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9C78B" w14:textId="56861E98" w:rsidR="7AD8100D" w:rsidRPr="00703A0B" w:rsidRDefault="00CB1295" w:rsidP="7AD8100D">
      <w:pPr>
        <w:rPr>
          <w:rFonts w:cs="Arial"/>
          <w:sz w:val="12"/>
          <w:szCs w:val="12"/>
        </w:rPr>
      </w:pPr>
      <w:r w:rsidRPr="00BB72F2">
        <w:rPr>
          <w:rFonts w:cs="Arial"/>
          <w:noProof/>
          <w:color w:val="FF0000"/>
          <w:szCs w:val="20"/>
          <w:lang w:eastAsia="en-GB"/>
        </w:rPr>
        <w:drawing>
          <wp:anchor distT="0" distB="0" distL="114300" distR="114300" simplePos="0" relativeHeight="251658240" behindDoc="0" locked="0" layoutInCell="1" allowOverlap="1" wp14:anchorId="270644E1" wp14:editId="508A72AB">
            <wp:simplePos x="0" y="0"/>
            <wp:positionH relativeFrom="page">
              <wp:posOffset>0</wp:posOffset>
            </wp:positionH>
            <wp:positionV relativeFrom="page">
              <wp:posOffset>-1743</wp:posOffset>
            </wp:positionV>
            <wp:extent cx="7559308" cy="10692764"/>
            <wp:effectExtent l="0" t="0" r="381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booklet back cover.png"/>
                    <pic:cNvPicPr/>
                  </pic:nvPicPr>
                  <pic:blipFill>
                    <a:blip r:embed="rId8">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7559308" cy="10692764"/>
                    </a:xfrm>
                    <a:prstGeom prst="rect">
                      <a:avLst/>
                    </a:prstGeom>
                  </pic:spPr>
                </pic:pic>
              </a:graphicData>
            </a:graphic>
            <wp14:sizeRelH relativeFrom="page">
              <wp14:pctWidth>0</wp14:pctWidth>
            </wp14:sizeRelH>
            <wp14:sizeRelV relativeFrom="page">
              <wp14:pctHeight>0</wp14:pctHeight>
            </wp14:sizeRelV>
          </wp:anchor>
        </w:drawing>
      </w:r>
      <w:r w:rsidR="008B5E11" w:rsidRPr="00703A0B">
        <w:rPr>
          <w:rFonts w:cs="Arial"/>
          <w:sz w:val="12"/>
          <w:szCs w:val="12"/>
        </w:rPr>
        <w:t xml:space="preserve"> </w:t>
      </w:r>
    </w:p>
    <w:sdt>
      <w:sdtPr>
        <w:rPr>
          <w:rFonts w:cs="Arial"/>
          <w:sz w:val="12"/>
          <w:szCs w:val="12"/>
        </w:rPr>
        <w:id w:val="721720723"/>
        <w:docPartObj>
          <w:docPartGallery w:val="Cover Pages"/>
          <w:docPartUnique/>
        </w:docPartObj>
      </w:sdtPr>
      <w:sdtEndPr>
        <w:rPr>
          <w:rFonts w:cstheme="minorBidi"/>
          <w:sz w:val="22"/>
          <w:szCs w:val="22"/>
        </w:rPr>
      </w:sdtEndPr>
      <w:sdtContent>
        <w:p w14:paraId="42E188C6" w14:textId="77777777" w:rsidR="005C592E" w:rsidRPr="00703A0B" w:rsidRDefault="005C592E">
          <w:pPr>
            <w:rPr>
              <w:rFonts w:cs="Arial"/>
              <w:sz w:val="48"/>
              <w:szCs w:val="48"/>
            </w:rPr>
          </w:pPr>
        </w:p>
        <w:p w14:paraId="48B63E8F" w14:textId="0448E844" w:rsidR="001D4866" w:rsidRPr="00703A0B" w:rsidRDefault="002F7099" w:rsidP="008832FE">
          <w:pPr>
            <w:rPr>
              <w:szCs w:val="22"/>
            </w:rPr>
          </w:pPr>
          <w:r w:rsidRPr="00BB72F2">
            <w:rPr>
              <w:rFonts w:cs="Arial"/>
              <w:noProof/>
              <w:lang w:eastAsia="en-GB"/>
            </w:rPr>
            <mc:AlternateContent>
              <mc:Choice Requires="wps">
                <w:drawing>
                  <wp:anchor distT="0" distB="0" distL="114300" distR="114300" simplePos="0" relativeHeight="251658243" behindDoc="0" locked="0" layoutInCell="1" allowOverlap="1" wp14:anchorId="22A92171" wp14:editId="153D2FA8">
                    <wp:simplePos x="0" y="0"/>
                    <wp:positionH relativeFrom="page">
                      <wp:posOffset>216563</wp:posOffset>
                    </wp:positionH>
                    <wp:positionV relativeFrom="paragraph">
                      <wp:posOffset>5499072</wp:posOffset>
                    </wp:positionV>
                    <wp:extent cx="6807200" cy="2414905"/>
                    <wp:effectExtent l="0" t="0" r="0" b="4445"/>
                    <wp:wrapSquare wrapText="bothSides"/>
                    <wp:docPr id="14" name="Text Box 14"/>
                    <wp:cNvGraphicFramePr/>
                    <a:graphic xmlns:a="http://schemas.openxmlformats.org/drawingml/2006/main">
                      <a:graphicData uri="http://schemas.microsoft.com/office/word/2010/wordprocessingShape">
                        <wps:wsp>
                          <wps:cNvSpPr txBox="1"/>
                          <wps:spPr>
                            <a:xfrm>
                              <a:off x="0" y="0"/>
                              <a:ext cx="6807200" cy="241490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pic="http://schemas.openxmlformats.org/drawingml/2006/picture" xmlns:a14="http://schemas.microsoft.com/office/drawing/2010/main" xmlns:ma14="http://schemas.microsoft.com/office/mac/drawingml/2011/main" xmlns:c="http://schemas.openxmlformats.org/drawingml/2006/chart" xmlns:a16="http://schemas.microsoft.com/office/drawing/2014/main" xmlns:asvg="http://schemas.microsoft.com/office/drawing/2016/SVG/main"/>
                              </a:ext>
                            </a:extLst>
                          </wps:spPr>
                          <wps:style>
                            <a:lnRef idx="0">
                              <a:schemeClr val="accent1"/>
                            </a:lnRef>
                            <a:fillRef idx="0">
                              <a:schemeClr val="accent1"/>
                            </a:fillRef>
                            <a:effectRef idx="0">
                              <a:schemeClr val="accent1"/>
                            </a:effectRef>
                            <a:fontRef idx="minor">
                              <a:schemeClr val="dk1"/>
                            </a:fontRef>
                          </wps:style>
                          <wps:txbx>
                            <w:txbxContent>
                              <w:p w14:paraId="62546046" w14:textId="4AA5CE0F" w:rsidR="00FC5386" w:rsidRPr="00703A0B" w:rsidRDefault="003904F3" w:rsidP="00725B0F">
                                <w:pPr>
                                  <w:pStyle w:val="Title"/>
                                </w:pPr>
                                <w:r w:rsidRPr="00703A0B">
                                  <w:t xml:space="preserve">The </w:t>
                                </w:r>
                                <w:r w:rsidR="00FC5386" w:rsidRPr="00703A0B">
                                  <w:t xml:space="preserve">Queensland Building and Construction Commission </w:t>
                                </w:r>
                              </w:p>
                              <w:p w14:paraId="316666C6" w14:textId="77777777" w:rsidR="005D737D" w:rsidRPr="00703A0B" w:rsidRDefault="005D737D" w:rsidP="005D737D"/>
                              <w:p w14:paraId="75B406F7" w14:textId="3C82005A" w:rsidR="005F2D1B" w:rsidRPr="00703A0B" w:rsidRDefault="0072769D" w:rsidP="00725B0F">
                                <w:pPr>
                                  <w:pStyle w:val="Title"/>
                                  <w:rPr>
                                    <w:sz w:val="52"/>
                                    <w:szCs w:val="52"/>
                                  </w:rPr>
                                </w:pPr>
                                <w:r w:rsidRPr="00703A0B">
                                  <w:rPr>
                                    <w:sz w:val="52"/>
                                    <w:szCs w:val="52"/>
                                  </w:rPr>
                                  <w:t xml:space="preserve">Annual Report </w:t>
                                </w:r>
                              </w:p>
                              <w:p w14:paraId="7B95E25E" w14:textId="29A1EA13" w:rsidR="0094120B" w:rsidRPr="00703A0B" w:rsidRDefault="0072769D" w:rsidP="00FA46C8">
                                <w:pPr>
                                  <w:pStyle w:val="Title"/>
                                </w:pPr>
                                <w:r w:rsidRPr="00703A0B">
                                  <w:rPr>
                                    <w:sz w:val="52"/>
                                    <w:szCs w:val="52"/>
                                  </w:rPr>
                                  <w:t>202</w:t>
                                </w:r>
                                <w:r w:rsidR="00072309" w:rsidRPr="00703A0B">
                                  <w:rPr>
                                    <w:sz w:val="52"/>
                                    <w:szCs w:val="52"/>
                                  </w:rPr>
                                  <w:t>5</w:t>
                                </w:r>
                                <w:r w:rsidR="00035577" w:rsidRPr="00703A0B">
                                  <w:rPr>
                                    <w:sz w:val="52"/>
                                    <w:szCs w:val="52"/>
                                  </w:rPr>
                                  <w:t>–2</w:t>
                                </w:r>
                                <w:r w:rsidR="00072309" w:rsidRPr="00703A0B">
                                  <w:rPr>
                                    <w:sz w:val="52"/>
                                    <w:szCs w:val="5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2A92171" id="_x0000_t202" coordsize="21600,21600" o:spt="202" path="m,l,21600r21600,l21600,xe">
                    <v:stroke joinstyle="miter"/>
                    <v:path gradientshapeok="t" o:connecttype="rect"/>
                  </v:shapetype>
                  <v:shape id="Text Box 14" o:spid="_x0000_s1026" type="#_x0000_t202" style="position:absolute;margin-left:17.05pt;margin-top:433pt;width:536pt;height:190.15pt;z-index:251658243;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" filled="f" stroked="f">
                    <v:textbox>
                      <w:txbxContent>
                        <w:p w14:paraId="62546046" w14:textId="4AA5CE0F" w:rsidR="00FC5386" w:rsidRPr="00703A0B" w:rsidRDefault="003904F3" w:rsidP="00725B0F">
                          <w:pPr>
                            <w:pStyle w:val="Title"/>
                          </w:pPr>
                          <w:r w:rsidRPr="00703A0B">
                            <w:t xml:space="preserve">The </w:t>
                          </w:r>
                          <w:r w:rsidR="00FC5386" w:rsidRPr="00703A0B">
                            <w:t xml:space="preserve">Queensland Building and Construction Commission </w:t>
                          </w:r>
                        </w:p>
                        <w:p w14:paraId="316666C6" w14:textId="77777777" w:rsidR="005D737D" w:rsidRPr="00703A0B" w:rsidRDefault="005D737D" w:rsidP="005D737D"/>
                        <w:p w14:paraId="75B406F7" w14:textId="3C82005A" w:rsidR="005F2D1B" w:rsidRPr="00703A0B" w:rsidRDefault="0072769D" w:rsidP="00725B0F">
                          <w:pPr>
                            <w:pStyle w:val="Title"/>
                            <w:rPr>
                              <w:sz w:val="52"/>
                              <w:szCs w:val="52"/>
                            </w:rPr>
                          </w:pPr>
                          <w:r w:rsidRPr="00703A0B">
                            <w:rPr>
                              <w:sz w:val="52"/>
                              <w:szCs w:val="52"/>
                            </w:rPr>
                            <w:t xml:space="preserve">Annual Report </w:t>
                          </w:r>
                        </w:p>
                        <w:p w14:paraId="7B95E25E" w14:textId="29A1EA13" w:rsidR="0094120B" w:rsidRPr="00703A0B" w:rsidRDefault="0072769D" w:rsidP="00FA46C8">
                          <w:pPr>
                            <w:pStyle w:val="Title"/>
                          </w:pPr>
                          <w:r w:rsidRPr="00703A0B">
                            <w:rPr>
                              <w:sz w:val="52"/>
                              <w:szCs w:val="52"/>
                            </w:rPr>
                            <w:t>202</w:t>
                          </w:r>
                          <w:r w:rsidR="00072309" w:rsidRPr="00703A0B">
                            <w:rPr>
                              <w:sz w:val="52"/>
                              <w:szCs w:val="52"/>
                            </w:rPr>
                            <w:t>5</w:t>
                          </w:r>
                          <w:r w:rsidR="00035577" w:rsidRPr="00703A0B">
                            <w:rPr>
                              <w:sz w:val="52"/>
                              <w:szCs w:val="52"/>
                            </w:rPr>
                            <w:t>–2</w:t>
                          </w:r>
                          <w:r w:rsidR="00072309" w:rsidRPr="00703A0B">
                            <w:rPr>
                              <w:sz w:val="52"/>
                              <w:szCs w:val="52"/>
                            </w:rPr>
                            <w:t>6</w:t>
                          </w:r>
                        </w:p>
                      </w:txbxContent>
                    </v:textbox>
                    <w10:wrap type="square" anchorx="page"/>
                  </v:shape>
                </w:pict>
              </mc:Fallback>
            </mc:AlternateContent>
          </w:r>
          <w:r w:rsidR="009A1836" w:rsidRPr="00703A0B">
            <w:br w:type="page"/>
          </w:r>
        </w:p>
      </w:sdtContent>
    </w:sdt>
    <w:p w14:paraId="74739C56" w14:textId="58DA6FB8" w:rsidR="008832FE" w:rsidRPr="00703A0B" w:rsidRDefault="008832FE" w:rsidP="008832FE">
      <w:pPr>
        <w:rPr>
          <w:rFonts w:cs="Arial"/>
          <w:sz w:val="16"/>
          <w:szCs w:val="16"/>
        </w:rPr>
      </w:pPr>
      <w:r w:rsidRPr="00703A0B">
        <w:rPr>
          <w:rFonts w:cs="Arial"/>
          <w:sz w:val="16"/>
          <w:szCs w:val="16"/>
        </w:rPr>
        <w:lastRenderedPageBreak/>
        <w:t>SSN 2203-9589 (Print)</w:t>
      </w:r>
    </w:p>
    <w:p w14:paraId="12418209" w14:textId="77777777" w:rsidR="008832FE" w:rsidRPr="00703A0B" w:rsidRDefault="008832FE" w:rsidP="008832FE">
      <w:pPr>
        <w:autoSpaceDE w:val="0"/>
        <w:autoSpaceDN w:val="0"/>
        <w:rPr>
          <w:rFonts w:cs="Arial"/>
          <w:sz w:val="16"/>
          <w:szCs w:val="16"/>
        </w:rPr>
      </w:pPr>
      <w:r w:rsidRPr="00703A0B">
        <w:rPr>
          <w:rFonts w:cs="Arial"/>
          <w:sz w:val="16"/>
          <w:szCs w:val="16"/>
        </w:rPr>
        <w:t>ISSN 2203-9597 (Online)</w:t>
      </w:r>
    </w:p>
    <w:p w14:paraId="09B12493" w14:textId="77777777" w:rsidR="008832FE" w:rsidRPr="00703A0B" w:rsidRDefault="008832FE" w:rsidP="2FCA7408">
      <w:pPr>
        <w:rPr>
          <w:rFonts w:cs="Arial"/>
          <w:sz w:val="18"/>
          <w:szCs w:val="18"/>
        </w:rPr>
      </w:pPr>
    </w:p>
    <w:p w14:paraId="4B8A83EF" w14:textId="5B593E1F" w:rsidR="7D03EFDD" w:rsidRPr="00703A0B" w:rsidRDefault="6EBF602A" w:rsidP="2FCA7408">
      <w:pPr>
        <w:rPr>
          <w:rFonts w:cs="Arial"/>
          <w:sz w:val="18"/>
          <w:szCs w:val="18"/>
        </w:rPr>
      </w:pPr>
      <w:r w:rsidRPr="00703A0B">
        <w:rPr>
          <w:rFonts w:cs="Arial"/>
          <w:sz w:val="18"/>
          <w:szCs w:val="18"/>
        </w:rPr>
        <w:t>© Queensland Building and Construction Commission 202</w:t>
      </w:r>
      <w:r w:rsidR="00FA3F39" w:rsidRPr="00703A0B">
        <w:rPr>
          <w:rFonts w:cs="Arial"/>
          <w:sz w:val="18"/>
          <w:szCs w:val="18"/>
        </w:rPr>
        <w:t>6</w:t>
      </w:r>
    </w:p>
    <w:p w14:paraId="6CCC7268" w14:textId="255549E7" w:rsidR="2FCA7408" w:rsidRPr="00703A0B" w:rsidRDefault="2FCA7408" w:rsidP="2FCA7408">
      <w:pPr>
        <w:rPr>
          <w:rFonts w:cs="Arial"/>
          <w:b/>
          <w:bCs/>
          <w:sz w:val="18"/>
          <w:szCs w:val="18"/>
        </w:rPr>
      </w:pPr>
    </w:p>
    <w:p w14:paraId="0FB9DB30" w14:textId="77777777" w:rsidR="00613607" w:rsidRPr="00703A0B" w:rsidRDefault="00613607" w:rsidP="00613607">
      <w:pPr>
        <w:autoSpaceDE w:val="0"/>
        <w:autoSpaceDN w:val="0"/>
        <w:adjustRightInd w:val="0"/>
        <w:rPr>
          <w:rFonts w:cs="Arial"/>
          <w:sz w:val="20"/>
          <w:szCs w:val="20"/>
        </w:rPr>
      </w:pPr>
      <w:r w:rsidRPr="00703A0B">
        <w:rPr>
          <w:rFonts w:cs="Arial"/>
          <w:b/>
          <w:sz w:val="20"/>
          <w:szCs w:val="20"/>
        </w:rPr>
        <w:t xml:space="preserve">Licence </w:t>
      </w:r>
    </w:p>
    <w:p w14:paraId="681A6C58" w14:textId="25AD8CEF" w:rsidR="00613607" w:rsidRPr="00703A0B" w:rsidRDefault="00613607" w:rsidP="00613607">
      <w:pPr>
        <w:autoSpaceDE w:val="0"/>
        <w:autoSpaceDN w:val="0"/>
        <w:adjustRightInd w:val="0"/>
        <w:rPr>
          <w:rFonts w:cs="Arial"/>
          <w:sz w:val="18"/>
          <w:szCs w:val="18"/>
        </w:rPr>
      </w:pPr>
      <w:r w:rsidRPr="00703A0B">
        <w:rPr>
          <w:rFonts w:cs="Arial"/>
          <w:sz w:val="18"/>
          <w:szCs w:val="18"/>
        </w:rPr>
        <w:t xml:space="preserve">This annual report is licensed by the State of Queensland (Queensland Building and Construction Commission) under a Creative Commons Attribution (CC BY) 4.0 International licence. </w:t>
      </w:r>
    </w:p>
    <w:p w14:paraId="58BB56BE" w14:textId="3EE03240" w:rsidR="00613607" w:rsidRPr="00703A0B" w:rsidRDefault="00CC1CD5" w:rsidP="00613607">
      <w:pPr>
        <w:autoSpaceDE w:val="0"/>
        <w:autoSpaceDN w:val="0"/>
        <w:adjustRightInd w:val="0"/>
        <w:rPr>
          <w:rFonts w:cs="Arial"/>
          <w:sz w:val="18"/>
          <w:szCs w:val="16"/>
        </w:rPr>
      </w:pPr>
      <w:r w:rsidRPr="00BB72F2">
        <w:rPr>
          <w:rFonts w:cs="Arial"/>
          <w:noProof/>
        </w:rPr>
        <w:drawing>
          <wp:anchor distT="0" distB="0" distL="114300" distR="114300" simplePos="0" relativeHeight="251658242" behindDoc="0" locked="0" layoutInCell="1" allowOverlap="1" wp14:anchorId="349793BA" wp14:editId="39F4909A">
            <wp:simplePos x="0" y="0"/>
            <wp:positionH relativeFrom="margin">
              <wp:align>left</wp:align>
            </wp:positionH>
            <wp:positionV relativeFrom="paragraph">
              <wp:posOffset>129540</wp:posOffset>
            </wp:positionV>
            <wp:extent cx="1066800" cy="372745"/>
            <wp:effectExtent l="0" t="0" r="0" b="8255"/>
            <wp:wrapSquare wrapText="bothSides"/>
            <wp:docPr id="1" name="Picture 1" descr="A grey and black sign with a person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y and black sign with a person in a circl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66800" cy="372745"/>
                    </a:xfrm>
                    <a:prstGeom prst="rect">
                      <a:avLst/>
                    </a:prstGeom>
                  </pic:spPr>
                </pic:pic>
              </a:graphicData>
            </a:graphic>
            <wp14:sizeRelH relativeFrom="margin">
              <wp14:pctWidth>0</wp14:pctWidth>
            </wp14:sizeRelH>
            <wp14:sizeRelV relativeFrom="margin">
              <wp14:pctHeight>0</wp14:pctHeight>
            </wp14:sizeRelV>
          </wp:anchor>
        </w:drawing>
      </w:r>
    </w:p>
    <w:p w14:paraId="075B1E79" w14:textId="39CB148D" w:rsidR="00613607" w:rsidRPr="00703A0B" w:rsidRDefault="00613607" w:rsidP="00613607">
      <w:pPr>
        <w:autoSpaceDE w:val="0"/>
        <w:autoSpaceDN w:val="0"/>
        <w:adjustRightInd w:val="0"/>
        <w:rPr>
          <w:rFonts w:cs="Arial"/>
          <w:sz w:val="20"/>
          <w:szCs w:val="20"/>
        </w:rPr>
      </w:pPr>
      <w:r w:rsidRPr="00703A0B">
        <w:rPr>
          <w:rFonts w:cs="Arial"/>
          <w:b/>
          <w:sz w:val="20"/>
          <w:szCs w:val="20"/>
        </w:rPr>
        <w:t xml:space="preserve">CC BY Licence Summary Statement </w:t>
      </w:r>
    </w:p>
    <w:p w14:paraId="3E2E7115" w14:textId="6A34C49C" w:rsidR="00613607" w:rsidRPr="00703A0B" w:rsidRDefault="52203F93" w:rsidP="00613607">
      <w:pPr>
        <w:autoSpaceDE w:val="0"/>
        <w:autoSpaceDN w:val="0"/>
        <w:adjustRightInd w:val="0"/>
        <w:rPr>
          <w:rFonts w:cs="Arial"/>
          <w:sz w:val="18"/>
          <w:szCs w:val="18"/>
        </w:rPr>
      </w:pPr>
      <w:r w:rsidRPr="00703A0B">
        <w:rPr>
          <w:rFonts w:cs="Arial"/>
          <w:sz w:val="18"/>
          <w:szCs w:val="18"/>
        </w:rPr>
        <w:t>Y</w:t>
      </w:r>
      <w:r w:rsidR="1438268F" w:rsidRPr="00703A0B">
        <w:rPr>
          <w:rFonts w:cs="Arial"/>
          <w:sz w:val="18"/>
          <w:szCs w:val="18"/>
        </w:rPr>
        <w:t xml:space="preserve">ou are free to copy, communicate and adapt this annual report, </w:t>
      </w:r>
      <w:proofErr w:type="gramStart"/>
      <w:r w:rsidR="1438268F" w:rsidRPr="00703A0B">
        <w:rPr>
          <w:rFonts w:cs="Arial"/>
          <w:sz w:val="18"/>
          <w:szCs w:val="18"/>
        </w:rPr>
        <w:t>as long as</w:t>
      </w:r>
      <w:proofErr w:type="gramEnd"/>
      <w:r w:rsidR="1438268F" w:rsidRPr="00703A0B">
        <w:rPr>
          <w:rFonts w:cs="Arial"/>
          <w:sz w:val="18"/>
          <w:szCs w:val="18"/>
        </w:rPr>
        <w:t xml:space="preserve"> you attribute the work to the State of Queensland (Queensland Building and Construction Commission). To view a copy of this licence, visit </w:t>
      </w:r>
      <w:hyperlink r:id="rId11">
        <w:r w:rsidR="6556E083" w:rsidRPr="00703A0B">
          <w:rPr>
            <w:rStyle w:val="Hyperlink"/>
            <w:rFonts w:cs="Arial"/>
            <w:color w:val="auto"/>
            <w:sz w:val="18"/>
            <w:szCs w:val="18"/>
          </w:rPr>
          <w:t>http://creativecommons.org/licens</w:t>
        </w:r>
      </w:hyperlink>
      <w:bookmarkStart w:id="0" w:name="_Hlt176944427"/>
      <w:bookmarkStart w:id="1" w:name="_Hlt176944428"/>
      <w:r w:rsidR="6556E083" w:rsidRPr="00703A0B">
        <w:rPr>
          <w:rStyle w:val="Hyperlink"/>
          <w:rFonts w:cs="Arial"/>
          <w:color w:val="auto"/>
          <w:sz w:val="18"/>
          <w:szCs w:val="18"/>
        </w:rPr>
        <w:t>e</w:t>
      </w:r>
      <w:bookmarkEnd w:id="0"/>
      <w:bookmarkEnd w:id="1"/>
      <w:r w:rsidR="6556E083" w:rsidRPr="00703A0B">
        <w:rPr>
          <w:rStyle w:val="Hyperlink"/>
          <w:rFonts w:cs="Arial"/>
          <w:color w:val="auto"/>
          <w:sz w:val="18"/>
          <w:szCs w:val="18"/>
        </w:rPr>
        <w:t>s/by/4.0/</w:t>
      </w:r>
      <w:r w:rsidR="1438268F" w:rsidRPr="00703A0B">
        <w:rPr>
          <w:rFonts w:cs="Arial"/>
          <w:sz w:val="18"/>
          <w:szCs w:val="18"/>
        </w:rPr>
        <w:t xml:space="preserve"> </w:t>
      </w:r>
    </w:p>
    <w:p w14:paraId="16B511CA" w14:textId="77777777" w:rsidR="00613607" w:rsidRPr="00703A0B" w:rsidRDefault="00613607" w:rsidP="00613607">
      <w:pPr>
        <w:autoSpaceDE w:val="0"/>
        <w:autoSpaceDN w:val="0"/>
        <w:adjustRightInd w:val="0"/>
        <w:rPr>
          <w:rFonts w:cs="Arial"/>
          <w:b/>
          <w:sz w:val="18"/>
          <w:szCs w:val="16"/>
        </w:rPr>
      </w:pPr>
    </w:p>
    <w:p w14:paraId="3B784016" w14:textId="7553AB0B" w:rsidR="00613607" w:rsidRPr="00703A0B" w:rsidRDefault="1438268F" w:rsidP="0311DE0C">
      <w:pPr>
        <w:autoSpaceDE w:val="0"/>
        <w:autoSpaceDN w:val="0"/>
        <w:adjustRightInd w:val="0"/>
        <w:rPr>
          <w:rFonts w:cs="Arial"/>
          <w:b/>
          <w:bCs/>
          <w:sz w:val="20"/>
          <w:szCs w:val="20"/>
        </w:rPr>
      </w:pPr>
      <w:r w:rsidRPr="00703A0B">
        <w:rPr>
          <w:rFonts w:cs="Arial"/>
          <w:b/>
          <w:bCs/>
          <w:sz w:val="20"/>
          <w:szCs w:val="20"/>
        </w:rPr>
        <w:t>Attribution</w:t>
      </w:r>
    </w:p>
    <w:p w14:paraId="63C37FDD" w14:textId="7D48FC4C" w:rsidR="00613607" w:rsidRPr="00703A0B" w:rsidRDefault="1438268F" w:rsidP="0311DE0C">
      <w:pPr>
        <w:rPr>
          <w:rFonts w:cs="Arial"/>
          <w:sz w:val="18"/>
          <w:szCs w:val="18"/>
        </w:rPr>
      </w:pPr>
      <w:r w:rsidRPr="00703A0B">
        <w:rPr>
          <w:rFonts w:cs="Arial"/>
          <w:sz w:val="18"/>
          <w:szCs w:val="18"/>
        </w:rPr>
        <w:t>The State of Queensland (Queensland Building and Construction Commission</w:t>
      </w:r>
      <w:r w:rsidR="7ACBC65C" w:rsidRPr="00703A0B">
        <w:rPr>
          <w:rFonts w:cs="Arial"/>
          <w:sz w:val="18"/>
          <w:szCs w:val="18"/>
        </w:rPr>
        <w:t>)</w:t>
      </w:r>
      <w:r w:rsidRPr="00703A0B">
        <w:rPr>
          <w:rFonts w:cs="Arial"/>
          <w:sz w:val="18"/>
          <w:szCs w:val="18"/>
        </w:rPr>
        <w:t xml:space="preserve"> </w:t>
      </w:r>
      <w:r w:rsidR="3CA55935" w:rsidRPr="00703A0B">
        <w:rPr>
          <w:rFonts w:cs="Arial"/>
          <w:sz w:val="18"/>
          <w:szCs w:val="18"/>
        </w:rPr>
        <w:t>a</w:t>
      </w:r>
      <w:r w:rsidRPr="00703A0B">
        <w:rPr>
          <w:rFonts w:cs="Arial"/>
          <w:sz w:val="18"/>
          <w:szCs w:val="18"/>
        </w:rPr>
        <w:t xml:space="preserve">nnual </w:t>
      </w:r>
      <w:r w:rsidR="5BF4832B" w:rsidRPr="00703A0B">
        <w:rPr>
          <w:rFonts w:cs="Arial"/>
          <w:sz w:val="18"/>
          <w:szCs w:val="18"/>
        </w:rPr>
        <w:t>r</w:t>
      </w:r>
      <w:r w:rsidRPr="00703A0B">
        <w:rPr>
          <w:rFonts w:cs="Arial"/>
          <w:sz w:val="18"/>
          <w:szCs w:val="18"/>
        </w:rPr>
        <w:t>eport 202</w:t>
      </w:r>
      <w:r w:rsidR="00FA3F39" w:rsidRPr="00703A0B">
        <w:rPr>
          <w:rFonts w:cs="Arial"/>
          <w:sz w:val="18"/>
          <w:szCs w:val="18"/>
        </w:rPr>
        <w:t>5</w:t>
      </w:r>
      <w:r w:rsidR="6552E452" w:rsidRPr="00703A0B">
        <w:rPr>
          <w:rFonts w:cs="Arial"/>
          <w:sz w:val="18"/>
          <w:szCs w:val="18"/>
        </w:rPr>
        <w:t>–</w:t>
      </w:r>
      <w:r w:rsidRPr="00703A0B">
        <w:rPr>
          <w:rFonts w:cs="Arial"/>
          <w:sz w:val="18"/>
          <w:szCs w:val="18"/>
        </w:rPr>
        <w:t>2</w:t>
      </w:r>
      <w:r w:rsidR="00FA3F39" w:rsidRPr="00703A0B">
        <w:rPr>
          <w:rFonts w:cs="Arial"/>
          <w:sz w:val="18"/>
          <w:szCs w:val="18"/>
        </w:rPr>
        <w:t>6</w:t>
      </w:r>
      <w:r w:rsidRPr="00703A0B">
        <w:rPr>
          <w:rFonts w:cs="Arial"/>
          <w:sz w:val="18"/>
          <w:szCs w:val="18"/>
        </w:rPr>
        <w:t>.</w:t>
      </w:r>
    </w:p>
    <w:p w14:paraId="5AFC30CA" w14:textId="7A35134C" w:rsidR="00613607" w:rsidRPr="00703A0B" w:rsidRDefault="00613607" w:rsidP="0311DE0C">
      <w:pPr>
        <w:rPr>
          <w:rFonts w:cs="Arial"/>
          <w:b/>
          <w:bCs/>
          <w:strike/>
        </w:rPr>
      </w:pPr>
    </w:p>
    <w:p w14:paraId="05F3BC53" w14:textId="1A2D6E9B" w:rsidR="00613607" w:rsidRPr="00703A0B" w:rsidRDefault="00613607" w:rsidP="0311DE0C">
      <w:pPr>
        <w:rPr>
          <w:rStyle w:val="Hyperlink"/>
          <w:rFonts w:cs="Arial"/>
          <w:color w:val="auto"/>
          <w:sz w:val="20"/>
          <w:szCs w:val="20"/>
        </w:rPr>
      </w:pPr>
    </w:p>
    <w:p w14:paraId="722E8D30" w14:textId="32EABF03" w:rsidR="00613607" w:rsidRPr="00703A0B" w:rsidRDefault="00613607" w:rsidP="2FCA7408">
      <w:pPr>
        <w:jc w:val="both"/>
        <w:rPr>
          <w:rFonts w:cs="Arial"/>
          <w:b/>
          <w:bCs/>
          <w:sz w:val="20"/>
          <w:szCs w:val="20"/>
        </w:rPr>
      </w:pPr>
      <w:r w:rsidRPr="00BB72F2">
        <w:rPr>
          <w:rFonts w:cs="Arial"/>
          <w:noProof/>
          <w:sz w:val="20"/>
          <w:szCs w:val="20"/>
        </w:rPr>
        <w:drawing>
          <wp:anchor distT="0" distB="0" distL="114300" distR="114300" simplePos="0" relativeHeight="251658241" behindDoc="1" locked="0" layoutInCell="1" allowOverlap="1" wp14:anchorId="6071D5A6" wp14:editId="5AE80CFC">
            <wp:simplePos x="0" y="0"/>
            <wp:positionH relativeFrom="column">
              <wp:posOffset>0</wp:posOffset>
            </wp:positionH>
            <wp:positionV relativeFrom="paragraph">
              <wp:posOffset>635</wp:posOffset>
            </wp:positionV>
            <wp:extent cx="528320" cy="528320"/>
            <wp:effectExtent l="0" t="0" r="5080" b="5080"/>
            <wp:wrapTight wrapText="bothSides">
              <wp:wrapPolygon edited="0">
                <wp:start x="0" y="0"/>
                <wp:lineTo x="0" y="21029"/>
                <wp:lineTo x="21029" y="21029"/>
                <wp:lineTo x="21029" y="0"/>
                <wp:lineTo x="0" y="0"/>
              </wp:wrapPolygon>
            </wp:wrapTight>
            <wp:docPr id="6545365" name="Picture 6545365" descr="A blue sign with white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5365" name="Picture 6545365" descr="A blue sign with white people&#10;&#10;Description automatically generated"/>
                    <pic:cNvPicPr/>
                  </pic:nvPicPr>
                  <pic:blipFill>
                    <a:blip r:embed="rId12" cstate="print">
                      <a:biLevel thresh="75000"/>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28320" cy="528320"/>
                    </a:xfrm>
                    <a:prstGeom prst="rect">
                      <a:avLst/>
                    </a:prstGeom>
                  </pic:spPr>
                </pic:pic>
              </a:graphicData>
            </a:graphic>
          </wp:anchor>
        </w:drawing>
      </w:r>
      <w:r w:rsidRPr="00703A0B">
        <w:rPr>
          <w:rFonts w:cs="Arial"/>
          <w:b/>
          <w:bCs/>
          <w:sz w:val="20"/>
          <w:szCs w:val="20"/>
        </w:rPr>
        <w:t>Interpreter service statement</w:t>
      </w:r>
    </w:p>
    <w:p w14:paraId="7EEB6B63" w14:textId="1804B941" w:rsidR="00613607" w:rsidRPr="00703A0B" w:rsidRDefault="1438268F" w:rsidP="0311DE0C">
      <w:pPr>
        <w:rPr>
          <w:rFonts w:cs="Arial"/>
          <w:sz w:val="18"/>
          <w:szCs w:val="18"/>
        </w:rPr>
      </w:pPr>
      <w:r w:rsidRPr="00703A0B">
        <w:rPr>
          <w:rFonts w:cs="Arial"/>
          <w:sz w:val="18"/>
          <w:szCs w:val="18"/>
        </w:rPr>
        <w:t xml:space="preserve">The QBCC is committed to providing accessible </w:t>
      </w:r>
      <w:r w:rsidR="68108A75" w:rsidRPr="00703A0B">
        <w:rPr>
          <w:rFonts w:cs="Arial"/>
          <w:sz w:val="18"/>
          <w:szCs w:val="18"/>
        </w:rPr>
        <w:t xml:space="preserve">information and </w:t>
      </w:r>
      <w:r w:rsidRPr="00703A0B">
        <w:rPr>
          <w:rFonts w:cs="Arial"/>
          <w:sz w:val="18"/>
          <w:szCs w:val="18"/>
        </w:rPr>
        <w:t>services to Queenslanders from all cultural and linguistic backgrounds.</w:t>
      </w:r>
      <w:r w:rsidR="72843192" w:rsidRPr="00703A0B">
        <w:rPr>
          <w:rFonts w:cs="Arial"/>
          <w:sz w:val="18"/>
          <w:szCs w:val="18"/>
        </w:rPr>
        <w:t xml:space="preserve"> To talk to someone about </w:t>
      </w:r>
      <w:r w:rsidR="1A2C23D7" w:rsidRPr="00703A0B">
        <w:rPr>
          <w:rFonts w:cs="Arial"/>
          <w:sz w:val="18"/>
          <w:szCs w:val="18"/>
        </w:rPr>
        <w:t>t</w:t>
      </w:r>
      <w:r w:rsidR="20C78DD8" w:rsidRPr="00703A0B">
        <w:rPr>
          <w:rFonts w:cs="Arial"/>
          <w:sz w:val="18"/>
          <w:szCs w:val="18"/>
        </w:rPr>
        <w:t>he Queensland Building and Construction Commission Annual Report 202</w:t>
      </w:r>
      <w:r w:rsidR="00FA3F39" w:rsidRPr="00703A0B">
        <w:rPr>
          <w:rFonts w:cs="Arial"/>
          <w:sz w:val="18"/>
          <w:szCs w:val="18"/>
        </w:rPr>
        <w:t>5</w:t>
      </w:r>
      <w:r w:rsidR="20C78DD8" w:rsidRPr="00703A0B">
        <w:rPr>
          <w:rFonts w:cs="Arial"/>
          <w:sz w:val="18"/>
          <w:szCs w:val="18"/>
        </w:rPr>
        <w:t>–2</w:t>
      </w:r>
      <w:r w:rsidR="00FA3F39" w:rsidRPr="00703A0B">
        <w:rPr>
          <w:rFonts w:cs="Arial"/>
          <w:sz w:val="18"/>
          <w:szCs w:val="18"/>
        </w:rPr>
        <w:t>6</w:t>
      </w:r>
      <w:r w:rsidR="20C78DD8" w:rsidRPr="00703A0B">
        <w:rPr>
          <w:rFonts w:cs="Arial"/>
          <w:sz w:val="18"/>
          <w:szCs w:val="18"/>
        </w:rPr>
        <w:t xml:space="preserve"> </w:t>
      </w:r>
      <w:r w:rsidR="6736E4C9" w:rsidRPr="00703A0B">
        <w:rPr>
          <w:rFonts w:cs="Arial"/>
          <w:sz w:val="18"/>
          <w:szCs w:val="18"/>
        </w:rPr>
        <w:t>(</w:t>
      </w:r>
      <w:r w:rsidR="1A2C23D7" w:rsidRPr="00703A0B">
        <w:rPr>
          <w:rFonts w:cs="Arial"/>
          <w:sz w:val="18"/>
          <w:szCs w:val="18"/>
        </w:rPr>
        <w:t xml:space="preserve">QBCC </w:t>
      </w:r>
      <w:r w:rsidR="77F5D0B9" w:rsidRPr="00703A0B">
        <w:rPr>
          <w:rFonts w:cs="Arial"/>
          <w:sz w:val="18"/>
          <w:szCs w:val="18"/>
        </w:rPr>
        <w:t>A</w:t>
      </w:r>
      <w:r w:rsidRPr="00703A0B">
        <w:rPr>
          <w:rFonts w:cs="Arial"/>
          <w:sz w:val="18"/>
          <w:szCs w:val="18"/>
        </w:rPr>
        <w:t xml:space="preserve">nnual </w:t>
      </w:r>
      <w:r w:rsidR="77F5D0B9" w:rsidRPr="00703A0B">
        <w:rPr>
          <w:rFonts w:cs="Arial"/>
          <w:sz w:val="18"/>
          <w:szCs w:val="18"/>
        </w:rPr>
        <w:t>R</w:t>
      </w:r>
      <w:r w:rsidRPr="00703A0B">
        <w:rPr>
          <w:rFonts w:cs="Arial"/>
          <w:sz w:val="18"/>
          <w:szCs w:val="18"/>
        </w:rPr>
        <w:t>eport</w:t>
      </w:r>
      <w:r w:rsidR="03444208" w:rsidRPr="00703A0B">
        <w:rPr>
          <w:rFonts w:cs="Arial"/>
          <w:sz w:val="18"/>
          <w:szCs w:val="18"/>
        </w:rPr>
        <w:t>)</w:t>
      </w:r>
      <w:r w:rsidR="72843192" w:rsidRPr="00703A0B">
        <w:rPr>
          <w:rFonts w:cs="Arial"/>
          <w:sz w:val="18"/>
          <w:szCs w:val="18"/>
        </w:rPr>
        <w:t xml:space="preserve"> in your preferred </w:t>
      </w:r>
      <w:r w:rsidR="4CE73A6D" w:rsidRPr="00703A0B">
        <w:rPr>
          <w:rFonts w:cs="Arial"/>
          <w:sz w:val="18"/>
          <w:szCs w:val="18"/>
        </w:rPr>
        <w:t>language</w:t>
      </w:r>
      <w:r w:rsidR="04EDCB7E" w:rsidRPr="00703A0B">
        <w:rPr>
          <w:rFonts w:cs="Arial"/>
          <w:sz w:val="18"/>
          <w:szCs w:val="18"/>
        </w:rPr>
        <w:t xml:space="preserve">, </w:t>
      </w:r>
      <w:r w:rsidR="4CE73A6D" w:rsidRPr="00703A0B">
        <w:rPr>
          <w:rFonts w:cs="Arial"/>
          <w:sz w:val="18"/>
          <w:szCs w:val="18"/>
        </w:rPr>
        <w:t xml:space="preserve">call </w:t>
      </w:r>
      <w:r w:rsidRPr="00703A0B">
        <w:rPr>
          <w:rFonts w:cs="Arial"/>
          <w:sz w:val="18"/>
          <w:szCs w:val="18"/>
        </w:rPr>
        <w:t xml:space="preserve">139 333 and </w:t>
      </w:r>
      <w:r w:rsidR="100BD641" w:rsidRPr="00703A0B">
        <w:rPr>
          <w:rFonts w:cs="Arial"/>
          <w:sz w:val="18"/>
          <w:szCs w:val="18"/>
        </w:rPr>
        <w:t xml:space="preserve">an </w:t>
      </w:r>
      <w:r w:rsidRPr="00703A0B">
        <w:rPr>
          <w:rFonts w:cs="Arial"/>
          <w:sz w:val="18"/>
          <w:szCs w:val="18"/>
        </w:rPr>
        <w:t xml:space="preserve">interpreter </w:t>
      </w:r>
      <w:r w:rsidR="3F47B706" w:rsidRPr="00703A0B">
        <w:rPr>
          <w:rFonts w:cs="Arial"/>
          <w:sz w:val="18"/>
          <w:szCs w:val="18"/>
        </w:rPr>
        <w:t>will be arranged</w:t>
      </w:r>
      <w:r w:rsidRPr="00703A0B">
        <w:rPr>
          <w:rFonts w:cs="Arial"/>
          <w:sz w:val="18"/>
          <w:szCs w:val="18"/>
        </w:rPr>
        <w:t>.</w:t>
      </w:r>
    </w:p>
    <w:p w14:paraId="2883A609" w14:textId="77777777" w:rsidR="00613607" w:rsidRPr="00703A0B" w:rsidRDefault="00613607" w:rsidP="00613607">
      <w:pPr>
        <w:jc w:val="both"/>
        <w:rPr>
          <w:rFonts w:cs="Arial"/>
        </w:rPr>
      </w:pPr>
    </w:p>
    <w:p w14:paraId="5D855E7D" w14:textId="77777777" w:rsidR="00613607" w:rsidRPr="00703A0B" w:rsidRDefault="00613607" w:rsidP="00613607">
      <w:pPr>
        <w:jc w:val="both"/>
        <w:rPr>
          <w:rFonts w:cs="Arial"/>
          <w:b/>
          <w:sz w:val="20"/>
          <w:szCs w:val="20"/>
        </w:rPr>
      </w:pPr>
      <w:r w:rsidRPr="00703A0B">
        <w:rPr>
          <w:rFonts w:cs="Arial"/>
          <w:b/>
          <w:sz w:val="20"/>
          <w:szCs w:val="20"/>
        </w:rPr>
        <w:t>Enquiries</w:t>
      </w:r>
    </w:p>
    <w:p w14:paraId="30C97E60" w14:textId="3F182E27" w:rsidR="00613607" w:rsidRPr="00703A0B" w:rsidRDefault="3FC25391" w:rsidP="0311DE0C">
      <w:pPr>
        <w:rPr>
          <w:rFonts w:cs="Arial"/>
          <w:sz w:val="18"/>
          <w:szCs w:val="18"/>
        </w:rPr>
      </w:pPr>
      <w:r w:rsidRPr="00703A0B">
        <w:rPr>
          <w:rFonts w:cs="Arial"/>
          <w:sz w:val="18"/>
          <w:szCs w:val="18"/>
        </w:rPr>
        <w:t>T</w:t>
      </w:r>
      <w:r w:rsidR="1438268F" w:rsidRPr="00703A0B">
        <w:rPr>
          <w:rFonts w:cs="Arial"/>
          <w:sz w:val="18"/>
          <w:szCs w:val="18"/>
        </w:rPr>
        <w:t>he</w:t>
      </w:r>
      <w:r w:rsidR="0F055428" w:rsidRPr="00703A0B">
        <w:rPr>
          <w:rFonts w:cs="Arial"/>
          <w:sz w:val="18"/>
          <w:szCs w:val="18"/>
        </w:rPr>
        <w:t xml:space="preserve"> QBCC Annual</w:t>
      </w:r>
      <w:r w:rsidR="1438268F" w:rsidRPr="00703A0B">
        <w:rPr>
          <w:rFonts w:cs="Arial"/>
          <w:sz w:val="18"/>
          <w:szCs w:val="18"/>
        </w:rPr>
        <w:t xml:space="preserve"> </w:t>
      </w:r>
      <w:r w:rsidR="0F055428" w:rsidRPr="00703A0B">
        <w:rPr>
          <w:rFonts w:cs="Arial"/>
          <w:sz w:val="18"/>
          <w:szCs w:val="18"/>
        </w:rPr>
        <w:t>R</w:t>
      </w:r>
      <w:r w:rsidR="1438268F" w:rsidRPr="00703A0B">
        <w:rPr>
          <w:rFonts w:cs="Arial"/>
          <w:sz w:val="18"/>
          <w:szCs w:val="18"/>
        </w:rPr>
        <w:t xml:space="preserve">eport </w:t>
      </w:r>
      <w:r w:rsidR="4E29D9FA" w:rsidRPr="00703A0B">
        <w:rPr>
          <w:rFonts w:cs="Arial"/>
          <w:sz w:val="18"/>
          <w:szCs w:val="18"/>
        </w:rPr>
        <w:t xml:space="preserve">is available for </w:t>
      </w:r>
      <w:r w:rsidRPr="00703A0B">
        <w:rPr>
          <w:rFonts w:cs="Arial"/>
          <w:sz w:val="18"/>
          <w:szCs w:val="18"/>
        </w:rPr>
        <w:t>download</w:t>
      </w:r>
      <w:r w:rsidR="4E29D9FA" w:rsidRPr="00703A0B">
        <w:rPr>
          <w:rFonts w:cs="Arial"/>
          <w:sz w:val="18"/>
          <w:szCs w:val="18"/>
        </w:rPr>
        <w:t xml:space="preserve"> </w:t>
      </w:r>
      <w:r w:rsidR="3214EA47" w:rsidRPr="00703A0B">
        <w:rPr>
          <w:rFonts w:cs="Arial"/>
          <w:sz w:val="18"/>
          <w:szCs w:val="18"/>
        </w:rPr>
        <w:t>at</w:t>
      </w:r>
      <w:r w:rsidR="1438268F" w:rsidRPr="00703A0B">
        <w:rPr>
          <w:rFonts w:cs="Arial"/>
          <w:sz w:val="18"/>
          <w:szCs w:val="18"/>
        </w:rPr>
        <w:t xml:space="preserve"> </w:t>
      </w:r>
      <w:hyperlink r:id="rId14" w:history="1">
        <w:r w:rsidR="001375CF" w:rsidRPr="00703A0B">
          <w:rPr>
            <w:rStyle w:val="Hyperlink"/>
            <w:color w:val="auto"/>
            <w:sz w:val="18"/>
            <w:szCs w:val="18"/>
          </w:rPr>
          <w:t>www.qbcc.qld.gov.au/about-us/our-corporate-publications/annual-report</w:t>
        </w:r>
      </w:hyperlink>
      <w:r w:rsidR="001375CF" w:rsidRPr="00703A0B">
        <w:rPr>
          <w:sz w:val="18"/>
          <w:szCs w:val="18"/>
        </w:rPr>
        <w:t>.</w:t>
      </w:r>
      <w:r w:rsidR="33A46FAD" w:rsidRPr="00703A0B">
        <w:rPr>
          <w:rFonts w:cs="Arial"/>
          <w:sz w:val="18"/>
          <w:szCs w:val="18"/>
        </w:rPr>
        <w:t xml:space="preserve"> P</w:t>
      </w:r>
      <w:r w:rsidR="1438268F" w:rsidRPr="00703A0B">
        <w:rPr>
          <w:rFonts w:cs="Arial"/>
          <w:sz w:val="18"/>
          <w:szCs w:val="18"/>
        </w:rPr>
        <w:t xml:space="preserve">rinted copies </w:t>
      </w:r>
      <w:r w:rsidR="74EDBE08" w:rsidRPr="00703A0B">
        <w:rPr>
          <w:rFonts w:cs="Arial"/>
          <w:sz w:val="18"/>
          <w:szCs w:val="18"/>
        </w:rPr>
        <w:t xml:space="preserve">can be </w:t>
      </w:r>
      <w:r w:rsidR="384AE5AE" w:rsidRPr="00703A0B">
        <w:rPr>
          <w:rFonts w:cs="Arial"/>
          <w:sz w:val="18"/>
          <w:szCs w:val="18"/>
        </w:rPr>
        <w:t xml:space="preserve">requested </w:t>
      </w:r>
      <w:r w:rsidR="74EDBE08" w:rsidRPr="00703A0B">
        <w:rPr>
          <w:rFonts w:cs="Arial"/>
          <w:sz w:val="18"/>
          <w:szCs w:val="18"/>
        </w:rPr>
        <w:t xml:space="preserve">by </w:t>
      </w:r>
      <w:r w:rsidR="3CD5B10C" w:rsidRPr="00703A0B">
        <w:rPr>
          <w:rFonts w:cs="Arial"/>
          <w:sz w:val="18"/>
          <w:szCs w:val="18"/>
        </w:rPr>
        <w:t xml:space="preserve">visiting </w:t>
      </w:r>
      <w:r w:rsidR="384AE5AE" w:rsidRPr="00703A0B">
        <w:rPr>
          <w:rFonts w:cs="Arial"/>
          <w:sz w:val="18"/>
          <w:szCs w:val="18"/>
        </w:rPr>
        <w:t xml:space="preserve">a </w:t>
      </w:r>
      <w:r w:rsidR="7BD716A4" w:rsidRPr="00703A0B">
        <w:rPr>
          <w:rFonts w:cs="Arial"/>
          <w:sz w:val="18"/>
          <w:szCs w:val="18"/>
        </w:rPr>
        <w:t xml:space="preserve">QBCC </w:t>
      </w:r>
      <w:r w:rsidR="3CD5B10C" w:rsidRPr="00703A0B">
        <w:rPr>
          <w:rFonts w:cs="Arial"/>
          <w:sz w:val="18"/>
          <w:szCs w:val="18"/>
        </w:rPr>
        <w:t xml:space="preserve">office or </w:t>
      </w:r>
      <w:r w:rsidR="2EA1AB54" w:rsidRPr="00703A0B">
        <w:rPr>
          <w:rFonts w:cs="Arial"/>
          <w:sz w:val="18"/>
          <w:szCs w:val="18"/>
        </w:rPr>
        <w:t xml:space="preserve">by </w:t>
      </w:r>
      <w:r w:rsidR="3CD5B10C" w:rsidRPr="00703A0B">
        <w:rPr>
          <w:rFonts w:cs="Arial"/>
          <w:sz w:val="18"/>
          <w:szCs w:val="18"/>
        </w:rPr>
        <w:t xml:space="preserve">contacting </w:t>
      </w:r>
      <w:r w:rsidR="2EA1AB54" w:rsidRPr="00703A0B">
        <w:rPr>
          <w:rFonts w:cs="Arial"/>
          <w:sz w:val="18"/>
          <w:szCs w:val="18"/>
        </w:rPr>
        <w:t xml:space="preserve">the QBCC </w:t>
      </w:r>
      <w:r w:rsidR="3CD5B10C" w:rsidRPr="00703A0B">
        <w:rPr>
          <w:rFonts w:cs="Arial"/>
          <w:sz w:val="18"/>
          <w:szCs w:val="18"/>
        </w:rPr>
        <w:t>via phone or email</w:t>
      </w:r>
      <w:r w:rsidR="1438268F" w:rsidRPr="00703A0B">
        <w:rPr>
          <w:rFonts w:cs="Arial"/>
          <w:sz w:val="18"/>
          <w:szCs w:val="18"/>
        </w:rPr>
        <w:t>.</w:t>
      </w:r>
    </w:p>
    <w:p w14:paraId="3D01E378" w14:textId="77777777" w:rsidR="00613607" w:rsidRPr="00703A0B" w:rsidRDefault="00613607" w:rsidP="00613607">
      <w:pPr>
        <w:rPr>
          <w:rFonts w:cs="Arial"/>
          <w:sz w:val="18"/>
          <w:szCs w:val="18"/>
        </w:rPr>
      </w:pPr>
    </w:p>
    <w:p w14:paraId="49EB4985" w14:textId="0583BA2E" w:rsidR="00624ED9" w:rsidRPr="00703A0B" w:rsidRDefault="4A23D734" w:rsidP="00613607">
      <w:pPr>
        <w:rPr>
          <w:rFonts w:cs="Arial"/>
          <w:sz w:val="18"/>
          <w:szCs w:val="18"/>
        </w:rPr>
      </w:pPr>
      <w:r w:rsidRPr="00703A0B">
        <w:rPr>
          <w:rFonts w:cs="Arial"/>
          <w:sz w:val="18"/>
          <w:szCs w:val="18"/>
        </w:rPr>
        <w:t>Brisbane</w:t>
      </w:r>
      <w:r w:rsidR="147743EA" w:rsidRPr="00703A0B">
        <w:rPr>
          <w:rFonts w:cs="Arial"/>
          <w:sz w:val="18"/>
          <w:szCs w:val="18"/>
        </w:rPr>
        <w:t xml:space="preserve"> </w:t>
      </w:r>
      <w:r w:rsidR="4D5F74E9" w:rsidRPr="00703A0B">
        <w:rPr>
          <w:rFonts w:cs="Arial"/>
          <w:sz w:val="18"/>
          <w:szCs w:val="18"/>
        </w:rPr>
        <w:t>O</w:t>
      </w:r>
      <w:r w:rsidR="147743EA" w:rsidRPr="00703A0B">
        <w:rPr>
          <w:rFonts w:cs="Arial"/>
          <w:sz w:val="18"/>
          <w:szCs w:val="18"/>
        </w:rPr>
        <w:t xml:space="preserve">ffice: </w:t>
      </w:r>
      <w:r w:rsidR="003E7F53" w:rsidRPr="00703A0B">
        <w:rPr>
          <w:rFonts w:cs="Arial"/>
          <w:sz w:val="18"/>
          <w:szCs w:val="18"/>
        </w:rPr>
        <w:t>488</w:t>
      </w:r>
      <w:r w:rsidR="1438268F" w:rsidRPr="00703A0B">
        <w:rPr>
          <w:rFonts w:cs="Arial"/>
          <w:sz w:val="18"/>
          <w:szCs w:val="18"/>
        </w:rPr>
        <w:t xml:space="preserve"> </w:t>
      </w:r>
      <w:r w:rsidR="003E7F53" w:rsidRPr="00703A0B">
        <w:rPr>
          <w:rFonts w:cs="Arial"/>
          <w:sz w:val="18"/>
          <w:szCs w:val="18"/>
        </w:rPr>
        <w:t>Lutwyche</w:t>
      </w:r>
      <w:r w:rsidR="1438268F" w:rsidRPr="00703A0B">
        <w:rPr>
          <w:rFonts w:cs="Arial"/>
          <w:sz w:val="18"/>
          <w:szCs w:val="18"/>
        </w:rPr>
        <w:t xml:space="preserve"> Road</w:t>
      </w:r>
      <w:r w:rsidR="0052029A" w:rsidRPr="00703A0B">
        <w:rPr>
          <w:rFonts w:cs="Arial"/>
          <w:sz w:val="18"/>
          <w:szCs w:val="18"/>
        </w:rPr>
        <w:t>,</w:t>
      </w:r>
      <w:r w:rsidR="1438268F" w:rsidRPr="00703A0B">
        <w:rPr>
          <w:rFonts w:cs="Arial"/>
          <w:sz w:val="18"/>
          <w:szCs w:val="18"/>
        </w:rPr>
        <w:t xml:space="preserve"> </w:t>
      </w:r>
      <w:proofErr w:type="gramStart"/>
      <w:r w:rsidR="00D33D08" w:rsidRPr="00703A0B">
        <w:rPr>
          <w:rFonts w:cs="Arial"/>
          <w:sz w:val="18"/>
          <w:szCs w:val="18"/>
        </w:rPr>
        <w:t>Lutwyche</w:t>
      </w:r>
      <w:bookmarkStart w:id="2" w:name="_Int_2T6dy62u"/>
      <w:r w:rsidR="1438268F" w:rsidRPr="00703A0B">
        <w:rPr>
          <w:rFonts w:cs="Arial"/>
          <w:sz w:val="18"/>
          <w:szCs w:val="18"/>
        </w:rPr>
        <w:t xml:space="preserve"> </w:t>
      </w:r>
      <w:r w:rsidR="00E563B6" w:rsidRPr="00703A0B">
        <w:rPr>
          <w:rFonts w:cs="Arial"/>
          <w:sz w:val="18"/>
          <w:szCs w:val="18"/>
        </w:rPr>
        <w:t xml:space="preserve"> </w:t>
      </w:r>
      <w:r w:rsidR="1438268F" w:rsidRPr="00703A0B">
        <w:rPr>
          <w:rFonts w:cs="Arial"/>
          <w:sz w:val="18"/>
          <w:szCs w:val="18"/>
        </w:rPr>
        <w:t>Qld</w:t>
      </w:r>
      <w:bookmarkEnd w:id="2"/>
      <w:proofErr w:type="gramEnd"/>
      <w:r w:rsidR="1438268F" w:rsidRPr="00703A0B">
        <w:rPr>
          <w:rFonts w:cs="Arial"/>
          <w:sz w:val="18"/>
          <w:szCs w:val="18"/>
        </w:rPr>
        <w:t xml:space="preserve"> </w:t>
      </w:r>
      <w:r w:rsidR="0080611B" w:rsidRPr="00703A0B">
        <w:rPr>
          <w:rFonts w:cs="Arial"/>
          <w:sz w:val="18"/>
          <w:szCs w:val="18"/>
        </w:rPr>
        <w:t xml:space="preserve"> </w:t>
      </w:r>
      <w:r w:rsidR="1438268F" w:rsidRPr="00703A0B">
        <w:rPr>
          <w:rFonts w:cs="Arial"/>
          <w:sz w:val="18"/>
          <w:szCs w:val="18"/>
        </w:rPr>
        <w:t>4</w:t>
      </w:r>
      <w:r w:rsidR="00D33D08" w:rsidRPr="00703A0B">
        <w:rPr>
          <w:rFonts w:cs="Arial"/>
          <w:sz w:val="18"/>
          <w:szCs w:val="18"/>
        </w:rPr>
        <w:t>030</w:t>
      </w:r>
    </w:p>
    <w:p w14:paraId="5CFC60CE" w14:textId="349F0942" w:rsidR="00710A7D" w:rsidRPr="00703A0B" w:rsidRDefault="00710A7D" w:rsidP="00710A7D">
      <w:pPr>
        <w:rPr>
          <w:rFonts w:cs="Arial"/>
          <w:sz w:val="18"/>
          <w:szCs w:val="18"/>
        </w:rPr>
      </w:pPr>
      <w:r w:rsidRPr="00703A0B">
        <w:rPr>
          <w:rFonts w:cs="Arial"/>
          <w:sz w:val="18"/>
          <w:szCs w:val="18"/>
        </w:rPr>
        <w:t xml:space="preserve">Gold Coast Office: </w:t>
      </w:r>
      <w:r w:rsidR="000225E1" w:rsidRPr="00703A0B">
        <w:rPr>
          <w:rFonts w:cs="Arial"/>
          <w:sz w:val="18"/>
          <w:szCs w:val="18"/>
        </w:rPr>
        <w:t>Level 5</w:t>
      </w:r>
      <w:r w:rsidR="00815D06" w:rsidRPr="00703A0B">
        <w:rPr>
          <w:rFonts w:cs="Arial"/>
          <w:sz w:val="18"/>
          <w:szCs w:val="18"/>
        </w:rPr>
        <w:t xml:space="preserve">, </w:t>
      </w:r>
      <w:r w:rsidR="009577B5" w:rsidRPr="00703A0B">
        <w:rPr>
          <w:rFonts w:cs="Arial"/>
          <w:sz w:val="18"/>
          <w:szCs w:val="18"/>
        </w:rPr>
        <w:t xml:space="preserve">35 </w:t>
      </w:r>
      <w:r w:rsidRPr="00703A0B">
        <w:rPr>
          <w:rFonts w:cs="Arial"/>
          <w:sz w:val="18"/>
          <w:szCs w:val="18"/>
        </w:rPr>
        <w:t>Robina Town Centre Dr</w:t>
      </w:r>
      <w:r w:rsidR="00AB7981" w:rsidRPr="00703A0B">
        <w:rPr>
          <w:rFonts w:cs="Arial"/>
          <w:sz w:val="18"/>
          <w:szCs w:val="18"/>
        </w:rPr>
        <w:t>ive</w:t>
      </w:r>
      <w:r w:rsidR="00601D06" w:rsidRPr="00703A0B">
        <w:rPr>
          <w:rFonts w:cs="Arial"/>
          <w:sz w:val="18"/>
          <w:szCs w:val="18"/>
        </w:rPr>
        <w:t>,</w:t>
      </w:r>
      <w:r w:rsidRPr="00703A0B">
        <w:rPr>
          <w:rFonts w:cs="Arial"/>
          <w:sz w:val="18"/>
          <w:szCs w:val="18"/>
        </w:rPr>
        <w:t xml:space="preserve"> </w:t>
      </w:r>
      <w:bookmarkStart w:id="3" w:name="_Int_hJiE0pAX"/>
      <w:proofErr w:type="gramStart"/>
      <w:r w:rsidRPr="00703A0B">
        <w:rPr>
          <w:rFonts w:cs="Arial"/>
          <w:sz w:val="18"/>
          <w:szCs w:val="18"/>
        </w:rPr>
        <w:t xml:space="preserve">Robina </w:t>
      </w:r>
      <w:r w:rsidR="00AB7981" w:rsidRPr="00703A0B">
        <w:rPr>
          <w:rFonts w:cs="Arial"/>
          <w:sz w:val="18"/>
          <w:szCs w:val="18"/>
        </w:rPr>
        <w:t xml:space="preserve"> </w:t>
      </w:r>
      <w:r w:rsidRPr="00703A0B">
        <w:rPr>
          <w:rFonts w:cs="Arial"/>
          <w:sz w:val="18"/>
          <w:szCs w:val="18"/>
        </w:rPr>
        <w:t>Qld</w:t>
      </w:r>
      <w:bookmarkEnd w:id="3"/>
      <w:proofErr w:type="gramEnd"/>
      <w:r w:rsidRPr="00703A0B">
        <w:rPr>
          <w:rFonts w:cs="Arial"/>
          <w:sz w:val="18"/>
          <w:szCs w:val="18"/>
        </w:rPr>
        <w:t xml:space="preserve"> </w:t>
      </w:r>
      <w:r w:rsidR="00AB7981" w:rsidRPr="00703A0B">
        <w:rPr>
          <w:rFonts w:cs="Arial"/>
          <w:sz w:val="18"/>
          <w:szCs w:val="18"/>
        </w:rPr>
        <w:t xml:space="preserve"> </w:t>
      </w:r>
      <w:r w:rsidRPr="00703A0B">
        <w:rPr>
          <w:rFonts w:cs="Arial"/>
          <w:sz w:val="18"/>
          <w:szCs w:val="18"/>
        </w:rPr>
        <w:t>4226</w:t>
      </w:r>
    </w:p>
    <w:p w14:paraId="2FB0E8E1" w14:textId="2268C96D" w:rsidR="00710A7D" w:rsidRPr="00703A0B" w:rsidRDefault="00710A7D" w:rsidP="00613607">
      <w:pPr>
        <w:rPr>
          <w:rFonts w:cs="Arial"/>
          <w:sz w:val="18"/>
          <w:szCs w:val="18"/>
        </w:rPr>
      </w:pPr>
      <w:r w:rsidRPr="00703A0B">
        <w:rPr>
          <w:rFonts w:cs="Arial"/>
          <w:sz w:val="18"/>
          <w:szCs w:val="18"/>
        </w:rPr>
        <w:t xml:space="preserve">Sunshine Coast Office: </w:t>
      </w:r>
      <w:r w:rsidR="00647CDD" w:rsidRPr="00703A0B">
        <w:rPr>
          <w:rFonts w:cs="Arial"/>
          <w:sz w:val="18"/>
          <w:szCs w:val="18"/>
        </w:rPr>
        <w:t xml:space="preserve">Ground </w:t>
      </w:r>
      <w:r w:rsidR="004C3459" w:rsidRPr="00703A0B">
        <w:rPr>
          <w:rFonts w:cs="Arial"/>
          <w:sz w:val="18"/>
          <w:szCs w:val="18"/>
        </w:rPr>
        <w:t xml:space="preserve">Floor, </w:t>
      </w:r>
      <w:r w:rsidR="00523854" w:rsidRPr="00703A0B">
        <w:rPr>
          <w:rFonts w:cs="Arial"/>
          <w:sz w:val="18"/>
          <w:szCs w:val="18"/>
        </w:rPr>
        <w:t>21 Carnaby Street</w:t>
      </w:r>
      <w:r w:rsidR="001D1B43" w:rsidRPr="00703A0B">
        <w:rPr>
          <w:rFonts w:cs="Arial"/>
          <w:sz w:val="18"/>
          <w:szCs w:val="18"/>
        </w:rPr>
        <w:t>,</w:t>
      </w:r>
      <w:r w:rsidR="00523854" w:rsidRPr="00703A0B">
        <w:rPr>
          <w:rFonts w:cs="Arial"/>
          <w:sz w:val="18"/>
          <w:szCs w:val="18"/>
        </w:rPr>
        <w:t xml:space="preserve"> </w:t>
      </w:r>
      <w:bookmarkStart w:id="4" w:name="_Int_zOGZRLl1"/>
      <w:proofErr w:type="gramStart"/>
      <w:r w:rsidR="00523854" w:rsidRPr="00703A0B">
        <w:rPr>
          <w:rFonts w:cs="Arial"/>
          <w:sz w:val="18"/>
          <w:szCs w:val="18"/>
        </w:rPr>
        <w:t xml:space="preserve">Maroochydore </w:t>
      </w:r>
      <w:r w:rsidR="00AB7981" w:rsidRPr="00703A0B">
        <w:rPr>
          <w:rFonts w:cs="Arial"/>
          <w:sz w:val="18"/>
          <w:szCs w:val="18"/>
        </w:rPr>
        <w:t xml:space="preserve"> </w:t>
      </w:r>
      <w:r w:rsidR="00523854" w:rsidRPr="00703A0B">
        <w:rPr>
          <w:rFonts w:cs="Arial"/>
          <w:sz w:val="18"/>
          <w:szCs w:val="18"/>
        </w:rPr>
        <w:t>Q</w:t>
      </w:r>
      <w:r w:rsidR="00DF7674" w:rsidRPr="00703A0B">
        <w:rPr>
          <w:rFonts w:cs="Arial"/>
          <w:sz w:val="18"/>
          <w:szCs w:val="18"/>
        </w:rPr>
        <w:t>ld</w:t>
      </w:r>
      <w:bookmarkEnd w:id="4"/>
      <w:proofErr w:type="gramEnd"/>
      <w:r w:rsidR="00523854" w:rsidRPr="00703A0B">
        <w:rPr>
          <w:rFonts w:cs="Arial"/>
          <w:sz w:val="18"/>
          <w:szCs w:val="18"/>
        </w:rPr>
        <w:t xml:space="preserve">  4558</w:t>
      </w:r>
    </w:p>
    <w:p w14:paraId="20D46EEC" w14:textId="681322A1" w:rsidR="002C1103" w:rsidRPr="00703A0B" w:rsidRDefault="438F138A" w:rsidP="002C1103">
      <w:pPr>
        <w:rPr>
          <w:rFonts w:cs="Arial"/>
          <w:sz w:val="18"/>
          <w:szCs w:val="18"/>
        </w:rPr>
      </w:pPr>
      <w:r w:rsidRPr="00703A0B">
        <w:rPr>
          <w:rFonts w:cs="Arial"/>
          <w:sz w:val="18"/>
          <w:szCs w:val="18"/>
        </w:rPr>
        <w:t>Cairns Office: 104</w:t>
      </w:r>
      <w:r w:rsidR="00C56204" w:rsidRPr="00703A0B">
        <w:rPr>
          <w:rFonts w:cs="Arial"/>
          <w:sz w:val="18"/>
          <w:szCs w:val="18"/>
        </w:rPr>
        <w:t>–</w:t>
      </w:r>
      <w:r w:rsidRPr="00703A0B">
        <w:rPr>
          <w:rFonts w:cs="Arial"/>
          <w:sz w:val="18"/>
          <w:szCs w:val="18"/>
        </w:rPr>
        <w:t>106 Mulgrave Road</w:t>
      </w:r>
      <w:r w:rsidR="00CA6E13" w:rsidRPr="00703A0B">
        <w:rPr>
          <w:rFonts w:cs="Arial"/>
          <w:sz w:val="18"/>
          <w:szCs w:val="18"/>
        </w:rPr>
        <w:t>,</w:t>
      </w:r>
      <w:r w:rsidRPr="00703A0B">
        <w:rPr>
          <w:rFonts w:cs="Arial"/>
          <w:sz w:val="18"/>
          <w:szCs w:val="18"/>
        </w:rPr>
        <w:t xml:space="preserve"> Parramatta </w:t>
      </w:r>
      <w:bookmarkStart w:id="5" w:name="_Int_7R2ugzyz"/>
      <w:proofErr w:type="gramStart"/>
      <w:r w:rsidRPr="00703A0B">
        <w:rPr>
          <w:rFonts w:cs="Arial"/>
          <w:sz w:val="18"/>
          <w:szCs w:val="18"/>
        </w:rPr>
        <w:t xml:space="preserve">Park </w:t>
      </w:r>
      <w:r w:rsidR="00AB7981" w:rsidRPr="00703A0B">
        <w:rPr>
          <w:rFonts w:cs="Arial"/>
          <w:sz w:val="18"/>
          <w:szCs w:val="18"/>
        </w:rPr>
        <w:t xml:space="preserve"> </w:t>
      </w:r>
      <w:r w:rsidRPr="00703A0B">
        <w:rPr>
          <w:rFonts w:cs="Arial"/>
          <w:sz w:val="18"/>
          <w:szCs w:val="18"/>
        </w:rPr>
        <w:t>Qld</w:t>
      </w:r>
      <w:bookmarkEnd w:id="5"/>
      <w:proofErr w:type="gramEnd"/>
      <w:r w:rsidRPr="00703A0B">
        <w:rPr>
          <w:rFonts w:cs="Arial"/>
          <w:sz w:val="18"/>
          <w:szCs w:val="18"/>
        </w:rPr>
        <w:t xml:space="preserve"> </w:t>
      </w:r>
      <w:r w:rsidR="008A386E" w:rsidRPr="00703A0B">
        <w:rPr>
          <w:rFonts w:cs="Arial"/>
          <w:sz w:val="18"/>
          <w:szCs w:val="18"/>
        </w:rPr>
        <w:t xml:space="preserve"> </w:t>
      </w:r>
      <w:r w:rsidRPr="00703A0B">
        <w:rPr>
          <w:rFonts w:cs="Arial"/>
          <w:sz w:val="18"/>
          <w:szCs w:val="18"/>
        </w:rPr>
        <w:t>4870</w:t>
      </w:r>
    </w:p>
    <w:p w14:paraId="6B1909AF" w14:textId="27A9E377" w:rsidR="00710A7D" w:rsidRPr="00703A0B" w:rsidRDefault="00710A7D" w:rsidP="00710A7D">
      <w:pPr>
        <w:rPr>
          <w:rFonts w:cs="Arial"/>
          <w:sz w:val="18"/>
          <w:szCs w:val="18"/>
        </w:rPr>
      </w:pPr>
      <w:r w:rsidRPr="00703A0B">
        <w:rPr>
          <w:rFonts w:cs="Arial"/>
          <w:sz w:val="18"/>
          <w:szCs w:val="18"/>
        </w:rPr>
        <w:t xml:space="preserve">Toowoomba Office: </w:t>
      </w:r>
      <w:r w:rsidR="00B274EC" w:rsidRPr="00703A0B">
        <w:rPr>
          <w:rFonts w:cs="Arial"/>
          <w:sz w:val="18"/>
          <w:szCs w:val="18"/>
        </w:rPr>
        <w:t xml:space="preserve">Unit 3, </w:t>
      </w:r>
      <w:r w:rsidRPr="00703A0B">
        <w:rPr>
          <w:rFonts w:cs="Arial"/>
          <w:sz w:val="18"/>
          <w:szCs w:val="18"/>
        </w:rPr>
        <w:t>200 Hume Street</w:t>
      </w:r>
      <w:r w:rsidR="00CA6E13" w:rsidRPr="00703A0B">
        <w:rPr>
          <w:rFonts w:cs="Arial"/>
          <w:sz w:val="18"/>
          <w:szCs w:val="18"/>
        </w:rPr>
        <w:t>,</w:t>
      </w:r>
      <w:r w:rsidRPr="00703A0B">
        <w:rPr>
          <w:rFonts w:cs="Arial"/>
          <w:sz w:val="18"/>
          <w:szCs w:val="18"/>
        </w:rPr>
        <w:t xml:space="preserve"> </w:t>
      </w:r>
      <w:bookmarkStart w:id="6" w:name="_Int_WfZTPVN2"/>
      <w:proofErr w:type="gramStart"/>
      <w:r w:rsidRPr="00703A0B">
        <w:rPr>
          <w:rFonts w:cs="Arial"/>
          <w:sz w:val="18"/>
          <w:szCs w:val="18"/>
        </w:rPr>
        <w:t xml:space="preserve">Toowoomba </w:t>
      </w:r>
      <w:r w:rsidR="008A386E" w:rsidRPr="00703A0B">
        <w:rPr>
          <w:rFonts w:cs="Arial"/>
          <w:sz w:val="18"/>
          <w:szCs w:val="18"/>
        </w:rPr>
        <w:t xml:space="preserve"> </w:t>
      </w:r>
      <w:r w:rsidRPr="00703A0B">
        <w:rPr>
          <w:rFonts w:cs="Arial"/>
          <w:sz w:val="18"/>
          <w:szCs w:val="18"/>
        </w:rPr>
        <w:t>Qld</w:t>
      </w:r>
      <w:bookmarkEnd w:id="6"/>
      <w:proofErr w:type="gramEnd"/>
      <w:r w:rsidRPr="00703A0B">
        <w:rPr>
          <w:rFonts w:cs="Arial"/>
          <w:sz w:val="18"/>
          <w:szCs w:val="18"/>
        </w:rPr>
        <w:t xml:space="preserve">  4350</w:t>
      </w:r>
    </w:p>
    <w:p w14:paraId="1CEB7A48" w14:textId="08639D43" w:rsidR="00710A7D" w:rsidRPr="00703A0B" w:rsidRDefault="00710A7D" w:rsidP="00710A7D">
      <w:pPr>
        <w:rPr>
          <w:rFonts w:cs="Arial"/>
          <w:sz w:val="18"/>
          <w:szCs w:val="18"/>
        </w:rPr>
      </w:pPr>
      <w:r w:rsidRPr="00703A0B">
        <w:rPr>
          <w:rFonts w:cs="Arial"/>
          <w:sz w:val="18"/>
          <w:szCs w:val="18"/>
        </w:rPr>
        <w:t>Maryborough Office: 302 Alice Street</w:t>
      </w:r>
      <w:r w:rsidR="00B22DA9" w:rsidRPr="00703A0B">
        <w:rPr>
          <w:rFonts w:cs="Arial"/>
          <w:sz w:val="18"/>
          <w:szCs w:val="18"/>
        </w:rPr>
        <w:t>,</w:t>
      </w:r>
      <w:r w:rsidRPr="00703A0B">
        <w:rPr>
          <w:rFonts w:cs="Arial"/>
          <w:sz w:val="18"/>
          <w:szCs w:val="18"/>
        </w:rPr>
        <w:t xml:space="preserve"> </w:t>
      </w:r>
      <w:bookmarkStart w:id="7" w:name="_Int_5gvjHlrc"/>
      <w:proofErr w:type="gramStart"/>
      <w:r w:rsidRPr="00703A0B">
        <w:rPr>
          <w:rFonts w:cs="Arial"/>
          <w:sz w:val="18"/>
          <w:szCs w:val="18"/>
        </w:rPr>
        <w:t xml:space="preserve">Maryborough </w:t>
      </w:r>
      <w:r w:rsidR="008A386E" w:rsidRPr="00703A0B">
        <w:rPr>
          <w:rFonts w:cs="Arial"/>
          <w:sz w:val="18"/>
          <w:szCs w:val="18"/>
        </w:rPr>
        <w:t xml:space="preserve"> </w:t>
      </w:r>
      <w:r w:rsidRPr="00703A0B">
        <w:rPr>
          <w:rFonts w:cs="Arial"/>
          <w:sz w:val="18"/>
          <w:szCs w:val="18"/>
        </w:rPr>
        <w:t>Qld</w:t>
      </w:r>
      <w:bookmarkEnd w:id="7"/>
      <w:proofErr w:type="gramEnd"/>
      <w:r w:rsidRPr="00703A0B">
        <w:rPr>
          <w:rFonts w:cs="Arial"/>
          <w:sz w:val="18"/>
          <w:szCs w:val="18"/>
        </w:rPr>
        <w:t xml:space="preserve">  4650 </w:t>
      </w:r>
    </w:p>
    <w:p w14:paraId="27D59944" w14:textId="395247CD" w:rsidR="0081316A" w:rsidRPr="00703A0B" w:rsidRDefault="0081316A" w:rsidP="0081316A">
      <w:pPr>
        <w:rPr>
          <w:rFonts w:cs="Arial"/>
          <w:sz w:val="18"/>
          <w:szCs w:val="18"/>
        </w:rPr>
      </w:pPr>
      <w:r w:rsidRPr="00703A0B">
        <w:rPr>
          <w:rFonts w:cs="Arial"/>
          <w:sz w:val="18"/>
          <w:szCs w:val="18"/>
        </w:rPr>
        <w:t>Townsville Office: Unit 2, 22 Hervey Range Road</w:t>
      </w:r>
      <w:r w:rsidR="00E51E54" w:rsidRPr="00703A0B">
        <w:rPr>
          <w:rFonts w:cs="Arial"/>
          <w:sz w:val="18"/>
          <w:szCs w:val="18"/>
        </w:rPr>
        <w:t>,</w:t>
      </w:r>
      <w:r w:rsidRPr="00703A0B">
        <w:rPr>
          <w:rFonts w:cs="Arial"/>
          <w:sz w:val="18"/>
          <w:szCs w:val="18"/>
        </w:rPr>
        <w:t xml:space="preserve"> Thuringowa </w:t>
      </w:r>
      <w:bookmarkStart w:id="8" w:name="_Int_sylO4qy8"/>
      <w:proofErr w:type="gramStart"/>
      <w:r w:rsidRPr="00703A0B">
        <w:rPr>
          <w:rFonts w:cs="Arial"/>
          <w:sz w:val="18"/>
          <w:szCs w:val="18"/>
        </w:rPr>
        <w:t xml:space="preserve">Central </w:t>
      </w:r>
      <w:r w:rsidR="002C72E7" w:rsidRPr="00703A0B">
        <w:rPr>
          <w:rFonts w:cs="Arial"/>
          <w:sz w:val="18"/>
          <w:szCs w:val="18"/>
        </w:rPr>
        <w:t xml:space="preserve"> </w:t>
      </w:r>
      <w:r w:rsidRPr="00703A0B">
        <w:rPr>
          <w:rFonts w:cs="Arial"/>
          <w:sz w:val="18"/>
          <w:szCs w:val="18"/>
        </w:rPr>
        <w:t>Qld</w:t>
      </w:r>
      <w:bookmarkEnd w:id="8"/>
      <w:proofErr w:type="gramEnd"/>
      <w:r w:rsidR="002C72E7" w:rsidRPr="00703A0B">
        <w:rPr>
          <w:rFonts w:cs="Arial"/>
          <w:sz w:val="18"/>
          <w:szCs w:val="18"/>
        </w:rPr>
        <w:t xml:space="preserve"> </w:t>
      </w:r>
      <w:r w:rsidRPr="00703A0B">
        <w:rPr>
          <w:rFonts w:cs="Arial"/>
          <w:sz w:val="18"/>
          <w:szCs w:val="18"/>
        </w:rPr>
        <w:t xml:space="preserve"> 4817</w:t>
      </w:r>
    </w:p>
    <w:p w14:paraId="535FC2DD" w14:textId="4019A55D" w:rsidR="00710A7D" w:rsidRPr="00703A0B" w:rsidRDefault="0081316A" w:rsidP="002C1103">
      <w:pPr>
        <w:rPr>
          <w:rFonts w:cs="Arial"/>
          <w:sz w:val="18"/>
          <w:szCs w:val="18"/>
        </w:rPr>
      </w:pPr>
      <w:r w:rsidRPr="00703A0B">
        <w:rPr>
          <w:rFonts w:cs="Arial"/>
          <w:sz w:val="18"/>
          <w:szCs w:val="18"/>
        </w:rPr>
        <w:t>Rockhampton Office: 194 Alma Street</w:t>
      </w:r>
      <w:r w:rsidR="00D54885" w:rsidRPr="00703A0B">
        <w:rPr>
          <w:rFonts w:cs="Arial"/>
          <w:sz w:val="18"/>
          <w:szCs w:val="18"/>
        </w:rPr>
        <w:t>,</w:t>
      </w:r>
      <w:r w:rsidRPr="00703A0B">
        <w:rPr>
          <w:rFonts w:cs="Arial"/>
          <w:sz w:val="18"/>
          <w:szCs w:val="18"/>
        </w:rPr>
        <w:t xml:space="preserve"> </w:t>
      </w:r>
      <w:bookmarkStart w:id="9" w:name="_Int_HcTmHy50"/>
      <w:proofErr w:type="gramStart"/>
      <w:r w:rsidRPr="00703A0B">
        <w:rPr>
          <w:rFonts w:cs="Arial"/>
          <w:sz w:val="18"/>
          <w:szCs w:val="18"/>
        </w:rPr>
        <w:t xml:space="preserve">Rockhampton </w:t>
      </w:r>
      <w:r w:rsidR="007B2877" w:rsidRPr="00703A0B">
        <w:rPr>
          <w:rFonts w:cs="Arial"/>
          <w:sz w:val="18"/>
          <w:szCs w:val="18"/>
        </w:rPr>
        <w:t xml:space="preserve"> </w:t>
      </w:r>
      <w:r w:rsidRPr="00703A0B">
        <w:rPr>
          <w:rFonts w:cs="Arial"/>
          <w:sz w:val="18"/>
          <w:szCs w:val="18"/>
        </w:rPr>
        <w:t>Qld</w:t>
      </w:r>
      <w:bookmarkEnd w:id="9"/>
      <w:proofErr w:type="gramEnd"/>
      <w:r w:rsidRPr="00703A0B">
        <w:rPr>
          <w:rFonts w:cs="Arial"/>
          <w:sz w:val="18"/>
          <w:szCs w:val="18"/>
        </w:rPr>
        <w:t xml:space="preserve">  4700</w:t>
      </w:r>
    </w:p>
    <w:p w14:paraId="69F8B356" w14:textId="27B1B821" w:rsidR="002C1103" w:rsidRPr="00703A0B" w:rsidRDefault="438F138A" w:rsidP="002C1103">
      <w:pPr>
        <w:rPr>
          <w:rFonts w:cs="Arial"/>
          <w:sz w:val="18"/>
          <w:szCs w:val="18"/>
        </w:rPr>
      </w:pPr>
      <w:r w:rsidRPr="00703A0B">
        <w:rPr>
          <w:rFonts w:cs="Arial"/>
          <w:sz w:val="18"/>
          <w:szCs w:val="18"/>
        </w:rPr>
        <w:t>Mackay Office: Tenancy 2, 42 East Gordon Street</w:t>
      </w:r>
      <w:r w:rsidR="00D54885" w:rsidRPr="00703A0B">
        <w:rPr>
          <w:rFonts w:cs="Arial"/>
          <w:sz w:val="18"/>
          <w:szCs w:val="18"/>
        </w:rPr>
        <w:t>,</w:t>
      </w:r>
      <w:r w:rsidRPr="00703A0B">
        <w:rPr>
          <w:rFonts w:cs="Arial"/>
          <w:sz w:val="18"/>
          <w:szCs w:val="18"/>
        </w:rPr>
        <w:t xml:space="preserve"> </w:t>
      </w:r>
      <w:bookmarkStart w:id="10" w:name="_Int_Ioim6dMv"/>
      <w:proofErr w:type="gramStart"/>
      <w:r w:rsidRPr="00703A0B">
        <w:rPr>
          <w:rFonts w:cs="Arial"/>
          <w:sz w:val="18"/>
          <w:szCs w:val="18"/>
        </w:rPr>
        <w:t xml:space="preserve">Mackay </w:t>
      </w:r>
      <w:r w:rsidR="007B2877" w:rsidRPr="00703A0B">
        <w:rPr>
          <w:rFonts w:cs="Arial"/>
          <w:sz w:val="18"/>
          <w:szCs w:val="18"/>
        </w:rPr>
        <w:t xml:space="preserve"> </w:t>
      </w:r>
      <w:r w:rsidRPr="00703A0B">
        <w:rPr>
          <w:rFonts w:cs="Arial"/>
          <w:sz w:val="18"/>
          <w:szCs w:val="18"/>
        </w:rPr>
        <w:t>Qld</w:t>
      </w:r>
      <w:bookmarkEnd w:id="10"/>
      <w:proofErr w:type="gramEnd"/>
      <w:r w:rsidRPr="00703A0B">
        <w:rPr>
          <w:rFonts w:cs="Arial"/>
          <w:sz w:val="18"/>
          <w:szCs w:val="18"/>
        </w:rPr>
        <w:t xml:space="preserve">  4740</w:t>
      </w:r>
    </w:p>
    <w:p w14:paraId="31404D27" w14:textId="67275C5A" w:rsidR="00613607" w:rsidRPr="00703A0B" w:rsidRDefault="00613607" w:rsidP="0311DE0C">
      <w:pPr>
        <w:rPr>
          <w:rFonts w:cs="Arial"/>
          <w:sz w:val="18"/>
          <w:szCs w:val="18"/>
        </w:rPr>
      </w:pPr>
    </w:p>
    <w:p w14:paraId="0ADC9CA0" w14:textId="03D6B780" w:rsidR="00613607" w:rsidRPr="00703A0B" w:rsidRDefault="1438268F" w:rsidP="00613607">
      <w:pPr>
        <w:rPr>
          <w:rFonts w:cs="Arial"/>
          <w:sz w:val="18"/>
          <w:szCs w:val="18"/>
        </w:rPr>
      </w:pPr>
      <w:r w:rsidRPr="00703A0B">
        <w:rPr>
          <w:rFonts w:cs="Arial"/>
          <w:sz w:val="18"/>
          <w:szCs w:val="18"/>
        </w:rPr>
        <w:t>T</w:t>
      </w:r>
      <w:r w:rsidR="3127A7EF" w:rsidRPr="00703A0B">
        <w:rPr>
          <w:rFonts w:cs="Arial"/>
          <w:sz w:val="18"/>
          <w:szCs w:val="18"/>
        </w:rPr>
        <w:t>elephone</w:t>
      </w:r>
      <w:r w:rsidRPr="00703A0B">
        <w:rPr>
          <w:rFonts w:cs="Arial"/>
          <w:sz w:val="18"/>
          <w:szCs w:val="18"/>
        </w:rPr>
        <w:t xml:space="preserve">: 139 333 </w:t>
      </w:r>
    </w:p>
    <w:p w14:paraId="4C71563B" w14:textId="2A70E0D4" w:rsidR="00613607" w:rsidRPr="00703A0B" w:rsidRDefault="1438268F" w:rsidP="00613607">
      <w:pPr>
        <w:rPr>
          <w:rFonts w:cs="Arial"/>
          <w:sz w:val="18"/>
          <w:szCs w:val="18"/>
        </w:rPr>
      </w:pPr>
      <w:r w:rsidRPr="00703A0B">
        <w:rPr>
          <w:rFonts w:cs="Arial"/>
          <w:sz w:val="18"/>
          <w:szCs w:val="18"/>
        </w:rPr>
        <w:t>E</w:t>
      </w:r>
      <w:r w:rsidR="3127A7EF" w:rsidRPr="00703A0B">
        <w:rPr>
          <w:rFonts w:cs="Arial"/>
          <w:sz w:val="18"/>
          <w:szCs w:val="18"/>
        </w:rPr>
        <w:t>mail</w:t>
      </w:r>
      <w:r w:rsidRPr="00703A0B">
        <w:rPr>
          <w:rFonts w:cs="Arial"/>
          <w:sz w:val="18"/>
          <w:szCs w:val="18"/>
        </w:rPr>
        <w:t xml:space="preserve">: </w:t>
      </w:r>
      <w:r w:rsidR="003E6ABA" w:rsidRPr="00703A0B">
        <w:rPr>
          <w:sz w:val="18"/>
          <w:szCs w:val="18"/>
        </w:rPr>
        <w:t>info@qbcc.qld.gov.au</w:t>
      </w:r>
      <w:r w:rsidRPr="00703A0B">
        <w:rPr>
          <w:rFonts w:cs="Arial"/>
          <w:sz w:val="18"/>
          <w:szCs w:val="18"/>
        </w:rPr>
        <w:t xml:space="preserve"> </w:t>
      </w:r>
    </w:p>
    <w:p w14:paraId="037FFBB6" w14:textId="476DF94F" w:rsidR="00613607" w:rsidRPr="00BB72F2" w:rsidRDefault="6F4A2B63" w:rsidP="0311DE0C">
      <w:pPr>
        <w:rPr>
          <w:rFonts w:cs="Arial"/>
          <w:sz w:val="18"/>
          <w:szCs w:val="18"/>
        </w:rPr>
      </w:pPr>
      <w:r w:rsidRPr="00BB72F2">
        <w:rPr>
          <w:rFonts w:cs="Arial"/>
          <w:sz w:val="18"/>
          <w:szCs w:val="18"/>
        </w:rPr>
        <w:t>W</w:t>
      </w:r>
      <w:r w:rsidR="1438268F" w:rsidRPr="00BB72F2">
        <w:rPr>
          <w:rFonts w:cs="Arial"/>
          <w:sz w:val="18"/>
          <w:szCs w:val="18"/>
        </w:rPr>
        <w:t>ebsite</w:t>
      </w:r>
      <w:r w:rsidRPr="00BB72F2">
        <w:rPr>
          <w:rFonts w:cs="Arial"/>
          <w:sz w:val="18"/>
          <w:szCs w:val="18"/>
        </w:rPr>
        <w:t>:</w:t>
      </w:r>
      <w:r w:rsidR="1438268F" w:rsidRPr="00BB72F2">
        <w:rPr>
          <w:rFonts w:cs="Arial"/>
          <w:sz w:val="18"/>
          <w:szCs w:val="18"/>
        </w:rPr>
        <w:t xml:space="preserve"> </w:t>
      </w:r>
      <w:r w:rsidR="003E6ABA" w:rsidRPr="00BB72F2">
        <w:rPr>
          <w:sz w:val="18"/>
          <w:szCs w:val="18"/>
        </w:rPr>
        <w:t>www.qbcc.qld.gov.au</w:t>
      </w:r>
      <w:r w:rsidR="1438268F" w:rsidRPr="00BB72F2">
        <w:rPr>
          <w:rFonts w:cs="Arial"/>
          <w:sz w:val="18"/>
          <w:szCs w:val="18"/>
        </w:rPr>
        <w:t xml:space="preserve"> </w:t>
      </w:r>
    </w:p>
    <w:p w14:paraId="40A59005" w14:textId="77777777" w:rsidR="00E37FA9" w:rsidRPr="00BB72F2" w:rsidRDefault="00E37FA9" w:rsidP="00385C9E"/>
    <w:p w14:paraId="7D42252A" w14:textId="502BF011" w:rsidR="00835D0D" w:rsidRPr="00703A0B" w:rsidRDefault="00835D0D" w:rsidP="2FCA7408">
      <w:pPr>
        <w:autoSpaceDE w:val="0"/>
        <w:autoSpaceDN w:val="0"/>
        <w:adjustRightInd w:val="0"/>
        <w:rPr>
          <w:rFonts w:cs="Arial"/>
          <w:b/>
          <w:bCs/>
          <w:sz w:val="20"/>
          <w:szCs w:val="20"/>
        </w:rPr>
      </w:pPr>
      <w:r w:rsidRPr="00703A0B">
        <w:rPr>
          <w:rFonts w:cs="Arial"/>
          <w:b/>
          <w:bCs/>
          <w:sz w:val="20"/>
          <w:szCs w:val="20"/>
        </w:rPr>
        <w:t>Open</w:t>
      </w:r>
      <w:r w:rsidRPr="00703A0B">
        <w:rPr>
          <w:rFonts w:cs="Arial"/>
          <w:sz w:val="20"/>
          <w:szCs w:val="20"/>
        </w:rPr>
        <w:t xml:space="preserve"> </w:t>
      </w:r>
      <w:r w:rsidRPr="00703A0B">
        <w:rPr>
          <w:rFonts w:cs="Arial"/>
          <w:b/>
          <w:bCs/>
          <w:sz w:val="20"/>
          <w:szCs w:val="20"/>
        </w:rPr>
        <w:t>data</w:t>
      </w:r>
      <w:r w:rsidRPr="00703A0B">
        <w:rPr>
          <w:rFonts w:cs="Arial"/>
          <w:sz w:val="20"/>
          <w:szCs w:val="20"/>
        </w:rPr>
        <w:t xml:space="preserve"> </w:t>
      </w:r>
    </w:p>
    <w:p w14:paraId="7363905D" w14:textId="189992EA" w:rsidR="0026778D" w:rsidRPr="00703A0B" w:rsidRDefault="5B62AE86" w:rsidP="00835D0D">
      <w:pPr>
        <w:rPr>
          <w:rFonts w:cs="Arial"/>
          <w:sz w:val="18"/>
          <w:szCs w:val="18"/>
        </w:rPr>
      </w:pPr>
      <w:r w:rsidRPr="00703A0B">
        <w:rPr>
          <w:rFonts w:cs="Arial"/>
          <w:sz w:val="18"/>
          <w:szCs w:val="18"/>
        </w:rPr>
        <w:t xml:space="preserve">In accordance </w:t>
      </w:r>
      <w:r w:rsidR="71A6E19B" w:rsidRPr="00703A0B">
        <w:rPr>
          <w:rFonts w:cs="Arial"/>
          <w:sz w:val="18"/>
          <w:szCs w:val="18"/>
        </w:rPr>
        <w:t xml:space="preserve">with Queensland Government </w:t>
      </w:r>
      <w:r w:rsidR="3A3EA87F" w:rsidRPr="00703A0B">
        <w:rPr>
          <w:rFonts w:cs="Arial"/>
          <w:sz w:val="18"/>
          <w:szCs w:val="18"/>
        </w:rPr>
        <w:t>requirements,</w:t>
      </w:r>
      <w:r w:rsidR="50B4A111" w:rsidRPr="00703A0B">
        <w:rPr>
          <w:rFonts w:cs="Arial"/>
          <w:sz w:val="18"/>
          <w:szCs w:val="18"/>
        </w:rPr>
        <w:t xml:space="preserve"> t</w:t>
      </w:r>
      <w:r w:rsidR="3D9F89D1" w:rsidRPr="00703A0B">
        <w:rPr>
          <w:rFonts w:cs="Arial"/>
          <w:sz w:val="18"/>
          <w:szCs w:val="18"/>
        </w:rPr>
        <w:t>he QBCC publish</w:t>
      </w:r>
      <w:r w:rsidR="213AA5F8" w:rsidRPr="00703A0B">
        <w:rPr>
          <w:rFonts w:cs="Arial"/>
          <w:sz w:val="18"/>
          <w:szCs w:val="18"/>
        </w:rPr>
        <w:t xml:space="preserve">es specific </w:t>
      </w:r>
      <w:r w:rsidR="3D9F89D1" w:rsidRPr="00703A0B">
        <w:rPr>
          <w:rFonts w:cs="Arial"/>
          <w:sz w:val="18"/>
          <w:szCs w:val="18"/>
        </w:rPr>
        <w:t xml:space="preserve">annual report content through the Open Data </w:t>
      </w:r>
      <w:r w:rsidR="00F11439" w:rsidRPr="00703A0B">
        <w:rPr>
          <w:rFonts w:cs="Arial"/>
          <w:sz w:val="18"/>
          <w:szCs w:val="18"/>
        </w:rPr>
        <w:t>P</w:t>
      </w:r>
      <w:r w:rsidR="3D9F89D1" w:rsidRPr="00703A0B">
        <w:rPr>
          <w:rFonts w:cs="Arial"/>
          <w:sz w:val="18"/>
          <w:szCs w:val="18"/>
        </w:rPr>
        <w:t xml:space="preserve">ortal at </w:t>
      </w:r>
      <w:hyperlink r:id="rId15" w:history="1">
        <w:r w:rsidR="00322A33" w:rsidRPr="00703A0B">
          <w:rPr>
            <w:rStyle w:val="Hyperlink"/>
            <w:color w:val="auto"/>
            <w:sz w:val="18"/>
            <w:szCs w:val="18"/>
          </w:rPr>
          <w:t>www.data.qld.gov.au</w:t>
        </w:r>
      </w:hyperlink>
      <w:r w:rsidR="3D9F89D1" w:rsidRPr="00703A0B">
        <w:rPr>
          <w:rFonts w:cs="Arial"/>
          <w:sz w:val="18"/>
          <w:szCs w:val="18"/>
        </w:rPr>
        <w:t xml:space="preserve">. </w:t>
      </w:r>
    </w:p>
    <w:p w14:paraId="45C8094F" w14:textId="77777777" w:rsidR="000C085D" w:rsidRPr="00703A0B" w:rsidRDefault="000C085D" w:rsidP="00835D0D">
      <w:pPr>
        <w:rPr>
          <w:rFonts w:cs="Arial"/>
          <w:sz w:val="18"/>
          <w:szCs w:val="18"/>
        </w:rPr>
      </w:pPr>
    </w:p>
    <w:p w14:paraId="16189CE9" w14:textId="1F20BB8E" w:rsidR="00835D0D" w:rsidRPr="00703A0B" w:rsidRDefault="3D9F89D1" w:rsidP="00835D0D">
      <w:pPr>
        <w:rPr>
          <w:rFonts w:cs="Arial"/>
          <w:sz w:val="18"/>
          <w:szCs w:val="18"/>
        </w:rPr>
      </w:pPr>
      <w:r w:rsidRPr="00703A0B">
        <w:rPr>
          <w:rFonts w:cs="Arial"/>
          <w:sz w:val="18"/>
          <w:szCs w:val="18"/>
        </w:rPr>
        <w:t xml:space="preserve">The published </w:t>
      </w:r>
      <w:r w:rsidR="3705F744" w:rsidRPr="00703A0B">
        <w:rPr>
          <w:rFonts w:cs="Arial"/>
          <w:sz w:val="18"/>
          <w:szCs w:val="18"/>
        </w:rPr>
        <w:t xml:space="preserve">information </w:t>
      </w:r>
      <w:r w:rsidR="71E9B56F" w:rsidRPr="00703A0B">
        <w:rPr>
          <w:rFonts w:cs="Arial"/>
          <w:sz w:val="18"/>
          <w:szCs w:val="18"/>
        </w:rPr>
        <w:t>covers the following areas</w:t>
      </w:r>
      <w:r w:rsidRPr="00703A0B">
        <w:rPr>
          <w:rFonts w:cs="Arial"/>
          <w:sz w:val="18"/>
          <w:szCs w:val="18"/>
        </w:rPr>
        <w:t>:</w:t>
      </w:r>
    </w:p>
    <w:p w14:paraId="34ECE10A" w14:textId="78F29F10" w:rsidR="009950E4" w:rsidRPr="00703A0B" w:rsidRDefault="6F6CC7D3" w:rsidP="00795F7A">
      <w:pPr>
        <w:pStyle w:val="ListParagraph"/>
        <w:numPr>
          <w:ilvl w:val="0"/>
          <w:numId w:val="5"/>
        </w:numPr>
        <w:rPr>
          <w:rFonts w:cs="Arial"/>
          <w:sz w:val="18"/>
          <w:szCs w:val="18"/>
        </w:rPr>
      </w:pPr>
      <w:r w:rsidRPr="00703A0B">
        <w:rPr>
          <w:rFonts w:cs="Arial"/>
          <w:sz w:val="18"/>
          <w:szCs w:val="18"/>
        </w:rPr>
        <w:t xml:space="preserve">Use of </w:t>
      </w:r>
      <w:r w:rsidR="76993312" w:rsidRPr="00703A0B">
        <w:rPr>
          <w:rFonts w:cs="Arial"/>
          <w:sz w:val="18"/>
          <w:szCs w:val="18"/>
        </w:rPr>
        <w:t>consultancy service</w:t>
      </w:r>
      <w:r w:rsidRPr="00703A0B">
        <w:rPr>
          <w:rFonts w:cs="Arial"/>
          <w:sz w:val="18"/>
          <w:szCs w:val="18"/>
        </w:rPr>
        <w:t>s</w:t>
      </w:r>
      <w:r w:rsidR="006B6F60" w:rsidRPr="00703A0B">
        <w:rPr>
          <w:rFonts w:cs="Arial"/>
          <w:sz w:val="18"/>
          <w:szCs w:val="18"/>
        </w:rPr>
        <w:t>.</w:t>
      </w:r>
    </w:p>
    <w:p w14:paraId="7E821D5D" w14:textId="3D0F7608" w:rsidR="009950E4" w:rsidRPr="00703A0B" w:rsidRDefault="02210486" w:rsidP="00795F7A">
      <w:pPr>
        <w:pStyle w:val="ListParagraph"/>
        <w:numPr>
          <w:ilvl w:val="0"/>
          <w:numId w:val="5"/>
        </w:numPr>
        <w:rPr>
          <w:rFonts w:cs="Arial"/>
          <w:sz w:val="18"/>
          <w:szCs w:val="18"/>
        </w:rPr>
      </w:pPr>
      <w:r w:rsidRPr="00703A0B">
        <w:rPr>
          <w:rFonts w:cs="Arial"/>
          <w:sz w:val="18"/>
          <w:szCs w:val="18"/>
        </w:rPr>
        <w:t xml:space="preserve">Expenditure </w:t>
      </w:r>
      <w:r w:rsidR="6B96A6E2" w:rsidRPr="00703A0B">
        <w:rPr>
          <w:rFonts w:cs="Arial"/>
          <w:sz w:val="18"/>
          <w:szCs w:val="18"/>
        </w:rPr>
        <w:t xml:space="preserve">on </w:t>
      </w:r>
      <w:r w:rsidR="76993312" w:rsidRPr="00703A0B">
        <w:rPr>
          <w:rFonts w:cs="Arial"/>
          <w:sz w:val="18"/>
          <w:szCs w:val="18"/>
        </w:rPr>
        <w:t>overseas travel</w:t>
      </w:r>
      <w:r w:rsidR="006B6F60" w:rsidRPr="00703A0B">
        <w:rPr>
          <w:rFonts w:cs="Arial"/>
          <w:sz w:val="18"/>
          <w:szCs w:val="18"/>
        </w:rPr>
        <w:t>.</w:t>
      </w:r>
      <w:r w:rsidR="76993312" w:rsidRPr="00703A0B">
        <w:rPr>
          <w:rFonts w:cs="Arial"/>
          <w:sz w:val="18"/>
          <w:szCs w:val="18"/>
        </w:rPr>
        <w:t xml:space="preserve"> </w:t>
      </w:r>
    </w:p>
    <w:p w14:paraId="4DBE3A9A" w14:textId="427C6C35" w:rsidR="004A74E3" w:rsidRPr="00703A0B" w:rsidRDefault="0B270458" w:rsidP="00795F7A">
      <w:pPr>
        <w:pStyle w:val="ListParagraph"/>
        <w:numPr>
          <w:ilvl w:val="0"/>
          <w:numId w:val="5"/>
        </w:numPr>
        <w:rPr>
          <w:rFonts w:cs="Arial"/>
          <w:sz w:val="18"/>
          <w:szCs w:val="18"/>
        </w:rPr>
      </w:pPr>
      <w:r w:rsidRPr="00703A0B">
        <w:rPr>
          <w:rFonts w:cs="Arial"/>
          <w:sz w:val="18"/>
          <w:szCs w:val="18"/>
        </w:rPr>
        <w:t>Spending</w:t>
      </w:r>
      <w:r w:rsidR="0D593130" w:rsidRPr="00703A0B">
        <w:rPr>
          <w:rFonts w:cs="Arial"/>
          <w:sz w:val="18"/>
          <w:szCs w:val="18"/>
        </w:rPr>
        <w:t xml:space="preserve"> </w:t>
      </w:r>
      <w:r w:rsidR="6B3E372C" w:rsidRPr="00703A0B">
        <w:rPr>
          <w:rFonts w:cs="Arial"/>
          <w:sz w:val="18"/>
          <w:szCs w:val="18"/>
        </w:rPr>
        <w:t>on</w:t>
      </w:r>
      <w:r w:rsidR="0D593130" w:rsidRPr="00703A0B">
        <w:rPr>
          <w:rFonts w:cs="Arial"/>
          <w:sz w:val="18"/>
          <w:szCs w:val="18"/>
        </w:rPr>
        <w:t xml:space="preserve"> </w:t>
      </w:r>
      <w:r w:rsidR="2B13A3C7" w:rsidRPr="00703A0B">
        <w:rPr>
          <w:rFonts w:cs="Arial"/>
          <w:sz w:val="18"/>
          <w:szCs w:val="18"/>
        </w:rPr>
        <w:t>language services</w:t>
      </w:r>
      <w:r w:rsidR="006B6F60" w:rsidRPr="00703A0B">
        <w:rPr>
          <w:rFonts w:cs="Arial"/>
          <w:sz w:val="18"/>
          <w:szCs w:val="18"/>
        </w:rPr>
        <w:t>.</w:t>
      </w:r>
    </w:p>
    <w:p w14:paraId="73F54FAE" w14:textId="3EB20B5D" w:rsidR="00835D0D" w:rsidRPr="00703A0B" w:rsidRDefault="6E14E5BD" w:rsidP="00795F7A">
      <w:pPr>
        <w:pStyle w:val="ListParagraph"/>
        <w:numPr>
          <w:ilvl w:val="0"/>
          <w:numId w:val="5"/>
        </w:numPr>
        <w:rPr>
          <w:rFonts w:cs="Arial"/>
          <w:sz w:val="18"/>
          <w:szCs w:val="18"/>
        </w:rPr>
      </w:pPr>
      <w:r w:rsidRPr="00703A0B">
        <w:rPr>
          <w:rFonts w:cs="Arial"/>
          <w:sz w:val="18"/>
          <w:szCs w:val="18"/>
        </w:rPr>
        <w:t>Complaints related to the Charter of Victims’ Rights</w:t>
      </w:r>
      <w:r w:rsidR="006B6F60" w:rsidRPr="00703A0B">
        <w:rPr>
          <w:rFonts w:cs="Arial"/>
          <w:sz w:val="18"/>
          <w:szCs w:val="18"/>
        </w:rPr>
        <w:t>.</w:t>
      </w:r>
    </w:p>
    <w:p w14:paraId="2DCBC24D" w14:textId="1A37D864" w:rsidR="002B02F7" w:rsidRPr="00703A0B" w:rsidRDefault="002B02F7" w:rsidP="0311DE0C">
      <w:pPr>
        <w:autoSpaceDE w:val="0"/>
        <w:autoSpaceDN w:val="0"/>
        <w:rPr>
          <w:rFonts w:cs="Arial"/>
          <w:strike/>
          <w:sz w:val="18"/>
          <w:szCs w:val="18"/>
          <w:highlight w:val="yellow"/>
        </w:rPr>
      </w:pPr>
    </w:p>
    <w:p w14:paraId="69E58FD1" w14:textId="5586C1F5" w:rsidR="00613607" w:rsidRPr="00703A0B" w:rsidRDefault="00613607" w:rsidP="2FCA7408">
      <w:pPr>
        <w:autoSpaceDE w:val="0"/>
        <w:autoSpaceDN w:val="0"/>
        <w:rPr>
          <w:rFonts w:cs="Arial"/>
          <w:b/>
          <w:bCs/>
          <w:sz w:val="20"/>
          <w:szCs w:val="20"/>
        </w:rPr>
      </w:pPr>
      <w:r w:rsidRPr="00703A0B">
        <w:rPr>
          <w:rFonts w:cs="Arial"/>
          <w:b/>
          <w:bCs/>
          <w:sz w:val="20"/>
          <w:szCs w:val="20"/>
        </w:rPr>
        <w:t xml:space="preserve">Acknowledgement of Country </w:t>
      </w:r>
    </w:p>
    <w:p w14:paraId="58AF9DF2" w14:textId="3F1EB5D8" w:rsidR="00740D19" w:rsidRPr="00703A0B" w:rsidRDefault="38476BCB" w:rsidP="00613607">
      <w:pPr>
        <w:rPr>
          <w:rFonts w:cs="Arial"/>
          <w:sz w:val="18"/>
          <w:szCs w:val="18"/>
        </w:rPr>
      </w:pPr>
      <w:r w:rsidRPr="00703A0B">
        <w:rPr>
          <w:rFonts w:cs="Arial"/>
          <w:sz w:val="18"/>
          <w:szCs w:val="18"/>
        </w:rPr>
        <w:t>The QBCC</w:t>
      </w:r>
      <w:r w:rsidR="4D23BB5C" w:rsidRPr="00703A0B">
        <w:rPr>
          <w:rFonts w:cs="Arial"/>
          <w:sz w:val="18"/>
          <w:szCs w:val="18"/>
        </w:rPr>
        <w:t xml:space="preserve"> </w:t>
      </w:r>
      <w:r w:rsidRPr="00703A0B">
        <w:rPr>
          <w:rFonts w:cs="Arial"/>
          <w:sz w:val="18"/>
          <w:szCs w:val="18"/>
        </w:rPr>
        <w:t>acknowledges the Aboriginal and Torres Strait Islander Traditional Custodians of Country throughout Australia and recognises the continuing connection to lands, water</w:t>
      </w:r>
      <w:r w:rsidR="5EA0939A" w:rsidRPr="00703A0B">
        <w:rPr>
          <w:rFonts w:cs="Arial"/>
          <w:sz w:val="18"/>
          <w:szCs w:val="18"/>
        </w:rPr>
        <w:t>,</w:t>
      </w:r>
      <w:r w:rsidRPr="00703A0B">
        <w:rPr>
          <w:rFonts w:cs="Arial"/>
          <w:sz w:val="18"/>
          <w:szCs w:val="18"/>
        </w:rPr>
        <w:t xml:space="preserve"> and communities. We pay our respect to Aboriginal and Torres Strait Islander cultures and to Elders past and present.</w:t>
      </w:r>
    </w:p>
    <w:p w14:paraId="34ACCE2C" w14:textId="77777777" w:rsidR="00740D19" w:rsidRPr="00703A0B" w:rsidRDefault="00740D19" w:rsidP="00613607">
      <w:pPr>
        <w:rPr>
          <w:rFonts w:cs="Arial"/>
          <w:sz w:val="18"/>
          <w:szCs w:val="18"/>
        </w:rPr>
      </w:pPr>
    </w:p>
    <w:p w14:paraId="289A7375" w14:textId="52D0BAE9" w:rsidR="0071218E" w:rsidRPr="00703A0B" w:rsidRDefault="38476BCB" w:rsidP="00613607">
      <w:pPr>
        <w:rPr>
          <w:rFonts w:cs="Arial"/>
          <w:sz w:val="18"/>
          <w:szCs w:val="18"/>
        </w:rPr>
      </w:pPr>
      <w:r w:rsidRPr="00703A0B">
        <w:rPr>
          <w:rFonts w:cs="Arial"/>
          <w:sz w:val="18"/>
          <w:szCs w:val="18"/>
        </w:rPr>
        <w:t>The QBCC is dedicated to advancing reconciliation and building a diverse workplace by adopting inclusive practices, encouraging learning, supporting tolerance and understanding, and respecting the diversity and traditions of Aboriginal and Torres Strait Islander communities. Our approach as an organisation will demonstrate commitment and enhance adoption within the wider community</w:t>
      </w:r>
      <w:r w:rsidR="54DE296C" w:rsidRPr="00703A0B">
        <w:rPr>
          <w:rFonts w:cs="Arial"/>
          <w:sz w:val="18"/>
          <w:szCs w:val="18"/>
        </w:rPr>
        <w:t>.</w:t>
      </w:r>
    </w:p>
    <w:p w14:paraId="1786043B" w14:textId="77777777" w:rsidR="00740D19" w:rsidRPr="00703A0B" w:rsidRDefault="00740D19" w:rsidP="00613607">
      <w:pPr>
        <w:rPr>
          <w:rFonts w:cs="Arial"/>
          <w:sz w:val="18"/>
          <w:szCs w:val="18"/>
        </w:rPr>
      </w:pPr>
    </w:p>
    <w:p w14:paraId="43964E86" w14:textId="77777777" w:rsidR="00442375" w:rsidRPr="00703A0B" w:rsidRDefault="00442375">
      <w:pPr>
        <w:rPr>
          <w:rFonts w:eastAsiaTheme="majorEastAsia" w:cs="Arial"/>
          <w:sz w:val="28"/>
        </w:rPr>
      </w:pPr>
      <w:r w:rsidRPr="00703A0B">
        <w:rPr>
          <w:rFonts w:eastAsiaTheme="majorEastAsia" w:cs="Arial"/>
          <w:sz w:val="28"/>
        </w:rPr>
        <w:br w:type="page"/>
      </w:r>
    </w:p>
    <w:p w14:paraId="419D161B" w14:textId="77777777" w:rsidR="00713E8C" w:rsidRPr="00703A0B" w:rsidRDefault="00713E8C" w:rsidP="00713E8C">
      <w:pPr>
        <w:pStyle w:val="Heading1"/>
        <w:rPr>
          <w:rFonts w:cs="Arial"/>
          <w:szCs w:val="48"/>
        </w:rPr>
      </w:pPr>
      <w:bookmarkStart w:id="11" w:name="_Toc234333455"/>
      <w:bookmarkStart w:id="12" w:name="_Toc234563375"/>
      <w:bookmarkStart w:id="13" w:name="_Toc234909761"/>
      <w:bookmarkStart w:id="14" w:name="_Toc238101669"/>
      <w:bookmarkStart w:id="15" w:name="_Toc206493005"/>
      <w:r w:rsidRPr="00703A0B">
        <w:rPr>
          <w:rFonts w:cs="Arial"/>
        </w:rPr>
        <w:lastRenderedPageBreak/>
        <w:t>Table of contents</w:t>
      </w:r>
      <w:bookmarkEnd w:id="11"/>
      <w:bookmarkEnd w:id="12"/>
      <w:bookmarkEnd w:id="13"/>
      <w:bookmarkEnd w:id="14"/>
      <w:r w:rsidRPr="00703A0B">
        <w:rPr>
          <w:rFonts w:cs="Arial"/>
        </w:rPr>
        <w:t xml:space="preserve"> </w:t>
      </w:r>
    </w:p>
    <w:p w14:paraId="2554E935" w14:textId="77777777" w:rsidR="00BA3906" w:rsidRPr="00703A0B" w:rsidRDefault="00BA3906" w:rsidP="00BA3906"/>
    <w:p w14:paraId="09F5E1ED" w14:textId="560F2947" w:rsidR="00460D76" w:rsidRPr="00BB72F2" w:rsidRDefault="00460D76">
      <w:pPr>
        <w:pStyle w:val="TOC1"/>
        <w:rPr>
          <w:rFonts w:asciiTheme="minorHAnsi" w:hAnsiTheme="minorHAnsi"/>
          <w:noProof w:val="0"/>
          <w:kern w:val="2"/>
          <w:sz w:val="24"/>
          <w:lang w:eastAsia="en-AU"/>
          <w14:ligatures w14:val="standardContextual"/>
        </w:rPr>
      </w:pPr>
      <w:r w:rsidRPr="00BB72F2">
        <w:rPr>
          <w:noProof w:val="0"/>
        </w:rPr>
        <w:t>Letter of compliance</w:t>
      </w:r>
      <w:r w:rsidRPr="00BB72F2">
        <w:rPr>
          <w:noProof w:val="0"/>
          <w:webHidden/>
        </w:rPr>
        <w:tab/>
      </w:r>
      <w:r w:rsidR="00D62D78" w:rsidRPr="00BB72F2">
        <w:rPr>
          <w:noProof w:val="0"/>
          <w:webHidden/>
        </w:rPr>
        <w:t>1</w:t>
      </w:r>
    </w:p>
    <w:p w14:paraId="38E8EBCF" w14:textId="6E6FBCB8" w:rsidR="00460D76" w:rsidRPr="00BB72F2" w:rsidRDefault="00460D76">
      <w:pPr>
        <w:pStyle w:val="TOC1"/>
        <w:rPr>
          <w:rFonts w:asciiTheme="minorHAnsi" w:hAnsiTheme="minorHAnsi"/>
          <w:noProof w:val="0"/>
          <w:kern w:val="2"/>
          <w:sz w:val="24"/>
          <w:lang w:eastAsia="en-AU"/>
          <w14:ligatures w14:val="standardContextual"/>
        </w:rPr>
      </w:pPr>
      <w:r w:rsidRPr="00BB72F2">
        <w:rPr>
          <w:noProof w:val="0"/>
        </w:rPr>
        <w:t>Chair’s message</w:t>
      </w:r>
      <w:r w:rsidRPr="00BB72F2">
        <w:rPr>
          <w:noProof w:val="0"/>
          <w:webHidden/>
        </w:rPr>
        <w:tab/>
      </w:r>
      <w:r w:rsidR="00D62D78" w:rsidRPr="00BB72F2">
        <w:rPr>
          <w:noProof w:val="0"/>
          <w:webHidden/>
        </w:rPr>
        <w:t>2</w:t>
      </w:r>
    </w:p>
    <w:p w14:paraId="5AAB2C34" w14:textId="0E425436" w:rsidR="00460D76" w:rsidRPr="00BB72F2" w:rsidRDefault="00460D76">
      <w:pPr>
        <w:pStyle w:val="TOC1"/>
        <w:rPr>
          <w:rFonts w:asciiTheme="minorHAnsi" w:hAnsiTheme="minorHAnsi"/>
          <w:noProof w:val="0"/>
          <w:kern w:val="2"/>
          <w:sz w:val="24"/>
          <w:lang w:eastAsia="en-AU"/>
          <w14:ligatures w14:val="standardContextual"/>
        </w:rPr>
      </w:pPr>
      <w:r w:rsidRPr="00BB72F2">
        <w:rPr>
          <w:noProof w:val="0"/>
        </w:rPr>
        <w:t>Chief Executive Officer and Commissioner’s foreword</w:t>
      </w:r>
      <w:r w:rsidRPr="00BB72F2">
        <w:rPr>
          <w:noProof w:val="0"/>
          <w:webHidden/>
        </w:rPr>
        <w:tab/>
      </w:r>
      <w:r w:rsidR="00D62D78" w:rsidRPr="00BB72F2">
        <w:rPr>
          <w:noProof w:val="0"/>
          <w:webHidden/>
        </w:rPr>
        <w:t>3</w:t>
      </w:r>
    </w:p>
    <w:p w14:paraId="73CBB615" w14:textId="26F0EEF1" w:rsidR="00460D76" w:rsidRPr="00BB72F2" w:rsidRDefault="00460D76">
      <w:pPr>
        <w:pStyle w:val="TOC1"/>
        <w:rPr>
          <w:rFonts w:asciiTheme="minorHAnsi" w:hAnsiTheme="minorHAnsi"/>
          <w:noProof w:val="0"/>
          <w:kern w:val="2"/>
          <w:sz w:val="24"/>
          <w:lang w:eastAsia="en-AU"/>
          <w14:ligatures w14:val="standardContextual"/>
        </w:rPr>
      </w:pPr>
      <w:r w:rsidRPr="00BB72F2">
        <w:rPr>
          <w:noProof w:val="0"/>
        </w:rPr>
        <w:t>Introduction</w:t>
      </w:r>
      <w:r w:rsidRPr="00BB72F2">
        <w:rPr>
          <w:noProof w:val="0"/>
          <w:webHidden/>
        </w:rPr>
        <w:tab/>
      </w:r>
      <w:r w:rsidR="00D62D78" w:rsidRPr="00BB72F2">
        <w:rPr>
          <w:noProof w:val="0"/>
          <w:webHidden/>
        </w:rPr>
        <w:t>4</w:t>
      </w:r>
    </w:p>
    <w:p w14:paraId="691532BF" w14:textId="77DA87E2" w:rsidR="00460D76" w:rsidRPr="005B5A31" w:rsidRDefault="00460D76">
      <w:pPr>
        <w:pStyle w:val="TOC2"/>
        <w:tabs>
          <w:tab w:val="right" w:leader="dot" w:pos="10450"/>
        </w:tabs>
        <w:rPr>
          <w:rFonts w:asciiTheme="minorHAnsi" w:hAnsiTheme="minorHAnsi"/>
          <w:kern w:val="2"/>
          <w:sz w:val="24"/>
          <w:lang w:eastAsia="en-AU"/>
          <w14:ligatures w14:val="standardContextual"/>
        </w:rPr>
      </w:pPr>
      <w:r w:rsidRPr="00703A0B">
        <w:t>About the QBCC</w:t>
      </w:r>
      <w:r w:rsidRPr="005B5A31">
        <w:rPr>
          <w:webHidden/>
        </w:rPr>
        <w:tab/>
      </w:r>
      <w:r w:rsidR="004876D1" w:rsidRPr="005B5A31">
        <w:rPr>
          <w:webHidden/>
        </w:rPr>
        <w:t>4</w:t>
      </w:r>
    </w:p>
    <w:p w14:paraId="6D48B19C" w14:textId="59A3098C" w:rsidR="00460D76" w:rsidRPr="005B5A31" w:rsidRDefault="00460D76">
      <w:pPr>
        <w:pStyle w:val="TOC1"/>
        <w:rPr>
          <w:rFonts w:asciiTheme="minorHAnsi" w:hAnsiTheme="minorHAnsi"/>
          <w:noProof w:val="0"/>
          <w:kern w:val="2"/>
          <w:sz w:val="24"/>
          <w:lang w:eastAsia="en-AU"/>
          <w14:ligatures w14:val="standardContextual"/>
        </w:rPr>
      </w:pPr>
      <w:r w:rsidRPr="005B5A31">
        <w:rPr>
          <w:noProof w:val="0"/>
        </w:rPr>
        <w:t>Operational performance</w:t>
      </w:r>
      <w:r w:rsidRPr="005B5A31">
        <w:rPr>
          <w:noProof w:val="0"/>
          <w:webHidden/>
        </w:rPr>
        <w:tab/>
      </w:r>
      <w:r w:rsidR="004876D1" w:rsidRPr="005B5A31">
        <w:rPr>
          <w:noProof w:val="0"/>
          <w:webHidden/>
        </w:rPr>
        <w:t>7</w:t>
      </w:r>
    </w:p>
    <w:p w14:paraId="18D2A0EA" w14:textId="75C32358" w:rsidR="00460D76" w:rsidRPr="005B5A31" w:rsidRDefault="00460D76">
      <w:pPr>
        <w:pStyle w:val="TOC2"/>
        <w:tabs>
          <w:tab w:val="right" w:leader="dot" w:pos="10450"/>
        </w:tabs>
        <w:rPr>
          <w:rFonts w:asciiTheme="minorHAnsi" w:hAnsiTheme="minorHAnsi"/>
          <w:kern w:val="2"/>
          <w:sz w:val="24"/>
          <w:lang w:eastAsia="en-AU"/>
          <w14:ligatures w14:val="standardContextual"/>
        </w:rPr>
      </w:pPr>
      <w:r w:rsidRPr="00703A0B">
        <w:t>Licensing</w:t>
      </w:r>
      <w:r w:rsidRPr="005B5A31">
        <w:rPr>
          <w:webHidden/>
        </w:rPr>
        <w:tab/>
      </w:r>
      <w:r w:rsidR="004876D1" w:rsidRPr="005B5A31">
        <w:rPr>
          <w:webHidden/>
        </w:rPr>
        <w:t>7</w:t>
      </w:r>
    </w:p>
    <w:p w14:paraId="6373F291" w14:textId="2C15F15C" w:rsidR="00460D76" w:rsidRPr="005B5A31" w:rsidRDefault="00460D76">
      <w:pPr>
        <w:pStyle w:val="TOC2"/>
        <w:tabs>
          <w:tab w:val="right" w:leader="dot" w:pos="10450"/>
        </w:tabs>
        <w:rPr>
          <w:rFonts w:asciiTheme="minorHAnsi" w:hAnsiTheme="minorHAnsi"/>
          <w:kern w:val="2"/>
          <w:sz w:val="24"/>
          <w:lang w:eastAsia="en-AU"/>
          <w14:ligatures w14:val="standardContextual"/>
        </w:rPr>
      </w:pPr>
      <w:r w:rsidRPr="00703A0B">
        <w:t>Dispute resolution</w:t>
      </w:r>
      <w:r w:rsidRPr="005B5A31">
        <w:rPr>
          <w:webHidden/>
        </w:rPr>
        <w:tab/>
        <w:t>1</w:t>
      </w:r>
      <w:r w:rsidR="004876D1" w:rsidRPr="005B5A31">
        <w:rPr>
          <w:webHidden/>
        </w:rPr>
        <w:t>1</w:t>
      </w:r>
    </w:p>
    <w:p w14:paraId="722DA267" w14:textId="1E3CE407" w:rsidR="00460D76" w:rsidRPr="005B5A31" w:rsidRDefault="00460D76">
      <w:pPr>
        <w:pStyle w:val="TOC2"/>
        <w:tabs>
          <w:tab w:val="right" w:leader="dot" w:pos="10450"/>
        </w:tabs>
        <w:rPr>
          <w:rFonts w:asciiTheme="minorHAnsi" w:hAnsiTheme="minorHAnsi"/>
          <w:kern w:val="2"/>
          <w:sz w:val="24"/>
          <w:lang w:eastAsia="en-AU"/>
          <w14:ligatures w14:val="standardContextual"/>
        </w:rPr>
      </w:pPr>
      <w:r w:rsidRPr="00703A0B">
        <w:t>Internal review</w:t>
      </w:r>
      <w:r w:rsidRPr="005B5A31">
        <w:rPr>
          <w:webHidden/>
        </w:rPr>
        <w:tab/>
      </w:r>
      <w:r w:rsidR="004876D1" w:rsidRPr="005B5A31">
        <w:rPr>
          <w:webHidden/>
        </w:rPr>
        <w:t>12</w:t>
      </w:r>
    </w:p>
    <w:p w14:paraId="5BBC41AD" w14:textId="3D57AE21" w:rsidR="00460D76" w:rsidRPr="005B5A31" w:rsidRDefault="00460D76">
      <w:pPr>
        <w:pStyle w:val="TOC2"/>
        <w:tabs>
          <w:tab w:val="right" w:leader="dot" w:pos="10450"/>
        </w:tabs>
        <w:rPr>
          <w:rFonts w:asciiTheme="minorHAnsi" w:hAnsiTheme="minorHAnsi"/>
          <w:kern w:val="2"/>
          <w:sz w:val="24"/>
          <w:lang w:eastAsia="en-AU"/>
          <w14:ligatures w14:val="standardContextual"/>
        </w:rPr>
      </w:pPr>
      <w:r w:rsidRPr="00703A0B">
        <w:t>Compliance and enforcement</w:t>
      </w:r>
      <w:r w:rsidRPr="005B5A31">
        <w:rPr>
          <w:webHidden/>
        </w:rPr>
        <w:tab/>
      </w:r>
      <w:r w:rsidR="008C6A06" w:rsidRPr="005B5A31">
        <w:rPr>
          <w:webHidden/>
        </w:rPr>
        <w:t>13</w:t>
      </w:r>
    </w:p>
    <w:p w14:paraId="60307837" w14:textId="78D4FD9D" w:rsidR="00460D76" w:rsidRPr="005B5A31" w:rsidRDefault="00460D76">
      <w:pPr>
        <w:pStyle w:val="TOC2"/>
        <w:tabs>
          <w:tab w:val="right" w:leader="dot" w:pos="10450"/>
        </w:tabs>
        <w:rPr>
          <w:rFonts w:asciiTheme="minorHAnsi" w:hAnsiTheme="minorHAnsi"/>
          <w:kern w:val="2"/>
          <w:sz w:val="24"/>
          <w:lang w:eastAsia="en-AU"/>
          <w14:ligatures w14:val="standardContextual"/>
        </w:rPr>
      </w:pPr>
      <w:r w:rsidRPr="00703A0B">
        <w:t>Queensland Home Warranty Scheme (QHWS)</w:t>
      </w:r>
      <w:r w:rsidRPr="005B5A31">
        <w:rPr>
          <w:webHidden/>
        </w:rPr>
        <w:tab/>
      </w:r>
      <w:r w:rsidR="008C6A06" w:rsidRPr="005B5A31">
        <w:rPr>
          <w:webHidden/>
        </w:rPr>
        <w:t>17</w:t>
      </w:r>
    </w:p>
    <w:p w14:paraId="3E80C52D" w14:textId="58D08E40" w:rsidR="00460D76" w:rsidRPr="005B5A31" w:rsidRDefault="00460D76">
      <w:pPr>
        <w:pStyle w:val="TOC2"/>
        <w:tabs>
          <w:tab w:val="right" w:leader="dot" w:pos="10450"/>
        </w:tabs>
        <w:rPr>
          <w:rFonts w:asciiTheme="minorHAnsi" w:hAnsiTheme="minorHAnsi"/>
          <w:kern w:val="2"/>
          <w:sz w:val="24"/>
          <w:lang w:eastAsia="en-AU"/>
          <w14:ligatures w14:val="standardContextual"/>
        </w:rPr>
      </w:pPr>
      <w:r w:rsidRPr="00703A0B">
        <w:t>Adjudication</w:t>
      </w:r>
      <w:r w:rsidRPr="005B5A31">
        <w:rPr>
          <w:webHidden/>
        </w:rPr>
        <w:tab/>
      </w:r>
      <w:r w:rsidR="008C6A06" w:rsidRPr="005B5A31">
        <w:rPr>
          <w:webHidden/>
        </w:rPr>
        <w:t>19</w:t>
      </w:r>
    </w:p>
    <w:p w14:paraId="6D19181A" w14:textId="0D26E7D6" w:rsidR="00460D76" w:rsidRPr="005B5A31" w:rsidRDefault="00460D76">
      <w:pPr>
        <w:pStyle w:val="TOC2"/>
        <w:tabs>
          <w:tab w:val="right" w:leader="dot" w:pos="10450"/>
        </w:tabs>
        <w:rPr>
          <w:rFonts w:asciiTheme="minorHAnsi" w:hAnsiTheme="minorHAnsi"/>
          <w:kern w:val="2"/>
          <w:sz w:val="24"/>
          <w:lang w:eastAsia="en-AU"/>
          <w14:ligatures w14:val="standardContextual"/>
        </w:rPr>
      </w:pPr>
      <w:r w:rsidRPr="00703A0B">
        <w:t>Frontline service</w:t>
      </w:r>
      <w:r w:rsidRPr="005B5A31">
        <w:rPr>
          <w:webHidden/>
        </w:rPr>
        <w:tab/>
      </w:r>
      <w:r w:rsidR="008C6A06" w:rsidRPr="005B5A31">
        <w:rPr>
          <w:webHidden/>
        </w:rPr>
        <w:t>22</w:t>
      </w:r>
    </w:p>
    <w:p w14:paraId="76BE8598" w14:textId="6E626DE4" w:rsidR="00460D76" w:rsidRPr="005B5A31" w:rsidRDefault="00460D76">
      <w:pPr>
        <w:pStyle w:val="TOC2"/>
        <w:tabs>
          <w:tab w:val="right" w:leader="dot" w:pos="10450"/>
        </w:tabs>
        <w:rPr>
          <w:rFonts w:asciiTheme="minorHAnsi" w:hAnsiTheme="minorHAnsi"/>
          <w:kern w:val="2"/>
          <w:sz w:val="24"/>
          <w:lang w:eastAsia="en-AU"/>
          <w14:ligatures w14:val="standardContextual"/>
        </w:rPr>
      </w:pPr>
      <w:r w:rsidRPr="00703A0B">
        <w:t>Education and engagement</w:t>
      </w:r>
      <w:r w:rsidRPr="005B5A31">
        <w:rPr>
          <w:webHidden/>
        </w:rPr>
        <w:tab/>
      </w:r>
      <w:r w:rsidR="008C6A06" w:rsidRPr="005B5A31">
        <w:rPr>
          <w:webHidden/>
        </w:rPr>
        <w:t>25</w:t>
      </w:r>
    </w:p>
    <w:p w14:paraId="061804A5" w14:textId="2A61B119" w:rsidR="00460D76" w:rsidRPr="005B5A31" w:rsidRDefault="00460D76">
      <w:pPr>
        <w:pStyle w:val="TOC1"/>
        <w:rPr>
          <w:rFonts w:asciiTheme="minorHAnsi" w:hAnsiTheme="minorHAnsi"/>
          <w:noProof w:val="0"/>
          <w:kern w:val="2"/>
          <w:sz w:val="24"/>
          <w:lang w:eastAsia="en-AU"/>
          <w14:ligatures w14:val="standardContextual"/>
        </w:rPr>
      </w:pPr>
      <w:r w:rsidRPr="005B5A31">
        <w:rPr>
          <w:noProof w:val="0"/>
        </w:rPr>
        <w:t>Organisation</w:t>
      </w:r>
      <w:r w:rsidRPr="005B5A31">
        <w:rPr>
          <w:noProof w:val="0"/>
          <w:webHidden/>
        </w:rPr>
        <w:tab/>
      </w:r>
      <w:r w:rsidR="008C6A06" w:rsidRPr="005B5A31">
        <w:rPr>
          <w:noProof w:val="0"/>
          <w:webHidden/>
        </w:rPr>
        <w:t>27</w:t>
      </w:r>
    </w:p>
    <w:p w14:paraId="6276DB1F" w14:textId="6233AF18" w:rsidR="00460D76" w:rsidRPr="005B5A31" w:rsidRDefault="00460D76">
      <w:pPr>
        <w:pStyle w:val="TOC2"/>
        <w:tabs>
          <w:tab w:val="right" w:leader="dot" w:pos="10450"/>
        </w:tabs>
        <w:rPr>
          <w:rFonts w:asciiTheme="minorHAnsi" w:hAnsiTheme="minorHAnsi"/>
          <w:kern w:val="2"/>
          <w:sz w:val="24"/>
          <w:lang w:eastAsia="en-AU"/>
          <w14:ligatures w14:val="standardContextual"/>
        </w:rPr>
      </w:pPr>
      <w:r w:rsidRPr="00703A0B">
        <w:t>Organisational structure</w:t>
      </w:r>
      <w:r w:rsidRPr="005B5A31">
        <w:rPr>
          <w:webHidden/>
        </w:rPr>
        <w:tab/>
      </w:r>
      <w:r w:rsidR="008C6A06" w:rsidRPr="005B5A31">
        <w:rPr>
          <w:webHidden/>
        </w:rPr>
        <w:t>2</w:t>
      </w:r>
      <w:r w:rsidR="00F70042" w:rsidRPr="005B5A31">
        <w:rPr>
          <w:webHidden/>
        </w:rPr>
        <w:t>7</w:t>
      </w:r>
    </w:p>
    <w:p w14:paraId="04C12269" w14:textId="2700915C" w:rsidR="00460D76" w:rsidRPr="005B5A31" w:rsidRDefault="00460D76">
      <w:pPr>
        <w:pStyle w:val="TOC2"/>
        <w:tabs>
          <w:tab w:val="right" w:leader="dot" w:pos="10450"/>
        </w:tabs>
        <w:rPr>
          <w:rFonts w:asciiTheme="minorHAnsi" w:hAnsiTheme="minorHAnsi"/>
          <w:kern w:val="2"/>
          <w:sz w:val="24"/>
          <w:lang w:eastAsia="en-AU"/>
          <w14:ligatures w14:val="standardContextual"/>
        </w:rPr>
      </w:pPr>
      <w:r w:rsidRPr="00703A0B">
        <w:t>People and culture</w:t>
      </w:r>
      <w:r w:rsidRPr="005B5A31">
        <w:rPr>
          <w:webHidden/>
        </w:rPr>
        <w:tab/>
      </w:r>
      <w:r w:rsidR="00B026DD" w:rsidRPr="005B5A31">
        <w:rPr>
          <w:webHidden/>
        </w:rPr>
        <w:t>38</w:t>
      </w:r>
    </w:p>
    <w:p w14:paraId="0051CA13" w14:textId="301AA150" w:rsidR="00460D76" w:rsidRPr="005B5A31" w:rsidRDefault="00460D76">
      <w:pPr>
        <w:pStyle w:val="TOC2"/>
        <w:tabs>
          <w:tab w:val="right" w:leader="dot" w:pos="10450"/>
        </w:tabs>
        <w:rPr>
          <w:rFonts w:asciiTheme="minorHAnsi" w:hAnsiTheme="minorHAnsi"/>
          <w:kern w:val="2"/>
          <w:sz w:val="24"/>
          <w:lang w:eastAsia="en-AU"/>
          <w14:ligatures w14:val="standardContextual"/>
        </w:rPr>
      </w:pPr>
      <w:r w:rsidRPr="00703A0B">
        <w:t>Governance and accountability</w:t>
      </w:r>
      <w:r w:rsidRPr="005B5A31">
        <w:rPr>
          <w:webHidden/>
        </w:rPr>
        <w:tab/>
      </w:r>
      <w:r w:rsidR="00B026DD" w:rsidRPr="005B5A31">
        <w:rPr>
          <w:webHidden/>
        </w:rPr>
        <w:t>42</w:t>
      </w:r>
    </w:p>
    <w:p w14:paraId="5CC1E9A8" w14:textId="15D66E9B" w:rsidR="00460D76" w:rsidRPr="005B5A31" w:rsidRDefault="00460D76">
      <w:pPr>
        <w:pStyle w:val="TOC2"/>
        <w:tabs>
          <w:tab w:val="right" w:leader="dot" w:pos="10450"/>
        </w:tabs>
        <w:rPr>
          <w:rFonts w:asciiTheme="minorHAnsi" w:hAnsiTheme="minorHAnsi"/>
          <w:kern w:val="2"/>
          <w:sz w:val="24"/>
          <w:lang w:eastAsia="en-AU"/>
          <w14:ligatures w14:val="standardContextual"/>
        </w:rPr>
      </w:pPr>
      <w:r w:rsidRPr="00703A0B">
        <w:t>Service Delivery Statements service standards</w:t>
      </w:r>
      <w:r w:rsidRPr="005B5A31">
        <w:rPr>
          <w:webHidden/>
        </w:rPr>
        <w:tab/>
      </w:r>
      <w:r w:rsidR="00B026DD" w:rsidRPr="005B5A31">
        <w:rPr>
          <w:webHidden/>
        </w:rPr>
        <w:t>45</w:t>
      </w:r>
    </w:p>
    <w:p w14:paraId="162DB910" w14:textId="43766E92" w:rsidR="00460D76" w:rsidRPr="005B5A31" w:rsidRDefault="00460D76">
      <w:pPr>
        <w:pStyle w:val="TOC1"/>
        <w:rPr>
          <w:rFonts w:asciiTheme="minorHAnsi" w:hAnsiTheme="minorHAnsi"/>
          <w:noProof w:val="0"/>
          <w:kern w:val="2"/>
          <w:sz w:val="24"/>
          <w:lang w:eastAsia="en-AU"/>
          <w14:ligatures w14:val="standardContextual"/>
        </w:rPr>
      </w:pPr>
      <w:r w:rsidRPr="005B5A31">
        <w:rPr>
          <w:noProof w:val="0"/>
        </w:rPr>
        <w:t>Finances</w:t>
      </w:r>
      <w:r w:rsidRPr="005B5A31">
        <w:rPr>
          <w:noProof w:val="0"/>
          <w:webHidden/>
        </w:rPr>
        <w:tab/>
      </w:r>
      <w:r w:rsidR="00B026DD" w:rsidRPr="005B5A31">
        <w:rPr>
          <w:noProof w:val="0"/>
          <w:webHidden/>
        </w:rPr>
        <w:t>46</w:t>
      </w:r>
    </w:p>
    <w:p w14:paraId="7321534E" w14:textId="7F2678DF" w:rsidR="00460D76" w:rsidRPr="005B5A31" w:rsidRDefault="00460D76">
      <w:pPr>
        <w:pStyle w:val="TOC2"/>
        <w:tabs>
          <w:tab w:val="right" w:leader="dot" w:pos="10450"/>
        </w:tabs>
        <w:rPr>
          <w:rFonts w:asciiTheme="minorHAnsi" w:hAnsiTheme="minorHAnsi"/>
          <w:kern w:val="2"/>
          <w:sz w:val="24"/>
          <w:lang w:eastAsia="en-AU"/>
          <w14:ligatures w14:val="standardContextual"/>
        </w:rPr>
      </w:pPr>
      <w:r w:rsidRPr="00703A0B">
        <w:t>Summary of financial performance</w:t>
      </w:r>
      <w:r w:rsidRPr="005B5A31">
        <w:rPr>
          <w:webHidden/>
        </w:rPr>
        <w:tab/>
      </w:r>
      <w:r w:rsidR="00B026DD" w:rsidRPr="005B5A31">
        <w:rPr>
          <w:webHidden/>
        </w:rPr>
        <w:t>46</w:t>
      </w:r>
    </w:p>
    <w:p w14:paraId="6085D5E3" w14:textId="5FCF565E" w:rsidR="00460D76" w:rsidRPr="005B5A31" w:rsidRDefault="00460D76">
      <w:pPr>
        <w:pStyle w:val="TOC1"/>
        <w:rPr>
          <w:rFonts w:asciiTheme="minorHAnsi" w:hAnsiTheme="minorHAnsi"/>
          <w:noProof w:val="0"/>
          <w:kern w:val="2"/>
          <w:sz w:val="24"/>
          <w:lang w:eastAsia="en-AU"/>
          <w14:ligatures w14:val="standardContextual"/>
        </w:rPr>
      </w:pPr>
      <w:r w:rsidRPr="005B5A31">
        <w:rPr>
          <w:noProof w:val="0"/>
        </w:rPr>
        <w:t>Appendix A: Compliance checklist</w:t>
      </w:r>
      <w:r w:rsidRPr="005B5A31">
        <w:rPr>
          <w:noProof w:val="0"/>
          <w:webHidden/>
        </w:rPr>
        <w:tab/>
      </w:r>
      <w:r w:rsidR="007C0437" w:rsidRPr="005B5A31">
        <w:rPr>
          <w:noProof w:val="0"/>
          <w:webHidden/>
        </w:rPr>
        <w:t>9</w:t>
      </w:r>
      <w:r w:rsidR="000E5AF1" w:rsidRPr="005B5A31">
        <w:rPr>
          <w:noProof w:val="0"/>
          <w:webHidden/>
        </w:rPr>
        <w:t>8</w:t>
      </w:r>
    </w:p>
    <w:p w14:paraId="096B5DBA" w14:textId="4A665E32" w:rsidR="00460D76" w:rsidRPr="005B5A31" w:rsidRDefault="00460D76">
      <w:pPr>
        <w:pStyle w:val="TOC1"/>
        <w:rPr>
          <w:rFonts w:asciiTheme="minorHAnsi" w:hAnsiTheme="minorHAnsi"/>
          <w:noProof w:val="0"/>
          <w:kern w:val="2"/>
          <w:sz w:val="24"/>
          <w:lang w:eastAsia="en-AU"/>
          <w14:ligatures w14:val="standardContextual"/>
        </w:rPr>
      </w:pPr>
      <w:r w:rsidRPr="005B5A31">
        <w:rPr>
          <w:noProof w:val="0"/>
        </w:rPr>
        <w:t>Appendix B: Glossary</w:t>
      </w:r>
      <w:r w:rsidRPr="005B5A31">
        <w:rPr>
          <w:noProof w:val="0"/>
          <w:webHidden/>
        </w:rPr>
        <w:tab/>
      </w:r>
      <w:r w:rsidR="00A91299" w:rsidRPr="005B5A31">
        <w:rPr>
          <w:noProof w:val="0"/>
          <w:webHidden/>
        </w:rPr>
        <w:t>100</w:t>
      </w:r>
    </w:p>
    <w:p w14:paraId="76F77080" w14:textId="33CE3AB0" w:rsidR="00460D76" w:rsidRPr="005B5A31" w:rsidRDefault="00460D76">
      <w:pPr>
        <w:pStyle w:val="TOC1"/>
        <w:rPr>
          <w:rFonts w:asciiTheme="minorHAnsi" w:hAnsiTheme="minorHAnsi"/>
          <w:noProof w:val="0"/>
          <w:kern w:val="2"/>
          <w:sz w:val="24"/>
          <w:lang w:eastAsia="en-AU"/>
          <w14:ligatures w14:val="standardContextual"/>
        </w:rPr>
      </w:pPr>
      <w:r w:rsidRPr="005B5A31">
        <w:rPr>
          <w:noProof w:val="0"/>
        </w:rPr>
        <w:t>Appendix C: Statement of Expectations</w:t>
      </w:r>
      <w:r w:rsidRPr="005B5A31">
        <w:rPr>
          <w:noProof w:val="0"/>
          <w:webHidden/>
        </w:rPr>
        <w:tab/>
      </w:r>
      <w:r w:rsidR="00E00B05" w:rsidRPr="005B5A31">
        <w:rPr>
          <w:noProof w:val="0"/>
          <w:webHidden/>
        </w:rPr>
        <w:t>10</w:t>
      </w:r>
      <w:r w:rsidR="00A91299" w:rsidRPr="005B5A31">
        <w:rPr>
          <w:noProof w:val="0"/>
          <w:webHidden/>
        </w:rPr>
        <w:t>2</w:t>
      </w:r>
    </w:p>
    <w:p w14:paraId="6AA8B1B5" w14:textId="1E3C0333" w:rsidR="00BA1E39" w:rsidRPr="005B5A31" w:rsidRDefault="00BA1E39" w:rsidP="00BA1E39">
      <w:pPr>
        <w:pStyle w:val="TOC1"/>
        <w:rPr>
          <w:noProof w:val="0"/>
          <w:webHidden/>
        </w:rPr>
      </w:pPr>
    </w:p>
    <w:p w14:paraId="3CE37EB4" w14:textId="77777777" w:rsidR="005F703C" w:rsidRPr="00703A0B" w:rsidRDefault="005F703C" w:rsidP="00713E8C">
      <w:pPr>
        <w:sectPr w:rsidR="005F703C" w:rsidRPr="00703A0B" w:rsidSect="0086683B">
          <w:headerReference w:type="even" r:id="rId16"/>
          <w:headerReference w:type="default" r:id="rId17"/>
          <w:footerReference w:type="even" r:id="rId18"/>
          <w:footerReference w:type="default" r:id="rId19"/>
          <w:headerReference w:type="first" r:id="rId20"/>
          <w:footerReference w:type="first" r:id="rId21"/>
          <w:type w:val="continuous"/>
          <w:pgSz w:w="11900" w:h="16840"/>
          <w:pgMar w:top="720" w:right="720" w:bottom="720" w:left="720" w:header="708" w:footer="708" w:gutter="0"/>
          <w:pgNumType w:fmt="lowerRoman" w:start="0"/>
          <w:cols w:space="708"/>
          <w:titlePg/>
          <w:docGrid w:linePitch="360"/>
        </w:sectPr>
      </w:pPr>
    </w:p>
    <w:p w14:paraId="1ABE1472" w14:textId="21A2F048" w:rsidR="00713E8C" w:rsidRPr="00703A0B" w:rsidRDefault="00713E8C" w:rsidP="00713E8C">
      <w:pPr>
        <w:rPr>
          <w:rFonts w:eastAsiaTheme="majorEastAsia" w:cstheme="majorBidi"/>
          <w:sz w:val="48"/>
          <w:szCs w:val="32"/>
        </w:rPr>
      </w:pPr>
    </w:p>
    <w:p w14:paraId="7CB94200" w14:textId="1E92F22F" w:rsidR="00CF74FC" w:rsidRPr="00703A0B" w:rsidRDefault="00CF74FC" w:rsidP="00821F5A">
      <w:pPr>
        <w:pStyle w:val="Heading1"/>
      </w:pPr>
      <w:bookmarkStart w:id="16" w:name="_Toc238101670"/>
      <w:r w:rsidRPr="00703A0B">
        <w:t xml:space="preserve">Letter of </w:t>
      </w:r>
      <w:r w:rsidR="001F51AB" w:rsidRPr="00703A0B">
        <w:t>c</w:t>
      </w:r>
      <w:r w:rsidRPr="00703A0B">
        <w:t>ompliance</w:t>
      </w:r>
      <w:bookmarkEnd w:id="15"/>
      <w:bookmarkEnd w:id="16"/>
      <w:r w:rsidRPr="00703A0B">
        <w:t xml:space="preserve"> </w:t>
      </w:r>
    </w:p>
    <w:p w14:paraId="4F3000E0" w14:textId="77777777" w:rsidR="00CF74FC" w:rsidRPr="00703A0B" w:rsidRDefault="00CF74FC" w:rsidP="00EB2944"/>
    <w:p w14:paraId="4844FF0F" w14:textId="7307FCAC" w:rsidR="00BD6E1D" w:rsidRPr="00703A0B" w:rsidRDefault="009400F4" w:rsidP="2FCA7408">
      <w:pPr>
        <w:rPr>
          <w:rFonts w:cs="Arial"/>
        </w:rPr>
      </w:pPr>
      <w:r w:rsidRPr="00703A0B">
        <w:rPr>
          <w:rFonts w:cs="Arial"/>
        </w:rPr>
        <w:t>14</w:t>
      </w:r>
      <w:r w:rsidR="5473B5AB" w:rsidRPr="00703A0B">
        <w:rPr>
          <w:rFonts w:cs="Arial"/>
        </w:rPr>
        <w:t xml:space="preserve"> September 202</w:t>
      </w:r>
      <w:r w:rsidR="005421CC" w:rsidRPr="00703A0B">
        <w:rPr>
          <w:rFonts w:cs="Arial"/>
        </w:rPr>
        <w:t>6</w:t>
      </w:r>
    </w:p>
    <w:p w14:paraId="19F9CA01" w14:textId="77777777" w:rsidR="00BD6E1D" w:rsidRPr="00703A0B" w:rsidRDefault="00BD6E1D" w:rsidP="0311DE0C">
      <w:pPr>
        <w:rPr>
          <w:rFonts w:cs="Arial"/>
        </w:rPr>
      </w:pPr>
    </w:p>
    <w:p w14:paraId="5C77B6F7" w14:textId="77777777" w:rsidR="00BD6E1D" w:rsidRPr="00703A0B" w:rsidRDefault="00BD6E1D" w:rsidP="0311DE0C">
      <w:pPr>
        <w:rPr>
          <w:rFonts w:cs="Arial"/>
        </w:rPr>
      </w:pPr>
    </w:p>
    <w:p w14:paraId="77B30E26" w14:textId="77777777" w:rsidR="00BD6E1D" w:rsidRPr="00703A0B" w:rsidRDefault="5473B5AB" w:rsidP="0311DE0C">
      <w:pPr>
        <w:rPr>
          <w:rFonts w:cs="Arial"/>
        </w:rPr>
      </w:pPr>
      <w:r w:rsidRPr="00703A0B">
        <w:rPr>
          <w:rFonts w:cs="Arial"/>
        </w:rPr>
        <w:t>The Honourable Sam O’Connor MP</w:t>
      </w:r>
    </w:p>
    <w:p w14:paraId="2B32C1A4" w14:textId="16C0A23C" w:rsidR="00BD6E1D" w:rsidRPr="00703A0B" w:rsidRDefault="5473B5AB" w:rsidP="0311DE0C">
      <w:pPr>
        <w:rPr>
          <w:rFonts w:cs="Arial"/>
        </w:rPr>
      </w:pPr>
      <w:r w:rsidRPr="00703A0B">
        <w:rPr>
          <w:rFonts w:cs="Arial"/>
        </w:rPr>
        <w:t xml:space="preserve">Minister for Housing and Public Works </w:t>
      </w:r>
    </w:p>
    <w:p w14:paraId="553B718A" w14:textId="77777777" w:rsidR="00BD6E1D" w:rsidRPr="00703A0B" w:rsidRDefault="5473B5AB" w:rsidP="0311DE0C">
      <w:pPr>
        <w:rPr>
          <w:rFonts w:cs="Arial"/>
        </w:rPr>
      </w:pPr>
      <w:r w:rsidRPr="00703A0B">
        <w:rPr>
          <w:rFonts w:cs="Arial"/>
        </w:rPr>
        <w:t>Minister for Youth</w:t>
      </w:r>
    </w:p>
    <w:p w14:paraId="647FA77A" w14:textId="77777777" w:rsidR="00BD6E1D" w:rsidRPr="00703A0B" w:rsidRDefault="5473B5AB" w:rsidP="0311DE0C">
      <w:pPr>
        <w:rPr>
          <w:rFonts w:cs="Arial"/>
        </w:rPr>
      </w:pPr>
      <w:r w:rsidRPr="00703A0B">
        <w:rPr>
          <w:rFonts w:cs="Arial"/>
        </w:rPr>
        <w:t>1 William Street</w:t>
      </w:r>
    </w:p>
    <w:p w14:paraId="1048E630" w14:textId="77777777" w:rsidR="00BD6E1D" w:rsidRPr="00703A0B" w:rsidRDefault="5473B5AB" w:rsidP="0311DE0C">
      <w:pPr>
        <w:rPr>
          <w:rFonts w:cs="Arial"/>
        </w:rPr>
      </w:pPr>
      <w:r w:rsidRPr="00703A0B">
        <w:rPr>
          <w:rFonts w:cs="Arial"/>
        </w:rPr>
        <w:t>Brisbane Qld 4000</w:t>
      </w:r>
    </w:p>
    <w:p w14:paraId="57B3845F" w14:textId="77777777" w:rsidR="00BD6E1D" w:rsidRPr="00703A0B" w:rsidRDefault="00BD6E1D" w:rsidP="0311DE0C">
      <w:pPr>
        <w:rPr>
          <w:rFonts w:cs="Arial"/>
        </w:rPr>
      </w:pPr>
    </w:p>
    <w:p w14:paraId="1CEA0E8D" w14:textId="77777777" w:rsidR="00BD6E1D" w:rsidRPr="00703A0B" w:rsidRDefault="00BD6E1D" w:rsidP="0311DE0C">
      <w:pPr>
        <w:rPr>
          <w:rFonts w:cs="Arial"/>
        </w:rPr>
      </w:pPr>
    </w:p>
    <w:p w14:paraId="5A3CE920" w14:textId="37795B05" w:rsidR="00BD6E1D" w:rsidRPr="00703A0B" w:rsidRDefault="5473B5AB" w:rsidP="0311DE0C">
      <w:pPr>
        <w:rPr>
          <w:rFonts w:cs="Arial"/>
        </w:rPr>
      </w:pPr>
      <w:r w:rsidRPr="00703A0B">
        <w:rPr>
          <w:rFonts w:cs="Arial"/>
        </w:rPr>
        <w:t xml:space="preserve">Dear Minister </w:t>
      </w:r>
    </w:p>
    <w:p w14:paraId="6DC8496A" w14:textId="77777777" w:rsidR="00BD6E1D" w:rsidRPr="00703A0B" w:rsidRDefault="00BD6E1D" w:rsidP="0311DE0C">
      <w:pPr>
        <w:rPr>
          <w:rFonts w:cs="Arial"/>
        </w:rPr>
      </w:pPr>
    </w:p>
    <w:p w14:paraId="37B54AB7" w14:textId="09150364" w:rsidR="00BD6E1D" w:rsidRPr="00703A0B" w:rsidRDefault="5473B5AB" w:rsidP="0311DE0C">
      <w:pPr>
        <w:rPr>
          <w:rFonts w:cs="Arial"/>
        </w:rPr>
      </w:pPr>
      <w:r w:rsidRPr="00703A0B">
        <w:rPr>
          <w:rFonts w:cs="Arial"/>
        </w:rPr>
        <w:t>I am pleased to submit for presentation to the Parliament the Annual Report 202</w:t>
      </w:r>
      <w:r w:rsidR="005421CC" w:rsidRPr="00703A0B">
        <w:rPr>
          <w:rFonts w:cs="Arial"/>
        </w:rPr>
        <w:t>5</w:t>
      </w:r>
      <w:r w:rsidRPr="00703A0B">
        <w:rPr>
          <w:rFonts w:cs="Arial"/>
        </w:rPr>
        <w:t>–2</w:t>
      </w:r>
      <w:r w:rsidR="005421CC" w:rsidRPr="00703A0B">
        <w:rPr>
          <w:rFonts w:cs="Arial"/>
        </w:rPr>
        <w:t>6</w:t>
      </w:r>
      <w:r w:rsidRPr="00703A0B">
        <w:rPr>
          <w:rFonts w:cs="Arial"/>
        </w:rPr>
        <w:t xml:space="preserve"> and financial statements</w:t>
      </w:r>
      <w:r w:rsidR="00B37F8E" w:rsidRPr="00703A0B">
        <w:rPr>
          <w:rFonts w:cs="Arial"/>
        </w:rPr>
        <w:t xml:space="preserve"> for the Queensland Building and Construction Commission</w:t>
      </w:r>
      <w:r w:rsidRPr="00703A0B">
        <w:rPr>
          <w:rFonts w:cs="Arial"/>
        </w:rPr>
        <w:t>.</w:t>
      </w:r>
    </w:p>
    <w:p w14:paraId="410014D7" w14:textId="77777777" w:rsidR="00BD6E1D" w:rsidRPr="00703A0B" w:rsidRDefault="00BD6E1D" w:rsidP="0311DE0C">
      <w:pPr>
        <w:rPr>
          <w:rFonts w:cs="Arial"/>
        </w:rPr>
      </w:pPr>
    </w:p>
    <w:p w14:paraId="4E8DA955" w14:textId="6BECA7EF" w:rsidR="00A22D37" w:rsidRPr="00703A0B" w:rsidRDefault="5473B5AB" w:rsidP="00A22D37">
      <w:pPr>
        <w:spacing w:before="120" w:after="120" w:line="257" w:lineRule="auto"/>
        <w:rPr>
          <w:rFonts w:eastAsia="Aptos" w:cs="Arial"/>
          <w:b/>
          <w:bCs/>
          <w:szCs w:val="22"/>
        </w:rPr>
      </w:pPr>
      <w:r w:rsidRPr="00703A0B">
        <w:rPr>
          <w:rFonts w:cs="Arial"/>
        </w:rPr>
        <w:t>I certify that th</w:t>
      </w:r>
      <w:r w:rsidR="00DB0522" w:rsidRPr="00703A0B">
        <w:rPr>
          <w:rFonts w:cs="Arial"/>
        </w:rPr>
        <w:t xml:space="preserve">is </w:t>
      </w:r>
      <w:r w:rsidRPr="00703A0B">
        <w:rPr>
          <w:rFonts w:cs="Arial"/>
        </w:rPr>
        <w:t>Annual Report complies with:</w:t>
      </w:r>
    </w:p>
    <w:p w14:paraId="74C2A07B" w14:textId="47C52646" w:rsidR="00BD6E1D" w:rsidRPr="00703A0B" w:rsidRDefault="5473B5AB" w:rsidP="00A836CF">
      <w:pPr>
        <w:pStyle w:val="NoSpacing"/>
        <w:numPr>
          <w:ilvl w:val="0"/>
          <w:numId w:val="13"/>
        </w:numPr>
        <w:spacing w:after="120"/>
        <w:ind w:left="357" w:hanging="357"/>
        <w:rPr>
          <w:rFonts w:ascii="Arial" w:hAnsi="Arial" w:cs="Times New Roman"/>
          <w:sz w:val="22"/>
          <w:szCs w:val="22"/>
        </w:rPr>
      </w:pPr>
      <w:r w:rsidRPr="00703A0B">
        <w:rPr>
          <w:rFonts w:ascii="Arial" w:hAnsi="Arial" w:cs="Times New Roman"/>
          <w:sz w:val="22"/>
          <w:szCs w:val="22"/>
        </w:rPr>
        <w:t xml:space="preserve">the prescribed requirements of the </w:t>
      </w:r>
      <w:r w:rsidRPr="00703A0B">
        <w:rPr>
          <w:rFonts w:ascii="Arial" w:hAnsi="Arial" w:cs="Times New Roman"/>
          <w:i/>
          <w:iCs/>
          <w:sz w:val="22"/>
          <w:szCs w:val="22"/>
        </w:rPr>
        <w:t>Financial Accountability Act 2009</w:t>
      </w:r>
      <w:r w:rsidRPr="00703A0B">
        <w:rPr>
          <w:rFonts w:ascii="Arial" w:hAnsi="Arial" w:cs="Times New Roman"/>
          <w:sz w:val="22"/>
          <w:szCs w:val="22"/>
        </w:rPr>
        <w:t xml:space="preserve"> and the </w:t>
      </w:r>
      <w:r w:rsidRPr="00703A0B">
        <w:rPr>
          <w:rFonts w:ascii="Arial" w:hAnsi="Arial" w:cs="Times New Roman"/>
          <w:i/>
          <w:sz w:val="22"/>
          <w:szCs w:val="22"/>
        </w:rPr>
        <w:t>Financial</w:t>
      </w:r>
      <w:r w:rsidRPr="00703A0B">
        <w:rPr>
          <w:i/>
          <w:sz w:val="22"/>
          <w:szCs w:val="22"/>
        </w:rPr>
        <w:t xml:space="preserve"> </w:t>
      </w:r>
      <w:r w:rsidRPr="00703A0B">
        <w:rPr>
          <w:rFonts w:ascii="Arial" w:hAnsi="Arial" w:cs="Times New Roman"/>
          <w:i/>
          <w:sz w:val="22"/>
          <w:szCs w:val="22"/>
        </w:rPr>
        <w:t>and</w:t>
      </w:r>
      <w:r w:rsidRPr="00703A0B">
        <w:rPr>
          <w:rFonts w:ascii="Arial" w:hAnsi="Arial" w:cs="Times New Roman"/>
          <w:sz w:val="22"/>
          <w:szCs w:val="22"/>
        </w:rPr>
        <w:t xml:space="preserve"> </w:t>
      </w:r>
      <w:r w:rsidRPr="00703A0B">
        <w:rPr>
          <w:rFonts w:ascii="Arial" w:hAnsi="Arial" w:cs="Times New Roman"/>
          <w:i/>
          <w:sz w:val="22"/>
          <w:szCs w:val="22"/>
        </w:rPr>
        <w:t>Performance Management Standard 2019</w:t>
      </w:r>
    </w:p>
    <w:p w14:paraId="69937BB4" w14:textId="5B1B12FC" w:rsidR="00BD6E1D" w:rsidRPr="00703A0B" w:rsidRDefault="5473B5AB" w:rsidP="00A836CF">
      <w:pPr>
        <w:pStyle w:val="NoSpacing"/>
        <w:numPr>
          <w:ilvl w:val="0"/>
          <w:numId w:val="13"/>
        </w:numPr>
        <w:spacing w:after="120"/>
        <w:ind w:left="357" w:hanging="357"/>
        <w:rPr>
          <w:rFonts w:ascii="Arial" w:hAnsi="Arial" w:cs="Times New Roman"/>
          <w:sz w:val="22"/>
          <w:szCs w:val="22"/>
        </w:rPr>
      </w:pPr>
      <w:r w:rsidRPr="00703A0B">
        <w:rPr>
          <w:rFonts w:ascii="Arial" w:hAnsi="Arial" w:cs="Times New Roman"/>
          <w:sz w:val="22"/>
          <w:szCs w:val="22"/>
        </w:rPr>
        <w:t xml:space="preserve">the detailed requirements set out in the </w:t>
      </w:r>
      <w:r w:rsidRPr="00703A0B">
        <w:rPr>
          <w:rFonts w:ascii="Arial" w:hAnsi="Arial" w:cs="Times New Roman"/>
          <w:i/>
          <w:sz w:val="22"/>
          <w:szCs w:val="22"/>
        </w:rPr>
        <w:t>Annual report requirements for Queensland</w:t>
      </w:r>
      <w:r w:rsidRPr="00703A0B">
        <w:rPr>
          <w:i/>
          <w:sz w:val="22"/>
          <w:szCs w:val="22"/>
        </w:rPr>
        <w:t xml:space="preserve"> </w:t>
      </w:r>
      <w:r w:rsidRPr="00703A0B">
        <w:rPr>
          <w:rFonts w:ascii="Arial" w:hAnsi="Arial" w:cs="Times New Roman"/>
          <w:i/>
          <w:sz w:val="22"/>
          <w:szCs w:val="22"/>
        </w:rPr>
        <w:t>Government agencies</w:t>
      </w:r>
      <w:r w:rsidRPr="00703A0B">
        <w:rPr>
          <w:rFonts w:ascii="Arial" w:hAnsi="Arial" w:cs="Times New Roman"/>
          <w:sz w:val="22"/>
          <w:szCs w:val="22"/>
        </w:rPr>
        <w:t>.</w:t>
      </w:r>
    </w:p>
    <w:p w14:paraId="59FD8D51" w14:textId="77777777" w:rsidR="00BD6E1D" w:rsidRPr="00703A0B" w:rsidRDefault="00BD6E1D" w:rsidP="0311DE0C">
      <w:pPr>
        <w:rPr>
          <w:rFonts w:cs="Arial"/>
        </w:rPr>
      </w:pPr>
    </w:p>
    <w:p w14:paraId="38BF9404" w14:textId="5E1BA22E" w:rsidR="00BD6E1D" w:rsidRPr="00703A0B" w:rsidRDefault="5473B5AB" w:rsidP="0311DE0C">
      <w:pPr>
        <w:rPr>
          <w:rFonts w:cs="Arial"/>
        </w:rPr>
      </w:pPr>
      <w:r w:rsidRPr="00703A0B">
        <w:rPr>
          <w:rFonts w:cs="Arial"/>
        </w:rPr>
        <w:t xml:space="preserve">A checklist outlining the annual reporting requirements is provided at page </w:t>
      </w:r>
      <w:r w:rsidR="00CB3E10" w:rsidRPr="00703A0B">
        <w:rPr>
          <w:rFonts w:cs="Arial"/>
        </w:rPr>
        <w:t>9</w:t>
      </w:r>
      <w:r w:rsidR="00DC1A5C" w:rsidRPr="00703A0B">
        <w:rPr>
          <w:rFonts w:cs="Arial"/>
        </w:rPr>
        <w:t>8</w:t>
      </w:r>
      <w:r w:rsidRPr="00703A0B">
        <w:rPr>
          <w:rFonts w:cs="Arial"/>
        </w:rPr>
        <w:t>.</w:t>
      </w:r>
    </w:p>
    <w:p w14:paraId="289E3CD7" w14:textId="77777777" w:rsidR="00BD6E1D" w:rsidRPr="00703A0B" w:rsidRDefault="00BD6E1D" w:rsidP="0311DE0C">
      <w:pPr>
        <w:rPr>
          <w:rFonts w:cs="Arial"/>
        </w:rPr>
      </w:pPr>
    </w:p>
    <w:p w14:paraId="5990C059" w14:textId="77777777" w:rsidR="00BD6E1D" w:rsidRPr="00703A0B" w:rsidRDefault="5473B5AB" w:rsidP="0311DE0C">
      <w:pPr>
        <w:rPr>
          <w:rFonts w:cs="Arial"/>
        </w:rPr>
      </w:pPr>
      <w:r w:rsidRPr="00703A0B">
        <w:rPr>
          <w:rFonts w:cs="Arial"/>
        </w:rPr>
        <w:t>Yours sincerely</w:t>
      </w:r>
    </w:p>
    <w:p w14:paraId="212FF1AC" w14:textId="77777777" w:rsidR="00BD6E1D" w:rsidRPr="00703A0B" w:rsidRDefault="00BD6E1D" w:rsidP="0311DE0C">
      <w:pPr>
        <w:rPr>
          <w:rFonts w:cs="Arial"/>
        </w:rPr>
      </w:pPr>
    </w:p>
    <w:p w14:paraId="47571712" w14:textId="77777777" w:rsidR="00BD6E1D" w:rsidRPr="00703A0B" w:rsidRDefault="00BD6E1D" w:rsidP="0311DE0C">
      <w:pPr>
        <w:rPr>
          <w:rFonts w:cs="Arial"/>
        </w:rPr>
      </w:pPr>
    </w:p>
    <w:p w14:paraId="731CE13B" w14:textId="77777777" w:rsidR="00BD6E1D" w:rsidRPr="00703A0B" w:rsidRDefault="00BD6E1D" w:rsidP="0311DE0C">
      <w:pPr>
        <w:rPr>
          <w:rFonts w:cs="Arial"/>
        </w:rPr>
      </w:pPr>
    </w:p>
    <w:p w14:paraId="35F99084" w14:textId="77777777" w:rsidR="00BD6E1D" w:rsidRPr="00703A0B" w:rsidRDefault="00BD6E1D" w:rsidP="0311DE0C">
      <w:pPr>
        <w:rPr>
          <w:rFonts w:cs="Arial"/>
        </w:rPr>
      </w:pPr>
    </w:p>
    <w:p w14:paraId="4229EA00" w14:textId="77777777" w:rsidR="00BD6E1D" w:rsidRPr="00703A0B" w:rsidRDefault="00BD6E1D" w:rsidP="0311DE0C">
      <w:pPr>
        <w:rPr>
          <w:rFonts w:cs="Arial"/>
        </w:rPr>
      </w:pPr>
    </w:p>
    <w:p w14:paraId="5D02D7DE" w14:textId="77777777" w:rsidR="00BD6E1D" w:rsidRPr="00703A0B" w:rsidRDefault="5473B5AB" w:rsidP="00BD6E1D">
      <w:pPr>
        <w:pStyle w:val="NoSpacing"/>
        <w:rPr>
          <w:rFonts w:ascii="Arial" w:hAnsi="Arial" w:cs="Arial"/>
          <w:sz w:val="22"/>
          <w:szCs w:val="22"/>
        </w:rPr>
      </w:pPr>
      <w:r w:rsidRPr="00703A0B">
        <w:rPr>
          <w:rFonts w:ascii="Arial" w:eastAsia="Times New Roman" w:hAnsi="Arial" w:cs="Arial"/>
          <w:sz w:val="22"/>
          <w:szCs w:val="22"/>
        </w:rPr>
        <w:t>Greg Chemello</w:t>
      </w:r>
    </w:p>
    <w:p w14:paraId="51203FA1" w14:textId="77777777" w:rsidR="00BD6E1D" w:rsidRPr="00703A0B" w:rsidRDefault="5473B5AB" w:rsidP="00BD6E1D">
      <w:pPr>
        <w:pStyle w:val="NoSpacing"/>
        <w:rPr>
          <w:rFonts w:ascii="Arial" w:hAnsi="Arial" w:cs="Arial"/>
          <w:sz w:val="22"/>
          <w:szCs w:val="22"/>
        </w:rPr>
      </w:pPr>
      <w:r w:rsidRPr="00703A0B">
        <w:rPr>
          <w:rFonts w:ascii="Arial" w:hAnsi="Arial" w:cs="Arial"/>
          <w:sz w:val="22"/>
          <w:szCs w:val="22"/>
        </w:rPr>
        <w:t>Chair</w:t>
      </w:r>
    </w:p>
    <w:p w14:paraId="5D35F77A" w14:textId="77777777" w:rsidR="00BD6E1D" w:rsidRPr="00703A0B" w:rsidRDefault="5473B5AB" w:rsidP="00BD6E1D">
      <w:pPr>
        <w:pStyle w:val="NoSpacing"/>
        <w:rPr>
          <w:rFonts w:ascii="Arial" w:hAnsi="Arial" w:cs="Arial"/>
          <w:sz w:val="22"/>
          <w:szCs w:val="22"/>
        </w:rPr>
      </w:pPr>
      <w:r w:rsidRPr="00703A0B">
        <w:rPr>
          <w:rFonts w:ascii="Arial" w:hAnsi="Arial" w:cs="Arial"/>
          <w:sz w:val="22"/>
          <w:szCs w:val="22"/>
        </w:rPr>
        <w:t>Queensland Building and Construction Board</w:t>
      </w:r>
    </w:p>
    <w:p w14:paraId="7C34B365" w14:textId="77777777" w:rsidR="00CF74FC" w:rsidRPr="00703A0B" w:rsidRDefault="00CF74FC" w:rsidP="003069C5">
      <w:pPr>
        <w:pStyle w:val="TOCHeading"/>
        <w:spacing w:line="240" w:lineRule="auto"/>
        <w:rPr>
          <w:rFonts w:ascii="Arial" w:hAnsi="Arial" w:cs="Arial"/>
          <w:color w:val="auto"/>
          <w:sz w:val="20"/>
          <w:szCs w:val="20"/>
          <w:lang w:val="en-AU"/>
        </w:rPr>
      </w:pPr>
    </w:p>
    <w:p w14:paraId="7DD422D5" w14:textId="77777777" w:rsidR="003C6EDF" w:rsidRPr="00703A0B" w:rsidRDefault="003C6EDF" w:rsidP="003C6EDF">
      <w:pPr>
        <w:rPr>
          <w:rFonts w:cs="Arial"/>
        </w:rPr>
      </w:pPr>
    </w:p>
    <w:p w14:paraId="57E376E5" w14:textId="75F7D0CB" w:rsidR="003C6EDF" w:rsidRPr="00703A0B" w:rsidRDefault="003C6EDF">
      <w:pPr>
        <w:rPr>
          <w:rFonts w:cs="Arial"/>
        </w:rPr>
      </w:pPr>
      <w:r w:rsidRPr="00703A0B">
        <w:rPr>
          <w:rFonts w:cs="Arial"/>
        </w:rPr>
        <w:br w:type="page"/>
      </w:r>
    </w:p>
    <w:p w14:paraId="03C579E5" w14:textId="7AE88419" w:rsidR="009F5646" w:rsidRPr="00703A0B" w:rsidRDefault="53F9D37B" w:rsidP="00750BED">
      <w:pPr>
        <w:pStyle w:val="Heading1"/>
        <w:rPr>
          <w:rFonts w:cs="Arial"/>
        </w:rPr>
      </w:pPr>
      <w:bookmarkStart w:id="17" w:name="_Chairs_message"/>
      <w:bookmarkStart w:id="18" w:name="_Toc238101671"/>
      <w:bookmarkStart w:id="19" w:name="_Toc206493007"/>
      <w:bookmarkEnd w:id="17"/>
      <w:r w:rsidRPr="00703A0B">
        <w:lastRenderedPageBreak/>
        <w:t>Chair</w:t>
      </w:r>
      <w:r w:rsidR="00A73F7A" w:rsidRPr="00703A0B">
        <w:t>’</w:t>
      </w:r>
      <w:r w:rsidRPr="00703A0B">
        <w:t xml:space="preserve">s </w:t>
      </w:r>
      <w:r w:rsidR="5368B604" w:rsidRPr="00703A0B">
        <w:t>m</w:t>
      </w:r>
      <w:r w:rsidRPr="00703A0B">
        <w:t>essage</w:t>
      </w:r>
      <w:bookmarkEnd w:id="18"/>
      <w:r w:rsidRPr="00703A0B">
        <w:rPr>
          <w:rFonts w:cs="Arial"/>
        </w:rPr>
        <w:t xml:space="preserve"> </w:t>
      </w:r>
      <w:bookmarkEnd w:id="19"/>
      <w:r w:rsidR="00140C3C" w:rsidRPr="00703A0B">
        <w:tab/>
      </w:r>
    </w:p>
    <w:p w14:paraId="7B72FE28" w14:textId="6E6472D7" w:rsidR="00526504" w:rsidRPr="00703A0B" w:rsidRDefault="00006DCE" w:rsidP="00F44ED1">
      <w:pPr>
        <w:spacing w:before="120" w:after="120" w:line="257" w:lineRule="auto"/>
        <w:rPr>
          <w:rFonts w:eastAsia="Aptos" w:cs="Arial"/>
        </w:rPr>
      </w:pPr>
      <w:r w:rsidRPr="00703A0B">
        <w:rPr>
          <w:rFonts w:eastAsia="Aptos" w:cs="Arial"/>
        </w:rPr>
        <w:t xml:space="preserve">It is my pleasure </w:t>
      </w:r>
      <w:r w:rsidR="00C90365" w:rsidRPr="00703A0B">
        <w:rPr>
          <w:rFonts w:eastAsia="Aptos" w:cs="Arial"/>
        </w:rPr>
        <w:t xml:space="preserve">to present </w:t>
      </w:r>
      <w:r w:rsidR="00CC17D2" w:rsidRPr="00703A0B">
        <w:rPr>
          <w:rFonts w:eastAsia="Aptos" w:cs="Arial"/>
        </w:rPr>
        <w:t>the</w:t>
      </w:r>
      <w:r w:rsidR="00C90365" w:rsidRPr="00703A0B">
        <w:rPr>
          <w:rFonts w:eastAsia="Aptos" w:cs="Arial"/>
        </w:rPr>
        <w:t xml:space="preserve"> Queensland Building and Construction Commission </w:t>
      </w:r>
      <w:r w:rsidR="0064500D" w:rsidRPr="00703A0B">
        <w:rPr>
          <w:rFonts w:eastAsia="Aptos" w:cs="Arial"/>
        </w:rPr>
        <w:t>(QBCC)</w:t>
      </w:r>
      <w:r w:rsidR="00C90365" w:rsidRPr="00703A0B">
        <w:rPr>
          <w:rFonts w:eastAsia="Aptos" w:cs="Arial"/>
        </w:rPr>
        <w:t xml:space="preserve"> Annual Report </w:t>
      </w:r>
      <w:r w:rsidR="00BF240D" w:rsidRPr="00703A0B">
        <w:rPr>
          <w:rFonts w:eastAsia="Aptos" w:cs="Arial"/>
        </w:rPr>
        <w:t xml:space="preserve">for </w:t>
      </w:r>
      <w:r w:rsidR="00C90365" w:rsidRPr="00703A0B">
        <w:rPr>
          <w:rFonts w:eastAsia="Aptos" w:cs="Arial"/>
        </w:rPr>
        <w:t xml:space="preserve">2025–26. </w:t>
      </w:r>
      <w:r w:rsidR="003632A9" w:rsidRPr="00703A0B">
        <w:rPr>
          <w:rFonts w:eastAsia="Aptos" w:cs="Arial"/>
        </w:rPr>
        <w:t xml:space="preserve">Over the </w:t>
      </w:r>
      <w:r w:rsidR="00C317A4" w:rsidRPr="00703A0B">
        <w:rPr>
          <w:rFonts w:eastAsia="Aptos" w:cs="Arial"/>
        </w:rPr>
        <w:t>past year</w:t>
      </w:r>
      <w:r w:rsidR="003632A9" w:rsidRPr="00703A0B">
        <w:rPr>
          <w:rFonts w:eastAsia="Aptos" w:cs="Arial"/>
        </w:rPr>
        <w:t>,</w:t>
      </w:r>
      <w:r w:rsidR="00C317A4" w:rsidRPr="00703A0B">
        <w:rPr>
          <w:rFonts w:eastAsia="Aptos" w:cs="Arial"/>
        </w:rPr>
        <w:t xml:space="preserve"> </w:t>
      </w:r>
      <w:r w:rsidR="00C90365" w:rsidRPr="00703A0B">
        <w:rPr>
          <w:rFonts w:eastAsia="Aptos" w:cs="Arial"/>
        </w:rPr>
        <w:t xml:space="preserve">the </w:t>
      </w:r>
      <w:r w:rsidR="387ED487" w:rsidRPr="00703A0B">
        <w:rPr>
          <w:rFonts w:eastAsia="Aptos" w:cs="Arial"/>
        </w:rPr>
        <w:t>construction</w:t>
      </w:r>
      <w:r w:rsidR="00A6525E" w:rsidRPr="00703A0B">
        <w:rPr>
          <w:rFonts w:eastAsia="Aptos" w:cs="Arial"/>
        </w:rPr>
        <w:t xml:space="preserve"> sector continue</w:t>
      </w:r>
      <w:r w:rsidR="031E8A94" w:rsidRPr="00703A0B">
        <w:rPr>
          <w:rFonts w:eastAsia="Aptos" w:cs="Arial"/>
        </w:rPr>
        <w:t>d</w:t>
      </w:r>
      <w:r w:rsidR="00A6525E" w:rsidRPr="00703A0B">
        <w:rPr>
          <w:rFonts w:eastAsia="Aptos" w:cs="Arial"/>
        </w:rPr>
        <w:t xml:space="preserve"> to face </w:t>
      </w:r>
      <w:r w:rsidR="00784D20" w:rsidRPr="00703A0B">
        <w:rPr>
          <w:rFonts w:eastAsia="Aptos" w:cs="Arial"/>
        </w:rPr>
        <w:t xml:space="preserve">significant </w:t>
      </w:r>
      <w:r w:rsidR="546D7F3F" w:rsidRPr="00703A0B">
        <w:rPr>
          <w:rFonts w:eastAsia="Aptos" w:cs="Arial"/>
        </w:rPr>
        <w:t xml:space="preserve">and evolving </w:t>
      </w:r>
      <w:r w:rsidR="000B4AED" w:rsidRPr="00703A0B">
        <w:rPr>
          <w:rFonts w:eastAsia="Aptos" w:cs="Arial"/>
        </w:rPr>
        <w:t xml:space="preserve">challenges, including cost pressures, workforce constraints and increasing demand for housing. </w:t>
      </w:r>
      <w:r w:rsidR="001C58FB" w:rsidRPr="00703A0B">
        <w:rPr>
          <w:rFonts w:eastAsia="Aptos" w:cs="Arial"/>
        </w:rPr>
        <w:t xml:space="preserve">These </w:t>
      </w:r>
      <w:r w:rsidR="00BF6D80" w:rsidRPr="00703A0B">
        <w:rPr>
          <w:rFonts w:eastAsia="Aptos" w:cs="Arial"/>
        </w:rPr>
        <w:t>conditions</w:t>
      </w:r>
      <w:r w:rsidR="006D636E" w:rsidRPr="00703A0B">
        <w:rPr>
          <w:rFonts w:eastAsia="Aptos" w:cs="Arial"/>
        </w:rPr>
        <w:t xml:space="preserve"> have reinforced the importance of </w:t>
      </w:r>
      <w:r w:rsidR="00BF6D80" w:rsidRPr="00703A0B">
        <w:rPr>
          <w:rFonts w:eastAsia="Aptos" w:cs="Arial"/>
        </w:rPr>
        <w:t xml:space="preserve">meeting </w:t>
      </w:r>
      <w:r w:rsidR="006D636E" w:rsidRPr="00703A0B">
        <w:rPr>
          <w:rFonts w:eastAsia="Aptos" w:cs="Arial"/>
        </w:rPr>
        <w:t xml:space="preserve">the </w:t>
      </w:r>
      <w:r w:rsidR="665B443B" w:rsidRPr="00703A0B">
        <w:rPr>
          <w:rFonts w:eastAsia="Aptos" w:cs="Arial"/>
        </w:rPr>
        <w:t xml:space="preserve">government’s </w:t>
      </w:r>
      <w:r w:rsidR="00D96C9B" w:rsidRPr="00703A0B">
        <w:rPr>
          <w:rFonts w:eastAsia="Aptos" w:cs="Arial"/>
        </w:rPr>
        <w:t xml:space="preserve">clear expectations </w:t>
      </w:r>
      <w:r w:rsidR="00A94D08" w:rsidRPr="00703A0B">
        <w:rPr>
          <w:rFonts w:eastAsia="Aptos" w:cs="Arial"/>
        </w:rPr>
        <w:t xml:space="preserve">to improve productivity through </w:t>
      </w:r>
      <w:r w:rsidR="007E5FCA" w:rsidRPr="00703A0B">
        <w:rPr>
          <w:rFonts w:eastAsia="Aptos" w:cs="Arial"/>
        </w:rPr>
        <w:t xml:space="preserve">stronger </w:t>
      </w:r>
      <w:r w:rsidR="004E2EC5" w:rsidRPr="00703A0B">
        <w:rPr>
          <w:rFonts w:eastAsia="Aptos" w:cs="Arial"/>
        </w:rPr>
        <w:t>partnerships</w:t>
      </w:r>
      <w:r w:rsidR="00EC0BB6" w:rsidRPr="00703A0B">
        <w:rPr>
          <w:rFonts w:eastAsia="Aptos" w:cs="Arial"/>
        </w:rPr>
        <w:t>.</w:t>
      </w:r>
      <w:r w:rsidR="00B7123E" w:rsidRPr="00703A0B">
        <w:rPr>
          <w:rFonts w:eastAsia="Aptos" w:cs="Arial"/>
        </w:rPr>
        <w:t xml:space="preserve"> </w:t>
      </w:r>
      <w:r w:rsidR="00A649F3" w:rsidRPr="00703A0B">
        <w:rPr>
          <w:rFonts w:eastAsia="Aptos" w:cs="Arial"/>
        </w:rPr>
        <w:t xml:space="preserve">The </w:t>
      </w:r>
      <w:r w:rsidR="00365357" w:rsidRPr="00703A0B">
        <w:rPr>
          <w:rFonts w:eastAsia="Aptos" w:cs="Arial"/>
        </w:rPr>
        <w:t>r</w:t>
      </w:r>
      <w:r w:rsidR="00EF6C5E" w:rsidRPr="00703A0B">
        <w:rPr>
          <w:rFonts w:eastAsia="Aptos" w:cs="Arial"/>
        </w:rPr>
        <w:t xml:space="preserve">ecommendations </w:t>
      </w:r>
      <w:r w:rsidR="00E879C7" w:rsidRPr="00703A0B">
        <w:rPr>
          <w:rFonts w:eastAsia="Aptos" w:cs="Arial"/>
        </w:rPr>
        <w:t xml:space="preserve">of </w:t>
      </w:r>
      <w:r w:rsidR="00EF6C5E" w:rsidRPr="00703A0B">
        <w:rPr>
          <w:rFonts w:eastAsia="Aptos" w:cs="Arial"/>
        </w:rPr>
        <w:t xml:space="preserve">the Queensland Productivity Commission </w:t>
      </w:r>
      <w:r w:rsidR="00365357" w:rsidRPr="00703A0B">
        <w:rPr>
          <w:rFonts w:eastAsia="Aptos" w:cs="Arial"/>
        </w:rPr>
        <w:t xml:space="preserve">have </w:t>
      </w:r>
      <w:r w:rsidR="00E879C7" w:rsidRPr="00703A0B">
        <w:rPr>
          <w:rFonts w:eastAsia="Aptos" w:cs="Arial"/>
        </w:rPr>
        <w:t xml:space="preserve">also </w:t>
      </w:r>
      <w:r w:rsidR="00365357" w:rsidRPr="00703A0B">
        <w:rPr>
          <w:rFonts w:eastAsia="Aptos" w:cs="Arial"/>
        </w:rPr>
        <w:t>helped shape our approach to lifting performance</w:t>
      </w:r>
      <w:r w:rsidR="002D0CAC" w:rsidRPr="00703A0B">
        <w:rPr>
          <w:rFonts w:eastAsia="Aptos" w:cs="Arial"/>
        </w:rPr>
        <w:t xml:space="preserve"> and </w:t>
      </w:r>
      <w:r w:rsidR="004B68B2" w:rsidRPr="00703A0B">
        <w:rPr>
          <w:rFonts w:eastAsia="Aptos" w:cs="Arial"/>
        </w:rPr>
        <w:t>strengthen</w:t>
      </w:r>
      <w:r w:rsidR="002D0CAC" w:rsidRPr="00703A0B">
        <w:rPr>
          <w:rFonts w:eastAsia="Aptos" w:cs="Arial"/>
        </w:rPr>
        <w:t>ing</w:t>
      </w:r>
      <w:r w:rsidR="004B68B2" w:rsidRPr="00703A0B">
        <w:rPr>
          <w:rFonts w:eastAsia="Aptos" w:cs="Arial"/>
        </w:rPr>
        <w:t xml:space="preserve"> our role as</w:t>
      </w:r>
      <w:r w:rsidR="00EA67CC" w:rsidRPr="00703A0B">
        <w:rPr>
          <w:rFonts w:eastAsia="Aptos" w:cs="Arial"/>
        </w:rPr>
        <w:t xml:space="preserve"> an effective regulator</w:t>
      </w:r>
      <w:r w:rsidR="00BC24DF" w:rsidRPr="00703A0B">
        <w:rPr>
          <w:rFonts w:eastAsia="Aptos" w:cs="Arial"/>
        </w:rPr>
        <w:t>.</w:t>
      </w:r>
      <w:r w:rsidR="00F3263D" w:rsidRPr="00703A0B">
        <w:rPr>
          <w:rFonts w:eastAsia="Aptos" w:cs="Arial"/>
        </w:rPr>
        <w:t xml:space="preserve"> </w:t>
      </w:r>
    </w:p>
    <w:p w14:paraId="7B1C6C12" w14:textId="1FACDDEA" w:rsidR="00AB663F" w:rsidRPr="00703A0B" w:rsidRDefault="1EB9F9F6" w:rsidP="00F44ED1">
      <w:pPr>
        <w:spacing w:before="120" w:after="120" w:line="257" w:lineRule="auto"/>
        <w:rPr>
          <w:rFonts w:eastAsia="Aptos" w:cs="Arial"/>
        </w:rPr>
      </w:pPr>
      <w:r w:rsidRPr="00703A0B">
        <w:rPr>
          <w:rFonts w:eastAsia="Aptos" w:cs="Arial"/>
        </w:rPr>
        <w:t>W</w:t>
      </w:r>
      <w:r w:rsidR="005C637A" w:rsidRPr="00703A0B">
        <w:rPr>
          <w:rFonts w:eastAsia="Aptos" w:cs="Arial"/>
        </w:rPr>
        <w:t xml:space="preserve">e </w:t>
      </w:r>
      <w:r w:rsidR="005F5E47" w:rsidRPr="00703A0B">
        <w:rPr>
          <w:rFonts w:eastAsia="Aptos" w:cs="Arial"/>
        </w:rPr>
        <w:t>have</w:t>
      </w:r>
      <w:r w:rsidR="009125E0" w:rsidRPr="00703A0B">
        <w:rPr>
          <w:rFonts w:eastAsia="Aptos" w:cs="Arial"/>
        </w:rPr>
        <w:t xml:space="preserve"> </w:t>
      </w:r>
      <w:r w:rsidR="0062356B" w:rsidRPr="00703A0B">
        <w:rPr>
          <w:rFonts w:eastAsia="Aptos" w:cs="Arial"/>
        </w:rPr>
        <w:t>begun</w:t>
      </w:r>
      <w:r w:rsidR="00FA1FA7" w:rsidRPr="00703A0B">
        <w:rPr>
          <w:rFonts w:eastAsia="Aptos" w:cs="Arial"/>
        </w:rPr>
        <w:t xml:space="preserve"> </w:t>
      </w:r>
      <w:r w:rsidR="00F62F43" w:rsidRPr="00703A0B">
        <w:rPr>
          <w:rFonts w:eastAsia="Aptos" w:cs="Arial"/>
        </w:rPr>
        <w:t>modernis</w:t>
      </w:r>
      <w:r w:rsidR="00FA1FA7" w:rsidRPr="00703A0B">
        <w:rPr>
          <w:rFonts w:eastAsia="Aptos" w:cs="Arial"/>
        </w:rPr>
        <w:t>ing</w:t>
      </w:r>
      <w:r w:rsidR="005F5E47" w:rsidRPr="00703A0B">
        <w:rPr>
          <w:rFonts w:eastAsia="Aptos" w:cs="Arial"/>
        </w:rPr>
        <w:t xml:space="preserve"> our</w:t>
      </w:r>
      <w:r w:rsidR="00F62F43" w:rsidRPr="00703A0B">
        <w:rPr>
          <w:rFonts w:eastAsia="Aptos" w:cs="Arial"/>
        </w:rPr>
        <w:t xml:space="preserve"> organisational culture, systems and service delivery</w:t>
      </w:r>
      <w:r w:rsidR="00C70AF7" w:rsidRPr="00703A0B">
        <w:rPr>
          <w:rFonts w:eastAsia="Aptos" w:cs="Arial"/>
        </w:rPr>
        <w:t xml:space="preserve">, </w:t>
      </w:r>
      <w:r w:rsidR="00FA1FA7" w:rsidRPr="00703A0B">
        <w:rPr>
          <w:rFonts w:eastAsia="Aptos" w:cs="Arial"/>
        </w:rPr>
        <w:t xml:space="preserve">maintaining </w:t>
      </w:r>
      <w:r w:rsidR="009125E0" w:rsidRPr="00703A0B">
        <w:rPr>
          <w:rFonts w:eastAsia="Aptos" w:cs="Arial"/>
        </w:rPr>
        <w:t xml:space="preserve">a </w:t>
      </w:r>
      <w:r w:rsidR="00FA1FA7" w:rsidRPr="00703A0B">
        <w:rPr>
          <w:rFonts w:eastAsia="Aptos" w:cs="Arial"/>
        </w:rPr>
        <w:t>clear</w:t>
      </w:r>
      <w:r w:rsidR="00C04F45" w:rsidRPr="00703A0B">
        <w:rPr>
          <w:rFonts w:eastAsia="Aptos" w:cs="Arial"/>
        </w:rPr>
        <w:t xml:space="preserve"> focus on accountability</w:t>
      </w:r>
      <w:r w:rsidR="009125E0" w:rsidRPr="00703A0B">
        <w:rPr>
          <w:rFonts w:eastAsia="Aptos" w:cs="Arial"/>
        </w:rPr>
        <w:t xml:space="preserve"> and </w:t>
      </w:r>
      <w:r w:rsidR="00C04F45" w:rsidRPr="00703A0B">
        <w:rPr>
          <w:rFonts w:eastAsia="Aptos" w:cs="Arial"/>
        </w:rPr>
        <w:t xml:space="preserve">transparency </w:t>
      </w:r>
      <w:r w:rsidR="009125E0" w:rsidRPr="00703A0B">
        <w:rPr>
          <w:rFonts w:eastAsia="Aptos" w:cs="Arial"/>
        </w:rPr>
        <w:t xml:space="preserve">to </w:t>
      </w:r>
      <w:r w:rsidR="00F4400C" w:rsidRPr="00703A0B">
        <w:rPr>
          <w:rFonts w:eastAsia="Aptos" w:cs="Arial"/>
        </w:rPr>
        <w:t>deliver better outcomes for customers and industry</w:t>
      </w:r>
      <w:r w:rsidR="00631BE7" w:rsidRPr="00703A0B">
        <w:rPr>
          <w:rFonts w:eastAsia="Aptos" w:cs="Arial"/>
        </w:rPr>
        <w:t>.</w:t>
      </w:r>
      <w:r w:rsidR="008E6558" w:rsidRPr="00703A0B">
        <w:rPr>
          <w:rFonts w:eastAsia="Aptos" w:cs="Arial"/>
        </w:rPr>
        <w:t xml:space="preserve"> </w:t>
      </w:r>
      <w:r w:rsidR="00BE38CB" w:rsidRPr="00703A0B">
        <w:rPr>
          <w:rFonts w:eastAsia="Aptos" w:cs="Arial"/>
        </w:rPr>
        <w:t xml:space="preserve">During the year, we </w:t>
      </w:r>
      <w:r w:rsidR="000C27CB" w:rsidRPr="00703A0B">
        <w:rPr>
          <w:rFonts w:eastAsia="Aptos" w:cs="Arial"/>
        </w:rPr>
        <w:t xml:space="preserve">further </w:t>
      </w:r>
      <w:r w:rsidR="00BE38CB" w:rsidRPr="00703A0B">
        <w:rPr>
          <w:rFonts w:eastAsia="Aptos" w:cs="Arial"/>
        </w:rPr>
        <w:t xml:space="preserve">strengthened </w:t>
      </w:r>
      <w:r w:rsidR="00FF02D8" w:rsidRPr="00703A0B">
        <w:rPr>
          <w:rFonts w:eastAsia="Aptos" w:cs="Arial"/>
        </w:rPr>
        <w:t xml:space="preserve">our governance with the appointment of five new members to </w:t>
      </w:r>
      <w:r w:rsidR="009F26BA" w:rsidRPr="00703A0B">
        <w:rPr>
          <w:rFonts w:eastAsia="Aptos" w:cs="Arial"/>
        </w:rPr>
        <w:t xml:space="preserve">the </w:t>
      </w:r>
      <w:r w:rsidR="00E82FCB" w:rsidRPr="00703A0B">
        <w:rPr>
          <w:rFonts w:eastAsia="Aptos" w:cs="Arial"/>
        </w:rPr>
        <w:t>Queensland Building and Construction</w:t>
      </w:r>
      <w:r w:rsidR="00F901D4" w:rsidRPr="00703A0B">
        <w:rPr>
          <w:rFonts w:eastAsia="Aptos" w:cs="Arial"/>
        </w:rPr>
        <w:t xml:space="preserve"> </w:t>
      </w:r>
      <w:r w:rsidR="009F26BA" w:rsidRPr="00703A0B">
        <w:rPr>
          <w:rFonts w:eastAsia="Aptos" w:cs="Arial"/>
        </w:rPr>
        <w:t>Board</w:t>
      </w:r>
      <w:r w:rsidR="00D125DD" w:rsidRPr="00703A0B">
        <w:rPr>
          <w:rFonts w:eastAsia="Aptos" w:cs="Arial"/>
        </w:rPr>
        <w:t>,</w:t>
      </w:r>
      <w:r w:rsidR="00AD0803" w:rsidRPr="00703A0B">
        <w:rPr>
          <w:rFonts w:eastAsia="Aptos" w:cs="Arial"/>
        </w:rPr>
        <w:t xml:space="preserve"> </w:t>
      </w:r>
      <w:r w:rsidR="005F5BC9" w:rsidRPr="00703A0B">
        <w:rPr>
          <w:rFonts w:eastAsia="Aptos" w:cs="Arial"/>
        </w:rPr>
        <w:t xml:space="preserve">who bring diverse expertise </w:t>
      </w:r>
      <w:r w:rsidR="005C0B2C" w:rsidRPr="00703A0B">
        <w:rPr>
          <w:rFonts w:eastAsia="Aptos" w:cs="Arial"/>
        </w:rPr>
        <w:t>to guide our transformation</w:t>
      </w:r>
      <w:r w:rsidR="009F26BA" w:rsidRPr="00703A0B">
        <w:rPr>
          <w:rFonts w:eastAsia="Aptos" w:cs="Arial"/>
        </w:rPr>
        <w:t>.</w:t>
      </w:r>
      <w:r w:rsidR="00617D55" w:rsidRPr="00703A0B">
        <w:rPr>
          <w:rFonts w:eastAsia="Aptos" w:cs="Arial"/>
        </w:rPr>
        <w:t xml:space="preserve"> </w:t>
      </w:r>
      <w:r w:rsidR="00E15B70" w:rsidRPr="00703A0B">
        <w:t xml:space="preserve">As Queensland’s independent building and construction regulator, </w:t>
      </w:r>
      <w:r w:rsidR="006015FE" w:rsidRPr="00703A0B">
        <w:t xml:space="preserve">the QBCC </w:t>
      </w:r>
      <w:r w:rsidR="007D5C58" w:rsidRPr="00703A0B">
        <w:t xml:space="preserve">supports an industry </w:t>
      </w:r>
      <w:r w:rsidR="001B0B8F" w:rsidRPr="00703A0B">
        <w:t>that is critical to the state’s</w:t>
      </w:r>
      <w:r w:rsidR="38C7934B" w:rsidRPr="00703A0B">
        <w:t xml:space="preserve"> econom</w:t>
      </w:r>
      <w:r w:rsidR="001B0B8F" w:rsidRPr="00703A0B">
        <w:t xml:space="preserve">y and </w:t>
      </w:r>
      <w:r w:rsidR="003E3F78" w:rsidRPr="00703A0B">
        <w:t xml:space="preserve">essential to the wellbeing of </w:t>
      </w:r>
      <w:r w:rsidR="00E15B70" w:rsidRPr="00703A0B">
        <w:t>communit</w:t>
      </w:r>
      <w:r w:rsidR="00A01388" w:rsidRPr="00703A0B">
        <w:t>ies.</w:t>
      </w:r>
      <w:r w:rsidR="00AB663F" w:rsidRPr="00703A0B">
        <w:t xml:space="preserve"> </w:t>
      </w:r>
      <w:r w:rsidR="00A76AEE" w:rsidRPr="00703A0B">
        <w:rPr>
          <w:rFonts w:eastAsia="Aptos" w:cs="Arial"/>
        </w:rPr>
        <w:t>W</w:t>
      </w:r>
      <w:r w:rsidR="008655E5" w:rsidRPr="00703A0B">
        <w:rPr>
          <w:rFonts w:eastAsia="Aptos" w:cs="Arial"/>
        </w:rPr>
        <w:t xml:space="preserve">e </w:t>
      </w:r>
      <w:r w:rsidR="0008615D" w:rsidRPr="00703A0B">
        <w:rPr>
          <w:rFonts w:eastAsia="Aptos" w:cs="Arial"/>
        </w:rPr>
        <w:t xml:space="preserve">remain committed </w:t>
      </w:r>
      <w:r w:rsidR="008655E5" w:rsidRPr="00703A0B">
        <w:rPr>
          <w:rFonts w:eastAsia="Aptos" w:cs="Arial"/>
        </w:rPr>
        <w:t xml:space="preserve">to </w:t>
      </w:r>
      <w:r w:rsidR="00B0383F" w:rsidRPr="00703A0B">
        <w:rPr>
          <w:rFonts w:eastAsia="Aptos" w:cs="Arial"/>
        </w:rPr>
        <w:t>support</w:t>
      </w:r>
      <w:r w:rsidR="0008615D" w:rsidRPr="00703A0B">
        <w:rPr>
          <w:rFonts w:eastAsia="Aptos" w:cs="Arial"/>
        </w:rPr>
        <w:t xml:space="preserve">ing </w:t>
      </w:r>
      <w:r w:rsidR="00B0383F" w:rsidRPr="00703A0B">
        <w:rPr>
          <w:rFonts w:eastAsia="Aptos" w:cs="Arial"/>
        </w:rPr>
        <w:t>the industry</w:t>
      </w:r>
      <w:r w:rsidR="0008615D" w:rsidRPr="00703A0B">
        <w:rPr>
          <w:rFonts w:eastAsia="Aptos" w:cs="Arial"/>
        </w:rPr>
        <w:t xml:space="preserve"> </w:t>
      </w:r>
      <w:r w:rsidR="00B0383F" w:rsidRPr="00703A0B">
        <w:rPr>
          <w:rFonts w:eastAsia="Aptos" w:cs="Arial"/>
        </w:rPr>
        <w:t>meet</w:t>
      </w:r>
      <w:r w:rsidR="0008615D" w:rsidRPr="00703A0B">
        <w:rPr>
          <w:rFonts w:eastAsia="Aptos" w:cs="Arial"/>
        </w:rPr>
        <w:t xml:space="preserve"> </w:t>
      </w:r>
      <w:r w:rsidR="00D0562D" w:rsidRPr="00703A0B">
        <w:rPr>
          <w:rFonts w:eastAsia="Aptos" w:cs="Arial"/>
        </w:rPr>
        <w:t xml:space="preserve">increasing </w:t>
      </w:r>
      <w:r w:rsidR="00B0383F" w:rsidRPr="00703A0B">
        <w:rPr>
          <w:rFonts w:eastAsia="Aptos" w:cs="Arial"/>
        </w:rPr>
        <w:t>demand</w:t>
      </w:r>
      <w:r w:rsidR="00AB00FC" w:rsidRPr="00703A0B">
        <w:rPr>
          <w:rFonts w:eastAsia="Aptos" w:cs="Arial"/>
        </w:rPr>
        <w:t xml:space="preserve">, </w:t>
      </w:r>
      <w:r w:rsidR="005E4B4B" w:rsidRPr="00703A0B">
        <w:rPr>
          <w:rFonts w:eastAsia="Aptos" w:cs="Arial"/>
        </w:rPr>
        <w:t>while</w:t>
      </w:r>
      <w:r w:rsidR="00327E26" w:rsidRPr="00703A0B">
        <w:rPr>
          <w:rFonts w:eastAsia="Aptos" w:cs="Arial"/>
        </w:rPr>
        <w:t xml:space="preserve"> </w:t>
      </w:r>
      <w:r w:rsidR="00AF579A" w:rsidRPr="00703A0B">
        <w:rPr>
          <w:rFonts w:eastAsia="Aptos" w:cs="Arial"/>
        </w:rPr>
        <w:t>strengthening</w:t>
      </w:r>
      <w:r w:rsidR="00EE562B" w:rsidRPr="00703A0B">
        <w:rPr>
          <w:rFonts w:eastAsia="Aptos" w:cs="Arial"/>
        </w:rPr>
        <w:t xml:space="preserve"> confidence</w:t>
      </w:r>
      <w:r w:rsidR="5F8EAD96" w:rsidRPr="00703A0B">
        <w:rPr>
          <w:rFonts w:eastAsia="Aptos" w:cs="Arial"/>
        </w:rPr>
        <w:t xml:space="preserve">, understanding </w:t>
      </w:r>
      <w:r w:rsidR="00EE562B" w:rsidRPr="00703A0B">
        <w:rPr>
          <w:rFonts w:eastAsia="Aptos" w:cs="Arial"/>
        </w:rPr>
        <w:t>and</w:t>
      </w:r>
      <w:r w:rsidR="00242D9C" w:rsidRPr="00703A0B">
        <w:rPr>
          <w:rFonts w:eastAsia="Aptos" w:cs="Arial"/>
        </w:rPr>
        <w:t xml:space="preserve"> </w:t>
      </w:r>
      <w:r w:rsidR="00AF579A" w:rsidRPr="00703A0B">
        <w:rPr>
          <w:rFonts w:eastAsia="Aptos" w:cs="Arial"/>
        </w:rPr>
        <w:t xml:space="preserve">protections for </w:t>
      </w:r>
      <w:proofErr w:type="gramStart"/>
      <w:r w:rsidR="32598838" w:rsidRPr="00703A0B">
        <w:rPr>
          <w:rFonts w:eastAsia="Aptos" w:cs="Arial"/>
        </w:rPr>
        <w:t>home owners</w:t>
      </w:r>
      <w:proofErr w:type="gramEnd"/>
      <w:r w:rsidR="32598838" w:rsidRPr="00703A0B">
        <w:rPr>
          <w:rFonts w:eastAsia="Aptos" w:cs="Arial"/>
        </w:rPr>
        <w:t xml:space="preserve"> </w:t>
      </w:r>
      <w:r w:rsidR="00AF579A" w:rsidRPr="00703A0B">
        <w:rPr>
          <w:rFonts w:eastAsia="Aptos" w:cs="Arial"/>
        </w:rPr>
        <w:t xml:space="preserve">and the </w:t>
      </w:r>
      <w:r w:rsidR="004818B8" w:rsidRPr="00703A0B">
        <w:rPr>
          <w:rFonts w:eastAsia="Aptos" w:cs="Arial"/>
        </w:rPr>
        <w:t>wider</w:t>
      </w:r>
      <w:r w:rsidR="00AF579A" w:rsidRPr="00703A0B">
        <w:rPr>
          <w:rFonts w:eastAsia="Aptos" w:cs="Arial"/>
        </w:rPr>
        <w:t xml:space="preserve"> community. </w:t>
      </w:r>
    </w:p>
    <w:p w14:paraId="37405E7A" w14:textId="77777777" w:rsidR="00EC36B5" w:rsidRPr="00703A0B" w:rsidRDefault="00623B49" w:rsidP="736D06F8">
      <w:pPr>
        <w:spacing w:before="120" w:after="120" w:line="257" w:lineRule="auto"/>
        <w:rPr>
          <w:rFonts w:eastAsia="Aptos" w:cs="Arial"/>
        </w:rPr>
      </w:pPr>
      <w:r w:rsidRPr="00703A0B">
        <w:rPr>
          <w:rFonts w:eastAsia="Aptos" w:cs="Arial"/>
        </w:rPr>
        <w:t xml:space="preserve">The </w:t>
      </w:r>
      <w:r w:rsidR="00773441" w:rsidRPr="00703A0B">
        <w:rPr>
          <w:rFonts w:eastAsia="Aptos" w:cs="Arial"/>
        </w:rPr>
        <w:t>2025–26</w:t>
      </w:r>
      <w:r w:rsidRPr="00703A0B">
        <w:rPr>
          <w:rFonts w:eastAsia="Aptos" w:cs="Arial"/>
        </w:rPr>
        <w:t xml:space="preserve"> financial year</w:t>
      </w:r>
      <w:r w:rsidR="00773441" w:rsidRPr="00703A0B">
        <w:rPr>
          <w:rFonts w:eastAsia="Aptos" w:cs="Arial"/>
        </w:rPr>
        <w:t xml:space="preserve"> </w:t>
      </w:r>
      <w:r w:rsidR="00225A9A" w:rsidRPr="00703A0B">
        <w:rPr>
          <w:rFonts w:eastAsia="Aptos" w:cs="Arial"/>
        </w:rPr>
        <w:t xml:space="preserve">marked a significant step in our transformation into a modern, customer-focused </w:t>
      </w:r>
      <w:r w:rsidR="009F0BC2" w:rsidRPr="00703A0B">
        <w:rPr>
          <w:rFonts w:eastAsia="Aptos" w:cs="Arial"/>
        </w:rPr>
        <w:t xml:space="preserve">and service-oriented regulator. </w:t>
      </w:r>
      <w:r w:rsidR="00EE0393" w:rsidRPr="00703A0B">
        <w:rPr>
          <w:rFonts w:eastAsia="Aptos" w:cs="Arial"/>
        </w:rPr>
        <w:t xml:space="preserve">We </w:t>
      </w:r>
      <w:r w:rsidR="000F3507" w:rsidRPr="00703A0B">
        <w:rPr>
          <w:rFonts w:eastAsia="Aptos" w:cs="Arial"/>
        </w:rPr>
        <w:t xml:space="preserve">progressed a comprehensive program of </w:t>
      </w:r>
      <w:r w:rsidR="00C61399" w:rsidRPr="00703A0B">
        <w:rPr>
          <w:rFonts w:eastAsia="Aptos" w:cs="Arial"/>
        </w:rPr>
        <w:t>change to improve how we deliver value</w:t>
      </w:r>
      <w:r w:rsidR="00F93CFD" w:rsidRPr="00703A0B">
        <w:rPr>
          <w:rFonts w:eastAsia="Aptos" w:cs="Arial"/>
        </w:rPr>
        <w:t xml:space="preserve">, including </w:t>
      </w:r>
      <w:r w:rsidR="005709E3" w:rsidRPr="00703A0B">
        <w:rPr>
          <w:rFonts w:eastAsia="Aptos" w:cs="Arial"/>
        </w:rPr>
        <w:t xml:space="preserve">targeted </w:t>
      </w:r>
      <w:r w:rsidR="00773441" w:rsidRPr="00703A0B">
        <w:rPr>
          <w:rFonts w:eastAsia="Aptos" w:cs="Arial"/>
        </w:rPr>
        <w:t>business improvements, digital innovations and engagement</w:t>
      </w:r>
      <w:r w:rsidR="00796FCF" w:rsidRPr="00703A0B">
        <w:rPr>
          <w:rFonts w:eastAsia="Aptos" w:cs="Arial"/>
        </w:rPr>
        <w:t xml:space="preserve"> with industry and stakeholders</w:t>
      </w:r>
      <w:r w:rsidR="00773441" w:rsidRPr="00703A0B">
        <w:rPr>
          <w:rFonts w:eastAsia="Aptos" w:cs="Arial"/>
        </w:rPr>
        <w:t>.</w:t>
      </w:r>
      <w:r w:rsidR="00B66997" w:rsidRPr="00703A0B">
        <w:rPr>
          <w:rFonts w:eastAsia="Aptos" w:cs="Arial"/>
        </w:rPr>
        <w:t xml:space="preserve"> This annual report highlights </w:t>
      </w:r>
      <w:r w:rsidR="00EF199F" w:rsidRPr="00703A0B">
        <w:rPr>
          <w:rFonts w:eastAsia="Aptos" w:cs="Arial"/>
        </w:rPr>
        <w:t>our performance, achievements and impact</w:t>
      </w:r>
      <w:r w:rsidR="00B66997" w:rsidRPr="00703A0B">
        <w:rPr>
          <w:rFonts w:eastAsia="Aptos" w:cs="Arial"/>
        </w:rPr>
        <w:t xml:space="preserve"> across our key areas of focus</w:t>
      </w:r>
      <w:r w:rsidR="00AC7AB9" w:rsidRPr="00703A0B">
        <w:rPr>
          <w:rFonts w:eastAsia="Aptos" w:cs="Arial"/>
        </w:rPr>
        <w:t xml:space="preserve">. </w:t>
      </w:r>
      <w:r w:rsidR="7C1C0C7C" w:rsidRPr="00703A0B">
        <w:rPr>
          <w:rFonts w:eastAsia="Aptos" w:cs="Arial"/>
        </w:rPr>
        <w:t>Our</w:t>
      </w:r>
      <w:r w:rsidR="00EB549F" w:rsidRPr="00703A0B">
        <w:rPr>
          <w:rFonts w:eastAsia="Aptos" w:cs="Arial"/>
        </w:rPr>
        <w:t xml:space="preserve"> </w:t>
      </w:r>
      <w:r w:rsidR="00093556" w:rsidRPr="00703A0B">
        <w:rPr>
          <w:rFonts w:eastAsia="Aptos" w:cs="Arial"/>
        </w:rPr>
        <w:t>refreshed</w:t>
      </w:r>
      <w:r w:rsidR="00581212" w:rsidRPr="00703A0B">
        <w:rPr>
          <w:rFonts w:eastAsia="Aptos" w:cs="Arial"/>
        </w:rPr>
        <w:t xml:space="preserve"> QBCC</w:t>
      </w:r>
      <w:r w:rsidR="004C2684" w:rsidRPr="00703A0B">
        <w:rPr>
          <w:rFonts w:eastAsia="Aptos" w:cs="Arial"/>
        </w:rPr>
        <w:t xml:space="preserve"> </w:t>
      </w:r>
      <w:r w:rsidR="000E629A" w:rsidRPr="00703A0B">
        <w:rPr>
          <w:rFonts w:eastAsia="Aptos" w:cs="Arial"/>
        </w:rPr>
        <w:t xml:space="preserve">Strategic Plan </w:t>
      </w:r>
      <w:r w:rsidR="001A6CDE" w:rsidRPr="00703A0B">
        <w:rPr>
          <w:rFonts w:eastAsia="Aptos" w:cs="Arial"/>
        </w:rPr>
        <w:t>202</w:t>
      </w:r>
      <w:r w:rsidR="00D04285" w:rsidRPr="00703A0B">
        <w:rPr>
          <w:rFonts w:eastAsia="Aptos" w:cs="Arial"/>
        </w:rPr>
        <w:t>5</w:t>
      </w:r>
      <w:r w:rsidR="001A6CDE" w:rsidRPr="00703A0B">
        <w:rPr>
          <w:rFonts w:eastAsia="Aptos" w:cs="Arial"/>
        </w:rPr>
        <w:t>–</w:t>
      </w:r>
      <w:r w:rsidR="00D04285" w:rsidRPr="00703A0B">
        <w:rPr>
          <w:rFonts w:eastAsia="Aptos" w:cs="Arial"/>
        </w:rPr>
        <w:t>29</w:t>
      </w:r>
      <w:r w:rsidR="001A6CDE" w:rsidRPr="00703A0B">
        <w:rPr>
          <w:rFonts w:eastAsia="Aptos" w:cs="Arial"/>
        </w:rPr>
        <w:t xml:space="preserve"> sets a clear direction for the </w:t>
      </w:r>
      <w:r w:rsidR="000D75A7" w:rsidRPr="00703A0B">
        <w:rPr>
          <w:rFonts w:eastAsia="Aptos" w:cs="Arial"/>
        </w:rPr>
        <w:t>organisation’s ongoing transformation. It</w:t>
      </w:r>
      <w:r w:rsidR="000E629A" w:rsidRPr="00703A0B">
        <w:rPr>
          <w:rFonts w:eastAsia="Aptos" w:cs="Arial"/>
        </w:rPr>
        <w:t xml:space="preserve"> </w:t>
      </w:r>
      <w:r w:rsidR="00C56364" w:rsidRPr="00703A0B">
        <w:rPr>
          <w:rFonts w:eastAsia="Aptos" w:cs="Arial"/>
        </w:rPr>
        <w:t>reflect</w:t>
      </w:r>
      <w:r w:rsidR="004C2684" w:rsidRPr="00703A0B">
        <w:rPr>
          <w:rFonts w:eastAsia="Aptos" w:cs="Arial"/>
        </w:rPr>
        <w:t>s</w:t>
      </w:r>
      <w:r w:rsidR="00C56364" w:rsidRPr="00703A0B">
        <w:rPr>
          <w:rFonts w:eastAsia="Aptos" w:cs="Arial"/>
        </w:rPr>
        <w:t xml:space="preserve"> </w:t>
      </w:r>
      <w:r w:rsidR="000D75A7" w:rsidRPr="00703A0B">
        <w:rPr>
          <w:rFonts w:eastAsia="Aptos" w:cs="Arial"/>
        </w:rPr>
        <w:t xml:space="preserve">our commitment </w:t>
      </w:r>
      <w:r w:rsidR="077D2433" w:rsidRPr="00703A0B">
        <w:rPr>
          <w:rFonts w:eastAsia="Aptos" w:cs="Arial"/>
        </w:rPr>
        <w:t>to operat</w:t>
      </w:r>
      <w:r w:rsidR="4989C8D1" w:rsidRPr="00703A0B">
        <w:rPr>
          <w:rFonts w:eastAsia="Aptos" w:cs="Arial"/>
        </w:rPr>
        <w:t xml:space="preserve">ing </w:t>
      </w:r>
      <w:r w:rsidR="077D2433" w:rsidRPr="00703A0B">
        <w:rPr>
          <w:rFonts w:eastAsia="Aptos" w:cs="Arial"/>
        </w:rPr>
        <w:t>with fairness, accountability, integrity and respect</w:t>
      </w:r>
      <w:r w:rsidR="50C71FF5" w:rsidRPr="00703A0B">
        <w:rPr>
          <w:rFonts w:eastAsia="Aptos" w:cs="Arial"/>
        </w:rPr>
        <w:t>,</w:t>
      </w:r>
      <w:r w:rsidR="077D2433" w:rsidRPr="00703A0B">
        <w:rPr>
          <w:rFonts w:eastAsia="Aptos" w:cs="Arial"/>
        </w:rPr>
        <w:t xml:space="preserve"> </w:t>
      </w:r>
      <w:r w:rsidR="10668F28" w:rsidRPr="00703A0B">
        <w:rPr>
          <w:rFonts w:eastAsia="Aptos" w:cs="Arial"/>
        </w:rPr>
        <w:t xml:space="preserve">enabling us </w:t>
      </w:r>
      <w:r w:rsidR="000D75A7" w:rsidRPr="00703A0B">
        <w:rPr>
          <w:rFonts w:eastAsia="Aptos" w:cs="Arial"/>
        </w:rPr>
        <w:t>to</w:t>
      </w:r>
      <w:r w:rsidR="30C0DB8E" w:rsidRPr="00703A0B">
        <w:rPr>
          <w:rFonts w:eastAsia="Aptos" w:cs="Arial"/>
        </w:rPr>
        <w:t xml:space="preserve"> deliver</w:t>
      </w:r>
      <w:r w:rsidR="00EB549F" w:rsidRPr="00703A0B">
        <w:rPr>
          <w:rFonts w:eastAsia="Aptos" w:cs="Arial"/>
        </w:rPr>
        <w:t xml:space="preserve"> </w:t>
      </w:r>
      <w:r w:rsidR="2DDFEE50" w:rsidRPr="00703A0B">
        <w:rPr>
          <w:rFonts w:eastAsia="Aptos" w:cs="Arial"/>
        </w:rPr>
        <w:t>quality</w:t>
      </w:r>
      <w:r w:rsidR="00AF7ACE" w:rsidRPr="00703A0B">
        <w:rPr>
          <w:rFonts w:eastAsia="Aptos" w:cs="Arial"/>
        </w:rPr>
        <w:t xml:space="preserve"> regulatory decisions, </w:t>
      </w:r>
      <w:r w:rsidR="00E62E0B" w:rsidRPr="00703A0B">
        <w:rPr>
          <w:rFonts w:eastAsia="Aptos" w:cs="Arial"/>
        </w:rPr>
        <w:t xml:space="preserve">while lifting service standards, improving operational efficiency and strengthening trust. </w:t>
      </w:r>
    </w:p>
    <w:p w14:paraId="2DEA3A8A" w14:textId="4F457904" w:rsidR="00F00EE3" w:rsidRPr="00703A0B" w:rsidRDefault="00D91E57" w:rsidP="736D06F8">
      <w:pPr>
        <w:spacing w:before="120" w:after="120" w:line="257" w:lineRule="auto"/>
        <w:rPr>
          <w:rFonts w:eastAsia="Aptos" w:cs="Arial"/>
        </w:rPr>
      </w:pPr>
      <w:r w:rsidRPr="00703A0B">
        <w:rPr>
          <w:rFonts w:eastAsia="Aptos" w:cs="Arial"/>
        </w:rPr>
        <w:t xml:space="preserve">Central to </w:t>
      </w:r>
      <w:r w:rsidR="00D57EB7" w:rsidRPr="00703A0B">
        <w:rPr>
          <w:rFonts w:eastAsia="Aptos" w:cs="Arial"/>
        </w:rPr>
        <w:t xml:space="preserve">our </w:t>
      </w:r>
      <w:r w:rsidRPr="00703A0B">
        <w:rPr>
          <w:rFonts w:eastAsia="Aptos" w:cs="Arial"/>
        </w:rPr>
        <w:t xml:space="preserve">transformation is a </w:t>
      </w:r>
      <w:r w:rsidR="00F53E7A" w:rsidRPr="00703A0B">
        <w:rPr>
          <w:rFonts w:eastAsia="Aptos" w:cs="Arial"/>
        </w:rPr>
        <w:t xml:space="preserve">shift towards </w:t>
      </w:r>
      <w:r w:rsidR="00994A55" w:rsidRPr="00703A0B">
        <w:rPr>
          <w:rFonts w:eastAsia="Aptos" w:cs="Arial"/>
        </w:rPr>
        <w:t xml:space="preserve">being </w:t>
      </w:r>
      <w:r w:rsidR="00F53E7A" w:rsidRPr="00703A0B">
        <w:rPr>
          <w:rFonts w:eastAsia="Aptos" w:cs="Arial"/>
        </w:rPr>
        <w:t xml:space="preserve">a more </w:t>
      </w:r>
      <w:r w:rsidR="183AAD8B" w:rsidRPr="00703A0B">
        <w:rPr>
          <w:rFonts w:eastAsia="Aptos" w:cs="Arial"/>
        </w:rPr>
        <w:t xml:space="preserve">proactive </w:t>
      </w:r>
      <w:r w:rsidR="00F53E7A" w:rsidRPr="00703A0B">
        <w:rPr>
          <w:rFonts w:eastAsia="Aptos" w:cs="Arial"/>
        </w:rPr>
        <w:t>and accessible regulator, one that makes it easier for</w:t>
      </w:r>
      <w:r w:rsidR="1B426C08" w:rsidRPr="00703A0B">
        <w:rPr>
          <w:rFonts w:eastAsia="Aptos" w:cs="Arial"/>
        </w:rPr>
        <w:t xml:space="preserve"> </w:t>
      </w:r>
      <w:proofErr w:type="gramStart"/>
      <w:r w:rsidR="1B426C08" w:rsidRPr="00703A0B">
        <w:rPr>
          <w:rFonts w:eastAsia="Aptos" w:cs="Arial"/>
        </w:rPr>
        <w:t>home owners</w:t>
      </w:r>
      <w:proofErr w:type="gramEnd"/>
      <w:r w:rsidR="1B426C08" w:rsidRPr="00703A0B">
        <w:rPr>
          <w:rFonts w:eastAsia="Aptos" w:cs="Arial"/>
        </w:rPr>
        <w:t xml:space="preserve"> and licensees</w:t>
      </w:r>
      <w:r w:rsidR="00F53E7A" w:rsidRPr="00703A0B">
        <w:rPr>
          <w:rFonts w:eastAsia="Aptos" w:cs="Arial"/>
        </w:rPr>
        <w:t xml:space="preserve"> to engage</w:t>
      </w:r>
      <w:r w:rsidR="1515DC24" w:rsidRPr="00703A0B">
        <w:rPr>
          <w:rFonts w:eastAsia="Aptos" w:cs="Arial"/>
        </w:rPr>
        <w:t xml:space="preserve"> with us, conduct </w:t>
      </w:r>
      <w:r w:rsidR="1AFD021C" w:rsidRPr="00703A0B">
        <w:rPr>
          <w:rFonts w:eastAsia="Aptos" w:cs="Arial"/>
        </w:rPr>
        <w:t xml:space="preserve">business efficiently </w:t>
      </w:r>
      <w:r w:rsidR="00F53E7A" w:rsidRPr="00703A0B">
        <w:rPr>
          <w:rFonts w:eastAsia="Aptos" w:cs="Arial"/>
        </w:rPr>
        <w:t xml:space="preserve">and resolve issues quickly and effectively. </w:t>
      </w:r>
      <w:r w:rsidR="0071289D" w:rsidRPr="00703A0B">
        <w:rPr>
          <w:rFonts w:eastAsia="Aptos" w:cs="Arial"/>
        </w:rPr>
        <w:t>Our</w:t>
      </w:r>
      <w:r w:rsidR="00C56364" w:rsidRPr="00703A0B">
        <w:rPr>
          <w:rFonts w:eastAsia="Aptos" w:cs="Arial"/>
        </w:rPr>
        <w:t xml:space="preserve"> </w:t>
      </w:r>
      <w:r w:rsidR="00230D89" w:rsidRPr="00703A0B">
        <w:rPr>
          <w:rFonts w:eastAsia="Aptos" w:cs="Arial"/>
        </w:rPr>
        <w:t>transformation</w:t>
      </w:r>
      <w:r w:rsidR="00C56364" w:rsidRPr="00703A0B">
        <w:rPr>
          <w:rFonts w:eastAsia="Aptos" w:cs="Arial"/>
        </w:rPr>
        <w:t xml:space="preserve"> </w:t>
      </w:r>
      <w:r w:rsidR="00230D89" w:rsidRPr="00703A0B">
        <w:rPr>
          <w:rFonts w:eastAsia="Aptos" w:cs="Arial"/>
        </w:rPr>
        <w:t xml:space="preserve">journey </w:t>
      </w:r>
      <w:r w:rsidR="0071289D" w:rsidRPr="00703A0B">
        <w:rPr>
          <w:rFonts w:eastAsia="Aptos" w:cs="Arial"/>
        </w:rPr>
        <w:t xml:space="preserve">is also reflected in practical </w:t>
      </w:r>
      <w:r w:rsidR="00EB31CD" w:rsidRPr="00703A0B">
        <w:rPr>
          <w:rFonts w:eastAsia="Aptos" w:cs="Arial"/>
        </w:rPr>
        <w:t xml:space="preserve">changes to how we work. </w:t>
      </w:r>
      <w:r w:rsidR="00800A8E" w:rsidRPr="00703A0B">
        <w:rPr>
          <w:rFonts w:eastAsia="Aptos" w:cs="Arial"/>
        </w:rPr>
        <w:t xml:space="preserve">We have </w:t>
      </w:r>
      <w:r w:rsidR="2912AEA9" w:rsidRPr="00703A0B">
        <w:rPr>
          <w:rFonts w:eastAsia="Aptos" w:cs="Arial"/>
        </w:rPr>
        <w:t xml:space="preserve">entrenched </w:t>
      </w:r>
      <w:r w:rsidR="0029425C" w:rsidRPr="00703A0B">
        <w:rPr>
          <w:rFonts w:eastAsia="Aptos" w:cs="Arial"/>
        </w:rPr>
        <w:t xml:space="preserve">greater proximity </w:t>
      </w:r>
      <w:r w:rsidR="004F0398" w:rsidRPr="00703A0B">
        <w:rPr>
          <w:rFonts w:eastAsia="Aptos" w:cs="Arial"/>
        </w:rPr>
        <w:t xml:space="preserve">between </w:t>
      </w:r>
      <w:r w:rsidR="0029425C" w:rsidRPr="00703A0B">
        <w:rPr>
          <w:rFonts w:eastAsia="Aptos" w:cs="Arial"/>
        </w:rPr>
        <w:t xml:space="preserve">the </w:t>
      </w:r>
      <w:r w:rsidR="00EC645C" w:rsidRPr="00703A0B">
        <w:rPr>
          <w:rFonts w:eastAsia="Aptos" w:cs="Arial"/>
        </w:rPr>
        <w:t xml:space="preserve">QBCC </w:t>
      </w:r>
      <w:r w:rsidR="00024E09" w:rsidRPr="00703A0B">
        <w:rPr>
          <w:rFonts w:eastAsia="Aptos" w:cs="Arial"/>
        </w:rPr>
        <w:t>Chief Executive Officer and</w:t>
      </w:r>
      <w:r w:rsidR="0029425C" w:rsidRPr="00703A0B">
        <w:rPr>
          <w:rFonts w:eastAsia="Aptos" w:cs="Arial"/>
        </w:rPr>
        <w:t xml:space="preserve"> </w:t>
      </w:r>
      <w:r w:rsidR="00475082" w:rsidRPr="00703A0B">
        <w:rPr>
          <w:rFonts w:eastAsia="Aptos" w:cs="Arial"/>
        </w:rPr>
        <w:t>Commissioner</w:t>
      </w:r>
      <w:r w:rsidR="000710E5" w:rsidRPr="00703A0B">
        <w:rPr>
          <w:rFonts w:eastAsia="Aptos" w:cs="Arial"/>
        </w:rPr>
        <w:t xml:space="preserve"> </w:t>
      </w:r>
      <w:r w:rsidR="00304D20" w:rsidRPr="00703A0B">
        <w:rPr>
          <w:rFonts w:eastAsia="Aptos" w:cs="Arial"/>
        </w:rPr>
        <w:t xml:space="preserve">(Commissioner) </w:t>
      </w:r>
      <w:r w:rsidR="003C119B" w:rsidRPr="00703A0B">
        <w:rPr>
          <w:rFonts w:eastAsia="Aptos" w:cs="Arial"/>
        </w:rPr>
        <w:t>and</w:t>
      </w:r>
      <w:r w:rsidR="000710E5" w:rsidRPr="00703A0B">
        <w:rPr>
          <w:rFonts w:eastAsia="Aptos" w:cs="Arial"/>
        </w:rPr>
        <w:t xml:space="preserve"> frontline services, </w:t>
      </w:r>
      <w:r w:rsidR="003C119B" w:rsidRPr="00703A0B">
        <w:rPr>
          <w:rFonts w:eastAsia="Aptos" w:cs="Arial"/>
        </w:rPr>
        <w:t xml:space="preserve">strengthened accountability for </w:t>
      </w:r>
      <w:r w:rsidR="00EC645C" w:rsidRPr="00703A0B">
        <w:rPr>
          <w:rFonts w:eastAsia="Aptos" w:cs="Arial"/>
        </w:rPr>
        <w:t xml:space="preserve">service delivery </w:t>
      </w:r>
      <w:r w:rsidR="00FE11CA" w:rsidRPr="00703A0B">
        <w:rPr>
          <w:rFonts w:eastAsia="Aptos" w:cs="Arial"/>
        </w:rPr>
        <w:t>outcomes</w:t>
      </w:r>
      <w:r w:rsidR="2940D4C1" w:rsidRPr="00703A0B">
        <w:rPr>
          <w:rFonts w:eastAsia="Aptos" w:cs="Arial"/>
        </w:rPr>
        <w:t xml:space="preserve">, </w:t>
      </w:r>
      <w:r w:rsidR="00074F18" w:rsidRPr="00703A0B">
        <w:rPr>
          <w:rFonts w:eastAsia="Aptos" w:cs="Arial"/>
        </w:rPr>
        <w:t xml:space="preserve">enhanced </w:t>
      </w:r>
      <w:r w:rsidR="2940D4C1" w:rsidRPr="00703A0B">
        <w:rPr>
          <w:rFonts w:eastAsia="Aptos" w:cs="Arial"/>
        </w:rPr>
        <w:t>stakeholder</w:t>
      </w:r>
      <w:r w:rsidR="00074F18" w:rsidRPr="00703A0B">
        <w:rPr>
          <w:rFonts w:eastAsia="Aptos" w:cs="Arial"/>
        </w:rPr>
        <w:t xml:space="preserve"> involvement </w:t>
      </w:r>
      <w:r w:rsidR="2940D4C1" w:rsidRPr="00703A0B">
        <w:rPr>
          <w:rFonts w:eastAsia="Aptos" w:cs="Arial"/>
        </w:rPr>
        <w:t>in shaping the future</w:t>
      </w:r>
      <w:r w:rsidR="00FE11CA" w:rsidRPr="00703A0B">
        <w:rPr>
          <w:rFonts w:eastAsia="Aptos" w:cs="Arial"/>
        </w:rPr>
        <w:t xml:space="preserve"> </w:t>
      </w:r>
      <w:r w:rsidR="00B5231A" w:rsidRPr="00703A0B">
        <w:rPr>
          <w:rFonts w:eastAsia="Aptos" w:cs="Arial"/>
        </w:rPr>
        <w:t xml:space="preserve">and </w:t>
      </w:r>
      <w:r w:rsidR="00FE11CA" w:rsidRPr="00703A0B">
        <w:rPr>
          <w:rFonts w:eastAsia="Aptos" w:cs="Arial"/>
        </w:rPr>
        <w:t>simplified processes to reduce complexity for customers</w:t>
      </w:r>
      <w:r w:rsidR="00C47D70" w:rsidRPr="00703A0B">
        <w:rPr>
          <w:rFonts w:eastAsia="Aptos" w:cs="Arial"/>
        </w:rPr>
        <w:t>.</w:t>
      </w:r>
      <w:r w:rsidR="00500666" w:rsidRPr="00703A0B">
        <w:rPr>
          <w:rFonts w:eastAsia="Aptos" w:cs="Arial"/>
        </w:rPr>
        <w:t xml:space="preserve"> These actions are helping us to move beyond a traditional compliance model to one that balances firm regulation with education, engagement and support.</w:t>
      </w:r>
    </w:p>
    <w:p w14:paraId="1FC9EDA4" w14:textId="470939C7" w:rsidR="00786FBC" w:rsidRPr="00703A0B" w:rsidRDefault="0039596F" w:rsidP="00C16001">
      <w:pPr>
        <w:spacing w:before="120" w:after="120" w:line="257" w:lineRule="auto"/>
      </w:pPr>
      <w:r w:rsidRPr="00703A0B">
        <w:t xml:space="preserve">Looking ahead, we will continue to modernise our systems and </w:t>
      </w:r>
      <w:r w:rsidR="00510FF7" w:rsidRPr="00703A0B">
        <w:t>a</w:t>
      </w:r>
      <w:r w:rsidR="00032B88" w:rsidRPr="00703A0B">
        <w:t>ctively support</w:t>
      </w:r>
      <w:r w:rsidR="00510FF7" w:rsidRPr="00703A0B">
        <w:t xml:space="preserve"> </w:t>
      </w:r>
      <w:r w:rsidR="00032B88" w:rsidRPr="00703A0B">
        <w:t>broader building policy reforms</w:t>
      </w:r>
      <w:r w:rsidR="00D72235" w:rsidRPr="00703A0B">
        <w:rPr>
          <w:rFonts w:eastAsia="Aptos" w:cs="Arial"/>
        </w:rPr>
        <w:t xml:space="preserve">, including </w:t>
      </w:r>
      <w:r w:rsidR="00514BC2" w:rsidRPr="00703A0B">
        <w:rPr>
          <w:rFonts w:eastAsia="Aptos" w:cs="Arial"/>
        </w:rPr>
        <w:t xml:space="preserve">the </w:t>
      </w:r>
      <w:r w:rsidR="00904299" w:rsidRPr="00703A0B">
        <w:rPr>
          <w:rFonts w:eastAsia="Aptos" w:cs="Arial"/>
        </w:rPr>
        <w:t>Queensland Government’s</w:t>
      </w:r>
      <w:r w:rsidR="00514BC2" w:rsidRPr="00703A0B">
        <w:rPr>
          <w:rFonts w:eastAsia="Aptos" w:cs="Arial"/>
        </w:rPr>
        <w:t xml:space="preserve"> </w:t>
      </w:r>
      <w:r w:rsidR="00087DDC" w:rsidRPr="00703A0B">
        <w:t>Building Reg</w:t>
      </w:r>
      <w:r w:rsidR="00D72235" w:rsidRPr="00703A0B">
        <w:t>ulation</w:t>
      </w:r>
      <w:r w:rsidR="00087DDC" w:rsidRPr="00703A0B">
        <w:t xml:space="preserve"> Reno</w:t>
      </w:r>
      <w:r w:rsidR="00D72235" w:rsidRPr="00703A0B">
        <w:t>vation</w:t>
      </w:r>
      <w:r w:rsidR="00C31736" w:rsidRPr="00703A0B">
        <w:rPr>
          <w:rFonts w:eastAsia="Aptos" w:cs="Arial"/>
        </w:rPr>
        <w:t xml:space="preserve">, </w:t>
      </w:r>
      <w:r w:rsidR="009C6496" w:rsidRPr="00703A0B">
        <w:rPr>
          <w:rFonts w:eastAsia="Aptos" w:cs="Arial"/>
        </w:rPr>
        <w:t xml:space="preserve">to </w:t>
      </w:r>
      <w:r w:rsidR="00F75581" w:rsidRPr="00703A0B">
        <w:rPr>
          <w:rFonts w:eastAsia="Aptos" w:cs="Arial"/>
        </w:rPr>
        <w:t>s</w:t>
      </w:r>
      <w:r w:rsidR="00F1199E" w:rsidRPr="00703A0B">
        <w:rPr>
          <w:rFonts w:eastAsia="Aptos" w:cs="Arial"/>
        </w:rPr>
        <w:t>implify</w:t>
      </w:r>
      <w:r w:rsidR="00F75581" w:rsidRPr="00703A0B">
        <w:rPr>
          <w:rFonts w:eastAsia="Aptos" w:cs="Arial"/>
        </w:rPr>
        <w:t xml:space="preserve"> the </w:t>
      </w:r>
      <w:r w:rsidR="003D4DC6" w:rsidRPr="00703A0B">
        <w:rPr>
          <w:rFonts w:eastAsia="Aptos" w:cs="Arial"/>
        </w:rPr>
        <w:t>regulatory environment</w:t>
      </w:r>
      <w:r w:rsidR="00E65C16" w:rsidRPr="00703A0B">
        <w:rPr>
          <w:rFonts w:eastAsia="Aptos" w:cs="Arial"/>
        </w:rPr>
        <w:t xml:space="preserve">, boost </w:t>
      </w:r>
      <w:r w:rsidR="003709F1" w:rsidRPr="00703A0B">
        <w:rPr>
          <w:rFonts w:eastAsia="Aptos" w:cs="Arial"/>
        </w:rPr>
        <w:t>productivity</w:t>
      </w:r>
      <w:r w:rsidR="00E65C16" w:rsidRPr="00703A0B">
        <w:rPr>
          <w:rFonts w:eastAsia="Aptos" w:cs="Arial"/>
        </w:rPr>
        <w:t xml:space="preserve"> and safeguard </w:t>
      </w:r>
      <w:r w:rsidR="00E313F1" w:rsidRPr="00703A0B">
        <w:rPr>
          <w:rFonts w:eastAsia="Aptos" w:cs="Arial"/>
        </w:rPr>
        <w:t>investment</w:t>
      </w:r>
      <w:r w:rsidR="00FE30FE" w:rsidRPr="00703A0B">
        <w:rPr>
          <w:rFonts w:eastAsia="Aptos" w:cs="Arial"/>
        </w:rPr>
        <w:t xml:space="preserve"> across the sector</w:t>
      </w:r>
      <w:r w:rsidR="003709F1" w:rsidRPr="00703A0B">
        <w:rPr>
          <w:rFonts w:eastAsia="Aptos" w:cs="Arial"/>
        </w:rPr>
        <w:t>.</w:t>
      </w:r>
      <w:r w:rsidR="00306DC1" w:rsidRPr="00703A0B">
        <w:rPr>
          <w:rFonts w:eastAsia="Aptos" w:cs="Arial"/>
        </w:rPr>
        <w:t xml:space="preserve"> </w:t>
      </w:r>
      <w:r w:rsidR="000E4171" w:rsidRPr="00703A0B">
        <w:rPr>
          <w:rFonts w:eastAsia="Aptos" w:cs="Arial"/>
        </w:rPr>
        <w:t>I thank my fellow QBC</w:t>
      </w:r>
      <w:r w:rsidR="003E5292" w:rsidRPr="00703A0B">
        <w:rPr>
          <w:rFonts w:eastAsia="Aptos" w:cs="Arial"/>
        </w:rPr>
        <w:t xml:space="preserve"> Board members,</w:t>
      </w:r>
      <w:r w:rsidR="000E4171" w:rsidRPr="00703A0B">
        <w:rPr>
          <w:rFonts w:eastAsia="Aptos" w:cs="Arial"/>
        </w:rPr>
        <w:t xml:space="preserve"> </w:t>
      </w:r>
      <w:r w:rsidR="4CC0A5F3" w:rsidRPr="00703A0B">
        <w:rPr>
          <w:rFonts w:eastAsia="Aptos" w:cs="Arial"/>
        </w:rPr>
        <w:t xml:space="preserve">the </w:t>
      </w:r>
      <w:r w:rsidR="000E4171" w:rsidRPr="00703A0B">
        <w:rPr>
          <w:rFonts w:eastAsia="Aptos" w:cs="Arial"/>
        </w:rPr>
        <w:t>Commissioner, the Senior Leadership Team and staff for their professionalism</w:t>
      </w:r>
      <w:r w:rsidR="00196DCD" w:rsidRPr="00703A0B">
        <w:rPr>
          <w:rFonts w:eastAsia="Aptos" w:cs="Arial"/>
        </w:rPr>
        <w:t>, dedication and commitment to delivering on our transformation agenda</w:t>
      </w:r>
      <w:r w:rsidR="000E4171" w:rsidRPr="00703A0B">
        <w:rPr>
          <w:rFonts w:eastAsia="Aptos" w:cs="Arial"/>
        </w:rPr>
        <w:t xml:space="preserve">. I </w:t>
      </w:r>
      <w:r w:rsidR="00C57EFA" w:rsidRPr="00703A0B">
        <w:rPr>
          <w:rFonts w:eastAsia="Aptos" w:cs="Arial"/>
        </w:rPr>
        <w:t xml:space="preserve">am proud of </w:t>
      </w:r>
      <w:r w:rsidR="00196DCD" w:rsidRPr="00703A0B">
        <w:rPr>
          <w:rFonts w:eastAsia="Aptos" w:cs="Arial"/>
        </w:rPr>
        <w:t xml:space="preserve">what we have achieved </w:t>
      </w:r>
      <w:r w:rsidR="00CE25BB" w:rsidRPr="00703A0B">
        <w:rPr>
          <w:rFonts w:eastAsia="Aptos" w:cs="Arial"/>
        </w:rPr>
        <w:t>throughout the</w:t>
      </w:r>
      <w:r w:rsidR="00196DCD" w:rsidRPr="00703A0B">
        <w:rPr>
          <w:rFonts w:eastAsia="Aptos" w:cs="Arial"/>
        </w:rPr>
        <w:t xml:space="preserve"> year and </w:t>
      </w:r>
      <w:r w:rsidR="00CE25BB" w:rsidRPr="00703A0B">
        <w:rPr>
          <w:rFonts w:eastAsia="Aptos" w:cs="Arial"/>
        </w:rPr>
        <w:t xml:space="preserve">am </w:t>
      </w:r>
      <w:r w:rsidR="00940613" w:rsidRPr="00703A0B">
        <w:rPr>
          <w:rFonts w:eastAsia="Aptos" w:cs="Arial"/>
        </w:rPr>
        <w:t xml:space="preserve">confident in </w:t>
      </w:r>
      <w:r w:rsidR="00C57EFA" w:rsidRPr="00703A0B">
        <w:rPr>
          <w:rFonts w:eastAsia="Aptos" w:cs="Arial"/>
        </w:rPr>
        <w:t xml:space="preserve">our </w:t>
      </w:r>
      <w:r w:rsidR="00940613" w:rsidRPr="00703A0B">
        <w:rPr>
          <w:rFonts w:eastAsia="Aptos" w:cs="Arial"/>
        </w:rPr>
        <w:t>continued progress towards becoming a</w:t>
      </w:r>
      <w:r w:rsidR="5959AFF2" w:rsidRPr="00703A0B">
        <w:rPr>
          <w:rFonts w:eastAsia="Aptos" w:cs="Arial"/>
        </w:rPr>
        <w:t xml:space="preserve"> more</w:t>
      </w:r>
      <w:r w:rsidR="00940613" w:rsidRPr="00703A0B">
        <w:rPr>
          <w:rFonts w:eastAsia="Aptos" w:cs="Arial"/>
        </w:rPr>
        <w:t xml:space="preserve"> modern, </w:t>
      </w:r>
      <w:r w:rsidR="3D24E7B7" w:rsidRPr="00703A0B">
        <w:rPr>
          <w:rFonts w:eastAsia="Aptos" w:cs="Arial"/>
        </w:rPr>
        <w:t>transparent</w:t>
      </w:r>
      <w:r w:rsidR="0B968A98" w:rsidRPr="00703A0B">
        <w:rPr>
          <w:rFonts w:eastAsia="Aptos" w:cs="Arial"/>
        </w:rPr>
        <w:t xml:space="preserve">, responsive </w:t>
      </w:r>
      <w:r w:rsidR="3EDD6ACA" w:rsidRPr="00703A0B">
        <w:rPr>
          <w:rFonts w:eastAsia="Aptos" w:cs="Arial"/>
        </w:rPr>
        <w:t xml:space="preserve">and </w:t>
      </w:r>
      <w:r w:rsidR="0B968A98" w:rsidRPr="00703A0B">
        <w:rPr>
          <w:rFonts w:eastAsia="Aptos" w:cs="Arial"/>
        </w:rPr>
        <w:t xml:space="preserve">consistent </w:t>
      </w:r>
      <w:r w:rsidR="00940613" w:rsidRPr="00703A0B">
        <w:rPr>
          <w:rFonts w:eastAsia="Aptos" w:cs="Arial"/>
        </w:rPr>
        <w:t>regulator for Queensland</w:t>
      </w:r>
      <w:r w:rsidR="000E4171" w:rsidRPr="00703A0B">
        <w:rPr>
          <w:rFonts w:eastAsia="Aptos" w:cs="Arial"/>
        </w:rPr>
        <w:t>.</w:t>
      </w:r>
    </w:p>
    <w:p w14:paraId="07B3AB32" w14:textId="72E448E9" w:rsidR="009B5459" w:rsidRPr="00703A0B" w:rsidRDefault="009B5459" w:rsidP="00367B3A">
      <w:pPr>
        <w:spacing w:before="120" w:after="120" w:line="257" w:lineRule="auto"/>
        <w:rPr>
          <w:rFonts w:eastAsia="Aptos" w:cs="Arial"/>
          <w:szCs w:val="22"/>
        </w:rPr>
      </w:pPr>
    </w:p>
    <w:p w14:paraId="763FB8FA" w14:textId="067ECC81" w:rsidR="00786FBC" w:rsidRPr="00703A0B" w:rsidRDefault="42AE5F3C" w:rsidP="00997179">
      <w:pPr>
        <w:spacing w:before="120" w:after="120"/>
        <w:rPr>
          <w:rFonts w:eastAsia="Aptos" w:cs="Arial"/>
          <w:b/>
          <w:szCs w:val="22"/>
        </w:rPr>
      </w:pPr>
      <w:r w:rsidRPr="00703A0B">
        <w:rPr>
          <w:rFonts w:eastAsia="Aptos" w:cs="Arial"/>
          <w:b/>
          <w:szCs w:val="22"/>
        </w:rPr>
        <w:t>Greg Chemello</w:t>
      </w:r>
    </w:p>
    <w:p w14:paraId="5DA49E7C" w14:textId="10931956" w:rsidR="00DD2A35" w:rsidRPr="00703A0B" w:rsidRDefault="42AE5F3C" w:rsidP="00997179">
      <w:pPr>
        <w:spacing w:before="120" w:after="120"/>
        <w:rPr>
          <w:rFonts w:eastAsia="Aptos" w:cs="Arial"/>
          <w:szCs w:val="22"/>
        </w:rPr>
      </w:pPr>
      <w:r w:rsidRPr="00703A0B">
        <w:rPr>
          <w:rFonts w:eastAsia="Aptos" w:cs="Arial"/>
          <w:szCs w:val="22"/>
        </w:rPr>
        <w:t>Chair</w:t>
      </w:r>
    </w:p>
    <w:p w14:paraId="36FE1354" w14:textId="1F24B0F0" w:rsidR="00DD0276" w:rsidRPr="00703A0B" w:rsidRDefault="42AE5F3C" w:rsidP="00997179">
      <w:pPr>
        <w:spacing w:before="120" w:after="120"/>
        <w:rPr>
          <w:rFonts w:eastAsiaTheme="majorEastAsia" w:cstheme="majorBidi"/>
          <w:sz w:val="48"/>
          <w:szCs w:val="32"/>
        </w:rPr>
      </w:pPr>
      <w:r w:rsidRPr="00703A0B">
        <w:rPr>
          <w:rFonts w:eastAsia="Aptos" w:cs="Arial"/>
          <w:szCs w:val="22"/>
        </w:rPr>
        <w:t xml:space="preserve">Queensland Building and Construction Board </w:t>
      </w:r>
      <w:r w:rsidR="00DD0276" w:rsidRPr="00703A0B">
        <w:br w:type="page"/>
      </w:r>
    </w:p>
    <w:p w14:paraId="49E1EA28" w14:textId="456CA4E3" w:rsidR="009F5646" w:rsidRPr="00703A0B" w:rsidRDefault="53F9D37B" w:rsidP="0311DE0C">
      <w:pPr>
        <w:pStyle w:val="Heading1"/>
      </w:pPr>
      <w:bookmarkStart w:id="20" w:name="_Chief_Executive_Officer"/>
      <w:bookmarkStart w:id="21" w:name="_Toc206493008"/>
      <w:bookmarkStart w:id="22" w:name="_Toc238101672"/>
      <w:bookmarkEnd w:id="20"/>
      <w:r w:rsidRPr="00703A0B">
        <w:lastRenderedPageBreak/>
        <w:t>Chief Executive Officer and Commissioner</w:t>
      </w:r>
      <w:r w:rsidR="00E23F47" w:rsidRPr="00703A0B">
        <w:t>’</w:t>
      </w:r>
      <w:r w:rsidRPr="00703A0B">
        <w:t xml:space="preserve">s </w:t>
      </w:r>
      <w:r w:rsidR="00A241AE" w:rsidRPr="00703A0B">
        <w:t>f</w:t>
      </w:r>
      <w:r w:rsidRPr="00703A0B">
        <w:t>oreword</w:t>
      </w:r>
      <w:bookmarkEnd w:id="21"/>
      <w:bookmarkEnd w:id="22"/>
    </w:p>
    <w:p w14:paraId="11240B41" w14:textId="77777777" w:rsidR="00D13349" w:rsidRPr="00703A0B" w:rsidRDefault="00D13349" w:rsidP="00D13349">
      <w:pPr>
        <w:spacing w:before="120" w:after="120"/>
        <w:rPr>
          <w:rFonts w:eastAsia="Aptos" w:cs="Arial"/>
        </w:rPr>
      </w:pPr>
      <w:bookmarkStart w:id="23" w:name="_Toc206493009"/>
      <w:r w:rsidRPr="00703A0B">
        <w:rPr>
          <w:rFonts w:eastAsia="Aptos" w:cs="Arial"/>
        </w:rPr>
        <w:t xml:space="preserve">The QBCC Annual Report 2025–26 reflects our collective progress during my first year as Chief Executive Officer and Commissioner (Commissioner). It marks an important shift in how we operate and deliver outcomes for government, industry, consumers and the community. Throughout the year, we took decisive steps to better align our operations with stakeholder expectations. Guided by customer feedback, we have been strengthening transparency, consistency and responsiveness, while modernising our services to better meet customer needs. </w:t>
      </w:r>
    </w:p>
    <w:p w14:paraId="3DA1E5E7" w14:textId="4E455C86" w:rsidR="007337AF" w:rsidRPr="00703A0B" w:rsidRDefault="00D13349" w:rsidP="00D13349">
      <w:pPr>
        <w:spacing w:before="120" w:after="120"/>
        <w:rPr>
          <w:rFonts w:eastAsia="Aptos" w:cs="Arial"/>
        </w:rPr>
      </w:pPr>
      <w:r w:rsidRPr="0068165F">
        <w:t>A significant milestone this year was the implementation of our</w:t>
      </w:r>
      <w:r w:rsidRPr="00703A0B">
        <w:rPr>
          <w:rFonts w:eastAsia="Aptos" w:cs="Arial"/>
        </w:rPr>
        <w:t xml:space="preserve"> Target Operating Model (TOM), which brings executive decision making closer to frontline services and strengthens integration across the organisation. The TOM is enabling us to leverage core capabilities more effectively, strengthen stakeholder relationships and embed continuous improvement as a core business capability.</w:t>
      </w:r>
      <w:r w:rsidR="00F674D5" w:rsidRPr="00703A0B">
        <w:rPr>
          <w:rFonts w:eastAsia="Aptos" w:cs="Arial"/>
        </w:rPr>
        <w:t xml:space="preserve"> </w:t>
      </w:r>
      <w:r w:rsidR="000E79FD" w:rsidRPr="00703A0B">
        <w:rPr>
          <w:rFonts w:eastAsia="Aptos" w:cs="Arial"/>
        </w:rPr>
        <w:t>Through targeted compliance activities and improved intelligence, we are taking a proactive approach to protecting consumers</w:t>
      </w:r>
      <w:r w:rsidR="00594C88" w:rsidRPr="00703A0B">
        <w:rPr>
          <w:rFonts w:eastAsia="Aptos" w:cs="Arial"/>
        </w:rPr>
        <w:t>, addressing unlicensed</w:t>
      </w:r>
      <w:r w:rsidR="002F7786" w:rsidRPr="00703A0B">
        <w:rPr>
          <w:rFonts w:eastAsia="Aptos" w:cs="Arial"/>
        </w:rPr>
        <w:t xml:space="preserve"> </w:t>
      </w:r>
      <w:r w:rsidR="00301737" w:rsidRPr="00703A0B">
        <w:rPr>
          <w:rFonts w:eastAsia="Aptos" w:cs="Arial"/>
        </w:rPr>
        <w:t xml:space="preserve">contracting </w:t>
      </w:r>
      <w:r w:rsidR="000E79FD" w:rsidRPr="00703A0B">
        <w:rPr>
          <w:rFonts w:eastAsia="Aptos" w:cs="Arial"/>
        </w:rPr>
        <w:t>and supporting a fair and competitive industry.</w:t>
      </w:r>
      <w:r w:rsidR="007337AF" w:rsidRPr="00703A0B">
        <w:rPr>
          <w:rFonts w:eastAsia="Aptos" w:cs="Arial"/>
        </w:rPr>
        <w:t xml:space="preserve"> </w:t>
      </w:r>
    </w:p>
    <w:p w14:paraId="2ED07AF4" w14:textId="1D1D498D" w:rsidR="00D13349" w:rsidRPr="00703A0B" w:rsidRDefault="00893ED4" w:rsidP="00D13349">
      <w:pPr>
        <w:spacing w:before="120" w:after="120"/>
        <w:rPr>
          <w:rFonts w:eastAsia="Aptos" w:cs="Arial"/>
        </w:rPr>
      </w:pPr>
      <w:r w:rsidRPr="00703A0B">
        <w:rPr>
          <w:rFonts w:eastAsia="Aptos" w:cs="Arial"/>
        </w:rPr>
        <w:t xml:space="preserve">Our </w:t>
      </w:r>
      <w:r w:rsidR="00AA3D3A" w:rsidRPr="00703A0B">
        <w:rPr>
          <w:rFonts w:eastAsia="Aptos" w:cs="Arial"/>
        </w:rPr>
        <w:t>d</w:t>
      </w:r>
      <w:r w:rsidR="00D13349" w:rsidRPr="00703A0B">
        <w:t>igital transformation</w:t>
      </w:r>
      <w:r w:rsidR="00662B19" w:rsidRPr="00703A0B">
        <w:t xml:space="preserve"> continued to </w:t>
      </w:r>
      <w:r w:rsidRPr="00703A0B">
        <w:t xml:space="preserve">make strong </w:t>
      </w:r>
      <w:r w:rsidR="00EE0367" w:rsidRPr="00703A0B">
        <w:t>progress</w:t>
      </w:r>
      <w:r w:rsidR="00662B19" w:rsidRPr="00703A0B">
        <w:t xml:space="preserve"> during</w:t>
      </w:r>
      <w:r w:rsidR="00B6695D" w:rsidRPr="00703A0B">
        <w:t xml:space="preserve"> the year</w:t>
      </w:r>
      <w:r w:rsidR="00D13349" w:rsidRPr="00703A0B">
        <w:t xml:space="preserve">. Key achievements included expanding digital self-service capabilities to support faster and more accurate licence applications through </w:t>
      </w:r>
      <w:r w:rsidR="00EE0367" w:rsidRPr="00703A0B">
        <w:t xml:space="preserve">a </w:t>
      </w:r>
      <w:r w:rsidR="00DF5564" w:rsidRPr="00703A0B">
        <w:t>new and</w:t>
      </w:r>
      <w:r w:rsidR="00EE0367" w:rsidRPr="00703A0B">
        <w:t xml:space="preserve"> </w:t>
      </w:r>
      <w:r w:rsidR="00D13349" w:rsidRPr="00703A0B">
        <w:t xml:space="preserve">easy-to-access QBCC portal. The launch of the </w:t>
      </w:r>
      <w:r w:rsidR="00AE73DD" w:rsidRPr="00703A0B">
        <w:t>O</w:t>
      </w:r>
      <w:r w:rsidR="00D13349" w:rsidRPr="00703A0B">
        <w:t>wner-builder permit function within the portal enables customers to submit applications online and track progress in real time. We also introduced enhanced mobile technology for field officers, digital licences and digitised forms. Together, these improvements are making it easier for customers to engage with the QBCC</w:t>
      </w:r>
      <w:r w:rsidR="008B14FB" w:rsidRPr="00703A0B">
        <w:t>,</w:t>
      </w:r>
      <w:r w:rsidR="00D13349" w:rsidRPr="00703A0B">
        <w:t xml:space="preserve"> while improving operational efficiency and service delivery. Since rollout, </w:t>
      </w:r>
      <w:r w:rsidR="00E46AEA" w:rsidRPr="00703A0B">
        <w:t>over 1</w:t>
      </w:r>
      <w:r w:rsidR="00BE2E8A" w:rsidRPr="00703A0B">
        <w:t>3</w:t>
      </w:r>
      <w:r w:rsidR="00E27EA0" w:rsidRPr="00703A0B">
        <w:t>,000 licences</w:t>
      </w:r>
      <w:r w:rsidR="001C3C29" w:rsidRPr="00703A0B">
        <w:t xml:space="preserve"> have been loaded onto</w:t>
      </w:r>
      <w:r w:rsidR="00D13349" w:rsidRPr="00703A0B">
        <w:t xml:space="preserve"> </w:t>
      </w:r>
      <w:r w:rsidR="00D7621B" w:rsidRPr="00703A0B">
        <w:t xml:space="preserve">the </w:t>
      </w:r>
      <w:r w:rsidR="00D13349" w:rsidRPr="00703A0B">
        <w:t>digital licence</w:t>
      </w:r>
      <w:r w:rsidR="001C3C29" w:rsidRPr="00703A0B">
        <w:t xml:space="preserve"> platform</w:t>
      </w:r>
      <w:r w:rsidR="00D13349" w:rsidRPr="00703A0B">
        <w:t xml:space="preserve"> and 40 per cent of licence applications are now submitted </w:t>
      </w:r>
      <w:r w:rsidR="001C3C29" w:rsidRPr="00703A0B">
        <w:t>electronically</w:t>
      </w:r>
      <w:r w:rsidR="00D13349" w:rsidRPr="00703A0B">
        <w:t>. Through streamlined processes and a strengthened risk-based approach, we have reduced compliance investigation queues by 49 per cent and increased first-call resolution rates for complaints from six per cent to 20 per cent.</w:t>
      </w:r>
    </w:p>
    <w:p w14:paraId="159BB359" w14:textId="77777777" w:rsidR="008042C6" w:rsidRPr="00703A0B" w:rsidRDefault="00D13349" w:rsidP="00D13349">
      <w:pPr>
        <w:spacing w:before="120" w:after="120"/>
      </w:pPr>
      <w:r w:rsidRPr="00703A0B">
        <w:rPr>
          <w:rFonts w:eastAsia="Aptos" w:cs="Arial"/>
        </w:rPr>
        <w:t xml:space="preserve">Supporting a productive and innovative building and construction sector requires </w:t>
      </w:r>
      <w:r w:rsidR="000B187A" w:rsidRPr="00703A0B">
        <w:rPr>
          <w:rFonts w:eastAsia="Aptos" w:cs="Arial"/>
        </w:rPr>
        <w:t xml:space="preserve">a </w:t>
      </w:r>
      <w:r w:rsidRPr="00703A0B">
        <w:rPr>
          <w:rFonts w:eastAsia="Aptos" w:cs="Arial"/>
        </w:rPr>
        <w:t xml:space="preserve">focus </w:t>
      </w:r>
      <w:r w:rsidR="000B187A" w:rsidRPr="00703A0B">
        <w:rPr>
          <w:rFonts w:eastAsia="Aptos" w:cs="Arial"/>
        </w:rPr>
        <w:t>on getting</w:t>
      </w:r>
      <w:r w:rsidRPr="00703A0B">
        <w:rPr>
          <w:rFonts w:eastAsia="Aptos" w:cs="Arial"/>
        </w:rPr>
        <w:t xml:space="preserve"> the fundamentals right</w:t>
      </w:r>
      <w:r w:rsidR="005C36E7" w:rsidRPr="00703A0B">
        <w:rPr>
          <w:rFonts w:eastAsia="Aptos" w:cs="Arial"/>
        </w:rPr>
        <w:t>; what I have been consistently calling out as our ‘brilliant basics</w:t>
      </w:r>
      <w:r w:rsidR="003B0043" w:rsidRPr="00703A0B">
        <w:rPr>
          <w:rFonts w:eastAsia="Aptos" w:cs="Arial"/>
        </w:rPr>
        <w:t>’</w:t>
      </w:r>
      <w:r w:rsidRPr="00703A0B">
        <w:rPr>
          <w:rFonts w:eastAsia="Aptos" w:cs="Arial"/>
        </w:rPr>
        <w:t xml:space="preserve">. </w:t>
      </w:r>
      <w:r w:rsidR="009F0063" w:rsidRPr="00703A0B">
        <w:rPr>
          <w:rFonts w:eastAsia="Aptos" w:cs="Arial"/>
        </w:rPr>
        <w:t>I</w:t>
      </w:r>
      <w:r w:rsidRPr="00703A0B">
        <w:rPr>
          <w:rFonts w:eastAsia="Aptos" w:cs="Arial"/>
        </w:rPr>
        <w:t xml:space="preserve">mprovements have been delivered within our planned resourcing of no more than 765 full-time equivalent positions, reflecting a disciplined </w:t>
      </w:r>
      <w:r w:rsidR="0059204B" w:rsidRPr="00703A0B">
        <w:rPr>
          <w:rFonts w:eastAsia="Aptos" w:cs="Arial"/>
        </w:rPr>
        <w:t xml:space="preserve">approach to </w:t>
      </w:r>
      <w:r w:rsidRPr="00703A0B">
        <w:rPr>
          <w:rFonts w:eastAsia="Aptos" w:cs="Arial"/>
        </w:rPr>
        <w:t xml:space="preserve">maximising value and impact. Our refreshed organisational values of </w:t>
      </w:r>
      <w:r w:rsidR="009F1B3E" w:rsidRPr="00703A0B">
        <w:rPr>
          <w:rFonts w:eastAsia="Aptos" w:cs="Arial"/>
        </w:rPr>
        <w:t>F</w:t>
      </w:r>
      <w:r w:rsidRPr="00703A0B">
        <w:rPr>
          <w:rFonts w:eastAsia="Aptos" w:cs="Arial"/>
        </w:rPr>
        <w:t xml:space="preserve">airness, </w:t>
      </w:r>
      <w:r w:rsidR="009F1B3E" w:rsidRPr="00703A0B">
        <w:rPr>
          <w:rFonts w:eastAsia="Aptos" w:cs="Arial"/>
        </w:rPr>
        <w:t>A</w:t>
      </w:r>
      <w:r w:rsidRPr="00703A0B">
        <w:rPr>
          <w:rFonts w:eastAsia="Aptos" w:cs="Arial"/>
        </w:rPr>
        <w:t xml:space="preserve">ccountability, </w:t>
      </w:r>
      <w:r w:rsidR="009F1B3E" w:rsidRPr="00703A0B">
        <w:rPr>
          <w:rFonts w:eastAsia="Aptos" w:cs="Arial"/>
        </w:rPr>
        <w:t>I</w:t>
      </w:r>
      <w:r w:rsidRPr="00703A0B">
        <w:rPr>
          <w:rFonts w:eastAsia="Aptos" w:cs="Arial"/>
        </w:rPr>
        <w:t xml:space="preserve">ntegrity and </w:t>
      </w:r>
      <w:r w:rsidR="009F1B3E" w:rsidRPr="00703A0B">
        <w:rPr>
          <w:rFonts w:eastAsia="Aptos" w:cs="Arial"/>
        </w:rPr>
        <w:t>R</w:t>
      </w:r>
      <w:r w:rsidRPr="00703A0B">
        <w:rPr>
          <w:rFonts w:eastAsia="Aptos" w:cs="Arial"/>
        </w:rPr>
        <w:t xml:space="preserve">espect </w:t>
      </w:r>
      <w:r w:rsidR="00084393" w:rsidRPr="00703A0B">
        <w:rPr>
          <w:rFonts w:eastAsia="Aptos" w:cs="Arial"/>
        </w:rPr>
        <w:t>(F.A.I.R</w:t>
      </w:r>
      <w:r w:rsidR="00C40999" w:rsidRPr="00703A0B">
        <w:rPr>
          <w:rFonts w:eastAsia="Aptos" w:cs="Arial"/>
        </w:rPr>
        <w:t xml:space="preserve">) </w:t>
      </w:r>
      <w:r w:rsidRPr="00703A0B">
        <w:rPr>
          <w:rFonts w:eastAsia="Aptos" w:cs="Arial"/>
        </w:rPr>
        <w:t>continue to guide our decisions and actions</w:t>
      </w:r>
      <w:r w:rsidR="009F1B3E" w:rsidRPr="00703A0B">
        <w:rPr>
          <w:rFonts w:eastAsia="Aptos" w:cs="Arial"/>
        </w:rPr>
        <w:t xml:space="preserve"> as we </w:t>
      </w:r>
      <w:r w:rsidR="00C40999" w:rsidRPr="00703A0B">
        <w:rPr>
          <w:rFonts w:eastAsia="Aptos" w:cs="Arial"/>
        </w:rPr>
        <w:t>striv</w:t>
      </w:r>
      <w:r w:rsidR="009F1B3E" w:rsidRPr="00703A0B">
        <w:rPr>
          <w:rFonts w:eastAsia="Aptos" w:cs="Arial"/>
        </w:rPr>
        <w:t xml:space="preserve">e </w:t>
      </w:r>
      <w:r w:rsidR="00202F4D" w:rsidRPr="00703A0B">
        <w:rPr>
          <w:rFonts w:eastAsia="Aptos" w:cs="Arial"/>
        </w:rPr>
        <w:t xml:space="preserve">to achieve </w:t>
      </w:r>
      <w:r w:rsidR="00C40999" w:rsidRPr="00703A0B">
        <w:rPr>
          <w:rFonts w:eastAsia="Aptos" w:cs="Arial"/>
        </w:rPr>
        <w:t>‘fair’ outcomes</w:t>
      </w:r>
      <w:r w:rsidRPr="00703A0B">
        <w:rPr>
          <w:rFonts w:eastAsia="Aptos" w:cs="Arial"/>
        </w:rPr>
        <w:t>.</w:t>
      </w:r>
      <w:r w:rsidR="00D44915" w:rsidRPr="00703A0B">
        <w:t xml:space="preserve"> </w:t>
      </w:r>
    </w:p>
    <w:p w14:paraId="7F343851" w14:textId="2AABA312" w:rsidR="00FF6207" w:rsidRPr="00703A0B" w:rsidRDefault="003452D1" w:rsidP="00D13349">
      <w:pPr>
        <w:spacing w:before="120" w:after="120"/>
        <w:rPr>
          <w:rFonts w:eastAsia="Aptos" w:cs="Arial"/>
        </w:rPr>
      </w:pPr>
      <w:r w:rsidRPr="00703A0B">
        <w:rPr>
          <w:rFonts w:eastAsia="Aptos" w:cs="Arial"/>
        </w:rPr>
        <w:t>This year</w:t>
      </w:r>
      <w:r w:rsidR="00CA2B63" w:rsidRPr="00703A0B">
        <w:rPr>
          <w:rFonts w:eastAsia="Aptos" w:cs="Arial"/>
        </w:rPr>
        <w:t xml:space="preserve">, </w:t>
      </w:r>
      <w:r w:rsidRPr="00703A0B">
        <w:rPr>
          <w:rFonts w:eastAsia="Aptos" w:cs="Arial"/>
        </w:rPr>
        <w:t xml:space="preserve">we </w:t>
      </w:r>
      <w:r w:rsidR="001D2E39" w:rsidRPr="00703A0B">
        <w:rPr>
          <w:rFonts w:eastAsia="Aptos" w:cs="Arial"/>
        </w:rPr>
        <w:t xml:space="preserve">proactively reached out to </w:t>
      </w:r>
      <w:proofErr w:type="gramStart"/>
      <w:r w:rsidR="004B7DB9" w:rsidRPr="00703A0B">
        <w:rPr>
          <w:rFonts w:eastAsia="Aptos" w:cs="Arial"/>
        </w:rPr>
        <w:t>home</w:t>
      </w:r>
      <w:r w:rsidR="008E2972" w:rsidRPr="00703A0B">
        <w:rPr>
          <w:rFonts w:eastAsia="Aptos" w:cs="Arial"/>
        </w:rPr>
        <w:t xml:space="preserve"> </w:t>
      </w:r>
      <w:r w:rsidR="004B7DB9" w:rsidRPr="00703A0B">
        <w:rPr>
          <w:rFonts w:eastAsia="Aptos" w:cs="Arial"/>
        </w:rPr>
        <w:t>owners</w:t>
      </w:r>
      <w:proofErr w:type="gramEnd"/>
      <w:r w:rsidR="004B7DB9" w:rsidRPr="00703A0B">
        <w:rPr>
          <w:rFonts w:eastAsia="Aptos" w:cs="Arial"/>
        </w:rPr>
        <w:t xml:space="preserve"> through the Commissioner’s </w:t>
      </w:r>
      <w:r w:rsidR="005D1B5C" w:rsidRPr="00703A0B">
        <w:rPr>
          <w:rFonts w:eastAsia="Aptos" w:cs="Arial"/>
        </w:rPr>
        <w:t>Consumer Roundtable forums</w:t>
      </w:r>
      <w:r w:rsidR="00306AAD" w:rsidRPr="00703A0B">
        <w:rPr>
          <w:rFonts w:eastAsia="Aptos" w:cs="Arial"/>
        </w:rPr>
        <w:t>, a first for the QBCC</w:t>
      </w:r>
      <w:r w:rsidR="00B770B2" w:rsidRPr="00703A0B">
        <w:rPr>
          <w:rFonts w:eastAsia="Aptos" w:cs="Arial"/>
        </w:rPr>
        <w:t xml:space="preserve">. These forums </w:t>
      </w:r>
      <w:r w:rsidR="00807644" w:rsidRPr="00703A0B">
        <w:rPr>
          <w:rFonts w:eastAsia="Aptos" w:cs="Arial"/>
        </w:rPr>
        <w:t xml:space="preserve">provided an opportunity to </w:t>
      </w:r>
      <w:r w:rsidR="005F6E38" w:rsidRPr="00703A0B">
        <w:rPr>
          <w:rFonts w:eastAsia="Aptos" w:cs="Arial"/>
        </w:rPr>
        <w:t xml:space="preserve">hear </w:t>
      </w:r>
      <w:r w:rsidR="00CA06F3" w:rsidRPr="00703A0B">
        <w:rPr>
          <w:rFonts w:eastAsia="Aptos" w:cs="Arial"/>
        </w:rPr>
        <w:t>firsthand</w:t>
      </w:r>
      <w:r w:rsidR="005F6E38" w:rsidRPr="00703A0B">
        <w:rPr>
          <w:rFonts w:eastAsia="Aptos" w:cs="Arial"/>
        </w:rPr>
        <w:t xml:space="preserve"> </w:t>
      </w:r>
      <w:r w:rsidR="00D01773" w:rsidRPr="00703A0B">
        <w:rPr>
          <w:rFonts w:eastAsia="Aptos" w:cs="Arial"/>
        </w:rPr>
        <w:t xml:space="preserve">about </w:t>
      </w:r>
      <w:proofErr w:type="gramStart"/>
      <w:r w:rsidR="00532D1B" w:rsidRPr="00703A0B">
        <w:rPr>
          <w:rFonts w:eastAsia="Aptos" w:cs="Arial"/>
        </w:rPr>
        <w:t>home owners</w:t>
      </w:r>
      <w:r w:rsidR="008F5F8E" w:rsidRPr="00703A0B">
        <w:rPr>
          <w:rFonts w:eastAsia="Aptos" w:cs="Arial"/>
        </w:rPr>
        <w:t>’</w:t>
      </w:r>
      <w:proofErr w:type="gramEnd"/>
      <w:r w:rsidR="005F6E38" w:rsidRPr="00703A0B">
        <w:rPr>
          <w:rFonts w:eastAsia="Aptos" w:cs="Arial"/>
        </w:rPr>
        <w:t xml:space="preserve"> experiences </w:t>
      </w:r>
      <w:r w:rsidR="00420EA4" w:rsidRPr="00703A0B">
        <w:rPr>
          <w:rFonts w:eastAsia="Aptos" w:cs="Arial"/>
        </w:rPr>
        <w:t>with the QBCC</w:t>
      </w:r>
      <w:r w:rsidR="00C77DF3" w:rsidRPr="00703A0B">
        <w:rPr>
          <w:rFonts w:eastAsia="Aptos" w:cs="Arial"/>
        </w:rPr>
        <w:t>, their concerns about consumer protections and</w:t>
      </w:r>
      <w:r w:rsidR="00F14158" w:rsidRPr="00703A0B">
        <w:rPr>
          <w:rFonts w:eastAsia="Aptos" w:cs="Arial"/>
        </w:rPr>
        <w:t xml:space="preserve"> their</w:t>
      </w:r>
      <w:r w:rsidR="00C77DF3" w:rsidRPr="00703A0B">
        <w:rPr>
          <w:rFonts w:eastAsia="Aptos" w:cs="Arial"/>
        </w:rPr>
        <w:t xml:space="preserve"> suggestions</w:t>
      </w:r>
      <w:r w:rsidR="00022BBA" w:rsidRPr="00703A0B">
        <w:rPr>
          <w:rFonts w:eastAsia="Aptos" w:cs="Arial"/>
        </w:rPr>
        <w:t xml:space="preserve"> </w:t>
      </w:r>
      <w:r w:rsidR="002143F5" w:rsidRPr="00703A0B">
        <w:rPr>
          <w:rFonts w:eastAsia="Aptos" w:cs="Arial"/>
        </w:rPr>
        <w:t>for improvement</w:t>
      </w:r>
      <w:r w:rsidR="007F0130" w:rsidRPr="00703A0B">
        <w:rPr>
          <w:rFonts w:eastAsia="Aptos" w:cs="Arial"/>
        </w:rPr>
        <w:t>.</w:t>
      </w:r>
      <w:r w:rsidR="00450353" w:rsidRPr="00703A0B">
        <w:rPr>
          <w:rFonts w:eastAsia="Aptos" w:cs="Arial"/>
        </w:rPr>
        <w:t xml:space="preserve"> We also launched the </w:t>
      </w:r>
      <w:proofErr w:type="gramStart"/>
      <w:r w:rsidR="00450353" w:rsidRPr="00703A0B">
        <w:rPr>
          <w:rFonts w:eastAsia="Aptos" w:cs="Arial"/>
        </w:rPr>
        <w:t>Home</w:t>
      </w:r>
      <w:r w:rsidR="008B0128" w:rsidRPr="00703A0B">
        <w:rPr>
          <w:rFonts w:eastAsia="Aptos" w:cs="Arial"/>
        </w:rPr>
        <w:t xml:space="preserve"> O</w:t>
      </w:r>
      <w:r w:rsidR="00450353" w:rsidRPr="00703A0B">
        <w:rPr>
          <w:rFonts w:eastAsia="Aptos" w:cs="Arial"/>
        </w:rPr>
        <w:t>wner</w:t>
      </w:r>
      <w:proofErr w:type="gramEnd"/>
      <w:r w:rsidR="00450353" w:rsidRPr="00703A0B">
        <w:rPr>
          <w:rFonts w:eastAsia="Aptos" w:cs="Arial"/>
        </w:rPr>
        <w:t xml:space="preserve"> Hub</w:t>
      </w:r>
      <w:r w:rsidR="00121F4C" w:rsidRPr="00703A0B">
        <w:rPr>
          <w:rFonts w:eastAsia="Aptos" w:cs="Arial"/>
        </w:rPr>
        <w:t xml:space="preserve"> (</w:t>
      </w:r>
      <w:proofErr w:type="spellStart"/>
      <w:r w:rsidR="00121F4C" w:rsidRPr="00703A0B">
        <w:rPr>
          <w:rFonts w:eastAsia="Aptos" w:cs="Arial"/>
        </w:rPr>
        <w:t>HoH</w:t>
      </w:r>
      <w:proofErr w:type="spellEnd"/>
      <w:r w:rsidR="00121F4C" w:rsidRPr="00703A0B">
        <w:rPr>
          <w:rFonts w:eastAsia="Aptos" w:cs="Arial"/>
        </w:rPr>
        <w:t>)</w:t>
      </w:r>
      <w:r w:rsidR="00731371" w:rsidRPr="00703A0B">
        <w:rPr>
          <w:rFonts w:eastAsia="Aptos" w:cs="Arial"/>
        </w:rPr>
        <w:t xml:space="preserve">, a new online tool that </w:t>
      </w:r>
      <w:r w:rsidR="00BD4881" w:rsidRPr="00703A0B">
        <w:rPr>
          <w:rFonts w:eastAsia="Aptos" w:cs="Arial"/>
        </w:rPr>
        <w:t xml:space="preserve">guides </w:t>
      </w:r>
      <w:proofErr w:type="gramStart"/>
      <w:r w:rsidR="00BD4881" w:rsidRPr="00703A0B">
        <w:rPr>
          <w:rFonts w:eastAsia="Aptos" w:cs="Arial"/>
        </w:rPr>
        <w:t>home</w:t>
      </w:r>
      <w:r w:rsidR="00BA3634" w:rsidRPr="00703A0B">
        <w:rPr>
          <w:rFonts w:eastAsia="Aptos" w:cs="Arial"/>
        </w:rPr>
        <w:t xml:space="preserve"> </w:t>
      </w:r>
      <w:r w:rsidR="00BD4881" w:rsidRPr="00703A0B">
        <w:rPr>
          <w:rFonts w:eastAsia="Aptos" w:cs="Arial"/>
        </w:rPr>
        <w:t>owners</w:t>
      </w:r>
      <w:proofErr w:type="gramEnd"/>
      <w:r w:rsidR="00BD4881" w:rsidRPr="00703A0B">
        <w:rPr>
          <w:rFonts w:eastAsia="Aptos" w:cs="Arial"/>
        </w:rPr>
        <w:t xml:space="preserve"> through </w:t>
      </w:r>
      <w:r w:rsidR="00BA3634" w:rsidRPr="00703A0B">
        <w:rPr>
          <w:rFonts w:eastAsia="Aptos" w:cs="Arial"/>
        </w:rPr>
        <w:t>five</w:t>
      </w:r>
      <w:r w:rsidR="00BD4881" w:rsidRPr="00703A0B">
        <w:rPr>
          <w:rFonts w:eastAsia="Aptos" w:cs="Arial"/>
        </w:rPr>
        <w:t xml:space="preserve"> simple steps</w:t>
      </w:r>
      <w:r w:rsidR="00BC1600" w:rsidRPr="00703A0B">
        <w:rPr>
          <w:rFonts w:eastAsia="Aptos" w:cs="Arial"/>
        </w:rPr>
        <w:t xml:space="preserve"> necessary to get their projects right from the start. </w:t>
      </w:r>
      <w:r w:rsidR="00E36788" w:rsidRPr="00703A0B">
        <w:rPr>
          <w:rFonts w:eastAsia="Aptos" w:cs="Arial"/>
        </w:rPr>
        <w:t>Following its l</w:t>
      </w:r>
      <w:r w:rsidR="00BC1600" w:rsidRPr="00703A0B">
        <w:rPr>
          <w:rFonts w:eastAsia="Aptos" w:cs="Arial"/>
        </w:rPr>
        <w:t>aunch</w:t>
      </w:r>
      <w:r w:rsidR="00E36788" w:rsidRPr="00703A0B">
        <w:rPr>
          <w:rFonts w:eastAsia="Aptos" w:cs="Arial"/>
        </w:rPr>
        <w:t xml:space="preserve">, </w:t>
      </w:r>
      <w:r w:rsidR="00BC1600" w:rsidRPr="00703A0B">
        <w:rPr>
          <w:rFonts w:eastAsia="Aptos" w:cs="Arial"/>
        </w:rPr>
        <w:t xml:space="preserve">the </w:t>
      </w:r>
      <w:proofErr w:type="spellStart"/>
      <w:r w:rsidR="00121F4C" w:rsidRPr="00703A0B">
        <w:rPr>
          <w:rFonts w:eastAsia="Aptos" w:cs="Arial"/>
        </w:rPr>
        <w:t>HoH</w:t>
      </w:r>
      <w:proofErr w:type="spellEnd"/>
      <w:r w:rsidR="00C5099D" w:rsidRPr="00703A0B">
        <w:rPr>
          <w:rFonts w:eastAsia="Aptos" w:cs="Arial"/>
        </w:rPr>
        <w:t xml:space="preserve"> attracted approximately 1</w:t>
      </w:r>
      <w:r w:rsidR="008F722C" w:rsidRPr="00703A0B">
        <w:rPr>
          <w:rFonts w:eastAsia="Aptos" w:cs="Arial"/>
        </w:rPr>
        <w:t xml:space="preserve">90 </w:t>
      </w:r>
      <w:r w:rsidR="00544A84" w:rsidRPr="00703A0B">
        <w:rPr>
          <w:rFonts w:eastAsia="Aptos" w:cs="Arial"/>
        </w:rPr>
        <w:t xml:space="preserve">views </w:t>
      </w:r>
      <w:r w:rsidR="008F722C" w:rsidRPr="00703A0B">
        <w:rPr>
          <w:rFonts w:eastAsia="Aptos" w:cs="Arial"/>
        </w:rPr>
        <w:t>per day</w:t>
      </w:r>
      <w:r w:rsidR="00C5099D" w:rsidRPr="00703A0B">
        <w:rPr>
          <w:rFonts w:eastAsia="Aptos" w:cs="Arial"/>
        </w:rPr>
        <w:t>. B</w:t>
      </w:r>
      <w:r w:rsidR="008F722C" w:rsidRPr="00703A0B">
        <w:rPr>
          <w:rFonts w:eastAsia="Aptos" w:cs="Arial"/>
        </w:rPr>
        <w:t>y the end of the year</w:t>
      </w:r>
      <w:r w:rsidR="002E435C" w:rsidRPr="00703A0B">
        <w:rPr>
          <w:rFonts w:eastAsia="Aptos" w:cs="Arial"/>
        </w:rPr>
        <w:t xml:space="preserve">, </w:t>
      </w:r>
      <w:r w:rsidR="00EB4D40" w:rsidRPr="00703A0B">
        <w:rPr>
          <w:rFonts w:eastAsia="Aptos" w:cs="Arial"/>
        </w:rPr>
        <w:t xml:space="preserve">daily </w:t>
      </w:r>
      <w:r w:rsidR="00D27CDD" w:rsidRPr="00703A0B">
        <w:rPr>
          <w:rFonts w:eastAsia="Aptos" w:cs="Arial"/>
        </w:rPr>
        <w:t>views</w:t>
      </w:r>
      <w:r w:rsidR="002E435C" w:rsidRPr="00703A0B">
        <w:rPr>
          <w:rFonts w:eastAsia="Aptos" w:cs="Arial"/>
        </w:rPr>
        <w:t xml:space="preserve"> increased to around </w:t>
      </w:r>
      <w:r w:rsidR="00381190" w:rsidRPr="00703A0B">
        <w:rPr>
          <w:rFonts w:eastAsia="Aptos" w:cs="Arial"/>
        </w:rPr>
        <w:t xml:space="preserve">4,300, </w:t>
      </w:r>
      <w:r w:rsidR="00635F51" w:rsidRPr="00703A0B">
        <w:rPr>
          <w:rFonts w:eastAsia="Aptos" w:cs="Arial"/>
        </w:rPr>
        <w:t xml:space="preserve">demonstrating that </w:t>
      </w:r>
      <w:proofErr w:type="gramStart"/>
      <w:r w:rsidR="00635F51" w:rsidRPr="00703A0B">
        <w:rPr>
          <w:rFonts w:eastAsia="Aptos" w:cs="Arial"/>
        </w:rPr>
        <w:t>home</w:t>
      </w:r>
      <w:r w:rsidR="00411576" w:rsidRPr="00703A0B">
        <w:rPr>
          <w:rFonts w:eastAsia="Aptos" w:cs="Arial"/>
        </w:rPr>
        <w:t xml:space="preserve"> </w:t>
      </w:r>
      <w:r w:rsidR="00635F51" w:rsidRPr="00703A0B">
        <w:rPr>
          <w:rFonts w:eastAsia="Aptos" w:cs="Arial"/>
        </w:rPr>
        <w:t>owners</w:t>
      </w:r>
      <w:proofErr w:type="gramEnd"/>
      <w:r w:rsidR="00635F51" w:rsidRPr="00703A0B">
        <w:rPr>
          <w:rFonts w:eastAsia="Aptos" w:cs="Arial"/>
        </w:rPr>
        <w:t xml:space="preserve"> are </w:t>
      </w:r>
      <w:r w:rsidR="002E435C" w:rsidRPr="00703A0B">
        <w:rPr>
          <w:rFonts w:eastAsia="Aptos" w:cs="Arial"/>
        </w:rPr>
        <w:t xml:space="preserve">actively undertaking </w:t>
      </w:r>
      <w:r w:rsidR="00635F51" w:rsidRPr="00703A0B">
        <w:rPr>
          <w:rFonts w:eastAsia="Aptos" w:cs="Arial"/>
        </w:rPr>
        <w:t>due diligence</w:t>
      </w:r>
      <w:r w:rsidR="00411576" w:rsidRPr="00703A0B">
        <w:rPr>
          <w:rFonts w:eastAsia="Aptos" w:cs="Arial"/>
        </w:rPr>
        <w:t xml:space="preserve"> </w:t>
      </w:r>
      <w:r w:rsidR="00C76046" w:rsidRPr="00703A0B">
        <w:rPr>
          <w:rFonts w:eastAsia="Aptos" w:cs="Arial"/>
        </w:rPr>
        <w:t>and</w:t>
      </w:r>
      <w:r w:rsidR="008E53B7" w:rsidRPr="00703A0B">
        <w:rPr>
          <w:rFonts w:eastAsia="Aptos" w:cs="Arial"/>
        </w:rPr>
        <w:t xml:space="preserve"> seeking </w:t>
      </w:r>
      <w:r w:rsidR="00AC51CF" w:rsidRPr="00703A0B">
        <w:rPr>
          <w:rFonts w:eastAsia="Aptos" w:cs="Arial"/>
        </w:rPr>
        <w:t xml:space="preserve">information at the </w:t>
      </w:r>
      <w:r w:rsidR="0031369E" w:rsidRPr="00703A0B">
        <w:rPr>
          <w:rFonts w:eastAsia="Aptos" w:cs="Arial"/>
        </w:rPr>
        <w:t xml:space="preserve">commencement of their </w:t>
      </w:r>
      <w:r w:rsidR="00C76046" w:rsidRPr="00703A0B">
        <w:rPr>
          <w:rFonts w:eastAsia="Aptos" w:cs="Arial"/>
        </w:rPr>
        <w:t>projects</w:t>
      </w:r>
      <w:r w:rsidR="00AC51CF" w:rsidRPr="00703A0B">
        <w:rPr>
          <w:rFonts w:eastAsia="Aptos" w:cs="Arial"/>
        </w:rPr>
        <w:t xml:space="preserve">. Growing engagement with the </w:t>
      </w:r>
      <w:proofErr w:type="spellStart"/>
      <w:r w:rsidR="00AC51CF" w:rsidRPr="00703A0B">
        <w:rPr>
          <w:rFonts w:eastAsia="Aptos" w:cs="Arial"/>
        </w:rPr>
        <w:t>HoH</w:t>
      </w:r>
      <w:proofErr w:type="spellEnd"/>
      <w:r w:rsidR="00AC51CF" w:rsidRPr="00703A0B">
        <w:rPr>
          <w:rFonts w:eastAsia="Aptos" w:cs="Arial"/>
        </w:rPr>
        <w:t xml:space="preserve"> is an</w:t>
      </w:r>
      <w:r w:rsidR="00797354" w:rsidRPr="00703A0B">
        <w:rPr>
          <w:rFonts w:eastAsia="Aptos" w:cs="Arial"/>
        </w:rPr>
        <w:t xml:space="preserve"> encouraging</w:t>
      </w:r>
      <w:r w:rsidR="00AA7161" w:rsidRPr="00703A0B">
        <w:rPr>
          <w:rFonts w:eastAsia="Aptos" w:cs="Arial"/>
        </w:rPr>
        <w:t xml:space="preserve"> sign that </w:t>
      </w:r>
      <w:proofErr w:type="gramStart"/>
      <w:r w:rsidR="00AA7161" w:rsidRPr="00703A0B">
        <w:rPr>
          <w:rFonts w:eastAsia="Aptos" w:cs="Arial"/>
        </w:rPr>
        <w:t>home owners</w:t>
      </w:r>
      <w:proofErr w:type="gramEnd"/>
      <w:r w:rsidR="00AA7161" w:rsidRPr="00703A0B">
        <w:rPr>
          <w:rFonts w:eastAsia="Aptos" w:cs="Arial"/>
        </w:rPr>
        <w:t xml:space="preserve"> are becoming better informed and </w:t>
      </w:r>
      <w:r w:rsidR="003247C5" w:rsidRPr="00703A0B">
        <w:rPr>
          <w:rFonts w:eastAsia="Aptos" w:cs="Arial"/>
        </w:rPr>
        <w:t xml:space="preserve">educated </w:t>
      </w:r>
      <w:r w:rsidR="00083C95" w:rsidRPr="00703A0B">
        <w:rPr>
          <w:rFonts w:eastAsia="Aptos" w:cs="Arial"/>
        </w:rPr>
        <w:t>about the building process</w:t>
      </w:r>
      <w:r w:rsidR="00797354" w:rsidRPr="00703A0B">
        <w:rPr>
          <w:rFonts w:eastAsia="Aptos" w:cs="Arial"/>
        </w:rPr>
        <w:t>.</w:t>
      </w:r>
    </w:p>
    <w:p w14:paraId="04488415" w14:textId="0F1D9395" w:rsidR="00D13349" w:rsidRPr="00703A0B" w:rsidRDefault="00D13349" w:rsidP="00D13349">
      <w:pPr>
        <w:spacing w:before="120" w:after="120"/>
      </w:pPr>
      <w:r w:rsidRPr="00703A0B">
        <w:t xml:space="preserve">An important part of our transformation is how we measure success and hold ourselves accountable. This year, we introduced </w:t>
      </w:r>
      <w:r w:rsidR="0008227B" w:rsidRPr="00703A0B">
        <w:t xml:space="preserve">the QBCC </w:t>
      </w:r>
      <w:r w:rsidR="00DF7B3F" w:rsidRPr="00703A0B">
        <w:t>S</w:t>
      </w:r>
      <w:r w:rsidRPr="00703A0B">
        <w:t xml:space="preserve">trategy and </w:t>
      </w:r>
      <w:r w:rsidR="00DF7B3F" w:rsidRPr="00703A0B">
        <w:t>P</w:t>
      </w:r>
      <w:r w:rsidRPr="00703A0B">
        <w:t xml:space="preserve">erformance </w:t>
      </w:r>
      <w:r w:rsidR="00DF7B3F" w:rsidRPr="00703A0B">
        <w:t>F</w:t>
      </w:r>
      <w:r w:rsidRPr="00703A0B">
        <w:t xml:space="preserve">ramework </w:t>
      </w:r>
      <w:r w:rsidR="0095043D" w:rsidRPr="00703A0B">
        <w:t xml:space="preserve">to </w:t>
      </w:r>
      <w:r w:rsidR="00A16C17" w:rsidRPr="00703A0B">
        <w:t xml:space="preserve">strengthen the link </w:t>
      </w:r>
      <w:r w:rsidRPr="00703A0B">
        <w:t xml:space="preserve">between our strategic intent and the public value we deliver. </w:t>
      </w:r>
      <w:r w:rsidR="00934378" w:rsidRPr="00703A0B">
        <w:t>Aligned</w:t>
      </w:r>
      <w:r w:rsidRPr="00703A0B">
        <w:t xml:space="preserve"> with Queensland Productivity Commission</w:t>
      </w:r>
      <w:r w:rsidR="00360932" w:rsidRPr="00703A0B">
        <w:t xml:space="preserve"> recommendations</w:t>
      </w:r>
      <w:r w:rsidR="00E27E98" w:rsidRPr="00703A0B">
        <w:t xml:space="preserve"> and our commitment to transparency</w:t>
      </w:r>
      <w:r w:rsidRPr="00703A0B">
        <w:t xml:space="preserve">, we will </w:t>
      </w:r>
      <w:r w:rsidR="00E27E98" w:rsidRPr="00703A0B">
        <w:t>publish</w:t>
      </w:r>
      <w:r w:rsidR="00CB3748" w:rsidRPr="00703A0B">
        <w:t xml:space="preserve"> key </w:t>
      </w:r>
      <w:r w:rsidRPr="00703A0B">
        <w:t xml:space="preserve">performance </w:t>
      </w:r>
      <w:r w:rsidR="00CB3748" w:rsidRPr="00703A0B">
        <w:t>metrics on the QBCC website</w:t>
      </w:r>
      <w:r w:rsidR="00DC097F" w:rsidRPr="00703A0B">
        <w:t xml:space="preserve">, providing a clear </w:t>
      </w:r>
      <w:r w:rsidR="007168BB" w:rsidRPr="00703A0B">
        <w:t xml:space="preserve">view of </w:t>
      </w:r>
      <w:r w:rsidR="00752727" w:rsidRPr="00703A0B">
        <w:t xml:space="preserve">how </w:t>
      </w:r>
      <w:r w:rsidRPr="00703A0B">
        <w:t xml:space="preserve">we are tracking and improving in areas that matter most to our customers and stakeholders. </w:t>
      </w:r>
    </w:p>
    <w:p w14:paraId="6CFFD173" w14:textId="77777777" w:rsidR="00D13349" w:rsidRPr="00703A0B" w:rsidRDefault="00D13349" w:rsidP="00D13349">
      <w:pPr>
        <w:spacing w:before="120" w:after="120"/>
      </w:pPr>
      <w:r w:rsidRPr="00703A0B">
        <w:rPr>
          <w:rFonts w:eastAsia="Aptos" w:cs="Arial"/>
        </w:rPr>
        <w:t xml:space="preserve">I remain committed to engaging with customers, industry professionals and community representatives across Queensland. These conversations are critical to building trust, understanding emerging challenges and ensuring our transformation remains focused on delivering practical outcomes. </w:t>
      </w:r>
      <w:r w:rsidRPr="00703A0B">
        <w:rPr>
          <w:bCs/>
        </w:rPr>
        <w:t xml:space="preserve">It is important to me that </w:t>
      </w:r>
      <w:r w:rsidRPr="00703A0B">
        <w:t xml:space="preserve">the QBCC continues to be recognised as a responsive and trusted regulator that listens, acts and remains focused on protecting Queensland </w:t>
      </w:r>
      <w:proofErr w:type="gramStart"/>
      <w:r w:rsidRPr="00703A0B">
        <w:t>home owners</w:t>
      </w:r>
      <w:proofErr w:type="gramEnd"/>
      <w:r w:rsidRPr="00703A0B">
        <w:t xml:space="preserve"> and the broader community. We have already commenced key priorities for the coming year, with a stronger focus on engaging consumers earlier and equipping them with the information they need to make informed decisions from the outset. We will </w:t>
      </w:r>
      <w:r w:rsidRPr="00703A0B">
        <w:lastRenderedPageBreak/>
        <w:t>continue to strengthen our services, improve regulatory outcomes and contribute to a productive and resilient building and construction industry across Queensland.</w:t>
      </w:r>
    </w:p>
    <w:p w14:paraId="2D130EFB" w14:textId="77777777" w:rsidR="00D13349" w:rsidRPr="00703A0B" w:rsidRDefault="00D13349" w:rsidP="00D13349">
      <w:pPr>
        <w:spacing w:before="120" w:after="120"/>
      </w:pPr>
      <w:r w:rsidRPr="00703A0B">
        <w:t xml:space="preserve">I am proud to work alongside our people, whose resilience, dedication and shared commitment continue to drive our progress. </w:t>
      </w:r>
    </w:p>
    <w:p w14:paraId="4F3283BB" w14:textId="77777777" w:rsidR="00D13349" w:rsidRPr="00703A0B" w:rsidRDefault="00D13349" w:rsidP="00D13349">
      <w:pPr>
        <w:spacing w:before="120" w:after="120"/>
      </w:pPr>
    </w:p>
    <w:p w14:paraId="5FF480E3" w14:textId="77777777" w:rsidR="00D13349" w:rsidRPr="00A97DCC" w:rsidRDefault="00D13349" w:rsidP="00D13349">
      <w:pPr>
        <w:spacing w:before="120" w:after="120"/>
        <w:rPr>
          <w:rFonts w:eastAsia="Aptos" w:cs="Arial"/>
          <w:b/>
          <w:szCs w:val="22"/>
        </w:rPr>
      </w:pPr>
      <w:r w:rsidRPr="00A97DCC">
        <w:rPr>
          <w:rFonts w:eastAsia="Aptos" w:cs="Arial"/>
          <w:b/>
          <w:szCs w:val="22"/>
        </w:rPr>
        <w:t>Angelo Lambrinos</w:t>
      </w:r>
    </w:p>
    <w:p w14:paraId="42016A25" w14:textId="77777777" w:rsidR="00D13349" w:rsidRPr="00703A0B" w:rsidRDefault="00D13349" w:rsidP="00D13349">
      <w:pPr>
        <w:spacing w:before="120" w:after="120"/>
        <w:rPr>
          <w:rFonts w:eastAsia="Aptos" w:cs="Arial"/>
          <w:szCs w:val="22"/>
        </w:rPr>
      </w:pPr>
      <w:r w:rsidRPr="00703A0B">
        <w:rPr>
          <w:rFonts w:eastAsia="Aptos" w:cs="Arial"/>
          <w:szCs w:val="22"/>
        </w:rPr>
        <w:t>CEO and Commissioner</w:t>
      </w:r>
    </w:p>
    <w:p w14:paraId="412BF9E9" w14:textId="4B51D393" w:rsidR="00E21BCE" w:rsidRPr="00703A0B" w:rsidRDefault="00D13349" w:rsidP="00D13349">
      <w:r w:rsidRPr="00703A0B">
        <w:rPr>
          <w:rFonts w:eastAsia="Aptos" w:cs="Arial"/>
          <w:szCs w:val="22"/>
        </w:rPr>
        <w:t>Queensland Building and Construction Commission</w:t>
      </w:r>
      <w:r w:rsidR="005010A0" w:rsidRPr="00703A0B">
        <w:br w:type="page"/>
      </w:r>
    </w:p>
    <w:p w14:paraId="44101DF8" w14:textId="26E38CB2" w:rsidR="003619A6" w:rsidRPr="00703A0B" w:rsidRDefault="00543314" w:rsidP="005F0F68">
      <w:pPr>
        <w:pStyle w:val="Heading1"/>
        <w:spacing w:before="120" w:after="120"/>
      </w:pPr>
      <w:bookmarkStart w:id="24" w:name="_Toc238101673"/>
      <w:r w:rsidRPr="00703A0B">
        <w:rPr>
          <w:rFonts w:cs="Arial"/>
        </w:rPr>
        <w:lastRenderedPageBreak/>
        <w:t>Introduction</w:t>
      </w:r>
      <w:bookmarkEnd w:id="23"/>
      <w:bookmarkEnd w:id="24"/>
    </w:p>
    <w:p w14:paraId="63FAFFBA" w14:textId="179C1425" w:rsidR="007817B4" w:rsidRPr="00703A0B" w:rsidRDefault="57410D7F" w:rsidP="002E0605">
      <w:pPr>
        <w:pStyle w:val="Heading2"/>
      </w:pPr>
      <w:bookmarkStart w:id="25" w:name="_Toc206493010"/>
      <w:bookmarkStart w:id="26" w:name="_Toc238101674"/>
      <w:r w:rsidRPr="00703A0B">
        <w:t xml:space="preserve">About </w:t>
      </w:r>
      <w:r w:rsidR="5B47EC2F" w:rsidRPr="00703A0B">
        <w:t>the QBCC</w:t>
      </w:r>
      <w:bookmarkEnd w:id="25"/>
      <w:bookmarkEnd w:id="26"/>
      <w:r w:rsidR="00727414" w:rsidRPr="00703A0B">
        <w:fldChar w:fldCharType="begin"/>
      </w:r>
      <w:r w:rsidR="00727414" w:rsidRPr="00703A0B">
        <w:instrText xml:space="preserve"> XE "About the QBCC" </w:instrText>
      </w:r>
      <w:r w:rsidR="00727414" w:rsidRPr="00703A0B">
        <w:fldChar w:fldCharType="end"/>
      </w:r>
    </w:p>
    <w:p w14:paraId="0BBB6F74" w14:textId="602267D7" w:rsidR="003D086C" w:rsidRPr="00703A0B" w:rsidRDefault="0059529F" w:rsidP="0059529F">
      <w:pPr>
        <w:spacing w:before="120" w:after="120"/>
      </w:pPr>
      <w:r w:rsidRPr="00703A0B">
        <w:t xml:space="preserve">The </w:t>
      </w:r>
      <w:r w:rsidR="00D9349B" w:rsidRPr="00703A0B">
        <w:t>Queensland Building and Construction Commission (</w:t>
      </w:r>
      <w:r w:rsidRPr="00703A0B">
        <w:t>QBCC</w:t>
      </w:r>
      <w:r w:rsidR="00D9349B" w:rsidRPr="00703A0B">
        <w:t>)</w:t>
      </w:r>
      <w:r w:rsidRPr="00703A0B">
        <w:t xml:space="preserve"> </w:t>
      </w:r>
      <w:r w:rsidR="007103C7" w:rsidRPr="00703A0B">
        <w:t xml:space="preserve">is </w:t>
      </w:r>
      <w:r w:rsidRPr="00703A0B">
        <w:t xml:space="preserve">the </w:t>
      </w:r>
      <w:r w:rsidR="00F60CAB" w:rsidRPr="00703A0B">
        <w:t xml:space="preserve">statutory </w:t>
      </w:r>
      <w:r w:rsidRPr="00703A0B">
        <w:t xml:space="preserve">regulator </w:t>
      </w:r>
      <w:r w:rsidR="00F60CAB" w:rsidRPr="00703A0B">
        <w:t xml:space="preserve">for </w:t>
      </w:r>
      <w:r w:rsidRPr="00703A0B">
        <w:t xml:space="preserve">Queensland’s building and construction industry. </w:t>
      </w:r>
      <w:r w:rsidR="00F60CAB" w:rsidRPr="00703A0B">
        <w:t>E</w:t>
      </w:r>
      <w:r w:rsidRPr="00703A0B">
        <w:t xml:space="preserve">stablished under the </w:t>
      </w:r>
      <w:r w:rsidRPr="00703A0B">
        <w:rPr>
          <w:i/>
        </w:rPr>
        <w:t>Queensland Building and Construction Commission Act 1991</w:t>
      </w:r>
      <w:r w:rsidRPr="00703A0B">
        <w:t xml:space="preserve"> (QBCC Act)</w:t>
      </w:r>
      <w:r w:rsidR="008F3788" w:rsidRPr="00703A0B">
        <w:t>, the QBCC</w:t>
      </w:r>
      <w:r w:rsidRPr="00703A0B">
        <w:t xml:space="preserve"> oversee</w:t>
      </w:r>
      <w:r w:rsidR="00BC099D" w:rsidRPr="00703A0B">
        <w:t>s</w:t>
      </w:r>
      <w:r w:rsidRPr="00703A0B">
        <w:t xml:space="preserve"> the</w:t>
      </w:r>
      <w:r w:rsidR="003D086C" w:rsidRPr="00703A0B">
        <w:t xml:space="preserve"> </w:t>
      </w:r>
      <w:r w:rsidRPr="00703A0B">
        <w:t>industry</w:t>
      </w:r>
      <w:r w:rsidR="003D086C" w:rsidRPr="00703A0B">
        <w:t xml:space="preserve"> to promote</w:t>
      </w:r>
      <w:r w:rsidRPr="00703A0B">
        <w:t xml:space="preserve"> high standards of professionalism, safety and consumer protection. </w:t>
      </w:r>
    </w:p>
    <w:p w14:paraId="446A556A" w14:textId="5A6153CA" w:rsidR="0059529F" w:rsidRPr="00703A0B" w:rsidRDefault="0059529F" w:rsidP="0059529F">
      <w:pPr>
        <w:spacing w:before="120" w:after="120"/>
      </w:pPr>
      <w:r w:rsidRPr="00703A0B">
        <w:t xml:space="preserve">Governed by the </w:t>
      </w:r>
      <w:r w:rsidR="00F901D4" w:rsidRPr="00703A0B">
        <w:rPr>
          <w:rFonts w:eastAsia="Aptos" w:cs="Arial"/>
        </w:rPr>
        <w:t>Queensland Building and Construction (</w:t>
      </w:r>
      <w:r w:rsidRPr="00703A0B">
        <w:t>QBC</w:t>
      </w:r>
      <w:r w:rsidR="00F901D4" w:rsidRPr="00703A0B">
        <w:t>)</w:t>
      </w:r>
      <w:r w:rsidRPr="00703A0B">
        <w:t xml:space="preserve"> Board, the QBCC operates as an independent statutory authority</w:t>
      </w:r>
      <w:r w:rsidR="00310E1B" w:rsidRPr="00703A0B">
        <w:t xml:space="preserve"> responsible for regulating the industry</w:t>
      </w:r>
      <w:r w:rsidR="00B60119" w:rsidRPr="00703A0B">
        <w:t xml:space="preserve">, ensuring compliance </w:t>
      </w:r>
      <w:r w:rsidR="00F31D59" w:rsidRPr="00703A0B">
        <w:t>with legis</w:t>
      </w:r>
      <w:r w:rsidR="004C3C3F" w:rsidRPr="00703A0B">
        <w:t xml:space="preserve">lative requirements, </w:t>
      </w:r>
      <w:r w:rsidR="00B60119" w:rsidRPr="00703A0B">
        <w:t xml:space="preserve">and protecting </w:t>
      </w:r>
      <w:r w:rsidR="00DF56CC" w:rsidRPr="00703A0B">
        <w:t xml:space="preserve">the Queensland community from defective </w:t>
      </w:r>
      <w:r w:rsidR="004C3C3F" w:rsidRPr="00703A0B">
        <w:t>building work</w:t>
      </w:r>
      <w:r w:rsidRPr="00703A0B">
        <w:t xml:space="preserve">. The QBCC Chief Executive Officer </w:t>
      </w:r>
      <w:r w:rsidR="00DB74DA" w:rsidRPr="00703A0B">
        <w:t xml:space="preserve">and Commissioner </w:t>
      </w:r>
      <w:r w:rsidRPr="00703A0B">
        <w:t>(</w:t>
      </w:r>
      <w:r w:rsidR="00440BB5" w:rsidRPr="00703A0B">
        <w:t>Commissioner</w:t>
      </w:r>
      <w:r w:rsidRPr="00703A0B">
        <w:t>) leads the organisation’s day-to-day operations</w:t>
      </w:r>
      <w:r w:rsidR="0036102C" w:rsidRPr="00703A0B">
        <w:t xml:space="preserve"> and is responsible for implementing </w:t>
      </w:r>
      <w:r w:rsidRPr="00703A0B">
        <w:t>the</w:t>
      </w:r>
      <w:r w:rsidR="00C50B11" w:rsidRPr="00703A0B">
        <w:t xml:space="preserve"> </w:t>
      </w:r>
      <w:r w:rsidR="00F64616" w:rsidRPr="00703A0B">
        <w:t xml:space="preserve">QBC Board’s </w:t>
      </w:r>
      <w:r w:rsidRPr="00703A0B">
        <w:t>strategic direction</w:t>
      </w:r>
      <w:r w:rsidR="00A826DE" w:rsidRPr="00703A0B">
        <w:t xml:space="preserve">, while maintaining </w:t>
      </w:r>
      <w:r w:rsidR="00484F81" w:rsidRPr="00703A0B">
        <w:t xml:space="preserve">strong governance, accountability and performance across the </w:t>
      </w:r>
      <w:r w:rsidRPr="00703A0B">
        <w:t>QBCC</w:t>
      </w:r>
      <w:r w:rsidR="00971D67" w:rsidRPr="00703A0B">
        <w:t xml:space="preserve">. </w:t>
      </w:r>
      <w:r w:rsidRPr="00703A0B">
        <w:t xml:space="preserve">The Commissioner </w:t>
      </w:r>
      <w:r w:rsidR="00971D67" w:rsidRPr="00703A0B">
        <w:t xml:space="preserve">also </w:t>
      </w:r>
      <w:r w:rsidRPr="00703A0B">
        <w:t xml:space="preserve">provides </w:t>
      </w:r>
      <w:r w:rsidR="00971D67" w:rsidRPr="00703A0B">
        <w:t xml:space="preserve">organisational </w:t>
      </w:r>
      <w:r w:rsidRPr="00703A0B">
        <w:t xml:space="preserve">leadership </w:t>
      </w:r>
      <w:r w:rsidR="00971D67" w:rsidRPr="00703A0B">
        <w:t>and</w:t>
      </w:r>
      <w:r w:rsidRPr="00703A0B">
        <w:t xml:space="preserve"> engage</w:t>
      </w:r>
      <w:r w:rsidR="00D7711B" w:rsidRPr="00703A0B">
        <w:t>s</w:t>
      </w:r>
      <w:r w:rsidRPr="00703A0B">
        <w:t xml:space="preserve"> key stakeholders </w:t>
      </w:r>
      <w:r w:rsidR="00D7711B" w:rsidRPr="00703A0B">
        <w:t>to support effective regulatory outcomes.</w:t>
      </w:r>
    </w:p>
    <w:p w14:paraId="1932ED54" w14:textId="05F23DA4" w:rsidR="006F1000" w:rsidRPr="00703A0B" w:rsidRDefault="0059529F" w:rsidP="0059529F">
      <w:pPr>
        <w:spacing w:before="120" w:after="120"/>
      </w:pPr>
      <w:r w:rsidRPr="00703A0B">
        <w:t xml:space="preserve">The QBC Board works </w:t>
      </w:r>
      <w:r w:rsidR="00FD2049" w:rsidRPr="00703A0B">
        <w:t xml:space="preserve">closely </w:t>
      </w:r>
      <w:r w:rsidRPr="00703A0B">
        <w:t xml:space="preserve">with the responsible Minister and department to ensure coordinated governance and alignment </w:t>
      </w:r>
      <w:r w:rsidR="00FD2049" w:rsidRPr="00703A0B">
        <w:t xml:space="preserve">with government </w:t>
      </w:r>
      <w:r w:rsidR="009511C2" w:rsidRPr="00703A0B">
        <w:t xml:space="preserve">policy. During the </w:t>
      </w:r>
      <w:r w:rsidR="00692851" w:rsidRPr="00703A0B">
        <w:t>2025</w:t>
      </w:r>
      <w:r w:rsidR="00566E82" w:rsidRPr="00703A0B">
        <w:t>–26 financial year</w:t>
      </w:r>
      <w:r w:rsidR="009511C2" w:rsidRPr="00703A0B">
        <w:t xml:space="preserve">, the responsible Minister </w:t>
      </w:r>
      <w:r w:rsidR="00566E82" w:rsidRPr="00703A0B">
        <w:t>was</w:t>
      </w:r>
      <w:r w:rsidR="005B2E1C" w:rsidRPr="00703A0B">
        <w:t xml:space="preserve"> the</w:t>
      </w:r>
      <w:r w:rsidRPr="00703A0B">
        <w:t xml:space="preserve"> Honourable </w:t>
      </w:r>
      <w:r w:rsidR="00AB78DE" w:rsidRPr="00703A0B">
        <w:t>Sam</w:t>
      </w:r>
      <w:r w:rsidRPr="00703A0B">
        <w:t xml:space="preserve"> O’Connor, Minister for Housing and Public Works and Minister for Youth</w:t>
      </w:r>
      <w:r w:rsidR="00FD7860" w:rsidRPr="00703A0B">
        <w:t>.</w:t>
      </w:r>
      <w:r w:rsidR="005B2E1C" w:rsidRPr="00703A0B">
        <w:t xml:space="preserve"> </w:t>
      </w:r>
      <w:r w:rsidR="00C03D9B" w:rsidRPr="00703A0B">
        <w:t>Throughout the year, t</w:t>
      </w:r>
      <w:r w:rsidR="00F47C8D" w:rsidRPr="00703A0B">
        <w:t>he Minister</w:t>
      </w:r>
      <w:r w:rsidR="00776878" w:rsidRPr="00703A0B">
        <w:t xml:space="preserve"> set clear e</w:t>
      </w:r>
      <w:r w:rsidR="00FD7860" w:rsidRPr="00703A0B">
        <w:t xml:space="preserve">xpectations </w:t>
      </w:r>
      <w:r w:rsidR="00776878" w:rsidRPr="00703A0B">
        <w:t xml:space="preserve">for the </w:t>
      </w:r>
      <w:r w:rsidR="00F47C8D" w:rsidRPr="00703A0B">
        <w:t>QBCC</w:t>
      </w:r>
      <w:r w:rsidR="005E2D2F" w:rsidRPr="00703A0B">
        <w:t xml:space="preserve"> </w:t>
      </w:r>
      <w:r w:rsidR="00776878" w:rsidRPr="00703A0B">
        <w:t xml:space="preserve">to </w:t>
      </w:r>
      <w:r w:rsidR="00AC75EA" w:rsidRPr="00703A0B">
        <w:t xml:space="preserve">transform </w:t>
      </w:r>
      <w:r w:rsidR="00147DA3" w:rsidRPr="00703A0B">
        <w:t xml:space="preserve">into a </w:t>
      </w:r>
      <w:r w:rsidR="00960C07" w:rsidRPr="00703A0B">
        <w:t xml:space="preserve">modern </w:t>
      </w:r>
      <w:r w:rsidR="00C03D9B" w:rsidRPr="00703A0B">
        <w:t xml:space="preserve">customer-focused </w:t>
      </w:r>
      <w:r w:rsidR="00960C07" w:rsidRPr="00703A0B">
        <w:t xml:space="preserve">regulator </w:t>
      </w:r>
      <w:r w:rsidR="00FE0604" w:rsidRPr="00703A0B">
        <w:t xml:space="preserve">that works </w:t>
      </w:r>
      <w:r w:rsidR="00C03D9B" w:rsidRPr="00703A0B">
        <w:t xml:space="preserve">collaboratively </w:t>
      </w:r>
      <w:r w:rsidR="00FE0604" w:rsidRPr="00703A0B">
        <w:t>with consumers and industry to improve productivity</w:t>
      </w:r>
      <w:r w:rsidR="00FE2BB0" w:rsidRPr="00703A0B">
        <w:t xml:space="preserve">, as outlined in the Statement of Expectations (Appendix </w:t>
      </w:r>
      <w:r w:rsidR="000E372D" w:rsidRPr="00703A0B">
        <w:t>D</w:t>
      </w:r>
      <w:r w:rsidR="00FE2BB0" w:rsidRPr="00703A0B">
        <w:t>)</w:t>
      </w:r>
      <w:r w:rsidR="00285DB1" w:rsidRPr="00703A0B">
        <w:t xml:space="preserve">. </w:t>
      </w:r>
      <w:r w:rsidR="006E0827" w:rsidRPr="00703A0B">
        <w:t>I</w:t>
      </w:r>
      <w:r w:rsidR="00A56961" w:rsidRPr="00703A0B">
        <w:t xml:space="preserve">n </w:t>
      </w:r>
      <w:r w:rsidR="00755FA7" w:rsidRPr="00703A0B">
        <w:t xml:space="preserve">partnership with </w:t>
      </w:r>
      <w:r w:rsidR="009874E8" w:rsidRPr="00703A0B">
        <w:t>t</w:t>
      </w:r>
      <w:r w:rsidRPr="00703A0B">
        <w:t>he Department of Housing and Public Works (DHPW)</w:t>
      </w:r>
      <w:r w:rsidR="009874E8" w:rsidRPr="00703A0B">
        <w:t>, the QBCC</w:t>
      </w:r>
      <w:r w:rsidR="00BB224B" w:rsidRPr="00703A0B">
        <w:t xml:space="preserve"> </w:t>
      </w:r>
      <w:r w:rsidR="00755FA7" w:rsidRPr="00703A0B">
        <w:t xml:space="preserve">commenced </w:t>
      </w:r>
      <w:r w:rsidR="00762449" w:rsidRPr="00703A0B">
        <w:t>a significant</w:t>
      </w:r>
      <w:r w:rsidR="00755FA7" w:rsidRPr="00703A0B">
        <w:t xml:space="preserve"> </w:t>
      </w:r>
      <w:r w:rsidR="00A2692C" w:rsidRPr="00703A0B">
        <w:t xml:space="preserve">transformation </w:t>
      </w:r>
      <w:r w:rsidR="00762449" w:rsidRPr="00703A0B">
        <w:t xml:space="preserve">program </w:t>
      </w:r>
      <w:r w:rsidR="00A2692C" w:rsidRPr="00703A0B">
        <w:t>t</w:t>
      </w:r>
      <w:r w:rsidR="00762449" w:rsidRPr="00703A0B">
        <w:t>o strengthen its role as</w:t>
      </w:r>
      <w:r w:rsidR="00A2692C" w:rsidRPr="00703A0B">
        <w:t xml:space="preserve"> a </w:t>
      </w:r>
      <w:r w:rsidR="00BB224B" w:rsidRPr="00703A0B">
        <w:t xml:space="preserve">contemporary </w:t>
      </w:r>
      <w:r w:rsidR="00D13CC5" w:rsidRPr="00703A0B">
        <w:t xml:space="preserve">and </w:t>
      </w:r>
      <w:r w:rsidR="00762449" w:rsidRPr="00703A0B">
        <w:t>outcome</w:t>
      </w:r>
      <w:r w:rsidR="009C7880" w:rsidRPr="00703A0B">
        <w:t>-</w:t>
      </w:r>
      <w:r w:rsidR="00762449" w:rsidRPr="00703A0B">
        <w:t>focused</w:t>
      </w:r>
      <w:r w:rsidR="00D13CC5" w:rsidRPr="00703A0B">
        <w:t xml:space="preserve"> regulator</w:t>
      </w:r>
      <w:r w:rsidR="00762449" w:rsidRPr="00703A0B">
        <w:t xml:space="preserve">. </w:t>
      </w:r>
    </w:p>
    <w:p w14:paraId="3B9C8024" w14:textId="2870F161" w:rsidR="00541063" w:rsidRPr="00703A0B" w:rsidRDefault="005B0A0B" w:rsidP="0059529F">
      <w:pPr>
        <w:spacing w:before="120" w:after="120"/>
      </w:pPr>
      <w:r w:rsidRPr="00703A0B">
        <w:t>The</w:t>
      </w:r>
      <w:r w:rsidR="00F93D70" w:rsidRPr="00703A0B">
        <w:t xml:space="preserve"> QBCC’s</w:t>
      </w:r>
      <w:r w:rsidR="006F1000" w:rsidRPr="00703A0B">
        <w:t xml:space="preserve"> transformation </w:t>
      </w:r>
      <w:r w:rsidR="005E6E4D" w:rsidRPr="00703A0B">
        <w:t xml:space="preserve">journey </w:t>
      </w:r>
      <w:r w:rsidR="006F1000" w:rsidRPr="00703A0B">
        <w:t xml:space="preserve">focused on </w:t>
      </w:r>
      <w:r w:rsidR="00541063" w:rsidRPr="00703A0B">
        <w:t>the following</w:t>
      </w:r>
      <w:r w:rsidR="005E6E4D" w:rsidRPr="00703A0B">
        <w:t xml:space="preserve"> priorities</w:t>
      </w:r>
      <w:r w:rsidR="00541063" w:rsidRPr="00703A0B">
        <w:t>:</w:t>
      </w:r>
    </w:p>
    <w:p w14:paraId="4F73C627" w14:textId="3BEE6853" w:rsidR="00865240" w:rsidRPr="00703A0B" w:rsidRDefault="00CA6489" w:rsidP="00523E53">
      <w:pPr>
        <w:pStyle w:val="ListParagraph"/>
        <w:numPr>
          <w:ilvl w:val="0"/>
          <w:numId w:val="55"/>
        </w:numPr>
        <w:spacing w:before="120" w:after="120"/>
        <w:ind w:left="714" w:hanging="357"/>
        <w:contextualSpacing w:val="0"/>
      </w:pPr>
      <w:r w:rsidRPr="00703A0B">
        <w:t>C</w:t>
      </w:r>
      <w:r w:rsidR="00765E1B" w:rsidRPr="00703A0B">
        <w:t>ustomer service</w:t>
      </w:r>
      <w:r w:rsidRPr="00703A0B">
        <w:t xml:space="preserve"> excellence</w:t>
      </w:r>
    </w:p>
    <w:p w14:paraId="5CB1C8F9" w14:textId="201C6AF7" w:rsidR="00765E1B" w:rsidRPr="00703A0B" w:rsidRDefault="00CA6489" w:rsidP="00523E53">
      <w:pPr>
        <w:pStyle w:val="ListParagraph"/>
        <w:numPr>
          <w:ilvl w:val="0"/>
          <w:numId w:val="55"/>
        </w:numPr>
        <w:spacing w:before="120" w:after="120"/>
        <w:ind w:left="714" w:hanging="357"/>
        <w:contextualSpacing w:val="0"/>
      </w:pPr>
      <w:r w:rsidRPr="00703A0B">
        <w:t>A</w:t>
      </w:r>
      <w:r w:rsidR="00E70737" w:rsidRPr="00703A0B">
        <w:t xml:space="preserve"> culture of responsiveness and transparency</w:t>
      </w:r>
    </w:p>
    <w:p w14:paraId="1A37D2EA" w14:textId="04E01C7A" w:rsidR="00DE665B" w:rsidRPr="00703A0B" w:rsidRDefault="00CA6489" w:rsidP="00523E53">
      <w:pPr>
        <w:pStyle w:val="ListParagraph"/>
        <w:numPr>
          <w:ilvl w:val="0"/>
          <w:numId w:val="55"/>
        </w:numPr>
        <w:spacing w:before="120" w:after="120"/>
        <w:ind w:left="714" w:hanging="357"/>
        <w:contextualSpacing w:val="0"/>
      </w:pPr>
      <w:r w:rsidRPr="00703A0B">
        <w:t xml:space="preserve">A shift away from </w:t>
      </w:r>
      <w:r w:rsidR="00DE665B" w:rsidRPr="00703A0B">
        <w:t>compliance</w:t>
      </w:r>
      <w:r w:rsidR="006B47DA" w:rsidRPr="00703A0B">
        <w:t>-driven processes towards more meaningful outcomes</w:t>
      </w:r>
    </w:p>
    <w:p w14:paraId="6AA31D18" w14:textId="6238C70F" w:rsidR="00DE665B" w:rsidRPr="00703A0B" w:rsidRDefault="006B47DA" w:rsidP="00523E53">
      <w:pPr>
        <w:pStyle w:val="ListParagraph"/>
        <w:numPr>
          <w:ilvl w:val="0"/>
          <w:numId w:val="55"/>
        </w:numPr>
        <w:spacing w:before="120" w:after="120"/>
        <w:ind w:left="714" w:hanging="357"/>
        <w:contextualSpacing w:val="0"/>
      </w:pPr>
      <w:r w:rsidRPr="00703A0B">
        <w:t>Greater use of</w:t>
      </w:r>
      <w:r w:rsidR="00DE665B" w:rsidRPr="00703A0B">
        <w:t xml:space="preserve"> digital technologies</w:t>
      </w:r>
    </w:p>
    <w:p w14:paraId="21E3E585" w14:textId="42350F59" w:rsidR="005273CC" w:rsidRPr="00703A0B" w:rsidRDefault="00DE665B" w:rsidP="00523E53">
      <w:pPr>
        <w:pStyle w:val="ListParagraph"/>
        <w:numPr>
          <w:ilvl w:val="0"/>
          <w:numId w:val="55"/>
        </w:numPr>
        <w:spacing w:before="120" w:after="120"/>
        <w:ind w:left="714" w:hanging="357"/>
        <w:contextualSpacing w:val="0"/>
      </w:pPr>
      <w:r w:rsidRPr="00703A0B">
        <w:t>Active support</w:t>
      </w:r>
      <w:r w:rsidR="006B47DA" w:rsidRPr="00703A0B">
        <w:t xml:space="preserve"> for </w:t>
      </w:r>
      <w:r w:rsidRPr="00703A0B">
        <w:t>broader building policy reforms</w:t>
      </w:r>
    </w:p>
    <w:p w14:paraId="01A4EE54" w14:textId="352A2EE0" w:rsidR="00C7280F" w:rsidRPr="00703A0B" w:rsidRDefault="009C7880" w:rsidP="007050BD">
      <w:pPr>
        <w:spacing w:before="120" w:after="120"/>
      </w:pPr>
      <w:r w:rsidRPr="00703A0B">
        <w:t xml:space="preserve">A key milestone </w:t>
      </w:r>
      <w:r w:rsidR="00102EF8" w:rsidRPr="00703A0B">
        <w:t>in its</w:t>
      </w:r>
      <w:r w:rsidR="00ED774A" w:rsidRPr="00703A0B">
        <w:t xml:space="preserve"> transformation </w:t>
      </w:r>
      <w:r w:rsidR="00102EF8" w:rsidRPr="00703A0B">
        <w:t xml:space="preserve">was the </w:t>
      </w:r>
      <w:r w:rsidR="00BC2D1E" w:rsidRPr="00703A0B">
        <w:t xml:space="preserve">implementation </w:t>
      </w:r>
      <w:r w:rsidR="00C8759D" w:rsidRPr="00703A0B">
        <w:t xml:space="preserve">of </w:t>
      </w:r>
      <w:r w:rsidR="00B91A2D" w:rsidRPr="00703A0B">
        <w:t xml:space="preserve">the </w:t>
      </w:r>
      <w:r w:rsidR="00163607" w:rsidRPr="00703A0B">
        <w:t xml:space="preserve">QBCC </w:t>
      </w:r>
      <w:r w:rsidR="00B91A2D" w:rsidRPr="00703A0B">
        <w:t>Target</w:t>
      </w:r>
      <w:r w:rsidR="00102EF8" w:rsidRPr="00703A0B">
        <w:t xml:space="preserve"> </w:t>
      </w:r>
      <w:r w:rsidR="00B91A2D" w:rsidRPr="00703A0B">
        <w:t>Operating Model</w:t>
      </w:r>
      <w:r w:rsidR="00C415B4" w:rsidRPr="00703A0B">
        <w:t xml:space="preserve"> (TOM)</w:t>
      </w:r>
      <w:r w:rsidR="00102EF8" w:rsidRPr="00703A0B">
        <w:t xml:space="preserve">. </w:t>
      </w:r>
      <w:r w:rsidR="005613F2" w:rsidRPr="00703A0B">
        <w:t xml:space="preserve">The TOM is designed to bring </w:t>
      </w:r>
      <w:r w:rsidR="001B0A88" w:rsidRPr="00703A0B">
        <w:t>executive decision making closer to frontline service</w:t>
      </w:r>
      <w:r w:rsidR="005613F2" w:rsidRPr="00703A0B">
        <w:t xml:space="preserve"> delivery, </w:t>
      </w:r>
      <w:r w:rsidR="00945071" w:rsidRPr="00703A0B">
        <w:t>enabl</w:t>
      </w:r>
      <w:r w:rsidR="00BC5A9E" w:rsidRPr="00703A0B">
        <w:t>ing</w:t>
      </w:r>
      <w:r w:rsidR="00945071" w:rsidRPr="00703A0B">
        <w:t xml:space="preserve"> </w:t>
      </w:r>
      <w:r w:rsidR="004D0E59" w:rsidRPr="00703A0B">
        <w:t>faster responses to emerging issues and more effective resolution o</w:t>
      </w:r>
      <w:r w:rsidR="000E779E" w:rsidRPr="00703A0B">
        <w:t xml:space="preserve">f customer concerns. It also positions </w:t>
      </w:r>
      <w:r w:rsidR="00945071" w:rsidRPr="00703A0B">
        <w:t xml:space="preserve">the organisation </w:t>
      </w:r>
      <w:r w:rsidR="001B0A88" w:rsidRPr="00703A0B">
        <w:t>to</w:t>
      </w:r>
      <w:r w:rsidR="000E779E" w:rsidRPr="00703A0B">
        <w:t xml:space="preserve"> better leverage </w:t>
      </w:r>
      <w:r w:rsidR="005A1F0F" w:rsidRPr="00703A0B">
        <w:t xml:space="preserve">its core capabilities, improve operational </w:t>
      </w:r>
      <w:r w:rsidR="00C415B4" w:rsidRPr="00703A0B">
        <w:t xml:space="preserve">efficiency and </w:t>
      </w:r>
      <w:r w:rsidR="005A1F0F" w:rsidRPr="00703A0B">
        <w:t>maximise regulatory impact</w:t>
      </w:r>
      <w:r w:rsidR="003728D7" w:rsidRPr="00703A0B">
        <w:t xml:space="preserve">. Through enhanced digital capability and streamlined decision making, the TOM is improving service </w:t>
      </w:r>
      <w:r w:rsidR="005D42C9" w:rsidRPr="00703A0B">
        <w:t>accessib</w:t>
      </w:r>
      <w:r w:rsidR="00320D91" w:rsidRPr="00703A0B">
        <w:t>ility and responsiveness for consumers and industry stakeholders</w:t>
      </w:r>
      <w:r w:rsidR="001B0A88" w:rsidRPr="00703A0B">
        <w:t xml:space="preserve">. </w:t>
      </w:r>
    </w:p>
    <w:p w14:paraId="49E2D551" w14:textId="0BDD4510" w:rsidR="00125E2B" w:rsidRPr="00703A0B" w:rsidRDefault="00CF4A13" w:rsidP="007050BD">
      <w:pPr>
        <w:spacing w:before="120" w:after="120"/>
      </w:pPr>
      <w:r w:rsidRPr="00703A0B">
        <w:t>Consistent with</w:t>
      </w:r>
      <w:r w:rsidR="005607ED" w:rsidRPr="00703A0B">
        <w:t xml:space="preserve"> these priorities</w:t>
      </w:r>
      <w:r w:rsidRPr="00703A0B">
        <w:t>,</w:t>
      </w:r>
      <w:r w:rsidR="005607ED" w:rsidRPr="00703A0B">
        <w:t xml:space="preserve"> and informed by </w:t>
      </w:r>
      <w:r w:rsidR="00AF6A0E" w:rsidRPr="00703A0B">
        <w:t>r</w:t>
      </w:r>
      <w:r w:rsidR="00ED619B" w:rsidRPr="00703A0B">
        <w:t>ecommendations from the Queensland Productivity Commission</w:t>
      </w:r>
      <w:r w:rsidR="00AF6A0E" w:rsidRPr="00703A0B">
        <w:t xml:space="preserve">, the QBCC </w:t>
      </w:r>
      <w:r w:rsidR="00A045E9" w:rsidRPr="00703A0B">
        <w:t xml:space="preserve">continued </w:t>
      </w:r>
      <w:r w:rsidR="00AF6A0E" w:rsidRPr="00703A0B">
        <w:t xml:space="preserve">to </w:t>
      </w:r>
      <w:r w:rsidR="00AB5684" w:rsidRPr="00703A0B">
        <w:t>implement</w:t>
      </w:r>
      <w:r w:rsidR="00AF6A0E" w:rsidRPr="00703A0B">
        <w:t xml:space="preserve"> </w:t>
      </w:r>
      <w:r w:rsidR="00F86591" w:rsidRPr="00703A0B">
        <w:t>productivity and performance</w:t>
      </w:r>
      <w:r w:rsidR="009F706E" w:rsidRPr="00703A0B">
        <w:t xml:space="preserve"> improvements</w:t>
      </w:r>
      <w:r w:rsidR="005A0D05" w:rsidRPr="00703A0B">
        <w:t xml:space="preserve"> across</w:t>
      </w:r>
      <w:r w:rsidR="00CB46B3" w:rsidRPr="00703A0B">
        <w:t xml:space="preserve"> its core regulatory services</w:t>
      </w:r>
      <w:r w:rsidR="00F03648" w:rsidRPr="00703A0B">
        <w:t xml:space="preserve"> </w:t>
      </w:r>
      <w:r w:rsidR="00301FC1" w:rsidRPr="00703A0B">
        <w:t xml:space="preserve">throughout </w:t>
      </w:r>
      <w:r w:rsidR="00F03648" w:rsidRPr="00703A0B">
        <w:t>the 2025–26 financial year</w:t>
      </w:r>
      <w:r w:rsidR="00F86591" w:rsidRPr="00703A0B">
        <w:t>:</w:t>
      </w:r>
      <w:r w:rsidR="00B71EF2" w:rsidRPr="00703A0B">
        <w:t xml:space="preserve"> </w:t>
      </w:r>
    </w:p>
    <w:p w14:paraId="5214203C" w14:textId="0F474617" w:rsidR="00B23740" w:rsidRPr="00703A0B" w:rsidRDefault="3F6A9A54" w:rsidP="00A836CF">
      <w:pPr>
        <w:numPr>
          <w:ilvl w:val="0"/>
          <w:numId w:val="16"/>
        </w:numPr>
        <w:spacing w:before="120" w:after="120"/>
        <w:ind w:left="714" w:hanging="357"/>
        <w:rPr>
          <w:rFonts w:cs="Arial"/>
        </w:rPr>
      </w:pPr>
      <w:r w:rsidRPr="00703A0B">
        <w:rPr>
          <w:rFonts w:cs="Arial"/>
          <w:b/>
          <w:bCs/>
        </w:rPr>
        <w:t>Licensing</w:t>
      </w:r>
      <w:r w:rsidR="003F4C9F" w:rsidRPr="00703A0B">
        <w:rPr>
          <w:rFonts w:cs="Arial"/>
          <w:b/>
          <w:bCs/>
        </w:rPr>
        <w:t>:</w:t>
      </w:r>
      <w:r w:rsidRPr="00703A0B">
        <w:rPr>
          <w:rFonts w:cs="Arial"/>
        </w:rPr>
        <w:t xml:space="preserve"> Issuing and maintaining licences for building and trade contractors, plumbers and drainers, certifiers and </w:t>
      </w:r>
      <w:r w:rsidR="004D5002" w:rsidRPr="00703A0B">
        <w:rPr>
          <w:rFonts w:cs="Arial"/>
        </w:rPr>
        <w:t>p</w:t>
      </w:r>
      <w:r w:rsidRPr="00703A0B">
        <w:rPr>
          <w:rFonts w:cs="Arial"/>
        </w:rPr>
        <w:t xml:space="preserve">ool </w:t>
      </w:r>
      <w:r w:rsidR="004D5002" w:rsidRPr="00703A0B">
        <w:rPr>
          <w:rFonts w:cs="Arial"/>
        </w:rPr>
        <w:t>s</w:t>
      </w:r>
      <w:r w:rsidRPr="00703A0B">
        <w:rPr>
          <w:rFonts w:cs="Arial"/>
        </w:rPr>
        <w:t xml:space="preserve">afety </w:t>
      </w:r>
      <w:r w:rsidR="007369B0" w:rsidRPr="00703A0B">
        <w:rPr>
          <w:rFonts w:cs="Arial"/>
        </w:rPr>
        <w:t>i</w:t>
      </w:r>
      <w:r w:rsidRPr="00703A0B">
        <w:rPr>
          <w:rFonts w:cs="Arial"/>
        </w:rPr>
        <w:t>nspectors</w:t>
      </w:r>
      <w:r w:rsidR="00890C8F" w:rsidRPr="00703A0B">
        <w:rPr>
          <w:rFonts w:cs="Arial"/>
        </w:rPr>
        <w:t>,</w:t>
      </w:r>
      <w:r w:rsidR="00D511AF" w:rsidRPr="00703A0B">
        <w:rPr>
          <w:rFonts w:cs="Arial"/>
        </w:rPr>
        <w:t xml:space="preserve"> and</w:t>
      </w:r>
      <w:r w:rsidR="006D2A34" w:rsidRPr="00703A0B">
        <w:rPr>
          <w:rFonts w:cs="Arial"/>
        </w:rPr>
        <w:t xml:space="preserve"> </w:t>
      </w:r>
      <w:r w:rsidR="00693720" w:rsidRPr="00703A0B">
        <w:rPr>
          <w:rFonts w:cs="Arial"/>
        </w:rPr>
        <w:t>O</w:t>
      </w:r>
      <w:r w:rsidR="006D2A34" w:rsidRPr="00703A0B">
        <w:rPr>
          <w:rFonts w:cs="Arial"/>
        </w:rPr>
        <w:t>wner</w:t>
      </w:r>
      <w:r w:rsidR="00693720" w:rsidRPr="00703A0B">
        <w:rPr>
          <w:rFonts w:cs="Arial"/>
        </w:rPr>
        <w:t>-</w:t>
      </w:r>
      <w:r w:rsidR="007369B0" w:rsidRPr="00703A0B">
        <w:rPr>
          <w:rFonts w:cs="Arial"/>
        </w:rPr>
        <w:t>b</w:t>
      </w:r>
      <w:r w:rsidR="006D2A34" w:rsidRPr="00703A0B">
        <w:rPr>
          <w:rFonts w:cs="Arial"/>
        </w:rPr>
        <w:t xml:space="preserve">uilder </w:t>
      </w:r>
      <w:r w:rsidR="007369B0" w:rsidRPr="00703A0B">
        <w:rPr>
          <w:rFonts w:cs="Arial"/>
        </w:rPr>
        <w:t>p</w:t>
      </w:r>
      <w:r w:rsidR="006D2A34" w:rsidRPr="00703A0B">
        <w:rPr>
          <w:rFonts w:cs="Arial"/>
        </w:rPr>
        <w:t>ermits</w:t>
      </w:r>
      <w:r w:rsidR="184A5931" w:rsidRPr="00703A0B">
        <w:rPr>
          <w:rFonts w:cs="Arial"/>
        </w:rPr>
        <w:t>.</w:t>
      </w:r>
      <w:r w:rsidRPr="00703A0B">
        <w:rPr>
          <w:rFonts w:cs="Arial"/>
        </w:rPr>
        <w:t xml:space="preserve"> </w:t>
      </w:r>
    </w:p>
    <w:p w14:paraId="2683CDE3" w14:textId="78AD7CAD" w:rsidR="001F4621" w:rsidRPr="00703A0B" w:rsidRDefault="001F4621" w:rsidP="00A836CF">
      <w:pPr>
        <w:pStyle w:val="ListParagraph"/>
        <w:numPr>
          <w:ilvl w:val="0"/>
          <w:numId w:val="16"/>
        </w:numPr>
        <w:rPr>
          <w:rFonts w:cs="Arial"/>
        </w:rPr>
      </w:pPr>
      <w:r w:rsidRPr="00703A0B">
        <w:rPr>
          <w:rFonts w:cs="Arial"/>
          <w:b/>
          <w:bCs/>
        </w:rPr>
        <w:t>Education and engagement:</w:t>
      </w:r>
      <w:r w:rsidRPr="00703A0B">
        <w:rPr>
          <w:rFonts w:cs="Arial"/>
        </w:rPr>
        <w:t xml:space="preserve"> Providing tailored education, information and advice to licensees, </w:t>
      </w:r>
      <w:proofErr w:type="gramStart"/>
      <w:r w:rsidRPr="00703A0B">
        <w:rPr>
          <w:rFonts w:cs="Arial"/>
        </w:rPr>
        <w:t>home owners</w:t>
      </w:r>
      <w:proofErr w:type="gramEnd"/>
      <w:r w:rsidRPr="00703A0B">
        <w:rPr>
          <w:rFonts w:cs="Arial"/>
        </w:rPr>
        <w:t xml:space="preserve"> and industry. </w:t>
      </w:r>
    </w:p>
    <w:p w14:paraId="3CCB2119" w14:textId="77777777" w:rsidR="00E7163B" w:rsidRPr="00703A0B" w:rsidRDefault="00E7163B" w:rsidP="00A836CF">
      <w:pPr>
        <w:numPr>
          <w:ilvl w:val="0"/>
          <w:numId w:val="16"/>
        </w:numPr>
        <w:spacing w:before="120" w:after="120"/>
        <w:ind w:left="714" w:hanging="357"/>
        <w:rPr>
          <w:rFonts w:cs="Arial"/>
        </w:rPr>
      </w:pPr>
      <w:r w:rsidRPr="00703A0B" w:rsidDel="00D01415">
        <w:rPr>
          <w:rFonts w:cs="Arial"/>
          <w:b/>
          <w:bCs/>
        </w:rPr>
        <w:t>C</w:t>
      </w:r>
      <w:r w:rsidRPr="00703A0B">
        <w:rPr>
          <w:rFonts w:cs="Arial"/>
          <w:b/>
          <w:bCs/>
        </w:rPr>
        <w:t>ompliance and enforcement:</w:t>
      </w:r>
      <w:r w:rsidRPr="00703A0B">
        <w:rPr>
          <w:rFonts w:cs="Arial"/>
        </w:rPr>
        <w:t xml:space="preserve"> </w:t>
      </w:r>
      <w:r w:rsidRPr="00703A0B" w:rsidDel="002F43B9">
        <w:rPr>
          <w:rFonts w:cs="Arial"/>
        </w:rPr>
        <w:t>C</w:t>
      </w:r>
      <w:r w:rsidRPr="00703A0B">
        <w:rPr>
          <w:rFonts w:cs="Arial"/>
        </w:rPr>
        <w:t>onducting proactive regulatory activities to monitor, enforce and promote compliance with legislative obligations.</w:t>
      </w:r>
    </w:p>
    <w:p w14:paraId="4697060F" w14:textId="2C3B4560" w:rsidR="007836CE" w:rsidRPr="00703A0B" w:rsidRDefault="007836CE" w:rsidP="00A836CF">
      <w:pPr>
        <w:pStyle w:val="ListParagraph"/>
        <w:numPr>
          <w:ilvl w:val="0"/>
          <w:numId w:val="16"/>
        </w:numPr>
        <w:rPr>
          <w:rFonts w:cs="Arial"/>
        </w:rPr>
      </w:pPr>
      <w:r w:rsidRPr="00703A0B">
        <w:rPr>
          <w:rFonts w:cs="Arial"/>
          <w:b/>
          <w:bCs/>
        </w:rPr>
        <w:t>Dispute resolution:</w:t>
      </w:r>
      <w:r w:rsidRPr="00703A0B">
        <w:rPr>
          <w:rFonts w:cs="Arial"/>
        </w:rPr>
        <w:t xml:space="preserve"> Offering services to help resolve complaints that arise during building and construction projects.</w:t>
      </w:r>
    </w:p>
    <w:p w14:paraId="09130205" w14:textId="77777777" w:rsidR="00EA60CD" w:rsidRPr="00703A0B" w:rsidRDefault="00EA60CD" w:rsidP="00A836CF">
      <w:pPr>
        <w:numPr>
          <w:ilvl w:val="0"/>
          <w:numId w:val="16"/>
        </w:numPr>
        <w:spacing w:before="120" w:after="120"/>
        <w:ind w:left="714" w:hanging="357"/>
        <w:rPr>
          <w:rFonts w:cs="Arial"/>
        </w:rPr>
      </w:pPr>
      <w:r w:rsidRPr="00703A0B" w:rsidDel="00D01415">
        <w:rPr>
          <w:rFonts w:cs="Arial"/>
          <w:b/>
          <w:bCs/>
        </w:rPr>
        <w:t>H</w:t>
      </w:r>
      <w:r w:rsidRPr="00703A0B">
        <w:rPr>
          <w:rFonts w:cs="Arial"/>
          <w:b/>
          <w:bCs/>
        </w:rPr>
        <w:t>ome warranty insurance management:</w:t>
      </w:r>
      <w:r w:rsidRPr="00703A0B">
        <w:rPr>
          <w:rFonts w:cs="Arial"/>
        </w:rPr>
        <w:t xml:space="preserve"> </w:t>
      </w:r>
      <w:r w:rsidRPr="00703A0B" w:rsidDel="000F05A9">
        <w:rPr>
          <w:rFonts w:cs="Arial"/>
        </w:rPr>
        <w:t>A</w:t>
      </w:r>
      <w:r w:rsidRPr="00703A0B">
        <w:rPr>
          <w:rFonts w:cs="Arial"/>
        </w:rPr>
        <w:t>dministering the Queensland Home Warranty Scheme (QHWS) for eligible residential construction work.</w:t>
      </w:r>
    </w:p>
    <w:p w14:paraId="175824AD" w14:textId="50957CB6" w:rsidR="00E7163B" w:rsidRPr="00703A0B" w:rsidRDefault="00E7163B" w:rsidP="00A836CF">
      <w:pPr>
        <w:numPr>
          <w:ilvl w:val="0"/>
          <w:numId w:val="16"/>
        </w:numPr>
        <w:spacing w:before="120" w:after="120"/>
        <w:ind w:left="714" w:hanging="357"/>
        <w:rPr>
          <w:rFonts w:cs="Arial"/>
        </w:rPr>
      </w:pPr>
      <w:r w:rsidRPr="00703A0B">
        <w:rPr>
          <w:rFonts w:cs="Arial"/>
          <w:b/>
          <w:bCs/>
        </w:rPr>
        <w:lastRenderedPageBreak/>
        <w:t>Adjudication</w:t>
      </w:r>
      <w:r w:rsidR="00C366DA" w:rsidRPr="00703A0B">
        <w:rPr>
          <w:rFonts w:cs="Arial"/>
          <w:b/>
          <w:bCs/>
        </w:rPr>
        <w:fldChar w:fldCharType="begin"/>
      </w:r>
      <w:r w:rsidR="00C366DA" w:rsidRPr="00703A0B">
        <w:instrText xml:space="preserve"> XE "</w:instrText>
      </w:r>
      <w:r w:rsidR="00C366DA" w:rsidRPr="00703A0B">
        <w:rPr>
          <w:rFonts w:cs="Arial"/>
          <w:b/>
        </w:rPr>
        <w:instrText>Adjudication</w:instrText>
      </w:r>
      <w:r w:rsidR="00C366DA" w:rsidRPr="00703A0B">
        <w:instrText xml:space="preserve">" </w:instrText>
      </w:r>
      <w:r w:rsidR="00C366DA" w:rsidRPr="00703A0B">
        <w:rPr>
          <w:rFonts w:cs="Arial"/>
          <w:b/>
          <w:bCs/>
        </w:rPr>
        <w:fldChar w:fldCharType="end"/>
      </w:r>
      <w:r w:rsidRPr="00703A0B">
        <w:rPr>
          <w:rFonts w:cs="Arial"/>
          <w:b/>
          <w:bCs/>
        </w:rPr>
        <w:t>:</w:t>
      </w:r>
      <w:r w:rsidRPr="00703A0B">
        <w:rPr>
          <w:rFonts w:cs="Arial"/>
        </w:rPr>
        <w:t xml:space="preserve"> Facilitating the resolution of disputes over progress payments and financial obligations in building and construction projects.</w:t>
      </w:r>
    </w:p>
    <w:p w14:paraId="3118197E" w14:textId="77777777" w:rsidR="00E7163B" w:rsidRPr="00703A0B" w:rsidRDefault="00E7163B" w:rsidP="00A836CF">
      <w:pPr>
        <w:numPr>
          <w:ilvl w:val="0"/>
          <w:numId w:val="16"/>
        </w:numPr>
        <w:spacing w:before="120" w:after="120"/>
        <w:ind w:left="714" w:hanging="357"/>
        <w:rPr>
          <w:rFonts w:cs="Arial"/>
        </w:rPr>
      </w:pPr>
      <w:r w:rsidRPr="00703A0B">
        <w:rPr>
          <w:rFonts w:cs="Arial"/>
          <w:b/>
          <w:bCs/>
        </w:rPr>
        <w:t>Frontline service:</w:t>
      </w:r>
      <w:r w:rsidRPr="00703A0B">
        <w:rPr>
          <w:rFonts w:cs="Arial"/>
        </w:rPr>
        <w:t xml:space="preserve"> Connecting customers and providing clear guidance to help them understand their rights, responsibilities and regulatory obligations. </w:t>
      </w:r>
    </w:p>
    <w:p w14:paraId="644570C5" w14:textId="4EBB8098" w:rsidR="00406907" w:rsidRPr="00703A0B" w:rsidRDefault="00106686" w:rsidP="00E43287">
      <w:pPr>
        <w:spacing w:before="120" w:after="120"/>
        <w:rPr>
          <w:rFonts w:cs="Arial"/>
        </w:rPr>
      </w:pPr>
      <w:r w:rsidRPr="00703A0B">
        <w:t xml:space="preserve">In addition to its core </w:t>
      </w:r>
      <w:r w:rsidR="001749C0" w:rsidRPr="00703A0B">
        <w:t>functions, the QBCC continue</w:t>
      </w:r>
      <w:r w:rsidR="00F03648" w:rsidRPr="00703A0B">
        <w:t>d</w:t>
      </w:r>
      <w:r w:rsidR="00B86E28" w:rsidRPr="00703A0B">
        <w:t xml:space="preserve"> </w:t>
      </w:r>
      <w:r w:rsidR="001749C0" w:rsidRPr="00703A0B">
        <w:t xml:space="preserve">to support the </w:t>
      </w:r>
      <w:r w:rsidR="000231D8" w:rsidRPr="00703A0B">
        <w:t>Queensland Government’s broader</w:t>
      </w:r>
      <w:r w:rsidR="00F5717B" w:rsidRPr="00703A0B">
        <w:t xml:space="preserve"> </w:t>
      </w:r>
      <w:r w:rsidR="006D5633" w:rsidRPr="00703A0B">
        <w:t xml:space="preserve">reform agenda, including the </w:t>
      </w:r>
      <w:r w:rsidR="00E45B77" w:rsidRPr="00703A0B">
        <w:t>Building Regulation Renovation (Building Reg Reno) initiative.</w:t>
      </w:r>
      <w:r w:rsidR="00373D92" w:rsidRPr="00703A0B">
        <w:t xml:space="preserve"> </w:t>
      </w:r>
      <w:r w:rsidR="002234DD" w:rsidRPr="00703A0B">
        <w:rPr>
          <w:rFonts w:cs="Arial"/>
        </w:rPr>
        <w:t xml:space="preserve">As part of Tranche 3 of Building Reg Reno, the QBCC delivered </w:t>
      </w:r>
      <w:r w:rsidR="005A662B" w:rsidRPr="00703A0B">
        <w:rPr>
          <w:rFonts w:cs="Arial"/>
        </w:rPr>
        <w:t>improvements</w:t>
      </w:r>
      <w:r w:rsidR="002234DD" w:rsidRPr="00703A0B">
        <w:rPr>
          <w:rFonts w:cs="Arial"/>
        </w:rPr>
        <w:t>, including</w:t>
      </w:r>
      <w:r w:rsidR="00406907" w:rsidRPr="00703A0B">
        <w:rPr>
          <w:rFonts w:cs="Arial"/>
        </w:rPr>
        <w:t>:</w:t>
      </w:r>
    </w:p>
    <w:p w14:paraId="3808DEC6" w14:textId="77777777" w:rsidR="000C002A" w:rsidRPr="00703A0B" w:rsidRDefault="00F92ACF" w:rsidP="00FE10D6">
      <w:pPr>
        <w:pStyle w:val="ListParagraph"/>
        <w:numPr>
          <w:ilvl w:val="0"/>
          <w:numId w:val="56"/>
        </w:numPr>
        <w:spacing w:before="120" w:after="120"/>
        <w:ind w:left="714" w:hanging="357"/>
        <w:contextualSpacing w:val="0"/>
        <w:rPr>
          <w:rFonts w:cs="Arial"/>
        </w:rPr>
      </w:pPr>
      <w:r w:rsidRPr="00703A0B">
        <w:rPr>
          <w:rFonts w:cs="Arial"/>
        </w:rPr>
        <w:t xml:space="preserve">transitioning to a more </w:t>
      </w:r>
      <w:r w:rsidR="00E43287" w:rsidRPr="00703A0B">
        <w:rPr>
          <w:rFonts w:cs="Arial"/>
        </w:rPr>
        <w:t>customer-</w:t>
      </w:r>
      <w:r w:rsidRPr="00703A0B">
        <w:rPr>
          <w:rFonts w:cs="Arial"/>
        </w:rPr>
        <w:t xml:space="preserve">centric </w:t>
      </w:r>
      <w:r w:rsidR="00E43287" w:rsidRPr="00703A0B">
        <w:rPr>
          <w:rFonts w:cs="Arial"/>
        </w:rPr>
        <w:t xml:space="preserve">and </w:t>
      </w:r>
      <w:r w:rsidRPr="00703A0B">
        <w:rPr>
          <w:rFonts w:cs="Arial"/>
        </w:rPr>
        <w:t xml:space="preserve">accessible </w:t>
      </w:r>
      <w:r w:rsidR="00E43287" w:rsidRPr="00703A0B">
        <w:rPr>
          <w:rFonts w:cs="Arial"/>
        </w:rPr>
        <w:t>regulato</w:t>
      </w:r>
      <w:r w:rsidR="000C002A" w:rsidRPr="00703A0B">
        <w:rPr>
          <w:rFonts w:cs="Arial"/>
        </w:rPr>
        <w:t>ry model</w:t>
      </w:r>
    </w:p>
    <w:p w14:paraId="6A41C94C" w14:textId="2ACFB541" w:rsidR="00406907" w:rsidRPr="00703A0B" w:rsidRDefault="000C002A" w:rsidP="00FE10D6">
      <w:pPr>
        <w:pStyle w:val="ListParagraph"/>
        <w:numPr>
          <w:ilvl w:val="0"/>
          <w:numId w:val="56"/>
        </w:numPr>
        <w:spacing w:before="120" w:after="120"/>
        <w:ind w:left="714" w:hanging="357"/>
        <w:contextualSpacing w:val="0"/>
        <w:rPr>
          <w:rFonts w:cs="Arial"/>
        </w:rPr>
      </w:pPr>
      <w:r w:rsidRPr="00703A0B">
        <w:rPr>
          <w:rFonts w:cs="Arial"/>
        </w:rPr>
        <w:t>d</w:t>
      </w:r>
      <w:r w:rsidR="00E43287" w:rsidRPr="00703A0B">
        <w:rPr>
          <w:rFonts w:cs="Arial"/>
        </w:rPr>
        <w:t xml:space="preserve">igitising and modernising processes, </w:t>
      </w:r>
      <w:r w:rsidRPr="00703A0B">
        <w:rPr>
          <w:rFonts w:cs="Arial"/>
        </w:rPr>
        <w:t xml:space="preserve">including reduced reliance on </w:t>
      </w:r>
      <w:r w:rsidR="00E43287" w:rsidRPr="00703A0B">
        <w:rPr>
          <w:rFonts w:cs="Arial"/>
        </w:rPr>
        <w:t>paper-based</w:t>
      </w:r>
      <w:r w:rsidRPr="00703A0B">
        <w:rPr>
          <w:rFonts w:cs="Arial"/>
        </w:rPr>
        <w:t xml:space="preserve"> systems</w:t>
      </w:r>
    </w:p>
    <w:p w14:paraId="4D2AB65D" w14:textId="11D543E2" w:rsidR="00CF6EC6" w:rsidRPr="00703A0B" w:rsidRDefault="000C002A" w:rsidP="00FE10D6">
      <w:pPr>
        <w:pStyle w:val="ListParagraph"/>
        <w:numPr>
          <w:ilvl w:val="0"/>
          <w:numId w:val="56"/>
        </w:numPr>
        <w:spacing w:before="120" w:after="120"/>
        <w:ind w:left="714" w:hanging="357"/>
        <w:contextualSpacing w:val="0"/>
        <w:rPr>
          <w:rFonts w:cs="Arial"/>
        </w:rPr>
      </w:pPr>
      <w:r w:rsidRPr="00703A0B">
        <w:rPr>
          <w:rFonts w:cs="Arial"/>
        </w:rPr>
        <w:t xml:space="preserve">expanding the use of </w:t>
      </w:r>
      <w:r w:rsidR="00E43287" w:rsidRPr="00703A0B">
        <w:rPr>
          <w:rFonts w:cs="Arial"/>
        </w:rPr>
        <w:t xml:space="preserve">digital platforms </w:t>
      </w:r>
      <w:r w:rsidRPr="00703A0B">
        <w:rPr>
          <w:rFonts w:cs="Arial"/>
        </w:rPr>
        <w:t xml:space="preserve">to streamline </w:t>
      </w:r>
      <w:r w:rsidR="00F0041B" w:rsidRPr="00703A0B">
        <w:rPr>
          <w:rFonts w:cs="Arial"/>
        </w:rPr>
        <w:t>licensing and regulatory interactions.</w:t>
      </w:r>
    </w:p>
    <w:p w14:paraId="06CA0B02" w14:textId="032A92C9" w:rsidR="002372DD" w:rsidRPr="00703A0B" w:rsidRDefault="00277E57" w:rsidP="002372DD">
      <w:pPr>
        <w:spacing w:before="120" w:after="120"/>
      </w:pPr>
      <w:r w:rsidRPr="00703A0B">
        <w:rPr>
          <w:rFonts w:cs="Arial"/>
          <w:szCs w:val="22"/>
        </w:rPr>
        <w:t xml:space="preserve">The Building Reg Reno initiative demonstrates the Queensland Government’s commitment to strengthening and streamlining the building and construction industry. In partnership with the DHPW, the QBCC is delivering practical </w:t>
      </w:r>
      <w:r w:rsidR="00884B76" w:rsidRPr="00703A0B">
        <w:rPr>
          <w:rFonts w:cs="Arial"/>
          <w:szCs w:val="22"/>
        </w:rPr>
        <w:t>staged reforms to</w:t>
      </w:r>
      <w:r w:rsidRPr="00703A0B">
        <w:rPr>
          <w:rFonts w:cs="Arial"/>
          <w:szCs w:val="22"/>
        </w:rPr>
        <w:t xml:space="preserve"> reduce regulatory complexity, </w:t>
      </w:r>
      <w:r w:rsidR="004669C6" w:rsidRPr="00703A0B">
        <w:rPr>
          <w:rFonts w:cs="Arial"/>
          <w:szCs w:val="22"/>
        </w:rPr>
        <w:t>improve</w:t>
      </w:r>
      <w:r w:rsidRPr="00703A0B">
        <w:rPr>
          <w:rFonts w:cs="Arial"/>
          <w:szCs w:val="22"/>
        </w:rPr>
        <w:t xml:space="preserve"> clarity and </w:t>
      </w:r>
      <w:r w:rsidR="0084268C" w:rsidRPr="00703A0B">
        <w:rPr>
          <w:rFonts w:cs="Arial"/>
          <w:szCs w:val="22"/>
        </w:rPr>
        <w:t xml:space="preserve">optimise </w:t>
      </w:r>
      <w:r w:rsidRPr="00703A0B">
        <w:rPr>
          <w:rFonts w:cs="Arial"/>
          <w:szCs w:val="22"/>
        </w:rPr>
        <w:t xml:space="preserve">outcomes for tradespeople, </w:t>
      </w:r>
      <w:proofErr w:type="gramStart"/>
      <w:r w:rsidRPr="00703A0B">
        <w:rPr>
          <w:rFonts w:cs="Arial"/>
          <w:szCs w:val="22"/>
        </w:rPr>
        <w:t>home owners</w:t>
      </w:r>
      <w:proofErr w:type="gramEnd"/>
      <w:r w:rsidRPr="00703A0B">
        <w:rPr>
          <w:rFonts w:cs="Arial"/>
          <w:szCs w:val="22"/>
        </w:rPr>
        <w:t xml:space="preserve"> and the broader community. As further phases are </w:t>
      </w:r>
      <w:r w:rsidR="00FA5F0B" w:rsidRPr="00703A0B">
        <w:rPr>
          <w:rFonts w:cs="Arial"/>
          <w:szCs w:val="22"/>
        </w:rPr>
        <w:t>implemented</w:t>
      </w:r>
      <w:r w:rsidR="006F78F5" w:rsidRPr="00703A0B">
        <w:rPr>
          <w:rFonts w:cs="Arial"/>
          <w:szCs w:val="22"/>
        </w:rPr>
        <w:t xml:space="preserve">, </w:t>
      </w:r>
      <w:r w:rsidRPr="00703A0B">
        <w:rPr>
          <w:rFonts w:cs="Arial"/>
          <w:szCs w:val="22"/>
        </w:rPr>
        <w:t xml:space="preserve">the QBCC will continue </w:t>
      </w:r>
      <w:r w:rsidR="00F80570" w:rsidRPr="00703A0B">
        <w:rPr>
          <w:rFonts w:cs="Arial"/>
          <w:szCs w:val="22"/>
        </w:rPr>
        <w:t>to</w:t>
      </w:r>
      <w:r w:rsidRPr="00703A0B">
        <w:rPr>
          <w:rFonts w:cs="Arial"/>
          <w:szCs w:val="22"/>
        </w:rPr>
        <w:t xml:space="preserve"> support</w:t>
      </w:r>
      <w:r w:rsidR="00F80570" w:rsidRPr="00703A0B">
        <w:rPr>
          <w:rFonts w:cs="Arial"/>
          <w:szCs w:val="22"/>
        </w:rPr>
        <w:t xml:space="preserve"> </w:t>
      </w:r>
      <w:r w:rsidRPr="00703A0B">
        <w:rPr>
          <w:rFonts w:cs="Arial"/>
          <w:szCs w:val="22"/>
        </w:rPr>
        <w:t>a modern, efficient and responsive industry</w:t>
      </w:r>
      <w:r w:rsidR="00B943E8" w:rsidRPr="00703A0B">
        <w:rPr>
          <w:rFonts w:cs="Arial"/>
          <w:szCs w:val="22"/>
        </w:rPr>
        <w:t xml:space="preserve"> by </w:t>
      </w:r>
      <w:r w:rsidR="00F80570" w:rsidRPr="00703A0B">
        <w:rPr>
          <w:rFonts w:cs="Arial"/>
          <w:szCs w:val="22"/>
        </w:rPr>
        <w:t>d</w:t>
      </w:r>
      <w:r w:rsidR="002372DD" w:rsidRPr="00703A0B">
        <w:t>eliver</w:t>
      </w:r>
      <w:r w:rsidR="00F80570" w:rsidRPr="00703A0B">
        <w:t>ing</w:t>
      </w:r>
      <w:r w:rsidR="002372DD" w:rsidRPr="00703A0B">
        <w:t xml:space="preserve"> coordinated </w:t>
      </w:r>
      <w:r w:rsidR="009B4C8C" w:rsidRPr="00703A0B">
        <w:t xml:space="preserve">regulatory and </w:t>
      </w:r>
      <w:r w:rsidR="002372DD" w:rsidRPr="00703A0B">
        <w:t>policy outcomes that</w:t>
      </w:r>
      <w:r w:rsidR="000442A5" w:rsidRPr="00703A0B">
        <w:t xml:space="preserve"> </w:t>
      </w:r>
      <w:r w:rsidR="006600D4" w:rsidRPr="00703A0B">
        <w:t xml:space="preserve">provide </w:t>
      </w:r>
      <w:r w:rsidR="009B4C8C" w:rsidRPr="00703A0B">
        <w:t>more</w:t>
      </w:r>
      <w:r w:rsidR="002372DD" w:rsidRPr="00703A0B">
        <w:t xml:space="preserve"> Queenslanders </w:t>
      </w:r>
      <w:r w:rsidR="006600D4" w:rsidRPr="00703A0B">
        <w:t xml:space="preserve">with places to call </w:t>
      </w:r>
      <w:r w:rsidR="002372DD" w:rsidRPr="00703A0B">
        <w:t>home</w:t>
      </w:r>
      <w:r w:rsidR="00F009AB" w:rsidRPr="00703A0B">
        <w:t xml:space="preserve">, </w:t>
      </w:r>
      <w:r w:rsidR="004F02C3" w:rsidRPr="00703A0B">
        <w:t>drive</w:t>
      </w:r>
      <w:r w:rsidR="004E7B05" w:rsidRPr="00703A0B">
        <w:t xml:space="preserve"> economic </w:t>
      </w:r>
      <w:r w:rsidR="004F02C3" w:rsidRPr="00703A0B">
        <w:t xml:space="preserve">growth </w:t>
      </w:r>
      <w:r w:rsidR="002372DD" w:rsidRPr="00703A0B">
        <w:t xml:space="preserve">and </w:t>
      </w:r>
      <w:r w:rsidR="002A0EF0" w:rsidRPr="00703A0B">
        <w:t>support</w:t>
      </w:r>
      <w:r w:rsidR="004F02C3" w:rsidRPr="00703A0B">
        <w:t xml:space="preserve"> a </w:t>
      </w:r>
      <w:r w:rsidR="00147C9D" w:rsidRPr="00703A0B">
        <w:t xml:space="preserve">thriving </w:t>
      </w:r>
      <w:r w:rsidR="002C7E89" w:rsidRPr="00703A0B">
        <w:t xml:space="preserve">$69 billion </w:t>
      </w:r>
      <w:r w:rsidR="002372DD" w:rsidRPr="00703A0B">
        <w:t>building and construction industry</w:t>
      </w:r>
      <w:r w:rsidR="005666AB" w:rsidRPr="00703A0B">
        <w:t xml:space="preserve"> across the state</w:t>
      </w:r>
      <w:r w:rsidR="002372DD" w:rsidRPr="00703A0B">
        <w:t>.</w:t>
      </w:r>
    </w:p>
    <w:p w14:paraId="56D5C818" w14:textId="4107E3C2" w:rsidR="404F5A7D" w:rsidRPr="00703A0B" w:rsidRDefault="00277E57" w:rsidP="008B0BC6">
      <w:pPr>
        <w:spacing w:before="120" w:after="120" w:line="264" w:lineRule="auto"/>
      </w:pPr>
      <w:r w:rsidRPr="00703A0B">
        <w:rPr>
          <w:rFonts w:cs="Arial"/>
          <w:szCs w:val="22"/>
        </w:rPr>
        <w:t xml:space="preserve">More information </w:t>
      </w:r>
      <w:r w:rsidR="00CD4F74" w:rsidRPr="00703A0B">
        <w:rPr>
          <w:rFonts w:cs="Arial"/>
          <w:szCs w:val="22"/>
        </w:rPr>
        <w:t xml:space="preserve">on </w:t>
      </w:r>
      <w:r w:rsidRPr="00703A0B">
        <w:rPr>
          <w:rFonts w:cs="Arial"/>
          <w:szCs w:val="22"/>
        </w:rPr>
        <w:t xml:space="preserve">Building Reg Reno </w:t>
      </w:r>
      <w:r w:rsidR="00CD4F74" w:rsidRPr="00703A0B">
        <w:rPr>
          <w:rFonts w:cs="Arial"/>
          <w:szCs w:val="22"/>
        </w:rPr>
        <w:t xml:space="preserve">is available </w:t>
      </w:r>
      <w:r w:rsidRPr="00703A0B">
        <w:rPr>
          <w:rFonts w:cs="Arial"/>
          <w:szCs w:val="22"/>
        </w:rPr>
        <w:t xml:space="preserve">on the </w:t>
      </w:r>
      <w:r w:rsidR="00900681" w:rsidRPr="00703A0B">
        <w:t>QBCC website</w:t>
      </w:r>
      <w:r w:rsidR="00B43D83" w:rsidRPr="00703A0B">
        <w:t>.</w:t>
      </w:r>
      <w:r w:rsidRPr="00703A0B">
        <w:rPr>
          <w:rStyle w:val="FootnoteReference"/>
          <w:rFonts w:cs="Arial"/>
          <w:szCs w:val="22"/>
        </w:rPr>
        <w:footnoteReference w:id="2"/>
      </w:r>
      <w:r w:rsidRPr="00703A0B">
        <w:rPr>
          <w:rFonts w:cs="Arial"/>
          <w:szCs w:val="22"/>
        </w:rPr>
        <w:t xml:space="preserve"> </w:t>
      </w:r>
    </w:p>
    <w:p w14:paraId="47FE4D2A" w14:textId="2EF6234C" w:rsidR="00285913" w:rsidRPr="00703A0B" w:rsidRDefault="1DD62727" w:rsidP="0311DE0C">
      <w:pPr>
        <w:pStyle w:val="Heading3"/>
      </w:pPr>
      <w:r w:rsidRPr="00703A0B">
        <w:t>The QBCC Strategic Plan 202</w:t>
      </w:r>
      <w:r w:rsidR="00C702B3" w:rsidRPr="00703A0B">
        <w:t>5</w:t>
      </w:r>
      <w:r w:rsidRPr="00703A0B">
        <w:t>–2</w:t>
      </w:r>
      <w:r w:rsidR="00C702B3" w:rsidRPr="00703A0B">
        <w:t>9</w:t>
      </w:r>
      <w:r w:rsidRPr="00703A0B">
        <w:t xml:space="preserve"> </w:t>
      </w:r>
    </w:p>
    <w:p w14:paraId="0610974E" w14:textId="20980394" w:rsidR="00F24B80" w:rsidRPr="00703A0B" w:rsidRDefault="00F24B80" w:rsidP="00531E59">
      <w:pPr>
        <w:spacing w:before="120" w:after="120"/>
        <w:rPr>
          <w:rFonts w:cs="Arial"/>
        </w:rPr>
      </w:pPr>
      <w:r w:rsidRPr="00703A0B">
        <w:rPr>
          <w:rFonts w:cs="Arial"/>
        </w:rPr>
        <w:t xml:space="preserve">Recognising that a thriving </w:t>
      </w:r>
      <w:r w:rsidR="00BB254F" w:rsidRPr="00703A0B">
        <w:rPr>
          <w:rFonts w:cs="Arial"/>
        </w:rPr>
        <w:t xml:space="preserve">building and construction </w:t>
      </w:r>
      <w:r w:rsidRPr="00703A0B">
        <w:rPr>
          <w:rFonts w:cs="Arial"/>
        </w:rPr>
        <w:t xml:space="preserve">industry benefits all </w:t>
      </w:r>
      <w:r w:rsidR="00BB254F" w:rsidRPr="00703A0B">
        <w:rPr>
          <w:rFonts w:cs="Arial"/>
        </w:rPr>
        <w:t>Queenslanders</w:t>
      </w:r>
      <w:r w:rsidRPr="00703A0B">
        <w:rPr>
          <w:rFonts w:cs="Arial"/>
        </w:rPr>
        <w:t>, the QBCC</w:t>
      </w:r>
      <w:r w:rsidR="000B7834" w:rsidRPr="00703A0B">
        <w:rPr>
          <w:rFonts w:cs="Arial"/>
        </w:rPr>
        <w:t xml:space="preserve"> </w:t>
      </w:r>
      <w:r w:rsidRPr="00703A0B">
        <w:rPr>
          <w:rFonts w:cs="Arial"/>
        </w:rPr>
        <w:t>refreshed its vision and purpose</w:t>
      </w:r>
      <w:r w:rsidR="00787AE7" w:rsidRPr="00703A0B">
        <w:rPr>
          <w:rFonts w:cs="Arial"/>
        </w:rPr>
        <w:t xml:space="preserve"> </w:t>
      </w:r>
      <w:r w:rsidR="000B7834" w:rsidRPr="00703A0B">
        <w:rPr>
          <w:rFonts w:cs="Arial"/>
        </w:rPr>
        <w:t>in 2025–26</w:t>
      </w:r>
      <w:r w:rsidR="00807A43" w:rsidRPr="00703A0B">
        <w:rPr>
          <w:rFonts w:cs="Arial"/>
        </w:rPr>
        <w:t>. The refreshed vision</w:t>
      </w:r>
      <w:r w:rsidR="00787AE7" w:rsidRPr="00703A0B">
        <w:rPr>
          <w:rFonts w:cs="Arial"/>
        </w:rPr>
        <w:t xml:space="preserve"> reinforce</w:t>
      </w:r>
      <w:r w:rsidR="00CA7E55" w:rsidRPr="00703A0B">
        <w:rPr>
          <w:rFonts w:cs="Arial"/>
        </w:rPr>
        <w:t>s</w:t>
      </w:r>
      <w:r w:rsidR="00787AE7" w:rsidRPr="00703A0B">
        <w:rPr>
          <w:rFonts w:cs="Arial"/>
        </w:rPr>
        <w:t xml:space="preserve"> </w:t>
      </w:r>
      <w:r w:rsidR="00B71A3D" w:rsidRPr="00703A0B">
        <w:rPr>
          <w:rFonts w:cs="Arial"/>
        </w:rPr>
        <w:t xml:space="preserve">the </w:t>
      </w:r>
      <w:r w:rsidRPr="00703A0B">
        <w:rPr>
          <w:rFonts w:cs="Arial"/>
        </w:rPr>
        <w:t xml:space="preserve">important role </w:t>
      </w:r>
      <w:r w:rsidR="00CA7E55" w:rsidRPr="00703A0B">
        <w:rPr>
          <w:rFonts w:cs="Arial"/>
        </w:rPr>
        <w:t>the QBCC</w:t>
      </w:r>
      <w:r w:rsidR="00CC6AB4" w:rsidRPr="00703A0B">
        <w:rPr>
          <w:rFonts w:cs="Arial"/>
        </w:rPr>
        <w:t xml:space="preserve"> plays </w:t>
      </w:r>
      <w:r w:rsidRPr="00703A0B">
        <w:rPr>
          <w:rFonts w:cs="Arial"/>
        </w:rPr>
        <w:t xml:space="preserve">in </w:t>
      </w:r>
      <w:r w:rsidR="00DD2986" w:rsidRPr="00703A0B">
        <w:rPr>
          <w:rFonts w:cs="Arial"/>
        </w:rPr>
        <w:t xml:space="preserve">delivering </w:t>
      </w:r>
      <w:r w:rsidRPr="00703A0B">
        <w:rPr>
          <w:rFonts w:cs="Arial"/>
        </w:rPr>
        <w:t xml:space="preserve">a </w:t>
      </w:r>
      <w:r w:rsidR="00DC4885" w:rsidRPr="00703A0B">
        <w:rPr>
          <w:rFonts w:cs="Arial"/>
        </w:rPr>
        <w:t xml:space="preserve">modern, </w:t>
      </w:r>
      <w:r w:rsidRPr="00703A0B">
        <w:rPr>
          <w:rFonts w:cs="Arial"/>
        </w:rPr>
        <w:t>transparent</w:t>
      </w:r>
      <w:r w:rsidR="00DC4885" w:rsidRPr="00703A0B">
        <w:rPr>
          <w:rFonts w:cs="Arial"/>
        </w:rPr>
        <w:t>, clear</w:t>
      </w:r>
      <w:r w:rsidRPr="00703A0B">
        <w:rPr>
          <w:rFonts w:cs="Arial"/>
        </w:rPr>
        <w:t xml:space="preserve"> and</w:t>
      </w:r>
      <w:r w:rsidR="00DC4885" w:rsidRPr="00703A0B">
        <w:rPr>
          <w:rFonts w:cs="Arial"/>
        </w:rPr>
        <w:t xml:space="preserve"> consistent </w:t>
      </w:r>
      <w:r w:rsidRPr="00703A0B">
        <w:rPr>
          <w:rFonts w:cs="Arial"/>
        </w:rPr>
        <w:t xml:space="preserve">regulatory framework that provides protections and peace of mind for </w:t>
      </w:r>
      <w:proofErr w:type="gramStart"/>
      <w:r w:rsidRPr="00703A0B">
        <w:rPr>
          <w:rFonts w:cs="Arial"/>
        </w:rPr>
        <w:t>home</w:t>
      </w:r>
      <w:r w:rsidR="00A87BF7" w:rsidRPr="00703A0B">
        <w:rPr>
          <w:rFonts w:cs="Arial"/>
        </w:rPr>
        <w:t xml:space="preserve"> </w:t>
      </w:r>
      <w:r w:rsidRPr="00703A0B">
        <w:rPr>
          <w:rFonts w:cs="Arial"/>
        </w:rPr>
        <w:t>owners</w:t>
      </w:r>
      <w:proofErr w:type="gramEnd"/>
      <w:r w:rsidRPr="00703A0B">
        <w:rPr>
          <w:rFonts w:cs="Arial"/>
        </w:rPr>
        <w:t xml:space="preserve"> build</w:t>
      </w:r>
      <w:r w:rsidR="00761397" w:rsidRPr="00703A0B">
        <w:rPr>
          <w:rFonts w:cs="Arial"/>
        </w:rPr>
        <w:t>ing</w:t>
      </w:r>
      <w:r w:rsidRPr="00703A0B">
        <w:rPr>
          <w:rFonts w:cs="Arial"/>
        </w:rPr>
        <w:t xml:space="preserve"> </w:t>
      </w:r>
      <w:r w:rsidR="00CC6AB4" w:rsidRPr="00703A0B">
        <w:rPr>
          <w:rFonts w:cs="Arial"/>
        </w:rPr>
        <w:t>in Queensland</w:t>
      </w:r>
      <w:r w:rsidR="00A87BF7" w:rsidRPr="00703A0B">
        <w:rPr>
          <w:rFonts w:cs="Arial"/>
        </w:rPr>
        <w:t>,</w:t>
      </w:r>
      <w:r w:rsidR="00CC6AB4" w:rsidRPr="00703A0B">
        <w:rPr>
          <w:rFonts w:cs="Arial"/>
        </w:rPr>
        <w:t xml:space="preserve"> </w:t>
      </w:r>
      <w:r w:rsidR="00CE147E" w:rsidRPr="00703A0B">
        <w:rPr>
          <w:rFonts w:cs="Arial"/>
        </w:rPr>
        <w:t xml:space="preserve">while giving </w:t>
      </w:r>
      <w:r w:rsidR="004310BA" w:rsidRPr="00703A0B">
        <w:rPr>
          <w:rFonts w:cs="Arial"/>
        </w:rPr>
        <w:t xml:space="preserve">industry the </w:t>
      </w:r>
      <w:r w:rsidRPr="00703A0B">
        <w:rPr>
          <w:rFonts w:cs="Arial"/>
        </w:rPr>
        <w:t>certainty and confidence to do business</w:t>
      </w:r>
      <w:r w:rsidR="00CC6AB4" w:rsidRPr="00703A0B">
        <w:rPr>
          <w:rFonts w:cs="Arial"/>
        </w:rPr>
        <w:t xml:space="preserve"> in Queensland</w:t>
      </w:r>
      <w:r w:rsidRPr="00703A0B">
        <w:rPr>
          <w:rFonts w:cs="Arial"/>
        </w:rPr>
        <w:t>.</w:t>
      </w:r>
    </w:p>
    <w:p w14:paraId="17C40C48" w14:textId="1FF132AC" w:rsidR="00285913" w:rsidRPr="00703A0B" w:rsidRDefault="1DD62727" w:rsidP="00531E59">
      <w:pPr>
        <w:spacing w:before="120" w:after="120"/>
        <w:rPr>
          <w:rFonts w:cs="Arial"/>
          <w:b/>
          <w:bCs/>
        </w:rPr>
      </w:pPr>
      <w:r w:rsidRPr="00703A0B">
        <w:rPr>
          <w:rFonts w:eastAsiaTheme="majorEastAsia" w:cs="Arial"/>
          <w:b/>
          <w:bCs/>
          <w:color w:val="020A0A" w:themeColor="accent4"/>
        </w:rPr>
        <w:t xml:space="preserve">Vision </w:t>
      </w:r>
    </w:p>
    <w:p w14:paraId="198E35A5" w14:textId="1E4C0024" w:rsidR="002229E0" w:rsidRPr="00703A0B" w:rsidRDefault="007C2BE4" w:rsidP="00FB7E4F">
      <w:pPr>
        <w:spacing w:before="120" w:after="120" w:line="259" w:lineRule="auto"/>
        <w:rPr>
          <w:rFonts w:cs="Arial"/>
        </w:rPr>
      </w:pPr>
      <w:r w:rsidRPr="00703A0B">
        <w:rPr>
          <w:rFonts w:cs="Arial"/>
        </w:rPr>
        <w:t>A</w:t>
      </w:r>
      <w:r w:rsidR="00232D58" w:rsidRPr="00703A0B" w:rsidDel="007C2BE4">
        <w:rPr>
          <w:rFonts w:cs="Arial"/>
        </w:rPr>
        <w:t xml:space="preserve"> </w:t>
      </w:r>
      <w:r w:rsidR="00232D58" w:rsidRPr="00703A0B">
        <w:rPr>
          <w:rFonts w:cs="Arial"/>
        </w:rPr>
        <w:t>thriving building and construction industry</w:t>
      </w:r>
      <w:r w:rsidR="00FC43BF" w:rsidRPr="00703A0B">
        <w:rPr>
          <w:rFonts w:cs="Arial"/>
        </w:rPr>
        <w:t xml:space="preserve"> </w:t>
      </w:r>
    </w:p>
    <w:p w14:paraId="6C748BE6" w14:textId="0FD2FA57" w:rsidR="002229E0" w:rsidRPr="00703A0B" w:rsidRDefault="002229E0" w:rsidP="002229E0">
      <w:pPr>
        <w:spacing w:before="120" w:after="120"/>
        <w:rPr>
          <w:rFonts w:cs="Arial"/>
          <w:b/>
          <w:bCs/>
        </w:rPr>
      </w:pPr>
      <w:r w:rsidRPr="00703A0B">
        <w:rPr>
          <w:rFonts w:eastAsiaTheme="majorEastAsia" w:cs="Arial"/>
          <w:b/>
          <w:bCs/>
          <w:color w:val="020A0A" w:themeColor="accent4"/>
        </w:rPr>
        <w:t>Purpose</w:t>
      </w:r>
      <w:r w:rsidRPr="00703A0B">
        <w:rPr>
          <w:rFonts w:cs="Arial"/>
          <w:b/>
          <w:bCs/>
        </w:rPr>
        <w:t xml:space="preserve"> </w:t>
      </w:r>
    </w:p>
    <w:p w14:paraId="608CEC11" w14:textId="6E0B346C" w:rsidR="00232D58" w:rsidRPr="00703A0B" w:rsidRDefault="002C5113" w:rsidP="00FB7E4F">
      <w:pPr>
        <w:spacing w:before="120" w:after="120" w:line="259" w:lineRule="auto"/>
        <w:rPr>
          <w:rFonts w:cs="Arial"/>
        </w:rPr>
      </w:pPr>
      <w:r w:rsidRPr="00703A0B">
        <w:rPr>
          <w:rFonts w:cs="Arial"/>
        </w:rPr>
        <w:t>Working together t</w:t>
      </w:r>
      <w:r w:rsidR="002229E0" w:rsidRPr="00703A0B">
        <w:rPr>
          <w:rFonts w:cs="Arial"/>
        </w:rPr>
        <w:t>o</w:t>
      </w:r>
      <w:r w:rsidR="00232D58" w:rsidRPr="00703A0B">
        <w:rPr>
          <w:rFonts w:cs="Arial"/>
        </w:rPr>
        <w:t xml:space="preserve"> </w:t>
      </w:r>
      <w:r w:rsidRPr="00703A0B">
        <w:rPr>
          <w:rFonts w:cs="Arial"/>
        </w:rPr>
        <w:t xml:space="preserve">strengthen the building </w:t>
      </w:r>
      <w:r w:rsidR="007776FE" w:rsidRPr="00703A0B">
        <w:rPr>
          <w:rFonts w:cs="Arial"/>
        </w:rPr>
        <w:t xml:space="preserve">and construction industry through fair </w:t>
      </w:r>
      <w:r w:rsidR="003233FC" w:rsidRPr="00703A0B">
        <w:rPr>
          <w:rFonts w:cs="Arial"/>
        </w:rPr>
        <w:t xml:space="preserve">and transparent </w:t>
      </w:r>
      <w:r w:rsidR="00232D58" w:rsidRPr="00703A0B">
        <w:rPr>
          <w:rFonts w:cs="Arial"/>
        </w:rPr>
        <w:t xml:space="preserve">regulatory </w:t>
      </w:r>
      <w:r w:rsidR="003233FC" w:rsidRPr="00703A0B">
        <w:rPr>
          <w:rFonts w:cs="Arial"/>
        </w:rPr>
        <w:t xml:space="preserve">decisions, </w:t>
      </w:r>
      <w:r w:rsidR="00232D58" w:rsidRPr="00703A0B">
        <w:rPr>
          <w:rFonts w:cs="Arial"/>
        </w:rPr>
        <w:t xml:space="preserve">services </w:t>
      </w:r>
      <w:r w:rsidR="003233FC" w:rsidRPr="00703A0B">
        <w:rPr>
          <w:rFonts w:cs="Arial"/>
        </w:rPr>
        <w:t>and actions</w:t>
      </w:r>
      <w:r w:rsidR="00232D58" w:rsidRPr="00703A0B">
        <w:rPr>
          <w:rFonts w:cs="Arial"/>
        </w:rPr>
        <w:t>.</w:t>
      </w:r>
    </w:p>
    <w:p w14:paraId="4D653C46" w14:textId="7E719BBE" w:rsidR="002229E0" w:rsidRPr="00703A0B" w:rsidRDefault="002229E0" w:rsidP="00D850B1">
      <w:pPr>
        <w:spacing w:before="120" w:after="120"/>
        <w:rPr>
          <w:rFonts w:eastAsiaTheme="majorEastAsia" w:cs="Arial"/>
          <w:b/>
          <w:color w:val="020A0A" w:themeColor="accent4"/>
        </w:rPr>
      </w:pPr>
      <w:r w:rsidRPr="00703A0B">
        <w:rPr>
          <w:rFonts w:eastAsiaTheme="majorEastAsia" w:cs="Arial"/>
          <w:b/>
          <w:color w:val="020A0A" w:themeColor="accent4"/>
        </w:rPr>
        <w:t xml:space="preserve">Objectives </w:t>
      </w:r>
    </w:p>
    <w:p w14:paraId="46B909FC" w14:textId="00DA791B" w:rsidR="00A13A8E" w:rsidRPr="00703A0B" w:rsidRDefault="090184D7" w:rsidP="00FB7E4F">
      <w:pPr>
        <w:rPr>
          <w:rFonts w:cs="Arial"/>
        </w:rPr>
      </w:pPr>
      <w:r w:rsidRPr="00703A0B">
        <w:t>T</w:t>
      </w:r>
      <w:r w:rsidR="3F815953" w:rsidRPr="00703A0B">
        <w:rPr>
          <w:rFonts w:cs="Arial"/>
        </w:rPr>
        <w:t>he QBCC</w:t>
      </w:r>
      <w:r w:rsidR="002A441F" w:rsidRPr="00703A0B">
        <w:rPr>
          <w:rFonts w:cs="Arial"/>
        </w:rPr>
        <w:t xml:space="preserve"> </w:t>
      </w:r>
      <w:r w:rsidR="0012458E" w:rsidRPr="00703A0B">
        <w:rPr>
          <w:rFonts w:cs="Arial"/>
        </w:rPr>
        <w:t xml:space="preserve">Strategic Plan </w:t>
      </w:r>
      <w:r w:rsidR="002A441F" w:rsidRPr="00703A0B">
        <w:rPr>
          <w:rFonts w:cs="Arial"/>
        </w:rPr>
        <w:t xml:space="preserve">2025–29 </w:t>
      </w:r>
      <w:r w:rsidR="006D689C" w:rsidRPr="00703A0B">
        <w:rPr>
          <w:rFonts w:cs="Arial"/>
        </w:rPr>
        <w:t xml:space="preserve">(Strategic Plan) </w:t>
      </w:r>
      <w:r w:rsidR="00E675CF" w:rsidRPr="00703A0B">
        <w:rPr>
          <w:rFonts w:cs="Arial"/>
        </w:rPr>
        <w:t xml:space="preserve">sets </w:t>
      </w:r>
      <w:r w:rsidR="00E01863" w:rsidRPr="00703A0B">
        <w:rPr>
          <w:rFonts w:cs="Arial"/>
        </w:rPr>
        <w:t xml:space="preserve">a clear direction </w:t>
      </w:r>
      <w:r w:rsidR="005B5FC3" w:rsidRPr="00703A0B">
        <w:rPr>
          <w:rFonts w:cs="Arial"/>
        </w:rPr>
        <w:t>for the organ</w:t>
      </w:r>
      <w:r w:rsidR="00E61932" w:rsidRPr="00703A0B">
        <w:rPr>
          <w:rFonts w:cs="Arial"/>
        </w:rPr>
        <w:t xml:space="preserve">isation </w:t>
      </w:r>
      <w:r w:rsidR="00F21973" w:rsidRPr="00703A0B">
        <w:rPr>
          <w:rFonts w:cs="Arial"/>
        </w:rPr>
        <w:t>to</w:t>
      </w:r>
      <w:r w:rsidR="00EA6D4C" w:rsidRPr="00703A0B">
        <w:rPr>
          <w:rFonts w:cs="Arial"/>
        </w:rPr>
        <w:t xml:space="preserve"> modernise</w:t>
      </w:r>
      <w:r w:rsidR="00D67D32" w:rsidRPr="00703A0B">
        <w:rPr>
          <w:rFonts w:cs="Arial"/>
        </w:rPr>
        <w:t>, improve customer service</w:t>
      </w:r>
      <w:r w:rsidR="004A1937" w:rsidRPr="00703A0B">
        <w:rPr>
          <w:rFonts w:cs="Arial"/>
        </w:rPr>
        <w:t>,</w:t>
      </w:r>
      <w:r w:rsidR="00D67D32" w:rsidRPr="00703A0B">
        <w:rPr>
          <w:rFonts w:cs="Arial"/>
        </w:rPr>
        <w:t xml:space="preserve"> and make it easier for customers and </w:t>
      </w:r>
      <w:r w:rsidR="006D689C" w:rsidRPr="00703A0B">
        <w:rPr>
          <w:rFonts w:cs="Arial"/>
        </w:rPr>
        <w:t xml:space="preserve">industry </w:t>
      </w:r>
      <w:r w:rsidR="00D67D32" w:rsidRPr="00703A0B">
        <w:rPr>
          <w:rFonts w:cs="Arial"/>
        </w:rPr>
        <w:t xml:space="preserve">to do business with the </w:t>
      </w:r>
      <w:r w:rsidR="006D689C" w:rsidRPr="00703A0B">
        <w:rPr>
          <w:rFonts w:cs="Arial"/>
        </w:rPr>
        <w:t>regulator</w:t>
      </w:r>
      <w:r w:rsidR="00AD6584" w:rsidRPr="00703A0B">
        <w:rPr>
          <w:rFonts w:cs="Arial"/>
        </w:rPr>
        <w:t xml:space="preserve">. The </w:t>
      </w:r>
      <w:r w:rsidR="002770B3" w:rsidRPr="00703A0B">
        <w:rPr>
          <w:rFonts w:cs="Arial"/>
        </w:rPr>
        <w:t>Strategic P</w:t>
      </w:r>
      <w:r w:rsidR="00AD6584" w:rsidRPr="00703A0B">
        <w:rPr>
          <w:rFonts w:cs="Arial"/>
        </w:rPr>
        <w:t xml:space="preserve">lan </w:t>
      </w:r>
      <w:r w:rsidR="002770B3" w:rsidRPr="00703A0B">
        <w:rPr>
          <w:rFonts w:cs="Arial"/>
        </w:rPr>
        <w:t xml:space="preserve">outlines </w:t>
      </w:r>
      <w:r w:rsidR="005A6936" w:rsidRPr="00703A0B">
        <w:rPr>
          <w:rFonts w:cs="Arial"/>
        </w:rPr>
        <w:t>three</w:t>
      </w:r>
      <w:r w:rsidR="4A44ED6D" w:rsidRPr="00703A0B">
        <w:rPr>
          <w:rFonts w:cs="Arial"/>
        </w:rPr>
        <w:t xml:space="preserve"> </w:t>
      </w:r>
      <w:r w:rsidR="00A80C7D" w:rsidRPr="00703A0B">
        <w:rPr>
          <w:rFonts w:cs="Arial"/>
        </w:rPr>
        <w:t xml:space="preserve">key </w:t>
      </w:r>
      <w:r w:rsidR="3F815953" w:rsidRPr="00703A0B">
        <w:rPr>
          <w:rFonts w:cs="Arial"/>
        </w:rPr>
        <w:t>objectives:</w:t>
      </w:r>
    </w:p>
    <w:p w14:paraId="576C7C26" w14:textId="4A4AF3BC" w:rsidR="00A13A8E" w:rsidRPr="00703A0B" w:rsidRDefault="6EBE44A5" w:rsidP="00A836CF">
      <w:pPr>
        <w:pStyle w:val="ListParagraph"/>
        <w:numPr>
          <w:ilvl w:val="0"/>
          <w:numId w:val="12"/>
        </w:numPr>
        <w:spacing w:before="120" w:after="120"/>
        <w:ind w:left="714" w:hanging="357"/>
        <w:contextualSpacing w:val="0"/>
        <w:rPr>
          <w:rFonts w:cs="Arial"/>
          <w:szCs w:val="22"/>
        </w:rPr>
      </w:pPr>
      <w:r w:rsidRPr="00703A0B">
        <w:rPr>
          <w:rFonts w:cs="Arial"/>
          <w:b/>
        </w:rPr>
        <w:t>Objective 1</w:t>
      </w:r>
      <w:r w:rsidR="00BE5733" w:rsidRPr="00703A0B">
        <w:rPr>
          <w:rFonts w:cs="Arial"/>
          <w:b/>
        </w:rPr>
        <w:t>:</w:t>
      </w:r>
      <w:r w:rsidR="1FBED64B" w:rsidRPr="00703A0B">
        <w:rPr>
          <w:rFonts w:cs="Arial"/>
        </w:rPr>
        <w:t xml:space="preserve"> </w:t>
      </w:r>
      <w:r w:rsidR="005A6936" w:rsidRPr="00703A0B">
        <w:rPr>
          <w:rFonts w:cs="Arial"/>
        </w:rPr>
        <w:t>Protect consumers and promote confidence</w:t>
      </w:r>
      <w:r w:rsidR="271EDFCD" w:rsidRPr="00703A0B">
        <w:rPr>
          <w:rFonts w:cs="Arial"/>
        </w:rPr>
        <w:t>.</w:t>
      </w:r>
    </w:p>
    <w:p w14:paraId="77E39804" w14:textId="2D4536C9" w:rsidR="00A13A8E" w:rsidRPr="00703A0B" w:rsidRDefault="04C19788" w:rsidP="00A836CF">
      <w:pPr>
        <w:pStyle w:val="ListParagraph"/>
        <w:numPr>
          <w:ilvl w:val="0"/>
          <w:numId w:val="12"/>
        </w:numPr>
        <w:spacing w:before="120" w:after="120"/>
        <w:ind w:left="714" w:hanging="357"/>
        <w:contextualSpacing w:val="0"/>
        <w:rPr>
          <w:rFonts w:cs="Arial"/>
          <w:szCs w:val="22"/>
        </w:rPr>
      </w:pPr>
      <w:r w:rsidRPr="00703A0B">
        <w:rPr>
          <w:rFonts w:cs="Arial"/>
          <w:b/>
        </w:rPr>
        <w:t>Objective 2</w:t>
      </w:r>
      <w:r w:rsidR="00BE5733" w:rsidRPr="00703A0B">
        <w:rPr>
          <w:rFonts w:cs="Arial"/>
          <w:b/>
        </w:rPr>
        <w:t>:</w:t>
      </w:r>
      <w:r w:rsidR="304B545F" w:rsidRPr="00703A0B">
        <w:rPr>
          <w:rFonts w:cs="Arial"/>
        </w:rPr>
        <w:t xml:space="preserve"> </w:t>
      </w:r>
      <w:r w:rsidR="005A6936" w:rsidRPr="00703A0B">
        <w:rPr>
          <w:rFonts w:cs="Arial"/>
        </w:rPr>
        <w:t xml:space="preserve">Strengthen </w:t>
      </w:r>
      <w:r w:rsidR="005C71BF" w:rsidRPr="00703A0B">
        <w:rPr>
          <w:rFonts w:cs="Arial"/>
        </w:rPr>
        <w:t>regulatory capabilit</w:t>
      </w:r>
      <w:r w:rsidR="00E861BB" w:rsidRPr="00703A0B">
        <w:rPr>
          <w:rFonts w:cs="Arial"/>
        </w:rPr>
        <w:t>ies</w:t>
      </w:r>
      <w:r w:rsidR="005C71BF" w:rsidRPr="00703A0B">
        <w:rPr>
          <w:rFonts w:cs="Arial"/>
        </w:rPr>
        <w:t xml:space="preserve"> and service</w:t>
      </w:r>
      <w:r w:rsidR="00E861BB" w:rsidRPr="00703A0B">
        <w:rPr>
          <w:rFonts w:cs="Arial"/>
        </w:rPr>
        <w:t>s</w:t>
      </w:r>
      <w:r w:rsidR="271EDFCD" w:rsidRPr="00703A0B">
        <w:rPr>
          <w:rFonts w:cs="Arial"/>
        </w:rPr>
        <w:t>.</w:t>
      </w:r>
    </w:p>
    <w:p w14:paraId="714BC5F7" w14:textId="5B43F844" w:rsidR="00A13A8E" w:rsidRPr="00703A0B" w:rsidRDefault="60DD1BED" w:rsidP="00A836CF">
      <w:pPr>
        <w:pStyle w:val="ListParagraph"/>
        <w:numPr>
          <w:ilvl w:val="0"/>
          <w:numId w:val="12"/>
        </w:numPr>
        <w:spacing w:before="120" w:after="120"/>
        <w:ind w:left="714" w:hanging="357"/>
        <w:contextualSpacing w:val="0"/>
        <w:rPr>
          <w:rFonts w:cs="Arial"/>
          <w:szCs w:val="22"/>
        </w:rPr>
      </w:pPr>
      <w:r w:rsidRPr="00703A0B">
        <w:rPr>
          <w:rFonts w:cs="Arial"/>
          <w:b/>
        </w:rPr>
        <w:t>Objective 3</w:t>
      </w:r>
      <w:r w:rsidR="00BE5733" w:rsidRPr="00703A0B">
        <w:rPr>
          <w:rFonts w:cs="Arial"/>
          <w:b/>
        </w:rPr>
        <w:t>:</w:t>
      </w:r>
      <w:r w:rsidR="373C3D97" w:rsidRPr="00703A0B">
        <w:rPr>
          <w:rFonts w:cs="Arial"/>
        </w:rPr>
        <w:t xml:space="preserve"> </w:t>
      </w:r>
      <w:r w:rsidR="005C71BF" w:rsidRPr="00703A0B">
        <w:rPr>
          <w:rFonts w:cs="Arial"/>
        </w:rPr>
        <w:t>Deliver organisational excellence</w:t>
      </w:r>
      <w:r w:rsidR="271EDFCD" w:rsidRPr="00703A0B">
        <w:rPr>
          <w:rFonts w:cs="Arial"/>
        </w:rPr>
        <w:t>.</w:t>
      </w:r>
    </w:p>
    <w:p w14:paraId="3EB9C05F" w14:textId="005938E4" w:rsidR="00BC6A0A" w:rsidRPr="00703A0B" w:rsidRDefault="6975E949" w:rsidP="00AB04FF">
      <w:pPr>
        <w:spacing w:before="120" w:after="120"/>
      </w:pPr>
      <w:r w:rsidRPr="00703A0B">
        <w:t>T</w:t>
      </w:r>
      <w:r w:rsidR="24EBA6AB" w:rsidRPr="00703A0B">
        <w:t xml:space="preserve">he </w:t>
      </w:r>
      <w:r w:rsidR="00A35024" w:rsidRPr="00703A0B">
        <w:t>Strategic P</w:t>
      </w:r>
      <w:r w:rsidR="6DE3D27C" w:rsidRPr="00703A0B">
        <w:t>lan</w:t>
      </w:r>
      <w:r w:rsidR="001B4B13" w:rsidRPr="00703A0B">
        <w:t xml:space="preserve"> also details the </w:t>
      </w:r>
      <w:r w:rsidR="00C33CB8" w:rsidRPr="00703A0B">
        <w:t xml:space="preserve">strategies the QBCC </w:t>
      </w:r>
      <w:r w:rsidR="00667B9E" w:rsidRPr="00703A0B">
        <w:t xml:space="preserve">will </w:t>
      </w:r>
      <w:r w:rsidR="006E7695" w:rsidRPr="00703A0B">
        <w:t>implement to achieve its objectives</w:t>
      </w:r>
      <w:r w:rsidR="00910938" w:rsidRPr="00703A0B">
        <w:t>, respond</w:t>
      </w:r>
      <w:r w:rsidR="00221AC4" w:rsidRPr="00703A0B">
        <w:t xml:space="preserve"> </w:t>
      </w:r>
      <w:r w:rsidR="00C760A0" w:rsidRPr="00703A0B">
        <w:t xml:space="preserve">to </w:t>
      </w:r>
      <w:r w:rsidR="00910938" w:rsidRPr="00703A0B">
        <w:t xml:space="preserve">emerging challenges and </w:t>
      </w:r>
      <w:r w:rsidR="00C760A0" w:rsidRPr="00703A0B">
        <w:t xml:space="preserve">support the </w:t>
      </w:r>
      <w:r w:rsidR="00910938" w:rsidRPr="00703A0B">
        <w:t xml:space="preserve">long-term sustainability of </w:t>
      </w:r>
      <w:r w:rsidR="00024883" w:rsidRPr="00703A0B">
        <w:t>Queensland’s building and construction industry. It</w:t>
      </w:r>
      <w:r w:rsidR="00821896" w:rsidRPr="00703A0B">
        <w:t xml:space="preserve"> </w:t>
      </w:r>
      <w:r w:rsidR="001A1810" w:rsidRPr="00703A0B">
        <w:t xml:space="preserve">identifies key risks and opportunities for the organisation, supported by performance </w:t>
      </w:r>
      <w:r w:rsidR="002E2251" w:rsidRPr="00703A0B">
        <w:t>indicators</w:t>
      </w:r>
      <w:r w:rsidR="001A1810" w:rsidRPr="00703A0B">
        <w:t xml:space="preserve"> to </w:t>
      </w:r>
      <w:r w:rsidR="00060354" w:rsidRPr="00703A0B">
        <w:t>track</w:t>
      </w:r>
      <w:r w:rsidR="001A1810" w:rsidRPr="00703A0B">
        <w:t xml:space="preserve"> and </w:t>
      </w:r>
      <w:r w:rsidR="00060354" w:rsidRPr="00703A0B">
        <w:t>report</w:t>
      </w:r>
      <w:r w:rsidR="003B3DD0" w:rsidRPr="00703A0B">
        <w:t xml:space="preserve"> on</w:t>
      </w:r>
      <w:r w:rsidR="001A1810" w:rsidRPr="00703A0B">
        <w:t xml:space="preserve"> progress.</w:t>
      </w:r>
      <w:r w:rsidR="00D876FD" w:rsidRPr="00703A0B">
        <w:t xml:space="preserve"> </w:t>
      </w:r>
      <w:r w:rsidR="004C40C3" w:rsidRPr="00703A0B">
        <w:t>Key result areas</w:t>
      </w:r>
      <w:r w:rsidR="00F74187" w:rsidRPr="00703A0B">
        <w:t xml:space="preserve"> (KRAs)</w:t>
      </w:r>
      <w:r w:rsidR="004C40C3" w:rsidRPr="00703A0B">
        <w:t xml:space="preserve"> have been </w:t>
      </w:r>
      <w:r w:rsidR="00C606C8" w:rsidRPr="00703A0B">
        <w:t xml:space="preserve">identified </w:t>
      </w:r>
      <w:r w:rsidR="004C40C3" w:rsidRPr="00703A0B">
        <w:t>to provide greater clarity on organisational priorities</w:t>
      </w:r>
      <w:r w:rsidR="00D0458C" w:rsidRPr="00703A0B">
        <w:t xml:space="preserve"> and strengthen the link between strategic objectives and operational delivery.</w:t>
      </w:r>
      <w:r w:rsidR="00F74187" w:rsidRPr="00703A0B">
        <w:t xml:space="preserve"> The KRAs support</w:t>
      </w:r>
      <w:r w:rsidR="00DF3255" w:rsidRPr="00703A0B">
        <w:t xml:space="preserve">ing </w:t>
      </w:r>
      <w:r w:rsidR="00F74187" w:rsidRPr="00703A0B">
        <w:t xml:space="preserve">a more consistent and transparent approach to monitoring </w:t>
      </w:r>
      <w:r w:rsidR="009B2C9C" w:rsidRPr="00703A0B">
        <w:t xml:space="preserve">progress </w:t>
      </w:r>
      <w:r w:rsidR="001F4457" w:rsidRPr="00703A0B">
        <w:t>include:</w:t>
      </w:r>
    </w:p>
    <w:p w14:paraId="5D23C876" w14:textId="68EB14B2" w:rsidR="001F4457" w:rsidRPr="00703A0B" w:rsidRDefault="001F4457" w:rsidP="00E77634">
      <w:pPr>
        <w:pStyle w:val="ListParagraph"/>
        <w:numPr>
          <w:ilvl w:val="0"/>
          <w:numId w:val="57"/>
        </w:numPr>
        <w:spacing w:before="120" w:after="120"/>
        <w:ind w:left="714" w:hanging="357"/>
        <w:contextualSpacing w:val="0"/>
      </w:pPr>
      <w:r w:rsidRPr="00703A0B">
        <w:t>Consumer protection</w:t>
      </w:r>
    </w:p>
    <w:p w14:paraId="322F1798" w14:textId="3837586D" w:rsidR="001F4457" w:rsidRPr="00703A0B" w:rsidRDefault="00D51825" w:rsidP="00E77634">
      <w:pPr>
        <w:pStyle w:val="ListParagraph"/>
        <w:numPr>
          <w:ilvl w:val="0"/>
          <w:numId w:val="57"/>
        </w:numPr>
        <w:spacing w:before="120" w:after="120"/>
        <w:ind w:left="714" w:hanging="357"/>
        <w:contextualSpacing w:val="0"/>
      </w:pPr>
      <w:r w:rsidRPr="00703A0B">
        <w:t>Customer satisfaction</w:t>
      </w:r>
    </w:p>
    <w:p w14:paraId="449B79C6" w14:textId="0519EA7A" w:rsidR="00D51825" w:rsidRPr="00703A0B" w:rsidRDefault="00D51825" w:rsidP="00E77634">
      <w:pPr>
        <w:pStyle w:val="ListParagraph"/>
        <w:numPr>
          <w:ilvl w:val="0"/>
          <w:numId w:val="57"/>
        </w:numPr>
        <w:spacing w:before="120" w:after="120"/>
        <w:ind w:left="714" w:hanging="357"/>
        <w:contextualSpacing w:val="0"/>
      </w:pPr>
      <w:r w:rsidRPr="00703A0B">
        <w:lastRenderedPageBreak/>
        <w:t>Regulatory impact</w:t>
      </w:r>
    </w:p>
    <w:p w14:paraId="4767912E" w14:textId="04E804F2" w:rsidR="00D51825" w:rsidRPr="00703A0B" w:rsidRDefault="00D51825" w:rsidP="00E77634">
      <w:pPr>
        <w:pStyle w:val="ListParagraph"/>
        <w:numPr>
          <w:ilvl w:val="0"/>
          <w:numId w:val="57"/>
        </w:numPr>
        <w:spacing w:before="120" w:after="120"/>
        <w:ind w:left="714" w:hanging="357"/>
        <w:contextualSpacing w:val="0"/>
      </w:pPr>
      <w:r w:rsidRPr="00703A0B">
        <w:t>Organisational culture</w:t>
      </w:r>
    </w:p>
    <w:p w14:paraId="0ACCD24E" w14:textId="149BF95A" w:rsidR="001077FE" w:rsidRPr="00703A0B" w:rsidRDefault="001A1810" w:rsidP="00AB04FF">
      <w:pPr>
        <w:spacing w:before="120" w:after="120"/>
      </w:pPr>
      <w:r w:rsidRPr="00703A0B">
        <w:t xml:space="preserve">Through </w:t>
      </w:r>
      <w:r w:rsidR="002F18F0" w:rsidRPr="00703A0B">
        <w:t>delivering</w:t>
      </w:r>
      <w:r w:rsidR="00083FA5" w:rsidRPr="00703A0B">
        <w:t xml:space="preserve"> its objectives</w:t>
      </w:r>
      <w:r w:rsidRPr="00703A0B">
        <w:t xml:space="preserve">, the QBCC contributes to </w:t>
      </w:r>
      <w:r w:rsidR="002E07A5" w:rsidRPr="00703A0B">
        <w:t>t</w:t>
      </w:r>
      <w:r w:rsidRPr="00703A0B">
        <w:t>he Queensland Government’s objectives for the community:</w:t>
      </w:r>
    </w:p>
    <w:p w14:paraId="5235AAA9" w14:textId="2740DE20" w:rsidR="00A67FFD" w:rsidRPr="00703A0B" w:rsidRDefault="2EDA94DC" w:rsidP="00A836CF">
      <w:pPr>
        <w:pStyle w:val="ListParagraph"/>
        <w:numPr>
          <w:ilvl w:val="0"/>
          <w:numId w:val="14"/>
        </w:numPr>
        <w:spacing w:before="120" w:after="120"/>
        <w:ind w:left="714" w:hanging="357"/>
        <w:contextualSpacing w:val="0"/>
        <w:rPr>
          <w:rFonts w:cs="Arial"/>
        </w:rPr>
      </w:pPr>
      <w:r w:rsidRPr="00703A0B">
        <w:rPr>
          <w:rFonts w:cs="Arial"/>
        </w:rPr>
        <w:t>A better lifestyle through a stronger economy</w:t>
      </w:r>
      <w:r w:rsidR="009B7D16" w:rsidRPr="00703A0B">
        <w:rPr>
          <w:rFonts w:cs="Arial"/>
        </w:rPr>
        <w:t>.</w:t>
      </w:r>
    </w:p>
    <w:p w14:paraId="60388AA2" w14:textId="26DE2D16" w:rsidR="00A67FFD" w:rsidRPr="00703A0B" w:rsidRDefault="4550F1F4" w:rsidP="00A836CF">
      <w:pPr>
        <w:numPr>
          <w:ilvl w:val="0"/>
          <w:numId w:val="15"/>
        </w:numPr>
        <w:spacing w:before="120" w:after="120"/>
        <w:ind w:left="714" w:hanging="357"/>
        <w:rPr>
          <w:rFonts w:cs="Arial"/>
        </w:rPr>
      </w:pPr>
      <w:r w:rsidRPr="00703A0B">
        <w:rPr>
          <w:rFonts w:cs="Arial"/>
        </w:rPr>
        <w:t>A plan for Queensland’s future</w:t>
      </w:r>
      <w:r w:rsidR="00DD1ED6" w:rsidRPr="00703A0B">
        <w:rPr>
          <w:rFonts w:cs="Arial"/>
        </w:rPr>
        <w:t>.</w:t>
      </w:r>
    </w:p>
    <w:p w14:paraId="4FD47251" w14:textId="1765BEAE" w:rsidR="00BB001C" w:rsidRPr="00703A0B" w:rsidRDefault="6F4C7BC9" w:rsidP="0311DE0C">
      <w:pPr>
        <w:rPr>
          <w:rFonts w:eastAsiaTheme="majorEastAsia" w:cs="Arial"/>
          <w:b/>
          <w:bCs/>
          <w:color w:val="020A0A" w:themeColor="accent4"/>
        </w:rPr>
      </w:pPr>
      <w:r w:rsidRPr="00703A0B">
        <w:rPr>
          <w:rFonts w:cs="Arial"/>
        </w:rPr>
        <w:t xml:space="preserve">The </w:t>
      </w:r>
      <w:r w:rsidR="00F75E3A" w:rsidRPr="00703A0B">
        <w:rPr>
          <w:rFonts w:cs="Arial"/>
        </w:rPr>
        <w:t>Strategic P</w:t>
      </w:r>
      <w:r w:rsidRPr="00703A0B">
        <w:rPr>
          <w:rFonts w:cs="Arial"/>
        </w:rPr>
        <w:t xml:space="preserve">lan </w:t>
      </w:r>
      <w:r w:rsidR="6F7F6704" w:rsidRPr="00703A0B">
        <w:rPr>
          <w:rFonts w:cs="Arial"/>
        </w:rPr>
        <w:t xml:space="preserve">is available </w:t>
      </w:r>
      <w:r w:rsidR="005024DC" w:rsidRPr="00703A0B">
        <w:rPr>
          <w:rFonts w:cs="Arial"/>
        </w:rPr>
        <w:t xml:space="preserve">on </w:t>
      </w:r>
      <w:r w:rsidRPr="00703A0B">
        <w:rPr>
          <w:rFonts w:cs="Arial"/>
        </w:rPr>
        <w:t xml:space="preserve">the </w:t>
      </w:r>
      <w:r w:rsidR="001701F6" w:rsidRPr="00703A0B">
        <w:rPr>
          <w:color w:val="020A0A" w:themeColor="text1"/>
        </w:rPr>
        <w:t>QBCC website</w:t>
      </w:r>
      <w:r w:rsidR="00120BF1" w:rsidRPr="00703A0B">
        <w:rPr>
          <w:color w:val="020A0A" w:themeColor="text1"/>
        </w:rPr>
        <w:t>.</w:t>
      </w:r>
      <w:r w:rsidR="003A37E6" w:rsidRPr="00703A0B">
        <w:rPr>
          <w:rStyle w:val="FootnoteReference"/>
          <w:color w:val="020A0A" w:themeColor="text1"/>
        </w:rPr>
        <w:footnoteReference w:id="3"/>
      </w:r>
      <w:r w:rsidR="331FB63A" w:rsidRPr="00703A0B">
        <w:rPr>
          <w:rFonts w:cs="Arial"/>
          <w:color w:val="020A0A" w:themeColor="text1"/>
        </w:rPr>
        <w:t xml:space="preserve"> The</w:t>
      </w:r>
      <w:r w:rsidR="5015F8B2" w:rsidRPr="00703A0B">
        <w:rPr>
          <w:rFonts w:cs="Arial"/>
          <w:color w:val="020A0A" w:themeColor="text1"/>
        </w:rPr>
        <w:t xml:space="preserve"> Queensland</w:t>
      </w:r>
      <w:r w:rsidR="331FB63A" w:rsidRPr="00703A0B">
        <w:rPr>
          <w:rFonts w:cs="Arial"/>
          <w:color w:val="020A0A" w:themeColor="text1"/>
        </w:rPr>
        <w:t xml:space="preserve"> </w:t>
      </w:r>
      <w:r w:rsidR="17F5EE2F" w:rsidRPr="00703A0B">
        <w:rPr>
          <w:rFonts w:cs="Arial"/>
          <w:color w:val="020A0A" w:themeColor="text1"/>
        </w:rPr>
        <w:t xml:space="preserve">Government’s </w:t>
      </w:r>
      <w:r w:rsidR="78024033" w:rsidRPr="00703A0B">
        <w:rPr>
          <w:rFonts w:cs="Arial"/>
          <w:color w:val="020A0A" w:themeColor="text1"/>
        </w:rPr>
        <w:t>o</w:t>
      </w:r>
      <w:r w:rsidR="331FB63A" w:rsidRPr="00703A0B">
        <w:rPr>
          <w:rFonts w:cs="Arial"/>
          <w:color w:val="020A0A" w:themeColor="text1"/>
        </w:rPr>
        <w:t xml:space="preserve">bjectives for the </w:t>
      </w:r>
      <w:r w:rsidR="03AC4054" w:rsidRPr="00703A0B">
        <w:rPr>
          <w:rFonts w:cs="Arial"/>
          <w:color w:val="020A0A" w:themeColor="text1"/>
        </w:rPr>
        <w:t>c</w:t>
      </w:r>
      <w:r w:rsidR="331FB63A" w:rsidRPr="00703A0B">
        <w:rPr>
          <w:rFonts w:cs="Arial"/>
          <w:color w:val="020A0A" w:themeColor="text1"/>
        </w:rPr>
        <w:t xml:space="preserve">ommunity </w:t>
      </w:r>
      <w:r w:rsidR="005024DC" w:rsidRPr="00703A0B">
        <w:rPr>
          <w:rFonts w:cs="Arial"/>
          <w:color w:val="020A0A" w:themeColor="text1"/>
        </w:rPr>
        <w:t xml:space="preserve">are available </w:t>
      </w:r>
      <w:r w:rsidR="331FB63A" w:rsidRPr="00703A0B">
        <w:rPr>
          <w:rFonts w:cs="Arial"/>
          <w:color w:val="020A0A" w:themeColor="text1"/>
        </w:rPr>
        <w:t xml:space="preserve">on the </w:t>
      </w:r>
      <w:r w:rsidR="001701F6" w:rsidRPr="00703A0B">
        <w:rPr>
          <w:color w:val="020A0A" w:themeColor="text1"/>
        </w:rPr>
        <w:t>Queensland Government website</w:t>
      </w:r>
      <w:r w:rsidR="00120BF1" w:rsidRPr="00703A0B">
        <w:rPr>
          <w:color w:val="020A0A" w:themeColor="text1"/>
        </w:rPr>
        <w:t>.</w:t>
      </w:r>
      <w:r w:rsidR="009B7ADA" w:rsidRPr="00703A0B">
        <w:rPr>
          <w:rStyle w:val="FootnoteReference"/>
          <w:color w:val="020A0A" w:themeColor="text1"/>
        </w:rPr>
        <w:footnoteReference w:id="4"/>
      </w:r>
    </w:p>
    <w:p w14:paraId="0C55F78C" w14:textId="0B5ED315" w:rsidR="00CC5F2D" w:rsidRPr="00703A0B" w:rsidRDefault="0046355F" w:rsidP="0051559B">
      <w:pPr>
        <w:spacing w:before="120" w:after="120"/>
        <w:rPr>
          <w:rFonts w:eastAsiaTheme="majorEastAsia" w:cs="Arial"/>
          <w:b/>
          <w:bCs/>
          <w:color w:val="020A0A" w:themeColor="text1"/>
        </w:rPr>
      </w:pPr>
      <w:r w:rsidRPr="00703A0B">
        <w:rPr>
          <w:rFonts w:eastAsiaTheme="majorEastAsia" w:cs="Arial"/>
          <w:b/>
          <w:bCs/>
          <w:color w:val="020A0A" w:themeColor="accent4"/>
        </w:rPr>
        <w:t>Corporate</w:t>
      </w:r>
      <w:r w:rsidR="00856446" w:rsidRPr="00703A0B">
        <w:rPr>
          <w:rFonts w:eastAsiaTheme="majorEastAsia" w:cs="Arial"/>
          <w:b/>
          <w:bCs/>
          <w:color w:val="020A0A" w:themeColor="accent4"/>
        </w:rPr>
        <w:t xml:space="preserve"> </w:t>
      </w:r>
      <w:r w:rsidR="6CAD9117" w:rsidRPr="00703A0B">
        <w:rPr>
          <w:rFonts w:eastAsiaTheme="majorEastAsia" w:cs="Arial"/>
          <w:b/>
          <w:bCs/>
          <w:color w:val="020A0A" w:themeColor="accent4"/>
        </w:rPr>
        <w:t>v</w:t>
      </w:r>
      <w:r w:rsidR="26B65A7C" w:rsidRPr="00703A0B">
        <w:rPr>
          <w:rFonts w:eastAsiaTheme="majorEastAsia" w:cs="Arial"/>
          <w:b/>
          <w:bCs/>
          <w:color w:val="020A0A" w:themeColor="accent4"/>
        </w:rPr>
        <w:t xml:space="preserve">alues </w:t>
      </w:r>
    </w:p>
    <w:p w14:paraId="393AB3DA" w14:textId="74BD7A60" w:rsidR="00CC5F2D" w:rsidRPr="00703A0B" w:rsidRDefault="186816E0" w:rsidP="00874C3E">
      <w:pPr>
        <w:spacing w:before="120" w:after="120" w:line="259" w:lineRule="auto"/>
        <w:rPr>
          <w:rFonts w:cs="Arial"/>
        </w:rPr>
      </w:pPr>
      <w:r w:rsidRPr="00703A0B">
        <w:rPr>
          <w:rFonts w:cs="Arial"/>
        </w:rPr>
        <w:t>The</w:t>
      </w:r>
      <w:r w:rsidR="00D873C4" w:rsidRPr="00703A0B">
        <w:rPr>
          <w:rFonts w:cs="Arial"/>
        </w:rPr>
        <w:t xml:space="preserve"> QBCC’s values </w:t>
      </w:r>
      <w:r w:rsidR="00227259" w:rsidRPr="00703A0B">
        <w:rPr>
          <w:rFonts w:cs="Arial"/>
        </w:rPr>
        <w:t>underpin</w:t>
      </w:r>
      <w:r w:rsidR="00C955B9" w:rsidRPr="00703A0B">
        <w:rPr>
          <w:rFonts w:cs="Arial"/>
        </w:rPr>
        <w:t xml:space="preserve"> the culture and </w:t>
      </w:r>
      <w:r w:rsidR="00D812AF" w:rsidRPr="00703A0B">
        <w:rPr>
          <w:rFonts w:cs="Arial"/>
        </w:rPr>
        <w:t>work</w:t>
      </w:r>
      <w:r w:rsidR="00F32D05" w:rsidRPr="00703A0B">
        <w:rPr>
          <w:rFonts w:cs="Arial"/>
        </w:rPr>
        <w:t>ing</w:t>
      </w:r>
      <w:r w:rsidR="00D812AF" w:rsidRPr="00703A0B">
        <w:rPr>
          <w:rFonts w:cs="Arial"/>
        </w:rPr>
        <w:t xml:space="preserve"> environment in which the organisation </w:t>
      </w:r>
      <w:r w:rsidR="00157E26" w:rsidRPr="00703A0B">
        <w:rPr>
          <w:rFonts w:cs="Arial"/>
        </w:rPr>
        <w:t>ope</w:t>
      </w:r>
      <w:r w:rsidR="00FF216B" w:rsidRPr="00703A0B">
        <w:rPr>
          <w:rFonts w:cs="Arial"/>
        </w:rPr>
        <w:t>rates</w:t>
      </w:r>
      <w:r w:rsidR="00D812AF" w:rsidRPr="00703A0B">
        <w:rPr>
          <w:rFonts w:cs="Arial"/>
        </w:rPr>
        <w:t xml:space="preserve">, </w:t>
      </w:r>
      <w:r w:rsidR="00F32D05" w:rsidRPr="00703A0B">
        <w:rPr>
          <w:rFonts w:cs="Arial"/>
        </w:rPr>
        <w:t xml:space="preserve">guiding </w:t>
      </w:r>
      <w:r w:rsidR="002043BB" w:rsidRPr="00703A0B">
        <w:rPr>
          <w:rFonts w:cs="Arial"/>
        </w:rPr>
        <w:t xml:space="preserve">its </w:t>
      </w:r>
      <w:r w:rsidR="001976AD" w:rsidRPr="00703A0B">
        <w:rPr>
          <w:rFonts w:cs="Arial"/>
        </w:rPr>
        <w:t>regulatory approach</w:t>
      </w:r>
      <w:r w:rsidR="005439EA" w:rsidRPr="00703A0B">
        <w:rPr>
          <w:rFonts w:cs="Arial"/>
        </w:rPr>
        <w:t xml:space="preserve">, </w:t>
      </w:r>
      <w:r w:rsidR="006F22F1" w:rsidRPr="00703A0B">
        <w:rPr>
          <w:rFonts w:cs="Arial"/>
        </w:rPr>
        <w:t xml:space="preserve">its interactions with stakeholders and </w:t>
      </w:r>
      <w:r w:rsidR="00FF216B" w:rsidRPr="00703A0B">
        <w:rPr>
          <w:rFonts w:cs="Arial"/>
        </w:rPr>
        <w:t xml:space="preserve">the way </w:t>
      </w:r>
      <w:r w:rsidR="00722CDE" w:rsidRPr="00703A0B">
        <w:rPr>
          <w:rFonts w:cs="Arial"/>
        </w:rPr>
        <w:t xml:space="preserve">employees work </w:t>
      </w:r>
      <w:r w:rsidR="00C56FE4" w:rsidRPr="00703A0B">
        <w:rPr>
          <w:rFonts w:cs="Arial"/>
        </w:rPr>
        <w:t>together</w:t>
      </w:r>
      <w:r w:rsidR="00722CDE" w:rsidRPr="00703A0B">
        <w:rPr>
          <w:rFonts w:cs="Arial"/>
        </w:rPr>
        <w:t>.</w:t>
      </w:r>
      <w:r w:rsidR="00F77DA8" w:rsidRPr="00703A0B">
        <w:rPr>
          <w:rFonts w:cs="Arial"/>
        </w:rPr>
        <w:t xml:space="preserve"> </w:t>
      </w:r>
      <w:r w:rsidR="007C0F64" w:rsidRPr="00703A0B">
        <w:rPr>
          <w:rFonts w:cs="Arial"/>
        </w:rPr>
        <w:t xml:space="preserve">Summarised </w:t>
      </w:r>
      <w:r w:rsidR="00627DC3" w:rsidRPr="00703A0B">
        <w:rPr>
          <w:rFonts w:cs="Arial"/>
        </w:rPr>
        <w:t>by the acronym</w:t>
      </w:r>
      <w:r w:rsidR="007C0F64" w:rsidRPr="00703A0B">
        <w:rPr>
          <w:rFonts w:cs="Arial"/>
        </w:rPr>
        <w:t xml:space="preserve"> F</w:t>
      </w:r>
      <w:r w:rsidR="006E5352" w:rsidRPr="00703A0B">
        <w:rPr>
          <w:rFonts w:cs="Arial"/>
        </w:rPr>
        <w:t>.</w:t>
      </w:r>
      <w:r w:rsidR="007C0F64" w:rsidRPr="00703A0B">
        <w:rPr>
          <w:rFonts w:cs="Arial"/>
        </w:rPr>
        <w:t>A</w:t>
      </w:r>
      <w:r w:rsidR="0081730A" w:rsidRPr="00703A0B">
        <w:rPr>
          <w:rFonts w:cs="Arial"/>
        </w:rPr>
        <w:t>.</w:t>
      </w:r>
      <w:r w:rsidR="007C0F64" w:rsidRPr="00703A0B">
        <w:rPr>
          <w:rFonts w:cs="Arial"/>
        </w:rPr>
        <w:t>I</w:t>
      </w:r>
      <w:r w:rsidR="0081730A" w:rsidRPr="00703A0B">
        <w:rPr>
          <w:rFonts w:cs="Arial"/>
        </w:rPr>
        <w:t>.</w:t>
      </w:r>
      <w:r w:rsidR="007C0F64" w:rsidRPr="00703A0B">
        <w:rPr>
          <w:rFonts w:cs="Arial"/>
        </w:rPr>
        <w:t>R</w:t>
      </w:r>
      <w:r w:rsidR="0081730A" w:rsidRPr="00703A0B">
        <w:rPr>
          <w:rFonts w:cs="Arial"/>
        </w:rPr>
        <w:t>.</w:t>
      </w:r>
      <w:r w:rsidR="00702AF5" w:rsidRPr="00703A0B">
        <w:rPr>
          <w:rFonts w:cs="Arial"/>
        </w:rPr>
        <w:t>, the QBCC’s values are:</w:t>
      </w:r>
    </w:p>
    <w:p w14:paraId="0BF4AF1F" w14:textId="2D71760A" w:rsidR="00410DDB" w:rsidRPr="00703A0B" w:rsidRDefault="00CC6C22" w:rsidP="00795F7A">
      <w:pPr>
        <w:pStyle w:val="ListParagraph"/>
        <w:numPr>
          <w:ilvl w:val="0"/>
          <w:numId w:val="3"/>
        </w:numPr>
        <w:spacing w:before="120" w:after="120"/>
        <w:ind w:left="714" w:hanging="357"/>
        <w:contextualSpacing w:val="0"/>
        <w:rPr>
          <w:rFonts w:cs="Arial"/>
        </w:rPr>
      </w:pPr>
      <w:r w:rsidRPr="00703A0B">
        <w:rPr>
          <w:rFonts w:cs="Arial"/>
          <w:b/>
          <w:bCs/>
        </w:rPr>
        <w:t>F</w:t>
      </w:r>
      <w:r w:rsidRPr="00703A0B">
        <w:rPr>
          <w:rFonts w:cs="Arial"/>
        </w:rPr>
        <w:t>airness</w:t>
      </w:r>
    </w:p>
    <w:p w14:paraId="78A79B7E" w14:textId="48FECE71" w:rsidR="00410DDB" w:rsidRPr="00703A0B" w:rsidRDefault="00CC6C22" w:rsidP="00795F7A">
      <w:pPr>
        <w:pStyle w:val="ListParagraph"/>
        <w:numPr>
          <w:ilvl w:val="0"/>
          <w:numId w:val="3"/>
        </w:numPr>
        <w:spacing w:before="120" w:after="120"/>
        <w:ind w:left="714" w:hanging="357"/>
        <w:contextualSpacing w:val="0"/>
        <w:rPr>
          <w:rFonts w:cs="Arial"/>
          <w:szCs w:val="22"/>
        </w:rPr>
      </w:pPr>
      <w:r w:rsidRPr="00703A0B">
        <w:rPr>
          <w:rFonts w:cs="Arial"/>
          <w:b/>
          <w:bCs/>
        </w:rPr>
        <w:t>A</w:t>
      </w:r>
      <w:r w:rsidRPr="00703A0B">
        <w:rPr>
          <w:rFonts w:cs="Arial"/>
        </w:rPr>
        <w:t>ccountability</w:t>
      </w:r>
    </w:p>
    <w:p w14:paraId="614C96B9" w14:textId="2DD90D4B" w:rsidR="00410DDB" w:rsidRPr="00703A0B" w:rsidRDefault="00CC6C22" w:rsidP="00795F7A">
      <w:pPr>
        <w:pStyle w:val="ListParagraph"/>
        <w:numPr>
          <w:ilvl w:val="0"/>
          <w:numId w:val="3"/>
        </w:numPr>
        <w:spacing w:before="120" w:after="120"/>
        <w:ind w:left="714" w:hanging="357"/>
        <w:contextualSpacing w:val="0"/>
        <w:rPr>
          <w:rFonts w:cs="Arial"/>
          <w:szCs w:val="22"/>
        </w:rPr>
      </w:pPr>
      <w:r w:rsidRPr="00703A0B">
        <w:rPr>
          <w:rFonts w:cs="Arial"/>
          <w:b/>
          <w:bCs/>
        </w:rPr>
        <w:t>I</w:t>
      </w:r>
      <w:r w:rsidRPr="00703A0B">
        <w:rPr>
          <w:rFonts w:cs="Arial"/>
        </w:rPr>
        <w:t>ntegrity</w:t>
      </w:r>
    </w:p>
    <w:p w14:paraId="5911E58A" w14:textId="7558C543" w:rsidR="00410DDB" w:rsidRPr="00703A0B" w:rsidRDefault="00CC6C22" w:rsidP="00795F7A">
      <w:pPr>
        <w:pStyle w:val="ListParagraph"/>
        <w:numPr>
          <w:ilvl w:val="0"/>
          <w:numId w:val="3"/>
        </w:numPr>
        <w:spacing w:before="120" w:after="120"/>
        <w:ind w:left="714" w:hanging="357"/>
        <w:contextualSpacing w:val="0"/>
        <w:rPr>
          <w:rFonts w:cs="Arial"/>
          <w:szCs w:val="22"/>
        </w:rPr>
      </w:pPr>
      <w:r w:rsidRPr="00703A0B">
        <w:rPr>
          <w:rFonts w:cs="Arial"/>
          <w:b/>
          <w:bCs/>
        </w:rPr>
        <w:t>R</w:t>
      </w:r>
      <w:r w:rsidRPr="00703A0B">
        <w:rPr>
          <w:rFonts w:cs="Arial"/>
        </w:rPr>
        <w:t>espect</w:t>
      </w:r>
    </w:p>
    <w:p w14:paraId="63A9925A" w14:textId="33C9D22C" w:rsidR="00D329FD" w:rsidRPr="00703A0B" w:rsidRDefault="2AEEE0F0" w:rsidP="00874C3E">
      <w:pPr>
        <w:pStyle w:val="Heading3"/>
      </w:pPr>
      <w:r w:rsidRPr="00703A0B">
        <w:t>Looking ahead</w:t>
      </w:r>
    </w:p>
    <w:p w14:paraId="0BFDAB7C" w14:textId="77777777" w:rsidR="00A6499E" w:rsidRPr="00703A0B" w:rsidRDefault="00160603" w:rsidP="7B046F28">
      <w:pPr>
        <w:spacing w:before="120" w:after="120" w:line="259" w:lineRule="auto"/>
      </w:pPr>
      <w:r w:rsidRPr="00703A0B">
        <w:t xml:space="preserve">As the </w:t>
      </w:r>
      <w:r w:rsidR="00EE696C" w:rsidRPr="00703A0B">
        <w:t>operating</w:t>
      </w:r>
      <w:r w:rsidR="00AE074F" w:rsidRPr="00703A0B">
        <w:t xml:space="preserve"> environment of the building and construction industry continue</w:t>
      </w:r>
      <w:r w:rsidR="00507C50" w:rsidRPr="00703A0B">
        <w:t>s</w:t>
      </w:r>
      <w:r w:rsidR="00AE074F" w:rsidRPr="00703A0B">
        <w:t xml:space="preserve"> to evolve</w:t>
      </w:r>
      <w:r w:rsidR="001F6DE6" w:rsidRPr="00703A0B">
        <w:t xml:space="preserve">, the QBCC </w:t>
      </w:r>
      <w:r w:rsidR="009F7A9A" w:rsidRPr="00703A0B">
        <w:t>is progressing i</w:t>
      </w:r>
      <w:r w:rsidR="00D24E34" w:rsidRPr="00703A0B">
        <w:t xml:space="preserve">ts transformation </w:t>
      </w:r>
      <w:r w:rsidR="00507C50" w:rsidRPr="00703A0B">
        <w:t>into</w:t>
      </w:r>
      <w:r w:rsidR="00D640FC" w:rsidRPr="00703A0B">
        <w:t xml:space="preserve"> a </w:t>
      </w:r>
      <w:r w:rsidR="00764B17" w:rsidRPr="00703A0B">
        <w:t>modern</w:t>
      </w:r>
      <w:r w:rsidR="00F02A80" w:rsidRPr="00703A0B">
        <w:t xml:space="preserve">, accountable and outcome-focused </w:t>
      </w:r>
      <w:r w:rsidR="00764B17" w:rsidRPr="00703A0B">
        <w:t>regulator</w:t>
      </w:r>
      <w:r w:rsidR="00D752B4" w:rsidRPr="00703A0B">
        <w:t xml:space="preserve">. The organisation will continue to </w:t>
      </w:r>
      <w:r w:rsidR="00764B17" w:rsidRPr="00703A0B">
        <w:t>work</w:t>
      </w:r>
      <w:r w:rsidR="00D752B4" w:rsidRPr="00703A0B">
        <w:t xml:space="preserve"> </w:t>
      </w:r>
      <w:r w:rsidR="00764B17" w:rsidRPr="00703A0B">
        <w:t>with consumers and industry to improve productivity</w:t>
      </w:r>
      <w:r w:rsidR="00156C7F" w:rsidRPr="00703A0B">
        <w:t xml:space="preserve"> </w:t>
      </w:r>
      <w:r w:rsidR="003173EE" w:rsidRPr="00703A0B">
        <w:t>and</w:t>
      </w:r>
      <w:r w:rsidR="00C54ED5" w:rsidRPr="00703A0B">
        <w:t xml:space="preserve"> </w:t>
      </w:r>
      <w:r w:rsidR="00FE0C46" w:rsidRPr="00703A0B">
        <w:t xml:space="preserve">help </w:t>
      </w:r>
      <w:r w:rsidR="006137C6" w:rsidRPr="00703A0B">
        <w:t xml:space="preserve">meet </w:t>
      </w:r>
      <w:r w:rsidR="00262D99" w:rsidRPr="00703A0B">
        <w:t>the construction needs of the state</w:t>
      </w:r>
      <w:r w:rsidR="009D155C" w:rsidRPr="00703A0B">
        <w:t>.</w:t>
      </w:r>
      <w:r w:rsidR="00242ACF" w:rsidRPr="00703A0B">
        <w:t xml:space="preserve"> </w:t>
      </w:r>
      <w:r w:rsidR="009F018E" w:rsidRPr="00703A0B">
        <w:t xml:space="preserve">Guided by its strategic </w:t>
      </w:r>
      <w:r w:rsidR="00CB07EC" w:rsidRPr="00703A0B">
        <w:t xml:space="preserve">priorities, the QBCC </w:t>
      </w:r>
      <w:r w:rsidR="00FE5B35" w:rsidRPr="00703A0B">
        <w:t xml:space="preserve">will </w:t>
      </w:r>
      <w:r w:rsidR="7CBB5FBC" w:rsidRPr="00703A0B">
        <w:t xml:space="preserve">continue to </w:t>
      </w:r>
      <w:r w:rsidR="00CB07EC" w:rsidRPr="00703A0B">
        <w:t xml:space="preserve">enhance </w:t>
      </w:r>
      <w:r w:rsidR="00FE5B35" w:rsidRPr="00703A0B">
        <w:t xml:space="preserve">the customer experience by ensuring tradespeople and </w:t>
      </w:r>
      <w:proofErr w:type="gramStart"/>
      <w:r w:rsidR="00FE5B35" w:rsidRPr="00703A0B">
        <w:t>home owners</w:t>
      </w:r>
      <w:proofErr w:type="gramEnd"/>
      <w:r w:rsidR="00FE5B35" w:rsidRPr="00703A0B">
        <w:t xml:space="preserve"> have timely access to accurate</w:t>
      </w:r>
      <w:r w:rsidR="00BE09C9" w:rsidRPr="00703A0B">
        <w:t xml:space="preserve">, </w:t>
      </w:r>
      <w:r w:rsidR="00033800" w:rsidRPr="00703A0B">
        <w:t>relevant</w:t>
      </w:r>
      <w:r w:rsidR="00BE09C9" w:rsidRPr="00703A0B">
        <w:t xml:space="preserve"> and accessible</w:t>
      </w:r>
      <w:r w:rsidR="003D41FE" w:rsidRPr="00703A0B">
        <w:t xml:space="preserve"> information and services.</w:t>
      </w:r>
      <w:r w:rsidR="005E7B06" w:rsidRPr="00703A0B">
        <w:t xml:space="preserve"> </w:t>
      </w:r>
    </w:p>
    <w:p w14:paraId="74AE0235" w14:textId="27809C6C" w:rsidR="000E46E7" w:rsidRPr="00703A0B" w:rsidRDefault="00A93DAB" w:rsidP="7B046F28">
      <w:pPr>
        <w:spacing w:before="120" w:after="120" w:line="259" w:lineRule="auto"/>
      </w:pPr>
      <w:r w:rsidRPr="00703A0B">
        <w:t xml:space="preserve">Key </w:t>
      </w:r>
      <w:r w:rsidR="005854EE" w:rsidRPr="00703A0B">
        <w:t xml:space="preserve">strategies </w:t>
      </w:r>
      <w:r w:rsidRPr="00703A0B">
        <w:t xml:space="preserve">that will support </w:t>
      </w:r>
      <w:r w:rsidR="00AF4DC4" w:rsidRPr="00703A0B">
        <w:t>the</w:t>
      </w:r>
      <w:r w:rsidR="00D9702A" w:rsidRPr="00703A0B">
        <w:t xml:space="preserve"> </w:t>
      </w:r>
      <w:r w:rsidR="000A60D8" w:rsidRPr="00703A0B">
        <w:t xml:space="preserve">delivery of </w:t>
      </w:r>
      <w:r w:rsidR="00BE09C9" w:rsidRPr="00703A0B">
        <w:t>the QBCC’s</w:t>
      </w:r>
      <w:r w:rsidR="000A60D8" w:rsidRPr="00703A0B">
        <w:t xml:space="preserve"> objectives and vision </w:t>
      </w:r>
      <w:r w:rsidR="00BE09C9" w:rsidRPr="00703A0B">
        <w:t xml:space="preserve">for </w:t>
      </w:r>
      <w:r w:rsidR="000A60D8" w:rsidRPr="00703A0B">
        <w:t>a thriving building and construction industry</w:t>
      </w:r>
      <w:r w:rsidR="00AF4DC4" w:rsidRPr="00703A0B">
        <w:t xml:space="preserve"> </w:t>
      </w:r>
      <w:r w:rsidR="005854EE" w:rsidRPr="00703A0B">
        <w:t>include</w:t>
      </w:r>
      <w:r w:rsidR="00C46DF9" w:rsidRPr="00703A0B">
        <w:t>:</w:t>
      </w:r>
    </w:p>
    <w:p w14:paraId="5F2C13D4" w14:textId="0F69A8A2" w:rsidR="00C46DF9" w:rsidRPr="00703A0B" w:rsidRDefault="00614029" w:rsidP="009D1BCF">
      <w:pPr>
        <w:pStyle w:val="ListParagraph"/>
        <w:numPr>
          <w:ilvl w:val="0"/>
          <w:numId w:val="15"/>
        </w:numPr>
        <w:spacing w:before="120" w:after="120" w:line="259" w:lineRule="auto"/>
        <w:ind w:left="714" w:hanging="357"/>
        <w:contextualSpacing w:val="0"/>
      </w:pPr>
      <w:r w:rsidRPr="00703A0B">
        <w:rPr>
          <w:b/>
          <w:bCs/>
        </w:rPr>
        <w:t xml:space="preserve">Stakeholder Management </w:t>
      </w:r>
      <w:r w:rsidR="005E7B06" w:rsidRPr="00703A0B">
        <w:rPr>
          <w:b/>
          <w:bCs/>
        </w:rPr>
        <w:t>Strategy</w:t>
      </w:r>
      <w:r w:rsidR="00FD4693" w:rsidRPr="00703A0B">
        <w:rPr>
          <w:b/>
          <w:bCs/>
        </w:rPr>
        <w:t xml:space="preserve">: </w:t>
      </w:r>
      <w:r w:rsidR="00FD4693" w:rsidRPr="00703A0B">
        <w:t>S</w:t>
      </w:r>
      <w:r w:rsidR="005E7B06" w:rsidRPr="00703A0B">
        <w:t>trengthen</w:t>
      </w:r>
      <w:r w:rsidR="009F0190" w:rsidRPr="00703A0B">
        <w:t>s</w:t>
      </w:r>
      <w:r w:rsidR="005E7B06" w:rsidRPr="00703A0B">
        <w:t xml:space="preserve"> engagement with customers and stakeholders, making interactions with the QBCC more accessible, responsive and transparent</w:t>
      </w:r>
      <w:r w:rsidR="005425B9" w:rsidRPr="00703A0B">
        <w:t>.</w:t>
      </w:r>
      <w:r w:rsidR="00E1249B" w:rsidRPr="00703A0B">
        <w:t xml:space="preserve"> </w:t>
      </w:r>
    </w:p>
    <w:p w14:paraId="44C7C1DF" w14:textId="0E3CED16" w:rsidR="00CC4044" w:rsidRPr="00703A0B" w:rsidRDefault="00E1249B" w:rsidP="009D1BCF">
      <w:pPr>
        <w:pStyle w:val="ListParagraph"/>
        <w:numPr>
          <w:ilvl w:val="0"/>
          <w:numId w:val="15"/>
        </w:numPr>
        <w:spacing w:before="120" w:after="120" w:line="259" w:lineRule="auto"/>
        <w:ind w:left="714" w:hanging="357"/>
        <w:contextualSpacing w:val="0"/>
        <w:rPr>
          <w:strike/>
        </w:rPr>
      </w:pPr>
      <w:r w:rsidRPr="00703A0B">
        <w:rPr>
          <w:b/>
          <w:bCs/>
        </w:rPr>
        <w:t>Digital Strategy</w:t>
      </w:r>
      <w:r w:rsidR="00FD4693" w:rsidRPr="00703A0B">
        <w:rPr>
          <w:b/>
          <w:bCs/>
        </w:rPr>
        <w:t>:</w:t>
      </w:r>
      <w:r w:rsidR="00FD4693" w:rsidRPr="00703A0B">
        <w:t xml:space="preserve"> </w:t>
      </w:r>
      <w:r w:rsidR="00CC4044" w:rsidRPr="00703A0B">
        <w:t xml:space="preserve">Provides a clear </w:t>
      </w:r>
      <w:r w:rsidR="00F776A6" w:rsidRPr="00703A0B">
        <w:t>direction for leveraging digital investment</w:t>
      </w:r>
      <w:r w:rsidR="00F53F26" w:rsidRPr="00703A0B">
        <w:t xml:space="preserve"> </w:t>
      </w:r>
      <w:r w:rsidR="00660AEF" w:rsidRPr="00703A0B">
        <w:t>to deliver</w:t>
      </w:r>
      <w:r w:rsidR="00CC42FB" w:rsidRPr="00703A0B">
        <w:t xml:space="preserve"> </w:t>
      </w:r>
      <w:r w:rsidR="00660AEF" w:rsidRPr="00703A0B">
        <w:t xml:space="preserve">trusted regulation, </w:t>
      </w:r>
      <w:r w:rsidR="00C809E6" w:rsidRPr="00703A0B">
        <w:t>improve</w:t>
      </w:r>
      <w:r w:rsidR="00660AEF" w:rsidRPr="00703A0B">
        <w:t>d</w:t>
      </w:r>
      <w:r w:rsidR="00C809E6" w:rsidRPr="00703A0B">
        <w:t xml:space="preserve"> customer </w:t>
      </w:r>
      <w:r w:rsidR="00660AEF" w:rsidRPr="00703A0B">
        <w:t>outcomes</w:t>
      </w:r>
      <w:r w:rsidR="00CE59F2" w:rsidRPr="00703A0B">
        <w:t xml:space="preserve"> </w:t>
      </w:r>
      <w:r w:rsidR="00C809E6" w:rsidRPr="00703A0B">
        <w:t xml:space="preserve">and organisational </w:t>
      </w:r>
      <w:r w:rsidR="00CC42FB" w:rsidRPr="00703A0B">
        <w:t>excellence</w:t>
      </w:r>
      <w:r w:rsidR="00EC55EB" w:rsidRPr="00703A0B">
        <w:t>, including</w:t>
      </w:r>
      <w:r w:rsidR="00AF6D07" w:rsidRPr="00703A0B">
        <w:t xml:space="preserve"> through</w:t>
      </w:r>
      <w:r w:rsidR="00EC55EB" w:rsidRPr="00703A0B">
        <w:t xml:space="preserve"> the </w:t>
      </w:r>
      <w:r w:rsidR="00AF6D07" w:rsidRPr="00703A0B">
        <w:t xml:space="preserve">effective </w:t>
      </w:r>
      <w:r w:rsidR="000A210A" w:rsidRPr="00703A0B">
        <w:t xml:space="preserve">use of data and </w:t>
      </w:r>
      <w:r w:rsidR="00EC55EB" w:rsidRPr="00703A0B">
        <w:t>responsible adoption of well-governed artificial intelligence</w:t>
      </w:r>
      <w:r w:rsidR="00B26F3D" w:rsidRPr="00703A0B">
        <w:t xml:space="preserve"> (AI)</w:t>
      </w:r>
      <w:r w:rsidR="000536EB" w:rsidRPr="00703A0B">
        <w:t xml:space="preserve">. </w:t>
      </w:r>
    </w:p>
    <w:p w14:paraId="275541AA" w14:textId="37075581" w:rsidR="00C46DF9" w:rsidRPr="00703A0B" w:rsidRDefault="0000279B" w:rsidP="009D1BCF">
      <w:pPr>
        <w:pStyle w:val="ListParagraph"/>
        <w:numPr>
          <w:ilvl w:val="0"/>
          <w:numId w:val="15"/>
        </w:numPr>
        <w:spacing w:before="120" w:after="120" w:line="259" w:lineRule="auto"/>
        <w:ind w:left="714" w:hanging="357"/>
        <w:contextualSpacing w:val="0"/>
      </w:pPr>
      <w:r w:rsidRPr="00703A0B">
        <w:rPr>
          <w:b/>
          <w:bCs/>
        </w:rPr>
        <w:t>Compliance and Enforcement Strategy</w:t>
      </w:r>
      <w:r w:rsidR="00FD4693" w:rsidRPr="00703A0B">
        <w:rPr>
          <w:b/>
          <w:bCs/>
        </w:rPr>
        <w:t>:</w:t>
      </w:r>
      <w:r w:rsidR="00FD4693" w:rsidRPr="00703A0B">
        <w:t xml:space="preserve"> S</w:t>
      </w:r>
      <w:r w:rsidRPr="00703A0B">
        <w:t>trengthen</w:t>
      </w:r>
      <w:r w:rsidR="009F0190" w:rsidRPr="00703A0B">
        <w:t>s</w:t>
      </w:r>
      <w:r w:rsidRPr="00703A0B">
        <w:t xml:space="preserve"> risk-based regulatory practices, target</w:t>
      </w:r>
      <w:r w:rsidR="00CF0E96" w:rsidRPr="00703A0B">
        <w:t>s</w:t>
      </w:r>
      <w:r w:rsidRPr="00703A0B">
        <w:t xml:space="preserve"> areas of highest harm and non-compliance and </w:t>
      </w:r>
      <w:r w:rsidR="00CF0E96" w:rsidRPr="00703A0B">
        <w:t>enables</w:t>
      </w:r>
      <w:r w:rsidRPr="00703A0B">
        <w:t xml:space="preserve"> proportionate enforcement action to protect consumers, uphold industry standards and maintain confidence in Queensland’s building and construction </w:t>
      </w:r>
      <w:r w:rsidR="00CF0E96" w:rsidRPr="00703A0B">
        <w:t>industry</w:t>
      </w:r>
      <w:r w:rsidRPr="00703A0B">
        <w:t>.</w:t>
      </w:r>
    </w:p>
    <w:p w14:paraId="2CE26046" w14:textId="066028FB" w:rsidR="0000279B" w:rsidRPr="00703A0B" w:rsidRDefault="0000279B" w:rsidP="009D1BCF">
      <w:pPr>
        <w:pStyle w:val="ListParagraph"/>
        <w:numPr>
          <w:ilvl w:val="0"/>
          <w:numId w:val="15"/>
        </w:numPr>
        <w:spacing w:before="120" w:after="120" w:line="259" w:lineRule="auto"/>
        <w:ind w:left="714" w:hanging="357"/>
        <w:contextualSpacing w:val="0"/>
      </w:pPr>
      <w:r w:rsidRPr="00703A0B">
        <w:rPr>
          <w:b/>
          <w:bCs/>
        </w:rPr>
        <w:t>People and Culture Strategy</w:t>
      </w:r>
      <w:r w:rsidR="00FD4693" w:rsidRPr="00703A0B">
        <w:rPr>
          <w:b/>
          <w:bCs/>
        </w:rPr>
        <w:t>:</w:t>
      </w:r>
      <w:r w:rsidR="00F47721" w:rsidRPr="00703A0B">
        <w:t xml:space="preserve"> F</w:t>
      </w:r>
      <w:r w:rsidRPr="00703A0B">
        <w:t>ocus</w:t>
      </w:r>
      <w:r w:rsidR="00F47721" w:rsidRPr="00703A0B">
        <w:t>es</w:t>
      </w:r>
      <w:r w:rsidRPr="00703A0B">
        <w:t xml:space="preserve"> on building organisational capability, </w:t>
      </w:r>
      <w:r w:rsidR="000646BF" w:rsidRPr="00703A0B">
        <w:t>empowering leaders at all levels</w:t>
      </w:r>
      <w:r w:rsidRPr="00703A0B">
        <w:t xml:space="preserve">, supporting employee wellbeing and creating a culture of </w:t>
      </w:r>
      <w:r w:rsidR="00B70CD7" w:rsidRPr="00703A0B">
        <w:t xml:space="preserve">performance, </w:t>
      </w:r>
      <w:r w:rsidRPr="00703A0B">
        <w:t>accountability</w:t>
      </w:r>
      <w:r w:rsidR="00B70CD7" w:rsidRPr="00703A0B">
        <w:t xml:space="preserve"> </w:t>
      </w:r>
      <w:r w:rsidRPr="00703A0B">
        <w:t>and continuous improvement.</w:t>
      </w:r>
    </w:p>
    <w:p w14:paraId="6FBDE44F" w14:textId="413D48BE" w:rsidR="008449E4" w:rsidRPr="00703A0B" w:rsidRDefault="00F340BF" w:rsidP="00A40308">
      <w:pPr>
        <w:spacing w:before="120" w:after="120" w:line="259" w:lineRule="auto"/>
      </w:pPr>
      <w:r w:rsidRPr="00703A0B">
        <w:t xml:space="preserve">These strategies will </w:t>
      </w:r>
      <w:r w:rsidR="00136BB5" w:rsidRPr="00703A0B">
        <w:t xml:space="preserve">support the organisation’s continued transformation. </w:t>
      </w:r>
      <w:r w:rsidR="00A40308" w:rsidRPr="00703A0B">
        <w:t>While</w:t>
      </w:r>
      <w:r w:rsidR="00643CFE" w:rsidRPr="00703A0B">
        <w:t xml:space="preserve"> progress has been made</w:t>
      </w:r>
      <w:r w:rsidR="009E712B" w:rsidRPr="00703A0B">
        <w:t>,</w:t>
      </w:r>
      <w:r w:rsidR="00A40308" w:rsidRPr="00703A0B">
        <w:t xml:space="preserve"> the </w:t>
      </w:r>
      <w:r w:rsidR="008449E4" w:rsidRPr="00703A0B">
        <w:t xml:space="preserve">organisation </w:t>
      </w:r>
      <w:r w:rsidR="00A40308" w:rsidRPr="00703A0B">
        <w:t xml:space="preserve">continues to face a range of </w:t>
      </w:r>
      <w:r w:rsidR="00453F7B" w:rsidRPr="00703A0B">
        <w:t>interconnected c</w:t>
      </w:r>
      <w:r w:rsidR="00A40308" w:rsidRPr="00703A0B">
        <w:t>hallenges</w:t>
      </w:r>
      <w:r w:rsidR="0029045D" w:rsidRPr="00703A0B">
        <w:t xml:space="preserve">, </w:t>
      </w:r>
      <w:r w:rsidR="008449E4" w:rsidRPr="00703A0B">
        <w:t>including:</w:t>
      </w:r>
    </w:p>
    <w:p w14:paraId="680DF4D0" w14:textId="1A5F9CE5" w:rsidR="00151F13" w:rsidRPr="00703A0B" w:rsidRDefault="00120C8D" w:rsidP="003C51D8">
      <w:pPr>
        <w:pStyle w:val="ListParagraph"/>
        <w:numPr>
          <w:ilvl w:val="0"/>
          <w:numId w:val="15"/>
        </w:numPr>
        <w:spacing w:before="120" w:after="120" w:line="259" w:lineRule="auto"/>
        <w:ind w:left="714" w:hanging="357"/>
        <w:contextualSpacing w:val="0"/>
      </w:pPr>
      <w:r w:rsidRPr="00703A0B">
        <w:t xml:space="preserve">increasing housing </w:t>
      </w:r>
      <w:r w:rsidR="00FD6F3D" w:rsidRPr="00703A0B">
        <w:t xml:space="preserve">demand and </w:t>
      </w:r>
      <w:r w:rsidR="00151F13" w:rsidRPr="00703A0B">
        <w:t>complexity</w:t>
      </w:r>
      <w:r w:rsidR="008A583C" w:rsidRPr="00703A0B">
        <w:t xml:space="preserve"> across </w:t>
      </w:r>
      <w:r w:rsidR="008612E7" w:rsidRPr="00703A0B">
        <w:t>the building and construction industry</w:t>
      </w:r>
    </w:p>
    <w:p w14:paraId="5A217CD8" w14:textId="2B16CA2F" w:rsidR="00B56F37" w:rsidRPr="00703A0B" w:rsidRDefault="008612E7" w:rsidP="003C51D8">
      <w:pPr>
        <w:pStyle w:val="ListParagraph"/>
        <w:numPr>
          <w:ilvl w:val="0"/>
          <w:numId w:val="15"/>
        </w:numPr>
        <w:spacing w:before="120" w:after="120" w:line="259" w:lineRule="auto"/>
        <w:ind w:left="714" w:hanging="357"/>
        <w:contextualSpacing w:val="0"/>
      </w:pPr>
      <w:r w:rsidRPr="00703A0B">
        <w:lastRenderedPageBreak/>
        <w:t xml:space="preserve">meeting evolving </w:t>
      </w:r>
      <w:r w:rsidR="005774F8" w:rsidRPr="00703A0B">
        <w:t xml:space="preserve">community expectations regarding </w:t>
      </w:r>
      <w:r w:rsidR="00785CFC" w:rsidRPr="00703A0B">
        <w:t>fair</w:t>
      </w:r>
      <w:r w:rsidR="005774F8" w:rsidRPr="00703A0B">
        <w:t>ness, transparency and consistency in decision making</w:t>
      </w:r>
    </w:p>
    <w:p w14:paraId="2AF01AA9" w14:textId="59DA7D64" w:rsidR="0029045D" w:rsidRPr="00703A0B" w:rsidRDefault="005774F8" w:rsidP="003C51D8">
      <w:pPr>
        <w:pStyle w:val="ListParagraph"/>
        <w:numPr>
          <w:ilvl w:val="0"/>
          <w:numId w:val="15"/>
        </w:numPr>
        <w:spacing w:before="120" w:after="120" w:line="259" w:lineRule="auto"/>
        <w:ind w:left="714" w:hanging="357"/>
        <w:contextualSpacing w:val="0"/>
      </w:pPr>
      <w:r w:rsidRPr="00703A0B">
        <w:t xml:space="preserve">balancing </w:t>
      </w:r>
      <w:r w:rsidR="00B661EE" w:rsidRPr="00703A0B">
        <w:t xml:space="preserve">fiscal </w:t>
      </w:r>
      <w:r w:rsidRPr="00703A0B">
        <w:t xml:space="preserve">sustainability with the </w:t>
      </w:r>
      <w:r w:rsidR="0016684E" w:rsidRPr="00703A0B">
        <w:t xml:space="preserve">need to invest in </w:t>
      </w:r>
      <w:r w:rsidR="00532299" w:rsidRPr="00703A0B">
        <w:t xml:space="preserve">long-term </w:t>
      </w:r>
      <w:r w:rsidR="00497CB3" w:rsidRPr="00703A0B">
        <w:t>organi</w:t>
      </w:r>
      <w:r w:rsidR="00E31FDA" w:rsidRPr="00703A0B">
        <w:t>s</w:t>
      </w:r>
      <w:r w:rsidR="00497CB3" w:rsidRPr="00703A0B">
        <w:t>ational c</w:t>
      </w:r>
      <w:r w:rsidR="00E31FDA" w:rsidRPr="00703A0B">
        <w:t>apability</w:t>
      </w:r>
    </w:p>
    <w:p w14:paraId="28A08F78" w14:textId="46C422E8" w:rsidR="002917DD" w:rsidRPr="00703A0B" w:rsidRDefault="002917DD" w:rsidP="003C51D8">
      <w:pPr>
        <w:pStyle w:val="ListParagraph"/>
        <w:numPr>
          <w:ilvl w:val="0"/>
          <w:numId w:val="15"/>
        </w:numPr>
        <w:spacing w:before="120" w:after="120" w:line="259" w:lineRule="auto"/>
        <w:ind w:left="714" w:hanging="357"/>
        <w:contextualSpacing w:val="0"/>
      </w:pPr>
      <w:r w:rsidRPr="00703A0B">
        <w:t>protect</w:t>
      </w:r>
      <w:r w:rsidR="00E31FDA" w:rsidRPr="00703A0B">
        <w:t>ing</w:t>
      </w:r>
      <w:r w:rsidRPr="00703A0B">
        <w:t xml:space="preserve"> digital </w:t>
      </w:r>
      <w:r w:rsidR="00E31FDA" w:rsidRPr="00703A0B">
        <w:t xml:space="preserve">systems, data </w:t>
      </w:r>
      <w:r w:rsidRPr="00703A0B">
        <w:t>and critical information</w:t>
      </w:r>
      <w:r w:rsidR="00AE3694" w:rsidRPr="00703A0B">
        <w:t xml:space="preserve"> assets</w:t>
      </w:r>
      <w:r w:rsidR="00904DBA" w:rsidRPr="00703A0B">
        <w:t xml:space="preserve"> from emerging cyber threats</w:t>
      </w:r>
    </w:p>
    <w:p w14:paraId="1767BD6D" w14:textId="1997394C" w:rsidR="00EE37D6" w:rsidRPr="00703A0B" w:rsidRDefault="00312C10" w:rsidP="003C51D8">
      <w:pPr>
        <w:pStyle w:val="ListParagraph"/>
        <w:numPr>
          <w:ilvl w:val="0"/>
          <w:numId w:val="15"/>
        </w:numPr>
        <w:spacing w:before="120" w:after="120" w:line="259" w:lineRule="auto"/>
        <w:ind w:left="714" w:hanging="357"/>
        <w:contextualSpacing w:val="0"/>
      </w:pPr>
      <w:r w:rsidRPr="00703A0B">
        <w:t>maintain</w:t>
      </w:r>
      <w:r w:rsidR="00695EDD" w:rsidRPr="00703A0B">
        <w:t xml:space="preserve">ing </w:t>
      </w:r>
      <w:r w:rsidRPr="00703A0B">
        <w:t xml:space="preserve">a </w:t>
      </w:r>
      <w:r w:rsidR="00690E02" w:rsidRPr="00703A0B">
        <w:t xml:space="preserve">physically </w:t>
      </w:r>
      <w:r w:rsidR="008865CD" w:rsidRPr="00703A0B">
        <w:t>and</w:t>
      </w:r>
      <w:r w:rsidR="00690E02" w:rsidRPr="00703A0B">
        <w:t xml:space="preserve"> psychologically safe and healthy working environment</w:t>
      </w:r>
      <w:r w:rsidR="008049E8" w:rsidRPr="00703A0B">
        <w:t>.</w:t>
      </w:r>
    </w:p>
    <w:p w14:paraId="638E4BC4" w14:textId="2CD64630" w:rsidR="00A40308" w:rsidRPr="00703A0B" w:rsidRDefault="00A40308" w:rsidP="00A40308">
      <w:pPr>
        <w:spacing w:before="120" w:after="120" w:line="259" w:lineRule="auto"/>
      </w:pPr>
      <w:r w:rsidRPr="00703A0B">
        <w:t>To address these challenges, the QBCC is prioritising the following focus areas:</w:t>
      </w:r>
    </w:p>
    <w:p w14:paraId="681C2B58" w14:textId="4C967E57" w:rsidR="00A40308" w:rsidRPr="00703A0B" w:rsidRDefault="007028BC" w:rsidP="003C51D8">
      <w:pPr>
        <w:pStyle w:val="ListParagraph"/>
        <w:numPr>
          <w:ilvl w:val="0"/>
          <w:numId w:val="15"/>
        </w:numPr>
        <w:spacing w:before="120" w:after="120" w:line="259" w:lineRule="auto"/>
        <w:ind w:left="714" w:hanging="357"/>
        <w:contextualSpacing w:val="0"/>
      </w:pPr>
      <w:r w:rsidRPr="00703A0B">
        <w:rPr>
          <w:b/>
          <w:bCs/>
        </w:rPr>
        <w:t xml:space="preserve">Regulatory and </w:t>
      </w:r>
      <w:r w:rsidR="0028483C" w:rsidRPr="00703A0B">
        <w:rPr>
          <w:b/>
          <w:bCs/>
        </w:rPr>
        <w:t>r</w:t>
      </w:r>
      <w:r w:rsidRPr="00703A0B">
        <w:rPr>
          <w:b/>
          <w:bCs/>
        </w:rPr>
        <w:t xml:space="preserve">eform </w:t>
      </w:r>
      <w:r w:rsidR="0028483C" w:rsidRPr="00703A0B">
        <w:rPr>
          <w:b/>
          <w:bCs/>
        </w:rPr>
        <w:t>l</w:t>
      </w:r>
      <w:r w:rsidRPr="00703A0B">
        <w:rPr>
          <w:b/>
          <w:bCs/>
        </w:rPr>
        <w:t>eadership</w:t>
      </w:r>
      <w:r w:rsidR="00A40308" w:rsidRPr="00703A0B">
        <w:rPr>
          <w:b/>
          <w:bCs/>
        </w:rPr>
        <w:t>:</w:t>
      </w:r>
      <w:r w:rsidR="003E2707" w:rsidRPr="00703A0B">
        <w:t xml:space="preserve"> </w:t>
      </w:r>
      <w:r w:rsidR="001424C2" w:rsidRPr="00703A0B">
        <w:t>P</w:t>
      </w:r>
      <w:r w:rsidR="003E2707" w:rsidRPr="00703A0B">
        <w:t>lay</w:t>
      </w:r>
      <w:r w:rsidR="0014228C" w:rsidRPr="00703A0B">
        <w:t>ing</w:t>
      </w:r>
      <w:r w:rsidR="003E2707" w:rsidRPr="00703A0B">
        <w:t xml:space="preserve"> a leadership role in enabling construction productivity by providing clear insights and guidance to policymakers and industry.</w:t>
      </w:r>
    </w:p>
    <w:p w14:paraId="103D7B18" w14:textId="0436C2D4" w:rsidR="003E2707" w:rsidRPr="00703A0B" w:rsidRDefault="001424C2" w:rsidP="003C51D8">
      <w:pPr>
        <w:pStyle w:val="ListParagraph"/>
        <w:numPr>
          <w:ilvl w:val="0"/>
          <w:numId w:val="15"/>
        </w:numPr>
        <w:spacing w:before="120" w:after="120" w:line="259" w:lineRule="auto"/>
        <w:ind w:left="714" w:hanging="357"/>
        <w:contextualSpacing w:val="0"/>
      </w:pPr>
      <w:r w:rsidRPr="00703A0B">
        <w:rPr>
          <w:b/>
          <w:bCs/>
        </w:rPr>
        <w:t xml:space="preserve">Clarity of </w:t>
      </w:r>
      <w:r w:rsidR="0028483C" w:rsidRPr="00703A0B">
        <w:rPr>
          <w:b/>
          <w:bCs/>
        </w:rPr>
        <w:t>c</w:t>
      </w:r>
      <w:r w:rsidRPr="00703A0B">
        <w:rPr>
          <w:b/>
          <w:bCs/>
        </w:rPr>
        <w:t xml:space="preserve">onsumer </w:t>
      </w:r>
      <w:r w:rsidR="0028483C" w:rsidRPr="00703A0B">
        <w:rPr>
          <w:b/>
          <w:bCs/>
        </w:rPr>
        <w:t>e</w:t>
      </w:r>
      <w:r w:rsidRPr="00703A0B">
        <w:rPr>
          <w:b/>
          <w:bCs/>
        </w:rPr>
        <w:t>ngagement:</w:t>
      </w:r>
      <w:r w:rsidRPr="00703A0B">
        <w:t xml:space="preserve"> Be</w:t>
      </w:r>
      <w:r w:rsidR="00E56875" w:rsidRPr="00703A0B">
        <w:t>ing</w:t>
      </w:r>
      <w:r w:rsidRPr="00703A0B">
        <w:t xml:space="preserve"> the trusted voice in dispute resolution through transparent processes, proactive engagement, early intervention and vigilance over areas of potential consumer harm.</w:t>
      </w:r>
    </w:p>
    <w:p w14:paraId="70AC74CC" w14:textId="0459306C" w:rsidR="00365DC3" w:rsidRPr="00703A0B" w:rsidRDefault="00365DC3" w:rsidP="003C51D8">
      <w:pPr>
        <w:pStyle w:val="ListParagraph"/>
        <w:numPr>
          <w:ilvl w:val="0"/>
          <w:numId w:val="15"/>
        </w:numPr>
        <w:spacing w:before="120" w:after="120" w:line="259" w:lineRule="auto"/>
        <w:ind w:left="714" w:hanging="357"/>
        <w:contextualSpacing w:val="0"/>
      </w:pPr>
      <w:r w:rsidRPr="00703A0B">
        <w:rPr>
          <w:b/>
          <w:bCs/>
        </w:rPr>
        <w:t>Reform posture and intelligence:</w:t>
      </w:r>
      <w:r w:rsidRPr="00703A0B">
        <w:t xml:space="preserve"> Leverag</w:t>
      </w:r>
      <w:r w:rsidR="002B286E" w:rsidRPr="00703A0B">
        <w:t>ing</w:t>
      </w:r>
      <w:r w:rsidRPr="00703A0B">
        <w:t xml:space="preserve"> enhanced digital capabilities and </w:t>
      </w:r>
      <w:r w:rsidR="003D79F9" w:rsidRPr="00703A0B">
        <w:t>adopting</w:t>
      </w:r>
      <w:r w:rsidRPr="00703A0B">
        <w:t xml:space="preserve"> a risk</w:t>
      </w:r>
      <w:r w:rsidR="00020E84" w:rsidRPr="00703A0B">
        <w:t>- and</w:t>
      </w:r>
      <w:r w:rsidRPr="00703A0B">
        <w:t xml:space="preserve"> intelligence-led </w:t>
      </w:r>
      <w:r w:rsidR="003D79F9" w:rsidRPr="00703A0B">
        <w:t>approach</w:t>
      </w:r>
      <w:r w:rsidRPr="00703A0B">
        <w:t>.</w:t>
      </w:r>
    </w:p>
    <w:p w14:paraId="14974AD1" w14:textId="170B29FB" w:rsidR="00120A64" w:rsidRPr="00703A0B" w:rsidRDefault="00120A64" w:rsidP="003C51D8">
      <w:pPr>
        <w:pStyle w:val="ListParagraph"/>
        <w:numPr>
          <w:ilvl w:val="0"/>
          <w:numId w:val="15"/>
        </w:numPr>
        <w:spacing w:before="120" w:after="120" w:line="259" w:lineRule="auto"/>
        <w:ind w:left="714" w:hanging="357"/>
        <w:contextualSpacing w:val="0"/>
      </w:pPr>
      <w:r w:rsidRPr="00703A0B">
        <w:rPr>
          <w:b/>
          <w:bCs/>
        </w:rPr>
        <w:t xml:space="preserve">Workforce </w:t>
      </w:r>
      <w:r w:rsidR="0028483C" w:rsidRPr="00703A0B">
        <w:rPr>
          <w:b/>
          <w:bCs/>
        </w:rPr>
        <w:t>c</w:t>
      </w:r>
      <w:r w:rsidRPr="00703A0B">
        <w:rPr>
          <w:b/>
          <w:bCs/>
        </w:rPr>
        <w:t xml:space="preserve">apacity and </w:t>
      </w:r>
      <w:r w:rsidR="0028483C" w:rsidRPr="00703A0B">
        <w:rPr>
          <w:b/>
          <w:bCs/>
        </w:rPr>
        <w:t>c</w:t>
      </w:r>
      <w:r w:rsidRPr="00703A0B">
        <w:rPr>
          <w:b/>
          <w:bCs/>
        </w:rPr>
        <w:t>ulture:</w:t>
      </w:r>
      <w:r w:rsidRPr="00703A0B">
        <w:t xml:space="preserve"> </w:t>
      </w:r>
      <w:r w:rsidR="0028483C" w:rsidRPr="00703A0B">
        <w:t xml:space="preserve">Strengthening </w:t>
      </w:r>
      <w:r w:rsidRPr="00703A0B">
        <w:t xml:space="preserve">workforce </w:t>
      </w:r>
      <w:r w:rsidR="00DC0FAF" w:rsidRPr="00703A0B">
        <w:t>capability</w:t>
      </w:r>
      <w:r w:rsidRPr="00703A0B">
        <w:t>, leadership at all levels</w:t>
      </w:r>
      <w:r w:rsidR="00226274" w:rsidRPr="00703A0B">
        <w:t xml:space="preserve"> </w:t>
      </w:r>
      <w:r w:rsidRPr="00703A0B">
        <w:t>and</w:t>
      </w:r>
      <w:r w:rsidR="00226274" w:rsidRPr="00703A0B">
        <w:t xml:space="preserve"> </w:t>
      </w:r>
      <w:r w:rsidRPr="00703A0B">
        <w:t>culture and wellbeing.</w:t>
      </w:r>
    </w:p>
    <w:p w14:paraId="1777BF08" w14:textId="0F5597FF" w:rsidR="00F029B9" w:rsidRPr="00703A0B" w:rsidRDefault="00A40308" w:rsidP="008B0BC6">
      <w:pPr>
        <w:spacing w:before="120" w:after="120" w:line="259" w:lineRule="auto"/>
      </w:pPr>
      <w:r w:rsidRPr="00703A0B">
        <w:t xml:space="preserve">Looking </w:t>
      </w:r>
      <w:r w:rsidR="00226274" w:rsidRPr="00703A0B">
        <w:t>ahead</w:t>
      </w:r>
      <w:r w:rsidRPr="00703A0B">
        <w:t xml:space="preserve">, the QBCC will continue to </w:t>
      </w:r>
      <w:r w:rsidR="006232AD" w:rsidRPr="00703A0B">
        <w:t>adapt</w:t>
      </w:r>
      <w:r w:rsidR="00226274" w:rsidRPr="00703A0B">
        <w:t xml:space="preserve"> </w:t>
      </w:r>
      <w:r w:rsidRPr="00703A0B">
        <w:t>its operations and service delivery to keep pace with reform priorities,</w:t>
      </w:r>
      <w:r w:rsidR="00F91BE6" w:rsidRPr="00703A0B">
        <w:t xml:space="preserve"> </w:t>
      </w:r>
      <w:r w:rsidR="0001393D" w:rsidRPr="00703A0B">
        <w:t xml:space="preserve">while </w:t>
      </w:r>
      <w:r w:rsidR="00F91BE6" w:rsidRPr="00703A0B">
        <w:t>driv</w:t>
      </w:r>
      <w:r w:rsidR="0001393D" w:rsidRPr="00703A0B">
        <w:t>ing</w:t>
      </w:r>
      <w:r w:rsidR="00F91BE6" w:rsidRPr="00703A0B">
        <w:t xml:space="preserve"> efficiency</w:t>
      </w:r>
      <w:r w:rsidR="0001393D" w:rsidRPr="00703A0B">
        <w:t xml:space="preserve">, </w:t>
      </w:r>
      <w:r w:rsidR="00F91BE6" w:rsidRPr="00703A0B">
        <w:t>productivity</w:t>
      </w:r>
      <w:r w:rsidR="0001393D" w:rsidRPr="00703A0B">
        <w:t xml:space="preserve"> and improved</w:t>
      </w:r>
      <w:r w:rsidR="00A80C1D" w:rsidRPr="00703A0B">
        <w:t xml:space="preserve"> </w:t>
      </w:r>
      <w:r w:rsidR="00A762EF" w:rsidRPr="00703A0B">
        <w:t xml:space="preserve">customer and industry </w:t>
      </w:r>
      <w:r w:rsidR="0042108A" w:rsidRPr="00703A0B">
        <w:t>outcomes</w:t>
      </w:r>
      <w:r w:rsidRPr="00703A0B">
        <w:t>. Through proactive regulatory activities, the QBCC remains committed to supporting a building and construction industry that is future ready, responsive to change and trusted by the Queensland community.</w:t>
      </w:r>
      <w:bookmarkStart w:id="27" w:name="_Reach_across_Queensland"/>
      <w:bookmarkEnd w:id="27"/>
      <w:r w:rsidR="00F029B9" w:rsidRPr="00703A0B">
        <w:br w:type="page"/>
      </w:r>
    </w:p>
    <w:p w14:paraId="54A900BA" w14:textId="7C589A9F" w:rsidR="003F0706" w:rsidRPr="00703A0B" w:rsidRDefault="007E0DCE" w:rsidP="003069C5">
      <w:pPr>
        <w:pStyle w:val="Heading1"/>
        <w:rPr>
          <w:rFonts w:cs="Arial"/>
        </w:rPr>
      </w:pPr>
      <w:bookmarkStart w:id="28" w:name="_Reach_across_Queensland_1"/>
      <w:bookmarkStart w:id="29" w:name="_Key_statistics"/>
      <w:bookmarkStart w:id="30" w:name="_Toc238101675"/>
      <w:bookmarkEnd w:id="28"/>
      <w:bookmarkEnd w:id="29"/>
      <w:r w:rsidRPr="00703A0B">
        <w:rPr>
          <w:rFonts w:cs="Arial"/>
        </w:rPr>
        <w:lastRenderedPageBreak/>
        <w:t xml:space="preserve">Operational </w:t>
      </w:r>
      <w:r w:rsidR="000A2541" w:rsidRPr="00703A0B">
        <w:rPr>
          <w:rFonts w:cs="Arial"/>
        </w:rPr>
        <w:t>perfo</w:t>
      </w:r>
      <w:r w:rsidR="00670477" w:rsidRPr="00703A0B">
        <w:rPr>
          <w:rFonts w:cs="Arial"/>
        </w:rPr>
        <w:t>r</w:t>
      </w:r>
      <w:r w:rsidR="000A2541" w:rsidRPr="00703A0B">
        <w:rPr>
          <w:rFonts w:cs="Arial"/>
        </w:rPr>
        <w:t>mance</w:t>
      </w:r>
      <w:bookmarkEnd w:id="30"/>
    </w:p>
    <w:p w14:paraId="76803ABB" w14:textId="435DE82D" w:rsidR="007C4773" w:rsidRPr="00703A0B" w:rsidRDefault="00C71E55" w:rsidP="00C71E55">
      <w:pPr>
        <w:spacing w:before="120" w:after="120" w:line="259" w:lineRule="auto"/>
      </w:pPr>
      <w:r w:rsidRPr="00703A0B">
        <w:t xml:space="preserve">Throughout 2025–26, </w:t>
      </w:r>
      <w:r w:rsidR="00950465" w:rsidRPr="00703A0B">
        <w:t xml:space="preserve">the </w:t>
      </w:r>
      <w:r w:rsidRPr="00703A0B">
        <w:t xml:space="preserve">QBCC continued to strengthen its operational performance </w:t>
      </w:r>
      <w:r w:rsidR="00971D11" w:rsidRPr="00703A0B">
        <w:t xml:space="preserve">through a range of </w:t>
      </w:r>
      <w:r w:rsidRPr="00703A0B">
        <w:t xml:space="preserve">targeted improvements that enhanced efficiency, </w:t>
      </w:r>
      <w:r w:rsidR="00D469A6" w:rsidRPr="00703A0B">
        <w:t xml:space="preserve">customer </w:t>
      </w:r>
      <w:r w:rsidRPr="00703A0B">
        <w:t xml:space="preserve">service and regulatory </w:t>
      </w:r>
      <w:r w:rsidR="00D469A6" w:rsidRPr="00703A0B">
        <w:t>effectiveness</w:t>
      </w:r>
      <w:r w:rsidRPr="00703A0B">
        <w:t>.</w:t>
      </w:r>
      <w:r w:rsidR="00385690" w:rsidRPr="00703A0B">
        <w:t xml:space="preserve"> </w:t>
      </w:r>
      <w:r w:rsidR="00D469A6" w:rsidRPr="00703A0B">
        <w:t>Key</w:t>
      </w:r>
      <w:r w:rsidRPr="00703A0B">
        <w:t xml:space="preserve"> </w:t>
      </w:r>
      <w:r w:rsidR="00DF60B8" w:rsidRPr="00703A0B">
        <w:t xml:space="preserve">projects </w:t>
      </w:r>
      <w:r w:rsidR="006B0B08" w:rsidRPr="00703A0B">
        <w:t xml:space="preserve">delivered </w:t>
      </w:r>
      <w:r w:rsidR="00D469A6" w:rsidRPr="00703A0B">
        <w:t xml:space="preserve">during </w:t>
      </w:r>
      <w:r w:rsidR="00DF60B8" w:rsidRPr="00703A0B">
        <w:t>the reporting period</w:t>
      </w:r>
      <w:r w:rsidR="00CB2633" w:rsidRPr="00703A0B">
        <w:t xml:space="preserve"> </w:t>
      </w:r>
      <w:r w:rsidR="00E615BE" w:rsidRPr="00703A0B">
        <w:t>streamlined business processes</w:t>
      </w:r>
      <w:r w:rsidR="0079716F" w:rsidRPr="00703A0B">
        <w:t xml:space="preserve">, strengthened </w:t>
      </w:r>
      <w:r w:rsidR="00126097" w:rsidRPr="00703A0B">
        <w:t>service delivery</w:t>
      </w:r>
      <w:r w:rsidR="005901D9" w:rsidRPr="00703A0B">
        <w:t xml:space="preserve"> and generated </w:t>
      </w:r>
      <w:r w:rsidR="00126097" w:rsidRPr="00703A0B">
        <w:t xml:space="preserve">productivity gains equivalent to approximately eight </w:t>
      </w:r>
      <w:r w:rsidR="009B7519" w:rsidRPr="00703A0B">
        <w:t>full-time equivalent (FTE) positions. These projects</w:t>
      </w:r>
      <w:r w:rsidRPr="00703A0B">
        <w:t xml:space="preserve"> </w:t>
      </w:r>
      <w:r w:rsidR="006B0B08" w:rsidRPr="00703A0B">
        <w:t>include</w:t>
      </w:r>
      <w:r w:rsidR="00D469A6" w:rsidRPr="00703A0B">
        <w:t>d</w:t>
      </w:r>
      <w:r w:rsidR="007C4773" w:rsidRPr="00703A0B">
        <w:t>:</w:t>
      </w:r>
    </w:p>
    <w:p w14:paraId="083CB3C9" w14:textId="079AF256" w:rsidR="0040535D" w:rsidRPr="00703A0B" w:rsidRDefault="002211DA" w:rsidP="00A836CF">
      <w:pPr>
        <w:pStyle w:val="ListParagraph"/>
        <w:numPr>
          <w:ilvl w:val="0"/>
          <w:numId w:val="64"/>
        </w:numPr>
        <w:spacing w:before="120" w:after="120"/>
        <w:ind w:left="714" w:hanging="357"/>
        <w:contextualSpacing w:val="0"/>
      </w:pPr>
      <w:r w:rsidRPr="00703A0B">
        <w:rPr>
          <w:b/>
        </w:rPr>
        <w:t>Building Reg Reno</w:t>
      </w:r>
      <w:r w:rsidR="00940AB9" w:rsidRPr="00703A0B">
        <w:rPr>
          <w:b/>
          <w:bCs/>
        </w:rPr>
        <w:t xml:space="preserve"> (</w:t>
      </w:r>
      <w:r w:rsidR="00C30121" w:rsidRPr="00703A0B">
        <w:rPr>
          <w:b/>
          <w:bCs/>
        </w:rPr>
        <w:t>T</w:t>
      </w:r>
      <w:r w:rsidR="00940AB9" w:rsidRPr="00703A0B">
        <w:rPr>
          <w:b/>
          <w:bCs/>
        </w:rPr>
        <w:t>ranche 3)</w:t>
      </w:r>
      <w:r w:rsidR="007C4773" w:rsidRPr="00703A0B">
        <w:t>:</w:t>
      </w:r>
      <w:r w:rsidRPr="00703A0B">
        <w:t xml:space="preserve"> Delivered system and process improvements </w:t>
      </w:r>
      <w:r w:rsidR="00F44C22" w:rsidRPr="00703A0B">
        <w:t xml:space="preserve">that </w:t>
      </w:r>
      <w:r w:rsidRPr="00703A0B">
        <w:t>streamline</w:t>
      </w:r>
      <w:r w:rsidR="00F44C22" w:rsidRPr="00703A0B">
        <w:t>d</w:t>
      </w:r>
      <w:r w:rsidRPr="00703A0B">
        <w:t xml:space="preserve"> regulatory workflows</w:t>
      </w:r>
      <w:r w:rsidR="00F44C22" w:rsidRPr="00703A0B">
        <w:t>, improved operational efficiency</w:t>
      </w:r>
      <w:r w:rsidRPr="00703A0B">
        <w:t xml:space="preserve"> and reduce</w:t>
      </w:r>
      <w:r w:rsidR="00F44C22" w:rsidRPr="00703A0B">
        <w:t>d</w:t>
      </w:r>
      <w:r w:rsidRPr="00703A0B">
        <w:t xml:space="preserve"> processing time</w:t>
      </w:r>
      <w:r w:rsidR="00F44C22" w:rsidRPr="00703A0B">
        <w:t>frames</w:t>
      </w:r>
      <w:r w:rsidRPr="00703A0B">
        <w:t>.</w:t>
      </w:r>
    </w:p>
    <w:p w14:paraId="70ED6DF3" w14:textId="0AB7EDE9" w:rsidR="0073289B" w:rsidRPr="00703A0B" w:rsidRDefault="009E3CCC" w:rsidP="00A836CF">
      <w:pPr>
        <w:pStyle w:val="ListParagraph"/>
        <w:numPr>
          <w:ilvl w:val="0"/>
          <w:numId w:val="64"/>
        </w:numPr>
        <w:spacing w:before="120" w:after="120"/>
        <w:ind w:left="714" w:hanging="357"/>
        <w:contextualSpacing w:val="0"/>
      </w:pPr>
      <w:r w:rsidRPr="00703A0B">
        <w:rPr>
          <w:b/>
        </w:rPr>
        <w:t>Licensing Process Improvement</w:t>
      </w:r>
      <w:r w:rsidR="004B0EDB" w:rsidRPr="00703A0B">
        <w:rPr>
          <w:b/>
        </w:rPr>
        <w:t>s</w:t>
      </w:r>
      <w:r w:rsidRPr="00703A0B">
        <w:rPr>
          <w:b/>
        </w:rPr>
        <w:t xml:space="preserve">: </w:t>
      </w:r>
      <w:r w:rsidR="00DC030F" w:rsidRPr="00703A0B">
        <w:t xml:space="preserve">Refined the </w:t>
      </w:r>
      <w:r w:rsidRPr="00703A0B">
        <w:t xml:space="preserve">licence application process </w:t>
      </w:r>
      <w:r w:rsidR="00883F08" w:rsidRPr="00703A0B">
        <w:rPr>
          <w:bCs/>
        </w:rPr>
        <w:t>through the introduction of</w:t>
      </w:r>
      <w:r w:rsidR="00883F08" w:rsidRPr="00703A0B">
        <w:t xml:space="preserve"> </w:t>
      </w:r>
      <w:r w:rsidRPr="00703A0B">
        <w:t xml:space="preserve">rapid triage, </w:t>
      </w:r>
      <w:r w:rsidRPr="00703A0B">
        <w:rPr>
          <w:bCs/>
        </w:rPr>
        <w:t>strengthen</w:t>
      </w:r>
      <w:r w:rsidR="00506B54" w:rsidRPr="00703A0B">
        <w:rPr>
          <w:bCs/>
        </w:rPr>
        <w:t>ed</w:t>
      </w:r>
      <w:r w:rsidRPr="00703A0B">
        <w:t xml:space="preserve"> service standards and </w:t>
      </w:r>
      <w:r w:rsidR="00506B54" w:rsidRPr="00703A0B">
        <w:rPr>
          <w:bCs/>
        </w:rPr>
        <w:t xml:space="preserve">stakeholder </w:t>
      </w:r>
      <w:r w:rsidRPr="00703A0B">
        <w:t>communication, and enhanc</w:t>
      </w:r>
      <w:r w:rsidR="00C65AB3" w:rsidRPr="00703A0B">
        <w:rPr>
          <w:bCs/>
        </w:rPr>
        <w:t xml:space="preserve">ed </w:t>
      </w:r>
      <w:r w:rsidRPr="00703A0B">
        <w:t>risk-based decision</w:t>
      </w:r>
      <w:r w:rsidR="00C30121" w:rsidRPr="00703A0B">
        <w:rPr>
          <w:bCs/>
        </w:rPr>
        <w:t xml:space="preserve"> </w:t>
      </w:r>
      <w:r w:rsidRPr="00703A0B">
        <w:t>making and quality assurance</w:t>
      </w:r>
      <w:r w:rsidR="00C65AB3" w:rsidRPr="00703A0B">
        <w:rPr>
          <w:bCs/>
        </w:rPr>
        <w:t xml:space="preserve"> practices</w:t>
      </w:r>
      <w:r w:rsidRPr="00703A0B">
        <w:t>.</w:t>
      </w:r>
      <w:r w:rsidR="00912139" w:rsidRPr="00703A0B">
        <w:rPr>
          <w:bCs/>
        </w:rPr>
        <w:t xml:space="preserve"> </w:t>
      </w:r>
      <w:r w:rsidR="0024196D" w:rsidRPr="00703A0B">
        <w:rPr>
          <w:bCs/>
        </w:rPr>
        <w:t xml:space="preserve">These </w:t>
      </w:r>
      <w:r w:rsidR="00921919" w:rsidRPr="00703A0B">
        <w:rPr>
          <w:bCs/>
        </w:rPr>
        <w:t xml:space="preserve">changes </w:t>
      </w:r>
      <w:r w:rsidR="0024196D" w:rsidRPr="00703A0B">
        <w:rPr>
          <w:bCs/>
        </w:rPr>
        <w:t>improve</w:t>
      </w:r>
      <w:r w:rsidR="00921919" w:rsidRPr="00703A0B">
        <w:rPr>
          <w:bCs/>
        </w:rPr>
        <w:t xml:space="preserve">d the </w:t>
      </w:r>
      <w:r w:rsidR="00912139" w:rsidRPr="00703A0B">
        <w:rPr>
          <w:bCs/>
        </w:rPr>
        <w:t>timel</w:t>
      </w:r>
      <w:r w:rsidR="00921919" w:rsidRPr="00703A0B">
        <w:rPr>
          <w:bCs/>
        </w:rPr>
        <w:t>iness</w:t>
      </w:r>
      <w:r w:rsidR="0019085B" w:rsidRPr="00703A0B">
        <w:rPr>
          <w:bCs/>
        </w:rPr>
        <w:t>, c</w:t>
      </w:r>
      <w:r w:rsidR="00912139" w:rsidRPr="00703A0B">
        <w:rPr>
          <w:bCs/>
        </w:rPr>
        <w:t>onsist</w:t>
      </w:r>
      <w:r w:rsidR="0019085B" w:rsidRPr="00703A0B">
        <w:rPr>
          <w:bCs/>
        </w:rPr>
        <w:t>ency</w:t>
      </w:r>
      <w:r w:rsidR="00775866" w:rsidRPr="00703A0B">
        <w:rPr>
          <w:bCs/>
        </w:rPr>
        <w:t xml:space="preserve"> </w:t>
      </w:r>
      <w:r w:rsidR="00912139" w:rsidRPr="00703A0B">
        <w:rPr>
          <w:bCs/>
        </w:rPr>
        <w:t xml:space="preserve">and </w:t>
      </w:r>
      <w:r w:rsidR="0019085B" w:rsidRPr="00703A0B">
        <w:rPr>
          <w:bCs/>
        </w:rPr>
        <w:t>quality of</w:t>
      </w:r>
      <w:r w:rsidR="00A2386C" w:rsidRPr="00703A0B">
        <w:rPr>
          <w:bCs/>
        </w:rPr>
        <w:t xml:space="preserve"> </w:t>
      </w:r>
      <w:r w:rsidR="00912139" w:rsidRPr="00703A0B">
        <w:rPr>
          <w:bCs/>
        </w:rPr>
        <w:t>licensing</w:t>
      </w:r>
      <w:r w:rsidR="00921919" w:rsidRPr="00703A0B">
        <w:rPr>
          <w:bCs/>
        </w:rPr>
        <w:t xml:space="preserve"> outcomes</w:t>
      </w:r>
      <w:r w:rsidR="00912139" w:rsidRPr="00703A0B">
        <w:rPr>
          <w:bCs/>
        </w:rPr>
        <w:t>.</w:t>
      </w:r>
    </w:p>
    <w:p w14:paraId="7EC66EB7" w14:textId="2EC3CEE0" w:rsidR="00F66491" w:rsidRPr="00703A0B" w:rsidRDefault="00EA09C1" w:rsidP="00A72463">
      <w:pPr>
        <w:pStyle w:val="ListParagraph"/>
        <w:numPr>
          <w:ilvl w:val="0"/>
          <w:numId w:val="64"/>
        </w:numPr>
        <w:spacing w:before="120" w:after="120"/>
        <w:contextualSpacing w:val="0"/>
      </w:pPr>
      <w:r w:rsidRPr="00703A0B">
        <w:rPr>
          <w:b/>
          <w:bCs/>
        </w:rPr>
        <w:t xml:space="preserve">Optimising Automation and Staff Initiatives for Solutions </w:t>
      </w:r>
      <w:r w:rsidR="00FE51D6" w:rsidRPr="00703A0B">
        <w:rPr>
          <w:b/>
          <w:bCs/>
        </w:rPr>
        <w:t>for Resolution Services</w:t>
      </w:r>
      <w:r w:rsidR="002862AF" w:rsidRPr="00703A0B">
        <w:rPr>
          <w:b/>
          <w:bCs/>
        </w:rPr>
        <w:t>:</w:t>
      </w:r>
      <w:r w:rsidR="002862AF" w:rsidRPr="00703A0B">
        <w:t xml:space="preserve"> </w:t>
      </w:r>
      <w:r w:rsidR="00AA10C1" w:rsidRPr="00703A0B">
        <w:t xml:space="preserve">Improved </w:t>
      </w:r>
      <w:r w:rsidR="00CE2B08" w:rsidRPr="00703A0B">
        <w:t xml:space="preserve">online </w:t>
      </w:r>
      <w:r w:rsidR="00196A60" w:rsidRPr="00703A0B">
        <w:t>dispute</w:t>
      </w:r>
      <w:r w:rsidR="00DB026C" w:rsidRPr="00703A0B">
        <w:t xml:space="preserve"> resolution</w:t>
      </w:r>
      <w:r w:rsidR="005B745A" w:rsidRPr="00703A0B">
        <w:t xml:space="preserve"> </w:t>
      </w:r>
      <w:r w:rsidR="00A7538B" w:rsidRPr="00703A0B">
        <w:t>submi</w:t>
      </w:r>
      <w:r w:rsidR="00467FC7" w:rsidRPr="00703A0B">
        <w:t xml:space="preserve">ssion processes, </w:t>
      </w:r>
      <w:r w:rsidR="009E0BE2" w:rsidRPr="00703A0B">
        <w:t>resul</w:t>
      </w:r>
      <w:r w:rsidR="00467FC7" w:rsidRPr="00703A0B">
        <w:t xml:space="preserve">ting </w:t>
      </w:r>
      <w:r w:rsidR="009E0BE2" w:rsidRPr="00703A0B">
        <w:t xml:space="preserve">in </w:t>
      </w:r>
      <w:r w:rsidR="00196A60" w:rsidRPr="00703A0B">
        <w:t xml:space="preserve">90 per cent of </w:t>
      </w:r>
      <w:r w:rsidR="00EA686D" w:rsidRPr="00703A0B">
        <w:t xml:space="preserve">applications </w:t>
      </w:r>
      <w:r w:rsidR="00196A60" w:rsidRPr="00703A0B">
        <w:t>me</w:t>
      </w:r>
      <w:r w:rsidR="009E0BE2" w:rsidRPr="00703A0B">
        <w:t>e</w:t>
      </w:r>
      <w:r w:rsidR="00196A60" w:rsidRPr="00703A0B">
        <w:t>t</w:t>
      </w:r>
      <w:r w:rsidR="009E0BE2" w:rsidRPr="00703A0B">
        <w:t>ing</w:t>
      </w:r>
      <w:r w:rsidR="00196A60" w:rsidRPr="00703A0B">
        <w:t xml:space="preserve"> quality standards at submission</w:t>
      </w:r>
      <w:r w:rsidR="00EA686D" w:rsidRPr="00703A0B">
        <w:t xml:space="preserve">. </w:t>
      </w:r>
      <w:r w:rsidR="00F62F29" w:rsidRPr="00703A0B">
        <w:t xml:space="preserve">The improved quality </w:t>
      </w:r>
      <w:r w:rsidR="000D22E1" w:rsidRPr="00703A0B">
        <w:t>and completeness</w:t>
      </w:r>
      <w:r w:rsidR="00F62F29" w:rsidRPr="00703A0B">
        <w:t xml:space="preserve"> of applications</w:t>
      </w:r>
      <w:r w:rsidR="00EA686D" w:rsidRPr="00703A0B">
        <w:t xml:space="preserve"> </w:t>
      </w:r>
      <w:r w:rsidR="00C25C0E" w:rsidRPr="00703A0B">
        <w:t>ha</w:t>
      </w:r>
      <w:r w:rsidR="0071261D" w:rsidRPr="00703A0B">
        <w:t>ve</w:t>
      </w:r>
      <w:r w:rsidR="00C25C0E" w:rsidRPr="00703A0B">
        <w:t xml:space="preserve"> </w:t>
      </w:r>
      <w:r w:rsidR="00196A60" w:rsidRPr="00703A0B">
        <w:t>reduc</w:t>
      </w:r>
      <w:r w:rsidR="00C25C0E" w:rsidRPr="00703A0B">
        <w:t>ed</w:t>
      </w:r>
      <w:r w:rsidR="00196A60" w:rsidRPr="00703A0B">
        <w:t xml:space="preserve"> rework, </w:t>
      </w:r>
      <w:r w:rsidR="005D30F8" w:rsidRPr="00703A0B">
        <w:t>increased</w:t>
      </w:r>
      <w:r w:rsidR="00196A60" w:rsidRPr="00703A0B">
        <w:t xml:space="preserve"> assessment efficiency</w:t>
      </w:r>
      <w:r w:rsidR="009E0BE2" w:rsidRPr="00703A0B">
        <w:t xml:space="preserve"> </w:t>
      </w:r>
      <w:r w:rsidR="00196A60" w:rsidRPr="00703A0B">
        <w:t xml:space="preserve">and </w:t>
      </w:r>
      <w:r w:rsidR="005D30F8" w:rsidRPr="00703A0B">
        <w:t>accelerated</w:t>
      </w:r>
      <w:r w:rsidR="00196A60" w:rsidRPr="00703A0B">
        <w:t xml:space="preserve"> dispute resolution outcomes for customers.</w:t>
      </w:r>
    </w:p>
    <w:p w14:paraId="474286F6" w14:textId="6623998C" w:rsidR="00CA55B4" w:rsidRPr="00703A0B" w:rsidRDefault="00CA55B4" w:rsidP="00A72463">
      <w:pPr>
        <w:pStyle w:val="ListParagraph"/>
        <w:numPr>
          <w:ilvl w:val="0"/>
          <w:numId w:val="64"/>
        </w:numPr>
        <w:spacing w:before="120" w:after="120"/>
        <w:contextualSpacing w:val="0"/>
      </w:pPr>
      <w:r w:rsidRPr="00703A0B">
        <w:rPr>
          <w:b/>
        </w:rPr>
        <w:t>Defective Work Guidelines:</w:t>
      </w:r>
      <w:r w:rsidRPr="00703A0B">
        <w:t xml:space="preserve"> Introduced to provide greater clarity and consistency in the management of defective work matters. The guidelines strengthen licensee accountability, support informed decision making and contribute to improved customer outcomes and greater confidence in Queensland’s building and construction industry.</w:t>
      </w:r>
    </w:p>
    <w:p w14:paraId="7D669299" w14:textId="4C241FB1" w:rsidR="009548A2" w:rsidRPr="00703A0B" w:rsidRDefault="002C590C" w:rsidP="00A836CF">
      <w:pPr>
        <w:numPr>
          <w:ilvl w:val="0"/>
          <w:numId w:val="53"/>
        </w:numPr>
        <w:spacing w:before="120" w:after="120"/>
        <w:rPr>
          <w:rFonts w:cs="Arial"/>
        </w:rPr>
      </w:pPr>
      <w:r w:rsidRPr="00703A0B">
        <w:rPr>
          <w:b/>
        </w:rPr>
        <w:t>Quick Win Initiative</w:t>
      </w:r>
      <w:r w:rsidR="00DB566B" w:rsidRPr="00703A0B">
        <w:rPr>
          <w:b/>
        </w:rPr>
        <w:t>s</w:t>
      </w:r>
      <w:r w:rsidRPr="00703A0B">
        <w:rPr>
          <w:b/>
        </w:rPr>
        <w:t xml:space="preserve"> Kaizen (</w:t>
      </w:r>
      <w:r w:rsidR="003E4C95" w:rsidRPr="00703A0B">
        <w:rPr>
          <w:b/>
        </w:rPr>
        <w:t>QWIK</w:t>
      </w:r>
      <w:r w:rsidR="003A3987" w:rsidRPr="00703A0B">
        <w:rPr>
          <w:b/>
        </w:rPr>
        <w:t>)</w:t>
      </w:r>
      <w:r w:rsidR="003E4C95" w:rsidRPr="00703A0B">
        <w:t xml:space="preserve">: </w:t>
      </w:r>
      <w:r w:rsidR="00303390" w:rsidRPr="00703A0B">
        <w:t xml:space="preserve">Established a staff-led continuous improvement </w:t>
      </w:r>
      <w:r w:rsidR="00CF1D35" w:rsidRPr="00703A0B">
        <w:t xml:space="preserve">program that </w:t>
      </w:r>
      <w:r w:rsidR="005C04B2" w:rsidRPr="00703A0B">
        <w:t xml:space="preserve">empowers employees to </w:t>
      </w:r>
      <w:r w:rsidR="003E4C95" w:rsidRPr="00703A0B">
        <w:rPr>
          <w:rFonts w:cs="Arial"/>
        </w:rPr>
        <w:t xml:space="preserve">identify and implement practical </w:t>
      </w:r>
      <w:r w:rsidR="00693753" w:rsidRPr="00703A0B">
        <w:rPr>
          <w:rFonts w:cs="Arial"/>
        </w:rPr>
        <w:t xml:space="preserve">low-complexity </w:t>
      </w:r>
      <w:r w:rsidR="003E4C95" w:rsidRPr="00703A0B">
        <w:rPr>
          <w:rFonts w:cs="Arial"/>
        </w:rPr>
        <w:t>improvements that re</w:t>
      </w:r>
      <w:r w:rsidR="00491904" w:rsidRPr="00703A0B">
        <w:rPr>
          <w:rFonts w:cs="Arial"/>
        </w:rPr>
        <w:t>duce administrative effort</w:t>
      </w:r>
      <w:r w:rsidR="003E4C95" w:rsidRPr="00703A0B">
        <w:rPr>
          <w:rFonts w:cs="Arial"/>
        </w:rPr>
        <w:t xml:space="preserve">, </w:t>
      </w:r>
      <w:r w:rsidR="00491904" w:rsidRPr="00703A0B">
        <w:rPr>
          <w:rFonts w:cs="Arial"/>
        </w:rPr>
        <w:t>eliminate</w:t>
      </w:r>
      <w:r w:rsidR="003E4C95" w:rsidRPr="00703A0B">
        <w:rPr>
          <w:rFonts w:cs="Arial"/>
        </w:rPr>
        <w:t xml:space="preserve"> </w:t>
      </w:r>
      <w:r w:rsidR="00657D56" w:rsidRPr="00703A0B">
        <w:rPr>
          <w:rFonts w:cs="Arial"/>
        </w:rPr>
        <w:t xml:space="preserve">process friction and deliver tangible business benefits in a </w:t>
      </w:r>
      <w:r w:rsidR="007E5CF4" w:rsidRPr="00703A0B">
        <w:rPr>
          <w:rFonts w:cs="Arial"/>
        </w:rPr>
        <w:t xml:space="preserve">short timeframe. Outcomes delivered </w:t>
      </w:r>
      <w:r w:rsidR="00B22D78" w:rsidRPr="00703A0B">
        <w:rPr>
          <w:rFonts w:cs="Arial"/>
        </w:rPr>
        <w:t xml:space="preserve">through </w:t>
      </w:r>
      <w:r w:rsidR="00B52F7C" w:rsidRPr="00703A0B">
        <w:rPr>
          <w:rFonts w:cs="Arial"/>
        </w:rPr>
        <w:t xml:space="preserve">the </w:t>
      </w:r>
      <w:r w:rsidR="003E4C95" w:rsidRPr="00703A0B">
        <w:rPr>
          <w:rFonts w:cs="Arial"/>
        </w:rPr>
        <w:t>QWIK</w:t>
      </w:r>
      <w:r w:rsidR="00B52F7C" w:rsidRPr="00703A0B">
        <w:rPr>
          <w:rFonts w:cs="Arial"/>
        </w:rPr>
        <w:t xml:space="preserve"> program</w:t>
      </w:r>
      <w:r w:rsidR="00B22D78" w:rsidRPr="00703A0B">
        <w:rPr>
          <w:rFonts w:cs="Arial"/>
        </w:rPr>
        <w:t xml:space="preserve"> included</w:t>
      </w:r>
      <w:r w:rsidR="009548A2" w:rsidRPr="00703A0B">
        <w:rPr>
          <w:rFonts w:cs="Arial"/>
        </w:rPr>
        <w:t>:</w:t>
      </w:r>
    </w:p>
    <w:p w14:paraId="41A7DF36" w14:textId="5E26EEA6" w:rsidR="007B6847" w:rsidRPr="00703A0B" w:rsidRDefault="006278B2" w:rsidP="00A836CF">
      <w:pPr>
        <w:numPr>
          <w:ilvl w:val="1"/>
          <w:numId w:val="53"/>
        </w:numPr>
        <w:spacing w:before="120" w:after="120"/>
      </w:pPr>
      <w:r w:rsidRPr="00703A0B">
        <w:t>Enhance</w:t>
      </w:r>
      <w:r w:rsidR="000B10A2" w:rsidRPr="00703A0B">
        <w:t>d</w:t>
      </w:r>
      <w:r w:rsidR="007C4773" w:rsidRPr="00703A0B">
        <w:t xml:space="preserve"> </w:t>
      </w:r>
      <w:r w:rsidR="00950465" w:rsidRPr="00703A0B">
        <w:t>the</w:t>
      </w:r>
      <w:r w:rsidR="003E4C95" w:rsidRPr="00703A0B">
        <w:t xml:space="preserve"> QBCC website</w:t>
      </w:r>
      <w:r w:rsidRPr="00703A0B">
        <w:t xml:space="preserve">, providing </w:t>
      </w:r>
      <w:r w:rsidR="003E4C95" w:rsidRPr="00703A0B">
        <w:t>clearer guidance for customers dealing with unlicensed contractor</w:t>
      </w:r>
      <w:r w:rsidR="007B6847" w:rsidRPr="00703A0B">
        <w:t>s</w:t>
      </w:r>
      <w:r w:rsidR="002F69EE" w:rsidRPr="00703A0B">
        <w:t>.</w:t>
      </w:r>
    </w:p>
    <w:p w14:paraId="602AEFBC" w14:textId="784CBDA2" w:rsidR="004B24ED" w:rsidRPr="00703A0B" w:rsidRDefault="002F69EE" w:rsidP="00A836CF">
      <w:pPr>
        <w:numPr>
          <w:ilvl w:val="1"/>
          <w:numId w:val="53"/>
        </w:numPr>
        <w:spacing w:before="120" w:after="120"/>
      </w:pPr>
      <w:r w:rsidRPr="00703A0B">
        <w:t xml:space="preserve">Improved </w:t>
      </w:r>
      <w:r w:rsidR="003E4C95" w:rsidRPr="00703A0B">
        <w:t xml:space="preserve">licence approval </w:t>
      </w:r>
      <w:r w:rsidR="00774961" w:rsidRPr="00703A0B">
        <w:t>communications</w:t>
      </w:r>
      <w:r w:rsidR="0011092A" w:rsidRPr="00703A0B">
        <w:t>,</w:t>
      </w:r>
      <w:r w:rsidR="003E4C95" w:rsidRPr="00703A0B">
        <w:t xml:space="preserve"> </w:t>
      </w:r>
      <w:r w:rsidR="00774961" w:rsidRPr="00703A0B">
        <w:t>clearly</w:t>
      </w:r>
      <w:r w:rsidR="003E4C95" w:rsidRPr="00703A0B">
        <w:t xml:space="preserve"> outlining </w:t>
      </w:r>
      <w:r w:rsidR="00C87526" w:rsidRPr="00703A0B">
        <w:t xml:space="preserve">the </w:t>
      </w:r>
      <w:r w:rsidR="003E4C95" w:rsidRPr="00703A0B">
        <w:t xml:space="preserve">responsibilities </w:t>
      </w:r>
      <w:r w:rsidR="000D6FFE" w:rsidRPr="00703A0B">
        <w:t xml:space="preserve">for new </w:t>
      </w:r>
      <w:r w:rsidR="00774961" w:rsidRPr="00703A0B">
        <w:t xml:space="preserve">licence </w:t>
      </w:r>
      <w:r w:rsidR="00C87526" w:rsidRPr="00703A0B">
        <w:t>holders and providing</w:t>
      </w:r>
      <w:r w:rsidR="003E4C95" w:rsidRPr="00703A0B">
        <w:t xml:space="preserve"> links to </w:t>
      </w:r>
      <w:r w:rsidR="00AB50C6" w:rsidRPr="00703A0B">
        <w:t xml:space="preserve">supporting </w:t>
      </w:r>
      <w:r w:rsidR="003E4C95" w:rsidRPr="00703A0B">
        <w:t>information</w:t>
      </w:r>
      <w:r w:rsidR="00540EAB" w:rsidRPr="00703A0B">
        <w:t xml:space="preserve"> and resources.</w:t>
      </w:r>
    </w:p>
    <w:p w14:paraId="3A5EC025" w14:textId="3105C20E" w:rsidR="000262B0" w:rsidRPr="00703A0B" w:rsidRDefault="00540EAB" w:rsidP="00A836CF">
      <w:pPr>
        <w:numPr>
          <w:ilvl w:val="1"/>
          <w:numId w:val="53"/>
        </w:numPr>
        <w:spacing w:before="120" w:after="120"/>
      </w:pPr>
      <w:r w:rsidRPr="00703A0B">
        <w:t xml:space="preserve">Streamlined </w:t>
      </w:r>
      <w:r w:rsidR="007D0521" w:rsidRPr="00703A0B">
        <w:t>forms</w:t>
      </w:r>
      <w:r w:rsidRPr="00703A0B">
        <w:t xml:space="preserve">, </w:t>
      </w:r>
      <w:r w:rsidR="007D0521" w:rsidRPr="00703A0B">
        <w:t>templat</w:t>
      </w:r>
      <w:r w:rsidR="00B572AB" w:rsidRPr="00703A0B">
        <w:t>es</w:t>
      </w:r>
      <w:r w:rsidR="00C56519" w:rsidRPr="00703A0B">
        <w:t xml:space="preserve">, correspondence and </w:t>
      </w:r>
      <w:r w:rsidR="000262B0" w:rsidRPr="00703A0B">
        <w:t>email</w:t>
      </w:r>
      <w:r w:rsidR="00C56519" w:rsidRPr="00703A0B">
        <w:t xml:space="preserve"> communications to improve </w:t>
      </w:r>
      <w:r w:rsidR="001044DF" w:rsidRPr="00703A0B">
        <w:t>clarity</w:t>
      </w:r>
      <w:r w:rsidR="00C56519" w:rsidRPr="00703A0B">
        <w:t xml:space="preserve">, consistency and </w:t>
      </w:r>
      <w:r w:rsidR="001044DF" w:rsidRPr="00703A0B">
        <w:t>customer experience.</w:t>
      </w:r>
      <w:r w:rsidR="00C56519" w:rsidRPr="00703A0B">
        <w:t xml:space="preserve"> </w:t>
      </w:r>
    </w:p>
    <w:p w14:paraId="4A41CB5D" w14:textId="239A0E27" w:rsidR="003E4C95" w:rsidRPr="00703A0B" w:rsidRDefault="00043DB0" w:rsidP="00A836CF">
      <w:pPr>
        <w:numPr>
          <w:ilvl w:val="1"/>
          <w:numId w:val="53"/>
        </w:numPr>
        <w:spacing w:before="120" w:after="120"/>
      </w:pPr>
      <w:r w:rsidRPr="00703A0B">
        <w:t>Improved</w:t>
      </w:r>
      <w:r w:rsidRPr="00703A0B">
        <w:rPr>
          <w:rFonts w:cs="Arial"/>
        </w:rPr>
        <w:t xml:space="preserve"> </w:t>
      </w:r>
      <w:r w:rsidR="001044DF" w:rsidRPr="00703A0B">
        <w:t>licensing</w:t>
      </w:r>
      <w:r w:rsidRPr="00703A0B">
        <w:rPr>
          <w:rFonts w:cs="Arial"/>
        </w:rPr>
        <w:t xml:space="preserve"> </w:t>
      </w:r>
      <w:r w:rsidR="003E4C95" w:rsidRPr="00703A0B">
        <w:rPr>
          <w:rFonts w:cs="Arial"/>
        </w:rPr>
        <w:t>procedures for plumbing and drainage licens</w:t>
      </w:r>
      <w:r w:rsidR="001044DF" w:rsidRPr="00703A0B">
        <w:rPr>
          <w:rFonts w:cs="Arial"/>
        </w:rPr>
        <w:t>ees</w:t>
      </w:r>
      <w:r w:rsidR="003E4C95" w:rsidRPr="00703A0B">
        <w:rPr>
          <w:rFonts w:cs="Arial"/>
        </w:rPr>
        <w:t xml:space="preserve"> and pool safety inspector</w:t>
      </w:r>
      <w:r w:rsidR="00F10B4A" w:rsidRPr="00703A0B">
        <w:rPr>
          <w:rFonts w:cs="Arial"/>
        </w:rPr>
        <w:t>s, supporting greater efficiency and consistency in</w:t>
      </w:r>
      <w:r w:rsidR="003E4C95" w:rsidRPr="00703A0B">
        <w:rPr>
          <w:rFonts w:cs="Arial"/>
        </w:rPr>
        <w:t xml:space="preserve"> </w:t>
      </w:r>
      <w:r w:rsidR="00874FB7" w:rsidRPr="00703A0B">
        <w:rPr>
          <w:rFonts w:cs="Arial"/>
        </w:rPr>
        <w:t>decision making.</w:t>
      </w:r>
    </w:p>
    <w:p w14:paraId="575A2280" w14:textId="611E7273" w:rsidR="00BD60E7" w:rsidRPr="00703A0B" w:rsidRDefault="00390A61" w:rsidP="007C4773">
      <w:pPr>
        <w:spacing w:before="120" w:after="120" w:line="259" w:lineRule="auto"/>
      </w:pPr>
      <w:r w:rsidRPr="00703A0B">
        <w:t>These p</w:t>
      </w:r>
      <w:r w:rsidR="1B5286A4" w:rsidRPr="00703A0B">
        <w:t xml:space="preserve">rocess improvements </w:t>
      </w:r>
      <w:r w:rsidR="002D3551" w:rsidRPr="00703A0B">
        <w:t xml:space="preserve">have unlocked capacity </w:t>
      </w:r>
      <w:r w:rsidR="00BD2157" w:rsidRPr="00703A0B">
        <w:t xml:space="preserve">across the organisation </w:t>
      </w:r>
      <w:r w:rsidR="002D3551" w:rsidRPr="00703A0B">
        <w:t xml:space="preserve">and </w:t>
      </w:r>
      <w:r w:rsidR="009F4B12" w:rsidRPr="00703A0B">
        <w:t xml:space="preserve">enabled </w:t>
      </w:r>
      <w:r w:rsidR="00916F51" w:rsidRPr="00703A0B">
        <w:t xml:space="preserve">resources to be redirected to higher-value regulatory and customer-focused activities, while </w:t>
      </w:r>
      <w:r w:rsidR="233DBBAB" w:rsidRPr="00703A0B">
        <w:t>contribu</w:t>
      </w:r>
      <w:r w:rsidR="00A421DC" w:rsidRPr="00703A0B">
        <w:t>ting</w:t>
      </w:r>
      <w:r w:rsidR="233DBBAB" w:rsidRPr="00703A0B">
        <w:t xml:space="preserve"> to </w:t>
      </w:r>
      <w:r w:rsidR="2BCC1CD5" w:rsidRPr="00703A0B">
        <w:t xml:space="preserve">positive </w:t>
      </w:r>
      <w:r w:rsidR="233DBBAB" w:rsidRPr="00703A0B">
        <w:t>customer</w:t>
      </w:r>
      <w:r w:rsidR="007E31BE" w:rsidRPr="00703A0B">
        <w:t>, operational</w:t>
      </w:r>
      <w:r w:rsidR="233DBBAB" w:rsidRPr="00703A0B">
        <w:t xml:space="preserve"> and regulatory performance outcomes</w:t>
      </w:r>
      <w:r w:rsidR="6A0A9916" w:rsidRPr="00703A0B">
        <w:t>.</w:t>
      </w:r>
      <w:r w:rsidR="00605F35" w:rsidRPr="00703A0B">
        <w:t xml:space="preserve"> </w:t>
      </w:r>
      <w:r w:rsidR="6A0A9916" w:rsidRPr="00703A0B">
        <w:t xml:space="preserve">Customer </w:t>
      </w:r>
      <w:r w:rsidR="233DBBAB" w:rsidRPr="00703A0B">
        <w:t>satisf</w:t>
      </w:r>
      <w:r w:rsidR="00975C33" w:rsidRPr="00703A0B">
        <w:t xml:space="preserve">action </w:t>
      </w:r>
      <w:r w:rsidR="233DBBAB" w:rsidRPr="00703A0B">
        <w:t xml:space="preserve">with </w:t>
      </w:r>
      <w:r w:rsidR="37E48605" w:rsidRPr="00703A0B">
        <w:t xml:space="preserve">the </w:t>
      </w:r>
      <w:r w:rsidR="36BC8BD4" w:rsidRPr="00703A0B">
        <w:t xml:space="preserve">QBCC’s </w:t>
      </w:r>
      <w:r w:rsidR="233DBBAB" w:rsidRPr="00703A0B">
        <w:t>decision-making processes</w:t>
      </w:r>
      <w:r w:rsidR="004D23AD" w:rsidRPr="00703A0B">
        <w:t>, along with</w:t>
      </w:r>
      <w:r w:rsidR="00686E7A" w:rsidRPr="00703A0B">
        <w:t xml:space="preserve"> </w:t>
      </w:r>
      <w:r w:rsidR="008A572E" w:rsidRPr="00703A0B">
        <w:t>reduc</w:t>
      </w:r>
      <w:r w:rsidR="00686E7A" w:rsidRPr="00703A0B">
        <w:t xml:space="preserve">ed </w:t>
      </w:r>
      <w:r w:rsidR="233DBBAB" w:rsidRPr="00703A0B">
        <w:t xml:space="preserve">decisions set aside by </w:t>
      </w:r>
      <w:r w:rsidR="009F39A0" w:rsidRPr="00703A0B">
        <w:t>the Queensland Civil and Administrative Tribunal (</w:t>
      </w:r>
      <w:r w:rsidR="233DBBAB" w:rsidRPr="00703A0B">
        <w:t>QCAT</w:t>
      </w:r>
      <w:r w:rsidR="009F39A0" w:rsidRPr="00703A0B">
        <w:t>)</w:t>
      </w:r>
      <w:r w:rsidR="00421452" w:rsidRPr="00703A0B">
        <w:t>,</w:t>
      </w:r>
      <w:r w:rsidR="287DD2D7" w:rsidRPr="00703A0B">
        <w:t xml:space="preserve"> </w:t>
      </w:r>
      <w:r w:rsidR="266B6F33" w:rsidRPr="00703A0B">
        <w:t>indicat</w:t>
      </w:r>
      <w:r w:rsidR="00030BB1" w:rsidRPr="00703A0B">
        <w:t xml:space="preserve">e </w:t>
      </w:r>
      <w:r w:rsidR="266B6F33" w:rsidRPr="00703A0B">
        <w:t>greater</w:t>
      </w:r>
      <w:r w:rsidR="1CACC1F2" w:rsidRPr="00703A0B">
        <w:t xml:space="preserve"> </w:t>
      </w:r>
      <w:r w:rsidR="316D5B23" w:rsidRPr="00703A0B">
        <w:t>consistency</w:t>
      </w:r>
      <w:r w:rsidR="00421452" w:rsidRPr="00703A0B">
        <w:t xml:space="preserve">, </w:t>
      </w:r>
      <w:r w:rsidR="266B6F33" w:rsidRPr="00703A0B">
        <w:t>quality</w:t>
      </w:r>
      <w:r w:rsidR="00421452" w:rsidRPr="00703A0B">
        <w:t xml:space="preserve"> and robustness </w:t>
      </w:r>
      <w:r w:rsidR="316D5B23" w:rsidRPr="00703A0B">
        <w:t>in</w:t>
      </w:r>
      <w:r w:rsidR="1D3C7852" w:rsidRPr="00703A0B">
        <w:t xml:space="preserve"> regulatory decision</w:t>
      </w:r>
      <w:r w:rsidR="316D5B23" w:rsidRPr="00703A0B">
        <w:t xml:space="preserve"> </w:t>
      </w:r>
      <w:r w:rsidR="1D3C7852" w:rsidRPr="00703A0B">
        <w:t>making.</w:t>
      </w:r>
      <w:r w:rsidR="7B50C9DA" w:rsidRPr="00703A0B">
        <w:t xml:space="preserve"> </w:t>
      </w:r>
      <w:r w:rsidR="007643D7" w:rsidRPr="00703A0B">
        <w:fldChar w:fldCharType="begin"/>
      </w:r>
      <w:r w:rsidR="007643D7" w:rsidRPr="00703A0B">
        <w:instrText xml:space="preserve"> REF _Ref233701520 \h </w:instrText>
      </w:r>
      <w:r w:rsidR="007643D7" w:rsidRPr="00703A0B">
        <w:fldChar w:fldCharType="separate"/>
      </w:r>
      <w:r w:rsidR="0D18AC10" w:rsidRPr="00703A0B">
        <w:t xml:space="preserve">Table </w:t>
      </w:r>
      <w:r w:rsidR="0D18AC10" w:rsidRPr="00E90189">
        <w:t>1</w:t>
      </w:r>
      <w:r w:rsidR="007643D7" w:rsidRPr="00703A0B">
        <w:fldChar w:fldCharType="end"/>
      </w:r>
      <w:r w:rsidR="40CADC5F" w:rsidRPr="00703A0B">
        <w:t xml:space="preserve"> provides an overview of satisfaction</w:t>
      </w:r>
      <w:r w:rsidR="00DC13C0" w:rsidRPr="00703A0B">
        <w:t xml:space="preserve"> with </w:t>
      </w:r>
      <w:r w:rsidR="3D61ECCB" w:rsidRPr="00703A0B">
        <w:t xml:space="preserve">the </w:t>
      </w:r>
      <w:r w:rsidR="00DC13C0" w:rsidRPr="00703A0B">
        <w:t>QBCC</w:t>
      </w:r>
      <w:r w:rsidR="00A20C25" w:rsidRPr="00703A0B">
        <w:t>’s</w:t>
      </w:r>
      <w:r w:rsidR="00DC13C0" w:rsidRPr="00703A0B">
        <w:t xml:space="preserve"> decision-making process</w:t>
      </w:r>
      <w:r w:rsidR="40CADC5F" w:rsidRPr="00703A0B">
        <w:t xml:space="preserve"> and </w:t>
      </w:r>
      <w:r w:rsidR="00A20C25" w:rsidRPr="00703A0B">
        <w:t xml:space="preserve">the </w:t>
      </w:r>
      <w:r w:rsidR="40CADC5F" w:rsidRPr="00703A0B">
        <w:t xml:space="preserve">consistency of </w:t>
      </w:r>
      <w:r w:rsidR="714AADAE" w:rsidRPr="00703A0B">
        <w:t xml:space="preserve">the </w:t>
      </w:r>
      <w:r w:rsidR="00DC13C0" w:rsidRPr="00703A0B">
        <w:t>QBCC</w:t>
      </w:r>
      <w:r w:rsidR="55D33047" w:rsidRPr="00703A0B">
        <w:t>’s</w:t>
      </w:r>
      <w:r w:rsidR="00DC13C0" w:rsidRPr="00703A0B">
        <w:t xml:space="preserve"> </w:t>
      </w:r>
      <w:r w:rsidR="40CADC5F" w:rsidRPr="00703A0B">
        <w:t>decisions with QCAT.</w:t>
      </w:r>
    </w:p>
    <w:p w14:paraId="1C88B526" w14:textId="4FA4A7B2" w:rsidR="007C4773" w:rsidRPr="00703A0B" w:rsidRDefault="00D13F8D" w:rsidP="00D13F8D">
      <w:pPr>
        <w:pStyle w:val="Caption"/>
        <w:rPr>
          <w:b w:val="0"/>
          <w:bCs/>
        </w:rPr>
      </w:pPr>
      <w:bookmarkStart w:id="31" w:name="_Ref233701520"/>
      <w:r w:rsidRPr="00703A0B">
        <w:t xml:space="preserve">Table </w:t>
      </w:r>
      <w:r w:rsidRPr="00703A0B">
        <w:fldChar w:fldCharType="begin"/>
      </w:r>
      <w:r w:rsidRPr="00703A0B">
        <w:instrText>SEQ Table \* ARABIC</w:instrText>
      </w:r>
      <w:r w:rsidRPr="00703A0B">
        <w:fldChar w:fldCharType="separate"/>
      </w:r>
      <w:r w:rsidR="003764AA" w:rsidRPr="00E90189">
        <w:t>1</w:t>
      </w:r>
      <w:r w:rsidRPr="00703A0B">
        <w:fldChar w:fldCharType="end"/>
      </w:r>
      <w:bookmarkEnd w:id="31"/>
      <w:r w:rsidRPr="00703A0B">
        <w:t>:</w:t>
      </w:r>
      <w:r w:rsidR="009C44A9" w:rsidRPr="00703A0B">
        <w:t xml:space="preserve"> </w:t>
      </w:r>
      <w:r w:rsidR="00617752" w:rsidRPr="00703A0B">
        <w:t xml:space="preserve">Percentage of </w:t>
      </w:r>
      <w:r w:rsidR="007A0C8C" w:rsidRPr="00703A0B">
        <w:t>customer</w:t>
      </w:r>
      <w:r w:rsidR="007F735F" w:rsidRPr="00703A0B">
        <w:t>s</w:t>
      </w:r>
      <w:r w:rsidR="007A0C8C" w:rsidRPr="00703A0B">
        <w:t xml:space="preserve"> s</w:t>
      </w:r>
      <w:r w:rsidR="00617752" w:rsidRPr="00703A0B">
        <w:t>at</w:t>
      </w:r>
      <w:r w:rsidR="007A0C8C" w:rsidRPr="00703A0B">
        <w:t>isf</w:t>
      </w:r>
      <w:r w:rsidR="007F735F" w:rsidRPr="00703A0B">
        <w:t>ied</w:t>
      </w:r>
      <w:r w:rsidR="00E027B1" w:rsidRPr="00703A0B">
        <w:t xml:space="preserve"> </w:t>
      </w:r>
      <w:r w:rsidR="000A4E16" w:rsidRPr="00703A0B">
        <w:t xml:space="preserve">with the decision-making process </w:t>
      </w:r>
      <w:r w:rsidR="00617752" w:rsidRPr="00703A0B">
        <w:t>and decision</w:t>
      </w:r>
      <w:r w:rsidR="00CD1FCF" w:rsidRPr="00703A0B">
        <w:t>s</w:t>
      </w:r>
      <w:r w:rsidR="00617752" w:rsidRPr="00703A0B">
        <w:t xml:space="preserve"> </w:t>
      </w:r>
      <w:r w:rsidR="00F079B1" w:rsidRPr="00703A0B">
        <w:t>set aside by</w:t>
      </w:r>
      <w:r w:rsidR="000A4E16" w:rsidRPr="00703A0B">
        <w:t xml:space="preserve"> </w:t>
      </w:r>
      <w:r w:rsidR="00CF34FE" w:rsidRPr="00703A0B">
        <w:t>QCAT</w:t>
      </w:r>
      <w:r w:rsidR="00B54082" w:rsidRPr="00703A0B">
        <w:t xml:space="preserve"> </w:t>
      </w:r>
      <w:r w:rsidR="00535545" w:rsidRPr="00703A0B">
        <w:t xml:space="preserve">over the </w:t>
      </w:r>
      <w:r w:rsidR="007F735F" w:rsidRPr="00703A0B">
        <w:t>p</w:t>
      </w:r>
      <w:r w:rsidR="00535545" w:rsidRPr="00703A0B">
        <w:t xml:space="preserve">ast </w:t>
      </w:r>
      <w:r w:rsidR="00605F35" w:rsidRPr="00703A0B">
        <w:t>two</w:t>
      </w:r>
      <w:r w:rsidR="00535545" w:rsidRPr="00703A0B">
        <w:t xml:space="preserve"> years</w:t>
      </w:r>
    </w:p>
    <w:tbl>
      <w:tblPr>
        <w:tblStyle w:val="TableGrid"/>
        <w:tblW w:w="10485" w:type="dxa"/>
        <w:tblCellMar>
          <w:top w:w="28" w:type="dxa"/>
          <w:bottom w:w="28" w:type="dxa"/>
        </w:tblCellMar>
        <w:tblLook w:val="04A0" w:firstRow="1" w:lastRow="0" w:firstColumn="1" w:lastColumn="0" w:noHBand="0" w:noVBand="1"/>
      </w:tblPr>
      <w:tblGrid>
        <w:gridCol w:w="6941"/>
        <w:gridCol w:w="1701"/>
        <w:gridCol w:w="1843"/>
      </w:tblGrid>
      <w:tr w:rsidR="00B43864" w:rsidRPr="00703A0B" w14:paraId="1D16565C" w14:textId="77777777" w:rsidTr="007659C2">
        <w:tc>
          <w:tcPr>
            <w:tcW w:w="6941" w:type="dxa"/>
            <w:shd w:val="clear" w:color="auto" w:fill="BFBFBF" w:themeFill="background1" w:themeFillShade="BF"/>
          </w:tcPr>
          <w:p w14:paraId="6665AFE7" w14:textId="403B9C0B" w:rsidR="00B43864" w:rsidRPr="00703A0B" w:rsidRDefault="00AE5B74" w:rsidP="007659C2">
            <w:pPr>
              <w:rPr>
                <w:b/>
              </w:rPr>
            </w:pPr>
            <w:r w:rsidRPr="00703A0B">
              <w:rPr>
                <w:b/>
                <w:bCs/>
              </w:rPr>
              <w:t xml:space="preserve">Customer satisfaction and decision </w:t>
            </w:r>
            <w:r w:rsidR="00B54082" w:rsidRPr="00703A0B">
              <w:rPr>
                <w:b/>
                <w:bCs/>
              </w:rPr>
              <w:t>quality</w:t>
            </w:r>
          </w:p>
        </w:tc>
        <w:tc>
          <w:tcPr>
            <w:tcW w:w="1701" w:type="dxa"/>
            <w:shd w:val="clear" w:color="auto" w:fill="BFBFBF" w:themeFill="background1" w:themeFillShade="BF"/>
          </w:tcPr>
          <w:p w14:paraId="7C7E761B" w14:textId="547D24C2" w:rsidR="00B43864" w:rsidRPr="00703A0B" w:rsidRDefault="00F427E3" w:rsidP="007659C2">
            <w:pPr>
              <w:rPr>
                <w:b/>
              </w:rPr>
            </w:pPr>
            <w:r w:rsidRPr="00703A0B">
              <w:rPr>
                <w:b/>
                <w:bCs/>
              </w:rPr>
              <w:t>2024</w:t>
            </w:r>
            <w:r w:rsidR="00E61F6B" w:rsidRPr="00703A0B">
              <w:rPr>
                <w:b/>
                <w:bCs/>
              </w:rPr>
              <w:t>–</w:t>
            </w:r>
            <w:r w:rsidRPr="00703A0B">
              <w:rPr>
                <w:b/>
                <w:bCs/>
              </w:rPr>
              <w:t>25</w:t>
            </w:r>
          </w:p>
        </w:tc>
        <w:tc>
          <w:tcPr>
            <w:tcW w:w="1843" w:type="dxa"/>
            <w:shd w:val="clear" w:color="auto" w:fill="BFBFBF" w:themeFill="background1" w:themeFillShade="BF"/>
          </w:tcPr>
          <w:p w14:paraId="1A85E106" w14:textId="5FF7FE4A" w:rsidR="00B43864" w:rsidRPr="00703A0B" w:rsidRDefault="00F427E3" w:rsidP="007659C2">
            <w:pPr>
              <w:rPr>
                <w:b/>
              </w:rPr>
            </w:pPr>
            <w:r w:rsidRPr="00703A0B">
              <w:rPr>
                <w:b/>
                <w:bCs/>
              </w:rPr>
              <w:t>2025</w:t>
            </w:r>
            <w:r w:rsidR="00E61F6B" w:rsidRPr="00703A0B">
              <w:rPr>
                <w:b/>
                <w:bCs/>
              </w:rPr>
              <w:t>–</w:t>
            </w:r>
            <w:r w:rsidRPr="00703A0B">
              <w:rPr>
                <w:b/>
                <w:bCs/>
              </w:rPr>
              <w:t>26</w:t>
            </w:r>
          </w:p>
        </w:tc>
      </w:tr>
      <w:tr w:rsidR="00B43864" w:rsidRPr="00703A0B" w14:paraId="00EE7650" w14:textId="77777777" w:rsidTr="007659C2">
        <w:tc>
          <w:tcPr>
            <w:tcW w:w="6941" w:type="dxa"/>
          </w:tcPr>
          <w:p w14:paraId="718FAFCB" w14:textId="29405634" w:rsidR="00B43864" w:rsidRPr="00703A0B" w:rsidRDefault="001357C9" w:rsidP="007659C2">
            <w:r w:rsidRPr="00703A0B">
              <w:t>Customer</w:t>
            </w:r>
            <w:r w:rsidR="00FF0C3E" w:rsidRPr="00703A0B">
              <w:t>s</w:t>
            </w:r>
            <w:r w:rsidRPr="00703A0B">
              <w:t xml:space="preserve"> </w:t>
            </w:r>
            <w:r w:rsidR="001C4289" w:rsidRPr="00703A0B">
              <w:t>reporting</w:t>
            </w:r>
            <w:r w:rsidR="00EC1FDC" w:rsidRPr="00703A0B">
              <w:t xml:space="preserve"> </w:t>
            </w:r>
            <w:r w:rsidRPr="00703A0B">
              <w:t xml:space="preserve">satisfaction </w:t>
            </w:r>
            <w:r w:rsidR="001C4289" w:rsidRPr="00703A0B">
              <w:t xml:space="preserve">with </w:t>
            </w:r>
            <w:r w:rsidR="00E61F6B" w:rsidRPr="00703A0B">
              <w:t>the</w:t>
            </w:r>
            <w:r w:rsidR="00B428C1" w:rsidRPr="00703A0B">
              <w:t xml:space="preserve"> decision-making </w:t>
            </w:r>
            <w:r w:rsidR="00E61F6B" w:rsidRPr="00703A0B">
              <w:t>process</w:t>
            </w:r>
          </w:p>
        </w:tc>
        <w:tc>
          <w:tcPr>
            <w:tcW w:w="1701" w:type="dxa"/>
          </w:tcPr>
          <w:p w14:paraId="6BF057CB" w14:textId="6947CA10" w:rsidR="00B43864" w:rsidRPr="00703A0B" w:rsidRDefault="00E61F6B" w:rsidP="007659C2">
            <w:r w:rsidRPr="00703A0B">
              <w:t>-</w:t>
            </w:r>
          </w:p>
        </w:tc>
        <w:tc>
          <w:tcPr>
            <w:tcW w:w="1843" w:type="dxa"/>
          </w:tcPr>
          <w:p w14:paraId="7E64ED3F" w14:textId="28742A86" w:rsidR="00B43864" w:rsidRPr="00703A0B" w:rsidRDefault="00E61F6B" w:rsidP="007659C2">
            <w:r w:rsidRPr="00703A0B">
              <w:t>55%</w:t>
            </w:r>
            <w:r w:rsidR="006A67D2" w:rsidRPr="00703A0B">
              <w:rPr>
                <w:rStyle w:val="FootnoteReference"/>
              </w:rPr>
              <w:footnoteReference w:id="5"/>
            </w:r>
          </w:p>
        </w:tc>
      </w:tr>
      <w:tr w:rsidR="00B43864" w:rsidRPr="00703A0B" w14:paraId="5442759D" w14:textId="77777777" w:rsidTr="007659C2">
        <w:tc>
          <w:tcPr>
            <w:tcW w:w="6941" w:type="dxa"/>
          </w:tcPr>
          <w:p w14:paraId="573D883E" w14:textId="1563A271" w:rsidR="00B43864" w:rsidRPr="00703A0B" w:rsidRDefault="00B428C1" w:rsidP="00EE52B6">
            <w:r w:rsidRPr="00703A0B">
              <w:t>QBCC decisions set aside by QCAT</w:t>
            </w:r>
          </w:p>
        </w:tc>
        <w:tc>
          <w:tcPr>
            <w:tcW w:w="1701" w:type="dxa"/>
          </w:tcPr>
          <w:p w14:paraId="5F839161" w14:textId="14BCBBFF" w:rsidR="00B43864" w:rsidRPr="00703A0B" w:rsidRDefault="00E61F6B" w:rsidP="00EE52B6">
            <w:r w:rsidRPr="00703A0B">
              <w:t>9.4%</w:t>
            </w:r>
          </w:p>
        </w:tc>
        <w:tc>
          <w:tcPr>
            <w:tcW w:w="1843" w:type="dxa"/>
          </w:tcPr>
          <w:p w14:paraId="556D116D" w14:textId="2784D692" w:rsidR="00B43864" w:rsidRPr="00703A0B" w:rsidRDefault="00E61F6B" w:rsidP="00EE52B6">
            <w:r w:rsidRPr="00703A0B">
              <w:t>8.5%</w:t>
            </w:r>
          </w:p>
        </w:tc>
      </w:tr>
    </w:tbl>
    <w:p w14:paraId="738B938D" w14:textId="3844F2A2" w:rsidR="00C01886" w:rsidRPr="00703A0B" w:rsidRDefault="00C01886" w:rsidP="007C3502">
      <w:pPr>
        <w:pStyle w:val="Heading2"/>
      </w:pPr>
      <w:bookmarkStart w:id="32" w:name="_Licensing"/>
      <w:bookmarkStart w:id="33" w:name="_Toc206493013"/>
      <w:bookmarkStart w:id="34" w:name="_Toc238101676"/>
      <w:bookmarkEnd w:id="32"/>
      <w:r w:rsidRPr="00703A0B">
        <w:lastRenderedPageBreak/>
        <w:t>Licensing</w:t>
      </w:r>
      <w:bookmarkEnd w:id="33"/>
      <w:bookmarkEnd w:id="34"/>
    </w:p>
    <w:p w14:paraId="31300F9D" w14:textId="2EB01FE5" w:rsidR="35ADA4B2" w:rsidRPr="00703A0B" w:rsidRDefault="35ADA4B2" w:rsidP="22082F4C">
      <w:pPr>
        <w:spacing w:before="120" w:after="120" w:line="259" w:lineRule="auto"/>
      </w:pPr>
      <w:r w:rsidRPr="00703A0B">
        <w:rPr>
          <w:rFonts w:cs="Arial"/>
        </w:rPr>
        <w:t xml:space="preserve">Licensing </w:t>
      </w:r>
      <w:r w:rsidR="00026A2E" w:rsidRPr="00703A0B">
        <w:rPr>
          <w:rFonts w:cs="Arial"/>
        </w:rPr>
        <w:t>continued to</w:t>
      </w:r>
      <w:r w:rsidRPr="00703A0B">
        <w:rPr>
          <w:rFonts w:cs="Arial"/>
        </w:rPr>
        <w:t xml:space="preserve"> </w:t>
      </w:r>
      <w:r w:rsidR="723674AF" w:rsidRPr="00703A0B">
        <w:rPr>
          <w:rFonts w:cs="Arial"/>
        </w:rPr>
        <w:t xml:space="preserve">play a vital role in supporting a strong, sustainable and capable </w:t>
      </w:r>
      <w:r w:rsidR="00026A2E" w:rsidRPr="00703A0B">
        <w:rPr>
          <w:rFonts w:cs="Arial"/>
        </w:rPr>
        <w:t>building and construction industry in Queensland</w:t>
      </w:r>
      <w:r w:rsidR="723674AF" w:rsidRPr="00703A0B">
        <w:rPr>
          <w:rFonts w:cs="Arial"/>
        </w:rPr>
        <w:t xml:space="preserve">. </w:t>
      </w:r>
      <w:r w:rsidR="00BF7B56" w:rsidRPr="00703A0B">
        <w:rPr>
          <w:rFonts w:cs="Arial"/>
        </w:rPr>
        <w:t>Through the effective administration of the</w:t>
      </w:r>
      <w:r w:rsidR="001032A3" w:rsidRPr="00703A0B">
        <w:rPr>
          <w:rFonts w:cs="Arial"/>
        </w:rPr>
        <w:t xml:space="preserve"> QBCC licensing framework</w:t>
      </w:r>
      <w:r w:rsidR="00BF7B56" w:rsidRPr="00703A0B">
        <w:rPr>
          <w:rFonts w:cs="Arial"/>
        </w:rPr>
        <w:t>, the QBCC</w:t>
      </w:r>
      <w:r w:rsidR="723674AF" w:rsidRPr="00703A0B">
        <w:rPr>
          <w:rFonts w:cs="Arial"/>
        </w:rPr>
        <w:t xml:space="preserve"> help</w:t>
      </w:r>
      <w:r w:rsidR="006F1926" w:rsidRPr="00703A0B">
        <w:rPr>
          <w:rFonts w:cs="Arial"/>
        </w:rPr>
        <w:t>ed</w:t>
      </w:r>
      <w:r w:rsidR="723674AF" w:rsidRPr="00703A0B">
        <w:rPr>
          <w:rFonts w:cs="Arial"/>
        </w:rPr>
        <w:t xml:space="preserve"> </w:t>
      </w:r>
      <w:r w:rsidR="006F1926" w:rsidRPr="00703A0B">
        <w:rPr>
          <w:rFonts w:cs="Arial"/>
        </w:rPr>
        <w:t>safeguard</w:t>
      </w:r>
      <w:r w:rsidR="723674AF" w:rsidRPr="00703A0B">
        <w:rPr>
          <w:rFonts w:cs="Arial"/>
        </w:rPr>
        <w:t xml:space="preserve"> consumers, </w:t>
      </w:r>
      <w:r w:rsidR="006F1926" w:rsidRPr="00703A0B">
        <w:rPr>
          <w:rFonts w:cs="Arial"/>
        </w:rPr>
        <w:t xml:space="preserve">strengthen </w:t>
      </w:r>
      <w:r w:rsidR="723674AF" w:rsidRPr="00703A0B">
        <w:rPr>
          <w:rFonts w:cs="Arial"/>
        </w:rPr>
        <w:t xml:space="preserve">public confidence </w:t>
      </w:r>
      <w:r w:rsidR="006F1926" w:rsidRPr="00703A0B">
        <w:rPr>
          <w:rFonts w:cs="Arial"/>
        </w:rPr>
        <w:t xml:space="preserve">in the industry </w:t>
      </w:r>
      <w:r w:rsidR="723674AF" w:rsidRPr="00703A0B">
        <w:rPr>
          <w:rFonts w:cs="Arial"/>
        </w:rPr>
        <w:t xml:space="preserve">and ensure that only appropriately qualified individuals and financially viable businesses </w:t>
      </w:r>
      <w:r w:rsidR="006F1926" w:rsidRPr="00703A0B">
        <w:rPr>
          <w:rFonts w:cs="Arial"/>
        </w:rPr>
        <w:t>were authorised to undertak</w:t>
      </w:r>
      <w:r w:rsidR="00EA0692" w:rsidRPr="00703A0B">
        <w:rPr>
          <w:rFonts w:cs="Arial"/>
        </w:rPr>
        <w:t>e regulated building work.</w:t>
      </w:r>
      <w:r w:rsidR="006F1926" w:rsidRPr="00703A0B">
        <w:rPr>
          <w:rFonts w:cs="Arial"/>
        </w:rPr>
        <w:t xml:space="preserve"> </w:t>
      </w:r>
    </w:p>
    <w:p w14:paraId="1C8EB682" w14:textId="5436182B" w:rsidR="005A497D" w:rsidRPr="00703A0B" w:rsidRDefault="000208CF" w:rsidP="001322DB">
      <w:pPr>
        <w:spacing w:before="120" w:after="120" w:line="259" w:lineRule="auto"/>
      </w:pPr>
      <w:r w:rsidRPr="00703A0B">
        <w:rPr>
          <w:rFonts w:cs="Arial"/>
        </w:rPr>
        <w:t xml:space="preserve">During the </w:t>
      </w:r>
      <w:r w:rsidR="00504219" w:rsidRPr="00703A0B">
        <w:rPr>
          <w:rFonts w:cs="Arial"/>
        </w:rPr>
        <w:t>reporting period</w:t>
      </w:r>
      <w:r w:rsidR="00512DB6" w:rsidRPr="00703A0B">
        <w:rPr>
          <w:rFonts w:cs="Arial"/>
        </w:rPr>
        <w:t>,</w:t>
      </w:r>
      <w:r w:rsidRPr="00703A0B">
        <w:rPr>
          <w:rFonts w:cs="Arial"/>
        </w:rPr>
        <w:t xml:space="preserve"> the QBCC maintained a strong licensing and regulatory presence across metropolitan and regional Queensland</w:t>
      </w:r>
      <w:r w:rsidR="007038E5" w:rsidRPr="00703A0B">
        <w:rPr>
          <w:rFonts w:cs="Arial"/>
        </w:rPr>
        <w:t xml:space="preserve">. A statewide presence </w:t>
      </w:r>
      <w:r w:rsidRPr="00703A0B">
        <w:rPr>
          <w:rFonts w:cs="Arial"/>
        </w:rPr>
        <w:t>enabl</w:t>
      </w:r>
      <w:r w:rsidR="003879F7" w:rsidRPr="00703A0B">
        <w:rPr>
          <w:rFonts w:cs="Arial"/>
        </w:rPr>
        <w:t xml:space="preserve">ed </w:t>
      </w:r>
      <w:r w:rsidRPr="00703A0B">
        <w:rPr>
          <w:rFonts w:cs="Arial"/>
        </w:rPr>
        <w:t xml:space="preserve">the </w:t>
      </w:r>
      <w:r w:rsidR="00847AE6" w:rsidRPr="00703A0B">
        <w:rPr>
          <w:rFonts w:cs="Arial"/>
        </w:rPr>
        <w:t xml:space="preserve">organisation to respond to </w:t>
      </w:r>
      <w:r w:rsidR="723674AF" w:rsidRPr="00703A0B">
        <w:rPr>
          <w:rFonts w:cs="Arial"/>
        </w:rPr>
        <w:t xml:space="preserve">local </w:t>
      </w:r>
      <w:r w:rsidR="00847AE6" w:rsidRPr="00703A0B">
        <w:rPr>
          <w:rFonts w:cs="Arial"/>
        </w:rPr>
        <w:t xml:space="preserve">industry </w:t>
      </w:r>
      <w:r w:rsidR="723674AF" w:rsidRPr="00703A0B">
        <w:rPr>
          <w:rFonts w:cs="Arial"/>
        </w:rPr>
        <w:t xml:space="preserve">challenges, </w:t>
      </w:r>
      <w:r w:rsidR="00B2683D" w:rsidRPr="00703A0B">
        <w:rPr>
          <w:rFonts w:cs="Arial"/>
        </w:rPr>
        <w:t>support</w:t>
      </w:r>
      <w:r w:rsidR="723674AF" w:rsidRPr="00703A0B">
        <w:rPr>
          <w:rFonts w:cs="Arial"/>
        </w:rPr>
        <w:t xml:space="preserve"> diverse </w:t>
      </w:r>
      <w:r w:rsidR="00B2683D" w:rsidRPr="00703A0B">
        <w:rPr>
          <w:rFonts w:cs="Arial"/>
        </w:rPr>
        <w:t xml:space="preserve">customer </w:t>
      </w:r>
      <w:r w:rsidR="723674AF" w:rsidRPr="00703A0B">
        <w:rPr>
          <w:rFonts w:cs="Arial"/>
        </w:rPr>
        <w:t>needs</w:t>
      </w:r>
      <w:r w:rsidR="00B90A4F" w:rsidRPr="00703A0B">
        <w:rPr>
          <w:rFonts w:cs="Arial"/>
        </w:rPr>
        <w:t>,</w:t>
      </w:r>
      <w:r w:rsidR="723674AF" w:rsidRPr="00703A0B">
        <w:rPr>
          <w:rFonts w:cs="Arial"/>
        </w:rPr>
        <w:t xml:space="preserve"> and deliver </w:t>
      </w:r>
      <w:r w:rsidR="00B2683D" w:rsidRPr="00703A0B">
        <w:rPr>
          <w:rFonts w:cs="Arial"/>
        </w:rPr>
        <w:t xml:space="preserve">accessible </w:t>
      </w:r>
      <w:r w:rsidR="723674AF" w:rsidRPr="00703A0B">
        <w:rPr>
          <w:rFonts w:cs="Arial"/>
        </w:rPr>
        <w:t xml:space="preserve">regulatory and customer </w:t>
      </w:r>
      <w:r w:rsidR="00C83481" w:rsidRPr="00703A0B">
        <w:rPr>
          <w:rFonts w:cs="Arial"/>
        </w:rPr>
        <w:t>services throughout</w:t>
      </w:r>
      <w:r w:rsidR="723674AF" w:rsidRPr="00703A0B">
        <w:rPr>
          <w:rFonts w:cs="Arial"/>
        </w:rPr>
        <w:t xml:space="preserve"> the state.</w:t>
      </w:r>
      <w:r w:rsidR="001322DB" w:rsidRPr="00703A0B">
        <w:t xml:space="preserve"> </w:t>
      </w:r>
      <w:r w:rsidR="006B0AFF" w:rsidRPr="00703A0B">
        <w:t>The</w:t>
      </w:r>
      <w:r w:rsidR="007A0D14" w:rsidRPr="00703A0B">
        <w:t xml:space="preserve"> scale of the QBCC’s </w:t>
      </w:r>
      <w:r w:rsidR="00CA227C" w:rsidRPr="00703A0B">
        <w:t xml:space="preserve">regulatory </w:t>
      </w:r>
      <w:r w:rsidR="006B0AFF" w:rsidRPr="00703A0B">
        <w:t xml:space="preserve">footprint </w:t>
      </w:r>
      <w:r w:rsidR="002A2AAD" w:rsidRPr="00703A0B">
        <w:t xml:space="preserve">is </w:t>
      </w:r>
      <w:r w:rsidR="00CA227C" w:rsidRPr="00703A0B">
        <w:t>reflected in</w:t>
      </w:r>
      <w:r w:rsidR="002A2AAD" w:rsidRPr="00703A0B">
        <w:t xml:space="preserve"> the </w:t>
      </w:r>
      <w:r w:rsidR="00894DDE" w:rsidRPr="00703A0B">
        <w:t xml:space="preserve">large and diverse licensed </w:t>
      </w:r>
      <w:r w:rsidR="006739FB" w:rsidRPr="00703A0B">
        <w:t>building and construction</w:t>
      </w:r>
      <w:r w:rsidR="00894DDE" w:rsidRPr="00703A0B">
        <w:t xml:space="preserve"> workforce </w:t>
      </w:r>
      <w:r w:rsidR="00CA227C" w:rsidRPr="00703A0B">
        <w:t xml:space="preserve">it oversees </w:t>
      </w:r>
      <w:r w:rsidR="00894DDE" w:rsidRPr="00703A0B">
        <w:t>a</w:t>
      </w:r>
      <w:r w:rsidR="006739FB" w:rsidRPr="00703A0B">
        <w:t>c</w:t>
      </w:r>
      <w:r w:rsidR="00894DDE" w:rsidRPr="00703A0B">
        <w:t xml:space="preserve">ross </w:t>
      </w:r>
      <w:r w:rsidR="001A61E7" w:rsidRPr="00703A0B">
        <w:t>Queensland</w:t>
      </w:r>
      <w:r w:rsidR="006739FB" w:rsidRPr="00703A0B">
        <w:t xml:space="preserve">. </w:t>
      </w:r>
      <w:r w:rsidR="00C83481" w:rsidRPr="00703A0B">
        <w:t>The QBCC continued to regulate and oversee a significant number of a</w:t>
      </w:r>
      <w:r w:rsidR="005A497D" w:rsidRPr="00703A0B">
        <w:rPr>
          <w:rFonts w:cs="Arial"/>
        </w:rPr>
        <w:t xml:space="preserve">ctive licensees under the QBCC Act, the </w:t>
      </w:r>
      <w:r w:rsidR="005A497D" w:rsidRPr="00703A0B">
        <w:rPr>
          <w:rFonts w:cs="Arial"/>
          <w:i/>
          <w:iCs/>
        </w:rPr>
        <w:t>Building Act 1975</w:t>
      </w:r>
      <w:r w:rsidR="005A497D" w:rsidRPr="00703A0B">
        <w:rPr>
          <w:rFonts w:cs="Arial"/>
        </w:rPr>
        <w:t xml:space="preserve"> (Building Act) and the </w:t>
      </w:r>
      <w:r w:rsidR="005A497D" w:rsidRPr="00703A0B">
        <w:rPr>
          <w:rFonts w:cs="Arial"/>
          <w:i/>
          <w:iCs/>
        </w:rPr>
        <w:t>Plumbing and Drainage Act 2018</w:t>
      </w:r>
      <w:r w:rsidR="005A497D" w:rsidRPr="00703A0B">
        <w:rPr>
          <w:rFonts w:cs="Arial"/>
        </w:rPr>
        <w:t xml:space="preserve"> (PD Act)</w:t>
      </w:r>
      <w:r w:rsidR="00D822F9" w:rsidRPr="00703A0B">
        <w:rPr>
          <w:rFonts w:cs="Arial"/>
        </w:rPr>
        <w:t>, as</w:t>
      </w:r>
      <w:r w:rsidR="005A497D" w:rsidRPr="00703A0B">
        <w:rPr>
          <w:rFonts w:cs="Arial"/>
        </w:rPr>
        <w:t xml:space="preserve"> outlined in </w:t>
      </w:r>
      <w:r w:rsidR="008D5664" w:rsidRPr="00703A0B">
        <w:fldChar w:fldCharType="begin"/>
      </w:r>
      <w:r w:rsidR="008D5664" w:rsidRPr="00703A0B">
        <w:instrText xml:space="preserve"> REF _Ref232666182 \h </w:instrText>
      </w:r>
      <w:r w:rsidR="008D5664" w:rsidRPr="00703A0B">
        <w:fldChar w:fldCharType="separate"/>
      </w:r>
      <w:r w:rsidR="008D5664" w:rsidRPr="00703A0B">
        <w:t xml:space="preserve">Table </w:t>
      </w:r>
      <w:r w:rsidR="008D5664" w:rsidRPr="00E90189">
        <w:t>2</w:t>
      </w:r>
      <w:r w:rsidR="008D5664" w:rsidRPr="00703A0B">
        <w:fldChar w:fldCharType="end"/>
      </w:r>
      <w:r w:rsidR="00457B57">
        <w:t xml:space="preserve"> (page 8)</w:t>
      </w:r>
      <w:r w:rsidR="00586EE9" w:rsidRPr="00703A0B">
        <w:rPr>
          <w:rFonts w:cs="Arial"/>
        </w:rPr>
        <w:t>.</w:t>
      </w:r>
    </w:p>
    <w:p w14:paraId="29FC541F" w14:textId="7B42B039" w:rsidR="005A497D" w:rsidRPr="00703A0B" w:rsidRDefault="005A497D" w:rsidP="005A497D">
      <w:pPr>
        <w:pStyle w:val="Caption"/>
      </w:pPr>
      <w:bookmarkStart w:id="35" w:name="_Ref232666182"/>
      <w:bookmarkStart w:id="36" w:name="_Ref201907011"/>
      <w:bookmarkStart w:id="37" w:name="_Toc202872031"/>
      <w:bookmarkStart w:id="38" w:name="_Toc202872651"/>
      <w:bookmarkStart w:id="39" w:name="_Ref202873359"/>
      <w:bookmarkStart w:id="40" w:name="_Ref233632741"/>
      <w:r w:rsidRPr="00703A0B">
        <w:t xml:space="preserve">Table </w:t>
      </w:r>
      <w:r w:rsidRPr="00703A0B">
        <w:fldChar w:fldCharType="begin"/>
      </w:r>
      <w:r w:rsidRPr="00703A0B">
        <w:instrText>SEQ Table \* ARABIC</w:instrText>
      </w:r>
      <w:r w:rsidRPr="00703A0B">
        <w:fldChar w:fldCharType="separate"/>
      </w:r>
      <w:r w:rsidR="003764AA" w:rsidRPr="00904641">
        <w:t>2</w:t>
      </w:r>
      <w:r w:rsidRPr="00703A0B">
        <w:fldChar w:fldCharType="end"/>
      </w:r>
      <w:bookmarkEnd w:id="35"/>
      <w:bookmarkEnd w:id="36"/>
      <w:r w:rsidRPr="00703A0B">
        <w:t>: Active licensees under the QBCC Act, Building Act and PD Act recorded statewide over the past two financial years</w:t>
      </w:r>
      <w:bookmarkStart w:id="41" w:name="_Operational_highlights"/>
      <w:bookmarkEnd w:id="37"/>
      <w:bookmarkEnd w:id="38"/>
      <w:bookmarkEnd w:id="39"/>
      <w:bookmarkEnd w:id="40"/>
      <w:bookmarkEnd w:id="41"/>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1696"/>
        <w:gridCol w:w="1098"/>
        <w:gridCol w:w="1093"/>
        <w:gridCol w:w="6"/>
        <w:gridCol w:w="1099"/>
        <w:gridCol w:w="1099"/>
        <w:gridCol w:w="1087"/>
        <w:gridCol w:w="1087"/>
        <w:gridCol w:w="1087"/>
        <w:gridCol w:w="1088"/>
      </w:tblGrid>
      <w:tr w:rsidR="005A497D" w:rsidRPr="00703A0B" w14:paraId="32E65F31" w14:textId="77777777" w:rsidTr="00EE52B6">
        <w:tc>
          <w:tcPr>
            <w:tcW w:w="1696" w:type="dxa"/>
            <w:vMerge w:val="restart"/>
            <w:shd w:val="clear" w:color="auto" w:fill="A6A6A6" w:themeFill="background1" w:themeFillShade="A6"/>
            <w:vAlign w:val="center"/>
            <w:hideMark/>
          </w:tcPr>
          <w:p w14:paraId="5033FA42" w14:textId="77777777" w:rsidR="005A497D" w:rsidRPr="00703A0B" w:rsidRDefault="005A497D">
            <w:pPr>
              <w:rPr>
                <w:rFonts w:eastAsia="Times New Roman" w:cs="Arial"/>
                <w:b/>
                <w:color w:val="000000"/>
                <w:lang w:eastAsia="en-AU"/>
              </w:rPr>
            </w:pPr>
            <w:r w:rsidRPr="00703A0B">
              <w:rPr>
                <w:rFonts w:eastAsia="Times New Roman" w:cs="Arial"/>
                <w:b/>
                <w:lang w:eastAsia="en-AU"/>
              </w:rPr>
              <w:t>Service centre location</w:t>
            </w:r>
          </w:p>
        </w:tc>
        <w:tc>
          <w:tcPr>
            <w:tcW w:w="8744" w:type="dxa"/>
            <w:gridSpan w:val="9"/>
            <w:shd w:val="clear" w:color="auto" w:fill="A6A6A6" w:themeFill="background1" w:themeFillShade="A6"/>
            <w:vAlign w:val="center"/>
            <w:hideMark/>
          </w:tcPr>
          <w:p w14:paraId="75149D60" w14:textId="77777777" w:rsidR="005A497D" w:rsidRPr="00703A0B" w:rsidRDefault="005A497D">
            <w:pPr>
              <w:jc w:val="center"/>
              <w:rPr>
                <w:rFonts w:eastAsia="Times New Roman" w:cs="Arial"/>
                <w:b/>
                <w:bCs/>
                <w:color w:val="000000"/>
                <w:szCs w:val="22"/>
                <w:lang w:eastAsia="en-AU"/>
              </w:rPr>
            </w:pPr>
            <w:r w:rsidRPr="00703A0B">
              <w:rPr>
                <w:rFonts w:eastAsia="Times New Roman" w:cs="Arial"/>
                <w:b/>
                <w:bCs/>
                <w:szCs w:val="22"/>
                <w:lang w:eastAsia="en-AU"/>
              </w:rPr>
              <w:t>Active licensees</w:t>
            </w:r>
          </w:p>
        </w:tc>
      </w:tr>
      <w:tr w:rsidR="005A497D" w:rsidRPr="00703A0B" w14:paraId="1F9096FC" w14:textId="77777777" w:rsidTr="00EE52B6">
        <w:tc>
          <w:tcPr>
            <w:tcW w:w="1696" w:type="dxa"/>
            <w:vMerge/>
            <w:vAlign w:val="center"/>
            <w:hideMark/>
          </w:tcPr>
          <w:p w14:paraId="4ADEA342" w14:textId="77777777" w:rsidR="005A497D" w:rsidRPr="00703A0B" w:rsidRDefault="005A497D">
            <w:pPr>
              <w:rPr>
                <w:rFonts w:eastAsia="Times New Roman" w:cs="Arial"/>
                <w:b/>
                <w:bCs/>
                <w:color w:val="000000"/>
                <w:szCs w:val="22"/>
                <w:lang w:eastAsia="en-AU"/>
              </w:rPr>
            </w:pPr>
          </w:p>
        </w:tc>
        <w:tc>
          <w:tcPr>
            <w:tcW w:w="2191" w:type="dxa"/>
            <w:gridSpan w:val="2"/>
            <w:vMerge w:val="restart"/>
            <w:shd w:val="clear" w:color="auto" w:fill="BFBFBF" w:themeFill="background1" w:themeFillShade="BF"/>
            <w:vAlign w:val="center"/>
            <w:hideMark/>
          </w:tcPr>
          <w:p w14:paraId="5A29E741" w14:textId="77777777" w:rsidR="005A497D" w:rsidRPr="00703A0B" w:rsidRDefault="005A497D">
            <w:pPr>
              <w:jc w:val="center"/>
              <w:rPr>
                <w:rFonts w:eastAsia="Times New Roman" w:cs="Arial"/>
                <w:b/>
                <w:bCs/>
                <w:color w:val="000000"/>
                <w:szCs w:val="22"/>
                <w:lang w:eastAsia="en-AU"/>
              </w:rPr>
            </w:pPr>
            <w:r w:rsidRPr="00703A0B">
              <w:rPr>
                <w:rFonts w:eastAsia="Times New Roman" w:cs="Arial"/>
                <w:b/>
                <w:bCs/>
                <w:szCs w:val="22"/>
                <w:lang w:eastAsia="en-AU"/>
              </w:rPr>
              <w:t>QBCC Act</w:t>
            </w:r>
          </w:p>
        </w:tc>
        <w:tc>
          <w:tcPr>
            <w:tcW w:w="2204" w:type="dxa"/>
            <w:gridSpan w:val="3"/>
            <w:vMerge w:val="restart"/>
            <w:shd w:val="clear" w:color="auto" w:fill="BFBFBF" w:themeFill="background1" w:themeFillShade="BF"/>
            <w:vAlign w:val="center"/>
            <w:hideMark/>
          </w:tcPr>
          <w:p w14:paraId="14997F02" w14:textId="77777777" w:rsidR="005A497D" w:rsidRPr="00703A0B" w:rsidRDefault="005A497D">
            <w:pPr>
              <w:jc w:val="center"/>
              <w:rPr>
                <w:rFonts w:eastAsia="Times New Roman" w:cs="Arial"/>
                <w:b/>
                <w:bCs/>
                <w:color w:val="000000"/>
                <w:szCs w:val="22"/>
                <w:lang w:eastAsia="en-AU"/>
              </w:rPr>
            </w:pPr>
            <w:r w:rsidRPr="00703A0B">
              <w:rPr>
                <w:rFonts w:eastAsia="Times New Roman" w:cs="Arial"/>
                <w:b/>
                <w:bCs/>
                <w:szCs w:val="22"/>
                <w:lang w:eastAsia="en-AU"/>
              </w:rPr>
              <w:t>PD Act</w:t>
            </w:r>
          </w:p>
        </w:tc>
        <w:tc>
          <w:tcPr>
            <w:tcW w:w="4349" w:type="dxa"/>
            <w:gridSpan w:val="4"/>
            <w:shd w:val="clear" w:color="auto" w:fill="BFBFBF" w:themeFill="background1" w:themeFillShade="BF"/>
            <w:vAlign w:val="center"/>
            <w:hideMark/>
          </w:tcPr>
          <w:p w14:paraId="5FAA33C3" w14:textId="77777777" w:rsidR="005A497D" w:rsidRPr="00703A0B" w:rsidRDefault="005A497D">
            <w:pPr>
              <w:jc w:val="center"/>
              <w:rPr>
                <w:rFonts w:eastAsia="Times New Roman" w:cs="Arial"/>
                <w:b/>
                <w:bCs/>
                <w:color w:val="000000"/>
                <w:szCs w:val="22"/>
                <w:lang w:eastAsia="en-AU"/>
              </w:rPr>
            </w:pPr>
            <w:r w:rsidRPr="00703A0B">
              <w:rPr>
                <w:rFonts w:eastAsia="Times New Roman" w:cs="Arial"/>
                <w:b/>
                <w:bCs/>
                <w:szCs w:val="22"/>
                <w:lang w:eastAsia="en-AU"/>
              </w:rPr>
              <w:t>Building Act</w:t>
            </w:r>
          </w:p>
        </w:tc>
      </w:tr>
      <w:tr w:rsidR="005A497D" w:rsidRPr="00703A0B" w14:paraId="6E4A64AD" w14:textId="77777777" w:rsidTr="00EE52B6">
        <w:tc>
          <w:tcPr>
            <w:tcW w:w="1696" w:type="dxa"/>
            <w:vMerge/>
            <w:vAlign w:val="center"/>
          </w:tcPr>
          <w:p w14:paraId="08FCFE8B" w14:textId="77777777" w:rsidR="005A497D" w:rsidRPr="00703A0B" w:rsidRDefault="005A497D">
            <w:pPr>
              <w:rPr>
                <w:rFonts w:eastAsia="Times New Roman" w:cs="Arial"/>
                <w:b/>
                <w:bCs/>
                <w:color w:val="000000"/>
                <w:szCs w:val="22"/>
                <w:lang w:eastAsia="en-AU"/>
              </w:rPr>
            </w:pPr>
          </w:p>
        </w:tc>
        <w:tc>
          <w:tcPr>
            <w:tcW w:w="2191" w:type="dxa"/>
            <w:gridSpan w:val="2"/>
            <w:vMerge/>
            <w:vAlign w:val="center"/>
          </w:tcPr>
          <w:p w14:paraId="6CBDC86D" w14:textId="77777777" w:rsidR="005A497D" w:rsidRPr="00703A0B" w:rsidRDefault="005A497D">
            <w:pPr>
              <w:rPr>
                <w:rFonts w:eastAsia="Times New Roman" w:cs="Arial"/>
                <w:b/>
                <w:bCs/>
                <w:szCs w:val="22"/>
                <w:lang w:eastAsia="en-AU"/>
              </w:rPr>
            </w:pPr>
          </w:p>
        </w:tc>
        <w:tc>
          <w:tcPr>
            <w:tcW w:w="2204" w:type="dxa"/>
            <w:gridSpan w:val="3"/>
            <w:vMerge/>
            <w:vAlign w:val="center"/>
          </w:tcPr>
          <w:p w14:paraId="47BEE4B3" w14:textId="77777777" w:rsidR="005A497D" w:rsidRPr="00703A0B" w:rsidRDefault="005A497D">
            <w:pPr>
              <w:jc w:val="center"/>
              <w:rPr>
                <w:rFonts w:eastAsia="Times New Roman" w:cs="Arial"/>
                <w:b/>
                <w:bCs/>
                <w:szCs w:val="22"/>
                <w:lang w:eastAsia="en-AU"/>
              </w:rPr>
            </w:pPr>
          </w:p>
        </w:tc>
        <w:tc>
          <w:tcPr>
            <w:tcW w:w="2174" w:type="dxa"/>
            <w:gridSpan w:val="2"/>
            <w:shd w:val="clear" w:color="auto" w:fill="D9D9D9" w:themeFill="background1" w:themeFillShade="D9"/>
            <w:vAlign w:val="center"/>
          </w:tcPr>
          <w:p w14:paraId="01587E79" w14:textId="77777777" w:rsidR="005A497D" w:rsidRPr="00703A0B" w:rsidRDefault="005A497D">
            <w:pPr>
              <w:jc w:val="center"/>
              <w:rPr>
                <w:rFonts w:eastAsia="Times New Roman" w:cs="Arial"/>
                <w:b/>
                <w:bCs/>
                <w:szCs w:val="22"/>
                <w:lang w:eastAsia="en-AU"/>
              </w:rPr>
            </w:pPr>
            <w:r w:rsidRPr="00703A0B">
              <w:rPr>
                <w:rFonts w:eastAsia="Times New Roman" w:cs="Arial"/>
                <w:b/>
                <w:bCs/>
                <w:szCs w:val="22"/>
                <w:lang w:eastAsia="en-AU"/>
              </w:rPr>
              <w:t>Certifier</w:t>
            </w:r>
          </w:p>
        </w:tc>
        <w:tc>
          <w:tcPr>
            <w:tcW w:w="2175" w:type="dxa"/>
            <w:gridSpan w:val="2"/>
            <w:shd w:val="clear" w:color="auto" w:fill="D9D9D9" w:themeFill="background1" w:themeFillShade="D9"/>
            <w:vAlign w:val="center"/>
          </w:tcPr>
          <w:p w14:paraId="3AF89A76" w14:textId="77777777" w:rsidR="005A497D" w:rsidRPr="00703A0B" w:rsidRDefault="005A497D">
            <w:pPr>
              <w:jc w:val="center"/>
              <w:rPr>
                <w:rFonts w:eastAsia="Times New Roman" w:cs="Arial"/>
                <w:b/>
                <w:bCs/>
                <w:color w:val="000000"/>
                <w:szCs w:val="22"/>
                <w:lang w:eastAsia="en-AU"/>
              </w:rPr>
            </w:pPr>
            <w:r w:rsidRPr="00703A0B">
              <w:rPr>
                <w:rFonts w:eastAsia="Times New Roman" w:cs="Arial"/>
                <w:b/>
                <w:bCs/>
                <w:color w:val="000000"/>
                <w:szCs w:val="22"/>
                <w:lang w:eastAsia="en-AU"/>
              </w:rPr>
              <w:t>Pool Safety Inspector</w:t>
            </w:r>
          </w:p>
        </w:tc>
      </w:tr>
      <w:tr w:rsidR="005A497D" w:rsidRPr="00703A0B" w14:paraId="544993B6" w14:textId="77777777" w:rsidTr="00EE52B6">
        <w:tc>
          <w:tcPr>
            <w:tcW w:w="1696" w:type="dxa"/>
            <w:vMerge/>
            <w:vAlign w:val="center"/>
            <w:hideMark/>
          </w:tcPr>
          <w:p w14:paraId="370534EA" w14:textId="77777777" w:rsidR="005A497D" w:rsidRPr="00703A0B" w:rsidRDefault="005A497D">
            <w:pPr>
              <w:rPr>
                <w:rFonts w:eastAsia="Times New Roman" w:cs="Arial"/>
                <w:b/>
                <w:bCs/>
                <w:color w:val="000000"/>
                <w:szCs w:val="22"/>
                <w:lang w:eastAsia="en-AU"/>
              </w:rPr>
            </w:pPr>
          </w:p>
        </w:tc>
        <w:tc>
          <w:tcPr>
            <w:tcW w:w="1098" w:type="dxa"/>
            <w:shd w:val="clear" w:color="auto" w:fill="F2F2F2" w:themeFill="background1" w:themeFillShade="F2"/>
            <w:hideMark/>
          </w:tcPr>
          <w:p w14:paraId="5DCBB66B" w14:textId="77777777" w:rsidR="005A497D" w:rsidRPr="00703A0B" w:rsidRDefault="005A497D" w:rsidP="00730922">
            <w:pPr>
              <w:rPr>
                <w:rFonts w:eastAsia="Times New Roman" w:cs="Arial"/>
                <w:b/>
                <w:bCs/>
                <w:color w:val="000000"/>
                <w:szCs w:val="22"/>
                <w:lang w:eastAsia="en-AU"/>
              </w:rPr>
            </w:pPr>
            <w:r w:rsidRPr="00703A0B">
              <w:rPr>
                <w:rFonts w:eastAsia="Times New Roman" w:cs="Arial"/>
                <w:b/>
                <w:bCs/>
                <w:szCs w:val="22"/>
                <w:lang w:eastAsia="en-AU"/>
              </w:rPr>
              <w:t>2024–25</w:t>
            </w:r>
          </w:p>
        </w:tc>
        <w:tc>
          <w:tcPr>
            <w:tcW w:w="1099" w:type="dxa"/>
            <w:gridSpan w:val="2"/>
            <w:shd w:val="clear" w:color="auto" w:fill="F2F2F2" w:themeFill="background1" w:themeFillShade="F2"/>
            <w:hideMark/>
          </w:tcPr>
          <w:p w14:paraId="6B2216A9" w14:textId="77777777" w:rsidR="005A497D" w:rsidRPr="00703A0B" w:rsidRDefault="005A497D" w:rsidP="00730922">
            <w:pPr>
              <w:rPr>
                <w:rFonts w:eastAsia="Times New Roman" w:cs="Arial"/>
                <w:b/>
                <w:bCs/>
                <w:color w:val="000000"/>
                <w:szCs w:val="22"/>
                <w:lang w:eastAsia="en-AU"/>
              </w:rPr>
            </w:pPr>
            <w:r w:rsidRPr="00703A0B">
              <w:rPr>
                <w:rFonts w:eastAsia="Times New Roman" w:cs="Arial"/>
                <w:b/>
                <w:bCs/>
                <w:szCs w:val="22"/>
                <w:lang w:eastAsia="en-AU"/>
              </w:rPr>
              <w:t>2025–26</w:t>
            </w:r>
          </w:p>
        </w:tc>
        <w:tc>
          <w:tcPr>
            <w:tcW w:w="1099" w:type="dxa"/>
            <w:shd w:val="clear" w:color="auto" w:fill="F2F2F2" w:themeFill="background1" w:themeFillShade="F2"/>
            <w:hideMark/>
          </w:tcPr>
          <w:p w14:paraId="15CC51E6" w14:textId="77777777" w:rsidR="005A497D" w:rsidRPr="00703A0B" w:rsidRDefault="005A497D" w:rsidP="00730922">
            <w:pPr>
              <w:rPr>
                <w:rFonts w:eastAsia="Times New Roman" w:cs="Arial"/>
                <w:b/>
                <w:bCs/>
                <w:color w:val="000000"/>
                <w:szCs w:val="22"/>
                <w:lang w:eastAsia="en-AU"/>
              </w:rPr>
            </w:pPr>
            <w:r w:rsidRPr="00703A0B">
              <w:rPr>
                <w:rFonts w:eastAsia="Times New Roman" w:cs="Arial"/>
                <w:b/>
                <w:bCs/>
                <w:szCs w:val="22"/>
                <w:lang w:eastAsia="en-AU"/>
              </w:rPr>
              <w:t>2024–25</w:t>
            </w:r>
          </w:p>
        </w:tc>
        <w:tc>
          <w:tcPr>
            <w:tcW w:w="1099" w:type="dxa"/>
            <w:shd w:val="clear" w:color="auto" w:fill="F2F2F2" w:themeFill="background1" w:themeFillShade="F2"/>
            <w:hideMark/>
          </w:tcPr>
          <w:p w14:paraId="5A6EABCF" w14:textId="77777777" w:rsidR="005A497D" w:rsidRPr="00703A0B" w:rsidRDefault="005A497D" w:rsidP="00730922">
            <w:pPr>
              <w:rPr>
                <w:rFonts w:eastAsia="Times New Roman" w:cs="Arial"/>
                <w:b/>
                <w:bCs/>
                <w:color w:val="000000"/>
                <w:szCs w:val="22"/>
                <w:lang w:eastAsia="en-AU"/>
              </w:rPr>
            </w:pPr>
            <w:r w:rsidRPr="00703A0B">
              <w:rPr>
                <w:rFonts w:eastAsia="Times New Roman" w:cs="Arial"/>
                <w:b/>
                <w:bCs/>
                <w:szCs w:val="22"/>
                <w:lang w:eastAsia="en-AU"/>
              </w:rPr>
              <w:t>2025–26</w:t>
            </w:r>
          </w:p>
        </w:tc>
        <w:tc>
          <w:tcPr>
            <w:tcW w:w="1087" w:type="dxa"/>
            <w:shd w:val="clear" w:color="auto" w:fill="F2F2F2" w:themeFill="background1" w:themeFillShade="F2"/>
            <w:hideMark/>
          </w:tcPr>
          <w:p w14:paraId="62C21A6F" w14:textId="77777777" w:rsidR="005A497D" w:rsidRPr="00703A0B" w:rsidRDefault="005A497D" w:rsidP="00730922">
            <w:pPr>
              <w:rPr>
                <w:rFonts w:eastAsia="Times New Roman" w:cs="Arial"/>
                <w:b/>
                <w:bCs/>
                <w:color w:val="000000"/>
                <w:szCs w:val="22"/>
                <w:lang w:eastAsia="en-AU"/>
              </w:rPr>
            </w:pPr>
            <w:r w:rsidRPr="00703A0B">
              <w:rPr>
                <w:rFonts w:eastAsia="Times New Roman" w:cs="Arial"/>
                <w:b/>
                <w:bCs/>
                <w:szCs w:val="22"/>
                <w:lang w:eastAsia="en-AU"/>
              </w:rPr>
              <w:t>2024–25</w:t>
            </w:r>
          </w:p>
        </w:tc>
        <w:tc>
          <w:tcPr>
            <w:tcW w:w="1087" w:type="dxa"/>
            <w:shd w:val="clear" w:color="auto" w:fill="F2F2F2" w:themeFill="background1" w:themeFillShade="F2"/>
            <w:hideMark/>
          </w:tcPr>
          <w:p w14:paraId="4B7D064A" w14:textId="77777777" w:rsidR="005A497D" w:rsidRPr="00703A0B" w:rsidRDefault="005A497D" w:rsidP="00730922">
            <w:pPr>
              <w:rPr>
                <w:rFonts w:eastAsia="Times New Roman" w:cs="Arial"/>
                <w:b/>
                <w:bCs/>
                <w:color w:val="000000"/>
                <w:szCs w:val="22"/>
                <w:lang w:eastAsia="en-AU"/>
              </w:rPr>
            </w:pPr>
            <w:r w:rsidRPr="00703A0B">
              <w:rPr>
                <w:rFonts w:eastAsia="Times New Roman" w:cs="Arial"/>
                <w:b/>
                <w:bCs/>
                <w:szCs w:val="22"/>
                <w:lang w:eastAsia="en-AU"/>
              </w:rPr>
              <w:t>2025–26</w:t>
            </w:r>
          </w:p>
        </w:tc>
        <w:tc>
          <w:tcPr>
            <w:tcW w:w="1087" w:type="dxa"/>
            <w:shd w:val="clear" w:color="auto" w:fill="F2F2F2" w:themeFill="background1" w:themeFillShade="F2"/>
            <w:hideMark/>
          </w:tcPr>
          <w:p w14:paraId="1667294A" w14:textId="77777777" w:rsidR="005A497D" w:rsidRPr="00703A0B" w:rsidRDefault="005A497D" w:rsidP="00730922">
            <w:pPr>
              <w:rPr>
                <w:rFonts w:eastAsia="Times New Roman" w:cs="Arial"/>
                <w:b/>
                <w:bCs/>
                <w:color w:val="000000"/>
                <w:szCs w:val="22"/>
                <w:lang w:eastAsia="en-AU"/>
              </w:rPr>
            </w:pPr>
            <w:r w:rsidRPr="00703A0B">
              <w:rPr>
                <w:rFonts w:eastAsia="Times New Roman" w:cs="Arial"/>
                <w:b/>
                <w:bCs/>
                <w:szCs w:val="22"/>
                <w:lang w:eastAsia="en-AU"/>
              </w:rPr>
              <w:t>2024–25</w:t>
            </w:r>
          </w:p>
        </w:tc>
        <w:tc>
          <w:tcPr>
            <w:tcW w:w="1088" w:type="dxa"/>
            <w:shd w:val="clear" w:color="auto" w:fill="F2F2F2" w:themeFill="background1" w:themeFillShade="F2"/>
            <w:hideMark/>
          </w:tcPr>
          <w:p w14:paraId="0EA7BEA6" w14:textId="77777777" w:rsidR="005A497D" w:rsidRPr="00703A0B" w:rsidRDefault="005A497D" w:rsidP="00730922">
            <w:pPr>
              <w:rPr>
                <w:rFonts w:eastAsia="Times New Roman" w:cs="Arial"/>
                <w:b/>
                <w:bCs/>
                <w:color w:val="000000"/>
                <w:szCs w:val="22"/>
                <w:lang w:eastAsia="en-AU"/>
              </w:rPr>
            </w:pPr>
            <w:r w:rsidRPr="00703A0B">
              <w:rPr>
                <w:rFonts w:eastAsia="Times New Roman" w:cs="Arial"/>
                <w:b/>
                <w:bCs/>
                <w:szCs w:val="22"/>
                <w:lang w:eastAsia="en-AU"/>
              </w:rPr>
              <w:t>2025–26</w:t>
            </w:r>
          </w:p>
        </w:tc>
      </w:tr>
      <w:tr w:rsidR="005A497D" w:rsidRPr="00703A0B" w14:paraId="2B4D0C60" w14:textId="77777777" w:rsidTr="00EE52B6">
        <w:tc>
          <w:tcPr>
            <w:tcW w:w="1696" w:type="dxa"/>
            <w:hideMark/>
          </w:tcPr>
          <w:p w14:paraId="25B489CE" w14:textId="77777777" w:rsidR="005A497D" w:rsidRPr="00703A0B" w:rsidRDefault="005A497D" w:rsidP="00730922">
            <w:pPr>
              <w:rPr>
                <w:rFonts w:eastAsia="Times New Roman" w:cs="Arial"/>
                <w:color w:val="000000"/>
                <w:szCs w:val="22"/>
                <w:lang w:eastAsia="en-AU"/>
              </w:rPr>
            </w:pPr>
            <w:r w:rsidRPr="00703A0B">
              <w:rPr>
                <w:rFonts w:eastAsia="Times New Roman" w:cs="Arial"/>
                <w:color w:val="000000"/>
                <w:szCs w:val="22"/>
                <w:lang w:eastAsia="en-AU"/>
              </w:rPr>
              <w:t>Brisbane</w:t>
            </w:r>
          </w:p>
        </w:tc>
        <w:tc>
          <w:tcPr>
            <w:tcW w:w="1098" w:type="dxa"/>
            <w:hideMark/>
          </w:tcPr>
          <w:p w14:paraId="1A1771C4" w14:textId="77777777" w:rsidR="005A497D" w:rsidRPr="00703A0B" w:rsidRDefault="005A497D" w:rsidP="00730922">
            <w:pPr>
              <w:rPr>
                <w:rFonts w:eastAsia="Times New Roman" w:cs="Arial"/>
                <w:color w:val="000000"/>
                <w:szCs w:val="22"/>
                <w:lang w:eastAsia="en-AU"/>
              </w:rPr>
            </w:pPr>
            <w:r w:rsidRPr="00703A0B">
              <w:rPr>
                <w:rFonts w:eastAsia="Times New Roman" w:cs="Arial"/>
                <w:color w:val="000000"/>
                <w:szCs w:val="22"/>
                <w:lang w:eastAsia="en-AU"/>
              </w:rPr>
              <w:t>53,879</w:t>
            </w:r>
          </w:p>
        </w:tc>
        <w:tc>
          <w:tcPr>
            <w:tcW w:w="1099" w:type="dxa"/>
            <w:gridSpan w:val="2"/>
          </w:tcPr>
          <w:p w14:paraId="10741C16" w14:textId="14D677E9" w:rsidR="005A497D" w:rsidRPr="00703A0B" w:rsidRDefault="000C6539" w:rsidP="00730922">
            <w:pPr>
              <w:rPr>
                <w:rFonts w:eastAsia="Times New Roman" w:cs="Arial"/>
                <w:color w:val="000000"/>
                <w:szCs w:val="22"/>
                <w:lang w:eastAsia="en-AU"/>
              </w:rPr>
            </w:pPr>
            <w:r w:rsidRPr="00703A0B">
              <w:rPr>
                <w:rFonts w:cs="Arial"/>
                <w:bCs/>
                <w:szCs w:val="22"/>
              </w:rPr>
              <w:t>57,905</w:t>
            </w:r>
          </w:p>
        </w:tc>
        <w:tc>
          <w:tcPr>
            <w:tcW w:w="1099" w:type="dxa"/>
            <w:hideMark/>
          </w:tcPr>
          <w:p w14:paraId="51662E17" w14:textId="77777777" w:rsidR="005A497D" w:rsidRPr="00703A0B" w:rsidRDefault="005A497D" w:rsidP="00730922">
            <w:pPr>
              <w:rPr>
                <w:rFonts w:eastAsia="Times New Roman" w:cs="Arial"/>
                <w:color w:val="000000"/>
                <w:szCs w:val="22"/>
                <w:lang w:eastAsia="en-AU"/>
              </w:rPr>
            </w:pPr>
            <w:r w:rsidRPr="00703A0B">
              <w:rPr>
                <w:rFonts w:eastAsia="Times New Roman" w:cs="Arial"/>
                <w:color w:val="000000"/>
                <w:szCs w:val="22"/>
                <w:lang w:eastAsia="en-AU"/>
              </w:rPr>
              <w:t>8,990</w:t>
            </w:r>
          </w:p>
        </w:tc>
        <w:tc>
          <w:tcPr>
            <w:tcW w:w="1099" w:type="dxa"/>
          </w:tcPr>
          <w:p w14:paraId="580307BD" w14:textId="02C2F213" w:rsidR="005A497D" w:rsidRPr="00703A0B" w:rsidRDefault="000C6539" w:rsidP="00730922">
            <w:pPr>
              <w:rPr>
                <w:rFonts w:eastAsia="Times New Roman" w:cs="Arial"/>
                <w:color w:val="000000"/>
                <w:szCs w:val="22"/>
                <w:lang w:eastAsia="en-AU"/>
              </w:rPr>
            </w:pPr>
            <w:r w:rsidRPr="00703A0B">
              <w:rPr>
                <w:rFonts w:cs="Arial"/>
                <w:bCs/>
                <w:szCs w:val="22"/>
              </w:rPr>
              <w:t>9,286</w:t>
            </w:r>
          </w:p>
        </w:tc>
        <w:tc>
          <w:tcPr>
            <w:tcW w:w="1087" w:type="dxa"/>
            <w:hideMark/>
          </w:tcPr>
          <w:p w14:paraId="074CC045" w14:textId="77777777" w:rsidR="005A497D" w:rsidRPr="00703A0B" w:rsidRDefault="005A497D" w:rsidP="00730922">
            <w:pPr>
              <w:rPr>
                <w:rFonts w:eastAsia="Times New Roman" w:cs="Arial"/>
                <w:color w:val="000000"/>
                <w:szCs w:val="22"/>
                <w:lang w:eastAsia="en-AU"/>
              </w:rPr>
            </w:pPr>
            <w:r w:rsidRPr="00703A0B">
              <w:rPr>
                <w:rFonts w:eastAsia="Times New Roman" w:cs="Arial"/>
                <w:color w:val="000000"/>
                <w:szCs w:val="22"/>
                <w:lang w:eastAsia="en-AU"/>
              </w:rPr>
              <w:t>289</w:t>
            </w:r>
          </w:p>
        </w:tc>
        <w:tc>
          <w:tcPr>
            <w:tcW w:w="1087" w:type="dxa"/>
          </w:tcPr>
          <w:p w14:paraId="2678CC0B" w14:textId="0BCD80DF" w:rsidR="005A497D" w:rsidRPr="00703A0B" w:rsidRDefault="000C6539" w:rsidP="00730922">
            <w:pPr>
              <w:rPr>
                <w:rFonts w:eastAsia="Times New Roman" w:cs="Arial"/>
                <w:color w:val="000000"/>
                <w:szCs w:val="22"/>
                <w:lang w:eastAsia="en-AU"/>
              </w:rPr>
            </w:pPr>
            <w:r w:rsidRPr="00703A0B">
              <w:rPr>
                <w:rFonts w:cs="Arial"/>
                <w:bCs/>
                <w:szCs w:val="22"/>
              </w:rPr>
              <w:t>309</w:t>
            </w:r>
          </w:p>
        </w:tc>
        <w:tc>
          <w:tcPr>
            <w:tcW w:w="1087" w:type="dxa"/>
            <w:hideMark/>
          </w:tcPr>
          <w:p w14:paraId="03388596" w14:textId="77777777" w:rsidR="005A497D" w:rsidRPr="00703A0B" w:rsidRDefault="005A497D" w:rsidP="00730922">
            <w:pPr>
              <w:rPr>
                <w:rFonts w:eastAsia="Times New Roman" w:cs="Arial"/>
                <w:color w:val="000000"/>
                <w:szCs w:val="22"/>
                <w:lang w:eastAsia="en-AU"/>
              </w:rPr>
            </w:pPr>
            <w:r w:rsidRPr="00703A0B">
              <w:rPr>
                <w:rFonts w:eastAsia="Times New Roman" w:cs="Arial"/>
                <w:color w:val="000000"/>
                <w:szCs w:val="22"/>
                <w:lang w:eastAsia="en-AU"/>
              </w:rPr>
              <w:t>209</w:t>
            </w:r>
          </w:p>
        </w:tc>
        <w:tc>
          <w:tcPr>
            <w:tcW w:w="1088" w:type="dxa"/>
          </w:tcPr>
          <w:p w14:paraId="2A6978D3" w14:textId="04CD4C2C" w:rsidR="005A497D" w:rsidRPr="00703A0B" w:rsidRDefault="000C6539" w:rsidP="00730922">
            <w:pPr>
              <w:rPr>
                <w:rFonts w:eastAsia="Times New Roman" w:cs="Arial"/>
                <w:color w:val="000000"/>
                <w:szCs w:val="22"/>
                <w:lang w:eastAsia="en-AU"/>
              </w:rPr>
            </w:pPr>
            <w:r w:rsidRPr="00703A0B">
              <w:rPr>
                <w:rFonts w:cs="Arial"/>
                <w:bCs/>
                <w:szCs w:val="22"/>
              </w:rPr>
              <w:t>215</w:t>
            </w:r>
          </w:p>
        </w:tc>
      </w:tr>
      <w:tr w:rsidR="005A497D" w:rsidRPr="00703A0B" w14:paraId="7FAB021B" w14:textId="77777777" w:rsidTr="00EE52B6">
        <w:tc>
          <w:tcPr>
            <w:tcW w:w="1696" w:type="dxa"/>
            <w:hideMark/>
          </w:tcPr>
          <w:p w14:paraId="45E08190" w14:textId="77777777" w:rsidR="005A497D" w:rsidRPr="00703A0B" w:rsidRDefault="005A497D" w:rsidP="00730922">
            <w:pPr>
              <w:rPr>
                <w:rFonts w:eastAsia="Times New Roman" w:cs="Arial"/>
                <w:color w:val="000000"/>
                <w:szCs w:val="22"/>
                <w:lang w:eastAsia="en-AU"/>
              </w:rPr>
            </w:pPr>
            <w:r w:rsidRPr="00703A0B">
              <w:rPr>
                <w:rFonts w:eastAsia="Times New Roman" w:cs="Arial"/>
                <w:color w:val="000000"/>
                <w:szCs w:val="22"/>
                <w:lang w:eastAsia="en-AU"/>
              </w:rPr>
              <w:t>Cairns</w:t>
            </w:r>
          </w:p>
        </w:tc>
        <w:tc>
          <w:tcPr>
            <w:tcW w:w="1098" w:type="dxa"/>
            <w:hideMark/>
          </w:tcPr>
          <w:p w14:paraId="50D73E1D" w14:textId="77777777" w:rsidR="005A497D" w:rsidRPr="00703A0B" w:rsidRDefault="005A497D" w:rsidP="00730922">
            <w:pPr>
              <w:rPr>
                <w:rFonts w:eastAsia="Times New Roman" w:cs="Arial"/>
                <w:color w:val="000000"/>
                <w:szCs w:val="22"/>
                <w:lang w:eastAsia="en-AU"/>
              </w:rPr>
            </w:pPr>
            <w:r w:rsidRPr="00703A0B">
              <w:rPr>
                <w:rFonts w:eastAsia="Times New Roman" w:cs="Arial"/>
                <w:color w:val="000000"/>
                <w:szCs w:val="22"/>
                <w:lang w:eastAsia="en-AU"/>
              </w:rPr>
              <w:t>5,470</w:t>
            </w:r>
          </w:p>
        </w:tc>
        <w:tc>
          <w:tcPr>
            <w:tcW w:w="1099" w:type="dxa"/>
            <w:gridSpan w:val="2"/>
          </w:tcPr>
          <w:p w14:paraId="6C76BF57" w14:textId="52EFDDCB" w:rsidR="005A497D" w:rsidRPr="00703A0B" w:rsidRDefault="000C6539" w:rsidP="00730922">
            <w:pPr>
              <w:rPr>
                <w:rFonts w:eastAsia="Times New Roman" w:cs="Arial"/>
                <w:color w:val="000000"/>
                <w:szCs w:val="22"/>
                <w:lang w:eastAsia="en-AU"/>
              </w:rPr>
            </w:pPr>
            <w:r w:rsidRPr="00703A0B">
              <w:rPr>
                <w:rFonts w:cs="Arial"/>
                <w:bCs/>
                <w:szCs w:val="22"/>
              </w:rPr>
              <w:t>5,605</w:t>
            </w:r>
          </w:p>
        </w:tc>
        <w:tc>
          <w:tcPr>
            <w:tcW w:w="1099" w:type="dxa"/>
            <w:hideMark/>
          </w:tcPr>
          <w:p w14:paraId="22976086" w14:textId="77777777" w:rsidR="005A497D" w:rsidRPr="00703A0B" w:rsidRDefault="005A497D" w:rsidP="00730922">
            <w:pPr>
              <w:rPr>
                <w:rFonts w:eastAsia="Times New Roman" w:cs="Arial"/>
                <w:color w:val="000000"/>
                <w:szCs w:val="22"/>
                <w:lang w:eastAsia="en-AU"/>
              </w:rPr>
            </w:pPr>
            <w:r w:rsidRPr="00703A0B">
              <w:rPr>
                <w:rFonts w:eastAsia="Times New Roman" w:cs="Arial"/>
                <w:color w:val="000000"/>
                <w:szCs w:val="22"/>
                <w:lang w:eastAsia="en-AU"/>
              </w:rPr>
              <w:t>926</w:t>
            </w:r>
          </w:p>
        </w:tc>
        <w:tc>
          <w:tcPr>
            <w:tcW w:w="1099" w:type="dxa"/>
          </w:tcPr>
          <w:p w14:paraId="245EA828" w14:textId="571C9C39" w:rsidR="005A497D" w:rsidRPr="00703A0B" w:rsidRDefault="000C6539" w:rsidP="00730922">
            <w:pPr>
              <w:rPr>
                <w:rFonts w:eastAsia="Times New Roman" w:cs="Arial"/>
                <w:color w:val="000000"/>
                <w:szCs w:val="22"/>
                <w:lang w:eastAsia="en-AU"/>
              </w:rPr>
            </w:pPr>
            <w:r w:rsidRPr="00703A0B">
              <w:rPr>
                <w:rFonts w:cs="Arial"/>
                <w:bCs/>
                <w:szCs w:val="22"/>
              </w:rPr>
              <w:t>950</w:t>
            </w:r>
          </w:p>
        </w:tc>
        <w:tc>
          <w:tcPr>
            <w:tcW w:w="1087" w:type="dxa"/>
            <w:hideMark/>
          </w:tcPr>
          <w:p w14:paraId="5E65D834" w14:textId="77777777" w:rsidR="005A497D" w:rsidRPr="00703A0B" w:rsidRDefault="005A497D" w:rsidP="00730922">
            <w:pPr>
              <w:rPr>
                <w:rFonts w:eastAsia="Times New Roman" w:cs="Arial"/>
                <w:color w:val="000000"/>
                <w:szCs w:val="22"/>
                <w:lang w:eastAsia="en-AU"/>
              </w:rPr>
            </w:pPr>
            <w:r w:rsidRPr="00703A0B" w:rsidDel="006757A7">
              <w:rPr>
                <w:rFonts w:eastAsia="Times New Roman" w:cs="Arial"/>
                <w:color w:val="000000"/>
                <w:szCs w:val="22"/>
                <w:lang w:eastAsia="en-AU"/>
              </w:rPr>
              <w:t>20</w:t>
            </w:r>
          </w:p>
        </w:tc>
        <w:tc>
          <w:tcPr>
            <w:tcW w:w="1087" w:type="dxa"/>
          </w:tcPr>
          <w:p w14:paraId="04241C49" w14:textId="7FA20AA0" w:rsidR="005A497D" w:rsidRPr="00703A0B" w:rsidRDefault="000C6539" w:rsidP="00730922">
            <w:pPr>
              <w:rPr>
                <w:rFonts w:eastAsia="Times New Roman" w:cs="Arial"/>
                <w:color w:val="000000"/>
                <w:szCs w:val="22"/>
                <w:lang w:eastAsia="en-AU"/>
              </w:rPr>
            </w:pPr>
            <w:r w:rsidRPr="00703A0B">
              <w:rPr>
                <w:rFonts w:cs="Arial"/>
                <w:bCs/>
                <w:szCs w:val="22"/>
              </w:rPr>
              <w:t>20</w:t>
            </w:r>
          </w:p>
        </w:tc>
        <w:tc>
          <w:tcPr>
            <w:tcW w:w="1087" w:type="dxa"/>
            <w:hideMark/>
          </w:tcPr>
          <w:p w14:paraId="785DC461" w14:textId="77777777" w:rsidR="005A497D" w:rsidRPr="00703A0B" w:rsidRDefault="005A497D" w:rsidP="00730922">
            <w:pPr>
              <w:rPr>
                <w:rFonts w:eastAsia="Times New Roman" w:cs="Arial"/>
                <w:color w:val="000000"/>
                <w:szCs w:val="22"/>
                <w:lang w:eastAsia="en-AU"/>
              </w:rPr>
            </w:pPr>
            <w:r w:rsidRPr="00703A0B">
              <w:rPr>
                <w:rFonts w:eastAsia="Times New Roman" w:cs="Arial"/>
                <w:color w:val="000000"/>
                <w:szCs w:val="22"/>
                <w:lang w:eastAsia="en-AU"/>
              </w:rPr>
              <w:t>35</w:t>
            </w:r>
          </w:p>
        </w:tc>
        <w:tc>
          <w:tcPr>
            <w:tcW w:w="1088" w:type="dxa"/>
          </w:tcPr>
          <w:p w14:paraId="4043AF5B" w14:textId="067E86C0" w:rsidR="005A497D" w:rsidRPr="00703A0B" w:rsidRDefault="000C6539" w:rsidP="00730922">
            <w:pPr>
              <w:rPr>
                <w:rFonts w:eastAsia="Times New Roman" w:cs="Arial"/>
                <w:color w:val="000000"/>
                <w:szCs w:val="22"/>
                <w:lang w:eastAsia="en-AU"/>
              </w:rPr>
            </w:pPr>
            <w:r w:rsidRPr="00703A0B">
              <w:rPr>
                <w:rFonts w:cs="Arial"/>
                <w:bCs/>
                <w:szCs w:val="22"/>
              </w:rPr>
              <w:t>38</w:t>
            </w:r>
          </w:p>
        </w:tc>
      </w:tr>
      <w:tr w:rsidR="00B53A75" w:rsidRPr="00703A0B" w14:paraId="36D5B7EE" w14:textId="77777777" w:rsidTr="00EE52B6">
        <w:tc>
          <w:tcPr>
            <w:tcW w:w="1696" w:type="dxa"/>
            <w:hideMark/>
          </w:tcPr>
          <w:p w14:paraId="5E7CD405"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Gold Coast</w:t>
            </w:r>
          </w:p>
        </w:tc>
        <w:tc>
          <w:tcPr>
            <w:tcW w:w="1098" w:type="dxa"/>
            <w:hideMark/>
          </w:tcPr>
          <w:p w14:paraId="75DEBABA"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12,622</w:t>
            </w:r>
          </w:p>
        </w:tc>
        <w:tc>
          <w:tcPr>
            <w:tcW w:w="1099" w:type="dxa"/>
            <w:gridSpan w:val="2"/>
          </w:tcPr>
          <w:p w14:paraId="7CAE5585" w14:textId="3F043982"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13,052</w:t>
            </w:r>
          </w:p>
        </w:tc>
        <w:tc>
          <w:tcPr>
            <w:tcW w:w="1099" w:type="dxa"/>
            <w:hideMark/>
          </w:tcPr>
          <w:p w14:paraId="4713DB82"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1,893</w:t>
            </w:r>
          </w:p>
        </w:tc>
        <w:tc>
          <w:tcPr>
            <w:tcW w:w="1099" w:type="dxa"/>
          </w:tcPr>
          <w:p w14:paraId="5FD8DE5F" w14:textId="201F0E30" w:rsidR="00B53A75" w:rsidRPr="00703A0B" w:rsidRDefault="00B53A75" w:rsidP="00730922">
            <w:pPr>
              <w:rPr>
                <w:rFonts w:eastAsia="Times New Roman" w:cs="Arial"/>
                <w:color w:val="000000"/>
                <w:szCs w:val="22"/>
                <w:lang w:eastAsia="en-AU"/>
              </w:rPr>
            </w:pPr>
            <w:r w:rsidRPr="00703A0B">
              <w:t>1,989</w:t>
            </w:r>
          </w:p>
        </w:tc>
        <w:tc>
          <w:tcPr>
            <w:tcW w:w="1087" w:type="dxa"/>
            <w:hideMark/>
          </w:tcPr>
          <w:p w14:paraId="1DD7BBAE"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68</w:t>
            </w:r>
          </w:p>
        </w:tc>
        <w:tc>
          <w:tcPr>
            <w:tcW w:w="1087" w:type="dxa"/>
          </w:tcPr>
          <w:p w14:paraId="7847BB87" w14:textId="627018BC" w:rsidR="00B53A75" w:rsidRPr="00703A0B" w:rsidRDefault="00B53A75" w:rsidP="00730922">
            <w:pPr>
              <w:rPr>
                <w:rFonts w:eastAsia="Times New Roman" w:cs="Arial"/>
                <w:color w:val="000000"/>
                <w:szCs w:val="22"/>
                <w:lang w:eastAsia="en-AU"/>
              </w:rPr>
            </w:pPr>
            <w:r w:rsidRPr="00703A0B">
              <w:t>64</w:t>
            </w:r>
          </w:p>
        </w:tc>
        <w:tc>
          <w:tcPr>
            <w:tcW w:w="1087" w:type="dxa"/>
            <w:hideMark/>
          </w:tcPr>
          <w:p w14:paraId="72F22885"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49</w:t>
            </w:r>
          </w:p>
        </w:tc>
        <w:tc>
          <w:tcPr>
            <w:tcW w:w="1088" w:type="dxa"/>
          </w:tcPr>
          <w:p w14:paraId="4F096788" w14:textId="0171C136" w:rsidR="00B53A75" w:rsidRPr="00703A0B" w:rsidRDefault="00B53A75" w:rsidP="00730922">
            <w:pPr>
              <w:rPr>
                <w:rFonts w:eastAsia="Times New Roman" w:cs="Arial"/>
                <w:color w:val="000000"/>
                <w:szCs w:val="22"/>
                <w:lang w:eastAsia="en-AU"/>
              </w:rPr>
            </w:pPr>
            <w:r w:rsidRPr="00703A0B">
              <w:t>55</w:t>
            </w:r>
          </w:p>
        </w:tc>
      </w:tr>
      <w:tr w:rsidR="00B53A75" w:rsidRPr="00703A0B" w14:paraId="08D05521" w14:textId="77777777" w:rsidTr="00EE52B6">
        <w:tc>
          <w:tcPr>
            <w:tcW w:w="1696" w:type="dxa"/>
            <w:hideMark/>
          </w:tcPr>
          <w:p w14:paraId="3FFDF20A"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Mackay</w:t>
            </w:r>
          </w:p>
        </w:tc>
        <w:tc>
          <w:tcPr>
            <w:tcW w:w="1098" w:type="dxa"/>
            <w:hideMark/>
          </w:tcPr>
          <w:p w14:paraId="0C3B358A"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2,809</w:t>
            </w:r>
          </w:p>
        </w:tc>
        <w:tc>
          <w:tcPr>
            <w:tcW w:w="1099" w:type="dxa"/>
            <w:gridSpan w:val="2"/>
          </w:tcPr>
          <w:p w14:paraId="5681A2AF" w14:textId="040DF11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2,931</w:t>
            </w:r>
          </w:p>
        </w:tc>
        <w:tc>
          <w:tcPr>
            <w:tcW w:w="1099" w:type="dxa"/>
            <w:hideMark/>
          </w:tcPr>
          <w:p w14:paraId="464AEC37"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543</w:t>
            </w:r>
          </w:p>
        </w:tc>
        <w:tc>
          <w:tcPr>
            <w:tcW w:w="1099" w:type="dxa"/>
          </w:tcPr>
          <w:p w14:paraId="4354CF40" w14:textId="25E6A2E0" w:rsidR="00B53A75" w:rsidRPr="00703A0B" w:rsidRDefault="00B53A75" w:rsidP="00730922">
            <w:pPr>
              <w:rPr>
                <w:rFonts w:eastAsia="Times New Roman" w:cs="Arial"/>
                <w:color w:val="000000"/>
                <w:szCs w:val="22"/>
                <w:lang w:eastAsia="en-AU"/>
              </w:rPr>
            </w:pPr>
            <w:r w:rsidRPr="00703A0B">
              <w:t>570</w:t>
            </w:r>
          </w:p>
        </w:tc>
        <w:tc>
          <w:tcPr>
            <w:tcW w:w="1087" w:type="dxa"/>
            <w:hideMark/>
          </w:tcPr>
          <w:p w14:paraId="279F98DA"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10</w:t>
            </w:r>
          </w:p>
        </w:tc>
        <w:tc>
          <w:tcPr>
            <w:tcW w:w="1087" w:type="dxa"/>
          </w:tcPr>
          <w:p w14:paraId="30B7AB6D" w14:textId="1C032E19" w:rsidR="00B53A75" w:rsidRPr="00703A0B" w:rsidRDefault="00B53A75" w:rsidP="00730922">
            <w:pPr>
              <w:rPr>
                <w:rFonts w:eastAsia="Times New Roman" w:cs="Arial"/>
                <w:color w:val="000000"/>
                <w:szCs w:val="22"/>
                <w:lang w:eastAsia="en-AU"/>
              </w:rPr>
            </w:pPr>
            <w:r w:rsidRPr="00703A0B">
              <w:t>9</w:t>
            </w:r>
          </w:p>
        </w:tc>
        <w:tc>
          <w:tcPr>
            <w:tcW w:w="1087" w:type="dxa"/>
            <w:hideMark/>
          </w:tcPr>
          <w:p w14:paraId="11385256"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20</w:t>
            </w:r>
          </w:p>
        </w:tc>
        <w:tc>
          <w:tcPr>
            <w:tcW w:w="1088" w:type="dxa"/>
          </w:tcPr>
          <w:p w14:paraId="38BB69A3" w14:textId="410C2A8B" w:rsidR="00B53A75" w:rsidRPr="00703A0B" w:rsidRDefault="00B53A75" w:rsidP="00730922">
            <w:pPr>
              <w:rPr>
                <w:rFonts w:eastAsia="Times New Roman" w:cs="Arial"/>
                <w:color w:val="000000"/>
                <w:szCs w:val="22"/>
                <w:lang w:eastAsia="en-AU"/>
              </w:rPr>
            </w:pPr>
            <w:r w:rsidRPr="00703A0B">
              <w:t>20</w:t>
            </w:r>
          </w:p>
        </w:tc>
      </w:tr>
      <w:tr w:rsidR="00B53A75" w:rsidRPr="00703A0B" w14:paraId="1FA362A6" w14:textId="77777777" w:rsidTr="00EE52B6">
        <w:tc>
          <w:tcPr>
            <w:tcW w:w="1696" w:type="dxa"/>
            <w:hideMark/>
          </w:tcPr>
          <w:p w14:paraId="3B5E8E55"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Maryborough</w:t>
            </w:r>
          </w:p>
        </w:tc>
        <w:tc>
          <w:tcPr>
            <w:tcW w:w="1098" w:type="dxa"/>
            <w:hideMark/>
          </w:tcPr>
          <w:p w14:paraId="35872753"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4,665</w:t>
            </w:r>
          </w:p>
        </w:tc>
        <w:tc>
          <w:tcPr>
            <w:tcW w:w="1099" w:type="dxa"/>
            <w:gridSpan w:val="2"/>
          </w:tcPr>
          <w:p w14:paraId="1CFC69D4" w14:textId="0AC8F433"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4,918</w:t>
            </w:r>
          </w:p>
        </w:tc>
        <w:tc>
          <w:tcPr>
            <w:tcW w:w="1099" w:type="dxa"/>
            <w:hideMark/>
          </w:tcPr>
          <w:p w14:paraId="1A74B938"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864</w:t>
            </w:r>
          </w:p>
        </w:tc>
        <w:tc>
          <w:tcPr>
            <w:tcW w:w="1099" w:type="dxa"/>
          </w:tcPr>
          <w:p w14:paraId="0AF24C99" w14:textId="5A4CEE4A" w:rsidR="00B53A75" w:rsidRPr="00703A0B" w:rsidRDefault="00B53A75" w:rsidP="00730922">
            <w:pPr>
              <w:rPr>
                <w:rFonts w:eastAsia="Times New Roman" w:cs="Arial"/>
                <w:color w:val="000000"/>
                <w:szCs w:val="22"/>
                <w:lang w:eastAsia="en-AU"/>
              </w:rPr>
            </w:pPr>
            <w:r w:rsidRPr="00703A0B">
              <w:t>936</w:t>
            </w:r>
          </w:p>
        </w:tc>
        <w:tc>
          <w:tcPr>
            <w:tcW w:w="1087" w:type="dxa"/>
            <w:hideMark/>
          </w:tcPr>
          <w:p w14:paraId="0C71465A"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20</w:t>
            </w:r>
          </w:p>
        </w:tc>
        <w:tc>
          <w:tcPr>
            <w:tcW w:w="1087" w:type="dxa"/>
          </w:tcPr>
          <w:p w14:paraId="70A4AA15" w14:textId="545E7BB3" w:rsidR="00B53A75" w:rsidRPr="00703A0B" w:rsidRDefault="00B53A75" w:rsidP="00730922">
            <w:pPr>
              <w:rPr>
                <w:rFonts w:eastAsia="Times New Roman" w:cs="Arial"/>
                <w:color w:val="000000"/>
                <w:szCs w:val="22"/>
                <w:lang w:eastAsia="en-AU"/>
              </w:rPr>
            </w:pPr>
            <w:r w:rsidRPr="00703A0B">
              <w:t>19</w:t>
            </w:r>
          </w:p>
        </w:tc>
        <w:tc>
          <w:tcPr>
            <w:tcW w:w="1087" w:type="dxa"/>
            <w:hideMark/>
          </w:tcPr>
          <w:p w14:paraId="781DDB17"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29</w:t>
            </w:r>
          </w:p>
        </w:tc>
        <w:tc>
          <w:tcPr>
            <w:tcW w:w="1088" w:type="dxa"/>
          </w:tcPr>
          <w:p w14:paraId="2C6AFE1D" w14:textId="47BC74AB" w:rsidR="00B53A75" w:rsidRPr="00703A0B" w:rsidRDefault="00B53A75" w:rsidP="00730922">
            <w:pPr>
              <w:rPr>
                <w:rFonts w:eastAsia="Times New Roman" w:cs="Arial"/>
                <w:color w:val="000000"/>
                <w:szCs w:val="22"/>
                <w:lang w:eastAsia="en-AU"/>
              </w:rPr>
            </w:pPr>
            <w:r w:rsidRPr="00703A0B">
              <w:t>34</w:t>
            </w:r>
          </w:p>
        </w:tc>
      </w:tr>
      <w:tr w:rsidR="00B53A75" w:rsidRPr="00703A0B" w14:paraId="32CAD64D" w14:textId="77777777" w:rsidTr="00EE52B6">
        <w:tc>
          <w:tcPr>
            <w:tcW w:w="1696" w:type="dxa"/>
            <w:hideMark/>
          </w:tcPr>
          <w:p w14:paraId="5A0C320D"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Rockhampton</w:t>
            </w:r>
          </w:p>
        </w:tc>
        <w:tc>
          <w:tcPr>
            <w:tcW w:w="1098" w:type="dxa"/>
            <w:hideMark/>
          </w:tcPr>
          <w:p w14:paraId="20E8FBF5"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3,038</w:t>
            </w:r>
          </w:p>
        </w:tc>
        <w:tc>
          <w:tcPr>
            <w:tcW w:w="1099" w:type="dxa"/>
            <w:gridSpan w:val="2"/>
          </w:tcPr>
          <w:p w14:paraId="2516BAAD" w14:textId="23D49A84"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3,187</w:t>
            </w:r>
          </w:p>
        </w:tc>
        <w:tc>
          <w:tcPr>
            <w:tcW w:w="1099" w:type="dxa"/>
            <w:hideMark/>
          </w:tcPr>
          <w:p w14:paraId="74043C10"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704</w:t>
            </w:r>
          </w:p>
        </w:tc>
        <w:tc>
          <w:tcPr>
            <w:tcW w:w="1099" w:type="dxa"/>
          </w:tcPr>
          <w:p w14:paraId="61811B03" w14:textId="2E387DFD" w:rsidR="00B53A75" w:rsidRPr="00703A0B" w:rsidRDefault="00B53A75" w:rsidP="00730922">
            <w:pPr>
              <w:rPr>
                <w:rFonts w:eastAsia="Times New Roman" w:cs="Arial"/>
                <w:color w:val="000000"/>
                <w:szCs w:val="22"/>
                <w:lang w:eastAsia="en-AU"/>
              </w:rPr>
            </w:pPr>
            <w:r w:rsidRPr="00703A0B">
              <w:t>753</w:t>
            </w:r>
          </w:p>
        </w:tc>
        <w:tc>
          <w:tcPr>
            <w:tcW w:w="1087" w:type="dxa"/>
            <w:hideMark/>
          </w:tcPr>
          <w:p w14:paraId="30F61CD4" w14:textId="77777777" w:rsidR="00B53A75" w:rsidRPr="00703A0B" w:rsidRDefault="00B53A75" w:rsidP="00730922">
            <w:pPr>
              <w:rPr>
                <w:rFonts w:eastAsia="Times New Roman" w:cs="Arial"/>
                <w:color w:val="000000"/>
                <w:szCs w:val="22"/>
                <w:lang w:eastAsia="en-AU"/>
              </w:rPr>
            </w:pPr>
            <w:r w:rsidRPr="00703A0B" w:rsidDel="006757A7">
              <w:rPr>
                <w:rFonts w:eastAsia="Times New Roman" w:cs="Arial"/>
                <w:color w:val="000000"/>
                <w:szCs w:val="22"/>
                <w:lang w:eastAsia="en-AU"/>
              </w:rPr>
              <w:t>13</w:t>
            </w:r>
          </w:p>
        </w:tc>
        <w:tc>
          <w:tcPr>
            <w:tcW w:w="1087" w:type="dxa"/>
          </w:tcPr>
          <w:p w14:paraId="6CBCC994" w14:textId="48462A0D" w:rsidR="00B53A75" w:rsidRPr="00703A0B" w:rsidRDefault="00B53A75" w:rsidP="00730922">
            <w:pPr>
              <w:rPr>
                <w:rFonts w:eastAsia="Times New Roman" w:cs="Arial"/>
                <w:color w:val="000000"/>
                <w:szCs w:val="22"/>
                <w:lang w:eastAsia="en-AU"/>
              </w:rPr>
            </w:pPr>
            <w:r w:rsidRPr="00703A0B">
              <w:t>13</w:t>
            </w:r>
          </w:p>
        </w:tc>
        <w:tc>
          <w:tcPr>
            <w:tcW w:w="1087" w:type="dxa"/>
            <w:hideMark/>
          </w:tcPr>
          <w:p w14:paraId="218E276E"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25</w:t>
            </w:r>
          </w:p>
        </w:tc>
        <w:tc>
          <w:tcPr>
            <w:tcW w:w="1088" w:type="dxa"/>
          </w:tcPr>
          <w:p w14:paraId="658B79C1" w14:textId="46C81814" w:rsidR="00B53A75" w:rsidRPr="00703A0B" w:rsidRDefault="00B53A75" w:rsidP="00730922">
            <w:pPr>
              <w:rPr>
                <w:rFonts w:eastAsia="Times New Roman" w:cs="Arial"/>
                <w:color w:val="000000"/>
                <w:szCs w:val="22"/>
                <w:lang w:eastAsia="en-AU"/>
              </w:rPr>
            </w:pPr>
            <w:r w:rsidRPr="00703A0B">
              <w:t>28</w:t>
            </w:r>
          </w:p>
        </w:tc>
      </w:tr>
      <w:tr w:rsidR="00B53A75" w:rsidRPr="00703A0B" w14:paraId="72557C27" w14:textId="77777777" w:rsidTr="00EE52B6">
        <w:tc>
          <w:tcPr>
            <w:tcW w:w="1696" w:type="dxa"/>
            <w:hideMark/>
          </w:tcPr>
          <w:p w14:paraId="2A8C251C"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Sunshine Coast</w:t>
            </w:r>
          </w:p>
        </w:tc>
        <w:tc>
          <w:tcPr>
            <w:tcW w:w="1098" w:type="dxa"/>
            <w:hideMark/>
          </w:tcPr>
          <w:p w14:paraId="5D78748B"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11,309</w:t>
            </w:r>
          </w:p>
        </w:tc>
        <w:tc>
          <w:tcPr>
            <w:tcW w:w="1099" w:type="dxa"/>
            <w:gridSpan w:val="2"/>
          </w:tcPr>
          <w:p w14:paraId="711BDC5F" w14:textId="05508B90"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11,710</w:t>
            </w:r>
          </w:p>
        </w:tc>
        <w:tc>
          <w:tcPr>
            <w:tcW w:w="1099" w:type="dxa"/>
            <w:hideMark/>
          </w:tcPr>
          <w:p w14:paraId="54E22D95"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1,664</w:t>
            </w:r>
          </w:p>
        </w:tc>
        <w:tc>
          <w:tcPr>
            <w:tcW w:w="1099" w:type="dxa"/>
          </w:tcPr>
          <w:p w14:paraId="03FB9DC0" w14:textId="7E06D40C" w:rsidR="00B53A75" w:rsidRPr="00703A0B" w:rsidRDefault="00B53A75" w:rsidP="00730922">
            <w:pPr>
              <w:rPr>
                <w:rFonts w:eastAsia="Times New Roman" w:cs="Arial"/>
                <w:color w:val="000000"/>
                <w:szCs w:val="22"/>
                <w:lang w:eastAsia="en-AU"/>
              </w:rPr>
            </w:pPr>
            <w:r w:rsidRPr="00703A0B">
              <w:t>1,756</w:t>
            </w:r>
          </w:p>
        </w:tc>
        <w:tc>
          <w:tcPr>
            <w:tcW w:w="1087" w:type="dxa"/>
            <w:hideMark/>
          </w:tcPr>
          <w:p w14:paraId="66DF8273"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43</w:t>
            </w:r>
          </w:p>
        </w:tc>
        <w:tc>
          <w:tcPr>
            <w:tcW w:w="1087" w:type="dxa"/>
          </w:tcPr>
          <w:p w14:paraId="279C5C5B" w14:textId="6701CE29" w:rsidR="00B53A75" w:rsidRPr="00703A0B" w:rsidRDefault="00B53A75" w:rsidP="00730922">
            <w:pPr>
              <w:rPr>
                <w:rFonts w:eastAsia="Times New Roman" w:cs="Arial"/>
                <w:color w:val="000000"/>
                <w:szCs w:val="22"/>
                <w:lang w:eastAsia="en-AU"/>
              </w:rPr>
            </w:pPr>
            <w:r w:rsidRPr="00703A0B">
              <w:t>54</w:t>
            </w:r>
          </w:p>
        </w:tc>
        <w:tc>
          <w:tcPr>
            <w:tcW w:w="1087" w:type="dxa"/>
            <w:hideMark/>
          </w:tcPr>
          <w:p w14:paraId="348FDC16" w14:textId="77777777" w:rsidR="00B53A75" w:rsidRPr="00703A0B" w:rsidRDefault="00B53A75" w:rsidP="00730922">
            <w:pPr>
              <w:rPr>
                <w:rFonts w:eastAsia="Times New Roman" w:cs="Arial"/>
                <w:color w:val="000000"/>
                <w:szCs w:val="22"/>
                <w:lang w:eastAsia="en-AU"/>
              </w:rPr>
            </w:pPr>
            <w:r w:rsidRPr="00703A0B" w:rsidDel="004616B3">
              <w:rPr>
                <w:rFonts w:eastAsia="Times New Roman" w:cs="Arial"/>
                <w:color w:val="000000"/>
                <w:szCs w:val="22"/>
                <w:lang w:eastAsia="en-AU"/>
              </w:rPr>
              <w:t>63</w:t>
            </w:r>
          </w:p>
        </w:tc>
        <w:tc>
          <w:tcPr>
            <w:tcW w:w="1088" w:type="dxa"/>
          </w:tcPr>
          <w:p w14:paraId="0DFB0758" w14:textId="4B4EFA33" w:rsidR="00B53A75" w:rsidRPr="00703A0B" w:rsidRDefault="00B53A75" w:rsidP="00730922">
            <w:pPr>
              <w:rPr>
                <w:rFonts w:eastAsia="Times New Roman" w:cs="Arial"/>
                <w:color w:val="000000"/>
                <w:szCs w:val="22"/>
                <w:lang w:eastAsia="en-AU"/>
              </w:rPr>
            </w:pPr>
            <w:r w:rsidRPr="00703A0B">
              <w:t>76</w:t>
            </w:r>
          </w:p>
        </w:tc>
      </w:tr>
      <w:tr w:rsidR="00B53A75" w:rsidRPr="00703A0B" w14:paraId="09455385" w14:textId="77777777" w:rsidTr="00EE52B6">
        <w:tc>
          <w:tcPr>
            <w:tcW w:w="1696" w:type="dxa"/>
            <w:hideMark/>
          </w:tcPr>
          <w:p w14:paraId="5488E56B"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Toowoomba</w:t>
            </w:r>
          </w:p>
        </w:tc>
        <w:tc>
          <w:tcPr>
            <w:tcW w:w="1098" w:type="dxa"/>
            <w:hideMark/>
          </w:tcPr>
          <w:p w14:paraId="22D62073"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6,415</w:t>
            </w:r>
          </w:p>
        </w:tc>
        <w:tc>
          <w:tcPr>
            <w:tcW w:w="1099" w:type="dxa"/>
            <w:gridSpan w:val="2"/>
          </w:tcPr>
          <w:p w14:paraId="0BA7A8CF" w14:textId="2FE1414F"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6,673</w:t>
            </w:r>
          </w:p>
        </w:tc>
        <w:tc>
          <w:tcPr>
            <w:tcW w:w="1099" w:type="dxa"/>
            <w:hideMark/>
          </w:tcPr>
          <w:p w14:paraId="3A03B630"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1,194</w:t>
            </w:r>
          </w:p>
        </w:tc>
        <w:tc>
          <w:tcPr>
            <w:tcW w:w="1099" w:type="dxa"/>
          </w:tcPr>
          <w:p w14:paraId="3B7110A0" w14:textId="6F9331D0" w:rsidR="00B53A75" w:rsidRPr="00703A0B" w:rsidRDefault="00B53A75" w:rsidP="00730922">
            <w:pPr>
              <w:rPr>
                <w:rFonts w:eastAsia="Times New Roman" w:cs="Arial"/>
                <w:color w:val="000000"/>
                <w:szCs w:val="22"/>
                <w:lang w:eastAsia="en-AU"/>
              </w:rPr>
            </w:pPr>
            <w:r w:rsidRPr="00703A0B">
              <w:t>1,245</w:t>
            </w:r>
          </w:p>
        </w:tc>
        <w:tc>
          <w:tcPr>
            <w:tcW w:w="1087" w:type="dxa"/>
            <w:hideMark/>
          </w:tcPr>
          <w:p w14:paraId="7B97A502" w14:textId="77777777" w:rsidR="00B53A75" w:rsidRPr="00703A0B" w:rsidRDefault="00B53A75" w:rsidP="00730922">
            <w:pPr>
              <w:rPr>
                <w:rFonts w:eastAsia="Times New Roman" w:cs="Arial"/>
                <w:color w:val="000000"/>
                <w:szCs w:val="22"/>
                <w:lang w:eastAsia="en-AU"/>
              </w:rPr>
            </w:pPr>
            <w:r w:rsidRPr="00703A0B" w:rsidDel="006757A7">
              <w:rPr>
                <w:rFonts w:eastAsia="Times New Roman" w:cs="Arial"/>
                <w:color w:val="000000"/>
                <w:szCs w:val="22"/>
                <w:lang w:eastAsia="en-AU"/>
              </w:rPr>
              <w:t>23</w:t>
            </w:r>
          </w:p>
        </w:tc>
        <w:tc>
          <w:tcPr>
            <w:tcW w:w="1087" w:type="dxa"/>
          </w:tcPr>
          <w:p w14:paraId="03A24A99" w14:textId="7CEAE8A7" w:rsidR="00B53A75" w:rsidRPr="00703A0B" w:rsidRDefault="00B53A75" w:rsidP="00730922">
            <w:pPr>
              <w:rPr>
                <w:rFonts w:eastAsia="Times New Roman" w:cs="Arial"/>
                <w:color w:val="000000"/>
                <w:szCs w:val="22"/>
                <w:lang w:eastAsia="en-AU"/>
              </w:rPr>
            </w:pPr>
            <w:r w:rsidRPr="00703A0B">
              <w:t>22</w:t>
            </w:r>
          </w:p>
        </w:tc>
        <w:tc>
          <w:tcPr>
            <w:tcW w:w="1087" w:type="dxa"/>
            <w:hideMark/>
          </w:tcPr>
          <w:p w14:paraId="04146F48"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29</w:t>
            </w:r>
          </w:p>
        </w:tc>
        <w:tc>
          <w:tcPr>
            <w:tcW w:w="1088" w:type="dxa"/>
          </w:tcPr>
          <w:p w14:paraId="1EFDCA44" w14:textId="5AEC44AE" w:rsidR="00B53A75" w:rsidRPr="00703A0B" w:rsidRDefault="00B53A75" w:rsidP="00730922">
            <w:pPr>
              <w:rPr>
                <w:rFonts w:eastAsia="Times New Roman" w:cs="Arial"/>
                <w:color w:val="000000"/>
                <w:szCs w:val="22"/>
                <w:lang w:eastAsia="en-AU"/>
              </w:rPr>
            </w:pPr>
            <w:r w:rsidRPr="00703A0B">
              <w:t>30</w:t>
            </w:r>
          </w:p>
        </w:tc>
      </w:tr>
      <w:tr w:rsidR="00B53A75" w:rsidRPr="00703A0B" w14:paraId="0314E3B5" w14:textId="77777777" w:rsidTr="00EE52B6">
        <w:tc>
          <w:tcPr>
            <w:tcW w:w="1696" w:type="dxa"/>
            <w:hideMark/>
          </w:tcPr>
          <w:p w14:paraId="43A1CD5D"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Townsville</w:t>
            </w:r>
          </w:p>
        </w:tc>
        <w:tc>
          <w:tcPr>
            <w:tcW w:w="1098" w:type="dxa"/>
            <w:hideMark/>
          </w:tcPr>
          <w:p w14:paraId="31503D88"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3,976</w:t>
            </w:r>
          </w:p>
        </w:tc>
        <w:tc>
          <w:tcPr>
            <w:tcW w:w="1099" w:type="dxa"/>
            <w:gridSpan w:val="2"/>
          </w:tcPr>
          <w:p w14:paraId="6E554E97" w14:textId="3513A459"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4,126</w:t>
            </w:r>
          </w:p>
        </w:tc>
        <w:tc>
          <w:tcPr>
            <w:tcW w:w="1099" w:type="dxa"/>
            <w:hideMark/>
          </w:tcPr>
          <w:p w14:paraId="59B4DBEF"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760</w:t>
            </w:r>
          </w:p>
        </w:tc>
        <w:tc>
          <w:tcPr>
            <w:tcW w:w="1099" w:type="dxa"/>
          </w:tcPr>
          <w:p w14:paraId="0A663B04" w14:textId="4D94BBB4" w:rsidR="00B53A75" w:rsidRPr="00703A0B" w:rsidRDefault="00B53A75" w:rsidP="00730922">
            <w:pPr>
              <w:rPr>
                <w:rFonts w:eastAsia="Times New Roman" w:cs="Arial"/>
                <w:color w:val="000000"/>
                <w:szCs w:val="22"/>
                <w:lang w:eastAsia="en-AU"/>
              </w:rPr>
            </w:pPr>
            <w:r w:rsidRPr="00703A0B">
              <w:t>780</w:t>
            </w:r>
          </w:p>
        </w:tc>
        <w:tc>
          <w:tcPr>
            <w:tcW w:w="1087" w:type="dxa"/>
            <w:hideMark/>
          </w:tcPr>
          <w:p w14:paraId="0EF2BE1B" w14:textId="77777777" w:rsidR="00B53A75" w:rsidRPr="00703A0B" w:rsidRDefault="00B53A75" w:rsidP="00730922">
            <w:pPr>
              <w:rPr>
                <w:rFonts w:eastAsia="Times New Roman" w:cs="Arial"/>
                <w:color w:val="000000"/>
                <w:szCs w:val="22"/>
                <w:lang w:eastAsia="en-AU"/>
              </w:rPr>
            </w:pPr>
            <w:r w:rsidRPr="00703A0B" w:rsidDel="006757A7">
              <w:rPr>
                <w:rFonts w:eastAsia="Times New Roman" w:cs="Arial"/>
                <w:color w:val="000000"/>
                <w:szCs w:val="22"/>
                <w:lang w:eastAsia="en-AU"/>
              </w:rPr>
              <w:t>16</w:t>
            </w:r>
          </w:p>
        </w:tc>
        <w:tc>
          <w:tcPr>
            <w:tcW w:w="1087" w:type="dxa"/>
          </w:tcPr>
          <w:p w14:paraId="1173C763" w14:textId="5DF1CC45" w:rsidR="00B53A75" w:rsidRPr="00703A0B" w:rsidRDefault="00B53A75" w:rsidP="00730922">
            <w:pPr>
              <w:rPr>
                <w:rFonts w:eastAsia="Times New Roman" w:cs="Arial"/>
                <w:color w:val="000000"/>
                <w:szCs w:val="22"/>
                <w:lang w:eastAsia="en-AU"/>
              </w:rPr>
            </w:pPr>
            <w:r w:rsidRPr="00703A0B">
              <w:t>13</w:t>
            </w:r>
          </w:p>
        </w:tc>
        <w:tc>
          <w:tcPr>
            <w:tcW w:w="1087" w:type="dxa"/>
            <w:hideMark/>
          </w:tcPr>
          <w:p w14:paraId="21B4CF93" w14:textId="77777777" w:rsidR="00B53A75" w:rsidRPr="00703A0B" w:rsidRDefault="00B53A75" w:rsidP="00730922">
            <w:pPr>
              <w:rPr>
                <w:rFonts w:eastAsia="Times New Roman" w:cs="Arial"/>
                <w:color w:val="000000"/>
                <w:szCs w:val="22"/>
                <w:lang w:eastAsia="en-AU"/>
              </w:rPr>
            </w:pPr>
            <w:r w:rsidRPr="00703A0B">
              <w:rPr>
                <w:rFonts w:eastAsia="Times New Roman" w:cs="Arial"/>
                <w:color w:val="000000"/>
                <w:szCs w:val="22"/>
                <w:lang w:eastAsia="en-AU"/>
              </w:rPr>
              <w:t>32</w:t>
            </w:r>
          </w:p>
        </w:tc>
        <w:tc>
          <w:tcPr>
            <w:tcW w:w="1088" w:type="dxa"/>
          </w:tcPr>
          <w:p w14:paraId="308BED21" w14:textId="203651C7" w:rsidR="00B53A75" w:rsidRPr="00703A0B" w:rsidRDefault="00B53A75" w:rsidP="00730922">
            <w:pPr>
              <w:rPr>
                <w:rFonts w:eastAsia="Times New Roman" w:cs="Arial"/>
                <w:color w:val="000000"/>
                <w:szCs w:val="22"/>
                <w:lang w:eastAsia="en-AU"/>
              </w:rPr>
            </w:pPr>
            <w:r w:rsidRPr="00703A0B">
              <w:t>29</w:t>
            </w:r>
          </w:p>
        </w:tc>
      </w:tr>
      <w:tr w:rsidR="00B53A75" w:rsidRPr="00703A0B" w14:paraId="1DD63277" w14:textId="77777777" w:rsidTr="00EE52B6">
        <w:tc>
          <w:tcPr>
            <w:tcW w:w="1696" w:type="dxa"/>
            <w:hideMark/>
          </w:tcPr>
          <w:p w14:paraId="53704CA0" w14:textId="3C90CDB5" w:rsidR="00B53A75" w:rsidRPr="00703A0B" w:rsidRDefault="00B53A75" w:rsidP="00EE52B6">
            <w:pPr>
              <w:rPr>
                <w:rFonts w:eastAsia="Times New Roman" w:cs="Arial"/>
                <w:b/>
                <w:bCs/>
                <w:color w:val="000000"/>
                <w:szCs w:val="22"/>
                <w:lang w:eastAsia="en-AU"/>
              </w:rPr>
            </w:pPr>
            <w:r w:rsidRPr="00703A0B">
              <w:rPr>
                <w:rFonts w:eastAsia="Times New Roman" w:cs="Arial"/>
                <w:b/>
                <w:bCs/>
                <w:color w:val="000000"/>
                <w:szCs w:val="22"/>
                <w:lang w:eastAsia="en-AU"/>
              </w:rPr>
              <w:t>Total</w:t>
            </w:r>
          </w:p>
        </w:tc>
        <w:tc>
          <w:tcPr>
            <w:tcW w:w="1098" w:type="dxa"/>
            <w:hideMark/>
          </w:tcPr>
          <w:p w14:paraId="163886F9" w14:textId="77777777" w:rsidR="00B53A75" w:rsidRPr="00703A0B" w:rsidRDefault="00B53A75" w:rsidP="00730922">
            <w:pPr>
              <w:rPr>
                <w:rFonts w:eastAsia="Times New Roman" w:cs="Arial"/>
                <w:b/>
                <w:bCs/>
                <w:color w:val="000000"/>
                <w:szCs w:val="22"/>
                <w:lang w:eastAsia="en-AU"/>
              </w:rPr>
            </w:pPr>
            <w:r w:rsidRPr="00703A0B">
              <w:rPr>
                <w:rFonts w:eastAsia="Times New Roman" w:cs="Arial"/>
                <w:b/>
                <w:bCs/>
                <w:color w:val="000000"/>
                <w:szCs w:val="22"/>
                <w:lang w:eastAsia="en-AU"/>
              </w:rPr>
              <w:t>104,183</w:t>
            </w:r>
          </w:p>
        </w:tc>
        <w:tc>
          <w:tcPr>
            <w:tcW w:w="1099" w:type="dxa"/>
            <w:gridSpan w:val="2"/>
          </w:tcPr>
          <w:p w14:paraId="119EB7B5" w14:textId="203719ED" w:rsidR="00B53A75" w:rsidRPr="00703A0B" w:rsidRDefault="00B53A75" w:rsidP="00730922">
            <w:pPr>
              <w:rPr>
                <w:rFonts w:eastAsia="Times New Roman" w:cs="Arial"/>
                <w:b/>
                <w:bCs/>
                <w:color w:val="000000"/>
                <w:szCs w:val="22"/>
                <w:lang w:eastAsia="en-AU"/>
              </w:rPr>
            </w:pPr>
            <w:r w:rsidRPr="00703A0B">
              <w:rPr>
                <w:rFonts w:cs="Arial"/>
                <w:b/>
                <w:bCs/>
                <w:szCs w:val="22"/>
              </w:rPr>
              <w:t>110,107</w:t>
            </w:r>
          </w:p>
        </w:tc>
        <w:tc>
          <w:tcPr>
            <w:tcW w:w="1099" w:type="dxa"/>
            <w:hideMark/>
          </w:tcPr>
          <w:p w14:paraId="10FA458B" w14:textId="77777777" w:rsidR="00B53A75" w:rsidRPr="00703A0B" w:rsidRDefault="00B53A75" w:rsidP="00730922">
            <w:pPr>
              <w:rPr>
                <w:rFonts w:eastAsia="Times New Roman" w:cs="Arial"/>
                <w:b/>
                <w:bCs/>
                <w:color w:val="000000"/>
                <w:szCs w:val="22"/>
                <w:lang w:eastAsia="en-AU"/>
              </w:rPr>
            </w:pPr>
            <w:r w:rsidRPr="00703A0B">
              <w:rPr>
                <w:rFonts w:eastAsia="Times New Roman" w:cs="Arial"/>
                <w:b/>
                <w:bCs/>
                <w:color w:val="000000"/>
                <w:szCs w:val="22"/>
                <w:lang w:eastAsia="en-AU"/>
              </w:rPr>
              <w:t>17,538</w:t>
            </w:r>
          </w:p>
        </w:tc>
        <w:tc>
          <w:tcPr>
            <w:tcW w:w="1099" w:type="dxa"/>
          </w:tcPr>
          <w:p w14:paraId="6C4A8E1B" w14:textId="7CEA594F" w:rsidR="00B53A75" w:rsidRPr="00703A0B" w:rsidRDefault="00B53A75" w:rsidP="00730922">
            <w:pPr>
              <w:rPr>
                <w:rFonts w:eastAsia="Times New Roman" w:cs="Arial"/>
                <w:b/>
                <w:bCs/>
                <w:color w:val="000000"/>
                <w:szCs w:val="22"/>
                <w:lang w:eastAsia="en-AU"/>
              </w:rPr>
            </w:pPr>
            <w:r w:rsidRPr="00703A0B">
              <w:rPr>
                <w:b/>
                <w:bCs/>
              </w:rPr>
              <w:t>18,265</w:t>
            </w:r>
          </w:p>
        </w:tc>
        <w:tc>
          <w:tcPr>
            <w:tcW w:w="1087" w:type="dxa"/>
            <w:hideMark/>
          </w:tcPr>
          <w:p w14:paraId="033A8CE3" w14:textId="77777777" w:rsidR="00B53A75" w:rsidRPr="00703A0B" w:rsidRDefault="00B53A75" w:rsidP="00730922">
            <w:pPr>
              <w:rPr>
                <w:rFonts w:eastAsia="Times New Roman" w:cs="Arial"/>
                <w:b/>
                <w:bCs/>
                <w:color w:val="000000"/>
                <w:szCs w:val="22"/>
                <w:lang w:eastAsia="en-AU"/>
              </w:rPr>
            </w:pPr>
            <w:r w:rsidRPr="00703A0B">
              <w:rPr>
                <w:rFonts w:eastAsia="Times New Roman" w:cs="Arial"/>
                <w:b/>
                <w:bCs/>
                <w:color w:val="000000"/>
                <w:szCs w:val="22"/>
                <w:lang w:eastAsia="en-AU"/>
              </w:rPr>
              <w:t>502</w:t>
            </w:r>
          </w:p>
        </w:tc>
        <w:tc>
          <w:tcPr>
            <w:tcW w:w="1087" w:type="dxa"/>
          </w:tcPr>
          <w:p w14:paraId="783B834E" w14:textId="45711F17" w:rsidR="00B53A75" w:rsidRPr="00703A0B" w:rsidRDefault="00B53A75" w:rsidP="00730922">
            <w:pPr>
              <w:rPr>
                <w:rFonts w:eastAsia="Times New Roman" w:cs="Arial"/>
                <w:b/>
                <w:bCs/>
                <w:color w:val="000000"/>
                <w:szCs w:val="22"/>
                <w:lang w:eastAsia="en-AU"/>
              </w:rPr>
            </w:pPr>
            <w:r w:rsidRPr="00703A0B">
              <w:rPr>
                <w:b/>
                <w:bCs/>
              </w:rPr>
              <w:t>523</w:t>
            </w:r>
          </w:p>
        </w:tc>
        <w:tc>
          <w:tcPr>
            <w:tcW w:w="1087" w:type="dxa"/>
            <w:hideMark/>
          </w:tcPr>
          <w:p w14:paraId="1E2932F0" w14:textId="77777777" w:rsidR="00B53A75" w:rsidRPr="00703A0B" w:rsidRDefault="00B53A75" w:rsidP="00730922">
            <w:pPr>
              <w:rPr>
                <w:rFonts w:eastAsia="Times New Roman" w:cs="Arial"/>
                <w:b/>
                <w:bCs/>
                <w:color w:val="000000"/>
                <w:szCs w:val="22"/>
                <w:lang w:eastAsia="en-AU"/>
              </w:rPr>
            </w:pPr>
            <w:r w:rsidRPr="00703A0B">
              <w:rPr>
                <w:rFonts w:eastAsia="Times New Roman" w:cs="Arial"/>
                <w:b/>
                <w:bCs/>
                <w:color w:val="000000"/>
                <w:lang w:eastAsia="en-AU"/>
              </w:rPr>
              <w:t>491</w:t>
            </w:r>
          </w:p>
        </w:tc>
        <w:tc>
          <w:tcPr>
            <w:tcW w:w="1088" w:type="dxa"/>
          </w:tcPr>
          <w:p w14:paraId="2D93E573" w14:textId="1FC284B5" w:rsidR="00B53A75" w:rsidRPr="00703A0B" w:rsidRDefault="00B53A75" w:rsidP="00730922">
            <w:pPr>
              <w:rPr>
                <w:rFonts w:eastAsia="Times New Roman" w:cs="Arial"/>
                <w:b/>
                <w:bCs/>
                <w:color w:val="000000"/>
                <w:lang w:eastAsia="en-AU"/>
              </w:rPr>
            </w:pPr>
            <w:r w:rsidRPr="00703A0B">
              <w:rPr>
                <w:b/>
                <w:bCs/>
              </w:rPr>
              <w:t>525</w:t>
            </w:r>
          </w:p>
        </w:tc>
      </w:tr>
    </w:tbl>
    <w:p w14:paraId="4F2D3229" w14:textId="6FAB2C38" w:rsidR="00BB7075" w:rsidRPr="00703A0B" w:rsidRDefault="68976FC6" w:rsidP="00036330">
      <w:pPr>
        <w:spacing w:before="120" w:after="120"/>
      </w:pPr>
      <w:r w:rsidRPr="00703A0B" w:rsidDel="00C21A00">
        <w:t xml:space="preserve">The QBCC’s </w:t>
      </w:r>
      <w:r w:rsidR="00E85BC4" w:rsidRPr="00703A0B">
        <w:t xml:space="preserve">strong </w:t>
      </w:r>
      <w:r w:rsidR="00EF636E" w:rsidRPr="00703A0B" w:rsidDel="00C21A00">
        <w:t xml:space="preserve">presence </w:t>
      </w:r>
      <w:r w:rsidRPr="00703A0B" w:rsidDel="00C21A00">
        <w:t xml:space="preserve">across Queensland </w:t>
      </w:r>
      <w:r w:rsidR="00E85BC4" w:rsidRPr="00703A0B">
        <w:t xml:space="preserve">played a key role in supporting a </w:t>
      </w:r>
      <w:r w:rsidR="00D06B21" w:rsidRPr="00703A0B">
        <w:t>resilient and thriving building and construction industry</w:t>
      </w:r>
      <w:r w:rsidR="0063071A" w:rsidRPr="00703A0B">
        <w:t xml:space="preserve"> during the reporting period</w:t>
      </w:r>
      <w:r w:rsidR="00914DC3" w:rsidRPr="00703A0B">
        <w:t>, delivering positive outcomes for contractors, consumers and communities</w:t>
      </w:r>
      <w:r w:rsidR="001E0ED3" w:rsidRPr="00703A0B">
        <w:t xml:space="preserve">. </w:t>
      </w:r>
      <w:r w:rsidR="00CB6F51" w:rsidRPr="00703A0B">
        <w:t>By providing</w:t>
      </w:r>
      <w:r w:rsidR="00B04A0E" w:rsidRPr="00703A0B">
        <w:t xml:space="preserve"> access</w:t>
      </w:r>
      <w:r w:rsidR="00CB6F51" w:rsidRPr="00703A0B">
        <w:t>ible</w:t>
      </w:r>
      <w:r w:rsidR="00B04A0E" w:rsidRPr="00703A0B">
        <w:t xml:space="preserve"> regulatory, licensing and dispute resolution services </w:t>
      </w:r>
      <w:r w:rsidR="008C1319" w:rsidRPr="00703A0B">
        <w:t>across</w:t>
      </w:r>
      <w:r w:rsidR="00C82799" w:rsidRPr="00703A0B">
        <w:t xml:space="preserve"> </w:t>
      </w:r>
      <w:r w:rsidR="00933855" w:rsidRPr="00703A0B">
        <w:t>metropolitan and regional Queensland</w:t>
      </w:r>
      <w:r w:rsidR="00C01975" w:rsidRPr="00703A0B">
        <w:t>, the QBCC</w:t>
      </w:r>
      <w:r w:rsidR="00C82799" w:rsidRPr="00703A0B">
        <w:t xml:space="preserve"> </w:t>
      </w:r>
      <w:r w:rsidR="00B04A0E" w:rsidRPr="00703A0B">
        <w:t>reduce</w:t>
      </w:r>
      <w:r w:rsidR="008C1319" w:rsidRPr="00703A0B">
        <w:t>d</w:t>
      </w:r>
      <w:r w:rsidR="00B04A0E" w:rsidRPr="00703A0B">
        <w:t xml:space="preserve"> barriers for contractors and consumers</w:t>
      </w:r>
      <w:r w:rsidR="003D3BB3" w:rsidRPr="00703A0B">
        <w:t xml:space="preserve">. </w:t>
      </w:r>
      <w:r w:rsidR="008E6B1D" w:rsidRPr="00703A0B">
        <w:t xml:space="preserve">These services </w:t>
      </w:r>
      <w:r w:rsidR="007E6486" w:rsidRPr="00703A0B">
        <w:t>ensur</w:t>
      </w:r>
      <w:r w:rsidR="002F764A" w:rsidRPr="00703A0B">
        <w:t>ed</w:t>
      </w:r>
      <w:r w:rsidR="007E6486" w:rsidRPr="00703A0B">
        <w:t xml:space="preserve"> timely support</w:t>
      </w:r>
      <w:r w:rsidR="00DA6946" w:rsidRPr="00703A0B">
        <w:t>,</w:t>
      </w:r>
      <w:r w:rsidR="007E6486" w:rsidRPr="00703A0B">
        <w:t xml:space="preserve"> </w:t>
      </w:r>
      <w:r w:rsidR="002F764A" w:rsidRPr="00703A0B">
        <w:t xml:space="preserve">promoted </w:t>
      </w:r>
      <w:r w:rsidR="00B04A0E" w:rsidRPr="00703A0B">
        <w:t xml:space="preserve">consistent regulatory outcomes and </w:t>
      </w:r>
      <w:r w:rsidR="002F764A" w:rsidRPr="00703A0B">
        <w:t>strengthened</w:t>
      </w:r>
      <w:r w:rsidR="00B04A0E" w:rsidRPr="00703A0B">
        <w:t xml:space="preserve"> confidence in the quality and integrity of building work.</w:t>
      </w:r>
      <w:r w:rsidR="008E35B4" w:rsidRPr="00703A0B">
        <w:t xml:space="preserve"> </w:t>
      </w:r>
    </w:p>
    <w:p w14:paraId="5DAC879B" w14:textId="48BD2823" w:rsidR="008E43A8" w:rsidRPr="00703A0B" w:rsidRDefault="008C7B16" w:rsidP="120686CA">
      <w:pPr>
        <w:spacing w:before="120" w:after="120"/>
      </w:pPr>
      <w:r w:rsidRPr="00703A0B">
        <w:t>A</w:t>
      </w:r>
      <w:r w:rsidR="008E5498" w:rsidRPr="00703A0B">
        <w:t xml:space="preserve"> statewide approach enabled the QBCC to respond effectively to region-specific challenges, support industry capability and maintain a level playing field for licensed contractors.</w:t>
      </w:r>
      <w:r w:rsidR="00C25D96" w:rsidRPr="00703A0B">
        <w:t xml:space="preserve"> </w:t>
      </w:r>
      <w:r w:rsidR="001771AD" w:rsidRPr="00703A0B">
        <w:t xml:space="preserve">These efforts were </w:t>
      </w:r>
      <w:r w:rsidR="00CA2613" w:rsidRPr="00703A0B">
        <w:t xml:space="preserve">particularly important in </w:t>
      </w:r>
      <w:r w:rsidR="00B255A0" w:rsidRPr="00703A0B">
        <w:t xml:space="preserve">Queensland’s key growth </w:t>
      </w:r>
      <w:r w:rsidR="68976FC6" w:rsidRPr="00703A0B">
        <w:t>regions</w:t>
      </w:r>
      <w:r w:rsidR="00905566" w:rsidRPr="00703A0B">
        <w:t xml:space="preserve">, </w:t>
      </w:r>
      <w:r w:rsidR="009A47B4" w:rsidRPr="00703A0B">
        <w:t>including</w:t>
      </w:r>
      <w:r w:rsidR="0039104A" w:rsidRPr="00703A0B">
        <w:t xml:space="preserve"> Brisbane, Gold Coast and Sunshine Coast,</w:t>
      </w:r>
      <w:r w:rsidR="009A47B4" w:rsidRPr="00703A0B">
        <w:t xml:space="preserve"> </w:t>
      </w:r>
      <w:r w:rsidR="00FE095D" w:rsidRPr="00703A0B">
        <w:t>where</w:t>
      </w:r>
      <w:r w:rsidR="00224518" w:rsidRPr="00703A0B">
        <w:t xml:space="preserve"> </w:t>
      </w:r>
      <w:r w:rsidR="68976FC6" w:rsidRPr="00703A0B">
        <w:t>significant construction activity, population growth and ongoing development</w:t>
      </w:r>
      <w:r w:rsidR="00FE095D" w:rsidRPr="00703A0B">
        <w:t xml:space="preserve"> continued to drive demand for </w:t>
      </w:r>
      <w:r w:rsidR="0085292C" w:rsidRPr="00703A0B">
        <w:t>housing and infrastructure</w:t>
      </w:r>
      <w:r w:rsidR="006B50DD" w:rsidRPr="00703A0B">
        <w:t xml:space="preserve">. </w:t>
      </w:r>
      <w:r w:rsidR="00D43FE4" w:rsidRPr="00703A0B">
        <w:t>M</w:t>
      </w:r>
      <w:r w:rsidR="68976FC6" w:rsidRPr="00703A0B">
        <w:t xml:space="preserve">aintaining a strong regulatory presence in these </w:t>
      </w:r>
      <w:r w:rsidR="005C1ED5" w:rsidRPr="00703A0B">
        <w:t xml:space="preserve">high-growth </w:t>
      </w:r>
      <w:r w:rsidR="68976FC6" w:rsidRPr="00703A0B">
        <w:t>areas</w:t>
      </w:r>
      <w:r w:rsidR="00D43FE4" w:rsidRPr="00703A0B">
        <w:t xml:space="preserve"> enabled </w:t>
      </w:r>
      <w:r w:rsidR="68976FC6" w:rsidRPr="00703A0B">
        <w:t xml:space="preserve">the QBCC to proactively </w:t>
      </w:r>
      <w:r w:rsidR="002F305A" w:rsidRPr="00703A0B">
        <w:t xml:space="preserve">respond </w:t>
      </w:r>
      <w:r w:rsidR="68976FC6" w:rsidRPr="00703A0B">
        <w:t xml:space="preserve">to </w:t>
      </w:r>
      <w:r w:rsidR="002F305A" w:rsidRPr="00703A0B">
        <w:t>emerging</w:t>
      </w:r>
      <w:r w:rsidR="68976FC6" w:rsidRPr="00703A0B">
        <w:t xml:space="preserve"> risks, support industry capability</w:t>
      </w:r>
      <w:r w:rsidR="008E77DE" w:rsidRPr="00703A0B">
        <w:t xml:space="preserve">, facilitate </w:t>
      </w:r>
      <w:r w:rsidR="00293FA6" w:rsidRPr="00703A0B">
        <w:t>timely regulatory services</w:t>
      </w:r>
      <w:r w:rsidR="68976FC6" w:rsidRPr="00703A0B">
        <w:t xml:space="preserve"> and uphold consumer confidence</w:t>
      </w:r>
      <w:r w:rsidR="00293FA6" w:rsidRPr="00703A0B">
        <w:t xml:space="preserve"> in a rapidly growing construction market</w:t>
      </w:r>
      <w:r w:rsidR="68976FC6" w:rsidRPr="00703A0B">
        <w:t>.</w:t>
      </w:r>
      <w:r w:rsidR="006B50DD" w:rsidRPr="00703A0B">
        <w:t xml:space="preserve"> </w:t>
      </w:r>
    </w:p>
    <w:p w14:paraId="4B5BB9DA" w14:textId="70EF0198" w:rsidR="0024524A" w:rsidRPr="00703A0B" w:rsidRDefault="68976FC6" w:rsidP="00220441">
      <w:pPr>
        <w:spacing w:before="120" w:after="120"/>
      </w:pPr>
      <w:r w:rsidRPr="00703A0B">
        <w:t>In contrast, regional centres</w:t>
      </w:r>
      <w:r w:rsidRPr="00703A0B" w:rsidDel="006B50DD">
        <w:t xml:space="preserve"> </w:t>
      </w:r>
      <w:r w:rsidR="00A2124D" w:rsidRPr="00703A0B">
        <w:t>such as Mackay and Rockhampton</w:t>
      </w:r>
      <w:r w:rsidR="006B50DD" w:rsidRPr="00703A0B">
        <w:t xml:space="preserve"> </w:t>
      </w:r>
      <w:r w:rsidR="00E92114" w:rsidRPr="00703A0B">
        <w:t>with lower numbers of active licensees</w:t>
      </w:r>
      <w:r w:rsidR="004575A7" w:rsidRPr="00703A0B">
        <w:t xml:space="preserve"> </w:t>
      </w:r>
      <w:r w:rsidR="00092652" w:rsidRPr="00703A0B">
        <w:t>faced</w:t>
      </w:r>
      <w:r w:rsidRPr="00703A0B">
        <w:t xml:space="preserve"> unique regulatory challenges, including workforce shortages, contractor capacity constraints and greater </w:t>
      </w:r>
      <w:r w:rsidR="00092652" w:rsidRPr="00703A0B">
        <w:t xml:space="preserve">exposure </w:t>
      </w:r>
      <w:r w:rsidRPr="00703A0B">
        <w:t xml:space="preserve">to local economic fluctuations. </w:t>
      </w:r>
      <w:r w:rsidR="005B6495" w:rsidRPr="00703A0B">
        <w:t>Through c</w:t>
      </w:r>
      <w:r w:rsidRPr="00703A0B">
        <w:t xml:space="preserve">ontinued local engagement and </w:t>
      </w:r>
      <w:r w:rsidR="006715C9" w:rsidRPr="00703A0B">
        <w:t xml:space="preserve">regulatory </w:t>
      </w:r>
      <w:r w:rsidRPr="00703A0B">
        <w:t>oversight</w:t>
      </w:r>
      <w:r w:rsidR="006715C9" w:rsidRPr="00703A0B">
        <w:t xml:space="preserve">, the QBCC </w:t>
      </w:r>
      <w:r w:rsidR="00C1689B" w:rsidRPr="00703A0B">
        <w:t xml:space="preserve">helped </w:t>
      </w:r>
      <w:r w:rsidR="006715C9" w:rsidRPr="00703A0B">
        <w:t>ensure</w:t>
      </w:r>
      <w:r w:rsidRPr="00703A0B">
        <w:t xml:space="preserve"> contractors and consumers across regional Queensland </w:t>
      </w:r>
      <w:r w:rsidR="00D35AEC" w:rsidRPr="00703A0B">
        <w:t xml:space="preserve">benefitted from </w:t>
      </w:r>
      <w:r w:rsidRPr="00703A0B">
        <w:t xml:space="preserve">equitable access to regulatory services, consistent application of </w:t>
      </w:r>
      <w:r w:rsidR="006715C9" w:rsidRPr="00703A0B">
        <w:t xml:space="preserve">legislative requirements </w:t>
      </w:r>
      <w:r w:rsidRPr="00703A0B">
        <w:t>and timely intervention when issues ar</w:t>
      </w:r>
      <w:r w:rsidR="008A26E9" w:rsidRPr="00703A0B">
        <w:t>o</w:t>
      </w:r>
      <w:r w:rsidRPr="00703A0B">
        <w:t>se.</w:t>
      </w:r>
      <w:r w:rsidR="00DB5EF6" w:rsidRPr="00703A0B">
        <w:t xml:space="preserve"> </w:t>
      </w:r>
    </w:p>
    <w:p w14:paraId="106FD7CA" w14:textId="3288A494" w:rsidR="0001425F" w:rsidRPr="00703A0B" w:rsidRDefault="00D15B4D" w:rsidP="005D0EF9">
      <w:pPr>
        <w:spacing w:before="120" w:after="120"/>
        <w:rPr>
          <w:rFonts w:eastAsia="MS Mincho" w:cs="Arial"/>
        </w:rPr>
      </w:pPr>
      <w:r w:rsidRPr="00703A0B">
        <w:rPr>
          <w:rFonts w:eastAsia="MS Mincho" w:cs="Arial"/>
        </w:rPr>
        <w:lastRenderedPageBreak/>
        <w:t xml:space="preserve">The QBCC </w:t>
      </w:r>
      <w:r w:rsidR="00BD080F" w:rsidRPr="00703A0B">
        <w:rPr>
          <w:rFonts w:eastAsia="MS Mincho" w:cs="Arial"/>
        </w:rPr>
        <w:t>also contributed to</w:t>
      </w:r>
      <w:r w:rsidRPr="00703A0B">
        <w:rPr>
          <w:rFonts w:eastAsia="MS Mincho" w:cs="Arial"/>
        </w:rPr>
        <w:t xml:space="preserve"> </w:t>
      </w:r>
      <w:r w:rsidR="009731AC" w:rsidRPr="00703A0B">
        <w:rPr>
          <w:rFonts w:eastAsia="MS Mincho" w:cs="Arial"/>
        </w:rPr>
        <w:t xml:space="preserve">a resilient and capable </w:t>
      </w:r>
      <w:r w:rsidR="005B6CE7" w:rsidRPr="00703A0B">
        <w:rPr>
          <w:rFonts w:eastAsia="MS Mincho" w:cs="Arial"/>
        </w:rPr>
        <w:t>construction workforce</w:t>
      </w:r>
      <w:r w:rsidR="00BD080F" w:rsidRPr="00703A0B">
        <w:rPr>
          <w:rFonts w:eastAsia="MS Mincho" w:cs="Arial"/>
        </w:rPr>
        <w:t xml:space="preserve">, </w:t>
      </w:r>
      <w:r w:rsidR="3CD791D9" w:rsidRPr="00703A0B">
        <w:rPr>
          <w:rFonts w:eastAsia="MS Mincho" w:cs="Arial"/>
        </w:rPr>
        <w:t>process</w:t>
      </w:r>
      <w:r w:rsidR="00E30E4A" w:rsidRPr="00703A0B">
        <w:rPr>
          <w:rFonts w:eastAsia="MS Mincho" w:cs="Arial"/>
        </w:rPr>
        <w:t>ing</w:t>
      </w:r>
      <w:r w:rsidR="3CD791D9" w:rsidRPr="00703A0B">
        <w:rPr>
          <w:rFonts w:eastAsia="MS Mincho" w:cs="Arial"/>
        </w:rPr>
        <w:t xml:space="preserve"> </w:t>
      </w:r>
      <w:r w:rsidR="005D374F" w:rsidRPr="00703A0B">
        <w:rPr>
          <w:rFonts w:eastAsia="MS Mincho" w:cs="Arial"/>
        </w:rPr>
        <w:t xml:space="preserve">2,603 </w:t>
      </w:r>
      <w:r w:rsidR="3CD791D9" w:rsidRPr="00703A0B">
        <w:rPr>
          <w:rFonts w:eastAsia="MS Mincho" w:cs="Arial"/>
        </w:rPr>
        <w:t>mutual recognition applications under the</w:t>
      </w:r>
      <w:r w:rsidR="3CD791D9" w:rsidRPr="00703A0B">
        <w:rPr>
          <w:rFonts w:eastAsia="MS Mincho" w:cs="Arial"/>
          <w:i/>
        </w:rPr>
        <w:t xml:space="preserve"> Mutual Recognition Act 1992 </w:t>
      </w:r>
      <w:r w:rsidR="3CD791D9" w:rsidRPr="00703A0B">
        <w:rPr>
          <w:rFonts w:eastAsia="MS Mincho" w:cs="Arial"/>
        </w:rPr>
        <w:t>and</w:t>
      </w:r>
      <w:r w:rsidR="3CD791D9" w:rsidRPr="00703A0B">
        <w:rPr>
          <w:rFonts w:eastAsia="MS Mincho" w:cs="Arial"/>
          <w:i/>
        </w:rPr>
        <w:t xml:space="preserve"> Trans-Tasman Mutual Recognition Act 1997</w:t>
      </w:r>
      <w:r w:rsidR="00DF5DAB" w:rsidRPr="00703A0B">
        <w:rPr>
          <w:rFonts w:eastAsia="MS Mincho" w:cs="Arial"/>
          <w:iCs/>
        </w:rPr>
        <w:t>.</w:t>
      </w:r>
      <w:r w:rsidR="3CD791D9" w:rsidRPr="00703A0B">
        <w:rPr>
          <w:rFonts w:eastAsia="MS Mincho" w:cs="Arial"/>
        </w:rPr>
        <w:t xml:space="preserve"> </w:t>
      </w:r>
      <w:r w:rsidR="0036339F" w:rsidRPr="00703A0B">
        <w:rPr>
          <w:rFonts w:eastAsia="MS Mincho" w:cs="Arial"/>
        </w:rPr>
        <w:t>The timel</w:t>
      </w:r>
      <w:r w:rsidR="00B633A0" w:rsidRPr="00703A0B">
        <w:rPr>
          <w:rFonts w:eastAsia="MS Mincho" w:cs="Arial"/>
        </w:rPr>
        <w:t>y assessment of these applications</w:t>
      </w:r>
      <w:r w:rsidR="3CD791D9" w:rsidRPr="00703A0B">
        <w:rPr>
          <w:rFonts w:eastAsia="MS Mincho" w:cs="Arial"/>
        </w:rPr>
        <w:t xml:space="preserve"> </w:t>
      </w:r>
      <w:r w:rsidR="00DF5DAB" w:rsidRPr="00703A0B" w:rsidDel="006527F0">
        <w:rPr>
          <w:rFonts w:eastAsia="MS Mincho" w:cs="Arial"/>
        </w:rPr>
        <w:t xml:space="preserve">supported </w:t>
      </w:r>
      <w:r w:rsidR="002B38E9" w:rsidRPr="00703A0B">
        <w:rPr>
          <w:rFonts w:eastAsia="MS Mincho" w:cs="Arial"/>
        </w:rPr>
        <w:t xml:space="preserve">the availability of skilled </w:t>
      </w:r>
      <w:r w:rsidR="004A5F97" w:rsidRPr="00703A0B">
        <w:rPr>
          <w:rFonts w:eastAsia="MS Mincho" w:cs="Arial"/>
        </w:rPr>
        <w:t xml:space="preserve">contractors </w:t>
      </w:r>
      <w:r w:rsidR="00A862BC" w:rsidRPr="00703A0B">
        <w:rPr>
          <w:rFonts w:eastAsia="MS Mincho" w:cs="Arial"/>
        </w:rPr>
        <w:t>from</w:t>
      </w:r>
      <w:r w:rsidR="3CD791D9" w:rsidRPr="00703A0B">
        <w:rPr>
          <w:rFonts w:eastAsia="MS Mincho" w:cs="Arial"/>
        </w:rPr>
        <w:t xml:space="preserve"> </w:t>
      </w:r>
      <w:r w:rsidR="00A862BC" w:rsidRPr="00703A0B">
        <w:rPr>
          <w:rFonts w:eastAsia="MS Mincho" w:cs="Arial"/>
        </w:rPr>
        <w:t xml:space="preserve">across </w:t>
      </w:r>
      <w:r w:rsidR="3CD791D9" w:rsidRPr="00703A0B">
        <w:rPr>
          <w:rFonts w:eastAsia="MS Mincho" w:cs="Arial"/>
        </w:rPr>
        <w:t xml:space="preserve">Australia and New Zealand </w:t>
      </w:r>
      <w:r w:rsidR="00B931E0" w:rsidRPr="00703A0B">
        <w:rPr>
          <w:rFonts w:eastAsia="MS Mincho" w:cs="Arial"/>
        </w:rPr>
        <w:t>to enter the Queensland marke</w:t>
      </w:r>
      <w:r w:rsidR="00CA0FC5" w:rsidRPr="00703A0B">
        <w:rPr>
          <w:rFonts w:eastAsia="MS Mincho" w:cs="Arial"/>
        </w:rPr>
        <w:t>t</w:t>
      </w:r>
      <w:r w:rsidR="005D6BE1" w:rsidRPr="00703A0B">
        <w:rPr>
          <w:rFonts w:eastAsia="MS Mincho" w:cs="Arial"/>
        </w:rPr>
        <w:t>, supporting</w:t>
      </w:r>
      <w:r w:rsidR="3CD791D9" w:rsidRPr="00703A0B" w:rsidDel="005D6BE1">
        <w:rPr>
          <w:rFonts w:eastAsia="MS Mincho" w:cs="Arial"/>
        </w:rPr>
        <w:t xml:space="preserve"> </w:t>
      </w:r>
      <w:r w:rsidR="3CD791D9" w:rsidRPr="00703A0B">
        <w:rPr>
          <w:rFonts w:eastAsia="MS Mincho" w:cs="Arial"/>
        </w:rPr>
        <w:t xml:space="preserve">workforce </w:t>
      </w:r>
      <w:r w:rsidR="005D6BE1" w:rsidRPr="00703A0B">
        <w:rPr>
          <w:rFonts w:eastAsia="MS Mincho" w:cs="Arial"/>
        </w:rPr>
        <w:t>capacity</w:t>
      </w:r>
      <w:r w:rsidR="00953591" w:rsidRPr="00703A0B">
        <w:rPr>
          <w:rFonts w:eastAsia="MS Mincho" w:cs="Arial"/>
        </w:rPr>
        <w:t xml:space="preserve">, </w:t>
      </w:r>
      <w:r w:rsidR="005D6BE1" w:rsidRPr="00703A0B">
        <w:rPr>
          <w:rFonts w:eastAsia="MS Mincho" w:cs="Arial"/>
        </w:rPr>
        <w:t xml:space="preserve">industry productivity and </w:t>
      </w:r>
      <w:r w:rsidR="00E02F2E" w:rsidRPr="00703A0B">
        <w:rPr>
          <w:rFonts w:eastAsia="MS Mincho" w:cs="Arial"/>
        </w:rPr>
        <w:t xml:space="preserve">the </w:t>
      </w:r>
      <w:r w:rsidR="005D6BE1" w:rsidRPr="00703A0B">
        <w:rPr>
          <w:rFonts w:eastAsia="MS Mincho" w:cs="Arial"/>
        </w:rPr>
        <w:t xml:space="preserve">delivery of </w:t>
      </w:r>
      <w:r w:rsidR="3CD791D9" w:rsidRPr="00703A0B">
        <w:rPr>
          <w:rFonts w:eastAsia="MS Mincho" w:cs="Arial"/>
        </w:rPr>
        <w:t>housing</w:t>
      </w:r>
      <w:r w:rsidR="005D6BE1" w:rsidRPr="00703A0B">
        <w:rPr>
          <w:rFonts w:eastAsia="MS Mincho" w:cs="Arial"/>
        </w:rPr>
        <w:t xml:space="preserve"> and infrastructure </w:t>
      </w:r>
      <w:r w:rsidR="009731AC" w:rsidRPr="00703A0B">
        <w:rPr>
          <w:rFonts w:eastAsia="MS Mincho" w:cs="Arial"/>
        </w:rPr>
        <w:t>projects across the state</w:t>
      </w:r>
      <w:r w:rsidR="3CD791D9" w:rsidRPr="00703A0B">
        <w:rPr>
          <w:rFonts w:eastAsia="MS Mincho" w:cs="Arial"/>
        </w:rPr>
        <w:t>.</w:t>
      </w:r>
    </w:p>
    <w:p w14:paraId="5115F6ED" w14:textId="2DAB5EFD" w:rsidR="19C50AC7" w:rsidRPr="00703A0B" w:rsidRDefault="656ADA93" w:rsidP="32DBE27A">
      <w:pPr>
        <w:pStyle w:val="Heading3"/>
      </w:pPr>
      <w:r w:rsidRPr="00703A0B">
        <w:t>Licence application timeframes</w:t>
      </w:r>
    </w:p>
    <w:p w14:paraId="368FCB1D" w14:textId="7667F9BA" w:rsidR="656ADA93" w:rsidRPr="00703A0B" w:rsidRDefault="656ADA93" w:rsidP="0037327C">
      <w:pPr>
        <w:spacing w:before="120" w:after="120"/>
      </w:pPr>
      <w:r w:rsidRPr="00703A0B">
        <w:t xml:space="preserve">A responsive and efficient licensing system is critical to ensuring qualified contractors can enter the market and contribute to meeting Queensland's ongoing construction demand. </w:t>
      </w:r>
      <w:r w:rsidR="00CE1191" w:rsidRPr="00703A0B">
        <w:t xml:space="preserve">During the reporting period, </w:t>
      </w:r>
      <w:r w:rsidRPr="00703A0B">
        <w:t xml:space="preserve">the QBCC </w:t>
      </w:r>
      <w:r w:rsidR="00E91527" w:rsidRPr="00703A0B">
        <w:t>introduc</w:t>
      </w:r>
      <w:r w:rsidR="00C96BDF" w:rsidRPr="00703A0B">
        <w:t>ed</w:t>
      </w:r>
      <w:r w:rsidR="00E91527" w:rsidRPr="00703A0B" w:rsidDel="00CF46D4">
        <w:t xml:space="preserve"> </w:t>
      </w:r>
      <w:r w:rsidR="00E91527" w:rsidRPr="00703A0B">
        <w:t xml:space="preserve">licensing integrity checks </w:t>
      </w:r>
      <w:r w:rsidR="000E692E" w:rsidRPr="00703A0B">
        <w:t xml:space="preserve">and a dedicated customer contact point </w:t>
      </w:r>
      <w:r w:rsidR="007537CD" w:rsidRPr="00703A0B">
        <w:t>as part of the licensing assessment process</w:t>
      </w:r>
      <w:r w:rsidR="00CF46D4" w:rsidRPr="00703A0B">
        <w:t xml:space="preserve"> to strengthen regulatory oversight, improve service accessibility and support a more consistent customer experience. </w:t>
      </w:r>
      <w:r w:rsidR="007537CD" w:rsidRPr="00703A0B">
        <w:t xml:space="preserve">In addition, </w:t>
      </w:r>
      <w:r w:rsidR="007D4AD8" w:rsidRPr="00703A0B">
        <w:t>d</w:t>
      </w:r>
      <w:r w:rsidRPr="00703A0B">
        <w:t>igital enhancements, risk-based assessment processes and improved workflow management</w:t>
      </w:r>
      <w:r w:rsidR="007537CD" w:rsidRPr="00703A0B">
        <w:t xml:space="preserve"> </w:t>
      </w:r>
      <w:r w:rsidR="00D451BF" w:rsidRPr="00703A0B">
        <w:t xml:space="preserve">helped manage the </w:t>
      </w:r>
      <w:r w:rsidR="006E5137" w:rsidRPr="00703A0B">
        <w:t>increasing volume and complexity of licence applications</w:t>
      </w:r>
      <w:r w:rsidRPr="00703A0B">
        <w:t>.</w:t>
      </w:r>
      <w:r w:rsidR="00641484" w:rsidRPr="00703A0B">
        <w:t xml:space="preserve"> </w:t>
      </w:r>
      <w:r w:rsidRPr="00703A0B">
        <w:fldChar w:fldCharType="begin"/>
      </w:r>
      <w:r w:rsidRPr="00703A0B">
        <w:instrText xml:space="preserve"> REF _Ref233633214 \h </w:instrText>
      </w:r>
      <w:r w:rsidR="0037327C" w:rsidRPr="00703A0B">
        <w:instrText xml:space="preserve"> \* MERGEFORMAT </w:instrText>
      </w:r>
      <w:r w:rsidRPr="00703A0B">
        <w:fldChar w:fldCharType="separate"/>
      </w:r>
      <w:r w:rsidR="008A1CC1" w:rsidRPr="00703A0B">
        <w:t xml:space="preserve">Table </w:t>
      </w:r>
      <w:r w:rsidR="008A1CC1" w:rsidRPr="00904641">
        <w:t>3</w:t>
      </w:r>
      <w:r w:rsidRPr="00703A0B">
        <w:fldChar w:fldCharType="end"/>
      </w:r>
      <w:r w:rsidR="00896841" w:rsidRPr="00703A0B">
        <w:t xml:space="preserve"> </w:t>
      </w:r>
      <w:r w:rsidR="00386E13" w:rsidRPr="00703A0B">
        <w:t>provides an overview of</w:t>
      </w:r>
      <w:r w:rsidR="00BA318F" w:rsidRPr="00703A0B">
        <w:t xml:space="preserve"> licence application processing timeframes over </w:t>
      </w:r>
      <w:r w:rsidR="00386E13" w:rsidRPr="00703A0B">
        <w:t>time</w:t>
      </w:r>
      <w:r w:rsidR="00BA318F" w:rsidRPr="00703A0B">
        <w:t>.</w:t>
      </w:r>
    </w:p>
    <w:p w14:paraId="3915A1A8" w14:textId="55A425F0" w:rsidR="656ADA93" w:rsidRPr="00703A0B" w:rsidRDefault="00461F7E" w:rsidP="001C720D">
      <w:pPr>
        <w:pStyle w:val="Caption"/>
        <w:rPr>
          <w:bCs/>
        </w:rPr>
      </w:pPr>
      <w:bookmarkStart w:id="42" w:name="_Ref233633214"/>
      <w:bookmarkStart w:id="43" w:name="_Ref233632786"/>
      <w:r w:rsidRPr="00703A0B">
        <w:t xml:space="preserve">Table </w:t>
      </w:r>
      <w:r w:rsidRPr="00703A0B">
        <w:fldChar w:fldCharType="begin"/>
      </w:r>
      <w:r w:rsidRPr="00703A0B">
        <w:instrText>SEQ Table \* ARABIC</w:instrText>
      </w:r>
      <w:r w:rsidRPr="00703A0B">
        <w:fldChar w:fldCharType="separate"/>
      </w:r>
      <w:r w:rsidR="003764AA" w:rsidRPr="00904641">
        <w:t>3</w:t>
      </w:r>
      <w:r w:rsidRPr="00703A0B">
        <w:fldChar w:fldCharType="end"/>
      </w:r>
      <w:bookmarkEnd w:id="42"/>
      <w:r w:rsidR="001464C7" w:rsidRPr="00703A0B">
        <w:rPr>
          <w:b w:val="0"/>
          <w:bCs/>
        </w:rPr>
        <w:t>:</w:t>
      </w:r>
      <w:r w:rsidR="656ADA93" w:rsidRPr="00703A0B">
        <w:rPr>
          <w:b w:val="0"/>
          <w:bCs/>
        </w:rPr>
        <w:t xml:space="preserve"> </w:t>
      </w:r>
      <w:r w:rsidR="006753DD" w:rsidRPr="00703A0B">
        <w:rPr>
          <w:bCs/>
        </w:rPr>
        <w:t>A</w:t>
      </w:r>
      <w:r w:rsidR="656ADA93" w:rsidRPr="00703A0B">
        <w:rPr>
          <w:bCs/>
        </w:rPr>
        <w:t>verage number of</w:t>
      </w:r>
      <w:r w:rsidR="0039317B" w:rsidRPr="00703A0B">
        <w:rPr>
          <w:bCs/>
        </w:rPr>
        <w:t xml:space="preserve"> business</w:t>
      </w:r>
      <w:r w:rsidR="656ADA93" w:rsidRPr="00703A0B">
        <w:rPr>
          <w:bCs/>
        </w:rPr>
        <w:t xml:space="preserve"> days to process licence applications</w:t>
      </w:r>
      <w:r w:rsidR="00386E13" w:rsidRPr="00703A0B">
        <w:rPr>
          <w:bCs/>
        </w:rPr>
        <w:t xml:space="preserve"> over the</w:t>
      </w:r>
      <w:r w:rsidR="656ADA93" w:rsidRPr="00703A0B">
        <w:rPr>
          <w:bCs/>
        </w:rPr>
        <w:t xml:space="preserve"> past five years</w:t>
      </w:r>
      <w:bookmarkEnd w:id="43"/>
    </w:p>
    <w:tbl>
      <w:tblPr>
        <w:tblStyle w:val="TableGrid"/>
        <w:tblW w:w="5000" w:type="pct"/>
        <w:tblCellMar>
          <w:top w:w="28" w:type="dxa"/>
          <w:bottom w:w="28" w:type="dxa"/>
        </w:tblCellMar>
        <w:tblLook w:val="06A0" w:firstRow="1" w:lastRow="0" w:firstColumn="1" w:lastColumn="0" w:noHBand="1" w:noVBand="1"/>
      </w:tblPr>
      <w:tblGrid>
        <w:gridCol w:w="4936"/>
        <w:gridCol w:w="1101"/>
        <w:gridCol w:w="1104"/>
        <w:gridCol w:w="1104"/>
        <w:gridCol w:w="1104"/>
        <w:gridCol w:w="1101"/>
      </w:tblGrid>
      <w:tr w:rsidR="00FD3C15" w:rsidRPr="00703A0B" w14:paraId="1F055D51" w14:textId="77777777" w:rsidTr="00EE52B6">
        <w:tc>
          <w:tcPr>
            <w:tcW w:w="2362" w:type="pct"/>
            <w:shd w:val="clear" w:color="auto" w:fill="BFBFBF" w:themeFill="background1" w:themeFillShade="BF"/>
          </w:tcPr>
          <w:p w14:paraId="2E5A561C" w14:textId="77777777" w:rsidR="00FD3C15" w:rsidRPr="00703A0B" w:rsidRDefault="00FD3C15" w:rsidP="00730922"/>
        </w:tc>
        <w:tc>
          <w:tcPr>
            <w:tcW w:w="527" w:type="pct"/>
            <w:shd w:val="clear" w:color="auto" w:fill="BFBFBF" w:themeFill="background1" w:themeFillShade="BF"/>
          </w:tcPr>
          <w:p w14:paraId="17652835" w14:textId="37C36EBE" w:rsidR="00FD3C15" w:rsidRPr="00703A0B" w:rsidRDefault="00FD3C15" w:rsidP="00EE52B6">
            <w:r w:rsidRPr="00703A0B">
              <w:rPr>
                <w:rFonts w:eastAsia="Times New Roman" w:cs="Arial"/>
                <w:b/>
                <w:bCs/>
                <w:lang w:eastAsia="en-AU"/>
              </w:rPr>
              <w:t>2021–22</w:t>
            </w:r>
          </w:p>
        </w:tc>
        <w:tc>
          <w:tcPr>
            <w:tcW w:w="528" w:type="pct"/>
            <w:shd w:val="clear" w:color="auto" w:fill="BFBFBF" w:themeFill="background1" w:themeFillShade="BF"/>
          </w:tcPr>
          <w:p w14:paraId="0A03EDB4" w14:textId="36F6A2E1" w:rsidR="00FD3C15" w:rsidRPr="00703A0B" w:rsidRDefault="00FD3C15" w:rsidP="00EE52B6">
            <w:r w:rsidRPr="00703A0B">
              <w:rPr>
                <w:rFonts w:eastAsia="Times New Roman" w:cs="Arial"/>
                <w:b/>
                <w:bCs/>
                <w:lang w:eastAsia="en-AU"/>
              </w:rPr>
              <w:t>2022–23</w:t>
            </w:r>
          </w:p>
        </w:tc>
        <w:tc>
          <w:tcPr>
            <w:tcW w:w="528" w:type="pct"/>
            <w:shd w:val="clear" w:color="auto" w:fill="BFBFBF" w:themeFill="background1" w:themeFillShade="BF"/>
          </w:tcPr>
          <w:p w14:paraId="64CB5C4D" w14:textId="5FE69BA2" w:rsidR="00FD3C15" w:rsidRPr="00703A0B" w:rsidRDefault="00FD3C15" w:rsidP="00EE52B6">
            <w:r w:rsidRPr="00703A0B">
              <w:rPr>
                <w:rFonts w:eastAsia="Times New Roman" w:cs="Arial"/>
                <w:b/>
                <w:bCs/>
                <w:lang w:eastAsia="en-AU"/>
              </w:rPr>
              <w:t>2023–24</w:t>
            </w:r>
          </w:p>
        </w:tc>
        <w:tc>
          <w:tcPr>
            <w:tcW w:w="528" w:type="pct"/>
            <w:shd w:val="clear" w:color="auto" w:fill="BFBFBF" w:themeFill="background1" w:themeFillShade="BF"/>
          </w:tcPr>
          <w:p w14:paraId="1F18CB5C" w14:textId="477186D9" w:rsidR="00FD3C15" w:rsidRPr="00703A0B" w:rsidRDefault="00FD3C15" w:rsidP="00730922">
            <w:pPr>
              <w:rPr>
                <w:rFonts w:cs="Arial"/>
                <w:highlight w:val="yellow"/>
              </w:rPr>
            </w:pPr>
            <w:r w:rsidRPr="00703A0B">
              <w:rPr>
                <w:rFonts w:eastAsia="Times New Roman" w:cs="Arial"/>
                <w:b/>
                <w:bCs/>
                <w:lang w:eastAsia="en-AU"/>
              </w:rPr>
              <w:t>2024–25</w:t>
            </w:r>
          </w:p>
        </w:tc>
        <w:tc>
          <w:tcPr>
            <w:tcW w:w="528" w:type="pct"/>
            <w:shd w:val="clear" w:color="auto" w:fill="BFBFBF" w:themeFill="background1" w:themeFillShade="BF"/>
          </w:tcPr>
          <w:p w14:paraId="4513CE06" w14:textId="694F0DDE" w:rsidR="00FD3C15" w:rsidRPr="00703A0B" w:rsidRDefault="00FD3C15" w:rsidP="00730922">
            <w:pPr>
              <w:rPr>
                <w:rFonts w:cs="Arial"/>
                <w:highlight w:val="yellow"/>
              </w:rPr>
            </w:pPr>
            <w:r w:rsidRPr="00703A0B">
              <w:rPr>
                <w:rFonts w:eastAsia="Times New Roman" w:cs="Arial"/>
                <w:b/>
                <w:bCs/>
                <w:lang w:eastAsia="en-AU"/>
              </w:rPr>
              <w:t>2025–26</w:t>
            </w:r>
          </w:p>
        </w:tc>
      </w:tr>
      <w:tr w:rsidR="00FD3C15" w:rsidRPr="00703A0B" w14:paraId="634AB9C5" w14:textId="77777777" w:rsidTr="00EE52B6">
        <w:tc>
          <w:tcPr>
            <w:tcW w:w="2362" w:type="pct"/>
          </w:tcPr>
          <w:p w14:paraId="1501B019" w14:textId="0DD66680" w:rsidR="00FD3C15" w:rsidRPr="00703A0B" w:rsidRDefault="00FD3C15" w:rsidP="00EE52B6">
            <w:r w:rsidRPr="00703A0B">
              <w:rPr>
                <w:rFonts w:cs="Arial"/>
              </w:rPr>
              <w:t>Licence application processing timeframe</w:t>
            </w:r>
            <w:r w:rsidR="00397D75" w:rsidRPr="00703A0B">
              <w:rPr>
                <w:rFonts w:cs="Arial"/>
              </w:rPr>
              <w:t xml:space="preserve"> (business days)</w:t>
            </w:r>
          </w:p>
        </w:tc>
        <w:tc>
          <w:tcPr>
            <w:tcW w:w="527" w:type="pct"/>
          </w:tcPr>
          <w:p w14:paraId="644E3817" w14:textId="3DC9A952" w:rsidR="00FD3C15" w:rsidRPr="00703A0B" w:rsidRDefault="00FD3C15" w:rsidP="00730922">
            <w:pPr>
              <w:rPr>
                <w:rFonts w:cs="Arial"/>
              </w:rPr>
            </w:pPr>
            <w:r w:rsidRPr="00703A0B">
              <w:rPr>
                <w:rFonts w:cs="Arial"/>
              </w:rPr>
              <w:t>20</w:t>
            </w:r>
          </w:p>
        </w:tc>
        <w:tc>
          <w:tcPr>
            <w:tcW w:w="528" w:type="pct"/>
          </w:tcPr>
          <w:p w14:paraId="0275A61C" w14:textId="1FAA7615" w:rsidR="00FD3C15" w:rsidRPr="00703A0B" w:rsidRDefault="00FD3C15" w:rsidP="00730922">
            <w:pPr>
              <w:rPr>
                <w:rFonts w:cs="Arial"/>
              </w:rPr>
            </w:pPr>
            <w:r w:rsidRPr="00703A0B">
              <w:rPr>
                <w:rFonts w:cs="Arial"/>
              </w:rPr>
              <w:t>19</w:t>
            </w:r>
          </w:p>
        </w:tc>
        <w:tc>
          <w:tcPr>
            <w:tcW w:w="528" w:type="pct"/>
          </w:tcPr>
          <w:p w14:paraId="3A3AAF5D" w14:textId="6980D6B9" w:rsidR="00FD3C15" w:rsidRPr="00703A0B" w:rsidRDefault="00FD3C15" w:rsidP="00730922">
            <w:pPr>
              <w:rPr>
                <w:rFonts w:cs="Arial"/>
              </w:rPr>
            </w:pPr>
            <w:r w:rsidRPr="00703A0B">
              <w:rPr>
                <w:rFonts w:cs="Arial"/>
              </w:rPr>
              <w:t>20</w:t>
            </w:r>
          </w:p>
        </w:tc>
        <w:tc>
          <w:tcPr>
            <w:tcW w:w="528" w:type="pct"/>
          </w:tcPr>
          <w:p w14:paraId="4A94C49D" w14:textId="669CDCB4" w:rsidR="00FD3C15" w:rsidRPr="00703A0B" w:rsidRDefault="00FD3C15" w:rsidP="00730922">
            <w:pPr>
              <w:rPr>
                <w:rFonts w:cs="Arial"/>
              </w:rPr>
            </w:pPr>
            <w:r w:rsidRPr="00703A0B">
              <w:rPr>
                <w:rFonts w:cs="Arial"/>
              </w:rPr>
              <w:t>24</w:t>
            </w:r>
          </w:p>
        </w:tc>
        <w:tc>
          <w:tcPr>
            <w:tcW w:w="528" w:type="pct"/>
          </w:tcPr>
          <w:p w14:paraId="4A9BD32D" w14:textId="2ACBDDCD" w:rsidR="00FD3C15" w:rsidRPr="00703A0B" w:rsidRDefault="00FD3C15" w:rsidP="00730922">
            <w:pPr>
              <w:rPr>
                <w:rFonts w:cs="Arial"/>
              </w:rPr>
            </w:pPr>
            <w:r w:rsidRPr="00703A0B">
              <w:rPr>
                <w:rFonts w:cs="Arial"/>
              </w:rPr>
              <w:t>25</w:t>
            </w:r>
          </w:p>
        </w:tc>
      </w:tr>
    </w:tbl>
    <w:p w14:paraId="0536AC02" w14:textId="2036C484" w:rsidR="00FB4461" w:rsidRPr="00703A0B" w:rsidRDefault="005707A2" w:rsidP="00FB4461">
      <w:pPr>
        <w:spacing w:before="120" w:after="120" w:line="259" w:lineRule="auto"/>
      </w:pPr>
      <w:r w:rsidRPr="00703A0B">
        <w:t xml:space="preserve">While </w:t>
      </w:r>
      <w:r w:rsidR="0010693A" w:rsidRPr="00703A0B">
        <w:t xml:space="preserve">licence </w:t>
      </w:r>
      <w:r w:rsidR="00473017" w:rsidRPr="00703A0B">
        <w:t xml:space="preserve">application </w:t>
      </w:r>
      <w:r w:rsidR="001B3E42" w:rsidRPr="00703A0B">
        <w:t xml:space="preserve">processing </w:t>
      </w:r>
      <w:r w:rsidR="00473017" w:rsidRPr="00703A0B">
        <w:t>time</w:t>
      </w:r>
      <w:r w:rsidR="00361E2F" w:rsidRPr="00703A0B">
        <w:t>s</w:t>
      </w:r>
      <w:r w:rsidR="00473017" w:rsidRPr="00703A0B">
        <w:t xml:space="preserve"> increased slightly in 2025–26, </w:t>
      </w:r>
      <w:r w:rsidR="00361E2F" w:rsidRPr="00703A0B">
        <w:t xml:space="preserve">the QBCC successfully managed a 17 per cent increase in application </w:t>
      </w:r>
      <w:r w:rsidR="0010309D" w:rsidRPr="00703A0B">
        <w:t>volumes while undertaking</w:t>
      </w:r>
      <w:r w:rsidR="00473017" w:rsidRPr="00703A0B">
        <w:t xml:space="preserve"> additional assessment activities </w:t>
      </w:r>
      <w:r w:rsidR="00341B79" w:rsidRPr="00703A0B">
        <w:t xml:space="preserve">to </w:t>
      </w:r>
      <w:r w:rsidR="00D026A0" w:rsidRPr="00703A0B">
        <w:t xml:space="preserve">strengthen licensing </w:t>
      </w:r>
      <w:r w:rsidR="004D0CEF" w:rsidRPr="00703A0B">
        <w:t>integrity</w:t>
      </w:r>
      <w:r w:rsidR="0010309D" w:rsidRPr="00703A0B">
        <w:t>. E</w:t>
      </w:r>
      <w:r w:rsidR="00D026A0" w:rsidRPr="00703A0B">
        <w:t xml:space="preserve">nhanced </w:t>
      </w:r>
      <w:r w:rsidR="004A60CE" w:rsidRPr="00703A0B">
        <w:t>verification</w:t>
      </w:r>
      <w:r w:rsidR="004D0CEF" w:rsidRPr="00703A0B">
        <w:t xml:space="preserve"> checks</w:t>
      </w:r>
      <w:r w:rsidR="004A60CE" w:rsidRPr="00703A0B">
        <w:t xml:space="preserve"> and </w:t>
      </w:r>
      <w:r w:rsidR="004D0CEF" w:rsidRPr="00703A0B">
        <w:t xml:space="preserve">proactive </w:t>
      </w:r>
      <w:r w:rsidR="004A60CE" w:rsidRPr="00703A0B">
        <w:t xml:space="preserve">engagement </w:t>
      </w:r>
      <w:r w:rsidR="004D0CEF" w:rsidRPr="00703A0B">
        <w:t>with applicants</w:t>
      </w:r>
      <w:r w:rsidR="0010309D" w:rsidRPr="00703A0B">
        <w:t xml:space="preserve"> helped ensure</w:t>
      </w:r>
      <w:r w:rsidR="00BC5B75" w:rsidRPr="00703A0B">
        <w:t xml:space="preserve"> only suitably qualified individuals and businesses entered Queensland’s building and construction industry</w:t>
      </w:r>
      <w:r w:rsidR="00952513" w:rsidRPr="00703A0B">
        <w:t xml:space="preserve">. </w:t>
      </w:r>
      <w:r w:rsidR="00921FA9" w:rsidRPr="00703A0B">
        <w:t xml:space="preserve">Despite these additional demands, </w:t>
      </w:r>
      <w:r w:rsidR="00BF6E44" w:rsidRPr="00703A0B">
        <w:t xml:space="preserve">average processing times </w:t>
      </w:r>
      <w:r w:rsidR="007143C6" w:rsidRPr="00703A0B">
        <w:t>increased by just one b</w:t>
      </w:r>
      <w:r w:rsidR="00EE0DD8" w:rsidRPr="00703A0B">
        <w:t>usiness day</w:t>
      </w:r>
      <w:r w:rsidR="00A709C6" w:rsidRPr="00703A0B">
        <w:t xml:space="preserve"> when </w:t>
      </w:r>
      <w:r w:rsidR="00A24246" w:rsidRPr="00703A0B">
        <w:t>compared to the previous year</w:t>
      </w:r>
      <w:r w:rsidR="00676617" w:rsidRPr="00703A0B">
        <w:t>,</w:t>
      </w:r>
      <w:r w:rsidR="00383C7E" w:rsidRPr="00703A0B">
        <w:t xml:space="preserve"> </w:t>
      </w:r>
      <w:r w:rsidR="009D6A26" w:rsidRPr="00703A0B">
        <w:t>demonstrat</w:t>
      </w:r>
      <w:r w:rsidR="00676617" w:rsidRPr="00703A0B">
        <w:t>ing</w:t>
      </w:r>
      <w:r w:rsidR="00DA1A13" w:rsidRPr="00703A0B" w:rsidDel="009D6A26">
        <w:t xml:space="preserve"> </w:t>
      </w:r>
      <w:r w:rsidR="00DA1A13" w:rsidRPr="00703A0B">
        <w:t xml:space="preserve">the QBCC's </w:t>
      </w:r>
      <w:r w:rsidR="00E525DF" w:rsidRPr="00703A0B">
        <w:t xml:space="preserve">ability to balance timely </w:t>
      </w:r>
      <w:r w:rsidR="00CC177A" w:rsidRPr="00703A0B">
        <w:t xml:space="preserve">service delivery with </w:t>
      </w:r>
      <w:r w:rsidR="00676617" w:rsidRPr="00703A0B">
        <w:t xml:space="preserve">rigorous </w:t>
      </w:r>
      <w:r w:rsidR="00CC177A" w:rsidRPr="00703A0B">
        <w:t xml:space="preserve">regulatory </w:t>
      </w:r>
      <w:r w:rsidR="00676617" w:rsidRPr="00703A0B">
        <w:t>oversight</w:t>
      </w:r>
      <w:r w:rsidR="00CC177A" w:rsidRPr="00703A0B">
        <w:t xml:space="preserve">. </w:t>
      </w:r>
      <w:r w:rsidR="006027DE" w:rsidRPr="00703A0B">
        <w:t xml:space="preserve">By maintaining efficient licensing services while strengthening the integrity of the licensing framework, the QBCC </w:t>
      </w:r>
      <w:r w:rsidR="00B25A55" w:rsidRPr="00703A0B">
        <w:t xml:space="preserve">supported </w:t>
      </w:r>
      <w:r w:rsidR="006027DE" w:rsidRPr="00703A0B">
        <w:t>workforce</w:t>
      </w:r>
      <w:r w:rsidR="005F284A" w:rsidRPr="00703A0B">
        <w:t xml:space="preserve"> growth</w:t>
      </w:r>
      <w:r w:rsidR="00725B47" w:rsidRPr="00703A0B">
        <w:t xml:space="preserve">, </w:t>
      </w:r>
      <w:r w:rsidR="005F284A" w:rsidRPr="00703A0B">
        <w:t>industry</w:t>
      </w:r>
      <w:r w:rsidR="006027DE" w:rsidRPr="00703A0B">
        <w:t xml:space="preserve"> confidence</w:t>
      </w:r>
      <w:r w:rsidR="005F284A" w:rsidRPr="00703A0B">
        <w:t xml:space="preserve"> and continued access to skilled</w:t>
      </w:r>
      <w:r w:rsidR="00A709C6" w:rsidRPr="00703A0B">
        <w:t xml:space="preserve"> construction workforce</w:t>
      </w:r>
      <w:r w:rsidR="005F284A" w:rsidRPr="00703A0B">
        <w:t xml:space="preserve"> </w:t>
      </w:r>
      <w:r w:rsidR="0084214C" w:rsidRPr="00703A0B">
        <w:t>across</w:t>
      </w:r>
      <w:r w:rsidR="006027DE" w:rsidRPr="00703A0B">
        <w:t xml:space="preserve"> Queensland</w:t>
      </w:r>
      <w:r w:rsidR="00DA1A13" w:rsidRPr="00703A0B">
        <w:t>.</w:t>
      </w:r>
    </w:p>
    <w:p w14:paraId="0D33E299" w14:textId="77777777" w:rsidR="00E5407C" w:rsidRPr="00703A0B" w:rsidRDefault="00E5407C">
      <w:pPr>
        <w:rPr>
          <w:rFonts w:eastAsiaTheme="majorEastAsia" w:cstheme="majorBidi"/>
          <w:b/>
          <w:sz w:val="28"/>
        </w:rPr>
      </w:pPr>
      <w:bookmarkStart w:id="44" w:name="_Financial_compliance_and"/>
      <w:bookmarkEnd w:id="44"/>
      <w:r w:rsidRPr="00703A0B">
        <w:br w:type="page"/>
      </w:r>
    </w:p>
    <w:p w14:paraId="445495DC" w14:textId="1D717EC1" w:rsidR="007B601C" w:rsidRPr="00703A0B" w:rsidRDefault="00FD2B44" w:rsidP="00FB4461">
      <w:pPr>
        <w:pStyle w:val="Heading3"/>
      </w:pPr>
      <w:r w:rsidRPr="00703A0B">
        <w:lastRenderedPageBreak/>
        <w:t>Financial compliance and monitoring</w:t>
      </w:r>
    </w:p>
    <w:p w14:paraId="292586E6" w14:textId="0E70269C" w:rsidR="00484C5E" w:rsidRPr="00703A0B" w:rsidRDefault="007B601C" w:rsidP="00996863">
      <w:pPr>
        <w:spacing w:before="120" w:after="120"/>
      </w:pPr>
      <w:r w:rsidRPr="00703A0B">
        <w:t xml:space="preserve">An integral part of the QBCC’s licensing framework is ensuring that licensees have the financial capacity to meet their obligations and operate responsibly within Queensland’s building and construction industry. </w:t>
      </w:r>
      <w:r w:rsidR="0009753F" w:rsidRPr="00703A0B">
        <w:t>Through</w:t>
      </w:r>
      <w:r w:rsidRPr="00703A0B">
        <w:t xml:space="preserve"> </w:t>
      </w:r>
      <w:r w:rsidR="002475E4" w:rsidRPr="00703A0B">
        <w:t>its administration of</w:t>
      </w:r>
      <w:r w:rsidRPr="00703A0B">
        <w:t xml:space="preserve"> the Minimum Financial Requirements (MFR)</w:t>
      </w:r>
      <w:r w:rsidR="0009753F" w:rsidRPr="00703A0B">
        <w:t>,</w:t>
      </w:r>
      <w:r w:rsidRPr="00703A0B">
        <w:t xml:space="preserve"> the </w:t>
      </w:r>
      <w:r w:rsidR="0009753F" w:rsidRPr="00703A0B">
        <w:t xml:space="preserve">QBCC continued to strengthen financial oversight </w:t>
      </w:r>
      <w:r w:rsidR="002475E4" w:rsidRPr="00703A0B">
        <w:t>by</w:t>
      </w:r>
      <w:r w:rsidR="0009753F" w:rsidRPr="00703A0B">
        <w:t xml:space="preserve"> proactive monitoring</w:t>
      </w:r>
      <w:r w:rsidR="00521DEA" w:rsidRPr="00703A0B">
        <w:t xml:space="preserve"> compliance</w:t>
      </w:r>
      <w:r w:rsidR="0009753F" w:rsidRPr="00703A0B">
        <w:t xml:space="preserve">, </w:t>
      </w:r>
      <w:r w:rsidR="00521DEA" w:rsidRPr="00703A0B">
        <w:t xml:space="preserve">undertaking </w:t>
      </w:r>
      <w:r w:rsidR="0009753F" w:rsidRPr="00703A0B">
        <w:t>early intervention</w:t>
      </w:r>
      <w:r w:rsidR="00521DEA" w:rsidRPr="00703A0B">
        <w:t xml:space="preserve"> activities </w:t>
      </w:r>
      <w:r w:rsidR="0009753F" w:rsidRPr="00703A0B">
        <w:t xml:space="preserve">and </w:t>
      </w:r>
      <w:r w:rsidR="00521DEA" w:rsidRPr="00703A0B">
        <w:t xml:space="preserve">taking </w:t>
      </w:r>
      <w:r w:rsidR="0009753F" w:rsidRPr="00703A0B">
        <w:t>regulatory action where required</w:t>
      </w:r>
      <w:r w:rsidRPr="00703A0B">
        <w:t>.</w:t>
      </w:r>
      <w:r w:rsidR="00703F05" w:rsidRPr="00703A0B">
        <w:t xml:space="preserve"> </w:t>
      </w:r>
      <w:r w:rsidR="00E575A1" w:rsidRPr="00703A0B">
        <w:fldChar w:fldCharType="begin"/>
      </w:r>
      <w:r w:rsidR="00E575A1" w:rsidRPr="00703A0B">
        <w:instrText xml:space="preserve"> REF _Ref235534221 \h  \* MERGEFORMAT </w:instrText>
      </w:r>
      <w:r w:rsidR="00E575A1" w:rsidRPr="00703A0B">
        <w:fldChar w:fldCharType="separate"/>
      </w:r>
      <w:r w:rsidR="00E575A1" w:rsidRPr="00703A0B">
        <w:t>Figure 1</w:t>
      </w:r>
      <w:r w:rsidR="00E575A1" w:rsidRPr="00703A0B">
        <w:fldChar w:fldCharType="end"/>
      </w:r>
      <w:r w:rsidR="00E575A1" w:rsidRPr="00703A0B">
        <w:t xml:space="preserve"> </w:t>
      </w:r>
      <w:r w:rsidR="004D727F" w:rsidRPr="00703A0B">
        <w:rPr>
          <w:rFonts w:cs="Arial"/>
        </w:rPr>
        <w:t xml:space="preserve">provides an overview of disciplinary decisions issued </w:t>
      </w:r>
      <w:r w:rsidR="00303A6A" w:rsidRPr="00703A0B">
        <w:rPr>
          <w:rFonts w:cs="Arial"/>
        </w:rPr>
        <w:t>to</w:t>
      </w:r>
      <w:r w:rsidR="004D727F" w:rsidRPr="00703A0B">
        <w:rPr>
          <w:rFonts w:cs="Arial"/>
        </w:rPr>
        <w:t xml:space="preserve"> licensees who did not meet their annual financial reporting obligations.</w:t>
      </w:r>
    </w:p>
    <w:p w14:paraId="3C0F4722" w14:textId="16545536" w:rsidR="00484C5E" w:rsidRPr="00703A0B" w:rsidRDefault="00ED57F7" w:rsidP="00220441">
      <w:r w:rsidRPr="00904641">
        <w:rPr>
          <w:noProof/>
        </w:rPr>
        <w:drawing>
          <wp:inline distT="0" distB="0" distL="0" distR="0" wp14:anchorId="4699D296" wp14:editId="35C0C2A7">
            <wp:extent cx="6642100" cy="1379220"/>
            <wp:effectExtent l="0" t="0" r="6350" b="0"/>
            <wp:docPr id="95852986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529869"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6642100" cy="1379220"/>
                    </a:xfrm>
                    <a:prstGeom prst="rect">
                      <a:avLst/>
                    </a:prstGeom>
                  </pic:spPr>
                </pic:pic>
              </a:graphicData>
            </a:graphic>
          </wp:inline>
        </w:drawing>
      </w:r>
    </w:p>
    <w:p w14:paraId="376B6080" w14:textId="2A68B713" w:rsidR="00B477D5" w:rsidRPr="00703A0B" w:rsidRDefault="001A7452" w:rsidP="00B477D5">
      <w:pPr>
        <w:pStyle w:val="Caption"/>
        <w:rPr>
          <w:b w:val="0"/>
          <w:i/>
        </w:rPr>
      </w:pPr>
      <w:bookmarkStart w:id="45" w:name="_Ref235534221"/>
      <w:r w:rsidRPr="00703A0B">
        <w:rPr>
          <w:b w:val="0"/>
          <w:i/>
        </w:rPr>
        <w:t xml:space="preserve">Figure </w:t>
      </w:r>
      <w:r w:rsidRPr="00703A0B">
        <w:rPr>
          <w:b w:val="0"/>
          <w:i/>
        </w:rPr>
        <w:fldChar w:fldCharType="begin"/>
      </w:r>
      <w:r w:rsidRPr="00703A0B">
        <w:rPr>
          <w:b w:val="0"/>
          <w:i/>
        </w:rPr>
        <w:instrText xml:space="preserve"> SEQ Figure \* ARABIC </w:instrText>
      </w:r>
      <w:r w:rsidRPr="00703A0B">
        <w:rPr>
          <w:b w:val="0"/>
          <w:i/>
        </w:rPr>
        <w:fldChar w:fldCharType="separate"/>
      </w:r>
      <w:r w:rsidR="00051582" w:rsidRPr="00106EBB">
        <w:rPr>
          <w:b w:val="0"/>
          <w:i/>
        </w:rPr>
        <w:t>1</w:t>
      </w:r>
      <w:r w:rsidRPr="00703A0B">
        <w:rPr>
          <w:b w:val="0"/>
          <w:i/>
        </w:rPr>
        <w:fldChar w:fldCharType="end"/>
      </w:r>
      <w:bookmarkEnd w:id="45"/>
      <w:r w:rsidRPr="00703A0B">
        <w:rPr>
          <w:b w:val="0"/>
          <w:i/>
        </w:rPr>
        <w:t xml:space="preserve">: Number of financial </w:t>
      </w:r>
      <w:proofErr w:type="gramStart"/>
      <w:r w:rsidRPr="00703A0B">
        <w:rPr>
          <w:b w:val="0"/>
          <w:i/>
        </w:rPr>
        <w:t>compliance</w:t>
      </w:r>
      <w:proofErr w:type="gramEnd"/>
      <w:r w:rsidR="00E575A1" w:rsidRPr="00703A0B">
        <w:rPr>
          <w:b w:val="0"/>
          <w:bCs/>
          <w:i/>
          <w:iCs/>
        </w:rPr>
        <w:t xml:space="preserve"> </w:t>
      </w:r>
      <w:r w:rsidRPr="00703A0B">
        <w:rPr>
          <w:b w:val="0"/>
          <w:i/>
        </w:rPr>
        <w:t>related disciplinary actions issued over the past two years</w:t>
      </w:r>
    </w:p>
    <w:p w14:paraId="7DC089EA" w14:textId="31E7A08C" w:rsidR="00413B51" w:rsidRPr="00703A0B" w:rsidRDefault="006A4661" w:rsidP="32DBE27A">
      <w:pPr>
        <w:spacing w:before="120" w:after="120"/>
        <w:rPr>
          <w:rFonts w:cs="Arial"/>
        </w:rPr>
      </w:pPr>
      <w:proofErr w:type="gramStart"/>
      <w:r w:rsidRPr="00703A0B">
        <w:rPr>
          <w:rFonts w:cs="Arial"/>
        </w:rPr>
        <w:t>T</w:t>
      </w:r>
      <w:r w:rsidR="1B597489" w:rsidRPr="00703A0B">
        <w:rPr>
          <w:rFonts w:cs="Arial"/>
        </w:rPr>
        <w:t>he</w:t>
      </w:r>
      <w:r w:rsidR="00836A64" w:rsidRPr="00703A0B">
        <w:rPr>
          <w:rFonts w:cs="Arial"/>
        </w:rPr>
        <w:t xml:space="preserve"> majority of</w:t>
      </w:r>
      <w:proofErr w:type="gramEnd"/>
      <w:r w:rsidR="00836A64" w:rsidRPr="00703A0B">
        <w:rPr>
          <w:rFonts w:cs="Arial"/>
        </w:rPr>
        <w:t xml:space="preserve"> disciplinary matters </w:t>
      </w:r>
      <w:r w:rsidR="00116793" w:rsidRPr="00703A0B">
        <w:rPr>
          <w:rFonts w:cs="Arial"/>
        </w:rPr>
        <w:t xml:space="preserve">were resolved </w:t>
      </w:r>
      <w:r w:rsidR="00D546BC" w:rsidRPr="00703A0B">
        <w:rPr>
          <w:rFonts w:cs="Arial"/>
        </w:rPr>
        <w:t>during</w:t>
      </w:r>
      <w:r w:rsidR="00116793" w:rsidRPr="00703A0B">
        <w:rPr>
          <w:rFonts w:cs="Arial"/>
        </w:rPr>
        <w:t xml:space="preserve"> the</w:t>
      </w:r>
      <w:r w:rsidR="00836A64" w:rsidRPr="00703A0B" w:rsidDel="007D6677">
        <w:rPr>
          <w:rFonts w:cs="Arial"/>
        </w:rPr>
        <w:t xml:space="preserve"> </w:t>
      </w:r>
      <w:r w:rsidR="00836A64" w:rsidRPr="00703A0B">
        <w:rPr>
          <w:rFonts w:cs="Arial"/>
        </w:rPr>
        <w:t>proposed disciplinary action</w:t>
      </w:r>
      <w:r w:rsidR="007D6677" w:rsidRPr="00703A0B">
        <w:rPr>
          <w:rFonts w:cs="Arial"/>
        </w:rPr>
        <w:t xml:space="preserve"> stage</w:t>
      </w:r>
      <w:r w:rsidR="00836A64" w:rsidRPr="00703A0B">
        <w:rPr>
          <w:rFonts w:cs="Arial"/>
        </w:rPr>
        <w:t>,</w:t>
      </w:r>
      <w:r w:rsidR="00567FB6" w:rsidRPr="00703A0B">
        <w:rPr>
          <w:rFonts w:cs="Arial"/>
        </w:rPr>
        <w:t xml:space="preserve"> where the </w:t>
      </w:r>
      <w:r w:rsidR="00094421" w:rsidRPr="00703A0B">
        <w:rPr>
          <w:rFonts w:cs="Arial"/>
        </w:rPr>
        <w:t>licensee</w:t>
      </w:r>
      <w:r w:rsidR="003D0EB5" w:rsidRPr="00703A0B">
        <w:rPr>
          <w:rFonts w:cs="Arial"/>
        </w:rPr>
        <w:t xml:space="preserve">s were notified of the QBCC’s concerns and given </w:t>
      </w:r>
      <w:r w:rsidR="00094421" w:rsidRPr="00703A0B" w:rsidDel="003D0EB5">
        <w:rPr>
          <w:rFonts w:cs="Arial"/>
        </w:rPr>
        <w:t xml:space="preserve">the </w:t>
      </w:r>
      <w:r w:rsidR="00094421" w:rsidRPr="00703A0B">
        <w:rPr>
          <w:rFonts w:cs="Arial"/>
        </w:rPr>
        <w:t xml:space="preserve">opportunity </w:t>
      </w:r>
      <w:r w:rsidR="00C434BB" w:rsidRPr="00703A0B">
        <w:rPr>
          <w:rFonts w:cs="Arial"/>
        </w:rPr>
        <w:t>t</w:t>
      </w:r>
      <w:r w:rsidR="00094421" w:rsidRPr="00703A0B">
        <w:rPr>
          <w:rFonts w:cs="Arial"/>
        </w:rPr>
        <w:t xml:space="preserve">o respond and rectify </w:t>
      </w:r>
      <w:r w:rsidR="00490672" w:rsidRPr="00703A0B">
        <w:rPr>
          <w:rFonts w:cs="Arial"/>
        </w:rPr>
        <w:t>any</w:t>
      </w:r>
      <w:r w:rsidR="00094421" w:rsidRPr="00703A0B">
        <w:rPr>
          <w:rFonts w:cs="Arial"/>
        </w:rPr>
        <w:t xml:space="preserve"> issue</w:t>
      </w:r>
      <w:r w:rsidR="00490672" w:rsidRPr="00703A0B">
        <w:rPr>
          <w:rFonts w:cs="Arial"/>
        </w:rPr>
        <w:t>s before formal disciplinary action was required</w:t>
      </w:r>
      <w:r w:rsidR="00094421" w:rsidRPr="00703A0B">
        <w:rPr>
          <w:rFonts w:cs="Arial"/>
        </w:rPr>
        <w:t xml:space="preserve">. </w:t>
      </w:r>
      <w:r w:rsidR="00FF31A2" w:rsidRPr="00703A0B">
        <w:rPr>
          <w:rFonts w:cs="Arial"/>
        </w:rPr>
        <w:t xml:space="preserve">The </w:t>
      </w:r>
      <w:r w:rsidR="00413B51" w:rsidRPr="00703A0B">
        <w:rPr>
          <w:rFonts w:cs="Arial"/>
        </w:rPr>
        <w:t>increase</w:t>
      </w:r>
      <w:r w:rsidR="00FF31A2" w:rsidRPr="00703A0B">
        <w:rPr>
          <w:rFonts w:cs="Arial"/>
        </w:rPr>
        <w:t xml:space="preserve"> in proposed disciplinary actions </w:t>
      </w:r>
      <w:r w:rsidR="000A2E30" w:rsidRPr="00703A0B">
        <w:rPr>
          <w:rFonts w:cs="Arial"/>
        </w:rPr>
        <w:t xml:space="preserve">was </w:t>
      </w:r>
      <w:r w:rsidR="00413B51" w:rsidRPr="00703A0B">
        <w:rPr>
          <w:rFonts w:cs="Arial"/>
        </w:rPr>
        <w:t xml:space="preserve">primarily driven by a </w:t>
      </w:r>
      <w:r w:rsidR="007B722A" w:rsidRPr="00703A0B">
        <w:rPr>
          <w:rFonts w:cs="Arial"/>
        </w:rPr>
        <w:t xml:space="preserve">rise in </w:t>
      </w:r>
      <w:r w:rsidR="00720532" w:rsidRPr="00703A0B">
        <w:rPr>
          <w:rFonts w:cs="Arial"/>
        </w:rPr>
        <w:t xml:space="preserve">matters </w:t>
      </w:r>
      <w:r w:rsidR="00490672" w:rsidRPr="00703A0B">
        <w:rPr>
          <w:rFonts w:cs="Arial"/>
        </w:rPr>
        <w:t>involving</w:t>
      </w:r>
      <w:r w:rsidR="00E72BFE" w:rsidRPr="00703A0B">
        <w:rPr>
          <w:rFonts w:cs="Arial"/>
        </w:rPr>
        <w:t xml:space="preserve"> </w:t>
      </w:r>
      <w:r w:rsidR="007B722A" w:rsidRPr="00703A0B">
        <w:rPr>
          <w:rFonts w:cs="Arial"/>
        </w:rPr>
        <w:t>the imposition</w:t>
      </w:r>
      <w:r w:rsidR="00953CB0" w:rsidRPr="00703A0B">
        <w:rPr>
          <w:rFonts w:cs="Arial"/>
        </w:rPr>
        <w:t xml:space="preserve"> </w:t>
      </w:r>
      <w:r w:rsidR="005B4073" w:rsidRPr="00703A0B">
        <w:rPr>
          <w:rFonts w:cs="Arial"/>
        </w:rPr>
        <w:t xml:space="preserve">of </w:t>
      </w:r>
      <w:r w:rsidR="00700603" w:rsidRPr="00703A0B">
        <w:rPr>
          <w:rFonts w:cs="Arial"/>
        </w:rPr>
        <w:t>licence</w:t>
      </w:r>
      <w:r w:rsidR="00B4232F" w:rsidRPr="00703A0B">
        <w:rPr>
          <w:rFonts w:cs="Arial"/>
        </w:rPr>
        <w:t xml:space="preserve"> </w:t>
      </w:r>
      <w:r w:rsidR="00F75F27" w:rsidRPr="00703A0B">
        <w:rPr>
          <w:rFonts w:cs="Arial"/>
        </w:rPr>
        <w:t>condition</w:t>
      </w:r>
      <w:r w:rsidR="005B4073" w:rsidRPr="00703A0B">
        <w:rPr>
          <w:rFonts w:cs="Arial"/>
        </w:rPr>
        <w:t>s</w:t>
      </w:r>
      <w:r w:rsidR="00700603" w:rsidRPr="00703A0B">
        <w:rPr>
          <w:rFonts w:cs="Arial"/>
        </w:rPr>
        <w:t xml:space="preserve"> </w:t>
      </w:r>
      <w:r w:rsidR="00BC08FF" w:rsidRPr="00703A0B">
        <w:rPr>
          <w:rFonts w:cs="Arial"/>
        </w:rPr>
        <w:t>requir</w:t>
      </w:r>
      <w:r w:rsidR="00700603" w:rsidRPr="00703A0B">
        <w:rPr>
          <w:rFonts w:cs="Arial"/>
        </w:rPr>
        <w:t>ing</w:t>
      </w:r>
      <w:r w:rsidR="00620116" w:rsidRPr="00703A0B">
        <w:rPr>
          <w:rFonts w:cs="Arial"/>
        </w:rPr>
        <w:t xml:space="preserve"> </w:t>
      </w:r>
      <w:r w:rsidR="000B6974" w:rsidRPr="00703A0B">
        <w:rPr>
          <w:rFonts w:cs="Arial"/>
        </w:rPr>
        <w:t>licensee</w:t>
      </w:r>
      <w:r w:rsidR="005B4073" w:rsidRPr="00703A0B">
        <w:rPr>
          <w:rFonts w:cs="Arial"/>
        </w:rPr>
        <w:t>s</w:t>
      </w:r>
      <w:r w:rsidR="000B6974" w:rsidRPr="00703A0B">
        <w:rPr>
          <w:rFonts w:cs="Arial"/>
        </w:rPr>
        <w:t xml:space="preserve"> to </w:t>
      </w:r>
      <w:r w:rsidR="00E72BFE" w:rsidRPr="00703A0B">
        <w:rPr>
          <w:rFonts w:cs="Arial"/>
        </w:rPr>
        <w:t xml:space="preserve">meet specific </w:t>
      </w:r>
      <w:r w:rsidR="000B6974" w:rsidRPr="00703A0B">
        <w:rPr>
          <w:rFonts w:cs="Arial"/>
        </w:rPr>
        <w:t xml:space="preserve">requirements </w:t>
      </w:r>
      <w:r w:rsidR="00190E16" w:rsidRPr="00703A0B">
        <w:rPr>
          <w:rFonts w:cs="Arial"/>
        </w:rPr>
        <w:t>within defined timeframe</w:t>
      </w:r>
      <w:r w:rsidR="00BC08FF" w:rsidRPr="00703A0B">
        <w:rPr>
          <w:rFonts w:cs="Arial"/>
        </w:rPr>
        <w:t>s</w:t>
      </w:r>
      <w:r w:rsidR="00413B51" w:rsidRPr="00703A0B">
        <w:rPr>
          <w:rFonts w:cs="Arial"/>
        </w:rPr>
        <w:t>.</w:t>
      </w:r>
      <w:r w:rsidR="00F73F33" w:rsidRPr="00703A0B">
        <w:rPr>
          <w:rFonts w:cs="Arial"/>
        </w:rPr>
        <w:t xml:space="preserve"> </w:t>
      </w:r>
      <w:r w:rsidR="00AE2F0F" w:rsidRPr="00703A0B">
        <w:rPr>
          <w:rFonts w:cs="Arial"/>
        </w:rPr>
        <w:t>At the same time</w:t>
      </w:r>
      <w:r w:rsidR="009643E2" w:rsidRPr="00703A0B">
        <w:rPr>
          <w:rFonts w:cs="Arial"/>
        </w:rPr>
        <w:t>, fewer matters progressed to formal</w:t>
      </w:r>
      <w:r w:rsidR="00FB01C7" w:rsidRPr="00703A0B">
        <w:rPr>
          <w:rFonts w:cs="Arial"/>
        </w:rPr>
        <w:t xml:space="preserve"> </w:t>
      </w:r>
      <w:r w:rsidR="00203AD5" w:rsidRPr="00703A0B">
        <w:rPr>
          <w:rFonts w:cs="Arial"/>
        </w:rPr>
        <w:t>disciplinary decisions</w:t>
      </w:r>
      <w:r w:rsidR="0081658D" w:rsidRPr="00703A0B">
        <w:rPr>
          <w:rFonts w:cs="Arial"/>
        </w:rPr>
        <w:t xml:space="preserve">, </w:t>
      </w:r>
      <w:r w:rsidR="00A92EBC" w:rsidRPr="00703A0B">
        <w:rPr>
          <w:rFonts w:cs="Arial"/>
        </w:rPr>
        <w:t>reflect</w:t>
      </w:r>
      <w:r w:rsidR="0081658D" w:rsidRPr="00703A0B">
        <w:rPr>
          <w:rFonts w:cs="Arial"/>
        </w:rPr>
        <w:t>ing</w:t>
      </w:r>
      <w:r w:rsidR="008C7073" w:rsidRPr="00703A0B">
        <w:rPr>
          <w:rFonts w:cs="Arial"/>
        </w:rPr>
        <w:t xml:space="preserve"> the </w:t>
      </w:r>
      <w:r w:rsidR="00A92EBC" w:rsidRPr="00703A0B">
        <w:rPr>
          <w:rFonts w:cs="Arial"/>
        </w:rPr>
        <w:t xml:space="preserve">QBCC’s </w:t>
      </w:r>
      <w:r w:rsidR="00CD4AA9" w:rsidRPr="00703A0B">
        <w:rPr>
          <w:rFonts w:cs="Arial"/>
        </w:rPr>
        <w:t xml:space="preserve">risk-based </w:t>
      </w:r>
      <w:r w:rsidR="00DE594A" w:rsidRPr="00703A0B">
        <w:rPr>
          <w:rFonts w:cs="Arial"/>
        </w:rPr>
        <w:t xml:space="preserve">regulatory </w:t>
      </w:r>
      <w:r w:rsidR="00A92EBC" w:rsidRPr="00703A0B">
        <w:rPr>
          <w:rFonts w:cs="Arial"/>
        </w:rPr>
        <w:t>approach</w:t>
      </w:r>
      <w:r w:rsidR="00DE594A" w:rsidRPr="00703A0B" w:rsidDel="007E40A4">
        <w:rPr>
          <w:rFonts w:cs="Arial"/>
        </w:rPr>
        <w:t xml:space="preserve"> </w:t>
      </w:r>
      <w:r w:rsidR="007E40A4" w:rsidRPr="00703A0B">
        <w:rPr>
          <w:rFonts w:cs="Arial"/>
        </w:rPr>
        <w:t>that focuses on</w:t>
      </w:r>
      <w:r w:rsidR="001626D5" w:rsidRPr="00703A0B">
        <w:rPr>
          <w:rFonts w:cs="Arial"/>
        </w:rPr>
        <w:t xml:space="preserve"> early intervention</w:t>
      </w:r>
      <w:r w:rsidR="008D1995" w:rsidRPr="00703A0B">
        <w:rPr>
          <w:rFonts w:cs="Arial"/>
        </w:rPr>
        <w:t>, education</w:t>
      </w:r>
      <w:r w:rsidR="001626D5" w:rsidRPr="00703A0B">
        <w:rPr>
          <w:rFonts w:cs="Arial"/>
        </w:rPr>
        <w:t xml:space="preserve"> and corrective action </w:t>
      </w:r>
      <w:r w:rsidR="008E59FE" w:rsidRPr="00703A0B">
        <w:rPr>
          <w:rFonts w:cs="Arial"/>
        </w:rPr>
        <w:t xml:space="preserve">where </w:t>
      </w:r>
      <w:r w:rsidR="000C5B78" w:rsidRPr="00703A0B">
        <w:rPr>
          <w:rFonts w:cs="Arial"/>
        </w:rPr>
        <w:t>appropriate</w:t>
      </w:r>
      <w:r w:rsidR="00000197" w:rsidRPr="00703A0B">
        <w:rPr>
          <w:rFonts w:cs="Arial"/>
        </w:rPr>
        <w:t>.</w:t>
      </w:r>
      <w:r w:rsidR="00733EED" w:rsidRPr="00703A0B">
        <w:rPr>
          <w:rFonts w:cs="Arial"/>
        </w:rPr>
        <w:t xml:space="preserve"> </w:t>
      </w:r>
      <w:r w:rsidR="008D1995" w:rsidRPr="00703A0B">
        <w:rPr>
          <w:rFonts w:cs="Arial"/>
        </w:rPr>
        <w:t>I</w:t>
      </w:r>
      <w:r w:rsidR="00203AD5" w:rsidRPr="00703A0B">
        <w:rPr>
          <w:rFonts w:cs="Arial"/>
        </w:rPr>
        <w:t xml:space="preserve">mproved compliance with annual financial reporting obligations </w:t>
      </w:r>
      <w:r w:rsidR="00733EED" w:rsidRPr="00703A0B">
        <w:rPr>
          <w:rFonts w:cs="Arial"/>
        </w:rPr>
        <w:t>also contributed to</w:t>
      </w:r>
      <w:r w:rsidR="00203AD5" w:rsidRPr="00703A0B">
        <w:rPr>
          <w:rFonts w:cs="Arial"/>
        </w:rPr>
        <w:t xml:space="preserve"> </w:t>
      </w:r>
      <w:r w:rsidR="00C80301" w:rsidRPr="00703A0B">
        <w:rPr>
          <w:rFonts w:cs="Arial"/>
        </w:rPr>
        <w:t xml:space="preserve">the </w:t>
      </w:r>
      <w:r w:rsidR="00203AD5" w:rsidRPr="00703A0B">
        <w:rPr>
          <w:rFonts w:cs="Arial"/>
        </w:rPr>
        <w:t>earlier resolution of potential non-compliance issues</w:t>
      </w:r>
      <w:r w:rsidR="00000197" w:rsidRPr="00703A0B">
        <w:rPr>
          <w:rFonts w:cs="Arial"/>
        </w:rPr>
        <w:t xml:space="preserve"> before </w:t>
      </w:r>
      <w:r w:rsidR="005C2346" w:rsidRPr="00703A0B">
        <w:rPr>
          <w:rFonts w:cs="Arial"/>
        </w:rPr>
        <w:t xml:space="preserve">formal disciplinary action </w:t>
      </w:r>
      <w:r w:rsidR="00733EED" w:rsidRPr="00703A0B">
        <w:rPr>
          <w:rFonts w:cs="Arial"/>
        </w:rPr>
        <w:t>became necessary</w:t>
      </w:r>
      <w:r w:rsidR="00203AD5" w:rsidRPr="00703A0B">
        <w:rPr>
          <w:rFonts w:cs="Arial"/>
        </w:rPr>
        <w:t>.</w:t>
      </w:r>
      <w:r w:rsidR="007F6F44" w:rsidRPr="00703A0B">
        <w:rPr>
          <w:rFonts w:cs="Arial"/>
        </w:rPr>
        <w:t xml:space="preserve"> By </w:t>
      </w:r>
      <w:r w:rsidR="00733EED" w:rsidRPr="00703A0B">
        <w:rPr>
          <w:rFonts w:cs="Arial"/>
        </w:rPr>
        <w:t>supporting</w:t>
      </w:r>
      <w:r w:rsidR="007F6F44" w:rsidRPr="00703A0B">
        <w:rPr>
          <w:rFonts w:cs="Arial"/>
        </w:rPr>
        <w:t xml:space="preserve"> licensees to address issues at an early stage, the QBCC help</w:t>
      </w:r>
      <w:r w:rsidR="00733EED" w:rsidRPr="00703A0B">
        <w:rPr>
          <w:rFonts w:cs="Arial"/>
        </w:rPr>
        <w:t>ed</w:t>
      </w:r>
      <w:r w:rsidR="007F6F44" w:rsidRPr="00703A0B">
        <w:rPr>
          <w:rFonts w:cs="Arial"/>
        </w:rPr>
        <w:t xml:space="preserve"> </w:t>
      </w:r>
      <w:r w:rsidR="00733EED" w:rsidRPr="00703A0B">
        <w:rPr>
          <w:rFonts w:cs="Arial"/>
        </w:rPr>
        <w:t>strengthen</w:t>
      </w:r>
      <w:r w:rsidR="007F6F44" w:rsidRPr="00703A0B">
        <w:rPr>
          <w:rFonts w:cs="Arial"/>
        </w:rPr>
        <w:t xml:space="preserve"> industry standards, promote a culture of accountability</w:t>
      </w:r>
      <w:r w:rsidR="00733EED" w:rsidRPr="00703A0B">
        <w:rPr>
          <w:rFonts w:cs="Arial"/>
        </w:rPr>
        <w:t xml:space="preserve"> and compliance</w:t>
      </w:r>
      <w:r w:rsidR="007F6F44" w:rsidRPr="00703A0B">
        <w:rPr>
          <w:rFonts w:cs="Arial"/>
        </w:rPr>
        <w:t xml:space="preserve">, and </w:t>
      </w:r>
      <w:r w:rsidR="00AA2DAA" w:rsidRPr="00703A0B">
        <w:rPr>
          <w:rFonts w:cs="Arial"/>
        </w:rPr>
        <w:t>maintain a</w:t>
      </w:r>
      <w:r w:rsidR="007F6F44" w:rsidRPr="00703A0B">
        <w:rPr>
          <w:rFonts w:cs="Arial"/>
        </w:rPr>
        <w:t xml:space="preserve"> fair </w:t>
      </w:r>
      <w:r w:rsidR="00AA2DAA" w:rsidRPr="00703A0B">
        <w:rPr>
          <w:rFonts w:cs="Arial"/>
        </w:rPr>
        <w:t xml:space="preserve">and </w:t>
      </w:r>
      <w:r w:rsidR="007F6F44" w:rsidRPr="00703A0B">
        <w:rPr>
          <w:rFonts w:cs="Arial"/>
        </w:rPr>
        <w:t>competiti</w:t>
      </w:r>
      <w:r w:rsidR="000A70DD" w:rsidRPr="00703A0B">
        <w:rPr>
          <w:rFonts w:cs="Arial"/>
        </w:rPr>
        <w:t>ve environment for</w:t>
      </w:r>
      <w:r w:rsidR="00281739" w:rsidRPr="00703A0B">
        <w:rPr>
          <w:rFonts w:cs="Arial"/>
        </w:rPr>
        <w:t xml:space="preserve"> Queensland’s </w:t>
      </w:r>
      <w:r w:rsidR="007F6F44" w:rsidRPr="00703A0B">
        <w:rPr>
          <w:rFonts w:cs="Arial"/>
        </w:rPr>
        <w:t>licensed contractors.</w:t>
      </w:r>
    </w:p>
    <w:p w14:paraId="6E8AF6CE" w14:textId="3ADCDAD7" w:rsidR="004D727F" w:rsidRPr="00703A0B" w:rsidRDefault="0022487B" w:rsidP="00606DFC">
      <w:pPr>
        <w:pStyle w:val="Heading3"/>
      </w:pPr>
      <w:bookmarkStart w:id="46" w:name="_Recovery_of_outstanding"/>
      <w:bookmarkEnd w:id="46"/>
      <w:r w:rsidRPr="00703A0B">
        <w:t>I</w:t>
      </w:r>
      <w:r w:rsidR="00847AA2" w:rsidRPr="00703A0B">
        <w:t>nvestigation</w:t>
      </w:r>
      <w:r w:rsidR="00D66C35" w:rsidRPr="00703A0B">
        <w:t xml:space="preserve">s into outstanding payment </w:t>
      </w:r>
      <w:r w:rsidR="00847AA2" w:rsidRPr="00703A0B">
        <w:t>complaints</w:t>
      </w:r>
    </w:p>
    <w:p w14:paraId="26891791" w14:textId="79E69590" w:rsidR="00751895" w:rsidRPr="00703A0B" w:rsidRDefault="5011A8E1" w:rsidP="007B601C">
      <w:pPr>
        <w:spacing w:before="120" w:after="120"/>
      </w:pPr>
      <w:r w:rsidRPr="00703A0B">
        <w:t xml:space="preserve">The QBCC’s monies owed complaints service plays an important role in protecting subcontractors and suppliers by supporting the </w:t>
      </w:r>
      <w:r w:rsidR="008039D2" w:rsidRPr="00703A0B">
        <w:t xml:space="preserve">payment </w:t>
      </w:r>
      <w:r w:rsidRPr="00703A0B">
        <w:t xml:space="preserve">of undisputed debts from licensed contractors. </w:t>
      </w:r>
      <w:r w:rsidR="009800E8" w:rsidRPr="00703A0B">
        <w:t>Complaints</w:t>
      </w:r>
      <w:r w:rsidR="008E121E" w:rsidRPr="00703A0B">
        <w:t xml:space="preserve"> submitted </w:t>
      </w:r>
      <w:r w:rsidR="008847D1" w:rsidRPr="00703A0B">
        <w:t>through th</w:t>
      </w:r>
      <w:r w:rsidR="005F0BCD" w:rsidRPr="00703A0B">
        <w:t>is</w:t>
      </w:r>
      <w:r w:rsidR="008847D1" w:rsidRPr="00703A0B">
        <w:t xml:space="preserve"> service</w:t>
      </w:r>
      <w:r w:rsidR="008E121E" w:rsidRPr="00703A0B">
        <w:t xml:space="preserve"> </w:t>
      </w:r>
      <w:r w:rsidR="00864FFC" w:rsidRPr="00703A0B">
        <w:t xml:space="preserve">alert </w:t>
      </w:r>
      <w:r w:rsidR="008E121E" w:rsidRPr="00703A0B">
        <w:t xml:space="preserve">the </w:t>
      </w:r>
      <w:r w:rsidR="00864FFC" w:rsidRPr="00703A0B">
        <w:t xml:space="preserve">QBCC to </w:t>
      </w:r>
      <w:r w:rsidR="008847D1" w:rsidRPr="00703A0B">
        <w:t xml:space="preserve">potential </w:t>
      </w:r>
      <w:r w:rsidR="00864FFC" w:rsidRPr="00703A0B">
        <w:t xml:space="preserve">payment offences </w:t>
      </w:r>
      <w:r w:rsidR="0069793C" w:rsidRPr="00703A0B">
        <w:t xml:space="preserve">and may indicate that a </w:t>
      </w:r>
      <w:r w:rsidR="00864FFC" w:rsidRPr="00703A0B">
        <w:t xml:space="preserve">licensee </w:t>
      </w:r>
      <w:r w:rsidR="0069793C" w:rsidRPr="00703A0B">
        <w:t xml:space="preserve">has not </w:t>
      </w:r>
      <w:r w:rsidR="00A05001" w:rsidRPr="00703A0B">
        <w:t xml:space="preserve">met </w:t>
      </w:r>
      <w:r w:rsidR="0069793C" w:rsidRPr="00703A0B">
        <w:t xml:space="preserve">their </w:t>
      </w:r>
      <w:r w:rsidR="008E121E" w:rsidRPr="00703A0B">
        <w:t>MFR</w:t>
      </w:r>
      <w:r w:rsidR="008E6407" w:rsidRPr="00703A0B">
        <w:t xml:space="preserve">. </w:t>
      </w:r>
      <w:r w:rsidR="00B147B0" w:rsidRPr="00703A0B">
        <w:t>While t</w:t>
      </w:r>
      <w:r w:rsidR="00864FFC" w:rsidRPr="00703A0B">
        <w:t>he QBCC</w:t>
      </w:r>
      <w:r w:rsidR="00DB4EA7" w:rsidRPr="00703A0B">
        <w:t xml:space="preserve"> does not have the regulatory power to </w:t>
      </w:r>
      <w:r w:rsidR="0069793C" w:rsidRPr="00703A0B">
        <w:t xml:space="preserve">resolve contractual </w:t>
      </w:r>
      <w:r w:rsidR="002603E8" w:rsidRPr="00703A0B">
        <w:t xml:space="preserve">disputes or </w:t>
      </w:r>
      <w:r w:rsidR="00B80CFB" w:rsidRPr="00703A0B">
        <w:t xml:space="preserve">enforce payment of </w:t>
      </w:r>
      <w:r w:rsidR="00547E0A" w:rsidRPr="00703A0B">
        <w:t xml:space="preserve">outstanding </w:t>
      </w:r>
      <w:r w:rsidR="002603E8" w:rsidRPr="00703A0B">
        <w:t>debts,</w:t>
      </w:r>
      <w:r w:rsidR="00547E0A" w:rsidRPr="00703A0B">
        <w:t xml:space="preserve"> </w:t>
      </w:r>
      <w:r w:rsidR="00663B13" w:rsidRPr="00703A0B">
        <w:t>its investigative and compliance activities</w:t>
      </w:r>
      <w:r w:rsidR="00663B13" w:rsidRPr="00703A0B" w:rsidDel="00B63133">
        <w:t xml:space="preserve"> </w:t>
      </w:r>
      <w:r w:rsidR="00663B13" w:rsidRPr="00703A0B">
        <w:t>encourage</w:t>
      </w:r>
      <w:r w:rsidRPr="00703A0B">
        <w:t xml:space="preserve"> payment outcomes</w:t>
      </w:r>
      <w:r w:rsidR="00663B13" w:rsidRPr="00703A0B">
        <w:t xml:space="preserve"> and support the resolution of complaints</w:t>
      </w:r>
      <w:r w:rsidR="00280655" w:rsidRPr="00703A0B">
        <w:t>.</w:t>
      </w:r>
      <w:r w:rsidR="004F0A2D" w:rsidRPr="00703A0B">
        <w:t xml:space="preserve"> </w:t>
      </w:r>
      <w:r w:rsidR="009B2FB5" w:rsidRPr="00703A0B">
        <w:t>T</w:t>
      </w:r>
      <w:r w:rsidRPr="00703A0B">
        <w:t xml:space="preserve">he service </w:t>
      </w:r>
      <w:r w:rsidR="009B2FB5" w:rsidRPr="00703A0B">
        <w:t xml:space="preserve">also </w:t>
      </w:r>
      <w:r w:rsidRPr="00703A0B">
        <w:t xml:space="preserve">provides valuable intelligence on potential financial distress and </w:t>
      </w:r>
      <w:r w:rsidR="006A5FEA" w:rsidRPr="00703A0B">
        <w:t xml:space="preserve">their </w:t>
      </w:r>
      <w:r w:rsidRPr="00703A0B">
        <w:t>non-compliance</w:t>
      </w:r>
      <w:r w:rsidR="00165931" w:rsidRPr="00703A0B">
        <w:t xml:space="preserve"> among licensees</w:t>
      </w:r>
      <w:r w:rsidRPr="00703A0B">
        <w:t xml:space="preserve">, </w:t>
      </w:r>
      <w:r w:rsidR="00165931" w:rsidRPr="00703A0B">
        <w:t>enabling t</w:t>
      </w:r>
      <w:r w:rsidRPr="00703A0B">
        <w:t xml:space="preserve">he QBCC to </w:t>
      </w:r>
      <w:r w:rsidR="00165931" w:rsidRPr="00703A0B">
        <w:t xml:space="preserve">identify emerging </w:t>
      </w:r>
      <w:r w:rsidRPr="00703A0B">
        <w:t xml:space="preserve">risks </w:t>
      </w:r>
      <w:r w:rsidR="00535C99" w:rsidRPr="00703A0B">
        <w:t>and take</w:t>
      </w:r>
      <w:r w:rsidRPr="00703A0B">
        <w:t xml:space="preserve"> early </w:t>
      </w:r>
      <w:r w:rsidR="00535C99" w:rsidRPr="00703A0B">
        <w:t xml:space="preserve">regulatory action </w:t>
      </w:r>
      <w:r w:rsidRPr="00703A0B">
        <w:t xml:space="preserve">where </w:t>
      </w:r>
      <w:r w:rsidR="00535C99" w:rsidRPr="00703A0B">
        <w:t>appropriate</w:t>
      </w:r>
      <w:r w:rsidRPr="00703A0B">
        <w:t xml:space="preserve">. </w:t>
      </w:r>
      <w:r w:rsidR="002E5D34" w:rsidRPr="00703A0B">
        <w:fldChar w:fldCharType="begin"/>
      </w:r>
      <w:r w:rsidR="002E5D34" w:rsidRPr="00703A0B">
        <w:instrText xml:space="preserve"> REF _Ref233633274 \h </w:instrText>
      </w:r>
      <w:r w:rsidR="002E5D34" w:rsidRPr="00703A0B">
        <w:fldChar w:fldCharType="separate"/>
      </w:r>
      <w:r w:rsidR="002E5D34" w:rsidRPr="00703A0B">
        <w:t xml:space="preserve">Table </w:t>
      </w:r>
      <w:r w:rsidR="00A16723" w:rsidRPr="0068165F">
        <w:t>4</w:t>
      </w:r>
      <w:r w:rsidR="002E5D34" w:rsidRPr="00703A0B">
        <w:fldChar w:fldCharType="end"/>
      </w:r>
      <w:r w:rsidR="00846EB9" w:rsidRPr="00703A0B">
        <w:t xml:space="preserve"> </w:t>
      </w:r>
      <w:r w:rsidR="00E419FC" w:rsidRPr="00703A0B">
        <w:t>provides an overview of</w:t>
      </w:r>
      <w:r w:rsidR="003B32F4" w:rsidRPr="00703A0B">
        <w:t xml:space="preserve"> </w:t>
      </w:r>
      <w:r w:rsidR="00535C99" w:rsidRPr="00703A0B">
        <w:t xml:space="preserve">undisputed </w:t>
      </w:r>
      <w:r w:rsidR="00934A60" w:rsidRPr="00703A0B">
        <w:t>paymen</w:t>
      </w:r>
      <w:r w:rsidRPr="00703A0B">
        <w:t xml:space="preserve">t recovery outcomes over </w:t>
      </w:r>
      <w:r w:rsidR="00D827A0" w:rsidRPr="00703A0B">
        <w:t>time</w:t>
      </w:r>
      <w:r w:rsidRPr="00703A0B">
        <w:t>.</w:t>
      </w:r>
    </w:p>
    <w:p w14:paraId="7FFB037E" w14:textId="47F4BCAA" w:rsidR="00184959" w:rsidRPr="00703A0B" w:rsidRDefault="00896841" w:rsidP="00896841">
      <w:pPr>
        <w:pStyle w:val="Caption"/>
        <w:keepNext/>
        <w:rPr>
          <w:rFonts w:eastAsia="MS Mincho"/>
          <w:b w:val="0"/>
        </w:rPr>
      </w:pPr>
      <w:bookmarkStart w:id="47" w:name="_Ref233633274"/>
      <w:r w:rsidRPr="00703A0B">
        <w:t xml:space="preserve">Table </w:t>
      </w:r>
      <w:r w:rsidRPr="00703A0B">
        <w:fldChar w:fldCharType="begin"/>
      </w:r>
      <w:r w:rsidRPr="00703A0B">
        <w:instrText>SEQ Table \* ARABIC</w:instrText>
      </w:r>
      <w:r w:rsidRPr="00703A0B">
        <w:fldChar w:fldCharType="separate"/>
      </w:r>
      <w:r w:rsidR="003764AA" w:rsidRPr="0068165F">
        <w:t>4</w:t>
      </w:r>
      <w:r w:rsidRPr="00703A0B">
        <w:fldChar w:fldCharType="end"/>
      </w:r>
      <w:bookmarkEnd w:id="47"/>
      <w:r w:rsidR="5011A8E1" w:rsidRPr="00703A0B">
        <w:rPr>
          <w:rFonts w:eastAsia="MS Mincho"/>
        </w:rPr>
        <w:t>:</w:t>
      </w:r>
      <w:r w:rsidR="003B32F4" w:rsidRPr="00703A0B">
        <w:rPr>
          <w:rFonts w:eastAsia="MS Mincho"/>
        </w:rPr>
        <w:t xml:space="preserve"> V</w:t>
      </w:r>
      <w:r w:rsidR="5011A8E1" w:rsidRPr="00703A0B">
        <w:rPr>
          <w:rFonts w:eastAsia="MS Mincho"/>
        </w:rPr>
        <w:t xml:space="preserve">alue of </w:t>
      </w:r>
      <w:r w:rsidR="00A04BF3" w:rsidRPr="00703A0B">
        <w:rPr>
          <w:rFonts w:eastAsia="MS Mincho"/>
        </w:rPr>
        <w:t xml:space="preserve">undisputed </w:t>
      </w:r>
      <w:r w:rsidR="5011A8E1" w:rsidRPr="00703A0B">
        <w:rPr>
          <w:rFonts w:eastAsia="MS Mincho"/>
        </w:rPr>
        <w:t xml:space="preserve">debts </w:t>
      </w:r>
      <w:r w:rsidR="00D83502" w:rsidRPr="00703A0B">
        <w:rPr>
          <w:rFonts w:eastAsia="MS Mincho"/>
        </w:rPr>
        <w:t xml:space="preserve">paid </w:t>
      </w:r>
      <w:r w:rsidR="5011A8E1" w:rsidRPr="00703A0B">
        <w:rPr>
          <w:rFonts w:eastAsia="MS Mincho"/>
        </w:rPr>
        <w:t>over the past five years</w:t>
      </w:r>
    </w:p>
    <w:tbl>
      <w:tblPr>
        <w:tblStyle w:val="TableGrid"/>
        <w:tblW w:w="5000" w:type="pct"/>
        <w:tblLayout w:type="fixed"/>
        <w:tblCellMar>
          <w:top w:w="28" w:type="dxa"/>
          <w:bottom w:w="28" w:type="dxa"/>
        </w:tblCellMar>
        <w:tblLook w:val="06A0" w:firstRow="1" w:lastRow="0" w:firstColumn="1" w:lastColumn="0" w:noHBand="1" w:noVBand="1"/>
      </w:tblPr>
      <w:tblGrid>
        <w:gridCol w:w="1696"/>
        <w:gridCol w:w="1459"/>
        <w:gridCol w:w="1459"/>
        <w:gridCol w:w="1459"/>
        <w:gridCol w:w="1459"/>
        <w:gridCol w:w="1459"/>
        <w:gridCol w:w="1459"/>
      </w:tblGrid>
      <w:tr w:rsidR="32DBE27A" w:rsidRPr="00703A0B" w14:paraId="3782D299" w14:textId="77777777" w:rsidTr="00A12767">
        <w:tc>
          <w:tcPr>
            <w:tcW w:w="811" w:type="pct"/>
            <w:shd w:val="clear" w:color="auto" w:fill="BFBFBF" w:themeFill="background1" w:themeFillShade="BF"/>
          </w:tcPr>
          <w:p w14:paraId="3FE32497" w14:textId="0F54A0C9" w:rsidR="00D96866" w:rsidRPr="00703A0B" w:rsidRDefault="0041489F" w:rsidP="00730922">
            <w:pPr>
              <w:rPr>
                <w:b/>
                <w:bCs/>
              </w:rPr>
            </w:pPr>
            <w:r w:rsidRPr="00703A0B">
              <w:rPr>
                <w:b/>
                <w:bCs/>
              </w:rPr>
              <w:t>Debts paid</w:t>
            </w:r>
          </w:p>
        </w:tc>
        <w:tc>
          <w:tcPr>
            <w:tcW w:w="698" w:type="pct"/>
            <w:shd w:val="clear" w:color="auto" w:fill="BFBFBF" w:themeFill="background1" w:themeFillShade="BF"/>
          </w:tcPr>
          <w:p w14:paraId="0E2CE386" w14:textId="37C36EBE" w:rsidR="32DBE27A" w:rsidRPr="00703A0B" w:rsidRDefault="32DBE27A" w:rsidP="00A12767">
            <w:r w:rsidRPr="00703A0B">
              <w:rPr>
                <w:rFonts w:eastAsia="Times New Roman" w:cs="Arial"/>
                <w:b/>
                <w:bCs/>
                <w:lang w:eastAsia="en-AU"/>
              </w:rPr>
              <w:t>2021–22</w:t>
            </w:r>
          </w:p>
        </w:tc>
        <w:tc>
          <w:tcPr>
            <w:tcW w:w="698" w:type="pct"/>
            <w:shd w:val="clear" w:color="auto" w:fill="BFBFBF" w:themeFill="background1" w:themeFillShade="BF"/>
          </w:tcPr>
          <w:p w14:paraId="6D8090F2" w14:textId="36F6A2E1" w:rsidR="32DBE27A" w:rsidRPr="00703A0B" w:rsidRDefault="32DBE27A" w:rsidP="00A12767">
            <w:r w:rsidRPr="00703A0B">
              <w:rPr>
                <w:rFonts w:eastAsia="Times New Roman" w:cs="Arial"/>
                <w:b/>
                <w:bCs/>
                <w:lang w:eastAsia="en-AU"/>
              </w:rPr>
              <w:t>2022–23</w:t>
            </w:r>
          </w:p>
        </w:tc>
        <w:tc>
          <w:tcPr>
            <w:tcW w:w="698" w:type="pct"/>
            <w:shd w:val="clear" w:color="auto" w:fill="BFBFBF" w:themeFill="background1" w:themeFillShade="BF"/>
          </w:tcPr>
          <w:p w14:paraId="04B00C9F" w14:textId="5FE69BA2" w:rsidR="32DBE27A" w:rsidRPr="00703A0B" w:rsidRDefault="32DBE27A" w:rsidP="00A12767">
            <w:r w:rsidRPr="00703A0B">
              <w:rPr>
                <w:rFonts w:eastAsia="Times New Roman" w:cs="Arial"/>
                <w:b/>
                <w:bCs/>
                <w:lang w:eastAsia="en-AU"/>
              </w:rPr>
              <w:t>2023–24</w:t>
            </w:r>
          </w:p>
        </w:tc>
        <w:tc>
          <w:tcPr>
            <w:tcW w:w="698" w:type="pct"/>
            <w:shd w:val="clear" w:color="auto" w:fill="BFBFBF" w:themeFill="background1" w:themeFillShade="BF"/>
          </w:tcPr>
          <w:p w14:paraId="4696F478" w14:textId="477186D9" w:rsidR="32DBE27A" w:rsidRPr="00703A0B" w:rsidRDefault="32DBE27A" w:rsidP="00730922">
            <w:pPr>
              <w:rPr>
                <w:rFonts w:cs="Arial"/>
                <w:highlight w:val="yellow"/>
              </w:rPr>
            </w:pPr>
            <w:r w:rsidRPr="00703A0B">
              <w:rPr>
                <w:rFonts w:eastAsia="Times New Roman" w:cs="Arial"/>
                <w:b/>
                <w:bCs/>
                <w:lang w:eastAsia="en-AU"/>
              </w:rPr>
              <w:t>2024–25</w:t>
            </w:r>
          </w:p>
        </w:tc>
        <w:tc>
          <w:tcPr>
            <w:tcW w:w="698" w:type="pct"/>
            <w:shd w:val="clear" w:color="auto" w:fill="BFBFBF" w:themeFill="background1" w:themeFillShade="BF"/>
          </w:tcPr>
          <w:p w14:paraId="1FBE5682" w14:textId="694F0DDE" w:rsidR="32DBE27A" w:rsidRPr="00703A0B" w:rsidRDefault="32DBE27A" w:rsidP="00730922">
            <w:pPr>
              <w:rPr>
                <w:rFonts w:cs="Arial"/>
                <w:highlight w:val="yellow"/>
              </w:rPr>
            </w:pPr>
            <w:r w:rsidRPr="00703A0B">
              <w:rPr>
                <w:rFonts w:eastAsia="Times New Roman" w:cs="Arial"/>
                <w:b/>
                <w:bCs/>
                <w:lang w:eastAsia="en-AU"/>
              </w:rPr>
              <w:t>2025–26</w:t>
            </w:r>
          </w:p>
        </w:tc>
        <w:tc>
          <w:tcPr>
            <w:tcW w:w="698" w:type="pct"/>
            <w:shd w:val="clear" w:color="auto" w:fill="BFBFBF" w:themeFill="background1" w:themeFillShade="BF"/>
          </w:tcPr>
          <w:p w14:paraId="66A59BA9" w14:textId="7BF64973" w:rsidR="00D96866" w:rsidRPr="00703A0B" w:rsidRDefault="00BD7165" w:rsidP="00730922">
            <w:pPr>
              <w:rPr>
                <w:b/>
                <w:bCs/>
              </w:rPr>
            </w:pPr>
            <w:r w:rsidRPr="00703A0B">
              <w:rPr>
                <w:b/>
                <w:bCs/>
              </w:rPr>
              <w:t>Total</w:t>
            </w:r>
          </w:p>
        </w:tc>
      </w:tr>
      <w:tr w:rsidR="32DBE27A" w:rsidRPr="00703A0B" w14:paraId="2AA560D5" w14:textId="77777777" w:rsidTr="00A12767">
        <w:tc>
          <w:tcPr>
            <w:tcW w:w="811" w:type="pct"/>
          </w:tcPr>
          <w:p w14:paraId="32407CDF" w14:textId="5B046535" w:rsidR="10047007" w:rsidRPr="00703A0B" w:rsidRDefault="00CF738A" w:rsidP="00A12767">
            <w:r w:rsidRPr="00703A0B">
              <w:rPr>
                <w:rFonts w:cs="Arial"/>
              </w:rPr>
              <w:t>Value of</w:t>
            </w:r>
            <w:r w:rsidR="00B303EA" w:rsidRPr="00703A0B">
              <w:rPr>
                <w:rFonts w:cs="Arial"/>
              </w:rPr>
              <w:t xml:space="preserve"> </w:t>
            </w:r>
            <w:r w:rsidR="00A04BF3" w:rsidRPr="00703A0B">
              <w:rPr>
                <w:rFonts w:cs="Arial"/>
              </w:rPr>
              <w:t xml:space="preserve">undisputed debts </w:t>
            </w:r>
            <w:r w:rsidR="0041489F" w:rsidRPr="00703A0B">
              <w:rPr>
                <w:rFonts w:cs="Arial"/>
              </w:rPr>
              <w:t>paid</w:t>
            </w:r>
          </w:p>
        </w:tc>
        <w:tc>
          <w:tcPr>
            <w:tcW w:w="698" w:type="pct"/>
          </w:tcPr>
          <w:p w14:paraId="15F7C58C" w14:textId="1B58E455" w:rsidR="32DBE27A" w:rsidRPr="00703A0B" w:rsidRDefault="00904F67" w:rsidP="00730922">
            <w:pPr>
              <w:rPr>
                <w:rFonts w:cs="Arial"/>
              </w:rPr>
            </w:pPr>
            <w:r w:rsidRPr="00703A0B">
              <w:rPr>
                <w:rFonts w:cs="Arial"/>
              </w:rPr>
              <w:t>$</w:t>
            </w:r>
            <w:r w:rsidR="008F074B" w:rsidRPr="00703A0B">
              <w:rPr>
                <w:rFonts w:cs="Arial"/>
              </w:rPr>
              <w:t>3</w:t>
            </w:r>
            <w:r w:rsidR="0081489B" w:rsidRPr="00703A0B">
              <w:rPr>
                <w:rFonts w:cs="Arial"/>
              </w:rPr>
              <w:t>,</w:t>
            </w:r>
            <w:r w:rsidR="008F074B" w:rsidRPr="00703A0B">
              <w:rPr>
                <w:rFonts w:cs="Arial"/>
              </w:rPr>
              <w:t>869</w:t>
            </w:r>
            <w:r w:rsidR="0081489B" w:rsidRPr="00703A0B">
              <w:rPr>
                <w:rFonts w:cs="Arial"/>
              </w:rPr>
              <w:t>,</w:t>
            </w:r>
            <w:r w:rsidR="008F074B" w:rsidRPr="00703A0B">
              <w:rPr>
                <w:rFonts w:cs="Arial"/>
              </w:rPr>
              <w:t>07</w:t>
            </w:r>
            <w:r w:rsidR="00E61F1F" w:rsidRPr="00703A0B">
              <w:rPr>
                <w:rFonts w:cs="Arial"/>
              </w:rPr>
              <w:t>8</w:t>
            </w:r>
          </w:p>
        </w:tc>
        <w:tc>
          <w:tcPr>
            <w:tcW w:w="698" w:type="pct"/>
          </w:tcPr>
          <w:p w14:paraId="3F04854B" w14:textId="7D8BAA28" w:rsidR="32DBE27A" w:rsidRPr="00703A0B" w:rsidRDefault="00904F67" w:rsidP="00730922">
            <w:pPr>
              <w:rPr>
                <w:rFonts w:cs="Arial"/>
              </w:rPr>
            </w:pPr>
            <w:r w:rsidRPr="00703A0B">
              <w:rPr>
                <w:rFonts w:cs="Arial"/>
              </w:rPr>
              <w:t>$</w:t>
            </w:r>
            <w:r w:rsidR="00425822" w:rsidRPr="00703A0B">
              <w:rPr>
                <w:rFonts w:cs="Arial"/>
              </w:rPr>
              <w:t>4</w:t>
            </w:r>
            <w:r w:rsidR="00C02014" w:rsidRPr="00703A0B">
              <w:rPr>
                <w:rFonts w:cs="Arial"/>
              </w:rPr>
              <w:t>,</w:t>
            </w:r>
            <w:r w:rsidR="00425822" w:rsidRPr="00703A0B">
              <w:rPr>
                <w:rFonts w:cs="Arial"/>
              </w:rPr>
              <w:t>733</w:t>
            </w:r>
            <w:r w:rsidR="00C02014" w:rsidRPr="00703A0B">
              <w:rPr>
                <w:rFonts w:cs="Arial"/>
              </w:rPr>
              <w:t>,</w:t>
            </w:r>
            <w:r w:rsidR="00AE224D" w:rsidRPr="00703A0B">
              <w:rPr>
                <w:rFonts w:cs="Arial"/>
              </w:rPr>
              <w:t>0</w:t>
            </w:r>
            <w:r w:rsidR="00652D41" w:rsidRPr="00703A0B">
              <w:rPr>
                <w:rFonts w:cs="Arial"/>
              </w:rPr>
              <w:t>0</w:t>
            </w:r>
            <w:r w:rsidR="00E61F1F" w:rsidRPr="00703A0B">
              <w:rPr>
                <w:rFonts w:cs="Arial"/>
              </w:rPr>
              <w:t>8</w:t>
            </w:r>
          </w:p>
        </w:tc>
        <w:tc>
          <w:tcPr>
            <w:tcW w:w="698" w:type="pct"/>
          </w:tcPr>
          <w:p w14:paraId="3DF4F28B" w14:textId="4C3387E6" w:rsidR="32DBE27A" w:rsidRPr="00703A0B" w:rsidRDefault="00904F67" w:rsidP="00730922">
            <w:pPr>
              <w:rPr>
                <w:rFonts w:cs="Arial"/>
              </w:rPr>
            </w:pPr>
            <w:r w:rsidRPr="00703A0B">
              <w:rPr>
                <w:rFonts w:cs="Arial"/>
              </w:rPr>
              <w:t>$</w:t>
            </w:r>
            <w:r w:rsidR="00411958" w:rsidRPr="00703A0B">
              <w:rPr>
                <w:rFonts w:cs="Arial"/>
              </w:rPr>
              <w:t>6</w:t>
            </w:r>
            <w:r w:rsidR="00C02014" w:rsidRPr="00703A0B">
              <w:rPr>
                <w:rFonts w:cs="Arial"/>
              </w:rPr>
              <w:t>,</w:t>
            </w:r>
            <w:r w:rsidR="00411958" w:rsidRPr="00703A0B">
              <w:rPr>
                <w:rFonts w:cs="Arial"/>
              </w:rPr>
              <w:t>363</w:t>
            </w:r>
            <w:r w:rsidR="00C02014" w:rsidRPr="00703A0B">
              <w:rPr>
                <w:rFonts w:cs="Arial"/>
              </w:rPr>
              <w:t>,</w:t>
            </w:r>
            <w:r w:rsidR="00411958" w:rsidRPr="00703A0B">
              <w:rPr>
                <w:rFonts w:cs="Arial"/>
              </w:rPr>
              <w:t>494</w:t>
            </w:r>
          </w:p>
        </w:tc>
        <w:tc>
          <w:tcPr>
            <w:tcW w:w="698" w:type="pct"/>
          </w:tcPr>
          <w:p w14:paraId="10764114" w14:textId="1635901A" w:rsidR="32DBE27A" w:rsidRPr="00703A0B" w:rsidRDefault="00904F67" w:rsidP="00730922">
            <w:pPr>
              <w:rPr>
                <w:rFonts w:cs="Arial"/>
              </w:rPr>
            </w:pPr>
            <w:r w:rsidRPr="00703A0B">
              <w:rPr>
                <w:rFonts w:cs="Arial"/>
              </w:rPr>
              <w:t>$</w:t>
            </w:r>
            <w:r w:rsidR="00DF6A31" w:rsidRPr="00703A0B">
              <w:rPr>
                <w:rFonts w:cs="Arial"/>
              </w:rPr>
              <w:t>5</w:t>
            </w:r>
            <w:r w:rsidR="00C02014" w:rsidRPr="00703A0B">
              <w:rPr>
                <w:rFonts w:cs="Arial"/>
              </w:rPr>
              <w:t>,</w:t>
            </w:r>
            <w:r w:rsidR="00DF6A31" w:rsidRPr="00703A0B">
              <w:rPr>
                <w:rFonts w:cs="Arial"/>
              </w:rPr>
              <w:t>391</w:t>
            </w:r>
            <w:r w:rsidR="00C02014" w:rsidRPr="00703A0B">
              <w:rPr>
                <w:rFonts w:cs="Arial"/>
              </w:rPr>
              <w:t>,</w:t>
            </w:r>
            <w:r w:rsidR="00DF6A31" w:rsidRPr="00703A0B">
              <w:rPr>
                <w:rFonts w:cs="Arial"/>
              </w:rPr>
              <w:t>476</w:t>
            </w:r>
            <w:r w:rsidR="32DBE27A" w:rsidRPr="00703A0B">
              <w:rPr>
                <w:rFonts w:cs="Arial"/>
              </w:rPr>
              <w:t xml:space="preserve"> </w:t>
            </w:r>
          </w:p>
        </w:tc>
        <w:tc>
          <w:tcPr>
            <w:tcW w:w="698" w:type="pct"/>
          </w:tcPr>
          <w:p w14:paraId="046DFDC8" w14:textId="5F51FBB1" w:rsidR="32DBE27A" w:rsidRPr="00703A0B" w:rsidRDefault="00904F67" w:rsidP="00730922">
            <w:pPr>
              <w:rPr>
                <w:rFonts w:cs="Arial"/>
              </w:rPr>
            </w:pPr>
            <w:r w:rsidRPr="00703A0B">
              <w:rPr>
                <w:rFonts w:cs="Arial"/>
              </w:rPr>
              <w:t>$</w:t>
            </w:r>
            <w:r w:rsidR="0072123E" w:rsidRPr="00703A0B">
              <w:rPr>
                <w:rFonts w:cs="Arial"/>
              </w:rPr>
              <w:t>5</w:t>
            </w:r>
            <w:r w:rsidR="00C02014" w:rsidRPr="00703A0B">
              <w:rPr>
                <w:rFonts w:cs="Arial"/>
              </w:rPr>
              <w:t>,</w:t>
            </w:r>
            <w:r w:rsidR="0072123E" w:rsidRPr="00703A0B">
              <w:rPr>
                <w:rFonts w:cs="Arial"/>
              </w:rPr>
              <w:t>525</w:t>
            </w:r>
            <w:r w:rsidR="00C02014" w:rsidRPr="00703A0B">
              <w:rPr>
                <w:rFonts w:cs="Arial"/>
              </w:rPr>
              <w:t>,</w:t>
            </w:r>
            <w:r w:rsidR="0072123E" w:rsidRPr="00703A0B">
              <w:rPr>
                <w:rFonts w:cs="Arial"/>
              </w:rPr>
              <w:t>467</w:t>
            </w:r>
          </w:p>
        </w:tc>
        <w:tc>
          <w:tcPr>
            <w:tcW w:w="698" w:type="pct"/>
          </w:tcPr>
          <w:p w14:paraId="23EAF7AD" w14:textId="2FB67778" w:rsidR="32DBE27A" w:rsidRPr="00703A0B" w:rsidRDefault="00001B90" w:rsidP="00730922">
            <w:pPr>
              <w:rPr>
                <w:rFonts w:cs="Arial"/>
              </w:rPr>
            </w:pPr>
            <w:r w:rsidRPr="00703A0B">
              <w:rPr>
                <w:rFonts w:cs="Arial"/>
              </w:rPr>
              <w:t>$28,435,19</w:t>
            </w:r>
            <w:r w:rsidR="00E61F1F" w:rsidRPr="00703A0B">
              <w:rPr>
                <w:rFonts w:cs="Arial"/>
              </w:rPr>
              <w:t>1</w:t>
            </w:r>
          </w:p>
        </w:tc>
      </w:tr>
    </w:tbl>
    <w:p w14:paraId="09827BB6" w14:textId="32C235C9" w:rsidR="00DE3D62" w:rsidRPr="00703A0B" w:rsidRDefault="004A2167" w:rsidP="007B601C">
      <w:pPr>
        <w:spacing w:before="120" w:after="120"/>
      </w:pPr>
      <w:r w:rsidRPr="00703A0B">
        <w:t>The</w:t>
      </w:r>
      <w:r w:rsidR="00A06135" w:rsidRPr="00703A0B">
        <w:t xml:space="preserve"> </w:t>
      </w:r>
      <w:r w:rsidR="003855C9" w:rsidRPr="00703A0B">
        <w:t xml:space="preserve">QBCC’s monies owed complaints service </w:t>
      </w:r>
      <w:r w:rsidR="007B5043" w:rsidRPr="00703A0B">
        <w:t xml:space="preserve">continued to deliver </w:t>
      </w:r>
      <w:r w:rsidR="006D650F" w:rsidRPr="00703A0B">
        <w:t xml:space="preserve">positive outcomes for </w:t>
      </w:r>
      <w:r w:rsidR="007B5043" w:rsidRPr="00703A0B">
        <w:t>Queensland’s building and construction</w:t>
      </w:r>
      <w:r w:rsidR="006D650F" w:rsidRPr="00703A0B">
        <w:t xml:space="preserve"> industry</w:t>
      </w:r>
      <w:r w:rsidR="007B5043" w:rsidRPr="00703A0B">
        <w:t>, b</w:t>
      </w:r>
      <w:r w:rsidR="00F31AB5" w:rsidRPr="00703A0B">
        <w:t>y assisting businesses to recover outstanding undisputed payments</w:t>
      </w:r>
      <w:r w:rsidR="007B5043" w:rsidRPr="00703A0B">
        <w:t xml:space="preserve"> and </w:t>
      </w:r>
      <w:r w:rsidR="00302796" w:rsidRPr="00703A0B">
        <w:t>maintain</w:t>
      </w:r>
      <w:r w:rsidR="000C0473" w:rsidRPr="00703A0B">
        <w:t xml:space="preserve"> cash flow across the construction supply chain</w:t>
      </w:r>
      <w:r w:rsidR="002C0EBA" w:rsidRPr="00703A0B">
        <w:t>.</w:t>
      </w:r>
      <w:r w:rsidR="000C0473" w:rsidRPr="00703A0B" w:rsidDel="002C0EBA">
        <w:t xml:space="preserve"> </w:t>
      </w:r>
      <w:r w:rsidR="00402ED9" w:rsidRPr="00703A0B">
        <w:t xml:space="preserve">Access to timely payment is critical to the financial viability of contractors and subcontractors, enabling businesses to </w:t>
      </w:r>
      <w:r w:rsidR="002C0EBA" w:rsidRPr="00703A0B">
        <w:t xml:space="preserve">meet their financial commitments, </w:t>
      </w:r>
      <w:r w:rsidR="00402ED9" w:rsidRPr="00703A0B">
        <w:t>pay suppliers</w:t>
      </w:r>
      <w:r w:rsidR="00A57959" w:rsidRPr="00703A0B">
        <w:t xml:space="preserve">, </w:t>
      </w:r>
      <w:r w:rsidR="00402ED9" w:rsidRPr="00703A0B">
        <w:t>invest in growth and continue deliver</w:t>
      </w:r>
      <w:r w:rsidR="002C0EBA" w:rsidRPr="00703A0B">
        <w:t>ing</w:t>
      </w:r>
      <w:r w:rsidR="00A57959" w:rsidRPr="00703A0B">
        <w:t xml:space="preserve"> construction</w:t>
      </w:r>
      <w:r w:rsidR="00402ED9" w:rsidRPr="00703A0B">
        <w:t xml:space="preserve"> projects.</w:t>
      </w:r>
      <w:r w:rsidRPr="00703A0B">
        <w:t xml:space="preserve"> </w:t>
      </w:r>
      <w:r w:rsidR="001B0278" w:rsidRPr="00703A0B">
        <w:t xml:space="preserve">By supporting the recovery of </w:t>
      </w:r>
      <w:r w:rsidR="002B0FA2" w:rsidRPr="00703A0B">
        <w:t xml:space="preserve">outstanding </w:t>
      </w:r>
      <w:r w:rsidR="00D61A8C" w:rsidRPr="00703A0B">
        <w:t>undisputed</w:t>
      </w:r>
      <w:r w:rsidR="002B0FA2" w:rsidRPr="00703A0B">
        <w:t xml:space="preserve"> debts and identifying licensees experiencing pressures</w:t>
      </w:r>
      <w:r w:rsidR="0002605E" w:rsidRPr="00703A0B">
        <w:t xml:space="preserve">, the QBCC </w:t>
      </w:r>
      <w:r w:rsidR="00811120" w:rsidRPr="00703A0B">
        <w:t>enabled early intervention and</w:t>
      </w:r>
      <w:r w:rsidR="0002605E" w:rsidRPr="00703A0B">
        <w:t xml:space="preserve"> </w:t>
      </w:r>
      <w:r w:rsidR="002B0FA2" w:rsidRPr="00703A0B">
        <w:t>strengthen industry re</w:t>
      </w:r>
      <w:r w:rsidR="00E64A71" w:rsidRPr="00703A0B">
        <w:t xml:space="preserve">silience. </w:t>
      </w:r>
    </w:p>
    <w:p w14:paraId="4E057050" w14:textId="4328CA4F" w:rsidR="00184959" w:rsidRPr="00703A0B" w:rsidRDefault="00470C87" w:rsidP="007B601C">
      <w:pPr>
        <w:spacing w:before="120" w:after="120"/>
      </w:pPr>
      <w:r w:rsidRPr="00703A0B">
        <w:t xml:space="preserve">These outcomes contributed to a more stable and sustainable building and construction </w:t>
      </w:r>
      <w:r w:rsidR="009B21BF" w:rsidRPr="00703A0B">
        <w:t>industry</w:t>
      </w:r>
      <w:r w:rsidRPr="00703A0B">
        <w:t xml:space="preserve"> by reducing</w:t>
      </w:r>
      <w:r w:rsidR="008B6EFA" w:rsidRPr="00703A0B">
        <w:t xml:space="preserve"> the risk of insolvency</w:t>
      </w:r>
      <w:r w:rsidR="00234FD3" w:rsidRPr="00703A0B">
        <w:t xml:space="preserve">, </w:t>
      </w:r>
      <w:r w:rsidR="008B6EFA" w:rsidRPr="00703A0B">
        <w:t>minimising disruptions to project delivery</w:t>
      </w:r>
      <w:r w:rsidR="00234FD3" w:rsidRPr="00703A0B">
        <w:t xml:space="preserve"> and promoting greater financial </w:t>
      </w:r>
      <w:r w:rsidR="00D14ACB" w:rsidRPr="00703A0B">
        <w:t>accountability</w:t>
      </w:r>
      <w:r w:rsidR="008B6EFA" w:rsidRPr="00703A0B">
        <w:t xml:space="preserve">. </w:t>
      </w:r>
      <w:r w:rsidR="00D14ACB" w:rsidRPr="00703A0B">
        <w:t>In doing so</w:t>
      </w:r>
      <w:r w:rsidR="27DAB252" w:rsidRPr="00703A0B">
        <w:t xml:space="preserve">, the QBCC </w:t>
      </w:r>
      <w:r w:rsidR="00D14ACB" w:rsidRPr="00703A0B">
        <w:t xml:space="preserve">helped </w:t>
      </w:r>
      <w:r w:rsidR="00202B46" w:rsidRPr="00703A0B">
        <w:t>support</w:t>
      </w:r>
      <w:r w:rsidR="27DAB252" w:rsidRPr="00703A0B">
        <w:t xml:space="preserve"> </w:t>
      </w:r>
      <w:r w:rsidR="00796C68" w:rsidRPr="00703A0B">
        <w:t>a fairer operating environment, strengthen c</w:t>
      </w:r>
      <w:r w:rsidR="27DAB252" w:rsidRPr="00703A0B">
        <w:t>onfidence</w:t>
      </w:r>
      <w:r w:rsidR="00796C68" w:rsidRPr="00703A0B">
        <w:t xml:space="preserve"> </w:t>
      </w:r>
      <w:r w:rsidR="00796C68" w:rsidRPr="00703A0B">
        <w:lastRenderedPageBreak/>
        <w:t xml:space="preserve">in commercial </w:t>
      </w:r>
      <w:r w:rsidR="00BE7576" w:rsidRPr="00703A0B">
        <w:t xml:space="preserve">transactions and </w:t>
      </w:r>
      <w:r w:rsidR="00202B46" w:rsidRPr="00703A0B">
        <w:t>contribute to</w:t>
      </w:r>
      <w:r w:rsidR="27DAB252" w:rsidRPr="00703A0B">
        <w:t xml:space="preserve"> the </w:t>
      </w:r>
      <w:r w:rsidR="00BE7576" w:rsidRPr="00703A0B">
        <w:t xml:space="preserve">ongoing </w:t>
      </w:r>
      <w:r w:rsidR="003C18A1" w:rsidRPr="00703A0B">
        <w:t xml:space="preserve">stability, productivity and </w:t>
      </w:r>
      <w:r w:rsidR="27DAB252" w:rsidRPr="00703A0B">
        <w:t>sustainability of Queensland's building and construction industry.</w:t>
      </w:r>
    </w:p>
    <w:p w14:paraId="0C24945C" w14:textId="7BD0DEB0" w:rsidR="634C2B4D" w:rsidRPr="00703A0B" w:rsidRDefault="0060019E" w:rsidP="00CE1E63">
      <w:pPr>
        <w:pStyle w:val="Heading3"/>
      </w:pPr>
      <w:bookmarkStart w:id="48" w:name="_Looking_ahead"/>
      <w:bookmarkEnd w:id="48"/>
      <w:r w:rsidRPr="00703A0B">
        <w:t xml:space="preserve">Looking </w:t>
      </w:r>
      <w:r w:rsidR="009C2EF4" w:rsidRPr="00703A0B">
        <w:t>ahead</w:t>
      </w:r>
    </w:p>
    <w:p w14:paraId="0AF1E425" w14:textId="420AE22C" w:rsidR="63D7BFE7" w:rsidRPr="00703A0B" w:rsidRDefault="63D7BFE7" w:rsidP="07312983">
      <w:pPr>
        <w:spacing w:before="120" w:after="120"/>
      </w:pPr>
      <w:r w:rsidRPr="00703A0B">
        <w:t xml:space="preserve">Over the next 12 months, the QBCC will continue to strengthen Queensland’s building and construction industry </w:t>
      </w:r>
      <w:r w:rsidR="00200871" w:rsidRPr="00703A0B">
        <w:t xml:space="preserve">through </w:t>
      </w:r>
      <w:r w:rsidRPr="00703A0B">
        <w:t xml:space="preserve">a licensing framework that </w:t>
      </w:r>
      <w:r w:rsidR="00C9414B" w:rsidRPr="00703A0B">
        <w:t xml:space="preserve">promotes </w:t>
      </w:r>
      <w:r w:rsidRPr="00703A0B">
        <w:t xml:space="preserve">industry capability, consumer confidence and regulatory integrity. Building on recent improvements </w:t>
      </w:r>
      <w:r w:rsidR="00367266" w:rsidRPr="00703A0B">
        <w:t>to</w:t>
      </w:r>
      <w:r w:rsidRPr="00703A0B">
        <w:t xml:space="preserve"> licensing services, financial oversight and </w:t>
      </w:r>
      <w:r w:rsidR="004C4E1D" w:rsidRPr="00703A0B">
        <w:t xml:space="preserve">the management of </w:t>
      </w:r>
      <w:r w:rsidR="00403D56" w:rsidRPr="00703A0B">
        <w:t>undisputed debts</w:t>
      </w:r>
      <w:r w:rsidRPr="00703A0B">
        <w:t xml:space="preserve">, the </w:t>
      </w:r>
      <w:r w:rsidR="007016DF" w:rsidRPr="00703A0B">
        <w:t xml:space="preserve">organisation </w:t>
      </w:r>
      <w:r w:rsidRPr="00703A0B">
        <w:t xml:space="preserve">will </w:t>
      </w:r>
      <w:r w:rsidR="00EA29C0" w:rsidRPr="00703A0B">
        <w:t>focus on</w:t>
      </w:r>
      <w:r w:rsidR="00370713" w:rsidRPr="00703A0B">
        <w:t xml:space="preserve"> enhanc</w:t>
      </w:r>
      <w:r w:rsidR="00EA29C0" w:rsidRPr="00703A0B">
        <w:t>ing</w:t>
      </w:r>
      <w:r w:rsidR="00370713" w:rsidRPr="00703A0B">
        <w:t xml:space="preserve"> </w:t>
      </w:r>
      <w:r w:rsidR="00B22C41" w:rsidRPr="00703A0B">
        <w:t>the efficiency</w:t>
      </w:r>
      <w:r w:rsidR="00EA29C0" w:rsidRPr="00703A0B">
        <w:t xml:space="preserve">, </w:t>
      </w:r>
      <w:r w:rsidR="00B22C41" w:rsidRPr="00703A0B">
        <w:t xml:space="preserve">effectiveness </w:t>
      </w:r>
      <w:r w:rsidR="00EA29C0" w:rsidRPr="00703A0B">
        <w:t xml:space="preserve">and responsiveness </w:t>
      </w:r>
      <w:r w:rsidR="00B22C41" w:rsidRPr="00703A0B">
        <w:t xml:space="preserve">of its </w:t>
      </w:r>
      <w:r w:rsidR="00CC0EC8" w:rsidRPr="00703A0B">
        <w:t>licensing f</w:t>
      </w:r>
      <w:r w:rsidR="00A4577B" w:rsidRPr="00703A0B">
        <w:t>unctions</w:t>
      </w:r>
      <w:r w:rsidR="00CC0EC8" w:rsidRPr="00703A0B">
        <w:t xml:space="preserve">. </w:t>
      </w:r>
      <w:r w:rsidR="00A4577B" w:rsidRPr="00703A0B">
        <w:t xml:space="preserve">Through risk-based monitoring and proactive </w:t>
      </w:r>
      <w:r w:rsidR="0075222F" w:rsidRPr="00703A0B">
        <w:t xml:space="preserve">regulatory oversight, the QBCC will support </w:t>
      </w:r>
      <w:r w:rsidRPr="00703A0B">
        <w:t xml:space="preserve">qualified, financially sustainable and compliant licensees </w:t>
      </w:r>
      <w:r w:rsidR="00CC0EC8" w:rsidRPr="00703A0B">
        <w:t>to</w:t>
      </w:r>
      <w:r w:rsidRPr="00703A0B">
        <w:t xml:space="preserve"> participate in the industry</w:t>
      </w:r>
      <w:r w:rsidR="00D313A9" w:rsidRPr="00703A0B">
        <w:t xml:space="preserve">. </w:t>
      </w:r>
      <w:r w:rsidR="00FF28D0" w:rsidRPr="00703A0B">
        <w:t xml:space="preserve">The QBCC </w:t>
      </w:r>
      <w:r w:rsidR="00327CDA" w:rsidRPr="00703A0B">
        <w:t>licensing framework</w:t>
      </w:r>
      <w:r w:rsidR="00FF28D0" w:rsidRPr="00703A0B">
        <w:t xml:space="preserve"> w</w:t>
      </w:r>
      <w:r w:rsidR="008B6DB1" w:rsidRPr="00703A0B">
        <w:t xml:space="preserve">ill also </w:t>
      </w:r>
      <w:r w:rsidR="000F2FB6" w:rsidRPr="00703A0B">
        <w:t xml:space="preserve">enable the </w:t>
      </w:r>
      <w:r w:rsidR="00D2326F" w:rsidRPr="00703A0B">
        <w:t xml:space="preserve">early </w:t>
      </w:r>
      <w:r w:rsidRPr="00703A0B">
        <w:t>identi</w:t>
      </w:r>
      <w:r w:rsidR="000F2FB6" w:rsidRPr="00703A0B">
        <w:t xml:space="preserve">fication </w:t>
      </w:r>
      <w:r w:rsidRPr="00703A0B">
        <w:t xml:space="preserve">and </w:t>
      </w:r>
      <w:r w:rsidR="000F2FB6" w:rsidRPr="00703A0B">
        <w:t xml:space="preserve">management of </w:t>
      </w:r>
      <w:r w:rsidR="0069414D" w:rsidRPr="00703A0B">
        <w:t>emerging</w:t>
      </w:r>
      <w:r w:rsidR="006630B5" w:rsidRPr="00703A0B">
        <w:t xml:space="preserve"> </w:t>
      </w:r>
      <w:r w:rsidR="006A0384" w:rsidRPr="00703A0B">
        <w:t>financial</w:t>
      </w:r>
      <w:r w:rsidR="006630B5" w:rsidRPr="00703A0B">
        <w:t xml:space="preserve"> and </w:t>
      </w:r>
      <w:r w:rsidR="00800D15" w:rsidRPr="00703A0B">
        <w:t xml:space="preserve">compliance </w:t>
      </w:r>
      <w:r w:rsidR="006630B5" w:rsidRPr="00703A0B">
        <w:t>risk</w:t>
      </w:r>
      <w:r w:rsidR="00574CE9" w:rsidRPr="00703A0B">
        <w:t xml:space="preserve">s, </w:t>
      </w:r>
      <w:r w:rsidR="005D174E" w:rsidRPr="00703A0B">
        <w:t xml:space="preserve">reducing the likelihood of </w:t>
      </w:r>
      <w:r w:rsidR="00574F02" w:rsidRPr="00703A0B">
        <w:t>adverse</w:t>
      </w:r>
      <w:r w:rsidR="00EF14BA" w:rsidRPr="00703A0B">
        <w:t xml:space="preserve"> impacts on</w:t>
      </w:r>
      <w:r w:rsidR="0069414D" w:rsidRPr="00703A0B">
        <w:t xml:space="preserve"> </w:t>
      </w:r>
      <w:r w:rsidRPr="00703A0B">
        <w:t xml:space="preserve">consumers, subcontractors, suppliers or the broader </w:t>
      </w:r>
      <w:r w:rsidR="00F3490C" w:rsidRPr="00703A0B">
        <w:t>industry</w:t>
      </w:r>
      <w:r w:rsidRPr="00703A0B">
        <w:t>.</w:t>
      </w:r>
    </w:p>
    <w:p w14:paraId="614C8D0F" w14:textId="1A28F8DF" w:rsidR="5BDB36A9" w:rsidRPr="00703A0B" w:rsidRDefault="00794303" w:rsidP="62D6C9D7">
      <w:pPr>
        <w:spacing w:before="120" w:after="120"/>
      </w:pPr>
      <w:r w:rsidRPr="00703A0B">
        <w:t>Key p</w:t>
      </w:r>
      <w:r w:rsidR="5BDB36A9" w:rsidRPr="00703A0B">
        <w:t>riorit</w:t>
      </w:r>
      <w:r w:rsidR="00E61820" w:rsidRPr="00703A0B">
        <w:t>ies</w:t>
      </w:r>
      <w:r w:rsidR="5BDB36A9" w:rsidRPr="00703A0B">
        <w:t xml:space="preserve"> </w:t>
      </w:r>
      <w:r w:rsidR="00F137DF" w:rsidRPr="00703A0B">
        <w:t>for the year ahead</w:t>
      </w:r>
      <w:r w:rsidR="007A2F71" w:rsidRPr="00703A0B">
        <w:t xml:space="preserve"> include</w:t>
      </w:r>
      <w:r w:rsidR="5BDB36A9" w:rsidRPr="00703A0B">
        <w:t>:</w:t>
      </w:r>
    </w:p>
    <w:p w14:paraId="2C883B5E" w14:textId="271B0E1D" w:rsidR="63D7BFE7" w:rsidRPr="00703A0B" w:rsidRDefault="00625F86" w:rsidP="00F72ABD">
      <w:pPr>
        <w:pStyle w:val="ListParagraph"/>
        <w:numPr>
          <w:ilvl w:val="0"/>
          <w:numId w:val="58"/>
        </w:numPr>
        <w:spacing w:before="120" w:after="120"/>
        <w:ind w:left="714" w:hanging="357"/>
        <w:contextualSpacing w:val="0"/>
      </w:pPr>
      <w:r w:rsidRPr="00703A0B">
        <w:t>d</w:t>
      </w:r>
      <w:r w:rsidR="007953F9" w:rsidRPr="00703A0B">
        <w:t>riv</w:t>
      </w:r>
      <w:r w:rsidR="007A2F71" w:rsidRPr="00703A0B">
        <w:t>ing</w:t>
      </w:r>
      <w:r w:rsidRPr="00703A0B">
        <w:t xml:space="preserve"> </w:t>
      </w:r>
      <w:r w:rsidR="00DC6807" w:rsidRPr="00703A0B">
        <w:t>greater efficiency in</w:t>
      </w:r>
      <w:r w:rsidR="00D27050" w:rsidRPr="00703A0B">
        <w:t xml:space="preserve"> </w:t>
      </w:r>
      <w:r w:rsidR="00DC6807" w:rsidRPr="00703A0B">
        <w:t>l</w:t>
      </w:r>
      <w:r w:rsidR="63D7BFE7" w:rsidRPr="00703A0B">
        <w:t>icence application proce</w:t>
      </w:r>
      <w:r w:rsidR="00DC6807" w:rsidRPr="00703A0B">
        <w:t>ssing</w:t>
      </w:r>
      <w:r w:rsidR="63D7BFE7" w:rsidRPr="00703A0B">
        <w:t xml:space="preserve"> through digital </w:t>
      </w:r>
      <w:r w:rsidR="00EB0B2C" w:rsidRPr="00703A0B">
        <w:t>transformation and processes improvements</w:t>
      </w:r>
    </w:p>
    <w:p w14:paraId="2832BA04" w14:textId="1CED2177" w:rsidR="63D7BFE7" w:rsidRPr="00703A0B" w:rsidRDefault="004A3FD8" w:rsidP="00F72ABD">
      <w:pPr>
        <w:pStyle w:val="ListParagraph"/>
        <w:numPr>
          <w:ilvl w:val="0"/>
          <w:numId w:val="58"/>
        </w:numPr>
        <w:spacing w:before="120" w:after="120"/>
        <w:ind w:left="714" w:hanging="357"/>
        <w:contextualSpacing w:val="0"/>
      </w:pPr>
      <w:r w:rsidRPr="00703A0B">
        <w:t>i</w:t>
      </w:r>
      <w:r w:rsidR="63D7BFE7" w:rsidRPr="00703A0B">
        <w:t>ncrea</w:t>
      </w:r>
      <w:r w:rsidRPr="00703A0B">
        <w:t>s</w:t>
      </w:r>
      <w:r w:rsidR="007A2F71" w:rsidRPr="00703A0B">
        <w:t>ing</w:t>
      </w:r>
      <w:r w:rsidRPr="00703A0B">
        <w:t xml:space="preserve"> </w:t>
      </w:r>
      <w:r w:rsidR="63D7BFE7" w:rsidRPr="00703A0B">
        <w:t>proactive engagement with licensees experiencing financial stress</w:t>
      </w:r>
    </w:p>
    <w:p w14:paraId="092E06A2" w14:textId="50298867" w:rsidR="63D7BFE7" w:rsidRPr="00703A0B" w:rsidRDefault="004A3FD8" w:rsidP="00F72ABD">
      <w:pPr>
        <w:pStyle w:val="ListParagraph"/>
        <w:numPr>
          <w:ilvl w:val="0"/>
          <w:numId w:val="58"/>
        </w:numPr>
        <w:spacing w:before="120" w:after="120"/>
        <w:ind w:left="714" w:hanging="357"/>
        <w:contextualSpacing w:val="0"/>
      </w:pPr>
      <w:r w:rsidRPr="00703A0B">
        <w:t>s</w:t>
      </w:r>
      <w:r w:rsidR="63D7BFE7" w:rsidRPr="00703A0B">
        <w:t>trengthen</w:t>
      </w:r>
      <w:r w:rsidR="00DC582C" w:rsidRPr="00703A0B">
        <w:t>ing</w:t>
      </w:r>
      <w:r w:rsidR="63D7BFE7" w:rsidRPr="00703A0B">
        <w:t xml:space="preserve"> financial intelligence and risk-based monitoring programs</w:t>
      </w:r>
    </w:p>
    <w:p w14:paraId="1D5A562E" w14:textId="7E5C876E" w:rsidR="63D7BFE7" w:rsidRPr="00703A0B" w:rsidRDefault="004A3FD8" w:rsidP="00F72ABD">
      <w:pPr>
        <w:pStyle w:val="ListParagraph"/>
        <w:numPr>
          <w:ilvl w:val="0"/>
          <w:numId w:val="58"/>
        </w:numPr>
        <w:spacing w:before="120" w:after="120"/>
        <w:ind w:left="714" w:hanging="357"/>
        <w:contextualSpacing w:val="0"/>
      </w:pPr>
      <w:r w:rsidRPr="00703A0B">
        <w:t>e</w:t>
      </w:r>
      <w:r w:rsidR="63D7BFE7" w:rsidRPr="00703A0B">
        <w:t>nhanc</w:t>
      </w:r>
      <w:r w:rsidR="00DC582C" w:rsidRPr="00703A0B">
        <w:t>ing</w:t>
      </w:r>
      <w:r w:rsidR="00E300BF" w:rsidRPr="00703A0B">
        <w:t xml:space="preserve"> </w:t>
      </w:r>
      <w:r w:rsidR="63D7BFE7" w:rsidRPr="00703A0B">
        <w:t>trust account compliance and audit activities</w:t>
      </w:r>
    </w:p>
    <w:p w14:paraId="5E7224B6" w14:textId="3E7B0C5A" w:rsidR="63D7BFE7" w:rsidRPr="00703A0B" w:rsidRDefault="004A3FD8" w:rsidP="00F72ABD">
      <w:pPr>
        <w:pStyle w:val="ListParagraph"/>
        <w:numPr>
          <w:ilvl w:val="0"/>
          <w:numId w:val="58"/>
        </w:numPr>
        <w:spacing w:before="120" w:after="120"/>
        <w:ind w:left="714" w:hanging="357"/>
        <w:contextualSpacing w:val="0"/>
      </w:pPr>
      <w:r w:rsidRPr="00703A0B">
        <w:t>e</w:t>
      </w:r>
      <w:r w:rsidR="63D7BFE7" w:rsidRPr="00703A0B">
        <w:t>xpand</w:t>
      </w:r>
      <w:r w:rsidR="00546E00" w:rsidRPr="00703A0B">
        <w:t>ing</w:t>
      </w:r>
      <w:r w:rsidRPr="00703A0B">
        <w:t xml:space="preserve"> </w:t>
      </w:r>
      <w:r w:rsidR="63D7BFE7" w:rsidRPr="00703A0B">
        <w:t xml:space="preserve">education </w:t>
      </w:r>
      <w:r w:rsidR="0007524B" w:rsidRPr="00703A0B">
        <w:t xml:space="preserve">and awareness of </w:t>
      </w:r>
      <w:r w:rsidR="63D7BFE7" w:rsidRPr="00703A0B">
        <w:t>financial and regulatory obligations</w:t>
      </w:r>
    </w:p>
    <w:p w14:paraId="79402D91" w14:textId="5ED8AE89" w:rsidR="63D7BFE7" w:rsidRPr="00703A0B" w:rsidRDefault="004A3FD8" w:rsidP="00F72ABD">
      <w:pPr>
        <w:pStyle w:val="ListParagraph"/>
        <w:numPr>
          <w:ilvl w:val="0"/>
          <w:numId w:val="58"/>
        </w:numPr>
        <w:spacing w:before="120" w:after="120"/>
        <w:ind w:left="714" w:hanging="357"/>
        <w:contextualSpacing w:val="0"/>
      </w:pPr>
      <w:r w:rsidRPr="00703A0B">
        <w:t>s</w:t>
      </w:r>
      <w:r w:rsidR="63D7BFE7" w:rsidRPr="00703A0B">
        <w:t>treamli</w:t>
      </w:r>
      <w:r w:rsidR="00D27050" w:rsidRPr="00703A0B">
        <w:t>n</w:t>
      </w:r>
      <w:r w:rsidR="0007524B" w:rsidRPr="00703A0B">
        <w:t>ing</w:t>
      </w:r>
      <w:r w:rsidRPr="00703A0B">
        <w:t xml:space="preserve"> </w:t>
      </w:r>
      <w:r w:rsidR="63D7BFE7" w:rsidRPr="00703A0B">
        <w:t>financial reporting and assessment processes</w:t>
      </w:r>
      <w:r w:rsidR="004C7A5F" w:rsidRPr="00703A0B">
        <w:t>.</w:t>
      </w:r>
    </w:p>
    <w:p w14:paraId="1FE15E9D" w14:textId="2D3E59DA" w:rsidR="63D7BFE7" w:rsidRPr="00703A0B" w:rsidRDefault="00D076D6" w:rsidP="07312983">
      <w:pPr>
        <w:spacing w:before="120" w:after="120"/>
      </w:pPr>
      <w:r w:rsidRPr="00703A0B">
        <w:t>Collectively</w:t>
      </w:r>
      <w:r w:rsidR="63D7BFE7" w:rsidRPr="00703A0B">
        <w:t xml:space="preserve">, these </w:t>
      </w:r>
      <w:r w:rsidR="00731E1D" w:rsidRPr="00703A0B">
        <w:t xml:space="preserve">priorities </w:t>
      </w:r>
      <w:r w:rsidR="63D7BFE7" w:rsidRPr="00703A0B">
        <w:t xml:space="preserve">will strengthen consumer protections, improve payment security and </w:t>
      </w:r>
      <w:r w:rsidR="00703E0B" w:rsidRPr="00703A0B">
        <w:t xml:space="preserve">promote </w:t>
      </w:r>
      <w:r w:rsidR="63D7BFE7" w:rsidRPr="00703A0B">
        <w:t xml:space="preserve">financially responsible business practices across the </w:t>
      </w:r>
      <w:r w:rsidR="00AB6E4D" w:rsidRPr="00703A0B">
        <w:t>industry</w:t>
      </w:r>
      <w:r w:rsidR="63D7BFE7" w:rsidRPr="00703A0B">
        <w:t xml:space="preserve">. By balancing efficient service delivery with proactive compliance and </w:t>
      </w:r>
      <w:r w:rsidR="00703E0B" w:rsidRPr="00703A0B">
        <w:t>regulatory oversight</w:t>
      </w:r>
      <w:r w:rsidR="63D7BFE7" w:rsidRPr="00703A0B">
        <w:t xml:space="preserve">, the QBCC will continue to </w:t>
      </w:r>
      <w:r w:rsidR="007A1F39" w:rsidRPr="00703A0B">
        <w:t xml:space="preserve">support </w:t>
      </w:r>
      <w:r w:rsidR="63D7BFE7" w:rsidRPr="00703A0B">
        <w:t>a resilient, productive and trusted building and construction industry that is well positioned to meet Queensland’s future needs.</w:t>
      </w:r>
    </w:p>
    <w:p w14:paraId="25DBCE9F" w14:textId="2E0F8780" w:rsidR="00A34737" w:rsidRPr="00703A0B" w:rsidRDefault="00A34737" w:rsidP="00A34737">
      <w:pPr>
        <w:spacing w:before="120" w:after="120"/>
      </w:pPr>
    </w:p>
    <w:p w14:paraId="6B48AE4D" w14:textId="77777777" w:rsidR="00B90C86" w:rsidRPr="00703A0B" w:rsidRDefault="00B90C86" w:rsidP="00045DFA"/>
    <w:p w14:paraId="51FB385B" w14:textId="77777777" w:rsidR="00B90C86" w:rsidRPr="00703A0B" w:rsidRDefault="00B90C86" w:rsidP="005224C0"/>
    <w:p w14:paraId="2026F66A" w14:textId="77777777" w:rsidR="0063725C" w:rsidRPr="00703A0B" w:rsidRDefault="0063725C" w:rsidP="00475D52">
      <w:pPr>
        <w:spacing w:before="120" w:after="120"/>
        <w:rPr>
          <w:rFonts w:cs="Arial"/>
        </w:rPr>
      </w:pPr>
    </w:p>
    <w:p w14:paraId="61E01526" w14:textId="554F446A" w:rsidR="003C23C7" w:rsidRPr="00703A0B" w:rsidRDefault="003C23C7" w:rsidP="00475D52">
      <w:pPr>
        <w:spacing w:before="120" w:after="120"/>
        <w:rPr>
          <w:rFonts w:eastAsiaTheme="majorEastAsia" w:cstheme="majorBidi"/>
          <w:bCs/>
          <w:sz w:val="32"/>
          <w:szCs w:val="32"/>
        </w:rPr>
      </w:pPr>
      <w:r w:rsidRPr="00703A0B">
        <w:br w:type="page"/>
      </w:r>
    </w:p>
    <w:p w14:paraId="71075554" w14:textId="2DFC3F9C" w:rsidR="006B0B33" w:rsidRPr="00703A0B" w:rsidRDefault="006B0B33" w:rsidP="006B0B33">
      <w:pPr>
        <w:pStyle w:val="Heading2"/>
      </w:pPr>
      <w:bookmarkStart w:id="49" w:name="_Dispute_resolution"/>
      <w:bookmarkStart w:id="50" w:name="_Toc206493014"/>
      <w:bookmarkStart w:id="51" w:name="_Toc238101677"/>
      <w:bookmarkEnd w:id="49"/>
      <w:r w:rsidRPr="00703A0B">
        <w:lastRenderedPageBreak/>
        <w:t>Dispute resolution</w:t>
      </w:r>
      <w:bookmarkEnd w:id="50"/>
      <w:bookmarkEnd w:id="51"/>
    </w:p>
    <w:p w14:paraId="35C4F6FF" w14:textId="311631DF" w:rsidR="0077397A" w:rsidRPr="00703A0B" w:rsidRDefault="3FDAC961" w:rsidP="0077397A">
      <w:pPr>
        <w:spacing w:before="120" w:after="120"/>
        <w:rPr>
          <w:rFonts w:eastAsia="Arial" w:cs="Arial"/>
        </w:rPr>
      </w:pPr>
      <w:r w:rsidRPr="00703A0B">
        <w:rPr>
          <w:rFonts w:eastAsia="Arial" w:cs="Arial"/>
        </w:rPr>
        <w:t xml:space="preserve">The QBCC provides a range of dispute resolution services </w:t>
      </w:r>
      <w:r w:rsidR="00CD1CC9" w:rsidRPr="00703A0B">
        <w:rPr>
          <w:rFonts w:eastAsia="Arial" w:cs="Arial"/>
        </w:rPr>
        <w:t xml:space="preserve">that facilitate the resolution of disputes and encourage rectification of defective work. </w:t>
      </w:r>
      <w:r w:rsidRPr="00703A0B">
        <w:rPr>
          <w:rFonts w:eastAsia="Arial" w:cs="Arial"/>
        </w:rPr>
        <w:t>Through early intervention, practical outcomes and timely decision</w:t>
      </w:r>
      <w:r w:rsidR="009E53E6" w:rsidRPr="00703A0B">
        <w:rPr>
          <w:rFonts w:eastAsia="Arial" w:cs="Arial"/>
        </w:rPr>
        <w:t xml:space="preserve"> </w:t>
      </w:r>
      <w:r w:rsidRPr="00703A0B">
        <w:rPr>
          <w:rFonts w:eastAsia="Arial" w:cs="Arial"/>
        </w:rPr>
        <w:t xml:space="preserve">making, </w:t>
      </w:r>
      <w:r w:rsidR="00C96CF0" w:rsidRPr="00703A0B">
        <w:rPr>
          <w:rFonts w:eastAsia="Arial" w:cs="Arial"/>
        </w:rPr>
        <w:t xml:space="preserve">dispute </w:t>
      </w:r>
      <w:r w:rsidRPr="00703A0B">
        <w:rPr>
          <w:rFonts w:eastAsia="Arial" w:cs="Arial"/>
        </w:rPr>
        <w:t xml:space="preserve">services help parties resolve </w:t>
      </w:r>
      <w:r w:rsidR="00C96CF0" w:rsidRPr="00703A0B">
        <w:rPr>
          <w:rFonts w:eastAsia="Arial" w:cs="Arial"/>
        </w:rPr>
        <w:t xml:space="preserve">issues </w:t>
      </w:r>
      <w:r w:rsidRPr="00703A0B">
        <w:rPr>
          <w:rFonts w:eastAsia="Arial" w:cs="Arial"/>
        </w:rPr>
        <w:t>before they escalate to formal legal proceedings.</w:t>
      </w:r>
      <w:r w:rsidR="001D4D24" w:rsidRPr="00703A0B">
        <w:rPr>
          <w:rFonts w:eastAsia="Arial" w:cs="Arial"/>
        </w:rPr>
        <w:t xml:space="preserve"> </w:t>
      </w:r>
      <w:r w:rsidR="00F743B4" w:rsidRPr="00703A0B">
        <w:rPr>
          <w:rFonts w:eastAsia="Arial" w:cs="Arial"/>
        </w:rPr>
        <w:t>Early intervention</w:t>
      </w:r>
      <w:r w:rsidR="001D4D24" w:rsidRPr="00703A0B">
        <w:rPr>
          <w:rFonts w:eastAsia="Arial" w:cs="Arial"/>
        </w:rPr>
        <w:t xml:space="preserve"> also </w:t>
      </w:r>
      <w:r w:rsidR="009701E7" w:rsidRPr="00703A0B">
        <w:rPr>
          <w:rFonts w:eastAsia="Arial" w:cs="Arial"/>
        </w:rPr>
        <w:t>reduce</w:t>
      </w:r>
      <w:r w:rsidR="001D4D24" w:rsidRPr="00703A0B">
        <w:rPr>
          <w:rFonts w:eastAsia="Arial" w:cs="Arial"/>
        </w:rPr>
        <w:t>s</w:t>
      </w:r>
      <w:r w:rsidR="009701E7" w:rsidRPr="00703A0B">
        <w:rPr>
          <w:rFonts w:eastAsia="Arial" w:cs="Arial"/>
        </w:rPr>
        <w:t xml:space="preserve"> the emotional and financial impacts associated with prolonged disputes while supporting mutually agreeable outcomes.</w:t>
      </w:r>
      <w:r w:rsidR="00CE036C" w:rsidRPr="00703A0B">
        <w:rPr>
          <w:rFonts w:eastAsia="Arial" w:cs="Arial"/>
        </w:rPr>
        <w:t xml:space="preserve"> </w:t>
      </w:r>
    </w:p>
    <w:p w14:paraId="6F58F620" w14:textId="5A788C20" w:rsidR="006B0B33" w:rsidRPr="00703A0B" w:rsidRDefault="3FDAC961" w:rsidP="37A7958A">
      <w:pPr>
        <w:spacing w:before="120" w:after="120"/>
        <w:rPr>
          <w:rFonts w:eastAsia="Arial" w:cs="Arial"/>
        </w:rPr>
      </w:pPr>
      <w:r w:rsidRPr="00703A0B">
        <w:rPr>
          <w:rFonts w:eastAsia="Arial" w:cs="Arial"/>
        </w:rPr>
        <w:t>The QBCC delivers three primary dispute resolution services:</w:t>
      </w:r>
    </w:p>
    <w:p w14:paraId="35E5F9B2" w14:textId="58378960" w:rsidR="006B0B33" w:rsidRPr="00703A0B" w:rsidRDefault="3FDAC961" w:rsidP="00751BD8">
      <w:pPr>
        <w:pStyle w:val="ListParagraph"/>
        <w:numPr>
          <w:ilvl w:val="0"/>
          <w:numId w:val="59"/>
        </w:numPr>
        <w:spacing w:before="120" w:after="120"/>
        <w:ind w:left="714" w:hanging="357"/>
        <w:contextualSpacing w:val="0"/>
        <w:rPr>
          <w:rFonts w:eastAsia="Arial" w:cs="Arial"/>
        </w:rPr>
      </w:pPr>
      <w:r w:rsidRPr="00703A0B">
        <w:rPr>
          <w:rFonts w:eastAsia="Arial" w:cs="Arial"/>
          <w:b/>
          <w:bCs/>
        </w:rPr>
        <w:t>Early</w:t>
      </w:r>
      <w:r w:rsidR="00751BD8" w:rsidRPr="00703A0B">
        <w:rPr>
          <w:rFonts w:eastAsia="Arial" w:cs="Arial"/>
          <w:b/>
          <w:bCs/>
        </w:rPr>
        <w:t xml:space="preserve"> </w:t>
      </w:r>
      <w:r w:rsidRPr="00703A0B">
        <w:rPr>
          <w:rFonts w:eastAsia="Arial" w:cs="Arial"/>
          <w:b/>
          <w:bCs/>
        </w:rPr>
        <w:t>Dispute Resolution (EDR)</w:t>
      </w:r>
      <w:r w:rsidR="0096686A" w:rsidRPr="00703A0B">
        <w:rPr>
          <w:rFonts w:eastAsia="Arial" w:cs="Arial"/>
          <w:b/>
          <w:bCs/>
        </w:rPr>
        <w:t>:</w:t>
      </w:r>
      <w:r w:rsidR="0096686A" w:rsidRPr="00703A0B">
        <w:rPr>
          <w:rFonts w:eastAsia="Arial" w:cs="Arial"/>
        </w:rPr>
        <w:t xml:space="preserve"> A</w:t>
      </w:r>
      <w:r w:rsidRPr="00703A0B">
        <w:rPr>
          <w:rFonts w:eastAsia="Arial" w:cs="Arial"/>
        </w:rPr>
        <w:t xml:space="preserve">n informal and accessible pathway for resolving building disputes </w:t>
      </w:r>
      <w:proofErr w:type="gramStart"/>
      <w:r w:rsidRPr="00703A0B">
        <w:rPr>
          <w:rFonts w:eastAsia="Arial" w:cs="Arial"/>
        </w:rPr>
        <w:t>during the course of</w:t>
      </w:r>
      <w:proofErr w:type="gramEnd"/>
      <w:r w:rsidRPr="00703A0B">
        <w:rPr>
          <w:rFonts w:eastAsia="Arial" w:cs="Arial"/>
        </w:rPr>
        <w:t xml:space="preserve"> a contract, prior to completion.</w:t>
      </w:r>
    </w:p>
    <w:p w14:paraId="45A6CC1A" w14:textId="4D45FE23" w:rsidR="006B0B33" w:rsidRPr="00703A0B" w:rsidRDefault="3FDAC961" w:rsidP="00A836CF">
      <w:pPr>
        <w:pStyle w:val="ListParagraph"/>
        <w:numPr>
          <w:ilvl w:val="0"/>
          <w:numId w:val="59"/>
        </w:numPr>
        <w:spacing w:before="120" w:after="120"/>
        <w:ind w:left="714" w:hanging="357"/>
        <w:contextualSpacing w:val="0"/>
        <w:rPr>
          <w:rFonts w:eastAsia="Arial" w:cs="Arial"/>
        </w:rPr>
      </w:pPr>
      <w:r w:rsidRPr="00703A0B">
        <w:rPr>
          <w:rFonts w:eastAsia="Arial" w:cs="Arial"/>
          <w:b/>
          <w:bCs/>
        </w:rPr>
        <w:t>Defective Building Work Complaints (DBWC)</w:t>
      </w:r>
      <w:r w:rsidR="0096686A" w:rsidRPr="00703A0B">
        <w:rPr>
          <w:rFonts w:eastAsia="Arial" w:cs="Arial"/>
          <w:b/>
          <w:bCs/>
        </w:rPr>
        <w:t>:</w:t>
      </w:r>
      <w:r w:rsidR="0096686A" w:rsidRPr="00703A0B">
        <w:rPr>
          <w:rFonts w:eastAsia="Arial" w:cs="Arial"/>
        </w:rPr>
        <w:t xml:space="preserve"> A</w:t>
      </w:r>
      <w:r w:rsidRPr="00703A0B">
        <w:rPr>
          <w:rFonts w:eastAsia="Arial" w:cs="Arial"/>
        </w:rPr>
        <w:t xml:space="preserve"> formal complaints</w:t>
      </w:r>
      <w:r w:rsidR="0020745F" w:rsidRPr="00703A0B">
        <w:rPr>
          <w:rFonts w:eastAsia="Arial" w:cs="Arial"/>
        </w:rPr>
        <w:t xml:space="preserve"> resolution</w:t>
      </w:r>
      <w:r w:rsidRPr="00703A0B">
        <w:rPr>
          <w:rFonts w:eastAsia="Arial" w:cs="Arial"/>
        </w:rPr>
        <w:t xml:space="preserve"> process available following the completion of construction work, often involving multiple complaint items.</w:t>
      </w:r>
    </w:p>
    <w:p w14:paraId="2A8B1638" w14:textId="3DD39863" w:rsidR="006B0B33" w:rsidRPr="00703A0B" w:rsidRDefault="3FDAC961" w:rsidP="00A836CF">
      <w:pPr>
        <w:pStyle w:val="ListParagraph"/>
        <w:numPr>
          <w:ilvl w:val="0"/>
          <w:numId w:val="59"/>
        </w:numPr>
        <w:spacing w:before="120" w:after="120"/>
        <w:ind w:left="714" w:hanging="357"/>
        <w:contextualSpacing w:val="0"/>
        <w:rPr>
          <w:rFonts w:eastAsia="Arial" w:cs="Arial"/>
        </w:rPr>
      </w:pPr>
      <w:r w:rsidRPr="00703A0B">
        <w:rPr>
          <w:rFonts w:eastAsia="Arial" w:cs="Arial"/>
          <w:b/>
          <w:bCs/>
        </w:rPr>
        <w:t>Mediation and Conciliation</w:t>
      </w:r>
      <w:r w:rsidR="002537B4" w:rsidRPr="00703A0B">
        <w:rPr>
          <w:rFonts w:eastAsia="Arial" w:cs="Arial"/>
          <w:b/>
          <w:bCs/>
        </w:rPr>
        <w:t>:</w:t>
      </w:r>
      <w:r w:rsidR="002537B4" w:rsidRPr="00703A0B">
        <w:rPr>
          <w:rFonts w:eastAsia="Arial" w:cs="Arial"/>
          <w:b/>
        </w:rPr>
        <w:t xml:space="preserve"> </w:t>
      </w:r>
      <w:r w:rsidR="00F64BB5" w:rsidRPr="00703A0B">
        <w:rPr>
          <w:rFonts w:eastAsia="Arial" w:cs="Arial"/>
        </w:rPr>
        <w:t>A</w:t>
      </w:r>
      <w:r w:rsidRPr="00703A0B">
        <w:rPr>
          <w:rFonts w:eastAsia="Arial" w:cs="Arial"/>
        </w:rPr>
        <w:t xml:space="preserve">n impartial service that </w:t>
      </w:r>
      <w:r w:rsidR="00E62FDE" w:rsidRPr="00703A0B">
        <w:rPr>
          <w:rFonts w:eastAsia="Arial" w:cs="Arial"/>
        </w:rPr>
        <w:t>identifie</w:t>
      </w:r>
      <w:r w:rsidR="004B4CE1" w:rsidRPr="00703A0B">
        <w:rPr>
          <w:rFonts w:eastAsia="Arial" w:cs="Arial"/>
        </w:rPr>
        <w:t>s</w:t>
      </w:r>
      <w:r w:rsidR="00E62FDE" w:rsidRPr="00703A0B">
        <w:rPr>
          <w:rFonts w:eastAsia="Arial" w:cs="Arial"/>
        </w:rPr>
        <w:t xml:space="preserve"> suitable</w:t>
      </w:r>
      <w:r w:rsidR="004B4CE1" w:rsidRPr="00703A0B">
        <w:rPr>
          <w:rFonts w:eastAsia="Arial" w:cs="Arial"/>
        </w:rPr>
        <w:t xml:space="preserve"> DBWC</w:t>
      </w:r>
      <w:r w:rsidR="000952B0" w:rsidRPr="00703A0B">
        <w:rPr>
          <w:rFonts w:eastAsia="Arial" w:cs="Arial"/>
        </w:rPr>
        <w:t xml:space="preserve"> </w:t>
      </w:r>
      <w:r w:rsidR="00F26C8A" w:rsidRPr="00703A0B">
        <w:rPr>
          <w:rFonts w:eastAsia="Arial" w:cs="Arial"/>
        </w:rPr>
        <w:t>for</w:t>
      </w:r>
      <w:r w:rsidR="000952B0" w:rsidRPr="00703A0B">
        <w:rPr>
          <w:rFonts w:eastAsia="Arial" w:cs="Arial"/>
        </w:rPr>
        <w:t xml:space="preserve"> facilitate</w:t>
      </w:r>
      <w:r w:rsidR="00F26C8A" w:rsidRPr="00703A0B">
        <w:rPr>
          <w:rFonts w:eastAsia="Arial" w:cs="Arial"/>
        </w:rPr>
        <w:t xml:space="preserve">d </w:t>
      </w:r>
      <w:r w:rsidR="000952B0" w:rsidRPr="00703A0B">
        <w:rPr>
          <w:rFonts w:eastAsia="Arial" w:cs="Arial"/>
        </w:rPr>
        <w:t xml:space="preserve">discussions between </w:t>
      </w:r>
      <w:r w:rsidR="003A22DE" w:rsidRPr="00703A0B">
        <w:rPr>
          <w:rFonts w:eastAsia="Arial" w:cs="Arial"/>
        </w:rPr>
        <w:t>parties</w:t>
      </w:r>
      <w:r w:rsidR="00F26C8A" w:rsidRPr="00703A0B">
        <w:rPr>
          <w:rFonts w:eastAsia="Arial" w:cs="Arial"/>
        </w:rPr>
        <w:t xml:space="preserve">, </w:t>
      </w:r>
      <w:r w:rsidR="0071751E" w:rsidRPr="00703A0B">
        <w:rPr>
          <w:rFonts w:eastAsia="Arial" w:cs="Arial"/>
        </w:rPr>
        <w:t>support</w:t>
      </w:r>
      <w:r w:rsidR="002E22A5" w:rsidRPr="00703A0B">
        <w:rPr>
          <w:rFonts w:eastAsia="Arial" w:cs="Arial"/>
        </w:rPr>
        <w:t xml:space="preserve">ing </w:t>
      </w:r>
      <w:r w:rsidR="009B359E" w:rsidRPr="00703A0B">
        <w:rPr>
          <w:rFonts w:eastAsia="Arial" w:cs="Arial"/>
        </w:rPr>
        <w:t xml:space="preserve">the </w:t>
      </w:r>
      <w:r w:rsidRPr="00703A0B">
        <w:rPr>
          <w:rFonts w:eastAsia="Arial" w:cs="Arial"/>
        </w:rPr>
        <w:t>timely resolution of</w:t>
      </w:r>
      <w:r w:rsidR="003A22DE" w:rsidRPr="00703A0B">
        <w:rPr>
          <w:rFonts w:eastAsia="Arial" w:cs="Arial"/>
        </w:rPr>
        <w:t xml:space="preserve"> </w:t>
      </w:r>
      <w:r w:rsidRPr="00703A0B">
        <w:rPr>
          <w:rFonts w:eastAsia="Arial" w:cs="Arial"/>
        </w:rPr>
        <w:t>disputes</w:t>
      </w:r>
      <w:r w:rsidR="009B359E" w:rsidRPr="00703A0B">
        <w:rPr>
          <w:rFonts w:eastAsia="Arial" w:cs="Arial"/>
        </w:rPr>
        <w:t>. U</w:t>
      </w:r>
      <w:r w:rsidR="006746AA" w:rsidRPr="00703A0B">
        <w:rPr>
          <w:rFonts w:eastAsia="Arial" w:cs="Arial"/>
        </w:rPr>
        <w:t xml:space="preserve">nresolved </w:t>
      </w:r>
      <w:r w:rsidR="003A22DE" w:rsidRPr="00703A0B">
        <w:rPr>
          <w:rFonts w:eastAsia="Arial" w:cs="Arial"/>
        </w:rPr>
        <w:t>complaints</w:t>
      </w:r>
      <w:r w:rsidR="006746AA" w:rsidRPr="00703A0B">
        <w:rPr>
          <w:rFonts w:eastAsia="Arial" w:cs="Arial"/>
        </w:rPr>
        <w:t xml:space="preserve"> </w:t>
      </w:r>
      <w:r w:rsidR="00B07F53" w:rsidRPr="00703A0B">
        <w:rPr>
          <w:rFonts w:eastAsia="Arial" w:cs="Arial"/>
        </w:rPr>
        <w:t>continue</w:t>
      </w:r>
      <w:r w:rsidR="006746AA" w:rsidRPr="00703A0B">
        <w:rPr>
          <w:rFonts w:eastAsia="Arial" w:cs="Arial"/>
        </w:rPr>
        <w:t xml:space="preserve"> </w:t>
      </w:r>
      <w:r w:rsidR="002B5475" w:rsidRPr="00703A0B">
        <w:rPr>
          <w:rFonts w:eastAsia="Arial" w:cs="Arial"/>
        </w:rPr>
        <w:t xml:space="preserve">through the </w:t>
      </w:r>
      <w:r w:rsidR="00A83E70" w:rsidRPr="00703A0B">
        <w:rPr>
          <w:rFonts w:eastAsia="Arial" w:cs="Arial"/>
        </w:rPr>
        <w:t xml:space="preserve">standard </w:t>
      </w:r>
      <w:r w:rsidR="002B5475" w:rsidRPr="00703A0B">
        <w:rPr>
          <w:rFonts w:eastAsia="Arial" w:cs="Arial"/>
        </w:rPr>
        <w:t>DBWC process.</w:t>
      </w:r>
      <w:r w:rsidR="00A94B54" w:rsidRPr="00703A0B">
        <w:rPr>
          <w:rFonts w:eastAsia="Arial" w:cs="Arial"/>
        </w:rPr>
        <w:t xml:space="preserve"> To </w:t>
      </w:r>
      <w:r w:rsidR="002E22A5" w:rsidRPr="00703A0B">
        <w:rPr>
          <w:rFonts w:eastAsia="Arial" w:cs="Arial"/>
        </w:rPr>
        <w:t>improve</w:t>
      </w:r>
      <w:r w:rsidR="00A94B54" w:rsidRPr="00703A0B">
        <w:rPr>
          <w:rFonts w:eastAsia="Arial" w:cs="Arial"/>
        </w:rPr>
        <w:t xml:space="preserve"> </w:t>
      </w:r>
      <w:r w:rsidR="00F27B2A" w:rsidRPr="00703A0B">
        <w:rPr>
          <w:rFonts w:eastAsia="Arial" w:cs="Arial"/>
        </w:rPr>
        <w:t xml:space="preserve">operational </w:t>
      </w:r>
      <w:r w:rsidR="00A94B54" w:rsidRPr="00703A0B">
        <w:rPr>
          <w:rFonts w:eastAsia="Arial" w:cs="Arial"/>
        </w:rPr>
        <w:t xml:space="preserve">efficiency, EDR </w:t>
      </w:r>
      <w:r w:rsidR="00F27B2A" w:rsidRPr="00703A0B">
        <w:rPr>
          <w:rFonts w:eastAsia="Arial" w:cs="Arial"/>
        </w:rPr>
        <w:t xml:space="preserve">was </w:t>
      </w:r>
      <w:r w:rsidR="00A94B54" w:rsidRPr="00703A0B">
        <w:rPr>
          <w:rFonts w:eastAsia="Arial" w:cs="Arial"/>
        </w:rPr>
        <w:t xml:space="preserve">transitioned into </w:t>
      </w:r>
      <w:r w:rsidR="009B0E7E" w:rsidRPr="00703A0B">
        <w:rPr>
          <w:rFonts w:eastAsia="Arial" w:cs="Arial"/>
        </w:rPr>
        <w:t xml:space="preserve">Mediation and Conciliation </w:t>
      </w:r>
      <w:r w:rsidR="00A94B54" w:rsidRPr="00703A0B">
        <w:rPr>
          <w:rFonts w:eastAsia="Arial" w:cs="Arial"/>
        </w:rPr>
        <w:t>during the year.</w:t>
      </w:r>
    </w:p>
    <w:p w14:paraId="2539166B" w14:textId="08874CBB" w:rsidR="00C527DC" w:rsidRPr="00703A0B" w:rsidRDefault="0077397A" w:rsidP="00D73BC7">
      <w:pPr>
        <w:rPr>
          <w:rFonts w:eastAsia="Arial" w:cs="Arial"/>
        </w:rPr>
      </w:pPr>
      <w:r w:rsidRPr="00703A0B">
        <w:rPr>
          <w:rFonts w:eastAsia="Arial" w:cs="Arial"/>
        </w:rPr>
        <w:t xml:space="preserve">The </w:t>
      </w:r>
      <w:r w:rsidR="00BE5C7C" w:rsidRPr="00703A0B">
        <w:rPr>
          <w:rFonts w:eastAsia="Arial" w:cs="Arial"/>
        </w:rPr>
        <w:t>effective</w:t>
      </w:r>
      <w:r w:rsidRPr="00703A0B">
        <w:rPr>
          <w:rFonts w:eastAsia="Arial" w:cs="Arial"/>
        </w:rPr>
        <w:t xml:space="preserve"> delivery of </w:t>
      </w:r>
      <w:r w:rsidRPr="00703A0B">
        <w:t xml:space="preserve">dispute resolution </w:t>
      </w:r>
      <w:r w:rsidR="00BE5C7C" w:rsidRPr="00703A0B">
        <w:t>services</w:t>
      </w:r>
      <w:r w:rsidRPr="00703A0B">
        <w:t xml:space="preserve"> plays an important role in protecting consumers, </w:t>
      </w:r>
      <w:r w:rsidR="001F6FE2" w:rsidRPr="00703A0B">
        <w:t xml:space="preserve">ensuring </w:t>
      </w:r>
      <w:r w:rsidRPr="00703A0B">
        <w:t xml:space="preserve">industry accountability and maintaining confidence in Queensland's building and construction industry. </w:t>
      </w:r>
      <w:r w:rsidR="00EC2D76" w:rsidRPr="00703A0B">
        <w:fldChar w:fldCharType="begin"/>
      </w:r>
      <w:r w:rsidR="00EC2D76" w:rsidRPr="00703A0B">
        <w:instrText xml:space="preserve"> REF _Ref235537209 \h  \* MERGEFORMAT </w:instrText>
      </w:r>
      <w:r w:rsidR="00EC2D76" w:rsidRPr="00703A0B">
        <w:fldChar w:fldCharType="separate"/>
      </w:r>
      <w:r w:rsidR="00EC2D76" w:rsidRPr="00703A0B">
        <w:rPr>
          <w:bCs/>
        </w:rPr>
        <w:t xml:space="preserve">Figure </w:t>
      </w:r>
      <w:r w:rsidR="00EC2D76" w:rsidRPr="0068165F">
        <w:rPr>
          <w:bCs/>
        </w:rPr>
        <w:t>2</w:t>
      </w:r>
      <w:r w:rsidR="00EC2D76" w:rsidRPr="00703A0B">
        <w:fldChar w:fldCharType="end"/>
      </w:r>
      <w:r w:rsidR="00EC2D76" w:rsidRPr="00703A0B">
        <w:t xml:space="preserve"> </w:t>
      </w:r>
      <w:r w:rsidR="006B0B33" w:rsidRPr="00703A0B">
        <w:rPr>
          <w:rFonts w:eastAsia="Arial" w:cs="Arial"/>
        </w:rPr>
        <w:t xml:space="preserve">outlines the </w:t>
      </w:r>
      <w:r w:rsidR="00BD25D9" w:rsidRPr="00703A0B">
        <w:rPr>
          <w:rFonts w:eastAsia="Arial" w:cs="Arial"/>
        </w:rPr>
        <w:t xml:space="preserve">volume of </w:t>
      </w:r>
      <w:r w:rsidR="00685774" w:rsidRPr="00703A0B">
        <w:rPr>
          <w:rFonts w:eastAsia="Arial" w:cs="Arial"/>
        </w:rPr>
        <w:t>dispute resolution services and</w:t>
      </w:r>
      <w:r w:rsidR="006B0B33" w:rsidRPr="00703A0B">
        <w:rPr>
          <w:rFonts w:eastAsia="Arial" w:cs="Arial"/>
        </w:rPr>
        <w:t xml:space="preserve"> </w:t>
      </w:r>
      <w:r w:rsidR="003D4656" w:rsidRPr="00703A0B">
        <w:rPr>
          <w:rFonts w:eastAsia="Arial" w:cs="Arial"/>
        </w:rPr>
        <w:t xml:space="preserve">outcomes </w:t>
      </w:r>
      <w:r w:rsidR="0034316D" w:rsidRPr="00703A0B">
        <w:rPr>
          <w:rFonts w:eastAsia="Arial" w:cs="Arial"/>
        </w:rPr>
        <w:t>over time.</w:t>
      </w:r>
    </w:p>
    <w:p w14:paraId="4F1A7725" w14:textId="77777777" w:rsidR="00EC2D76" w:rsidRPr="00703A0B" w:rsidRDefault="00EC2D76" w:rsidP="00D73BC7">
      <w:pPr>
        <w:rPr>
          <w:rFonts w:eastAsia="Arial" w:cs="Arial"/>
        </w:rPr>
      </w:pPr>
    </w:p>
    <w:p w14:paraId="6E9B7B45" w14:textId="3D8C4750" w:rsidR="00EC2D76" w:rsidRPr="00703A0B" w:rsidRDefault="00490B0A" w:rsidP="00220441">
      <w:r w:rsidRPr="00BB72F2">
        <w:rPr>
          <w:noProof/>
        </w:rPr>
        <w:drawing>
          <wp:inline distT="0" distB="0" distL="0" distR="0" wp14:anchorId="1EA84E07" wp14:editId="39C62501">
            <wp:extent cx="4825922" cy="2618510"/>
            <wp:effectExtent l="0" t="0" r="0" b="0"/>
            <wp:docPr id="178515801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158018"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4861206" cy="2637655"/>
                    </a:xfrm>
                    <a:prstGeom prst="rect">
                      <a:avLst/>
                    </a:prstGeom>
                  </pic:spPr>
                </pic:pic>
              </a:graphicData>
            </a:graphic>
          </wp:inline>
        </w:drawing>
      </w:r>
    </w:p>
    <w:p w14:paraId="56B1A6E1" w14:textId="3F2DA1BA" w:rsidR="00EC2D76" w:rsidRPr="00703A0B" w:rsidRDefault="00EC2D76" w:rsidP="00B8139D">
      <w:pPr>
        <w:pStyle w:val="Caption"/>
        <w:rPr>
          <w:i/>
        </w:rPr>
      </w:pPr>
      <w:bookmarkStart w:id="52" w:name="_Ref235537209"/>
      <w:r w:rsidRPr="00703A0B">
        <w:rPr>
          <w:b w:val="0"/>
          <w:i/>
        </w:rPr>
        <w:t xml:space="preserve">Figure </w:t>
      </w:r>
      <w:r w:rsidRPr="00703A0B">
        <w:rPr>
          <w:b w:val="0"/>
          <w:i/>
        </w:rPr>
        <w:fldChar w:fldCharType="begin"/>
      </w:r>
      <w:r w:rsidRPr="00703A0B">
        <w:rPr>
          <w:b w:val="0"/>
          <w:i/>
        </w:rPr>
        <w:instrText xml:space="preserve"> SEQ Figure \* ARABIC </w:instrText>
      </w:r>
      <w:r w:rsidRPr="00703A0B">
        <w:rPr>
          <w:b w:val="0"/>
          <w:i/>
        </w:rPr>
        <w:fldChar w:fldCharType="separate"/>
      </w:r>
      <w:r w:rsidR="00051582" w:rsidRPr="007C6E2C">
        <w:rPr>
          <w:b w:val="0"/>
          <w:i/>
        </w:rPr>
        <w:t>2</w:t>
      </w:r>
      <w:r w:rsidRPr="00703A0B">
        <w:rPr>
          <w:b w:val="0"/>
          <w:i/>
        </w:rPr>
        <w:fldChar w:fldCharType="end"/>
      </w:r>
      <w:bookmarkEnd w:id="52"/>
      <w:r w:rsidRPr="00703A0B">
        <w:rPr>
          <w:b w:val="0"/>
          <w:i/>
        </w:rPr>
        <w:t>: Disputes resolution service delivery and outcomes over the past five years</w:t>
      </w:r>
    </w:p>
    <w:p w14:paraId="157536B9" w14:textId="0E6985BF" w:rsidR="00F00DC6" w:rsidRPr="00703A0B" w:rsidRDefault="0044082E" w:rsidP="000F3F27">
      <w:pPr>
        <w:spacing w:before="120" w:after="120"/>
        <w:rPr>
          <w:rFonts w:eastAsia="Arial" w:cs="Arial"/>
        </w:rPr>
      </w:pPr>
      <w:r w:rsidRPr="00703A0B">
        <w:rPr>
          <w:rFonts w:eastAsia="Arial" w:cs="Arial"/>
        </w:rPr>
        <w:t xml:space="preserve">EDR </w:t>
      </w:r>
      <w:r w:rsidR="00912C0C" w:rsidRPr="00703A0B">
        <w:rPr>
          <w:rFonts w:eastAsia="Arial" w:cs="Arial"/>
        </w:rPr>
        <w:t>continue</w:t>
      </w:r>
      <w:r w:rsidR="007311DD" w:rsidRPr="00703A0B">
        <w:rPr>
          <w:rFonts w:eastAsia="Arial" w:cs="Arial"/>
        </w:rPr>
        <w:t>d</w:t>
      </w:r>
      <w:r w:rsidR="00912C0C" w:rsidRPr="00703A0B">
        <w:rPr>
          <w:rFonts w:eastAsia="Arial" w:cs="Arial"/>
        </w:rPr>
        <w:t xml:space="preserve"> to play an important role in facilitating the early resolution of residential building disputes before they </w:t>
      </w:r>
      <w:r w:rsidR="002473DA" w:rsidRPr="00703A0B">
        <w:rPr>
          <w:rFonts w:eastAsia="Arial" w:cs="Arial"/>
        </w:rPr>
        <w:t xml:space="preserve">are </w:t>
      </w:r>
      <w:r w:rsidR="00912C0C" w:rsidRPr="00703A0B">
        <w:rPr>
          <w:rFonts w:eastAsia="Arial" w:cs="Arial"/>
        </w:rPr>
        <w:t>escalate</w:t>
      </w:r>
      <w:r w:rsidR="00F4744F" w:rsidRPr="00703A0B">
        <w:rPr>
          <w:rFonts w:eastAsia="Arial" w:cs="Arial"/>
        </w:rPr>
        <w:t>d</w:t>
      </w:r>
      <w:r w:rsidR="00912C0C" w:rsidRPr="00703A0B">
        <w:rPr>
          <w:rFonts w:eastAsia="Arial" w:cs="Arial"/>
        </w:rPr>
        <w:t xml:space="preserve"> to formal pathways.</w:t>
      </w:r>
      <w:r w:rsidR="008A3A1C" w:rsidRPr="00703A0B">
        <w:rPr>
          <w:rFonts w:eastAsia="Arial" w:cs="Arial"/>
        </w:rPr>
        <w:t xml:space="preserve"> </w:t>
      </w:r>
      <w:r w:rsidR="0025132A" w:rsidRPr="00703A0B">
        <w:rPr>
          <w:rFonts w:eastAsia="Arial" w:cs="Arial"/>
        </w:rPr>
        <w:t>Early intervention reduc</w:t>
      </w:r>
      <w:r w:rsidR="00BF6C26" w:rsidRPr="00703A0B">
        <w:rPr>
          <w:rFonts w:eastAsia="Arial" w:cs="Arial"/>
        </w:rPr>
        <w:t>ed</w:t>
      </w:r>
      <w:r w:rsidR="0025132A" w:rsidRPr="00703A0B">
        <w:rPr>
          <w:rFonts w:eastAsia="Arial" w:cs="Arial"/>
        </w:rPr>
        <w:t xml:space="preserve"> the time, cost and disruption associated with unresolved disputes for </w:t>
      </w:r>
      <w:proofErr w:type="gramStart"/>
      <w:r w:rsidR="0025132A" w:rsidRPr="00703A0B">
        <w:rPr>
          <w:rFonts w:eastAsia="Arial" w:cs="Arial"/>
        </w:rPr>
        <w:t>home owners</w:t>
      </w:r>
      <w:proofErr w:type="gramEnd"/>
      <w:r w:rsidR="0025132A" w:rsidRPr="00703A0B">
        <w:rPr>
          <w:rFonts w:eastAsia="Arial" w:cs="Arial"/>
        </w:rPr>
        <w:t xml:space="preserve"> and contractors</w:t>
      </w:r>
      <w:r w:rsidR="00F00DC6" w:rsidRPr="00703A0B">
        <w:rPr>
          <w:rFonts w:eastAsia="Arial" w:cs="Arial"/>
        </w:rPr>
        <w:t>, supporting stronger industry confidence and more positive outcomes for all parties involved</w:t>
      </w:r>
      <w:r w:rsidR="0025132A" w:rsidRPr="00703A0B">
        <w:rPr>
          <w:rFonts w:eastAsia="Arial" w:cs="Arial"/>
        </w:rPr>
        <w:t>.</w:t>
      </w:r>
    </w:p>
    <w:p w14:paraId="71A64EA7" w14:textId="057A9B5D" w:rsidR="00225F06" w:rsidRPr="00703A0B" w:rsidRDefault="00B31CCC" w:rsidP="000F3F27">
      <w:pPr>
        <w:spacing w:before="120" w:after="120"/>
        <w:rPr>
          <w:rFonts w:eastAsia="Arial" w:cs="Arial"/>
        </w:rPr>
      </w:pPr>
      <w:r w:rsidRPr="00703A0B">
        <w:rPr>
          <w:rFonts w:eastAsia="Arial" w:cs="Arial"/>
        </w:rPr>
        <w:t xml:space="preserve">In contrast, </w:t>
      </w:r>
      <w:r w:rsidR="001341AF" w:rsidRPr="00703A0B">
        <w:rPr>
          <w:rFonts w:eastAsia="Arial" w:cs="Arial"/>
        </w:rPr>
        <w:t>the</w:t>
      </w:r>
      <w:r w:rsidRPr="00703A0B" w:rsidDel="00F00DC6">
        <w:rPr>
          <w:rFonts w:eastAsia="Arial" w:cs="Arial"/>
        </w:rPr>
        <w:t xml:space="preserve"> </w:t>
      </w:r>
      <w:r w:rsidRPr="00703A0B">
        <w:rPr>
          <w:rFonts w:eastAsia="Arial" w:cs="Arial"/>
        </w:rPr>
        <w:t xml:space="preserve">sustained volume of DBWC matters indicates </w:t>
      </w:r>
      <w:r w:rsidR="00D24045" w:rsidRPr="00703A0B">
        <w:rPr>
          <w:rFonts w:eastAsia="Arial" w:cs="Arial"/>
        </w:rPr>
        <w:t>ongoing</w:t>
      </w:r>
      <w:r w:rsidRPr="00703A0B">
        <w:rPr>
          <w:rFonts w:eastAsia="Arial" w:cs="Arial"/>
        </w:rPr>
        <w:t xml:space="preserve"> demand for formal dispute resolution services and </w:t>
      </w:r>
      <w:r w:rsidR="00F05955" w:rsidRPr="00703A0B">
        <w:rPr>
          <w:rFonts w:eastAsia="Arial" w:cs="Arial"/>
        </w:rPr>
        <w:t xml:space="preserve">highlights </w:t>
      </w:r>
      <w:r w:rsidR="00DF5600" w:rsidRPr="00703A0B">
        <w:rPr>
          <w:rFonts w:eastAsia="Arial" w:cs="Arial"/>
        </w:rPr>
        <w:t>persistent</w:t>
      </w:r>
      <w:r w:rsidRPr="00703A0B">
        <w:rPr>
          <w:rFonts w:eastAsia="Arial" w:cs="Arial"/>
        </w:rPr>
        <w:t xml:space="preserve"> </w:t>
      </w:r>
      <w:r w:rsidR="00F05955" w:rsidRPr="00703A0B">
        <w:rPr>
          <w:rFonts w:eastAsia="Arial" w:cs="Arial"/>
        </w:rPr>
        <w:t xml:space="preserve">quality and compliance </w:t>
      </w:r>
      <w:r w:rsidRPr="00703A0B">
        <w:rPr>
          <w:rFonts w:eastAsia="Arial" w:cs="Arial"/>
        </w:rPr>
        <w:t xml:space="preserve">challenges </w:t>
      </w:r>
      <w:r w:rsidR="00924AC4" w:rsidRPr="00703A0B">
        <w:rPr>
          <w:rFonts w:eastAsia="Arial" w:cs="Arial"/>
        </w:rPr>
        <w:t xml:space="preserve">within the </w:t>
      </w:r>
      <w:r w:rsidR="00DF5600" w:rsidRPr="00703A0B">
        <w:rPr>
          <w:rFonts w:eastAsia="Arial" w:cs="Arial"/>
        </w:rPr>
        <w:t>residential construction sector</w:t>
      </w:r>
      <w:r w:rsidRPr="00703A0B">
        <w:rPr>
          <w:rFonts w:eastAsia="Arial" w:cs="Arial"/>
        </w:rPr>
        <w:t>.</w:t>
      </w:r>
      <w:r w:rsidR="004F4E83" w:rsidRPr="00703A0B">
        <w:rPr>
          <w:rFonts w:eastAsia="Arial" w:cs="Arial"/>
        </w:rPr>
        <w:t xml:space="preserve"> </w:t>
      </w:r>
      <w:r w:rsidR="0057636B" w:rsidRPr="00703A0B">
        <w:rPr>
          <w:rFonts w:eastAsia="Arial" w:cs="Arial"/>
        </w:rPr>
        <w:t>T</w:t>
      </w:r>
      <w:r w:rsidR="000D49C2" w:rsidRPr="00703A0B">
        <w:rPr>
          <w:rFonts w:eastAsia="Arial" w:cs="Arial"/>
        </w:rPr>
        <w:t>he</w:t>
      </w:r>
      <w:r w:rsidR="0057636B" w:rsidRPr="00703A0B">
        <w:rPr>
          <w:rFonts w:eastAsia="Arial" w:cs="Arial"/>
        </w:rPr>
        <w:t xml:space="preserve"> increasing </w:t>
      </w:r>
      <w:r w:rsidR="00CD0D3C" w:rsidRPr="00703A0B">
        <w:rPr>
          <w:rFonts w:eastAsia="Arial" w:cs="Arial"/>
        </w:rPr>
        <w:t xml:space="preserve">number of </w:t>
      </w:r>
      <w:r w:rsidR="002B3391" w:rsidRPr="00703A0B">
        <w:rPr>
          <w:rFonts w:eastAsia="Arial" w:cs="Arial"/>
        </w:rPr>
        <w:t>direction</w:t>
      </w:r>
      <w:r w:rsidR="009928DD" w:rsidRPr="00703A0B">
        <w:rPr>
          <w:rFonts w:eastAsia="Arial" w:cs="Arial"/>
        </w:rPr>
        <w:t>s to rectify (</w:t>
      </w:r>
      <w:r w:rsidR="000D49C2" w:rsidRPr="00703A0B">
        <w:rPr>
          <w:rFonts w:eastAsia="Arial" w:cs="Arial"/>
        </w:rPr>
        <w:t>DTRs</w:t>
      </w:r>
      <w:r w:rsidR="009928DD" w:rsidRPr="00703A0B">
        <w:rPr>
          <w:rFonts w:eastAsia="Arial" w:cs="Arial"/>
        </w:rPr>
        <w:t>)</w:t>
      </w:r>
      <w:r w:rsidR="000D49C2" w:rsidRPr="00703A0B">
        <w:rPr>
          <w:rFonts w:eastAsia="Arial" w:cs="Arial"/>
        </w:rPr>
        <w:t xml:space="preserve"> issued </w:t>
      </w:r>
      <w:r w:rsidR="00BF04C2" w:rsidRPr="00703A0B">
        <w:rPr>
          <w:rFonts w:eastAsia="Arial" w:cs="Arial"/>
        </w:rPr>
        <w:t xml:space="preserve">is consistent with growth in building and construction </w:t>
      </w:r>
      <w:r w:rsidR="001F648B" w:rsidRPr="00703A0B">
        <w:rPr>
          <w:rFonts w:eastAsia="Arial" w:cs="Arial"/>
        </w:rPr>
        <w:t>activit</w:t>
      </w:r>
      <w:r w:rsidR="00510750" w:rsidRPr="00703A0B">
        <w:rPr>
          <w:rFonts w:eastAsia="Arial" w:cs="Arial"/>
        </w:rPr>
        <w:t>y</w:t>
      </w:r>
      <w:r w:rsidR="008E1706" w:rsidRPr="00703A0B">
        <w:rPr>
          <w:rFonts w:eastAsia="Arial" w:cs="Arial"/>
        </w:rPr>
        <w:t>,</w:t>
      </w:r>
      <w:r w:rsidR="001F648B" w:rsidRPr="00703A0B">
        <w:rPr>
          <w:rFonts w:eastAsia="Arial" w:cs="Arial"/>
        </w:rPr>
        <w:t xml:space="preserve"> and the </w:t>
      </w:r>
      <w:r w:rsidR="00CE4619" w:rsidRPr="00703A0B">
        <w:rPr>
          <w:rFonts w:eastAsia="Arial" w:cs="Arial"/>
        </w:rPr>
        <w:t>corresponding</w:t>
      </w:r>
      <w:r w:rsidR="001F648B" w:rsidRPr="00703A0B">
        <w:rPr>
          <w:rFonts w:eastAsia="Arial" w:cs="Arial"/>
        </w:rPr>
        <w:t xml:space="preserve"> </w:t>
      </w:r>
      <w:r w:rsidR="00450B89" w:rsidRPr="00703A0B">
        <w:rPr>
          <w:rFonts w:eastAsia="Arial" w:cs="Arial"/>
        </w:rPr>
        <w:t xml:space="preserve">and proportional </w:t>
      </w:r>
      <w:r w:rsidR="001F648B" w:rsidRPr="00703A0B">
        <w:rPr>
          <w:rFonts w:eastAsia="Arial" w:cs="Arial"/>
        </w:rPr>
        <w:t xml:space="preserve">increase in demand for the QBCC’s </w:t>
      </w:r>
      <w:r w:rsidR="00C21A1E" w:rsidRPr="00703A0B">
        <w:rPr>
          <w:rFonts w:eastAsia="Arial" w:cs="Arial"/>
        </w:rPr>
        <w:t xml:space="preserve">regulatory </w:t>
      </w:r>
      <w:r w:rsidR="001F648B" w:rsidRPr="00703A0B">
        <w:rPr>
          <w:rFonts w:eastAsia="Arial" w:cs="Arial"/>
        </w:rPr>
        <w:t>services</w:t>
      </w:r>
      <w:r w:rsidR="00C21A1E" w:rsidRPr="00703A0B">
        <w:rPr>
          <w:rFonts w:eastAsia="Arial" w:cs="Arial"/>
        </w:rPr>
        <w:t xml:space="preserve">. </w:t>
      </w:r>
      <w:r w:rsidR="00CE4619" w:rsidRPr="00703A0B">
        <w:rPr>
          <w:rFonts w:eastAsia="Arial" w:cs="Arial"/>
        </w:rPr>
        <w:t>As complaints volume increase</w:t>
      </w:r>
      <w:r w:rsidR="740918BE" w:rsidRPr="00703A0B">
        <w:rPr>
          <w:rFonts w:eastAsia="Arial" w:cs="Arial"/>
        </w:rPr>
        <w:t>s</w:t>
      </w:r>
      <w:r w:rsidR="00595DB1" w:rsidRPr="00703A0B">
        <w:rPr>
          <w:rFonts w:eastAsia="Arial" w:cs="Arial"/>
        </w:rPr>
        <w:t xml:space="preserve">, more matters require </w:t>
      </w:r>
      <w:r w:rsidR="000D49C2" w:rsidRPr="00703A0B">
        <w:rPr>
          <w:rFonts w:eastAsia="Arial" w:cs="Arial"/>
        </w:rPr>
        <w:t>formal regulatory intervention to achieve rectification outcomes.</w:t>
      </w:r>
      <w:r w:rsidR="00225F06" w:rsidRPr="00703A0B">
        <w:rPr>
          <w:rFonts w:eastAsia="Arial" w:cs="Arial"/>
        </w:rPr>
        <w:t xml:space="preserve"> These outcomes reinforce the QBCC's role in maintaining building standards, </w:t>
      </w:r>
      <w:r w:rsidR="005F56ED" w:rsidRPr="00703A0B">
        <w:rPr>
          <w:rFonts w:eastAsia="Arial" w:cs="Arial"/>
        </w:rPr>
        <w:t xml:space="preserve">protecting </w:t>
      </w:r>
      <w:r w:rsidR="00225F06" w:rsidRPr="00703A0B">
        <w:rPr>
          <w:rFonts w:eastAsia="Arial" w:cs="Arial"/>
        </w:rPr>
        <w:t>consumer</w:t>
      </w:r>
      <w:r w:rsidR="005F56ED" w:rsidRPr="00703A0B">
        <w:rPr>
          <w:rFonts w:eastAsia="Arial" w:cs="Arial"/>
        </w:rPr>
        <w:t>s</w:t>
      </w:r>
      <w:r w:rsidR="00225F06" w:rsidRPr="00703A0B">
        <w:rPr>
          <w:rFonts w:eastAsia="Arial" w:cs="Arial"/>
        </w:rPr>
        <w:t xml:space="preserve"> and</w:t>
      </w:r>
      <w:r w:rsidR="005F56ED" w:rsidRPr="00703A0B">
        <w:rPr>
          <w:rFonts w:eastAsia="Arial" w:cs="Arial"/>
        </w:rPr>
        <w:t xml:space="preserve"> promoting</w:t>
      </w:r>
      <w:r w:rsidR="00225F06" w:rsidRPr="00703A0B">
        <w:rPr>
          <w:rFonts w:eastAsia="Arial" w:cs="Arial"/>
        </w:rPr>
        <w:t xml:space="preserve"> accountability across the industry.</w:t>
      </w:r>
      <w:r w:rsidR="00B56420" w:rsidRPr="00703A0B">
        <w:rPr>
          <w:rFonts w:eastAsia="Arial" w:cs="Arial"/>
        </w:rPr>
        <w:t xml:space="preserve"> </w:t>
      </w:r>
    </w:p>
    <w:p w14:paraId="4516DE1B" w14:textId="7370B27B" w:rsidR="52EB1B8D" w:rsidRPr="00703A0B" w:rsidRDefault="00D752CF" w:rsidP="000F3F27">
      <w:pPr>
        <w:spacing w:before="120" w:after="120"/>
        <w:rPr>
          <w:rFonts w:eastAsia="Arial" w:cs="Arial"/>
        </w:rPr>
      </w:pPr>
      <w:r w:rsidRPr="00703A0B">
        <w:rPr>
          <w:rFonts w:eastAsia="Arial" w:cs="Arial"/>
        </w:rPr>
        <w:t xml:space="preserve">The introduction of the QBCC Mediation and Conciliation services in October 2023 </w:t>
      </w:r>
      <w:r w:rsidR="00407E3E" w:rsidRPr="00703A0B">
        <w:rPr>
          <w:rFonts w:eastAsia="Arial" w:cs="Arial"/>
        </w:rPr>
        <w:t>highlights</w:t>
      </w:r>
      <w:r w:rsidRPr="00703A0B">
        <w:rPr>
          <w:rFonts w:eastAsia="Arial" w:cs="Arial"/>
        </w:rPr>
        <w:t xml:space="preserve"> the growing </w:t>
      </w:r>
      <w:r w:rsidR="00E9579B" w:rsidRPr="00703A0B">
        <w:rPr>
          <w:rFonts w:eastAsia="Arial" w:cs="Arial"/>
        </w:rPr>
        <w:t>role</w:t>
      </w:r>
      <w:r w:rsidRPr="00703A0B">
        <w:rPr>
          <w:rFonts w:eastAsia="Arial" w:cs="Arial"/>
        </w:rPr>
        <w:t xml:space="preserve"> of </w:t>
      </w:r>
      <w:r w:rsidR="00E9579B" w:rsidRPr="00703A0B">
        <w:rPr>
          <w:rFonts w:eastAsia="Arial" w:cs="Arial"/>
        </w:rPr>
        <w:t>facilitated dispute resolution</w:t>
      </w:r>
      <w:r w:rsidR="00433A2A" w:rsidRPr="00703A0B">
        <w:rPr>
          <w:rFonts w:eastAsia="Arial" w:cs="Arial"/>
        </w:rPr>
        <w:t xml:space="preserve"> in </w:t>
      </w:r>
      <w:r w:rsidR="00755BB9" w:rsidRPr="00703A0B">
        <w:rPr>
          <w:rFonts w:eastAsia="Arial" w:cs="Arial"/>
        </w:rPr>
        <w:t xml:space="preserve">supporting positive outcomes across </w:t>
      </w:r>
      <w:r w:rsidR="00433A2A" w:rsidRPr="00703A0B">
        <w:rPr>
          <w:rFonts w:eastAsia="Arial" w:cs="Arial"/>
        </w:rPr>
        <w:t>the residential construction sector</w:t>
      </w:r>
      <w:r w:rsidRPr="00703A0B">
        <w:rPr>
          <w:rFonts w:eastAsia="Arial" w:cs="Arial"/>
        </w:rPr>
        <w:t xml:space="preserve">. </w:t>
      </w:r>
      <w:r w:rsidR="00433A2A" w:rsidRPr="00703A0B">
        <w:rPr>
          <w:rFonts w:eastAsia="Arial" w:cs="Arial"/>
        </w:rPr>
        <w:t>Increasing</w:t>
      </w:r>
      <w:r w:rsidR="00367364" w:rsidRPr="00703A0B" w:rsidDel="00433A2A">
        <w:rPr>
          <w:rFonts w:eastAsia="Arial" w:cs="Arial"/>
        </w:rPr>
        <w:t xml:space="preserve"> </w:t>
      </w:r>
      <w:r w:rsidR="00367364" w:rsidRPr="00703A0B">
        <w:rPr>
          <w:rFonts w:eastAsia="Arial" w:cs="Arial"/>
        </w:rPr>
        <w:t xml:space="preserve">uptake of </w:t>
      </w:r>
      <w:r w:rsidR="00682CE5" w:rsidRPr="00703A0B">
        <w:rPr>
          <w:rFonts w:eastAsia="Arial" w:cs="Arial"/>
        </w:rPr>
        <w:t>these</w:t>
      </w:r>
      <w:r w:rsidR="00367364" w:rsidRPr="00703A0B">
        <w:rPr>
          <w:rFonts w:eastAsia="Arial" w:cs="Arial"/>
        </w:rPr>
        <w:t xml:space="preserve"> service</w:t>
      </w:r>
      <w:r w:rsidR="00470118" w:rsidRPr="00703A0B">
        <w:rPr>
          <w:rFonts w:eastAsia="Arial" w:cs="Arial"/>
        </w:rPr>
        <w:t>s</w:t>
      </w:r>
      <w:r w:rsidRPr="00703A0B">
        <w:rPr>
          <w:rFonts w:eastAsia="Arial" w:cs="Arial"/>
        </w:rPr>
        <w:t xml:space="preserve"> </w:t>
      </w:r>
      <w:r w:rsidR="00755BB9" w:rsidRPr="00703A0B">
        <w:rPr>
          <w:rFonts w:eastAsia="Arial" w:cs="Arial"/>
        </w:rPr>
        <w:t>demonstrates</w:t>
      </w:r>
      <w:r w:rsidR="00682CE5" w:rsidRPr="00703A0B">
        <w:rPr>
          <w:rFonts w:eastAsia="Arial" w:cs="Arial"/>
        </w:rPr>
        <w:t xml:space="preserve"> a</w:t>
      </w:r>
      <w:r w:rsidRPr="00703A0B">
        <w:rPr>
          <w:rFonts w:eastAsia="Arial" w:cs="Arial"/>
        </w:rPr>
        <w:t xml:space="preserve"> </w:t>
      </w:r>
      <w:r w:rsidR="00AF19FC" w:rsidRPr="00703A0B">
        <w:rPr>
          <w:rFonts w:eastAsia="Arial" w:cs="Arial"/>
        </w:rPr>
        <w:t>strong demand</w:t>
      </w:r>
      <w:r w:rsidR="00F35D20" w:rsidRPr="00703A0B">
        <w:rPr>
          <w:rFonts w:eastAsia="Arial" w:cs="Arial"/>
        </w:rPr>
        <w:t xml:space="preserve"> for </w:t>
      </w:r>
      <w:r w:rsidR="00386384" w:rsidRPr="00703A0B">
        <w:rPr>
          <w:rFonts w:eastAsia="Arial" w:cs="Arial"/>
        </w:rPr>
        <w:t>alternative dispute</w:t>
      </w:r>
      <w:r w:rsidRPr="00703A0B">
        <w:rPr>
          <w:rFonts w:eastAsia="Arial" w:cs="Arial"/>
        </w:rPr>
        <w:t xml:space="preserve"> resolution approaches </w:t>
      </w:r>
      <w:r w:rsidR="00682CE5" w:rsidRPr="00703A0B">
        <w:rPr>
          <w:rFonts w:eastAsia="Arial" w:cs="Arial"/>
        </w:rPr>
        <w:t>that</w:t>
      </w:r>
      <w:r w:rsidRPr="00703A0B">
        <w:rPr>
          <w:rFonts w:eastAsia="Arial" w:cs="Arial"/>
        </w:rPr>
        <w:t xml:space="preserve"> </w:t>
      </w:r>
      <w:r w:rsidR="00386384" w:rsidRPr="00703A0B">
        <w:rPr>
          <w:rFonts w:eastAsia="Arial" w:cs="Arial"/>
        </w:rPr>
        <w:t xml:space="preserve">support </w:t>
      </w:r>
      <w:proofErr w:type="gramStart"/>
      <w:r w:rsidR="00D34DA9" w:rsidRPr="00703A0B">
        <w:rPr>
          <w:rFonts w:eastAsia="Arial" w:cs="Arial"/>
        </w:rPr>
        <w:t>home owners</w:t>
      </w:r>
      <w:proofErr w:type="gramEnd"/>
      <w:r w:rsidR="00D34DA9" w:rsidRPr="00703A0B">
        <w:rPr>
          <w:rFonts w:eastAsia="Arial" w:cs="Arial"/>
        </w:rPr>
        <w:t xml:space="preserve"> and contractors</w:t>
      </w:r>
      <w:r w:rsidR="005E1650" w:rsidRPr="00703A0B">
        <w:rPr>
          <w:rFonts w:eastAsia="Arial" w:cs="Arial"/>
        </w:rPr>
        <w:t xml:space="preserve"> resolve disputes </w:t>
      </w:r>
      <w:r w:rsidR="00386384" w:rsidRPr="00703A0B">
        <w:rPr>
          <w:rFonts w:eastAsia="Arial" w:cs="Arial"/>
        </w:rPr>
        <w:t>early</w:t>
      </w:r>
      <w:r w:rsidR="005B194C" w:rsidRPr="00703A0B">
        <w:rPr>
          <w:rFonts w:eastAsia="Arial" w:cs="Arial"/>
        </w:rPr>
        <w:t xml:space="preserve"> and </w:t>
      </w:r>
      <w:r w:rsidR="005E1650" w:rsidRPr="00703A0B">
        <w:rPr>
          <w:rFonts w:eastAsia="Arial" w:cs="Arial"/>
        </w:rPr>
        <w:t xml:space="preserve">achieve </w:t>
      </w:r>
      <w:r w:rsidR="00935B87" w:rsidRPr="00703A0B">
        <w:rPr>
          <w:rFonts w:eastAsia="Arial" w:cs="Arial"/>
        </w:rPr>
        <w:t xml:space="preserve">collaborative </w:t>
      </w:r>
      <w:r w:rsidR="00386384" w:rsidRPr="00703A0B">
        <w:rPr>
          <w:rFonts w:eastAsia="Arial" w:cs="Arial"/>
        </w:rPr>
        <w:t>outcomes</w:t>
      </w:r>
      <w:r w:rsidRPr="00703A0B">
        <w:rPr>
          <w:rFonts w:eastAsia="Arial" w:cs="Arial"/>
        </w:rPr>
        <w:t xml:space="preserve">. </w:t>
      </w:r>
      <w:r w:rsidR="00872DF3" w:rsidRPr="00703A0B">
        <w:rPr>
          <w:rFonts w:eastAsia="Arial" w:cs="Arial"/>
        </w:rPr>
        <w:t xml:space="preserve">By supporting mutually acceptable outcomes without further escalation, </w:t>
      </w:r>
      <w:r w:rsidR="006235EB" w:rsidRPr="00703A0B">
        <w:rPr>
          <w:rFonts w:eastAsia="Arial" w:cs="Arial"/>
        </w:rPr>
        <w:t>m</w:t>
      </w:r>
      <w:r w:rsidR="00812084" w:rsidRPr="00703A0B">
        <w:rPr>
          <w:rFonts w:eastAsia="Arial" w:cs="Arial"/>
        </w:rPr>
        <w:t xml:space="preserve">ediation and </w:t>
      </w:r>
      <w:r w:rsidR="006235EB" w:rsidRPr="00703A0B">
        <w:rPr>
          <w:rFonts w:eastAsia="Arial" w:cs="Arial"/>
        </w:rPr>
        <w:t>c</w:t>
      </w:r>
      <w:r w:rsidR="00812084" w:rsidRPr="00703A0B">
        <w:rPr>
          <w:rFonts w:eastAsia="Arial" w:cs="Arial"/>
        </w:rPr>
        <w:t xml:space="preserve">onciliation </w:t>
      </w:r>
      <w:r w:rsidR="00872DF3" w:rsidRPr="00703A0B">
        <w:rPr>
          <w:rFonts w:eastAsia="Arial" w:cs="Arial"/>
        </w:rPr>
        <w:t>has helped</w:t>
      </w:r>
      <w:r w:rsidR="7353DEA0" w:rsidRPr="00703A0B">
        <w:rPr>
          <w:rFonts w:eastAsia="Arial" w:cs="Arial"/>
        </w:rPr>
        <w:t xml:space="preserve"> reduc</w:t>
      </w:r>
      <w:r w:rsidR="00872DF3" w:rsidRPr="00703A0B">
        <w:rPr>
          <w:rFonts w:eastAsia="Arial" w:cs="Arial"/>
        </w:rPr>
        <w:t>e</w:t>
      </w:r>
      <w:r w:rsidR="002A5DDD" w:rsidRPr="00703A0B">
        <w:rPr>
          <w:rFonts w:eastAsia="Arial" w:cs="Arial"/>
        </w:rPr>
        <w:t xml:space="preserve"> dispute volumes</w:t>
      </w:r>
      <w:r w:rsidR="000D3FF2" w:rsidRPr="00703A0B">
        <w:rPr>
          <w:rFonts w:eastAsia="Arial" w:cs="Arial"/>
        </w:rPr>
        <w:t>, shorten resolution timef</w:t>
      </w:r>
      <w:r w:rsidR="00DA4150" w:rsidRPr="00703A0B">
        <w:rPr>
          <w:rFonts w:eastAsia="Arial" w:cs="Arial"/>
        </w:rPr>
        <w:t>r</w:t>
      </w:r>
      <w:r w:rsidR="000D3FF2" w:rsidRPr="00703A0B">
        <w:rPr>
          <w:rFonts w:eastAsia="Arial" w:cs="Arial"/>
        </w:rPr>
        <w:t xml:space="preserve">ames and </w:t>
      </w:r>
      <w:r w:rsidR="00654E50" w:rsidRPr="00703A0B">
        <w:rPr>
          <w:rFonts w:eastAsia="Arial" w:cs="Arial"/>
        </w:rPr>
        <w:t xml:space="preserve">lower dispute-related </w:t>
      </w:r>
      <w:r w:rsidR="00654E50" w:rsidRPr="00703A0B">
        <w:rPr>
          <w:rFonts w:eastAsia="Arial" w:cs="Arial"/>
        </w:rPr>
        <w:lastRenderedPageBreak/>
        <w:t>costs</w:t>
      </w:r>
      <w:r w:rsidR="00606A2B" w:rsidRPr="00703A0B">
        <w:rPr>
          <w:rFonts w:eastAsia="Arial" w:cs="Arial"/>
        </w:rPr>
        <w:t xml:space="preserve"> for </w:t>
      </w:r>
      <w:r w:rsidR="00DB75B2" w:rsidRPr="00703A0B">
        <w:rPr>
          <w:rFonts w:eastAsia="Arial" w:cs="Arial"/>
        </w:rPr>
        <w:t>customers</w:t>
      </w:r>
      <w:r w:rsidR="00606A2B" w:rsidRPr="00703A0B">
        <w:rPr>
          <w:rFonts w:eastAsia="Arial" w:cs="Arial"/>
        </w:rPr>
        <w:t>. These outcomes have contributed to improved industry productivity</w:t>
      </w:r>
      <w:r w:rsidR="00695380" w:rsidRPr="00703A0B">
        <w:rPr>
          <w:rFonts w:eastAsia="Arial" w:cs="Arial"/>
        </w:rPr>
        <w:t>, stronger working relationships</w:t>
      </w:r>
      <w:r w:rsidR="00654E50" w:rsidRPr="00703A0B">
        <w:rPr>
          <w:rFonts w:eastAsia="Arial" w:cs="Arial"/>
        </w:rPr>
        <w:t xml:space="preserve"> and increased confidence in the residential </w:t>
      </w:r>
      <w:r w:rsidR="00B8139D" w:rsidRPr="00703A0B">
        <w:rPr>
          <w:rFonts w:eastAsia="Arial" w:cs="Arial"/>
        </w:rPr>
        <w:t>building</w:t>
      </w:r>
      <w:r w:rsidR="00654E50" w:rsidRPr="00703A0B">
        <w:rPr>
          <w:rFonts w:eastAsia="Arial" w:cs="Arial"/>
        </w:rPr>
        <w:t xml:space="preserve"> </w:t>
      </w:r>
      <w:r w:rsidR="002F0382" w:rsidRPr="00703A0B">
        <w:rPr>
          <w:rFonts w:eastAsia="Arial" w:cs="Arial"/>
        </w:rPr>
        <w:t>sector</w:t>
      </w:r>
      <w:r w:rsidR="00654E50" w:rsidRPr="00703A0B">
        <w:rPr>
          <w:rFonts w:eastAsia="Arial" w:cs="Arial"/>
        </w:rPr>
        <w:t>.</w:t>
      </w:r>
      <w:r w:rsidR="7353DEA0" w:rsidRPr="00703A0B">
        <w:rPr>
          <w:rFonts w:eastAsia="Arial" w:cs="Arial"/>
        </w:rPr>
        <w:t xml:space="preserve"> </w:t>
      </w:r>
      <w:r w:rsidR="00FC3867" w:rsidRPr="00703A0B">
        <w:rPr>
          <w:rFonts w:eastAsia="Arial" w:cs="Arial"/>
        </w:rPr>
        <w:fldChar w:fldCharType="begin"/>
      </w:r>
      <w:r w:rsidR="00FC3867" w:rsidRPr="00703A0B">
        <w:rPr>
          <w:rFonts w:eastAsia="Arial" w:cs="Arial"/>
        </w:rPr>
        <w:instrText xml:space="preserve"> REF _Ref233634655 \h </w:instrText>
      </w:r>
      <w:r w:rsidR="00FC3867" w:rsidRPr="00703A0B">
        <w:rPr>
          <w:rFonts w:eastAsia="Arial" w:cs="Arial"/>
        </w:rPr>
      </w:r>
      <w:r w:rsidR="00FC3867" w:rsidRPr="00703A0B">
        <w:rPr>
          <w:rFonts w:eastAsia="Arial" w:cs="Arial"/>
        </w:rPr>
        <w:fldChar w:fldCharType="separate"/>
      </w:r>
      <w:r w:rsidR="002551A6" w:rsidRPr="00703A0B">
        <w:t xml:space="preserve">Table </w:t>
      </w:r>
      <w:r w:rsidR="00B8139D" w:rsidRPr="00EA647C">
        <w:t>5</w:t>
      </w:r>
      <w:r w:rsidR="00FC3867" w:rsidRPr="00703A0B">
        <w:rPr>
          <w:rFonts w:eastAsia="Arial" w:cs="Arial"/>
        </w:rPr>
        <w:fldChar w:fldCharType="end"/>
      </w:r>
      <w:r w:rsidR="00FC3867" w:rsidRPr="00703A0B">
        <w:rPr>
          <w:rFonts w:eastAsia="Arial" w:cs="Arial"/>
        </w:rPr>
        <w:t xml:space="preserve"> provides an overview of</w:t>
      </w:r>
      <w:r w:rsidR="00D019BE" w:rsidRPr="00703A0B">
        <w:rPr>
          <w:rFonts w:eastAsia="Arial" w:cs="Arial"/>
        </w:rPr>
        <w:t xml:space="preserve"> </w:t>
      </w:r>
      <w:r w:rsidR="00BA1698" w:rsidRPr="00703A0B">
        <w:rPr>
          <w:rFonts w:eastAsia="Arial" w:cs="Arial"/>
        </w:rPr>
        <w:t xml:space="preserve">agreement </w:t>
      </w:r>
      <w:r w:rsidR="00D019BE" w:rsidRPr="00703A0B">
        <w:rPr>
          <w:rFonts w:eastAsia="Arial" w:cs="Arial"/>
        </w:rPr>
        <w:t>outcomes delivered through</w:t>
      </w:r>
      <w:r w:rsidR="00D815D7" w:rsidRPr="00703A0B">
        <w:rPr>
          <w:rFonts w:eastAsia="Arial" w:cs="Arial"/>
        </w:rPr>
        <w:t xml:space="preserve"> </w:t>
      </w:r>
      <w:r w:rsidR="00EF33C5" w:rsidRPr="00703A0B">
        <w:rPr>
          <w:rFonts w:eastAsia="Arial" w:cs="Arial"/>
        </w:rPr>
        <w:t>the QBCC Mediation and Conciliation service</w:t>
      </w:r>
      <w:r w:rsidR="00DA4150" w:rsidRPr="00703A0B">
        <w:rPr>
          <w:rFonts w:eastAsia="Arial" w:cs="Arial"/>
        </w:rPr>
        <w:t xml:space="preserve"> since its introduction in </w:t>
      </w:r>
      <w:r w:rsidR="00B752A3" w:rsidRPr="00703A0B">
        <w:rPr>
          <w:rFonts w:eastAsia="Arial" w:cs="Arial"/>
        </w:rPr>
        <w:t>October 2023</w:t>
      </w:r>
      <w:r w:rsidR="00EF33C5" w:rsidRPr="00703A0B">
        <w:rPr>
          <w:rFonts w:eastAsia="Arial" w:cs="Arial"/>
        </w:rPr>
        <w:t>.</w:t>
      </w:r>
    </w:p>
    <w:p w14:paraId="61BA3168" w14:textId="572A2B7E" w:rsidR="42E3693E" w:rsidRPr="00703A0B" w:rsidRDefault="00846EB9" w:rsidP="00846EB9">
      <w:pPr>
        <w:pStyle w:val="Caption"/>
        <w:keepNext/>
        <w:rPr>
          <w:rFonts w:eastAsia="Arial"/>
        </w:rPr>
      </w:pPr>
      <w:bookmarkStart w:id="53" w:name="_Ref233634655"/>
      <w:r w:rsidRPr="00703A0B">
        <w:t xml:space="preserve">Table </w:t>
      </w:r>
      <w:r w:rsidRPr="00703A0B">
        <w:fldChar w:fldCharType="begin"/>
      </w:r>
      <w:r w:rsidRPr="00703A0B">
        <w:instrText>SEQ Table \* ARABIC</w:instrText>
      </w:r>
      <w:r w:rsidRPr="00703A0B">
        <w:fldChar w:fldCharType="separate"/>
      </w:r>
      <w:r w:rsidR="003764AA" w:rsidRPr="00EA647C">
        <w:t>5</w:t>
      </w:r>
      <w:r w:rsidRPr="00703A0B">
        <w:fldChar w:fldCharType="end"/>
      </w:r>
      <w:bookmarkEnd w:id="53"/>
      <w:r w:rsidR="001464C7" w:rsidRPr="00703A0B">
        <w:rPr>
          <w:rFonts w:eastAsia="Arial"/>
        </w:rPr>
        <w:t xml:space="preserve">: </w:t>
      </w:r>
      <w:r w:rsidR="00E342C1" w:rsidRPr="00703A0B">
        <w:rPr>
          <w:rFonts w:eastAsia="Arial"/>
        </w:rPr>
        <w:t xml:space="preserve">Summary of </w:t>
      </w:r>
      <w:r w:rsidR="000A2F6F" w:rsidRPr="00703A0B">
        <w:rPr>
          <w:rFonts w:eastAsia="Arial"/>
        </w:rPr>
        <w:t>outcomes</w:t>
      </w:r>
      <w:r w:rsidR="00E342C1" w:rsidRPr="00703A0B">
        <w:rPr>
          <w:rFonts w:eastAsia="Arial"/>
        </w:rPr>
        <w:t xml:space="preserve"> achieved through </w:t>
      </w:r>
      <w:r w:rsidR="0057134D" w:rsidRPr="00703A0B">
        <w:rPr>
          <w:rFonts w:eastAsia="Arial"/>
        </w:rPr>
        <w:t xml:space="preserve">the </w:t>
      </w:r>
      <w:r w:rsidR="00E342C1" w:rsidRPr="00703A0B">
        <w:rPr>
          <w:rFonts w:eastAsia="Arial"/>
        </w:rPr>
        <w:t>QBCC Mediation and Conciliation service</w:t>
      </w:r>
    </w:p>
    <w:tbl>
      <w:tblPr>
        <w:tblW w:w="5000" w:type="pct"/>
        <w:tblBorders>
          <w:top w:val="outset" w:sz="6" w:space="0" w:color="auto"/>
          <w:left w:val="outset" w:sz="6" w:space="0" w:color="auto"/>
          <w:bottom w:val="outset" w:sz="6" w:space="0" w:color="auto"/>
          <w:right w:val="outset" w:sz="6" w:space="0" w:color="auto"/>
        </w:tblBorders>
        <w:tblCellMar>
          <w:top w:w="28" w:type="dxa"/>
          <w:bottom w:w="28" w:type="dxa"/>
        </w:tblCellMar>
        <w:tblLook w:val="04A0" w:firstRow="1" w:lastRow="0" w:firstColumn="1" w:lastColumn="0" w:noHBand="0" w:noVBand="1"/>
      </w:tblPr>
      <w:tblGrid>
        <w:gridCol w:w="4962"/>
        <w:gridCol w:w="1828"/>
        <w:gridCol w:w="1828"/>
        <w:gridCol w:w="1826"/>
      </w:tblGrid>
      <w:tr w:rsidR="00654A33" w:rsidRPr="00703A0B" w14:paraId="054F52A7" w14:textId="77777777" w:rsidTr="0050341B">
        <w:tc>
          <w:tcPr>
            <w:tcW w:w="2376" w:type="pct"/>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391254A6" w14:textId="700985EA" w:rsidR="00654A33" w:rsidRPr="00703A0B" w:rsidRDefault="00031084" w:rsidP="00730922">
            <w:pPr>
              <w:rPr>
                <w:rFonts w:cs="Arial"/>
                <w:b/>
              </w:rPr>
            </w:pPr>
            <w:r w:rsidRPr="00703A0B">
              <w:rPr>
                <w:rFonts w:cs="Arial"/>
                <w:b/>
              </w:rPr>
              <w:t xml:space="preserve">Mediation and </w:t>
            </w:r>
            <w:r w:rsidR="0089312F" w:rsidRPr="00703A0B">
              <w:rPr>
                <w:rFonts w:cs="Arial"/>
                <w:b/>
              </w:rPr>
              <w:t>c</w:t>
            </w:r>
            <w:r w:rsidRPr="00703A0B">
              <w:rPr>
                <w:rFonts w:cs="Arial"/>
                <w:b/>
              </w:rPr>
              <w:t>on</w:t>
            </w:r>
            <w:r w:rsidR="002E1153" w:rsidRPr="00703A0B">
              <w:rPr>
                <w:rFonts w:cs="Arial"/>
                <w:b/>
              </w:rPr>
              <w:t>ciliation</w:t>
            </w:r>
            <w:r w:rsidR="000000B4" w:rsidRPr="00703A0B">
              <w:rPr>
                <w:rFonts w:cs="Arial"/>
                <w:b/>
              </w:rPr>
              <w:t xml:space="preserve"> </w:t>
            </w:r>
            <w:r w:rsidR="0015401E" w:rsidRPr="00703A0B">
              <w:rPr>
                <w:rFonts w:cs="Arial"/>
                <w:b/>
              </w:rPr>
              <w:t>outcome</w:t>
            </w:r>
          </w:p>
        </w:tc>
        <w:tc>
          <w:tcPr>
            <w:tcW w:w="875" w:type="pct"/>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15B44043" w14:textId="77777777" w:rsidR="00654A33" w:rsidRPr="00703A0B" w:rsidRDefault="00654A33" w:rsidP="00730922">
            <w:pPr>
              <w:rPr>
                <w:b/>
              </w:rPr>
            </w:pPr>
            <w:r w:rsidRPr="00703A0B">
              <w:rPr>
                <w:rFonts w:cs="Arial"/>
                <w:b/>
              </w:rPr>
              <w:t>2023–24</w:t>
            </w:r>
          </w:p>
        </w:tc>
        <w:tc>
          <w:tcPr>
            <w:tcW w:w="875" w:type="pct"/>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3F1207A2" w14:textId="77777777" w:rsidR="00654A33" w:rsidRPr="00703A0B" w:rsidRDefault="00654A33" w:rsidP="00730922">
            <w:pPr>
              <w:rPr>
                <w:rFonts w:cs="Arial"/>
                <w:b/>
              </w:rPr>
            </w:pPr>
            <w:r w:rsidRPr="00703A0B">
              <w:rPr>
                <w:rFonts w:cs="Arial"/>
                <w:b/>
              </w:rPr>
              <w:t>2024–25</w:t>
            </w:r>
          </w:p>
        </w:tc>
        <w:tc>
          <w:tcPr>
            <w:tcW w:w="874" w:type="pct"/>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31BB9BA8" w14:textId="77777777" w:rsidR="00654A33" w:rsidRPr="00703A0B" w:rsidRDefault="00654A33" w:rsidP="00730922">
            <w:pPr>
              <w:rPr>
                <w:rFonts w:cs="Arial"/>
                <w:b/>
              </w:rPr>
            </w:pPr>
            <w:r w:rsidRPr="00703A0B">
              <w:rPr>
                <w:rFonts w:cs="Arial"/>
                <w:b/>
              </w:rPr>
              <w:t>2025–26</w:t>
            </w:r>
          </w:p>
        </w:tc>
      </w:tr>
      <w:tr w:rsidR="00F9268A" w:rsidRPr="00703A0B" w14:paraId="5045BBCF" w14:textId="77777777" w:rsidTr="00F9268A">
        <w:trPr>
          <w:trHeight w:val="299"/>
        </w:trPr>
        <w:tc>
          <w:tcPr>
            <w:tcW w:w="5000" w:type="pct"/>
            <w:gridSpan w:val="4"/>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56853B6D" w14:textId="33829865" w:rsidR="00F9268A" w:rsidRPr="00703A0B" w:rsidRDefault="00F9268A" w:rsidP="00730922">
            <w:pPr>
              <w:rPr>
                <w:rFonts w:cs="Arial"/>
                <w:bCs/>
              </w:rPr>
            </w:pPr>
            <w:r w:rsidRPr="00703A0B">
              <w:rPr>
                <w:rFonts w:cs="Arial"/>
                <w:bCs/>
              </w:rPr>
              <w:t>Agreements reached</w:t>
            </w:r>
          </w:p>
        </w:tc>
      </w:tr>
      <w:tr w:rsidR="00EA5313" w:rsidRPr="00703A0B" w14:paraId="73AB42EA" w14:textId="77777777" w:rsidTr="0050341B">
        <w:tc>
          <w:tcPr>
            <w:tcW w:w="2376" w:type="pct"/>
            <w:tcBorders>
              <w:top w:val="single" w:sz="6" w:space="0" w:color="000000"/>
              <w:left w:val="single" w:sz="6" w:space="0" w:color="000000"/>
              <w:bottom w:val="single" w:sz="6" w:space="0" w:color="000000"/>
              <w:right w:val="single" w:sz="6" w:space="0" w:color="000000"/>
            </w:tcBorders>
          </w:tcPr>
          <w:p w14:paraId="6EE00D35" w14:textId="053A13B3" w:rsidR="00EA5313" w:rsidRPr="00703A0B" w:rsidRDefault="00D17238" w:rsidP="00EA5313">
            <w:pPr>
              <w:rPr>
                <w:rFonts w:cs="Arial"/>
                <w:b/>
              </w:rPr>
            </w:pPr>
            <w:r w:rsidRPr="00703A0B">
              <w:rPr>
                <w:rFonts w:eastAsia="Arial" w:cs="Arial"/>
              </w:rPr>
              <w:t>Percentage of mediation and conciliation dispute cases with agreements reached (full resolution, partial resolution and procedural or in-</w:t>
            </w:r>
            <w:proofErr w:type="gramStart"/>
            <w:r w:rsidRPr="00703A0B">
              <w:rPr>
                <w:rFonts w:eastAsia="Arial" w:cs="Arial"/>
              </w:rPr>
              <w:t>principle</w:t>
            </w:r>
            <w:proofErr w:type="gramEnd"/>
            <w:r w:rsidRPr="00703A0B">
              <w:rPr>
                <w:rFonts w:eastAsia="Arial" w:cs="Arial"/>
              </w:rPr>
              <w:t xml:space="preserve"> resolution)</w:t>
            </w:r>
          </w:p>
        </w:tc>
        <w:tc>
          <w:tcPr>
            <w:tcW w:w="875" w:type="pct"/>
            <w:tcBorders>
              <w:top w:val="single" w:sz="6" w:space="0" w:color="000000"/>
              <w:left w:val="single" w:sz="6" w:space="0" w:color="000000"/>
              <w:bottom w:val="single" w:sz="6" w:space="0" w:color="000000"/>
              <w:right w:val="single" w:sz="6" w:space="0" w:color="000000"/>
            </w:tcBorders>
          </w:tcPr>
          <w:p w14:paraId="2467933B" w14:textId="2D826097" w:rsidR="00EA5313" w:rsidRPr="00703A0B" w:rsidRDefault="00EA5313" w:rsidP="00EA5313">
            <w:pPr>
              <w:rPr>
                <w:rFonts w:cs="Arial"/>
                <w:b/>
              </w:rPr>
            </w:pPr>
            <w:r w:rsidRPr="00703A0B">
              <w:rPr>
                <w:rFonts w:cs="Arial"/>
              </w:rPr>
              <w:t>68%</w:t>
            </w:r>
            <w:r w:rsidRPr="00703A0B">
              <w:rPr>
                <w:rFonts w:cs="Arial"/>
                <w:vertAlign w:val="superscript"/>
              </w:rPr>
              <w:t>5</w:t>
            </w:r>
          </w:p>
        </w:tc>
        <w:tc>
          <w:tcPr>
            <w:tcW w:w="875" w:type="pct"/>
            <w:tcBorders>
              <w:top w:val="single" w:sz="6" w:space="0" w:color="000000"/>
              <w:left w:val="single" w:sz="6" w:space="0" w:color="000000"/>
              <w:bottom w:val="single" w:sz="6" w:space="0" w:color="000000"/>
              <w:right w:val="single" w:sz="6" w:space="0" w:color="000000"/>
            </w:tcBorders>
          </w:tcPr>
          <w:p w14:paraId="34880458" w14:textId="7DC041D1" w:rsidR="00EA5313" w:rsidRPr="00703A0B" w:rsidRDefault="00EA5313" w:rsidP="00EA5313">
            <w:pPr>
              <w:rPr>
                <w:rFonts w:cs="Arial"/>
                <w:b/>
              </w:rPr>
            </w:pPr>
            <w:r w:rsidRPr="00703A0B">
              <w:rPr>
                <w:rFonts w:cs="Arial"/>
              </w:rPr>
              <w:t>78%</w:t>
            </w:r>
          </w:p>
        </w:tc>
        <w:tc>
          <w:tcPr>
            <w:tcW w:w="874" w:type="pct"/>
            <w:tcBorders>
              <w:top w:val="single" w:sz="6" w:space="0" w:color="000000"/>
              <w:left w:val="single" w:sz="6" w:space="0" w:color="000000"/>
              <w:bottom w:val="single" w:sz="6" w:space="0" w:color="000000"/>
              <w:right w:val="single" w:sz="6" w:space="0" w:color="000000"/>
            </w:tcBorders>
          </w:tcPr>
          <w:p w14:paraId="611B6980" w14:textId="53A9DB45" w:rsidR="00EA5313" w:rsidRPr="00703A0B" w:rsidRDefault="00EA5313" w:rsidP="00EA5313">
            <w:pPr>
              <w:rPr>
                <w:rFonts w:cs="Arial"/>
                <w:b/>
              </w:rPr>
            </w:pPr>
            <w:r w:rsidRPr="00703A0B">
              <w:rPr>
                <w:rFonts w:cs="Arial"/>
              </w:rPr>
              <w:t>74%</w:t>
            </w:r>
          </w:p>
        </w:tc>
      </w:tr>
      <w:tr w:rsidR="00EA5313" w:rsidRPr="00703A0B" w14:paraId="56C934A2" w14:textId="77777777" w:rsidTr="0050341B">
        <w:trPr>
          <w:trHeight w:val="300"/>
        </w:trPr>
        <w:tc>
          <w:tcPr>
            <w:tcW w:w="5000" w:type="pct"/>
            <w:gridSpan w:val="4"/>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67DE50E" w14:textId="1A50ECFE" w:rsidR="00EA5313" w:rsidRPr="00703A0B" w:rsidRDefault="00EA5313" w:rsidP="00EA5313">
            <w:pPr>
              <w:rPr>
                <w:rFonts w:cs="Arial"/>
              </w:rPr>
            </w:pPr>
            <w:r w:rsidRPr="00703A0B">
              <w:rPr>
                <w:rFonts w:eastAsia="Arial" w:cs="Arial"/>
              </w:rPr>
              <w:t xml:space="preserve">Type of agreement outcomes achieved through the mediation and conciliation service  </w:t>
            </w:r>
          </w:p>
        </w:tc>
      </w:tr>
      <w:tr w:rsidR="00EA5313" w:rsidRPr="00703A0B" w14:paraId="531C4E35" w14:textId="77777777" w:rsidTr="0050341B">
        <w:tc>
          <w:tcPr>
            <w:tcW w:w="2376" w:type="pct"/>
            <w:tcBorders>
              <w:top w:val="single" w:sz="6" w:space="0" w:color="000000"/>
              <w:left w:val="single" w:sz="6" w:space="0" w:color="000000"/>
              <w:bottom w:val="single" w:sz="6" w:space="0" w:color="000000"/>
              <w:right w:val="single" w:sz="6" w:space="0" w:color="000000"/>
            </w:tcBorders>
          </w:tcPr>
          <w:p w14:paraId="4F22833E" w14:textId="617DD55D" w:rsidR="00EA5313" w:rsidRPr="00703A0B" w:rsidRDefault="00EA5313" w:rsidP="00EA5313">
            <w:pPr>
              <w:rPr>
                <w:rFonts w:cs="Arial"/>
              </w:rPr>
            </w:pPr>
            <w:r w:rsidRPr="00703A0B">
              <w:rPr>
                <w:rFonts w:eastAsia="Arial" w:cs="Arial"/>
              </w:rPr>
              <w:t>Full resolution</w:t>
            </w:r>
          </w:p>
        </w:tc>
        <w:tc>
          <w:tcPr>
            <w:tcW w:w="875" w:type="pct"/>
            <w:tcBorders>
              <w:top w:val="single" w:sz="6" w:space="0" w:color="000000"/>
              <w:left w:val="single" w:sz="6" w:space="0" w:color="000000"/>
              <w:bottom w:val="single" w:sz="6" w:space="0" w:color="000000"/>
              <w:right w:val="single" w:sz="6" w:space="0" w:color="000000"/>
            </w:tcBorders>
          </w:tcPr>
          <w:p w14:paraId="5801F5F7" w14:textId="12AD2A86" w:rsidR="00EA5313" w:rsidRPr="00703A0B" w:rsidRDefault="00EA5313" w:rsidP="00EA5313">
            <w:pPr>
              <w:rPr>
                <w:rFonts w:cs="Arial"/>
                <w:color w:val="020A0A"/>
              </w:rPr>
            </w:pPr>
            <w:r w:rsidRPr="00703A0B">
              <w:rPr>
                <w:rFonts w:cs="Arial"/>
              </w:rPr>
              <w:t>56%</w:t>
            </w:r>
            <w:r w:rsidRPr="00703A0B">
              <w:rPr>
                <w:rStyle w:val="FootnoteReference"/>
                <w:rFonts w:cs="Arial"/>
              </w:rPr>
              <w:footnoteReference w:id="6"/>
            </w:r>
          </w:p>
        </w:tc>
        <w:tc>
          <w:tcPr>
            <w:tcW w:w="875" w:type="pct"/>
            <w:tcBorders>
              <w:top w:val="single" w:sz="6" w:space="0" w:color="000000"/>
              <w:left w:val="single" w:sz="6" w:space="0" w:color="000000"/>
              <w:bottom w:val="single" w:sz="6" w:space="0" w:color="000000"/>
              <w:right w:val="single" w:sz="6" w:space="0" w:color="000000"/>
            </w:tcBorders>
          </w:tcPr>
          <w:p w14:paraId="5E45DB59" w14:textId="420776E0" w:rsidR="00EA5313" w:rsidRPr="00703A0B" w:rsidRDefault="00EA5313" w:rsidP="00EA5313">
            <w:pPr>
              <w:rPr>
                <w:rFonts w:cs="Arial"/>
              </w:rPr>
            </w:pPr>
            <w:r w:rsidRPr="00703A0B">
              <w:rPr>
                <w:rFonts w:cs="Arial"/>
              </w:rPr>
              <w:t>55%</w:t>
            </w:r>
          </w:p>
        </w:tc>
        <w:tc>
          <w:tcPr>
            <w:tcW w:w="874" w:type="pct"/>
            <w:tcBorders>
              <w:top w:val="single" w:sz="6" w:space="0" w:color="000000"/>
              <w:left w:val="single" w:sz="6" w:space="0" w:color="000000"/>
              <w:bottom w:val="single" w:sz="6" w:space="0" w:color="000000"/>
              <w:right w:val="single" w:sz="6" w:space="0" w:color="000000"/>
            </w:tcBorders>
          </w:tcPr>
          <w:p w14:paraId="38FCBE46" w14:textId="1F32B534" w:rsidR="00EA5313" w:rsidRPr="00703A0B" w:rsidRDefault="00EA5313" w:rsidP="00EA5313">
            <w:pPr>
              <w:rPr>
                <w:rFonts w:cs="Arial"/>
              </w:rPr>
            </w:pPr>
            <w:r w:rsidRPr="00703A0B">
              <w:rPr>
                <w:rFonts w:cs="Arial"/>
              </w:rPr>
              <w:t>73%</w:t>
            </w:r>
          </w:p>
        </w:tc>
      </w:tr>
      <w:tr w:rsidR="00EA5313" w:rsidRPr="00703A0B" w14:paraId="2C403965" w14:textId="77777777" w:rsidTr="0050341B">
        <w:tc>
          <w:tcPr>
            <w:tcW w:w="2376" w:type="pct"/>
            <w:tcBorders>
              <w:top w:val="single" w:sz="6" w:space="0" w:color="000000"/>
              <w:left w:val="single" w:sz="6" w:space="0" w:color="000000"/>
              <w:bottom w:val="single" w:sz="6" w:space="0" w:color="000000"/>
              <w:right w:val="single" w:sz="6" w:space="0" w:color="000000"/>
            </w:tcBorders>
          </w:tcPr>
          <w:p w14:paraId="7FF12BBB" w14:textId="4AA64F17" w:rsidR="00EA5313" w:rsidRPr="00703A0B" w:rsidRDefault="00EA5313" w:rsidP="00EA5313">
            <w:pPr>
              <w:rPr>
                <w:rFonts w:cs="Arial"/>
              </w:rPr>
            </w:pPr>
            <w:r w:rsidRPr="00703A0B">
              <w:rPr>
                <w:rFonts w:eastAsia="Arial" w:cs="Arial"/>
              </w:rPr>
              <w:t>Partial resolution</w:t>
            </w:r>
          </w:p>
        </w:tc>
        <w:tc>
          <w:tcPr>
            <w:tcW w:w="875" w:type="pct"/>
            <w:tcBorders>
              <w:top w:val="single" w:sz="6" w:space="0" w:color="000000"/>
              <w:left w:val="single" w:sz="6" w:space="0" w:color="000000"/>
              <w:bottom w:val="single" w:sz="6" w:space="0" w:color="000000"/>
              <w:right w:val="single" w:sz="6" w:space="0" w:color="000000"/>
            </w:tcBorders>
          </w:tcPr>
          <w:p w14:paraId="72DA1DDC" w14:textId="2DA08273" w:rsidR="00EA5313" w:rsidRPr="00703A0B" w:rsidRDefault="00EA5313" w:rsidP="00EA5313">
            <w:pPr>
              <w:rPr>
                <w:rFonts w:cs="Arial"/>
              </w:rPr>
            </w:pPr>
            <w:r w:rsidRPr="00703A0B">
              <w:rPr>
                <w:rFonts w:cs="Arial"/>
              </w:rPr>
              <w:t>20%</w:t>
            </w:r>
            <w:r w:rsidRPr="00703A0B">
              <w:rPr>
                <w:rFonts w:cs="Arial"/>
                <w:vertAlign w:val="superscript"/>
              </w:rPr>
              <w:t>5</w:t>
            </w:r>
          </w:p>
        </w:tc>
        <w:tc>
          <w:tcPr>
            <w:tcW w:w="875" w:type="pct"/>
            <w:tcBorders>
              <w:top w:val="single" w:sz="6" w:space="0" w:color="000000"/>
              <w:left w:val="single" w:sz="6" w:space="0" w:color="000000"/>
              <w:bottom w:val="single" w:sz="6" w:space="0" w:color="000000"/>
              <w:right w:val="single" w:sz="6" w:space="0" w:color="000000"/>
            </w:tcBorders>
          </w:tcPr>
          <w:p w14:paraId="34B871B1" w14:textId="4409C66D" w:rsidR="00EA5313" w:rsidRPr="00703A0B" w:rsidRDefault="00EA5313" w:rsidP="00EA5313">
            <w:pPr>
              <w:rPr>
                <w:rFonts w:cs="Arial"/>
              </w:rPr>
            </w:pPr>
            <w:r w:rsidRPr="00703A0B">
              <w:rPr>
                <w:rFonts w:cs="Arial"/>
              </w:rPr>
              <w:t>21%</w:t>
            </w:r>
          </w:p>
        </w:tc>
        <w:tc>
          <w:tcPr>
            <w:tcW w:w="874" w:type="pct"/>
            <w:tcBorders>
              <w:top w:val="single" w:sz="6" w:space="0" w:color="000000"/>
              <w:left w:val="single" w:sz="6" w:space="0" w:color="000000"/>
              <w:bottom w:val="single" w:sz="6" w:space="0" w:color="000000"/>
              <w:right w:val="single" w:sz="6" w:space="0" w:color="000000"/>
            </w:tcBorders>
          </w:tcPr>
          <w:p w14:paraId="22EE5504" w14:textId="278917FB" w:rsidR="00EA5313" w:rsidRPr="00703A0B" w:rsidRDefault="00EA5313" w:rsidP="00EA5313">
            <w:pPr>
              <w:rPr>
                <w:rFonts w:cs="Arial"/>
              </w:rPr>
            </w:pPr>
            <w:r w:rsidRPr="00703A0B">
              <w:rPr>
                <w:rFonts w:cs="Arial"/>
              </w:rPr>
              <w:t>11%</w:t>
            </w:r>
          </w:p>
        </w:tc>
      </w:tr>
      <w:tr w:rsidR="00EA5313" w:rsidRPr="00703A0B" w14:paraId="3ABEBD2A" w14:textId="77777777" w:rsidTr="0050341B">
        <w:tc>
          <w:tcPr>
            <w:tcW w:w="2376" w:type="pct"/>
            <w:tcBorders>
              <w:top w:val="single" w:sz="6" w:space="0" w:color="000000"/>
              <w:left w:val="single" w:sz="6" w:space="0" w:color="000000"/>
              <w:bottom w:val="single" w:sz="6" w:space="0" w:color="000000"/>
              <w:right w:val="single" w:sz="6" w:space="0" w:color="000000"/>
            </w:tcBorders>
          </w:tcPr>
          <w:p w14:paraId="36E6A159" w14:textId="01B935C5" w:rsidR="00EA5313" w:rsidRPr="00703A0B" w:rsidRDefault="00EA5313" w:rsidP="00EA5313">
            <w:pPr>
              <w:rPr>
                <w:rFonts w:cs="Arial"/>
              </w:rPr>
            </w:pPr>
            <w:r w:rsidRPr="00703A0B">
              <w:rPr>
                <w:rFonts w:eastAsia="Arial" w:cs="Arial"/>
              </w:rPr>
              <w:t>Procedural or in-</w:t>
            </w:r>
            <w:proofErr w:type="gramStart"/>
            <w:r w:rsidRPr="00703A0B">
              <w:rPr>
                <w:rFonts w:eastAsia="Arial" w:cs="Arial"/>
              </w:rPr>
              <w:t>principle</w:t>
            </w:r>
            <w:proofErr w:type="gramEnd"/>
            <w:r w:rsidRPr="00703A0B">
              <w:rPr>
                <w:rFonts w:eastAsia="Arial" w:cs="Arial"/>
              </w:rPr>
              <w:t xml:space="preserve"> resolution</w:t>
            </w:r>
          </w:p>
        </w:tc>
        <w:tc>
          <w:tcPr>
            <w:tcW w:w="875" w:type="pct"/>
            <w:tcBorders>
              <w:top w:val="single" w:sz="6" w:space="0" w:color="000000"/>
              <w:left w:val="single" w:sz="6" w:space="0" w:color="000000"/>
              <w:bottom w:val="single" w:sz="6" w:space="0" w:color="000000"/>
              <w:right w:val="single" w:sz="6" w:space="0" w:color="000000"/>
            </w:tcBorders>
          </w:tcPr>
          <w:p w14:paraId="0E154776" w14:textId="39507EB0" w:rsidR="00EA5313" w:rsidRPr="00703A0B" w:rsidRDefault="00EA5313" w:rsidP="00EA5313">
            <w:pPr>
              <w:rPr>
                <w:rFonts w:cs="Arial"/>
              </w:rPr>
            </w:pPr>
            <w:r w:rsidRPr="00703A0B">
              <w:rPr>
                <w:rFonts w:cs="Arial"/>
              </w:rPr>
              <w:t>24%</w:t>
            </w:r>
            <w:r w:rsidRPr="00703A0B">
              <w:rPr>
                <w:rFonts w:cs="Arial"/>
                <w:vertAlign w:val="superscript"/>
              </w:rPr>
              <w:t>5</w:t>
            </w:r>
          </w:p>
        </w:tc>
        <w:tc>
          <w:tcPr>
            <w:tcW w:w="875" w:type="pct"/>
            <w:tcBorders>
              <w:top w:val="single" w:sz="6" w:space="0" w:color="000000"/>
              <w:left w:val="single" w:sz="6" w:space="0" w:color="000000"/>
              <w:bottom w:val="single" w:sz="6" w:space="0" w:color="000000"/>
              <w:right w:val="single" w:sz="6" w:space="0" w:color="000000"/>
            </w:tcBorders>
          </w:tcPr>
          <w:p w14:paraId="61633F06" w14:textId="60FEE0A1" w:rsidR="00EA5313" w:rsidRPr="00703A0B" w:rsidRDefault="00EA5313" w:rsidP="00EA5313">
            <w:pPr>
              <w:rPr>
                <w:rFonts w:cs="Arial"/>
              </w:rPr>
            </w:pPr>
            <w:r w:rsidRPr="00703A0B">
              <w:rPr>
                <w:rFonts w:cs="Arial"/>
              </w:rPr>
              <w:t>24%</w:t>
            </w:r>
          </w:p>
        </w:tc>
        <w:tc>
          <w:tcPr>
            <w:tcW w:w="874" w:type="pct"/>
            <w:tcBorders>
              <w:top w:val="single" w:sz="6" w:space="0" w:color="000000"/>
              <w:left w:val="single" w:sz="6" w:space="0" w:color="000000"/>
              <w:bottom w:val="single" w:sz="6" w:space="0" w:color="000000"/>
              <w:right w:val="single" w:sz="6" w:space="0" w:color="000000"/>
            </w:tcBorders>
          </w:tcPr>
          <w:p w14:paraId="3775BC1F" w14:textId="0CE93CA9" w:rsidR="00EA5313" w:rsidRPr="00703A0B" w:rsidRDefault="00EA5313" w:rsidP="00EA5313">
            <w:pPr>
              <w:rPr>
                <w:rFonts w:cs="Arial"/>
              </w:rPr>
            </w:pPr>
            <w:r w:rsidRPr="00703A0B">
              <w:rPr>
                <w:rFonts w:cs="Arial"/>
              </w:rPr>
              <w:t>16%</w:t>
            </w:r>
          </w:p>
        </w:tc>
      </w:tr>
    </w:tbl>
    <w:p w14:paraId="38D5BC8B" w14:textId="49F8F157" w:rsidR="00F73951" w:rsidRPr="00703A0B" w:rsidRDefault="00A62E2E" w:rsidP="000F3F27">
      <w:pPr>
        <w:spacing w:before="120" w:after="120"/>
        <w:rPr>
          <w:rFonts w:eastAsia="Arial" w:cs="Arial"/>
        </w:rPr>
      </w:pPr>
      <w:r w:rsidRPr="00703A0B">
        <w:rPr>
          <w:rFonts w:eastAsia="Arial" w:cs="Arial"/>
        </w:rPr>
        <w:t xml:space="preserve">Resolution outcomes remained </w:t>
      </w:r>
      <w:r w:rsidR="00A059AD" w:rsidRPr="00703A0B">
        <w:rPr>
          <w:rFonts w:eastAsia="Arial" w:cs="Arial"/>
        </w:rPr>
        <w:t xml:space="preserve">consistently </w:t>
      </w:r>
      <w:r w:rsidRPr="00703A0B">
        <w:rPr>
          <w:rFonts w:eastAsia="Arial" w:cs="Arial"/>
        </w:rPr>
        <w:t xml:space="preserve">strong over the past three years, with </w:t>
      </w:r>
      <w:r w:rsidR="00A059AD" w:rsidRPr="00703A0B">
        <w:rPr>
          <w:rFonts w:eastAsia="Arial" w:cs="Arial"/>
        </w:rPr>
        <w:t>majority of matters</w:t>
      </w:r>
      <w:r w:rsidRPr="00703A0B">
        <w:rPr>
          <w:rFonts w:eastAsia="Arial" w:cs="Arial"/>
        </w:rPr>
        <w:t xml:space="preserve"> </w:t>
      </w:r>
      <w:r w:rsidR="00984912" w:rsidRPr="00703A0B">
        <w:rPr>
          <w:rFonts w:eastAsia="Arial" w:cs="Arial"/>
        </w:rPr>
        <w:t xml:space="preserve">referred </w:t>
      </w:r>
      <w:r w:rsidR="00247950" w:rsidRPr="00703A0B">
        <w:rPr>
          <w:rFonts w:eastAsia="Arial" w:cs="Arial"/>
        </w:rPr>
        <w:t xml:space="preserve">to conciliation </w:t>
      </w:r>
      <w:r w:rsidRPr="00703A0B">
        <w:rPr>
          <w:rFonts w:eastAsia="Arial" w:cs="Arial"/>
        </w:rPr>
        <w:t xml:space="preserve">resulting in </w:t>
      </w:r>
      <w:r w:rsidR="00DB345D" w:rsidRPr="00703A0B">
        <w:rPr>
          <w:rFonts w:eastAsia="Arial" w:cs="Arial"/>
        </w:rPr>
        <w:t xml:space="preserve">collaborative </w:t>
      </w:r>
      <w:r w:rsidRPr="00703A0B">
        <w:rPr>
          <w:rFonts w:eastAsia="Arial" w:cs="Arial"/>
        </w:rPr>
        <w:t>agreements</w:t>
      </w:r>
      <w:r w:rsidR="00A059AD" w:rsidRPr="00703A0B">
        <w:rPr>
          <w:rFonts w:eastAsia="Arial" w:cs="Arial"/>
        </w:rPr>
        <w:t xml:space="preserve"> between </w:t>
      </w:r>
      <w:proofErr w:type="gramStart"/>
      <w:r w:rsidR="00A059AD" w:rsidRPr="00703A0B">
        <w:rPr>
          <w:rFonts w:eastAsia="Arial" w:cs="Arial"/>
        </w:rPr>
        <w:t>home owners</w:t>
      </w:r>
      <w:proofErr w:type="gramEnd"/>
      <w:r w:rsidR="00A059AD" w:rsidRPr="00703A0B">
        <w:rPr>
          <w:rFonts w:eastAsia="Arial" w:cs="Arial"/>
        </w:rPr>
        <w:t xml:space="preserve"> and contractors</w:t>
      </w:r>
      <w:r w:rsidRPr="00703A0B">
        <w:rPr>
          <w:rFonts w:eastAsia="Arial" w:cs="Arial"/>
        </w:rPr>
        <w:t>.</w:t>
      </w:r>
      <w:r w:rsidR="00D74C54" w:rsidRPr="00703A0B">
        <w:rPr>
          <w:rFonts w:eastAsia="Arial" w:cs="Arial"/>
        </w:rPr>
        <w:t xml:space="preserve"> </w:t>
      </w:r>
      <w:r w:rsidR="00072465" w:rsidRPr="00703A0B">
        <w:rPr>
          <w:rFonts w:eastAsia="Arial" w:cs="Arial"/>
        </w:rPr>
        <w:t>An i</w:t>
      </w:r>
      <w:r w:rsidR="008253AA" w:rsidRPr="00703A0B">
        <w:rPr>
          <w:rFonts w:eastAsia="Arial" w:cs="Arial"/>
        </w:rPr>
        <w:t>ncrease in t</w:t>
      </w:r>
      <w:r w:rsidR="00D74C54" w:rsidRPr="00703A0B">
        <w:rPr>
          <w:rFonts w:eastAsia="Arial" w:cs="Arial"/>
        </w:rPr>
        <w:t>he proportion of cases</w:t>
      </w:r>
      <w:r w:rsidR="00072465" w:rsidRPr="00703A0B">
        <w:rPr>
          <w:rFonts w:eastAsia="Arial" w:cs="Arial"/>
        </w:rPr>
        <w:t xml:space="preserve"> </w:t>
      </w:r>
      <w:r w:rsidR="00E33160" w:rsidRPr="00703A0B">
        <w:rPr>
          <w:rFonts w:eastAsia="Arial" w:cs="Arial"/>
        </w:rPr>
        <w:t>reaching full agreement</w:t>
      </w:r>
      <w:r w:rsidR="00D74C54" w:rsidRPr="00703A0B">
        <w:rPr>
          <w:rFonts w:eastAsia="Arial" w:cs="Arial"/>
        </w:rPr>
        <w:t xml:space="preserve"> </w:t>
      </w:r>
      <w:r w:rsidR="006447AA" w:rsidRPr="00703A0B">
        <w:rPr>
          <w:rFonts w:eastAsia="Arial" w:cs="Arial"/>
        </w:rPr>
        <w:t xml:space="preserve">reflects </w:t>
      </w:r>
      <w:r w:rsidR="0040703C" w:rsidRPr="00703A0B">
        <w:rPr>
          <w:rFonts w:eastAsia="Arial" w:cs="Arial"/>
        </w:rPr>
        <w:t>i</w:t>
      </w:r>
      <w:r w:rsidR="004F6496" w:rsidRPr="00703A0B">
        <w:rPr>
          <w:rFonts w:eastAsia="Arial" w:cs="Arial"/>
        </w:rPr>
        <w:t xml:space="preserve">mproved effectiveness </w:t>
      </w:r>
      <w:r w:rsidR="00B111DC" w:rsidRPr="00703A0B">
        <w:rPr>
          <w:rFonts w:eastAsia="Arial" w:cs="Arial"/>
        </w:rPr>
        <w:t xml:space="preserve">of conciliation services </w:t>
      </w:r>
      <w:r w:rsidR="004F6496" w:rsidRPr="00703A0B">
        <w:rPr>
          <w:rFonts w:eastAsia="Arial" w:cs="Arial"/>
        </w:rPr>
        <w:t xml:space="preserve">in achieving complete </w:t>
      </w:r>
      <w:r w:rsidR="006B3AA0" w:rsidRPr="00703A0B">
        <w:rPr>
          <w:rFonts w:eastAsia="Arial" w:cs="Arial"/>
        </w:rPr>
        <w:t xml:space="preserve">dispute </w:t>
      </w:r>
      <w:r w:rsidR="004F6496" w:rsidRPr="00703A0B">
        <w:rPr>
          <w:rFonts w:eastAsia="Arial" w:cs="Arial"/>
        </w:rPr>
        <w:t>resolution</w:t>
      </w:r>
      <w:r w:rsidR="004E57AA" w:rsidRPr="00703A0B">
        <w:rPr>
          <w:rFonts w:eastAsia="Arial" w:cs="Arial"/>
        </w:rPr>
        <w:t xml:space="preserve"> and supporting timely</w:t>
      </w:r>
      <w:r w:rsidR="003D4B64" w:rsidRPr="00703A0B">
        <w:rPr>
          <w:rFonts w:eastAsia="Arial" w:cs="Arial"/>
        </w:rPr>
        <w:t xml:space="preserve"> practical</w:t>
      </w:r>
      <w:r w:rsidR="004E57AA" w:rsidRPr="00703A0B">
        <w:rPr>
          <w:rFonts w:eastAsia="Arial" w:cs="Arial"/>
        </w:rPr>
        <w:t xml:space="preserve"> outcomes</w:t>
      </w:r>
      <w:r w:rsidR="003D4B64" w:rsidRPr="00703A0B">
        <w:rPr>
          <w:rFonts w:eastAsia="Arial" w:cs="Arial"/>
        </w:rPr>
        <w:t xml:space="preserve"> for all parties</w:t>
      </w:r>
      <w:r w:rsidR="000A12F7" w:rsidRPr="00703A0B">
        <w:rPr>
          <w:rFonts w:eastAsia="Arial" w:cs="Arial"/>
        </w:rPr>
        <w:t>.</w:t>
      </w:r>
      <w:r w:rsidR="00E211E9" w:rsidRPr="00703A0B" w:rsidDel="000A12F7">
        <w:rPr>
          <w:rFonts w:eastAsia="Arial" w:cs="Arial"/>
        </w:rPr>
        <w:t xml:space="preserve"> </w:t>
      </w:r>
      <w:r w:rsidR="00622A10" w:rsidRPr="00703A0B">
        <w:rPr>
          <w:rFonts w:eastAsia="Arial" w:cs="Arial"/>
        </w:rPr>
        <w:t>Correspondingly,</w:t>
      </w:r>
      <w:r w:rsidR="00622A10" w:rsidRPr="00703A0B" w:rsidDel="00D350CC">
        <w:rPr>
          <w:rFonts w:eastAsia="Arial" w:cs="Arial"/>
        </w:rPr>
        <w:t xml:space="preserve"> </w:t>
      </w:r>
      <w:r w:rsidR="000A12F7" w:rsidRPr="00703A0B">
        <w:rPr>
          <w:rFonts w:eastAsia="Arial" w:cs="Arial"/>
        </w:rPr>
        <w:t xml:space="preserve">decline in the </w:t>
      </w:r>
      <w:r w:rsidR="001934D9" w:rsidRPr="00703A0B">
        <w:rPr>
          <w:rFonts w:eastAsia="Arial" w:cs="Arial"/>
        </w:rPr>
        <w:t>proportion of matters r</w:t>
      </w:r>
      <w:r w:rsidR="00D90559" w:rsidRPr="00703A0B">
        <w:rPr>
          <w:rFonts w:eastAsia="Arial" w:cs="Arial"/>
        </w:rPr>
        <w:t xml:space="preserve">esulting in </w:t>
      </w:r>
      <w:r w:rsidR="001934D9" w:rsidRPr="00703A0B">
        <w:rPr>
          <w:rFonts w:eastAsia="Arial" w:cs="Arial"/>
        </w:rPr>
        <w:t>partial</w:t>
      </w:r>
      <w:r w:rsidR="00E211E9" w:rsidRPr="00703A0B">
        <w:rPr>
          <w:rFonts w:eastAsia="Arial" w:cs="Arial"/>
        </w:rPr>
        <w:t>,</w:t>
      </w:r>
      <w:r w:rsidR="001D7D9A" w:rsidRPr="00703A0B">
        <w:rPr>
          <w:rFonts w:eastAsia="Arial" w:cs="Arial"/>
        </w:rPr>
        <w:t xml:space="preserve"> </w:t>
      </w:r>
      <w:r w:rsidR="00E211E9" w:rsidRPr="00703A0B">
        <w:rPr>
          <w:rFonts w:eastAsia="Arial" w:cs="Arial"/>
        </w:rPr>
        <w:t>procedural or in-</w:t>
      </w:r>
      <w:proofErr w:type="gramStart"/>
      <w:r w:rsidR="00E211E9" w:rsidRPr="00703A0B">
        <w:rPr>
          <w:rFonts w:eastAsia="Arial" w:cs="Arial"/>
        </w:rPr>
        <w:t>principle</w:t>
      </w:r>
      <w:proofErr w:type="gramEnd"/>
      <w:r w:rsidR="00E211E9" w:rsidRPr="00703A0B">
        <w:rPr>
          <w:rFonts w:eastAsia="Arial" w:cs="Arial"/>
        </w:rPr>
        <w:t xml:space="preserve"> agreements </w:t>
      </w:r>
      <w:proofErr w:type="gramStart"/>
      <w:r w:rsidR="00120F66" w:rsidRPr="00703A0B">
        <w:rPr>
          <w:rFonts w:eastAsia="Arial" w:cs="Arial"/>
        </w:rPr>
        <w:t>indicate</w:t>
      </w:r>
      <w:r w:rsidR="00063852" w:rsidRPr="00703A0B">
        <w:rPr>
          <w:rFonts w:eastAsia="Arial" w:cs="Arial"/>
        </w:rPr>
        <w:t>s</w:t>
      </w:r>
      <w:proofErr w:type="gramEnd"/>
      <w:r w:rsidR="005172F3" w:rsidRPr="00703A0B">
        <w:rPr>
          <w:rFonts w:eastAsia="Arial" w:cs="Arial"/>
        </w:rPr>
        <w:t xml:space="preserve"> that</w:t>
      </w:r>
      <w:r w:rsidR="00120F66" w:rsidRPr="00703A0B">
        <w:rPr>
          <w:rFonts w:eastAsia="Arial" w:cs="Arial"/>
        </w:rPr>
        <w:t xml:space="preserve"> </w:t>
      </w:r>
      <w:r w:rsidR="00A738B0" w:rsidRPr="00703A0B">
        <w:rPr>
          <w:rFonts w:eastAsia="Arial" w:cs="Arial"/>
        </w:rPr>
        <w:t>more</w:t>
      </w:r>
      <w:r w:rsidR="005172F3" w:rsidRPr="00703A0B">
        <w:rPr>
          <w:rFonts w:eastAsia="Arial" w:cs="Arial"/>
        </w:rPr>
        <w:t xml:space="preserve"> </w:t>
      </w:r>
      <w:r w:rsidR="00735F22" w:rsidRPr="00703A0B">
        <w:rPr>
          <w:rFonts w:eastAsia="Arial" w:cs="Arial"/>
        </w:rPr>
        <w:t xml:space="preserve">disputes </w:t>
      </w:r>
      <w:r w:rsidR="005172F3" w:rsidRPr="00703A0B">
        <w:rPr>
          <w:rFonts w:eastAsia="Arial" w:cs="Arial"/>
        </w:rPr>
        <w:t xml:space="preserve">are being </w:t>
      </w:r>
      <w:r w:rsidR="00735F22" w:rsidRPr="00703A0B">
        <w:rPr>
          <w:rFonts w:eastAsia="Arial" w:cs="Arial"/>
        </w:rPr>
        <w:t>resolved</w:t>
      </w:r>
      <w:r w:rsidR="00EF7DF5" w:rsidRPr="00703A0B">
        <w:rPr>
          <w:rFonts w:eastAsia="Arial" w:cs="Arial"/>
        </w:rPr>
        <w:t xml:space="preserve"> </w:t>
      </w:r>
      <w:r w:rsidR="006B6B36" w:rsidRPr="00703A0B">
        <w:rPr>
          <w:rFonts w:eastAsia="Arial" w:cs="Arial"/>
        </w:rPr>
        <w:t>successfully</w:t>
      </w:r>
      <w:r w:rsidR="00EF7DF5" w:rsidRPr="00703A0B">
        <w:rPr>
          <w:rFonts w:eastAsia="Arial" w:cs="Arial"/>
        </w:rPr>
        <w:t xml:space="preserve"> without the need for further escalation</w:t>
      </w:r>
      <w:r w:rsidR="00735F22" w:rsidRPr="00703A0B">
        <w:rPr>
          <w:rFonts w:eastAsia="Arial" w:cs="Arial"/>
        </w:rPr>
        <w:t xml:space="preserve">. </w:t>
      </w:r>
      <w:r w:rsidR="003B4C26" w:rsidRPr="00703A0B">
        <w:rPr>
          <w:rFonts w:eastAsia="Arial" w:cs="Arial"/>
        </w:rPr>
        <w:t>Higher rates of complete</w:t>
      </w:r>
      <w:r w:rsidR="007A0D7F" w:rsidRPr="00703A0B">
        <w:rPr>
          <w:rFonts w:eastAsia="Arial" w:cs="Arial"/>
        </w:rPr>
        <w:t>d</w:t>
      </w:r>
      <w:r w:rsidR="003B4C26" w:rsidRPr="00703A0B">
        <w:rPr>
          <w:rFonts w:eastAsia="Arial" w:cs="Arial"/>
        </w:rPr>
        <w:t xml:space="preserve"> resolution</w:t>
      </w:r>
      <w:r w:rsidR="007A0D7F" w:rsidRPr="00703A0B">
        <w:rPr>
          <w:rFonts w:eastAsia="Arial" w:cs="Arial"/>
        </w:rPr>
        <w:t>s</w:t>
      </w:r>
      <w:r w:rsidR="003B4C26" w:rsidRPr="00703A0B">
        <w:rPr>
          <w:rFonts w:eastAsia="Arial" w:cs="Arial"/>
        </w:rPr>
        <w:t xml:space="preserve"> </w:t>
      </w:r>
      <w:r w:rsidR="00D318BE" w:rsidRPr="00703A0B">
        <w:rPr>
          <w:rFonts w:eastAsia="Arial" w:cs="Arial"/>
        </w:rPr>
        <w:t>reduce</w:t>
      </w:r>
      <w:r w:rsidR="004843E2" w:rsidRPr="00703A0B">
        <w:rPr>
          <w:rFonts w:eastAsia="Arial" w:cs="Arial"/>
        </w:rPr>
        <w:t xml:space="preserve"> </w:t>
      </w:r>
      <w:r w:rsidR="004F4539" w:rsidRPr="00703A0B">
        <w:rPr>
          <w:rFonts w:eastAsia="Arial" w:cs="Arial"/>
        </w:rPr>
        <w:t>dispute-related costs</w:t>
      </w:r>
      <w:r w:rsidR="009C1FF6" w:rsidRPr="00703A0B">
        <w:rPr>
          <w:rFonts w:eastAsia="Arial" w:cs="Arial"/>
        </w:rPr>
        <w:t>,</w:t>
      </w:r>
      <w:r w:rsidR="00F73951" w:rsidRPr="00703A0B">
        <w:rPr>
          <w:rFonts w:eastAsia="Arial" w:cs="Arial"/>
        </w:rPr>
        <w:t xml:space="preserve"> </w:t>
      </w:r>
      <w:r w:rsidR="00E60FA7" w:rsidRPr="00703A0B">
        <w:rPr>
          <w:rFonts w:eastAsia="Arial" w:cs="Arial"/>
        </w:rPr>
        <w:t>minimise</w:t>
      </w:r>
      <w:r w:rsidR="004F4539" w:rsidRPr="00703A0B">
        <w:rPr>
          <w:rFonts w:eastAsia="Arial" w:cs="Arial"/>
        </w:rPr>
        <w:t xml:space="preserve"> </w:t>
      </w:r>
      <w:r w:rsidR="009F26A7" w:rsidRPr="00703A0B">
        <w:rPr>
          <w:rFonts w:eastAsia="Arial" w:cs="Arial"/>
        </w:rPr>
        <w:t>project disruption</w:t>
      </w:r>
      <w:r w:rsidR="009C1FF6" w:rsidRPr="00703A0B">
        <w:rPr>
          <w:rFonts w:eastAsia="Arial" w:cs="Arial"/>
        </w:rPr>
        <w:t xml:space="preserve"> and </w:t>
      </w:r>
      <w:r w:rsidR="00DB7A8E" w:rsidRPr="00703A0B">
        <w:rPr>
          <w:rFonts w:eastAsia="Arial" w:cs="Arial"/>
        </w:rPr>
        <w:t xml:space="preserve">provide greater </w:t>
      </w:r>
      <w:r w:rsidR="009C1FF6" w:rsidRPr="00703A0B">
        <w:rPr>
          <w:rFonts w:eastAsia="Arial" w:cs="Arial"/>
        </w:rPr>
        <w:t xml:space="preserve">certainty for </w:t>
      </w:r>
      <w:r w:rsidR="00DB7A8E" w:rsidRPr="00703A0B">
        <w:rPr>
          <w:rFonts w:eastAsia="Arial" w:cs="Arial"/>
        </w:rPr>
        <w:t xml:space="preserve">both </w:t>
      </w:r>
      <w:proofErr w:type="gramStart"/>
      <w:r w:rsidR="009C1FF6" w:rsidRPr="00703A0B">
        <w:rPr>
          <w:rFonts w:eastAsia="Arial" w:cs="Arial"/>
        </w:rPr>
        <w:t>home owners</w:t>
      </w:r>
      <w:proofErr w:type="gramEnd"/>
      <w:r w:rsidR="009C1FF6" w:rsidRPr="00703A0B">
        <w:rPr>
          <w:rFonts w:eastAsia="Arial" w:cs="Arial"/>
        </w:rPr>
        <w:t xml:space="preserve"> and contractors</w:t>
      </w:r>
      <w:r w:rsidR="003C3FE5" w:rsidRPr="00703A0B">
        <w:rPr>
          <w:rFonts w:eastAsia="Arial" w:cs="Arial"/>
        </w:rPr>
        <w:t xml:space="preserve">. The </w:t>
      </w:r>
      <w:r w:rsidR="00DB7A8E" w:rsidRPr="00703A0B">
        <w:rPr>
          <w:rFonts w:eastAsia="Arial" w:cs="Arial"/>
        </w:rPr>
        <w:t>ongoing</w:t>
      </w:r>
      <w:r w:rsidR="003C3FE5" w:rsidRPr="00703A0B">
        <w:rPr>
          <w:rFonts w:eastAsia="Arial" w:cs="Arial"/>
        </w:rPr>
        <w:t xml:space="preserve"> </w:t>
      </w:r>
      <w:r w:rsidR="00A92EDC" w:rsidRPr="00703A0B">
        <w:rPr>
          <w:rFonts w:eastAsia="Arial" w:cs="Arial"/>
        </w:rPr>
        <w:t>success</w:t>
      </w:r>
      <w:r w:rsidR="003C3FE5" w:rsidRPr="00703A0B">
        <w:rPr>
          <w:rFonts w:eastAsia="Arial" w:cs="Arial"/>
        </w:rPr>
        <w:t xml:space="preserve"> of mediation and conciliation </w:t>
      </w:r>
      <w:r w:rsidR="00A92EDC" w:rsidRPr="00703A0B">
        <w:rPr>
          <w:rFonts w:eastAsia="Arial" w:cs="Arial"/>
        </w:rPr>
        <w:t xml:space="preserve">services </w:t>
      </w:r>
      <w:r w:rsidR="003C3FE5" w:rsidRPr="00703A0B">
        <w:rPr>
          <w:rFonts w:eastAsia="Arial" w:cs="Arial"/>
        </w:rPr>
        <w:t>also help</w:t>
      </w:r>
      <w:r w:rsidR="00DC7E4C" w:rsidRPr="00703A0B">
        <w:rPr>
          <w:rFonts w:eastAsia="Arial" w:cs="Arial"/>
        </w:rPr>
        <w:t>ed</w:t>
      </w:r>
      <w:r w:rsidR="003C3FE5" w:rsidRPr="00703A0B">
        <w:rPr>
          <w:rFonts w:eastAsia="Arial" w:cs="Arial"/>
        </w:rPr>
        <w:t xml:space="preserve"> </w:t>
      </w:r>
      <w:r w:rsidR="00961D2B" w:rsidRPr="00703A0B">
        <w:rPr>
          <w:rFonts w:eastAsia="Arial" w:cs="Arial"/>
        </w:rPr>
        <w:t>lessen</w:t>
      </w:r>
      <w:r w:rsidR="003C3FE5" w:rsidRPr="00703A0B">
        <w:rPr>
          <w:rFonts w:eastAsia="Arial" w:cs="Arial"/>
        </w:rPr>
        <w:t xml:space="preserve"> the financial</w:t>
      </w:r>
      <w:r w:rsidR="00BF3633" w:rsidRPr="00703A0B">
        <w:rPr>
          <w:rFonts w:eastAsia="Arial" w:cs="Arial"/>
        </w:rPr>
        <w:t>,</w:t>
      </w:r>
      <w:r w:rsidR="003C3FE5" w:rsidRPr="00703A0B" w:rsidDel="00BF3633">
        <w:rPr>
          <w:rFonts w:eastAsia="Arial" w:cs="Arial"/>
        </w:rPr>
        <w:t xml:space="preserve"> </w:t>
      </w:r>
      <w:r w:rsidR="003C3FE5" w:rsidRPr="00703A0B">
        <w:rPr>
          <w:rFonts w:eastAsia="Arial" w:cs="Arial"/>
        </w:rPr>
        <w:t>time</w:t>
      </w:r>
      <w:r w:rsidR="00BF3633" w:rsidRPr="00703A0B">
        <w:rPr>
          <w:rFonts w:eastAsia="Arial" w:cs="Arial"/>
        </w:rPr>
        <w:t xml:space="preserve"> and personal</w:t>
      </w:r>
      <w:r w:rsidR="003C3FE5" w:rsidRPr="00703A0B">
        <w:rPr>
          <w:rFonts w:eastAsia="Arial" w:cs="Arial"/>
        </w:rPr>
        <w:t xml:space="preserve"> impacts </w:t>
      </w:r>
      <w:r w:rsidR="003A1DAA" w:rsidRPr="00703A0B">
        <w:rPr>
          <w:rFonts w:eastAsia="Arial" w:cs="Arial"/>
        </w:rPr>
        <w:t xml:space="preserve">often </w:t>
      </w:r>
      <w:r w:rsidR="003C3FE5" w:rsidRPr="00703A0B">
        <w:rPr>
          <w:rFonts w:eastAsia="Arial" w:cs="Arial"/>
        </w:rPr>
        <w:t>associated with building disputes</w:t>
      </w:r>
      <w:r w:rsidR="008246E4" w:rsidRPr="00703A0B">
        <w:rPr>
          <w:rFonts w:eastAsia="Arial" w:cs="Arial"/>
        </w:rPr>
        <w:t>,</w:t>
      </w:r>
      <w:r w:rsidR="003C3FE5" w:rsidRPr="00703A0B">
        <w:rPr>
          <w:rFonts w:eastAsia="Arial" w:cs="Arial"/>
        </w:rPr>
        <w:t xml:space="preserve"> while promoting collaborative and practical</w:t>
      </w:r>
      <w:r w:rsidR="003C3FE5" w:rsidRPr="00703A0B" w:rsidDel="006C05A2">
        <w:rPr>
          <w:rFonts w:eastAsia="Arial" w:cs="Arial"/>
        </w:rPr>
        <w:t xml:space="preserve"> </w:t>
      </w:r>
      <w:r w:rsidR="00DC7E4C" w:rsidRPr="00703A0B">
        <w:rPr>
          <w:rFonts w:eastAsia="Arial" w:cs="Arial"/>
        </w:rPr>
        <w:t>resolution of issues</w:t>
      </w:r>
      <w:r w:rsidR="003C3FE5" w:rsidRPr="00703A0B">
        <w:rPr>
          <w:rFonts w:eastAsia="Arial" w:cs="Arial"/>
        </w:rPr>
        <w:t>.</w:t>
      </w:r>
      <w:r w:rsidR="009F26A7" w:rsidRPr="00703A0B">
        <w:rPr>
          <w:rFonts w:eastAsia="Arial" w:cs="Arial"/>
        </w:rPr>
        <w:t xml:space="preserve"> </w:t>
      </w:r>
      <w:r w:rsidR="00F73951" w:rsidRPr="00703A0B">
        <w:rPr>
          <w:rFonts w:eastAsia="Arial" w:cs="Arial"/>
        </w:rPr>
        <w:t xml:space="preserve"> </w:t>
      </w:r>
    </w:p>
    <w:p w14:paraId="7E97B206" w14:textId="63322C3C" w:rsidR="00CF6276" w:rsidRPr="00703A0B" w:rsidRDefault="00804B0C" w:rsidP="000F3F27">
      <w:pPr>
        <w:spacing w:before="120" w:after="120"/>
        <w:rPr>
          <w:rFonts w:eastAsia="Arial" w:cs="Arial"/>
        </w:rPr>
      </w:pPr>
      <w:r w:rsidRPr="00703A0B">
        <w:rPr>
          <w:rFonts w:eastAsia="Arial" w:cs="Arial"/>
        </w:rPr>
        <w:t>Together, the QBCC</w:t>
      </w:r>
      <w:r w:rsidR="006556AE" w:rsidRPr="00703A0B">
        <w:rPr>
          <w:rFonts w:eastAsia="Arial" w:cs="Arial"/>
        </w:rPr>
        <w:t>’s</w:t>
      </w:r>
      <w:r w:rsidRPr="00703A0B">
        <w:rPr>
          <w:rFonts w:eastAsia="Arial" w:cs="Arial"/>
        </w:rPr>
        <w:t xml:space="preserve"> dispute resolution services </w:t>
      </w:r>
      <w:r w:rsidR="006556AE" w:rsidRPr="00703A0B">
        <w:rPr>
          <w:rFonts w:eastAsia="Arial" w:cs="Arial"/>
        </w:rPr>
        <w:t xml:space="preserve">demonstrate </w:t>
      </w:r>
      <w:r w:rsidR="00C86FE3" w:rsidRPr="00703A0B">
        <w:rPr>
          <w:rFonts w:eastAsia="Arial" w:cs="Arial"/>
        </w:rPr>
        <w:t xml:space="preserve">the organisation's ability to </w:t>
      </w:r>
      <w:r w:rsidR="00FA50E2" w:rsidRPr="00703A0B">
        <w:rPr>
          <w:rFonts w:eastAsia="Arial" w:cs="Arial"/>
        </w:rPr>
        <w:t xml:space="preserve">deliver outcomes that support consumer protection, </w:t>
      </w:r>
      <w:r w:rsidR="00A631F7" w:rsidRPr="00703A0B">
        <w:rPr>
          <w:rFonts w:eastAsia="Arial" w:cs="Arial"/>
        </w:rPr>
        <w:t xml:space="preserve">strengthen </w:t>
      </w:r>
      <w:r w:rsidR="00F439B4" w:rsidRPr="00703A0B">
        <w:rPr>
          <w:rFonts w:eastAsia="Arial" w:cs="Arial"/>
        </w:rPr>
        <w:t xml:space="preserve">confidence in the </w:t>
      </w:r>
      <w:r w:rsidR="00EB6DD4" w:rsidRPr="00703A0B">
        <w:rPr>
          <w:rFonts w:eastAsia="Arial" w:cs="Arial"/>
        </w:rPr>
        <w:t xml:space="preserve">residential construction </w:t>
      </w:r>
      <w:r w:rsidR="00B166EA" w:rsidRPr="00703A0B">
        <w:rPr>
          <w:rFonts w:eastAsia="Arial" w:cs="Arial"/>
        </w:rPr>
        <w:t>sector</w:t>
      </w:r>
      <w:r w:rsidR="00F439B4" w:rsidRPr="00703A0B">
        <w:rPr>
          <w:rFonts w:eastAsia="Arial" w:cs="Arial"/>
        </w:rPr>
        <w:t xml:space="preserve"> and </w:t>
      </w:r>
      <w:r w:rsidR="00781E78" w:rsidRPr="00703A0B">
        <w:rPr>
          <w:rFonts w:eastAsia="Arial" w:cs="Arial"/>
        </w:rPr>
        <w:t>encourage c</w:t>
      </w:r>
      <w:r w:rsidR="001D5B1C" w:rsidRPr="00703A0B">
        <w:rPr>
          <w:rFonts w:eastAsia="Arial" w:cs="Arial"/>
        </w:rPr>
        <w:t xml:space="preserve">onstructive engagement between </w:t>
      </w:r>
      <w:proofErr w:type="gramStart"/>
      <w:r w:rsidR="001D5B1C" w:rsidRPr="00703A0B">
        <w:rPr>
          <w:rFonts w:eastAsia="Arial" w:cs="Arial"/>
        </w:rPr>
        <w:t>home owners</w:t>
      </w:r>
      <w:proofErr w:type="gramEnd"/>
      <w:r w:rsidR="001D5B1C" w:rsidRPr="00703A0B">
        <w:rPr>
          <w:rFonts w:eastAsia="Arial" w:cs="Arial"/>
        </w:rPr>
        <w:t xml:space="preserve"> and contractors. </w:t>
      </w:r>
      <w:r w:rsidR="00F70E09" w:rsidRPr="00703A0B">
        <w:rPr>
          <w:rFonts w:eastAsia="Arial" w:cs="Arial"/>
        </w:rPr>
        <w:t>Effective dispute resolution contributes to a more stable and productive industry by reducing the need for formal enforcement action</w:t>
      </w:r>
      <w:r w:rsidR="00573884" w:rsidRPr="00703A0B">
        <w:rPr>
          <w:rFonts w:eastAsia="Arial" w:cs="Arial"/>
        </w:rPr>
        <w:t xml:space="preserve"> and</w:t>
      </w:r>
      <w:r w:rsidR="00F70E09" w:rsidRPr="00703A0B">
        <w:rPr>
          <w:rFonts w:eastAsia="Arial" w:cs="Arial"/>
        </w:rPr>
        <w:t xml:space="preserve"> lengthy</w:t>
      </w:r>
      <w:r w:rsidR="00573884" w:rsidRPr="00703A0B">
        <w:rPr>
          <w:rFonts w:eastAsia="Arial" w:cs="Arial"/>
        </w:rPr>
        <w:t xml:space="preserve"> </w:t>
      </w:r>
      <w:r w:rsidR="004F51B9" w:rsidRPr="00703A0B">
        <w:rPr>
          <w:rFonts w:eastAsia="Arial" w:cs="Arial"/>
        </w:rPr>
        <w:t>dispute pathways</w:t>
      </w:r>
      <w:r w:rsidR="00F70E09" w:rsidRPr="00703A0B">
        <w:rPr>
          <w:rFonts w:eastAsia="Arial" w:cs="Arial"/>
        </w:rPr>
        <w:t xml:space="preserve">. </w:t>
      </w:r>
      <w:r w:rsidR="007C04A2" w:rsidRPr="00703A0B">
        <w:rPr>
          <w:rFonts w:eastAsia="Arial" w:cs="Arial"/>
        </w:rPr>
        <w:t>While</w:t>
      </w:r>
      <w:r w:rsidR="00603F89" w:rsidRPr="00703A0B">
        <w:rPr>
          <w:rFonts w:eastAsia="Arial" w:cs="Arial"/>
        </w:rPr>
        <w:t xml:space="preserve"> </w:t>
      </w:r>
      <w:r w:rsidR="009A5127" w:rsidRPr="00703A0B">
        <w:rPr>
          <w:rFonts w:eastAsia="Arial" w:cs="Arial"/>
        </w:rPr>
        <w:t>the results are encouraging, c</w:t>
      </w:r>
      <w:r w:rsidR="00F70E09" w:rsidRPr="00703A0B">
        <w:rPr>
          <w:rFonts w:eastAsia="Arial" w:cs="Arial"/>
        </w:rPr>
        <w:t xml:space="preserve">ustomer feedback </w:t>
      </w:r>
      <w:r w:rsidR="005F00E4" w:rsidRPr="00703A0B">
        <w:rPr>
          <w:rFonts w:eastAsia="Arial" w:cs="Arial"/>
        </w:rPr>
        <w:t>presented</w:t>
      </w:r>
      <w:r w:rsidR="004278D8" w:rsidRPr="00703A0B">
        <w:rPr>
          <w:rFonts w:eastAsia="Arial" w:cs="Arial"/>
        </w:rPr>
        <w:t xml:space="preserve"> in </w:t>
      </w:r>
      <w:r w:rsidR="004278D8" w:rsidRPr="00703A0B">
        <w:rPr>
          <w:rFonts w:eastAsia="Arial" w:cs="Arial"/>
        </w:rPr>
        <w:fldChar w:fldCharType="begin"/>
      </w:r>
      <w:r w:rsidR="004278D8" w:rsidRPr="00703A0B">
        <w:rPr>
          <w:rFonts w:eastAsia="Arial" w:cs="Arial"/>
        </w:rPr>
        <w:instrText xml:space="preserve"> REF _Ref234407281 \h </w:instrText>
      </w:r>
      <w:r w:rsidR="004278D8" w:rsidRPr="00703A0B">
        <w:rPr>
          <w:rFonts w:eastAsia="Arial" w:cs="Arial"/>
        </w:rPr>
      </w:r>
      <w:r w:rsidR="004278D8" w:rsidRPr="00703A0B">
        <w:rPr>
          <w:rFonts w:eastAsia="Arial" w:cs="Arial"/>
        </w:rPr>
        <w:fldChar w:fldCharType="separate"/>
      </w:r>
      <w:r w:rsidR="004278D8" w:rsidRPr="00703A0B">
        <w:t xml:space="preserve">Table </w:t>
      </w:r>
      <w:r w:rsidR="00507FBB" w:rsidRPr="00EA647C">
        <w:t>6</w:t>
      </w:r>
      <w:r w:rsidR="004278D8" w:rsidRPr="00703A0B">
        <w:rPr>
          <w:rFonts w:eastAsia="Arial" w:cs="Arial"/>
        </w:rPr>
        <w:fldChar w:fldCharType="end"/>
      </w:r>
      <w:r w:rsidR="004278D8" w:rsidRPr="00703A0B">
        <w:rPr>
          <w:rFonts w:eastAsia="Arial" w:cs="Arial"/>
        </w:rPr>
        <w:t xml:space="preserve"> </w:t>
      </w:r>
      <w:r w:rsidR="00677145" w:rsidRPr="00703A0B">
        <w:rPr>
          <w:rFonts w:eastAsia="Arial" w:cs="Arial"/>
        </w:rPr>
        <w:t>highlights opportunities to</w:t>
      </w:r>
      <w:r w:rsidR="00085427" w:rsidRPr="00703A0B">
        <w:rPr>
          <w:rFonts w:eastAsia="Arial" w:cs="Arial"/>
        </w:rPr>
        <w:t xml:space="preserve"> </w:t>
      </w:r>
      <w:r w:rsidR="000C2A03" w:rsidRPr="00703A0B">
        <w:rPr>
          <w:rFonts w:eastAsia="Arial" w:cs="Arial"/>
        </w:rPr>
        <w:t>further</w:t>
      </w:r>
      <w:r w:rsidR="00085427" w:rsidRPr="00703A0B">
        <w:rPr>
          <w:rFonts w:eastAsia="Arial" w:cs="Arial"/>
        </w:rPr>
        <w:t xml:space="preserve"> </w:t>
      </w:r>
      <w:r w:rsidR="009438C8" w:rsidRPr="00703A0B">
        <w:rPr>
          <w:rFonts w:eastAsia="Arial" w:cs="Arial"/>
        </w:rPr>
        <w:t xml:space="preserve">improve the </w:t>
      </w:r>
      <w:r w:rsidR="00677145" w:rsidRPr="00703A0B">
        <w:rPr>
          <w:rFonts w:eastAsia="Arial" w:cs="Arial"/>
        </w:rPr>
        <w:t xml:space="preserve">effectiveness </w:t>
      </w:r>
      <w:r w:rsidR="009438C8" w:rsidRPr="00703A0B">
        <w:rPr>
          <w:rFonts w:eastAsia="Arial" w:cs="Arial"/>
        </w:rPr>
        <w:t xml:space="preserve">and value </w:t>
      </w:r>
      <w:r w:rsidR="00F70E09" w:rsidRPr="00703A0B">
        <w:rPr>
          <w:rFonts w:eastAsia="Arial" w:cs="Arial"/>
        </w:rPr>
        <w:t xml:space="preserve">of </w:t>
      </w:r>
      <w:r w:rsidR="009A5127" w:rsidRPr="00703A0B">
        <w:rPr>
          <w:rFonts w:eastAsia="Arial" w:cs="Arial"/>
        </w:rPr>
        <w:t>the</w:t>
      </w:r>
      <w:r w:rsidR="00421E5E" w:rsidRPr="00703A0B">
        <w:rPr>
          <w:rFonts w:eastAsia="Arial" w:cs="Arial"/>
        </w:rPr>
        <w:t>se</w:t>
      </w:r>
      <w:r w:rsidR="006E4AF9" w:rsidRPr="00703A0B">
        <w:rPr>
          <w:rFonts w:eastAsia="Arial" w:cs="Arial"/>
        </w:rPr>
        <w:t xml:space="preserve"> </w:t>
      </w:r>
      <w:r w:rsidR="00F70E09" w:rsidRPr="00703A0B">
        <w:rPr>
          <w:rFonts w:eastAsia="Arial" w:cs="Arial"/>
        </w:rPr>
        <w:t>services</w:t>
      </w:r>
      <w:r w:rsidR="00CD33B2" w:rsidRPr="00703A0B">
        <w:rPr>
          <w:rFonts w:eastAsia="Arial" w:cs="Arial"/>
        </w:rPr>
        <w:t>.</w:t>
      </w:r>
    </w:p>
    <w:p w14:paraId="7DD23EA5" w14:textId="262A9999" w:rsidR="00085226" w:rsidRPr="00703A0B" w:rsidRDefault="002E7408" w:rsidP="002E7408">
      <w:pPr>
        <w:pStyle w:val="Caption"/>
        <w:keepNext/>
        <w:rPr>
          <w:rFonts w:eastAsia="Arial"/>
          <w:b w:val="0"/>
          <w:bCs/>
        </w:rPr>
      </w:pPr>
      <w:bookmarkStart w:id="54" w:name="_Ref234407281"/>
      <w:r w:rsidRPr="00703A0B">
        <w:t xml:space="preserve">Table </w:t>
      </w:r>
      <w:r w:rsidRPr="00703A0B">
        <w:fldChar w:fldCharType="begin"/>
      </w:r>
      <w:r w:rsidRPr="00703A0B">
        <w:instrText>SEQ Table \* ARABIC</w:instrText>
      </w:r>
      <w:r w:rsidRPr="00703A0B">
        <w:fldChar w:fldCharType="separate"/>
      </w:r>
      <w:r w:rsidR="003764AA" w:rsidRPr="00EA647C">
        <w:t>6</w:t>
      </w:r>
      <w:r w:rsidRPr="00703A0B">
        <w:fldChar w:fldCharType="end"/>
      </w:r>
      <w:bookmarkEnd w:id="54"/>
      <w:r w:rsidR="00085226" w:rsidRPr="00703A0B">
        <w:rPr>
          <w:rFonts w:eastAsia="Arial"/>
        </w:rPr>
        <w:t xml:space="preserve">: </w:t>
      </w:r>
      <w:r w:rsidR="00293DF4" w:rsidRPr="00703A0B">
        <w:rPr>
          <w:rFonts w:eastAsia="Arial"/>
        </w:rPr>
        <w:t>Customer</w:t>
      </w:r>
      <w:r w:rsidR="004447C5" w:rsidRPr="00703A0B">
        <w:rPr>
          <w:rFonts w:eastAsia="Arial"/>
        </w:rPr>
        <w:t xml:space="preserve"> feedback </w:t>
      </w:r>
      <w:r w:rsidR="00542376" w:rsidRPr="00703A0B">
        <w:rPr>
          <w:rFonts w:eastAsia="Arial"/>
        </w:rPr>
        <w:t>on dispute resolution services</w:t>
      </w:r>
      <w:r w:rsidR="002D5D08" w:rsidRPr="00703A0B">
        <w:rPr>
          <w:rFonts w:eastAsia="Arial"/>
        </w:rPr>
        <w:t xml:space="preserve"> during the reporting period</w:t>
      </w:r>
    </w:p>
    <w:tbl>
      <w:tblPr>
        <w:tblStyle w:val="TableGrid"/>
        <w:tblW w:w="0" w:type="auto"/>
        <w:tblCellMar>
          <w:top w:w="28" w:type="dxa"/>
          <w:bottom w:w="28" w:type="dxa"/>
        </w:tblCellMar>
        <w:tblLook w:val="04A0" w:firstRow="1" w:lastRow="0" w:firstColumn="1" w:lastColumn="0" w:noHBand="0" w:noVBand="1"/>
      </w:tblPr>
      <w:tblGrid>
        <w:gridCol w:w="8642"/>
        <w:gridCol w:w="1701"/>
      </w:tblGrid>
      <w:tr w:rsidR="00B84EF7" w:rsidRPr="00703A0B" w14:paraId="3F98C5CD" w14:textId="77777777" w:rsidTr="00466E0A">
        <w:tc>
          <w:tcPr>
            <w:tcW w:w="8642" w:type="dxa"/>
            <w:shd w:val="clear" w:color="auto" w:fill="BFBFBF" w:themeFill="background1" w:themeFillShade="BF"/>
            <w:hideMark/>
          </w:tcPr>
          <w:p w14:paraId="1811BF56" w14:textId="55992E4F" w:rsidR="00B84EF7" w:rsidRPr="00703A0B" w:rsidRDefault="00656FB4" w:rsidP="00466E0A">
            <w:pPr>
              <w:rPr>
                <w:rFonts w:eastAsia="Arial" w:cs="Arial"/>
                <w:b/>
                <w:bCs/>
              </w:rPr>
            </w:pPr>
            <w:r w:rsidRPr="00703A0B">
              <w:rPr>
                <w:rFonts w:eastAsia="Arial" w:cs="Arial"/>
                <w:b/>
                <w:bCs/>
              </w:rPr>
              <w:t>Customer f</w:t>
            </w:r>
            <w:r w:rsidR="00663A26" w:rsidRPr="00703A0B">
              <w:rPr>
                <w:rFonts w:eastAsia="Arial" w:cs="Arial"/>
                <w:b/>
                <w:bCs/>
              </w:rPr>
              <w:t>eedback</w:t>
            </w:r>
          </w:p>
        </w:tc>
        <w:tc>
          <w:tcPr>
            <w:tcW w:w="1701" w:type="dxa"/>
            <w:shd w:val="clear" w:color="auto" w:fill="BFBFBF" w:themeFill="background1" w:themeFillShade="BF"/>
            <w:hideMark/>
          </w:tcPr>
          <w:p w14:paraId="7BE5F299" w14:textId="7348CE78" w:rsidR="00B84EF7" w:rsidRPr="00703A0B" w:rsidRDefault="00B84EF7" w:rsidP="00466E0A">
            <w:pPr>
              <w:rPr>
                <w:rFonts w:eastAsia="Arial" w:cs="Arial"/>
                <w:b/>
                <w:bCs/>
              </w:rPr>
            </w:pPr>
            <w:r w:rsidRPr="00703A0B">
              <w:rPr>
                <w:rFonts w:eastAsia="Arial" w:cs="Arial"/>
                <w:b/>
                <w:bCs/>
              </w:rPr>
              <w:t>2025–26</w:t>
            </w:r>
          </w:p>
        </w:tc>
      </w:tr>
      <w:tr w:rsidR="00B940A9" w:rsidRPr="00703A0B" w14:paraId="1A24B3C1" w14:textId="77777777" w:rsidTr="00466E0A">
        <w:tc>
          <w:tcPr>
            <w:tcW w:w="8642" w:type="dxa"/>
            <w:hideMark/>
          </w:tcPr>
          <w:p w14:paraId="62E92ACD" w14:textId="55D403A1" w:rsidR="00B940A9" w:rsidRPr="00703A0B" w:rsidRDefault="00AE689F" w:rsidP="00466E0A">
            <w:pPr>
              <w:rPr>
                <w:rFonts w:eastAsia="Arial" w:cs="Arial"/>
              </w:rPr>
            </w:pPr>
            <w:r w:rsidRPr="00703A0B">
              <w:rPr>
                <w:rFonts w:eastAsia="Arial" w:cs="Arial"/>
              </w:rPr>
              <w:t>R</w:t>
            </w:r>
            <w:r w:rsidR="001E5E26" w:rsidRPr="00703A0B">
              <w:rPr>
                <w:rFonts w:eastAsia="Arial" w:cs="Arial"/>
              </w:rPr>
              <w:t>eporting</w:t>
            </w:r>
            <w:r w:rsidR="00B940A9" w:rsidRPr="00703A0B">
              <w:rPr>
                <w:rFonts w:eastAsia="Arial" w:cs="Arial"/>
              </w:rPr>
              <w:t xml:space="preserve"> dispute resolution services </w:t>
            </w:r>
            <w:r w:rsidR="001E5E26" w:rsidRPr="00703A0B">
              <w:rPr>
                <w:rFonts w:eastAsia="Arial" w:cs="Arial"/>
              </w:rPr>
              <w:t xml:space="preserve">as </w:t>
            </w:r>
            <w:r w:rsidR="00B940A9" w:rsidRPr="00703A0B">
              <w:rPr>
                <w:rFonts w:eastAsia="Arial" w:cs="Arial"/>
              </w:rPr>
              <w:t>professional</w:t>
            </w:r>
            <w:r w:rsidR="001E5E26" w:rsidRPr="00703A0B">
              <w:rPr>
                <w:rFonts w:eastAsia="Arial" w:cs="Arial"/>
              </w:rPr>
              <w:t>, responsive, accurate and accessible</w:t>
            </w:r>
          </w:p>
        </w:tc>
        <w:tc>
          <w:tcPr>
            <w:tcW w:w="1701" w:type="dxa"/>
            <w:hideMark/>
          </w:tcPr>
          <w:p w14:paraId="261BF8CE" w14:textId="1EF4EB4A" w:rsidR="00B940A9" w:rsidRPr="00703A0B" w:rsidRDefault="000E705E" w:rsidP="00466E0A">
            <w:pPr>
              <w:rPr>
                <w:rFonts w:eastAsia="Arial" w:cs="Arial"/>
                <w:highlight w:val="yellow"/>
              </w:rPr>
            </w:pPr>
            <w:r w:rsidRPr="00703A0B">
              <w:rPr>
                <w:rFonts w:cs="Arial"/>
                <w:bCs/>
                <w:szCs w:val="22"/>
              </w:rPr>
              <w:t>47%</w:t>
            </w:r>
            <w:r w:rsidR="0077686F" w:rsidRPr="00703A0B">
              <w:rPr>
                <w:rStyle w:val="FootnoteReference"/>
                <w:rFonts w:cs="Arial"/>
                <w:bCs/>
                <w:szCs w:val="22"/>
              </w:rPr>
              <w:footnoteReference w:id="7"/>
            </w:r>
          </w:p>
        </w:tc>
      </w:tr>
    </w:tbl>
    <w:p w14:paraId="23FB9787" w14:textId="57AAB21F" w:rsidR="00137C6D" w:rsidRPr="00703A0B" w:rsidRDefault="00137C6D">
      <w:pPr>
        <w:rPr>
          <w:rFonts w:eastAsiaTheme="majorEastAsia" w:cstheme="majorBidi"/>
          <w:sz w:val="28"/>
        </w:rPr>
      </w:pPr>
    </w:p>
    <w:p w14:paraId="141B8E21" w14:textId="1B957FAA" w:rsidR="003B22FD" w:rsidRPr="00703A0B" w:rsidRDefault="003B22FD" w:rsidP="00D73BC7">
      <w:pPr>
        <w:pStyle w:val="Heading3"/>
        <w:rPr>
          <w:rFonts w:eastAsia="Arial" w:cs="Arial"/>
        </w:rPr>
      </w:pPr>
      <w:r w:rsidRPr="00703A0B">
        <w:rPr>
          <w:rFonts w:eastAsia="Arial" w:cs="Arial"/>
        </w:rPr>
        <w:t>Looking ahead</w:t>
      </w:r>
    </w:p>
    <w:p w14:paraId="4B4E2C22" w14:textId="4F4AB31E" w:rsidR="0007356D" w:rsidRPr="00703A0B" w:rsidRDefault="00895EA8" w:rsidP="0007356D">
      <w:pPr>
        <w:spacing w:before="120" w:after="120"/>
        <w:rPr>
          <w:rFonts w:eastAsia="Arial" w:cs="Arial"/>
        </w:rPr>
      </w:pPr>
      <w:r w:rsidRPr="00703A0B">
        <w:rPr>
          <w:rFonts w:eastAsia="Arial" w:cs="Arial"/>
        </w:rPr>
        <w:t>Over the next 12 months</w:t>
      </w:r>
      <w:r w:rsidR="6CFF2D72" w:rsidRPr="00703A0B">
        <w:rPr>
          <w:rFonts w:eastAsia="Arial" w:cs="Arial"/>
        </w:rPr>
        <w:t xml:space="preserve">, the QBCC will continue to </w:t>
      </w:r>
      <w:r w:rsidR="0007356D" w:rsidRPr="00703A0B">
        <w:rPr>
          <w:rFonts w:eastAsia="Arial" w:cs="Arial"/>
        </w:rPr>
        <w:t xml:space="preserve">strengthen </w:t>
      </w:r>
      <w:r w:rsidR="00227EF8" w:rsidRPr="00703A0B">
        <w:rPr>
          <w:rFonts w:eastAsia="Arial" w:cs="Arial"/>
        </w:rPr>
        <w:t>its</w:t>
      </w:r>
      <w:r w:rsidR="0098625D" w:rsidRPr="00703A0B">
        <w:rPr>
          <w:rFonts w:eastAsia="Arial" w:cs="Arial"/>
        </w:rPr>
        <w:t xml:space="preserve"> dispute resolution services </w:t>
      </w:r>
      <w:r w:rsidR="00305CBF" w:rsidRPr="00703A0B">
        <w:rPr>
          <w:rFonts w:eastAsia="Arial" w:cs="Arial"/>
        </w:rPr>
        <w:t xml:space="preserve">to deliver timely, </w:t>
      </w:r>
      <w:r w:rsidR="00CF168C" w:rsidRPr="00703A0B">
        <w:rPr>
          <w:rFonts w:eastAsia="Arial" w:cs="Arial"/>
        </w:rPr>
        <w:t xml:space="preserve">fair and effective outcomes for consumers and industry. </w:t>
      </w:r>
      <w:r w:rsidR="0007356D" w:rsidRPr="00703A0B">
        <w:rPr>
          <w:rFonts w:eastAsia="Arial" w:cs="Arial"/>
        </w:rPr>
        <w:t xml:space="preserve">A key focus will be </w:t>
      </w:r>
      <w:r w:rsidR="00C641FC" w:rsidRPr="00703A0B">
        <w:rPr>
          <w:rFonts w:eastAsia="Arial" w:cs="Arial"/>
        </w:rPr>
        <w:t>increasing</w:t>
      </w:r>
      <w:r w:rsidR="0007356D" w:rsidRPr="00703A0B">
        <w:rPr>
          <w:rFonts w:eastAsia="Arial" w:cs="Arial"/>
        </w:rPr>
        <w:t xml:space="preserve"> opportunities for early intervention and </w:t>
      </w:r>
      <w:r w:rsidR="00C641FC" w:rsidRPr="00703A0B">
        <w:rPr>
          <w:rFonts w:eastAsia="Arial" w:cs="Arial"/>
        </w:rPr>
        <w:t>expanding</w:t>
      </w:r>
      <w:r w:rsidR="0007356D" w:rsidRPr="00703A0B">
        <w:rPr>
          <w:rFonts w:eastAsia="Arial" w:cs="Arial"/>
        </w:rPr>
        <w:t xml:space="preserve"> the use of </w:t>
      </w:r>
      <w:r w:rsidR="00C641FC" w:rsidRPr="00703A0B">
        <w:rPr>
          <w:rFonts w:eastAsia="Arial" w:cs="Arial"/>
        </w:rPr>
        <w:t>m</w:t>
      </w:r>
      <w:r w:rsidR="0007356D" w:rsidRPr="00703A0B">
        <w:rPr>
          <w:rFonts w:eastAsia="Arial" w:cs="Arial"/>
        </w:rPr>
        <w:t xml:space="preserve">ediation and </w:t>
      </w:r>
      <w:r w:rsidR="00C641FC" w:rsidRPr="00703A0B">
        <w:rPr>
          <w:rFonts w:eastAsia="Arial" w:cs="Arial"/>
        </w:rPr>
        <w:t>c</w:t>
      </w:r>
      <w:r w:rsidR="0007356D" w:rsidRPr="00703A0B">
        <w:rPr>
          <w:rFonts w:eastAsia="Arial" w:cs="Arial"/>
        </w:rPr>
        <w:t>onciliation</w:t>
      </w:r>
      <w:r w:rsidR="00C641FC" w:rsidRPr="00703A0B">
        <w:rPr>
          <w:rFonts w:eastAsia="Arial" w:cs="Arial"/>
        </w:rPr>
        <w:t xml:space="preserve"> to resolve disputes more </w:t>
      </w:r>
      <w:r w:rsidR="00322AA2" w:rsidRPr="00703A0B">
        <w:rPr>
          <w:rFonts w:eastAsia="Arial" w:cs="Arial"/>
        </w:rPr>
        <w:t xml:space="preserve">efficiently </w:t>
      </w:r>
      <w:r w:rsidR="00566788" w:rsidRPr="00703A0B">
        <w:rPr>
          <w:rFonts w:eastAsia="Arial" w:cs="Arial"/>
        </w:rPr>
        <w:t xml:space="preserve">and </w:t>
      </w:r>
      <w:r w:rsidR="0007356D" w:rsidRPr="00703A0B">
        <w:rPr>
          <w:rFonts w:eastAsia="Arial" w:cs="Arial"/>
        </w:rPr>
        <w:t xml:space="preserve">support collaborative </w:t>
      </w:r>
      <w:r w:rsidR="0039344B" w:rsidRPr="00703A0B">
        <w:rPr>
          <w:rFonts w:eastAsia="Arial" w:cs="Arial"/>
        </w:rPr>
        <w:t>outcomes between parties</w:t>
      </w:r>
      <w:r w:rsidR="0007356D" w:rsidRPr="00703A0B">
        <w:rPr>
          <w:rFonts w:eastAsia="Arial" w:cs="Arial"/>
        </w:rPr>
        <w:t>.</w:t>
      </w:r>
    </w:p>
    <w:p w14:paraId="46BB7D62" w14:textId="6EEF441A" w:rsidR="00AB5816" w:rsidRPr="00703A0B" w:rsidRDefault="000A0348" w:rsidP="0007356D">
      <w:pPr>
        <w:spacing w:before="120" w:after="120"/>
        <w:rPr>
          <w:rFonts w:eastAsia="Arial" w:cs="Arial"/>
        </w:rPr>
      </w:pPr>
      <w:r w:rsidRPr="00703A0B">
        <w:rPr>
          <w:rFonts w:eastAsia="Arial" w:cs="Arial"/>
        </w:rPr>
        <w:t>Priority initi</w:t>
      </w:r>
      <w:r w:rsidR="00FF7195" w:rsidRPr="00703A0B">
        <w:rPr>
          <w:rFonts w:eastAsia="Arial" w:cs="Arial"/>
        </w:rPr>
        <w:t xml:space="preserve">atives </w:t>
      </w:r>
      <w:r w:rsidR="006C69F2" w:rsidRPr="00703A0B">
        <w:rPr>
          <w:rFonts w:eastAsia="Arial" w:cs="Arial"/>
        </w:rPr>
        <w:t xml:space="preserve">will </w:t>
      </w:r>
      <w:r w:rsidR="0026472C" w:rsidRPr="00703A0B">
        <w:rPr>
          <w:rFonts w:eastAsia="Arial" w:cs="Arial"/>
        </w:rPr>
        <w:t>focus</w:t>
      </w:r>
      <w:r w:rsidR="00AA60E3" w:rsidRPr="00703A0B">
        <w:rPr>
          <w:rFonts w:eastAsia="Arial" w:cs="Arial"/>
        </w:rPr>
        <w:t xml:space="preserve"> on</w:t>
      </w:r>
      <w:r w:rsidR="00AB5816" w:rsidRPr="00703A0B">
        <w:rPr>
          <w:rFonts w:eastAsia="Arial" w:cs="Arial"/>
        </w:rPr>
        <w:t>:</w:t>
      </w:r>
    </w:p>
    <w:p w14:paraId="279C76E4" w14:textId="77E3BC95" w:rsidR="00DC30BE" w:rsidRPr="00703A0B" w:rsidRDefault="0007356D" w:rsidP="00EF3EB2">
      <w:pPr>
        <w:pStyle w:val="ListParagraph"/>
        <w:numPr>
          <w:ilvl w:val="0"/>
          <w:numId w:val="121"/>
        </w:numPr>
        <w:spacing w:before="120" w:after="120"/>
        <w:ind w:left="714" w:hanging="357"/>
        <w:contextualSpacing w:val="0"/>
        <w:rPr>
          <w:rFonts w:eastAsia="Arial" w:cs="Arial"/>
        </w:rPr>
      </w:pPr>
      <w:r w:rsidRPr="00703A0B">
        <w:rPr>
          <w:rFonts w:eastAsia="Arial" w:cs="Arial"/>
        </w:rPr>
        <w:t>improv</w:t>
      </w:r>
      <w:r w:rsidR="000004E4" w:rsidRPr="00703A0B">
        <w:rPr>
          <w:rFonts w:eastAsia="Arial" w:cs="Arial"/>
        </w:rPr>
        <w:t xml:space="preserve">ing </w:t>
      </w:r>
      <w:r w:rsidRPr="00703A0B">
        <w:rPr>
          <w:rFonts w:eastAsia="Arial" w:cs="Arial"/>
        </w:rPr>
        <w:t>building inspection timeliness</w:t>
      </w:r>
    </w:p>
    <w:p w14:paraId="68E833C5" w14:textId="63A4EF57" w:rsidR="00DC30BE" w:rsidRPr="00703A0B" w:rsidRDefault="0007356D" w:rsidP="00EF3EB2">
      <w:pPr>
        <w:pStyle w:val="ListParagraph"/>
        <w:numPr>
          <w:ilvl w:val="0"/>
          <w:numId w:val="121"/>
        </w:numPr>
        <w:spacing w:before="120" w:after="120"/>
        <w:ind w:left="714" w:hanging="357"/>
        <w:contextualSpacing w:val="0"/>
        <w:rPr>
          <w:rFonts w:eastAsia="Arial" w:cs="Arial"/>
        </w:rPr>
      </w:pPr>
      <w:r w:rsidRPr="00703A0B">
        <w:rPr>
          <w:rFonts w:eastAsia="Arial" w:cs="Arial"/>
        </w:rPr>
        <w:t>enhanc</w:t>
      </w:r>
      <w:r w:rsidR="000004E4" w:rsidRPr="00703A0B">
        <w:rPr>
          <w:rFonts w:eastAsia="Arial" w:cs="Arial"/>
        </w:rPr>
        <w:t xml:space="preserve">ing </w:t>
      </w:r>
      <w:r w:rsidRPr="00703A0B">
        <w:rPr>
          <w:rFonts w:eastAsia="Arial" w:cs="Arial"/>
        </w:rPr>
        <w:t>customer communicatio</w:t>
      </w:r>
      <w:r w:rsidR="00DC30BE" w:rsidRPr="00703A0B">
        <w:rPr>
          <w:rFonts w:eastAsia="Arial" w:cs="Arial"/>
        </w:rPr>
        <w:t>n</w:t>
      </w:r>
      <w:r w:rsidR="00A232F3" w:rsidRPr="00703A0B">
        <w:rPr>
          <w:rFonts w:eastAsia="Arial" w:cs="Arial"/>
        </w:rPr>
        <w:t xml:space="preserve"> and transparency of outcomes</w:t>
      </w:r>
    </w:p>
    <w:p w14:paraId="0E8BD83E" w14:textId="54184E94" w:rsidR="00DC30BE" w:rsidRPr="00703A0B" w:rsidRDefault="000004E4" w:rsidP="00EF3EB2">
      <w:pPr>
        <w:pStyle w:val="ListParagraph"/>
        <w:numPr>
          <w:ilvl w:val="0"/>
          <w:numId w:val="121"/>
        </w:numPr>
        <w:spacing w:before="120" w:after="120"/>
        <w:ind w:left="714" w:hanging="357"/>
        <w:contextualSpacing w:val="0"/>
        <w:rPr>
          <w:rFonts w:eastAsia="Arial" w:cs="Arial"/>
        </w:rPr>
      </w:pPr>
      <w:r w:rsidRPr="00703A0B">
        <w:rPr>
          <w:rFonts w:eastAsia="Arial" w:cs="Arial"/>
        </w:rPr>
        <w:t xml:space="preserve">progressing </w:t>
      </w:r>
      <w:r w:rsidR="0007356D" w:rsidRPr="00703A0B">
        <w:rPr>
          <w:rFonts w:eastAsia="Arial" w:cs="Arial"/>
        </w:rPr>
        <w:t xml:space="preserve">targeted process and digital improvements across dispute resolution pathways. </w:t>
      </w:r>
    </w:p>
    <w:p w14:paraId="034735FF" w14:textId="14754BA5" w:rsidR="00485BDF" w:rsidRPr="00703A0B" w:rsidRDefault="002A2162" w:rsidP="00EF3EB2">
      <w:pPr>
        <w:spacing w:before="120" w:after="120"/>
        <w:rPr>
          <w:rFonts w:eastAsia="Arial" w:cs="Arial"/>
          <w:bCs/>
          <w:sz w:val="32"/>
          <w:szCs w:val="32"/>
        </w:rPr>
      </w:pPr>
      <w:r w:rsidRPr="00703A0B">
        <w:rPr>
          <w:rFonts w:eastAsia="Arial" w:cs="Arial"/>
        </w:rPr>
        <w:lastRenderedPageBreak/>
        <w:t>T</w:t>
      </w:r>
      <w:r w:rsidR="0007356D" w:rsidRPr="00703A0B">
        <w:rPr>
          <w:rFonts w:eastAsia="Arial" w:cs="Arial"/>
        </w:rPr>
        <w:t xml:space="preserve">he </w:t>
      </w:r>
      <w:r w:rsidR="008C0819" w:rsidRPr="00703A0B">
        <w:rPr>
          <w:rFonts w:eastAsia="Arial" w:cs="Arial"/>
        </w:rPr>
        <w:t>Regulatory Accountability</w:t>
      </w:r>
      <w:r w:rsidR="0007356D" w:rsidRPr="00703A0B" w:rsidDel="008C0819">
        <w:rPr>
          <w:rFonts w:eastAsia="Arial" w:cs="Arial"/>
        </w:rPr>
        <w:t xml:space="preserve"> </w:t>
      </w:r>
      <w:r w:rsidR="004C0F97" w:rsidRPr="00703A0B">
        <w:rPr>
          <w:rFonts w:eastAsia="Arial" w:cs="Arial"/>
        </w:rPr>
        <w:t>p</w:t>
      </w:r>
      <w:r w:rsidR="0007356D" w:rsidRPr="00703A0B">
        <w:rPr>
          <w:rFonts w:eastAsia="Arial" w:cs="Arial"/>
        </w:rPr>
        <w:t>roject</w:t>
      </w:r>
      <w:r w:rsidRPr="00703A0B">
        <w:rPr>
          <w:rFonts w:eastAsia="Arial" w:cs="Arial"/>
        </w:rPr>
        <w:t xml:space="preserve"> w</w:t>
      </w:r>
      <w:r w:rsidR="0007356D" w:rsidRPr="00703A0B">
        <w:rPr>
          <w:rFonts w:eastAsia="Arial" w:cs="Arial"/>
        </w:rPr>
        <w:t>ill</w:t>
      </w:r>
      <w:r w:rsidRPr="00703A0B">
        <w:rPr>
          <w:rFonts w:eastAsia="Arial" w:cs="Arial"/>
        </w:rPr>
        <w:t xml:space="preserve"> further </w:t>
      </w:r>
      <w:r w:rsidR="0007356D" w:rsidRPr="00703A0B">
        <w:rPr>
          <w:rFonts w:eastAsia="Arial" w:cs="Arial"/>
        </w:rPr>
        <w:t xml:space="preserve">streamline intake and triage processes, </w:t>
      </w:r>
      <w:r w:rsidR="00075CD8" w:rsidRPr="00703A0B">
        <w:rPr>
          <w:rFonts w:eastAsia="Arial" w:cs="Arial"/>
        </w:rPr>
        <w:t xml:space="preserve">strengthen </w:t>
      </w:r>
      <w:r w:rsidR="0007356D" w:rsidRPr="00703A0B">
        <w:rPr>
          <w:rFonts w:eastAsia="Arial" w:cs="Arial"/>
        </w:rPr>
        <w:t xml:space="preserve">alignment between inspection and resolution functions, and </w:t>
      </w:r>
      <w:r w:rsidR="00075CD8" w:rsidRPr="00703A0B">
        <w:rPr>
          <w:rFonts w:eastAsia="Arial" w:cs="Arial"/>
        </w:rPr>
        <w:t xml:space="preserve">deliver </w:t>
      </w:r>
      <w:r w:rsidR="0007356D" w:rsidRPr="00703A0B">
        <w:rPr>
          <w:rFonts w:eastAsia="Arial" w:cs="Arial"/>
        </w:rPr>
        <w:t>a more efficient, transparent and customer-focused service experience.</w:t>
      </w:r>
      <w:r w:rsidR="00DC30BE" w:rsidRPr="00703A0B">
        <w:rPr>
          <w:rFonts w:eastAsia="Arial" w:cs="Arial"/>
        </w:rPr>
        <w:t xml:space="preserve"> </w:t>
      </w:r>
      <w:r w:rsidR="0007356D" w:rsidRPr="00703A0B">
        <w:rPr>
          <w:rFonts w:eastAsia="Arial" w:cs="Arial"/>
        </w:rPr>
        <w:t>Additional digital enhancements will support faster delivery of inspection report</w:t>
      </w:r>
      <w:r w:rsidR="006F3A31" w:rsidRPr="00703A0B">
        <w:rPr>
          <w:rFonts w:eastAsia="Arial" w:cs="Arial"/>
        </w:rPr>
        <w:t>s and improved information sharing,</w:t>
      </w:r>
      <w:r w:rsidR="0007356D" w:rsidRPr="00703A0B">
        <w:rPr>
          <w:rFonts w:eastAsia="Arial" w:cs="Arial"/>
        </w:rPr>
        <w:t xml:space="preserve"> </w:t>
      </w:r>
      <w:proofErr w:type="gramStart"/>
      <w:r w:rsidR="0007356D" w:rsidRPr="00703A0B">
        <w:rPr>
          <w:rFonts w:eastAsia="Arial" w:cs="Arial"/>
        </w:rPr>
        <w:t>reducing</w:t>
      </w:r>
      <w:proofErr w:type="gramEnd"/>
      <w:r w:rsidR="0007356D" w:rsidRPr="00703A0B">
        <w:rPr>
          <w:rFonts w:eastAsia="Arial" w:cs="Arial"/>
        </w:rPr>
        <w:t xml:space="preserve"> delays </w:t>
      </w:r>
      <w:r w:rsidR="00177B23" w:rsidRPr="00703A0B">
        <w:rPr>
          <w:rFonts w:eastAsia="Arial" w:cs="Arial"/>
        </w:rPr>
        <w:t xml:space="preserve">and enabling </w:t>
      </w:r>
      <w:r w:rsidR="00775FD1" w:rsidRPr="00703A0B">
        <w:rPr>
          <w:rFonts w:eastAsia="Arial" w:cs="Arial"/>
        </w:rPr>
        <w:t>timelier</w:t>
      </w:r>
      <w:r w:rsidR="00177B23" w:rsidRPr="00703A0B">
        <w:rPr>
          <w:rFonts w:eastAsia="Arial" w:cs="Arial"/>
        </w:rPr>
        <w:t xml:space="preserve"> </w:t>
      </w:r>
      <w:r w:rsidR="0007356D" w:rsidRPr="00703A0B">
        <w:rPr>
          <w:rFonts w:eastAsia="Arial" w:cs="Arial"/>
        </w:rPr>
        <w:t>resolution</w:t>
      </w:r>
      <w:r w:rsidR="002E0757" w:rsidRPr="00703A0B">
        <w:rPr>
          <w:rFonts w:eastAsia="Arial" w:cs="Arial"/>
        </w:rPr>
        <w:t xml:space="preserve"> of disputes</w:t>
      </w:r>
      <w:r w:rsidR="0007356D" w:rsidRPr="00703A0B">
        <w:rPr>
          <w:rFonts w:eastAsia="Arial" w:cs="Arial"/>
        </w:rPr>
        <w:t xml:space="preserve">. </w:t>
      </w:r>
      <w:r w:rsidR="002E0757" w:rsidRPr="00703A0B">
        <w:rPr>
          <w:rFonts w:eastAsia="Arial" w:cs="Arial"/>
        </w:rPr>
        <w:t>T</w:t>
      </w:r>
      <w:r w:rsidR="0007356D" w:rsidRPr="00703A0B">
        <w:rPr>
          <w:rFonts w:eastAsia="Arial" w:cs="Arial"/>
        </w:rPr>
        <w:t xml:space="preserve">hese </w:t>
      </w:r>
      <w:r w:rsidR="002E0757" w:rsidRPr="00703A0B">
        <w:rPr>
          <w:rFonts w:eastAsia="Arial" w:cs="Arial"/>
        </w:rPr>
        <w:t xml:space="preserve">improvements </w:t>
      </w:r>
      <w:r w:rsidR="0007356D" w:rsidRPr="00703A0B">
        <w:rPr>
          <w:rFonts w:eastAsia="Arial" w:cs="Arial"/>
        </w:rPr>
        <w:t xml:space="preserve">will </w:t>
      </w:r>
      <w:r w:rsidR="002E0757" w:rsidRPr="00703A0B">
        <w:rPr>
          <w:rFonts w:eastAsia="Arial" w:cs="Arial"/>
        </w:rPr>
        <w:t xml:space="preserve">support </w:t>
      </w:r>
      <w:r w:rsidR="0007356D" w:rsidRPr="00703A0B">
        <w:rPr>
          <w:rFonts w:eastAsia="Arial" w:cs="Arial"/>
        </w:rPr>
        <w:t xml:space="preserve">earlier identification and rectification of defective work, </w:t>
      </w:r>
      <w:r w:rsidR="00A13010" w:rsidRPr="00703A0B">
        <w:rPr>
          <w:rFonts w:eastAsia="Arial" w:cs="Arial"/>
        </w:rPr>
        <w:t xml:space="preserve">increase </w:t>
      </w:r>
      <w:r w:rsidR="0007356D" w:rsidRPr="00703A0B">
        <w:rPr>
          <w:rFonts w:eastAsia="Arial" w:cs="Arial"/>
        </w:rPr>
        <w:t xml:space="preserve">the consistency and quality of </w:t>
      </w:r>
      <w:r w:rsidR="009B0CED" w:rsidRPr="00703A0B">
        <w:rPr>
          <w:rFonts w:eastAsia="Arial" w:cs="Arial"/>
        </w:rPr>
        <w:t>dispute resolution outcomes</w:t>
      </w:r>
      <w:r w:rsidR="0007356D" w:rsidRPr="00703A0B">
        <w:rPr>
          <w:rFonts w:eastAsia="Arial" w:cs="Arial"/>
        </w:rPr>
        <w:t xml:space="preserve"> and reduce </w:t>
      </w:r>
      <w:r w:rsidR="0087409E" w:rsidRPr="00703A0B">
        <w:rPr>
          <w:rFonts w:eastAsia="Arial" w:cs="Arial"/>
        </w:rPr>
        <w:t xml:space="preserve">delays in achieving </w:t>
      </w:r>
      <w:r w:rsidR="00BF2254" w:rsidRPr="00703A0B">
        <w:rPr>
          <w:rFonts w:eastAsia="Arial" w:cs="Arial"/>
        </w:rPr>
        <w:t>fair and timely resolutions</w:t>
      </w:r>
      <w:r w:rsidR="0007356D" w:rsidRPr="00703A0B">
        <w:rPr>
          <w:rFonts w:eastAsia="Arial" w:cs="Arial"/>
        </w:rPr>
        <w:t>.</w:t>
      </w:r>
      <w:r w:rsidR="006A7187" w:rsidRPr="00703A0B">
        <w:rPr>
          <w:rFonts w:eastAsia="Arial" w:cs="Arial"/>
        </w:rPr>
        <w:t xml:space="preserve"> </w:t>
      </w:r>
      <w:r w:rsidR="0007356D" w:rsidRPr="00703A0B">
        <w:rPr>
          <w:rFonts w:eastAsia="Arial" w:cs="Arial"/>
        </w:rPr>
        <w:t xml:space="preserve">By strengthening early </w:t>
      </w:r>
      <w:r w:rsidR="006B5957" w:rsidRPr="00703A0B">
        <w:rPr>
          <w:rFonts w:eastAsia="Arial" w:cs="Arial"/>
        </w:rPr>
        <w:t>resolution pathways</w:t>
      </w:r>
      <w:r w:rsidR="0007356D" w:rsidRPr="00703A0B">
        <w:rPr>
          <w:rFonts w:eastAsia="Arial" w:cs="Arial"/>
        </w:rPr>
        <w:t xml:space="preserve">, improving service delivery and modernising dispute resolution processes, the QBCC will </w:t>
      </w:r>
      <w:r w:rsidR="00877DA7" w:rsidRPr="00703A0B">
        <w:rPr>
          <w:rFonts w:eastAsia="Arial" w:cs="Arial"/>
        </w:rPr>
        <w:t xml:space="preserve">increase </w:t>
      </w:r>
      <w:r w:rsidR="0007356D" w:rsidRPr="00703A0B">
        <w:rPr>
          <w:rFonts w:eastAsia="Arial" w:cs="Arial"/>
        </w:rPr>
        <w:t xml:space="preserve">confidence </w:t>
      </w:r>
      <w:r w:rsidR="00877DA7" w:rsidRPr="00703A0B">
        <w:rPr>
          <w:rFonts w:eastAsia="Arial" w:cs="Arial"/>
        </w:rPr>
        <w:t xml:space="preserve">in its </w:t>
      </w:r>
      <w:r w:rsidR="0007356D" w:rsidRPr="00703A0B">
        <w:rPr>
          <w:rFonts w:eastAsia="Arial" w:cs="Arial"/>
        </w:rPr>
        <w:t>services</w:t>
      </w:r>
      <w:r w:rsidR="00877DA7" w:rsidRPr="00703A0B">
        <w:rPr>
          <w:rFonts w:eastAsia="Arial" w:cs="Arial"/>
        </w:rPr>
        <w:t xml:space="preserve">, </w:t>
      </w:r>
      <w:r w:rsidR="005325CE" w:rsidRPr="00703A0B">
        <w:rPr>
          <w:rFonts w:eastAsia="Arial" w:cs="Arial"/>
        </w:rPr>
        <w:t>support better outcomes for consumers and contractors</w:t>
      </w:r>
      <w:r w:rsidR="00432FAB" w:rsidRPr="00703A0B">
        <w:rPr>
          <w:rFonts w:eastAsia="Arial" w:cs="Arial"/>
        </w:rPr>
        <w:t>,</w:t>
      </w:r>
      <w:r w:rsidR="005325CE" w:rsidRPr="00703A0B">
        <w:rPr>
          <w:rFonts w:eastAsia="Arial" w:cs="Arial"/>
        </w:rPr>
        <w:t xml:space="preserve"> and contribute to a more resilient, productive and </w:t>
      </w:r>
      <w:r w:rsidR="0007356D" w:rsidRPr="00703A0B">
        <w:rPr>
          <w:rFonts w:eastAsia="Arial" w:cs="Arial"/>
        </w:rPr>
        <w:t>trusted building and construction industry.</w:t>
      </w:r>
    </w:p>
    <w:p w14:paraId="1B3F925B" w14:textId="77777777" w:rsidR="00F42DEF" w:rsidRPr="00703A0B" w:rsidRDefault="00F42DEF" w:rsidP="00F42DEF">
      <w:pPr>
        <w:pStyle w:val="Heading2"/>
      </w:pPr>
      <w:bookmarkStart w:id="55" w:name="_Internal_review"/>
      <w:bookmarkStart w:id="56" w:name="_Toc203983074"/>
      <w:bookmarkStart w:id="57" w:name="_Toc238101678"/>
      <w:bookmarkEnd w:id="55"/>
      <w:r w:rsidRPr="00703A0B">
        <w:t>Internal review</w:t>
      </w:r>
      <w:bookmarkEnd w:id="56"/>
      <w:bookmarkEnd w:id="57"/>
    </w:p>
    <w:p w14:paraId="35E63AFE" w14:textId="4D1C74E5" w:rsidR="09DC7531" w:rsidRPr="00703A0B" w:rsidRDefault="75CFA8BD" w:rsidP="00A75BC8">
      <w:pPr>
        <w:spacing w:before="120" w:after="120"/>
      </w:pPr>
      <w:r w:rsidRPr="00703A0B">
        <w:rPr>
          <w:rFonts w:cs="Arial"/>
        </w:rPr>
        <w:t xml:space="preserve">The QBCC </w:t>
      </w:r>
      <w:r w:rsidR="00B33BD2" w:rsidRPr="00703A0B">
        <w:rPr>
          <w:rFonts w:cs="Arial"/>
        </w:rPr>
        <w:t xml:space="preserve">offers </w:t>
      </w:r>
      <w:r w:rsidR="000C0662" w:rsidRPr="00703A0B">
        <w:rPr>
          <w:rFonts w:cs="Arial"/>
        </w:rPr>
        <w:t>an</w:t>
      </w:r>
      <w:r w:rsidRPr="00703A0B">
        <w:rPr>
          <w:rFonts w:cs="Arial"/>
        </w:rPr>
        <w:t xml:space="preserve"> independent review service that promotes fairness, transparency and accountability in regulatory decision making. Established under the QBCC Act, the service enables individuals and businesses </w:t>
      </w:r>
      <w:r w:rsidR="008817A3" w:rsidRPr="00703A0B">
        <w:rPr>
          <w:rFonts w:cs="Arial"/>
        </w:rPr>
        <w:t xml:space="preserve">affected by certain regulatory </w:t>
      </w:r>
      <w:r w:rsidR="002D6338" w:rsidRPr="00703A0B">
        <w:rPr>
          <w:rFonts w:cs="Arial"/>
        </w:rPr>
        <w:t xml:space="preserve">decisions </w:t>
      </w:r>
      <w:r w:rsidR="000C252B" w:rsidRPr="00703A0B">
        <w:rPr>
          <w:rFonts w:cs="Arial"/>
        </w:rPr>
        <w:t xml:space="preserve">made by the QBCC </w:t>
      </w:r>
      <w:r w:rsidRPr="00703A0B">
        <w:rPr>
          <w:rFonts w:cs="Arial"/>
        </w:rPr>
        <w:t xml:space="preserve">to seek an independent review of </w:t>
      </w:r>
      <w:r w:rsidR="002D6338" w:rsidRPr="00703A0B">
        <w:rPr>
          <w:rFonts w:cs="Arial"/>
        </w:rPr>
        <w:t xml:space="preserve">those </w:t>
      </w:r>
      <w:r w:rsidRPr="00703A0B">
        <w:rPr>
          <w:rFonts w:cs="Arial"/>
        </w:rPr>
        <w:t>decisions.</w:t>
      </w:r>
      <w:r w:rsidR="00D8016A" w:rsidRPr="00703A0B">
        <w:rPr>
          <w:rFonts w:cs="Arial"/>
        </w:rPr>
        <w:t xml:space="preserve"> </w:t>
      </w:r>
      <w:r w:rsidR="00BB567F" w:rsidRPr="00703A0B">
        <w:rPr>
          <w:rFonts w:cs="Arial"/>
        </w:rPr>
        <w:t>Following an i</w:t>
      </w:r>
      <w:r w:rsidR="09DC7531" w:rsidRPr="00703A0B">
        <w:rPr>
          <w:rFonts w:cs="Arial"/>
        </w:rPr>
        <w:t>nternal</w:t>
      </w:r>
      <w:r w:rsidR="718832D3" w:rsidRPr="00703A0B">
        <w:rPr>
          <w:rFonts w:cs="Arial"/>
        </w:rPr>
        <w:t xml:space="preserve"> review</w:t>
      </w:r>
      <w:r w:rsidR="00BB567F" w:rsidRPr="00703A0B">
        <w:rPr>
          <w:rFonts w:cs="Arial"/>
        </w:rPr>
        <w:t>,</w:t>
      </w:r>
      <w:r w:rsidR="00DF754E" w:rsidRPr="00703A0B">
        <w:rPr>
          <w:rFonts w:cs="Arial"/>
        </w:rPr>
        <w:t xml:space="preserve"> a new decision</w:t>
      </w:r>
      <w:r w:rsidR="00BB567F" w:rsidRPr="00703A0B">
        <w:rPr>
          <w:rFonts w:cs="Arial"/>
        </w:rPr>
        <w:t xml:space="preserve"> is made that either </w:t>
      </w:r>
      <w:r w:rsidR="005C58D1" w:rsidRPr="00703A0B">
        <w:rPr>
          <w:rFonts w:cs="Arial"/>
        </w:rPr>
        <w:t xml:space="preserve">upholds </w:t>
      </w:r>
      <w:r w:rsidR="00BB567F" w:rsidRPr="00703A0B">
        <w:rPr>
          <w:rFonts w:cs="Arial"/>
        </w:rPr>
        <w:t>or changes the original decision</w:t>
      </w:r>
      <w:r w:rsidR="00DF754E" w:rsidRPr="00703A0B">
        <w:rPr>
          <w:rFonts w:cs="Arial"/>
        </w:rPr>
        <w:t xml:space="preserve">. </w:t>
      </w:r>
      <w:r w:rsidR="0002458B" w:rsidRPr="00703A0B">
        <w:rPr>
          <w:rFonts w:cs="Arial"/>
        </w:rPr>
        <w:t>Review outcomes are categorised as</w:t>
      </w:r>
      <w:r w:rsidR="00D8016A" w:rsidRPr="00703A0B">
        <w:rPr>
          <w:rFonts w:cs="Arial"/>
        </w:rPr>
        <w:t xml:space="preserve"> follows</w:t>
      </w:r>
      <w:r w:rsidR="09DC7531" w:rsidRPr="00703A0B">
        <w:rPr>
          <w:rFonts w:cs="Arial"/>
        </w:rPr>
        <w:t>:</w:t>
      </w:r>
    </w:p>
    <w:p w14:paraId="38F6999E" w14:textId="7B8CB6CE" w:rsidR="09DC7531" w:rsidRPr="00703A0B" w:rsidRDefault="09DC7531" w:rsidP="008D0C3B">
      <w:pPr>
        <w:pStyle w:val="ListParagraph"/>
        <w:numPr>
          <w:ilvl w:val="0"/>
          <w:numId w:val="61"/>
        </w:numPr>
        <w:spacing w:before="120" w:after="120"/>
        <w:ind w:left="714" w:hanging="357"/>
        <w:contextualSpacing w:val="0"/>
        <w:rPr>
          <w:rFonts w:cs="Arial"/>
        </w:rPr>
      </w:pPr>
      <w:r w:rsidRPr="00703A0B">
        <w:rPr>
          <w:rFonts w:cs="Arial"/>
          <w:b/>
          <w:bCs/>
        </w:rPr>
        <w:t>Upheld</w:t>
      </w:r>
      <w:r w:rsidR="00A61B38" w:rsidRPr="00703A0B">
        <w:rPr>
          <w:rFonts w:cs="Arial"/>
          <w:b/>
          <w:bCs/>
        </w:rPr>
        <w:t>:</w:t>
      </w:r>
      <w:r w:rsidRPr="00703A0B">
        <w:rPr>
          <w:rFonts w:cs="Arial"/>
        </w:rPr>
        <w:t xml:space="preserve"> </w:t>
      </w:r>
      <w:r w:rsidR="00B9372A" w:rsidRPr="00703A0B">
        <w:rPr>
          <w:rFonts w:cs="Arial"/>
        </w:rPr>
        <w:t>T</w:t>
      </w:r>
      <w:r w:rsidRPr="00703A0B">
        <w:rPr>
          <w:rFonts w:cs="Arial"/>
        </w:rPr>
        <w:t>he original decision and reasoning remain unchanged.</w:t>
      </w:r>
    </w:p>
    <w:p w14:paraId="45CC8054" w14:textId="157C4CD9" w:rsidR="09DC7531" w:rsidRPr="00703A0B" w:rsidRDefault="09DC7531" w:rsidP="008D0C3B">
      <w:pPr>
        <w:pStyle w:val="ListParagraph"/>
        <w:numPr>
          <w:ilvl w:val="0"/>
          <w:numId w:val="61"/>
        </w:numPr>
        <w:spacing w:before="120" w:after="120"/>
        <w:ind w:left="714" w:hanging="357"/>
        <w:contextualSpacing w:val="0"/>
        <w:rPr>
          <w:rFonts w:cs="Arial"/>
        </w:rPr>
      </w:pPr>
      <w:r w:rsidRPr="00703A0B">
        <w:rPr>
          <w:rFonts w:cs="Arial"/>
          <w:b/>
          <w:bCs/>
        </w:rPr>
        <w:t>Varied</w:t>
      </w:r>
      <w:r w:rsidR="00A61B38" w:rsidRPr="00703A0B">
        <w:rPr>
          <w:rFonts w:cs="Arial"/>
          <w:b/>
          <w:bCs/>
        </w:rPr>
        <w:t>:</w:t>
      </w:r>
      <w:r w:rsidRPr="00703A0B">
        <w:rPr>
          <w:rFonts w:cs="Arial"/>
        </w:rPr>
        <w:t xml:space="preserve"> </w:t>
      </w:r>
      <w:r w:rsidR="00B9372A" w:rsidRPr="00703A0B">
        <w:rPr>
          <w:rFonts w:cs="Arial"/>
        </w:rPr>
        <w:t>T</w:t>
      </w:r>
      <w:r w:rsidRPr="00703A0B">
        <w:rPr>
          <w:rFonts w:cs="Arial"/>
        </w:rPr>
        <w:t xml:space="preserve">he outcome </w:t>
      </w:r>
      <w:r w:rsidR="00DA243F" w:rsidRPr="00703A0B">
        <w:rPr>
          <w:rFonts w:cs="Arial"/>
        </w:rPr>
        <w:t>remains the same</w:t>
      </w:r>
      <w:r w:rsidR="00514A9B" w:rsidRPr="00703A0B">
        <w:rPr>
          <w:rFonts w:cs="Arial"/>
        </w:rPr>
        <w:t>. H</w:t>
      </w:r>
      <w:r w:rsidR="005A091D" w:rsidRPr="00703A0B">
        <w:rPr>
          <w:rFonts w:cs="Arial"/>
        </w:rPr>
        <w:t>owever</w:t>
      </w:r>
      <w:r w:rsidR="00514A9B" w:rsidRPr="00703A0B">
        <w:rPr>
          <w:rFonts w:cs="Arial"/>
        </w:rPr>
        <w:t>,</w:t>
      </w:r>
      <w:r w:rsidR="00DA243F" w:rsidRPr="00703A0B">
        <w:rPr>
          <w:rFonts w:cs="Arial"/>
        </w:rPr>
        <w:t xml:space="preserve"> the</w:t>
      </w:r>
      <w:r w:rsidRPr="00703A0B">
        <w:rPr>
          <w:rFonts w:cs="Arial"/>
        </w:rPr>
        <w:t xml:space="preserve"> reasoning is partially </w:t>
      </w:r>
      <w:r w:rsidR="00514A9B" w:rsidRPr="00703A0B">
        <w:rPr>
          <w:rFonts w:cs="Arial"/>
        </w:rPr>
        <w:t>revised</w:t>
      </w:r>
      <w:r w:rsidRPr="00703A0B">
        <w:rPr>
          <w:rFonts w:cs="Arial"/>
        </w:rPr>
        <w:t>.</w:t>
      </w:r>
    </w:p>
    <w:p w14:paraId="62226E5F" w14:textId="00807A59" w:rsidR="09DC7531" w:rsidRPr="00703A0B" w:rsidRDefault="09DC7531" w:rsidP="008D0C3B">
      <w:pPr>
        <w:pStyle w:val="ListParagraph"/>
        <w:numPr>
          <w:ilvl w:val="0"/>
          <w:numId w:val="61"/>
        </w:numPr>
        <w:spacing w:before="120" w:after="120"/>
        <w:ind w:left="714" w:hanging="357"/>
        <w:contextualSpacing w:val="0"/>
        <w:rPr>
          <w:rFonts w:cs="Arial"/>
        </w:rPr>
      </w:pPr>
      <w:r w:rsidRPr="00703A0B">
        <w:rPr>
          <w:rFonts w:cs="Arial"/>
          <w:b/>
          <w:bCs/>
        </w:rPr>
        <w:t>Overturned</w:t>
      </w:r>
      <w:r w:rsidR="00A61B38" w:rsidRPr="00703A0B">
        <w:rPr>
          <w:rFonts w:cs="Arial"/>
          <w:b/>
          <w:bCs/>
        </w:rPr>
        <w:t>:</w:t>
      </w:r>
      <w:r w:rsidRPr="00703A0B">
        <w:rPr>
          <w:rFonts w:cs="Arial"/>
        </w:rPr>
        <w:t xml:space="preserve"> </w:t>
      </w:r>
      <w:r w:rsidR="00B9372A" w:rsidRPr="00703A0B">
        <w:rPr>
          <w:rFonts w:cs="Arial"/>
        </w:rPr>
        <w:t>A</w:t>
      </w:r>
      <w:r w:rsidRPr="00703A0B">
        <w:rPr>
          <w:rFonts w:cs="Arial"/>
        </w:rPr>
        <w:t xml:space="preserve"> different decision is substituted for the original decision.</w:t>
      </w:r>
    </w:p>
    <w:p w14:paraId="6763C3E9" w14:textId="15D4C6C8" w:rsidR="09DC7531" w:rsidRPr="00703A0B" w:rsidRDefault="09DC7531" w:rsidP="008D0C3B">
      <w:pPr>
        <w:pStyle w:val="ListParagraph"/>
        <w:numPr>
          <w:ilvl w:val="0"/>
          <w:numId w:val="61"/>
        </w:numPr>
        <w:spacing w:before="120" w:after="120"/>
        <w:ind w:left="714" w:hanging="357"/>
        <w:contextualSpacing w:val="0"/>
        <w:rPr>
          <w:rFonts w:cs="Arial"/>
        </w:rPr>
      </w:pPr>
      <w:r w:rsidRPr="00703A0B">
        <w:rPr>
          <w:rFonts w:cs="Arial"/>
          <w:b/>
          <w:bCs/>
        </w:rPr>
        <w:t>Deemed</w:t>
      </w:r>
      <w:r w:rsidR="00B9372A" w:rsidRPr="00703A0B">
        <w:rPr>
          <w:rFonts w:cs="Arial"/>
          <w:b/>
          <w:bCs/>
        </w:rPr>
        <w:t>:</w:t>
      </w:r>
      <w:r w:rsidRPr="00703A0B">
        <w:rPr>
          <w:rFonts w:cs="Arial"/>
        </w:rPr>
        <w:t xml:space="preserve"> </w:t>
      </w:r>
      <w:r w:rsidR="00B9372A" w:rsidRPr="00703A0B">
        <w:rPr>
          <w:rFonts w:cs="Arial"/>
        </w:rPr>
        <w:t>W</w:t>
      </w:r>
      <w:r w:rsidRPr="00703A0B">
        <w:rPr>
          <w:rFonts w:cs="Arial"/>
        </w:rPr>
        <w:t>here a review decision is not made within the legislated timeframe, the original decision becomes the review decision by operation of law.</w:t>
      </w:r>
    </w:p>
    <w:p w14:paraId="6F46D9BC" w14:textId="4138F57D" w:rsidR="645DCFBE" w:rsidRPr="00703A0B" w:rsidRDefault="003E0D1C" w:rsidP="41E3D7AF">
      <w:pPr>
        <w:spacing w:before="120" w:after="120" w:line="259" w:lineRule="auto"/>
        <w:ind w:hanging="11"/>
        <w:rPr>
          <w:rFonts w:cs="Arial"/>
        </w:rPr>
      </w:pPr>
      <w:r w:rsidRPr="00703A0B">
        <w:rPr>
          <w:rFonts w:cs="Arial"/>
        </w:rPr>
        <w:t>The growth in d</w:t>
      </w:r>
      <w:r w:rsidR="1EF762AF" w:rsidRPr="00703A0B">
        <w:rPr>
          <w:rFonts w:cs="Arial"/>
        </w:rPr>
        <w:t xml:space="preserve">emand for the QBCC’s internal review service during </w:t>
      </w:r>
      <w:r w:rsidR="00B970E8" w:rsidRPr="00703A0B">
        <w:rPr>
          <w:rFonts w:cs="Arial"/>
        </w:rPr>
        <w:t>the reporting period</w:t>
      </w:r>
      <w:r w:rsidR="1EF762AF" w:rsidRPr="00703A0B" w:rsidDel="00B970E8">
        <w:rPr>
          <w:rFonts w:cs="Arial"/>
        </w:rPr>
        <w:t xml:space="preserve"> </w:t>
      </w:r>
      <w:r w:rsidR="00B030E4" w:rsidRPr="00703A0B">
        <w:rPr>
          <w:rFonts w:cs="Arial"/>
        </w:rPr>
        <w:t xml:space="preserve">highlights the value </w:t>
      </w:r>
      <w:r w:rsidR="009C4B21" w:rsidRPr="00703A0B">
        <w:rPr>
          <w:rFonts w:cs="Arial"/>
        </w:rPr>
        <w:t>customers</w:t>
      </w:r>
      <w:r w:rsidR="00B030E4" w:rsidRPr="00703A0B">
        <w:rPr>
          <w:rFonts w:cs="Arial"/>
        </w:rPr>
        <w:t xml:space="preserve"> place on</w:t>
      </w:r>
      <w:r w:rsidR="00380A18" w:rsidRPr="00703A0B">
        <w:rPr>
          <w:rFonts w:cs="Arial"/>
        </w:rPr>
        <w:t xml:space="preserve"> having an</w:t>
      </w:r>
      <w:r w:rsidR="009C4B21" w:rsidRPr="00703A0B" w:rsidDel="00380A18">
        <w:rPr>
          <w:rFonts w:cs="Arial"/>
        </w:rPr>
        <w:t xml:space="preserve"> </w:t>
      </w:r>
      <w:r w:rsidR="009C4B21" w:rsidRPr="00703A0B">
        <w:rPr>
          <w:rFonts w:cs="Arial"/>
        </w:rPr>
        <w:t xml:space="preserve">independent </w:t>
      </w:r>
      <w:r w:rsidR="00380A18" w:rsidRPr="00703A0B">
        <w:rPr>
          <w:rFonts w:cs="Arial"/>
        </w:rPr>
        <w:t xml:space="preserve">avenue to seek </w:t>
      </w:r>
      <w:r w:rsidR="009C4B21" w:rsidRPr="00703A0B">
        <w:rPr>
          <w:rFonts w:cs="Arial"/>
        </w:rPr>
        <w:t xml:space="preserve">reconsideration of regulatory </w:t>
      </w:r>
      <w:r w:rsidR="00B43AF8" w:rsidRPr="00703A0B">
        <w:rPr>
          <w:rFonts w:cs="Arial"/>
        </w:rPr>
        <w:t xml:space="preserve">decisions. </w:t>
      </w:r>
      <w:r w:rsidR="008C77BA" w:rsidRPr="00703A0B">
        <w:fldChar w:fldCharType="begin"/>
      </w:r>
      <w:r w:rsidR="008C77BA" w:rsidRPr="00703A0B">
        <w:rPr>
          <w:rFonts w:cs="Arial"/>
        </w:rPr>
        <w:instrText xml:space="preserve"> REF _Ref233701667 \h </w:instrText>
      </w:r>
      <w:r w:rsidR="008C77BA" w:rsidRPr="00703A0B">
        <w:fldChar w:fldCharType="separate"/>
      </w:r>
      <w:r w:rsidR="008C77BA" w:rsidRPr="00703A0B">
        <w:t xml:space="preserve">Table </w:t>
      </w:r>
      <w:r w:rsidR="008D345C" w:rsidRPr="00EA647C">
        <w:t>7</w:t>
      </w:r>
      <w:r w:rsidR="008C77BA" w:rsidRPr="00703A0B">
        <w:fldChar w:fldCharType="end"/>
      </w:r>
      <w:r w:rsidR="00065183" w:rsidRPr="00703A0B">
        <w:t xml:space="preserve"> </w:t>
      </w:r>
      <w:r w:rsidR="00065183" w:rsidRPr="00703A0B">
        <w:rPr>
          <w:rFonts w:cs="Arial"/>
        </w:rPr>
        <w:t xml:space="preserve">provides an overview of internal review </w:t>
      </w:r>
      <w:r w:rsidR="009E5EAA" w:rsidRPr="00703A0B">
        <w:rPr>
          <w:rFonts w:cs="Arial"/>
        </w:rPr>
        <w:t>finalisation</w:t>
      </w:r>
      <w:r w:rsidR="002F3346" w:rsidRPr="00703A0B">
        <w:rPr>
          <w:rFonts w:cs="Arial"/>
        </w:rPr>
        <w:t xml:space="preserve"> timeframes</w:t>
      </w:r>
      <w:r w:rsidR="004B55A0" w:rsidRPr="00703A0B">
        <w:rPr>
          <w:rFonts w:cs="Arial"/>
        </w:rPr>
        <w:t xml:space="preserve"> </w:t>
      </w:r>
      <w:r w:rsidR="00326588" w:rsidRPr="00703A0B">
        <w:rPr>
          <w:rFonts w:cs="Arial"/>
        </w:rPr>
        <w:t xml:space="preserve">and the organisation’s performance in managing increased </w:t>
      </w:r>
      <w:r w:rsidR="00A434F6" w:rsidRPr="00703A0B">
        <w:rPr>
          <w:rFonts w:cs="Arial"/>
        </w:rPr>
        <w:t>demand</w:t>
      </w:r>
      <w:r w:rsidR="00D93B7F" w:rsidRPr="00703A0B" w:rsidDel="00065183">
        <w:rPr>
          <w:rFonts w:cs="Arial"/>
        </w:rPr>
        <w:t>.</w:t>
      </w:r>
    </w:p>
    <w:p w14:paraId="051B406A" w14:textId="18F965FD" w:rsidR="43D44B46" w:rsidRPr="00703A0B" w:rsidRDefault="00D47A1D" w:rsidP="00D47A1D">
      <w:pPr>
        <w:pStyle w:val="Caption"/>
      </w:pPr>
      <w:bookmarkStart w:id="58" w:name="_Ref233701667"/>
      <w:r w:rsidRPr="00703A0B">
        <w:t xml:space="preserve">Table </w:t>
      </w:r>
      <w:r w:rsidRPr="00703A0B">
        <w:fldChar w:fldCharType="begin"/>
      </w:r>
      <w:r w:rsidRPr="00703A0B">
        <w:instrText>SEQ Table \* ARABIC</w:instrText>
      </w:r>
      <w:r w:rsidRPr="00703A0B">
        <w:fldChar w:fldCharType="separate"/>
      </w:r>
      <w:r w:rsidR="003764AA" w:rsidRPr="00EA647C">
        <w:t>7</w:t>
      </w:r>
      <w:r w:rsidRPr="00703A0B">
        <w:fldChar w:fldCharType="end"/>
      </w:r>
      <w:bookmarkEnd w:id="58"/>
      <w:r w:rsidR="43D44B46" w:rsidRPr="00703A0B">
        <w:t xml:space="preserve">: </w:t>
      </w:r>
      <w:r w:rsidR="009E5EAA" w:rsidRPr="00703A0B">
        <w:t>I</w:t>
      </w:r>
      <w:r w:rsidR="00E35C24" w:rsidRPr="00703A0B">
        <w:t xml:space="preserve">nternal review </w:t>
      </w:r>
      <w:r w:rsidR="00860BF7" w:rsidRPr="00703A0B">
        <w:t>finalisation</w:t>
      </w:r>
      <w:r w:rsidR="43D44B46" w:rsidRPr="00703A0B">
        <w:t xml:space="preserve"> time</w:t>
      </w:r>
      <w:r w:rsidR="00860BF7" w:rsidRPr="00703A0B">
        <w:t>frames over the past three years</w:t>
      </w:r>
    </w:p>
    <w:tbl>
      <w:tblPr>
        <w:tblStyle w:val="TableGrid"/>
        <w:tblW w:w="10450" w:type="dxa"/>
        <w:tblCellMar>
          <w:top w:w="28" w:type="dxa"/>
          <w:bottom w:w="28" w:type="dxa"/>
        </w:tblCellMar>
        <w:tblLook w:val="06A0" w:firstRow="1" w:lastRow="0" w:firstColumn="1" w:lastColumn="0" w:noHBand="1" w:noVBand="1"/>
      </w:tblPr>
      <w:tblGrid>
        <w:gridCol w:w="5665"/>
        <w:gridCol w:w="1595"/>
        <w:gridCol w:w="1595"/>
        <w:gridCol w:w="1595"/>
      </w:tblGrid>
      <w:tr w:rsidR="701DC51B" w:rsidRPr="00703A0B" w14:paraId="17690A11" w14:textId="77777777" w:rsidTr="000A652A">
        <w:tc>
          <w:tcPr>
            <w:tcW w:w="5665" w:type="dxa"/>
            <w:shd w:val="clear" w:color="auto" w:fill="BFBFBF" w:themeFill="background1" w:themeFillShade="BF"/>
          </w:tcPr>
          <w:p w14:paraId="74399B60" w14:textId="18BC0BDF" w:rsidR="1EF762AF" w:rsidRPr="00703A0B" w:rsidRDefault="00701B95" w:rsidP="00730922">
            <w:pPr>
              <w:rPr>
                <w:rFonts w:cs="Arial"/>
                <w:b/>
                <w:bCs/>
              </w:rPr>
            </w:pPr>
            <w:r w:rsidRPr="00703A0B">
              <w:rPr>
                <w:rFonts w:cs="Arial"/>
                <w:b/>
                <w:bCs/>
              </w:rPr>
              <w:t>Internal review</w:t>
            </w:r>
          </w:p>
        </w:tc>
        <w:tc>
          <w:tcPr>
            <w:tcW w:w="1595" w:type="dxa"/>
            <w:shd w:val="clear" w:color="auto" w:fill="BFBFBF" w:themeFill="background1" w:themeFillShade="BF"/>
          </w:tcPr>
          <w:p w14:paraId="2ADDED7E" w14:textId="01D60F7D" w:rsidR="1EF762AF" w:rsidRPr="00703A0B" w:rsidRDefault="1EF762AF" w:rsidP="00730922">
            <w:pPr>
              <w:rPr>
                <w:rFonts w:cs="Arial"/>
                <w:b/>
                <w:bCs/>
              </w:rPr>
            </w:pPr>
            <w:r w:rsidRPr="00703A0B">
              <w:rPr>
                <w:rFonts w:cs="Arial"/>
                <w:b/>
                <w:bCs/>
              </w:rPr>
              <w:t>2023</w:t>
            </w:r>
            <w:r w:rsidR="009F7E61" w:rsidRPr="00703A0B">
              <w:rPr>
                <w:rFonts w:cs="Arial"/>
                <w:b/>
                <w:bCs/>
              </w:rPr>
              <w:t>–</w:t>
            </w:r>
            <w:r w:rsidRPr="00703A0B">
              <w:rPr>
                <w:rFonts w:cs="Arial"/>
                <w:b/>
                <w:bCs/>
              </w:rPr>
              <w:t>24</w:t>
            </w:r>
          </w:p>
        </w:tc>
        <w:tc>
          <w:tcPr>
            <w:tcW w:w="1595" w:type="dxa"/>
            <w:shd w:val="clear" w:color="auto" w:fill="BFBFBF" w:themeFill="background1" w:themeFillShade="BF"/>
          </w:tcPr>
          <w:p w14:paraId="06919291" w14:textId="499CE3F3" w:rsidR="1EF762AF" w:rsidRPr="00703A0B" w:rsidRDefault="1EF762AF" w:rsidP="00730922">
            <w:pPr>
              <w:rPr>
                <w:rFonts w:cs="Arial"/>
                <w:b/>
                <w:bCs/>
              </w:rPr>
            </w:pPr>
            <w:r w:rsidRPr="00703A0B">
              <w:rPr>
                <w:rFonts w:cs="Arial"/>
                <w:b/>
                <w:bCs/>
              </w:rPr>
              <w:t>2024</w:t>
            </w:r>
            <w:r w:rsidR="009F7E61" w:rsidRPr="00703A0B">
              <w:rPr>
                <w:rFonts w:cs="Arial"/>
                <w:b/>
                <w:bCs/>
              </w:rPr>
              <w:t>–</w:t>
            </w:r>
            <w:r w:rsidRPr="00703A0B">
              <w:rPr>
                <w:rFonts w:cs="Arial"/>
                <w:b/>
                <w:bCs/>
              </w:rPr>
              <w:t>25</w:t>
            </w:r>
          </w:p>
        </w:tc>
        <w:tc>
          <w:tcPr>
            <w:tcW w:w="1595" w:type="dxa"/>
            <w:shd w:val="clear" w:color="auto" w:fill="BFBFBF" w:themeFill="background1" w:themeFillShade="BF"/>
          </w:tcPr>
          <w:p w14:paraId="690CA6DE" w14:textId="4C015EF5" w:rsidR="1EF762AF" w:rsidRPr="00703A0B" w:rsidRDefault="1EF762AF" w:rsidP="00730922">
            <w:pPr>
              <w:rPr>
                <w:rFonts w:cs="Arial"/>
                <w:b/>
                <w:bCs/>
              </w:rPr>
            </w:pPr>
            <w:r w:rsidRPr="00703A0B">
              <w:rPr>
                <w:rFonts w:cs="Arial"/>
                <w:b/>
                <w:bCs/>
              </w:rPr>
              <w:t>2025</w:t>
            </w:r>
            <w:r w:rsidR="009F7E61" w:rsidRPr="00703A0B">
              <w:rPr>
                <w:rFonts w:cs="Arial"/>
                <w:b/>
                <w:bCs/>
              </w:rPr>
              <w:t>–</w:t>
            </w:r>
            <w:r w:rsidRPr="00703A0B">
              <w:rPr>
                <w:rFonts w:cs="Arial"/>
                <w:b/>
                <w:bCs/>
              </w:rPr>
              <w:t>26</w:t>
            </w:r>
          </w:p>
        </w:tc>
      </w:tr>
      <w:tr w:rsidR="701DC51B" w:rsidRPr="00703A0B" w14:paraId="48E3749D" w14:textId="77777777" w:rsidTr="000A652A">
        <w:tc>
          <w:tcPr>
            <w:tcW w:w="5665" w:type="dxa"/>
          </w:tcPr>
          <w:p w14:paraId="3F697B28" w14:textId="1CC65780" w:rsidR="1EF762AF" w:rsidRPr="00703A0B" w:rsidRDefault="00701B95" w:rsidP="00730922">
            <w:r w:rsidRPr="00703A0B">
              <w:rPr>
                <w:rFonts w:cs="Arial"/>
              </w:rPr>
              <w:t>Avera</w:t>
            </w:r>
            <w:r w:rsidR="009A616E" w:rsidRPr="00703A0B">
              <w:rPr>
                <w:rFonts w:cs="Arial"/>
              </w:rPr>
              <w:t xml:space="preserve">ge number of </w:t>
            </w:r>
            <w:r w:rsidR="009F42A9" w:rsidRPr="00703A0B">
              <w:rPr>
                <w:rFonts w:cs="Arial"/>
              </w:rPr>
              <w:t xml:space="preserve">business </w:t>
            </w:r>
            <w:r w:rsidR="009A616E" w:rsidRPr="00703A0B">
              <w:rPr>
                <w:rFonts w:cs="Arial"/>
              </w:rPr>
              <w:t xml:space="preserve">days to </w:t>
            </w:r>
            <w:r w:rsidRPr="00703A0B" w:rsidDel="0092701C">
              <w:rPr>
                <w:rFonts w:cs="Arial"/>
              </w:rPr>
              <w:t>f</w:t>
            </w:r>
            <w:r w:rsidRPr="00703A0B">
              <w:rPr>
                <w:rFonts w:cs="Arial"/>
              </w:rPr>
              <w:t>inalis</w:t>
            </w:r>
            <w:r w:rsidR="009A616E" w:rsidRPr="00703A0B">
              <w:rPr>
                <w:rFonts w:cs="Arial"/>
              </w:rPr>
              <w:t>e review</w:t>
            </w:r>
          </w:p>
        </w:tc>
        <w:tc>
          <w:tcPr>
            <w:tcW w:w="1595" w:type="dxa"/>
          </w:tcPr>
          <w:p w14:paraId="19EF9B2D" w14:textId="001783A6" w:rsidR="701DC51B" w:rsidRPr="00703A0B" w:rsidRDefault="009F42A9" w:rsidP="00730922">
            <w:pPr>
              <w:rPr>
                <w:rFonts w:cs="Arial"/>
              </w:rPr>
            </w:pPr>
            <w:r w:rsidRPr="00703A0B">
              <w:rPr>
                <w:rFonts w:cs="Arial"/>
              </w:rPr>
              <w:t>23</w:t>
            </w:r>
          </w:p>
          <w:p w14:paraId="79B0D18A" w14:textId="1C59038D" w:rsidR="701DC51B" w:rsidRPr="00703A0B" w:rsidRDefault="701DC51B" w:rsidP="00730922">
            <w:pPr>
              <w:rPr>
                <w:rFonts w:cs="Arial"/>
                <w:b/>
                <w:bCs/>
              </w:rPr>
            </w:pPr>
          </w:p>
        </w:tc>
        <w:tc>
          <w:tcPr>
            <w:tcW w:w="1595" w:type="dxa"/>
          </w:tcPr>
          <w:p w14:paraId="24F39EDE" w14:textId="212228FC" w:rsidR="701DC51B" w:rsidRPr="00703A0B" w:rsidRDefault="009F42A9" w:rsidP="00730922">
            <w:pPr>
              <w:rPr>
                <w:rFonts w:cs="Arial"/>
              </w:rPr>
            </w:pPr>
            <w:r w:rsidRPr="00703A0B">
              <w:rPr>
                <w:rFonts w:cs="Arial"/>
              </w:rPr>
              <w:t>27</w:t>
            </w:r>
          </w:p>
          <w:p w14:paraId="5452AA1B" w14:textId="18A33810" w:rsidR="701DC51B" w:rsidRPr="00703A0B" w:rsidRDefault="701DC51B" w:rsidP="00730922">
            <w:pPr>
              <w:rPr>
                <w:rFonts w:cs="Arial"/>
                <w:b/>
                <w:bCs/>
              </w:rPr>
            </w:pPr>
          </w:p>
        </w:tc>
        <w:tc>
          <w:tcPr>
            <w:tcW w:w="1595" w:type="dxa"/>
          </w:tcPr>
          <w:p w14:paraId="334AB0E6" w14:textId="368B0F6F" w:rsidR="701DC51B" w:rsidRPr="00703A0B" w:rsidRDefault="009F42A9" w:rsidP="00730922">
            <w:pPr>
              <w:rPr>
                <w:rFonts w:cs="Arial"/>
              </w:rPr>
            </w:pPr>
            <w:r w:rsidRPr="00703A0B">
              <w:rPr>
                <w:rFonts w:cs="Arial"/>
              </w:rPr>
              <w:t>19</w:t>
            </w:r>
          </w:p>
          <w:p w14:paraId="6CC573F3" w14:textId="3977B316" w:rsidR="701DC51B" w:rsidRPr="00703A0B" w:rsidRDefault="701DC51B" w:rsidP="00730922">
            <w:pPr>
              <w:rPr>
                <w:rFonts w:cs="Arial"/>
              </w:rPr>
            </w:pPr>
          </w:p>
        </w:tc>
      </w:tr>
    </w:tbl>
    <w:p w14:paraId="588F461B" w14:textId="77777777" w:rsidR="00B460C1" w:rsidRPr="00703A0B" w:rsidRDefault="00C645BD" w:rsidP="00560C69">
      <w:pPr>
        <w:spacing w:before="120" w:after="120"/>
        <w:ind w:left="-11"/>
        <w:rPr>
          <w:rFonts w:cs="Arial"/>
        </w:rPr>
      </w:pPr>
      <w:r w:rsidRPr="00703A0B">
        <w:rPr>
          <w:rFonts w:cs="Arial"/>
        </w:rPr>
        <w:t>T</w:t>
      </w:r>
      <w:r w:rsidR="001124A1" w:rsidRPr="00703A0B">
        <w:rPr>
          <w:rFonts w:cs="Arial"/>
        </w:rPr>
        <w:t xml:space="preserve">he QBCC maintained a </w:t>
      </w:r>
      <w:r w:rsidR="00824C5E" w:rsidRPr="00703A0B">
        <w:rPr>
          <w:rFonts w:cs="Arial"/>
        </w:rPr>
        <w:t xml:space="preserve">strong </w:t>
      </w:r>
      <w:r w:rsidR="001124A1" w:rsidRPr="00703A0B">
        <w:rPr>
          <w:rFonts w:cs="Arial"/>
        </w:rPr>
        <w:t>focus on improving the timeliness of its internal review service</w:t>
      </w:r>
      <w:r w:rsidR="00841E3A" w:rsidRPr="00703A0B">
        <w:rPr>
          <w:rFonts w:cs="Arial"/>
        </w:rPr>
        <w:t xml:space="preserve">, ensuring individuals and businesses could obtain </w:t>
      </w:r>
      <w:r w:rsidR="002B44BE" w:rsidRPr="00703A0B">
        <w:rPr>
          <w:rFonts w:cs="Arial"/>
        </w:rPr>
        <w:t>review outcomes without unnecessary delays</w:t>
      </w:r>
      <w:r w:rsidR="00177348" w:rsidRPr="00703A0B">
        <w:rPr>
          <w:rFonts w:cs="Arial"/>
        </w:rPr>
        <w:t xml:space="preserve">. </w:t>
      </w:r>
      <w:r w:rsidR="00FD5356" w:rsidRPr="00703A0B">
        <w:rPr>
          <w:rFonts w:cs="Arial"/>
        </w:rPr>
        <w:t>Despite an</w:t>
      </w:r>
      <w:r w:rsidR="00B26BA9" w:rsidRPr="00703A0B" w:rsidDel="00047D2B">
        <w:rPr>
          <w:rFonts w:cs="Arial"/>
        </w:rPr>
        <w:t xml:space="preserve"> </w:t>
      </w:r>
      <w:r w:rsidR="0051447B" w:rsidRPr="00703A0B">
        <w:rPr>
          <w:rFonts w:cs="Arial"/>
        </w:rPr>
        <w:t xml:space="preserve">increase in </w:t>
      </w:r>
      <w:r w:rsidR="007F1170" w:rsidRPr="00703A0B">
        <w:rPr>
          <w:rFonts w:cs="Arial"/>
        </w:rPr>
        <w:t>r</w:t>
      </w:r>
      <w:r w:rsidR="00824C5E" w:rsidRPr="00703A0B">
        <w:rPr>
          <w:rFonts w:cs="Arial"/>
        </w:rPr>
        <w:t xml:space="preserve">eview </w:t>
      </w:r>
      <w:r w:rsidR="0051447B" w:rsidRPr="00703A0B">
        <w:rPr>
          <w:rFonts w:cs="Arial"/>
        </w:rPr>
        <w:t xml:space="preserve">requests, </w:t>
      </w:r>
      <w:r w:rsidR="001124A1" w:rsidRPr="00703A0B">
        <w:rPr>
          <w:rFonts w:cs="Arial"/>
        </w:rPr>
        <w:t>finalisation time</w:t>
      </w:r>
      <w:r w:rsidR="007E1A3B" w:rsidRPr="00703A0B">
        <w:rPr>
          <w:rFonts w:cs="Arial"/>
        </w:rPr>
        <w:t>frame</w:t>
      </w:r>
      <w:r w:rsidR="001124A1" w:rsidRPr="00703A0B">
        <w:rPr>
          <w:rFonts w:cs="Arial"/>
        </w:rPr>
        <w:t xml:space="preserve">s </w:t>
      </w:r>
      <w:r w:rsidR="003E5D92" w:rsidRPr="00703A0B">
        <w:rPr>
          <w:rFonts w:cs="Arial"/>
        </w:rPr>
        <w:t>re</w:t>
      </w:r>
      <w:r w:rsidR="00375190" w:rsidRPr="00703A0B">
        <w:rPr>
          <w:rFonts w:cs="Arial"/>
        </w:rPr>
        <w:t>main</w:t>
      </w:r>
      <w:r w:rsidR="003E5D92" w:rsidRPr="00703A0B">
        <w:rPr>
          <w:rFonts w:cs="Arial"/>
        </w:rPr>
        <w:t xml:space="preserve">ed consistent </w:t>
      </w:r>
      <w:r w:rsidR="007F1170" w:rsidRPr="00703A0B">
        <w:rPr>
          <w:rFonts w:cs="Arial"/>
        </w:rPr>
        <w:t>with the previous year</w:t>
      </w:r>
      <w:r w:rsidR="00D32E68" w:rsidRPr="00703A0B">
        <w:rPr>
          <w:rFonts w:cs="Arial"/>
        </w:rPr>
        <w:t xml:space="preserve">, </w:t>
      </w:r>
      <w:r w:rsidR="001124A1" w:rsidRPr="00703A0B">
        <w:rPr>
          <w:rFonts w:cs="Arial"/>
        </w:rPr>
        <w:t>reflect</w:t>
      </w:r>
      <w:r w:rsidR="00D32E68" w:rsidRPr="00703A0B">
        <w:rPr>
          <w:rFonts w:cs="Arial"/>
        </w:rPr>
        <w:t>ing</w:t>
      </w:r>
      <w:r w:rsidR="00822BCC" w:rsidRPr="00703A0B">
        <w:rPr>
          <w:rFonts w:cs="Arial"/>
        </w:rPr>
        <w:t xml:space="preserve"> </w:t>
      </w:r>
      <w:r w:rsidR="001124A1" w:rsidRPr="00703A0B">
        <w:rPr>
          <w:rFonts w:cs="Arial"/>
        </w:rPr>
        <w:t xml:space="preserve">ongoing </w:t>
      </w:r>
      <w:r w:rsidR="00275DEE" w:rsidRPr="00703A0B">
        <w:rPr>
          <w:rFonts w:cs="Arial"/>
        </w:rPr>
        <w:t xml:space="preserve">improvements to </w:t>
      </w:r>
      <w:r w:rsidR="001124A1" w:rsidRPr="00703A0B">
        <w:rPr>
          <w:rFonts w:cs="Arial"/>
        </w:rPr>
        <w:t>review processes and service delivery</w:t>
      </w:r>
      <w:r w:rsidR="00177348" w:rsidRPr="00703A0B">
        <w:rPr>
          <w:rFonts w:cs="Arial"/>
        </w:rPr>
        <w:t>.</w:t>
      </w:r>
      <w:r w:rsidR="00617B2A" w:rsidRPr="00703A0B">
        <w:rPr>
          <w:rFonts w:cs="Arial"/>
        </w:rPr>
        <w:t xml:space="preserve"> </w:t>
      </w:r>
    </w:p>
    <w:p w14:paraId="02B46C0A" w14:textId="73888CD2" w:rsidR="00F42DEF" w:rsidRPr="00703A0B" w:rsidRDefault="00F0160F" w:rsidP="00560C69">
      <w:pPr>
        <w:spacing w:before="120" w:after="120"/>
        <w:ind w:left="-11"/>
      </w:pPr>
      <w:r w:rsidRPr="00703A0B">
        <w:rPr>
          <w:rFonts w:cs="Arial"/>
        </w:rPr>
        <w:t>T</w:t>
      </w:r>
      <w:r w:rsidR="00630267" w:rsidRPr="00703A0B">
        <w:rPr>
          <w:rFonts w:cs="Arial"/>
        </w:rPr>
        <w:t>imel</w:t>
      </w:r>
      <w:r w:rsidRPr="00703A0B">
        <w:rPr>
          <w:rFonts w:cs="Arial"/>
        </w:rPr>
        <w:t xml:space="preserve">y review outcomes help </w:t>
      </w:r>
      <w:r w:rsidR="002B44BE" w:rsidRPr="00703A0B">
        <w:rPr>
          <w:rFonts w:cs="Arial"/>
        </w:rPr>
        <w:t xml:space="preserve">reduce uncertainty, enable </w:t>
      </w:r>
      <w:r w:rsidR="00E03F70" w:rsidRPr="00703A0B">
        <w:rPr>
          <w:rFonts w:cs="Arial"/>
        </w:rPr>
        <w:t>informed decision</w:t>
      </w:r>
      <w:r w:rsidR="007A512A" w:rsidRPr="00703A0B">
        <w:rPr>
          <w:rFonts w:cs="Arial"/>
        </w:rPr>
        <w:t xml:space="preserve"> </w:t>
      </w:r>
      <w:r w:rsidR="002B44BE" w:rsidRPr="00703A0B">
        <w:rPr>
          <w:rFonts w:cs="Arial"/>
        </w:rPr>
        <w:t>making</w:t>
      </w:r>
      <w:r w:rsidR="00E03F70" w:rsidRPr="00703A0B">
        <w:rPr>
          <w:rFonts w:cs="Arial"/>
        </w:rPr>
        <w:t>,</w:t>
      </w:r>
      <w:r w:rsidR="004477B9" w:rsidRPr="00703A0B">
        <w:rPr>
          <w:rFonts w:cs="Arial"/>
        </w:rPr>
        <w:t xml:space="preserve"> </w:t>
      </w:r>
      <w:r w:rsidR="004433B6" w:rsidRPr="00703A0B">
        <w:rPr>
          <w:rFonts w:cs="Arial"/>
        </w:rPr>
        <w:t xml:space="preserve">minimise delays associated with disputed regulatory decisions and contribute to greater confidence </w:t>
      </w:r>
      <w:r w:rsidR="009C6956" w:rsidRPr="00703A0B">
        <w:rPr>
          <w:rFonts w:cs="Arial"/>
        </w:rPr>
        <w:t>across</w:t>
      </w:r>
      <w:r w:rsidR="004433B6" w:rsidRPr="00703A0B">
        <w:rPr>
          <w:rFonts w:cs="Arial"/>
        </w:rPr>
        <w:t xml:space="preserve"> the </w:t>
      </w:r>
      <w:r w:rsidR="004477B9" w:rsidRPr="00703A0B">
        <w:rPr>
          <w:rFonts w:cs="Arial"/>
        </w:rPr>
        <w:t>industry</w:t>
      </w:r>
      <w:r w:rsidR="004433B6" w:rsidRPr="00703A0B">
        <w:rPr>
          <w:rFonts w:cs="Arial"/>
        </w:rPr>
        <w:t>.</w:t>
      </w:r>
      <w:r w:rsidR="00E03F70" w:rsidRPr="00703A0B">
        <w:rPr>
          <w:rFonts w:cs="Arial"/>
        </w:rPr>
        <w:t xml:space="preserve"> </w:t>
      </w:r>
      <w:r w:rsidR="00FB782E" w:rsidRPr="00703A0B">
        <w:rPr>
          <w:rFonts w:cs="Arial"/>
        </w:rPr>
        <w:t xml:space="preserve">While timeliness </w:t>
      </w:r>
      <w:r w:rsidR="00630267" w:rsidRPr="00703A0B">
        <w:rPr>
          <w:rFonts w:cs="Arial"/>
        </w:rPr>
        <w:t xml:space="preserve">remains an important measure of service performance, review decision outcomes provide a </w:t>
      </w:r>
      <w:r w:rsidR="009C6956" w:rsidRPr="00703A0B">
        <w:rPr>
          <w:rFonts w:cs="Arial"/>
        </w:rPr>
        <w:t>valuable insight into</w:t>
      </w:r>
      <w:r w:rsidR="00630267" w:rsidRPr="00703A0B">
        <w:rPr>
          <w:rFonts w:cs="Arial"/>
        </w:rPr>
        <w:t xml:space="preserve"> the </w:t>
      </w:r>
      <w:r w:rsidR="00887E6C" w:rsidRPr="00703A0B">
        <w:rPr>
          <w:rFonts w:cs="Arial"/>
        </w:rPr>
        <w:t>quality</w:t>
      </w:r>
      <w:r w:rsidR="007A5D1F" w:rsidRPr="00703A0B">
        <w:rPr>
          <w:rFonts w:cs="Arial"/>
        </w:rPr>
        <w:t xml:space="preserve">, </w:t>
      </w:r>
      <w:r w:rsidR="001C73EF" w:rsidRPr="00703A0B">
        <w:rPr>
          <w:rFonts w:cs="Arial"/>
        </w:rPr>
        <w:t>consistency</w:t>
      </w:r>
      <w:r w:rsidR="00630267" w:rsidRPr="00703A0B">
        <w:rPr>
          <w:rFonts w:cs="Arial"/>
        </w:rPr>
        <w:t xml:space="preserve"> </w:t>
      </w:r>
      <w:r w:rsidR="007A5D1F" w:rsidRPr="00703A0B">
        <w:rPr>
          <w:rFonts w:cs="Arial"/>
        </w:rPr>
        <w:t xml:space="preserve">and accountability </w:t>
      </w:r>
      <w:r w:rsidR="00630267" w:rsidRPr="00703A0B">
        <w:rPr>
          <w:rFonts w:cs="Arial"/>
        </w:rPr>
        <w:t>of the QBCC's decision-making processes.</w:t>
      </w:r>
      <w:r w:rsidR="00CF2CE6" w:rsidRPr="00703A0B">
        <w:rPr>
          <w:rFonts w:cs="Arial"/>
        </w:rPr>
        <w:t xml:space="preserve"> Effective internal review </w:t>
      </w:r>
      <w:r w:rsidR="006369D2" w:rsidRPr="00703A0B">
        <w:rPr>
          <w:rFonts w:cs="Arial"/>
        </w:rPr>
        <w:t>services</w:t>
      </w:r>
      <w:r w:rsidR="00CF2CE6" w:rsidRPr="00703A0B">
        <w:rPr>
          <w:rFonts w:cs="Arial"/>
        </w:rPr>
        <w:t xml:space="preserve"> support confidence in the regulatory framework by providing an accessible avenue for decision</w:t>
      </w:r>
      <w:r w:rsidR="00126DA0" w:rsidRPr="00703A0B">
        <w:rPr>
          <w:rFonts w:cs="Arial"/>
        </w:rPr>
        <w:t>s</w:t>
      </w:r>
      <w:r w:rsidR="00CF2CE6" w:rsidRPr="00703A0B">
        <w:rPr>
          <w:rFonts w:cs="Arial"/>
        </w:rPr>
        <w:t xml:space="preserve"> </w:t>
      </w:r>
      <w:r w:rsidR="00BB2A7D" w:rsidRPr="00703A0B">
        <w:rPr>
          <w:rFonts w:cs="Arial"/>
        </w:rPr>
        <w:t>to be independently reassessed and appropriately scrutinised</w:t>
      </w:r>
      <w:r w:rsidR="00CF2CE6" w:rsidRPr="00703A0B">
        <w:rPr>
          <w:rFonts w:cs="Arial"/>
        </w:rPr>
        <w:t>.</w:t>
      </w:r>
      <w:r w:rsidR="00630267" w:rsidRPr="00703A0B">
        <w:rPr>
          <w:rFonts w:cs="Arial"/>
        </w:rPr>
        <w:t xml:space="preserve"> </w:t>
      </w:r>
      <w:r w:rsidR="009A7E51" w:rsidRPr="00703A0B">
        <w:rPr>
          <w:rFonts w:cs="Arial"/>
        </w:rPr>
        <w:fldChar w:fldCharType="begin"/>
      </w:r>
      <w:r w:rsidR="009A7E51" w:rsidRPr="00703A0B">
        <w:rPr>
          <w:rFonts w:cs="Arial"/>
        </w:rPr>
        <w:instrText xml:space="preserve"> REF _Ref235538825 \h  \* MERGEFORMAT </w:instrText>
      </w:r>
      <w:r w:rsidR="009A7E51" w:rsidRPr="00703A0B">
        <w:rPr>
          <w:rFonts w:cs="Arial"/>
        </w:rPr>
      </w:r>
      <w:r w:rsidR="009A7E51" w:rsidRPr="00703A0B">
        <w:rPr>
          <w:rFonts w:cs="Arial"/>
        </w:rPr>
        <w:fldChar w:fldCharType="separate"/>
      </w:r>
      <w:r w:rsidR="009A7E51" w:rsidRPr="00703A0B">
        <w:rPr>
          <w:bCs/>
        </w:rPr>
        <w:t xml:space="preserve">Figure </w:t>
      </w:r>
      <w:r w:rsidR="009A7E51" w:rsidRPr="00EA647C">
        <w:rPr>
          <w:bCs/>
        </w:rPr>
        <w:t>3</w:t>
      </w:r>
      <w:r w:rsidR="009A7E51" w:rsidRPr="00703A0B">
        <w:rPr>
          <w:rFonts w:cs="Arial"/>
        </w:rPr>
        <w:fldChar w:fldCharType="end"/>
      </w:r>
      <w:r w:rsidR="009A7E51" w:rsidRPr="00703A0B">
        <w:rPr>
          <w:rFonts w:cs="Arial"/>
        </w:rPr>
        <w:t xml:space="preserve"> </w:t>
      </w:r>
      <w:r w:rsidR="00630267" w:rsidRPr="00703A0B">
        <w:rPr>
          <w:rFonts w:cs="Arial"/>
        </w:rPr>
        <w:t xml:space="preserve">summarises the outcomes of internal review decisions over </w:t>
      </w:r>
      <w:r w:rsidR="00755A7C" w:rsidRPr="00703A0B">
        <w:rPr>
          <w:rFonts w:cs="Arial"/>
        </w:rPr>
        <w:t>time</w:t>
      </w:r>
      <w:r w:rsidR="00630267" w:rsidRPr="00703A0B">
        <w:rPr>
          <w:rFonts w:cs="Arial"/>
        </w:rPr>
        <w:t>.</w:t>
      </w:r>
    </w:p>
    <w:p w14:paraId="0FF90479" w14:textId="6A449CF3" w:rsidR="009A7E51" w:rsidRPr="00703A0B" w:rsidRDefault="00035270">
      <w:pPr>
        <w:rPr>
          <w:rFonts w:eastAsia="MS Mincho" w:cs="Arial"/>
        </w:rPr>
      </w:pPr>
      <w:r w:rsidRPr="00BB72F2">
        <w:rPr>
          <w:rFonts w:eastAsia="MS Mincho" w:cs="Arial"/>
          <w:noProof/>
        </w:rPr>
        <w:lastRenderedPageBreak/>
        <w:drawing>
          <wp:inline distT="0" distB="0" distL="0" distR="0" wp14:anchorId="287CBF09" wp14:editId="54B982C7">
            <wp:extent cx="4191000" cy="2076450"/>
            <wp:effectExtent l="0" t="0" r="0" b="0"/>
            <wp:docPr id="184323875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238753" name=""/>
                    <pic:cNvPicPr/>
                  </pic:nvPicPr>
                  <pic:blipFill>
                    <a:blip r:embed="rId26">
                      <a:extLst>
                        <a:ext uri="{96DAC541-7B7A-43D3-8B79-37D633B846F1}">
                          <asvg:svgBlip xmlns:asvg="http://schemas.microsoft.com/office/drawing/2016/SVG/main" r:embed="rId27"/>
                        </a:ext>
                      </a:extLst>
                    </a:blip>
                    <a:stretch>
                      <a:fillRect/>
                    </a:stretch>
                  </pic:blipFill>
                  <pic:spPr>
                    <a:xfrm>
                      <a:off x="0" y="0"/>
                      <a:ext cx="4191000" cy="2076450"/>
                    </a:xfrm>
                    <a:prstGeom prst="rect">
                      <a:avLst/>
                    </a:prstGeom>
                  </pic:spPr>
                </pic:pic>
              </a:graphicData>
            </a:graphic>
          </wp:inline>
        </w:drawing>
      </w:r>
    </w:p>
    <w:p w14:paraId="398517D4" w14:textId="4ECE7DBE" w:rsidR="009A7E51" w:rsidRPr="00703A0B" w:rsidRDefault="009A7E51" w:rsidP="00994D10">
      <w:pPr>
        <w:pStyle w:val="Caption"/>
        <w:rPr>
          <w:rFonts w:eastAsia="MS Mincho"/>
          <w:i/>
        </w:rPr>
      </w:pPr>
      <w:bookmarkStart w:id="59" w:name="_Ref235538825"/>
      <w:r w:rsidRPr="00703A0B">
        <w:rPr>
          <w:b w:val="0"/>
          <w:i/>
        </w:rPr>
        <w:t xml:space="preserve">Figure </w:t>
      </w:r>
      <w:r w:rsidRPr="00703A0B">
        <w:rPr>
          <w:b w:val="0"/>
          <w:i/>
        </w:rPr>
        <w:fldChar w:fldCharType="begin"/>
      </w:r>
      <w:r w:rsidRPr="00703A0B">
        <w:rPr>
          <w:b w:val="0"/>
          <w:i/>
        </w:rPr>
        <w:instrText xml:space="preserve"> SEQ Figure \* ARABIC </w:instrText>
      </w:r>
      <w:r w:rsidRPr="00703A0B">
        <w:rPr>
          <w:b w:val="0"/>
          <w:i/>
        </w:rPr>
        <w:fldChar w:fldCharType="separate"/>
      </w:r>
      <w:r w:rsidR="00051582" w:rsidRPr="00EA647C">
        <w:rPr>
          <w:b w:val="0"/>
          <w:i/>
        </w:rPr>
        <w:t>3</w:t>
      </w:r>
      <w:r w:rsidRPr="00703A0B">
        <w:rPr>
          <w:b w:val="0"/>
          <w:i/>
        </w:rPr>
        <w:fldChar w:fldCharType="end"/>
      </w:r>
      <w:bookmarkEnd w:id="59"/>
      <w:r w:rsidRPr="00703A0B">
        <w:rPr>
          <w:b w:val="0"/>
          <w:i/>
        </w:rPr>
        <w:t>: Decision outcomes from the completed internal review</w:t>
      </w:r>
      <w:r w:rsidR="00651F3C" w:rsidRPr="00703A0B">
        <w:rPr>
          <w:b w:val="0"/>
          <w:i/>
        </w:rPr>
        <w:t>s</w:t>
      </w:r>
      <w:r w:rsidRPr="00703A0B">
        <w:rPr>
          <w:b w:val="0"/>
          <w:i/>
        </w:rPr>
        <w:t xml:space="preserve"> over the past three years</w:t>
      </w:r>
    </w:p>
    <w:p w14:paraId="69FE0EB4" w14:textId="77777777" w:rsidR="009A7E51" w:rsidRPr="00703A0B" w:rsidRDefault="009A7E51">
      <w:pPr>
        <w:rPr>
          <w:rFonts w:eastAsia="MS Mincho" w:cs="Arial"/>
        </w:rPr>
      </w:pPr>
    </w:p>
    <w:p w14:paraId="48373043" w14:textId="44CE9070" w:rsidR="00192B35" w:rsidRPr="00703A0B" w:rsidRDefault="005F5E69">
      <w:pPr>
        <w:rPr>
          <w:rFonts w:eastAsia="MS Mincho" w:cs="Arial"/>
          <w:b/>
          <w:sz w:val="28"/>
          <w:szCs w:val="22"/>
        </w:rPr>
      </w:pPr>
      <w:r w:rsidRPr="00703A0B">
        <w:rPr>
          <w:rFonts w:eastAsia="MS Mincho" w:cs="Arial"/>
        </w:rPr>
        <w:t>The increase in upheld decisions and reduction in deemed decisions indicate</w:t>
      </w:r>
      <w:r w:rsidR="001A649A" w:rsidRPr="00703A0B">
        <w:rPr>
          <w:rFonts w:eastAsia="MS Mincho" w:cs="Arial"/>
        </w:rPr>
        <w:t xml:space="preserve"> continued</w:t>
      </w:r>
      <w:r w:rsidRPr="00703A0B">
        <w:rPr>
          <w:rFonts w:eastAsia="MS Mincho" w:cs="Arial"/>
        </w:rPr>
        <w:t xml:space="preserve"> impro</w:t>
      </w:r>
      <w:r w:rsidR="001D27AF" w:rsidRPr="00703A0B">
        <w:rPr>
          <w:rFonts w:eastAsia="MS Mincho" w:cs="Arial"/>
        </w:rPr>
        <w:t xml:space="preserve">vements in the quality, consistency and timeliness of </w:t>
      </w:r>
      <w:r w:rsidR="00CF40FF" w:rsidRPr="00703A0B">
        <w:rPr>
          <w:rFonts w:eastAsia="MS Mincho" w:cs="Arial"/>
        </w:rPr>
        <w:t xml:space="preserve">the </w:t>
      </w:r>
      <w:r w:rsidR="001D27AF" w:rsidRPr="00703A0B">
        <w:rPr>
          <w:rFonts w:eastAsia="MS Mincho" w:cs="Arial"/>
        </w:rPr>
        <w:t>QBCC</w:t>
      </w:r>
      <w:r w:rsidR="002B32E5" w:rsidRPr="00703A0B">
        <w:rPr>
          <w:rFonts w:eastAsia="MS Mincho" w:cs="Arial"/>
        </w:rPr>
        <w:t xml:space="preserve"> </w:t>
      </w:r>
      <w:r w:rsidRPr="00703A0B">
        <w:rPr>
          <w:rFonts w:eastAsia="MS Mincho" w:cs="Arial"/>
        </w:rPr>
        <w:t>decision-making processes</w:t>
      </w:r>
      <w:r w:rsidR="00980D70" w:rsidRPr="00703A0B">
        <w:rPr>
          <w:rFonts w:eastAsia="MS Mincho" w:cs="Arial"/>
        </w:rPr>
        <w:t xml:space="preserve">. </w:t>
      </w:r>
      <w:r w:rsidR="000E6E26" w:rsidRPr="00703A0B">
        <w:rPr>
          <w:rFonts w:eastAsia="MS Mincho" w:cs="Arial"/>
        </w:rPr>
        <w:t>The relatively l</w:t>
      </w:r>
      <w:r w:rsidR="000922EC" w:rsidRPr="00703A0B">
        <w:rPr>
          <w:rFonts w:eastAsia="MS Mincho" w:cs="Arial"/>
        </w:rPr>
        <w:t xml:space="preserve">ow and stable rates of varied and overturned decisions </w:t>
      </w:r>
      <w:r w:rsidR="00F840A3" w:rsidRPr="00703A0B">
        <w:rPr>
          <w:rFonts w:eastAsia="MS Mincho" w:cs="Arial"/>
        </w:rPr>
        <w:t xml:space="preserve">suggest </w:t>
      </w:r>
      <w:r w:rsidR="000E6E26" w:rsidRPr="00703A0B">
        <w:rPr>
          <w:rFonts w:eastAsia="MS Mincho" w:cs="Arial"/>
        </w:rPr>
        <w:t xml:space="preserve">that original </w:t>
      </w:r>
      <w:r w:rsidR="00F370D8" w:rsidRPr="00703A0B">
        <w:rPr>
          <w:rFonts w:eastAsia="MS Mincho" w:cs="Arial"/>
        </w:rPr>
        <w:t>decision</w:t>
      </w:r>
      <w:r w:rsidR="000E6E26" w:rsidRPr="00703A0B">
        <w:rPr>
          <w:rFonts w:eastAsia="MS Mincho" w:cs="Arial"/>
        </w:rPr>
        <w:t>s are generally robust and</w:t>
      </w:r>
      <w:r w:rsidR="00610599" w:rsidRPr="00703A0B">
        <w:rPr>
          <w:rFonts w:eastAsia="MS Mincho" w:cs="Arial"/>
        </w:rPr>
        <w:t xml:space="preserve"> </w:t>
      </w:r>
      <w:r w:rsidR="0050116D" w:rsidRPr="00703A0B">
        <w:rPr>
          <w:rFonts w:eastAsia="MS Mincho" w:cs="Arial"/>
        </w:rPr>
        <w:t xml:space="preserve">able to </w:t>
      </w:r>
      <w:r w:rsidR="00FC1D93" w:rsidRPr="00703A0B">
        <w:rPr>
          <w:rFonts w:eastAsia="MS Mincho" w:cs="Arial"/>
        </w:rPr>
        <w:t xml:space="preserve">withstand </w:t>
      </w:r>
      <w:r w:rsidR="0074558B" w:rsidRPr="00703A0B">
        <w:rPr>
          <w:rFonts w:eastAsia="MS Mincho" w:cs="Arial"/>
        </w:rPr>
        <w:t xml:space="preserve">independent </w:t>
      </w:r>
      <w:r w:rsidR="00FC1D93" w:rsidRPr="00703A0B">
        <w:rPr>
          <w:rFonts w:eastAsia="MS Mincho" w:cs="Arial"/>
        </w:rPr>
        <w:t xml:space="preserve">scrutiny </w:t>
      </w:r>
      <w:r w:rsidR="0074558B" w:rsidRPr="00703A0B">
        <w:rPr>
          <w:rFonts w:eastAsia="MS Mincho" w:cs="Arial"/>
        </w:rPr>
        <w:t xml:space="preserve">through the </w:t>
      </w:r>
      <w:r w:rsidR="00B93C48" w:rsidRPr="00703A0B">
        <w:rPr>
          <w:rFonts w:eastAsia="MS Mincho" w:cs="Arial"/>
        </w:rPr>
        <w:t>appeal</w:t>
      </w:r>
      <w:r w:rsidR="0074558B" w:rsidRPr="00703A0B">
        <w:rPr>
          <w:rFonts w:eastAsia="MS Mincho" w:cs="Arial"/>
        </w:rPr>
        <w:t>s</w:t>
      </w:r>
      <w:r w:rsidR="00B93C48" w:rsidRPr="00703A0B">
        <w:rPr>
          <w:rFonts w:eastAsia="MS Mincho" w:cs="Arial"/>
        </w:rPr>
        <w:t xml:space="preserve"> process</w:t>
      </w:r>
      <w:r w:rsidR="00884294" w:rsidRPr="00703A0B">
        <w:rPr>
          <w:rFonts w:eastAsia="MS Mincho" w:cs="Arial"/>
        </w:rPr>
        <w:t xml:space="preserve">. </w:t>
      </w:r>
      <w:r w:rsidR="00980D70" w:rsidRPr="00703A0B">
        <w:rPr>
          <w:rFonts w:eastAsia="MS Mincho" w:cs="Arial"/>
        </w:rPr>
        <w:t xml:space="preserve">These outcomes </w:t>
      </w:r>
      <w:r w:rsidR="001A649A" w:rsidRPr="00703A0B">
        <w:rPr>
          <w:rFonts w:eastAsia="MS Mincho" w:cs="Arial"/>
        </w:rPr>
        <w:t xml:space="preserve">help </w:t>
      </w:r>
      <w:r w:rsidR="00980D70" w:rsidRPr="00703A0B">
        <w:rPr>
          <w:rFonts w:eastAsia="MS Mincho" w:cs="Arial"/>
        </w:rPr>
        <w:t xml:space="preserve">strengthen confidence in the </w:t>
      </w:r>
      <w:r w:rsidRPr="00703A0B">
        <w:rPr>
          <w:rFonts w:eastAsia="MS Mincho" w:cs="Arial"/>
        </w:rPr>
        <w:t xml:space="preserve">QBCC's regulatory </w:t>
      </w:r>
      <w:r w:rsidR="001A649A" w:rsidRPr="00703A0B">
        <w:rPr>
          <w:rFonts w:eastAsia="MS Mincho" w:cs="Arial"/>
        </w:rPr>
        <w:t xml:space="preserve">framework </w:t>
      </w:r>
      <w:r w:rsidRPr="00703A0B">
        <w:rPr>
          <w:rFonts w:eastAsia="MS Mincho" w:cs="Arial"/>
        </w:rPr>
        <w:t>among consumers, licensees and industry stakeholders.</w:t>
      </w:r>
      <w:r w:rsidR="00C7161F" w:rsidRPr="00703A0B">
        <w:rPr>
          <w:rFonts w:eastAsia="MS Mincho" w:cs="Arial"/>
        </w:rPr>
        <w:t xml:space="preserve"> </w:t>
      </w:r>
      <w:r w:rsidR="009B7056" w:rsidRPr="00703A0B">
        <w:rPr>
          <w:rFonts w:eastAsia="MS Mincho" w:cs="Arial"/>
        </w:rPr>
        <w:t>Consisten</w:t>
      </w:r>
      <w:r w:rsidR="00D732FA" w:rsidRPr="00703A0B">
        <w:rPr>
          <w:rFonts w:eastAsia="MS Mincho" w:cs="Arial"/>
        </w:rPr>
        <w:t>t</w:t>
      </w:r>
      <w:r w:rsidR="00944F95" w:rsidRPr="00703A0B">
        <w:rPr>
          <w:rFonts w:eastAsia="MS Mincho" w:cs="Arial"/>
        </w:rPr>
        <w:t xml:space="preserve"> decision</w:t>
      </w:r>
      <w:r w:rsidR="008C47F1" w:rsidRPr="00703A0B">
        <w:rPr>
          <w:rFonts w:eastAsia="MS Mincho" w:cs="Arial"/>
        </w:rPr>
        <w:t xml:space="preserve"> </w:t>
      </w:r>
      <w:r w:rsidR="00944F95" w:rsidRPr="00703A0B">
        <w:rPr>
          <w:rFonts w:eastAsia="MS Mincho" w:cs="Arial"/>
        </w:rPr>
        <w:t>making provides</w:t>
      </w:r>
      <w:r w:rsidR="001454E1" w:rsidRPr="00703A0B">
        <w:rPr>
          <w:rFonts w:eastAsia="MS Mincho" w:cs="Arial"/>
        </w:rPr>
        <w:t xml:space="preserve"> clearer and more predictable regulatory expectations </w:t>
      </w:r>
      <w:r w:rsidR="0071154F" w:rsidRPr="00703A0B">
        <w:rPr>
          <w:rFonts w:eastAsia="MS Mincho" w:cs="Arial"/>
        </w:rPr>
        <w:t xml:space="preserve">for industry </w:t>
      </w:r>
      <w:r w:rsidR="006605B8" w:rsidRPr="00703A0B">
        <w:rPr>
          <w:rFonts w:eastAsia="MS Mincho" w:cs="Arial"/>
        </w:rPr>
        <w:t>professional</w:t>
      </w:r>
      <w:r w:rsidR="00DA57FC" w:rsidRPr="00703A0B">
        <w:rPr>
          <w:rFonts w:eastAsia="MS Mincho" w:cs="Arial"/>
        </w:rPr>
        <w:t>s</w:t>
      </w:r>
      <w:r w:rsidR="0073725A" w:rsidRPr="00703A0B">
        <w:rPr>
          <w:rFonts w:eastAsia="MS Mincho" w:cs="Arial"/>
        </w:rPr>
        <w:t xml:space="preserve">, supporting proactive compliance, reducing </w:t>
      </w:r>
      <w:r w:rsidR="002D546D" w:rsidRPr="00703A0B">
        <w:rPr>
          <w:rFonts w:eastAsia="MS Mincho" w:cs="Arial"/>
        </w:rPr>
        <w:t xml:space="preserve">regulatory uncertainty and encouraging </w:t>
      </w:r>
      <w:r w:rsidR="00E551C2" w:rsidRPr="00703A0B">
        <w:rPr>
          <w:rFonts w:eastAsia="MS Mincho" w:cs="Arial"/>
        </w:rPr>
        <w:t xml:space="preserve">higher standards of building practice across the residential construction </w:t>
      </w:r>
      <w:r w:rsidR="00C13FA1" w:rsidRPr="00703A0B">
        <w:rPr>
          <w:rFonts w:eastAsia="MS Mincho" w:cs="Arial"/>
        </w:rPr>
        <w:t>sector.</w:t>
      </w:r>
      <w:r w:rsidR="00901436" w:rsidRPr="00703A0B">
        <w:rPr>
          <w:rFonts w:eastAsia="MS Mincho" w:cs="Arial"/>
        </w:rPr>
        <w:t xml:space="preserve"> Effective review processes </w:t>
      </w:r>
      <w:r w:rsidR="00E21F30" w:rsidRPr="00703A0B">
        <w:rPr>
          <w:rFonts w:eastAsia="MS Mincho" w:cs="Arial"/>
        </w:rPr>
        <w:t>contribute to</w:t>
      </w:r>
      <w:r w:rsidR="00901436" w:rsidRPr="00703A0B">
        <w:rPr>
          <w:rFonts w:eastAsia="MS Mincho" w:cs="Arial"/>
        </w:rPr>
        <w:t xml:space="preserve"> a fairer, more accountable and better-performing industry </w:t>
      </w:r>
      <w:r w:rsidR="00725BE9" w:rsidRPr="00703A0B">
        <w:rPr>
          <w:rFonts w:eastAsia="MS Mincho" w:cs="Arial"/>
        </w:rPr>
        <w:t xml:space="preserve">that </w:t>
      </w:r>
      <w:r w:rsidR="00E970A2" w:rsidRPr="00703A0B">
        <w:rPr>
          <w:rFonts w:eastAsia="MS Mincho" w:cs="Arial"/>
        </w:rPr>
        <w:t xml:space="preserve">benefits contractors, consumers and the broader </w:t>
      </w:r>
      <w:r w:rsidR="00701CFF" w:rsidRPr="00703A0B">
        <w:rPr>
          <w:rFonts w:eastAsia="MS Mincho" w:cs="Arial"/>
        </w:rPr>
        <w:t>Queensland community</w:t>
      </w:r>
      <w:r w:rsidR="00901436" w:rsidRPr="00703A0B">
        <w:rPr>
          <w:rFonts w:eastAsia="MS Mincho" w:cs="Arial"/>
        </w:rPr>
        <w:t>.</w:t>
      </w:r>
    </w:p>
    <w:p w14:paraId="73772C59" w14:textId="17904A12" w:rsidR="00206EC1" w:rsidRPr="00703A0B" w:rsidRDefault="00206EC1" w:rsidP="00206EC1">
      <w:pPr>
        <w:pStyle w:val="Heading3"/>
      </w:pPr>
      <w:bookmarkStart w:id="60" w:name="_Looking_ahead_2"/>
      <w:bookmarkEnd w:id="60"/>
      <w:r w:rsidRPr="00703A0B">
        <w:t>Looking ahead</w:t>
      </w:r>
    </w:p>
    <w:p w14:paraId="7FCF0770" w14:textId="1927CFB9" w:rsidR="009A67CA" w:rsidRPr="00703A0B" w:rsidRDefault="78974BDF" w:rsidP="4AB64149">
      <w:pPr>
        <w:spacing w:before="120" w:after="120" w:line="259" w:lineRule="auto"/>
        <w:rPr>
          <w:rFonts w:eastAsia="MS Mincho" w:cs="Arial"/>
          <w:szCs w:val="22"/>
        </w:rPr>
      </w:pPr>
      <w:r w:rsidRPr="00703A0B">
        <w:rPr>
          <w:rFonts w:eastAsia="MS Mincho" w:cs="Arial"/>
          <w:szCs w:val="22"/>
        </w:rPr>
        <w:t xml:space="preserve">Over the next </w:t>
      </w:r>
      <w:r w:rsidR="008E688D" w:rsidRPr="00703A0B">
        <w:rPr>
          <w:rFonts w:eastAsia="MS Mincho" w:cs="Arial"/>
          <w:szCs w:val="22"/>
        </w:rPr>
        <w:t>12</w:t>
      </w:r>
      <w:r w:rsidRPr="00703A0B">
        <w:rPr>
          <w:rFonts w:eastAsia="MS Mincho" w:cs="Arial"/>
          <w:szCs w:val="22"/>
        </w:rPr>
        <w:t xml:space="preserve"> months</w:t>
      </w:r>
      <w:r w:rsidR="00A3178C" w:rsidRPr="00703A0B">
        <w:rPr>
          <w:rFonts w:eastAsia="MS Mincho" w:cs="Arial"/>
          <w:szCs w:val="22"/>
        </w:rPr>
        <w:t>,</w:t>
      </w:r>
      <w:r w:rsidRPr="00703A0B">
        <w:rPr>
          <w:rFonts w:eastAsia="MS Mincho" w:cs="Arial"/>
          <w:szCs w:val="22"/>
        </w:rPr>
        <w:t xml:space="preserve"> the QBCC will continue to strengthen its internal review service to </w:t>
      </w:r>
      <w:r w:rsidR="00E96B87" w:rsidRPr="00703A0B">
        <w:rPr>
          <w:rFonts w:eastAsia="MS Mincho" w:cs="Arial"/>
          <w:szCs w:val="22"/>
        </w:rPr>
        <w:t>support</w:t>
      </w:r>
      <w:r w:rsidRPr="00703A0B">
        <w:rPr>
          <w:rFonts w:eastAsia="MS Mincho" w:cs="Arial"/>
          <w:szCs w:val="22"/>
        </w:rPr>
        <w:t xml:space="preserve"> fair </w:t>
      </w:r>
      <w:r w:rsidR="00211B1A" w:rsidRPr="00703A0B">
        <w:rPr>
          <w:rFonts w:eastAsia="MS Mincho" w:cs="Arial"/>
          <w:szCs w:val="22"/>
        </w:rPr>
        <w:t xml:space="preserve">and </w:t>
      </w:r>
      <w:r w:rsidRPr="00703A0B">
        <w:rPr>
          <w:rFonts w:eastAsia="MS Mincho" w:cs="Arial"/>
          <w:szCs w:val="22"/>
        </w:rPr>
        <w:t>transparent</w:t>
      </w:r>
      <w:r w:rsidR="00211B1A" w:rsidRPr="00703A0B">
        <w:rPr>
          <w:rFonts w:eastAsia="MS Mincho" w:cs="Arial"/>
          <w:szCs w:val="22"/>
        </w:rPr>
        <w:t xml:space="preserve"> </w:t>
      </w:r>
      <w:r w:rsidR="00AF2EB7" w:rsidRPr="00703A0B">
        <w:rPr>
          <w:rFonts w:eastAsia="MS Mincho" w:cs="Arial"/>
          <w:szCs w:val="22"/>
        </w:rPr>
        <w:t>regulatory decision</w:t>
      </w:r>
      <w:r w:rsidR="004C2AF8" w:rsidRPr="00703A0B">
        <w:rPr>
          <w:rFonts w:eastAsia="MS Mincho" w:cs="Arial"/>
          <w:szCs w:val="22"/>
        </w:rPr>
        <w:t xml:space="preserve"> making. A key focus will be on delivering </w:t>
      </w:r>
      <w:r w:rsidR="00E85085" w:rsidRPr="00703A0B">
        <w:rPr>
          <w:rFonts w:eastAsia="MS Mincho" w:cs="Arial"/>
          <w:szCs w:val="22"/>
        </w:rPr>
        <w:t xml:space="preserve">high-quality </w:t>
      </w:r>
      <w:r w:rsidR="00115D7C" w:rsidRPr="00703A0B">
        <w:rPr>
          <w:rFonts w:eastAsia="MS Mincho" w:cs="Arial"/>
          <w:szCs w:val="22"/>
        </w:rPr>
        <w:t xml:space="preserve">and timely </w:t>
      </w:r>
      <w:r w:rsidR="00E85085" w:rsidRPr="00703A0B">
        <w:rPr>
          <w:rFonts w:eastAsia="MS Mincho" w:cs="Arial"/>
          <w:szCs w:val="22"/>
        </w:rPr>
        <w:t xml:space="preserve">review outcomes, while </w:t>
      </w:r>
      <w:r w:rsidR="00115D7C" w:rsidRPr="00703A0B">
        <w:rPr>
          <w:rFonts w:eastAsia="MS Mincho" w:cs="Arial"/>
          <w:szCs w:val="22"/>
        </w:rPr>
        <w:t xml:space="preserve">strengthening consistency and </w:t>
      </w:r>
      <w:r w:rsidR="001F78D4" w:rsidRPr="00703A0B">
        <w:rPr>
          <w:rFonts w:eastAsia="MS Mincho" w:cs="Arial"/>
          <w:szCs w:val="22"/>
        </w:rPr>
        <w:t>building stakeholder confidence in the review process</w:t>
      </w:r>
      <w:r w:rsidRPr="00703A0B">
        <w:rPr>
          <w:rFonts w:eastAsia="MS Mincho" w:cs="Arial"/>
          <w:szCs w:val="22"/>
        </w:rPr>
        <w:t xml:space="preserve">. </w:t>
      </w:r>
    </w:p>
    <w:p w14:paraId="1B287DA6" w14:textId="3A80F1F5" w:rsidR="78974BDF" w:rsidRPr="00703A0B" w:rsidRDefault="78974BDF" w:rsidP="4AB64149">
      <w:pPr>
        <w:spacing w:before="120" w:after="120" w:line="259" w:lineRule="auto"/>
      </w:pPr>
      <w:r w:rsidRPr="00703A0B">
        <w:rPr>
          <w:rFonts w:eastAsia="MS Mincho" w:cs="Arial"/>
          <w:szCs w:val="22"/>
        </w:rPr>
        <w:t>Key priorities include:</w:t>
      </w:r>
    </w:p>
    <w:p w14:paraId="2CCAE6CD" w14:textId="449AF2F7" w:rsidR="78974BDF" w:rsidRPr="00703A0B" w:rsidRDefault="00B776BD" w:rsidP="00A75BC8">
      <w:pPr>
        <w:pStyle w:val="ListParagraph"/>
        <w:numPr>
          <w:ilvl w:val="0"/>
          <w:numId w:val="60"/>
        </w:numPr>
        <w:spacing w:before="120" w:after="120" w:line="259" w:lineRule="auto"/>
        <w:ind w:left="714" w:hanging="357"/>
        <w:contextualSpacing w:val="0"/>
        <w:rPr>
          <w:rFonts w:eastAsia="MS Mincho" w:cs="Arial"/>
          <w:szCs w:val="22"/>
        </w:rPr>
      </w:pPr>
      <w:r w:rsidRPr="00703A0B">
        <w:rPr>
          <w:rFonts w:eastAsia="MS Mincho" w:cs="Arial"/>
          <w:szCs w:val="22"/>
        </w:rPr>
        <w:t>m</w:t>
      </w:r>
      <w:r w:rsidR="78974BDF" w:rsidRPr="00703A0B">
        <w:rPr>
          <w:rFonts w:eastAsia="MS Mincho" w:cs="Arial"/>
          <w:szCs w:val="22"/>
        </w:rPr>
        <w:t xml:space="preserve">aintaining timely review outcomes </w:t>
      </w:r>
      <w:r w:rsidR="003F0436" w:rsidRPr="00703A0B">
        <w:rPr>
          <w:rFonts w:eastAsia="MS Mincho" w:cs="Arial"/>
          <w:szCs w:val="22"/>
        </w:rPr>
        <w:t xml:space="preserve">through ongoing </w:t>
      </w:r>
      <w:r w:rsidR="78974BDF" w:rsidRPr="00703A0B">
        <w:rPr>
          <w:rFonts w:eastAsia="MS Mincho" w:cs="Arial"/>
          <w:szCs w:val="22"/>
        </w:rPr>
        <w:t>process</w:t>
      </w:r>
      <w:r w:rsidR="003F0436" w:rsidRPr="00703A0B">
        <w:rPr>
          <w:rFonts w:eastAsia="MS Mincho" w:cs="Arial"/>
          <w:szCs w:val="22"/>
        </w:rPr>
        <w:t xml:space="preserve"> improvements </w:t>
      </w:r>
      <w:r w:rsidR="78974BDF" w:rsidRPr="00703A0B">
        <w:rPr>
          <w:rFonts w:eastAsia="MS Mincho" w:cs="Arial"/>
          <w:szCs w:val="22"/>
        </w:rPr>
        <w:t xml:space="preserve">and </w:t>
      </w:r>
      <w:r w:rsidR="00426137" w:rsidRPr="00703A0B">
        <w:rPr>
          <w:rFonts w:eastAsia="MS Mincho" w:cs="Arial"/>
          <w:szCs w:val="22"/>
        </w:rPr>
        <w:t>adherence to</w:t>
      </w:r>
      <w:r w:rsidR="78974BDF" w:rsidRPr="00703A0B">
        <w:rPr>
          <w:rFonts w:eastAsia="MS Mincho" w:cs="Arial"/>
          <w:szCs w:val="22"/>
        </w:rPr>
        <w:t xml:space="preserve"> legislated timeframes</w:t>
      </w:r>
    </w:p>
    <w:p w14:paraId="1B29CA37" w14:textId="58E842EE" w:rsidR="78974BDF" w:rsidRPr="00703A0B" w:rsidRDefault="00B776BD" w:rsidP="00A75BC8">
      <w:pPr>
        <w:pStyle w:val="ListParagraph"/>
        <w:numPr>
          <w:ilvl w:val="0"/>
          <w:numId w:val="60"/>
        </w:numPr>
        <w:spacing w:before="120" w:after="120" w:line="259" w:lineRule="auto"/>
        <w:ind w:left="714" w:hanging="357"/>
        <w:contextualSpacing w:val="0"/>
        <w:rPr>
          <w:rFonts w:eastAsia="MS Mincho" w:cs="Arial"/>
          <w:szCs w:val="22"/>
        </w:rPr>
      </w:pPr>
      <w:r w:rsidRPr="00703A0B">
        <w:rPr>
          <w:rFonts w:eastAsia="MS Mincho" w:cs="Arial"/>
          <w:szCs w:val="22"/>
        </w:rPr>
        <w:t>s</w:t>
      </w:r>
      <w:r w:rsidR="78974BDF" w:rsidRPr="00703A0B">
        <w:rPr>
          <w:rFonts w:eastAsia="MS Mincho" w:cs="Arial"/>
          <w:szCs w:val="22"/>
        </w:rPr>
        <w:t>trengthening</w:t>
      </w:r>
      <w:r w:rsidR="00AB21E5" w:rsidRPr="00703A0B">
        <w:rPr>
          <w:rFonts w:eastAsia="MS Mincho" w:cs="Arial"/>
          <w:szCs w:val="22"/>
        </w:rPr>
        <w:t xml:space="preserve"> the quality and consistency of regulatory decision</w:t>
      </w:r>
      <w:r w:rsidR="00CC1249" w:rsidRPr="00703A0B">
        <w:rPr>
          <w:rFonts w:eastAsia="MS Mincho" w:cs="Arial"/>
          <w:szCs w:val="22"/>
        </w:rPr>
        <w:t xml:space="preserve"> making by </w:t>
      </w:r>
      <w:r w:rsidR="78974BDF" w:rsidRPr="00703A0B">
        <w:rPr>
          <w:rFonts w:eastAsia="MS Mincho" w:cs="Arial"/>
          <w:szCs w:val="22"/>
        </w:rPr>
        <w:t>using insights from</w:t>
      </w:r>
      <w:r w:rsidR="00570616" w:rsidRPr="00703A0B">
        <w:rPr>
          <w:rFonts w:eastAsia="MS Mincho" w:cs="Arial"/>
          <w:szCs w:val="22"/>
        </w:rPr>
        <w:t xml:space="preserve"> </w:t>
      </w:r>
      <w:r w:rsidR="78974BDF" w:rsidRPr="00703A0B">
        <w:rPr>
          <w:rFonts w:eastAsia="MS Mincho" w:cs="Arial"/>
          <w:szCs w:val="22"/>
        </w:rPr>
        <w:t xml:space="preserve">review outcomes to </w:t>
      </w:r>
      <w:r w:rsidR="00FE0D37" w:rsidRPr="00703A0B">
        <w:rPr>
          <w:rFonts w:eastAsia="MS Mincho" w:cs="Arial"/>
          <w:szCs w:val="22"/>
        </w:rPr>
        <w:t>inform continuous</w:t>
      </w:r>
      <w:r w:rsidR="78974BDF" w:rsidRPr="00703A0B">
        <w:rPr>
          <w:rFonts w:eastAsia="MS Mincho" w:cs="Arial"/>
          <w:szCs w:val="22"/>
        </w:rPr>
        <w:t xml:space="preserve"> improvement</w:t>
      </w:r>
    </w:p>
    <w:p w14:paraId="7CB3BB7A" w14:textId="2C95C2ED" w:rsidR="78974BDF" w:rsidRPr="00703A0B" w:rsidRDefault="001A3BAE" w:rsidP="00A75BC8">
      <w:pPr>
        <w:pStyle w:val="ListParagraph"/>
        <w:numPr>
          <w:ilvl w:val="0"/>
          <w:numId w:val="60"/>
        </w:numPr>
        <w:spacing w:before="120" w:after="120" w:line="259" w:lineRule="auto"/>
        <w:ind w:left="714" w:hanging="357"/>
        <w:contextualSpacing w:val="0"/>
        <w:rPr>
          <w:rFonts w:eastAsia="MS Mincho" w:cs="Arial"/>
          <w:szCs w:val="22"/>
        </w:rPr>
      </w:pPr>
      <w:r w:rsidRPr="00703A0B">
        <w:rPr>
          <w:rFonts w:eastAsia="MS Mincho" w:cs="Arial"/>
          <w:szCs w:val="22"/>
        </w:rPr>
        <w:t>i</w:t>
      </w:r>
      <w:r w:rsidR="78974BDF" w:rsidRPr="00703A0B">
        <w:rPr>
          <w:rFonts w:eastAsia="MS Mincho" w:cs="Arial"/>
          <w:szCs w:val="22"/>
        </w:rPr>
        <w:t xml:space="preserve">mproving customer experience </w:t>
      </w:r>
      <w:r w:rsidR="00B84F02" w:rsidRPr="00703A0B">
        <w:rPr>
          <w:rFonts w:eastAsia="MS Mincho" w:cs="Arial"/>
          <w:szCs w:val="22"/>
        </w:rPr>
        <w:t xml:space="preserve">through clearer communication, </w:t>
      </w:r>
      <w:r w:rsidR="001132DF" w:rsidRPr="00703A0B">
        <w:rPr>
          <w:rFonts w:eastAsia="MS Mincho" w:cs="Arial"/>
          <w:szCs w:val="22"/>
        </w:rPr>
        <w:t>guidance and access to information</w:t>
      </w:r>
      <w:r w:rsidR="00AF2416" w:rsidRPr="00703A0B">
        <w:rPr>
          <w:rFonts w:eastAsia="MS Mincho" w:cs="Arial"/>
          <w:szCs w:val="22"/>
        </w:rPr>
        <w:t xml:space="preserve"> </w:t>
      </w:r>
      <w:r w:rsidR="78974BDF" w:rsidRPr="00703A0B">
        <w:rPr>
          <w:rFonts w:eastAsia="MS Mincho" w:cs="Arial"/>
          <w:szCs w:val="22"/>
        </w:rPr>
        <w:t xml:space="preserve">about review rights, </w:t>
      </w:r>
      <w:r w:rsidR="00AF2416" w:rsidRPr="00703A0B">
        <w:rPr>
          <w:rFonts w:eastAsia="MS Mincho" w:cs="Arial"/>
          <w:szCs w:val="22"/>
        </w:rPr>
        <w:t xml:space="preserve">processes </w:t>
      </w:r>
      <w:r w:rsidR="78974BDF" w:rsidRPr="00703A0B">
        <w:rPr>
          <w:rFonts w:eastAsia="MS Mincho" w:cs="Arial"/>
          <w:szCs w:val="22"/>
        </w:rPr>
        <w:t>and outcomes</w:t>
      </w:r>
    </w:p>
    <w:p w14:paraId="196BD7B2" w14:textId="14D55D79" w:rsidR="78974BDF" w:rsidRPr="00703A0B" w:rsidRDefault="00F13EAC" w:rsidP="00A75BC8">
      <w:pPr>
        <w:pStyle w:val="ListParagraph"/>
        <w:numPr>
          <w:ilvl w:val="0"/>
          <w:numId w:val="60"/>
        </w:numPr>
        <w:spacing w:before="120" w:after="120" w:line="259" w:lineRule="auto"/>
        <w:ind w:left="714" w:hanging="357"/>
        <w:contextualSpacing w:val="0"/>
        <w:rPr>
          <w:rFonts w:eastAsia="MS Mincho" w:cs="Arial"/>
          <w:szCs w:val="22"/>
        </w:rPr>
      </w:pPr>
      <w:r w:rsidRPr="00703A0B">
        <w:rPr>
          <w:rFonts w:eastAsia="MS Mincho" w:cs="Arial"/>
          <w:szCs w:val="22"/>
        </w:rPr>
        <w:t>s</w:t>
      </w:r>
      <w:r w:rsidR="78974BDF" w:rsidRPr="00703A0B">
        <w:rPr>
          <w:rFonts w:eastAsia="MS Mincho" w:cs="Arial"/>
          <w:szCs w:val="22"/>
        </w:rPr>
        <w:t xml:space="preserve">upporting organisational learning by </w:t>
      </w:r>
      <w:r w:rsidR="00CF1B61" w:rsidRPr="00703A0B">
        <w:rPr>
          <w:rFonts w:eastAsia="MS Mincho" w:cs="Arial"/>
          <w:szCs w:val="22"/>
        </w:rPr>
        <w:t xml:space="preserve">identifying trends and </w:t>
      </w:r>
      <w:r w:rsidR="78974BDF" w:rsidRPr="00703A0B">
        <w:rPr>
          <w:rFonts w:eastAsia="MS Mincho" w:cs="Arial"/>
          <w:szCs w:val="22"/>
        </w:rPr>
        <w:t xml:space="preserve">sharing </w:t>
      </w:r>
      <w:r w:rsidR="00CF1B61" w:rsidRPr="00703A0B">
        <w:rPr>
          <w:rFonts w:eastAsia="MS Mincho" w:cs="Arial"/>
          <w:szCs w:val="22"/>
        </w:rPr>
        <w:t xml:space="preserve">insights </w:t>
      </w:r>
      <w:r w:rsidR="78974BDF" w:rsidRPr="00703A0B">
        <w:rPr>
          <w:rFonts w:eastAsia="MS Mincho" w:cs="Arial"/>
          <w:szCs w:val="22"/>
        </w:rPr>
        <w:t>from review decisions</w:t>
      </w:r>
      <w:r w:rsidR="00CF1B61" w:rsidRPr="00703A0B">
        <w:rPr>
          <w:rFonts w:eastAsia="MS Mincho" w:cs="Arial"/>
          <w:szCs w:val="22"/>
        </w:rPr>
        <w:t xml:space="preserve"> to improve regulatory practice </w:t>
      </w:r>
      <w:r w:rsidR="00594FDF" w:rsidRPr="00703A0B">
        <w:rPr>
          <w:rFonts w:eastAsia="MS Mincho" w:cs="Arial"/>
          <w:szCs w:val="22"/>
        </w:rPr>
        <w:t xml:space="preserve">and </w:t>
      </w:r>
      <w:r w:rsidR="00BD69F4" w:rsidRPr="00703A0B">
        <w:rPr>
          <w:rFonts w:eastAsia="MS Mincho" w:cs="Arial"/>
          <w:szCs w:val="22"/>
        </w:rPr>
        <w:t>make more consisten</w:t>
      </w:r>
      <w:r w:rsidR="00577601" w:rsidRPr="00703A0B">
        <w:rPr>
          <w:rFonts w:eastAsia="MS Mincho" w:cs="Arial"/>
          <w:szCs w:val="22"/>
        </w:rPr>
        <w:t>t</w:t>
      </w:r>
      <w:r w:rsidR="00BD69F4" w:rsidRPr="00703A0B">
        <w:rPr>
          <w:rFonts w:eastAsia="MS Mincho" w:cs="Arial"/>
          <w:szCs w:val="22"/>
        </w:rPr>
        <w:t xml:space="preserve"> decisions </w:t>
      </w:r>
      <w:r w:rsidR="78974BDF" w:rsidRPr="00703A0B">
        <w:rPr>
          <w:rFonts w:eastAsia="MS Mincho" w:cs="Arial"/>
          <w:szCs w:val="22"/>
        </w:rPr>
        <w:t>across the organisation.</w:t>
      </w:r>
    </w:p>
    <w:p w14:paraId="6B6A3BE6" w14:textId="69E07954" w:rsidR="0054063C" w:rsidRPr="00703A0B" w:rsidRDefault="00BD69F4" w:rsidP="003B22FD">
      <w:pPr>
        <w:spacing w:before="120" w:after="120"/>
        <w:rPr>
          <w:rFonts w:cs="Arial"/>
        </w:rPr>
      </w:pPr>
      <w:r w:rsidRPr="00703A0B">
        <w:rPr>
          <w:rFonts w:eastAsia="MS Mincho" w:cs="Arial"/>
          <w:szCs w:val="22"/>
        </w:rPr>
        <w:t>Through t</w:t>
      </w:r>
      <w:r w:rsidR="78974BDF" w:rsidRPr="00703A0B">
        <w:rPr>
          <w:rFonts w:eastAsia="MS Mincho" w:cs="Arial"/>
          <w:szCs w:val="22"/>
        </w:rPr>
        <w:t xml:space="preserve">hese </w:t>
      </w:r>
      <w:r w:rsidRPr="00703A0B">
        <w:rPr>
          <w:rFonts w:eastAsia="MS Mincho" w:cs="Arial"/>
          <w:szCs w:val="22"/>
        </w:rPr>
        <w:t xml:space="preserve">initiatives, </w:t>
      </w:r>
      <w:r w:rsidR="78974BDF" w:rsidRPr="00703A0B">
        <w:rPr>
          <w:rFonts w:eastAsia="MS Mincho" w:cs="Arial"/>
          <w:szCs w:val="22"/>
        </w:rPr>
        <w:t>the QBCC</w:t>
      </w:r>
      <w:r w:rsidR="005867D0" w:rsidRPr="00703A0B">
        <w:rPr>
          <w:rFonts w:eastAsia="MS Mincho" w:cs="Arial"/>
          <w:szCs w:val="22"/>
        </w:rPr>
        <w:t xml:space="preserve"> will continue to strengthen the </w:t>
      </w:r>
      <w:r w:rsidR="00CE3BEC" w:rsidRPr="00703A0B">
        <w:rPr>
          <w:rFonts w:eastAsia="MS Mincho" w:cs="Arial"/>
          <w:szCs w:val="22"/>
        </w:rPr>
        <w:t xml:space="preserve">integrity and effectiveness of its regulatory framework, ensuring decisions are evidence based, consistent and responsive. By </w:t>
      </w:r>
      <w:r w:rsidR="78974BDF" w:rsidRPr="00703A0B">
        <w:rPr>
          <w:rFonts w:eastAsia="MS Mincho" w:cs="Arial"/>
          <w:szCs w:val="22"/>
        </w:rPr>
        <w:t>promoting</w:t>
      </w:r>
      <w:r w:rsidR="004575BD" w:rsidRPr="00703A0B">
        <w:rPr>
          <w:rFonts w:eastAsia="MS Mincho" w:cs="Arial"/>
          <w:szCs w:val="22"/>
        </w:rPr>
        <w:t xml:space="preserve"> transparency, accountability and </w:t>
      </w:r>
      <w:r w:rsidR="00366C8E" w:rsidRPr="00703A0B">
        <w:rPr>
          <w:rFonts w:eastAsia="MS Mincho" w:cs="Arial"/>
          <w:szCs w:val="22"/>
        </w:rPr>
        <w:t>fairness</w:t>
      </w:r>
      <w:r w:rsidR="00460EB2" w:rsidRPr="00703A0B">
        <w:rPr>
          <w:rFonts w:eastAsia="MS Mincho" w:cs="Arial"/>
          <w:szCs w:val="22"/>
        </w:rPr>
        <w:t>, the QBCC will contribute to increased confidence in the QBCC's regulatory decision</w:t>
      </w:r>
      <w:r w:rsidR="004E4705" w:rsidRPr="00703A0B">
        <w:rPr>
          <w:rFonts w:eastAsia="MS Mincho" w:cs="Arial"/>
          <w:szCs w:val="22"/>
        </w:rPr>
        <w:t xml:space="preserve">s </w:t>
      </w:r>
      <w:r w:rsidR="00460EB2" w:rsidRPr="00703A0B">
        <w:rPr>
          <w:rFonts w:eastAsia="MS Mincho" w:cs="Arial"/>
          <w:szCs w:val="22"/>
        </w:rPr>
        <w:t>and</w:t>
      </w:r>
      <w:r w:rsidR="009D6847" w:rsidRPr="00703A0B">
        <w:rPr>
          <w:rFonts w:eastAsia="MS Mincho" w:cs="Arial"/>
          <w:szCs w:val="22"/>
        </w:rPr>
        <w:t xml:space="preserve"> trust in</w:t>
      </w:r>
      <w:r w:rsidR="00460EB2" w:rsidRPr="00703A0B">
        <w:rPr>
          <w:rFonts w:eastAsia="MS Mincho" w:cs="Arial"/>
          <w:szCs w:val="22"/>
        </w:rPr>
        <w:t xml:space="preserve"> Queensland's building and construction regulatory </w:t>
      </w:r>
      <w:r w:rsidR="003D77CD" w:rsidRPr="00703A0B">
        <w:rPr>
          <w:rFonts w:eastAsia="MS Mincho" w:cs="Arial"/>
          <w:szCs w:val="22"/>
        </w:rPr>
        <w:t>framework</w:t>
      </w:r>
      <w:r w:rsidR="00BE0AA5" w:rsidRPr="00703A0B">
        <w:rPr>
          <w:rFonts w:eastAsia="MS Mincho" w:cs="Arial"/>
          <w:szCs w:val="22"/>
        </w:rPr>
        <w:t>.</w:t>
      </w:r>
    </w:p>
    <w:p w14:paraId="1461DBAC" w14:textId="081D2C35" w:rsidR="006B0B33" w:rsidRPr="00703A0B" w:rsidRDefault="006B0B33" w:rsidP="003B22FD">
      <w:pPr>
        <w:spacing w:before="120" w:after="120"/>
        <w:rPr>
          <w:rFonts w:cs="Arial"/>
        </w:rPr>
      </w:pPr>
      <w:r w:rsidRPr="00703A0B">
        <w:rPr>
          <w:rFonts w:cs="Arial"/>
        </w:rPr>
        <w:br w:type="page"/>
      </w:r>
    </w:p>
    <w:p w14:paraId="34686528" w14:textId="3F771018" w:rsidR="003A55DE" w:rsidRPr="00703A0B" w:rsidRDefault="00A56AFB" w:rsidP="003A55DE">
      <w:pPr>
        <w:pStyle w:val="Heading2"/>
        <w:rPr>
          <w:rFonts w:cs="Arial"/>
        </w:rPr>
      </w:pPr>
      <w:bookmarkStart w:id="61" w:name="_Compliance_and_enforcement"/>
      <w:bookmarkStart w:id="62" w:name="_Toc206493015"/>
      <w:bookmarkStart w:id="63" w:name="_Toc238101679"/>
      <w:bookmarkEnd w:id="61"/>
      <w:r w:rsidRPr="00703A0B">
        <w:lastRenderedPageBreak/>
        <w:t>Compliance and enforcement</w:t>
      </w:r>
      <w:bookmarkEnd w:id="62"/>
      <w:bookmarkEnd w:id="63"/>
      <w:r w:rsidRPr="00703A0B">
        <w:t xml:space="preserve"> </w:t>
      </w:r>
    </w:p>
    <w:p w14:paraId="2C21EFEC" w14:textId="6B493530" w:rsidR="04EF64BD" w:rsidRPr="00703A0B" w:rsidRDefault="00E910C7" w:rsidP="29B9C565">
      <w:pPr>
        <w:spacing w:before="120" w:after="120"/>
      </w:pPr>
      <w:bookmarkStart w:id="64" w:name="_Proactive_audits_and"/>
      <w:bookmarkStart w:id="65" w:name="_Proactive_audits_and_1"/>
      <w:bookmarkEnd w:id="64"/>
      <w:bookmarkEnd w:id="65"/>
      <w:r w:rsidRPr="00703A0B">
        <w:rPr>
          <w:rFonts w:cs="Arial"/>
        </w:rPr>
        <w:t>T</w:t>
      </w:r>
      <w:r w:rsidR="04EF64BD" w:rsidRPr="00703A0B">
        <w:rPr>
          <w:rFonts w:cs="Arial"/>
        </w:rPr>
        <w:t xml:space="preserve">he QBCC plays a critical role in protecting consumers, supporting confidence and maintaining the integrity of the </w:t>
      </w:r>
      <w:r w:rsidR="001A1A51" w:rsidRPr="00703A0B">
        <w:rPr>
          <w:rFonts w:cs="Arial"/>
        </w:rPr>
        <w:t xml:space="preserve">Queensland’s </w:t>
      </w:r>
      <w:r w:rsidR="04EF64BD" w:rsidRPr="00703A0B">
        <w:rPr>
          <w:rFonts w:cs="Arial"/>
        </w:rPr>
        <w:t xml:space="preserve">building and construction </w:t>
      </w:r>
      <w:r w:rsidR="001A1A51" w:rsidRPr="00703A0B">
        <w:rPr>
          <w:rFonts w:cs="Arial"/>
        </w:rPr>
        <w:t>industry</w:t>
      </w:r>
      <w:r w:rsidR="04EF64BD" w:rsidRPr="00703A0B">
        <w:rPr>
          <w:rFonts w:cs="Arial"/>
        </w:rPr>
        <w:t xml:space="preserve">. Through a balanced </w:t>
      </w:r>
      <w:r w:rsidR="007C7F97" w:rsidRPr="00703A0B">
        <w:rPr>
          <w:rFonts w:cs="Arial"/>
        </w:rPr>
        <w:t xml:space="preserve">regulatory </w:t>
      </w:r>
      <w:r w:rsidR="04EF64BD" w:rsidRPr="00703A0B">
        <w:rPr>
          <w:rFonts w:cs="Arial"/>
        </w:rPr>
        <w:t xml:space="preserve">approach </w:t>
      </w:r>
      <w:r w:rsidR="007C7F97" w:rsidRPr="00703A0B">
        <w:rPr>
          <w:rFonts w:cs="Arial"/>
        </w:rPr>
        <w:t xml:space="preserve">that combines </w:t>
      </w:r>
      <w:r w:rsidR="04EF64BD" w:rsidRPr="00703A0B">
        <w:rPr>
          <w:rFonts w:cs="Arial"/>
        </w:rPr>
        <w:t>education, engagement</w:t>
      </w:r>
      <w:r w:rsidR="007C7F97" w:rsidRPr="00703A0B">
        <w:rPr>
          <w:rFonts w:cs="Arial"/>
        </w:rPr>
        <w:t xml:space="preserve">, compliance monitoring </w:t>
      </w:r>
      <w:r w:rsidR="006D5C0F" w:rsidRPr="00703A0B">
        <w:rPr>
          <w:rFonts w:cs="Arial"/>
        </w:rPr>
        <w:t xml:space="preserve">and </w:t>
      </w:r>
      <w:r w:rsidR="0029400A" w:rsidRPr="00703A0B">
        <w:rPr>
          <w:rFonts w:cs="Arial"/>
        </w:rPr>
        <w:t>enforcement</w:t>
      </w:r>
      <w:r w:rsidR="04EF64BD" w:rsidRPr="00703A0B">
        <w:rPr>
          <w:rFonts w:cs="Arial"/>
        </w:rPr>
        <w:t>, the QBCC works</w:t>
      </w:r>
      <w:r w:rsidR="00944C74" w:rsidRPr="00703A0B">
        <w:rPr>
          <w:rFonts w:cs="Arial"/>
        </w:rPr>
        <w:t xml:space="preserve"> </w:t>
      </w:r>
      <w:r w:rsidR="04EF64BD" w:rsidRPr="00703A0B">
        <w:rPr>
          <w:rFonts w:cs="Arial"/>
        </w:rPr>
        <w:t>to</w:t>
      </w:r>
      <w:r w:rsidR="00170D2E" w:rsidRPr="00703A0B">
        <w:rPr>
          <w:rFonts w:cs="Arial"/>
        </w:rPr>
        <w:t xml:space="preserve"> </w:t>
      </w:r>
      <w:r w:rsidR="04EF64BD" w:rsidRPr="00703A0B">
        <w:rPr>
          <w:rFonts w:cs="Arial"/>
        </w:rPr>
        <w:t>ensure</w:t>
      </w:r>
      <w:r w:rsidR="00711DBB" w:rsidRPr="00703A0B">
        <w:rPr>
          <w:rFonts w:cs="Arial"/>
        </w:rPr>
        <w:t xml:space="preserve"> that</w:t>
      </w:r>
      <w:r w:rsidR="04EF64BD" w:rsidRPr="00703A0B">
        <w:rPr>
          <w:rFonts w:cs="Arial"/>
        </w:rPr>
        <w:t xml:space="preserve"> building</w:t>
      </w:r>
      <w:r w:rsidR="00711DBB" w:rsidRPr="00703A0B">
        <w:rPr>
          <w:rFonts w:cs="Arial"/>
        </w:rPr>
        <w:t xml:space="preserve"> and construction activities are</w:t>
      </w:r>
      <w:r w:rsidR="04EF64BD" w:rsidRPr="00703A0B">
        <w:rPr>
          <w:rFonts w:cs="Arial"/>
        </w:rPr>
        <w:t xml:space="preserve"> undertaken </w:t>
      </w:r>
      <w:r w:rsidR="002F16C8" w:rsidRPr="00703A0B">
        <w:rPr>
          <w:rFonts w:cs="Arial"/>
        </w:rPr>
        <w:t>in accordance with</w:t>
      </w:r>
      <w:r w:rsidR="04EF64BD" w:rsidRPr="00703A0B">
        <w:rPr>
          <w:rFonts w:cs="Arial"/>
        </w:rPr>
        <w:t xml:space="preserve"> </w:t>
      </w:r>
      <w:r w:rsidR="00E33181" w:rsidRPr="00703A0B">
        <w:rPr>
          <w:rFonts w:cs="Arial"/>
        </w:rPr>
        <w:t xml:space="preserve">industry </w:t>
      </w:r>
      <w:r w:rsidR="04EF64BD" w:rsidRPr="00703A0B">
        <w:rPr>
          <w:rFonts w:cs="Arial"/>
        </w:rPr>
        <w:t>standards.</w:t>
      </w:r>
    </w:p>
    <w:p w14:paraId="5FF8DB96" w14:textId="77777777" w:rsidR="002F2624" w:rsidRPr="00703A0B" w:rsidRDefault="04EF64BD" w:rsidP="29B9C565">
      <w:pPr>
        <w:spacing w:before="120" w:after="120"/>
        <w:rPr>
          <w:rFonts w:cs="Arial"/>
        </w:rPr>
      </w:pPr>
      <w:r w:rsidRPr="00703A0B">
        <w:rPr>
          <w:rFonts w:cs="Arial"/>
        </w:rPr>
        <w:t>During 2025–26, the QBCC continued</w:t>
      </w:r>
      <w:r w:rsidR="00DF63AF" w:rsidRPr="00703A0B">
        <w:rPr>
          <w:rFonts w:cs="Arial"/>
        </w:rPr>
        <w:t xml:space="preserve"> to </w:t>
      </w:r>
      <w:r w:rsidR="00FA38E0" w:rsidRPr="00703A0B">
        <w:rPr>
          <w:rFonts w:cs="Arial"/>
        </w:rPr>
        <w:t xml:space="preserve">strengthen its </w:t>
      </w:r>
      <w:r w:rsidRPr="00703A0B">
        <w:rPr>
          <w:rFonts w:cs="Arial"/>
        </w:rPr>
        <w:t>intelligence-led and risk-based approach to regulation</w:t>
      </w:r>
      <w:r w:rsidR="005C008E" w:rsidRPr="00703A0B">
        <w:rPr>
          <w:rFonts w:cs="Arial"/>
        </w:rPr>
        <w:t>, focusing r</w:t>
      </w:r>
      <w:r w:rsidRPr="00703A0B">
        <w:rPr>
          <w:rFonts w:cs="Arial"/>
        </w:rPr>
        <w:t xml:space="preserve">esources </w:t>
      </w:r>
      <w:r w:rsidR="00BB1EEE" w:rsidRPr="00703A0B">
        <w:rPr>
          <w:rFonts w:cs="Arial"/>
        </w:rPr>
        <w:t>towards</w:t>
      </w:r>
      <w:r w:rsidR="005C008E" w:rsidRPr="00703A0B">
        <w:rPr>
          <w:rFonts w:cs="Arial"/>
        </w:rPr>
        <w:t xml:space="preserve"> areas </w:t>
      </w:r>
      <w:r w:rsidRPr="00703A0B">
        <w:rPr>
          <w:rFonts w:cs="Arial"/>
        </w:rPr>
        <w:t xml:space="preserve">of greatest </w:t>
      </w:r>
      <w:r w:rsidR="005C008E" w:rsidRPr="00703A0B">
        <w:rPr>
          <w:rFonts w:cs="Arial"/>
        </w:rPr>
        <w:t xml:space="preserve">regulatory risk and </w:t>
      </w:r>
      <w:r w:rsidRPr="00703A0B">
        <w:rPr>
          <w:rFonts w:cs="Arial"/>
        </w:rPr>
        <w:t xml:space="preserve">potential </w:t>
      </w:r>
      <w:r w:rsidR="005C008E" w:rsidRPr="00703A0B">
        <w:rPr>
          <w:rFonts w:cs="Arial"/>
        </w:rPr>
        <w:t xml:space="preserve">consumer </w:t>
      </w:r>
      <w:r w:rsidRPr="00703A0B">
        <w:rPr>
          <w:rFonts w:cs="Arial"/>
        </w:rPr>
        <w:t>harm</w:t>
      </w:r>
      <w:r w:rsidR="005C008E" w:rsidRPr="00703A0B">
        <w:rPr>
          <w:rFonts w:cs="Arial"/>
        </w:rPr>
        <w:t>.</w:t>
      </w:r>
      <w:r w:rsidR="008478CC" w:rsidRPr="00703A0B">
        <w:rPr>
          <w:rFonts w:cs="Arial"/>
        </w:rPr>
        <w:t xml:space="preserve"> </w:t>
      </w:r>
    </w:p>
    <w:p w14:paraId="28F03739" w14:textId="2FD6D6BD" w:rsidR="00BD215D" w:rsidRPr="00703A0B" w:rsidRDefault="005C008E" w:rsidP="29B9C565">
      <w:pPr>
        <w:spacing w:before="120" w:after="120"/>
        <w:rPr>
          <w:rFonts w:cs="Arial"/>
        </w:rPr>
      </w:pPr>
      <w:r w:rsidRPr="00703A0B">
        <w:rPr>
          <w:rFonts w:cs="Arial"/>
        </w:rPr>
        <w:t xml:space="preserve">Key areas </w:t>
      </w:r>
      <w:r w:rsidR="04EF64BD" w:rsidRPr="00703A0B">
        <w:rPr>
          <w:rFonts w:cs="Arial"/>
        </w:rPr>
        <w:t>includ</w:t>
      </w:r>
      <w:r w:rsidRPr="00703A0B">
        <w:rPr>
          <w:rFonts w:cs="Arial"/>
        </w:rPr>
        <w:t xml:space="preserve">ed </w:t>
      </w:r>
      <w:r w:rsidR="00BD215D" w:rsidRPr="00703A0B">
        <w:rPr>
          <w:rFonts w:cs="Arial"/>
        </w:rPr>
        <w:t>the following:</w:t>
      </w:r>
    </w:p>
    <w:p w14:paraId="1CF51C4D" w14:textId="15230687" w:rsidR="00BD215D" w:rsidRPr="00703A0B" w:rsidRDefault="00BD215D" w:rsidP="00020112">
      <w:pPr>
        <w:pStyle w:val="ListParagraph"/>
        <w:numPr>
          <w:ilvl w:val="0"/>
          <w:numId w:val="106"/>
        </w:numPr>
        <w:spacing w:before="120" w:after="120"/>
        <w:ind w:left="771" w:hanging="357"/>
        <w:contextualSpacing w:val="0"/>
      </w:pPr>
      <w:r w:rsidRPr="00703A0B">
        <w:rPr>
          <w:rFonts w:cs="Arial"/>
        </w:rPr>
        <w:t>U</w:t>
      </w:r>
      <w:r w:rsidR="04EF64BD" w:rsidRPr="00703A0B">
        <w:rPr>
          <w:rFonts w:cs="Arial"/>
        </w:rPr>
        <w:t>nlicensed contracting</w:t>
      </w:r>
    </w:p>
    <w:p w14:paraId="7A516DCE" w14:textId="6263E7B0" w:rsidR="00BD215D" w:rsidRPr="00703A0B" w:rsidRDefault="00BD215D" w:rsidP="00020112">
      <w:pPr>
        <w:pStyle w:val="ListParagraph"/>
        <w:numPr>
          <w:ilvl w:val="0"/>
          <w:numId w:val="106"/>
        </w:numPr>
        <w:spacing w:before="120" w:after="120"/>
        <w:ind w:left="771" w:hanging="357"/>
        <w:contextualSpacing w:val="0"/>
      </w:pPr>
      <w:r w:rsidRPr="00703A0B">
        <w:rPr>
          <w:rFonts w:cs="Arial"/>
        </w:rPr>
        <w:t>B</w:t>
      </w:r>
      <w:r w:rsidR="04EF64BD" w:rsidRPr="00703A0B">
        <w:rPr>
          <w:rFonts w:cs="Arial"/>
        </w:rPr>
        <w:t>uilding safety</w:t>
      </w:r>
    </w:p>
    <w:p w14:paraId="59B69932" w14:textId="2B0BBC38" w:rsidR="00BD215D" w:rsidRPr="00703A0B" w:rsidRDefault="00BD215D" w:rsidP="00020112">
      <w:pPr>
        <w:pStyle w:val="ListParagraph"/>
        <w:numPr>
          <w:ilvl w:val="0"/>
          <w:numId w:val="106"/>
        </w:numPr>
        <w:spacing w:before="120" w:after="120"/>
        <w:ind w:left="771" w:hanging="357"/>
        <w:contextualSpacing w:val="0"/>
      </w:pPr>
      <w:r w:rsidRPr="00703A0B">
        <w:rPr>
          <w:rFonts w:cs="Arial"/>
        </w:rPr>
        <w:t>P</w:t>
      </w:r>
      <w:r w:rsidR="04EF64BD" w:rsidRPr="00703A0B">
        <w:rPr>
          <w:rFonts w:cs="Arial"/>
        </w:rPr>
        <w:t>lumbing compliance</w:t>
      </w:r>
    </w:p>
    <w:p w14:paraId="7CEBAFA9" w14:textId="3E3C86EB" w:rsidR="00BD215D" w:rsidRPr="00703A0B" w:rsidRDefault="00BD215D" w:rsidP="00020112">
      <w:pPr>
        <w:pStyle w:val="ListParagraph"/>
        <w:numPr>
          <w:ilvl w:val="0"/>
          <w:numId w:val="106"/>
        </w:numPr>
        <w:spacing w:before="120" w:after="120"/>
        <w:ind w:left="771" w:hanging="357"/>
        <w:contextualSpacing w:val="0"/>
        <w:rPr>
          <w:rFonts w:cs="Arial"/>
        </w:rPr>
      </w:pPr>
      <w:r w:rsidRPr="00703A0B">
        <w:rPr>
          <w:rFonts w:cs="Arial"/>
        </w:rPr>
        <w:t>P</w:t>
      </w:r>
      <w:r w:rsidR="00E836A5" w:rsidRPr="00703A0B">
        <w:rPr>
          <w:rFonts w:cs="Arial"/>
        </w:rPr>
        <w:t xml:space="preserve">ool </w:t>
      </w:r>
      <w:r w:rsidR="00627905" w:rsidRPr="00703A0B">
        <w:rPr>
          <w:rFonts w:cs="Arial"/>
        </w:rPr>
        <w:t>s</w:t>
      </w:r>
      <w:r w:rsidR="00E836A5" w:rsidRPr="00703A0B">
        <w:rPr>
          <w:rFonts w:cs="Arial"/>
        </w:rPr>
        <w:t>afet</w:t>
      </w:r>
      <w:r w:rsidRPr="00703A0B">
        <w:rPr>
          <w:rFonts w:cs="Arial"/>
        </w:rPr>
        <w:t>y</w:t>
      </w:r>
      <w:r w:rsidR="001E7CCA" w:rsidRPr="00703A0B">
        <w:rPr>
          <w:rFonts w:cs="Arial"/>
        </w:rPr>
        <w:t xml:space="preserve"> </w:t>
      </w:r>
      <w:r w:rsidR="005E6B81" w:rsidRPr="00703A0B">
        <w:rPr>
          <w:rFonts w:cs="Arial"/>
        </w:rPr>
        <w:t>compliance</w:t>
      </w:r>
    </w:p>
    <w:p w14:paraId="215DEB66" w14:textId="577D32E9" w:rsidR="00BD215D" w:rsidRPr="00703A0B" w:rsidRDefault="00F2731C" w:rsidP="00020112">
      <w:pPr>
        <w:pStyle w:val="ListParagraph"/>
        <w:numPr>
          <w:ilvl w:val="0"/>
          <w:numId w:val="106"/>
        </w:numPr>
        <w:spacing w:before="120" w:after="120"/>
        <w:ind w:left="771" w:hanging="357"/>
        <w:contextualSpacing w:val="0"/>
      </w:pPr>
      <w:r w:rsidRPr="00703A0B">
        <w:rPr>
          <w:rFonts w:cs="Arial"/>
        </w:rPr>
        <w:t>Building c</w:t>
      </w:r>
      <w:r w:rsidR="04EF64BD" w:rsidRPr="00703A0B">
        <w:rPr>
          <w:rFonts w:cs="Arial"/>
        </w:rPr>
        <w:t xml:space="preserve">ertifier </w:t>
      </w:r>
      <w:r w:rsidR="007C60AD" w:rsidRPr="00703A0B">
        <w:rPr>
          <w:rFonts w:cs="Arial"/>
        </w:rPr>
        <w:t>conduct</w:t>
      </w:r>
    </w:p>
    <w:p w14:paraId="05C783D5" w14:textId="32213692" w:rsidR="00BD215D" w:rsidRPr="00703A0B" w:rsidRDefault="00BD215D" w:rsidP="00020112">
      <w:pPr>
        <w:pStyle w:val="ListParagraph"/>
        <w:numPr>
          <w:ilvl w:val="0"/>
          <w:numId w:val="106"/>
        </w:numPr>
        <w:spacing w:before="120" w:after="120"/>
        <w:ind w:left="771" w:hanging="357"/>
        <w:contextualSpacing w:val="0"/>
      </w:pPr>
      <w:r w:rsidRPr="00703A0B">
        <w:rPr>
          <w:rFonts w:cs="Arial"/>
        </w:rPr>
        <w:t>N</w:t>
      </w:r>
      <w:r w:rsidR="04EF64BD" w:rsidRPr="00703A0B">
        <w:rPr>
          <w:rFonts w:cs="Arial"/>
        </w:rPr>
        <w:t>on-conforming building product</w:t>
      </w:r>
      <w:r w:rsidR="005C3156" w:rsidRPr="00703A0B">
        <w:rPr>
          <w:rFonts w:cs="Arial"/>
        </w:rPr>
        <w:t>s</w:t>
      </w:r>
    </w:p>
    <w:p w14:paraId="2A68CB66" w14:textId="5BA16759" w:rsidR="04EF64BD" w:rsidRPr="00703A0B" w:rsidRDefault="00121909" w:rsidP="29B9C565">
      <w:pPr>
        <w:spacing w:before="120" w:after="120"/>
      </w:pPr>
      <w:r w:rsidRPr="00703A0B">
        <w:rPr>
          <w:rFonts w:cs="Arial"/>
        </w:rPr>
        <w:t>T</w:t>
      </w:r>
      <w:r w:rsidR="04EF64BD" w:rsidRPr="00703A0B">
        <w:rPr>
          <w:rFonts w:cs="Arial"/>
        </w:rPr>
        <w:t xml:space="preserve">he QBCC </w:t>
      </w:r>
      <w:r w:rsidR="000F4BE5" w:rsidRPr="00703A0B">
        <w:rPr>
          <w:rFonts w:cs="Arial"/>
        </w:rPr>
        <w:t>maintained a strong</w:t>
      </w:r>
      <w:r w:rsidR="00FC23A0" w:rsidRPr="00703A0B">
        <w:rPr>
          <w:rFonts w:cs="Arial"/>
        </w:rPr>
        <w:t xml:space="preserve"> focus on the </w:t>
      </w:r>
      <w:r w:rsidR="00BB0CED" w:rsidRPr="00703A0B">
        <w:rPr>
          <w:rFonts w:cs="Arial"/>
        </w:rPr>
        <w:t xml:space="preserve">early identification of </w:t>
      </w:r>
      <w:r w:rsidR="04EF64BD" w:rsidRPr="00703A0B">
        <w:rPr>
          <w:rFonts w:cs="Arial"/>
        </w:rPr>
        <w:t>emerging risks, support</w:t>
      </w:r>
      <w:r w:rsidR="000F4BE5" w:rsidRPr="00703A0B">
        <w:rPr>
          <w:rFonts w:cs="Arial"/>
        </w:rPr>
        <w:t>ing</w:t>
      </w:r>
      <w:r w:rsidR="04EF64BD" w:rsidRPr="00703A0B">
        <w:rPr>
          <w:rFonts w:cs="Arial"/>
        </w:rPr>
        <w:t xml:space="preserve"> industry </w:t>
      </w:r>
      <w:r w:rsidR="00FC23A0" w:rsidRPr="00703A0B">
        <w:rPr>
          <w:rFonts w:cs="Arial"/>
        </w:rPr>
        <w:t xml:space="preserve">compliance </w:t>
      </w:r>
      <w:r w:rsidR="04EF64BD" w:rsidRPr="00703A0B">
        <w:rPr>
          <w:rFonts w:cs="Arial"/>
        </w:rPr>
        <w:t>and tak</w:t>
      </w:r>
      <w:r w:rsidR="004370C8" w:rsidRPr="00703A0B">
        <w:rPr>
          <w:rFonts w:cs="Arial"/>
        </w:rPr>
        <w:t xml:space="preserve">ing </w:t>
      </w:r>
      <w:r w:rsidR="04EF64BD" w:rsidRPr="00703A0B">
        <w:rPr>
          <w:rFonts w:cs="Arial"/>
        </w:rPr>
        <w:t xml:space="preserve">timely regulatory action where </w:t>
      </w:r>
      <w:r w:rsidR="004370C8" w:rsidRPr="00703A0B">
        <w:rPr>
          <w:rFonts w:cs="Arial"/>
        </w:rPr>
        <w:t>necessary</w:t>
      </w:r>
      <w:r w:rsidR="04EF64BD" w:rsidRPr="00703A0B">
        <w:rPr>
          <w:rFonts w:cs="Arial"/>
        </w:rPr>
        <w:t>.</w:t>
      </w:r>
      <w:r w:rsidR="00432A42" w:rsidRPr="00703A0B">
        <w:rPr>
          <w:rFonts w:cs="Arial"/>
        </w:rPr>
        <w:t xml:space="preserve"> </w:t>
      </w:r>
      <w:r w:rsidR="000F4BE5" w:rsidRPr="00703A0B">
        <w:rPr>
          <w:rFonts w:cs="Arial"/>
        </w:rPr>
        <w:t>Through a combination of</w:t>
      </w:r>
      <w:r w:rsidR="04EF64BD" w:rsidRPr="00703A0B">
        <w:rPr>
          <w:rFonts w:cs="Arial"/>
        </w:rPr>
        <w:t xml:space="preserve"> education</w:t>
      </w:r>
      <w:r w:rsidR="004370C8" w:rsidRPr="00703A0B">
        <w:rPr>
          <w:rFonts w:cs="Arial"/>
        </w:rPr>
        <w:t>,</w:t>
      </w:r>
      <w:r w:rsidR="04EF64BD" w:rsidRPr="00703A0B">
        <w:rPr>
          <w:rFonts w:cs="Arial"/>
        </w:rPr>
        <w:t xml:space="preserve"> targeted compliance activities and proportionate enforcement</w:t>
      </w:r>
      <w:r w:rsidR="004370C8" w:rsidRPr="00703A0B">
        <w:rPr>
          <w:rFonts w:cs="Arial"/>
        </w:rPr>
        <w:t xml:space="preserve"> responses</w:t>
      </w:r>
      <w:r w:rsidR="04EF64BD" w:rsidRPr="00703A0B">
        <w:rPr>
          <w:rFonts w:cs="Arial"/>
        </w:rPr>
        <w:t xml:space="preserve">, the QBCC </w:t>
      </w:r>
      <w:r w:rsidR="004370C8" w:rsidRPr="00703A0B">
        <w:rPr>
          <w:rFonts w:cs="Arial"/>
        </w:rPr>
        <w:t>contribute</w:t>
      </w:r>
      <w:r w:rsidR="000F4BE5" w:rsidRPr="00703A0B">
        <w:rPr>
          <w:rFonts w:cs="Arial"/>
        </w:rPr>
        <w:t>d</w:t>
      </w:r>
      <w:r w:rsidR="004370C8" w:rsidRPr="00703A0B">
        <w:rPr>
          <w:rFonts w:cs="Arial"/>
        </w:rPr>
        <w:t xml:space="preserve"> to </w:t>
      </w:r>
      <w:r w:rsidR="04EF64BD" w:rsidRPr="00703A0B">
        <w:rPr>
          <w:rFonts w:cs="Arial"/>
        </w:rPr>
        <w:t>a safer, fairer and more resilient building and construction industry.</w:t>
      </w:r>
    </w:p>
    <w:p w14:paraId="07529A8F" w14:textId="4BD4A923" w:rsidR="00AC66DA" w:rsidRPr="00703A0B" w:rsidRDefault="00510EAF" w:rsidP="00AC66DA">
      <w:pPr>
        <w:pStyle w:val="Heading3"/>
      </w:pPr>
      <w:bookmarkStart w:id="66" w:name="_Proactive_regulation"/>
      <w:bookmarkEnd w:id="66"/>
      <w:r w:rsidRPr="00703A0B">
        <w:t>I</w:t>
      </w:r>
      <w:r w:rsidR="00BF3778" w:rsidRPr="00703A0B">
        <w:t>nspections</w:t>
      </w:r>
      <w:r w:rsidR="00514080" w:rsidRPr="00703A0B">
        <w:t xml:space="preserve"> and audits</w:t>
      </w:r>
    </w:p>
    <w:p w14:paraId="0213F0F2" w14:textId="6C51FB7A" w:rsidR="0099036E" w:rsidRPr="00703A0B" w:rsidRDefault="003463F7" w:rsidP="002871BB">
      <w:pPr>
        <w:spacing w:before="120" w:after="120" w:line="259" w:lineRule="auto"/>
        <w:rPr>
          <w:rStyle w:val="normaltextrun"/>
          <w:rFonts w:eastAsia="Arial"/>
        </w:rPr>
      </w:pPr>
      <w:r w:rsidRPr="00703A0B">
        <w:t>I</w:t>
      </w:r>
      <w:r w:rsidR="00514080" w:rsidRPr="00703A0B">
        <w:t xml:space="preserve">nspections and </w:t>
      </w:r>
      <w:r w:rsidR="3BA23CEF" w:rsidRPr="00703A0B">
        <w:t>audits support</w:t>
      </w:r>
      <w:r w:rsidR="00D700A1" w:rsidRPr="00703A0B">
        <w:t xml:space="preserve"> the QBCC’s </w:t>
      </w:r>
      <w:r w:rsidR="3BA23CEF" w:rsidRPr="00703A0B">
        <w:t>preventative</w:t>
      </w:r>
      <w:r w:rsidR="007857E9" w:rsidRPr="00703A0B">
        <w:t xml:space="preserve"> </w:t>
      </w:r>
      <w:r w:rsidR="3BA23CEF" w:rsidRPr="00703A0B">
        <w:t>risk-based approach to regulation</w:t>
      </w:r>
      <w:r w:rsidR="00AA2780" w:rsidRPr="00703A0B">
        <w:t xml:space="preserve"> by </w:t>
      </w:r>
      <w:r w:rsidR="3BA23CEF" w:rsidRPr="00703A0B">
        <w:t>monitoring industry practices, promoting voluntary compliance and ensuring licensees meet their legislative obligations.</w:t>
      </w:r>
      <w:r w:rsidR="00541071" w:rsidRPr="00703A0B">
        <w:t xml:space="preserve"> T</w:t>
      </w:r>
      <w:bookmarkStart w:id="67" w:name="_Building_site_inspections"/>
      <w:bookmarkEnd w:id="67"/>
      <w:r w:rsidR="6CA459BF" w:rsidRPr="00703A0B">
        <w:rPr>
          <w:rFonts w:eastAsia="Arial"/>
        </w:rPr>
        <w:t>argeted statewide inspection</w:t>
      </w:r>
      <w:r w:rsidR="00AF6E9A" w:rsidRPr="00703A0B">
        <w:rPr>
          <w:rFonts w:eastAsia="Arial"/>
        </w:rPr>
        <w:t xml:space="preserve"> and audit programs </w:t>
      </w:r>
      <w:r w:rsidR="00A731D8" w:rsidRPr="00703A0B">
        <w:rPr>
          <w:rFonts w:eastAsia="Arial"/>
        </w:rPr>
        <w:t xml:space="preserve">provide opportunities to </w:t>
      </w:r>
      <w:r w:rsidR="00CE5A2A" w:rsidRPr="00703A0B">
        <w:rPr>
          <w:rFonts w:eastAsia="Arial"/>
        </w:rPr>
        <w:t>educat</w:t>
      </w:r>
      <w:r w:rsidR="00A731D8" w:rsidRPr="00703A0B">
        <w:rPr>
          <w:rFonts w:eastAsia="Arial"/>
        </w:rPr>
        <w:t>e</w:t>
      </w:r>
      <w:r w:rsidR="00CE5A2A" w:rsidRPr="00703A0B">
        <w:rPr>
          <w:rFonts w:eastAsia="Arial"/>
        </w:rPr>
        <w:t xml:space="preserve"> and engag</w:t>
      </w:r>
      <w:r w:rsidR="00A731D8" w:rsidRPr="00703A0B">
        <w:rPr>
          <w:rFonts w:eastAsia="Arial"/>
        </w:rPr>
        <w:t xml:space="preserve">e with industry, </w:t>
      </w:r>
      <w:r w:rsidR="00CE5A2A" w:rsidRPr="00703A0B">
        <w:rPr>
          <w:rFonts w:eastAsia="Arial"/>
        </w:rPr>
        <w:t>raise awareness of</w:t>
      </w:r>
      <w:r w:rsidR="000D79CB" w:rsidRPr="00703A0B">
        <w:rPr>
          <w:rFonts w:eastAsia="Arial"/>
        </w:rPr>
        <w:t xml:space="preserve"> </w:t>
      </w:r>
      <w:r w:rsidR="00A731D8" w:rsidRPr="00703A0B">
        <w:rPr>
          <w:rFonts w:eastAsia="Arial"/>
        </w:rPr>
        <w:t xml:space="preserve">regulatory </w:t>
      </w:r>
      <w:r w:rsidR="00CE5A2A" w:rsidRPr="00703A0B">
        <w:rPr>
          <w:rFonts w:eastAsia="Arial"/>
        </w:rPr>
        <w:t xml:space="preserve">requirements and </w:t>
      </w:r>
      <w:r w:rsidR="00A731D8" w:rsidRPr="00703A0B">
        <w:rPr>
          <w:rFonts w:eastAsia="Arial"/>
        </w:rPr>
        <w:t xml:space="preserve">identify areas requiring </w:t>
      </w:r>
      <w:r w:rsidR="008334FD" w:rsidRPr="00703A0B">
        <w:rPr>
          <w:rFonts w:eastAsia="Arial"/>
        </w:rPr>
        <w:t>further compliance act</w:t>
      </w:r>
      <w:r w:rsidR="00840480" w:rsidRPr="00703A0B">
        <w:rPr>
          <w:rFonts w:eastAsia="Arial"/>
        </w:rPr>
        <w:t>ion</w:t>
      </w:r>
      <w:r w:rsidR="00CE5A2A" w:rsidRPr="00703A0B">
        <w:rPr>
          <w:rFonts w:eastAsia="Arial"/>
        </w:rPr>
        <w:t>.</w:t>
      </w:r>
      <w:r w:rsidR="00557B71" w:rsidRPr="00703A0B">
        <w:rPr>
          <w:rFonts w:eastAsia="Arial"/>
        </w:rPr>
        <w:t xml:space="preserve"> </w:t>
      </w:r>
      <w:r w:rsidR="001B7F18" w:rsidRPr="00703A0B">
        <w:fldChar w:fldCharType="begin"/>
      </w:r>
      <w:r w:rsidR="001B7F18" w:rsidRPr="00703A0B">
        <w:rPr>
          <w:rFonts w:eastAsia="Arial"/>
        </w:rPr>
        <w:instrText xml:space="preserve"> REF _Ref232672517 \h </w:instrText>
      </w:r>
      <w:r w:rsidR="001B7F18" w:rsidRPr="00703A0B">
        <w:fldChar w:fldCharType="separate"/>
      </w:r>
      <w:r w:rsidR="004E67DB" w:rsidRPr="00703A0B">
        <w:t xml:space="preserve">Table </w:t>
      </w:r>
      <w:r w:rsidR="004E67DB" w:rsidRPr="00EA647C">
        <w:t>8</w:t>
      </w:r>
      <w:r w:rsidR="001B7F18" w:rsidRPr="00703A0B">
        <w:fldChar w:fldCharType="end"/>
      </w:r>
      <w:r w:rsidR="00D93B7F" w:rsidRPr="00703A0B">
        <w:rPr>
          <w:rFonts w:eastAsia="Arial"/>
        </w:rPr>
        <w:t xml:space="preserve"> </w:t>
      </w:r>
      <w:r w:rsidR="00870E09" w:rsidRPr="00703A0B">
        <w:rPr>
          <w:rFonts w:eastAsia="Arial"/>
        </w:rPr>
        <w:t xml:space="preserve">provides an overview </w:t>
      </w:r>
      <w:r w:rsidR="00126057" w:rsidRPr="00703A0B">
        <w:rPr>
          <w:rFonts w:eastAsia="Arial"/>
        </w:rPr>
        <w:t xml:space="preserve">of </w:t>
      </w:r>
      <w:r w:rsidR="00B94D34" w:rsidRPr="00703A0B">
        <w:rPr>
          <w:rFonts w:eastAsia="Arial"/>
        </w:rPr>
        <w:t>inspections</w:t>
      </w:r>
      <w:r w:rsidR="00870E09" w:rsidRPr="00703A0B">
        <w:rPr>
          <w:rFonts w:eastAsia="Arial"/>
        </w:rPr>
        <w:t xml:space="preserve"> and audit</w:t>
      </w:r>
      <w:r w:rsidR="00840480" w:rsidRPr="00703A0B">
        <w:rPr>
          <w:rFonts w:eastAsia="Arial"/>
        </w:rPr>
        <w:t xml:space="preserve"> </w:t>
      </w:r>
      <w:r w:rsidR="00306012" w:rsidRPr="00703A0B">
        <w:rPr>
          <w:rFonts w:eastAsia="Arial"/>
        </w:rPr>
        <w:t>outcomes</w:t>
      </w:r>
      <w:r w:rsidR="00840480" w:rsidRPr="00703A0B">
        <w:rPr>
          <w:rFonts w:eastAsia="Arial"/>
        </w:rPr>
        <w:t xml:space="preserve"> over time</w:t>
      </w:r>
      <w:r w:rsidR="00AC66DA" w:rsidRPr="00703A0B">
        <w:rPr>
          <w:rFonts w:eastAsia="Arial"/>
        </w:rPr>
        <w:t>.</w:t>
      </w:r>
    </w:p>
    <w:p w14:paraId="1BDF7FF3" w14:textId="6602645D" w:rsidR="00AC66DA" w:rsidRPr="00703A0B" w:rsidRDefault="00016410" w:rsidP="00016410">
      <w:pPr>
        <w:pStyle w:val="Caption"/>
      </w:pPr>
      <w:bookmarkStart w:id="68" w:name="_Ref232672517"/>
      <w:bookmarkStart w:id="69" w:name="_Ref204671001"/>
      <w:r w:rsidRPr="00703A0B">
        <w:t xml:space="preserve">Table </w:t>
      </w:r>
      <w:r w:rsidRPr="00703A0B">
        <w:fldChar w:fldCharType="begin"/>
      </w:r>
      <w:r w:rsidRPr="00703A0B">
        <w:instrText>SEQ Table \* ARABIC</w:instrText>
      </w:r>
      <w:r w:rsidRPr="00703A0B">
        <w:fldChar w:fldCharType="separate"/>
      </w:r>
      <w:r w:rsidR="003764AA" w:rsidRPr="00EA647C">
        <w:t>8</w:t>
      </w:r>
      <w:r w:rsidRPr="00703A0B">
        <w:fldChar w:fldCharType="end"/>
      </w:r>
      <w:bookmarkEnd w:id="68"/>
      <w:bookmarkEnd w:id="69"/>
      <w:r w:rsidR="00AC66DA" w:rsidRPr="00703A0B">
        <w:t xml:space="preserve">: </w:t>
      </w:r>
      <w:r w:rsidR="00331B3B" w:rsidRPr="00703A0B">
        <w:t>I</w:t>
      </w:r>
      <w:r w:rsidR="00FC6DAF" w:rsidRPr="00703A0B">
        <w:t>nspection and</w:t>
      </w:r>
      <w:r w:rsidR="00331B3B" w:rsidRPr="00703A0B">
        <w:t xml:space="preserve"> </w:t>
      </w:r>
      <w:r w:rsidR="00870E09" w:rsidRPr="00703A0B">
        <w:t>audit</w:t>
      </w:r>
      <w:r w:rsidR="00331B3B" w:rsidRPr="00703A0B">
        <w:t xml:space="preserve"> outcomes </w:t>
      </w:r>
      <w:r w:rsidR="00F87CCB" w:rsidRPr="00703A0B">
        <w:t xml:space="preserve">over the past </w:t>
      </w:r>
      <w:r w:rsidR="00856735" w:rsidRPr="00703A0B">
        <w:t xml:space="preserve">five </w:t>
      </w:r>
      <w:r w:rsidR="00F87CCB" w:rsidRPr="00703A0B">
        <w:t>years</w:t>
      </w:r>
    </w:p>
    <w:tbl>
      <w:tblPr>
        <w:tblW w:w="10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4125"/>
        <w:gridCol w:w="1286"/>
        <w:gridCol w:w="1272"/>
        <w:gridCol w:w="1272"/>
        <w:gridCol w:w="1272"/>
        <w:gridCol w:w="1220"/>
      </w:tblGrid>
      <w:tr w:rsidR="00407211" w:rsidRPr="00703A0B" w14:paraId="2CC510A7" w14:textId="77777777" w:rsidTr="00D9548E">
        <w:tc>
          <w:tcPr>
            <w:tcW w:w="4125" w:type="dxa"/>
            <w:shd w:val="clear" w:color="auto" w:fill="BFBFBF" w:themeFill="background1" w:themeFillShade="BF"/>
          </w:tcPr>
          <w:p w14:paraId="4902D942" w14:textId="62FF518A" w:rsidR="00407211" w:rsidRPr="00703A0B" w:rsidRDefault="00407211" w:rsidP="00D9548E">
            <w:pPr>
              <w:rPr>
                <w:rFonts w:cs="Arial"/>
                <w:b/>
                <w:szCs w:val="22"/>
              </w:rPr>
            </w:pPr>
            <w:r w:rsidRPr="00703A0B">
              <w:rPr>
                <w:rFonts w:cs="Arial"/>
                <w:b/>
                <w:szCs w:val="22"/>
              </w:rPr>
              <w:t>Inspection and audit outcomes</w:t>
            </w:r>
          </w:p>
        </w:tc>
        <w:tc>
          <w:tcPr>
            <w:tcW w:w="1286" w:type="dxa"/>
            <w:shd w:val="clear" w:color="auto" w:fill="BFBFBF" w:themeFill="background1" w:themeFillShade="BF"/>
          </w:tcPr>
          <w:p w14:paraId="244D42C5" w14:textId="3CA561F2" w:rsidR="00407211" w:rsidRPr="00703A0B" w:rsidRDefault="00407211" w:rsidP="00730922">
            <w:pPr>
              <w:rPr>
                <w:rFonts w:cs="Arial"/>
                <w:b/>
                <w:szCs w:val="22"/>
              </w:rPr>
            </w:pPr>
            <w:r w:rsidRPr="00703A0B">
              <w:rPr>
                <w:rFonts w:cs="Arial"/>
                <w:b/>
                <w:szCs w:val="22"/>
              </w:rPr>
              <w:t>2021–22</w:t>
            </w:r>
          </w:p>
        </w:tc>
        <w:tc>
          <w:tcPr>
            <w:tcW w:w="1272" w:type="dxa"/>
            <w:shd w:val="clear" w:color="auto" w:fill="BFBFBF" w:themeFill="background1" w:themeFillShade="BF"/>
          </w:tcPr>
          <w:p w14:paraId="62F1A2F0" w14:textId="29666FE8" w:rsidR="00407211" w:rsidRPr="00703A0B" w:rsidRDefault="00407211" w:rsidP="00730922">
            <w:pPr>
              <w:rPr>
                <w:rFonts w:cs="Arial"/>
                <w:b/>
                <w:szCs w:val="22"/>
              </w:rPr>
            </w:pPr>
            <w:r w:rsidRPr="00703A0B">
              <w:rPr>
                <w:rFonts w:cs="Arial"/>
                <w:b/>
                <w:szCs w:val="22"/>
              </w:rPr>
              <w:t>2022–23</w:t>
            </w:r>
          </w:p>
        </w:tc>
        <w:tc>
          <w:tcPr>
            <w:tcW w:w="1272" w:type="dxa"/>
            <w:shd w:val="clear" w:color="auto" w:fill="BFBFBF" w:themeFill="background1" w:themeFillShade="BF"/>
          </w:tcPr>
          <w:p w14:paraId="21B1CFFC" w14:textId="5B9AF68F" w:rsidR="00407211" w:rsidRPr="00703A0B" w:rsidRDefault="00407211" w:rsidP="00730922">
            <w:pPr>
              <w:rPr>
                <w:rFonts w:cs="Arial"/>
                <w:b/>
                <w:szCs w:val="22"/>
              </w:rPr>
            </w:pPr>
            <w:r w:rsidRPr="00703A0B">
              <w:rPr>
                <w:rFonts w:cs="Arial"/>
                <w:b/>
                <w:szCs w:val="22"/>
              </w:rPr>
              <w:t>2023–24</w:t>
            </w:r>
          </w:p>
        </w:tc>
        <w:tc>
          <w:tcPr>
            <w:tcW w:w="1272" w:type="dxa"/>
            <w:shd w:val="clear" w:color="auto" w:fill="BFBFBF" w:themeFill="background1" w:themeFillShade="BF"/>
          </w:tcPr>
          <w:p w14:paraId="0D558C86" w14:textId="1F949200" w:rsidR="00407211" w:rsidRPr="00703A0B" w:rsidRDefault="00407211" w:rsidP="00730922">
            <w:pPr>
              <w:rPr>
                <w:rFonts w:cs="Arial"/>
                <w:b/>
                <w:szCs w:val="22"/>
              </w:rPr>
            </w:pPr>
            <w:r w:rsidRPr="00703A0B">
              <w:rPr>
                <w:rFonts w:cs="Arial"/>
                <w:b/>
                <w:szCs w:val="22"/>
              </w:rPr>
              <w:t>2024–25</w:t>
            </w:r>
          </w:p>
        </w:tc>
        <w:tc>
          <w:tcPr>
            <w:tcW w:w="1220" w:type="dxa"/>
            <w:shd w:val="clear" w:color="auto" w:fill="BFBFBF" w:themeFill="background1" w:themeFillShade="BF"/>
            <w:hideMark/>
          </w:tcPr>
          <w:p w14:paraId="25FCB877" w14:textId="6DA909A0" w:rsidR="00407211" w:rsidRPr="00703A0B" w:rsidRDefault="00407211" w:rsidP="00730922">
            <w:pPr>
              <w:rPr>
                <w:rFonts w:cs="Arial"/>
                <w:b/>
                <w:szCs w:val="22"/>
              </w:rPr>
            </w:pPr>
            <w:r w:rsidRPr="00703A0B">
              <w:rPr>
                <w:rFonts w:cs="Arial"/>
                <w:b/>
                <w:szCs w:val="22"/>
              </w:rPr>
              <w:t>2025–26</w:t>
            </w:r>
          </w:p>
        </w:tc>
      </w:tr>
      <w:tr w:rsidR="00407211" w:rsidRPr="00703A0B" w14:paraId="376CD27D" w14:textId="77777777" w:rsidTr="00D9548E">
        <w:tc>
          <w:tcPr>
            <w:tcW w:w="10447" w:type="dxa"/>
            <w:gridSpan w:val="6"/>
            <w:shd w:val="clear" w:color="auto" w:fill="D9D9D9" w:themeFill="background1" w:themeFillShade="D9"/>
          </w:tcPr>
          <w:p w14:paraId="7103BCBF" w14:textId="65CE8D70" w:rsidR="00407211" w:rsidRPr="00703A0B" w:rsidRDefault="00407211" w:rsidP="00730922">
            <w:pPr>
              <w:textAlignment w:val="baseline"/>
              <w:rPr>
                <w:rFonts w:cs="Arial"/>
                <w:bCs/>
                <w:szCs w:val="22"/>
              </w:rPr>
            </w:pPr>
            <w:r w:rsidRPr="00703A0B">
              <w:rPr>
                <w:rFonts w:cs="Arial"/>
                <w:szCs w:val="22"/>
              </w:rPr>
              <w:t>Site inspections</w:t>
            </w:r>
          </w:p>
        </w:tc>
      </w:tr>
      <w:tr w:rsidR="00407211" w:rsidRPr="00703A0B" w14:paraId="676A3714" w14:textId="77777777" w:rsidTr="00D9548E">
        <w:tc>
          <w:tcPr>
            <w:tcW w:w="4125" w:type="dxa"/>
          </w:tcPr>
          <w:p w14:paraId="267C5E9D" w14:textId="0FC71D57" w:rsidR="00407211" w:rsidRPr="00703A0B" w:rsidRDefault="00407211" w:rsidP="00730922">
            <w:pPr>
              <w:textAlignment w:val="baseline"/>
              <w:rPr>
                <w:rFonts w:cs="Arial"/>
                <w:szCs w:val="22"/>
              </w:rPr>
            </w:pPr>
            <w:r w:rsidRPr="00703A0B" w:rsidDel="00DD6D60">
              <w:rPr>
                <w:rFonts w:cs="Arial"/>
                <w:szCs w:val="22"/>
              </w:rPr>
              <w:t xml:space="preserve">Unlicensed </w:t>
            </w:r>
            <w:r w:rsidRPr="00703A0B" w:rsidDel="00DD6D60">
              <w:rPr>
                <w:rFonts w:cs="Arial"/>
              </w:rPr>
              <w:t>contract</w:t>
            </w:r>
            <w:r w:rsidRPr="00703A0B">
              <w:rPr>
                <w:rFonts w:cs="Arial"/>
              </w:rPr>
              <w:t>ors identified</w:t>
            </w:r>
          </w:p>
        </w:tc>
        <w:tc>
          <w:tcPr>
            <w:tcW w:w="1286" w:type="dxa"/>
          </w:tcPr>
          <w:p w14:paraId="74CAEDDF" w14:textId="1D487683" w:rsidR="00407211" w:rsidRPr="00703A0B" w:rsidRDefault="00407211" w:rsidP="00730922">
            <w:pPr>
              <w:textAlignment w:val="baseline"/>
              <w:rPr>
                <w:rFonts w:cs="Arial"/>
                <w:bCs/>
                <w:szCs w:val="22"/>
              </w:rPr>
            </w:pPr>
            <w:r w:rsidRPr="00703A0B">
              <w:rPr>
                <w:rFonts w:cs="Arial"/>
                <w:bCs/>
                <w:szCs w:val="22"/>
              </w:rPr>
              <w:t>-</w:t>
            </w:r>
          </w:p>
        </w:tc>
        <w:tc>
          <w:tcPr>
            <w:tcW w:w="1272" w:type="dxa"/>
          </w:tcPr>
          <w:p w14:paraId="4FBC9F0D" w14:textId="477FF2B6" w:rsidR="00407211" w:rsidRPr="00703A0B" w:rsidRDefault="045AB91D" w:rsidP="00730922">
            <w:pPr>
              <w:textAlignment w:val="baseline"/>
              <w:rPr>
                <w:rFonts w:cs="Arial"/>
              </w:rPr>
            </w:pPr>
            <w:r w:rsidRPr="00703A0B">
              <w:rPr>
                <w:rFonts w:cs="Arial"/>
              </w:rPr>
              <w:t>2</w:t>
            </w:r>
          </w:p>
        </w:tc>
        <w:tc>
          <w:tcPr>
            <w:tcW w:w="1272" w:type="dxa"/>
          </w:tcPr>
          <w:p w14:paraId="671BE170" w14:textId="128F0A69" w:rsidR="00407211" w:rsidRPr="00703A0B" w:rsidRDefault="4A92D873" w:rsidP="00730922">
            <w:pPr>
              <w:textAlignment w:val="baseline"/>
              <w:rPr>
                <w:rFonts w:cs="Arial"/>
              </w:rPr>
            </w:pPr>
            <w:r w:rsidRPr="00703A0B">
              <w:rPr>
                <w:rFonts w:cs="Arial"/>
              </w:rPr>
              <w:t>70</w:t>
            </w:r>
          </w:p>
        </w:tc>
        <w:tc>
          <w:tcPr>
            <w:tcW w:w="1272" w:type="dxa"/>
          </w:tcPr>
          <w:p w14:paraId="0C468455" w14:textId="6CDCA110" w:rsidR="00407211" w:rsidRPr="00703A0B" w:rsidRDefault="00407211" w:rsidP="00730922">
            <w:pPr>
              <w:textAlignment w:val="baseline"/>
              <w:rPr>
                <w:rFonts w:cs="Arial"/>
                <w:szCs w:val="22"/>
              </w:rPr>
            </w:pPr>
            <w:r w:rsidRPr="00703A0B">
              <w:rPr>
                <w:rFonts w:cs="Arial"/>
                <w:bCs/>
                <w:szCs w:val="22"/>
              </w:rPr>
              <w:t>69</w:t>
            </w:r>
          </w:p>
        </w:tc>
        <w:tc>
          <w:tcPr>
            <w:tcW w:w="1220" w:type="dxa"/>
          </w:tcPr>
          <w:p w14:paraId="084F5573" w14:textId="4176BDB6" w:rsidR="00407211" w:rsidRPr="00703A0B" w:rsidRDefault="00407211" w:rsidP="00730922">
            <w:pPr>
              <w:textAlignment w:val="baseline"/>
              <w:rPr>
                <w:rFonts w:cs="Arial"/>
                <w:szCs w:val="22"/>
              </w:rPr>
            </w:pPr>
            <w:r w:rsidRPr="00703A0B">
              <w:rPr>
                <w:rFonts w:cs="Arial"/>
                <w:bCs/>
                <w:szCs w:val="22"/>
              </w:rPr>
              <w:t>23</w:t>
            </w:r>
          </w:p>
        </w:tc>
      </w:tr>
      <w:tr w:rsidR="00407211" w:rsidRPr="00703A0B" w14:paraId="6FBEF20B" w14:textId="77777777" w:rsidTr="00D9548E">
        <w:tc>
          <w:tcPr>
            <w:tcW w:w="4125" w:type="dxa"/>
          </w:tcPr>
          <w:p w14:paraId="70CFF106" w14:textId="70F0C145" w:rsidR="00407211" w:rsidRPr="00703A0B" w:rsidRDefault="00407211" w:rsidP="00730922">
            <w:pPr>
              <w:rPr>
                <w:rFonts w:cs="Arial"/>
                <w:szCs w:val="22"/>
              </w:rPr>
            </w:pPr>
            <w:r w:rsidRPr="00703A0B" w:rsidDel="00DD6D60">
              <w:rPr>
                <w:rFonts w:cs="Arial"/>
                <w:szCs w:val="22"/>
              </w:rPr>
              <w:t>Licensee contracting with unlicensed person</w:t>
            </w:r>
            <w:r w:rsidRPr="00703A0B" w:rsidDel="00DD6D60">
              <w:rPr>
                <w:rFonts w:cs="Arial"/>
              </w:rPr>
              <w:t xml:space="preserve"> </w:t>
            </w:r>
            <w:r w:rsidRPr="00703A0B">
              <w:rPr>
                <w:rFonts w:cs="Arial"/>
              </w:rPr>
              <w:t>identified</w:t>
            </w:r>
          </w:p>
        </w:tc>
        <w:tc>
          <w:tcPr>
            <w:tcW w:w="1286" w:type="dxa"/>
          </w:tcPr>
          <w:p w14:paraId="2EAB7361" w14:textId="70BA44E2" w:rsidR="00407211" w:rsidRPr="00703A0B" w:rsidRDefault="00407211" w:rsidP="00730922">
            <w:pPr>
              <w:rPr>
                <w:rFonts w:cs="Arial"/>
                <w:bCs/>
                <w:szCs w:val="22"/>
              </w:rPr>
            </w:pPr>
            <w:r w:rsidRPr="00703A0B">
              <w:rPr>
                <w:rFonts w:cs="Arial"/>
                <w:bCs/>
                <w:szCs w:val="22"/>
              </w:rPr>
              <w:t>-</w:t>
            </w:r>
          </w:p>
        </w:tc>
        <w:tc>
          <w:tcPr>
            <w:tcW w:w="1272" w:type="dxa"/>
          </w:tcPr>
          <w:p w14:paraId="31F49190" w14:textId="148F0CE7" w:rsidR="00407211" w:rsidRPr="00703A0B" w:rsidRDefault="549DB74D" w:rsidP="00730922">
            <w:pPr>
              <w:rPr>
                <w:rFonts w:cs="Arial"/>
              </w:rPr>
            </w:pPr>
            <w:r w:rsidRPr="00703A0B">
              <w:rPr>
                <w:rFonts w:cs="Arial"/>
              </w:rPr>
              <w:t>0</w:t>
            </w:r>
          </w:p>
        </w:tc>
        <w:tc>
          <w:tcPr>
            <w:tcW w:w="1272" w:type="dxa"/>
          </w:tcPr>
          <w:p w14:paraId="4456369F" w14:textId="4EEEBA95" w:rsidR="00407211" w:rsidRPr="00703A0B" w:rsidRDefault="299E201B" w:rsidP="00730922">
            <w:pPr>
              <w:rPr>
                <w:rFonts w:cs="Arial"/>
              </w:rPr>
            </w:pPr>
            <w:r w:rsidRPr="00703A0B">
              <w:rPr>
                <w:rFonts w:cs="Arial"/>
              </w:rPr>
              <w:t>8</w:t>
            </w:r>
          </w:p>
        </w:tc>
        <w:tc>
          <w:tcPr>
            <w:tcW w:w="1272" w:type="dxa"/>
          </w:tcPr>
          <w:p w14:paraId="745E6F8F" w14:textId="06AA0A35" w:rsidR="00407211" w:rsidRPr="00703A0B" w:rsidRDefault="00407211" w:rsidP="00730922">
            <w:pPr>
              <w:rPr>
                <w:rFonts w:cs="Arial"/>
                <w:szCs w:val="22"/>
              </w:rPr>
            </w:pPr>
            <w:r w:rsidRPr="00703A0B">
              <w:rPr>
                <w:rFonts w:cs="Arial"/>
                <w:bCs/>
                <w:szCs w:val="22"/>
              </w:rPr>
              <w:t>31</w:t>
            </w:r>
          </w:p>
        </w:tc>
        <w:tc>
          <w:tcPr>
            <w:tcW w:w="1220" w:type="dxa"/>
          </w:tcPr>
          <w:p w14:paraId="65EAAEDE" w14:textId="7D95AE07" w:rsidR="00407211" w:rsidRPr="00703A0B" w:rsidRDefault="00407211" w:rsidP="00730922">
            <w:pPr>
              <w:rPr>
                <w:rFonts w:cs="Arial"/>
                <w:szCs w:val="22"/>
              </w:rPr>
            </w:pPr>
            <w:r w:rsidRPr="00703A0B">
              <w:rPr>
                <w:rFonts w:cs="Arial"/>
                <w:bCs/>
                <w:szCs w:val="22"/>
              </w:rPr>
              <w:t>5</w:t>
            </w:r>
          </w:p>
        </w:tc>
      </w:tr>
      <w:tr w:rsidR="00407211" w:rsidRPr="00703A0B" w14:paraId="39836FC3" w14:textId="77777777" w:rsidTr="00D9548E">
        <w:tc>
          <w:tcPr>
            <w:tcW w:w="4125" w:type="dxa"/>
          </w:tcPr>
          <w:p w14:paraId="36A346D4" w14:textId="58BE4A3B" w:rsidR="00407211" w:rsidRPr="00703A0B" w:rsidDel="00DD6D60" w:rsidRDefault="00407211" w:rsidP="00730922">
            <w:pPr>
              <w:rPr>
                <w:rFonts w:cs="Arial"/>
                <w:szCs w:val="22"/>
              </w:rPr>
            </w:pPr>
            <w:r w:rsidRPr="00703A0B">
              <w:rPr>
                <w:rFonts w:cs="Arial"/>
                <w:szCs w:val="22"/>
              </w:rPr>
              <w:t>Defect detection of non-compliant sites rectified without regulatory action</w:t>
            </w:r>
          </w:p>
        </w:tc>
        <w:tc>
          <w:tcPr>
            <w:tcW w:w="1286" w:type="dxa"/>
          </w:tcPr>
          <w:p w14:paraId="0A3F89C3" w14:textId="34F19706" w:rsidR="00407211" w:rsidRPr="00703A0B" w:rsidRDefault="00407211" w:rsidP="00730922">
            <w:pPr>
              <w:rPr>
                <w:rFonts w:cs="Arial"/>
                <w:bCs/>
                <w:szCs w:val="22"/>
              </w:rPr>
            </w:pPr>
            <w:r w:rsidRPr="00703A0B">
              <w:rPr>
                <w:rFonts w:cs="Arial"/>
                <w:bCs/>
                <w:szCs w:val="22"/>
              </w:rPr>
              <w:t>-</w:t>
            </w:r>
          </w:p>
        </w:tc>
        <w:tc>
          <w:tcPr>
            <w:tcW w:w="1272" w:type="dxa"/>
          </w:tcPr>
          <w:p w14:paraId="1C2F22FF" w14:textId="333BA403" w:rsidR="00407211" w:rsidRPr="00703A0B" w:rsidRDefault="00407211" w:rsidP="00730922">
            <w:pPr>
              <w:rPr>
                <w:rFonts w:cs="Arial"/>
                <w:bCs/>
                <w:szCs w:val="22"/>
              </w:rPr>
            </w:pPr>
            <w:r w:rsidRPr="00703A0B">
              <w:rPr>
                <w:rFonts w:cs="Arial"/>
                <w:bCs/>
                <w:szCs w:val="22"/>
              </w:rPr>
              <w:t>-</w:t>
            </w:r>
          </w:p>
        </w:tc>
        <w:tc>
          <w:tcPr>
            <w:tcW w:w="1272" w:type="dxa"/>
          </w:tcPr>
          <w:p w14:paraId="4D046A1B" w14:textId="4EE0ABE4" w:rsidR="00407211" w:rsidRPr="00703A0B" w:rsidRDefault="00407211" w:rsidP="00730922">
            <w:pPr>
              <w:rPr>
                <w:rFonts w:cs="Arial"/>
                <w:bCs/>
                <w:szCs w:val="22"/>
              </w:rPr>
            </w:pPr>
            <w:r w:rsidRPr="00703A0B">
              <w:rPr>
                <w:rFonts w:cs="Arial"/>
                <w:bCs/>
                <w:szCs w:val="22"/>
              </w:rPr>
              <w:t>-</w:t>
            </w:r>
          </w:p>
        </w:tc>
        <w:tc>
          <w:tcPr>
            <w:tcW w:w="1272" w:type="dxa"/>
          </w:tcPr>
          <w:p w14:paraId="30E10A29" w14:textId="5E2859A8" w:rsidR="00407211" w:rsidRPr="00703A0B" w:rsidRDefault="00407211" w:rsidP="00730922">
            <w:pPr>
              <w:rPr>
                <w:rFonts w:cs="Arial"/>
                <w:bCs/>
                <w:szCs w:val="22"/>
              </w:rPr>
            </w:pPr>
            <w:r w:rsidRPr="00703A0B">
              <w:rPr>
                <w:rFonts w:cs="Arial"/>
                <w:bCs/>
                <w:szCs w:val="22"/>
              </w:rPr>
              <w:t>534</w:t>
            </w:r>
          </w:p>
        </w:tc>
        <w:tc>
          <w:tcPr>
            <w:tcW w:w="1220" w:type="dxa"/>
          </w:tcPr>
          <w:p w14:paraId="444F83E3" w14:textId="1732ACD3" w:rsidR="00407211" w:rsidRPr="00703A0B" w:rsidRDefault="00407211" w:rsidP="00730922">
            <w:pPr>
              <w:rPr>
                <w:rFonts w:cs="Arial"/>
                <w:bCs/>
                <w:szCs w:val="22"/>
              </w:rPr>
            </w:pPr>
            <w:r w:rsidRPr="00703A0B">
              <w:rPr>
                <w:rFonts w:eastAsia="Arial" w:cs="Arial"/>
              </w:rPr>
              <w:t>779</w:t>
            </w:r>
          </w:p>
        </w:tc>
      </w:tr>
      <w:tr w:rsidR="00407211" w:rsidRPr="00703A0B" w14:paraId="046EBEE0" w14:textId="77777777" w:rsidTr="00D9548E">
        <w:tc>
          <w:tcPr>
            <w:tcW w:w="10447" w:type="dxa"/>
            <w:gridSpan w:val="6"/>
            <w:shd w:val="clear" w:color="auto" w:fill="D9D9D9" w:themeFill="background1" w:themeFillShade="D9"/>
          </w:tcPr>
          <w:p w14:paraId="09079F16" w14:textId="5D2A294E" w:rsidR="00407211" w:rsidRPr="00703A0B" w:rsidRDefault="00407211" w:rsidP="00730922">
            <w:r w:rsidRPr="00703A0B">
              <w:rPr>
                <w:rFonts w:cs="Arial"/>
                <w:szCs w:val="22"/>
              </w:rPr>
              <w:t>Safer Buildings audits</w:t>
            </w:r>
          </w:p>
        </w:tc>
      </w:tr>
      <w:tr w:rsidR="00D872D7" w:rsidRPr="00703A0B" w14:paraId="005196C4" w14:textId="77777777" w:rsidTr="00D9548E">
        <w:tc>
          <w:tcPr>
            <w:tcW w:w="4125" w:type="dxa"/>
          </w:tcPr>
          <w:p w14:paraId="56681459" w14:textId="69C61454" w:rsidR="00D872D7" w:rsidRPr="00703A0B" w:rsidRDefault="00D872D7" w:rsidP="00730922">
            <w:r w:rsidRPr="00703A0B">
              <w:t>Compliance</w:t>
            </w:r>
          </w:p>
        </w:tc>
        <w:tc>
          <w:tcPr>
            <w:tcW w:w="1286" w:type="dxa"/>
          </w:tcPr>
          <w:p w14:paraId="20310736" w14:textId="3778B69A" w:rsidR="00D872D7" w:rsidRPr="00703A0B" w:rsidRDefault="00E66E49" w:rsidP="00730922">
            <w:r w:rsidRPr="00703A0B">
              <w:t>-</w:t>
            </w:r>
          </w:p>
        </w:tc>
        <w:tc>
          <w:tcPr>
            <w:tcW w:w="1272" w:type="dxa"/>
          </w:tcPr>
          <w:p w14:paraId="6C686338" w14:textId="655F1D80" w:rsidR="00D872D7" w:rsidRPr="00703A0B" w:rsidRDefault="000E5218" w:rsidP="00730922">
            <w:r w:rsidRPr="00703A0B">
              <w:t>97.2%</w:t>
            </w:r>
            <w:r w:rsidR="00371632" w:rsidRPr="00703A0B">
              <w:rPr>
                <w:rStyle w:val="FootnoteReference"/>
              </w:rPr>
              <w:footnoteReference w:id="8"/>
            </w:r>
          </w:p>
        </w:tc>
        <w:tc>
          <w:tcPr>
            <w:tcW w:w="1272" w:type="dxa"/>
          </w:tcPr>
          <w:p w14:paraId="0099E0DF" w14:textId="4E35436C" w:rsidR="00D872D7" w:rsidRPr="00703A0B" w:rsidRDefault="00D872D7" w:rsidP="00730922">
            <w:pPr>
              <w:rPr>
                <w:rFonts w:cs="Arial"/>
                <w:bCs/>
                <w:szCs w:val="22"/>
              </w:rPr>
            </w:pPr>
            <w:r w:rsidRPr="00703A0B">
              <w:t>92.2%</w:t>
            </w:r>
          </w:p>
        </w:tc>
        <w:tc>
          <w:tcPr>
            <w:tcW w:w="1272" w:type="dxa"/>
          </w:tcPr>
          <w:p w14:paraId="71E1760B" w14:textId="0B1F9B40" w:rsidR="00D872D7" w:rsidRPr="00703A0B" w:rsidRDefault="00D872D7" w:rsidP="00730922">
            <w:pPr>
              <w:rPr>
                <w:rFonts w:cs="Arial"/>
                <w:bCs/>
                <w:szCs w:val="22"/>
              </w:rPr>
            </w:pPr>
            <w:r w:rsidRPr="00703A0B">
              <w:t>94.2%</w:t>
            </w:r>
          </w:p>
        </w:tc>
        <w:tc>
          <w:tcPr>
            <w:tcW w:w="1220" w:type="dxa"/>
          </w:tcPr>
          <w:p w14:paraId="717A6A6C" w14:textId="5693AEC8" w:rsidR="00D872D7" w:rsidRPr="00703A0B" w:rsidRDefault="00D872D7" w:rsidP="00730922">
            <w:pPr>
              <w:rPr>
                <w:rFonts w:eastAsia="Arial" w:cs="Arial"/>
              </w:rPr>
            </w:pPr>
            <w:r w:rsidRPr="00703A0B">
              <w:t>91.5%</w:t>
            </w:r>
          </w:p>
        </w:tc>
      </w:tr>
      <w:tr w:rsidR="00D872D7" w:rsidRPr="00703A0B" w14:paraId="1BA1A222" w14:textId="77777777" w:rsidTr="00D9548E">
        <w:tc>
          <w:tcPr>
            <w:tcW w:w="4125" w:type="dxa"/>
          </w:tcPr>
          <w:p w14:paraId="4415233A" w14:textId="3F9D1A71" w:rsidR="00D872D7" w:rsidRPr="00703A0B" w:rsidRDefault="00D872D7" w:rsidP="00730922">
            <w:pPr>
              <w:rPr>
                <w:rFonts w:cs="Arial"/>
                <w:szCs w:val="22"/>
              </w:rPr>
            </w:pPr>
            <w:r w:rsidRPr="00703A0B">
              <w:t>Non-compliance</w:t>
            </w:r>
          </w:p>
        </w:tc>
        <w:tc>
          <w:tcPr>
            <w:tcW w:w="1286" w:type="dxa"/>
          </w:tcPr>
          <w:p w14:paraId="45762608" w14:textId="7D9CA70A" w:rsidR="00D872D7" w:rsidRPr="00703A0B" w:rsidRDefault="00E66E49" w:rsidP="00730922">
            <w:r w:rsidRPr="00703A0B">
              <w:t>-</w:t>
            </w:r>
          </w:p>
        </w:tc>
        <w:tc>
          <w:tcPr>
            <w:tcW w:w="1272" w:type="dxa"/>
          </w:tcPr>
          <w:p w14:paraId="0A789895" w14:textId="26BEDF20" w:rsidR="00D872D7" w:rsidRPr="00703A0B" w:rsidRDefault="00E66E49" w:rsidP="00730922">
            <w:r w:rsidRPr="00703A0B">
              <w:t>2.8%</w:t>
            </w:r>
            <w:r w:rsidR="00971BE8" w:rsidRPr="00703A0B">
              <w:rPr>
                <w:vertAlign w:val="superscript"/>
              </w:rPr>
              <w:t>7</w:t>
            </w:r>
          </w:p>
        </w:tc>
        <w:tc>
          <w:tcPr>
            <w:tcW w:w="1272" w:type="dxa"/>
          </w:tcPr>
          <w:p w14:paraId="137F7D69" w14:textId="1D741C91" w:rsidR="00D872D7" w:rsidRPr="00703A0B" w:rsidRDefault="00D872D7" w:rsidP="00730922">
            <w:pPr>
              <w:rPr>
                <w:rFonts w:cs="Arial"/>
                <w:bCs/>
                <w:szCs w:val="22"/>
              </w:rPr>
            </w:pPr>
            <w:r w:rsidRPr="00703A0B">
              <w:t>7.8%</w:t>
            </w:r>
          </w:p>
        </w:tc>
        <w:tc>
          <w:tcPr>
            <w:tcW w:w="1272" w:type="dxa"/>
          </w:tcPr>
          <w:p w14:paraId="79F550D1" w14:textId="623A955C" w:rsidR="00D872D7" w:rsidRPr="00703A0B" w:rsidRDefault="00D872D7" w:rsidP="00730922">
            <w:pPr>
              <w:rPr>
                <w:rFonts w:cs="Arial"/>
                <w:bCs/>
                <w:szCs w:val="22"/>
              </w:rPr>
            </w:pPr>
            <w:r w:rsidRPr="00703A0B">
              <w:t>5.8%</w:t>
            </w:r>
          </w:p>
        </w:tc>
        <w:tc>
          <w:tcPr>
            <w:tcW w:w="1220" w:type="dxa"/>
          </w:tcPr>
          <w:p w14:paraId="532A5F94" w14:textId="7C80CBFA" w:rsidR="00D872D7" w:rsidRPr="00703A0B" w:rsidRDefault="00D872D7" w:rsidP="00730922">
            <w:pPr>
              <w:rPr>
                <w:rFonts w:eastAsia="Arial" w:cs="Arial"/>
              </w:rPr>
            </w:pPr>
            <w:r w:rsidRPr="00703A0B">
              <w:t>8.5%</w:t>
            </w:r>
          </w:p>
        </w:tc>
      </w:tr>
      <w:tr w:rsidR="00590441" w:rsidRPr="00703A0B" w14:paraId="16630BCD" w14:textId="77777777" w:rsidTr="00D9548E">
        <w:tc>
          <w:tcPr>
            <w:tcW w:w="10447" w:type="dxa"/>
            <w:gridSpan w:val="6"/>
            <w:shd w:val="clear" w:color="auto" w:fill="D9D9D9" w:themeFill="background1" w:themeFillShade="D9"/>
          </w:tcPr>
          <w:p w14:paraId="34CC22E2" w14:textId="13FDB917" w:rsidR="00590441" w:rsidRPr="00703A0B" w:rsidRDefault="00590441" w:rsidP="00730922">
            <w:pPr>
              <w:rPr>
                <w:rFonts w:cs="Arial"/>
              </w:rPr>
            </w:pPr>
            <w:r w:rsidRPr="00703A0B">
              <w:rPr>
                <w:rFonts w:cs="Arial"/>
                <w:szCs w:val="22"/>
              </w:rPr>
              <w:t>Notifiable work audits</w:t>
            </w:r>
          </w:p>
        </w:tc>
      </w:tr>
      <w:tr w:rsidR="00D872D7" w:rsidRPr="00703A0B" w14:paraId="76D2F518" w14:textId="77777777" w:rsidTr="00D9548E">
        <w:tc>
          <w:tcPr>
            <w:tcW w:w="4125" w:type="dxa"/>
          </w:tcPr>
          <w:p w14:paraId="2B775A7B" w14:textId="2CBAB3C9" w:rsidR="00D872D7" w:rsidRPr="00703A0B" w:rsidRDefault="00D872D7" w:rsidP="00730922">
            <w:pPr>
              <w:rPr>
                <w:rFonts w:cs="Arial"/>
                <w:szCs w:val="22"/>
              </w:rPr>
            </w:pPr>
            <w:r w:rsidRPr="00703A0B">
              <w:t>Compliance</w:t>
            </w:r>
          </w:p>
        </w:tc>
        <w:tc>
          <w:tcPr>
            <w:tcW w:w="1286" w:type="dxa"/>
          </w:tcPr>
          <w:p w14:paraId="39AB7FD7" w14:textId="07B274E9" w:rsidR="00D872D7" w:rsidRPr="00703A0B" w:rsidRDefault="7C550C8F" w:rsidP="00730922">
            <w:r w:rsidRPr="00703A0B">
              <w:t xml:space="preserve">64% </w:t>
            </w:r>
          </w:p>
        </w:tc>
        <w:tc>
          <w:tcPr>
            <w:tcW w:w="1272" w:type="dxa"/>
          </w:tcPr>
          <w:p w14:paraId="27FE2ECA" w14:textId="63901110" w:rsidR="00D872D7" w:rsidRPr="00703A0B" w:rsidRDefault="31ED956F" w:rsidP="00730922">
            <w:r w:rsidRPr="00703A0B">
              <w:t>69</w:t>
            </w:r>
            <w:r w:rsidR="1973A808" w:rsidRPr="00703A0B">
              <w:t xml:space="preserve">% </w:t>
            </w:r>
          </w:p>
        </w:tc>
        <w:tc>
          <w:tcPr>
            <w:tcW w:w="1272" w:type="dxa"/>
          </w:tcPr>
          <w:p w14:paraId="7672E01F" w14:textId="5FD9221A" w:rsidR="00D872D7" w:rsidRPr="00703A0B" w:rsidRDefault="00D872D7" w:rsidP="00730922">
            <w:pPr>
              <w:rPr>
                <w:rFonts w:cs="Arial"/>
                <w:bCs/>
                <w:szCs w:val="22"/>
              </w:rPr>
            </w:pPr>
            <w:r w:rsidRPr="00703A0B">
              <w:rPr>
                <w:rFonts w:cs="Arial"/>
              </w:rPr>
              <w:t xml:space="preserve">78% </w:t>
            </w:r>
          </w:p>
        </w:tc>
        <w:tc>
          <w:tcPr>
            <w:tcW w:w="1272" w:type="dxa"/>
          </w:tcPr>
          <w:p w14:paraId="1CD6F19C" w14:textId="232B2A05" w:rsidR="00D872D7" w:rsidRPr="00703A0B" w:rsidRDefault="00D872D7" w:rsidP="00730922">
            <w:pPr>
              <w:rPr>
                <w:rFonts w:cs="Arial"/>
                <w:bCs/>
                <w:szCs w:val="22"/>
              </w:rPr>
            </w:pPr>
            <w:r w:rsidRPr="00703A0B">
              <w:rPr>
                <w:rFonts w:cs="Arial"/>
              </w:rPr>
              <w:t xml:space="preserve">73% </w:t>
            </w:r>
          </w:p>
        </w:tc>
        <w:tc>
          <w:tcPr>
            <w:tcW w:w="1220" w:type="dxa"/>
          </w:tcPr>
          <w:p w14:paraId="7CFFA7BD" w14:textId="49F7C2C7" w:rsidR="00D872D7" w:rsidRPr="00703A0B" w:rsidRDefault="00D872D7" w:rsidP="00730922">
            <w:pPr>
              <w:rPr>
                <w:rFonts w:eastAsia="Arial" w:cs="Arial"/>
              </w:rPr>
            </w:pPr>
            <w:r w:rsidRPr="00703A0B">
              <w:rPr>
                <w:rFonts w:cs="Arial"/>
              </w:rPr>
              <w:t xml:space="preserve">67% </w:t>
            </w:r>
          </w:p>
        </w:tc>
      </w:tr>
      <w:tr w:rsidR="00D872D7" w:rsidRPr="00703A0B" w14:paraId="3DEDC119" w14:textId="77777777" w:rsidTr="00D9548E">
        <w:tc>
          <w:tcPr>
            <w:tcW w:w="4125" w:type="dxa"/>
          </w:tcPr>
          <w:p w14:paraId="48ECE584" w14:textId="07DD60E6" w:rsidR="00D872D7" w:rsidRPr="00703A0B" w:rsidRDefault="00D872D7" w:rsidP="00730922">
            <w:pPr>
              <w:rPr>
                <w:rFonts w:cs="Arial"/>
                <w:szCs w:val="22"/>
              </w:rPr>
            </w:pPr>
            <w:r w:rsidRPr="00703A0B">
              <w:t>Non-compliance</w:t>
            </w:r>
          </w:p>
        </w:tc>
        <w:tc>
          <w:tcPr>
            <w:tcW w:w="1286" w:type="dxa"/>
          </w:tcPr>
          <w:p w14:paraId="02FC71C0" w14:textId="6B40EE00" w:rsidR="00D872D7" w:rsidRPr="00703A0B" w:rsidRDefault="72F5A9F3" w:rsidP="00730922">
            <w:r w:rsidRPr="00703A0B">
              <w:t xml:space="preserve">36% </w:t>
            </w:r>
          </w:p>
        </w:tc>
        <w:tc>
          <w:tcPr>
            <w:tcW w:w="1272" w:type="dxa"/>
          </w:tcPr>
          <w:p w14:paraId="16E4C533" w14:textId="34F76BA3" w:rsidR="00D872D7" w:rsidRPr="00703A0B" w:rsidRDefault="612DDE67" w:rsidP="00730922">
            <w:r w:rsidRPr="00703A0B">
              <w:t>31</w:t>
            </w:r>
            <w:r w:rsidR="2A94C78E" w:rsidRPr="00703A0B">
              <w:t xml:space="preserve">% </w:t>
            </w:r>
          </w:p>
        </w:tc>
        <w:tc>
          <w:tcPr>
            <w:tcW w:w="1272" w:type="dxa"/>
          </w:tcPr>
          <w:p w14:paraId="53D791D7" w14:textId="179DAC39" w:rsidR="00D872D7" w:rsidRPr="00703A0B" w:rsidRDefault="00D872D7" w:rsidP="00730922">
            <w:pPr>
              <w:rPr>
                <w:rFonts w:cs="Arial"/>
                <w:bCs/>
                <w:szCs w:val="22"/>
              </w:rPr>
            </w:pPr>
            <w:r w:rsidRPr="00703A0B">
              <w:rPr>
                <w:rFonts w:cs="Arial"/>
              </w:rPr>
              <w:t>22%</w:t>
            </w:r>
          </w:p>
        </w:tc>
        <w:tc>
          <w:tcPr>
            <w:tcW w:w="1272" w:type="dxa"/>
          </w:tcPr>
          <w:p w14:paraId="432DC275" w14:textId="101FC291" w:rsidR="00D872D7" w:rsidRPr="00703A0B" w:rsidRDefault="00D872D7" w:rsidP="00730922">
            <w:pPr>
              <w:rPr>
                <w:rFonts w:cs="Arial"/>
                <w:bCs/>
                <w:szCs w:val="22"/>
              </w:rPr>
            </w:pPr>
            <w:r w:rsidRPr="00703A0B">
              <w:rPr>
                <w:rFonts w:cs="Arial"/>
              </w:rPr>
              <w:t xml:space="preserve">27% </w:t>
            </w:r>
          </w:p>
        </w:tc>
        <w:tc>
          <w:tcPr>
            <w:tcW w:w="1220" w:type="dxa"/>
          </w:tcPr>
          <w:p w14:paraId="4D89E39C" w14:textId="2D77EC59" w:rsidR="00D872D7" w:rsidRPr="00703A0B" w:rsidRDefault="00D872D7" w:rsidP="00730922">
            <w:pPr>
              <w:rPr>
                <w:rFonts w:eastAsia="Arial" w:cs="Arial"/>
              </w:rPr>
            </w:pPr>
            <w:r w:rsidRPr="00703A0B">
              <w:rPr>
                <w:rFonts w:cs="Arial"/>
              </w:rPr>
              <w:t>33%</w:t>
            </w:r>
          </w:p>
        </w:tc>
      </w:tr>
      <w:tr w:rsidR="00D872D7" w:rsidRPr="00703A0B" w14:paraId="6B78FFCF" w14:textId="77777777" w:rsidTr="00D9548E">
        <w:tc>
          <w:tcPr>
            <w:tcW w:w="4125" w:type="dxa"/>
          </w:tcPr>
          <w:p w14:paraId="29E3597D" w14:textId="72D5AD8B" w:rsidR="00D872D7" w:rsidRPr="00703A0B" w:rsidRDefault="00D872D7" w:rsidP="00730922">
            <w:pPr>
              <w:rPr>
                <w:rFonts w:cs="Arial"/>
                <w:szCs w:val="22"/>
              </w:rPr>
            </w:pPr>
            <w:r w:rsidRPr="00703A0B">
              <w:t xml:space="preserve">Compliance on reaudit </w:t>
            </w:r>
          </w:p>
        </w:tc>
        <w:tc>
          <w:tcPr>
            <w:tcW w:w="1286" w:type="dxa"/>
          </w:tcPr>
          <w:p w14:paraId="3C39AF38" w14:textId="12E92CF3" w:rsidR="00D872D7" w:rsidRPr="00703A0B" w:rsidRDefault="35C00316" w:rsidP="00730922">
            <w:r w:rsidRPr="00703A0B">
              <w:t>78%</w:t>
            </w:r>
          </w:p>
        </w:tc>
        <w:tc>
          <w:tcPr>
            <w:tcW w:w="1272" w:type="dxa"/>
          </w:tcPr>
          <w:p w14:paraId="6BB4E34F" w14:textId="1BBBD1CF" w:rsidR="00D872D7" w:rsidRPr="00703A0B" w:rsidRDefault="1B9228E3" w:rsidP="00730922">
            <w:r w:rsidRPr="00703A0B">
              <w:t xml:space="preserve">72% </w:t>
            </w:r>
          </w:p>
        </w:tc>
        <w:tc>
          <w:tcPr>
            <w:tcW w:w="1272" w:type="dxa"/>
          </w:tcPr>
          <w:p w14:paraId="299A77CE" w14:textId="07A8A454" w:rsidR="00D872D7" w:rsidRPr="00703A0B" w:rsidRDefault="00D872D7" w:rsidP="00730922">
            <w:pPr>
              <w:rPr>
                <w:rFonts w:cs="Arial"/>
                <w:bCs/>
                <w:szCs w:val="22"/>
              </w:rPr>
            </w:pPr>
            <w:r w:rsidRPr="00703A0B">
              <w:rPr>
                <w:rFonts w:cs="Arial"/>
              </w:rPr>
              <w:t xml:space="preserve">89% </w:t>
            </w:r>
          </w:p>
        </w:tc>
        <w:tc>
          <w:tcPr>
            <w:tcW w:w="1272" w:type="dxa"/>
          </w:tcPr>
          <w:p w14:paraId="11ECD6B2" w14:textId="4BB9C7CB" w:rsidR="00D872D7" w:rsidRPr="00703A0B" w:rsidRDefault="00D872D7" w:rsidP="00730922">
            <w:pPr>
              <w:rPr>
                <w:rFonts w:cs="Arial"/>
                <w:bCs/>
                <w:szCs w:val="22"/>
              </w:rPr>
            </w:pPr>
            <w:r w:rsidRPr="00703A0B">
              <w:t>80%</w:t>
            </w:r>
          </w:p>
        </w:tc>
        <w:tc>
          <w:tcPr>
            <w:tcW w:w="1220" w:type="dxa"/>
          </w:tcPr>
          <w:p w14:paraId="45F5382D" w14:textId="31328413" w:rsidR="00D872D7" w:rsidRPr="00703A0B" w:rsidRDefault="00D872D7" w:rsidP="00730922">
            <w:pPr>
              <w:rPr>
                <w:rFonts w:eastAsia="Arial" w:cs="Arial"/>
              </w:rPr>
            </w:pPr>
            <w:r w:rsidRPr="00703A0B">
              <w:rPr>
                <w:rFonts w:cs="Arial"/>
              </w:rPr>
              <w:t>81%</w:t>
            </w:r>
          </w:p>
        </w:tc>
      </w:tr>
      <w:tr w:rsidR="00590441" w:rsidRPr="00703A0B" w14:paraId="7F0D332B" w14:textId="77777777" w:rsidTr="00D9548E">
        <w:tc>
          <w:tcPr>
            <w:tcW w:w="10447" w:type="dxa"/>
            <w:gridSpan w:val="6"/>
            <w:shd w:val="clear" w:color="auto" w:fill="D9D9D9" w:themeFill="background1" w:themeFillShade="D9"/>
          </w:tcPr>
          <w:p w14:paraId="69F1DF37" w14:textId="6E4AF8FA" w:rsidR="00590441" w:rsidRPr="00703A0B" w:rsidRDefault="00590441" w:rsidP="00730922">
            <w:pPr>
              <w:rPr>
                <w:rFonts w:cs="Arial"/>
              </w:rPr>
            </w:pPr>
            <w:r w:rsidRPr="00703A0B">
              <w:rPr>
                <w:rFonts w:cs="Arial"/>
              </w:rPr>
              <w:t xml:space="preserve">Pool safety </w:t>
            </w:r>
            <w:r w:rsidR="001E7CCA" w:rsidRPr="00703A0B">
              <w:rPr>
                <w:rFonts w:cs="Arial"/>
              </w:rPr>
              <w:t xml:space="preserve">administration </w:t>
            </w:r>
            <w:r w:rsidRPr="00703A0B">
              <w:rPr>
                <w:rFonts w:cs="Arial"/>
              </w:rPr>
              <w:t>audits</w:t>
            </w:r>
          </w:p>
        </w:tc>
      </w:tr>
      <w:tr w:rsidR="00120A53" w:rsidRPr="00703A0B" w14:paraId="0C98BFE3" w14:textId="77777777" w:rsidTr="00D9548E">
        <w:tc>
          <w:tcPr>
            <w:tcW w:w="4125" w:type="dxa"/>
          </w:tcPr>
          <w:p w14:paraId="3B4BD63F" w14:textId="0F41F679" w:rsidR="00120A53" w:rsidRPr="00703A0B" w:rsidRDefault="00120A53" w:rsidP="00730922">
            <w:pPr>
              <w:rPr>
                <w:rFonts w:cs="Arial"/>
                <w:szCs w:val="22"/>
              </w:rPr>
            </w:pPr>
            <w:r w:rsidRPr="00703A0B">
              <w:t>Compliance with Form 36</w:t>
            </w:r>
          </w:p>
        </w:tc>
        <w:tc>
          <w:tcPr>
            <w:tcW w:w="1286" w:type="dxa"/>
          </w:tcPr>
          <w:p w14:paraId="59C1A505" w14:textId="2962FC81" w:rsidR="00120A53" w:rsidRPr="00703A0B" w:rsidRDefault="00DF6668" w:rsidP="00730922">
            <w:pPr>
              <w:rPr>
                <w:rFonts w:cs="Arial"/>
              </w:rPr>
            </w:pPr>
            <w:r w:rsidRPr="00703A0B">
              <w:rPr>
                <w:rFonts w:cs="Arial"/>
              </w:rPr>
              <w:t>-</w:t>
            </w:r>
          </w:p>
        </w:tc>
        <w:tc>
          <w:tcPr>
            <w:tcW w:w="1272" w:type="dxa"/>
          </w:tcPr>
          <w:p w14:paraId="27F0E228" w14:textId="201A3B55" w:rsidR="00120A53" w:rsidRPr="00703A0B" w:rsidRDefault="00DF6668" w:rsidP="00730922">
            <w:pPr>
              <w:rPr>
                <w:rFonts w:cs="Arial"/>
              </w:rPr>
            </w:pPr>
            <w:r w:rsidRPr="00703A0B">
              <w:rPr>
                <w:rFonts w:cs="Arial"/>
              </w:rPr>
              <w:t>-</w:t>
            </w:r>
          </w:p>
        </w:tc>
        <w:tc>
          <w:tcPr>
            <w:tcW w:w="1272" w:type="dxa"/>
          </w:tcPr>
          <w:p w14:paraId="49075692" w14:textId="08AB1FD5" w:rsidR="00120A53" w:rsidRPr="00703A0B" w:rsidRDefault="00120A53" w:rsidP="00730922">
            <w:pPr>
              <w:rPr>
                <w:rFonts w:cs="Arial"/>
                <w:szCs w:val="22"/>
              </w:rPr>
            </w:pPr>
            <w:r w:rsidRPr="00703A0B">
              <w:rPr>
                <w:rFonts w:cs="Arial"/>
              </w:rPr>
              <w:t>-</w:t>
            </w:r>
          </w:p>
        </w:tc>
        <w:tc>
          <w:tcPr>
            <w:tcW w:w="1272" w:type="dxa"/>
          </w:tcPr>
          <w:p w14:paraId="67670C2C" w14:textId="76066488" w:rsidR="00120A53" w:rsidRPr="00703A0B" w:rsidRDefault="00120A53" w:rsidP="00730922">
            <w:pPr>
              <w:rPr>
                <w:rFonts w:cs="Arial"/>
                <w:szCs w:val="22"/>
              </w:rPr>
            </w:pPr>
            <w:r w:rsidRPr="00703A0B">
              <w:rPr>
                <w:rFonts w:cs="Arial"/>
              </w:rPr>
              <w:t>-</w:t>
            </w:r>
          </w:p>
        </w:tc>
        <w:tc>
          <w:tcPr>
            <w:tcW w:w="1220" w:type="dxa"/>
          </w:tcPr>
          <w:p w14:paraId="774AD34A" w14:textId="6E4BB7EE" w:rsidR="00120A53" w:rsidRPr="00703A0B" w:rsidRDefault="00120A53" w:rsidP="00730922">
            <w:pPr>
              <w:rPr>
                <w:rFonts w:eastAsia="Arial" w:cs="Arial"/>
              </w:rPr>
            </w:pPr>
            <w:r w:rsidRPr="00703A0B">
              <w:rPr>
                <w:rFonts w:cs="Arial"/>
              </w:rPr>
              <w:t>29%</w:t>
            </w:r>
          </w:p>
        </w:tc>
      </w:tr>
      <w:tr w:rsidR="00120A53" w:rsidRPr="00703A0B" w14:paraId="4D926B43" w14:textId="77777777" w:rsidTr="00D9548E">
        <w:tc>
          <w:tcPr>
            <w:tcW w:w="4125" w:type="dxa"/>
          </w:tcPr>
          <w:p w14:paraId="1D347922" w14:textId="0A054702" w:rsidR="00120A53" w:rsidRPr="00703A0B" w:rsidRDefault="00120A53" w:rsidP="00730922">
            <w:pPr>
              <w:rPr>
                <w:rFonts w:cs="Arial"/>
                <w:szCs w:val="22"/>
              </w:rPr>
            </w:pPr>
            <w:r w:rsidRPr="00703A0B">
              <w:t>Non-compliance with Form 36</w:t>
            </w:r>
          </w:p>
        </w:tc>
        <w:tc>
          <w:tcPr>
            <w:tcW w:w="1286" w:type="dxa"/>
          </w:tcPr>
          <w:p w14:paraId="5B4E00EB" w14:textId="557DB0EC" w:rsidR="00120A53" w:rsidRPr="00703A0B" w:rsidRDefault="00DF6668" w:rsidP="00730922">
            <w:pPr>
              <w:rPr>
                <w:rFonts w:cs="Arial"/>
              </w:rPr>
            </w:pPr>
            <w:r w:rsidRPr="00703A0B">
              <w:rPr>
                <w:rFonts w:cs="Arial"/>
              </w:rPr>
              <w:t>-</w:t>
            </w:r>
          </w:p>
        </w:tc>
        <w:tc>
          <w:tcPr>
            <w:tcW w:w="1272" w:type="dxa"/>
          </w:tcPr>
          <w:p w14:paraId="723F2CF7" w14:textId="51F93DF0" w:rsidR="00120A53" w:rsidRPr="00703A0B" w:rsidRDefault="00DF6668" w:rsidP="00730922">
            <w:pPr>
              <w:rPr>
                <w:rFonts w:cs="Arial"/>
              </w:rPr>
            </w:pPr>
            <w:r w:rsidRPr="00703A0B">
              <w:rPr>
                <w:rFonts w:cs="Arial"/>
              </w:rPr>
              <w:t>-</w:t>
            </w:r>
          </w:p>
        </w:tc>
        <w:tc>
          <w:tcPr>
            <w:tcW w:w="1272" w:type="dxa"/>
          </w:tcPr>
          <w:p w14:paraId="0117C6C0" w14:textId="4706FDB0" w:rsidR="00120A53" w:rsidRPr="00703A0B" w:rsidRDefault="00120A53" w:rsidP="00730922">
            <w:pPr>
              <w:rPr>
                <w:rFonts w:cs="Arial"/>
                <w:szCs w:val="22"/>
              </w:rPr>
            </w:pPr>
            <w:r w:rsidRPr="00703A0B">
              <w:rPr>
                <w:rFonts w:cs="Arial"/>
              </w:rPr>
              <w:t>-</w:t>
            </w:r>
          </w:p>
        </w:tc>
        <w:tc>
          <w:tcPr>
            <w:tcW w:w="1272" w:type="dxa"/>
          </w:tcPr>
          <w:p w14:paraId="08306C79" w14:textId="65EB1195" w:rsidR="00120A53" w:rsidRPr="00703A0B" w:rsidRDefault="00120A53" w:rsidP="00730922">
            <w:pPr>
              <w:rPr>
                <w:rFonts w:cs="Arial"/>
                <w:szCs w:val="22"/>
              </w:rPr>
            </w:pPr>
            <w:r w:rsidRPr="00703A0B">
              <w:rPr>
                <w:rFonts w:cs="Arial"/>
              </w:rPr>
              <w:t>-</w:t>
            </w:r>
          </w:p>
        </w:tc>
        <w:tc>
          <w:tcPr>
            <w:tcW w:w="1220" w:type="dxa"/>
          </w:tcPr>
          <w:p w14:paraId="44BE24B1" w14:textId="060E75CC" w:rsidR="00120A53" w:rsidRPr="00703A0B" w:rsidRDefault="00120A53" w:rsidP="00730922">
            <w:pPr>
              <w:rPr>
                <w:rFonts w:eastAsia="Arial" w:cs="Arial"/>
              </w:rPr>
            </w:pPr>
            <w:r w:rsidRPr="00703A0B">
              <w:rPr>
                <w:rFonts w:cs="Arial"/>
              </w:rPr>
              <w:t>71%</w:t>
            </w:r>
          </w:p>
        </w:tc>
      </w:tr>
      <w:tr w:rsidR="00120A53" w:rsidRPr="00703A0B" w14:paraId="54829EEF" w14:textId="77777777" w:rsidTr="00D9548E">
        <w:tc>
          <w:tcPr>
            <w:tcW w:w="4125" w:type="dxa"/>
          </w:tcPr>
          <w:p w14:paraId="6B74487B" w14:textId="4B50D293" w:rsidR="00120A53" w:rsidRPr="00703A0B" w:rsidRDefault="00120A53" w:rsidP="00730922">
            <w:pPr>
              <w:rPr>
                <w:rFonts w:cs="Arial"/>
                <w:szCs w:val="22"/>
              </w:rPr>
            </w:pPr>
            <w:r w:rsidRPr="00703A0B">
              <w:t xml:space="preserve">Pool </w:t>
            </w:r>
            <w:r w:rsidR="00696B7E" w:rsidRPr="00703A0B">
              <w:t>s</w:t>
            </w:r>
            <w:r w:rsidRPr="00703A0B">
              <w:t xml:space="preserve">afety </w:t>
            </w:r>
            <w:r w:rsidR="00696B7E" w:rsidRPr="00703A0B">
              <w:t>i</w:t>
            </w:r>
            <w:r w:rsidRPr="00703A0B">
              <w:t xml:space="preserve">nspector compliance </w:t>
            </w:r>
          </w:p>
        </w:tc>
        <w:tc>
          <w:tcPr>
            <w:tcW w:w="1286" w:type="dxa"/>
          </w:tcPr>
          <w:p w14:paraId="3FCCCC38" w14:textId="486EBA41" w:rsidR="00120A53" w:rsidRPr="00703A0B" w:rsidRDefault="00DF6668" w:rsidP="00730922">
            <w:pPr>
              <w:rPr>
                <w:rFonts w:cs="Arial"/>
              </w:rPr>
            </w:pPr>
            <w:r w:rsidRPr="00703A0B">
              <w:rPr>
                <w:rFonts w:cs="Arial"/>
              </w:rPr>
              <w:t>-</w:t>
            </w:r>
          </w:p>
        </w:tc>
        <w:tc>
          <w:tcPr>
            <w:tcW w:w="1272" w:type="dxa"/>
          </w:tcPr>
          <w:p w14:paraId="133FE200" w14:textId="61CA0D6E" w:rsidR="00120A53" w:rsidRPr="00703A0B" w:rsidRDefault="00DF6668" w:rsidP="00730922">
            <w:pPr>
              <w:rPr>
                <w:rFonts w:cs="Arial"/>
              </w:rPr>
            </w:pPr>
            <w:r w:rsidRPr="00703A0B">
              <w:rPr>
                <w:rFonts w:cs="Arial"/>
              </w:rPr>
              <w:t>-</w:t>
            </w:r>
          </w:p>
        </w:tc>
        <w:tc>
          <w:tcPr>
            <w:tcW w:w="1272" w:type="dxa"/>
          </w:tcPr>
          <w:p w14:paraId="12309B1D" w14:textId="2329BCE2" w:rsidR="00120A53" w:rsidRPr="00703A0B" w:rsidRDefault="00120A53" w:rsidP="00730922">
            <w:pPr>
              <w:rPr>
                <w:rFonts w:cs="Arial"/>
                <w:szCs w:val="22"/>
              </w:rPr>
            </w:pPr>
            <w:r w:rsidRPr="00703A0B">
              <w:rPr>
                <w:rFonts w:cs="Arial"/>
              </w:rPr>
              <w:t>-</w:t>
            </w:r>
          </w:p>
        </w:tc>
        <w:tc>
          <w:tcPr>
            <w:tcW w:w="1272" w:type="dxa"/>
          </w:tcPr>
          <w:p w14:paraId="670D8726" w14:textId="62A6EB1B" w:rsidR="00120A53" w:rsidRPr="00703A0B" w:rsidRDefault="00120A53" w:rsidP="00730922">
            <w:pPr>
              <w:rPr>
                <w:rFonts w:cs="Arial"/>
                <w:szCs w:val="22"/>
              </w:rPr>
            </w:pPr>
            <w:r w:rsidRPr="00703A0B">
              <w:rPr>
                <w:rFonts w:cs="Arial"/>
              </w:rPr>
              <w:t>30%</w:t>
            </w:r>
          </w:p>
        </w:tc>
        <w:tc>
          <w:tcPr>
            <w:tcW w:w="1220" w:type="dxa"/>
          </w:tcPr>
          <w:p w14:paraId="0D06AF60" w14:textId="38966923" w:rsidR="00120A53" w:rsidRPr="00703A0B" w:rsidRDefault="00120A53" w:rsidP="00730922">
            <w:pPr>
              <w:rPr>
                <w:rFonts w:eastAsia="Arial" w:cs="Arial"/>
              </w:rPr>
            </w:pPr>
            <w:r w:rsidRPr="00703A0B">
              <w:rPr>
                <w:rFonts w:cs="Arial"/>
              </w:rPr>
              <w:t>30%</w:t>
            </w:r>
          </w:p>
        </w:tc>
      </w:tr>
      <w:tr w:rsidR="00120A53" w:rsidRPr="00703A0B" w14:paraId="70BBB5B7" w14:textId="77777777" w:rsidTr="00D9548E">
        <w:tc>
          <w:tcPr>
            <w:tcW w:w="4125" w:type="dxa"/>
          </w:tcPr>
          <w:p w14:paraId="118EA9D7" w14:textId="1F30E080" w:rsidR="00120A53" w:rsidRPr="00703A0B" w:rsidRDefault="00120A53" w:rsidP="00730922">
            <w:pPr>
              <w:rPr>
                <w:rFonts w:cs="Arial"/>
                <w:szCs w:val="22"/>
              </w:rPr>
            </w:pPr>
            <w:r w:rsidRPr="00703A0B">
              <w:t xml:space="preserve">Pool </w:t>
            </w:r>
            <w:r w:rsidR="00696B7E" w:rsidRPr="00703A0B">
              <w:t>s</w:t>
            </w:r>
            <w:r w:rsidRPr="00703A0B">
              <w:t xml:space="preserve">afety </w:t>
            </w:r>
            <w:r w:rsidR="00696B7E" w:rsidRPr="00703A0B">
              <w:t>i</w:t>
            </w:r>
            <w:r w:rsidRPr="00703A0B">
              <w:t xml:space="preserve">nspector </w:t>
            </w:r>
            <w:r w:rsidR="00E71306" w:rsidRPr="00703A0B">
              <w:t>n</w:t>
            </w:r>
            <w:r w:rsidRPr="00703A0B">
              <w:t>on-</w:t>
            </w:r>
            <w:r w:rsidR="00E71306" w:rsidRPr="00703A0B">
              <w:t>c</w:t>
            </w:r>
            <w:r w:rsidRPr="00703A0B">
              <w:t>ompliance</w:t>
            </w:r>
          </w:p>
        </w:tc>
        <w:tc>
          <w:tcPr>
            <w:tcW w:w="1286" w:type="dxa"/>
          </w:tcPr>
          <w:p w14:paraId="5044BDC3" w14:textId="1F722EB9" w:rsidR="00120A53" w:rsidRPr="00703A0B" w:rsidRDefault="00DF6668" w:rsidP="00730922">
            <w:pPr>
              <w:rPr>
                <w:rFonts w:cs="Arial"/>
              </w:rPr>
            </w:pPr>
            <w:r w:rsidRPr="00703A0B">
              <w:rPr>
                <w:rFonts w:cs="Arial"/>
              </w:rPr>
              <w:t>-</w:t>
            </w:r>
          </w:p>
        </w:tc>
        <w:tc>
          <w:tcPr>
            <w:tcW w:w="1272" w:type="dxa"/>
          </w:tcPr>
          <w:p w14:paraId="6D30634B" w14:textId="7A77290C" w:rsidR="00120A53" w:rsidRPr="00703A0B" w:rsidRDefault="00DF6668" w:rsidP="00730922">
            <w:pPr>
              <w:rPr>
                <w:rFonts w:cs="Arial"/>
              </w:rPr>
            </w:pPr>
            <w:r w:rsidRPr="00703A0B">
              <w:rPr>
                <w:rFonts w:cs="Arial"/>
              </w:rPr>
              <w:t>-</w:t>
            </w:r>
          </w:p>
        </w:tc>
        <w:tc>
          <w:tcPr>
            <w:tcW w:w="1272" w:type="dxa"/>
          </w:tcPr>
          <w:p w14:paraId="29165634" w14:textId="6F1AAB74" w:rsidR="00120A53" w:rsidRPr="00703A0B" w:rsidRDefault="00120A53" w:rsidP="00730922">
            <w:pPr>
              <w:rPr>
                <w:rFonts w:cs="Arial"/>
                <w:szCs w:val="22"/>
              </w:rPr>
            </w:pPr>
            <w:r w:rsidRPr="00703A0B">
              <w:rPr>
                <w:rFonts w:cs="Arial"/>
              </w:rPr>
              <w:t>-</w:t>
            </w:r>
          </w:p>
        </w:tc>
        <w:tc>
          <w:tcPr>
            <w:tcW w:w="1272" w:type="dxa"/>
          </w:tcPr>
          <w:p w14:paraId="58F5CC1A" w14:textId="79BCD596" w:rsidR="00120A53" w:rsidRPr="00703A0B" w:rsidRDefault="00120A53" w:rsidP="00730922">
            <w:pPr>
              <w:rPr>
                <w:rFonts w:cs="Arial"/>
                <w:szCs w:val="22"/>
              </w:rPr>
            </w:pPr>
            <w:r w:rsidRPr="00703A0B">
              <w:t>70%</w:t>
            </w:r>
          </w:p>
        </w:tc>
        <w:tc>
          <w:tcPr>
            <w:tcW w:w="1220" w:type="dxa"/>
          </w:tcPr>
          <w:p w14:paraId="68A3D8A9" w14:textId="5C5AD8FF" w:rsidR="00120A53" w:rsidRPr="00703A0B" w:rsidRDefault="00120A53" w:rsidP="00730922">
            <w:pPr>
              <w:rPr>
                <w:rFonts w:eastAsia="Arial" w:cs="Arial"/>
              </w:rPr>
            </w:pPr>
            <w:r w:rsidRPr="00703A0B">
              <w:rPr>
                <w:rFonts w:cs="Arial"/>
              </w:rPr>
              <w:t>70%</w:t>
            </w:r>
          </w:p>
        </w:tc>
      </w:tr>
      <w:tr w:rsidR="00C57FDF" w:rsidRPr="00703A0B" w14:paraId="7F7C0CC6" w14:textId="77777777" w:rsidTr="00D9548E">
        <w:tc>
          <w:tcPr>
            <w:tcW w:w="10447" w:type="dxa"/>
            <w:gridSpan w:val="6"/>
            <w:shd w:val="clear" w:color="auto" w:fill="D9D9D9" w:themeFill="background1" w:themeFillShade="D9"/>
          </w:tcPr>
          <w:p w14:paraId="4B5E6601" w14:textId="6BD85C0A" w:rsidR="00C57FDF" w:rsidRPr="00703A0B" w:rsidRDefault="00C57FDF" w:rsidP="00730922">
            <w:pPr>
              <w:rPr>
                <w:rFonts w:cs="Arial"/>
              </w:rPr>
            </w:pPr>
            <w:r w:rsidRPr="00703A0B">
              <w:rPr>
                <w:rFonts w:cs="Arial"/>
                <w:szCs w:val="22"/>
              </w:rPr>
              <w:lastRenderedPageBreak/>
              <w:t>Building certifier audits</w:t>
            </w:r>
          </w:p>
        </w:tc>
      </w:tr>
      <w:tr w:rsidR="00171997" w:rsidRPr="00703A0B" w14:paraId="607A476F" w14:textId="77777777" w:rsidTr="00D9548E">
        <w:tc>
          <w:tcPr>
            <w:tcW w:w="4125" w:type="dxa"/>
          </w:tcPr>
          <w:p w14:paraId="40946DA7" w14:textId="306CD545" w:rsidR="00171997" w:rsidRPr="00703A0B" w:rsidRDefault="00171997" w:rsidP="00730922">
            <w:r w:rsidRPr="00703A0B">
              <w:rPr>
                <w:rFonts w:eastAsia="MS Mincho" w:cs="Arial"/>
              </w:rPr>
              <w:t>Unsatisfactory conduct</w:t>
            </w:r>
          </w:p>
        </w:tc>
        <w:tc>
          <w:tcPr>
            <w:tcW w:w="1286" w:type="dxa"/>
          </w:tcPr>
          <w:p w14:paraId="27FF2E97" w14:textId="6347EBB3" w:rsidR="00171997" w:rsidRPr="00703A0B" w:rsidRDefault="00171997" w:rsidP="00730922">
            <w:pPr>
              <w:rPr>
                <w:rFonts w:cs="Arial"/>
              </w:rPr>
            </w:pPr>
            <w:r w:rsidRPr="00703A0B">
              <w:rPr>
                <w:rFonts w:cs="Arial"/>
              </w:rPr>
              <w:t>1</w:t>
            </w:r>
          </w:p>
        </w:tc>
        <w:tc>
          <w:tcPr>
            <w:tcW w:w="1272" w:type="dxa"/>
          </w:tcPr>
          <w:p w14:paraId="72E8DEBD" w14:textId="592A2305" w:rsidR="00171997" w:rsidRPr="00703A0B" w:rsidRDefault="00171997" w:rsidP="00730922">
            <w:pPr>
              <w:rPr>
                <w:rFonts w:cs="Arial"/>
              </w:rPr>
            </w:pPr>
            <w:r w:rsidRPr="00703A0B">
              <w:rPr>
                <w:rFonts w:cs="Arial"/>
              </w:rPr>
              <w:t>2</w:t>
            </w:r>
          </w:p>
        </w:tc>
        <w:tc>
          <w:tcPr>
            <w:tcW w:w="1272" w:type="dxa"/>
          </w:tcPr>
          <w:p w14:paraId="193F6667" w14:textId="408E4D5C" w:rsidR="00171997" w:rsidRPr="00703A0B" w:rsidRDefault="00171997" w:rsidP="00730922">
            <w:pPr>
              <w:rPr>
                <w:rFonts w:cs="Arial"/>
              </w:rPr>
            </w:pPr>
            <w:r w:rsidRPr="00703A0B">
              <w:rPr>
                <w:rFonts w:cs="Arial"/>
              </w:rPr>
              <w:t>2</w:t>
            </w:r>
          </w:p>
        </w:tc>
        <w:tc>
          <w:tcPr>
            <w:tcW w:w="1272" w:type="dxa"/>
          </w:tcPr>
          <w:p w14:paraId="304842E1" w14:textId="2E3A9465" w:rsidR="00171997" w:rsidRPr="00703A0B" w:rsidRDefault="00171997" w:rsidP="00730922">
            <w:r w:rsidRPr="00703A0B">
              <w:rPr>
                <w:rFonts w:cs="Arial"/>
              </w:rPr>
              <w:t>2</w:t>
            </w:r>
          </w:p>
        </w:tc>
        <w:tc>
          <w:tcPr>
            <w:tcW w:w="1220" w:type="dxa"/>
          </w:tcPr>
          <w:p w14:paraId="5F3A73D3" w14:textId="185BB598" w:rsidR="00171997" w:rsidRPr="00703A0B" w:rsidRDefault="00171997" w:rsidP="00730922">
            <w:pPr>
              <w:rPr>
                <w:rFonts w:cs="Arial"/>
              </w:rPr>
            </w:pPr>
            <w:r w:rsidRPr="00703A0B">
              <w:rPr>
                <w:rFonts w:cs="Arial"/>
              </w:rPr>
              <w:t>0</w:t>
            </w:r>
          </w:p>
        </w:tc>
      </w:tr>
      <w:tr w:rsidR="00171997" w:rsidRPr="00703A0B" w14:paraId="1B851016" w14:textId="77777777" w:rsidTr="00D9548E">
        <w:tc>
          <w:tcPr>
            <w:tcW w:w="4125" w:type="dxa"/>
          </w:tcPr>
          <w:p w14:paraId="7F0CDE96" w14:textId="2CFA6842" w:rsidR="00171997" w:rsidRPr="00703A0B" w:rsidRDefault="00171997" w:rsidP="00730922">
            <w:r w:rsidRPr="00703A0B">
              <w:rPr>
                <w:rFonts w:cs="Arial"/>
              </w:rPr>
              <w:t>Not unsatisfactory conduct</w:t>
            </w:r>
          </w:p>
        </w:tc>
        <w:tc>
          <w:tcPr>
            <w:tcW w:w="1286" w:type="dxa"/>
          </w:tcPr>
          <w:p w14:paraId="1324AA72" w14:textId="115245F6" w:rsidR="00171997" w:rsidRPr="00703A0B" w:rsidRDefault="00171997" w:rsidP="00730922">
            <w:pPr>
              <w:rPr>
                <w:rFonts w:cs="Arial"/>
              </w:rPr>
            </w:pPr>
            <w:r w:rsidRPr="00703A0B">
              <w:rPr>
                <w:rFonts w:cs="Arial"/>
              </w:rPr>
              <w:t>7</w:t>
            </w:r>
          </w:p>
        </w:tc>
        <w:tc>
          <w:tcPr>
            <w:tcW w:w="1272" w:type="dxa"/>
          </w:tcPr>
          <w:p w14:paraId="44A32EA3" w14:textId="1C52BB9F" w:rsidR="00171997" w:rsidRPr="00703A0B" w:rsidRDefault="00171997" w:rsidP="00730922">
            <w:pPr>
              <w:rPr>
                <w:rFonts w:cs="Arial"/>
              </w:rPr>
            </w:pPr>
            <w:r w:rsidRPr="00703A0B">
              <w:rPr>
                <w:rFonts w:cs="Arial"/>
              </w:rPr>
              <w:t>75</w:t>
            </w:r>
          </w:p>
        </w:tc>
        <w:tc>
          <w:tcPr>
            <w:tcW w:w="1272" w:type="dxa"/>
          </w:tcPr>
          <w:p w14:paraId="2BC4293D" w14:textId="2CF480A7" w:rsidR="00171997" w:rsidRPr="00703A0B" w:rsidRDefault="00171997" w:rsidP="00730922">
            <w:pPr>
              <w:rPr>
                <w:rFonts w:cs="Arial"/>
              </w:rPr>
            </w:pPr>
            <w:r w:rsidRPr="00703A0B">
              <w:rPr>
                <w:rFonts w:cs="Arial"/>
              </w:rPr>
              <w:t>17</w:t>
            </w:r>
          </w:p>
        </w:tc>
        <w:tc>
          <w:tcPr>
            <w:tcW w:w="1272" w:type="dxa"/>
          </w:tcPr>
          <w:p w14:paraId="1F6ECFAC" w14:textId="3AF861DB" w:rsidR="00171997" w:rsidRPr="00703A0B" w:rsidRDefault="00171997" w:rsidP="00730922">
            <w:r w:rsidRPr="00703A0B">
              <w:rPr>
                <w:rFonts w:cs="Arial"/>
              </w:rPr>
              <w:t>65</w:t>
            </w:r>
          </w:p>
        </w:tc>
        <w:tc>
          <w:tcPr>
            <w:tcW w:w="1220" w:type="dxa"/>
          </w:tcPr>
          <w:p w14:paraId="7921AA09" w14:textId="65CEEA92" w:rsidR="00171997" w:rsidRPr="00703A0B" w:rsidRDefault="00171997" w:rsidP="00730922">
            <w:pPr>
              <w:rPr>
                <w:rFonts w:cs="Arial"/>
              </w:rPr>
            </w:pPr>
            <w:r w:rsidRPr="00703A0B">
              <w:rPr>
                <w:rFonts w:cs="Arial"/>
              </w:rPr>
              <w:t>14</w:t>
            </w:r>
          </w:p>
        </w:tc>
      </w:tr>
    </w:tbl>
    <w:p w14:paraId="5D09E5D9" w14:textId="61042F8E" w:rsidR="00231E8C" w:rsidRPr="00703A0B" w:rsidRDefault="008C3AC1" w:rsidP="068550F5">
      <w:pPr>
        <w:spacing w:before="120" w:after="120"/>
        <w:rPr>
          <w:rFonts w:eastAsia="Arial"/>
        </w:rPr>
      </w:pPr>
      <w:bookmarkStart w:id="70" w:name="_Safer_buildings_audits"/>
      <w:bookmarkStart w:id="71" w:name="_Building_Safety_and"/>
      <w:bookmarkStart w:id="72" w:name="_Site_inspections"/>
      <w:bookmarkEnd w:id="70"/>
      <w:bookmarkEnd w:id="71"/>
      <w:bookmarkEnd w:id="72"/>
      <w:r w:rsidRPr="00703A0B">
        <w:rPr>
          <w:rFonts w:eastAsia="Arial"/>
        </w:rPr>
        <w:t xml:space="preserve">Inspection and audit </w:t>
      </w:r>
      <w:r w:rsidR="002D07EB" w:rsidRPr="00703A0B">
        <w:rPr>
          <w:rFonts w:eastAsia="Arial"/>
        </w:rPr>
        <w:t xml:space="preserve">results indicate that the residential construction sector is responding positively </w:t>
      </w:r>
      <w:r w:rsidRPr="00703A0B">
        <w:rPr>
          <w:rFonts w:eastAsia="Arial"/>
        </w:rPr>
        <w:t xml:space="preserve">to </w:t>
      </w:r>
      <w:r w:rsidR="002D07EB" w:rsidRPr="00703A0B">
        <w:rPr>
          <w:rFonts w:eastAsia="Arial"/>
        </w:rPr>
        <w:t>the QBCC’s br</w:t>
      </w:r>
      <w:r w:rsidR="00C36E63" w:rsidRPr="00703A0B">
        <w:rPr>
          <w:rFonts w:eastAsia="Arial"/>
        </w:rPr>
        <w:t>o</w:t>
      </w:r>
      <w:r w:rsidR="002D07EB" w:rsidRPr="00703A0B">
        <w:rPr>
          <w:rFonts w:eastAsia="Arial"/>
        </w:rPr>
        <w:t>ader</w:t>
      </w:r>
      <w:r w:rsidR="00C36E63" w:rsidRPr="00703A0B">
        <w:rPr>
          <w:rFonts w:eastAsia="Arial"/>
        </w:rPr>
        <w:t xml:space="preserve"> compliance </w:t>
      </w:r>
      <w:r w:rsidR="0075162C" w:rsidRPr="00703A0B">
        <w:rPr>
          <w:rFonts w:eastAsia="Arial"/>
        </w:rPr>
        <w:t xml:space="preserve">and enforcement activities. </w:t>
      </w:r>
      <w:r w:rsidR="00757E2A" w:rsidRPr="00703A0B">
        <w:rPr>
          <w:rFonts w:eastAsia="Arial"/>
        </w:rPr>
        <w:t>F</w:t>
      </w:r>
      <w:r w:rsidR="00B94A21" w:rsidRPr="00703A0B">
        <w:rPr>
          <w:rFonts w:eastAsia="Arial"/>
        </w:rPr>
        <w:t xml:space="preserve">ewer instances of unlicensed contracting </w:t>
      </w:r>
      <w:r w:rsidR="005A19D0" w:rsidRPr="00703A0B">
        <w:rPr>
          <w:rFonts w:eastAsia="Arial"/>
        </w:rPr>
        <w:t xml:space="preserve">were identified, while </w:t>
      </w:r>
      <w:r w:rsidR="00825129" w:rsidRPr="00703A0B">
        <w:rPr>
          <w:rFonts w:eastAsia="Arial"/>
        </w:rPr>
        <w:t>a greater proportion of</w:t>
      </w:r>
      <w:r w:rsidR="00425CA1" w:rsidRPr="00703A0B">
        <w:rPr>
          <w:rFonts w:eastAsia="Arial"/>
        </w:rPr>
        <w:t xml:space="preserve"> </w:t>
      </w:r>
      <w:r w:rsidR="00E53DDD" w:rsidRPr="00703A0B">
        <w:rPr>
          <w:rFonts w:eastAsia="Arial"/>
        </w:rPr>
        <w:t xml:space="preserve">non-compliant </w:t>
      </w:r>
      <w:r w:rsidR="009E0D92" w:rsidRPr="00703A0B">
        <w:rPr>
          <w:rFonts w:eastAsia="Arial"/>
        </w:rPr>
        <w:t xml:space="preserve">work was </w:t>
      </w:r>
      <w:r w:rsidR="00E53DDD" w:rsidRPr="00703A0B">
        <w:rPr>
          <w:rFonts w:eastAsia="Arial"/>
        </w:rPr>
        <w:t xml:space="preserve">rectified </w:t>
      </w:r>
      <w:r w:rsidR="009B6957" w:rsidRPr="00703A0B">
        <w:rPr>
          <w:rFonts w:eastAsia="Arial"/>
        </w:rPr>
        <w:t xml:space="preserve">without the need for </w:t>
      </w:r>
      <w:r w:rsidR="00E53DDD" w:rsidRPr="00703A0B">
        <w:rPr>
          <w:rFonts w:eastAsia="Arial"/>
        </w:rPr>
        <w:t>formal regulatory action.</w:t>
      </w:r>
      <w:r w:rsidR="005E6439" w:rsidRPr="00703A0B">
        <w:rPr>
          <w:rFonts w:eastAsia="Arial"/>
        </w:rPr>
        <w:t xml:space="preserve"> </w:t>
      </w:r>
      <w:r w:rsidR="00692D58" w:rsidRPr="00703A0B">
        <w:rPr>
          <w:rFonts w:eastAsia="Arial"/>
        </w:rPr>
        <w:t xml:space="preserve">These trends suggest that </w:t>
      </w:r>
      <w:r w:rsidR="00032F08" w:rsidRPr="00703A0B">
        <w:rPr>
          <w:rFonts w:eastAsia="Arial"/>
        </w:rPr>
        <w:t xml:space="preserve">the QBCC’s </w:t>
      </w:r>
      <w:r w:rsidR="00540B95" w:rsidRPr="00703A0B">
        <w:rPr>
          <w:rFonts w:eastAsia="Arial"/>
        </w:rPr>
        <w:t xml:space="preserve">regulatory oversight, </w:t>
      </w:r>
      <w:r w:rsidR="00692D58" w:rsidRPr="00703A0B">
        <w:rPr>
          <w:rFonts w:eastAsia="Arial"/>
        </w:rPr>
        <w:t xml:space="preserve">industry engagement and education </w:t>
      </w:r>
      <w:r w:rsidR="00540B95" w:rsidRPr="00703A0B">
        <w:rPr>
          <w:rFonts w:eastAsia="Arial"/>
        </w:rPr>
        <w:t xml:space="preserve">activities </w:t>
      </w:r>
      <w:r w:rsidR="00692D58" w:rsidRPr="00703A0B">
        <w:rPr>
          <w:rFonts w:eastAsia="Arial"/>
        </w:rPr>
        <w:t>are</w:t>
      </w:r>
      <w:r w:rsidR="00540B95" w:rsidRPr="00703A0B">
        <w:rPr>
          <w:rFonts w:eastAsia="Arial"/>
        </w:rPr>
        <w:t xml:space="preserve"> improving </w:t>
      </w:r>
      <w:r w:rsidR="00692D58" w:rsidRPr="00703A0B">
        <w:rPr>
          <w:rFonts w:eastAsia="Arial"/>
        </w:rPr>
        <w:t xml:space="preserve">awareness of </w:t>
      </w:r>
      <w:r w:rsidR="00540B95" w:rsidRPr="00703A0B">
        <w:rPr>
          <w:rFonts w:eastAsia="Arial"/>
        </w:rPr>
        <w:t xml:space="preserve">obligations and </w:t>
      </w:r>
      <w:r w:rsidR="00692D58" w:rsidRPr="00703A0B">
        <w:rPr>
          <w:rFonts w:eastAsia="Arial"/>
        </w:rPr>
        <w:t>encouraging</w:t>
      </w:r>
      <w:r w:rsidR="001F34F9" w:rsidRPr="00703A0B">
        <w:rPr>
          <w:rFonts w:eastAsia="Arial"/>
        </w:rPr>
        <w:t xml:space="preserve"> licensees and contractors </w:t>
      </w:r>
      <w:r w:rsidR="00E771A3" w:rsidRPr="00703A0B">
        <w:rPr>
          <w:rFonts w:eastAsia="Arial"/>
        </w:rPr>
        <w:t xml:space="preserve">to address </w:t>
      </w:r>
      <w:r w:rsidR="002218E0" w:rsidRPr="00703A0B">
        <w:rPr>
          <w:rFonts w:eastAsia="Arial"/>
        </w:rPr>
        <w:t xml:space="preserve">issues </w:t>
      </w:r>
      <w:r w:rsidR="00692D58" w:rsidRPr="00703A0B">
        <w:rPr>
          <w:rFonts w:eastAsia="Arial"/>
        </w:rPr>
        <w:t>earl</w:t>
      </w:r>
      <w:r w:rsidR="002218E0" w:rsidRPr="00703A0B">
        <w:rPr>
          <w:rFonts w:eastAsia="Arial"/>
        </w:rPr>
        <w:t>y</w:t>
      </w:r>
      <w:r w:rsidR="00692D58" w:rsidRPr="00703A0B">
        <w:rPr>
          <w:rFonts w:eastAsia="Arial"/>
        </w:rPr>
        <w:t>.</w:t>
      </w:r>
    </w:p>
    <w:p w14:paraId="40EE1927" w14:textId="4AA01706" w:rsidR="00231E8C" w:rsidRPr="00703A0B" w:rsidRDefault="002218E0" w:rsidP="068550F5">
      <w:pPr>
        <w:spacing w:before="120" w:after="120"/>
        <w:rPr>
          <w:rFonts w:eastAsia="Arial"/>
        </w:rPr>
      </w:pPr>
      <w:r w:rsidRPr="00703A0B">
        <w:rPr>
          <w:rFonts w:eastAsia="Arial"/>
        </w:rPr>
        <w:t xml:space="preserve">Compliance outcomes across a range of audit programs </w:t>
      </w:r>
      <w:r w:rsidR="007672CA" w:rsidRPr="00703A0B">
        <w:rPr>
          <w:rFonts w:eastAsia="Arial"/>
        </w:rPr>
        <w:t xml:space="preserve">remained </w:t>
      </w:r>
      <w:r w:rsidR="00F87EDD" w:rsidRPr="00703A0B">
        <w:rPr>
          <w:rFonts w:eastAsia="Arial"/>
        </w:rPr>
        <w:t>strong</w:t>
      </w:r>
      <w:r w:rsidR="007672CA" w:rsidRPr="00703A0B">
        <w:rPr>
          <w:rFonts w:eastAsia="Arial"/>
        </w:rPr>
        <w:t xml:space="preserve">, </w:t>
      </w:r>
      <w:r w:rsidR="00F87EDD" w:rsidRPr="00703A0B">
        <w:rPr>
          <w:rFonts w:eastAsia="Arial"/>
        </w:rPr>
        <w:t xml:space="preserve">particularly </w:t>
      </w:r>
      <w:r w:rsidR="007672CA" w:rsidRPr="00703A0B">
        <w:rPr>
          <w:rFonts w:eastAsia="Arial"/>
        </w:rPr>
        <w:t xml:space="preserve">in areas that have been subject to ongoing </w:t>
      </w:r>
      <w:r w:rsidR="00F87EDD" w:rsidRPr="00703A0B">
        <w:rPr>
          <w:rFonts w:eastAsia="Arial"/>
        </w:rPr>
        <w:t xml:space="preserve">monitoring and targeted </w:t>
      </w:r>
      <w:r w:rsidR="001C16AF" w:rsidRPr="00703A0B">
        <w:rPr>
          <w:rFonts w:eastAsia="Arial"/>
        </w:rPr>
        <w:t>regulatory attention</w:t>
      </w:r>
      <w:r w:rsidR="00F87EDD" w:rsidRPr="00703A0B">
        <w:rPr>
          <w:rFonts w:eastAsia="Arial"/>
        </w:rPr>
        <w:t>. Strong re-audit</w:t>
      </w:r>
      <w:r w:rsidR="001B37C9" w:rsidRPr="00703A0B">
        <w:rPr>
          <w:rFonts w:eastAsia="Arial"/>
        </w:rPr>
        <w:t xml:space="preserve"> results further </w:t>
      </w:r>
      <w:r w:rsidR="00F87EDD" w:rsidRPr="00703A0B">
        <w:rPr>
          <w:rFonts w:eastAsia="Arial"/>
        </w:rPr>
        <w:t xml:space="preserve">demonstrate </w:t>
      </w:r>
      <w:r w:rsidR="00B00C41" w:rsidRPr="00703A0B">
        <w:rPr>
          <w:rFonts w:eastAsia="Arial"/>
        </w:rPr>
        <w:t xml:space="preserve">the effectiveness of </w:t>
      </w:r>
      <w:r w:rsidR="007033AE" w:rsidRPr="00703A0B">
        <w:rPr>
          <w:rFonts w:eastAsia="Arial"/>
        </w:rPr>
        <w:t xml:space="preserve">QBCC </w:t>
      </w:r>
      <w:r w:rsidR="00F87EDD" w:rsidRPr="00703A0B">
        <w:rPr>
          <w:rFonts w:eastAsia="Arial"/>
        </w:rPr>
        <w:t>intervention</w:t>
      </w:r>
      <w:r w:rsidR="00B00C41" w:rsidRPr="00703A0B">
        <w:rPr>
          <w:rFonts w:eastAsia="Arial"/>
        </w:rPr>
        <w:t>s</w:t>
      </w:r>
      <w:r w:rsidR="00633961" w:rsidRPr="00703A0B">
        <w:rPr>
          <w:rFonts w:eastAsia="Arial"/>
        </w:rPr>
        <w:t xml:space="preserve"> </w:t>
      </w:r>
      <w:r w:rsidR="00F87EDD" w:rsidRPr="00703A0B">
        <w:rPr>
          <w:rFonts w:eastAsia="Arial"/>
        </w:rPr>
        <w:t xml:space="preserve">in </w:t>
      </w:r>
      <w:r w:rsidR="007033AE" w:rsidRPr="00703A0B">
        <w:rPr>
          <w:rFonts w:eastAsia="Arial"/>
        </w:rPr>
        <w:t xml:space="preserve">influencing behaviour </w:t>
      </w:r>
      <w:r w:rsidR="006F12DA" w:rsidRPr="00703A0B">
        <w:rPr>
          <w:rFonts w:eastAsia="Arial"/>
        </w:rPr>
        <w:t xml:space="preserve">and supporting </w:t>
      </w:r>
      <w:r w:rsidR="00F87EDD" w:rsidRPr="00703A0B">
        <w:rPr>
          <w:rFonts w:eastAsia="Arial"/>
        </w:rPr>
        <w:t xml:space="preserve">industry </w:t>
      </w:r>
      <w:r w:rsidR="0092274B" w:rsidRPr="00703A0B">
        <w:rPr>
          <w:rFonts w:eastAsia="Arial"/>
        </w:rPr>
        <w:t>professionals</w:t>
      </w:r>
      <w:r w:rsidR="00F87EDD" w:rsidRPr="00703A0B">
        <w:rPr>
          <w:rFonts w:eastAsia="Arial"/>
        </w:rPr>
        <w:t xml:space="preserve"> </w:t>
      </w:r>
      <w:r w:rsidR="006C6254" w:rsidRPr="00703A0B">
        <w:rPr>
          <w:rFonts w:eastAsia="Arial"/>
        </w:rPr>
        <w:t xml:space="preserve">to </w:t>
      </w:r>
      <w:r w:rsidR="00F87EDD" w:rsidRPr="00703A0B">
        <w:rPr>
          <w:rFonts w:eastAsia="Arial"/>
        </w:rPr>
        <w:t xml:space="preserve">return to compliance when issues are identified. </w:t>
      </w:r>
      <w:r w:rsidR="006C6254" w:rsidRPr="00703A0B">
        <w:rPr>
          <w:rFonts w:eastAsia="Arial"/>
        </w:rPr>
        <w:t xml:space="preserve">Improved compliance </w:t>
      </w:r>
      <w:r w:rsidR="00926B7F" w:rsidRPr="00703A0B">
        <w:rPr>
          <w:rFonts w:eastAsia="Arial"/>
        </w:rPr>
        <w:t xml:space="preserve">outcomes help maintain building standards, support consumer </w:t>
      </w:r>
      <w:r w:rsidR="00F87EDD" w:rsidRPr="00703A0B">
        <w:rPr>
          <w:rFonts w:eastAsia="Arial"/>
        </w:rPr>
        <w:t xml:space="preserve">protection and </w:t>
      </w:r>
      <w:r w:rsidR="00EB5638" w:rsidRPr="00703A0B">
        <w:rPr>
          <w:rFonts w:eastAsia="Arial"/>
        </w:rPr>
        <w:t>create a fair operating environment for businesses that meet their regulatory obligations</w:t>
      </w:r>
      <w:r w:rsidR="00F87EDD" w:rsidRPr="00703A0B">
        <w:rPr>
          <w:rFonts w:eastAsia="Arial"/>
        </w:rPr>
        <w:t>.</w:t>
      </w:r>
      <w:r w:rsidR="001571D2" w:rsidRPr="00703A0B">
        <w:rPr>
          <w:rFonts w:eastAsia="Arial"/>
        </w:rPr>
        <w:t xml:space="preserve"> </w:t>
      </w:r>
      <w:r w:rsidR="001701BF" w:rsidRPr="00703A0B">
        <w:rPr>
          <w:rFonts w:eastAsia="Arial"/>
        </w:rPr>
        <w:t xml:space="preserve">While </w:t>
      </w:r>
      <w:r w:rsidR="003E5D0A" w:rsidRPr="00703A0B">
        <w:rPr>
          <w:rFonts w:eastAsia="Arial"/>
        </w:rPr>
        <w:t>strong results were achieved across many</w:t>
      </w:r>
      <w:r w:rsidR="001701BF" w:rsidRPr="00703A0B">
        <w:rPr>
          <w:rFonts w:eastAsia="Arial"/>
        </w:rPr>
        <w:t xml:space="preserve"> areas, the </w:t>
      </w:r>
      <w:r w:rsidR="00FA03A6" w:rsidRPr="00703A0B">
        <w:rPr>
          <w:rFonts w:eastAsia="Arial"/>
        </w:rPr>
        <w:t>findings</w:t>
      </w:r>
      <w:r w:rsidR="001701BF" w:rsidRPr="00703A0B">
        <w:rPr>
          <w:rFonts w:eastAsia="Arial"/>
        </w:rPr>
        <w:t xml:space="preserve"> also </w:t>
      </w:r>
      <w:r w:rsidR="003F01DA" w:rsidRPr="00703A0B">
        <w:rPr>
          <w:rFonts w:eastAsia="Arial"/>
        </w:rPr>
        <w:t>reinforce</w:t>
      </w:r>
      <w:r w:rsidR="001701BF" w:rsidRPr="00703A0B">
        <w:rPr>
          <w:rFonts w:eastAsia="Arial"/>
        </w:rPr>
        <w:t xml:space="preserve"> the importance of maintaining a risk-based approach to regulation. Areas where compliance outcomes have declined or remain persistently low continue to require </w:t>
      </w:r>
      <w:r w:rsidR="00E45EE2" w:rsidRPr="00703A0B">
        <w:rPr>
          <w:rFonts w:eastAsia="Arial"/>
        </w:rPr>
        <w:t>targeted</w:t>
      </w:r>
      <w:r w:rsidR="001701BF" w:rsidRPr="00703A0B">
        <w:rPr>
          <w:rFonts w:eastAsia="Arial"/>
        </w:rPr>
        <w:t xml:space="preserve"> regulatory </w:t>
      </w:r>
      <w:r w:rsidR="009C56FC" w:rsidRPr="00703A0B">
        <w:rPr>
          <w:rFonts w:eastAsia="Arial"/>
        </w:rPr>
        <w:t>focus</w:t>
      </w:r>
      <w:r w:rsidR="001701BF" w:rsidRPr="00703A0B">
        <w:rPr>
          <w:rFonts w:eastAsia="Arial"/>
        </w:rPr>
        <w:t xml:space="preserve"> to address emerging risks and improve industry performance. </w:t>
      </w:r>
      <w:r w:rsidR="00A7178D" w:rsidRPr="00703A0B">
        <w:rPr>
          <w:rFonts w:eastAsia="Arial"/>
        </w:rPr>
        <w:t>Through o</w:t>
      </w:r>
      <w:r w:rsidR="001701BF" w:rsidRPr="00703A0B">
        <w:rPr>
          <w:rFonts w:eastAsia="Arial"/>
        </w:rPr>
        <w:t>ngoing monitoring, education and enforcement activities</w:t>
      </w:r>
      <w:r w:rsidR="009A59A6" w:rsidRPr="00703A0B">
        <w:rPr>
          <w:rFonts w:eastAsia="Arial"/>
        </w:rPr>
        <w:t>,</w:t>
      </w:r>
      <w:r w:rsidR="00A7178D" w:rsidRPr="00703A0B">
        <w:rPr>
          <w:rFonts w:eastAsia="Arial"/>
        </w:rPr>
        <w:t xml:space="preserve"> the QBCC</w:t>
      </w:r>
      <w:r w:rsidR="007E3400" w:rsidRPr="00703A0B">
        <w:rPr>
          <w:rFonts w:eastAsia="Arial"/>
        </w:rPr>
        <w:t xml:space="preserve"> continue</w:t>
      </w:r>
      <w:r w:rsidR="00E374DC" w:rsidRPr="00703A0B">
        <w:rPr>
          <w:rFonts w:eastAsia="Arial"/>
        </w:rPr>
        <w:t>d</w:t>
      </w:r>
      <w:r w:rsidR="007E3400" w:rsidRPr="00703A0B">
        <w:rPr>
          <w:rFonts w:eastAsia="Arial"/>
        </w:rPr>
        <w:t xml:space="preserve"> to</w:t>
      </w:r>
      <w:r w:rsidR="001701BF" w:rsidRPr="00703A0B">
        <w:rPr>
          <w:rFonts w:eastAsia="Arial"/>
        </w:rPr>
        <w:t xml:space="preserve"> support public safety, </w:t>
      </w:r>
      <w:r w:rsidR="007E3400" w:rsidRPr="00703A0B">
        <w:rPr>
          <w:rFonts w:eastAsia="Arial"/>
        </w:rPr>
        <w:t xml:space="preserve">uphold </w:t>
      </w:r>
      <w:r w:rsidR="001701BF" w:rsidRPr="00703A0B">
        <w:rPr>
          <w:rFonts w:eastAsia="Arial"/>
        </w:rPr>
        <w:t xml:space="preserve">professional standards and </w:t>
      </w:r>
      <w:r w:rsidR="00B5169E" w:rsidRPr="00703A0B">
        <w:rPr>
          <w:rFonts w:eastAsia="Arial"/>
        </w:rPr>
        <w:t>maintain</w:t>
      </w:r>
      <w:r w:rsidR="001701BF" w:rsidRPr="00703A0B">
        <w:rPr>
          <w:rFonts w:eastAsia="Arial"/>
        </w:rPr>
        <w:t xml:space="preserve"> a level playing field for compliant </w:t>
      </w:r>
      <w:r w:rsidR="000470D4" w:rsidRPr="00703A0B">
        <w:rPr>
          <w:rFonts w:eastAsia="Arial"/>
        </w:rPr>
        <w:t>licensees and contractors</w:t>
      </w:r>
      <w:r w:rsidR="001701BF" w:rsidRPr="00703A0B">
        <w:rPr>
          <w:rFonts w:eastAsia="Arial"/>
        </w:rPr>
        <w:t>.</w:t>
      </w:r>
    </w:p>
    <w:p w14:paraId="359D3BEC" w14:textId="3630CC63" w:rsidR="00C13A0C" w:rsidRPr="00703A0B" w:rsidRDefault="00B35663" w:rsidP="068550F5">
      <w:pPr>
        <w:spacing w:before="120" w:after="120"/>
        <w:rPr>
          <w:rFonts w:eastAsia="Arial"/>
        </w:rPr>
      </w:pPr>
      <w:r w:rsidRPr="00703A0B">
        <w:rPr>
          <w:rFonts w:eastAsia="Arial"/>
        </w:rPr>
        <w:t xml:space="preserve">The </w:t>
      </w:r>
      <w:r w:rsidR="00E40DCD" w:rsidRPr="00703A0B">
        <w:rPr>
          <w:rFonts w:eastAsia="Arial"/>
        </w:rPr>
        <w:t>i</w:t>
      </w:r>
      <w:r w:rsidR="008E5606" w:rsidRPr="00703A0B">
        <w:rPr>
          <w:rFonts w:eastAsia="Arial"/>
        </w:rPr>
        <w:t xml:space="preserve">nspection and audit </w:t>
      </w:r>
      <w:r w:rsidR="00E40DCD" w:rsidRPr="00703A0B">
        <w:rPr>
          <w:rFonts w:eastAsia="Arial"/>
        </w:rPr>
        <w:t xml:space="preserve">services delivered by the QBCC </w:t>
      </w:r>
      <w:r w:rsidR="008E5606" w:rsidRPr="00703A0B">
        <w:rPr>
          <w:rFonts w:eastAsia="Arial"/>
        </w:rPr>
        <w:t xml:space="preserve">demonstrate the positive impact of the </w:t>
      </w:r>
      <w:r w:rsidR="00040E90" w:rsidRPr="00703A0B">
        <w:rPr>
          <w:rFonts w:eastAsia="Arial"/>
        </w:rPr>
        <w:t>organisation’</w:t>
      </w:r>
      <w:r w:rsidR="008E5606" w:rsidRPr="00703A0B">
        <w:rPr>
          <w:rFonts w:eastAsia="Arial"/>
        </w:rPr>
        <w:t>s</w:t>
      </w:r>
      <w:r w:rsidR="00727028" w:rsidRPr="00703A0B">
        <w:rPr>
          <w:rFonts w:eastAsia="Arial"/>
        </w:rPr>
        <w:t xml:space="preserve"> </w:t>
      </w:r>
      <w:r w:rsidR="008E5606" w:rsidRPr="00703A0B">
        <w:rPr>
          <w:rFonts w:eastAsia="Arial"/>
        </w:rPr>
        <w:t>intelligence-led regulatory approach.</w:t>
      </w:r>
      <w:r w:rsidR="00CB6CD8" w:rsidRPr="00703A0B">
        <w:rPr>
          <w:rFonts w:eastAsia="Arial"/>
        </w:rPr>
        <w:t xml:space="preserve"> By </w:t>
      </w:r>
      <w:r w:rsidR="00457D46" w:rsidRPr="00703A0B">
        <w:rPr>
          <w:rFonts w:eastAsia="Arial"/>
        </w:rPr>
        <w:t>proactively</w:t>
      </w:r>
      <w:r w:rsidR="00CB6CD8" w:rsidRPr="00703A0B">
        <w:rPr>
          <w:rFonts w:eastAsia="Arial"/>
        </w:rPr>
        <w:t xml:space="preserve"> identifying risks, encouraging voluntary compliance and targeting regulatory action where it is most needed, the QBCC helps </w:t>
      </w:r>
      <w:r w:rsidR="00FF58CE" w:rsidRPr="00703A0B">
        <w:rPr>
          <w:rFonts w:eastAsia="Arial"/>
        </w:rPr>
        <w:t>build</w:t>
      </w:r>
      <w:r w:rsidR="00CB6CD8" w:rsidRPr="00703A0B">
        <w:rPr>
          <w:rFonts w:eastAsia="Arial"/>
        </w:rPr>
        <w:t xml:space="preserve"> industry capability, </w:t>
      </w:r>
      <w:r w:rsidR="00797A55" w:rsidRPr="00703A0B">
        <w:rPr>
          <w:rFonts w:eastAsia="Arial"/>
        </w:rPr>
        <w:t xml:space="preserve">strengthen </w:t>
      </w:r>
      <w:r w:rsidR="00CB6CD8" w:rsidRPr="00703A0B">
        <w:rPr>
          <w:rFonts w:eastAsia="Arial"/>
        </w:rPr>
        <w:t>consumer confidence and improve the quality and safety of building work across Queensland</w:t>
      </w:r>
      <w:r w:rsidR="008E5606" w:rsidRPr="00703A0B">
        <w:rPr>
          <w:rFonts w:eastAsia="Arial"/>
        </w:rPr>
        <w:t>.</w:t>
      </w:r>
    </w:p>
    <w:p w14:paraId="7A75D33D" w14:textId="3D1359A3" w:rsidR="003A55DE" w:rsidRPr="00703A0B" w:rsidRDefault="00020112" w:rsidP="003A55DE">
      <w:pPr>
        <w:pStyle w:val="Heading3"/>
      </w:pPr>
      <w:bookmarkStart w:id="73" w:name="_Safer_Buildings_audits_1"/>
      <w:bookmarkStart w:id="74" w:name="_Notifiable_work_audits"/>
      <w:bookmarkStart w:id="75" w:name="_Investigations"/>
      <w:bookmarkStart w:id="76" w:name="_Regulatory_investigations"/>
      <w:bookmarkEnd w:id="73"/>
      <w:bookmarkEnd w:id="74"/>
      <w:bookmarkEnd w:id="75"/>
      <w:bookmarkEnd w:id="76"/>
      <w:r w:rsidRPr="00703A0B">
        <w:t>I</w:t>
      </w:r>
      <w:r w:rsidR="003A55DE" w:rsidRPr="00703A0B">
        <w:t xml:space="preserve">nvestigations </w:t>
      </w:r>
    </w:p>
    <w:p w14:paraId="557BE1F6" w14:textId="04B3B1D1" w:rsidR="005D3265" w:rsidRPr="00703A0B" w:rsidRDefault="00E31843" w:rsidP="4926E81B">
      <w:pPr>
        <w:spacing w:before="120" w:after="120"/>
        <w:ind w:right="414"/>
      </w:pPr>
      <w:r w:rsidRPr="00703A0B">
        <w:rPr>
          <w:rFonts w:cs="Arial"/>
        </w:rPr>
        <w:t>The QBCC undertakes i</w:t>
      </w:r>
      <w:r w:rsidR="00BC2004" w:rsidRPr="00703A0B">
        <w:rPr>
          <w:rFonts w:cs="Arial"/>
        </w:rPr>
        <w:t xml:space="preserve">nvestigations where potential breaches of legislative requirements have been identified and further regulatory assessment is required. </w:t>
      </w:r>
      <w:r w:rsidRPr="00703A0B">
        <w:rPr>
          <w:rFonts w:cs="Arial"/>
        </w:rPr>
        <w:t xml:space="preserve">These activities play an important role in maintaining </w:t>
      </w:r>
      <w:r w:rsidR="16CEEA5B" w:rsidRPr="00703A0B">
        <w:rPr>
          <w:rFonts w:cs="Arial"/>
        </w:rPr>
        <w:t>the integrity, safety and professionalism of Queensland's building and construction industry</w:t>
      </w:r>
      <w:r w:rsidRPr="00703A0B">
        <w:rPr>
          <w:rFonts w:cs="Arial"/>
        </w:rPr>
        <w:t xml:space="preserve"> by supporting effective regulatory oversight and compliance</w:t>
      </w:r>
      <w:r w:rsidR="16CEEA5B" w:rsidRPr="00703A0B">
        <w:rPr>
          <w:rFonts w:cs="Arial"/>
        </w:rPr>
        <w:t>.</w:t>
      </w:r>
      <w:r w:rsidR="00076709" w:rsidRPr="00703A0B">
        <w:rPr>
          <w:rFonts w:cs="Arial"/>
        </w:rPr>
        <w:t xml:space="preserve"> </w:t>
      </w:r>
    </w:p>
    <w:p w14:paraId="463F9414" w14:textId="1A560FD4" w:rsidR="16CEEA5B" w:rsidRPr="00703A0B" w:rsidRDefault="16CEEA5B" w:rsidP="4926E81B">
      <w:pPr>
        <w:spacing w:before="120" w:after="120"/>
        <w:ind w:right="414"/>
      </w:pPr>
      <w:r w:rsidRPr="00703A0B">
        <w:rPr>
          <w:rFonts w:cs="Arial"/>
        </w:rPr>
        <w:t>In 2025–26,</w:t>
      </w:r>
      <w:r w:rsidR="00437D71" w:rsidRPr="00703A0B">
        <w:rPr>
          <w:rFonts w:cs="Arial"/>
        </w:rPr>
        <w:t xml:space="preserve"> the</w:t>
      </w:r>
      <w:r w:rsidR="007360F4" w:rsidRPr="00703A0B">
        <w:rPr>
          <w:rFonts w:cs="Arial"/>
        </w:rPr>
        <w:t xml:space="preserve"> </w:t>
      </w:r>
      <w:r w:rsidR="00B31316" w:rsidRPr="00703A0B">
        <w:rPr>
          <w:rFonts w:cs="Arial"/>
        </w:rPr>
        <w:t xml:space="preserve">top </w:t>
      </w:r>
      <w:r w:rsidR="00125751" w:rsidRPr="00703A0B">
        <w:rPr>
          <w:rFonts w:cs="Arial"/>
        </w:rPr>
        <w:t xml:space="preserve">five </w:t>
      </w:r>
      <w:r w:rsidR="003F00D2" w:rsidRPr="00703A0B">
        <w:rPr>
          <w:rFonts w:cs="Arial"/>
        </w:rPr>
        <w:t>offence</w:t>
      </w:r>
      <w:r w:rsidR="00B31316" w:rsidRPr="00703A0B">
        <w:rPr>
          <w:rFonts w:cs="Arial"/>
        </w:rPr>
        <w:t>s</w:t>
      </w:r>
      <w:r w:rsidR="001D4529" w:rsidRPr="00703A0B">
        <w:rPr>
          <w:rFonts w:cs="Arial"/>
        </w:rPr>
        <w:t>, representing</w:t>
      </w:r>
      <w:r w:rsidR="006F2277" w:rsidRPr="00703A0B">
        <w:rPr>
          <w:rFonts w:cs="Arial"/>
        </w:rPr>
        <w:t xml:space="preserve"> the </w:t>
      </w:r>
      <w:r w:rsidR="00030D38" w:rsidRPr="00703A0B">
        <w:rPr>
          <w:rFonts w:cs="Arial"/>
        </w:rPr>
        <w:t>most common</w:t>
      </w:r>
      <w:r w:rsidR="00F811A3" w:rsidRPr="00703A0B">
        <w:rPr>
          <w:rFonts w:cs="Arial"/>
        </w:rPr>
        <w:t xml:space="preserve"> areas of non-compliance</w:t>
      </w:r>
      <w:r w:rsidR="00030D38" w:rsidRPr="00703A0B">
        <w:rPr>
          <w:rFonts w:cs="Arial"/>
        </w:rPr>
        <w:t>,</w:t>
      </w:r>
      <w:r w:rsidR="00F811A3" w:rsidRPr="00703A0B">
        <w:rPr>
          <w:rFonts w:cs="Arial"/>
        </w:rPr>
        <w:t xml:space="preserve"> </w:t>
      </w:r>
      <w:r w:rsidRPr="00703A0B">
        <w:rPr>
          <w:rFonts w:cs="Arial"/>
        </w:rPr>
        <w:t xml:space="preserve">accounted for </w:t>
      </w:r>
      <w:r w:rsidR="2504D092" w:rsidRPr="00703A0B">
        <w:rPr>
          <w:rFonts w:cs="Arial"/>
        </w:rPr>
        <w:t>89.5</w:t>
      </w:r>
      <w:r w:rsidRPr="00703A0B">
        <w:rPr>
          <w:rFonts w:cs="Arial"/>
        </w:rPr>
        <w:t xml:space="preserve"> per cent of all</w:t>
      </w:r>
      <w:r w:rsidR="00164C7C" w:rsidRPr="00703A0B">
        <w:rPr>
          <w:rFonts w:cs="Arial"/>
        </w:rPr>
        <w:t xml:space="preserve"> </w:t>
      </w:r>
      <w:r w:rsidRPr="00703A0B">
        <w:rPr>
          <w:rFonts w:cs="Arial"/>
        </w:rPr>
        <w:t>investiga</w:t>
      </w:r>
      <w:r w:rsidR="00164C7C" w:rsidRPr="00703A0B">
        <w:rPr>
          <w:rFonts w:cs="Arial"/>
        </w:rPr>
        <w:t xml:space="preserve">tions </w:t>
      </w:r>
      <w:r w:rsidR="00911FEB" w:rsidRPr="00703A0B">
        <w:rPr>
          <w:rFonts w:cs="Arial"/>
        </w:rPr>
        <w:t>result</w:t>
      </w:r>
      <w:r w:rsidR="000F70FD" w:rsidRPr="00703A0B">
        <w:rPr>
          <w:rFonts w:cs="Arial"/>
        </w:rPr>
        <w:t>ing</w:t>
      </w:r>
      <w:r w:rsidR="00911FEB" w:rsidRPr="00703A0B">
        <w:rPr>
          <w:rFonts w:cs="Arial"/>
        </w:rPr>
        <w:t xml:space="preserve"> </w:t>
      </w:r>
      <w:r w:rsidR="00164C7C" w:rsidRPr="00703A0B">
        <w:rPr>
          <w:rFonts w:cs="Arial"/>
        </w:rPr>
        <w:t>in a warning</w:t>
      </w:r>
      <w:r w:rsidR="30C80A2F" w:rsidRPr="00703A0B">
        <w:rPr>
          <w:rFonts w:cs="Arial"/>
        </w:rPr>
        <w:t>,</w:t>
      </w:r>
      <w:r w:rsidR="00164C7C" w:rsidRPr="00703A0B">
        <w:rPr>
          <w:rFonts w:cs="Arial"/>
        </w:rPr>
        <w:t xml:space="preserve"> infringement</w:t>
      </w:r>
      <w:r w:rsidR="1C2E01D3" w:rsidRPr="00703A0B">
        <w:rPr>
          <w:rFonts w:cs="Arial"/>
        </w:rPr>
        <w:t xml:space="preserve"> or prosecution</w:t>
      </w:r>
      <w:r w:rsidR="00164C7C" w:rsidRPr="00703A0B">
        <w:rPr>
          <w:rFonts w:cs="Arial"/>
        </w:rPr>
        <w:t>.</w:t>
      </w:r>
      <w:r w:rsidR="00E20549" w:rsidRPr="00703A0B">
        <w:rPr>
          <w:rFonts w:cs="Arial"/>
        </w:rPr>
        <w:t xml:space="preserve"> </w:t>
      </w:r>
      <w:r w:rsidR="00164C7C" w:rsidRPr="00703A0B">
        <w:rPr>
          <w:rFonts w:cs="Arial"/>
        </w:rPr>
        <w:t>These offences included the following</w:t>
      </w:r>
      <w:r w:rsidRPr="00703A0B">
        <w:rPr>
          <w:rFonts w:cs="Arial"/>
        </w:rPr>
        <w:t>:</w:t>
      </w:r>
    </w:p>
    <w:p w14:paraId="7FC4B453" w14:textId="72A9EF9C" w:rsidR="009A0396" w:rsidRPr="00703A0B" w:rsidRDefault="00CE38CB" w:rsidP="00103F4C">
      <w:pPr>
        <w:pStyle w:val="ListParagraph"/>
        <w:numPr>
          <w:ilvl w:val="0"/>
          <w:numId w:val="93"/>
        </w:numPr>
        <w:spacing w:before="120" w:after="120"/>
        <w:ind w:left="714" w:hanging="357"/>
        <w:contextualSpacing w:val="0"/>
        <w:rPr>
          <w:rFonts w:cs="Arial"/>
        </w:rPr>
      </w:pPr>
      <w:r w:rsidRPr="00703A0B">
        <w:rPr>
          <w:rFonts w:cs="Arial"/>
        </w:rPr>
        <w:t>Un</w:t>
      </w:r>
      <w:r w:rsidR="009D17BB" w:rsidRPr="00703A0B">
        <w:rPr>
          <w:rFonts w:cs="Arial"/>
        </w:rPr>
        <w:t>licensed</w:t>
      </w:r>
      <w:r w:rsidR="00DD48D3" w:rsidRPr="00703A0B">
        <w:rPr>
          <w:rFonts w:cs="Arial"/>
        </w:rPr>
        <w:t xml:space="preserve"> </w:t>
      </w:r>
      <w:r w:rsidRPr="00703A0B">
        <w:rPr>
          <w:rFonts w:cs="Arial"/>
        </w:rPr>
        <w:t>work</w:t>
      </w:r>
      <w:r w:rsidR="0094528A" w:rsidRPr="00703A0B">
        <w:rPr>
          <w:rFonts w:cs="Arial"/>
        </w:rPr>
        <w:t xml:space="preserve"> </w:t>
      </w:r>
      <w:r w:rsidR="00DD48D3" w:rsidRPr="00703A0B">
        <w:rPr>
          <w:rFonts w:cs="Arial"/>
        </w:rPr>
        <w:t>and/</w:t>
      </w:r>
      <w:r w:rsidR="0094528A" w:rsidRPr="00703A0B">
        <w:rPr>
          <w:rFonts w:cs="Arial"/>
        </w:rPr>
        <w:t xml:space="preserve">or </w:t>
      </w:r>
      <w:r w:rsidR="003477A7" w:rsidRPr="00703A0B" w:rsidDel="00DD6D60">
        <w:rPr>
          <w:rFonts w:cs="Arial"/>
        </w:rPr>
        <w:t>u</w:t>
      </w:r>
      <w:r w:rsidR="003A55DE" w:rsidRPr="00703A0B" w:rsidDel="00DD6D60">
        <w:rPr>
          <w:rFonts w:cs="Arial"/>
        </w:rPr>
        <w:t>nlicensed contracting</w:t>
      </w:r>
      <w:r w:rsidR="006C6261" w:rsidRPr="00703A0B" w:rsidDel="00DD6D60">
        <w:rPr>
          <w:rFonts w:cs="Arial"/>
        </w:rPr>
        <w:t xml:space="preserve"> </w:t>
      </w:r>
      <w:r w:rsidR="006E0AF2" w:rsidRPr="00703A0B">
        <w:rPr>
          <w:rFonts w:cs="Arial"/>
        </w:rPr>
        <w:t>(</w:t>
      </w:r>
      <w:r w:rsidR="08DF5F7B" w:rsidRPr="00703A0B">
        <w:rPr>
          <w:rFonts w:cs="Arial"/>
        </w:rPr>
        <w:t>35</w:t>
      </w:r>
      <w:r w:rsidR="004D49E2" w:rsidRPr="00703A0B">
        <w:rPr>
          <w:rFonts w:cs="Arial"/>
        </w:rPr>
        <w:t>.0</w:t>
      </w:r>
      <w:r w:rsidR="006E0AF2" w:rsidRPr="00703A0B">
        <w:rPr>
          <w:rFonts w:cs="Arial"/>
        </w:rPr>
        <w:t xml:space="preserve"> per cent)</w:t>
      </w:r>
    </w:p>
    <w:p w14:paraId="2AE60714" w14:textId="7C5A2B54" w:rsidR="00934D8A" w:rsidRPr="00703A0B" w:rsidRDefault="0094528A" w:rsidP="00103F4C">
      <w:pPr>
        <w:pStyle w:val="ListParagraph"/>
        <w:numPr>
          <w:ilvl w:val="0"/>
          <w:numId w:val="93"/>
        </w:numPr>
        <w:spacing w:before="120" w:after="120"/>
        <w:ind w:left="714" w:hanging="357"/>
        <w:contextualSpacing w:val="0"/>
        <w:rPr>
          <w:rFonts w:cs="Arial"/>
        </w:rPr>
      </w:pPr>
      <w:r w:rsidRPr="00703A0B">
        <w:rPr>
          <w:rFonts w:cs="Arial"/>
        </w:rPr>
        <w:t>B</w:t>
      </w:r>
      <w:r w:rsidR="00592B1E" w:rsidRPr="00703A0B" w:rsidDel="00DD6D60">
        <w:rPr>
          <w:rFonts w:cs="Arial"/>
        </w:rPr>
        <w:t>reaches of domestic building contract requirements (</w:t>
      </w:r>
      <w:r w:rsidR="3ECC626D" w:rsidRPr="00703A0B">
        <w:rPr>
          <w:rFonts w:cs="Arial"/>
        </w:rPr>
        <w:t>3</w:t>
      </w:r>
      <w:r w:rsidR="26E014B3" w:rsidRPr="00703A0B">
        <w:rPr>
          <w:rFonts w:cs="Arial"/>
        </w:rPr>
        <w:t>0.8</w:t>
      </w:r>
      <w:r w:rsidR="00592B1E" w:rsidRPr="00703A0B" w:rsidDel="00DD6D60">
        <w:rPr>
          <w:rFonts w:cs="Arial"/>
        </w:rPr>
        <w:t xml:space="preserve"> per cent)</w:t>
      </w:r>
    </w:p>
    <w:p w14:paraId="1EA1BD47" w14:textId="2A3D38DE" w:rsidR="003A55DE" w:rsidRPr="00703A0B" w:rsidDel="00DD6D60" w:rsidRDefault="0094528A" w:rsidP="00103F4C">
      <w:pPr>
        <w:pStyle w:val="ListParagraph"/>
        <w:numPr>
          <w:ilvl w:val="0"/>
          <w:numId w:val="93"/>
        </w:numPr>
        <w:spacing w:before="120" w:after="120"/>
        <w:ind w:left="714" w:hanging="357"/>
        <w:contextualSpacing w:val="0"/>
        <w:rPr>
          <w:rFonts w:cs="Arial"/>
        </w:rPr>
      </w:pPr>
      <w:r w:rsidRPr="00703A0B">
        <w:rPr>
          <w:rFonts w:cs="Arial"/>
        </w:rPr>
        <w:t>I</w:t>
      </w:r>
      <w:r w:rsidR="003A55DE" w:rsidRPr="00703A0B" w:rsidDel="00DD6D60">
        <w:rPr>
          <w:rFonts w:cs="Arial"/>
        </w:rPr>
        <w:t>nsurance-related non-compliance</w:t>
      </w:r>
      <w:r w:rsidR="002A43FB" w:rsidRPr="00703A0B" w:rsidDel="00DD6D60">
        <w:rPr>
          <w:rFonts w:cs="Arial"/>
        </w:rPr>
        <w:t xml:space="preserve"> (</w:t>
      </w:r>
      <w:r w:rsidR="2D570EFA" w:rsidRPr="00703A0B">
        <w:rPr>
          <w:rFonts w:cs="Arial"/>
        </w:rPr>
        <w:t>1</w:t>
      </w:r>
      <w:r w:rsidR="77BFEFDE" w:rsidRPr="00703A0B">
        <w:rPr>
          <w:rFonts w:cs="Arial"/>
        </w:rPr>
        <w:t>3.7</w:t>
      </w:r>
      <w:r w:rsidR="002A43FB" w:rsidRPr="00703A0B" w:rsidDel="00DD6D60">
        <w:rPr>
          <w:rFonts w:cs="Arial"/>
        </w:rPr>
        <w:t xml:space="preserve"> per cent)</w:t>
      </w:r>
    </w:p>
    <w:p w14:paraId="38A11559" w14:textId="09BB602A" w:rsidR="24FC963B" w:rsidRPr="00703A0B" w:rsidRDefault="00E85A6D" w:rsidP="00103F4C">
      <w:pPr>
        <w:pStyle w:val="ListParagraph"/>
        <w:numPr>
          <w:ilvl w:val="0"/>
          <w:numId w:val="93"/>
        </w:numPr>
        <w:spacing w:before="120" w:after="120"/>
        <w:ind w:left="714" w:right="414" w:hanging="357"/>
        <w:contextualSpacing w:val="0"/>
        <w:rPr>
          <w:rFonts w:cs="Arial"/>
        </w:rPr>
      </w:pPr>
      <w:r w:rsidRPr="00703A0B">
        <w:rPr>
          <w:rFonts w:cs="Arial"/>
        </w:rPr>
        <w:t>Si</w:t>
      </w:r>
      <w:r w:rsidR="24FC963B" w:rsidRPr="00703A0B">
        <w:rPr>
          <w:rFonts w:cs="Arial"/>
        </w:rPr>
        <w:t xml:space="preserve">te </w:t>
      </w:r>
      <w:r w:rsidR="0094528A" w:rsidRPr="00703A0B">
        <w:rPr>
          <w:rFonts w:cs="Arial"/>
        </w:rPr>
        <w:t>s</w:t>
      </w:r>
      <w:r w:rsidR="24FC963B" w:rsidRPr="00703A0B">
        <w:rPr>
          <w:rFonts w:cs="Arial"/>
        </w:rPr>
        <w:t>igns (</w:t>
      </w:r>
      <w:r w:rsidR="03BD6C37" w:rsidRPr="00703A0B">
        <w:rPr>
          <w:rFonts w:cs="Arial"/>
        </w:rPr>
        <w:t>5.</w:t>
      </w:r>
      <w:r w:rsidR="55D869B0" w:rsidRPr="00703A0B">
        <w:rPr>
          <w:rFonts w:cs="Arial"/>
        </w:rPr>
        <w:t>1</w:t>
      </w:r>
      <w:r w:rsidR="24FC963B" w:rsidRPr="00703A0B">
        <w:rPr>
          <w:rFonts w:cs="Arial"/>
        </w:rPr>
        <w:t xml:space="preserve"> per cent)</w:t>
      </w:r>
    </w:p>
    <w:p w14:paraId="424EF601" w14:textId="7464D19E" w:rsidR="00592B1E" w:rsidRPr="00703A0B" w:rsidDel="00DD6D60" w:rsidRDefault="0094528A" w:rsidP="00103F4C">
      <w:pPr>
        <w:pStyle w:val="ListParagraph"/>
        <w:numPr>
          <w:ilvl w:val="0"/>
          <w:numId w:val="93"/>
        </w:numPr>
        <w:spacing w:before="120" w:after="120"/>
        <w:ind w:left="714" w:right="414" w:hanging="357"/>
        <w:contextualSpacing w:val="0"/>
        <w:rPr>
          <w:rFonts w:cs="Arial"/>
        </w:rPr>
      </w:pPr>
      <w:r w:rsidRPr="00703A0B">
        <w:rPr>
          <w:rFonts w:cs="Arial"/>
        </w:rPr>
        <w:t>I</w:t>
      </w:r>
      <w:r w:rsidR="00592B1E" w:rsidRPr="00703A0B" w:rsidDel="00DD6D60">
        <w:rPr>
          <w:rFonts w:cs="Arial"/>
        </w:rPr>
        <w:t>mproper use of a licence (</w:t>
      </w:r>
      <w:r w:rsidR="6A9F6D7D" w:rsidRPr="00703A0B">
        <w:rPr>
          <w:rFonts w:cs="Arial"/>
        </w:rPr>
        <w:t>4.9</w:t>
      </w:r>
      <w:r w:rsidR="00592B1E" w:rsidRPr="00703A0B" w:rsidDel="00DD6D60">
        <w:rPr>
          <w:rFonts w:cs="Arial"/>
        </w:rPr>
        <w:t xml:space="preserve"> per cent)</w:t>
      </w:r>
    </w:p>
    <w:p w14:paraId="67A86E58" w14:textId="0F3066C1" w:rsidR="00A33755" w:rsidRPr="00703A0B" w:rsidRDefault="16CEEA5B" w:rsidP="4926E81B">
      <w:pPr>
        <w:spacing w:before="120" w:after="120"/>
        <w:ind w:right="414"/>
        <w:rPr>
          <w:rFonts w:cs="Arial"/>
        </w:rPr>
      </w:pPr>
      <w:r w:rsidRPr="00703A0B">
        <w:rPr>
          <w:rFonts w:cs="Arial"/>
        </w:rPr>
        <w:t xml:space="preserve">Through targeted enforcement, education and early intervention activities, the QBCC </w:t>
      </w:r>
      <w:r w:rsidR="00911FEB" w:rsidRPr="00703A0B">
        <w:rPr>
          <w:rFonts w:cs="Arial"/>
        </w:rPr>
        <w:t xml:space="preserve">works </w:t>
      </w:r>
      <w:r w:rsidRPr="00703A0B">
        <w:rPr>
          <w:rFonts w:cs="Arial"/>
        </w:rPr>
        <w:t xml:space="preserve">to reduce repeat offending, improve compliance with regulatory requirements and </w:t>
      </w:r>
      <w:r w:rsidR="00911FEB" w:rsidRPr="00703A0B">
        <w:rPr>
          <w:rFonts w:cs="Arial"/>
        </w:rPr>
        <w:t>support the timely resolution of non-compliance</w:t>
      </w:r>
      <w:r w:rsidRPr="00703A0B">
        <w:rPr>
          <w:rFonts w:cs="Arial"/>
        </w:rPr>
        <w:t>.</w:t>
      </w:r>
      <w:r w:rsidR="00870A6A" w:rsidRPr="00703A0B">
        <w:rPr>
          <w:rFonts w:cs="Arial"/>
        </w:rPr>
        <w:t xml:space="preserve"> The concentration of offences </w:t>
      </w:r>
      <w:r w:rsidR="00911FEB" w:rsidRPr="00703A0B">
        <w:rPr>
          <w:rFonts w:cs="Arial"/>
        </w:rPr>
        <w:t xml:space="preserve">across </w:t>
      </w:r>
      <w:r w:rsidR="008E018D" w:rsidRPr="00703A0B">
        <w:rPr>
          <w:rFonts w:cs="Arial"/>
        </w:rPr>
        <w:t xml:space="preserve">the </w:t>
      </w:r>
      <w:r w:rsidR="006F509D" w:rsidRPr="00703A0B">
        <w:rPr>
          <w:rFonts w:cs="Arial"/>
        </w:rPr>
        <w:t xml:space="preserve">common </w:t>
      </w:r>
      <w:r w:rsidR="008E018D" w:rsidRPr="00703A0B">
        <w:rPr>
          <w:rFonts w:cs="Arial"/>
        </w:rPr>
        <w:t xml:space="preserve">areas of identified non-compliance </w:t>
      </w:r>
      <w:r w:rsidR="00911FEB" w:rsidRPr="00703A0B">
        <w:rPr>
          <w:rFonts w:cs="Arial"/>
        </w:rPr>
        <w:t xml:space="preserve">provides valuable regulatory insight, </w:t>
      </w:r>
      <w:r w:rsidR="00870A6A" w:rsidRPr="00703A0B">
        <w:rPr>
          <w:rFonts w:cs="Arial"/>
        </w:rPr>
        <w:t>enabl</w:t>
      </w:r>
      <w:r w:rsidR="00911FEB" w:rsidRPr="00703A0B">
        <w:rPr>
          <w:rFonts w:cs="Arial"/>
        </w:rPr>
        <w:t>ing</w:t>
      </w:r>
      <w:r w:rsidR="00870A6A" w:rsidRPr="00703A0B">
        <w:rPr>
          <w:rFonts w:cs="Arial"/>
        </w:rPr>
        <w:t xml:space="preserve"> the QBCC to target regulatory </w:t>
      </w:r>
      <w:r w:rsidR="00911FEB" w:rsidRPr="00703A0B">
        <w:rPr>
          <w:rFonts w:cs="Arial"/>
        </w:rPr>
        <w:t>compliance and enforcement efforts on</w:t>
      </w:r>
      <w:r w:rsidR="00870A6A" w:rsidRPr="00703A0B">
        <w:rPr>
          <w:rFonts w:cs="Arial"/>
        </w:rPr>
        <w:t xml:space="preserve"> areas of greatest risk and potential consumer harm. </w:t>
      </w:r>
      <w:r w:rsidR="004A34F9" w:rsidRPr="00703A0B">
        <w:rPr>
          <w:rFonts w:cs="Arial"/>
        </w:rPr>
        <w:fldChar w:fldCharType="begin"/>
      </w:r>
      <w:r w:rsidR="004A34F9" w:rsidRPr="00703A0B">
        <w:rPr>
          <w:rFonts w:cs="Arial"/>
        </w:rPr>
        <w:instrText xml:space="preserve"> REF _Ref232672715 \h </w:instrText>
      </w:r>
      <w:r w:rsidR="004A34F9" w:rsidRPr="00703A0B">
        <w:rPr>
          <w:rFonts w:cs="Arial"/>
        </w:rPr>
      </w:r>
      <w:r w:rsidR="004A34F9" w:rsidRPr="00703A0B">
        <w:rPr>
          <w:rFonts w:cs="Arial"/>
        </w:rPr>
        <w:fldChar w:fldCharType="separate"/>
      </w:r>
      <w:r w:rsidR="004E67DB" w:rsidRPr="00703A0B">
        <w:t xml:space="preserve">Table </w:t>
      </w:r>
      <w:r w:rsidR="004E67DB" w:rsidRPr="00EA647C">
        <w:t>9</w:t>
      </w:r>
      <w:r w:rsidR="004A34F9" w:rsidRPr="00703A0B">
        <w:rPr>
          <w:rFonts w:cs="Arial"/>
        </w:rPr>
        <w:fldChar w:fldCharType="end"/>
      </w:r>
      <w:r w:rsidR="00A748CF" w:rsidRPr="00703A0B">
        <w:rPr>
          <w:rFonts w:cs="Arial"/>
        </w:rPr>
        <w:t xml:space="preserve"> </w:t>
      </w:r>
      <w:r w:rsidR="00752253" w:rsidRPr="00703A0B">
        <w:rPr>
          <w:rFonts w:cs="Arial"/>
        </w:rPr>
        <w:t>outlines the</w:t>
      </w:r>
      <w:r w:rsidRPr="00703A0B">
        <w:rPr>
          <w:rFonts w:cs="Arial"/>
        </w:rPr>
        <w:t xml:space="preserve"> </w:t>
      </w:r>
      <w:r w:rsidR="00CB3BB4" w:rsidRPr="00703A0B">
        <w:rPr>
          <w:rFonts w:cs="Arial"/>
        </w:rPr>
        <w:t xml:space="preserve">investigation outcomes, </w:t>
      </w:r>
      <w:r w:rsidR="00946235" w:rsidRPr="00703A0B">
        <w:rPr>
          <w:rFonts w:cs="Arial"/>
        </w:rPr>
        <w:t xml:space="preserve">including </w:t>
      </w:r>
      <w:r w:rsidR="00172797" w:rsidRPr="00703A0B">
        <w:rPr>
          <w:rFonts w:cs="Arial"/>
        </w:rPr>
        <w:t xml:space="preserve">key </w:t>
      </w:r>
      <w:r w:rsidR="00BE6839" w:rsidRPr="00703A0B">
        <w:rPr>
          <w:rFonts w:cs="Arial"/>
        </w:rPr>
        <w:t>are</w:t>
      </w:r>
      <w:r w:rsidR="00BD409C" w:rsidRPr="00703A0B">
        <w:rPr>
          <w:rFonts w:cs="Arial"/>
        </w:rPr>
        <w:t xml:space="preserve">as </w:t>
      </w:r>
      <w:r w:rsidR="00946235" w:rsidRPr="00703A0B">
        <w:rPr>
          <w:rFonts w:cs="Arial"/>
        </w:rPr>
        <w:t xml:space="preserve">of non-compliance and </w:t>
      </w:r>
      <w:r w:rsidR="00BD409C" w:rsidRPr="00703A0B">
        <w:rPr>
          <w:rFonts w:cs="Arial"/>
        </w:rPr>
        <w:t>other</w:t>
      </w:r>
      <w:r w:rsidR="00946235" w:rsidRPr="00703A0B">
        <w:rPr>
          <w:rFonts w:cs="Arial"/>
        </w:rPr>
        <w:t xml:space="preserve"> regulatory matter</w:t>
      </w:r>
      <w:r w:rsidR="00BD409C" w:rsidRPr="00703A0B">
        <w:rPr>
          <w:rFonts w:cs="Arial"/>
        </w:rPr>
        <w:t>s</w:t>
      </w:r>
      <w:r w:rsidRPr="00703A0B">
        <w:rPr>
          <w:rFonts w:cs="Arial"/>
        </w:rPr>
        <w:t>.</w:t>
      </w:r>
    </w:p>
    <w:p w14:paraId="4B281944" w14:textId="571C96E7" w:rsidR="003A55DE" w:rsidRPr="00703A0B" w:rsidRDefault="00180294" w:rsidP="00EA4C12">
      <w:pPr>
        <w:pStyle w:val="Caption"/>
      </w:pPr>
      <w:bookmarkStart w:id="77" w:name="_Ref232672715"/>
      <w:bookmarkStart w:id="78" w:name="_Ref204671098"/>
      <w:bookmarkStart w:id="79" w:name="_Ref203381600"/>
      <w:r w:rsidRPr="00703A0B">
        <w:t xml:space="preserve">Table </w:t>
      </w:r>
      <w:r w:rsidRPr="00703A0B">
        <w:fldChar w:fldCharType="begin"/>
      </w:r>
      <w:r w:rsidRPr="00703A0B">
        <w:instrText>SEQ Table \* ARABIC</w:instrText>
      </w:r>
      <w:r w:rsidRPr="00703A0B">
        <w:fldChar w:fldCharType="separate"/>
      </w:r>
      <w:r w:rsidR="003764AA" w:rsidRPr="00EA647C">
        <w:t>9</w:t>
      </w:r>
      <w:r w:rsidRPr="00703A0B">
        <w:fldChar w:fldCharType="end"/>
      </w:r>
      <w:bookmarkEnd w:id="77"/>
      <w:bookmarkEnd w:id="78"/>
      <w:bookmarkEnd w:id="79"/>
      <w:r w:rsidR="00F91884" w:rsidRPr="00703A0B">
        <w:t xml:space="preserve">: </w:t>
      </w:r>
      <w:r w:rsidR="00B3495A" w:rsidRPr="00703A0B">
        <w:t>I</w:t>
      </w:r>
      <w:r w:rsidR="006D3F68" w:rsidRPr="00703A0B">
        <w:t xml:space="preserve">nvestigation outcomes </w:t>
      </w:r>
      <w:r w:rsidR="00F91884" w:rsidRPr="00703A0B">
        <w:t>over the past five years</w:t>
      </w:r>
    </w:p>
    <w:tbl>
      <w:tblPr>
        <w:tblStyle w:val="TableGrid"/>
        <w:tblW w:w="4949" w:type="pct"/>
        <w:tblLayout w:type="fixed"/>
        <w:tblCellMar>
          <w:top w:w="28" w:type="dxa"/>
          <w:bottom w:w="28" w:type="dxa"/>
        </w:tblCellMar>
        <w:tblLook w:val="04A0" w:firstRow="1" w:lastRow="0" w:firstColumn="1" w:lastColumn="0" w:noHBand="0" w:noVBand="1"/>
      </w:tblPr>
      <w:tblGrid>
        <w:gridCol w:w="3540"/>
        <w:gridCol w:w="1359"/>
        <w:gridCol w:w="1361"/>
        <w:gridCol w:w="1361"/>
        <w:gridCol w:w="1361"/>
        <w:gridCol w:w="1361"/>
      </w:tblGrid>
      <w:tr w:rsidR="0026120F" w:rsidRPr="00703A0B" w14:paraId="0DE29866" w14:textId="77777777" w:rsidTr="00F40C52">
        <w:tc>
          <w:tcPr>
            <w:tcW w:w="1711" w:type="pct"/>
            <w:shd w:val="clear" w:color="auto" w:fill="BFBFBF" w:themeFill="background1" w:themeFillShade="BF"/>
          </w:tcPr>
          <w:p w14:paraId="5C5E1F2B" w14:textId="111030B7" w:rsidR="0026120F" w:rsidRPr="00703A0B" w:rsidRDefault="0026120F" w:rsidP="00376073">
            <w:pPr>
              <w:rPr>
                <w:rFonts w:cs="Arial"/>
                <w:b/>
                <w:szCs w:val="22"/>
              </w:rPr>
            </w:pPr>
            <w:r w:rsidRPr="00703A0B">
              <w:rPr>
                <w:rFonts w:cs="Arial"/>
                <w:b/>
                <w:szCs w:val="22"/>
              </w:rPr>
              <w:t>Investigation outcomes</w:t>
            </w:r>
          </w:p>
        </w:tc>
        <w:tc>
          <w:tcPr>
            <w:tcW w:w="657" w:type="pct"/>
            <w:tcBorders>
              <w:bottom w:val="single" w:sz="4" w:space="0" w:color="auto"/>
            </w:tcBorders>
            <w:shd w:val="clear" w:color="auto" w:fill="BFBFBF" w:themeFill="background1" w:themeFillShade="BF"/>
          </w:tcPr>
          <w:p w14:paraId="7159DE8E" w14:textId="77777777" w:rsidR="0026120F" w:rsidRPr="00703A0B" w:rsidRDefault="0026120F" w:rsidP="009C37D7">
            <w:pPr>
              <w:rPr>
                <w:rFonts w:cs="Arial"/>
                <w:b/>
                <w:szCs w:val="22"/>
              </w:rPr>
            </w:pPr>
            <w:r w:rsidRPr="00703A0B">
              <w:rPr>
                <w:rFonts w:cs="Arial"/>
                <w:b/>
                <w:szCs w:val="22"/>
              </w:rPr>
              <w:t>2021</w:t>
            </w:r>
            <w:r w:rsidRPr="00703A0B">
              <w:rPr>
                <w:rFonts w:cs="Arial"/>
                <w:szCs w:val="22"/>
              </w:rPr>
              <w:t>–</w:t>
            </w:r>
            <w:r w:rsidRPr="00703A0B">
              <w:rPr>
                <w:rFonts w:cs="Arial"/>
                <w:b/>
                <w:szCs w:val="22"/>
              </w:rPr>
              <w:t>22</w:t>
            </w:r>
          </w:p>
        </w:tc>
        <w:tc>
          <w:tcPr>
            <w:tcW w:w="658" w:type="pct"/>
            <w:tcBorders>
              <w:bottom w:val="single" w:sz="4" w:space="0" w:color="auto"/>
            </w:tcBorders>
            <w:shd w:val="clear" w:color="auto" w:fill="BFBFBF" w:themeFill="background1" w:themeFillShade="BF"/>
          </w:tcPr>
          <w:p w14:paraId="1FBBE04E" w14:textId="77777777" w:rsidR="0026120F" w:rsidRPr="00703A0B" w:rsidRDefault="0026120F" w:rsidP="009C37D7">
            <w:pPr>
              <w:rPr>
                <w:rFonts w:cs="Arial"/>
                <w:b/>
                <w:szCs w:val="22"/>
              </w:rPr>
            </w:pPr>
            <w:r w:rsidRPr="00703A0B">
              <w:rPr>
                <w:rFonts w:cs="Arial"/>
                <w:b/>
                <w:szCs w:val="22"/>
              </w:rPr>
              <w:t>2022</w:t>
            </w:r>
            <w:r w:rsidRPr="00703A0B">
              <w:rPr>
                <w:rFonts w:cs="Arial"/>
                <w:szCs w:val="22"/>
              </w:rPr>
              <w:t>–</w:t>
            </w:r>
            <w:r w:rsidRPr="00703A0B">
              <w:rPr>
                <w:rFonts w:cs="Arial"/>
                <w:b/>
                <w:szCs w:val="22"/>
              </w:rPr>
              <w:t>23</w:t>
            </w:r>
          </w:p>
        </w:tc>
        <w:tc>
          <w:tcPr>
            <w:tcW w:w="658" w:type="pct"/>
            <w:tcBorders>
              <w:bottom w:val="single" w:sz="4" w:space="0" w:color="auto"/>
            </w:tcBorders>
            <w:shd w:val="clear" w:color="auto" w:fill="BFBFBF" w:themeFill="background1" w:themeFillShade="BF"/>
          </w:tcPr>
          <w:p w14:paraId="0598C76A" w14:textId="77777777" w:rsidR="0026120F" w:rsidRPr="00703A0B" w:rsidRDefault="0026120F" w:rsidP="009C37D7">
            <w:pPr>
              <w:rPr>
                <w:rFonts w:cs="Arial"/>
                <w:b/>
                <w:szCs w:val="22"/>
              </w:rPr>
            </w:pPr>
            <w:r w:rsidRPr="00703A0B">
              <w:rPr>
                <w:rFonts w:cs="Arial"/>
                <w:b/>
                <w:szCs w:val="22"/>
              </w:rPr>
              <w:t>2023</w:t>
            </w:r>
            <w:r w:rsidRPr="00703A0B">
              <w:rPr>
                <w:rFonts w:cs="Arial"/>
                <w:szCs w:val="22"/>
              </w:rPr>
              <w:t>–</w:t>
            </w:r>
            <w:r w:rsidRPr="00703A0B">
              <w:rPr>
                <w:rFonts w:cs="Arial"/>
                <w:b/>
                <w:szCs w:val="22"/>
              </w:rPr>
              <w:t>24</w:t>
            </w:r>
          </w:p>
        </w:tc>
        <w:tc>
          <w:tcPr>
            <w:tcW w:w="658" w:type="pct"/>
            <w:tcBorders>
              <w:bottom w:val="single" w:sz="4" w:space="0" w:color="auto"/>
            </w:tcBorders>
            <w:shd w:val="clear" w:color="auto" w:fill="BFBFBF" w:themeFill="background1" w:themeFillShade="BF"/>
          </w:tcPr>
          <w:p w14:paraId="5126CE07" w14:textId="77777777" w:rsidR="0026120F" w:rsidRPr="00703A0B" w:rsidRDefault="0026120F" w:rsidP="009C37D7">
            <w:pPr>
              <w:rPr>
                <w:rFonts w:cs="Arial"/>
                <w:b/>
                <w:szCs w:val="22"/>
              </w:rPr>
            </w:pPr>
            <w:r w:rsidRPr="00703A0B">
              <w:rPr>
                <w:rFonts w:cs="Arial"/>
                <w:b/>
                <w:szCs w:val="22"/>
              </w:rPr>
              <w:t>2024</w:t>
            </w:r>
            <w:r w:rsidRPr="00703A0B">
              <w:rPr>
                <w:rFonts w:cs="Arial"/>
                <w:szCs w:val="22"/>
              </w:rPr>
              <w:t>–</w:t>
            </w:r>
            <w:r w:rsidRPr="00703A0B">
              <w:rPr>
                <w:rFonts w:cs="Arial"/>
                <w:b/>
                <w:szCs w:val="22"/>
              </w:rPr>
              <w:t>25</w:t>
            </w:r>
          </w:p>
        </w:tc>
        <w:tc>
          <w:tcPr>
            <w:tcW w:w="658" w:type="pct"/>
            <w:tcBorders>
              <w:bottom w:val="single" w:sz="4" w:space="0" w:color="auto"/>
            </w:tcBorders>
            <w:shd w:val="clear" w:color="auto" w:fill="BFBFBF" w:themeFill="background1" w:themeFillShade="BF"/>
          </w:tcPr>
          <w:p w14:paraId="2DB8A2AE" w14:textId="05E0E33C" w:rsidR="0026120F" w:rsidRPr="00703A0B" w:rsidRDefault="0026120F" w:rsidP="009C37D7">
            <w:pPr>
              <w:rPr>
                <w:rFonts w:cs="Arial"/>
                <w:b/>
                <w:szCs w:val="22"/>
              </w:rPr>
            </w:pPr>
            <w:r w:rsidRPr="00703A0B">
              <w:rPr>
                <w:rFonts w:cs="Arial"/>
                <w:b/>
                <w:szCs w:val="22"/>
              </w:rPr>
              <w:t>2025</w:t>
            </w:r>
            <w:r w:rsidRPr="00703A0B">
              <w:rPr>
                <w:rFonts w:cs="Arial"/>
                <w:szCs w:val="22"/>
              </w:rPr>
              <w:t>–</w:t>
            </w:r>
            <w:r w:rsidRPr="00703A0B">
              <w:rPr>
                <w:rFonts w:cs="Arial"/>
                <w:b/>
                <w:szCs w:val="22"/>
              </w:rPr>
              <w:t>26</w:t>
            </w:r>
          </w:p>
        </w:tc>
      </w:tr>
      <w:tr w:rsidR="001E1F09" w:rsidRPr="00703A0B" w14:paraId="50063D95" w14:textId="77777777" w:rsidTr="00F40C52">
        <w:tc>
          <w:tcPr>
            <w:tcW w:w="5000" w:type="pct"/>
            <w:gridSpan w:val="6"/>
            <w:shd w:val="clear" w:color="auto" w:fill="D9D9D9" w:themeFill="background1" w:themeFillShade="D9"/>
          </w:tcPr>
          <w:p w14:paraId="0AE6B6FA" w14:textId="39A33237" w:rsidR="001E1F09" w:rsidRPr="00703A0B" w:rsidRDefault="00A5559C">
            <w:pPr>
              <w:rPr>
                <w:rFonts w:cs="Arial"/>
                <w:szCs w:val="22"/>
              </w:rPr>
            </w:pPr>
            <w:r w:rsidRPr="00703A0B">
              <w:rPr>
                <w:rFonts w:cs="Arial"/>
                <w:szCs w:val="22"/>
              </w:rPr>
              <w:t>I</w:t>
            </w:r>
            <w:r w:rsidR="001E1F09" w:rsidRPr="00703A0B">
              <w:rPr>
                <w:rFonts w:cs="Arial"/>
                <w:szCs w:val="22"/>
              </w:rPr>
              <w:t>dentified non-compliance</w:t>
            </w:r>
            <w:r w:rsidRPr="00703A0B">
              <w:rPr>
                <w:rFonts w:cs="Arial"/>
                <w:szCs w:val="22"/>
              </w:rPr>
              <w:t xml:space="preserve"> </w:t>
            </w:r>
            <w:r w:rsidR="00935E80" w:rsidRPr="00703A0B">
              <w:rPr>
                <w:rFonts w:cs="Arial"/>
                <w:szCs w:val="22"/>
              </w:rPr>
              <w:t xml:space="preserve">across the most common </w:t>
            </w:r>
            <w:r w:rsidR="000C290A" w:rsidRPr="00703A0B">
              <w:rPr>
                <w:rFonts w:cs="Arial"/>
                <w:szCs w:val="22"/>
              </w:rPr>
              <w:t>offence categories</w:t>
            </w:r>
          </w:p>
        </w:tc>
      </w:tr>
      <w:tr w:rsidR="0026120F" w:rsidRPr="00703A0B" w14:paraId="0905CFB8" w14:textId="77777777" w:rsidTr="00F40C52">
        <w:tc>
          <w:tcPr>
            <w:tcW w:w="1711" w:type="pct"/>
          </w:tcPr>
          <w:p w14:paraId="48FD3D39" w14:textId="5FC0585F" w:rsidR="0026120F" w:rsidRPr="00703A0B" w:rsidRDefault="0026120F" w:rsidP="00376073">
            <w:pPr>
              <w:rPr>
                <w:rFonts w:cs="Arial"/>
                <w:szCs w:val="22"/>
              </w:rPr>
            </w:pPr>
            <w:r w:rsidRPr="00703A0B">
              <w:rPr>
                <w:rFonts w:cs="Arial"/>
                <w:szCs w:val="22"/>
              </w:rPr>
              <w:t>Unlicensed work and/or unlicensed contracting</w:t>
            </w:r>
          </w:p>
        </w:tc>
        <w:tc>
          <w:tcPr>
            <w:tcW w:w="657" w:type="pct"/>
          </w:tcPr>
          <w:p w14:paraId="65CB2EF8" w14:textId="37C96BA1" w:rsidR="0026120F" w:rsidRPr="00703A0B" w:rsidRDefault="0026120F" w:rsidP="00F40C52">
            <w:pPr>
              <w:rPr>
                <w:rFonts w:cs="Arial"/>
                <w:szCs w:val="22"/>
              </w:rPr>
            </w:pPr>
            <w:r w:rsidRPr="00703A0B">
              <w:rPr>
                <w:rFonts w:cs="Arial"/>
                <w:szCs w:val="22"/>
              </w:rPr>
              <w:t>-</w:t>
            </w:r>
          </w:p>
        </w:tc>
        <w:tc>
          <w:tcPr>
            <w:tcW w:w="658" w:type="pct"/>
          </w:tcPr>
          <w:p w14:paraId="3ED5D9C7" w14:textId="759E7187" w:rsidR="0026120F" w:rsidRPr="00703A0B" w:rsidRDefault="0026120F" w:rsidP="00F40C52">
            <w:pPr>
              <w:rPr>
                <w:rFonts w:eastAsia="Arial" w:cs="Arial"/>
                <w:szCs w:val="22"/>
              </w:rPr>
            </w:pPr>
            <w:r w:rsidRPr="00703A0B">
              <w:rPr>
                <w:rFonts w:cs="Arial"/>
                <w:szCs w:val="22"/>
              </w:rPr>
              <w:t>356</w:t>
            </w:r>
          </w:p>
        </w:tc>
        <w:tc>
          <w:tcPr>
            <w:tcW w:w="658" w:type="pct"/>
          </w:tcPr>
          <w:p w14:paraId="2D108089" w14:textId="441FCFF9" w:rsidR="0026120F" w:rsidRPr="00703A0B" w:rsidRDefault="0026120F" w:rsidP="00F40C52">
            <w:pPr>
              <w:rPr>
                <w:rFonts w:cs="Arial"/>
                <w:szCs w:val="22"/>
              </w:rPr>
            </w:pPr>
            <w:r w:rsidRPr="00703A0B">
              <w:rPr>
                <w:rFonts w:cs="Arial"/>
                <w:szCs w:val="22"/>
              </w:rPr>
              <w:t>450</w:t>
            </w:r>
          </w:p>
        </w:tc>
        <w:tc>
          <w:tcPr>
            <w:tcW w:w="658" w:type="pct"/>
          </w:tcPr>
          <w:p w14:paraId="6D1FC80E" w14:textId="020F9DE6" w:rsidR="0026120F" w:rsidRPr="00703A0B" w:rsidRDefault="0026120F" w:rsidP="00F40C52">
            <w:pPr>
              <w:rPr>
                <w:rFonts w:cs="Arial"/>
                <w:szCs w:val="22"/>
              </w:rPr>
            </w:pPr>
            <w:r w:rsidRPr="00703A0B">
              <w:rPr>
                <w:rFonts w:cs="Arial"/>
                <w:szCs w:val="22"/>
              </w:rPr>
              <w:t>401</w:t>
            </w:r>
          </w:p>
        </w:tc>
        <w:tc>
          <w:tcPr>
            <w:tcW w:w="658" w:type="pct"/>
          </w:tcPr>
          <w:p w14:paraId="18098EE9" w14:textId="500270F6" w:rsidR="0026120F" w:rsidRPr="00703A0B" w:rsidRDefault="0026120F" w:rsidP="00F40C52">
            <w:pPr>
              <w:rPr>
                <w:rFonts w:cs="Arial"/>
                <w:szCs w:val="22"/>
              </w:rPr>
            </w:pPr>
            <w:r w:rsidRPr="00703A0B">
              <w:rPr>
                <w:rFonts w:cs="Arial"/>
                <w:szCs w:val="22"/>
              </w:rPr>
              <w:t>661</w:t>
            </w:r>
          </w:p>
        </w:tc>
      </w:tr>
      <w:tr w:rsidR="0026120F" w:rsidRPr="00703A0B" w14:paraId="4D6C631E" w14:textId="77777777" w:rsidTr="00F40C52">
        <w:tc>
          <w:tcPr>
            <w:tcW w:w="1711" w:type="pct"/>
          </w:tcPr>
          <w:p w14:paraId="5DBA68E7" w14:textId="5EBE702E" w:rsidR="0026120F" w:rsidRPr="00703A0B" w:rsidRDefault="0026120F" w:rsidP="00376073">
            <w:pPr>
              <w:rPr>
                <w:rFonts w:cs="Arial"/>
                <w:szCs w:val="22"/>
              </w:rPr>
            </w:pPr>
            <w:r w:rsidRPr="00703A0B">
              <w:rPr>
                <w:rFonts w:cs="Arial"/>
                <w:szCs w:val="22"/>
              </w:rPr>
              <w:lastRenderedPageBreak/>
              <w:t>Breaches of domestic building contract requirements</w:t>
            </w:r>
          </w:p>
        </w:tc>
        <w:tc>
          <w:tcPr>
            <w:tcW w:w="657" w:type="pct"/>
          </w:tcPr>
          <w:p w14:paraId="53574035" w14:textId="0082AF61" w:rsidR="0026120F" w:rsidRPr="00703A0B" w:rsidRDefault="0026120F" w:rsidP="00F40C52">
            <w:pPr>
              <w:rPr>
                <w:rFonts w:cs="Arial"/>
                <w:szCs w:val="22"/>
              </w:rPr>
            </w:pPr>
            <w:r w:rsidRPr="00703A0B">
              <w:rPr>
                <w:rFonts w:cs="Arial"/>
                <w:szCs w:val="22"/>
              </w:rPr>
              <w:t>-</w:t>
            </w:r>
          </w:p>
        </w:tc>
        <w:tc>
          <w:tcPr>
            <w:tcW w:w="658" w:type="pct"/>
          </w:tcPr>
          <w:p w14:paraId="5547065F" w14:textId="6085812C" w:rsidR="0026120F" w:rsidRPr="00703A0B" w:rsidRDefault="0026120F" w:rsidP="00F40C52">
            <w:pPr>
              <w:rPr>
                <w:rFonts w:cs="Arial"/>
                <w:szCs w:val="22"/>
              </w:rPr>
            </w:pPr>
            <w:r w:rsidRPr="00703A0B">
              <w:rPr>
                <w:rFonts w:cs="Arial"/>
                <w:szCs w:val="22"/>
              </w:rPr>
              <w:t>407</w:t>
            </w:r>
          </w:p>
        </w:tc>
        <w:tc>
          <w:tcPr>
            <w:tcW w:w="658" w:type="pct"/>
          </w:tcPr>
          <w:p w14:paraId="20CC518A" w14:textId="322188D0" w:rsidR="0026120F" w:rsidRPr="00703A0B" w:rsidRDefault="0026120F" w:rsidP="00F40C52">
            <w:pPr>
              <w:rPr>
                <w:rFonts w:cs="Arial"/>
                <w:szCs w:val="22"/>
              </w:rPr>
            </w:pPr>
            <w:r w:rsidRPr="00703A0B">
              <w:rPr>
                <w:rFonts w:cs="Arial"/>
                <w:szCs w:val="22"/>
              </w:rPr>
              <w:t>286</w:t>
            </w:r>
          </w:p>
        </w:tc>
        <w:tc>
          <w:tcPr>
            <w:tcW w:w="658" w:type="pct"/>
          </w:tcPr>
          <w:p w14:paraId="5960EB9B" w14:textId="209EC37F" w:rsidR="0026120F" w:rsidRPr="00703A0B" w:rsidRDefault="0026120F" w:rsidP="00F40C52">
            <w:pPr>
              <w:rPr>
                <w:rFonts w:cs="Arial"/>
                <w:szCs w:val="22"/>
              </w:rPr>
            </w:pPr>
            <w:r w:rsidRPr="00703A0B">
              <w:rPr>
                <w:rFonts w:cs="Arial"/>
                <w:szCs w:val="22"/>
              </w:rPr>
              <w:t>433</w:t>
            </w:r>
          </w:p>
        </w:tc>
        <w:tc>
          <w:tcPr>
            <w:tcW w:w="658" w:type="pct"/>
          </w:tcPr>
          <w:p w14:paraId="763B764B" w14:textId="48C53F75" w:rsidR="0026120F" w:rsidRPr="00703A0B" w:rsidRDefault="0026120F" w:rsidP="00F40C52">
            <w:pPr>
              <w:rPr>
                <w:rFonts w:cs="Arial"/>
                <w:szCs w:val="22"/>
              </w:rPr>
            </w:pPr>
            <w:r w:rsidRPr="00703A0B">
              <w:rPr>
                <w:rFonts w:cs="Arial"/>
                <w:szCs w:val="22"/>
              </w:rPr>
              <w:t>581</w:t>
            </w:r>
          </w:p>
        </w:tc>
      </w:tr>
      <w:tr w:rsidR="0026120F" w:rsidRPr="00703A0B" w14:paraId="5AFC62CE" w14:textId="77777777" w:rsidTr="00F40C52">
        <w:tc>
          <w:tcPr>
            <w:tcW w:w="1711" w:type="pct"/>
          </w:tcPr>
          <w:p w14:paraId="344963FC" w14:textId="77777777" w:rsidR="0026120F" w:rsidRPr="00703A0B" w:rsidRDefault="0026120F" w:rsidP="00376073">
            <w:pPr>
              <w:rPr>
                <w:rFonts w:cs="Arial"/>
                <w:szCs w:val="22"/>
              </w:rPr>
            </w:pPr>
            <w:r w:rsidRPr="00703A0B">
              <w:rPr>
                <w:rFonts w:cs="Arial"/>
                <w:szCs w:val="22"/>
              </w:rPr>
              <w:t>Insurance-related non-compliance</w:t>
            </w:r>
          </w:p>
        </w:tc>
        <w:tc>
          <w:tcPr>
            <w:tcW w:w="657" w:type="pct"/>
          </w:tcPr>
          <w:p w14:paraId="156BEF34" w14:textId="59BD35F9" w:rsidR="0026120F" w:rsidRPr="00703A0B" w:rsidRDefault="0026120F" w:rsidP="00F40C52">
            <w:pPr>
              <w:rPr>
                <w:rFonts w:cs="Arial"/>
                <w:szCs w:val="22"/>
              </w:rPr>
            </w:pPr>
            <w:r w:rsidRPr="00703A0B">
              <w:rPr>
                <w:rFonts w:cs="Arial"/>
                <w:szCs w:val="22"/>
              </w:rPr>
              <w:t>-</w:t>
            </w:r>
          </w:p>
        </w:tc>
        <w:tc>
          <w:tcPr>
            <w:tcW w:w="658" w:type="pct"/>
          </w:tcPr>
          <w:p w14:paraId="68C465BF" w14:textId="518370A1" w:rsidR="0026120F" w:rsidRPr="00703A0B" w:rsidRDefault="0026120F" w:rsidP="00F40C52">
            <w:pPr>
              <w:rPr>
                <w:rFonts w:eastAsia="Arial" w:cs="Arial"/>
                <w:szCs w:val="22"/>
              </w:rPr>
            </w:pPr>
            <w:r w:rsidRPr="00703A0B">
              <w:rPr>
                <w:rFonts w:cs="Arial"/>
                <w:szCs w:val="22"/>
              </w:rPr>
              <w:t>177</w:t>
            </w:r>
          </w:p>
        </w:tc>
        <w:tc>
          <w:tcPr>
            <w:tcW w:w="658" w:type="pct"/>
          </w:tcPr>
          <w:p w14:paraId="518031A5" w14:textId="036DC95F" w:rsidR="0026120F" w:rsidRPr="00703A0B" w:rsidRDefault="0026120F" w:rsidP="00F40C52">
            <w:pPr>
              <w:rPr>
                <w:rFonts w:cs="Arial"/>
                <w:szCs w:val="22"/>
              </w:rPr>
            </w:pPr>
            <w:r w:rsidRPr="00703A0B">
              <w:rPr>
                <w:rFonts w:cs="Arial"/>
                <w:szCs w:val="22"/>
              </w:rPr>
              <w:t>205</w:t>
            </w:r>
          </w:p>
        </w:tc>
        <w:tc>
          <w:tcPr>
            <w:tcW w:w="658" w:type="pct"/>
          </w:tcPr>
          <w:p w14:paraId="3DFD57F0" w14:textId="0397F21E" w:rsidR="0026120F" w:rsidRPr="00703A0B" w:rsidRDefault="0026120F" w:rsidP="00F40C52">
            <w:pPr>
              <w:rPr>
                <w:rFonts w:cs="Arial"/>
                <w:szCs w:val="22"/>
              </w:rPr>
            </w:pPr>
            <w:r w:rsidRPr="00703A0B">
              <w:rPr>
                <w:rFonts w:cs="Arial"/>
                <w:szCs w:val="22"/>
              </w:rPr>
              <w:t>276</w:t>
            </w:r>
          </w:p>
        </w:tc>
        <w:tc>
          <w:tcPr>
            <w:tcW w:w="658" w:type="pct"/>
          </w:tcPr>
          <w:p w14:paraId="77C0FBAB" w14:textId="1F9E6E81" w:rsidR="0026120F" w:rsidRPr="00703A0B" w:rsidRDefault="0026120F" w:rsidP="00F40C52">
            <w:pPr>
              <w:rPr>
                <w:rFonts w:cs="Arial"/>
                <w:szCs w:val="22"/>
              </w:rPr>
            </w:pPr>
            <w:r w:rsidRPr="00703A0B">
              <w:rPr>
                <w:rFonts w:cs="Arial"/>
                <w:szCs w:val="22"/>
              </w:rPr>
              <w:t>258</w:t>
            </w:r>
          </w:p>
        </w:tc>
      </w:tr>
      <w:tr w:rsidR="0026120F" w:rsidRPr="00703A0B" w14:paraId="13176F8B" w14:textId="77777777" w:rsidTr="00F40C52">
        <w:tc>
          <w:tcPr>
            <w:tcW w:w="1711" w:type="pct"/>
          </w:tcPr>
          <w:p w14:paraId="272112A5" w14:textId="0D64E894" w:rsidR="0026120F" w:rsidRPr="00703A0B" w:rsidRDefault="0026120F" w:rsidP="00376073">
            <w:pPr>
              <w:rPr>
                <w:rFonts w:cs="Arial"/>
                <w:szCs w:val="22"/>
              </w:rPr>
            </w:pPr>
            <w:r w:rsidRPr="00703A0B">
              <w:rPr>
                <w:rFonts w:cs="Arial"/>
                <w:szCs w:val="22"/>
              </w:rPr>
              <w:t>Site signs</w:t>
            </w:r>
          </w:p>
        </w:tc>
        <w:tc>
          <w:tcPr>
            <w:tcW w:w="657" w:type="pct"/>
          </w:tcPr>
          <w:p w14:paraId="3AD51D2F" w14:textId="7737C8C2" w:rsidR="0026120F" w:rsidRPr="00703A0B" w:rsidDel="00A95003" w:rsidRDefault="0026120F" w:rsidP="00F40C52">
            <w:pPr>
              <w:rPr>
                <w:rFonts w:cs="Arial"/>
                <w:szCs w:val="22"/>
              </w:rPr>
            </w:pPr>
            <w:r w:rsidRPr="00703A0B">
              <w:rPr>
                <w:rFonts w:cs="Arial"/>
                <w:szCs w:val="22"/>
              </w:rPr>
              <w:t>-</w:t>
            </w:r>
          </w:p>
        </w:tc>
        <w:tc>
          <w:tcPr>
            <w:tcW w:w="658" w:type="pct"/>
          </w:tcPr>
          <w:p w14:paraId="1CCD545D" w14:textId="7D93D037" w:rsidR="0026120F" w:rsidRPr="00703A0B" w:rsidRDefault="0026120F" w:rsidP="00F40C52">
            <w:pPr>
              <w:rPr>
                <w:rFonts w:cs="Arial"/>
                <w:szCs w:val="22"/>
              </w:rPr>
            </w:pPr>
            <w:r w:rsidRPr="00703A0B">
              <w:rPr>
                <w:rFonts w:cs="Arial"/>
                <w:szCs w:val="22"/>
              </w:rPr>
              <w:t>-</w:t>
            </w:r>
          </w:p>
        </w:tc>
        <w:tc>
          <w:tcPr>
            <w:tcW w:w="658" w:type="pct"/>
          </w:tcPr>
          <w:p w14:paraId="0C2A47C9" w14:textId="1AC511AE" w:rsidR="0026120F" w:rsidRPr="00703A0B" w:rsidRDefault="0026120F" w:rsidP="00F40C52">
            <w:pPr>
              <w:rPr>
                <w:rFonts w:cs="Arial"/>
                <w:szCs w:val="22"/>
              </w:rPr>
            </w:pPr>
            <w:r w:rsidRPr="00703A0B">
              <w:rPr>
                <w:rFonts w:cs="Arial"/>
                <w:szCs w:val="22"/>
              </w:rPr>
              <w:t>143</w:t>
            </w:r>
          </w:p>
        </w:tc>
        <w:tc>
          <w:tcPr>
            <w:tcW w:w="658" w:type="pct"/>
          </w:tcPr>
          <w:p w14:paraId="4D108EE2" w14:textId="6DA862A2" w:rsidR="0026120F" w:rsidRPr="00703A0B" w:rsidRDefault="0026120F" w:rsidP="00F40C52">
            <w:pPr>
              <w:rPr>
                <w:rFonts w:cs="Arial"/>
                <w:szCs w:val="22"/>
              </w:rPr>
            </w:pPr>
            <w:r w:rsidRPr="00703A0B">
              <w:rPr>
                <w:rFonts w:cs="Arial"/>
                <w:szCs w:val="22"/>
              </w:rPr>
              <w:t>301</w:t>
            </w:r>
          </w:p>
        </w:tc>
        <w:tc>
          <w:tcPr>
            <w:tcW w:w="658" w:type="pct"/>
          </w:tcPr>
          <w:p w14:paraId="0F465C08" w14:textId="7B8AE2AE" w:rsidR="0026120F" w:rsidRPr="00703A0B" w:rsidRDefault="0026120F" w:rsidP="00F40C52">
            <w:pPr>
              <w:rPr>
                <w:rFonts w:cs="Arial"/>
                <w:szCs w:val="22"/>
              </w:rPr>
            </w:pPr>
            <w:r w:rsidRPr="00703A0B">
              <w:rPr>
                <w:rFonts w:cs="Arial"/>
                <w:szCs w:val="22"/>
              </w:rPr>
              <w:t>96</w:t>
            </w:r>
          </w:p>
        </w:tc>
      </w:tr>
      <w:tr w:rsidR="0026120F" w:rsidRPr="00703A0B" w14:paraId="64054B5C" w14:textId="77777777" w:rsidTr="00F40C52">
        <w:tc>
          <w:tcPr>
            <w:tcW w:w="1711" w:type="pct"/>
          </w:tcPr>
          <w:p w14:paraId="40B4649A" w14:textId="14BB6C80" w:rsidR="0026120F" w:rsidRPr="00703A0B" w:rsidRDefault="0026120F" w:rsidP="00376073">
            <w:pPr>
              <w:rPr>
                <w:rFonts w:cs="Arial"/>
                <w:szCs w:val="22"/>
              </w:rPr>
            </w:pPr>
            <w:r w:rsidRPr="00703A0B">
              <w:rPr>
                <w:rFonts w:cs="Arial"/>
                <w:szCs w:val="22"/>
              </w:rPr>
              <w:t>Improper use of a licence</w:t>
            </w:r>
          </w:p>
        </w:tc>
        <w:tc>
          <w:tcPr>
            <w:tcW w:w="657" w:type="pct"/>
          </w:tcPr>
          <w:p w14:paraId="638444EE" w14:textId="753E24DE" w:rsidR="0026120F" w:rsidRPr="00703A0B" w:rsidRDefault="0026120F" w:rsidP="00F40C52">
            <w:pPr>
              <w:rPr>
                <w:rFonts w:cs="Arial"/>
                <w:szCs w:val="22"/>
              </w:rPr>
            </w:pPr>
            <w:r w:rsidRPr="00703A0B">
              <w:rPr>
                <w:rFonts w:cs="Arial"/>
                <w:szCs w:val="22"/>
              </w:rPr>
              <w:t>-</w:t>
            </w:r>
          </w:p>
        </w:tc>
        <w:tc>
          <w:tcPr>
            <w:tcW w:w="658" w:type="pct"/>
          </w:tcPr>
          <w:p w14:paraId="64554842" w14:textId="6C194598" w:rsidR="0026120F" w:rsidRPr="00703A0B" w:rsidRDefault="0026120F" w:rsidP="00F40C52">
            <w:pPr>
              <w:rPr>
                <w:rFonts w:cs="Arial"/>
                <w:szCs w:val="22"/>
              </w:rPr>
            </w:pPr>
            <w:r w:rsidRPr="00703A0B">
              <w:rPr>
                <w:rFonts w:cs="Arial"/>
                <w:szCs w:val="22"/>
              </w:rPr>
              <w:t>60</w:t>
            </w:r>
          </w:p>
        </w:tc>
        <w:tc>
          <w:tcPr>
            <w:tcW w:w="658" w:type="pct"/>
          </w:tcPr>
          <w:p w14:paraId="36C1F819" w14:textId="208FB642" w:rsidR="0026120F" w:rsidRPr="00703A0B" w:rsidRDefault="0026120F" w:rsidP="00F40C52">
            <w:pPr>
              <w:rPr>
                <w:rFonts w:cs="Arial"/>
                <w:szCs w:val="22"/>
              </w:rPr>
            </w:pPr>
            <w:r w:rsidRPr="00703A0B">
              <w:rPr>
                <w:rFonts w:cs="Arial"/>
                <w:szCs w:val="22"/>
              </w:rPr>
              <w:t>58</w:t>
            </w:r>
          </w:p>
        </w:tc>
        <w:tc>
          <w:tcPr>
            <w:tcW w:w="658" w:type="pct"/>
          </w:tcPr>
          <w:p w14:paraId="4A57B50B" w14:textId="444FB3F4" w:rsidR="0026120F" w:rsidRPr="00703A0B" w:rsidRDefault="0026120F" w:rsidP="00F40C52">
            <w:pPr>
              <w:rPr>
                <w:rFonts w:cs="Arial"/>
                <w:szCs w:val="22"/>
              </w:rPr>
            </w:pPr>
            <w:r w:rsidRPr="00703A0B">
              <w:rPr>
                <w:rFonts w:cs="Arial"/>
                <w:szCs w:val="22"/>
              </w:rPr>
              <w:t>75</w:t>
            </w:r>
          </w:p>
        </w:tc>
        <w:tc>
          <w:tcPr>
            <w:tcW w:w="658" w:type="pct"/>
          </w:tcPr>
          <w:p w14:paraId="21C9384C" w14:textId="40B77766" w:rsidR="0026120F" w:rsidRPr="00703A0B" w:rsidRDefault="0026120F" w:rsidP="00F40C52">
            <w:pPr>
              <w:rPr>
                <w:rFonts w:cs="Arial"/>
                <w:szCs w:val="22"/>
              </w:rPr>
            </w:pPr>
            <w:r w:rsidRPr="00703A0B">
              <w:rPr>
                <w:rFonts w:cs="Arial"/>
                <w:szCs w:val="22"/>
              </w:rPr>
              <w:t>92</w:t>
            </w:r>
          </w:p>
        </w:tc>
      </w:tr>
      <w:tr w:rsidR="0026120F" w:rsidRPr="00703A0B" w14:paraId="2985AE04" w14:textId="77777777" w:rsidTr="00F40C52">
        <w:tc>
          <w:tcPr>
            <w:tcW w:w="1711" w:type="pct"/>
          </w:tcPr>
          <w:p w14:paraId="1F676795" w14:textId="5D6F9C4B" w:rsidR="0026120F" w:rsidRPr="00703A0B" w:rsidRDefault="0026120F" w:rsidP="00376073">
            <w:pPr>
              <w:rPr>
                <w:rFonts w:cs="Arial"/>
                <w:szCs w:val="22"/>
              </w:rPr>
            </w:pPr>
            <w:r w:rsidRPr="00703A0B">
              <w:rPr>
                <w:rFonts w:cs="Arial"/>
                <w:szCs w:val="22"/>
              </w:rPr>
              <w:t xml:space="preserve">Advertising </w:t>
            </w:r>
          </w:p>
        </w:tc>
        <w:tc>
          <w:tcPr>
            <w:tcW w:w="657" w:type="pct"/>
          </w:tcPr>
          <w:p w14:paraId="04CE9734" w14:textId="549E46FE" w:rsidR="0026120F" w:rsidRPr="00703A0B" w:rsidRDefault="0026120F" w:rsidP="00F40C52">
            <w:pPr>
              <w:rPr>
                <w:rFonts w:cs="Arial"/>
                <w:szCs w:val="22"/>
              </w:rPr>
            </w:pPr>
            <w:r w:rsidRPr="00703A0B">
              <w:rPr>
                <w:rFonts w:cs="Arial"/>
                <w:szCs w:val="22"/>
              </w:rPr>
              <w:t>-</w:t>
            </w:r>
          </w:p>
        </w:tc>
        <w:tc>
          <w:tcPr>
            <w:tcW w:w="658" w:type="pct"/>
          </w:tcPr>
          <w:p w14:paraId="048B698E" w14:textId="3FF15849" w:rsidR="0026120F" w:rsidRPr="00703A0B" w:rsidRDefault="0026120F" w:rsidP="00F40C52">
            <w:pPr>
              <w:rPr>
                <w:rFonts w:eastAsia="Arial" w:cs="Arial"/>
                <w:szCs w:val="22"/>
              </w:rPr>
            </w:pPr>
            <w:r w:rsidRPr="00703A0B">
              <w:rPr>
                <w:rFonts w:cs="Arial"/>
                <w:szCs w:val="22"/>
              </w:rPr>
              <w:t>145</w:t>
            </w:r>
          </w:p>
        </w:tc>
        <w:tc>
          <w:tcPr>
            <w:tcW w:w="658" w:type="pct"/>
          </w:tcPr>
          <w:p w14:paraId="735D20E2" w14:textId="54C44B07" w:rsidR="0026120F" w:rsidRPr="00703A0B" w:rsidRDefault="0026120F" w:rsidP="00F40C52">
            <w:pPr>
              <w:rPr>
                <w:rFonts w:cs="Arial"/>
                <w:szCs w:val="22"/>
              </w:rPr>
            </w:pPr>
            <w:r w:rsidRPr="00703A0B">
              <w:rPr>
                <w:rFonts w:cs="Arial"/>
                <w:szCs w:val="22"/>
              </w:rPr>
              <w:t>-</w:t>
            </w:r>
          </w:p>
        </w:tc>
        <w:tc>
          <w:tcPr>
            <w:tcW w:w="658" w:type="pct"/>
          </w:tcPr>
          <w:p w14:paraId="56C37610" w14:textId="08E168C3" w:rsidR="0026120F" w:rsidRPr="00703A0B" w:rsidRDefault="0026120F" w:rsidP="00F40C52">
            <w:pPr>
              <w:rPr>
                <w:rFonts w:cs="Arial"/>
                <w:szCs w:val="22"/>
              </w:rPr>
            </w:pPr>
            <w:r w:rsidRPr="00703A0B">
              <w:rPr>
                <w:rFonts w:cs="Arial"/>
                <w:szCs w:val="22"/>
              </w:rPr>
              <w:t>-</w:t>
            </w:r>
          </w:p>
        </w:tc>
        <w:tc>
          <w:tcPr>
            <w:tcW w:w="658" w:type="pct"/>
          </w:tcPr>
          <w:p w14:paraId="379EA8E5" w14:textId="15073544" w:rsidR="0026120F" w:rsidRPr="00703A0B" w:rsidRDefault="0026120F" w:rsidP="00F40C52">
            <w:pPr>
              <w:rPr>
                <w:rFonts w:cs="Arial"/>
                <w:szCs w:val="22"/>
              </w:rPr>
            </w:pPr>
            <w:r w:rsidRPr="00703A0B">
              <w:rPr>
                <w:rFonts w:cs="Arial"/>
                <w:szCs w:val="22"/>
              </w:rPr>
              <w:t>-</w:t>
            </w:r>
          </w:p>
        </w:tc>
      </w:tr>
      <w:tr w:rsidR="00D53CBF" w:rsidRPr="00703A0B" w14:paraId="4169E8B0" w14:textId="77777777" w:rsidTr="00F40C52">
        <w:tc>
          <w:tcPr>
            <w:tcW w:w="5000" w:type="pct"/>
            <w:gridSpan w:val="6"/>
            <w:shd w:val="clear" w:color="auto" w:fill="D9D9D9" w:themeFill="background1" w:themeFillShade="D9"/>
          </w:tcPr>
          <w:p w14:paraId="177D6A76" w14:textId="17DA5AFD" w:rsidR="00D53CBF" w:rsidRPr="00703A0B" w:rsidRDefault="00D53CBF">
            <w:pPr>
              <w:rPr>
                <w:rFonts w:cs="Arial"/>
                <w:szCs w:val="22"/>
              </w:rPr>
            </w:pPr>
            <w:r w:rsidRPr="00703A0B">
              <w:rPr>
                <w:rFonts w:eastAsia="MS Mincho" w:cs="Arial"/>
                <w:szCs w:val="22"/>
              </w:rPr>
              <w:t>Other</w:t>
            </w:r>
          </w:p>
        </w:tc>
      </w:tr>
      <w:tr w:rsidR="00D53CBF" w:rsidRPr="00703A0B" w14:paraId="6AA9EE2B" w14:textId="77777777" w:rsidTr="00F40C52">
        <w:tc>
          <w:tcPr>
            <w:tcW w:w="5000" w:type="pct"/>
            <w:gridSpan w:val="6"/>
            <w:shd w:val="clear" w:color="auto" w:fill="F2F2F2" w:themeFill="background1" w:themeFillShade="F2"/>
          </w:tcPr>
          <w:p w14:paraId="2B7CB7F5" w14:textId="0CC15C02" w:rsidR="00D53CBF" w:rsidRPr="00703A0B" w:rsidRDefault="00D53CBF">
            <w:pPr>
              <w:rPr>
                <w:rFonts w:cs="Arial"/>
                <w:szCs w:val="22"/>
              </w:rPr>
            </w:pPr>
            <w:r w:rsidRPr="00703A0B">
              <w:rPr>
                <w:rFonts w:eastAsia="MS Mincho" w:cs="Arial"/>
                <w:szCs w:val="22"/>
              </w:rPr>
              <w:t>Building certifier conduct</w:t>
            </w:r>
          </w:p>
        </w:tc>
      </w:tr>
      <w:tr w:rsidR="0026120F" w:rsidRPr="00703A0B" w14:paraId="3E30DD7B" w14:textId="77777777" w:rsidTr="00F40C52">
        <w:tc>
          <w:tcPr>
            <w:tcW w:w="1711" w:type="pct"/>
          </w:tcPr>
          <w:p w14:paraId="58707CBC" w14:textId="479BDA56" w:rsidR="0026120F" w:rsidRPr="00703A0B" w:rsidRDefault="0026120F" w:rsidP="00F40C52">
            <w:pPr>
              <w:rPr>
                <w:rFonts w:cs="Arial"/>
                <w:szCs w:val="22"/>
              </w:rPr>
            </w:pPr>
            <w:r w:rsidRPr="00703A0B">
              <w:rPr>
                <w:rFonts w:eastAsia="MS Mincho" w:cs="Arial"/>
                <w:szCs w:val="22"/>
              </w:rPr>
              <w:t xml:space="preserve">Unsatisfactory conduct </w:t>
            </w:r>
          </w:p>
        </w:tc>
        <w:tc>
          <w:tcPr>
            <w:tcW w:w="657" w:type="pct"/>
          </w:tcPr>
          <w:p w14:paraId="6E6E2192" w14:textId="56ABF417" w:rsidR="0026120F" w:rsidRPr="00703A0B" w:rsidRDefault="0026120F" w:rsidP="00F40C52">
            <w:pPr>
              <w:rPr>
                <w:rFonts w:cs="Arial"/>
                <w:szCs w:val="22"/>
              </w:rPr>
            </w:pPr>
            <w:r w:rsidRPr="00703A0B">
              <w:rPr>
                <w:rFonts w:cs="Arial"/>
                <w:szCs w:val="22"/>
              </w:rPr>
              <w:t>18</w:t>
            </w:r>
          </w:p>
        </w:tc>
        <w:tc>
          <w:tcPr>
            <w:tcW w:w="658" w:type="pct"/>
          </w:tcPr>
          <w:p w14:paraId="120ABFC0" w14:textId="1DC0055E" w:rsidR="0026120F" w:rsidRPr="00703A0B" w:rsidRDefault="0026120F" w:rsidP="00F40C52">
            <w:pPr>
              <w:rPr>
                <w:rFonts w:cs="Arial"/>
                <w:szCs w:val="22"/>
              </w:rPr>
            </w:pPr>
            <w:r w:rsidRPr="00703A0B">
              <w:rPr>
                <w:rFonts w:cs="Arial"/>
                <w:szCs w:val="22"/>
              </w:rPr>
              <w:t>12</w:t>
            </w:r>
          </w:p>
        </w:tc>
        <w:tc>
          <w:tcPr>
            <w:tcW w:w="658" w:type="pct"/>
          </w:tcPr>
          <w:p w14:paraId="416AD6D5" w14:textId="4A91B961" w:rsidR="0026120F" w:rsidRPr="00703A0B" w:rsidRDefault="0026120F" w:rsidP="00F40C52">
            <w:pPr>
              <w:rPr>
                <w:rFonts w:cs="Arial"/>
                <w:szCs w:val="22"/>
              </w:rPr>
            </w:pPr>
            <w:r w:rsidRPr="00703A0B">
              <w:rPr>
                <w:rFonts w:cs="Arial"/>
                <w:szCs w:val="22"/>
              </w:rPr>
              <w:t>10</w:t>
            </w:r>
          </w:p>
        </w:tc>
        <w:tc>
          <w:tcPr>
            <w:tcW w:w="658" w:type="pct"/>
          </w:tcPr>
          <w:p w14:paraId="3AC0780E" w14:textId="494FF09B" w:rsidR="0026120F" w:rsidRPr="00703A0B" w:rsidRDefault="0026120F" w:rsidP="00F40C52">
            <w:pPr>
              <w:rPr>
                <w:rFonts w:cs="Arial"/>
                <w:bCs/>
                <w:szCs w:val="22"/>
              </w:rPr>
            </w:pPr>
            <w:r w:rsidRPr="00703A0B">
              <w:rPr>
                <w:rFonts w:cs="Arial"/>
                <w:szCs w:val="22"/>
              </w:rPr>
              <w:t>16</w:t>
            </w:r>
          </w:p>
        </w:tc>
        <w:tc>
          <w:tcPr>
            <w:tcW w:w="658" w:type="pct"/>
          </w:tcPr>
          <w:p w14:paraId="04CA804A" w14:textId="1ACE4559" w:rsidR="0026120F" w:rsidRPr="00703A0B" w:rsidRDefault="0026120F" w:rsidP="00F40C52">
            <w:pPr>
              <w:rPr>
                <w:rFonts w:cs="Arial"/>
                <w:bCs/>
                <w:szCs w:val="22"/>
              </w:rPr>
            </w:pPr>
            <w:r w:rsidRPr="00703A0B">
              <w:rPr>
                <w:rFonts w:cs="Arial"/>
                <w:szCs w:val="22"/>
              </w:rPr>
              <w:t>40</w:t>
            </w:r>
          </w:p>
        </w:tc>
      </w:tr>
      <w:tr w:rsidR="0026120F" w:rsidRPr="00703A0B" w14:paraId="66FB5D10" w14:textId="77777777" w:rsidTr="00F40C52">
        <w:tc>
          <w:tcPr>
            <w:tcW w:w="1711" w:type="pct"/>
          </w:tcPr>
          <w:p w14:paraId="56AC39B6" w14:textId="3485AD47" w:rsidR="0026120F" w:rsidRPr="00703A0B" w:rsidRDefault="0026120F" w:rsidP="00F40C52">
            <w:pPr>
              <w:rPr>
                <w:rFonts w:cs="Arial"/>
                <w:szCs w:val="22"/>
              </w:rPr>
            </w:pPr>
            <w:r w:rsidRPr="00703A0B">
              <w:rPr>
                <w:rFonts w:cs="Arial"/>
                <w:szCs w:val="22"/>
              </w:rPr>
              <w:t>Not unsatisfactory conduct</w:t>
            </w:r>
          </w:p>
        </w:tc>
        <w:tc>
          <w:tcPr>
            <w:tcW w:w="657" w:type="pct"/>
          </w:tcPr>
          <w:p w14:paraId="282ED183" w14:textId="24D8BAF6" w:rsidR="0026120F" w:rsidRPr="00703A0B" w:rsidRDefault="0026120F" w:rsidP="00F40C52">
            <w:pPr>
              <w:rPr>
                <w:rFonts w:cs="Arial"/>
                <w:szCs w:val="22"/>
              </w:rPr>
            </w:pPr>
            <w:r w:rsidRPr="00703A0B">
              <w:rPr>
                <w:rFonts w:cs="Arial"/>
                <w:szCs w:val="22"/>
              </w:rPr>
              <w:t>18</w:t>
            </w:r>
          </w:p>
        </w:tc>
        <w:tc>
          <w:tcPr>
            <w:tcW w:w="658" w:type="pct"/>
          </w:tcPr>
          <w:p w14:paraId="272852A0" w14:textId="298943AA" w:rsidR="0026120F" w:rsidRPr="00703A0B" w:rsidRDefault="0026120F" w:rsidP="00F40C52">
            <w:pPr>
              <w:rPr>
                <w:rFonts w:cs="Arial"/>
                <w:szCs w:val="22"/>
              </w:rPr>
            </w:pPr>
            <w:r w:rsidRPr="00703A0B">
              <w:rPr>
                <w:rFonts w:cs="Arial"/>
                <w:szCs w:val="22"/>
              </w:rPr>
              <w:t>86</w:t>
            </w:r>
          </w:p>
        </w:tc>
        <w:tc>
          <w:tcPr>
            <w:tcW w:w="658" w:type="pct"/>
          </w:tcPr>
          <w:p w14:paraId="50F69B44" w14:textId="11F59180" w:rsidR="0026120F" w:rsidRPr="00703A0B" w:rsidRDefault="0026120F" w:rsidP="00F40C52">
            <w:pPr>
              <w:rPr>
                <w:rFonts w:cs="Arial"/>
                <w:szCs w:val="22"/>
              </w:rPr>
            </w:pPr>
            <w:r w:rsidRPr="00703A0B">
              <w:rPr>
                <w:rFonts w:cs="Arial"/>
                <w:szCs w:val="22"/>
              </w:rPr>
              <w:t>17</w:t>
            </w:r>
          </w:p>
        </w:tc>
        <w:tc>
          <w:tcPr>
            <w:tcW w:w="658" w:type="pct"/>
          </w:tcPr>
          <w:p w14:paraId="1FAF630F" w14:textId="14DB8C95" w:rsidR="0026120F" w:rsidRPr="00703A0B" w:rsidRDefault="0026120F" w:rsidP="00F40C52">
            <w:pPr>
              <w:rPr>
                <w:rFonts w:cs="Arial"/>
                <w:bCs/>
                <w:szCs w:val="22"/>
              </w:rPr>
            </w:pPr>
            <w:r w:rsidRPr="00703A0B">
              <w:rPr>
                <w:rFonts w:cs="Arial"/>
                <w:szCs w:val="22"/>
              </w:rPr>
              <w:t>18</w:t>
            </w:r>
          </w:p>
        </w:tc>
        <w:tc>
          <w:tcPr>
            <w:tcW w:w="658" w:type="pct"/>
          </w:tcPr>
          <w:p w14:paraId="26780ABF" w14:textId="45ACE2A1" w:rsidR="0026120F" w:rsidRPr="00703A0B" w:rsidRDefault="0026120F" w:rsidP="00F40C52">
            <w:pPr>
              <w:rPr>
                <w:rFonts w:cs="Arial"/>
                <w:bCs/>
                <w:szCs w:val="22"/>
              </w:rPr>
            </w:pPr>
            <w:r w:rsidRPr="00703A0B">
              <w:rPr>
                <w:rFonts w:cs="Arial"/>
                <w:szCs w:val="22"/>
              </w:rPr>
              <w:t>17</w:t>
            </w:r>
          </w:p>
        </w:tc>
      </w:tr>
      <w:tr w:rsidR="0026120F" w:rsidRPr="00703A0B" w14:paraId="58786C04" w14:textId="77777777" w:rsidTr="00F40C52">
        <w:tc>
          <w:tcPr>
            <w:tcW w:w="1711" w:type="pct"/>
          </w:tcPr>
          <w:p w14:paraId="43F0B8B3" w14:textId="147F24AA" w:rsidR="0026120F" w:rsidRPr="00703A0B" w:rsidRDefault="0026120F" w:rsidP="00F40C52">
            <w:pPr>
              <w:rPr>
                <w:rFonts w:cs="Arial"/>
                <w:szCs w:val="22"/>
              </w:rPr>
            </w:pPr>
            <w:r w:rsidRPr="00703A0B">
              <w:rPr>
                <w:rFonts w:cs="Arial"/>
                <w:szCs w:val="22"/>
              </w:rPr>
              <w:t xml:space="preserve">Referral to commence disciplinary proceedings </w:t>
            </w:r>
          </w:p>
        </w:tc>
        <w:tc>
          <w:tcPr>
            <w:tcW w:w="657" w:type="pct"/>
          </w:tcPr>
          <w:p w14:paraId="04EA89E4" w14:textId="6CAE4FFE" w:rsidR="0026120F" w:rsidRPr="00703A0B" w:rsidRDefault="0026120F" w:rsidP="00F40C52">
            <w:pPr>
              <w:rPr>
                <w:rFonts w:cs="Arial"/>
                <w:szCs w:val="22"/>
              </w:rPr>
            </w:pPr>
            <w:r w:rsidRPr="00703A0B">
              <w:rPr>
                <w:rFonts w:cs="Arial"/>
                <w:szCs w:val="22"/>
              </w:rPr>
              <w:t>0</w:t>
            </w:r>
          </w:p>
        </w:tc>
        <w:tc>
          <w:tcPr>
            <w:tcW w:w="658" w:type="pct"/>
          </w:tcPr>
          <w:p w14:paraId="34B8A1A8" w14:textId="763FB2FD" w:rsidR="0026120F" w:rsidRPr="00703A0B" w:rsidRDefault="0026120F" w:rsidP="00F40C52">
            <w:pPr>
              <w:rPr>
                <w:rFonts w:cs="Arial"/>
                <w:szCs w:val="22"/>
              </w:rPr>
            </w:pPr>
            <w:r w:rsidRPr="00703A0B">
              <w:rPr>
                <w:rFonts w:cs="Arial"/>
                <w:szCs w:val="22"/>
              </w:rPr>
              <w:t>1</w:t>
            </w:r>
          </w:p>
        </w:tc>
        <w:tc>
          <w:tcPr>
            <w:tcW w:w="658" w:type="pct"/>
          </w:tcPr>
          <w:p w14:paraId="2A1E7BDB" w14:textId="04C28D86" w:rsidR="0026120F" w:rsidRPr="00703A0B" w:rsidRDefault="0026120F" w:rsidP="00F40C52">
            <w:pPr>
              <w:rPr>
                <w:rFonts w:cs="Arial"/>
                <w:szCs w:val="22"/>
              </w:rPr>
            </w:pPr>
            <w:r w:rsidRPr="00703A0B">
              <w:rPr>
                <w:rFonts w:cs="Arial"/>
                <w:szCs w:val="22"/>
              </w:rPr>
              <w:t>0</w:t>
            </w:r>
          </w:p>
        </w:tc>
        <w:tc>
          <w:tcPr>
            <w:tcW w:w="658" w:type="pct"/>
          </w:tcPr>
          <w:p w14:paraId="6E824185" w14:textId="36BBF9AA" w:rsidR="0026120F" w:rsidRPr="00703A0B" w:rsidRDefault="0026120F" w:rsidP="00F40C52">
            <w:pPr>
              <w:rPr>
                <w:rFonts w:cs="Arial"/>
                <w:bCs/>
                <w:szCs w:val="22"/>
              </w:rPr>
            </w:pPr>
            <w:r w:rsidRPr="00703A0B">
              <w:rPr>
                <w:rFonts w:cs="Arial"/>
                <w:szCs w:val="22"/>
              </w:rPr>
              <w:t>1</w:t>
            </w:r>
          </w:p>
        </w:tc>
        <w:tc>
          <w:tcPr>
            <w:tcW w:w="658" w:type="pct"/>
          </w:tcPr>
          <w:p w14:paraId="161877AA" w14:textId="6465BA22" w:rsidR="0026120F" w:rsidRPr="00703A0B" w:rsidRDefault="0026120F" w:rsidP="00F40C52">
            <w:pPr>
              <w:rPr>
                <w:rFonts w:cs="Arial"/>
                <w:bCs/>
                <w:szCs w:val="22"/>
              </w:rPr>
            </w:pPr>
            <w:r w:rsidRPr="00703A0B">
              <w:rPr>
                <w:rFonts w:cs="Arial"/>
                <w:szCs w:val="22"/>
              </w:rPr>
              <w:t>0</w:t>
            </w:r>
          </w:p>
        </w:tc>
      </w:tr>
      <w:tr w:rsidR="0026120F" w:rsidRPr="00703A0B" w14:paraId="5F832E63" w14:textId="77777777" w:rsidTr="00F40C52">
        <w:tc>
          <w:tcPr>
            <w:tcW w:w="1711" w:type="pct"/>
          </w:tcPr>
          <w:p w14:paraId="3753C313" w14:textId="2DA2A037" w:rsidR="0026120F" w:rsidRPr="00703A0B" w:rsidRDefault="0026120F" w:rsidP="00F40C52">
            <w:pPr>
              <w:rPr>
                <w:rFonts w:cs="Arial"/>
                <w:szCs w:val="22"/>
              </w:rPr>
            </w:pPr>
            <w:r w:rsidRPr="00703A0B">
              <w:rPr>
                <w:rFonts w:cs="Arial"/>
                <w:szCs w:val="22"/>
              </w:rPr>
              <w:t>QCAT professional misconduct determinations</w:t>
            </w:r>
          </w:p>
        </w:tc>
        <w:tc>
          <w:tcPr>
            <w:tcW w:w="657" w:type="pct"/>
          </w:tcPr>
          <w:p w14:paraId="236F73B7" w14:textId="52E92D1B" w:rsidR="0026120F" w:rsidRPr="00703A0B" w:rsidRDefault="0026120F" w:rsidP="00F40C52">
            <w:pPr>
              <w:rPr>
                <w:rFonts w:cs="Arial"/>
                <w:szCs w:val="22"/>
              </w:rPr>
            </w:pPr>
            <w:r w:rsidRPr="00703A0B">
              <w:rPr>
                <w:rFonts w:cs="Arial"/>
                <w:szCs w:val="22"/>
              </w:rPr>
              <w:t>0</w:t>
            </w:r>
          </w:p>
        </w:tc>
        <w:tc>
          <w:tcPr>
            <w:tcW w:w="658" w:type="pct"/>
          </w:tcPr>
          <w:p w14:paraId="05B6F5B9" w14:textId="56743774" w:rsidR="0026120F" w:rsidRPr="00703A0B" w:rsidRDefault="0026120F" w:rsidP="00F40C52">
            <w:pPr>
              <w:rPr>
                <w:rFonts w:cs="Arial"/>
                <w:szCs w:val="22"/>
              </w:rPr>
            </w:pPr>
            <w:r w:rsidRPr="00703A0B">
              <w:rPr>
                <w:rFonts w:cs="Arial"/>
                <w:szCs w:val="22"/>
              </w:rPr>
              <w:t>0</w:t>
            </w:r>
          </w:p>
        </w:tc>
        <w:tc>
          <w:tcPr>
            <w:tcW w:w="658" w:type="pct"/>
          </w:tcPr>
          <w:p w14:paraId="56FD5D33" w14:textId="43804464" w:rsidR="0026120F" w:rsidRPr="00703A0B" w:rsidRDefault="0026120F" w:rsidP="00F40C52">
            <w:pPr>
              <w:rPr>
                <w:rFonts w:cs="Arial"/>
                <w:szCs w:val="22"/>
              </w:rPr>
            </w:pPr>
            <w:r w:rsidRPr="00703A0B">
              <w:rPr>
                <w:rFonts w:cs="Arial"/>
                <w:szCs w:val="22"/>
              </w:rPr>
              <w:t>0</w:t>
            </w:r>
          </w:p>
        </w:tc>
        <w:tc>
          <w:tcPr>
            <w:tcW w:w="658" w:type="pct"/>
          </w:tcPr>
          <w:p w14:paraId="50ED40B2" w14:textId="2ACC95B5" w:rsidR="0026120F" w:rsidRPr="00703A0B" w:rsidRDefault="0026120F" w:rsidP="00F40C52">
            <w:pPr>
              <w:rPr>
                <w:rFonts w:cs="Arial"/>
                <w:bCs/>
                <w:szCs w:val="22"/>
              </w:rPr>
            </w:pPr>
            <w:r w:rsidRPr="00703A0B">
              <w:rPr>
                <w:rFonts w:cs="Arial"/>
                <w:szCs w:val="22"/>
              </w:rPr>
              <w:t>2</w:t>
            </w:r>
          </w:p>
        </w:tc>
        <w:tc>
          <w:tcPr>
            <w:tcW w:w="658" w:type="pct"/>
          </w:tcPr>
          <w:p w14:paraId="38D7DE55" w14:textId="05981161" w:rsidR="0026120F" w:rsidRPr="00703A0B" w:rsidRDefault="0026120F" w:rsidP="00F40C52">
            <w:pPr>
              <w:rPr>
                <w:rFonts w:cs="Arial"/>
                <w:bCs/>
                <w:szCs w:val="22"/>
              </w:rPr>
            </w:pPr>
            <w:r w:rsidRPr="00703A0B">
              <w:rPr>
                <w:rFonts w:cs="Arial"/>
                <w:szCs w:val="22"/>
              </w:rPr>
              <w:t>0</w:t>
            </w:r>
          </w:p>
        </w:tc>
      </w:tr>
      <w:tr w:rsidR="00C108EC" w:rsidRPr="00703A0B" w14:paraId="65D1E81B" w14:textId="77777777" w:rsidTr="00F40C52">
        <w:tc>
          <w:tcPr>
            <w:tcW w:w="5000" w:type="pct"/>
            <w:gridSpan w:val="6"/>
            <w:shd w:val="clear" w:color="auto" w:fill="F2F2F2" w:themeFill="background1" w:themeFillShade="F2"/>
          </w:tcPr>
          <w:p w14:paraId="05032C94" w14:textId="787DB8FE" w:rsidR="00C108EC" w:rsidRPr="00703A0B" w:rsidRDefault="00C108EC">
            <w:pPr>
              <w:rPr>
                <w:rFonts w:cs="Arial"/>
                <w:bCs/>
                <w:szCs w:val="22"/>
              </w:rPr>
            </w:pPr>
            <w:r w:rsidRPr="00703A0B">
              <w:rPr>
                <w:rFonts w:cs="Arial"/>
                <w:szCs w:val="22"/>
              </w:rPr>
              <w:t>Non-conforming building products</w:t>
            </w:r>
          </w:p>
        </w:tc>
      </w:tr>
      <w:tr w:rsidR="0026120F" w:rsidRPr="00703A0B" w14:paraId="0B284556" w14:textId="77777777" w:rsidTr="00F40C52">
        <w:tc>
          <w:tcPr>
            <w:tcW w:w="1711" w:type="pct"/>
          </w:tcPr>
          <w:p w14:paraId="4C5C24E8" w14:textId="71AFDC67" w:rsidR="0026120F" w:rsidRPr="00703A0B" w:rsidRDefault="0026120F" w:rsidP="00F40C52">
            <w:pPr>
              <w:rPr>
                <w:rFonts w:cs="Arial"/>
                <w:szCs w:val="22"/>
              </w:rPr>
            </w:pPr>
            <w:r w:rsidRPr="00703A0B">
              <w:rPr>
                <w:rFonts w:cs="Arial"/>
                <w:szCs w:val="22"/>
              </w:rPr>
              <w:t>No breach</w:t>
            </w:r>
          </w:p>
        </w:tc>
        <w:tc>
          <w:tcPr>
            <w:tcW w:w="657" w:type="pct"/>
          </w:tcPr>
          <w:p w14:paraId="0600A683" w14:textId="7DD75D35" w:rsidR="0026120F" w:rsidRPr="00703A0B" w:rsidRDefault="0026120F" w:rsidP="00F40C52">
            <w:pPr>
              <w:rPr>
                <w:rFonts w:cs="Arial"/>
                <w:szCs w:val="22"/>
              </w:rPr>
            </w:pPr>
            <w:r w:rsidRPr="00703A0B">
              <w:rPr>
                <w:rFonts w:cs="Arial"/>
                <w:szCs w:val="22"/>
              </w:rPr>
              <w:t>0</w:t>
            </w:r>
          </w:p>
        </w:tc>
        <w:tc>
          <w:tcPr>
            <w:tcW w:w="658" w:type="pct"/>
          </w:tcPr>
          <w:p w14:paraId="620094FA" w14:textId="2ECD77A1" w:rsidR="0026120F" w:rsidRPr="00703A0B" w:rsidRDefault="0026120F" w:rsidP="00F40C52">
            <w:pPr>
              <w:rPr>
                <w:rFonts w:cs="Arial"/>
                <w:szCs w:val="22"/>
              </w:rPr>
            </w:pPr>
            <w:r w:rsidRPr="00703A0B">
              <w:rPr>
                <w:rFonts w:cs="Arial"/>
                <w:szCs w:val="22"/>
              </w:rPr>
              <w:t>0</w:t>
            </w:r>
          </w:p>
        </w:tc>
        <w:tc>
          <w:tcPr>
            <w:tcW w:w="658" w:type="pct"/>
          </w:tcPr>
          <w:p w14:paraId="4B602D29" w14:textId="19BCDBBF" w:rsidR="0026120F" w:rsidRPr="00703A0B" w:rsidRDefault="0026120F" w:rsidP="00F40C52">
            <w:pPr>
              <w:rPr>
                <w:rFonts w:cs="Arial"/>
                <w:szCs w:val="22"/>
              </w:rPr>
            </w:pPr>
            <w:r w:rsidRPr="00703A0B">
              <w:rPr>
                <w:rFonts w:cs="Arial"/>
                <w:szCs w:val="22"/>
              </w:rPr>
              <w:t>0</w:t>
            </w:r>
          </w:p>
        </w:tc>
        <w:tc>
          <w:tcPr>
            <w:tcW w:w="658" w:type="pct"/>
          </w:tcPr>
          <w:p w14:paraId="43B15EC7" w14:textId="4E7D083B" w:rsidR="0026120F" w:rsidRPr="00703A0B" w:rsidRDefault="0026120F" w:rsidP="00F40C52">
            <w:pPr>
              <w:rPr>
                <w:rFonts w:cs="Arial"/>
                <w:szCs w:val="22"/>
              </w:rPr>
            </w:pPr>
            <w:r w:rsidRPr="00703A0B">
              <w:rPr>
                <w:rFonts w:cs="Arial"/>
                <w:bCs/>
                <w:szCs w:val="22"/>
              </w:rPr>
              <w:t>3</w:t>
            </w:r>
          </w:p>
        </w:tc>
        <w:tc>
          <w:tcPr>
            <w:tcW w:w="658" w:type="pct"/>
          </w:tcPr>
          <w:p w14:paraId="068DCCD1" w14:textId="2DB1AC88" w:rsidR="0026120F" w:rsidRPr="00703A0B" w:rsidRDefault="0026120F" w:rsidP="00F40C52">
            <w:pPr>
              <w:rPr>
                <w:rFonts w:cs="Arial"/>
                <w:szCs w:val="22"/>
              </w:rPr>
            </w:pPr>
            <w:r w:rsidRPr="00703A0B">
              <w:rPr>
                <w:rFonts w:cs="Arial"/>
                <w:bCs/>
                <w:szCs w:val="22"/>
              </w:rPr>
              <w:t>5</w:t>
            </w:r>
          </w:p>
        </w:tc>
      </w:tr>
      <w:tr w:rsidR="0026120F" w:rsidRPr="00703A0B" w14:paraId="659B6B65" w14:textId="77777777" w:rsidTr="00F40C52">
        <w:tc>
          <w:tcPr>
            <w:tcW w:w="1711" w:type="pct"/>
          </w:tcPr>
          <w:p w14:paraId="13470E80" w14:textId="352998A6" w:rsidR="0026120F" w:rsidRPr="00703A0B" w:rsidRDefault="0026120F" w:rsidP="00F40C52">
            <w:pPr>
              <w:rPr>
                <w:rFonts w:cs="Arial"/>
                <w:szCs w:val="22"/>
              </w:rPr>
            </w:pPr>
            <w:r w:rsidRPr="00703A0B">
              <w:rPr>
                <w:rFonts w:cs="Arial"/>
                <w:szCs w:val="22"/>
              </w:rPr>
              <w:t>Warnings</w:t>
            </w:r>
          </w:p>
        </w:tc>
        <w:tc>
          <w:tcPr>
            <w:tcW w:w="657" w:type="pct"/>
          </w:tcPr>
          <w:p w14:paraId="28040D42" w14:textId="6D3D0261" w:rsidR="0026120F" w:rsidRPr="00703A0B" w:rsidRDefault="0026120F" w:rsidP="00F40C52">
            <w:pPr>
              <w:rPr>
                <w:rFonts w:cs="Arial"/>
                <w:szCs w:val="22"/>
              </w:rPr>
            </w:pPr>
            <w:r w:rsidRPr="00703A0B">
              <w:rPr>
                <w:rFonts w:cs="Arial"/>
                <w:szCs w:val="22"/>
              </w:rPr>
              <w:t>-</w:t>
            </w:r>
          </w:p>
        </w:tc>
        <w:tc>
          <w:tcPr>
            <w:tcW w:w="658" w:type="pct"/>
          </w:tcPr>
          <w:p w14:paraId="3E7D5EC4" w14:textId="5FD215CF" w:rsidR="0026120F" w:rsidRPr="00703A0B" w:rsidRDefault="0026120F" w:rsidP="00F40C52">
            <w:pPr>
              <w:rPr>
                <w:rFonts w:cs="Arial"/>
                <w:szCs w:val="22"/>
              </w:rPr>
            </w:pPr>
            <w:r w:rsidRPr="00703A0B">
              <w:rPr>
                <w:rFonts w:cs="Arial"/>
                <w:szCs w:val="22"/>
              </w:rPr>
              <w:t>16</w:t>
            </w:r>
          </w:p>
        </w:tc>
        <w:tc>
          <w:tcPr>
            <w:tcW w:w="658" w:type="pct"/>
          </w:tcPr>
          <w:p w14:paraId="6AA94B1C" w14:textId="5C60E4DB" w:rsidR="0026120F" w:rsidRPr="00703A0B" w:rsidRDefault="0026120F" w:rsidP="00F40C52">
            <w:pPr>
              <w:rPr>
                <w:rFonts w:cs="Arial"/>
                <w:szCs w:val="22"/>
              </w:rPr>
            </w:pPr>
            <w:r w:rsidRPr="00703A0B">
              <w:rPr>
                <w:rFonts w:cs="Arial"/>
                <w:szCs w:val="22"/>
              </w:rPr>
              <w:t>2</w:t>
            </w:r>
          </w:p>
        </w:tc>
        <w:tc>
          <w:tcPr>
            <w:tcW w:w="658" w:type="pct"/>
          </w:tcPr>
          <w:p w14:paraId="7BB35D11" w14:textId="1434A2DE" w:rsidR="0026120F" w:rsidRPr="00703A0B" w:rsidRDefault="0026120F" w:rsidP="00F40C52">
            <w:pPr>
              <w:rPr>
                <w:rFonts w:cs="Arial"/>
                <w:szCs w:val="22"/>
              </w:rPr>
            </w:pPr>
            <w:r w:rsidRPr="00703A0B">
              <w:rPr>
                <w:rFonts w:cs="Arial"/>
                <w:bCs/>
                <w:szCs w:val="22"/>
              </w:rPr>
              <w:t>2</w:t>
            </w:r>
          </w:p>
        </w:tc>
        <w:tc>
          <w:tcPr>
            <w:tcW w:w="658" w:type="pct"/>
          </w:tcPr>
          <w:p w14:paraId="2B064499" w14:textId="4258E0BC" w:rsidR="0026120F" w:rsidRPr="00703A0B" w:rsidRDefault="0026120F" w:rsidP="00F40C52">
            <w:pPr>
              <w:rPr>
                <w:rFonts w:cs="Arial"/>
                <w:szCs w:val="22"/>
              </w:rPr>
            </w:pPr>
            <w:r w:rsidRPr="00703A0B">
              <w:rPr>
                <w:rFonts w:cs="Arial"/>
                <w:bCs/>
                <w:szCs w:val="22"/>
              </w:rPr>
              <w:t>1</w:t>
            </w:r>
          </w:p>
        </w:tc>
      </w:tr>
      <w:tr w:rsidR="0026120F" w:rsidRPr="00703A0B" w14:paraId="31FEE0CA" w14:textId="77777777" w:rsidTr="00F40C52">
        <w:tc>
          <w:tcPr>
            <w:tcW w:w="1711" w:type="pct"/>
          </w:tcPr>
          <w:p w14:paraId="24036659" w14:textId="1CE33645" w:rsidR="0026120F" w:rsidRPr="00703A0B" w:rsidRDefault="0026120F" w:rsidP="00F40C52">
            <w:pPr>
              <w:rPr>
                <w:rFonts w:cs="Arial"/>
                <w:szCs w:val="22"/>
              </w:rPr>
            </w:pPr>
            <w:r w:rsidRPr="00703A0B">
              <w:rPr>
                <w:rFonts w:cs="Arial"/>
                <w:szCs w:val="22"/>
              </w:rPr>
              <w:t>Prosecutions</w:t>
            </w:r>
          </w:p>
        </w:tc>
        <w:tc>
          <w:tcPr>
            <w:tcW w:w="657" w:type="pct"/>
          </w:tcPr>
          <w:p w14:paraId="317A188F" w14:textId="0BEDE225" w:rsidR="0026120F" w:rsidRPr="00703A0B" w:rsidRDefault="0026120F" w:rsidP="00F40C52">
            <w:pPr>
              <w:rPr>
                <w:rFonts w:cs="Arial"/>
                <w:szCs w:val="22"/>
              </w:rPr>
            </w:pPr>
            <w:r w:rsidRPr="00703A0B">
              <w:rPr>
                <w:rFonts w:cs="Arial"/>
                <w:szCs w:val="22"/>
              </w:rPr>
              <w:t>0</w:t>
            </w:r>
          </w:p>
        </w:tc>
        <w:tc>
          <w:tcPr>
            <w:tcW w:w="658" w:type="pct"/>
          </w:tcPr>
          <w:p w14:paraId="340CF094" w14:textId="0BE4E289" w:rsidR="0026120F" w:rsidRPr="00703A0B" w:rsidRDefault="0026120F" w:rsidP="00F40C52">
            <w:pPr>
              <w:rPr>
                <w:rFonts w:cs="Arial"/>
                <w:szCs w:val="22"/>
              </w:rPr>
            </w:pPr>
            <w:r w:rsidRPr="00703A0B">
              <w:rPr>
                <w:rFonts w:cs="Arial"/>
                <w:szCs w:val="22"/>
              </w:rPr>
              <w:t>0</w:t>
            </w:r>
          </w:p>
        </w:tc>
        <w:tc>
          <w:tcPr>
            <w:tcW w:w="658" w:type="pct"/>
          </w:tcPr>
          <w:p w14:paraId="6F76344E" w14:textId="1E68C3EF" w:rsidR="0026120F" w:rsidRPr="00703A0B" w:rsidRDefault="0026120F" w:rsidP="00F40C52">
            <w:pPr>
              <w:rPr>
                <w:rFonts w:eastAsia="Arial" w:cs="Arial"/>
                <w:szCs w:val="22"/>
              </w:rPr>
            </w:pPr>
            <w:r w:rsidRPr="00703A0B">
              <w:rPr>
                <w:rFonts w:cs="Arial"/>
                <w:szCs w:val="22"/>
              </w:rPr>
              <w:t>0</w:t>
            </w:r>
          </w:p>
        </w:tc>
        <w:tc>
          <w:tcPr>
            <w:tcW w:w="658" w:type="pct"/>
          </w:tcPr>
          <w:p w14:paraId="24C18CAC" w14:textId="66B26E14" w:rsidR="0026120F" w:rsidRPr="00703A0B" w:rsidRDefault="0026120F" w:rsidP="00F40C52">
            <w:pPr>
              <w:rPr>
                <w:rFonts w:cs="Arial"/>
                <w:szCs w:val="22"/>
              </w:rPr>
            </w:pPr>
            <w:r w:rsidRPr="00703A0B">
              <w:rPr>
                <w:rFonts w:cs="Arial"/>
                <w:bCs/>
                <w:szCs w:val="22"/>
              </w:rPr>
              <w:t>0</w:t>
            </w:r>
          </w:p>
        </w:tc>
        <w:tc>
          <w:tcPr>
            <w:tcW w:w="658" w:type="pct"/>
          </w:tcPr>
          <w:p w14:paraId="303E7189" w14:textId="6635D0AD" w:rsidR="0026120F" w:rsidRPr="00703A0B" w:rsidRDefault="0026120F" w:rsidP="00F40C52">
            <w:pPr>
              <w:rPr>
                <w:rFonts w:cs="Arial"/>
                <w:szCs w:val="22"/>
              </w:rPr>
            </w:pPr>
            <w:r w:rsidRPr="00703A0B">
              <w:rPr>
                <w:rFonts w:cs="Arial"/>
                <w:bCs/>
                <w:szCs w:val="22"/>
              </w:rPr>
              <w:t>0</w:t>
            </w:r>
          </w:p>
        </w:tc>
      </w:tr>
      <w:tr w:rsidR="009D644B" w:rsidRPr="00703A0B" w14:paraId="577CE70D" w14:textId="77777777" w:rsidTr="00F40C52">
        <w:tc>
          <w:tcPr>
            <w:tcW w:w="5000" w:type="pct"/>
            <w:gridSpan w:val="6"/>
            <w:shd w:val="clear" w:color="auto" w:fill="F2F2F2" w:themeFill="background1" w:themeFillShade="F2"/>
          </w:tcPr>
          <w:p w14:paraId="4EA97F13" w14:textId="06D513C0" w:rsidR="009D644B" w:rsidRPr="00703A0B" w:rsidRDefault="009D644B">
            <w:pPr>
              <w:rPr>
                <w:rFonts w:cs="Arial"/>
                <w:szCs w:val="22"/>
              </w:rPr>
            </w:pPr>
            <w:r w:rsidRPr="00703A0B">
              <w:rPr>
                <w:rFonts w:cs="Arial"/>
                <w:szCs w:val="22"/>
              </w:rPr>
              <w:t>Domestic (Sch1B) contract compliance</w:t>
            </w:r>
          </w:p>
        </w:tc>
      </w:tr>
      <w:tr w:rsidR="0026120F" w:rsidRPr="00703A0B" w14:paraId="04FB31D7" w14:textId="77777777" w:rsidTr="00F40C52">
        <w:tc>
          <w:tcPr>
            <w:tcW w:w="1711" w:type="pct"/>
          </w:tcPr>
          <w:p w14:paraId="2F272045" w14:textId="4DE670CD" w:rsidR="0026120F" w:rsidRPr="00703A0B" w:rsidRDefault="0026120F" w:rsidP="00F40C52">
            <w:pPr>
              <w:rPr>
                <w:rFonts w:cs="Arial"/>
                <w:szCs w:val="22"/>
              </w:rPr>
            </w:pPr>
            <w:r w:rsidRPr="00703A0B">
              <w:rPr>
                <w:rFonts w:cs="Arial"/>
                <w:szCs w:val="22"/>
              </w:rPr>
              <w:t>Warnings</w:t>
            </w:r>
          </w:p>
        </w:tc>
        <w:tc>
          <w:tcPr>
            <w:tcW w:w="657" w:type="pct"/>
          </w:tcPr>
          <w:p w14:paraId="0B0DD255" w14:textId="2DD8CB83" w:rsidR="0026120F" w:rsidRPr="00703A0B" w:rsidDel="00C63D6C" w:rsidRDefault="0026120F" w:rsidP="00F40C52">
            <w:pPr>
              <w:rPr>
                <w:rFonts w:cs="Arial"/>
                <w:szCs w:val="22"/>
              </w:rPr>
            </w:pPr>
            <w:r w:rsidRPr="00703A0B">
              <w:rPr>
                <w:rFonts w:cs="Arial"/>
                <w:szCs w:val="22"/>
              </w:rPr>
              <w:t>-</w:t>
            </w:r>
          </w:p>
        </w:tc>
        <w:tc>
          <w:tcPr>
            <w:tcW w:w="658" w:type="pct"/>
          </w:tcPr>
          <w:p w14:paraId="2C4AC37F" w14:textId="5469E6F5" w:rsidR="0026120F" w:rsidRPr="00703A0B" w:rsidDel="00C63D6C" w:rsidRDefault="0026120F" w:rsidP="00F40C52">
            <w:pPr>
              <w:rPr>
                <w:rFonts w:cs="Arial"/>
                <w:szCs w:val="22"/>
              </w:rPr>
            </w:pPr>
            <w:r w:rsidRPr="00703A0B">
              <w:rPr>
                <w:rFonts w:cs="Arial"/>
                <w:szCs w:val="22"/>
              </w:rPr>
              <w:t>312</w:t>
            </w:r>
          </w:p>
        </w:tc>
        <w:tc>
          <w:tcPr>
            <w:tcW w:w="658" w:type="pct"/>
          </w:tcPr>
          <w:p w14:paraId="4B3AB6F4" w14:textId="6B719AF5" w:rsidR="0026120F" w:rsidRPr="00703A0B" w:rsidDel="00C63D6C" w:rsidRDefault="0026120F" w:rsidP="00F40C52">
            <w:pPr>
              <w:rPr>
                <w:rFonts w:cs="Arial"/>
                <w:szCs w:val="22"/>
              </w:rPr>
            </w:pPr>
            <w:r w:rsidRPr="00703A0B">
              <w:rPr>
                <w:rFonts w:cs="Arial"/>
                <w:szCs w:val="22"/>
              </w:rPr>
              <w:t>182</w:t>
            </w:r>
          </w:p>
        </w:tc>
        <w:tc>
          <w:tcPr>
            <w:tcW w:w="658" w:type="pct"/>
          </w:tcPr>
          <w:p w14:paraId="268983FC" w14:textId="5ACB4F89" w:rsidR="0026120F" w:rsidRPr="00703A0B" w:rsidDel="00C63D6C" w:rsidRDefault="0026120F" w:rsidP="00F40C52">
            <w:pPr>
              <w:rPr>
                <w:rFonts w:cs="Arial"/>
                <w:szCs w:val="22"/>
              </w:rPr>
            </w:pPr>
            <w:r w:rsidRPr="00703A0B">
              <w:rPr>
                <w:rFonts w:cs="Arial"/>
                <w:szCs w:val="22"/>
              </w:rPr>
              <w:t>346</w:t>
            </w:r>
          </w:p>
        </w:tc>
        <w:tc>
          <w:tcPr>
            <w:tcW w:w="658" w:type="pct"/>
          </w:tcPr>
          <w:p w14:paraId="0499301E" w14:textId="44B720BF" w:rsidR="0026120F" w:rsidRPr="00703A0B" w:rsidDel="00C63D6C" w:rsidRDefault="0026120F" w:rsidP="00F40C52">
            <w:pPr>
              <w:rPr>
                <w:rFonts w:cs="Arial"/>
                <w:szCs w:val="22"/>
              </w:rPr>
            </w:pPr>
            <w:r w:rsidRPr="00703A0B">
              <w:rPr>
                <w:rFonts w:cs="Arial"/>
                <w:szCs w:val="22"/>
              </w:rPr>
              <w:t>477</w:t>
            </w:r>
          </w:p>
        </w:tc>
      </w:tr>
      <w:tr w:rsidR="0026120F" w:rsidRPr="00703A0B" w14:paraId="70A9DE23" w14:textId="77777777" w:rsidTr="00F40C52">
        <w:tc>
          <w:tcPr>
            <w:tcW w:w="1711" w:type="pct"/>
          </w:tcPr>
          <w:p w14:paraId="518CEF17" w14:textId="5F56DD3F" w:rsidR="0026120F" w:rsidRPr="00703A0B" w:rsidRDefault="0026120F" w:rsidP="00F40C52">
            <w:pPr>
              <w:rPr>
                <w:rFonts w:cs="Arial"/>
                <w:szCs w:val="22"/>
              </w:rPr>
            </w:pPr>
            <w:r w:rsidRPr="00703A0B">
              <w:rPr>
                <w:rFonts w:cs="Arial"/>
                <w:szCs w:val="22"/>
              </w:rPr>
              <w:t>Infringements</w:t>
            </w:r>
          </w:p>
        </w:tc>
        <w:tc>
          <w:tcPr>
            <w:tcW w:w="657" w:type="pct"/>
          </w:tcPr>
          <w:p w14:paraId="26BD3394" w14:textId="184916AC" w:rsidR="0026120F" w:rsidRPr="00703A0B" w:rsidDel="00C63D6C" w:rsidRDefault="0026120F" w:rsidP="00F40C52">
            <w:pPr>
              <w:rPr>
                <w:rFonts w:cs="Arial"/>
                <w:szCs w:val="22"/>
              </w:rPr>
            </w:pPr>
            <w:r w:rsidRPr="00703A0B">
              <w:rPr>
                <w:rFonts w:cs="Arial"/>
                <w:szCs w:val="22"/>
              </w:rPr>
              <w:t>-</w:t>
            </w:r>
          </w:p>
        </w:tc>
        <w:tc>
          <w:tcPr>
            <w:tcW w:w="658" w:type="pct"/>
          </w:tcPr>
          <w:p w14:paraId="43706FA9" w14:textId="1A0553CB" w:rsidR="0026120F" w:rsidRPr="00703A0B" w:rsidDel="00C63D6C" w:rsidRDefault="0026120F" w:rsidP="00F40C52">
            <w:pPr>
              <w:rPr>
                <w:rFonts w:cs="Arial"/>
                <w:szCs w:val="22"/>
              </w:rPr>
            </w:pPr>
            <w:r w:rsidRPr="00703A0B">
              <w:rPr>
                <w:rFonts w:cs="Arial"/>
                <w:szCs w:val="22"/>
              </w:rPr>
              <w:t>201</w:t>
            </w:r>
          </w:p>
        </w:tc>
        <w:tc>
          <w:tcPr>
            <w:tcW w:w="658" w:type="pct"/>
          </w:tcPr>
          <w:p w14:paraId="4B787764" w14:textId="581CD7D8" w:rsidR="0026120F" w:rsidRPr="00703A0B" w:rsidDel="00C63D6C" w:rsidRDefault="0026120F" w:rsidP="00F40C52">
            <w:pPr>
              <w:rPr>
                <w:rFonts w:cs="Arial"/>
                <w:szCs w:val="22"/>
              </w:rPr>
            </w:pPr>
            <w:r w:rsidRPr="00703A0B">
              <w:rPr>
                <w:rFonts w:cs="Arial"/>
                <w:szCs w:val="22"/>
              </w:rPr>
              <w:t>118</w:t>
            </w:r>
          </w:p>
        </w:tc>
        <w:tc>
          <w:tcPr>
            <w:tcW w:w="658" w:type="pct"/>
          </w:tcPr>
          <w:p w14:paraId="67891EBA" w14:textId="28BDE9A6" w:rsidR="0026120F" w:rsidRPr="00703A0B" w:rsidDel="00C63D6C" w:rsidRDefault="0026120F" w:rsidP="00F40C52">
            <w:pPr>
              <w:rPr>
                <w:rFonts w:cs="Arial"/>
                <w:szCs w:val="22"/>
              </w:rPr>
            </w:pPr>
            <w:r w:rsidRPr="00703A0B">
              <w:rPr>
                <w:rFonts w:cs="Arial"/>
                <w:szCs w:val="22"/>
              </w:rPr>
              <w:t>98</w:t>
            </w:r>
          </w:p>
        </w:tc>
        <w:tc>
          <w:tcPr>
            <w:tcW w:w="658" w:type="pct"/>
          </w:tcPr>
          <w:p w14:paraId="126CB8E3" w14:textId="18B9437F" w:rsidR="0026120F" w:rsidRPr="00703A0B" w:rsidDel="00C63D6C" w:rsidRDefault="0026120F" w:rsidP="00F40C52">
            <w:pPr>
              <w:rPr>
                <w:rFonts w:cs="Arial"/>
                <w:szCs w:val="22"/>
              </w:rPr>
            </w:pPr>
            <w:r w:rsidRPr="00703A0B">
              <w:rPr>
                <w:rFonts w:cs="Arial"/>
                <w:szCs w:val="22"/>
              </w:rPr>
              <w:t>116</w:t>
            </w:r>
          </w:p>
        </w:tc>
      </w:tr>
      <w:tr w:rsidR="00D8623B" w:rsidRPr="00703A0B" w14:paraId="561B2532" w14:textId="77777777" w:rsidTr="00F40C52">
        <w:tc>
          <w:tcPr>
            <w:tcW w:w="5000" w:type="pct"/>
            <w:gridSpan w:val="6"/>
            <w:shd w:val="clear" w:color="auto" w:fill="F2F2F2" w:themeFill="background1" w:themeFillShade="F2"/>
          </w:tcPr>
          <w:p w14:paraId="45B89AE5" w14:textId="139C624A" w:rsidR="00D8623B" w:rsidRPr="00703A0B" w:rsidRDefault="00D8623B">
            <w:pPr>
              <w:rPr>
                <w:rFonts w:cs="Arial"/>
                <w:szCs w:val="22"/>
              </w:rPr>
            </w:pPr>
            <w:r w:rsidRPr="00703A0B">
              <w:rPr>
                <w:rFonts w:cs="Arial"/>
                <w:szCs w:val="22"/>
              </w:rPr>
              <w:t>Commercial (Part 4A) contract compliance</w:t>
            </w:r>
          </w:p>
        </w:tc>
      </w:tr>
      <w:tr w:rsidR="0026120F" w:rsidRPr="00703A0B" w14:paraId="64040B25" w14:textId="77777777" w:rsidTr="00F40C52">
        <w:tc>
          <w:tcPr>
            <w:tcW w:w="1711" w:type="pct"/>
          </w:tcPr>
          <w:p w14:paraId="48D5DEB4" w14:textId="64E243E1" w:rsidR="0026120F" w:rsidRPr="00703A0B" w:rsidRDefault="0026120F" w:rsidP="00F40C52">
            <w:pPr>
              <w:rPr>
                <w:rFonts w:cs="Arial"/>
                <w:szCs w:val="22"/>
              </w:rPr>
            </w:pPr>
            <w:r w:rsidRPr="00703A0B">
              <w:rPr>
                <w:rFonts w:cs="Arial"/>
                <w:szCs w:val="22"/>
              </w:rPr>
              <w:t>Warnings</w:t>
            </w:r>
          </w:p>
        </w:tc>
        <w:tc>
          <w:tcPr>
            <w:tcW w:w="657" w:type="pct"/>
          </w:tcPr>
          <w:p w14:paraId="4FCD775B" w14:textId="737AEDF5" w:rsidR="0026120F" w:rsidRPr="00703A0B" w:rsidDel="00C63D6C" w:rsidRDefault="0026120F" w:rsidP="00F40C52">
            <w:pPr>
              <w:rPr>
                <w:rFonts w:cs="Arial"/>
                <w:szCs w:val="22"/>
              </w:rPr>
            </w:pPr>
            <w:r w:rsidRPr="00703A0B">
              <w:rPr>
                <w:rFonts w:cs="Arial"/>
                <w:szCs w:val="22"/>
              </w:rPr>
              <w:t>-</w:t>
            </w:r>
          </w:p>
        </w:tc>
        <w:tc>
          <w:tcPr>
            <w:tcW w:w="658" w:type="pct"/>
          </w:tcPr>
          <w:p w14:paraId="1868C157" w14:textId="2C200ACA" w:rsidR="0026120F" w:rsidRPr="00703A0B" w:rsidDel="00C63D6C" w:rsidRDefault="0026120F" w:rsidP="00F40C52">
            <w:pPr>
              <w:rPr>
                <w:rFonts w:cs="Arial"/>
                <w:szCs w:val="22"/>
              </w:rPr>
            </w:pPr>
            <w:r w:rsidRPr="00703A0B">
              <w:rPr>
                <w:rFonts w:cs="Arial"/>
                <w:szCs w:val="22"/>
              </w:rPr>
              <w:t>10</w:t>
            </w:r>
          </w:p>
        </w:tc>
        <w:tc>
          <w:tcPr>
            <w:tcW w:w="658" w:type="pct"/>
          </w:tcPr>
          <w:p w14:paraId="05CDF3EF" w14:textId="7A5D54F6" w:rsidR="0026120F" w:rsidRPr="00703A0B" w:rsidDel="00C63D6C" w:rsidRDefault="0026120F" w:rsidP="00F40C52">
            <w:pPr>
              <w:rPr>
                <w:rFonts w:cs="Arial"/>
                <w:szCs w:val="22"/>
              </w:rPr>
            </w:pPr>
            <w:r w:rsidRPr="00703A0B">
              <w:rPr>
                <w:rFonts w:cs="Arial"/>
                <w:szCs w:val="22"/>
              </w:rPr>
              <w:t>3</w:t>
            </w:r>
          </w:p>
        </w:tc>
        <w:tc>
          <w:tcPr>
            <w:tcW w:w="658" w:type="pct"/>
          </w:tcPr>
          <w:p w14:paraId="4913DCAF" w14:textId="6F390BBD" w:rsidR="0026120F" w:rsidRPr="00703A0B" w:rsidDel="00C63D6C" w:rsidRDefault="0026120F" w:rsidP="00F40C52">
            <w:pPr>
              <w:rPr>
                <w:rFonts w:cs="Arial"/>
                <w:szCs w:val="22"/>
              </w:rPr>
            </w:pPr>
            <w:r w:rsidRPr="00703A0B">
              <w:rPr>
                <w:rFonts w:cs="Arial"/>
                <w:szCs w:val="22"/>
              </w:rPr>
              <w:t>2</w:t>
            </w:r>
          </w:p>
        </w:tc>
        <w:tc>
          <w:tcPr>
            <w:tcW w:w="658" w:type="pct"/>
          </w:tcPr>
          <w:p w14:paraId="1A05FCA5" w14:textId="7A84499E" w:rsidR="0026120F" w:rsidRPr="00703A0B" w:rsidRDefault="0026120F" w:rsidP="00F40C52">
            <w:pPr>
              <w:rPr>
                <w:rFonts w:cs="Arial"/>
                <w:szCs w:val="22"/>
              </w:rPr>
            </w:pPr>
            <w:r w:rsidRPr="00703A0B">
              <w:rPr>
                <w:rFonts w:cs="Arial"/>
                <w:szCs w:val="22"/>
              </w:rPr>
              <w:t>7</w:t>
            </w:r>
          </w:p>
        </w:tc>
      </w:tr>
      <w:tr w:rsidR="0026120F" w:rsidRPr="00703A0B" w14:paraId="2C645A54" w14:textId="77777777" w:rsidTr="00F40C52">
        <w:tc>
          <w:tcPr>
            <w:tcW w:w="1711" w:type="pct"/>
          </w:tcPr>
          <w:p w14:paraId="6B553820" w14:textId="6A149A30" w:rsidR="0026120F" w:rsidRPr="00703A0B" w:rsidRDefault="0026120F" w:rsidP="00F40C52">
            <w:pPr>
              <w:rPr>
                <w:rFonts w:cs="Arial"/>
                <w:szCs w:val="22"/>
              </w:rPr>
            </w:pPr>
            <w:r w:rsidRPr="00703A0B">
              <w:rPr>
                <w:rFonts w:cs="Arial"/>
                <w:szCs w:val="22"/>
              </w:rPr>
              <w:t>Infringements</w:t>
            </w:r>
          </w:p>
        </w:tc>
        <w:tc>
          <w:tcPr>
            <w:tcW w:w="657" w:type="pct"/>
          </w:tcPr>
          <w:p w14:paraId="3F570AE0" w14:textId="15925B7A" w:rsidR="0026120F" w:rsidRPr="00703A0B" w:rsidDel="00C63D6C" w:rsidRDefault="0026120F" w:rsidP="00F40C52">
            <w:pPr>
              <w:rPr>
                <w:rFonts w:cs="Arial"/>
                <w:szCs w:val="22"/>
              </w:rPr>
            </w:pPr>
            <w:r w:rsidRPr="00703A0B">
              <w:rPr>
                <w:rFonts w:cs="Arial"/>
                <w:szCs w:val="22"/>
              </w:rPr>
              <w:t>-</w:t>
            </w:r>
          </w:p>
        </w:tc>
        <w:tc>
          <w:tcPr>
            <w:tcW w:w="658" w:type="pct"/>
          </w:tcPr>
          <w:p w14:paraId="094918E8" w14:textId="20D3680F" w:rsidR="0026120F" w:rsidRPr="00703A0B" w:rsidDel="00C63D6C" w:rsidRDefault="0026120F" w:rsidP="00F40C52">
            <w:pPr>
              <w:rPr>
                <w:rFonts w:cs="Arial"/>
                <w:szCs w:val="22"/>
              </w:rPr>
            </w:pPr>
            <w:r w:rsidRPr="00703A0B">
              <w:rPr>
                <w:rFonts w:cs="Arial"/>
                <w:szCs w:val="22"/>
              </w:rPr>
              <w:t>3</w:t>
            </w:r>
          </w:p>
        </w:tc>
        <w:tc>
          <w:tcPr>
            <w:tcW w:w="658" w:type="pct"/>
          </w:tcPr>
          <w:p w14:paraId="544D347A" w14:textId="141C4507" w:rsidR="0026120F" w:rsidRPr="00703A0B" w:rsidDel="00C63D6C" w:rsidRDefault="0026120F" w:rsidP="00F40C52">
            <w:pPr>
              <w:rPr>
                <w:rFonts w:cs="Arial"/>
                <w:szCs w:val="22"/>
              </w:rPr>
            </w:pPr>
            <w:r w:rsidRPr="00703A0B">
              <w:rPr>
                <w:rFonts w:cs="Arial"/>
                <w:szCs w:val="22"/>
              </w:rPr>
              <w:t>1</w:t>
            </w:r>
          </w:p>
        </w:tc>
        <w:tc>
          <w:tcPr>
            <w:tcW w:w="658" w:type="pct"/>
          </w:tcPr>
          <w:p w14:paraId="30E30F01" w14:textId="3ACD5C5E" w:rsidR="0026120F" w:rsidRPr="00703A0B" w:rsidDel="00C63D6C" w:rsidRDefault="0026120F" w:rsidP="00F40C52">
            <w:pPr>
              <w:rPr>
                <w:rFonts w:cs="Arial"/>
                <w:szCs w:val="22"/>
              </w:rPr>
            </w:pPr>
            <w:r w:rsidRPr="00703A0B">
              <w:rPr>
                <w:rFonts w:cs="Arial"/>
                <w:szCs w:val="22"/>
              </w:rPr>
              <w:t>4</w:t>
            </w:r>
          </w:p>
        </w:tc>
        <w:tc>
          <w:tcPr>
            <w:tcW w:w="658" w:type="pct"/>
          </w:tcPr>
          <w:p w14:paraId="11C3554F" w14:textId="735D505F" w:rsidR="0026120F" w:rsidRPr="00703A0B" w:rsidRDefault="0026120F" w:rsidP="00F40C52">
            <w:pPr>
              <w:rPr>
                <w:rFonts w:cs="Arial"/>
                <w:szCs w:val="22"/>
              </w:rPr>
            </w:pPr>
            <w:r w:rsidRPr="00703A0B">
              <w:rPr>
                <w:rFonts w:cs="Arial"/>
                <w:szCs w:val="22"/>
              </w:rPr>
              <w:t>1</w:t>
            </w:r>
          </w:p>
        </w:tc>
      </w:tr>
    </w:tbl>
    <w:p w14:paraId="7D1B3DA2" w14:textId="2E438D4C" w:rsidR="00D75DB7" w:rsidRPr="00703A0B" w:rsidRDefault="0087571F" w:rsidP="4926E81B">
      <w:pPr>
        <w:spacing w:before="120" w:after="120"/>
        <w:rPr>
          <w:rFonts w:cs="Arial"/>
        </w:rPr>
      </w:pPr>
      <w:r w:rsidRPr="00703A0B">
        <w:rPr>
          <w:rFonts w:cs="Arial"/>
        </w:rPr>
        <w:t>Investigation outcomes continue to provide valuable insights into areas of ongoing non-compliance across the residential construction sector</w:t>
      </w:r>
      <w:r w:rsidR="0028284D" w:rsidRPr="00703A0B">
        <w:rPr>
          <w:rFonts w:cs="Arial"/>
        </w:rPr>
        <w:t xml:space="preserve">, </w:t>
      </w:r>
      <w:r w:rsidRPr="00703A0B">
        <w:rPr>
          <w:rFonts w:cs="Arial"/>
        </w:rPr>
        <w:t>help</w:t>
      </w:r>
      <w:r w:rsidR="0028284D" w:rsidRPr="00703A0B">
        <w:rPr>
          <w:rFonts w:cs="Arial"/>
        </w:rPr>
        <w:t>ing</w:t>
      </w:r>
      <w:r w:rsidRPr="00703A0B">
        <w:rPr>
          <w:rFonts w:cs="Arial"/>
        </w:rPr>
        <w:t xml:space="preserve"> inform the QBCC's intelligence-led approach to compliance and enforcement. </w:t>
      </w:r>
      <w:r w:rsidR="005A530B" w:rsidRPr="00703A0B">
        <w:rPr>
          <w:rFonts w:cs="Arial"/>
        </w:rPr>
        <w:t>Key areas of regulatory focus</w:t>
      </w:r>
      <w:r w:rsidR="003F3951" w:rsidRPr="00703A0B">
        <w:rPr>
          <w:rFonts w:cs="Arial"/>
        </w:rPr>
        <w:t>, including u</w:t>
      </w:r>
      <w:r w:rsidRPr="00703A0B">
        <w:rPr>
          <w:rFonts w:cs="Arial"/>
        </w:rPr>
        <w:t>nlicensed work</w:t>
      </w:r>
      <w:r w:rsidR="001D375E" w:rsidRPr="00703A0B">
        <w:rPr>
          <w:rFonts w:cs="Arial"/>
        </w:rPr>
        <w:t xml:space="preserve"> or contracting</w:t>
      </w:r>
      <w:r w:rsidRPr="00703A0B">
        <w:rPr>
          <w:rFonts w:cs="Arial"/>
        </w:rPr>
        <w:t xml:space="preserve">, domestic building contract breaches and insurance-related offences, </w:t>
      </w:r>
      <w:r w:rsidR="00463E62" w:rsidRPr="00703A0B">
        <w:rPr>
          <w:rFonts w:cs="Arial"/>
        </w:rPr>
        <w:t>highlight the important role</w:t>
      </w:r>
      <w:r w:rsidRPr="00703A0B">
        <w:rPr>
          <w:rFonts w:cs="Arial"/>
        </w:rPr>
        <w:t xml:space="preserve"> of regulatory oversight in protecting consumers and maintaining industry standards. Trends in investigation findings help the QBCC identify emerging risks, direct resources to areas of greatest concern and tailor education and compliance activities to address recurring issues.</w:t>
      </w:r>
    </w:p>
    <w:p w14:paraId="0ED276B0" w14:textId="1F37DC89" w:rsidR="00E26C78" w:rsidRPr="00703A0B" w:rsidRDefault="000829DB" w:rsidP="4926E81B">
      <w:pPr>
        <w:spacing w:before="120" w:after="120"/>
        <w:rPr>
          <w:rFonts w:cs="Arial"/>
        </w:rPr>
      </w:pPr>
      <w:r w:rsidRPr="00703A0B">
        <w:rPr>
          <w:rFonts w:cs="Arial"/>
        </w:rPr>
        <w:t>Investigation activit</w:t>
      </w:r>
      <w:r w:rsidR="001E42EC" w:rsidRPr="00703A0B">
        <w:rPr>
          <w:rFonts w:cs="Arial"/>
        </w:rPr>
        <w:t>ies</w:t>
      </w:r>
      <w:r w:rsidRPr="00703A0B">
        <w:rPr>
          <w:rFonts w:cs="Arial"/>
        </w:rPr>
        <w:t xml:space="preserve"> also </w:t>
      </w:r>
      <w:r w:rsidR="00B37DDB" w:rsidRPr="00703A0B">
        <w:rPr>
          <w:rFonts w:cs="Arial"/>
        </w:rPr>
        <w:t>indicate</w:t>
      </w:r>
      <w:r w:rsidR="001E42EC" w:rsidRPr="00703A0B">
        <w:rPr>
          <w:rFonts w:cs="Arial"/>
        </w:rPr>
        <w:t xml:space="preserve"> </w:t>
      </w:r>
      <w:r w:rsidRPr="00703A0B">
        <w:rPr>
          <w:rFonts w:cs="Arial"/>
        </w:rPr>
        <w:t xml:space="preserve">that most non-compliance can be </w:t>
      </w:r>
      <w:r w:rsidR="000A27CE" w:rsidRPr="00703A0B">
        <w:rPr>
          <w:rFonts w:cs="Arial"/>
        </w:rPr>
        <w:t xml:space="preserve">effectively </w:t>
      </w:r>
      <w:r w:rsidRPr="00703A0B">
        <w:rPr>
          <w:rFonts w:cs="Arial"/>
        </w:rPr>
        <w:t xml:space="preserve">addressed through proportionate regulatory responses, including education, warnings and other early interventions. In areas such as non-conforming building products and building certifier conduct, serious enforcement outcomes remained relatively uncommon, </w:t>
      </w:r>
      <w:r w:rsidR="000A27CE" w:rsidRPr="00703A0B">
        <w:rPr>
          <w:rFonts w:cs="Arial"/>
        </w:rPr>
        <w:t>indicating</w:t>
      </w:r>
      <w:r w:rsidRPr="00703A0B">
        <w:rPr>
          <w:rFonts w:cs="Arial"/>
        </w:rPr>
        <w:t xml:space="preserve"> that regulatory engagement and corrective action are generally </w:t>
      </w:r>
      <w:r w:rsidR="00322F43" w:rsidRPr="00703A0B">
        <w:rPr>
          <w:rFonts w:cs="Arial"/>
        </w:rPr>
        <w:t>successful</w:t>
      </w:r>
      <w:r w:rsidRPr="00703A0B">
        <w:rPr>
          <w:rFonts w:cs="Arial"/>
        </w:rPr>
        <w:t xml:space="preserve"> in achieving compliance and mitigating risks before they escalate. These outcomes </w:t>
      </w:r>
      <w:r w:rsidR="00E24950" w:rsidRPr="00703A0B">
        <w:rPr>
          <w:rFonts w:cs="Arial"/>
        </w:rPr>
        <w:t xml:space="preserve">help </w:t>
      </w:r>
      <w:r w:rsidR="008136D2" w:rsidRPr="00703A0B">
        <w:rPr>
          <w:rFonts w:cs="Arial"/>
        </w:rPr>
        <w:t>strengthen</w:t>
      </w:r>
      <w:r w:rsidRPr="00703A0B">
        <w:rPr>
          <w:rFonts w:cs="Arial"/>
        </w:rPr>
        <w:t xml:space="preserve"> industry </w:t>
      </w:r>
      <w:r w:rsidR="008136D2" w:rsidRPr="00703A0B">
        <w:rPr>
          <w:rFonts w:cs="Arial"/>
        </w:rPr>
        <w:t>accountability, support improved compliance behaviours and reduce</w:t>
      </w:r>
      <w:r w:rsidRPr="00703A0B">
        <w:rPr>
          <w:rFonts w:cs="Arial"/>
        </w:rPr>
        <w:t xml:space="preserve"> the need for more significant enforcement action.</w:t>
      </w:r>
      <w:r w:rsidR="00FB69F0" w:rsidRPr="00703A0B">
        <w:rPr>
          <w:rFonts w:cs="Arial"/>
        </w:rPr>
        <w:t xml:space="preserve"> </w:t>
      </w:r>
      <w:r w:rsidR="008136D2" w:rsidRPr="00703A0B">
        <w:rPr>
          <w:rFonts w:cs="Arial"/>
        </w:rPr>
        <w:t>C</w:t>
      </w:r>
      <w:r w:rsidR="00E26C78" w:rsidRPr="00703A0B">
        <w:rPr>
          <w:rFonts w:cs="Arial"/>
        </w:rPr>
        <w:t xml:space="preserve">ontract compliance activities </w:t>
      </w:r>
      <w:r w:rsidR="008136D2" w:rsidRPr="00703A0B">
        <w:rPr>
          <w:rFonts w:cs="Arial"/>
        </w:rPr>
        <w:t xml:space="preserve">also </w:t>
      </w:r>
      <w:r w:rsidR="00E26C78" w:rsidRPr="00703A0B">
        <w:rPr>
          <w:rFonts w:cs="Arial"/>
        </w:rPr>
        <w:t>continued to play an important role in improving understanding of contractual obligations and promoting compli</w:t>
      </w:r>
      <w:r w:rsidR="003A06E3" w:rsidRPr="00703A0B">
        <w:rPr>
          <w:rFonts w:cs="Arial"/>
        </w:rPr>
        <w:t>ant</w:t>
      </w:r>
      <w:r w:rsidR="00E26C78" w:rsidRPr="00703A0B">
        <w:rPr>
          <w:rFonts w:cs="Arial"/>
        </w:rPr>
        <w:t xml:space="preserve"> </w:t>
      </w:r>
      <w:r w:rsidR="008136D2" w:rsidRPr="00703A0B">
        <w:rPr>
          <w:rFonts w:cs="Arial"/>
        </w:rPr>
        <w:t xml:space="preserve">practices </w:t>
      </w:r>
      <w:r w:rsidR="00E26C78" w:rsidRPr="00703A0B">
        <w:rPr>
          <w:rFonts w:cs="Arial"/>
        </w:rPr>
        <w:t>across the</w:t>
      </w:r>
      <w:r w:rsidR="00894F77" w:rsidRPr="00703A0B">
        <w:rPr>
          <w:rFonts w:cs="Arial"/>
        </w:rPr>
        <w:t xml:space="preserve"> residential</w:t>
      </w:r>
      <w:r w:rsidR="00E26C78" w:rsidRPr="00703A0B">
        <w:rPr>
          <w:rFonts w:cs="Arial"/>
        </w:rPr>
        <w:t xml:space="preserve"> building sector. Regulatory activity remained focused on domestic building contracts, recognising the significant impact that contractual non-compliance can have on </w:t>
      </w:r>
      <w:proofErr w:type="gramStart"/>
      <w:r w:rsidR="00E26C78" w:rsidRPr="00703A0B">
        <w:rPr>
          <w:rFonts w:cs="Arial"/>
        </w:rPr>
        <w:t>home</w:t>
      </w:r>
      <w:r w:rsidR="00F21BB5" w:rsidRPr="00703A0B">
        <w:rPr>
          <w:rFonts w:cs="Arial"/>
        </w:rPr>
        <w:t xml:space="preserve"> </w:t>
      </w:r>
      <w:r w:rsidR="00E26C78" w:rsidRPr="00703A0B">
        <w:rPr>
          <w:rFonts w:cs="Arial"/>
        </w:rPr>
        <w:t>owners</w:t>
      </w:r>
      <w:proofErr w:type="gramEnd"/>
      <w:r w:rsidR="00E26C78" w:rsidRPr="00703A0B">
        <w:rPr>
          <w:rFonts w:cs="Arial"/>
        </w:rPr>
        <w:t>. By identifying breaches and responding appropriately, the QBCC help</w:t>
      </w:r>
      <w:r w:rsidR="008F3E9F" w:rsidRPr="00703A0B">
        <w:rPr>
          <w:rFonts w:cs="Arial"/>
        </w:rPr>
        <w:t>ed</w:t>
      </w:r>
      <w:r w:rsidR="00E26C78" w:rsidRPr="00703A0B">
        <w:rPr>
          <w:rFonts w:cs="Arial"/>
        </w:rPr>
        <w:t xml:space="preserve"> improve contract practices, reduce </w:t>
      </w:r>
      <w:r w:rsidR="008F3E9F" w:rsidRPr="00703A0B">
        <w:rPr>
          <w:rFonts w:cs="Arial"/>
        </w:rPr>
        <w:t>the likelihood</w:t>
      </w:r>
      <w:r w:rsidR="00D55436" w:rsidRPr="00703A0B">
        <w:rPr>
          <w:rFonts w:cs="Arial"/>
        </w:rPr>
        <w:t xml:space="preserve"> of</w:t>
      </w:r>
      <w:r w:rsidR="008F3E9F" w:rsidRPr="00703A0B">
        <w:rPr>
          <w:rFonts w:cs="Arial"/>
        </w:rPr>
        <w:t xml:space="preserve"> </w:t>
      </w:r>
      <w:r w:rsidR="00E26C78" w:rsidRPr="00703A0B">
        <w:rPr>
          <w:rFonts w:cs="Arial"/>
        </w:rPr>
        <w:t>disputes and encourage greater accountability among licensees.</w:t>
      </w:r>
    </w:p>
    <w:p w14:paraId="29265784" w14:textId="4D342BF4" w:rsidR="00BE3FCF" w:rsidRPr="00703A0B" w:rsidRDefault="00FB69F0" w:rsidP="0006031D">
      <w:pPr>
        <w:spacing w:before="120" w:after="120"/>
      </w:pPr>
      <w:r w:rsidRPr="00703A0B">
        <w:rPr>
          <w:rFonts w:cs="Arial"/>
        </w:rPr>
        <w:t xml:space="preserve">By identifying non-compliance, addressing emerging risks and promoting accountability, </w:t>
      </w:r>
      <w:r w:rsidR="00C645B5" w:rsidRPr="00703A0B">
        <w:rPr>
          <w:rFonts w:cs="Arial"/>
        </w:rPr>
        <w:t>investigations delivered by the QBCC</w:t>
      </w:r>
      <w:r w:rsidRPr="00703A0B">
        <w:rPr>
          <w:rFonts w:cs="Arial"/>
        </w:rPr>
        <w:t xml:space="preserve"> help protect consumers, support fair competition and reinforce confidence in Queensland's building and construction industry. The insights generated through investigations also enable the QBCC to target regulatory effort where it can have the greatest impact, supporting improved compliance outcomes and higher standards of practice across the </w:t>
      </w:r>
      <w:r w:rsidR="0035480A" w:rsidRPr="00703A0B">
        <w:rPr>
          <w:rFonts w:cs="Arial"/>
        </w:rPr>
        <w:t>industry</w:t>
      </w:r>
      <w:r w:rsidRPr="00703A0B">
        <w:rPr>
          <w:rFonts w:cs="Arial"/>
        </w:rPr>
        <w:t>.</w:t>
      </w:r>
      <w:r w:rsidR="007D6655" w:rsidRPr="00703A0B">
        <w:rPr>
          <w:rFonts w:cs="Arial"/>
        </w:rPr>
        <w:t xml:space="preserve"> </w:t>
      </w:r>
      <w:r w:rsidR="00EB01BA" w:rsidRPr="00703A0B">
        <w:rPr>
          <w:rFonts w:cs="Arial"/>
        </w:rPr>
        <w:t xml:space="preserve">Where </w:t>
      </w:r>
      <w:r w:rsidR="002867A2" w:rsidRPr="00703A0B">
        <w:rPr>
          <w:rFonts w:cs="Arial"/>
        </w:rPr>
        <w:t xml:space="preserve">investigations </w:t>
      </w:r>
      <w:r w:rsidR="002344A8" w:rsidRPr="00703A0B">
        <w:rPr>
          <w:rFonts w:cs="Arial"/>
        </w:rPr>
        <w:t xml:space="preserve">identified </w:t>
      </w:r>
      <w:r w:rsidR="00222E42" w:rsidRPr="00703A0B">
        <w:rPr>
          <w:rFonts w:cs="Arial"/>
        </w:rPr>
        <w:t xml:space="preserve">regulatory </w:t>
      </w:r>
      <w:r w:rsidR="00EB01BA" w:rsidRPr="00703A0B">
        <w:rPr>
          <w:rFonts w:cs="Arial"/>
        </w:rPr>
        <w:t>breaches</w:t>
      </w:r>
      <w:r w:rsidR="00222E42" w:rsidRPr="00703A0B">
        <w:rPr>
          <w:rFonts w:cs="Arial"/>
        </w:rPr>
        <w:t xml:space="preserve">, the QBCC </w:t>
      </w:r>
      <w:r w:rsidR="00A24EB9" w:rsidRPr="00703A0B">
        <w:rPr>
          <w:rFonts w:cs="Arial"/>
        </w:rPr>
        <w:t xml:space="preserve">took </w:t>
      </w:r>
      <w:r w:rsidR="00222E42" w:rsidRPr="00703A0B">
        <w:rPr>
          <w:rFonts w:cs="Arial"/>
        </w:rPr>
        <w:t xml:space="preserve">appropriate enforcement </w:t>
      </w:r>
      <w:r w:rsidR="00A24EB9" w:rsidRPr="00703A0B">
        <w:rPr>
          <w:rFonts w:cs="Arial"/>
        </w:rPr>
        <w:t>action</w:t>
      </w:r>
      <w:r w:rsidR="0033238B" w:rsidRPr="00703A0B">
        <w:rPr>
          <w:rFonts w:cs="Arial"/>
        </w:rPr>
        <w:t xml:space="preserve">, including the issuing of </w:t>
      </w:r>
      <w:r w:rsidR="00740F16" w:rsidRPr="00703A0B">
        <w:rPr>
          <w:rFonts w:cs="Arial"/>
        </w:rPr>
        <w:t xml:space="preserve">demerit </w:t>
      </w:r>
      <w:r w:rsidR="00740F16" w:rsidRPr="00703A0B">
        <w:rPr>
          <w:rFonts w:cs="Arial"/>
        </w:rPr>
        <w:lastRenderedPageBreak/>
        <w:t>points</w:t>
      </w:r>
      <w:r w:rsidR="00365C99" w:rsidRPr="00703A0B">
        <w:rPr>
          <w:rFonts w:cs="Arial"/>
        </w:rPr>
        <w:t xml:space="preserve">, to reinforce </w:t>
      </w:r>
      <w:r w:rsidR="00C72DBF" w:rsidRPr="00703A0B">
        <w:rPr>
          <w:rFonts w:cs="Arial"/>
        </w:rPr>
        <w:t>accountability and support compliance across the industry</w:t>
      </w:r>
      <w:r w:rsidR="00491D33" w:rsidRPr="00703A0B">
        <w:rPr>
          <w:rFonts w:cs="Arial"/>
        </w:rPr>
        <w:t>.</w:t>
      </w:r>
      <w:r w:rsidR="00F361ED" w:rsidRPr="00703A0B">
        <w:rPr>
          <w:rFonts w:cs="Arial"/>
        </w:rPr>
        <w:t xml:space="preserve"> </w:t>
      </w:r>
      <w:r w:rsidR="00BE3FCF" w:rsidRPr="00703A0B">
        <w:rPr>
          <w:rFonts w:cs="Arial"/>
        </w:rPr>
        <w:fldChar w:fldCharType="begin"/>
      </w:r>
      <w:r w:rsidR="00BE3FCF" w:rsidRPr="00703A0B">
        <w:rPr>
          <w:rFonts w:cs="Arial"/>
        </w:rPr>
        <w:instrText xml:space="preserve"> REF _Ref235543733 \h  \* MERGEFORMAT </w:instrText>
      </w:r>
      <w:r w:rsidR="00BE3FCF" w:rsidRPr="00703A0B">
        <w:rPr>
          <w:rFonts w:cs="Arial"/>
        </w:rPr>
      </w:r>
      <w:r w:rsidR="00BE3FCF" w:rsidRPr="00703A0B">
        <w:rPr>
          <w:rFonts w:cs="Arial"/>
        </w:rPr>
        <w:fldChar w:fldCharType="separate"/>
      </w:r>
      <w:r w:rsidR="00BE3FCF" w:rsidRPr="00703A0B">
        <w:rPr>
          <w:bCs/>
        </w:rPr>
        <w:t xml:space="preserve">Figure </w:t>
      </w:r>
      <w:r w:rsidR="00BE3FCF" w:rsidRPr="00EA647C">
        <w:rPr>
          <w:bCs/>
        </w:rPr>
        <w:t>4</w:t>
      </w:r>
      <w:r w:rsidR="00BE3FCF" w:rsidRPr="00703A0B">
        <w:rPr>
          <w:rFonts w:cs="Arial"/>
        </w:rPr>
        <w:fldChar w:fldCharType="end"/>
      </w:r>
      <w:r w:rsidR="00BE3FCF" w:rsidRPr="00703A0B">
        <w:rPr>
          <w:rFonts w:cs="Arial"/>
        </w:rPr>
        <w:t xml:space="preserve"> </w:t>
      </w:r>
      <w:r w:rsidR="00E95750" w:rsidRPr="00703A0B">
        <w:rPr>
          <w:rFonts w:cs="Arial"/>
        </w:rPr>
        <w:t>provides a</w:t>
      </w:r>
      <w:r w:rsidR="00A15368" w:rsidRPr="00703A0B">
        <w:rPr>
          <w:rFonts w:cs="Arial"/>
        </w:rPr>
        <w:t>n</w:t>
      </w:r>
      <w:r w:rsidR="00E95750" w:rsidRPr="00703A0B">
        <w:rPr>
          <w:rFonts w:cs="Arial"/>
        </w:rPr>
        <w:t xml:space="preserve"> </w:t>
      </w:r>
      <w:r w:rsidR="007F6FF5" w:rsidRPr="00703A0B">
        <w:rPr>
          <w:rFonts w:cs="Arial"/>
        </w:rPr>
        <w:t xml:space="preserve">overview of </w:t>
      </w:r>
      <w:r w:rsidR="00E95750" w:rsidRPr="00703A0B">
        <w:rPr>
          <w:rFonts w:cs="Arial"/>
        </w:rPr>
        <w:t xml:space="preserve">demerit points issued </w:t>
      </w:r>
      <w:r w:rsidR="00552A6B" w:rsidRPr="00703A0B">
        <w:rPr>
          <w:rFonts w:cs="Arial"/>
        </w:rPr>
        <w:t xml:space="preserve">across </w:t>
      </w:r>
      <w:r w:rsidR="00BE3FCF" w:rsidRPr="00703A0B">
        <w:rPr>
          <w:rFonts w:cs="Arial"/>
        </w:rPr>
        <w:t>the</w:t>
      </w:r>
      <w:r w:rsidR="0059445A" w:rsidRPr="00703A0B">
        <w:rPr>
          <w:rFonts w:cs="Arial"/>
        </w:rPr>
        <w:t xml:space="preserve"> three</w:t>
      </w:r>
      <w:r w:rsidR="00552A6B" w:rsidRPr="00703A0B">
        <w:rPr>
          <w:rFonts w:cs="Arial"/>
        </w:rPr>
        <w:t xml:space="preserve"> </w:t>
      </w:r>
      <w:r w:rsidR="00EB01BA" w:rsidRPr="00703A0B">
        <w:rPr>
          <w:rFonts w:cs="Arial"/>
        </w:rPr>
        <w:t xml:space="preserve">most common </w:t>
      </w:r>
      <w:r w:rsidR="001E38F2" w:rsidRPr="00703A0B">
        <w:rPr>
          <w:rFonts w:cs="Arial"/>
        </w:rPr>
        <w:t xml:space="preserve">breach </w:t>
      </w:r>
      <w:r w:rsidR="00552A6B" w:rsidRPr="00703A0B">
        <w:rPr>
          <w:rFonts w:cs="Arial"/>
        </w:rPr>
        <w:t xml:space="preserve">categories </w:t>
      </w:r>
      <w:r w:rsidR="00605B02" w:rsidRPr="00703A0B">
        <w:rPr>
          <w:rFonts w:cs="Arial"/>
        </w:rPr>
        <w:t>over time</w:t>
      </w:r>
      <w:r w:rsidR="000C71B2" w:rsidRPr="00703A0B">
        <w:rPr>
          <w:rFonts w:cs="Arial"/>
        </w:rPr>
        <w:t>.</w:t>
      </w:r>
    </w:p>
    <w:p w14:paraId="0929C47F" w14:textId="312B487D" w:rsidR="00BE3FCF" w:rsidRPr="00703A0B" w:rsidRDefault="00E46B4B" w:rsidP="00BE3FCF">
      <w:r w:rsidRPr="00BB72F2">
        <w:rPr>
          <w:noProof/>
        </w:rPr>
        <w:drawing>
          <wp:inline distT="0" distB="0" distL="0" distR="0" wp14:anchorId="51AEF723" wp14:editId="404BDECB">
            <wp:extent cx="4657725" cy="2752725"/>
            <wp:effectExtent l="0" t="0" r="9525" b="9525"/>
            <wp:docPr id="36963476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634762" name=""/>
                    <pic:cNvPicPr/>
                  </pic:nvPicPr>
                  <pic:blipFill>
                    <a:blip r:embed="rId28">
                      <a:extLst>
                        <a:ext uri="{96DAC541-7B7A-43D3-8B79-37D633B846F1}">
                          <asvg:svgBlip xmlns:asvg="http://schemas.microsoft.com/office/drawing/2016/SVG/main" r:embed="rId29"/>
                        </a:ext>
                      </a:extLst>
                    </a:blip>
                    <a:stretch>
                      <a:fillRect/>
                    </a:stretch>
                  </pic:blipFill>
                  <pic:spPr>
                    <a:xfrm>
                      <a:off x="0" y="0"/>
                      <a:ext cx="4657725" cy="2752725"/>
                    </a:xfrm>
                    <a:prstGeom prst="rect">
                      <a:avLst/>
                    </a:prstGeom>
                  </pic:spPr>
                </pic:pic>
              </a:graphicData>
            </a:graphic>
          </wp:inline>
        </w:drawing>
      </w:r>
    </w:p>
    <w:p w14:paraId="3CC628A8" w14:textId="16389A3B" w:rsidR="00BE3FCF" w:rsidRPr="00703A0B" w:rsidRDefault="00BE3FCF" w:rsidP="00E46B4B">
      <w:pPr>
        <w:pStyle w:val="Caption"/>
      </w:pPr>
      <w:bookmarkStart w:id="80" w:name="_Ref235543733"/>
      <w:r w:rsidRPr="00703A0B">
        <w:rPr>
          <w:b w:val="0"/>
          <w:bCs/>
          <w:i/>
          <w:iCs/>
        </w:rPr>
        <w:t xml:space="preserve">Figure </w:t>
      </w:r>
      <w:r w:rsidRPr="00703A0B">
        <w:rPr>
          <w:b w:val="0"/>
          <w:bCs/>
          <w:i/>
          <w:iCs/>
        </w:rPr>
        <w:fldChar w:fldCharType="begin"/>
      </w:r>
      <w:r w:rsidRPr="00703A0B">
        <w:rPr>
          <w:b w:val="0"/>
          <w:bCs/>
          <w:i/>
          <w:iCs/>
        </w:rPr>
        <w:instrText xml:space="preserve"> SEQ Figure \* ARABIC </w:instrText>
      </w:r>
      <w:r w:rsidRPr="00703A0B">
        <w:rPr>
          <w:b w:val="0"/>
          <w:bCs/>
          <w:i/>
          <w:iCs/>
        </w:rPr>
        <w:fldChar w:fldCharType="separate"/>
      </w:r>
      <w:r w:rsidR="00051582" w:rsidRPr="00EA647C">
        <w:rPr>
          <w:b w:val="0"/>
          <w:bCs/>
          <w:i/>
          <w:iCs/>
        </w:rPr>
        <w:t>4</w:t>
      </w:r>
      <w:r w:rsidRPr="00703A0B">
        <w:rPr>
          <w:b w:val="0"/>
          <w:bCs/>
          <w:i/>
          <w:iCs/>
        </w:rPr>
        <w:fldChar w:fldCharType="end"/>
      </w:r>
      <w:bookmarkEnd w:id="80"/>
      <w:r w:rsidRPr="00703A0B">
        <w:rPr>
          <w:b w:val="0"/>
          <w:bCs/>
          <w:i/>
          <w:iCs/>
        </w:rPr>
        <w:t>: Number of demerit points issued over the past five years</w:t>
      </w:r>
    </w:p>
    <w:p w14:paraId="773B7E60" w14:textId="1A6723FA" w:rsidR="0090041C" w:rsidRPr="00703A0B" w:rsidRDefault="0090041C" w:rsidP="4926E81B">
      <w:pPr>
        <w:spacing w:before="120" w:after="120"/>
        <w:rPr>
          <w:rFonts w:eastAsia="Arial" w:cs="Arial"/>
        </w:rPr>
      </w:pPr>
      <w:r w:rsidRPr="00703A0B">
        <w:rPr>
          <w:rFonts w:eastAsia="Arial" w:cs="Arial"/>
        </w:rPr>
        <w:t xml:space="preserve">Demerit point outcomes provide </w:t>
      </w:r>
      <w:r w:rsidR="00B36469" w:rsidRPr="00703A0B">
        <w:rPr>
          <w:rFonts w:eastAsia="Arial" w:cs="Arial"/>
        </w:rPr>
        <w:t>valuable</w:t>
      </w:r>
      <w:r w:rsidRPr="00703A0B">
        <w:rPr>
          <w:rFonts w:eastAsia="Arial" w:cs="Arial"/>
        </w:rPr>
        <w:t xml:space="preserve"> insight</w:t>
      </w:r>
      <w:r w:rsidR="00B36469" w:rsidRPr="00703A0B">
        <w:rPr>
          <w:rFonts w:eastAsia="Arial" w:cs="Arial"/>
        </w:rPr>
        <w:t>s</w:t>
      </w:r>
      <w:r w:rsidRPr="00703A0B">
        <w:rPr>
          <w:rFonts w:eastAsia="Arial" w:cs="Arial"/>
        </w:rPr>
        <w:t xml:space="preserve"> into the areas where compliance challenges continue to persist across Queensland's building and construction industry. Defective work and contractual breaches remained the most common reasons for demerit points being issued, </w:t>
      </w:r>
      <w:r w:rsidR="00FE274A" w:rsidRPr="00703A0B">
        <w:rPr>
          <w:rFonts w:eastAsia="Arial" w:cs="Arial"/>
        </w:rPr>
        <w:t xml:space="preserve">highlighting </w:t>
      </w:r>
      <w:r w:rsidRPr="00703A0B">
        <w:rPr>
          <w:rFonts w:eastAsia="Arial" w:cs="Arial"/>
        </w:rPr>
        <w:t xml:space="preserve">workmanship and contractual compliance </w:t>
      </w:r>
      <w:r w:rsidR="00FE274A" w:rsidRPr="00703A0B">
        <w:rPr>
          <w:rFonts w:eastAsia="Arial" w:cs="Arial"/>
        </w:rPr>
        <w:t xml:space="preserve">as key areas </w:t>
      </w:r>
      <w:r w:rsidRPr="00703A0B">
        <w:rPr>
          <w:rFonts w:eastAsia="Arial" w:cs="Arial"/>
        </w:rPr>
        <w:t>requi</w:t>
      </w:r>
      <w:r w:rsidR="00FE274A" w:rsidRPr="00703A0B">
        <w:rPr>
          <w:rFonts w:eastAsia="Arial" w:cs="Arial"/>
        </w:rPr>
        <w:t xml:space="preserve">ring </w:t>
      </w:r>
      <w:r w:rsidRPr="00703A0B">
        <w:rPr>
          <w:rFonts w:eastAsia="Arial" w:cs="Arial"/>
        </w:rPr>
        <w:t>ongoing regulatory attention. In contrast, improve</w:t>
      </w:r>
      <w:r w:rsidR="0017029E" w:rsidRPr="00703A0B">
        <w:rPr>
          <w:rFonts w:eastAsia="Arial" w:cs="Arial"/>
        </w:rPr>
        <w:t xml:space="preserve">d outcomes in </w:t>
      </w:r>
      <w:r w:rsidRPr="00703A0B">
        <w:rPr>
          <w:rFonts w:eastAsia="Arial" w:cs="Arial"/>
        </w:rPr>
        <w:t xml:space="preserve">insurance-related compliance suggest that targeted regulatory activities, education and industry engagement are </w:t>
      </w:r>
      <w:r w:rsidR="009C605B" w:rsidRPr="00703A0B">
        <w:rPr>
          <w:rFonts w:eastAsia="Arial" w:cs="Arial"/>
        </w:rPr>
        <w:t>increa</w:t>
      </w:r>
      <w:r w:rsidR="009F34CB" w:rsidRPr="00703A0B">
        <w:rPr>
          <w:rFonts w:eastAsia="Arial" w:cs="Arial"/>
        </w:rPr>
        <w:t xml:space="preserve">sing </w:t>
      </w:r>
      <w:r w:rsidRPr="00703A0B">
        <w:rPr>
          <w:rFonts w:eastAsia="Arial" w:cs="Arial"/>
        </w:rPr>
        <w:t xml:space="preserve">awareness of obligations and </w:t>
      </w:r>
      <w:r w:rsidR="009F34CB" w:rsidRPr="00703A0B">
        <w:rPr>
          <w:rFonts w:eastAsia="Arial" w:cs="Arial"/>
        </w:rPr>
        <w:t>supporting</w:t>
      </w:r>
      <w:r w:rsidR="002C71BB" w:rsidRPr="00703A0B">
        <w:rPr>
          <w:rFonts w:eastAsia="Arial" w:cs="Arial"/>
        </w:rPr>
        <w:t xml:space="preserve"> positive</w:t>
      </w:r>
      <w:r w:rsidRPr="00703A0B">
        <w:rPr>
          <w:rFonts w:eastAsia="Arial" w:cs="Arial"/>
        </w:rPr>
        <w:t xml:space="preserve"> compliance behaviours.</w:t>
      </w:r>
    </w:p>
    <w:p w14:paraId="4A17E6FC" w14:textId="7FEAAF27" w:rsidR="0090041C" w:rsidRPr="00703A0B" w:rsidRDefault="0052342F" w:rsidP="4926E81B">
      <w:pPr>
        <w:spacing w:before="120" w:after="120"/>
        <w:rPr>
          <w:rFonts w:eastAsia="Arial" w:cs="Arial"/>
        </w:rPr>
      </w:pPr>
      <w:r w:rsidRPr="00703A0B">
        <w:rPr>
          <w:rFonts w:eastAsia="Arial" w:cs="Arial"/>
        </w:rPr>
        <w:t xml:space="preserve">As part of the QBCC's broader compliance and enforcement framework, the demerit points system </w:t>
      </w:r>
      <w:r w:rsidR="001501F0" w:rsidRPr="00703A0B">
        <w:rPr>
          <w:rFonts w:eastAsia="Arial" w:cs="Arial"/>
        </w:rPr>
        <w:t xml:space="preserve">continued to </w:t>
      </w:r>
      <w:r w:rsidRPr="00703A0B">
        <w:rPr>
          <w:rFonts w:eastAsia="Arial" w:cs="Arial"/>
        </w:rPr>
        <w:t xml:space="preserve">play an important role in promoting accountability and encouraging licensees to meet their legislative obligations. The </w:t>
      </w:r>
      <w:r w:rsidR="007B1A68" w:rsidRPr="00703A0B">
        <w:rPr>
          <w:rFonts w:eastAsia="Arial" w:cs="Arial"/>
        </w:rPr>
        <w:t>system</w:t>
      </w:r>
      <w:r w:rsidRPr="00703A0B">
        <w:rPr>
          <w:rFonts w:eastAsia="Arial" w:cs="Arial"/>
        </w:rPr>
        <w:t xml:space="preserve"> provides a clear regulatory consequence for non-compliance</w:t>
      </w:r>
      <w:r w:rsidR="00C56D80" w:rsidRPr="00703A0B">
        <w:rPr>
          <w:rFonts w:eastAsia="Arial" w:cs="Arial"/>
        </w:rPr>
        <w:t>,</w:t>
      </w:r>
      <w:r w:rsidRPr="00703A0B">
        <w:rPr>
          <w:rFonts w:eastAsia="Arial" w:cs="Arial"/>
        </w:rPr>
        <w:t xml:space="preserve"> while creating a strong incentive for licensees to improve their practices and maintain professional standards.</w:t>
      </w:r>
      <w:r w:rsidR="00A63C70" w:rsidRPr="00703A0B">
        <w:rPr>
          <w:rFonts w:eastAsia="Arial" w:cs="Arial"/>
        </w:rPr>
        <w:t xml:space="preserve"> </w:t>
      </w:r>
      <w:r w:rsidR="00C75CC1" w:rsidRPr="00703A0B">
        <w:rPr>
          <w:rFonts w:eastAsia="Arial" w:cs="Arial"/>
        </w:rPr>
        <w:t xml:space="preserve">Analysis of </w:t>
      </w:r>
      <w:r w:rsidR="00A63C70" w:rsidRPr="00703A0B">
        <w:rPr>
          <w:rFonts w:eastAsia="Arial" w:cs="Arial"/>
        </w:rPr>
        <w:t xml:space="preserve">demerit </w:t>
      </w:r>
      <w:r w:rsidR="00C75CC1" w:rsidRPr="00703A0B">
        <w:rPr>
          <w:rFonts w:eastAsia="Arial" w:cs="Arial"/>
        </w:rPr>
        <w:t xml:space="preserve">trends helps </w:t>
      </w:r>
      <w:r w:rsidR="00A63C70" w:rsidRPr="00703A0B">
        <w:rPr>
          <w:rFonts w:eastAsia="Arial" w:cs="Arial"/>
        </w:rPr>
        <w:t>identify</w:t>
      </w:r>
      <w:r w:rsidR="00690FAC" w:rsidRPr="00703A0B">
        <w:rPr>
          <w:rFonts w:eastAsia="Arial" w:cs="Arial"/>
        </w:rPr>
        <w:t xml:space="preserve"> </w:t>
      </w:r>
      <w:r w:rsidR="00A63C70" w:rsidRPr="00703A0B">
        <w:rPr>
          <w:rFonts w:eastAsia="Arial" w:cs="Arial"/>
        </w:rPr>
        <w:t xml:space="preserve">persistent and emerging areas of risk, enabling </w:t>
      </w:r>
      <w:r w:rsidR="00961677" w:rsidRPr="00703A0B">
        <w:rPr>
          <w:rFonts w:eastAsia="Arial" w:cs="Arial"/>
        </w:rPr>
        <w:t xml:space="preserve">the QBCC to </w:t>
      </w:r>
      <w:r w:rsidR="00690FAC" w:rsidRPr="00703A0B">
        <w:rPr>
          <w:rFonts w:eastAsia="Arial" w:cs="Arial"/>
        </w:rPr>
        <w:t>target</w:t>
      </w:r>
      <w:r w:rsidR="00961677" w:rsidRPr="00703A0B">
        <w:rPr>
          <w:rFonts w:eastAsia="Arial" w:cs="Arial"/>
        </w:rPr>
        <w:t xml:space="preserve"> </w:t>
      </w:r>
      <w:r w:rsidR="00A63C70" w:rsidRPr="00703A0B">
        <w:rPr>
          <w:rFonts w:eastAsia="Arial" w:cs="Arial"/>
        </w:rPr>
        <w:t xml:space="preserve">regulatory resources where they can </w:t>
      </w:r>
      <w:r w:rsidR="00690FAC" w:rsidRPr="00703A0B">
        <w:rPr>
          <w:rFonts w:eastAsia="Arial" w:cs="Arial"/>
        </w:rPr>
        <w:t xml:space="preserve">achieve </w:t>
      </w:r>
      <w:r w:rsidR="00A63C70" w:rsidRPr="00703A0B">
        <w:rPr>
          <w:rFonts w:eastAsia="Arial" w:cs="Arial"/>
        </w:rPr>
        <w:t xml:space="preserve">the greatest </w:t>
      </w:r>
      <w:r w:rsidR="00DB311B" w:rsidRPr="00703A0B">
        <w:rPr>
          <w:rFonts w:eastAsia="Arial" w:cs="Arial"/>
        </w:rPr>
        <w:t xml:space="preserve">compliance </w:t>
      </w:r>
      <w:r w:rsidR="00BE15ED" w:rsidRPr="00703A0B">
        <w:rPr>
          <w:rFonts w:eastAsia="Arial" w:cs="Arial"/>
        </w:rPr>
        <w:t xml:space="preserve">and </w:t>
      </w:r>
      <w:r w:rsidR="00DB311B" w:rsidRPr="00703A0B">
        <w:rPr>
          <w:rFonts w:eastAsia="Arial" w:cs="Arial"/>
        </w:rPr>
        <w:t>consumer</w:t>
      </w:r>
      <w:r w:rsidR="00046F49" w:rsidRPr="00703A0B">
        <w:rPr>
          <w:rFonts w:eastAsia="Arial" w:cs="Arial"/>
        </w:rPr>
        <w:t xml:space="preserve"> protection</w:t>
      </w:r>
      <w:r w:rsidR="007576D7" w:rsidRPr="00703A0B">
        <w:rPr>
          <w:rFonts w:eastAsia="Arial" w:cs="Arial"/>
        </w:rPr>
        <w:t xml:space="preserve"> outcomes</w:t>
      </w:r>
      <w:r w:rsidR="00A63C70" w:rsidRPr="00703A0B">
        <w:rPr>
          <w:rFonts w:eastAsia="Arial" w:cs="Arial"/>
        </w:rPr>
        <w:t xml:space="preserve">. </w:t>
      </w:r>
      <w:r w:rsidR="007576D7" w:rsidRPr="00703A0B">
        <w:rPr>
          <w:rFonts w:eastAsia="Arial" w:cs="Arial"/>
        </w:rPr>
        <w:t>By</w:t>
      </w:r>
      <w:r w:rsidR="00A63C70" w:rsidRPr="00703A0B">
        <w:rPr>
          <w:rFonts w:eastAsia="Arial" w:cs="Arial"/>
        </w:rPr>
        <w:t xml:space="preserve"> reinforcing industry expectations</w:t>
      </w:r>
      <w:r w:rsidR="00C67AFC" w:rsidRPr="00703A0B">
        <w:rPr>
          <w:rFonts w:eastAsia="Arial" w:cs="Arial"/>
        </w:rPr>
        <w:t xml:space="preserve"> and addressing non-compliant </w:t>
      </w:r>
      <w:r w:rsidR="00AD5351" w:rsidRPr="00703A0B">
        <w:rPr>
          <w:rFonts w:eastAsia="Arial" w:cs="Arial"/>
        </w:rPr>
        <w:t>behaviour</w:t>
      </w:r>
      <w:r w:rsidR="00A63C70" w:rsidRPr="00703A0B">
        <w:rPr>
          <w:rFonts w:eastAsia="Arial" w:cs="Arial"/>
        </w:rPr>
        <w:t>, the demerit points system contributes to improved building quality, stronger consumer protection</w:t>
      </w:r>
      <w:r w:rsidR="0008099B" w:rsidRPr="00703A0B">
        <w:rPr>
          <w:rFonts w:eastAsia="Arial" w:cs="Arial"/>
        </w:rPr>
        <w:t>,</w:t>
      </w:r>
      <w:r w:rsidR="00A63C70" w:rsidRPr="00703A0B">
        <w:rPr>
          <w:rFonts w:eastAsia="Arial" w:cs="Arial"/>
        </w:rPr>
        <w:t xml:space="preserve"> and a </w:t>
      </w:r>
      <w:r w:rsidR="00FD78A3" w:rsidRPr="00703A0B">
        <w:rPr>
          <w:rFonts w:eastAsia="Arial" w:cs="Arial"/>
        </w:rPr>
        <w:t>fai</w:t>
      </w:r>
      <w:r w:rsidR="00C67AFC" w:rsidRPr="00703A0B">
        <w:rPr>
          <w:rFonts w:eastAsia="Arial" w:cs="Arial"/>
        </w:rPr>
        <w:t>rer</w:t>
      </w:r>
      <w:r w:rsidR="003356C1" w:rsidRPr="00703A0B">
        <w:rPr>
          <w:rFonts w:eastAsia="Arial" w:cs="Arial"/>
        </w:rPr>
        <w:t xml:space="preserve"> and</w:t>
      </w:r>
      <w:r w:rsidR="00C67AFC" w:rsidRPr="00703A0B">
        <w:rPr>
          <w:rFonts w:eastAsia="Arial" w:cs="Arial"/>
        </w:rPr>
        <w:t xml:space="preserve"> </w:t>
      </w:r>
      <w:r w:rsidR="00A63C70" w:rsidRPr="00703A0B">
        <w:rPr>
          <w:rFonts w:eastAsia="Arial" w:cs="Arial"/>
        </w:rPr>
        <w:t>more level playing field for compliant licensees</w:t>
      </w:r>
      <w:r w:rsidR="00CB5EC3" w:rsidRPr="00703A0B">
        <w:rPr>
          <w:rFonts w:eastAsia="Arial" w:cs="Arial"/>
        </w:rPr>
        <w:t xml:space="preserve"> and contractors</w:t>
      </w:r>
      <w:r w:rsidR="00C67AFC" w:rsidRPr="00703A0B">
        <w:rPr>
          <w:rFonts w:eastAsia="Arial" w:cs="Arial"/>
        </w:rPr>
        <w:t xml:space="preserve"> across Queensland</w:t>
      </w:r>
      <w:r w:rsidR="00A63C70" w:rsidRPr="00703A0B">
        <w:rPr>
          <w:rFonts w:eastAsia="Arial" w:cs="Arial"/>
        </w:rPr>
        <w:t>.</w:t>
      </w:r>
    </w:p>
    <w:p w14:paraId="3C0F1859" w14:textId="51A47EA0" w:rsidR="00E1094F" w:rsidRPr="00703A0B" w:rsidRDefault="000C73C3" w:rsidP="00A9798A">
      <w:pPr>
        <w:spacing w:before="120" w:after="120"/>
      </w:pPr>
      <w:r w:rsidRPr="00703A0B">
        <w:rPr>
          <w:rFonts w:cs="Arial"/>
        </w:rPr>
        <w:t xml:space="preserve">Beyond </w:t>
      </w:r>
      <w:r w:rsidR="00D42798" w:rsidRPr="00703A0B">
        <w:rPr>
          <w:rFonts w:cs="Arial"/>
        </w:rPr>
        <w:t xml:space="preserve">identifying </w:t>
      </w:r>
      <w:r w:rsidR="00687B77" w:rsidRPr="00703A0B">
        <w:rPr>
          <w:rFonts w:cs="Arial"/>
        </w:rPr>
        <w:t>areas of non-compliance</w:t>
      </w:r>
      <w:r w:rsidR="00D42798" w:rsidRPr="00703A0B">
        <w:rPr>
          <w:rFonts w:cs="Arial"/>
        </w:rPr>
        <w:t xml:space="preserve">, the timeliness </w:t>
      </w:r>
      <w:r w:rsidR="00342B50" w:rsidRPr="00703A0B">
        <w:rPr>
          <w:rFonts w:cs="Arial"/>
        </w:rPr>
        <w:t xml:space="preserve">and effectiveness </w:t>
      </w:r>
      <w:r w:rsidR="00D42798" w:rsidRPr="00703A0B">
        <w:rPr>
          <w:rFonts w:cs="Arial"/>
        </w:rPr>
        <w:t xml:space="preserve">of compliance and enforcement </w:t>
      </w:r>
      <w:r w:rsidR="00342B50" w:rsidRPr="00703A0B">
        <w:rPr>
          <w:rFonts w:cs="Arial"/>
        </w:rPr>
        <w:t>activities</w:t>
      </w:r>
      <w:r w:rsidR="001711A0" w:rsidRPr="00703A0B">
        <w:rPr>
          <w:rFonts w:cs="Arial"/>
        </w:rPr>
        <w:t xml:space="preserve"> </w:t>
      </w:r>
      <w:r w:rsidR="0090229D" w:rsidRPr="00703A0B">
        <w:rPr>
          <w:rFonts w:cs="Arial"/>
        </w:rPr>
        <w:t>provide</w:t>
      </w:r>
      <w:r w:rsidR="00F455D4" w:rsidRPr="00703A0B">
        <w:rPr>
          <w:rFonts w:cs="Arial"/>
        </w:rPr>
        <w:t xml:space="preserve"> </w:t>
      </w:r>
      <w:r w:rsidR="00D42798" w:rsidRPr="00703A0B">
        <w:rPr>
          <w:rFonts w:cs="Arial"/>
        </w:rPr>
        <w:t xml:space="preserve">important </w:t>
      </w:r>
      <w:r w:rsidR="00342B50" w:rsidRPr="00703A0B">
        <w:rPr>
          <w:rFonts w:cs="Arial"/>
        </w:rPr>
        <w:t>insight into</w:t>
      </w:r>
      <w:r w:rsidR="009759C0" w:rsidRPr="00703A0B">
        <w:rPr>
          <w:rFonts w:cs="Arial"/>
        </w:rPr>
        <w:t xml:space="preserve"> the</w:t>
      </w:r>
      <w:r w:rsidR="00F455D4" w:rsidRPr="00703A0B">
        <w:rPr>
          <w:rFonts w:cs="Arial"/>
        </w:rPr>
        <w:t xml:space="preserve"> QBCC’s</w:t>
      </w:r>
      <w:r w:rsidR="00D42798" w:rsidRPr="00703A0B">
        <w:rPr>
          <w:rFonts w:cs="Arial"/>
        </w:rPr>
        <w:t xml:space="preserve"> regulatory </w:t>
      </w:r>
      <w:r w:rsidR="007D266B" w:rsidRPr="00703A0B">
        <w:rPr>
          <w:rFonts w:cs="Arial"/>
        </w:rPr>
        <w:t>performance</w:t>
      </w:r>
      <w:r w:rsidR="00A510D4" w:rsidRPr="00703A0B">
        <w:rPr>
          <w:rFonts w:cs="Arial"/>
        </w:rPr>
        <w:t xml:space="preserve"> and </w:t>
      </w:r>
      <w:r w:rsidR="004454A9" w:rsidRPr="00703A0B">
        <w:rPr>
          <w:rFonts w:cs="Arial"/>
        </w:rPr>
        <w:t>the positive</w:t>
      </w:r>
      <w:r w:rsidR="00A510D4" w:rsidRPr="00703A0B">
        <w:rPr>
          <w:rFonts w:cs="Arial"/>
        </w:rPr>
        <w:t xml:space="preserve"> impact</w:t>
      </w:r>
      <w:r w:rsidR="004454A9" w:rsidRPr="00703A0B">
        <w:rPr>
          <w:rFonts w:cs="Arial"/>
        </w:rPr>
        <w:t xml:space="preserve"> of its regulatory </w:t>
      </w:r>
      <w:r w:rsidR="0008099B" w:rsidRPr="00703A0B">
        <w:rPr>
          <w:rFonts w:cs="Arial"/>
        </w:rPr>
        <w:t>approach</w:t>
      </w:r>
      <w:r w:rsidR="00D42798" w:rsidRPr="00703A0B">
        <w:rPr>
          <w:rFonts w:cs="Arial"/>
        </w:rPr>
        <w:t xml:space="preserve">. </w:t>
      </w:r>
      <w:r w:rsidR="004A34F9" w:rsidRPr="00703A0B">
        <w:rPr>
          <w:rFonts w:cs="Arial"/>
        </w:rPr>
        <w:fldChar w:fldCharType="begin"/>
      </w:r>
      <w:r w:rsidR="004A34F9" w:rsidRPr="00703A0B">
        <w:rPr>
          <w:rFonts w:cs="Arial"/>
        </w:rPr>
        <w:instrText xml:space="preserve"> REF _Ref234851258 \h </w:instrText>
      </w:r>
      <w:r w:rsidR="004A34F9" w:rsidRPr="00703A0B">
        <w:rPr>
          <w:rFonts w:cs="Arial"/>
        </w:rPr>
      </w:r>
      <w:r w:rsidR="004A34F9" w:rsidRPr="00703A0B">
        <w:rPr>
          <w:rFonts w:cs="Arial"/>
        </w:rPr>
        <w:fldChar w:fldCharType="separate"/>
      </w:r>
      <w:r w:rsidR="0090229D" w:rsidRPr="00703A0B">
        <w:t xml:space="preserve">Table </w:t>
      </w:r>
      <w:r w:rsidR="0090229D" w:rsidRPr="00F621D8">
        <w:t>10</w:t>
      </w:r>
      <w:r w:rsidR="004A34F9" w:rsidRPr="00703A0B">
        <w:rPr>
          <w:rFonts w:cs="Arial"/>
        </w:rPr>
        <w:fldChar w:fldCharType="end"/>
      </w:r>
      <w:r w:rsidR="004A34F9" w:rsidRPr="00703A0B">
        <w:rPr>
          <w:rFonts w:cs="Arial"/>
        </w:rPr>
        <w:t xml:space="preserve"> </w:t>
      </w:r>
      <w:r w:rsidR="00BA2FE2" w:rsidRPr="00703A0B">
        <w:t xml:space="preserve">outlines </w:t>
      </w:r>
      <w:r w:rsidR="00833739" w:rsidRPr="00703A0B">
        <w:t xml:space="preserve">the </w:t>
      </w:r>
      <w:r w:rsidR="007D266B" w:rsidRPr="00703A0B">
        <w:t>key indicators</w:t>
      </w:r>
      <w:r w:rsidR="00BA2FE2" w:rsidRPr="00703A0B">
        <w:t xml:space="preserve"> used to assess </w:t>
      </w:r>
      <w:r w:rsidR="007D266B" w:rsidRPr="00703A0B">
        <w:t xml:space="preserve">the timeliness </w:t>
      </w:r>
      <w:r w:rsidR="00017908" w:rsidRPr="00703A0B">
        <w:t xml:space="preserve">and effectiveness </w:t>
      </w:r>
      <w:r w:rsidR="00A9798A" w:rsidRPr="00703A0B">
        <w:t xml:space="preserve">of </w:t>
      </w:r>
      <w:r w:rsidR="00320543" w:rsidRPr="00703A0B">
        <w:t xml:space="preserve">the </w:t>
      </w:r>
      <w:r w:rsidR="00A9798A" w:rsidRPr="00703A0B">
        <w:t>QBCC’s compliance and enforcement activities.</w:t>
      </w:r>
    </w:p>
    <w:p w14:paraId="7F29393A" w14:textId="2F40212B" w:rsidR="1375DD99" w:rsidRPr="00703A0B" w:rsidRDefault="00EA4C12" w:rsidP="00EA4C12">
      <w:pPr>
        <w:pStyle w:val="Caption"/>
        <w:rPr>
          <w:b w:val="0"/>
          <w:bCs/>
        </w:rPr>
      </w:pPr>
      <w:bookmarkStart w:id="81" w:name="_Ref233638695"/>
      <w:bookmarkStart w:id="82" w:name="_Ref234851258"/>
      <w:r w:rsidRPr="00703A0B">
        <w:t xml:space="preserve">Table </w:t>
      </w:r>
      <w:bookmarkEnd w:id="81"/>
      <w:r w:rsidRPr="00703A0B">
        <w:fldChar w:fldCharType="begin"/>
      </w:r>
      <w:r w:rsidRPr="00703A0B">
        <w:instrText>SEQ Table \* ARABIC</w:instrText>
      </w:r>
      <w:r w:rsidRPr="00703A0B">
        <w:fldChar w:fldCharType="separate"/>
      </w:r>
      <w:r w:rsidR="003764AA" w:rsidRPr="00F621D8">
        <w:t>10</w:t>
      </w:r>
      <w:r w:rsidRPr="00703A0B">
        <w:fldChar w:fldCharType="end"/>
      </w:r>
      <w:bookmarkEnd w:id="82"/>
      <w:r w:rsidR="1375DD99" w:rsidRPr="00703A0B">
        <w:t xml:space="preserve">: </w:t>
      </w:r>
      <w:r w:rsidR="00E761A3" w:rsidRPr="00703A0B">
        <w:t xml:space="preserve">Key indicators </w:t>
      </w:r>
      <w:r w:rsidR="009C75B3" w:rsidRPr="00703A0B">
        <w:t xml:space="preserve">of </w:t>
      </w:r>
      <w:r w:rsidR="007E3A84" w:rsidRPr="00703A0B">
        <w:t>regulatory performance</w:t>
      </w:r>
      <w:r w:rsidR="009C75B3" w:rsidRPr="00703A0B">
        <w:t xml:space="preserve"> and impact</w:t>
      </w:r>
      <w:r w:rsidR="007E3A84" w:rsidRPr="00703A0B">
        <w:t xml:space="preserve"> </w:t>
      </w:r>
      <w:r w:rsidR="00302375" w:rsidRPr="00703A0B">
        <w:t>over the past three years</w:t>
      </w:r>
    </w:p>
    <w:tbl>
      <w:tblPr>
        <w:tblStyle w:val="TableGrid"/>
        <w:tblW w:w="5000" w:type="pct"/>
        <w:tblLayout w:type="fixed"/>
        <w:tblCellMar>
          <w:top w:w="28" w:type="dxa"/>
          <w:bottom w:w="28" w:type="dxa"/>
        </w:tblCellMar>
        <w:tblLook w:val="06A0" w:firstRow="1" w:lastRow="0" w:firstColumn="1" w:lastColumn="0" w:noHBand="1" w:noVBand="1"/>
      </w:tblPr>
      <w:tblGrid>
        <w:gridCol w:w="5970"/>
        <w:gridCol w:w="1496"/>
        <w:gridCol w:w="1496"/>
        <w:gridCol w:w="1488"/>
      </w:tblGrid>
      <w:tr w:rsidR="00C809ED" w:rsidRPr="00703A0B" w14:paraId="2DA88AAB" w14:textId="77777777" w:rsidTr="000622EE">
        <w:tc>
          <w:tcPr>
            <w:tcW w:w="2856" w:type="pct"/>
            <w:shd w:val="clear" w:color="auto" w:fill="BFBFBF" w:themeFill="background1" w:themeFillShade="BF"/>
          </w:tcPr>
          <w:p w14:paraId="2D12C5D7" w14:textId="0BD41463" w:rsidR="00C809ED" w:rsidRPr="00703A0B" w:rsidRDefault="00511761" w:rsidP="00376073">
            <w:pPr>
              <w:rPr>
                <w:b/>
                <w:bCs/>
              </w:rPr>
            </w:pPr>
            <w:r w:rsidRPr="00703A0B">
              <w:rPr>
                <w:rFonts w:cs="Arial"/>
                <w:b/>
                <w:bCs/>
              </w:rPr>
              <w:t>Regulatory</w:t>
            </w:r>
            <w:r w:rsidR="00A938A8" w:rsidRPr="00703A0B">
              <w:rPr>
                <w:rFonts w:cs="Arial"/>
                <w:b/>
                <w:bCs/>
              </w:rPr>
              <w:t xml:space="preserve"> performance metrics</w:t>
            </w:r>
            <w:r w:rsidR="00973736" w:rsidRPr="00703A0B">
              <w:rPr>
                <w:rFonts w:cs="Arial"/>
                <w:b/>
                <w:bCs/>
              </w:rPr>
              <w:t xml:space="preserve"> </w:t>
            </w:r>
          </w:p>
        </w:tc>
        <w:tc>
          <w:tcPr>
            <w:tcW w:w="716" w:type="pct"/>
            <w:shd w:val="clear" w:color="auto" w:fill="BFBFBF" w:themeFill="background1" w:themeFillShade="BF"/>
          </w:tcPr>
          <w:p w14:paraId="65807179" w14:textId="5D59AB77" w:rsidR="00C809ED" w:rsidRPr="00703A0B" w:rsidRDefault="00C809ED" w:rsidP="00376073">
            <w:pPr>
              <w:rPr>
                <w:rFonts w:cs="Arial"/>
                <w:b/>
                <w:bCs/>
              </w:rPr>
            </w:pPr>
            <w:r w:rsidRPr="00703A0B">
              <w:rPr>
                <w:rFonts w:cs="Arial"/>
                <w:b/>
                <w:bCs/>
              </w:rPr>
              <w:t>2023–24</w:t>
            </w:r>
          </w:p>
        </w:tc>
        <w:tc>
          <w:tcPr>
            <w:tcW w:w="716" w:type="pct"/>
            <w:shd w:val="clear" w:color="auto" w:fill="BFBFBF" w:themeFill="background1" w:themeFillShade="BF"/>
          </w:tcPr>
          <w:p w14:paraId="5E23C9A2" w14:textId="55D64CD0" w:rsidR="00C809ED" w:rsidRPr="00703A0B" w:rsidRDefault="00C809ED" w:rsidP="00376073">
            <w:pPr>
              <w:rPr>
                <w:b/>
                <w:bCs/>
              </w:rPr>
            </w:pPr>
            <w:r w:rsidRPr="00703A0B">
              <w:rPr>
                <w:rFonts w:cs="Arial"/>
                <w:b/>
                <w:bCs/>
              </w:rPr>
              <w:t>2024–25</w:t>
            </w:r>
          </w:p>
        </w:tc>
        <w:tc>
          <w:tcPr>
            <w:tcW w:w="712" w:type="pct"/>
            <w:shd w:val="clear" w:color="auto" w:fill="BFBFBF" w:themeFill="background1" w:themeFillShade="BF"/>
          </w:tcPr>
          <w:p w14:paraId="0294DB95" w14:textId="53C54C1D" w:rsidR="00C809ED" w:rsidRPr="00703A0B" w:rsidRDefault="00C809ED" w:rsidP="00376073">
            <w:pPr>
              <w:rPr>
                <w:b/>
                <w:bCs/>
              </w:rPr>
            </w:pPr>
            <w:r w:rsidRPr="00703A0B">
              <w:rPr>
                <w:rFonts w:cs="Arial"/>
                <w:b/>
                <w:bCs/>
              </w:rPr>
              <w:t>2025–26</w:t>
            </w:r>
          </w:p>
        </w:tc>
      </w:tr>
      <w:tr w:rsidR="00C809ED" w:rsidRPr="00703A0B" w14:paraId="4DB80589" w14:textId="77777777" w:rsidTr="000622EE">
        <w:tc>
          <w:tcPr>
            <w:tcW w:w="2856" w:type="pct"/>
          </w:tcPr>
          <w:p w14:paraId="742EF080" w14:textId="621ED874" w:rsidR="00C809ED" w:rsidRPr="00703A0B" w:rsidRDefault="00C809ED" w:rsidP="00376073">
            <w:pPr>
              <w:rPr>
                <w:rFonts w:eastAsia="MS Mincho" w:cs="Arial"/>
              </w:rPr>
            </w:pPr>
            <w:r w:rsidRPr="00703A0B">
              <w:rPr>
                <w:rFonts w:eastAsia="MS Mincho" w:cs="Arial"/>
              </w:rPr>
              <w:t>Average number of days unlicensed contractor complaints awaiting investigation</w:t>
            </w:r>
          </w:p>
        </w:tc>
        <w:tc>
          <w:tcPr>
            <w:tcW w:w="716" w:type="pct"/>
          </w:tcPr>
          <w:p w14:paraId="74EF5FFD" w14:textId="26DF48E5" w:rsidR="00C809ED" w:rsidRPr="00703A0B" w:rsidRDefault="4F79F706" w:rsidP="000622EE">
            <w:pPr>
              <w:rPr>
                <w:rFonts w:cs="Arial"/>
              </w:rPr>
            </w:pPr>
            <w:r w:rsidRPr="00703A0B">
              <w:rPr>
                <w:rFonts w:cs="Arial"/>
              </w:rPr>
              <w:t>113</w:t>
            </w:r>
          </w:p>
        </w:tc>
        <w:tc>
          <w:tcPr>
            <w:tcW w:w="716" w:type="pct"/>
          </w:tcPr>
          <w:p w14:paraId="7C23B64B" w14:textId="2BEF4C0D" w:rsidR="00C809ED" w:rsidRPr="00703A0B" w:rsidRDefault="0A6AC588" w:rsidP="000622EE">
            <w:r w:rsidRPr="00703A0B">
              <w:t>123</w:t>
            </w:r>
          </w:p>
        </w:tc>
        <w:tc>
          <w:tcPr>
            <w:tcW w:w="712" w:type="pct"/>
          </w:tcPr>
          <w:p w14:paraId="64A0FC32" w14:textId="25595E63" w:rsidR="00C809ED" w:rsidRPr="00703A0B" w:rsidRDefault="0A6AC588" w:rsidP="000622EE">
            <w:pPr>
              <w:rPr>
                <w:rFonts w:cs="Arial"/>
              </w:rPr>
            </w:pPr>
            <w:r w:rsidRPr="00703A0B">
              <w:t>102</w:t>
            </w:r>
          </w:p>
        </w:tc>
      </w:tr>
      <w:tr w:rsidR="00C809ED" w:rsidRPr="00703A0B" w14:paraId="426C06BA" w14:textId="77777777" w:rsidTr="000622EE">
        <w:tc>
          <w:tcPr>
            <w:tcW w:w="2856" w:type="pct"/>
          </w:tcPr>
          <w:p w14:paraId="3AA2E0E7" w14:textId="0F742615" w:rsidR="00C809ED" w:rsidRPr="00703A0B" w:rsidRDefault="00C809ED" w:rsidP="00376073">
            <w:r w:rsidRPr="00703A0B">
              <w:rPr>
                <w:rFonts w:cs="Arial"/>
              </w:rPr>
              <w:t xml:space="preserve">Average number of days to close out </w:t>
            </w:r>
            <w:r w:rsidR="00F1470F" w:rsidRPr="00703A0B">
              <w:rPr>
                <w:rFonts w:cs="Arial"/>
              </w:rPr>
              <w:t xml:space="preserve">all </w:t>
            </w:r>
            <w:r w:rsidR="00AF1962" w:rsidRPr="00703A0B">
              <w:rPr>
                <w:rFonts w:cs="Arial"/>
              </w:rPr>
              <w:t xml:space="preserve">types of </w:t>
            </w:r>
            <w:r w:rsidR="00A15421" w:rsidRPr="00703A0B">
              <w:rPr>
                <w:rFonts w:cs="Arial"/>
              </w:rPr>
              <w:t>notification of offence (</w:t>
            </w:r>
            <w:r w:rsidRPr="00703A0B">
              <w:rPr>
                <w:rFonts w:cs="Arial"/>
              </w:rPr>
              <w:t>NOOF</w:t>
            </w:r>
            <w:r w:rsidR="00A15421" w:rsidRPr="00703A0B">
              <w:rPr>
                <w:rFonts w:cs="Arial"/>
              </w:rPr>
              <w:t>)</w:t>
            </w:r>
            <w:r w:rsidRPr="00703A0B">
              <w:rPr>
                <w:rFonts w:cs="Arial"/>
              </w:rPr>
              <w:t xml:space="preserve"> investigation cases with regulatory action</w:t>
            </w:r>
          </w:p>
        </w:tc>
        <w:tc>
          <w:tcPr>
            <w:tcW w:w="716" w:type="pct"/>
          </w:tcPr>
          <w:p w14:paraId="7846C6A7" w14:textId="7B052836" w:rsidR="00C809ED" w:rsidRPr="00703A0B" w:rsidRDefault="73991C6F" w:rsidP="000622EE">
            <w:pPr>
              <w:rPr>
                <w:rFonts w:cs="Arial"/>
              </w:rPr>
            </w:pPr>
            <w:r w:rsidRPr="00703A0B">
              <w:rPr>
                <w:rFonts w:cs="Arial"/>
              </w:rPr>
              <w:t>10</w:t>
            </w:r>
            <w:r w:rsidR="00C76ACF" w:rsidRPr="00703A0B">
              <w:rPr>
                <w:rFonts w:cs="Arial"/>
              </w:rPr>
              <w:t>4</w:t>
            </w:r>
          </w:p>
        </w:tc>
        <w:tc>
          <w:tcPr>
            <w:tcW w:w="716" w:type="pct"/>
          </w:tcPr>
          <w:p w14:paraId="6730FAD3" w14:textId="29B42A8E" w:rsidR="00C809ED" w:rsidRPr="00703A0B" w:rsidRDefault="65D5B784" w:rsidP="000622EE">
            <w:r w:rsidRPr="00703A0B">
              <w:rPr>
                <w:rFonts w:cs="Arial"/>
              </w:rPr>
              <w:t>5</w:t>
            </w:r>
            <w:r w:rsidR="00C76ACF" w:rsidRPr="00703A0B">
              <w:rPr>
                <w:rFonts w:cs="Arial"/>
              </w:rPr>
              <w:t>4</w:t>
            </w:r>
          </w:p>
        </w:tc>
        <w:tc>
          <w:tcPr>
            <w:tcW w:w="712" w:type="pct"/>
          </w:tcPr>
          <w:p w14:paraId="4F092DEE" w14:textId="3FD6598F" w:rsidR="00C809ED" w:rsidRPr="00703A0B" w:rsidRDefault="34B82EA8" w:rsidP="000622EE">
            <w:r w:rsidRPr="00703A0B">
              <w:rPr>
                <w:rFonts w:cs="Arial"/>
              </w:rPr>
              <w:t>5</w:t>
            </w:r>
            <w:r w:rsidR="00C76ACF" w:rsidRPr="00703A0B">
              <w:rPr>
                <w:rFonts w:cs="Arial"/>
              </w:rPr>
              <w:t>2</w:t>
            </w:r>
          </w:p>
        </w:tc>
      </w:tr>
      <w:tr w:rsidR="00B20C81" w:rsidRPr="00703A0B" w14:paraId="2ABB4BD3" w14:textId="77777777" w:rsidTr="000622EE">
        <w:tc>
          <w:tcPr>
            <w:tcW w:w="2856" w:type="pct"/>
          </w:tcPr>
          <w:p w14:paraId="677D758F" w14:textId="1D30A24E" w:rsidR="00B20C81" w:rsidRPr="00703A0B" w:rsidRDefault="004E08AA" w:rsidP="00376073">
            <w:pPr>
              <w:rPr>
                <w:rFonts w:cs="Arial"/>
              </w:rPr>
            </w:pPr>
            <w:r w:rsidRPr="00703A0B">
              <w:rPr>
                <w:rFonts w:eastAsia="MS Mincho" w:cs="Arial"/>
              </w:rPr>
              <w:t>Total n</w:t>
            </w:r>
            <w:r w:rsidR="00B20C81" w:rsidRPr="00703A0B">
              <w:rPr>
                <w:rFonts w:eastAsia="MS Mincho" w:cs="Arial"/>
              </w:rPr>
              <w:t xml:space="preserve">umber of NOOF </w:t>
            </w:r>
            <w:r w:rsidR="00A40F9A" w:rsidRPr="00703A0B">
              <w:rPr>
                <w:rFonts w:eastAsia="MS Mincho" w:cs="Arial"/>
              </w:rPr>
              <w:t>case</w:t>
            </w:r>
            <w:r w:rsidR="00B20C81" w:rsidRPr="00703A0B">
              <w:rPr>
                <w:rFonts w:eastAsia="MS Mincho" w:cs="Arial"/>
              </w:rPr>
              <w:t>s in queue</w:t>
            </w:r>
          </w:p>
        </w:tc>
        <w:tc>
          <w:tcPr>
            <w:tcW w:w="716" w:type="pct"/>
          </w:tcPr>
          <w:p w14:paraId="5313D048" w14:textId="1CBCDC67" w:rsidR="00B20C81" w:rsidRPr="00703A0B" w:rsidRDefault="00B20C81" w:rsidP="000622EE">
            <w:pPr>
              <w:rPr>
                <w:rFonts w:cs="Arial"/>
                <w:bCs/>
                <w:szCs w:val="22"/>
              </w:rPr>
            </w:pPr>
            <w:r w:rsidRPr="00703A0B">
              <w:rPr>
                <w:rFonts w:cs="Arial"/>
              </w:rPr>
              <w:t>559</w:t>
            </w:r>
          </w:p>
        </w:tc>
        <w:tc>
          <w:tcPr>
            <w:tcW w:w="716" w:type="pct"/>
          </w:tcPr>
          <w:p w14:paraId="3A2A321F" w14:textId="146013B1" w:rsidR="00B20C81" w:rsidRPr="00703A0B" w:rsidRDefault="00B20C81" w:rsidP="000622EE">
            <w:pPr>
              <w:rPr>
                <w:rFonts w:cs="Arial"/>
                <w:bCs/>
                <w:szCs w:val="22"/>
              </w:rPr>
            </w:pPr>
            <w:r w:rsidRPr="00703A0B">
              <w:rPr>
                <w:rFonts w:cs="Arial"/>
              </w:rPr>
              <w:t>558</w:t>
            </w:r>
          </w:p>
        </w:tc>
        <w:tc>
          <w:tcPr>
            <w:tcW w:w="712" w:type="pct"/>
          </w:tcPr>
          <w:p w14:paraId="7FD1B28A" w14:textId="44E03096" w:rsidR="00B20C81" w:rsidRPr="00703A0B" w:rsidRDefault="00B20C81" w:rsidP="000622EE">
            <w:pPr>
              <w:rPr>
                <w:rFonts w:cs="Arial"/>
                <w:bCs/>
                <w:szCs w:val="22"/>
              </w:rPr>
            </w:pPr>
            <w:r w:rsidRPr="00703A0B">
              <w:rPr>
                <w:rFonts w:cs="Arial"/>
              </w:rPr>
              <w:t>411</w:t>
            </w:r>
          </w:p>
        </w:tc>
      </w:tr>
      <w:tr w:rsidR="00B20C81" w:rsidRPr="00703A0B" w14:paraId="441B1CB8" w14:textId="77777777" w:rsidTr="000622EE">
        <w:tc>
          <w:tcPr>
            <w:tcW w:w="2856" w:type="pct"/>
          </w:tcPr>
          <w:p w14:paraId="5FFD018B" w14:textId="1C8FEFED" w:rsidR="00B20C81" w:rsidRPr="00703A0B" w:rsidRDefault="00B20C81" w:rsidP="00376073">
            <w:r w:rsidRPr="00703A0B">
              <w:rPr>
                <w:rFonts w:cs="Arial"/>
              </w:rPr>
              <w:t>Average number of weeks between case allocation and onsite inspection</w:t>
            </w:r>
          </w:p>
        </w:tc>
        <w:tc>
          <w:tcPr>
            <w:tcW w:w="716" w:type="pct"/>
          </w:tcPr>
          <w:p w14:paraId="5E392427" w14:textId="6097C94C" w:rsidR="00B20C81" w:rsidRPr="00703A0B" w:rsidRDefault="00B20C81" w:rsidP="000622EE">
            <w:pPr>
              <w:rPr>
                <w:rFonts w:cs="Arial"/>
                <w:bCs/>
                <w:szCs w:val="22"/>
              </w:rPr>
            </w:pPr>
            <w:r w:rsidRPr="00703A0B">
              <w:rPr>
                <w:rFonts w:cs="Arial"/>
                <w:bCs/>
                <w:szCs w:val="22"/>
              </w:rPr>
              <w:t>16</w:t>
            </w:r>
          </w:p>
        </w:tc>
        <w:tc>
          <w:tcPr>
            <w:tcW w:w="716" w:type="pct"/>
          </w:tcPr>
          <w:p w14:paraId="46CFEB27" w14:textId="58F40A0C" w:rsidR="00B20C81" w:rsidRPr="00703A0B" w:rsidRDefault="00B20C81" w:rsidP="000622EE">
            <w:pPr>
              <w:rPr>
                <w:rFonts w:cs="Arial"/>
              </w:rPr>
            </w:pPr>
            <w:r w:rsidRPr="00703A0B">
              <w:rPr>
                <w:rFonts w:cs="Arial"/>
                <w:bCs/>
                <w:szCs w:val="22"/>
              </w:rPr>
              <w:t>10</w:t>
            </w:r>
          </w:p>
        </w:tc>
        <w:tc>
          <w:tcPr>
            <w:tcW w:w="712" w:type="pct"/>
          </w:tcPr>
          <w:p w14:paraId="062B479C" w14:textId="25325BFB" w:rsidR="00B20C81" w:rsidRPr="00703A0B" w:rsidRDefault="00B20C81" w:rsidP="000622EE">
            <w:pPr>
              <w:rPr>
                <w:rFonts w:cs="Arial"/>
              </w:rPr>
            </w:pPr>
            <w:r w:rsidRPr="00703A0B">
              <w:rPr>
                <w:rFonts w:cs="Arial"/>
                <w:bCs/>
                <w:szCs w:val="22"/>
              </w:rPr>
              <w:t>12</w:t>
            </w:r>
          </w:p>
        </w:tc>
      </w:tr>
      <w:tr w:rsidR="00B20C81" w:rsidRPr="00703A0B" w14:paraId="17C7811F" w14:textId="77777777" w:rsidTr="000622EE">
        <w:tc>
          <w:tcPr>
            <w:tcW w:w="2856" w:type="pct"/>
          </w:tcPr>
          <w:p w14:paraId="39198E2A" w14:textId="31B9E3FD" w:rsidR="00B20C81" w:rsidRPr="00703A0B" w:rsidRDefault="00B20C81" w:rsidP="00376073">
            <w:pPr>
              <w:rPr>
                <w:rFonts w:eastAsia="MS Mincho" w:cs="Arial"/>
              </w:rPr>
            </w:pPr>
            <w:r w:rsidRPr="00703A0B">
              <w:rPr>
                <w:rFonts w:eastAsia="MS Mincho" w:cs="Arial"/>
              </w:rPr>
              <w:t>Repeat offences occurring within 12 months of the closure of a NOOF case with regulatory action</w:t>
            </w:r>
          </w:p>
        </w:tc>
        <w:tc>
          <w:tcPr>
            <w:tcW w:w="716" w:type="pct"/>
          </w:tcPr>
          <w:p w14:paraId="246FBD46" w14:textId="0DD5227D" w:rsidR="00B20C81" w:rsidRPr="00703A0B" w:rsidRDefault="00B20C81" w:rsidP="000622EE">
            <w:pPr>
              <w:rPr>
                <w:rFonts w:cs="Arial"/>
                <w:color w:val="020A0A" w:themeColor="text1"/>
              </w:rPr>
            </w:pPr>
            <w:r w:rsidRPr="00703A0B">
              <w:rPr>
                <w:rFonts w:cs="Arial"/>
                <w:color w:val="020A0A" w:themeColor="text1"/>
              </w:rPr>
              <w:t>7.3%</w:t>
            </w:r>
          </w:p>
        </w:tc>
        <w:tc>
          <w:tcPr>
            <w:tcW w:w="716" w:type="pct"/>
          </w:tcPr>
          <w:p w14:paraId="6DBCDC00" w14:textId="1E18A3C0" w:rsidR="00B20C81" w:rsidRPr="00703A0B" w:rsidRDefault="00B20C81" w:rsidP="000622EE">
            <w:pPr>
              <w:rPr>
                <w:rFonts w:cs="Arial"/>
                <w:color w:val="020A0A" w:themeColor="text1"/>
              </w:rPr>
            </w:pPr>
            <w:r w:rsidRPr="00703A0B">
              <w:rPr>
                <w:rFonts w:cs="Arial"/>
                <w:color w:val="020A0A" w:themeColor="text1"/>
              </w:rPr>
              <w:t>12.9%</w:t>
            </w:r>
          </w:p>
        </w:tc>
        <w:tc>
          <w:tcPr>
            <w:tcW w:w="712" w:type="pct"/>
          </w:tcPr>
          <w:p w14:paraId="0150E756" w14:textId="7444AA8D" w:rsidR="00B20C81" w:rsidRPr="00703A0B" w:rsidRDefault="00B20C81" w:rsidP="000622EE">
            <w:pPr>
              <w:rPr>
                <w:rFonts w:cs="Arial"/>
              </w:rPr>
            </w:pPr>
            <w:r w:rsidRPr="00703A0B">
              <w:rPr>
                <w:rFonts w:cs="Arial"/>
              </w:rPr>
              <w:t>12.3%</w:t>
            </w:r>
          </w:p>
        </w:tc>
      </w:tr>
      <w:tr w:rsidR="00B20C81" w:rsidRPr="00703A0B" w14:paraId="34073272" w14:textId="77777777" w:rsidTr="000622EE">
        <w:tc>
          <w:tcPr>
            <w:tcW w:w="2856" w:type="pct"/>
          </w:tcPr>
          <w:p w14:paraId="6E35F33B" w14:textId="1FE8F27B" w:rsidR="00B20C81" w:rsidRPr="00703A0B" w:rsidRDefault="00B20C81" w:rsidP="00376073">
            <w:pPr>
              <w:rPr>
                <w:rFonts w:eastAsia="MS Mincho" w:cs="Arial"/>
              </w:rPr>
            </w:pPr>
            <w:r w:rsidRPr="00703A0B">
              <w:t>Percentage of DTRs escalated to FTRs</w:t>
            </w:r>
          </w:p>
        </w:tc>
        <w:tc>
          <w:tcPr>
            <w:tcW w:w="716" w:type="pct"/>
          </w:tcPr>
          <w:p w14:paraId="26C11AD1" w14:textId="31DB9FFC" w:rsidR="00B20C81" w:rsidRPr="00703A0B" w:rsidRDefault="00B20C81" w:rsidP="000622EE">
            <w:pPr>
              <w:rPr>
                <w:rFonts w:cs="Arial"/>
              </w:rPr>
            </w:pPr>
            <w:r w:rsidRPr="00703A0B">
              <w:rPr>
                <w:rFonts w:cs="Arial"/>
              </w:rPr>
              <w:t>4</w:t>
            </w:r>
            <w:r w:rsidR="00C40959" w:rsidRPr="00703A0B">
              <w:rPr>
                <w:rFonts w:cs="Arial"/>
              </w:rPr>
              <w:t>9</w:t>
            </w:r>
            <w:r w:rsidRPr="00703A0B">
              <w:rPr>
                <w:rFonts w:cs="Arial"/>
              </w:rPr>
              <w:t>.</w:t>
            </w:r>
            <w:r w:rsidR="0093326F" w:rsidRPr="00703A0B">
              <w:rPr>
                <w:rFonts w:cs="Arial"/>
              </w:rPr>
              <w:t>5</w:t>
            </w:r>
            <w:r w:rsidRPr="00703A0B">
              <w:rPr>
                <w:rFonts w:cs="Arial"/>
              </w:rPr>
              <w:t>%</w:t>
            </w:r>
          </w:p>
        </w:tc>
        <w:tc>
          <w:tcPr>
            <w:tcW w:w="716" w:type="pct"/>
          </w:tcPr>
          <w:p w14:paraId="592E8B7B" w14:textId="6AB6869A" w:rsidR="00B20C81" w:rsidRPr="00703A0B" w:rsidRDefault="0093326F" w:rsidP="000622EE">
            <w:pPr>
              <w:rPr>
                <w:rFonts w:cs="Arial"/>
              </w:rPr>
            </w:pPr>
            <w:r w:rsidRPr="00703A0B">
              <w:rPr>
                <w:rFonts w:cs="Arial"/>
              </w:rPr>
              <w:t>47</w:t>
            </w:r>
            <w:r w:rsidR="00B20C81" w:rsidRPr="00703A0B">
              <w:rPr>
                <w:rFonts w:cs="Arial"/>
              </w:rPr>
              <w:t>.</w:t>
            </w:r>
            <w:r w:rsidRPr="00703A0B">
              <w:rPr>
                <w:rFonts w:cs="Arial"/>
              </w:rPr>
              <w:t>1</w:t>
            </w:r>
            <w:r w:rsidR="00B20C81" w:rsidRPr="00703A0B">
              <w:rPr>
                <w:rFonts w:cs="Arial"/>
              </w:rPr>
              <w:t>%</w:t>
            </w:r>
          </w:p>
        </w:tc>
        <w:tc>
          <w:tcPr>
            <w:tcW w:w="712" w:type="pct"/>
          </w:tcPr>
          <w:p w14:paraId="69A9D96E" w14:textId="5160F728" w:rsidR="00B20C81" w:rsidRPr="00703A0B" w:rsidRDefault="00B20C81" w:rsidP="000622EE">
            <w:pPr>
              <w:rPr>
                <w:rFonts w:cs="Arial"/>
              </w:rPr>
            </w:pPr>
            <w:r w:rsidRPr="00703A0B">
              <w:rPr>
                <w:rFonts w:cs="Arial"/>
              </w:rPr>
              <w:t>4</w:t>
            </w:r>
            <w:r w:rsidR="0093326F" w:rsidRPr="00703A0B">
              <w:rPr>
                <w:rFonts w:cs="Arial"/>
              </w:rPr>
              <w:t>3</w:t>
            </w:r>
            <w:r w:rsidRPr="00703A0B">
              <w:rPr>
                <w:rFonts w:cs="Arial"/>
              </w:rPr>
              <w:t>.</w:t>
            </w:r>
            <w:r w:rsidR="008945FD" w:rsidRPr="00703A0B">
              <w:rPr>
                <w:rFonts w:cs="Arial"/>
              </w:rPr>
              <w:t>3</w:t>
            </w:r>
            <w:r w:rsidRPr="00703A0B">
              <w:rPr>
                <w:rFonts w:cs="Arial"/>
              </w:rPr>
              <w:t>%</w:t>
            </w:r>
          </w:p>
        </w:tc>
      </w:tr>
    </w:tbl>
    <w:p w14:paraId="1E21F6BD" w14:textId="6608C97A" w:rsidR="00DF0C93" w:rsidRPr="00703A0B" w:rsidRDefault="00C02709" w:rsidP="00F5491F">
      <w:pPr>
        <w:spacing w:before="120" w:after="120"/>
        <w:rPr>
          <w:rFonts w:cs="Arial"/>
        </w:rPr>
      </w:pPr>
      <w:r w:rsidRPr="00703A0B">
        <w:rPr>
          <w:rFonts w:cs="Arial"/>
        </w:rPr>
        <w:lastRenderedPageBreak/>
        <w:t xml:space="preserve">Continued improvements in the timeliness of compliance and enforcement activities demonstrate the organisation's increasing ability to respond to regulatory risks and address non-compliance more efficiently. Faster investigation timeframes and reduced investigation backlogs enable potential issues to be identified and resolved earlier, reducing the likelihood that non-compliant behaviour will continue unchecked. Timely regulatory intervention also provides greater certainty for consumers and licensees, </w:t>
      </w:r>
      <w:r w:rsidR="00683A5E" w:rsidRPr="00703A0B">
        <w:rPr>
          <w:rFonts w:cs="Arial"/>
        </w:rPr>
        <w:t>by reducing</w:t>
      </w:r>
      <w:r w:rsidRPr="00703A0B">
        <w:rPr>
          <w:rFonts w:cs="Arial"/>
        </w:rPr>
        <w:t xml:space="preserve"> the disruption</w:t>
      </w:r>
      <w:r w:rsidR="00683A5E" w:rsidRPr="00703A0B">
        <w:rPr>
          <w:rFonts w:cs="Arial"/>
        </w:rPr>
        <w:t>, delays</w:t>
      </w:r>
      <w:r w:rsidRPr="00703A0B">
        <w:rPr>
          <w:rFonts w:cs="Arial"/>
        </w:rPr>
        <w:t xml:space="preserve"> and costs </w:t>
      </w:r>
      <w:r w:rsidR="006F3227" w:rsidRPr="00703A0B">
        <w:rPr>
          <w:rFonts w:cs="Arial"/>
        </w:rPr>
        <w:t>that can arise from unresolved</w:t>
      </w:r>
      <w:r w:rsidRPr="00703A0B">
        <w:rPr>
          <w:rFonts w:cs="Arial"/>
        </w:rPr>
        <w:t xml:space="preserve"> compliance </w:t>
      </w:r>
      <w:r w:rsidR="00714D98" w:rsidRPr="00703A0B">
        <w:rPr>
          <w:rFonts w:cs="Arial"/>
        </w:rPr>
        <w:t>issues</w:t>
      </w:r>
      <w:r w:rsidRPr="00703A0B">
        <w:rPr>
          <w:rFonts w:cs="Arial"/>
        </w:rPr>
        <w:t>.</w:t>
      </w:r>
      <w:r w:rsidR="00AE18DD" w:rsidRPr="00703A0B">
        <w:rPr>
          <w:rFonts w:cs="Arial"/>
        </w:rPr>
        <w:t xml:space="preserve"> </w:t>
      </w:r>
      <w:r w:rsidR="00DF0C93" w:rsidRPr="00703A0B">
        <w:rPr>
          <w:rFonts w:cs="Arial"/>
        </w:rPr>
        <w:t>Improvements in operational efficiency strengthen the effectiveness of the QBCC's compliance and enforcement framework</w:t>
      </w:r>
      <w:r w:rsidR="00616146" w:rsidRPr="00703A0B">
        <w:rPr>
          <w:rFonts w:cs="Arial"/>
        </w:rPr>
        <w:t>,</w:t>
      </w:r>
      <w:r w:rsidR="00DF0C93" w:rsidRPr="00703A0B">
        <w:rPr>
          <w:rFonts w:cs="Arial"/>
        </w:rPr>
        <w:t xml:space="preserve"> by ensuring regulatory resources can be directed to areas of greatest risk and impact. </w:t>
      </w:r>
    </w:p>
    <w:p w14:paraId="155D9C5F" w14:textId="3574CA58" w:rsidR="00C83EA2" w:rsidRPr="00703A0B" w:rsidRDefault="00C83EA2" w:rsidP="00F5491F">
      <w:pPr>
        <w:spacing w:before="120" w:after="120"/>
        <w:rPr>
          <w:rFonts w:cs="Arial"/>
        </w:rPr>
      </w:pPr>
      <w:r w:rsidRPr="00703A0B">
        <w:rPr>
          <w:rFonts w:cs="Arial"/>
        </w:rPr>
        <w:t>Measures of regulatory effectiveness indicate that while most compliance and enforcement activities are achieving their intended outcomes, some areas of recurring non-compliance remain. The persistence of</w:t>
      </w:r>
      <w:r w:rsidR="00E74506" w:rsidRPr="00703A0B">
        <w:rPr>
          <w:rFonts w:cs="Arial"/>
        </w:rPr>
        <w:t xml:space="preserve"> </w:t>
      </w:r>
      <w:r w:rsidRPr="00703A0B">
        <w:rPr>
          <w:rFonts w:cs="Arial"/>
        </w:rPr>
        <w:t xml:space="preserve">repeat offending and </w:t>
      </w:r>
      <w:r w:rsidR="00A37F8C" w:rsidRPr="00703A0B">
        <w:rPr>
          <w:rFonts w:cs="Arial"/>
        </w:rPr>
        <w:t xml:space="preserve">the ongoing, though declining, </w:t>
      </w:r>
      <w:r w:rsidRPr="00703A0B">
        <w:rPr>
          <w:rFonts w:cs="Arial"/>
        </w:rPr>
        <w:t xml:space="preserve">escalation of </w:t>
      </w:r>
      <w:r w:rsidR="006C2051" w:rsidRPr="00703A0B">
        <w:rPr>
          <w:rFonts w:cs="Arial"/>
        </w:rPr>
        <w:t>DTR</w:t>
      </w:r>
      <w:r w:rsidR="00BE345F" w:rsidRPr="00703A0B">
        <w:rPr>
          <w:rFonts w:cs="Arial"/>
        </w:rPr>
        <w:t xml:space="preserve"> </w:t>
      </w:r>
      <w:r w:rsidRPr="00703A0B">
        <w:rPr>
          <w:rFonts w:cs="Arial"/>
        </w:rPr>
        <w:t xml:space="preserve">highlight the </w:t>
      </w:r>
      <w:r w:rsidR="00846041" w:rsidRPr="00703A0B">
        <w:rPr>
          <w:rFonts w:cs="Arial"/>
        </w:rPr>
        <w:t>need for continued</w:t>
      </w:r>
      <w:r w:rsidRPr="00703A0B">
        <w:rPr>
          <w:rFonts w:cs="Arial"/>
        </w:rPr>
        <w:t xml:space="preserve"> monitoring, education and targeted enforcement. These findings reinforce the </w:t>
      </w:r>
      <w:r w:rsidR="007A2E03" w:rsidRPr="00703A0B">
        <w:rPr>
          <w:rFonts w:cs="Arial"/>
        </w:rPr>
        <w:t>value of</w:t>
      </w:r>
      <w:r w:rsidRPr="00703A0B">
        <w:rPr>
          <w:rFonts w:cs="Arial"/>
        </w:rPr>
        <w:t xml:space="preserve"> a balanced regulatory approach that combines early intervention, compliance support and enforcement action where necessary.</w:t>
      </w:r>
      <w:r w:rsidR="00F54E34" w:rsidRPr="00703A0B">
        <w:rPr>
          <w:rFonts w:cs="Arial"/>
        </w:rPr>
        <w:t xml:space="preserve"> </w:t>
      </w:r>
      <w:r w:rsidR="00CC6502" w:rsidRPr="00703A0B">
        <w:rPr>
          <w:rFonts w:cs="Arial"/>
        </w:rPr>
        <w:t xml:space="preserve">By identifying and addressing non-compliance in a timely and effective manner, the QBCC </w:t>
      </w:r>
      <w:r w:rsidR="00134D96" w:rsidRPr="00703A0B">
        <w:rPr>
          <w:rFonts w:cs="Arial"/>
        </w:rPr>
        <w:t>continues to support</w:t>
      </w:r>
      <w:r w:rsidR="00CC6502" w:rsidRPr="00703A0B">
        <w:rPr>
          <w:rFonts w:cs="Arial"/>
        </w:rPr>
        <w:t xml:space="preserve"> a safer, more accountable and higher-performing industry.</w:t>
      </w:r>
    </w:p>
    <w:p w14:paraId="7904C862" w14:textId="3D9F5B13" w:rsidR="4D18418D" w:rsidRPr="00703A0B" w:rsidRDefault="5E78B233" w:rsidP="00CB4625">
      <w:pPr>
        <w:pStyle w:val="Heading3"/>
      </w:pPr>
      <w:bookmarkStart w:id="83" w:name="_Licensing_demerit_points"/>
      <w:bookmarkStart w:id="84" w:name="_Compliance_investigations"/>
      <w:bookmarkStart w:id="85" w:name="_Looking_ahead_3"/>
      <w:bookmarkEnd w:id="83"/>
      <w:bookmarkEnd w:id="84"/>
      <w:bookmarkEnd w:id="85"/>
      <w:r w:rsidRPr="00703A0B">
        <w:t>Looking ahead</w:t>
      </w:r>
    </w:p>
    <w:p w14:paraId="4F53A3A0" w14:textId="75428D18" w:rsidR="4C464865" w:rsidRPr="00703A0B" w:rsidRDefault="6B0B67B4" w:rsidP="34C8FA6A">
      <w:pPr>
        <w:spacing w:before="120" w:after="120" w:line="257" w:lineRule="auto"/>
      </w:pPr>
      <w:r w:rsidRPr="00703A0B">
        <w:t xml:space="preserve">Over the next 12 months, </w:t>
      </w:r>
      <w:r w:rsidR="4C464865" w:rsidRPr="00703A0B">
        <w:t xml:space="preserve">the QBCC will continue to </w:t>
      </w:r>
      <w:r w:rsidR="004B452B" w:rsidRPr="00703A0B">
        <w:t xml:space="preserve">strengthen its regulatory effectiveness through </w:t>
      </w:r>
      <w:r w:rsidR="00DD445C" w:rsidRPr="00703A0B">
        <w:t xml:space="preserve">an </w:t>
      </w:r>
      <w:r w:rsidR="00647574" w:rsidRPr="00703A0B">
        <w:t>intelligence-led</w:t>
      </w:r>
      <w:r w:rsidR="4C464865" w:rsidRPr="00703A0B">
        <w:t xml:space="preserve"> </w:t>
      </w:r>
      <w:r w:rsidR="004B452B" w:rsidRPr="00703A0B">
        <w:t xml:space="preserve">and </w:t>
      </w:r>
      <w:r w:rsidR="4C464865" w:rsidRPr="00703A0B">
        <w:t xml:space="preserve">risk-based approach </w:t>
      </w:r>
      <w:r w:rsidR="004B452B" w:rsidRPr="00703A0B">
        <w:t>to compliance and enforcement</w:t>
      </w:r>
      <w:r w:rsidR="4C464865" w:rsidRPr="00703A0B">
        <w:t>. Regulatory activities will focu</w:t>
      </w:r>
      <w:r w:rsidR="004B452B" w:rsidRPr="00703A0B">
        <w:t xml:space="preserve">s </w:t>
      </w:r>
      <w:r w:rsidR="4C464865" w:rsidRPr="00703A0B">
        <w:t xml:space="preserve">on identifying and responding to emerging and systemic risks, </w:t>
      </w:r>
      <w:r w:rsidR="009116F6" w:rsidRPr="00703A0B">
        <w:t xml:space="preserve">promoting </w:t>
      </w:r>
      <w:r w:rsidR="4C464865" w:rsidRPr="00703A0B">
        <w:t>compliance with legislative</w:t>
      </w:r>
      <w:r w:rsidR="0016651C" w:rsidRPr="00703A0B">
        <w:t xml:space="preserve"> </w:t>
      </w:r>
      <w:r w:rsidR="4C464865" w:rsidRPr="00703A0B">
        <w:t>requirements</w:t>
      </w:r>
      <w:r w:rsidR="009D5FC0" w:rsidRPr="00703A0B">
        <w:t xml:space="preserve"> </w:t>
      </w:r>
      <w:r w:rsidR="4C464865" w:rsidRPr="00703A0B">
        <w:t xml:space="preserve">and </w:t>
      </w:r>
      <w:r w:rsidR="00DF7CE1" w:rsidRPr="00703A0B">
        <w:t xml:space="preserve">supporting </w:t>
      </w:r>
      <w:r w:rsidR="4C464865" w:rsidRPr="00703A0B">
        <w:t>a culture of accountability</w:t>
      </w:r>
      <w:r w:rsidR="00647574" w:rsidRPr="00703A0B">
        <w:t>, professionalism</w:t>
      </w:r>
      <w:r w:rsidR="4C464865" w:rsidRPr="00703A0B">
        <w:t xml:space="preserve"> and best practice.</w:t>
      </w:r>
      <w:r w:rsidR="00AD4220" w:rsidRPr="00703A0B">
        <w:t xml:space="preserve"> </w:t>
      </w:r>
      <w:r w:rsidR="4C464865" w:rsidRPr="00703A0B">
        <w:t xml:space="preserve">A key </w:t>
      </w:r>
      <w:r w:rsidR="00647574" w:rsidRPr="00703A0B">
        <w:t xml:space="preserve">priority </w:t>
      </w:r>
      <w:r w:rsidR="4C464865" w:rsidRPr="00703A0B">
        <w:t xml:space="preserve">will be the </w:t>
      </w:r>
      <w:r w:rsidR="00671ADB" w:rsidRPr="00703A0B">
        <w:t xml:space="preserve">development and </w:t>
      </w:r>
      <w:r w:rsidR="4C464865" w:rsidRPr="00703A0B">
        <w:t>implementation of the</w:t>
      </w:r>
      <w:r w:rsidR="000F73DB" w:rsidRPr="00703A0B">
        <w:t xml:space="preserve"> </w:t>
      </w:r>
      <w:r w:rsidR="00647574" w:rsidRPr="00703A0B">
        <w:t>QBCC’s</w:t>
      </w:r>
      <w:r w:rsidR="4C464865" w:rsidRPr="00703A0B">
        <w:t xml:space="preserve"> </w:t>
      </w:r>
      <w:r w:rsidR="00795B1E" w:rsidRPr="00703A0B">
        <w:t>new</w:t>
      </w:r>
      <w:r w:rsidR="000F73DB" w:rsidRPr="00703A0B">
        <w:t xml:space="preserve"> </w:t>
      </w:r>
      <w:r w:rsidR="4C464865" w:rsidRPr="00703A0B">
        <w:t>Compliance and Enforcement Strategy</w:t>
      </w:r>
      <w:r w:rsidR="00647574" w:rsidRPr="00703A0B">
        <w:t xml:space="preserve">. The strategy </w:t>
      </w:r>
      <w:r w:rsidR="4C464865" w:rsidRPr="00703A0B">
        <w:t xml:space="preserve">will </w:t>
      </w:r>
      <w:r w:rsidR="003F01D3" w:rsidRPr="00703A0B">
        <w:t xml:space="preserve">establish </w:t>
      </w:r>
      <w:r w:rsidR="4C464865" w:rsidRPr="00703A0B">
        <w:t xml:space="preserve">a contemporary framework for </w:t>
      </w:r>
      <w:r w:rsidR="001B4EF7" w:rsidRPr="00703A0B">
        <w:t xml:space="preserve">targeting </w:t>
      </w:r>
      <w:r w:rsidR="4C464865" w:rsidRPr="00703A0B">
        <w:t xml:space="preserve">regulatory effort, </w:t>
      </w:r>
      <w:r w:rsidR="001B4EF7" w:rsidRPr="00703A0B">
        <w:t xml:space="preserve">prioritising areas of greatest </w:t>
      </w:r>
      <w:r w:rsidR="4C464865" w:rsidRPr="00703A0B">
        <w:t>risk</w:t>
      </w:r>
      <w:r w:rsidR="001B4EF7" w:rsidRPr="00703A0B">
        <w:t xml:space="preserve"> and </w:t>
      </w:r>
      <w:r w:rsidR="00565707" w:rsidRPr="00703A0B">
        <w:t xml:space="preserve">potential </w:t>
      </w:r>
      <w:r w:rsidR="001B4EF7" w:rsidRPr="00703A0B">
        <w:t>harm</w:t>
      </w:r>
      <w:r w:rsidR="00647574" w:rsidRPr="00703A0B">
        <w:t>,</w:t>
      </w:r>
      <w:r w:rsidR="4C464865" w:rsidRPr="00703A0B">
        <w:t xml:space="preserve"> </w:t>
      </w:r>
      <w:r w:rsidR="001B4EF7" w:rsidRPr="00703A0B">
        <w:t xml:space="preserve">and </w:t>
      </w:r>
      <w:r w:rsidR="4C464865" w:rsidRPr="00703A0B">
        <w:t xml:space="preserve">ensuring </w:t>
      </w:r>
      <w:r w:rsidR="00647574" w:rsidRPr="00703A0B">
        <w:t>regulatory response</w:t>
      </w:r>
      <w:r w:rsidR="004C3E59" w:rsidRPr="00703A0B">
        <w:t>s</w:t>
      </w:r>
      <w:r w:rsidR="00647574" w:rsidRPr="00703A0B">
        <w:t xml:space="preserve"> are </w:t>
      </w:r>
      <w:r w:rsidR="4C464865" w:rsidRPr="00703A0B">
        <w:t xml:space="preserve">proportionate, </w:t>
      </w:r>
      <w:r w:rsidR="001B4EF7" w:rsidRPr="00703A0B">
        <w:t xml:space="preserve">consistent and </w:t>
      </w:r>
      <w:r w:rsidR="4C464865" w:rsidRPr="00703A0B">
        <w:t xml:space="preserve">transparent. </w:t>
      </w:r>
      <w:r w:rsidR="00647574" w:rsidRPr="00703A0B">
        <w:t>It</w:t>
      </w:r>
      <w:r w:rsidR="4C464865" w:rsidRPr="00703A0B">
        <w:t xml:space="preserve"> will </w:t>
      </w:r>
      <w:r w:rsidR="00647574" w:rsidRPr="00703A0B">
        <w:t xml:space="preserve">also </w:t>
      </w:r>
      <w:r w:rsidR="001B4EF7" w:rsidRPr="00703A0B">
        <w:t xml:space="preserve">strengthen </w:t>
      </w:r>
      <w:r w:rsidR="4C464865" w:rsidRPr="00703A0B">
        <w:t xml:space="preserve">the QBCC’s ability to </w:t>
      </w:r>
      <w:r w:rsidR="001B4EF7" w:rsidRPr="00703A0B">
        <w:t>use</w:t>
      </w:r>
      <w:r w:rsidR="00647574" w:rsidRPr="00703A0B">
        <w:t xml:space="preserve"> </w:t>
      </w:r>
      <w:r w:rsidR="4C464865" w:rsidRPr="00703A0B">
        <w:t xml:space="preserve">intelligence, data analytics and regulatory insights to </w:t>
      </w:r>
      <w:r w:rsidR="004C02E7" w:rsidRPr="00703A0B">
        <w:t xml:space="preserve">inform decision making, </w:t>
      </w:r>
      <w:r w:rsidR="4C464865" w:rsidRPr="00703A0B">
        <w:t xml:space="preserve">improve compliance outcomes and </w:t>
      </w:r>
      <w:r w:rsidR="004C02E7" w:rsidRPr="00703A0B">
        <w:t>enhance consumer protection.</w:t>
      </w:r>
    </w:p>
    <w:p w14:paraId="39809C50" w14:textId="3AC3C291" w:rsidR="00EB6707" w:rsidRPr="00703A0B" w:rsidRDefault="009179F4" w:rsidP="34C8FA6A">
      <w:pPr>
        <w:spacing w:before="120" w:after="120" w:line="257" w:lineRule="auto"/>
      </w:pPr>
      <w:r w:rsidRPr="00703A0B">
        <w:t>T</w:t>
      </w:r>
      <w:r w:rsidR="4C464865" w:rsidRPr="00703A0B">
        <w:t xml:space="preserve">he QBCC will continue to </w:t>
      </w:r>
      <w:r w:rsidR="004220E4" w:rsidRPr="00703A0B">
        <w:t xml:space="preserve">build </w:t>
      </w:r>
      <w:r w:rsidR="00C25C94" w:rsidRPr="00703A0B">
        <w:t xml:space="preserve">regulatory </w:t>
      </w:r>
      <w:r w:rsidR="00C50B02" w:rsidRPr="00703A0B">
        <w:t xml:space="preserve">capability </w:t>
      </w:r>
      <w:r w:rsidR="004220E4" w:rsidRPr="00703A0B">
        <w:t xml:space="preserve">and operational efficiency </w:t>
      </w:r>
      <w:r w:rsidR="00C50B02" w:rsidRPr="00703A0B">
        <w:t>by</w:t>
      </w:r>
      <w:r w:rsidR="00EB6707" w:rsidRPr="00703A0B">
        <w:t>:</w:t>
      </w:r>
    </w:p>
    <w:p w14:paraId="14678546" w14:textId="7FF1D6FE" w:rsidR="00EB6707" w:rsidRPr="00703A0B" w:rsidRDefault="00FB2F6B" w:rsidP="00EF3EB2">
      <w:pPr>
        <w:pStyle w:val="ListParagraph"/>
        <w:numPr>
          <w:ilvl w:val="0"/>
          <w:numId w:val="120"/>
        </w:numPr>
        <w:spacing w:before="120" w:after="120" w:line="257" w:lineRule="auto"/>
        <w:ind w:left="714" w:hanging="357"/>
        <w:contextualSpacing w:val="0"/>
      </w:pPr>
      <w:r w:rsidRPr="00703A0B">
        <w:t>improving complaint triage</w:t>
      </w:r>
    </w:p>
    <w:p w14:paraId="3E59F762" w14:textId="1E4D253F" w:rsidR="00EB6707" w:rsidRPr="00703A0B" w:rsidRDefault="00CE202C" w:rsidP="00EF3EB2">
      <w:pPr>
        <w:pStyle w:val="ListParagraph"/>
        <w:numPr>
          <w:ilvl w:val="0"/>
          <w:numId w:val="120"/>
        </w:numPr>
        <w:spacing w:before="120" w:after="120" w:line="257" w:lineRule="auto"/>
        <w:ind w:left="714" w:hanging="357"/>
        <w:contextualSpacing w:val="0"/>
      </w:pPr>
      <w:r w:rsidRPr="00703A0B">
        <w:t xml:space="preserve">streamlining </w:t>
      </w:r>
      <w:r w:rsidR="00FB2F6B" w:rsidRPr="00703A0B">
        <w:t>investigation</w:t>
      </w:r>
      <w:r w:rsidR="00BD15C4" w:rsidRPr="00703A0B">
        <w:t xml:space="preserve"> </w:t>
      </w:r>
      <w:r w:rsidRPr="00703A0B">
        <w:t>processes</w:t>
      </w:r>
    </w:p>
    <w:p w14:paraId="0FE60F0A" w14:textId="62408AB6" w:rsidR="00EB6707" w:rsidRPr="00703A0B" w:rsidRDefault="00BD20D5" w:rsidP="00EF3EB2">
      <w:pPr>
        <w:pStyle w:val="ListParagraph"/>
        <w:numPr>
          <w:ilvl w:val="0"/>
          <w:numId w:val="120"/>
        </w:numPr>
        <w:spacing w:before="120" w:after="120" w:line="257" w:lineRule="auto"/>
        <w:ind w:left="714" w:hanging="357"/>
        <w:contextualSpacing w:val="0"/>
      </w:pPr>
      <w:r w:rsidRPr="00703A0B">
        <w:t xml:space="preserve">applying </w:t>
      </w:r>
      <w:r w:rsidR="0027704C" w:rsidRPr="00703A0B">
        <w:t>risk-based</w:t>
      </w:r>
      <w:r w:rsidR="00FB2F6B" w:rsidRPr="00703A0B">
        <w:t xml:space="preserve"> </w:t>
      </w:r>
      <w:r w:rsidR="0027704C" w:rsidRPr="00703A0B">
        <w:t>prioritisation</w:t>
      </w:r>
      <w:r w:rsidR="00417E0E" w:rsidRPr="00703A0B">
        <w:t xml:space="preserve"> to regulatory activities</w:t>
      </w:r>
      <w:r w:rsidR="00EB6707" w:rsidRPr="00703A0B">
        <w:t>.</w:t>
      </w:r>
    </w:p>
    <w:p w14:paraId="522C3123" w14:textId="3F46D9ED" w:rsidR="0027704C" w:rsidRPr="00703A0B" w:rsidRDefault="00FB2F6B" w:rsidP="00EB6707">
      <w:pPr>
        <w:spacing w:before="120" w:after="120" w:line="257" w:lineRule="auto"/>
      </w:pPr>
      <w:r w:rsidRPr="00703A0B">
        <w:t xml:space="preserve">Building on the success of the case queue reduction initiatives and </w:t>
      </w:r>
      <w:r w:rsidR="0027704C" w:rsidRPr="00703A0B">
        <w:t>improvements in</w:t>
      </w:r>
      <w:r w:rsidRPr="00703A0B">
        <w:t xml:space="preserve"> case finalisation performance, </w:t>
      </w:r>
      <w:r w:rsidR="00834EA0" w:rsidRPr="00703A0B">
        <w:t xml:space="preserve">increased use of </w:t>
      </w:r>
      <w:r w:rsidRPr="00703A0B">
        <w:t>intelligence</w:t>
      </w:r>
      <w:r w:rsidR="00834EA0" w:rsidRPr="00703A0B">
        <w:t>-</w:t>
      </w:r>
      <w:r w:rsidRPr="00703A0B">
        <w:t xml:space="preserve">led inspections, site visits and targeted </w:t>
      </w:r>
      <w:r w:rsidR="005F12D5" w:rsidRPr="00703A0B">
        <w:t xml:space="preserve">proactive </w:t>
      </w:r>
      <w:r w:rsidRPr="00703A0B">
        <w:t xml:space="preserve">audit </w:t>
      </w:r>
      <w:r w:rsidR="0027704C" w:rsidRPr="00703A0B">
        <w:t>programs</w:t>
      </w:r>
      <w:r w:rsidR="00111428" w:rsidRPr="00703A0B">
        <w:t xml:space="preserve"> will </w:t>
      </w:r>
      <w:r w:rsidR="00023D02" w:rsidRPr="00703A0B">
        <w:t>support the</w:t>
      </w:r>
      <w:r w:rsidR="0014337B" w:rsidRPr="00703A0B">
        <w:t xml:space="preserve"> </w:t>
      </w:r>
      <w:r w:rsidR="00023D02" w:rsidRPr="00703A0B">
        <w:t xml:space="preserve">early </w:t>
      </w:r>
      <w:r w:rsidR="0014337B" w:rsidRPr="00703A0B">
        <w:t>identification of non-compliance and enable resources to be directed to</w:t>
      </w:r>
      <w:r w:rsidR="00D24BF1" w:rsidRPr="00703A0B">
        <w:t xml:space="preserve"> high-risk</w:t>
      </w:r>
      <w:r w:rsidR="0014337B" w:rsidRPr="00703A0B">
        <w:t xml:space="preserve"> areas</w:t>
      </w:r>
      <w:r w:rsidR="00372D52" w:rsidRPr="00703A0B">
        <w:t xml:space="preserve">, </w:t>
      </w:r>
      <w:r w:rsidR="0027704C" w:rsidRPr="00703A0B">
        <w:t>includ</w:t>
      </w:r>
      <w:r w:rsidR="00372D52" w:rsidRPr="00703A0B">
        <w:t xml:space="preserve">ing </w:t>
      </w:r>
      <w:r w:rsidR="0027704C" w:rsidRPr="00703A0B">
        <w:t>unlicensed contracting, defective work and emerging compliance risks.</w:t>
      </w:r>
      <w:r w:rsidRPr="00703A0B">
        <w:t xml:space="preserve"> </w:t>
      </w:r>
    </w:p>
    <w:p w14:paraId="4048C623" w14:textId="1D66F7FE" w:rsidR="001E29FA" w:rsidRPr="00703A0B" w:rsidRDefault="007023E3" w:rsidP="00A25798">
      <w:pPr>
        <w:spacing w:before="120" w:after="120" w:line="257" w:lineRule="auto"/>
        <w:rPr>
          <w:rFonts w:eastAsiaTheme="majorEastAsia" w:cstheme="majorBidi"/>
          <w:bCs/>
          <w:sz w:val="32"/>
          <w:szCs w:val="32"/>
          <w:lang w:eastAsia="en-AU"/>
        </w:rPr>
      </w:pPr>
      <w:r w:rsidRPr="00703A0B">
        <w:t xml:space="preserve">The QBCC will </w:t>
      </w:r>
      <w:r w:rsidR="001432DC" w:rsidRPr="00703A0B">
        <w:t xml:space="preserve">also continue to </w:t>
      </w:r>
      <w:r w:rsidR="00A06C84" w:rsidRPr="00703A0B">
        <w:t xml:space="preserve">work collaboratively with </w:t>
      </w:r>
      <w:r w:rsidRPr="00703A0B">
        <w:t xml:space="preserve">industry stakeholders to </w:t>
      </w:r>
      <w:r w:rsidR="00A06C84" w:rsidRPr="00703A0B">
        <w:t>promote</w:t>
      </w:r>
      <w:r w:rsidRPr="00703A0B">
        <w:t xml:space="preserve"> voluntary compliance, build awareness of regulatory </w:t>
      </w:r>
      <w:r w:rsidR="00A37214" w:rsidRPr="00703A0B">
        <w:t xml:space="preserve">obligations and support improved </w:t>
      </w:r>
      <w:r w:rsidR="00617320" w:rsidRPr="00703A0B">
        <w:t xml:space="preserve">industry capability. </w:t>
      </w:r>
      <w:r w:rsidR="00A624F3" w:rsidRPr="00703A0B">
        <w:t xml:space="preserve">A proactive </w:t>
      </w:r>
      <w:r w:rsidR="00E7086C" w:rsidRPr="00703A0B">
        <w:t xml:space="preserve">and collaborative </w:t>
      </w:r>
      <w:r w:rsidR="00A624F3" w:rsidRPr="00703A0B">
        <w:t xml:space="preserve">approach will </w:t>
      </w:r>
      <w:r w:rsidR="00DC23D3" w:rsidRPr="00703A0B">
        <w:t xml:space="preserve">help </w:t>
      </w:r>
      <w:r w:rsidRPr="00703A0B">
        <w:t>reduc</w:t>
      </w:r>
      <w:r w:rsidR="00DC23D3" w:rsidRPr="00703A0B">
        <w:t xml:space="preserve">e </w:t>
      </w:r>
      <w:r w:rsidRPr="00703A0B">
        <w:t>the need for regulatory intervention</w:t>
      </w:r>
      <w:r w:rsidR="00DC23D3" w:rsidRPr="00703A0B">
        <w:t xml:space="preserve">, while encouraging higher standards of conduct and performance across the </w:t>
      </w:r>
      <w:r w:rsidR="00B55A91" w:rsidRPr="00703A0B">
        <w:t>industry</w:t>
      </w:r>
      <w:r w:rsidRPr="00703A0B">
        <w:t>.</w:t>
      </w:r>
      <w:r w:rsidR="001432DC" w:rsidRPr="00703A0B">
        <w:t xml:space="preserve"> </w:t>
      </w:r>
      <w:r w:rsidR="00055B1E" w:rsidRPr="00703A0B">
        <w:t xml:space="preserve">In addition, the QBCC will </w:t>
      </w:r>
      <w:r w:rsidR="4C464865" w:rsidRPr="00703A0B">
        <w:t xml:space="preserve">support the Queensland Government’s building regulatory reform agenda </w:t>
      </w:r>
      <w:r w:rsidR="00B71041" w:rsidRPr="00703A0B">
        <w:t xml:space="preserve">by contributing to </w:t>
      </w:r>
      <w:r w:rsidR="00DC23D3" w:rsidRPr="00703A0B">
        <w:t>a</w:t>
      </w:r>
      <w:r w:rsidR="00B71041" w:rsidRPr="00703A0B">
        <w:t xml:space="preserve"> </w:t>
      </w:r>
      <w:r w:rsidR="4C464865" w:rsidRPr="00703A0B">
        <w:t>modern</w:t>
      </w:r>
      <w:r w:rsidR="00124596" w:rsidRPr="00703A0B">
        <w:t xml:space="preserve">, responsive and effective </w:t>
      </w:r>
      <w:r w:rsidR="4C464865" w:rsidRPr="00703A0B">
        <w:t>regulatory framework</w:t>
      </w:r>
      <w:r w:rsidR="0098729F" w:rsidRPr="00703A0B">
        <w:t xml:space="preserve"> </w:t>
      </w:r>
      <w:r w:rsidR="0056543F" w:rsidRPr="00703A0B">
        <w:t>that</w:t>
      </w:r>
      <w:r w:rsidR="0098729F" w:rsidRPr="00703A0B">
        <w:t xml:space="preserve"> boost</w:t>
      </w:r>
      <w:r w:rsidR="0056543F" w:rsidRPr="00703A0B">
        <w:t>s</w:t>
      </w:r>
      <w:r w:rsidR="0098729F" w:rsidRPr="00703A0B">
        <w:t xml:space="preserve"> productivity, reduce</w:t>
      </w:r>
      <w:r w:rsidR="00F22FF1" w:rsidRPr="00703A0B">
        <w:t>s</w:t>
      </w:r>
      <w:r w:rsidR="0098729F" w:rsidRPr="00703A0B">
        <w:t xml:space="preserve"> regulatory burden and support</w:t>
      </w:r>
      <w:r w:rsidR="00F22FF1" w:rsidRPr="00703A0B">
        <w:t>s</w:t>
      </w:r>
      <w:r w:rsidR="0098729F" w:rsidRPr="00703A0B">
        <w:t xml:space="preserve"> better building outcomes across Queensland</w:t>
      </w:r>
      <w:r w:rsidR="00124596" w:rsidRPr="00703A0B">
        <w:t xml:space="preserve">. Through </w:t>
      </w:r>
      <w:r w:rsidR="00615BCF" w:rsidRPr="00703A0B">
        <w:t xml:space="preserve">continuous improvement, stakeholder collaboration and evidence-based regulation, the QBCC will help strengthen confidence in </w:t>
      </w:r>
      <w:r w:rsidR="00941C39" w:rsidRPr="00703A0B">
        <w:t>Queensland's building and construction industry and deliver better outcomes for consumers, contractors and the broader community</w:t>
      </w:r>
      <w:r w:rsidR="000314CD" w:rsidRPr="00703A0B">
        <w:t>.</w:t>
      </w:r>
      <w:r w:rsidR="001E29FA" w:rsidRPr="00703A0B">
        <w:rPr>
          <w:lang w:eastAsia="en-AU"/>
        </w:rPr>
        <w:br w:type="page"/>
      </w:r>
    </w:p>
    <w:p w14:paraId="52DF533B" w14:textId="5E2296B8" w:rsidR="00E428E4" w:rsidRPr="00703A0B" w:rsidRDefault="00E428E4" w:rsidP="008D00B5">
      <w:pPr>
        <w:pStyle w:val="Heading2"/>
        <w:rPr>
          <w:lang w:eastAsia="en-AU"/>
        </w:rPr>
      </w:pPr>
      <w:bookmarkStart w:id="86" w:name="_Queensland_Home_Warranty"/>
      <w:bookmarkStart w:id="87" w:name="_Toc206493016"/>
      <w:bookmarkStart w:id="88" w:name="_Toc238101680"/>
      <w:bookmarkEnd w:id="86"/>
      <w:r w:rsidRPr="00703A0B">
        <w:rPr>
          <w:lang w:eastAsia="en-AU"/>
        </w:rPr>
        <w:lastRenderedPageBreak/>
        <w:t>Queensland Home Warranty Scheme</w:t>
      </w:r>
      <w:bookmarkEnd w:id="87"/>
      <w:r w:rsidR="00240E46" w:rsidRPr="00703A0B">
        <w:rPr>
          <w:lang w:eastAsia="en-AU"/>
        </w:rPr>
        <w:t xml:space="preserve"> (QHWS)</w:t>
      </w:r>
      <w:bookmarkEnd w:id="88"/>
    </w:p>
    <w:p w14:paraId="5E012B06" w14:textId="755C4E6C" w:rsidR="008F1B81" w:rsidRPr="00703A0B" w:rsidRDefault="68BD6C7A" w:rsidP="1906E94E">
      <w:pPr>
        <w:spacing w:before="120" w:after="120"/>
        <w:rPr>
          <w:lang w:eastAsia="en-AU"/>
        </w:rPr>
      </w:pPr>
      <w:r w:rsidRPr="00703A0B">
        <w:rPr>
          <w:lang w:eastAsia="en-AU"/>
        </w:rPr>
        <w:t xml:space="preserve">The QHWS continued to provide financial protection for </w:t>
      </w:r>
      <w:r w:rsidR="0019662F" w:rsidRPr="00703A0B">
        <w:rPr>
          <w:lang w:eastAsia="en-AU"/>
        </w:rPr>
        <w:t>el</w:t>
      </w:r>
      <w:r w:rsidR="006A0CEF" w:rsidRPr="00703A0B">
        <w:rPr>
          <w:lang w:eastAsia="en-AU"/>
        </w:rPr>
        <w:t xml:space="preserve">igible </w:t>
      </w:r>
      <w:r w:rsidRPr="00703A0B">
        <w:rPr>
          <w:lang w:eastAsia="en-AU"/>
        </w:rPr>
        <w:t xml:space="preserve">Queensland </w:t>
      </w:r>
      <w:proofErr w:type="gramStart"/>
      <w:r w:rsidRPr="00703A0B">
        <w:rPr>
          <w:lang w:eastAsia="en-AU"/>
        </w:rPr>
        <w:t>home owners</w:t>
      </w:r>
      <w:proofErr w:type="gramEnd"/>
      <w:r w:rsidRPr="00703A0B">
        <w:rPr>
          <w:lang w:eastAsia="en-AU"/>
        </w:rPr>
        <w:t xml:space="preserve"> </w:t>
      </w:r>
      <w:r w:rsidR="00C743F6" w:rsidRPr="00703A0B">
        <w:rPr>
          <w:lang w:eastAsia="en-AU"/>
        </w:rPr>
        <w:t xml:space="preserve">affected by defective or incomplete residential building work </w:t>
      </w:r>
      <w:r w:rsidRPr="00703A0B">
        <w:rPr>
          <w:lang w:eastAsia="en-AU"/>
        </w:rPr>
        <w:t xml:space="preserve">during </w:t>
      </w:r>
      <w:r w:rsidR="006A0CEF" w:rsidRPr="00703A0B">
        <w:rPr>
          <w:lang w:eastAsia="en-AU"/>
        </w:rPr>
        <w:t>2025–26</w:t>
      </w:r>
      <w:r w:rsidRPr="00703A0B">
        <w:rPr>
          <w:lang w:eastAsia="en-AU"/>
        </w:rPr>
        <w:t>.</w:t>
      </w:r>
      <w:r w:rsidR="00DA3175" w:rsidRPr="00703A0B">
        <w:rPr>
          <w:lang w:eastAsia="en-AU"/>
        </w:rPr>
        <w:t xml:space="preserve"> </w:t>
      </w:r>
      <w:r w:rsidR="00B612AC" w:rsidRPr="00703A0B">
        <w:rPr>
          <w:lang w:eastAsia="en-AU"/>
        </w:rPr>
        <w:t>As i</w:t>
      </w:r>
      <w:r w:rsidR="007B5176" w:rsidRPr="00703A0B">
        <w:rPr>
          <w:lang w:eastAsia="en-AU"/>
        </w:rPr>
        <w:t>ndicated in</w:t>
      </w:r>
      <w:r w:rsidR="0046158C" w:rsidRPr="00703A0B">
        <w:rPr>
          <w:lang w:eastAsia="en-AU"/>
        </w:rPr>
        <w:t xml:space="preserve"> </w:t>
      </w:r>
      <w:r w:rsidR="00EE7EEC" w:rsidRPr="00703A0B">
        <w:rPr>
          <w:lang w:eastAsia="en-AU"/>
        </w:rPr>
        <w:fldChar w:fldCharType="begin"/>
      </w:r>
      <w:r w:rsidR="00EE7EEC" w:rsidRPr="00703A0B">
        <w:rPr>
          <w:lang w:eastAsia="en-AU"/>
        </w:rPr>
        <w:instrText xml:space="preserve"> REF _Ref234851488 \h  \* MERGEFORMAT </w:instrText>
      </w:r>
      <w:r w:rsidR="00EE7EEC" w:rsidRPr="00703A0B">
        <w:rPr>
          <w:lang w:eastAsia="en-AU"/>
        </w:rPr>
      </w:r>
      <w:r w:rsidR="00EE7EEC" w:rsidRPr="00703A0B">
        <w:rPr>
          <w:lang w:eastAsia="en-AU"/>
        </w:rPr>
        <w:fldChar w:fldCharType="separate"/>
      </w:r>
      <w:r w:rsidR="00AA7ECA" w:rsidRPr="00703A0B">
        <w:t xml:space="preserve">Table </w:t>
      </w:r>
      <w:r w:rsidR="00AA7ECA" w:rsidRPr="00F621D8">
        <w:t>11</w:t>
      </w:r>
      <w:r w:rsidR="00EE7EEC" w:rsidRPr="00703A0B">
        <w:rPr>
          <w:lang w:eastAsia="en-AU"/>
        </w:rPr>
        <w:fldChar w:fldCharType="end"/>
      </w:r>
      <w:r w:rsidR="007B5176" w:rsidRPr="00703A0B">
        <w:rPr>
          <w:lang w:eastAsia="en-AU"/>
        </w:rPr>
        <w:t>,</w:t>
      </w:r>
      <w:r w:rsidR="00A92054" w:rsidRPr="00703A0B">
        <w:rPr>
          <w:lang w:eastAsia="en-AU"/>
        </w:rPr>
        <w:t xml:space="preserve"> </w:t>
      </w:r>
      <w:r w:rsidR="007C1415" w:rsidRPr="00703A0B">
        <w:rPr>
          <w:lang w:eastAsia="en-AU"/>
        </w:rPr>
        <w:t>the relative</w:t>
      </w:r>
      <w:r w:rsidR="00FC14B9" w:rsidRPr="00703A0B">
        <w:rPr>
          <w:lang w:eastAsia="en-AU"/>
        </w:rPr>
        <w:t>ly</w:t>
      </w:r>
      <w:r w:rsidR="007C1415" w:rsidRPr="00703A0B">
        <w:rPr>
          <w:lang w:eastAsia="en-AU"/>
        </w:rPr>
        <w:t xml:space="preserve"> consistent </w:t>
      </w:r>
      <w:r w:rsidR="005207A8" w:rsidRPr="00703A0B">
        <w:rPr>
          <w:lang w:eastAsia="en-AU"/>
        </w:rPr>
        <w:t xml:space="preserve">approval rates for claims </w:t>
      </w:r>
      <w:r w:rsidR="00D2241E" w:rsidRPr="00703A0B">
        <w:rPr>
          <w:lang w:eastAsia="en-AU"/>
        </w:rPr>
        <w:t xml:space="preserve">in </w:t>
      </w:r>
      <w:r w:rsidR="007C1415" w:rsidRPr="00703A0B">
        <w:rPr>
          <w:lang w:eastAsia="en-AU"/>
        </w:rPr>
        <w:t>recent years</w:t>
      </w:r>
      <w:r w:rsidR="00A17235" w:rsidRPr="00703A0B">
        <w:rPr>
          <w:lang w:eastAsia="en-AU"/>
        </w:rPr>
        <w:t xml:space="preserve"> reflect the</w:t>
      </w:r>
      <w:r w:rsidR="00933C99" w:rsidRPr="00703A0B">
        <w:rPr>
          <w:lang w:eastAsia="en-AU"/>
        </w:rPr>
        <w:t xml:space="preserve"> ongoing role of the</w:t>
      </w:r>
      <w:r w:rsidR="00A17235" w:rsidRPr="00703A0B">
        <w:rPr>
          <w:lang w:eastAsia="en-AU"/>
        </w:rPr>
        <w:t xml:space="preserve"> </w:t>
      </w:r>
      <w:r w:rsidR="00747883" w:rsidRPr="00703A0B">
        <w:rPr>
          <w:lang w:eastAsia="en-AU"/>
        </w:rPr>
        <w:t xml:space="preserve">QHWS in delivering financial assistance where </w:t>
      </w:r>
      <w:r w:rsidR="00F90F1A" w:rsidRPr="00703A0B">
        <w:rPr>
          <w:lang w:eastAsia="en-AU"/>
        </w:rPr>
        <w:t xml:space="preserve">legislative </w:t>
      </w:r>
      <w:r w:rsidR="00747883" w:rsidRPr="00703A0B">
        <w:rPr>
          <w:lang w:eastAsia="en-AU"/>
        </w:rPr>
        <w:t>eligibility requirements are met</w:t>
      </w:r>
      <w:r w:rsidR="007C1415" w:rsidRPr="00703A0B">
        <w:rPr>
          <w:lang w:eastAsia="en-AU"/>
        </w:rPr>
        <w:t xml:space="preserve">. </w:t>
      </w:r>
      <w:r w:rsidR="00FF23F6" w:rsidRPr="00703A0B">
        <w:rPr>
          <w:lang w:eastAsia="en-AU"/>
        </w:rPr>
        <w:t>D</w:t>
      </w:r>
      <w:r w:rsidR="00337E2B" w:rsidRPr="00703A0B">
        <w:rPr>
          <w:lang w:eastAsia="en-AU"/>
        </w:rPr>
        <w:t>eclined</w:t>
      </w:r>
      <w:r w:rsidR="00FF23F6" w:rsidRPr="00703A0B">
        <w:rPr>
          <w:lang w:eastAsia="en-AU"/>
        </w:rPr>
        <w:t xml:space="preserve"> claim</w:t>
      </w:r>
      <w:r w:rsidR="00DC317D" w:rsidRPr="00703A0B">
        <w:rPr>
          <w:lang w:eastAsia="en-AU"/>
        </w:rPr>
        <w:t xml:space="preserve"> </w:t>
      </w:r>
      <w:r w:rsidR="00E76519" w:rsidRPr="00703A0B">
        <w:rPr>
          <w:lang w:eastAsia="en-AU"/>
        </w:rPr>
        <w:t>outcomes</w:t>
      </w:r>
      <w:r w:rsidR="00F665E2" w:rsidRPr="00703A0B">
        <w:rPr>
          <w:lang w:eastAsia="en-AU"/>
        </w:rPr>
        <w:t xml:space="preserve">, particularly those </w:t>
      </w:r>
      <w:r w:rsidR="00A356B9" w:rsidRPr="00703A0B">
        <w:rPr>
          <w:lang w:eastAsia="en-AU"/>
        </w:rPr>
        <w:t xml:space="preserve">arising from missed </w:t>
      </w:r>
      <w:r w:rsidR="00F665E2" w:rsidRPr="00703A0B">
        <w:rPr>
          <w:lang w:eastAsia="en-AU"/>
        </w:rPr>
        <w:t>statutory time limits</w:t>
      </w:r>
      <w:r w:rsidR="00FC0E7D" w:rsidRPr="00703A0B">
        <w:rPr>
          <w:lang w:eastAsia="en-AU"/>
        </w:rPr>
        <w:t xml:space="preserve">, reinforce the </w:t>
      </w:r>
      <w:r w:rsidR="006B1698" w:rsidRPr="00703A0B">
        <w:rPr>
          <w:lang w:eastAsia="en-AU"/>
        </w:rPr>
        <w:t>importance</w:t>
      </w:r>
      <w:r w:rsidR="00144297" w:rsidRPr="00703A0B">
        <w:rPr>
          <w:lang w:eastAsia="en-AU"/>
        </w:rPr>
        <w:t xml:space="preserve"> </w:t>
      </w:r>
      <w:r w:rsidR="006B1698" w:rsidRPr="00703A0B">
        <w:rPr>
          <w:lang w:eastAsia="en-AU"/>
        </w:rPr>
        <w:t>of</w:t>
      </w:r>
      <w:r w:rsidR="00390502" w:rsidRPr="00703A0B">
        <w:rPr>
          <w:lang w:eastAsia="en-AU"/>
        </w:rPr>
        <w:t xml:space="preserve"> </w:t>
      </w:r>
      <w:r w:rsidR="00E8648A" w:rsidRPr="00703A0B">
        <w:rPr>
          <w:lang w:eastAsia="en-AU"/>
        </w:rPr>
        <w:t xml:space="preserve">ensuring </w:t>
      </w:r>
      <w:proofErr w:type="gramStart"/>
      <w:r w:rsidR="00E8648A" w:rsidRPr="00703A0B">
        <w:rPr>
          <w:lang w:eastAsia="en-AU"/>
        </w:rPr>
        <w:t>home owners</w:t>
      </w:r>
      <w:proofErr w:type="gramEnd"/>
      <w:r w:rsidR="00E8648A" w:rsidRPr="00703A0B">
        <w:rPr>
          <w:lang w:eastAsia="en-AU"/>
        </w:rPr>
        <w:t xml:space="preserve"> understand QHWS coverage </w:t>
      </w:r>
      <w:r w:rsidR="0006228C" w:rsidRPr="00703A0B">
        <w:rPr>
          <w:lang w:eastAsia="en-AU"/>
        </w:rPr>
        <w:t xml:space="preserve">and conditions so they can </w:t>
      </w:r>
      <w:r w:rsidR="004638E1" w:rsidRPr="00703A0B">
        <w:rPr>
          <w:lang w:eastAsia="en-AU"/>
        </w:rPr>
        <w:t xml:space="preserve">access support when they </w:t>
      </w:r>
      <w:r w:rsidR="00EE5646" w:rsidRPr="00703A0B">
        <w:rPr>
          <w:lang w:eastAsia="en-AU"/>
        </w:rPr>
        <w:t>need</w:t>
      </w:r>
      <w:r w:rsidR="004638E1" w:rsidRPr="00703A0B">
        <w:rPr>
          <w:lang w:eastAsia="en-AU"/>
        </w:rPr>
        <w:t xml:space="preserve"> it</w:t>
      </w:r>
      <w:r w:rsidR="005C5705" w:rsidRPr="00703A0B">
        <w:rPr>
          <w:lang w:eastAsia="en-AU"/>
        </w:rPr>
        <w:t xml:space="preserve"> most</w:t>
      </w:r>
      <w:r w:rsidR="00B4228F" w:rsidRPr="00703A0B">
        <w:rPr>
          <w:lang w:eastAsia="en-AU"/>
        </w:rPr>
        <w:t>.</w:t>
      </w:r>
      <w:r w:rsidR="00F2613F" w:rsidRPr="00703A0B">
        <w:rPr>
          <w:lang w:eastAsia="en-AU"/>
        </w:rPr>
        <w:t xml:space="preserve"> </w:t>
      </w:r>
      <w:r w:rsidR="004B2C1D" w:rsidRPr="00703A0B">
        <w:rPr>
          <w:lang w:eastAsia="en-AU"/>
        </w:rPr>
        <w:t>By supporting greater awareness of</w:t>
      </w:r>
      <w:r w:rsidR="006077AC" w:rsidRPr="00703A0B">
        <w:rPr>
          <w:lang w:eastAsia="en-AU"/>
        </w:rPr>
        <w:t xml:space="preserve"> </w:t>
      </w:r>
      <w:r w:rsidR="00F9373A" w:rsidRPr="00703A0B">
        <w:rPr>
          <w:lang w:eastAsia="en-AU"/>
        </w:rPr>
        <w:t>requirements</w:t>
      </w:r>
      <w:r w:rsidR="006077AC" w:rsidRPr="00703A0B">
        <w:rPr>
          <w:lang w:eastAsia="en-AU"/>
        </w:rPr>
        <w:t xml:space="preserve"> and eligibility criteria</w:t>
      </w:r>
      <w:r w:rsidR="00F9373A" w:rsidRPr="00703A0B">
        <w:rPr>
          <w:lang w:eastAsia="en-AU"/>
        </w:rPr>
        <w:t xml:space="preserve">, </w:t>
      </w:r>
      <w:r w:rsidR="008D778C" w:rsidRPr="00703A0B">
        <w:rPr>
          <w:lang w:eastAsia="en-AU"/>
        </w:rPr>
        <w:t>the QHWS</w:t>
      </w:r>
      <w:r w:rsidR="00C24939" w:rsidRPr="00703A0B">
        <w:rPr>
          <w:lang w:eastAsia="en-AU"/>
        </w:rPr>
        <w:t xml:space="preserve"> </w:t>
      </w:r>
      <w:r w:rsidR="00F9373A" w:rsidRPr="00703A0B">
        <w:rPr>
          <w:lang w:eastAsia="en-AU"/>
        </w:rPr>
        <w:t>continue</w:t>
      </w:r>
      <w:r w:rsidR="00B45CF3" w:rsidRPr="00703A0B">
        <w:rPr>
          <w:lang w:eastAsia="en-AU"/>
        </w:rPr>
        <w:t>s</w:t>
      </w:r>
      <w:r w:rsidR="00F9373A" w:rsidRPr="00703A0B">
        <w:rPr>
          <w:lang w:eastAsia="en-AU"/>
        </w:rPr>
        <w:t xml:space="preserve"> to </w:t>
      </w:r>
      <w:r w:rsidR="00AF5F84" w:rsidRPr="00703A0B">
        <w:rPr>
          <w:lang w:eastAsia="en-AU"/>
        </w:rPr>
        <w:t xml:space="preserve">help minimise </w:t>
      </w:r>
      <w:r w:rsidR="00C24939" w:rsidRPr="00703A0B">
        <w:rPr>
          <w:lang w:eastAsia="en-AU"/>
        </w:rPr>
        <w:t>the financial impact</w:t>
      </w:r>
      <w:r w:rsidR="00AF5F84" w:rsidRPr="00703A0B">
        <w:rPr>
          <w:lang w:eastAsia="en-AU"/>
        </w:rPr>
        <w:t>s</w:t>
      </w:r>
      <w:r w:rsidR="00C24939" w:rsidRPr="00703A0B">
        <w:rPr>
          <w:lang w:eastAsia="en-AU"/>
        </w:rPr>
        <w:t xml:space="preserve"> of building </w:t>
      </w:r>
      <w:r w:rsidR="00E85E9B" w:rsidRPr="00703A0B">
        <w:rPr>
          <w:lang w:eastAsia="en-AU"/>
        </w:rPr>
        <w:t>defects</w:t>
      </w:r>
      <w:r w:rsidR="00C24939" w:rsidRPr="00703A0B">
        <w:rPr>
          <w:lang w:eastAsia="en-AU"/>
        </w:rPr>
        <w:t xml:space="preserve"> on consumers while reinforcing confidence in Queensland's residential construction </w:t>
      </w:r>
      <w:r w:rsidR="00A367D8" w:rsidRPr="00703A0B">
        <w:rPr>
          <w:lang w:eastAsia="en-AU"/>
        </w:rPr>
        <w:t>sector</w:t>
      </w:r>
      <w:r w:rsidR="00C24939" w:rsidRPr="00703A0B">
        <w:rPr>
          <w:lang w:eastAsia="en-AU"/>
        </w:rPr>
        <w:t>.</w:t>
      </w:r>
    </w:p>
    <w:p w14:paraId="26DB05BF" w14:textId="023AB36C" w:rsidR="005C2FA2" w:rsidRPr="00703A0B" w:rsidRDefault="001E4E48" w:rsidP="0046158C">
      <w:pPr>
        <w:pStyle w:val="Caption"/>
        <w:rPr>
          <w:lang w:eastAsia="en-AU"/>
        </w:rPr>
      </w:pPr>
      <w:bookmarkStart w:id="89" w:name="_Ref234851488"/>
      <w:r w:rsidRPr="00703A0B">
        <w:t xml:space="preserve">Table </w:t>
      </w:r>
      <w:r w:rsidRPr="00703A0B">
        <w:fldChar w:fldCharType="begin"/>
      </w:r>
      <w:r w:rsidRPr="00703A0B">
        <w:instrText>SEQ Table \* ARABIC</w:instrText>
      </w:r>
      <w:r w:rsidRPr="00703A0B">
        <w:fldChar w:fldCharType="separate"/>
      </w:r>
      <w:r w:rsidR="003764AA" w:rsidRPr="00F621D8">
        <w:t>11</w:t>
      </w:r>
      <w:r w:rsidRPr="00703A0B">
        <w:fldChar w:fldCharType="end"/>
      </w:r>
      <w:bookmarkEnd w:id="89"/>
      <w:r w:rsidRPr="00703A0B">
        <w:rPr>
          <w:lang w:eastAsia="en-AU"/>
        </w:rPr>
        <w:t xml:space="preserve">: </w:t>
      </w:r>
      <w:r w:rsidR="00E813AF" w:rsidRPr="00703A0B">
        <w:rPr>
          <w:lang w:eastAsia="en-AU"/>
        </w:rPr>
        <w:t xml:space="preserve">Percentage of </w:t>
      </w:r>
      <w:r w:rsidR="007A3AB5" w:rsidRPr="00703A0B">
        <w:rPr>
          <w:lang w:eastAsia="en-AU"/>
        </w:rPr>
        <w:t xml:space="preserve">approved </w:t>
      </w:r>
      <w:r w:rsidR="00E813AF" w:rsidRPr="00703A0B">
        <w:rPr>
          <w:lang w:eastAsia="en-AU"/>
        </w:rPr>
        <w:t>QHWS claims</w:t>
      </w:r>
      <w:r w:rsidR="00FF1DD8" w:rsidRPr="00703A0B">
        <w:rPr>
          <w:lang w:eastAsia="en-AU"/>
        </w:rPr>
        <w:t xml:space="preserve"> over the past </w:t>
      </w:r>
      <w:r w:rsidR="0041274D" w:rsidRPr="00703A0B">
        <w:rPr>
          <w:lang w:eastAsia="en-AU"/>
        </w:rPr>
        <w:t>t</w:t>
      </w:r>
      <w:r w:rsidR="00217F28" w:rsidRPr="00703A0B">
        <w:rPr>
          <w:lang w:eastAsia="en-AU"/>
        </w:rPr>
        <w:t>hree</w:t>
      </w:r>
      <w:r w:rsidR="00FF1DD8" w:rsidRPr="00703A0B">
        <w:rPr>
          <w:lang w:eastAsia="en-AU"/>
        </w:rPr>
        <w:t xml:space="preserve"> years</w:t>
      </w:r>
    </w:p>
    <w:tbl>
      <w:tblPr>
        <w:tblStyle w:val="TableGrid"/>
        <w:tblW w:w="10485" w:type="dxa"/>
        <w:tblCellMar>
          <w:top w:w="28" w:type="dxa"/>
          <w:bottom w:w="28" w:type="dxa"/>
        </w:tblCellMar>
        <w:tblLook w:val="04A0" w:firstRow="1" w:lastRow="0" w:firstColumn="1" w:lastColumn="0" w:noHBand="0" w:noVBand="1"/>
      </w:tblPr>
      <w:tblGrid>
        <w:gridCol w:w="4607"/>
        <w:gridCol w:w="1959"/>
        <w:gridCol w:w="1959"/>
        <w:gridCol w:w="1960"/>
      </w:tblGrid>
      <w:tr w:rsidR="000B6EEB" w:rsidRPr="00703A0B" w14:paraId="4807834E" w14:textId="77777777" w:rsidTr="00A25798">
        <w:tc>
          <w:tcPr>
            <w:tcW w:w="4607" w:type="dxa"/>
            <w:shd w:val="clear" w:color="auto" w:fill="BFBFBF" w:themeFill="background1" w:themeFillShade="BF"/>
          </w:tcPr>
          <w:p w14:paraId="1D6B1C4A" w14:textId="749C4039" w:rsidR="000B6EEB" w:rsidRPr="00703A0B" w:rsidRDefault="000B6EEB" w:rsidP="00A25798">
            <w:pPr>
              <w:rPr>
                <w:b/>
                <w:lang w:eastAsia="en-AU"/>
              </w:rPr>
            </w:pPr>
            <w:r w:rsidRPr="00703A0B">
              <w:rPr>
                <w:b/>
                <w:lang w:eastAsia="en-AU"/>
              </w:rPr>
              <w:t xml:space="preserve">QHWS defective </w:t>
            </w:r>
            <w:r w:rsidR="006670D2" w:rsidRPr="00703A0B">
              <w:rPr>
                <w:b/>
                <w:lang w:eastAsia="en-AU"/>
              </w:rPr>
              <w:t xml:space="preserve">work </w:t>
            </w:r>
            <w:r w:rsidRPr="00703A0B">
              <w:rPr>
                <w:b/>
                <w:lang w:eastAsia="en-AU"/>
              </w:rPr>
              <w:t>and non-completion claims</w:t>
            </w:r>
          </w:p>
        </w:tc>
        <w:tc>
          <w:tcPr>
            <w:tcW w:w="1959" w:type="dxa"/>
            <w:shd w:val="clear" w:color="auto" w:fill="BFBFBF" w:themeFill="background1" w:themeFillShade="BF"/>
          </w:tcPr>
          <w:p w14:paraId="2035C221" w14:textId="37D9145B" w:rsidR="000B6EEB" w:rsidRPr="00703A0B" w:rsidRDefault="000B6EEB" w:rsidP="00A25798">
            <w:pPr>
              <w:rPr>
                <w:b/>
                <w:lang w:eastAsia="en-AU"/>
              </w:rPr>
            </w:pPr>
            <w:r w:rsidRPr="00703A0B">
              <w:rPr>
                <w:b/>
                <w:bCs/>
              </w:rPr>
              <w:t xml:space="preserve">2023–24 </w:t>
            </w:r>
          </w:p>
        </w:tc>
        <w:tc>
          <w:tcPr>
            <w:tcW w:w="1959" w:type="dxa"/>
            <w:shd w:val="clear" w:color="auto" w:fill="BFBFBF" w:themeFill="background1" w:themeFillShade="BF"/>
          </w:tcPr>
          <w:p w14:paraId="3F814CB1" w14:textId="218B547D" w:rsidR="000B6EEB" w:rsidRPr="00703A0B" w:rsidRDefault="000B6EEB" w:rsidP="00A25798">
            <w:pPr>
              <w:rPr>
                <w:b/>
                <w:bCs/>
              </w:rPr>
            </w:pPr>
            <w:r w:rsidRPr="00703A0B">
              <w:rPr>
                <w:b/>
                <w:bCs/>
              </w:rPr>
              <w:t>2024-25</w:t>
            </w:r>
          </w:p>
        </w:tc>
        <w:tc>
          <w:tcPr>
            <w:tcW w:w="1960" w:type="dxa"/>
            <w:shd w:val="clear" w:color="auto" w:fill="BFBFBF" w:themeFill="background1" w:themeFillShade="BF"/>
          </w:tcPr>
          <w:p w14:paraId="49652349" w14:textId="3EC4856D" w:rsidR="000B6EEB" w:rsidRPr="00703A0B" w:rsidRDefault="000B6EEB" w:rsidP="00A25798">
            <w:pPr>
              <w:rPr>
                <w:b/>
                <w:lang w:eastAsia="en-AU"/>
              </w:rPr>
            </w:pPr>
            <w:r w:rsidRPr="00703A0B">
              <w:rPr>
                <w:b/>
              </w:rPr>
              <w:t>2025</w:t>
            </w:r>
            <w:r w:rsidRPr="00703A0B">
              <w:rPr>
                <w:b/>
                <w:bCs/>
              </w:rPr>
              <w:t>–</w:t>
            </w:r>
            <w:r w:rsidRPr="00703A0B">
              <w:rPr>
                <w:b/>
              </w:rPr>
              <w:t xml:space="preserve">26  </w:t>
            </w:r>
          </w:p>
        </w:tc>
      </w:tr>
      <w:tr w:rsidR="000B6EEB" w:rsidRPr="00703A0B" w14:paraId="23A95E5C" w14:textId="77777777" w:rsidTr="00A25798">
        <w:tc>
          <w:tcPr>
            <w:tcW w:w="4607" w:type="dxa"/>
          </w:tcPr>
          <w:p w14:paraId="634534BB" w14:textId="19B6A4A7" w:rsidR="000B6EEB" w:rsidRPr="00703A0B" w:rsidRDefault="000B6EEB" w:rsidP="00A25798">
            <w:pPr>
              <w:rPr>
                <w:lang w:eastAsia="en-AU"/>
              </w:rPr>
            </w:pPr>
            <w:r w:rsidRPr="00703A0B">
              <w:rPr>
                <w:lang w:eastAsia="en-AU"/>
              </w:rPr>
              <w:t>Approved claims</w:t>
            </w:r>
          </w:p>
        </w:tc>
        <w:tc>
          <w:tcPr>
            <w:tcW w:w="1959" w:type="dxa"/>
          </w:tcPr>
          <w:p w14:paraId="323ED27D" w14:textId="2D97D8F8" w:rsidR="000B6EEB" w:rsidRPr="00703A0B" w:rsidRDefault="000B6EEB" w:rsidP="00A25798">
            <w:pPr>
              <w:rPr>
                <w:lang w:eastAsia="en-AU"/>
              </w:rPr>
            </w:pPr>
            <w:r w:rsidRPr="00703A0B">
              <w:rPr>
                <w:lang w:eastAsia="en-AU"/>
              </w:rPr>
              <w:t>41.4%</w:t>
            </w:r>
          </w:p>
        </w:tc>
        <w:tc>
          <w:tcPr>
            <w:tcW w:w="1959" w:type="dxa"/>
          </w:tcPr>
          <w:p w14:paraId="1929036C" w14:textId="2958B2C9" w:rsidR="000B6EEB" w:rsidRPr="00703A0B" w:rsidRDefault="000B6EEB" w:rsidP="00A25798">
            <w:pPr>
              <w:rPr>
                <w:lang w:eastAsia="en-AU"/>
              </w:rPr>
            </w:pPr>
            <w:r w:rsidRPr="00703A0B">
              <w:rPr>
                <w:lang w:eastAsia="en-AU"/>
              </w:rPr>
              <w:t>42.7%</w:t>
            </w:r>
          </w:p>
        </w:tc>
        <w:tc>
          <w:tcPr>
            <w:tcW w:w="1960" w:type="dxa"/>
          </w:tcPr>
          <w:p w14:paraId="2F1DC207" w14:textId="4ACF8809" w:rsidR="000B6EEB" w:rsidRPr="00703A0B" w:rsidRDefault="000B6EEB" w:rsidP="00A25798">
            <w:pPr>
              <w:rPr>
                <w:lang w:eastAsia="en-AU"/>
              </w:rPr>
            </w:pPr>
            <w:r w:rsidRPr="00703A0B">
              <w:rPr>
                <w:lang w:eastAsia="en-AU"/>
              </w:rPr>
              <w:t>44.7%</w:t>
            </w:r>
          </w:p>
        </w:tc>
      </w:tr>
    </w:tbl>
    <w:p w14:paraId="05B4A124" w14:textId="5EC55CD6" w:rsidR="68BD6C7A" w:rsidRPr="00703A0B" w:rsidRDefault="00D94EF8" w:rsidP="1906E94E">
      <w:pPr>
        <w:spacing w:before="120" w:after="120"/>
      </w:pPr>
      <w:r w:rsidRPr="00703A0B">
        <w:rPr>
          <w:lang w:eastAsia="en-AU"/>
        </w:rPr>
        <w:t>D</w:t>
      </w:r>
      <w:r w:rsidR="68BD6C7A" w:rsidRPr="00703A0B">
        <w:rPr>
          <w:lang w:eastAsia="en-AU"/>
        </w:rPr>
        <w:t>emand for home warranty insurance remained strong throughout 2025–26</w:t>
      </w:r>
      <w:r w:rsidRPr="00703A0B">
        <w:rPr>
          <w:lang w:eastAsia="en-AU"/>
        </w:rPr>
        <w:t>, with the QBCC issuing</w:t>
      </w:r>
      <w:r w:rsidR="00FA59B2" w:rsidRPr="00703A0B">
        <w:rPr>
          <w:lang w:eastAsia="en-AU"/>
        </w:rPr>
        <w:t xml:space="preserve"> </w:t>
      </w:r>
      <w:r w:rsidR="00FC4B38" w:rsidRPr="00703A0B">
        <w:rPr>
          <w:lang w:eastAsia="en-AU"/>
        </w:rPr>
        <w:t xml:space="preserve">a record </w:t>
      </w:r>
      <w:r w:rsidR="00B24410" w:rsidRPr="00703A0B">
        <w:rPr>
          <w:lang w:eastAsia="en-AU"/>
        </w:rPr>
        <w:t xml:space="preserve">number of </w:t>
      </w:r>
      <w:r w:rsidR="68BD6C7A" w:rsidRPr="00703A0B">
        <w:rPr>
          <w:lang w:eastAsia="en-AU"/>
        </w:rPr>
        <w:t>home warranty policies</w:t>
      </w:r>
      <w:r w:rsidR="00FA59B2" w:rsidRPr="00703A0B">
        <w:rPr>
          <w:lang w:eastAsia="en-AU"/>
        </w:rPr>
        <w:t xml:space="preserve"> by 30 June</w:t>
      </w:r>
      <w:r w:rsidR="00C4486F" w:rsidRPr="00703A0B">
        <w:rPr>
          <w:lang w:eastAsia="en-AU"/>
        </w:rPr>
        <w:t xml:space="preserve"> </w:t>
      </w:r>
      <w:r w:rsidR="00FA59B2" w:rsidRPr="00703A0B">
        <w:rPr>
          <w:lang w:eastAsia="en-AU"/>
        </w:rPr>
        <w:t>2026</w:t>
      </w:r>
      <w:r w:rsidR="00F074F2" w:rsidRPr="00703A0B">
        <w:rPr>
          <w:lang w:eastAsia="en-AU"/>
        </w:rPr>
        <w:t xml:space="preserve"> </w:t>
      </w:r>
      <w:r w:rsidR="002E6D78" w:rsidRPr="00703A0B">
        <w:rPr>
          <w:lang w:eastAsia="en-AU"/>
        </w:rPr>
        <w:t>(</w:t>
      </w:r>
      <w:r w:rsidR="002E6D78" w:rsidRPr="00703A0B">
        <w:rPr>
          <w:lang w:eastAsia="en-AU"/>
        </w:rPr>
        <w:fldChar w:fldCharType="begin"/>
      </w:r>
      <w:r w:rsidR="002E6D78" w:rsidRPr="00703A0B">
        <w:rPr>
          <w:lang w:eastAsia="en-AU"/>
        </w:rPr>
        <w:instrText xml:space="preserve"> REF _Ref234418734 \h </w:instrText>
      </w:r>
      <w:r w:rsidR="002E6D78" w:rsidRPr="00703A0B">
        <w:rPr>
          <w:lang w:eastAsia="en-AU"/>
        </w:rPr>
      </w:r>
      <w:r w:rsidR="002E6D78" w:rsidRPr="00703A0B">
        <w:rPr>
          <w:lang w:eastAsia="en-AU"/>
        </w:rPr>
        <w:fldChar w:fldCharType="separate"/>
      </w:r>
      <w:r w:rsidR="00470F65" w:rsidRPr="00703A0B">
        <w:t xml:space="preserve">Table </w:t>
      </w:r>
      <w:r w:rsidR="00470F65" w:rsidRPr="00F621D8">
        <w:t>12</w:t>
      </w:r>
      <w:r w:rsidR="002E6D78" w:rsidRPr="00703A0B">
        <w:rPr>
          <w:lang w:eastAsia="en-AU"/>
        </w:rPr>
        <w:fldChar w:fldCharType="end"/>
      </w:r>
      <w:r w:rsidR="002E6D78" w:rsidRPr="00703A0B">
        <w:rPr>
          <w:lang w:eastAsia="en-AU"/>
        </w:rPr>
        <w:t>)</w:t>
      </w:r>
      <w:r w:rsidR="68BD6C7A" w:rsidRPr="00703A0B">
        <w:rPr>
          <w:lang w:eastAsia="en-AU"/>
        </w:rPr>
        <w:t xml:space="preserve">. </w:t>
      </w:r>
      <w:r w:rsidR="00267F88" w:rsidRPr="00703A0B">
        <w:rPr>
          <w:lang w:eastAsia="en-AU"/>
        </w:rPr>
        <w:t>Th</w:t>
      </w:r>
      <w:r w:rsidR="006E4B31" w:rsidRPr="00703A0B">
        <w:rPr>
          <w:lang w:eastAsia="en-AU"/>
        </w:rPr>
        <w:t xml:space="preserve">e </w:t>
      </w:r>
      <w:r w:rsidR="00267F88" w:rsidRPr="00703A0B">
        <w:rPr>
          <w:lang w:eastAsia="en-AU"/>
        </w:rPr>
        <w:t>growth was driven by c</w:t>
      </w:r>
      <w:r w:rsidR="0058497E" w:rsidRPr="00703A0B">
        <w:rPr>
          <w:lang w:eastAsia="en-AU"/>
        </w:rPr>
        <w:t>ontinued strength in both new residential construction and renovation activity, with renovation work reaching record levels</w:t>
      </w:r>
      <w:r w:rsidR="00267F88" w:rsidRPr="00703A0B">
        <w:rPr>
          <w:lang w:eastAsia="en-AU"/>
        </w:rPr>
        <w:t xml:space="preserve"> during the reporting period</w:t>
      </w:r>
      <w:r w:rsidR="0058497E" w:rsidRPr="00703A0B">
        <w:rPr>
          <w:lang w:eastAsia="en-AU"/>
        </w:rPr>
        <w:t>.</w:t>
      </w:r>
      <w:r w:rsidR="007D5EE1" w:rsidRPr="00703A0B">
        <w:rPr>
          <w:lang w:eastAsia="en-AU"/>
        </w:rPr>
        <w:t xml:space="preserve"> </w:t>
      </w:r>
      <w:r w:rsidR="68BD6C7A" w:rsidRPr="00703A0B">
        <w:rPr>
          <w:lang w:eastAsia="en-AU"/>
        </w:rPr>
        <w:t>Premium revenue exceed</w:t>
      </w:r>
      <w:r w:rsidR="008E4CBE" w:rsidRPr="00703A0B">
        <w:rPr>
          <w:lang w:eastAsia="en-AU"/>
        </w:rPr>
        <w:t xml:space="preserve">ed </w:t>
      </w:r>
      <w:r w:rsidR="68BD6C7A" w:rsidRPr="00703A0B">
        <w:rPr>
          <w:lang w:eastAsia="en-AU"/>
        </w:rPr>
        <w:t>revised forecasts</w:t>
      </w:r>
      <w:r w:rsidR="009110B9" w:rsidRPr="00703A0B">
        <w:rPr>
          <w:lang w:eastAsia="en-AU"/>
        </w:rPr>
        <w:t xml:space="preserve">, reflecting </w:t>
      </w:r>
      <w:r w:rsidR="68BD6C7A" w:rsidRPr="00703A0B">
        <w:rPr>
          <w:lang w:eastAsia="en-AU"/>
        </w:rPr>
        <w:t>higher-than-expected building activity</w:t>
      </w:r>
      <w:r w:rsidR="009110B9" w:rsidRPr="00703A0B">
        <w:rPr>
          <w:lang w:eastAsia="en-AU"/>
        </w:rPr>
        <w:t xml:space="preserve">, </w:t>
      </w:r>
      <w:r w:rsidR="68BD6C7A" w:rsidRPr="00703A0B">
        <w:rPr>
          <w:lang w:eastAsia="en-AU"/>
        </w:rPr>
        <w:t>increasing contract values</w:t>
      </w:r>
      <w:r w:rsidR="009110B9" w:rsidRPr="00703A0B">
        <w:rPr>
          <w:lang w:eastAsia="en-AU"/>
        </w:rPr>
        <w:t xml:space="preserve"> and </w:t>
      </w:r>
      <w:r w:rsidR="00267F88" w:rsidRPr="00703A0B">
        <w:rPr>
          <w:lang w:eastAsia="en-AU"/>
        </w:rPr>
        <w:t>greater</w:t>
      </w:r>
      <w:r w:rsidR="00F71264" w:rsidRPr="00703A0B">
        <w:rPr>
          <w:lang w:eastAsia="en-AU"/>
        </w:rPr>
        <w:t xml:space="preserve"> </w:t>
      </w:r>
      <w:r w:rsidR="00E2205F" w:rsidRPr="00703A0B">
        <w:rPr>
          <w:lang w:eastAsia="en-AU"/>
        </w:rPr>
        <w:t>volumes of</w:t>
      </w:r>
      <w:r w:rsidR="68BD6C7A" w:rsidRPr="00703A0B">
        <w:rPr>
          <w:lang w:eastAsia="en-AU"/>
        </w:rPr>
        <w:t xml:space="preserve"> insurable work.</w:t>
      </w:r>
      <w:r w:rsidR="008D3756" w:rsidRPr="00703A0B">
        <w:rPr>
          <w:lang w:eastAsia="en-AU"/>
        </w:rPr>
        <w:t xml:space="preserve"> </w:t>
      </w:r>
      <w:r w:rsidR="004552ED" w:rsidRPr="00703A0B">
        <w:rPr>
          <w:lang w:eastAsia="en-AU"/>
        </w:rPr>
        <w:t>Strong g</w:t>
      </w:r>
      <w:r w:rsidR="008D3756" w:rsidRPr="00703A0B">
        <w:rPr>
          <w:lang w:eastAsia="en-AU"/>
        </w:rPr>
        <w:t xml:space="preserve">rowth in policy volumes and premium revenue </w:t>
      </w:r>
      <w:r w:rsidR="00FE5905" w:rsidRPr="00703A0B">
        <w:rPr>
          <w:lang w:eastAsia="en-AU"/>
        </w:rPr>
        <w:t xml:space="preserve">has further </w:t>
      </w:r>
      <w:r w:rsidR="008D3756" w:rsidRPr="00703A0B">
        <w:rPr>
          <w:lang w:eastAsia="en-AU"/>
        </w:rPr>
        <w:t>strengthen</w:t>
      </w:r>
      <w:r w:rsidR="00FE5905" w:rsidRPr="00703A0B">
        <w:rPr>
          <w:lang w:eastAsia="en-AU"/>
        </w:rPr>
        <w:t>ed</w:t>
      </w:r>
      <w:r w:rsidR="008D3756" w:rsidRPr="00703A0B">
        <w:rPr>
          <w:lang w:eastAsia="en-AU"/>
        </w:rPr>
        <w:t xml:space="preserve"> the long-term sustainability of the scheme, ensuring the QBCC remains well positioned to provide </w:t>
      </w:r>
      <w:r w:rsidR="00915895" w:rsidRPr="00703A0B">
        <w:rPr>
          <w:lang w:eastAsia="en-AU"/>
        </w:rPr>
        <w:t xml:space="preserve">financial </w:t>
      </w:r>
      <w:r w:rsidR="008D3756" w:rsidRPr="00703A0B">
        <w:rPr>
          <w:lang w:eastAsia="en-AU"/>
        </w:rPr>
        <w:t xml:space="preserve">protection for </w:t>
      </w:r>
      <w:proofErr w:type="gramStart"/>
      <w:r w:rsidR="008D3756" w:rsidRPr="00703A0B">
        <w:rPr>
          <w:lang w:eastAsia="en-AU"/>
        </w:rPr>
        <w:t>home owners</w:t>
      </w:r>
      <w:proofErr w:type="gramEnd"/>
      <w:r w:rsidR="008D3756" w:rsidRPr="00703A0B">
        <w:rPr>
          <w:lang w:eastAsia="en-AU"/>
        </w:rPr>
        <w:t xml:space="preserve"> when defective or incomplete building work occurs.</w:t>
      </w:r>
    </w:p>
    <w:p w14:paraId="720DEAB8" w14:textId="5F353D6A" w:rsidR="00DB7585" w:rsidRPr="00703A0B" w:rsidRDefault="003D4DC0" w:rsidP="00290676">
      <w:pPr>
        <w:pStyle w:val="Caption"/>
        <w:rPr>
          <w:lang w:eastAsia="en-AU"/>
        </w:rPr>
      </w:pPr>
      <w:bookmarkStart w:id="90" w:name="_Ref234418734"/>
      <w:r w:rsidRPr="00703A0B">
        <w:t xml:space="preserve">Table </w:t>
      </w:r>
      <w:r w:rsidRPr="00703A0B">
        <w:fldChar w:fldCharType="begin"/>
      </w:r>
      <w:r w:rsidRPr="00703A0B">
        <w:instrText>SEQ Table \* ARABIC</w:instrText>
      </w:r>
      <w:r w:rsidRPr="00703A0B">
        <w:fldChar w:fldCharType="separate"/>
      </w:r>
      <w:r w:rsidR="003764AA" w:rsidRPr="00F621D8">
        <w:t>12</w:t>
      </w:r>
      <w:r w:rsidRPr="00703A0B">
        <w:fldChar w:fldCharType="end"/>
      </w:r>
      <w:bookmarkEnd w:id="90"/>
      <w:r w:rsidR="195752CA" w:rsidRPr="00703A0B">
        <w:t xml:space="preserve">: QHWS activities </w:t>
      </w:r>
      <w:r w:rsidR="00290676" w:rsidRPr="00703A0B">
        <w:t>administered</w:t>
      </w:r>
      <w:r w:rsidR="195752CA" w:rsidRPr="00703A0B">
        <w:t xml:space="preserve"> over the past five years</w:t>
      </w:r>
    </w:p>
    <w:tbl>
      <w:tblPr>
        <w:tblW w:w="10482" w:type="dxa"/>
        <w:tblBorders>
          <w:top w:val="outset" w:sz="6" w:space="0" w:color="auto"/>
          <w:left w:val="outset" w:sz="6" w:space="0" w:color="auto"/>
          <w:bottom w:val="outset" w:sz="6" w:space="0" w:color="auto"/>
          <w:right w:val="outset" w:sz="6" w:space="0" w:color="auto"/>
        </w:tblBorders>
        <w:tblLayout w:type="fixed"/>
        <w:tblCellMar>
          <w:top w:w="28" w:type="dxa"/>
          <w:bottom w:w="28" w:type="dxa"/>
        </w:tblCellMar>
        <w:tblLook w:val="04A0" w:firstRow="1" w:lastRow="0" w:firstColumn="1" w:lastColumn="0" w:noHBand="0" w:noVBand="1"/>
      </w:tblPr>
      <w:tblGrid>
        <w:gridCol w:w="4245"/>
        <w:gridCol w:w="1247"/>
        <w:gridCol w:w="1247"/>
        <w:gridCol w:w="1248"/>
        <w:gridCol w:w="1247"/>
        <w:gridCol w:w="1248"/>
      </w:tblGrid>
      <w:tr w:rsidR="00041074" w:rsidRPr="00703A0B" w14:paraId="599D9BB1" w14:textId="77777777" w:rsidTr="00B90AF1">
        <w:tc>
          <w:tcPr>
            <w:tcW w:w="424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E2E02B2" w14:textId="52BA9BEC" w:rsidR="00041074" w:rsidRPr="00703A0B" w:rsidRDefault="00DD3D31" w:rsidP="00B90AF1">
            <w:pPr>
              <w:rPr>
                <w:lang w:eastAsia="en-AU"/>
              </w:rPr>
            </w:pPr>
            <w:r w:rsidRPr="00703A0B">
              <w:rPr>
                <w:b/>
                <w:bCs/>
                <w:lang w:eastAsia="en-AU"/>
              </w:rPr>
              <w:t>QHWS activities</w:t>
            </w:r>
          </w:p>
        </w:tc>
        <w:tc>
          <w:tcPr>
            <w:tcW w:w="124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5653DFA" w14:textId="68CE4DF4" w:rsidR="00041074" w:rsidRPr="00703A0B" w:rsidRDefault="00041074" w:rsidP="00B90AF1">
            <w:pPr>
              <w:rPr>
                <w:lang w:eastAsia="en-AU"/>
              </w:rPr>
            </w:pPr>
            <w:r w:rsidRPr="00703A0B">
              <w:rPr>
                <w:b/>
                <w:bCs/>
                <w:lang w:eastAsia="en-AU"/>
              </w:rPr>
              <w:t>2021</w:t>
            </w:r>
            <w:r w:rsidR="009D1D37" w:rsidRPr="00703A0B">
              <w:rPr>
                <w:b/>
                <w:bCs/>
                <w:lang w:eastAsia="en-AU"/>
              </w:rPr>
              <w:t>–</w:t>
            </w:r>
            <w:r w:rsidRPr="00703A0B">
              <w:rPr>
                <w:b/>
                <w:bCs/>
                <w:lang w:eastAsia="en-AU"/>
              </w:rPr>
              <w:t>22</w:t>
            </w:r>
          </w:p>
        </w:tc>
        <w:tc>
          <w:tcPr>
            <w:tcW w:w="124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58076833" w14:textId="4D918A24" w:rsidR="00041074" w:rsidRPr="00703A0B" w:rsidRDefault="00041074" w:rsidP="00B90AF1">
            <w:pPr>
              <w:rPr>
                <w:lang w:eastAsia="en-AU"/>
              </w:rPr>
            </w:pPr>
            <w:r w:rsidRPr="00703A0B">
              <w:rPr>
                <w:b/>
                <w:bCs/>
                <w:lang w:eastAsia="en-AU"/>
              </w:rPr>
              <w:t>2022</w:t>
            </w:r>
            <w:r w:rsidR="009D1D37" w:rsidRPr="00703A0B">
              <w:rPr>
                <w:b/>
                <w:bCs/>
                <w:lang w:eastAsia="en-AU"/>
              </w:rPr>
              <w:t>–</w:t>
            </w:r>
            <w:r w:rsidRPr="00703A0B">
              <w:rPr>
                <w:b/>
                <w:bCs/>
                <w:lang w:eastAsia="en-AU"/>
              </w:rPr>
              <w:t>23</w:t>
            </w:r>
          </w:p>
        </w:tc>
        <w:tc>
          <w:tcPr>
            <w:tcW w:w="124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F355833" w14:textId="636D749F" w:rsidR="00041074" w:rsidRPr="00703A0B" w:rsidRDefault="00041074" w:rsidP="00B90AF1">
            <w:pPr>
              <w:rPr>
                <w:lang w:eastAsia="en-AU"/>
              </w:rPr>
            </w:pPr>
            <w:r w:rsidRPr="00703A0B">
              <w:rPr>
                <w:b/>
                <w:bCs/>
                <w:lang w:eastAsia="en-AU"/>
              </w:rPr>
              <w:t>2023</w:t>
            </w:r>
            <w:r w:rsidR="009D1D37" w:rsidRPr="00703A0B">
              <w:rPr>
                <w:b/>
                <w:bCs/>
                <w:lang w:eastAsia="en-AU"/>
              </w:rPr>
              <w:t>–</w:t>
            </w:r>
            <w:r w:rsidRPr="00703A0B">
              <w:rPr>
                <w:b/>
                <w:bCs/>
                <w:lang w:eastAsia="en-AU"/>
              </w:rPr>
              <w:t>24</w:t>
            </w:r>
          </w:p>
        </w:tc>
        <w:tc>
          <w:tcPr>
            <w:tcW w:w="124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C85770B" w14:textId="791FE707" w:rsidR="00041074" w:rsidRPr="00703A0B" w:rsidRDefault="00041074" w:rsidP="00B90AF1">
            <w:pPr>
              <w:rPr>
                <w:lang w:eastAsia="en-AU"/>
              </w:rPr>
            </w:pPr>
            <w:r w:rsidRPr="00703A0B">
              <w:rPr>
                <w:b/>
                <w:bCs/>
                <w:lang w:eastAsia="en-AU"/>
              </w:rPr>
              <w:t>2024</w:t>
            </w:r>
            <w:r w:rsidR="009D1D37" w:rsidRPr="00703A0B">
              <w:rPr>
                <w:b/>
                <w:bCs/>
                <w:lang w:eastAsia="en-AU"/>
              </w:rPr>
              <w:t>–</w:t>
            </w:r>
            <w:r w:rsidRPr="00703A0B">
              <w:rPr>
                <w:b/>
                <w:bCs/>
                <w:lang w:eastAsia="en-AU"/>
              </w:rPr>
              <w:t>25</w:t>
            </w:r>
          </w:p>
        </w:tc>
        <w:tc>
          <w:tcPr>
            <w:tcW w:w="124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734A4A9" w14:textId="57EEEDA1" w:rsidR="00041074" w:rsidRPr="00703A0B" w:rsidRDefault="00041074" w:rsidP="00B90AF1">
            <w:pPr>
              <w:rPr>
                <w:lang w:eastAsia="en-AU"/>
              </w:rPr>
            </w:pPr>
            <w:r w:rsidRPr="00703A0B">
              <w:rPr>
                <w:b/>
                <w:bCs/>
                <w:lang w:eastAsia="en-AU"/>
              </w:rPr>
              <w:t>2025</w:t>
            </w:r>
            <w:r w:rsidR="009D1D37" w:rsidRPr="00703A0B">
              <w:rPr>
                <w:b/>
                <w:bCs/>
                <w:lang w:eastAsia="en-AU"/>
              </w:rPr>
              <w:t>–</w:t>
            </w:r>
            <w:r w:rsidRPr="00703A0B">
              <w:rPr>
                <w:b/>
                <w:bCs/>
                <w:lang w:eastAsia="en-AU"/>
              </w:rPr>
              <w:t>26</w:t>
            </w:r>
          </w:p>
        </w:tc>
      </w:tr>
      <w:tr w:rsidR="00760DD8" w:rsidRPr="00703A0B" w14:paraId="4B47BC0C" w14:textId="77777777" w:rsidTr="00B90AF1">
        <w:tc>
          <w:tcPr>
            <w:tcW w:w="10482" w:type="dxa"/>
            <w:gridSpan w:val="6"/>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A97C405" w14:textId="792B6916" w:rsidR="00760DD8" w:rsidRPr="00703A0B" w:rsidRDefault="00760DD8" w:rsidP="00C76FF3">
            <w:pPr>
              <w:rPr>
                <w:lang w:eastAsia="en-AU"/>
              </w:rPr>
            </w:pPr>
            <w:r w:rsidRPr="00703A0B">
              <w:rPr>
                <w:lang w:eastAsia="en-AU"/>
              </w:rPr>
              <w:t>Insurance claims</w:t>
            </w:r>
            <w:r w:rsidR="00C624DB" w:rsidRPr="00703A0B">
              <w:rPr>
                <w:lang w:eastAsia="en-AU"/>
              </w:rPr>
              <w:t xml:space="preserve"> </w:t>
            </w:r>
            <w:r w:rsidR="000671EE" w:rsidRPr="00703A0B">
              <w:rPr>
                <w:lang w:eastAsia="en-AU"/>
              </w:rPr>
              <w:t>approved</w:t>
            </w:r>
          </w:p>
        </w:tc>
      </w:tr>
      <w:tr w:rsidR="00041074" w:rsidRPr="00703A0B" w14:paraId="19C86CBF" w14:textId="77777777" w:rsidTr="00B90AF1">
        <w:tc>
          <w:tcPr>
            <w:tcW w:w="4245" w:type="dxa"/>
            <w:tcBorders>
              <w:top w:val="single" w:sz="6" w:space="0" w:color="auto"/>
              <w:left w:val="single" w:sz="6" w:space="0" w:color="auto"/>
              <w:bottom w:val="single" w:sz="6" w:space="0" w:color="auto"/>
              <w:right w:val="single" w:sz="6" w:space="0" w:color="auto"/>
            </w:tcBorders>
            <w:hideMark/>
          </w:tcPr>
          <w:p w14:paraId="51295D54" w14:textId="3C323CBF" w:rsidR="00041074" w:rsidRPr="00703A0B" w:rsidRDefault="00C07D65" w:rsidP="00C76FF3">
            <w:pPr>
              <w:rPr>
                <w:lang w:eastAsia="en-AU"/>
              </w:rPr>
            </w:pPr>
            <w:r w:rsidRPr="00703A0B">
              <w:rPr>
                <w:lang w:eastAsia="en-AU"/>
              </w:rPr>
              <w:t>Non-completion</w:t>
            </w:r>
            <w:r w:rsidR="00041074" w:rsidRPr="00703A0B">
              <w:rPr>
                <w:lang w:eastAsia="en-AU"/>
              </w:rPr>
              <w:t> </w:t>
            </w:r>
            <w:r w:rsidR="00864838" w:rsidRPr="00703A0B">
              <w:rPr>
                <w:lang w:eastAsia="en-AU"/>
              </w:rPr>
              <w:t>(M)</w:t>
            </w:r>
          </w:p>
        </w:tc>
        <w:tc>
          <w:tcPr>
            <w:tcW w:w="1247" w:type="dxa"/>
            <w:tcBorders>
              <w:top w:val="single" w:sz="6" w:space="0" w:color="auto"/>
              <w:left w:val="single" w:sz="6" w:space="0" w:color="auto"/>
              <w:bottom w:val="single" w:sz="6" w:space="0" w:color="auto"/>
              <w:right w:val="single" w:sz="6" w:space="0" w:color="auto"/>
            </w:tcBorders>
            <w:hideMark/>
          </w:tcPr>
          <w:p w14:paraId="3552BC2E" w14:textId="6DBE150B" w:rsidR="00041074" w:rsidRPr="00703A0B" w:rsidRDefault="00041074" w:rsidP="00B90AF1">
            <w:pPr>
              <w:rPr>
                <w:lang w:eastAsia="en-AU"/>
              </w:rPr>
            </w:pPr>
            <w:r w:rsidRPr="00703A0B">
              <w:rPr>
                <w:lang w:eastAsia="en-AU"/>
              </w:rPr>
              <w:t>$13.4</w:t>
            </w:r>
          </w:p>
        </w:tc>
        <w:tc>
          <w:tcPr>
            <w:tcW w:w="1247" w:type="dxa"/>
            <w:tcBorders>
              <w:top w:val="single" w:sz="6" w:space="0" w:color="auto"/>
              <w:left w:val="single" w:sz="6" w:space="0" w:color="auto"/>
              <w:bottom w:val="single" w:sz="6" w:space="0" w:color="auto"/>
              <w:right w:val="single" w:sz="6" w:space="0" w:color="auto"/>
            </w:tcBorders>
            <w:hideMark/>
          </w:tcPr>
          <w:p w14:paraId="4209F3FF" w14:textId="303A409B" w:rsidR="00041074" w:rsidRPr="00703A0B" w:rsidRDefault="00041074" w:rsidP="00B90AF1">
            <w:pPr>
              <w:rPr>
                <w:lang w:eastAsia="en-AU"/>
              </w:rPr>
            </w:pPr>
            <w:r w:rsidRPr="00703A0B">
              <w:rPr>
                <w:lang w:eastAsia="en-AU"/>
              </w:rPr>
              <w:t>$47.5</w:t>
            </w:r>
          </w:p>
        </w:tc>
        <w:tc>
          <w:tcPr>
            <w:tcW w:w="1248" w:type="dxa"/>
            <w:tcBorders>
              <w:top w:val="single" w:sz="6" w:space="0" w:color="auto"/>
              <w:left w:val="single" w:sz="6" w:space="0" w:color="auto"/>
              <w:bottom w:val="single" w:sz="6" w:space="0" w:color="auto"/>
              <w:right w:val="single" w:sz="6" w:space="0" w:color="auto"/>
            </w:tcBorders>
            <w:hideMark/>
          </w:tcPr>
          <w:p w14:paraId="12E25BD3" w14:textId="45CD4CA8" w:rsidR="00041074" w:rsidRPr="00703A0B" w:rsidRDefault="00041074" w:rsidP="00B90AF1">
            <w:pPr>
              <w:rPr>
                <w:lang w:eastAsia="en-AU"/>
              </w:rPr>
            </w:pPr>
            <w:r w:rsidRPr="00703A0B">
              <w:rPr>
                <w:lang w:eastAsia="en-AU"/>
              </w:rPr>
              <w:t>$62.9</w:t>
            </w:r>
          </w:p>
        </w:tc>
        <w:tc>
          <w:tcPr>
            <w:tcW w:w="1247" w:type="dxa"/>
            <w:tcBorders>
              <w:top w:val="single" w:sz="6" w:space="0" w:color="auto"/>
              <w:left w:val="single" w:sz="6" w:space="0" w:color="auto"/>
              <w:bottom w:val="single" w:sz="6" w:space="0" w:color="auto"/>
              <w:right w:val="single" w:sz="6" w:space="0" w:color="auto"/>
            </w:tcBorders>
            <w:hideMark/>
          </w:tcPr>
          <w:p w14:paraId="10E96D7F" w14:textId="70029468" w:rsidR="00041074" w:rsidRPr="00703A0B" w:rsidRDefault="00041074" w:rsidP="00B90AF1">
            <w:pPr>
              <w:rPr>
                <w:lang w:eastAsia="en-AU"/>
              </w:rPr>
            </w:pPr>
            <w:r w:rsidRPr="00703A0B">
              <w:rPr>
                <w:lang w:eastAsia="en-AU"/>
              </w:rPr>
              <w:t>$31.4</w:t>
            </w:r>
          </w:p>
        </w:tc>
        <w:tc>
          <w:tcPr>
            <w:tcW w:w="1248" w:type="dxa"/>
            <w:tcBorders>
              <w:top w:val="single" w:sz="6" w:space="0" w:color="auto"/>
              <w:left w:val="single" w:sz="6" w:space="0" w:color="auto"/>
              <w:bottom w:val="single" w:sz="6" w:space="0" w:color="auto"/>
              <w:right w:val="single" w:sz="6" w:space="0" w:color="auto"/>
            </w:tcBorders>
            <w:hideMark/>
          </w:tcPr>
          <w:p w14:paraId="661A4B52" w14:textId="2E044FA5" w:rsidR="00041074" w:rsidRPr="00703A0B" w:rsidRDefault="001A49A4" w:rsidP="00B90AF1">
            <w:pPr>
              <w:rPr>
                <w:lang w:eastAsia="en-AU"/>
              </w:rPr>
            </w:pPr>
            <w:r w:rsidRPr="00703A0B">
              <w:rPr>
                <w:lang w:eastAsia="en-AU"/>
              </w:rPr>
              <w:t>$</w:t>
            </w:r>
            <w:r w:rsidR="00176C59" w:rsidRPr="00703A0B">
              <w:rPr>
                <w:lang w:eastAsia="en-AU"/>
              </w:rPr>
              <w:t>24.8</w:t>
            </w:r>
          </w:p>
        </w:tc>
      </w:tr>
      <w:tr w:rsidR="00041074" w:rsidRPr="00703A0B" w14:paraId="4B1D4A3F" w14:textId="77777777" w:rsidTr="00B90AF1">
        <w:tc>
          <w:tcPr>
            <w:tcW w:w="4245" w:type="dxa"/>
            <w:tcBorders>
              <w:top w:val="single" w:sz="6" w:space="0" w:color="auto"/>
              <w:left w:val="single" w:sz="6" w:space="0" w:color="auto"/>
              <w:bottom w:val="single" w:sz="6" w:space="0" w:color="auto"/>
              <w:right w:val="single" w:sz="6" w:space="0" w:color="auto"/>
            </w:tcBorders>
            <w:hideMark/>
          </w:tcPr>
          <w:p w14:paraId="39009AB4" w14:textId="7A3B3920" w:rsidR="00041074" w:rsidRPr="00703A0B" w:rsidRDefault="00041074" w:rsidP="00C76FF3">
            <w:pPr>
              <w:rPr>
                <w:lang w:eastAsia="en-AU"/>
              </w:rPr>
            </w:pPr>
            <w:r w:rsidRPr="00703A0B">
              <w:rPr>
                <w:lang w:eastAsia="en-AU"/>
              </w:rPr>
              <w:t>Defects </w:t>
            </w:r>
            <w:r w:rsidR="00864838" w:rsidRPr="00703A0B">
              <w:rPr>
                <w:lang w:eastAsia="en-AU"/>
              </w:rPr>
              <w:t>(M)</w:t>
            </w:r>
          </w:p>
        </w:tc>
        <w:tc>
          <w:tcPr>
            <w:tcW w:w="1247" w:type="dxa"/>
            <w:tcBorders>
              <w:top w:val="single" w:sz="6" w:space="0" w:color="auto"/>
              <w:left w:val="single" w:sz="6" w:space="0" w:color="auto"/>
              <w:bottom w:val="single" w:sz="6" w:space="0" w:color="auto"/>
              <w:right w:val="single" w:sz="6" w:space="0" w:color="auto"/>
            </w:tcBorders>
            <w:hideMark/>
          </w:tcPr>
          <w:p w14:paraId="60DD329B" w14:textId="76703C23" w:rsidR="00041074" w:rsidRPr="00703A0B" w:rsidRDefault="00041074" w:rsidP="00B90AF1">
            <w:pPr>
              <w:rPr>
                <w:lang w:eastAsia="en-AU"/>
              </w:rPr>
            </w:pPr>
            <w:r w:rsidRPr="00703A0B">
              <w:rPr>
                <w:lang w:eastAsia="en-AU"/>
              </w:rPr>
              <w:t>$16.9</w:t>
            </w:r>
          </w:p>
        </w:tc>
        <w:tc>
          <w:tcPr>
            <w:tcW w:w="1247" w:type="dxa"/>
            <w:tcBorders>
              <w:top w:val="single" w:sz="6" w:space="0" w:color="auto"/>
              <w:left w:val="single" w:sz="6" w:space="0" w:color="auto"/>
              <w:bottom w:val="single" w:sz="6" w:space="0" w:color="auto"/>
              <w:right w:val="single" w:sz="6" w:space="0" w:color="auto"/>
            </w:tcBorders>
            <w:hideMark/>
          </w:tcPr>
          <w:p w14:paraId="20EB4BDD" w14:textId="4AC00AB1" w:rsidR="00041074" w:rsidRPr="00703A0B" w:rsidRDefault="00041074" w:rsidP="00B90AF1">
            <w:pPr>
              <w:rPr>
                <w:lang w:eastAsia="en-AU"/>
              </w:rPr>
            </w:pPr>
            <w:r w:rsidRPr="00703A0B">
              <w:rPr>
                <w:lang w:eastAsia="en-AU"/>
              </w:rPr>
              <w:t>$17.3</w:t>
            </w:r>
          </w:p>
        </w:tc>
        <w:tc>
          <w:tcPr>
            <w:tcW w:w="1248" w:type="dxa"/>
            <w:tcBorders>
              <w:top w:val="single" w:sz="6" w:space="0" w:color="auto"/>
              <w:left w:val="single" w:sz="6" w:space="0" w:color="auto"/>
              <w:bottom w:val="single" w:sz="6" w:space="0" w:color="auto"/>
              <w:right w:val="single" w:sz="6" w:space="0" w:color="auto"/>
            </w:tcBorders>
            <w:hideMark/>
          </w:tcPr>
          <w:p w14:paraId="7DCA11CE" w14:textId="44670B6E" w:rsidR="00041074" w:rsidRPr="00703A0B" w:rsidRDefault="00041074" w:rsidP="00B90AF1">
            <w:pPr>
              <w:rPr>
                <w:lang w:eastAsia="en-AU"/>
              </w:rPr>
            </w:pPr>
            <w:r w:rsidRPr="00703A0B">
              <w:rPr>
                <w:lang w:eastAsia="en-AU"/>
              </w:rPr>
              <w:t>$21.7</w:t>
            </w:r>
          </w:p>
        </w:tc>
        <w:tc>
          <w:tcPr>
            <w:tcW w:w="1247" w:type="dxa"/>
            <w:tcBorders>
              <w:top w:val="single" w:sz="6" w:space="0" w:color="auto"/>
              <w:left w:val="single" w:sz="6" w:space="0" w:color="auto"/>
              <w:bottom w:val="single" w:sz="6" w:space="0" w:color="auto"/>
              <w:right w:val="single" w:sz="6" w:space="0" w:color="auto"/>
            </w:tcBorders>
            <w:hideMark/>
          </w:tcPr>
          <w:p w14:paraId="4C1A18B3" w14:textId="402E60B7" w:rsidR="00041074" w:rsidRPr="00703A0B" w:rsidRDefault="00041074" w:rsidP="00B90AF1">
            <w:pPr>
              <w:rPr>
                <w:lang w:eastAsia="en-AU"/>
              </w:rPr>
            </w:pPr>
            <w:r w:rsidRPr="00703A0B">
              <w:rPr>
                <w:lang w:eastAsia="en-AU"/>
              </w:rPr>
              <w:t>$23.5</w:t>
            </w:r>
          </w:p>
        </w:tc>
        <w:tc>
          <w:tcPr>
            <w:tcW w:w="1248" w:type="dxa"/>
            <w:tcBorders>
              <w:top w:val="single" w:sz="6" w:space="0" w:color="auto"/>
              <w:left w:val="single" w:sz="6" w:space="0" w:color="auto"/>
              <w:bottom w:val="single" w:sz="6" w:space="0" w:color="auto"/>
              <w:right w:val="single" w:sz="6" w:space="0" w:color="auto"/>
            </w:tcBorders>
            <w:hideMark/>
          </w:tcPr>
          <w:p w14:paraId="20327773" w14:textId="4E411995" w:rsidR="00041074" w:rsidRPr="00703A0B" w:rsidRDefault="00155956" w:rsidP="00B90AF1">
            <w:pPr>
              <w:rPr>
                <w:lang w:eastAsia="en-AU"/>
              </w:rPr>
            </w:pPr>
            <w:r w:rsidRPr="00703A0B">
              <w:rPr>
                <w:lang w:eastAsia="en-AU"/>
              </w:rPr>
              <w:t>$</w:t>
            </w:r>
            <w:r w:rsidR="00176C59" w:rsidRPr="00703A0B">
              <w:rPr>
                <w:lang w:eastAsia="en-AU"/>
              </w:rPr>
              <w:t>27.0</w:t>
            </w:r>
          </w:p>
        </w:tc>
      </w:tr>
      <w:tr w:rsidR="00041074" w:rsidRPr="00703A0B" w14:paraId="16587A89" w14:textId="77777777" w:rsidTr="00B90AF1">
        <w:tc>
          <w:tcPr>
            <w:tcW w:w="4245" w:type="dxa"/>
            <w:tcBorders>
              <w:top w:val="single" w:sz="6" w:space="0" w:color="auto"/>
              <w:left w:val="single" w:sz="6" w:space="0" w:color="auto"/>
              <w:bottom w:val="single" w:sz="6" w:space="0" w:color="auto"/>
              <w:right w:val="single" w:sz="6" w:space="0" w:color="auto"/>
            </w:tcBorders>
            <w:hideMark/>
          </w:tcPr>
          <w:p w14:paraId="3DB63A10" w14:textId="617E07A0" w:rsidR="00041074" w:rsidRPr="00703A0B" w:rsidRDefault="00041074" w:rsidP="00C76FF3">
            <w:pPr>
              <w:rPr>
                <w:lang w:eastAsia="en-AU"/>
              </w:rPr>
            </w:pPr>
            <w:r w:rsidRPr="00703A0B">
              <w:rPr>
                <w:lang w:eastAsia="en-AU"/>
              </w:rPr>
              <w:t>Subsidence </w:t>
            </w:r>
            <w:r w:rsidR="00864838" w:rsidRPr="00703A0B">
              <w:rPr>
                <w:lang w:eastAsia="en-AU"/>
              </w:rPr>
              <w:t>(M)</w:t>
            </w:r>
          </w:p>
        </w:tc>
        <w:tc>
          <w:tcPr>
            <w:tcW w:w="1247" w:type="dxa"/>
            <w:tcBorders>
              <w:top w:val="single" w:sz="6" w:space="0" w:color="auto"/>
              <w:left w:val="single" w:sz="6" w:space="0" w:color="auto"/>
              <w:bottom w:val="single" w:sz="6" w:space="0" w:color="auto"/>
              <w:right w:val="single" w:sz="6" w:space="0" w:color="auto"/>
            </w:tcBorders>
            <w:hideMark/>
          </w:tcPr>
          <w:p w14:paraId="002E1B63" w14:textId="327F3F73" w:rsidR="00041074" w:rsidRPr="00703A0B" w:rsidRDefault="00041074" w:rsidP="00B90AF1">
            <w:pPr>
              <w:rPr>
                <w:lang w:eastAsia="en-AU"/>
              </w:rPr>
            </w:pPr>
            <w:r w:rsidRPr="00703A0B">
              <w:rPr>
                <w:lang w:eastAsia="en-AU"/>
              </w:rPr>
              <w:t>$5.7</w:t>
            </w:r>
          </w:p>
        </w:tc>
        <w:tc>
          <w:tcPr>
            <w:tcW w:w="1247" w:type="dxa"/>
            <w:tcBorders>
              <w:top w:val="single" w:sz="6" w:space="0" w:color="auto"/>
              <w:left w:val="single" w:sz="6" w:space="0" w:color="auto"/>
              <w:bottom w:val="single" w:sz="6" w:space="0" w:color="auto"/>
              <w:right w:val="single" w:sz="6" w:space="0" w:color="auto"/>
            </w:tcBorders>
            <w:hideMark/>
          </w:tcPr>
          <w:p w14:paraId="03DD4C28" w14:textId="56B1DBD8" w:rsidR="00041074" w:rsidRPr="00703A0B" w:rsidRDefault="00041074" w:rsidP="00B90AF1">
            <w:pPr>
              <w:rPr>
                <w:lang w:eastAsia="en-AU"/>
              </w:rPr>
            </w:pPr>
            <w:r w:rsidRPr="00703A0B">
              <w:rPr>
                <w:lang w:eastAsia="en-AU"/>
              </w:rPr>
              <w:t>$3.8</w:t>
            </w:r>
          </w:p>
        </w:tc>
        <w:tc>
          <w:tcPr>
            <w:tcW w:w="1248" w:type="dxa"/>
            <w:tcBorders>
              <w:top w:val="single" w:sz="6" w:space="0" w:color="auto"/>
              <w:left w:val="single" w:sz="6" w:space="0" w:color="auto"/>
              <w:bottom w:val="single" w:sz="6" w:space="0" w:color="auto"/>
              <w:right w:val="single" w:sz="6" w:space="0" w:color="auto"/>
            </w:tcBorders>
            <w:hideMark/>
          </w:tcPr>
          <w:p w14:paraId="5BBF4DEF" w14:textId="004BC8BC" w:rsidR="00041074" w:rsidRPr="00703A0B" w:rsidRDefault="00041074" w:rsidP="00B90AF1">
            <w:pPr>
              <w:rPr>
                <w:lang w:eastAsia="en-AU"/>
              </w:rPr>
            </w:pPr>
            <w:r w:rsidRPr="00703A0B">
              <w:rPr>
                <w:lang w:eastAsia="en-AU"/>
              </w:rPr>
              <w:t>$4.1</w:t>
            </w:r>
          </w:p>
        </w:tc>
        <w:tc>
          <w:tcPr>
            <w:tcW w:w="1247" w:type="dxa"/>
            <w:tcBorders>
              <w:top w:val="single" w:sz="6" w:space="0" w:color="auto"/>
              <w:left w:val="single" w:sz="6" w:space="0" w:color="auto"/>
              <w:bottom w:val="single" w:sz="6" w:space="0" w:color="auto"/>
              <w:right w:val="single" w:sz="6" w:space="0" w:color="auto"/>
            </w:tcBorders>
            <w:hideMark/>
          </w:tcPr>
          <w:p w14:paraId="551DA2E6" w14:textId="766090E9" w:rsidR="00041074" w:rsidRPr="00703A0B" w:rsidRDefault="00041074" w:rsidP="00B90AF1">
            <w:pPr>
              <w:rPr>
                <w:lang w:eastAsia="en-AU"/>
              </w:rPr>
            </w:pPr>
            <w:r w:rsidRPr="00703A0B">
              <w:rPr>
                <w:lang w:eastAsia="en-AU"/>
              </w:rPr>
              <w:t>$5.8</w:t>
            </w:r>
          </w:p>
        </w:tc>
        <w:tc>
          <w:tcPr>
            <w:tcW w:w="1248" w:type="dxa"/>
            <w:tcBorders>
              <w:top w:val="single" w:sz="6" w:space="0" w:color="auto"/>
              <w:left w:val="single" w:sz="6" w:space="0" w:color="auto"/>
              <w:bottom w:val="single" w:sz="6" w:space="0" w:color="auto"/>
              <w:right w:val="single" w:sz="6" w:space="0" w:color="auto"/>
            </w:tcBorders>
            <w:hideMark/>
          </w:tcPr>
          <w:p w14:paraId="6CFF39C7" w14:textId="71A438D3" w:rsidR="00041074" w:rsidRPr="00703A0B" w:rsidRDefault="00176C59" w:rsidP="00B90AF1">
            <w:pPr>
              <w:rPr>
                <w:lang w:eastAsia="en-AU"/>
              </w:rPr>
            </w:pPr>
            <w:r w:rsidRPr="00703A0B">
              <w:rPr>
                <w:lang w:eastAsia="en-AU"/>
              </w:rPr>
              <w:t>$3.9</w:t>
            </w:r>
          </w:p>
        </w:tc>
      </w:tr>
      <w:tr w:rsidR="00041074" w:rsidRPr="00703A0B" w14:paraId="0A7D737A" w14:textId="77777777" w:rsidTr="00B90AF1">
        <w:tc>
          <w:tcPr>
            <w:tcW w:w="4245" w:type="dxa"/>
            <w:tcBorders>
              <w:top w:val="single" w:sz="6" w:space="0" w:color="auto"/>
              <w:left w:val="single" w:sz="6" w:space="0" w:color="auto"/>
              <w:bottom w:val="single" w:sz="6" w:space="0" w:color="auto"/>
              <w:right w:val="single" w:sz="6" w:space="0" w:color="auto"/>
            </w:tcBorders>
            <w:hideMark/>
          </w:tcPr>
          <w:p w14:paraId="5B619B55" w14:textId="52D122E9" w:rsidR="00041074" w:rsidRPr="00703A0B" w:rsidRDefault="00041074" w:rsidP="00C76FF3">
            <w:pPr>
              <w:rPr>
                <w:lang w:eastAsia="en-AU"/>
              </w:rPr>
            </w:pPr>
            <w:r w:rsidRPr="00703A0B">
              <w:rPr>
                <w:lang w:eastAsia="en-AU"/>
              </w:rPr>
              <w:t>Theft and vandalism </w:t>
            </w:r>
            <w:r w:rsidR="005B0EB3" w:rsidRPr="00703A0B">
              <w:rPr>
                <w:lang w:eastAsia="en-AU"/>
              </w:rPr>
              <w:t>or Fire, Storm and Tempest</w:t>
            </w:r>
            <w:r w:rsidR="00864838" w:rsidRPr="00703A0B">
              <w:rPr>
                <w:lang w:eastAsia="en-AU"/>
              </w:rPr>
              <w:t xml:space="preserve"> (M)</w:t>
            </w:r>
          </w:p>
        </w:tc>
        <w:tc>
          <w:tcPr>
            <w:tcW w:w="1247" w:type="dxa"/>
            <w:tcBorders>
              <w:top w:val="single" w:sz="6" w:space="0" w:color="auto"/>
              <w:left w:val="single" w:sz="6" w:space="0" w:color="auto"/>
              <w:bottom w:val="single" w:sz="6" w:space="0" w:color="auto"/>
              <w:right w:val="single" w:sz="6" w:space="0" w:color="auto"/>
            </w:tcBorders>
            <w:hideMark/>
          </w:tcPr>
          <w:p w14:paraId="498A321E" w14:textId="63A03C29" w:rsidR="00041074" w:rsidRPr="00703A0B" w:rsidRDefault="00041074" w:rsidP="00B90AF1">
            <w:pPr>
              <w:rPr>
                <w:lang w:eastAsia="en-AU"/>
              </w:rPr>
            </w:pPr>
            <w:r w:rsidRPr="00703A0B">
              <w:rPr>
                <w:lang w:eastAsia="en-AU"/>
              </w:rPr>
              <w:t>Nil</w:t>
            </w:r>
          </w:p>
        </w:tc>
        <w:tc>
          <w:tcPr>
            <w:tcW w:w="1247" w:type="dxa"/>
            <w:tcBorders>
              <w:top w:val="single" w:sz="6" w:space="0" w:color="auto"/>
              <w:left w:val="single" w:sz="6" w:space="0" w:color="auto"/>
              <w:bottom w:val="single" w:sz="6" w:space="0" w:color="auto"/>
              <w:right w:val="single" w:sz="6" w:space="0" w:color="auto"/>
            </w:tcBorders>
            <w:hideMark/>
          </w:tcPr>
          <w:p w14:paraId="55B18309" w14:textId="4424DA62" w:rsidR="00041074" w:rsidRPr="00703A0B" w:rsidRDefault="00041074" w:rsidP="00B90AF1">
            <w:pPr>
              <w:rPr>
                <w:lang w:eastAsia="en-AU"/>
              </w:rPr>
            </w:pPr>
            <w:r w:rsidRPr="00703A0B">
              <w:rPr>
                <w:lang w:eastAsia="en-AU"/>
              </w:rPr>
              <w:t>$0.03</w:t>
            </w:r>
          </w:p>
        </w:tc>
        <w:tc>
          <w:tcPr>
            <w:tcW w:w="1248" w:type="dxa"/>
            <w:tcBorders>
              <w:top w:val="single" w:sz="6" w:space="0" w:color="auto"/>
              <w:left w:val="single" w:sz="6" w:space="0" w:color="auto"/>
              <w:bottom w:val="single" w:sz="6" w:space="0" w:color="auto"/>
              <w:right w:val="single" w:sz="6" w:space="0" w:color="auto"/>
            </w:tcBorders>
            <w:hideMark/>
          </w:tcPr>
          <w:p w14:paraId="15FCDDD1" w14:textId="54DAB273" w:rsidR="00041074" w:rsidRPr="00703A0B" w:rsidRDefault="00041074" w:rsidP="00B90AF1">
            <w:pPr>
              <w:rPr>
                <w:lang w:eastAsia="en-AU"/>
              </w:rPr>
            </w:pPr>
            <w:r w:rsidRPr="00703A0B">
              <w:rPr>
                <w:lang w:eastAsia="en-AU"/>
              </w:rPr>
              <w:t>$0.001</w:t>
            </w:r>
          </w:p>
        </w:tc>
        <w:tc>
          <w:tcPr>
            <w:tcW w:w="1247" w:type="dxa"/>
            <w:tcBorders>
              <w:top w:val="single" w:sz="6" w:space="0" w:color="auto"/>
              <w:left w:val="single" w:sz="6" w:space="0" w:color="auto"/>
              <w:bottom w:val="single" w:sz="6" w:space="0" w:color="auto"/>
              <w:right w:val="single" w:sz="6" w:space="0" w:color="auto"/>
            </w:tcBorders>
            <w:hideMark/>
          </w:tcPr>
          <w:p w14:paraId="20D663D5" w14:textId="1C4E6269" w:rsidR="00041074" w:rsidRPr="00703A0B" w:rsidRDefault="00041074" w:rsidP="00B90AF1">
            <w:pPr>
              <w:rPr>
                <w:lang w:eastAsia="en-AU"/>
              </w:rPr>
            </w:pPr>
            <w:r w:rsidRPr="00703A0B">
              <w:rPr>
                <w:lang w:eastAsia="en-AU"/>
              </w:rPr>
              <w:t>Nil</w:t>
            </w:r>
          </w:p>
        </w:tc>
        <w:tc>
          <w:tcPr>
            <w:tcW w:w="1248" w:type="dxa"/>
            <w:tcBorders>
              <w:top w:val="single" w:sz="6" w:space="0" w:color="auto"/>
              <w:left w:val="single" w:sz="6" w:space="0" w:color="auto"/>
              <w:bottom w:val="single" w:sz="6" w:space="0" w:color="auto"/>
              <w:right w:val="single" w:sz="6" w:space="0" w:color="auto"/>
            </w:tcBorders>
            <w:hideMark/>
          </w:tcPr>
          <w:p w14:paraId="5BC0B21A" w14:textId="64FCBF3D" w:rsidR="00041074" w:rsidRPr="00703A0B" w:rsidRDefault="00176C59" w:rsidP="00B90AF1">
            <w:pPr>
              <w:rPr>
                <w:lang w:eastAsia="en-AU"/>
              </w:rPr>
            </w:pPr>
            <w:r w:rsidRPr="00703A0B">
              <w:rPr>
                <w:lang w:eastAsia="en-AU"/>
              </w:rPr>
              <w:t>$0.002</w:t>
            </w:r>
          </w:p>
        </w:tc>
      </w:tr>
      <w:tr w:rsidR="002A636A" w:rsidRPr="00703A0B" w14:paraId="680B8544" w14:textId="77777777" w:rsidTr="00B90AF1">
        <w:tc>
          <w:tcPr>
            <w:tcW w:w="4245" w:type="dxa"/>
            <w:tcBorders>
              <w:top w:val="single" w:sz="6" w:space="0" w:color="auto"/>
              <w:left w:val="single" w:sz="6" w:space="0" w:color="auto"/>
              <w:bottom w:val="single" w:sz="6" w:space="0" w:color="auto"/>
              <w:right w:val="single" w:sz="6" w:space="0" w:color="auto"/>
            </w:tcBorders>
            <w:shd w:val="clear" w:color="auto" w:fill="FFFFFF" w:themeFill="background1"/>
          </w:tcPr>
          <w:p w14:paraId="127CE87C" w14:textId="627AB5FB" w:rsidR="002A636A" w:rsidRPr="00703A0B" w:rsidRDefault="00E81C35" w:rsidP="00C76FF3">
            <w:pPr>
              <w:rPr>
                <w:b/>
                <w:bCs/>
                <w:lang w:eastAsia="en-AU"/>
              </w:rPr>
            </w:pPr>
            <w:r w:rsidRPr="00703A0B">
              <w:rPr>
                <w:b/>
                <w:bCs/>
                <w:lang w:eastAsia="en-AU"/>
              </w:rPr>
              <w:t xml:space="preserve">Total </w:t>
            </w:r>
            <w:r w:rsidR="004224D2" w:rsidRPr="00703A0B">
              <w:rPr>
                <w:b/>
                <w:bCs/>
                <w:lang w:eastAsia="en-AU"/>
              </w:rPr>
              <w:t>i</w:t>
            </w:r>
            <w:r w:rsidR="002A636A" w:rsidRPr="00703A0B">
              <w:rPr>
                <w:b/>
                <w:bCs/>
                <w:lang w:eastAsia="en-AU"/>
              </w:rPr>
              <w:t xml:space="preserve">nsurance </w:t>
            </w:r>
            <w:r w:rsidR="004224D2" w:rsidRPr="00703A0B">
              <w:rPr>
                <w:b/>
                <w:bCs/>
                <w:lang w:eastAsia="en-AU"/>
              </w:rPr>
              <w:t>c</w:t>
            </w:r>
            <w:r w:rsidR="002A636A" w:rsidRPr="00703A0B">
              <w:rPr>
                <w:b/>
                <w:bCs/>
                <w:lang w:eastAsia="en-AU"/>
              </w:rPr>
              <w:t xml:space="preserve">laims </w:t>
            </w:r>
            <w:r w:rsidR="008876F7" w:rsidRPr="00703A0B">
              <w:rPr>
                <w:b/>
                <w:bCs/>
                <w:lang w:eastAsia="en-AU"/>
              </w:rPr>
              <w:t>approved </w:t>
            </w:r>
            <w:r w:rsidR="002A636A" w:rsidRPr="00703A0B">
              <w:rPr>
                <w:b/>
                <w:bCs/>
                <w:lang w:eastAsia="en-AU"/>
              </w:rPr>
              <w:t>(M) </w:t>
            </w:r>
          </w:p>
        </w:tc>
        <w:tc>
          <w:tcPr>
            <w:tcW w:w="1247" w:type="dxa"/>
            <w:tcBorders>
              <w:top w:val="single" w:sz="6" w:space="0" w:color="auto"/>
              <w:left w:val="single" w:sz="6" w:space="0" w:color="auto"/>
              <w:bottom w:val="single" w:sz="6" w:space="0" w:color="auto"/>
              <w:right w:val="single" w:sz="6" w:space="0" w:color="auto"/>
            </w:tcBorders>
            <w:shd w:val="clear" w:color="auto" w:fill="FFFFFF" w:themeFill="background1"/>
          </w:tcPr>
          <w:p w14:paraId="5CEF98FD" w14:textId="13611177" w:rsidR="002A636A" w:rsidRPr="00703A0B" w:rsidRDefault="002A636A" w:rsidP="00B90AF1">
            <w:pPr>
              <w:rPr>
                <w:b/>
                <w:bCs/>
                <w:lang w:eastAsia="en-AU"/>
              </w:rPr>
            </w:pPr>
            <w:r w:rsidRPr="00703A0B">
              <w:rPr>
                <w:b/>
                <w:bCs/>
                <w:lang w:eastAsia="en-AU"/>
              </w:rPr>
              <w:t>$36.0</w:t>
            </w:r>
          </w:p>
        </w:tc>
        <w:tc>
          <w:tcPr>
            <w:tcW w:w="1247" w:type="dxa"/>
            <w:tcBorders>
              <w:top w:val="single" w:sz="6" w:space="0" w:color="auto"/>
              <w:left w:val="single" w:sz="6" w:space="0" w:color="auto"/>
              <w:bottom w:val="single" w:sz="6" w:space="0" w:color="auto"/>
              <w:right w:val="single" w:sz="6" w:space="0" w:color="auto"/>
            </w:tcBorders>
            <w:shd w:val="clear" w:color="auto" w:fill="FFFFFF" w:themeFill="background1"/>
          </w:tcPr>
          <w:p w14:paraId="6ECD07BC" w14:textId="0DE7C9A4" w:rsidR="002A636A" w:rsidRPr="00703A0B" w:rsidRDefault="002A636A" w:rsidP="00B90AF1">
            <w:pPr>
              <w:rPr>
                <w:b/>
                <w:bCs/>
                <w:lang w:eastAsia="en-AU"/>
              </w:rPr>
            </w:pPr>
            <w:r w:rsidRPr="00703A0B">
              <w:rPr>
                <w:b/>
                <w:bCs/>
                <w:lang w:eastAsia="en-AU"/>
              </w:rPr>
              <w:t>$68.6</w:t>
            </w:r>
          </w:p>
        </w:tc>
        <w:tc>
          <w:tcPr>
            <w:tcW w:w="1248" w:type="dxa"/>
            <w:tcBorders>
              <w:top w:val="single" w:sz="6" w:space="0" w:color="auto"/>
              <w:left w:val="single" w:sz="6" w:space="0" w:color="auto"/>
              <w:bottom w:val="single" w:sz="6" w:space="0" w:color="auto"/>
              <w:right w:val="single" w:sz="6" w:space="0" w:color="auto"/>
            </w:tcBorders>
            <w:shd w:val="clear" w:color="auto" w:fill="FFFFFF" w:themeFill="background1"/>
          </w:tcPr>
          <w:p w14:paraId="4AAEB1BB" w14:textId="102F5007" w:rsidR="002A636A" w:rsidRPr="00703A0B" w:rsidRDefault="002A636A" w:rsidP="00B90AF1">
            <w:pPr>
              <w:rPr>
                <w:b/>
                <w:bCs/>
                <w:lang w:eastAsia="en-AU"/>
              </w:rPr>
            </w:pPr>
            <w:r w:rsidRPr="00703A0B">
              <w:rPr>
                <w:b/>
                <w:bCs/>
                <w:lang w:eastAsia="en-AU"/>
              </w:rPr>
              <w:t>$88.7</w:t>
            </w:r>
          </w:p>
        </w:tc>
        <w:tc>
          <w:tcPr>
            <w:tcW w:w="1247" w:type="dxa"/>
            <w:tcBorders>
              <w:top w:val="single" w:sz="6" w:space="0" w:color="auto"/>
              <w:left w:val="single" w:sz="6" w:space="0" w:color="auto"/>
              <w:bottom w:val="single" w:sz="6" w:space="0" w:color="auto"/>
              <w:right w:val="single" w:sz="6" w:space="0" w:color="auto"/>
            </w:tcBorders>
            <w:shd w:val="clear" w:color="auto" w:fill="FFFFFF" w:themeFill="background1"/>
          </w:tcPr>
          <w:p w14:paraId="2AE52548" w14:textId="021DDFE8" w:rsidR="002A636A" w:rsidRPr="00703A0B" w:rsidRDefault="002A636A" w:rsidP="00B90AF1">
            <w:pPr>
              <w:rPr>
                <w:b/>
                <w:bCs/>
                <w:lang w:eastAsia="en-AU"/>
              </w:rPr>
            </w:pPr>
            <w:r w:rsidRPr="00703A0B">
              <w:rPr>
                <w:b/>
                <w:bCs/>
                <w:lang w:eastAsia="en-AU"/>
              </w:rPr>
              <w:t>$60.7</w:t>
            </w:r>
          </w:p>
        </w:tc>
        <w:tc>
          <w:tcPr>
            <w:tcW w:w="1248" w:type="dxa"/>
            <w:tcBorders>
              <w:top w:val="single" w:sz="6" w:space="0" w:color="auto"/>
              <w:left w:val="single" w:sz="6" w:space="0" w:color="auto"/>
              <w:bottom w:val="single" w:sz="6" w:space="0" w:color="auto"/>
              <w:right w:val="single" w:sz="6" w:space="0" w:color="auto"/>
            </w:tcBorders>
            <w:shd w:val="clear" w:color="auto" w:fill="FFFFFF" w:themeFill="background1"/>
          </w:tcPr>
          <w:p w14:paraId="33D40689" w14:textId="4F238612" w:rsidR="002A636A" w:rsidRPr="00703A0B" w:rsidRDefault="002A636A" w:rsidP="00B90AF1">
            <w:pPr>
              <w:rPr>
                <w:b/>
                <w:bCs/>
                <w:lang w:eastAsia="en-AU"/>
              </w:rPr>
            </w:pPr>
            <w:r w:rsidRPr="00703A0B">
              <w:rPr>
                <w:b/>
                <w:bCs/>
                <w:lang w:eastAsia="en-AU"/>
              </w:rPr>
              <w:t>$55.7</w:t>
            </w:r>
          </w:p>
        </w:tc>
      </w:tr>
      <w:tr w:rsidR="0062025C" w:rsidRPr="00703A0B" w14:paraId="4052CC84" w14:textId="77777777" w:rsidTr="00B90AF1">
        <w:tc>
          <w:tcPr>
            <w:tcW w:w="10482" w:type="dxa"/>
            <w:gridSpan w:val="6"/>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304202A" w14:textId="79E6A27D" w:rsidR="0062025C" w:rsidRPr="00703A0B" w:rsidRDefault="0062025C" w:rsidP="00C76FF3">
            <w:pPr>
              <w:rPr>
                <w:lang w:eastAsia="en-AU"/>
              </w:rPr>
            </w:pPr>
            <w:r w:rsidRPr="00703A0B">
              <w:rPr>
                <w:lang w:eastAsia="en-AU"/>
              </w:rPr>
              <w:t>Insurance policies</w:t>
            </w:r>
            <w:r w:rsidR="00006E32" w:rsidRPr="00703A0B">
              <w:rPr>
                <w:lang w:eastAsia="en-AU"/>
              </w:rPr>
              <w:t xml:space="preserve"> issued</w:t>
            </w:r>
          </w:p>
        </w:tc>
      </w:tr>
      <w:tr w:rsidR="002A636A" w:rsidRPr="00703A0B" w14:paraId="1A6BCB22" w14:textId="77777777" w:rsidTr="00B90AF1">
        <w:tc>
          <w:tcPr>
            <w:tcW w:w="4245" w:type="dxa"/>
            <w:tcBorders>
              <w:top w:val="single" w:sz="6" w:space="0" w:color="auto"/>
              <w:left w:val="single" w:sz="6" w:space="0" w:color="auto"/>
              <w:bottom w:val="single" w:sz="6" w:space="0" w:color="auto"/>
              <w:right w:val="single" w:sz="6" w:space="0" w:color="auto"/>
            </w:tcBorders>
            <w:hideMark/>
          </w:tcPr>
          <w:p w14:paraId="3E918F84" w14:textId="77777777" w:rsidR="002A636A" w:rsidRPr="00703A0B" w:rsidRDefault="002A636A" w:rsidP="00C76FF3">
            <w:pPr>
              <w:rPr>
                <w:lang w:eastAsia="en-AU"/>
              </w:rPr>
            </w:pPr>
            <w:r w:rsidRPr="00703A0B">
              <w:rPr>
                <w:lang w:eastAsia="en-AU"/>
              </w:rPr>
              <w:t>New homes </w:t>
            </w:r>
          </w:p>
        </w:tc>
        <w:tc>
          <w:tcPr>
            <w:tcW w:w="1247" w:type="dxa"/>
            <w:tcBorders>
              <w:top w:val="single" w:sz="6" w:space="0" w:color="auto"/>
              <w:left w:val="single" w:sz="6" w:space="0" w:color="auto"/>
              <w:bottom w:val="single" w:sz="6" w:space="0" w:color="auto"/>
              <w:right w:val="single" w:sz="6" w:space="0" w:color="auto"/>
            </w:tcBorders>
            <w:hideMark/>
          </w:tcPr>
          <w:p w14:paraId="19F334A2" w14:textId="47B51F81" w:rsidR="002A636A" w:rsidRPr="00703A0B" w:rsidRDefault="002A636A" w:rsidP="00B90AF1">
            <w:pPr>
              <w:rPr>
                <w:lang w:eastAsia="en-AU"/>
              </w:rPr>
            </w:pPr>
            <w:r w:rsidRPr="00703A0B">
              <w:rPr>
                <w:lang w:eastAsia="en-AU"/>
              </w:rPr>
              <w:t>30,489</w:t>
            </w:r>
          </w:p>
        </w:tc>
        <w:tc>
          <w:tcPr>
            <w:tcW w:w="1247" w:type="dxa"/>
            <w:tcBorders>
              <w:top w:val="single" w:sz="6" w:space="0" w:color="auto"/>
              <w:left w:val="single" w:sz="6" w:space="0" w:color="auto"/>
              <w:bottom w:val="single" w:sz="6" w:space="0" w:color="auto"/>
              <w:right w:val="single" w:sz="6" w:space="0" w:color="auto"/>
            </w:tcBorders>
            <w:hideMark/>
          </w:tcPr>
          <w:p w14:paraId="2236F46F" w14:textId="0A868124" w:rsidR="002A636A" w:rsidRPr="00703A0B" w:rsidRDefault="002A636A" w:rsidP="00B90AF1">
            <w:pPr>
              <w:rPr>
                <w:lang w:eastAsia="en-AU"/>
              </w:rPr>
            </w:pPr>
            <w:r w:rsidRPr="00703A0B">
              <w:rPr>
                <w:lang w:eastAsia="en-AU"/>
              </w:rPr>
              <w:t>26,364</w:t>
            </w:r>
          </w:p>
        </w:tc>
        <w:tc>
          <w:tcPr>
            <w:tcW w:w="1248" w:type="dxa"/>
            <w:tcBorders>
              <w:top w:val="single" w:sz="6" w:space="0" w:color="auto"/>
              <w:left w:val="single" w:sz="6" w:space="0" w:color="auto"/>
              <w:bottom w:val="single" w:sz="6" w:space="0" w:color="auto"/>
              <w:right w:val="single" w:sz="6" w:space="0" w:color="auto"/>
            </w:tcBorders>
            <w:hideMark/>
          </w:tcPr>
          <w:p w14:paraId="314C080A" w14:textId="6514FD6B" w:rsidR="002A636A" w:rsidRPr="00703A0B" w:rsidRDefault="002A636A" w:rsidP="00B90AF1">
            <w:pPr>
              <w:rPr>
                <w:lang w:eastAsia="en-AU"/>
              </w:rPr>
            </w:pPr>
            <w:r w:rsidRPr="00703A0B">
              <w:rPr>
                <w:lang w:eastAsia="en-AU"/>
              </w:rPr>
              <w:t>29,138</w:t>
            </w:r>
          </w:p>
        </w:tc>
        <w:tc>
          <w:tcPr>
            <w:tcW w:w="1247" w:type="dxa"/>
            <w:tcBorders>
              <w:top w:val="single" w:sz="6" w:space="0" w:color="auto"/>
              <w:left w:val="single" w:sz="6" w:space="0" w:color="auto"/>
              <w:bottom w:val="single" w:sz="6" w:space="0" w:color="auto"/>
              <w:right w:val="single" w:sz="6" w:space="0" w:color="auto"/>
            </w:tcBorders>
            <w:hideMark/>
          </w:tcPr>
          <w:p w14:paraId="4CDD2692" w14:textId="714AECAD" w:rsidR="002A636A" w:rsidRPr="00703A0B" w:rsidRDefault="002A636A" w:rsidP="00B90AF1">
            <w:pPr>
              <w:rPr>
                <w:lang w:eastAsia="en-AU"/>
              </w:rPr>
            </w:pPr>
            <w:r w:rsidRPr="00703A0B">
              <w:rPr>
                <w:lang w:eastAsia="en-AU"/>
              </w:rPr>
              <w:t>33,772</w:t>
            </w:r>
          </w:p>
        </w:tc>
        <w:tc>
          <w:tcPr>
            <w:tcW w:w="1248" w:type="dxa"/>
            <w:tcBorders>
              <w:top w:val="single" w:sz="6" w:space="0" w:color="auto"/>
              <w:left w:val="single" w:sz="6" w:space="0" w:color="auto"/>
              <w:bottom w:val="single" w:sz="6" w:space="0" w:color="auto"/>
              <w:right w:val="single" w:sz="6" w:space="0" w:color="auto"/>
            </w:tcBorders>
            <w:hideMark/>
          </w:tcPr>
          <w:p w14:paraId="5B1D9F0E" w14:textId="62669DE2" w:rsidR="002A636A" w:rsidRPr="00703A0B" w:rsidRDefault="002A636A" w:rsidP="00B90AF1">
            <w:pPr>
              <w:rPr>
                <w:lang w:eastAsia="en-AU"/>
              </w:rPr>
            </w:pPr>
            <w:r w:rsidRPr="00703A0B">
              <w:rPr>
                <w:lang w:eastAsia="en-AU"/>
              </w:rPr>
              <w:t>35,040</w:t>
            </w:r>
          </w:p>
        </w:tc>
      </w:tr>
      <w:tr w:rsidR="002A636A" w:rsidRPr="00703A0B" w14:paraId="64F76BE7" w14:textId="77777777" w:rsidTr="00B90AF1">
        <w:tc>
          <w:tcPr>
            <w:tcW w:w="4245" w:type="dxa"/>
            <w:tcBorders>
              <w:top w:val="single" w:sz="6" w:space="0" w:color="auto"/>
              <w:left w:val="single" w:sz="6" w:space="0" w:color="auto"/>
              <w:bottom w:val="single" w:sz="6" w:space="0" w:color="auto"/>
              <w:right w:val="single" w:sz="6" w:space="0" w:color="auto"/>
            </w:tcBorders>
            <w:hideMark/>
          </w:tcPr>
          <w:p w14:paraId="345C922C" w14:textId="77777777" w:rsidR="002A636A" w:rsidRPr="00703A0B" w:rsidRDefault="002A636A" w:rsidP="00C76FF3">
            <w:pPr>
              <w:rPr>
                <w:lang w:eastAsia="en-AU"/>
              </w:rPr>
            </w:pPr>
            <w:r w:rsidRPr="00703A0B">
              <w:rPr>
                <w:lang w:eastAsia="en-AU"/>
              </w:rPr>
              <w:t>Alterations and additions </w:t>
            </w:r>
          </w:p>
        </w:tc>
        <w:tc>
          <w:tcPr>
            <w:tcW w:w="1247" w:type="dxa"/>
            <w:tcBorders>
              <w:top w:val="single" w:sz="6" w:space="0" w:color="auto"/>
              <w:left w:val="single" w:sz="6" w:space="0" w:color="auto"/>
              <w:bottom w:val="single" w:sz="6" w:space="0" w:color="auto"/>
              <w:right w:val="single" w:sz="6" w:space="0" w:color="auto"/>
            </w:tcBorders>
            <w:hideMark/>
          </w:tcPr>
          <w:p w14:paraId="4E5F2F43" w14:textId="15C3DCD1" w:rsidR="002A636A" w:rsidRPr="00703A0B" w:rsidRDefault="002A636A" w:rsidP="00B90AF1">
            <w:pPr>
              <w:rPr>
                <w:lang w:eastAsia="en-AU"/>
              </w:rPr>
            </w:pPr>
            <w:r w:rsidRPr="00703A0B">
              <w:rPr>
                <w:lang w:eastAsia="en-AU"/>
              </w:rPr>
              <w:t>119,682</w:t>
            </w:r>
          </w:p>
        </w:tc>
        <w:tc>
          <w:tcPr>
            <w:tcW w:w="1247" w:type="dxa"/>
            <w:tcBorders>
              <w:top w:val="single" w:sz="6" w:space="0" w:color="auto"/>
              <w:left w:val="single" w:sz="6" w:space="0" w:color="auto"/>
              <w:bottom w:val="single" w:sz="6" w:space="0" w:color="auto"/>
              <w:right w:val="single" w:sz="6" w:space="0" w:color="auto"/>
            </w:tcBorders>
            <w:hideMark/>
          </w:tcPr>
          <w:p w14:paraId="34A4EBF1" w14:textId="15FAFF1E" w:rsidR="002A636A" w:rsidRPr="00703A0B" w:rsidRDefault="002A636A" w:rsidP="00B90AF1">
            <w:pPr>
              <w:rPr>
                <w:lang w:eastAsia="en-AU"/>
              </w:rPr>
            </w:pPr>
            <w:r w:rsidRPr="00703A0B">
              <w:rPr>
                <w:lang w:eastAsia="en-AU"/>
              </w:rPr>
              <w:t>123,800</w:t>
            </w:r>
          </w:p>
        </w:tc>
        <w:tc>
          <w:tcPr>
            <w:tcW w:w="1248" w:type="dxa"/>
            <w:tcBorders>
              <w:top w:val="single" w:sz="6" w:space="0" w:color="auto"/>
              <w:left w:val="single" w:sz="6" w:space="0" w:color="auto"/>
              <w:bottom w:val="single" w:sz="6" w:space="0" w:color="auto"/>
              <w:right w:val="single" w:sz="6" w:space="0" w:color="auto"/>
            </w:tcBorders>
            <w:hideMark/>
          </w:tcPr>
          <w:p w14:paraId="35FC44C8" w14:textId="5919D66C" w:rsidR="002A636A" w:rsidRPr="00703A0B" w:rsidRDefault="002A636A" w:rsidP="00B90AF1">
            <w:pPr>
              <w:rPr>
                <w:lang w:eastAsia="en-AU"/>
              </w:rPr>
            </w:pPr>
            <w:r w:rsidRPr="00703A0B">
              <w:rPr>
                <w:lang w:eastAsia="en-AU"/>
              </w:rPr>
              <w:t>121,687</w:t>
            </w:r>
          </w:p>
        </w:tc>
        <w:tc>
          <w:tcPr>
            <w:tcW w:w="1247" w:type="dxa"/>
            <w:tcBorders>
              <w:top w:val="single" w:sz="6" w:space="0" w:color="auto"/>
              <w:left w:val="single" w:sz="6" w:space="0" w:color="auto"/>
              <w:bottom w:val="single" w:sz="6" w:space="0" w:color="auto"/>
              <w:right w:val="single" w:sz="6" w:space="0" w:color="auto"/>
            </w:tcBorders>
            <w:hideMark/>
          </w:tcPr>
          <w:p w14:paraId="29E78A65" w14:textId="4F43D3BC" w:rsidR="002A636A" w:rsidRPr="00703A0B" w:rsidRDefault="002A636A" w:rsidP="00B90AF1">
            <w:pPr>
              <w:rPr>
                <w:lang w:eastAsia="en-AU"/>
              </w:rPr>
            </w:pPr>
            <w:r w:rsidRPr="00703A0B">
              <w:rPr>
                <w:lang w:eastAsia="en-AU"/>
              </w:rPr>
              <w:t>130,278</w:t>
            </w:r>
          </w:p>
        </w:tc>
        <w:tc>
          <w:tcPr>
            <w:tcW w:w="1248" w:type="dxa"/>
            <w:tcBorders>
              <w:top w:val="single" w:sz="6" w:space="0" w:color="auto"/>
              <w:left w:val="single" w:sz="6" w:space="0" w:color="auto"/>
              <w:bottom w:val="single" w:sz="6" w:space="0" w:color="auto"/>
              <w:right w:val="single" w:sz="6" w:space="0" w:color="auto"/>
            </w:tcBorders>
            <w:hideMark/>
          </w:tcPr>
          <w:p w14:paraId="32B50116" w14:textId="781EBFB7" w:rsidR="002A636A" w:rsidRPr="00703A0B" w:rsidRDefault="002A636A" w:rsidP="00B90AF1">
            <w:pPr>
              <w:rPr>
                <w:lang w:eastAsia="en-AU"/>
              </w:rPr>
            </w:pPr>
            <w:r w:rsidRPr="00703A0B">
              <w:rPr>
                <w:lang w:eastAsia="en-AU"/>
              </w:rPr>
              <w:t>163,904</w:t>
            </w:r>
          </w:p>
        </w:tc>
      </w:tr>
      <w:tr w:rsidR="004224D2" w:rsidRPr="00703A0B" w14:paraId="15195EF1" w14:textId="77777777" w:rsidTr="00B90AF1">
        <w:tc>
          <w:tcPr>
            <w:tcW w:w="4245" w:type="dxa"/>
            <w:tcBorders>
              <w:top w:val="single" w:sz="6" w:space="0" w:color="auto"/>
              <w:left w:val="single" w:sz="6" w:space="0" w:color="auto"/>
              <w:bottom w:val="single" w:sz="6" w:space="0" w:color="auto"/>
              <w:right w:val="single" w:sz="6" w:space="0" w:color="auto"/>
            </w:tcBorders>
            <w:shd w:val="clear" w:color="auto" w:fill="FFFFFF" w:themeFill="background1"/>
          </w:tcPr>
          <w:p w14:paraId="6172A6B3" w14:textId="40EAAE9E" w:rsidR="004224D2" w:rsidRPr="00703A0B" w:rsidRDefault="004224D2" w:rsidP="00C76FF3">
            <w:pPr>
              <w:rPr>
                <w:b/>
                <w:bCs/>
                <w:lang w:eastAsia="en-AU"/>
              </w:rPr>
            </w:pPr>
            <w:r w:rsidRPr="00703A0B">
              <w:rPr>
                <w:b/>
                <w:bCs/>
                <w:lang w:eastAsia="en-AU"/>
              </w:rPr>
              <w:t>Total insurance policies issued </w:t>
            </w:r>
          </w:p>
        </w:tc>
        <w:tc>
          <w:tcPr>
            <w:tcW w:w="1247" w:type="dxa"/>
            <w:tcBorders>
              <w:top w:val="single" w:sz="6" w:space="0" w:color="auto"/>
              <w:left w:val="single" w:sz="6" w:space="0" w:color="auto"/>
              <w:bottom w:val="single" w:sz="6" w:space="0" w:color="auto"/>
              <w:right w:val="single" w:sz="6" w:space="0" w:color="auto"/>
            </w:tcBorders>
            <w:shd w:val="clear" w:color="auto" w:fill="FFFFFF" w:themeFill="background1"/>
          </w:tcPr>
          <w:p w14:paraId="067208F5" w14:textId="48B9EFE8" w:rsidR="004224D2" w:rsidRPr="00703A0B" w:rsidRDefault="004224D2" w:rsidP="00B90AF1">
            <w:pPr>
              <w:rPr>
                <w:b/>
                <w:bCs/>
                <w:lang w:eastAsia="en-AU"/>
              </w:rPr>
            </w:pPr>
            <w:r w:rsidRPr="00703A0B">
              <w:rPr>
                <w:b/>
                <w:bCs/>
                <w:lang w:eastAsia="en-AU"/>
              </w:rPr>
              <w:t>150,171</w:t>
            </w:r>
          </w:p>
        </w:tc>
        <w:tc>
          <w:tcPr>
            <w:tcW w:w="1247" w:type="dxa"/>
            <w:tcBorders>
              <w:top w:val="single" w:sz="6" w:space="0" w:color="auto"/>
              <w:left w:val="single" w:sz="6" w:space="0" w:color="auto"/>
              <w:bottom w:val="single" w:sz="6" w:space="0" w:color="auto"/>
              <w:right w:val="single" w:sz="6" w:space="0" w:color="auto"/>
            </w:tcBorders>
            <w:shd w:val="clear" w:color="auto" w:fill="FFFFFF" w:themeFill="background1"/>
          </w:tcPr>
          <w:p w14:paraId="5FCE5001" w14:textId="203568E1" w:rsidR="004224D2" w:rsidRPr="00703A0B" w:rsidRDefault="004224D2" w:rsidP="00B90AF1">
            <w:pPr>
              <w:rPr>
                <w:b/>
                <w:bCs/>
                <w:lang w:eastAsia="en-AU"/>
              </w:rPr>
            </w:pPr>
            <w:r w:rsidRPr="00703A0B">
              <w:rPr>
                <w:b/>
                <w:bCs/>
                <w:lang w:eastAsia="en-AU"/>
              </w:rPr>
              <w:t>150,164</w:t>
            </w:r>
          </w:p>
        </w:tc>
        <w:tc>
          <w:tcPr>
            <w:tcW w:w="1248" w:type="dxa"/>
            <w:tcBorders>
              <w:top w:val="single" w:sz="6" w:space="0" w:color="auto"/>
              <w:left w:val="single" w:sz="6" w:space="0" w:color="auto"/>
              <w:bottom w:val="single" w:sz="6" w:space="0" w:color="auto"/>
              <w:right w:val="single" w:sz="6" w:space="0" w:color="auto"/>
            </w:tcBorders>
            <w:shd w:val="clear" w:color="auto" w:fill="FFFFFF" w:themeFill="background1"/>
          </w:tcPr>
          <w:p w14:paraId="08E02EA0" w14:textId="3C055229" w:rsidR="004224D2" w:rsidRPr="00703A0B" w:rsidRDefault="004224D2" w:rsidP="00B90AF1">
            <w:pPr>
              <w:rPr>
                <w:b/>
                <w:bCs/>
                <w:lang w:eastAsia="en-AU"/>
              </w:rPr>
            </w:pPr>
            <w:r w:rsidRPr="00703A0B">
              <w:rPr>
                <w:b/>
                <w:bCs/>
                <w:lang w:eastAsia="en-AU"/>
              </w:rPr>
              <w:t>150,825</w:t>
            </w:r>
          </w:p>
        </w:tc>
        <w:tc>
          <w:tcPr>
            <w:tcW w:w="1247" w:type="dxa"/>
            <w:tcBorders>
              <w:top w:val="single" w:sz="6" w:space="0" w:color="auto"/>
              <w:left w:val="single" w:sz="6" w:space="0" w:color="auto"/>
              <w:bottom w:val="single" w:sz="6" w:space="0" w:color="auto"/>
              <w:right w:val="single" w:sz="6" w:space="0" w:color="auto"/>
            </w:tcBorders>
            <w:shd w:val="clear" w:color="auto" w:fill="FFFFFF" w:themeFill="background1"/>
          </w:tcPr>
          <w:p w14:paraId="1B69780F" w14:textId="332DC13E" w:rsidR="004224D2" w:rsidRPr="00703A0B" w:rsidRDefault="004224D2" w:rsidP="00B90AF1">
            <w:pPr>
              <w:rPr>
                <w:b/>
                <w:bCs/>
                <w:lang w:eastAsia="en-AU"/>
              </w:rPr>
            </w:pPr>
            <w:r w:rsidRPr="00703A0B">
              <w:rPr>
                <w:b/>
                <w:bCs/>
                <w:lang w:eastAsia="en-AU"/>
              </w:rPr>
              <w:t>164,050</w:t>
            </w:r>
          </w:p>
        </w:tc>
        <w:tc>
          <w:tcPr>
            <w:tcW w:w="1248" w:type="dxa"/>
            <w:tcBorders>
              <w:top w:val="single" w:sz="6" w:space="0" w:color="auto"/>
              <w:left w:val="single" w:sz="6" w:space="0" w:color="auto"/>
              <w:bottom w:val="single" w:sz="6" w:space="0" w:color="auto"/>
              <w:right w:val="single" w:sz="6" w:space="0" w:color="auto"/>
            </w:tcBorders>
            <w:shd w:val="clear" w:color="auto" w:fill="FFFFFF" w:themeFill="background1"/>
          </w:tcPr>
          <w:p w14:paraId="382F9950" w14:textId="27BE8623" w:rsidR="004224D2" w:rsidRPr="00703A0B" w:rsidRDefault="004224D2" w:rsidP="00B90AF1">
            <w:pPr>
              <w:rPr>
                <w:b/>
                <w:bCs/>
                <w:lang w:eastAsia="en-AU"/>
              </w:rPr>
            </w:pPr>
            <w:r w:rsidRPr="00703A0B">
              <w:rPr>
                <w:b/>
                <w:bCs/>
                <w:lang w:eastAsia="en-AU"/>
              </w:rPr>
              <w:t>198,944</w:t>
            </w:r>
          </w:p>
        </w:tc>
      </w:tr>
      <w:tr w:rsidR="004224D2" w:rsidRPr="00703A0B" w14:paraId="2F1162E5" w14:textId="77777777" w:rsidTr="00B90AF1">
        <w:tc>
          <w:tcPr>
            <w:tcW w:w="424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2F35EA1" w14:textId="14EDB16F" w:rsidR="004224D2" w:rsidRPr="00703A0B" w:rsidRDefault="009A40DF" w:rsidP="00C76FF3">
            <w:pPr>
              <w:rPr>
                <w:lang w:eastAsia="en-AU"/>
              </w:rPr>
            </w:pPr>
            <w:r w:rsidRPr="00703A0B">
              <w:rPr>
                <w:lang w:eastAsia="en-AU"/>
              </w:rPr>
              <w:t>P</w:t>
            </w:r>
            <w:r w:rsidR="004224D2" w:rsidRPr="00703A0B">
              <w:rPr>
                <w:lang w:eastAsia="en-AU"/>
              </w:rPr>
              <w:t xml:space="preserve">remium </w:t>
            </w:r>
            <w:r w:rsidR="0022115D" w:rsidRPr="00703A0B">
              <w:rPr>
                <w:lang w:eastAsia="en-AU"/>
              </w:rPr>
              <w:t>r</w:t>
            </w:r>
            <w:r w:rsidR="004224D2" w:rsidRPr="00703A0B">
              <w:rPr>
                <w:lang w:eastAsia="en-AU"/>
              </w:rPr>
              <w:t>evenue (M) </w:t>
            </w:r>
          </w:p>
        </w:tc>
        <w:tc>
          <w:tcPr>
            <w:tcW w:w="1247"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D42C691" w14:textId="4F4182B7" w:rsidR="004224D2" w:rsidRPr="00703A0B" w:rsidRDefault="004224D2" w:rsidP="00B90AF1">
            <w:pPr>
              <w:rPr>
                <w:lang w:eastAsia="en-AU"/>
              </w:rPr>
            </w:pPr>
            <w:r w:rsidRPr="00703A0B">
              <w:rPr>
                <w:lang w:eastAsia="en-AU"/>
              </w:rPr>
              <w:t>$142.7</w:t>
            </w:r>
          </w:p>
        </w:tc>
        <w:tc>
          <w:tcPr>
            <w:tcW w:w="1247"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5C8916E" w14:textId="1F40947A" w:rsidR="004224D2" w:rsidRPr="00703A0B" w:rsidRDefault="004224D2" w:rsidP="00B90AF1">
            <w:pPr>
              <w:rPr>
                <w:lang w:eastAsia="en-AU"/>
              </w:rPr>
            </w:pPr>
            <w:r w:rsidRPr="00703A0B">
              <w:rPr>
                <w:lang w:eastAsia="en-AU"/>
              </w:rPr>
              <w:t>$150.3</w:t>
            </w:r>
          </w:p>
        </w:tc>
        <w:tc>
          <w:tcPr>
            <w:tcW w:w="1248"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A7FD9E4" w14:textId="0B8CD8AD" w:rsidR="004224D2" w:rsidRPr="00703A0B" w:rsidRDefault="004224D2" w:rsidP="00B90AF1">
            <w:pPr>
              <w:rPr>
                <w:lang w:eastAsia="en-AU"/>
              </w:rPr>
            </w:pPr>
            <w:r w:rsidRPr="00703A0B">
              <w:rPr>
                <w:lang w:eastAsia="en-AU"/>
              </w:rPr>
              <w:t>$169.1</w:t>
            </w:r>
          </w:p>
        </w:tc>
        <w:tc>
          <w:tcPr>
            <w:tcW w:w="1247"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5D6CAC2" w14:textId="35611BD9" w:rsidR="004224D2" w:rsidRPr="00703A0B" w:rsidRDefault="004224D2" w:rsidP="00B90AF1">
            <w:pPr>
              <w:rPr>
                <w:lang w:eastAsia="en-AU"/>
              </w:rPr>
            </w:pPr>
            <w:r w:rsidRPr="00703A0B">
              <w:rPr>
                <w:lang w:eastAsia="en-AU"/>
              </w:rPr>
              <w:t>$198.3</w:t>
            </w:r>
          </w:p>
        </w:tc>
        <w:tc>
          <w:tcPr>
            <w:tcW w:w="1248"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C2D4088" w14:textId="697613BE" w:rsidR="004224D2" w:rsidRPr="00703A0B" w:rsidRDefault="004224D2" w:rsidP="00B90AF1">
            <w:pPr>
              <w:rPr>
                <w:lang w:eastAsia="en-AU"/>
              </w:rPr>
            </w:pPr>
            <w:r w:rsidRPr="00703A0B">
              <w:rPr>
                <w:lang w:eastAsia="en-AU"/>
              </w:rPr>
              <w:t>$233.6</w:t>
            </w:r>
          </w:p>
        </w:tc>
      </w:tr>
      <w:tr w:rsidR="00343CF3" w:rsidRPr="00703A0B" w14:paraId="54155106" w14:textId="77777777" w:rsidTr="00B90AF1">
        <w:tc>
          <w:tcPr>
            <w:tcW w:w="10482" w:type="dxa"/>
            <w:gridSpan w:val="6"/>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72C9323" w14:textId="08D93EB3" w:rsidR="00343CF3" w:rsidRPr="00703A0B" w:rsidRDefault="00343CF3" w:rsidP="00C76FF3">
            <w:pPr>
              <w:rPr>
                <w:lang w:eastAsia="en-AU"/>
              </w:rPr>
            </w:pPr>
            <w:r w:rsidRPr="00703A0B">
              <w:rPr>
                <w:lang w:eastAsia="en-AU"/>
              </w:rPr>
              <w:t>Insurance claims received</w:t>
            </w:r>
          </w:p>
        </w:tc>
      </w:tr>
      <w:tr w:rsidR="004224D2" w:rsidRPr="00703A0B" w14:paraId="46D8209A" w14:textId="77777777" w:rsidTr="00B90AF1">
        <w:tc>
          <w:tcPr>
            <w:tcW w:w="4245" w:type="dxa"/>
            <w:tcBorders>
              <w:top w:val="single" w:sz="6" w:space="0" w:color="auto"/>
              <w:left w:val="single" w:sz="6" w:space="0" w:color="auto"/>
              <w:bottom w:val="single" w:sz="6" w:space="0" w:color="auto"/>
              <w:right w:val="single" w:sz="6" w:space="0" w:color="auto"/>
            </w:tcBorders>
            <w:hideMark/>
          </w:tcPr>
          <w:p w14:paraId="3457AAEA" w14:textId="77777777" w:rsidR="004224D2" w:rsidRPr="00703A0B" w:rsidRDefault="004224D2" w:rsidP="00C76FF3">
            <w:pPr>
              <w:rPr>
                <w:lang w:eastAsia="en-AU"/>
              </w:rPr>
            </w:pPr>
            <w:r w:rsidRPr="00703A0B">
              <w:rPr>
                <w:lang w:eastAsia="en-AU"/>
              </w:rPr>
              <w:t>Non-completion </w:t>
            </w:r>
          </w:p>
        </w:tc>
        <w:tc>
          <w:tcPr>
            <w:tcW w:w="1247" w:type="dxa"/>
            <w:tcBorders>
              <w:top w:val="single" w:sz="6" w:space="0" w:color="auto"/>
              <w:left w:val="single" w:sz="6" w:space="0" w:color="auto"/>
              <w:bottom w:val="single" w:sz="6" w:space="0" w:color="auto"/>
              <w:right w:val="single" w:sz="6" w:space="0" w:color="auto"/>
            </w:tcBorders>
            <w:hideMark/>
          </w:tcPr>
          <w:p w14:paraId="3D825A3F" w14:textId="04B1D585" w:rsidR="004224D2" w:rsidRPr="00703A0B" w:rsidRDefault="004224D2" w:rsidP="00B90AF1">
            <w:pPr>
              <w:rPr>
                <w:lang w:eastAsia="en-AU"/>
              </w:rPr>
            </w:pPr>
            <w:r w:rsidRPr="00703A0B">
              <w:rPr>
                <w:lang w:eastAsia="en-AU"/>
              </w:rPr>
              <w:t>731</w:t>
            </w:r>
          </w:p>
        </w:tc>
        <w:tc>
          <w:tcPr>
            <w:tcW w:w="1247" w:type="dxa"/>
            <w:tcBorders>
              <w:top w:val="single" w:sz="6" w:space="0" w:color="auto"/>
              <w:left w:val="single" w:sz="6" w:space="0" w:color="auto"/>
              <w:bottom w:val="single" w:sz="6" w:space="0" w:color="auto"/>
              <w:right w:val="single" w:sz="6" w:space="0" w:color="auto"/>
            </w:tcBorders>
            <w:hideMark/>
          </w:tcPr>
          <w:p w14:paraId="4CCD09FD" w14:textId="35590005" w:rsidR="004224D2" w:rsidRPr="00703A0B" w:rsidRDefault="004224D2" w:rsidP="00B90AF1">
            <w:pPr>
              <w:rPr>
                <w:lang w:eastAsia="en-AU"/>
              </w:rPr>
            </w:pPr>
            <w:r w:rsidRPr="00703A0B">
              <w:rPr>
                <w:lang w:eastAsia="en-AU"/>
              </w:rPr>
              <w:t>1,387</w:t>
            </w:r>
          </w:p>
        </w:tc>
        <w:tc>
          <w:tcPr>
            <w:tcW w:w="1248" w:type="dxa"/>
            <w:tcBorders>
              <w:top w:val="single" w:sz="6" w:space="0" w:color="auto"/>
              <w:left w:val="single" w:sz="6" w:space="0" w:color="auto"/>
              <w:bottom w:val="single" w:sz="6" w:space="0" w:color="auto"/>
              <w:right w:val="single" w:sz="6" w:space="0" w:color="auto"/>
            </w:tcBorders>
            <w:hideMark/>
          </w:tcPr>
          <w:p w14:paraId="71050659" w14:textId="32629C34" w:rsidR="004224D2" w:rsidRPr="00703A0B" w:rsidRDefault="004224D2" w:rsidP="00B90AF1">
            <w:pPr>
              <w:rPr>
                <w:lang w:eastAsia="en-AU"/>
              </w:rPr>
            </w:pPr>
            <w:r w:rsidRPr="00703A0B">
              <w:rPr>
                <w:lang w:eastAsia="en-AU"/>
              </w:rPr>
              <w:t>812</w:t>
            </w:r>
          </w:p>
        </w:tc>
        <w:tc>
          <w:tcPr>
            <w:tcW w:w="1247" w:type="dxa"/>
            <w:tcBorders>
              <w:top w:val="single" w:sz="6" w:space="0" w:color="auto"/>
              <w:left w:val="single" w:sz="6" w:space="0" w:color="auto"/>
              <w:bottom w:val="single" w:sz="6" w:space="0" w:color="auto"/>
              <w:right w:val="single" w:sz="6" w:space="0" w:color="auto"/>
            </w:tcBorders>
            <w:hideMark/>
          </w:tcPr>
          <w:p w14:paraId="68D1838F" w14:textId="0C0F4F4F" w:rsidR="004224D2" w:rsidRPr="00703A0B" w:rsidRDefault="004224D2" w:rsidP="00B90AF1">
            <w:pPr>
              <w:rPr>
                <w:lang w:eastAsia="en-AU"/>
              </w:rPr>
            </w:pPr>
            <w:r w:rsidRPr="00703A0B">
              <w:rPr>
                <w:lang w:eastAsia="en-AU"/>
              </w:rPr>
              <w:t>605</w:t>
            </w:r>
          </w:p>
        </w:tc>
        <w:tc>
          <w:tcPr>
            <w:tcW w:w="1248" w:type="dxa"/>
            <w:tcBorders>
              <w:top w:val="single" w:sz="6" w:space="0" w:color="auto"/>
              <w:left w:val="single" w:sz="6" w:space="0" w:color="auto"/>
              <w:bottom w:val="single" w:sz="6" w:space="0" w:color="auto"/>
              <w:right w:val="single" w:sz="6" w:space="0" w:color="auto"/>
            </w:tcBorders>
            <w:hideMark/>
          </w:tcPr>
          <w:p w14:paraId="48B0EF46" w14:textId="42624A10" w:rsidR="004224D2" w:rsidRPr="00703A0B" w:rsidRDefault="004224D2" w:rsidP="00B90AF1">
            <w:pPr>
              <w:rPr>
                <w:lang w:eastAsia="en-AU"/>
              </w:rPr>
            </w:pPr>
            <w:r w:rsidRPr="00703A0B">
              <w:rPr>
                <w:lang w:eastAsia="en-AU"/>
              </w:rPr>
              <w:t>664</w:t>
            </w:r>
          </w:p>
        </w:tc>
      </w:tr>
      <w:tr w:rsidR="00B45F8A" w:rsidRPr="00703A0B" w14:paraId="79510E94" w14:textId="77777777" w:rsidTr="00B90AF1">
        <w:tc>
          <w:tcPr>
            <w:tcW w:w="4245" w:type="dxa"/>
            <w:tcBorders>
              <w:top w:val="single" w:sz="6" w:space="0" w:color="auto"/>
              <w:left w:val="single" w:sz="6" w:space="0" w:color="auto"/>
              <w:bottom w:val="single" w:sz="6" w:space="0" w:color="auto"/>
              <w:right w:val="single" w:sz="6" w:space="0" w:color="auto"/>
            </w:tcBorders>
            <w:shd w:val="clear" w:color="auto" w:fill="FFFFFF" w:themeFill="background1"/>
          </w:tcPr>
          <w:p w14:paraId="6C679B6B" w14:textId="3FFF0D53" w:rsidR="00B45F8A" w:rsidRPr="00703A0B" w:rsidRDefault="00B45F8A" w:rsidP="00C76FF3">
            <w:pPr>
              <w:rPr>
                <w:b/>
                <w:bCs/>
                <w:lang w:eastAsia="en-AU"/>
              </w:rPr>
            </w:pPr>
            <w:r w:rsidRPr="00703A0B">
              <w:rPr>
                <w:b/>
                <w:bCs/>
                <w:lang w:eastAsia="en-AU"/>
              </w:rPr>
              <w:t>Total insurance claims received</w:t>
            </w:r>
            <w:r w:rsidRPr="00703A0B">
              <w:rPr>
                <w:rStyle w:val="FootnoteReference"/>
                <w:b/>
                <w:bCs/>
                <w:lang w:eastAsia="en-AU"/>
              </w:rPr>
              <w:footnoteReference w:id="9"/>
            </w:r>
          </w:p>
        </w:tc>
        <w:tc>
          <w:tcPr>
            <w:tcW w:w="1247" w:type="dxa"/>
            <w:tcBorders>
              <w:top w:val="single" w:sz="6" w:space="0" w:color="auto"/>
              <w:left w:val="single" w:sz="6" w:space="0" w:color="auto"/>
              <w:bottom w:val="single" w:sz="6" w:space="0" w:color="auto"/>
              <w:right w:val="single" w:sz="6" w:space="0" w:color="auto"/>
            </w:tcBorders>
            <w:shd w:val="clear" w:color="auto" w:fill="FFFFFF" w:themeFill="background1"/>
          </w:tcPr>
          <w:p w14:paraId="6448A234" w14:textId="2EC2CBBF" w:rsidR="00B45F8A" w:rsidRPr="00703A0B" w:rsidRDefault="00B45F8A" w:rsidP="00B90AF1">
            <w:pPr>
              <w:rPr>
                <w:b/>
                <w:bCs/>
                <w:lang w:eastAsia="en-AU"/>
              </w:rPr>
            </w:pPr>
            <w:r w:rsidRPr="00703A0B">
              <w:rPr>
                <w:b/>
                <w:bCs/>
                <w:lang w:eastAsia="en-AU"/>
              </w:rPr>
              <w:t>1,856</w:t>
            </w:r>
          </w:p>
        </w:tc>
        <w:tc>
          <w:tcPr>
            <w:tcW w:w="1247" w:type="dxa"/>
            <w:tcBorders>
              <w:top w:val="single" w:sz="6" w:space="0" w:color="auto"/>
              <w:left w:val="single" w:sz="6" w:space="0" w:color="auto"/>
              <w:bottom w:val="single" w:sz="6" w:space="0" w:color="auto"/>
              <w:right w:val="single" w:sz="6" w:space="0" w:color="auto"/>
            </w:tcBorders>
            <w:shd w:val="clear" w:color="auto" w:fill="FFFFFF" w:themeFill="background1"/>
          </w:tcPr>
          <w:p w14:paraId="51837F2E" w14:textId="020F17B6" w:rsidR="00B45F8A" w:rsidRPr="00703A0B" w:rsidRDefault="00B45F8A" w:rsidP="00B90AF1">
            <w:pPr>
              <w:rPr>
                <w:b/>
                <w:bCs/>
                <w:lang w:eastAsia="en-AU"/>
              </w:rPr>
            </w:pPr>
            <w:r w:rsidRPr="00703A0B">
              <w:rPr>
                <w:b/>
                <w:bCs/>
                <w:lang w:eastAsia="en-AU"/>
              </w:rPr>
              <w:t>2,745</w:t>
            </w:r>
          </w:p>
        </w:tc>
        <w:tc>
          <w:tcPr>
            <w:tcW w:w="1248" w:type="dxa"/>
            <w:tcBorders>
              <w:top w:val="single" w:sz="6" w:space="0" w:color="auto"/>
              <w:left w:val="single" w:sz="6" w:space="0" w:color="auto"/>
              <w:bottom w:val="single" w:sz="6" w:space="0" w:color="auto"/>
              <w:right w:val="single" w:sz="6" w:space="0" w:color="auto"/>
            </w:tcBorders>
            <w:shd w:val="clear" w:color="auto" w:fill="FFFFFF" w:themeFill="background1"/>
          </w:tcPr>
          <w:p w14:paraId="3CB2DCD4" w14:textId="180D52DF" w:rsidR="00B45F8A" w:rsidRPr="00703A0B" w:rsidRDefault="00B45F8A" w:rsidP="00B90AF1">
            <w:pPr>
              <w:rPr>
                <w:b/>
                <w:bCs/>
                <w:lang w:eastAsia="en-AU"/>
              </w:rPr>
            </w:pPr>
            <w:r w:rsidRPr="00703A0B">
              <w:rPr>
                <w:b/>
                <w:bCs/>
                <w:lang w:eastAsia="en-AU"/>
              </w:rPr>
              <w:t>2,299</w:t>
            </w:r>
          </w:p>
        </w:tc>
        <w:tc>
          <w:tcPr>
            <w:tcW w:w="1247" w:type="dxa"/>
            <w:tcBorders>
              <w:top w:val="single" w:sz="6" w:space="0" w:color="auto"/>
              <w:left w:val="single" w:sz="6" w:space="0" w:color="auto"/>
              <w:bottom w:val="single" w:sz="6" w:space="0" w:color="auto"/>
              <w:right w:val="single" w:sz="6" w:space="0" w:color="auto"/>
            </w:tcBorders>
            <w:shd w:val="clear" w:color="auto" w:fill="FFFFFF" w:themeFill="background1"/>
          </w:tcPr>
          <w:p w14:paraId="34CE980B" w14:textId="5230FFDE" w:rsidR="00B45F8A" w:rsidRPr="00703A0B" w:rsidRDefault="00B45F8A" w:rsidP="00B90AF1">
            <w:pPr>
              <w:rPr>
                <w:b/>
                <w:bCs/>
                <w:lang w:eastAsia="en-AU"/>
              </w:rPr>
            </w:pPr>
            <w:r w:rsidRPr="00703A0B">
              <w:rPr>
                <w:b/>
                <w:bCs/>
                <w:lang w:eastAsia="en-AU"/>
              </w:rPr>
              <w:t>1,824</w:t>
            </w:r>
          </w:p>
        </w:tc>
        <w:tc>
          <w:tcPr>
            <w:tcW w:w="1248" w:type="dxa"/>
            <w:tcBorders>
              <w:top w:val="single" w:sz="6" w:space="0" w:color="auto"/>
              <w:left w:val="single" w:sz="6" w:space="0" w:color="auto"/>
              <w:bottom w:val="single" w:sz="6" w:space="0" w:color="auto"/>
              <w:right w:val="single" w:sz="6" w:space="0" w:color="auto"/>
            </w:tcBorders>
            <w:shd w:val="clear" w:color="auto" w:fill="FFFFFF" w:themeFill="background1"/>
          </w:tcPr>
          <w:p w14:paraId="74ABAE77" w14:textId="3CD4C3BC" w:rsidR="00B45F8A" w:rsidRPr="00703A0B" w:rsidRDefault="00B45F8A" w:rsidP="00B90AF1">
            <w:pPr>
              <w:rPr>
                <w:b/>
                <w:bCs/>
                <w:lang w:eastAsia="en-AU"/>
              </w:rPr>
            </w:pPr>
            <w:r w:rsidRPr="00703A0B">
              <w:rPr>
                <w:b/>
                <w:bCs/>
                <w:lang w:eastAsia="en-AU"/>
              </w:rPr>
              <w:t>1,967</w:t>
            </w:r>
          </w:p>
        </w:tc>
      </w:tr>
      <w:tr w:rsidR="00AD027C" w:rsidRPr="00703A0B" w14:paraId="3FB9BC31" w14:textId="77777777" w:rsidTr="00B90AF1">
        <w:tc>
          <w:tcPr>
            <w:tcW w:w="10482" w:type="dxa"/>
            <w:gridSpan w:val="6"/>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996F820" w14:textId="1907E486" w:rsidR="00AD027C" w:rsidRPr="00703A0B" w:rsidRDefault="00AD027C" w:rsidP="00C76FF3">
            <w:pPr>
              <w:rPr>
                <w:lang w:eastAsia="en-AU"/>
              </w:rPr>
            </w:pPr>
            <w:r w:rsidRPr="00703A0B">
              <w:rPr>
                <w:lang w:eastAsia="en-AU"/>
              </w:rPr>
              <w:t>Insurance claims finalised</w:t>
            </w:r>
          </w:p>
        </w:tc>
      </w:tr>
      <w:tr w:rsidR="00B45F8A" w:rsidRPr="00703A0B" w14:paraId="2C1FFC9D" w14:textId="77777777" w:rsidTr="00B90AF1">
        <w:tc>
          <w:tcPr>
            <w:tcW w:w="4245" w:type="dxa"/>
            <w:tcBorders>
              <w:top w:val="single" w:sz="6" w:space="0" w:color="auto"/>
              <w:left w:val="single" w:sz="6" w:space="0" w:color="auto"/>
              <w:bottom w:val="single" w:sz="6" w:space="0" w:color="auto"/>
              <w:right w:val="single" w:sz="6" w:space="0" w:color="auto"/>
            </w:tcBorders>
            <w:hideMark/>
          </w:tcPr>
          <w:p w14:paraId="35A92DA4" w14:textId="532CBA0A" w:rsidR="00B45F8A" w:rsidRPr="00703A0B" w:rsidRDefault="00B45F8A" w:rsidP="00C76FF3">
            <w:pPr>
              <w:rPr>
                <w:lang w:eastAsia="en-AU"/>
              </w:rPr>
            </w:pPr>
            <w:r w:rsidRPr="00703A0B">
              <w:rPr>
                <w:lang w:eastAsia="en-AU"/>
              </w:rPr>
              <w:t xml:space="preserve">Claims </w:t>
            </w:r>
            <w:r w:rsidR="00655D1F" w:rsidRPr="00703A0B">
              <w:rPr>
                <w:lang w:eastAsia="en-AU"/>
              </w:rPr>
              <w:t>a</w:t>
            </w:r>
            <w:r w:rsidRPr="00703A0B">
              <w:rPr>
                <w:lang w:eastAsia="en-AU"/>
              </w:rPr>
              <w:t>pproved </w:t>
            </w:r>
          </w:p>
        </w:tc>
        <w:tc>
          <w:tcPr>
            <w:tcW w:w="1247" w:type="dxa"/>
            <w:tcBorders>
              <w:top w:val="single" w:sz="6" w:space="0" w:color="auto"/>
              <w:left w:val="single" w:sz="6" w:space="0" w:color="auto"/>
              <w:bottom w:val="single" w:sz="6" w:space="0" w:color="auto"/>
              <w:right w:val="single" w:sz="6" w:space="0" w:color="auto"/>
            </w:tcBorders>
            <w:hideMark/>
          </w:tcPr>
          <w:p w14:paraId="4BA1BDD2" w14:textId="4F71AC35" w:rsidR="00B45F8A" w:rsidRPr="00703A0B" w:rsidRDefault="00B45F8A" w:rsidP="00B90AF1">
            <w:pPr>
              <w:rPr>
                <w:lang w:eastAsia="en-AU"/>
              </w:rPr>
            </w:pPr>
            <w:r w:rsidRPr="00703A0B">
              <w:rPr>
                <w:lang w:eastAsia="en-AU"/>
              </w:rPr>
              <w:t>941</w:t>
            </w:r>
          </w:p>
        </w:tc>
        <w:tc>
          <w:tcPr>
            <w:tcW w:w="1247" w:type="dxa"/>
            <w:tcBorders>
              <w:top w:val="single" w:sz="6" w:space="0" w:color="auto"/>
              <w:left w:val="single" w:sz="6" w:space="0" w:color="auto"/>
              <w:bottom w:val="single" w:sz="6" w:space="0" w:color="auto"/>
              <w:right w:val="single" w:sz="6" w:space="0" w:color="auto"/>
            </w:tcBorders>
            <w:hideMark/>
          </w:tcPr>
          <w:p w14:paraId="16FBF091" w14:textId="56E843DF" w:rsidR="00B45F8A" w:rsidRPr="00703A0B" w:rsidRDefault="00B45F8A" w:rsidP="00B90AF1">
            <w:pPr>
              <w:rPr>
                <w:lang w:eastAsia="en-AU"/>
              </w:rPr>
            </w:pPr>
            <w:r w:rsidRPr="00703A0B">
              <w:rPr>
                <w:lang w:eastAsia="en-AU"/>
              </w:rPr>
              <w:t>772</w:t>
            </w:r>
          </w:p>
        </w:tc>
        <w:tc>
          <w:tcPr>
            <w:tcW w:w="1248" w:type="dxa"/>
            <w:tcBorders>
              <w:top w:val="single" w:sz="6" w:space="0" w:color="auto"/>
              <w:left w:val="single" w:sz="6" w:space="0" w:color="auto"/>
              <w:bottom w:val="single" w:sz="6" w:space="0" w:color="auto"/>
              <w:right w:val="single" w:sz="6" w:space="0" w:color="auto"/>
            </w:tcBorders>
            <w:hideMark/>
          </w:tcPr>
          <w:p w14:paraId="5A48A4E5" w14:textId="27809AF4" w:rsidR="00B45F8A" w:rsidRPr="00703A0B" w:rsidRDefault="00B45F8A" w:rsidP="00B90AF1">
            <w:pPr>
              <w:rPr>
                <w:lang w:eastAsia="en-AU"/>
              </w:rPr>
            </w:pPr>
            <w:r w:rsidRPr="00703A0B">
              <w:rPr>
                <w:lang w:eastAsia="en-AU"/>
              </w:rPr>
              <w:t>1,210</w:t>
            </w:r>
          </w:p>
        </w:tc>
        <w:tc>
          <w:tcPr>
            <w:tcW w:w="1247" w:type="dxa"/>
            <w:tcBorders>
              <w:top w:val="single" w:sz="6" w:space="0" w:color="auto"/>
              <w:left w:val="single" w:sz="6" w:space="0" w:color="auto"/>
              <w:bottom w:val="single" w:sz="6" w:space="0" w:color="auto"/>
              <w:right w:val="single" w:sz="6" w:space="0" w:color="auto"/>
            </w:tcBorders>
            <w:hideMark/>
          </w:tcPr>
          <w:p w14:paraId="2FEAC434" w14:textId="0BC54D6C" w:rsidR="00B45F8A" w:rsidRPr="00703A0B" w:rsidRDefault="00B45F8A" w:rsidP="00B90AF1">
            <w:pPr>
              <w:rPr>
                <w:lang w:eastAsia="en-AU"/>
              </w:rPr>
            </w:pPr>
            <w:r w:rsidRPr="00703A0B">
              <w:rPr>
                <w:lang w:eastAsia="en-AU"/>
              </w:rPr>
              <w:t>765</w:t>
            </w:r>
          </w:p>
        </w:tc>
        <w:tc>
          <w:tcPr>
            <w:tcW w:w="1248" w:type="dxa"/>
            <w:tcBorders>
              <w:top w:val="single" w:sz="6" w:space="0" w:color="auto"/>
              <w:left w:val="single" w:sz="6" w:space="0" w:color="auto"/>
              <w:bottom w:val="single" w:sz="6" w:space="0" w:color="auto"/>
              <w:right w:val="single" w:sz="6" w:space="0" w:color="auto"/>
            </w:tcBorders>
            <w:hideMark/>
          </w:tcPr>
          <w:p w14:paraId="5C75BEA7" w14:textId="2B37E65A" w:rsidR="00B45F8A" w:rsidRPr="00703A0B" w:rsidRDefault="00B45F8A" w:rsidP="00B90AF1">
            <w:pPr>
              <w:rPr>
                <w:lang w:eastAsia="en-AU"/>
              </w:rPr>
            </w:pPr>
            <w:r w:rsidRPr="00703A0B">
              <w:rPr>
                <w:lang w:eastAsia="en-AU"/>
              </w:rPr>
              <w:t>676</w:t>
            </w:r>
          </w:p>
        </w:tc>
      </w:tr>
      <w:tr w:rsidR="00B45F8A" w:rsidRPr="00703A0B" w14:paraId="49AB6DEA" w14:textId="77777777" w:rsidTr="00B90AF1">
        <w:tc>
          <w:tcPr>
            <w:tcW w:w="4245" w:type="dxa"/>
            <w:tcBorders>
              <w:top w:val="single" w:sz="6" w:space="0" w:color="auto"/>
              <w:left w:val="single" w:sz="6" w:space="0" w:color="auto"/>
              <w:bottom w:val="single" w:sz="6" w:space="0" w:color="auto"/>
              <w:right w:val="single" w:sz="6" w:space="0" w:color="auto"/>
            </w:tcBorders>
            <w:hideMark/>
          </w:tcPr>
          <w:p w14:paraId="622AD4BF" w14:textId="75E9FCDA" w:rsidR="00B45F8A" w:rsidRPr="00703A0B" w:rsidRDefault="00B45F8A" w:rsidP="00C76FF3">
            <w:pPr>
              <w:rPr>
                <w:lang w:eastAsia="en-AU"/>
              </w:rPr>
            </w:pPr>
            <w:r w:rsidRPr="00703A0B">
              <w:rPr>
                <w:lang w:eastAsia="en-AU"/>
              </w:rPr>
              <w:t>Claims </w:t>
            </w:r>
            <w:r w:rsidR="009D4BDB" w:rsidRPr="00703A0B">
              <w:rPr>
                <w:lang w:eastAsia="en-AU"/>
              </w:rPr>
              <w:t>d</w:t>
            </w:r>
            <w:r w:rsidRPr="00703A0B">
              <w:rPr>
                <w:lang w:eastAsia="en-AU"/>
              </w:rPr>
              <w:t>eclined</w:t>
            </w:r>
          </w:p>
        </w:tc>
        <w:tc>
          <w:tcPr>
            <w:tcW w:w="1247" w:type="dxa"/>
            <w:tcBorders>
              <w:top w:val="single" w:sz="6" w:space="0" w:color="auto"/>
              <w:left w:val="single" w:sz="6" w:space="0" w:color="auto"/>
              <w:bottom w:val="single" w:sz="6" w:space="0" w:color="auto"/>
              <w:right w:val="single" w:sz="6" w:space="0" w:color="auto"/>
            </w:tcBorders>
            <w:hideMark/>
          </w:tcPr>
          <w:p w14:paraId="74EC83CF" w14:textId="1A8CD46D" w:rsidR="00B45F8A" w:rsidRPr="00703A0B" w:rsidRDefault="00B45F8A" w:rsidP="00B90AF1">
            <w:pPr>
              <w:rPr>
                <w:lang w:eastAsia="en-AU"/>
              </w:rPr>
            </w:pPr>
            <w:r w:rsidRPr="00703A0B">
              <w:rPr>
                <w:lang w:eastAsia="en-AU"/>
              </w:rPr>
              <w:t>599</w:t>
            </w:r>
          </w:p>
        </w:tc>
        <w:tc>
          <w:tcPr>
            <w:tcW w:w="1247" w:type="dxa"/>
            <w:tcBorders>
              <w:top w:val="single" w:sz="6" w:space="0" w:color="auto"/>
              <w:left w:val="single" w:sz="6" w:space="0" w:color="auto"/>
              <w:bottom w:val="single" w:sz="6" w:space="0" w:color="auto"/>
              <w:right w:val="single" w:sz="6" w:space="0" w:color="auto"/>
            </w:tcBorders>
            <w:hideMark/>
          </w:tcPr>
          <w:p w14:paraId="3089A16C" w14:textId="27BE2940" w:rsidR="00B45F8A" w:rsidRPr="00703A0B" w:rsidRDefault="00B45F8A" w:rsidP="00B90AF1">
            <w:pPr>
              <w:rPr>
                <w:lang w:eastAsia="en-AU"/>
              </w:rPr>
            </w:pPr>
            <w:r w:rsidRPr="00703A0B">
              <w:rPr>
                <w:lang w:eastAsia="en-AU"/>
              </w:rPr>
              <w:t>737</w:t>
            </w:r>
          </w:p>
        </w:tc>
        <w:tc>
          <w:tcPr>
            <w:tcW w:w="1248" w:type="dxa"/>
            <w:tcBorders>
              <w:top w:val="single" w:sz="6" w:space="0" w:color="auto"/>
              <w:left w:val="single" w:sz="6" w:space="0" w:color="auto"/>
              <w:bottom w:val="single" w:sz="6" w:space="0" w:color="auto"/>
              <w:right w:val="single" w:sz="6" w:space="0" w:color="auto"/>
            </w:tcBorders>
            <w:hideMark/>
          </w:tcPr>
          <w:p w14:paraId="2B028494" w14:textId="454132F3" w:rsidR="00B45F8A" w:rsidRPr="00703A0B" w:rsidRDefault="00B45F8A" w:rsidP="00B90AF1">
            <w:pPr>
              <w:rPr>
                <w:lang w:eastAsia="en-AU"/>
              </w:rPr>
            </w:pPr>
            <w:r w:rsidRPr="00703A0B">
              <w:rPr>
                <w:lang w:eastAsia="en-AU"/>
              </w:rPr>
              <w:t>1,056</w:t>
            </w:r>
          </w:p>
        </w:tc>
        <w:tc>
          <w:tcPr>
            <w:tcW w:w="1247" w:type="dxa"/>
            <w:tcBorders>
              <w:top w:val="single" w:sz="6" w:space="0" w:color="auto"/>
              <w:left w:val="single" w:sz="6" w:space="0" w:color="auto"/>
              <w:bottom w:val="single" w:sz="6" w:space="0" w:color="auto"/>
              <w:right w:val="single" w:sz="6" w:space="0" w:color="auto"/>
            </w:tcBorders>
            <w:hideMark/>
          </w:tcPr>
          <w:p w14:paraId="1AA4DB2A" w14:textId="714C5EAE" w:rsidR="00B45F8A" w:rsidRPr="00703A0B" w:rsidRDefault="00B45F8A" w:rsidP="00B90AF1">
            <w:pPr>
              <w:rPr>
                <w:lang w:eastAsia="en-AU"/>
              </w:rPr>
            </w:pPr>
            <w:r w:rsidRPr="00703A0B">
              <w:rPr>
                <w:lang w:eastAsia="en-AU"/>
              </w:rPr>
              <w:t>781</w:t>
            </w:r>
          </w:p>
        </w:tc>
        <w:tc>
          <w:tcPr>
            <w:tcW w:w="1248" w:type="dxa"/>
            <w:tcBorders>
              <w:top w:val="single" w:sz="6" w:space="0" w:color="auto"/>
              <w:left w:val="single" w:sz="6" w:space="0" w:color="auto"/>
              <w:bottom w:val="single" w:sz="6" w:space="0" w:color="auto"/>
              <w:right w:val="single" w:sz="6" w:space="0" w:color="auto"/>
            </w:tcBorders>
            <w:hideMark/>
          </w:tcPr>
          <w:p w14:paraId="417892FB" w14:textId="19D92137" w:rsidR="00B45F8A" w:rsidRPr="00703A0B" w:rsidRDefault="00B45F8A" w:rsidP="00B90AF1">
            <w:pPr>
              <w:rPr>
                <w:lang w:eastAsia="en-AU"/>
              </w:rPr>
            </w:pPr>
            <w:r w:rsidRPr="00703A0B">
              <w:rPr>
                <w:lang w:eastAsia="en-AU"/>
              </w:rPr>
              <w:t>776</w:t>
            </w:r>
          </w:p>
        </w:tc>
      </w:tr>
      <w:tr w:rsidR="00B45F8A" w:rsidRPr="00703A0B" w14:paraId="372C12C7" w14:textId="77777777" w:rsidTr="00B90AF1">
        <w:tc>
          <w:tcPr>
            <w:tcW w:w="4245" w:type="dxa"/>
            <w:tcBorders>
              <w:top w:val="single" w:sz="6" w:space="0" w:color="auto"/>
              <w:left w:val="single" w:sz="6" w:space="0" w:color="auto"/>
              <w:bottom w:val="single" w:sz="6" w:space="0" w:color="auto"/>
              <w:right w:val="single" w:sz="6" w:space="0" w:color="auto"/>
            </w:tcBorders>
            <w:hideMark/>
          </w:tcPr>
          <w:p w14:paraId="50A495D4" w14:textId="219ECBC0" w:rsidR="00B45F8A" w:rsidRPr="00703A0B" w:rsidRDefault="00B45F8A" w:rsidP="00C76FF3">
            <w:pPr>
              <w:rPr>
                <w:lang w:eastAsia="en-AU"/>
              </w:rPr>
            </w:pPr>
            <w:r w:rsidRPr="00703A0B">
              <w:rPr>
                <w:lang w:eastAsia="en-AU"/>
              </w:rPr>
              <w:t xml:space="preserve">Claims </w:t>
            </w:r>
            <w:r w:rsidR="009D4BDB" w:rsidRPr="00703A0B">
              <w:rPr>
                <w:lang w:eastAsia="en-AU"/>
              </w:rPr>
              <w:t>n</w:t>
            </w:r>
            <w:r w:rsidRPr="00703A0B">
              <w:rPr>
                <w:lang w:eastAsia="en-AU"/>
              </w:rPr>
              <w:t xml:space="preserve">ot </w:t>
            </w:r>
            <w:r w:rsidR="009D4BDB" w:rsidRPr="00703A0B">
              <w:rPr>
                <w:lang w:eastAsia="en-AU"/>
              </w:rPr>
              <w:t>d</w:t>
            </w:r>
            <w:r w:rsidRPr="00703A0B">
              <w:rPr>
                <w:lang w:eastAsia="en-AU"/>
              </w:rPr>
              <w:t>eclined or </w:t>
            </w:r>
            <w:r w:rsidR="009D4BDB" w:rsidRPr="00703A0B">
              <w:rPr>
                <w:lang w:eastAsia="en-AU"/>
              </w:rPr>
              <w:t>a</w:t>
            </w:r>
            <w:r w:rsidRPr="00703A0B">
              <w:rPr>
                <w:lang w:eastAsia="en-AU"/>
              </w:rPr>
              <w:t>pproved</w:t>
            </w:r>
            <w:r w:rsidRPr="00703A0B">
              <w:rPr>
                <w:rStyle w:val="FootnoteReference"/>
                <w:lang w:eastAsia="en-AU"/>
              </w:rPr>
              <w:footnoteReference w:id="10"/>
            </w:r>
          </w:p>
        </w:tc>
        <w:tc>
          <w:tcPr>
            <w:tcW w:w="1247" w:type="dxa"/>
            <w:tcBorders>
              <w:top w:val="single" w:sz="6" w:space="0" w:color="auto"/>
              <w:left w:val="single" w:sz="6" w:space="0" w:color="auto"/>
              <w:bottom w:val="single" w:sz="6" w:space="0" w:color="auto"/>
              <w:right w:val="single" w:sz="6" w:space="0" w:color="auto"/>
            </w:tcBorders>
            <w:hideMark/>
          </w:tcPr>
          <w:p w14:paraId="485112D3" w14:textId="39DBF2F4" w:rsidR="00B45F8A" w:rsidRPr="00703A0B" w:rsidRDefault="00B45F8A" w:rsidP="00B90AF1">
            <w:pPr>
              <w:rPr>
                <w:lang w:eastAsia="en-AU"/>
              </w:rPr>
            </w:pPr>
            <w:r w:rsidRPr="00703A0B">
              <w:rPr>
                <w:lang w:eastAsia="en-AU"/>
              </w:rPr>
              <w:t>111</w:t>
            </w:r>
          </w:p>
        </w:tc>
        <w:tc>
          <w:tcPr>
            <w:tcW w:w="1247" w:type="dxa"/>
            <w:tcBorders>
              <w:top w:val="single" w:sz="6" w:space="0" w:color="auto"/>
              <w:left w:val="single" w:sz="6" w:space="0" w:color="auto"/>
              <w:bottom w:val="single" w:sz="6" w:space="0" w:color="auto"/>
              <w:right w:val="single" w:sz="6" w:space="0" w:color="auto"/>
            </w:tcBorders>
            <w:hideMark/>
          </w:tcPr>
          <w:p w14:paraId="694C173F" w14:textId="4604486B" w:rsidR="00B45F8A" w:rsidRPr="00703A0B" w:rsidRDefault="00B45F8A" w:rsidP="00B90AF1">
            <w:pPr>
              <w:rPr>
                <w:lang w:eastAsia="en-AU"/>
              </w:rPr>
            </w:pPr>
            <w:r w:rsidRPr="00703A0B">
              <w:rPr>
                <w:lang w:eastAsia="en-AU"/>
              </w:rPr>
              <w:t>158</w:t>
            </w:r>
          </w:p>
        </w:tc>
        <w:tc>
          <w:tcPr>
            <w:tcW w:w="1248" w:type="dxa"/>
            <w:tcBorders>
              <w:top w:val="single" w:sz="6" w:space="0" w:color="auto"/>
              <w:left w:val="single" w:sz="6" w:space="0" w:color="auto"/>
              <w:bottom w:val="single" w:sz="6" w:space="0" w:color="auto"/>
              <w:right w:val="single" w:sz="6" w:space="0" w:color="auto"/>
            </w:tcBorders>
            <w:hideMark/>
          </w:tcPr>
          <w:p w14:paraId="2724A9A0" w14:textId="2D5AF92E" w:rsidR="00B45F8A" w:rsidRPr="00703A0B" w:rsidRDefault="00B45F8A" w:rsidP="00B90AF1">
            <w:pPr>
              <w:rPr>
                <w:lang w:eastAsia="en-AU"/>
              </w:rPr>
            </w:pPr>
            <w:r w:rsidRPr="00703A0B">
              <w:rPr>
                <w:lang w:eastAsia="en-AU"/>
              </w:rPr>
              <w:t>230</w:t>
            </w:r>
          </w:p>
        </w:tc>
        <w:tc>
          <w:tcPr>
            <w:tcW w:w="1247" w:type="dxa"/>
            <w:tcBorders>
              <w:top w:val="single" w:sz="6" w:space="0" w:color="auto"/>
              <w:left w:val="single" w:sz="6" w:space="0" w:color="auto"/>
              <w:bottom w:val="single" w:sz="6" w:space="0" w:color="auto"/>
              <w:right w:val="single" w:sz="6" w:space="0" w:color="auto"/>
            </w:tcBorders>
            <w:hideMark/>
          </w:tcPr>
          <w:p w14:paraId="448C1B84" w14:textId="1616180E" w:rsidR="00B45F8A" w:rsidRPr="00703A0B" w:rsidRDefault="00B45F8A" w:rsidP="00B90AF1">
            <w:pPr>
              <w:rPr>
                <w:lang w:eastAsia="en-AU"/>
              </w:rPr>
            </w:pPr>
            <w:r w:rsidRPr="00703A0B">
              <w:rPr>
                <w:lang w:eastAsia="en-AU"/>
              </w:rPr>
              <w:t>218</w:t>
            </w:r>
          </w:p>
        </w:tc>
        <w:tc>
          <w:tcPr>
            <w:tcW w:w="1248" w:type="dxa"/>
            <w:tcBorders>
              <w:top w:val="single" w:sz="6" w:space="0" w:color="auto"/>
              <w:left w:val="single" w:sz="6" w:space="0" w:color="auto"/>
              <w:bottom w:val="single" w:sz="6" w:space="0" w:color="auto"/>
              <w:right w:val="single" w:sz="6" w:space="0" w:color="auto"/>
            </w:tcBorders>
            <w:hideMark/>
          </w:tcPr>
          <w:p w14:paraId="4E08803A" w14:textId="68A5895B" w:rsidR="00B45F8A" w:rsidRPr="00703A0B" w:rsidRDefault="00B45F8A" w:rsidP="00B90AF1">
            <w:pPr>
              <w:rPr>
                <w:lang w:eastAsia="en-AU"/>
              </w:rPr>
            </w:pPr>
            <w:r w:rsidRPr="00703A0B">
              <w:rPr>
                <w:lang w:eastAsia="en-AU"/>
              </w:rPr>
              <w:t>210</w:t>
            </w:r>
          </w:p>
        </w:tc>
      </w:tr>
      <w:tr w:rsidR="00B45F8A" w:rsidRPr="00703A0B" w14:paraId="6E0EBF1B" w14:textId="77777777" w:rsidTr="00B90AF1">
        <w:tc>
          <w:tcPr>
            <w:tcW w:w="4245" w:type="dxa"/>
            <w:tcBorders>
              <w:top w:val="single" w:sz="6" w:space="0" w:color="auto"/>
              <w:left w:val="single" w:sz="6" w:space="0" w:color="auto"/>
              <w:bottom w:val="single" w:sz="6" w:space="0" w:color="auto"/>
              <w:right w:val="single" w:sz="6" w:space="0" w:color="auto"/>
            </w:tcBorders>
          </w:tcPr>
          <w:p w14:paraId="64FE8067" w14:textId="0AFE299A" w:rsidR="00B45F8A" w:rsidRPr="00703A0B" w:rsidRDefault="00B45F8A" w:rsidP="00C76FF3">
            <w:pPr>
              <w:rPr>
                <w:b/>
                <w:bCs/>
                <w:lang w:eastAsia="en-AU"/>
              </w:rPr>
            </w:pPr>
            <w:r w:rsidRPr="00703A0B">
              <w:rPr>
                <w:b/>
                <w:bCs/>
                <w:lang w:eastAsia="en-AU"/>
              </w:rPr>
              <w:t>Total insurance claims finalised </w:t>
            </w:r>
          </w:p>
        </w:tc>
        <w:tc>
          <w:tcPr>
            <w:tcW w:w="1247" w:type="dxa"/>
            <w:tcBorders>
              <w:top w:val="single" w:sz="6" w:space="0" w:color="auto"/>
              <w:left w:val="single" w:sz="6" w:space="0" w:color="auto"/>
              <w:bottom w:val="single" w:sz="6" w:space="0" w:color="auto"/>
              <w:right w:val="single" w:sz="6" w:space="0" w:color="auto"/>
            </w:tcBorders>
          </w:tcPr>
          <w:p w14:paraId="1290C943" w14:textId="20502520" w:rsidR="00B45F8A" w:rsidRPr="00703A0B" w:rsidRDefault="00B45F8A" w:rsidP="00B90AF1">
            <w:pPr>
              <w:rPr>
                <w:b/>
                <w:bCs/>
                <w:lang w:eastAsia="en-AU"/>
              </w:rPr>
            </w:pPr>
            <w:r w:rsidRPr="00703A0B">
              <w:rPr>
                <w:b/>
                <w:bCs/>
                <w:lang w:eastAsia="en-AU"/>
              </w:rPr>
              <w:t>1,628</w:t>
            </w:r>
          </w:p>
        </w:tc>
        <w:tc>
          <w:tcPr>
            <w:tcW w:w="1247" w:type="dxa"/>
            <w:tcBorders>
              <w:top w:val="single" w:sz="6" w:space="0" w:color="auto"/>
              <w:left w:val="single" w:sz="6" w:space="0" w:color="auto"/>
              <w:bottom w:val="single" w:sz="6" w:space="0" w:color="auto"/>
              <w:right w:val="single" w:sz="6" w:space="0" w:color="auto"/>
            </w:tcBorders>
          </w:tcPr>
          <w:p w14:paraId="5785BAA6" w14:textId="3DACF3B3" w:rsidR="00B45F8A" w:rsidRPr="00703A0B" w:rsidRDefault="00B45F8A" w:rsidP="00B90AF1">
            <w:pPr>
              <w:rPr>
                <w:b/>
                <w:bCs/>
                <w:lang w:eastAsia="en-AU"/>
              </w:rPr>
            </w:pPr>
            <w:r w:rsidRPr="00703A0B">
              <w:rPr>
                <w:b/>
                <w:bCs/>
                <w:lang w:eastAsia="en-AU"/>
              </w:rPr>
              <w:t>1,667</w:t>
            </w:r>
          </w:p>
        </w:tc>
        <w:tc>
          <w:tcPr>
            <w:tcW w:w="1248" w:type="dxa"/>
            <w:tcBorders>
              <w:top w:val="single" w:sz="6" w:space="0" w:color="auto"/>
              <w:left w:val="single" w:sz="6" w:space="0" w:color="auto"/>
              <w:bottom w:val="single" w:sz="6" w:space="0" w:color="auto"/>
              <w:right w:val="single" w:sz="6" w:space="0" w:color="auto"/>
            </w:tcBorders>
          </w:tcPr>
          <w:p w14:paraId="40564BB2" w14:textId="2F0DE0E9" w:rsidR="00B45F8A" w:rsidRPr="00703A0B" w:rsidRDefault="00B45F8A" w:rsidP="00B90AF1">
            <w:pPr>
              <w:rPr>
                <w:b/>
                <w:bCs/>
                <w:lang w:eastAsia="en-AU"/>
              </w:rPr>
            </w:pPr>
            <w:r w:rsidRPr="00703A0B">
              <w:rPr>
                <w:b/>
                <w:bCs/>
                <w:lang w:eastAsia="en-AU"/>
              </w:rPr>
              <w:t>2,496</w:t>
            </w:r>
          </w:p>
        </w:tc>
        <w:tc>
          <w:tcPr>
            <w:tcW w:w="1247" w:type="dxa"/>
            <w:tcBorders>
              <w:top w:val="single" w:sz="6" w:space="0" w:color="auto"/>
              <w:left w:val="single" w:sz="6" w:space="0" w:color="auto"/>
              <w:bottom w:val="single" w:sz="6" w:space="0" w:color="auto"/>
              <w:right w:val="single" w:sz="6" w:space="0" w:color="auto"/>
            </w:tcBorders>
          </w:tcPr>
          <w:p w14:paraId="49A2B9E4" w14:textId="427A1E0A" w:rsidR="00B45F8A" w:rsidRPr="00703A0B" w:rsidRDefault="00B45F8A" w:rsidP="00B90AF1">
            <w:pPr>
              <w:rPr>
                <w:b/>
                <w:bCs/>
                <w:lang w:eastAsia="en-AU"/>
              </w:rPr>
            </w:pPr>
            <w:r w:rsidRPr="00703A0B">
              <w:rPr>
                <w:b/>
                <w:bCs/>
                <w:lang w:eastAsia="en-AU"/>
              </w:rPr>
              <w:t>1,764</w:t>
            </w:r>
          </w:p>
        </w:tc>
        <w:tc>
          <w:tcPr>
            <w:tcW w:w="1248" w:type="dxa"/>
            <w:tcBorders>
              <w:top w:val="single" w:sz="6" w:space="0" w:color="auto"/>
              <w:left w:val="single" w:sz="6" w:space="0" w:color="auto"/>
              <w:bottom w:val="single" w:sz="6" w:space="0" w:color="auto"/>
              <w:right w:val="single" w:sz="6" w:space="0" w:color="auto"/>
            </w:tcBorders>
          </w:tcPr>
          <w:p w14:paraId="02C22B96" w14:textId="61DF45D7" w:rsidR="00B45F8A" w:rsidRPr="00703A0B" w:rsidRDefault="00B45F8A" w:rsidP="00B90AF1">
            <w:pPr>
              <w:rPr>
                <w:b/>
                <w:bCs/>
                <w:lang w:eastAsia="en-AU"/>
              </w:rPr>
            </w:pPr>
            <w:r w:rsidRPr="00703A0B">
              <w:rPr>
                <w:b/>
                <w:bCs/>
                <w:lang w:eastAsia="en-AU"/>
              </w:rPr>
              <w:t>1,662</w:t>
            </w:r>
          </w:p>
        </w:tc>
      </w:tr>
    </w:tbl>
    <w:p w14:paraId="556D70C8" w14:textId="057538BB" w:rsidR="00386BBC" w:rsidRPr="00703A0B" w:rsidRDefault="00DD6041" w:rsidP="00927E5F">
      <w:pPr>
        <w:spacing w:before="120" w:after="120"/>
      </w:pPr>
      <w:r w:rsidRPr="00703A0B">
        <w:rPr>
          <w:lang w:eastAsia="en-AU"/>
        </w:rPr>
        <w:lastRenderedPageBreak/>
        <w:fldChar w:fldCharType="begin"/>
      </w:r>
      <w:r w:rsidRPr="00703A0B">
        <w:rPr>
          <w:lang w:eastAsia="en-AU"/>
        </w:rPr>
        <w:instrText xml:space="preserve"> REF _Ref234907065 \h  \* MERGEFORMAT </w:instrText>
      </w:r>
      <w:r w:rsidRPr="00703A0B">
        <w:rPr>
          <w:lang w:eastAsia="en-AU"/>
        </w:rPr>
      </w:r>
      <w:r w:rsidRPr="00703A0B">
        <w:rPr>
          <w:lang w:eastAsia="en-AU"/>
        </w:rPr>
        <w:fldChar w:fldCharType="separate"/>
      </w:r>
      <w:r w:rsidR="00356702" w:rsidRPr="00703A0B">
        <w:t>Figure 5</w:t>
      </w:r>
      <w:r w:rsidRPr="00703A0B">
        <w:rPr>
          <w:lang w:eastAsia="en-AU"/>
        </w:rPr>
        <w:fldChar w:fldCharType="end"/>
      </w:r>
      <w:r w:rsidRPr="00703A0B">
        <w:rPr>
          <w:lang w:eastAsia="en-AU"/>
        </w:rPr>
        <w:t xml:space="preserve"> </w:t>
      </w:r>
      <w:r w:rsidR="00D1334F" w:rsidRPr="00703A0B">
        <w:rPr>
          <w:lang w:eastAsia="en-AU"/>
        </w:rPr>
        <w:t>provide</w:t>
      </w:r>
      <w:r w:rsidR="00711FB0" w:rsidRPr="00703A0B">
        <w:rPr>
          <w:lang w:eastAsia="en-AU"/>
        </w:rPr>
        <w:t>s</w:t>
      </w:r>
      <w:r w:rsidR="00D1334F" w:rsidRPr="00703A0B">
        <w:rPr>
          <w:lang w:eastAsia="en-AU"/>
        </w:rPr>
        <w:t xml:space="preserve"> an overview of the </w:t>
      </w:r>
      <w:r w:rsidR="006016FB" w:rsidRPr="00703A0B">
        <w:rPr>
          <w:lang w:eastAsia="en-AU"/>
        </w:rPr>
        <w:t xml:space="preserve">geographical </w:t>
      </w:r>
      <w:r w:rsidR="006D5D38" w:rsidRPr="00703A0B">
        <w:rPr>
          <w:lang w:eastAsia="en-AU"/>
        </w:rPr>
        <w:t>distribution</w:t>
      </w:r>
      <w:r w:rsidR="006016FB" w:rsidRPr="00703A0B">
        <w:rPr>
          <w:lang w:eastAsia="en-AU"/>
        </w:rPr>
        <w:t xml:space="preserve"> of QHWS policies </w:t>
      </w:r>
      <w:r w:rsidR="002D319E" w:rsidRPr="00703A0B">
        <w:rPr>
          <w:lang w:eastAsia="en-AU"/>
        </w:rPr>
        <w:t>at the end of the reporting period</w:t>
      </w:r>
      <w:r w:rsidR="006D5D38" w:rsidRPr="00703A0B">
        <w:rPr>
          <w:lang w:eastAsia="en-AU"/>
        </w:rPr>
        <w:t xml:space="preserve">, highlighting </w:t>
      </w:r>
      <w:r w:rsidR="006E2C7E" w:rsidRPr="00703A0B">
        <w:rPr>
          <w:lang w:eastAsia="en-AU"/>
        </w:rPr>
        <w:t>areas with</w:t>
      </w:r>
      <w:r w:rsidR="006D5D38" w:rsidRPr="00703A0B">
        <w:rPr>
          <w:lang w:eastAsia="en-AU"/>
        </w:rPr>
        <w:t xml:space="preserve"> high, medium and low </w:t>
      </w:r>
      <w:r w:rsidR="006E2C7E" w:rsidRPr="00703A0B">
        <w:rPr>
          <w:lang w:eastAsia="en-AU"/>
        </w:rPr>
        <w:t>p</w:t>
      </w:r>
      <w:r w:rsidR="006D5D38" w:rsidRPr="00703A0B">
        <w:rPr>
          <w:lang w:eastAsia="en-AU"/>
        </w:rPr>
        <w:t>olic</w:t>
      </w:r>
      <w:r w:rsidR="006E2C7E" w:rsidRPr="00703A0B">
        <w:rPr>
          <w:lang w:eastAsia="en-AU"/>
        </w:rPr>
        <w:t>y volumes</w:t>
      </w:r>
      <w:r w:rsidR="00480D02" w:rsidRPr="00703A0B">
        <w:rPr>
          <w:lang w:eastAsia="en-AU"/>
        </w:rPr>
        <w:t xml:space="preserve"> across Queensland</w:t>
      </w:r>
      <w:r w:rsidR="00891950" w:rsidRPr="00703A0B">
        <w:rPr>
          <w:lang w:eastAsia="en-AU"/>
        </w:rPr>
        <w:t>.</w:t>
      </w:r>
      <w:bookmarkStart w:id="91" w:name="_Ref233644973"/>
      <w:bookmarkStart w:id="92" w:name="_Ref234419712"/>
    </w:p>
    <w:bookmarkEnd w:id="91"/>
    <w:bookmarkEnd w:id="92"/>
    <w:p w14:paraId="3D71212E" w14:textId="4D597945" w:rsidR="00C441F7" w:rsidRPr="00703A0B" w:rsidRDefault="00336B47" w:rsidP="51CFA318">
      <w:pPr>
        <w:spacing w:before="120" w:after="120" w:line="259" w:lineRule="auto"/>
      </w:pPr>
      <w:r w:rsidRPr="00BB72F2">
        <w:rPr>
          <w:noProof/>
        </w:rPr>
        <w:drawing>
          <wp:inline distT="0" distB="0" distL="0" distR="0" wp14:anchorId="7C8E2D2C" wp14:editId="52D0F2AC">
            <wp:extent cx="6390167" cy="5872801"/>
            <wp:effectExtent l="0" t="0" r="0" b="0"/>
            <wp:docPr id="1605433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433051" name=""/>
                    <pic:cNvPicPr/>
                  </pic:nvPicPr>
                  <pic:blipFill>
                    <a:blip r:embed="rId30">
                      <a:extLst>
                        <a:ext uri="{BEBA8EAE-BF5A-486C-A8C5-ECC9F3942E4B}">
                          <a14:imgProps xmlns:a14="http://schemas.microsoft.com/office/drawing/2010/main">
                            <a14:imgLayer r:embed="rId31">
                              <a14:imgEffect>
                                <a14:saturation sat="0"/>
                              </a14:imgEffect>
                            </a14:imgLayer>
                          </a14:imgProps>
                        </a:ext>
                      </a:extLst>
                    </a:blip>
                    <a:stretch>
                      <a:fillRect/>
                    </a:stretch>
                  </pic:blipFill>
                  <pic:spPr>
                    <a:xfrm>
                      <a:off x="0" y="0"/>
                      <a:ext cx="6405955" cy="5887311"/>
                    </a:xfrm>
                    <a:prstGeom prst="rect">
                      <a:avLst/>
                    </a:prstGeom>
                  </pic:spPr>
                </pic:pic>
              </a:graphicData>
            </a:graphic>
          </wp:inline>
        </w:drawing>
      </w:r>
      <w:r w:rsidR="00362F0B" w:rsidRPr="00F621D8">
        <w:t xml:space="preserve"> </w:t>
      </w:r>
    </w:p>
    <w:p w14:paraId="2D790457" w14:textId="2CD2C0ED" w:rsidR="00C67D6D" w:rsidRPr="00703A0B" w:rsidRDefault="00047969" w:rsidP="00927E5F">
      <w:pPr>
        <w:pStyle w:val="Caption"/>
        <w:rPr>
          <w:i/>
        </w:rPr>
      </w:pPr>
      <w:bookmarkStart w:id="93" w:name="_Ref234907065"/>
      <w:r w:rsidRPr="00703A0B">
        <w:rPr>
          <w:b w:val="0"/>
          <w:bCs/>
          <w:i/>
          <w:iCs/>
        </w:rPr>
        <w:t xml:space="preserve">Figure </w:t>
      </w:r>
      <w:r w:rsidRPr="00703A0B">
        <w:rPr>
          <w:b w:val="0"/>
          <w:bCs/>
          <w:i/>
          <w:iCs/>
        </w:rPr>
        <w:fldChar w:fldCharType="begin"/>
      </w:r>
      <w:r w:rsidRPr="00703A0B">
        <w:rPr>
          <w:b w:val="0"/>
          <w:bCs/>
          <w:i/>
          <w:iCs/>
        </w:rPr>
        <w:instrText xml:space="preserve"> SEQ Figure \* ARABIC </w:instrText>
      </w:r>
      <w:r w:rsidRPr="00703A0B">
        <w:rPr>
          <w:b w:val="0"/>
          <w:bCs/>
          <w:i/>
          <w:iCs/>
        </w:rPr>
        <w:fldChar w:fldCharType="separate"/>
      </w:r>
      <w:r w:rsidR="00051582" w:rsidRPr="00F621D8">
        <w:rPr>
          <w:b w:val="0"/>
          <w:bCs/>
          <w:i/>
          <w:iCs/>
        </w:rPr>
        <w:t>5</w:t>
      </w:r>
      <w:r w:rsidRPr="00703A0B">
        <w:rPr>
          <w:b w:val="0"/>
          <w:bCs/>
          <w:i/>
          <w:iCs/>
        </w:rPr>
        <w:fldChar w:fldCharType="end"/>
      </w:r>
      <w:bookmarkEnd w:id="93"/>
      <w:r w:rsidR="00763981" w:rsidRPr="00703A0B">
        <w:rPr>
          <w:b w:val="0"/>
          <w:bCs/>
          <w:i/>
          <w:iCs/>
        </w:rPr>
        <w:t>:</w:t>
      </w:r>
      <w:r w:rsidR="00C67D6D" w:rsidRPr="00703A0B">
        <w:rPr>
          <w:b w:val="0"/>
          <w:bCs/>
          <w:i/>
          <w:iCs/>
        </w:rPr>
        <w:t xml:space="preserve"> QHWS policy volume by local government area as </w:t>
      </w:r>
      <w:proofErr w:type="gramStart"/>
      <w:r w:rsidR="00C67D6D" w:rsidRPr="00703A0B">
        <w:rPr>
          <w:b w:val="0"/>
          <w:bCs/>
          <w:i/>
          <w:iCs/>
        </w:rPr>
        <w:t>at</w:t>
      </w:r>
      <w:proofErr w:type="gramEnd"/>
      <w:r w:rsidR="00C67D6D" w:rsidRPr="00703A0B">
        <w:rPr>
          <w:b w:val="0"/>
          <w:bCs/>
          <w:i/>
          <w:iCs/>
        </w:rPr>
        <w:t xml:space="preserve"> 30 June 2026</w:t>
      </w:r>
    </w:p>
    <w:p w14:paraId="57AD350A" w14:textId="41798095" w:rsidR="00E12C93" w:rsidRPr="00703A0B" w:rsidRDefault="04FF0C93" w:rsidP="266D4070">
      <w:pPr>
        <w:spacing w:before="120" w:after="120" w:line="259" w:lineRule="auto"/>
      </w:pPr>
      <w:r w:rsidRPr="00703A0B">
        <w:t xml:space="preserve">The geographic </w:t>
      </w:r>
      <w:r w:rsidR="007A66F8" w:rsidRPr="00703A0B">
        <w:t xml:space="preserve">distribution of QHWS </w:t>
      </w:r>
      <w:r w:rsidRPr="00703A0B">
        <w:t xml:space="preserve">policies </w:t>
      </w:r>
      <w:r w:rsidR="000B7ED8" w:rsidRPr="00703A0B">
        <w:t>continued to</w:t>
      </w:r>
      <w:r w:rsidRPr="00703A0B">
        <w:t xml:space="preserve"> </w:t>
      </w:r>
      <w:r w:rsidR="007A66F8" w:rsidRPr="00703A0B">
        <w:t xml:space="preserve">provide </w:t>
      </w:r>
      <w:r w:rsidR="00846E99" w:rsidRPr="00703A0B">
        <w:t>valuable insight</w:t>
      </w:r>
      <w:r w:rsidR="00CD106F" w:rsidRPr="00703A0B">
        <w:t>s</w:t>
      </w:r>
      <w:r w:rsidR="00846E99" w:rsidRPr="00703A0B">
        <w:t xml:space="preserve"> into</w:t>
      </w:r>
      <w:r w:rsidR="007A66F8" w:rsidRPr="00703A0B">
        <w:t xml:space="preserve"> </w:t>
      </w:r>
      <w:r w:rsidRPr="00703A0B">
        <w:t>residential construction</w:t>
      </w:r>
      <w:r w:rsidR="007A66F8" w:rsidRPr="00703A0B">
        <w:t xml:space="preserve"> activit</w:t>
      </w:r>
      <w:r w:rsidR="00846E99" w:rsidRPr="00703A0B">
        <w:t>y</w:t>
      </w:r>
      <w:r w:rsidR="007A66F8" w:rsidRPr="00703A0B">
        <w:t xml:space="preserve"> </w:t>
      </w:r>
      <w:r w:rsidR="002904F7" w:rsidRPr="00703A0B">
        <w:t>across Queensland</w:t>
      </w:r>
      <w:r w:rsidR="00D656B3" w:rsidRPr="00703A0B">
        <w:t xml:space="preserve">, helping the QBCC anticipate </w:t>
      </w:r>
      <w:r w:rsidR="00B500DC" w:rsidRPr="00703A0B">
        <w:t xml:space="preserve">where future demand </w:t>
      </w:r>
      <w:r w:rsidR="00E12C93" w:rsidRPr="00703A0B">
        <w:t xml:space="preserve">for </w:t>
      </w:r>
      <w:r w:rsidR="00A35816" w:rsidRPr="00703A0B">
        <w:t xml:space="preserve">regulatory, licensing and customer </w:t>
      </w:r>
      <w:r w:rsidR="00E12C93" w:rsidRPr="00703A0B">
        <w:t xml:space="preserve">services </w:t>
      </w:r>
      <w:r w:rsidR="00A35816" w:rsidRPr="00703A0B">
        <w:t>is</w:t>
      </w:r>
      <w:r w:rsidR="00E12C93" w:rsidRPr="00703A0B">
        <w:t xml:space="preserve"> likely to emerge. </w:t>
      </w:r>
      <w:r w:rsidR="001E22E5" w:rsidRPr="00703A0B">
        <w:t xml:space="preserve">Understanding </w:t>
      </w:r>
      <w:r w:rsidR="004B6494" w:rsidRPr="00703A0B">
        <w:t xml:space="preserve">shifts </w:t>
      </w:r>
      <w:r w:rsidR="00F1237E" w:rsidRPr="00703A0B">
        <w:t>in</w:t>
      </w:r>
      <w:r w:rsidR="001E22E5" w:rsidRPr="00703A0B">
        <w:t xml:space="preserve"> construction activity across regions enables the QBCC to take a proactive approach to regulation, education and service delivery, ensuring resources are directed to areas of greatest </w:t>
      </w:r>
      <w:r w:rsidR="00F1237E" w:rsidRPr="00703A0B">
        <w:t>demand</w:t>
      </w:r>
      <w:r w:rsidR="001E22E5" w:rsidRPr="00703A0B">
        <w:t xml:space="preserve"> and potential risk.</w:t>
      </w:r>
    </w:p>
    <w:p w14:paraId="06472B7C" w14:textId="30B1B68F" w:rsidR="00374F4B" w:rsidRPr="00703A0B" w:rsidRDefault="00C95280" w:rsidP="266D4070">
      <w:pPr>
        <w:spacing w:before="120" w:after="120" w:line="259" w:lineRule="auto"/>
      </w:pPr>
      <w:r w:rsidRPr="00703A0B">
        <w:t xml:space="preserve">Brisbane remained the centre of residential construction activity in 2025–26, while continued growth in regions such as </w:t>
      </w:r>
      <w:r w:rsidR="002D0DF3" w:rsidRPr="00703A0B">
        <w:t xml:space="preserve">Moreton Bay, </w:t>
      </w:r>
      <w:r w:rsidR="009A0A86" w:rsidRPr="00703A0B">
        <w:t>Gold Coast, Logan</w:t>
      </w:r>
      <w:r w:rsidR="00BD3A07" w:rsidRPr="00703A0B">
        <w:t xml:space="preserve">, </w:t>
      </w:r>
      <w:r w:rsidRPr="00703A0B">
        <w:t>Sunshine Coast</w:t>
      </w:r>
      <w:r w:rsidR="004B5147" w:rsidRPr="00703A0B">
        <w:t xml:space="preserve">, </w:t>
      </w:r>
      <w:r w:rsidR="00BD3A07" w:rsidRPr="00703A0B">
        <w:t xml:space="preserve">Ipswich, </w:t>
      </w:r>
      <w:r w:rsidR="004B5147" w:rsidRPr="00703A0B">
        <w:t xml:space="preserve">Redland, Townsville </w:t>
      </w:r>
      <w:r w:rsidR="002E48E7" w:rsidRPr="00703A0B">
        <w:t xml:space="preserve">and Fraser Coast </w:t>
      </w:r>
      <w:r w:rsidRPr="00703A0B">
        <w:t>highlight</w:t>
      </w:r>
      <w:r w:rsidR="00F1237E" w:rsidRPr="00703A0B">
        <w:t>ed</w:t>
      </w:r>
      <w:r w:rsidRPr="00703A0B">
        <w:t xml:space="preserve"> </w:t>
      </w:r>
      <w:r w:rsidR="00DF43E9" w:rsidRPr="00703A0B">
        <w:t>expanding</w:t>
      </w:r>
      <w:r w:rsidRPr="00703A0B">
        <w:t xml:space="preserve"> development </w:t>
      </w:r>
      <w:r w:rsidR="00DF43E9" w:rsidRPr="00703A0B">
        <w:t xml:space="preserve">opportunities </w:t>
      </w:r>
      <w:r w:rsidRPr="00703A0B">
        <w:t xml:space="preserve">and </w:t>
      </w:r>
      <w:r w:rsidR="00DF43E9" w:rsidRPr="00703A0B">
        <w:t xml:space="preserve">increasing </w:t>
      </w:r>
      <w:r w:rsidRPr="00703A0B">
        <w:t>construction demand</w:t>
      </w:r>
      <w:r w:rsidR="00DF43E9" w:rsidRPr="00703A0B">
        <w:t xml:space="preserve"> across the state</w:t>
      </w:r>
      <w:r w:rsidRPr="00703A0B">
        <w:t xml:space="preserve">. These trends help the QBCC anticipate changes in the operating environment and position </w:t>
      </w:r>
      <w:r w:rsidR="001B0264" w:rsidRPr="00703A0B">
        <w:t xml:space="preserve">its </w:t>
      </w:r>
      <w:r w:rsidRPr="00703A0B">
        <w:t>compliance, licensing, dispute resolution and customer service activities to support growing communities</w:t>
      </w:r>
      <w:r w:rsidR="002042A5" w:rsidRPr="00703A0B">
        <w:t xml:space="preserve"> and a dynamic</w:t>
      </w:r>
      <w:r w:rsidR="00BC1A98" w:rsidRPr="00703A0B">
        <w:t xml:space="preserve"> residential</w:t>
      </w:r>
      <w:r w:rsidR="002042A5" w:rsidRPr="00703A0B">
        <w:t xml:space="preserve"> construction sector</w:t>
      </w:r>
      <w:r w:rsidRPr="00703A0B">
        <w:t>.</w:t>
      </w:r>
      <w:r w:rsidR="004369EF" w:rsidRPr="00703A0B">
        <w:t xml:space="preserve"> </w:t>
      </w:r>
      <w:r w:rsidR="0003727D" w:rsidRPr="00703A0B">
        <w:t xml:space="preserve">By aligning regulatory and support services with areas of greatest need, the QBCC is better placed to support industry growth, respond to emerging risks and deliver strong outcomes for consumers, contractors and communities as Queensland's </w:t>
      </w:r>
      <w:r w:rsidR="00B13C4B" w:rsidRPr="00703A0B">
        <w:t xml:space="preserve">building and </w:t>
      </w:r>
      <w:r w:rsidR="0003727D" w:rsidRPr="00703A0B">
        <w:t>construction</w:t>
      </w:r>
      <w:r w:rsidR="00B13C4B" w:rsidRPr="00703A0B">
        <w:t xml:space="preserve"> </w:t>
      </w:r>
      <w:r w:rsidR="0003727D" w:rsidRPr="00703A0B">
        <w:t>industry continues to evolve.</w:t>
      </w:r>
    </w:p>
    <w:p w14:paraId="35060E00" w14:textId="593DB290" w:rsidR="00C441F7" w:rsidRPr="00703A0B" w:rsidRDefault="00C441F7" w:rsidP="00C441F7">
      <w:pPr>
        <w:pStyle w:val="Heading3"/>
      </w:pPr>
      <w:bookmarkStart w:id="94" w:name="_Looking_ahead_4"/>
      <w:bookmarkEnd w:id="94"/>
      <w:r w:rsidRPr="00703A0B">
        <w:lastRenderedPageBreak/>
        <w:t>Looking ahead</w:t>
      </w:r>
    </w:p>
    <w:p w14:paraId="26C755FF" w14:textId="1426C4E2" w:rsidR="00422A30" w:rsidRPr="00703A0B" w:rsidRDefault="0089173C" w:rsidP="002FA624">
      <w:pPr>
        <w:spacing w:before="120" w:after="120" w:line="259" w:lineRule="auto"/>
      </w:pPr>
      <w:r w:rsidRPr="00703A0B">
        <w:t xml:space="preserve">Over the next 12 months, </w:t>
      </w:r>
      <w:r w:rsidRPr="00703A0B" w:rsidDel="009F2FC6">
        <w:t>t</w:t>
      </w:r>
      <w:r w:rsidR="4B47D427" w:rsidRPr="00703A0B" w:rsidDel="009F2FC6">
        <w:t xml:space="preserve">he </w:t>
      </w:r>
      <w:r w:rsidR="4B47D427" w:rsidRPr="00703A0B">
        <w:t xml:space="preserve">QBCC will play a central role in preparing for and implementing </w:t>
      </w:r>
      <w:r w:rsidR="009F2FC6" w:rsidRPr="00703A0B">
        <w:t xml:space="preserve">the </w:t>
      </w:r>
      <w:r w:rsidR="4B47D427" w:rsidRPr="00703A0B">
        <w:t>reform</w:t>
      </w:r>
      <w:r w:rsidR="009F2FC6" w:rsidRPr="00703A0B">
        <w:t xml:space="preserve"> priorities</w:t>
      </w:r>
      <w:r w:rsidR="009F2FC6" w:rsidRPr="00703A0B" w:rsidDel="009F2FC6">
        <w:t xml:space="preserve"> </w:t>
      </w:r>
      <w:r w:rsidR="00A8094E" w:rsidRPr="00703A0B">
        <w:t xml:space="preserve">of the Queensland Government </w:t>
      </w:r>
      <w:r w:rsidR="00131349" w:rsidRPr="00703A0B">
        <w:t>through</w:t>
      </w:r>
      <w:r w:rsidR="4B47D427" w:rsidRPr="00703A0B">
        <w:t xml:space="preserve"> updat</w:t>
      </w:r>
      <w:r w:rsidR="00131349" w:rsidRPr="00703A0B">
        <w:t>es</w:t>
      </w:r>
      <w:r w:rsidR="00271899" w:rsidRPr="00703A0B">
        <w:t xml:space="preserve"> to </w:t>
      </w:r>
      <w:r w:rsidR="4B47D427" w:rsidRPr="00703A0B">
        <w:t xml:space="preserve">operational processes, systems, guidance </w:t>
      </w:r>
      <w:r w:rsidR="00381720" w:rsidRPr="00703A0B">
        <w:t>materials</w:t>
      </w:r>
      <w:r w:rsidR="4B47D427" w:rsidRPr="00703A0B">
        <w:t xml:space="preserve"> and </w:t>
      </w:r>
      <w:r w:rsidR="00271899" w:rsidRPr="00703A0B">
        <w:t xml:space="preserve">stakeholder </w:t>
      </w:r>
      <w:r w:rsidR="4B47D427" w:rsidRPr="00703A0B">
        <w:t>communications</w:t>
      </w:r>
      <w:r w:rsidR="00271899" w:rsidRPr="00703A0B">
        <w:t xml:space="preserve">. These activities will </w:t>
      </w:r>
      <w:r w:rsidR="4B47D427" w:rsidRPr="00703A0B">
        <w:t xml:space="preserve">support a smooth transition for </w:t>
      </w:r>
      <w:proofErr w:type="gramStart"/>
      <w:r w:rsidR="4B47D427" w:rsidRPr="00703A0B">
        <w:t>home</w:t>
      </w:r>
      <w:r w:rsidR="00381720" w:rsidRPr="00703A0B">
        <w:t xml:space="preserve"> </w:t>
      </w:r>
      <w:r w:rsidR="4B47D427" w:rsidRPr="00703A0B">
        <w:t>owners</w:t>
      </w:r>
      <w:proofErr w:type="gramEnd"/>
      <w:r w:rsidR="4B47D427" w:rsidRPr="00703A0B">
        <w:t>, contractors and industry stakeholders.</w:t>
      </w:r>
      <w:r w:rsidRPr="00703A0B">
        <w:t xml:space="preserve"> </w:t>
      </w:r>
      <w:r w:rsidR="00422A30" w:rsidRPr="00703A0B">
        <w:t xml:space="preserve">In addition, the QBCC will strengthen </w:t>
      </w:r>
      <w:r w:rsidR="001E3A32" w:rsidRPr="00703A0B">
        <w:t xml:space="preserve">its focus on early engagement and consumer education, helping </w:t>
      </w:r>
      <w:proofErr w:type="gramStart"/>
      <w:r w:rsidR="001E3A32" w:rsidRPr="00703A0B">
        <w:t>home owners</w:t>
      </w:r>
      <w:proofErr w:type="gramEnd"/>
      <w:r w:rsidR="001E3A32" w:rsidRPr="00703A0B">
        <w:t xml:space="preserve"> better understand </w:t>
      </w:r>
      <w:r w:rsidR="0069171B" w:rsidRPr="00703A0B">
        <w:t xml:space="preserve">their rights, responsibilities and </w:t>
      </w:r>
      <w:r w:rsidR="00820EE7" w:rsidRPr="00703A0B">
        <w:t>available protections before</w:t>
      </w:r>
      <w:r w:rsidR="0069171B" w:rsidRPr="00703A0B">
        <w:t xml:space="preserve"> </w:t>
      </w:r>
      <w:proofErr w:type="gramStart"/>
      <w:r w:rsidR="0069171B" w:rsidRPr="00703A0B">
        <w:t>entering into</w:t>
      </w:r>
      <w:proofErr w:type="gramEnd"/>
      <w:r w:rsidR="0069171B" w:rsidRPr="00703A0B">
        <w:t xml:space="preserve"> building contracts</w:t>
      </w:r>
      <w:r w:rsidR="0014440A" w:rsidRPr="00703A0B">
        <w:t xml:space="preserve"> or making claims. </w:t>
      </w:r>
      <w:r w:rsidR="00792036" w:rsidRPr="00703A0B">
        <w:t>By providing timely information and support at the outset of the building journey, the QBCC aims to promote</w:t>
      </w:r>
      <w:r w:rsidR="007E15E3" w:rsidRPr="00703A0B">
        <w:t xml:space="preserve"> due diligence</w:t>
      </w:r>
      <w:r w:rsidR="00A004AE" w:rsidRPr="00703A0B">
        <w:t xml:space="preserve"> and </w:t>
      </w:r>
      <w:r w:rsidR="00792036" w:rsidRPr="00703A0B">
        <w:t xml:space="preserve">informed decision making, </w:t>
      </w:r>
      <w:r w:rsidR="00C13F17" w:rsidRPr="00703A0B">
        <w:t xml:space="preserve">helping to </w:t>
      </w:r>
      <w:r w:rsidR="00792036" w:rsidRPr="00703A0B">
        <w:t>reduc</w:t>
      </w:r>
      <w:r w:rsidR="00A004AE" w:rsidRPr="00703A0B">
        <w:t>e</w:t>
      </w:r>
      <w:r w:rsidR="00792036" w:rsidRPr="00703A0B">
        <w:t xml:space="preserve"> the likelihood of disputes and improve </w:t>
      </w:r>
      <w:r w:rsidR="00633B08" w:rsidRPr="00703A0B">
        <w:t xml:space="preserve">consumer </w:t>
      </w:r>
      <w:r w:rsidR="00792036" w:rsidRPr="00703A0B">
        <w:t>outcomes.</w:t>
      </w:r>
      <w:r w:rsidR="00A71A05" w:rsidRPr="00703A0B">
        <w:t xml:space="preserve"> It will also </w:t>
      </w:r>
      <w:r w:rsidR="000E7D3B" w:rsidRPr="00703A0B">
        <w:t xml:space="preserve">help </w:t>
      </w:r>
      <w:r w:rsidR="00A71A05" w:rsidRPr="00703A0B">
        <w:t>ensure that the strict eligibility requirements and timeframes associated with the statutory scheme are better understood</w:t>
      </w:r>
      <w:r w:rsidR="00362921" w:rsidRPr="00703A0B">
        <w:t xml:space="preserve">, with </w:t>
      </w:r>
      <w:r w:rsidR="00C71AB6" w:rsidRPr="00703A0B">
        <w:t xml:space="preserve">expectations </w:t>
      </w:r>
      <w:r w:rsidR="00362921" w:rsidRPr="00703A0B">
        <w:t xml:space="preserve">established early </w:t>
      </w:r>
      <w:r w:rsidR="00461938" w:rsidRPr="00703A0B">
        <w:t>rather than through the claims process.</w:t>
      </w:r>
    </w:p>
    <w:p w14:paraId="20C55916" w14:textId="75966C58" w:rsidR="4B47D427" w:rsidRPr="00703A0B" w:rsidRDefault="4B47D427" w:rsidP="002FA624">
      <w:pPr>
        <w:spacing w:before="120" w:after="120" w:line="259" w:lineRule="auto"/>
      </w:pPr>
      <w:r w:rsidRPr="00703A0B">
        <w:t>The</w:t>
      </w:r>
      <w:r w:rsidR="0089173C" w:rsidRPr="00703A0B">
        <w:t xml:space="preserve"> </w:t>
      </w:r>
      <w:r w:rsidR="00C9759A" w:rsidRPr="00703A0B">
        <w:t>QBCC</w:t>
      </w:r>
      <w:r w:rsidR="0089173C" w:rsidRPr="00703A0B">
        <w:t xml:space="preserve"> </w:t>
      </w:r>
      <w:r w:rsidRPr="00703A0B">
        <w:t xml:space="preserve">will also continue to strengthen its intelligence-led </w:t>
      </w:r>
      <w:r w:rsidR="00E60E12" w:rsidRPr="00703A0B">
        <w:t xml:space="preserve">and risk-based regulatory </w:t>
      </w:r>
      <w:r w:rsidRPr="00703A0B">
        <w:t xml:space="preserve">approach </w:t>
      </w:r>
      <w:r w:rsidR="00E60E12" w:rsidRPr="00703A0B">
        <w:t>by</w:t>
      </w:r>
      <w:r w:rsidRPr="00703A0B">
        <w:t xml:space="preserve"> </w:t>
      </w:r>
      <w:r w:rsidR="003A1762" w:rsidRPr="00703A0B">
        <w:t xml:space="preserve">leveraging </w:t>
      </w:r>
      <w:r w:rsidRPr="00703A0B">
        <w:t xml:space="preserve">data </w:t>
      </w:r>
      <w:r w:rsidR="003A1762" w:rsidRPr="00703A0B">
        <w:t>analytics</w:t>
      </w:r>
      <w:r w:rsidRPr="00703A0B">
        <w:t xml:space="preserve"> and geographic insights, including </w:t>
      </w:r>
      <w:r w:rsidR="003A1762" w:rsidRPr="00703A0B">
        <w:t>QHWS policy</w:t>
      </w:r>
      <w:r w:rsidRPr="00703A0B">
        <w:t xml:space="preserve"> mapping, to identify emerging risks, target regulatory activities and </w:t>
      </w:r>
      <w:r w:rsidR="00280258" w:rsidRPr="00703A0B">
        <w:t xml:space="preserve">direct </w:t>
      </w:r>
      <w:r w:rsidRPr="00703A0B">
        <w:t>resources where they</w:t>
      </w:r>
      <w:r w:rsidR="00280258" w:rsidRPr="00703A0B">
        <w:t xml:space="preserve"> can</w:t>
      </w:r>
      <w:r w:rsidR="00D930FA" w:rsidRPr="00703A0B">
        <w:t xml:space="preserve"> achieve </w:t>
      </w:r>
      <w:r w:rsidRPr="00703A0B">
        <w:t>the greatest impact.</w:t>
      </w:r>
      <w:r w:rsidR="009266F1" w:rsidRPr="00703A0B">
        <w:t xml:space="preserve"> </w:t>
      </w:r>
      <w:r w:rsidRPr="00703A0B" w:rsidDel="0069239F">
        <w:t>Together</w:t>
      </w:r>
      <w:r w:rsidRPr="00703A0B">
        <w:t xml:space="preserve">, these initiatives will </w:t>
      </w:r>
      <w:r w:rsidR="00617B05" w:rsidRPr="00703A0B">
        <w:t xml:space="preserve">support </w:t>
      </w:r>
      <w:r w:rsidR="005F4431" w:rsidRPr="00703A0B">
        <w:t xml:space="preserve">the </w:t>
      </w:r>
      <w:r w:rsidR="00617B05" w:rsidRPr="00703A0B">
        <w:t xml:space="preserve">long-term </w:t>
      </w:r>
      <w:r w:rsidR="006218C7" w:rsidRPr="00703A0B">
        <w:t xml:space="preserve">sustainability and effectiveness of the QHWS, </w:t>
      </w:r>
      <w:r w:rsidRPr="00703A0B">
        <w:t>ensur</w:t>
      </w:r>
      <w:r w:rsidR="006218C7" w:rsidRPr="00703A0B">
        <w:t xml:space="preserve">ing it </w:t>
      </w:r>
      <w:r w:rsidR="008844C3" w:rsidRPr="00703A0B">
        <w:t>continues</w:t>
      </w:r>
      <w:r w:rsidR="00CC07E8" w:rsidRPr="00703A0B">
        <w:t xml:space="preserve"> to provide confidence</w:t>
      </w:r>
      <w:r w:rsidR="00E75243" w:rsidRPr="00703A0B">
        <w:t>,</w:t>
      </w:r>
      <w:r w:rsidR="00CC07E8" w:rsidRPr="00703A0B">
        <w:t xml:space="preserve"> </w:t>
      </w:r>
      <w:r w:rsidRPr="00703A0B">
        <w:t xml:space="preserve">protection </w:t>
      </w:r>
      <w:r w:rsidR="00E75243" w:rsidRPr="00703A0B">
        <w:t xml:space="preserve">and value for </w:t>
      </w:r>
      <w:r w:rsidRPr="00703A0B">
        <w:t>Queensland</w:t>
      </w:r>
      <w:r w:rsidR="00E75243" w:rsidRPr="00703A0B">
        <w:t>ers</w:t>
      </w:r>
      <w:r w:rsidR="006E7142" w:rsidRPr="00703A0B">
        <w:t xml:space="preserve"> </w:t>
      </w:r>
      <w:r w:rsidR="008844C3" w:rsidRPr="00703A0B">
        <w:t xml:space="preserve">while </w:t>
      </w:r>
      <w:r w:rsidR="00885685" w:rsidRPr="00703A0B">
        <w:t>adapting to changing industry and market conditions</w:t>
      </w:r>
      <w:r w:rsidRPr="00703A0B">
        <w:t>.</w:t>
      </w:r>
    </w:p>
    <w:p w14:paraId="0C564291" w14:textId="77777777" w:rsidR="006F0298" w:rsidRPr="00703A0B" w:rsidRDefault="00E75408" w:rsidP="006F0298">
      <w:pPr>
        <w:pStyle w:val="Heading2"/>
        <w:rPr>
          <w:rFonts w:eastAsia="Arial" w:cs="Arial"/>
        </w:rPr>
      </w:pPr>
      <w:r w:rsidRPr="00703A0B">
        <w:rPr>
          <w:rFonts w:eastAsia="Arial" w:cs="Arial"/>
        </w:rPr>
        <w:br w:type="page"/>
      </w:r>
      <w:bookmarkStart w:id="95" w:name="_Toc238101681"/>
      <w:r w:rsidR="006F0298" w:rsidRPr="00703A0B">
        <w:rPr>
          <w:rFonts w:eastAsia="Arial" w:cs="Arial"/>
        </w:rPr>
        <w:lastRenderedPageBreak/>
        <w:t>Adjudication</w:t>
      </w:r>
      <w:bookmarkEnd w:id="95"/>
    </w:p>
    <w:p w14:paraId="5330FAC2" w14:textId="52FBF047" w:rsidR="006F0298" w:rsidRPr="00703A0B" w:rsidRDefault="006F0298" w:rsidP="006F0298">
      <w:pPr>
        <w:spacing w:before="120" w:after="120"/>
        <w:rPr>
          <w:rFonts w:eastAsia="Arial" w:cs="Arial"/>
          <w:szCs w:val="22"/>
        </w:rPr>
      </w:pPr>
      <w:r w:rsidRPr="00703A0B">
        <w:rPr>
          <w:rFonts w:eastAsia="Arial" w:cs="Arial"/>
          <w:szCs w:val="22"/>
        </w:rPr>
        <w:t xml:space="preserve">Adjudication </w:t>
      </w:r>
      <w:r w:rsidR="003309D4" w:rsidRPr="00703A0B">
        <w:rPr>
          <w:rFonts w:eastAsia="Arial" w:cs="Arial"/>
          <w:szCs w:val="22"/>
        </w:rPr>
        <w:t xml:space="preserve">continued to </w:t>
      </w:r>
      <w:r w:rsidRPr="00703A0B">
        <w:rPr>
          <w:rFonts w:eastAsia="Arial" w:cs="Arial"/>
          <w:szCs w:val="22"/>
        </w:rPr>
        <w:t xml:space="preserve">provide a timely, efficient and cost-effective </w:t>
      </w:r>
      <w:r w:rsidR="00165C01" w:rsidRPr="00703A0B">
        <w:rPr>
          <w:rFonts w:eastAsia="Arial" w:cs="Arial"/>
          <w:szCs w:val="22"/>
        </w:rPr>
        <w:t xml:space="preserve">way </w:t>
      </w:r>
      <w:r w:rsidRPr="00703A0B">
        <w:rPr>
          <w:rFonts w:eastAsia="Arial" w:cs="Arial"/>
          <w:szCs w:val="22"/>
        </w:rPr>
        <w:t xml:space="preserve">for resolving payment disputes </w:t>
      </w:r>
      <w:r w:rsidR="003309D4" w:rsidRPr="00703A0B">
        <w:rPr>
          <w:rFonts w:eastAsia="Arial" w:cs="Arial"/>
          <w:szCs w:val="22"/>
        </w:rPr>
        <w:t>across the Queensland’s building and construction industry</w:t>
      </w:r>
      <w:r w:rsidRPr="00703A0B">
        <w:rPr>
          <w:rFonts w:eastAsia="Arial" w:cs="Arial"/>
          <w:szCs w:val="22"/>
        </w:rPr>
        <w:t xml:space="preserve">. Established under the </w:t>
      </w:r>
      <w:r w:rsidR="00CF2903" w:rsidRPr="00703A0B">
        <w:rPr>
          <w:rFonts w:eastAsia="Arial" w:cs="Arial"/>
          <w:i/>
          <w:iCs/>
          <w:szCs w:val="22"/>
        </w:rPr>
        <w:t>Building Industry Fairness (Security of Payment) Act 2017</w:t>
      </w:r>
      <w:r w:rsidR="00CF2903" w:rsidRPr="00703A0B">
        <w:rPr>
          <w:rFonts w:eastAsia="Arial" w:cs="Arial"/>
          <w:szCs w:val="22"/>
        </w:rPr>
        <w:t xml:space="preserve"> (</w:t>
      </w:r>
      <w:r w:rsidRPr="00703A0B">
        <w:rPr>
          <w:rFonts w:eastAsia="Arial" w:cs="Arial"/>
          <w:szCs w:val="22"/>
        </w:rPr>
        <w:t>BIF Act</w:t>
      </w:r>
      <w:r w:rsidR="00CF2903" w:rsidRPr="00703A0B">
        <w:rPr>
          <w:rFonts w:eastAsia="Arial" w:cs="Arial"/>
          <w:szCs w:val="22"/>
        </w:rPr>
        <w:t>)</w:t>
      </w:r>
      <w:r w:rsidRPr="00703A0B">
        <w:rPr>
          <w:rFonts w:eastAsia="Arial" w:cs="Arial"/>
          <w:szCs w:val="22"/>
        </w:rPr>
        <w:t xml:space="preserve">, </w:t>
      </w:r>
      <w:r w:rsidR="00CF2903" w:rsidRPr="00703A0B">
        <w:rPr>
          <w:rFonts w:eastAsia="Arial" w:cs="Arial"/>
          <w:szCs w:val="22"/>
        </w:rPr>
        <w:t>the</w:t>
      </w:r>
      <w:r w:rsidRPr="00703A0B">
        <w:rPr>
          <w:rFonts w:eastAsia="Arial" w:cs="Arial"/>
          <w:szCs w:val="22"/>
        </w:rPr>
        <w:t xml:space="preserve"> adjudication </w:t>
      </w:r>
      <w:r w:rsidR="00D24A00" w:rsidRPr="00703A0B">
        <w:rPr>
          <w:rFonts w:eastAsia="Arial" w:cs="Arial"/>
          <w:szCs w:val="22"/>
        </w:rPr>
        <w:t>process</w:t>
      </w:r>
      <w:r w:rsidR="00CB16A3" w:rsidRPr="00703A0B">
        <w:rPr>
          <w:rFonts w:eastAsia="Arial" w:cs="Arial"/>
          <w:szCs w:val="22"/>
        </w:rPr>
        <w:t xml:space="preserve"> </w:t>
      </w:r>
      <w:r w:rsidR="00B939DF" w:rsidRPr="00703A0B">
        <w:rPr>
          <w:rFonts w:eastAsia="Arial" w:cs="Arial"/>
          <w:szCs w:val="22"/>
        </w:rPr>
        <w:t>provides an in</w:t>
      </w:r>
      <w:r w:rsidR="00D73E85" w:rsidRPr="00703A0B">
        <w:rPr>
          <w:rFonts w:eastAsia="Arial" w:cs="Arial"/>
          <w:szCs w:val="22"/>
        </w:rPr>
        <w:t xml:space="preserve">dependent pathway for </w:t>
      </w:r>
      <w:r w:rsidR="00F16F2D" w:rsidRPr="00703A0B">
        <w:rPr>
          <w:rFonts w:eastAsia="Arial" w:cs="Arial"/>
          <w:szCs w:val="22"/>
        </w:rPr>
        <w:t>determining amounts payable</w:t>
      </w:r>
      <w:r w:rsidR="00DF7F85" w:rsidRPr="00703A0B">
        <w:rPr>
          <w:rFonts w:eastAsia="Arial" w:cs="Arial"/>
          <w:szCs w:val="22"/>
        </w:rPr>
        <w:t xml:space="preserve"> in dispute payment claims</w:t>
      </w:r>
      <w:r w:rsidR="00D44C7E" w:rsidRPr="00703A0B">
        <w:rPr>
          <w:rFonts w:eastAsia="Arial" w:cs="Arial"/>
          <w:szCs w:val="22"/>
        </w:rPr>
        <w:t xml:space="preserve">, </w:t>
      </w:r>
      <w:r w:rsidR="00A310ED" w:rsidRPr="00703A0B">
        <w:rPr>
          <w:rFonts w:eastAsia="Arial" w:cs="Arial"/>
          <w:szCs w:val="22"/>
        </w:rPr>
        <w:t xml:space="preserve">supporting </w:t>
      </w:r>
      <w:r w:rsidR="00B54D6A" w:rsidRPr="00703A0B">
        <w:rPr>
          <w:rFonts w:eastAsia="Arial" w:cs="Arial"/>
          <w:szCs w:val="22"/>
        </w:rPr>
        <w:t>business confidence</w:t>
      </w:r>
      <w:r w:rsidR="00986AA0" w:rsidRPr="00703A0B">
        <w:rPr>
          <w:rFonts w:eastAsia="Arial" w:cs="Arial"/>
          <w:szCs w:val="22"/>
        </w:rPr>
        <w:t xml:space="preserve">, </w:t>
      </w:r>
      <w:r w:rsidRPr="00703A0B">
        <w:rPr>
          <w:rFonts w:eastAsia="Arial" w:cs="Arial"/>
          <w:szCs w:val="22"/>
        </w:rPr>
        <w:t xml:space="preserve">cash flow and financial stability across the industry. </w:t>
      </w:r>
      <w:r w:rsidR="001E58FA" w:rsidRPr="00703A0B">
        <w:rPr>
          <w:rFonts w:eastAsia="Arial" w:cs="Arial"/>
          <w:szCs w:val="22"/>
        </w:rPr>
        <w:t>I</w:t>
      </w:r>
      <w:r w:rsidRPr="00703A0B">
        <w:rPr>
          <w:rFonts w:eastAsia="Arial" w:cs="Arial"/>
          <w:szCs w:val="22"/>
        </w:rPr>
        <w:t>ndependent qualified adjudicators registered with the Adjudication Registry (</w:t>
      </w:r>
      <w:r w:rsidR="001E58FA" w:rsidRPr="00703A0B">
        <w:rPr>
          <w:rFonts w:eastAsia="Arial" w:cs="Arial"/>
          <w:szCs w:val="22"/>
        </w:rPr>
        <w:t xml:space="preserve">the </w:t>
      </w:r>
      <w:r w:rsidRPr="00703A0B">
        <w:rPr>
          <w:rFonts w:eastAsia="Arial" w:cs="Arial"/>
          <w:szCs w:val="22"/>
        </w:rPr>
        <w:t>Registry)</w:t>
      </w:r>
      <w:r w:rsidR="001E58FA" w:rsidRPr="00703A0B">
        <w:rPr>
          <w:rFonts w:eastAsia="Arial" w:cs="Arial"/>
          <w:szCs w:val="22"/>
        </w:rPr>
        <w:t xml:space="preserve"> make decisions on disputes, providing parties with access to an impartial and accessible dispute resolution process</w:t>
      </w:r>
      <w:r w:rsidRPr="00703A0B">
        <w:rPr>
          <w:rFonts w:eastAsia="Arial" w:cs="Arial"/>
          <w:szCs w:val="22"/>
        </w:rPr>
        <w:t xml:space="preserve">. </w:t>
      </w:r>
    </w:p>
    <w:p w14:paraId="1910C2BD" w14:textId="6082746E" w:rsidR="006F0298" w:rsidRPr="00703A0B" w:rsidRDefault="006F0298" w:rsidP="00AC6384">
      <w:pPr>
        <w:pStyle w:val="Heading3"/>
      </w:pPr>
      <w:r w:rsidRPr="00703A0B">
        <w:t xml:space="preserve">Consumer </w:t>
      </w:r>
      <w:r w:rsidR="000A07EC" w:rsidRPr="00703A0B">
        <w:t>a</w:t>
      </w:r>
      <w:r w:rsidRPr="00703A0B">
        <w:t xml:space="preserve">dvisory </w:t>
      </w:r>
      <w:r w:rsidR="000A07EC" w:rsidRPr="00703A0B">
        <w:t>s</w:t>
      </w:r>
      <w:r w:rsidRPr="00703A0B">
        <w:t>ervice</w:t>
      </w:r>
    </w:p>
    <w:p w14:paraId="6543E898" w14:textId="00CFD86E" w:rsidR="006F0298" w:rsidRPr="00703A0B" w:rsidRDefault="006F0298" w:rsidP="006F0298">
      <w:pPr>
        <w:spacing w:before="120" w:after="120"/>
        <w:rPr>
          <w:rFonts w:eastAsia="Arial" w:cs="Arial"/>
          <w:szCs w:val="22"/>
        </w:rPr>
      </w:pPr>
      <w:r w:rsidRPr="00703A0B">
        <w:rPr>
          <w:rFonts w:eastAsia="Arial" w:cs="Arial"/>
          <w:szCs w:val="22"/>
        </w:rPr>
        <w:t xml:space="preserve">The Registry </w:t>
      </w:r>
      <w:r w:rsidR="001E58FA" w:rsidRPr="00703A0B">
        <w:rPr>
          <w:rFonts w:eastAsia="Arial" w:cs="Arial"/>
          <w:szCs w:val="22"/>
        </w:rPr>
        <w:t>continued to</w:t>
      </w:r>
      <w:r w:rsidRPr="00703A0B">
        <w:rPr>
          <w:rFonts w:eastAsia="Arial" w:cs="Arial"/>
          <w:szCs w:val="22"/>
        </w:rPr>
        <w:t xml:space="preserve"> </w:t>
      </w:r>
      <w:r w:rsidR="001E58FA" w:rsidRPr="00703A0B">
        <w:rPr>
          <w:rFonts w:eastAsia="Arial" w:cs="Arial"/>
          <w:szCs w:val="22"/>
        </w:rPr>
        <w:t>support</w:t>
      </w:r>
      <w:r w:rsidRPr="00703A0B">
        <w:rPr>
          <w:rFonts w:eastAsia="Arial" w:cs="Arial"/>
          <w:szCs w:val="22"/>
        </w:rPr>
        <w:t xml:space="preserve"> consumers </w:t>
      </w:r>
      <w:r w:rsidR="001E58FA" w:rsidRPr="00703A0B">
        <w:rPr>
          <w:rFonts w:eastAsia="Arial" w:cs="Arial"/>
          <w:szCs w:val="22"/>
        </w:rPr>
        <w:t xml:space="preserve">by providing information </w:t>
      </w:r>
      <w:r w:rsidRPr="00703A0B">
        <w:rPr>
          <w:rFonts w:eastAsia="Arial" w:cs="Arial"/>
          <w:szCs w:val="22"/>
        </w:rPr>
        <w:t xml:space="preserve">about </w:t>
      </w:r>
      <w:r w:rsidR="001E58FA" w:rsidRPr="00703A0B">
        <w:rPr>
          <w:rFonts w:eastAsia="Arial" w:cs="Arial"/>
          <w:szCs w:val="22"/>
        </w:rPr>
        <w:t>its</w:t>
      </w:r>
      <w:r w:rsidRPr="00703A0B">
        <w:rPr>
          <w:rFonts w:eastAsia="Arial" w:cs="Arial"/>
          <w:szCs w:val="22"/>
        </w:rPr>
        <w:t xml:space="preserve"> role </w:t>
      </w:r>
      <w:r w:rsidR="001E58FA" w:rsidRPr="00703A0B">
        <w:rPr>
          <w:rFonts w:eastAsia="Arial" w:cs="Arial"/>
          <w:szCs w:val="22"/>
        </w:rPr>
        <w:t>and guidance on</w:t>
      </w:r>
      <w:r w:rsidRPr="00703A0B">
        <w:rPr>
          <w:rFonts w:eastAsia="Arial" w:cs="Arial"/>
          <w:szCs w:val="22"/>
        </w:rPr>
        <w:t xml:space="preserve"> the adjudication process. </w:t>
      </w:r>
      <w:r w:rsidR="001E58FA" w:rsidRPr="00703A0B">
        <w:rPr>
          <w:rFonts w:eastAsia="Arial" w:cs="Arial"/>
          <w:szCs w:val="22"/>
        </w:rPr>
        <w:t xml:space="preserve">During </w:t>
      </w:r>
      <w:r w:rsidRPr="00703A0B">
        <w:rPr>
          <w:rFonts w:eastAsia="Arial" w:cs="Arial"/>
          <w:szCs w:val="22"/>
        </w:rPr>
        <w:t>2025–26, the Registry recorded 4</w:t>
      </w:r>
      <w:r w:rsidR="001E58FA" w:rsidRPr="00703A0B">
        <w:rPr>
          <w:rFonts w:eastAsia="Arial" w:cs="Arial"/>
          <w:szCs w:val="22"/>
        </w:rPr>
        <w:t>,</w:t>
      </w:r>
      <w:r w:rsidRPr="00703A0B">
        <w:rPr>
          <w:rFonts w:eastAsia="Arial" w:cs="Arial"/>
          <w:szCs w:val="22"/>
        </w:rPr>
        <w:t>233 enquiries</w:t>
      </w:r>
      <w:r w:rsidR="001E58FA" w:rsidRPr="00703A0B">
        <w:rPr>
          <w:rFonts w:eastAsia="Arial" w:cs="Arial"/>
          <w:szCs w:val="22"/>
        </w:rPr>
        <w:t>, helping consume</w:t>
      </w:r>
      <w:r w:rsidR="00256669" w:rsidRPr="00703A0B">
        <w:rPr>
          <w:rFonts w:eastAsia="Arial" w:cs="Arial"/>
          <w:szCs w:val="22"/>
        </w:rPr>
        <w:t>r</w:t>
      </w:r>
      <w:r w:rsidR="001E58FA" w:rsidRPr="00703A0B">
        <w:rPr>
          <w:rFonts w:eastAsia="Arial" w:cs="Arial"/>
          <w:szCs w:val="22"/>
        </w:rPr>
        <w:t>s better understand their options and navigate the adjudication framework</w:t>
      </w:r>
      <w:r w:rsidRPr="00703A0B">
        <w:rPr>
          <w:rFonts w:eastAsia="Arial" w:cs="Arial"/>
          <w:szCs w:val="22"/>
        </w:rPr>
        <w:t>.</w:t>
      </w:r>
    </w:p>
    <w:p w14:paraId="793F0D78" w14:textId="7C74EF2F" w:rsidR="006F0298" w:rsidRPr="00703A0B" w:rsidRDefault="006F0298" w:rsidP="00AC6384">
      <w:pPr>
        <w:pStyle w:val="Heading3"/>
      </w:pPr>
      <w:r w:rsidRPr="00703A0B">
        <w:t xml:space="preserve">Adjudication </w:t>
      </w:r>
      <w:r w:rsidR="000A07EC" w:rsidRPr="00703A0B">
        <w:t>a</w:t>
      </w:r>
      <w:r w:rsidRPr="00703A0B">
        <w:t>pplications</w:t>
      </w:r>
    </w:p>
    <w:p w14:paraId="68B8C370" w14:textId="0DA5BF43" w:rsidR="006F0298" w:rsidRPr="00703A0B" w:rsidRDefault="00732096" w:rsidP="006F0298">
      <w:pPr>
        <w:spacing w:before="120" w:after="120"/>
        <w:rPr>
          <w:rFonts w:eastAsia="Arial" w:cs="Arial"/>
          <w:szCs w:val="22"/>
        </w:rPr>
      </w:pPr>
      <w:r w:rsidRPr="00703A0B">
        <w:rPr>
          <w:rFonts w:eastAsia="Arial" w:cs="Arial"/>
          <w:szCs w:val="22"/>
        </w:rPr>
        <w:t>In 2025–26, t</w:t>
      </w:r>
      <w:r w:rsidR="001E58FA" w:rsidRPr="00703A0B">
        <w:rPr>
          <w:rFonts w:eastAsia="Arial" w:cs="Arial"/>
          <w:szCs w:val="22"/>
        </w:rPr>
        <w:t xml:space="preserve">he adjudication framework </w:t>
      </w:r>
      <w:r w:rsidR="002675FB" w:rsidRPr="00703A0B">
        <w:rPr>
          <w:rFonts w:eastAsia="Arial" w:cs="Arial"/>
          <w:szCs w:val="22"/>
        </w:rPr>
        <w:t xml:space="preserve">continued to provide an important avenue for resolving </w:t>
      </w:r>
      <w:r w:rsidR="006F0298" w:rsidRPr="00703A0B">
        <w:rPr>
          <w:rFonts w:eastAsia="Arial" w:cs="Arial"/>
          <w:szCs w:val="22"/>
        </w:rPr>
        <w:t xml:space="preserve">payment disputes under the BIF Act. Adjudication applications may arise </w:t>
      </w:r>
      <w:r w:rsidR="009411C9" w:rsidRPr="00703A0B">
        <w:rPr>
          <w:rFonts w:eastAsia="Arial" w:cs="Arial"/>
          <w:szCs w:val="22"/>
        </w:rPr>
        <w:t>where</w:t>
      </w:r>
      <w:r w:rsidR="006F0298" w:rsidRPr="00703A0B">
        <w:rPr>
          <w:rFonts w:eastAsia="Arial" w:cs="Arial"/>
          <w:szCs w:val="22"/>
        </w:rPr>
        <w:t xml:space="preserve"> a payment schedule </w:t>
      </w:r>
      <w:r w:rsidR="009411C9" w:rsidRPr="00703A0B">
        <w:rPr>
          <w:rFonts w:eastAsia="Arial" w:cs="Arial"/>
          <w:szCs w:val="22"/>
        </w:rPr>
        <w:t xml:space="preserve">is not provided </w:t>
      </w:r>
      <w:r w:rsidR="006F0298" w:rsidRPr="00703A0B">
        <w:rPr>
          <w:rFonts w:eastAsia="Arial" w:cs="Arial"/>
          <w:szCs w:val="22"/>
        </w:rPr>
        <w:t>in response to a payment claim</w:t>
      </w:r>
      <w:r w:rsidR="009411C9" w:rsidRPr="00703A0B">
        <w:rPr>
          <w:rFonts w:eastAsia="Arial" w:cs="Arial"/>
          <w:szCs w:val="22"/>
        </w:rPr>
        <w:t xml:space="preserve">, where the </w:t>
      </w:r>
      <w:r w:rsidR="006F0298" w:rsidRPr="00703A0B">
        <w:rPr>
          <w:rFonts w:eastAsia="Arial" w:cs="Arial"/>
          <w:szCs w:val="22"/>
        </w:rPr>
        <w:t>schedule</w:t>
      </w:r>
      <w:r w:rsidR="009411C9" w:rsidRPr="00703A0B">
        <w:rPr>
          <w:rFonts w:eastAsia="Arial" w:cs="Arial"/>
          <w:szCs w:val="22"/>
        </w:rPr>
        <w:t xml:space="preserve">d amount is </w:t>
      </w:r>
      <w:r w:rsidR="006F0298" w:rsidRPr="00703A0B">
        <w:rPr>
          <w:rFonts w:eastAsia="Arial" w:cs="Arial"/>
          <w:szCs w:val="22"/>
        </w:rPr>
        <w:t xml:space="preserve">less than the </w:t>
      </w:r>
      <w:r w:rsidR="009411C9" w:rsidRPr="00703A0B">
        <w:rPr>
          <w:rFonts w:eastAsia="Arial" w:cs="Arial"/>
          <w:szCs w:val="22"/>
        </w:rPr>
        <w:t>amount</w:t>
      </w:r>
      <w:r w:rsidR="006F0298" w:rsidRPr="00703A0B">
        <w:rPr>
          <w:rFonts w:eastAsia="Arial" w:cs="Arial"/>
          <w:szCs w:val="22"/>
        </w:rPr>
        <w:t xml:space="preserve"> claimed or </w:t>
      </w:r>
      <w:r w:rsidR="009411C9" w:rsidRPr="00703A0B">
        <w:rPr>
          <w:rFonts w:eastAsia="Arial" w:cs="Arial"/>
          <w:szCs w:val="22"/>
        </w:rPr>
        <w:t xml:space="preserve">where </w:t>
      </w:r>
      <w:r w:rsidR="006F0298" w:rsidRPr="00703A0B">
        <w:rPr>
          <w:rFonts w:eastAsia="Arial" w:cs="Arial"/>
          <w:szCs w:val="22"/>
        </w:rPr>
        <w:t xml:space="preserve">payment </w:t>
      </w:r>
      <w:r w:rsidR="009411C9" w:rsidRPr="00703A0B">
        <w:rPr>
          <w:rFonts w:eastAsia="Arial" w:cs="Arial"/>
          <w:szCs w:val="22"/>
        </w:rPr>
        <w:t>is</w:t>
      </w:r>
      <w:r w:rsidR="006F0298" w:rsidRPr="00703A0B">
        <w:rPr>
          <w:rFonts w:eastAsia="Arial" w:cs="Arial"/>
          <w:szCs w:val="22"/>
        </w:rPr>
        <w:t xml:space="preserve"> not being made in full by the due date.</w:t>
      </w:r>
      <w:r w:rsidR="00223606" w:rsidRPr="00703A0B">
        <w:rPr>
          <w:rFonts w:eastAsia="Arial" w:cs="Arial"/>
          <w:szCs w:val="22"/>
        </w:rPr>
        <w:t xml:space="preserve"> </w:t>
      </w:r>
      <w:r w:rsidR="00223606" w:rsidRPr="00703A0B">
        <w:rPr>
          <w:rFonts w:eastAsia="Arial" w:cs="Arial"/>
          <w:szCs w:val="22"/>
        </w:rPr>
        <w:fldChar w:fldCharType="begin"/>
      </w:r>
      <w:r w:rsidR="00223606" w:rsidRPr="00703A0B">
        <w:rPr>
          <w:rFonts w:eastAsia="Arial" w:cs="Arial"/>
          <w:szCs w:val="22"/>
        </w:rPr>
        <w:instrText xml:space="preserve"> REF _Ref234846778 \h </w:instrText>
      </w:r>
      <w:r w:rsidR="00223606" w:rsidRPr="00703A0B">
        <w:rPr>
          <w:rFonts w:eastAsia="Arial" w:cs="Arial"/>
          <w:szCs w:val="22"/>
        </w:rPr>
      </w:r>
      <w:r w:rsidR="00223606" w:rsidRPr="00703A0B">
        <w:rPr>
          <w:rFonts w:eastAsia="Arial" w:cs="Arial"/>
          <w:szCs w:val="22"/>
        </w:rPr>
        <w:fldChar w:fldCharType="separate"/>
      </w:r>
      <w:r w:rsidR="00DF2750" w:rsidRPr="00703A0B">
        <w:t xml:space="preserve">Table </w:t>
      </w:r>
      <w:r w:rsidR="00DF2750" w:rsidRPr="00F621D8">
        <w:t>13</w:t>
      </w:r>
      <w:r w:rsidR="00223606" w:rsidRPr="00703A0B">
        <w:rPr>
          <w:rFonts w:eastAsia="Arial" w:cs="Arial"/>
          <w:szCs w:val="22"/>
        </w:rPr>
        <w:fldChar w:fldCharType="end"/>
      </w:r>
      <w:r w:rsidR="00223606" w:rsidRPr="00703A0B">
        <w:rPr>
          <w:rFonts w:eastAsia="Arial" w:cs="Arial"/>
          <w:szCs w:val="22"/>
        </w:rPr>
        <w:t xml:space="preserve"> provides an overview of the received adjudication applications during the reporting period.</w:t>
      </w:r>
    </w:p>
    <w:p w14:paraId="328E44A9" w14:textId="432D9037" w:rsidR="00DD05C3" w:rsidRPr="00703A0B" w:rsidRDefault="00223606" w:rsidP="001A39F5">
      <w:pPr>
        <w:pStyle w:val="Caption"/>
        <w:rPr>
          <w:rFonts w:eastAsia="Arial"/>
        </w:rPr>
      </w:pPr>
      <w:bookmarkStart w:id="96" w:name="_Ref234846778"/>
      <w:r w:rsidRPr="00703A0B">
        <w:t xml:space="preserve">Table </w:t>
      </w:r>
      <w:r w:rsidRPr="00703A0B">
        <w:fldChar w:fldCharType="begin"/>
      </w:r>
      <w:r w:rsidRPr="00703A0B">
        <w:instrText>SEQ Table \* ARABIC</w:instrText>
      </w:r>
      <w:r w:rsidRPr="00703A0B">
        <w:fldChar w:fldCharType="separate"/>
      </w:r>
      <w:r w:rsidR="003764AA" w:rsidRPr="00F621D8">
        <w:t>13</w:t>
      </w:r>
      <w:r w:rsidRPr="00703A0B">
        <w:fldChar w:fldCharType="end"/>
      </w:r>
      <w:bookmarkEnd w:id="96"/>
      <w:r w:rsidRPr="00703A0B">
        <w:t xml:space="preserve">: </w:t>
      </w:r>
      <w:r w:rsidR="00E33C20" w:rsidRPr="00703A0B">
        <w:t>R</w:t>
      </w:r>
      <w:r w:rsidRPr="00703A0B">
        <w:t xml:space="preserve">eceived adjudication applications </w:t>
      </w:r>
      <w:r w:rsidR="002F7885" w:rsidRPr="00703A0B">
        <w:t>and corresponding value</w:t>
      </w:r>
      <w:r w:rsidR="00411438" w:rsidRPr="00703A0B">
        <w:t>s</w:t>
      </w:r>
      <w:r w:rsidR="002F7885" w:rsidRPr="00703A0B">
        <w:t xml:space="preserve"> </w:t>
      </w:r>
      <w:r w:rsidRPr="00703A0B">
        <w:t>in 2025–26</w:t>
      </w:r>
    </w:p>
    <w:tbl>
      <w:tblPr>
        <w:tblW w:w="5000" w:type="pct"/>
        <w:tblLayout w:type="fixed"/>
        <w:tblCellMar>
          <w:top w:w="28" w:type="dxa"/>
          <w:bottom w:w="28" w:type="dxa"/>
        </w:tblCellMar>
        <w:tblLook w:val="04A0" w:firstRow="1" w:lastRow="0" w:firstColumn="1" w:lastColumn="0" w:noHBand="0" w:noVBand="1"/>
      </w:tblPr>
      <w:tblGrid>
        <w:gridCol w:w="3042"/>
        <w:gridCol w:w="1852"/>
        <w:gridCol w:w="1852"/>
        <w:gridCol w:w="1852"/>
        <w:gridCol w:w="1852"/>
      </w:tblGrid>
      <w:tr w:rsidR="002D5F67" w:rsidRPr="00703A0B" w14:paraId="2BB831E9" w14:textId="77777777" w:rsidTr="002E390E">
        <w:tc>
          <w:tcPr>
            <w:tcW w:w="1456" w:type="pct"/>
            <w:vMerge w:val="restart"/>
            <w:tcBorders>
              <w:top w:val="single" w:sz="4" w:space="0" w:color="auto"/>
              <w:left w:val="single" w:sz="4" w:space="0" w:color="auto"/>
              <w:right w:val="single" w:sz="4" w:space="0" w:color="auto"/>
            </w:tcBorders>
            <w:shd w:val="clear" w:color="auto" w:fill="A6A6A6" w:themeFill="background1" w:themeFillShade="A6"/>
            <w:noWrap/>
          </w:tcPr>
          <w:p w14:paraId="7F90A075" w14:textId="3484AE76" w:rsidR="002D5F67" w:rsidRPr="00703A0B" w:rsidRDefault="002D5F67" w:rsidP="00EF4575">
            <w:pPr>
              <w:rPr>
                <w:rFonts w:eastAsia="Times New Roman" w:cs="Arial"/>
                <w:b/>
                <w:bCs/>
                <w:color w:val="000000"/>
                <w:szCs w:val="22"/>
                <w:lang w:eastAsia="en-AU"/>
              </w:rPr>
            </w:pPr>
            <w:r w:rsidRPr="00703A0B">
              <w:rPr>
                <w:rFonts w:eastAsia="Times New Roman" w:cs="Arial"/>
                <w:b/>
                <w:bCs/>
                <w:color w:val="000000"/>
                <w:szCs w:val="22"/>
                <w:lang w:eastAsia="en-AU"/>
              </w:rPr>
              <w:t>Claim value</w:t>
            </w:r>
          </w:p>
        </w:tc>
        <w:tc>
          <w:tcPr>
            <w:tcW w:w="1772" w:type="pct"/>
            <w:gridSpan w:val="2"/>
            <w:tcBorders>
              <w:top w:val="single" w:sz="4" w:space="0" w:color="auto"/>
              <w:left w:val="nil"/>
              <w:bottom w:val="single" w:sz="4" w:space="0" w:color="auto"/>
              <w:right w:val="single" w:sz="4" w:space="0" w:color="auto"/>
            </w:tcBorders>
            <w:shd w:val="clear" w:color="auto" w:fill="A6A6A6" w:themeFill="background1" w:themeFillShade="A6"/>
          </w:tcPr>
          <w:p w14:paraId="4C9B73CF" w14:textId="7CB5A6E9" w:rsidR="002D5F67" w:rsidRPr="00703A0B" w:rsidRDefault="002D5F67" w:rsidP="00EF4575">
            <w:pPr>
              <w:rPr>
                <w:rFonts w:eastAsia="Times New Roman" w:cs="Arial"/>
                <w:b/>
                <w:bCs/>
                <w:color w:val="000000"/>
                <w:szCs w:val="22"/>
                <w:lang w:eastAsia="en-AU"/>
              </w:rPr>
            </w:pPr>
            <w:r w:rsidRPr="00703A0B">
              <w:rPr>
                <w:rFonts w:eastAsia="Times New Roman" w:cs="Arial"/>
                <w:b/>
                <w:bCs/>
                <w:color w:val="000000"/>
                <w:szCs w:val="22"/>
                <w:lang w:eastAsia="en-AU"/>
              </w:rPr>
              <w:t>Invalid applications</w:t>
            </w:r>
          </w:p>
        </w:tc>
        <w:tc>
          <w:tcPr>
            <w:tcW w:w="1772" w:type="pct"/>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69921F3" w14:textId="14B60757" w:rsidR="002D5F67" w:rsidRPr="00703A0B" w:rsidRDefault="002D5F67" w:rsidP="00EF4575">
            <w:pPr>
              <w:rPr>
                <w:rFonts w:eastAsia="Times New Roman" w:cs="Arial"/>
                <w:b/>
                <w:bCs/>
                <w:color w:val="000000"/>
                <w:szCs w:val="22"/>
                <w:lang w:eastAsia="en-AU"/>
              </w:rPr>
            </w:pPr>
            <w:r w:rsidRPr="00703A0B">
              <w:rPr>
                <w:rFonts w:eastAsia="Times New Roman" w:cs="Arial"/>
                <w:b/>
                <w:bCs/>
                <w:color w:val="000000"/>
                <w:szCs w:val="22"/>
                <w:lang w:eastAsia="en-AU"/>
              </w:rPr>
              <w:t>Valid applications</w:t>
            </w:r>
          </w:p>
        </w:tc>
      </w:tr>
      <w:tr w:rsidR="006F0298" w:rsidRPr="00703A0B" w14:paraId="5CA1EFE0" w14:textId="77777777" w:rsidTr="002E390E">
        <w:tc>
          <w:tcPr>
            <w:tcW w:w="1456" w:type="pct"/>
            <w:vMerge/>
            <w:tcBorders>
              <w:left w:val="single" w:sz="4" w:space="0" w:color="auto"/>
              <w:bottom w:val="single" w:sz="4" w:space="0" w:color="auto"/>
              <w:right w:val="single" w:sz="4" w:space="0" w:color="auto"/>
            </w:tcBorders>
            <w:shd w:val="clear" w:color="auto" w:fill="A6A6A6" w:themeFill="background1" w:themeFillShade="A6"/>
            <w:noWrap/>
            <w:hideMark/>
          </w:tcPr>
          <w:p w14:paraId="08580568" w14:textId="5D93A355" w:rsidR="006F0298" w:rsidRPr="00703A0B" w:rsidRDefault="006F0298" w:rsidP="00CF0684">
            <w:pPr>
              <w:rPr>
                <w:rFonts w:eastAsia="Times New Roman" w:cs="Arial"/>
                <w:b/>
                <w:bCs/>
                <w:color w:val="000000"/>
                <w:szCs w:val="22"/>
                <w:lang w:eastAsia="en-AU"/>
              </w:rPr>
            </w:pPr>
          </w:p>
        </w:tc>
        <w:tc>
          <w:tcPr>
            <w:tcW w:w="886" w:type="pct"/>
            <w:tcBorders>
              <w:top w:val="single" w:sz="4" w:space="0" w:color="auto"/>
              <w:left w:val="nil"/>
              <w:bottom w:val="single" w:sz="4" w:space="0" w:color="auto"/>
              <w:right w:val="single" w:sz="4" w:space="0" w:color="auto"/>
            </w:tcBorders>
            <w:shd w:val="clear" w:color="auto" w:fill="BFBFBF" w:themeFill="background1" w:themeFillShade="BF"/>
            <w:hideMark/>
          </w:tcPr>
          <w:p w14:paraId="33D42174" w14:textId="6125C6B9" w:rsidR="006F0298" w:rsidRPr="00703A0B" w:rsidRDefault="002D5F67" w:rsidP="002E390E">
            <w:pPr>
              <w:rPr>
                <w:rFonts w:eastAsia="Times New Roman" w:cs="Arial"/>
                <w:b/>
                <w:bCs/>
                <w:color w:val="000000"/>
                <w:szCs w:val="22"/>
                <w:lang w:eastAsia="en-AU"/>
              </w:rPr>
            </w:pPr>
            <w:r w:rsidRPr="00703A0B">
              <w:rPr>
                <w:rFonts w:eastAsia="Times New Roman" w:cs="Arial"/>
                <w:b/>
                <w:bCs/>
                <w:color w:val="000000"/>
                <w:szCs w:val="22"/>
                <w:lang w:eastAsia="en-AU"/>
              </w:rPr>
              <w:t>Number</w:t>
            </w:r>
          </w:p>
        </w:tc>
        <w:tc>
          <w:tcPr>
            <w:tcW w:w="886" w:type="pct"/>
            <w:tcBorders>
              <w:top w:val="single" w:sz="4" w:space="0" w:color="auto"/>
              <w:left w:val="nil"/>
              <w:bottom w:val="single" w:sz="4" w:space="0" w:color="auto"/>
              <w:right w:val="single" w:sz="4" w:space="0" w:color="auto"/>
            </w:tcBorders>
            <w:shd w:val="clear" w:color="auto" w:fill="BFBFBF" w:themeFill="background1" w:themeFillShade="BF"/>
            <w:hideMark/>
          </w:tcPr>
          <w:p w14:paraId="6C141B3B" w14:textId="63BC2C49" w:rsidR="006F0298" w:rsidRPr="00703A0B" w:rsidRDefault="002D5F67" w:rsidP="002E390E">
            <w:pPr>
              <w:rPr>
                <w:rFonts w:eastAsia="Times New Roman" w:cs="Arial"/>
                <w:b/>
                <w:bCs/>
                <w:color w:val="000000"/>
                <w:szCs w:val="22"/>
                <w:lang w:eastAsia="en-AU"/>
              </w:rPr>
            </w:pPr>
            <w:r w:rsidRPr="00703A0B">
              <w:rPr>
                <w:rFonts w:eastAsia="Times New Roman" w:cs="Arial"/>
                <w:b/>
                <w:bCs/>
                <w:color w:val="000000"/>
                <w:szCs w:val="22"/>
                <w:lang w:eastAsia="en-AU"/>
              </w:rPr>
              <w:t>Claimed</w:t>
            </w:r>
            <w:r w:rsidR="006F0298" w:rsidRPr="00703A0B">
              <w:rPr>
                <w:rFonts w:eastAsia="Times New Roman" w:cs="Arial"/>
                <w:b/>
                <w:bCs/>
                <w:color w:val="000000"/>
                <w:szCs w:val="22"/>
                <w:lang w:eastAsia="en-AU"/>
              </w:rPr>
              <w:t xml:space="preserve"> amount</w:t>
            </w:r>
          </w:p>
        </w:tc>
        <w:tc>
          <w:tcPr>
            <w:tcW w:w="886"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659A32" w14:textId="44FBE2D5" w:rsidR="006F0298" w:rsidRPr="00703A0B" w:rsidRDefault="002D5F67" w:rsidP="002E390E">
            <w:pPr>
              <w:rPr>
                <w:rFonts w:eastAsia="Times New Roman" w:cs="Arial"/>
                <w:b/>
                <w:bCs/>
                <w:color w:val="000000"/>
                <w:szCs w:val="22"/>
                <w:lang w:eastAsia="en-AU"/>
              </w:rPr>
            </w:pPr>
            <w:r w:rsidRPr="00703A0B">
              <w:rPr>
                <w:rFonts w:eastAsia="Times New Roman" w:cs="Arial"/>
                <w:b/>
                <w:bCs/>
                <w:color w:val="000000"/>
                <w:szCs w:val="22"/>
                <w:lang w:eastAsia="en-AU"/>
              </w:rPr>
              <w:t>Number</w:t>
            </w:r>
          </w:p>
        </w:tc>
        <w:tc>
          <w:tcPr>
            <w:tcW w:w="886" w:type="pct"/>
            <w:tcBorders>
              <w:top w:val="single" w:sz="4" w:space="0" w:color="auto"/>
              <w:left w:val="nil"/>
              <w:bottom w:val="single" w:sz="4" w:space="0" w:color="auto"/>
              <w:right w:val="single" w:sz="4" w:space="0" w:color="auto"/>
            </w:tcBorders>
            <w:shd w:val="clear" w:color="auto" w:fill="BFBFBF" w:themeFill="background1" w:themeFillShade="BF"/>
            <w:hideMark/>
          </w:tcPr>
          <w:p w14:paraId="06D9626F" w14:textId="0E39E36B" w:rsidR="006F0298" w:rsidRPr="00703A0B" w:rsidRDefault="002D5F67" w:rsidP="002E390E">
            <w:pPr>
              <w:rPr>
                <w:rFonts w:eastAsia="Times New Roman" w:cs="Arial"/>
                <w:b/>
                <w:bCs/>
                <w:color w:val="000000"/>
                <w:szCs w:val="22"/>
                <w:lang w:eastAsia="en-AU"/>
              </w:rPr>
            </w:pPr>
            <w:r w:rsidRPr="00703A0B">
              <w:rPr>
                <w:rFonts w:eastAsia="Times New Roman" w:cs="Arial"/>
                <w:b/>
                <w:bCs/>
                <w:color w:val="000000"/>
                <w:szCs w:val="22"/>
                <w:lang w:eastAsia="en-AU"/>
              </w:rPr>
              <w:t>C</w:t>
            </w:r>
            <w:r w:rsidR="006F0298" w:rsidRPr="00703A0B">
              <w:rPr>
                <w:rFonts w:eastAsia="Times New Roman" w:cs="Arial"/>
                <w:b/>
                <w:bCs/>
                <w:color w:val="000000"/>
                <w:szCs w:val="22"/>
                <w:lang w:eastAsia="en-AU"/>
              </w:rPr>
              <w:t>laimed amount</w:t>
            </w:r>
          </w:p>
        </w:tc>
      </w:tr>
      <w:tr w:rsidR="006F0298" w:rsidRPr="00703A0B" w14:paraId="25590D2F" w14:textId="77777777" w:rsidTr="002E390E">
        <w:tc>
          <w:tcPr>
            <w:tcW w:w="1456" w:type="pct"/>
            <w:tcBorders>
              <w:top w:val="nil"/>
              <w:left w:val="single" w:sz="4" w:space="0" w:color="auto"/>
              <w:bottom w:val="single" w:sz="4" w:space="0" w:color="auto"/>
              <w:right w:val="single" w:sz="4" w:space="0" w:color="auto"/>
            </w:tcBorders>
            <w:noWrap/>
            <w:hideMark/>
          </w:tcPr>
          <w:p w14:paraId="4B7C3D04" w14:textId="5DD631C6" w:rsidR="006F0298" w:rsidRPr="00703A0B" w:rsidRDefault="006F0298" w:rsidP="00CF0684">
            <w:pPr>
              <w:rPr>
                <w:rFonts w:eastAsia="Times New Roman" w:cs="Arial"/>
                <w:color w:val="000000"/>
                <w:szCs w:val="22"/>
                <w:lang w:eastAsia="en-AU"/>
              </w:rPr>
            </w:pPr>
            <w:r w:rsidRPr="00703A0B">
              <w:rPr>
                <w:rFonts w:eastAsia="Times New Roman" w:cs="Arial"/>
                <w:color w:val="000000"/>
                <w:szCs w:val="22"/>
                <w:lang w:eastAsia="en-AU"/>
              </w:rPr>
              <w:t>$0</w:t>
            </w:r>
            <w:r w:rsidR="00353A7D" w:rsidRPr="00703A0B">
              <w:rPr>
                <w:rFonts w:eastAsia="Times New Roman" w:cs="Arial"/>
                <w:color w:val="000000"/>
                <w:szCs w:val="22"/>
                <w:lang w:eastAsia="en-AU"/>
              </w:rPr>
              <w:t>–</w:t>
            </w:r>
            <w:r w:rsidRPr="00703A0B">
              <w:rPr>
                <w:rFonts w:eastAsia="Times New Roman" w:cs="Arial"/>
                <w:color w:val="000000"/>
                <w:szCs w:val="22"/>
                <w:lang w:eastAsia="en-AU"/>
              </w:rPr>
              <w:t>$11,345.70</w:t>
            </w:r>
          </w:p>
        </w:tc>
        <w:tc>
          <w:tcPr>
            <w:tcW w:w="886" w:type="pct"/>
            <w:tcBorders>
              <w:top w:val="single" w:sz="4" w:space="0" w:color="auto"/>
              <w:left w:val="nil"/>
              <w:bottom w:val="single" w:sz="4" w:space="0" w:color="auto"/>
              <w:right w:val="single" w:sz="4" w:space="0" w:color="auto"/>
            </w:tcBorders>
            <w:noWrap/>
            <w:hideMark/>
          </w:tcPr>
          <w:p w14:paraId="783D97B8" w14:textId="72FB8A87" w:rsidR="006F0298" w:rsidRPr="00703A0B" w:rsidRDefault="00C32110" w:rsidP="002E390E">
            <w:pPr>
              <w:rPr>
                <w:rFonts w:eastAsia="Times New Roman" w:cs="Arial"/>
                <w:color w:val="000000"/>
                <w:szCs w:val="22"/>
                <w:lang w:eastAsia="en-AU"/>
              </w:rPr>
            </w:pPr>
            <w:r w:rsidRPr="00703A0B">
              <w:t>31</w:t>
            </w:r>
          </w:p>
        </w:tc>
        <w:tc>
          <w:tcPr>
            <w:tcW w:w="886" w:type="pct"/>
            <w:tcBorders>
              <w:top w:val="single" w:sz="4" w:space="0" w:color="auto"/>
              <w:left w:val="nil"/>
              <w:bottom w:val="single" w:sz="4" w:space="0" w:color="auto"/>
              <w:right w:val="single" w:sz="4" w:space="0" w:color="auto"/>
            </w:tcBorders>
            <w:noWrap/>
            <w:hideMark/>
          </w:tcPr>
          <w:p w14:paraId="6DF262CE" w14:textId="36FE63B1" w:rsidR="006F0298" w:rsidRPr="00703A0B" w:rsidRDefault="00C32110" w:rsidP="002E390E">
            <w:pPr>
              <w:rPr>
                <w:rFonts w:eastAsia="Times New Roman" w:cs="Arial"/>
                <w:color w:val="000000"/>
                <w:szCs w:val="22"/>
                <w:lang w:eastAsia="en-AU"/>
              </w:rPr>
            </w:pPr>
            <w:r w:rsidRPr="00703A0B">
              <w:t>$180,287</w:t>
            </w:r>
          </w:p>
        </w:tc>
        <w:tc>
          <w:tcPr>
            <w:tcW w:w="886" w:type="pct"/>
            <w:tcBorders>
              <w:top w:val="single" w:sz="4" w:space="0" w:color="auto"/>
              <w:left w:val="single" w:sz="4" w:space="0" w:color="auto"/>
              <w:bottom w:val="single" w:sz="4" w:space="0" w:color="auto"/>
              <w:right w:val="single" w:sz="4" w:space="0" w:color="auto"/>
            </w:tcBorders>
            <w:hideMark/>
          </w:tcPr>
          <w:p w14:paraId="06C56782" w14:textId="58434083" w:rsidR="006F0298" w:rsidRPr="00703A0B" w:rsidRDefault="00C32110" w:rsidP="002E390E">
            <w:pPr>
              <w:rPr>
                <w:rFonts w:eastAsia="Times New Roman" w:cs="Arial"/>
                <w:color w:val="000000"/>
                <w:szCs w:val="22"/>
                <w:lang w:eastAsia="en-AU"/>
              </w:rPr>
            </w:pPr>
            <w:r w:rsidRPr="00703A0B">
              <w:t>106</w:t>
            </w:r>
          </w:p>
        </w:tc>
        <w:tc>
          <w:tcPr>
            <w:tcW w:w="886" w:type="pct"/>
            <w:tcBorders>
              <w:top w:val="single" w:sz="4" w:space="0" w:color="auto"/>
              <w:left w:val="nil"/>
              <w:bottom w:val="single" w:sz="4" w:space="0" w:color="auto"/>
              <w:right w:val="single" w:sz="4" w:space="0" w:color="auto"/>
            </w:tcBorders>
            <w:noWrap/>
            <w:hideMark/>
          </w:tcPr>
          <w:p w14:paraId="5E20A4A4" w14:textId="270EB8CF" w:rsidR="006F0298" w:rsidRPr="00703A0B" w:rsidRDefault="00C32110" w:rsidP="002E390E">
            <w:pPr>
              <w:rPr>
                <w:rFonts w:eastAsia="Times New Roman" w:cs="Arial"/>
                <w:color w:val="000000"/>
                <w:szCs w:val="22"/>
                <w:lang w:eastAsia="en-AU"/>
              </w:rPr>
            </w:pPr>
            <w:r w:rsidRPr="00703A0B">
              <w:t>$605,515</w:t>
            </w:r>
          </w:p>
        </w:tc>
      </w:tr>
      <w:tr w:rsidR="006F0298" w:rsidRPr="00703A0B" w14:paraId="1EFBF3F2" w14:textId="77777777" w:rsidTr="002E390E">
        <w:tc>
          <w:tcPr>
            <w:tcW w:w="1456" w:type="pct"/>
            <w:tcBorders>
              <w:top w:val="nil"/>
              <w:left w:val="single" w:sz="4" w:space="0" w:color="auto"/>
              <w:bottom w:val="single" w:sz="4" w:space="0" w:color="auto"/>
              <w:right w:val="single" w:sz="4" w:space="0" w:color="auto"/>
            </w:tcBorders>
            <w:noWrap/>
            <w:hideMark/>
          </w:tcPr>
          <w:p w14:paraId="645B833D" w14:textId="7D4051B7" w:rsidR="006F0298" w:rsidRPr="00703A0B" w:rsidRDefault="006F0298" w:rsidP="00CF0684">
            <w:pPr>
              <w:rPr>
                <w:rFonts w:eastAsia="Times New Roman" w:cs="Arial"/>
                <w:color w:val="000000"/>
                <w:szCs w:val="22"/>
                <w:lang w:eastAsia="en-AU"/>
              </w:rPr>
            </w:pPr>
            <w:r w:rsidRPr="00703A0B">
              <w:rPr>
                <w:rFonts w:eastAsia="Times New Roman" w:cs="Arial"/>
                <w:color w:val="000000"/>
                <w:szCs w:val="22"/>
                <w:lang w:eastAsia="en-AU"/>
              </w:rPr>
              <w:t>$11,345.70</w:t>
            </w:r>
            <w:r w:rsidR="00353A7D" w:rsidRPr="00703A0B">
              <w:rPr>
                <w:rFonts w:eastAsia="Times New Roman" w:cs="Arial"/>
                <w:color w:val="000000"/>
                <w:szCs w:val="22"/>
                <w:lang w:eastAsia="en-AU"/>
              </w:rPr>
              <w:t>–</w:t>
            </w:r>
            <w:r w:rsidRPr="00703A0B">
              <w:rPr>
                <w:rFonts w:eastAsia="Times New Roman" w:cs="Arial"/>
                <w:color w:val="000000"/>
                <w:szCs w:val="22"/>
                <w:lang w:eastAsia="en-AU"/>
              </w:rPr>
              <w:t>$56,728.80</w:t>
            </w:r>
          </w:p>
        </w:tc>
        <w:tc>
          <w:tcPr>
            <w:tcW w:w="886" w:type="pct"/>
            <w:tcBorders>
              <w:top w:val="single" w:sz="4" w:space="0" w:color="auto"/>
              <w:left w:val="nil"/>
              <w:bottom w:val="single" w:sz="4" w:space="0" w:color="auto"/>
              <w:right w:val="single" w:sz="4" w:space="0" w:color="auto"/>
            </w:tcBorders>
            <w:noWrap/>
            <w:hideMark/>
          </w:tcPr>
          <w:p w14:paraId="25C699B9" w14:textId="7AD4A128" w:rsidR="006F0298" w:rsidRPr="00703A0B" w:rsidRDefault="000B57A8" w:rsidP="002E390E">
            <w:pPr>
              <w:rPr>
                <w:rFonts w:eastAsia="Times New Roman" w:cs="Arial"/>
                <w:color w:val="000000"/>
                <w:szCs w:val="22"/>
                <w:lang w:eastAsia="en-AU"/>
              </w:rPr>
            </w:pPr>
            <w:r w:rsidRPr="00703A0B">
              <w:t>30</w:t>
            </w:r>
          </w:p>
        </w:tc>
        <w:tc>
          <w:tcPr>
            <w:tcW w:w="886" w:type="pct"/>
            <w:tcBorders>
              <w:top w:val="single" w:sz="4" w:space="0" w:color="auto"/>
              <w:left w:val="nil"/>
              <w:bottom w:val="single" w:sz="4" w:space="0" w:color="auto"/>
              <w:right w:val="single" w:sz="4" w:space="0" w:color="auto"/>
            </w:tcBorders>
            <w:noWrap/>
            <w:hideMark/>
          </w:tcPr>
          <w:p w14:paraId="4F040A86" w14:textId="4A377211" w:rsidR="006F0298" w:rsidRPr="00703A0B" w:rsidRDefault="00C32110" w:rsidP="002E390E">
            <w:pPr>
              <w:rPr>
                <w:rFonts w:eastAsia="Times New Roman" w:cs="Arial"/>
                <w:color w:val="000000"/>
                <w:szCs w:val="22"/>
                <w:lang w:eastAsia="en-AU"/>
              </w:rPr>
            </w:pPr>
            <w:r w:rsidRPr="00703A0B">
              <w:t>$</w:t>
            </w:r>
            <w:r w:rsidR="000B57A8" w:rsidRPr="00703A0B">
              <w:t>848,746</w:t>
            </w:r>
          </w:p>
        </w:tc>
        <w:tc>
          <w:tcPr>
            <w:tcW w:w="886" w:type="pct"/>
            <w:tcBorders>
              <w:top w:val="single" w:sz="4" w:space="0" w:color="auto"/>
              <w:left w:val="single" w:sz="4" w:space="0" w:color="auto"/>
              <w:bottom w:val="single" w:sz="4" w:space="0" w:color="auto"/>
              <w:right w:val="single" w:sz="4" w:space="0" w:color="auto"/>
            </w:tcBorders>
            <w:hideMark/>
          </w:tcPr>
          <w:p w14:paraId="691498FC" w14:textId="4C1FDDCD" w:rsidR="006F0298" w:rsidRPr="00703A0B" w:rsidRDefault="00C32110" w:rsidP="002E390E">
            <w:pPr>
              <w:rPr>
                <w:rFonts w:eastAsia="Times New Roman" w:cs="Arial"/>
                <w:color w:val="000000"/>
                <w:szCs w:val="22"/>
                <w:lang w:eastAsia="en-AU"/>
              </w:rPr>
            </w:pPr>
            <w:r w:rsidRPr="00703A0B">
              <w:t>148</w:t>
            </w:r>
          </w:p>
        </w:tc>
        <w:tc>
          <w:tcPr>
            <w:tcW w:w="886" w:type="pct"/>
            <w:tcBorders>
              <w:top w:val="single" w:sz="4" w:space="0" w:color="auto"/>
              <w:left w:val="nil"/>
              <w:bottom w:val="single" w:sz="4" w:space="0" w:color="auto"/>
              <w:right w:val="single" w:sz="4" w:space="0" w:color="auto"/>
            </w:tcBorders>
            <w:noWrap/>
            <w:hideMark/>
          </w:tcPr>
          <w:p w14:paraId="563DE160" w14:textId="7D8CE353" w:rsidR="006F0298" w:rsidRPr="00703A0B" w:rsidRDefault="00C32110" w:rsidP="002E390E">
            <w:pPr>
              <w:rPr>
                <w:rFonts w:eastAsia="Times New Roman" w:cs="Arial"/>
                <w:color w:val="000000"/>
                <w:szCs w:val="22"/>
                <w:lang w:eastAsia="en-AU"/>
              </w:rPr>
            </w:pPr>
            <w:r w:rsidRPr="00703A0B">
              <w:t>$4,275,583</w:t>
            </w:r>
          </w:p>
        </w:tc>
      </w:tr>
      <w:tr w:rsidR="006F0298" w:rsidRPr="00703A0B" w14:paraId="78284F38" w14:textId="77777777" w:rsidTr="002E390E">
        <w:tc>
          <w:tcPr>
            <w:tcW w:w="1456" w:type="pct"/>
            <w:tcBorders>
              <w:top w:val="nil"/>
              <w:left w:val="single" w:sz="4" w:space="0" w:color="auto"/>
              <w:bottom w:val="single" w:sz="4" w:space="0" w:color="auto"/>
              <w:right w:val="single" w:sz="4" w:space="0" w:color="auto"/>
            </w:tcBorders>
            <w:noWrap/>
            <w:hideMark/>
          </w:tcPr>
          <w:p w14:paraId="42CA5D1C" w14:textId="278BE30D" w:rsidR="006F0298" w:rsidRPr="00703A0B" w:rsidRDefault="006F0298" w:rsidP="00CF0684">
            <w:pPr>
              <w:rPr>
                <w:rFonts w:eastAsia="Times New Roman" w:cs="Arial"/>
                <w:color w:val="000000"/>
                <w:szCs w:val="22"/>
                <w:lang w:eastAsia="en-AU"/>
              </w:rPr>
            </w:pPr>
            <w:r w:rsidRPr="00703A0B">
              <w:rPr>
                <w:rFonts w:eastAsia="Times New Roman" w:cs="Arial"/>
                <w:color w:val="000000"/>
                <w:szCs w:val="22"/>
                <w:lang w:eastAsia="en-AU"/>
              </w:rPr>
              <w:t>$56,728.80</w:t>
            </w:r>
            <w:r w:rsidR="00353A7D" w:rsidRPr="00703A0B">
              <w:rPr>
                <w:rFonts w:eastAsia="Times New Roman" w:cs="Arial"/>
                <w:color w:val="000000"/>
                <w:szCs w:val="22"/>
                <w:lang w:eastAsia="en-AU"/>
              </w:rPr>
              <w:t>–</w:t>
            </w:r>
            <w:r w:rsidRPr="00703A0B">
              <w:rPr>
                <w:rFonts w:eastAsia="Times New Roman" w:cs="Arial"/>
                <w:color w:val="000000"/>
                <w:szCs w:val="22"/>
                <w:lang w:eastAsia="en-AU"/>
              </w:rPr>
              <w:t>$113,457.60</w:t>
            </w:r>
          </w:p>
        </w:tc>
        <w:tc>
          <w:tcPr>
            <w:tcW w:w="886" w:type="pct"/>
            <w:tcBorders>
              <w:top w:val="single" w:sz="4" w:space="0" w:color="auto"/>
              <w:left w:val="nil"/>
              <w:bottom w:val="single" w:sz="4" w:space="0" w:color="auto"/>
              <w:right w:val="single" w:sz="4" w:space="0" w:color="auto"/>
            </w:tcBorders>
            <w:noWrap/>
            <w:hideMark/>
          </w:tcPr>
          <w:p w14:paraId="6862DEF9" w14:textId="20F9EFE6" w:rsidR="006F0298" w:rsidRPr="00703A0B" w:rsidRDefault="00C32110" w:rsidP="002E390E">
            <w:pPr>
              <w:rPr>
                <w:rFonts w:eastAsia="Times New Roman" w:cs="Arial"/>
                <w:color w:val="000000"/>
                <w:szCs w:val="22"/>
                <w:lang w:eastAsia="en-AU"/>
              </w:rPr>
            </w:pPr>
            <w:r w:rsidRPr="00703A0B">
              <w:t>6</w:t>
            </w:r>
          </w:p>
        </w:tc>
        <w:tc>
          <w:tcPr>
            <w:tcW w:w="886" w:type="pct"/>
            <w:tcBorders>
              <w:top w:val="single" w:sz="4" w:space="0" w:color="auto"/>
              <w:left w:val="nil"/>
              <w:bottom w:val="single" w:sz="4" w:space="0" w:color="auto"/>
              <w:right w:val="single" w:sz="4" w:space="0" w:color="auto"/>
            </w:tcBorders>
            <w:noWrap/>
            <w:hideMark/>
          </w:tcPr>
          <w:p w14:paraId="3410F490" w14:textId="2F751110" w:rsidR="006F0298" w:rsidRPr="00703A0B" w:rsidRDefault="00C32110" w:rsidP="002E390E">
            <w:pPr>
              <w:rPr>
                <w:rFonts w:eastAsia="Times New Roman" w:cs="Arial"/>
                <w:color w:val="000000"/>
                <w:szCs w:val="22"/>
                <w:lang w:eastAsia="en-AU"/>
              </w:rPr>
            </w:pPr>
            <w:r w:rsidRPr="00703A0B">
              <w:t>$542,485</w:t>
            </w:r>
          </w:p>
        </w:tc>
        <w:tc>
          <w:tcPr>
            <w:tcW w:w="886" w:type="pct"/>
            <w:tcBorders>
              <w:top w:val="single" w:sz="4" w:space="0" w:color="auto"/>
              <w:left w:val="single" w:sz="4" w:space="0" w:color="auto"/>
              <w:bottom w:val="single" w:sz="4" w:space="0" w:color="auto"/>
              <w:right w:val="single" w:sz="4" w:space="0" w:color="auto"/>
            </w:tcBorders>
            <w:hideMark/>
          </w:tcPr>
          <w:p w14:paraId="098306B1" w14:textId="391C69BB" w:rsidR="006F0298" w:rsidRPr="00703A0B" w:rsidRDefault="00C32110" w:rsidP="002E390E">
            <w:pPr>
              <w:rPr>
                <w:rFonts w:eastAsia="Times New Roman" w:cs="Arial"/>
                <w:color w:val="000000"/>
                <w:szCs w:val="22"/>
                <w:lang w:eastAsia="en-AU"/>
              </w:rPr>
            </w:pPr>
            <w:r w:rsidRPr="00703A0B">
              <w:t>56</w:t>
            </w:r>
          </w:p>
        </w:tc>
        <w:tc>
          <w:tcPr>
            <w:tcW w:w="886" w:type="pct"/>
            <w:tcBorders>
              <w:top w:val="single" w:sz="4" w:space="0" w:color="auto"/>
              <w:left w:val="nil"/>
              <w:bottom w:val="single" w:sz="4" w:space="0" w:color="auto"/>
              <w:right w:val="single" w:sz="4" w:space="0" w:color="auto"/>
            </w:tcBorders>
            <w:noWrap/>
            <w:hideMark/>
          </w:tcPr>
          <w:p w14:paraId="02A467A1" w14:textId="1210F963" w:rsidR="006F0298" w:rsidRPr="00703A0B" w:rsidRDefault="00C32110" w:rsidP="002E390E">
            <w:pPr>
              <w:rPr>
                <w:rFonts w:eastAsia="Times New Roman" w:cs="Arial"/>
                <w:color w:val="000000"/>
                <w:szCs w:val="22"/>
                <w:lang w:eastAsia="en-AU"/>
              </w:rPr>
            </w:pPr>
            <w:r w:rsidRPr="00703A0B">
              <w:t>$4,568,277</w:t>
            </w:r>
          </w:p>
        </w:tc>
      </w:tr>
      <w:tr w:rsidR="006F0298" w:rsidRPr="00703A0B" w14:paraId="6CB6062A" w14:textId="77777777" w:rsidTr="002E390E">
        <w:tc>
          <w:tcPr>
            <w:tcW w:w="1456" w:type="pct"/>
            <w:tcBorders>
              <w:top w:val="nil"/>
              <w:left w:val="single" w:sz="4" w:space="0" w:color="auto"/>
              <w:bottom w:val="single" w:sz="4" w:space="0" w:color="auto"/>
              <w:right w:val="single" w:sz="4" w:space="0" w:color="auto"/>
            </w:tcBorders>
            <w:noWrap/>
            <w:hideMark/>
          </w:tcPr>
          <w:p w14:paraId="3D741F57" w14:textId="3C923015" w:rsidR="006F0298" w:rsidRPr="00703A0B" w:rsidRDefault="006F0298" w:rsidP="00CF0684">
            <w:pPr>
              <w:rPr>
                <w:rFonts w:eastAsia="Times New Roman" w:cs="Arial"/>
                <w:color w:val="000000"/>
                <w:szCs w:val="22"/>
                <w:lang w:eastAsia="en-AU"/>
              </w:rPr>
            </w:pPr>
            <w:r w:rsidRPr="00703A0B">
              <w:rPr>
                <w:rFonts w:eastAsia="Times New Roman" w:cs="Arial"/>
                <w:color w:val="000000"/>
                <w:szCs w:val="22"/>
                <w:lang w:eastAsia="en-AU"/>
              </w:rPr>
              <w:t>$113,457.60</w:t>
            </w:r>
            <w:r w:rsidR="00353A7D" w:rsidRPr="00703A0B">
              <w:rPr>
                <w:rFonts w:eastAsia="Times New Roman" w:cs="Arial"/>
                <w:color w:val="000000"/>
                <w:szCs w:val="22"/>
                <w:lang w:eastAsia="en-AU"/>
              </w:rPr>
              <w:t>–</w:t>
            </w:r>
            <w:r w:rsidRPr="00703A0B">
              <w:rPr>
                <w:rFonts w:eastAsia="Times New Roman" w:cs="Arial"/>
                <w:color w:val="000000"/>
                <w:szCs w:val="22"/>
                <w:lang w:eastAsia="en-AU"/>
              </w:rPr>
              <w:t>$283,644.05</w:t>
            </w:r>
          </w:p>
        </w:tc>
        <w:tc>
          <w:tcPr>
            <w:tcW w:w="886" w:type="pct"/>
            <w:tcBorders>
              <w:top w:val="single" w:sz="4" w:space="0" w:color="auto"/>
              <w:left w:val="nil"/>
              <w:bottom w:val="single" w:sz="4" w:space="0" w:color="auto"/>
              <w:right w:val="single" w:sz="4" w:space="0" w:color="auto"/>
            </w:tcBorders>
            <w:noWrap/>
            <w:hideMark/>
          </w:tcPr>
          <w:p w14:paraId="2AE33116" w14:textId="303C0543" w:rsidR="006F0298" w:rsidRPr="00703A0B" w:rsidRDefault="00C32110" w:rsidP="002E390E">
            <w:pPr>
              <w:rPr>
                <w:rFonts w:eastAsia="Times New Roman" w:cs="Arial"/>
                <w:color w:val="000000"/>
                <w:szCs w:val="22"/>
                <w:lang w:eastAsia="en-AU"/>
              </w:rPr>
            </w:pPr>
            <w:r w:rsidRPr="00703A0B">
              <w:t>10</w:t>
            </w:r>
          </w:p>
        </w:tc>
        <w:tc>
          <w:tcPr>
            <w:tcW w:w="886" w:type="pct"/>
            <w:tcBorders>
              <w:top w:val="single" w:sz="4" w:space="0" w:color="auto"/>
              <w:left w:val="nil"/>
              <w:bottom w:val="single" w:sz="4" w:space="0" w:color="auto"/>
              <w:right w:val="single" w:sz="4" w:space="0" w:color="auto"/>
            </w:tcBorders>
            <w:noWrap/>
            <w:hideMark/>
          </w:tcPr>
          <w:p w14:paraId="68DEE2B8" w14:textId="09A29AF5" w:rsidR="006F0298" w:rsidRPr="00703A0B" w:rsidRDefault="00C32110" w:rsidP="002E390E">
            <w:pPr>
              <w:rPr>
                <w:rFonts w:eastAsia="Times New Roman" w:cs="Arial"/>
                <w:color w:val="000000"/>
                <w:szCs w:val="22"/>
                <w:lang w:eastAsia="en-AU"/>
              </w:rPr>
            </w:pPr>
            <w:r w:rsidRPr="00703A0B">
              <w:t>$1,989,041</w:t>
            </w:r>
          </w:p>
        </w:tc>
        <w:tc>
          <w:tcPr>
            <w:tcW w:w="886" w:type="pct"/>
            <w:tcBorders>
              <w:top w:val="single" w:sz="4" w:space="0" w:color="auto"/>
              <w:left w:val="single" w:sz="4" w:space="0" w:color="auto"/>
              <w:bottom w:val="single" w:sz="4" w:space="0" w:color="auto"/>
              <w:right w:val="single" w:sz="4" w:space="0" w:color="auto"/>
            </w:tcBorders>
            <w:hideMark/>
          </w:tcPr>
          <w:p w14:paraId="49ACA2DB" w14:textId="3E1F64A6" w:rsidR="006F0298" w:rsidRPr="00703A0B" w:rsidRDefault="00C32110" w:rsidP="002E390E">
            <w:pPr>
              <w:rPr>
                <w:rFonts w:eastAsia="Times New Roman" w:cs="Arial"/>
                <w:color w:val="000000"/>
                <w:szCs w:val="22"/>
                <w:lang w:eastAsia="en-AU"/>
              </w:rPr>
            </w:pPr>
            <w:r w:rsidRPr="00703A0B">
              <w:t>61</w:t>
            </w:r>
          </w:p>
        </w:tc>
        <w:tc>
          <w:tcPr>
            <w:tcW w:w="886" w:type="pct"/>
            <w:tcBorders>
              <w:top w:val="single" w:sz="4" w:space="0" w:color="auto"/>
              <w:left w:val="nil"/>
              <w:bottom w:val="single" w:sz="4" w:space="0" w:color="auto"/>
              <w:right w:val="single" w:sz="4" w:space="0" w:color="auto"/>
            </w:tcBorders>
            <w:noWrap/>
            <w:hideMark/>
          </w:tcPr>
          <w:p w14:paraId="7EF0889E" w14:textId="5564FE42" w:rsidR="006F0298" w:rsidRPr="00703A0B" w:rsidRDefault="00C32110" w:rsidP="002E390E">
            <w:pPr>
              <w:rPr>
                <w:rFonts w:eastAsia="Times New Roman" w:cs="Arial"/>
                <w:color w:val="000000"/>
                <w:szCs w:val="22"/>
                <w:lang w:eastAsia="en-AU"/>
              </w:rPr>
            </w:pPr>
            <w:r w:rsidRPr="00703A0B">
              <w:t>$10,540,985</w:t>
            </w:r>
          </w:p>
        </w:tc>
      </w:tr>
      <w:tr w:rsidR="006F0298" w:rsidRPr="00703A0B" w14:paraId="73F0DB10" w14:textId="77777777" w:rsidTr="002E390E">
        <w:tc>
          <w:tcPr>
            <w:tcW w:w="1456" w:type="pct"/>
            <w:tcBorders>
              <w:top w:val="nil"/>
              <w:left w:val="single" w:sz="4" w:space="0" w:color="auto"/>
              <w:bottom w:val="single" w:sz="4" w:space="0" w:color="auto"/>
              <w:right w:val="single" w:sz="4" w:space="0" w:color="auto"/>
            </w:tcBorders>
            <w:noWrap/>
            <w:hideMark/>
          </w:tcPr>
          <w:p w14:paraId="1E176156" w14:textId="4F4B5E9C" w:rsidR="006F0298" w:rsidRPr="00703A0B" w:rsidRDefault="006F0298" w:rsidP="00CF0684">
            <w:pPr>
              <w:rPr>
                <w:rFonts w:eastAsia="Times New Roman" w:cs="Arial"/>
                <w:color w:val="000000"/>
                <w:szCs w:val="22"/>
                <w:lang w:eastAsia="en-AU"/>
              </w:rPr>
            </w:pPr>
            <w:r w:rsidRPr="00703A0B">
              <w:rPr>
                <w:rFonts w:eastAsia="Times New Roman" w:cs="Arial"/>
                <w:color w:val="000000"/>
                <w:szCs w:val="22"/>
                <w:lang w:eastAsia="en-AU"/>
              </w:rPr>
              <w:t>$283,644.05</w:t>
            </w:r>
            <w:r w:rsidR="00353A7D" w:rsidRPr="00703A0B">
              <w:rPr>
                <w:rFonts w:eastAsia="Times New Roman" w:cs="Arial"/>
                <w:color w:val="000000"/>
                <w:szCs w:val="22"/>
                <w:lang w:eastAsia="en-AU"/>
              </w:rPr>
              <w:t>–</w:t>
            </w:r>
            <w:r w:rsidRPr="00703A0B">
              <w:rPr>
                <w:rFonts w:eastAsia="Times New Roman" w:cs="Arial"/>
                <w:color w:val="000000"/>
                <w:szCs w:val="22"/>
                <w:lang w:eastAsia="en-AU"/>
              </w:rPr>
              <w:t>$567,288.05</w:t>
            </w:r>
          </w:p>
        </w:tc>
        <w:tc>
          <w:tcPr>
            <w:tcW w:w="886" w:type="pct"/>
            <w:tcBorders>
              <w:top w:val="single" w:sz="4" w:space="0" w:color="auto"/>
              <w:left w:val="nil"/>
              <w:bottom w:val="single" w:sz="4" w:space="0" w:color="auto"/>
              <w:right w:val="single" w:sz="4" w:space="0" w:color="auto"/>
            </w:tcBorders>
            <w:noWrap/>
            <w:hideMark/>
          </w:tcPr>
          <w:p w14:paraId="01FDDF43" w14:textId="1E7B0E88" w:rsidR="006F0298" w:rsidRPr="00703A0B" w:rsidRDefault="00C32110" w:rsidP="002E390E">
            <w:pPr>
              <w:rPr>
                <w:rFonts w:eastAsia="Times New Roman" w:cs="Arial"/>
                <w:color w:val="000000"/>
                <w:szCs w:val="22"/>
                <w:lang w:eastAsia="en-AU"/>
              </w:rPr>
            </w:pPr>
            <w:r w:rsidRPr="00703A0B">
              <w:t>2</w:t>
            </w:r>
          </w:p>
        </w:tc>
        <w:tc>
          <w:tcPr>
            <w:tcW w:w="886" w:type="pct"/>
            <w:tcBorders>
              <w:top w:val="single" w:sz="4" w:space="0" w:color="auto"/>
              <w:left w:val="nil"/>
              <w:bottom w:val="single" w:sz="4" w:space="0" w:color="auto"/>
              <w:right w:val="single" w:sz="4" w:space="0" w:color="auto"/>
            </w:tcBorders>
            <w:noWrap/>
            <w:hideMark/>
          </w:tcPr>
          <w:p w14:paraId="036AB79A" w14:textId="71E9481A" w:rsidR="006F0298" w:rsidRPr="00703A0B" w:rsidRDefault="00C32110" w:rsidP="002E390E">
            <w:pPr>
              <w:rPr>
                <w:rFonts w:eastAsia="Times New Roman" w:cs="Arial"/>
                <w:color w:val="000000"/>
                <w:szCs w:val="22"/>
                <w:lang w:eastAsia="en-AU"/>
              </w:rPr>
            </w:pPr>
            <w:r w:rsidRPr="00703A0B">
              <w:t>$830,443</w:t>
            </w:r>
          </w:p>
        </w:tc>
        <w:tc>
          <w:tcPr>
            <w:tcW w:w="886" w:type="pct"/>
            <w:tcBorders>
              <w:top w:val="single" w:sz="4" w:space="0" w:color="auto"/>
              <w:left w:val="single" w:sz="4" w:space="0" w:color="auto"/>
              <w:bottom w:val="single" w:sz="4" w:space="0" w:color="auto"/>
              <w:right w:val="single" w:sz="4" w:space="0" w:color="auto"/>
            </w:tcBorders>
            <w:hideMark/>
          </w:tcPr>
          <w:p w14:paraId="30125382" w14:textId="1D7FFF57" w:rsidR="006F0298" w:rsidRPr="00703A0B" w:rsidRDefault="00C32110" w:rsidP="002E390E">
            <w:pPr>
              <w:rPr>
                <w:rFonts w:eastAsia="Times New Roman" w:cs="Arial"/>
                <w:color w:val="000000"/>
                <w:szCs w:val="22"/>
                <w:lang w:eastAsia="en-AU"/>
              </w:rPr>
            </w:pPr>
            <w:r w:rsidRPr="00703A0B">
              <w:t>42</w:t>
            </w:r>
          </w:p>
        </w:tc>
        <w:tc>
          <w:tcPr>
            <w:tcW w:w="886" w:type="pct"/>
            <w:tcBorders>
              <w:top w:val="single" w:sz="4" w:space="0" w:color="auto"/>
              <w:left w:val="nil"/>
              <w:bottom w:val="single" w:sz="4" w:space="0" w:color="auto"/>
              <w:right w:val="single" w:sz="4" w:space="0" w:color="auto"/>
            </w:tcBorders>
            <w:noWrap/>
            <w:hideMark/>
          </w:tcPr>
          <w:p w14:paraId="4A1A746A" w14:textId="527363AD" w:rsidR="006F0298" w:rsidRPr="00703A0B" w:rsidRDefault="00C32110" w:rsidP="002E390E">
            <w:pPr>
              <w:rPr>
                <w:rFonts w:eastAsia="Times New Roman" w:cs="Arial"/>
                <w:color w:val="000000"/>
                <w:szCs w:val="22"/>
                <w:lang w:eastAsia="en-AU"/>
              </w:rPr>
            </w:pPr>
            <w:r w:rsidRPr="00703A0B">
              <w:t>$16,635,207</w:t>
            </w:r>
          </w:p>
        </w:tc>
      </w:tr>
      <w:tr w:rsidR="006F0298" w:rsidRPr="00703A0B" w14:paraId="6CB1C033" w14:textId="77777777" w:rsidTr="002E390E">
        <w:tc>
          <w:tcPr>
            <w:tcW w:w="1456" w:type="pct"/>
            <w:tcBorders>
              <w:top w:val="nil"/>
              <w:left w:val="single" w:sz="4" w:space="0" w:color="auto"/>
              <w:bottom w:val="single" w:sz="4" w:space="0" w:color="auto"/>
              <w:right w:val="single" w:sz="4" w:space="0" w:color="auto"/>
            </w:tcBorders>
            <w:noWrap/>
            <w:hideMark/>
          </w:tcPr>
          <w:p w14:paraId="7A10E128" w14:textId="19795D5E" w:rsidR="006F0298" w:rsidRPr="00703A0B" w:rsidRDefault="006F0298" w:rsidP="00CF0684">
            <w:pPr>
              <w:rPr>
                <w:rFonts w:eastAsia="Times New Roman" w:cs="Arial"/>
                <w:color w:val="000000"/>
                <w:szCs w:val="22"/>
                <w:lang w:eastAsia="en-AU"/>
              </w:rPr>
            </w:pPr>
            <w:r w:rsidRPr="00703A0B">
              <w:rPr>
                <w:rFonts w:eastAsia="Times New Roman" w:cs="Arial"/>
                <w:color w:val="000000"/>
                <w:szCs w:val="22"/>
                <w:lang w:eastAsia="en-AU"/>
              </w:rPr>
              <w:t>$567,288.05</w:t>
            </w:r>
            <w:r w:rsidR="00353A7D" w:rsidRPr="00703A0B">
              <w:rPr>
                <w:rFonts w:eastAsia="Times New Roman" w:cs="Arial"/>
                <w:color w:val="000000"/>
                <w:szCs w:val="22"/>
                <w:lang w:eastAsia="en-AU"/>
              </w:rPr>
              <w:t>–</w:t>
            </w:r>
            <w:r w:rsidRPr="00703A0B">
              <w:rPr>
                <w:rFonts w:eastAsia="Times New Roman" w:cs="Arial"/>
                <w:color w:val="000000"/>
                <w:szCs w:val="22"/>
                <w:lang w:eastAsia="en-AU"/>
              </w:rPr>
              <w:t>$850,932.15</w:t>
            </w:r>
          </w:p>
        </w:tc>
        <w:tc>
          <w:tcPr>
            <w:tcW w:w="886" w:type="pct"/>
            <w:tcBorders>
              <w:top w:val="single" w:sz="4" w:space="0" w:color="auto"/>
              <w:left w:val="nil"/>
              <w:bottom w:val="single" w:sz="4" w:space="0" w:color="auto"/>
              <w:right w:val="single" w:sz="4" w:space="0" w:color="auto"/>
            </w:tcBorders>
            <w:noWrap/>
            <w:hideMark/>
          </w:tcPr>
          <w:p w14:paraId="749AAE8B" w14:textId="2FC3D118" w:rsidR="006F0298" w:rsidRPr="00703A0B" w:rsidRDefault="00C32110" w:rsidP="002E390E">
            <w:pPr>
              <w:rPr>
                <w:rFonts w:eastAsia="Times New Roman" w:cs="Arial"/>
                <w:color w:val="000000"/>
                <w:szCs w:val="22"/>
                <w:lang w:eastAsia="en-AU"/>
              </w:rPr>
            </w:pPr>
            <w:r w:rsidRPr="00703A0B">
              <w:t>0</w:t>
            </w:r>
          </w:p>
        </w:tc>
        <w:tc>
          <w:tcPr>
            <w:tcW w:w="886" w:type="pct"/>
            <w:tcBorders>
              <w:top w:val="single" w:sz="4" w:space="0" w:color="auto"/>
              <w:left w:val="nil"/>
              <w:bottom w:val="single" w:sz="4" w:space="0" w:color="auto"/>
              <w:right w:val="single" w:sz="4" w:space="0" w:color="auto"/>
            </w:tcBorders>
            <w:noWrap/>
            <w:hideMark/>
          </w:tcPr>
          <w:p w14:paraId="6D2703CD" w14:textId="0639591E" w:rsidR="006F0298" w:rsidRPr="00703A0B" w:rsidRDefault="00C32110" w:rsidP="002E390E">
            <w:pPr>
              <w:rPr>
                <w:rFonts w:eastAsia="Times New Roman" w:cs="Arial"/>
                <w:color w:val="000000"/>
                <w:szCs w:val="22"/>
                <w:lang w:eastAsia="en-AU"/>
              </w:rPr>
            </w:pPr>
            <w:r w:rsidRPr="00703A0B">
              <w:t>$0</w:t>
            </w:r>
          </w:p>
        </w:tc>
        <w:tc>
          <w:tcPr>
            <w:tcW w:w="886" w:type="pct"/>
            <w:tcBorders>
              <w:top w:val="single" w:sz="4" w:space="0" w:color="auto"/>
              <w:left w:val="single" w:sz="4" w:space="0" w:color="auto"/>
              <w:bottom w:val="single" w:sz="4" w:space="0" w:color="auto"/>
              <w:right w:val="single" w:sz="4" w:space="0" w:color="auto"/>
            </w:tcBorders>
            <w:hideMark/>
          </w:tcPr>
          <w:p w14:paraId="0CC9D2AD" w14:textId="611C8DBE" w:rsidR="006F0298" w:rsidRPr="00703A0B" w:rsidRDefault="00C32110" w:rsidP="002E390E">
            <w:pPr>
              <w:rPr>
                <w:rFonts w:eastAsia="Times New Roman" w:cs="Arial"/>
                <w:color w:val="000000"/>
                <w:szCs w:val="22"/>
                <w:lang w:eastAsia="en-AU"/>
              </w:rPr>
            </w:pPr>
            <w:r w:rsidRPr="00703A0B">
              <w:t>18</w:t>
            </w:r>
          </w:p>
        </w:tc>
        <w:tc>
          <w:tcPr>
            <w:tcW w:w="886" w:type="pct"/>
            <w:tcBorders>
              <w:top w:val="single" w:sz="4" w:space="0" w:color="auto"/>
              <w:left w:val="nil"/>
              <w:bottom w:val="single" w:sz="4" w:space="0" w:color="auto"/>
              <w:right w:val="single" w:sz="4" w:space="0" w:color="auto"/>
            </w:tcBorders>
            <w:noWrap/>
            <w:hideMark/>
          </w:tcPr>
          <w:p w14:paraId="35A3EC6C" w14:textId="1F76948E" w:rsidR="006F0298" w:rsidRPr="00703A0B" w:rsidRDefault="00C32110" w:rsidP="002E390E">
            <w:pPr>
              <w:rPr>
                <w:rFonts w:eastAsia="Times New Roman" w:cs="Arial"/>
                <w:color w:val="000000"/>
                <w:szCs w:val="22"/>
                <w:lang w:eastAsia="en-AU"/>
              </w:rPr>
            </w:pPr>
            <w:r w:rsidRPr="00703A0B">
              <w:t>$12,273,676</w:t>
            </w:r>
          </w:p>
        </w:tc>
      </w:tr>
      <w:tr w:rsidR="006F0298" w:rsidRPr="00703A0B" w14:paraId="09D614A3" w14:textId="77777777" w:rsidTr="002E390E">
        <w:tc>
          <w:tcPr>
            <w:tcW w:w="1456" w:type="pct"/>
            <w:tcBorders>
              <w:top w:val="nil"/>
              <w:left w:val="single" w:sz="4" w:space="0" w:color="auto"/>
              <w:bottom w:val="single" w:sz="4" w:space="0" w:color="auto"/>
              <w:right w:val="single" w:sz="4" w:space="0" w:color="auto"/>
            </w:tcBorders>
            <w:noWrap/>
            <w:hideMark/>
          </w:tcPr>
          <w:p w14:paraId="7A2763FA" w14:textId="5FFF98B1" w:rsidR="006F0298" w:rsidRPr="00703A0B" w:rsidRDefault="006F0298" w:rsidP="00CF0684">
            <w:pPr>
              <w:rPr>
                <w:rFonts w:eastAsia="Times New Roman" w:cs="Arial"/>
                <w:color w:val="000000"/>
                <w:szCs w:val="22"/>
                <w:lang w:eastAsia="en-AU"/>
              </w:rPr>
            </w:pPr>
            <w:r w:rsidRPr="00703A0B">
              <w:rPr>
                <w:rFonts w:eastAsia="Times New Roman" w:cs="Arial"/>
                <w:color w:val="000000"/>
                <w:szCs w:val="22"/>
                <w:lang w:eastAsia="en-AU"/>
              </w:rPr>
              <w:t>$850,932.15</w:t>
            </w:r>
            <w:r w:rsidR="00353A7D" w:rsidRPr="00703A0B">
              <w:rPr>
                <w:rFonts w:eastAsia="Times New Roman" w:cs="Arial"/>
                <w:color w:val="000000"/>
                <w:szCs w:val="22"/>
                <w:lang w:eastAsia="en-AU"/>
              </w:rPr>
              <w:t>–</w:t>
            </w:r>
            <w:r w:rsidRPr="00703A0B">
              <w:rPr>
                <w:rFonts w:eastAsia="Times New Roman" w:cs="Arial"/>
                <w:color w:val="000000"/>
                <w:szCs w:val="22"/>
                <w:lang w:eastAsia="en-AU"/>
              </w:rPr>
              <w:t>$1,236,206.95</w:t>
            </w:r>
          </w:p>
        </w:tc>
        <w:tc>
          <w:tcPr>
            <w:tcW w:w="886" w:type="pct"/>
            <w:tcBorders>
              <w:top w:val="single" w:sz="4" w:space="0" w:color="auto"/>
              <w:left w:val="nil"/>
              <w:bottom w:val="single" w:sz="4" w:space="0" w:color="auto"/>
              <w:right w:val="single" w:sz="4" w:space="0" w:color="auto"/>
            </w:tcBorders>
            <w:noWrap/>
            <w:hideMark/>
          </w:tcPr>
          <w:p w14:paraId="54336CF9" w14:textId="232DDFF5" w:rsidR="006F0298" w:rsidRPr="00703A0B" w:rsidRDefault="00C32110" w:rsidP="002E390E">
            <w:pPr>
              <w:rPr>
                <w:rFonts w:eastAsia="Times New Roman" w:cs="Arial"/>
                <w:color w:val="000000"/>
                <w:szCs w:val="22"/>
                <w:lang w:eastAsia="en-AU"/>
              </w:rPr>
            </w:pPr>
            <w:r w:rsidRPr="00703A0B">
              <w:t>2</w:t>
            </w:r>
          </w:p>
        </w:tc>
        <w:tc>
          <w:tcPr>
            <w:tcW w:w="886" w:type="pct"/>
            <w:tcBorders>
              <w:top w:val="single" w:sz="4" w:space="0" w:color="auto"/>
              <w:left w:val="nil"/>
              <w:bottom w:val="single" w:sz="4" w:space="0" w:color="auto"/>
              <w:right w:val="single" w:sz="4" w:space="0" w:color="auto"/>
            </w:tcBorders>
            <w:noWrap/>
            <w:hideMark/>
          </w:tcPr>
          <w:p w14:paraId="53E86FBC" w14:textId="31F581B6" w:rsidR="006F0298" w:rsidRPr="00703A0B" w:rsidRDefault="00C32110" w:rsidP="002E390E">
            <w:pPr>
              <w:rPr>
                <w:rFonts w:eastAsia="Times New Roman" w:cs="Arial"/>
                <w:color w:val="000000"/>
                <w:szCs w:val="22"/>
                <w:lang w:eastAsia="en-AU"/>
              </w:rPr>
            </w:pPr>
            <w:r w:rsidRPr="00703A0B">
              <w:t>$2,040,750</w:t>
            </w:r>
          </w:p>
        </w:tc>
        <w:tc>
          <w:tcPr>
            <w:tcW w:w="886" w:type="pct"/>
            <w:tcBorders>
              <w:top w:val="single" w:sz="4" w:space="0" w:color="auto"/>
              <w:left w:val="single" w:sz="4" w:space="0" w:color="auto"/>
              <w:bottom w:val="single" w:sz="4" w:space="0" w:color="auto"/>
              <w:right w:val="single" w:sz="4" w:space="0" w:color="auto"/>
            </w:tcBorders>
            <w:hideMark/>
          </w:tcPr>
          <w:p w14:paraId="171372FD" w14:textId="327DF670" w:rsidR="006F0298" w:rsidRPr="00703A0B" w:rsidRDefault="00C32110" w:rsidP="002E390E">
            <w:pPr>
              <w:rPr>
                <w:rFonts w:eastAsia="Times New Roman" w:cs="Arial"/>
                <w:color w:val="000000"/>
                <w:szCs w:val="22"/>
                <w:lang w:eastAsia="en-AU"/>
              </w:rPr>
            </w:pPr>
            <w:r w:rsidRPr="00703A0B">
              <w:t>8</w:t>
            </w:r>
          </w:p>
        </w:tc>
        <w:tc>
          <w:tcPr>
            <w:tcW w:w="886" w:type="pct"/>
            <w:tcBorders>
              <w:top w:val="single" w:sz="4" w:space="0" w:color="auto"/>
              <w:left w:val="nil"/>
              <w:bottom w:val="single" w:sz="4" w:space="0" w:color="auto"/>
              <w:right w:val="single" w:sz="4" w:space="0" w:color="auto"/>
            </w:tcBorders>
            <w:noWrap/>
            <w:hideMark/>
          </w:tcPr>
          <w:p w14:paraId="602F18C5" w14:textId="2563FFEE" w:rsidR="006F0298" w:rsidRPr="00703A0B" w:rsidRDefault="00C32110" w:rsidP="002E390E">
            <w:pPr>
              <w:rPr>
                <w:rFonts w:eastAsia="Times New Roman" w:cs="Arial"/>
                <w:color w:val="000000"/>
                <w:szCs w:val="22"/>
                <w:lang w:eastAsia="en-AU"/>
              </w:rPr>
            </w:pPr>
            <w:r w:rsidRPr="00703A0B">
              <w:t>$8,221,695</w:t>
            </w:r>
          </w:p>
        </w:tc>
      </w:tr>
      <w:tr w:rsidR="006F0298" w:rsidRPr="00703A0B" w14:paraId="53CDCB6D" w14:textId="77777777" w:rsidTr="002E390E">
        <w:tc>
          <w:tcPr>
            <w:tcW w:w="1456" w:type="pct"/>
            <w:tcBorders>
              <w:top w:val="nil"/>
              <w:left w:val="single" w:sz="4" w:space="0" w:color="auto"/>
              <w:bottom w:val="single" w:sz="4" w:space="0" w:color="auto"/>
              <w:right w:val="single" w:sz="4" w:space="0" w:color="auto"/>
            </w:tcBorders>
            <w:noWrap/>
            <w:hideMark/>
          </w:tcPr>
          <w:p w14:paraId="74E2673C" w14:textId="77777777" w:rsidR="006F0298" w:rsidRPr="00703A0B" w:rsidRDefault="006F0298" w:rsidP="00CF0684">
            <w:pPr>
              <w:rPr>
                <w:rFonts w:eastAsia="Times New Roman" w:cs="Arial"/>
                <w:color w:val="000000"/>
                <w:szCs w:val="22"/>
                <w:lang w:eastAsia="en-AU"/>
              </w:rPr>
            </w:pPr>
            <w:r w:rsidRPr="00703A0B">
              <w:rPr>
                <w:rFonts w:eastAsia="Times New Roman" w:cs="Arial"/>
                <w:color w:val="000000"/>
                <w:szCs w:val="22"/>
                <w:lang w:eastAsia="en-AU"/>
              </w:rPr>
              <w:t>&gt; $1,236,206.95</w:t>
            </w:r>
          </w:p>
        </w:tc>
        <w:tc>
          <w:tcPr>
            <w:tcW w:w="886" w:type="pct"/>
            <w:tcBorders>
              <w:top w:val="single" w:sz="4" w:space="0" w:color="auto"/>
              <w:left w:val="nil"/>
              <w:bottom w:val="single" w:sz="4" w:space="0" w:color="auto"/>
              <w:right w:val="single" w:sz="4" w:space="0" w:color="auto"/>
            </w:tcBorders>
            <w:noWrap/>
            <w:hideMark/>
          </w:tcPr>
          <w:p w14:paraId="2C9F6794" w14:textId="085E0DC1" w:rsidR="006F0298" w:rsidRPr="00703A0B" w:rsidRDefault="00C32110" w:rsidP="002E390E">
            <w:pPr>
              <w:rPr>
                <w:rFonts w:eastAsia="Times New Roman" w:cs="Arial"/>
                <w:color w:val="000000"/>
                <w:szCs w:val="22"/>
                <w:lang w:eastAsia="en-AU"/>
              </w:rPr>
            </w:pPr>
            <w:r w:rsidRPr="00703A0B">
              <w:t>1</w:t>
            </w:r>
          </w:p>
        </w:tc>
        <w:tc>
          <w:tcPr>
            <w:tcW w:w="886" w:type="pct"/>
            <w:tcBorders>
              <w:top w:val="single" w:sz="4" w:space="0" w:color="auto"/>
              <w:left w:val="nil"/>
              <w:bottom w:val="single" w:sz="4" w:space="0" w:color="auto"/>
              <w:right w:val="single" w:sz="4" w:space="0" w:color="auto"/>
            </w:tcBorders>
            <w:noWrap/>
            <w:hideMark/>
          </w:tcPr>
          <w:p w14:paraId="7A555920" w14:textId="1B4252BF" w:rsidR="006F0298" w:rsidRPr="00703A0B" w:rsidRDefault="00C32110" w:rsidP="002E390E">
            <w:pPr>
              <w:rPr>
                <w:rFonts w:eastAsia="Times New Roman" w:cs="Arial"/>
                <w:color w:val="000000"/>
                <w:szCs w:val="22"/>
                <w:lang w:eastAsia="en-AU"/>
              </w:rPr>
            </w:pPr>
            <w:r w:rsidRPr="00703A0B">
              <w:t>$7,703,755</w:t>
            </w:r>
          </w:p>
        </w:tc>
        <w:tc>
          <w:tcPr>
            <w:tcW w:w="886" w:type="pct"/>
            <w:tcBorders>
              <w:top w:val="single" w:sz="4" w:space="0" w:color="auto"/>
              <w:left w:val="single" w:sz="4" w:space="0" w:color="auto"/>
              <w:bottom w:val="single" w:sz="4" w:space="0" w:color="auto"/>
              <w:right w:val="single" w:sz="4" w:space="0" w:color="auto"/>
            </w:tcBorders>
            <w:hideMark/>
          </w:tcPr>
          <w:p w14:paraId="374921F4" w14:textId="5A6D349D" w:rsidR="006F0298" w:rsidRPr="00703A0B" w:rsidRDefault="00C32110" w:rsidP="002E390E">
            <w:pPr>
              <w:rPr>
                <w:rFonts w:eastAsia="Times New Roman" w:cs="Arial"/>
                <w:color w:val="000000"/>
                <w:szCs w:val="22"/>
                <w:lang w:eastAsia="en-AU"/>
              </w:rPr>
            </w:pPr>
            <w:r w:rsidRPr="00703A0B">
              <w:t>38</w:t>
            </w:r>
          </w:p>
        </w:tc>
        <w:tc>
          <w:tcPr>
            <w:tcW w:w="886" w:type="pct"/>
            <w:tcBorders>
              <w:top w:val="single" w:sz="4" w:space="0" w:color="auto"/>
              <w:left w:val="nil"/>
              <w:bottom w:val="single" w:sz="4" w:space="0" w:color="auto"/>
              <w:right w:val="single" w:sz="4" w:space="0" w:color="auto"/>
            </w:tcBorders>
            <w:noWrap/>
            <w:hideMark/>
          </w:tcPr>
          <w:p w14:paraId="0BA854E7" w14:textId="2A8852F6" w:rsidR="006F0298" w:rsidRPr="00703A0B" w:rsidRDefault="00C32110" w:rsidP="002E390E">
            <w:pPr>
              <w:rPr>
                <w:rFonts w:eastAsia="Times New Roman" w:cs="Arial"/>
                <w:color w:val="000000"/>
                <w:szCs w:val="22"/>
                <w:lang w:eastAsia="en-AU"/>
              </w:rPr>
            </w:pPr>
            <w:r w:rsidRPr="00703A0B">
              <w:t>$1,882,312,628</w:t>
            </w:r>
          </w:p>
        </w:tc>
      </w:tr>
      <w:tr w:rsidR="006F0298" w:rsidRPr="00703A0B" w14:paraId="6E468474" w14:textId="77777777" w:rsidTr="002E390E">
        <w:tc>
          <w:tcPr>
            <w:tcW w:w="1456" w:type="pct"/>
            <w:tcBorders>
              <w:top w:val="nil"/>
              <w:left w:val="single" w:sz="4" w:space="0" w:color="auto"/>
              <w:bottom w:val="single" w:sz="4" w:space="0" w:color="auto"/>
              <w:right w:val="single" w:sz="4" w:space="0" w:color="auto"/>
            </w:tcBorders>
            <w:noWrap/>
            <w:hideMark/>
          </w:tcPr>
          <w:p w14:paraId="19020691" w14:textId="77777777" w:rsidR="006F0298" w:rsidRPr="00703A0B" w:rsidRDefault="006F0298" w:rsidP="00CF0684">
            <w:pPr>
              <w:rPr>
                <w:rFonts w:eastAsia="Times New Roman" w:cs="Arial"/>
                <w:b/>
                <w:bCs/>
                <w:color w:val="000000"/>
                <w:szCs w:val="22"/>
                <w:lang w:eastAsia="en-AU"/>
              </w:rPr>
            </w:pPr>
            <w:r w:rsidRPr="00703A0B">
              <w:rPr>
                <w:rFonts w:eastAsia="Times New Roman" w:cs="Arial"/>
                <w:b/>
                <w:bCs/>
                <w:color w:val="000000"/>
                <w:szCs w:val="22"/>
                <w:lang w:eastAsia="en-AU"/>
              </w:rPr>
              <w:t>Total</w:t>
            </w:r>
          </w:p>
        </w:tc>
        <w:tc>
          <w:tcPr>
            <w:tcW w:w="886" w:type="pct"/>
            <w:tcBorders>
              <w:top w:val="single" w:sz="4" w:space="0" w:color="auto"/>
              <w:left w:val="nil"/>
              <w:bottom w:val="single" w:sz="4" w:space="0" w:color="auto"/>
              <w:right w:val="single" w:sz="4" w:space="0" w:color="auto"/>
            </w:tcBorders>
            <w:noWrap/>
            <w:hideMark/>
          </w:tcPr>
          <w:p w14:paraId="7DC2A6B7" w14:textId="4AE37EBC" w:rsidR="006F0298" w:rsidRPr="00703A0B" w:rsidRDefault="000B57A8" w:rsidP="002E390E">
            <w:pPr>
              <w:rPr>
                <w:rFonts w:eastAsia="Times New Roman" w:cs="Arial"/>
                <w:b/>
                <w:bCs/>
                <w:color w:val="000000"/>
                <w:szCs w:val="22"/>
                <w:lang w:eastAsia="en-AU"/>
              </w:rPr>
            </w:pPr>
            <w:r w:rsidRPr="00703A0B">
              <w:rPr>
                <w:b/>
                <w:bCs/>
              </w:rPr>
              <w:t>82</w:t>
            </w:r>
          </w:p>
        </w:tc>
        <w:tc>
          <w:tcPr>
            <w:tcW w:w="886" w:type="pct"/>
            <w:tcBorders>
              <w:top w:val="single" w:sz="4" w:space="0" w:color="auto"/>
              <w:left w:val="nil"/>
              <w:bottom w:val="single" w:sz="4" w:space="0" w:color="auto"/>
              <w:right w:val="single" w:sz="4" w:space="0" w:color="auto"/>
            </w:tcBorders>
            <w:noWrap/>
            <w:hideMark/>
          </w:tcPr>
          <w:p w14:paraId="2F82A39B" w14:textId="1481C432" w:rsidR="006F0298" w:rsidRPr="00703A0B" w:rsidRDefault="00C32110" w:rsidP="002E390E">
            <w:pPr>
              <w:rPr>
                <w:rFonts w:eastAsia="Times New Roman" w:cs="Arial"/>
                <w:b/>
                <w:bCs/>
                <w:color w:val="000000"/>
                <w:szCs w:val="22"/>
                <w:lang w:eastAsia="en-AU"/>
              </w:rPr>
            </w:pPr>
            <w:r w:rsidRPr="00703A0B">
              <w:rPr>
                <w:b/>
                <w:bCs/>
              </w:rPr>
              <w:t>$14,</w:t>
            </w:r>
            <w:r w:rsidR="000B57A8" w:rsidRPr="00703A0B">
              <w:rPr>
                <w:b/>
                <w:bCs/>
              </w:rPr>
              <w:t>135,507</w:t>
            </w:r>
          </w:p>
        </w:tc>
        <w:tc>
          <w:tcPr>
            <w:tcW w:w="886" w:type="pct"/>
            <w:tcBorders>
              <w:top w:val="single" w:sz="4" w:space="0" w:color="auto"/>
              <w:left w:val="single" w:sz="4" w:space="0" w:color="auto"/>
              <w:bottom w:val="single" w:sz="4" w:space="0" w:color="auto"/>
              <w:right w:val="single" w:sz="4" w:space="0" w:color="auto"/>
            </w:tcBorders>
            <w:hideMark/>
          </w:tcPr>
          <w:p w14:paraId="41CB4527" w14:textId="51507A18" w:rsidR="006F0298" w:rsidRPr="00703A0B" w:rsidRDefault="00C32110" w:rsidP="002E390E">
            <w:pPr>
              <w:rPr>
                <w:rFonts w:eastAsia="Times New Roman" w:cs="Arial"/>
                <w:b/>
                <w:bCs/>
                <w:color w:val="000000"/>
                <w:szCs w:val="22"/>
                <w:lang w:eastAsia="en-AU"/>
              </w:rPr>
            </w:pPr>
            <w:r w:rsidRPr="00703A0B">
              <w:rPr>
                <w:b/>
                <w:bCs/>
              </w:rPr>
              <w:t>477</w:t>
            </w:r>
          </w:p>
        </w:tc>
        <w:tc>
          <w:tcPr>
            <w:tcW w:w="886" w:type="pct"/>
            <w:tcBorders>
              <w:top w:val="single" w:sz="4" w:space="0" w:color="auto"/>
              <w:left w:val="nil"/>
              <w:bottom w:val="single" w:sz="4" w:space="0" w:color="auto"/>
              <w:right w:val="single" w:sz="4" w:space="0" w:color="auto"/>
            </w:tcBorders>
            <w:noWrap/>
            <w:hideMark/>
          </w:tcPr>
          <w:p w14:paraId="2E28CCD3" w14:textId="1768D2F2" w:rsidR="006F0298" w:rsidRPr="00703A0B" w:rsidRDefault="00C32110" w:rsidP="002E390E">
            <w:pPr>
              <w:rPr>
                <w:rFonts w:eastAsia="Times New Roman" w:cs="Arial"/>
                <w:b/>
                <w:bCs/>
                <w:color w:val="000000"/>
                <w:szCs w:val="22"/>
                <w:lang w:eastAsia="en-AU"/>
              </w:rPr>
            </w:pPr>
            <w:r w:rsidRPr="00703A0B">
              <w:rPr>
                <w:b/>
                <w:bCs/>
              </w:rPr>
              <w:t>$1,939,433,565</w:t>
            </w:r>
          </w:p>
        </w:tc>
      </w:tr>
    </w:tbl>
    <w:p w14:paraId="58977016" w14:textId="4CF11DF4" w:rsidR="00C73A5B" w:rsidRPr="00703A0B" w:rsidRDefault="00580C27" w:rsidP="006F0298">
      <w:pPr>
        <w:spacing w:before="120" w:after="120"/>
        <w:rPr>
          <w:rFonts w:eastAsia="Arial" w:cs="Arial"/>
          <w:szCs w:val="22"/>
        </w:rPr>
      </w:pPr>
      <w:r w:rsidRPr="00703A0B">
        <w:rPr>
          <w:rFonts w:eastAsia="Arial" w:cs="Arial"/>
          <w:szCs w:val="22"/>
        </w:rPr>
        <w:t>T</w:t>
      </w:r>
      <w:r w:rsidR="00C73A5B" w:rsidRPr="00703A0B">
        <w:rPr>
          <w:rFonts w:eastAsia="Arial" w:cs="Arial"/>
          <w:szCs w:val="22"/>
        </w:rPr>
        <w:t>he Registry receive</w:t>
      </w:r>
      <w:r w:rsidR="00564F33" w:rsidRPr="00703A0B">
        <w:rPr>
          <w:rFonts w:eastAsia="Arial" w:cs="Arial"/>
          <w:szCs w:val="22"/>
        </w:rPr>
        <w:t>d</w:t>
      </w:r>
      <w:r w:rsidR="00C73A5B" w:rsidRPr="00703A0B">
        <w:rPr>
          <w:rFonts w:eastAsia="Arial" w:cs="Arial"/>
          <w:szCs w:val="22"/>
        </w:rPr>
        <w:t xml:space="preserve"> a substantial volume of adjudication applications</w:t>
      </w:r>
      <w:r w:rsidRPr="00703A0B">
        <w:rPr>
          <w:rFonts w:eastAsia="Arial" w:cs="Arial"/>
          <w:szCs w:val="22"/>
        </w:rPr>
        <w:t xml:space="preserve"> during the reporting </w:t>
      </w:r>
      <w:r w:rsidR="00BB4396" w:rsidRPr="00703A0B">
        <w:rPr>
          <w:rFonts w:eastAsia="Arial" w:cs="Arial"/>
          <w:szCs w:val="22"/>
        </w:rPr>
        <w:t>period</w:t>
      </w:r>
      <w:r w:rsidR="00C73A5B" w:rsidRPr="00703A0B">
        <w:rPr>
          <w:rFonts w:eastAsia="Arial" w:cs="Arial"/>
          <w:szCs w:val="22"/>
        </w:rPr>
        <w:t xml:space="preserve">, </w:t>
      </w:r>
      <w:r w:rsidR="00597A53" w:rsidRPr="00703A0B">
        <w:rPr>
          <w:rFonts w:eastAsia="Arial" w:cs="Arial"/>
          <w:szCs w:val="22"/>
        </w:rPr>
        <w:t xml:space="preserve">ranging from small-value </w:t>
      </w:r>
      <w:r w:rsidR="00C73A5B" w:rsidRPr="00703A0B">
        <w:rPr>
          <w:rFonts w:eastAsia="Arial" w:cs="Arial"/>
          <w:szCs w:val="22"/>
        </w:rPr>
        <w:t xml:space="preserve">claims </w:t>
      </w:r>
      <w:r w:rsidR="00597A53" w:rsidRPr="00703A0B">
        <w:rPr>
          <w:rFonts w:eastAsia="Arial" w:cs="Arial"/>
          <w:szCs w:val="22"/>
        </w:rPr>
        <w:t xml:space="preserve">to those </w:t>
      </w:r>
      <w:r w:rsidR="00C73A5B" w:rsidRPr="00703A0B">
        <w:rPr>
          <w:rFonts w:eastAsia="Arial" w:cs="Arial"/>
          <w:szCs w:val="22"/>
        </w:rPr>
        <w:t xml:space="preserve">involving significant </w:t>
      </w:r>
      <w:r w:rsidR="00AC1F10" w:rsidRPr="00703A0B">
        <w:rPr>
          <w:rFonts w:eastAsia="Arial" w:cs="Arial"/>
          <w:szCs w:val="22"/>
        </w:rPr>
        <w:t xml:space="preserve">claim </w:t>
      </w:r>
      <w:r w:rsidR="00C73A5B" w:rsidRPr="00703A0B">
        <w:rPr>
          <w:rFonts w:eastAsia="Arial" w:cs="Arial"/>
          <w:szCs w:val="22"/>
        </w:rPr>
        <w:t>values</w:t>
      </w:r>
      <w:r w:rsidR="00B90323" w:rsidRPr="00703A0B">
        <w:rPr>
          <w:rFonts w:eastAsia="Arial" w:cs="Arial"/>
          <w:szCs w:val="22"/>
        </w:rPr>
        <w:t>.</w:t>
      </w:r>
      <w:r w:rsidR="00A93B97" w:rsidRPr="00703A0B">
        <w:rPr>
          <w:rFonts w:eastAsia="Arial" w:cs="Arial"/>
          <w:szCs w:val="22"/>
        </w:rPr>
        <w:t xml:space="preserve"> </w:t>
      </w:r>
      <w:r w:rsidR="0041525D" w:rsidRPr="00703A0B">
        <w:rPr>
          <w:rFonts w:eastAsia="Arial" w:cs="Arial"/>
          <w:szCs w:val="22"/>
        </w:rPr>
        <w:t xml:space="preserve">While some applications were assessed as invalid </w:t>
      </w:r>
      <w:r w:rsidR="00DA189E" w:rsidRPr="00703A0B">
        <w:rPr>
          <w:rFonts w:eastAsia="Arial" w:cs="Arial"/>
          <w:szCs w:val="22"/>
        </w:rPr>
        <w:t>because they did</w:t>
      </w:r>
      <w:r w:rsidR="0041525D" w:rsidRPr="00703A0B">
        <w:rPr>
          <w:rFonts w:eastAsia="Arial" w:cs="Arial"/>
          <w:szCs w:val="22"/>
        </w:rPr>
        <w:t xml:space="preserve"> not meet legislative requirements, these matters represented a relatively small proportion of the overall value of applications received.</w:t>
      </w:r>
      <w:r w:rsidR="00284D4B" w:rsidRPr="00703A0B">
        <w:rPr>
          <w:rFonts w:eastAsia="Arial" w:cs="Arial"/>
          <w:szCs w:val="22"/>
        </w:rPr>
        <w:t xml:space="preserve"> </w:t>
      </w:r>
      <w:r w:rsidR="00685AAA" w:rsidRPr="00703A0B">
        <w:rPr>
          <w:rFonts w:eastAsia="Arial" w:cs="Arial"/>
          <w:szCs w:val="22"/>
        </w:rPr>
        <w:t xml:space="preserve">Failure </w:t>
      </w:r>
      <w:r w:rsidR="002257E3" w:rsidRPr="00703A0B">
        <w:rPr>
          <w:rFonts w:eastAsia="Arial" w:cs="Arial"/>
          <w:szCs w:val="22"/>
        </w:rPr>
        <w:t>to lodge applications</w:t>
      </w:r>
      <w:r w:rsidR="00284D4B" w:rsidRPr="00703A0B">
        <w:rPr>
          <w:rFonts w:eastAsia="Arial" w:cs="Arial"/>
          <w:szCs w:val="22"/>
        </w:rPr>
        <w:t xml:space="preserve"> </w:t>
      </w:r>
      <w:r w:rsidR="002257E3" w:rsidRPr="00703A0B">
        <w:rPr>
          <w:rFonts w:eastAsia="Arial" w:cs="Arial"/>
          <w:szCs w:val="22"/>
        </w:rPr>
        <w:t xml:space="preserve">within </w:t>
      </w:r>
      <w:r w:rsidR="00284D4B" w:rsidRPr="00703A0B">
        <w:rPr>
          <w:rFonts w:eastAsia="Arial" w:cs="Arial"/>
          <w:szCs w:val="22"/>
        </w:rPr>
        <w:t xml:space="preserve">the timeframes prescribed by section 79 of the </w:t>
      </w:r>
      <w:r w:rsidR="00F03DD1" w:rsidRPr="00703A0B">
        <w:rPr>
          <w:rFonts w:eastAsia="Arial" w:cs="Arial"/>
          <w:szCs w:val="22"/>
        </w:rPr>
        <w:t xml:space="preserve">BIF </w:t>
      </w:r>
      <w:r w:rsidR="00284D4B" w:rsidRPr="00703A0B">
        <w:rPr>
          <w:rFonts w:eastAsia="Arial" w:cs="Arial"/>
          <w:szCs w:val="22"/>
        </w:rPr>
        <w:t>Act</w:t>
      </w:r>
      <w:r w:rsidR="00A2464A" w:rsidRPr="00703A0B">
        <w:rPr>
          <w:rFonts w:eastAsia="Arial" w:cs="Arial"/>
          <w:szCs w:val="22"/>
        </w:rPr>
        <w:t xml:space="preserve"> remained </w:t>
      </w:r>
      <w:r w:rsidR="002C287F" w:rsidRPr="00703A0B">
        <w:rPr>
          <w:rFonts w:eastAsia="Arial" w:cs="Arial"/>
          <w:szCs w:val="22"/>
        </w:rPr>
        <w:t>the leading cause of applications being assessed as invalid in 2025–26</w:t>
      </w:r>
      <w:r w:rsidR="00F03DD1" w:rsidRPr="00703A0B">
        <w:rPr>
          <w:rFonts w:eastAsia="Arial" w:cs="Arial"/>
          <w:szCs w:val="22"/>
        </w:rPr>
        <w:t>.</w:t>
      </w:r>
      <w:r w:rsidR="000214DD" w:rsidRPr="00703A0B">
        <w:rPr>
          <w:rFonts w:eastAsia="Arial" w:cs="Arial"/>
          <w:szCs w:val="22"/>
        </w:rPr>
        <w:t xml:space="preserve"> </w:t>
      </w:r>
      <w:r w:rsidR="0041525D" w:rsidRPr="00703A0B">
        <w:rPr>
          <w:rFonts w:eastAsia="Arial" w:cs="Arial"/>
          <w:szCs w:val="22"/>
        </w:rPr>
        <w:t xml:space="preserve">Ongoing education and support initiatives </w:t>
      </w:r>
      <w:r w:rsidR="005A312A" w:rsidRPr="00703A0B">
        <w:rPr>
          <w:rFonts w:eastAsia="Arial" w:cs="Arial"/>
          <w:szCs w:val="22"/>
        </w:rPr>
        <w:t>continue</w:t>
      </w:r>
      <w:r w:rsidR="0041525D" w:rsidRPr="00703A0B">
        <w:rPr>
          <w:rFonts w:eastAsia="Arial" w:cs="Arial"/>
          <w:szCs w:val="22"/>
        </w:rPr>
        <w:t xml:space="preserve"> to help </w:t>
      </w:r>
      <w:r w:rsidR="00087E06" w:rsidRPr="00703A0B">
        <w:rPr>
          <w:rFonts w:eastAsia="Arial" w:cs="Arial"/>
          <w:szCs w:val="22"/>
        </w:rPr>
        <w:t xml:space="preserve">licensees and contractors </w:t>
      </w:r>
      <w:r w:rsidR="00515234" w:rsidRPr="00703A0B">
        <w:rPr>
          <w:rFonts w:eastAsia="Arial" w:cs="Arial"/>
          <w:szCs w:val="22"/>
        </w:rPr>
        <w:t xml:space="preserve">better </w:t>
      </w:r>
      <w:r w:rsidR="0041525D" w:rsidRPr="00703A0B">
        <w:rPr>
          <w:rFonts w:eastAsia="Arial" w:cs="Arial"/>
          <w:szCs w:val="22"/>
        </w:rPr>
        <w:t xml:space="preserve">understand their obligations and improve the quality of </w:t>
      </w:r>
      <w:r w:rsidR="008C1946" w:rsidRPr="00703A0B">
        <w:rPr>
          <w:rFonts w:eastAsia="Arial" w:cs="Arial"/>
          <w:szCs w:val="22"/>
        </w:rPr>
        <w:t xml:space="preserve">submitted </w:t>
      </w:r>
      <w:r w:rsidR="0041525D" w:rsidRPr="00703A0B">
        <w:rPr>
          <w:rFonts w:eastAsia="Arial" w:cs="Arial"/>
          <w:szCs w:val="22"/>
        </w:rPr>
        <w:t>applications.</w:t>
      </w:r>
      <w:r w:rsidR="008C1946" w:rsidRPr="00703A0B">
        <w:rPr>
          <w:rFonts w:eastAsia="Arial" w:cs="Arial"/>
          <w:szCs w:val="22"/>
        </w:rPr>
        <w:t xml:space="preserve"> The </w:t>
      </w:r>
      <w:r w:rsidR="00FC2AF0" w:rsidRPr="00703A0B">
        <w:rPr>
          <w:rFonts w:eastAsia="Arial" w:cs="Arial"/>
          <w:szCs w:val="22"/>
        </w:rPr>
        <w:t>sustained</w:t>
      </w:r>
      <w:r w:rsidR="008C1946" w:rsidRPr="00703A0B">
        <w:rPr>
          <w:rFonts w:eastAsia="Arial" w:cs="Arial"/>
          <w:szCs w:val="22"/>
        </w:rPr>
        <w:t xml:space="preserve"> demand for adjudication services demonstrates their value in supporting a fair</w:t>
      </w:r>
      <w:r w:rsidR="00FC2AF0" w:rsidRPr="00703A0B">
        <w:rPr>
          <w:rFonts w:eastAsia="Arial" w:cs="Arial"/>
          <w:szCs w:val="22"/>
        </w:rPr>
        <w:t>,</w:t>
      </w:r>
      <w:r w:rsidR="008C1946" w:rsidRPr="00703A0B">
        <w:rPr>
          <w:rFonts w:eastAsia="Arial" w:cs="Arial"/>
          <w:szCs w:val="22"/>
        </w:rPr>
        <w:t xml:space="preserve"> efficient </w:t>
      </w:r>
      <w:r w:rsidR="00E85956" w:rsidRPr="00703A0B">
        <w:rPr>
          <w:rFonts w:eastAsia="Arial" w:cs="Arial"/>
          <w:szCs w:val="22"/>
        </w:rPr>
        <w:t xml:space="preserve">and financially resilient </w:t>
      </w:r>
      <w:r w:rsidR="00547D1F" w:rsidRPr="00703A0B">
        <w:rPr>
          <w:rFonts w:eastAsia="Arial" w:cs="Arial"/>
          <w:szCs w:val="22"/>
        </w:rPr>
        <w:t xml:space="preserve">building and </w:t>
      </w:r>
      <w:r w:rsidR="008C1946" w:rsidRPr="00703A0B">
        <w:rPr>
          <w:rFonts w:eastAsia="Arial" w:cs="Arial"/>
          <w:szCs w:val="22"/>
        </w:rPr>
        <w:t>construction</w:t>
      </w:r>
      <w:r w:rsidR="00547D1F" w:rsidRPr="00703A0B">
        <w:rPr>
          <w:rFonts w:eastAsia="Arial" w:cs="Arial"/>
          <w:szCs w:val="22"/>
        </w:rPr>
        <w:t xml:space="preserve"> industry</w:t>
      </w:r>
      <w:r w:rsidR="008C1946" w:rsidRPr="00703A0B">
        <w:rPr>
          <w:rFonts w:eastAsia="Arial" w:cs="Arial"/>
          <w:szCs w:val="22"/>
        </w:rPr>
        <w:t>. By</w:t>
      </w:r>
      <w:r w:rsidR="005F4960" w:rsidRPr="00703A0B">
        <w:rPr>
          <w:rFonts w:eastAsia="Arial" w:cs="Arial"/>
          <w:szCs w:val="22"/>
        </w:rPr>
        <w:t xml:space="preserve"> providing</w:t>
      </w:r>
      <w:r w:rsidR="00234BAD" w:rsidRPr="00703A0B">
        <w:rPr>
          <w:rFonts w:eastAsia="Arial" w:cs="Arial"/>
          <w:szCs w:val="22"/>
        </w:rPr>
        <w:t xml:space="preserve"> accessible and timely adjudication </w:t>
      </w:r>
      <w:r w:rsidR="00E715A5" w:rsidRPr="00703A0B">
        <w:rPr>
          <w:rFonts w:eastAsia="Arial" w:cs="Arial"/>
          <w:szCs w:val="22"/>
        </w:rPr>
        <w:t xml:space="preserve">services, </w:t>
      </w:r>
      <w:r w:rsidR="008C1946" w:rsidRPr="00703A0B">
        <w:rPr>
          <w:rFonts w:eastAsia="Arial" w:cs="Arial"/>
          <w:szCs w:val="22"/>
        </w:rPr>
        <w:t xml:space="preserve">the </w:t>
      </w:r>
      <w:r w:rsidR="00547D1F" w:rsidRPr="00703A0B">
        <w:rPr>
          <w:rFonts w:eastAsia="Arial" w:cs="Arial"/>
          <w:szCs w:val="22"/>
        </w:rPr>
        <w:t xml:space="preserve">Registry </w:t>
      </w:r>
      <w:r w:rsidR="008C1946" w:rsidRPr="00703A0B">
        <w:rPr>
          <w:rFonts w:eastAsia="Arial" w:cs="Arial"/>
          <w:szCs w:val="22"/>
        </w:rPr>
        <w:t>helps strengthen confidence in the security of payment framework, promote healthier cash flow outcomes and contribute to the stability and resilience of Queensland's building and construction industry</w:t>
      </w:r>
      <w:r w:rsidR="005F4960" w:rsidRPr="00703A0B">
        <w:rPr>
          <w:rFonts w:eastAsia="Arial" w:cs="Arial"/>
          <w:szCs w:val="22"/>
        </w:rPr>
        <w:t>.</w:t>
      </w:r>
    </w:p>
    <w:p w14:paraId="2FE807AD" w14:textId="77777777" w:rsidR="006F0298" w:rsidRPr="00703A0B" w:rsidRDefault="006F0298" w:rsidP="00AC6384">
      <w:pPr>
        <w:pStyle w:val="Heading3"/>
      </w:pPr>
      <w:r w:rsidRPr="00703A0B">
        <w:rPr>
          <w:rFonts w:eastAsia="Arial" w:cs="Arial"/>
        </w:rPr>
        <w:t>Withdrawn adjudication applications</w:t>
      </w:r>
    </w:p>
    <w:p w14:paraId="1447CC36" w14:textId="0F59ADE6" w:rsidR="006B6149" w:rsidRPr="00703A0B" w:rsidRDefault="006F0298" w:rsidP="006F0298">
      <w:pPr>
        <w:spacing w:before="120" w:after="120" w:line="257" w:lineRule="auto"/>
        <w:rPr>
          <w:rFonts w:eastAsia="Arial" w:cs="Arial"/>
          <w:szCs w:val="22"/>
        </w:rPr>
      </w:pPr>
      <w:r w:rsidRPr="00703A0B">
        <w:rPr>
          <w:rFonts w:eastAsia="Arial" w:cs="Arial"/>
          <w:szCs w:val="22"/>
        </w:rPr>
        <w:t>Claimants may withdraw an adjudication application at any stage of the process</w:t>
      </w:r>
      <w:r w:rsidR="004B3692" w:rsidRPr="00703A0B">
        <w:rPr>
          <w:rFonts w:eastAsia="Arial" w:cs="Arial"/>
          <w:szCs w:val="22"/>
        </w:rPr>
        <w:t xml:space="preserve">, either following </w:t>
      </w:r>
      <w:r w:rsidRPr="00703A0B">
        <w:rPr>
          <w:rFonts w:eastAsia="Arial" w:cs="Arial"/>
          <w:szCs w:val="22"/>
        </w:rPr>
        <w:t>payment of the claimed amount or by providing a notice of discontinuance.</w:t>
      </w:r>
      <w:r w:rsidR="00232DB6" w:rsidRPr="00703A0B">
        <w:rPr>
          <w:rFonts w:eastAsia="Arial" w:cs="Arial"/>
          <w:szCs w:val="22"/>
        </w:rPr>
        <w:t xml:space="preserve"> </w:t>
      </w:r>
      <w:r w:rsidR="00232DB6" w:rsidRPr="00703A0B">
        <w:rPr>
          <w:rFonts w:eastAsia="Arial" w:cs="Arial"/>
          <w:szCs w:val="22"/>
        </w:rPr>
        <w:fldChar w:fldCharType="begin"/>
      </w:r>
      <w:r w:rsidR="00232DB6" w:rsidRPr="00703A0B">
        <w:rPr>
          <w:rFonts w:eastAsia="Arial" w:cs="Arial"/>
          <w:szCs w:val="22"/>
        </w:rPr>
        <w:instrText xml:space="preserve"> REF _Ref234846938 \h </w:instrText>
      </w:r>
      <w:r w:rsidR="00232DB6" w:rsidRPr="00703A0B">
        <w:rPr>
          <w:rFonts w:eastAsia="Arial" w:cs="Arial"/>
          <w:szCs w:val="22"/>
        </w:rPr>
      </w:r>
      <w:r w:rsidR="00232DB6" w:rsidRPr="00703A0B">
        <w:rPr>
          <w:rFonts w:eastAsia="Arial" w:cs="Arial"/>
          <w:szCs w:val="22"/>
        </w:rPr>
        <w:fldChar w:fldCharType="separate"/>
      </w:r>
      <w:r w:rsidR="002F57C4" w:rsidRPr="00703A0B">
        <w:t xml:space="preserve">Table </w:t>
      </w:r>
      <w:r w:rsidR="002F57C4" w:rsidRPr="00F621D8">
        <w:t>14</w:t>
      </w:r>
      <w:r w:rsidR="00232DB6" w:rsidRPr="00703A0B">
        <w:rPr>
          <w:rFonts w:eastAsia="Arial" w:cs="Arial"/>
          <w:szCs w:val="22"/>
        </w:rPr>
        <w:fldChar w:fldCharType="end"/>
      </w:r>
      <w:r w:rsidR="00232DB6" w:rsidRPr="00703A0B">
        <w:rPr>
          <w:rFonts w:eastAsia="Arial" w:cs="Arial"/>
          <w:szCs w:val="22"/>
        </w:rPr>
        <w:t xml:space="preserve"> provides an overview of the </w:t>
      </w:r>
      <w:r w:rsidR="00B71983" w:rsidRPr="00703A0B">
        <w:rPr>
          <w:rFonts w:eastAsia="Arial" w:cs="Arial"/>
          <w:szCs w:val="22"/>
        </w:rPr>
        <w:t>withdrawn adjudication applications during the reporting period.</w:t>
      </w:r>
    </w:p>
    <w:p w14:paraId="327BF800" w14:textId="1FEA74F0" w:rsidR="00232DB6" w:rsidRPr="00703A0B" w:rsidRDefault="00232DB6" w:rsidP="001A39F5">
      <w:pPr>
        <w:pStyle w:val="Caption"/>
        <w:rPr>
          <w:rFonts w:eastAsia="Arial"/>
        </w:rPr>
      </w:pPr>
      <w:bookmarkStart w:id="97" w:name="_Ref234846938"/>
      <w:r w:rsidRPr="00703A0B">
        <w:t xml:space="preserve">Table </w:t>
      </w:r>
      <w:r w:rsidRPr="00703A0B">
        <w:fldChar w:fldCharType="begin"/>
      </w:r>
      <w:r w:rsidRPr="00703A0B">
        <w:instrText>SEQ Table \* ARABIC</w:instrText>
      </w:r>
      <w:r w:rsidRPr="00703A0B">
        <w:fldChar w:fldCharType="separate"/>
      </w:r>
      <w:r w:rsidR="003764AA" w:rsidRPr="00F621D8">
        <w:t>14</w:t>
      </w:r>
      <w:r w:rsidRPr="00703A0B">
        <w:fldChar w:fldCharType="end"/>
      </w:r>
      <w:bookmarkEnd w:id="97"/>
      <w:r w:rsidRPr="00703A0B">
        <w:t xml:space="preserve">: </w:t>
      </w:r>
      <w:r w:rsidR="00F63B2D" w:rsidRPr="00703A0B">
        <w:t>W</w:t>
      </w:r>
      <w:r w:rsidRPr="00703A0B">
        <w:t>ithdrawn adjudication applications</w:t>
      </w:r>
      <w:r w:rsidR="002A0C28" w:rsidRPr="00703A0B">
        <w:t>, reason</w:t>
      </w:r>
      <w:r w:rsidR="00452EEE" w:rsidRPr="00703A0B">
        <w:t>s</w:t>
      </w:r>
      <w:r w:rsidR="002A0C28" w:rsidRPr="00703A0B">
        <w:t xml:space="preserve"> for </w:t>
      </w:r>
      <w:r w:rsidR="000F24E2" w:rsidRPr="00703A0B">
        <w:t>withdrawal</w:t>
      </w:r>
      <w:r w:rsidR="00826D82" w:rsidRPr="00703A0B">
        <w:t xml:space="preserve"> </w:t>
      </w:r>
      <w:r w:rsidR="00E33C20" w:rsidRPr="00703A0B">
        <w:t>and corresponding value</w:t>
      </w:r>
      <w:r w:rsidR="00452EEE" w:rsidRPr="00703A0B">
        <w:t>s</w:t>
      </w:r>
      <w:r w:rsidRPr="00703A0B">
        <w:t xml:space="preserve"> in 2025–26</w:t>
      </w:r>
    </w:p>
    <w:tbl>
      <w:tblPr>
        <w:tblW w:w="5000" w:type="pct"/>
        <w:tblLayout w:type="fixed"/>
        <w:tblCellMar>
          <w:top w:w="28" w:type="dxa"/>
          <w:bottom w:w="28" w:type="dxa"/>
        </w:tblCellMar>
        <w:tblLook w:val="04A0" w:firstRow="1" w:lastRow="0" w:firstColumn="1" w:lastColumn="0" w:noHBand="0" w:noVBand="1"/>
      </w:tblPr>
      <w:tblGrid>
        <w:gridCol w:w="3255"/>
        <w:gridCol w:w="1800"/>
        <w:gridCol w:w="1799"/>
        <w:gridCol w:w="1799"/>
        <w:gridCol w:w="1797"/>
      </w:tblGrid>
      <w:tr w:rsidR="00172E15" w:rsidRPr="00703A0B" w14:paraId="377A1709" w14:textId="77777777" w:rsidTr="002E390E">
        <w:tc>
          <w:tcPr>
            <w:tcW w:w="1557" w:type="pct"/>
            <w:vMerge w:val="restart"/>
            <w:tcBorders>
              <w:top w:val="single" w:sz="4" w:space="0" w:color="auto"/>
              <w:left w:val="single" w:sz="4" w:space="0" w:color="auto"/>
              <w:right w:val="single" w:sz="4" w:space="0" w:color="auto"/>
            </w:tcBorders>
            <w:shd w:val="clear" w:color="auto" w:fill="A6A6A6" w:themeFill="background1" w:themeFillShade="A6"/>
            <w:noWrap/>
          </w:tcPr>
          <w:p w14:paraId="0C2E017C" w14:textId="37633D16" w:rsidR="00172E15" w:rsidRPr="00703A0B" w:rsidRDefault="00172E15" w:rsidP="00EF4575">
            <w:pPr>
              <w:rPr>
                <w:rFonts w:eastAsia="Times New Roman" w:cs="Arial"/>
                <w:b/>
                <w:bCs/>
                <w:color w:val="000000"/>
                <w:szCs w:val="22"/>
                <w:lang w:eastAsia="en-AU"/>
              </w:rPr>
            </w:pPr>
            <w:r w:rsidRPr="00703A0B">
              <w:rPr>
                <w:rFonts w:eastAsia="Times New Roman" w:cs="Arial"/>
                <w:b/>
                <w:bCs/>
                <w:color w:val="000000"/>
                <w:szCs w:val="22"/>
                <w:lang w:eastAsia="en-AU"/>
              </w:rPr>
              <w:t>Claim value</w:t>
            </w:r>
          </w:p>
        </w:tc>
        <w:tc>
          <w:tcPr>
            <w:tcW w:w="1722" w:type="pct"/>
            <w:gridSpan w:val="2"/>
            <w:tcBorders>
              <w:top w:val="single" w:sz="4" w:space="0" w:color="auto"/>
              <w:left w:val="nil"/>
              <w:bottom w:val="single" w:sz="4" w:space="0" w:color="auto"/>
              <w:right w:val="single" w:sz="4" w:space="0" w:color="auto"/>
            </w:tcBorders>
            <w:shd w:val="clear" w:color="auto" w:fill="A6A6A6" w:themeFill="background1" w:themeFillShade="A6"/>
          </w:tcPr>
          <w:p w14:paraId="62F535BA" w14:textId="2120B24D" w:rsidR="00172E15" w:rsidRPr="00703A0B" w:rsidRDefault="00172E15" w:rsidP="00EF4575">
            <w:pPr>
              <w:rPr>
                <w:rFonts w:eastAsia="Times New Roman" w:cs="Arial"/>
                <w:b/>
                <w:bCs/>
                <w:color w:val="000000"/>
                <w:szCs w:val="22"/>
                <w:lang w:eastAsia="en-AU"/>
              </w:rPr>
            </w:pPr>
            <w:r w:rsidRPr="00703A0B">
              <w:rPr>
                <w:rFonts w:eastAsia="Times New Roman" w:cs="Arial"/>
                <w:b/>
                <w:bCs/>
                <w:color w:val="000000"/>
                <w:szCs w:val="22"/>
                <w:lang w:eastAsia="en-AU"/>
              </w:rPr>
              <w:t>Discontinuance</w:t>
            </w:r>
          </w:p>
        </w:tc>
        <w:tc>
          <w:tcPr>
            <w:tcW w:w="1721" w:type="pct"/>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A5B9BF0" w14:textId="4A460780" w:rsidR="00172E15" w:rsidRPr="00703A0B" w:rsidRDefault="00172E15" w:rsidP="00EF4575">
            <w:pPr>
              <w:rPr>
                <w:rFonts w:eastAsia="Times New Roman" w:cs="Arial"/>
                <w:b/>
                <w:bCs/>
                <w:color w:val="000000"/>
                <w:szCs w:val="22"/>
                <w:lang w:eastAsia="en-AU"/>
              </w:rPr>
            </w:pPr>
            <w:r w:rsidRPr="00703A0B">
              <w:rPr>
                <w:rFonts w:eastAsia="Times New Roman" w:cs="Arial"/>
                <w:b/>
                <w:bCs/>
                <w:color w:val="000000"/>
                <w:szCs w:val="22"/>
                <w:lang w:eastAsia="en-AU"/>
              </w:rPr>
              <w:t>Payment</w:t>
            </w:r>
          </w:p>
        </w:tc>
      </w:tr>
      <w:tr w:rsidR="006F0298" w:rsidRPr="00703A0B" w14:paraId="53413291" w14:textId="77777777" w:rsidTr="002E390E">
        <w:tc>
          <w:tcPr>
            <w:tcW w:w="1557" w:type="pct"/>
            <w:vMerge/>
            <w:tcBorders>
              <w:left w:val="single" w:sz="4" w:space="0" w:color="auto"/>
              <w:bottom w:val="single" w:sz="4" w:space="0" w:color="auto"/>
              <w:right w:val="single" w:sz="4" w:space="0" w:color="auto"/>
            </w:tcBorders>
            <w:shd w:val="clear" w:color="auto" w:fill="A6A6A6" w:themeFill="background1" w:themeFillShade="A6"/>
            <w:noWrap/>
            <w:hideMark/>
          </w:tcPr>
          <w:p w14:paraId="1C68EA13" w14:textId="570BA863" w:rsidR="006F0298" w:rsidRPr="00703A0B" w:rsidRDefault="006F0298" w:rsidP="00B519CC">
            <w:pPr>
              <w:rPr>
                <w:rFonts w:eastAsia="Times New Roman" w:cs="Arial"/>
                <w:b/>
                <w:bCs/>
                <w:color w:val="000000"/>
                <w:szCs w:val="22"/>
                <w:lang w:eastAsia="en-AU"/>
              </w:rPr>
            </w:pPr>
          </w:p>
        </w:tc>
        <w:tc>
          <w:tcPr>
            <w:tcW w:w="861" w:type="pct"/>
            <w:tcBorders>
              <w:top w:val="single" w:sz="4" w:space="0" w:color="auto"/>
              <w:left w:val="nil"/>
              <w:bottom w:val="single" w:sz="4" w:space="0" w:color="auto"/>
              <w:right w:val="single" w:sz="4" w:space="0" w:color="auto"/>
            </w:tcBorders>
            <w:shd w:val="clear" w:color="auto" w:fill="BFBFBF" w:themeFill="background1" w:themeFillShade="BF"/>
            <w:hideMark/>
          </w:tcPr>
          <w:p w14:paraId="7FE89C29" w14:textId="752B490F" w:rsidR="006F0298" w:rsidRPr="00703A0B" w:rsidRDefault="00172E15" w:rsidP="002E390E">
            <w:pPr>
              <w:rPr>
                <w:rFonts w:eastAsia="Times New Roman" w:cs="Arial"/>
                <w:b/>
                <w:bCs/>
                <w:color w:val="000000"/>
                <w:szCs w:val="22"/>
                <w:lang w:eastAsia="en-AU"/>
              </w:rPr>
            </w:pPr>
            <w:r w:rsidRPr="00703A0B">
              <w:rPr>
                <w:rFonts w:eastAsia="Times New Roman" w:cs="Arial"/>
                <w:b/>
                <w:bCs/>
                <w:color w:val="000000"/>
                <w:szCs w:val="22"/>
                <w:lang w:eastAsia="en-AU"/>
              </w:rPr>
              <w:t>Number</w:t>
            </w:r>
          </w:p>
        </w:tc>
        <w:tc>
          <w:tcPr>
            <w:tcW w:w="861" w:type="pct"/>
            <w:tcBorders>
              <w:top w:val="single" w:sz="4" w:space="0" w:color="auto"/>
              <w:left w:val="nil"/>
              <w:bottom w:val="single" w:sz="4" w:space="0" w:color="auto"/>
              <w:right w:val="nil"/>
            </w:tcBorders>
            <w:shd w:val="clear" w:color="auto" w:fill="BFBFBF" w:themeFill="background1" w:themeFillShade="BF"/>
            <w:hideMark/>
          </w:tcPr>
          <w:p w14:paraId="19BBD91E" w14:textId="189EBD03" w:rsidR="006F0298" w:rsidRPr="00703A0B" w:rsidRDefault="00172E15" w:rsidP="002E390E">
            <w:pPr>
              <w:rPr>
                <w:rFonts w:eastAsia="Times New Roman" w:cs="Arial"/>
                <w:b/>
                <w:bCs/>
                <w:color w:val="000000"/>
                <w:szCs w:val="22"/>
                <w:lang w:eastAsia="en-AU"/>
              </w:rPr>
            </w:pPr>
            <w:r w:rsidRPr="00703A0B">
              <w:rPr>
                <w:rFonts w:eastAsia="Times New Roman" w:cs="Arial"/>
                <w:b/>
                <w:bCs/>
                <w:color w:val="000000"/>
                <w:szCs w:val="22"/>
                <w:lang w:eastAsia="en-AU"/>
              </w:rPr>
              <w:t>C</w:t>
            </w:r>
            <w:r w:rsidR="006F0298" w:rsidRPr="00703A0B">
              <w:rPr>
                <w:rFonts w:eastAsia="Times New Roman" w:cs="Arial"/>
                <w:b/>
                <w:bCs/>
                <w:color w:val="000000"/>
                <w:szCs w:val="22"/>
                <w:lang w:eastAsia="en-AU"/>
              </w:rPr>
              <w:t>laimed amount</w:t>
            </w:r>
          </w:p>
        </w:tc>
        <w:tc>
          <w:tcPr>
            <w:tcW w:w="861"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6851011" w14:textId="1CC5D99C" w:rsidR="006F0298" w:rsidRPr="00703A0B" w:rsidRDefault="00172E15" w:rsidP="002E390E">
            <w:pPr>
              <w:rPr>
                <w:rFonts w:eastAsia="Times New Roman" w:cs="Arial"/>
                <w:b/>
                <w:bCs/>
                <w:color w:val="000000"/>
                <w:szCs w:val="22"/>
                <w:lang w:eastAsia="en-AU"/>
              </w:rPr>
            </w:pPr>
            <w:r w:rsidRPr="00703A0B">
              <w:rPr>
                <w:rFonts w:eastAsia="Times New Roman" w:cs="Arial"/>
                <w:b/>
                <w:bCs/>
                <w:color w:val="000000"/>
                <w:szCs w:val="22"/>
                <w:lang w:eastAsia="en-AU"/>
              </w:rPr>
              <w:t>Number</w:t>
            </w:r>
          </w:p>
        </w:tc>
        <w:tc>
          <w:tcPr>
            <w:tcW w:w="860" w:type="pct"/>
            <w:tcBorders>
              <w:top w:val="single" w:sz="4" w:space="0" w:color="auto"/>
              <w:left w:val="nil"/>
              <w:bottom w:val="single" w:sz="4" w:space="0" w:color="auto"/>
              <w:right w:val="single" w:sz="4" w:space="0" w:color="auto"/>
            </w:tcBorders>
            <w:shd w:val="clear" w:color="auto" w:fill="BFBFBF" w:themeFill="background1" w:themeFillShade="BF"/>
            <w:hideMark/>
          </w:tcPr>
          <w:p w14:paraId="49C6308B" w14:textId="6D39EE04" w:rsidR="006F0298" w:rsidRPr="00703A0B" w:rsidRDefault="00172E15" w:rsidP="002E390E">
            <w:pPr>
              <w:rPr>
                <w:rFonts w:eastAsia="Times New Roman" w:cs="Arial"/>
                <w:b/>
                <w:bCs/>
                <w:color w:val="000000"/>
                <w:szCs w:val="22"/>
                <w:lang w:eastAsia="en-AU"/>
              </w:rPr>
            </w:pPr>
            <w:r w:rsidRPr="00703A0B">
              <w:rPr>
                <w:rFonts w:eastAsia="Times New Roman" w:cs="Arial"/>
                <w:b/>
                <w:bCs/>
                <w:color w:val="000000"/>
                <w:szCs w:val="22"/>
                <w:lang w:eastAsia="en-AU"/>
              </w:rPr>
              <w:t>C</w:t>
            </w:r>
            <w:r w:rsidR="006F0298" w:rsidRPr="00703A0B">
              <w:rPr>
                <w:rFonts w:eastAsia="Times New Roman" w:cs="Arial"/>
                <w:b/>
                <w:bCs/>
                <w:color w:val="000000"/>
                <w:szCs w:val="22"/>
                <w:lang w:eastAsia="en-AU"/>
              </w:rPr>
              <w:t>laimed amount</w:t>
            </w:r>
          </w:p>
        </w:tc>
      </w:tr>
      <w:tr w:rsidR="006F0298" w:rsidRPr="00703A0B" w14:paraId="50658859" w14:textId="77777777" w:rsidTr="002E390E">
        <w:tc>
          <w:tcPr>
            <w:tcW w:w="1557" w:type="pct"/>
            <w:tcBorders>
              <w:top w:val="nil"/>
              <w:left w:val="single" w:sz="4" w:space="0" w:color="auto"/>
              <w:bottom w:val="single" w:sz="4" w:space="0" w:color="auto"/>
              <w:right w:val="single" w:sz="4" w:space="0" w:color="auto"/>
            </w:tcBorders>
            <w:noWrap/>
            <w:hideMark/>
          </w:tcPr>
          <w:p w14:paraId="073DB800" w14:textId="626D0012" w:rsidR="006F0298" w:rsidRPr="00703A0B" w:rsidRDefault="006F0298" w:rsidP="00B519CC">
            <w:pPr>
              <w:rPr>
                <w:rFonts w:eastAsia="Times New Roman" w:cs="Arial"/>
                <w:color w:val="000000"/>
                <w:szCs w:val="22"/>
                <w:lang w:eastAsia="en-AU"/>
              </w:rPr>
            </w:pPr>
            <w:r w:rsidRPr="00703A0B">
              <w:rPr>
                <w:rFonts w:eastAsia="Times New Roman" w:cs="Arial"/>
                <w:color w:val="000000"/>
                <w:szCs w:val="22"/>
                <w:lang w:eastAsia="en-AU"/>
              </w:rPr>
              <w:t>$0</w:t>
            </w:r>
            <w:r w:rsidR="00345698" w:rsidRPr="00703A0B">
              <w:rPr>
                <w:rFonts w:eastAsia="Times New Roman" w:cs="Arial"/>
                <w:color w:val="000000"/>
                <w:szCs w:val="22"/>
                <w:lang w:eastAsia="en-AU"/>
              </w:rPr>
              <w:t>–</w:t>
            </w:r>
            <w:r w:rsidRPr="00703A0B">
              <w:rPr>
                <w:rFonts w:eastAsia="Times New Roman" w:cs="Arial"/>
                <w:color w:val="000000"/>
                <w:szCs w:val="22"/>
                <w:lang w:eastAsia="en-AU"/>
              </w:rPr>
              <w:t>$11,345.70</w:t>
            </w:r>
          </w:p>
        </w:tc>
        <w:tc>
          <w:tcPr>
            <w:tcW w:w="861" w:type="pct"/>
            <w:tcBorders>
              <w:top w:val="nil"/>
              <w:left w:val="nil"/>
              <w:bottom w:val="single" w:sz="4" w:space="0" w:color="auto"/>
              <w:right w:val="single" w:sz="4" w:space="0" w:color="auto"/>
            </w:tcBorders>
            <w:noWrap/>
            <w:hideMark/>
          </w:tcPr>
          <w:p w14:paraId="65C88AE0" w14:textId="7D98A5C6" w:rsidR="006F0298" w:rsidRPr="00703A0B" w:rsidRDefault="00600B10" w:rsidP="002E390E">
            <w:pPr>
              <w:rPr>
                <w:rFonts w:eastAsia="Times New Roman" w:cs="Arial"/>
                <w:color w:val="000000"/>
                <w:szCs w:val="22"/>
                <w:lang w:eastAsia="en-AU"/>
              </w:rPr>
            </w:pPr>
            <w:r w:rsidRPr="00703A0B">
              <w:t>9</w:t>
            </w:r>
          </w:p>
        </w:tc>
        <w:tc>
          <w:tcPr>
            <w:tcW w:w="861" w:type="pct"/>
            <w:tcBorders>
              <w:top w:val="nil"/>
              <w:left w:val="nil"/>
              <w:bottom w:val="single" w:sz="4" w:space="0" w:color="auto"/>
              <w:right w:val="single" w:sz="4" w:space="0" w:color="auto"/>
            </w:tcBorders>
            <w:hideMark/>
          </w:tcPr>
          <w:p w14:paraId="59849A07" w14:textId="641CAB24" w:rsidR="006F0298" w:rsidRPr="00703A0B" w:rsidRDefault="00600B10" w:rsidP="002E390E">
            <w:pPr>
              <w:rPr>
                <w:rFonts w:eastAsia="Times New Roman" w:cs="Arial"/>
                <w:color w:val="000000"/>
                <w:szCs w:val="22"/>
                <w:lang w:eastAsia="en-AU"/>
              </w:rPr>
            </w:pPr>
            <w:r w:rsidRPr="00703A0B">
              <w:t>$60,431</w:t>
            </w:r>
          </w:p>
        </w:tc>
        <w:tc>
          <w:tcPr>
            <w:tcW w:w="861" w:type="pct"/>
            <w:tcBorders>
              <w:top w:val="nil"/>
              <w:left w:val="nil"/>
              <w:bottom w:val="single" w:sz="4" w:space="0" w:color="auto"/>
              <w:right w:val="single" w:sz="4" w:space="0" w:color="auto"/>
            </w:tcBorders>
            <w:noWrap/>
            <w:hideMark/>
          </w:tcPr>
          <w:p w14:paraId="4F15D289" w14:textId="3ADE7AFD" w:rsidR="006F0298" w:rsidRPr="00703A0B" w:rsidRDefault="00600B10" w:rsidP="002E390E">
            <w:pPr>
              <w:rPr>
                <w:rFonts w:eastAsia="Times New Roman" w:cs="Arial"/>
                <w:color w:val="000000"/>
                <w:szCs w:val="22"/>
                <w:lang w:eastAsia="en-AU"/>
              </w:rPr>
            </w:pPr>
            <w:r w:rsidRPr="00703A0B">
              <w:t>35</w:t>
            </w:r>
          </w:p>
        </w:tc>
        <w:tc>
          <w:tcPr>
            <w:tcW w:w="860" w:type="pct"/>
            <w:tcBorders>
              <w:top w:val="nil"/>
              <w:left w:val="nil"/>
              <w:bottom w:val="single" w:sz="4" w:space="0" w:color="auto"/>
              <w:right w:val="single" w:sz="4" w:space="0" w:color="auto"/>
            </w:tcBorders>
            <w:hideMark/>
          </w:tcPr>
          <w:p w14:paraId="133AC35D" w14:textId="04211FDE" w:rsidR="006F0298" w:rsidRPr="00703A0B" w:rsidRDefault="00600B10" w:rsidP="002E390E">
            <w:pPr>
              <w:rPr>
                <w:rFonts w:eastAsia="Times New Roman" w:cs="Arial"/>
                <w:color w:val="000000"/>
                <w:szCs w:val="22"/>
                <w:lang w:eastAsia="en-AU"/>
              </w:rPr>
            </w:pPr>
            <w:r w:rsidRPr="00703A0B">
              <w:t>$220,133</w:t>
            </w:r>
          </w:p>
        </w:tc>
      </w:tr>
      <w:tr w:rsidR="006F0298" w:rsidRPr="00703A0B" w14:paraId="451E85D4" w14:textId="77777777" w:rsidTr="002E390E">
        <w:tc>
          <w:tcPr>
            <w:tcW w:w="1557" w:type="pct"/>
            <w:tcBorders>
              <w:top w:val="nil"/>
              <w:left w:val="single" w:sz="4" w:space="0" w:color="auto"/>
              <w:bottom w:val="single" w:sz="4" w:space="0" w:color="auto"/>
              <w:right w:val="single" w:sz="4" w:space="0" w:color="auto"/>
            </w:tcBorders>
            <w:noWrap/>
            <w:hideMark/>
          </w:tcPr>
          <w:p w14:paraId="622C95B2" w14:textId="0AA88CAE" w:rsidR="006F0298" w:rsidRPr="00703A0B" w:rsidRDefault="006F0298" w:rsidP="00B519CC">
            <w:pPr>
              <w:rPr>
                <w:rFonts w:eastAsia="Times New Roman" w:cs="Arial"/>
                <w:color w:val="000000"/>
                <w:szCs w:val="22"/>
                <w:lang w:eastAsia="en-AU"/>
              </w:rPr>
            </w:pPr>
            <w:r w:rsidRPr="00703A0B">
              <w:rPr>
                <w:rFonts w:eastAsia="Times New Roman" w:cs="Arial"/>
                <w:color w:val="000000"/>
                <w:szCs w:val="22"/>
                <w:lang w:eastAsia="en-AU"/>
              </w:rPr>
              <w:t>$11,345.70</w:t>
            </w:r>
            <w:r w:rsidR="00345698" w:rsidRPr="00703A0B">
              <w:rPr>
                <w:rFonts w:eastAsia="Times New Roman" w:cs="Arial"/>
                <w:color w:val="000000"/>
                <w:szCs w:val="22"/>
                <w:lang w:eastAsia="en-AU"/>
              </w:rPr>
              <w:t>–</w:t>
            </w:r>
            <w:r w:rsidRPr="00703A0B">
              <w:rPr>
                <w:rFonts w:eastAsia="Times New Roman" w:cs="Arial"/>
                <w:color w:val="000000"/>
                <w:szCs w:val="22"/>
                <w:lang w:eastAsia="en-AU"/>
              </w:rPr>
              <w:t>$56,728.80</w:t>
            </w:r>
          </w:p>
        </w:tc>
        <w:tc>
          <w:tcPr>
            <w:tcW w:w="861" w:type="pct"/>
            <w:tcBorders>
              <w:top w:val="nil"/>
              <w:left w:val="nil"/>
              <w:bottom w:val="single" w:sz="4" w:space="0" w:color="auto"/>
              <w:right w:val="single" w:sz="4" w:space="0" w:color="auto"/>
            </w:tcBorders>
            <w:noWrap/>
            <w:hideMark/>
          </w:tcPr>
          <w:p w14:paraId="6377C5EC" w14:textId="05D046F7" w:rsidR="006F0298" w:rsidRPr="00703A0B" w:rsidRDefault="00600B10" w:rsidP="002E390E">
            <w:pPr>
              <w:rPr>
                <w:rFonts w:eastAsia="Times New Roman" w:cs="Arial"/>
                <w:color w:val="000000"/>
                <w:szCs w:val="22"/>
                <w:lang w:eastAsia="en-AU"/>
              </w:rPr>
            </w:pPr>
            <w:r w:rsidRPr="00703A0B">
              <w:t>12</w:t>
            </w:r>
          </w:p>
        </w:tc>
        <w:tc>
          <w:tcPr>
            <w:tcW w:w="861" w:type="pct"/>
            <w:tcBorders>
              <w:top w:val="nil"/>
              <w:left w:val="nil"/>
              <w:bottom w:val="single" w:sz="4" w:space="0" w:color="auto"/>
              <w:right w:val="single" w:sz="4" w:space="0" w:color="auto"/>
            </w:tcBorders>
            <w:hideMark/>
          </w:tcPr>
          <w:p w14:paraId="04F0DD08" w14:textId="223F37DE" w:rsidR="006F0298" w:rsidRPr="00703A0B" w:rsidRDefault="00600B10" w:rsidP="002E390E">
            <w:pPr>
              <w:rPr>
                <w:rFonts w:eastAsia="Times New Roman" w:cs="Arial"/>
                <w:color w:val="000000"/>
                <w:szCs w:val="22"/>
                <w:lang w:eastAsia="en-AU"/>
              </w:rPr>
            </w:pPr>
            <w:r w:rsidRPr="00703A0B">
              <w:t>$363,433</w:t>
            </w:r>
          </w:p>
        </w:tc>
        <w:tc>
          <w:tcPr>
            <w:tcW w:w="861" w:type="pct"/>
            <w:tcBorders>
              <w:top w:val="nil"/>
              <w:left w:val="nil"/>
              <w:bottom w:val="single" w:sz="4" w:space="0" w:color="auto"/>
              <w:right w:val="single" w:sz="4" w:space="0" w:color="auto"/>
            </w:tcBorders>
            <w:noWrap/>
            <w:hideMark/>
          </w:tcPr>
          <w:p w14:paraId="275C3DC5" w14:textId="6E4EF3B9" w:rsidR="006F0298" w:rsidRPr="00703A0B" w:rsidRDefault="00600B10" w:rsidP="002E390E">
            <w:pPr>
              <w:rPr>
                <w:rFonts w:eastAsia="Times New Roman" w:cs="Arial"/>
                <w:color w:val="000000"/>
                <w:szCs w:val="22"/>
                <w:lang w:eastAsia="en-AU"/>
              </w:rPr>
            </w:pPr>
            <w:r w:rsidRPr="00703A0B">
              <w:t>37</w:t>
            </w:r>
          </w:p>
        </w:tc>
        <w:tc>
          <w:tcPr>
            <w:tcW w:w="860" w:type="pct"/>
            <w:tcBorders>
              <w:top w:val="nil"/>
              <w:left w:val="nil"/>
              <w:bottom w:val="single" w:sz="4" w:space="0" w:color="auto"/>
              <w:right w:val="single" w:sz="4" w:space="0" w:color="auto"/>
            </w:tcBorders>
            <w:hideMark/>
          </w:tcPr>
          <w:p w14:paraId="18BA7B72" w14:textId="65E8E343" w:rsidR="006F0298" w:rsidRPr="00703A0B" w:rsidRDefault="00600B10" w:rsidP="002E390E">
            <w:pPr>
              <w:rPr>
                <w:rFonts w:eastAsia="Times New Roman" w:cs="Arial"/>
                <w:color w:val="000000"/>
                <w:szCs w:val="22"/>
                <w:lang w:eastAsia="en-AU"/>
              </w:rPr>
            </w:pPr>
            <w:r w:rsidRPr="00703A0B">
              <w:t>$1,010,082</w:t>
            </w:r>
          </w:p>
        </w:tc>
      </w:tr>
      <w:tr w:rsidR="006F0298" w:rsidRPr="00703A0B" w14:paraId="13BD9A3E" w14:textId="77777777" w:rsidTr="002E390E">
        <w:tc>
          <w:tcPr>
            <w:tcW w:w="1557" w:type="pct"/>
            <w:tcBorders>
              <w:top w:val="nil"/>
              <w:left w:val="single" w:sz="4" w:space="0" w:color="auto"/>
              <w:bottom w:val="single" w:sz="4" w:space="0" w:color="auto"/>
              <w:right w:val="single" w:sz="4" w:space="0" w:color="auto"/>
            </w:tcBorders>
            <w:noWrap/>
            <w:hideMark/>
          </w:tcPr>
          <w:p w14:paraId="3F00DF72" w14:textId="7F29B664" w:rsidR="006F0298" w:rsidRPr="00703A0B" w:rsidRDefault="006F0298" w:rsidP="00B519CC">
            <w:pPr>
              <w:rPr>
                <w:rFonts w:eastAsia="Times New Roman" w:cs="Arial"/>
                <w:color w:val="000000"/>
                <w:szCs w:val="22"/>
                <w:lang w:eastAsia="en-AU"/>
              </w:rPr>
            </w:pPr>
            <w:r w:rsidRPr="00703A0B">
              <w:rPr>
                <w:rFonts w:eastAsia="Times New Roman" w:cs="Arial"/>
                <w:color w:val="000000"/>
                <w:szCs w:val="22"/>
                <w:lang w:eastAsia="en-AU"/>
              </w:rPr>
              <w:t>$56,728.80</w:t>
            </w:r>
            <w:r w:rsidR="00345698" w:rsidRPr="00703A0B">
              <w:rPr>
                <w:rFonts w:eastAsia="Times New Roman" w:cs="Arial"/>
                <w:color w:val="000000"/>
                <w:szCs w:val="22"/>
                <w:lang w:eastAsia="en-AU"/>
              </w:rPr>
              <w:t>–</w:t>
            </w:r>
            <w:r w:rsidRPr="00703A0B">
              <w:rPr>
                <w:rFonts w:eastAsia="Times New Roman" w:cs="Arial"/>
                <w:color w:val="000000"/>
                <w:szCs w:val="22"/>
                <w:lang w:eastAsia="en-AU"/>
              </w:rPr>
              <w:t>$113,457.60</w:t>
            </w:r>
          </w:p>
        </w:tc>
        <w:tc>
          <w:tcPr>
            <w:tcW w:w="861" w:type="pct"/>
            <w:tcBorders>
              <w:top w:val="nil"/>
              <w:left w:val="nil"/>
              <w:bottom w:val="single" w:sz="4" w:space="0" w:color="auto"/>
              <w:right w:val="single" w:sz="4" w:space="0" w:color="auto"/>
            </w:tcBorders>
            <w:noWrap/>
            <w:hideMark/>
          </w:tcPr>
          <w:p w14:paraId="1F88F28E" w14:textId="32636046" w:rsidR="006F0298" w:rsidRPr="00703A0B" w:rsidRDefault="00600B10" w:rsidP="002E390E">
            <w:pPr>
              <w:rPr>
                <w:rFonts w:eastAsia="Times New Roman" w:cs="Arial"/>
                <w:color w:val="000000"/>
                <w:szCs w:val="22"/>
                <w:lang w:eastAsia="en-AU"/>
              </w:rPr>
            </w:pPr>
            <w:r w:rsidRPr="00703A0B">
              <w:t>7</w:t>
            </w:r>
          </w:p>
        </w:tc>
        <w:tc>
          <w:tcPr>
            <w:tcW w:w="861" w:type="pct"/>
            <w:tcBorders>
              <w:top w:val="nil"/>
              <w:left w:val="nil"/>
              <w:bottom w:val="single" w:sz="4" w:space="0" w:color="auto"/>
              <w:right w:val="single" w:sz="4" w:space="0" w:color="auto"/>
            </w:tcBorders>
            <w:hideMark/>
          </w:tcPr>
          <w:p w14:paraId="63CDF8C4" w14:textId="29713C97" w:rsidR="006F0298" w:rsidRPr="00703A0B" w:rsidRDefault="00600B10" w:rsidP="002E390E">
            <w:pPr>
              <w:rPr>
                <w:rFonts w:eastAsia="Times New Roman" w:cs="Arial"/>
                <w:color w:val="000000"/>
                <w:szCs w:val="22"/>
                <w:lang w:eastAsia="en-AU"/>
              </w:rPr>
            </w:pPr>
            <w:r w:rsidRPr="00703A0B">
              <w:t>$522,166</w:t>
            </w:r>
          </w:p>
        </w:tc>
        <w:tc>
          <w:tcPr>
            <w:tcW w:w="861" w:type="pct"/>
            <w:tcBorders>
              <w:top w:val="nil"/>
              <w:left w:val="nil"/>
              <w:bottom w:val="single" w:sz="4" w:space="0" w:color="auto"/>
              <w:right w:val="single" w:sz="4" w:space="0" w:color="auto"/>
            </w:tcBorders>
            <w:noWrap/>
            <w:hideMark/>
          </w:tcPr>
          <w:p w14:paraId="6FCD6678" w14:textId="782E3A8E" w:rsidR="006F0298" w:rsidRPr="00703A0B" w:rsidRDefault="00600B10" w:rsidP="002E390E">
            <w:pPr>
              <w:rPr>
                <w:rFonts w:eastAsia="Times New Roman" w:cs="Arial"/>
                <w:color w:val="000000"/>
                <w:szCs w:val="22"/>
                <w:lang w:eastAsia="en-AU"/>
              </w:rPr>
            </w:pPr>
            <w:r w:rsidRPr="00703A0B">
              <w:t>16</w:t>
            </w:r>
          </w:p>
        </w:tc>
        <w:tc>
          <w:tcPr>
            <w:tcW w:w="860" w:type="pct"/>
            <w:tcBorders>
              <w:top w:val="nil"/>
              <w:left w:val="nil"/>
              <w:bottom w:val="single" w:sz="4" w:space="0" w:color="auto"/>
              <w:right w:val="single" w:sz="4" w:space="0" w:color="auto"/>
            </w:tcBorders>
            <w:hideMark/>
          </w:tcPr>
          <w:p w14:paraId="35E0FFAF" w14:textId="2089414A" w:rsidR="006F0298" w:rsidRPr="00703A0B" w:rsidRDefault="00600B10" w:rsidP="002E390E">
            <w:pPr>
              <w:rPr>
                <w:rFonts w:eastAsia="Times New Roman" w:cs="Arial"/>
                <w:color w:val="000000"/>
                <w:szCs w:val="22"/>
                <w:lang w:eastAsia="en-AU"/>
              </w:rPr>
            </w:pPr>
            <w:r w:rsidRPr="00703A0B">
              <w:t>$1,280,482</w:t>
            </w:r>
          </w:p>
        </w:tc>
      </w:tr>
      <w:tr w:rsidR="006F0298" w:rsidRPr="00703A0B" w14:paraId="37740EBA" w14:textId="77777777" w:rsidTr="002E390E">
        <w:tc>
          <w:tcPr>
            <w:tcW w:w="1557" w:type="pct"/>
            <w:tcBorders>
              <w:top w:val="nil"/>
              <w:left w:val="single" w:sz="4" w:space="0" w:color="auto"/>
              <w:bottom w:val="single" w:sz="4" w:space="0" w:color="auto"/>
              <w:right w:val="single" w:sz="4" w:space="0" w:color="auto"/>
            </w:tcBorders>
            <w:noWrap/>
            <w:hideMark/>
          </w:tcPr>
          <w:p w14:paraId="6BD302CE" w14:textId="7E470998" w:rsidR="006F0298" w:rsidRPr="00703A0B" w:rsidRDefault="006F0298" w:rsidP="00B519CC">
            <w:pPr>
              <w:rPr>
                <w:rFonts w:eastAsia="Times New Roman" w:cs="Arial"/>
                <w:color w:val="000000"/>
                <w:szCs w:val="22"/>
                <w:lang w:eastAsia="en-AU"/>
              </w:rPr>
            </w:pPr>
            <w:r w:rsidRPr="00703A0B">
              <w:rPr>
                <w:rFonts w:eastAsia="Times New Roman" w:cs="Arial"/>
                <w:color w:val="000000"/>
                <w:szCs w:val="22"/>
                <w:lang w:eastAsia="en-AU"/>
              </w:rPr>
              <w:t>$113,457.60</w:t>
            </w:r>
            <w:r w:rsidR="00345698" w:rsidRPr="00703A0B">
              <w:rPr>
                <w:rFonts w:eastAsia="Times New Roman" w:cs="Arial"/>
                <w:color w:val="000000"/>
                <w:szCs w:val="22"/>
                <w:lang w:eastAsia="en-AU"/>
              </w:rPr>
              <w:t>–</w:t>
            </w:r>
            <w:r w:rsidRPr="00703A0B">
              <w:rPr>
                <w:rFonts w:eastAsia="Times New Roman" w:cs="Arial"/>
                <w:color w:val="000000"/>
                <w:szCs w:val="22"/>
                <w:lang w:eastAsia="en-AU"/>
              </w:rPr>
              <w:t>$283,644.05</w:t>
            </w:r>
          </w:p>
        </w:tc>
        <w:tc>
          <w:tcPr>
            <w:tcW w:w="861" w:type="pct"/>
            <w:tcBorders>
              <w:top w:val="nil"/>
              <w:left w:val="nil"/>
              <w:bottom w:val="single" w:sz="4" w:space="0" w:color="auto"/>
              <w:right w:val="single" w:sz="4" w:space="0" w:color="auto"/>
            </w:tcBorders>
            <w:noWrap/>
            <w:hideMark/>
          </w:tcPr>
          <w:p w14:paraId="191F8137" w14:textId="4C9A7658" w:rsidR="006F0298" w:rsidRPr="00703A0B" w:rsidRDefault="00600B10" w:rsidP="002E390E">
            <w:pPr>
              <w:rPr>
                <w:rFonts w:eastAsia="Times New Roman" w:cs="Arial"/>
                <w:color w:val="000000"/>
                <w:szCs w:val="22"/>
                <w:lang w:eastAsia="en-AU"/>
              </w:rPr>
            </w:pPr>
            <w:r w:rsidRPr="00703A0B">
              <w:t>12</w:t>
            </w:r>
          </w:p>
        </w:tc>
        <w:tc>
          <w:tcPr>
            <w:tcW w:w="861" w:type="pct"/>
            <w:tcBorders>
              <w:top w:val="nil"/>
              <w:left w:val="nil"/>
              <w:bottom w:val="single" w:sz="4" w:space="0" w:color="auto"/>
              <w:right w:val="single" w:sz="4" w:space="0" w:color="auto"/>
            </w:tcBorders>
            <w:hideMark/>
          </w:tcPr>
          <w:p w14:paraId="68ACCF81" w14:textId="5CBAEC3A" w:rsidR="006F0298" w:rsidRPr="00703A0B" w:rsidRDefault="00600B10" w:rsidP="002E390E">
            <w:pPr>
              <w:rPr>
                <w:rFonts w:eastAsia="Times New Roman" w:cs="Arial"/>
                <w:color w:val="000000"/>
                <w:szCs w:val="22"/>
                <w:lang w:eastAsia="en-AU"/>
              </w:rPr>
            </w:pPr>
            <w:r w:rsidRPr="00703A0B">
              <w:t>$2,151,266</w:t>
            </w:r>
          </w:p>
        </w:tc>
        <w:tc>
          <w:tcPr>
            <w:tcW w:w="861" w:type="pct"/>
            <w:tcBorders>
              <w:top w:val="nil"/>
              <w:left w:val="nil"/>
              <w:bottom w:val="single" w:sz="4" w:space="0" w:color="auto"/>
              <w:right w:val="single" w:sz="4" w:space="0" w:color="auto"/>
            </w:tcBorders>
            <w:noWrap/>
            <w:hideMark/>
          </w:tcPr>
          <w:p w14:paraId="48A16E5D" w14:textId="0A055A3F" w:rsidR="006F0298" w:rsidRPr="00703A0B" w:rsidRDefault="00600B10" w:rsidP="002E390E">
            <w:pPr>
              <w:rPr>
                <w:rFonts w:eastAsia="Times New Roman" w:cs="Arial"/>
                <w:color w:val="000000"/>
                <w:szCs w:val="22"/>
                <w:lang w:eastAsia="en-AU"/>
              </w:rPr>
            </w:pPr>
            <w:r w:rsidRPr="00703A0B">
              <w:t>4</w:t>
            </w:r>
          </w:p>
        </w:tc>
        <w:tc>
          <w:tcPr>
            <w:tcW w:w="860" w:type="pct"/>
            <w:tcBorders>
              <w:top w:val="nil"/>
              <w:left w:val="nil"/>
              <w:bottom w:val="single" w:sz="4" w:space="0" w:color="auto"/>
              <w:right w:val="single" w:sz="4" w:space="0" w:color="auto"/>
            </w:tcBorders>
            <w:hideMark/>
          </w:tcPr>
          <w:p w14:paraId="7413D234" w14:textId="0A63C8F4" w:rsidR="006F0298" w:rsidRPr="00703A0B" w:rsidRDefault="00600B10" w:rsidP="002E390E">
            <w:pPr>
              <w:rPr>
                <w:rFonts w:eastAsia="Times New Roman" w:cs="Arial"/>
                <w:color w:val="000000"/>
                <w:szCs w:val="22"/>
                <w:lang w:eastAsia="en-AU"/>
              </w:rPr>
            </w:pPr>
            <w:r w:rsidRPr="00703A0B">
              <w:t>$742,051</w:t>
            </w:r>
          </w:p>
        </w:tc>
      </w:tr>
      <w:tr w:rsidR="006F0298" w:rsidRPr="00703A0B" w14:paraId="3645F0AE" w14:textId="77777777" w:rsidTr="002E390E">
        <w:tc>
          <w:tcPr>
            <w:tcW w:w="1557" w:type="pct"/>
            <w:tcBorders>
              <w:top w:val="nil"/>
              <w:left w:val="single" w:sz="4" w:space="0" w:color="auto"/>
              <w:bottom w:val="single" w:sz="4" w:space="0" w:color="auto"/>
              <w:right w:val="single" w:sz="4" w:space="0" w:color="auto"/>
            </w:tcBorders>
            <w:noWrap/>
            <w:hideMark/>
          </w:tcPr>
          <w:p w14:paraId="7A65B688" w14:textId="06480262" w:rsidR="006F0298" w:rsidRPr="00703A0B" w:rsidRDefault="006F0298" w:rsidP="00B519CC">
            <w:pPr>
              <w:rPr>
                <w:rFonts w:eastAsia="Times New Roman" w:cs="Arial"/>
                <w:color w:val="000000"/>
                <w:szCs w:val="22"/>
                <w:lang w:eastAsia="en-AU"/>
              </w:rPr>
            </w:pPr>
            <w:r w:rsidRPr="00703A0B">
              <w:rPr>
                <w:rFonts w:eastAsia="Times New Roman" w:cs="Arial"/>
                <w:color w:val="000000"/>
                <w:szCs w:val="22"/>
                <w:lang w:eastAsia="en-AU"/>
              </w:rPr>
              <w:t>$283,644.05</w:t>
            </w:r>
            <w:r w:rsidR="00345698" w:rsidRPr="00703A0B">
              <w:rPr>
                <w:rFonts w:eastAsia="Times New Roman" w:cs="Arial"/>
                <w:color w:val="000000"/>
                <w:szCs w:val="22"/>
                <w:lang w:eastAsia="en-AU"/>
              </w:rPr>
              <w:t>–</w:t>
            </w:r>
            <w:r w:rsidRPr="00703A0B">
              <w:rPr>
                <w:rFonts w:eastAsia="Times New Roman" w:cs="Arial"/>
                <w:color w:val="000000"/>
                <w:szCs w:val="22"/>
                <w:lang w:eastAsia="en-AU"/>
              </w:rPr>
              <w:t>$567,288.05</w:t>
            </w:r>
          </w:p>
        </w:tc>
        <w:tc>
          <w:tcPr>
            <w:tcW w:w="861" w:type="pct"/>
            <w:tcBorders>
              <w:top w:val="nil"/>
              <w:left w:val="nil"/>
              <w:bottom w:val="single" w:sz="4" w:space="0" w:color="auto"/>
              <w:right w:val="single" w:sz="4" w:space="0" w:color="auto"/>
            </w:tcBorders>
            <w:noWrap/>
            <w:hideMark/>
          </w:tcPr>
          <w:p w14:paraId="2B186BC1" w14:textId="3120F69C" w:rsidR="006F0298" w:rsidRPr="00703A0B" w:rsidRDefault="00600B10" w:rsidP="002E390E">
            <w:pPr>
              <w:rPr>
                <w:rFonts w:eastAsia="Times New Roman" w:cs="Arial"/>
                <w:color w:val="000000"/>
                <w:szCs w:val="22"/>
                <w:lang w:eastAsia="en-AU"/>
              </w:rPr>
            </w:pPr>
            <w:r w:rsidRPr="00703A0B">
              <w:t>6</w:t>
            </w:r>
          </w:p>
        </w:tc>
        <w:tc>
          <w:tcPr>
            <w:tcW w:w="861" w:type="pct"/>
            <w:tcBorders>
              <w:top w:val="nil"/>
              <w:left w:val="nil"/>
              <w:bottom w:val="single" w:sz="4" w:space="0" w:color="auto"/>
              <w:right w:val="single" w:sz="4" w:space="0" w:color="auto"/>
            </w:tcBorders>
            <w:hideMark/>
          </w:tcPr>
          <w:p w14:paraId="62EA97C3" w14:textId="58A17A77" w:rsidR="006F0298" w:rsidRPr="00703A0B" w:rsidRDefault="00600B10" w:rsidP="002E390E">
            <w:pPr>
              <w:rPr>
                <w:rFonts w:eastAsia="Times New Roman" w:cs="Arial"/>
                <w:color w:val="000000"/>
                <w:szCs w:val="22"/>
                <w:lang w:eastAsia="en-AU"/>
              </w:rPr>
            </w:pPr>
            <w:r w:rsidRPr="00703A0B">
              <w:t>$2,204,087</w:t>
            </w:r>
          </w:p>
        </w:tc>
        <w:tc>
          <w:tcPr>
            <w:tcW w:w="861" w:type="pct"/>
            <w:tcBorders>
              <w:top w:val="nil"/>
              <w:left w:val="nil"/>
              <w:bottom w:val="single" w:sz="4" w:space="0" w:color="auto"/>
              <w:right w:val="single" w:sz="4" w:space="0" w:color="auto"/>
            </w:tcBorders>
            <w:noWrap/>
            <w:hideMark/>
          </w:tcPr>
          <w:p w14:paraId="5CCD0D13" w14:textId="45E3FF1F" w:rsidR="006F0298" w:rsidRPr="00703A0B" w:rsidRDefault="00600B10" w:rsidP="002E390E">
            <w:pPr>
              <w:rPr>
                <w:rFonts w:eastAsia="Times New Roman" w:cs="Arial"/>
                <w:color w:val="000000"/>
                <w:szCs w:val="22"/>
                <w:lang w:eastAsia="en-AU"/>
              </w:rPr>
            </w:pPr>
            <w:r w:rsidRPr="00703A0B">
              <w:t>4</w:t>
            </w:r>
          </w:p>
        </w:tc>
        <w:tc>
          <w:tcPr>
            <w:tcW w:w="860" w:type="pct"/>
            <w:tcBorders>
              <w:top w:val="nil"/>
              <w:left w:val="nil"/>
              <w:bottom w:val="single" w:sz="4" w:space="0" w:color="auto"/>
              <w:right w:val="single" w:sz="4" w:space="0" w:color="auto"/>
            </w:tcBorders>
            <w:hideMark/>
          </w:tcPr>
          <w:p w14:paraId="417B67B2" w14:textId="56BF2493" w:rsidR="006F0298" w:rsidRPr="00703A0B" w:rsidRDefault="00600B10" w:rsidP="002E390E">
            <w:pPr>
              <w:rPr>
                <w:rFonts w:eastAsia="Times New Roman" w:cs="Arial"/>
                <w:color w:val="000000"/>
                <w:szCs w:val="22"/>
                <w:lang w:eastAsia="en-AU"/>
              </w:rPr>
            </w:pPr>
            <w:r w:rsidRPr="00703A0B">
              <w:t>$1,326,412</w:t>
            </w:r>
          </w:p>
        </w:tc>
      </w:tr>
      <w:tr w:rsidR="006F0298" w:rsidRPr="00703A0B" w14:paraId="47012C25" w14:textId="77777777" w:rsidTr="002E390E">
        <w:tc>
          <w:tcPr>
            <w:tcW w:w="1557" w:type="pct"/>
            <w:tcBorders>
              <w:top w:val="nil"/>
              <w:left w:val="single" w:sz="4" w:space="0" w:color="auto"/>
              <w:bottom w:val="single" w:sz="4" w:space="0" w:color="auto"/>
              <w:right w:val="single" w:sz="4" w:space="0" w:color="auto"/>
            </w:tcBorders>
            <w:noWrap/>
            <w:hideMark/>
          </w:tcPr>
          <w:p w14:paraId="342F14F5" w14:textId="13902E50" w:rsidR="006F0298" w:rsidRPr="00703A0B" w:rsidRDefault="006F0298" w:rsidP="00B519CC">
            <w:pPr>
              <w:rPr>
                <w:rFonts w:eastAsia="Times New Roman" w:cs="Arial"/>
                <w:color w:val="000000"/>
                <w:szCs w:val="22"/>
                <w:lang w:eastAsia="en-AU"/>
              </w:rPr>
            </w:pPr>
            <w:r w:rsidRPr="00703A0B">
              <w:rPr>
                <w:rFonts w:eastAsia="Times New Roman" w:cs="Arial"/>
                <w:color w:val="000000"/>
                <w:szCs w:val="22"/>
                <w:lang w:eastAsia="en-AU"/>
              </w:rPr>
              <w:t>$567,288.05</w:t>
            </w:r>
            <w:r w:rsidR="00345698" w:rsidRPr="00703A0B">
              <w:rPr>
                <w:rFonts w:eastAsia="Times New Roman" w:cs="Arial"/>
                <w:color w:val="000000"/>
                <w:szCs w:val="22"/>
                <w:lang w:eastAsia="en-AU"/>
              </w:rPr>
              <w:t>–</w:t>
            </w:r>
            <w:r w:rsidRPr="00703A0B">
              <w:rPr>
                <w:rFonts w:eastAsia="Times New Roman" w:cs="Arial"/>
                <w:color w:val="000000"/>
                <w:szCs w:val="22"/>
                <w:lang w:eastAsia="en-AU"/>
              </w:rPr>
              <w:t>$850,932.15</w:t>
            </w:r>
          </w:p>
        </w:tc>
        <w:tc>
          <w:tcPr>
            <w:tcW w:w="861" w:type="pct"/>
            <w:tcBorders>
              <w:top w:val="nil"/>
              <w:left w:val="nil"/>
              <w:bottom w:val="single" w:sz="4" w:space="0" w:color="auto"/>
              <w:right w:val="single" w:sz="4" w:space="0" w:color="auto"/>
            </w:tcBorders>
            <w:noWrap/>
            <w:hideMark/>
          </w:tcPr>
          <w:p w14:paraId="0D43DB5D" w14:textId="7DEAECD9" w:rsidR="006F0298" w:rsidRPr="00703A0B" w:rsidRDefault="00600B10" w:rsidP="002E390E">
            <w:pPr>
              <w:rPr>
                <w:rFonts w:eastAsia="Times New Roman" w:cs="Arial"/>
                <w:color w:val="000000"/>
                <w:szCs w:val="22"/>
                <w:lang w:eastAsia="en-AU"/>
              </w:rPr>
            </w:pPr>
            <w:r w:rsidRPr="00703A0B">
              <w:t>1</w:t>
            </w:r>
          </w:p>
        </w:tc>
        <w:tc>
          <w:tcPr>
            <w:tcW w:w="861" w:type="pct"/>
            <w:tcBorders>
              <w:top w:val="nil"/>
              <w:left w:val="nil"/>
              <w:bottom w:val="single" w:sz="4" w:space="0" w:color="auto"/>
              <w:right w:val="single" w:sz="4" w:space="0" w:color="auto"/>
            </w:tcBorders>
            <w:hideMark/>
          </w:tcPr>
          <w:p w14:paraId="7F4348E3" w14:textId="388D2BAE" w:rsidR="006F0298" w:rsidRPr="00703A0B" w:rsidRDefault="00600B10" w:rsidP="002E390E">
            <w:pPr>
              <w:rPr>
                <w:rFonts w:eastAsia="Times New Roman" w:cs="Arial"/>
                <w:color w:val="000000"/>
                <w:szCs w:val="22"/>
                <w:lang w:eastAsia="en-AU"/>
              </w:rPr>
            </w:pPr>
            <w:r w:rsidRPr="00703A0B">
              <w:t>$736,624</w:t>
            </w:r>
          </w:p>
        </w:tc>
        <w:tc>
          <w:tcPr>
            <w:tcW w:w="861" w:type="pct"/>
            <w:tcBorders>
              <w:top w:val="nil"/>
              <w:left w:val="nil"/>
              <w:bottom w:val="single" w:sz="4" w:space="0" w:color="auto"/>
              <w:right w:val="single" w:sz="4" w:space="0" w:color="auto"/>
            </w:tcBorders>
            <w:noWrap/>
            <w:hideMark/>
          </w:tcPr>
          <w:p w14:paraId="53501EF4" w14:textId="1AD18CF4" w:rsidR="006F0298" w:rsidRPr="00703A0B" w:rsidRDefault="00600B10" w:rsidP="002E390E">
            <w:pPr>
              <w:rPr>
                <w:rFonts w:eastAsia="Times New Roman" w:cs="Arial"/>
                <w:color w:val="000000"/>
                <w:szCs w:val="22"/>
                <w:lang w:eastAsia="en-AU"/>
              </w:rPr>
            </w:pPr>
            <w:r w:rsidRPr="00703A0B">
              <w:t>0</w:t>
            </w:r>
          </w:p>
        </w:tc>
        <w:tc>
          <w:tcPr>
            <w:tcW w:w="860" w:type="pct"/>
            <w:tcBorders>
              <w:top w:val="nil"/>
              <w:left w:val="nil"/>
              <w:bottom w:val="single" w:sz="4" w:space="0" w:color="auto"/>
              <w:right w:val="single" w:sz="4" w:space="0" w:color="auto"/>
            </w:tcBorders>
            <w:hideMark/>
          </w:tcPr>
          <w:p w14:paraId="43C06576" w14:textId="74191ED7" w:rsidR="006F0298" w:rsidRPr="00703A0B" w:rsidRDefault="00600B10" w:rsidP="002E390E">
            <w:pPr>
              <w:rPr>
                <w:rFonts w:eastAsia="Times New Roman" w:cs="Arial"/>
                <w:color w:val="000000"/>
                <w:szCs w:val="22"/>
                <w:lang w:eastAsia="en-AU"/>
              </w:rPr>
            </w:pPr>
            <w:r w:rsidRPr="00703A0B">
              <w:t>$0</w:t>
            </w:r>
          </w:p>
        </w:tc>
      </w:tr>
      <w:tr w:rsidR="006F0298" w:rsidRPr="00703A0B" w14:paraId="4B31DF0A" w14:textId="77777777" w:rsidTr="002E390E">
        <w:tc>
          <w:tcPr>
            <w:tcW w:w="1557" w:type="pct"/>
            <w:tcBorders>
              <w:top w:val="nil"/>
              <w:left w:val="single" w:sz="4" w:space="0" w:color="auto"/>
              <w:bottom w:val="single" w:sz="4" w:space="0" w:color="auto"/>
              <w:right w:val="single" w:sz="4" w:space="0" w:color="auto"/>
            </w:tcBorders>
            <w:noWrap/>
            <w:hideMark/>
          </w:tcPr>
          <w:p w14:paraId="13075DD6" w14:textId="1D4D7C32" w:rsidR="006F0298" w:rsidRPr="00703A0B" w:rsidRDefault="006F0298" w:rsidP="00B519CC">
            <w:pPr>
              <w:rPr>
                <w:rFonts w:eastAsia="Times New Roman" w:cs="Arial"/>
                <w:color w:val="000000"/>
                <w:szCs w:val="22"/>
                <w:lang w:eastAsia="en-AU"/>
              </w:rPr>
            </w:pPr>
            <w:r w:rsidRPr="00703A0B">
              <w:rPr>
                <w:rFonts w:eastAsia="Times New Roman" w:cs="Arial"/>
                <w:color w:val="000000"/>
                <w:szCs w:val="22"/>
                <w:lang w:eastAsia="en-AU"/>
              </w:rPr>
              <w:t>$850,932.15</w:t>
            </w:r>
            <w:r w:rsidR="00345698" w:rsidRPr="00703A0B">
              <w:rPr>
                <w:rFonts w:eastAsia="Times New Roman" w:cs="Arial"/>
                <w:color w:val="000000"/>
                <w:szCs w:val="22"/>
                <w:lang w:eastAsia="en-AU"/>
              </w:rPr>
              <w:t>–</w:t>
            </w:r>
            <w:r w:rsidRPr="00703A0B">
              <w:rPr>
                <w:rFonts w:eastAsia="Times New Roman" w:cs="Arial"/>
                <w:color w:val="000000"/>
                <w:szCs w:val="22"/>
                <w:lang w:eastAsia="en-AU"/>
              </w:rPr>
              <w:t>$1,236,206.95</w:t>
            </w:r>
          </w:p>
        </w:tc>
        <w:tc>
          <w:tcPr>
            <w:tcW w:w="861" w:type="pct"/>
            <w:tcBorders>
              <w:top w:val="nil"/>
              <w:left w:val="nil"/>
              <w:bottom w:val="single" w:sz="4" w:space="0" w:color="auto"/>
              <w:right w:val="single" w:sz="4" w:space="0" w:color="auto"/>
            </w:tcBorders>
            <w:noWrap/>
            <w:hideMark/>
          </w:tcPr>
          <w:p w14:paraId="1CA79EC8" w14:textId="02C112C6" w:rsidR="006F0298" w:rsidRPr="00703A0B" w:rsidRDefault="00600B10" w:rsidP="002E390E">
            <w:pPr>
              <w:rPr>
                <w:rFonts w:eastAsia="Times New Roman" w:cs="Arial"/>
                <w:color w:val="000000"/>
                <w:szCs w:val="22"/>
                <w:lang w:eastAsia="en-AU"/>
              </w:rPr>
            </w:pPr>
            <w:r w:rsidRPr="00703A0B">
              <w:t>1</w:t>
            </w:r>
          </w:p>
        </w:tc>
        <w:tc>
          <w:tcPr>
            <w:tcW w:w="861" w:type="pct"/>
            <w:tcBorders>
              <w:top w:val="nil"/>
              <w:left w:val="nil"/>
              <w:bottom w:val="single" w:sz="4" w:space="0" w:color="auto"/>
              <w:right w:val="single" w:sz="4" w:space="0" w:color="auto"/>
            </w:tcBorders>
            <w:hideMark/>
          </w:tcPr>
          <w:p w14:paraId="65830F6F" w14:textId="43F9E25D" w:rsidR="006F0298" w:rsidRPr="00703A0B" w:rsidRDefault="00600B10" w:rsidP="002E390E">
            <w:pPr>
              <w:rPr>
                <w:rFonts w:eastAsia="Times New Roman" w:cs="Arial"/>
                <w:color w:val="000000"/>
                <w:szCs w:val="22"/>
                <w:lang w:eastAsia="en-AU"/>
              </w:rPr>
            </w:pPr>
            <w:r w:rsidRPr="00703A0B">
              <w:t>$853,243</w:t>
            </w:r>
          </w:p>
        </w:tc>
        <w:tc>
          <w:tcPr>
            <w:tcW w:w="861" w:type="pct"/>
            <w:tcBorders>
              <w:top w:val="nil"/>
              <w:left w:val="nil"/>
              <w:bottom w:val="single" w:sz="4" w:space="0" w:color="auto"/>
              <w:right w:val="single" w:sz="4" w:space="0" w:color="auto"/>
            </w:tcBorders>
            <w:noWrap/>
            <w:hideMark/>
          </w:tcPr>
          <w:p w14:paraId="6FF3F8AD" w14:textId="646DD89C" w:rsidR="006F0298" w:rsidRPr="00703A0B" w:rsidRDefault="00600B10" w:rsidP="002E390E">
            <w:pPr>
              <w:rPr>
                <w:rFonts w:eastAsia="Times New Roman" w:cs="Arial"/>
                <w:color w:val="000000"/>
                <w:szCs w:val="22"/>
                <w:lang w:eastAsia="en-AU"/>
              </w:rPr>
            </w:pPr>
            <w:r w:rsidRPr="00703A0B">
              <w:t>1</w:t>
            </w:r>
          </w:p>
        </w:tc>
        <w:tc>
          <w:tcPr>
            <w:tcW w:w="860" w:type="pct"/>
            <w:tcBorders>
              <w:top w:val="nil"/>
              <w:left w:val="nil"/>
              <w:bottom w:val="single" w:sz="4" w:space="0" w:color="auto"/>
              <w:right w:val="single" w:sz="4" w:space="0" w:color="auto"/>
            </w:tcBorders>
            <w:hideMark/>
          </w:tcPr>
          <w:p w14:paraId="7D97FF80" w14:textId="651BCCCF" w:rsidR="006F0298" w:rsidRPr="00703A0B" w:rsidRDefault="00600B10" w:rsidP="002E390E">
            <w:pPr>
              <w:rPr>
                <w:rFonts w:eastAsia="Times New Roman" w:cs="Arial"/>
                <w:color w:val="000000"/>
                <w:szCs w:val="22"/>
                <w:lang w:eastAsia="en-AU"/>
              </w:rPr>
            </w:pPr>
            <w:r w:rsidRPr="00703A0B">
              <w:t>$992,714</w:t>
            </w:r>
          </w:p>
        </w:tc>
      </w:tr>
      <w:tr w:rsidR="006F0298" w:rsidRPr="00703A0B" w14:paraId="3D6AA139" w14:textId="77777777" w:rsidTr="002E390E">
        <w:tc>
          <w:tcPr>
            <w:tcW w:w="1557" w:type="pct"/>
            <w:tcBorders>
              <w:top w:val="nil"/>
              <w:left w:val="single" w:sz="4" w:space="0" w:color="auto"/>
              <w:bottom w:val="single" w:sz="4" w:space="0" w:color="auto"/>
              <w:right w:val="single" w:sz="4" w:space="0" w:color="auto"/>
            </w:tcBorders>
            <w:noWrap/>
            <w:hideMark/>
          </w:tcPr>
          <w:p w14:paraId="5346611E" w14:textId="77777777" w:rsidR="006F0298" w:rsidRPr="00703A0B" w:rsidRDefault="006F0298" w:rsidP="00B519CC">
            <w:pPr>
              <w:rPr>
                <w:rFonts w:eastAsia="Times New Roman" w:cs="Arial"/>
                <w:color w:val="000000"/>
                <w:szCs w:val="22"/>
                <w:lang w:eastAsia="en-AU"/>
              </w:rPr>
            </w:pPr>
            <w:r w:rsidRPr="00703A0B">
              <w:rPr>
                <w:rFonts w:eastAsia="Times New Roman" w:cs="Arial"/>
                <w:color w:val="000000"/>
                <w:szCs w:val="22"/>
                <w:lang w:eastAsia="en-AU"/>
              </w:rPr>
              <w:t>&gt; $1,236,206.95</w:t>
            </w:r>
          </w:p>
        </w:tc>
        <w:tc>
          <w:tcPr>
            <w:tcW w:w="861" w:type="pct"/>
            <w:tcBorders>
              <w:top w:val="nil"/>
              <w:left w:val="nil"/>
              <w:bottom w:val="single" w:sz="4" w:space="0" w:color="auto"/>
              <w:right w:val="single" w:sz="4" w:space="0" w:color="auto"/>
            </w:tcBorders>
            <w:noWrap/>
            <w:hideMark/>
          </w:tcPr>
          <w:p w14:paraId="4E08979C" w14:textId="768D0FDE" w:rsidR="006F0298" w:rsidRPr="00703A0B" w:rsidRDefault="00600B10" w:rsidP="002E390E">
            <w:pPr>
              <w:rPr>
                <w:rFonts w:eastAsia="Times New Roman" w:cs="Arial"/>
                <w:color w:val="000000"/>
                <w:szCs w:val="22"/>
                <w:lang w:eastAsia="en-AU"/>
              </w:rPr>
            </w:pPr>
            <w:r w:rsidRPr="00703A0B">
              <w:t>12</w:t>
            </w:r>
          </w:p>
        </w:tc>
        <w:tc>
          <w:tcPr>
            <w:tcW w:w="861" w:type="pct"/>
            <w:tcBorders>
              <w:top w:val="nil"/>
              <w:left w:val="nil"/>
              <w:bottom w:val="single" w:sz="4" w:space="0" w:color="auto"/>
              <w:right w:val="single" w:sz="4" w:space="0" w:color="auto"/>
            </w:tcBorders>
            <w:hideMark/>
          </w:tcPr>
          <w:p w14:paraId="3AAD2219" w14:textId="1CA69C5B" w:rsidR="006F0298" w:rsidRPr="00703A0B" w:rsidRDefault="00600B10" w:rsidP="002E390E">
            <w:pPr>
              <w:rPr>
                <w:rFonts w:eastAsia="Times New Roman" w:cs="Arial"/>
                <w:color w:val="000000"/>
                <w:szCs w:val="22"/>
                <w:lang w:eastAsia="en-AU"/>
              </w:rPr>
            </w:pPr>
            <w:r w:rsidRPr="00703A0B">
              <w:t>$491,125,496</w:t>
            </w:r>
          </w:p>
        </w:tc>
        <w:tc>
          <w:tcPr>
            <w:tcW w:w="861" w:type="pct"/>
            <w:tcBorders>
              <w:top w:val="nil"/>
              <w:left w:val="nil"/>
              <w:bottom w:val="single" w:sz="4" w:space="0" w:color="auto"/>
              <w:right w:val="single" w:sz="4" w:space="0" w:color="auto"/>
            </w:tcBorders>
            <w:noWrap/>
            <w:hideMark/>
          </w:tcPr>
          <w:p w14:paraId="1F01FE8A" w14:textId="3EC90755" w:rsidR="006F0298" w:rsidRPr="00703A0B" w:rsidRDefault="00600B10" w:rsidP="002E390E">
            <w:pPr>
              <w:rPr>
                <w:rFonts w:eastAsia="Times New Roman" w:cs="Arial"/>
                <w:color w:val="000000"/>
                <w:szCs w:val="22"/>
                <w:lang w:eastAsia="en-AU"/>
              </w:rPr>
            </w:pPr>
            <w:r w:rsidRPr="00703A0B">
              <w:t>1</w:t>
            </w:r>
          </w:p>
        </w:tc>
        <w:tc>
          <w:tcPr>
            <w:tcW w:w="860" w:type="pct"/>
            <w:tcBorders>
              <w:top w:val="nil"/>
              <w:left w:val="nil"/>
              <w:bottom w:val="single" w:sz="4" w:space="0" w:color="auto"/>
              <w:right w:val="single" w:sz="4" w:space="0" w:color="auto"/>
            </w:tcBorders>
            <w:hideMark/>
          </w:tcPr>
          <w:p w14:paraId="2A8EA55D" w14:textId="412B0B2A" w:rsidR="006F0298" w:rsidRPr="00703A0B" w:rsidRDefault="00600B10" w:rsidP="002E390E">
            <w:pPr>
              <w:rPr>
                <w:rFonts w:eastAsia="Times New Roman" w:cs="Arial"/>
                <w:color w:val="000000"/>
                <w:szCs w:val="22"/>
                <w:lang w:eastAsia="en-AU"/>
              </w:rPr>
            </w:pPr>
            <w:r w:rsidRPr="00703A0B">
              <w:t>$315,005,248</w:t>
            </w:r>
          </w:p>
        </w:tc>
      </w:tr>
      <w:tr w:rsidR="006F0298" w:rsidRPr="00703A0B" w14:paraId="5B86CD82" w14:textId="77777777" w:rsidTr="002E390E">
        <w:tc>
          <w:tcPr>
            <w:tcW w:w="1557" w:type="pct"/>
            <w:tcBorders>
              <w:top w:val="nil"/>
              <w:left w:val="single" w:sz="4" w:space="0" w:color="auto"/>
              <w:bottom w:val="single" w:sz="4" w:space="0" w:color="auto"/>
              <w:right w:val="single" w:sz="4" w:space="0" w:color="auto"/>
            </w:tcBorders>
            <w:noWrap/>
            <w:hideMark/>
          </w:tcPr>
          <w:p w14:paraId="3EB7E9A4" w14:textId="77777777" w:rsidR="006F0298" w:rsidRPr="00703A0B" w:rsidRDefault="006F0298" w:rsidP="00B519CC">
            <w:pPr>
              <w:rPr>
                <w:rFonts w:eastAsia="Times New Roman" w:cs="Arial"/>
                <w:b/>
                <w:bCs/>
                <w:color w:val="000000"/>
                <w:szCs w:val="22"/>
                <w:lang w:eastAsia="en-AU"/>
              </w:rPr>
            </w:pPr>
            <w:r w:rsidRPr="00703A0B">
              <w:rPr>
                <w:rFonts w:eastAsia="Times New Roman" w:cs="Arial"/>
                <w:b/>
                <w:bCs/>
                <w:color w:val="000000"/>
                <w:szCs w:val="22"/>
                <w:lang w:eastAsia="en-AU"/>
              </w:rPr>
              <w:t>Total</w:t>
            </w:r>
          </w:p>
        </w:tc>
        <w:tc>
          <w:tcPr>
            <w:tcW w:w="861" w:type="pct"/>
            <w:tcBorders>
              <w:top w:val="nil"/>
              <w:left w:val="nil"/>
              <w:bottom w:val="single" w:sz="4" w:space="0" w:color="auto"/>
              <w:right w:val="single" w:sz="4" w:space="0" w:color="auto"/>
            </w:tcBorders>
            <w:noWrap/>
            <w:hideMark/>
          </w:tcPr>
          <w:p w14:paraId="308AFB91" w14:textId="2B582872" w:rsidR="006F0298" w:rsidRPr="00703A0B" w:rsidRDefault="00600B10" w:rsidP="002E390E">
            <w:pPr>
              <w:rPr>
                <w:rFonts w:eastAsia="Times New Roman" w:cs="Arial"/>
                <w:b/>
                <w:bCs/>
                <w:color w:val="000000"/>
                <w:szCs w:val="22"/>
                <w:lang w:eastAsia="en-AU"/>
              </w:rPr>
            </w:pPr>
            <w:r w:rsidRPr="00703A0B">
              <w:rPr>
                <w:b/>
                <w:bCs/>
              </w:rPr>
              <w:t>60</w:t>
            </w:r>
          </w:p>
        </w:tc>
        <w:tc>
          <w:tcPr>
            <w:tcW w:w="861" w:type="pct"/>
            <w:tcBorders>
              <w:top w:val="nil"/>
              <w:left w:val="nil"/>
              <w:bottom w:val="single" w:sz="4" w:space="0" w:color="auto"/>
              <w:right w:val="single" w:sz="4" w:space="0" w:color="auto"/>
            </w:tcBorders>
            <w:hideMark/>
          </w:tcPr>
          <w:p w14:paraId="5EE1ABFC" w14:textId="70145D40" w:rsidR="006F0298" w:rsidRPr="00703A0B" w:rsidRDefault="00600B10" w:rsidP="002E390E">
            <w:pPr>
              <w:rPr>
                <w:rFonts w:eastAsia="Times New Roman" w:cs="Arial"/>
                <w:b/>
                <w:bCs/>
                <w:color w:val="000000"/>
                <w:szCs w:val="22"/>
                <w:lang w:eastAsia="en-AU"/>
              </w:rPr>
            </w:pPr>
            <w:r w:rsidRPr="00703A0B">
              <w:rPr>
                <w:b/>
                <w:bCs/>
              </w:rPr>
              <w:t>$498,016,744</w:t>
            </w:r>
          </w:p>
        </w:tc>
        <w:tc>
          <w:tcPr>
            <w:tcW w:w="861" w:type="pct"/>
            <w:tcBorders>
              <w:top w:val="nil"/>
              <w:left w:val="nil"/>
              <w:bottom w:val="single" w:sz="4" w:space="0" w:color="auto"/>
              <w:right w:val="single" w:sz="4" w:space="0" w:color="auto"/>
            </w:tcBorders>
            <w:noWrap/>
            <w:hideMark/>
          </w:tcPr>
          <w:p w14:paraId="128FD93D" w14:textId="584A5729" w:rsidR="006F0298" w:rsidRPr="00703A0B" w:rsidRDefault="00600B10" w:rsidP="002E390E">
            <w:pPr>
              <w:rPr>
                <w:rFonts w:eastAsia="Times New Roman" w:cs="Arial"/>
                <w:b/>
                <w:bCs/>
                <w:color w:val="000000"/>
                <w:szCs w:val="22"/>
                <w:lang w:eastAsia="en-AU"/>
              </w:rPr>
            </w:pPr>
            <w:r w:rsidRPr="00703A0B">
              <w:rPr>
                <w:b/>
                <w:bCs/>
              </w:rPr>
              <w:t>98</w:t>
            </w:r>
          </w:p>
        </w:tc>
        <w:tc>
          <w:tcPr>
            <w:tcW w:w="860" w:type="pct"/>
            <w:tcBorders>
              <w:top w:val="nil"/>
              <w:left w:val="nil"/>
              <w:bottom w:val="single" w:sz="4" w:space="0" w:color="auto"/>
              <w:right w:val="single" w:sz="4" w:space="0" w:color="auto"/>
            </w:tcBorders>
            <w:hideMark/>
          </w:tcPr>
          <w:p w14:paraId="338DA1D9" w14:textId="36FEA3ED" w:rsidR="006F0298" w:rsidRPr="00703A0B" w:rsidRDefault="00600B10" w:rsidP="002E390E">
            <w:pPr>
              <w:rPr>
                <w:rFonts w:eastAsia="Times New Roman" w:cs="Arial"/>
                <w:b/>
                <w:bCs/>
                <w:color w:val="000000"/>
                <w:szCs w:val="22"/>
                <w:lang w:eastAsia="en-AU"/>
              </w:rPr>
            </w:pPr>
            <w:r w:rsidRPr="00703A0B">
              <w:rPr>
                <w:b/>
                <w:bCs/>
              </w:rPr>
              <w:t>$320,577,123</w:t>
            </w:r>
          </w:p>
        </w:tc>
      </w:tr>
    </w:tbl>
    <w:p w14:paraId="1C27E525" w14:textId="30AA533B" w:rsidR="00D46ABB" w:rsidRPr="00703A0B" w:rsidRDefault="00B5269E" w:rsidP="00AC6384">
      <w:pPr>
        <w:spacing w:before="240" w:after="240" w:line="257" w:lineRule="auto"/>
        <w:rPr>
          <w:rFonts w:eastAsia="Arial" w:cs="Arial"/>
          <w:szCs w:val="22"/>
        </w:rPr>
      </w:pPr>
      <w:r w:rsidRPr="00703A0B">
        <w:rPr>
          <w:rFonts w:eastAsia="Arial" w:cs="Arial"/>
          <w:szCs w:val="22"/>
        </w:rPr>
        <w:t xml:space="preserve">Withdrawn adjudication applications provide an important insight into the effectiveness of Queensland's security of payment framework. A significant proportion of applications were withdrawn because payment was made after the adjudication process had commenced, demonstrating that the availability of adjudication can encourage parties to resolve payment disputes </w:t>
      </w:r>
      <w:r w:rsidR="00FC6EFE" w:rsidRPr="00703A0B">
        <w:rPr>
          <w:rFonts w:eastAsia="Arial" w:cs="Arial"/>
          <w:szCs w:val="22"/>
        </w:rPr>
        <w:t xml:space="preserve">and secure </w:t>
      </w:r>
      <w:r w:rsidR="00ED534A" w:rsidRPr="00703A0B">
        <w:rPr>
          <w:rFonts w:eastAsia="Arial" w:cs="Arial"/>
          <w:szCs w:val="22"/>
        </w:rPr>
        <w:t>payment outcomes</w:t>
      </w:r>
      <w:r w:rsidRPr="00703A0B">
        <w:rPr>
          <w:rFonts w:eastAsia="Arial" w:cs="Arial"/>
          <w:szCs w:val="22"/>
        </w:rPr>
        <w:t xml:space="preserve"> without the need for a formal determination. </w:t>
      </w:r>
      <w:r w:rsidR="003F4873" w:rsidRPr="00703A0B">
        <w:rPr>
          <w:rFonts w:eastAsia="Arial" w:cs="Arial"/>
          <w:szCs w:val="22"/>
        </w:rPr>
        <w:t xml:space="preserve">Applications withdrawn following a notice of discontinuance further demonstrate </w:t>
      </w:r>
      <w:r w:rsidR="000039E4" w:rsidRPr="00703A0B">
        <w:rPr>
          <w:rFonts w:eastAsia="Arial" w:cs="Arial"/>
          <w:szCs w:val="22"/>
        </w:rPr>
        <w:t>the role adjudication plays in</w:t>
      </w:r>
      <w:r w:rsidR="003F4873" w:rsidRPr="00703A0B">
        <w:rPr>
          <w:rFonts w:eastAsia="Arial" w:cs="Arial"/>
          <w:szCs w:val="22"/>
        </w:rPr>
        <w:t xml:space="preserve"> facilitat</w:t>
      </w:r>
      <w:r w:rsidR="000039E4" w:rsidRPr="00703A0B">
        <w:rPr>
          <w:rFonts w:eastAsia="Arial" w:cs="Arial"/>
          <w:szCs w:val="22"/>
        </w:rPr>
        <w:t>ing</w:t>
      </w:r>
      <w:r w:rsidR="003F4873" w:rsidRPr="00703A0B">
        <w:rPr>
          <w:rFonts w:eastAsia="Arial" w:cs="Arial"/>
          <w:szCs w:val="22"/>
        </w:rPr>
        <w:t xml:space="preserve"> resolution at various stages of the dispute process, reducing the need for matters to proceed to a final decision. Early resolution of payment disputes helps minimise legal and administrative costs, reduces uncertainty for businesses and allows projects to continue with less disruption.</w:t>
      </w:r>
      <w:r w:rsidR="001A638B" w:rsidRPr="00703A0B">
        <w:rPr>
          <w:rFonts w:eastAsia="Arial" w:cs="Arial"/>
          <w:szCs w:val="22"/>
        </w:rPr>
        <w:t xml:space="preserve"> These outcomes demonstrate the broader value of </w:t>
      </w:r>
      <w:r w:rsidR="0024532C" w:rsidRPr="00703A0B">
        <w:rPr>
          <w:rFonts w:eastAsia="Arial" w:cs="Arial"/>
          <w:szCs w:val="22"/>
        </w:rPr>
        <w:t xml:space="preserve">the </w:t>
      </w:r>
      <w:r w:rsidR="001A638B" w:rsidRPr="00703A0B">
        <w:rPr>
          <w:rFonts w:eastAsia="Arial" w:cs="Arial"/>
          <w:szCs w:val="22"/>
        </w:rPr>
        <w:t>adjudication services beyond formal determinations.</w:t>
      </w:r>
    </w:p>
    <w:p w14:paraId="2290D962" w14:textId="1147D7D4" w:rsidR="006F0298" w:rsidRPr="00703A0B" w:rsidRDefault="006F0298" w:rsidP="00AC6384">
      <w:pPr>
        <w:pStyle w:val="Heading3"/>
        <w:rPr>
          <w:rFonts w:eastAsia="Arial" w:cs="Arial"/>
          <w:b w:val="0"/>
        </w:rPr>
      </w:pPr>
      <w:r w:rsidRPr="00703A0B">
        <w:rPr>
          <w:rFonts w:eastAsia="Arial" w:cs="Arial"/>
          <w:bCs/>
        </w:rPr>
        <w:t xml:space="preserve">Adjudication </w:t>
      </w:r>
      <w:r w:rsidR="000A07EC" w:rsidRPr="00703A0B">
        <w:rPr>
          <w:rFonts w:eastAsia="Arial" w:cs="Arial"/>
          <w:bCs/>
        </w:rPr>
        <w:t>d</w:t>
      </w:r>
      <w:r w:rsidRPr="00703A0B">
        <w:rPr>
          <w:rFonts w:eastAsia="Arial" w:cs="Arial"/>
          <w:bCs/>
        </w:rPr>
        <w:t>ecisions</w:t>
      </w:r>
    </w:p>
    <w:p w14:paraId="7D6A63CE" w14:textId="3C75542A" w:rsidR="006F0298" w:rsidRPr="00703A0B" w:rsidRDefault="006F0298" w:rsidP="00AC53AB">
      <w:pPr>
        <w:spacing w:before="120" w:after="120"/>
        <w:rPr>
          <w:rFonts w:cs="Arial"/>
        </w:rPr>
      </w:pPr>
      <w:r w:rsidRPr="00703A0B">
        <w:rPr>
          <w:rFonts w:eastAsia="Arial" w:cs="Arial"/>
          <w:szCs w:val="22"/>
        </w:rPr>
        <w:t>The Registry is responsible for appointing adjudicators</w:t>
      </w:r>
      <w:r w:rsidR="00D94FA8" w:rsidRPr="00703A0B">
        <w:rPr>
          <w:rFonts w:eastAsia="Arial" w:cs="Arial"/>
          <w:szCs w:val="22"/>
        </w:rPr>
        <w:t xml:space="preserve"> </w:t>
      </w:r>
      <w:r w:rsidRPr="00703A0B">
        <w:rPr>
          <w:rFonts w:eastAsia="Arial" w:cs="Arial"/>
          <w:szCs w:val="22"/>
        </w:rPr>
        <w:t>and records adjudication decision outcomes</w:t>
      </w:r>
      <w:r w:rsidR="008119E6" w:rsidRPr="00703A0B">
        <w:rPr>
          <w:rFonts w:eastAsia="Arial" w:cs="Arial"/>
          <w:szCs w:val="22"/>
        </w:rPr>
        <w:t xml:space="preserve"> once an </w:t>
      </w:r>
      <w:r w:rsidRPr="00703A0B">
        <w:rPr>
          <w:rFonts w:eastAsia="Arial" w:cs="Arial"/>
          <w:szCs w:val="22"/>
        </w:rPr>
        <w:t xml:space="preserve">adjudicator </w:t>
      </w:r>
      <w:r w:rsidR="007C2702" w:rsidRPr="00703A0B">
        <w:rPr>
          <w:rFonts w:eastAsia="Arial" w:cs="Arial"/>
          <w:szCs w:val="22"/>
        </w:rPr>
        <w:t xml:space="preserve">has </w:t>
      </w:r>
      <w:r w:rsidR="007C2702" w:rsidRPr="00703A0B" w:rsidDel="000727BB">
        <w:rPr>
          <w:rFonts w:eastAsia="Arial" w:cs="Arial"/>
          <w:szCs w:val="22"/>
        </w:rPr>
        <w:t>been</w:t>
      </w:r>
      <w:r w:rsidRPr="00703A0B" w:rsidDel="000727BB">
        <w:rPr>
          <w:rFonts w:eastAsia="Arial" w:cs="Arial"/>
          <w:szCs w:val="22"/>
        </w:rPr>
        <w:t xml:space="preserve"> paid their fees and release</w:t>
      </w:r>
      <w:r w:rsidR="007C2702" w:rsidRPr="00703A0B" w:rsidDel="000727BB">
        <w:rPr>
          <w:rFonts w:eastAsia="Arial" w:cs="Arial"/>
          <w:szCs w:val="22"/>
        </w:rPr>
        <w:t>d</w:t>
      </w:r>
      <w:r w:rsidRPr="00703A0B" w:rsidDel="000727BB">
        <w:rPr>
          <w:rFonts w:eastAsia="Arial" w:cs="Arial"/>
          <w:szCs w:val="22"/>
        </w:rPr>
        <w:t xml:space="preserve"> </w:t>
      </w:r>
      <w:r w:rsidRPr="00703A0B">
        <w:rPr>
          <w:rFonts w:eastAsia="Arial" w:cs="Arial"/>
          <w:szCs w:val="22"/>
        </w:rPr>
        <w:t>their decision to the parties</w:t>
      </w:r>
      <w:r w:rsidR="00BF33DA" w:rsidRPr="00703A0B">
        <w:rPr>
          <w:rFonts w:eastAsia="Arial" w:cs="Arial"/>
          <w:szCs w:val="22"/>
        </w:rPr>
        <w:t xml:space="preserve"> and the Registry</w:t>
      </w:r>
      <w:r w:rsidRPr="00703A0B">
        <w:rPr>
          <w:rFonts w:eastAsia="Arial" w:cs="Arial"/>
          <w:szCs w:val="22"/>
        </w:rPr>
        <w:t>.</w:t>
      </w:r>
      <w:r w:rsidR="006705EE" w:rsidRPr="00703A0B">
        <w:rPr>
          <w:rFonts w:eastAsia="Arial" w:cs="Arial"/>
          <w:szCs w:val="22"/>
        </w:rPr>
        <w:t xml:space="preserve"> </w:t>
      </w:r>
      <w:r w:rsidR="008E5265" w:rsidRPr="00703A0B">
        <w:rPr>
          <w:rFonts w:eastAsia="Arial" w:cs="Arial"/>
          <w:szCs w:val="22"/>
        </w:rPr>
        <w:t>A</w:t>
      </w:r>
      <w:r w:rsidRPr="00703A0B">
        <w:rPr>
          <w:rFonts w:eastAsia="Arial" w:cs="Arial"/>
          <w:szCs w:val="22"/>
        </w:rPr>
        <w:t>djudicator</w:t>
      </w:r>
      <w:r w:rsidR="008E5265" w:rsidRPr="00703A0B">
        <w:rPr>
          <w:rFonts w:eastAsia="Arial" w:cs="Arial"/>
          <w:szCs w:val="22"/>
        </w:rPr>
        <w:t>s</w:t>
      </w:r>
      <w:r w:rsidRPr="00703A0B">
        <w:rPr>
          <w:rFonts w:eastAsia="Arial" w:cs="Arial"/>
          <w:szCs w:val="22"/>
        </w:rPr>
        <w:t xml:space="preserve"> </w:t>
      </w:r>
      <w:r w:rsidR="008E5265" w:rsidRPr="00703A0B">
        <w:rPr>
          <w:rFonts w:eastAsia="Arial" w:cs="Arial"/>
          <w:szCs w:val="22"/>
        </w:rPr>
        <w:t>independently determine</w:t>
      </w:r>
      <w:r w:rsidRPr="00703A0B">
        <w:rPr>
          <w:rFonts w:eastAsia="Arial" w:cs="Arial"/>
          <w:szCs w:val="22"/>
        </w:rPr>
        <w:t xml:space="preserve"> whether </w:t>
      </w:r>
      <w:r w:rsidR="00AE5A90" w:rsidRPr="00703A0B">
        <w:rPr>
          <w:rFonts w:eastAsia="Arial" w:cs="Arial"/>
          <w:szCs w:val="22"/>
        </w:rPr>
        <w:t>an application</w:t>
      </w:r>
      <w:r w:rsidR="00603DA0" w:rsidRPr="00703A0B">
        <w:rPr>
          <w:rFonts w:eastAsia="Arial" w:cs="Arial"/>
          <w:szCs w:val="22"/>
        </w:rPr>
        <w:t xml:space="preserve"> </w:t>
      </w:r>
      <w:r w:rsidR="00152B7F" w:rsidRPr="00703A0B">
        <w:rPr>
          <w:rFonts w:eastAsia="Arial" w:cs="Arial"/>
          <w:szCs w:val="22"/>
        </w:rPr>
        <w:t xml:space="preserve">falls within </w:t>
      </w:r>
      <w:r w:rsidR="00EB16EC" w:rsidRPr="00703A0B">
        <w:rPr>
          <w:rFonts w:eastAsia="Arial" w:cs="Arial"/>
          <w:szCs w:val="22"/>
        </w:rPr>
        <w:t>their jurisdiction</w:t>
      </w:r>
      <w:r w:rsidR="00FF3F62" w:rsidRPr="00703A0B">
        <w:rPr>
          <w:rFonts w:eastAsia="Arial" w:cs="Arial"/>
          <w:szCs w:val="22"/>
        </w:rPr>
        <w:t xml:space="preserve"> before </w:t>
      </w:r>
      <w:r w:rsidR="003053EB" w:rsidRPr="00703A0B">
        <w:rPr>
          <w:rFonts w:eastAsia="Arial" w:cs="Arial"/>
          <w:szCs w:val="22"/>
        </w:rPr>
        <w:t xml:space="preserve">deciding </w:t>
      </w:r>
      <w:r w:rsidRPr="00703A0B">
        <w:rPr>
          <w:rFonts w:eastAsia="Arial" w:cs="Arial"/>
          <w:szCs w:val="22"/>
        </w:rPr>
        <w:t xml:space="preserve">the </w:t>
      </w:r>
      <w:r w:rsidR="009C19DD" w:rsidRPr="00703A0B">
        <w:rPr>
          <w:rFonts w:eastAsia="Arial" w:cs="Arial"/>
          <w:szCs w:val="22"/>
        </w:rPr>
        <w:t>amount</w:t>
      </w:r>
      <w:r w:rsidRPr="00703A0B">
        <w:rPr>
          <w:rFonts w:eastAsia="Arial" w:cs="Arial"/>
          <w:szCs w:val="22"/>
        </w:rPr>
        <w:t xml:space="preserve"> </w:t>
      </w:r>
      <w:r w:rsidR="009C19DD" w:rsidRPr="00703A0B">
        <w:rPr>
          <w:rFonts w:eastAsia="Arial" w:cs="Arial"/>
          <w:szCs w:val="22"/>
        </w:rPr>
        <w:t>payable</w:t>
      </w:r>
      <w:r w:rsidRPr="00703A0B">
        <w:rPr>
          <w:rFonts w:eastAsia="Arial" w:cs="Arial"/>
          <w:szCs w:val="22"/>
        </w:rPr>
        <w:t xml:space="preserve">. The adjudicated amount may </w:t>
      </w:r>
      <w:r w:rsidR="00656A59" w:rsidRPr="00703A0B">
        <w:rPr>
          <w:rFonts w:eastAsia="Arial" w:cs="Arial"/>
          <w:szCs w:val="22"/>
        </w:rPr>
        <w:t>reflect</w:t>
      </w:r>
      <w:r w:rsidRPr="00703A0B">
        <w:rPr>
          <w:rFonts w:eastAsia="Arial" w:cs="Arial"/>
          <w:szCs w:val="22"/>
        </w:rPr>
        <w:t xml:space="preserve"> the full </w:t>
      </w:r>
      <w:r w:rsidR="00543F49" w:rsidRPr="00703A0B">
        <w:rPr>
          <w:rFonts w:eastAsia="Arial" w:cs="Arial"/>
          <w:szCs w:val="22"/>
        </w:rPr>
        <w:t>value of the claim</w:t>
      </w:r>
      <w:r w:rsidRPr="00703A0B">
        <w:rPr>
          <w:rFonts w:eastAsia="Arial" w:cs="Arial"/>
          <w:szCs w:val="22"/>
        </w:rPr>
        <w:t xml:space="preserve"> or a portion of the claimed amount.</w:t>
      </w:r>
      <w:r w:rsidR="003212AC" w:rsidRPr="00703A0B">
        <w:rPr>
          <w:rFonts w:eastAsia="Arial" w:cs="Arial"/>
          <w:szCs w:val="22"/>
        </w:rPr>
        <w:t xml:space="preserve"> </w:t>
      </w:r>
      <w:r w:rsidR="00536A73" w:rsidRPr="00703A0B">
        <w:rPr>
          <w:rFonts w:eastAsia="Arial" w:cs="Arial"/>
          <w:szCs w:val="22"/>
        </w:rPr>
        <w:fldChar w:fldCharType="begin"/>
      </w:r>
      <w:r w:rsidR="00536A73" w:rsidRPr="00703A0B">
        <w:rPr>
          <w:rFonts w:eastAsia="Arial" w:cs="Arial"/>
          <w:szCs w:val="22"/>
        </w:rPr>
        <w:instrText xml:space="preserve"> REF _Ref235627296 \h </w:instrText>
      </w:r>
      <w:r w:rsidR="00536A73" w:rsidRPr="00703A0B">
        <w:rPr>
          <w:rFonts w:eastAsia="Arial" w:cs="Arial"/>
          <w:szCs w:val="22"/>
        </w:rPr>
      </w:r>
      <w:r w:rsidR="00536A73" w:rsidRPr="00703A0B">
        <w:rPr>
          <w:rFonts w:eastAsia="Arial" w:cs="Arial"/>
          <w:szCs w:val="22"/>
        </w:rPr>
        <w:fldChar w:fldCharType="separate"/>
      </w:r>
      <w:r w:rsidR="00536A73" w:rsidRPr="00703A0B">
        <w:t xml:space="preserve">Table </w:t>
      </w:r>
      <w:r w:rsidR="00536A73" w:rsidRPr="00F621D8">
        <w:t>15</w:t>
      </w:r>
      <w:r w:rsidR="00536A73" w:rsidRPr="00703A0B">
        <w:rPr>
          <w:rFonts w:eastAsia="Arial" w:cs="Arial"/>
          <w:szCs w:val="22"/>
        </w:rPr>
        <w:fldChar w:fldCharType="end"/>
      </w:r>
      <w:r w:rsidR="00536A73" w:rsidRPr="00703A0B">
        <w:rPr>
          <w:rFonts w:eastAsia="Arial" w:cs="Arial"/>
          <w:szCs w:val="22"/>
        </w:rPr>
        <w:t xml:space="preserve"> </w:t>
      </w:r>
      <w:r w:rsidR="003212AC" w:rsidRPr="00703A0B">
        <w:rPr>
          <w:rFonts w:eastAsia="Arial" w:cs="Arial"/>
          <w:szCs w:val="22"/>
        </w:rPr>
        <w:t xml:space="preserve">provides an overview of the </w:t>
      </w:r>
      <w:r w:rsidR="00F56F12" w:rsidRPr="00703A0B">
        <w:rPr>
          <w:rFonts w:eastAsia="Arial" w:cs="Arial"/>
          <w:szCs w:val="22"/>
        </w:rPr>
        <w:t>adjudication decision outcomes during the reporting period.</w:t>
      </w:r>
    </w:p>
    <w:p w14:paraId="62D92099" w14:textId="05729C28" w:rsidR="00FF7D71" w:rsidRPr="00703A0B" w:rsidRDefault="00FF7D71" w:rsidP="001A39F5">
      <w:pPr>
        <w:pStyle w:val="Caption"/>
      </w:pPr>
      <w:bookmarkStart w:id="98" w:name="_Ref234847213"/>
      <w:bookmarkStart w:id="99" w:name="_Ref235627296"/>
      <w:r w:rsidRPr="00703A0B">
        <w:t xml:space="preserve">Table </w:t>
      </w:r>
      <w:bookmarkEnd w:id="98"/>
      <w:r w:rsidR="00F63B2D" w:rsidRPr="00F621D8">
        <w:fldChar w:fldCharType="begin"/>
      </w:r>
      <w:r w:rsidR="00F63B2D" w:rsidRPr="00703A0B">
        <w:instrText xml:space="preserve"> SEQ Table \* ARABIC </w:instrText>
      </w:r>
      <w:r w:rsidR="00F63B2D" w:rsidRPr="00F621D8">
        <w:fldChar w:fldCharType="separate"/>
      </w:r>
      <w:r w:rsidR="003764AA" w:rsidRPr="00F621D8">
        <w:t>15</w:t>
      </w:r>
      <w:r w:rsidR="00F63B2D" w:rsidRPr="00F621D8">
        <w:fldChar w:fldCharType="end"/>
      </w:r>
      <w:r w:rsidRPr="00703A0B">
        <w:fldChar w:fldCharType="begin"/>
      </w:r>
      <w:bookmarkEnd w:id="99"/>
      <w:r w:rsidRPr="00703A0B">
        <w:fldChar w:fldCharType="separate"/>
      </w:r>
      <w:r w:rsidRPr="00F621D8">
        <w:t>1</w:t>
      </w:r>
      <w:r w:rsidR="00E13D70" w:rsidRPr="00F621D8">
        <w:t>9</w:t>
      </w:r>
      <w:r w:rsidRPr="00703A0B">
        <w:fldChar w:fldCharType="end"/>
      </w:r>
      <w:r w:rsidRPr="00703A0B">
        <w:t>: Adjudication decision</w:t>
      </w:r>
      <w:r w:rsidR="00E33C20" w:rsidRPr="00703A0B">
        <w:t xml:space="preserve"> outcomes </w:t>
      </w:r>
      <w:r w:rsidR="00FE0857" w:rsidRPr="00703A0B">
        <w:t xml:space="preserve">and </w:t>
      </w:r>
      <w:r w:rsidR="00E33C20" w:rsidRPr="00703A0B">
        <w:t xml:space="preserve">corresponding </w:t>
      </w:r>
      <w:r w:rsidR="00FE0857" w:rsidRPr="00703A0B">
        <w:t>value</w:t>
      </w:r>
      <w:r w:rsidR="00B67C6B" w:rsidRPr="00703A0B">
        <w:t>s</w:t>
      </w:r>
      <w:r w:rsidR="00FE0857" w:rsidRPr="00703A0B">
        <w:t xml:space="preserve"> </w:t>
      </w:r>
      <w:r w:rsidRPr="00703A0B">
        <w:t>in 2025–26</w:t>
      </w:r>
    </w:p>
    <w:tbl>
      <w:tblPr>
        <w:tblW w:w="5000" w:type="pct"/>
        <w:tblInd w:w="-5" w:type="dxa"/>
        <w:tblLayout w:type="fixed"/>
        <w:tblCellMar>
          <w:top w:w="28" w:type="dxa"/>
          <w:bottom w:w="28" w:type="dxa"/>
        </w:tblCellMar>
        <w:tblLook w:val="04A0" w:firstRow="1" w:lastRow="0" w:firstColumn="1" w:lastColumn="0" w:noHBand="0" w:noVBand="1"/>
      </w:tblPr>
      <w:tblGrid>
        <w:gridCol w:w="3118"/>
        <w:gridCol w:w="1277"/>
        <w:gridCol w:w="1699"/>
        <w:gridCol w:w="1557"/>
        <w:gridCol w:w="1277"/>
        <w:gridCol w:w="1522"/>
      </w:tblGrid>
      <w:tr w:rsidR="006F0298" w:rsidRPr="00703A0B" w14:paraId="1F757D3E" w14:textId="77777777" w:rsidTr="00E406EF">
        <w:tc>
          <w:tcPr>
            <w:tcW w:w="1492"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hideMark/>
          </w:tcPr>
          <w:p w14:paraId="43053627" w14:textId="55CF0632" w:rsidR="006F0298" w:rsidRPr="00703A0B" w:rsidRDefault="006F0298" w:rsidP="00E406EF">
            <w:pPr>
              <w:rPr>
                <w:rFonts w:eastAsia="Times New Roman" w:cs="Arial"/>
                <w:b/>
                <w:color w:val="000000"/>
                <w:szCs w:val="22"/>
                <w:lang w:eastAsia="en-AU"/>
              </w:rPr>
            </w:pPr>
            <w:r w:rsidRPr="00703A0B">
              <w:rPr>
                <w:rFonts w:eastAsia="Times New Roman" w:cs="Arial"/>
                <w:b/>
                <w:color w:val="000000"/>
                <w:szCs w:val="22"/>
                <w:lang w:eastAsia="en-AU"/>
              </w:rPr>
              <w:t xml:space="preserve">Claim </w:t>
            </w:r>
            <w:r w:rsidR="00C1580A" w:rsidRPr="00703A0B">
              <w:rPr>
                <w:rFonts w:eastAsia="Times New Roman" w:cs="Arial"/>
                <w:b/>
                <w:color w:val="000000"/>
                <w:szCs w:val="22"/>
                <w:lang w:eastAsia="en-AU"/>
              </w:rPr>
              <w:t>v</w:t>
            </w:r>
            <w:r w:rsidRPr="00703A0B">
              <w:rPr>
                <w:rFonts w:eastAsia="Times New Roman" w:cs="Arial"/>
                <w:b/>
                <w:color w:val="000000"/>
                <w:szCs w:val="22"/>
                <w:lang w:eastAsia="en-AU"/>
              </w:rPr>
              <w:t>alue</w:t>
            </w:r>
          </w:p>
        </w:tc>
        <w:tc>
          <w:tcPr>
            <w:tcW w:w="611" w:type="pct"/>
            <w:tcBorders>
              <w:top w:val="single" w:sz="4" w:space="0" w:color="auto"/>
              <w:left w:val="nil"/>
              <w:bottom w:val="single" w:sz="4" w:space="0" w:color="auto"/>
              <w:right w:val="single" w:sz="4" w:space="0" w:color="auto"/>
            </w:tcBorders>
            <w:shd w:val="clear" w:color="auto" w:fill="BFBFBF" w:themeFill="background1" w:themeFillShade="BF"/>
            <w:hideMark/>
          </w:tcPr>
          <w:p w14:paraId="39FB4AC3" w14:textId="77777777" w:rsidR="006F0298" w:rsidRPr="00703A0B" w:rsidRDefault="006F0298" w:rsidP="00E406EF">
            <w:pPr>
              <w:rPr>
                <w:rFonts w:eastAsia="Times New Roman" w:cs="Arial"/>
                <w:b/>
                <w:color w:val="000000"/>
                <w:szCs w:val="22"/>
                <w:lang w:eastAsia="en-AU"/>
              </w:rPr>
            </w:pPr>
            <w:r w:rsidRPr="00703A0B">
              <w:rPr>
                <w:rFonts w:eastAsia="Times New Roman" w:cs="Arial"/>
                <w:b/>
                <w:color w:val="000000"/>
                <w:szCs w:val="22"/>
                <w:lang w:eastAsia="en-AU"/>
              </w:rPr>
              <w:t>Decisions released</w:t>
            </w:r>
          </w:p>
        </w:tc>
        <w:tc>
          <w:tcPr>
            <w:tcW w:w="813" w:type="pct"/>
            <w:tcBorders>
              <w:top w:val="single" w:sz="4" w:space="0" w:color="auto"/>
              <w:left w:val="nil"/>
              <w:bottom w:val="single" w:sz="4" w:space="0" w:color="auto"/>
              <w:right w:val="single" w:sz="4" w:space="0" w:color="auto"/>
            </w:tcBorders>
            <w:shd w:val="clear" w:color="auto" w:fill="BFBFBF" w:themeFill="background1" w:themeFillShade="BF"/>
            <w:hideMark/>
          </w:tcPr>
          <w:p w14:paraId="786FF773" w14:textId="77777777" w:rsidR="006F0298" w:rsidRPr="00703A0B" w:rsidRDefault="006F0298" w:rsidP="00E406EF">
            <w:pPr>
              <w:rPr>
                <w:rFonts w:eastAsia="Times New Roman" w:cs="Arial"/>
                <w:b/>
                <w:color w:val="000000"/>
                <w:szCs w:val="22"/>
                <w:lang w:eastAsia="en-AU"/>
              </w:rPr>
            </w:pPr>
            <w:r w:rsidRPr="00703A0B">
              <w:rPr>
                <w:rFonts w:eastAsia="Times New Roman" w:cs="Arial"/>
                <w:b/>
                <w:color w:val="000000"/>
                <w:szCs w:val="22"/>
                <w:lang w:eastAsia="en-AU"/>
              </w:rPr>
              <w:t>Total claim amount</w:t>
            </w:r>
          </w:p>
        </w:tc>
        <w:tc>
          <w:tcPr>
            <w:tcW w:w="745" w:type="pct"/>
            <w:tcBorders>
              <w:top w:val="single" w:sz="4" w:space="0" w:color="auto"/>
              <w:left w:val="nil"/>
              <w:bottom w:val="single" w:sz="4" w:space="0" w:color="auto"/>
              <w:right w:val="single" w:sz="4" w:space="0" w:color="auto"/>
            </w:tcBorders>
            <w:shd w:val="clear" w:color="auto" w:fill="BFBFBF" w:themeFill="background1" w:themeFillShade="BF"/>
            <w:hideMark/>
          </w:tcPr>
          <w:p w14:paraId="7A74E418" w14:textId="77777777" w:rsidR="006F0298" w:rsidRPr="00703A0B" w:rsidRDefault="006F0298" w:rsidP="00E406EF">
            <w:pPr>
              <w:rPr>
                <w:rFonts w:eastAsia="Times New Roman" w:cs="Arial"/>
                <w:b/>
                <w:color w:val="000000"/>
                <w:szCs w:val="22"/>
                <w:lang w:eastAsia="en-AU"/>
              </w:rPr>
            </w:pPr>
            <w:r w:rsidRPr="00703A0B">
              <w:rPr>
                <w:rFonts w:eastAsia="Times New Roman" w:cs="Arial"/>
                <w:b/>
                <w:color w:val="000000"/>
                <w:szCs w:val="22"/>
                <w:lang w:eastAsia="en-AU"/>
              </w:rPr>
              <w:t>Total adjudicated amount</w:t>
            </w:r>
          </w:p>
        </w:tc>
        <w:tc>
          <w:tcPr>
            <w:tcW w:w="611" w:type="pct"/>
            <w:tcBorders>
              <w:top w:val="single" w:sz="4" w:space="0" w:color="auto"/>
              <w:left w:val="nil"/>
              <w:bottom w:val="single" w:sz="4" w:space="0" w:color="auto"/>
              <w:right w:val="single" w:sz="4" w:space="0" w:color="auto"/>
            </w:tcBorders>
            <w:shd w:val="clear" w:color="auto" w:fill="BFBFBF" w:themeFill="background1" w:themeFillShade="BF"/>
            <w:hideMark/>
          </w:tcPr>
          <w:p w14:paraId="715F6D85" w14:textId="77777777" w:rsidR="006F0298" w:rsidRPr="00703A0B" w:rsidRDefault="006F0298" w:rsidP="00E406EF">
            <w:pPr>
              <w:rPr>
                <w:rFonts w:eastAsia="Times New Roman" w:cs="Arial"/>
                <w:b/>
                <w:color w:val="000000"/>
                <w:szCs w:val="22"/>
                <w:lang w:eastAsia="en-AU"/>
              </w:rPr>
            </w:pPr>
            <w:r w:rsidRPr="00703A0B">
              <w:rPr>
                <w:rFonts w:eastAsia="Times New Roman" w:cs="Arial"/>
                <w:b/>
                <w:color w:val="000000"/>
                <w:szCs w:val="22"/>
                <w:lang w:eastAsia="en-AU"/>
              </w:rPr>
              <w:t>Average business days to decide</w:t>
            </w:r>
          </w:p>
        </w:tc>
        <w:tc>
          <w:tcPr>
            <w:tcW w:w="728" w:type="pct"/>
            <w:tcBorders>
              <w:top w:val="single" w:sz="4" w:space="0" w:color="auto"/>
              <w:left w:val="nil"/>
              <w:bottom w:val="single" w:sz="4" w:space="0" w:color="auto"/>
              <w:right w:val="single" w:sz="4" w:space="0" w:color="auto"/>
            </w:tcBorders>
            <w:shd w:val="clear" w:color="auto" w:fill="BFBFBF" w:themeFill="background1" w:themeFillShade="BF"/>
            <w:hideMark/>
          </w:tcPr>
          <w:p w14:paraId="74F96A72" w14:textId="77777777" w:rsidR="006F0298" w:rsidRPr="00703A0B" w:rsidRDefault="006F0298" w:rsidP="00E406EF">
            <w:pPr>
              <w:rPr>
                <w:rFonts w:eastAsia="Times New Roman" w:cs="Arial"/>
                <w:b/>
                <w:color w:val="000000"/>
                <w:szCs w:val="22"/>
                <w:lang w:eastAsia="en-AU"/>
              </w:rPr>
            </w:pPr>
            <w:r w:rsidRPr="00703A0B">
              <w:rPr>
                <w:rFonts w:eastAsia="Times New Roman" w:cs="Arial"/>
                <w:b/>
                <w:color w:val="000000"/>
                <w:szCs w:val="22"/>
                <w:lang w:eastAsia="en-AU"/>
              </w:rPr>
              <w:t>Total adjudicator fees</w:t>
            </w:r>
          </w:p>
        </w:tc>
      </w:tr>
      <w:tr w:rsidR="006F0298" w:rsidRPr="00703A0B" w14:paraId="299B8010" w14:textId="77777777" w:rsidTr="00E406EF">
        <w:tc>
          <w:tcPr>
            <w:tcW w:w="1492" w:type="pct"/>
            <w:tcBorders>
              <w:top w:val="nil"/>
              <w:left w:val="single" w:sz="4" w:space="0" w:color="auto"/>
              <w:bottom w:val="single" w:sz="4" w:space="0" w:color="auto"/>
              <w:right w:val="single" w:sz="4" w:space="0" w:color="auto"/>
            </w:tcBorders>
            <w:noWrap/>
            <w:hideMark/>
          </w:tcPr>
          <w:p w14:paraId="6E2B8449" w14:textId="022DA10E" w:rsidR="006F0298" w:rsidRPr="00703A0B" w:rsidRDefault="006F0298" w:rsidP="00B519CC">
            <w:pPr>
              <w:rPr>
                <w:rFonts w:eastAsia="Times New Roman" w:cs="Arial"/>
                <w:color w:val="000000"/>
                <w:szCs w:val="22"/>
                <w:lang w:eastAsia="en-AU"/>
              </w:rPr>
            </w:pPr>
            <w:r w:rsidRPr="00703A0B">
              <w:rPr>
                <w:rFonts w:eastAsia="Times New Roman" w:cs="Arial"/>
                <w:color w:val="000000"/>
                <w:szCs w:val="22"/>
                <w:lang w:eastAsia="en-AU"/>
              </w:rPr>
              <w:t>$0</w:t>
            </w:r>
            <w:r w:rsidR="00B52BE2" w:rsidRPr="00703A0B">
              <w:rPr>
                <w:rFonts w:eastAsia="Times New Roman" w:cs="Arial"/>
                <w:color w:val="000000"/>
                <w:szCs w:val="22"/>
                <w:lang w:eastAsia="en-AU"/>
              </w:rPr>
              <w:t>–</w:t>
            </w:r>
            <w:r w:rsidRPr="00703A0B">
              <w:rPr>
                <w:rFonts w:eastAsia="Times New Roman" w:cs="Arial"/>
                <w:color w:val="000000"/>
                <w:szCs w:val="22"/>
                <w:lang w:eastAsia="en-AU"/>
              </w:rPr>
              <w:t>$11,345.70</w:t>
            </w:r>
          </w:p>
        </w:tc>
        <w:tc>
          <w:tcPr>
            <w:tcW w:w="611" w:type="pct"/>
            <w:tcBorders>
              <w:top w:val="nil"/>
              <w:left w:val="nil"/>
              <w:bottom w:val="single" w:sz="4" w:space="0" w:color="auto"/>
              <w:right w:val="single" w:sz="4" w:space="0" w:color="auto"/>
            </w:tcBorders>
            <w:noWrap/>
            <w:hideMark/>
          </w:tcPr>
          <w:p w14:paraId="167EC45B" w14:textId="67FFDB69" w:rsidR="006F0298" w:rsidRPr="00703A0B" w:rsidRDefault="00FB6BC4" w:rsidP="00B519CC">
            <w:pPr>
              <w:rPr>
                <w:rFonts w:eastAsia="Times New Roman" w:cs="Arial"/>
                <w:color w:val="000000"/>
                <w:szCs w:val="22"/>
                <w:lang w:eastAsia="en-AU"/>
              </w:rPr>
            </w:pPr>
            <w:r w:rsidRPr="00703A0B">
              <w:t>55</w:t>
            </w:r>
          </w:p>
        </w:tc>
        <w:tc>
          <w:tcPr>
            <w:tcW w:w="813" w:type="pct"/>
            <w:tcBorders>
              <w:top w:val="nil"/>
              <w:left w:val="nil"/>
              <w:bottom w:val="single" w:sz="4" w:space="0" w:color="auto"/>
              <w:right w:val="single" w:sz="4" w:space="0" w:color="auto"/>
            </w:tcBorders>
            <w:noWrap/>
            <w:hideMark/>
          </w:tcPr>
          <w:p w14:paraId="183F96D3" w14:textId="5D913AC9" w:rsidR="006F0298" w:rsidRPr="00703A0B" w:rsidRDefault="00FB6BC4" w:rsidP="00B519CC">
            <w:pPr>
              <w:rPr>
                <w:rFonts w:eastAsia="Times New Roman" w:cs="Arial"/>
                <w:color w:val="000000"/>
                <w:szCs w:val="22"/>
                <w:lang w:eastAsia="en-AU"/>
              </w:rPr>
            </w:pPr>
            <w:r w:rsidRPr="00703A0B">
              <w:t>$288,024</w:t>
            </w:r>
          </w:p>
        </w:tc>
        <w:tc>
          <w:tcPr>
            <w:tcW w:w="745" w:type="pct"/>
            <w:tcBorders>
              <w:top w:val="nil"/>
              <w:left w:val="nil"/>
              <w:bottom w:val="single" w:sz="4" w:space="0" w:color="auto"/>
              <w:right w:val="single" w:sz="4" w:space="0" w:color="auto"/>
            </w:tcBorders>
            <w:noWrap/>
            <w:hideMark/>
          </w:tcPr>
          <w:p w14:paraId="5A89E63B" w14:textId="27892396" w:rsidR="006F0298" w:rsidRPr="00703A0B" w:rsidRDefault="00FB6BC4" w:rsidP="00B519CC">
            <w:pPr>
              <w:rPr>
                <w:rFonts w:eastAsia="Times New Roman" w:cs="Arial"/>
                <w:color w:val="000000"/>
                <w:szCs w:val="22"/>
                <w:lang w:eastAsia="en-AU"/>
              </w:rPr>
            </w:pPr>
            <w:r w:rsidRPr="00703A0B">
              <w:t>$157,035</w:t>
            </w:r>
          </w:p>
        </w:tc>
        <w:tc>
          <w:tcPr>
            <w:tcW w:w="611" w:type="pct"/>
            <w:tcBorders>
              <w:top w:val="nil"/>
              <w:left w:val="nil"/>
              <w:bottom w:val="single" w:sz="4" w:space="0" w:color="auto"/>
              <w:right w:val="single" w:sz="4" w:space="0" w:color="auto"/>
            </w:tcBorders>
            <w:noWrap/>
            <w:hideMark/>
          </w:tcPr>
          <w:p w14:paraId="77524D82" w14:textId="532700EA" w:rsidR="006F0298" w:rsidRPr="00703A0B" w:rsidRDefault="00FB6BC4" w:rsidP="00B519CC">
            <w:pPr>
              <w:rPr>
                <w:rFonts w:eastAsia="Times New Roman" w:cs="Arial"/>
                <w:color w:val="000000"/>
                <w:szCs w:val="22"/>
                <w:lang w:eastAsia="en-AU"/>
              </w:rPr>
            </w:pPr>
            <w:r w:rsidRPr="00703A0B">
              <w:t>19</w:t>
            </w:r>
          </w:p>
        </w:tc>
        <w:tc>
          <w:tcPr>
            <w:tcW w:w="728" w:type="pct"/>
            <w:tcBorders>
              <w:top w:val="nil"/>
              <w:left w:val="nil"/>
              <w:bottom w:val="single" w:sz="4" w:space="0" w:color="auto"/>
              <w:right w:val="single" w:sz="4" w:space="0" w:color="auto"/>
            </w:tcBorders>
            <w:noWrap/>
            <w:hideMark/>
          </w:tcPr>
          <w:p w14:paraId="2B745988" w14:textId="1A5AFF88" w:rsidR="006F0298" w:rsidRPr="00703A0B" w:rsidRDefault="00FB6BC4" w:rsidP="00B519CC">
            <w:pPr>
              <w:rPr>
                <w:rFonts w:eastAsia="Times New Roman" w:cs="Arial"/>
                <w:color w:val="000000"/>
                <w:szCs w:val="22"/>
                <w:lang w:eastAsia="en-AU"/>
              </w:rPr>
            </w:pPr>
            <w:r w:rsidRPr="00703A0B">
              <w:t>$38,209</w:t>
            </w:r>
          </w:p>
        </w:tc>
      </w:tr>
      <w:tr w:rsidR="006F0298" w:rsidRPr="00703A0B" w14:paraId="131ABFB8" w14:textId="77777777" w:rsidTr="00E406EF">
        <w:tc>
          <w:tcPr>
            <w:tcW w:w="1492" w:type="pct"/>
            <w:tcBorders>
              <w:top w:val="nil"/>
              <w:left w:val="single" w:sz="4" w:space="0" w:color="auto"/>
              <w:bottom w:val="single" w:sz="4" w:space="0" w:color="auto"/>
              <w:right w:val="single" w:sz="4" w:space="0" w:color="auto"/>
            </w:tcBorders>
            <w:noWrap/>
            <w:hideMark/>
          </w:tcPr>
          <w:p w14:paraId="290EF8F5" w14:textId="2B88575A" w:rsidR="006F0298" w:rsidRPr="00703A0B" w:rsidRDefault="006F0298" w:rsidP="00B519CC">
            <w:pPr>
              <w:rPr>
                <w:rFonts w:eastAsia="Times New Roman" w:cs="Arial"/>
                <w:color w:val="000000"/>
                <w:szCs w:val="22"/>
                <w:lang w:eastAsia="en-AU"/>
              </w:rPr>
            </w:pPr>
            <w:r w:rsidRPr="00703A0B">
              <w:rPr>
                <w:rFonts w:eastAsia="Times New Roman" w:cs="Arial"/>
                <w:color w:val="000000"/>
                <w:szCs w:val="22"/>
                <w:lang w:eastAsia="en-AU"/>
              </w:rPr>
              <w:t>$11,345.70</w:t>
            </w:r>
            <w:r w:rsidR="00B52BE2" w:rsidRPr="00703A0B">
              <w:rPr>
                <w:rFonts w:eastAsia="Times New Roman" w:cs="Arial"/>
                <w:color w:val="000000"/>
                <w:szCs w:val="22"/>
                <w:lang w:eastAsia="en-AU"/>
              </w:rPr>
              <w:t>–</w:t>
            </w:r>
            <w:r w:rsidRPr="00703A0B">
              <w:rPr>
                <w:rFonts w:eastAsia="Times New Roman" w:cs="Arial"/>
                <w:color w:val="000000"/>
                <w:szCs w:val="22"/>
                <w:lang w:eastAsia="en-AU"/>
              </w:rPr>
              <w:t>$56,728.80</w:t>
            </w:r>
          </w:p>
        </w:tc>
        <w:tc>
          <w:tcPr>
            <w:tcW w:w="611" w:type="pct"/>
            <w:tcBorders>
              <w:top w:val="nil"/>
              <w:left w:val="nil"/>
              <w:bottom w:val="single" w:sz="4" w:space="0" w:color="auto"/>
              <w:right w:val="single" w:sz="4" w:space="0" w:color="auto"/>
            </w:tcBorders>
            <w:noWrap/>
            <w:hideMark/>
          </w:tcPr>
          <w:p w14:paraId="3E719909" w14:textId="3009B4D0" w:rsidR="006F0298" w:rsidRPr="00703A0B" w:rsidRDefault="00FB6BC4" w:rsidP="00B519CC">
            <w:pPr>
              <w:rPr>
                <w:rFonts w:eastAsia="Times New Roman" w:cs="Arial"/>
                <w:color w:val="000000"/>
                <w:szCs w:val="22"/>
                <w:lang w:eastAsia="en-AU"/>
              </w:rPr>
            </w:pPr>
            <w:r w:rsidRPr="00703A0B">
              <w:t>93</w:t>
            </w:r>
          </w:p>
        </w:tc>
        <w:tc>
          <w:tcPr>
            <w:tcW w:w="813" w:type="pct"/>
            <w:tcBorders>
              <w:top w:val="nil"/>
              <w:left w:val="nil"/>
              <w:bottom w:val="single" w:sz="4" w:space="0" w:color="auto"/>
              <w:right w:val="single" w:sz="4" w:space="0" w:color="auto"/>
            </w:tcBorders>
            <w:noWrap/>
            <w:hideMark/>
          </w:tcPr>
          <w:p w14:paraId="2708B36E" w14:textId="7F6A5012" w:rsidR="006F0298" w:rsidRPr="00703A0B" w:rsidRDefault="00FB6BC4" w:rsidP="00B519CC">
            <w:pPr>
              <w:rPr>
                <w:rFonts w:eastAsia="Times New Roman" w:cs="Arial"/>
                <w:color w:val="000000"/>
                <w:szCs w:val="22"/>
                <w:lang w:eastAsia="en-AU"/>
              </w:rPr>
            </w:pPr>
            <w:r w:rsidRPr="00703A0B">
              <w:t>$2,754,363</w:t>
            </w:r>
          </w:p>
        </w:tc>
        <w:tc>
          <w:tcPr>
            <w:tcW w:w="745" w:type="pct"/>
            <w:tcBorders>
              <w:top w:val="nil"/>
              <w:left w:val="nil"/>
              <w:bottom w:val="single" w:sz="4" w:space="0" w:color="auto"/>
              <w:right w:val="single" w:sz="4" w:space="0" w:color="auto"/>
            </w:tcBorders>
            <w:noWrap/>
            <w:hideMark/>
          </w:tcPr>
          <w:p w14:paraId="13D84F8A" w14:textId="2C8ED1CE" w:rsidR="006F0298" w:rsidRPr="00703A0B" w:rsidRDefault="00FB6BC4" w:rsidP="00B519CC">
            <w:pPr>
              <w:rPr>
                <w:rFonts w:eastAsia="Times New Roman" w:cs="Arial"/>
                <w:color w:val="000000"/>
                <w:szCs w:val="22"/>
                <w:lang w:eastAsia="en-AU"/>
              </w:rPr>
            </w:pPr>
            <w:r w:rsidRPr="00703A0B">
              <w:t>$1,327,756</w:t>
            </w:r>
          </w:p>
        </w:tc>
        <w:tc>
          <w:tcPr>
            <w:tcW w:w="611" w:type="pct"/>
            <w:tcBorders>
              <w:top w:val="nil"/>
              <w:left w:val="nil"/>
              <w:bottom w:val="single" w:sz="4" w:space="0" w:color="auto"/>
              <w:right w:val="single" w:sz="4" w:space="0" w:color="auto"/>
            </w:tcBorders>
            <w:noWrap/>
            <w:hideMark/>
          </w:tcPr>
          <w:p w14:paraId="6C702D08" w14:textId="7E138AB3" w:rsidR="006F0298" w:rsidRPr="00703A0B" w:rsidRDefault="00FB6BC4" w:rsidP="00B519CC">
            <w:pPr>
              <w:rPr>
                <w:rFonts w:eastAsia="Times New Roman" w:cs="Arial"/>
                <w:color w:val="000000"/>
                <w:szCs w:val="22"/>
                <w:lang w:eastAsia="en-AU"/>
              </w:rPr>
            </w:pPr>
            <w:r w:rsidRPr="00703A0B">
              <w:t>21</w:t>
            </w:r>
          </w:p>
        </w:tc>
        <w:tc>
          <w:tcPr>
            <w:tcW w:w="728" w:type="pct"/>
            <w:tcBorders>
              <w:top w:val="nil"/>
              <w:left w:val="nil"/>
              <w:bottom w:val="single" w:sz="4" w:space="0" w:color="auto"/>
              <w:right w:val="single" w:sz="4" w:space="0" w:color="auto"/>
            </w:tcBorders>
            <w:noWrap/>
            <w:hideMark/>
          </w:tcPr>
          <w:p w14:paraId="267C8C2F" w14:textId="4EBCDE14" w:rsidR="006F0298" w:rsidRPr="00703A0B" w:rsidRDefault="00FB6BC4" w:rsidP="00B519CC">
            <w:pPr>
              <w:rPr>
                <w:rFonts w:eastAsia="Times New Roman" w:cs="Arial"/>
                <w:color w:val="000000"/>
                <w:szCs w:val="22"/>
                <w:lang w:eastAsia="en-AU"/>
              </w:rPr>
            </w:pPr>
            <w:r w:rsidRPr="00703A0B">
              <w:t>$283,456</w:t>
            </w:r>
          </w:p>
        </w:tc>
      </w:tr>
      <w:tr w:rsidR="006F0298" w:rsidRPr="00703A0B" w14:paraId="662F2AD2" w14:textId="77777777" w:rsidTr="00E406EF">
        <w:tc>
          <w:tcPr>
            <w:tcW w:w="1492" w:type="pct"/>
            <w:tcBorders>
              <w:top w:val="nil"/>
              <w:left w:val="single" w:sz="4" w:space="0" w:color="auto"/>
              <w:bottom w:val="single" w:sz="4" w:space="0" w:color="auto"/>
              <w:right w:val="single" w:sz="4" w:space="0" w:color="auto"/>
            </w:tcBorders>
            <w:noWrap/>
            <w:hideMark/>
          </w:tcPr>
          <w:p w14:paraId="3272285A" w14:textId="288BD331" w:rsidR="006F0298" w:rsidRPr="00703A0B" w:rsidRDefault="006F0298" w:rsidP="00B519CC">
            <w:pPr>
              <w:rPr>
                <w:rFonts w:eastAsia="Times New Roman" w:cs="Arial"/>
                <w:color w:val="000000"/>
                <w:szCs w:val="22"/>
                <w:lang w:eastAsia="en-AU"/>
              </w:rPr>
            </w:pPr>
            <w:r w:rsidRPr="00703A0B">
              <w:rPr>
                <w:rFonts w:eastAsia="Times New Roman" w:cs="Arial"/>
                <w:color w:val="000000"/>
                <w:szCs w:val="22"/>
                <w:lang w:eastAsia="en-AU"/>
              </w:rPr>
              <w:t>$56,728.80</w:t>
            </w:r>
            <w:r w:rsidR="00B52BE2" w:rsidRPr="00703A0B">
              <w:rPr>
                <w:rFonts w:eastAsia="Times New Roman" w:cs="Arial"/>
                <w:color w:val="000000"/>
                <w:szCs w:val="22"/>
                <w:lang w:eastAsia="en-AU"/>
              </w:rPr>
              <w:t>–</w:t>
            </w:r>
            <w:r w:rsidRPr="00703A0B">
              <w:rPr>
                <w:rFonts w:eastAsia="Times New Roman" w:cs="Arial"/>
                <w:color w:val="000000"/>
                <w:szCs w:val="22"/>
                <w:lang w:eastAsia="en-AU"/>
              </w:rPr>
              <w:t>$113,457.60</w:t>
            </w:r>
          </w:p>
        </w:tc>
        <w:tc>
          <w:tcPr>
            <w:tcW w:w="611" w:type="pct"/>
            <w:tcBorders>
              <w:top w:val="nil"/>
              <w:left w:val="nil"/>
              <w:bottom w:val="single" w:sz="4" w:space="0" w:color="auto"/>
              <w:right w:val="single" w:sz="4" w:space="0" w:color="auto"/>
            </w:tcBorders>
            <w:noWrap/>
            <w:hideMark/>
          </w:tcPr>
          <w:p w14:paraId="6082CCED" w14:textId="3EA07238" w:rsidR="006F0298" w:rsidRPr="00703A0B" w:rsidRDefault="00FB6BC4" w:rsidP="00B519CC">
            <w:pPr>
              <w:rPr>
                <w:rFonts w:eastAsia="Times New Roman" w:cs="Arial"/>
                <w:color w:val="000000"/>
                <w:szCs w:val="22"/>
                <w:lang w:eastAsia="en-AU"/>
              </w:rPr>
            </w:pPr>
            <w:r w:rsidRPr="00703A0B">
              <w:t>29</w:t>
            </w:r>
          </w:p>
        </w:tc>
        <w:tc>
          <w:tcPr>
            <w:tcW w:w="813" w:type="pct"/>
            <w:tcBorders>
              <w:top w:val="nil"/>
              <w:left w:val="nil"/>
              <w:bottom w:val="single" w:sz="4" w:space="0" w:color="auto"/>
              <w:right w:val="single" w:sz="4" w:space="0" w:color="auto"/>
            </w:tcBorders>
            <w:noWrap/>
            <w:hideMark/>
          </w:tcPr>
          <w:p w14:paraId="14FC7DD6" w14:textId="2C4A96BA" w:rsidR="006F0298" w:rsidRPr="00703A0B" w:rsidRDefault="00FB6BC4" w:rsidP="00B519CC">
            <w:pPr>
              <w:rPr>
                <w:rFonts w:eastAsia="Times New Roman" w:cs="Arial"/>
                <w:color w:val="000000"/>
                <w:szCs w:val="22"/>
                <w:lang w:eastAsia="en-AU"/>
              </w:rPr>
            </w:pPr>
            <w:r w:rsidRPr="00703A0B">
              <w:t>$2,390,087</w:t>
            </w:r>
          </w:p>
        </w:tc>
        <w:tc>
          <w:tcPr>
            <w:tcW w:w="745" w:type="pct"/>
            <w:tcBorders>
              <w:top w:val="nil"/>
              <w:left w:val="nil"/>
              <w:bottom w:val="single" w:sz="4" w:space="0" w:color="auto"/>
              <w:right w:val="single" w:sz="4" w:space="0" w:color="auto"/>
            </w:tcBorders>
            <w:noWrap/>
            <w:hideMark/>
          </w:tcPr>
          <w:p w14:paraId="35743723" w14:textId="448522E1" w:rsidR="006F0298" w:rsidRPr="00703A0B" w:rsidRDefault="00FB6BC4" w:rsidP="00B519CC">
            <w:pPr>
              <w:rPr>
                <w:rFonts w:eastAsia="Times New Roman" w:cs="Arial"/>
                <w:color w:val="000000"/>
                <w:szCs w:val="22"/>
                <w:lang w:eastAsia="en-AU"/>
              </w:rPr>
            </w:pPr>
            <w:r w:rsidRPr="00703A0B">
              <w:t>$1,060,971</w:t>
            </w:r>
          </w:p>
        </w:tc>
        <w:tc>
          <w:tcPr>
            <w:tcW w:w="611" w:type="pct"/>
            <w:tcBorders>
              <w:top w:val="nil"/>
              <w:left w:val="nil"/>
              <w:bottom w:val="single" w:sz="4" w:space="0" w:color="auto"/>
              <w:right w:val="single" w:sz="4" w:space="0" w:color="auto"/>
            </w:tcBorders>
            <w:noWrap/>
            <w:hideMark/>
          </w:tcPr>
          <w:p w14:paraId="4673FCA0" w14:textId="4297EC40" w:rsidR="006F0298" w:rsidRPr="00703A0B" w:rsidRDefault="00FB6BC4" w:rsidP="00B519CC">
            <w:pPr>
              <w:rPr>
                <w:rFonts w:eastAsia="Times New Roman" w:cs="Arial"/>
                <w:color w:val="000000"/>
                <w:szCs w:val="22"/>
                <w:lang w:eastAsia="en-AU"/>
              </w:rPr>
            </w:pPr>
            <w:r w:rsidRPr="00703A0B">
              <w:t>21</w:t>
            </w:r>
          </w:p>
        </w:tc>
        <w:tc>
          <w:tcPr>
            <w:tcW w:w="728" w:type="pct"/>
            <w:tcBorders>
              <w:top w:val="nil"/>
              <w:left w:val="nil"/>
              <w:bottom w:val="single" w:sz="4" w:space="0" w:color="auto"/>
              <w:right w:val="single" w:sz="4" w:space="0" w:color="auto"/>
            </w:tcBorders>
            <w:noWrap/>
            <w:hideMark/>
          </w:tcPr>
          <w:p w14:paraId="6AAF67D4" w14:textId="594F3D46" w:rsidR="006F0298" w:rsidRPr="00703A0B" w:rsidRDefault="00FB6BC4" w:rsidP="00B519CC">
            <w:pPr>
              <w:rPr>
                <w:rFonts w:eastAsia="Times New Roman" w:cs="Arial"/>
                <w:color w:val="000000"/>
                <w:szCs w:val="22"/>
                <w:lang w:eastAsia="en-AU"/>
              </w:rPr>
            </w:pPr>
            <w:r w:rsidRPr="00703A0B">
              <w:t>$285,913</w:t>
            </w:r>
          </w:p>
        </w:tc>
      </w:tr>
      <w:tr w:rsidR="006F0298" w:rsidRPr="00703A0B" w14:paraId="33BEB633" w14:textId="77777777" w:rsidTr="00E406EF">
        <w:tc>
          <w:tcPr>
            <w:tcW w:w="1492" w:type="pct"/>
            <w:tcBorders>
              <w:top w:val="nil"/>
              <w:left w:val="single" w:sz="4" w:space="0" w:color="auto"/>
              <w:bottom w:val="single" w:sz="4" w:space="0" w:color="auto"/>
              <w:right w:val="single" w:sz="4" w:space="0" w:color="auto"/>
            </w:tcBorders>
            <w:noWrap/>
            <w:hideMark/>
          </w:tcPr>
          <w:p w14:paraId="7574F8B6" w14:textId="1731D1D3" w:rsidR="006F0298" w:rsidRPr="00703A0B" w:rsidRDefault="006F0298" w:rsidP="00B519CC">
            <w:pPr>
              <w:rPr>
                <w:rFonts w:eastAsia="Times New Roman" w:cs="Arial"/>
                <w:color w:val="000000"/>
                <w:szCs w:val="22"/>
                <w:lang w:eastAsia="en-AU"/>
              </w:rPr>
            </w:pPr>
            <w:r w:rsidRPr="00703A0B">
              <w:rPr>
                <w:rFonts w:eastAsia="Times New Roman" w:cs="Arial"/>
                <w:color w:val="000000"/>
                <w:szCs w:val="22"/>
                <w:lang w:eastAsia="en-AU"/>
              </w:rPr>
              <w:t>$113,457.60</w:t>
            </w:r>
            <w:r w:rsidR="00B52BE2" w:rsidRPr="00703A0B">
              <w:rPr>
                <w:rFonts w:eastAsia="Times New Roman" w:cs="Arial"/>
                <w:color w:val="000000"/>
                <w:szCs w:val="22"/>
                <w:lang w:eastAsia="en-AU"/>
              </w:rPr>
              <w:t>–</w:t>
            </w:r>
            <w:r w:rsidRPr="00703A0B">
              <w:rPr>
                <w:rFonts w:eastAsia="Times New Roman" w:cs="Arial"/>
                <w:color w:val="000000"/>
                <w:szCs w:val="22"/>
                <w:lang w:eastAsia="en-AU"/>
              </w:rPr>
              <w:t>$283,644.05</w:t>
            </w:r>
          </w:p>
        </w:tc>
        <w:tc>
          <w:tcPr>
            <w:tcW w:w="611" w:type="pct"/>
            <w:tcBorders>
              <w:top w:val="nil"/>
              <w:left w:val="nil"/>
              <w:bottom w:val="single" w:sz="4" w:space="0" w:color="auto"/>
              <w:right w:val="single" w:sz="4" w:space="0" w:color="auto"/>
            </w:tcBorders>
            <w:noWrap/>
            <w:hideMark/>
          </w:tcPr>
          <w:p w14:paraId="23765E19" w14:textId="4FEE8118" w:rsidR="006F0298" w:rsidRPr="00703A0B" w:rsidRDefault="00FB6BC4" w:rsidP="00B519CC">
            <w:pPr>
              <w:rPr>
                <w:rFonts w:eastAsia="Times New Roman" w:cs="Arial"/>
                <w:color w:val="000000"/>
                <w:szCs w:val="22"/>
                <w:lang w:eastAsia="en-AU"/>
              </w:rPr>
            </w:pPr>
            <w:r w:rsidRPr="00703A0B">
              <w:t>43</w:t>
            </w:r>
          </w:p>
        </w:tc>
        <w:tc>
          <w:tcPr>
            <w:tcW w:w="813" w:type="pct"/>
            <w:tcBorders>
              <w:top w:val="nil"/>
              <w:left w:val="nil"/>
              <w:bottom w:val="single" w:sz="4" w:space="0" w:color="auto"/>
              <w:right w:val="single" w:sz="4" w:space="0" w:color="auto"/>
            </w:tcBorders>
            <w:noWrap/>
            <w:hideMark/>
          </w:tcPr>
          <w:p w14:paraId="0F04A1DA" w14:textId="0BDB4752" w:rsidR="006F0298" w:rsidRPr="00703A0B" w:rsidRDefault="00FB6BC4" w:rsidP="00B519CC">
            <w:pPr>
              <w:rPr>
                <w:rFonts w:eastAsia="Times New Roman" w:cs="Arial"/>
                <w:color w:val="000000"/>
                <w:szCs w:val="22"/>
                <w:lang w:eastAsia="en-AU"/>
              </w:rPr>
            </w:pPr>
            <w:r w:rsidRPr="00703A0B">
              <w:t>$7,393,097</w:t>
            </w:r>
          </w:p>
        </w:tc>
        <w:tc>
          <w:tcPr>
            <w:tcW w:w="745" w:type="pct"/>
            <w:tcBorders>
              <w:top w:val="nil"/>
              <w:left w:val="nil"/>
              <w:bottom w:val="single" w:sz="4" w:space="0" w:color="auto"/>
              <w:right w:val="single" w:sz="4" w:space="0" w:color="auto"/>
            </w:tcBorders>
            <w:noWrap/>
            <w:hideMark/>
          </w:tcPr>
          <w:p w14:paraId="3FC1E796" w14:textId="764BC0D8" w:rsidR="006F0298" w:rsidRPr="00703A0B" w:rsidRDefault="00FB6BC4" w:rsidP="00B519CC">
            <w:pPr>
              <w:rPr>
                <w:rFonts w:eastAsia="Times New Roman" w:cs="Arial"/>
                <w:color w:val="000000"/>
                <w:szCs w:val="22"/>
                <w:lang w:eastAsia="en-AU"/>
              </w:rPr>
            </w:pPr>
            <w:r w:rsidRPr="00703A0B">
              <w:t>$2,705,940</w:t>
            </w:r>
          </w:p>
        </w:tc>
        <w:tc>
          <w:tcPr>
            <w:tcW w:w="611" w:type="pct"/>
            <w:tcBorders>
              <w:top w:val="nil"/>
              <w:left w:val="nil"/>
              <w:bottom w:val="single" w:sz="4" w:space="0" w:color="auto"/>
              <w:right w:val="single" w:sz="4" w:space="0" w:color="auto"/>
            </w:tcBorders>
            <w:noWrap/>
            <w:hideMark/>
          </w:tcPr>
          <w:p w14:paraId="0CDE3299" w14:textId="5332172D" w:rsidR="006F0298" w:rsidRPr="00703A0B" w:rsidRDefault="00FB6BC4" w:rsidP="00B519CC">
            <w:pPr>
              <w:rPr>
                <w:rFonts w:eastAsia="Times New Roman" w:cs="Arial"/>
                <w:color w:val="000000"/>
                <w:szCs w:val="22"/>
                <w:lang w:eastAsia="en-AU"/>
              </w:rPr>
            </w:pPr>
            <w:r w:rsidRPr="00703A0B">
              <w:t>25</w:t>
            </w:r>
          </w:p>
        </w:tc>
        <w:tc>
          <w:tcPr>
            <w:tcW w:w="728" w:type="pct"/>
            <w:tcBorders>
              <w:top w:val="nil"/>
              <w:left w:val="nil"/>
              <w:bottom w:val="single" w:sz="4" w:space="0" w:color="auto"/>
              <w:right w:val="single" w:sz="4" w:space="0" w:color="auto"/>
            </w:tcBorders>
            <w:noWrap/>
            <w:hideMark/>
          </w:tcPr>
          <w:p w14:paraId="4347C789" w14:textId="43B00B2A" w:rsidR="006F0298" w:rsidRPr="00703A0B" w:rsidRDefault="00FB6BC4" w:rsidP="00B519CC">
            <w:pPr>
              <w:rPr>
                <w:rFonts w:eastAsia="Times New Roman" w:cs="Arial"/>
                <w:color w:val="000000"/>
                <w:szCs w:val="22"/>
                <w:lang w:eastAsia="en-AU"/>
              </w:rPr>
            </w:pPr>
            <w:r w:rsidRPr="00703A0B">
              <w:t>$568,734</w:t>
            </w:r>
          </w:p>
        </w:tc>
      </w:tr>
      <w:tr w:rsidR="006F0298" w:rsidRPr="00703A0B" w14:paraId="6F4AB886" w14:textId="77777777" w:rsidTr="00E406EF">
        <w:tc>
          <w:tcPr>
            <w:tcW w:w="1492" w:type="pct"/>
            <w:tcBorders>
              <w:top w:val="nil"/>
              <w:left w:val="single" w:sz="4" w:space="0" w:color="auto"/>
              <w:bottom w:val="single" w:sz="4" w:space="0" w:color="auto"/>
              <w:right w:val="single" w:sz="4" w:space="0" w:color="auto"/>
            </w:tcBorders>
            <w:noWrap/>
            <w:hideMark/>
          </w:tcPr>
          <w:p w14:paraId="3392315D" w14:textId="6D4B4904" w:rsidR="006F0298" w:rsidRPr="00703A0B" w:rsidRDefault="006F0298" w:rsidP="00B519CC">
            <w:pPr>
              <w:rPr>
                <w:rFonts w:eastAsia="Times New Roman" w:cs="Arial"/>
                <w:color w:val="000000"/>
                <w:szCs w:val="22"/>
                <w:lang w:eastAsia="en-AU"/>
              </w:rPr>
            </w:pPr>
            <w:r w:rsidRPr="00703A0B">
              <w:rPr>
                <w:rFonts w:eastAsia="Times New Roman" w:cs="Arial"/>
                <w:color w:val="000000"/>
                <w:szCs w:val="22"/>
                <w:lang w:eastAsia="en-AU"/>
              </w:rPr>
              <w:t>$283,644.05</w:t>
            </w:r>
            <w:r w:rsidR="00B52BE2" w:rsidRPr="00703A0B">
              <w:rPr>
                <w:rFonts w:eastAsia="Times New Roman" w:cs="Arial"/>
                <w:color w:val="000000"/>
                <w:szCs w:val="22"/>
                <w:lang w:eastAsia="en-AU"/>
              </w:rPr>
              <w:t>–</w:t>
            </w:r>
            <w:r w:rsidRPr="00703A0B">
              <w:rPr>
                <w:rFonts w:eastAsia="Times New Roman" w:cs="Arial"/>
                <w:color w:val="000000"/>
                <w:szCs w:val="22"/>
                <w:lang w:eastAsia="en-AU"/>
              </w:rPr>
              <w:t>$567,288.05</w:t>
            </w:r>
          </w:p>
        </w:tc>
        <w:tc>
          <w:tcPr>
            <w:tcW w:w="611" w:type="pct"/>
            <w:tcBorders>
              <w:top w:val="nil"/>
              <w:left w:val="nil"/>
              <w:bottom w:val="single" w:sz="4" w:space="0" w:color="auto"/>
              <w:right w:val="single" w:sz="4" w:space="0" w:color="auto"/>
            </w:tcBorders>
            <w:noWrap/>
            <w:hideMark/>
          </w:tcPr>
          <w:p w14:paraId="0A7C949B" w14:textId="53A920B9" w:rsidR="006F0298" w:rsidRPr="00703A0B" w:rsidRDefault="00FB6BC4" w:rsidP="00B519CC">
            <w:pPr>
              <w:rPr>
                <w:rFonts w:eastAsia="Times New Roman" w:cs="Arial"/>
                <w:color w:val="000000"/>
                <w:szCs w:val="22"/>
                <w:lang w:eastAsia="en-AU"/>
              </w:rPr>
            </w:pPr>
            <w:r w:rsidRPr="00703A0B">
              <w:t>27</w:t>
            </w:r>
          </w:p>
        </w:tc>
        <w:tc>
          <w:tcPr>
            <w:tcW w:w="813" w:type="pct"/>
            <w:tcBorders>
              <w:top w:val="nil"/>
              <w:left w:val="nil"/>
              <w:bottom w:val="single" w:sz="4" w:space="0" w:color="auto"/>
              <w:right w:val="single" w:sz="4" w:space="0" w:color="auto"/>
            </w:tcBorders>
            <w:noWrap/>
            <w:hideMark/>
          </w:tcPr>
          <w:p w14:paraId="685DAD49" w14:textId="1A594A93" w:rsidR="006F0298" w:rsidRPr="00703A0B" w:rsidRDefault="00FB6BC4" w:rsidP="00B519CC">
            <w:pPr>
              <w:rPr>
                <w:rFonts w:eastAsia="Times New Roman" w:cs="Arial"/>
                <w:color w:val="000000"/>
                <w:szCs w:val="22"/>
                <w:lang w:eastAsia="en-AU"/>
              </w:rPr>
            </w:pPr>
            <w:r w:rsidRPr="00703A0B">
              <w:t>$10,975,281</w:t>
            </w:r>
          </w:p>
        </w:tc>
        <w:tc>
          <w:tcPr>
            <w:tcW w:w="745" w:type="pct"/>
            <w:tcBorders>
              <w:top w:val="nil"/>
              <w:left w:val="nil"/>
              <w:bottom w:val="single" w:sz="4" w:space="0" w:color="auto"/>
              <w:right w:val="single" w:sz="4" w:space="0" w:color="auto"/>
            </w:tcBorders>
            <w:noWrap/>
            <w:hideMark/>
          </w:tcPr>
          <w:p w14:paraId="6CCDC573" w14:textId="6E8EBC6C" w:rsidR="006F0298" w:rsidRPr="00703A0B" w:rsidRDefault="00FB6BC4" w:rsidP="00B519CC">
            <w:pPr>
              <w:rPr>
                <w:rFonts w:eastAsia="Times New Roman" w:cs="Arial"/>
                <w:color w:val="000000"/>
                <w:szCs w:val="22"/>
                <w:lang w:eastAsia="en-AU"/>
              </w:rPr>
            </w:pPr>
            <w:r w:rsidRPr="00703A0B">
              <w:t>$5,004,635</w:t>
            </w:r>
          </w:p>
        </w:tc>
        <w:tc>
          <w:tcPr>
            <w:tcW w:w="611" w:type="pct"/>
            <w:tcBorders>
              <w:top w:val="nil"/>
              <w:left w:val="nil"/>
              <w:bottom w:val="single" w:sz="4" w:space="0" w:color="auto"/>
              <w:right w:val="single" w:sz="4" w:space="0" w:color="auto"/>
            </w:tcBorders>
            <w:noWrap/>
            <w:hideMark/>
          </w:tcPr>
          <w:p w14:paraId="2D1CB740" w14:textId="74DF5EF6" w:rsidR="006F0298" w:rsidRPr="00703A0B" w:rsidRDefault="00FB6BC4" w:rsidP="00B519CC">
            <w:pPr>
              <w:rPr>
                <w:rFonts w:eastAsia="Times New Roman" w:cs="Arial"/>
                <w:color w:val="000000"/>
                <w:szCs w:val="22"/>
                <w:lang w:eastAsia="en-AU"/>
              </w:rPr>
            </w:pPr>
            <w:r w:rsidRPr="00703A0B">
              <w:t>28</w:t>
            </w:r>
          </w:p>
        </w:tc>
        <w:tc>
          <w:tcPr>
            <w:tcW w:w="728" w:type="pct"/>
            <w:tcBorders>
              <w:top w:val="nil"/>
              <w:left w:val="nil"/>
              <w:bottom w:val="single" w:sz="4" w:space="0" w:color="auto"/>
              <w:right w:val="single" w:sz="4" w:space="0" w:color="auto"/>
            </w:tcBorders>
            <w:noWrap/>
            <w:hideMark/>
          </w:tcPr>
          <w:p w14:paraId="41AEF06F" w14:textId="384AFA94" w:rsidR="006F0298" w:rsidRPr="00703A0B" w:rsidRDefault="00FB6BC4" w:rsidP="00B519CC">
            <w:pPr>
              <w:rPr>
                <w:rFonts w:eastAsia="Times New Roman" w:cs="Arial"/>
                <w:color w:val="000000"/>
                <w:szCs w:val="22"/>
                <w:lang w:eastAsia="en-AU"/>
              </w:rPr>
            </w:pPr>
            <w:r w:rsidRPr="00703A0B">
              <w:t>$441,346</w:t>
            </w:r>
          </w:p>
        </w:tc>
      </w:tr>
      <w:tr w:rsidR="006F0298" w:rsidRPr="00703A0B" w14:paraId="0CD357CA" w14:textId="77777777" w:rsidTr="00E406EF">
        <w:tc>
          <w:tcPr>
            <w:tcW w:w="1492" w:type="pct"/>
            <w:tcBorders>
              <w:top w:val="nil"/>
              <w:left w:val="single" w:sz="4" w:space="0" w:color="auto"/>
              <w:bottom w:val="single" w:sz="4" w:space="0" w:color="auto"/>
              <w:right w:val="single" w:sz="4" w:space="0" w:color="auto"/>
            </w:tcBorders>
            <w:noWrap/>
            <w:hideMark/>
          </w:tcPr>
          <w:p w14:paraId="3148FBE3" w14:textId="7C3D1596" w:rsidR="006F0298" w:rsidRPr="00703A0B" w:rsidRDefault="006F0298" w:rsidP="00B519CC">
            <w:pPr>
              <w:rPr>
                <w:rFonts w:eastAsia="Times New Roman" w:cs="Arial"/>
                <w:color w:val="000000"/>
                <w:szCs w:val="22"/>
                <w:lang w:eastAsia="en-AU"/>
              </w:rPr>
            </w:pPr>
            <w:r w:rsidRPr="00703A0B">
              <w:rPr>
                <w:rFonts w:eastAsia="Times New Roman" w:cs="Arial"/>
                <w:color w:val="000000"/>
                <w:szCs w:val="22"/>
                <w:lang w:eastAsia="en-AU"/>
              </w:rPr>
              <w:t>$567,288.05</w:t>
            </w:r>
            <w:r w:rsidR="00B52BE2" w:rsidRPr="00703A0B">
              <w:rPr>
                <w:rFonts w:eastAsia="Times New Roman" w:cs="Arial"/>
                <w:color w:val="000000"/>
                <w:szCs w:val="22"/>
                <w:lang w:eastAsia="en-AU"/>
              </w:rPr>
              <w:t>–</w:t>
            </w:r>
            <w:r w:rsidRPr="00703A0B">
              <w:rPr>
                <w:rFonts w:eastAsia="Times New Roman" w:cs="Arial"/>
                <w:color w:val="000000"/>
                <w:szCs w:val="22"/>
                <w:lang w:eastAsia="en-AU"/>
              </w:rPr>
              <w:t>$850,932.15</w:t>
            </w:r>
          </w:p>
        </w:tc>
        <w:tc>
          <w:tcPr>
            <w:tcW w:w="611" w:type="pct"/>
            <w:tcBorders>
              <w:top w:val="nil"/>
              <w:left w:val="nil"/>
              <w:bottom w:val="single" w:sz="4" w:space="0" w:color="auto"/>
              <w:right w:val="single" w:sz="4" w:space="0" w:color="auto"/>
            </w:tcBorders>
            <w:noWrap/>
            <w:hideMark/>
          </w:tcPr>
          <w:p w14:paraId="57F3F9BF" w14:textId="2F7BD94E" w:rsidR="006F0298" w:rsidRPr="00703A0B" w:rsidRDefault="00FB6BC4" w:rsidP="00B519CC">
            <w:pPr>
              <w:rPr>
                <w:rFonts w:eastAsia="Times New Roman" w:cs="Arial"/>
                <w:color w:val="000000"/>
                <w:szCs w:val="22"/>
                <w:lang w:eastAsia="en-AU"/>
              </w:rPr>
            </w:pPr>
            <w:r w:rsidRPr="00703A0B">
              <w:t>13</w:t>
            </w:r>
          </w:p>
        </w:tc>
        <w:tc>
          <w:tcPr>
            <w:tcW w:w="813" w:type="pct"/>
            <w:tcBorders>
              <w:top w:val="nil"/>
              <w:left w:val="nil"/>
              <w:bottom w:val="single" w:sz="4" w:space="0" w:color="auto"/>
              <w:right w:val="single" w:sz="4" w:space="0" w:color="auto"/>
            </w:tcBorders>
            <w:noWrap/>
            <w:hideMark/>
          </w:tcPr>
          <w:p w14:paraId="45C0FCC3" w14:textId="3D4C6180" w:rsidR="006F0298" w:rsidRPr="00703A0B" w:rsidRDefault="00FB6BC4" w:rsidP="00B519CC">
            <w:pPr>
              <w:rPr>
                <w:rFonts w:eastAsia="Times New Roman" w:cs="Arial"/>
                <w:color w:val="000000"/>
                <w:szCs w:val="22"/>
                <w:lang w:eastAsia="en-AU"/>
              </w:rPr>
            </w:pPr>
            <w:r w:rsidRPr="00703A0B">
              <w:t>$8,839,974</w:t>
            </w:r>
          </w:p>
        </w:tc>
        <w:tc>
          <w:tcPr>
            <w:tcW w:w="745" w:type="pct"/>
            <w:tcBorders>
              <w:top w:val="nil"/>
              <w:left w:val="nil"/>
              <w:bottom w:val="single" w:sz="4" w:space="0" w:color="auto"/>
              <w:right w:val="single" w:sz="4" w:space="0" w:color="auto"/>
            </w:tcBorders>
            <w:noWrap/>
            <w:hideMark/>
          </w:tcPr>
          <w:p w14:paraId="17AD9FA8" w14:textId="36452F03" w:rsidR="006F0298" w:rsidRPr="00703A0B" w:rsidRDefault="00FB6BC4" w:rsidP="00B519CC">
            <w:pPr>
              <w:rPr>
                <w:rFonts w:eastAsia="Times New Roman" w:cs="Arial"/>
                <w:color w:val="000000"/>
                <w:szCs w:val="22"/>
                <w:lang w:eastAsia="en-AU"/>
              </w:rPr>
            </w:pPr>
            <w:r w:rsidRPr="00703A0B">
              <w:t>$5,045,638</w:t>
            </w:r>
          </w:p>
        </w:tc>
        <w:tc>
          <w:tcPr>
            <w:tcW w:w="611" w:type="pct"/>
            <w:tcBorders>
              <w:top w:val="nil"/>
              <w:left w:val="nil"/>
              <w:bottom w:val="single" w:sz="4" w:space="0" w:color="auto"/>
              <w:right w:val="single" w:sz="4" w:space="0" w:color="auto"/>
            </w:tcBorders>
            <w:noWrap/>
            <w:hideMark/>
          </w:tcPr>
          <w:p w14:paraId="7AD2A933" w14:textId="172952D2" w:rsidR="006F0298" w:rsidRPr="00703A0B" w:rsidRDefault="00FB6BC4" w:rsidP="00B519CC">
            <w:pPr>
              <w:rPr>
                <w:rFonts w:eastAsia="Times New Roman" w:cs="Arial"/>
                <w:color w:val="000000"/>
                <w:szCs w:val="22"/>
                <w:lang w:eastAsia="en-AU"/>
              </w:rPr>
            </w:pPr>
            <w:r w:rsidRPr="00703A0B">
              <w:t>27</w:t>
            </w:r>
          </w:p>
        </w:tc>
        <w:tc>
          <w:tcPr>
            <w:tcW w:w="728" w:type="pct"/>
            <w:tcBorders>
              <w:top w:val="nil"/>
              <w:left w:val="nil"/>
              <w:bottom w:val="single" w:sz="4" w:space="0" w:color="auto"/>
              <w:right w:val="single" w:sz="4" w:space="0" w:color="auto"/>
            </w:tcBorders>
            <w:noWrap/>
            <w:hideMark/>
          </w:tcPr>
          <w:p w14:paraId="7EB1FA11" w14:textId="275AF5C4" w:rsidR="006F0298" w:rsidRPr="00703A0B" w:rsidRDefault="00FB6BC4" w:rsidP="00B519CC">
            <w:pPr>
              <w:rPr>
                <w:rFonts w:eastAsia="Times New Roman" w:cs="Arial"/>
                <w:color w:val="000000"/>
                <w:szCs w:val="22"/>
                <w:lang w:eastAsia="en-AU"/>
              </w:rPr>
            </w:pPr>
            <w:r w:rsidRPr="00703A0B">
              <w:t>$479,541</w:t>
            </w:r>
          </w:p>
        </w:tc>
      </w:tr>
      <w:tr w:rsidR="006F0298" w:rsidRPr="00703A0B" w14:paraId="3EBB102F" w14:textId="77777777" w:rsidTr="00E406EF">
        <w:tc>
          <w:tcPr>
            <w:tcW w:w="1492" w:type="pct"/>
            <w:tcBorders>
              <w:top w:val="nil"/>
              <w:left w:val="single" w:sz="4" w:space="0" w:color="auto"/>
              <w:bottom w:val="single" w:sz="4" w:space="0" w:color="auto"/>
              <w:right w:val="single" w:sz="4" w:space="0" w:color="auto"/>
            </w:tcBorders>
            <w:noWrap/>
            <w:hideMark/>
          </w:tcPr>
          <w:p w14:paraId="5BA4BD86" w14:textId="4E721480" w:rsidR="006F0298" w:rsidRPr="00703A0B" w:rsidRDefault="006F0298" w:rsidP="00B519CC">
            <w:pPr>
              <w:rPr>
                <w:rFonts w:eastAsia="Times New Roman" w:cs="Arial"/>
                <w:color w:val="000000"/>
                <w:szCs w:val="22"/>
                <w:lang w:eastAsia="en-AU"/>
              </w:rPr>
            </w:pPr>
            <w:r w:rsidRPr="00703A0B">
              <w:rPr>
                <w:rFonts w:eastAsia="Times New Roman" w:cs="Arial"/>
                <w:color w:val="000000"/>
                <w:szCs w:val="22"/>
                <w:lang w:eastAsia="en-AU"/>
              </w:rPr>
              <w:t>$850,932.15</w:t>
            </w:r>
            <w:r w:rsidR="00B52BE2" w:rsidRPr="00703A0B">
              <w:rPr>
                <w:rFonts w:eastAsia="Times New Roman" w:cs="Arial"/>
                <w:color w:val="000000"/>
                <w:szCs w:val="22"/>
                <w:lang w:eastAsia="en-AU"/>
              </w:rPr>
              <w:t>–</w:t>
            </w:r>
            <w:r w:rsidRPr="00703A0B">
              <w:rPr>
                <w:rFonts w:eastAsia="Times New Roman" w:cs="Arial"/>
                <w:color w:val="000000"/>
                <w:szCs w:val="22"/>
                <w:lang w:eastAsia="en-AU"/>
              </w:rPr>
              <w:t>$1,236,206.95</w:t>
            </w:r>
          </w:p>
        </w:tc>
        <w:tc>
          <w:tcPr>
            <w:tcW w:w="611" w:type="pct"/>
            <w:tcBorders>
              <w:top w:val="nil"/>
              <w:left w:val="nil"/>
              <w:bottom w:val="single" w:sz="4" w:space="0" w:color="auto"/>
              <w:right w:val="single" w:sz="4" w:space="0" w:color="auto"/>
            </w:tcBorders>
            <w:noWrap/>
            <w:hideMark/>
          </w:tcPr>
          <w:p w14:paraId="5A07B38A" w14:textId="679331DF" w:rsidR="006F0298" w:rsidRPr="00703A0B" w:rsidRDefault="00FB6BC4" w:rsidP="00B519CC">
            <w:pPr>
              <w:rPr>
                <w:rFonts w:eastAsia="Times New Roman" w:cs="Arial"/>
                <w:color w:val="000000"/>
                <w:szCs w:val="22"/>
                <w:lang w:eastAsia="en-AU"/>
              </w:rPr>
            </w:pPr>
            <w:r w:rsidRPr="00703A0B">
              <w:t>6</w:t>
            </w:r>
          </w:p>
        </w:tc>
        <w:tc>
          <w:tcPr>
            <w:tcW w:w="813" w:type="pct"/>
            <w:tcBorders>
              <w:top w:val="nil"/>
              <w:left w:val="nil"/>
              <w:bottom w:val="single" w:sz="4" w:space="0" w:color="auto"/>
              <w:right w:val="single" w:sz="4" w:space="0" w:color="auto"/>
            </w:tcBorders>
            <w:noWrap/>
            <w:hideMark/>
          </w:tcPr>
          <w:p w14:paraId="747FAA9E" w14:textId="14ED37C4" w:rsidR="006F0298" w:rsidRPr="00703A0B" w:rsidRDefault="00FB6BC4" w:rsidP="00B519CC">
            <w:pPr>
              <w:rPr>
                <w:rFonts w:eastAsia="Times New Roman" w:cs="Arial"/>
                <w:color w:val="000000"/>
                <w:szCs w:val="22"/>
                <w:lang w:eastAsia="en-AU"/>
              </w:rPr>
            </w:pPr>
            <w:r w:rsidRPr="00703A0B">
              <w:t>$6,260,496</w:t>
            </w:r>
          </w:p>
        </w:tc>
        <w:tc>
          <w:tcPr>
            <w:tcW w:w="745" w:type="pct"/>
            <w:tcBorders>
              <w:top w:val="nil"/>
              <w:left w:val="nil"/>
              <w:bottom w:val="single" w:sz="4" w:space="0" w:color="auto"/>
              <w:right w:val="single" w:sz="4" w:space="0" w:color="auto"/>
            </w:tcBorders>
            <w:noWrap/>
            <w:hideMark/>
          </w:tcPr>
          <w:p w14:paraId="60C16868" w14:textId="6B81286D" w:rsidR="006F0298" w:rsidRPr="00703A0B" w:rsidRDefault="00FB6BC4" w:rsidP="00B519CC">
            <w:pPr>
              <w:rPr>
                <w:rFonts w:eastAsia="Times New Roman" w:cs="Arial"/>
                <w:color w:val="000000"/>
                <w:szCs w:val="22"/>
                <w:lang w:eastAsia="en-AU"/>
              </w:rPr>
            </w:pPr>
            <w:r w:rsidRPr="00703A0B">
              <w:t>$1,117,942</w:t>
            </w:r>
          </w:p>
        </w:tc>
        <w:tc>
          <w:tcPr>
            <w:tcW w:w="611" w:type="pct"/>
            <w:tcBorders>
              <w:top w:val="nil"/>
              <w:left w:val="nil"/>
              <w:bottom w:val="single" w:sz="4" w:space="0" w:color="auto"/>
              <w:right w:val="single" w:sz="4" w:space="0" w:color="auto"/>
            </w:tcBorders>
            <w:noWrap/>
            <w:hideMark/>
          </w:tcPr>
          <w:p w14:paraId="76CF451B" w14:textId="54F8CFB6" w:rsidR="006F0298" w:rsidRPr="00703A0B" w:rsidRDefault="00FB6BC4" w:rsidP="00B519CC">
            <w:pPr>
              <w:rPr>
                <w:rFonts w:eastAsia="Times New Roman" w:cs="Arial"/>
                <w:color w:val="000000"/>
                <w:szCs w:val="22"/>
                <w:lang w:eastAsia="en-AU"/>
              </w:rPr>
            </w:pPr>
            <w:r w:rsidRPr="00703A0B">
              <w:t>37</w:t>
            </w:r>
          </w:p>
        </w:tc>
        <w:tc>
          <w:tcPr>
            <w:tcW w:w="728" w:type="pct"/>
            <w:tcBorders>
              <w:top w:val="nil"/>
              <w:left w:val="nil"/>
              <w:bottom w:val="single" w:sz="4" w:space="0" w:color="auto"/>
              <w:right w:val="single" w:sz="4" w:space="0" w:color="auto"/>
            </w:tcBorders>
            <w:noWrap/>
            <w:hideMark/>
          </w:tcPr>
          <w:p w14:paraId="089B0929" w14:textId="68456B88" w:rsidR="006F0298" w:rsidRPr="00703A0B" w:rsidRDefault="00FB6BC4" w:rsidP="00B519CC">
            <w:pPr>
              <w:rPr>
                <w:rFonts w:eastAsia="Times New Roman" w:cs="Arial"/>
                <w:color w:val="000000"/>
                <w:szCs w:val="22"/>
                <w:lang w:eastAsia="en-AU"/>
              </w:rPr>
            </w:pPr>
            <w:r w:rsidRPr="00703A0B">
              <w:t>$131,377</w:t>
            </w:r>
          </w:p>
        </w:tc>
      </w:tr>
      <w:tr w:rsidR="006F0298" w:rsidRPr="00703A0B" w14:paraId="39A968C1" w14:textId="77777777" w:rsidTr="00E406EF">
        <w:tc>
          <w:tcPr>
            <w:tcW w:w="1492" w:type="pct"/>
            <w:tcBorders>
              <w:top w:val="nil"/>
              <w:left w:val="single" w:sz="4" w:space="0" w:color="auto"/>
              <w:bottom w:val="single" w:sz="4" w:space="0" w:color="auto"/>
              <w:right w:val="single" w:sz="4" w:space="0" w:color="auto"/>
            </w:tcBorders>
            <w:noWrap/>
            <w:hideMark/>
          </w:tcPr>
          <w:p w14:paraId="2FE5F2B5" w14:textId="77777777" w:rsidR="006F0298" w:rsidRPr="00703A0B" w:rsidRDefault="006F0298" w:rsidP="00B519CC">
            <w:pPr>
              <w:rPr>
                <w:rFonts w:eastAsia="Times New Roman" w:cs="Arial"/>
                <w:color w:val="000000"/>
                <w:szCs w:val="22"/>
                <w:lang w:eastAsia="en-AU"/>
              </w:rPr>
            </w:pPr>
            <w:r w:rsidRPr="00703A0B">
              <w:rPr>
                <w:rFonts w:eastAsia="Times New Roman" w:cs="Arial"/>
                <w:color w:val="000000"/>
                <w:szCs w:val="22"/>
                <w:lang w:eastAsia="en-AU"/>
              </w:rPr>
              <w:t>&gt; $1,236,206.95</w:t>
            </w:r>
          </w:p>
        </w:tc>
        <w:tc>
          <w:tcPr>
            <w:tcW w:w="611" w:type="pct"/>
            <w:tcBorders>
              <w:top w:val="nil"/>
              <w:left w:val="nil"/>
              <w:bottom w:val="single" w:sz="4" w:space="0" w:color="auto"/>
              <w:right w:val="single" w:sz="4" w:space="0" w:color="auto"/>
            </w:tcBorders>
            <w:noWrap/>
            <w:hideMark/>
          </w:tcPr>
          <w:p w14:paraId="239CE2C5" w14:textId="4A3B2842" w:rsidR="006F0298" w:rsidRPr="00703A0B" w:rsidRDefault="00FB6BC4" w:rsidP="00B519CC">
            <w:pPr>
              <w:rPr>
                <w:rFonts w:eastAsia="Times New Roman" w:cs="Arial"/>
                <w:color w:val="000000"/>
                <w:szCs w:val="22"/>
                <w:lang w:eastAsia="en-AU"/>
              </w:rPr>
            </w:pPr>
            <w:r w:rsidRPr="00703A0B">
              <w:t>24</w:t>
            </w:r>
          </w:p>
        </w:tc>
        <w:tc>
          <w:tcPr>
            <w:tcW w:w="813" w:type="pct"/>
            <w:tcBorders>
              <w:top w:val="nil"/>
              <w:left w:val="nil"/>
              <w:bottom w:val="single" w:sz="4" w:space="0" w:color="auto"/>
              <w:right w:val="single" w:sz="4" w:space="0" w:color="auto"/>
            </w:tcBorders>
            <w:noWrap/>
            <w:hideMark/>
          </w:tcPr>
          <w:p w14:paraId="54B47150" w14:textId="5A843C60" w:rsidR="006F0298" w:rsidRPr="00703A0B" w:rsidRDefault="00FB6BC4" w:rsidP="00B519CC">
            <w:pPr>
              <w:rPr>
                <w:rFonts w:eastAsia="Times New Roman" w:cs="Arial"/>
                <w:color w:val="000000"/>
                <w:szCs w:val="22"/>
                <w:lang w:eastAsia="en-AU"/>
              </w:rPr>
            </w:pPr>
            <w:r w:rsidRPr="00703A0B">
              <w:t>$750,536,355</w:t>
            </w:r>
          </w:p>
        </w:tc>
        <w:tc>
          <w:tcPr>
            <w:tcW w:w="745" w:type="pct"/>
            <w:tcBorders>
              <w:top w:val="nil"/>
              <w:left w:val="nil"/>
              <w:bottom w:val="single" w:sz="4" w:space="0" w:color="auto"/>
              <w:right w:val="single" w:sz="4" w:space="0" w:color="auto"/>
            </w:tcBorders>
            <w:noWrap/>
            <w:hideMark/>
          </w:tcPr>
          <w:p w14:paraId="296BEA6C" w14:textId="1E0D04E5" w:rsidR="006F0298" w:rsidRPr="00703A0B" w:rsidRDefault="00FB6BC4" w:rsidP="00B519CC">
            <w:pPr>
              <w:rPr>
                <w:rFonts w:eastAsia="Times New Roman" w:cs="Arial"/>
                <w:color w:val="000000"/>
                <w:szCs w:val="22"/>
                <w:lang w:eastAsia="en-AU"/>
              </w:rPr>
            </w:pPr>
            <w:r w:rsidRPr="00703A0B">
              <w:t>$32,998,926</w:t>
            </w:r>
          </w:p>
        </w:tc>
        <w:tc>
          <w:tcPr>
            <w:tcW w:w="611" w:type="pct"/>
            <w:tcBorders>
              <w:top w:val="nil"/>
              <w:left w:val="nil"/>
              <w:bottom w:val="single" w:sz="4" w:space="0" w:color="auto"/>
              <w:right w:val="single" w:sz="4" w:space="0" w:color="auto"/>
            </w:tcBorders>
            <w:noWrap/>
            <w:hideMark/>
          </w:tcPr>
          <w:p w14:paraId="2C0CFB57" w14:textId="74818CBF" w:rsidR="006F0298" w:rsidRPr="00703A0B" w:rsidRDefault="00FB6BC4" w:rsidP="00B519CC">
            <w:pPr>
              <w:rPr>
                <w:rFonts w:eastAsia="Times New Roman" w:cs="Arial"/>
                <w:color w:val="000000"/>
                <w:szCs w:val="22"/>
                <w:lang w:eastAsia="en-AU"/>
              </w:rPr>
            </w:pPr>
            <w:r w:rsidRPr="00703A0B">
              <w:t>52</w:t>
            </w:r>
          </w:p>
        </w:tc>
        <w:tc>
          <w:tcPr>
            <w:tcW w:w="728" w:type="pct"/>
            <w:tcBorders>
              <w:top w:val="nil"/>
              <w:left w:val="nil"/>
              <w:bottom w:val="single" w:sz="4" w:space="0" w:color="auto"/>
              <w:right w:val="single" w:sz="4" w:space="0" w:color="auto"/>
            </w:tcBorders>
            <w:noWrap/>
            <w:hideMark/>
          </w:tcPr>
          <w:p w14:paraId="091304BC" w14:textId="29016723" w:rsidR="006F0298" w:rsidRPr="00703A0B" w:rsidRDefault="00FB6BC4" w:rsidP="00B519CC">
            <w:pPr>
              <w:rPr>
                <w:rFonts w:eastAsia="Times New Roman" w:cs="Arial"/>
                <w:color w:val="000000"/>
                <w:szCs w:val="22"/>
                <w:lang w:eastAsia="en-AU"/>
              </w:rPr>
            </w:pPr>
            <w:r w:rsidRPr="00703A0B">
              <w:t>$1,476,377</w:t>
            </w:r>
          </w:p>
        </w:tc>
      </w:tr>
      <w:tr w:rsidR="006F0298" w:rsidRPr="00703A0B" w14:paraId="2C388EFE" w14:textId="77777777" w:rsidTr="00E406EF">
        <w:tc>
          <w:tcPr>
            <w:tcW w:w="1492" w:type="pct"/>
            <w:tcBorders>
              <w:top w:val="nil"/>
              <w:left w:val="single" w:sz="4" w:space="0" w:color="auto"/>
              <w:bottom w:val="single" w:sz="4" w:space="0" w:color="auto"/>
              <w:right w:val="single" w:sz="4" w:space="0" w:color="auto"/>
            </w:tcBorders>
            <w:noWrap/>
            <w:hideMark/>
          </w:tcPr>
          <w:p w14:paraId="1A5E52B9" w14:textId="77777777" w:rsidR="006F0298" w:rsidRPr="00703A0B" w:rsidRDefault="006F0298" w:rsidP="00B519CC">
            <w:pPr>
              <w:rPr>
                <w:rFonts w:eastAsia="Times New Roman" w:cs="Arial"/>
                <w:b/>
                <w:color w:val="000000"/>
                <w:szCs w:val="22"/>
                <w:lang w:eastAsia="en-AU"/>
              </w:rPr>
            </w:pPr>
            <w:r w:rsidRPr="00703A0B">
              <w:rPr>
                <w:rFonts w:eastAsia="Times New Roman" w:cs="Arial"/>
                <w:b/>
                <w:color w:val="000000"/>
                <w:szCs w:val="22"/>
                <w:lang w:eastAsia="en-AU"/>
              </w:rPr>
              <w:t>Total</w:t>
            </w:r>
          </w:p>
        </w:tc>
        <w:tc>
          <w:tcPr>
            <w:tcW w:w="611" w:type="pct"/>
            <w:tcBorders>
              <w:top w:val="nil"/>
              <w:left w:val="nil"/>
              <w:bottom w:val="single" w:sz="4" w:space="0" w:color="auto"/>
              <w:right w:val="single" w:sz="4" w:space="0" w:color="auto"/>
            </w:tcBorders>
            <w:noWrap/>
            <w:hideMark/>
          </w:tcPr>
          <w:p w14:paraId="2F98473E" w14:textId="35DE64FC" w:rsidR="006F0298" w:rsidRPr="00703A0B" w:rsidRDefault="00FB6BC4" w:rsidP="00B519CC">
            <w:pPr>
              <w:rPr>
                <w:rFonts w:eastAsia="Times New Roman" w:cs="Arial"/>
                <w:b/>
                <w:color w:val="000000"/>
                <w:szCs w:val="22"/>
                <w:lang w:eastAsia="en-AU"/>
              </w:rPr>
            </w:pPr>
            <w:r w:rsidRPr="00703A0B">
              <w:rPr>
                <w:b/>
              </w:rPr>
              <w:t>290</w:t>
            </w:r>
          </w:p>
        </w:tc>
        <w:tc>
          <w:tcPr>
            <w:tcW w:w="813" w:type="pct"/>
            <w:tcBorders>
              <w:top w:val="nil"/>
              <w:left w:val="nil"/>
              <w:bottom w:val="single" w:sz="4" w:space="0" w:color="auto"/>
              <w:right w:val="single" w:sz="4" w:space="0" w:color="auto"/>
            </w:tcBorders>
            <w:noWrap/>
            <w:hideMark/>
          </w:tcPr>
          <w:p w14:paraId="7FF1ECA9" w14:textId="2FD4E506" w:rsidR="006F0298" w:rsidRPr="00703A0B" w:rsidRDefault="00FB6BC4" w:rsidP="00B519CC">
            <w:pPr>
              <w:rPr>
                <w:rFonts w:eastAsia="Times New Roman" w:cs="Arial"/>
                <w:b/>
                <w:color w:val="000000"/>
                <w:szCs w:val="22"/>
                <w:lang w:eastAsia="en-AU"/>
              </w:rPr>
            </w:pPr>
            <w:r w:rsidRPr="00703A0B">
              <w:rPr>
                <w:b/>
              </w:rPr>
              <w:t>$789,437,678</w:t>
            </w:r>
          </w:p>
        </w:tc>
        <w:tc>
          <w:tcPr>
            <w:tcW w:w="745" w:type="pct"/>
            <w:tcBorders>
              <w:top w:val="nil"/>
              <w:left w:val="nil"/>
              <w:bottom w:val="single" w:sz="4" w:space="0" w:color="auto"/>
              <w:right w:val="single" w:sz="4" w:space="0" w:color="auto"/>
            </w:tcBorders>
            <w:noWrap/>
            <w:hideMark/>
          </w:tcPr>
          <w:p w14:paraId="7F11191C" w14:textId="1562E9FA" w:rsidR="006F0298" w:rsidRPr="00703A0B" w:rsidRDefault="00FB6BC4" w:rsidP="00B519CC">
            <w:pPr>
              <w:rPr>
                <w:rFonts w:eastAsia="Times New Roman" w:cs="Arial"/>
                <w:b/>
                <w:color w:val="000000"/>
                <w:szCs w:val="22"/>
                <w:lang w:eastAsia="en-AU"/>
              </w:rPr>
            </w:pPr>
            <w:r w:rsidRPr="00703A0B">
              <w:rPr>
                <w:b/>
              </w:rPr>
              <w:t>$49,418,843</w:t>
            </w:r>
          </w:p>
        </w:tc>
        <w:tc>
          <w:tcPr>
            <w:tcW w:w="611" w:type="pct"/>
            <w:tcBorders>
              <w:top w:val="nil"/>
              <w:left w:val="nil"/>
              <w:bottom w:val="single" w:sz="4" w:space="0" w:color="auto"/>
              <w:right w:val="single" w:sz="4" w:space="0" w:color="auto"/>
            </w:tcBorders>
            <w:noWrap/>
            <w:hideMark/>
          </w:tcPr>
          <w:p w14:paraId="4DFD41FB" w14:textId="0EB6EAA6" w:rsidR="006F0298" w:rsidRPr="00703A0B" w:rsidRDefault="00FB6BC4" w:rsidP="00B519CC">
            <w:pPr>
              <w:rPr>
                <w:rFonts w:eastAsia="Times New Roman" w:cs="Arial"/>
                <w:b/>
                <w:color w:val="000000"/>
                <w:szCs w:val="22"/>
                <w:lang w:eastAsia="en-AU"/>
              </w:rPr>
            </w:pPr>
            <w:r w:rsidRPr="00703A0B">
              <w:rPr>
                <w:b/>
              </w:rPr>
              <w:t>25</w:t>
            </w:r>
          </w:p>
        </w:tc>
        <w:tc>
          <w:tcPr>
            <w:tcW w:w="728" w:type="pct"/>
            <w:tcBorders>
              <w:top w:val="nil"/>
              <w:left w:val="nil"/>
              <w:bottom w:val="single" w:sz="4" w:space="0" w:color="auto"/>
              <w:right w:val="single" w:sz="4" w:space="0" w:color="auto"/>
            </w:tcBorders>
            <w:noWrap/>
            <w:hideMark/>
          </w:tcPr>
          <w:p w14:paraId="07D908F0" w14:textId="1A549914" w:rsidR="006F0298" w:rsidRPr="00703A0B" w:rsidRDefault="00FB6BC4" w:rsidP="00B519CC">
            <w:pPr>
              <w:rPr>
                <w:rFonts w:eastAsia="Times New Roman" w:cs="Arial"/>
                <w:b/>
                <w:color w:val="000000"/>
                <w:szCs w:val="22"/>
                <w:lang w:eastAsia="en-AU"/>
              </w:rPr>
            </w:pPr>
            <w:r w:rsidRPr="00703A0B">
              <w:rPr>
                <w:b/>
              </w:rPr>
              <w:t>$3,704,953</w:t>
            </w:r>
          </w:p>
        </w:tc>
      </w:tr>
    </w:tbl>
    <w:p w14:paraId="3A09ECB4" w14:textId="601AC2CD" w:rsidR="004A74A7" w:rsidRPr="00703A0B" w:rsidRDefault="004A74A7" w:rsidP="007F7D69">
      <w:pPr>
        <w:spacing w:before="120" w:after="120"/>
        <w:rPr>
          <w:rFonts w:eastAsia="Arial" w:cs="Arial"/>
          <w:szCs w:val="22"/>
        </w:rPr>
      </w:pPr>
      <w:r w:rsidRPr="00703A0B">
        <w:rPr>
          <w:rFonts w:eastAsia="Arial" w:cs="Arial"/>
          <w:szCs w:val="22"/>
        </w:rPr>
        <w:t>Adjudication outcomes in 2025–26 demonstrate the important role the adjudication services play in supporting the timely resolution of payment disputes across Queensland's building and construction industry.</w:t>
      </w:r>
      <w:r w:rsidR="00D42A9F" w:rsidRPr="00703A0B">
        <w:rPr>
          <w:rFonts w:eastAsia="Arial" w:cs="Arial"/>
          <w:szCs w:val="22"/>
        </w:rPr>
        <w:t xml:space="preserve"> While </w:t>
      </w:r>
      <w:r w:rsidR="00E14458" w:rsidRPr="00703A0B">
        <w:rPr>
          <w:rFonts w:eastAsia="Arial" w:cs="Arial"/>
          <w:szCs w:val="22"/>
        </w:rPr>
        <w:t>higher-</w:t>
      </w:r>
      <w:r w:rsidR="00021400" w:rsidRPr="00703A0B">
        <w:rPr>
          <w:rFonts w:eastAsia="Arial" w:cs="Arial"/>
          <w:szCs w:val="22"/>
        </w:rPr>
        <w:t xml:space="preserve">value claims </w:t>
      </w:r>
      <w:r w:rsidR="00D42A9F" w:rsidRPr="00703A0B">
        <w:rPr>
          <w:rFonts w:eastAsia="Arial" w:cs="Arial"/>
          <w:szCs w:val="22"/>
        </w:rPr>
        <w:t>are often more complex in nature, the data highlight</w:t>
      </w:r>
      <w:r w:rsidR="001173B6" w:rsidRPr="00703A0B">
        <w:rPr>
          <w:rFonts w:eastAsia="Arial" w:cs="Arial"/>
          <w:szCs w:val="22"/>
        </w:rPr>
        <w:t>s</w:t>
      </w:r>
      <w:r w:rsidR="00D42A9F" w:rsidRPr="00703A0B">
        <w:rPr>
          <w:rFonts w:eastAsia="Arial" w:cs="Arial"/>
          <w:szCs w:val="22"/>
        </w:rPr>
        <w:t xml:space="preserve"> the effectiveness of adjudication in resolving lower-value payment disputes. </w:t>
      </w:r>
      <w:r w:rsidR="00C43ED8" w:rsidRPr="00703A0B">
        <w:rPr>
          <w:rFonts w:eastAsia="Arial" w:cs="Arial"/>
          <w:szCs w:val="22"/>
        </w:rPr>
        <w:t xml:space="preserve">Adjudication </w:t>
      </w:r>
      <w:r w:rsidR="001A1D79" w:rsidRPr="00703A0B">
        <w:rPr>
          <w:rFonts w:eastAsia="Arial" w:cs="Arial"/>
          <w:szCs w:val="22"/>
        </w:rPr>
        <w:t xml:space="preserve">services </w:t>
      </w:r>
      <w:r w:rsidR="00C43ED8" w:rsidRPr="00703A0B">
        <w:rPr>
          <w:rFonts w:eastAsia="Arial" w:cs="Arial"/>
          <w:szCs w:val="22"/>
        </w:rPr>
        <w:t>continue</w:t>
      </w:r>
      <w:r w:rsidR="001A1D79" w:rsidRPr="00703A0B">
        <w:rPr>
          <w:rFonts w:eastAsia="Arial" w:cs="Arial"/>
          <w:szCs w:val="22"/>
        </w:rPr>
        <w:t xml:space="preserve"> </w:t>
      </w:r>
      <w:r w:rsidR="00C43ED8" w:rsidRPr="00703A0B">
        <w:rPr>
          <w:rFonts w:eastAsia="Arial" w:cs="Arial"/>
          <w:szCs w:val="22"/>
        </w:rPr>
        <w:t>to be</w:t>
      </w:r>
      <w:r w:rsidR="001A1D79" w:rsidRPr="00703A0B">
        <w:rPr>
          <w:rFonts w:eastAsia="Arial" w:cs="Arial"/>
          <w:szCs w:val="22"/>
        </w:rPr>
        <w:t xml:space="preserve"> </w:t>
      </w:r>
      <w:r w:rsidR="00D42A9F" w:rsidRPr="00703A0B">
        <w:rPr>
          <w:rFonts w:eastAsia="Arial" w:cs="Arial"/>
          <w:szCs w:val="22"/>
        </w:rPr>
        <w:t>particularly important for smaller contractors and subcontractors, for whom timely payment can have a significant impact on cash flow and business viability.</w:t>
      </w:r>
      <w:r w:rsidR="004A6699" w:rsidRPr="00703A0B">
        <w:rPr>
          <w:rFonts w:eastAsia="Arial" w:cs="Arial"/>
          <w:szCs w:val="22"/>
        </w:rPr>
        <w:t xml:space="preserve"> </w:t>
      </w:r>
      <w:r w:rsidRPr="00703A0B">
        <w:rPr>
          <w:rFonts w:eastAsia="Arial" w:cs="Arial"/>
          <w:szCs w:val="22"/>
        </w:rPr>
        <w:t>Timely decision</w:t>
      </w:r>
      <w:r w:rsidR="003E3D84" w:rsidRPr="00703A0B">
        <w:rPr>
          <w:rFonts w:eastAsia="Arial" w:cs="Arial"/>
          <w:szCs w:val="22"/>
        </w:rPr>
        <w:t xml:space="preserve"> </w:t>
      </w:r>
      <w:r w:rsidRPr="00703A0B">
        <w:rPr>
          <w:rFonts w:eastAsia="Arial" w:cs="Arial"/>
          <w:szCs w:val="22"/>
        </w:rPr>
        <w:t xml:space="preserve">making by adjudicators provides certainty </w:t>
      </w:r>
      <w:r w:rsidR="00FE05BA" w:rsidRPr="00703A0B">
        <w:rPr>
          <w:rFonts w:eastAsia="Arial" w:cs="Arial"/>
          <w:szCs w:val="22"/>
        </w:rPr>
        <w:t>for all</w:t>
      </w:r>
      <w:r w:rsidRPr="00703A0B">
        <w:rPr>
          <w:rFonts w:eastAsia="Arial" w:cs="Arial"/>
          <w:szCs w:val="22"/>
        </w:rPr>
        <w:t xml:space="preserve"> parties, reduces the risk of disputes escalating and supports the continued </w:t>
      </w:r>
      <w:r w:rsidR="00F41BB4" w:rsidRPr="00703A0B">
        <w:rPr>
          <w:rFonts w:eastAsia="Arial" w:cs="Arial"/>
          <w:szCs w:val="22"/>
        </w:rPr>
        <w:t>delivery</w:t>
      </w:r>
      <w:r w:rsidRPr="00703A0B">
        <w:rPr>
          <w:rFonts w:eastAsia="Arial" w:cs="Arial"/>
          <w:szCs w:val="22"/>
        </w:rPr>
        <w:t xml:space="preserve"> of construction projects. </w:t>
      </w:r>
      <w:r w:rsidR="00994DB1" w:rsidRPr="00703A0B">
        <w:rPr>
          <w:rFonts w:eastAsia="Arial" w:cs="Arial"/>
          <w:szCs w:val="22"/>
        </w:rPr>
        <w:lastRenderedPageBreak/>
        <w:t>By supporting operators across the full spectrum of the industry, from small family-run businesses to large commercial contractors, adjudication contributes to a fairer and more resilient construction sector.</w:t>
      </w:r>
      <w:r w:rsidR="00BB399A" w:rsidRPr="00703A0B">
        <w:rPr>
          <w:rFonts w:eastAsia="Arial" w:cs="Arial"/>
          <w:szCs w:val="22"/>
        </w:rPr>
        <w:t xml:space="preserve"> </w:t>
      </w:r>
      <w:r w:rsidR="003E3D84" w:rsidRPr="00703A0B">
        <w:rPr>
          <w:rFonts w:eastAsia="Arial" w:cs="Arial"/>
          <w:szCs w:val="22"/>
        </w:rPr>
        <w:t>T</w:t>
      </w:r>
      <w:r w:rsidRPr="00703A0B">
        <w:rPr>
          <w:rFonts w:eastAsia="Arial" w:cs="Arial"/>
          <w:szCs w:val="22"/>
        </w:rPr>
        <w:t>hese outcomes reinforce the value of adjudication as a key component of Queensland's security of payment framework,</w:t>
      </w:r>
      <w:r w:rsidR="004A6699" w:rsidRPr="00703A0B">
        <w:rPr>
          <w:rFonts w:eastAsia="Arial" w:cs="Arial"/>
          <w:szCs w:val="22"/>
        </w:rPr>
        <w:t xml:space="preserve"> </w:t>
      </w:r>
      <w:r w:rsidRPr="00703A0B">
        <w:rPr>
          <w:rFonts w:eastAsia="Arial" w:cs="Arial"/>
          <w:szCs w:val="22"/>
        </w:rPr>
        <w:t>strengthen</w:t>
      </w:r>
      <w:r w:rsidR="00E6553F" w:rsidRPr="00703A0B">
        <w:rPr>
          <w:rFonts w:eastAsia="Arial" w:cs="Arial"/>
          <w:szCs w:val="22"/>
        </w:rPr>
        <w:t>ing</w:t>
      </w:r>
      <w:r w:rsidRPr="00703A0B">
        <w:rPr>
          <w:rFonts w:eastAsia="Arial" w:cs="Arial"/>
          <w:szCs w:val="22"/>
        </w:rPr>
        <w:t xml:space="preserve"> commercial confidence, improv</w:t>
      </w:r>
      <w:r w:rsidR="00A261EE" w:rsidRPr="00703A0B">
        <w:rPr>
          <w:rFonts w:eastAsia="Arial" w:cs="Arial"/>
          <w:szCs w:val="22"/>
        </w:rPr>
        <w:t>ing</w:t>
      </w:r>
      <w:r w:rsidRPr="00703A0B">
        <w:rPr>
          <w:rFonts w:eastAsia="Arial" w:cs="Arial"/>
          <w:szCs w:val="22"/>
        </w:rPr>
        <w:t xml:space="preserve"> financial stability and support</w:t>
      </w:r>
      <w:r w:rsidR="002E0BCF" w:rsidRPr="00703A0B">
        <w:rPr>
          <w:rFonts w:eastAsia="Arial" w:cs="Arial"/>
          <w:szCs w:val="22"/>
        </w:rPr>
        <w:t>ing</w:t>
      </w:r>
      <w:r w:rsidRPr="00703A0B">
        <w:rPr>
          <w:rFonts w:eastAsia="Arial" w:cs="Arial"/>
          <w:szCs w:val="22"/>
        </w:rPr>
        <w:t xml:space="preserve"> the efficient operation of </w:t>
      </w:r>
      <w:r w:rsidR="00676394" w:rsidRPr="00703A0B">
        <w:rPr>
          <w:rFonts w:eastAsia="Arial" w:cs="Arial"/>
          <w:szCs w:val="22"/>
        </w:rPr>
        <w:t xml:space="preserve">Queensland’s building and </w:t>
      </w:r>
      <w:r w:rsidRPr="00703A0B">
        <w:rPr>
          <w:rFonts w:eastAsia="Arial" w:cs="Arial"/>
          <w:szCs w:val="22"/>
        </w:rPr>
        <w:t>construction industry.</w:t>
      </w:r>
    </w:p>
    <w:p w14:paraId="2422E253" w14:textId="6024B80D" w:rsidR="006F0298" w:rsidRPr="00703A0B" w:rsidRDefault="006F0298" w:rsidP="00AC6384">
      <w:pPr>
        <w:pStyle w:val="Heading3"/>
      </w:pPr>
      <w:r w:rsidRPr="00703A0B">
        <w:t>Adjudicators</w:t>
      </w:r>
    </w:p>
    <w:p w14:paraId="483F876B" w14:textId="0D7C6B62" w:rsidR="006F0298" w:rsidRPr="00703A0B" w:rsidRDefault="006F0298" w:rsidP="00CB66C1">
      <w:pPr>
        <w:pStyle w:val="Heading4"/>
        <w:rPr>
          <w:rFonts w:cs="Arial"/>
        </w:rPr>
      </w:pPr>
      <w:r w:rsidRPr="00703A0B">
        <w:rPr>
          <w:rFonts w:cs="Arial"/>
        </w:rPr>
        <w:t xml:space="preserve">Registrations and </w:t>
      </w:r>
      <w:r w:rsidR="00A05674" w:rsidRPr="00703A0B">
        <w:rPr>
          <w:rFonts w:cs="Arial"/>
        </w:rPr>
        <w:t>r</w:t>
      </w:r>
      <w:r w:rsidRPr="00703A0B">
        <w:rPr>
          <w:rFonts w:cs="Arial"/>
        </w:rPr>
        <w:t>enewals</w:t>
      </w:r>
    </w:p>
    <w:p w14:paraId="15BE87D0" w14:textId="632CFF0B" w:rsidR="006F0298" w:rsidRPr="00703A0B" w:rsidRDefault="006F0298" w:rsidP="00AC53AB">
      <w:pPr>
        <w:spacing w:before="120" w:after="120"/>
        <w:rPr>
          <w:rFonts w:eastAsia="Arial" w:cs="Arial"/>
          <w:szCs w:val="22"/>
        </w:rPr>
      </w:pPr>
      <w:r w:rsidRPr="00703A0B">
        <w:rPr>
          <w:rFonts w:eastAsia="Arial" w:cs="Arial"/>
          <w:szCs w:val="22"/>
        </w:rPr>
        <w:t xml:space="preserve">Adjudicators are independent qualified professionals appointed to make court-enforceable decisions in payment disputes under the BIF Act. Individuals seeking registration as </w:t>
      </w:r>
      <w:r w:rsidR="00921710" w:rsidRPr="00703A0B">
        <w:rPr>
          <w:rFonts w:eastAsia="Arial" w:cs="Arial"/>
          <w:szCs w:val="22"/>
        </w:rPr>
        <w:t xml:space="preserve">an </w:t>
      </w:r>
      <w:r w:rsidRPr="00703A0B">
        <w:rPr>
          <w:rFonts w:eastAsia="Arial" w:cs="Arial"/>
          <w:szCs w:val="22"/>
        </w:rPr>
        <w:t xml:space="preserve">adjudicator must apply through the Registry, where </w:t>
      </w:r>
      <w:r w:rsidR="00921710" w:rsidRPr="00703A0B">
        <w:rPr>
          <w:rFonts w:eastAsia="Arial" w:cs="Arial"/>
          <w:szCs w:val="22"/>
        </w:rPr>
        <w:t>applications</w:t>
      </w:r>
      <w:r w:rsidRPr="00703A0B">
        <w:rPr>
          <w:rFonts w:eastAsia="Arial" w:cs="Arial"/>
          <w:szCs w:val="22"/>
        </w:rPr>
        <w:t xml:space="preserve"> are assessed against the relevant legislative requirements. </w:t>
      </w:r>
      <w:r w:rsidR="00921710" w:rsidRPr="00703A0B">
        <w:rPr>
          <w:rFonts w:eastAsia="Arial" w:cs="Arial"/>
          <w:szCs w:val="22"/>
        </w:rPr>
        <w:t>Adjudicator r</w:t>
      </w:r>
      <w:r w:rsidRPr="00703A0B">
        <w:rPr>
          <w:rFonts w:eastAsia="Arial" w:cs="Arial"/>
          <w:szCs w:val="22"/>
        </w:rPr>
        <w:t xml:space="preserve">egistrations </w:t>
      </w:r>
      <w:r w:rsidR="00921710" w:rsidRPr="00703A0B">
        <w:rPr>
          <w:rFonts w:eastAsia="Arial" w:cs="Arial"/>
          <w:szCs w:val="22"/>
        </w:rPr>
        <w:t>remain</w:t>
      </w:r>
      <w:r w:rsidRPr="00703A0B">
        <w:rPr>
          <w:rFonts w:eastAsia="Arial" w:cs="Arial"/>
          <w:szCs w:val="22"/>
        </w:rPr>
        <w:t xml:space="preserve"> valid for three years and must be renewed to </w:t>
      </w:r>
      <w:r w:rsidR="00921710" w:rsidRPr="00703A0B">
        <w:rPr>
          <w:rFonts w:eastAsia="Arial" w:cs="Arial"/>
          <w:szCs w:val="22"/>
        </w:rPr>
        <w:t>maintain</w:t>
      </w:r>
      <w:r w:rsidRPr="00703A0B">
        <w:rPr>
          <w:rFonts w:eastAsia="Arial" w:cs="Arial"/>
          <w:szCs w:val="22"/>
        </w:rPr>
        <w:t xml:space="preserve"> active</w:t>
      </w:r>
      <w:r w:rsidR="00921710" w:rsidRPr="00703A0B">
        <w:rPr>
          <w:rFonts w:eastAsia="Arial" w:cs="Arial"/>
          <w:szCs w:val="22"/>
        </w:rPr>
        <w:t xml:space="preserve"> registration</w:t>
      </w:r>
      <w:r w:rsidRPr="00703A0B">
        <w:rPr>
          <w:rFonts w:eastAsia="Arial" w:cs="Arial"/>
          <w:szCs w:val="22"/>
        </w:rPr>
        <w:t xml:space="preserve">. </w:t>
      </w:r>
    </w:p>
    <w:p w14:paraId="17E5D966" w14:textId="62F90C1C" w:rsidR="00254B69" w:rsidRPr="00703A0B" w:rsidRDefault="00921710" w:rsidP="00AC6384">
      <w:pPr>
        <w:spacing w:before="120" w:after="120"/>
        <w:rPr>
          <w:rFonts w:eastAsia="Arial" w:cs="Arial"/>
        </w:rPr>
      </w:pPr>
      <w:r w:rsidRPr="00703A0B">
        <w:rPr>
          <w:rFonts w:eastAsia="Arial" w:cs="Arial"/>
          <w:szCs w:val="22"/>
        </w:rPr>
        <w:t>Du</w:t>
      </w:r>
      <w:r w:rsidR="00EA3303" w:rsidRPr="00703A0B">
        <w:rPr>
          <w:rFonts w:eastAsia="Arial" w:cs="Arial"/>
          <w:szCs w:val="22"/>
        </w:rPr>
        <w:t>r</w:t>
      </w:r>
      <w:r w:rsidRPr="00703A0B">
        <w:rPr>
          <w:rFonts w:eastAsia="Arial" w:cs="Arial"/>
          <w:szCs w:val="22"/>
        </w:rPr>
        <w:t>ing</w:t>
      </w:r>
      <w:r w:rsidR="006F0298" w:rsidRPr="00703A0B">
        <w:rPr>
          <w:rFonts w:eastAsia="Arial" w:cs="Arial"/>
          <w:szCs w:val="22"/>
        </w:rPr>
        <w:t xml:space="preserve"> 2025</w:t>
      </w:r>
      <w:r w:rsidR="00EA3303" w:rsidRPr="00703A0B">
        <w:rPr>
          <w:rFonts w:eastAsia="Arial" w:cs="Arial"/>
          <w:szCs w:val="22"/>
        </w:rPr>
        <w:t>–</w:t>
      </w:r>
      <w:r w:rsidR="006F0298" w:rsidRPr="00703A0B">
        <w:rPr>
          <w:rFonts w:eastAsia="Arial" w:cs="Arial"/>
          <w:szCs w:val="22"/>
        </w:rPr>
        <w:t xml:space="preserve">26, </w:t>
      </w:r>
      <w:r w:rsidRPr="00703A0B">
        <w:rPr>
          <w:rFonts w:eastAsia="Arial" w:cs="Arial"/>
          <w:szCs w:val="22"/>
        </w:rPr>
        <w:t>the Registry received eight</w:t>
      </w:r>
      <w:r w:rsidR="006F0298" w:rsidRPr="00703A0B">
        <w:rPr>
          <w:rFonts w:eastAsia="Arial" w:cs="Arial"/>
          <w:szCs w:val="22"/>
        </w:rPr>
        <w:t xml:space="preserve"> applications for registration as an adjudicator, generating $7,395.36 in registration fees.</w:t>
      </w:r>
      <w:r w:rsidRPr="00703A0B">
        <w:rPr>
          <w:rFonts w:eastAsia="Arial" w:cs="Arial"/>
          <w:szCs w:val="22"/>
        </w:rPr>
        <w:t xml:space="preserve"> The Registry also processed </w:t>
      </w:r>
      <w:r w:rsidR="006F0298" w:rsidRPr="00703A0B">
        <w:rPr>
          <w:rFonts w:eastAsia="Arial" w:cs="Arial"/>
          <w:szCs w:val="22"/>
        </w:rPr>
        <w:t>36 applications for registration renewal, generating $33,279.12 in registration renewal fees.</w:t>
      </w:r>
      <w:r w:rsidR="00CC0D6E" w:rsidRPr="00703A0B">
        <w:rPr>
          <w:rStyle w:val="FootnoteReference"/>
          <w:rFonts w:eastAsia="Arial" w:cs="Arial"/>
          <w:szCs w:val="22"/>
        </w:rPr>
        <w:footnoteReference w:id="11"/>
      </w:r>
      <w:r w:rsidR="00EA3303" w:rsidRPr="00703A0B">
        <w:rPr>
          <w:rFonts w:eastAsia="Arial" w:cs="Arial"/>
          <w:szCs w:val="22"/>
        </w:rPr>
        <w:t xml:space="preserve"> </w:t>
      </w:r>
      <w:r w:rsidR="007C749A" w:rsidRPr="00703A0B">
        <w:rPr>
          <w:rFonts w:eastAsia="Arial" w:cs="Arial"/>
          <w:szCs w:val="22"/>
        </w:rPr>
        <w:t>These activities supported the continued availability of suitably qualified adjudicators to deliver independent adjudication services across Queensland's building and construction industry.</w:t>
      </w:r>
    </w:p>
    <w:p w14:paraId="73152939" w14:textId="77777777" w:rsidR="006F0298" w:rsidRPr="00703A0B" w:rsidRDefault="006F0298">
      <w:pPr>
        <w:pStyle w:val="Heading4"/>
        <w:rPr>
          <w:rFonts w:eastAsia="Arial" w:cs="Arial"/>
        </w:rPr>
      </w:pPr>
      <w:r w:rsidRPr="00703A0B">
        <w:rPr>
          <w:rFonts w:eastAsia="Arial" w:cs="Arial"/>
        </w:rPr>
        <w:t xml:space="preserve">Adjudicator grading </w:t>
      </w:r>
    </w:p>
    <w:p w14:paraId="0DDB6366" w14:textId="70A9FF60" w:rsidR="006F0298" w:rsidRPr="00703A0B" w:rsidRDefault="006F0298" w:rsidP="009C640D">
      <w:pPr>
        <w:spacing w:before="120" w:after="120"/>
        <w:rPr>
          <w:rFonts w:eastAsia="Arial" w:cs="Arial"/>
          <w:szCs w:val="22"/>
        </w:rPr>
      </w:pPr>
      <w:r w:rsidRPr="00703A0B">
        <w:rPr>
          <w:rFonts w:eastAsia="Arial" w:cs="Arial"/>
          <w:szCs w:val="22"/>
        </w:rPr>
        <w:t xml:space="preserve">Adjudicators are classified as either Grade 1 or Grade 2. Grade 1 adjudicators </w:t>
      </w:r>
      <w:r w:rsidR="00785151" w:rsidRPr="00703A0B">
        <w:rPr>
          <w:rFonts w:eastAsia="Arial" w:cs="Arial"/>
          <w:szCs w:val="22"/>
        </w:rPr>
        <w:t>are subject to annual grading review</w:t>
      </w:r>
      <w:r w:rsidRPr="00703A0B">
        <w:rPr>
          <w:rFonts w:eastAsia="Arial" w:cs="Arial"/>
          <w:szCs w:val="22"/>
        </w:rPr>
        <w:t xml:space="preserve">. To be eligible as a Grade 2 </w:t>
      </w:r>
      <w:r w:rsidR="00785151" w:rsidRPr="00703A0B">
        <w:rPr>
          <w:rFonts w:eastAsia="Arial" w:cs="Arial"/>
          <w:szCs w:val="22"/>
        </w:rPr>
        <w:t>classification</w:t>
      </w:r>
      <w:r w:rsidRPr="00703A0B">
        <w:rPr>
          <w:rFonts w:eastAsia="Arial" w:cs="Arial"/>
          <w:szCs w:val="22"/>
        </w:rPr>
        <w:t xml:space="preserve">, </w:t>
      </w:r>
      <w:r w:rsidR="00785151" w:rsidRPr="00703A0B">
        <w:rPr>
          <w:rFonts w:eastAsia="Arial" w:cs="Arial"/>
          <w:szCs w:val="22"/>
        </w:rPr>
        <w:t>adjudicators</w:t>
      </w:r>
      <w:r w:rsidRPr="00703A0B">
        <w:rPr>
          <w:rFonts w:eastAsia="Arial" w:cs="Arial"/>
          <w:szCs w:val="22"/>
        </w:rPr>
        <w:t xml:space="preserve"> must meet both of the following criteria, or demonstrate equivalent experience: </w:t>
      </w:r>
    </w:p>
    <w:p w14:paraId="348104EA" w14:textId="77777777" w:rsidR="006F0298" w:rsidRPr="00703A0B" w:rsidRDefault="006F0298" w:rsidP="00AC6384">
      <w:pPr>
        <w:pStyle w:val="ListParagraph"/>
        <w:numPr>
          <w:ilvl w:val="0"/>
          <w:numId w:val="96"/>
        </w:numPr>
        <w:spacing w:before="120" w:after="120"/>
        <w:contextualSpacing w:val="0"/>
        <w:rPr>
          <w:rFonts w:eastAsia="Arial" w:cs="Arial"/>
          <w:szCs w:val="22"/>
        </w:rPr>
      </w:pPr>
      <w:r w:rsidRPr="00703A0B">
        <w:rPr>
          <w:rFonts w:eastAsia="Arial" w:cs="Arial"/>
          <w:szCs w:val="22"/>
        </w:rPr>
        <w:t>Have delivered at least 10 adjudication decisions.</w:t>
      </w:r>
    </w:p>
    <w:p w14:paraId="0D27214B" w14:textId="6738BADD" w:rsidR="006F0298" w:rsidRPr="00703A0B" w:rsidRDefault="006F0298" w:rsidP="00AC6384">
      <w:pPr>
        <w:pStyle w:val="ListParagraph"/>
        <w:numPr>
          <w:ilvl w:val="0"/>
          <w:numId w:val="96"/>
        </w:numPr>
        <w:spacing w:before="120" w:after="120"/>
        <w:contextualSpacing w:val="0"/>
        <w:rPr>
          <w:rFonts w:eastAsia="Arial" w:cs="Arial"/>
          <w:szCs w:val="22"/>
        </w:rPr>
      </w:pPr>
      <w:r w:rsidRPr="00703A0B">
        <w:rPr>
          <w:rFonts w:eastAsia="Arial" w:cs="Arial"/>
          <w:szCs w:val="22"/>
        </w:rPr>
        <w:t xml:space="preserve">At least five of the 10 delivered decisions involved </w:t>
      </w:r>
      <w:r w:rsidR="00901F55" w:rsidRPr="00703A0B">
        <w:rPr>
          <w:rFonts w:eastAsia="Arial" w:cs="Arial"/>
          <w:szCs w:val="22"/>
        </w:rPr>
        <w:t xml:space="preserve">a </w:t>
      </w:r>
      <w:r w:rsidR="00405919" w:rsidRPr="00703A0B">
        <w:rPr>
          <w:rFonts w:eastAsia="Arial" w:cs="Arial"/>
          <w:szCs w:val="22"/>
        </w:rPr>
        <w:t xml:space="preserve">claimed amount </w:t>
      </w:r>
      <w:r w:rsidR="00901F55" w:rsidRPr="00703A0B">
        <w:rPr>
          <w:rFonts w:eastAsia="Arial" w:cs="Arial"/>
          <w:szCs w:val="22"/>
        </w:rPr>
        <w:t xml:space="preserve">exceeding $25,000 </w:t>
      </w:r>
      <w:r w:rsidR="006251FF" w:rsidRPr="00703A0B">
        <w:rPr>
          <w:rFonts w:eastAsia="Arial" w:cs="Arial"/>
          <w:szCs w:val="22"/>
        </w:rPr>
        <w:t>for</w:t>
      </w:r>
      <w:r w:rsidR="00267702" w:rsidRPr="00703A0B">
        <w:rPr>
          <w:rFonts w:eastAsia="Arial" w:cs="Arial"/>
          <w:szCs w:val="22"/>
        </w:rPr>
        <w:t xml:space="preserve"> a specific </w:t>
      </w:r>
      <w:r w:rsidRPr="00703A0B">
        <w:rPr>
          <w:rFonts w:eastAsia="Arial" w:cs="Arial"/>
          <w:szCs w:val="22"/>
        </w:rPr>
        <w:t>progress payment</w:t>
      </w:r>
      <w:r w:rsidR="00550872" w:rsidRPr="00703A0B">
        <w:rPr>
          <w:rFonts w:eastAsia="Arial" w:cs="Arial"/>
          <w:szCs w:val="22"/>
        </w:rPr>
        <w:t xml:space="preserve"> due under the contract</w:t>
      </w:r>
      <w:r w:rsidRPr="00703A0B">
        <w:rPr>
          <w:rFonts w:eastAsia="Arial" w:cs="Arial"/>
          <w:szCs w:val="22"/>
        </w:rPr>
        <w:t>.</w:t>
      </w:r>
    </w:p>
    <w:p w14:paraId="565A0656" w14:textId="029E6636" w:rsidR="006F0298" w:rsidRPr="00703A0B" w:rsidRDefault="006F0298" w:rsidP="00AC53AB">
      <w:pPr>
        <w:spacing w:before="120" w:after="120"/>
        <w:rPr>
          <w:rFonts w:eastAsia="Arial" w:cs="Arial"/>
          <w:szCs w:val="22"/>
        </w:rPr>
      </w:pPr>
      <w:r w:rsidRPr="00703A0B">
        <w:rPr>
          <w:rFonts w:eastAsia="Arial" w:cs="Arial"/>
          <w:szCs w:val="22"/>
        </w:rPr>
        <w:t>At the time of the annual review</w:t>
      </w:r>
      <w:r w:rsidR="007577A2" w:rsidRPr="00703A0B">
        <w:rPr>
          <w:rFonts w:eastAsia="Arial" w:cs="Arial"/>
          <w:szCs w:val="22"/>
        </w:rPr>
        <w:t xml:space="preserve"> (31 October 2025)</w:t>
      </w:r>
      <w:r w:rsidRPr="00703A0B">
        <w:rPr>
          <w:rFonts w:eastAsia="Arial" w:cs="Arial"/>
          <w:szCs w:val="22"/>
        </w:rPr>
        <w:t xml:space="preserve">, the Registry </w:t>
      </w:r>
      <w:r w:rsidR="00331108" w:rsidRPr="00703A0B">
        <w:rPr>
          <w:rFonts w:eastAsia="Arial" w:cs="Arial"/>
          <w:szCs w:val="22"/>
        </w:rPr>
        <w:t>had</w:t>
      </w:r>
      <w:r w:rsidRPr="00703A0B">
        <w:rPr>
          <w:rFonts w:eastAsia="Arial" w:cs="Arial"/>
          <w:szCs w:val="22"/>
        </w:rPr>
        <w:t xml:space="preserve"> </w:t>
      </w:r>
      <w:r w:rsidR="00304C1C" w:rsidRPr="00703A0B">
        <w:rPr>
          <w:rFonts w:eastAsia="Arial" w:cs="Arial"/>
          <w:szCs w:val="22"/>
        </w:rPr>
        <w:t>13</w:t>
      </w:r>
      <w:r w:rsidR="00D530C7" w:rsidRPr="00703A0B">
        <w:rPr>
          <w:rFonts w:eastAsia="Arial" w:cs="Arial"/>
          <w:szCs w:val="22"/>
        </w:rPr>
        <w:t>4</w:t>
      </w:r>
      <w:r w:rsidR="00304C1C" w:rsidRPr="00703A0B">
        <w:rPr>
          <w:rFonts w:eastAsia="Arial" w:cs="Arial"/>
          <w:szCs w:val="22"/>
        </w:rPr>
        <w:t xml:space="preserve"> registered adjudicators, comprising</w:t>
      </w:r>
      <w:r w:rsidRPr="00703A0B">
        <w:rPr>
          <w:rFonts w:eastAsia="Arial" w:cs="Arial"/>
          <w:szCs w:val="22"/>
        </w:rPr>
        <w:t xml:space="preserve"> of 51 </w:t>
      </w:r>
      <w:proofErr w:type="gramStart"/>
      <w:r w:rsidRPr="00703A0B">
        <w:rPr>
          <w:rFonts w:eastAsia="Arial" w:cs="Arial"/>
          <w:szCs w:val="22"/>
        </w:rPr>
        <w:t>Grade</w:t>
      </w:r>
      <w:proofErr w:type="gramEnd"/>
      <w:r w:rsidRPr="00703A0B">
        <w:rPr>
          <w:rFonts w:eastAsia="Arial" w:cs="Arial"/>
          <w:szCs w:val="22"/>
        </w:rPr>
        <w:t xml:space="preserve"> 1 and 83 Grade 2 adjudicators. </w:t>
      </w:r>
      <w:r w:rsidR="00304C1C" w:rsidRPr="00703A0B">
        <w:rPr>
          <w:rFonts w:eastAsia="Arial" w:cs="Arial"/>
          <w:szCs w:val="22"/>
        </w:rPr>
        <w:t>Following t</w:t>
      </w:r>
      <w:r w:rsidRPr="00703A0B">
        <w:rPr>
          <w:rFonts w:eastAsia="Arial" w:cs="Arial"/>
          <w:szCs w:val="22"/>
        </w:rPr>
        <w:t>he annual review</w:t>
      </w:r>
      <w:r w:rsidR="00304C1C" w:rsidRPr="00703A0B">
        <w:rPr>
          <w:rFonts w:eastAsia="Arial" w:cs="Arial"/>
          <w:szCs w:val="22"/>
        </w:rPr>
        <w:t xml:space="preserve">, </w:t>
      </w:r>
      <w:r w:rsidRPr="00703A0B">
        <w:rPr>
          <w:rFonts w:eastAsia="Arial" w:cs="Arial"/>
          <w:szCs w:val="22"/>
        </w:rPr>
        <w:t xml:space="preserve">one Grade 1 adjudicator </w:t>
      </w:r>
      <w:r w:rsidR="006D5D1F" w:rsidRPr="00703A0B">
        <w:rPr>
          <w:rFonts w:eastAsia="Arial" w:cs="Arial"/>
          <w:szCs w:val="22"/>
        </w:rPr>
        <w:t>was</w:t>
      </w:r>
      <w:r w:rsidRPr="00703A0B">
        <w:rPr>
          <w:rFonts w:eastAsia="Arial" w:cs="Arial"/>
          <w:szCs w:val="22"/>
        </w:rPr>
        <w:t xml:space="preserve"> elevated to Grade 2 </w:t>
      </w:r>
      <w:r w:rsidR="00AF48F1" w:rsidRPr="00703A0B">
        <w:rPr>
          <w:rFonts w:eastAsia="Arial" w:cs="Arial"/>
          <w:szCs w:val="22"/>
        </w:rPr>
        <w:t>classification, recognising their experience and ca</w:t>
      </w:r>
      <w:r w:rsidR="0000463C" w:rsidRPr="00703A0B">
        <w:rPr>
          <w:rFonts w:eastAsia="Arial" w:cs="Arial"/>
          <w:szCs w:val="22"/>
        </w:rPr>
        <w:t xml:space="preserve">pability in demining more </w:t>
      </w:r>
      <w:r w:rsidR="00D85CBA" w:rsidRPr="00703A0B">
        <w:rPr>
          <w:rFonts w:eastAsia="Arial" w:cs="Arial"/>
          <w:szCs w:val="22"/>
        </w:rPr>
        <w:t>complex payment disputes</w:t>
      </w:r>
      <w:r w:rsidRPr="00703A0B">
        <w:rPr>
          <w:rFonts w:eastAsia="Arial" w:cs="Arial"/>
          <w:szCs w:val="22"/>
        </w:rPr>
        <w:t xml:space="preserve">. </w:t>
      </w:r>
    </w:p>
    <w:p w14:paraId="56B1EC34" w14:textId="77777777" w:rsidR="006F0298" w:rsidRPr="00703A0B" w:rsidRDefault="006F0298">
      <w:pPr>
        <w:pStyle w:val="Heading4"/>
        <w:rPr>
          <w:rFonts w:eastAsia="Arial" w:cs="Arial"/>
        </w:rPr>
      </w:pPr>
      <w:r w:rsidRPr="00703A0B">
        <w:rPr>
          <w:rFonts w:eastAsia="Arial" w:cs="Arial"/>
        </w:rPr>
        <w:t xml:space="preserve">Professional development </w:t>
      </w:r>
    </w:p>
    <w:p w14:paraId="45B7635F" w14:textId="76134DCA" w:rsidR="006F0298" w:rsidRPr="00703A0B" w:rsidRDefault="006F0298" w:rsidP="00AC53AB">
      <w:pPr>
        <w:spacing w:before="120" w:after="120"/>
        <w:rPr>
          <w:rFonts w:eastAsia="Arial" w:cs="Arial"/>
          <w:szCs w:val="22"/>
        </w:rPr>
      </w:pPr>
      <w:r w:rsidRPr="00703A0B">
        <w:rPr>
          <w:rFonts w:eastAsia="Arial" w:cs="Arial"/>
          <w:szCs w:val="22"/>
        </w:rPr>
        <w:t>Under the BIF Act, adjudicators must undertake Continuing Professional Development (CPD) to maintain their registration. Participat</w:t>
      </w:r>
      <w:r w:rsidR="002C7768" w:rsidRPr="00703A0B">
        <w:rPr>
          <w:rFonts w:eastAsia="Arial" w:cs="Arial"/>
          <w:szCs w:val="22"/>
        </w:rPr>
        <w:t>ion</w:t>
      </w:r>
      <w:r w:rsidRPr="00703A0B">
        <w:rPr>
          <w:rFonts w:eastAsia="Arial" w:cs="Arial"/>
          <w:szCs w:val="22"/>
        </w:rPr>
        <w:t xml:space="preserve"> in CPD activities, such as seminar, lectures, workshop and conferences, </w:t>
      </w:r>
      <w:r w:rsidR="002C7768" w:rsidRPr="00703A0B">
        <w:rPr>
          <w:rFonts w:eastAsia="Arial" w:cs="Arial"/>
          <w:szCs w:val="22"/>
        </w:rPr>
        <w:t xml:space="preserve">helps </w:t>
      </w:r>
      <w:r w:rsidRPr="00703A0B">
        <w:rPr>
          <w:rFonts w:eastAsia="Arial" w:cs="Arial"/>
          <w:szCs w:val="22"/>
        </w:rPr>
        <w:t xml:space="preserve">ensure adjudicators remain up to date with legislative </w:t>
      </w:r>
      <w:r w:rsidR="002C7768" w:rsidRPr="00703A0B">
        <w:rPr>
          <w:rFonts w:eastAsia="Arial" w:cs="Arial"/>
          <w:szCs w:val="22"/>
        </w:rPr>
        <w:t>developments</w:t>
      </w:r>
      <w:r w:rsidRPr="00703A0B">
        <w:rPr>
          <w:rFonts w:eastAsia="Arial" w:cs="Arial"/>
          <w:szCs w:val="22"/>
        </w:rPr>
        <w:t xml:space="preserve"> and industry best practice. Eligible activities are </w:t>
      </w:r>
      <w:r w:rsidR="00BA61E5" w:rsidRPr="00703A0B">
        <w:rPr>
          <w:rFonts w:eastAsia="Arial" w:cs="Arial"/>
          <w:szCs w:val="22"/>
        </w:rPr>
        <w:t>prescribed</w:t>
      </w:r>
      <w:r w:rsidRPr="00703A0B">
        <w:rPr>
          <w:rFonts w:eastAsia="Arial" w:cs="Arial"/>
          <w:szCs w:val="22"/>
        </w:rPr>
        <w:t xml:space="preserve"> </w:t>
      </w:r>
      <w:r w:rsidR="00BA61E5" w:rsidRPr="00703A0B">
        <w:rPr>
          <w:rFonts w:eastAsia="Arial" w:cs="Arial"/>
          <w:szCs w:val="22"/>
        </w:rPr>
        <w:t>under</w:t>
      </w:r>
      <w:r w:rsidRPr="00703A0B">
        <w:rPr>
          <w:rFonts w:eastAsia="Arial" w:cs="Arial"/>
          <w:szCs w:val="22"/>
        </w:rPr>
        <w:t xml:space="preserve"> the CPD framework</w:t>
      </w:r>
      <w:r w:rsidR="001A403D" w:rsidRPr="00703A0B">
        <w:rPr>
          <w:rFonts w:eastAsia="Arial" w:cs="Arial"/>
          <w:szCs w:val="22"/>
        </w:rPr>
        <w:t>. A</w:t>
      </w:r>
      <w:r w:rsidR="008C47F3" w:rsidRPr="00703A0B">
        <w:rPr>
          <w:rFonts w:eastAsia="Arial" w:cs="Arial"/>
          <w:szCs w:val="22"/>
        </w:rPr>
        <w:t>djudicator</w:t>
      </w:r>
      <w:r w:rsidR="001A403D" w:rsidRPr="00703A0B">
        <w:rPr>
          <w:rFonts w:eastAsia="Arial" w:cs="Arial"/>
          <w:szCs w:val="22"/>
        </w:rPr>
        <w:t>s are required to demonstrate</w:t>
      </w:r>
      <w:r w:rsidRPr="00703A0B">
        <w:rPr>
          <w:rFonts w:eastAsia="Arial" w:cs="Arial"/>
          <w:szCs w:val="22"/>
        </w:rPr>
        <w:t xml:space="preserve"> compliance </w:t>
      </w:r>
      <w:r w:rsidR="001A403D" w:rsidRPr="00703A0B">
        <w:rPr>
          <w:rFonts w:eastAsia="Arial" w:cs="Arial"/>
          <w:szCs w:val="22"/>
        </w:rPr>
        <w:t xml:space="preserve">with these requirements through an annual </w:t>
      </w:r>
      <w:r w:rsidRPr="00703A0B">
        <w:rPr>
          <w:rFonts w:eastAsia="Arial" w:cs="Arial"/>
          <w:szCs w:val="22"/>
        </w:rPr>
        <w:t>assess</w:t>
      </w:r>
      <w:r w:rsidR="001A403D" w:rsidRPr="00703A0B">
        <w:rPr>
          <w:rFonts w:eastAsia="Arial" w:cs="Arial"/>
          <w:szCs w:val="22"/>
        </w:rPr>
        <w:t>ment process</w:t>
      </w:r>
      <w:r w:rsidR="00CA22EC" w:rsidRPr="00703A0B">
        <w:rPr>
          <w:rFonts w:eastAsia="Arial" w:cs="Arial"/>
          <w:szCs w:val="22"/>
        </w:rPr>
        <w:t xml:space="preserve">. For </w:t>
      </w:r>
      <w:r w:rsidR="00295432" w:rsidRPr="00703A0B">
        <w:rPr>
          <w:rFonts w:eastAsia="Arial" w:cs="Arial"/>
          <w:szCs w:val="22"/>
        </w:rPr>
        <w:t>2025–2</w:t>
      </w:r>
      <w:r w:rsidR="00CA22EC" w:rsidRPr="00703A0B">
        <w:rPr>
          <w:rFonts w:eastAsia="Arial" w:cs="Arial"/>
          <w:szCs w:val="22"/>
        </w:rPr>
        <w:t xml:space="preserve">6, </w:t>
      </w:r>
      <w:r w:rsidR="008C47F3" w:rsidRPr="00703A0B">
        <w:rPr>
          <w:rFonts w:eastAsia="Arial" w:cs="Arial"/>
          <w:szCs w:val="22"/>
        </w:rPr>
        <w:t xml:space="preserve">the </w:t>
      </w:r>
      <w:r w:rsidR="001A403D" w:rsidRPr="00703A0B">
        <w:rPr>
          <w:rFonts w:eastAsia="Arial" w:cs="Arial"/>
          <w:szCs w:val="22"/>
        </w:rPr>
        <w:t>assessment covered</w:t>
      </w:r>
      <w:r w:rsidRPr="00703A0B">
        <w:rPr>
          <w:rFonts w:eastAsia="Arial" w:cs="Arial"/>
          <w:szCs w:val="22"/>
        </w:rPr>
        <w:t xml:space="preserve"> the reporting period from 1 April to 14 April 2026.</w:t>
      </w:r>
      <w:r w:rsidR="008B34CC" w:rsidRPr="00703A0B">
        <w:rPr>
          <w:rFonts w:eastAsia="Arial" w:cs="Arial"/>
          <w:szCs w:val="22"/>
        </w:rPr>
        <w:t xml:space="preserve"> </w:t>
      </w:r>
      <w:r w:rsidR="001A403D" w:rsidRPr="00703A0B">
        <w:rPr>
          <w:rFonts w:eastAsia="Arial" w:cs="Arial"/>
          <w:szCs w:val="22"/>
        </w:rPr>
        <w:t>During</w:t>
      </w:r>
      <w:r w:rsidRPr="00703A0B">
        <w:rPr>
          <w:rFonts w:eastAsia="Arial" w:cs="Arial"/>
          <w:szCs w:val="22"/>
        </w:rPr>
        <w:t xml:space="preserve"> the </w:t>
      </w:r>
      <w:r w:rsidR="00AD1696" w:rsidRPr="00703A0B">
        <w:rPr>
          <w:rFonts w:eastAsia="Arial" w:cs="Arial"/>
          <w:szCs w:val="22"/>
        </w:rPr>
        <w:t>2025–</w:t>
      </w:r>
      <w:r w:rsidRPr="00703A0B">
        <w:rPr>
          <w:rFonts w:eastAsia="Arial" w:cs="Arial"/>
          <w:szCs w:val="22"/>
        </w:rPr>
        <w:t xml:space="preserve">26 CPD reporting period, 133 adjudicators </w:t>
      </w:r>
      <w:r w:rsidR="001A403D" w:rsidRPr="00703A0B">
        <w:rPr>
          <w:rFonts w:eastAsia="Arial" w:cs="Arial"/>
          <w:szCs w:val="22"/>
        </w:rPr>
        <w:t xml:space="preserve">were </w:t>
      </w:r>
      <w:r w:rsidRPr="00703A0B">
        <w:rPr>
          <w:rFonts w:eastAsia="Arial" w:cs="Arial"/>
          <w:szCs w:val="22"/>
        </w:rPr>
        <w:t>registered</w:t>
      </w:r>
      <w:r w:rsidR="001A403D" w:rsidRPr="00703A0B">
        <w:rPr>
          <w:rFonts w:eastAsia="Arial" w:cs="Arial"/>
          <w:szCs w:val="22"/>
        </w:rPr>
        <w:t xml:space="preserve"> with the Registry</w:t>
      </w:r>
      <w:r w:rsidRPr="00703A0B">
        <w:rPr>
          <w:rFonts w:eastAsia="Arial" w:cs="Arial"/>
          <w:szCs w:val="22"/>
        </w:rPr>
        <w:t xml:space="preserve">. Of these, 129 </w:t>
      </w:r>
      <w:r w:rsidR="001A403D" w:rsidRPr="00703A0B">
        <w:rPr>
          <w:rFonts w:eastAsia="Arial" w:cs="Arial"/>
          <w:szCs w:val="22"/>
        </w:rPr>
        <w:t xml:space="preserve">adjudicators </w:t>
      </w:r>
      <w:r w:rsidRPr="00703A0B">
        <w:rPr>
          <w:rFonts w:eastAsia="Arial" w:cs="Arial"/>
          <w:szCs w:val="22"/>
        </w:rPr>
        <w:t>submitted their CPD records</w:t>
      </w:r>
      <w:r w:rsidR="001E22CB" w:rsidRPr="00703A0B">
        <w:rPr>
          <w:rFonts w:eastAsia="Arial" w:cs="Arial"/>
          <w:szCs w:val="22"/>
        </w:rPr>
        <w:t xml:space="preserve"> and demonstrated their CPD requirements. Two</w:t>
      </w:r>
      <w:r w:rsidRPr="00703A0B">
        <w:rPr>
          <w:rFonts w:eastAsia="Arial" w:cs="Arial"/>
          <w:szCs w:val="22"/>
        </w:rPr>
        <w:t xml:space="preserve"> </w:t>
      </w:r>
      <w:r w:rsidR="001E22CB" w:rsidRPr="00703A0B">
        <w:rPr>
          <w:rFonts w:eastAsia="Arial" w:cs="Arial"/>
          <w:szCs w:val="22"/>
        </w:rPr>
        <w:t>adjudicator registrations were</w:t>
      </w:r>
      <w:r w:rsidRPr="00703A0B">
        <w:rPr>
          <w:rFonts w:eastAsia="Arial" w:cs="Arial"/>
          <w:szCs w:val="22"/>
        </w:rPr>
        <w:t xml:space="preserve"> cancelled due to non-compliance, </w:t>
      </w:r>
      <w:r w:rsidR="001E22CB" w:rsidRPr="00703A0B">
        <w:rPr>
          <w:rFonts w:eastAsia="Arial" w:cs="Arial"/>
          <w:szCs w:val="22"/>
        </w:rPr>
        <w:t xml:space="preserve">while a further </w:t>
      </w:r>
      <w:r w:rsidR="00A423D3" w:rsidRPr="00703A0B">
        <w:rPr>
          <w:rFonts w:eastAsia="Arial" w:cs="Arial"/>
          <w:szCs w:val="22"/>
        </w:rPr>
        <w:t xml:space="preserve">two </w:t>
      </w:r>
      <w:r w:rsidRPr="00703A0B">
        <w:rPr>
          <w:rFonts w:eastAsia="Arial" w:cs="Arial"/>
          <w:szCs w:val="22"/>
        </w:rPr>
        <w:t>adjudicators surrendered their registrations.</w:t>
      </w:r>
    </w:p>
    <w:p w14:paraId="276C0B68" w14:textId="39DD2A65" w:rsidR="006F0298" w:rsidRPr="00703A0B" w:rsidRDefault="00DA4D80" w:rsidP="009C640D">
      <w:pPr>
        <w:pStyle w:val="Heading3"/>
      </w:pPr>
      <w:r w:rsidRPr="00703A0B">
        <w:rPr>
          <w:rFonts w:eastAsia="Arial" w:cs="Arial"/>
        </w:rPr>
        <w:t>Looking ahead</w:t>
      </w:r>
    </w:p>
    <w:p w14:paraId="52F3480C" w14:textId="2DFEA3DB" w:rsidR="00F0793B" w:rsidRPr="00703A0B" w:rsidRDefault="00320716" w:rsidP="006F0298">
      <w:pPr>
        <w:spacing w:before="120" w:after="120"/>
        <w:rPr>
          <w:rFonts w:eastAsia="Arial" w:cs="Arial"/>
        </w:rPr>
      </w:pPr>
      <w:r w:rsidRPr="00703A0B">
        <w:rPr>
          <w:rFonts w:eastAsia="Arial" w:cs="Arial"/>
        </w:rPr>
        <w:t>Over the next 12 months, t</w:t>
      </w:r>
      <w:r w:rsidR="006F0298" w:rsidRPr="00703A0B">
        <w:rPr>
          <w:rFonts w:eastAsia="Arial" w:cs="Arial"/>
        </w:rPr>
        <w:t xml:space="preserve">he Registry </w:t>
      </w:r>
      <w:r w:rsidR="006F458A" w:rsidRPr="00703A0B">
        <w:rPr>
          <w:rFonts w:eastAsia="Arial" w:cs="Arial"/>
        </w:rPr>
        <w:t xml:space="preserve">will </w:t>
      </w:r>
      <w:r w:rsidR="006F0298" w:rsidRPr="00703A0B">
        <w:rPr>
          <w:rFonts w:eastAsia="Arial" w:cs="Arial"/>
        </w:rPr>
        <w:t xml:space="preserve">continue to review </w:t>
      </w:r>
      <w:r w:rsidR="001C0390" w:rsidRPr="00703A0B">
        <w:rPr>
          <w:rFonts w:eastAsia="Arial" w:cs="Arial"/>
        </w:rPr>
        <w:t>and</w:t>
      </w:r>
      <w:r w:rsidR="006F0298" w:rsidRPr="00703A0B">
        <w:rPr>
          <w:rFonts w:eastAsia="Arial" w:cs="Arial"/>
        </w:rPr>
        <w:t xml:space="preserve"> </w:t>
      </w:r>
      <w:r w:rsidR="002F2810" w:rsidRPr="00703A0B">
        <w:rPr>
          <w:rFonts w:eastAsia="Arial" w:cs="Arial"/>
        </w:rPr>
        <w:t xml:space="preserve">enhance </w:t>
      </w:r>
      <w:r w:rsidR="005248F6" w:rsidRPr="00703A0B">
        <w:rPr>
          <w:rFonts w:eastAsia="Arial" w:cs="Arial"/>
        </w:rPr>
        <w:t xml:space="preserve">its </w:t>
      </w:r>
      <w:r w:rsidR="006F0298" w:rsidRPr="00703A0B">
        <w:rPr>
          <w:rFonts w:eastAsia="Arial" w:cs="Arial"/>
        </w:rPr>
        <w:t>systems</w:t>
      </w:r>
      <w:r w:rsidR="002F2810" w:rsidRPr="00703A0B">
        <w:rPr>
          <w:rFonts w:eastAsia="Arial" w:cs="Arial"/>
        </w:rPr>
        <w:t>,</w:t>
      </w:r>
      <w:r w:rsidR="006F0298" w:rsidRPr="00703A0B">
        <w:rPr>
          <w:rFonts w:eastAsia="Arial" w:cs="Arial"/>
        </w:rPr>
        <w:t xml:space="preserve"> processes</w:t>
      </w:r>
      <w:r w:rsidR="002F2810" w:rsidRPr="00703A0B">
        <w:rPr>
          <w:rFonts w:eastAsia="Arial" w:cs="Arial"/>
        </w:rPr>
        <w:t xml:space="preserve"> and service delivery</w:t>
      </w:r>
      <w:r w:rsidR="006F0298" w:rsidRPr="00703A0B">
        <w:rPr>
          <w:rFonts w:eastAsia="Arial" w:cs="Arial"/>
        </w:rPr>
        <w:t xml:space="preserve"> to </w:t>
      </w:r>
      <w:r w:rsidR="005248F6" w:rsidRPr="00703A0B">
        <w:rPr>
          <w:rFonts w:eastAsia="Arial" w:cs="Arial"/>
        </w:rPr>
        <w:t xml:space="preserve">support the efficient </w:t>
      </w:r>
      <w:r w:rsidR="00AC1CB4" w:rsidRPr="00703A0B">
        <w:rPr>
          <w:rFonts w:eastAsia="Arial" w:cs="Arial"/>
        </w:rPr>
        <w:t>administration of Queensland’s adjudication framework</w:t>
      </w:r>
      <w:r w:rsidR="006F0298" w:rsidRPr="00703A0B">
        <w:rPr>
          <w:rFonts w:eastAsia="Arial" w:cs="Arial"/>
        </w:rPr>
        <w:t xml:space="preserve">. </w:t>
      </w:r>
      <w:r w:rsidR="000D46BE" w:rsidRPr="00703A0B">
        <w:rPr>
          <w:rFonts w:eastAsia="Arial" w:cs="Arial"/>
        </w:rPr>
        <w:t xml:space="preserve">Working collaboratively with </w:t>
      </w:r>
      <w:r w:rsidR="005D32C0" w:rsidRPr="00703A0B">
        <w:rPr>
          <w:rFonts w:eastAsia="Arial" w:cs="Arial"/>
        </w:rPr>
        <w:t>QBCC staff</w:t>
      </w:r>
      <w:r w:rsidR="006F0298" w:rsidRPr="00703A0B">
        <w:rPr>
          <w:rFonts w:eastAsia="Arial" w:cs="Arial"/>
        </w:rPr>
        <w:t xml:space="preserve">, the Registry </w:t>
      </w:r>
      <w:r w:rsidR="00D24087" w:rsidRPr="00703A0B">
        <w:rPr>
          <w:rFonts w:eastAsia="Arial" w:cs="Arial"/>
        </w:rPr>
        <w:t xml:space="preserve">will </w:t>
      </w:r>
      <w:r w:rsidR="005248F6" w:rsidRPr="00703A0B">
        <w:rPr>
          <w:rFonts w:eastAsia="Arial" w:cs="Arial"/>
        </w:rPr>
        <w:t>deliver</w:t>
      </w:r>
      <w:r w:rsidR="006F0298" w:rsidRPr="00703A0B">
        <w:rPr>
          <w:rFonts w:eastAsia="Arial" w:cs="Arial"/>
        </w:rPr>
        <w:t xml:space="preserve"> annual </w:t>
      </w:r>
      <w:r w:rsidR="00570AFA" w:rsidRPr="00703A0B">
        <w:rPr>
          <w:rFonts w:eastAsia="Arial" w:cs="Arial"/>
        </w:rPr>
        <w:t xml:space="preserve">adjudication </w:t>
      </w:r>
      <w:r w:rsidR="006F0298" w:rsidRPr="00703A0B">
        <w:rPr>
          <w:rFonts w:eastAsia="Arial" w:cs="Arial"/>
        </w:rPr>
        <w:t xml:space="preserve">training </w:t>
      </w:r>
      <w:r w:rsidR="00570AFA" w:rsidRPr="00703A0B">
        <w:rPr>
          <w:rFonts w:eastAsia="Arial" w:cs="Arial"/>
        </w:rPr>
        <w:t xml:space="preserve">and </w:t>
      </w:r>
      <w:r w:rsidR="006F0298" w:rsidRPr="00703A0B">
        <w:rPr>
          <w:rFonts w:eastAsia="Arial" w:cs="Arial"/>
        </w:rPr>
        <w:t xml:space="preserve">develop </w:t>
      </w:r>
      <w:r w:rsidR="009F09B6" w:rsidRPr="00703A0B">
        <w:rPr>
          <w:rFonts w:eastAsia="Arial" w:cs="Arial"/>
        </w:rPr>
        <w:t>supporting</w:t>
      </w:r>
      <w:r w:rsidR="006F0298" w:rsidRPr="00703A0B">
        <w:rPr>
          <w:rFonts w:eastAsia="Arial" w:cs="Arial"/>
        </w:rPr>
        <w:t xml:space="preserve"> procedures</w:t>
      </w:r>
      <w:r w:rsidR="00570AFA" w:rsidRPr="00703A0B">
        <w:rPr>
          <w:rFonts w:eastAsia="Arial" w:cs="Arial"/>
        </w:rPr>
        <w:t xml:space="preserve"> to improve </w:t>
      </w:r>
      <w:r w:rsidR="000F75E2" w:rsidRPr="00703A0B">
        <w:rPr>
          <w:rFonts w:eastAsia="Arial" w:cs="Arial"/>
        </w:rPr>
        <w:t xml:space="preserve">consistency, capability and </w:t>
      </w:r>
      <w:r w:rsidR="00570AFA" w:rsidRPr="00703A0B">
        <w:rPr>
          <w:rFonts w:eastAsia="Arial" w:cs="Arial"/>
        </w:rPr>
        <w:t>customer experience across Brisbane and regional Queensland</w:t>
      </w:r>
      <w:r w:rsidR="006F0298" w:rsidRPr="00703A0B">
        <w:rPr>
          <w:rFonts w:eastAsia="Arial" w:cs="Arial"/>
        </w:rPr>
        <w:t>.</w:t>
      </w:r>
      <w:r w:rsidR="00F2523D" w:rsidRPr="00703A0B">
        <w:rPr>
          <w:rFonts w:eastAsia="Arial" w:cs="Arial"/>
        </w:rPr>
        <w:t xml:space="preserve"> </w:t>
      </w:r>
      <w:r w:rsidR="002515A3" w:rsidRPr="00703A0B">
        <w:rPr>
          <w:rFonts w:eastAsia="Arial" w:cs="Arial"/>
        </w:rPr>
        <w:t>T</w:t>
      </w:r>
      <w:r w:rsidR="009F09B6" w:rsidRPr="00703A0B">
        <w:rPr>
          <w:rFonts w:eastAsia="Arial" w:cs="Arial"/>
        </w:rPr>
        <w:t>h</w:t>
      </w:r>
      <w:r w:rsidR="007219BD" w:rsidRPr="00703A0B">
        <w:rPr>
          <w:rFonts w:eastAsia="Arial" w:cs="Arial"/>
        </w:rPr>
        <w:t xml:space="preserve">e </w:t>
      </w:r>
      <w:r w:rsidR="006F0298" w:rsidRPr="00703A0B">
        <w:rPr>
          <w:rFonts w:eastAsia="Arial" w:cs="Arial"/>
        </w:rPr>
        <w:t xml:space="preserve">Registry </w:t>
      </w:r>
      <w:r w:rsidR="00F0793B" w:rsidRPr="00703A0B">
        <w:rPr>
          <w:rFonts w:eastAsia="Arial" w:cs="Arial"/>
        </w:rPr>
        <w:t xml:space="preserve">will </w:t>
      </w:r>
      <w:r w:rsidR="002515A3" w:rsidRPr="00703A0B">
        <w:rPr>
          <w:rFonts w:eastAsia="Arial" w:cs="Arial"/>
        </w:rPr>
        <w:t xml:space="preserve">also </w:t>
      </w:r>
      <w:r w:rsidR="00F0793B" w:rsidRPr="00703A0B">
        <w:rPr>
          <w:rFonts w:eastAsia="Arial" w:cs="Arial"/>
        </w:rPr>
        <w:t>continue to ensur</w:t>
      </w:r>
      <w:r w:rsidR="00714007" w:rsidRPr="00703A0B">
        <w:rPr>
          <w:rFonts w:eastAsia="Arial" w:cs="Arial"/>
        </w:rPr>
        <w:t>e</w:t>
      </w:r>
      <w:r w:rsidR="00F0793B" w:rsidRPr="00703A0B">
        <w:rPr>
          <w:rFonts w:eastAsia="Arial" w:cs="Arial"/>
        </w:rPr>
        <w:t xml:space="preserve"> payment disputes are resolved in a timely, independent and accessible manner</w:t>
      </w:r>
      <w:r w:rsidR="00303B22" w:rsidRPr="00703A0B">
        <w:rPr>
          <w:rFonts w:eastAsia="Arial" w:cs="Arial"/>
        </w:rPr>
        <w:t xml:space="preserve">, </w:t>
      </w:r>
      <w:r w:rsidR="00A431F0" w:rsidRPr="00703A0B">
        <w:rPr>
          <w:rFonts w:eastAsia="Arial" w:cs="Arial"/>
        </w:rPr>
        <w:t xml:space="preserve">contributing to confidence </w:t>
      </w:r>
      <w:r w:rsidR="009649BC" w:rsidRPr="00703A0B">
        <w:rPr>
          <w:rFonts w:eastAsia="Arial" w:cs="Arial"/>
        </w:rPr>
        <w:t xml:space="preserve">in </w:t>
      </w:r>
      <w:r w:rsidR="00303B22" w:rsidRPr="00703A0B">
        <w:rPr>
          <w:rFonts w:eastAsia="Arial" w:cs="Arial"/>
        </w:rPr>
        <w:t xml:space="preserve">Queensland’s </w:t>
      </w:r>
      <w:r w:rsidR="009649BC" w:rsidRPr="00703A0B">
        <w:rPr>
          <w:rFonts w:eastAsia="Arial" w:cs="Arial"/>
        </w:rPr>
        <w:t xml:space="preserve">security of payment </w:t>
      </w:r>
      <w:r w:rsidR="00303B22" w:rsidRPr="00703A0B">
        <w:rPr>
          <w:rFonts w:eastAsia="Arial" w:cs="Arial"/>
        </w:rPr>
        <w:t>framework</w:t>
      </w:r>
      <w:r w:rsidR="009649BC" w:rsidRPr="00703A0B">
        <w:rPr>
          <w:rFonts w:eastAsia="Arial" w:cs="Arial"/>
        </w:rPr>
        <w:t xml:space="preserve">. </w:t>
      </w:r>
      <w:r w:rsidR="00F0793B" w:rsidRPr="00703A0B">
        <w:rPr>
          <w:rFonts w:eastAsia="Arial" w:cs="Arial"/>
        </w:rPr>
        <w:t xml:space="preserve">As industry </w:t>
      </w:r>
      <w:r w:rsidR="009649BC" w:rsidRPr="00703A0B">
        <w:rPr>
          <w:rFonts w:eastAsia="Arial" w:cs="Arial"/>
        </w:rPr>
        <w:t xml:space="preserve">needs </w:t>
      </w:r>
      <w:r w:rsidR="00F0793B" w:rsidRPr="00703A0B">
        <w:rPr>
          <w:rFonts w:eastAsia="Arial" w:cs="Arial"/>
        </w:rPr>
        <w:t xml:space="preserve">evolve, </w:t>
      </w:r>
      <w:r w:rsidR="009649BC" w:rsidRPr="00703A0B">
        <w:rPr>
          <w:rFonts w:eastAsia="Arial" w:cs="Arial"/>
        </w:rPr>
        <w:t xml:space="preserve">focus will remain on </w:t>
      </w:r>
      <w:r w:rsidR="00231A63" w:rsidRPr="00703A0B">
        <w:rPr>
          <w:rFonts w:eastAsia="Arial" w:cs="Arial"/>
        </w:rPr>
        <w:t>efficient application processing</w:t>
      </w:r>
      <w:r w:rsidR="00F0793B" w:rsidRPr="00703A0B">
        <w:rPr>
          <w:rFonts w:eastAsia="Arial" w:cs="Arial"/>
        </w:rPr>
        <w:t>, robust adjudicator registration and renewal processes</w:t>
      </w:r>
      <w:r w:rsidR="002061EE" w:rsidRPr="00703A0B">
        <w:rPr>
          <w:rFonts w:eastAsia="Arial" w:cs="Arial"/>
        </w:rPr>
        <w:t>,</w:t>
      </w:r>
      <w:r w:rsidR="00F0793B" w:rsidRPr="00703A0B">
        <w:rPr>
          <w:rFonts w:eastAsia="Arial" w:cs="Arial"/>
        </w:rPr>
        <w:t xml:space="preserve"> and </w:t>
      </w:r>
      <w:r w:rsidR="002A50CB" w:rsidRPr="00703A0B">
        <w:rPr>
          <w:rFonts w:eastAsia="Arial" w:cs="Arial"/>
        </w:rPr>
        <w:t xml:space="preserve">providing </w:t>
      </w:r>
      <w:r w:rsidR="00F0793B" w:rsidRPr="00703A0B">
        <w:rPr>
          <w:rFonts w:eastAsia="Arial" w:cs="Arial"/>
        </w:rPr>
        <w:t>clear</w:t>
      </w:r>
      <w:r w:rsidR="00ED619A" w:rsidRPr="00703A0B">
        <w:rPr>
          <w:rFonts w:eastAsia="Arial" w:cs="Arial"/>
        </w:rPr>
        <w:t xml:space="preserve"> and practical</w:t>
      </w:r>
      <w:r w:rsidR="00F0793B" w:rsidRPr="00703A0B">
        <w:rPr>
          <w:rFonts w:eastAsia="Arial" w:cs="Arial"/>
        </w:rPr>
        <w:t xml:space="preserve"> information to</w:t>
      </w:r>
      <w:r w:rsidR="00ED619A" w:rsidRPr="00703A0B">
        <w:rPr>
          <w:rFonts w:eastAsia="Arial" w:cs="Arial"/>
        </w:rPr>
        <w:t xml:space="preserve"> help</w:t>
      </w:r>
      <w:r w:rsidR="00826630" w:rsidRPr="00703A0B">
        <w:rPr>
          <w:rFonts w:eastAsia="Arial" w:cs="Arial"/>
        </w:rPr>
        <w:t xml:space="preserve"> industry </w:t>
      </w:r>
      <w:r w:rsidR="008F5DCA" w:rsidRPr="00703A0B">
        <w:rPr>
          <w:rFonts w:eastAsia="Arial" w:cs="Arial"/>
        </w:rPr>
        <w:t>professionals</w:t>
      </w:r>
      <w:r w:rsidR="003B447B" w:rsidRPr="00703A0B">
        <w:rPr>
          <w:rFonts w:eastAsia="Arial" w:cs="Arial"/>
        </w:rPr>
        <w:t xml:space="preserve"> understand </w:t>
      </w:r>
      <w:r w:rsidR="00F0793B" w:rsidRPr="00703A0B">
        <w:rPr>
          <w:rFonts w:eastAsia="Arial" w:cs="Arial"/>
        </w:rPr>
        <w:t>their rights and obligations under the BIF Act.</w:t>
      </w:r>
      <w:r w:rsidR="00B52F01" w:rsidRPr="00703A0B">
        <w:rPr>
          <w:rFonts w:eastAsia="Arial" w:cs="Arial"/>
        </w:rPr>
        <w:t xml:space="preserve"> </w:t>
      </w:r>
    </w:p>
    <w:p w14:paraId="1FF4C6AE" w14:textId="77777777" w:rsidR="00F2523D" w:rsidRPr="00703A0B" w:rsidRDefault="00F0793B" w:rsidP="006F0298">
      <w:pPr>
        <w:spacing w:before="120" w:after="120"/>
        <w:rPr>
          <w:rFonts w:eastAsia="Arial" w:cs="Arial"/>
        </w:rPr>
      </w:pPr>
      <w:r w:rsidRPr="00703A0B">
        <w:rPr>
          <w:rFonts w:eastAsia="Arial" w:cs="Arial"/>
        </w:rPr>
        <w:t xml:space="preserve">Key </w:t>
      </w:r>
      <w:r w:rsidR="006F0298" w:rsidRPr="00703A0B">
        <w:rPr>
          <w:rFonts w:eastAsia="Arial" w:cs="Arial"/>
        </w:rPr>
        <w:t xml:space="preserve">priorities </w:t>
      </w:r>
      <w:r w:rsidRPr="00703A0B">
        <w:rPr>
          <w:rFonts w:eastAsia="Arial" w:cs="Arial"/>
        </w:rPr>
        <w:t>for the year ahead include</w:t>
      </w:r>
      <w:r w:rsidR="00F2523D" w:rsidRPr="00703A0B">
        <w:rPr>
          <w:rFonts w:eastAsia="Arial" w:cs="Arial"/>
        </w:rPr>
        <w:t>:</w:t>
      </w:r>
    </w:p>
    <w:p w14:paraId="6346C302" w14:textId="2B79F32A" w:rsidR="00E07475" w:rsidRPr="00703A0B" w:rsidRDefault="006F0298" w:rsidP="00B42452">
      <w:pPr>
        <w:pStyle w:val="ListParagraph"/>
        <w:numPr>
          <w:ilvl w:val="0"/>
          <w:numId w:val="119"/>
        </w:numPr>
        <w:spacing w:before="120" w:after="120"/>
        <w:ind w:left="714" w:hanging="357"/>
        <w:contextualSpacing w:val="0"/>
        <w:rPr>
          <w:rFonts w:eastAsia="Arial" w:cs="Arial"/>
        </w:rPr>
      </w:pPr>
      <w:r w:rsidRPr="00703A0B">
        <w:rPr>
          <w:rFonts w:eastAsia="Arial" w:cs="Arial"/>
        </w:rPr>
        <w:lastRenderedPageBreak/>
        <w:t>implement</w:t>
      </w:r>
      <w:r w:rsidR="00E07475" w:rsidRPr="00703A0B">
        <w:rPr>
          <w:rFonts w:eastAsia="Arial" w:cs="Arial"/>
        </w:rPr>
        <w:t>ing</w:t>
      </w:r>
      <w:r w:rsidRPr="00703A0B">
        <w:rPr>
          <w:rFonts w:eastAsia="Arial" w:cs="Arial"/>
        </w:rPr>
        <w:t xml:space="preserve"> legislative reform</w:t>
      </w:r>
      <w:r w:rsidR="00F0793B" w:rsidRPr="00703A0B">
        <w:rPr>
          <w:rFonts w:eastAsia="Arial" w:cs="Arial"/>
        </w:rPr>
        <w:t>s</w:t>
      </w:r>
      <w:r w:rsidR="003B447B" w:rsidRPr="00703A0B">
        <w:rPr>
          <w:rFonts w:eastAsia="Arial" w:cs="Arial"/>
        </w:rPr>
        <w:t>,</w:t>
      </w:r>
      <w:r w:rsidRPr="00703A0B">
        <w:rPr>
          <w:rFonts w:eastAsia="Arial" w:cs="Arial"/>
        </w:rPr>
        <w:t xml:space="preserve"> as required</w:t>
      </w:r>
    </w:p>
    <w:p w14:paraId="68CB440E" w14:textId="00726967" w:rsidR="00E07475" w:rsidRPr="00703A0B" w:rsidRDefault="00316EA4" w:rsidP="00B42452">
      <w:pPr>
        <w:pStyle w:val="ListParagraph"/>
        <w:numPr>
          <w:ilvl w:val="0"/>
          <w:numId w:val="119"/>
        </w:numPr>
        <w:spacing w:before="120" w:after="120"/>
        <w:ind w:left="714" w:hanging="357"/>
        <w:contextualSpacing w:val="0"/>
        <w:rPr>
          <w:rFonts w:eastAsia="Arial" w:cs="Arial"/>
        </w:rPr>
      </w:pPr>
      <w:r w:rsidRPr="00703A0B">
        <w:rPr>
          <w:rFonts w:eastAsia="Arial" w:cs="Arial"/>
        </w:rPr>
        <w:t xml:space="preserve">responding to </w:t>
      </w:r>
      <w:r w:rsidR="006F0298" w:rsidRPr="00703A0B">
        <w:rPr>
          <w:rFonts w:eastAsia="Arial" w:cs="Arial"/>
        </w:rPr>
        <w:t>demand for consumer advisory services</w:t>
      </w:r>
    </w:p>
    <w:p w14:paraId="35662361" w14:textId="40425169" w:rsidR="00E07475" w:rsidRPr="00703A0B" w:rsidRDefault="00316EA4" w:rsidP="00E07475">
      <w:pPr>
        <w:pStyle w:val="ListParagraph"/>
        <w:numPr>
          <w:ilvl w:val="0"/>
          <w:numId w:val="119"/>
        </w:numPr>
        <w:spacing w:before="120" w:after="120"/>
        <w:ind w:left="714" w:hanging="357"/>
        <w:contextualSpacing w:val="0"/>
        <w:rPr>
          <w:rFonts w:eastAsia="Arial" w:cs="Arial"/>
        </w:rPr>
      </w:pPr>
      <w:r w:rsidRPr="00703A0B">
        <w:rPr>
          <w:rFonts w:eastAsia="Arial" w:cs="Arial"/>
        </w:rPr>
        <w:t xml:space="preserve">strengthening </w:t>
      </w:r>
      <w:r w:rsidR="006F0298" w:rsidRPr="00703A0B">
        <w:rPr>
          <w:rFonts w:eastAsia="Arial" w:cs="Arial"/>
        </w:rPr>
        <w:t xml:space="preserve">education and engagement with industry </w:t>
      </w:r>
      <w:r w:rsidR="002435E0" w:rsidRPr="00703A0B">
        <w:rPr>
          <w:rFonts w:eastAsia="Arial" w:cs="Arial"/>
        </w:rPr>
        <w:t xml:space="preserve">stakeholders </w:t>
      </w:r>
      <w:r w:rsidR="006F0298" w:rsidRPr="00703A0B">
        <w:rPr>
          <w:rFonts w:eastAsia="Arial" w:cs="Arial"/>
        </w:rPr>
        <w:t>and registered adjudicators</w:t>
      </w:r>
    </w:p>
    <w:p w14:paraId="6A2BDBDE" w14:textId="3119A2DA" w:rsidR="002435E0" w:rsidRPr="00703A0B" w:rsidRDefault="00217D5C" w:rsidP="00B42452">
      <w:pPr>
        <w:pStyle w:val="ListParagraph"/>
        <w:numPr>
          <w:ilvl w:val="0"/>
          <w:numId w:val="119"/>
        </w:numPr>
        <w:spacing w:before="120" w:after="120"/>
        <w:ind w:left="714" w:hanging="357"/>
        <w:contextualSpacing w:val="0"/>
        <w:rPr>
          <w:rFonts w:eastAsia="Arial" w:cs="Arial"/>
        </w:rPr>
      </w:pPr>
      <w:r w:rsidRPr="00703A0B">
        <w:rPr>
          <w:rFonts w:eastAsia="Arial" w:cs="Arial"/>
        </w:rPr>
        <w:t>e</w:t>
      </w:r>
      <w:r w:rsidR="00994449" w:rsidRPr="00703A0B">
        <w:rPr>
          <w:rFonts w:eastAsia="Arial" w:cs="Arial"/>
        </w:rPr>
        <w:t>xploring potential enhancements to the digital application process to improve efficiency and support growing service demand.</w:t>
      </w:r>
    </w:p>
    <w:p w14:paraId="09AAC273" w14:textId="75F1B4A8" w:rsidR="00AD4D28" w:rsidRPr="00703A0B" w:rsidRDefault="006F0298" w:rsidP="00B42452">
      <w:pPr>
        <w:spacing w:before="120" w:after="120"/>
      </w:pPr>
      <w:r w:rsidRPr="00703A0B">
        <w:rPr>
          <w:rFonts w:eastAsia="Arial" w:cs="Arial"/>
        </w:rPr>
        <w:t xml:space="preserve">By </w:t>
      </w:r>
      <w:r w:rsidR="00386179" w:rsidRPr="00703A0B">
        <w:rPr>
          <w:rFonts w:eastAsia="Arial" w:cs="Arial"/>
        </w:rPr>
        <w:t>continuing to improve service delivery, strengthen stakeholder capability and streamline administrative processes, the Registry will support the timely resolution of payment disputes and contribute to business continuity across the building and construction industry</w:t>
      </w:r>
      <w:r w:rsidR="00A2276B" w:rsidRPr="00703A0B">
        <w:rPr>
          <w:rFonts w:eastAsia="Arial" w:cs="Arial"/>
        </w:rPr>
        <w:t>.</w:t>
      </w:r>
      <w:r w:rsidR="002A3B19" w:rsidRPr="00703A0B">
        <w:rPr>
          <w:rFonts w:eastAsia="Arial" w:cs="Arial"/>
        </w:rPr>
        <w:t xml:space="preserve"> These efforts will help </w:t>
      </w:r>
      <w:r w:rsidRPr="00703A0B">
        <w:rPr>
          <w:rFonts w:eastAsia="Arial" w:cs="Arial"/>
        </w:rPr>
        <w:t>maintain cash flow throughout the supply chain</w:t>
      </w:r>
      <w:r w:rsidR="002A3B19" w:rsidRPr="00703A0B">
        <w:rPr>
          <w:rFonts w:eastAsia="Arial" w:cs="Arial"/>
        </w:rPr>
        <w:t xml:space="preserve">, </w:t>
      </w:r>
      <w:r w:rsidRPr="00703A0B">
        <w:rPr>
          <w:rFonts w:eastAsia="Arial" w:cs="Arial"/>
        </w:rPr>
        <w:t>reduce the risk of costly delays</w:t>
      </w:r>
      <w:r w:rsidR="007540AD" w:rsidRPr="00703A0B">
        <w:rPr>
          <w:rFonts w:eastAsia="Arial" w:cs="Arial"/>
        </w:rPr>
        <w:t xml:space="preserve"> and disputes and promote confidence in a fair, transparent and accessible adjudication system</w:t>
      </w:r>
      <w:r w:rsidRPr="00703A0B">
        <w:rPr>
          <w:rFonts w:eastAsia="Arial" w:cs="Arial"/>
        </w:rPr>
        <w:t xml:space="preserve">. </w:t>
      </w:r>
      <w:r w:rsidR="0084023E" w:rsidRPr="00703A0B">
        <w:rPr>
          <w:rFonts w:eastAsia="Arial" w:cs="Arial"/>
        </w:rPr>
        <w:t>Through</w:t>
      </w:r>
      <w:r w:rsidRPr="00703A0B">
        <w:rPr>
          <w:rFonts w:eastAsia="Arial" w:cs="Arial"/>
        </w:rPr>
        <w:t xml:space="preserve"> </w:t>
      </w:r>
      <w:r w:rsidR="005050F6" w:rsidRPr="00703A0B">
        <w:rPr>
          <w:rFonts w:eastAsia="Arial" w:cs="Arial"/>
        </w:rPr>
        <w:t xml:space="preserve">effective </w:t>
      </w:r>
      <w:r w:rsidRPr="00703A0B">
        <w:rPr>
          <w:rFonts w:eastAsia="Arial" w:cs="Arial"/>
        </w:rPr>
        <w:t xml:space="preserve">governance and </w:t>
      </w:r>
      <w:r w:rsidR="005050F6" w:rsidRPr="00703A0B">
        <w:rPr>
          <w:rFonts w:eastAsia="Arial" w:cs="Arial"/>
        </w:rPr>
        <w:t xml:space="preserve">continuous </w:t>
      </w:r>
      <w:r w:rsidR="00C61C7C" w:rsidRPr="00703A0B">
        <w:rPr>
          <w:rFonts w:eastAsia="Arial" w:cs="Arial"/>
        </w:rPr>
        <w:t xml:space="preserve">improvement, </w:t>
      </w:r>
      <w:r w:rsidRPr="00703A0B">
        <w:rPr>
          <w:rFonts w:eastAsia="Arial" w:cs="Arial"/>
        </w:rPr>
        <w:t xml:space="preserve">the Registry will </w:t>
      </w:r>
      <w:r w:rsidR="0084023E" w:rsidRPr="00703A0B">
        <w:rPr>
          <w:rFonts w:eastAsia="Arial" w:cs="Arial"/>
        </w:rPr>
        <w:t xml:space="preserve">continue to </w:t>
      </w:r>
      <w:r w:rsidR="00C819C1" w:rsidRPr="00703A0B">
        <w:rPr>
          <w:rFonts w:eastAsia="Arial" w:cs="Arial"/>
        </w:rPr>
        <w:t>contribute to a resilient</w:t>
      </w:r>
      <w:r w:rsidR="001800BB" w:rsidRPr="00703A0B">
        <w:rPr>
          <w:rFonts w:eastAsia="Arial" w:cs="Arial"/>
        </w:rPr>
        <w:t xml:space="preserve"> and </w:t>
      </w:r>
      <w:r w:rsidR="00C819C1" w:rsidRPr="00703A0B">
        <w:rPr>
          <w:rFonts w:eastAsia="Arial" w:cs="Arial"/>
        </w:rPr>
        <w:t>financially sustainable</w:t>
      </w:r>
      <w:r w:rsidRPr="00703A0B">
        <w:rPr>
          <w:rFonts w:eastAsia="Arial" w:cs="Arial"/>
        </w:rPr>
        <w:t xml:space="preserve"> building and construction industry</w:t>
      </w:r>
      <w:r w:rsidR="007219BD" w:rsidRPr="00703A0B">
        <w:rPr>
          <w:rFonts w:eastAsia="Arial" w:cs="Arial"/>
        </w:rPr>
        <w:t xml:space="preserve"> in Queensland</w:t>
      </w:r>
      <w:r w:rsidRPr="00703A0B">
        <w:rPr>
          <w:rFonts w:eastAsia="Arial" w:cs="Arial"/>
        </w:rPr>
        <w:t>.</w:t>
      </w:r>
      <w:bookmarkStart w:id="100" w:name="_Adjudication"/>
      <w:bookmarkEnd w:id="100"/>
    </w:p>
    <w:p w14:paraId="42B254AD" w14:textId="77777777" w:rsidR="00EE2340" w:rsidRPr="00703A0B" w:rsidRDefault="00EE2340">
      <w:pPr>
        <w:rPr>
          <w:rFonts w:eastAsiaTheme="majorEastAsia" w:cstheme="majorBidi"/>
          <w:bCs/>
          <w:sz w:val="32"/>
          <w:szCs w:val="32"/>
        </w:rPr>
      </w:pPr>
      <w:bookmarkStart w:id="101" w:name="_Toc206493018"/>
      <w:r w:rsidRPr="00703A0B">
        <w:br w:type="page"/>
      </w:r>
    </w:p>
    <w:p w14:paraId="2CBD9776" w14:textId="77777777" w:rsidR="00CA40DD" w:rsidRPr="00703A0B" w:rsidRDefault="004C4BDB" w:rsidP="003822A5">
      <w:pPr>
        <w:pStyle w:val="Heading2"/>
      </w:pPr>
      <w:bookmarkStart w:id="102" w:name="_Toc238101682"/>
      <w:r w:rsidRPr="00703A0B">
        <w:lastRenderedPageBreak/>
        <w:t>Frontline</w:t>
      </w:r>
      <w:r w:rsidR="00791148" w:rsidRPr="00703A0B">
        <w:t xml:space="preserve"> service</w:t>
      </w:r>
      <w:bookmarkEnd w:id="101"/>
      <w:bookmarkEnd w:id="102"/>
    </w:p>
    <w:p w14:paraId="64029931" w14:textId="1CCE9870" w:rsidR="00320907" w:rsidRPr="00703A0B" w:rsidRDefault="00870C36" w:rsidP="006D732C">
      <w:pPr>
        <w:spacing w:before="120" w:after="120"/>
      </w:pPr>
      <w:bookmarkStart w:id="103" w:name="_Contact_centre_and"/>
      <w:bookmarkEnd w:id="103"/>
      <w:r w:rsidRPr="00703A0B">
        <w:t>F</w:t>
      </w:r>
      <w:r w:rsidR="1074A3C7" w:rsidRPr="00703A0B">
        <w:t xml:space="preserve">rontline </w:t>
      </w:r>
      <w:r w:rsidR="004F3E6F" w:rsidRPr="00703A0B">
        <w:t>services</w:t>
      </w:r>
      <w:r w:rsidR="1074A3C7" w:rsidRPr="00703A0B">
        <w:t xml:space="preserve"> </w:t>
      </w:r>
      <w:r w:rsidR="000A0EB3" w:rsidRPr="00703A0B">
        <w:t xml:space="preserve">are </w:t>
      </w:r>
      <w:r w:rsidR="004F3E6F" w:rsidRPr="00703A0B">
        <w:t xml:space="preserve">a critical </w:t>
      </w:r>
      <w:r w:rsidR="007F3496" w:rsidRPr="00703A0B">
        <w:t xml:space="preserve">connection between the QBCC and the Queensland community. </w:t>
      </w:r>
      <w:r w:rsidR="00E142F5" w:rsidRPr="00703A0B">
        <w:t xml:space="preserve">As the primary point of engagement for </w:t>
      </w:r>
      <w:proofErr w:type="gramStart"/>
      <w:r w:rsidR="1074A3C7" w:rsidRPr="00703A0B">
        <w:t>home</w:t>
      </w:r>
      <w:r w:rsidR="0084283B" w:rsidRPr="00703A0B">
        <w:t xml:space="preserve"> </w:t>
      </w:r>
      <w:r w:rsidR="1074A3C7" w:rsidRPr="00703A0B">
        <w:t>owners</w:t>
      </w:r>
      <w:proofErr w:type="gramEnd"/>
      <w:r w:rsidR="1074A3C7" w:rsidRPr="00703A0B">
        <w:t>, licensees, industry professionals and co</w:t>
      </w:r>
      <w:r w:rsidR="00E142F5" w:rsidRPr="00703A0B">
        <w:t xml:space="preserve">nsumers, frontline teams provide </w:t>
      </w:r>
      <w:r w:rsidR="1074A3C7" w:rsidRPr="00703A0B">
        <w:t>information</w:t>
      </w:r>
      <w:r w:rsidR="00E142F5" w:rsidRPr="00703A0B">
        <w:t xml:space="preserve">, guidance and </w:t>
      </w:r>
      <w:r w:rsidR="000E49A4" w:rsidRPr="00703A0B">
        <w:t xml:space="preserve">support </w:t>
      </w:r>
      <w:r w:rsidR="009E3267" w:rsidRPr="00703A0B">
        <w:t xml:space="preserve">to </w:t>
      </w:r>
      <w:r w:rsidR="007E5307" w:rsidRPr="00703A0B">
        <w:t>help</w:t>
      </w:r>
      <w:r w:rsidR="00E142F5" w:rsidRPr="00703A0B">
        <w:t xml:space="preserve"> customers </w:t>
      </w:r>
      <w:r w:rsidR="007E5307" w:rsidRPr="00703A0B">
        <w:t xml:space="preserve">understand their </w:t>
      </w:r>
      <w:r w:rsidR="1074A3C7" w:rsidRPr="00703A0B">
        <w:t>rights and responsibilities</w:t>
      </w:r>
      <w:r w:rsidR="00F54874" w:rsidRPr="00703A0B">
        <w:t xml:space="preserve">, make informed decisions and navigate the building and construction industry with confidence. </w:t>
      </w:r>
      <w:r w:rsidR="0070030A" w:rsidRPr="00703A0B">
        <w:t xml:space="preserve">During the reporting period, continued improvements to service delivery processes and workforce capability </w:t>
      </w:r>
      <w:r w:rsidR="001C3FB0" w:rsidRPr="00703A0B">
        <w:t xml:space="preserve">supported </w:t>
      </w:r>
      <w:r w:rsidR="009F337B" w:rsidRPr="00703A0B">
        <w:t>strong</w:t>
      </w:r>
      <w:r w:rsidR="004B56D2" w:rsidRPr="00703A0B">
        <w:t xml:space="preserve"> contact centre responsiveness</w:t>
      </w:r>
      <w:r w:rsidR="001175FD" w:rsidRPr="00703A0B">
        <w:t xml:space="preserve"> and helped maintain a</w:t>
      </w:r>
      <w:r w:rsidR="00505E71" w:rsidRPr="00703A0B">
        <w:t xml:space="preserve">verage call answer times </w:t>
      </w:r>
      <w:r w:rsidR="00964244" w:rsidRPr="00703A0B">
        <w:t xml:space="preserve">at levels lower than </w:t>
      </w:r>
      <w:r w:rsidR="00505E71" w:rsidRPr="00703A0B">
        <w:t>in previous years</w:t>
      </w:r>
      <w:r w:rsidR="00203639" w:rsidRPr="00703A0B">
        <w:t xml:space="preserve">. </w:t>
      </w:r>
      <w:r w:rsidR="007C60BA" w:rsidRPr="00703A0B">
        <w:t xml:space="preserve">Strong contact centre performance </w:t>
      </w:r>
      <w:r w:rsidR="0077763D" w:rsidRPr="00703A0B">
        <w:t xml:space="preserve">has supported timely access to information and assistance, contributing to </w:t>
      </w:r>
      <w:r w:rsidR="00CA5F51" w:rsidRPr="00703A0B">
        <w:t xml:space="preserve">improved customer outcomes and </w:t>
      </w:r>
      <w:r w:rsidR="0070030A" w:rsidRPr="00703A0B">
        <w:t>experience.</w:t>
      </w:r>
      <w:r w:rsidR="00CE670F" w:rsidRPr="00703A0B">
        <w:t xml:space="preserve"> </w:t>
      </w:r>
      <w:r w:rsidR="00CE670F" w:rsidRPr="00703A0B">
        <w:fldChar w:fldCharType="begin"/>
      </w:r>
      <w:r w:rsidR="00CE670F" w:rsidRPr="00703A0B">
        <w:instrText xml:space="preserve"> REF _Ref236213870 \h </w:instrText>
      </w:r>
      <w:r w:rsidR="00CE670F" w:rsidRPr="00703A0B">
        <w:fldChar w:fldCharType="separate"/>
      </w:r>
      <w:r w:rsidR="00CE670F" w:rsidRPr="00703A0B">
        <w:t xml:space="preserve">Table </w:t>
      </w:r>
      <w:r w:rsidR="00CE670F" w:rsidRPr="00F621D8">
        <w:t>16</w:t>
      </w:r>
      <w:r w:rsidR="00CE670F" w:rsidRPr="00703A0B">
        <w:fldChar w:fldCharType="end"/>
      </w:r>
      <w:r w:rsidR="00CE670F" w:rsidRPr="00703A0B">
        <w:t xml:space="preserve"> provides an overview of </w:t>
      </w:r>
      <w:r w:rsidR="009E1022" w:rsidRPr="00703A0B">
        <w:t>contact centre wait times</w:t>
      </w:r>
      <w:r w:rsidR="004E1F89" w:rsidRPr="00703A0B">
        <w:t>.</w:t>
      </w:r>
    </w:p>
    <w:p w14:paraId="51893D04" w14:textId="0329978B" w:rsidR="00B173C8" w:rsidRPr="00703A0B" w:rsidRDefault="003764AA" w:rsidP="00B81ECD">
      <w:pPr>
        <w:pStyle w:val="Caption"/>
      </w:pPr>
      <w:bookmarkStart w:id="104" w:name="_Ref236213870"/>
      <w:r w:rsidRPr="00703A0B">
        <w:t xml:space="preserve">Table </w:t>
      </w:r>
      <w:r w:rsidRPr="00703A0B">
        <w:fldChar w:fldCharType="begin"/>
      </w:r>
      <w:r w:rsidRPr="00703A0B">
        <w:instrText>SEQ Table \* ARABIC</w:instrText>
      </w:r>
      <w:r w:rsidRPr="00703A0B">
        <w:fldChar w:fldCharType="separate"/>
      </w:r>
      <w:r w:rsidRPr="00F621D8">
        <w:t>16</w:t>
      </w:r>
      <w:r w:rsidRPr="00703A0B">
        <w:fldChar w:fldCharType="end"/>
      </w:r>
      <w:bookmarkEnd w:id="104"/>
      <w:r w:rsidRPr="00703A0B">
        <w:t xml:space="preserve">: </w:t>
      </w:r>
      <w:r w:rsidR="00DF26BB" w:rsidRPr="00703A0B">
        <w:t>Average c</w:t>
      </w:r>
      <w:r w:rsidR="00AF1F81" w:rsidRPr="00703A0B">
        <w:t xml:space="preserve">ontact centre wait time </w:t>
      </w:r>
      <w:r w:rsidR="00386536" w:rsidRPr="00703A0B">
        <w:t xml:space="preserve">over the past </w:t>
      </w:r>
      <w:r w:rsidR="00E639E1" w:rsidRPr="00703A0B">
        <w:t>four</w:t>
      </w:r>
      <w:r w:rsidR="002940A3" w:rsidRPr="00703A0B">
        <w:t xml:space="preserve"> years</w:t>
      </w:r>
    </w:p>
    <w:tbl>
      <w:tblPr>
        <w:tblStyle w:val="TableGrid"/>
        <w:tblW w:w="10450" w:type="dxa"/>
        <w:tblCellMar>
          <w:top w:w="28" w:type="dxa"/>
          <w:bottom w:w="28" w:type="dxa"/>
        </w:tblCellMar>
        <w:tblLook w:val="04A0" w:firstRow="1" w:lastRow="0" w:firstColumn="1" w:lastColumn="0" w:noHBand="0" w:noVBand="1"/>
      </w:tblPr>
      <w:tblGrid>
        <w:gridCol w:w="4580"/>
        <w:gridCol w:w="1416"/>
        <w:gridCol w:w="1541"/>
        <w:gridCol w:w="1362"/>
        <w:gridCol w:w="1551"/>
      </w:tblGrid>
      <w:tr w:rsidR="00413336" w:rsidRPr="00703A0B" w14:paraId="72730768" w14:textId="77777777" w:rsidTr="00AE7048">
        <w:tc>
          <w:tcPr>
            <w:tcW w:w="4580" w:type="dxa"/>
            <w:shd w:val="clear" w:color="auto" w:fill="BFBFBF" w:themeFill="background1" w:themeFillShade="BF"/>
          </w:tcPr>
          <w:p w14:paraId="1F28185B" w14:textId="6925A7FB" w:rsidR="00413336" w:rsidRPr="00703A0B" w:rsidRDefault="00413336" w:rsidP="00AE7048">
            <w:pPr>
              <w:rPr>
                <w:b/>
                <w:lang w:eastAsia="en-AU"/>
              </w:rPr>
            </w:pPr>
            <w:r w:rsidRPr="00703A0B">
              <w:rPr>
                <w:b/>
                <w:lang w:eastAsia="en-AU"/>
              </w:rPr>
              <w:t>Contact centre wait time</w:t>
            </w:r>
          </w:p>
        </w:tc>
        <w:tc>
          <w:tcPr>
            <w:tcW w:w="1416" w:type="dxa"/>
            <w:shd w:val="clear" w:color="auto" w:fill="BFBFBF" w:themeFill="background1" w:themeFillShade="BF"/>
          </w:tcPr>
          <w:p w14:paraId="23F434BF" w14:textId="28BA3919" w:rsidR="00413336" w:rsidRPr="00703A0B" w:rsidRDefault="00413336" w:rsidP="00AE7048">
            <w:pPr>
              <w:rPr>
                <w:b/>
                <w:bCs/>
              </w:rPr>
            </w:pPr>
            <w:r w:rsidRPr="00703A0B">
              <w:rPr>
                <w:b/>
                <w:bCs/>
              </w:rPr>
              <w:t>2022–23</w:t>
            </w:r>
          </w:p>
        </w:tc>
        <w:tc>
          <w:tcPr>
            <w:tcW w:w="1541" w:type="dxa"/>
            <w:shd w:val="clear" w:color="auto" w:fill="BFBFBF" w:themeFill="background1" w:themeFillShade="BF"/>
          </w:tcPr>
          <w:p w14:paraId="603B0CBC" w14:textId="6C58C115" w:rsidR="00413336" w:rsidRPr="00703A0B" w:rsidRDefault="00413336" w:rsidP="00AE7048">
            <w:pPr>
              <w:rPr>
                <w:b/>
                <w:lang w:eastAsia="en-AU"/>
              </w:rPr>
            </w:pPr>
            <w:r w:rsidRPr="00703A0B">
              <w:rPr>
                <w:b/>
                <w:bCs/>
              </w:rPr>
              <w:t xml:space="preserve">2023–24 </w:t>
            </w:r>
          </w:p>
        </w:tc>
        <w:tc>
          <w:tcPr>
            <w:tcW w:w="1362" w:type="dxa"/>
            <w:shd w:val="clear" w:color="auto" w:fill="BFBFBF" w:themeFill="background1" w:themeFillShade="BF"/>
          </w:tcPr>
          <w:p w14:paraId="5464728B" w14:textId="77777777" w:rsidR="00413336" w:rsidRPr="00703A0B" w:rsidRDefault="00413336" w:rsidP="00AE7048">
            <w:pPr>
              <w:rPr>
                <w:b/>
                <w:bCs/>
              </w:rPr>
            </w:pPr>
            <w:r w:rsidRPr="00703A0B">
              <w:rPr>
                <w:b/>
                <w:bCs/>
              </w:rPr>
              <w:t>2024-25</w:t>
            </w:r>
          </w:p>
        </w:tc>
        <w:tc>
          <w:tcPr>
            <w:tcW w:w="1551" w:type="dxa"/>
            <w:shd w:val="clear" w:color="auto" w:fill="BFBFBF" w:themeFill="background1" w:themeFillShade="BF"/>
          </w:tcPr>
          <w:p w14:paraId="2C8B2E11" w14:textId="77777777" w:rsidR="00413336" w:rsidRPr="00703A0B" w:rsidRDefault="00413336" w:rsidP="00AE7048">
            <w:pPr>
              <w:rPr>
                <w:b/>
                <w:lang w:eastAsia="en-AU"/>
              </w:rPr>
            </w:pPr>
            <w:r w:rsidRPr="00703A0B">
              <w:rPr>
                <w:b/>
              </w:rPr>
              <w:t>2025</w:t>
            </w:r>
            <w:r w:rsidRPr="00703A0B">
              <w:rPr>
                <w:b/>
                <w:bCs/>
              </w:rPr>
              <w:t>–</w:t>
            </w:r>
            <w:r w:rsidRPr="00703A0B">
              <w:rPr>
                <w:b/>
              </w:rPr>
              <w:t xml:space="preserve">26  </w:t>
            </w:r>
          </w:p>
        </w:tc>
      </w:tr>
      <w:tr w:rsidR="00413336" w:rsidRPr="00703A0B" w14:paraId="26AA45A4" w14:textId="77777777" w:rsidTr="00AE7048">
        <w:tc>
          <w:tcPr>
            <w:tcW w:w="4580" w:type="dxa"/>
          </w:tcPr>
          <w:p w14:paraId="41F01AB1" w14:textId="0EFE8502" w:rsidR="00413336" w:rsidRPr="00703A0B" w:rsidRDefault="00413336" w:rsidP="00AE7048">
            <w:pPr>
              <w:rPr>
                <w:lang w:eastAsia="en-AU"/>
              </w:rPr>
            </w:pPr>
            <w:r w:rsidRPr="00703A0B">
              <w:rPr>
                <w:lang w:eastAsia="en-AU"/>
              </w:rPr>
              <w:t>Average time to answer a customer phone call</w:t>
            </w:r>
            <w:r w:rsidR="00673F76" w:rsidRPr="00703A0B">
              <w:rPr>
                <w:lang w:eastAsia="en-AU"/>
              </w:rPr>
              <w:t xml:space="preserve"> (</w:t>
            </w:r>
            <w:proofErr w:type="spellStart"/>
            <w:r w:rsidR="00673F76" w:rsidRPr="00703A0B">
              <w:rPr>
                <w:lang w:eastAsia="en-AU"/>
              </w:rPr>
              <w:t>min:sec</w:t>
            </w:r>
            <w:proofErr w:type="spellEnd"/>
            <w:r w:rsidR="00673F76" w:rsidRPr="00703A0B">
              <w:rPr>
                <w:lang w:eastAsia="en-AU"/>
              </w:rPr>
              <w:t>)</w:t>
            </w:r>
          </w:p>
        </w:tc>
        <w:tc>
          <w:tcPr>
            <w:tcW w:w="1416" w:type="dxa"/>
          </w:tcPr>
          <w:p w14:paraId="23F0B880" w14:textId="53031606" w:rsidR="00413336" w:rsidRPr="00703A0B" w:rsidRDefault="00673F76" w:rsidP="00AE7048">
            <w:pPr>
              <w:rPr>
                <w:lang w:eastAsia="en-AU"/>
              </w:rPr>
            </w:pPr>
            <w:r w:rsidRPr="00703A0B">
              <w:rPr>
                <w:lang w:eastAsia="en-AU"/>
              </w:rPr>
              <w:t>4:32</w:t>
            </w:r>
          </w:p>
        </w:tc>
        <w:tc>
          <w:tcPr>
            <w:tcW w:w="1541" w:type="dxa"/>
          </w:tcPr>
          <w:p w14:paraId="333CC028" w14:textId="3D94E50D" w:rsidR="00413336" w:rsidRPr="00703A0B" w:rsidRDefault="00D047A5" w:rsidP="00AE7048">
            <w:pPr>
              <w:rPr>
                <w:lang w:eastAsia="en-AU"/>
              </w:rPr>
            </w:pPr>
            <w:r w:rsidRPr="00703A0B">
              <w:rPr>
                <w:lang w:eastAsia="en-AU"/>
              </w:rPr>
              <w:t>3:00</w:t>
            </w:r>
          </w:p>
        </w:tc>
        <w:tc>
          <w:tcPr>
            <w:tcW w:w="1362" w:type="dxa"/>
          </w:tcPr>
          <w:p w14:paraId="3CA49FCA" w14:textId="63938FFE" w:rsidR="00413336" w:rsidRPr="00703A0B" w:rsidRDefault="00D047A5" w:rsidP="00AE7048">
            <w:pPr>
              <w:rPr>
                <w:lang w:eastAsia="en-AU"/>
              </w:rPr>
            </w:pPr>
            <w:r w:rsidRPr="00703A0B">
              <w:rPr>
                <w:lang w:eastAsia="en-AU"/>
              </w:rPr>
              <w:t>2:33</w:t>
            </w:r>
          </w:p>
        </w:tc>
        <w:tc>
          <w:tcPr>
            <w:tcW w:w="1551" w:type="dxa"/>
          </w:tcPr>
          <w:p w14:paraId="1292D962" w14:textId="781F0CEC" w:rsidR="00413336" w:rsidRPr="00703A0B" w:rsidRDefault="00D047A5" w:rsidP="00AE7048">
            <w:pPr>
              <w:rPr>
                <w:lang w:eastAsia="en-AU"/>
              </w:rPr>
            </w:pPr>
            <w:r w:rsidRPr="00703A0B">
              <w:rPr>
                <w:lang w:eastAsia="en-AU"/>
              </w:rPr>
              <w:t>2:49</w:t>
            </w:r>
          </w:p>
        </w:tc>
      </w:tr>
    </w:tbl>
    <w:p w14:paraId="277C2D73" w14:textId="0B33274E" w:rsidR="00752BFC" w:rsidRPr="00703A0B" w:rsidRDefault="000119D4" w:rsidP="00B81ECD">
      <w:pPr>
        <w:spacing w:before="120" w:after="120"/>
      </w:pPr>
      <w:r w:rsidRPr="00703A0B">
        <w:t>P</w:t>
      </w:r>
      <w:r w:rsidR="002A4108" w:rsidRPr="00703A0B">
        <w:t xml:space="preserve">hone and email </w:t>
      </w:r>
      <w:r w:rsidRPr="00703A0B">
        <w:t xml:space="preserve">enquiries </w:t>
      </w:r>
      <w:r w:rsidR="007506AE" w:rsidRPr="00703A0B">
        <w:t xml:space="preserve">during 2025–26 </w:t>
      </w:r>
      <w:r w:rsidR="00096E3D" w:rsidRPr="00703A0B">
        <w:t>primarily</w:t>
      </w:r>
      <w:r w:rsidR="002A4108" w:rsidRPr="00703A0B">
        <w:t xml:space="preserve"> relate</w:t>
      </w:r>
      <w:r w:rsidR="007506AE" w:rsidRPr="00703A0B">
        <w:t>d</w:t>
      </w:r>
      <w:r w:rsidR="002A4108" w:rsidRPr="00703A0B">
        <w:t xml:space="preserve"> to</w:t>
      </w:r>
      <w:r w:rsidRPr="00703A0B">
        <w:t xml:space="preserve"> </w:t>
      </w:r>
      <w:r w:rsidR="002921FE" w:rsidRPr="00703A0B">
        <w:t>licensing</w:t>
      </w:r>
      <w:r w:rsidR="00120228" w:rsidRPr="00703A0B">
        <w:t xml:space="preserve"> </w:t>
      </w:r>
      <w:r w:rsidR="002921FE" w:rsidRPr="00703A0B">
        <w:t xml:space="preserve">matters, </w:t>
      </w:r>
      <w:r w:rsidR="000C415C" w:rsidRPr="00703A0B">
        <w:t xml:space="preserve">including </w:t>
      </w:r>
      <w:r w:rsidR="002921FE" w:rsidRPr="00703A0B">
        <w:t>individual licence applications, renewals and cards, updat</w:t>
      </w:r>
      <w:r w:rsidR="00C836CD" w:rsidRPr="00703A0B">
        <w:t>es to</w:t>
      </w:r>
      <w:r w:rsidR="002921FE" w:rsidRPr="00703A0B">
        <w:t xml:space="preserve"> licence details, </w:t>
      </w:r>
      <w:r w:rsidR="00E26E10" w:rsidRPr="00703A0B">
        <w:t>O</w:t>
      </w:r>
      <w:r w:rsidR="002921FE" w:rsidRPr="00703A0B">
        <w:t xml:space="preserve">wner-builder </w:t>
      </w:r>
      <w:r w:rsidR="00E26E10" w:rsidRPr="00703A0B">
        <w:t xml:space="preserve">permit </w:t>
      </w:r>
      <w:r w:rsidR="002921FE" w:rsidRPr="00703A0B">
        <w:t>applications and occupational licence applications.</w:t>
      </w:r>
      <w:r w:rsidR="00E12E53" w:rsidRPr="00703A0B">
        <w:t xml:space="preserve"> There </w:t>
      </w:r>
      <w:r w:rsidR="006714CC" w:rsidRPr="00703A0B">
        <w:t xml:space="preserve">was </w:t>
      </w:r>
      <w:r w:rsidR="00E12E53" w:rsidRPr="00703A0B">
        <w:t xml:space="preserve">also ongoing demand </w:t>
      </w:r>
      <w:r w:rsidR="006714CC" w:rsidRPr="00703A0B">
        <w:t xml:space="preserve">for </w:t>
      </w:r>
      <w:r w:rsidR="00E12E53" w:rsidRPr="00703A0B">
        <w:t>guidance</w:t>
      </w:r>
      <w:r w:rsidR="00695366" w:rsidRPr="00703A0B">
        <w:t xml:space="preserve"> </w:t>
      </w:r>
      <w:r w:rsidR="00E12E53" w:rsidRPr="00703A0B">
        <w:t>on regulatory obligations</w:t>
      </w:r>
      <w:r w:rsidR="00F91AB4" w:rsidRPr="00703A0B">
        <w:t xml:space="preserve"> and </w:t>
      </w:r>
      <w:r w:rsidR="00953616" w:rsidRPr="00703A0B">
        <w:t>Q</w:t>
      </w:r>
      <w:r w:rsidR="00E12E53" w:rsidRPr="00703A0B">
        <w:t>H</w:t>
      </w:r>
      <w:r w:rsidR="00953616" w:rsidRPr="00703A0B">
        <w:t>WS requiremen</w:t>
      </w:r>
      <w:r w:rsidR="00B85441" w:rsidRPr="00703A0B">
        <w:t xml:space="preserve">ts, </w:t>
      </w:r>
      <w:r w:rsidR="006714CC" w:rsidRPr="00703A0B">
        <w:t>as well as</w:t>
      </w:r>
      <w:r w:rsidR="00FE4922" w:rsidRPr="00703A0B">
        <w:t xml:space="preserve"> </w:t>
      </w:r>
      <w:r w:rsidR="00E67FF8" w:rsidRPr="00703A0B">
        <w:t xml:space="preserve">enquiries </w:t>
      </w:r>
      <w:r w:rsidR="00FE4922" w:rsidRPr="00703A0B">
        <w:t xml:space="preserve">relating to </w:t>
      </w:r>
      <w:r w:rsidR="00B85441" w:rsidRPr="00703A0B">
        <w:t>defective building work and dispute</w:t>
      </w:r>
      <w:r w:rsidR="00EF0823" w:rsidRPr="00703A0B">
        <w:t xml:space="preserve"> </w:t>
      </w:r>
      <w:r w:rsidR="00B85441" w:rsidRPr="00703A0B">
        <w:t>resolution</w:t>
      </w:r>
      <w:r w:rsidR="00E12E53" w:rsidRPr="00703A0B">
        <w:t>.</w:t>
      </w:r>
      <w:r w:rsidR="002B2EC4" w:rsidRPr="00703A0B">
        <w:t xml:space="preserve"> Front counter enquiries reflected </w:t>
      </w:r>
      <w:r w:rsidR="00863D44" w:rsidRPr="00703A0B">
        <w:t xml:space="preserve">differing customer needs across locations. In regional areas, </w:t>
      </w:r>
      <w:r w:rsidR="006F65DD" w:rsidRPr="00703A0B">
        <w:t xml:space="preserve">customers </w:t>
      </w:r>
      <w:proofErr w:type="gramStart"/>
      <w:r w:rsidR="00C446A1" w:rsidRPr="00703A0B">
        <w:t>most commonly sought</w:t>
      </w:r>
      <w:proofErr w:type="gramEnd"/>
      <w:r w:rsidR="00C446A1" w:rsidRPr="00703A0B">
        <w:t xml:space="preserve"> assistance </w:t>
      </w:r>
      <w:r w:rsidR="00A63268" w:rsidRPr="00703A0B">
        <w:t>with</w:t>
      </w:r>
      <w:r w:rsidR="00531ED0" w:rsidRPr="00703A0B">
        <w:t xml:space="preserve"> licence maint</w:t>
      </w:r>
      <w:r w:rsidR="00DD47C6" w:rsidRPr="00703A0B">
        <w:t>enance</w:t>
      </w:r>
      <w:r w:rsidR="00FF1F57" w:rsidRPr="00703A0B">
        <w:t xml:space="preserve"> </w:t>
      </w:r>
      <w:r w:rsidR="00BC4F03" w:rsidRPr="00703A0B">
        <w:t>matters, such as renew</w:t>
      </w:r>
      <w:r w:rsidR="008A5562" w:rsidRPr="00703A0B">
        <w:t>ing licences</w:t>
      </w:r>
      <w:r w:rsidR="00A63268" w:rsidRPr="00703A0B">
        <w:t>,</w:t>
      </w:r>
      <w:r w:rsidR="008A5562" w:rsidRPr="00703A0B">
        <w:t xml:space="preserve"> updating</w:t>
      </w:r>
      <w:r w:rsidR="00250D0A" w:rsidRPr="00703A0B">
        <w:t xml:space="preserve"> </w:t>
      </w:r>
      <w:r w:rsidR="008A5562" w:rsidRPr="00703A0B">
        <w:t xml:space="preserve">details and replacing </w:t>
      </w:r>
      <w:r w:rsidR="006760AB" w:rsidRPr="00703A0B">
        <w:t xml:space="preserve">licence cards. In contrast, </w:t>
      </w:r>
      <w:r w:rsidR="00DD47C6" w:rsidRPr="00703A0B">
        <w:t xml:space="preserve">Brisbane customers </w:t>
      </w:r>
      <w:r w:rsidR="00A63268" w:rsidRPr="00703A0B">
        <w:t xml:space="preserve">predominantly </w:t>
      </w:r>
      <w:r w:rsidR="006760AB" w:rsidRPr="00703A0B">
        <w:t xml:space="preserve">sought assistance </w:t>
      </w:r>
      <w:r w:rsidR="00A46AFB" w:rsidRPr="00703A0B">
        <w:t xml:space="preserve">with </w:t>
      </w:r>
      <w:r w:rsidR="00BE7F44" w:rsidRPr="00703A0B">
        <w:t>licensing</w:t>
      </w:r>
      <w:r w:rsidR="00FD01A8" w:rsidRPr="00703A0B">
        <w:t xml:space="preserve"> service</w:t>
      </w:r>
      <w:r w:rsidR="00A46AFB" w:rsidRPr="00703A0B">
        <w:t xml:space="preserve"> enquiries, including information about eligibility, application processes</w:t>
      </w:r>
      <w:r w:rsidR="00701C54" w:rsidRPr="00703A0B">
        <w:t xml:space="preserve"> and</w:t>
      </w:r>
      <w:r w:rsidR="00A46AFB" w:rsidRPr="00703A0B">
        <w:t xml:space="preserve"> licensing requirements</w:t>
      </w:r>
      <w:r w:rsidR="00C54377" w:rsidRPr="00703A0B">
        <w:t>.</w:t>
      </w:r>
    </w:p>
    <w:p w14:paraId="3D1FB3AE" w14:textId="77777777" w:rsidR="00BF2E05" w:rsidRPr="00703A0B" w:rsidRDefault="002B05D5" w:rsidP="00B81ECD">
      <w:pPr>
        <w:spacing w:before="120" w:after="120"/>
      </w:pPr>
      <w:r w:rsidRPr="00703A0B">
        <w:t>Customer interactions and community feedback provide valuable insights into emerging issues and service needs, enabling the QBCC to continuously improve service delivery and ensure its services remain responsive to the evolving expectations of Queenslanders.</w:t>
      </w:r>
      <w:r w:rsidR="00B673D6" w:rsidRPr="00703A0B">
        <w:t xml:space="preserve"> </w:t>
      </w:r>
      <w:r w:rsidR="00886856" w:rsidRPr="00703A0B">
        <w:t>In addition, t</w:t>
      </w:r>
      <w:r w:rsidR="1074A3C7" w:rsidRPr="00703A0B">
        <w:t xml:space="preserve">he </w:t>
      </w:r>
      <w:r w:rsidR="00104685" w:rsidRPr="00703A0B">
        <w:t>relocation</w:t>
      </w:r>
      <w:r w:rsidR="1074A3C7" w:rsidRPr="00703A0B">
        <w:t xml:space="preserve"> of three new service centres in Brisbane, the Gold Coast and the Sunshine Coast </w:t>
      </w:r>
      <w:r w:rsidR="009B2A7B" w:rsidRPr="00703A0B">
        <w:t xml:space="preserve">during the reporting period </w:t>
      </w:r>
      <w:r w:rsidR="00442322" w:rsidRPr="00703A0B">
        <w:t xml:space="preserve">significantly enhanced access to </w:t>
      </w:r>
      <w:r w:rsidR="1074A3C7" w:rsidRPr="00703A0B">
        <w:t>QBCC services</w:t>
      </w:r>
      <w:r w:rsidR="006E3B82" w:rsidRPr="00703A0B">
        <w:t xml:space="preserve">. These </w:t>
      </w:r>
      <w:r w:rsidR="1074A3C7" w:rsidRPr="00703A0B">
        <w:t xml:space="preserve">modern </w:t>
      </w:r>
      <w:r w:rsidR="006E3B82" w:rsidRPr="00703A0B">
        <w:t xml:space="preserve">customer-focused facilities </w:t>
      </w:r>
      <w:r w:rsidR="009D191D" w:rsidRPr="00703A0B">
        <w:t xml:space="preserve">provide </w:t>
      </w:r>
      <w:r w:rsidR="004D0C03" w:rsidRPr="00703A0B">
        <w:t>fit for purpose</w:t>
      </w:r>
      <w:r w:rsidR="009D191D" w:rsidRPr="00703A0B">
        <w:t xml:space="preserve"> environments that strengthen </w:t>
      </w:r>
      <w:r w:rsidR="1074A3C7" w:rsidRPr="00703A0B">
        <w:t>community engagement</w:t>
      </w:r>
      <w:r w:rsidR="004B00B7" w:rsidRPr="00703A0B">
        <w:t xml:space="preserve"> and make it easier for customers to access information</w:t>
      </w:r>
      <w:r w:rsidR="008E1AC0" w:rsidRPr="00703A0B">
        <w:t xml:space="preserve"> and support</w:t>
      </w:r>
      <w:r w:rsidR="1074A3C7" w:rsidRPr="00703A0B">
        <w:t xml:space="preserve">. </w:t>
      </w:r>
    </w:p>
    <w:p w14:paraId="763697E3" w14:textId="724E33A2" w:rsidR="1074A3C7" w:rsidRPr="00703A0B" w:rsidRDefault="1074A3C7" w:rsidP="00B81ECD">
      <w:pPr>
        <w:spacing w:before="120" w:after="120"/>
      </w:pPr>
      <w:r w:rsidRPr="00703A0B">
        <w:t>The</w:t>
      </w:r>
      <w:r w:rsidR="008E1AC0" w:rsidRPr="00703A0B">
        <w:t xml:space="preserve"> new </w:t>
      </w:r>
      <w:r w:rsidRPr="00703A0B">
        <w:t xml:space="preserve">centres </w:t>
      </w:r>
      <w:r w:rsidR="008E1AC0" w:rsidRPr="00703A0B">
        <w:t xml:space="preserve">also supported the successful implementation </w:t>
      </w:r>
      <w:r w:rsidR="00DA0614" w:rsidRPr="00703A0B">
        <w:t xml:space="preserve">of a range of </w:t>
      </w:r>
      <w:r w:rsidR="00D325EA" w:rsidRPr="00703A0B">
        <w:t>organisational initiatives, contribut</w:t>
      </w:r>
      <w:r w:rsidR="000C3044" w:rsidRPr="00703A0B">
        <w:t>ed</w:t>
      </w:r>
      <w:r w:rsidR="00D325EA" w:rsidRPr="00703A0B">
        <w:t xml:space="preserve"> to </w:t>
      </w:r>
      <w:r w:rsidR="00F544F6" w:rsidRPr="00703A0B">
        <w:t xml:space="preserve">more </w:t>
      </w:r>
      <w:r w:rsidR="00D325EA" w:rsidRPr="00703A0B">
        <w:t xml:space="preserve">streamlined operations, continuous business improvement and </w:t>
      </w:r>
      <w:r w:rsidR="00F544F6" w:rsidRPr="00703A0B">
        <w:t xml:space="preserve">improved </w:t>
      </w:r>
      <w:r w:rsidR="00D325EA" w:rsidRPr="00703A0B">
        <w:t>customer</w:t>
      </w:r>
      <w:r w:rsidR="007853CE" w:rsidRPr="00703A0B">
        <w:t xml:space="preserve"> outcomes. </w:t>
      </w:r>
      <w:r w:rsidRPr="00703A0B">
        <w:t xml:space="preserve">Designed to </w:t>
      </w:r>
      <w:r w:rsidR="007317D0" w:rsidRPr="00703A0B">
        <w:t xml:space="preserve">align with </w:t>
      </w:r>
      <w:r w:rsidR="00A168A1" w:rsidRPr="00703A0B">
        <w:t>the organisation’s</w:t>
      </w:r>
      <w:r w:rsidRPr="00703A0B">
        <w:t xml:space="preserve"> </w:t>
      </w:r>
      <w:r w:rsidR="007317D0" w:rsidRPr="00703A0B">
        <w:t xml:space="preserve">contemporary </w:t>
      </w:r>
      <w:r w:rsidRPr="00703A0B">
        <w:t xml:space="preserve">ways of working, the </w:t>
      </w:r>
      <w:r w:rsidR="007317D0" w:rsidRPr="00703A0B">
        <w:t xml:space="preserve">facilities </w:t>
      </w:r>
      <w:r w:rsidR="004017AB" w:rsidRPr="00703A0B">
        <w:t>support</w:t>
      </w:r>
      <w:r w:rsidR="006E5A07" w:rsidRPr="00703A0B">
        <w:t xml:space="preserve"> </w:t>
      </w:r>
      <w:r w:rsidRPr="00703A0B">
        <w:t xml:space="preserve">wellbeing and connectivity, creating a future-ready </w:t>
      </w:r>
      <w:r w:rsidR="006E5A07" w:rsidRPr="00703A0B">
        <w:t xml:space="preserve">workplace that </w:t>
      </w:r>
      <w:r w:rsidR="009D0F79" w:rsidRPr="00703A0B">
        <w:t>enhance</w:t>
      </w:r>
      <w:r w:rsidR="00B84747" w:rsidRPr="00703A0B">
        <w:t>s</w:t>
      </w:r>
      <w:r w:rsidR="009D0F79" w:rsidRPr="00703A0B">
        <w:t xml:space="preserve"> </w:t>
      </w:r>
      <w:r w:rsidRPr="00703A0B">
        <w:t>customer experience and staff performance.</w:t>
      </w:r>
    </w:p>
    <w:p w14:paraId="25DEA912" w14:textId="31C18FBD" w:rsidR="00534524" w:rsidRPr="00703A0B" w:rsidRDefault="00534524" w:rsidP="00534524">
      <w:pPr>
        <w:pStyle w:val="Heading3"/>
      </w:pPr>
      <w:r w:rsidRPr="00703A0B">
        <w:t>C</w:t>
      </w:r>
      <w:r w:rsidR="00437F99" w:rsidRPr="00703A0B">
        <w:t>ustomer feedback</w:t>
      </w:r>
      <w:r w:rsidRPr="00703A0B" w:rsidDel="001368CE">
        <w:t xml:space="preserve"> </w:t>
      </w:r>
      <w:r w:rsidRPr="00703A0B">
        <w:t xml:space="preserve"> </w:t>
      </w:r>
    </w:p>
    <w:p w14:paraId="4937C988" w14:textId="619B25A3" w:rsidR="00F74F29" w:rsidRPr="00703A0B" w:rsidRDefault="007506BE" w:rsidP="006D732C">
      <w:pPr>
        <w:spacing w:before="120" w:after="120"/>
      </w:pPr>
      <w:r w:rsidRPr="00703A0B">
        <w:t>The QBCC remains committed to delivering accessible, responsive and customer-focused services.</w:t>
      </w:r>
      <w:r w:rsidR="00404F51" w:rsidRPr="00703A0B">
        <w:t xml:space="preserve"> </w:t>
      </w:r>
      <w:r w:rsidRPr="00703A0B">
        <w:t>Customers engage with the QBCC through a range of channels, including telephone, email and face-to-face services</w:t>
      </w:r>
      <w:r w:rsidR="00165EFF" w:rsidRPr="00703A0B">
        <w:t xml:space="preserve">. </w:t>
      </w:r>
      <w:r w:rsidR="004A54A3" w:rsidRPr="00703A0B">
        <w:t xml:space="preserve">In </w:t>
      </w:r>
      <w:r w:rsidR="002F3FF4" w:rsidRPr="00703A0B">
        <w:t>response to customer feedback</w:t>
      </w:r>
      <w:r w:rsidR="004A54A3" w:rsidRPr="00703A0B">
        <w:t>, the QBCC introduced a</w:t>
      </w:r>
      <w:r w:rsidR="00C349ED" w:rsidRPr="00703A0B">
        <w:t xml:space="preserve">n improved </w:t>
      </w:r>
      <w:r w:rsidR="004A54A3" w:rsidRPr="00703A0B">
        <w:t xml:space="preserve">customer complaints </w:t>
      </w:r>
      <w:r w:rsidR="000637E9" w:rsidRPr="00703A0B">
        <w:t xml:space="preserve">management process </w:t>
      </w:r>
      <w:r w:rsidR="007D5E8A" w:rsidRPr="00703A0B">
        <w:t xml:space="preserve">in 2025–26 </w:t>
      </w:r>
      <w:r w:rsidR="000637E9" w:rsidRPr="00703A0B">
        <w:t>that</w:t>
      </w:r>
      <w:r w:rsidR="00CF5188" w:rsidRPr="00703A0B">
        <w:t xml:space="preserve"> emphasises </w:t>
      </w:r>
      <w:r w:rsidR="004A54A3" w:rsidRPr="00703A0B">
        <w:t>first contact resolution</w:t>
      </w:r>
      <w:r w:rsidR="003C4DAC" w:rsidRPr="00703A0B">
        <w:t xml:space="preserve">. </w:t>
      </w:r>
      <w:r w:rsidR="00C07AAD" w:rsidRPr="00703A0B">
        <w:t xml:space="preserve">The </w:t>
      </w:r>
      <w:r w:rsidR="00C045C9" w:rsidRPr="00703A0B">
        <w:t xml:space="preserve">enhanced </w:t>
      </w:r>
      <w:r w:rsidR="005B2DD2" w:rsidRPr="00703A0B">
        <w:t>process</w:t>
      </w:r>
      <w:r w:rsidR="00237EF0" w:rsidRPr="00703A0B">
        <w:t xml:space="preserve"> supports </w:t>
      </w:r>
      <w:r w:rsidR="3DD08132" w:rsidRPr="00703A0B">
        <w:t xml:space="preserve">more </w:t>
      </w:r>
      <w:r w:rsidR="2278AAC9" w:rsidRPr="00703A0B">
        <w:t>coordinated</w:t>
      </w:r>
      <w:r w:rsidR="00696BA0" w:rsidRPr="00703A0B">
        <w:t xml:space="preserve"> and high-</w:t>
      </w:r>
      <w:r w:rsidR="2278AAC9" w:rsidRPr="00703A0B">
        <w:t xml:space="preserve">quality </w:t>
      </w:r>
      <w:r w:rsidR="00176EAD" w:rsidRPr="00703A0B">
        <w:t xml:space="preserve">responses, more </w:t>
      </w:r>
      <w:r w:rsidR="004A54A3" w:rsidRPr="00703A0B">
        <w:t>consiste</w:t>
      </w:r>
      <w:r w:rsidR="00D74044" w:rsidRPr="00703A0B">
        <w:t xml:space="preserve">nt </w:t>
      </w:r>
      <w:r w:rsidR="004A54A3" w:rsidRPr="00703A0B">
        <w:t>complaint</w:t>
      </w:r>
      <w:r w:rsidR="00D74044" w:rsidRPr="00703A0B">
        <w:t xml:space="preserve"> handling</w:t>
      </w:r>
      <w:r w:rsidR="008315E9" w:rsidRPr="00703A0B">
        <w:t xml:space="preserve"> and a stronger focus on identifying and addressing the root cause of complaints</w:t>
      </w:r>
      <w:r w:rsidR="004A54A3" w:rsidRPr="00703A0B">
        <w:t>.</w:t>
      </w:r>
      <w:r w:rsidR="009036FD" w:rsidRPr="00703A0B">
        <w:t xml:space="preserve"> </w:t>
      </w:r>
      <w:r w:rsidR="00286782" w:rsidRPr="00703A0B">
        <w:t>Improved first</w:t>
      </w:r>
      <w:r w:rsidR="4C481C68" w:rsidRPr="00703A0B">
        <w:t xml:space="preserve"> contact </w:t>
      </w:r>
      <w:r w:rsidR="00286782" w:rsidRPr="00703A0B">
        <w:t xml:space="preserve">resolution rates from 6 per cent to 20 per cent demonstrate a </w:t>
      </w:r>
      <w:r w:rsidR="70CAEB08" w:rsidRPr="00703A0B">
        <w:t xml:space="preserve">more </w:t>
      </w:r>
      <w:r w:rsidR="00286782" w:rsidRPr="00703A0B">
        <w:t xml:space="preserve">positive outcome for customers, with more enquiries resolved at the first point of contact and less need for follow-up interactions. </w:t>
      </w:r>
      <w:r w:rsidR="00D74044" w:rsidRPr="00703A0B">
        <w:t xml:space="preserve">While </w:t>
      </w:r>
      <w:r w:rsidR="009036FD" w:rsidRPr="00703A0B">
        <w:t>digital communication channels</w:t>
      </w:r>
      <w:r w:rsidR="00D74044" w:rsidRPr="00703A0B">
        <w:t xml:space="preserve"> continue to grow</w:t>
      </w:r>
      <w:r w:rsidR="0040494D" w:rsidRPr="00703A0B">
        <w:t xml:space="preserve"> in popularity</w:t>
      </w:r>
      <w:r w:rsidR="009036FD" w:rsidRPr="00703A0B">
        <w:t xml:space="preserve">, face-to-face services </w:t>
      </w:r>
      <w:r w:rsidR="0040494D" w:rsidRPr="00703A0B">
        <w:t xml:space="preserve">remain </w:t>
      </w:r>
      <w:r w:rsidR="77E46A2F" w:rsidRPr="00703A0B">
        <w:t>a valued customer service offering</w:t>
      </w:r>
      <w:r w:rsidR="009036FD" w:rsidRPr="00703A0B">
        <w:t xml:space="preserve">. </w:t>
      </w:r>
      <w:r w:rsidR="0040494D" w:rsidRPr="00703A0B">
        <w:t xml:space="preserve">Ongoing </w:t>
      </w:r>
      <w:r w:rsidR="009036FD" w:rsidRPr="00703A0B">
        <w:t xml:space="preserve">demand for these services demonstrates that customers value direct access to experienced QBCC staff and </w:t>
      </w:r>
      <w:r w:rsidR="00E07C42" w:rsidRPr="00703A0B">
        <w:t xml:space="preserve">highlights </w:t>
      </w:r>
      <w:r w:rsidR="009036FD" w:rsidRPr="00703A0B">
        <w:t xml:space="preserve">the importance of </w:t>
      </w:r>
      <w:r w:rsidR="00E07C42" w:rsidRPr="00703A0B">
        <w:t xml:space="preserve">maintaining multiple </w:t>
      </w:r>
      <w:r w:rsidR="00044DD6" w:rsidRPr="00703A0B">
        <w:t>s</w:t>
      </w:r>
      <w:r w:rsidR="009036FD" w:rsidRPr="00703A0B">
        <w:t>ervice channels to meet diverse customer needs</w:t>
      </w:r>
      <w:r w:rsidR="00044DD6" w:rsidRPr="00703A0B">
        <w:t xml:space="preserve"> and preferences</w:t>
      </w:r>
      <w:r w:rsidR="009036FD" w:rsidRPr="00703A0B">
        <w:t xml:space="preserve">. </w:t>
      </w:r>
      <w:r w:rsidR="0025711D" w:rsidRPr="00703A0B">
        <w:fldChar w:fldCharType="begin"/>
      </w:r>
      <w:r w:rsidR="0025711D" w:rsidRPr="00703A0B">
        <w:instrText xml:space="preserve"> REF _Ref235635914 \h  \* MERGEFORMAT </w:instrText>
      </w:r>
      <w:r w:rsidR="0025711D" w:rsidRPr="00703A0B">
        <w:fldChar w:fldCharType="separate"/>
      </w:r>
      <w:r w:rsidR="0025711D" w:rsidRPr="00703A0B">
        <w:t xml:space="preserve">Figure </w:t>
      </w:r>
      <w:r w:rsidR="0025711D" w:rsidRPr="00F621D8">
        <w:t>6</w:t>
      </w:r>
      <w:r w:rsidR="0025711D" w:rsidRPr="00703A0B">
        <w:fldChar w:fldCharType="end"/>
      </w:r>
      <w:r w:rsidR="0025711D" w:rsidRPr="00703A0B">
        <w:t xml:space="preserve"> </w:t>
      </w:r>
      <w:r w:rsidR="00242AF9" w:rsidRPr="00703A0B">
        <w:t>provides an overview of</w:t>
      </w:r>
      <w:r w:rsidR="00540FB0" w:rsidRPr="00703A0B">
        <w:t xml:space="preserve"> customer</w:t>
      </w:r>
      <w:r w:rsidR="004E28A8" w:rsidRPr="00703A0B">
        <w:t xml:space="preserve"> </w:t>
      </w:r>
      <w:r w:rsidR="00612F88" w:rsidRPr="00703A0B">
        <w:t>feedback received over time.</w:t>
      </w:r>
      <w:r w:rsidR="00540FB0" w:rsidRPr="00703A0B">
        <w:t xml:space="preserve"> </w:t>
      </w:r>
    </w:p>
    <w:p w14:paraId="0460CBEB" w14:textId="4F22BB05" w:rsidR="00905497" w:rsidRPr="00703A0B" w:rsidRDefault="00C07270" w:rsidP="00CB1A3E">
      <w:pPr>
        <w:spacing w:before="120" w:after="120" w:line="259" w:lineRule="auto"/>
      </w:pPr>
      <w:r w:rsidRPr="00BB72F2">
        <w:rPr>
          <w:noProof/>
        </w:rPr>
        <w:lastRenderedPageBreak/>
        <w:drawing>
          <wp:inline distT="0" distB="0" distL="0" distR="0" wp14:anchorId="550D60F4" wp14:editId="15AA6D66">
            <wp:extent cx="3636335" cy="2175778"/>
            <wp:effectExtent l="0" t="0" r="2540" b="0"/>
            <wp:docPr id="19620290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029007" name=""/>
                    <pic:cNvPicPr/>
                  </pic:nvPicPr>
                  <pic:blipFill>
                    <a:blip r:embed="rId32">
                      <a:extLst>
                        <a:ext uri="{96DAC541-7B7A-43D3-8B79-37D633B846F1}">
                          <asvg:svgBlip xmlns:asvg="http://schemas.microsoft.com/office/drawing/2016/SVG/main" r:embed="rId33"/>
                        </a:ext>
                      </a:extLst>
                    </a:blip>
                    <a:stretch>
                      <a:fillRect/>
                    </a:stretch>
                  </pic:blipFill>
                  <pic:spPr>
                    <a:xfrm>
                      <a:off x="0" y="0"/>
                      <a:ext cx="3651659" cy="2184947"/>
                    </a:xfrm>
                    <a:prstGeom prst="rect">
                      <a:avLst/>
                    </a:prstGeom>
                  </pic:spPr>
                </pic:pic>
              </a:graphicData>
            </a:graphic>
          </wp:inline>
        </w:drawing>
      </w:r>
    </w:p>
    <w:p w14:paraId="04017A38" w14:textId="4B250B6E" w:rsidR="00051582" w:rsidRPr="00703A0B" w:rsidRDefault="00051582" w:rsidP="00051582">
      <w:pPr>
        <w:pStyle w:val="Caption"/>
        <w:rPr>
          <w:b w:val="0"/>
          <w:bCs/>
          <w:i/>
          <w:iCs/>
        </w:rPr>
      </w:pPr>
      <w:bookmarkStart w:id="105" w:name="_Ref235635914"/>
      <w:r w:rsidRPr="00703A0B">
        <w:rPr>
          <w:b w:val="0"/>
          <w:bCs/>
          <w:i/>
          <w:iCs/>
        </w:rPr>
        <w:t xml:space="preserve">Figure </w:t>
      </w:r>
      <w:r w:rsidRPr="00703A0B">
        <w:rPr>
          <w:b w:val="0"/>
          <w:bCs/>
          <w:i/>
          <w:iCs/>
        </w:rPr>
        <w:fldChar w:fldCharType="begin"/>
      </w:r>
      <w:r w:rsidRPr="00703A0B">
        <w:rPr>
          <w:b w:val="0"/>
          <w:bCs/>
          <w:i/>
          <w:iCs/>
        </w:rPr>
        <w:instrText xml:space="preserve"> SEQ Figure \* ARABIC </w:instrText>
      </w:r>
      <w:r w:rsidRPr="00703A0B">
        <w:rPr>
          <w:b w:val="0"/>
          <w:bCs/>
          <w:i/>
          <w:iCs/>
        </w:rPr>
        <w:fldChar w:fldCharType="separate"/>
      </w:r>
      <w:r w:rsidRPr="00F621D8">
        <w:rPr>
          <w:b w:val="0"/>
          <w:bCs/>
          <w:i/>
          <w:iCs/>
        </w:rPr>
        <w:t>6</w:t>
      </w:r>
      <w:r w:rsidRPr="00703A0B">
        <w:rPr>
          <w:b w:val="0"/>
          <w:bCs/>
          <w:i/>
          <w:iCs/>
        </w:rPr>
        <w:fldChar w:fldCharType="end"/>
      </w:r>
      <w:bookmarkEnd w:id="105"/>
      <w:r w:rsidRPr="00703A0B">
        <w:rPr>
          <w:b w:val="0"/>
          <w:bCs/>
          <w:i/>
          <w:iCs/>
        </w:rPr>
        <w:t>: Customer interactions and feedback over the past five years</w:t>
      </w:r>
    </w:p>
    <w:p w14:paraId="37B9822F" w14:textId="2FCB25E0" w:rsidR="00B33974" w:rsidRPr="00703A0B" w:rsidRDefault="00375E1F" w:rsidP="00051582">
      <w:pPr>
        <w:spacing w:before="120" w:after="120" w:line="259" w:lineRule="auto"/>
      </w:pPr>
      <w:r w:rsidRPr="00703A0B">
        <w:t xml:space="preserve">Customer feedback trends highlight the </w:t>
      </w:r>
      <w:r w:rsidR="00252100" w:rsidRPr="00703A0B">
        <w:t xml:space="preserve">critical </w:t>
      </w:r>
      <w:r w:rsidR="006E3323" w:rsidRPr="00703A0B">
        <w:t>role</w:t>
      </w:r>
      <w:r w:rsidRPr="00703A0B">
        <w:t xml:space="preserve"> of the QBCC's frontline services in understanding customer needs and </w:t>
      </w:r>
      <w:r w:rsidR="00F45C6A" w:rsidRPr="00703A0B">
        <w:t xml:space="preserve">driving </w:t>
      </w:r>
      <w:r w:rsidRPr="00703A0B">
        <w:t>continuous</w:t>
      </w:r>
      <w:r w:rsidR="00F45C6A" w:rsidRPr="00703A0B">
        <w:t xml:space="preserve"> improvements </w:t>
      </w:r>
      <w:r w:rsidR="00252100" w:rsidRPr="00703A0B">
        <w:t>across</w:t>
      </w:r>
      <w:r w:rsidR="00F45C6A" w:rsidRPr="00703A0B">
        <w:t xml:space="preserve"> </w:t>
      </w:r>
      <w:r w:rsidRPr="00703A0B">
        <w:t xml:space="preserve">service delivery. </w:t>
      </w:r>
      <w:r w:rsidR="00CC0FB8" w:rsidRPr="00703A0B">
        <w:t>The i</w:t>
      </w:r>
      <w:r w:rsidRPr="00703A0B">
        <w:t>ncrease</w:t>
      </w:r>
      <w:r w:rsidR="00CC0FB8" w:rsidRPr="00703A0B">
        <w:t xml:space="preserve"> in </w:t>
      </w:r>
      <w:r w:rsidRPr="00703A0B">
        <w:t xml:space="preserve">feedback volumes </w:t>
      </w:r>
      <w:r w:rsidR="00CC0FB8" w:rsidRPr="00703A0B">
        <w:t>during</w:t>
      </w:r>
      <w:r w:rsidRPr="00703A0B">
        <w:t xml:space="preserve"> 2025–26 </w:t>
      </w:r>
      <w:r w:rsidR="008C7EE4" w:rsidRPr="00703A0B">
        <w:t>demonstrate</w:t>
      </w:r>
      <w:r w:rsidR="00AF6774" w:rsidRPr="00703A0B">
        <w:t xml:space="preserve">s </w:t>
      </w:r>
      <w:r w:rsidRPr="00703A0B">
        <w:t xml:space="preserve">that customers are actively engaging with the QBCC and are willing to share their experiences across a </w:t>
      </w:r>
      <w:r w:rsidR="000B7D19" w:rsidRPr="00703A0B">
        <w:t xml:space="preserve">broad </w:t>
      </w:r>
      <w:r w:rsidRPr="00703A0B">
        <w:t>range of services. While complaints remain</w:t>
      </w:r>
      <w:r w:rsidR="00323E00" w:rsidRPr="00703A0B">
        <w:t>ed</w:t>
      </w:r>
      <w:r w:rsidRPr="00703A0B">
        <w:t xml:space="preserve"> the most common form of feedback, </w:t>
      </w:r>
      <w:r w:rsidR="00AC49F5" w:rsidRPr="00703A0B">
        <w:t xml:space="preserve">they provided valuable </w:t>
      </w:r>
      <w:r w:rsidR="00772282" w:rsidRPr="00703A0B">
        <w:t xml:space="preserve">insights into </w:t>
      </w:r>
      <w:r w:rsidR="005B635C" w:rsidRPr="00703A0B">
        <w:t xml:space="preserve">opportunities to enhance </w:t>
      </w:r>
      <w:r w:rsidRPr="00703A0B">
        <w:t xml:space="preserve">service </w:t>
      </w:r>
      <w:r w:rsidR="00705495" w:rsidRPr="00703A0B">
        <w:t xml:space="preserve">delivery </w:t>
      </w:r>
      <w:r w:rsidR="00FD497F" w:rsidRPr="00703A0B">
        <w:t xml:space="preserve">and </w:t>
      </w:r>
      <w:r w:rsidR="00CC209D" w:rsidRPr="00703A0B">
        <w:t>better meet customer expectations</w:t>
      </w:r>
      <w:r w:rsidRPr="00703A0B">
        <w:t>.</w:t>
      </w:r>
      <w:r w:rsidR="00671EDA" w:rsidRPr="00703A0B">
        <w:t xml:space="preserve"> </w:t>
      </w:r>
      <w:r w:rsidR="00705495" w:rsidRPr="00703A0B">
        <w:t>The most c</w:t>
      </w:r>
      <w:r w:rsidR="00CC209D" w:rsidRPr="00703A0B">
        <w:t xml:space="preserve">ommon themes </w:t>
      </w:r>
      <w:r w:rsidR="00705495" w:rsidRPr="00703A0B">
        <w:t xml:space="preserve">raised in </w:t>
      </w:r>
      <w:r w:rsidR="00656E9D" w:rsidRPr="00703A0B">
        <w:t>complaints</w:t>
      </w:r>
      <w:r w:rsidR="00F23B95" w:rsidRPr="00703A0B">
        <w:t xml:space="preserve"> </w:t>
      </w:r>
      <w:r w:rsidR="002242C7" w:rsidRPr="00703A0B">
        <w:t>during</w:t>
      </w:r>
      <w:r w:rsidR="00F23B95" w:rsidRPr="00703A0B">
        <w:t xml:space="preserve"> 2025–26</w:t>
      </w:r>
      <w:r w:rsidR="00656E9D" w:rsidRPr="00703A0B">
        <w:t xml:space="preserve"> </w:t>
      </w:r>
      <w:r w:rsidR="003E4B13" w:rsidRPr="00703A0B">
        <w:t xml:space="preserve">related to </w:t>
      </w:r>
      <w:r w:rsidR="009F3B9B" w:rsidRPr="00703A0B">
        <w:t xml:space="preserve">the timeliness of </w:t>
      </w:r>
      <w:r w:rsidR="00272C01" w:rsidRPr="00703A0B">
        <w:t>service delivery</w:t>
      </w:r>
      <w:r w:rsidR="004A332C" w:rsidRPr="00703A0B">
        <w:t>,</w:t>
      </w:r>
      <w:r w:rsidR="002242C7" w:rsidRPr="00703A0B">
        <w:t xml:space="preserve"> service delivery processes</w:t>
      </w:r>
      <w:r w:rsidR="00D33ECC" w:rsidRPr="00703A0B">
        <w:t xml:space="preserve"> </w:t>
      </w:r>
      <w:r w:rsidR="00272C01" w:rsidRPr="00703A0B">
        <w:t xml:space="preserve">and </w:t>
      </w:r>
      <w:r w:rsidR="00125265" w:rsidRPr="00703A0B">
        <w:t xml:space="preserve">individual </w:t>
      </w:r>
      <w:r w:rsidR="001B6DCF" w:rsidRPr="00703A0B">
        <w:t xml:space="preserve">customer </w:t>
      </w:r>
      <w:r w:rsidR="00125265" w:rsidRPr="00703A0B">
        <w:t>experience</w:t>
      </w:r>
      <w:r w:rsidR="003E4B13" w:rsidRPr="00703A0B">
        <w:t>s</w:t>
      </w:r>
      <w:r w:rsidR="00125265" w:rsidRPr="00703A0B">
        <w:t xml:space="preserve"> with </w:t>
      </w:r>
      <w:r w:rsidR="004B1747" w:rsidRPr="00703A0B">
        <w:t xml:space="preserve">case management, including </w:t>
      </w:r>
      <w:r w:rsidR="008219A2" w:rsidRPr="00703A0B">
        <w:t>how their</w:t>
      </w:r>
      <w:r w:rsidR="00656E9D" w:rsidRPr="00703A0B">
        <w:t xml:space="preserve"> </w:t>
      </w:r>
      <w:r w:rsidR="004B1747" w:rsidRPr="00703A0B">
        <w:t>matter</w:t>
      </w:r>
      <w:r w:rsidR="001B6DCF" w:rsidRPr="00703A0B">
        <w:t>s</w:t>
      </w:r>
      <w:r w:rsidR="004B1747" w:rsidRPr="00703A0B">
        <w:t xml:space="preserve"> </w:t>
      </w:r>
      <w:r w:rsidR="0073403F" w:rsidRPr="00703A0B">
        <w:t xml:space="preserve">were </w:t>
      </w:r>
      <w:r w:rsidR="004B1747" w:rsidRPr="00703A0B">
        <w:t>handled, communicated and progressed</w:t>
      </w:r>
      <w:r w:rsidR="00272C01" w:rsidRPr="00703A0B">
        <w:t xml:space="preserve">. </w:t>
      </w:r>
    </w:p>
    <w:p w14:paraId="4738647A" w14:textId="7101453C" w:rsidR="00375E1F" w:rsidRPr="00703A0B" w:rsidRDefault="000E004F" w:rsidP="00051582">
      <w:pPr>
        <w:spacing w:before="120" w:after="120" w:line="259" w:lineRule="auto"/>
      </w:pPr>
      <w:r w:rsidRPr="00703A0B">
        <w:t>The increase</w:t>
      </w:r>
      <w:r w:rsidR="00B30961" w:rsidRPr="00703A0B">
        <w:t xml:space="preserve"> in the number of suggestions received </w:t>
      </w:r>
      <w:r w:rsidRPr="00703A0B">
        <w:t>during the year</w:t>
      </w:r>
      <w:r w:rsidR="00B30961" w:rsidRPr="00703A0B">
        <w:t xml:space="preserve"> </w:t>
      </w:r>
      <w:r w:rsidR="00847AD3" w:rsidRPr="00703A0B">
        <w:t>reflected</w:t>
      </w:r>
      <w:r w:rsidR="002807FD" w:rsidRPr="00703A0B">
        <w:t xml:space="preserve"> </w:t>
      </w:r>
      <w:r w:rsidR="00F74DDB" w:rsidRPr="00703A0B">
        <w:t xml:space="preserve">a </w:t>
      </w:r>
      <w:r w:rsidR="00B30961" w:rsidRPr="00703A0B">
        <w:t xml:space="preserve">willingness among customers to contribute ideas </w:t>
      </w:r>
      <w:r w:rsidR="005A17FC" w:rsidRPr="00703A0B">
        <w:t xml:space="preserve">and </w:t>
      </w:r>
      <w:r w:rsidR="006D1C48" w:rsidRPr="00703A0B">
        <w:t>support</w:t>
      </w:r>
      <w:r w:rsidR="005A17FC" w:rsidRPr="00703A0B">
        <w:t xml:space="preserve"> </w:t>
      </w:r>
      <w:r w:rsidR="00722F66" w:rsidRPr="00703A0B">
        <w:t xml:space="preserve">the ongoing </w:t>
      </w:r>
      <w:r w:rsidR="002A1DFE" w:rsidRPr="00703A0B">
        <w:t xml:space="preserve">optimisation </w:t>
      </w:r>
      <w:r w:rsidR="00722F66" w:rsidRPr="00703A0B">
        <w:t>of</w:t>
      </w:r>
      <w:r w:rsidR="00B30961" w:rsidRPr="00703A0B">
        <w:t xml:space="preserve"> </w:t>
      </w:r>
      <w:r w:rsidR="0047471F" w:rsidRPr="00703A0B">
        <w:t xml:space="preserve">the </w:t>
      </w:r>
      <w:r w:rsidR="00B30961" w:rsidRPr="00703A0B">
        <w:t>QBCC</w:t>
      </w:r>
      <w:r w:rsidR="0047471F" w:rsidRPr="00703A0B">
        <w:t>’s</w:t>
      </w:r>
      <w:r w:rsidR="00B30961" w:rsidRPr="00703A0B">
        <w:t xml:space="preserve"> services</w:t>
      </w:r>
      <w:r w:rsidR="006D1C48" w:rsidRPr="00703A0B">
        <w:t xml:space="preserve">. </w:t>
      </w:r>
      <w:r w:rsidR="00EA6439" w:rsidRPr="00703A0B">
        <w:t xml:space="preserve">Suggestions covered a wide range of </w:t>
      </w:r>
      <w:r w:rsidR="00873505" w:rsidRPr="00703A0B">
        <w:t xml:space="preserve">topics </w:t>
      </w:r>
      <w:r w:rsidR="007F054E" w:rsidRPr="00703A0B">
        <w:t xml:space="preserve">across </w:t>
      </w:r>
      <w:r w:rsidR="004A2468" w:rsidRPr="00703A0B">
        <w:t>licensing, resolution services</w:t>
      </w:r>
      <w:r w:rsidR="008E1E29" w:rsidRPr="00703A0B">
        <w:t>,</w:t>
      </w:r>
      <w:r w:rsidR="00355110" w:rsidRPr="00703A0B">
        <w:t xml:space="preserve"> and compliance and enforcement activities</w:t>
      </w:r>
      <w:r w:rsidR="00873505" w:rsidRPr="00703A0B">
        <w:t xml:space="preserve">, </w:t>
      </w:r>
      <w:r w:rsidR="00BD386A" w:rsidRPr="00703A0B">
        <w:t xml:space="preserve">including the legislation administered by the QBCC and the information, guidance and support provided </w:t>
      </w:r>
      <w:r w:rsidR="000F6B45" w:rsidRPr="00703A0B">
        <w:t>to customers</w:t>
      </w:r>
      <w:r w:rsidR="00355110" w:rsidRPr="00703A0B">
        <w:t>.</w:t>
      </w:r>
      <w:r w:rsidR="00AD6B99" w:rsidRPr="00703A0B">
        <w:t xml:space="preserve"> </w:t>
      </w:r>
      <w:r w:rsidR="000F6B45" w:rsidRPr="00703A0B">
        <w:t>A</w:t>
      </w:r>
      <w:r w:rsidR="4083B2E8" w:rsidRPr="00703A0B">
        <w:t xml:space="preserve"> </w:t>
      </w:r>
      <w:r w:rsidR="000F6B45" w:rsidRPr="00703A0B">
        <w:t xml:space="preserve">modest </w:t>
      </w:r>
      <w:r w:rsidR="00B30961" w:rsidRPr="00703A0B">
        <w:t xml:space="preserve">increase in compliments </w:t>
      </w:r>
      <w:r w:rsidR="000F6B45" w:rsidRPr="00703A0B">
        <w:t xml:space="preserve">further </w:t>
      </w:r>
      <w:r w:rsidR="00B30961" w:rsidRPr="00703A0B">
        <w:t>highlight</w:t>
      </w:r>
      <w:r w:rsidR="00722F66" w:rsidRPr="00703A0B">
        <w:t>ed</w:t>
      </w:r>
      <w:r w:rsidR="00B30961" w:rsidRPr="00703A0B">
        <w:t xml:space="preserve"> positive customer experiences and recogni</w:t>
      </w:r>
      <w:r w:rsidR="00722F66" w:rsidRPr="00703A0B">
        <w:t>sed</w:t>
      </w:r>
      <w:r w:rsidR="00B30961" w:rsidRPr="00703A0B">
        <w:t xml:space="preserve"> the </w:t>
      </w:r>
      <w:r w:rsidR="00722F66" w:rsidRPr="00703A0B">
        <w:t xml:space="preserve">professionalism, expertise and </w:t>
      </w:r>
      <w:r w:rsidR="00B30961" w:rsidRPr="00703A0B">
        <w:t>support provided by frontline staff</w:t>
      </w:r>
      <w:r w:rsidR="00356FA3" w:rsidRPr="00703A0B">
        <w:t xml:space="preserve"> across the QBCC contact centre</w:t>
      </w:r>
      <w:r w:rsidR="002219B6" w:rsidRPr="00703A0B">
        <w:t xml:space="preserve">, </w:t>
      </w:r>
      <w:r w:rsidR="00666C23" w:rsidRPr="00703A0B">
        <w:t xml:space="preserve">licensing and </w:t>
      </w:r>
      <w:r w:rsidR="002219B6" w:rsidRPr="00703A0B">
        <w:t>resolution services</w:t>
      </w:r>
      <w:r w:rsidR="00666C23" w:rsidRPr="00703A0B">
        <w:t xml:space="preserve">. </w:t>
      </w:r>
      <w:r w:rsidR="00FE27C7" w:rsidRPr="00703A0B">
        <w:t>Collectively, these c</w:t>
      </w:r>
      <w:r w:rsidR="00785F72" w:rsidRPr="00703A0B">
        <w:t xml:space="preserve">ustomer feedback trends </w:t>
      </w:r>
      <w:r w:rsidR="0027616C" w:rsidRPr="00703A0B">
        <w:t xml:space="preserve">demonstrate the </w:t>
      </w:r>
      <w:r w:rsidR="00F123D4" w:rsidRPr="00703A0B">
        <w:t>important role</w:t>
      </w:r>
      <w:r w:rsidR="0027616C" w:rsidRPr="00703A0B">
        <w:t xml:space="preserve"> of the QBCC's frontline services as a key </w:t>
      </w:r>
      <w:r w:rsidR="0027616C" w:rsidRPr="00703A0B" w:rsidDel="005D47AA">
        <w:t xml:space="preserve">point of connection </w:t>
      </w:r>
      <w:r w:rsidR="0027616C" w:rsidRPr="00703A0B">
        <w:t>between the organisation, consumers and industry</w:t>
      </w:r>
      <w:r w:rsidR="00AE5DF1" w:rsidRPr="00703A0B">
        <w:t xml:space="preserve">. The </w:t>
      </w:r>
      <w:r w:rsidR="0044283C" w:rsidRPr="00703A0B">
        <w:t xml:space="preserve">feedback </w:t>
      </w:r>
      <w:r w:rsidR="00973192" w:rsidRPr="00703A0B">
        <w:t>provid</w:t>
      </w:r>
      <w:r w:rsidR="0044283C" w:rsidRPr="00703A0B">
        <w:t xml:space="preserve">es </w:t>
      </w:r>
      <w:r w:rsidR="00973192" w:rsidRPr="00703A0B">
        <w:t xml:space="preserve">valuable insights that </w:t>
      </w:r>
      <w:r w:rsidR="0044283C" w:rsidRPr="00703A0B">
        <w:t>reinforce the importance of</w:t>
      </w:r>
      <w:r w:rsidR="006F0943" w:rsidRPr="00703A0B">
        <w:t xml:space="preserve"> </w:t>
      </w:r>
      <w:r w:rsidR="00E83D21" w:rsidRPr="00703A0B">
        <w:t xml:space="preserve">responsiveness, </w:t>
      </w:r>
      <w:r w:rsidR="006F0943" w:rsidRPr="00703A0B">
        <w:t>transparency</w:t>
      </w:r>
      <w:r w:rsidR="00E83D21" w:rsidRPr="00703A0B">
        <w:t xml:space="preserve"> and consistency </w:t>
      </w:r>
      <w:r w:rsidR="007234A6" w:rsidRPr="00703A0B">
        <w:t xml:space="preserve">in </w:t>
      </w:r>
      <w:r w:rsidR="5F564D05" w:rsidRPr="00703A0B">
        <w:t>fost</w:t>
      </w:r>
      <w:r w:rsidR="00E11630" w:rsidRPr="00703A0B">
        <w:t>e</w:t>
      </w:r>
      <w:r w:rsidR="5F564D05" w:rsidRPr="00703A0B">
        <w:t xml:space="preserve">ring and </w:t>
      </w:r>
      <w:r w:rsidR="00E83D21" w:rsidRPr="00703A0B">
        <w:t>mainta</w:t>
      </w:r>
      <w:r w:rsidR="007234A6" w:rsidRPr="00703A0B">
        <w:t>ining</w:t>
      </w:r>
      <w:r w:rsidR="00E83D21" w:rsidRPr="00703A0B">
        <w:t xml:space="preserve"> trust and</w:t>
      </w:r>
      <w:r w:rsidR="007234A6" w:rsidRPr="00703A0B">
        <w:t xml:space="preserve"> </w:t>
      </w:r>
      <w:r w:rsidR="00116A6C" w:rsidRPr="00703A0B">
        <w:t>enhanc</w:t>
      </w:r>
      <w:r w:rsidR="007234A6" w:rsidRPr="00703A0B">
        <w:t xml:space="preserve">ing </w:t>
      </w:r>
      <w:r w:rsidR="00973192" w:rsidRPr="00703A0B">
        <w:t xml:space="preserve">customer </w:t>
      </w:r>
      <w:r w:rsidR="00116A6C" w:rsidRPr="00703A0B">
        <w:t>satisfaction</w:t>
      </w:r>
      <w:r w:rsidR="0027616C" w:rsidRPr="00703A0B">
        <w:t>.</w:t>
      </w:r>
    </w:p>
    <w:p w14:paraId="42628B25" w14:textId="4954B8E8" w:rsidR="00CA7986" w:rsidRPr="00703A0B" w:rsidRDefault="007C4B4E" w:rsidP="00696C76">
      <w:pPr>
        <w:pStyle w:val="Heading3"/>
      </w:pPr>
      <w:bookmarkStart w:id="106" w:name="_Service_improvements"/>
      <w:bookmarkEnd w:id="106"/>
      <w:r w:rsidRPr="00703A0B">
        <w:rPr>
          <w:rStyle w:val="SubheadingChar"/>
          <w:rFonts w:ascii="Arial" w:hAnsi="Arial"/>
          <w:bCs w:val="0"/>
          <w:iCs w:val="0"/>
          <w:color w:val="auto"/>
          <w:sz w:val="28"/>
          <w:szCs w:val="24"/>
        </w:rPr>
        <w:t>Service i</w:t>
      </w:r>
      <w:r w:rsidR="0083792B" w:rsidRPr="00703A0B">
        <w:rPr>
          <w:rStyle w:val="SubheadingChar"/>
          <w:rFonts w:ascii="Arial" w:hAnsi="Arial"/>
          <w:bCs w:val="0"/>
          <w:iCs w:val="0"/>
          <w:color w:val="auto"/>
          <w:sz w:val="28"/>
          <w:szCs w:val="24"/>
        </w:rPr>
        <w:t>mprovement</w:t>
      </w:r>
      <w:r w:rsidR="006936EC" w:rsidRPr="00703A0B">
        <w:rPr>
          <w:rStyle w:val="SubheadingChar"/>
          <w:rFonts w:ascii="Arial" w:hAnsi="Arial"/>
          <w:bCs w:val="0"/>
          <w:iCs w:val="0"/>
          <w:color w:val="auto"/>
          <w:sz w:val="28"/>
          <w:szCs w:val="24"/>
        </w:rPr>
        <w:t>s</w:t>
      </w:r>
    </w:p>
    <w:p w14:paraId="5282C682" w14:textId="046C0843" w:rsidR="00BD5573" w:rsidRPr="00703A0B" w:rsidRDefault="00447271" w:rsidP="00447271">
      <w:pPr>
        <w:spacing w:before="120" w:after="120" w:line="259" w:lineRule="auto"/>
        <w:rPr>
          <w:rFonts w:eastAsia="Arial" w:cs="Arial"/>
        </w:rPr>
      </w:pPr>
      <w:bookmarkStart w:id="107" w:name="_Customer_Experience_Strategy_1"/>
      <w:bookmarkEnd w:id="107"/>
      <w:r w:rsidRPr="00703A0B">
        <w:rPr>
          <w:rFonts w:eastAsia="Arial" w:cs="Arial"/>
        </w:rPr>
        <w:t>The QBCC is committed to delivering high-quality</w:t>
      </w:r>
      <w:r w:rsidR="00EB426A" w:rsidRPr="00703A0B">
        <w:rPr>
          <w:rFonts w:eastAsia="Arial" w:cs="Arial"/>
        </w:rPr>
        <w:t xml:space="preserve"> </w:t>
      </w:r>
      <w:r w:rsidRPr="00703A0B">
        <w:rPr>
          <w:rFonts w:eastAsia="Arial" w:cs="Arial"/>
        </w:rPr>
        <w:t>customer-focused services and continues to implement improvements that enhance customer experience, strengthen service delivery and support efficient regulatory outcomes. During 2025–26, the QBCC progressed a range of customer experience and digital initiatives designed to improve accessibility, streamline processes and better meet the needs of customers and industry stakeholders.</w:t>
      </w:r>
    </w:p>
    <w:p w14:paraId="229AF898" w14:textId="5F53E7BB" w:rsidR="00C91791" w:rsidRPr="00703A0B" w:rsidRDefault="00C91791" w:rsidP="00797BD7">
      <w:pPr>
        <w:pStyle w:val="Heading4"/>
      </w:pPr>
      <w:bookmarkStart w:id="108" w:name="_Customer_Experience_Strategy"/>
      <w:bookmarkEnd w:id="108"/>
      <w:r w:rsidRPr="00703A0B">
        <w:t>C</w:t>
      </w:r>
      <w:r w:rsidR="005D1F76" w:rsidRPr="00703A0B">
        <w:t>ustomer Experience</w:t>
      </w:r>
      <w:r w:rsidRPr="00703A0B">
        <w:t xml:space="preserve"> Strategy</w:t>
      </w:r>
      <w:r w:rsidR="0005107C" w:rsidRPr="00703A0B">
        <w:t xml:space="preserve">  </w:t>
      </w:r>
    </w:p>
    <w:p w14:paraId="7E3FA328" w14:textId="10EE9E08" w:rsidR="00466E77" w:rsidRPr="00703A0B" w:rsidRDefault="00466E77" w:rsidP="00466E77">
      <w:pPr>
        <w:spacing w:before="120" w:after="120"/>
      </w:pPr>
      <w:r w:rsidRPr="00703A0B">
        <w:t>The QBCC Customer Experience</w:t>
      </w:r>
      <w:r w:rsidR="000A6576" w:rsidRPr="00703A0B">
        <w:t xml:space="preserve"> (CX)</w:t>
      </w:r>
      <w:r w:rsidRPr="00703A0B">
        <w:t xml:space="preserve"> Strategy 2024–2027 provides a framework for improving how customers engage with the organisation and supports a consistent, customer-centred approach to service delivery. Developed through consultation with customers, staff and industry stakeholders, the strategy focuses on strengthening customer understanding, improving communication and ensuring services are accessible, responsive and easy to navigate.</w:t>
      </w:r>
    </w:p>
    <w:p w14:paraId="6C8E6A19" w14:textId="77777777" w:rsidR="00466E77" w:rsidRPr="00703A0B" w:rsidRDefault="00466E77" w:rsidP="00466E77">
      <w:pPr>
        <w:spacing w:before="120" w:after="120"/>
      </w:pPr>
      <w:r w:rsidRPr="00703A0B">
        <w:t xml:space="preserve">The strategy is underpinned by five focus areas: </w:t>
      </w:r>
    </w:p>
    <w:p w14:paraId="347F22F0" w14:textId="77777777" w:rsidR="005973B9" w:rsidRPr="00703A0B" w:rsidDel="008057E5" w:rsidRDefault="005973B9" w:rsidP="00A836CF">
      <w:pPr>
        <w:pStyle w:val="ListParagraph"/>
        <w:numPr>
          <w:ilvl w:val="0"/>
          <w:numId w:val="18"/>
        </w:numPr>
        <w:spacing w:before="120" w:after="120"/>
        <w:contextualSpacing w:val="0"/>
        <w:rPr>
          <w:rFonts w:cs="Arial"/>
          <w:szCs w:val="22"/>
        </w:rPr>
      </w:pPr>
      <w:r w:rsidRPr="00703A0B" w:rsidDel="008057E5">
        <w:rPr>
          <w:rFonts w:cs="Arial"/>
          <w:b/>
          <w:bCs/>
          <w:szCs w:val="22"/>
        </w:rPr>
        <w:t>Learn from customers:</w:t>
      </w:r>
      <w:r w:rsidRPr="00703A0B" w:rsidDel="008057E5">
        <w:rPr>
          <w:rFonts w:cs="Arial"/>
          <w:szCs w:val="22"/>
        </w:rPr>
        <w:t xml:space="preserve"> Gather insights to better understand customer needs and their experience.</w:t>
      </w:r>
    </w:p>
    <w:p w14:paraId="0C6C26C3" w14:textId="77777777" w:rsidR="005973B9" w:rsidRPr="00703A0B" w:rsidDel="008057E5" w:rsidRDefault="005973B9" w:rsidP="00A836CF">
      <w:pPr>
        <w:pStyle w:val="ListParagraph"/>
        <w:numPr>
          <w:ilvl w:val="0"/>
          <w:numId w:val="18"/>
        </w:numPr>
        <w:spacing w:before="120" w:after="120"/>
        <w:contextualSpacing w:val="0"/>
        <w:rPr>
          <w:rFonts w:cs="Arial"/>
          <w:szCs w:val="22"/>
        </w:rPr>
      </w:pPr>
      <w:r w:rsidRPr="00703A0B" w:rsidDel="008057E5">
        <w:rPr>
          <w:rFonts w:cs="Arial"/>
          <w:b/>
          <w:bCs/>
          <w:szCs w:val="22"/>
        </w:rPr>
        <w:t>Put customers first:</w:t>
      </w:r>
      <w:r w:rsidRPr="00703A0B" w:rsidDel="008057E5">
        <w:rPr>
          <w:rFonts w:cs="Arial"/>
          <w:szCs w:val="22"/>
        </w:rPr>
        <w:t xml:space="preserve"> Develop a culture where customer needs guide decision and action across all teams.</w:t>
      </w:r>
    </w:p>
    <w:p w14:paraId="2C17BB97" w14:textId="77777777" w:rsidR="005973B9" w:rsidRPr="00703A0B" w:rsidDel="008057E5" w:rsidRDefault="005973B9" w:rsidP="00A836CF">
      <w:pPr>
        <w:pStyle w:val="ListParagraph"/>
        <w:numPr>
          <w:ilvl w:val="0"/>
          <w:numId w:val="18"/>
        </w:numPr>
        <w:spacing w:before="120" w:after="120"/>
        <w:contextualSpacing w:val="0"/>
        <w:rPr>
          <w:rFonts w:cs="Arial"/>
          <w:szCs w:val="22"/>
        </w:rPr>
      </w:pPr>
      <w:r w:rsidRPr="00703A0B" w:rsidDel="008057E5">
        <w:rPr>
          <w:rFonts w:cs="Arial"/>
          <w:b/>
          <w:bCs/>
          <w:szCs w:val="22"/>
        </w:rPr>
        <w:lastRenderedPageBreak/>
        <w:t>Make impactful improvements:</w:t>
      </w:r>
      <w:r w:rsidRPr="00703A0B" w:rsidDel="008057E5">
        <w:rPr>
          <w:rFonts w:cs="Arial"/>
          <w:szCs w:val="22"/>
        </w:rPr>
        <w:t xml:space="preserve"> Design and prioritise changes that simplify processes and improve clarity for customers.</w:t>
      </w:r>
    </w:p>
    <w:p w14:paraId="258464E7" w14:textId="77777777" w:rsidR="005973B9" w:rsidRPr="00703A0B" w:rsidDel="008057E5" w:rsidRDefault="005973B9" w:rsidP="00A836CF">
      <w:pPr>
        <w:pStyle w:val="ListParagraph"/>
        <w:numPr>
          <w:ilvl w:val="0"/>
          <w:numId w:val="18"/>
        </w:numPr>
        <w:spacing w:before="120" w:after="120"/>
        <w:contextualSpacing w:val="0"/>
        <w:rPr>
          <w:rFonts w:cs="Arial"/>
          <w:szCs w:val="22"/>
        </w:rPr>
      </w:pPr>
      <w:r w:rsidRPr="00703A0B" w:rsidDel="008057E5">
        <w:rPr>
          <w:rFonts w:cs="Arial"/>
          <w:b/>
          <w:bCs/>
          <w:szCs w:val="22"/>
        </w:rPr>
        <w:t>Support CX with technology:</w:t>
      </w:r>
      <w:r w:rsidRPr="00703A0B" w:rsidDel="008057E5">
        <w:rPr>
          <w:rFonts w:cs="Arial"/>
          <w:szCs w:val="22"/>
        </w:rPr>
        <w:t xml:space="preserve"> Enhance tools, systems and processes to deliver smooth, reliable and user-friendly experiences.</w:t>
      </w:r>
    </w:p>
    <w:p w14:paraId="631FAB9C" w14:textId="77777777" w:rsidR="005973B9" w:rsidRPr="00703A0B" w:rsidDel="008057E5" w:rsidRDefault="005973B9" w:rsidP="00A836CF">
      <w:pPr>
        <w:pStyle w:val="ListParagraph"/>
        <w:numPr>
          <w:ilvl w:val="0"/>
          <w:numId w:val="18"/>
        </w:numPr>
        <w:spacing w:before="120" w:after="120"/>
        <w:rPr>
          <w:rFonts w:cs="Arial"/>
        </w:rPr>
      </w:pPr>
      <w:r w:rsidRPr="00703A0B" w:rsidDel="008057E5">
        <w:rPr>
          <w:rFonts w:cs="Arial"/>
          <w:b/>
        </w:rPr>
        <w:t>Strengthen governance and leadership:</w:t>
      </w:r>
      <w:r w:rsidRPr="00703A0B" w:rsidDel="008057E5">
        <w:rPr>
          <w:rFonts w:cs="Arial"/>
        </w:rPr>
        <w:t xml:space="preserve"> Build leadership capability, improve reporting and support staff to deliver consistently high service standards.  </w:t>
      </w:r>
    </w:p>
    <w:p w14:paraId="1DA359DE" w14:textId="77777777" w:rsidR="009922C6" w:rsidRPr="00703A0B" w:rsidRDefault="0047104D" w:rsidP="000D0A29">
      <w:pPr>
        <w:spacing w:before="120" w:after="120"/>
      </w:pPr>
      <w:r w:rsidRPr="00703A0B">
        <w:t>Together, these priorities</w:t>
      </w:r>
      <w:r w:rsidR="00475FC7" w:rsidRPr="00703A0B">
        <w:t xml:space="preserve"> supported </w:t>
      </w:r>
      <w:r w:rsidR="001816EF" w:rsidRPr="00703A0B">
        <w:t>continuous improvement across the organisation</w:t>
      </w:r>
      <w:r w:rsidRPr="00703A0B">
        <w:t xml:space="preserve"> </w:t>
      </w:r>
      <w:r w:rsidR="008E5834" w:rsidRPr="00703A0B">
        <w:t>in 2025–26</w:t>
      </w:r>
      <w:r w:rsidR="00475FC7" w:rsidRPr="00703A0B">
        <w:t xml:space="preserve">, contributing </w:t>
      </w:r>
      <w:r w:rsidR="009922C6" w:rsidRPr="00703A0B">
        <w:t xml:space="preserve">to </w:t>
      </w:r>
      <w:r w:rsidR="001816EF" w:rsidRPr="00703A0B">
        <w:t>clearer communication, more efficient services and better customer outcomes</w:t>
      </w:r>
      <w:r w:rsidR="008E5834" w:rsidRPr="00703A0B">
        <w:t>.</w:t>
      </w:r>
      <w:r w:rsidR="00473E31" w:rsidRPr="00703A0B">
        <w:t xml:space="preserve"> </w:t>
      </w:r>
    </w:p>
    <w:p w14:paraId="5198C3FA" w14:textId="466AB98B" w:rsidR="00F83D92" w:rsidRPr="00703A0B" w:rsidRDefault="00F83D92" w:rsidP="000D0A29">
      <w:pPr>
        <w:spacing w:before="120" w:after="120"/>
      </w:pPr>
      <w:r w:rsidRPr="00703A0B">
        <w:t xml:space="preserve">During the year, the QBCC delivered 26 </w:t>
      </w:r>
      <w:r w:rsidR="00F50F94" w:rsidRPr="00703A0B">
        <w:t>c</w:t>
      </w:r>
      <w:r w:rsidRPr="00703A0B">
        <w:t xml:space="preserve">ustomer </w:t>
      </w:r>
      <w:r w:rsidR="00F50F94" w:rsidRPr="00703A0B">
        <w:t>e</w:t>
      </w:r>
      <w:r w:rsidRPr="00703A0B">
        <w:t>xperience initiatives</w:t>
      </w:r>
      <w:r w:rsidR="00F50F94" w:rsidRPr="00703A0B">
        <w:t xml:space="preserve"> </w:t>
      </w:r>
      <w:r w:rsidR="00024944" w:rsidRPr="00703A0B">
        <w:t>aimed at</w:t>
      </w:r>
      <w:r w:rsidRPr="00703A0B">
        <w:t xml:space="preserve"> strengthen</w:t>
      </w:r>
      <w:r w:rsidR="00024944" w:rsidRPr="00703A0B">
        <w:t>ing</w:t>
      </w:r>
      <w:r w:rsidR="00F664C0" w:rsidRPr="00703A0B">
        <w:t xml:space="preserve"> </w:t>
      </w:r>
      <w:r w:rsidR="008340C9" w:rsidRPr="00703A0B">
        <w:t>customer-</w:t>
      </w:r>
      <w:r w:rsidR="00024944" w:rsidRPr="00703A0B">
        <w:t>centric</w:t>
      </w:r>
      <w:r w:rsidR="008340C9" w:rsidRPr="00703A0B">
        <w:t xml:space="preserve"> </w:t>
      </w:r>
      <w:r w:rsidRPr="00703A0B">
        <w:t xml:space="preserve">capability, </w:t>
      </w:r>
      <w:r w:rsidR="00A47267" w:rsidRPr="00703A0B">
        <w:t xml:space="preserve">enhancing </w:t>
      </w:r>
      <w:r w:rsidRPr="00703A0B">
        <w:t xml:space="preserve">accountability and </w:t>
      </w:r>
      <w:r w:rsidR="00A47267" w:rsidRPr="00703A0B">
        <w:t xml:space="preserve">integrating </w:t>
      </w:r>
      <w:r w:rsidRPr="00703A0B">
        <w:t xml:space="preserve">the use of customer insights </w:t>
      </w:r>
      <w:r w:rsidR="0041396D" w:rsidRPr="00703A0B">
        <w:t>across the organisation</w:t>
      </w:r>
      <w:r w:rsidRPr="00703A0B">
        <w:t xml:space="preserve">. Key achievements included embedding customer experience measures into performance reporting, increasing organisational CX maturity, enhancing </w:t>
      </w:r>
      <w:r w:rsidR="001937C2" w:rsidRPr="00703A0B">
        <w:t>engagement w</w:t>
      </w:r>
      <w:r w:rsidR="00176CAE" w:rsidRPr="00703A0B">
        <w:t>i</w:t>
      </w:r>
      <w:r w:rsidR="001937C2" w:rsidRPr="00703A0B">
        <w:t xml:space="preserve">th </w:t>
      </w:r>
      <w:r w:rsidRPr="00703A0B">
        <w:t>customer</w:t>
      </w:r>
      <w:r w:rsidR="001937C2" w:rsidRPr="00703A0B">
        <w:t>s</w:t>
      </w:r>
      <w:r w:rsidRPr="00703A0B">
        <w:t xml:space="preserve"> and industry</w:t>
      </w:r>
      <w:r w:rsidR="001937C2" w:rsidRPr="00703A0B">
        <w:t xml:space="preserve">, </w:t>
      </w:r>
      <w:r w:rsidRPr="00703A0B">
        <w:t xml:space="preserve">and improving access to information and digital services through </w:t>
      </w:r>
      <w:r w:rsidR="00BA77BA" w:rsidRPr="00703A0B">
        <w:t xml:space="preserve">enhancements </w:t>
      </w:r>
      <w:r w:rsidR="001937C2" w:rsidRPr="00703A0B">
        <w:t xml:space="preserve">to the QBCC </w:t>
      </w:r>
      <w:r w:rsidRPr="00703A0B">
        <w:t xml:space="preserve">website, portal and licensing upgrades. These initiatives contributed to </w:t>
      </w:r>
      <w:r w:rsidR="00577613" w:rsidRPr="00703A0B">
        <w:t xml:space="preserve">improved </w:t>
      </w:r>
      <w:r w:rsidRPr="00703A0B">
        <w:t>customer confidence</w:t>
      </w:r>
      <w:r w:rsidR="00577613" w:rsidRPr="00703A0B">
        <w:t xml:space="preserve"> and provided greater insight into customer needs</w:t>
      </w:r>
      <w:r w:rsidR="00950308" w:rsidRPr="00703A0B">
        <w:t xml:space="preserve">. </w:t>
      </w:r>
      <w:r w:rsidR="00591389" w:rsidRPr="00703A0B">
        <w:t xml:space="preserve">Customer insights </w:t>
      </w:r>
      <w:r w:rsidR="00A158B5" w:rsidRPr="00703A0B">
        <w:t xml:space="preserve">also </w:t>
      </w:r>
      <w:r w:rsidR="008027B7" w:rsidRPr="00703A0B">
        <w:t>identif</w:t>
      </w:r>
      <w:r w:rsidR="00A158B5" w:rsidRPr="00703A0B">
        <w:t xml:space="preserve">ied </w:t>
      </w:r>
      <w:r w:rsidR="008027B7" w:rsidRPr="00703A0B">
        <w:t xml:space="preserve">property owners involved in disputes as a </w:t>
      </w:r>
      <w:r w:rsidR="0085344B" w:rsidRPr="00703A0B">
        <w:t xml:space="preserve">priority for further </w:t>
      </w:r>
      <w:r w:rsidR="00646CDD" w:rsidRPr="00703A0B">
        <w:t>service improvements, helping to inform the next stage of the QBCC’s</w:t>
      </w:r>
      <w:r w:rsidR="00C16EC3" w:rsidRPr="00703A0B">
        <w:t xml:space="preserve"> customer experience journey</w:t>
      </w:r>
      <w:r w:rsidR="008027B7" w:rsidRPr="00703A0B">
        <w:t>.</w:t>
      </w:r>
    </w:p>
    <w:p w14:paraId="39F98818" w14:textId="77777777" w:rsidR="00581664" w:rsidRPr="00703A0B" w:rsidRDefault="00581664" w:rsidP="00DC0EF0">
      <w:pPr>
        <w:pStyle w:val="Heading4"/>
        <w:rPr>
          <w:rFonts w:eastAsia="MS Mincho" w:cs="Arial"/>
        </w:rPr>
      </w:pPr>
      <w:bookmarkStart w:id="109" w:name="_Digital_improvement_initiatives"/>
      <w:bookmarkEnd w:id="109"/>
      <w:r w:rsidRPr="00703A0B">
        <w:t xml:space="preserve">Digital improvement initiatives </w:t>
      </w:r>
    </w:p>
    <w:p w14:paraId="12630A61" w14:textId="4CC427EE" w:rsidR="00AC36F7" w:rsidRPr="00703A0B" w:rsidRDefault="00AC36F7" w:rsidP="00AC36F7">
      <w:pPr>
        <w:spacing w:before="120" w:after="120"/>
        <w:rPr>
          <w:rFonts w:eastAsia="MS Mincho" w:cs="Arial"/>
        </w:rPr>
      </w:pPr>
      <w:r w:rsidRPr="00703A0B">
        <w:rPr>
          <w:rFonts w:eastAsia="MS Mincho" w:cs="Arial"/>
        </w:rPr>
        <w:t xml:space="preserve">During 2025–26, the QBCC continued to invest in digital initiatives that support operational efficiency and improve customer access to services. </w:t>
      </w:r>
      <w:r w:rsidR="00313AA4" w:rsidRPr="00703A0B">
        <w:rPr>
          <w:rFonts w:eastAsia="MS Mincho" w:cs="Arial"/>
        </w:rPr>
        <w:t>T</w:t>
      </w:r>
      <w:r w:rsidRPr="00703A0B">
        <w:rPr>
          <w:rFonts w:eastAsia="MS Mincho" w:cs="Arial"/>
        </w:rPr>
        <w:t>he organisation progressed several key projects aimed at modernising systems, reducing manual processes and enhancing the customer experience.</w:t>
      </w:r>
    </w:p>
    <w:p w14:paraId="13F850B1" w14:textId="61B3FBF6" w:rsidR="00581664" w:rsidRPr="00703A0B" w:rsidRDefault="00AC36F7" w:rsidP="00581664">
      <w:pPr>
        <w:spacing w:before="120" w:after="120"/>
        <w:rPr>
          <w:rFonts w:eastAsia="MS Mincho"/>
        </w:rPr>
      </w:pPr>
      <w:r w:rsidRPr="00703A0B">
        <w:rPr>
          <w:rFonts w:eastAsia="MS Mincho"/>
        </w:rPr>
        <w:t>Key achievements during the reporting period included:</w:t>
      </w:r>
    </w:p>
    <w:p w14:paraId="44B35CA9" w14:textId="1C3CA291" w:rsidR="00094A25" w:rsidRPr="00703A0B" w:rsidRDefault="00CA582C" w:rsidP="00581664">
      <w:pPr>
        <w:pStyle w:val="ListParagraph"/>
        <w:numPr>
          <w:ilvl w:val="0"/>
          <w:numId w:val="9"/>
        </w:numPr>
        <w:spacing w:before="120" w:after="120"/>
        <w:ind w:left="714" w:hanging="357"/>
        <w:contextualSpacing w:val="0"/>
        <w:rPr>
          <w:rFonts w:eastAsia="MS Mincho"/>
        </w:rPr>
      </w:pPr>
      <w:r w:rsidRPr="00703A0B">
        <w:rPr>
          <w:rFonts w:eastAsia="MS Mincho"/>
          <w:b/>
          <w:bCs/>
        </w:rPr>
        <w:t>Electronic</w:t>
      </w:r>
      <w:r w:rsidR="00DF5208" w:rsidRPr="00703A0B">
        <w:rPr>
          <w:rFonts w:eastAsia="MS Mincho"/>
          <w:b/>
          <w:bCs/>
        </w:rPr>
        <w:t xml:space="preserve"> </w:t>
      </w:r>
      <w:r w:rsidR="004E235F" w:rsidRPr="00703A0B">
        <w:rPr>
          <w:rFonts w:eastAsia="MS Mincho"/>
          <w:b/>
          <w:bCs/>
        </w:rPr>
        <w:t>s</w:t>
      </w:r>
      <w:r w:rsidR="00DF5208" w:rsidRPr="00703A0B">
        <w:rPr>
          <w:rFonts w:eastAsia="MS Mincho"/>
          <w:b/>
          <w:bCs/>
        </w:rPr>
        <w:t xml:space="preserve">ubmission of </w:t>
      </w:r>
      <w:r w:rsidR="004E235F" w:rsidRPr="00703A0B">
        <w:rPr>
          <w:rFonts w:eastAsia="MS Mincho"/>
          <w:b/>
          <w:bCs/>
        </w:rPr>
        <w:t>l</w:t>
      </w:r>
      <w:r w:rsidR="00DF5208" w:rsidRPr="00703A0B">
        <w:rPr>
          <w:rFonts w:eastAsia="MS Mincho"/>
          <w:b/>
          <w:bCs/>
        </w:rPr>
        <w:t>icence</w:t>
      </w:r>
      <w:r w:rsidR="00140A41" w:rsidRPr="00703A0B">
        <w:rPr>
          <w:rFonts w:eastAsia="MS Mincho"/>
          <w:b/>
          <w:bCs/>
        </w:rPr>
        <w:t xml:space="preserve"> </w:t>
      </w:r>
      <w:r w:rsidR="004E235F" w:rsidRPr="00703A0B">
        <w:rPr>
          <w:rFonts w:eastAsia="MS Mincho"/>
          <w:b/>
          <w:bCs/>
        </w:rPr>
        <w:t>a</w:t>
      </w:r>
      <w:r w:rsidR="00140A41" w:rsidRPr="00703A0B">
        <w:rPr>
          <w:rFonts w:eastAsia="MS Mincho"/>
          <w:b/>
          <w:bCs/>
        </w:rPr>
        <w:t>pplications:</w:t>
      </w:r>
      <w:r w:rsidR="00140A41" w:rsidRPr="00703A0B">
        <w:rPr>
          <w:rFonts w:eastAsia="MS Mincho"/>
        </w:rPr>
        <w:t xml:space="preserve"> </w:t>
      </w:r>
      <w:r w:rsidR="005D2A86" w:rsidRPr="00703A0B">
        <w:rPr>
          <w:rFonts w:eastAsia="MS Mincho"/>
        </w:rPr>
        <w:t xml:space="preserve">Introduced </w:t>
      </w:r>
      <w:r w:rsidR="007C688C" w:rsidRPr="00703A0B">
        <w:rPr>
          <w:rFonts w:eastAsia="MS Mincho"/>
        </w:rPr>
        <w:t xml:space="preserve">email </w:t>
      </w:r>
      <w:r w:rsidR="00F107F1" w:rsidRPr="00703A0B">
        <w:rPr>
          <w:rFonts w:eastAsia="MS Mincho"/>
        </w:rPr>
        <w:t xml:space="preserve">submission </w:t>
      </w:r>
      <w:r w:rsidR="00100B31" w:rsidRPr="00703A0B">
        <w:rPr>
          <w:rFonts w:eastAsia="MS Mincho"/>
        </w:rPr>
        <w:t xml:space="preserve">of </w:t>
      </w:r>
      <w:r w:rsidR="00094A25" w:rsidRPr="00703A0B">
        <w:rPr>
          <w:rFonts w:eastAsia="MS Mincho"/>
        </w:rPr>
        <w:t xml:space="preserve">licence applications from 1 </w:t>
      </w:r>
      <w:r w:rsidR="00141AF4" w:rsidRPr="00703A0B">
        <w:rPr>
          <w:rFonts w:eastAsia="MS Mincho"/>
        </w:rPr>
        <w:t>February</w:t>
      </w:r>
      <w:r w:rsidR="00094A25" w:rsidRPr="00703A0B">
        <w:rPr>
          <w:rFonts w:eastAsia="MS Mincho"/>
        </w:rPr>
        <w:t xml:space="preserve"> 2026</w:t>
      </w:r>
      <w:r w:rsidR="00DF679D" w:rsidRPr="00703A0B">
        <w:rPr>
          <w:rFonts w:eastAsia="MS Mincho"/>
        </w:rPr>
        <w:t>,</w:t>
      </w:r>
      <w:r w:rsidR="00100B31" w:rsidRPr="00703A0B">
        <w:rPr>
          <w:rFonts w:eastAsia="MS Mincho"/>
        </w:rPr>
        <w:t xml:space="preserve"> as part of the B</w:t>
      </w:r>
      <w:r w:rsidR="00E713C2" w:rsidRPr="00703A0B">
        <w:rPr>
          <w:rFonts w:eastAsia="MS Mincho"/>
        </w:rPr>
        <w:t xml:space="preserve">uilding </w:t>
      </w:r>
      <w:r w:rsidR="00100B31" w:rsidRPr="00703A0B">
        <w:rPr>
          <w:rFonts w:eastAsia="MS Mincho"/>
        </w:rPr>
        <w:t>R</w:t>
      </w:r>
      <w:r w:rsidR="00E713C2" w:rsidRPr="00703A0B">
        <w:rPr>
          <w:rFonts w:eastAsia="MS Mincho"/>
        </w:rPr>
        <w:t xml:space="preserve">eg </w:t>
      </w:r>
      <w:r w:rsidR="00100B31" w:rsidRPr="00703A0B">
        <w:rPr>
          <w:rFonts w:eastAsia="MS Mincho"/>
        </w:rPr>
        <w:t>R</w:t>
      </w:r>
      <w:r w:rsidR="00E713C2" w:rsidRPr="00703A0B">
        <w:rPr>
          <w:rFonts w:eastAsia="MS Mincho"/>
        </w:rPr>
        <w:t xml:space="preserve">eno </w:t>
      </w:r>
      <w:r w:rsidR="00802F33" w:rsidRPr="00703A0B">
        <w:rPr>
          <w:rFonts w:eastAsia="MS Mincho"/>
        </w:rPr>
        <w:t>(</w:t>
      </w:r>
      <w:r w:rsidR="00094A25" w:rsidRPr="00703A0B">
        <w:rPr>
          <w:rFonts w:eastAsia="MS Mincho"/>
        </w:rPr>
        <w:t>Tranche 3</w:t>
      </w:r>
      <w:r w:rsidR="00802F33" w:rsidRPr="00703A0B">
        <w:rPr>
          <w:rFonts w:eastAsia="MS Mincho"/>
        </w:rPr>
        <w:t xml:space="preserve">). By </w:t>
      </w:r>
      <w:r w:rsidR="00B21388" w:rsidRPr="00703A0B">
        <w:rPr>
          <w:rFonts w:eastAsia="MS Mincho"/>
        </w:rPr>
        <w:t xml:space="preserve">the end of the reporting period, </w:t>
      </w:r>
      <w:r w:rsidR="00094A25" w:rsidRPr="00703A0B">
        <w:rPr>
          <w:rFonts w:eastAsia="MS Mincho"/>
        </w:rPr>
        <w:t>40</w:t>
      </w:r>
      <w:r w:rsidR="00615410" w:rsidRPr="00703A0B">
        <w:rPr>
          <w:rFonts w:eastAsia="MS Mincho"/>
        </w:rPr>
        <w:t xml:space="preserve"> per cent</w:t>
      </w:r>
      <w:r w:rsidR="00094A25" w:rsidRPr="00703A0B">
        <w:rPr>
          <w:rFonts w:eastAsia="MS Mincho"/>
        </w:rPr>
        <w:t xml:space="preserve"> </w:t>
      </w:r>
      <w:r w:rsidR="008E19BE" w:rsidRPr="00703A0B">
        <w:rPr>
          <w:rFonts w:eastAsia="MS Mincho"/>
        </w:rPr>
        <w:t xml:space="preserve">of applications were received </w:t>
      </w:r>
      <w:r w:rsidR="008F508F" w:rsidRPr="00703A0B">
        <w:rPr>
          <w:rFonts w:eastAsia="MS Mincho"/>
        </w:rPr>
        <w:t xml:space="preserve">through email, </w:t>
      </w:r>
      <w:r w:rsidR="00094A25" w:rsidRPr="00703A0B">
        <w:rPr>
          <w:rFonts w:eastAsia="MS Mincho"/>
        </w:rPr>
        <w:t>improving</w:t>
      </w:r>
      <w:r w:rsidR="00615410" w:rsidRPr="00703A0B">
        <w:rPr>
          <w:rFonts w:eastAsia="MS Mincho"/>
        </w:rPr>
        <w:t xml:space="preserve"> </w:t>
      </w:r>
      <w:r w:rsidR="008F508F" w:rsidRPr="00703A0B">
        <w:rPr>
          <w:rFonts w:eastAsia="MS Mincho"/>
        </w:rPr>
        <w:t xml:space="preserve">application </w:t>
      </w:r>
      <w:r w:rsidR="00094A25" w:rsidRPr="00703A0B">
        <w:rPr>
          <w:rFonts w:eastAsia="MS Mincho"/>
        </w:rPr>
        <w:t>quality</w:t>
      </w:r>
      <w:r w:rsidR="008F508F" w:rsidRPr="00703A0B">
        <w:rPr>
          <w:rFonts w:eastAsia="MS Mincho"/>
        </w:rPr>
        <w:t xml:space="preserve">, </w:t>
      </w:r>
      <w:r w:rsidR="00094A25" w:rsidRPr="00703A0B">
        <w:rPr>
          <w:rFonts w:eastAsia="MS Mincho"/>
        </w:rPr>
        <w:t xml:space="preserve">reducing manual handling and </w:t>
      </w:r>
      <w:r w:rsidR="008318D8" w:rsidRPr="00703A0B">
        <w:rPr>
          <w:rFonts w:eastAsia="MS Mincho"/>
        </w:rPr>
        <w:t xml:space="preserve">decreasing </w:t>
      </w:r>
      <w:r w:rsidR="00094A25" w:rsidRPr="00703A0B">
        <w:rPr>
          <w:rFonts w:eastAsia="MS Mincho"/>
        </w:rPr>
        <w:t xml:space="preserve">paper, postage and </w:t>
      </w:r>
      <w:r w:rsidR="008318D8" w:rsidRPr="00703A0B">
        <w:rPr>
          <w:rFonts w:eastAsia="MS Mincho"/>
        </w:rPr>
        <w:t xml:space="preserve">processing </w:t>
      </w:r>
      <w:r w:rsidR="00094A25" w:rsidRPr="00703A0B">
        <w:rPr>
          <w:rFonts w:eastAsia="MS Mincho"/>
        </w:rPr>
        <w:t>time</w:t>
      </w:r>
      <w:r w:rsidR="009D4158" w:rsidRPr="00703A0B">
        <w:rPr>
          <w:rFonts w:eastAsia="MS Mincho"/>
        </w:rPr>
        <w:t>s</w:t>
      </w:r>
      <w:r w:rsidR="00094A25" w:rsidRPr="00703A0B">
        <w:rPr>
          <w:rFonts w:eastAsia="MS Mincho"/>
        </w:rPr>
        <w:t xml:space="preserve"> for licensees.</w:t>
      </w:r>
    </w:p>
    <w:p w14:paraId="7C9960F1" w14:textId="090EC554" w:rsidR="00581664" w:rsidRPr="00703A0B" w:rsidRDefault="00E131AF" w:rsidP="00581664">
      <w:pPr>
        <w:pStyle w:val="ListParagraph"/>
        <w:numPr>
          <w:ilvl w:val="0"/>
          <w:numId w:val="9"/>
        </w:numPr>
        <w:spacing w:before="120" w:after="120"/>
        <w:ind w:left="714" w:hanging="357"/>
        <w:contextualSpacing w:val="0"/>
        <w:rPr>
          <w:rFonts w:eastAsia="MS Mincho"/>
        </w:rPr>
      </w:pPr>
      <w:r w:rsidRPr="00703A0B">
        <w:rPr>
          <w:rFonts w:eastAsia="MS Mincho"/>
          <w:b/>
          <w:bCs/>
        </w:rPr>
        <w:t xml:space="preserve">Online </w:t>
      </w:r>
      <w:r w:rsidR="009D4158" w:rsidRPr="00703A0B">
        <w:rPr>
          <w:rFonts w:eastAsia="MS Mincho"/>
          <w:b/>
          <w:bCs/>
        </w:rPr>
        <w:t>c</w:t>
      </w:r>
      <w:r w:rsidR="00581664" w:rsidRPr="00703A0B">
        <w:rPr>
          <w:rFonts w:eastAsia="MS Mincho"/>
          <w:b/>
          <w:bCs/>
        </w:rPr>
        <w:t xml:space="preserve">ustomer </w:t>
      </w:r>
      <w:r w:rsidR="009D4158" w:rsidRPr="00703A0B">
        <w:rPr>
          <w:rFonts w:eastAsia="MS Mincho"/>
          <w:b/>
          <w:bCs/>
        </w:rPr>
        <w:t>p</w:t>
      </w:r>
      <w:r w:rsidR="00581664" w:rsidRPr="00703A0B">
        <w:rPr>
          <w:rFonts w:eastAsia="MS Mincho"/>
          <w:b/>
          <w:bCs/>
        </w:rPr>
        <w:t>ortal:</w:t>
      </w:r>
      <w:r w:rsidR="00581664" w:rsidRPr="00703A0B">
        <w:rPr>
          <w:rFonts w:eastAsia="MS Mincho"/>
        </w:rPr>
        <w:t xml:space="preserve"> </w:t>
      </w:r>
      <w:r w:rsidR="00622677" w:rsidRPr="00703A0B">
        <w:rPr>
          <w:rFonts w:eastAsia="MS Mincho"/>
        </w:rPr>
        <w:t xml:space="preserve">Launched </w:t>
      </w:r>
      <w:r w:rsidR="00D05F3E" w:rsidRPr="00703A0B">
        <w:rPr>
          <w:rFonts w:eastAsia="MS Mincho"/>
        </w:rPr>
        <w:t>the first phase of the new QBCC P</w:t>
      </w:r>
      <w:r w:rsidR="00581664" w:rsidRPr="00703A0B">
        <w:rPr>
          <w:rFonts w:eastAsia="MS Mincho"/>
        </w:rPr>
        <w:t>ortal</w:t>
      </w:r>
      <w:r w:rsidR="006C36B7" w:rsidRPr="00703A0B">
        <w:rPr>
          <w:rFonts w:eastAsia="MS Mincho"/>
        </w:rPr>
        <w:t xml:space="preserve"> on 12 June 2026</w:t>
      </w:r>
      <w:r w:rsidR="004D4945" w:rsidRPr="00703A0B">
        <w:rPr>
          <w:rFonts w:eastAsia="MS Mincho"/>
        </w:rPr>
        <w:t>, providing customers with the ability to submit</w:t>
      </w:r>
      <w:r w:rsidR="00401630" w:rsidRPr="00703A0B">
        <w:rPr>
          <w:rFonts w:eastAsia="MS Mincho"/>
        </w:rPr>
        <w:t xml:space="preserve"> </w:t>
      </w:r>
      <w:r w:rsidR="009D4158" w:rsidRPr="00703A0B">
        <w:rPr>
          <w:rFonts w:eastAsia="MS Mincho"/>
        </w:rPr>
        <w:t>O</w:t>
      </w:r>
      <w:r w:rsidR="00401630" w:rsidRPr="00703A0B">
        <w:rPr>
          <w:rFonts w:eastAsia="MS Mincho"/>
        </w:rPr>
        <w:t xml:space="preserve">wner-builder </w:t>
      </w:r>
      <w:r w:rsidR="009D4158" w:rsidRPr="00703A0B">
        <w:rPr>
          <w:rFonts w:eastAsia="MS Mincho"/>
        </w:rPr>
        <w:t xml:space="preserve">permit </w:t>
      </w:r>
      <w:r w:rsidR="00401630" w:rsidRPr="00703A0B">
        <w:rPr>
          <w:rFonts w:eastAsia="MS Mincho"/>
        </w:rPr>
        <w:t xml:space="preserve">applications </w:t>
      </w:r>
      <w:r w:rsidR="00726559" w:rsidRPr="00703A0B">
        <w:rPr>
          <w:rFonts w:eastAsia="MS Mincho"/>
        </w:rPr>
        <w:t xml:space="preserve">online, track </w:t>
      </w:r>
      <w:r w:rsidR="00574E5D" w:rsidRPr="00703A0B">
        <w:rPr>
          <w:rFonts w:eastAsia="MS Mincho"/>
        </w:rPr>
        <w:t xml:space="preserve">application </w:t>
      </w:r>
      <w:r w:rsidR="00726559" w:rsidRPr="00703A0B">
        <w:rPr>
          <w:rFonts w:eastAsia="MS Mincho"/>
        </w:rPr>
        <w:t>progress</w:t>
      </w:r>
      <w:r w:rsidR="00574E5D" w:rsidRPr="00703A0B">
        <w:rPr>
          <w:rFonts w:eastAsia="MS Mincho"/>
        </w:rPr>
        <w:t xml:space="preserve"> and access a more streamlined digital service </w:t>
      </w:r>
      <w:r w:rsidR="006C36B7" w:rsidRPr="00703A0B">
        <w:rPr>
          <w:rFonts w:eastAsia="MS Mincho"/>
        </w:rPr>
        <w:t>experience</w:t>
      </w:r>
      <w:r w:rsidR="005A732C" w:rsidRPr="00703A0B">
        <w:rPr>
          <w:rFonts w:eastAsia="MS Mincho"/>
        </w:rPr>
        <w:t>.</w:t>
      </w:r>
    </w:p>
    <w:p w14:paraId="23290A58" w14:textId="015ECAE1" w:rsidR="00581664" w:rsidRPr="00703A0B" w:rsidRDefault="00581664" w:rsidP="00581664">
      <w:pPr>
        <w:pStyle w:val="ListParagraph"/>
        <w:numPr>
          <w:ilvl w:val="0"/>
          <w:numId w:val="9"/>
        </w:numPr>
        <w:spacing w:before="120" w:after="120"/>
        <w:ind w:left="714" w:hanging="357"/>
        <w:contextualSpacing w:val="0"/>
        <w:rPr>
          <w:rFonts w:eastAsia="MS Mincho"/>
        </w:rPr>
      </w:pPr>
      <w:r w:rsidRPr="00703A0B">
        <w:rPr>
          <w:rFonts w:eastAsia="MS Mincho"/>
          <w:b/>
          <w:bCs/>
        </w:rPr>
        <w:t xml:space="preserve">Digital </w:t>
      </w:r>
      <w:r w:rsidR="00706765" w:rsidRPr="00703A0B">
        <w:rPr>
          <w:rFonts w:eastAsia="MS Mincho"/>
          <w:b/>
          <w:bCs/>
        </w:rPr>
        <w:t>f</w:t>
      </w:r>
      <w:r w:rsidRPr="00703A0B">
        <w:rPr>
          <w:rFonts w:eastAsia="MS Mincho"/>
          <w:b/>
          <w:bCs/>
        </w:rPr>
        <w:t>orms:</w:t>
      </w:r>
      <w:r w:rsidRPr="00703A0B">
        <w:rPr>
          <w:rFonts w:eastAsia="MS Mincho"/>
        </w:rPr>
        <w:t xml:space="preserve"> Delivered key digital forms and workflows</w:t>
      </w:r>
      <w:r w:rsidR="00AE2B9F" w:rsidRPr="00703A0B">
        <w:rPr>
          <w:rFonts w:eastAsia="MS Mincho"/>
        </w:rPr>
        <w:t xml:space="preserve"> that </w:t>
      </w:r>
      <w:r w:rsidR="00BB39EB" w:rsidRPr="00703A0B">
        <w:rPr>
          <w:rFonts w:eastAsia="MS Mincho"/>
        </w:rPr>
        <w:t>streamlined</w:t>
      </w:r>
      <w:r w:rsidR="004864A2" w:rsidRPr="00703A0B">
        <w:rPr>
          <w:rFonts w:eastAsia="MS Mincho"/>
        </w:rPr>
        <w:t xml:space="preserve"> 75 manual forms into six intuitive digital </w:t>
      </w:r>
      <w:r w:rsidR="00BB39EB" w:rsidRPr="00703A0B">
        <w:rPr>
          <w:rFonts w:eastAsia="MS Mincho"/>
        </w:rPr>
        <w:t>processes</w:t>
      </w:r>
      <w:r w:rsidRPr="00703A0B">
        <w:rPr>
          <w:rFonts w:eastAsia="MS Mincho"/>
        </w:rPr>
        <w:t xml:space="preserve">, </w:t>
      </w:r>
      <w:r w:rsidR="00706765" w:rsidRPr="00703A0B">
        <w:rPr>
          <w:rFonts w:eastAsia="MS Mincho"/>
        </w:rPr>
        <w:t xml:space="preserve">resulting in </w:t>
      </w:r>
      <w:r w:rsidRPr="00703A0B">
        <w:rPr>
          <w:rFonts w:eastAsia="MS Mincho"/>
        </w:rPr>
        <w:t>reduc</w:t>
      </w:r>
      <w:r w:rsidR="00706765" w:rsidRPr="00703A0B">
        <w:rPr>
          <w:rFonts w:eastAsia="MS Mincho"/>
        </w:rPr>
        <w:t xml:space="preserve">ed </w:t>
      </w:r>
      <w:r w:rsidRPr="00703A0B">
        <w:rPr>
          <w:rFonts w:eastAsia="MS Mincho"/>
        </w:rPr>
        <w:t xml:space="preserve">manual </w:t>
      </w:r>
      <w:r w:rsidR="00384016" w:rsidRPr="00703A0B">
        <w:rPr>
          <w:rFonts w:eastAsia="MS Mincho"/>
        </w:rPr>
        <w:t xml:space="preserve">effort, </w:t>
      </w:r>
      <w:r w:rsidRPr="00703A0B">
        <w:rPr>
          <w:rFonts w:eastAsia="MS Mincho"/>
        </w:rPr>
        <w:t>improv</w:t>
      </w:r>
      <w:r w:rsidR="00706765" w:rsidRPr="00703A0B">
        <w:rPr>
          <w:rFonts w:eastAsia="MS Mincho"/>
        </w:rPr>
        <w:t>ed</w:t>
      </w:r>
      <w:r w:rsidRPr="00703A0B">
        <w:rPr>
          <w:rFonts w:eastAsia="MS Mincho"/>
        </w:rPr>
        <w:t xml:space="preserve"> data quality</w:t>
      </w:r>
      <w:r w:rsidR="00384016" w:rsidRPr="00703A0B">
        <w:rPr>
          <w:rFonts w:eastAsia="MS Mincho"/>
        </w:rPr>
        <w:t xml:space="preserve"> and enhanc</w:t>
      </w:r>
      <w:r w:rsidR="00706765" w:rsidRPr="00703A0B">
        <w:rPr>
          <w:rFonts w:eastAsia="MS Mincho"/>
        </w:rPr>
        <w:t xml:space="preserve">ed </w:t>
      </w:r>
      <w:r w:rsidR="00384016" w:rsidRPr="00703A0B">
        <w:rPr>
          <w:rFonts w:eastAsia="MS Mincho"/>
        </w:rPr>
        <w:t>the customer experience</w:t>
      </w:r>
      <w:r w:rsidRPr="00703A0B">
        <w:rPr>
          <w:rFonts w:eastAsia="MS Mincho"/>
        </w:rPr>
        <w:t>.</w:t>
      </w:r>
    </w:p>
    <w:p w14:paraId="56D3664A" w14:textId="693F004F" w:rsidR="000D6F2C" w:rsidRPr="00703A0B" w:rsidRDefault="000D6F2C" w:rsidP="009625F4">
      <w:pPr>
        <w:pStyle w:val="ListParagraph"/>
        <w:numPr>
          <w:ilvl w:val="0"/>
          <w:numId w:val="9"/>
        </w:numPr>
        <w:spacing w:before="120" w:after="120"/>
        <w:ind w:left="714" w:hanging="357"/>
        <w:contextualSpacing w:val="0"/>
        <w:rPr>
          <w:rFonts w:eastAsia="MS Mincho"/>
          <w:b/>
          <w:strike/>
        </w:rPr>
      </w:pPr>
      <w:r w:rsidRPr="00703A0B">
        <w:rPr>
          <w:rFonts w:eastAsia="MS Mincho"/>
          <w:b/>
          <w:bCs/>
        </w:rPr>
        <w:t>Q</w:t>
      </w:r>
      <w:r w:rsidR="00173889" w:rsidRPr="00703A0B">
        <w:rPr>
          <w:rFonts w:eastAsia="MS Mincho"/>
          <w:b/>
          <w:bCs/>
        </w:rPr>
        <w:t>ueensland</w:t>
      </w:r>
      <w:r w:rsidRPr="00703A0B">
        <w:rPr>
          <w:rFonts w:eastAsia="MS Mincho"/>
          <w:b/>
          <w:bCs/>
        </w:rPr>
        <w:t xml:space="preserve"> </w:t>
      </w:r>
      <w:r w:rsidR="00E50496" w:rsidRPr="00703A0B">
        <w:rPr>
          <w:rFonts w:eastAsia="MS Mincho"/>
          <w:b/>
          <w:bCs/>
        </w:rPr>
        <w:t>d</w:t>
      </w:r>
      <w:r w:rsidRPr="00703A0B">
        <w:rPr>
          <w:rFonts w:eastAsia="MS Mincho"/>
          <w:b/>
          <w:bCs/>
        </w:rPr>
        <w:t xml:space="preserve">igital </w:t>
      </w:r>
      <w:r w:rsidR="00E50496" w:rsidRPr="00703A0B">
        <w:rPr>
          <w:rFonts w:eastAsia="MS Mincho"/>
          <w:b/>
          <w:bCs/>
        </w:rPr>
        <w:t>l</w:t>
      </w:r>
      <w:r w:rsidRPr="00703A0B">
        <w:rPr>
          <w:rFonts w:eastAsia="MS Mincho"/>
          <w:b/>
          <w:bCs/>
        </w:rPr>
        <w:t xml:space="preserve">icence </w:t>
      </w:r>
      <w:r w:rsidR="00E50496" w:rsidRPr="00703A0B">
        <w:rPr>
          <w:rFonts w:eastAsia="MS Mincho"/>
          <w:b/>
          <w:bCs/>
        </w:rPr>
        <w:t>m</w:t>
      </w:r>
      <w:r w:rsidR="00336D85" w:rsidRPr="00703A0B">
        <w:rPr>
          <w:rFonts w:eastAsia="MS Mincho"/>
          <w:b/>
          <w:bCs/>
        </w:rPr>
        <w:t>obile</w:t>
      </w:r>
      <w:r w:rsidRPr="00703A0B">
        <w:rPr>
          <w:rFonts w:eastAsia="MS Mincho"/>
          <w:b/>
          <w:bCs/>
        </w:rPr>
        <w:t xml:space="preserve"> </w:t>
      </w:r>
      <w:r w:rsidR="00E50496" w:rsidRPr="00703A0B">
        <w:rPr>
          <w:rFonts w:eastAsia="MS Mincho"/>
          <w:b/>
          <w:bCs/>
        </w:rPr>
        <w:t>a</w:t>
      </w:r>
      <w:r w:rsidRPr="00703A0B">
        <w:rPr>
          <w:rFonts w:eastAsia="MS Mincho"/>
          <w:b/>
          <w:bCs/>
        </w:rPr>
        <w:t>pplication:</w:t>
      </w:r>
      <w:r w:rsidR="008F7098" w:rsidRPr="00703A0B">
        <w:rPr>
          <w:rFonts w:eastAsia="MS Mincho"/>
        </w:rPr>
        <w:t xml:space="preserve"> </w:t>
      </w:r>
      <w:r w:rsidR="00DF6B1A" w:rsidRPr="00703A0B">
        <w:rPr>
          <w:rFonts w:eastAsia="MS Mincho"/>
        </w:rPr>
        <w:t>Delivered a</w:t>
      </w:r>
      <w:r w:rsidR="008F7098" w:rsidRPr="00703A0B">
        <w:rPr>
          <w:rFonts w:eastAsia="MS Mincho"/>
        </w:rPr>
        <w:t xml:space="preserve"> new digital licensing platform </w:t>
      </w:r>
      <w:r w:rsidR="009625F4" w:rsidRPr="00703A0B">
        <w:rPr>
          <w:rFonts w:eastAsia="MS Mincho"/>
        </w:rPr>
        <w:t xml:space="preserve">that </w:t>
      </w:r>
      <w:r w:rsidR="00DF6B1A" w:rsidRPr="00703A0B">
        <w:rPr>
          <w:rFonts w:eastAsia="MS Mincho"/>
        </w:rPr>
        <w:t>enhance</w:t>
      </w:r>
      <w:r w:rsidR="008B3EE4" w:rsidRPr="00703A0B">
        <w:rPr>
          <w:rFonts w:eastAsia="MS Mincho"/>
        </w:rPr>
        <w:t xml:space="preserve">d </w:t>
      </w:r>
      <w:r w:rsidR="00DF6B1A" w:rsidRPr="00703A0B">
        <w:rPr>
          <w:rFonts w:eastAsia="MS Mincho"/>
        </w:rPr>
        <w:t>security,</w:t>
      </w:r>
      <w:r w:rsidR="004F1C1D" w:rsidRPr="00703A0B">
        <w:rPr>
          <w:rFonts w:eastAsia="MS Mincho"/>
        </w:rPr>
        <w:t xml:space="preserve"> streamline</w:t>
      </w:r>
      <w:r w:rsidR="008B3EE4" w:rsidRPr="00703A0B">
        <w:rPr>
          <w:rFonts w:eastAsia="MS Mincho"/>
        </w:rPr>
        <w:t>d</w:t>
      </w:r>
      <w:r w:rsidR="003E096A" w:rsidRPr="00703A0B">
        <w:rPr>
          <w:rFonts w:eastAsia="MS Mincho"/>
        </w:rPr>
        <w:t xml:space="preserve"> licence </w:t>
      </w:r>
      <w:r w:rsidR="008F7098" w:rsidRPr="00703A0B">
        <w:rPr>
          <w:rFonts w:eastAsia="MS Mincho"/>
        </w:rPr>
        <w:t>manag</w:t>
      </w:r>
      <w:r w:rsidR="003E096A" w:rsidRPr="00703A0B">
        <w:rPr>
          <w:rFonts w:eastAsia="MS Mincho"/>
        </w:rPr>
        <w:t>ement and provide</w:t>
      </w:r>
      <w:r w:rsidR="008B3EE4" w:rsidRPr="00703A0B">
        <w:rPr>
          <w:rFonts w:eastAsia="MS Mincho"/>
        </w:rPr>
        <w:t>d</w:t>
      </w:r>
      <w:r w:rsidR="003E096A" w:rsidRPr="00703A0B">
        <w:rPr>
          <w:rFonts w:eastAsia="MS Mincho"/>
        </w:rPr>
        <w:t xml:space="preserve"> customers with convenient </w:t>
      </w:r>
      <w:r w:rsidR="008F7098" w:rsidRPr="00703A0B">
        <w:rPr>
          <w:rFonts w:eastAsia="MS Mincho"/>
        </w:rPr>
        <w:t>access to their licen</w:t>
      </w:r>
      <w:r w:rsidR="003E096A" w:rsidRPr="00703A0B">
        <w:rPr>
          <w:rFonts w:eastAsia="MS Mincho"/>
        </w:rPr>
        <w:t>sing</w:t>
      </w:r>
      <w:r w:rsidR="008F7098" w:rsidRPr="00703A0B">
        <w:rPr>
          <w:rFonts w:eastAsia="MS Mincho"/>
        </w:rPr>
        <w:t xml:space="preserve"> information</w:t>
      </w:r>
      <w:r w:rsidR="00A824D5" w:rsidRPr="00703A0B">
        <w:rPr>
          <w:rFonts w:eastAsia="MS Mincho"/>
        </w:rPr>
        <w:t>. Since its launch,</w:t>
      </w:r>
      <w:r w:rsidR="0066420F" w:rsidRPr="00703A0B">
        <w:rPr>
          <w:rFonts w:eastAsia="MS Mincho"/>
        </w:rPr>
        <w:t xml:space="preserve"> close to</w:t>
      </w:r>
      <w:r w:rsidR="003E096A" w:rsidRPr="00703A0B">
        <w:rPr>
          <w:rFonts w:eastAsia="MS Mincho"/>
        </w:rPr>
        <w:t xml:space="preserve"> </w:t>
      </w:r>
      <w:r w:rsidR="008F7098" w:rsidRPr="00703A0B">
        <w:rPr>
          <w:rFonts w:eastAsia="MS Mincho"/>
        </w:rPr>
        <w:t>13</w:t>
      </w:r>
      <w:r w:rsidR="00A824D5" w:rsidRPr="00703A0B">
        <w:rPr>
          <w:rFonts w:eastAsia="MS Mincho"/>
        </w:rPr>
        <w:t>,</w:t>
      </w:r>
      <w:r w:rsidR="008F7098" w:rsidRPr="00703A0B">
        <w:rPr>
          <w:rFonts w:eastAsia="MS Mincho"/>
        </w:rPr>
        <w:t>000 digital licences</w:t>
      </w:r>
      <w:r w:rsidR="00AD0EC3" w:rsidRPr="00703A0B">
        <w:rPr>
          <w:rFonts w:eastAsia="MS Mincho"/>
        </w:rPr>
        <w:t xml:space="preserve"> have been </w:t>
      </w:r>
      <w:r w:rsidR="00F5624A" w:rsidRPr="00703A0B">
        <w:rPr>
          <w:rFonts w:eastAsia="MS Mincho"/>
        </w:rPr>
        <w:t>uploaded into the application</w:t>
      </w:r>
      <w:r w:rsidR="008F7098" w:rsidRPr="00703A0B">
        <w:rPr>
          <w:rFonts w:eastAsia="MS Mincho"/>
        </w:rPr>
        <w:t>.</w:t>
      </w:r>
    </w:p>
    <w:p w14:paraId="787E9121" w14:textId="30FBBAF4" w:rsidR="00581664" w:rsidRPr="00703A0B" w:rsidRDefault="00581664" w:rsidP="00581664">
      <w:pPr>
        <w:pStyle w:val="ListParagraph"/>
        <w:numPr>
          <w:ilvl w:val="0"/>
          <w:numId w:val="9"/>
        </w:numPr>
        <w:spacing w:before="120" w:after="120"/>
        <w:ind w:left="714" w:hanging="357"/>
        <w:contextualSpacing w:val="0"/>
        <w:rPr>
          <w:rFonts w:eastAsia="MS Mincho"/>
        </w:rPr>
      </w:pPr>
      <w:r w:rsidRPr="00703A0B">
        <w:rPr>
          <w:rFonts w:eastAsia="MS Mincho"/>
          <w:b/>
          <w:bCs/>
        </w:rPr>
        <w:t xml:space="preserve">Digital </w:t>
      </w:r>
      <w:r w:rsidR="005868A3" w:rsidRPr="00703A0B">
        <w:rPr>
          <w:rFonts w:eastAsia="MS Mincho"/>
          <w:b/>
          <w:bCs/>
        </w:rPr>
        <w:t>i</w:t>
      </w:r>
      <w:r w:rsidRPr="00703A0B">
        <w:rPr>
          <w:rFonts w:eastAsia="MS Mincho"/>
          <w:b/>
          <w:bCs/>
        </w:rPr>
        <w:t>dentity:</w:t>
      </w:r>
      <w:r w:rsidRPr="00703A0B">
        <w:rPr>
          <w:rFonts w:eastAsia="MS Mincho"/>
        </w:rPr>
        <w:t xml:space="preserve"> </w:t>
      </w:r>
      <w:r w:rsidR="00453060" w:rsidRPr="00703A0B">
        <w:rPr>
          <w:rFonts w:eastAsia="MS Mincho"/>
        </w:rPr>
        <w:t>De</w:t>
      </w:r>
      <w:r w:rsidR="00B12910" w:rsidRPr="00703A0B">
        <w:rPr>
          <w:rFonts w:eastAsia="MS Mincho"/>
        </w:rPr>
        <w:t xml:space="preserve">veloped a proof of concept </w:t>
      </w:r>
      <w:r w:rsidR="00B76183" w:rsidRPr="00703A0B">
        <w:rPr>
          <w:rFonts w:eastAsia="MS Mincho"/>
        </w:rPr>
        <w:t xml:space="preserve">for </w:t>
      </w:r>
      <w:r w:rsidR="00B12910" w:rsidRPr="00703A0B">
        <w:rPr>
          <w:rFonts w:eastAsia="MS Mincho"/>
        </w:rPr>
        <w:t xml:space="preserve">secure </w:t>
      </w:r>
      <w:r w:rsidR="00B76183" w:rsidRPr="00703A0B">
        <w:rPr>
          <w:rFonts w:eastAsia="MS Mincho"/>
        </w:rPr>
        <w:t>digital</w:t>
      </w:r>
      <w:r w:rsidR="00B12910" w:rsidRPr="00703A0B">
        <w:rPr>
          <w:rFonts w:eastAsia="MS Mincho"/>
        </w:rPr>
        <w:t xml:space="preserve"> identity </w:t>
      </w:r>
      <w:r w:rsidR="00392526" w:rsidRPr="00703A0B">
        <w:rPr>
          <w:rFonts w:eastAsia="MS Mincho"/>
        </w:rPr>
        <w:t xml:space="preserve">verification, </w:t>
      </w:r>
      <w:r w:rsidR="00B76183" w:rsidRPr="00703A0B">
        <w:rPr>
          <w:rFonts w:eastAsia="MS Mincho"/>
        </w:rPr>
        <w:t>designed to support more tha</w:t>
      </w:r>
      <w:r w:rsidR="4116F37A" w:rsidRPr="00703A0B">
        <w:rPr>
          <w:rFonts w:eastAsia="MS Mincho"/>
        </w:rPr>
        <w:t>n</w:t>
      </w:r>
      <w:r w:rsidR="00B76183" w:rsidRPr="00703A0B">
        <w:rPr>
          <w:rFonts w:eastAsia="MS Mincho"/>
        </w:rPr>
        <w:t xml:space="preserve"> one</w:t>
      </w:r>
      <w:r w:rsidR="00392526" w:rsidRPr="00703A0B">
        <w:rPr>
          <w:rFonts w:eastAsia="MS Mincho"/>
        </w:rPr>
        <w:t xml:space="preserve"> million QBCC customers</w:t>
      </w:r>
      <w:r w:rsidR="004B2771" w:rsidRPr="00703A0B">
        <w:rPr>
          <w:rFonts w:eastAsia="MS Mincho"/>
        </w:rPr>
        <w:t xml:space="preserve">. The </w:t>
      </w:r>
      <w:r w:rsidR="00B76183" w:rsidRPr="00703A0B">
        <w:rPr>
          <w:rFonts w:eastAsia="MS Mincho"/>
        </w:rPr>
        <w:t xml:space="preserve">capability </w:t>
      </w:r>
      <w:r w:rsidR="004B2771" w:rsidRPr="00703A0B">
        <w:rPr>
          <w:rFonts w:eastAsia="MS Mincho"/>
        </w:rPr>
        <w:t xml:space="preserve">will </w:t>
      </w:r>
      <w:r w:rsidR="00FA5D3E" w:rsidRPr="00703A0B">
        <w:rPr>
          <w:rFonts w:eastAsia="MS Mincho"/>
        </w:rPr>
        <w:t xml:space="preserve">be </w:t>
      </w:r>
      <w:r w:rsidR="004B2771" w:rsidRPr="00703A0B">
        <w:rPr>
          <w:rFonts w:eastAsia="MS Mincho"/>
        </w:rPr>
        <w:t xml:space="preserve">progressively </w:t>
      </w:r>
      <w:r w:rsidR="00FA5D3E" w:rsidRPr="00703A0B">
        <w:rPr>
          <w:rFonts w:eastAsia="MS Mincho"/>
        </w:rPr>
        <w:t xml:space="preserve">integrated </w:t>
      </w:r>
      <w:r w:rsidR="004B2771" w:rsidRPr="00703A0B">
        <w:rPr>
          <w:rFonts w:eastAsia="MS Mincho"/>
        </w:rPr>
        <w:t xml:space="preserve">into </w:t>
      </w:r>
      <w:r w:rsidR="00FA5D3E" w:rsidRPr="00703A0B">
        <w:rPr>
          <w:rFonts w:eastAsia="MS Mincho"/>
        </w:rPr>
        <w:t xml:space="preserve">the </w:t>
      </w:r>
      <w:r w:rsidR="004B2771" w:rsidRPr="00703A0B">
        <w:rPr>
          <w:rFonts w:eastAsia="MS Mincho"/>
        </w:rPr>
        <w:t xml:space="preserve">customer portal to enhance </w:t>
      </w:r>
      <w:r w:rsidR="00EE3DB9" w:rsidRPr="00703A0B">
        <w:rPr>
          <w:rFonts w:eastAsia="MS Mincho"/>
        </w:rPr>
        <w:t>customer experience</w:t>
      </w:r>
      <w:r w:rsidR="00FA5D3E" w:rsidRPr="00703A0B">
        <w:rPr>
          <w:rFonts w:eastAsia="MS Mincho"/>
        </w:rPr>
        <w:t xml:space="preserve">, streamline access to services and support </w:t>
      </w:r>
      <w:r w:rsidR="000C2CCC" w:rsidRPr="00703A0B">
        <w:rPr>
          <w:rFonts w:eastAsia="MS Mincho"/>
        </w:rPr>
        <w:t xml:space="preserve">regulatory </w:t>
      </w:r>
      <w:r w:rsidR="00ED3FA1" w:rsidRPr="00703A0B">
        <w:rPr>
          <w:rFonts w:eastAsia="MS Mincho"/>
        </w:rPr>
        <w:t>requirements</w:t>
      </w:r>
      <w:r w:rsidR="00EE3DB9" w:rsidRPr="00703A0B">
        <w:rPr>
          <w:rFonts w:eastAsia="MS Mincho"/>
        </w:rPr>
        <w:t>.</w:t>
      </w:r>
    </w:p>
    <w:p w14:paraId="1ECA10C0" w14:textId="0C44D31F" w:rsidR="00E35129" w:rsidRPr="00703A0B" w:rsidRDefault="00766402" w:rsidP="00581664">
      <w:pPr>
        <w:pStyle w:val="ListParagraph"/>
        <w:numPr>
          <w:ilvl w:val="0"/>
          <w:numId w:val="9"/>
        </w:numPr>
        <w:spacing w:before="120" w:after="120"/>
        <w:ind w:left="714" w:hanging="357"/>
        <w:contextualSpacing w:val="0"/>
        <w:rPr>
          <w:rFonts w:eastAsia="MS Mincho"/>
        </w:rPr>
      </w:pPr>
      <w:r w:rsidRPr="00703A0B">
        <w:rPr>
          <w:rFonts w:eastAsia="MS Mincho"/>
          <w:b/>
          <w:bCs/>
        </w:rPr>
        <w:t xml:space="preserve">Digital </w:t>
      </w:r>
      <w:r w:rsidR="005868A3" w:rsidRPr="00703A0B">
        <w:rPr>
          <w:rFonts w:eastAsia="MS Mincho"/>
          <w:b/>
          <w:bCs/>
        </w:rPr>
        <w:t>m</w:t>
      </w:r>
      <w:r w:rsidRPr="00703A0B">
        <w:rPr>
          <w:rFonts w:eastAsia="MS Mincho"/>
          <w:b/>
          <w:bCs/>
        </w:rPr>
        <w:t>ailroom</w:t>
      </w:r>
      <w:r w:rsidR="00600480" w:rsidRPr="00703A0B">
        <w:rPr>
          <w:rFonts w:eastAsia="MS Mincho"/>
          <w:b/>
          <w:bCs/>
        </w:rPr>
        <w:t xml:space="preserve"> </w:t>
      </w:r>
      <w:r w:rsidR="005868A3" w:rsidRPr="00703A0B">
        <w:rPr>
          <w:rFonts w:eastAsia="MS Mincho"/>
          <w:b/>
          <w:bCs/>
        </w:rPr>
        <w:t>i</w:t>
      </w:r>
      <w:r w:rsidR="00BE03D0" w:rsidRPr="00703A0B">
        <w:rPr>
          <w:rFonts w:eastAsia="MS Mincho"/>
          <w:b/>
          <w:bCs/>
        </w:rPr>
        <w:t>mprovements:</w:t>
      </w:r>
      <w:r w:rsidR="00BE03D0" w:rsidRPr="00703A0B">
        <w:rPr>
          <w:rFonts w:eastAsia="MS Mincho"/>
        </w:rPr>
        <w:t xml:space="preserve"> </w:t>
      </w:r>
      <w:r w:rsidR="001657BB" w:rsidRPr="00703A0B">
        <w:rPr>
          <w:rFonts w:eastAsia="MS Mincho"/>
        </w:rPr>
        <w:t>S</w:t>
      </w:r>
      <w:r w:rsidR="00E23D11" w:rsidRPr="00703A0B">
        <w:rPr>
          <w:rFonts w:eastAsia="MS Mincho"/>
        </w:rPr>
        <w:t>treamlin</w:t>
      </w:r>
      <w:r w:rsidR="001657BB" w:rsidRPr="00703A0B">
        <w:rPr>
          <w:rFonts w:eastAsia="MS Mincho"/>
        </w:rPr>
        <w:t xml:space="preserve">ed </w:t>
      </w:r>
      <w:r w:rsidR="00654D5D" w:rsidRPr="00703A0B">
        <w:rPr>
          <w:rFonts w:eastAsia="MS Mincho"/>
        </w:rPr>
        <w:t xml:space="preserve">the receipt </w:t>
      </w:r>
      <w:r w:rsidR="00FC3D20" w:rsidRPr="00703A0B">
        <w:rPr>
          <w:rFonts w:eastAsia="MS Mincho"/>
        </w:rPr>
        <w:t>and processing of customer correspondenc</w:t>
      </w:r>
      <w:r w:rsidR="00C4386C" w:rsidRPr="00703A0B">
        <w:rPr>
          <w:rFonts w:eastAsia="MS Mincho"/>
        </w:rPr>
        <w:t xml:space="preserve">e, </w:t>
      </w:r>
      <w:r w:rsidR="00CE47BB" w:rsidRPr="00703A0B">
        <w:rPr>
          <w:rFonts w:eastAsia="MS Mincho"/>
        </w:rPr>
        <w:t>reducing manual handling</w:t>
      </w:r>
      <w:r w:rsidR="006A5AF8" w:rsidRPr="00703A0B">
        <w:rPr>
          <w:rFonts w:eastAsia="MS Mincho"/>
        </w:rPr>
        <w:t xml:space="preserve">, and </w:t>
      </w:r>
      <w:r w:rsidRPr="00703A0B">
        <w:rPr>
          <w:rFonts w:eastAsia="MS Mincho"/>
        </w:rPr>
        <w:t xml:space="preserve">improving </w:t>
      </w:r>
      <w:r w:rsidR="000D3DA8" w:rsidRPr="00703A0B">
        <w:rPr>
          <w:rFonts w:eastAsia="MS Mincho"/>
        </w:rPr>
        <w:t>work</w:t>
      </w:r>
      <w:r w:rsidR="00843C30" w:rsidRPr="00703A0B">
        <w:rPr>
          <w:rFonts w:eastAsia="MS Mincho"/>
        </w:rPr>
        <w:t>flow</w:t>
      </w:r>
      <w:r w:rsidR="000D3DA8" w:rsidRPr="00703A0B">
        <w:rPr>
          <w:rFonts w:eastAsia="MS Mincho"/>
        </w:rPr>
        <w:t xml:space="preserve"> efficiency and responsiveness</w:t>
      </w:r>
      <w:r w:rsidR="00B041EA" w:rsidRPr="00703A0B">
        <w:rPr>
          <w:rFonts w:eastAsia="MS Mincho"/>
        </w:rPr>
        <w:t xml:space="preserve">, </w:t>
      </w:r>
      <w:r w:rsidR="00D23382" w:rsidRPr="00703A0B">
        <w:rPr>
          <w:rFonts w:eastAsia="MS Mincho"/>
        </w:rPr>
        <w:t xml:space="preserve">resulting in </w:t>
      </w:r>
      <w:r w:rsidR="00B041EA" w:rsidRPr="00703A0B">
        <w:rPr>
          <w:rFonts w:eastAsia="MS Mincho"/>
        </w:rPr>
        <w:t xml:space="preserve">efficiency </w:t>
      </w:r>
      <w:r w:rsidR="00D23382" w:rsidRPr="00703A0B">
        <w:rPr>
          <w:rFonts w:eastAsia="MS Mincho"/>
        </w:rPr>
        <w:t xml:space="preserve">gains </w:t>
      </w:r>
      <w:r w:rsidR="00B041EA" w:rsidRPr="00703A0B">
        <w:rPr>
          <w:rFonts w:eastAsia="MS Mincho"/>
        </w:rPr>
        <w:t xml:space="preserve">equivalent to approximately </w:t>
      </w:r>
      <w:r w:rsidR="008124ED" w:rsidRPr="00703A0B">
        <w:rPr>
          <w:rFonts w:eastAsia="MS Mincho"/>
        </w:rPr>
        <w:t>three</w:t>
      </w:r>
      <w:r w:rsidR="00B041EA" w:rsidRPr="00703A0B">
        <w:rPr>
          <w:rFonts w:eastAsia="MS Mincho"/>
        </w:rPr>
        <w:t xml:space="preserve"> </w:t>
      </w:r>
      <w:r w:rsidR="00561C2B" w:rsidRPr="00703A0B">
        <w:rPr>
          <w:rFonts w:eastAsia="MS Mincho"/>
        </w:rPr>
        <w:t>FTE positions</w:t>
      </w:r>
      <w:r w:rsidR="00D073FE" w:rsidRPr="00703A0B">
        <w:rPr>
          <w:rFonts w:eastAsia="MS Mincho"/>
        </w:rPr>
        <w:t>.</w:t>
      </w:r>
    </w:p>
    <w:p w14:paraId="5E014D1D" w14:textId="598BC856" w:rsidR="0070792D" w:rsidRPr="00703A0B" w:rsidRDefault="00957F8B" w:rsidP="00581664">
      <w:pPr>
        <w:pStyle w:val="ListParagraph"/>
        <w:numPr>
          <w:ilvl w:val="0"/>
          <w:numId w:val="9"/>
        </w:numPr>
        <w:spacing w:before="120" w:after="120"/>
        <w:ind w:left="714" w:hanging="357"/>
        <w:contextualSpacing w:val="0"/>
        <w:rPr>
          <w:rFonts w:eastAsia="MS Mincho"/>
        </w:rPr>
      </w:pPr>
      <w:r w:rsidRPr="00703A0B">
        <w:rPr>
          <w:rFonts w:eastAsia="MS Mincho"/>
          <w:b/>
          <w:bCs/>
        </w:rPr>
        <w:t xml:space="preserve">Field </w:t>
      </w:r>
      <w:r w:rsidR="005868A3" w:rsidRPr="00703A0B">
        <w:rPr>
          <w:rFonts w:eastAsia="MS Mincho"/>
          <w:b/>
          <w:bCs/>
        </w:rPr>
        <w:t>s</w:t>
      </w:r>
      <w:r w:rsidR="0030194E" w:rsidRPr="00703A0B">
        <w:rPr>
          <w:rFonts w:eastAsia="MS Mincho"/>
          <w:b/>
          <w:bCs/>
        </w:rPr>
        <w:t>ervices</w:t>
      </w:r>
      <w:r w:rsidR="0070792D" w:rsidRPr="00703A0B">
        <w:rPr>
          <w:rFonts w:eastAsia="MS Mincho"/>
          <w:b/>
          <w:bCs/>
        </w:rPr>
        <w:t>:</w:t>
      </w:r>
      <w:r w:rsidR="0070792D" w:rsidRPr="00703A0B">
        <w:rPr>
          <w:rFonts w:eastAsia="MS Mincho"/>
        </w:rPr>
        <w:t xml:space="preserve"> </w:t>
      </w:r>
      <w:r w:rsidR="00DF3CC8" w:rsidRPr="00703A0B">
        <w:rPr>
          <w:rFonts w:eastAsia="MS Mincho"/>
        </w:rPr>
        <w:t xml:space="preserve">Equipped field </w:t>
      </w:r>
      <w:r w:rsidR="00C6527B" w:rsidRPr="00703A0B">
        <w:rPr>
          <w:rFonts w:eastAsia="MS Mincho"/>
        </w:rPr>
        <w:t>inspectors</w:t>
      </w:r>
      <w:r w:rsidR="006F139C" w:rsidRPr="00703A0B">
        <w:rPr>
          <w:rFonts w:eastAsia="MS Mincho"/>
        </w:rPr>
        <w:t xml:space="preserve"> </w:t>
      </w:r>
      <w:r w:rsidR="00DF3CC8" w:rsidRPr="00703A0B">
        <w:rPr>
          <w:rFonts w:eastAsia="MS Mincho"/>
        </w:rPr>
        <w:t>with enhanced digital technology</w:t>
      </w:r>
      <w:r w:rsidR="002F3223" w:rsidRPr="00703A0B">
        <w:rPr>
          <w:rFonts w:eastAsia="MS Mincho"/>
        </w:rPr>
        <w:t xml:space="preserve"> to improve</w:t>
      </w:r>
      <w:r w:rsidR="006F139C" w:rsidRPr="00703A0B">
        <w:rPr>
          <w:rFonts w:eastAsia="MS Mincho"/>
        </w:rPr>
        <w:t xml:space="preserve"> efficiency</w:t>
      </w:r>
      <w:r w:rsidR="002F3223" w:rsidRPr="00703A0B">
        <w:rPr>
          <w:rFonts w:eastAsia="MS Mincho"/>
        </w:rPr>
        <w:t xml:space="preserve">, support informed decision making and strengthen </w:t>
      </w:r>
      <w:r w:rsidR="006F139C" w:rsidRPr="00703A0B">
        <w:rPr>
          <w:rFonts w:eastAsia="MS Mincho"/>
        </w:rPr>
        <w:t>compliance oversight.</w:t>
      </w:r>
    </w:p>
    <w:p w14:paraId="53620B15" w14:textId="5A213639" w:rsidR="009F6D1E" w:rsidRPr="00703A0B" w:rsidRDefault="009F6D1E" w:rsidP="009F6D1E">
      <w:pPr>
        <w:spacing w:before="120" w:after="120"/>
      </w:pPr>
      <w:r w:rsidRPr="00703A0B">
        <w:t>These initiatives contribute</w:t>
      </w:r>
      <w:r w:rsidR="005868A3" w:rsidRPr="00703A0B">
        <w:t>d</w:t>
      </w:r>
      <w:r w:rsidRPr="00703A0B">
        <w:t xml:space="preserve"> to a more streamlined and accessible service environment, providing customers with greater flexibility in how they interact with the QBCC</w:t>
      </w:r>
      <w:r w:rsidR="00014D9D" w:rsidRPr="00703A0B">
        <w:t>,</w:t>
      </w:r>
      <w:r w:rsidRPr="00703A0B">
        <w:t xml:space="preserve"> while supporting staff with modern digital tools.</w:t>
      </w:r>
    </w:p>
    <w:p w14:paraId="2A75CEEF" w14:textId="5DAD68DD" w:rsidR="00212167" w:rsidRPr="00703A0B" w:rsidRDefault="00212167" w:rsidP="00212167">
      <w:pPr>
        <w:pStyle w:val="Heading3"/>
      </w:pPr>
      <w:bookmarkStart w:id="110" w:name="_Looking_ahead_6"/>
      <w:bookmarkEnd w:id="110"/>
      <w:r w:rsidRPr="00703A0B">
        <w:lastRenderedPageBreak/>
        <w:t>Looking ahead</w:t>
      </w:r>
    </w:p>
    <w:p w14:paraId="4559CBCC" w14:textId="0944E9B8" w:rsidR="00FA6621" w:rsidRPr="00703A0B" w:rsidRDefault="00756F15" w:rsidP="7B8DEA39">
      <w:pPr>
        <w:spacing w:before="120" w:after="120" w:line="259" w:lineRule="auto"/>
        <w:rPr>
          <w:rFonts w:eastAsia="Arial" w:cs="Arial"/>
        </w:rPr>
      </w:pPr>
      <w:r w:rsidRPr="00703A0B">
        <w:t xml:space="preserve">Over the next 12 months, </w:t>
      </w:r>
      <w:r w:rsidRPr="00703A0B">
        <w:rPr>
          <w:rFonts w:eastAsia="Arial" w:cs="Arial"/>
        </w:rPr>
        <w:t>t</w:t>
      </w:r>
      <w:r w:rsidR="00B21CA4" w:rsidRPr="00703A0B">
        <w:rPr>
          <w:rFonts w:eastAsia="Arial" w:cs="Arial"/>
        </w:rPr>
        <w:t xml:space="preserve">he QBCC will continue to </w:t>
      </w:r>
      <w:r w:rsidR="5DF25DDB" w:rsidRPr="00703A0B">
        <w:t>enhance</w:t>
      </w:r>
      <w:r w:rsidR="00BE04CF" w:rsidRPr="00703A0B">
        <w:t xml:space="preserve"> frontline service delivery through initiatives that improve</w:t>
      </w:r>
      <w:r w:rsidR="5DF25DDB" w:rsidRPr="00703A0B">
        <w:t xml:space="preserve"> </w:t>
      </w:r>
      <w:r w:rsidR="00730A3D" w:rsidRPr="00703A0B">
        <w:t xml:space="preserve">customer and </w:t>
      </w:r>
      <w:r w:rsidR="5DF25DDB" w:rsidRPr="00703A0B">
        <w:t>stakeholder experiences</w:t>
      </w:r>
      <w:r w:rsidR="00B21CA4" w:rsidRPr="00703A0B">
        <w:rPr>
          <w:rFonts w:eastAsia="Arial" w:cs="Arial"/>
        </w:rPr>
        <w:t xml:space="preserve"> and </w:t>
      </w:r>
      <w:r w:rsidR="00573DFC" w:rsidRPr="00703A0B">
        <w:rPr>
          <w:rFonts w:eastAsia="Arial" w:cs="Arial"/>
        </w:rPr>
        <w:t xml:space="preserve">advance </w:t>
      </w:r>
      <w:r w:rsidR="00B21CA4" w:rsidRPr="00703A0B">
        <w:rPr>
          <w:rFonts w:eastAsia="Arial" w:cs="Arial"/>
        </w:rPr>
        <w:t>digital transformation</w:t>
      </w:r>
      <w:r w:rsidR="00573DFC" w:rsidRPr="00703A0B">
        <w:rPr>
          <w:rFonts w:eastAsia="Arial" w:cs="Arial"/>
        </w:rPr>
        <w:t xml:space="preserve">. Key areas of </w:t>
      </w:r>
      <w:r w:rsidR="00B21CA4" w:rsidRPr="00703A0B">
        <w:rPr>
          <w:rFonts w:eastAsia="Arial" w:cs="Arial"/>
        </w:rPr>
        <w:t>focus</w:t>
      </w:r>
      <w:r w:rsidR="00FA6621" w:rsidRPr="00703A0B">
        <w:rPr>
          <w:rFonts w:eastAsia="Arial" w:cs="Arial"/>
        </w:rPr>
        <w:t xml:space="preserve"> include:</w:t>
      </w:r>
    </w:p>
    <w:p w14:paraId="0C691429" w14:textId="70E27E99" w:rsidR="00965878" w:rsidRPr="00703A0B" w:rsidRDefault="00B21CA4" w:rsidP="00B42452">
      <w:pPr>
        <w:pStyle w:val="ListParagraph"/>
        <w:numPr>
          <w:ilvl w:val="0"/>
          <w:numId w:val="118"/>
        </w:numPr>
        <w:spacing w:before="120" w:after="120" w:line="259" w:lineRule="auto"/>
        <w:ind w:left="782" w:hanging="357"/>
        <w:contextualSpacing w:val="0"/>
        <w:rPr>
          <w:rFonts w:eastAsia="Arial" w:cs="Arial"/>
        </w:rPr>
      </w:pPr>
      <w:r w:rsidRPr="00703A0B">
        <w:rPr>
          <w:rFonts w:eastAsia="Arial" w:cs="Arial"/>
        </w:rPr>
        <w:t xml:space="preserve">improving service </w:t>
      </w:r>
      <w:r w:rsidR="47CE57D9" w:rsidRPr="00703A0B">
        <w:rPr>
          <w:rFonts w:eastAsia="Arial" w:cs="Arial"/>
        </w:rPr>
        <w:t>quality</w:t>
      </w:r>
      <w:r w:rsidR="00A66038" w:rsidRPr="00703A0B">
        <w:rPr>
          <w:rFonts w:eastAsia="Arial" w:cs="Arial"/>
        </w:rPr>
        <w:t xml:space="preserve">, </w:t>
      </w:r>
      <w:r w:rsidRPr="00703A0B">
        <w:rPr>
          <w:rFonts w:eastAsia="Arial" w:cs="Arial"/>
        </w:rPr>
        <w:t>accessibility</w:t>
      </w:r>
      <w:r w:rsidR="00965878" w:rsidRPr="00703A0B">
        <w:rPr>
          <w:rFonts w:eastAsia="Arial" w:cs="Arial"/>
        </w:rPr>
        <w:t xml:space="preserve"> and responsiveness</w:t>
      </w:r>
    </w:p>
    <w:p w14:paraId="5BBC658F" w14:textId="13C0EE84" w:rsidR="00C10121" w:rsidRPr="00703A0B" w:rsidRDefault="00AE467D" w:rsidP="00B42452">
      <w:pPr>
        <w:pStyle w:val="ListParagraph"/>
        <w:numPr>
          <w:ilvl w:val="0"/>
          <w:numId w:val="118"/>
        </w:numPr>
        <w:spacing w:before="120" w:after="120" w:line="259" w:lineRule="auto"/>
        <w:ind w:left="782" w:hanging="357"/>
        <w:contextualSpacing w:val="0"/>
        <w:rPr>
          <w:rFonts w:eastAsia="Arial" w:cs="Arial"/>
        </w:rPr>
      </w:pPr>
      <w:r w:rsidRPr="00703A0B">
        <w:rPr>
          <w:rFonts w:eastAsia="Arial" w:cs="Arial"/>
        </w:rPr>
        <w:t>i</w:t>
      </w:r>
      <w:r w:rsidR="00965878" w:rsidRPr="00703A0B">
        <w:rPr>
          <w:rFonts w:eastAsia="Arial" w:cs="Arial"/>
        </w:rPr>
        <w:t xml:space="preserve">mplementing a </w:t>
      </w:r>
      <w:r w:rsidR="38EDC8B0" w:rsidRPr="00703A0B">
        <w:rPr>
          <w:rFonts w:eastAsia="Arial" w:cs="Arial"/>
        </w:rPr>
        <w:t xml:space="preserve">more </w:t>
      </w:r>
      <w:r w:rsidR="0D0BA932" w:rsidRPr="00703A0B">
        <w:rPr>
          <w:rFonts w:eastAsia="Arial" w:cs="Arial"/>
        </w:rPr>
        <w:t xml:space="preserve">effective </w:t>
      </w:r>
      <w:r w:rsidR="38EDC8B0" w:rsidRPr="00703A0B">
        <w:rPr>
          <w:rFonts w:eastAsia="Arial" w:cs="Arial"/>
        </w:rPr>
        <w:t>and</w:t>
      </w:r>
      <w:r w:rsidR="00887F49" w:rsidRPr="00703A0B">
        <w:rPr>
          <w:rFonts w:eastAsia="Arial" w:cs="Arial"/>
        </w:rPr>
        <w:t xml:space="preserve"> customer </w:t>
      </w:r>
      <w:r w:rsidR="00C10121" w:rsidRPr="00703A0B">
        <w:rPr>
          <w:rFonts w:eastAsia="Arial" w:cs="Arial"/>
        </w:rPr>
        <w:t xml:space="preserve">centred </w:t>
      </w:r>
      <w:r w:rsidR="38EDC8B0" w:rsidRPr="00703A0B">
        <w:rPr>
          <w:rFonts w:eastAsia="Arial" w:cs="Arial"/>
        </w:rPr>
        <w:t>compliments and complaints management process</w:t>
      </w:r>
    </w:p>
    <w:p w14:paraId="67CDA37E" w14:textId="6D991CA7" w:rsidR="00451009" w:rsidRPr="00703A0B" w:rsidRDefault="00AE467D" w:rsidP="00B42452">
      <w:pPr>
        <w:pStyle w:val="ListParagraph"/>
        <w:numPr>
          <w:ilvl w:val="0"/>
          <w:numId w:val="118"/>
        </w:numPr>
        <w:spacing w:before="120" w:after="120" w:line="259" w:lineRule="auto"/>
        <w:ind w:left="782" w:hanging="357"/>
        <w:contextualSpacing w:val="0"/>
        <w:rPr>
          <w:rFonts w:eastAsia="Arial" w:cs="Arial"/>
        </w:rPr>
      </w:pPr>
      <w:r w:rsidRPr="00703A0B">
        <w:rPr>
          <w:rFonts w:eastAsia="Arial" w:cs="Arial"/>
        </w:rPr>
        <w:t xml:space="preserve">strengthening </w:t>
      </w:r>
      <w:r w:rsidR="00B21CA4" w:rsidRPr="00703A0B">
        <w:rPr>
          <w:rFonts w:eastAsia="Arial" w:cs="Arial"/>
        </w:rPr>
        <w:t>digital capabilit</w:t>
      </w:r>
      <w:r w:rsidR="00DC4A80" w:rsidRPr="00703A0B">
        <w:rPr>
          <w:rFonts w:eastAsia="Arial" w:cs="Arial"/>
        </w:rPr>
        <w:t>y</w:t>
      </w:r>
      <w:r w:rsidR="00064348" w:rsidRPr="00703A0B">
        <w:rPr>
          <w:rFonts w:eastAsia="Arial" w:cs="Arial"/>
        </w:rPr>
        <w:t xml:space="preserve"> and </w:t>
      </w:r>
      <w:r w:rsidR="00920A23" w:rsidRPr="00703A0B">
        <w:rPr>
          <w:rFonts w:eastAsia="Arial" w:cs="Arial"/>
        </w:rPr>
        <w:t xml:space="preserve">improving </w:t>
      </w:r>
      <w:r w:rsidR="00064348" w:rsidRPr="00703A0B">
        <w:rPr>
          <w:rFonts w:eastAsia="Arial" w:cs="Arial"/>
        </w:rPr>
        <w:t>the consistency of advice</w:t>
      </w:r>
      <w:r w:rsidR="005872E6" w:rsidRPr="00703A0B">
        <w:rPr>
          <w:rFonts w:eastAsia="Arial" w:cs="Arial"/>
        </w:rPr>
        <w:t xml:space="preserve"> provided to customers and stakeholders</w:t>
      </w:r>
    </w:p>
    <w:p w14:paraId="1A0B5DDE" w14:textId="7F0A52B8" w:rsidR="00C938B4" w:rsidRPr="00703A0B" w:rsidRDefault="00451009" w:rsidP="00B42452">
      <w:pPr>
        <w:pStyle w:val="ListParagraph"/>
        <w:numPr>
          <w:ilvl w:val="0"/>
          <w:numId w:val="118"/>
        </w:numPr>
        <w:spacing w:before="120" w:after="120" w:line="259" w:lineRule="auto"/>
        <w:ind w:left="782" w:hanging="357"/>
        <w:contextualSpacing w:val="0"/>
        <w:rPr>
          <w:rFonts w:eastAsia="Arial" w:cs="Arial"/>
        </w:rPr>
      </w:pPr>
      <w:r w:rsidRPr="00703A0B">
        <w:rPr>
          <w:rFonts w:eastAsia="Arial" w:cs="Arial"/>
        </w:rPr>
        <w:t xml:space="preserve">increasing </w:t>
      </w:r>
      <w:r w:rsidR="6D87B124" w:rsidRPr="00703A0B">
        <w:rPr>
          <w:rFonts w:eastAsia="Arial" w:cs="Arial"/>
        </w:rPr>
        <w:t>transparency</w:t>
      </w:r>
      <w:r w:rsidR="7C791165" w:rsidRPr="00703A0B">
        <w:rPr>
          <w:rFonts w:eastAsia="Arial" w:cs="Arial"/>
        </w:rPr>
        <w:t xml:space="preserve">, </w:t>
      </w:r>
      <w:r w:rsidR="7BF1D88D" w:rsidRPr="00703A0B">
        <w:rPr>
          <w:rFonts w:eastAsia="Arial" w:cs="Arial"/>
        </w:rPr>
        <w:t xml:space="preserve">stakeholder </w:t>
      </w:r>
      <w:r w:rsidR="00F80855" w:rsidRPr="00703A0B">
        <w:rPr>
          <w:rFonts w:eastAsia="Arial" w:cs="Arial"/>
        </w:rPr>
        <w:t>engagement</w:t>
      </w:r>
      <w:r w:rsidR="0027140E" w:rsidRPr="00703A0B">
        <w:rPr>
          <w:rFonts w:eastAsia="Arial" w:cs="Arial"/>
        </w:rPr>
        <w:t xml:space="preserve"> and </w:t>
      </w:r>
      <w:r w:rsidR="00B21CA4" w:rsidRPr="00703A0B">
        <w:rPr>
          <w:rFonts w:eastAsia="Arial" w:cs="Arial"/>
        </w:rPr>
        <w:t>confidence</w:t>
      </w:r>
      <w:r w:rsidR="00F80855" w:rsidRPr="00703A0B">
        <w:rPr>
          <w:rFonts w:eastAsia="Arial" w:cs="Arial"/>
        </w:rPr>
        <w:t xml:space="preserve"> in QBCC services</w:t>
      </w:r>
      <w:r w:rsidR="00D704AD" w:rsidRPr="00703A0B">
        <w:rPr>
          <w:rFonts w:eastAsia="Arial" w:cs="Arial"/>
        </w:rPr>
        <w:t>.</w:t>
      </w:r>
    </w:p>
    <w:p w14:paraId="471A6A03" w14:textId="6710634B" w:rsidR="00076648" w:rsidRPr="00703A0B" w:rsidRDefault="0013022A" w:rsidP="00322FF4">
      <w:pPr>
        <w:spacing w:before="120" w:after="120" w:line="259" w:lineRule="auto"/>
      </w:pPr>
      <w:r w:rsidRPr="00703A0B">
        <w:rPr>
          <w:rFonts w:eastAsia="Arial" w:cs="Arial"/>
        </w:rPr>
        <w:t>T</w:t>
      </w:r>
      <w:r w:rsidR="7E79B070" w:rsidRPr="00703A0B">
        <w:rPr>
          <w:rFonts w:eastAsia="Arial" w:cs="Arial"/>
        </w:rPr>
        <w:t xml:space="preserve">he QBCC will continue to </w:t>
      </w:r>
      <w:r w:rsidRPr="00703A0B">
        <w:rPr>
          <w:rFonts w:eastAsia="Arial" w:cs="Arial"/>
        </w:rPr>
        <w:t xml:space="preserve">use </w:t>
      </w:r>
      <w:r w:rsidR="00B21CA4" w:rsidRPr="00703A0B">
        <w:rPr>
          <w:rFonts w:eastAsia="Arial" w:cs="Arial"/>
        </w:rPr>
        <w:t>customer insights</w:t>
      </w:r>
      <w:r w:rsidR="003B4A97" w:rsidRPr="00703A0B">
        <w:rPr>
          <w:rFonts w:eastAsia="Arial" w:cs="Arial"/>
        </w:rPr>
        <w:t xml:space="preserve"> to </w:t>
      </w:r>
      <w:r w:rsidR="00EB775F" w:rsidRPr="00703A0B">
        <w:rPr>
          <w:rFonts w:eastAsia="Arial" w:cs="Arial"/>
        </w:rPr>
        <w:t>shape</w:t>
      </w:r>
      <w:r w:rsidR="003B4A97" w:rsidRPr="00703A0B">
        <w:rPr>
          <w:rFonts w:eastAsia="Arial" w:cs="Arial"/>
        </w:rPr>
        <w:t xml:space="preserve"> service improvements</w:t>
      </w:r>
      <w:r w:rsidR="00EB775F" w:rsidRPr="00703A0B">
        <w:rPr>
          <w:rFonts w:eastAsia="Arial" w:cs="Arial"/>
        </w:rPr>
        <w:t xml:space="preserve">, while </w:t>
      </w:r>
      <w:r w:rsidR="4989A752" w:rsidRPr="00703A0B">
        <w:rPr>
          <w:rFonts w:eastAsia="Arial" w:cs="Arial"/>
        </w:rPr>
        <w:t>invest</w:t>
      </w:r>
      <w:r w:rsidR="00B73F64" w:rsidRPr="00703A0B">
        <w:rPr>
          <w:rFonts w:eastAsia="Arial" w:cs="Arial"/>
        </w:rPr>
        <w:t>ing</w:t>
      </w:r>
      <w:r w:rsidR="4989A752" w:rsidRPr="00703A0B">
        <w:rPr>
          <w:rFonts w:eastAsia="Arial" w:cs="Arial"/>
        </w:rPr>
        <w:t xml:space="preserve"> in </w:t>
      </w:r>
      <w:r w:rsidR="00B21CA4" w:rsidRPr="00703A0B">
        <w:rPr>
          <w:rFonts w:eastAsia="Arial" w:cs="Arial"/>
        </w:rPr>
        <w:t>technology</w:t>
      </w:r>
      <w:r w:rsidR="003B4A97" w:rsidRPr="00703A0B">
        <w:rPr>
          <w:rFonts w:eastAsia="Arial" w:cs="Arial"/>
        </w:rPr>
        <w:t xml:space="preserve">, </w:t>
      </w:r>
      <w:r w:rsidR="570B08EA" w:rsidRPr="00703A0B">
        <w:rPr>
          <w:rFonts w:eastAsia="Arial" w:cs="Arial"/>
        </w:rPr>
        <w:t xml:space="preserve">data, </w:t>
      </w:r>
      <w:r w:rsidR="00057909" w:rsidRPr="00703A0B">
        <w:rPr>
          <w:rFonts w:eastAsia="Arial" w:cs="Arial"/>
        </w:rPr>
        <w:t>AI</w:t>
      </w:r>
      <w:r w:rsidR="570B08EA" w:rsidRPr="00703A0B">
        <w:rPr>
          <w:rFonts w:eastAsia="Arial" w:cs="Arial"/>
        </w:rPr>
        <w:t>,</w:t>
      </w:r>
      <w:r w:rsidR="003B4A97" w:rsidRPr="00703A0B">
        <w:rPr>
          <w:rFonts w:eastAsia="Arial" w:cs="Arial"/>
        </w:rPr>
        <w:t xml:space="preserve"> </w:t>
      </w:r>
      <w:r w:rsidR="00B21CA4" w:rsidRPr="00703A0B">
        <w:rPr>
          <w:rFonts w:eastAsia="Arial" w:cs="Arial"/>
        </w:rPr>
        <w:t xml:space="preserve">process </w:t>
      </w:r>
      <w:r w:rsidR="003B4A97" w:rsidRPr="00703A0B">
        <w:rPr>
          <w:rFonts w:eastAsia="Arial" w:cs="Arial"/>
        </w:rPr>
        <w:t xml:space="preserve">optimisation and </w:t>
      </w:r>
      <w:r w:rsidR="00F46BA0" w:rsidRPr="00703A0B">
        <w:rPr>
          <w:rFonts w:eastAsia="Arial" w:cs="Arial"/>
        </w:rPr>
        <w:t xml:space="preserve">workforce capability to </w:t>
      </w:r>
      <w:r w:rsidR="00B21CA4" w:rsidRPr="00703A0B">
        <w:rPr>
          <w:rFonts w:eastAsia="Arial" w:cs="Arial"/>
        </w:rPr>
        <w:t xml:space="preserve">deliver more connected, efficient and customer-focused services </w:t>
      </w:r>
      <w:r w:rsidR="007B3EFC" w:rsidRPr="00703A0B">
        <w:rPr>
          <w:rFonts w:eastAsia="Arial" w:cs="Arial"/>
        </w:rPr>
        <w:t xml:space="preserve">for </w:t>
      </w:r>
      <w:r w:rsidR="00B21CA4" w:rsidRPr="00703A0B">
        <w:rPr>
          <w:rFonts w:eastAsia="Arial" w:cs="Arial"/>
        </w:rPr>
        <w:t>Queensland's building and construction industry.</w:t>
      </w:r>
      <w:r w:rsidR="00322FF4" w:rsidRPr="00703A0B">
        <w:t xml:space="preserve"> </w:t>
      </w:r>
      <w:r w:rsidR="6650B790" w:rsidRPr="00703A0B">
        <w:t xml:space="preserve">The Contact Centre Uplift </w:t>
      </w:r>
      <w:r w:rsidR="0036165E" w:rsidRPr="00703A0B">
        <w:t>i</w:t>
      </w:r>
      <w:r w:rsidR="6650B790" w:rsidRPr="00703A0B">
        <w:t xml:space="preserve">nitiative will commence, </w:t>
      </w:r>
      <w:r w:rsidR="00F46BA0" w:rsidRPr="00703A0B">
        <w:t xml:space="preserve">with a focus on </w:t>
      </w:r>
      <w:r w:rsidR="00414B17" w:rsidRPr="00703A0B">
        <w:t xml:space="preserve">improving </w:t>
      </w:r>
      <w:r w:rsidR="6650B790" w:rsidRPr="00703A0B">
        <w:t>service consistency</w:t>
      </w:r>
      <w:r w:rsidR="54126E03" w:rsidRPr="00703A0B">
        <w:t xml:space="preserve">, </w:t>
      </w:r>
      <w:r w:rsidR="00AA5691" w:rsidRPr="00703A0B">
        <w:t xml:space="preserve">further </w:t>
      </w:r>
      <w:r w:rsidR="00414B17" w:rsidRPr="00703A0B">
        <w:t xml:space="preserve">increasing </w:t>
      </w:r>
      <w:r w:rsidR="54126E03" w:rsidRPr="00703A0B">
        <w:t>first</w:t>
      </w:r>
      <w:r w:rsidR="00414B17" w:rsidRPr="00703A0B">
        <w:t>-</w:t>
      </w:r>
      <w:r w:rsidR="54126E03" w:rsidRPr="00703A0B">
        <w:t>contact resolution</w:t>
      </w:r>
      <w:r w:rsidR="6650B790" w:rsidRPr="00703A0B">
        <w:t xml:space="preserve"> </w:t>
      </w:r>
      <w:r w:rsidR="00414B17" w:rsidRPr="00703A0B">
        <w:t>rates</w:t>
      </w:r>
      <w:r w:rsidR="00D704AD" w:rsidRPr="00703A0B">
        <w:t>,</w:t>
      </w:r>
      <w:r w:rsidR="00414B17" w:rsidRPr="00703A0B">
        <w:t xml:space="preserve"> </w:t>
      </w:r>
      <w:r w:rsidR="6650B790" w:rsidRPr="00703A0B">
        <w:t xml:space="preserve">and </w:t>
      </w:r>
      <w:r w:rsidR="00C5657C" w:rsidRPr="00703A0B">
        <w:t xml:space="preserve">enhancing </w:t>
      </w:r>
      <w:r w:rsidR="6650B790" w:rsidRPr="00703A0B">
        <w:t xml:space="preserve">the overall customer experience through targeted </w:t>
      </w:r>
      <w:r w:rsidR="00C5657C" w:rsidRPr="00703A0B">
        <w:t xml:space="preserve">capability </w:t>
      </w:r>
      <w:r w:rsidR="6650B790" w:rsidRPr="00703A0B">
        <w:t>development, streamlined processes</w:t>
      </w:r>
      <w:r w:rsidR="008C6DA2" w:rsidRPr="00703A0B">
        <w:t xml:space="preserve"> </w:t>
      </w:r>
      <w:r w:rsidR="6650B790" w:rsidRPr="00703A0B">
        <w:t>and greater system integration.</w:t>
      </w:r>
      <w:r w:rsidR="008C6DA2" w:rsidRPr="00703A0B">
        <w:t xml:space="preserve"> </w:t>
      </w:r>
      <w:r w:rsidR="6650B790" w:rsidRPr="00703A0B">
        <w:t xml:space="preserve">Frontline </w:t>
      </w:r>
      <w:r w:rsidR="00C5657C" w:rsidRPr="00703A0B">
        <w:t>s</w:t>
      </w:r>
      <w:r w:rsidR="6650B790" w:rsidRPr="00703A0B">
        <w:t xml:space="preserve">ervices will continue to play a </w:t>
      </w:r>
      <w:r w:rsidR="00063324" w:rsidRPr="00703A0B">
        <w:t xml:space="preserve">critical </w:t>
      </w:r>
      <w:r w:rsidR="6650B790" w:rsidRPr="00703A0B">
        <w:t>role in deliver</w:t>
      </w:r>
      <w:r w:rsidR="00063324" w:rsidRPr="00703A0B">
        <w:t>ing</w:t>
      </w:r>
      <w:r w:rsidR="6650B790" w:rsidRPr="00703A0B">
        <w:t xml:space="preserve"> business improvement initiatives and projects, with a focus on </w:t>
      </w:r>
      <w:r w:rsidR="00DD3C20" w:rsidRPr="00703A0B">
        <w:t xml:space="preserve">simplifying </w:t>
      </w:r>
      <w:r w:rsidR="6650B790" w:rsidRPr="00703A0B">
        <w:t>customer</w:t>
      </w:r>
      <w:r w:rsidR="00DD3C20" w:rsidRPr="00703A0B">
        <w:t xml:space="preserve"> interactions</w:t>
      </w:r>
      <w:r w:rsidR="008916F2" w:rsidRPr="00703A0B">
        <w:t xml:space="preserve"> </w:t>
      </w:r>
      <w:r w:rsidR="00DD3C20" w:rsidRPr="00703A0B">
        <w:t xml:space="preserve">and </w:t>
      </w:r>
      <w:r w:rsidR="00EF7ECE" w:rsidRPr="00703A0B">
        <w:t xml:space="preserve">strengthening </w:t>
      </w:r>
      <w:r w:rsidR="00541A5B" w:rsidRPr="00703A0B">
        <w:t>frontline capability to make it easier for customers</w:t>
      </w:r>
      <w:r w:rsidR="00027820" w:rsidRPr="00703A0B">
        <w:t xml:space="preserve"> and industry stakeholders</w:t>
      </w:r>
      <w:r w:rsidR="00541A5B" w:rsidRPr="00703A0B">
        <w:t xml:space="preserve"> to do business with the QBCC. </w:t>
      </w:r>
      <w:r w:rsidR="0072027D" w:rsidRPr="00703A0B">
        <w:t>Collectively, these initiatives will help deliver more</w:t>
      </w:r>
      <w:r w:rsidR="007044C7" w:rsidRPr="00703A0B">
        <w:t xml:space="preserve"> </w:t>
      </w:r>
      <w:r w:rsidR="0072027D" w:rsidRPr="00703A0B">
        <w:t>contemporary services that meet the evolving needs and expectations of customer and stakeholders</w:t>
      </w:r>
      <w:r w:rsidR="007B1940" w:rsidRPr="00703A0B">
        <w:t>.</w:t>
      </w:r>
    </w:p>
    <w:p w14:paraId="42FE798E" w14:textId="6E547758" w:rsidR="00AC29F1" w:rsidRPr="00703A0B" w:rsidRDefault="00AC29F1">
      <w:pPr>
        <w:rPr>
          <w:rFonts w:eastAsiaTheme="majorEastAsia" w:cstheme="majorBidi"/>
          <w:bCs/>
          <w:sz w:val="32"/>
          <w:szCs w:val="32"/>
        </w:rPr>
      </w:pPr>
      <w:bookmarkStart w:id="111" w:name="_Education_and_engagement_1"/>
      <w:bookmarkStart w:id="112" w:name="_Education_and_engagement"/>
      <w:bookmarkStart w:id="113" w:name="_Toc206493019"/>
      <w:bookmarkEnd w:id="111"/>
      <w:bookmarkEnd w:id="112"/>
      <w:r w:rsidRPr="00703A0B">
        <w:br w:type="page"/>
      </w:r>
    </w:p>
    <w:p w14:paraId="16EDEE72" w14:textId="45A89BB8" w:rsidR="00B364D5" w:rsidRPr="00703A0B" w:rsidRDefault="00031E95" w:rsidP="00B364D5">
      <w:pPr>
        <w:pStyle w:val="Heading2"/>
      </w:pPr>
      <w:bookmarkStart w:id="114" w:name="_Toc238101683"/>
      <w:r w:rsidRPr="00703A0B">
        <w:lastRenderedPageBreak/>
        <w:t>Education and</w:t>
      </w:r>
      <w:r w:rsidR="00921B16" w:rsidRPr="00703A0B">
        <w:t xml:space="preserve"> </w:t>
      </w:r>
      <w:r w:rsidR="00B364D5" w:rsidRPr="00703A0B">
        <w:t>engagement</w:t>
      </w:r>
      <w:bookmarkEnd w:id="113"/>
      <w:bookmarkEnd w:id="114"/>
    </w:p>
    <w:p w14:paraId="285025AC" w14:textId="3DC37F4F" w:rsidR="0015479B" w:rsidRPr="00703A0B" w:rsidRDefault="0015479B" w:rsidP="0015479B">
      <w:pPr>
        <w:spacing w:before="120" w:after="120"/>
      </w:pPr>
      <w:r w:rsidRPr="00703A0B">
        <w:t>Th</w:t>
      </w:r>
      <w:r w:rsidR="00E66B6A" w:rsidRPr="00703A0B">
        <w:t xml:space="preserve">e </w:t>
      </w:r>
      <w:r w:rsidRPr="00703A0B">
        <w:t xml:space="preserve">education and engagement activities </w:t>
      </w:r>
      <w:r w:rsidR="00E66B6A" w:rsidRPr="00703A0B">
        <w:t xml:space="preserve">delivered by the QBCC throughout the reporting period </w:t>
      </w:r>
      <w:r w:rsidR="001F570C" w:rsidRPr="00703A0B">
        <w:t xml:space="preserve">support </w:t>
      </w:r>
      <w:r w:rsidRPr="00703A0B">
        <w:t>consumer</w:t>
      </w:r>
      <w:r w:rsidR="001F570C" w:rsidRPr="00703A0B">
        <w:t xml:space="preserve"> protection</w:t>
      </w:r>
      <w:r w:rsidRPr="00703A0B">
        <w:t>, improv</w:t>
      </w:r>
      <w:r w:rsidR="003E1618" w:rsidRPr="00703A0B">
        <w:t>e</w:t>
      </w:r>
      <w:r w:rsidRPr="00703A0B">
        <w:t xml:space="preserve"> industry capability and promot</w:t>
      </w:r>
      <w:r w:rsidR="00B256D5" w:rsidRPr="00703A0B">
        <w:t xml:space="preserve">e </w:t>
      </w:r>
      <w:r w:rsidRPr="00703A0B">
        <w:t>compliance across Queensland's building and construction industry</w:t>
      </w:r>
      <w:r w:rsidR="3E85DA47" w:rsidRPr="00703A0B">
        <w:t xml:space="preserve"> and communities</w:t>
      </w:r>
      <w:r w:rsidRPr="00703A0B">
        <w:t xml:space="preserve">. Through targeted communications, events, stakeholder forums and digital engagement, the QBCC provides customers and industry </w:t>
      </w:r>
      <w:r w:rsidR="005F0D8C" w:rsidRPr="00703A0B">
        <w:t xml:space="preserve">stakeholders </w:t>
      </w:r>
      <w:r w:rsidRPr="00703A0B">
        <w:t>with the information and support needed to understand their rights, responsibilities and regulatory obligations.</w:t>
      </w:r>
    </w:p>
    <w:p w14:paraId="09E780C3" w14:textId="2E4EBFB6" w:rsidR="00BA2849" w:rsidRPr="00703A0B" w:rsidRDefault="00FD5806" w:rsidP="00BA2849">
      <w:pPr>
        <w:spacing w:before="120" w:after="120"/>
      </w:pPr>
      <w:r w:rsidRPr="00703A0B">
        <w:t xml:space="preserve">A key achievement </w:t>
      </w:r>
      <w:r w:rsidR="00595C20" w:rsidRPr="00703A0B">
        <w:t xml:space="preserve">during the reporting period was the </w:t>
      </w:r>
      <w:r w:rsidR="00BA2849" w:rsidRPr="00703A0B">
        <w:t>establish</w:t>
      </w:r>
      <w:r w:rsidR="008E2CA2" w:rsidRPr="00703A0B">
        <w:t xml:space="preserve">ment of </w:t>
      </w:r>
      <w:r w:rsidR="00BA2849" w:rsidRPr="00703A0B">
        <w:t>three</w:t>
      </w:r>
      <w:r w:rsidR="001E0E32" w:rsidRPr="00703A0B">
        <w:t xml:space="preserve"> </w:t>
      </w:r>
      <w:r w:rsidR="00192838" w:rsidRPr="00703A0B">
        <w:t>short, targeted</w:t>
      </w:r>
      <w:r w:rsidR="00BA2849" w:rsidRPr="00703A0B">
        <w:t xml:space="preserve"> industry taskforces</w:t>
      </w:r>
      <w:r w:rsidR="00421081" w:rsidRPr="00703A0B">
        <w:t xml:space="preserve"> </w:t>
      </w:r>
      <w:r w:rsidR="00BA2849" w:rsidRPr="00703A0B">
        <w:t>focus</w:t>
      </w:r>
      <w:r w:rsidR="00421081" w:rsidRPr="00703A0B">
        <w:t xml:space="preserve">ed </w:t>
      </w:r>
      <w:r w:rsidR="00BA2849" w:rsidRPr="00703A0B">
        <w:t>on</w:t>
      </w:r>
      <w:r w:rsidR="00AD4A5E" w:rsidRPr="00703A0B">
        <w:t xml:space="preserve"> </w:t>
      </w:r>
      <w:r w:rsidR="00BA2849" w:rsidRPr="00703A0B">
        <w:t xml:space="preserve">licensee accountability, </w:t>
      </w:r>
      <w:r w:rsidR="00421081" w:rsidRPr="00703A0B">
        <w:t>MFR</w:t>
      </w:r>
      <w:r w:rsidR="00AD4A5E" w:rsidRPr="00703A0B">
        <w:t>,</w:t>
      </w:r>
      <w:r w:rsidR="00BA2849" w:rsidRPr="00703A0B">
        <w:t xml:space="preserve"> and industry skills and training. Bringing together associations, peak bodies and </w:t>
      </w:r>
      <w:r w:rsidR="001E0E32" w:rsidRPr="00703A0B">
        <w:t xml:space="preserve">stakeholder </w:t>
      </w:r>
      <w:r w:rsidR="00BA2849" w:rsidRPr="00703A0B">
        <w:t>representatives, the</w:t>
      </w:r>
      <w:r w:rsidR="00DD51DA" w:rsidRPr="00703A0B">
        <w:t>se</w:t>
      </w:r>
      <w:r w:rsidR="00BA2849" w:rsidRPr="00703A0B">
        <w:t xml:space="preserve"> taskforces </w:t>
      </w:r>
      <w:r w:rsidR="00AB6B8D" w:rsidRPr="00703A0B">
        <w:t>contributed to practical regulatory</w:t>
      </w:r>
      <w:r w:rsidR="00BA2849" w:rsidRPr="00703A0B">
        <w:t xml:space="preserve"> improvements, including updates to the Direction to Rectify Guideline and </w:t>
      </w:r>
      <w:r w:rsidR="35756138" w:rsidRPr="00703A0B">
        <w:t xml:space="preserve">the </w:t>
      </w:r>
      <w:r w:rsidR="00BA2849" w:rsidRPr="00703A0B">
        <w:t>M</w:t>
      </w:r>
      <w:r w:rsidR="00E312C3" w:rsidRPr="00703A0B">
        <w:t>FR</w:t>
      </w:r>
      <w:r w:rsidR="00BA2849" w:rsidRPr="00703A0B">
        <w:t xml:space="preserve"> Regulatory Guide. The</w:t>
      </w:r>
      <w:r w:rsidR="006625B2" w:rsidRPr="00703A0B">
        <w:t xml:space="preserve"> </w:t>
      </w:r>
      <w:r w:rsidR="003C4DE4" w:rsidRPr="00703A0B">
        <w:t xml:space="preserve">taskforces </w:t>
      </w:r>
      <w:r w:rsidR="00E312C3" w:rsidRPr="00703A0B">
        <w:t xml:space="preserve">have also strengthened </w:t>
      </w:r>
      <w:r w:rsidR="00BA2849" w:rsidRPr="00703A0B">
        <w:t>collaborat</w:t>
      </w:r>
      <w:r w:rsidR="007A599F" w:rsidRPr="00703A0B">
        <w:t>ion between the QBCC and industry stakeholders</w:t>
      </w:r>
      <w:r w:rsidR="00BA5409" w:rsidRPr="00703A0B">
        <w:t xml:space="preserve">, supporting a </w:t>
      </w:r>
      <w:r w:rsidR="00BA2849" w:rsidRPr="00703A0B">
        <w:t>more capable, compliant and future-ready building and construction industry.</w:t>
      </w:r>
    </w:p>
    <w:p w14:paraId="25C1EE2F" w14:textId="5508966E" w:rsidR="0015479B" w:rsidRPr="00703A0B" w:rsidRDefault="0015479B" w:rsidP="0015479B">
      <w:pPr>
        <w:spacing w:before="120" w:after="120"/>
      </w:pPr>
      <w:r w:rsidRPr="00703A0B">
        <w:t>During 2025–26,</w:t>
      </w:r>
      <w:r w:rsidR="00FD6499" w:rsidRPr="00703A0B">
        <w:t xml:space="preserve"> the QBCC delivered</w:t>
      </w:r>
      <w:r w:rsidRPr="00703A0B">
        <w:t xml:space="preserve"> </w:t>
      </w:r>
      <w:r w:rsidR="00A21FA4" w:rsidRPr="00703A0B">
        <w:t>additional</w:t>
      </w:r>
      <w:r w:rsidR="008813C6" w:rsidRPr="00703A0B">
        <w:t xml:space="preserve"> </w:t>
      </w:r>
      <w:r w:rsidRPr="00703A0B">
        <w:t xml:space="preserve">engagement activities </w:t>
      </w:r>
      <w:r w:rsidR="00FD6499" w:rsidRPr="00703A0B">
        <w:t xml:space="preserve">that provided valuable </w:t>
      </w:r>
      <w:r w:rsidRPr="00703A0B">
        <w:t>insights into customer and industry expectations</w:t>
      </w:r>
      <w:r w:rsidR="00DD0902" w:rsidRPr="00703A0B">
        <w:t xml:space="preserve">. Feedback </w:t>
      </w:r>
      <w:r w:rsidR="00F532A3" w:rsidRPr="00703A0B">
        <w:t xml:space="preserve">highlighted </w:t>
      </w:r>
      <w:r w:rsidRPr="00703A0B">
        <w:t>the importance of accessible services, clear communication, streamlined processes and transparent decision</w:t>
      </w:r>
      <w:r w:rsidR="00A135AC" w:rsidRPr="00703A0B">
        <w:t xml:space="preserve"> </w:t>
      </w:r>
      <w:r w:rsidRPr="00703A0B">
        <w:t>making. These insights continue to inform improvements to</w:t>
      </w:r>
      <w:r w:rsidR="00BB212B" w:rsidRPr="00703A0B">
        <w:t xml:space="preserve"> the QBCC’s</w:t>
      </w:r>
      <w:r w:rsidRPr="00703A0B">
        <w:t xml:space="preserve"> services, systems and regulatory approaches.</w:t>
      </w:r>
      <w:r w:rsidR="00417D90" w:rsidRPr="00703A0B">
        <w:t xml:space="preserve"> </w:t>
      </w:r>
      <w:r w:rsidR="00E52A7E" w:rsidRPr="00703A0B">
        <w:fldChar w:fldCharType="begin"/>
      </w:r>
      <w:r w:rsidR="00E52A7E" w:rsidRPr="00703A0B">
        <w:instrText xml:space="preserve"> REF _Ref233645112 \h </w:instrText>
      </w:r>
      <w:r w:rsidR="00E52A7E" w:rsidRPr="00703A0B">
        <w:fldChar w:fldCharType="separate"/>
      </w:r>
      <w:r w:rsidR="004502E7" w:rsidRPr="00703A0B">
        <w:t xml:space="preserve">Table </w:t>
      </w:r>
      <w:r w:rsidR="004502E7" w:rsidRPr="00F621D8">
        <w:t>17</w:t>
      </w:r>
      <w:r w:rsidR="00E52A7E" w:rsidRPr="00703A0B">
        <w:fldChar w:fldCharType="end"/>
      </w:r>
      <w:r w:rsidR="006A0552" w:rsidRPr="00703A0B">
        <w:t xml:space="preserve"> </w:t>
      </w:r>
      <w:r w:rsidR="00417D90" w:rsidRPr="00703A0B">
        <w:t xml:space="preserve">provides an overview of the </w:t>
      </w:r>
      <w:r w:rsidR="00BA7587" w:rsidRPr="00703A0B">
        <w:t>key engagement activities</w:t>
      </w:r>
      <w:r w:rsidR="00E231AE" w:rsidRPr="00703A0B">
        <w:t xml:space="preserve"> delivered during the reporting period.</w:t>
      </w:r>
    </w:p>
    <w:p w14:paraId="30E66857" w14:textId="2C253EED" w:rsidR="006075AE" w:rsidRPr="00703A0B" w:rsidRDefault="006A0552" w:rsidP="006A0552">
      <w:pPr>
        <w:pStyle w:val="Caption"/>
      </w:pPr>
      <w:bookmarkStart w:id="115" w:name="_Ref233645112"/>
      <w:bookmarkStart w:id="116" w:name="_Ref234915423"/>
      <w:r w:rsidRPr="00703A0B">
        <w:t xml:space="preserve">Table </w:t>
      </w:r>
      <w:r w:rsidRPr="00703A0B">
        <w:fldChar w:fldCharType="begin"/>
      </w:r>
      <w:r w:rsidRPr="00703A0B">
        <w:instrText>SEQ Table \* ARABIC</w:instrText>
      </w:r>
      <w:r w:rsidRPr="00703A0B">
        <w:fldChar w:fldCharType="separate"/>
      </w:r>
      <w:r w:rsidR="003764AA" w:rsidRPr="00F621D8">
        <w:t>17</w:t>
      </w:r>
      <w:r w:rsidRPr="00703A0B">
        <w:fldChar w:fldCharType="end"/>
      </w:r>
      <w:bookmarkEnd w:id="115"/>
      <w:r w:rsidR="006075AE" w:rsidRPr="00703A0B">
        <w:t xml:space="preserve">: Stakeholder engagement activities </w:t>
      </w:r>
      <w:r w:rsidR="00CA6962" w:rsidRPr="00703A0B">
        <w:t xml:space="preserve">delivered </w:t>
      </w:r>
      <w:r w:rsidR="00D47E42" w:rsidRPr="00703A0B">
        <w:t>in 2025–26</w:t>
      </w:r>
      <w:bookmarkEnd w:id="116"/>
    </w:p>
    <w:tbl>
      <w:tblPr>
        <w:tblStyle w:val="TableGrid"/>
        <w:tblW w:w="10450" w:type="dxa"/>
        <w:tblCellMar>
          <w:top w:w="28" w:type="dxa"/>
          <w:bottom w:w="28" w:type="dxa"/>
        </w:tblCellMar>
        <w:tblLook w:val="04A0" w:firstRow="1" w:lastRow="0" w:firstColumn="1" w:lastColumn="0" w:noHBand="0" w:noVBand="1"/>
      </w:tblPr>
      <w:tblGrid>
        <w:gridCol w:w="1560"/>
        <w:gridCol w:w="8890"/>
      </w:tblGrid>
      <w:tr w:rsidR="006075AE" w:rsidRPr="00703A0B" w14:paraId="12CEC43F" w14:textId="77777777" w:rsidTr="00FC430D">
        <w:tc>
          <w:tcPr>
            <w:tcW w:w="1560" w:type="dxa"/>
            <w:shd w:val="clear" w:color="auto" w:fill="BFBFBF" w:themeFill="background1" w:themeFillShade="BF"/>
          </w:tcPr>
          <w:p w14:paraId="123DAEF8" w14:textId="77777777" w:rsidR="006075AE" w:rsidRPr="00703A0B" w:rsidRDefault="006075AE" w:rsidP="00B519CC">
            <w:r w:rsidRPr="00703A0B">
              <w:rPr>
                <w:b/>
                <w:bCs/>
              </w:rPr>
              <w:t>Audience</w:t>
            </w:r>
          </w:p>
        </w:tc>
        <w:tc>
          <w:tcPr>
            <w:tcW w:w="8890" w:type="dxa"/>
            <w:shd w:val="clear" w:color="auto" w:fill="BFBFBF" w:themeFill="background1" w:themeFillShade="BF"/>
          </w:tcPr>
          <w:p w14:paraId="636E2001" w14:textId="77777777" w:rsidR="006075AE" w:rsidRPr="00703A0B" w:rsidRDefault="006075AE" w:rsidP="00B519CC">
            <w:r w:rsidRPr="00703A0B">
              <w:rPr>
                <w:b/>
                <w:bCs/>
              </w:rPr>
              <w:t>Key activities and outcomes</w:t>
            </w:r>
          </w:p>
        </w:tc>
      </w:tr>
      <w:tr w:rsidR="006075AE" w:rsidRPr="00703A0B" w14:paraId="4E9DAE25" w14:textId="77777777" w:rsidTr="00FC430D">
        <w:tc>
          <w:tcPr>
            <w:tcW w:w="1560" w:type="dxa"/>
          </w:tcPr>
          <w:p w14:paraId="214B5E5C" w14:textId="77777777" w:rsidR="006075AE" w:rsidRPr="00703A0B" w:rsidRDefault="006075AE" w:rsidP="00B519CC">
            <w:proofErr w:type="gramStart"/>
            <w:r w:rsidRPr="00703A0B">
              <w:t>Home owners</w:t>
            </w:r>
            <w:proofErr w:type="gramEnd"/>
          </w:p>
        </w:tc>
        <w:tc>
          <w:tcPr>
            <w:tcW w:w="8890" w:type="dxa"/>
          </w:tcPr>
          <w:p w14:paraId="30BBD61C" w14:textId="20B2DC65" w:rsidR="00357B98" w:rsidRPr="00703A0B" w:rsidRDefault="00B3731C" w:rsidP="00A96805">
            <w:pPr>
              <w:pStyle w:val="ListParagraph"/>
              <w:numPr>
                <w:ilvl w:val="0"/>
                <w:numId w:val="109"/>
              </w:numPr>
              <w:ind w:left="714" w:hanging="357"/>
              <w:contextualSpacing w:val="0"/>
            </w:pPr>
            <w:r w:rsidRPr="00703A0B">
              <w:t>Delivered targeted</w:t>
            </w:r>
            <w:r w:rsidR="007A0F27" w:rsidRPr="00703A0B">
              <w:t xml:space="preserve"> </w:t>
            </w:r>
            <w:r w:rsidR="00FA0C62" w:rsidRPr="00703A0B">
              <w:t xml:space="preserve">consumer awareness campaigns for </w:t>
            </w:r>
            <w:proofErr w:type="gramStart"/>
            <w:r w:rsidR="00FA0C62" w:rsidRPr="00703A0B">
              <w:t>home owners</w:t>
            </w:r>
            <w:proofErr w:type="gramEnd"/>
            <w:r w:rsidR="00FA0C62" w:rsidRPr="00703A0B">
              <w:t xml:space="preserve"> </w:t>
            </w:r>
            <w:r w:rsidR="60D62AC5" w:rsidRPr="00703A0B">
              <w:t>about</w:t>
            </w:r>
            <w:r w:rsidR="00FA0C62" w:rsidRPr="00703A0B">
              <w:t xml:space="preserve"> building contracts, deposits, QHWS cover and defect management, to help consumers understand their rights and make informed decisions throughout their building journey</w:t>
            </w:r>
            <w:r w:rsidR="00A96805" w:rsidRPr="00703A0B">
              <w:t>.</w:t>
            </w:r>
          </w:p>
          <w:p w14:paraId="02FB872E" w14:textId="36D4D499" w:rsidR="0007248B" w:rsidRPr="00703A0B" w:rsidRDefault="006075AE" w:rsidP="00A96805">
            <w:pPr>
              <w:pStyle w:val="ListParagraph"/>
              <w:numPr>
                <w:ilvl w:val="0"/>
                <w:numId w:val="109"/>
              </w:numPr>
              <w:ind w:left="714" w:hanging="357"/>
              <w:contextualSpacing w:val="0"/>
            </w:pPr>
            <w:r w:rsidRPr="00703A0B">
              <w:t>Participated in two Brisbane Home Show</w:t>
            </w:r>
            <w:r w:rsidR="001939B3" w:rsidRPr="00703A0B">
              <w:t>s</w:t>
            </w:r>
            <w:r w:rsidR="0029435E" w:rsidRPr="00703A0B">
              <w:t>, to educate consumers and industry participants about QBCC services, regulatory requirements and consumer protections</w:t>
            </w:r>
            <w:r w:rsidR="00A96805" w:rsidRPr="00703A0B">
              <w:t>.</w:t>
            </w:r>
          </w:p>
          <w:p w14:paraId="6328324D" w14:textId="71DBEE89" w:rsidR="006075AE" w:rsidRPr="00703A0B" w:rsidRDefault="0007248B">
            <w:pPr>
              <w:pStyle w:val="ListParagraph"/>
              <w:numPr>
                <w:ilvl w:val="0"/>
                <w:numId w:val="109"/>
              </w:numPr>
              <w:ind w:left="714" w:hanging="357"/>
              <w:contextualSpacing w:val="0"/>
            </w:pPr>
            <w:r w:rsidRPr="00703A0B">
              <w:t>C</w:t>
            </w:r>
            <w:r w:rsidR="006075AE" w:rsidRPr="00703A0B">
              <w:t xml:space="preserve">onducted </w:t>
            </w:r>
            <w:r w:rsidR="00854203" w:rsidRPr="00703A0B">
              <w:t xml:space="preserve">three </w:t>
            </w:r>
            <w:r w:rsidR="006075AE" w:rsidRPr="00703A0B">
              <w:t>consumer roundtables</w:t>
            </w:r>
            <w:r w:rsidR="46B2FF22" w:rsidRPr="00703A0B">
              <w:t xml:space="preserve"> across Queensland</w:t>
            </w:r>
            <w:r w:rsidR="00F7725C" w:rsidRPr="00703A0B">
              <w:t>,</w:t>
            </w:r>
            <w:r w:rsidR="006075AE" w:rsidRPr="00703A0B">
              <w:t xml:space="preserve"> to gather customer insights</w:t>
            </w:r>
            <w:r w:rsidR="00C35C6D" w:rsidRPr="00703A0B">
              <w:t xml:space="preserve"> and</w:t>
            </w:r>
            <w:r w:rsidR="00A94E3B" w:rsidRPr="00703A0B">
              <w:t xml:space="preserve"> inform service improvements </w:t>
            </w:r>
            <w:r w:rsidR="00C35C6D" w:rsidRPr="00703A0B">
              <w:t>that</w:t>
            </w:r>
            <w:r w:rsidR="00A94E3B" w:rsidRPr="00703A0B">
              <w:t xml:space="preserve"> better respond to customer needs and expectations</w:t>
            </w:r>
            <w:r w:rsidR="00A96805" w:rsidRPr="00703A0B">
              <w:t>.</w:t>
            </w:r>
          </w:p>
          <w:p w14:paraId="636FAF1C" w14:textId="6092323A" w:rsidR="00854203" w:rsidRPr="00703A0B" w:rsidRDefault="00AF3B9D" w:rsidP="00A96805">
            <w:pPr>
              <w:pStyle w:val="ListParagraph"/>
              <w:numPr>
                <w:ilvl w:val="0"/>
                <w:numId w:val="109"/>
              </w:numPr>
              <w:ind w:left="714" w:hanging="357"/>
              <w:contextualSpacing w:val="0"/>
            </w:pPr>
            <w:r w:rsidRPr="00703A0B">
              <w:t xml:space="preserve">Launched the QBCC </w:t>
            </w:r>
            <w:proofErr w:type="gramStart"/>
            <w:r w:rsidRPr="00703A0B">
              <w:t>Home Owner</w:t>
            </w:r>
            <w:proofErr w:type="gramEnd"/>
            <w:r w:rsidRPr="00703A0B">
              <w:t xml:space="preserve"> Hu</w:t>
            </w:r>
            <w:r w:rsidR="00793A6E" w:rsidRPr="00703A0B">
              <w:t>b</w:t>
            </w:r>
            <w:r w:rsidR="00825435" w:rsidRPr="00703A0B">
              <w:t xml:space="preserve"> (</w:t>
            </w:r>
            <w:proofErr w:type="spellStart"/>
            <w:r w:rsidR="00825435" w:rsidRPr="00703A0B">
              <w:t>HoH</w:t>
            </w:r>
            <w:proofErr w:type="spellEnd"/>
            <w:r w:rsidR="00825435" w:rsidRPr="00703A0B">
              <w:t>)</w:t>
            </w:r>
            <w:r w:rsidR="00611E72" w:rsidRPr="00703A0B">
              <w:t>, to</w:t>
            </w:r>
            <w:r w:rsidR="004E350A" w:rsidRPr="00703A0B">
              <w:t xml:space="preserve"> </w:t>
            </w:r>
            <w:r w:rsidR="008321B9" w:rsidRPr="00703A0B">
              <w:t xml:space="preserve">provide </w:t>
            </w:r>
            <w:proofErr w:type="gramStart"/>
            <w:r w:rsidR="008321B9" w:rsidRPr="00703A0B">
              <w:t>home owners</w:t>
            </w:r>
            <w:proofErr w:type="gramEnd"/>
            <w:r w:rsidR="008321B9" w:rsidRPr="00703A0B">
              <w:t xml:space="preserve"> with</w:t>
            </w:r>
            <w:r w:rsidR="00A968E8" w:rsidRPr="00703A0B">
              <w:t xml:space="preserve"> easier </w:t>
            </w:r>
            <w:r w:rsidR="00736F84" w:rsidRPr="00703A0B">
              <w:t xml:space="preserve">access </w:t>
            </w:r>
            <w:r w:rsidR="004E350A" w:rsidRPr="00703A0B">
              <w:t xml:space="preserve">to </w:t>
            </w:r>
            <w:r w:rsidR="00374A29" w:rsidRPr="00703A0B">
              <w:t xml:space="preserve">trusted </w:t>
            </w:r>
            <w:r w:rsidR="004E350A" w:rsidRPr="00703A0B">
              <w:t>information,</w:t>
            </w:r>
            <w:r w:rsidR="00530B15" w:rsidRPr="00703A0B">
              <w:t xml:space="preserve"> </w:t>
            </w:r>
            <w:r w:rsidR="00A968E8" w:rsidRPr="00703A0B">
              <w:t>guidance and resources th</w:t>
            </w:r>
            <w:r w:rsidR="004E350A" w:rsidRPr="00703A0B">
              <w:t>roughout their building and renovation journey</w:t>
            </w:r>
            <w:r w:rsidR="00A96805" w:rsidRPr="00703A0B">
              <w:t>.</w:t>
            </w:r>
          </w:p>
        </w:tc>
      </w:tr>
      <w:tr w:rsidR="006075AE" w:rsidRPr="00703A0B" w14:paraId="512BF79E" w14:textId="77777777" w:rsidTr="00FC430D">
        <w:tc>
          <w:tcPr>
            <w:tcW w:w="1560" w:type="dxa"/>
          </w:tcPr>
          <w:p w14:paraId="122EADA4" w14:textId="77777777" w:rsidR="006075AE" w:rsidRPr="00703A0B" w:rsidRDefault="006075AE" w:rsidP="00B519CC">
            <w:r w:rsidRPr="00703A0B">
              <w:t>Licensees</w:t>
            </w:r>
          </w:p>
        </w:tc>
        <w:tc>
          <w:tcPr>
            <w:tcW w:w="8890" w:type="dxa"/>
          </w:tcPr>
          <w:p w14:paraId="69217AE9" w14:textId="1CE6E119" w:rsidR="00457506" w:rsidRPr="00703A0B" w:rsidRDefault="006075AE" w:rsidP="00A96805">
            <w:pPr>
              <w:pStyle w:val="ListParagraph"/>
              <w:numPr>
                <w:ilvl w:val="0"/>
                <w:numId w:val="110"/>
              </w:numPr>
              <w:ind w:left="714" w:hanging="357"/>
              <w:contextualSpacing w:val="0"/>
            </w:pPr>
            <w:r w:rsidRPr="00703A0B">
              <w:t>Delivered education on MFR and annual reporting obligations</w:t>
            </w:r>
            <w:r w:rsidR="00740DA6" w:rsidRPr="00703A0B">
              <w:t>, to support financial compliance and improve understanding of regulatory requirements among licensees</w:t>
            </w:r>
            <w:r w:rsidR="00A96805" w:rsidRPr="00703A0B">
              <w:t>.</w:t>
            </w:r>
          </w:p>
          <w:p w14:paraId="1BAA8188" w14:textId="6DF7A508" w:rsidR="00AF5FA8" w:rsidRPr="00703A0B" w:rsidRDefault="002915D1" w:rsidP="00A96805">
            <w:pPr>
              <w:pStyle w:val="ListParagraph"/>
              <w:numPr>
                <w:ilvl w:val="0"/>
                <w:numId w:val="110"/>
              </w:numPr>
              <w:ind w:left="714" w:hanging="357"/>
              <w:contextualSpacing w:val="0"/>
            </w:pPr>
            <w:r w:rsidRPr="00703A0B">
              <w:t>Delivered targeted compliance and regulatory education campaigns for licensees, focused on licensed contractors, contracts, deposits and QHWS requirements, to strengthen industry capability and support compliance with legislative obligations</w:t>
            </w:r>
            <w:r w:rsidR="00A96805" w:rsidRPr="00703A0B">
              <w:t>.</w:t>
            </w:r>
          </w:p>
          <w:p w14:paraId="001862C7" w14:textId="1A036521" w:rsidR="00457506" w:rsidRPr="00703A0B" w:rsidRDefault="00457506" w:rsidP="00A96805">
            <w:pPr>
              <w:pStyle w:val="ListParagraph"/>
              <w:numPr>
                <w:ilvl w:val="0"/>
                <w:numId w:val="110"/>
              </w:numPr>
              <w:ind w:left="714" w:hanging="357"/>
              <w:contextualSpacing w:val="0"/>
            </w:pPr>
            <w:r w:rsidRPr="00703A0B">
              <w:t>S</w:t>
            </w:r>
            <w:r w:rsidR="006075AE" w:rsidRPr="00703A0B">
              <w:t>upported Building Reg Reno implementation</w:t>
            </w:r>
            <w:r w:rsidR="003A6ECC" w:rsidRPr="00703A0B">
              <w:t xml:space="preserve"> to </w:t>
            </w:r>
            <w:r w:rsidR="00FF1F7F" w:rsidRPr="00703A0B">
              <w:t>boost p</w:t>
            </w:r>
            <w:r w:rsidR="00942CCD" w:rsidRPr="00703A0B">
              <w:t xml:space="preserve">roductivity, </w:t>
            </w:r>
            <w:r w:rsidR="003A6ECC" w:rsidRPr="00703A0B">
              <w:t>reduce</w:t>
            </w:r>
            <w:r w:rsidR="00942CCD" w:rsidRPr="00703A0B">
              <w:t xml:space="preserve"> regulatory burden</w:t>
            </w:r>
            <w:r w:rsidR="00FD4EAA" w:rsidRPr="00703A0B">
              <w:t xml:space="preserve"> and safeguard investment</w:t>
            </w:r>
            <w:r w:rsidR="00FF4C8B" w:rsidRPr="00703A0B">
              <w:t>s</w:t>
            </w:r>
            <w:r w:rsidR="00FD4EAA" w:rsidRPr="00703A0B">
              <w:t xml:space="preserve"> </w:t>
            </w:r>
            <w:r w:rsidR="00136F43" w:rsidRPr="00703A0B">
              <w:t>in building and construction in Queensland</w:t>
            </w:r>
            <w:r w:rsidR="00A96805" w:rsidRPr="00703A0B">
              <w:t>.</w:t>
            </w:r>
          </w:p>
          <w:p w14:paraId="561C6BD7" w14:textId="4C8D7BE7" w:rsidR="006075AE" w:rsidRPr="00703A0B" w:rsidRDefault="00457506" w:rsidP="00A96805">
            <w:pPr>
              <w:pStyle w:val="ListParagraph"/>
              <w:numPr>
                <w:ilvl w:val="0"/>
                <w:numId w:val="110"/>
              </w:numPr>
              <w:ind w:left="714" w:hanging="357"/>
              <w:contextualSpacing w:val="0"/>
            </w:pPr>
            <w:r w:rsidRPr="00703A0B">
              <w:t>Pa</w:t>
            </w:r>
            <w:r w:rsidR="006075AE" w:rsidRPr="00703A0B">
              <w:t>rticipated in industry events, site visits and regional roadshows</w:t>
            </w:r>
            <w:r w:rsidR="00FD13A0" w:rsidRPr="00703A0B">
              <w:t xml:space="preserve">, to strengthen stakeholder relationships, promote compliance and increase awareness of </w:t>
            </w:r>
            <w:r w:rsidR="00AB74A1" w:rsidRPr="00703A0B">
              <w:t xml:space="preserve">the </w:t>
            </w:r>
            <w:r w:rsidR="00FD13A0" w:rsidRPr="00703A0B">
              <w:t>QBCC</w:t>
            </w:r>
            <w:r w:rsidR="00AB74A1" w:rsidRPr="00703A0B">
              <w:t>’s</w:t>
            </w:r>
            <w:r w:rsidR="00FD13A0" w:rsidRPr="00703A0B">
              <w:t xml:space="preserve"> initiatives and services</w:t>
            </w:r>
            <w:r w:rsidR="00A96805" w:rsidRPr="00703A0B">
              <w:t>.</w:t>
            </w:r>
          </w:p>
          <w:p w14:paraId="23C82B25" w14:textId="7721483B" w:rsidR="006075AE" w:rsidRPr="00703A0B" w:rsidRDefault="47EE3A8C" w:rsidP="00A96805">
            <w:pPr>
              <w:pStyle w:val="ListParagraph"/>
              <w:numPr>
                <w:ilvl w:val="0"/>
                <w:numId w:val="110"/>
              </w:numPr>
              <w:ind w:left="714" w:hanging="357"/>
              <w:contextualSpacing w:val="0"/>
            </w:pPr>
            <w:r w:rsidRPr="00703A0B">
              <w:t>Delivered</w:t>
            </w:r>
            <w:r w:rsidR="00A75DF4" w:rsidRPr="00703A0B">
              <w:t xml:space="preserve"> a series</w:t>
            </w:r>
            <w:r w:rsidRPr="00703A0B">
              <w:t xml:space="preserve"> regional roadshows and micro conferen</w:t>
            </w:r>
            <w:r w:rsidR="46636EB3" w:rsidRPr="00703A0B">
              <w:t>ces</w:t>
            </w:r>
            <w:r w:rsidRPr="00703A0B">
              <w:t xml:space="preserve"> with Master Builders Queensland and Master Painters Association Queensland, to engage licensees on the state of the industry, strengthen regional stakeholder relationships and provide direct forum</w:t>
            </w:r>
            <w:r w:rsidR="00DA2A5D" w:rsidRPr="00703A0B">
              <w:t>s</w:t>
            </w:r>
            <w:r w:rsidRPr="00703A0B">
              <w:t xml:space="preserve"> to address emerging issues and concerns</w:t>
            </w:r>
            <w:r w:rsidR="00A96805" w:rsidRPr="00703A0B">
              <w:t>.</w:t>
            </w:r>
          </w:p>
        </w:tc>
      </w:tr>
      <w:tr w:rsidR="006075AE" w:rsidRPr="00703A0B" w14:paraId="09589EBE" w14:textId="77777777" w:rsidTr="00FC430D">
        <w:tc>
          <w:tcPr>
            <w:tcW w:w="1560" w:type="dxa"/>
          </w:tcPr>
          <w:p w14:paraId="1EC745B0" w14:textId="77777777" w:rsidR="006075AE" w:rsidRPr="00703A0B" w:rsidRDefault="006075AE" w:rsidP="00B519CC">
            <w:r w:rsidRPr="00703A0B">
              <w:t>Industry stakeholders</w:t>
            </w:r>
          </w:p>
        </w:tc>
        <w:tc>
          <w:tcPr>
            <w:tcW w:w="8890" w:type="dxa"/>
          </w:tcPr>
          <w:p w14:paraId="789E96B4" w14:textId="33D9F8FD" w:rsidR="00A56CEB" w:rsidRPr="00703A0B" w:rsidRDefault="006075AE" w:rsidP="001179D7">
            <w:pPr>
              <w:pStyle w:val="ListParagraph"/>
              <w:numPr>
                <w:ilvl w:val="0"/>
                <w:numId w:val="111"/>
              </w:numPr>
              <w:ind w:left="714" w:hanging="357"/>
              <w:contextualSpacing w:val="0"/>
            </w:pPr>
            <w:r w:rsidRPr="00703A0B">
              <w:t xml:space="preserve">Conducted </w:t>
            </w:r>
            <w:r w:rsidR="00787CF2" w:rsidRPr="00703A0B">
              <w:t>a series of</w:t>
            </w:r>
            <w:r w:rsidR="000C41CB" w:rsidRPr="00703A0B">
              <w:t xml:space="preserve"> </w:t>
            </w:r>
            <w:r w:rsidRPr="00703A0B">
              <w:t>stakeholder meetings</w:t>
            </w:r>
            <w:r w:rsidR="00C77CDE" w:rsidRPr="00703A0B">
              <w:t xml:space="preserve">, </w:t>
            </w:r>
            <w:r w:rsidR="00FC66FD" w:rsidRPr="00703A0B">
              <w:t xml:space="preserve">to </w:t>
            </w:r>
            <w:r w:rsidR="003555BC" w:rsidRPr="00703A0B">
              <w:t xml:space="preserve">develop partnerships, </w:t>
            </w:r>
            <w:r w:rsidR="00C77CDE" w:rsidRPr="00703A0B">
              <w:t>gather industry feedback and support informed regulatory decision</w:t>
            </w:r>
            <w:r w:rsidR="00FC66FD" w:rsidRPr="00703A0B">
              <w:t xml:space="preserve"> </w:t>
            </w:r>
            <w:r w:rsidR="00C77CDE" w:rsidRPr="00703A0B">
              <w:t>making</w:t>
            </w:r>
            <w:r w:rsidR="001179D7" w:rsidRPr="00703A0B">
              <w:t>.</w:t>
            </w:r>
          </w:p>
          <w:p w14:paraId="095A8B64" w14:textId="750E4EA5" w:rsidR="00F47ADF" w:rsidRPr="00703A0B" w:rsidRDefault="00A56CEB" w:rsidP="001179D7">
            <w:pPr>
              <w:pStyle w:val="ListParagraph"/>
              <w:numPr>
                <w:ilvl w:val="0"/>
                <w:numId w:val="111"/>
              </w:numPr>
              <w:ind w:left="714" w:hanging="357"/>
              <w:contextualSpacing w:val="0"/>
            </w:pPr>
            <w:r w:rsidRPr="00703A0B">
              <w:t>F</w:t>
            </w:r>
            <w:r w:rsidR="006075AE" w:rsidRPr="00703A0B">
              <w:t xml:space="preserve">acilitated three industry taskforces and a </w:t>
            </w:r>
            <w:r w:rsidR="00FA5A96" w:rsidRPr="00703A0B">
              <w:t>consumer</w:t>
            </w:r>
            <w:r w:rsidR="006075AE" w:rsidRPr="00703A0B">
              <w:t xml:space="preserve"> roundtable</w:t>
            </w:r>
            <w:r w:rsidR="00F921B7" w:rsidRPr="00703A0B">
              <w:t>, to engage stakeholders in policy development and identify practical improvements to regulatory frameworks and industry practices</w:t>
            </w:r>
            <w:r w:rsidR="00F47ADF" w:rsidRPr="00703A0B">
              <w:t>.</w:t>
            </w:r>
            <w:r w:rsidR="00C64C4B" w:rsidRPr="00703A0B">
              <w:t xml:space="preserve"> </w:t>
            </w:r>
            <w:r w:rsidR="008253C5" w:rsidRPr="00703A0B">
              <w:t xml:space="preserve">These forums provided valuable </w:t>
            </w:r>
            <w:r w:rsidR="008253C5" w:rsidRPr="00703A0B">
              <w:lastRenderedPageBreak/>
              <w:t>opportunities to gather feedback, strengthen relationships and inform regulatory and service delivery improvements</w:t>
            </w:r>
            <w:r w:rsidR="001179D7" w:rsidRPr="00703A0B">
              <w:t>.</w:t>
            </w:r>
          </w:p>
          <w:p w14:paraId="5DC929E2" w14:textId="64EFAA75" w:rsidR="006075AE" w:rsidRPr="00703A0B" w:rsidRDefault="00F47ADF" w:rsidP="001179D7">
            <w:pPr>
              <w:pStyle w:val="ListParagraph"/>
              <w:numPr>
                <w:ilvl w:val="0"/>
                <w:numId w:val="111"/>
              </w:numPr>
              <w:ind w:left="714" w:hanging="357"/>
              <w:contextualSpacing w:val="0"/>
            </w:pPr>
            <w:r w:rsidRPr="00703A0B">
              <w:t>S</w:t>
            </w:r>
            <w:r w:rsidR="006075AE" w:rsidRPr="00703A0B">
              <w:t>trengthened collaboration across industry and government partners</w:t>
            </w:r>
            <w:r w:rsidR="00AE25C5" w:rsidRPr="00703A0B">
              <w:t>, to support coordinated responses to industry challenges and contribute to a more capable and resilient building and construction sector</w:t>
            </w:r>
            <w:r w:rsidR="001179D7" w:rsidRPr="00703A0B">
              <w:t>.</w:t>
            </w:r>
          </w:p>
        </w:tc>
      </w:tr>
    </w:tbl>
    <w:p w14:paraId="446F860B" w14:textId="40C34E31" w:rsidR="007B002C" w:rsidRPr="00703A0B" w:rsidRDefault="007B002C" w:rsidP="007B002C">
      <w:pPr>
        <w:spacing w:before="120" w:after="120"/>
      </w:pPr>
      <w:r w:rsidRPr="00703A0B">
        <w:lastRenderedPageBreak/>
        <w:t>In 2025–26, the QBCC continued to strengthen its focus on education and engagement</w:t>
      </w:r>
      <w:r w:rsidR="00116AA0" w:rsidRPr="00703A0B">
        <w:t>, helping to deliver</w:t>
      </w:r>
      <w:r w:rsidRPr="00703A0B">
        <w:t xml:space="preserve"> better outcomes for consumers, licensees and the broader</w:t>
      </w:r>
      <w:r w:rsidR="00BB574C" w:rsidRPr="00703A0B">
        <w:t xml:space="preserve"> building and</w:t>
      </w:r>
      <w:r w:rsidRPr="00703A0B">
        <w:t xml:space="preserve"> construction industry. </w:t>
      </w:r>
      <w:r w:rsidR="00B53CE3" w:rsidRPr="00703A0B">
        <w:t>Through focused e</w:t>
      </w:r>
      <w:r w:rsidRPr="00703A0B">
        <w:t xml:space="preserve">ngagement with </w:t>
      </w:r>
      <w:proofErr w:type="gramStart"/>
      <w:r w:rsidRPr="00703A0B">
        <w:t>home</w:t>
      </w:r>
      <w:r w:rsidR="00BB574C" w:rsidRPr="00703A0B">
        <w:t xml:space="preserve"> </w:t>
      </w:r>
      <w:r w:rsidRPr="00703A0B">
        <w:t>owners</w:t>
      </w:r>
      <w:proofErr w:type="gramEnd"/>
      <w:r w:rsidR="00B53CE3" w:rsidRPr="00703A0B">
        <w:t xml:space="preserve">, the </w:t>
      </w:r>
      <w:r w:rsidRPr="00703A0B">
        <w:t xml:space="preserve">QBCC </w:t>
      </w:r>
      <w:r w:rsidR="00B53CE3" w:rsidRPr="00703A0B">
        <w:t xml:space="preserve">increased awareness of </w:t>
      </w:r>
      <w:r w:rsidR="004B10EE" w:rsidRPr="00703A0B">
        <w:t xml:space="preserve">available </w:t>
      </w:r>
      <w:r w:rsidRPr="00703A0B">
        <w:t xml:space="preserve">services and </w:t>
      </w:r>
      <w:r w:rsidR="004B10EE" w:rsidRPr="00703A0B">
        <w:t>supported</w:t>
      </w:r>
      <w:r w:rsidRPr="00703A0B">
        <w:t xml:space="preserve"> consumers </w:t>
      </w:r>
      <w:r w:rsidR="004B10EE" w:rsidRPr="00703A0B">
        <w:t>to</w:t>
      </w:r>
      <w:r w:rsidRPr="00703A0B">
        <w:t xml:space="preserve"> make informed decisions throughout the building journey</w:t>
      </w:r>
      <w:r w:rsidR="004B10EE" w:rsidRPr="00703A0B">
        <w:t>. Engagement</w:t>
      </w:r>
      <w:r w:rsidRPr="00703A0B">
        <w:t xml:space="preserve"> with licensees centred on building understanding of regulatory obligations, improving compliance and strengthening industry capability. Ongoing </w:t>
      </w:r>
      <w:r w:rsidR="00B047EF" w:rsidRPr="00703A0B">
        <w:t>collaboration</w:t>
      </w:r>
      <w:r w:rsidRPr="00703A0B">
        <w:t xml:space="preserve"> with industry bodies, government stakeholders and training providers also ensured that regulatory approaches and service improvements remained informed by industry experience</w:t>
      </w:r>
      <w:r w:rsidR="0093107D" w:rsidRPr="00703A0B">
        <w:t xml:space="preserve">, </w:t>
      </w:r>
      <w:r w:rsidRPr="00703A0B">
        <w:t>emerging sector trends</w:t>
      </w:r>
      <w:r w:rsidR="00C50A93" w:rsidRPr="00703A0B">
        <w:t xml:space="preserve"> and evolving community expectations</w:t>
      </w:r>
      <w:r w:rsidRPr="00703A0B">
        <w:t>.</w:t>
      </w:r>
    </w:p>
    <w:p w14:paraId="03644F33" w14:textId="5EAC8C41" w:rsidR="007B002C" w:rsidRPr="00703A0B" w:rsidRDefault="002251E2" w:rsidP="00C9153E">
      <w:pPr>
        <w:spacing w:before="120" w:after="120"/>
      </w:pPr>
      <w:r w:rsidRPr="00703A0B">
        <w:t>A growing emphasis on early education and proactive engagement reflect</w:t>
      </w:r>
      <w:r w:rsidR="00340BAB" w:rsidRPr="00703A0B">
        <w:t>ed</w:t>
      </w:r>
      <w:r w:rsidRPr="00703A0B">
        <w:t xml:space="preserve"> the QBCC's evolving role as a preventative regulator. Rather than relying solely on compliance and enforcement activities to address issues after they occur, education and engagement initiatives help</w:t>
      </w:r>
      <w:r w:rsidR="004F1370" w:rsidRPr="00703A0B">
        <w:t>ed</w:t>
      </w:r>
      <w:r w:rsidRPr="00703A0B">
        <w:t xml:space="preserve"> build awareness, improve understanding of obligations and encourage better practices across the industry. Engagement with students entering the construction workforce </w:t>
      </w:r>
      <w:r w:rsidR="00BA2EAE" w:rsidRPr="00703A0B">
        <w:t xml:space="preserve">further </w:t>
      </w:r>
      <w:r w:rsidR="000465AA" w:rsidRPr="00703A0B">
        <w:t>strengthen</w:t>
      </w:r>
      <w:r w:rsidR="004F1370" w:rsidRPr="00703A0B">
        <w:t>ed</w:t>
      </w:r>
      <w:r w:rsidR="000465AA" w:rsidRPr="00703A0B">
        <w:t xml:space="preserve"> these efforts </w:t>
      </w:r>
      <w:r w:rsidR="001E42FE" w:rsidRPr="00703A0B">
        <w:t>by p</w:t>
      </w:r>
      <w:r w:rsidR="00FE0721" w:rsidRPr="00703A0B">
        <w:t>roviding</w:t>
      </w:r>
      <w:r w:rsidRPr="00703A0B">
        <w:t xml:space="preserve"> future licensees </w:t>
      </w:r>
      <w:r w:rsidR="008D1FAE" w:rsidRPr="00703A0B">
        <w:t>with</w:t>
      </w:r>
      <w:r w:rsidRPr="00703A0B">
        <w:t xml:space="preserve"> an </w:t>
      </w:r>
      <w:r w:rsidR="008D1FAE" w:rsidRPr="00703A0B">
        <w:t>early</w:t>
      </w:r>
      <w:r w:rsidRPr="00703A0B">
        <w:t xml:space="preserve"> understanding of industry standards and regulatory requirements</w:t>
      </w:r>
      <w:r w:rsidR="00400B09" w:rsidRPr="00703A0B">
        <w:t>.</w:t>
      </w:r>
    </w:p>
    <w:p w14:paraId="51AA75CF" w14:textId="6A7FC506" w:rsidR="6AF14ED0" w:rsidRPr="00703A0B" w:rsidRDefault="00C9153E" w:rsidP="6AF14ED0">
      <w:pPr>
        <w:spacing w:before="120" w:after="120"/>
      </w:pPr>
      <w:r w:rsidRPr="00703A0B">
        <w:t xml:space="preserve">The breadth of engagement activity </w:t>
      </w:r>
      <w:r w:rsidR="00FF3B9F" w:rsidRPr="00703A0B">
        <w:t xml:space="preserve">demonstrates </w:t>
      </w:r>
      <w:r w:rsidRPr="00703A0B">
        <w:t xml:space="preserve">the QBCC's </w:t>
      </w:r>
      <w:r w:rsidR="004955F2" w:rsidRPr="00703A0B">
        <w:t>commitment to</w:t>
      </w:r>
      <w:r w:rsidR="00FF3B9F" w:rsidRPr="00703A0B">
        <w:t xml:space="preserve"> supporting </w:t>
      </w:r>
      <w:r w:rsidR="00874093" w:rsidRPr="00703A0B">
        <w:t>a more informed, capable and compliant industry</w:t>
      </w:r>
      <w:r w:rsidR="00727304" w:rsidRPr="00703A0B">
        <w:t xml:space="preserve">. By increasing awareness and </w:t>
      </w:r>
      <w:r w:rsidR="00211A80" w:rsidRPr="00703A0B">
        <w:t>promoting best practice, these activi</w:t>
      </w:r>
      <w:r w:rsidR="007B3E21" w:rsidRPr="00703A0B">
        <w:t xml:space="preserve">ties help </w:t>
      </w:r>
      <w:r w:rsidR="00874093" w:rsidRPr="00703A0B">
        <w:t>reduc</w:t>
      </w:r>
      <w:r w:rsidR="007B3E21" w:rsidRPr="00703A0B">
        <w:t>e</w:t>
      </w:r>
      <w:r w:rsidR="00874093" w:rsidRPr="00703A0B">
        <w:t xml:space="preserve"> the likelihood of disputes, defects and regulatory breaches before they </w:t>
      </w:r>
      <w:r w:rsidR="007B3E21" w:rsidRPr="00703A0B">
        <w:t>occur</w:t>
      </w:r>
      <w:r w:rsidR="00874093" w:rsidRPr="00703A0B">
        <w:t>. Through ongoing education, consultation and partnership</w:t>
      </w:r>
      <w:r w:rsidR="007B3E21" w:rsidRPr="00703A0B">
        <w:t>s</w:t>
      </w:r>
      <w:r w:rsidR="00874093" w:rsidRPr="00703A0B">
        <w:t xml:space="preserve">, the QBCC </w:t>
      </w:r>
      <w:r w:rsidR="007B3E21" w:rsidRPr="00703A0B">
        <w:t>continued to</w:t>
      </w:r>
      <w:r w:rsidR="00874093" w:rsidRPr="00703A0B">
        <w:t xml:space="preserve"> strengthen consumer confidence, </w:t>
      </w:r>
      <w:r w:rsidR="007B3E21" w:rsidRPr="00703A0B">
        <w:t>enhance</w:t>
      </w:r>
      <w:r w:rsidR="00874093" w:rsidRPr="00703A0B">
        <w:t xml:space="preserve"> industry capability and support a culture of compliance</w:t>
      </w:r>
      <w:r w:rsidR="003D5987" w:rsidRPr="00703A0B">
        <w:t>, accountability</w:t>
      </w:r>
      <w:r w:rsidR="00874093" w:rsidRPr="00703A0B">
        <w:t xml:space="preserve"> and continuous improvement across Queensland's building and construction </w:t>
      </w:r>
      <w:r w:rsidR="00DC7E9E" w:rsidRPr="00703A0B">
        <w:t>industry</w:t>
      </w:r>
      <w:r w:rsidR="00874093" w:rsidRPr="00703A0B">
        <w:t>.</w:t>
      </w:r>
      <w:r w:rsidR="00FF3FCA" w:rsidRPr="00703A0B">
        <w:t xml:space="preserve"> </w:t>
      </w:r>
      <w:r w:rsidR="00E52A7E" w:rsidRPr="00703A0B">
        <w:fldChar w:fldCharType="begin"/>
      </w:r>
      <w:r w:rsidR="00E52A7E" w:rsidRPr="00703A0B">
        <w:instrText xml:space="preserve"> REF _Ref233645137 \h </w:instrText>
      </w:r>
      <w:r w:rsidR="00E52A7E" w:rsidRPr="00703A0B">
        <w:fldChar w:fldCharType="separate"/>
      </w:r>
      <w:r w:rsidR="004502E7" w:rsidRPr="00703A0B">
        <w:t xml:space="preserve">Table </w:t>
      </w:r>
      <w:r w:rsidR="004502E7" w:rsidRPr="00F621D8">
        <w:t>18</w:t>
      </w:r>
      <w:r w:rsidR="00E52A7E" w:rsidRPr="00703A0B">
        <w:fldChar w:fldCharType="end"/>
      </w:r>
      <w:r w:rsidR="006A0552" w:rsidRPr="00703A0B">
        <w:t xml:space="preserve"> </w:t>
      </w:r>
      <w:r w:rsidR="006A1437" w:rsidRPr="00703A0B">
        <w:t xml:space="preserve">provides an overview of the key </w:t>
      </w:r>
      <w:r w:rsidR="007A0F1C" w:rsidRPr="00703A0B">
        <w:t xml:space="preserve">education and </w:t>
      </w:r>
      <w:r w:rsidR="006A1437" w:rsidRPr="00703A0B">
        <w:t xml:space="preserve">engagement </w:t>
      </w:r>
      <w:r w:rsidR="007A0F1C" w:rsidRPr="00703A0B">
        <w:t>highlights</w:t>
      </w:r>
      <w:r w:rsidR="006A1437" w:rsidRPr="00703A0B">
        <w:t xml:space="preserve"> during the reporting period.</w:t>
      </w:r>
    </w:p>
    <w:p w14:paraId="43D2B6F0" w14:textId="5B346389" w:rsidR="006075AE" w:rsidRPr="00703A0B" w:rsidRDefault="006A0552" w:rsidP="006A0552">
      <w:pPr>
        <w:pStyle w:val="Caption"/>
      </w:pPr>
      <w:bookmarkStart w:id="117" w:name="_Ref233645137"/>
      <w:r w:rsidRPr="00703A0B">
        <w:t xml:space="preserve">Table </w:t>
      </w:r>
      <w:r w:rsidRPr="00703A0B">
        <w:fldChar w:fldCharType="begin"/>
      </w:r>
      <w:r w:rsidRPr="00703A0B">
        <w:instrText>SEQ Table \* ARABIC</w:instrText>
      </w:r>
      <w:r w:rsidRPr="00703A0B">
        <w:fldChar w:fldCharType="separate"/>
      </w:r>
      <w:r w:rsidR="003764AA" w:rsidRPr="00F621D8">
        <w:t>18</w:t>
      </w:r>
      <w:r w:rsidRPr="00703A0B">
        <w:fldChar w:fldCharType="end"/>
      </w:r>
      <w:bookmarkEnd w:id="117"/>
      <w:r w:rsidR="006075AE" w:rsidRPr="00703A0B">
        <w:t>: Education and engagement highlights</w:t>
      </w:r>
      <w:r w:rsidR="00A76D5A" w:rsidRPr="00703A0B">
        <w:t xml:space="preserve"> in </w:t>
      </w:r>
      <w:r w:rsidR="006809C3" w:rsidRPr="00703A0B">
        <w:t>2025–26</w:t>
      </w:r>
    </w:p>
    <w:tbl>
      <w:tblPr>
        <w:tblStyle w:val="TableGrid"/>
        <w:tblW w:w="0" w:type="auto"/>
        <w:tblCellMar>
          <w:top w:w="28" w:type="dxa"/>
          <w:bottom w:w="28" w:type="dxa"/>
        </w:tblCellMar>
        <w:tblLook w:val="04A0" w:firstRow="1" w:lastRow="0" w:firstColumn="1" w:lastColumn="0" w:noHBand="0" w:noVBand="1"/>
      </w:tblPr>
      <w:tblGrid>
        <w:gridCol w:w="3539"/>
        <w:gridCol w:w="3455"/>
        <w:gridCol w:w="3456"/>
      </w:tblGrid>
      <w:tr w:rsidR="00413A4D" w:rsidRPr="00703A0B" w14:paraId="51DDA535" w14:textId="77777777" w:rsidTr="001713DE">
        <w:tc>
          <w:tcPr>
            <w:tcW w:w="3539" w:type="dxa"/>
            <w:vMerge w:val="restart"/>
            <w:shd w:val="clear" w:color="auto" w:fill="BFBFBF" w:themeFill="background1" w:themeFillShade="BF"/>
            <w:hideMark/>
          </w:tcPr>
          <w:p w14:paraId="6BDD5609" w14:textId="77777777" w:rsidR="00413A4D" w:rsidRPr="00703A0B" w:rsidRDefault="00413A4D" w:rsidP="00AE2119">
            <w:pPr>
              <w:rPr>
                <w:b/>
                <w:bCs/>
              </w:rPr>
            </w:pPr>
            <w:r w:rsidRPr="00703A0B">
              <w:rPr>
                <w:b/>
                <w:bCs/>
              </w:rPr>
              <w:t>Initiatives</w:t>
            </w:r>
          </w:p>
        </w:tc>
        <w:tc>
          <w:tcPr>
            <w:tcW w:w="6911" w:type="dxa"/>
            <w:gridSpan w:val="2"/>
            <w:shd w:val="clear" w:color="auto" w:fill="BFBFBF" w:themeFill="background1" w:themeFillShade="BF"/>
          </w:tcPr>
          <w:p w14:paraId="253A8A70" w14:textId="77777777" w:rsidR="00413A4D" w:rsidRPr="00703A0B" w:rsidRDefault="00413A4D" w:rsidP="001713DE">
            <w:pPr>
              <w:rPr>
                <w:b/>
                <w:bCs/>
              </w:rPr>
            </w:pPr>
            <w:r w:rsidRPr="00703A0B">
              <w:rPr>
                <w:b/>
                <w:bCs/>
              </w:rPr>
              <w:t>Key outcomes</w:t>
            </w:r>
          </w:p>
        </w:tc>
      </w:tr>
      <w:tr w:rsidR="00413A4D" w:rsidRPr="00703A0B" w14:paraId="5A3469AC" w14:textId="77777777" w:rsidTr="001713DE">
        <w:tc>
          <w:tcPr>
            <w:tcW w:w="3539" w:type="dxa"/>
            <w:vMerge/>
            <w:shd w:val="clear" w:color="auto" w:fill="BFBFBF" w:themeFill="background1" w:themeFillShade="BF"/>
          </w:tcPr>
          <w:p w14:paraId="3F17B6C6" w14:textId="77777777" w:rsidR="00413A4D" w:rsidRPr="00703A0B" w:rsidRDefault="00413A4D" w:rsidP="00AE2119">
            <w:pPr>
              <w:rPr>
                <w:b/>
                <w:bCs/>
              </w:rPr>
            </w:pPr>
          </w:p>
        </w:tc>
        <w:tc>
          <w:tcPr>
            <w:tcW w:w="3455" w:type="dxa"/>
            <w:shd w:val="clear" w:color="auto" w:fill="D9D9D9" w:themeFill="background1" w:themeFillShade="D9"/>
          </w:tcPr>
          <w:p w14:paraId="0BCB9F94" w14:textId="77777777" w:rsidR="00413A4D" w:rsidRPr="00703A0B" w:rsidRDefault="00413A4D" w:rsidP="00AE2119">
            <w:pPr>
              <w:rPr>
                <w:b/>
                <w:bCs/>
              </w:rPr>
            </w:pPr>
            <w:r w:rsidRPr="00703A0B">
              <w:rPr>
                <w:b/>
                <w:bCs/>
              </w:rPr>
              <w:t>2024–25</w:t>
            </w:r>
          </w:p>
        </w:tc>
        <w:tc>
          <w:tcPr>
            <w:tcW w:w="3456" w:type="dxa"/>
            <w:shd w:val="clear" w:color="auto" w:fill="D9D9D9" w:themeFill="background1" w:themeFillShade="D9"/>
          </w:tcPr>
          <w:p w14:paraId="1DB5957C" w14:textId="77777777" w:rsidR="00413A4D" w:rsidRPr="00703A0B" w:rsidRDefault="00413A4D" w:rsidP="00AE2119">
            <w:pPr>
              <w:rPr>
                <w:b/>
                <w:bCs/>
              </w:rPr>
            </w:pPr>
            <w:r w:rsidRPr="00703A0B">
              <w:rPr>
                <w:b/>
                <w:bCs/>
              </w:rPr>
              <w:t>2025–26</w:t>
            </w:r>
          </w:p>
        </w:tc>
      </w:tr>
      <w:tr w:rsidR="002D6C62" w:rsidRPr="00703A0B" w14:paraId="6C950DD5" w14:textId="77777777" w:rsidTr="001713DE">
        <w:tc>
          <w:tcPr>
            <w:tcW w:w="3539" w:type="dxa"/>
            <w:hideMark/>
          </w:tcPr>
          <w:p w14:paraId="27C6CB18" w14:textId="0FBDCA88" w:rsidR="002D6C62" w:rsidRPr="00703A0B" w:rsidRDefault="002D6C62" w:rsidP="00AE2119">
            <w:proofErr w:type="spellStart"/>
            <w:r w:rsidRPr="00703A0B">
              <w:t>Ho</w:t>
            </w:r>
            <w:r w:rsidR="007E0F89" w:rsidRPr="00703A0B">
              <w:t>H</w:t>
            </w:r>
            <w:proofErr w:type="spellEnd"/>
            <w:r w:rsidRPr="00703A0B">
              <w:t xml:space="preserve"> home page</w:t>
            </w:r>
          </w:p>
        </w:tc>
        <w:tc>
          <w:tcPr>
            <w:tcW w:w="3455" w:type="dxa"/>
          </w:tcPr>
          <w:p w14:paraId="106A28DF" w14:textId="571E8375" w:rsidR="002D6C62" w:rsidRPr="00703A0B" w:rsidRDefault="00444C1A" w:rsidP="00AE2119">
            <w:pPr>
              <w:rPr>
                <w:rFonts w:eastAsia="Arial" w:cs="Arial"/>
                <w:szCs w:val="22"/>
              </w:rPr>
            </w:pPr>
            <w:r w:rsidRPr="00703A0B">
              <w:rPr>
                <w:rFonts w:eastAsia="Arial" w:cs="Arial"/>
                <w:szCs w:val="22"/>
              </w:rPr>
              <w:t>-</w:t>
            </w:r>
          </w:p>
        </w:tc>
        <w:tc>
          <w:tcPr>
            <w:tcW w:w="3456" w:type="dxa"/>
            <w:hideMark/>
          </w:tcPr>
          <w:p w14:paraId="53AE9B9F" w14:textId="3632103B" w:rsidR="002D6C62" w:rsidRPr="00703A0B" w:rsidRDefault="002D6C62" w:rsidP="00AE2119">
            <w:pPr>
              <w:rPr>
                <w:rFonts w:eastAsia="Arial" w:cs="Arial"/>
                <w:szCs w:val="22"/>
              </w:rPr>
            </w:pPr>
            <w:r w:rsidRPr="00703A0B">
              <w:rPr>
                <w:rFonts w:eastAsia="Arial" w:cs="Arial"/>
                <w:szCs w:val="22"/>
              </w:rPr>
              <w:t xml:space="preserve">136,832 </w:t>
            </w:r>
            <w:r w:rsidR="00E527EE" w:rsidRPr="00703A0B">
              <w:rPr>
                <w:rFonts w:eastAsia="Arial" w:cs="Arial"/>
                <w:szCs w:val="22"/>
              </w:rPr>
              <w:t>views</w:t>
            </w:r>
            <w:r w:rsidR="00C442B3" w:rsidRPr="00703A0B">
              <w:rPr>
                <w:rStyle w:val="FootnoteReference"/>
                <w:rFonts w:eastAsia="Arial" w:cs="Arial"/>
                <w:szCs w:val="22"/>
              </w:rPr>
              <w:footnoteReference w:id="12"/>
            </w:r>
          </w:p>
        </w:tc>
      </w:tr>
      <w:tr w:rsidR="002D6C62" w:rsidRPr="00703A0B" w14:paraId="7C59FD4A" w14:textId="77777777" w:rsidTr="001713DE">
        <w:tc>
          <w:tcPr>
            <w:tcW w:w="3539" w:type="dxa"/>
            <w:hideMark/>
          </w:tcPr>
          <w:p w14:paraId="2D4093E0" w14:textId="1F06EA3F" w:rsidR="002D6C62" w:rsidRPr="00703A0B" w:rsidRDefault="002D6C62" w:rsidP="001713DE">
            <w:r w:rsidRPr="00703A0B">
              <w:t xml:space="preserve">All </w:t>
            </w:r>
            <w:proofErr w:type="spellStart"/>
            <w:r w:rsidRPr="00703A0B">
              <w:t>Ho</w:t>
            </w:r>
            <w:r w:rsidR="00354321" w:rsidRPr="00703A0B">
              <w:t>H</w:t>
            </w:r>
            <w:proofErr w:type="spellEnd"/>
            <w:r w:rsidRPr="00703A0B">
              <w:t xml:space="preserve"> pages</w:t>
            </w:r>
          </w:p>
        </w:tc>
        <w:tc>
          <w:tcPr>
            <w:tcW w:w="3455" w:type="dxa"/>
          </w:tcPr>
          <w:p w14:paraId="2175B6A5" w14:textId="5C70A406" w:rsidR="002D6C62" w:rsidRPr="00703A0B" w:rsidRDefault="00444C1A" w:rsidP="00AE2119">
            <w:r w:rsidRPr="00703A0B">
              <w:t>-</w:t>
            </w:r>
          </w:p>
        </w:tc>
        <w:tc>
          <w:tcPr>
            <w:tcW w:w="3456" w:type="dxa"/>
            <w:hideMark/>
          </w:tcPr>
          <w:p w14:paraId="3BEC893F" w14:textId="24B903FB" w:rsidR="002D6C62" w:rsidRPr="00703A0B" w:rsidRDefault="002D6C62" w:rsidP="00AE2119">
            <w:pPr>
              <w:rPr>
                <w:highlight w:val="yellow"/>
              </w:rPr>
            </w:pPr>
            <w:r w:rsidRPr="00703A0B">
              <w:t>559,029 views</w:t>
            </w:r>
            <w:r w:rsidR="00444C1A" w:rsidRPr="00703A0B">
              <w:rPr>
                <w:vertAlign w:val="superscript"/>
              </w:rPr>
              <w:t>1</w:t>
            </w:r>
            <w:r w:rsidR="000A2922" w:rsidRPr="00703A0B">
              <w:rPr>
                <w:vertAlign w:val="superscript"/>
              </w:rPr>
              <w:t>1</w:t>
            </w:r>
          </w:p>
        </w:tc>
      </w:tr>
      <w:tr w:rsidR="002D6C62" w:rsidRPr="00703A0B" w14:paraId="4E07B6A3" w14:textId="77777777" w:rsidTr="001713DE">
        <w:tc>
          <w:tcPr>
            <w:tcW w:w="3539" w:type="dxa"/>
            <w:hideMark/>
          </w:tcPr>
          <w:p w14:paraId="00CB71E5" w14:textId="0E8D6468" w:rsidR="002D6C62" w:rsidRPr="00703A0B" w:rsidRDefault="002D6C62" w:rsidP="00AE2119">
            <w:r w:rsidRPr="00703A0B">
              <w:t>Social media performance</w:t>
            </w:r>
          </w:p>
        </w:tc>
        <w:tc>
          <w:tcPr>
            <w:tcW w:w="3455" w:type="dxa"/>
          </w:tcPr>
          <w:p w14:paraId="5B8FB825" w14:textId="77777777" w:rsidR="00444C1A" w:rsidRPr="00703A0B" w:rsidRDefault="002D6C62" w:rsidP="00AE2119">
            <w:r w:rsidRPr="00703A0B">
              <w:t>43,311 followers</w:t>
            </w:r>
          </w:p>
          <w:p w14:paraId="17DD11AC" w14:textId="5D8F3FCE" w:rsidR="002D6C62" w:rsidRPr="00703A0B" w:rsidRDefault="002D6C62" w:rsidP="00AE2119">
            <w:r w:rsidRPr="00703A0B">
              <w:t>919,199 impressions</w:t>
            </w:r>
          </w:p>
        </w:tc>
        <w:tc>
          <w:tcPr>
            <w:tcW w:w="3456" w:type="dxa"/>
            <w:hideMark/>
          </w:tcPr>
          <w:p w14:paraId="597F65CB" w14:textId="3ACF4C8A" w:rsidR="00444C1A" w:rsidRPr="00703A0B" w:rsidRDefault="002D6C62" w:rsidP="00AE2119">
            <w:r w:rsidRPr="00703A0B">
              <w:t>45,848</w:t>
            </w:r>
            <w:r w:rsidR="007D7856" w:rsidRPr="00703A0B">
              <w:t xml:space="preserve"> </w:t>
            </w:r>
            <w:r w:rsidRPr="00703A0B">
              <w:t>followers</w:t>
            </w:r>
          </w:p>
          <w:p w14:paraId="16FB9ECC" w14:textId="778236DB" w:rsidR="002D6C62" w:rsidRPr="00703A0B" w:rsidRDefault="002D6C62" w:rsidP="00AE2119">
            <w:r w:rsidRPr="00703A0B">
              <w:t>10,030,917 impressions</w:t>
            </w:r>
          </w:p>
        </w:tc>
      </w:tr>
    </w:tbl>
    <w:p w14:paraId="183EADF2" w14:textId="7E74E323" w:rsidR="002C7335" w:rsidRPr="00703A0B" w:rsidRDefault="002C7335" w:rsidP="00D74648">
      <w:pPr>
        <w:spacing w:before="120" w:after="120"/>
      </w:pPr>
      <w:r w:rsidRPr="00703A0B">
        <w:t xml:space="preserve">The QBCC continued to expand its education and engagement activities in 2025–26, using digital channels, stakeholder engagement and social media to connect with consumers and </w:t>
      </w:r>
      <w:r w:rsidR="00B941F8" w:rsidRPr="00703A0B">
        <w:t xml:space="preserve">the </w:t>
      </w:r>
      <w:r w:rsidRPr="00703A0B">
        <w:t xml:space="preserve">industry. Strong engagement with the newly launched </w:t>
      </w:r>
      <w:proofErr w:type="spellStart"/>
      <w:r w:rsidRPr="00703A0B">
        <w:t>Ho</w:t>
      </w:r>
      <w:r w:rsidR="00354321" w:rsidRPr="00703A0B">
        <w:t>H</w:t>
      </w:r>
      <w:proofErr w:type="spellEnd"/>
      <w:r w:rsidRPr="00703A0B">
        <w:t xml:space="preserve"> highlights the growing demand for accessible and trusted information, particularly among consumers seeking to better understand the building process and verify contractor credentials before commencing </w:t>
      </w:r>
      <w:r w:rsidR="0070232C" w:rsidRPr="00703A0B">
        <w:t xml:space="preserve">building </w:t>
      </w:r>
      <w:r w:rsidRPr="00703A0B">
        <w:t xml:space="preserve">work. </w:t>
      </w:r>
      <w:r w:rsidR="008326B1" w:rsidRPr="00703A0B">
        <w:t>Increased</w:t>
      </w:r>
      <w:r w:rsidRPr="00703A0B">
        <w:t xml:space="preserve"> use of these resources suggests that consumers are taking a more informed and proactive approach to managing building projects</w:t>
      </w:r>
      <w:r w:rsidR="00F61E40" w:rsidRPr="00703A0B">
        <w:t xml:space="preserve">. As a result, they are </w:t>
      </w:r>
      <w:r w:rsidR="00661ACD" w:rsidRPr="00703A0B">
        <w:t xml:space="preserve">better </w:t>
      </w:r>
      <w:r w:rsidR="00E37974" w:rsidRPr="00703A0B">
        <w:t xml:space="preserve">equipped to make informed </w:t>
      </w:r>
      <w:r w:rsidR="00661ACD" w:rsidRPr="00703A0B">
        <w:t>decision</w:t>
      </w:r>
      <w:r w:rsidR="00E37974" w:rsidRPr="00703A0B">
        <w:t>s</w:t>
      </w:r>
      <w:r w:rsidR="00661ACD" w:rsidRPr="00703A0B">
        <w:t xml:space="preserve">, </w:t>
      </w:r>
      <w:r w:rsidRPr="00703A0B">
        <w:t>reduc</w:t>
      </w:r>
      <w:r w:rsidR="00E37974" w:rsidRPr="00703A0B">
        <w:t>ing</w:t>
      </w:r>
      <w:r w:rsidRPr="00703A0B">
        <w:t xml:space="preserve"> the </w:t>
      </w:r>
      <w:r w:rsidR="00661ACD" w:rsidRPr="00703A0B">
        <w:t>likelihood</w:t>
      </w:r>
      <w:r w:rsidRPr="00703A0B">
        <w:t xml:space="preserve"> of disputes and </w:t>
      </w:r>
      <w:r w:rsidR="007B494D" w:rsidRPr="00703A0B">
        <w:t>contribut</w:t>
      </w:r>
      <w:r w:rsidR="00613B07" w:rsidRPr="00703A0B">
        <w:t>ing</w:t>
      </w:r>
      <w:r w:rsidR="007B494D" w:rsidRPr="00703A0B">
        <w:t xml:space="preserve"> to</w:t>
      </w:r>
      <w:r w:rsidRPr="00703A0B">
        <w:t xml:space="preserve"> better project outcomes.</w:t>
      </w:r>
    </w:p>
    <w:p w14:paraId="46939644" w14:textId="4C225D4D" w:rsidR="002C7335" w:rsidRPr="00703A0B" w:rsidRDefault="00F055E3" w:rsidP="00D74648">
      <w:pPr>
        <w:spacing w:before="120" w:after="120"/>
      </w:pPr>
      <w:r w:rsidRPr="00703A0B">
        <w:t xml:space="preserve">The QBCC also significantly </w:t>
      </w:r>
      <w:r w:rsidR="00A84CF7" w:rsidRPr="00703A0B">
        <w:t>expanded</w:t>
      </w:r>
      <w:r w:rsidRPr="00703A0B">
        <w:t xml:space="preserve"> its reach through digital communication channels, enabling important regulatory, educational and consumer protection </w:t>
      </w:r>
      <w:r w:rsidR="0034327F" w:rsidRPr="00703A0B">
        <w:t>information</w:t>
      </w:r>
      <w:r w:rsidRPr="00703A0B">
        <w:t xml:space="preserve"> to </w:t>
      </w:r>
      <w:r w:rsidR="008C675E" w:rsidRPr="00703A0B">
        <w:t>be delivered to</w:t>
      </w:r>
      <w:r w:rsidRPr="00703A0B">
        <w:t xml:space="preserve"> a broader audience than ever before. Growth in online engagement demonstrates that consumers and industry stakeholders are actively seeking </w:t>
      </w:r>
      <w:r w:rsidR="005646FD" w:rsidRPr="00703A0B">
        <w:t xml:space="preserve">trusted </w:t>
      </w:r>
      <w:r w:rsidRPr="00703A0B">
        <w:t>information and guidance, reinforcing the value of timely and accessible education resources.</w:t>
      </w:r>
      <w:r w:rsidR="00C7019D" w:rsidRPr="00703A0B">
        <w:t xml:space="preserve"> Strong engagement </w:t>
      </w:r>
      <w:r w:rsidR="00F65321" w:rsidRPr="00703A0B">
        <w:t>across digital</w:t>
      </w:r>
      <w:r w:rsidR="00C7019D" w:rsidRPr="00703A0B">
        <w:t xml:space="preserve"> </w:t>
      </w:r>
      <w:r w:rsidR="004A17D8" w:rsidRPr="00703A0B">
        <w:t>platforms reinforces</w:t>
      </w:r>
      <w:r w:rsidR="00C7019D" w:rsidRPr="00703A0B">
        <w:t xml:space="preserve"> the important role </w:t>
      </w:r>
      <w:r w:rsidR="004A17D8" w:rsidRPr="00703A0B">
        <w:t>of</w:t>
      </w:r>
      <w:r w:rsidR="00C7019D" w:rsidRPr="00703A0B">
        <w:t xml:space="preserve"> education and engagement activities play in </w:t>
      </w:r>
      <w:r w:rsidR="009E1FA7" w:rsidRPr="00703A0B">
        <w:t>building industry knowledge</w:t>
      </w:r>
      <w:r w:rsidR="004E60EB" w:rsidRPr="00703A0B">
        <w:t>,</w:t>
      </w:r>
      <w:r w:rsidR="00C7019D" w:rsidRPr="00703A0B">
        <w:t xml:space="preserve"> supporting a more confident</w:t>
      </w:r>
      <w:r w:rsidR="00A90D8F" w:rsidRPr="00703A0B">
        <w:t>, capable and well-informed</w:t>
      </w:r>
      <w:r w:rsidR="00C7019D" w:rsidRPr="00703A0B">
        <w:t xml:space="preserve"> building and construction </w:t>
      </w:r>
      <w:r w:rsidR="0078351B" w:rsidRPr="00703A0B">
        <w:t>industry</w:t>
      </w:r>
      <w:r w:rsidR="00C7019D" w:rsidRPr="00703A0B">
        <w:t xml:space="preserve">. Greater awareness of rights, responsibilities and regulatory requirements </w:t>
      </w:r>
      <w:r w:rsidR="00C227EE" w:rsidRPr="00703A0B">
        <w:t xml:space="preserve">empowers </w:t>
      </w:r>
      <w:r w:rsidR="00C7019D" w:rsidRPr="00703A0B">
        <w:t xml:space="preserve">consumers </w:t>
      </w:r>
      <w:r w:rsidR="00C227EE" w:rsidRPr="00703A0B">
        <w:t xml:space="preserve">to </w:t>
      </w:r>
      <w:r w:rsidR="00C7019D" w:rsidRPr="00703A0B">
        <w:t xml:space="preserve">make better-informed </w:t>
      </w:r>
      <w:proofErr w:type="gramStart"/>
      <w:r w:rsidR="00C7019D" w:rsidRPr="00703A0B">
        <w:t>decisions</w:t>
      </w:r>
      <w:r w:rsidR="00CE5263" w:rsidRPr="00703A0B">
        <w:t>,</w:t>
      </w:r>
      <w:r w:rsidR="00C7019D" w:rsidRPr="00703A0B">
        <w:t xml:space="preserve"> </w:t>
      </w:r>
      <w:r w:rsidR="007A31E4" w:rsidRPr="00703A0B">
        <w:t>and</w:t>
      </w:r>
      <w:proofErr w:type="gramEnd"/>
      <w:r w:rsidR="007A31E4" w:rsidRPr="00703A0B">
        <w:t xml:space="preserve"> helps</w:t>
      </w:r>
      <w:r w:rsidR="00C7019D" w:rsidRPr="00703A0B">
        <w:t xml:space="preserve"> </w:t>
      </w:r>
      <w:r w:rsidR="002A4EFD" w:rsidRPr="00703A0B">
        <w:t xml:space="preserve">licensees and contractors </w:t>
      </w:r>
      <w:r w:rsidR="009A3F71" w:rsidRPr="00703A0B">
        <w:t xml:space="preserve">better </w:t>
      </w:r>
      <w:r w:rsidR="00C7019D" w:rsidRPr="00703A0B">
        <w:t xml:space="preserve">understand </w:t>
      </w:r>
      <w:r w:rsidR="002A3DFF" w:rsidRPr="00703A0B">
        <w:t>their</w:t>
      </w:r>
      <w:r w:rsidR="00C7019D" w:rsidRPr="00703A0B">
        <w:t xml:space="preserve"> obligations</w:t>
      </w:r>
      <w:r w:rsidR="00662C11" w:rsidRPr="00703A0B">
        <w:t xml:space="preserve">. </w:t>
      </w:r>
      <w:r w:rsidR="00C7019D" w:rsidRPr="00703A0B">
        <w:t xml:space="preserve">Effective education and engagement ultimately </w:t>
      </w:r>
      <w:r w:rsidR="00C7019D" w:rsidRPr="00703A0B">
        <w:lastRenderedPageBreak/>
        <w:t xml:space="preserve">contribute to better building outcomes, fewer disputes and stronger confidence in Queensland's </w:t>
      </w:r>
      <w:r w:rsidR="00FB7FDB" w:rsidRPr="00703A0B">
        <w:t>building and</w:t>
      </w:r>
      <w:r w:rsidR="00C7019D" w:rsidRPr="00703A0B">
        <w:t xml:space="preserve"> construction industry.</w:t>
      </w:r>
    </w:p>
    <w:p w14:paraId="62C8143E" w14:textId="718CCB2D" w:rsidR="00E55BF9" w:rsidRPr="00703A0B" w:rsidRDefault="00E55BF9" w:rsidP="00E55BF9">
      <w:pPr>
        <w:pStyle w:val="Heading3"/>
      </w:pPr>
      <w:bookmarkStart w:id="118" w:name="_Looking_ahead_7"/>
      <w:bookmarkEnd w:id="118"/>
      <w:r w:rsidRPr="00703A0B">
        <w:t>Looking ahead</w:t>
      </w:r>
    </w:p>
    <w:p w14:paraId="562C8339" w14:textId="48E8B759" w:rsidR="004D384A" w:rsidRPr="00703A0B" w:rsidRDefault="005C6944" w:rsidP="5DB279AC">
      <w:pPr>
        <w:spacing w:before="120" w:after="120" w:line="259" w:lineRule="auto"/>
      </w:pPr>
      <w:r w:rsidRPr="00703A0B">
        <w:t>Over the next 12 months</w:t>
      </w:r>
      <w:r w:rsidR="004D384A" w:rsidRPr="00703A0B">
        <w:t xml:space="preserve">, the QBCC will continue to strengthen its education and engagement activities to improve </w:t>
      </w:r>
      <w:r w:rsidR="2EB805BE" w:rsidRPr="00703A0B">
        <w:t xml:space="preserve">stakeholder </w:t>
      </w:r>
      <w:r w:rsidR="004D384A" w:rsidRPr="00703A0B">
        <w:t xml:space="preserve">understanding, </w:t>
      </w:r>
      <w:r w:rsidR="00FF3D5B" w:rsidRPr="00703A0B">
        <w:t xml:space="preserve">build </w:t>
      </w:r>
      <w:r w:rsidR="004D384A" w:rsidRPr="00703A0B">
        <w:t xml:space="preserve">industry capability and promote compliance across Queensland’s building and construction </w:t>
      </w:r>
      <w:r w:rsidRPr="00703A0B">
        <w:t>industry</w:t>
      </w:r>
      <w:r w:rsidR="004D384A" w:rsidRPr="00703A0B">
        <w:t xml:space="preserve">. </w:t>
      </w:r>
      <w:r w:rsidR="00FF3D5B" w:rsidRPr="00703A0B">
        <w:t xml:space="preserve">Drawing </w:t>
      </w:r>
      <w:r w:rsidR="004D384A" w:rsidRPr="00703A0B">
        <w:t>on stakeholder feedback and engagement</w:t>
      </w:r>
      <w:r w:rsidR="008C16C6" w:rsidRPr="00703A0B">
        <w:t xml:space="preserve"> </w:t>
      </w:r>
      <w:r w:rsidR="004D384A" w:rsidRPr="00703A0B">
        <w:t>insights, the QBCC will focus on delivering accessible information, expanding digital engagement opportunities and working collaboratively with consumers, licensees and industry stakeholders to address emerging challenges and opportunities.</w:t>
      </w:r>
    </w:p>
    <w:p w14:paraId="199B2C82" w14:textId="0D04703E" w:rsidR="00E55BF9" w:rsidRPr="00703A0B" w:rsidRDefault="008063D2" w:rsidP="006E1756">
      <w:pPr>
        <w:ind w:right="120"/>
        <w:rPr>
          <w:rFonts w:eastAsia="Arial" w:cs="Arial"/>
        </w:rPr>
      </w:pPr>
      <w:r w:rsidRPr="00703A0B">
        <w:t>K</w:t>
      </w:r>
      <w:r w:rsidR="004D384A" w:rsidRPr="00703A0B">
        <w:t xml:space="preserve">ey </w:t>
      </w:r>
      <w:r w:rsidR="00FF3D5B" w:rsidRPr="00703A0B">
        <w:t>priorit</w:t>
      </w:r>
      <w:r w:rsidRPr="00703A0B">
        <w:t xml:space="preserve">ies </w:t>
      </w:r>
      <w:r w:rsidR="00446FAC" w:rsidRPr="00703A0B">
        <w:t xml:space="preserve">in the year ahead </w:t>
      </w:r>
      <w:r w:rsidR="005626D1" w:rsidRPr="00703A0B">
        <w:t xml:space="preserve">will </w:t>
      </w:r>
      <w:r w:rsidRPr="00703A0B">
        <w:t xml:space="preserve">include </w:t>
      </w:r>
      <w:r w:rsidR="005626D1" w:rsidRPr="00703A0B">
        <w:t>deliver</w:t>
      </w:r>
      <w:r w:rsidR="003D45D3" w:rsidRPr="00703A0B">
        <w:t xml:space="preserve">ing </w:t>
      </w:r>
      <w:r w:rsidR="00747ABE" w:rsidRPr="00703A0B">
        <w:t xml:space="preserve">targeted </w:t>
      </w:r>
      <w:r w:rsidR="00446FAC" w:rsidRPr="00703A0B">
        <w:t>initiatives</w:t>
      </w:r>
      <w:r w:rsidR="00747ABE" w:rsidRPr="00703A0B">
        <w:t xml:space="preserve"> that </w:t>
      </w:r>
      <w:r w:rsidR="003D45D3" w:rsidRPr="00703A0B">
        <w:t xml:space="preserve">engage </w:t>
      </w:r>
      <w:proofErr w:type="gramStart"/>
      <w:r w:rsidR="00747ABE" w:rsidRPr="00703A0B">
        <w:t>home</w:t>
      </w:r>
      <w:r w:rsidR="005626D1" w:rsidRPr="00703A0B">
        <w:t xml:space="preserve"> </w:t>
      </w:r>
      <w:r w:rsidR="00747ABE" w:rsidRPr="00703A0B">
        <w:t>owners</w:t>
      </w:r>
      <w:proofErr w:type="gramEnd"/>
      <w:r w:rsidR="00747ABE" w:rsidRPr="00703A0B">
        <w:t xml:space="preserve"> earlier in their building and renovat</w:t>
      </w:r>
      <w:r w:rsidR="00176CAE" w:rsidRPr="00703A0B">
        <w:t xml:space="preserve">ion </w:t>
      </w:r>
      <w:r w:rsidR="00747ABE" w:rsidRPr="00703A0B">
        <w:t>journey</w:t>
      </w:r>
      <w:r w:rsidR="005626D1" w:rsidRPr="00703A0B">
        <w:t>,</w:t>
      </w:r>
      <w:r w:rsidR="003640EB" w:rsidRPr="00703A0B">
        <w:t xml:space="preserve"> helping them to be </w:t>
      </w:r>
      <w:r w:rsidR="00747ABE" w:rsidRPr="00703A0B">
        <w:t xml:space="preserve">better </w:t>
      </w:r>
      <w:r w:rsidR="003640EB" w:rsidRPr="00703A0B">
        <w:t xml:space="preserve">informed, prepared and aware </w:t>
      </w:r>
      <w:r w:rsidR="00176CAE" w:rsidRPr="00703A0B">
        <w:t xml:space="preserve">of </w:t>
      </w:r>
      <w:r w:rsidR="003640EB" w:rsidRPr="00703A0B">
        <w:t>t</w:t>
      </w:r>
      <w:r w:rsidR="00747ABE" w:rsidRPr="00703A0B">
        <w:t>he QBCC</w:t>
      </w:r>
      <w:r w:rsidR="003640EB" w:rsidRPr="00703A0B">
        <w:t xml:space="preserve">’s role in protecting consumers. </w:t>
      </w:r>
      <w:r w:rsidR="00B57CF9" w:rsidRPr="00703A0B">
        <w:t xml:space="preserve">A coordinated focus will also be placed on improving </w:t>
      </w:r>
      <w:r w:rsidR="00747ABE" w:rsidRPr="00703A0B">
        <w:t>understa</w:t>
      </w:r>
      <w:r w:rsidR="00B57CF9" w:rsidRPr="00703A0B">
        <w:t xml:space="preserve">nding </w:t>
      </w:r>
      <w:r w:rsidR="002A259E" w:rsidRPr="00703A0B">
        <w:t xml:space="preserve">of the </w:t>
      </w:r>
      <w:r w:rsidR="00747ABE" w:rsidRPr="00703A0B">
        <w:t>QHWS</w:t>
      </w:r>
      <w:r w:rsidR="002A259E" w:rsidRPr="00703A0B">
        <w:t xml:space="preserve">, including its purpose, coverage and limitations. The QBCC will also </w:t>
      </w:r>
      <w:r w:rsidR="00FF3D5B" w:rsidRPr="00703A0B">
        <w:t>deliver</w:t>
      </w:r>
      <w:r w:rsidR="00AD3A2C" w:rsidRPr="00703A0B">
        <w:t xml:space="preserve"> </w:t>
      </w:r>
      <w:r w:rsidR="00CE13A8" w:rsidRPr="00703A0B">
        <w:rPr>
          <w:rFonts w:eastAsia="Arial" w:cs="Arial"/>
        </w:rPr>
        <w:t xml:space="preserve">the </w:t>
      </w:r>
      <w:r w:rsidR="085E66B2" w:rsidRPr="00703A0B">
        <w:rPr>
          <w:rFonts w:eastAsia="Arial" w:cs="Arial"/>
        </w:rPr>
        <w:t xml:space="preserve">Industry </w:t>
      </w:r>
      <w:r w:rsidR="703DEACF" w:rsidRPr="00703A0B">
        <w:rPr>
          <w:rFonts w:eastAsia="Arial" w:cs="Arial"/>
        </w:rPr>
        <w:t xml:space="preserve">Learning </w:t>
      </w:r>
      <w:r w:rsidR="3706DCD2" w:rsidRPr="00703A0B">
        <w:rPr>
          <w:rFonts w:eastAsia="Arial" w:cs="Arial"/>
        </w:rPr>
        <w:t>H</w:t>
      </w:r>
      <w:r w:rsidR="703DEACF" w:rsidRPr="00703A0B">
        <w:rPr>
          <w:rFonts w:eastAsia="Arial" w:cs="Arial"/>
        </w:rPr>
        <w:t>ub</w:t>
      </w:r>
      <w:r w:rsidR="0040228F" w:rsidRPr="00703A0B">
        <w:rPr>
          <w:rFonts w:eastAsia="Arial" w:cs="Arial"/>
        </w:rPr>
        <w:t>, central</w:t>
      </w:r>
      <w:r w:rsidR="007755F5" w:rsidRPr="00703A0B">
        <w:rPr>
          <w:rFonts w:eastAsia="Arial" w:cs="Arial"/>
        </w:rPr>
        <w:t>ising</w:t>
      </w:r>
      <w:r w:rsidR="0040228F" w:rsidRPr="00703A0B" w:rsidDel="007755F5">
        <w:rPr>
          <w:rFonts w:eastAsia="Arial" w:cs="Arial"/>
        </w:rPr>
        <w:t xml:space="preserve"> </w:t>
      </w:r>
      <w:r w:rsidR="76360DCA" w:rsidRPr="00703A0B">
        <w:t xml:space="preserve">learning </w:t>
      </w:r>
      <w:r w:rsidR="00CE13A8" w:rsidRPr="00703A0B">
        <w:t xml:space="preserve">and development </w:t>
      </w:r>
      <w:r w:rsidR="00EA1D88" w:rsidRPr="00703A0B">
        <w:t xml:space="preserve">support for </w:t>
      </w:r>
      <w:r w:rsidR="007B567A" w:rsidRPr="00703A0B">
        <w:t>building and construction industry</w:t>
      </w:r>
      <w:r w:rsidR="066570B9" w:rsidRPr="00703A0B">
        <w:t xml:space="preserve"> stakeholders</w:t>
      </w:r>
      <w:r w:rsidR="703DEACF" w:rsidRPr="00703A0B">
        <w:rPr>
          <w:rFonts w:eastAsia="Arial" w:cs="Arial"/>
          <w:sz w:val="24"/>
        </w:rPr>
        <w:t>.</w:t>
      </w:r>
      <w:r w:rsidR="2536DD87" w:rsidRPr="00703A0B">
        <w:rPr>
          <w:rFonts w:eastAsia="Arial" w:cs="Arial"/>
          <w:sz w:val="24"/>
        </w:rPr>
        <w:t xml:space="preserve"> </w:t>
      </w:r>
      <w:r w:rsidR="00CE13A8" w:rsidRPr="00703A0B">
        <w:rPr>
          <w:rFonts w:eastAsia="Arial" w:cs="Arial"/>
          <w:sz w:val="24"/>
        </w:rPr>
        <w:t xml:space="preserve">Additional areas of focus will </w:t>
      </w:r>
      <w:r w:rsidR="00CE13A8" w:rsidRPr="00703A0B">
        <w:rPr>
          <w:rFonts w:eastAsia="Arial" w:cs="Arial"/>
        </w:rPr>
        <w:t>include</w:t>
      </w:r>
      <w:r w:rsidR="68996CFF" w:rsidRPr="00703A0B">
        <w:rPr>
          <w:rFonts w:eastAsia="Arial" w:cs="Arial"/>
        </w:rPr>
        <w:t>:</w:t>
      </w:r>
    </w:p>
    <w:p w14:paraId="73FE31DD" w14:textId="50E8CA17" w:rsidR="00E55BF9" w:rsidRPr="00703A0B" w:rsidRDefault="2536DD87" w:rsidP="006B7012">
      <w:pPr>
        <w:pStyle w:val="ListParagraph"/>
        <w:numPr>
          <w:ilvl w:val="0"/>
          <w:numId w:val="115"/>
        </w:numPr>
        <w:spacing w:before="120" w:after="120"/>
        <w:ind w:left="714" w:right="119" w:hanging="357"/>
        <w:contextualSpacing w:val="0"/>
        <w:jc w:val="both"/>
        <w:rPr>
          <w:rFonts w:eastAsia="Arial" w:cs="Arial"/>
          <w:szCs w:val="22"/>
        </w:rPr>
      </w:pPr>
      <w:r w:rsidRPr="00703A0B">
        <w:rPr>
          <w:rFonts w:eastAsia="Arial" w:cs="Arial"/>
          <w:szCs w:val="22"/>
        </w:rPr>
        <w:t xml:space="preserve">enhancing the </w:t>
      </w:r>
      <w:r w:rsidR="781E2F90" w:rsidRPr="00703A0B">
        <w:rPr>
          <w:rFonts w:eastAsia="Arial" w:cs="Arial"/>
          <w:szCs w:val="22"/>
        </w:rPr>
        <w:t xml:space="preserve">stakeholder </w:t>
      </w:r>
      <w:r w:rsidR="00792862" w:rsidRPr="00703A0B">
        <w:rPr>
          <w:rFonts w:eastAsia="Arial" w:cs="Arial"/>
          <w:szCs w:val="22"/>
        </w:rPr>
        <w:t xml:space="preserve">experiences </w:t>
      </w:r>
      <w:r w:rsidR="781E2F90" w:rsidRPr="00703A0B">
        <w:rPr>
          <w:rFonts w:eastAsia="Arial" w:cs="Arial"/>
          <w:szCs w:val="22"/>
        </w:rPr>
        <w:t>before</w:t>
      </w:r>
      <w:r w:rsidR="00F80263" w:rsidRPr="00703A0B">
        <w:rPr>
          <w:rFonts w:eastAsia="Arial" w:cs="Arial"/>
          <w:szCs w:val="22"/>
        </w:rPr>
        <w:t>,</w:t>
      </w:r>
      <w:r w:rsidR="781E2F90" w:rsidRPr="00703A0B">
        <w:rPr>
          <w:rFonts w:eastAsia="Arial" w:cs="Arial"/>
          <w:szCs w:val="22"/>
        </w:rPr>
        <w:t xml:space="preserve"> during and after </w:t>
      </w:r>
      <w:r w:rsidR="00F80263" w:rsidRPr="00703A0B">
        <w:rPr>
          <w:rFonts w:eastAsia="Arial" w:cs="Arial"/>
          <w:szCs w:val="22"/>
        </w:rPr>
        <w:t>interactions with</w:t>
      </w:r>
      <w:r w:rsidR="781E2F90" w:rsidRPr="00703A0B">
        <w:rPr>
          <w:rFonts w:eastAsia="Arial" w:cs="Arial"/>
          <w:szCs w:val="22"/>
        </w:rPr>
        <w:t xml:space="preserve"> the QBCC</w:t>
      </w:r>
    </w:p>
    <w:p w14:paraId="309AD0E0" w14:textId="4F558BA3" w:rsidR="00A27C8A" w:rsidRPr="00703A0B" w:rsidRDefault="00F80263" w:rsidP="006B7012">
      <w:pPr>
        <w:pStyle w:val="ListParagraph"/>
        <w:numPr>
          <w:ilvl w:val="0"/>
          <w:numId w:val="115"/>
        </w:numPr>
        <w:spacing w:before="120" w:after="120"/>
        <w:ind w:left="714" w:right="119" w:hanging="357"/>
        <w:contextualSpacing w:val="0"/>
        <w:jc w:val="both"/>
      </w:pPr>
      <w:r w:rsidRPr="00703A0B">
        <w:rPr>
          <w:rFonts w:eastAsia="Arial" w:cs="Arial"/>
        </w:rPr>
        <w:t xml:space="preserve">supporting </w:t>
      </w:r>
      <w:proofErr w:type="gramStart"/>
      <w:r w:rsidR="781E2F90" w:rsidRPr="00703A0B">
        <w:rPr>
          <w:rFonts w:eastAsia="Arial" w:cs="Arial"/>
        </w:rPr>
        <w:t>ho</w:t>
      </w:r>
      <w:r w:rsidR="7AD290F8" w:rsidRPr="00703A0B">
        <w:rPr>
          <w:rFonts w:eastAsia="Arial" w:cs="Arial"/>
        </w:rPr>
        <w:t>me owners</w:t>
      </w:r>
      <w:proofErr w:type="gramEnd"/>
      <w:r w:rsidR="7AD290F8" w:rsidRPr="00703A0B">
        <w:rPr>
          <w:rFonts w:eastAsia="Arial" w:cs="Arial"/>
        </w:rPr>
        <w:t xml:space="preserve"> and licensees </w:t>
      </w:r>
      <w:r w:rsidR="4CA79336" w:rsidRPr="00703A0B">
        <w:rPr>
          <w:rFonts w:eastAsia="Arial" w:cs="Arial"/>
        </w:rPr>
        <w:t xml:space="preserve">to </w:t>
      </w:r>
      <w:r w:rsidR="004D384A" w:rsidRPr="00703A0B">
        <w:rPr>
          <w:szCs w:val="22"/>
        </w:rPr>
        <w:t xml:space="preserve">make informed decisions and </w:t>
      </w:r>
      <w:r w:rsidR="3EC19C7A" w:rsidRPr="00703A0B">
        <w:rPr>
          <w:szCs w:val="22"/>
        </w:rPr>
        <w:t>meet</w:t>
      </w:r>
      <w:r w:rsidR="004D384A" w:rsidRPr="00703A0B">
        <w:rPr>
          <w:szCs w:val="22"/>
        </w:rPr>
        <w:t xml:space="preserve"> </w:t>
      </w:r>
      <w:r w:rsidRPr="00703A0B">
        <w:rPr>
          <w:szCs w:val="22"/>
        </w:rPr>
        <w:t xml:space="preserve">their </w:t>
      </w:r>
      <w:r w:rsidR="004D384A" w:rsidRPr="00703A0B">
        <w:rPr>
          <w:szCs w:val="22"/>
        </w:rPr>
        <w:t>obligations</w:t>
      </w:r>
    </w:p>
    <w:p w14:paraId="4D19CF66" w14:textId="0D9DC2E1" w:rsidR="00E55BF9" w:rsidRPr="00703A0B" w:rsidRDefault="005565B0" w:rsidP="006B7012">
      <w:pPr>
        <w:pStyle w:val="ListParagraph"/>
        <w:numPr>
          <w:ilvl w:val="0"/>
          <w:numId w:val="115"/>
        </w:numPr>
        <w:spacing w:before="120" w:after="120"/>
        <w:ind w:left="714" w:right="119" w:hanging="357"/>
        <w:contextualSpacing w:val="0"/>
      </w:pPr>
      <w:r w:rsidRPr="00703A0B">
        <w:rPr>
          <w:szCs w:val="22"/>
        </w:rPr>
        <w:t>i</w:t>
      </w:r>
      <w:r w:rsidR="00F80263" w:rsidRPr="00703A0B">
        <w:rPr>
          <w:szCs w:val="22"/>
        </w:rPr>
        <w:t xml:space="preserve">ncreasing </w:t>
      </w:r>
      <w:r w:rsidR="2DE72345" w:rsidRPr="00703A0B">
        <w:rPr>
          <w:szCs w:val="22"/>
        </w:rPr>
        <w:t>customer</w:t>
      </w:r>
      <w:r w:rsidR="00F80263" w:rsidRPr="00703A0B">
        <w:rPr>
          <w:szCs w:val="22"/>
        </w:rPr>
        <w:t xml:space="preserve"> involvement in the </w:t>
      </w:r>
      <w:r w:rsidR="002C39A9" w:rsidRPr="00703A0B">
        <w:rPr>
          <w:szCs w:val="22"/>
        </w:rPr>
        <w:t xml:space="preserve">design, testing </w:t>
      </w:r>
      <w:r w:rsidR="00A70713" w:rsidRPr="00703A0B">
        <w:rPr>
          <w:szCs w:val="22"/>
        </w:rPr>
        <w:t xml:space="preserve">and </w:t>
      </w:r>
      <w:r w:rsidR="002C39A9" w:rsidRPr="00703A0B">
        <w:rPr>
          <w:szCs w:val="22"/>
        </w:rPr>
        <w:t>continuous improvement of services, initiatives and digital</w:t>
      </w:r>
      <w:r w:rsidR="2C885EB6" w:rsidRPr="00703A0B">
        <w:rPr>
          <w:szCs w:val="22"/>
        </w:rPr>
        <w:t xml:space="preserve"> </w:t>
      </w:r>
      <w:r w:rsidR="00A70713" w:rsidRPr="00703A0B">
        <w:rPr>
          <w:szCs w:val="22"/>
        </w:rPr>
        <w:t>solutions</w:t>
      </w:r>
      <w:r w:rsidR="2C885EB6" w:rsidRPr="00703A0B">
        <w:rPr>
          <w:szCs w:val="22"/>
        </w:rPr>
        <w:t>.</w:t>
      </w:r>
      <w:r w:rsidR="2DE72345" w:rsidRPr="00703A0B">
        <w:rPr>
          <w:szCs w:val="22"/>
        </w:rPr>
        <w:t xml:space="preserve"> </w:t>
      </w:r>
    </w:p>
    <w:p w14:paraId="79BB03B7" w14:textId="7849E224" w:rsidR="00E55BF9" w:rsidRPr="00703A0B" w:rsidRDefault="004D384A" w:rsidP="006E1756">
      <w:pPr>
        <w:ind w:right="120"/>
      </w:pPr>
      <w:r w:rsidRPr="00703A0B">
        <w:t xml:space="preserve">Through targeted education, proactive communication and ongoing </w:t>
      </w:r>
      <w:r w:rsidR="00A70713" w:rsidRPr="00703A0B">
        <w:t>engagement</w:t>
      </w:r>
      <w:r w:rsidRPr="00703A0B">
        <w:t>, the QBCC will continue to support informed decision</w:t>
      </w:r>
      <w:r w:rsidR="00F0725D" w:rsidRPr="00703A0B">
        <w:t xml:space="preserve"> </w:t>
      </w:r>
      <w:r w:rsidRPr="00703A0B">
        <w:t>making</w:t>
      </w:r>
      <w:r w:rsidR="003E2045" w:rsidRPr="00703A0B">
        <w:t xml:space="preserve"> and strengthen </w:t>
      </w:r>
      <w:r w:rsidRPr="00703A0B">
        <w:t>trust and confidence</w:t>
      </w:r>
      <w:r w:rsidR="005565B0" w:rsidRPr="00703A0B">
        <w:t xml:space="preserve"> across the </w:t>
      </w:r>
      <w:r w:rsidR="00BD5068" w:rsidRPr="00703A0B">
        <w:t xml:space="preserve">Queensland’s building and construction </w:t>
      </w:r>
      <w:r w:rsidR="005565B0" w:rsidRPr="00703A0B">
        <w:t>industry.</w:t>
      </w:r>
    </w:p>
    <w:p w14:paraId="2D74F451" w14:textId="23501D49" w:rsidR="003601F7" w:rsidRPr="00703A0B" w:rsidRDefault="003601F7">
      <w:pPr>
        <w:rPr>
          <w:rFonts w:eastAsiaTheme="majorEastAsia" w:cs="Arial"/>
          <w:sz w:val="48"/>
          <w:szCs w:val="48"/>
        </w:rPr>
      </w:pPr>
      <w:bookmarkStart w:id="119" w:name="_Toc206493020"/>
      <w:r w:rsidRPr="00703A0B">
        <w:rPr>
          <w:rFonts w:cs="Arial"/>
        </w:rPr>
        <w:br w:type="page"/>
      </w:r>
    </w:p>
    <w:p w14:paraId="0610FE6C" w14:textId="4DF224BC" w:rsidR="00FE2322" w:rsidRPr="00703A0B" w:rsidRDefault="007A0BC6" w:rsidP="003069C5">
      <w:pPr>
        <w:pStyle w:val="Heading1"/>
        <w:rPr>
          <w:rFonts w:cs="Arial"/>
        </w:rPr>
      </w:pPr>
      <w:bookmarkStart w:id="120" w:name="_Organisation"/>
      <w:bookmarkStart w:id="121" w:name="_Toc238101684"/>
      <w:bookmarkEnd w:id="120"/>
      <w:r w:rsidRPr="00703A0B">
        <w:rPr>
          <w:rFonts w:cs="Arial"/>
        </w:rPr>
        <w:lastRenderedPageBreak/>
        <w:t>O</w:t>
      </w:r>
      <w:r w:rsidR="00717ABD" w:rsidRPr="00703A0B">
        <w:rPr>
          <w:rFonts w:cs="Arial"/>
        </w:rPr>
        <w:t>r</w:t>
      </w:r>
      <w:r w:rsidR="00FE2322" w:rsidRPr="00703A0B">
        <w:rPr>
          <w:rFonts w:cs="Arial"/>
        </w:rPr>
        <w:t>ganisation</w:t>
      </w:r>
      <w:bookmarkEnd w:id="119"/>
      <w:bookmarkEnd w:id="121"/>
    </w:p>
    <w:p w14:paraId="511A9DD8" w14:textId="39B0D454" w:rsidR="00C373C4" w:rsidRPr="00703A0B" w:rsidRDefault="00E91605" w:rsidP="003A521B">
      <w:pPr>
        <w:spacing w:before="120" w:after="120"/>
      </w:pPr>
      <w:r w:rsidRPr="00703A0B">
        <w:t xml:space="preserve">Throughout 2025–26, </w:t>
      </w:r>
      <w:r w:rsidR="00386AA5" w:rsidRPr="00703A0B">
        <w:t>the organisation delivered</w:t>
      </w:r>
      <w:r w:rsidRPr="00703A0B">
        <w:t xml:space="preserve"> </w:t>
      </w:r>
      <w:r w:rsidR="000A159A" w:rsidRPr="00703A0B">
        <w:t xml:space="preserve">a </w:t>
      </w:r>
      <w:r w:rsidR="00EA0E8A" w:rsidRPr="00703A0B">
        <w:t>portfolio</w:t>
      </w:r>
      <w:r w:rsidR="000A159A" w:rsidRPr="00703A0B">
        <w:t xml:space="preserve"> of </w:t>
      </w:r>
      <w:r w:rsidR="00EA0E8A" w:rsidRPr="00703A0B">
        <w:t xml:space="preserve">targeted </w:t>
      </w:r>
      <w:r w:rsidR="000A159A" w:rsidRPr="00703A0B">
        <w:t>projects</w:t>
      </w:r>
      <w:r w:rsidR="000D02D6" w:rsidRPr="00703A0B">
        <w:t xml:space="preserve"> </w:t>
      </w:r>
      <w:r w:rsidR="00993637" w:rsidRPr="00703A0B">
        <w:t xml:space="preserve">aligned to </w:t>
      </w:r>
      <w:r w:rsidR="00353478" w:rsidRPr="00703A0B">
        <w:t>its</w:t>
      </w:r>
      <w:r w:rsidR="00081933" w:rsidRPr="00703A0B">
        <w:t xml:space="preserve"> Transformation Roadmap</w:t>
      </w:r>
      <w:r w:rsidR="00993637" w:rsidRPr="00703A0B">
        <w:t xml:space="preserve"> in response to stakeholder feedback to </w:t>
      </w:r>
      <w:r w:rsidR="00306A94" w:rsidRPr="00703A0B">
        <w:t>modernise</w:t>
      </w:r>
      <w:r w:rsidR="00DB2E9B" w:rsidRPr="00703A0B">
        <w:t xml:space="preserve"> the QBCC and position the organisation for the </w:t>
      </w:r>
      <w:r w:rsidR="00557F40" w:rsidRPr="00703A0B">
        <w:t>21st century</w:t>
      </w:r>
      <w:r w:rsidR="004F59E7" w:rsidRPr="00703A0B">
        <w:t xml:space="preserve">. These </w:t>
      </w:r>
      <w:r w:rsidR="004C1381" w:rsidRPr="00703A0B">
        <w:t xml:space="preserve">initiatives </w:t>
      </w:r>
      <w:r w:rsidR="002E2C41" w:rsidRPr="00703A0B">
        <w:t xml:space="preserve">focused on replacing legacy systems, maturing corporate systems and processes, simplifying </w:t>
      </w:r>
      <w:r w:rsidR="0094679D" w:rsidRPr="00703A0B">
        <w:t xml:space="preserve">ways of working and removing unnecessary complexity and waste across the organisation. </w:t>
      </w:r>
      <w:r w:rsidR="00B914A5" w:rsidRPr="00703A0B">
        <w:t xml:space="preserve">The introduction of automation and </w:t>
      </w:r>
      <w:r w:rsidR="005167CA" w:rsidRPr="00703A0B">
        <w:t>AI</w:t>
      </w:r>
      <w:r w:rsidR="00B914A5" w:rsidRPr="00703A0B">
        <w:t xml:space="preserve"> enabled tools has further enhanced operational capability, unlocking capacity for employees to focus on higher-value</w:t>
      </w:r>
      <w:r w:rsidR="00BD6C1D" w:rsidRPr="00703A0B">
        <w:t xml:space="preserve"> </w:t>
      </w:r>
      <w:r w:rsidR="00B914A5" w:rsidRPr="00703A0B">
        <w:t xml:space="preserve">customer-facing and regulatory activities. </w:t>
      </w:r>
    </w:p>
    <w:p w14:paraId="445FD73B" w14:textId="45B5235E" w:rsidR="00BF2433" w:rsidRPr="00703A0B" w:rsidRDefault="00E247B3" w:rsidP="003A521B">
      <w:pPr>
        <w:spacing w:before="120" w:after="120"/>
      </w:pPr>
      <w:r w:rsidRPr="00703A0B">
        <w:t xml:space="preserve">Key </w:t>
      </w:r>
      <w:r w:rsidR="00BF2433" w:rsidRPr="00703A0B">
        <w:t xml:space="preserve">projects delivered </w:t>
      </w:r>
      <w:r w:rsidRPr="00703A0B">
        <w:t xml:space="preserve">during </w:t>
      </w:r>
      <w:r w:rsidR="00BF2433" w:rsidRPr="00703A0B">
        <w:t xml:space="preserve">the reporting period </w:t>
      </w:r>
      <w:r w:rsidR="008C19FE" w:rsidRPr="00703A0B">
        <w:t>that focused on</w:t>
      </w:r>
      <w:r w:rsidR="009B4335" w:rsidRPr="00703A0B">
        <w:t xml:space="preserve"> internal improvements </w:t>
      </w:r>
      <w:r w:rsidR="00BF2433" w:rsidRPr="00703A0B">
        <w:t>include</w:t>
      </w:r>
      <w:r w:rsidRPr="00703A0B">
        <w:t>d</w:t>
      </w:r>
      <w:r w:rsidR="00BF2433" w:rsidRPr="00703A0B">
        <w:t>:</w:t>
      </w:r>
    </w:p>
    <w:p w14:paraId="27DF1F2C" w14:textId="2A9A8303" w:rsidR="00E412DE" w:rsidRPr="00703A0B" w:rsidRDefault="00E412DE" w:rsidP="00A836CF">
      <w:pPr>
        <w:pStyle w:val="ListParagraph"/>
        <w:numPr>
          <w:ilvl w:val="0"/>
          <w:numId w:val="70"/>
        </w:numPr>
        <w:spacing w:before="120" w:after="120"/>
        <w:ind w:left="714" w:hanging="357"/>
        <w:contextualSpacing w:val="0"/>
      </w:pPr>
      <w:r w:rsidRPr="00703A0B">
        <w:rPr>
          <w:b/>
          <w:bCs/>
        </w:rPr>
        <w:t xml:space="preserve">Digital </w:t>
      </w:r>
      <w:r w:rsidR="0061375C" w:rsidRPr="00703A0B">
        <w:rPr>
          <w:b/>
          <w:bCs/>
        </w:rPr>
        <w:t>l</w:t>
      </w:r>
      <w:r w:rsidRPr="00703A0B">
        <w:rPr>
          <w:b/>
          <w:bCs/>
        </w:rPr>
        <w:t>icensing:</w:t>
      </w:r>
      <w:r w:rsidRPr="00703A0B">
        <w:t xml:space="preserve"> </w:t>
      </w:r>
      <w:r w:rsidR="00004C1D" w:rsidRPr="00703A0B">
        <w:t>Delivered</w:t>
      </w:r>
      <w:r w:rsidR="007475E4" w:rsidRPr="00703A0B">
        <w:t xml:space="preserve"> a</w:t>
      </w:r>
      <w:r w:rsidR="00E1255A" w:rsidRPr="00703A0B">
        <w:t xml:space="preserve"> major modernisation of </w:t>
      </w:r>
      <w:r w:rsidR="00BC2663" w:rsidRPr="00703A0B">
        <w:t>the</w:t>
      </w:r>
      <w:r w:rsidR="00E1255A" w:rsidRPr="00703A0B">
        <w:t xml:space="preserve"> Salesforce platform, migrat</w:t>
      </w:r>
      <w:r w:rsidR="0049628C" w:rsidRPr="00703A0B">
        <w:t>ing</w:t>
      </w:r>
      <w:r w:rsidR="00E1255A" w:rsidRPr="00703A0B">
        <w:t xml:space="preserve"> approximately 150 million records to</w:t>
      </w:r>
      <w:r w:rsidR="00CE4AD0" w:rsidRPr="00703A0B">
        <w:t xml:space="preserve"> </w:t>
      </w:r>
      <w:r w:rsidR="0049628C" w:rsidRPr="00703A0B">
        <w:t>a</w:t>
      </w:r>
      <w:r w:rsidR="00E1255A" w:rsidRPr="00703A0B">
        <w:t xml:space="preserve"> new digital </w:t>
      </w:r>
      <w:r w:rsidR="00ED60CB" w:rsidRPr="00703A0B">
        <w:t xml:space="preserve">environment and </w:t>
      </w:r>
      <w:r w:rsidR="00B63456" w:rsidRPr="00703A0B">
        <w:t>implement</w:t>
      </w:r>
      <w:r w:rsidR="00152C28" w:rsidRPr="00703A0B">
        <w:t xml:space="preserve">ing </w:t>
      </w:r>
      <w:r w:rsidR="00D34DB8" w:rsidRPr="00703A0B">
        <w:t>Salesforce</w:t>
      </w:r>
      <w:r w:rsidR="00ED3C8A" w:rsidRPr="00703A0B">
        <w:t xml:space="preserve"> </w:t>
      </w:r>
      <w:r w:rsidR="00CF739B" w:rsidRPr="00703A0B">
        <w:t>Public Sector Solutions</w:t>
      </w:r>
      <w:r w:rsidR="00D822FD" w:rsidRPr="00703A0B">
        <w:t xml:space="preserve"> to standardise </w:t>
      </w:r>
      <w:r w:rsidR="00EA7B99" w:rsidRPr="00703A0B">
        <w:t>regulatory process</w:t>
      </w:r>
      <w:r w:rsidR="006F4F18" w:rsidRPr="00703A0B">
        <w:t>es</w:t>
      </w:r>
      <w:r w:rsidR="00E453F4" w:rsidRPr="00703A0B">
        <w:t xml:space="preserve">, </w:t>
      </w:r>
      <w:r w:rsidR="006757E8" w:rsidRPr="00703A0B">
        <w:t>automate workflows</w:t>
      </w:r>
      <w:r w:rsidR="00E453F4" w:rsidRPr="00703A0B">
        <w:t xml:space="preserve"> and enhance </w:t>
      </w:r>
      <w:r w:rsidR="009645A2" w:rsidRPr="00703A0B">
        <w:t>digital service delivery</w:t>
      </w:r>
      <w:r w:rsidR="00E1255A" w:rsidRPr="00703A0B">
        <w:t xml:space="preserve">. The </w:t>
      </w:r>
      <w:r w:rsidR="00AA4928" w:rsidRPr="00703A0B">
        <w:t>transformation</w:t>
      </w:r>
      <w:r w:rsidR="00B922DA" w:rsidRPr="00703A0B">
        <w:t xml:space="preserve"> established</w:t>
      </w:r>
      <w:r w:rsidR="007E4F2B" w:rsidRPr="00703A0B">
        <w:t xml:space="preserve"> </w:t>
      </w:r>
      <w:r w:rsidR="00E1255A" w:rsidRPr="00703A0B">
        <w:t>a scalable foundation for future digital services</w:t>
      </w:r>
      <w:r w:rsidR="002120D7" w:rsidRPr="00703A0B">
        <w:t xml:space="preserve"> </w:t>
      </w:r>
      <w:r w:rsidR="00F45440" w:rsidRPr="00703A0B">
        <w:t xml:space="preserve">while </w:t>
      </w:r>
      <w:r w:rsidR="00E1255A" w:rsidRPr="00703A0B">
        <w:t>reduc</w:t>
      </w:r>
      <w:r w:rsidR="00F45440" w:rsidRPr="00703A0B">
        <w:t xml:space="preserve">ing </w:t>
      </w:r>
      <w:r w:rsidR="00254A18" w:rsidRPr="00703A0B">
        <w:t xml:space="preserve">the </w:t>
      </w:r>
      <w:r w:rsidR="006A439B" w:rsidRPr="00703A0B">
        <w:t>cost</w:t>
      </w:r>
      <w:r w:rsidR="00CB5B6C" w:rsidRPr="00703A0B">
        <w:t>s,</w:t>
      </w:r>
      <w:r w:rsidR="00E1255A" w:rsidRPr="00703A0B">
        <w:t xml:space="preserve"> </w:t>
      </w:r>
      <w:r w:rsidR="002D12FE" w:rsidRPr="00703A0B">
        <w:t xml:space="preserve">security </w:t>
      </w:r>
      <w:r w:rsidR="00CB5B6C" w:rsidRPr="00703A0B">
        <w:t>risks</w:t>
      </w:r>
      <w:r w:rsidR="002D12FE" w:rsidRPr="00703A0B">
        <w:t xml:space="preserve"> and data </w:t>
      </w:r>
      <w:r w:rsidR="00CB5B6C" w:rsidRPr="00703A0B">
        <w:t>management challenges</w:t>
      </w:r>
      <w:r w:rsidR="00254A18" w:rsidRPr="00703A0B">
        <w:t xml:space="preserve"> </w:t>
      </w:r>
      <w:r w:rsidR="001340FE" w:rsidRPr="00703A0B">
        <w:t>associated with</w:t>
      </w:r>
      <w:r w:rsidR="00254A18" w:rsidRPr="00703A0B">
        <w:t xml:space="preserve"> </w:t>
      </w:r>
      <w:r w:rsidR="00E1255A" w:rsidRPr="00703A0B">
        <w:t>legacy technology platforms.</w:t>
      </w:r>
    </w:p>
    <w:p w14:paraId="149A8950" w14:textId="7938C357" w:rsidR="00B05272" w:rsidRPr="00703A0B" w:rsidRDefault="00B05272" w:rsidP="00A836CF">
      <w:pPr>
        <w:pStyle w:val="ListParagraph"/>
        <w:numPr>
          <w:ilvl w:val="0"/>
          <w:numId w:val="70"/>
        </w:numPr>
        <w:spacing w:before="120" w:after="120"/>
        <w:ind w:left="714" w:hanging="357"/>
        <w:contextualSpacing w:val="0"/>
      </w:pPr>
      <w:r w:rsidRPr="00703A0B">
        <w:rPr>
          <w:b/>
          <w:bCs/>
        </w:rPr>
        <w:t xml:space="preserve">Records </w:t>
      </w:r>
      <w:r w:rsidR="0061375C" w:rsidRPr="00703A0B">
        <w:rPr>
          <w:b/>
          <w:bCs/>
        </w:rPr>
        <w:t>i</w:t>
      </w:r>
      <w:r w:rsidRPr="00703A0B">
        <w:rPr>
          <w:b/>
          <w:bCs/>
        </w:rPr>
        <w:t xml:space="preserve">n </w:t>
      </w:r>
      <w:r w:rsidR="0061375C" w:rsidRPr="00703A0B">
        <w:rPr>
          <w:b/>
          <w:bCs/>
        </w:rPr>
        <w:t>p</w:t>
      </w:r>
      <w:r w:rsidRPr="00703A0B">
        <w:rPr>
          <w:b/>
          <w:bCs/>
        </w:rPr>
        <w:t>lace:</w:t>
      </w:r>
      <w:r w:rsidRPr="00703A0B">
        <w:t xml:space="preserve"> Strengthened compliant record</w:t>
      </w:r>
      <w:r w:rsidR="00D266AF" w:rsidRPr="00703A0B">
        <w:t>s management</w:t>
      </w:r>
      <w:r w:rsidRPr="00703A0B">
        <w:t xml:space="preserve"> practices through improvements to SharePoint governance, records management processes and migration planning. </w:t>
      </w:r>
      <w:r w:rsidR="000278CA" w:rsidRPr="00703A0B">
        <w:t>E</w:t>
      </w:r>
      <w:r w:rsidR="00C447A3" w:rsidRPr="00703A0B">
        <w:t>nhanced</w:t>
      </w:r>
      <w:r w:rsidR="00A25466" w:rsidRPr="00703A0B">
        <w:t xml:space="preserve"> </w:t>
      </w:r>
      <w:r w:rsidRPr="00703A0B">
        <w:t>information management</w:t>
      </w:r>
      <w:r w:rsidR="008D123C" w:rsidRPr="00703A0B">
        <w:t xml:space="preserve"> and</w:t>
      </w:r>
      <w:r w:rsidRPr="00703A0B">
        <w:t xml:space="preserve"> </w:t>
      </w:r>
      <w:r w:rsidR="00871FF8" w:rsidRPr="00703A0B">
        <w:t>accessibility</w:t>
      </w:r>
      <w:r w:rsidRPr="00703A0B">
        <w:t xml:space="preserve"> </w:t>
      </w:r>
      <w:r w:rsidR="008D123C" w:rsidRPr="00703A0B">
        <w:t xml:space="preserve">capabilities </w:t>
      </w:r>
      <w:r w:rsidR="00EB44E4" w:rsidRPr="00703A0B">
        <w:t>support</w:t>
      </w:r>
      <w:r w:rsidR="00AF2E7B" w:rsidRPr="00703A0B">
        <w:t xml:space="preserve"> compliance obligations, </w:t>
      </w:r>
      <w:r w:rsidR="00EB44E4" w:rsidRPr="00703A0B">
        <w:t>more effective decision making and reduc</w:t>
      </w:r>
      <w:r w:rsidR="001E442D" w:rsidRPr="00703A0B">
        <w:t>ed</w:t>
      </w:r>
      <w:r w:rsidR="00EB44E4" w:rsidRPr="00703A0B">
        <w:t xml:space="preserve"> information management risks</w:t>
      </w:r>
      <w:r w:rsidRPr="00703A0B">
        <w:t>.</w:t>
      </w:r>
    </w:p>
    <w:p w14:paraId="6A9D90A3" w14:textId="633A3A0C" w:rsidR="00B05272" w:rsidRPr="00703A0B" w:rsidRDefault="00B05272" w:rsidP="00A836CF">
      <w:pPr>
        <w:pStyle w:val="ListParagraph"/>
        <w:numPr>
          <w:ilvl w:val="0"/>
          <w:numId w:val="70"/>
        </w:numPr>
        <w:spacing w:before="120" w:after="120"/>
        <w:ind w:left="714" w:hanging="357"/>
        <w:contextualSpacing w:val="0"/>
      </w:pPr>
      <w:r w:rsidRPr="00703A0B">
        <w:rPr>
          <w:b/>
          <w:bCs/>
        </w:rPr>
        <w:t>Aurion</w:t>
      </w:r>
      <w:r w:rsidR="005E43D3" w:rsidRPr="00703A0B">
        <w:rPr>
          <w:b/>
          <w:bCs/>
        </w:rPr>
        <w:t xml:space="preserve"> </w:t>
      </w:r>
      <w:r w:rsidR="0061375C" w:rsidRPr="00703A0B">
        <w:rPr>
          <w:b/>
          <w:bCs/>
        </w:rPr>
        <w:t>u</w:t>
      </w:r>
      <w:r w:rsidR="005E43D3" w:rsidRPr="00703A0B">
        <w:rPr>
          <w:b/>
          <w:bCs/>
        </w:rPr>
        <w:t>pgrade</w:t>
      </w:r>
      <w:r w:rsidRPr="00703A0B">
        <w:rPr>
          <w:b/>
          <w:bCs/>
        </w:rPr>
        <w:t>:</w:t>
      </w:r>
      <w:r w:rsidRPr="00703A0B">
        <w:t xml:space="preserve"> Implemented a modern cloud-based payroll system</w:t>
      </w:r>
      <w:r w:rsidR="00A0664C" w:rsidRPr="00703A0B">
        <w:t xml:space="preserve"> to meet Australian Tax Office Payday Super compliance requirements</w:t>
      </w:r>
      <w:r w:rsidRPr="00703A0B">
        <w:t>, improving system reliability, compliance, reporting capability and the employee experience</w:t>
      </w:r>
      <w:r w:rsidR="001E442D" w:rsidRPr="00703A0B">
        <w:t xml:space="preserve">. The new system </w:t>
      </w:r>
      <w:r w:rsidRPr="00703A0B">
        <w:t>reduc</w:t>
      </w:r>
      <w:r w:rsidR="001E442D" w:rsidRPr="00703A0B">
        <w:t xml:space="preserve">es </w:t>
      </w:r>
      <w:r w:rsidRPr="00703A0B">
        <w:t>operational risk</w:t>
      </w:r>
      <w:r w:rsidR="00402EED" w:rsidRPr="00703A0B">
        <w:t>, streamlines payroll processes and provides a more sustainable platform for workplace management</w:t>
      </w:r>
      <w:r w:rsidRPr="00703A0B">
        <w:t>.</w:t>
      </w:r>
    </w:p>
    <w:p w14:paraId="637128C4" w14:textId="4E62AA41" w:rsidR="00B05272" w:rsidRPr="00703A0B" w:rsidRDefault="00B05272" w:rsidP="00A836CF">
      <w:pPr>
        <w:pStyle w:val="ListParagraph"/>
        <w:numPr>
          <w:ilvl w:val="0"/>
          <w:numId w:val="70"/>
        </w:numPr>
        <w:spacing w:before="120" w:after="120"/>
        <w:ind w:left="714" w:hanging="357"/>
        <w:contextualSpacing w:val="0"/>
      </w:pPr>
      <w:r w:rsidRPr="00703A0B">
        <w:rPr>
          <w:b/>
          <w:bCs/>
        </w:rPr>
        <w:t>H</w:t>
      </w:r>
      <w:r w:rsidR="002836E3" w:rsidRPr="00703A0B">
        <w:rPr>
          <w:b/>
          <w:bCs/>
        </w:rPr>
        <w:t xml:space="preserve">uman </w:t>
      </w:r>
      <w:r w:rsidR="00BF2C30" w:rsidRPr="00703A0B">
        <w:rPr>
          <w:b/>
          <w:bCs/>
        </w:rPr>
        <w:t>R</w:t>
      </w:r>
      <w:r w:rsidR="002836E3" w:rsidRPr="00703A0B">
        <w:rPr>
          <w:b/>
          <w:bCs/>
        </w:rPr>
        <w:t>esources</w:t>
      </w:r>
      <w:r w:rsidR="00BF2C30" w:rsidRPr="00703A0B">
        <w:rPr>
          <w:b/>
          <w:bCs/>
        </w:rPr>
        <w:t xml:space="preserve"> (HR)</w:t>
      </w:r>
      <w:r w:rsidRPr="00703A0B">
        <w:rPr>
          <w:b/>
          <w:bCs/>
        </w:rPr>
        <w:t xml:space="preserve"> </w:t>
      </w:r>
      <w:r w:rsidR="002836E3" w:rsidRPr="00703A0B">
        <w:rPr>
          <w:b/>
          <w:bCs/>
        </w:rPr>
        <w:t>d</w:t>
      </w:r>
      <w:r w:rsidRPr="00703A0B">
        <w:rPr>
          <w:b/>
          <w:bCs/>
        </w:rPr>
        <w:t>iscovery:</w:t>
      </w:r>
      <w:r w:rsidRPr="00703A0B">
        <w:t xml:space="preserve"> Completed an organisation-wide assessment of current HR systems and processes, establishing a clear roadmap for future workforce system transformation</w:t>
      </w:r>
      <w:r w:rsidR="007E3A4C" w:rsidRPr="00703A0B">
        <w:t xml:space="preserve"> to </w:t>
      </w:r>
      <w:r w:rsidR="00190492" w:rsidRPr="00703A0B">
        <w:t>support more efficient people management practices, improved workforce insights and enhanced employee services</w:t>
      </w:r>
      <w:r w:rsidRPr="00703A0B">
        <w:t>.</w:t>
      </w:r>
    </w:p>
    <w:p w14:paraId="6E27FBE3" w14:textId="4EEE3CBF" w:rsidR="00B05272" w:rsidRPr="00703A0B" w:rsidRDefault="00B05272" w:rsidP="00A836CF">
      <w:pPr>
        <w:pStyle w:val="ListParagraph"/>
        <w:numPr>
          <w:ilvl w:val="0"/>
          <w:numId w:val="70"/>
        </w:numPr>
        <w:spacing w:before="120" w:after="120"/>
        <w:ind w:left="714" w:hanging="357"/>
        <w:contextualSpacing w:val="0"/>
      </w:pPr>
      <w:r w:rsidRPr="00703A0B">
        <w:rPr>
          <w:b/>
          <w:bCs/>
        </w:rPr>
        <w:t>Delegation</w:t>
      </w:r>
      <w:r w:rsidR="00BF2C30" w:rsidRPr="00703A0B">
        <w:rPr>
          <w:b/>
          <w:bCs/>
        </w:rPr>
        <w:t>s and Authorisations</w:t>
      </w:r>
      <w:r w:rsidRPr="00703A0B">
        <w:rPr>
          <w:b/>
          <w:bCs/>
        </w:rPr>
        <w:t xml:space="preserve"> Manual and </w:t>
      </w:r>
      <w:r w:rsidR="00A0077B" w:rsidRPr="00703A0B">
        <w:rPr>
          <w:b/>
          <w:bCs/>
        </w:rPr>
        <w:t>b</w:t>
      </w:r>
      <w:r w:rsidRPr="00703A0B">
        <w:rPr>
          <w:b/>
          <w:bCs/>
        </w:rPr>
        <w:t xml:space="preserve">usiness </w:t>
      </w:r>
      <w:r w:rsidR="00A0077B" w:rsidRPr="00703A0B">
        <w:rPr>
          <w:b/>
          <w:bCs/>
        </w:rPr>
        <w:t>r</w:t>
      </w:r>
      <w:r w:rsidRPr="00703A0B">
        <w:rPr>
          <w:b/>
          <w:bCs/>
        </w:rPr>
        <w:t>ules:</w:t>
      </w:r>
      <w:r w:rsidRPr="00703A0B">
        <w:t xml:space="preserve"> Reviewed and streamlined decision-making frameworks, improving consistency, </w:t>
      </w:r>
      <w:r w:rsidR="002F619F" w:rsidRPr="00703A0B">
        <w:t xml:space="preserve">clarifying accountabilities and </w:t>
      </w:r>
      <w:r w:rsidRPr="00703A0B">
        <w:t xml:space="preserve">reducing </w:t>
      </w:r>
      <w:r w:rsidR="002F619F" w:rsidRPr="00703A0B">
        <w:t xml:space="preserve">administrative </w:t>
      </w:r>
      <w:r w:rsidRPr="00703A0B">
        <w:t>complexity</w:t>
      </w:r>
      <w:r w:rsidR="002F619F" w:rsidRPr="00703A0B">
        <w:t xml:space="preserve">. </w:t>
      </w:r>
      <w:r w:rsidR="000316D9" w:rsidRPr="00703A0B">
        <w:t>Improved decision-making processes increased efficiency, transparency and consistency across the organisation.</w:t>
      </w:r>
    </w:p>
    <w:p w14:paraId="0622151F" w14:textId="249D5410" w:rsidR="00BF2433" w:rsidRPr="00703A0B" w:rsidRDefault="00B05272" w:rsidP="00A836CF">
      <w:pPr>
        <w:pStyle w:val="ListParagraph"/>
        <w:numPr>
          <w:ilvl w:val="0"/>
          <w:numId w:val="70"/>
        </w:numPr>
        <w:spacing w:before="120" w:after="120"/>
        <w:ind w:left="714" w:hanging="357"/>
        <w:contextualSpacing w:val="0"/>
      </w:pPr>
      <w:r w:rsidRPr="00703A0B">
        <w:rPr>
          <w:b/>
          <w:bCs/>
        </w:rPr>
        <w:t xml:space="preserve">Procurement </w:t>
      </w:r>
      <w:r w:rsidR="00443DF2" w:rsidRPr="00703A0B">
        <w:rPr>
          <w:b/>
          <w:bCs/>
        </w:rPr>
        <w:t>r</w:t>
      </w:r>
      <w:r w:rsidRPr="00703A0B">
        <w:rPr>
          <w:b/>
          <w:bCs/>
        </w:rPr>
        <w:t>eview:</w:t>
      </w:r>
      <w:r w:rsidRPr="00703A0B">
        <w:t xml:space="preserve"> Delivered a new procurement operating model and implementation roadmap to strengthen governance, improve procurement </w:t>
      </w:r>
      <w:r w:rsidR="000316D9" w:rsidRPr="00703A0B">
        <w:t xml:space="preserve">capability </w:t>
      </w:r>
      <w:r w:rsidRPr="00703A0B">
        <w:t>and maximise value for money.</w:t>
      </w:r>
      <w:r w:rsidR="00E93F35" w:rsidRPr="00703A0B">
        <w:t xml:space="preserve"> The review provides a foundation for more effective procurement planning, management and oversight across the organisation.</w:t>
      </w:r>
    </w:p>
    <w:p w14:paraId="299C1C4F" w14:textId="33AF60FE" w:rsidR="007A11E9" w:rsidRPr="00703A0B" w:rsidRDefault="00917DFD">
      <w:r w:rsidRPr="00703A0B">
        <w:t xml:space="preserve">Together, </w:t>
      </w:r>
      <w:r w:rsidR="00DF0946" w:rsidRPr="00703A0B">
        <w:t>the</w:t>
      </w:r>
      <w:r w:rsidR="00584F78" w:rsidRPr="00703A0B">
        <w:t>se</w:t>
      </w:r>
      <w:r w:rsidR="00DF0946" w:rsidRPr="00703A0B">
        <w:t xml:space="preserve"> projects</w:t>
      </w:r>
      <w:r w:rsidR="0079791F" w:rsidRPr="00703A0B">
        <w:t xml:space="preserve"> have</w:t>
      </w:r>
      <w:r w:rsidRPr="00703A0B">
        <w:t xml:space="preserve"> </w:t>
      </w:r>
      <w:r w:rsidR="00584F78" w:rsidRPr="00703A0B">
        <w:t xml:space="preserve">modernised the QBCC’s </w:t>
      </w:r>
      <w:r w:rsidR="0079791F" w:rsidRPr="00703A0B">
        <w:t xml:space="preserve">operating environment, creating simpler, more efficient </w:t>
      </w:r>
      <w:r w:rsidR="006001BE" w:rsidRPr="00703A0B">
        <w:t>and sustainable way</w:t>
      </w:r>
      <w:r w:rsidR="00855DC0" w:rsidRPr="00703A0B">
        <w:t>s</w:t>
      </w:r>
      <w:r w:rsidR="006001BE" w:rsidRPr="00703A0B">
        <w:t xml:space="preserve"> of working. </w:t>
      </w:r>
      <w:r w:rsidR="00640768" w:rsidRPr="00703A0B">
        <w:t xml:space="preserve">The initiatives have </w:t>
      </w:r>
      <w:r w:rsidR="00407E2F" w:rsidRPr="00703A0B">
        <w:t>strengthened</w:t>
      </w:r>
      <w:r w:rsidR="00AA024A" w:rsidRPr="00703A0B">
        <w:t xml:space="preserve"> organisational resilience</w:t>
      </w:r>
      <w:r w:rsidR="005A574A" w:rsidRPr="00703A0B">
        <w:t>, i</w:t>
      </w:r>
      <w:r w:rsidR="00287C53" w:rsidRPr="00703A0B">
        <w:t>mproved the quality and consistency of corporate services and provided a stronger platform to support future growth</w:t>
      </w:r>
      <w:r w:rsidR="000B3C94" w:rsidRPr="00703A0B">
        <w:t>.</w:t>
      </w:r>
    </w:p>
    <w:p w14:paraId="6D800B6A" w14:textId="77777777" w:rsidR="007A11E9" w:rsidRPr="00703A0B" w:rsidRDefault="007A11E9">
      <w:pPr>
        <w:rPr>
          <w:b/>
          <w:bCs/>
        </w:rPr>
      </w:pPr>
    </w:p>
    <w:p w14:paraId="5766D23A" w14:textId="4BB821C2" w:rsidR="000950D7" w:rsidRPr="00703A0B" w:rsidRDefault="000950D7" w:rsidP="00A836CF">
      <w:pPr>
        <w:pStyle w:val="ListParagraph"/>
        <w:numPr>
          <w:ilvl w:val="0"/>
          <w:numId w:val="63"/>
        </w:numPr>
      </w:pPr>
      <w:r w:rsidRPr="00703A0B">
        <w:br w:type="page"/>
      </w:r>
    </w:p>
    <w:p w14:paraId="7C1DBAFE" w14:textId="77777777" w:rsidR="00A41B87" w:rsidRPr="00703A0B" w:rsidRDefault="00A66B05" w:rsidP="002114C0">
      <w:pPr>
        <w:pStyle w:val="Heading2"/>
      </w:pPr>
      <w:bookmarkStart w:id="122" w:name="_QBC_Board_1"/>
      <w:bookmarkStart w:id="123" w:name="_Toc206493021"/>
      <w:bookmarkStart w:id="124" w:name="_Toc238101685"/>
      <w:bookmarkEnd w:id="122"/>
      <w:r w:rsidRPr="00703A0B">
        <w:lastRenderedPageBreak/>
        <w:t>Organisational</w:t>
      </w:r>
      <w:r w:rsidR="005C6A6E" w:rsidRPr="00703A0B">
        <w:t xml:space="preserve"> </w:t>
      </w:r>
      <w:r w:rsidRPr="00703A0B">
        <w:t>structure</w:t>
      </w:r>
      <w:bookmarkEnd w:id="123"/>
      <w:bookmarkEnd w:id="124"/>
    </w:p>
    <w:p w14:paraId="11149E46" w14:textId="7016705E" w:rsidR="00A41B87" w:rsidRPr="00703A0B" w:rsidRDefault="006218D0" w:rsidP="00E756A9">
      <w:pPr>
        <w:spacing w:before="120" w:after="120" w:line="257" w:lineRule="auto"/>
        <w:rPr>
          <w:rFonts w:cs="Arial"/>
        </w:rPr>
      </w:pPr>
      <w:bookmarkStart w:id="125" w:name="_QBC_Board"/>
      <w:bookmarkEnd w:id="125"/>
      <w:r w:rsidRPr="00703A0B">
        <w:t>During 2025–26, the QBCC implemented a new organisational structure as part of its broader transformation program and TOM. The revised structure is designed to support a more customer-focused</w:t>
      </w:r>
      <w:r w:rsidR="005F7C00" w:rsidRPr="00703A0B">
        <w:t xml:space="preserve"> </w:t>
      </w:r>
      <w:r w:rsidR="007F151E" w:rsidRPr="00703A0B">
        <w:t xml:space="preserve">organisation </w:t>
      </w:r>
      <w:r w:rsidRPr="00703A0B">
        <w:t>by bringing</w:t>
      </w:r>
      <w:r w:rsidR="005F7C00" w:rsidRPr="00703A0B">
        <w:t xml:space="preserve"> executive</w:t>
      </w:r>
      <w:r w:rsidRPr="00703A0B">
        <w:t xml:space="preserve"> decision</w:t>
      </w:r>
      <w:r w:rsidR="005F7C00" w:rsidRPr="00703A0B">
        <w:t xml:space="preserve"> </w:t>
      </w:r>
      <w:r w:rsidRPr="00703A0B">
        <w:t xml:space="preserve">making closer to frontline services, strengthening accountability and enabling </w:t>
      </w:r>
      <w:r w:rsidR="00BA201E" w:rsidRPr="00703A0B">
        <w:t>faster</w:t>
      </w:r>
      <w:r w:rsidR="00CD3B70" w:rsidRPr="00703A0B">
        <w:t xml:space="preserve"> responses to customer and industry needs</w:t>
      </w:r>
      <w:r w:rsidRPr="00703A0B">
        <w:t xml:space="preserve">. </w:t>
      </w:r>
      <w:r w:rsidR="00DD6041" w:rsidRPr="00703A0B">
        <w:fldChar w:fldCharType="begin"/>
      </w:r>
      <w:r w:rsidR="00DD6041" w:rsidRPr="00703A0B">
        <w:instrText xml:space="preserve"> REF _Ref234904400 \h  \* MERGEFORMAT </w:instrText>
      </w:r>
      <w:r w:rsidR="00DD6041" w:rsidRPr="00703A0B">
        <w:fldChar w:fldCharType="separate"/>
      </w:r>
      <w:r w:rsidR="00941B0E" w:rsidRPr="00703A0B">
        <w:t>Figure 7</w:t>
      </w:r>
      <w:r w:rsidR="00DD6041" w:rsidRPr="00703A0B">
        <w:fldChar w:fldCharType="end"/>
      </w:r>
      <w:r w:rsidR="00DD6041" w:rsidRPr="00703A0B">
        <w:t xml:space="preserve"> </w:t>
      </w:r>
      <w:r w:rsidR="00763B9D" w:rsidRPr="00703A0B">
        <w:t>provides an overview of t</w:t>
      </w:r>
      <w:r w:rsidRPr="00703A0B">
        <w:t xml:space="preserve">he </w:t>
      </w:r>
      <w:r w:rsidR="00763B9D" w:rsidRPr="00703A0B">
        <w:t>QBCC</w:t>
      </w:r>
      <w:r w:rsidR="00F372A3" w:rsidRPr="00703A0B">
        <w:t>’s</w:t>
      </w:r>
      <w:r w:rsidR="00763B9D" w:rsidRPr="00703A0B">
        <w:t xml:space="preserve"> </w:t>
      </w:r>
      <w:r w:rsidRPr="00703A0B">
        <w:t xml:space="preserve">organisational structure </w:t>
      </w:r>
      <w:r w:rsidR="00F372A3" w:rsidRPr="00703A0B">
        <w:t>at the end of the reporting period</w:t>
      </w:r>
      <w:r w:rsidRPr="00703A0B">
        <w:t>.</w:t>
      </w:r>
      <w:r w:rsidR="00ED13BC" w:rsidRPr="00703A0B">
        <w:t xml:space="preserve"> </w:t>
      </w:r>
    </w:p>
    <w:p w14:paraId="44EFA40B" w14:textId="6BE25984" w:rsidR="00054F68" w:rsidRPr="00703A0B" w:rsidRDefault="00054F68" w:rsidP="00E756A9">
      <w:pPr>
        <w:spacing w:before="120" w:after="120" w:line="257" w:lineRule="auto"/>
        <w:rPr>
          <w:rFonts w:cs="Arial"/>
        </w:rPr>
      </w:pPr>
    </w:p>
    <w:p w14:paraId="5967154A" w14:textId="3B1BCAEB" w:rsidR="00572D2B" w:rsidRPr="00703A0B" w:rsidRDefault="00572D2B" w:rsidP="00E756A9">
      <w:pPr>
        <w:spacing w:before="120" w:after="120" w:line="257" w:lineRule="auto"/>
        <w:rPr>
          <w:rFonts w:cs="Arial"/>
        </w:rPr>
      </w:pPr>
    </w:p>
    <w:p w14:paraId="363530B1" w14:textId="30F5889D" w:rsidR="00784084" w:rsidRPr="00703A0B" w:rsidRDefault="00784084" w:rsidP="00E756A9">
      <w:pPr>
        <w:spacing w:before="120" w:after="120" w:line="257" w:lineRule="auto"/>
        <w:rPr>
          <w:rFonts w:cs="Arial"/>
        </w:rPr>
      </w:pPr>
      <w:r w:rsidRPr="00BB72F2">
        <w:rPr>
          <w:rFonts w:cs="Arial"/>
          <w:noProof/>
        </w:rPr>
        <w:lastRenderedPageBreak/>
        <w:drawing>
          <wp:inline distT="0" distB="0" distL="0" distR="0" wp14:anchorId="5686B218" wp14:editId="352D37C9">
            <wp:extent cx="5673391" cy="8737200"/>
            <wp:effectExtent l="0" t="0" r="3810" b="6985"/>
            <wp:docPr id="93270535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705353"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5673391" cy="8737200"/>
                    </a:xfrm>
                    <a:prstGeom prst="rect">
                      <a:avLst/>
                    </a:prstGeom>
                  </pic:spPr>
                </pic:pic>
              </a:graphicData>
            </a:graphic>
          </wp:inline>
        </w:drawing>
      </w:r>
    </w:p>
    <w:p w14:paraId="3831272F" w14:textId="53234B5F" w:rsidR="00871C2C" w:rsidRPr="00703A0B" w:rsidRDefault="00F0074A" w:rsidP="00520820">
      <w:pPr>
        <w:pStyle w:val="Caption"/>
        <w:rPr>
          <w:i/>
        </w:rPr>
      </w:pPr>
      <w:bookmarkStart w:id="126" w:name="_Ref234904400"/>
      <w:r w:rsidRPr="00703A0B">
        <w:rPr>
          <w:b w:val="0"/>
          <w:i/>
        </w:rPr>
        <w:t xml:space="preserve">Figure </w:t>
      </w:r>
      <w:r w:rsidRPr="00703A0B">
        <w:rPr>
          <w:b w:val="0"/>
          <w:i/>
        </w:rPr>
        <w:fldChar w:fldCharType="begin"/>
      </w:r>
      <w:r w:rsidRPr="00703A0B">
        <w:rPr>
          <w:b w:val="0"/>
          <w:i/>
        </w:rPr>
        <w:instrText xml:space="preserve"> SEQ Figure \* ARABIC </w:instrText>
      </w:r>
      <w:r w:rsidRPr="00703A0B">
        <w:rPr>
          <w:b w:val="0"/>
          <w:i/>
        </w:rPr>
        <w:fldChar w:fldCharType="separate"/>
      </w:r>
      <w:r w:rsidR="00941B0E" w:rsidRPr="00F621D8">
        <w:rPr>
          <w:b w:val="0"/>
          <w:i/>
        </w:rPr>
        <w:t>7</w:t>
      </w:r>
      <w:r w:rsidRPr="00703A0B">
        <w:rPr>
          <w:b w:val="0"/>
          <w:i/>
        </w:rPr>
        <w:fldChar w:fldCharType="end"/>
      </w:r>
      <w:bookmarkEnd w:id="126"/>
      <w:r w:rsidR="00871C2C" w:rsidRPr="00703A0B">
        <w:rPr>
          <w:b w:val="0"/>
          <w:i/>
        </w:rPr>
        <w:t xml:space="preserve">: The QBCC organisational chart as </w:t>
      </w:r>
      <w:proofErr w:type="gramStart"/>
      <w:r w:rsidR="00871C2C" w:rsidRPr="00703A0B">
        <w:rPr>
          <w:b w:val="0"/>
          <w:i/>
        </w:rPr>
        <w:t>at</w:t>
      </w:r>
      <w:proofErr w:type="gramEnd"/>
      <w:r w:rsidR="00871C2C" w:rsidRPr="00703A0B">
        <w:rPr>
          <w:b w:val="0"/>
          <w:i/>
        </w:rPr>
        <w:t xml:space="preserve"> 30 June 2026</w:t>
      </w:r>
    </w:p>
    <w:p w14:paraId="3004EE29" w14:textId="1E4ED646" w:rsidR="00F20526" w:rsidRPr="00703A0B" w:rsidRDefault="00F20526" w:rsidP="00B01211">
      <w:pPr>
        <w:pStyle w:val="Heading3"/>
        <w:rPr>
          <w:szCs w:val="22"/>
        </w:rPr>
      </w:pPr>
      <w:r w:rsidRPr="00703A0B">
        <w:rPr>
          <w:szCs w:val="22"/>
        </w:rPr>
        <w:lastRenderedPageBreak/>
        <w:t>QBC Board</w:t>
      </w:r>
    </w:p>
    <w:p w14:paraId="328B2AA3" w14:textId="29C0768B" w:rsidR="00876FA7" w:rsidRPr="00703A0B" w:rsidRDefault="00110244" w:rsidP="00876FA7">
      <w:pPr>
        <w:spacing w:before="120" w:after="120"/>
        <w:rPr>
          <w:rFonts w:cs="Arial"/>
        </w:rPr>
      </w:pPr>
      <w:r w:rsidRPr="00703A0B">
        <w:rPr>
          <w:rFonts w:cs="Arial"/>
        </w:rPr>
        <w:t>T</w:t>
      </w:r>
      <w:r w:rsidR="00540B1F" w:rsidRPr="00703A0B">
        <w:rPr>
          <w:rFonts w:cs="Arial"/>
        </w:rPr>
        <w:t xml:space="preserve">he QBC Board </w:t>
      </w:r>
      <w:r w:rsidR="000D28D1" w:rsidRPr="00703A0B">
        <w:rPr>
          <w:rFonts w:cs="Arial"/>
        </w:rPr>
        <w:t>comprises</w:t>
      </w:r>
      <w:r w:rsidR="00540B1F" w:rsidRPr="00703A0B">
        <w:rPr>
          <w:rFonts w:cs="Arial"/>
        </w:rPr>
        <w:t xml:space="preserve"> independent</w:t>
      </w:r>
      <w:r w:rsidR="00686151" w:rsidRPr="00703A0B">
        <w:rPr>
          <w:rFonts w:cs="Arial"/>
        </w:rPr>
        <w:t>,</w:t>
      </w:r>
      <w:r w:rsidR="00540B1F" w:rsidRPr="00703A0B">
        <w:rPr>
          <w:rFonts w:cs="Arial"/>
        </w:rPr>
        <w:t xml:space="preserve"> non-executive members</w:t>
      </w:r>
      <w:r w:rsidR="00B3136D" w:rsidRPr="00703A0B">
        <w:rPr>
          <w:rFonts w:cs="Arial"/>
        </w:rPr>
        <w:t xml:space="preserve"> appointed by the Governor in Council for </w:t>
      </w:r>
      <w:r w:rsidR="006C6BC1" w:rsidRPr="00703A0B">
        <w:rPr>
          <w:rFonts w:cs="Arial"/>
        </w:rPr>
        <w:t>terms of up to</w:t>
      </w:r>
      <w:r w:rsidR="00B3136D" w:rsidRPr="00703A0B">
        <w:rPr>
          <w:rFonts w:cs="Arial"/>
        </w:rPr>
        <w:t xml:space="preserve"> three</w:t>
      </w:r>
      <w:r w:rsidR="006C6BC1" w:rsidRPr="00703A0B">
        <w:rPr>
          <w:rFonts w:cs="Arial"/>
        </w:rPr>
        <w:t xml:space="preserve"> </w:t>
      </w:r>
      <w:r w:rsidR="00B3136D" w:rsidRPr="00703A0B">
        <w:rPr>
          <w:rFonts w:cs="Arial"/>
        </w:rPr>
        <w:t>year</w:t>
      </w:r>
      <w:r w:rsidR="006C6BC1" w:rsidRPr="00703A0B">
        <w:rPr>
          <w:rFonts w:cs="Arial"/>
        </w:rPr>
        <w:t>s</w:t>
      </w:r>
      <w:r w:rsidR="00B3136D" w:rsidRPr="00703A0B">
        <w:rPr>
          <w:rFonts w:cs="Arial"/>
        </w:rPr>
        <w:t xml:space="preserve">. </w:t>
      </w:r>
      <w:r w:rsidR="00540B1F" w:rsidRPr="00703A0B">
        <w:rPr>
          <w:rFonts w:cs="Arial"/>
        </w:rPr>
        <w:t xml:space="preserve">The QBC Board </w:t>
      </w:r>
      <w:r w:rsidR="007A4A3B" w:rsidRPr="00703A0B">
        <w:rPr>
          <w:rFonts w:cs="Arial"/>
        </w:rPr>
        <w:t>members</w:t>
      </w:r>
      <w:r w:rsidR="00540B1F" w:rsidRPr="00703A0B">
        <w:rPr>
          <w:rFonts w:cs="Arial"/>
        </w:rPr>
        <w:t xml:space="preserve"> </w:t>
      </w:r>
      <w:r w:rsidR="001C6303" w:rsidRPr="00703A0B">
        <w:rPr>
          <w:rFonts w:cs="Arial"/>
        </w:rPr>
        <w:t xml:space="preserve">exercise their duties </w:t>
      </w:r>
      <w:r w:rsidR="00540B1F" w:rsidRPr="00703A0B">
        <w:rPr>
          <w:rFonts w:cs="Arial"/>
        </w:rPr>
        <w:t xml:space="preserve">in accordance with the QBCC Act and the </w:t>
      </w:r>
      <w:r w:rsidR="007B4871" w:rsidRPr="00703A0B">
        <w:rPr>
          <w:rFonts w:cs="Arial"/>
        </w:rPr>
        <w:t>QBC</w:t>
      </w:r>
      <w:r w:rsidR="00540B1F" w:rsidRPr="00703A0B">
        <w:rPr>
          <w:rFonts w:cs="Arial"/>
        </w:rPr>
        <w:t xml:space="preserve"> Board Charter.</w:t>
      </w:r>
      <w:r w:rsidR="005D0685" w:rsidRPr="00703A0B">
        <w:rPr>
          <w:rFonts w:cs="Arial"/>
        </w:rPr>
        <w:t xml:space="preserve"> </w:t>
      </w:r>
      <w:r w:rsidR="00D63AF3" w:rsidRPr="00703A0B">
        <w:rPr>
          <w:rFonts w:cs="Arial"/>
        </w:rPr>
        <w:t xml:space="preserve">During 2025–26, the Board met on nine </w:t>
      </w:r>
      <w:r w:rsidR="00B731A0" w:rsidRPr="00703A0B">
        <w:rPr>
          <w:rFonts w:cs="Arial"/>
        </w:rPr>
        <w:t xml:space="preserve">occasions to oversee the </w:t>
      </w:r>
      <w:r w:rsidR="008A0856" w:rsidRPr="00703A0B">
        <w:rPr>
          <w:rFonts w:cs="Arial"/>
        </w:rPr>
        <w:t xml:space="preserve">performance, strategic direction and governance of the QBCC. </w:t>
      </w:r>
      <w:r w:rsidR="00876FA7" w:rsidRPr="00703A0B">
        <w:rPr>
          <w:rFonts w:cs="Arial"/>
        </w:rPr>
        <w:t>In addition to scheduled meetings, the Board responded to emerging and complex matters through circular resolutions and dedicated workshops</w:t>
      </w:r>
      <w:r w:rsidR="00D52D1E" w:rsidRPr="00703A0B">
        <w:rPr>
          <w:rFonts w:cs="Arial"/>
        </w:rPr>
        <w:t>.</w:t>
      </w:r>
    </w:p>
    <w:p w14:paraId="39A30F0A" w14:textId="54C92E1F" w:rsidR="00A378A1" w:rsidRPr="00703A0B" w:rsidRDefault="00A378A1" w:rsidP="00520820">
      <w:pPr>
        <w:pStyle w:val="Heading4"/>
        <w:rPr>
          <w:szCs w:val="22"/>
        </w:rPr>
      </w:pPr>
      <w:bookmarkStart w:id="127" w:name="_QBC_Board_members"/>
      <w:bookmarkEnd w:id="127"/>
      <w:r w:rsidRPr="00703A0B">
        <w:rPr>
          <w:szCs w:val="22"/>
        </w:rPr>
        <w:t>QBC Board</w:t>
      </w:r>
      <w:r w:rsidR="0061111F" w:rsidRPr="00703A0B">
        <w:rPr>
          <w:szCs w:val="22"/>
        </w:rPr>
        <w:t xml:space="preserve"> m</w:t>
      </w:r>
      <w:r w:rsidRPr="00703A0B">
        <w:rPr>
          <w:szCs w:val="22"/>
        </w:rPr>
        <w:t xml:space="preserve">embers </w:t>
      </w:r>
    </w:p>
    <w:p w14:paraId="0193795A" w14:textId="75240016" w:rsidR="003C14D7" w:rsidRPr="00703A0B" w:rsidRDefault="009503A3" w:rsidP="00646D5D">
      <w:pPr>
        <w:spacing w:before="120" w:after="120"/>
        <w:rPr>
          <w:rFonts w:cs="Arial"/>
        </w:rPr>
      </w:pPr>
      <w:r w:rsidRPr="00703A0B">
        <w:rPr>
          <w:rFonts w:cs="Arial"/>
        </w:rPr>
        <w:t xml:space="preserve">As </w:t>
      </w:r>
      <w:proofErr w:type="gramStart"/>
      <w:r w:rsidR="00D26C00" w:rsidRPr="00703A0B">
        <w:rPr>
          <w:rFonts w:cs="Arial"/>
        </w:rPr>
        <w:t>at</w:t>
      </w:r>
      <w:proofErr w:type="gramEnd"/>
      <w:r w:rsidR="00AB1BAF" w:rsidRPr="00703A0B">
        <w:rPr>
          <w:rFonts w:cs="Arial"/>
        </w:rPr>
        <w:t xml:space="preserve"> 30 </w:t>
      </w:r>
      <w:r w:rsidRPr="00703A0B">
        <w:rPr>
          <w:rFonts w:cs="Arial"/>
        </w:rPr>
        <w:t>June 202</w:t>
      </w:r>
      <w:r w:rsidR="00D706E1" w:rsidRPr="00703A0B">
        <w:rPr>
          <w:rFonts w:cs="Arial"/>
        </w:rPr>
        <w:t>6</w:t>
      </w:r>
      <w:r w:rsidR="00AB1BAF" w:rsidRPr="00703A0B">
        <w:rPr>
          <w:rFonts w:cs="Arial"/>
        </w:rPr>
        <w:t xml:space="preserve">, </w:t>
      </w:r>
      <w:r w:rsidR="00F1005C" w:rsidRPr="00703A0B">
        <w:rPr>
          <w:rFonts w:cs="Arial"/>
        </w:rPr>
        <w:t xml:space="preserve">the QBC Board </w:t>
      </w:r>
      <w:r w:rsidR="004A590A" w:rsidRPr="00703A0B">
        <w:rPr>
          <w:rFonts w:cs="Arial"/>
        </w:rPr>
        <w:t>comprise</w:t>
      </w:r>
      <w:r w:rsidR="00D26C00" w:rsidRPr="00703A0B">
        <w:rPr>
          <w:rFonts w:cs="Arial"/>
        </w:rPr>
        <w:t>d</w:t>
      </w:r>
      <w:r w:rsidR="004A590A" w:rsidRPr="00703A0B">
        <w:rPr>
          <w:rFonts w:cs="Arial"/>
        </w:rPr>
        <w:t xml:space="preserve"> seven members</w:t>
      </w:r>
      <w:r w:rsidR="00D26C00" w:rsidRPr="00703A0B">
        <w:rPr>
          <w:rFonts w:cs="Arial"/>
        </w:rPr>
        <w:t xml:space="preserve"> </w:t>
      </w:r>
      <w:r w:rsidR="00FC1688" w:rsidRPr="00703A0B">
        <w:rPr>
          <w:rFonts w:cs="Arial"/>
        </w:rPr>
        <w:t xml:space="preserve">whose </w:t>
      </w:r>
      <w:r w:rsidR="00C73FC1" w:rsidRPr="00703A0B">
        <w:rPr>
          <w:rFonts w:cs="Arial"/>
        </w:rPr>
        <w:t xml:space="preserve">collective </w:t>
      </w:r>
      <w:r w:rsidR="00346489" w:rsidRPr="00703A0B">
        <w:rPr>
          <w:rFonts w:cs="Arial"/>
        </w:rPr>
        <w:t>expertise</w:t>
      </w:r>
      <w:r w:rsidR="004D70C7" w:rsidRPr="00703A0B">
        <w:rPr>
          <w:rFonts w:cs="Arial"/>
        </w:rPr>
        <w:t xml:space="preserve"> </w:t>
      </w:r>
      <w:r w:rsidR="00346489" w:rsidRPr="00703A0B">
        <w:rPr>
          <w:rFonts w:cs="Arial"/>
        </w:rPr>
        <w:t>spans</w:t>
      </w:r>
      <w:r w:rsidR="00093126" w:rsidRPr="00703A0B">
        <w:rPr>
          <w:rFonts w:cs="Arial"/>
        </w:rPr>
        <w:t xml:space="preserve"> </w:t>
      </w:r>
      <w:r w:rsidR="00FC1688" w:rsidRPr="00703A0B">
        <w:rPr>
          <w:rFonts w:cs="Arial"/>
        </w:rPr>
        <w:t xml:space="preserve">leadership roles </w:t>
      </w:r>
      <w:r w:rsidR="00D26C00" w:rsidRPr="00703A0B">
        <w:rPr>
          <w:rFonts w:cs="Arial"/>
        </w:rPr>
        <w:t xml:space="preserve">across the </w:t>
      </w:r>
      <w:r w:rsidR="00093126" w:rsidRPr="00703A0B">
        <w:rPr>
          <w:rFonts w:cs="Arial"/>
        </w:rPr>
        <w:t>public</w:t>
      </w:r>
      <w:r w:rsidR="004134AE" w:rsidRPr="00703A0B">
        <w:rPr>
          <w:rFonts w:cs="Arial"/>
        </w:rPr>
        <w:t>,</w:t>
      </w:r>
      <w:r w:rsidR="00093126" w:rsidRPr="00703A0B">
        <w:rPr>
          <w:rFonts w:cs="Arial"/>
        </w:rPr>
        <w:t xml:space="preserve"> private </w:t>
      </w:r>
      <w:r w:rsidR="006254CA" w:rsidRPr="00703A0B">
        <w:rPr>
          <w:rFonts w:cs="Arial"/>
        </w:rPr>
        <w:t>and not-for-profit</w:t>
      </w:r>
      <w:r w:rsidR="00093126" w:rsidRPr="00703A0B">
        <w:rPr>
          <w:rFonts w:cs="Arial"/>
        </w:rPr>
        <w:t xml:space="preserve"> </w:t>
      </w:r>
      <w:r w:rsidR="00D26C00" w:rsidRPr="00703A0B">
        <w:rPr>
          <w:rFonts w:cs="Arial"/>
        </w:rPr>
        <w:t>sectors</w:t>
      </w:r>
      <w:r w:rsidR="00093126" w:rsidRPr="00703A0B">
        <w:rPr>
          <w:rFonts w:cs="Arial"/>
        </w:rPr>
        <w:t xml:space="preserve">. </w:t>
      </w:r>
      <w:r w:rsidR="00272EA5" w:rsidRPr="00703A0B">
        <w:rPr>
          <w:rFonts w:cs="Arial"/>
        </w:rPr>
        <w:t>Th</w:t>
      </w:r>
      <w:r w:rsidR="00DE707B" w:rsidRPr="00703A0B">
        <w:rPr>
          <w:rFonts w:cs="Arial"/>
        </w:rPr>
        <w:t>e</w:t>
      </w:r>
      <w:r w:rsidR="00272EA5" w:rsidRPr="00703A0B">
        <w:rPr>
          <w:rFonts w:cs="Arial"/>
        </w:rPr>
        <w:t xml:space="preserve"> breadth of expertise supports robust governance, strategic oversight and informed decision-making, helping to guide the organisation in delivering its strategic objectives. </w:t>
      </w:r>
      <w:r w:rsidR="00F86B99" w:rsidRPr="00703A0B">
        <w:rPr>
          <w:rFonts w:cs="Arial"/>
        </w:rPr>
        <w:t>Details of t</w:t>
      </w:r>
      <w:r w:rsidR="00783F13" w:rsidRPr="00703A0B">
        <w:rPr>
          <w:rFonts w:cs="Arial"/>
        </w:rPr>
        <w:t xml:space="preserve">he QBC Board members and their profiles are </w:t>
      </w:r>
      <w:r w:rsidR="00F86B99" w:rsidRPr="00703A0B">
        <w:rPr>
          <w:rFonts w:cs="Arial"/>
        </w:rPr>
        <w:t xml:space="preserve">provided </w:t>
      </w:r>
      <w:r w:rsidR="003C14D7" w:rsidRPr="00703A0B">
        <w:rPr>
          <w:rFonts w:cs="Arial"/>
        </w:rPr>
        <w:t>in</w:t>
      </w:r>
      <w:r w:rsidR="003200E9" w:rsidRPr="00703A0B">
        <w:rPr>
          <w:rFonts w:cs="Arial"/>
        </w:rPr>
        <w:t xml:space="preserve"> </w:t>
      </w:r>
      <w:r w:rsidR="00DF5D11" w:rsidRPr="00703A0B">
        <w:rPr>
          <w:rFonts w:cs="Arial"/>
        </w:rPr>
        <w:fldChar w:fldCharType="begin"/>
      </w:r>
      <w:r w:rsidR="00DF5D11" w:rsidRPr="00703A0B">
        <w:rPr>
          <w:rFonts w:cs="Arial"/>
        </w:rPr>
        <w:instrText xml:space="preserve"> REF _Ref232673935 \h </w:instrText>
      </w:r>
      <w:r w:rsidR="00DF5D11" w:rsidRPr="00703A0B">
        <w:rPr>
          <w:rFonts w:cs="Arial"/>
        </w:rPr>
      </w:r>
      <w:r w:rsidR="00DF5D11" w:rsidRPr="00703A0B">
        <w:rPr>
          <w:rFonts w:cs="Arial"/>
        </w:rPr>
        <w:fldChar w:fldCharType="separate"/>
      </w:r>
      <w:r w:rsidR="00785208" w:rsidRPr="00703A0B">
        <w:t xml:space="preserve">Table </w:t>
      </w:r>
      <w:r w:rsidR="00785208" w:rsidRPr="00F621D8">
        <w:t>19</w:t>
      </w:r>
      <w:r w:rsidR="00DF5D11" w:rsidRPr="00703A0B">
        <w:rPr>
          <w:rFonts w:cs="Arial"/>
        </w:rPr>
        <w:fldChar w:fldCharType="end"/>
      </w:r>
      <w:r w:rsidR="00314227" w:rsidRPr="00703A0B">
        <w:rPr>
          <w:rFonts w:cs="Arial"/>
        </w:rPr>
        <w:t>.</w:t>
      </w:r>
    </w:p>
    <w:p w14:paraId="3DF069FB" w14:textId="0CFA4AA5" w:rsidR="002E5BD8" w:rsidRPr="00703A0B" w:rsidRDefault="006A0552" w:rsidP="006A0552">
      <w:pPr>
        <w:pStyle w:val="Caption"/>
      </w:pPr>
      <w:bookmarkStart w:id="128" w:name="_Ref232673935"/>
      <w:bookmarkStart w:id="129" w:name="_Ref201912144"/>
      <w:bookmarkStart w:id="130" w:name="_Toc202872062"/>
      <w:bookmarkStart w:id="131" w:name="_Toc202872682"/>
      <w:r w:rsidRPr="00703A0B">
        <w:t xml:space="preserve">Table </w:t>
      </w:r>
      <w:r w:rsidRPr="00703A0B">
        <w:fldChar w:fldCharType="begin"/>
      </w:r>
      <w:r w:rsidRPr="00703A0B">
        <w:instrText>SEQ Table \* ARABIC</w:instrText>
      </w:r>
      <w:r w:rsidRPr="00703A0B">
        <w:fldChar w:fldCharType="separate"/>
      </w:r>
      <w:r w:rsidR="003764AA" w:rsidRPr="00F621D8">
        <w:t>19</w:t>
      </w:r>
      <w:r w:rsidRPr="00703A0B">
        <w:fldChar w:fldCharType="end"/>
      </w:r>
      <w:bookmarkEnd w:id="128"/>
      <w:bookmarkEnd w:id="129"/>
      <w:r w:rsidR="003C14D7" w:rsidRPr="00703A0B">
        <w:t xml:space="preserve">: </w:t>
      </w:r>
      <w:bookmarkStart w:id="132" w:name="_Ref202873617"/>
      <w:r w:rsidR="003C14D7" w:rsidRPr="00703A0B">
        <w:t xml:space="preserve">QBC Board </w:t>
      </w:r>
      <w:r w:rsidR="00356EC7" w:rsidRPr="00703A0B">
        <w:t>m</w:t>
      </w:r>
      <w:r w:rsidR="003C14D7" w:rsidRPr="00703A0B">
        <w:t>ember</w:t>
      </w:r>
      <w:r w:rsidR="007E33D0" w:rsidRPr="00703A0B">
        <w:t>s</w:t>
      </w:r>
      <w:r w:rsidR="00356EC7" w:rsidRPr="00703A0B">
        <w:t xml:space="preserve"> and </w:t>
      </w:r>
      <w:r w:rsidR="007E33D0" w:rsidRPr="00703A0B">
        <w:t xml:space="preserve">their </w:t>
      </w:r>
      <w:r w:rsidR="00356EC7" w:rsidRPr="00703A0B">
        <w:t xml:space="preserve">profiles </w:t>
      </w:r>
      <w:r w:rsidR="006E7B6B" w:rsidRPr="00703A0B">
        <w:t xml:space="preserve">as </w:t>
      </w:r>
      <w:proofErr w:type="gramStart"/>
      <w:r w:rsidR="008F017D" w:rsidRPr="00703A0B">
        <w:t>at</w:t>
      </w:r>
      <w:proofErr w:type="gramEnd"/>
      <w:r w:rsidR="006E7B6B" w:rsidRPr="00703A0B">
        <w:t xml:space="preserve"> 30 June 202</w:t>
      </w:r>
      <w:bookmarkEnd w:id="130"/>
      <w:bookmarkEnd w:id="131"/>
      <w:bookmarkEnd w:id="132"/>
      <w:r w:rsidR="00D706E1" w:rsidRPr="00703A0B">
        <w:t>6</w:t>
      </w:r>
    </w:p>
    <w:tbl>
      <w:tblPr>
        <w:tblStyle w:val="TableGrid"/>
        <w:tblW w:w="0" w:type="auto"/>
        <w:tblCellMar>
          <w:top w:w="28" w:type="dxa"/>
          <w:bottom w:w="28" w:type="dxa"/>
        </w:tblCellMar>
        <w:tblLook w:val="04A0" w:firstRow="1" w:lastRow="0" w:firstColumn="1" w:lastColumn="0" w:noHBand="0" w:noVBand="1"/>
      </w:tblPr>
      <w:tblGrid>
        <w:gridCol w:w="2972"/>
        <w:gridCol w:w="7478"/>
      </w:tblGrid>
      <w:tr w:rsidR="004A2C19" w:rsidRPr="00703A0B" w14:paraId="5FFADC0D" w14:textId="77777777" w:rsidTr="00166597">
        <w:tc>
          <w:tcPr>
            <w:tcW w:w="2972" w:type="dxa"/>
            <w:shd w:val="clear" w:color="auto" w:fill="BFBFBF" w:themeFill="background1" w:themeFillShade="BF"/>
          </w:tcPr>
          <w:p w14:paraId="23D5232A" w14:textId="24647013" w:rsidR="0021293F" w:rsidRPr="00703A0B" w:rsidRDefault="0021293F" w:rsidP="004B26BC">
            <w:pPr>
              <w:rPr>
                <w:rFonts w:cs="Arial"/>
                <w:b/>
              </w:rPr>
            </w:pPr>
            <w:r w:rsidRPr="00703A0B">
              <w:rPr>
                <w:rFonts w:cs="Arial"/>
                <w:b/>
              </w:rPr>
              <w:t xml:space="preserve">Name and </w:t>
            </w:r>
            <w:r w:rsidR="00933C78" w:rsidRPr="00703A0B">
              <w:rPr>
                <w:rFonts w:cs="Arial"/>
                <w:b/>
              </w:rPr>
              <w:t>p</w:t>
            </w:r>
            <w:r w:rsidRPr="00703A0B">
              <w:rPr>
                <w:rFonts w:cs="Arial"/>
                <w:b/>
              </w:rPr>
              <w:t xml:space="preserve">osition </w:t>
            </w:r>
          </w:p>
        </w:tc>
        <w:tc>
          <w:tcPr>
            <w:tcW w:w="7478" w:type="dxa"/>
            <w:shd w:val="clear" w:color="auto" w:fill="BFBFBF" w:themeFill="background1" w:themeFillShade="BF"/>
          </w:tcPr>
          <w:p w14:paraId="42B2C9F7" w14:textId="35DBC413" w:rsidR="0021293F" w:rsidRPr="00703A0B" w:rsidRDefault="0021293F" w:rsidP="004B26BC">
            <w:pPr>
              <w:rPr>
                <w:rFonts w:cs="Arial"/>
                <w:b/>
              </w:rPr>
            </w:pPr>
            <w:r w:rsidRPr="00703A0B">
              <w:rPr>
                <w:rFonts w:cs="Arial"/>
                <w:b/>
              </w:rPr>
              <w:t xml:space="preserve">Profile </w:t>
            </w:r>
          </w:p>
        </w:tc>
      </w:tr>
      <w:tr w:rsidR="004A2C19" w:rsidRPr="00703A0B" w14:paraId="6D7E314E" w14:textId="77777777" w:rsidTr="00166597">
        <w:tc>
          <w:tcPr>
            <w:tcW w:w="2972" w:type="dxa"/>
          </w:tcPr>
          <w:p w14:paraId="0C8EE1C4" w14:textId="2CC58A71" w:rsidR="0021293F" w:rsidRPr="00703A0B" w:rsidRDefault="0A67C2AF" w:rsidP="004B26BC">
            <w:pPr>
              <w:rPr>
                <w:rFonts w:cs="Arial"/>
                <w:b/>
              </w:rPr>
            </w:pPr>
            <w:r w:rsidRPr="00703A0B">
              <w:rPr>
                <w:rFonts w:cs="Arial"/>
                <w:b/>
              </w:rPr>
              <w:t>Greg Chemello</w:t>
            </w:r>
          </w:p>
          <w:p w14:paraId="108D34D7" w14:textId="4FE830BF" w:rsidR="00770D9B" w:rsidRPr="00703A0B" w:rsidRDefault="00770D9B" w:rsidP="004B26BC">
            <w:pPr>
              <w:rPr>
                <w:rFonts w:cs="Arial"/>
              </w:rPr>
            </w:pPr>
            <w:r w:rsidRPr="00703A0B">
              <w:rPr>
                <w:rFonts w:cs="Arial"/>
              </w:rPr>
              <w:t xml:space="preserve">BRTP(Hons), </w:t>
            </w:r>
            <w:bookmarkStart w:id="133" w:name="_Int_5CizwtPs"/>
            <w:proofErr w:type="gramStart"/>
            <w:r w:rsidRPr="00703A0B">
              <w:rPr>
                <w:rFonts w:cs="Arial"/>
              </w:rPr>
              <w:t>MSc(</w:t>
            </w:r>
            <w:bookmarkEnd w:id="133"/>
            <w:proofErr w:type="spellStart"/>
            <w:proofErr w:type="gramEnd"/>
            <w:r w:rsidRPr="00703A0B">
              <w:rPr>
                <w:rFonts w:cs="Arial"/>
              </w:rPr>
              <w:t>EnvMgt</w:t>
            </w:r>
            <w:proofErr w:type="spellEnd"/>
            <w:r w:rsidRPr="00703A0B">
              <w:rPr>
                <w:rFonts w:cs="Arial"/>
              </w:rPr>
              <w:t>), MBA, FAICD</w:t>
            </w:r>
          </w:p>
          <w:p w14:paraId="2BC8B28D" w14:textId="02B4492A" w:rsidR="0021293F" w:rsidRPr="00703A0B" w:rsidRDefault="0A67C2AF" w:rsidP="004B26BC">
            <w:pPr>
              <w:rPr>
                <w:rFonts w:cs="Arial"/>
              </w:rPr>
            </w:pPr>
            <w:r w:rsidRPr="00703A0B">
              <w:rPr>
                <w:rFonts w:cs="Arial"/>
              </w:rPr>
              <w:t>Chair</w:t>
            </w:r>
          </w:p>
          <w:p w14:paraId="2E7C76D0" w14:textId="03A0B36B" w:rsidR="0021293F" w:rsidRPr="00703A0B" w:rsidRDefault="0021293F" w:rsidP="004B26BC">
            <w:pPr>
              <w:rPr>
                <w:rFonts w:cs="Arial"/>
              </w:rPr>
            </w:pPr>
          </w:p>
        </w:tc>
        <w:tc>
          <w:tcPr>
            <w:tcW w:w="7478" w:type="dxa"/>
          </w:tcPr>
          <w:p w14:paraId="77E6D4CA" w14:textId="563AD225" w:rsidR="0021293F" w:rsidRPr="00703A0B" w:rsidRDefault="004013A4" w:rsidP="004B26BC">
            <w:pPr>
              <w:rPr>
                <w:rFonts w:cs="Arial"/>
              </w:rPr>
            </w:pPr>
            <w:r w:rsidRPr="00703A0B">
              <w:rPr>
                <w:rFonts w:cs="Arial"/>
              </w:rPr>
              <w:t>Greg</w:t>
            </w:r>
            <w:r w:rsidR="0A67C2AF" w:rsidRPr="00703A0B">
              <w:rPr>
                <w:rFonts w:cs="Arial"/>
              </w:rPr>
              <w:t xml:space="preserve"> </w:t>
            </w:r>
            <w:r w:rsidR="00E858D8" w:rsidRPr="00703A0B">
              <w:rPr>
                <w:rFonts w:cs="Arial"/>
              </w:rPr>
              <w:t xml:space="preserve">brings </w:t>
            </w:r>
            <w:r w:rsidR="00652A0D" w:rsidRPr="00703A0B">
              <w:rPr>
                <w:rFonts w:cs="Arial"/>
              </w:rPr>
              <w:t>more than</w:t>
            </w:r>
            <w:r w:rsidR="0A67C2AF" w:rsidRPr="00703A0B">
              <w:rPr>
                <w:rFonts w:cs="Arial"/>
              </w:rPr>
              <w:t xml:space="preserve"> 30 years</w:t>
            </w:r>
            <w:r w:rsidR="00E858D8" w:rsidRPr="00703A0B">
              <w:rPr>
                <w:rFonts w:cs="Arial"/>
              </w:rPr>
              <w:t xml:space="preserve"> of </w:t>
            </w:r>
            <w:r w:rsidR="00B2685F" w:rsidRPr="00703A0B">
              <w:rPr>
                <w:rFonts w:cs="Arial"/>
              </w:rPr>
              <w:t>b</w:t>
            </w:r>
            <w:r w:rsidR="00981867" w:rsidRPr="00703A0B">
              <w:rPr>
                <w:rFonts w:cs="Arial"/>
              </w:rPr>
              <w:t>oard</w:t>
            </w:r>
            <w:r w:rsidR="0A67C2AF" w:rsidRPr="00703A0B">
              <w:rPr>
                <w:rFonts w:cs="Arial"/>
              </w:rPr>
              <w:t xml:space="preserve"> </w:t>
            </w:r>
            <w:r w:rsidR="00E858D8" w:rsidRPr="00703A0B">
              <w:rPr>
                <w:rFonts w:cs="Arial"/>
              </w:rPr>
              <w:t xml:space="preserve">experience </w:t>
            </w:r>
            <w:r w:rsidR="0A67C2AF" w:rsidRPr="00703A0B">
              <w:rPr>
                <w:rFonts w:cs="Arial"/>
              </w:rPr>
              <w:t xml:space="preserve">and </w:t>
            </w:r>
            <w:r w:rsidR="009B1C84" w:rsidRPr="00703A0B">
              <w:rPr>
                <w:rFonts w:cs="Arial"/>
              </w:rPr>
              <w:t>has been</w:t>
            </w:r>
            <w:r w:rsidR="0A67C2AF" w:rsidRPr="00703A0B">
              <w:rPr>
                <w:rFonts w:cs="Arial"/>
              </w:rPr>
              <w:t xml:space="preserve"> a member</w:t>
            </w:r>
            <w:r w:rsidR="00A005A6" w:rsidRPr="00703A0B">
              <w:rPr>
                <w:rFonts w:cs="Arial"/>
              </w:rPr>
              <w:t>—</w:t>
            </w:r>
            <w:r w:rsidR="00BA6BA8" w:rsidRPr="00703A0B">
              <w:rPr>
                <w:rFonts w:cs="Arial"/>
              </w:rPr>
              <w:t>and n</w:t>
            </w:r>
            <w:r w:rsidR="0A67C2AF" w:rsidRPr="00703A0B">
              <w:rPr>
                <w:rFonts w:cs="Arial"/>
              </w:rPr>
              <w:t>ow</w:t>
            </w:r>
            <w:r w:rsidR="00A005A6" w:rsidRPr="00703A0B">
              <w:rPr>
                <w:rFonts w:cs="Arial"/>
              </w:rPr>
              <w:t xml:space="preserve"> </w:t>
            </w:r>
            <w:r w:rsidR="00166597" w:rsidRPr="00703A0B">
              <w:rPr>
                <w:rFonts w:cs="Arial"/>
              </w:rPr>
              <w:t>f</w:t>
            </w:r>
            <w:r w:rsidR="0A67C2AF" w:rsidRPr="00703A0B">
              <w:rPr>
                <w:rFonts w:cs="Arial"/>
              </w:rPr>
              <w:t>ellow</w:t>
            </w:r>
            <w:r w:rsidR="00A005A6" w:rsidRPr="00703A0B">
              <w:rPr>
                <w:rFonts w:cs="Arial"/>
              </w:rPr>
              <w:t>—</w:t>
            </w:r>
            <w:r w:rsidR="0A67C2AF" w:rsidRPr="00703A0B">
              <w:rPr>
                <w:rFonts w:cs="Arial"/>
              </w:rPr>
              <w:t xml:space="preserve">of the Australian Institute of Company Directors </w:t>
            </w:r>
            <w:r w:rsidR="00F7511D" w:rsidRPr="00703A0B">
              <w:rPr>
                <w:rFonts w:cs="Arial"/>
              </w:rPr>
              <w:t xml:space="preserve">(AICD) </w:t>
            </w:r>
            <w:r w:rsidR="0A67C2AF" w:rsidRPr="00703A0B">
              <w:rPr>
                <w:rFonts w:cs="Arial"/>
              </w:rPr>
              <w:t xml:space="preserve">since 1992. Over the </w:t>
            </w:r>
            <w:r w:rsidR="007E1DC7" w:rsidRPr="00703A0B">
              <w:rPr>
                <w:rFonts w:cs="Arial"/>
              </w:rPr>
              <w:t>past</w:t>
            </w:r>
            <w:r w:rsidR="0A67C2AF" w:rsidRPr="00703A0B">
              <w:rPr>
                <w:rFonts w:cs="Arial"/>
              </w:rPr>
              <w:t xml:space="preserve"> decade, </w:t>
            </w:r>
            <w:r w:rsidR="00BA6BA8" w:rsidRPr="00703A0B">
              <w:rPr>
                <w:rFonts w:cs="Arial"/>
              </w:rPr>
              <w:t>he</w:t>
            </w:r>
            <w:r w:rsidR="0000041E" w:rsidRPr="00703A0B">
              <w:rPr>
                <w:rFonts w:cs="Arial"/>
              </w:rPr>
              <w:t xml:space="preserve"> </w:t>
            </w:r>
            <w:r w:rsidR="0A67C2AF" w:rsidRPr="00703A0B">
              <w:rPr>
                <w:rFonts w:cs="Arial"/>
              </w:rPr>
              <w:t xml:space="preserve">has </w:t>
            </w:r>
            <w:r w:rsidR="00BA6BA8" w:rsidRPr="00703A0B">
              <w:rPr>
                <w:rFonts w:cs="Arial"/>
              </w:rPr>
              <w:t xml:space="preserve">combined </w:t>
            </w:r>
            <w:r w:rsidR="0A67C2AF" w:rsidRPr="00703A0B">
              <w:rPr>
                <w:rFonts w:cs="Arial"/>
              </w:rPr>
              <w:t xml:space="preserve">executive leadership </w:t>
            </w:r>
            <w:r w:rsidR="003D72F2" w:rsidRPr="00703A0B">
              <w:rPr>
                <w:rFonts w:cs="Arial"/>
              </w:rPr>
              <w:t xml:space="preserve">and </w:t>
            </w:r>
            <w:r w:rsidR="00100DFF" w:rsidRPr="00703A0B">
              <w:rPr>
                <w:rFonts w:cs="Arial"/>
              </w:rPr>
              <w:t>c</w:t>
            </w:r>
            <w:r w:rsidR="00D868C0" w:rsidRPr="00703A0B">
              <w:rPr>
                <w:rFonts w:cs="Arial"/>
              </w:rPr>
              <w:t xml:space="preserve">hief </w:t>
            </w:r>
            <w:r w:rsidR="00100DFF" w:rsidRPr="00703A0B">
              <w:rPr>
                <w:rFonts w:cs="Arial"/>
              </w:rPr>
              <w:t>e</w:t>
            </w:r>
            <w:r w:rsidR="00D868C0" w:rsidRPr="00703A0B">
              <w:rPr>
                <w:rFonts w:cs="Arial"/>
              </w:rPr>
              <w:t xml:space="preserve">xecutive </w:t>
            </w:r>
            <w:r w:rsidR="00100DFF" w:rsidRPr="00703A0B">
              <w:rPr>
                <w:rFonts w:cs="Arial"/>
              </w:rPr>
              <w:t>o</w:t>
            </w:r>
            <w:r w:rsidR="00D868C0" w:rsidRPr="00703A0B">
              <w:rPr>
                <w:rFonts w:cs="Arial"/>
              </w:rPr>
              <w:t>fficer (</w:t>
            </w:r>
            <w:r w:rsidR="0000041E" w:rsidRPr="00703A0B">
              <w:rPr>
                <w:rFonts w:cs="Arial"/>
              </w:rPr>
              <w:t>CEO</w:t>
            </w:r>
            <w:r w:rsidR="00D868C0" w:rsidRPr="00703A0B">
              <w:rPr>
                <w:rFonts w:cs="Arial"/>
              </w:rPr>
              <w:t>)</w:t>
            </w:r>
            <w:r w:rsidR="0000041E" w:rsidRPr="00703A0B">
              <w:rPr>
                <w:rFonts w:cs="Arial"/>
              </w:rPr>
              <w:t xml:space="preserve"> </w:t>
            </w:r>
            <w:r w:rsidR="003D72F2" w:rsidRPr="00703A0B">
              <w:rPr>
                <w:rFonts w:cs="Arial"/>
              </w:rPr>
              <w:t xml:space="preserve">roles </w:t>
            </w:r>
            <w:r w:rsidR="0A67C2AF" w:rsidRPr="00703A0B">
              <w:rPr>
                <w:rFonts w:cs="Arial"/>
              </w:rPr>
              <w:t xml:space="preserve">with </w:t>
            </w:r>
            <w:r w:rsidR="004C3279" w:rsidRPr="00703A0B">
              <w:rPr>
                <w:rFonts w:cs="Arial"/>
              </w:rPr>
              <w:t>b</w:t>
            </w:r>
            <w:r w:rsidR="00981867" w:rsidRPr="00703A0B">
              <w:rPr>
                <w:rFonts w:cs="Arial"/>
              </w:rPr>
              <w:t>oard</w:t>
            </w:r>
            <w:r w:rsidR="0A67C2AF" w:rsidRPr="00703A0B">
              <w:rPr>
                <w:rFonts w:cs="Arial"/>
              </w:rPr>
              <w:t xml:space="preserve"> </w:t>
            </w:r>
            <w:r w:rsidR="00B52332" w:rsidRPr="00703A0B">
              <w:rPr>
                <w:rFonts w:cs="Arial"/>
              </w:rPr>
              <w:t>appointments</w:t>
            </w:r>
            <w:r w:rsidR="0A67C2AF" w:rsidRPr="00703A0B">
              <w:rPr>
                <w:rFonts w:cs="Arial"/>
              </w:rPr>
              <w:t xml:space="preserve"> across Queensland’s </w:t>
            </w:r>
            <w:r w:rsidR="00D435D9" w:rsidRPr="00703A0B">
              <w:rPr>
                <w:rFonts w:cs="Arial"/>
              </w:rPr>
              <w:t xml:space="preserve">public and </w:t>
            </w:r>
            <w:r w:rsidR="0051129A" w:rsidRPr="00703A0B">
              <w:rPr>
                <w:rFonts w:cs="Arial"/>
              </w:rPr>
              <w:t xml:space="preserve">private </w:t>
            </w:r>
            <w:r w:rsidR="0A67C2AF" w:rsidRPr="00703A0B">
              <w:rPr>
                <w:rFonts w:cs="Arial"/>
              </w:rPr>
              <w:t>s</w:t>
            </w:r>
            <w:r w:rsidR="00B52332" w:rsidRPr="00703A0B">
              <w:rPr>
                <w:rFonts w:cs="Arial"/>
              </w:rPr>
              <w:t>ectors</w:t>
            </w:r>
            <w:r w:rsidR="0A67C2AF" w:rsidRPr="00703A0B">
              <w:rPr>
                <w:rFonts w:cs="Arial"/>
              </w:rPr>
              <w:t>.</w:t>
            </w:r>
            <w:r w:rsidR="00B11732" w:rsidRPr="00703A0B">
              <w:rPr>
                <w:rFonts w:cs="Arial"/>
              </w:rPr>
              <w:t xml:space="preserve"> </w:t>
            </w:r>
            <w:r w:rsidR="00F35351" w:rsidRPr="00703A0B">
              <w:rPr>
                <w:rFonts w:cs="Arial"/>
              </w:rPr>
              <w:t>Greg’s</w:t>
            </w:r>
            <w:r w:rsidR="0A67C2AF" w:rsidRPr="00703A0B">
              <w:rPr>
                <w:rFonts w:cs="Arial"/>
              </w:rPr>
              <w:t xml:space="preserve"> </w:t>
            </w:r>
            <w:r w:rsidR="00E07476" w:rsidRPr="00703A0B">
              <w:rPr>
                <w:rFonts w:cs="Arial"/>
              </w:rPr>
              <w:t>expertise covers</w:t>
            </w:r>
            <w:r w:rsidR="0A67C2AF" w:rsidRPr="00703A0B">
              <w:rPr>
                <w:rFonts w:cs="Arial"/>
              </w:rPr>
              <w:t xml:space="preserve"> land use and infrastructure planning, property development, project delivery, economic development, stakeholder and community engagement</w:t>
            </w:r>
            <w:r w:rsidR="00011E8B" w:rsidRPr="00703A0B">
              <w:rPr>
                <w:rFonts w:cs="Arial"/>
              </w:rPr>
              <w:t>,</w:t>
            </w:r>
            <w:r w:rsidR="0A67C2AF" w:rsidRPr="00703A0B">
              <w:rPr>
                <w:rFonts w:cs="Arial"/>
              </w:rPr>
              <w:t xml:space="preserve"> and corporate governance.</w:t>
            </w:r>
          </w:p>
        </w:tc>
      </w:tr>
      <w:tr w:rsidR="004A2C19" w:rsidRPr="00703A0B" w14:paraId="7BC4B6C1" w14:textId="77777777" w:rsidTr="00166597">
        <w:tc>
          <w:tcPr>
            <w:tcW w:w="2972" w:type="dxa"/>
          </w:tcPr>
          <w:p w14:paraId="4FFCDB4B" w14:textId="34547D2A" w:rsidR="001D02CA" w:rsidRPr="00703A0B" w:rsidRDefault="001D02CA" w:rsidP="004B26BC">
            <w:pPr>
              <w:rPr>
                <w:rFonts w:cs="Arial"/>
                <w:b/>
              </w:rPr>
            </w:pPr>
            <w:r w:rsidRPr="00703A0B">
              <w:rPr>
                <w:rFonts w:cs="Arial"/>
                <w:b/>
              </w:rPr>
              <w:t>Debra Robinson</w:t>
            </w:r>
          </w:p>
          <w:p w14:paraId="644D5B3F" w14:textId="7086AA45" w:rsidR="001D02CA" w:rsidRPr="00703A0B" w:rsidRDefault="001D02CA" w:rsidP="004B26BC">
            <w:pPr>
              <w:rPr>
                <w:rFonts w:cs="Arial"/>
                <w:bCs/>
              </w:rPr>
            </w:pPr>
            <w:r w:rsidRPr="00703A0B">
              <w:rPr>
                <w:rFonts w:cs="Arial"/>
                <w:bCs/>
              </w:rPr>
              <w:t>MBA</w:t>
            </w:r>
            <w:r w:rsidR="00C83924" w:rsidRPr="00703A0B">
              <w:rPr>
                <w:rFonts w:cs="Arial"/>
                <w:bCs/>
              </w:rPr>
              <w:t>, GAICD</w:t>
            </w:r>
            <w:r w:rsidR="009A1CDC" w:rsidRPr="00703A0B">
              <w:rPr>
                <w:rFonts w:cs="Arial"/>
                <w:bCs/>
              </w:rPr>
              <w:t xml:space="preserve">, </w:t>
            </w:r>
            <w:proofErr w:type="gramStart"/>
            <w:r w:rsidR="009A1CDC" w:rsidRPr="00703A0B">
              <w:rPr>
                <w:rFonts w:cs="Arial"/>
                <w:iCs/>
              </w:rPr>
              <w:t>BA(</w:t>
            </w:r>
            <w:proofErr w:type="gramEnd"/>
            <w:r w:rsidR="009A1CDC" w:rsidRPr="00703A0B">
              <w:rPr>
                <w:rFonts w:cs="Arial"/>
                <w:iCs/>
              </w:rPr>
              <w:t xml:space="preserve">Urban Studies), Grad </w:t>
            </w:r>
            <w:proofErr w:type="gramStart"/>
            <w:r w:rsidR="009A1CDC" w:rsidRPr="00703A0B">
              <w:rPr>
                <w:rFonts w:cs="Arial"/>
                <w:iCs/>
              </w:rPr>
              <w:t>Dip(</w:t>
            </w:r>
            <w:proofErr w:type="gramEnd"/>
            <w:r w:rsidR="009A1CDC" w:rsidRPr="00703A0B">
              <w:rPr>
                <w:rFonts w:cs="Arial"/>
                <w:iCs/>
              </w:rPr>
              <w:t>Urban Planning)</w:t>
            </w:r>
          </w:p>
          <w:p w14:paraId="1377A399" w14:textId="74525152" w:rsidR="0021293F" w:rsidRPr="00703A0B" w:rsidRDefault="001D02CA" w:rsidP="004B26BC">
            <w:pPr>
              <w:rPr>
                <w:rFonts w:cs="Arial"/>
                <w:b/>
              </w:rPr>
            </w:pPr>
            <w:r w:rsidRPr="00703A0B">
              <w:rPr>
                <w:rFonts w:cs="Arial"/>
                <w:bCs/>
              </w:rPr>
              <w:t xml:space="preserve">Deputy Chair </w:t>
            </w:r>
          </w:p>
        </w:tc>
        <w:tc>
          <w:tcPr>
            <w:tcW w:w="7478" w:type="dxa"/>
          </w:tcPr>
          <w:p w14:paraId="6FCBE2B2" w14:textId="0A89D3A3" w:rsidR="0021293F" w:rsidRPr="00703A0B" w:rsidRDefault="00C83924" w:rsidP="003F5148">
            <w:pPr>
              <w:rPr>
                <w:rFonts w:cs="Arial"/>
              </w:rPr>
            </w:pPr>
            <w:r w:rsidRPr="00703A0B">
              <w:rPr>
                <w:rFonts w:cs="Arial"/>
              </w:rPr>
              <w:t xml:space="preserve">Debra </w:t>
            </w:r>
            <w:r w:rsidR="00F67654" w:rsidRPr="00703A0B">
              <w:rPr>
                <w:rFonts w:cs="Arial"/>
              </w:rPr>
              <w:t>is an accomplished executive with a proven track record of achieving outstanding organisational and customer</w:t>
            </w:r>
            <w:r w:rsidR="002D3790" w:rsidRPr="00703A0B">
              <w:rPr>
                <w:rFonts w:cs="Arial"/>
              </w:rPr>
              <w:t>-</w:t>
            </w:r>
            <w:r w:rsidR="00F67654" w:rsidRPr="00703A0B">
              <w:rPr>
                <w:rFonts w:cs="Arial"/>
              </w:rPr>
              <w:t>focused results. She has a wealth of experience in both the public and private sectors and since 2000, has held senior executive positions</w:t>
            </w:r>
            <w:r w:rsidR="003F5148" w:rsidRPr="00703A0B">
              <w:rPr>
                <w:rFonts w:cs="Arial"/>
              </w:rPr>
              <w:t xml:space="preserve"> </w:t>
            </w:r>
            <w:r w:rsidR="00F67654" w:rsidRPr="00703A0B">
              <w:rPr>
                <w:rFonts w:cs="Arial"/>
              </w:rPr>
              <w:t xml:space="preserve">in the </w:t>
            </w:r>
            <w:r w:rsidR="003F5148" w:rsidRPr="00703A0B">
              <w:rPr>
                <w:rFonts w:cs="Arial"/>
              </w:rPr>
              <w:t>b</w:t>
            </w:r>
            <w:r w:rsidR="00F67654" w:rsidRPr="00703A0B">
              <w:rPr>
                <w:rFonts w:cs="Arial"/>
              </w:rPr>
              <w:t xml:space="preserve">uilding and </w:t>
            </w:r>
            <w:r w:rsidR="003F5148" w:rsidRPr="00703A0B">
              <w:rPr>
                <w:rFonts w:cs="Arial"/>
              </w:rPr>
              <w:t>c</w:t>
            </w:r>
            <w:r w:rsidR="00F67654" w:rsidRPr="00703A0B">
              <w:rPr>
                <w:rFonts w:cs="Arial"/>
              </w:rPr>
              <w:t>onstruction industry.</w:t>
            </w:r>
            <w:r w:rsidR="003F5148" w:rsidRPr="00703A0B">
              <w:rPr>
                <w:rFonts w:cs="Arial"/>
              </w:rPr>
              <w:t xml:space="preserve"> Debra </w:t>
            </w:r>
            <w:r w:rsidR="00F67654" w:rsidRPr="00703A0B">
              <w:rPr>
                <w:rFonts w:cs="Arial"/>
              </w:rPr>
              <w:t>has a consistent track record of successfully delivering agile and contemporary business models that drive efficiencies and respond to changing business needs.  </w:t>
            </w:r>
          </w:p>
        </w:tc>
      </w:tr>
      <w:tr w:rsidR="004A2C19" w:rsidRPr="00703A0B" w14:paraId="4FEF857F" w14:textId="77777777" w:rsidTr="00166597">
        <w:tc>
          <w:tcPr>
            <w:tcW w:w="2972" w:type="dxa"/>
          </w:tcPr>
          <w:p w14:paraId="7EB83F75" w14:textId="1F2A60C5" w:rsidR="0021293F" w:rsidRPr="00703A0B" w:rsidRDefault="23520823" w:rsidP="004B26BC">
            <w:pPr>
              <w:rPr>
                <w:rFonts w:cs="Arial"/>
                <w:b/>
              </w:rPr>
            </w:pPr>
            <w:r w:rsidRPr="00703A0B">
              <w:rPr>
                <w:rFonts w:cs="Arial"/>
                <w:b/>
              </w:rPr>
              <w:t>Amelia Hodge</w:t>
            </w:r>
          </w:p>
          <w:p w14:paraId="56EA7269" w14:textId="358C88D5" w:rsidR="00FC1FEA" w:rsidRPr="00703A0B" w:rsidRDefault="00FC1FEA" w:rsidP="00FC1FEA">
            <w:pPr>
              <w:rPr>
                <w:rFonts w:cs="Arial"/>
                <w:bCs/>
              </w:rPr>
            </w:pPr>
            <w:r w:rsidRPr="00703A0B">
              <w:rPr>
                <w:rFonts w:cs="Arial"/>
                <w:bCs/>
              </w:rPr>
              <w:t>LLB</w:t>
            </w:r>
            <w:r w:rsidR="0020539E" w:rsidRPr="00703A0B">
              <w:rPr>
                <w:rFonts w:cs="Arial"/>
                <w:bCs/>
              </w:rPr>
              <w:t>,</w:t>
            </w:r>
            <w:r w:rsidRPr="00703A0B">
              <w:rPr>
                <w:rFonts w:cs="Arial"/>
                <w:bCs/>
              </w:rPr>
              <w:t xml:space="preserve"> GAICD</w:t>
            </w:r>
            <w:r w:rsidR="0020539E" w:rsidRPr="00703A0B">
              <w:rPr>
                <w:rFonts w:cs="Arial"/>
                <w:bCs/>
              </w:rPr>
              <w:t>,</w:t>
            </w:r>
            <w:r w:rsidRPr="00703A0B">
              <w:rPr>
                <w:rFonts w:cs="Arial"/>
                <w:bCs/>
              </w:rPr>
              <w:t xml:space="preserve"> </w:t>
            </w:r>
            <w:proofErr w:type="spellStart"/>
            <w:r w:rsidRPr="00703A0B">
              <w:rPr>
                <w:rFonts w:cs="Arial"/>
                <w:bCs/>
              </w:rPr>
              <w:t>GradCert</w:t>
            </w:r>
            <w:proofErr w:type="spellEnd"/>
            <w:r w:rsidRPr="00703A0B">
              <w:rPr>
                <w:rFonts w:cs="Arial"/>
                <w:bCs/>
              </w:rPr>
              <w:t xml:space="preserve"> Prop Eco</w:t>
            </w:r>
          </w:p>
          <w:p w14:paraId="05F89FF3" w14:textId="77777777" w:rsidR="00B65DE1" w:rsidRPr="00703A0B" w:rsidRDefault="23520823" w:rsidP="00B65DE1">
            <w:pPr>
              <w:rPr>
                <w:rFonts w:cs="Arial"/>
              </w:rPr>
            </w:pPr>
            <w:r w:rsidRPr="00703A0B">
              <w:rPr>
                <w:rFonts w:cs="Arial"/>
              </w:rPr>
              <w:t>Board member</w:t>
            </w:r>
          </w:p>
          <w:p w14:paraId="3F1515F0" w14:textId="1E256710" w:rsidR="00B65DE1" w:rsidRPr="00703A0B" w:rsidRDefault="00B65DE1" w:rsidP="00B65DE1">
            <w:pPr>
              <w:rPr>
                <w:rFonts w:cs="Arial"/>
              </w:rPr>
            </w:pPr>
          </w:p>
          <w:p w14:paraId="62A5A8C2" w14:textId="26F75B2D" w:rsidR="0021293F" w:rsidRPr="00703A0B" w:rsidRDefault="0021293F" w:rsidP="004B26BC">
            <w:pPr>
              <w:rPr>
                <w:rFonts w:cs="Arial"/>
              </w:rPr>
            </w:pPr>
          </w:p>
        </w:tc>
        <w:tc>
          <w:tcPr>
            <w:tcW w:w="7478" w:type="dxa"/>
          </w:tcPr>
          <w:p w14:paraId="08481237" w14:textId="497A4868" w:rsidR="0021293F" w:rsidRPr="00703A0B" w:rsidRDefault="006B6178" w:rsidP="004B26BC">
            <w:pPr>
              <w:rPr>
                <w:rFonts w:cs="Arial"/>
              </w:rPr>
            </w:pPr>
            <w:r w:rsidRPr="00703A0B">
              <w:rPr>
                <w:rFonts w:cs="Arial"/>
              </w:rPr>
              <w:t xml:space="preserve">Amelia </w:t>
            </w:r>
            <w:r w:rsidR="23520823" w:rsidRPr="00703A0B">
              <w:rPr>
                <w:rFonts w:cs="Arial"/>
              </w:rPr>
              <w:t xml:space="preserve">brings a </w:t>
            </w:r>
            <w:r w:rsidRPr="00703A0B">
              <w:rPr>
                <w:rFonts w:cs="Arial"/>
              </w:rPr>
              <w:t xml:space="preserve">unique </w:t>
            </w:r>
            <w:r w:rsidR="0066779A" w:rsidRPr="00703A0B">
              <w:rPr>
                <w:rFonts w:cs="Arial"/>
              </w:rPr>
              <w:t>blend of expertise in law</w:t>
            </w:r>
            <w:r w:rsidR="23520823" w:rsidRPr="00703A0B">
              <w:rPr>
                <w:rFonts w:cs="Arial"/>
              </w:rPr>
              <w:t>, governance, risk management</w:t>
            </w:r>
            <w:r w:rsidR="002D6A75" w:rsidRPr="00703A0B">
              <w:rPr>
                <w:rFonts w:cs="Arial"/>
              </w:rPr>
              <w:t>,</w:t>
            </w:r>
            <w:r w:rsidR="00704AEF" w:rsidRPr="00703A0B">
              <w:rPr>
                <w:rFonts w:cs="Arial"/>
              </w:rPr>
              <w:t xml:space="preserve"> </w:t>
            </w:r>
            <w:r w:rsidR="23520823" w:rsidRPr="00703A0B">
              <w:rPr>
                <w:rFonts w:cs="Arial"/>
              </w:rPr>
              <w:t xml:space="preserve">human-centred stakeholder </w:t>
            </w:r>
            <w:r w:rsidR="007330CA" w:rsidRPr="00703A0B">
              <w:rPr>
                <w:rFonts w:cs="Arial"/>
              </w:rPr>
              <w:t xml:space="preserve">engagement </w:t>
            </w:r>
            <w:r w:rsidR="23520823" w:rsidRPr="00703A0B">
              <w:rPr>
                <w:rFonts w:cs="Arial"/>
              </w:rPr>
              <w:t>and commercial skills.</w:t>
            </w:r>
            <w:r w:rsidR="00B91DBE" w:rsidRPr="00703A0B">
              <w:rPr>
                <w:rFonts w:cs="Arial"/>
              </w:rPr>
              <w:t xml:space="preserve"> </w:t>
            </w:r>
            <w:r w:rsidR="00021946" w:rsidRPr="00703A0B">
              <w:rPr>
                <w:rFonts w:cs="Arial"/>
              </w:rPr>
              <w:t>Amelia</w:t>
            </w:r>
            <w:r w:rsidR="009D5A09" w:rsidRPr="00703A0B">
              <w:rPr>
                <w:rFonts w:cs="Arial"/>
              </w:rPr>
              <w:t xml:space="preserve"> has </w:t>
            </w:r>
            <w:r w:rsidR="00285629" w:rsidRPr="00703A0B">
              <w:rPr>
                <w:rFonts w:cs="Arial"/>
              </w:rPr>
              <w:t xml:space="preserve">served </w:t>
            </w:r>
            <w:r w:rsidR="00F86C23" w:rsidRPr="00703A0B">
              <w:rPr>
                <w:rFonts w:cs="Arial"/>
              </w:rPr>
              <w:t xml:space="preserve">as the </w:t>
            </w:r>
            <w:r w:rsidR="009D5A09" w:rsidRPr="00703A0B">
              <w:rPr>
                <w:rFonts w:cs="Arial"/>
              </w:rPr>
              <w:t>Chair and N</w:t>
            </w:r>
            <w:r w:rsidR="00F86C23" w:rsidRPr="00703A0B">
              <w:rPr>
                <w:rFonts w:cs="Arial"/>
              </w:rPr>
              <w:t>on-</w:t>
            </w:r>
            <w:r w:rsidR="009D5A09" w:rsidRPr="00703A0B">
              <w:rPr>
                <w:rFonts w:cs="Arial"/>
              </w:rPr>
              <w:t>E</w:t>
            </w:r>
            <w:r w:rsidR="00F86C23" w:rsidRPr="00703A0B">
              <w:rPr>
                <w:rFonts w:cs="Arial"/>
              </w:rPr>
              <w:t xml:space="preserve">xecutive </w:t>
            </w:r>
            <w:r w:rsidR="009D5A09" w:rsidRPr="00703A0B">
              <w:rPr>
                <w:rFonts w:cs="Arial"/>
              </w:rPr>
              <w:t>D</w:t>
            </w:r>
            <w:r w:rsidR="00F86C23" w:rsidRPr="00703A0B">
              <w:rPr>
                <w:rFonts w:cs="Arial"/>
              </w:rPr>
              <w:t>irector on a variety of b</w:t>
            </w:r>
            <w:r w:rsidR="009D5A09" w:rsidRPr="00703A0B">
              <w:rPr>
                <w:rFonts w:cs="Arial"/>
              </w:rPr>
              <w:t>oards</w:t>
            </w:r>
            <w:r w:rsidR="006D2DBC" w:rsidRPr="00703A0B">
              <w:rPr>
                <w:rFonts w:cs="Arial"/>
              </w:rPr>
              <w:t>, as well as</w:t>
            </w:r>
            <w:r w:rsidR="009D5A09" w:rsidRPr="00703A0B">
              <w:rPr>
                <w:rFonts w:cs="Arial"/>
              </w:rPr>
              <w:t xml:space="preserve"> </w:t>
            </w:r>
            <w:r w:rsidR="00521B0D" w:rsidRPr="00703A0B">
              <w:rPr>
                <w:rFonts w:cs="Arial"/>
              </w:rPr>
              <w:t>f</w:t>
            </w:r>
            <w:r w:rsidR="009D5A09" w:rsidRPr="00703A0B">
              <w:rPr>
                <w:rFonts w:cs="Arial"/>
              </w:rPr>
              <w:t xml:space="preserve">inance, </w:t>
            </w:r>
            <w:r w:rsidR="00521B0D" w:rsidRPr="00703A0B">
              <w:rPr>
                <w:rFonts w:cs="Arial"/>
              </w:rPr>
              <w:t>r</w:t>
            </w:r>
            <w:r w:rsidR="009D5A09" w:rsidRPr="00703A0B">
              <w:rPr>
                <w:rFonts w:cs="Arial"/>
              </w:rPr>
              <w:t xml:space="preserve">isk and </w:t>
            </w:r>
            <w:r w:rsidR="00521B0D" w:rsidRPr="00703A0B">
              <w:rPr>
                <w:rFonts w:cs="Arial"/>
              </w:rPr>
              <w:t>a</w:t>
            </w:r>
            <w:r w:rsidR="009D5A09" w:rsidRPr="00703A0B">
              <w:rPr>
                <w:rFonts w:cs="Arial"/>
              </w:rPr>
              <w:t xml:space="preserve">udit </w:t>
            </w:r>
            <w:r w:rsidR="00521B0D" w:rsidRPr="00703A0B">
              <w:rPr>
                <w:rFonts w:cs="Arial"/>
              </w:rPr>
              <w:t>c</w:t>
            </w:r>
            <w:r w:rsidR="009D5A09" w:rsidRPr="00703A0B">
              <w:rPr>
                <w:rFonts w:cs="Arial"/>
              </w:rPr>
              <w:t>ommittees</w:t>
            </w:r>
            <w:r w:rsidR="006D2DBC" w:rsidRPr="00703A0B">
              <w:rPr>
                <w:rFonts w:cs="Arial"/>
              </w:rPr>
              <w:t>,</w:t>
            </w:r>
            <w:r w:rsidR="009D5A09" w:rsidRPr="00703A0B">
              <w:rPr>
                <w:rFonts w:cs="Arial"/>
              </w:rPr>
              <w:t xml:space="preserve"> </w:t>
            </w:r>
            <w:r w:rsidR="00521B0D" w:rsidRPr="00703A0B">
              <w:rPr>
                <w:rFonts w:cs="Arial"/>
              </w:rPr>
              <w:t>across both</w:t>
            </w:r>
            <w:r w:rsidR="009D5A09" w:rsidRPr="00703A0B">
              <w:rPr>
                <w:rFonts w:cs="Arial"/>
              </w:rPr>
              <w:t xml:space="preserve"> </w:t>
            </w:r>
            <w:r w:rsidR="007D138E" w:rsidRPr="00703A0B">
              <w:rPr>
                <w:rFonts w:cs="Arial"/>
              </w:rPr>
              <w:t>the</w:t>
            </w:r>
            <w:r w:rsidR="009D5A09" w:rsidRPr="00703A0B">
              <w:rPr>
                <w:rFonts w:cs="Arial"/>
              </w:rPr>
              <w:t xml:space="preserve"> public and private sector</w:t>
            </w:r>
            <w:r w:rsidR="003F3EC1" w:rsidRPr="00703A0B">
              <w:rPr>
                <w:rFonts w:cs="Arial"/>
              </w:rPr>
              <w:t>s</w:t>
            </w:r>
            <w:r w:rsidR="00E922C5" w:rsidRPr="00703A0B">
              <w:rPr>
                <w:rFonts w:cs="Arial"/>
              </w:rPr>
              <w:t>. As</w:t>
            </w:r>
            <w:r w:rsidR="00C03C66" w:rsidRPr="00703A0B">
              <w:rPr>
                <w:rFonts w:cs="Arial"/>
              </w:rPr>
              <w:t xml:space="preserve"> a consultant, </w:t>
            </w:r>
            <w:r w:rsidR="00E36E44" w:rsidRPr="00703A0B">
              <w:rPr>
                <w:rFonts w:cs="Arial"/>
              </w:rPr>
              <w:t>Amelia</w:t>
            </w:r>
            <w:r w:rsidR="00476524" w:rsidRPr="00703A0B">
              <w:rPr>
                <w:rFonts w:cs="Arial"/>
              </w:rPr>
              <w:t xml:space="preserve"> </w:t>
            </w:r>
            <w:r w:rsidR="00E36E44" w:rsidRPr="00703A0B">
              <w:rPr>
                <w:rFonts w:cs="Arial"/>
              </w:rPr>
              <w:t>a</w:t>
            </w:r>
            <w:r w:rsidR="009D5A09" w:rsidRPr="00703A0B">
              <w:rPr>
                <w:rFonts w:cs="Arial"/>
              </w:rPr>
              <w:t>cted as</w:t>
            </w:r>
            <w:r w:rsidR="00AC1B88" w:rsidRPr="00703A0B">
              <w:rPr>
                <w:rFonts w:cs="Arial"/>
              </w:rPr>
              <w:t xml:space="preserve"> </w:t>
            </w:r>
            <w:r w:rsidR="00C70E50" w:rsidRPr="00703A0B">
              <w:rPr>
                <w:rFonts w:cs="Arial"/>
              </w:rPr>
              <w:t>the</w:t>
            </w:r>
            <w:r w:rsidR="009D5A09" w:rsidRPr="00703A0B">
              <w:rPr>
                <w:rFonts w:cs="Arial"/>
              </w:rPr>
              <w:t xml:space="preserve"> </w:t>
            </w:r>
            <w:r w:rsidR="003E27EC" w:rsidRPr="00703A0B">
              <w:rPr>
                <w:rFonts w:cs="Arial"/>
              </w:rPr>
              <w:t>t</w:t>
            </w:r>
            <w:r w:rsidR="009D5A09" w:rsidRPr="00703A0B">
              <w:rPr>
                <w:rFonts w:cs="Arial"/>
              </w:rPr>
              <w:t xml:space="preserve">ransaction </w:t>
            </w:r>
            <w:r w:rsidR="003E27EC" w:rsidRPr="00703A0B">
              <w:rPr>
                <w:rFonts w:cs="Arial"/>
              </w:rPr>
              <w:t>d</w:t>
            </w:r>
            <w:r w:rsidR="009D5A09" w:rsidRPr="00703A0B">
              <w:rPr>
                <w:rFonts w:cs="Arial"/>
              </w:rPr>
              <w:t xml:space="preserve">irector on </w:t>
            </w:r>
            <w:r w:rsidR="008F6F01" w:rsidRPr="00703A0B">
              <w:rPr>
                <w:rFonts w:cs="Arial"/>
              </w:rPr>
              <w:t>major</w:t>
            </w:r>
            <w:r w:rsidR="009D5A09" w:rsidRPr="00703A0B">
              <w:rPr>
                <w:rFonts w:cs="Arial"/>
              </w:rPr>
              <w:t xml:space="preserve"> government infrastructure projects and has worked within the oil, gas, energy and transmission </w:t>
            </w:r>
            <w:r w:rsidR="00FB3ED4" w:rsidRPr="00703A0B">
              <w:rPr>
                <w:rFonts w:cs="Arial"/>
              </w:rPr>
              <w:t>industries</w:t>
            </w:r>
            <w:r w:rsidR="009D5A09" w:rsidRPr="00703A0B">
              <w:rPr>
                <w:rFonts w:cs="Arial"/>
              </w:rPr>
              <w:t>.</w:t>
            </w:r>
            <w:r w:rsidR="00FA642E" w:rsidRPr="00703A0B">
              <w:rPr>
                <w:rFonts w:cs="Arial"/>
              </w:rPr>
              <w:t xml:space="preserve"> </w:t>
            </w:r>
            <w:r w:rsidR="00610FD3" w:rsidRPr="00703A0B">
              <w:rPr>
                <w:rFonts w:cs="Arial"/>
              </w:rPr>
              <w:t xml:space="preserve">Amelia </w:t>
            </w:r>
            <w:r w:rsidR="009D5A09" w:rsidRPr="00703A0B">
              <w:rPr>
                <w:rFonts w:cs="Arial"/>
              </w:rPr>
              <w:t xml:space="preserve">was </w:t>
            </w:r>
            <w:r w:rsidR="00FB3ED4" w:rsidRPr="00703A0B">
              <w:rPr>
                <w:rFonts w:cs="Arial"/>
              </w:rPr>
              <w:t xml:space="preserve">also </w:t>
            </w:r>
            <w:r w:rsidR="009D5A09" w:rsidRPr="00703A0B">
              <w:rPr>
                <w:rFonts w:cs="Arial"/>
              </w:rPr>
              <w:t xml:space="preserve">honoured to serve </w:t>
            </w:r>
            <w:r w:rsidR="00A02883" w:rsidRPr="00703A0B">
              <w:rPr>
                <w:rFonts w:cs="Arial"/>
              </w:rPr>
              <w:t xml:space="preserve">for four years on </w:t>
            </w:r>
            <w:r w:rsidR="009D5A09" w:rsidRPr="00703A0B">
              <w:rPr>
                <w:rFonts w:cs="Arial"/>
              </w:rPr>
              <w:t>the Council for the Order of Australia</w:t>
            </w:r>
            <w:r w:rsidR="00A02883" w:rsidRPr="00703A0B">
              <w:rPr>
                <w:rFonts w:cs="Arial"/>
              </w:rPr>
              <w:t xml:space="preserve">, </w:t>
            </w:r>
            <w:r w:rsidR="000E047A" w:rsidRPr="00703A0B">
              <w:rPr>
                <w:rFonts w:cs="Arial"/>
              </w:rPr>
              <w:t xml:space="preserve">supporting </w:t>
            </w:r>
            <w:r w:rsidR="009D5A09" w:rsidRPr="00703A0B">
              <w:rPr>
                <w:rFonts w:cs="Arial"/>
              </w:rPr>
              <w:t>the Office of the Governor General.</w:t>
            </w:r>
          </w:p>
        </w:tc>
      </w:tr>
      <w:tr w:rsidR="004A2C19" w:rsidRPr="00703A0B" w14:paraId="56D4E7A9" w14:textId="77777777" w:rsidTr="00166597">
        <w:tc>
          <w:tcPr>
            <w:tcW w:w="2972" w:type="dxa"/>
          </w:tcPr>
          <w:p w14:paraId="5C3E5279" w14:textId="026C92AA" w:rsidR="00DE00D4" w:rsidRPr="00703A0B" w:rsidRDefault="00DE00D4" w:rsidP="004B26BC">
            <w:pPr>
              <w:rPr>
                <w:rFonts w:cs="Arial"/>
                <w:bCs/>
              </w:rPr>
            </w:pPr>
            <w:r w:rsidRPr="00703A0B">
              <w:rPr>
                <w:rFonts w:cs="Arial"/>
                <w:b/>
              </w:rPr>
              <w:t xml:space="preserve">Sally Noonan </w:t>
            </w:r>
          </w:p>
          <w:p w14:paraId="0C3F851A" w14:textId="123F9AE0" w:rsidR="001630E1" w:rsidRPr="00703A0B" w:rsidRDefault="00C46FBA" w:rsidP="004B26BC">
            <w:pPr>
              <w:rPr>
                <w:rFonts w:cs="Arial"/>
                <w:iCs/>
              </w:rPr>
            </w:pPr>
            <w:proofErr w:type="spellStart"/>
            <w:proofErr w:type="gramStart"/>
            <w:r w:rsidRPr="00703A0B">
              <w:rPr>
                <w:rFonts w:cs="Arial"/>
                <w:iCs/>
              </w:rPr>
              <w:t>B.Econ</w:t>
            </w:r>
            <w:proofErr w:type="spellEnd"/>
            <w:proofErr w:type="gramEnd"/>
            <w:r w:rsidRPr="00703A0B">
              <w:rPr>
                <w:rFonts w:cs="Arial"/>
                <w:iCs/>
              </w:rPr>
              <w:t xml:space="preserve">, </w:t>
            </w:r>
            <w:proofErr w:type="spellStart"/>
            <w:r w:rsidRPr="00703A0B">
              <w:rPr>
                <w:rFonts w:cs="Arial"/>
                <w:iCs/>
              </w:rPr>
              <w:t>GradCert</w:t>
            </w:r>
            <w:proofErr w:type="spellEnd"/>
            <w:r w:rsidRPr="00703A0B">
              <w:rPr>
                <w:rFonts w:cs="Arial"/>
                <w:iCs/>
              </w:rPr>
              <w:t xml:space="preserve"> </w:t>
            </w:r>
            <w:proofErr w:type="spellStart"/>
            <w:r w:rsidRPr="00703A0B">
              <w:rPr>
                <w:rFonts w:cs="Arial"/>
                <w:iCs/>
              </w:rPr>
              <w:t>Mmt</w:t>
            </w:r>
            <w:proofErr w:type="spellEnd"/>
            <w:r w:rsidRPr="00703A0B">
              <w:rPr>
                <w:rFonts w:cs="Arial"/>
                <w:iCs/>
              </w:rPr>
              <w:t>, GAICD, PMESA</w:t>
            </w:r>
          </w:p>
          <w:p w14:paraId="6DCA650A" w14:textId="72D2DEEE" w:rsidR="001630E1" w:rsidRPr="00703A0B" w:rsidRDefault="001630E1" w:rsidP="004B26BC">
            <w:pPr>
              <w:rPr>
                <w:rFonts w:cs="Arial"/>
                <w:bCs/>
              </w:rPr>
            </w:pPr>
            <w:r w:rsidRPr="00703A0B">
              <w:rPr>
                <w:rFonts w:cs="Arial"/>
                <w:bCs/>
              </w:rPr>
              <w:t xml:space="preserve">Board member </w:t>
            </w:r>
          </w:p>
          <w:p w14:paraId="05284A17" w14:textId="77777777" w:rsidR="0021293F" w:rsidRPr="00703A0B" w:rsidRDefault="0021293F" w:rsidP="004B26BC">
            <w:pPr>
              <w:rPr>
                <w:rFonts w:cs="Arial"/>
                <w:b/>
              </w:rPr>
            </w:pPr>
          </w:p>
        </w:tc>
        <w:tc>
          <w:tcPr>
            <w:tcW w:w="7478" w:type="dxa"/>
          </w:tcPr>
          <w:p w14:paraId="75AF080E" w14:textId="14F83CC2" w:rsidR="0021293F" w:rsidRPr="00703A0B" w:rsidRDefault="00C37815" w:rsidP="005339C5">
            <w:pPr>
              <w:rPr>
                <w:rFonts w:cs="Arial"/>
              </w:rPr>
            </w:pPr>
            <w:r w:rsidRPr="00703A0B">
              <w:rPr>
                <w:rFonts w:cs="Arial"/>
              </w:rPr>
              <w:t>Sally is an experienced senior executive with an extensive career spanning public, private and not-for-profit sectors. She has a track record of delivering excellence in organisational strategy, economic development policy, infrastructure planning, insurance governance and social inclusion. Sally's current focus is to apply her strategy and governance expertise to improve the effectiveness of government and not-for-profit organisations including as Non-Executive Director, and Chair and/or Independent Member of various finance, risk and audit committees.</w:t>
            </w:r>
          </w:p>
        </w:tc>
      </w:tr>
      <w:tr w:rsidR="004A2C19" w:rsidRPr="00703A0B" w14:paraId="1E6BBA1F" w14:textId="77777777" w:rsidTr="00166597">
        <w:tc>
          <w:tcPr>
            <w:tcW w:w="2972" w:type="dxa"/>
          </w:tcPr>
          <w:p w14:paraId="43102515" w14:textId="63FB0637" w:rsidR="00CB3B04" w:rsidRPr="00703A0B" w:rsidRDefault="00CB3B04" w:rsidP="004B26BC">
            <w:pPr>
              <w:rPr>
                <w:rFonts w:cs="Arial"/>
                <w:b/>
              </w:rPr>
            </w:pPr>
            <w:r w:rsidRPr="00703A0B">
              <w:rPr>
                <w:rFonts w:cs="Arial"/>
                <w:b/>
              </w:rPr>
              <w:t xml:space="preserve">Miriam Kent </w:t>
            </w:r>
          </w:p>
          <w:p w14:paraId="506031E9" w14:textId="2D2536ED" w:rsidR="007751F9" w:rsidRPr="00703A0B" w:rsidRDefault="00CB3B04" w:rsidP="004B26BC">
            <w:pPr>
              <w:rPr>
                <w:rFonts w:cs="Arial"/>
              </w:rPr>
            </w:pPr>
            <w:r w:rsidRPr="00703A0B">
              <w:rPr>
                <w:rFonts w:cs="Arial"/>
              </w:rPr>
              <w:t xml:space="preserve">BA(Hons), </w:t>
            </w:r>
            <w:r w:rsidR="007751F9" w:rsidRPr="00703A0B">
              <w:rPr>
                <w:rFonts w:cs="Arial"/>
              </w:rPr>
              <w:t>GAICD</w:t>
            </w:r>
          </w:p>
          <w:p w14:paraId="581B8A93" w14:textId="0C5B91F3" w:rsidR="007751F9" w:rsidRPr="00703A0B" w:rsidRDefault="007751F9" w:rsidP="004B26BC">
            <w:pPr>
              <w:rPr>
                <w:rFonts w:cs="Arial"/>
              </w:rPr>
            </w:pPr>
            <w:r w:rsidRPr="00703A0B">
              <w:rPr>
                <w:rFonts w:cs="Arial"/>
              </w:rPr>
              <w:t>Board member</w:t>
            </w:r>
          </w:p>
          <w:p w14:paraId="5B2D9B3D" w14:textId="77777777" w:rsidR="0021293F" w:rsidRPr="00703A0B" w:rsidRDefault="0021293F" w:rsidP="004B26BC">
            <w:pPr>
              <w:rPr>
                <w:rFonts w:cs="Arial"/>
                <w:b/>
              </w:rPr>
            </w:pPr>
          </w:p>
        </w:tc>
        <w:tc>
          <w:tcPr>
            <w:tcW w:w="7478" w:type="dxa"/>
          </w:tcPr>
          <w:p w14:paraId="7FA95696" w14:textId="6BFCCD5C" w:rsidR="0021293F" w:rsidRPr="00703A0B" w:rsidRDefault="00037BC0" w:rsidP="007751F9">
            <w:pPr>
              <w:rPr>
                <w:rFonts w:cs="Arial"/>
              </w:rPr>
            </w:pPr>
            <w:r w:rsidRPr="00703A0B">
              <w:rPr>
                <w:rFonts w:cs="Arial"/>
              </w:rPr>
              <w:t>With a</w:t>
            </w:r>
            <w:r w:rsidR="007751F9" w:rsidRPr="00703A0B">
              <w:rPr>
                <w:rFonts w:cs="Arial"/>
              </w:rPr>
              <w:t>n international career spanning three decades, Miriam has achieved commercial success across the public, private and not-for profit sectors in Australia and the United Kingdom. She brings this extensive expertise to several not-for-profit Board positions</w:t>
            </w:r>
            <w:r w:rsidR="00EE1B6F" w:rsidRPr="00703A0B">
              <w:rPr>
                <w:rFonts w:cs="Arial"/>
              </w:rPr>
              <w:t>.</w:t>
            </w:r>
            <w:r w:rsidR="007751F9" w:rsidRPr="00703A0B">
              <w:rPr>
                <w:rFonts w:cs="Arial"/>
              </w:rPr>
              <w:t xml:space="preserve"> Miriam is also passionate about shaping Queensland’s future and holds leadership and advisory roles on the Queensland Futures Institute Futures Council and the City Vision Sub-Committee of the Committee for Brisbane.</w:t>
            </w:r>
            <w:r w:rsidR="000B22BD" w:rsidRPr="00703A0B">
              <w:rPr>
                <w:rFonts w:cs="Arial"/>
              </w:rPr>
              <w:t xml:space="preserve"> </w:t>
            </w:r>
            <w:r w:rsidR="007751F9" w:rsidRPr="00703A0B">
              <w:rPr>
                <w:rFonts w:cs="Arial"/>
              </w:rPr>
              <w:t xml:space="preserve">Miriam brings </w:t>
            </w:r>
            <w:r w:rsidR="000B7A18" w:rsidRPr="00703A0B">
              <w:rPr>
                <w:rFonts w:cs="Arial"/>
              </w:rPr>
              <w:t xml:space="preserve">to the QBC </w:t>
            </w:r>
            <w:r w:rsidR="00CE42BB" w:rsidRPr="00703A0B">
              <w:rPr>
                <w:rFonts w:cs="Arial"/>
              </w:rPr>
              <w:t xml:space="preserve">Board </w:t>
            </w:r>
            <w:r w:rsidR="007751F9" w:rsidRPr="00703A0B">
              <w:rPr>
                <w:rFonts w:cs="Arial"/>
              </w:rPr>
              <w:t xml:space="preserve">extensive governance experience, in addition to her transformative </w:t>
            </w:r>
            <w:r w:rsidR="007751F9" w:rsidRPr="00703A0B">
              <w:rPr>
                <w:rFonts w:cs="Arial"/>
              </w:rPr>
              <w:lastRenderedPageBreak/>
              <w:t xml:space="preserve">leadership, expertise in driving strategic change and operational excellence, and a lifelong passion for the community and </w:t>
            </w:r>
            <w:r w:rsidR="00DC3E0B" w:rsidRPr="00703A0B">
              <w:rPr>
                <w:rFonts w:cs="Arial"/>
              </w:rPr>
              <w:t>not-for-profit</w:t>
            </w:r>
            <w:r w:rsidR="007751F9" w:rsidRPr="00703A0B">
              <w:rPr>
                <w:rFonts w:cs="Arial"/>
              </w:rPr>
              <w:t xml:space="preserve"> sectors.</w:t>
            </w:r>
          </w:p>
        </w:tc>
      </w:tr>
      <w:tr w:rsidR="004A2C19" w:rsidRPr="00703A0B" w14:paraId="715E526F" w14:textId="77777777" w:rsidTr="00166597">
        <w:tc>
          <w:tcPr>
            <w:tcW w:w="2972" w:type="dxa"/>
          </w:tcPr>
          <w:p w14:paraId="768342F4" w14:textId="77777777" w:rsidR="009513C4" w:rsidRPr="00703A0B" w:rsidRDefault="00B64794" w:rsidP="004B26BC">
            <w:pPr>
              <w:rPr>
                <w:rFonts w:cs="Arial"/>
                <w:b/>
              </w:rPr>
            </w:pPr>
            <w:r w:rsidRPr="00703A0B">
              <w:rPr>
                <w:rFonts w:cs="Arial"/>
                <w:b/>
              </w:rPr>
              <w:lastRenderedPageBreak/>
              <w:t xml:space="preserve">Gerard Benedet </w:t>
            </w:r>
          </w:p>
          <w:p w14:paraId="3D136521" w14:textId="69A4E8C8" w:rsidR="00B64794" w:rsidRPr="00703A0B" w:rsidRDefault="00B64794" w:rsidP="004B26BC">
            <w:pPr>
              <w:rPr>
                <w:rFonts w:cs="Arial"/>
                <w:b/>
              </w:rPr>
            </w:pPr>
            <w:proofErr w:type="spellStart"/>
            <w:r w:rsidRPr="00703A0B">
              <w:rPr>
                <w:rFonts w:cs="Arial"/>
                <w:iCs/>
              </w:rPr>
              <w:t>BIntSt</w:t>
            </w:r>
            <w:proofErr w:type="spellEnd"/>
            <w:r w:rsidRPr="00703A0B">
              <w:rPr>
                <w:rFonts w:cs="Arial"/>
                <w:iCs/>
              </w:rPr>
              <w:t>, BCom, GAICD</w:t>
            </w:r>
          </w:p>
          <w:p w14:paraId="705C50DF" w14:textId="144B5A68" w:rsidR="00B64794" w:rsidRPr="00703A0B" w:rsidRDefault="00B64794" w:rsidP="004B26BC">
            <w:pPr>
              <w:rPr>
                <w:rFonts w:cs="Arial"/>
                <w:bCs/>
              </w:rPr>
            </w:pPr>
            <w:r w:rsidRPr="00703A0B">
              <w:rPr>
                <w:rFonts w:cs="Arial"/>
                <w:bCs/>
              </w:rPr>
              <w:t xml:space="preserve">Board member </w:t>
            </w:r>
          </w:p>
          <w:p w14:paraId="35D1964C" w14:textId="14BEA7FB" w:rsidR="0021293F" w:rsidRPr="00703A0B" w:rsidRDefault="0021293F" w:rsidP="004B26BC">
            <w:pPr>
              <w:rPr>
                <w:rFonts w:cs="Arial"/>
                <w:b/>
              </w:rPr>
            </w:pPr>
          </w:p>
        </w:tc>
        <w:tc>
          <w:tcPr>
            <w:tcW w:w="7478" w:type="dxa"/>
          </w:tcPr>
          <w:p w14:paraId="0AC76504" w14:textId="4C91B10C" w:rsidR="00564648" w:rsidRPr="00703A0B" w:rsidRDefault="00564648" w:rsidP="00564648">
            <w:pPr>
              <w:rPr>
                <w:rFonts w:cs="Arial"/>
              </w:rPr>
            </w:pPr>
            <w:r w:rsidRPr="00703A0B">
              <w:rPr>
                <w:rFonts w:cs="Arial"/>
              </w:rPr>
              <w:t>Gerard is an experienced executive and company director with strong governance credentials and a proven record of operating in highly regulated environments, engaging with government, and overseeing complex policy and service delivery reforms. He brings deep experience in public accountability, risk management, stakeholder engagement and strategic decision</w:t>
            </w:r>
            <w:r w:rsidR="00BC4059" w:rsidRPr="00703A0B">
              <w:rPr>
                <w:rFonts w:cs="Arial"/>
              </w:rPr>
              <w:t xml:space="preserve"> </w:t>
            </w:r>
            <w:r w:rsidRPr="00703A0B">
              <w:rPr>
                <w:rFonts w:cs="Arial"/>
              </w:rPr>
              <w:t>making relevant to a statutory authority board.</w:t>
            </w:r>
          </w:p>
          <w:p w14:paraId="447FAEB6" w14:textId="20924D81" w:rsidR="0021293F" w:rsidRPr="00703A0B" w:rsidRDefault="00564648" w:rsidP="00564648">
            <w:pPr>
              <w:rPr>
                <w:rFonts w:cs="Arial"/>
              </w:rPr>
            </w:pPr>
            <w:r w:rsidRPr="00703A0B">
              <w:rPr>
                <w:rFonts w:cs="Arial"/>
              </w:rPr>
              <w:t>He has worked directly with Ministers, central agencies, regulators and industry participants to design, implement and govern major reforms, ensuring alignment with legislative frameworks, public interest objectives and operational capability.</w:t>
            </w:r>
          </w:p>
        </w:tc>
      </w:tr>
      <w:tr w:rsidR="004A2C19" w:rsidRPr="00703A0B" w14:paraId="0ACCEE45" w14:textId="77777777" w:rsidTr="00166597">
        <w:tc>
          <w:tcPr>
            <w:tcW w:w="2972" w:type="dxa"/>
          </w:tcPr>
          <w:p w14:paraId="4F65EE94" w14:textId="69CA2A3C" w:rsidR="00DB79BE" w:rsidRPr="00703A0B" w:rsidRDefault="00AD1021" w:rsidP="004B26BC">
            <w:pPr>
              <w:rPr>
                <w:rFonts w:cs="Arial"/>
              </w:rPr>
            </w:pPr>
            <w:r w:rsidRPr="00703A0B">
              <w:rPr>
                <w:rFonts w:cs="Arial"/>
                <w:b/>
                <w:bCs/>
              </w:rPr>
              <w:t xml:space="preserve">Chris </w:t>
            </w:r>
            <w:proofErr w:type="spellStart"/>
            <w:r w:rsidRPr="00703A0B">
              <w:rPr>
                <w:rFonts w:cs="Arial"/>
                <w:b/>
                <w:bCs/>
              </w:rPr>
              <w:t>Mountford</w:t>
            </w:r>
            <w:proofErr w:type="spellEnd"/>
            <w:r w:rsidRPr="00703A0B">
              <w:rPr>
                <w:rFonts w:cs="Arial"/>
              </w:rPr>
              <w:t xml:space="preserve"> </w:t>
            </w:r>
          </w:p>
          <w:p w14:paraId="5057D01B" w14:textId="60E86B36" w:rsidR="00AD1021" w:rsidRPr="00703A0B" w:rsidRDefault="00AD1021" w:rsidP="004B26BC">
            <w:pPr>
              <w:rPr>
                <w:rFonts w:cs="Arial"/>
              </w:rPr>
            </w:pPr>
            <w:r w:rsidRPr="00703A0B">
              <w:rPr>
                <w:rFonts w:cs="Arial"/>
              </w:rPr>
              <w:t>Board Member</w:t>
            </w:r>
          </w:p>
          <w:p w14:paraId="2A397A74" w14:textId="1D228322" w:rsidR="0021293F" w:rsidRPr="00703A0B" w:rsidRDefault="0021293F" w:rsidP="004B26BC">
            <w:pPr>
              <w:rPr>
                <w:rFonts w:cs="Arial"/>
              </w:rPr>
            </w:pPr>
          </w:p>
        </w:tc>
        <w:tc>
          <w:tcPr>
            <w:tcW w:w="7478" w:type="dxa"/>
          </w:tcPr>
          <w:p w14:paraId="7A1B77B9" w14:textId="413EE238" w:rsidR="0021293F" w:rsidRPr="00703A0B" w:rsidRDefault="00A76AA2" w:rsidP="00A76AA2">
            <w:pPr>
              <w:rPr>
                <w:rFonts w:cs="Arial"/>
              </w:rPr>
            </w:pPr>
            <w:r w:rsidRPr="00703A0B">
              <w:rPr>
                <w:rFonts w:cs="Arial"/>
              </w:rPr>
              <w:t xml:space="preserve">Chris </w:t>
            </w:r>
            <w:r w:rsidR="001846D4" w:rsidRPr="00703A0B">
              <w:rPr>
                <w:rFonts w:cs="Arial"/>
              </w:rPr>
              <w:t xml:space="preserve">is </w:t>
            </w:r>
            <w:r w:rsidRPr="00703A0B">
              <w:rPr>
                <w:rFonts w:cs="Arial"/>
              </w:rPr>
              <w:t>the C</w:t>
            </w:r>
            <w:r w:rsidR="00A10DAD" w:rsidRPr="00703A0B">
              <w:rPr>
                <w:rFonts w:cs="Arial"/>
              </w:rPr>
              <w:t>EO</w:t>
            </w:r>
            <w:r w:rsidRPr="00703A0B">
              <w:rPr>
                <w:rFonts w:cs="Arial"/>
              </w:rPr>
              <w:t xml:space="preserve"> </w:t>
            </w:r>
            <w:r w:rsidR="007C509A" w:rsidRPr="00703A0B">
              <w:rPr>
                <w:rFonts w:cs="Arial"/>
              </w:rPr>
              <w:t>of</w:t>
            </w:r>
            <w:r w:rsidRPr="00703A0B">
              <w:rPr>
                <w:rFonts w:cs="Arial"/>
              </w:rPr>
              <w:t xml:space="preserve"> Independent Schools Queensland. He has specific expertise in the areas of policy, government advocacy and commercial activities.</w:t>
            </w:r>
            <w:r w:rsidR="000B22BD" w:rsidRPr="00703A0B">
              <w:rPr>
                <w:rFonts w:cs="Arial"/>
              </w:rPr>
              <w:t xml:space="preserve"> </w:t>
            </w:r>
            <w:r w:rsidRPr="00703A0B">
              <w:rPr>
                <w:rFonts w:cs="Arial"/>
              </w:rPr>
              <w:t>Christopher has more than two decades of experience in member-based advocacy organisations and government relations. Importantly, he also has an exceptional understanding of government regulation and has been influential on numerous state and local government advisory boards.</w:t>
            </w:r>
          </w:p>
        </w:tc>
      </w:tr>
    </w:tbl>
    <w:p w14:paraId="1E470658" w14:textId="294BBA4B" w:rsidR="0043055E" w:rsidRPr="00703A0B" w:rsidRDefault="0043055E" w:rsidP="00520820">
      <w:pPr>
        <w:pStyle w:val="Heading4"/>
      </w:pPr>
      <w:bookmarkStart w:id="134" w:name="_QBC_Board_committees"/>
      <w:bookmarkEnd w:id="134"/>
      <w:r w:rsidRPr="00703A0B">
        <w:t xml:space="preserve">QBC Board </w:t>
      </w:r>
      <w:r w:rsidR="003A282D" w:rsidRPr="00703A0B">
        <w:t>c</w:t>
      </w:r>
      <w:r w:rsidRPr="00703A0B">
        <w:t xml:space="preserve">ommittees  </w:t>
      </w:r>
    </w:p>
    <w:p w14:paraId="5C0BB918" w14:textId="03D600FB" w:rsidR="00486650" w:rsidRPr="00703A0B" w:rsidRDefault="00F24CFF" w:rsidP="006D0EAA">
      <w:pPr>
        <w:spacing w:before="120" w:after="120"/>
        <w:rPr>
          <w:rFonts w:cs="Arial"/>
        </w:rPr>
      </w:pPr>
      <w:r w:rsidRPr="00703A0B">
        <w:rPr>
          <w:rFonts w:cs="Arial"/>
          <w:szCs w:val="22"/>
        </w:rPr>
        <w:t>In 202</w:t>
      </w:r>
      <w:r w:rsidR="00D96543" w:rsidRPr="00703A0B">
        <w:rPr>
          <w:rFonts w:cs="Arial"/>
          <w:szCs w:val="22"/>
        </w:rPr>
        <w:t>5</w:t>
      </w:r>
      <w:r w:rsidRPr="00703A0B">
        <w:rPr>
          <w:rFonts w:cs="Arial"/>
          <w:szCs w:val="22"/>
        </w:rPr>
        <w:t>–2</w:t>
      </w:r>
      <w:r w:rsidR="00D96543" w:rsidRPr="00703A0B">
        <w:rPr>
          <w:rFonts w:cs="Arial"/>
          <w:szCs w:val="22"/>
        </w:rPr>
        <w:t>6</w:t>
      </w:r>
      <w:r w:rsidRPr="00703A0B">
        <w:rPr>
          <w:rFonts w:cs="Arial"/>
          <w:szCs w:val="22"/>
        </w:rPr>
        <w:t>, t</w:t>
      </w:r>
      <w:r w:rsidR="006B23D4" w:rsidRPr="00703A0B">
        <w:rPr>
          <w:rFonts w:cs="Arial"/>
          <w:szCs w:val="22"/>
        </w:rPr>
        <w:t xml:space="preserve">he </w:t>
      </w:r>
      <w:r w:rsidRPr="00703A0B">
        <w:rPr>
          <w:rFonts w:cs="Arial"/>
          <w:szCs w:val="22"/>
        </w:rPr>
        <w:t>QBC</w:t>
      </w:r>
      <w:r w:rsidR="006B23D4" w:rsidRPr="00703A0B">
        <w:rPr>
          <w:rFonts w:cs="Arial"/>
          <w:szCs w:val="22"/>
        </w:rPr>
        <w:t xml:space="preserve"> Board </w:t>
      </w:r>
      <w:r w:rsidR="00572BD9" w:rsidRPr="00703A0B">
        <w:rPr>
          <w:rFonts w:cs="Arial"/>
          <w:szCs w:val="22"/>
        </w:rPr>
        <w:t>was</w:t>
      </w:r>
      <w:r w:rsidR="006B23D4" w:rsidRPr="00703A0B">
        <w:rPr>
          <w:rFonts w:cs="Arial"/>
          <w:szCs w:val="22"/>
        </w:rPr>
        <w:t xml:space="preserve"> </w:t>
      </w:r>
      <w:r w:rsidR="00EF6A0A" w:rsidRPr="00703A0B">
        <w:rPr>
          <w:rFonts w:cs="Arial"/>
          <w:szCs w:val="22"/>
        </w:rPr>
        <w:t>supported</w:t>
      </w:r>
      <w:r w:rsidR="006B23D4" w:rsidRPr="00703A0B">
        <w:rPr>
          <w:rFonts w:cs="Arial"/>
          <w:szCs w:val="22"/>
        </w:rPr>
        <w:t xml:space="preserve"> </w:t>
      </w:r>
      <w:r w:rsidR="00EF6A0A" w:rsidRPr="00703A0B">
        <w:rPr>
          <w:rFonts w:cs="Arial"/>
          <w:szCs w:val="22"/>
        </w:rPr>
        <w:t>by</w:t>
      </w:r>
      <w:r w:rsidR="006B23D4" w:rsidRPr="00703A0B">
        <w:rPr>
          <w:rFonts w:cs="Arial"/>
          <w:szCs w:val="22"/>
        </w:rPr>
        <w:t xml:space="preserve"> </w:t>
      </w:r>
      <w:r w:rsidR="003C2DCB" w:rsidRPr="00703A0B">
        <w:rPr>
          <w:rFonts w:cs="Arial"/>
          <w:szCs w:val="22"/>
        </w:rPr>
        <w:t>two</w:t>
      </w:r>
      <w:r w:rsidR="00083806" w:rsidRPr="00703A0B">
        <w:rPr>
          <w:rFonts w:cs="Arial"/>
          <w:szCs w:val="22"/>
        </w:rPr>
        <w:t xml:space="preserve"> </w:t>
      </w:r>
      <w:r w:rsidR="006B23D4" w:rsidRPr="00703A0B">
        <w:rPr>
          <w:rFonts w:cs="Arial"/>
          <w:szCs w:val="22"/>
        </w:rPr>
        <w:t xml:space="preserve">committees to </w:t>
      </w:r>
      <w:r w:rsidR="009D0D38" w:rsidRPr="00703A0B">
        <w:rPr>
          <w:rFonts w:cs="Arial"/>
          <w:szCs w:val="22"/>
        </w:rPr>
        <w:t xml:space="preserve">help </w:t>
      </w:r>
      <w:r w:rsidR="00EF6A0A" w:rsidRPr="00703A0B">
        <w:rPr>
          <w:rFonts w:cs="Arial"/>
          <w:szCs w:val="22"/>
        </w:rPr>
        <w:t>fulfil its</w:t>
      </w:r>
      <w:r w:rsidR="006B23D4" w:rsidRPr="00703A0B">
        <w:rPr>
          <w:rFonts w:cs="Arial"/>
          <w:szCs w:val="22"/>
        </w:rPr>
        <w:t xml:space="preserve"> responsibilities. </w:t>
      </w:r>
      <w:bookmarkStart w:id="135" w:name="_Ref234916113"/>
      <w:r w:rsidR="00E11252" w:rsidRPr="00703A0B">
        <w:rPr>
          <w:rFonts w:cs="Arial"/>
          <w:szCs w:val="22"/>
        </w:rPr>
        <w:t xml:space="preserve">Each committee </w:t>
      </w:r>
      <w:r w:rsidR="00655C8B" w:rsidRPr="00703A0B">
        <w:rPr>
          <w:rFonts w:cs="Arial"/>
          <w:szCs w:val="22"/>
        </w:rPr>
        <w:t>operates under</w:t>
      </w:r>
      <w:r w:rsidR="00E11252" w:rsidRPr="00703A0B">
        <w:rPr>
          <w:rFonts w:cs="Arial"/>
          <w:szCs w:val="22"/>
        </w:rPr>
        <w:t xml:space="preserve"> a </w:t>
      </w:r>
      <w:r w:rsidR="00655C8B" w:rsidRPr="00703A0B">
        <w:rPr>
          <w:rFonts w:cs="Arial"/>
          <w:szCs w:val="22"/>
        </w:rPr>
        <w:t>b</w:t>
      </w:r>
      <w:r w:rsidR="00E11252" w:rsidRPr="00703A0B">
        <w:rPr>
          <w:rFonts w:cs="Arial"/>
          <w:szCs w:val="22"/>
        </w:rPr>
        <w:t>oard-approved charter or terms of reference</w:t>
      </w:r>
      <w:r w:rsidR="000236FD" w:rsidRPr="00703A0B">
        <w:rPr>
          <w:rFonts w:cs="Arial"/>
          <w:szCs w:val="22"/>
        </w:rPr>
        <w:t xml:space="preserve">, which outlines its </w:t>
      </w:r>
      <w:r w:rsidR="00E11252" w:rsidRPr="00703A0B">
        <w:rPr>
          <w:rFonts w:cs="Arial"/>
          <w:szCs w:val="22"/>
        </w:rPr>
        <w:t xml:space="preserve">membership, </w:t>
      </w:r>
      <w:r w:rsidR="000236FD" w:rsidRPr="00703A0B">
        <w:rPr>
          <w:rFonts w:cs="Arial"/>
          <w:szCs w:val="22"/>
        </w:rPr>
        <w:t>purpose</w:t>
      </w:r>
      <w:r w:rsidR="000022E0" w:rsidRPr="00703A0B">
        <w:rPr>
          <w:rFonts w:cs="Arial"/>
          <w:szCs w:val="22"/>
        </w:rPr>
        <w:t xml:space="preserve">, </w:t>
      </w:r>
      <w:r w:rsidR="00E11252" w:rsidRPr="00703A0B">
        <w:rPr>
          <w:rFonts w:cs="Arial"/>
          <w:szCs w:val="22"/>
        </w:rPr>
        <w:t xml:space="preserve">functions and reporting </w:t>
      </w:r>
      <w:r w:rsidR="000022E0" w:rsidRPr="00703A0B">
        <w:rPr>
          <w:rFonts w:cs="Arial"/>
          <w:szCs w:val="22"/>
        </w:rPr>
        <w:t>obligations</w:t>
      </w:r>
      <w:r w:rsidR="009C0694" w:rsidRPr="00703A0B">
        <w:rPr>
          <w:rFonts w:cs="Arial"/>
          <w:szCs w:val="22"/>
        </w:rPr>
        <w:t xml:space="preserve">. </w:t>
      </w:r>
      <w:r w:rsidR="00D576A8" w:rsidRPr="00703A0B">
        <w:rPr>
          <w:rFonts w:cs="Arial"/>
          <w:szCs w:val="22"/>
        </w:rPr>
        <w:fldChar w:fldCharType="begin"/>
      </w:r>
      <w:r w:rsidR="00D576A8" w:rsidRPr="00703A0B">
        <w:rPr>
          <w:rFonts w:cs="Arial"/>
          <w:szCs w:val="22"/>
        </w:rPr>
        <w:instrText xml:space="preserve"> REF _Ref232673964 \h </w:instrText>
      </w:r>
      <w:r w:rsidR="00D576A8" w:rsidRPr="00703A0B">
        <w:rPr>
          <w:rFonts w:cs="Arial"/>
          <w:szCs w:val="22"/>
        </w:rPr>
      </w:r>
      <w:r w:rsidR="00D576A8" w:rsidRPr="00703A0B">
        <w:rPr>
          <w:rFonts w:cs="Arial"/>
          <w:szCs w:val="22"/>
        </w:rPr>
        <w:fldChar w:fldCharType="separate"/>
      </w:r>
      <w:r w:rsidR="00785208" w:rsidRPr="00703A0B">
        <w:t xml:space="preserve">Table </w:t>
      </w:r>
      <w:r w:rsidR="00785208" w:rsidRPr="00F621D8">
        <w:t>20</w:t>
      </w:r>
      <w:r w:rsidR="00D576A8" w:rsidRPr="00703A0B">
        <w:rPr>
          <w:rFonts w:cs="Arial"/>
          <w:szCs w:val="22"/>
        </w:rPr>
        <w:fldChar w:fldCharType="end"/>
      </w:r>
      <w:r w:rsidR="002A6FD8" w:rsidRPr="00703A0B">
        <w:rPr>
          <w:rFonts w:cs="Arial"/>
          <w:szCs w:val="22"/>
        </w:rPr>
        <w:fldChar w:fldCharType="begin"/>
      </w:r>
      <w:r w:rsidR="002A6FD8" w:rsidRPr="00703A0B">
        <w:rPr>
          <w:rFonts w:cs="Arial"/>
          <w:szCs w:val="22"/>
        </w:rPr>
        <w:instrText xml:space="preserve"> REF _Ref201912157 \h </w:instrText>
      </w:r>
      <w:r w:rsidR="002A6FD8" w:rsidRPr="00703A0B">
        <w:rPr>
          <w:rFonts w:cs="Arial"/>
          <w:szCs w:val="22"/>
        </w:rPr>
      </w:r>
      <w:r w:rsidR="002A6FD8" w:rsidRPr="00703A0B">
        <w:rPr>
          <w:rFonts w:cs="Arial"/>
          <w:szCs w:val="22"/>
        </w:rPr>
        <w:fldChar w:fldCharType="separate"/>
      </w:r>
      <w:r w:rsidR="002A6FD8" w:rsidRPr="00703A0B">
        <w:rPr>
          <w:rFonts w:cs="Arial"/>
          <w:szCs w:val="22"/>
        </w:rPr>
        <w:fldChar w:fldCharType="end"/>
      </w:r>
      <w:r w:rsidR="002A6FD8" w:rsidRPr="00703A0B">
        <w:rPr>
          <w:rFonts w:cs="Arial"/>
          <w:szCs w:val="22"/>
        </w:rPr>
        <w:t xml:space="preserve"> </w:t>
      </w:r>
      <w:r w:rsidR="009C0694" w:rsidRPr="00703A0B">
        <w:rPr>
          <w:rFonts w:cs="Arial"/>
          <w:szCs w:val="22"/>
        </w:rPr>
        <w:t>provides a</w:t>
      </w:r>
      <w:r w:rsidR="000022E0" w:rsidRPr="00703A0B">
        <w:rPr>
          <w:rFonts w:cs="Arial"/>
          <w:szCs w:val="22"/>
        </w:rPr>
        <w:t>n</w:t>
      </w:r>
      <w:r w:rsidR="009C0694" w:rsidRPr="00703A0B">
        <w:rPr>
          <w:rFonts w:cs="Arial"/>
          <w:szCs w:val="22"/>
        </w:rPr>
        <w:t xml:space="preserve"> overview of the </w:t>
      </w:r>
      <w:r w:rsidR="00D74D40" w:rsidRPr="00703A0B">
        <w:rPr>
          <w:rFonts w:cs="Arial"/>
          <w:szCs w:val="22"/>
        </w:rPr>
        <w:t xml:space="preserve">QBC Board </w:t>
      </w:r>
      <w:r w:rsidR="00DD30F4" w:rsidRPr="00703A0B">
        <w:rPr>
          <w:rFonts w:cs="Arial"/>
          <w:szCs w:val="22"/>
        </w:rPr>
        <w:t>c</w:t>
      </w:r>
      <w:r w:rsidR="00D74D40" w:rsidRPr="00703A0B">
        <w:rPr>
          <w:rFonts w:cs="Arial"/>
          <w:szCs w:val="22"/>
        </w:rPr>
        <w:t>ommittees</w:t>
      </w:r>
      <w:r w:rsidR="004F454A" w:rsidRPr="00703A0B">
        <w:rPr>
          <w:rFonts w:cs="Arial"/>
          <w:szCs w:val="22"/>
        </w:rPr>
        <w:t xml:space="preserve"> that operated during the </w:t>
      </w:r>
      <w:r w:rsidR="00661771" w:rsidRPr="00703A0B">
        <w:rPr>
          <w:rFonts w:cs="Arial"/>
          <w:szCs w:val="22"/>
        </w:rPr>
        <w:t>reporting period</w:t>
      </w:r>
      <w:r w:rsidR="00E11252" w:rsidRPr="00703A0B">
        <w:rPr>
          <w:rFonts w:cs="Arial"/>
          <w:szCs w:val="22"/>
        </w:rPr>
        <w:t>.</w:t>
      </w:r>
    </w:p>
    <w:p w14:paraId="56801739" w14:textId="009141A5" w:rsidR="00486650" w:rsidRPr="00703A0B" w:rsidRDefault="009E2CEA" w:rsidP="009E2CEA">
      <w:pPr>
        <w:pStyle w:val="Caption"/>
        <w:rPr>
          <w:b w:val="0"/>
        </w:rPr>
      </w:pPr>
      <w:bookmarkStart w:id="136" w:name="_Ref232673964"/>
      <w:bookmarkStart w:id="137" w:name="_Ref201912157"/>
      <w:bookmarkStart w:id="138" w:name="_Toc202872063"/>
      <w:bookmarkStart w:id="139" w:name="_Toc202872683"/>
      <w:r w:rsidRPr="00703A0B">
        <w:t xml:space="preserve">Table </w:t>
      </w:r>
      <w:r w:rsidRPr="00703A0B">
        <w:fldChar w:fldCharType="begin"/>
      </w:r>
      <w:r w:rsidRPr="00703A0B">
        <w:instrText>SEQ Table \* ARABIC</w:instrText>
      </w:r>
      <w:r w:rsidRPr="00703A0B">
        <w:fldChar w:fldCharType="separate"/>
      </w:r>
      <w:r w:rsidR="003764AA" w:rsidRPr="00F621D8">
        <w:t>20</w:t>
      </w:r>
      <w:r w:rsidRPr="00703A0B">
        <w:fldChar w:fldCharType="end"/>
      </w:r>
      <w:bookmarkEnd w:id="135"/>
      <w:bookmarkEnd w:id="136"/>
      <w:bookmarkEnd w:id="137"/>
      <w:r w:rsidR="003C14D7" w:rsidRPr="00703A0B">
        <w:t xml:space="preserve">: </w:t>
      </w:r>
      <w:bookmarkStart w:id="140" w:name="_Ref202873621"/>
      <w:r w:rsidR="003C14D7" w:rsidRPr="00703A0B">
        <w:t xml:space="preserve">QBC Board </w:t>
      </w:r>
      <w:r w:rsidR="00DD30F4" w:rsidRPr="00703A0B">
        <w:t>c</w:t>
      </w:r>
      <w:r w:rsidR="003C14D7" w:rsidRPr="00703A0B">
        <w:t>ommittees</w:t>
      </w:r>
      <w:r w:rsidR="004F454A" w:rsidRPr="00703A0B">
        <w:t xml:space="preserve"> </w:t>
      </w:r>
      <w:r w:rsidR="006F504A" w:rsidRPr="00703A0B">
        <w:t>operat</w:t>
      </w:r>
      <w:r w:rsidR="00FB3C2D" w:rsidRPr="00703A0B">
        <w:t>ing</w:t>
      </w:r>
      <w:r w:rsidR="006F504A" w:rsidRPr="00703A0B">
        <w:t xml:space="preserve"> in 202</w:t>
      </w:r>
      <w:r w:rsidR="00CC6BED" w:rsidRPr="00703A0B">
        <w:t>5</w:t>
      </w:r>
      <w:r w:rsidR="006F504A" w:rsidRPr="00703A0B">
        <w:t>–2</w:t>
      </w:r>
      <w:r w:rsidR="00CC6BED" w:rsidRPr="00703A0B">
        <w:t>6</w:t>
      </w:r>
      <w:bookmarkEnd w:id="138"/>
      <w:bookmarkEnd w:id="139"/>
      <w:bookmarkEnd w:id="140"/>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28" w:type="dxa"/>
          <w:bottom w:w="28" w:type="dxa"/>
        </w:tblCellMar>
        <w:tblLook w:val="04A0" w:firstRow="1" w:lastRow="0" w:firstColumn="1" w:lastColumn="0" w:noHBand="0" w:noVBand="1"/>
      </w:tblPr>
      <w:tblGrid>
        <w:gridCol w:w="1985"/>
        <w:gridCol w:w="4820"/>
        <w:gridCol w:w="1984"/>
        <w:gridCol w:w="1696"/>
      </w:tblGrid>
      <w:tr w:rsidR="00083A9E" w:rsidRPr="00703A0B" w14:paraId="417E61E9" w14:textId="77777777" w:rsidTr="009C1B3F">
        <w:trPr>
          <w:tblHeader/>
          <w:jc w:val="center"/>
        </w:trPr>
        <w:tc>
          <w:tcPr>
            <w:tcW w:w="1985" w:type="dxa"/>
            <w:shd w:val="clear" w:color="auto" w:fill="BFBFBF" w:themeFill="background1" w:themeFillShade="BF"/>
          </w:tcPr>
          <w:p w14:paraId="45E1BAD9" w14:textId="77777777" w:rsidR="00083A9E" w:rsidRPr="00703A0B" w:rsidRDefault="00083A9E" w:rsidP="009C1B3F">
            <w:pPr>
              <w:rPr>
                <w:rFonts w:cs="Arial"/>
                <w:b/>
                <w:szCs w:val="20"/>
              </w:rPr>
            </w:pPr>
            <w:r w:rsidRPr="00703A0B">
              <w:rPr>
                <w:rFonts w:cs="Arial"/>
                <w:b/>
                <w:szCs w:val="20"/>
              </w:rPr>
              <w:t>Committee</w:t>
            </w:r>
          </w:p>
        </w:tc>
        <w:tc>
          <w:tcPr>
            <w:tcW w:w="4820" w:type="dxa"/>
            <w:shd w:val="clear" w:color="auto" w:fill="BFBFBF" w:themeFill="background1" w:themeFillShade="BF"/>
          </w:tcPr>
          <w:p w14:paraId="7FC9FDA1" w14:textId="0711C496" w:rsidR="00083A9E" w:rsidRPr="00703A0B" w:rsidRDefault="00083A9E" w:rsidP="009C1B3F">
            <w:pPr>
              <w:rPr>
                <w:rFonts w:cs="Arial"/>
                <w:b/>
                <w:szCs w:val="20"/>
              </w:rPr>
            </w:pPr>
            <w:r w:rsidRPr="00703A0B">
              <w:rPr>
                <w:rFonts w:cs="Arial"/>
                <w:b/>
                <w:szCs w:val="20"/>
              </w:rPr>
              <w:t xml:space="preserve">Purpose and </w:t>
            </w:r>
            <w:r w:rsidR="00025799" w:rsidRPr="00703A0B">
              <w:rPr>
                <w:rFonts w:cs="Arial"/>
                <w:b/>
                <w:szCs w:val="20"/>
              </w:rPr>
              <w:t>f</w:t>
            </w:r>
            <w:r w:rsidRPr="00703A0B">
              <w:rPr>
                <w:rFonts w:cs="Arial"/>
                <w:b/>
                <w:szCs w:val="20"/>
              </w:rPr>
              <w:t>unctions</w:t>
            </w:r>
          </w:p>
        </w:tc>
        <w:tc>
          <w:tcPr>
            <w:tcW w:w="1984" w:type="dxa"/>
            <w:shd w:val="clear" w:color="auto" w:fill="BFBFBF" w:themeFill="background1" w:themeFillShade="BF"/>
          </w:tcPr>
          <w:p w14:paraId="031411C9" w14:textId="77777777" w:rsidR="00083A9E" w:rsidRPr="00703A0B" w:rsidRDefault="00083A9E" w:rsidP="009C1B3F">
            <w:pPr>
              <w:rPr>
                <w:rFonts w:cs="Arial"/>
                <w:b/>
                <w:szCs w:val="20"/>
              </w:rPr>
            </w:pPr>
            <w:r w:rsidRPr="00703A0B">
              <w:rPr>
                <w:rFonts w:cs="Arial"/>
                <w:b/>
                <w:szCs w:val="20"/>
              </w:rPr>
              <w:t>Members</w:t>
            </w:r>
          </w:p>
        </w:tc>
        <w:tc>
          <w:tcPr>
            <w:tcW w:w="1696" w:type="dxa"/>
            <w:shd w:val="clear" w:color="auto" w:fill="BFBFBF" w:themeFill="background1" w:themeFillShade="BF"/>
          </w:tcPr>
          <w:p w14:paraId="33FB0F15" w14:textId="77777777" w:rsidR="00083A9E" w:rsidRPr="00703A0B" w:rsidRDefault="00083A9E" w:rsidP="009C1B3F">
            <w:pPr>
              <w:rPr>
                <w:rFonts w:cs="Arial"/>
                <w:b/>
                <w:szCs w:val="20"/>
              </w:rPr>
            </w:pPr>
            <w:r w:rsidRPr="00703A0B">
              <w:rPr>
                <w:rFonts w:cs="Arial"/>
                <w:b/>
                <w:szCs w:val="20"/>
              </w:rPr>
              <w:t>Meeting frequency</w:t>
            </w:r>
          </w:p>
        </w:tc>
      </w:tr>
      <w:tr w:rsidR="00083A9E" w:rsidRPr="00703A0B" w14:paraId="422A6752" w14:textId="77777777" w:rsidTr="009C1B3F">
        <w:trPr>
          <w:jc w:val="center"/>
        </w:trPr>
        <w:tc>
          <w:tcPr>
            <w:tcW w:w="1985" w:type="dxa"/>
            <w:shd w:val="clear" w:color="auto" w:fill="FFFFFF" w:themeFill="background1"/>
            <w:hideMark/>
          </w:tcPr>
          <w:p w14:paraId="034D3F97" w14:textId="3678F6AB" w:rsidR="00083A9E" w:rsidRPr="00703A0B" w:rsidRDefault="00083A9E" w:rsidP="00A64743">
            <w:pPr>
              <w:suppressLineNumbers/>
              <w:suppressAutoHyphens/>
              <w:textAlignment w:val="baseline"/>
              <w:rPr>
                <w:rFonts w:cs="Arial"/>
                <w:szCs w:val="20"/>
              </w:rPr>
            </w:pPr>
            <w:r w:rsidRPr="00703A0B">
              <w:rPr>
                <w:rFonts w:cs="Arial"/>
                <w:szCs w:val="20"/>
              </w:rPr>
              <w:t>Finance, Audit</w:t>
            </w:r>
            <w:r w:rsidR="00DB63B8" w:rsidRPr="00703A0B">
              <w:rPr>
                <w:rFonts w:cs="Arial"/>
                <w:szCs w:val="20"/>
              </w:rPr>
              <w:t>, Insurance</w:t>
            </w:r>
            <w:r w:rsidRPr="00703A0B">
              <w:rPr>
                <w:rFonts w:cs="Arial"/>
                <w:szCs w:val="20"/>
              </w:rPr>
              <w:t xml:space="preserve"> and Risk Committee</w:t>
            </w:r>
          </w:p>
          <w:p w14:paraId="34381F46" w14:textId="063AE1DD" w:rsidR="002D1023" w:rsidRPr="00703A0B" w:rsidRDefault="002D1023" w:rsidP="00A64743">
            <w:pPr>
              <w:suppressLineNumbers/>
              <w:suppressAutoHyphens/>
              <w:textAlignment w:val="baseline"/>
              <w:rPr>
                <w:rFonts w:cs="Arial"/>
                <w:szCs w:val="20"/>
              </w:rPr>
            </w:pPr>
            <w:r w:rsidRPr="00703A0B">
              <w:rPr>
                <w:rFonts w:cs="Arial"/>
                <w:szCs w:val="20"/>
              </w:rPr>
              <w:t>(FA</w:t>
            </w:r>
            <w:r w:rsidR="00DB63B8" w:rsidRPr="00703A0B">
              <w:rPr>
                <w:rFonts w:cs="Arial"/>
                <w:szCs w:val="20"/>
              </w:rPr>
              <w:t>I</w:t>
            </w:r>
            <w:r w:rsidRPr="00703A0B">
              <w:rPr>
                <w:rFonts w:cs="Arial"/>
                <w:szCs w:val="20"/>
              </w:rPr>
              <w:t>R)</w:t>
            </w:r>
          </w:p>
          <w:p w14:paraId="4E8639F4" w14:textId="77777777" w:rsidR="00745C36" w:rsidRPr="00703A0B" w:rsidRDefault="00745C36" w:rsidP="00A64743">
            <w:pPr>
              <w:suppressLineNumbers/>
              <w:suppressAutoHyphens/>
              <w:textAlignment w:val="baseline"/>
              <w:rPr>
                <w:rFonts w:cs="Arial"/>
                <w:szCs w:val="20"/>
              </w:rPr>
            </w:pPr>
          </w:p>
          <w:p w14:paraId="13BF3ADE" w14:textId="77777777" w:rsidR="00745C36" w:rsidRPr="00703A0B" w:rsidRDefault="00745C36" w:rsidP="00A64743">
            <w:pPr>
              <w:suppressLineNumbers/>
              <w:suppressAutoHyphens/>
              <w:textAlignment w:val="baseline"/>
              <w:rPr>
                <w:rFonts w:cs="Arial"/>
                <w:i/>
                <w:szCs w:val="20"/>
              </w:rPr>
            </w:pPr>
            <w:r w:rsidRPr="00703A0B">
              <w:rPr>
                <w:rFonts w:cs="Arial"/>
                <w:i/>
                <w:szCs w:val="20"/>
              </w:rPr>
              <w:t xml:space="preserve">Operational </w:t>
            </w:r>
          </w:p>
          <w:p w14:paraId="447F68CB" w14:textId="1FBCCF50" w:rsidR="00745C36" w:rsidRPr="00703A0B" w:rsidRDefault="00745C36" w:rsidP="00A64743">
            <w:pPr>
              <w:suppressLineNumbers/>
              <w:suppressAutoHyphens/>
              <w:textAlignment w:val="baseline"/>
              <w:rPr>
                <w:rFonts w:cs="Arial"/>
                <w:i/>
                <w:szCs w:val="20"/>
              </w:rPr>
            </w:pPr>
            <w:r w:rsidRPr="00703A0B">
              <w:rPr>
                <w:rFonts w:cs="Arial"/>
                <w:i/>
                <w:szCs w:val="20"/>
              </w:rPr>
              <w:t>1 July 202</w:t>
            </w:r>
            <w:r w:rsidR="001F7162" w:rsidRPr="00703A0B">
              <w:rPr>
                <w:rFonts w:cs="Arial"/>
                <w:i/>
                <w:szCs w:val="20"/>
              </w:rPr>
              <w:t>5</w:t>
            </w:r>
            <w:r w:rsidRPr="00703A0B">
              <w:rPr>
                <w:rFonts w:cs="Arial"/>
                <w:i/>
                <w:szCs w:val="20"/>
              </w:rPr>
              <w:t xml:space="preserve"> </w:t>
            </w:r>
            <w:r w:rsidR="00D55B2D" w:rsidRPr="00703A0B">
              <w:rPr>
                <w:rFonts w:cs="Arial"/>
                <w:i/>
                <w:szCs w:val="20"/>
              </w:rPr>
              <w:t>–</w:t>
            </w:r>
            <w:r w:rsidR="00927B4F" w:rsidRPr="00703A0B">
              <w:rPr>
                <w:rFonts w:cs="Arial"/>
                <w:i/>
                <w:szCs w:val="20"/>
              </w:rPr>
              <w:t xml:space="preserve"> </w:t>
            </w:r>
            <w:r w:rsidR="000A44C4" w:rsidRPr="00703A0B">
              <w:rPr>
                <w:rFonts w:cs="Arial"/>
                <w:i/>
                <w:szCs w:val="20"/>
              </w:rPr>
              <w:t xml:space="preserve">30 </w:t>
            </w:r>
            <w:r w:rsidR="007639D1" w:rsidRPr="00703A0B">
              <w:rPr>
                <w:rFonts w:cs="Arial"/>
                <w:i/>
                <w:szCs w:val="20"/>
              </w:rPr>
              <w:t>June</w:t>
            </w:r>
            <w:r w:rsidRPr="00703A0B">
              <w:rPr>
                <w:rFonts w:cs="Arial"/>
                <w:i/>
                <w:szCs w:val="20"/>
              </w:rPr>
              <w:t xml:space="preserve"> 202</w:t>
            </w:r>
            <w:r w:rsidR="00776587" w:rsidRPr="00703A0B">
              <w:rPr>
                <w:rFonts w:cs="Arial"/>
                <w:i/>
                <w:szCs w:val="20"/>
              </w:rPr>
              <w:t>6</w:t>
            </w:r>
          </w:p>
          <w:p w14:paraId="1DE1FD58" w14:textId="29264E5C" w:rsidR="00745C36" w:rsidRPr="00703A0B" w:rsidRDefault="00745C36" w:rsidP="00A64743">
            <w:pPr>
              <w:suppressLineNumbers/>
              <w:suppressAutoHyphens/>
              <w:textAlignment w:val="baseline"/>
              <w:rPr>
                <w:rFonts w:cs="Arial"/>
                <w:szCs w:val="20"/>
              </w:rPr>
            </w:pPr>
          </w:p>
        </w:tc>
        <w:tc>
          <w:tcPr>
            <w:tcW w:w="4820" w:type="dxa"/>
            <w:shd w:val="clear" w:color="auto" w:fill="FFFFFF" w:themeFill="background1"/>
          </w:tcPr>
          <w:p w14:paraId="1334341B" w14:textId="77777777" w:rsidR="0018549C" w:rsidRPr="00703A0B" w:rsidRDefault="00C9044A" w:rsidP="00A64743">
            <w:pPr>
              <w:suppressLineNumbers/>
              <w:suppressAutoHyphens/>
              <w:textAlignment w:val="baseline"/>
              <w:rPr>
                <w:rFonts w:cs="Arial"/>
                <w:szCs w:val="20"/>
              </w:rPr>
            </w:pPr>
            <w:r w:rsidRPr="00703A0B">
              <w:rPr>
                <w:rFonts w:cs="Arial"/>
                <w:szCs w:val="20"/>
                <w:u w:val="single"/>
              </w:rPr>
              <w:t>Purpose:</w:t>
            </w:r>
            <w:r w:rsidRPr="00703A0B">
              <w:rPr>
                <w:rFonts w:cs="Arial"/>
                <w:szCs w:val="20"/>
              </w:rPr>
              <w:t xml:space="preserve"> </w:t>
            </w:r>
          </w:p>
          <w:p w14:paraId="11532233" w14:textId="25E2323C" w:rsidR="00C9044A" w:rsidRPr="00F621D8" w:rsidRDefault="00C9044A" w:rsidP="00A64743">
            <w:pPr>
              <w:suppressLineNumbers/>
              <w:suppressAutoHyphens/>
              <w:textAlignment w:val="baseline"/>
              <w:rPr>
                <w:rFonts w:cs="Arial"/>
              </w:rPr>
            </w:pPr>
            <w:r w:rsidRPr="00F621D8">
              <w:rPr>
                <w:rFonts w:cs="Arial"/>
              </w:rPr>
              <w:t>To support the QBC Board by overseeing and providing advice on financial management, audit and risk matters and setting the tone for risk culture through the promotion of open risk discussions and consideration of risk in decision making</w:t>
            </w:r>
            <w:r w:rsidR="000A44C4" w:rsidRPr="00F621D8">
              <w:rPr>
                <w:rFonts w:cs="Arial"/>
              </w:rPr>
              <w:t>.</w:t>
            </w:r>
          </w:p>
          <w:p w14:paraId="6F7BC751" w14:textId="77777777" w:rsidR="002E354C" w:rsidRPr="00F621D8" w:rsidRDefault="002E354C" w:rsidP="00A64743">
            <w:pPr>
              <w:suppressLineNumbers/>
              <w:suppressAutoHyphens/>
              <w:textAlignment w:val="baseline"/>
              <w:rPr>
                <w:rFonts w:cs="Arial"/>
                <w:u w:val="single"/>
              </w:rPr>
            </w:pPr>
          </w:p>
          <w:p w14:paraId="3D53A724" w14:textId="1EAF2F3E" w:rsidR="00C9044A" w:rsidRPr="00703A0B" w:rsidRDefault="00C9044A" w:rsidP="00A64743">
            <w:pPr>
              <w:suppressLineNumbers/>
              <w:suppressAutoHyphens/>
              <w:textAlignment w:val="baseline"/>
              <w:rPr>
                <w:rFonts w:cs="Arial"/>
                <w:szCs w:val="20"/>
                <w:u w:val="single"/>
              </w:rPr>
            </w:pPr>
            <w:r w:rsidRPr="00703A0B">
              <w:rPr>
                <w:rFonts w:cs="Arial"/>
                <w:szCs w:val="20"/>
                <w:u w:val="single"/>
              </w:rPr>
              <w:t>Functions:</w:t>
            </w:r>
          </w:p>
          <w:p w14:paraId="4D3FD4C9" w14:textId="70E4C232" w:rsidR="00C9044A" w:rsidRPr="00F621D8" w:rsidRDefault="00C9044A" w:rsidP="009C1B3F">
            <w:pPr>
              <w:pStyle w:val="ListParagraph"/>
              <w:numPr>
                <w:ilvl w:val="0"/>
                <w:numId w:val="6"/>
              </w:numPr>
              <w:suppressLineNumbers/>
              <w:suppressAutoHyphens/>
              <w:ind w:left="170" w:hanging="170"/>
              <w:contextualSpacing w:val="0"/>
              <w:textAlignment w:val="baseline"/>
              <w:rPr>
                <w:rFonts w:cs="Arial"/>
              </w:rPr>
            </w:pPr>
            <w:r w:rsidRPr="00F621D8">
              <w:rPr>
                <w:rFonts w:cs="Arial"/>
              </w:rPr>
              <w:t>Providing assurance to the Board on the accuracy and integrity of the QBCC’s financial management and reporting</w:t>
            </w:r>
            <w:r w:rsidR="00463F9B" w:rsidRPr="00F621D8">
              <w:rPr>
                <w:rFonts w:cs="Arial"/>
              </w:rPr>
              <w:t>.</w:t>
            </w:r>
          </w:p>
          <w:p w14:paraId="24D31284" w14:textId="3EF0929F" w:rsidR="00C9044A" w:rsidRPr="00703A0B" w:rsidRDefault="00C9044A" w:rsidP="00A64743">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Monitoring compliance with relevant financial legislation and prescribed requirements</w:t>
            </w:r>
            <w:r w:rsidR="00463F9B" w:rsidRPr="00703A0B">
              <w:rPr>
                <w:rFonts w:cs="Arial"/>
                <w:szCs w:val="20"/>
              </w:rPr>
              <w:t>.</w:t>
            </w:r>
          </w:p>
          <w:p w14:paraId="507A1038" w14:textId="7216E635" w:rsidR="00C9044A" w:rsidRPr="00703A0B" w:rsidRDefault="00C9044A" w:rsidP="00A64743">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Ensuring the establishment and maintenance of policies and strategies for the investment of surplus funds</w:t>
            </w:r>
            <w:r w:rsidR="00463F9B" w:rsidRPr="00703A0B">
              <w:rPr>
                <w:rFonts w:cs="Arial"/>
                <w:szCs w:val="20"/>
              </w:rPr>
              <w:t>.</w:t>
            </w:r>
          </w:p>
          <w:p w14:paraId="39646406" w14:textId="30CA400A" w:rsidR="00C9044A" w:rsidRPr="00703A0B" w:rsidRDefault="00C9044A" w:rsidP="00A64743">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Monitoring the QBCC’s internal audit program</w:t>
            </w:r>
          </w:p>
          <w:p w14:paraId="01C0CED9" w14:textId="337FF4B3" w:rsidR="00083A9E" w:rsidRPr="00F621D8" w:rsidRDefault="00C9044A" w:rsidP="009C1B3F">
            <w:pPr>
              <w:pStyle w:val="ListParagraph"/>
              <w:numPr>
                <w:ilvl w:val="0"/>
                <w:numId w:val="6"/>
              </w:numPr>
              <w:suppressLineNumbers/>
              <w:suppressAutoHyphens/>
              <w:ind w:left="170" w:hanging="170"/>
              <w:contextualSpacing w:val="0"/>
              <w:textAlignment w:val="baseline"/>
              <w:rPr>
                <w:rFonts w:cs="Arial"/>
              </w:rPr>
            </w:pPr>
            <w:r w:rsidRPr="00F621D8">
              <w:rPr>
                <w:rFonts w:cs="Arial"/>
              </w:rPr>
              <w:t>Ensuring that the QBCC has appropriate and effective risk management and compliance management systems in place</w:t>
            </w:r>
            <w:r w:rsidR="00463F9B" w:rsidRPr="00F621D8">
              <w:rPr>
                <w:rFonts w:cs="Arial"/>
              </w:rPr>
              <w:t>.</w:t>
            </w:r>
          </w:p>
        </w:tc>
        <w:tc>
          <w:tcPr>
            <w:tcW w:w="1984" w:type="dxa"/>
            <w:shd w:val="clear" w:color="auto" w:fill="FFFFFF" w:themeFill="background1"/>
          </w:tcPr>
          <w:p w14:paraId="3E73F33F" w14:textId="01AC691C" w:rsidR="00524E5E" w:rsidRPr="00703A0B" w:rsidRDefault="00295340" w:rsidP="00A64743">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Sally Noonan</w:t>
            </w:r>
            <w:r w:rsidR="00524E5E" w:rsidRPr="00703A0B">
              <w:rPr>
                <w:rFonts w:cs="Arial"/>
                <w:szCs w:val="20"/>
              </w:rPr>
              <w:t xml:space="preserve"> (Chair)</w:t>
            </w:r>
          </w:p>
          <w:p w14:paraId="05E65681" w14:textId="7A446DF3" w:rsidR="00A109A6" w:rsidRPr="00703A0B" w:rsidRDefault="00A109A6" w:rsidP="00A64743">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Gerard Benedet</w:t>
            </w:r>
          </w:p>
          <w:p w14:paraId="2E334656" w14:textId="4F4651ED" w:rsidR="00524E5E" w:rsidRPr="00F80E1E" w:rsidRDefault="00A109A6" w:rsidP="009C1B3F">
            <w:pPr>
              <w:pStyle w:val="ListParagraph"/>
              <w:numPr>
                <w:ilvl w:val="0"/>
                <w:numId w:val="6"/>
              </w:numPr>
              <w:suppressLineNumbers/>
              <w:suppressAutoHyphens/>
              <w:ind w:left="170" w:hanging="170"/>
              <w:contextualSpacing w:val="0"/>
              <w:textAlignment w:val="baseline"/>
              <w:rPr>
                <w:rFonts w:cs="Arial"/>
              </w:rPr>
            </w:pPr>
            <w:r w:rsidRPr="00F80E1E">
              <w:rPr>
                <w:rFonts w:cs="Arial"/>
              </w:rPr>
              <w:t>Amelia Hodge</w:t>
            </w:r>
          </w:p>
          <w:p w14:paraId="38C90FE3" w14:textId="00344472" w:rsidR="00A109A6" w:rsidRPr="00F80E1E" w:rsidRDefault="00A109A6" w:rsidP="009C1B3F">
            <w:pPr>
              <w:pStyle w:val="ListParagraph"/>
              <w:numPr>
                <w:ilvl w:val="0"/>
                <w:numId w:val="6"/>
              </w:numPr>
              <w:suppressLineNumbers/>
              <w:suppressAutoHyphens/>
              <w:ind w:left="170" w:hanging="170"/>
              <w:contextualSpacing w:val="0"/>
              <w:textAlignment w:val="baseline"/>
              <w:rPr>
                <w:rFonts w:cs="Arial"/>
              </w:rPr>
            </w:pPr>
            <w:r w:rsidRPr="00F80E1E">
              <w:rPr>
                <w:rFonts w:cs="Arial"/>
              </w:rPr>
              <w:t>Miriam Kent</w:t>
            </w:r>
          </w:p>
          <w:p w14:paraId="6807A8F3" w14:textId="09AB62C4" w:rsidR="00524E5E" w:rsidRPr="00703A0B" w:rsidRDefault="00524E5E" w:rsidP="009C1B3F">
            <w:pPr>
              <w:pStyle w:val="ListParagraph"/>
              <w:suppressLineNumbers/>
              <w:suppressAutoHyphens/>
              <w:ind w:left="170"/>
              <w:contextualSpacing w:val="0"/>
              <w:textAlignment w:val="baseline"/>
              <w:rPr>
                <w:rFonts w:cs="Arial"/>
              </w:rPr>
            </w:pPr>
          </w:p>
          <w:p w14:paraId="5CCBFEF2" w14:textId="0A37541B" w:rsidR="00083A9E" w:rsidRPr="00703A0B" w:rsidRDefault="00083A9E" w:rsidP="00A64743">
            <w:pPr>
              <w:pStyle w:val="ListParagraph"/>
              <w:suppressLineNumbers/>
              <w:suppressAutoHyphens/>
              <w:ind w:left="170"/>
              <w:contextualSpacing w:val="0"/>
              <w:textAlignment w:val="baseline"/>
              <w:rPr>
                <w:rFonts w:cs="Arial"/>
                <w:szCs w:val="20"/>
              </w:rPr>
            </w:pPr>
          </w:p>
        </w:tc>
        <w:tc>
          <w:tcPr>
            <w:tcW w:w="1696" w:type="dxa"/>
            <w:shd w:val="clear" w:color="auto" w:fill="FFFFFF" w:themeFill="background1"/>
          </w:tcPr>
          <w:p w14:paraId="190078E3" w14:textId="4201354A" w:rsidR="00083A9E" w:rsidRPr="00703A0B" w:rsidRDefault="00442C6B" w:rsidP="00A64743">
            <w:pPr>
              <w:suppressLineNumbers/>
              <w:suppressAutoHyphens/>
              <w:textAlignment w:val="baseline"/>
              <w:rPr>
                <w:rFonts w:cs="Arial"/>
                <w:szCs w:val="20"/>
                <w:highlight w:val="magenta"/>
              </w:rPr>
            </w:pPr>
            <w:r w:rsidRPr="00703A0B">
              <w:rPr>
                <w:rFonts w:cs="Arial"/>
                <w:szCs w:val="20"/>
              </w:rPr>
              <w:t>Quarterly</w:t>
            </w:r>
          </w:p>
        </w:tc>
      </w:tr>
      <w:tr w:rsidR="005E2095" w:rsidRPr="00703A0B" w14:paraId="2EFA3738" w14:textId="77777777" w:rsidTr="009C1B3F">
        <w:trPr>
          <w:jc w:val="center"/>
        </w:trPr>
        <w:tc>
          <w:tcPr>
            <w:tcW w:w="1985" w:type="dxa"/>
            <w:shd w:val="clear" w:color="auto" w:fill="FFFFFF" w:themeFill="background1"/>
          </w:tcPr>
          <w:p w14:paraId="777FD5B9" w14:textId="77777777" w:rsidR="005E2095" w:rsidRPr="00703A0B" w:rsidRDefault="005E2095" w:rsidP="00A64743">
            <w:pPr>
              <w:suppressLineNumbers/>
              <w:suppressAutoHyphens/>
              <w:textAlignment w:val="baseline"/>
              <w:rPr>
                <w:rFonts w:cs="Arial"/>
                <w:szCs w:val="20"/>
              </w:rPr>
            </w:pPr>
            <w:r w:rsidRPr="00703A0B">
              <w:rPr>
                <w:rFonts w:cs="Arial"/>
                <w:szCs w:val="20"/>
              </w:rPr>
              <w:t>People, Culture and Performance Committee</w:t>
            </w:r>
          </w:p>
          <w:p w14:paraId="7E3714C9" w14:textId="5C37DC6A" w:rsidR="005E2095" w:rsidRPr="00703A0B" w:rsidRDefault="005E2095" w:rsidP="00A64743">
            <w:pPr>
              <w:suppressLineNumbers/>
              <w:suppressAutoHyphens/>
              <w:textAlignment w:val="baseline"/>
              <w:rPr>
                <w:rFonts w:cs="Arial"/>
                <w:szCs w:val="20"/>
              </w:rPr>
            </w:pPr>
            <w:r w:rsidRPr="00703A0B">
              <w:rPr>
                <w:rFonts w:cs="Arial"/>
                <w:szCs w:val="20"/>
              </w:rPr>
              <w:t>(PCP)</w:t>
            </w:r>
          </w:p>
          <w:p w14:paraId="348B445C" w14:textId="77777777" w:rsidR="005E2095" w:rsidRPr="00703A0B" w:rsidRDefault="005E2095" w:rsidP="00A64743">
            <w:pPr>
              <w:suppressLineNumbers/>
              <w:suppressAutoHyphens/>
              <w:textAlignment w:val="baseline"/>
              <w:rPr>
                <w:rFonts w:cs="Arial"/>
                <w:szCs w:val="20"/>
              </w:rPr>
            </w:pPr>
          </w:p>
          <w:p w14:paraId="65682B4C" w14:textId="77777777" w:rsidR="00641361" w:rsidRPr="00703A0B" w:rsidRDefault="00641361" w:rsidP="00A64743">
            <w:pPr>
              <w:suppressLineNumbers/>
              <w:suppressAutoHyphens/>
              <w:textAlignment w:val="baseline"/>
              <w:rPr>
                <w:rFonts w:cs="Arial"/>
                <w:i/>
                <w:szCs w:val="20"/>
              </w:rPr>
            </w:pPr>
            <w:r w:rsidRPr="00703A0B">
              <w:rPr>
                <w:rFonts w:cs="Arial"/>
                <w:i/>
                <w:szCs w:val="20"/>
              </w:rPr>
              <w:lastRenderedPageBreak/>
              <w:t xml:space="preserve">Operational </w:t>
            </w:r>
          </w:p>
          <w:p w14:paraId="2CE3DB81" w14:textId="3F67426B" w:rsidR="00641361" w:rsidRPr="00703A0B" w:rsidRDefault="00641361" w:rsidP="00A64743">
            <w:pPr>
              <w:suppressLineNumbers/>
              <w:suppressAutoHyphens/>
              <w:textAlignment w:val="baseline"/>
              <w:rPr>
                <w:rFonts w:cs="Arial"/>
                <w:i/>
                <w:szCs w:val="20"/>
              </w:rPr>
            </w:pPr>
            <w:r w:rsidRPr="00703A0B">
              <w:rPr>
                <w:rFonts w:cs="Arial"/>
                <w:i/>
                <w:szCs w:val="20"/>
              </w:rPr>
              <w:t>1 July 202</w:t>
            </w:r>
            <w:r w:rsidR="001F7162" w:rsidRPr="00703A0B">
              <w:rPr>
                <w:rFonts w:cs="Arial"/>
                <w:i/>
                <w:szCs w:val="20"/>
              </w:rPr>
              <w:t>5</w:t>
            </w:r>
            <w:r w:rsidRPr="00703A0B">
              <w:rPr>
                <w:rFonts w:cs="Arial"/>
                <w:i/>
                <w:szCs w:val="20"/>
              </w:rPr>
              <w:t xml:space="preserve"> </w:t>
            </w:r>
            <w:r w:rsidR="00927B4F" w:rsidRPr="00703A0B">
              <w:rPr>
                <w:rFonts w:cs="Arial"/>
                <w:i/>
                <w:szCs w:val="20"/>
              </w:rPr>
              <w:t xml:space="preserve">– </w:t>
            </w:r>
            <w:r w:rsidRPr="00703A0B">
              <w:rPr>
                <w:rFonts w:cs="Arial"/>
                <w:i/>
                <w:szCs w:val="20"/>
              </w:rPr>
              <w:t>30 June 202</w:t>
            </w:r>
            <w:r w:rsidR="00776587" w:rsidRPr="00703A0B">
              <w:rPr>
                <w:rFonts w:cs="Arial"/>
                <w:i/>
                <w:szCs w:val="20"/>
              </w:rPr>
              <w:t>6</w:t>
            </w:r>
          </w:p>
          <w:p w14:paraId="51194995" w14:textId="77777777" w:rsidR="00641361" w:rsidRPr="00703A0B" w:rsidRDefault="00641361" w:rsidP="00A64743">
            <w:pPr>
              <w:suppressLineNumbers/>
              <w:suppressAutoHyphens/>
              <w:textAlignment w:val="baseline"/>
              <w:rPr>
                <w:rFonts w:cs="Arial"/>
                <w:szCs w:val="20"/>
              </w:rPr>
            </w:pPr>
          </w:p>
        </w:tc>
        <w:tc>
          <w:tcPr>
            <w:tcW w:w="4820" w:type="dxa"/>
            <w:shd w:val="clear" w:color="auto" w:fill="FFFFFF" w:themeFill="background1"/>
          </w:tcPr>
          <w:p w14:paraId="22256985" w14:textId="50DC4AFA" w:rsidR="005E2095" w:rsidRPr="00703A0B" w:rsidRDefault="005E2095" w:rsidP="00A64743">
            <w:pPr>
              <w:suppressLineNumbers/>
              <w:suppressAutoHyphens/>
              <w:textAlignment w:val="baseline"/>
              <w:rPr>
                <w:rFonts w:cs="Arial"/>
                <w:szCs w:val="20"/>
                <w:u w:val="single"/>
              </w:rPr>
            </w:pPr>
            <w:r w:rsidRPr="00703A0B">
              <w:rPr>
                <w:rFonts w:cs="Arial"/>
                <w:szCs w:val="20"/>
                <w:u w:val="single"/>
              </w:rPr>
              <w:lastRenderedPageBreak/>
              <w:t>Functions:</w:t>
            </w:r>
          </w:p>
          <w:p w14:paraId="104DC898" w14:textId="4CBF139E" w:rsidR="005E2095" w:rsidRPr="00703A0B" w:rsidRDefault="005E2095" w:rsidP="00A64743">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Reviewing QBC Board performance evaluation processes, succession planning and induction and development programs</w:t>
            </w:r>
            <w:r w:rsidR="00463F9B" w:rsidRPr="00703A0B">
              <w:rPr>
                <w:rFonts w:cs="Arial"/>
                <w:szCs w:val="20"/>
              </w:rPr>
              <w:t>.</w:t>
            </w:r>
          </w:p>
          <w:p w14:paraId="13152851" w14:textId="54E3AE78" w:rsidR="005E2095" w:rsidRPr="00F80E1E" w:rsidRDefault="005E2095" w:rsidP="001C720D">
            <w:pPr>
              <w:pStyle w:val="ListParagraph"/>
              <w:numPr>
                <w:ilvl w:val="0"/>
                <w:numId w:val="6"/>
              </w:numPr>
              <w:suppressLineNumbers/>
              <w:suppressAutoHyphens/>
              <w:ind w:left="170" w:hanging="170"/>
              <w:contextualSpacing w:val="0"/>
              <w:textAlignment w:val="baseline"/>
              <w:rPr>
                <w:rFonts w:cs="Arial"/>
              </w:rPr>
            </w:pPr>
            <w:r w:rsidRPr="00F80E1E">
              <w:rPr>
                <w:rFonts w:cs="Arial"/>
              </w:rPr>
              <w:lastRenderedPageBreak/>
              <w:t>Reviewing matters concerning the recruitment, remuneration</w:t>
            </w:r>
            <w:r w:rsidR="00D779E6" w:rsidRPr="00F80E1E">
              <w:rPr>
                <w:rFonts w:cs="Arial"/>
              </w:rPr>
              <w:t xml:space="preserve">, </w:t>
            </w:r>
            <w:r w:rsidRPr="00F80E1E">
              <w:rPr>
                <w:rFonts w:cs="Arial"/>
              </w:rPr>
              <w:t>performance</w:t>
            </w:r>
            <w:r w:rsidR="00D779E6" w:rsidRPr="00F80E1E">
              <w:rPr>
                <w:rFonts w:cs="Arial"/>
              </w:rPr>
              <w:t xml:space="preserve"> and</w:t>
            </w:r>
            <w:r w:rsidRPr="00F80E1E">
              <w:rPr>
                <w:rFonts w:cs="Arial"/>
              </w:rPr>
              <w:t xml:space="preserve"> retention for the Commissioner</w:t>
            </w:r>
            <w:r w:rsidR="00463F9B" w:rsidRPr="00F80E1E">
              <w:rPr>
                <w:rFonts w:cs="Arial"/>
              </w:rPr>
              <w:t>.</w:t>
            </w:r>
          </w:p>
          <w:p w14:paraId="2DB86EA3" w14:textId="5EF638A3" w:rsidR="005E2095" w:rsidRPr="00F80E1E" w:rsidRDefault="005E2095" w:rsidP="001C720D">
            <w:pPr>
              <w:pStyle w:val="ListParagraph"/>
              <w:numPr>
                <w:ilvl w:val="0"/>
                <w:numId w:val="6"/>
              </w:numPr>
              <w:suppressLineNumbers/>
              <w:suppressAutoHyphens/>
              <w:ind w:left="170" w:hanging="170"/>
              <w:contextualSpacing w:val="0"/>
              <w:textAlignment w:val="baseline"/>
              <w:rPr>
                <w:rFonts w:cs="Arial"/>
              </w:rPr>
            </w:pPr>
            <w:r w:rsidRPr="00F80E1E">
              <w:rPr>
                <w:rFonts w:cs="Arial"/>
              </w:rPr>
              <w:t xml:space="preserve">Monitoring the propriety, efficiency and effectiveness of executive recruitment, remuneration, succession and related relevant QBCC policies for Senior Leadership Team </w:t>
            </w:r>
            <w:r w:rsidR="00936078" w:rsidRPr="00F80E1E">
              <w:rPr>
                <w:rFonts w:cs="Arial"/>
              </w:rPr>
              <w:t xml:space="preserve">(SLT) </w:t>
            </w:r>
            <w:r w:rsidRPr="00F80E1E">
              <w:rPr>
                <w:rFonts w:cs="Arial"/>
              </w:rPr>
              <w:t>members</w:t>
            </w:r>
            <w:r w:rsidR="00463F9B" w:rsidRPr="00F80E1E">
              <w:rPr>
                <w:rFonts w:cs="Arial"/>
              </w:rPr>
              <w:t>.</w:t>
            </w:r>
          </w:p>
          <w:p w14:paraId="5228B7B0" w14:textId="64AF67F6" w:rsidR="005E2095" w:rsidRPr="00703A0B" w:rsidRDefault="005E2095" w:rsidP="00A64743">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Monitoring and reviewing matters relating to the QBCC’s people, culture and workplace health and safety</w:t>
            </w:r>
            <w:r w:rsidR="00A51989" w:rsidRPr="00703A0B">
              <w:rPr>
                <w:rFonts w:cs="Arial"/>
                <w:szCs w:val="20"/>
              </w:rPr>
              <w:t>.</w:t>
            </w:r>
          </w:p>
        </w:tc>
        <w:tc>
          <w:tcPr>
            <w:tcW w:w="1984" w:type="dxa"/>
            <w:shd w:val="clear" w:color="auto" w:fill="FFFFFF" w:themeFill="background1"/>
          </w:tcPr>
          <w:p w14:paraId="127D4A9B" w14:textId="77777777" w:rsidR="00BA2E7F" w:rsidRPr="00F80E1E" w:rsidRDefault="00BA2E7F" w:rsidP="001C720D">
            <w:pPr>
              <w:pStyle w:val="ListParagraph"/>
              <w:numPr>
                <w:ilvl w:val="0"/>
                <w:numId w:val="6"/>
              </w:numPr>
              <w:suppressLineNumbers/>
              <w:suppressAutoHyphens/>
              <w:ind w:left="170" w:hanging="170"/>
              <w:contextualSpacing w:val="0"/>
              <w:textAlignment w:val="baseline"/>
              <w:rPr>
                <w:rFonts w:cs="Arial"/>
              </w:rPr>
            </w:pPr>
            <w:r w:rsidRPr="00703A0B">
              <w:rPr>
                <w:rFonts w:cs="Arial"/>
                <w:szCs w:val="20"/>
              </w:rPr>
              <w:lastRenderedPageBreak/>
              <w:t>Debra Robinson (Chair)</w:t>
            </w:r>
          </w:p>
          <w:p w14:paraId="7AA740D3" w14:textId="1E16554A" w:rsidR="00265098" w:rsidRPr="00703A0B" w:rsidRDefault="00235BFC" w:rsidP="00A64743">
            <w:pPr>
              <w:pStyle w:val="ListParagraph"/>
              <w:numPr>
                <w:ilvl w:val="0"/>
                <w:numId w:val="6"/>
              </w:numPr>
              <w:suppressLineNumbers/>
              <w:suppressAutoHyphens/>
              <w:ind w:left="170" w:hanging="170"/>
              <w:contextualSpacing w:val="0"/>
              <w:textAlignment w:val="baseline"/>
              <w:rPr>
                <w:rFonts w:cs="Arial"/>
                <w:szCs w:val="20"/>
              </w:rPr>
            </w:pPr>
            <w:r w:rsidRPr="00F80E1E">
              <w:rPr>
                <w:rFonts w:cs="Arial"/>
              </w:rPr>
              <w:t xml:space="preserve">Greg Chemello </w:t>
            </w:r>
          </w:p>
          <w:p w14:paraId="7B82DF22" w14:textId="742F22B0" w:rsidR="008F45C7" w:rsidRPr="00703A0B" w:rsidRDefault="008F45C7" w:rsidP="00A64743">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Amelia Hodge</w:t>
            </w:r>
          </w:p>
          <w:p w14:paraId="7F1BBD9D" w14:textId="76DD61EC" w:rsidR="005E2095" w:rsidRPr="00703A0B" w:rsidRDefault="008F45C7" w:rsidP="00A64743">
            <w:pPr>
              <w:pStyle w:val="ListParagraph"/>
              <w:numPr>
                <w:ilvl w:val="0"/>
                <w:numId w:val="6"/>
              </w:numPr>
              <w:suppressLineNumbers/>
              <w:suppressAutoHyphens/>
              <w:ind w:left="170" w:hanging="170"/>
              <w:contextualSpacing w:val="0"/>
              <w:textAlignment w:val="baseline"/>
              <w:rPr>
                <w:rFonts w:cs="Arial"/>
                <w:i/>
                <w:szCs w:val="20"/>
              </w:rPr>
            </w:pPr>
            <w:r w:rsidRPr="00703A0B">
              <w:rPr>
                <w:rFonts w:cs="Arial"/>
                <w:szCs w:val="20"/>
              </w:rPr>
              <w:lastRenderedPageBreak/>
              <w:t xml:space="preserve">Chris </w:t>
            </w:r>
            <w:proofErr w:type="spellStart"/>
            <w:r w:rsidRPr="00703A0B">
              <w:rPr>
                <w:rFonts w:cs="Arial"/>
                <w:szCs w:val="20"/>
              </w:rPr>
              <w:t>Mountford</w:t>
            </w:r>
            <w:proofErr w:type="spellEnd"/>
          </w:p>
        </w:tc>
        <w:tc>
          <w:tcPr>
            <w:tcW w:w="1696" w:type="dxa"/>
            <w:shd w:val="clear" w:color="auto" w:fill="FFFFFF" w:themeFill="background1"/>
          </w:tcPr>
          <w:p w14:paraId="664638B4" w14:textId="04B51936" w:rsidR="005E2095" w:rsidRPr="00703A0B" w:rsidRDefault="005E2095" w:rsidP="00A64743">
            <w:pPr>
              <w:suppressLineNumbers/>
              <w:suppressAutoHyphens/>
              <w:textAlignment w:val="baseline"/>
              <w:rPr>
                <w:rFonts w:cs="Arial"/>
                <w:szCs w:val="20"/>
              </w:rPr>
            </w:pPr>
            <w:r w:rsidRPr="00703A0B">
              <w:rPr>
                <w:rFonts w:cs="Arial"/>
                <w:szCs w:val="20"/>
              </w:rPr>
              <w:lastRenderedPageBreak/>
              <w:t>Quarterly</w:t>
            </w:r>
          </w:p>
        </w:tc>
      </w:tr>
    </w:tbl>
    <w:p w14:paraId="754B9494" w14:textId="74915A20" w:rsidR="0043055E" w:rsidRPr="00703A0B" w:rsidRDefault="0043055E" w:rsidP="00C15179">
      <w:pPr>
        <w:pStyle w:val="Heading3"/>
      </w:pPr>
      <w:bookmarkStart w:id="141" w:name="_QBC_Board_member"/>
      <w:bookmarkEnd w:id="141"/>
      <w:r w:rsidRPr="00703A0B">
        <w:t xml:space="preserve">QBC Board </w:t>
      </w:r>
      <w:r w:rsidR="003D4F42" w:rsidRPr="00703A0B">
        <w:t xml:space="preserve">member </w:t>
      </w:r>
      <w:r w:rsidR="00180819" w:rsidRPr="00703A0B">
        <w:t xml:space="preserve">meeting </w:t>
      </w:r>
      <w:r w:rsidR="003D4F42" w:rsidRPr="00703A0B">
        <w:t>attendance and remuneration</w:t>
      </w:r>
    </w:p>
    <w:p w14:paraId="29B66C88" w14:textId="233687BF" w:rsidR="00DC4035" w:rsidRPr="00703A0B" w:rsidRDefault="00E84CD7" w:rsidP="00646D5D">
      <w:pPr>
        <w:spacing w:before="120" w:after="120"/>
        <w:rPr>
          <w:rFonts w:cs="Arial"/>
        </w:rPr>
      </w:pPr>
      <w:r w:rsidRPr="00703A0B">
        <w:rPr>
          <w:rFonts w:cs="Arial"/>
        </w:rPr>
        <w:t xml:space="preserve">The QBCC is committed to transparency and </w:t>
      </w:r>
      <w:r w:rsidR="00B03DF6" w:rsidRPr="00703A0B">
        <w:rPr>
          <w:rFonts w:cs="Arial"/>
        </w:rPr>
        <w:t>strong</w:t>
      </w:r>
      <w:r w:rsidRPr="00703A0B">
        <w:rPr>
          <w:rFonts w:cs="Arial"/>
        </w:rPr>
        <w:t xml:space="preserve"> governance, including </w:t>
      </w:r>
      <w:r w:rsidR="004C7C5E" w:rsidRPr="00703A0B">
        <w:rPr>
          <w:rFonts w:cs="Arial"/>
        </w:rPr>
        <w:t xml:space="preserve">clear </w:t>
      </w:r>
      <w:r w:rsidR="000A43C6" w:rsidRPr="00703A0B">
        <w:rPr>
          <w:rFonts w:cs="Arial"/>
        </w:rPr>
        <w:t>disclosure</w:t>
      </w:r>
      <w:r w:rsidRPr="00703A0B">
        <w:rPr>
          <w:rFonts w:cs="Arial"/>
        </w:rPr>
        <w:t xml:space="preserve"> </w:t>
      </w:r>
      <w:r w:rsidR="000A43C6" w:rsidRPr="00703A0B">
        <w:rPr>
          <w:rFonts w:cs="Arial"/>
        </w:rPr>
        <w:t>of</w:t>
      </w:r>
      <w:r w:rsidRPr="00703A0B">
        <w:rPr>
          <w:rFonts w:cs="Arial"/>
        </w:rPr>
        <w:t xml:space="preserve"> QBC Board member engagement and remuneration. </w:t>
      </w:r>
      <w:r w:rsidR="001D160A" w:rsidRPr="00703A0B">
        <w:rPr>
          <w:rFonts w:cs="Arial"/>
        </w:rPr>
        <w:fldChar w:fldCharType="begin"/>
      </w:r>
      <w:r w:rsidR="001D160A" w:rsidRPr="00703A0B">
        <w:rPr>
          <w:rFonts w:cs="Arial"/>
        </w:rPr>
        <w:instrText xml:space="preserve"> REF _Ref232673992 \h </w:instrText>
      </w:r>
      <w:r w:rsidR="001D160A" w:rsidRPr="00703A0B">
        <w:rPr>
          <w:rFonts w:cs="Arial"/>
        </w:rPr>
      </w:r>
      <w:r w:rsidR="001D160A" w:rsidRPr="00703A0B">
        <w:rPr>
          <w:rFonts w:cs="Arial"/>
        </w:rPr>
        <w:fldChar w:fldCharType="separate"/>
      </w:r>
      <w:r w:rsidR="00785208" w:rsidRPr="00703A0B">
        <w:t xml:space="preserve">Table </w:t>
      </w:r>
      <w:r w:rsidR="00785208" w:rsidRPr="00F80E1E">
        <w:t>21</w:t>
      </w:r>
      <w:r w:rsidR="001D160A" w:rsidRPr="00703A0B">
        <w:rPr>
          <w:rFonts w:cs="Arial"/>
        </w:rPr>
        <w:fldChar w:fldCharType="end"/>
      </w:r>
      <w:r w:rsidR="009E2CEA" w:rsidRPr="00703A0B">
        <w:rPr>
          <w:rFonts w:cs="Arial"/>
        </w:rPr>
        <w:t xml:space="preserve"> </w:t>
      </w:r>
      <w:r w:rsidR="00D05D98" w:rsidRPr="00703A0B">
        <w:rPr>
          <w:rFonts w:cs="Arial"/>
        </w:rPr>
        <w:t xml:space="preserve">outlines </w:t>
      </w:r>
      <w:r w:rsidR="009C0B68" w:rsidRPr="00703A0B">
        <w:rPr>
          <w:rFonts w:cs="Arial"/>
        </w:rPr>
        <w:t xml:space="preserve">the QBC </w:t>
      </w:r>
      <w:r w:rsidR="00D05D98" w:rsidRPr="00703A0B">
        <w:rPr>
          <w:rFonts w:cs="Arial"/>
        </w:rPr>
        <w:t>Board members</w:t>
      </w:r>
      <w:r w:rsidR="009C0B68" w:rsidRPr="00703A0B">
        <w:rPr>
          <w:rFonts w:cs="Arial"/>
        </w:rPr>
        <w:t>’</w:t>
      </w:r>
      <w:r w:rsidR="00D05D98" w:rsidRPr="00703A0B">
        <w:rPr>
          <w:rFonts w:cs="Arial"/>
        </w:rPr>
        <w:t xml:space="preserve"> attendance at </w:t>
      </w:r>
      <w:r w:rsidR="0076292B" w:rsidRPr="00703A0B">
        <w:rPr>
          <w:rFonts w:cs="Arial"/>
        </w:rPr>
        <w:t xml:space="preserve">regular </w:t>
      </w:r>
      <w:r w:rsidR="00FC1A33" w:rsidRPr="00703A0B">
        <w:rPr>
          <w:rFonts w:cs="Arial"/>
        </w:rPr>
        <w:t>and extraordinary meetings</w:t>
      </w:r>
      <w:r w:rsidR="00E57C1A" w:rsidRPr="00703A0B">
        <w:rPr>
          <w:rFonts w:cs="Arial"/>
        </w:rPr>
        <w:t xml:space="preserve"> during </w:t>
      </w:r>
      <w:r w:rsidR="00E57C1A" w:rsidRPr="00703A0B">
        <w:rPr>
          <w:rFonts w:cs="Arial"/>
          <w:szCs w:val="22"/>
        </w:rPr>
        <w:t>2025–26</w:t>
      </w:r>
      <w:r w:rsidR="00FC1A33" w:rsidRPr="00703A0B">
        <w:rPr>
          <w:rFonts w:cs="Arial"/>
        </w:rPr>
        <w:t xml:space="preserve">, </w:t>
      </w:r>
      <w:r w:rsidR="009C0B68" w:rsidRPr="00703A0B">
        <w:rPr>
          <w:rFonts w:cs="Arial"/>
        </w:rPr>
        <w:t>along with</w:t>
      </w:r>
      <w:r w:rsidR="00FC1A33" w:rsidRPr="00703A0B">
        <w:rPr>
          <w:rFonts w:cs="Arial"/>
        </w:rPr>
        <w:t xml:space="preserve"> their remuneration</w:t>
      </w:r>
      <w:r w:rsidR="009C0B68" w:rsidRPr="00703A0B">
        <w:rPr>
          <w:rFonts w:cs="Arial"/>
        </w:rPr>
        <w:t xml:space="preserve"> </w:t>
      </w:r>
      <w:r w:rsidR="00E57C1A" w:rsidRPr="00703A0B">
        <w:rPr>
          <w:rFonts w:cs="Arial"/>
        </w:rPr>
        <w:t>information</w:t>
      </w:r>
      <w:r w:rsidR="00FC1A33" w:rsidRPr="00703A0B">
        <w:rPr>
          <w:rFonts w:cs="Arial"/>
        </w:rPr>
        <w:t>.</w:t>
      </w:r>
    </w:p>
    <w:p w14:paraId="743752E6" w14:textId="29C0B6B3" w:rsidR="00FF4FD3" w:rsidRPr="00703A0B" w:rsidRDefault="009E2CEA" w:rsidP="009E2CEA">
      <w:pPr>
        <w:pStyle w:val="Caption"/>
      </w:pPr>
      <w:bookmarkStart w:id="142" w:name="_Ref232673992"/>
      <w:bookmarkStart w:id="143" w:name="_Ref201912188"/>
      <w:bookmarkStart w:id="144" w:name="_Toc202872064"/>
      <w:bookmarkStart w:id="145" w:name="_Toc202872684"/>
      <w:r w:rsidRPr="00703A0B">
        <w:t xml:space="preserve">Table </w:t>
      </w:r>
      <w:r w:rsidRPr="00703A0B">
        <w:fldChar w:fldCharType="begin"/>
      </w:r>
      <w:r w:rsidRPr="00703A0B">
        <w:instrText>SEQ Table \* ARABIC</w:instrText>
      </w:r>
      <w:r w:rsidRPr="00703A0B">
        <w:fldChar w:fldCharType="separate"/>
      </w:r>
      <w:r w:rsidR="003764AA" w:rsidRPr="00F80E1E">
        <w:t>21</w:t>
      </w:r>
      <w:r w:rsidRPr="00703A0B">
        <w:fldChar w:fldCharType="end"/>
      </w:r>
      <w:bookmarkEnd w:id="142"/>
      <w:bookmarkEnd w:id="143"/>
      <w:r w:rsidR="003C14D7" w:rsidRPr="00703A0B">
        <w:t xml:space="preserve">: </w:t>
      </w:r>
      <w:bookmarkStart w:id="146" w:name="_Ref202873627"/>
      <w:r w:rsidR="003C14D7" w:rsidRPr="00703A0B">
        <w:t xml:space="preserve">QBC Board member attendance and remuneration </w:t>
      </w:r>
      <w:r w:rsidR="00A658DD" w:rsidRPr="00703A0B">
        <w:t xml:space="preserve">in </w:t>
      </w:r>
      <w:r w:rsidR="003C14D7" w:rsidRPr="00703A0B">
        <w:t>202</w:t>
      </w:r>
      <w:r w:rsidR="005736F4" w:rsidRPr="00703A0B">
        <w:t>5</w:t>
      </w:r>
      <w:r w:rsidR="003C14D7" w:rsidRPr="00703A0B">
        <w:t>–2</w:t>
      </w:r>
      <w:r w:rsidR="005736F4" w:rsidRPr="00703A0B">
        <w:t>6</w:t>
      </w:r>
      <w:bookmarkEnd w:id="144"/>
      <w:bookmarkEnd w:id="145"/>
      <w:bookmarkEnd w:id="146"/>
    </w:p>
    <w:tbl>
      <w:tblPr>
        <w:tblStyle w:val="TableGrid"/>
        <w:tblW w:w="10490" w:type="dxa"/>
        <w:jc w:val="center"/>
        <w:tblLayout w:type="fixed"/>
        <w:tblCellMar>
          <w:top w:w="57" w:type="dxa"/>
          <w:left w:w="57" w:type="dxa"/>
          <w:bottom w:w="57" w:type="dxa"/>
          <w:right w:w="57" w:type="dxa"/>
        </w:tblCellMar>
        <w:tblLook w:val="04A0" w:firstRow="1" w:lastRow="0" w:firstColumn="1" w:lastColumn="0" w:noHBand="0" w:noVBand="1"/>
      </w:tblPr>
      <w:tblGrid>
        <w:gridCol w:w="1418"/>
        <w:gridCol w:w="766"/>
        <w:gridCol w:w="935"/>
        <w:gridCol w:w="1985"/>
        <w:gridCol w:w="1902"/>
        <w:gridCol w:w="1641"/>
        <w:gridCol w:w="1843"/>
      </w:tblGrid>
      <w:tr w:rsidR="008B1BA7" w:rsidRPr="00703A0B" w14:paraId="3E34610C" w14:textId="77777777" w:rsidTr="001C3235">
        <w:trPr>
          <w:tblHeader/>
          <w:jc w:val="center"/>
        </w:trPr>
        <w:tc>
          <w:tcPr>
            <w:tcW w:w="10490" w:type="dxa"/>
            <w:gridSpan w:val="7"/>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44034BF" w14:textId="77777777" w:rsidR="008B1BA7" w:rsidRPr="00703A0B" w:rsidRDefault="008B1BA7">
            <w:pPr>
              <w:contextualSpacing/>
              <w:rPr>
                <w:rFonts w:cs="Arial"/>
                <w:szCs w:val="22"/>
              </w:rPr>
            </w:pPr>
            <w:r w:rsidRPr="00703A0B">
              <w:rPr>
                <w:rFonts w:cs="Arial"/>
                <w:b/>
                <w:szCs w:val="22"/>
              </w:rPr>
              <w:t>Queensland Building and Construction Board</w:t>
            </w:r>
          </w:p>
        </w:tc>
      </w:tr>
      <w:tr w:rsidR="008B1BA7" w:rsidRPr="00703A0B" w14:paraId="2D0A5813" w14:textId="77777777" w:rsidTr="001C3235">
        <w:trPr>
          <w:jc w:val="center"/>
        </w:trPr>
        <w:tc>
          <w:tcPr>
            <w:tcW w:w="218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A7BE525" w14:textId="77777777" w:rsidR="008B1BA7" w:rsidRPr="00703A0B" w:rsidRDefault="008B1BA7">
            <w:pPr>
              <w:contextualSpacing/>
              <w:rPr>
                <w:rFonts w:cs="Arial"/>
                <w:szCs w:val="22"/>
              </w:rPr>
            </w:pPr>
            <w:r w:rsidRPr="00703A0B">
              <w:rPr>
                <w:rFonts w:cs="Arial"/>
                <w:szCs w:val="22"/>
              </w:rPr>
              <w:t>Act or instrument</w:t>
            </w:r>
          </w:p>
        </w:tc>
        <w:tc>
          <w:tcPr>
            <w:tcW w:w="8306"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E12A9D5" w14:textId="35C4FF2E" w:rsidR="008B1BA7" w:rsidRPr="00703A0B" w:rsidRDefault="00EB5A25">
            <w:pPr>
              <w:contextualSpacing/>
              <w:rPr>
                <w:rFonts w:cs="Arial"/>
                <w:iCs/>
                <w:szCs w:val="22"/>
              </w:rPr>
            </w:pPr>
            <w:r w:rsidRPr="00703A0B">
              <w:rPr>
                <w:rFonts w:cs="Arial"/>
                <w:iCs/>
                <w:szCs w:val="22"/>
              </w:rPr>
              <w:t xml:space="preserve">QBCC Act </w:t>
            </w:r>
          </w:p>
        </w:tc>
      </w:tr>
      <w:tr w:rsidR="008B1BA7" w:rsidRPr="00703A0B" w14:paraId="19A777D3" w14:textId="77777777" w:rsidTr="001C3235">
        <w:trPr>
          <w:jc w:val="center"/>
        </w:trPr>
        <w:tc>
          <w:tcPr>
            <w:tcW w:w="2184" w:type="dxa"/>
            <w:gridSpan w:val="2"/>
            <w:tcBorders>
              <w:top w:val="single" w:sz="4" w:space="0" w:color="auto"/>
              <w:left w:val="single" w:sz="4" w:space="0" w:color="auto"/>
              <w:bottom w:val="single" w:sz="4" w:space="0" w:color="auto"/>
              <w:right w:val="single" w:sz="4" w:space="0" w:color="auto"/>
            </w:tcBorders>
            <w:hideMark/>
          </w:tcPr>
          <w:p w14:paraId="00E1A8F2" w14:textId="77777777" w:rsidR="008B1BA7" w:rsidRPr="00703A0B" w:rsidRDefault="008B1BA7">
            <w:pPr>
              <w:contextualSpacing/>
              <w:rPr>
                <w:rFonts w:cs="Arial"/>
                <w:szCs w:val="22"/>
              </w:rPr>
            </w:pPr>
            <w:r w:rsidRPr="00703A0B">
              <w:rPr>
                <w:rFonts w:cs="Arial"/>
                <w:szCs w:val="22"/>
              </w:rPr>
              <w:t>Functions</w:t>
            </w:r>
          </w:p>
        </w:tc>
        <w:tc>
          <w:tcPr>
            <w:tcW w:w="8306" w:type="dxa"/>
            <w:gridSpan w:val="5"/>
            <w:tcBorders>
              <w:top w:val="single" w:sz="4" w:space="0" w:color="auto"/>
              <w:left w:val="single" w:sz="4" w:space="0" w:color="auto"/>
              <w:bottom w:val="single" w:sz="4" w:space="0" w:color="auto"/>
              <w:right w:val="single" w:sz="4" w:space="0" w:color="auto"/>
            </w:tcBorders>
            <w:hideMark/>
          </w:tcPr>
          <w:p w14:paraId="74546165" w14:textId="754D596D" w:rsidR="008E04B4" w:rsidRPr="00F80E1E" w:rsidRDefault="00DC7696" w:rsidP="00795F7A">
            <w:pPr>
              <w:pStyle w:val="ListParagraph"/>
              <w:numPr>
                <w:ilvl w:val="0"/>
                <w:numId w:val="6"/>
              </w:numPr>
              <w:ind w:left="170" w:hanging="170"/>
              <w:textAlignment w:val="baseline"/>
              <w:rPr>
                <w:rFonts w:cs="Arial"/>
              </w:rPr>
            </w:pPr>
            <w:r w:rsidRPr="00F80E1E">
              <w:rPr>
                <w:rFonts w:cs="Arial"/>
              </w:rPr>
              <w:t>D</w:t>
            </w:r>
            <w:r w:rsidR="008E04B4" w:rsidRPr="00F80E1E">
              <w:rPr>
                <w:rFonts w:cs="Arial"/>
              </w:rPr>
              <w:t>eciding the strategies and the operational, administrative</w:t>
            </w:r>
            <w:r w:rsidR="0072237D" w:rsidRPr="00F80E1E">
              <w:rPr>
                <w:rFonts w:cs="Arial"/>
              </w:rPr>
              <w:t xml:space="preserve"> </w:t>
            </w:r>
            <w:r w:rsidR="008E04B4" w:rsidRPr="00F80E1E">
              <w:rPr>
                <w:rFonts w:cs="Arial"/>
              </w:rPr>
              <w:t>and financial policies to be followed by the QBCC</w:t>
            </w:r>
            <w:r w:rsidR="00AB077E" w:rsidRPr="00F80E1E">
              <w:rPr>
                <w:rFonts w:cs="Arial"/>
              </w:rPr>
              <w:t>.</w:t>
            </w:r>
          </w:p>
          <w:p w14:paraId="225945A1" w14:textId="32CCFA97" w:rsidR="008E04B4" w:rsidRPr="00F80E1E" w:rsidRDefault="00DC7696" w:rsidP="00795F7A">
            <w:pPr>
              <w:pStyle w:val="ListParagraph"/>
              <w:numPr>
                <w:ilvl w:val="0"/>
                <w:numId w:val="6"/>
              </w:numPr>
              <w:ind w:left="170" w:hanging="170"/>
              <w:textAlignment w:val="baseline"/>
              <w:rPr>
                <w:rFonts w:cs="Arial"/>
              </w:rPr>
            </w:pPr>
            <w:r w:rsidRPr="00F80E1E">
              <w:rPr>
                <w:rFonts w:cs="Arial"/>
              </w:rPr>
              <w:t>E</w:t>
            </w:r>
            <w:r w:rsidR="008E04B4" w:rsidRPr="00F80E1E">
              <w:rPr>
                <w:rFonts w:cs="Arial"/>
              </w:rPr>
              <w:t>nsuring the QBCC performs its functions (including financial, governance, risk and compliance</w:t>
            </w:r>
            <w:r w:rsidR="00A73BFB" w:rsidRPr="00F80E1E">
              <w:rPr>
                <w:rFonts w:cs="Arial"/>
              </w:rPr>
              <w:t xml:space="preserve"> </w:t>
            </w:r>
            <w:r w:rsidR="008E04B4" w:rsidRPr="00F80E1E">
              <w:rPr>
                <w:rFonts w:cs="Arial"/>
              </w:rPr>
              <w:t>obligations) and exercises its powers properly, effectively</w:t>
            </w:r>
            <w:r w:rsidR="005C4EAF" w:rsidRPr="00F80E1E">
              <w:rPr>
                <w:rFonts w:cs="Arial"/>
              </w:rPr>
              <w:t xml:space="preserve"> </w:t>
            </w:r>
            <w:r w:rsidR="008E04B4" w:rsidRPr="00F80E1E">
              <w:rPr>
                <w:rFonts w:cs="Arial"/>
              </w:rPr>
              <w:t>and efficiently</w:t>
            </w:r>
            <w:r w:rsidR="00AB077E" w:rsidRPr="00F80E1E">
              <w:rPr>
                <w:rFonts w:cs="Arial"/>
              </w:rPr>
              <w:t>.</w:t>
            </w:r>
          </w:p>
          <w:p w14:paraId="5E85997C" w14:textId="428E45A8" w:rsidR="00D9600A" w:rsidRPr="00703A0B" w:rsidRDefault="002A053C" w:rsidP="00795F7A">
            <w:pPr>
              <w:pStyle w:val="ListParagraph"/>
              <w:numPr>
                <w:ilvl w:val="0"/>
                <w:numId w:val="6"/>
              </w:numPr>
              <w:ind w:left="170" w:hanging="170"/>
              <w:textAlignment w:val="baseline"/>
              <w:rPr>
                <w:rFonts w:cs="Arial"/>
              </w:rPr>
            </w:pPr>
            <w:r w:rsidRPr="00703A0B">
              <w:rPr>
                <w:rFonts w:cs="Arial"/>
              </w:rPr>
              <w:t>P</w:t>
            </w:r>
            <w:r w:rsidR="00D9600A" w:rsidRPr="00703A0B">
              <w:rPr>
                <w:rFonts w:cs="Arial"/>
              </w:rPr>
              <w:t>rovid</w:t>
            </w:r>
            <w:r w:rsidR="00DA5091" w:rsidRPr="00703A0B">
              <w:rPr>
                <w:rFonts w:cs="Arial"/>
              </w:rPr>
              <w:t>ing</w:t>
            </w:r>
            <w:r w:rsidR="00D9600A" w:rsidRPr="00703A0B">
              <w:rPr>
                <w:rFonts w:cs="Arial"/>
              </w:rPr>
              <w:t xml:space="preserve"> </w:t>
            </w:r>
            <w:r w:rsidR="001D6657" w:rsidRPr="00703A0B">
              <w:rPr>
                <w:rFonts w:cs="Arial"/>
              </w:rPr>
              <w:t xml:space="preserve">strategic </w:t>
            </w:r>
            <w:r w:rsidR="00D9600A" w:rsidRPr="00703A0B">
              <w:rPr>
                <w:rFonts w:cs="Arial"/>
              </w:rPr>
              <w:t>guidance and leadership to the Commissioner</w:t>
            </w:r>
            <w:r w:rsidR="00A549D3" w:rsidRPr="00703A0B">
              <w:rPr>
                <w:rFonts w:cs="Arial"/>
              </w:rPr>
              <w:t xml:space="preserve"> and </w:t>
            </w:r>
            <w:r w:rsidR="00D9600A" w:rsidRPr="00703A0B">
              <w:rPr>
                <w:rFonts w:cs="Arial"/>
              </w:rPr>
              <w:t xml:space="preserve">the </w:t>
            </w:r>
            <w:r w:rsidR="00473380" w:rsidRPr="00703A0B">
              <w:rPr>
                <w:rFonts w:cs="Arial"/>
              </w:rPr>
              <w:t>Service Trades Council (</w:t>
            </w:r>
            <w:r w:rsidR="0060642B" w:rsidRPr="00703A0B">
              <w:rPr>
                <w:rFonts w:cs="Arial"/>
              </w:rPr>
              <w:t>STC</w:t>
            </w:r>
            <w:r w:rsidR="00473380" w:rsidRPr="00703A0B">
              <w:rPr>
                <w:rFonts w:cs="Arial"/>
              </w:rPr>
              <w:t>)</w:t>
            </w:r>
            <w:r w:rsidR="009A542F" w:rsidRPr="00703A0B">
              <w:rPr>
                <w:rFonts w:cs="Arial"/>
              </w:rPr>
              <w:t xml:space="preserve"> in support of the QBCC’s regulatory </w:t>
            </w:r>
            <w:r w:rsidR="00922E18" w:rsidRPr="00703A0B">
              <w:rPr>
                <w:rFonts w:cs="Arial"/>
              </w:rPr>
              <w:t xml:space="preserve">responsibilities, except in matters </w:t>
            </w:r>
            <w:r w:rsidR="00676D8F" w:rsidRPr="00703A0B">
              <w:rPr>
                <w:rFonts w:cs="Arial"/>
              </w:rPr>
              <w:t xml:space="preserve">where the STC </w:t>
            </w:r>
            <w:r w:rsidR="00D9600A" w:rsidRPr="00703A0B">
              <w:rPr>
                <w:rFonts w:cs="Arial"/>
              </w:rPr>
              <w:t>confer</w:t>
            </w:r>
            <w:r w:rsidR="00676D8F" w:rsidRPr="00703A0B">
              <w:rPr>
                <w:rFonts w:cs="Arial"/>
              </w:rPr>
              <w:t>s</w:t>
            </w:r>
            <w:r w:rsidR="00D9600A" w:rsidRPr="00703A0B">
              <w:rPr>
                <w:rFonts w:cs="Arial"/>
              </w:rPr>
              <w:t xml:space="preserve"> on national policy development and implementation for the plumbing and drainage trade under the PD Act</w:t>
            </w:r>
            <w:r w:rsidR="00AB077E" w:rsidRPr="00703A0B">
              <w:rPr>
                <w:rFonts w:cs="Arial"/>
              </w:rPr>
              <w:t>.</w:t>
            </w:r>
          </w:p>
          <w:p w14:paraId="55BF2B13" w14:textId="2195AF02" w:rsidR="00BF2685" w:rsidRPr="00703A0B" w:rsidRDefault="002A053C" w:rsidP="00795F7A">
            <w:pPr>
              <w:pStyle w:val="ListParagraph"/>
              <w:numPr>
                <w:ilvl w:val="0"/>
                <w:numId w:val="6"/>
              </w:numPr>
              <w:ind w:left="170" w:hanging="170"/>
              <w:textAlignment w:val="baseline"/>
              <w:rPr>
                <w:rFonts w:cs="Arial"/>
                <w:szCs w:val="22"/>
              </w:rPr>
            </w:pPr>
            <w:r w:rsidRPr="00703A0B">
              <w:rPr>
                <w:rFonts w:cs="Arial"/>
                <w:szCs w:val="22"/>
              </w:rPr>
              <w:t>A</w:t>
            </w:r>
            <w:r w:rsidR="00BF2685" w:rsidRPr="00703A0B">
              <w:rPr>
                <w:rFonts w:cs="Arial"/>
                <w:szCs w:val="22"/>
              </w:rPr>
              <w:t xml:space="preserve">dvising the </w:t>
            </w:r>
            <w:r w:rsidR="00416EBF" w:rsidRPr="00703A0B">
              <w:rPr>
                <w:rFonts w:cs="Arial"/>
                <w:szCs w:val="22"/>
              </w:rPr>
              <w:t xml:space="preserve">responsible </w:t>
            </w:r>
            <w:r w:rsidR="00F5097E" w:rsidRPr="00703A0B">
              <w:rPr>
                <w:rFonts w:cs="Arial"/>
                <w:szCs w:val="22"/>
              </w:rPr>
              <w:t>m</w:t>
            </w:r>
            <w:r w:rsidR="00BF2685" w:rsidRPr="00703A0B">
              <w:rPr>
                <w:rFonts w:cs="Arial"/>
                <w:szCs w:val="22"/>
              </w:rPr>
              <w:t>inister on issues affecting:</w:t>
            </w:r>
          </w:p>
          <w:p w14:paraId="21E45F9B" w14:textId="77777777" w:rsidR="00BF2685" w:rsidRPr="00703A0B" w:rsidRDefault="00BF2685" w:rsidP="00795F7A">
            <w:pPr>
              <w:pStyle w:val="ListParagraph"/>
              <w:numPr>
                <w:ilvl w:val="0"/>
                <w:numId w:val="10"/>
              </w:numPr>
              <w:textAlignment w:val="baseline"/>
              <w:rPr>
                <w:rFonts w:cs="Arial"/>
                <w:szCs w:val="22"/>
              </w:rPr>
            </w:pPr>
            <w:r w:rsidRPr="00703A0B">
              <w:rPr>
                <w:rFonts w:cs="Arial"/>
                <w:szCs w:val="22"/>
              </w:rPr>
              <w:t>the building industry</w:t>
            </w:r>
          </w:p>
          <w:p w14:paraId="51347FC5" w14:textId="77777777" w:rsidR="00BF2685" w:rsidRPr="00703A0B" w:rsidRDefault="00BF2685" w:rsidP="00795F7A">
            <w:pPr>
              <w:pStyle w:val="ListParagraph"/>
              <w:numPr>
                <w:ilvl w:val="0"/>
                <w:numId w:val="10"/>
              </w:numPr>
              <w:textAlignment w:val="baseline"/>
              <w:rPr>
                <w:rFonts w:cs="Arial"/>
                <w:szCs w:val="22"/>
              </w:rPr>
            </w:pPr>
            <w:r w:rsidRPr="00703A0B">
              <w:rPr>
                <w:rFonts w:cs="Arial"/>
                <w:szCs w:val="22"/>
              </w:rPr>
              <w:t>consumers</w:t>
            </w:r>
          </w:p>
          <w:p w14:paraId="093F39D4" w14:textId="66CC3474" w:rsidR="00BF2685" w:rsidRPr="00703A0B" w:rsidRDefault="00BF2685" w:rsidP="00795F7A">
            <w:pPr>
              <w:pStyle w:val="ListParagraph"/>
              <w:numPr>
                <w:ilvl w:val="0"/>
                <w:numId w:val="10"/>
              </w:numPr>
              <w:textAlignment w:val="baseline"/>
              <w:rPr>
                <w:rFonts w:cs="Arial"/>
                <w:szCs w:val="22"/>
              </w:rPr>
            </w:pPr>
            <w:r w:rsidRPr="00703A0B">
              <w:rPr>
                <w:rFonts w:cs="Arial"/>
                <w:szCs w:val="22"/>
              </w:rPr>
              <w:t xml:space="preserve">the administration of the QBCC </w:t>
            </w:r>
            <w:r w:rsidR="00080541" w:rsidRPr="00703A0B">
              <w:rPr>
                <w:rFonts w:cs="Arial"/>
                <w:szCs w:val="22"/>
              </w:rPr>
              <w:t xml:space="preserve">and the </w:t>
            </w:r>
            <w:r w:rsidRPr="00703A0B">
              <w:rPr>
                <w:rFonts w:cs="Arial"/>
                <w:szCs w:val="22"/>
              </w:rPr>
              <w:t>QBCC Act</w:t>
            </w:r>
            <w:r w:rsidR="00AB077E" w:rsidRPr="00703A0B">
              <w:rPr>
                <w:rFonts w:cs="Arial"/>
                <w:szCs w:val="22"/>
              </w:rPr>
              <w:t>.</w:t>
            </w:r>
          </w:p>
          <w:p w14:paraId="37BB55AB" w14:textId="2B373B3B" w:rsidR="00264B47" w:rsidRPr="00F80E1E" w:rsidRDefault="00752AF9" w:rsidP="00795F7A">
            <w:pPr>
              <w:pStyle w:val="ListParagraph"/>
              <w:numPr>
                <w:ilvl w:val="0"/>
                <w:numId w:val="6"/>
              </w:numPr>
              <w:ind w:left="170" w:hanging="170"/>
              <w:textAlignment w:val="baseline"/>
              <w:rPr>
                <w:rFonts w:cs="Arial"/>
              </w:rPr>
            </w:pPr>
            <w:r w:rsidRPr="00F80E1E">
              <w:rPr>
                <w:rFonts w:cs="Arial"/>
              </w:rPr>
              <w:t>A</w:t>
            </w:r>
            <w:r w:rsidR="00DA5091" w:rsidRPr="00F80E1E">
              <w:rPr>
                <w:rFonts w:cs="Arial"/>
              </w:rPr>
              <w:t xml:space="preserve">dvising the </w:t>
            </w:r>
            <w:r w:rsidR="005327E4" w:rsidRPr="00F80E1E">
              <w:rPr>
                <w:rFonts w:cs="Arial"/>
              </w:rPr>
              <w:t xml:space="preserve">responsible </w:t>
            </w:r>
            <w:r w:rsidR="00F5097E" w:rsidRPr="00F80E1E">
              <w:rPr>
                <w:rFonts w:cs="Arial"/>
              </w:rPr>
              <w:t>m</w:t>
            </w:r>
            <w:r w:rsidR="00DA5091" w:rsidRPr="00F80E1E">
              <w:rPr>
                <w:rFonts w:cs="Arial"/>
              </w:rPr>
              <w:t>inister about unfair or unconscionable trading practices affecting security of payments to contractors and subcontractors</w:t>
            </w:r>
            <w:r w:rsidR="00AB077E" w:rsidRPr="00F80E1E">
              <w:rPr>
                <w:rFonts w:cs="Arial"/>
              </w:rPr>
              <w:t>.</w:t>
            </w:r>
          </w:p>
          <w:p w14:paraId="32D7BE2C" w14:textId="591552F7" w:rsidR="008B1BA7" w:rsidRPr="00703A0B" w:rsidRDefault="00752AF9" w:rsidP="00795F7A">
            <w:pPr>
              <w:pStyle w:val="ListParagraph"/>
              <w:numPr>
                <w:ilvl w:val="0"/>
                <w:numId w:val="6"/>
              </w:numPr>
              <w:ind w:left="170" w:hanging="170"/>
              <w:textAlignment w:val="baseline"/>
              <w:rPr>
                <w:rFonts w:cs="Arial"/>
                <w:szCs w:val="22"/>
              </w:rPr>
            </w:pPr>
            <w:r w:rsidRPr="00703A0B">
              <w:rPr>
                <w:rFonts w:cs="Arial"/>
                <w:szCs w:val="22"/>
              </w:rPr>
              <w:t>C</w:t>
            </w:r>
            <w:r w:rsidR="00DA5091" w:rsidRPr="00703A0B">
              <w:rPr>
                <w:rFonts w:cs="Arial"/>
                <w:szCs w:val="22"/>
              </w:rPr>
              <w:t xml:space="preserve">onsulting the building industry and its </w:t>
            </w:r>
            <w:proofErr w:type="gramStart"/>
            <w:r w:rsidR="00DA5091" w:rsidRPr="00703A0B">
              <w:rPr>
                <w:rFonts w:cs="Arial"/>
                <w:szCs w:val="22"/>
              </w:rPr>
              <w:t>consumers</w:t>
            </w:r>
            <w:r w:rsidR="00BC0DDC" w:rsidRPr="00703A0B">
              <w:rPr>
                <w:rFonts w:cs="Arial"/>
                <w:szCs w:val="22"/>
              </w:rPr>
              <w:t>,</w:t>
            </w:r>
            <w:r w:rsidR="00DA5091" w:rsidRPr="00703A0B">
              <w:rPr>
                <w:rFonts w:cs="Arial"/>
                <w:szCs w:val="22"/>
              </w:rPr>
              <w:t xml:space="preserve"> and</w:t>
            </w:r>
            <w:proofErr w:type="gramEnd"/>
            <w:r w:rsidR="00DA5091" w:rsidRPr="00703A0B">
              <w:rPr>
                <w:rFonts w:cs="Arial"/>
                <w:szCs w:val="22"/>
              </w:rPr>
              <w:t xml:space="preserve"> advancing their interests</w:t>
            </w:r>
            <w:r w:rsidR="00CE7BC7" w:rsidRPr="00703A0B">
              <w:rPr>
                <w:rFonts w:cs="Arial"/>
                <w:szCs w:val="22"/>
              </w:rPr>
              <w:t xml:space="preserve"> in</w:t>
            </w:r>
            <w:r w:rsidR="00DA5091" w:rsidRPr="00703A0B">
              <w:rPr>
                <w:rFonts w:cs="Arial"/>
                <w:szCs w:val="22"/>
              </w:rPr>
              <w:t xml:space="preserve"> </w:t>
            </w:r>
            <w:r w:rsidR="00BC0DDC" w:rsidRPr="00703A0B">
              <w:rPr>
                <w:rFonts w:cs="Arial"/>
                <w:szCs w:val="22"/>
              </w:rPr>
              <w:t>alignment</w:t>
            </w:r>
            <w:r w:rsidR="00DA5091" w:rsidRPr="00703A0B">
              <w:rPr>
                <w:rFonts w:cs="Arial"/>
                <w:szCs w:val="22"/>
              </w:rPr>
              <w:t xml:space="preserve"> with the QBCC Act</w:t>
            </w:r>
            <w:r w:rsidR="00AB077E" w:rsidRPr="00703A0B">
              <w:rPr>
                <w:rFonts w:cs="Arial"/>
                <w:szCs w:val="22"/>
              </w:rPr>
              <w:t>.</w:t>
            </w:r>
          </w:p>
        </w:tc>
      </w:tr>
      <w:tr w:rsidR="008B1BA7" w:rsidRPr="00703A0B" w14:paraId="52F86AB8" w14:textId="77777777" w:rsidTr="001C3235">
        <w:trPr>
          <w:jc w:val="center"/>
        </w:trPr>
        <w:tc>
          <w:tcPr>
            <w:tcW w:w="2184" w:type="dxa"/>
            <w:gridSpan w:val="2"/>
            <w:tcBorders>
              <w:top w:val="single" w:sz="4" w:space="0" w:color="auto"/>
              <w:left w:val="single" w:sz="4" w:space="0" w:color="auto"/>
              <w:bottom w:val="single" w:sz="4" w:space="0" w:color="auto"/>
              <w:right w:val="single" w:sz="4" w:space="0" w:color="auto"/>
            </w:tcBorders>
            <w:hideMark/>
          </w:tcPr>
          <w:p w14:paraId="48ACAB53" w14:textId="77777777" w:rsidR="008B1BA7" w:rsidRPr="00703A0B" w:rsidRDefault="008B1BA7">
            <w:pPr>
              <w:contextualSpacing/>
              <w:rPr>
                <w:rFonts w:cs="Arial"/>
                <w:szCs w:val="22"/>
              </w:rPr>
            </w:pPr>
            <w:r w:rsidRPr="00703A0B">
              <w:rPr>
                <w:rFonts w:cs="Arial"/>
                <w:szCs w:val="22"/>
              </w:rPr>
              <w:t>Achievements</w:t>
            </w:r>
          </w:p>
        </w:tc>
        <w:tc>
          <w:tcPr>
            <w:tcW w:w="8306" w:type="dxa"/>
            <w:gridSpan w:val="5"/>
            <w:tcBorders>
              <w:top w:val="single" w:sz="4" w:space="0" w:color="auto"/>
              <w:left w:val="single" w:sz="4" w:space="0" w:color="auto"/>
              <w:bottom w:val="single" w:sz="4" w:space="0" w:color="auto"/>
              <w:right w:val="single" w:sz="4" w:space="0" w:color="auto"/>
            </w:tcBorders>
            <w:hideMark/>
          </w:tcPr>
          <w:p w14:paraId="2335688B" w14:textId="5A17BF42" w:rsidR="008B1BA7" w:rsidRPr="00703A0B" w:rsidRDefault="008B1BA7">
            <w:pPr>
              <w:autoSpaceDE w:val="0"/>
              <w:autoSpaceDN w:val="0"/>
              <w:adjustRightInd w:val="0"/>
              <w:contextualSpacing/>
              <w:rPr>
                <w:rFonts w:cs="Arial"/>
                <w:szCs w:val="22"/>
              </w:rPr>
            </w:pPr>
            <w:r w:rsidRPr="00703A0B">
              <w:rPr>
                <w:rFonts w:cs="Arial"/>
                <w:szCs w:val="22"/>
              </w:rPr>
              <w:t xml:space="preserve">Governing body of the </w:t>
            </w:r>
            <w:r w:rsidR="007E34C5" w:rsidRPr="00703A0B">
              <w:rPr>
                <w:rFonts w:cs="Arial"/>
                <w:szCs w:val="22"/>
              </w:rPr>
              <w:t>QBCC</w:t>
            </w:r>
          </w:p>
        </w:tc>
      </w:tr>
      <w:tr w:rsidR="008B1BA7" w:rsidRPr="00703A0B" w14:paraId="23282BDA" w14:textId="77777777" w:rsidTr="001C3235">
        <w:trPr>
          <w:jc w:val="center"/>
        </w:trPr>
        <w:tc>
          <w:tcPr>
            <w:tcW w:w="2184" w:type="dxa"/>
            <w:gridSpan w:val="2"/>
            <w:tcBorders>
              <w:top w:val="single" w:sz="4" w:space="0" w:color="auto"/>
              <w:left w:val="single" w:sz="4" w:space="0" w:color="auto"/>
              <w:bottom w:val="single" w:sz="4" w:space="0" w:color="auto"/>
              <w:right w:val="single" w:sz="4" w:space="0" w:color="auto"/>
            </w:tcBorders>
            <w:hideMark/>
          </w:tcPr>
          <w:p w14:paraId="1F2306F6" w14:textId="77777777" w:rsidR="008B1BA7" w:rsidRPr="00703A0B" w:rsidRDefault="008B1BA7">
            <w:pPr>
              <w:contextualSpacing/>
              <w:rPr>
                <w:rFonts w:cs="Arial"/>
                <w:szCs w:val="22"/>
              </w:rPr>
            </w:pPr>
            <w:r w:rsidRPr="00703A0B">
              <w:rPr>
                <w:rFonts w:cs="Arial"/>
                <w:szCs w:val="22"/>
              </w:rPr>
              <w:t>Financial reporting</w:t>
            </w:r>
          </w:p>
        </w:tc>
        <w:tc>
          <w:tcPr>
            <w:tcW w:w="8306" w:type="dxa"/>
            <w:gridSpan w:val="5"/>
            <w:tcBorders>
              <w:top w:val="single" w:sz="4" w:space="0" w:color="auto"/>
              <w:left w:val="single" w:sz="4" w:space="0" w:color="auto"/>
              <w:bottom w:val="single" w:sz="4" w:space="0" w:color="auto"/>
              <w:right w:val="single" w:sz="4" w:space="0" w:color="auto"/>
            </w:tcBorders>
            <w:hideMark/>
          </w:tcPr>
          <w:p w14:paraId="1DCED759" w14:textId="0415526F" w:rsidR="008B1BA7" w:rsidRPr="00703A0B" w:rsidRDefault="008B1BA7">
            <w:pPr>
              <w:contextualSpacing/>
              <w:rPr>
                <w:rFonts w:cs="Arial"/>
                <w:szCs w:val="22"/>
              </w:rPr>
            </w:pPr>
            <w:r w:rsidRPr="00703A0B">
              <w:rPr>
                <w:rFonts w:cs="Arial"/>
                <w:szCs w:val="22"/>
              </w:rPr>
              <w:t>Transactions of the QBCC and the QBC Employing Office are accounted for in the Financial Statements</w:t>
            </w:r>
            <w:r w:rsidR="00AB077E" w:rsidRPr="00703A0B">
              <w:rPr>
                <w:rFonts w:cs="Arial"/>
                <w:szCs w:val="22"/>
              </w:rPr>
              <w:t>.</w:t>
            </w:r>
          </w:p>
        </w:tc>
      </w:tr>
      <w:tr w:rsidR="008B1BA7" w:rsidRPr="00703A0B" w14:paraId="12D22820" w14:textId="77777777" w:rsidTr="001C3235">
        <w:trPr>
          <w:jc w:val="center"/>
        </w:trPr>
        <w:tc>
          <w:tcPr>
            <w:tcW w:w="1049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271EB7" w14:textId="77777777" w:rsidR="008B1BA7" w:rsidRPr="00703A0B" w:rsidRDefault="008B1BA7">
            <w:pPr>
              <w:contextualSpacing/>
              <w:rPr>
                <w:rFonts w:cs="Arial"/>
                <w:szCs w:val="22"/>
              </w:rPr>
            </w:pPr>
            <w:r w:rsidRPr="00703A0B">
              <w:rPr>
                <w:rFonts w:cs="Arial"/>
                <w:b/>
                <w:szCs w:val="22"/>
              </w:rPr>
              <w:t>Remuneration</w:t>
            </w:r>
            <w:r w:rsidRPr="00703A0B">
              <w:rPr>
                <w:rFonts w:cs="Arial"/>
                <w:szCs w:val="22"/>
              </w:rPr>
              <w:t xml:space="preserve"> </w:t>
            </w:r>
          </w:p>
        </w:tc>
      </w:tr>
      <w:tr w:rsidR="008B1BA7" w:rsidRPr="00703A0B" w14:paraId="785A6318" w14:textId="77777777" w:rsidTr="001C3235">
        <w:trPr>
          <w:jc w:val="center"/>
        </w:trPr>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5A1EB5" w14:textId="77777777" w:rsidR="008B1BA7" w:rsidRPr="00703A0B" w:rsidRDefault="008B1BA7" w:rsidP="002E473E">
            <w:pPr>
              <w:contextualSpacing/>
              <w:rPr>
                <w:rFonts w:cs="Arial"/>
                <w:szCs w:val="22"/>
              </w:rPr>
            </w:pPr>
            <w:r w:rsidRPr="00703A0B">
              <w:rPr>
                <w:rFonts w:cs="Arial"/>
                <w:szCs w:val="22"/>
              </w:rPr>
              <w:t xml:space="preserve">Position </w:t>
            </w:r>
          </w:p>
          <w:p w14:paraId="5358B961" w14:textId="77777777" w:rsidR="008B1BA7" w:rsidRPr="00703A0B" w:rsidRDefault="008B1BA7" w:rsidP="002E473E">
            <w:pPr>
              <w:contextualSpacing/>
              <w:rPr>
                <w:rFonts w:cs="Arial"/>
                <w:szCs w:val="22"/>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CC9DDA" w14:textId="77777777" w:rsidR="008B1BA7" w:rsidRPr="00703A0B" w:rsidRDefault="008B1BA7" w:rsidP="002E473E">
            <w:pPr>
              <w:contextualSpacing/>
              <w:rPr>
                <w:rFonts w:cs="Arial"/>
                <w:szCs w:val="22"/>
              </w:rPr>
            </w:pPr>
            <w:r w:rsidRPr="00703A0B">
              <w:rPr>
                <w:rFonts w:cs="Arial"/>
                <w:szCs w:val="22"/>
              </w:rPr>
              <w:t>Name</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D05EFA" w14:textId="2D352997" w:rsidR="008B1BA7" w:rsidRPr="00703A0B" w:rsidRDefault="008B1BA7" w:rsidP="002E473E">
            <w:pPr>
              <w:contextualSpacing/>
              <w:rPr>
                <w:rFonts w:cs="Arial"/>
                <w:szCs w:val="22"/>
              </w:rPr>
            </w:pPr>
            <w:r w:rsidRPr="00703A0B">
              <w:rPr>
                <w:rFonts w:cs="Arial"/>
                <w:szCs w:val="22"/>
              </w:rPr>
              <w:t>Meeting</w:t>
            </w:r>
            <w:r w:rsidR="0017724C" w:rsidRPr="00703A0B">
              <w:rPr>
                <w:rFonts w:cs="Arial"/>
                <w:szCs w:val="22"/>
              </w:rPr>
              <w:t xml:space="preserve"> </w:t>
            </w:r>
            <w:r w:rsidRPr="00703A0B">
              <w:rPr>
                <w:rFonts w:cs="Arial"/>
                <w:szCs w:val="22"/>
              </w:rPr>
              <w:t xml:space="preserve">attendance </w:t>
            </w:r>
          </w:p>
        </w:tc>
        <w:tc>
          <w:tcPr>
            <w:tcW w:w="19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D89229" w14:textId="211951E1" w:rsidR="008B1BA7" w:rsidRPr="00703A0B" w:rsidRDefault="008B1BA7" w:rsidP="002E473E">
            <w:pPr>
              <w:contextualSpacing/>
              <w:rPr>
                <w:rFonts w:cs="Arial"/>
                <w:szCs w:val="22"/>
              </w:rPr>
            </w:pPr>
            <w:r w:rsidRPr="00703A0B">
              <w:rPr>
                <w:rFonts w:cs="Arial"/>
                <w:szCs w:val="22"/>
              </w:rPr>
              <w:t>Approved annual</w:t>
            </w:r>
            <w:r w:rsidR="00C00BF2" w:rsidRPr="00703A0B">
              <w:rPr>
                <w:rFonts w:cs="Arial"/>
                <w:szCs w:val="22"/>
              </w:rPr>
              <w:t xml:space="preserve"> fee</w:t>
            </w:r>
            <w:r w:rsidR="00EF6591" w:rsidRPr="00703A0B">
              <w:rPr>
                <w:rFonts w:cs="Arial"/>
                <w:szCs w:val="22"/>
              </w:rPr>
              <w:t xml:space="preserve"> (e</w:t>
            </w:r>
            <w:r w:rsidR="00D433D2" w:rsidRPr="00703A0B">
              <w:rPr>
                <w:rFonts w:cs="Arial"/>
                <w:szCs w:val="22"/>
              </w:rPr>
              <w:t>xcluding superannuation</w:t>
            </w:r>
            <w:r w:rsidR="0045137E" w:rsidRPr="00703A0B">
              <w:rPr>
                <w:rFonts w:cs="Arial"/>
                <w:szCs w:val="22"/>
              </w:rPr>
              <w:t>)</w:t>
            </w:r>
            <w:r w:rsidRPr="00703A0B">
              <w:rPr>
                <w:rFonts w:cs="Arial"/>
                <w:szCs w:val="22"/>
              </w:rPr>
              <w:t xml:space="preserve"> </w:t>
            </w:r>
            <w:r w:rsidR="0001074F" w:rsidRPr="00703A0B">
              <w:rPr>
                <w:rFonts w:cs="Arial"/>
                <w:szCs w:val="22"/>
              </w:rPr>
              <w:t>($)</w:t>
            </w:r>
          </w:p>
        </w:tc>
        <w:tc>
          <w:tcPr>
            <w:tcW w:w="164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6BF3C1" w14:textId="6366EF11" w:rsidR="008B1BA7" w:rsidRPr="00703A0B" w:rsidRDefault="008B1BA7" w:rsidP="002E473E">
            <w:pPr>
              <w:contextualSpacing/>
              <w:rPr>
                <w:rFonts w:cs="Arial"/>
                <w:szCs w:val="22"/>
              </w:rPr>
            </w:pPr>
            <w:r w:rsidRPr="00703A0B">
              <w:rPr>
                <w:rFonts w:cs="Arial"/>
                <w:szCs w:val="22"/>
              </w:rPr>
              <w:t>Approved sub-committee fee</w:t>
            </w:r>
            <w:r w:rsidR="00C00BF2" w:rsidRPr="00703A0B">
              <w:rPr>
                <w:rFonts w:cs="Arial"/>
                <w:szCs w:val="22"/>
              </w:rPr>
              <w:t>,</w:t>
            </w:r>
            <w:r w:rsidRPr="00703A0B">
              <w:rPr>
                <w:rFonts w:cs="Arial"/>
                <w:szCs w:val="22"/>
              </w:rPr>
              <w:t xml:space="preserve"> if applicable</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730A2F" w14:textId="7E666D53" w:rsidR="008B1BA7" w:rsidRPr="00703A0B" w:rsidRDefault="008B1BA7" w:rsidP="002E473E">
            <w:pPr>
              <w:contextualSpacing/>
              <w:rPr>
                <w:rFonts w:cs="Arial"/>
                <w:szCs w:val="22"/>
              </w:rPr>
            </w:pPr>
            <w:r w:rsidRPr="00703A0B">
              <w:rPr>
                <w:rFonts w:cs="Arial"/>
                <w:szCs w:val="22"/>
              </w:rPr>
              <w:t>Actual fees received</w:t>
            </w:r>
            <w:r w:rsidR="0005107C" w:rsidRPr="00703A0B">
              <w:rPr>
                <w:rFonts w:cs="Arial"/>
                <w:szCs w:val="22"/>
              </w:rPr>
              <w:t xml:space="preserve"> </w:t>
            </w:r>
            <w:r w:rsidR="00F80F90" w:rsidRPr="00703A0B">
              <w:rPr>
                <w:rFonts w:cs="Arial"/>
                <w:szCs w:val="22"/>
              </w:rPr>
              <w:t>(include superannuation)</w:t>
            </w:r>
            <w:r w:rsidR="0001074F" w:rsidRPr="00703A0B">
              <w:rPr>
                <w:rFonts w:cs="Arial"/>
                <w:szCs w:val="22"/>
              </w:rPr>
              <w:t xml:space="preserve"> ($)</w:t>
            </w:r>
            <w:r w:rsidR="0005107C" w:rsidRPr="00703A0B">
              <w:rPr>
                <w:rFonts w:cs="Arial"/>
                <w:szCs w:val="22"/>
              </w:rPr>
              <w:t xml:space="preserve"> </w:t>
            </w:r>
            <w:r w:rsidRPr="00703A0B">
              <w:rPr>
                <w:rFonts w:cs="Arial"/>
                <w:szCs w:val="22"/>
              </w:rPr>
              <w:t xml:space="preserve"> </w:t>
            </w:r>
          </w:p>
        </w:tc>
      </w:tr>
      <w:tr w:rsidR="00E76AD3" w:rsidRPr="00703A0B" w14:paraId="01132C77" w14:textId="77777777" w:rsidTr="001C3235">
        <w:trPr>
          <w:jc w:val="center"/>
        </w:trPr>
        <w:tc>
          <w:tcPr>
            <w:tcW w:w="1418" w:type="dxa"/>
            <w:tcBorders>
              <w:top w:val="single" w:sz="4" w:space="0" w:color="auto"/>
              <w:left w:val="single" w:sz="4" w:space="0" w:color="auto"/>
              <w:bottom w:val="single" w:sz="4" w:space="0" w:color="auto"/>
              <w:right w:val="single" w:sz="4" w:space="0" w:color="auto"/>
            </w:tcBorders>
          </w:tcPr>
          <w:p w14:paraId="6FC5B262" w14:textId="300BB638" w:rsidR="00E76AD3" w:rsidRPr="00703A0B" w:rsidRDefault="00E76AD3" w:rsidP="00E76AD3">
            <w:pPr>
              <w:contextualSpacing/>
              <w:rPr>
                <w:rFonts w:cs="Arial"/>
                <w:szCs w:val="22"/>
              </w:rPr>
            </w:pPr>
            <w:r w:rsidRPr="00703A0B">
              <w:rPr>
                <w:rFonts w:cs="Arial"/>
                <w:szCs w:val="22"/>
              </w:rPr>
              <w:t>Chair</w:t>
            </w:r>
          </w:p>
        </w:tc>
        <w:tc>
          <w:tcPr>
            <w:tcW w:w="1701" w:type="dxa"/>
            <w:gridSpan w:val="2"/>
            <w:tcBorders>
              <w:top w:val="single" w:sz="4" w:space="0" w:color="auto"/>
              <w:left w:val="single" w:sz="4" w:space="0" w:color="auto"/>
              <w:bottom w:val="single" w:sz="4" w:space="0" w:color="auto"/>
              <w:right w:val="single" w:sz="4" w:space="0" w:color="auto"/>
            </w:tcBorders>
          </w:tcPr>
          <w:p w14:paraId="0367B4BE" w14:textId="77777777" w:rsidR="00E76AD3" w:rsidRPr="00703A0B" w:rsidRDefault="00E76AD3" w:rsidP="00E76AD3">
            <w:pPr>
              <w:contextualSpacing/>
              <w:rPr>
                <w:rFonts w:cs="Arial"/>
                <w:szCs w:val="22"/>
              </w:rPr>
            </w:pPr>
            <w:r w:rsidRPr="00703A0B">
              <w:rPr>
                <w:rFonts w:cs="Arial"/>
                <w:szCs w:val="22"/>
              </w:rPr>
              <w:t>Greg Chemello</w:t>
            </w:r>
          </w:p>
          <w:p w14:paraId="2C41CFF0" w14:textId="6E113061" w:rsidR="00DF402E" w:rsidRPr="00703A0B" w:rsidRDefault="00DF402E" w:rsidP="00DF402E">
            <w:pPr>
              <w:contextualSpacing/>
              <w:rPr>
                <w:rFonts w:cs="Arial"/>
                <w:szCs w:val="22"/>
              </w:rPr>
            </w:pPr>
          </w:p>
          <w:p w14:paraId="091566AF" w14:textId="372691E8" w:rsidR="00DF402E" w:rsidRPr="00703A0B" w:rsidRDefault="00DF402E" w:rsidP="00DF402E">
            <w:pPr>
              <w:contextualSpacing/>
              <w:rPr>
                <w:rFonts w:cs="Arial"/>
                <w:i/>
                <w:iCs/>
                <w:szCs w:val="22"/>
              </w:rPr>
            </w:pPr>
            <w:r w:rsidRPr="00703A0B">
              <w:rPr>
                <w:rFonts w:cs="Arial"/>
                <w:i/>
                <w:iCs/>
                <w:szCs w:val="22"/>
              </w:rPr>
              <w:t>Appointed</w:t>
            </w:r>
            <w:r w:rsidR="00CC546A" w:rsidRPr="00703A0B">
              <w:rPr>
                <w:rFonts w:cs="Arial"/>
                <w:i/>
                <w:iCs/>
                <w:szCs w:val="22"/>
              </w:rPr>
              <w:t xml:space="preserve"> on</w:t>
            </w:r>
          </w:p>
          <w:p w14:paraId="0E595982" w14:textId="558A7417" w:rsidR="00DF402E" w:rsidRPr="00703A0B" w:rsidRDefault="00AF5BFC" w:rsidP="00DF402E">
            <w:pPr>
              <w:contextualSpacing/>
              <w:rPr>
                <w:rFonts w:cs="Arial"/>
                <w:szCs w:val="22"/>
              </w:rPr>
            </w:pPr>
            <w:r w:rsidRPr="00703A0B">
              <w:rPr>
                <w:rFonts w:cs="Arial"/>
                <w:i/>
                <w:iCs/>
                <w:szCs w:val="22"/>
              </w:rPr>
              <w:t>17 April 2025</w:t>
            </w:r>
          </w:p>
        </w:tc>
        <w:tc>
          <w:tcPr>
            <w:tcW w:w="1985" w:type="dxa"/>
            <w:tcBorders>
              <w:top w:val="single" w:sz="4" w:space="0" w:color="auto"/>
              <w:left w:val="single" w:sz="4" w:space="0" w:color="auto"/>
              <w:bottom w:val="single" w:sz="4" w:space="0" w:color="auto"/>
              <w:right w:val="single" w:sz="4" w:space="0" w:color="auto"/>
            </w:tcBorders>
          </w:tcPr>
          <w:p w14:paraId="1A7723B6" w14:textId="6ECA34F5" w:rsidR="00E76AD3" w:rsidRPr="00703A0B" w:rsidRDefault="00E76AD3" w:rsidP="00E76AD3">
            <w:pPr>
              <w:contextualSpacing/>
              <w:rPr>
                <w:rFonts w:cs="Arial"/>
                <w:szCs w:val="22"/>
              </w:rPr>
            </w:pPr>
            <w:r w:rsidRPr="00703A0B">
              <w:rPr>
                <w:rFonts w:cs="Arial"/>
                <w:szCs w:val="22"/>
              </w:rPr>
              <w:t xml:space="preserve">Board: </w:t>
            </w:r>
            <w:r w:rsidR="00DC5FE7" w:rsidRPr="00703A0B">
              <w:rPr>
                <w:rFonts w:cs="Arial"/>
                <w:szCs w:val="22"/>
              </w:rPr>
              <w:t>9</w:t>
            </w:r>
          </w:p>
          <w:p w14:paraId="14CB861A" w14:textId="0E01330E" w:rsidR="00E76AD3" w:rsidRPr="00703A0B" w:rsidRDefault="00E76AD3" w:rsidP="00EB021B">
            <w:pPr>
              <w:contextualSpacing/>
              <w:rPr>
                <w:rFonts w:cs="Arial"/>
                <w:szCs w:val="22"/>
              </w:rPr>
            </w:pPr>
            <w:r w:rsidRPr="00703A0B">
              <w:rPr>
                <w:rFonts w:cs="Arial"/>
                <w:szCs w:val="22"/>
              </w:rPr>
              <w:t xml:space="preserve">PCP: </w:t>
            </w:r>
            <w:r w:rsidR="00DC5FE7" w:rsidRPr="00703A0B">
              <w:rPr>
                <w:rFonts w:cs="Arial"/>
                <w:szCs w:val="22"/>
              </w:rPr>
              <w:t>4</w:t>
            </w:r>
          </w:p>
        </w:tc>
        <w:tc>
          <w:tcPr>
            <w:tcW w:w="1902" w:type="dxa"/>
            <w:tcBorders>
              <w:top w:val="single" w:sz="4" w:space="0" w:color="auto"/>
              <w:left w:val="single" w:sz="4" w:space="0" w:color="auto"/>
              <w:bottom w:val="single" w:sz="4" w:space="0" w:color="auto"/>
              <w:right w:val="single" w:sz="4" w:space="0" w:color="auto"/>
            </w:tcBorders>
          </w:tcPr>
          <w:p w14:paraId="5EE45DEC" w14:textId="23C0752B" w:rsidR="00E76AD3" w:rsidRPr="00703A0B" w:rsidRDefault="00186AF6" w:rsidP="00E76AD3">
            <w:pPr>
              <w:contextualSpacing/>
              <w:rPr>
                <w:rFonts w:cs="Arial"/>
                <w:szCs w:val="22"/>
              </w:rPr>
            </w:pPr>
            <w:r w:rsidRPr="00703A0B">
              <w:rPr>
                <w:rFonts w:cs="Arial"/>
                <w:bCs/>
                <w:szCs w:val="22"/>
              </w:rPr>
              <w:t>70,000</w:t>
            </w:r>
          </w:p>
        </w:tc>
        <w:tc>
          <w:tcPr>
            <w:tcW w:w="1641" w:type="dxa"/>
            <w:tcBorders>
              <w:top w:val="single" w:sz="4" w:space="0" w:color="auto"/>
              <w:left w:val="single" w:sz="4" w:space="0" w:color="auto"/>
              <w:bottom w:val="single" w:sz="4" w:space="0" w:color="auto"/>
              <w:right w:val="single" w:sz="4" w:space="0" w:color="auto"/>
            </w:tcBorders>
          </w:tcPr>
          <w:p w14:paraId="79F415B3" w14:textId="3D02931D" w:rsidR="00E76AD3" w:rsidRPr="00703A0B" w:rsidRDefault="00186AF6" w:rsidP="00E76AD3">
            <w:pPr>
              <w:contextualSpacing/>
              <w:rPr>
                <w:rFonts w:cs="Arial"/>
                <w:szCs w:val="22"/>
              </w:rPr>
            </w:pPr>
            <w:r w:rsidRPr="00703A0B">
              <w:rPr>
                <w:rFonts w:cs="Arial"/>
                <w:bCs/>
                <w:szCs w:val="22"/>
              </w:rPr>
              <w:t>3,500</w:t>
            </w:r>
          </w:p>
        </w:tc>
        <w:tc>
          <w:tcPr>
            <w:tcW w:w="1843" w:type="dxa"/>
            <w:tcBorders>
              <w:top w:val="single" w:sz="4" w:space="0" w:color="auto"/>
              <w:left w:val="single" w:sz="4" w:space="0" w:color="auto"/>
              <w:bottom w:val="single" w:sz="4" w:space="0" w:color="auto"/>
              <w:right w:val="single" w:sz="4" w:space="0" w:color="auto"/>
            </w:tcBorders>
          </w:tcPr>
          <w:p w14:paraId="23F1749B" w14:textId="0BA81370" w:rsidR="00E76AD3" w:rsidRPr="00703A0B" w:rsidRDefault="00BF47D1" w:rsidP="00E76AD3">
            <w:pPr>
              <w:contextualSpacing/>
              <w:rPr>
                <w:rFonts w:cs="Arial"/>
                <w:szCs w:val="22"/>
              </w:rPr>
            </w:pPr>
            <w:r w:rsidRPr="00703A0B">
              <w:rPr>
                <w:rFonts w:cs="Arial"/>
                <w:bCs/>
                <w:szCs w:val="22"/>
              </w:rPr>
              <w:t>72,000</w:t>
            </w:r>
          </w:p>
        </w:tc>
      </w:tr>
      <w:tr w:rsidR="0099545D" w:rsidRPr="00703A0B" w14:paraId="7EC39889" w14:textId="77777777" w:rsidTr="001C3235">
        <w:trPr>
          <w:jc w:val="center"/>
        </w:trPr>
        <w:tc>
          <w:tcPr>
            <w:tcW w:w="1418" w:type="dxa"/>
            <w:tcBorders>
              <w:top w:val="single" w:sz="4" w:space="0" w:color="auto"/>
              <w:left w:val="single" w:sz="4" w:space="0" w:color="auto"/>
              <w:bottom w:val="single" w:sz="4" w:space="0" w:color="auto"/>
              <w:right w:val="single" w:sz="4" w:space="0" w:color="auto"/>
            </w:tcBorders>
          </w:tcPr>
          <w:p w14:paraId="28575867" w14:textId="3218418A" w:rsidR="0099545D" w:rsidRPr="00703A0B" w:rsidRDefault="00795886" w:rsidP="00E76AD3">
            <w:pPr>
              <w:contextualSpacing/>
              <w:rPr>
                <w:rFonts w:cs="Arial"/>
                <w:szCs w:val="22"/>
              </w:rPr>
            </w:pPr>
            <w:r w:rsidRPr="00703A0B">
              <w:rPr>
                <w:rFonts w:cs="Arial"/>
                <w:szCs w:val="22"/>
              </w:rPr>
              <w:t xml:space="preserve">Deputy Chair </w:t>
            </w:r>
          </w:p>
        </w:tc>
        <w:tc>
          <w:tcPr>
            <w:tcW w:w="1701" w:type="dxa"/>
            <w:gridSpan w:val="2"/>
            <w:tcBorders>
              <w:top w:val="single" w:sz="4" w:space="0" w:color="auto"/>
              <w:left w:val="single" w:sz="4" w:space="0" w:color="auto"/>
              <w:bottom w:val="single" w:sz="4" w:space="0" w:color="auto"/>
              <w:right w:val="single" w:sz="4" w:space="0" w:color="auto"/>
            </w:tcBorders>
          </w:tcPr>
          <w:p w14:paraId="7FD2CEB0" w14:textId="77777777" w:rsidR="0099545D" w:rsidRPr="00703A0B" w:rsidRDefault="00795886" w:rsidP="00E76AD3">
            <w:pPr>
              <w:contextualSpacing/>
              <w:rPr>
                <w:rFonts w:cs="Arial"/>
                <w:szCs w:val="22"/>
              </w:rPr>
            </w:pPr>
            <w:r w:rsidRPr="00703A0B">
              <w:rPr>
                <w:rFonts w:cs="Arial"/>
                <w:szCs w:val="22"/>
              </w:rPr>
              <w:t>Debra Robinson</w:t>
            </w:r>
          </w:p>
          <w:p w14:paraId="35EF9F8E" w14:textId="77777777" w:rsidR="0057249A" w:rsidRPr="00703A0B" w:rsidRDefault="0057249A" w:rsidP="00E76AD3">
            <w:pPr>
              <w:contextualSpacing/>
              <w:rPr>
                <w:rFonts w:cs="Arial"/>
                <w:szCs w:val="22"/>
              </w:rPr>
            </w:pPr>
          </w:p>
          <w:p w14:paraId="5F88189F" w14:textId="77777777" w:rsidR="0057249A" w:rsidRPr="00703A0B" w:rsidRDefault="0057249A" w:rsidP="0057249A">
            <w:pPr>
              <w:contextualSpacing/>
              <w:rPr>
                <w:rFonts w:cs="Arial"/>
                <w:i/>
                <w:iCs/>
                <w:szCs w:val="22"/>
              </w:rPr>
            </w:pPr>
            <w:r w:rsidRPr="00703A0B">
              <w:rPr>
                <w:rFonts w:cs="Arial"/>
                <w:i/>
                <w:iCs/>
                <w:szCs w:val="22"/>
              </w:rPr>
              <w:t>Appointed on</w:t>
            </w:r>
          </w:p>
          <w:p w14:paraId="39E7399D" w14:textId="0CBFC107" w:rsidR="0057249A" w:rsidRPr="00703A0B" w:rsidRDefault="006157B4" w:rsidP="0057249A">
            <w:pPr>
              <w:contextualSpacing/>
              <w:rPr>
                <w:rFonts w:cs="Arial"/>
                <w:szCs w:val="22"/>
              </w:rPr>
            </w:pPr>
            <w:r w:rsidRPr="00703A0B">
              <w:rPr>
                <w:rFonts w:cs="Arial"/>
                <w:i/>
                <w:iCs/>
                <w:szCs w:val="22"/>
              </w:rPr>
              <w:t>1 December 2025</w:t>
            </w:r>
          </w:p>
        </w:tc>
        <w:tc>
          <w:tcPr>
            <w:tcW w:w="1985" w:type="dxa"/>
            <w:tcBorders>
              <w:top w:val="single" w:sz="4" w:space="0" w:color="auto"/>
              <w:left w:val="single" w:sz="4" w:space="0" w:color="auto"/>
              <w:bottom w:val="single" w:sz="4" w:space="0" w:color="auto"/>
              <w:right w:val="single" w:sz="4" w:space="0" w:color="auto"/>
            </w:tcBorders>
          </w:tcPr>
          <w:p w14:paraId="4AE5957E" w14:textId="26D2A5AA" w:rsidR="00412F72" w:rsidRPr="00703A0B" w:rsidRDefault="00412F72" w:rsidP="00412F72">
            <w:pPr>
              <w:contextualSpacing/>
              <w:rPr>
                <w:rFonts w:cs="Arial"/>
                <w:bCs/>
                <w:szCs w:val="22"/>
              </w:rPr>
            </w:pPr>
            <w:r w:rsidRPr="00703A0B">
              <w:rPr>
                <w:rFonts w:cs="Arial"/>
                <w:bCs/>
                <w:szCs w:val="22"/>
              </w:rPr>
              <w:lastRenderedPageBreak/>
              <w:t>Board: 4</w:t>
            </w:r>
          </w:p>
          <w:p w14:paraId="769A1FD6" w14:textId="64A4D20C" w:rsidR="0099545D" w:rsidRPr="00703A0B" w:rsidRDefault="00412F72" w:rsidP="00412F72">
            <w:pPr>
              <w:contextualSpacing/>
              <w:rPr>
                <w:rFonts w:cs="Arial"/>
                <w:szCs w:val="22"/>
              </w:rPr>
            </w:pPr>
            <w:r w:rsidRPr="00703A0B">
              <w:rPr>
                <w:rFonts w:cs="Arial"/>
                <w:bCs/>
                <w:szCs w:val="22"/>
              </w:rPr>
              <w:t>PCP: 2</w:t>
            </w:r>
          </w:p>
        </w:tc>
        <w:tc>
          <w:tcPr>
            <w:tcW w:w="1902" w:type="dxa"/>
            <w:tcBorders>
              <w:top w:val="single" w:sz="4" w:space="0" w:color="auto"/>
              <w:left w:val="single" w:sz="4" w:space="0" w:color="auto"/>
              <w:bottom w:val="single" w:sz="4" w:space="0" w:color="auto"/>
              <w:right w:val="single" w:sz="4" w:space="0" w:color="auto"/>
            </w:tcBorders>
          </w:tcPr>
          <w:p w14:paraId="11C452DA" w14:textId="7A2A3456" w:rsidR="0099545D" w:rsidRPr="00703A0B" w:rsidRDefault="00EF6591" w:rsidP="002517DD">
            <w:pPr>
              <w:contextualSpacing/>
              <w:rPr>
                <w:rFonts w:cs="Arial"/>
                <w:szCs w:val="22"/>
              </w:rPr>
            </w:pPr>
            <w:r w:rsidRPr="00703A0B">
              <w:rPr>
                <w:rFonts w:cs="Arial"/>
                <w:bCs/>
                <w:szCs w:val="22"/>
              </w:rPr>
              <w:t>37,000</w:t>
            </w:r>
          </w:p>
        </w:tc>
        <w:tc>
          <w:tcPr>
            <w:tcW w:w="1641" w:type="dxa"/>
            <w:tcBorders>
              <w:top w:val="single" w:sz="4" w:space="0" w:color="auto"/>
              <w:left w:val="single" w:sz="4" w:space="0" w:color="auto"/>
              <w:bottom w:val="single" w:sz="4" w:space="0" w:color="auto"/>
              <w:right w:val="single" w:sz="4" w:space="0" w:color="auto"/>
            </w:tcBorders>
          </w:tcPr>
          <w:p w14:paraId="33AB1D48" w14:textId="4026AF51" w:rsidR="0099545D" w:rsidRPr="00703A0B" w:rsidRDefault="00EF6591" w:rsidP="00E76AD3">
            <w:pPr>
              <w:contextualSpacing/>
              <w:rPr>
                <w:rFonts w:cs="Arial"/>
                <w:szCs w:val="22"/>
              </w:rPr>
            </w:pPr>
            <w:r w:rsidRPr="00703A0B">
              <w:rPr>
                <w:rFonts w:cs="Arial"/>
                <w:bCs/>
                <w:szCs w:val="22"/>
              </w:rPr>
              <w:t>2,500</w:t>
            </w:r>
          </w:p>
        </w:tc>
        <w:tc>
          <w:tcPr>
            <w:tcW w:w="1843" w:type="dxa"/>
            <w:tcBorders>
              <w:top w:val="single" w:sz="4" w:space="0" w:color="auto"/>
              <w:left w:val="single" w:sz="4" w:space="0" w:color="auto"/>
              <w:bottom w:val="single" w:sz="4" w:space="0" w:color="auto"/>
              <w:right w:val="single" w:sz="4" w:space="0" w:color="auto"/>
            </w:tcBorders>
          </w:tcPr>
          <w:p w14:paraId="468F33D0" w14:textId="49FE560D" w:rsidR="0099545D" w:rsidRPr="00703A0B" w:rsidRDefault="00BF47D1" w:rsidP="002517DD">
            <w:pPr>
              <w:contextualSpacing/>
              <w:rPr>
                <w:rFonts w:cs="Arial"/>
              </w:rPr>
            </w:pPr>
            <w:r w:rsidRPr="00703A0B">
              <w:rPr>
                <w:rFonts w:cs="Arial"/>
                <w:bCs/>
                <w:szCs w:val="22"/>
              </w:rPr>
              <w:t>26,000</w:t>
            </w:r>
          </w:p>
        </w:tc>
      </w:tr>
      <w:tr w:rsidR="00071C30" w:rsidRPr="00703A0B" w14:paraId="6B3AC3DF" w14:textId="77777777" w:rsidTr="001C3235">
        <w:trPr>
          <w:jc w:val="center"/>
        </w:trPr>
        <w:tc>
          <w:tcPr>
            <w:tcW w:w="1418" w:type="dxa"/>
            <w:tcBorders>
              <w:top w:val="single" w:sz="4" w:space="0" w:color="auto"/>
              <w:left w:val="single" w:sz="4" w:space="0" w:color="auto"/>
              <w:bottom w:val="single" w:sz="4" w:space="0" w:color="auto"/>
              <w:right w:val="single" w:sz="4" w:space="0" w:color="auto"/>
            </w:tcBorders>
          </w:tcPr>
          <w:p w14:paraId="6E4CCC18" w14:textId="1D19497E" w:rsidR="00071C30" w:rsidRPr="00703A0B" w:rsidRDefault="00071C30" w:rsidP="00071C30">
            <w:pPr>
              <w:contextualSpacing/>
              <w:rPr>
                <w:rFonts w:cs="Arial"/>
                <w:szCs w:val="22"/>
              </w:rPr>
            </w:pPr>
            <w:r w:rsidRPr="00703A0B">
              <w:rPr>
                <w:rFonts w:cs="Arial"/>
                <w:szCs w:val="22"/>
              </w:rPr>
              <w:t>Member</w:t>
            </w:r>
          </w:p>
        </w:tc>
        <w:tc>
          <w:tcPr>
            <w:tcW w:w="1701" w:type="dxa"/>
            <w:gridSpan w:val="2"/>
            <w:tcBorders>
              <w:top w:val="single" w:sz="4" w:space="0" w:color="auto"/>
              <w:left w:val="single" w:sz="4" w:space="0" w:color="auto"/>
              <w:bottom w:val="single" w:sz="4" w:space="0" w:color="auto"/>
              <w:right w:val="single" w:sz="4" w:space="0" w:color="auto"/>
            </w:tcBorders>
          </w:tcPr>
          <w:p w14:paraId="273D4AE4" w14:textId="77777777" w:rsidR="00071C30" w:rsidRPr="00703A0B" w:rsidRDefault="00071C30" w:rsidP="00071C30">
            <w:pPr>
              <w:contextualSpacing/>
              <w:rPr>
                <w:rFonts w:cs="Arial"/>
                <w:szCs w:val="22"/>
              </w:rPr>
            </w:pPr>
            <w:r w:rsidRPr="00703A0B">
              <w:rPr>
                <w:rFonts w:cs="Arial"/>
                <w:szCs w:val="22"/>
              </w:rPr>
              <w:t>Amelia Hodge</w:t>
            </w:r>
          </w:p>
          <w:p w14:paraId="40F367B9" w14:textId="77777777" w:rsidR="0057249A" w:rsidRPr="00703A0B" w:rsidRDefault="0057249A" w:rsidP="00071C30">
            <w:pPr>
              <w:contextualSpacing/>
              <w:rPr>
                <w:rFonts w:cs="Arial"/>
                <w:szCs w:val="22"/>
              </w:rPr>
            </w:pPr>
          </w:p>
          <w:p w14:paraId="7C2B84B9" w14:textId="77777777" w:rsidR="0057249A" w:rsidRPr="00703A0B" w:rsidRDefault="0057249A" w:rsidP="0057249A">
            <w:pPr>
              <w:contextualSpacing/>
              <w:rPr>
                <w:rFonts w:cs="Arial"/>
                <w:i/>
                <w:iCs/>
                <w:szCs w:val="22"/>
              </w:rPr>
            </w:pPr>
            <w:r w:rsidRPr="00703A0B">
              <w:rPr>
                <w:rFonts w:cs="Arial"/>
                <w:i/>
                <w:iCs/>
                <w:szCs w:val="22"/>
              </w:rPr>
              <w:t>Appointed on</w:t>
            </w:r>
          </w:p>
          <w:p w14:paraId="133EB633" w14:textId="258C5C62" w:rsidR="0057249A" w:rsidRPr="00703A0B" w:rsidRDefault="00AF5BFC" w:rsidP="0057249A">
            <w:pPr>
              <w:contextualSpacing/>
              <w:rPr>
                <w:rFonts w:cs="Arial"/>
                <w:szCs w:val="22"/>
              </w:rPr>
            </w:pPr>
            <w:r w:rsidRPr="00703A0B">
              <w:rPr>
                <w:rFonts w:cs="Arial"/>
                <w:i/>
                <w:iCs/>
                <w:szCs w:val="22"/>
              </w:rPr>
              <w:t>17 April 2025</w:t>
            </w:r>
          </w:p>
        </w:tc>
        <w:tc>
          <w:tcPr>
            <w:tcW w:w="1985" w:type="dxa"/>
            <w:tcBorders>
              <w:top w:val="single" w:sz="4" w:space="0" w:color="auto"/>
              <w:left w:val="single" w:sz="4" w:space="0" w:color="auto"/>
              <w:bottom w:val="single" w:sz="4" w:space="0" w:color="auto"/>
              <w:right w:val="single" w:sz="4" w:space="0" w:color="auto"/>
            </w:tcBorders>
          </w:tcPr>
          <w:p w14:paraId="2024FE28" w14:textId="767D19B0" w:rsidR="00071C30" w:rsidRPr="00703A0B" w:rsidRDefault="00071C30" w:rsidP="00071C30">
            <w:pPr>
              <w:contextualSpacing/>
              <w:rPr>
                <w:rFonts w:cs="Arial"/>
                <w:szCs w:val="22"/>
              </w:rPr>
            </w:pPr>
            <w:r w:rsidRPr="00703A0B">
              <w:rPr>
                <w:rFonts w:cs="Arial"/>
                <w:szCs w:val="22"/>
              </w:rPr>
              <w:t xml:space="preserve">Board: </w:t>
            </w:r>
            <w:r w:rsidR="006C4F71" w:rsidRPr="00703A0B">
              <w:rPr>
                <w:rFonts w:cs="Arial"/>
                <w:szCs w:val="22"/>
              </w:rPr>
              <w:t>9</w:t>
            </w:r>
          </w:p>
          <w:p w14:paraId="42430DD0" w14:textId="77777777" w:rsidR="00C6078E" w:rsidRPr="00703A0B" w:rsidRDefault="00C6078E" w:rsidP="00071C30">
            <w:pPr>
              <w:contextualSpacing/>
              <w:rPr>
                <w:rFonts w:cs="Arial"/>
                <w:szCs w:val="22"/>
              </w:rPr>
            </w:pPr>
            <w:r w:rsidRPr="00703A0B">
              <w:rPr>
                <w:rFonts w:cs="Arial"/>
                <w:szCs w:val="22"/>
              </w:rPr>
              <w:t>FAIR: 4</w:t>
            </w:r>
          </w:p>
          <w:p w14:paraId="67E07CBF" w14:textId="2AB24826" w:rsidR="00071C30" w:rsidRPr="00703A0B" w:rsidRDefault="00071C30" w:rsidP="00071C30">
            <w:pPr>
              <w:contextualSpacing/>
              <w:rPr>
                <w:rFonts w:cs="Arial"/>
                <w:szCs w:val="22"/>
              </w:rPr>
            </w:pPr>
            <w:r w:rsidRPr="00703A0B">
              <w:rPr>
                <w:rFonts w:cs="Arial"/>
                <w:szCs w:val="22"/>
              </w:rPr>
              <w:t xml:space="preserve">PCP: </w:t>
            </w:r>
            <w:r w:rsidR="00C6078E" w:rsidRPr="00703A0B">
              <w:rPr>
                <w:rFonts w:cs="Arial"/>
                <w:szCs w:val="22"/>
              </w:rPr>
              <w:t>1</w:t>
            </w:r>
          </w:p>
        </w:tc>
        <w:tc>
          <w:tcPr>
            <w:tcW w:w="1902" w:type="dxa"/>
            <w:tcBorders>
              <w:top w:val="single" w:sz="4" w:space="0" w:color="auto"/>
              <w:left w:val="single" w:sz="4" w:space="0" w:color="auto"/>
              <w:bottom w:val="single" w:sz="4" w:space="0" w:color="auto"/>
              <w:right w:val="single" w:sz="4" w:space="0" w:color="auto"/>
            </w:tcBorders>
          </w:tcPr>
          <w:p w14:paraId="2A1E8A66" w14:textId="1E796C28" w:rsidR="00071C30" w:rsidRPr="00703A0B" w:rsidRDefault="00EF6591" w:rsidP="00071C30">
            <w:pPr>
              <w:contextualSpacing/>
              <w:rPr>
                <w:rFonts w:cs="Arial"/>
                <w:szCs w:val="22"/>
              </w:rPr>
            </w:pPr>
            <w:r w:rsidRPr="00703A0B">
              <w:rPr>
                <w:rFonts w:cs="Arial"/>
                <w:bCs/>
                <w:szCs w:val="22"/>
              </w:rPr>
              <w:t>37,000</w:t>
            </w:r>
          </w:p>
        </w:tc>
        <w:tc>
          <w:tcPr>
            <w:tcW w:w="1641" w:type="dxa"/>
            <w:tcBorders>
              <w:top w:val="single" w:sz="4" w:space="0" w:color="auto"/>
              <w:left w:val="single" w:sz="4" w:space="0" w:color="auto"/>
              <w:bottom w:val="single" w:sz="4" w:space="0" w:color="auto"/>
              <w:right w:val="single" w:sz="4" w:space="0" w:color="auto"/>
            </w:tcBorders>
          </w:tcPr>
          <w:p w14:paraId="70B02AD1" w14:textId="3337010A" w:rsidR="00071C30" w:rsidRPr="00703A0B" w:rsidRDefault="00EF6591" w:rsidP="00071C30">
            <w:pPr>
              <w:contextualSpacing/>
              <w:rPr>
                <w:rFonts w:cs="Arial"/>
                <w:szCs w:val="22"/>
              </w:rPr>
            </w:pPr>
            <w:r w:rsidRPr="00703A0B">
              <w:rPr>
                <w:rFonts w:cs="Arial"/>
                <w:bCs/>
                <w:szCs w:val="22"/>
              </w:rPr>
              <w:t>2,500</w:t>
            </w:r>
          </w:p>
        </w:tc>
        <w:tc>
          <w:tcPr>
            <w:tcW w:w="1843" w:type="dxa"/>
            <w:tcBorders>
              <w:top w:val="single" w:sz="4" w:space="0" w:color="auto"/>
              <w:left w:val="single" w:sz="4" w:space="0" w:color="auto"/>
              <w:bottom w:val="single" w:sz="4" w:space="0" w:color="auto"/>
              <w:right w:val="single" w:sz="4" w:space="0" w:color="auto"/>
            </w:tcBorders>
          </w:tcPr>
          <w:p w14:paraId="316783DF" w14:textId="3D380A90" w:rsidR="00071C30" w:rsidRPr="00703A0B" w:rsidRDefault="00BF47D1" w:rsidP="00071C30">
            <w:pPr>
              <w:contextualSpacing/>
              <w:rPr>
                <w:rFonts w:cs="Arial"/>
              </w:rPr>
            </w:pPr>
            <w:r w:rsidRPr="00703A0B">
              <w:rPr>
                <w:rFonts w:cs="Arial"/>
                <w:bCs/>
                <w:szCs w:val="22"/>
              </w:rPr>
              <w:t>39,000</w:t>
            </w:r>
          </w:p>
        </w:tc>
      </w:tr>
      <w:tr w:rsidR="00071C30" w:rsidRPr="00703A0B" w14:paraId="7855DC54" w14:textId="77777777" w:rsidTr="001C3235">
        <w:trPr>
          <w:jc w:val="center"/>
        </w:trPr>
        <w:tc>
          <w:tcPr>
            <w:tcW w:w="1418" w:type="dxa"/>
            <w:tcBorders>
              <w:top w:val="single" w:sz="4" w:space="0" w:color="auto"/>
              <w:left w:val="single" w:sz="4" w:space="0" w:color="auto"/>
              <w:bottom w:val="single" w:sz="4" w:space="0" w:color="auto"/>
              <w:right w:val="single" w:sz="4" w:space="0" w:color="auto"/>
            </w:tcBorders>
          </w:tcPr>
          <w:p w14:paraId="49D298B0" w14:textId="60D7EA36" w:rsidR="00071C30" w:rsidRPr="00703A0B" w:rsidRDefault="00071C30" w:rsidP="00071C30">
            <w:pPr>
              <w:contextualSpacing/>
              <w:rPr>
                <w:rFonts w:cs="Arial"/>
                <w:szCs w:val="22"/>
              </w:rPr>
            </w:pPr>
            <w:r w:rsidRPr="00703A0B">
              <w:rPr>
                <w:rFonts w:cs="Arial"/>
                <w:szCs w:val="22"/>
              </w:rPr>
              <w:t>Member</w:t>
            </w:r>
          </w:p>
        </w:tc>
        <w:tc>
          <w:tcPr>
            <w:tcW w:w="1701" w:type="dxa"/>
            <w:gridSpan w:val="2"/>
            <w:tcBorders>
              <w:top w:val="single" w:sz="4" w:space="0" w:color="auto"/>
              <w:left w:val="single" w:sz="4" w:space="0" w:color="auto"/>
              <w:bottom w:val="single" w:sz="4" w:space="0" w:color="auto"/>
              <w:right w:val="single" w:sz="4" w:space="0" w:color="auto"/>
            </w:tcBorders>
          </w:tcPr>
          <w:p w14:paraId="3E67E67E" w14:textId="77777777" w:rsidR="00071C30" w:rsidRPr="00703A0B" w:rsidRDefault="00071C30" w:rsidP="00071C30">
            <w:pPr>
              <w:contextualSpacing/>
              <w:rPr>
                <w:rFonts w:cs="Arial"/>
                <w:szCs w:val="22"/>
              </w:rPr>
            </w:pPr>
            <w:r w:rsidRPr="00703A0B">
              <w:rPr>
                <w:rFonts w:cs="Arial"/>
                <w:szCs w:val="22"/>
              </w:rPr>
              <w:t xml:space="preserve">Sally Noonan </w:t>
            </w:r>
          </w:p>
          <w:p w14:paraId="4EF1DA49" w14:textId="77777777" w:rsidR="001975F3" w:rsidRPr="00703A0B" w:rsidRDefault="001975F3" w:rsidP="00071C30">
            <w:pPr>
              <w:contextualSpacing/>
              <w:rPr>
                <w:rFonts w:cs="Arial"/>
                <w:szCs w:val="22"/>
              </w:rPr>
            </w:pPr>
          </w:p>
          <w:p w14:paraId="71E2756A" w14:textId="77777777" w:rsidR="001975F3" w:rsidRPr="00703A0B" w:rsidRDefault="001975F3" w:rsidP="001975F3">
            <w:pPr>
              <w:contextualSpacing/>
              <w:rPr>
                <w:rFonts w:cs="Arial"/>
                <w:i/>
                <w:iCs/>
                <w:szCs w:val="22"/>
              </w:rPr>
            </w:pPr>
            <w:r w:rsidRPr="00703A0B">
              <w:rPr>
                <w:rFonts w:cs="Arial"/>
                <w:i/>
                <w:iCs/>
                <w:szCs w:val="22"/>
              </w:rPr>
              <w:t>Appointed on</w:t>
            </w:r>
          </w:p>
          <w:p w14:paraId="2F387E84" w14:textId="6F96D4D0" w:rsidR="001975F3" w:rsidRPr="00703A0B" w:rsidRDefault="006157B4" w:rsidP="001975F3">
            <w:pPr>
              <w:contextualSpacing/>
              <w:rPr>
                <w:rFonts w:cs="Arial"/>
                <w:szCs w:val="22"/>
              </w:rPr>
            </w:pPr>
            <w:r w:rsidRPr="00703A0B">
              <w:rPr>
                <w:rFonts w:cs="Arial"/>
                <w:i/>
                <w:iCs/>
                <w:szCs w:val="22"/>
              </w:rPr>
              <w:t>1 December 2025</w:t>
            </w:r>
          </w:p>
        </w:tc>
        <w:tc>
          <w:tcPr>
            <w:tcW w:w="1985" w:type="dxa"/>
            <w:tcBorders>
              <w:top w:val="single" w:sz="4" w:space="0" w:color="auto"/>
              <w:left w:val="single" w:sz="4" w:space="0" w:color="auto"/>
              <w:bottom w:val="single" w:sz="4" w:space="0" w:color="auto"/>
              <w:right w:val="single" w:sz="4" w:space="0" w:color="auto"/>
            </w:tcBorders>
          </w:tcPr>
          <w:p w14:paraId="14BD8F4D" w14:textId="602FB38C" w:rsidR="00920F50" w:rsidRPr="00703A0B" w:rsidRDefault="00920F50" w:rsidP="00920F50">
            <w:pPr>
              <w:contextualSpacing/>
              <w:rPr>
                <w:rFonts w:cs="Arial"/>
                <w:bCs/>
                <w:szCs w:val="22"/>
              </w:rPr>
            </w:pPr>
            <w:r w:rsidRPr="00703A0B">
              <w:rPr>
                <w:rFonts w:cs="Arial"/>
                <w:bCs/>
                <w:szCs w:val="22"/>
              </w:rPr>
              <w:t>Board: 5</w:t>
            </w:r>
          </w:p>
          <w:p w14:paraId="255A5AFB" w14:textId="472F455A" w:rsidR="00071C30" w:rsidRPr="00703A0B" w:rsidRDefault="00920F50" w:rsidP="00920F50">
            <w:pPr>
              <w:contextualSpacing/>
              <w:rPr>
                <w:rFonts w:cs="Arial"/>
                <w:szCs w:val="22"/>
              </w:rPr>
            </w:pPr>
            <w:r w:rsidRPr="00703A0B">
              <w:rPr>
                <w:rFonts w:cs="Arial"/>
                <w:bCs/>
                <w:szCs w:val="22"/>
              </w:rPr>
              <w:t>FAIR: 2</w:t>
            </w:r>
          </w:p>
        </w:tc>
        <w:tc>
          <w:tcPr>
            <w:tcW w:w="1902" w:type="dxa"/>
            <w:tcBorders>
              <w:top w:val="single" w:sz="4" w:space="0" w:color="auto"/>
              <w:left w:val="single" w:sz="4" w:space="0" w:color="auto"/>
              <w:bottom w:val="single" w:sz="4" w:space="0" w:color="auto"/>
              <w:right w:val="single" w:sz="4" w:space="0" w:color="auto"/>
            </w:tcBorders>
          </w:tcPr>
          <w:p w14:paraId="16611E89" w14:textId="2107F6AD" w:rsidR="00071C30" w:rsidRPr="00703A0B" w:rsidRDefault="00EF6591" w:rsidP="00071C30">
            <w:pPr>
              <w:contextualSpacing/>
              <w:rPr>
                <w:rFonts w:cs="Arial"/>
                <w:szCs w:val="22"/>
              </w:rPr>
            </w:pPr>
            <w:r w:rsidRPr="00703A0B">
              <w:rPr>
                <w:rFonts w:cs="Arial"/>
                <w:bCs/>
                <w:szCs w:val="22"/>
              </w:rPr>
              <w:t>37,000</w:t>
            </w:r>
          </w:p>
        </w:tc>
        <w:tc>
          <w:tcPr>
            <w:tcW w:w="1641" w:type="dxa"/>
            <w:tcBorders>
              <w:top w:val="single" w:sz="4" w:space="0" w:color="auto"/>
              <w:left w:val="single" w:sz="4" w:space="0" w:color="auto"/>
              <w:bottom w:val="single" w:sz="4" w:space="0" w:color="auto"/>
              <w:right w:val="single" w:sz="4" w:space="0" w:color="auto"/>
            </w:tcBorders>
          </w:tcPr>
          <w:p w14:paraId="26DD2EF6" w14:textId="498F0524" w:rsidR="00071C30" w:rsidRPr="00703A0B" w:rsidRDefault="00EF6591" w:rsidP="00071C30">
            <w:pPr>
              <w:contextualSpacing/>
              <w:rPr>
                <w:rFonts w:cs="Arial"/>
                <w:szCs w:val="22"/>
              </w:rPr>
            </w:pPr>
            <w:r w:rsidRPr="00703A0B">
              <w:rPr>
                <w:rFonts w:cs="Arial"/>
                <w:bCs/>
                <w:szCs w:val="22"/>
              </w:rPr>
              <w:t>2,500</w:t>
            </w:r>
          </w:p>
        </w:tc>
        <w:tc>
          <w:tcPr>
            <w:tcW w:w="1843" w:type="dxa"/>
            <w:tcBorders>
              <w:top w:val="single" w:sz="4" w:space="0" w:color="auto"/>
              <w:left w:val="single" w:sz="4" w:space="0" w:color="auto"/>
              <w:bottom w:val="single" w:sz="4" w:space="0" w:color="auto"/>
              <w:right w:val="single" w:sz="4" w:space="0" w:color="auto"/>
            </w:tcBorders>
          </w:tcPr>
          <w:p w14:paraId="0E5F47E5" w14:textId="29FA07FC" w:rsidR="00071C30" w:rsidRPr="00703A0B" w:rsidRDefault="00BF47D1" w:rsidP="00071C30">
            <w:pPr>
              <w:contextualSpacing/>
              <w:rPr>
                <w:rFonts w:cs="Arial"/>
              </w:rPr>
            </w:pPr>
            <w:r w:rsidRPr="00703A0B">
              <w:rPr>
                <w:rFonts w:cs="Arial"/>
                <w:bCs/>
                <w:szCs w:val="22"/>
              </w:rPr>
              <w:t>26,000</w:t>
            </w:r>
          </w:p>
        </w:tc>
      </w:tr>
      <w:tr w:rsidR="00071C30" w:rsidRPr="00703A0B" w14:paraId="6B5196F6" w14:textId="77777777" w:rsidTr="001C3235">
        <w:trPr>
          <w:jc w:val="center"/>
        </w:trPr>
        <w:tc>
          <w:tcPr>
            <w:tcW w:w="1418" w:type="dxa"/>
            <w:tcBorders>
              <w:top w:val="single" w:sz="4" w:space="0" w:color="auto"/>
              <w:left w:val="single" w:sz="4" w:space="0" w:color="auto"/>
              <w:bottom w:val="single" w:sz="4" w:space="0" w:color="auto"/>
              <w:right w:val="single" w:sz="4" w:space="0" w:color="auto"/>
            </w:tcBorders>
          </w:tcPr>
          <w:p w14:paraId="43B01E91" w14:textId="3FDD3424" w:rsidR="00071C30" w:rsidRPr="00703A0B" w:rsidRDefault="00AC36D8" w:rsidP="00071C30">
            <w:pPr>
              <w:contextualSpacing/>
              <w:rPr>
                <w:rFonts w:cs="Arial"/>
                <w:szCs w:val="22"/>
              </w:rPr>
            </w:pPr>
            <w:r w:rsidRPr="00703A0B">
              <w:rPr>
                <w:rFonts w:cs="Arial"/>
                <w:szCs w:val="22"/>
              </w:rPr>
              <w:t>Member</w:t>
            </w:r>
          </w:p>
        </w:tc>
        <w:tc>
          <w:tcPr>
            <w:tcW w:w="1701" w:type="dxa"/>
            <w:gridSpan w:val="2"/>
            <w:tcBorders>
              <w:top w:val="single" w:sz="4" w:space="0" w:color="auto"/>
              <w:left w:val="single" w:sz="4" w:space="0" w:color="auto"/>
              <w:bottom w:val="single" w:sz="4" w:space="0" w:color="auto"/>
              <w:right w:val="single" w:sz="4" w:space="0" w:color="auto"/>
            </w:tcBorders>
          </w:tcPr>
          <w:p w14:paraId="47606988" w14:textId="77777777" w:rsidR="00071C30" w:rsidRPr="00703A0B" w:rsidRDefault="00AC36D8" w:rsidP="00071C30">
            <w:pPr>
              <w:contextualSpacing/>
              <w:rPr>
                <w:rFonts w:cs="Arial"/>
                <w:szCs w:val="22"/>
              </w:rPr>
            </w:pPr>
            <w:r w:rsidRPr="00703A0B">
              <w:rPr>
                <w:rFonts w:cs="Arial"/>
                <w:szCs w:val="22"/>
              </w:rPr>
              <w:t xml:space="preserve">Miriam Kent </w:t>
            </w:r>
          </w:p>
          <w:p w14:paraId="74DE4E24" w14:textId="77777777" w:rsidR="001975F3" w:rsidRPr="00703A0B" w:rsidRDefault="001975F3" w:rsidP="00071C30">
            <w:pPr>
              <w:contextualSpacing/>
              <w:rPr>
                <w:rFonts w:cs="Arial"/>
                <w:szCs w:val="22"/>
              </w:rPr>
            </w:pPr>
          </w:p>
          <w:p w14:paraId="3F837173" w14:textId="77777777" w:rsidR="001975F3" w:rsidRPr="00703A0B" w:rsidRDefault="001975F3" w:rsidP="001975F3">
            <w:pPr>
              <w:contextualSpacing/>
              <w:rPr>
                <w:rFonts w:cs="Arial"/>
                <w:i/>
                <w:iCs/>
                <w:szCs w:val="22"/>
              </w:rPr>
            </w:pPr>
            <w:r w:rsidRPr="00703A0B">
              <w:rPr>
                <w:rFonts w:cs="Arial"/>
                <w:i/>
                <w:iCs/>
                <w:szCs w:val="22"/>
              </w:rPr>
              <w:t>Appointed on</w:t>
            </w:r>
          </w:p>
          <w:p w14:paraId="56917C50" w14:textId="58E31350" w:rsidR="001975F3" w:rsidRPr="00703A0B" w:rsidRDefault="006157B4" w:rsidP="001975F3">
            <w:pPr>
              <w:contextualSpacing/>
              <w:rPr>
                <w:rFonts w:cs="Arial"/>
                <w:szCs w:val="22"/>
              </w:rPr>
            </w:pPr>
            <w:r w:rsidRPr="00703A0B">
              <w:rPr>
                <w:rFonts w:cs="Arial"/>
                <w:i/>
                <w:iCs/>
                <w:szCs w:val="22"/>
              </w:rPr>
              <w:t>1 December 2025</w:t>
            </w:r>
          </w:p>
        </w:tc>
        <w:tc>
          <w:tcPr>
            <w:tcW w:w="1985" w:type="dxa"/>
            <w:tcBorders>
              <w:top w:val="single" w:sz="4" w:space="0" w:color="auto"/>
              <w:left w:val="single" w:sz="4" w:space="0" w:color="auto"/>
              <w:bottom w:val="single" w:sz="4" w:space="0" w:color="auto"/>
              <w:right w:val="single" w:sz="4" w:space="0" w:color="auto"/>
            </w:tcBorders>
          </w:tcPr>
          <w:p w14:paraId="12F36F10" w14:textId="0EC51C0F" w:rsidR="00C86D0D" w:rsidRPr="00703A0B" w:rsidRDefault="00C86D0D" w:rsidP="00C86D0D">
            <w:pPr>
              <w:contextualSpacing/>
              <w:rPr>
                <w:rFonts w:cs="Arial"/>
                <w:bCs/>
                <w:szCs w:val="22"/>
              </w:rPr>
            </w:pPr>
            <w:r w:rsidRPr="00703A0B">
              <w:rPr>
                <w:rFonts w:cs="Arial"/>
                <w:bCs/>
                <w:szCs w:val="22"/>
              </w:rPr>
              <w:t>Board: 5</w:t>
            </w:r>
          </w:p>
          <w:p w14:paraId="265AE886" w14:textId="1FF87B93" w:rsidR="00071C30" w:rsidRPr="00703A0B" w:rsidRDefault="00C86D0D" w:rsidP="00C86D0D">
            <w:pPr>
              <w:contextualSpacing/>
              <w:rPr>
                <w:rFonts w:cs="Arial"/>
                <w:szCs w:val="22"/>
              </w:rPr>
            </w:pPr>
            <w:r w:rsidRPr="00703A0B">
              <w:rPr>
                <w:rFonts w:cs="Arial"/>
                <w:bCs/>
                <w:szCs w:val="22"/>
              </w:rPr>
              <w:t>FAIR: 2</w:t>
            </w:r>
          </w:p>
        </w:tc>
        <w:tc>
          <w:tcPr>
            <w:tcW w:w="1902" w:type="dxa"/>
            <w:tcBorders>
              <w:top w:val="single" w:sz="4" w:space="0" w:color="auto"/>
              <w:left w:val="single" w:sz="4" w:space="0" w:color="auto"/>
              <w:bottom w:val="single" w:sz="4" w:space="0" w:color="auto"/>
              <w:right w:val="single" w:sz="4" w:space="0" w:color="auto"/>
            </w:tcBorders>
          </w:tcPr>
          <w:p w14:paraId="08971FE5" w14:textId="3AD22718" w:rsidR="00071C30" w:rsidRPr="00703A0B" w:rsidRDefault="00EF6591" w:rsidP="00071C30">
            <w:pPr>
              <w:contextualSpacing/>
              <w:rPr>
                <w:rFonts w:cs="Arial"/>
                <w:szCs w:val="22"/>
              </w:rPr>
            </w:pPr>
            <w:r w:rsidRPr="00703A0B">
              <w:rPr>
                <w:rFonts w:cs="Arial"/>
                <w:bCs/>
                <w:szCs w:val="22"/>
              </w:rPr>
              <w:t>37,000</w:t>
            </w:r>
          </w:p>
        </w:tc>
        <w:tc>
          <w:tcPr>
            <w:tcW w:w="1641" w:type="dxa"/>
            <w:tcBorders>
              <w:top w:val="single" w:sz="4" w:space="0" w:color="auto"/>
              <w:left w:val="single" w:sz="4" w:space="0" w:color="auto"/>
              <w:bottom w:val="single" w:sz="4" w:space="0" w:color="auto"/>
              <w:right w:val="single" w:sz="4" w:space="0" w:color="auto"/>
            </w:tcBorders>
          </w:tcPr>
          <w:p w14:paraId="28AF450C" w14:textId="2B328DAD" w:rsidR="00071C30" w:rsidRPr="00703A0B" w:rsidRDefault="00EF6591" w:rsidP="00071C30">
            <w:pPr>
              <w:contextualSpacing/>
              <w:rPr>
                <w:rFonts w:cs="Arial"/>
                <w:szCs w:val="22"/>
              </w:rPr>
            </w:pPr>
            <w:r w:rsidRPr="00703A0B">
              <w:rPr>
                <w:rFonts w:cs="Arial"/>
                <w:bCs/>
                <w:szCs w:val="22"/>
              </w:rPr>
              <w:t>2,500</w:t>
            </w:r>
          </w:p>
        </w:tc>
        <w:tc>
          <w:tcPr>
            <w:tcW w:w="1843" w:type="dxa"/>
            <w:tcBorders>
              <w:top w:val="single" w:sz="4" w:space="0" w:color="auto"/>
              <w:left w:val="single" w:sz="4" w:space="0" w:color="auto"/>
              <w:bottom w:val="single" w:sz="4" w:space="0" w:color="auto"/>
              <w:right w:val="single" w:sz="4" w:space="0" w:color="auto"/>
            </w:tcBorders>
          </w:tcPr>
          <w:p w14:paraId="66F8A151" w14:textId="781127EF" w:rsidR="00071C30" w:rsidRPr="00703A0B" w:rsidRDefault="00BF47D1" w:rsidP="00071C30">
            <w:pPr>
              <w:contextualSpacing/>
              <w:rPr>
                <w:rFonts w:cs="Arial"/>
              </w:rPr>
            </w:pPr>
            <w:r w:rsidRPr="00703A0B">
              <w:rPr>
                <w:rFonts w:cs="Arial"/>
                <w:bCs/>
                <w:szCs w:val="22"/>
              </w:rPr>
              <w:t>26,000</w:t>
            </w:r>
          </w:p>
        </w:tc>
      </w:tr>
      <w:tr w:rsidR="00071C30" w:rsidRPr="00703A0B" w14:paraId="63FAE460" w14:textId="77777777" w:rsidTr="001C3235">
        <w:trPr>
          <w:jc w:val="center"/>
        </w:trPr>
        <w:tc>
          <w:tcPr>
            <w:tcW w:w="1418" w:type="dxa"/>
            <w:tcBorders>
              <w:top w:val="single" w:sz="4" w:space="0" w:color="auto"/>
              <w:left w:val="single" w:sz="4" w:space="0" w:color="auto"/>
              <w:bottom w:val="single" w:sz="4" w:space="0" w:color="auto"/>
              <w:right w:val="single" w:sz="4" w:space="0" w:color="auto"/>
            </w:tcBorders>
          </w:tcPr>
          <w:p w14:paraId="1CAC6CFA" w14:textId="045079FD" w:rsidR="00071C30" w:rsidRPr="00703A0B" w:rsidRDefault="00AC36D8" w:rsidP="00071C30">
            <w:pPr>
              <w:contextualSpacing/>
              <w:rPr>
                <w:rFonts w:cs="Arial"/>
                <w:szCs w:val="22"/>
              </w:rPr>
            </w:pPr>
            <w:r w:rsidRPr="00703A0B">
              <w:rPr>
                <w:rFonts w:cs="Arial"/>
                <w:szCs w:val="22"/>
              </w:rPr>
              <w:t>Member</w:t>
            </w:r>
          </w:p>
        </w:tc>
        <w:tc>
          <w:tcPr>
            <w:tcW w:w="1701" w:type="dxa"/>
            <w:gridSpan w:val="2"/>
            <w:tcBorders>
              <w:top w:val="single" w:sz="4" w:space="0" w:color="auto"/>
              <w:left w:val="single" w:sz="4" w:space="0" w:color="auto"/>
              <w:bottom w:val="single" w:sz="4" w:space="0" w:color="auto"/>
              <w:right w:val="single" w:sz="4" w:space="0" w:color="auto"/>
            </w:tcBorders>
          </w:tcPr>
          <w:p w14:paraId="142E6D5A" w14:textId="77777777" w:rsidR="00071C30" w:rsidRPr="00703A0B" w:rsidRDefault="00AC36D8" w:rsidP="00071C30">
            <w:pPr>
              <w:contextualSpacing/>
              <w:rPr>
                <w:rFonts w:cs="Arial"/>
                <w:szCs w:val="22"/>
              </w:rPr>
            </w:pPr>
            <w:r w:rsidRPr="00703A0B">
              <w:rPr>
                <w:rFonts w:cs="Arial"/>
                <w:szCs w:val="22"/>
              </w:rPr>
              <w:t xml:space="preserve">Gerard </w:t>
            </w:r>
            <w:r w:rsidR="004140B5" w:rsidRPr="00703A0B">
              <w:rPr>
                <w:rFonts w:cs="Arial"/>
                <w:szCs w:val="22"/>
              </w:rPr>
              <w:t>Benedet</w:t>
            </w:r>
          </w:p>
          <w:p w14:paraId="7434A7F5" w14:textId="77777777" w:rsidR="001975F3" w:rsidRPr="00703A0B" w:rsidRDefault="001975F3" w:rsidP="00071C30">
            <w:pPr>
              <w:contextualSpacing/>
              <w:rPr>
                <w:rFonts w:cs="Arial"/>
                <w:szCs w:val="22"/>
              </w:rPr>
            </w:pPr>
          </w:p>
          <w:p w14:paraId="1086B649" w14:textId="77777777" w:rsidR="001975F3" w:rsidRPr="00703A0B" w:rsidRDefault="001975F3" w:rsidP="001975F3">
            <w:pPr>
              <w:contextualSpacing/>
              <w:rPr>
                <w:rFonts w:cs="Arial"/>
                <w:i/>
                <w:iCs/>
                <w:szCs w:val="22"/>
              </w:rPr>
            </w:pPr>
            <w:r w:rsidRPr="00703A0B">
              <w:rPr>
                <w:rFonts w:cs="Arial"/>
                <w:i/>
                <w:iCs/>
                <w:szCs w:val="22"/>
              </w:rPr>
              <w:t>Appointed on</w:t>
            </w:r>
          </w:p>
          <w:p w14:paraId="1DDD77E8" w14:textId="34A8BAD9" w:rsidR="001975F3" w:rsidRPr="00703A0B" w:rsidRDefault="006157B4" w:rsidP="001975F3">
            <w:pPr>
              <w:contextualSpacing/>
              <w:rPr>
                <w:rFonts w:cs="Arial"/>
                <w:szCs w:val="22"/>
              </w:rPr>
            </w:pPr>
            <w:r w:rsidRPr="00703A0B">
              <w:rPr>
                <w:rFonts w:cs="Arial"/>
                <w:i/>
                <w:iCs/>
                <w:szCs w:val="22"/>
              </w:rPr>
              <w:t>1 December 2025</w:t>
            </w:r>
          </w:p>
        </w:tc>
        <w:tc>
          <w:tcPr>
            <w:tcW w:w="1985" w:type="dxa"/>
            <w:tcBorders>
              <w:top w:val="single" w:sz="4" w:space="0" w:color="auto"/>
              <w:left w:val="single" w:sz="4" w:space="0" w:color="auto"/>
              <w:bottom w:val="single" w:sz="4" w:space="0" w:color="auto"/>
              <w:right w:val="single" w:sz="4" w:space="0" w:color="auto"/>
            </w:tcBorders>
          </w:tcPr>
          <w:p w14:paraId="18E0A5AA" w14:textId="4D71E40A" w:rsidR="00E43DCA" w:rsidRPr="00703A0B" w:rsidRDefault="00E43DCA" w:rsidP="00E43DCA">
            <w:pPr>
              <w:contextualSpacing/>
              <w:rPr>
                <w:rFonts w:cs="Arial"/>
                <w:bCs/>
                <w:szCs w:val="22"/>
              </w:rPr>
            </w:pPr>
            <w:r w:rsidRPr="00703A0B">
              <w:rPr>
                <w:rFonts w:cs="Arial"/>
                <w:bCs/>
                <w:szCs w:val="22"/>
              </w:rPr>
              <w:t>Board: 5</w:t>
            </w:r>
          </w:p>
          <w:p w14:paraId="544DC4E4" w14:textId="7D4029FE" w:rsidR="00071C30" w:rsidRPr="00703A0B" w:rsidRDefault="00E43DCA" w:rsidP="00E43DCA">
            <w:pPr>
              <w:contextualSpacing/>
              <w:rPr>
                <w:rFonts w:cs="Arial"/>
                <w:szCs w:val="22"/>
              </w:rPr>
            </w:pPr>
            <w:r w:rsidRPr="00703A0B">
              <w:rPr>
                <w:rFonts w:cs="Arial"/>
                <w:bCs/>
                <w:szCs w:val="22"/>
              </w:rPr>
              <w:t>FAIR: 1</w:t>
            </w:r>
          </w:p>
        </w:tc>
        <w:tc>
          <w:tcPr>
            <w:tcW w:w="1902" w:type="dxa"/>
            <w:tcBorders>
              <w:top w:val="single" w:sz="4" w:space="0" w:color="auto"/>
              <w:left w:val="single" w:sz="4" w:space="0" w:color="auto"/>
              <w:bottom w:val="single" w:sz="4" w:space="0" w:color="auto"/>
              <w:right w:val="single" w:sz="4" w:space="0" w:color="auto"/>
            </w:tcBorders>
          </w:tcPr>
          <w:p w14:paraId="46872EDA" w14:textId="25462455" w:rsidR="00071C30" w:rsidRPr="00703A0B" w:rsidRDefault="00EF6591" w:rsidP="00071C30">
            <w:pPr>
              <w:contextualSpacing/>
              <w:rPr>
                <w:rFonts w:cs="Arial"/>
                <w:szCs w:val="22"/>
              </w:rPr>
            </w:pPr>
            <w:r w:rsidRPr="00703A0B">
              <w:rPr>
                <w:rFonts w:cs="Arial"/>
                <w:bCs/>
                <w:szCs w:val="22"/>
              </w:rPr>
              <w:t>37,000</w:t>
            </w:r>
          </w:p>
        </w:tc>
        <w:tc>
          <w:tcPr>
            <w:tcW w:w="1641" w:type="dxa"/>
            <w:tcBorders>
              <w:top w:val="single" w:sz="4" w:space="0" w:color="auto"/>
              <w:left w:val="single" w:sz="4" w:space="0" w:color="auto"/>
              <w:bottom w:val="single" w:sz="4" w:space="0" w:color="auto"/>
              <w:right w:val="single" w:sz="4" w:space="0" w:color="auto"/>
            </w:tcBorders>
          </w:tcPr>
          <w:p w14:paraId="4B1D3ABC" w14:textId="0EEC9C69" w:rsidR="00071C30" w:rsidRPr="00703A0B" w:rsidRDefault="00D433D2" w:rsidP="00071C30">
            <w:pPr>
              <w:contextualSpacing/>
              <w:rPr>
                <w:rFonts w:cs="Arial"/>
                <w:szCs w:val="22"/>
              </w:rPr>
            </w:pPr>
            <w:r w:rsidRPr="00703A0B">
              <w:rPr>
                <w:rFonts w:cs="Arial"/>
                <w:bCs/>
                <w:szCs w:val="22"/>
              </w:rPr>
              <w:t>2,500</w:t>
            </w:r>
          </w:p>
        </w:tc>
        <w:tc>
          <w:tcPr>
            <w:tcW w:w="1843" w:type="dxa"/>
            <w:tcBorders>
              <w:top w:val="single" w:sz="4" w:space="0" w:color="auto"/>
              <w:left w:val="single" w:sz="4" w:space="0" w:color="auto"/>
              <w:bottom w:val="single" w:sz="4" w:space="0" w:color="auto"/>
              <w:right w:val="single" w:sz="4" w:space="0" w:color="auto"/>
            </w:tcBorders>
          </w:tcPr>
          <w:p w14:paraId="3B631A76" w14:textId="4535F06A" w:rsidR="00071C30" w:rsidRPr="00703A0B" w:rsidRDefault="00840D9A" w:rsidP="00071C30">
            <w:pPr>
              <w:contextualSpacing/>
              <w:rPr>
                <w:rFonts w:cs="Arial"/>
              </w:rPr>
            </w:pPr>
            <w:r w:rsidRPr="00703A0B">
              <w:rPr>
                <w:rFonts w:cs="Arial"/>
                <w:bCs/>
                <w:szCs w:val="22"/>
              </w:rPr>
              <w:t>26,000</w:t>
            </w:r>
          </w:p>
        </w:tc>
      </w:tr>
      <w:tr w:rsidR="00071C30" w:rsidRPr="00703A0B" w14:paraId="44954895" w14:textId="77777777" w:rsidTr="001C3235">
        <w:trPr>
          <w:jc w:val="center"/>
        </w:trPr>
        <w:tc>
          <w:tcPr>
            <w:tcW w:w="1418" w:type="dxa"/>
            <w:tcBorders>
              <w:top w:val="single" w:sz="4" w:space="0" w:color="auto"/>
              <w:left w:val="single" w:sz="4" w:space="0" w:color="auto"/>
              <w:bottom w:val="single" w:sz="4" w:space="0" w:color="auto"/>
              <w:right w:val="single" w:sz="4" w:space="0" w:color="auto"/>
            </w:tcBorders>
          </w:tcPr>
          <w:p w14:paraId="110C4295" w14:textId="3F6282A9" w:rsidR="00071C30" w:rsidRPr="00703A0B" w:rsidRDefault="004140B5" w:rsidP="00071C30">
            <w:pPr>
              <w:contextualSpacing/>
              <w:rPr>
                <w:rFonts w:cs="Arial"/>
                <w:szCs w:val="22"/>
              </w:rPr>
            </w:pPr>
            <w:r w:rsidRPr="00703A0B">
              <w:rPr>
                <w:rFonts w:cs="Arial"/>
                <w:szCs w:val="22"/>
              </w:rPr>
              <w:t>Member</w:t>
            </w:r>
          </w:p>
        </w:tc>
        <w:tc>
          <w:tcPr>
            <w:tcW w:w="1701" w:type="dxa"/>
            <w:gridSpan w:val="2"/>
            <w:tcBorders>
              <w:top w:val="single" w:sz="4" w:space="0" w:color="auto"/>
              <w:left w:val="single" w:sz="4" w:space="0" w:color="auto"/>
              <w:bottom w:val="single" w:sz="4" w:space="0" w:color="auto"/>
              <w:right w:val="single" w:sz="4" w:space="0" w:color="auto"/>
            </w:tcBorders>
          </w:tcPr>
          <w:p w14:paraId="3450BA42" w14:textId="77777777" w:rsidR="00071C30" w:rsidRPr="00703A0B" w:rsidRDefault="00934489" w:rsidP="00071C30">
            <w:pPr>
              <w:contextualSpacing/>
              <w:rPr>
                <w:rFonts w:cs="Arial"/>
                <w:szCs w:val="22"/>
              </w:rPr>
            </w:pPr>
            <w:r w:rsidRPr="00703A0B">
              <w:rPr>
                <w:rFonts w:cs="Arial"/>
                <w:szCs w:val="22"/>
              </w:rPr>
              <w:t xml:space="preserve">Chris </w:t>
            </w:r>
            <w:proofErr w:type="spellStart"/>
            <w:r w:rsidRPr="00703A0B">
              <w:rPr>
                <w:rFonts w:cs="Arial"/>
                <w:szCs w:val="22"/>
              </w:rPr>
              <w:t>Mountford</w:t>
            </w:r>
            <w:proofErr w:type="spellEnd"/>
          </w:p>
          <w:p w14:paraId="641F3F78" w14:textId="77777777" w:rsidR="001975F3" w:rsidRPr="00703A0B" w:rsidRDefault="001975F3" w:rsidP="00071C30">
            <w:pPr>
              <w:contextualSpacing/>
              <w:rPr>
                <w:rFonts w:cs="Arial"/>
                <w:szCs w:val="22"/>
              </w:rPr>
            </w:pPr>
          </w:p>
          <w:p w14:paraId="7FF15C57" w14:textId="77777777" w:rsidR="001975F3" w:rsidRPr="00703A0B" w:rsidRDefault="001975F3" w:rsidP="001975F3">
            <w:pPr>
              <w:contextualSpacing/>
              <w:rPr>
                <w:rFonts w:cs="Arial"/>
                <w:i/>
                <w:iCs/>
                <w:szCs w:val="22"/>
              </w:rPr>
            </w:pPr>
            <w:r w:rsidRPr="00703A0B">
              <w:rPr>
                <w:rFonts w:cs="Arial"/>
                <w:i/>
                <w:iCs/>
                <w:szCs w:val="22"/>
              </w:rPr>
              <w:t>Appointed on</w:t>
            </w:r>
          </w:p>
          <w:p w14:paraId="1E62FCBD" w14:textId="6A4B601C" w:rsidR="001975F3" w:rsidRPr="00703A0B" w:rsidRDefault="006157B4" w:rsidP="001975F3">
            <w:pPr>
              <w:contextualSpacing/>
              <w:rPr>
                <w:rFonts w:cs="Arial"/>
                <w:szCs w:val="22"/>
              </w:rPr>
            </w:pPr>
            <w:r w:rsidRPr="00703A0B">
              <w:rPr>
                <w:rFonts w:cs="Arial"/>
                <w:i/>
                <w:iCs/>
                <w:szCs w:val="22"/>
              </w:rPr>
              <w:t>1 December 2025</w:t>
            </w:r>
          </w:p>
        </w:tc>
        <w:tc>
          <w:tcPr>
            <w:tcW w:w="1985" w:type="dxa"/>
            <w:tcBorders>
              <w:top w:val="single" w:sz="4" w:space="0" w:color="auto"/>
              <w:left w:val="single" w:sz="4" w:space="0" w:color="auto"/>
              <w:bottom w:val="single" w:sz="4" w:space="0" w:color="auto"/>
              <w:right w:val="single" w:sz="4" w:space="0" w:color="auto"/>
            </w:tcBorders>
          </w:tcPr>
          <w:p w14:paraId="7A2D6DA1" w14:textId="26391F38" w:rsidR="007C65A8" w:rsidRPr="00703A0B" w:rsidRDefault="007C65A8" w:rsidP="007C65A8">
            <w:pPr>
              <w:contextualSpacing/>
              <w:rPr>
                <w:rFonts w:cs="Arial"/>
                <w:bCs/>
                <w:szCs w:val="22"/>
              </w:rPr>
            </w:pPr>
            <w:r w:rsidRPr="00703A0B">
              <w:rPr>
                <w:rFonts w:cs="Arial"/>
                <w:bCs/>
                <w:szCs w:val="22"/>
              </w:rPr>
              <w:t>Board: 4</w:t>
            </w:r>
          </w:p>
          <w:p w14:paraId="56869163" w14:textId="3BD3A370" w:rsidR="007C65A8" w:rsidRPr="00703A0B" w:rsidRDefault="007C65A8" w:rsidP="007C65A8">
            <w:pPr>
              <w:contextualSpacing/>
              <w:rPr>
                <w:rFonts w:cs="Arial"/>
                <w:szCs w:val="22"/>
              </w:rPr>
            </w:pPr>
            <w:r w:rsidRPr="00703A0B">
              <w:rPr>
                <w:rFonts w:cs="Arial"/>
                <w:bCs/>
                <w:szCs w:val="22"/>
              </w:rPr>
              <w:t>PCP: 2</w:t>
            </w:r>
          </w:p>
        </w:tc>
        <w:tc>
          <w:tcPr>
            <w:tcW w:w="1902" w:type="dxa"/>
            <w:tcBorders>
              <w:top w:val="single" w:sz="4" w:space="0" w:color="auto"/>
              <w:left w:val="single" w:sz="4" w:space="0" w:color="auto"/>
              <w:bottom w:val="single" w:sz="4" w:space="0" w:color="auto"/>
              <w:right w:val="single" w:sz="4" w:space="0" w:color="auto"/>
            </w:tcBorders>
          </w:tcPr>
          <w:p w14:paraId="03845BAF" w14:textId="786F6E39" w:rsidR="00071C30" w:rsidRPr="00703A0B" w:rsidRDefault="00D433D2" w:rsidP="00071C30">
            <w:pPr>
              <w:contextualSpacing/>
              <w:rPr>
                <w:rFonts w:cs="Arial"/>
                <w:szCs w:val="22"/>
              </w:rPr>
            </w:pPr>
            <w:r w:rsidRPr="00703A0B">
              <w:rPr>
                <w:rFonts w:cs="Arial"/>
                <w:bCs/>
                <w:szCs w:val="22"/>
              </w:rPr>
              <w:t>37,000</w:t>
            </w:r>
          </w:p>
        </w:tc>
        <w:tc>
          <w:tcPr>
            <w:tcW w:w="1641" w:type="dxa"/>
            <w:tcBorders>
              <w:top w:val="single" w:sz="4" w:space="0" w:color="auto"/>
              <w:left w:val="single" w:sz="4" w:space="0" w:color="auto"/>
              <w:bottom w:val="single" w:sz="4" w:space="0" w:color="auto"/>
              <w:right w:val="single" w:sz="4" w:space="0" w:color="auto"/>
            </w:tcBorders>
          </w:tcPr>
          <w:p w14:paraId="07BDFE74" w14:textId="65E47A77" w:rsidR="00071C30" w:rsidRPr="00703A0B" w:rsidRDefault="00D433D2" w:rsidP="00071C30">
            <w:pPr>
              <w:contextualSpacing/>
              <w:rPr>
                <w:rFonts w:cs="Arial"/>
                <w:szCs w:val="22"/>
              </w:rPr>
            </w:pPr>
            <w:r w:rsidRPr="00703A0B">
              <w:rPr>
                <w:rFonts w:cs="Arial"/>
                <w:bCs/>
                <w:szCs w:val="22"/>
              </w:rPr>
              <w:t>2,500</w:t>
            </w:r>
          </w:p>
        </w:tc>
        <w:tc>
          <w:tcPr>
            <w:tcW w:w="1843" w:type="dxa"/>
            <w:tcBorders>
              <w:top w:val="single" w:sz="4" w:space="0" w:color="auto"/>
              <w:left w:val="single" w:sz="4" w:space="0" w:color="auto"/>
              <w:bottom w:val="single" w:sz="4" w:space="0" w:color="auto"/>
              <w:right w:val="single" w:sz="4" w:space="0" w:color="auto"/>
            </w:tcBorders>
          </w:tcPr>
          <w:p w14:paraId="1ED74C42" w14:textId="4154DE43" w:rsidR="00071C30" w:rsidRPr="00703A0B" w:rsidRDefault="00840D9A" w:rsidP="00071C30">
            <w:pPr>
              <w:contextualSpacing/>
              <w:rPr>
                <w:rFonts w:cs="Arial"/>
              </w:rPr>
            </w:pPr>
            <w:r w:rsidRPr="00703A0B">
              <w:rPr>
                <w:rFonts w:cs="Arial"/>
                <w:bCs/>
                <w:szCs w:val="22"/>
              </w:rPr>
              <w:t>26,000</w:t>
            </w:r>
          </w:p>
        </w:tc>
      </w:tr>
      <w:tr w:rsidR="00071C30" w:rsidRPr="00703A0B" w14:paraId="1736036A" w14:textId="77777777" w:rsidTr="001C3235">
        <w:trPr>
          <w:jc w:val="center"/>
        </w:trPr>
        <w:tc>
          <w:tcPr>
            <w:tcW w:w="1418" w:type="dxa"/>
            <w:tcBorders>
              <w:top w:val="single" w:sz="4" w:space="0" w:color="auto"/>
              <w:left w:val="single" w:sz="4" w:space="0" w:color="auto"/>
              <w:bottom w:val="single" w:sz="4" w:space="0" w:color="auto"/>
              <w:right w:val="single" w:sz="4" w:space="0" w:color="auto"/>
            </w:tcBorders>
          </w:tcPr>
          <w:p w14:paraId="140FF6A2" w14:textId="30FC34A1" w:rsidR="00071C30" w:rsidRPr="00703A0B" w:rsidRDefault="00071C30" w:rsidP="00071C30">
            <w:pPr>
              <w:contextualSpacing/>
              <w:rPr>
                <w:rFonts w:cs="Arial"/>
                <w:szCs w:val="22"/>
              </w:rPr>
            </w:pPr>
            <w:r w:rsidRPr="00703A0B">
              <w:rPr>
                <w:rFonts w:cs="Arial"/>
                <w:szCs w:val="22"/>
              </w:rPr>
              <w:t>Former Deputy Chair</w:t>
            </w:r>
          </w:p>
        </w:tc>
        <w:tc>
          <w:tcPr>
            <w:tcW w:w="1701" w:type="dxa"/>
            <w:gridSpan w:val="2"/>
            <w:tcBorders>
              <w:top w:val="single" w:sz="4" w:space="0" w:color="auto"/>
              <w:left w:val="single" w:sz="4" w:space="0" w:color="auto"/>
              <w:bottom w:val="single" w:sz="4" w:space="0" w:color="auto"/>
              <w:right w:val="single" w:sz="4" w:space="0" w:color="auto"/>
            </w:tcBorders>
          </w:tcPr>
          <w:p w14:paraId="3F336309" w14:textId="77777777" w:rsidR="00071C30" w:rsidRPr="00703A0B" w:rsidRDefault="00071C30" w:rsidP="00071C30">
            <w:pPr>
              <w:contextualSpacing/>
              <w:rPr>
                <w:rFonts w:cs="Arial"/>
                <w:szCs w:val="22"/>
              </w:rPr>
            </w:pPr>
            <w:r w:rsidRPr="00703A0B">
              <w:rPr>
                <w:rFonts w:cs="Arial"/>
                <w:szCs w:val="22"/>
              </w:rPr>
              <w:t>John Anderson</w:t>
            </w:r>
          </w:p>
          <w:p w14:paraId="3F156AB9" w14:textId="77777777" w:rsidR="007A3BF6" w:rsidRPr="00703A0B" w:rsidRDefault="007A3BF6" w:rsidP="00071C30">
            <w:pPr>
              <w:contextualSpacing/>
              <w:rPr>
                <w:rFonts w:cs="Arial"/>
                <w:szCs w:val="22"/>
                <w:highlight w:val="yellow"/>
              </w:rPr>
            </w:pPr>
          </w:p>
          <w:p w14:paraId="26A8DAE0" w14:textId="2F696779" w:rsidR="003709DB" w:rsidRPr="00703A0B" w:rsidRDefault="00D53CC9" w:rsidP="003709DB">
            <w:pPr>
              <w:contextualSpacing/>
              <w:rPr>
                <w:rFonts w:cs="Arial"/>
                <w:i/>
                <w:iCs/>
                <w:szCs w:val="22"/>
              </w:rPr>
            </w:pPr>
            <w:r w:rsidRPr="00703A0B">
              <w:rPr>
                <w:rFonts w:cs="Arial"/>
                <w:i/>
                <w:iCs/>
                <w:szCs w:val="22"/>
              </w:rPr>
              <w:t xml:space="preserve">Ceased </w:t>
            </w:r>
            <w:r w:rsidR="003709DB" w:rsidRPr="00703A0B">
              <w:rPr>
                <w:rFonts w:cs="Arial"/>
                <w:i/>
                <w:iCs/>
                <w:szCs w:val="22"/>
              </w:rPr>
              <w:t>on</w:t>
            </w:r>
          </w:p>
          <w:p w14:paraId="43754EBD" w14:textId="6F0AAB76" w:rsidR="007A3BF6" w:rsidRPr="00703A0B" w:rsidRDefault="006157B4" w:rsidP="003709DB">
            <w:pPr>
              <w:contextualSpacing/>
              <w:rPr>
                <w:rFonts w:cs="Arial"/>
                <w:szCs w:val="22"/>
                <w:highlight w:val="yellow"/>
              </w:rPr>
            </w:pPr>
            <w:r w:rsidRPr="00703A0B">
              <w:rPr>
                <w:rFonts w:cs="Arial"/>
                <w:i/>
                <w:iCs/>
                <w:szCs w:val="22"/>
              </w:rPr>
              <w:t>30 November 2025</w:t>
            </w:r>
          </w:p>
        </w:tc>
        <w:tc>
          <w:tcPr>
            <w:tcW w:w="1985" w:type="dxa"/>
            <w:tcBorders>
              <w:top w:val="single" w:sz="4" w:space="0" w:color="auto"/>
              <w:left w:val="single" w:sz="4" w:space="0" w:color="auto"/>
              <w:bottom w:val="single" w:sz="4" w:space="0" w:color="auto"/>
              <w:right w:val="single" w:sz="4" w:space="0" w:color="auto"/>
            </w:tcBorders>
          </w:tcPr>
          <w:p w14:paraId="04BA4BAE" w14:textId="5DF9E5C9" w:rsidR="00071C30" w:rsidRPr="00703A0B" w:rsidRDefault="00071C30" w:rsidP="00071C30">
            <w:pPr>
              <w:contextualSpacing/>
              <w:rPr>
                <w:rFonts w:cs="Arial"/>
                <w:szCs w:val="22"/>
              </w:rPr>
            </w:pPr>
            <w:r w:rsidRPr="00703A0B">
              <w:rPr>
                <w:rFonts w:cs="Arial"/>
                <w:szCs w:val="22"/>
              </w:rPr>
              <w:t xml:space="preserve">Board: </w:t>
            </w:r>
            <w:r w:rsidR="007C65A8" w:rsidRPr="00703A0B">
              <w:rPr>
                <w:rFonts w:cs="Arial"/>
                <w:szCs w:val="22"/>
              </w:rPr>
              <w:t>4</w:t>
            </w:r>
          </w:p>
          <w:p w14:paraId="2DBF880C" w14:textId="0CC931F1" w:rsidR="00071C30" w:rsidRPr="00703A0B" w:rsidRDefault="00071C30" w:rsidP="00EB021B">
            <w:pPr>
              <w:contextualSpacing/>
              <w:rPr>
                <w:rFonts w:cs="Arial"/>
                <w:szCs w:val="22"/>
              </w:rPr>
            </w:pPr>
            <w:r w:rsidRPr="00703A0B">
              <w:rPr>
                <w:rFonts w:cs="Arial"/>
                <w:szCs w:val="22"/>
              </w:rPr>
              <w:t xml:space="preserve">PCP: </w:t>
            </w:r>
            <w:r w:rsidR="007C65A8" w:rsidRPr="00703A0B">
              <w:rPr>
                <w:rFonts w:cs="Arial"/>
                <w:szCs w:val="22"/>
              </w:rPr>
              <w:t>1</w:t>
            </w:r>
          </w:p>
        </w:tc>
        <w:tc>
          <w:tcPr>
            <w:tcW w:w="1902" w:type="dxa"/>
            <w:tcBorders>
              <w:top w:val="single" w:sz="4" w:space="0" w:color="auto"/>
              <w:left w:val="single" w:sz="4" w:space="0" w:color="auto"/>
              <w:bottom w:val="single" w:sz="4" w:space="0" w:color="auto"/>
              <w:right w:val="single" w:sz="4" w:space="0" w:color="auto"/>
            </w:tcBorders>
          </w:tcPr>
          <w:p w14:paraId="6353B48C" w14:textId="61A93307" w:rsidR="00071C30" w:rsidRPr="00703A0B" w:rsidRDefault="00C00BF2" w:rsidP="00071C30">
            <w:pPr>
              <w:contextualSpacing/>
              <w:rPr>
                <w:rFonts w:cs="Arial"/>
                <w:szCs w:val="22"/>
              </w:rPr>
            </w:pPr>
            <w:r w:rsidRPr="00703A0B">
              <w:rPr>
                <w:rFonts w:cs="Arial"/>
                <w:bCs/>
                <w:szCs w:val="22"/>
              </w:rPr>
              <w:t>25,000</w:t>
            </w:r>
          </w:p>
        </w:tc>
        <w:tc>
          <w:tcPr>
            <w:tcW w:w="1641" w:type="dxa"/>
            <w:tcBorders>
              <w:top w:val="single" w:sz="4" w:space="0" w:color="auto"/>
              <w:left w:val="single" w:sz="4" w:space="0" w:color="auto"/>
              <w:bottom w:val="single" w:sz="4" w:space="0" w:color="auto"/>
              <w:right w:val="single" w:sz="4" w:space="0" w:color="auto"/>
            </w:tcBorders>
          </w:tcPr>
          <w:p w14:paraId="1D424C08" w14:textId="33178D74" w:rsidR="00071C30" w:rsidRPr="00703A0B" w:rsidRDefault="00C00BF2" w:rsidP="00071C30">
            <w:pPr>
              <w:contextualSpacing/>
              <w:rPr>
                <w:rFonts w:cs="Arial"/>
                <w:szCs w:val="22"/>
              </w:rPr>
            </w:pPr>
            <w:r w:rsidRPr="00703A0B">
              <w:rPr>
                <w:rFonts w:cs="Arial"/>
                <w:bCs/>
                <w:szCs w:val="22"/>
              </w:rPr>
              <w:t>n/a</w:t>
            </w:r>
          </w:p>
        </w:tc>
        <w:tc>
          <w:tcPr>
            <w:tcW w:w="1843" w:type="dxa"/>
            <w:tcBorders>
              <w:top w:val="single" w:sz="4" w:space="0" w:color="auto"/>
              <w:left w:val="single" w:sz="4" w:space="0" w:color="auto"/>
              <w:bottom w:val="single" w:sz="4" w:space="0" w:color="auto"/>
              <w:right w:val="single" w:sz="4" w:space="0" w:color="auto"/>
            </w:tcBorders>
          </w:tcPr>
          <w:p w14:paraId="2232F036" w14:textId="6FDF7C51" w:rsidR="00071C30" w:rsidRPr="00703A0B" w:rsidRDefault="00840D9A" w:rsidP="00071C30">
            <w:pPr>
              <w:contextualSpacing/>
              <w:rPr>
                <w:rFonts w:cs="Arial"/>
                <w:szCs w:val="22"/>
              </w:rPr>
            </w:pPr>
            <w:r w:rsidRPr="00703A0B">
              <w:rPr>
                <w:rFonts w:cs="Arial"/>
                <w:bCs/>
                <w:szCs w:val="22"/>
              </w:rPr>
              <w:t>12,000</w:t>
            </w:r>
          </w:p>
        </w:tc>
      </w:tr>
      <w:tr w:rsidR="00071C30" w:rsidRPr="00703A0B" w14:paraId="4FD6734F" w14:textId="77777777" w:rsidTr="001C3235">
        <w:trPr>
          <w:jc w:val="center"/>
        </w:trPr>
        <w:tc>
          <w:tcPr>
            <w:tcW w:w="1418" w:type="dxa"/>
            <w:tcBorders>
              <w:top w:val="single" w:sz="4" w:space="0" w:color="auto"/>
              <w:left w:val="single" w:sz="4" w:space="0" w:color="auto"/>
              <w:bottom w:val="single" w:sz="4" w:space="0" w:color="auto"/>
              <w:right w:val="single" w:sz="4" w:space="0" w:color="auto"/>
            </w:tcBorders>
          </w:tcPr>
          <w:p w14:paraId="5D24E858" w14:textId="61B14260" w:rsidR="00071C30" w:rsidRPr="00703A0B" w:rsidRDefault="00071C30" w:rsidP="00071C30">
            <w:pPr>
              <w:contextualSpacing/>
              <w:rPr>
                <w:rFonts w:cs="Arial"/>
                <w:i/>
                <w:szCs w:val="22"/>
              </w:rPr>
            </w:pPr>
            <w:r w:rsidRPr="00703A0B">
              <w:rPr>
                <w:rFonts w:cs="Arial"/>
                <w:szCs w:val="22"/>
              </w:rPr>
              <w:t>Former Member</w:t>
            </w:r>
          </w:p>
        </w:tc>
        <w:tc>
          <w:tcPr>
            <w:tcW w:w="1701" w:type="dxa"/>
            <w:gridSpan w:val="2"/>
            <w:tcBorders>
              <w:top w:val="single" w:sz="4" w:space="0" w:color="auto"/>
              <w:left w:val="single" w:sz="4" w:space="0" w:color="auto"/>
              <w:bottom w:val="single" w:sz="4" w:space="0" w:color="auto"/>
              <w:right w:val="single" w:sz="4" w:space="0" w:color="auto"/>
            </w:tcBorders>
          </w:tcPr>
          <w:p w14:paraId="7BAF4A0A" w14:textId="77777777" w:rsidR="00071C30" w:rsidRPr="00703A0B" w:rsidRDefault="00071C30" w:rsidP="00071C30">
            <w:pPr>
              <w:contextualSpacing/>
              <w:rPr>
                <w:rFonts w:cs="Arial"/>
                <w:szCs w:val="22"/>
              </w:rPr>
            </w:pPr>
            <w:r w:rsidRPr="00703A0B">
              <w:rPr>
                <w:rFonts w:cs="Arial"/>
                <w:szCs w:val="22"/>
              </w:rPr>
              <w:t>Colin Cassidy</w:t>
            </w:r>
          </w:p>
          <w:p w14:paraId="0B829523" w14:textId="77777777" w:rsidR="003709DB" w:rsidRPr="00703A0B" w:rsidRDefault="003709DB" w:rsidP="00071C30">
            <w:pPr>
              <w:contextualSpacing/>
              <w:rPr>
                <w:rFonts w:cs="Arial"/>
                <w:szCs w:val="22"/>
              </w:rPr>
            </w:pPr>
          </w:p>
          <w:p w14:paraId="7DDB93C4" w14:textId="7F61601D" w:rsidR="003709DB" w:rsidRPr="00703A0B" w:rsidRDefault="00D53CC9" w:rsidP="003709DB">
            <w:pPr>
              <w:contextualSpacing/>
              <w:rPr>
                <w:rFonts w:cs="Arial"/>
                <w:i/>
                <w:iCs/>
                <w:szCs w:val="22"/>
              </w:rPr>
            </w:pPr>
            <w:r w:rsidRPr="00703A0B">
              <w:rPr>
                <w:rFonts w:cs="Arial"/>
                <w:i/>
                <w:iCs/>
                <w:szCs w:val="22"/>
              </w:rPr>
              <w:t xml:space="preserve">Ceased </w:t>
            </w:r>
            <w:r w:rsidR="003709DB" w:rsidRPr="00703A0B">
              <w:rPr>
                <w:rFonts w:cs="Arial"/>
                <w:i/>
                <w:iCs/>
                <w:szCs w:val="22"/>
              </w:rPr>
              <w:t>on</w:t>
            </w:r>
          </w:p>
          <w:p w14:paraId="6BF25F71" w14:textId="58BF5422" w:rsidR="003709DB" w:rsidRPr="00703A0B" w:rsidRDefault="006157B4" w:rsidP="003709DB">
            <w:pPr>
              <w:contextualSpacing/>
              <w:rPr>
                <w:rFonts w:cs="Arial"/>
                <w:szCs w:val="22"/>
                <w:highlight w:val="yellow"/>
              </w:rPr>
            </w:pPr>
            <w:r w:rsidRPr="00703A0B">
              <w:rPr>
                <w:rFonts w:cs="Arial"/>
                <w:i/>
                <w:iCs/>
                <w:szCs w:val="22"/>
              </w:rPr>
              <w:t>30 November 2025</w:t>
            </w:r>
          </w:p>
        </w:tc>
        <w:tc>
          <w:tcPr>
            <w:tcW w:w="1985" w:type="dxa"/>
            <w:tcBorders>
              <w:top w:val="single" w:sz="4" w:space="0" w:color="auto"/>
              <w:left w:val="single" w:sz="4" w:space="0" w:color="auto"/>
              <w:bottom w:val="single" w:sz="4" w:space="0" w:color="auto"/>
              <w:right w:val="single" w:sz="4" w:space="0" w:color="auto"/>
            </w:tcBorders>
          </w:tcPr>
          <w:p w14:paraId="66F9DAD0" w14:textId="709766C7" w:rsidR="00071C30" w:rsidRPr="00703A0B" w:rsidRDefault="00071C30" w:rsidP="00071C30">
            <w:pPr>
              <w:contextualSpacing/>
              <w:rPr>
                <w:rFonts w:cs="Arial"/>
                <w:szCs w:val="22"/>
              </w:rPr>
            </w:pPr>
            <w:r w:rsidRPr="00703A0B">
              <w:rPr>
                <w:rFonts w:cs="Arial"/>
                <w:szCs w:val="22"/>
              </w:rPr>
              <w:t xml:space="preserve">Board: </w:t>
            </w:r>
            <w:r w:rsidR="00FB3235" w:rsidRPr="00703A0B">
              <w:rPr>
                <w:rFonts w:cs="Arial"/>
                <w:szCs w:val="22"/>
              </w:rPr>
              <w:t>4</w:t>
            </w:r>
          </w:p>
          <w:p w14:paraId="7FCC7EFF" w14:textId="3B0D4874" w:rsidR="00071C30" w:rsidRPr="00703A0B" w:rsidRDefault="00071C30" w:rsidP="00071C30">
            <w:pPr>
              <w:contextualSpacing/>
              <w:rPr>
                <w:rFonts w:cs="Arial"/>
                <w:szCs w:val="22"/>
              </w:rPr>
            </w:pPr>
            <w:r w:rsidRPr="00703A0B">
              <w:rPr>
                <w:rFonts w:cs="Arial"/>
                <w:szCs w:val="22"/>
              </w:rPr>
              <w:t xml:space="preserve">PCP: </w:t>
            </w:r>
            <w:r w:rsidR="00FB3235" w:rsidRPr="00703A0B">
              <w:rPr>
                <w:rFonts w:cs="Arial"/>
                <w:szCs w:val="22"/>
              </w:rPr>
              <w:t>2</w:t>
            </w:r>
          </w:p>
        </w:tc>
        <w:tc>
          <w:tcPr>
            <w:tcW w:w="1902" w:type="dxa"/>
            <w:tcBorders>
              <w:top w:val="single" w:sz="4" w:space="0" w:color="auto"/>
              <w:left w:val="single" w:sz="4" w:space="0" w:color="auto"/>
              <w:bottom w:val="single" w:sz="4" w:space="0" w:color="auto"/>
              <w:right w:val="single" w:sz="4" w:space="0" w:color="auto"/>
            </w:tcBorders>
          </w:tcPr>
          <w:p w14:paraId="6ACDA580" w14:textId="74737086" w:rsidR="00071C30" w:rsidRPr="00703A0B" w:rsidRDefault="00C00BF2" w:rsidP="00071C30">
            <w:pPr>
              <w:contextualSpacing/>
              <w:rPr>
                <w:rFonts w:cs="Arial"/>
                <w:szCs w:val="22"/>
              </w:rPr>
            </w:pPr>
            <w:r w:rsidRPr="00703A0B">
              <w:rPr>
                <w:rFonts w:cs="Arial"/>
                <w:bCs/>
                <w:szCs w:val="22"/>
              </w:rPr>
              <w:t>25,000</w:t>
            </w:r>
          </w:p>
        </w:tc>
        <w:tc>
          <w:tcPr>
            <w:tcW w:w="1641" w:type="dxa"/>
            <w:tcBorders>
              <w:top w:val="single" w:sz="4" w:space="0" w:color="auto"/>
              <w:left w:val="single" w:sz="4" w:space="0" w:color="auto"/>
              <w:bottom w:val="single" w:sz="4" w:space="0" w:color="auto"/>
              <w:right w:val="single" w:sz="4" w:space="0" w:color="auto"/>
            </w:tcBorders>
          </w:tcPr>
          <w:p w14:paraId="6E531489" w14:textId="0BB0C902" w:rsidR="00071C30" w:rsidRPr="00703A0B" w:rsidRDefault="00C00BF2" w:rsidP="00071C30">
            <w:pPr>
              <w:contextualSpacing/>
              <w:rPr>
                <w:rFonts w:cs="Arial"/>
                <w:szCs w:val="22"/>
              </w:rPr>
            </w:pPr>
            <w:r w:rsidRPr="00703A0B">
              <w:rPr>
                <w:rFonts w:cs="Arial"/>
                <w:bCs/>
                <w:szCs w:val="22"/>
              </w:rPr>
              <w:t>n/a</w:t>
            </w:r>
          </w:p>
        </w:tc>
        <w:tc>
          <w:tcPr>
            <w:tcW w:w="1843" w:type="dxa"/>
            <w:tcBorders>
              <w:top w:val="single" w:sz="4" w:space="0" w:color="auto"/>
              <w:left w:val="single" w:sz="4" w:space="0" w:color="auto"/>
              <w:bottom w:val="single" w:sz="4" w:space="0" w:color="auto"/>
              <w:right w:val="single" w:sz="4" w:space="0" w:color="auto"/>
            </w:tcBorders>
          </w:tcPr>
          <w:p w14:paraId="0447C17C" w14:textId="6BB1104E" w:rsidR="00071C30" w:rsidRPr="00703A0B" w:rsidRDefault="00840D9A" w:rsidP="00071C30">
            <w:pPr>
              <w:contextualSpacing/>
              <w:rPr>
                <w:rFonts w:cs="Arial"/>
              </w:rPr>
            </w:pPr>
            <w:r w:rsidRPr="00703A0B">
              <w:rPr>
                <w:rFonts w:cs="Arial"/>
                <w:bCs/>
                <w:szCs w:val="22"/>
              </w:rPr>
              <w:t>12,000</w:t>
            </w:r>
            <w:r w:rsidRPr="00703A0B" w:rsidDel="00840D9A">
              <w:rPr>
                <w:rFonts w:cs="Arial"/>
                <w:bCs/>
                <w:szCs w:val="22"/>
                <w:highlight w:val="yellow"/>
              </w:rPr>
              <w:t xml:space="preserve"> </w:t>
            </w:r>
          </w:p>
        </w:tc>
      </w:tr>
      <w:tr w:rsidR="00071C30" w:rsidRPr="00703A0B" w14:paraId="2A8116D1" w14:textId="77777777" w:rsidTr="001C3235">
        <w:trPr>
          <w:jc w:val="center"/>
        </w:trPr>
        <w:tc>
          <w:tcPr>
            <w:tcW w:w="1418" w:type="dxa"/>
            <w:tcBorders>
              <w:top w:val="single" w:sz="4" w:space="0" w:color="auto"/>
              <w:left w:val="single" w:sz="4" w:space="0" w:color="auto"/>
              <w:bottom w:val="single" w:sz="4" w:space="0" w:color="auto"/>
              <w:right w:val="single" w:sz="4" w:space="0" w:color="auto"/>
            </w:tcBorders>
          </w:tcPr>
          <w:p w14:paraId="71127F8E" w14:textId="2B5AB993" w:rsidR="00071C30" w:rsidRPr="00703A0B" w:rsidRDefault="00934489" w:rsidP="00071C30">
            <w:pPr>
              <w:contextualSpacing/>
              <w:rPr>
                <w:rFonts w:cs="Arial"/>
                <w:i/>
                <w:szCs w:val="22"/>
              </w:rPr>
            </w:pPr>
            <w:r w:rsidRPr="00703A0B">
              <w:rPr>
                <w:rFonts w:cs="Arial"/>
                <w:szCs w:val="22"/>
              </w:rPr>
              <w:t xml:space="preserve">Former </w:t>
            </w:r>
            <w:r w:rsidR="00071C30" w:rsidRPr="00703A0B">
              <w:rPr>
                <w:rFonts w:cs="Arial"/>
                <w:szCs w:val="22"/>
              </w:rPr>
              <w:t>Member</w:t>
            </w:r>
          </w:p>
        </w:tc>
        <w:tc>
          <w:tcPr>
            <w:tcW w:w="1701" w:type="dxa"/>
            <w:gridSpan w:val="2"/>
            <w:tcBorders>
              <w:top w:val="single" w:sz="4" w:space="0" w:color="auto"/>
              <w:left w:val="single" w:sz="4" w:space="0" w:color="auto"/>
              <w:bottom w:val="single" w:sz="4" w:space="0" w:color="auto"/>
              <w:right w:val="single" w:sz="4" w:space="0" w:color="auto"/>
            </w:tcBorders>
          </w:tcPr>
          <w:p w14:paraId="572F6573" w14:textId="77777777" w:rsidR="00071C30" w:rsidRPr="00703A0B" w:rsidRDefault="00071C30" w:rsidP="00071C30">
            <w:pPr>
              <w:contextualSpacing/>
              <w:rPr>
                <w:rFonts w:cs="Arial"/>
                <w:szCs w:val="22"/>
              </w:rPr>
            </w:pPr>
            <w:r w:rsidRPr="00703A0B">
              <w:rPr>
                <w:rFonts w:cs="Arial"/>
                <w:szCs w:val="22"/>
              </w:rPr>
              <w:t>Christopher Edwards</w:t>
            </w:r>
          </w:p>
          <w:p w14:paraId="321B22F6" w14:textId="77777777" w:rsidR="003709DB" w:rsidRPr="00703A0B" w:rsidRDefault="003709DB" w:rsidP="00071C30">
            <w:pPr>
              <w:contextualSpacing/>
              <w:rPr>
                <w:rFonts w:cs="Arial"/>
                <w:szCs w:val="22"/>
              </w:rPr>
            </w:pPr>
          </w:p>
          <w:p w14:paraId="061EAAF3" w14:textId="762E8233" w:rsidR="003709DB" w:rsidRPr="00703A0B" w:rsidRDefault="00D53CC9" w:rsidP="003709DB">
            <w:pPr>
              <w:contextualSpacing/>
              <w:rPr>
                <w:rFonts w:cs="Arial"/>
                <w:i/>
                <w:iCs/>
                <w:szCs w:val="22"/>
              </w:rPr>
            </w:pPr>
            <w:r w:rsidRPr="00703A0B">
              <w:rPr>
                <w:rFonts w:cs="Arial"/>
                <w:i/>
                <w:iCs/>
                <w:szCs w:val="22"/>
              </w:rPr>
              <w:t xml:space="preserve">Ceased </w:t>
            </w:r>
            <w:r w:rsidR="003709DB" w:rsidRPr="00703A0B">
              <w:rPr>
                <w:rFonts w:cs="Arial"/>
                <w:i/>
                <w:iCs/>
                <w:szCs w:val="22"/>
              </w:rPr>
              <w:t>on</w:t>
            </w:r>
          </w:p>
          <w:p w14:paraId="6DB44CF7" w14:textId="045BAC26" w:rsidR="003709DB" w:rsidRPr="00703A0B" w:rsidRDefault="006157B4" w:rsidP="003709DB">
            <w:pPr>
              <w:contextualSpacing/>
              <w:rPr>
                <w:rFonts w:cs="Arial"/>
                <w:szCs w:val="22"/>
                <w:highlight w:val="yellow"/>
              </w:rPr>
            </w:pPr>
            <w:r w:rsidRPr="00703A0B">
              <w:rPr>
                <w:rFonts w:cs="Arial"/>
                <w:i/>
                <w:iCs/>
                <w:szCs w:val="22"/>
              </w:rPr>
              <w:t>30 November 2025</w:t>
            </w:r>
          </w:p>
        </w:tc>
        <w:tc>
          <w:tcPr>
            <w:tcW w:w="1985" w:type="dxa"/>
            <w:tcBorders>
              <w:top w:val="single" w:sz="4" w:space="0" w:color="auto"/>
              <w:left w:val="single" w:sz="4" w:space="0" w:color="auto"/>
              <w:bottom w:val="single" w:sz="4" w:space="0" w:color="auto"/>
              <w:right w:val="single" w:sz="4" w:space="0" w:color="auto"/>
            </w:tcBorders>
          </w:tcPr>
          <w:p w14:paraId="49E6A830" w14:textId="4505526D" w:rsidR="00071C30" w:rsidRPr="00703A0B" w:rsidRDefault="00071C30" w:rsidP="00071C30">
            <w:pPr>
              <w:contextualSpacing/>
              <w:rPr>
                <w:rFonts w:cs="Arial"/>
                <w:szCs w:val="22"/>
              </w:rPr>
            </w:pPr>
            <w:r w:rsidRPr="00703A0B">
              <w:rPr>
                <w:rFonts w:cs="Arial"/>
                <w:szCs w:val="22"/>
              </w:rPr>
              <w:t xml:space="preserve">Board: </w:t>
            </w:r>
            <w:r w:rsidR="00FB3235" w:rsidRPr="00703A0B">
              <w:rPr>
                <w:rFonts w:cs="Arial"/>
                <w:szCs w:val="22"/>
              </w:rPr>
              <w:t>4</w:t>
            </w:r>
          </w:p>
          <w:p w14:paraId="195AA8D9" w14:textId="721DE94E" w:rsidR="00071C30" w:rsidRPr="00703A0B" w:rsidRDefault="00FB3235" w:rsidP="00071C30">
            <w:pPr>
              <w:contextualSpacing/>
              <w:rPr>
                <w:rFonts w:cs="Arial"/>
                <w:szCs w:val="22"/>
              </w:rPr>
            </w:pPr>
            <w:r w:rsidRPr="00703A0B">
              <w:rPr>
                <w:rFonts w:cs="Arial"/>
                <w:szCs w:val="22"/>
              </w:rPr>
              <w:t>FAIR: 1</w:t>
            </w:r>
          </w:p>
        </w:tc>
        <w:tc>
          <w:tcPr>
            <w:tcW w:w="1902" w:type="dxa"/>
            <w:tcBorders>
              <w:top w:val="single" w:sz="4" w:space="0" w:color="auto"/>
              <w:left w:val="single" w:sz="4" w:space="0" w:color="auto"/>
              <w:bottom w:val="single" w:sz="4" w:space="0" w:color="auto"/>
              <w:right w:val="single" w:sz="4" w:space="0" w:color="auto"/>
            </w:tcBorders>
          </w:tcPr>
          <w:p w14:paraId="60EBF2C6" w14:textId="7B42DEE7" w:rsidR="00071C30" w:rsidRPr="00703A0B" w:rsidRDefault="00C00BF2" w:rsidP="00071C30">
            <w:pPr>
              <w:contextualSpacing/>
              <w:rPr>
                <w:rFonts w:cs="Arial"/>
                <w:szCs w:val="22"/>
              </w:rPr>
            </w:pPr>
            <w:r w:rsidRPr="00703A0B">
              <w:rPr>
                <w:rFonts w:cs="Arial"/>
                <w:bCs/>
                <w:szCs w:val="22"/>
              </w:rPr>
              <w:t>25,000</w:t>
            </w:r>
          </w:p>
        </w:tc>
        <w:tc>
          <w:tcPr>
            <w:tcW w:w="1641" w:type="dxa"/>
            <w:tcBorders>
              <w:top w:val="single" w:sz="4" w:space="0" w:color="auto"/>
              <w:left w:val="single" w:sz="4" w:space="0" w:color="auto"/>
              <w:bottom w:val="single" w:sz="4" w:space="0" w:color="auto"/>
              <w:right w:val="single" w:sz="4" w:space="0" w:color="auto"/>
            </w:tcBorders>
          </w:tcPr>
          <w:p w14:paraId="56CD71A4" w14:textId="4F6E40D3" w:rsidR="00071C30" w:rsidRPr="00703A0B" w:rsidRDefault="00C00BF2" w:rsidP="00071C30">
            <w:pPr>
              <w:contextualSpacing/>
              <w:rPr>
                <w:rFonts w:cs="Arial"/>
                <w:szCs w:val="22"/>
              </w:rPr>
            </w:pPr>
            <w:r w:rsidRPr="00703A0B">
              <w:rPr>
                <w:rFonts w:cs="Arial"/>
                <w:bCs/>
                <w:szCs w:val="22"/>
              </w:rPr>
              <w:t>n/a</w:t>
            </w:r>
          </w:p>
        </w:tc>
        <w:tc>
          <w:tcPr>
            <w:tcW w:w="1843" w:type="dxa"/>
            <w:tcBorders>
              <w:top w:val="single" w:sz="4" w:space="0" w:color="auto"/>
              <w:left w:val="single" w:sz="4" w:space="0" w:color="auto"/>
              <w:bottom w:val="single" w:sz="4" w:space="0" w:color="auto"/>
              <w:right w:val="single" w:sz="4" w:space="0" w:color="auto"/>
            </w:tcBorders>
          </w:tcPr>
          <w:p w14:paraId="228D8702" w14:textId="02CB7B4C" w:rsidR="00071C30" w:rsidRPr="00703A0B" w:rsidRDefault="00840D9A" w:rsidP="00071C30">
            <w:pPr>
              <w:contextualSpacing/>
              <w:rPr>
                <w:rFonts w:cs="Arial"/>
              </w:rPr>
            </w:pPr>
            <w:r w:rsidRPr="00703A0B">
              <w:rPr>
                <w:rFonts w:cs="Arial"/>
                <w:bCs/>
                <w:szCs w:val="22"/>
              </w:rPr>
              <w:t>12,000</w:t>
            </w:r>
          </w:p>
        </w:tc>
      </w:tr>
      <w:tr w:rsidR="00071C30" w:rsidRPr="00703A0B" w14:paraId="57C5CC4F" w14:textId="77777777" w:rsidTr="001C3235">
        <w:trPr>
          <w:jc w:val="center"/>
        </w:trPr>
        <w:tc>
          <w:tcPr>
            <w:tcW w:w="1418" w:type="dxa"/>
            <w:tcBorders>
              <w:top w:val="single" w:sz="4" w:space="0" w:color="auto"/>
              <w:left w:val="single" w:sz="4" w:space="0" w:color="auto"/>
              <w:bottom w:val="single" w:sz="4" w:space="0" w:color="auto"/>
              <w:right w:val="single" w:sz="4" w:space="0" w:color="auto"/>
            </w:tcBorders>
          </w:tcPr>
          <w:p w14:paraId="35552785" w14:textId="532A9B63" w:rsidR="00071C30" w:rsidRPr="00703A0B" w:rsidRDefault="00071C30" w:rsidP="00071C30">
            <w:pPr>
              <w:contextualSpacing/>
              <w:rPr>
                <w:rFonts w:cs="Arial"/>
                <w:i/>
                <w:szCs w:val="22"/>
              </w:rPr>
            </w:pPr>
            <w:r w:rsidRPr="00703A0B">
              <w:rPr>
                <w:rFonts w:cs="Arial"/>
                <w:szCs w:val="22"/>
              </w:rPr>
              <w:t>Former Member</w:t>
            </w:r>
          </w:p>
        </w:tc>
        <w:tc>
          <w:tcPr>
            <w:tcW w:w="1701" w:type="dxa"/>
            <w:gridSpan w:val="2"/>
            <w:tcBorders>
              <w:top w:val="single" w:sz="4" w:space="0" w:color="auto"/>
              <w:left w:val="single" w:sz="4" w:space="0" w:color="auto"/>
              <w:bottom w:val="single" w:sz="4" w:space="0" w:color="auto"/>
              <w:right w:val="single" w:sz="4" w:space="0" w:color="auto"/>
            </w:tcBorders>
          </w:tcPr>
          <w:p w14:paraId="7D9C2555" w14:textId="77777777" w:rsidR="00071C30" w:rsidRPr="00703A0B" w:rsidRDefault="00071C30" w:rsidP="00071C30">
            <w:pPr>
              <w:autoSpaceDE w:val="0"/>
              <w:autoSpaceDN w:val="0"/>
              <w:adjustRightInd w:val="0"/>
              <w:contextualSpacing/>
              <w:rPr>
                <w:rFonts w:cs="Arial"/>
              </w:rPr>
            </w:pPr>
            <w:r w:rsidRPr="00703A0B">
              <w:rPr>
                <w:rFonts w:cs="Arial"/>
              </w:rPr>
              <w:t>Meg Frisby</w:t>
            </w:r>
          </w:p>
          <w:p w14:paraId="5110D925" w14:textId="77777777" w:rsidR="003709DB" w:rsidRPr="00703A0B" w:rsidRDefault="003709DB" w:rsidP="00071C30">
            <w:pPr>
              <w:autoSpaceDE w:val="0"/>
              <w:autoSpaceDN w:val="0"/>
              <w:adjustRightInd w:val="0"/>
              <w:contextualSpacing/>
              <w:rPr>
                <w:rFonts w:cs="Arial"/>
              </w:rPr>
            </w:pPr>
          </w:p>
          <w:p w14:paraId="7E2DA16A" w14:textId="71D10589" w:rsidR="003709DB" w:rsidRPr="00703A0B" w:rsidRDefault="00D53CC9" w:rsidP="003709DB">
            <w:pPr>
              <w:contextualSpacing/>
              <w:rPr>
                <w:rFonts w:cs="Arial"/>
                <w:i/>
                <w:iCs/>
                <w:szCs w:val="22"/>
              </w:rPr>
            </w:pPr>
            <w:r w:rsidRPr="00703A0B">
              <w:rPr>
                <w:rFonts w:cs="Arial"/>
                <w:i/>
                <w:iCs/>
                <w:szCs w:val="22"/>
              </w:rPr>
              <w:t xml:space="preserve">Ceased </w:t>
            </w:r>
            <w:r w:rsidR="003709DB" w:rsidRPr="00703A0B">
              <w:rPr>
                <w:rFonts w:cs="Arial"/>
                <w:i/>
                <w:iCs/>
                <w:szCs w:val="22"/>
              </w:rPr>
              <w:t>on</w:t>
            </w:r>
          </w:p>
          <w:p w14:paraId="1ED9D9C2" w14:textId="6D43A74D" w:rsidR="003709DB" w:rsidRPr="00703A0B" w:rsidRDefault="006157B4" w:rsidP="003709DB">
            <w:pPr>
              <w:autoSpaceDE w:val="0"/>
              <w:autoSpaceDN w:val="0"/>
              <w:adjustRightInd w:val="0"/>
              <w:contextualSpacing/>
              <w:rPr>
                <w:rFonts w:cs="Arial"/>
                <w:highlight w:val="yellow"/>
              </w:rPr>
            </w:pPr>
            <w:r w:rsidRPr="00703A0B">
              <w:rPr>
                <w:rFonts w:cs="Arial"/>
                <w:i/>
                <w:iCs/>
                <w:szCs w:val="22"/>
              </w:rPr>
              <w:t>30 November 2025</w:t>
            </w:r>
          </w:p>
        </w:tc>
        <w:tc>
          <w:tcPr>
            <w:tcW w:w="1985" w:type="dxa"/>
            <w:tcBorders>
              <w:top w:val="single" w:sz="4" w:space="0" w:color="auto"/>
              <w:left w:val="single" w:sz="4" w:space="0" w:color="auto"/>
              <w:bottom w:val="single" w:sz="4" w:space="0" w:color="auto"/>
              <w:right w:val="single" w:sz="4" w:space="0" w:color="auto"/>
            </w:tcBorders>
          </w:tcPr>
          <w:p w14:paraId="68FFFE52" w14:textId="77777777" w:rsidR="00C146B6" w:rsidRPr="00703A0B" w:rsidRDefault="00071C30" w:rsidP="00C146B6">
            <w:pPr>
              <w:contextualSpacing/>
              <w:rPr>
                <w:rFonts w:cs="Arial"/>
                <w:szCs w:val="22"/>
              </w:rPr>
            </w:pPr>
            <w:r w:rsidRPr="00703A0B">
              <w:rPr>
                <w:rFonts w:cs="Arial"/>
                <w:szCs w:val="22"/>
              </w:rPr>
              <w:t xml:space="preserve">Board: </w:t>
            </w:r>
            <w:r w:rsidR="00C146B6" w:rsidRPr="00703A0B">
              <w:rPr>
                <w:rFonts w:cs="Arial"/>
                <w:szCs w:val="22"/>
              </w:rPr>
              <w:t>4</w:t>
            </w:r>
          </w:p>
          <w:p w14:paraId="3FCC7671" w14:textId="77777777" w:rsidR="00C146B6" w:rsidRPr="00703A0B" w:rsidRDefault="00C146B6" w:rsidP="00C146B6">
            <w:pPr>
              <w:contextualSpacing/>
              <w:rPr>
                <w:rFonts w:cs="Arial"/>
                <w:szCs w:val="22"/>
              </w:rPr>
            </w:pPr>
            <w:r w:rsidRPr="00703A0B">
              <w:rPr>
                <w:rFonts w:cs="Arial"/>
                <w:szCs w:val="22"/>
              </w:rPr>
              <w:t>FAIR: 2</w:t>
            </w:r>
          </w:p>
          <w:p w14:paraId="0978D7C2" w14:textId="2FC83781" w:rsidR="00071C30" w:rsidRPr="00703A0B" w:rsidRDefault="00071C30" w:rsidP="00071C30">
            <w:pPr>
              <w:contextualSpacing/>
              <w:rPr>
                <w:rFonts w:cs="Arial"/>
                <w:szCs w:val="22"/>
              </w:rPr>
            </w:pPr>
            <w:r w:rsidRPr="00703A0B">
              <w:rPr>
                <w:rFonts w:cs="Arial"/>
                <w:szCs w:val="22"/>
              </w:rPr>
              <w:t xml:space="preserve">PCP: </w:t>
            </w:r>
            <w:r w:rsidR="00C146B6" w:rsidRPr="00703A0B">
              <w:rPr>
                <w:rFonts w:cs="Arial"/>
                <w:szCs w:val="22"/>
              </w:rPr>
              <w:t>2</w:t>
            </w:r>
          </w:p>
        </w:tc>
        <w:tc>
          <w:tcPr>
            <w:tcW w:w="1902" w:type="dxa"/>
            <w:tcBorders>
              <w:top w:val="single" w:sz="4" w:space="0" w:color="auto"/>
              <w:left w:val="single" w:sz="4" w:space="0" w:color="auto"/>
              <w:bottom w:val="single" w:sz="4" w:space="0" w:color="auto"/>
              <w:right w:val="single" w:sz="4" w:space="0" w:color="auto"/>
            </w:tcBorders>
          </w:tcPr>
          <w:p w14:paraId="3A1B5AA0" w14:textId="31C9B0F9" w:rsidR="00071C30" w:rsidRPr="00703A0B" w:rsidRDefault="00C00BF2" w:rsidP="00071C30">
            <w:pPr>
              <w:contextualSpacing/>
              <w:rPr>
                <w:rFonts w:cs="Arial"/>
                <w:szCs w:val="22"/>
              </w:rPr>
            </w:pPr>
            <w:r w:rsidRPr="00703A0B">
              <w:rPr>
                <w:rFonts w:cs="Arial"/>
                <w:bCs/>
                <w:szCs w:val="22"/>
              </w:rPr>
              <w:t>25,000</w:t>
            </w:r>
          </w:p>
        </w:tc>
        <w:tc>
          <w:tcPr>
            <w:tcW w:w="1641" w:type="dxa"/>
            <w:tcBorders>
              <w:top w:val="single" w:sz="4" w:space="0" w:color="auto"/>
              <w:left w:val="single" w:sz="4" w:space="0" w:color="auto"/>
              <w:bottom w:val="single" w:sz="4" w:space="0" w:color="auto"/>
              <w:right w:val="single" w:sz="4" w:space="0" w:color="auto"/>
            </w:tcBorders>
          </w:tcPr>
          <w:p w14:paraId="46708D28" w14:textId="21972131" w:rsidR="00071C30" w:rsidRPr="00703A0B" w:rsidRDefault="00C00BF2" w:rsidP="00071C30">
            <w:pPr>
              <w:contextualSpacing/>
              <w:rPr>
                <w:rFonts w:cs="Arial"/>
                <w:szCs w:val="22"/>
              </w:rPr>
            </w:pPr>
            <w:r w:rsidRPr="00703A0B">
              <w:rPr>
                <w:rFonts w:cs="Arial"/>
                <w:bCs/>
                <w:szCs w:val="22"/>
              </w:rPr>
              <w:t>n/a</w:t>
            </w:r>
          </w:p>
        </w:tc>
        <w:tc>
          <w:tcPr>
            <w:tcW w:w="1843" w:type="dxa"/>
            <w:tcBorders>
              <w:top w:val="single" w:sz="4" w:space="0" w:color="auto"/>
              <w:left w:val="single" w:sz="4" w:space="0" w:color="auto"/>
              <w:bottom w:val="single" w:sz="4" w:space="0" w:color="auto"/>
              <w:right w:val="single" w:sz="4" w:space="0" w:color="auto"/>
            </w:tcBorders>
          </w:tcPr>
          <w:p w14:paraId="66E419FC" w14:textId="5345C8EE" w:rsidR="00071C30" w:rsidRPr="00703A0B" w:rsidRDefault="00840D9A" w:rsidP="00071C30">
            <w:pPr>
              <w:contextualSpacing/>
              <w:rPr>
                <w:rFonts w:cs="Arial"/>
              </w:rPr>
            </w:pPr>
            <w:r w:rsidRPr="00703A0B">
              <w:rPr>
                <w:rFonts w:cs="Arial"/>
                <w:bCs/>
                <w:szCs w:val="22"/>
              </w:rPr>
              <w:t>12,000</w:t>
            </w:r>
          </w:p>
        </w:tc>
      </w:tr>
      <w:tr w:rsidR="00071C30" w:rsidRPr="00703A0B" w14:paraId="7E712C6E" w14:textId="77777777" w:rsidTr="001C3235">
        <w:trPr>
          <w:jc w:val="center"/>
        </w:trPr>
        <w:tc>
          <w:tcPr>
            <w:tcW w:w="1418" w:type="dxa"/>
            <w:tcBorders>
              <w:top w:val="single" w:sz="4" w:space="0" w:color="auto"/>
              <w:left w:val="single" w:sz="4" w:space="0" w:color="auto"/>
              <w:bottom w:val="single" w:sz="4" w:space="0" w:color="auto"/>
              <w:right w:val="single" w:sz="4" w:space="0" w:color="auto"/>
            </w:tcBorders>
            <w:hideMark/>
          </w:tcPr>
          <w:p w14:paraId="5A3BE4E3" w14:textId="272598DE" w:rsidR="00071C30" w:rsidRPr="00703A0B" w:rsidRDefault="00071C30" w:rsidP="00071C30">
            <w:pPr>
              <w:contextualSpacing/>
              <w:rPr>
                <w:rFonts w:cs="Arial"/>
                <w:szCs w:val="22"/>
              </w:rPr>
            </w:pPr>
            <w:r w:rsidRPr="00703A0B">
              <w:rPr>
                <w:rFonts w:cs="Arial"/>
                <w:szCs w:val="22"/>
              </w:rPr>
              <w:t>Former Member</w:t>
            </w:r>
          </w:p>
        </w:tc>
        <w:tc>
          <w:tcPr>
            <w:tcW w:w="1701" w:type="dxa"/>
            <w:gridSpan w:val="2"/>
            <w:tcBorders>
              <w:top w:val="single" w:sz="4" w:space="0" w:color="auto"/>
              <w:left w:val="single" w:sz="4" w:space="0" w:color="auto"/>
              <w:bottom w:val="single" w:sz="4" w:space="0" w:color="auto"/>
              <w:right w:val="single" w:sz="4" w:space="0" w:color="auto"/>
            </w:tcBorders>
            <w:hideMark/>
          </w:tcPr>
          <w:p w14:paraId="2426F4CA" w14:textId="77777777" w:rsidR="00071C30" w:rsidRPr="00703A0B" w:rsidRDefault="00071C30" w:rsidP="00071C30">
            <w:pPr>
              <w:contextualSpacing/>
              <w:rPr>
                <w:rFonts w:cs="Arial"/>
                <w:szCs w:val="22"/>
              </w:rPr>
            </w:pPr>
            <w:r w:rsidRPr="00703A0B">
              <w:rPr>
                <w:rFonts w:cs="Arial"/>
                <w:szCs w:val="22"/>
              </w:rPr>
              <w:t>Robyn Petrou</w:t>
            </w:r>
          </w:p>
          <w:p w14:paraId="2237B752" w14:textId="77777777" w:rsidR="003709DB" w:rsidRPr="00703A0B" w:rsidRDefault="003709DB" w:rsidP="00071C30">
            <w:pPr>
              <w:contextualSpacing/>
              <w:rPr>
                <w:rFonts w:cs="Arial"/>
                <w:szCs w:val="22"/>
              </w:rPr>
            </w:pPr>
          </w:p>
          <w:p w14:paraId="47ADE3A6" w14:textId="350F4352" w:rsidR="003709DB" w:rsidRPr="00703A0B" w:rsidRDefault="00D53CC9" w:rsidP="003709DB">
            <w:pPr>
              <w:contextualSpacing/>
              <w:rPr>
                <w:rFonts w:cs="Arial"/>
                <w:i/>
                <w:iCs/>
                <w:szCs w:val="22"/>
              </w:rPr>
            </w:pPr>
            <w:r w:rsidRPr="00703A0B">
              <w:rPr>
                <w:rFonts w:cs="Arial"/>
                <w:i/>
                <w:iCs/>
                <w:szCs w:val="22"/>
              </w:rPr>
              <w:lastRenderedPageBreak/>
              <w:t xml:space="preserve">Ceased </w:t>
            </w:r>
            <w:r w:rsidR="003709DB" w:rsidRPr="00703A0B">
              <w:rPr>
                <w:rFonts w:cs="Arial"/>
                <w:i/>
                <w:iCs/>
                <w:szCs w:val="22"/>
              </w:rPr>
              <w:t>on</w:t>
            </w:r>
          </w:p>
          <w:p w14:paraId="46C8D1C6" w14:textId="478B9B09" w:rsidR="003709DB" w:rsidRPr="00703A0B" w:rsidRDefault="006157B4" w:rsidP="003709DB">
            <w:pPr>
              <w:contextualSpacing/>
              <w:rPr>
                <w:rFonts w:cs="Arial"/>
                <w:szCs w:val="22"/>
                <w:highlight w:val="yellow"/>
              </w:rPr>
            </w:pPr>
            <w:r w:rsidRPr="00703A0B">
              <w:rPr>
                <w:rFonts w:cs="Arial"/>
                <w:i/>
                <w:iCs/>
                <w:szCs w:val="22"/>
              </w:rPr>
              <w:t>30 November 2025</w:t>
            </w:r>
          </w:p>
        </w:tc>
        <w:tc>
          <w:tcPr>
            <w:tcW w:w="1985" w:type="dxa"/>
            <w:tcBorders>
              <w:top w:val="single" w:sz="4" w:space="0" w:color="auto"/>
              <w:left w:val="single" w:sz="4" w:space="0" w:color="auto"/>
              <w:bottom w:val="single" w:sz="4" w:space="0" w:color="auto"/>
              <w:right w:val="single" w:sz="4" w:space="0" w:color="auto"/>
            </w:tcBorders>
          </w:tcPr>
          <w:p w14:paraId="1D4FDA85" w14:textId="46274DCF" w:rsidR="00071C30" w:rsidRPr="00703A0B" w:rsidRDefault="00071C30" w:rsidP="00071C30">
            <w:pPr>
              <w:contextualSpacing/>
              <w:rPr>
                <w:rFonts w:cs="Arial"/>
                <w:szCs w:val="22"/>
              </w:rPr>
            </w:pPr>
            <w:r w:rsidRPr="00703A0B">
              <w:rPr>
                <w:rFonts w:cs="Arial"/>
                <w:szCs w:val="22"/>
              </w:rPr>
              <w:lastRenderedPageBreak/>
              <w:t xml:space="preserve">Board: </w:t>
            </w:r>
            <w:r w:rsidR="00C146B6" w:rsidRPr="00703A0B">
              <w:rPr>
                <w:rFonts w:cs="Arial"/>
                <w:szCs w:val="22"/>
              </w:rPr>
              <w:t>4</w:t>
            </w:r>
          </w:p>
          <w:p w14:paraId="4A8C995B" w14:textId="2FA86A4D" w:rsidR="00071C30" w:rsidRPr="00703A0B" w:rsidRDefault="00071C30" w:rsidP="00071C30">
            <w:pPr>
              <w:contextualSpacing/>
              <w:rPr>
                <w:rFonts w:cs="Arial"/>
                <w:szCs w:val="22"/>
              </w:rPr>
            </w:pPr>
            <w:r w:rsidRPr="00703A0B">
              <w:rPr>
                <w:rFonts w:cs="Arial"/>
                <w:szCs w:val="22"/>
              </w:rPr>
              <w:t>FA</w:t>
            </w:r>
            <w:r w:rsidR="00EB021B" w:rsidRPr="00703A0B">
              <w:rPr>
                <w:rFonts w:cs="Arial"/>
                <w:szCs w:val="22"/>
              </w:rPr>
              <w:t>I</w:t>
            </w:r>
            <w:r w:rsidRPr="00703A0B">
              <w:rPr>
                <w:rFonts w:cs="Arial"/>
                <w:szCs w:val="22"/>
              </w:rPr>
              <w:t xml:space="preserve">R: </w:t>
            </w:r>
            <w:r w:rsidR="00C146B6" w:rsidRPr="00703A0B">
              <w:rPr>
                <w:rFonts w:cs="Arial"/>
                <w:szCs w:val="22"/>
              </w:rPr>
              <w:t>2</w:t>
            </w:r>
          </w:p>
        </w:tc>
        <w:tc>
          <w:tcPr>
            <w:tcW w:w="1902" w:type="dxa"/>
            <w:tcBorders>
              <w:top w:val="single" w:sz="4" w:space="0" w:color="auto"/>
              <w:left w:val="single" w:sz="4" w:space="0" w:color="auto"/>
              <w:bottom w:val="single" w:sz="4" w:space="0" w:color="auto"/>
              <w:right w:val="single" w:sz="4" w:space="0" w:color="auto"/>
            </w:tcBorders>
          </w:tcPr>
          <w:p w14:paraId="5EDD12BC" w14:textId="4992C0B1" w:rsidR="00071C30" w:rsidRPr="00703A0B" w:rsidRDefault="00C00BF2" w:rsidP="00071C30">
            <w:pPr>
              <w:contextualSpacing/>
              <w:rPr>
                <w:rFonts w:cs="Arial"/>
                <w:szCs w:val="22"/>
              </w:rPr>
            </w:pPr>
            <w:r w:rsidRPr="00703A0B">
              <w:rPr>
                <w:rFonts w:cs="Arial"/>
                <w:bCs/>
                <w:szCs w:val="22"/>
              </w:rPr>
              <w:t>25,000</w:t>
            </w:r>
          </w:p>
        </w:tc>
        <w:tc>
          <w:tcPr>
            <w:tcW w:w="1641" w:type="dxa"/>
            <w:tcBorders>
              <w:top w:val="single" w:sz="4" w:space="0" w:color="auto"/>
              <w:left w:val="single" w:sz="4" w:space="0" w:color="auto"/>
              <w:bottom w:val="single" w:sz="4" w:space="0" w:color="auto"/>
              <w:right w:val="single" w:sz="4" w:space="0" w:color="auto"/>
            </w:tcBorders>
          </w:tcPr>
          <w:p w14:paraId="62249382" w14:textId="1DF728D5" w:rsidR="00071C30" w:rsidRPr="00703A0B" w:rsidRDefault="00C00BF2" w:rsidP="00071C30">
            <w:pPr>
              <w:contextualSpacing/>
              <w:rPr>
                <w:rFonts w:cs="Arial"/>
                <w:szCs w:val="22"/>
              </w:rPr>
            </w:pPr>
            <w:r w:rsidRPr="00703A0B">
              <w:rPr>
                <w:rFonts w:cs="Arial"/>
                <w:bCs/>
                <w:szCs w:val="22"/>
              </w:rPr>
              <w:t>n/a</w:t>
            </w:r>
          </w:p>
        </w:tc>
        <w:tc>
          <w:tcPr>
            <w:tcW w:w="1843" w:type="dxa"/>
            <w:tcBorders>
              <w:top w:val="single" w:sz="4" w:space="0" w:color="auto"/>
              <w:left w:val="single" w:sz="4" w:space="0" w:color="auto"/>
              <w:bottom w:val="single" w:sz="4" w:space="0" w:color="auto"/>
              <w:right w:val="single" w:sz="4" w:space="0" w:color="auto"/>
            </w:tcBorders>
          </w:tcPr>
          <w:p w14:paraId="303BBA91" w14:textId="24D3D82C" w:rsidR="00071C30" w:rsidRPr="00703A0B" w:rsidRDefault="00840D9A" w:rsidP="00071C30">
            <w:pPr>
              <w:contextualSpacing/>
              <w:rPr>
                <w:rFonts w:cs="Arial"/>
              </w:rPr>
            </w:pPr>
            <w:r w:rsidRPr="00703A0B">
              <w:rPr>
                <w:rFonts w:cs="Arial"/>
                <w:bCs/>
                <w:szCs w:val="22"/>
              </w:rPr>
              <w:t>12,000</w:t>
            </w:r>
          </w:p>
        </w:tc>
      </w:tr>
      <w:tr w:rsidR="00071C30" w:rsidRPr="00703A0B" w14:paraId="0C33A022" w14:textId="77777777" w:rsidTr="001C3235">
        <w:trPr>
          <w:jc w:val="center"/>
        </w:trPr>
        <w:tc>
          <w:tcPr>
            <w:tcW w:w="1418" w:type="dxa"/>
            <w:tcBorders>
              <w:top w:val="single" w:sz="4" w:space="0" w:color="auto"/>
              <w:left w:val="single" w:sz="4" w:space="0" w:color="auto"/>
              <w:bottom w:val="single" w:sz="4" w:space="0" w:color="auto"/>
              <w:right w:val="single" w:sz="4" w:space="0" w:color="auto"/>
            </w:tcBorders>
            <w:hideMark/>
          </w:tcPr>
          <w:p w14:paraId="56C27D68" w14:textId="77777777" w:rsidR="00071C30" w:rsidRPr="00703A0B" w:rsidRDefault="00071C30" w:rsidP="00071C30">
            <w:pPr>
              <w:contextualSpacing/>
              <w:rPr>
                <w:rFonts w:cs="Arial"/>
                <w:szCs w:val="22"/>
              </w:rPr>
            </w:pPr>
            <w:r w:rsidRPr="00703A0B" w:rsidDel="00143937">
              <w:rPr>
                <w:rFonts w:cs="Arial"/>
                <w:szCs w:val="22"/>
              </w:rPr>
              <w:t xml:space="preserve">No. </w:t>
            </w:r>
            <w:r w:rsidRPr="00703A0B">
              <w:rPr>
                <w:rFonts w:cs="Arial"/>
                <w:szCs w:val="22"/>
              </w:rPr>
              <w:t>of scheduled meetings/sessions</w:t>
            </w:r>
          </w:p>
        </w:tc>
        <w:tc>
          <w:tcPr>
            <w:tcW w:w="9072" w:type="dxa"/>
            <w:gridSpan w:val="6"/>
            <w:tcBorders>
              <w:top w:val="single" w:sz="4" w:space="0" w:color="auto"/>
              <w:left w:val="single" w:sz="4" w:space="0" w:color="auto"/>
              <w:bottom w:val="single" w:sz="4" w:space="0" w:color="auto"/>
              <w:right w:val="single" w:sz="4" w:space="0" w:color="auto"/>
            </w:tcBorders>
            <w:hideMark/>
          </w:tcPr>
          <w:p w14:paraId="24B75B98" w14:textId="3322C74A" w:rsidR="00071C30" w:rsidRPr="00703A0B" w:rsidRDefault="00071C30" w:rsidP="00071C30">
            <w:pPr>
              <w:contextualSpacing/>
              <w:rPr>
                <w:rFonts w:cs="Arial"/>
                <w:szCs w:val="22"/>
              </w:rPr>
            </w:pPr>
            <w:r w:rsidRPr="00703A0B">
              <w:rPr>
                <w:rFonts w:cs="Arial"/>
                <w:szCs w:val="22"/>
              </w:rPr>
              <w:t xml:space="preserve">Board: </w:t>
            </w:r>
            <w:r w:rsidR="003D223F" w:rsidRPr="00703A0B">
              <w:rPr>
                <w:rFonts w:cs="Arial"/>
                <w:szCs w:val="22"/>
              </w:rPr>
              <w:t>9</w:t>
            </w:r>
          </w:p>
          <w:p w14:paraId="327C932B" w14:textId="6FED5A45" w:rsidR="00071C30" w:rsidRPr="00703A0B" w:rsidRDefault="00071C30" w:rsidP="00071C30">
            <w:pPr>
              <w:contextualSpacing/>
              <w:rPr>
                <w:rFonts w:cs="Arial"/>
                <w:szCs w:val="22"/>
              </w:rPr>
            </w:pPr>
            <w:r w:rsidRPr="00703A0B">
              <w:rPr>
                <w:rFonts w:cs="Arial"/>
                <w:szCs w:val="22"/>
              </w:rPr>
              <w:t>FA</w:t>
            </w:r>
            <w:r w:rsidR="00EB021B" w:rsidRPr="00703A0B">
              <w:rPr>
                <w:rFonts w:cs="Arial"/>
                <w:szCs w:val="22"/>
              </w:rPr>
              <w:t>I</w:t>
            </w:r>
            <w:r w:rsidRPr="00703A0B">
              <w:rPr>
                <w:rFonts w:cs="Arial"/>
                <w:szCs w:val="22"/>
              </w:rPr>
              <w:t xml:space="preserve">R: </w:t>
            </w:r>
            <w:r w:rsidR="003D223F" w:rsidRPr="00703A0B">
              <w:rPr>
                <w:rFonts w:cs="Arial"/>
                <w:szCs w:val="22"/>
              </w:rPr>
              <w:t>4</w:t>
            </w:r>
          </w:p>
          <w:p w14:paraId="64CC49AF" w14:textId="1177D4FA" w:rsidR="00071C30" w:rsidRPr="00703A0B" w:rsidRDefault="00071C30" w:rsidP="00EB021B">
            <w:pPr>
              <w:contextualSpacing/>
              <w:rPr>
                <w:rFonts w:cs="Arial"/>
                <w:szCs w:val="22"/>
              </w:rPr>
            </w:pPr>
            <w:r w:rsidRPr="00703A0B">
              <w:rPr>
                <w:rFonts w:cs="Arial"/>
                <w:szCs w:val="22"/>
              </w:rPr>
              <w:t xml:space="preserve">PCP: </w:t>
            </w:r>
            <w:r w:rsidR="003D223F" w:rsidRPr="00703A0B">
              <w:rPr>
                <w:rFonts w:cs="Arial"/>
                <w:szCs w:val="22"/>
              </w:rPr>
              <w:t>4</w:t>
            </w:r>
          </w:p>
        </w:tc>
      </w:tr>
      <w:tr w:rsidR="00071C30" w:rsidRPr="00703A0B" w14:paraId="4D544A8E" w14:textId="77777777" w:rsidTr="001C3235">
        <w:trPr>
          <w:jc w:val="center"/>
        </w:trPr>
        <w:tc>
          <w:tcPr>
            <w:tcW w:w="1418" w:type="dxa"/>
            <w:tcBorders>
              <w:top w:val="single" w:sz="4" w:space="0" w:color="auto"/>
              <w:left w:val="single" w:sz="4" w:space="0" w:color="auto"/>
              <w:bottom w:val="single" w:sz="4" w:space="0" w:color="auto"/>
              <w:right w:val="single" w:sz="4" w:space="0" w:color="auto"/>
            </w:tcBorders>
            <w:hideMark/>
          </w:tcPr>
          <w:p w14:paraId="3392FEDC" w14:textId="77777777" w:rsidR="00071C30" w:rsidRPr="00703A0B" w:rsidRDefault="00071C30" w:rsidP="00071C30">
            <w:pPr>
              <w:contextualSpacing/>
              <w:rPr>
                <w:rFonts w:cs="Arial"/>
                <w:i/>
                <w:szCs w:val="22"/>
                <w:highlight w:val="yellow"/>
              </w:rPr>
            </w:pPr>
            <w:r w:rsidRPr="00703A0B">
              <w:rPr>
                <w:rFonts w:cs="Arial"/>
                <w:szCs w:val="22"/>
              </w:rPr>
              <w:t>Total out of pocket expenses</w:t>
            </w:r>
          </w:p>
        </w:tc>
        <w:tc>
          <w:tcPr>
            <w:tcW w:w="9072" w:type="dxa"/>
            <w:gridSpan w:val="6"/>
            <w:tcBorders>
              <w:top w:val="single" w:sz="4" w:space="0" w:color="auto"/>
              <w:left w:val="single" w:sz="4" w:space="0" w:color="auto"/>
              <w:bottom w:val="single" w:sz="4" w:space="0" w:color="auto"/>
              <w:right w:val="single" w:sz="4" w:space="0" w:color="auto"/>
            </w:tcBorders>
          </w:tcPr>
          <w:p w14:paraId="4A28F381" w14:textId="751E9651" w:rsidR="00F515C7" w:rsidRPr="00703A0B" w:rsidRDefault="00F515C7" w:rsidP="00071C30">
            <w:pPr>
              <w:contextualSpacing/>
            </w:pPr>
          </w:p>
          <w:p w14:paraId="294814D7" w14:textId="7F07AE23" w:rsidR="00071C30" w:rsidRPr="00703A0B" w:rsidRDefault="00071C30" w:rsidP="00071C30">
            <w:pPr>
              <w:contextualSpacing/>
              <w:rPr>
                <w:rFonts w:cs="Arial"/>
              </w:rPr>
            </w:pPr>
            <w:r w:rsidRPr="00703A0B">
              <w:t>$</w:t>
            </w:r>
            <w:r w:rsidR="00463B7F" w:rsidRPr="00703A0B">
              <w:t>21,495.61</w:t>
            </w:r>
            <w:r w:rsidRPr="00703A0B">
              <w:t>.</w:t>
            </w:r>
            <w:r w:rsidRPr="00703A0B" w:rsidDel="006B7DB3">
              <w:t xml:space="preserve"> </w:t>
            </w:r>
            <w:r w:rsidRPr="00703A0B">
              <w:t>Other operational costs totalled $</w:t>
            </w:r>
            <w:r w:rsidR="00463B7F" w:rsidRPr="00703A0B">
              <w:rPr>
                <w:rFonts w:cs="Arial"/>
              </w:rPr>
              <w:t>18,662</w:t>
            </w:r>
            <w:r w:rsidR="00D64517" w:rsidRPr="00703A0B">
              <w:rPr>
                <w:rFonts w:cs="Arial"/>
              </w:rPr>
              <w:t>.</w:t>
            </w:r>
            <w:r w:rsidR="00463B7F" w:rsidRPr="00703A0B">
              <w:rPr>
                <w:rFonts w:cs="Arial"/>
              </w:rPr>
              <w:t>61</w:t>
            </w:r>
          </w:p>
        </w:tc>
      </w:tr>
    </w:tbl>
    <w:p w14:paraId="35A3C8C2" w14:textId="77777777" w:rsidR="00C87FFE" w:rsidRPr="00703A0B" w:rsidRDefault="00C87FFE" w:rsidP="00C87FFE">
      <w:bookmarkStart w:id="147" w:name="_Service_Trades_Council_1"/>
      <w:bookmarkEnd w:id="147"/>
    </w:p>
    <w:p w14:paraId="729B6825" w14:textId="77777777" w:rsidR="00482E99" w:rsidRPr="00703A0B" w:rsidRDefault="00482E99">
      <w:pPr>
        <w:rPr>
          <w:rFonts w:eastAsiaTheme="majorEastAsia" w:cstheme="majorBidi"/>
          <w:b/>
          <w:sz w:val="28"/>
        </w:rPr>
      </w:pPr>
      <w:r w:rsidRPr="00703A0B">
        <w:br w:type="page"/>
      </w:r>
    </w:p>
    <w:p w14:paraId="15345FAD" w14:textId="0AC08E84" w:rsidR="007345BE" w:rsidRPr="00703A0B" w:rsidRDefault="007345BE" w:rsidP="007345BE">
      <w:pPr>
        <w:pStyle w:val="Heading3"/>
        <w:rPr>
          <w:rFonts w:cs="Arial"/>
        </w:rPr>
      </w:pPr>
      <w:r w:rsidRPr="00703A0B">
        <w:lastRenderedPageBreak/>
        <w:t>Senior Leadership Team</w:t>
      </w:r>
      <w:r w:rsidR="001E71B0" w:rsidRPr="00703A0B">
        <w:t xml:space="preserve"> (SLT)</w:t>
      </w:r>
    </w:p>
    <w:p w14:paraId="7D3D0A3D" w14:textId="6EA8274D" w:rsidR="4A97A777" w:rsidRPr="00703A0B" w:rsidRDefault="00335537" w:rsidP="473BD2F1">
      <w:pPr>
        <w:spacing w:before="120" w:after="120"/>
      </w:pPr>
      <w:r w:rsidRPr="00703A0B">
        <w:rPr>
          <w:rFonts w:eastAsia="Arial" w:cs="Arial"/>
        </w:rPr>
        <w:t>L</w:t>
      </w:r>
      <w:r w:rsidR="00D767E5" w:rsidRPr="00703A0B">
        <w:rPr>
          <w:rFonts w:eastAsia="Arial" w:cs="Arial"/>
        </w:rPr>
        <w:t xml:space="preserve">ed by </w:t>
      </w:r>
      <w:r w:rsidR="4A97A777" w:rsidRPr="00703A0B">
        <w:rPr>
          <w:rFonts w:eastAsia="Arial" w:cs="Arial"/>
        </w:rPr>
        <w:t>the Com</w:t>
      </w:r>
      <w:r w:rsidR="7C110FAC" w:rsidRPr="00703A0B">
        <w:rPr>
          <w:rFonts w:eastAsia="Arial" w:cs="Arial"/>
        </w:rPr>
        <w:t>missioner</w:t>
      </w:r>
      <w:r w:rsidR="00D57429" w:rsidRPr="00703A0B">
        <w:rPr>
          <w:rFonts w:eastAsia="Arial" w:cs="Arial"/>
        </w:rPr>
        <w:t>,</w:t>
      </w:r>
      <w:r w:rsidRPr="00703A0B">
        <w:rPr>
          <w:rFonts w:eastAsia="Arial" w:cs="Arial"/>
        </w:rPr>
        <w:t xml:space="preserve"> the QBCC SLT</w:t>
      </w:r>
      <w:r w:rsidR="4A97A777" w:rsidRPr="00703A0B">
        <w:rPr>
          <w:rFonts w:eastAsia="Arial" w:cs="Arial"/>
        </w:rPr>
        <w:t xml:space="preserve"> </w:t>
      </w:r>
      <w:r w:rsidR="00AE363A" w:rsidRPr="00703A0B">
        <w:rPr>
          <w:rFonts w:eastAsia="Arial" w:cs="Arial"/>
        </w:rPr>
        <w:t xml:space="preserve">provides </w:t>
      </w:r>
      <w:r w:rsidR="4A97A777" w:rsidRPr="00703A0B">
        <w:rPr>
          <w:rFonts w:eastAsia="Arial" w:cs="Arial"/>
        </w:rPr>
        <w:t xml:space="preserve">strategic </w:t>
      </w:r>
      <w:r w:rsidR="00AE363A" w:rsidRPr="00703A0B">
        <w:rPr>
          <w:rFonts w:eastAsia="Arial" w:cs="Arial"/>
        </w:rPr>
        <w:t xml:space="preserve">leadership </w:t>
      </w:r>
      <w:r w:rsidR="4A97A777" w:rsidRPr="00703A0B">
        <w:rPr>
          <w:rFonts w:eastAsia="Arial" w:cs="Arial"/>
        </w:rPr>
        <w:t xml:space="preserve">and operational oversight of the </w:t>
      </w:r>
      <w:r w:rsidR="00921CE2" w:rsidRPr="00703A0B">
        <w:rPr>
          <w:rFonts w:eastAsia="Arial" w:cs="Arial"/>
        </w:rPr>
        <w:t>QBCC</w:t>
      </w:r>
      <w:r w:rsidR="00AE363A" w:rsidRPr="00703A0B">
        <w:rPr>
          <w:rFonts w:eastAsia="Arial" w:cs="Arial"/>
        </w:rPr>
        <w:t xml:space="preserve">. The SLT is responsible for driving the delivery of strategic priorities, overseeing </w:t>
      </w:r>
      <w:r w:rsidR="009F70F4" w:rsidRPr="00703A0B">
        <w:rPr>
          <w:rFonts w:eastAsia="Arial" w:cs="Arial"/>
        </w:rPr>
        <w:t>organisational</w:t>
      </w:r>
      <w:r w:rsidR="00AE363A" w:rsidRPr="00703A0B">
        <w:rPr>
          <w:rFonts w:eastAsia="Arial" w:cs="Arial"/>
        </w:rPr>
        <w:t xml:space="preserve"> performance</w:t>
      </w:r>
      <w:r w:rsidR="00144C00" w:rsidRPr="00703A0B">
        <w:rPr>
          <w:rFonts w:eastAsia="Arial" w:cs="Arial"/>
        </w:rPr>
        <w:t xml:space="preserve"> </w:t>
      </w:r>
      <w:r w:rsidR="00AE363A" w:rsidRPr="00703A0B">
        <w:rPr>
          <w:rFonts w:eastAsia="Arial" w:cs="Arial"/>
        </w:rPr>
        <w:t>and</w:t>
      </w:r>
      <w:r w:rsidR="00623D25" w:rsidRPr="00703A0B">
        <w:rPr>
          <w:rFonts w:eastAsia="Arial" w:cs="Arial"/>
        </w:rPr>
        <w:t xml:space="preserve"> </w:t>
      </w:r>
      <w:r w:rsidR="4A97A777" w:rsidRPr="00703A0B">
        <w:rPr>
          <w:rFonts w:eastAsia="Arial" w:cs="Arial"/>
        </w:rPr>
        <w:t xml:space="preserve">implementing </w:t>
      </w:r>
      <w:r w:rsidR="00AE363A" w:rsidRPr="00703A0B">
        <w:rPr>
          <w:rFonts w:eastAsia="Arial" w:cs="Arial"/>
        </w:rPr>
        <w:t xml:space="preserve">initiatives that support the achievement of </w:t>
      </w:r>
      <w:r w:rsidR="00623D25" w:rsidRPr="00703A0B">
        <w:rPr>
          <w:rFonts w:eastAsia="Arial" w:cs="Arial"/>
        </w:rPr>
        <w:t>organisation</w:t>
      </w:r>
      <w:r w:rsidR="009F70F4" w:rsidRPr="00703A0B">
        <w:rPr>
          <w:rFonts w:eastAsia="Arial" w:cs="Arial"/>
        </w:rPr>
        <w:t xml:space="preserve">’s </w:t>
      </w:r>
      <w:r w:rsidR="4A97A777" w:rsidRPr="00703A0B">
        <w:rPr>
          <w:rFonts w:eastAsia="Arial" w:cs="Arial"/>
        </w:rPr>
        <w:t>objectives</w:t>
      </w:r>
      <w:r w:rsidR="009F70F4" w:rsidRPr="00703A0B">
        <w:rPr>
          <w:rFonts w:eastAsia="Arial" w:cs="Arial"/>
        </w:rPr>
        <w:t xml:space="preserve"> and desired outcomes</w:t>
      </w:r>
      <w:r w:rsidR="4A97A777" w:rsidRPr="00703A0B">
        <w:rPr>
          <w:rFonts w:eastAsia="Arial" w:cs="Arial"/>
        </w:rPr>
        <w:t>.</w:t>
      </w:r>
      <w:r w:rsidR="00F63B2D" w:rsidRPr="00703A0B">
        <w:rPr>
          <w:rFonts w:eastAsia="Arial" w:cs="Arial"/>
        </w:rPr>
        <w:t xml:space="preserve"> </w:t>
      </w:r>
      <w:r w:rsidR="00F63B2D" w:rsidRPr="00703A0B">
        <w:rPr>
          <w:rFonts w:eastAsia="Arial" w:cs="Arial"/>
        </w:rPr>
        <w:fldChar w:fldCharType="begin"/>
      </w:r>
      <w:r w:rsidR="00F63B2D" w:rsidRPr="00703A0B">
        <w:rPr>
          <w:rFonts w:eastAsia="Arial" w:cs="Arial"/>
        </w:rPr>
        <w:instrText xml:space="preserve"> REF _Ref235089936 \h </w:instrText>
      </w:r>
      <w:r w:rsidR="00F63B2D" w:rsidRPr="00703A0B">
        <w:rPr>
          <w:rFonts w:eastAsia="Arial" w:cs="Arial"/>
        </w:rPr>
      </w:r>
      <w:r w:rsidR="00F63B2D" w:rsidRPr="00703A0B">
        <w:rPr>
          <w:rFonts w:eastAsia="Arial" w:cs="Arial"/>
        </w:rPr>
        <w:fldChar w:fldCharType="separate"/>
      </w:r>
      <w:r w:rsidR="00785208" w:rsidRPr="00703A0B">
        <w:t xml:space="preserve">Table </w:t>
      </w:r>
      <w:r w:rsidR="00785208" w:rsidRPr="00F80E1E">
        <w:t>22</w:t>
      </w:r>
      <w:r w:rsidR="00F63B2D" w:rsidRPr="00703A0B">
        <w:rPr>
          <w:rFonts w:eastAsia="Arial" w:cs="Arial"/>
        </w:rPr>
        <w:fldChar w:fldCharType="end"/>
      </w:r>
      <w:r w:rsidR="00F63B2D" w:rsidRPr="00703A0B">
        <w:rPr>
          <w:rFonts w:eastAsia="Arial" w:cs="Arial"/>
        </w:rPr>
        <w:t xml:space="preserve"> provides an overview of the SLT members and their profiles.</w:t>
      </w:r>
    </w:p>
    <w:p w14:paraId="63D2A7F4" w14:textId="6AD362A5" w:rsidR="007345BE" w:rsidRPr="00703A0B" w:rsidRDefault="009E2CEA" w:rsidP="009E2CEA">
      <w:pPr>
        <w:pStyle w:val="Caption"/>
      </w:pPr>
      <w:bookmarkStart w:id="148" w:name="_Ref235089936"/>
      <w:r w:rsidRPr="00703A0B">
        <w:t xml:space="preserve">Table </w:t>
      </w:r>
      <w:r w:rsidRPr="00703A0B">
        <w:fldChar w:fldCharType="begin"/>
      </w:r>
      <w:r w:rsidRPr="00703A0B">
        <w:instrText>SEQ Table \* ARABIC</w:instrText>
      </w:r>
      <w:r w:rsidRPr="00703A0B">
        <w:fldChar w:fldCharType="separate"/>
      </w:r>
      <w:r w:rsidR="003764AA" w:rsidRPr="00F80E1E">
        <w:t>22</w:t>
      </w:r>
      <w:r w:rsidRPr="00703A0B">
        <w:fldChar w:fldCharType="end"/>
      </w:r>
      <w:r w:rsidR="00D60301" w:rsidRPr="00703A0B">
        <w:fldChar w:fldCharType="begin"/>
      </w:r>
      <w:r w:rsidR="00D60301" w:rsidRPr="00703A0B">
        <w:instrText xml:space="preserve"> REF _Ref203982265 \h </w:instrText>
      </w:r>
      <w:r w:rsidR="00D60301" w:rsidRPr="00703A0B">
        <w:fldChar w:fldCharType="separate"/>
      </w:r>
      <w:r w:rsidR="00D60301" w:rsidRPr="00703A0B">
        <w:fldChar w:fldCharType="end"/>
      </w:r>
      <w:r w:rsidR="007345BE" w:rsidRPr="00703A0B">
        <w:t>:</w:t>
      </w:r>
      <w:bookmarkStart w:id="149" w:name="_Toc202872065"/>
      <w:bookmarkStart w:id="150" w:name="_Toc202872685"/>
      <w:bookmarkEnd w:id="148"/>
      <w:r w:rsidR="007345BE" w:rsidRPr="00703A0B">
        <w:t xml:space="preserve"> </w:t>
      </w:r>
      <w:bookmarkStart w:id="151" w:name="_Ref202873630"/>
      <w:r w:rsidR="007345BE" w:rsidRPr="00703A0B">
        <w:t xml:space="preserve">SLT </w:t>
      </w:r>
      <w:r w:rsidR="0052373A" w:rsidRPr="00703A0B">
        <w:t>members</w:t>
      </w:r>
      <w:r w:rsidR="006176A5" w:rsidRPr="00703A0B">
        <w:t xml:space="preserve"> and their profiles as of 30 June 202</w:t>
      </w:r>
      <w:bookmarkEnd w:id="149"/>
      <w:bookmarkEnd w:id="150"/>
      <w:bookmarkEnd w:id="151"/>
      <w:r w:rsidR="00621867" w:rsidRPr="00703A0B">
        <w:t>6</w:t>
      </w:r>
    </w:p>
    <w:tbl>
      <w:tblPr>
        <w:tblStyle w:val="TableGrid"/>
        <w:tblW w:w="0" w:type="auto"/>
        <w:tblCellMar>
          <w:top w:w="28" w:type="dxa"/>
          <w:bottom w:w="28" w:type="dxa"/>
        </w:tblCellMar>
        <w:tblLook w:val="04A0" w:firstRow="1" w:lastRow="0" w:firstColumn="1" w:lastColumn="0" w:noHBand="0" w:noVBand="1"/>
      </w:tblPr>
      <w:tblGrid>
        <w:gridCol w:w="2830"/>
        <w:gridCol w:w="7620"/>
      </w:tblGrid>
      <w:tr w:rsidR="007345BE" w:rsidRPr="00703A0B" w14:paraId="72FC1C49" w14:textId="77777777" w:rsidTr="002763C4">
        <w:tc>
          <w:tcPr>
            <w:tcW w:w="2830" w:type="dxa"/>
            <w:shd w:val="clear" w:color="auto" w:fill="BFBFBF" w:themeFill="background1" w:themeFillShade="BF"/>
            <w:vAlign w:val="center"/>
          </w:tcPr>
          <w:p w14:paraId="23822AD6" w14:textId="77777777" w:rsidR="007345BE" w:rsidRPr="00703A0B" w:rsidRDefault="007345BE">
            <w:pPr>
              <w:rPr>
                <w:rFonts w:cs="Arial"/>
                <w:b/>
              </w:rPr>
            </w:pPr>
            <w:r w:rsidRPr="00703A0B">
              <w:rPr>
                <w:rFonts w:cs="Arial"/>
                <w:b/>
              </w:rPr>
              <w:t xml:space="preserve">Name and position </w:t>
            </w:r>
          </w:p>
        </w:tc>
        <w:tc>
          <w:tcPr>
            <w:tcW w:w="7620" w:type="dxa"/>
            <w:shd w:val="clear" w:color="auto" w:fill="BFBFBF" w:themeFill="background1" w:themeFillShade="BF"/>
            <w:vAlign w:val="center"/>
          </w:tcPr>
          <w:p w14:paraId="53B21C7F" w14:textId="77777777" w:rsidR="007345BE" w:rsidRPr="00703A0B" w:rsidRDefault="007345BE">
            <w:pPr>
              <w:rPr>
                <w:rFonts w:cs="Arial"/>
                <w:b/>
              </w:rPr>
            </w:pPr>
            <w:r w:rsidRPr="00703A0B">
              <w:rPr>
                <w:rFonts w:cs="Arial"/>
                <w:b/>
              </w:rPr>
              <w:t xml:space="preserve">Profile </w:t>
            </w:r>
          </w:p>
        </w:tc>
      </w:tr>
      <w:tr w:rsidR="007345BE" w:rsidRPr="00703A0B" w14:paraId="6C7CB8C8" w14:textId="77777777" w:rsidTr="002763C4">
        <w:tc>
          <w:tcPr>
            <w:tcW w:w="2830" w:type="dxa"/>
          </w:tcPr>
          <w:p w14:paraId="4CD608CA" w14:textId="77777777" w:rsidR="007345BE" w:rsidRPr="00703A0B" w:rsidRDefault="007345BE">
            <w:pPr>
              <w:rPr>
                <w:rFonts w:cs="Arial"/>
                <w:b/>
              </w:rPr>
            </w:pPr>
            <w:r w:rsidRPr="00703A0B">
              <w:rPr>
                <w:rFonts w:cs="Arial"/>
                <w:b/>
              </w:rPr>
              <w:t>Angelo Lambrinos</w:t>
            </w:r>
          </w:p>
          <w:p w14:paraId="4A1C195B" w14:textId="77777777" w:rsidR="007345BE" w:rsidRPr="00703A0B" w:rsidRDefault="007345BE">
            <w:pPr>
              <w:rPr>
                <w:rFonts w:cs="Arial"/>
              </w:rPr>
            </w:pPr>
            <w:r w:rsidRPr="00703A0B">
              <w:rPr>
                <w:rFonts w:cs="Arial"/>
              </w:rPr>
              <w:t>CEO and Commissioner</w:t>
            </w:r>
          </w:p>
          <w:p w14:paraId="33058815" w14:textId="77777777" w:rsidR="007345BE" w:rsidRPr="00703A0B" w:rsidRDefault="007345BE">
            <w:pPr>
              <w:rPr>
                <w:rFonts w:cs="Arial"/>
              </w:rPr>
            </w:pPr>
          </w:p>
        </w:tc>
        <w:tc>
          <w:tcPr>
            <w:tcW w:w="7620" w:type="dxa"/>
          </w:tcPr>
          <w:p w14:paraId="7642672A" w14:textId="56ACCF7E" w:rsidR="007345BE" w:rsidRPr="00703A0B" w:rsidRDefault="007345BE">
            <w:pPr>
              <w:rPr>
                <w:rFonts w:cs="Arial"/>
              </w:rPr>
            </w:pPr>
            <w:r w:rsidRPr="00703A0B">
              <w:rPr>
                <w:rFonts w:cs="Arial"/>
              </w:rPr>
              <w:t xml:space="preserve">Angelo is a </w:t>
            </w:r>
            <w:r w:rsidR="00F86404" w:rsidRPr="00703A0B">
              <w:rPr>
                <w:rFonts w:cs="Arial"/>
              </w:rPr>
              <w:t xml:space="preserve">senior </w:t>
            </w:r>
            <w:r w:rsidRPr="00703A0B">
              <w:rPr>
                <w:rFonts w:cs="Arial"/>
              </w:rPr>
              <w:t xml:space="preserve">executive and </w:t>
            </w:r>
            <w:r w:rsidR="005100C1" w:rsidRPr="00703A0B">
              <w:rPr>
                <w:rFonts w:cs="Arial"/>
              </w:rPr>
              <w:t>C</w:t>
            </w:r>
            <w:r w:rsidRPr="00703A0B">
              <w:rPr>
                <w:rFonts w:cs="Arial"/>
              </w:rPr>
              <w:t xml:space="preserve">hartered </w:t>
            </w:r>
            <w:r w:rsidR="005100C1" w:rsidRPr="00703A0B">
              <w:rPr>
                <w:rFonts w:cs="Arial"/>
              </w:rPr>
              <w:t>P</w:t>
            </w:r>
            <w:r w:rsidRPr="00703A0B">
              <w:rPr>
                <w:rFonts w:cs="Arial"/>
              </w:rPr>
              <w:t xml:space="preserve">rofessional </w:t>
            </w:r>
            <w:r w:rsidR="005100C1" w:rsidRPr="00703A0B">
              <w:rPr>
                <w:rFonts w:cs="Arial"/>
              </w:rPr>
              <w:t>E</w:t>
            </w:r>
            <w:r w:rsidRPr="00703A0B">
              <w:rPr>
                <w:rFonts w:cs="Arial"/>
              </w:rPr>
              <w:t xml:space="preserve">ngineer with </w:t>
            </w:r>
            <w:r w:rsidR="00F30BB0" w:rsidRPr="00703A0B">
              <w:rPr>
                <w:rFonts w:cs="Arial"/>
              </w:rPr>
              <w:t>over 25 years</w:t>
            </w:r>
            <w:r w:rsidR="00F5729C" w:rsidRPr="00703A0B">
              <w:rPr>
                <w:rFonts w:cs="Arial"/>
              </w:rPr>
              <w:t xml:space="preserve"> of</w:t>
            </w:r>
            <w:r w:rsidR="00F30BB0" w:rsidRPr="00703A0B">
              <w:rPr>
                <w:rFonts w:cs="Arial"/>
              </w:rPr>
              <w:t xml:space="preserve"> experience driving </w:t>
            </w:r>
            <w:r w:rsidRPr="00703A0B">
              <w:rPr>
                <w:rFonts w:cs="Arial"/>
              </w:rPr>
              <w:t xml:space="preserve">organisational </w:t>
            </w:r>
            <w:r w:rsidR="0069058F" w:rsidRPr="00703A0B">
              <w:rPr>
                <w:rFonts w:cs="Arial"/>
              </w:rPr>
              <w:t xml:space="preserve">transformation </w:t>
            </w:r>
            <w:r w:rsidRPr="00703A0B">
              <w:rPr>
                <w:rFonts w:cs="Arial"/>
              </w:rPr>
              <w:t xml:space="preserve">through strategic leadership. </w:t>
            </w:r>
            <w:r w:rsidR="004859F4" w:rsidRPr="00703A0B">
              <w:rPr>
                <w:rFonts w:cs="Arial"/>
              </w:rPr>
              <w:t xml:space="preserve">With </w:t>
            </w:r>
            <w:r w:rsidR="00713910" w:rsidRPr="00703A0B">
              <w:rPr>
                <w:rFonts w:cs="Arial"/>
              </w:rPr>
              <w:t xml:space="preserve">a </w:t>
            </w:r>
            <w:r w:rsidR="00F06952" w:rsidRPr="00703A0B">
              <w:rPr>
                <w:rFonts w:cs="Arial"/>
              </w:rPr>
              <w:t xml:space="preserve">diverse </w:t>
            </w:r>
            <w:r w:rsidR="00B25D93" w:rsidRPr="00703A0B">
              <w:rPr>
                <w:rFonts w:cs="Arial"/>
              </w:rPr>
              <w:t>background span</w:t>
            </w:r>
            <w:r w:rsidR="00270041" w:rsidRPr="00703A0B">
              <w:rPr>
                <w:rFonts w:cs="Arial"/>
              </w:rPr>
              <w:t xml:space="preserve">ning </w:t>
            </w:r>
            <w:r w:rsidRPr="00703A0B">
              <w:rPr>
                <w:rFonts w:cs="Arial"/>
              </w:rPr>
              <w:t xml:space="preserve">construction, financial services and operations, </w:t>
            </w:r>
            <w:r w:rsidR="00713910" w:rsidRPr="00703A0B">
              <w:rPr>
                <w:rFonts w:cs="Arial"/>
              </w:rPr>
              <w:t xml:space="preserve">Angelo </w:t>
            </w:r>
            <w:r w:rsidR="00DC7CC2" w:rsidRPr="00703A0B">
              <w:rPr>
                <w:rFonts w:cs="Arial"/>
              </w:rPr>
              <w:t xml:space="preserve">has successfully </w:t>
            </w:r>
            <w:r w:rsidRPr="00703A0B">
              <w:rPr>
                <w:rFonts w:cs="Arial"/>
              </w:rPr>
              <w:t>led large-scale transformation</w:t>
            </w:r>
            <w:r w:rsidR="000A561B" w:rsidRPr="00703A0B">
              <w:rPr>
                <w:rFonts w:cs="Arial"/>
              </w:rPr>
              <w:t>s</w:t>
            </w:r>
            <w:r w:rsidR="00DC7CC2" w:rsidRPr="00703A0B">
              <w:rPr>
                <w:rFonts w:cs="Arial"/>
              </w:rPr>
              <w:t xml:space="preserve"> </w:t>
            </w:r>
            <w:r w:rsidR="002D662E" w:rsidRPr="00703A0B">
              <w:rPr>
                <w:rFonts w:cs="Arial"/>
              </w:rPr>
              <w:t>that have</w:t>
            </w:r>
            <w:r w:rsidR="00CE7B41" w:rsidRPr="00703A0B">
              <w:rPr>
                <w:rFonts w:cs="Arial"/>
              </w:rPr>
              <w:t xml:space="preserve"> delivered improved </w:t>
            </w:r>
            <w:r w:rsidRPr="00703A0B">
              <w:rPr>
                <w:rFonts w:cs="Arial"/>
              </w:rPr>
              <w:t>service responsiveness</w:t>
            </w:r>
            <w:r w:rsidR="004500E4" w:rsidRPr="00703A0B">
              <w:rPr>
                <w:rFonts w:cs="Arial"/>
              </w:rPr>
              <w:t xml:space="preserve"> and </w:t>
            </w:r>
            <w:r w:rsidRPr="00703A0B">
              <w:rPr>
                <w:rFonts w:cs="Arial"/>
              </w:rPr>
              <w:t>increased customer satisfaction</w:t>
            </w:r>
            <w:r w:rsidR="007A0A53" w:rsidRPr="00703A0B">
              <w:rPr>
                <w:rFonts w:cs="Arial"/>
              </w:rPr>
              <w:t xml:space="preserve">. </w:t>
            </w:r>
            <w:r w:rsidR="00CD4EC0" w:rsidRPr="00703A0B">
              <w:rPr>
                <w:rFonts w:cs="Arial"/>
              </w:rPr>
              <w:t xml:space="preserve">He has built his </w:t>
            </w:r>
            <w:r w:rsidR="00015B98" w:rsidRPr="00703A0B">
              <w:rPr>
                <w:rFonts w:cs="Arial"/>
              </w:rPr>
              <w:t>credibility and reputation</w:t>
            </w:r>
            <w:r w:rsidRPr="00703A0B">
              <w:rPr>
                <w:rFonts w:cs="Arial"/>
              </w:rPr>
              <w:t xml:space="preserve"> </w:t>
            </w:r>
            <w:r w:rsidR="000B1B92" w:rsidRPr="00703A0B">
              <w:rPr>
                <w:rFonts w:cs="Arial"/>
              </w:rPr>
              <w:t>su</w:t>
            </w:r>
            <w:r w:rsidR="003747F0" w:rsidRPr="00703A0B">
              <w:rPr>
                <w:rFonts w:cs="Arial"/>
              </w:rPr>
              <w:t xml:space="preserve">ccessfully </w:t>
            </w:r>
            <w:r w:rsidR="005A42CC" w:rsidRPr="00703A0B">
              <w:rPr>
                <w:rFonts w:cs="Arial"/>
              </w:rPr>
              <w:t>delivering</w:t>
            </w:r>
            <w:r w:rsidR="008B3471" w:rsidRPr="00703A0B">
              <w:rPr>
                <w:rFonts w:cs="Arial"/>
              </w:rPr>
              <w:t xml:space="preserve"> </w:t>
            </w:r>
            <w:r w:rsidRPr="00703A0B">
              <w:rPr>
                <w:rFonts w:cs="Arial"/>
              </w:rPr>
              <w:t>major infrastructure, corporate and asset</w:t>
            </w:r>
            <w:r w:rsidR="008B3471" w:rsidRPr="00703A0B">
              <w:rPr>
                <w:rFonts w:cs="Arial"/>
              </w:rPr>
              <w:t>-</w:t>
            </w:r>
            <w:r w:rsidRPr="00703A0B">
              <w:rPr>
                <w:rFonts w:cs="Arial"/>
              </w:rPr>
              <w:t>intensive portfolios</w:t>
            </w:r>
            <w:r w:rsidR="00A10DC8" w:rsidRPr="00703A0B">
              <w:rPr>
                <w:rFonts w:cs="Arial"/>
              </w:rPr>
              <w:t xml:space="preserve"> and building high performing and </w:t>
            </w:r>
            <w:r w:rsidR="002B0713" w:rsidRPr="00703A0B">
              <w:rPr>
                <w:rFonts w:cs="Arial"/>
              </w:rPr>
              <w:t>highly engaged</w:t>
            </w:r>
            <w:r w:rsidR="002D15AB" w:rsidRPr="00703A0B">
              <w:rPr>
                <w:rFonts w:cs="Arial"/>
              </w:rPr>
              <w:t xml:space="preserve"> and optimised</w:t>
            </w:r>
            <w:r w:rsidR="002B0713" w:rsidRPr="00703A0B">
              <w:rPr>
                <w:rFonts w:cs="Arial"/>
              </w:rPr>
              <w:t xml:space="preserve"> orga</w:t>
            </w:r>
            <w:r w:rsidR="00A866D0" w:rsidRPr="00703A0B">
              <w:rPr>
                <w:rFonts w:cs="Arial"/>
              </w:rPr>
              <w:t>n</w:t>
            </w:r>
            <w:r w:rsidR="002B0713" w:rsidRPr="00703A0B">
              <w:rPr>
                <w:rFonts w:cs="Arial"/>
              </w:rPr>
              <w:t>isations</w:t>
            </w:r>
            <w:r w:rsidRPr="00703A0B">
              <w:rPr>
                <w:rFonts w:cs="Arial"/>
              </w:rPr>
              <w:t>.</w:t>
            </w:r>
          </w:p>
        </w:tc>
      </w:tr>
      <w:tr w:rsidR="007345BE" w:rsidRPr="00703A0B" w14:paraId="31F3A14A" w14:textId="77777777" w:rsidTr="002763C4">
        <w:tc>
          <w:tcPr>
            <w:tcW w:w="2830" w:type="dxa"/>
          </w:tcPr>
          <w:p w14:paraId="3AAE0FC9" w14:textId="3CEC976E" w:rsidR="00234B36" w:rsidRPr="00703A0B" w:rsidRDefault="00234B36">
            <w:pPr>
              <w:rPr>
                <w:rFonts w:cs="Arial"/>
                <w:b/>
              </w:rPr>
            </w:pPr>
            <w:r w:rsidRPr="00703A0B">
              <w:rPr>
                <w:rFonts w:cs="Arial"/>
                <w:b/>
              </w:rPr>
              <w:t xml:space="preserve">Amanda Pafumi </w:t>
            </w:r>
          </w:p>
          <w:p w14:paraId="46DE8303" w14:textId="7C89D05B" w:rsidR="00234B36" w:rsidRPr="00703A0B" w:rsidRDefault="00234B36">
            <w:pPr>
              <w:rPr>
                <w:rFonts w:cs="Arial"/>
                <w:bCs/>
              </w:rPr>
            </w:pPr>
            <w:r w:rsidRPr="00703A0B">
              <w:rPr>
                <w:rFonts w:cs="Arial"/>
                <w:bCs/>
              </w:rPr>
              <w:t>Chief Operating Officer</w:t>
            </w:r>
          </w:p>
          <w:p w14:paraId="113865D9" w14:textId="77777777" w:rsidR="007345BE" w:rsidRPr="00703A0B" w:rsidRDefault="007345BE">
            <w:pPr>
              <w:rPr>
                <w:rFonts w:cs="Arial"/>
                <w:b/>
              </w:rPr>
            </w:pPr>
          </w:p>
        </w:tc>
        <w:tc>
          <w:tcPr>
            <w:tcW w:w="7620" w:type="dxa"/>
          </w:tcPr>
          <w:p w14:paraId="3BA7DDC5" w14:textId="1EF466F9" w:rsidR="007345BE" w:rsidRPr="00703A0B" w:rsidRDefault="00AB3D87">
            <w:pPr>
              <w:rPr>
                <w:rFonts w:cs="Arial"/>
              </w:rPr>
            </w:pPr>
            <w:r w:rsidRPr="00703A0B">
              <w:rPr>
                <w:rFonts w:cs="Arial"/>
              </w:rPr>
              <w:t xml:space="preserve">Amanda </w:t>
            </w:r>
            <w:r w:rsidR="002F001F" w:rsidRPr="00703A0B">
              <w:rPr>
                <w:rFonts w:cs="Arial"/>
              </w:rPr>
              <w:t xml:space="preserve">is a qualified lawyer, accountant and Fellow Member of CPA Australia, with </w:t>
            </w:r>
            <w:r w:rsidRPr="00703A0B">
              <w:rPr>
                <w:rFonts w:cs="Arial"/>
              </w:rPr>
              <w:t xml:space="preserve">more than 25 years of senior leadership experience across government, commercial and not-for-profit sectors. </w:t>
            </w:r>
            <w:r w:rsidR="00A54ECF" w:rsidRPr="00703A0B">
              <w:rPr>
                <w:rFonts w:cs="Arial"/>
              </w:rPr>
              <w:t>Amanda oversees Finance, Digital and Information, People and Culture, Legal and Legislation, and Integrity and Risk.</w:t>
            </w:r>
            <w:r w:rsidR="006D022F" w:rsidRPr="00703A0B">
              <w:rPr>
                <w:rFonts w:cs="Arial"/>
              </w:rPr>
              <w:t xml:space="preserve"> </w:t>
            </w:r>
            <w:r w:rsidR="002627E8" w:rsidRPr="00703A0B">
              <w:rPr>
                <w:rFonts w:cs="Arial"/>
              </w:rPr>
              <w:t xml:space="preserve">Amanda </w:t>
            </w:r>
            <w:r w:rsidRPr="00703A0B">
              <w:rPr>
                <w:rFonts w:cs="Arial"/>
              </w:rPr>
              <w:t>is widely recognised for delivering transformational change, strengthening governance and integrity, and leading high-performing corporate services functions in complex environments.</w:t>
            </w:r>
          </w:p>
        </w:tc>
      </w:tr>
      <w:tr w:rsidR="007345BE" w:rsidRPr="00703A0B" w14:paraId="0C58692D" w14:textId="77777777" w:rsidTr="002763C4">
        <w:tc>
          <w:tcPr>
            <w:tcW w:w="2830" w:type="dxa"/>
          </w:tcPr>
          <w:p w14:paraId="6A7F5BBD" w14:textId="77777777" w:rsidR="007345BE" w:rsidRPr="00703A0B" w:rsidRDefault="007345BE">
            <w:pPr>
              <w:rPr>
                <w:rFonts w:cs="Arial"/>
                <w:b/>
              </w:rPr>
            </w:pPr>
            <w:r w:rsidRPr="00703A0B">
              <w:rPr>
                <w:rFonts w:cs="Arial"/>
                <w:b/>
              </w:rPr>
              <w:t>Chris McCahon</w:t>
            </w:r>
          </w:p>
          <w:p w14:paraId="32EF42EB" w14:textId="01512C84" w:rsidR="007345BE" w:rsidRPr="00703A0B" w:rsidRDefault="007345BE">
            <w:pPr>
              <w:rPr>
                <w:rFonts w:cs="Arial"/>
              </w:rPr>
            </w:pPr>
            <w:r w:rsidRPr="00703A0B">
              <w:rPr>
                <w:rFonts w:cs="Arial"/>
              </w:rPr>
              <w:t xml:space="preserve">Assistant Commissioner Regulatory </w:t>
            </w:r>
            <w:r w:rsidR="00F63FA6" w:rsidRPr="00703A0B">
              <w:rPr>
                <w:rFonts w:cs="Arial"/>
              </w:rPr>
              <w:t xml:space="preserve">Standards </w:t>
            </w:r>
            <w:r w:rsidRPr="00703A0B">
              <w:rPr>
                <w:rFonts w:cs="Arial"/>
              </w:rPr>
              <w:t>and Support</w:t>
            </w:r>
          </w:p>
          <w:p w14:paraId="1FE7025F" w14:textId="77777777" w:rsidR="007345BE" w:rsidRPr="00703A0B" w:rsidRDefault="007345BE">
            <w:pPr>
              <w:rPr>
                <w:rFonts w:cs="Arial"/>
                <w:b/>
              </w:rPr>
            </w:pPr>
            <w:r w:rsidRPr="00703A0B">
              <w:rPr>
                <w:rFonts w:cs="Arial"/>
                <w:b/>
              </w:rPr>
              <w:t xml:space="preserve"> </w:t>
            </w:r>
          </w:p>
        </w:tc>
        <w:tc>
          <w:tcPr>
            <w:tcW w:w="7620" w:type="dxa"/>
          </w:tcPr>
          <w:p w14:paraId="7C52B78C" w14:textId="2A610527" w:rsidR="007345BE" w:rsidRPr="00703A0B" w:rsidRDefault="007345BE">
            <w:pPr>
              <w:rPr>
                <w:rFonts w:cs="Arial"/>
              </w:rPr>
            </w:pPr>
            <w:r w:rsidRPr="00703A0B">
              <w:rPr>
                <w:rFonts w:cs="Arial"/>
                <w:bCs/>
              </w:rPr>
              <w:t>Chris is</w:t>
            </w:r>
            <w:r w:rsidR="00446DFA" w:rsidRPr="00703A0B">
              <w:rPr>
                <w:rFonts w:cs="Arial"/>
                <w:bCs/>
              </w:rPr>
              <w:t xml:space="preserve"> a </w:t>
            </w:r>
            <w:r w:rsidRPr="00703A0B">
              <w:rPr>
                <w:rFonts w:cs="Arial"/>
                <w:bCs/>
              </w:rPr>
              <w:t xml:space="preserve">leader with </w:t>
            </w:r>
            <w:r w:rsidR="00595603" w:rsidRPr="00703A0B">
              <w:rPr>
                <w:rFonts w:cs="Arial"/>
                <w:bCs/>
              </w:rPr>
              <w:t>16</w:t>
            </w:r>
            <w:r w:rsidRPr="00703A0B">
              <w:rPr>
                <w:rFonts w:cs="Arial"/>
                <w:bCs/>
              </w:rPr>
              <w:t xml:space="preserve"> years</w:t>
            </w:r>
            <w:r w:rsidR="008A60BA" w:rsidRPr="00703A0B">
              <w:rPr>
                <w:rFonts w:cs="Arial"/>
                <w:bCs/>
              </w:rPr>
              <w:t xml:space="preserve"> of</w:t>
            </w:r>
            <w:r w:rsidR="00446DFA" w:rsidRPr="00703A0B">
              <w:rPr>
                <w:rFonts w:cs="Arial"/>
                <w:bCs/>
              </w:rPr>
              <w:t xml:space="preserve"> </w:t>
            </w:r>
            <w:r w:rsidR="008A60BA" w:rsidRPr="00703A0B">
              <w:rPr>
                <w:rFonts w:cs="Arial"/>
                <w:bCs/>
              </w:rPr>
              <w:t xml:space="preserve">executive leadership </w:t>
            </w:r>
            <w:r w:rsidR="000E5E8C" w:rsidRPr="00703A0B">
              <w:rPr>
                <w:rFonts w:cs="Arial"/>
                <w:bCs/>
              </w:rPr>
              <w:t>across local and state government</w:t>
            </w:r>
            <w:r w:rsidRPr="00703A0B">
              <w:rPr>
                <w:rFonts w:cs="Arial"/>
                <w:bCs/>
              </w:rPr>
              <w:t xml:space="preserve">. As </w:t>
            </w:r>
            <w:r w:rsidR="001E61C3" w:rsidRPr="00703A0B">
              <w:rPr>
                <w:rFonts w:cs="Arial"/>
                <w:bCs/>
              </w:rPr>
              <w:t xml:space="preserve">the </w:t>
            </w:r>
            <w:r w:rsidRPr="00703A0B">
              <w:rPr>
                <w:rFonts w:cs="Arial"/>
                <w:bCs/>
              </w:rPr>
              <w:t xml:space="preserve">Assistant Commissioner Regulatory Standards and Support, </w:t>
            </w:r>
            <w:r w:rsidR="009076D6" w:rsidRPr="00703A0B">
              <w:rPr>
                <w:rFonts w:cs="Arial"/>
                <w:bCs/>
              </w:rPr>
              <w:t>Chris</w:t>
            </w:r>
            <w:r w:rsidRPr="00703A0B">
              <w:rPr>
                <w:rFonts w:cs="Arial"/>
                <w:bCs/>
              </w:rPr>
              <w:t xml:space="preserve"> has </w:t>
            </w:r>
            <w:r w:rsidR="001E61C3" w:rsidRPr="00703A0B">
              <w:rPr>
                <w:rFonts w:cs="Arial"/>
                <w:bCs/>
              </w:rPr>
              <w:t xml:space="preserve">driven </w:t>
            </w:r>
            <w:r w:rsidR="00D420B0" w:rsidRPr="00703A0B">
              <w:rPr>
                <w:rFonts w:cs="Arial"/>
                <w:bCs/>
              </w:rPr>
              <w:t xml:space="preserve">key </w:t>
            </w:r>
            <w:r w:rsidRPr="00703A0B">
              <w:rPr>
                <w:rFonts w:cs="Arial"/>
                <w:bCs/>
              </w:rPr>
              <w:t>initiatives at the QBCC, including the development of a new digital licensing platform</w:t>
            </w:r>
            <w:r w:rsidR="00C27E85" w:rsidRPr="00703A0B">
              <w:rPr>
                <w:rFonts w:cs="Arial"/>
                <w:bCs/>
              </w:rPr>
              <w:t xml:space="preserve"> and the adoption of </w:t>
            </w:r>
            <w:r w:rsidRPr="00703A0B">
              <w:rPr>
                <w:rFonts w:cs="Arial"/>
                <w:bCs/>
              </w:rPr>
              <w:t>a more customer-focused regulatory approach.</w:t>
            </w:r>
            <w:r w:rsidR="00877B3E" w:rsidRPr="00703A0B">
              <w:rPr>
                <w:rFonts w:cs="Arial"/>
                <w:bCs/>
              </w:rPr>
              <w:t xml:space="preserve"> </w:t>
            </w:r>
            <w:r w:rsidR="00C844CF" w:rsidRPr="00703A0B">
              <w:rPr>
                <w:rFonts w:cs="Arial"/>
                <w:bCs/>
              </w:rPr>
              <w:t xml:space="preserve">Chris is </w:t>
            </w:r>
            <w:r w:rsidR="00AE457C" w:rsidRPr="00703A0B">
              <w:rPr>
                <w:rFonts w:cs="Arial"/>
                <w:bCs/>
              </w:rPr>
              <w:t>renowned</w:t>
            </w:r>
            <w:r w:rsidR="00877B3E" w:rsidRPr="00703A0B">
              <w:rPr>
                <w:rFonts w:cs="Arial"/>
                <w:bCs/>
              </w:rPr>
              <w:t xml:space="preserve"> for leading </w:t>
            </w:r>
            <w:r w:rsidRPr="00703A0B">
              <w:rPr>
                <w:rFonts w:cs="Arial"/>
                <w:bCs/>
              </w:rPr>
              <w:t>organisational change, building high-performing teams and</w:t>
            </w:r>
            <w:r w:rsidR="00FB0CF7" w:rsidRPr="00703A0B">
              <w:rPr>
                <w:rFonts w:cs="Arial"/>
                <w:bCs/>
              </w:rPr>
              <w:t xml:space="preserve"> enhancing </w:t>
            </w:r>
            <w:r w:rsidRPr="00703A0B">
              <w:rPr>
                <w:rFonts w:cs="Arial"/>
                <w:bCs/>
              </w:rPr>
              <w:t>customer experience</w:t>
            </w:r>
            <w:r w:rsidR="009076D6" w:rsidRPr="00703A0B">
              <w:rPr>
                <w:rFonts w:cs="Arial"/>
                <w:bCs/>
              </w:rPr>
              <w:t>.</w:t>
            </w:r>
            <w:r w:rsidRPr="00703A0B">
              <w:rPr>
                <w:rFonts w:cs="Arial"/>
                <w:bCs/>
              </w:rPr>
              <w:t xml:space="preserve"> </w:t>
            </w:r>
            <w:r w:rsidR="00F5729C" w:rsidRPr="00703A0B">
              <w:rPr>
                <w:rFonts w:cs="Arial"/>
                <w:bCs/>
              </w:rPr>
              <w:t xml:space="preserve">Chris </w:t>
            </w:r>
            <w:r w:rsidR="00E801A6" w:rsidRPr="00703A0B">
              <w:rPr>
                <w:rFonts w:cs="Arial"/>
                <w:bCs/>
              </w:rPr>
              <w:t>is committed</w:t>
            </w:r>
            <w:r w:rsidRPr="00703A0B">
              <w:rPr>
                <w:rFonts w:cs="Arial"/>
                <w:bCs/>
              </w:rPr>
              <w:t xml:space="preserve"> </w:t>
            </w:r>
            <w:r w:rsidR="00FB0CF7" w:rsidRPr="00703A0B">
              <w:rPr>
                <w:rFonts w:cs="Arial"/>
                <w:bCs/>
              </w:rPr>
              <w:t>to</w:t>
            </w:r>
            <w:r w:rsidRPr="00703A0B">
              <w:rPr>
                <w:rFonts w:cs="Arial"/>
                <w:bCs/>
              </w:rPr>
              <w:t xml:space="preserve"> aligning</w:t>
            </w:r>
            <w:r w:rsidR="00105ED8" w:rsidRPr="00703A0B">
              <w:rPr>
                <w:rFonts w:cs="Arial"/>
                <w:bCs/>
              </w:rPr>
              <w:t xml:space="preserve"> </w:t>
            </w:r>
            <w:r w:rsidRPr="00703A0B">
              <w:rPr>
                <w:rFonts w:cs="Arial"/>
                <w:bCs/>
              </w:rPr>
              <w:t xml:space="preserve">organisational </w:t>
            </w:r>
            <w:r w:rsidR="00105ED8" w:rsidRPr="00703A0B">
              <w:rPr>
                <w:rFonts w:cs="Arial"/>
                <w:bCs/>
              </w:rPr>
              <w:t xml:space="preserve">objectives </w:t>
            </w:r>
            <w:r w:rsidRPr="00703A0B">
              <w:rPr>
                <w:rFonts w:cs="Arial"/>
                <w:bCs/>
              </w:rPr>
              <w:t xml:space="preserve">with the needs of industry stakeholders and </w:t>
            </w:r>
            <w:r w:rsidR="00105ED8" w:rsidRPr="00703A0B">
              <w:rPr>
                <w:rFonts w:cs="Arial"/>
                <w:bCs/>
              </w:rPr>
              <w:t>the broader</w:t>
            </w:r>
            <w:r w:rsidRPr="00703A0B">
              <w:rPr>
                <w:rFonts w:cs="Arial"/>
                <w:bCs/>
              </w:rPr>
              <w:t xml:space="preserve"> community.</w:t>
            </w:r>
          </w:p>
        </w:tc>
      </w:tr>
      <w:tr w:rsidR="007345BE" w:rsidRPr="00703A0B" w14:paraId="72C0E547" w14:textId="77777777" w:rsidTr="002763C4">
        <w:tc>
          <w:tcPr>
            <w:tcW w:w="2830" w:type="dxa"/>
          </w:tcPr>
          <w:p w14:paraId="36C7ABCE" w14:textId="77777777" w:rsidR="007345BE" w:rsidRPr="00703A0B" w:rsidRDefault="007345BE">
            <w:pPr>
              <w:rPr>
                <w:rFonts w:cs="Arial"/>
                <w:b/>
              </w:rPr>
            </w:pPr>
            <w:r w:rsidRPr="00703A0B">
              <w:rPr>
                <w:rFonts w:cs="Arial"/>
                <w:b/>
              </w:rPr>
              <w:t xml:space="preserve">Gary Saunders </w:t>
            </w:r>
          </w:p>
          <w:p w14:paraId="2516CA1D" w14:textId="77777777" w:rsidR="007345BE" w:rsidRPr="00703A0B" w:rsidRDefault="007345BE">
            <w:pPr>
              <w:rPr>
                <w:rFonts w:cs="Arial"/>
              </w:rPr>
            </w:pPr>
            <w:r w:rsidRPr="00703A0B">
              <w:rPr>
                <w:rFonts w:cs="Arial"/>
              </w:rPr>
              <w:t xml:space="preserve">Assistant Commissioner Regulatory Operations </w:t>
            </w:r>
          </w:p>
          <w:p w14:paraId="765490ED" w14:textId="77777777" w:rsidR="007345BE" w:rsidRPr="00703A0B" w:rsidRDefault="007345BE">
            <w:pPr>
              <w:rPr>
                <w:rFonts w:cs="Arial"/>
                <w:b/>
              </w:rPr>
            </w:pPr>
          </w:p>
        </w:tc>
        <w:tc>
          <w:tcPr>
            <w:tcW w:w="7620" w:type="dxa"/>
          </w:tcPr>
          <w:p w14:paraId="2548BE7F" w14:textId="410B0DC8" w:rsidR="007345BE" w:rsidRPr="00703A0B" w:rsidRDefault="007345BE">
            <w:pPr>
              <w:rPr>
                <w:rFonts w:cs="Arial"/>
              </w:rPr>
            </w:pPr>
            <w:r w:rsidRPr="00703A0B">
              <w:rPr>
                <w:rFonts w:cs="Arial"/>
                <w:bCs/>
              </w:rPr>
              <w:t>Gary is a</w:t>
            </w:r>
            <w:r w:rsidR="00C740C7" w:rsidRPr="00703A0B">
              <w:rPr>
                <w:rFonts w:cs="Arial"/>
                <w:bCs/>
              </w:rPr>
              <w:t xml:space="preserve"> </w:t>
            </w:r>
            <w:r w:rsidR="00733072" w:rsidRPr="00703A0B">
              <w:rPr>
                <w:rFonts w:cs="Arial"/>
                <w:bCs/>
              </w:rPr>
              <w:t>s</w:t>
            </w:r>
            <w:r w:rsidRPr="00703A0B">
              <w:rPr>
                <w:rFonts w:cs="Arial"/>
                <w:bCs/>
              </w:rPr>
              <w:t xml:space="preserve">enior executive with </w:t>
            </w:r>
            <w:r w:rsidR="00F845E8" w:rsidRPr="00703A0B">
              <w:rPr>
                <w:rFonts w:cs="Arial"/>
                <w:bCs/>
              </w:rPr>
              <w:t>more than</w:t>
            </w:r>
            <w:r w:rsidRPr="00703A0B">
              <w:rPr>
                <w:rFonts w:cs="Arial"/>
                <w:bCs/>
              </w:rPr>
              <w:t xml:space="preserve"> </w:t>
            </w:r>
            <w:r w:rsidR="00BF7AF7" w:rsidRPr="00703A0B">
              <w:rPr>
                <w:rFonts w:cs="Arial"/>
                <w:bCs/>
              </w:rPr>
              <w:t>38</w:t>
            </w:r>
            <w:r w:rsidRPr="00703A0B">
              <w:rPr>
                <w:rFonts w:cs="Arial"/>
                <w:bCs/>
              </w:rPr>
              <w:t xml:space="preserve"> years</w:t>
            </w:r>
            <w:r w:rsidR="00F5729C" w:rsidRPr="00703A0B">
              <w:rPr>
                <w:rFonts w:cs="Arial"/>
                <w:bCs/>
              </w:rPr>
              <w:t xml:space="preserve"> of</w:t>
            </w:r>
            <w:r w:rsidR="00733072" w:rsidRPr="00703A0B" w:rsidDel="00F5729C">
              <w:rPr>
                <w:rFonts w:cs="Arial"/>
                <w:bCs/>
              </w:rPr>
              <w:t xml:space="preserve"> </w:t>
            </w:r>
            <w:r w:rsidRPr="00703A0B">
              <w:rPr>
                <w:rFonts w:cs="Arial"/>
                <w:bCs/>
              </w:rPr>
              <w:t xml:space="preserve">experience and a </w:t>
            </w:r>
            <w:r w:rsidR="008F5B68" w:rsidRPr="00703A0B">
              <w:rPr>
                <w:rFonts w:cs="Arial"/>
                <w:bCs/>
              </w:rPr>
              <w:t xml:space="preserve">distinguished </w:t>
            </w:r>
            <w:r w:rsidR="002414B7" w:rsidRPr="00703A0B">
              <w:rPr>
                <w:rFonts w:cs="Arial"/>
                <w:bCs/>
              </w:rPr>
              <w:t>background</w:t>
            </w:r>
            <w:r w:rsidR="008F5B68" w:rsidRPr="00703A0B">
              <w:rPr>
                <w:rFonts w:cs="Arial"/>
                <w:bCs/>
              </w:rPr>
              <w:t xml:space="preserve"> in </w:t>
            </w:r>
            <w:r w:rsidRPr="00703A0B">
              <w:rPr>
                <w:rFonts w:cs="Arial"/>
                <w:bCs/>
              </w:rPr>
              <w:t>the infrastructure and building sector</w:t>
            </w:r>
            <w:r w:rsidR="008F5B68" w:rsidRPr="00703A0B">
              <w:rPr>
                <w:rFonts w:cs="Arial"/>
                <w:bCs/>
              </w:rPr>
              <w:t>s</w:t>
            </w:r>
            <w:r w:rsidRPr="00703A0B">
              <w:rPr>
                <w:rFonts w:cs="Arial"/>
                <w:bCs/>
              </w:rPr>
              <w:t xml:space="preserve">. As </w:t>
            </w:r>
            <w:r w:rsidR="008F5B68" w:rsidRPr="00703A0B">
              <w:rPr>
                <w:rFonts w:cs="Arial"/>
                <w:bCs/>
              </w:rPr>
              <w:t xml:space="preserve">the </w:t>
            </w:r>
            <w:r w:rsidRPr="00703A0B">
              <w:rPr>
                <w:rFonts w:cs="Arial"/>
                <w:bCs/>
              </w:rPr>
              <w:t xml:space="preserve">Assistant Commissioner Regulatory Operations, </w:t>
            </w:r>
            <w:r w:rsidR="00CD1CA9" w:rsidRPr="00703A0B">
              <w:rPr>
                <w:rFonts w:cs="Arial"/>
                <w:bCs/>
              </w:rPr>
              <w:t>Gary</w:t>
            </w:r>
            <w:r w:rsidRPr="00703A0B">
              <w:rPr>
                <w:rFonts w:cs="Arial"/>
                <w:bCs/>
              </w:rPr>
              <w:t xml:space="preserve"> is </w:t>
            </w:r>
            <w:r w:rsidR="00F43A03" w:rsidRPr="00703A0B">
              <w:rPr>
                <w:rFonts w:cs="Arial"/>
                <w:bCs/>
              </w:rPr>
              <w:t xml:space="preserve">committed </w:t>
            </w:r>
            <w:r w:rsidR="009903F4" w:rsidRPr="00703A0B">
              <w:rPr>
                <w:rFonts w:cs="Arial"/>
                <w:bCs/>
              </w:rPr>
              <w:t xml:space="preserve">to advancing the </w:t>
            </w:r>
            <w:r w:rsidRPr="00703A0B">
              <w:rPr>
                <w:rFonts w:cs="Arial"/>
                <w:bCs/>
              </w:rPr>
              <w:t xml:space="preserve">building and construction industry. </w:t>
            </w:r>
            <w:r w:rsidR="00F477EF" w:rsidRPr="00703A0B">
              <w:rPr>
                <w:rFonts w:cs="Arial"/>
                <w:bCs/>
              </w:rPr>
              <w:t xml:space="preserve">Gary’s strategic focus on </w:t>
            </w:r>
            <w:r w:rsidRPr="00703A0B">
              <w:rPr>
                <w:rFonts w:cs="Arial"/>
                <w:bCs/>
              </w:rPr>
              <w:t>operational excellence</w:t>
            </w:r>
            <w:r w:rsidR="00FC043E" w:rsidRPr="00703A0B">
              <w:rPr>
                <w:rFonts w:cs="Arial"/>
                <w:bCs/>
              </w:rPr>
              <w:t xml:space="preserve"> </w:t>
            </w:r>
            <w:r w:rsidR="009178AF" w:rsidRPr="00703A0B">
              <w:rPr>
                <w:rFonts w:cs="Arial"/>
                <w:bCs/>
              </w:rPr>
              <w:t xml:space="preserve">drives </w:t>
            </w:r>
            <w:r w:rsidR="003762A8" w:rsidRPr="00703A0B">
              <w:rPr>
                <w:rFonts w:cs="Arial"/>
                <w:bCs/>
              </w:rPr>
              <w:t>t</w:t>
            </w:r>
            <w:r w:rsidR="00FC043E" w:rsidRPr="00703A0B">
              <w:rPr>
                <w:rFonts w:cs="Arial"/>
                <w:bCs/>
              </w:rPr>
              <w:t xml:space="preserve">he effective </w:t>
            </w:r>
            <w:r w:rsidRPr="00703A0B">
              <w:rPr>
                <w:rFonts w:cs="Arial"/>
                <w:bCs/>
              </w:rPr>
              <w:t xml:space="preserve">delivery of technical services </w:t>
            </w:r>
            <w:r w:rsidR="009178AF" w:rsidRPr="00703A0B">
              <w:rPr>
                <w:rFonts w:cs="Arial"/>
                <w:bCs/>
              </w:rPr>
              <w:t xml:space="preserve">in line </w:t>
            </w:r>
            <w:r w:rsidR="000F7CE6" w:rsidRPr="00703A0B">
              <w:rPr>
                <w:rFonts w:cs="Arial"/>
                <w:bCs/>
              </w:rPr>
              <w:t>with the</w:t>
            </w:r>
            <w:r w:rsidRPr="00703A0B">
              <w:rPr>
                <w:rFonts w:cs="Arial"/>
                <w:bCs/>
              </w:rPr>
              <w:t xml:space="preserve"> QBCC</w:t>
            </w:r>
            <w:r w:rsidR="00921347" w:rsidRPr="00703A0B">
              <w:rPr>
                <w:rFonts w:cs="Arial"/>
                <w:bCs/>
              </w:rPr>
              <w:t>’</w:t>
            </w:r>
            <w:r w:rsidRPr="00703A0B">
              <w:rPr>
                <w:rFonts w:cs="Arial"/>
                <w:bCs/>
              </w:rPr>
              <w:t>s regulatory responsibilities</w:t>
            </w:r>
            <w:r w:rsidR="003762A8" w:rsidRPr="00703A0B">
              <w:rPr>
                <w:rFonts w:cs="Arial"/>
                <w:bCs/>
              </w:rPr>
              <w:t xml:space="preserve">. </w:t>
            </w:r>
            <w:r w:rsidR="00CD1CA9" w:rsidRPr="00703A0B">
              <w:rPr>
                <w:rFonts w:cs="Arial"/>
                <w:bCs/>
              </w:rPr>
              <w:t>Gary</w:t>
            </w:r>
            <w:r w:rsidR="007056CA" w:rsidRPr="00703A0B">
              <w:rPr>
                <w:rFonts w:cs="Arial"/>
                <w:bCs/>
              </w:rPr>
              <w:t xml:space="preserve"> ensures </w:t>
            </w:r>
            <w:r w:rsidR="0094528E" w:rsidRPr="00703A0B">
              <w:rPr>
                <w:rFonts w:cs="Arial"/>
                <w:bCs/>
              </w:rPr>
              <w:t xml:space="preserve">the provision of </w:t>
            </w:r>
            <w:r w:rsidRPr="00703A0B">
              <w:rPr>
                <w:rFonts w:cs="Arial"/>
                <w:bCs/>
              </w:rPr>
              <w:t>high-quality sustainable services</w:t>
            </w:r>
            <w:r w:rsidR="002609AF" w:rsidRPr="00703A0B">
              <w:rPr>
                <w:rFonts w:cs="Arial"/>
                <w:bCs/>
              </w:rPr>
              <w:t xml:space="preserve"> and</w:t>
            </w:r>
            <w:r w:rsidRPr="00703A0B">
              <w:rPr>
                <w:rFonts w:cs="Arial"/>
                <w:bCs/>
              </w:rPr>
              <w:t xml:space="preserve"> programs</w:t>
            </w:r>
            <w:r w:rsidR="002609AF" w:rsidRPr="00703A0B">
              <w:rPr>
                <w:rFonts w:cs="Arial"/>
                <w:bCs/>
              </w:rPr>
              <w:t xml:space="preserve"> across </w:t>
            </w:r>
            <w:r w:rsidRPr="00703A0B">
              <w:rPr>
                <w:rFonts w:cs="Arial"/>
                <w:bCs/>
              </w:rPr>
              <w:t xml:space="preserve">compliance, </w:t>
            </w:r>
            <w:r w:rsidR="00C21816" w:rsidRPr="00703A0B">
              <w:rPr>
                <w:rFonts w:cs="Arial"/>
                <w:bCs/>
              </w:rPr>
              <w:t xml:space="preserve">dispute </w:t>
            </w:r>
            <w:r w:rsidRPr="00703A0B">
              <w:rPr>
                <w:rFonts w:cs="Arial"/>
                <w:bCs/>
              </w:rPr>
              <w:t xml:space="preserve">resolution, </w:t>
            </w:r>
            <w:r w:rsidR="00E94234" w:rsidRPr="00703A0B">
              <w:rPr>
                <w:rFonts w:cs="Arial"/>
                <w:bCs/>
              </w:rPr>
              <w:t>building inspections</w:t>
            </w:r>
            <w:r w:rsidR="009E1454" w:rsidRPr="00703A0B">
              <w:rPr>
                <w:rFonts w:cs="Arial"/>
                <w:bCs/>
              </w:rPr>
              <w:t xml:space="preserve"> </w:t>
            </w:r>
            <w:r w:rsidR="00635325" w:rsidRPr="00703A0B">
              <w:rPr>
                <w:rFonts w:cs="Arial"/>
                <w:bCs/>
              </w:rPr>
              <w:t xml:space="preserve">and </w:t>
            </w:r>
            <w:r w:rsidR="009E1454" w:rsidRPr="00703A0B">
              <w:rPr>
                <w:rFonts w:cs="Arial"/>
                <w:bCs/>
              </w:rPr>
              <w:t>building safety and standards.</w:t>
            </w:r>
          </w:p>
        </w:tc>
      </w:tr>
      <w:tr w:rsidR="007345BE" w:rsidRPr="00703A0B" w14:paraId="30B7F11E" w14:textId="77777777" w:rsidTr="002763C4">
        <w:tc>
          <w:tcPr>
            <w:tcW w:w="2830" w:type="dxa"/>
          </w:tcPr>
          <w:p w14:paraId="46702D1A" w14:textId="29D6E1BD" w:rsidR="008058D1" w:rsidRPr="00703A0B" w:rsidRDefault="008F5D12">
            <w:pPr>
              <w:rPr>
                <w:rFonts w:cs="Arial"/>
                <w:b/>
              </w:rPr>
            </w:pPr>
            <w:r w:rsidRPr="00703A0B">
              <w:rPr>
                <w:rFonts w:cs="Arial"/>
                <w:b/>
              </w:rPr>
              <w:t>Nicole Joh</w:t>
            </w:r>
            <w:r w:rsidR="00DA4E4A" w:rsidRPr="00703A0B">
              <w:rPr>
                <w:rFonts w:cs="Arial"/>
                <w:b/>
              </w:rPr>
              <w:t>n</w:t>
            </w:r>
            <w:r w:rsidRPr="00703A0B">
              <w:rPr>
                <w:rFonts w:cs="Arial"/>
                <w:b/>
              </w:rPr>
              <w:t xml:space="preserve">son </w:t>
            </w:r>
          </w:p>
          <w:p w14:paraId="3D858C00" w14:textId="6A6BDCD0" w:rsidR="007345BE" w:rsidRPr="00703A0B" w:rsidRDefault="00200DDB">
            <w:pPr>
              <w:rPr>
                <w:rFonts w:cs="Arial"/>
                <w:b/>
              </w:rPr>
            </w:pPr>
            <w:r w:rsidRPr="00703A0B">
              <w:rPr>
                <w:rFonts w:cs="Arial"/>
                <w:bCs/>
              </w:rPr>
              <w:t xml:space="preserve">Head of Stakeholder Relations </w:t>
            </w:r>
          </w:p>
        </w:tc>
        <w:tc>
          <w:tcPr>
            <w:tcW w:w="7620" w:type="dxa"/>
          </w:tcPr>
          <w:p w14:paraId="4758B22B" w14:textId="55C767D1" w:rsidR="007345BE" w:rsidRPr="00703A0B" w:rsidRDefault="00557EE6">
            <w:pPr>
              <w:rPr>
                <w:rFonts w:cs="Arial"/>
              </w:rPr>
            </w:pPr>
            <w:r w:rsidRPr="00703A0B">
              <w:rPr>
                <w:rFonts w:cs="Arial"/>
                <w:bCs/>
              </w:rPr>
              <w:t xml:space="preserve">Nicole is an enabling leader, senior executive and Board Director, </w:t>
            </w:r>
            <w:r w:rsidR="1EE9D8FA" w:rsidRPr="00703A0B">
              <w:rPr>
                <w:rFonts w:cs="Arial"/>
              </w:rPr>
              <w:t>with</w:t>
            </w:r>
            <w:r w:rsidRPr="00703A0B">
              <w:rPr>
                <w:rFonts w:cs="Arial"/>
                <w:bCs/>
              </w:rPr>
              <w:t xml:space="preserve"> more than </w:t>
            </w:r>
            <w:r w:rsidR="4124F196" w:rsidRPr="00703A0B">
              <w:rPr>
                <w:rFonts w:cs="Arial"/>
              </w:rPr>
              <w:t>2</w:t>
            </w:r>
            <w:r w:rsidR="177DFAA1" w:rsidRPr="00703A0B">
              <w:rPr>
                <w:rFonts w:cs="Arial"/>
              </w:rPr>
              <w:t>7</w:t>
            </w:r>
            <w:r w:rsidRPr="00703A0B">
              <w:rPr>
                <w:rFonts w:cs="Arial"/>
                <w:bCs/>
              </w:rPr>
              <w:t xml:space="preserve"> years </w:t>
            </w:r>
            <w:r w:rsidR="13F9F4E4" w:rsidRPr="00703A0B">
              <w:rPr>
                <w:rFonts w:cs="Arial"/>
              </w:rPr>
              <w:t xml:space="preserve">of </w:t>
            </w:r>
            <w:r w:rsidRPr="00703A0B">
              <w:rPr>
                <w:rFonts w:cs="Arial"/>
                <w:bCs/>
              </w:rPr>
              <w:t xml:space="preserve">experience in private and public sectors </w:t>
            </w:r>
            <w:r w:rsidR="364A0568" w:rsidRPr="00703A0B">
              <w:rPr>
                <w:rFonts w:cs="Arial"/>
              </w:rPr>
              <w:t>across</w:t>
            </w:r>
            <w:r w:rsidRPr="00703A0B">
              <w:rPr>
                <w:rFonts w:cs="Arial"/>
                <w:bCs/>
              </w:rPr>
              <w:t xml:space="preserve"> London and Queensland.</w:t>
            </w:r>
            <w:r w:rsidR="000F53B3" w:rsidRPr="00703A0B">
              <w:rPr>
                <w:rFonts w:cs="Arial"/>
                <w:bCs/>
              </w:rPr>
              <w:t xml:space="preserve"> </w:t>
            </w:r>
            <w:r w:rsidR="4124F196" w:rsidRPr="00703A0B">
              <w:rPr>
                <w:rFonts w:cs="Arial"/>
              </w:rPr>
              <w:t>Specialising</w:t>
            </w:r>
            <w:r w:rsidRPr="00703A0B">
              <w:rPr>
                <w:rFonts w:cs="Arial"/>
                <w:bCs/>
              </w:rPr>
              <w:t xml:space="preserve"> in property, infrastructure,</w:t>
            </w:r>
            <w:r w:rsidR="00394638" w:rsidRPr="00703A0B">
              <w:rPr>
                <w:rFonts w:cs="Arial"/>
                <w:bCs/>
              </w:rPr>
              <w:t xml:space="preserve"> </w:t>
            </w:r>
            <w:r w:rsidR="2811FA68" w:rsidRPr="00703A0B">
              <w:rPr>
                <w:rFonts w:cs="Arial"/>
              </w:rPr>
              <w:t xml:space="preserve">community engagement and </w:t>
            </w:r>
            <w:r w:rsidRPr="00703A0B">
              <w:rPr>
                <w:rFonts w:cs="Arial"/>
                <w:bCs/>
              </w:rPr>
              <w:t>business optimisation, Nicole has led award</w:t>
            </w:r>
            <w:r w:rsidR="001123D8" w:rsidRPr="00703A0B">
              <w:rPr>
                <w:rFonts w:cs="Arial"/>
                <w:bCs/>
              </w:rPr>
              <w:t>-</w:t>
            </w:r>
            <w:r w:rsidRPr="00703A0B">
              <w:rPr>
                <w:rFonts w:cs="Arial"/>
                <w:bCs/>
              </w:rPr>
              <w:t xml:space="preserve">winning </w:t>
            </w:r>
            <w:r w:rsidR="4124F196" w:rsidRPr="00703A0B">
              <w:rPr>
                <w:rFonts w:cs="Arial"/>
              </w:rPr>
              <w:t>teams</w:t>
            </w:r>
            <w:r w:rsidR="5E729036" w:rsidRPr="00703A0B">
              <w:rPr>
                <w:rFonts w:cs="Arial"/>
              </w:rPr>
              <w:t xml:space="preserve">, </w:t>
            </w:r>
            <w:r w:rsidR="415AC6FD" w:rsidRPr="00703A0B">
              <w:rPr>
                <w:rFonts w:cs="Arial"/>
              </w:rPr>
              <w:t>complex</w:t>
            </w:r>
            <w:r w:rsidR="5E729036" w:rsidRPr="00703A0B">
              <w:rPr>
                <w:rFonts w:cs="Arial"/>
              </w:rPr>
              <w:t xml:space="preserve"> portfolios</w:t>
            </w:r>
            <w:r w:rsidRPr="00703A0B">
              <w:rPr>
                <w:rFonts w:cs="Arial"/>
                <w:bCs/>
              </w:rPr>
              <w:t xml:space="preserve"> and billion-dollar budgets.</w:t>
            </w:r>
            <w:r w:rsidR="000F53B3" w:rsidRPr="00703A0B">
              <w:rPr>
                <w:rFonts w:cs="Arial"/>
                <w:bCs/>
              </w:rPr>
              <w:t xml:space="preserve"> </w:t>
            </w:r>
            <w:r w:rsidR="21BE8C29" w:rsidRPr="00703A0B">
              <w:rPr>
                <w:rFonts w:cs="Arial"/>
              </w:rPr>
              <w:t xml:space="preserve">A </w:t>
            </w:r>
            <w:r w:rsidRPr="00703A0B">
              <w:rPr>
                <w:rFonts w:cs="Arial"/>
                <w:bCs/>
              </w:rPr>
              <w:t>values</w:t>
            </w:r>
            <w:r w:rsidR="004B0FCC" w:rsidRPr="00703A0B">
              <w:rPr>
                <w:rFonts w:cs="Arial"/>
                <w:bCs/>
              </w:rPr>
              <w:t>-</w:t>
            </w:r>
            <w:r w:rsidRPr="00703A0B">
              <w:rPr>
                <w:rFonts w:cs="Arial"/>
                <w:bCs/>
              </w:rPr>
              <w:t xml:space="preserve">led leader, </w:t>
            </w:r>
            <w:r w:rsidR="6EAAD02E" w:rsidRPr="00703A0B">
              <w:rPr>
                <w:rFonts w:cs="Arial"/>
              </w:rPr>
              <w:t xml:space="preserve">qualified </w:t>
            </w:r>
            <w:r w:rsidR="00B2198A" w:rsidRPr="00703A0B">
              <w:rPr>
                <w:rFonts w:cs="Arial"/>
              </w:rPr>
              <w:t>r</w:t>
            </w:r>
            <w:r w:rsidR="6EAAD02E" w:rsidRPr="00703A0B">
              <w:rPr>
                <w:rFonts w:cs="Arial"/>
              </w:rPr>
              <w:t xml:space="preserve">egional and </w:t>
            </w:r>
            <w:r w:rsidR="00B2198A" w:rsidRPr="00703A0B">
              <w:rPr>
                <w:rFonts w:cs="Arial"/>
              </w:rPr>
              <w:t>t</w:t>
            </w:r>
            <w:r w:rsidR="6EAAD02E" w:rsidRPr="00703A0B">
              <w:rPr>
                <w:rFonts w:cs="Arial"/>
              </w:rPr>
              <w:t xml:space="preserve">own </w:t>
            </w:r>
            <w:r w:rsidR="00B2198A" w:rsidRPr="00703A0B">
              <w:rPr>
                <w:rFonts w:cs="Arial"/>
              </w:rPr>
              <w:t>p</w:t>
            </w:r>
            <w:r w:rsidR="6EAAD02E" w:rsidRPr="00703A0B">
              <w:rPr>
                <w:rFonts w:cs="Arial"/>
              </w:rPr>
              <w:t xml:space="preserve">lanner, </w:t>
            </w:r>
            <w:r w:rsidR="00B2198A" w:rsidRPr="00703A0B">
              <w:rPr>
                <w:rFonts w:cs="Arial"/>
              </w:rPr>
              <w:t>p</w:t>
            </w:r>
            <w:r w:rsidR="6EAAD02E" w:rsidRPr="00703A0B">
              <w:rPr>
                <w:rFonts w:cs="Arial"/>
              </w:rPr>
              <w:t xml:space="preserve">roject </w:t>
            </w:r>
            <w:r w:rsidR="00B2198A" w:rsidRPr="00703A0B">
              <w:rPr>
                <w:rFonts w:cs="Arial"/>
              </w:rPr>
              <w:t>m</w:t>
            </w:r>
            <w:r w:rsidR="6EAAD02E" w:rsidRPr="00703A0B">
              <w:rPr>
                <w:rFonts w:cs="Arial"/>
              </w:rPr>
              <w:t xml:space="preserve">anager and </w:t>
            </w:r>
            <w:r w:rsidR="00B2198A" w:rsidRPr="00703A0B">
              <w:rPr>
                <w:rFonts w:cs="Arial"/>
              </w:rPr>
              <w:t>g</w:t>
            </w:r>
            <w:r w:rsidR="6EAAD02E" w:rsidRPr="00703A0B">
              <w:rPr>
                <w:rFonts w:cs="Arial"/>
              </w:rPr>
              <w:t>raduate of the A</w:t>
            </w:r>
            <w:r w:rsidR="006153B1" w:rsidRPr="00703A0B">
              <w:rPr>
                <w:rFonts w:cs="Arial"/>
              </w:rPr>
              <w:t>ICD</w:t>
            </w:r>
            <w:r w:rsidR="4124F196" w:rsidRPr="00703A0B">
              <w:rPr>
                <w:rFonts w:cs="Arial"/>
              </w:rPr>
              <w:t xml:space="preserve">, </w:t>
            </w:r>
            <w:r w:rsidR="7BF879C2" w:rsidRPr="00703A0B">
              <w:rPr>
                <w:rFonts w:cs="Arial"/>
              </w:rPr>
              <w:t xml:space="preserve">Nicole </w:t>
            </w:r>
            <w:r w:rsidRPr="00703A0B">
              <w:rPr>
                <w:rFonts w:cs="Arial"/>
                <w:bCs/>
              </w:rPr>
              <w:t xml:space="preserve">is committed to knowledge sharing and </w:t>
            </w:r>
            <w:r w:rsidR="7B543598" w:rsidRPr="00703A0B">
              <w:rPr>
                <w:rFonts w:cs="Arial"/>
              </w:rPr>
              <w:t xml:space="preserve">fostering collaboration to deliver sustainable </w:t>
            </w:r>
            <w:r w:rsidRPr="00703A0B">
              <w:rPr>
                <w:rFonts w:cs="Arial"/>
                <w:bCs/>
              </w:rPr>
              <w:t xml:space="preserve">community and commercial </w:t>
            </w:r>
            <w:r w:rsidR="10F9089F" w:rsidRPr="00703A0B">
              <w:rPr>
                <w:rFonts w:cs="Arial"/>
              </w:rPr>
              <w:t>value</w:t>
            </w:r>
            <w:r w:rsidRPr="00703A0B">
              <w:rPr>
                <w:rFonts w:cs="Arial"/>
                <w:bCs/>
              </w:rPr>
              <w:t>.</w:t>
            </w:r>
          </w:p>
        </w:tc>
      </w:tr>
      <w:tr w:rsidR="008058D1" w:rsidRPr="00703A0B" w14:paraId="723DE489" w14:textId="77777777" w:rsidTr="002763C4">
        <w:tc>
          <w:tcPr>
            <w:tcW w:w="2830" w:type="dxa"/>
          </w:tcPr>
          <w:p w14:paraId="7C42A415" w14:textId="77777777" w:rsidR="008058D1" w:rsidRPr="00703A0B" w:rsidRDefault="0018559C">
            <w:pPr>
              <w:rPr>
                <w:rFonts w:cs="Arial"/>
                <w:b/>
              </w:rPr>
            </w:pPr>
            <w:r w:rsidRPr="00703A0B">
              <w:rPr>
                <w:rFonts w:cs="Arial"/>
                <w:b/>
              </w:rPr>
              <w:t xml:space="preserve">Kelly Davis </w:t>
            </w:r>
          </w:p>
          <w:p w14:paraId="56976158" w14:textId="6E7FD585" w:rsidR="0018559C" w:rsidRPr="00703A0B" w:rsidRDefault="0018559C">
            <w:pPr>
              <w:rPr>
                <w:rFonts w:cs="Arial"/>
                <w:bCs/>
              </w:rPr>
            </w:pPr>
            <w:r w:rsidRPr="00703A0B">
              <w:rPr>
                <w:rFonts w:cs="Arial"/>
                <w:bCs/>
              </w:rPr>
              <w:t>Head of Transformation and Change</w:t>
            </w:r>
          </w:p>
        </w:tc>
        <w:tc>
          <w:tcPr>
            <w:tcW w:w="7620" w:type="dxa"/>
          </w:tcPr>
          <w:p w14:paraId="087E598B" w14:textId="07AF9C0E" w:rsidR="008058D1" w:rsidRPr="00703A0B" w:rsidDel="008943C0" w:rsidRDefault="009F1C76">
            <w:pPr>
              <w:rPr>
                <w:rFonts w:cs="Arial"/>
                <w:bCs/>
              </w:rPr>
            </w:pPr>
            <w:r w:rsidRPr="00703A0B">
              <w:rPr>
                <w:rFonts w:cs="Arial"/>
                <w:bCs/>
              </w:rPr>
              <w:t xml:space="preserve">Kelly brings extensive experience across project, program and portfolio management, organisational change and IT service management. </w:t>
            </w:r>
            <w:r w:rsidR="00B02C2A" w:rsidRPr="00703A0B">
              <w:rPr>
                <w:rFonts w:cs="Arial"/>
                <w:bCs/>
              </w:rPr>
              <w:t xml:space="preserve">Kelly leads a dedicated division responsible for driving enterprise-wide transformation, change, data and delivery. </w:t>
            </w:r>
            <w:r w:rsidR="00C605DE" w:rsidRPr="00703A0B">
              <w:rPr>
                <w:rFonts w:cs="Arial"/>
                <w:bCs/>
              </w:rPr>
              <w:t xml:space="preserve">Kelly is recognised for her considered, authentic and transparent leadership style. Kelly places a </w:t>
            </w:r>
            <w:r w:rsidR="00C605DE" w:rsidRPr="00703A0B">
              <w:rPr>
                <w:rFonts w:cs="Arial"/>
                <w:bCs/>
              </w:rPr>
              <w:lastRenderedPageBreak/>
              <w:t>strong emphasis on building engaged, motivated teams and believes this is fundamental to achieving meaningful and lasting organisational success.</w:t>
            </w:r>
          </w:p>
        </w:tc>
      </w:tr>
      <w:tr w:rsidR="00C34C5F" w:rsidRPr="00703A0B" w14:paraId="2D9986AB" w14:textId="77777777" w:rsidTr="002763C4">
        <w:tc>
          <w:tcPr>
            <w:tcW w:w="2830" w:type="dxa"/>
          </w:tcPr>
          <w:p w14:paraId="47FBF1DB" w14:textId="0A19D709" w:rsidR="00EC700C" w:rsidRPr="00703A0B" w:rsidRDefault="00EC700C">
            <w:pPr>
              <w:rPr>
                <w:rFonts w:cs="Arial"/>
                <w:b/>
              </w:rPr>
            </w:pPr>
            <w:r w:rsidRPr="00703A0B">
              <w:rPr>
                <w:rFonts w:cs="Arial"/>
                <w:b/>
              </w:rPr>
              <w:lastRenderedPageBreak/>
              <w:t>Antony Stinz</w:t>
            </w:r>
            <w:r w:rsidR="008F1E7E" w:rsidRPr="00703A0B">
              <w:rPr>
                <w:rFonts w:cs="Arial"/>
                <w:b/>
              </w:rPr>
              <w:t>i</w:t>
            </w:r>
            <w:r w:rsidRPr="00703A0B">
              <w:rPr>
                <w:rFonts w:cs="Arial"/>
                <w:b/>
              </w:rPr>
              <w:t>ani</w:t>
            </w:r>
          </w:p>
          <w:p w14:paraId="3FA93FF1" w14:textId="1208C102" w:rsidR="00C34C5F" w:rsidRPr="00703A0B" w:rsidRDefault="00EC700C">
            <w:pPr>
              <w:rPr>
                <w:rFonts w:cs="Arial"/>
                <w:bCs/>
              </w:rPr>
            </w:pPr>
            <w:r w:rsidRPr="00703A0B">
              <w:rPr>
                <w:rFonts w:cs="Arial"/>
                <w:bCs/>
              </w:rPr>
              <w:t>General Manager</w:t>
            </w:r>
            <w:r w:rsidR="00F802BA" w:rsidRPr="00703A0B">
              <w:rPr>
                <w:rFonts w:cs="Arial"/>
                <w:bCs/>
              </w:rPr>
              <w:t xml:space="preserve"> </w:t>
            </w:r>
            <w:r w:rsidR="00C34C5F" w:rsidRPr="00703A0B">
              <w:rPr>
                <w:rFonts w:cs="Arial"/>
                <w:bCs/>
              </w:rPr>
              <w:t xml:space="preserve">Digital and Information </w:t>
            </w:r>
          </w:p>
        </w:tc>
        <w:tc>
          <w:tcPr>
            <w:tcW w:w="7620" w:type="dxa"/>
          </w:tcPr>
          <w:p w14:paraId="6F755807" w14:textId="5DE6957D" w:rsidR="007F0236" w:rsidRPr="00703A0B" w:rsidRDefault="007F0236" w:rsidP="007F0236">
            <w:pPr>
              <w:rPr>
                <w:rFonts w:cs="Arial"/>
                <w:bCs/>
              </w:rPr>
            </w:pPr>
            <w:r w:rsidRPr="00703A0B">
              <w:rPr>
                <w:rFonts w:cs="Arial"/>
                <w:bCs/>
              </w:rPr>
              <w:t>Antony brings extensive senior executive experience across the Australian Public Sector</w:t>
            </w:r>
            <w:r w:rsidR="00B862A7" w:rsidRPr="00703A0B">
              <w:rPr>
                <w:rFonts w:cs="Arial"/>
                <w:bCs/>
              </w:rPr>
              <w:t xml:space="preserve"> </w:t>
            </w:r>
            <w:r w:rsidRPr="00703A0B">
              <w:rPr>
                <w:rFonts w:cs="Arial"/>
                <w:bCs/>
              </w:rPr>
              <w:t>and Local Government, having served as Chief Information Officer and in digital</w:t>
            </w:r>
            <w:r w:rsidR="00B862A7" w:rsidRPr="00703A0B">
              <w:rPr>
                <w:rFonts w:cs="Arial"/>
                <w:bCs/>
              </w:rPr>
              <w:t xml:space="preserve"> </w:t>
            </w:r>
            <w:r w:rsidRPr="00703A0B">
              <w:rPr>
                <w:rFonts w:cs="Arial"/>
                <w:bCs/>
              </w:rPr>
              <w:t>leadership roles in large and complex organisations and more recently in advisory</w:t>
            </w:r>
            <w:r w:rsidR="00B862A7" w:rsidRPr="00703A0B">
              <w:rPr>
                <w:rFonts w:cs="Arial"/>
                <w:bCs/>
              </w:rPr>
              <w:t xml:space="preserve"> </w:t>
            </w:r>
            <w:r w:rsidRPr="00703A0B">
              <w:rPr>
                <w:rFonts w:cs="Arial"/>
                <w:bCs/>
              </w:rPr>
              <w:t>positions including within a Queensland</w:t>
            </w:r>
            <w:r w:rsidR="00344879" w:rsidRPr="00703A0B">
              <w:rPr>
                <w:rFonts w:cs="Arial"/>
                <w:bCs/>
              </w:rPr>
              <w:t xml:space="preserve"> </w:t>
            </w:r>
            <w:r w:rsidRPr="00703A0B">
              <w:rPr>
                <w:rFonts w:cs="Arial"/>
                <w:bCs/>
              </w:rPr>
              <w:t>Government department. His experience</w:t>
            </w:r>
            <w:r w:rsidR="00B862A7" w:rsidRPr="00703A0B">
              <w:rPr>
                <w:rFonts w:cs="Arial"/>
                <w:bCs/>
              </w:rPr>
              <w:t xml:space="preserve"> </w:t>
            </w:r>
            <w:r w:rsidRPr="00703A0B">
              <w:rPr>
                <w:rFonts w:cs="Arial"/>
                <w:bCs/>
              </w:rPr>
              <w:t>spans leading whole</w:t>
            </w:r>
            <w:r w:rsidRPr="00703A0B">
              <w:rPr>
                <w:rFonts w:cs="Arial"/>
                <w:bCs/>
              </w:rPr>
              <w:noBreakHyphen/>
              <w:t>of</w:t>
            </w:r>
            <w:r w:rsidRPr="00703A0B">
              <w:rPr>
                <w:rFonts w:cs="Arial"/>
                <w:bCs/>
              </w:rPr>
              <w:noBreakHyphen/>
              <w:t>government digital, data and technology portfolios, delivering</w:t>
            </w:r>
          </w:p>
          <w:p w14:paraId="5B06C3FC" w14:textId="5AAE7467" w:rsidR="00C34C5F" w:rsidRPr="00703A0B" w:rsidRDefault="007F0236" w:rsidP="00B862A7">
            <w:pPr>
              <w:rPr>
                <w:rFonts w:cs="Arial"/>
                <w:bCs/>
              </w:rPr>
            </w:pPr>
            <w:r w:rsidRPr="00703A0B">
              <w:rPr>
                <w:rFonts w:cs="Arial"/>
                <w:bCs/>
              </w:rPr>
              <w:t>major digital transformation programs and shaping strategy, operating models and</w:t>
            </w:r>
            <w:r w:rsidR="00B862A7" w:rsidRPr="00703A0B">
              <w:rPr>
                <w:rFonts w:cs="Arial"/>
                <w:bCs/>
              </w:rPr>
              <w:t xml:space="preserve"> </w:t>
            </w:r>
            <w:r w:rsidRPr="00703A0B">
              <w:rPr>
                <w:rFonts w:cs="Arial"/>
                <w:bCs/>
              </w:rPr>
              <w:t>cyber capability for high</w:t>
            </w:r>
            <w:r w:rsidRPr="00703A0B">
              <w:rPr>
                <w:rFonts w:cs="Arial"/>
                <w:bCs/>
              </w:rPr>
              <w:noBreakHyphen/>
              <w:t>profile public institutions.</w:t>
            </w:r>
          </w:p>
        </w:tc>
      </w:tr>
      <w:tr w:rsidR="003C633A" w:rsidRPr="00703A0B" w14:paraId="496800FF" w14:textId="77777777" w:rsidTr="002763C4">
        <w:tc>
          <w:tcPr>
            <w:tcW w:w="2830" w:type="dxa"/>
          </w:tcPr>
          <w:p w14:paraId="7E8892A3" w14:textId="77777777" w:rsidR="003C633A" w:rsidRPr="00703A0B" w:rsidRDefault="003C633A" w:rsidP="003C633A">
            <w:pPr>
              <w:rPr>
                <w:rFonts w:cs="Arial"/>
                <w:b/>
              </w:rPr>
            </w:pPr>
            <w:r w:rsidRPr="00703A0B">
              <w:rPr>
                <w:rFonts w:cs="Arial"/>
                <w:b/>
              </w:rPr>
              <w:t xml:space="preserve">Tim Murphy </w:t>
            </w:r>
          </w:p>
          <w:p w14:paraId="586E66B5" w14:textId="77777777" w:rsidR="003C633A" w:rsidRPr="00703A0B" w:rsidRDefault="003C633A" w:rsidP="003C633A">
            <w:pPr>
              <w:rPr>
                <w:rFonts w:cs="Arial"/>
              </w:rPr>
            </w:pPr>
            <w:r w:rsidRPr="00703A0B">
              <w:rPr>
                <w:rFonts w:cs="Arial"/>
              </w:rPr>
              <w:t xml:space="preserve">Chief Financial Officer </w:t>
            </w:r>
          </w:p>
          <w:p w14:paraId="528DEB17" w14:textId="77777777" w:rsidR="003C633A" w:rsidRPr="00703A0B" w:rsidRDefault="003C633A" w:rsidP="003C633A">
            <w:pPr>
              <w:rPr>
                <w:rFonts w:cs="Arial"/>
                <w:b/>
              </w:rPr>
            </w:pPr>
          </w:p>
        </w:tc>
        <w:tc>
          <w:tcPr>
            <w:tcW w:w="7620" w:type="dxa"/>
          </w:tcPr>
          <w:p w14:paraId="2980B337" w14:textId="52CE71B3" w:rsidR="003C633A" w:rsidRPr="00703A0B" w:rsidRDefault="003C633A" w:rsidP="003C633A">
            <w:pPr>
              <w:rPr>
                <w:rFonts w:cs="Arial"/>
                <w:bCs/>
              </w:rPr>
            </w:pPr>
            <w:r w:rsidRPr="00703A0B">
              <w:rPr>
                <w:rFonts w:cs="Arial"/>
                <w:bCs/>
              </w:rPr>
              <w:t>Tim is an executive leader and chartered accountant with over 3</w:t>
            </w:r>
            <w:r w:rsidR="00131D59" w:rsidRPr="00703A0B">
              <w:rPr>
                <w:rFonts w:cs="Arial"/>
                <w:bCs/>
              </w:rPr>
              <w:t>0</w:t>
            </w:r>
            <w:r w:rsidRPr="00703A0B">
              <w:rPr>
                <w:rFonts w:cs="Arial"/>
                <w:bCs/>
              </w:rPr>
              <w:t xml:space="preserve"> years of experience delivering financial services across a wide range of industries and complex organisations in both the private and public sectors. As the Chief Financial Officer, Tim leads the Financial Services division, encompassing Facilities Management, Finance, Procurement and Insurance Scheme Management. Tim is focused on safeguarding the QBCC’s financial health through strategic oversight, effective risk management and maintaining a strong net asset position. Tim is committed to ensuring the QBCC’s long-term financial sustainability and delivering value across the organisation.</w:t>
            </w:r>
          </w:p>
        </w:tc>
      </w:tr>
      <w:tr w:rsidR="00C11FB8" w:rsidRPr="00703A0B" w14:paraId="7F59633E" w14:textId="77777777" w:rsidTr="002763C4">
        <w:tc>
          <w:tcPr>
            <w:tcW w:w="2830" w:type="dxa"/>
          </w:tcPr>
          <w:p w14:paraId="39717773" w14:textId="263F64E9" w:rsidR="00C11FB8" w:rsidRPr="00703A0B" w:rsidRDefault="00813C6F" w:rsidP="003C633A">
            <w:pPr>
              <w:rPr>
                <w:rFonts w:cs="Arial"/>
                <w:b/>
              </w:rPr>
            </w:pPr>
            <w:r w:rsidRPr="00703A0B">
              <w:rPr>
                <w:rFonts w:cs="Arial"/>
                <w:b/>
              </w:rPr>
              <w:t>Jo Mc</w:t>
            </w:r>
            <w:r w:rsidR="002E3518" w:rsidRPr="00703A0B">
              <w:rPr>
                <w:rFonts w:cs="Arial"/>
                <w:b/>
              </w:rPr>
              <w:t>K</w:t>
            </w:r>
            <w:r w:rsidRPr="00703A0B">
              <w:rPr>
                <w:rFonts w:cs="Arial"/>
                <w:b/>
              </w:rPr>
              <w:t>ennariey</w:t>
            </w:r>
          </w:p>
          <w:p w14:paraId="1D002F09" w14:textId="4F07A8EA" w:rsidR="00813C6F" w:rsidRPr="00703A0B" w:rsidRDefault="00813C6F" w:rsidP="003C633A">
            <w:pPr>
              <w:rPr>
                <w:rFonts w:cs="Arial"/>
                <w:bCs/>
              </w:rPr>
            </w:pPr>
            <w:r w:rsidRPr="00703A0B">
              <w:rPr>
                <w:rFonts w:cs="Arial"/>
                <w:bCs/>
              </w:rPr>
              <w:t xml:space="preserve">General Manager People and Culture </w:t>
            </w:r>
          </w:p>
        </w:tc>
        <w:tc>
          <w:tcPr>
            <w:tcW w:w="7620" w:type="dxa"/>
          </w:tcPr>
          <w:p w14:paraId="2B19297D" w14:textId="7201D112" w:rsidR="00C11FB8" w:rsidRPr="00703A0B" w:rsidRDefault="00B10CCB" w:rsidP="003C633A">
            <w:pPr>
              <w:rPr>
                <w:rFonts w:cs="Arial"/>
                <w:bCs/>
              </w:rPr>
            </w:pPr>
            <w:r w:rsidRPr="00703A0B">
              <w:rPr>
                <w:rFonts w:cs="Arial"/>
                <w:bCs/>
              </w:rPr>
              <w:t>Jo brings more than 20 years</w:t>
            </w:r>
            <w:r w:rsidR="009D4803" w:rsidRPr="00703A0B">
              <w:rPr>
                <w:rFonts w:cs="Arial"/>
                <w:bCs/>
              </w:rPr>
              <w:t xml:space="preserve"> of</w:t>
            </w:r>
            <w:r w:rsidRPr="00703A0B">
              <w:rPr>
                <w:rFonts w:cs="Arial"/>
                <w:bCs/>
              </w:rPr>
              <w:t xml:space="preserve"> experience in senior people, culture and organisational leadership roles across the public sector, financial services, infrastructure and the community sector.</w:t>
            </w:r>
            <w:r w:rsidR="00620AE1" w:rsidRPr="00703A0B">
              <w:rPr>
                <w:rFonts w:cs="Arial"/>
                <w:bCs/>
              </w:rPr>
              <w:t xml:space="preserve"> </w:t>
            </w:r>
            <w:r w:rsidR="006D022F" w:rsidRPr="00703A0B">
              <w:rPr>
                <w:rFonts w:cs="Arial"/>
                <w:bCs/>
              </w:rPr>
              <w:t>Jo leads the People and Culture function and partnering across the organisation to strengthen culture, capability and the support provided to our people as we continue to progress the T</w:t>
            </w:r>
            <w:r w:rsidR="00F63B2D" w:rsidRPr="00703A0B">
              <w:rPr>
                <w:rFonts w:cs="Arial"/>
                <w:bCs/>
              </w:rPr>
              <w:t>OM</w:t>
            </w:r>
            <w:r w:rsidR="006D022F" w:rsidRPr="00703A0B">
              <w:rPr>
                <w:rFonts w:cs="Arial"/>
                <w:bCs/>
              </w:rPr>
              <w:t>.</w:t>
            </w:r>
            <w:r w:rsidR="00FA189F" w:rsidRPr="00703A0B">
              <w:rPr>
                <w:rFonts w:cs="Arial"/>
                <w:bCs/>
              </w:rPr>
              <w:t xml:space="preserve"> Jo is known for her calm, thoughtful approach, her ability to build trusted relationships, and her commitment to creating positive, supportive workplaces where people can do their best work. </w:t>
            </w:r>
          </w:p>
        </w:tc>
      </w:tr>
      <w:tr w:rsidR="00D8378B" w:rsidRPr="00703A0B" w14:paraId="39D28029" w14:textId="77777777" w:rsidTr="002763C4">
        <w:tc>
          <w:tcPr>
            <w:tcW w:w="2830" w:type="dxa"/>
          </w:tcPr>
          <w:p w14:paraId="75B4F75D" w14:textId="77777777" w:rsidR="00D8378B" w:rsidRPr="00703A0B" w:rsidRDefault="00D8378B" w:rsidP="003C633A">
            <w:pPr>
              <w:rPr>
                <w:rFonts w:cs="Arial"/>
                <w:b/>
              </w:rPr>
            </w:pPr>
            <w:r w:rsidRPr="00703A0B">
              <w:rPr>
                <w:rFonts w:cs="Arial"/>
                <w:b/>
              </w:rPr>
              <w:t>Skye Bowie</w:t>
            </w:r>
          </w:p>
          <w:p w14:paraId="63E8D1A3" w14:textId="77777777" w:rsidR="00973050" w:rsidRPr="00703A0B" w:rsidRDefault="00973050" w:rsidP="003C633A">
            <w:pPr>
              <w:rPr>
                <w:rFonts w:cs="Arial"/>
                <w:bCs/>
              </w:rPr>
            </w:pPr>
            <w:r w:rsidRPr="00703A0B">
              <w:rPr>
                <w:rFonts w:cs="Arial"/>
                <w:bCs/>
              </w:rPr>
              <w:t>General Manager</w:t>
            </w:r>
          </w:p>
          <w:p w14:paraId="208466F8" w14:textId="77777777" w:rsidR="00973050" w:rsidRPr="00703A0B" w:rsidRDefault="00973050" w:rsidP="003C633A">
            <w:pPr>
              <w:rPr>
                <w:rFonts w:cs="Arial"/>
                <w:bCs/>
              </w:rPr>
            </w:pPr>
            <w:r w:rsidRPr="00703A0B">
              <w:rPr>
                <w:rFonts w:cs="Arial"/>
                <w:bCs/>
              </w:rPr>
              <w:t xml:space="preserve">Integrity and </w:t>
            </w:r>
            <w:r w:rsidR="00160CA0" w:rsidRPr="00703A0B">
              <w:rPr>
                <w:rFonts w:cs="Arial"/>
                <w:bCs/>
              </w:rPr>
              <w:t>Risk</w:t>
            </w:r>
          </w:p>
          <w:p w14:paraId="5FAB282F" w14:textId="4ABE989F" w:rsidR="005E1E57" w:rsidRPr="00703A0B" w:rsidRDefault="005E1E57" w:rsidP="003C633A">
            <w:pPr>
              <w:rPr>
                <w:rFonts w:cs="Arial"/>
                <w:i/>
                <w:iCs/>
              </w:rPr>
            </w:pPr>
            <w:r w:rsidRPr="00703A0B">
              <w:rPr>
                <w:rFonts w:cs="Arial"/>
                <w:i/>
                <w:iCs/>
              </w:rPr>
              <w:t>(</w:t>
            </w:r>
            <w:r w:rsidR="009A015E" w:rsidRPr="00703A0B">
              <w:rPr>
                <w:rFonts w:cs="Arial"/>
                <w:i/>
                <w:iCs/>
              </w:rPr>
              <w:t xml:space="preserve">position held </w:t>
            </w:r>
            <w:r w:rsidR="001D76A2" w:rsidRPr="00703A0B">
              <w:rPr>
                <w:rFonts w:cs="Arial"/>
                <w:i/>
                <w:iCs/>
              </w:rPr>
              <w:t>to</w:t>
            </w:r>
            <w:r w:rsidR="009A015E" w:rsidRPr="00703A0B">
              <w:rPr>
                <w:rFonts w:cs="Arial"/>
                <w:i/>
                <w:iCs/>
              </w:rPr>
              <w:t xml:space="preserve"> </w:t>
            </w:r>
            <w:r w:rsidR="0099220E" w:rsidRPr="00703A0B">
              <w:rPr>
                <w:rFonts w:cs="Arial"/>
                <w:i/>
                <w:iCs/>
              </w:rPr>
              <w:t>30 June 2026)</w:t>
            </w:r>
          </w:p>
        </w:tc>
        <w:tc>
          <w:tcPr>
            <w:tcW w:w="7620" w:type="dxa"/>
          </w:tcPr>
          <w:p w14:paraId="44317E99" w14:textId="270CEDA1" w:rsidR="00D8378B" w:rsidRPr="00703A0B" w:rsidRDefault="005B285F" w:rsidP="003C633A">
            <w:pPr>
              <w:rPr>
                <w:rFonts w:cs="Arial"/>
                <w:bCs/>
              </w:rPr>
            </w:pPr>
            <w:r w:rsidRPr="00703A0B">
              <w:rPr>
                <w:rFonts w:cs="Arial"/>
                <w:bCs/>
              </w:rPr>
              <w:t xml:space="preserve">Skye is an executive leader and lawyer with extensive experience across regulatory, legal, financial services and building and construction industries. </w:t>
            </w:r>
            <w:r w:rsidR="006B25E3" w:rsidRPr="00703A0B">
              <w:rPr>
                <w:rFonts w:cs="Arial"/>
                <w:bCs/>
              </w:rPr>
              <w:t xml:space="preserve">Skye served as the Acting Chief Building Regulator </w:t>
            </w:r>
            <w:r w:rsidR="009A565A" w:rsidRPr="00703A0B">
              <w:rPr>
                <w:rFonts w:cs="Arial"/>
                <w:bCs/>
              </w:rPr>
              <w:t xml:space="preserve">prior to the </w:t>
            </w:r>
            <w:r w:rsidR="00920C91" w:rsidRPr="00703A0B">
              <w:rPr>
                <w:rFonts w:cs="Arial"/>
                <w:bCs/>
              </w:rPr>
              <w:t xml:space="preserve">transition </w:t>
            </w:r>
            <w:r w:rsidR="00EB343C" w:rsidRPr="00703A0B">
              <w:rPr>
                <w:rFonts w:cs="Arial"/>
                <w:bCs/>
              </w:rPr>
              <w:t>to</w:t>
            </w:r>
            <w:r w:rsidR="009A565A" w:rsidRPr="00703A0B">
              <w:rPr>
                <w:rFonts w:cs="Arial"/>
                <w:bCs/>
              </w:rPr>
              <w:t xml:space="preserve"> the </w:t>
            </w:r>
            <w:r w:rsidR="00D968ED" w:rsidRPr="00703A0B">
              <w:rPr>
                <w:rFonts w:cs="Arial"/>
                <w:bCs/>
              </w:rPr>
              <w:t>TOM</w:t>
            </w:r>
            <w:r w:rsidR="009A565A" w:rsidRPr="00703A0B">
              <w:rPr>
                <w:rFonts w:cs="Arial"/>
                <w:bCs/>
              </w:rPr>
              <w:t xml:space="preserve">. </w:t>
            </w:r>
            <w:r w:rsidRPr="00703A0B">
              <w:rPr>
                <w:rFonts w:cs="Arial"/>
                <w:bCs/>
              </w:rPr>
              <w:t>Skye has led significant strategic reforms to enhance service delivery and strengthen governance and compliance. Skye is committed to reducing risk and harm in Queensland's building and construction industry by harnessing innovative technology and developing collaborative partnerships, with a focus on creating a more sustainable and customer-focused regulatory environment.</w:t>
            </w:r>
          </w:p>
        </w:tc>
      </w:tr>
      <w:tr w:rsidR="003C633A" w:rsidRPr="00703A0B" w14:paraId="74F5B2AC" w14:textId="77777777" w:rsidTr="002763C4">
        <w:tc>
          <w:tcPr>
            <w:tcW w:w="2830" w:type="dxa"/>
          </w:tcPr>
          <w:p w14:paraId="1BA9C90B" w14:textId="77777777" w:rsidR="003C633A" w:rsidRPr="00703A0B" w:rsidRDefault="003C633A" w:rsidP="003C633A">
            <w:pPr>
              <w:rPr>
                <w:rFonts w:cs="Arial"/>
                <w:b/>
              </w:rPr>
            </w:pPr>
            <w:r w:rsidRPr="00703A0B">
              <w:rPr>
                <w:rFonts w:cs="Arial"/>
                <w:b/>
              </w:rPr>
              <w:t xml:space="preserve">Natalie Homan </w:t>
            </w:r>
          </w:p>
          <w:p w14:paraId="5B9266DD" w14:textId="3D3A60B1" w:rsidR="003C633A" w:rsidRPr="00703A0B" w:rsidRDefault="003C633A" w:rsidP="003C633A">
            <w:pPr>
              <w:rPr>
                <w:rFonts w:cs="Arial"/>
              </w:rPr>
            </w:pPr>
            <w:r w:rsidRPr="00703A0B">
              <w:rPr>
                <w:rFonts w:cs="Arial"/>
              </w:rPr>
              <w:t xml:space="preserve">Acting General Manager Integrity and Risk  </w:t>
            </w:r>
          </w:p>
          <w:p w14:paraId="1A810B26" w14:textId="77777777" w:rsidR="003C633A" w:rsidRPr="00703A0B" w:rsidRDefault="003C633A" w:rsidP="003C633A">
            <w:pPr>
              <w:rPr>
                <w:rFonts w:cs="Arial"/>
                <w:b/>
              </w:rPr>
            </w:pPr>
          </w:p>
        </w:tc>
        <w:tc>
          <w:tcPr>
            <w:tcW w:w="7620" w:type="dxa"/>
          </w:tcPr>
          <w:p w14:paraId="639562A1" w14:textId="1CA6CC4E" w:rsidR="003C633A" w:rsidRPr="00703A0B" w:rsidRDefault="003C633A" w:rsidP="003C633A">
            <w:pPr>
              <w:rPr>
                <w:rFonts w:cs="Arial"/>
              </w:rPr>
            </w:pPr>
            <w:r w:rsidRPr="00703A0B">
              <w:rPr>
                <w:rFonts w:cs="Arial"/>
                <w:bCs/>
              </w:rPr>
              <w:t>Natalie has built a career in law and the public sector, with a strong focus on specialist integrity roles within the Queensland Government. Admitted as a lawyer to the Supreme Court of Queensland in 2012, Natalie serve</w:t>
            </w:r>
            <w:r w:rsidR="00205604" w:rsidRPr="00703A0B">
              <w:rPr>
                <w:rFonts w:cs="Arial"/>
                <w:bCs/>
              </w:rPr>
              <w:t>d</w:t>
            </w:r>
            <w:r w:rsidRPr="00703A0B">
              <w:rPr>
                <w:rFonts w:cs="Arial"/>
                <w:bCs/>
              </w:rPr>
              <w:t xml:space="preserve"> as the Acting Chief Integrity and Risk Officer</w:t>
            </w:r>
            <w:r w:rsidR="00205604" w:rsidRPr="00703A0B">
              <w:rPr>
                <w:rFonts w:cs="Arial"/>
                <w:bCs/>
              </w:rPr>
              <w:t xml:space="preserve"> </w:t>
            </w:r>
            <w:r w:rsidR="00E429DE" w:rsidRPr="00703A0B">
              <w:rPr>
                <w:rFonts w:cs="Arial"/>
                <w:bCs/>
              </w:rPr>
              <w:t xml:space="preserve">before </w:t>
            </w:r>
            <w:r w:rsidR="007C4B73" w:rsidRPr="00703A0B">
              <w:rPr>
                <w:rFonts w:cs="Arial"/>
                <w:bCs/>
              </w:rPr>
              <w:t>transitioning to</w:t>
            </w:r>
            <w:r w:rsidR="00F122E5" w:rsidRPr="00703A0B">
              <w:rPr>
                <w:rFonts w:cs="Arial"/>
                <w:bCs/>
              </w:rPr>
              <w:t xml:space="preserve"> </w:t>
            </w:r>
            <w:r w:rsidR="00E438AB" w:rsidRPr="00703A0B">
              <w:rPr>
                <w:rFonts w:cs="Arial"/>
                <w:bCs/>
              </w:rPr>
              <w:t xml:space="preserve">the </w:t>
            </w:r>
            <w:r w:rsidR="00F122E5" w:rsidRPr="00703A0B">
              <w:rPr>
                <w:rFonts w:cs="Arial"/>
                <w:bCs/>
              </w:rPr>
              <w:t xml:space="preserve">Acting </w:t>
            </w:r>
            <w:r w:rsidR="00427893" w:rsidRPr="00703A0B">
              <w:rPr>
                <w:rFonts w:cs="Arial"/>
                <w:bCs/>
              </w:rPr>
              <w:t>General Manager</w:t>
            </w:r>
            <w:r w:rsidR="009A11E7" w:rsidRPr="00703A0B">
              <w:rPr>
                <w:rFonts w:cs="Arial"/>
                <w:bCs/>
              </w:rPr>
              <w:t>,</w:t>
            </w:r>
            <w:r w:rsidR="00427893" w:rsidRPr="00703A0B">
              <w:rPr>
                <w:rFonts w:cs="Arial"/>
                <w:bCs/>
              </w:rPr>
              <w:t xml:space="preserve"> Integrity and Risk</w:t>
            </w:r>
            <w:r w:rsidR="00E438AB" w:rsidRPr="00703A0B">
              <w:rPr>
                <w:rFonts w:cs="Arial"/>
                <w:bCs/>
              </w:rPr>
              <w:t xml:space="preserve"> role</w:t>
            </w:r>
            <w:r w:rsidRPr="00703A0B">
              <w:rPr>
                <w:rFonts w:cs="Arial"/>
                <w:bCs/>
              </w:rPr>
              <w:t xml:space="preserve">. In this role, Natalie ensures robust governance and </w:t>
            </w:r>
            <w:bookmarkStart w:id="152" w:name="_Int_OubIwJzD"/>
            <w:r w:rsidRPr="00703A0B">
              <w:rPr>
                <w:rFonts w:cs="Arial"/>
                <w:bCs/>
              </w:rPr>
              <w:t>risk</w:t>
            </w:r>
            <w:bookmarkEnd w:id="152"/>
            <w:r w:rsidRPr="00703A0B">
              <w:rPr>
                <w:rFonts w:cs="Arial"/>
                <w:bCs/>
              </w:rPr>
              <w:t xml:space="preserve"> and assurance systems are in place to support the QBCC in achieving its objectives with the highest standards of integrity. She leads a team that provides independent</w:t>
            </w:r>
            <w:r w:rsidR="002D638C" w:rsidRPr="00703A0B">
              <w:rPr>
                <w:rFonts w:cs="Arial"/>
                <w:bCs/>
              </w:rPr>
              <w:t>,</w:t>
            </w:r>
            <w:r w:rsidRPr="00703A0B">
              <w:rPr>
                <w:rFonts w:cs="Arial"/>
                <w:bCs/>
              </w:rPr>
              <w:t xml:space="preserve"> well-informed resolution and review services, ensuring both effective service delivery and organisational integrity.</w:t>
            </w:r>
          </w:p>
        </w:tc>
      </w:tr>
      <w:tr w:rsidR="003C633A" w:rsidRPr="00703A0B" w14:paraId="2FD02015" w14:textId="59951F07" w:rsidTr="002763C4">
        <w:tc>
          <w:tcPr>
            <w:tcW w:w="2830" w:type="dxa"/>
          </w:tcPr>
          <w:p w14:paraId="10D457D0" w14:textId="752A48EF" w:rsidR="003C633A" w:rsidRPr="00703A0B" w:rsidRDefault="003C633A" w:rsidP="003C633A">
            <w:pPr>
              <w:rPr>
                <w:rFonts w:cs="Arial"/>
                <w:b/>
              </w:rPr>
            </w:pPr>
            <w:r w:rsidRPr="00703A0B">
              <w:rPr>
                <w:rFonts w:cs="Arial"/>
                <w:b/>
              </w:rPr>
              <w:t xml:space="preserve">Dean McNulty </w:t>
            </w:r>
          </w:p>
          <w:p w14:paraId="3D398C9F" w14:textId="4F90831E" w:rsidR="003C633A" w:rsidRPr="00703A0B" w:rsidRDefault="0828FDAA" w:rsidP="003C633A">
            <w:pPr>
              <w:rPr>
                <w:rFonts w:cs="Arial"/>
              </w:rPr>
            </w:pPr>
            <w:r w:rsidRPr="00703A0B">
              <w:rPr>
                <w:rFonts w:cs="Arial"/>
              </w:rPr>
              <w:t>General Counsel</w:t>
            </w:r>
          </w:p>
          <w:p w14:paraId="63D4833B" w14:textId="300B10BB" w:rsidR="003C633A" w:rsidRPr="00703A0B" w:rsidRDefault="003C633A" w:rsidP="003C633A">
            <w:pPr>
              <w:rPr>
                <w:rFonts w:cs="Arial"/>
                <w:b/>
              </w:rPr>
            </w:pPr>
          </w:p>
        </w:tc>
        <w:tc>
          <w:tcPr>
            <w:tcW w:w="7620" w:type="dxa"/>
          </w:tcPr>
          <w:p w14:paraId="6ABB559C" w14:textId="6572F82F" w:rsidR="003C633A" w:rsidRPr="00703A0B" w:rsidRDefault="003C633A" w:rsidP="003C633A">
            <w:pPr>
              <w:rPr>
                <w:rFonts w:cs="Arial"/>
              </w:rPr>
            </w:pPr>
            <w:r w:rsidRPr="00703A0B">
              <w:rPr>
                <w:rFonts w:cs="Arial"/>
                <w:bCs/>
              </w:rPr>
              <w:t xml:space="preserve">Dean is a solicitor of the Supreme Court of Queensland and the High Court of Australia, with approximately </w:t>
            </w:r>
            <w:r w:rsidR="1BAFBCEB" w:rsidRPr="00703A0B">
              <w:rPr>
                <w:rFonts w:cs="Arial"/>
              </w:rPr>
              <w:t>nine</w:t>
            </w:r>
            <w:r w:rsidRPr="00703A0B">
              <w:rPr>
                <w:rFonts w:cs="Arial"/>
                <w:bCs/>
              </w:rPr>
              <w:t xml:space="preserve"> years of experience at the QBCC. As </w:t>
            </w:r>
            <w:r w:rsidR="774F6428" w:rsidRPr="00703A0B">
              <w:rPr>
                <w:rFonts w:cs="Arial"/>
              </w:rPr>
              <w:t xml:space="preserve">General </w:t>
            </w:r>
            <w:r w:rsidR="009123AC" w:rsidRPr="00703A0B">
              <w:rPr>
                <w:rFonts w:cs="Arial"/>
              </w:rPr>
              <w:t>Counsel</w:t>
            </w:r>
            <w:r w:rsidRPr="00703A0B">
              <w:rPr>
                <w:rFonts w:cs="Arial"/>
                <w:bCs/>
              </w:rPr>
              <w:t xml:space="preserve">, Dean provides expert legal advice to the QBC Board, the Commissioner and SLT. Dean is dedicated to ensuring the QBCC delivers fair, ethical and lawful regulatory services. Dean oversees a team that delivers comprehensive legal services and ensures compliance with privacy and right to information requirements. </w:t>
            </w:r>
            <w:r w:rsidRPr="00703A0B">
              <w:rPr>
                <w:rFonts w:cs="Arial"/>
              </w:rPr>
              <w:t xml:space="preserve">Through the QBCC Policy and Legislation team, </w:t>
            </w:r>
            <w:r w:rsidRPr="00703A0B">
              <w:rPr>
                <w:rFonts w:cs="Arial"/>
                <w:bCs/>
              </w:rPr>
              <w:t xml:space="preserve">Dean is also responsible for </w:t>
            </w:r>
            <w:r w:rsidRPr="00703A0B">
              <w:rPr>
                <w:rFonts w:cs="Arial"/>
              </w:rPr>
              <w:t xml:space="preserve">contributing to the </w:t>
            </w:r>
            <w:r w:rsidRPr="00703A0B">
              <w:rPr>
                <w:rFonts w:cs="Arial"/>
              </w:rPr>
              <w:lastRenderedPageBreak/>
              <w:t xml:space="preserve">development of </w:t>
            </w:r>
            <w:r w:rsidRPr="00703A0B">
              <w:rPr>
                <w:rFonts w:cs="Arial"/>
                <w:bCs/>
              </w:rPr>
              <w:t xml:space="preserve">policies and legislation </w:t>
            </w:r>
            <w:r w:rsidRPr="00703A0B">
              <w:rPr>
                <w:rFonts w:cs="Arial"/>
              </w:rPr>
              <w:t>that</w:t>
            </w:r>
            <w:r w:rsidRPr="00703A0B">
              <w:rPr>
                <w:rFonts w:cs="Arial"/>
                <w:bCs/>
              </w:rPr>
              <w:t xml:space="preserve"> support and protect the building and construction industry</w:t>
            </w:r>
            <w:r w:rsidRPr="00703A0B">
              <w:rPr>
                <w:rFonts w:cs="Arial"/>
              </w:rPr>
              <w:t xml:space="preserve"> and consumers</w:t>
            </w:r>
            <w:r w:rsidRPr="00703A0B">
              <w:rPr>
                <w:rFonts w:cs="Arial"/>
                <w:bCs/>
              </w:rPr>
              <w:t>.</w:t>
            </w:r>
          </w:p>
        </w:tc>
      </w:tr>
      <w:tr w:rsidR="003C633A" w:rsidRPr="00703A0B" w14:paraId="43DAF30B" w14:textId="77777777" w:rsidTr="002763C4">
        <w:tc>
          <w:tcPr>
            <w:tcW w:w="2830" w:type="dxa"/>
          </w:tcPr>
          <w:p w14:paraId="14295716" w14:textId="77777777" w:rsidR="003C633A" w:rsidRPr="00703A0B" w:rsidRDefault="003C633A" w:rsidP="003C633A">
            <w:pPr>
              <w:rPr>
                <w:rFonts w:cs="Arial"/>
                <w:b/>
              </w:rPr>
            </w:pPr>
            <w:r w:rsidRPr="00703A0B">
              <w:rPr>
                <w:rFonts w:cs="Arial"/>
                <w:b/>
              </w:rPr>
              <w:lastRenderedPageBreak/>
              <w:t xml:space="preserve">Brendan Gribbin </w:t>
            </w:r>
          </w:p>
          <w:p w14:paraId="10FEAD5A" w14:textId="77777777" w:rsidR="003C633A" w:rsidRPr="00703A0B" w:rsidRDefault="003C633A" w:rsidP="003C633A">
            <w:pPr>
              <w:rPr>
                <w:rFonts w:cs="Arial"/>
              </w:rPr>
            </w:pPr>
            <w:r w:rsidRPr="00703A0B">
              <w:rPr>
                <w:rFonts w:cs="Arial"/>
              </w:rPr>
              <w:t xml:space="preserve">Company Secretary </w:t>
            </w:r>
          </w:p>
          <w:p w14:paraId="154D1EAE" w14:textId="77777777" w:rsidR="003C633A" w:rsidRPr="00703A0B" w:rsidRDefault="003C633A" w:rsidP="003C633A">
            <w:pPr>
              <w:rPr>
                <w:rFonts w:cs="Arial"/>
                <w:b/>
              </w:rPr>
            </w:pPr>
          </w:p>
        </w:tc>
        <w:tc>
          <w:tcPr>
            <w:tcW w:w="7620" w:type="dxa"/>
          </w:tcPr>
          <w:p w14:paraId="4A9EA98A" w14:textId="116717D0" w:rsidR="003C633A" w:rsidRPr="00703A0B" w:rsidRDefault="003C633A" w:rsidP="003C633A">
            <w:pPr>
              <w:rPr>
                <w:rFonts w:cs="Arial"/>
                <w:i/>
              </w:rPr>
            </w:pPr>
            <w:r w:rsidRPr="00703A0B">
              <w:rPr>
                <w:rFonts w:cs="Arial"/>
                <w:bCs/>
              </w:rPr>
              <w:t>Brendan is a skilled senior leader with 15 years of experience in the public sector, specialising in governance, risk and finance. As the Company Secretary, Brendan supports the QBC Board and its committees in fulfilling their legislative responsibilities. Brendan works closely with the QBC Board and SLT to ensure effective communication, provide timely and relevant information for sound decision making and deliver advice on a range of governance matters.</w:t>
            </w:r>
          </w:p>
        </w:tc>
      </w:tr>
    </w:tbl>
    <w:p w14:paraId="460C49B5" w14:textId="4A784722" w:rsidR="00257BF1" w:rsidRPr="00703A0B" w:rsidRDefault="00C53D16" w:rsidP="0088575E">
      <w:pPr>
        <w:pStyle w:val="Heading3"/>
      </w:pPr>
      <w:bookmarkStart w:id="153" w:name="_Service_Trades_Council_3"/>
      <w:bookmarkStart w:id="154" w:name="_Service_Trades_Council"/>
      <w:bookmarkEnd w:id="153"/>
      <w:bookmarkEnd w:id="154"/>
      <w:r w:rsidRPr="00703A0B">
        <w:t>Service Trade</w:t>
      </w:r>
      <w:r w:rsidR="00280953" w:rsidRPr="00703A0B">
        <w:t>s</w:t>
      </w:r>
      <w:r w:rsidRPr="00703A0B">
        <w:t xml:space="preserve"> Council</w:t>
      </w:r>
      <w:r w:rsidR="00FA1576" w:rsidRPr="00703A0B">
        <w:t xml:space="preserve"> </w:t>
      </w:r>
      <w:r w:rsidR="00A962BF" w:rsidRPr="00703A0B">
        <w:t>(STC)</w:t>
      </w:r>
    </w:p>
    <w:p w14:paraId="496F88C3" w14:textId="6918628F" w:rsidR="00BD4D4A" w:rsidRPr="00703A0B" w:rsidRDefault="004F7BDA" w:rsidP="002E3AE0">
      <w:pPr>
        <w:spacing w:before="120" w:after="120"/>
        <w:rPr>
          <w:rFonts w:cs="Arial"/>
        </w:rPr>
      </w:pPr>
      <w:r w:rsidRPr="00703A0B">
        <w:rPr>
          <w:rFonts w:cs="Arial"/>
          <w:szCs w:val="22"/>
        </w:rPr>
        <w:t>The STC</w:t>
      </w:r>
      <w:r w:rsidR="006A4204" w:rsidRPr="00703A0B">
        <w:rPr>
          <w:rFonts w:cs="Arial"/>
          <w:szCs w:val="22"/>
        </w:rPr>
        <w:t xml:space="preserve"> </w:t>
      </w:r>
      <w:r w:rsidRPr="00703A0B">
        <w:rPr>
          <w:rFonts w:cs="Arial"/>
          <w:szCs w:val="22"/>
        </w:rPr>
        <w:t>provide</w:t>
      </w:r>
      <w:r w:rsidR="00765BB8" w:rsidRPr="00703A0B">
        <w:rPr>
          <w:rFonts w:cs="Arial"/>
          <w:szCs w:val="22"/>
        </w:rPr>
        <w:t>s</w:t>
      </w:r>
      <w:r w:rsidRPr="00703A0B">
        <w:rPr>
          <w:rFonts w:cs="Arial"/>
          <w:szCs w:val="22"/>
        </w:rPr>
        <w:t xml:space="preserve"> advice and recommendations to the</w:t>
      </w:r>
      <w:r w:rsidR="009E4EFB" w:rsidRPr="00703A0B">
        <w:rPr>
          <w:rFonts w:cs="Arial"/>
          <w:szCs w:val="22"/>
        </w:rPr>
        <w:t xml:space="preserve"> </w:t>
      </w:r>
      <w:r w:rsidRPr="00703A0B">
        <w:rPr>
          <w:rFonts w:cs="Arial"/>
          <w:szCs w:val="22"/>
        </w:rPr>
        <w:t xml:space="preserve">Commissioner and the Minister for </w:t>
      </w:r>
      <w:r w:rsidR="006A4204" w:rsidRPr="00703A0B">
        <w:rPr>
          <w:rFonts w:cs="Arial"/>
          <w:szCs w:val="22"/>
        </w:rPr>
        <w:t xml:space="preserve">Housing and </w:t>
      </w:r>
      <w:r w:rsidRPr="00703A0B">
        <w:rPr>
          <w:rFonts w:cs="Arial"/>
          <w:szCs w:val="22"/>
        </w:rPr>
        <w:t>Public Works</w:t>
      </w:r>
      <w:r w:rsidR="0026189C" w:rsidRPr="00703A0B">
        <w:rPr>
          <w:rFonts w:cs="Arial"/>
          <w:szCs w:val="22"/>
        </w:rPr>
        <w:t xml:space="preserve"> and Minister for Youth</w:t>
      </w:r>
      <w:r w:rsidRPr="00703A0B">
        <w:rPr>
          <w:rFonts w:cs="Arial"/>
          <w:szCs w:val="22"/>
        </w:rPr>
        <w:t xml:space="preserve"> on </w:t>
      </w:r>
      <w:r w:rsidR="00765BB8" w:rsidRPr="00703A0B">
        <w:rPr>
          <w:rFonts w:cs="Arial"/>
          <w:szCs w:val="22"/>
        </w:rPr>
        <w:t xml:space="preserve">matters </w:t>
      </w:r>
      <w:r w:rsidRPr="00703A0B">
        <w:rPr>
          <w:rFonts w:cs="Arial"/>
          <w:szCs w:val="22"/>
        </w:rPr>
        <w:t xml:space="preserve">affecting the </w:t>
      </w:r>
      <w:r w:rsidR="00765BB8" w:rsidRPr="00703A0B">
        <w:rPr>
          <w:rFonts w:cs="Arial"/>
          <w:szCs w:val="22"/>
        </w:rPr>
        <w:t xml:space="preserve">Queensland’s </w:t>
      </w:r>
      <w:r w:rsidRPr="00703A0B">
        <w:rPr>
          <w:rFonts w:cs="Arial"/>
          <w:szCs w:val="22"/>
        </w:rPr>
        <w:t>service trades industry.</w:t>
      </w:r>
      <w:r w:rsidR="005C0734" w:rsidRPr="00703A0B">
        <w:rPr>
          <w:rFonts w:cs="Arial"/>
          <w:szCs w:val="22"/>
        </w:rPr>
        <w:t xml:space="preserve"> </w:t>
      </w:r>
      <w:r w:rsidR="00A52771" w:rsidRPr="00703A0B">
        <w:rPr>
          <w:rFonts w:cs="Arial"/>
          <w:szCs w:val="22"/>
        </w:rPr>
        <w:t xml:space="preserve">The STC </w:t>
      </w:r>
      <w:r w:rsidR="005C0734" w:rsidRPr="00703A0B">
        <w:rPr>
          <w:rFonts w:cs="Arial"/>
          <w:szCs w:val="22"/>
        </w:rPr>
        <w:t xml:space="preserve">is </w:t>
      </w:r>
      <w:r w:rsidR="00A52771" w:rsidRPr="00703A0B">
        <w:rPr>
          <w:rFonts w:cs="Arial"/>
          <w:szCs w:val="22"/>
        </w:rPr>
        <w:t>supported by the QBCC</w:t>
      </w:r>
      <w:r w:rsidR="00AA06A9" w:rsidRPr="00703A0B">
        <w:rPr>
          <w:rFonts w:cs="Arial"/>
          <w:szCs w:val="22"/>
        </w:rPr>
        <w:t xml:space="preserve"> </w:t>
      </w:r>
      <w:r w:rsidR="00A52771" w:rsidRPr="00703A0B">
        <w:rPr>
          <w:rFonts w:cs="Arial"/>
          <w:szCs w:val="22"/>
        </w:rPr>
        <w:t>Assistant Commissioner</w:t>
      </w:r>
      <w:r w:rsidR="00C555F6" w:rsidRPr="00703A0B">
        <w:rPr>
          <w:rFonts w:cs="Arial"/>
          <w:szCs w:val="22"/>
        </w:rPr>
        <w:t xml:space="preserve"> </w:t>
      </w:r>
      <w:r w:rsidR="00A52771" w:rsidRPr="00703A0B">
        <w:rPr>
          <w:rFonts w:cs="Arial"/>
          <w:szCs w:val="22"/>
        </w:rPr>
        <w:t xml:space="preserve">Regulatory </w:t>
      </w:r>
      <w:r w:rsidR="00AB355A" w:rsidRPr="00703A0B">
        <w:rPr>
          <w:rFonts w:cs="Arial"/>
          <w:szCs w:val="22"/>
        </w:rPr>
        <w:t xml:space="preserve">Services </w:t>
      </w:r>
      <w:r w:rsidR="00A52771" w:rsidRPr="00703A0B">
        <w:rPr>
          <w:rFonts w:cs="Arial"/>
          <w:szCs w:val="22"/>
        </w:rPr>
        <w:t>and Support</w:t>
      </w:r>
      <w:r w:rsidR="00765BB8" w:rsidRPr="00703A0B">
        <w:rPr>
          <w:rFonts w:cs="Arial"/>
          <w:szCs w:val="22"/>
        </w:rPr>
        <w:t xml:space="preserve"> and</w:t>
      </w:r>
      <w:r w:rsidR="00805023" w:rsidRPr="00703A0B">
        <w:rPr>
          <w:rFonts w:cs="Arial"/>
          <w:szCs w:val="22"/>
        </w:rPr>
        <w:t xml:space="preserve"> operates in accordance with the PD Act and the </w:t>
      </w:r>
      <w:r w:rsidR="0023028B" w:rsidRPr="00703A0B">
        <w:rPr>
          <w:rFonts w:cs="Arial"/>
          <w:szCs w:val="22"/>
        </w:rPr>
        <w:t>STC</w:t>
      </w:r>
      <w:r w:rsidR="00805023" w:rsidRPr="00703A0B">
        <w:rPr>
          <w:rFonts w:cs="Arial"/>
          <w:szCs w:val="22"/>
        </w:rPr>
        <w:t xml:space="preserve"> Charter.</w:t>
      </w:r>
    </w:p>
    <w:p w14:paraId="2693B133" w14:textId="5F6BF046" w:rsidR="005962BC" w:rsidRPr="00703A0B" w:rsidRDefault="00BD4D4A" w:rsidP="005962BC">
      <w:pPr>
        <w:spacing w:before="120" w:after="120"/>
        <w:rPr>
          <w:rFonts w:cs="Arial"/>
          <w:szCs w:val="22"/>
        </w:rPr>
      </w:pPr>
      <w:r w:rsidRPr="00703A0B">
        <w:rPr>
          <w:rFonts w:cs="Arial"/>
        </w:rPr>
        <w:t xml:space="preserve">STC members are appointed by the Governor in Council for a </w:t>
      </w:r>
      <w:r w:rsidR="00805023" w:rsidRPr="00703A0B">
        <w:rPr>
          <w:rFonts w:cs="Arial"/>
        </w:rPr>
        <w:t xml:space="preserve">term of up to </w:t>
      </w:r>
      <w:r w:rsidRPr="00703A0B">
        <w:rPr>
          <w:rFonts w:cs="Arial"/>
        </w:rPr>
        <w:t>four</w:t>
      </w:r>
      <w:r w:rsidR="00805023" w:rsidRPr="00703A0B">
        <w:rPr>
          <w:rFonts w:cs="Arial"/>
        </w:rPr>
        <w:t xml:space="preserve"> </w:t>
      </w:r>
      <w:r w:rsidRPr="00703A0B">
        <w:rPr>
          <w:rFonts w:cs="Arial"/>
        </w:rPr>
        <w:t>year</w:t>
      </w:r>
      <w:r w:rsidR="00805023" w:rsidRPr="00703A0B">
        <w:rPr>
          <w:rFonts w:cs="Arial"/>
        </w:rPr>
        <w:t>s</w:t>
      </w:r>
      <w:r w:rsidRPr="00703A0B">
        <w:rPr>
          <w:rFonts w:cs="Arial"/>
        </w:rPr>
        <w:t xml:space="preserve">. </w:t>
      </w:r>
      <w:r w:rsidR="00765BB8" w:rsidRPr="00703A0B">
        <w:rPr>
          <w:rFonts w:cs="Arial"/>
        </w:rPr>
        <w:t xml:space="preserve">As </w:t>
      </w:r>
      <w:proofErr w:type="gramStart"/>
      <w:r w:rsidR="00765BB8" w:rsidRPr="00703A0B">
        <w:rPr>
          <w:rFonts w:cs="Arial"/>
        </w:rPr>
        <w:t>at</w:t>
      </w:r>
      <w:proofErr w:type="gramEnd"/>
      <w:r w:rsidR="00765BB8" w:rsidRPr="00703A0B">
        <w:rPr>
          <w:rFonts w:cs="Arial"/>
        </w:rPr>
        <w:t xml:space="preserve"> 30 June 2026</w:t>
      </w:r>
      <w:r w:rsidRPr="00703A0B">
        <w:rPr>
          <w:rFonts w:cs="Arial"/>
        </w:rPr>
        <w:t xml:space="preserve">, the STC </w:t>
      </w:r>
      <w:r w:rsidR="00765BB8" w:rsidRPr="00703A0B">
        <w:rPr>
          <w:rFonts w:cs="Arial"/>
        </w:rPr>
        <w:t>comprised</w:t>
      </w:r>
      <w:r w:rsidR="00822F28" w:rsidRPr="00703A0B">
        <w:rPr>
          <w:rFonts w:cs="Arial"/>
        </w:rPr>
        <w:t xml:space="preserve"> </w:t>
      </w:r>
      <w:r w:rsidR="0035058F" w:rsidRPr="00703A0B">
        <w:rPr>
          <w:rFonts w:cs="Arial"/>
        </w:rPr>
        <w:t>10</w:t>
      </w:r>
      <w:r w:rsidR="00735D08" w:rsidRPr="00703A0B">
        <w:rPr>
          <w:rFonts w:cs="Arial"/>
        </w:rPr>
        <w:t xml:space="preserve"> </w:t>
      </w:r>
      <w:r w:rsidR="00DD5571" w:rsidRPr="00703A0B">
        <w:rPr>
          <w:rFonts w:cs="Arial"/>
        </w:rPr>
        <w:t>members</w:t>
      </w:r>
      <w:r w:rsidR="0035058F" w:rsidRPr="00703A0B">
        <w:rPr>
          <w:rFonts w:cs="Arial"/>
        </w:rPr>
        <w:t xml:space="preserve"> </w:t>
      </w:r>
      <w:r w:rsidRPr="00703A0B">
        <w:rPr>
          <w:rFonts w:cs="Arial"/>
        </w:rPr>
        <w:t xml:space="preserve">and </w:t>
      </w:r>
      <w:r w:rsidR="008D4242" w:rsidRPr="00703A0B">
        <w:rPr>
          <w:rFonts w:cs="Arial"/>
        </w:rPr>
        <w:t>eight</w:t>
      </w:r>
      <w:r w:rsidR="00B925F0" w:rsidRPr="00703A0B">
        <w:rPr>
          <w:rFonts w:cs="Arial"/>
        </w:rPr>
        <w:t xml:space="preserve"> </w:t>
      </w:r>
      <w:r w:rsidRPr="00703A0B">
        <w:rPr>
          <w:rFonts w:cs="Arial"/>
        </w:rPr>
        <w:t>deputy members.</w:t>
      </w:r>
      <w:r w:rsidR="00BD53A9" w:rsidRPr="00703A0B">
        <w:rPr>
          <w:rFonts w:cs="Arial"/>
          <w:szCs w:val="22"/>
        </w:rPr>
        <w:t xml:space="preserve"> </w:t>
      </w:r>
      <w:r w:rsidR="005962BC" w:rsidRPr="00703A0B">
        <w:rPr>
          <w:rFonts w:cs="Arial"/>
          <w:szCs w:val="22"/>
        </w:rPr>
        <w:t xml:space="preserve">The STC meets at least six times </w:t>
      </w:r>
      <w:r w:rsidR="00A22019" w:rsidRPr="00703A0B">
        <w:rPr>
          <w:rFonts w:cs="Arial"/>
          <w:szCs w:val="22"/>
        </w:rPr>
        <w:t>annually</w:t>
      </w:r>
      <w:r w:rsidR="005962BC" w:rsidRPr="00703A0B">
        <w:rPr>
          <w:rFonts w:cs="Arial"/>
          <w:szCs w:val="22"/>
        </w:rPr>
        <w:t xml:space="preserve">, including four regional industry forums </w:t>
      </w:r>
      <w:r w:rsidR="00FE634D" w:rsidRPr="00703A0B">
        <w:rPr>
          <w:rFonts w:cs="Arial"/>
          <w:szCs w:val="22"/>
        </w:rPr>
        <w:t xml:space="preserve">to </w:t>
      </w:r>
      <w:r w:rsidR="005962BC" w:rsidRPr="00703A0B">
        <w:rPr>
          <w:rFonts w:cs="Arial"/>
          <w:szCs w:val="22"/>
        </w:rPr>
        <w:t xml:space="preserve">strengthen stakeholder engagement </w:t>
      </w:r>
      <w:r w:rsidR="00FE634D" w:rsidRPr="00703A0B">
        <w:rPr>
          <w:rFonts w:cs="Arial"/>
          <w:szCs w:val="22"/>
        </w:rPr>
        <w:t xml:space="preserve">and support industry participation </w:t>
      </w:r>
      <w:r w:rsidR="005962BC" w:rsidRPr="00703A0B">
        <w:rPr>
          <w:rFonts w:cs="Arial"/>
          <w:szCs w:val="22"/>
        </w:rPr>
        <w:t xml:space="preserve">across Queensland. </w:t>
      </w:r>
      <w:r w:rsidR="00FE634D" w:rsidRPr="00703A0B">
        <w:rPr>
          <w:rFonts w:cs="Arial"/>
          <w:szCs w:val="22"/>
        </w:rPr>
        <w:t>The STC may also consider u</w:t>
      </w:r>
      <w:r w:rsidR="005962BC" w:rsidRPr="00703A0B">
        <w:rPr>
          <w:rFonts w:cs="Arial"/>
          <w:szCs w:val="22"/>
        </w:rPr>
        <w:t>rgent or complex matters through extraordinary meetings</w:t>
      </w:r>
      <w:r w:rsidR="008B6E89" w:rsidRPr="00703A0B">
        <w:rPr>
          <w:rFonts w:cs="Arial"/>
          <w:szCs w:val="22"/>
        </w:rPr>
        <w:t xml:space="preserve"> or out-of-session processes</w:t>
      </w:r>
      <w:r w:rsidR="004833C8" w:rsidRPr="00703A0B">
        <w:rPr>
          <w:rFonts w:cs="Arial"/>
          <w:szCs w:val="22"/>
        </w:rPr>
        <w:t>, enabling timely decision</w:t>
      </w:r>
      <w:r w:rsidR="007733A4" w:rsidRPr="00703A0B">
        <w:rPr>
          <w:rFonts w:cs="Arial"/>
          <w:szCs w:val="22"/>
        </w:rPr>
        <w:t xml:space="preserve"> </w:t>
      </w:r>
      <w:r w:rsidR="004833C8" w:rsidRPr="00703A0B">
        <w:rPr>
          <w:rFonts w:cs="Arial"/>
          <w:szCs w:val="22"/>
        </w:rPr>
        <w:t>making when required</w:t>
      </w:r>
      <w:r w:rsidR="005962BC" w:rsidRPr="00703A0B">
        <w:rPr>
          <w:rFonts w:cs="Arial"/>
          <w:szCs w:val="22"/>
        </w:rPr>
        <w:t>.</w:t>
      </w:r>
    </w:p>
    <w:p w14:paraId="0B01C839" w14:textId="321EB2DF" w:rsidR="005962BC" w:rsidRPr="00703A0B" w:rsidRDefault="004833C8" w:rsidP="005962BC">
      <w:pPr>
        <w:spacing w:before="120" w:after="120"/>
        <w:rPr>
          <w:rFonts w:cs="Arial"/>
        </w:rPr>
      </w:pPr>
      <w:r w:rsidRPr="00703A0B">
        <w:rPr>
          <w:rFonts w:cs="Arial"/>
        </w:rPr>
        <w:t xml:space="preserve">During </w:t>
      </w:r>
      <w:r w:rsidR="005962BC" w:rsidRPr="00703A0B">
        <w:rPr>
          <w:rFonts w:cs="Arial"/>
        </w:rPr>
        <w:t xml:space="preserve">2025–26, </w:t>
      </w:r>
      <w:r w:rsidRPr="00703A0B">
        <w:rPr>
          <w:rFonts w:cs="Arial"/>
        </w:rPr>
        <w:t xml:space="preserve">regional industry </w:t>
      </w:r>
      <w:r w:rsidR="005962BC" w:rsidRPr="00703A0B">
        <w:rPr>
          <w:rFonts w:cs="Arial"/>
        </w:rPr>
        <w:t xml:space="preserve">forums </w:t>
      </w:r>
      <w:r w:rsidRPr="00703A0B">
        <w:rPr>
          <w:rFonts w:cs="Arial"/>
        </w:rPr>
        <w:t xml:space="preserve">were held </w:t>
      </w:r>
      <w:r w:rsidR="005962BC" w:rsidRPr="00703A0B">
        <w:rPr>
          <w:rFonts w:cs="Arial"/>
        </w:rPr>
        <w:t>in North Lakes, Bundaberg, Brisbane and Hervey Bay</w:t>
      </w:r>
      <w:r w:rsidRPr="00703A0B">
        <w:rPr>
          <w:rFonts w:cs="Arial"/>
        </w:rPr>
        <w:t>. These forums brought together</w:t>
      </w:r>
      <w:r w:rsidR="005962BC" w:rsidRPr="00703A0B">
        <w:rPr>
          <w:rFonts w:cs="Arial"/>
        </w:rPr>
        <w:t xml:space="preserve"> licensees, training providers and local councils to discuss </w:t>
      </w:r>
      <w:r w:rsidR="00A65857" w:rsidRPr="00703A0B">
        <w:rPr>
          <w:rFonts w:cs="Arial"/>
        </w:rPr>
        <w:t xml:space="preserve">key issues including </w:t>
      </w:r>
      <w:r w:rsidR="005962BC" w:rsidRPr="00703A0B">
        <w:rPr>
          <w:rFonts w:cs="Arial"/>
        </w:rPr>
        <w:t xml:space="preserve">compliance, licensing, notifiable work and inspectorate activities. </w:t>
      </w:r>
      <w:r w:rsidR="00403397" w:rsidRPr="00703A0B">
        <w:rPr>
          <w:rFonts w:cs="Arial"/>
        </w:rPr>
        <w:t>Collaborative</w:t>
      </w:r>
      <w:r w:rsidR="00136007" w:rsidRPr="00703A0B">
        <w:rPr>
          <w:rFonts w:cs="Arial"/>
        </w:rPr>
        <w:t xml:space="preserve"> d</w:t>
      </w:r>
      <w:r w:rsidR="005962BC" w:rsidRPr="00703A0B">
        <w:rPr>
          <w:rFonts w:cs="Arial"/>
        </w:rPr>
        <w:t xml:space="preserve">iscussions with the QBCC, DHPW and local government supported </w:t>
      </w:r>
      <w:r w:rsidR="00403397" w:rsidRPr="00703A0B">
        <w:rPr>
          <w:rFonts w:cs="Arial"/>
        </w:rPr>
        <w:t>meaningful</w:t>
      </w:r>
      <w:r w:rsidR="005962BC" w:rsidRPr="00703A0B">
        <w:rPr>
          <w:rFonts w:cs="Arial"/>
        </w:rPr>
        <w:t xml:space="preserve"> industry engagement, increased awareness </w:t>
      </w:r>
      <w:r w:rsidR="005E44B3" w:rsidRPr="00703A0B">
        <w:rPr>
          <w:rFonts w:cs="Arial"/>
        </w:rPr>
        <w:t>of industry priorities</w:t>
      </w:r>
      <w:r w:rsidR="005962BC" w:rsidRPr="00703A0B">
        <w:rPr>
          <w:rFonts w:cs="Arial"/>
        </w:rPr>
        <w:t xml:space="preserve"> and provided valuable feedback to inform continuous improvement</w:t>
      </w:r>
      <w:r w:rsidR="00E92C46" w:rsidRPr="00703A0B">
        <w:rPr>
          <w:rFonts w:cs="Arial"/>
        </w:rPr>
        <w:t xml:space="preserve"> </w:t>
      </w:r>
      <w:r w:rsidR="00C1323A" w:rsidRPr="00703A0B">
        <w:rPr>
          <w:rFonts w:cs="Arial"/>
        </w:rPr>
        <w:t>across the sector</w:t>
      </w:r>
      <w:r w:rsidR="005962BC" w:rsidRPr="00703A0B">
        <w:rPr>
          <w:rFonts w:cs="Arial"/>
        </w:rPr>
        <w:t xml:space="preserve">. The STC also partnered with TAFE Queensland to deliver a World Plumbing Day event, </w:t>
      </w:r>
      <w:r w:rsidR="00752430" w:rsidRPr="00703A0B">
        <w:rPr>
          <w:rFonts w:cs="Arial"/>
        </w:rPr>
        <w:t xml:space="preserve">raising awareness of </w:t>
      </w:r>
      <w:r w:rsidR="005962BC" w:rsidRPr="00703A0B">
        <w:rPr>
          <w:rFonts w:cs="Arial"/>
        </w:rPr>
        <w:t xml:space="preserve">the critical role of plumbing </w:t>
      </w:r>
      <w:r w:rsidR="00752430" w:rsidRPr="00703A0B">
        <w:rPr>
          <w:rFonts w:cs="Arial"/>
        </w:rPr>
        <w:t xml:space="preserve">industry </w:t>
      </w:r>
      <w:r w:rsidR="004B77E6" w:rsidRPr="00703A0B">
        <w:rPr>
          <w:rFonts w:cs="Arial"/>
        </w:rPr>
        <w:t xml:space="preserve">plays </w:t>
      </w:r>
      <w:r w:rsidR="005962BC" w:rsidRPr="00703A0B">
        <w:rPr>
          <w:rFonts w:cs="Arial"/>
        </w:rPr>
        <w:t>in protecting public health.</w:t>
      </w:r>
    </w:p>
    <w:p w14:paraId="3DAFEBED" w14:textId="26C71B7C" w:rsidR="00A22073" w:rsidRPr="00703A0B" w:rsidRDefault="00857803" w:rsidP="00EB76D8">
      <w:pPr>
        <w:pStyle w:val="Heading4"/>
      </w:pPr>
      <w:bookmarkStart w:id="155" w:name="_STC_panels"/>
      <w:bookmarkStart w:id="156" w:name="_STC_member_attendance"/>
      <w:bookmarkStart w:id="157" w:name="_Member_attendance_and"/>
      <w:bookmarkEnd w:id="155"/>
      <w:bookmarkEnd w:id="156"/>
      <w:bookmarkEnd w:id="157"/>
      <w:r w:rsidRPr="00703A0B">
        <w:t>M</w:t>
      </w:r>
      <w:r w:rsidR="00A22073" w:rsidRPr="00703A0B">
        <w:t>ember attendance and remuneration</w:t>
      </w:r>
    </w:p>
    <w:p w14:paraId="7273D001" w14:textId="071B2971" w:rsidR="002F0AFC" w:rsidRPr="00703A0B" w:rsidRDefault="008243E7" w:rsidP="002F0AFC">
      <w:pPr>
        <w:spacing w:before="120" w:after="120"/>
        <w:mirrorIndents/>
        <w:rPr>
          <w:rFonts w:cs="Arial"/>
        </w:rPr>
      </w:pPr>
      <w:bookmarkStart w:id="158" w:name="_Ref233639061"/>
      <w:r w:rsidRPr="00703A0B">
        <w:rPr>
          <w:rFonts w:cs="Arial"/>
        </w:rPr>
        <w:t xml:space="preserve">Active participation </w:t>
      </w:r>
      <w:r w:rsidR="00B147CD" w:rsidRPr="00703A0B">
        <w:rPr>
          <w:rFonts w:cs="Arial"/>
        </w:rPr>
        <w:t xml:space="preserve">by </w:t>
      </w:r>
      <w:r w:rsidR="00A21E73" w:rsidRPr="00703A0B">
        <w:rPr>
          <w:rFonts w:cs="Arial"/>
        </w:rPr>
        <w:t>member</w:t>
      </w:r>
      <w:r w:rsidR="001D11D5" w:rsidRPr="00703A0B">
        <w:rPr>
          <w:rFonts w:cs="Arial"/>
        </w:rPr>
        <w:t>s</w:t>
      </w:r>
      <w:r w:rsidR="00A21E73" w:rsidRPr="00703A0B">
        <w:rPr>
          <w:rFonts w:cs="Arial"/>
        </w:rPr>
        <w:t xml:space="preserve"> </w:t>
      </w:r>
      <w:r w:rsidR="001D11D5" w:rsidRPr="00703A0B">
        <w:rPr>
          <w:rFonts w:cs="Arial"/>
        </w:rPr>
        <w:t xml:space="preserve">ensured </w:t>
      </w:r>
      <w:r w:rsidR="004546B6" w:rsidRPr="00703A0B">
        <w:rPr>
          <w:rFonts w:cs="Arial"/>
        </w:rPr>
        <w:t xml:space="preserve">the STC </w:t>
      </w:r>
      <w:r w:rsidR="001D11D5" w:rsidRPr="00703A0B">
        <w:rPr>
          <w:rFonts w:cs="Arial"/>
        </w:rPr>
        <w:t>was well positioned to</w:t>
      </w:r>
      <w:r w:rsidR="004546B6" w:rsidRPr="00703A0B">
        <w:rPr>
          <w:rFonts w:cs="Arial"/>
        </w:rPr>
        <w:t xml:space="preserve"> </w:t>
      </w:r>
      <w:r w:rsidR="00A21E73" w:rsidRPr="00703A0B">
        <w:rPr>
          <w:rFonts w:cs="Arial"/>
        </w:rPr>
        <w:t xml:space="preserve">respond </w:t>
      </w:r>
      <w:r w:rsidR="004546B6" w:rsidRPr="00703A0B">
        <w:rPr>
          <w:rFonts w:cs="Arial"/>
        </w:rPr>
        <w:t xml:space="preserve">promptly </w:t>
      </w:r>
      <w:r w:rsidR="00A21E73" w:rsidRPr="00703A0B">
        <w:rPr>
          <w:rFonts w:cs="Arial"/>
        </w:rPr>
        <w:t>to</w:t>
      </w:r>
      <w:r w:rsidR="00681E44" w:rsidRPr="00703A0B">
        <w:rPr>
          <w:rFonts w:cs="Arial"/>
        </w:rPr>
        <w:t xml:space="preserve"> </w:t>
      </w:r>
      <w:r w:rsidR="00A21E73" w:rsidRPr="00703A0B">
        <w:rPr>
          <w:rFonts w:cs="Arial"/>
        </w:rPr>
        <w:t>industry</w:t>
      </w:r>
      <w:r w:rsidR="00681E44" w:rsidRPr="00703A0B">
        <w:rPr>
          <w:rFonts w:cs="Arial"/>
        </w:rPr>
        <w:t xml:space="preserve"> </w:t>
      </w:r>
      <w:r w:rsidR="00A21E73" w:rsidRPr="00703A0B">
        <w:rPr>
          <w:rFonts w:cs="Arial"/>
        </w:rPr>
        <w:t>developments</w:t>
      </w:r>
      <w:r w:rsidR="0059741C" w:rsidRPr="00703A0B">
        <w:rPr>
          <w:rFonts w:cs="Arial"/>
        </w:rPr>
        <w:t xml:space="preserve">, </w:t>
      </w:r>
      <w:r w:rsidR="007B5822" w:rsidRPr="00703A0B">
        <w:rPr>
          <w:rFonts w:cs="Arial"/>
        </w:rPr>
        <w:t xml:space="preserve">emerging trends and </w:t>
      </w:r>
      <w:r w:rsidR="00A21E73" w:rsidRPr="00703A0B">
        <w:rPr>
          <w:rFonts w:cs="Arial"/>
        </w:rPr>
        <w:t>regulatory challenges.</w:t>
      </w:r>
      <w:r w:rsidR="007E5B60" w:rsidRPr="00703A0B">
        <w:rPr>
          <w:rFonts w:cs="Arial"/>
        </w:rPr>
        <w:t xml:space="preserve"> </w:t>
      </w:r>
      <w:r w:rsidR="008647DD" w:rsidRPr="00703A0B">
        <w:rPr>
          <w:rFonts w:cs="Arial"/>
        </w:rPr>
        <w:t xml:space="preserve">Under the </w:t>
      </w:r>
      <w:r w:rsidR="00D76F00" w:rsidRPr="00703A0B">
        <w:rPr>
          <w:rFonts w:cs="Arial"/>
        </w:rPr>
        <w:t>PD Act, d</w:t>
      </w:r>
      <w:r w:rsidR="00550BA7" w:rsidRPr="00703A0B">
        <w:rPr>
          <w:rFonts w:cs="Arial"/>
        </w:rPr>
        <w:t>eputy members</w:t>
      </w:r>
      <w:r w:rsidR="00D76F00" w:rsidRPr="00703A0B">
        <w:rPr>
          <w:rFonts w:cs="Arial"/>
        </w:rPr>
        <w:t xml:space="preserve"> are appointed </w:t>
      </w:r>
      <w:r w:rsidR="00627F8F" w:rsidRPr="00703A0B">
        <w:rPr>
          <w:rFonts w:cs="Arial"/>
        </w:rPr>
        <w:t>to</w:t>
      </w:r>
      <w:r w:rsidR="00BD5267" w:rsidRPr="00703A0B">
        <w:rPr>
          <w:rFonts w:cs="Arial"/>
        </w:rPr>
        <w:t xml:space="preserve"> </w:t>
      </w:r>
      <w:r w:rsidR="002A77D1" w:rsidRPr="00703A0B">
        <w:rPr>
          <w:rFonts w:cs="Arial"/>
        </w:rPr>
        <w:t xml:space="preserve">represent </w:t>
      </w:r>
      <w:r w:rsidR="00627F8F" w:rsidRPr="00703A0B">
        <w:rPr>
          <w:rFonts w:cs="Arial"/>
        </w:rPr>
        <w:t>member</w:t>
      </w:r>
      <w:r w:rsidR="002A77D1" w:rsidRPr="00703A0B">
        <w:rPr>
          <w:rFonts w:cs="Arial"/>
        </w:rPr>
        <w:t>s</w:t>
      </w:r>
      <w:r w:rsidR="00A66388" w:rsidRPr="00703A0B">
        <w:rPr>
          <w:rFonts w:cs="Arial"/>
        </w:rPr>
        <w:t xml:space="preserve"> in their </w:t>
      </w:r>
      <w:r w:rsidR="00627F8F" w:rsidRPr="00703A0B">
        <w:rPr>
          <w:rFonts w:cs="Arial"/>
        </w:rPr>
        <w:t>absence</w:t>
      </w:r>
      <w:r w:rsidR="00BD5267" w:rsidRPr="00703A0B">
        <w:rPr>
          <w:rFonts w:cs="Arial"/>
        </w:rPr>
        <w:t xml:space="preserve"> and </w:t>
      </w:r>
      <w:r w:rsidR="002A77D1" w:rsidRPr="00703A0B">
        <w:rPr>
          <w:rFonts w:cs="Arial"/>
        </w:rPr>
        <w:t xml:space="preserve">to </w:t>
      </w:r>
      <w:r w:rsidR="000A3BF2" w:rsidRPr="00703A0B">
        <w:rPr>
          <w:rFonts w:cs="Arial"/>
        </w:rPr>
        <w:t>participate in</w:t>
      </w:r>
      <w:r w:rsidR="00BD5267" w:rsidRPr="00703A0B">
        <w:rPr>
          <w:rFonts w:cs="Arial"/>
        </w:rPr>
        <w:t xml:space="preserve"> </w:t>
      </w:r>
      <w:r w:rsidR="00B3423C" w:rsidRPr="00703A0B">
        <w:rPr>
          <w:rFonts w:cs="Arial"/>
        </w:rPr>
        <w:t xml:space="preserve">meetings as </w:t>
      </w:r>
      <w:r w:rsidR="000A3BF2" w:rsidRPr="00703A0B">
        <w:rPr>
          <w:rFonts w:cs="Arial"/>
        </w:rPr>
        <w:t>required</w:t>
      </w:r>
      <w:r w:rsidR="00455918" w:rsidRPr="00703A0B">
        <w:rPr>
          <w:rFonts w:cs="Arial"/>
        </w:rPr>
        <w:t>.</w:t>
      </w:r>
      <w:r w:rsidR="00B3423C" w:rsidRPr="00703A0B">
        <w:rPr>
          <w:rFonts w:cs="Arial"/>
        </w:rPr>
        <w:t xml:space="preserve"> </w:t>
      </w:r>
      <w:r w:rsidR="001B1CF8" w:rsidRPr="00703A0B">
        <w:rPr>
          <w:rFonts w:cs="Arial"/>
        </w:rPr>
        <w:fldChar w:fldCharType="begin"/>
      </w:r>
      <w:r w:rsidR="001B1CF8" w:rsidRPr="00703A0B">
        <w:rPr>
          <w:rFonts w:cs="Arial"/>
        </w:rPr>
        <w:instrText xml:space="preserve"> REF _Ref232674042 \h </w:instrText>
      </w:r>
      <w:r w:rsidR="001B1CF8" w:rsidRPr="00703A0B">
        <w:rPr>
          <w:rFonts w:cs="Arial"/>
        </w:rPr>
      </w:r>
      <w:r w:rsidR="001B1CF8" w:rsidRPr="00703A0B">
        <w:rPr>
          <w:rFonts w:cs="Arial"/>
        </w:rPr>
        <w:fldChar w:fldCharType="separate"/>
      </w:r>
      <w:r w:rsidR="00785208" w:rsidRPr="00703A0B">
        <w:t xml:space="preserve">Table </w:t>
      </w:r>
      <w:r w:rsidR="00785208" w:rsidRPr="00F80E1E">
        <w:t>23</w:t>
      </w:r>
      <w:r w:rsidR="001B1CF8" w:rsidRPr="00703A0B">
        <w:rPr>
          <w:rFonts w:cs="Arial"/>
        </w:rPr>
        <w:fldChar w:fldCharType="end"/>
      </w:r>
      <w:r w:rsidR="0028668E" w:rsidRPr="00703A0B">
        <w:rPr>
          <w:rFonts w:cs="Arial"/>
        </w:rPr>
        <w:t xml:space="preserve"> </w:t>
      </w:r>
      <w:r w:rsidR="001D11D5" w:rsidRPr="00703A0B">
        <w:rPr>
          <w:rFonts w:cs="Arial"/>
        </w:rPr>
        <w:t xml:space="preserve">provides </w:t>
      </w:r>
      <w:r w:rsidR="00B21D77" w:rsidRPr="00703A0B">
        <w:rPr>
          <w:rFonts w:cs="Arial"/>
        </w:rPr>
        <w:t>a</w:t>
      </w:r>
      <w:r w:rsidR="007B5822" w:rsidRPr="00703A0B">
        <w:rPr>
          <w:rFonts w:cs="Arial"/>
        </w:rPr>
        <w:t xml:space="preserve"> summary </w:t>
      </w:r>
      <w:r w:rsidR="00861445" w:rsidRPr="00703A0B">
        <w:rPr>
          <w:rFonts w:cs="Arial"/>
        </w:rPr>
        <w:t xml:space="preserve">of member </w:t>
      </w:r>
      <w:r w:rsidR="00B21D77" w:rsidRPr="00703A0B">
        <w:rPr>
          <w:rFonts w:cs="Arial"/>
        </w:rPr>
        <w:t xml:space="preserve">attendance </w:t>
      </w:r>
      <w:r w:rsidR="001D11D5" w:rsidRPr="00703A0B">
        <w:rPr>
          <w:rFonts w:cs="Arial"/>
        </w:rPr>
        <w:t>during</w:t>
      </w:r>
      <w:r w:rsidR="00861445" w:rsidRPr="00703A0B">
        <w:rPr>
          <w:rFonts w:cs="Arial"/>
        </w:rPr>
        <w:t xml:space="preserve"> the </w:t>
      </w:r>
      <w:r w:rsidR="001D11D5" w:rsidRPr="00703A0B">
        <w:rPr>
          <w:rFonts w:cs="Arial"/>
        </w:rPr>
        <w:t>2025–26</w:t>
      </w:r>
      <w:r w:rsidR="00861445" w:rsidRPr="00703A0B">
        <w:rPr>
          <w:rFonts w:cs="Arial"/>
        </w:rPr>
        <w:t xml:space="preserve"> </w:t>
      </w:r>
      <w:r w:rsidR="00F20C0C" w:rsidRPr="00703A0B">
        <w:rPr>
          <w:rFonts w:cs="Arial"/>
        </w:rPr>
        <w:t>reporting period</w:t>
      </w:r>
      <w:r w:rsidR="00A22073" w:rsidRPr="00703A0B">
        <w:rPr>
          <w:rFonts w:cs="Arial"/>
        </w:rPr>
        <w:t>.</w:t>
      </w:r>
      <w:bookmarkStart w:id="159" w:name="_Ref201912240"/>
      <w:bookmarkStart w:id="160" w:name="_Toc202872066"/>
      <w:bookmarkStart w:id="161" w:name="_Toc202872686"/>
    </w:p>
    <w:p w14:paraId="7DE70E49" w14:textId="231C5CF4" w:rsidR="00A22073" w:rsidRPr="00703A0B" w:rsidRDefault="00C43AB6" w:rsidP="00C43AB6">
      <w:pPr>
        <w:pStyle w:val="Caption"/>
      </w:pPr>
      <w:bookmarkStart w:id="162" w:name="_Ref232674042"/>
      <w:bookmarkStart w:id="163" w:name="_Ref203992258"/>
      <w:r w:rsidRPr="00703A0B">
        <w:t xml:space="preserve">Table </w:t>
      </w:r>
      <w:r w:rsidRPr="00703A0B">
        <w:fldChar w:fldCharType="begin"/>
      </w:r>
      <w:r w:rsidRPr="00703A0B">
        <w:instrText>SEQ Table \* ARABIC</w:instrText>
      </w:r>
      <w:r w:rsidRPr="00703A0B">
        <w:fldChar w:fldCharType="separate"/>
      </w:r>
      <w:r w:rsidR="003764AA" w:rsidRPr="00F80E1E">
        <w:t>23</w:t>
      </w:r>
      <w:r w:rsidRPr="00703A0B">
        <w:fldChar w:fldCharType="end"/>
      </w:r>
      <w:bookmarkEnd w:id="158"/>
      <w:bookmarkEnd w:id="159"/>
      <w:bookmarkEnd w:id="162"/>
      <w:bookmarkEnd w:id="163"/>
      <w:r w:rsidR="003C14D7" w:rsidRPr="00703A0B">
        <w:t xml:space="preserve">: </w:t>
      </w:r>
      <w:bookmarkStart w:id="164" w:name="_Ref202873635"/>
      <w:r w:rsidR="003C14D7" w:rsidRPr="00703A0B">
        <w:t xml:space="preserve">STC member attendance and remuneration </w:t>
      </w:r>
      <w:r w:rsidR="00D175AA" w:rsidRPr="00703A0B">
        <w:t xml:space="preserve">in </w:t>
      </w:r>
      <w:r w:rsidR="003C14D7" w:rsidRPr="00703A0B">
        <w:t>202</w:t>
      </w:r>
      <w:r w:rsidR="00E45CAA" w:rsidRPr="00703A0B">
        <w:t>5</w:t>
      </w:r>
      <w:r w:rsidR="00151B59" w:rsidRPr="00703A0B">
        <w:t>–</w:t>
      </w:r>
      <w:r w:rsidR="003C14D7" w:rsidRPr="00703A0B">
        <w:t>2</w:t>
      </w:r>
      <w:r w:rsidR="00E45CAA" w:rsidRPr="00703A0B">
        <w:t>6</w:t>
      </w:r>
      <w:bookmarkEnd w:id="160"/>
      <w:bookmarkEnd w:id="161"/>
      <w:bookmarkEnd w:id="164"/>
    </w:p>
    <w:tbl>
      <w:tblPr>
        <w:tblStyle w:val="TableGrid"/>
        <w:tblW w:w="10206" w:type="dxa"/>
        <w:jc w:val="center"/>
        <w:tblLayout w:type="fixed"/>
        <w:tblCellMar>
          <w:top w:w="57" w:type="dxa"/>
          <w:left w:w="57" w:type="dxa"/>
          <w:bottom w:w="57" w:type="dxa"/>
          <w:right w:w="57" w:type="dxa"/>
        </w:tblCellMar>
        <w:tblLook w:val="04A0" w:firstRow="1" w:lastRow="0" w:firstColumn="1" w:lastColumn="0" w:noHBand="0" w:noVBand="1"/>
      </w:tblPr>
      <w:tblGrid>
        <w:gridCol w:w="1271"/>
        <w:gridCol w:w="766"/>
        <w:gridCol w:w="1077"/>
        <w:gridCol w:w="1417"/>
        <w:gridCol w:w="1985"/>
        <w:gridCol w:w="1701"/>
        <w:gridCol w:w="1989"/>
      </w:tblGrid>
      <w:tr w:rsidR="00B76F2C" w:rsidRPr="00703A0B" w14:paraId="161D7CF1" w14:textId="77777777" w:rsidTr="7B3F2B7B">
        <w:trPr>
          <w:tblHeader/>
          <w:jc w:val="center"/>
        </w:trPr>
        <w:tc>
          <w:tcPr>
            <w:tcW w:w="10206" w:type="dxa"/>
            <w:gridSpan w:val="7"/>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1A305AC" w14:textId="1DA6EEAA" w:rsidR="00B76F2C" w:rsidRPr="00703A0B" w:rsidRDefault="00B76F2C">
            <w:pPr>
              <w:contextualSpacing/>
              <w:rPr>
                <w:rFonts w:cs="Arial"/>
                <w:szCs w:val="22"/>
              </w:rPr>
            </w:pPr>
            <w:r w:rsidRPr="00703A0B">
              <w:rPr>
                <w:rFonts w:cs="Arial"/>
                <w:b/>
                <w:szCs w:val="22"/>
              </w:rPr>
              <w:t xml:space="preserve">Service </w:t>
            </w:r>
            <w:r w:rsidR="00502671" w:rsidRPr="00703A0B">
              <w:rPr>
                <w:rFonts w:cs="Arial"/>
                <w:b/>
                <w:szCs w:val="22"/>
              </w:rPr>
              <w:t>Trades Council</w:t>
            </w:r>
          </w:p>
        </w:tc>
      </w:tr>
      <w:tr w:rsidR="00B76F2C" w:rsidRPr="00703A0B" w14:paraId="6C73AD6E" w14:textId="77777777" w:rsidTr="7B3F2B7B">
        <w:trPr>
          <w:jc w:val="center"/>
        </w:trPr>
        <w:tc>
          <w:tcPr>
            <w:tcW w:w="2037"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4EDAEF" w14:textId="77777777" w:rsidR="00B76F2C" w:rsidRPr="00703A0B" w:rsidRDefault="00B76F2C">
            <w:pPr>
              <w:contextualSpacing/>
              <w:rPr>
                <w:rFonts w:cs="Arial"/>
                <w:szCs w:val="22"/>
              </w:rPr>
            </w:pPr>
            <w:r w:rsidRPr="00703A0B">
              <w:rPr>
                <w:rFonts w:cs="Arial"/>
                <w:szCs w:val="22"/>
              </w:rPr>
              <w:t>Act or instrument</w:t>
            </w:r>
          </w:p>
        </w:tc>
        <w:tc>
          <w:tcPr>
            <w:tcW w:w="8169"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031AAD6" w14:textId="29AC5F39" w:rsidR="00B76F2C" w:rsidRPr="00703A0B" w:rsidRDefault="00BC2338">
            <w:pPr>
              <w:contextualSpacing/>
              <w:rPr>
                <w:rFonts w:cs="Arial"/>
                <w:iCs/>
                <w:szCs w:val="22"/>
              </w:rPr>
            </w:pPr>
            <w:r w:rsidRPr="00703A0B">
              <w:rPr>
                <w:rFonts w:cs="Arial"/>
                <w:iCs/>
                <w:szCs w:val="22"/>
              </w:rPr>
              <w:t xml:space="preserve">PD Act </w:t>
            </w:r>
          </w:p>
        </w:tc>
      </w:tr>
      <w:tr w:rsidR="00B76F2C" w:rsidRPr="00703A0B" w14:paraId="124759C0" w14:textId="77777777" w:rsidTr="7B3F2B7B">
        <w:trPr>
          <w:jc w:val="center"/>
        </w:trPr>
        <w:tc>
          <w:tcPr>
            <w:tcW w:w="2037"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1AA4FD4" w14:textId="77777777" w:rsidR="00B76F2C" w:rsidRPr="00703A0B" w:rsidRDefault="00B76F2C">
            <w:pPr>
              <w:contextualSpacing/>
              <w:rPr>
                <w:rFonts w:cs="Arial"/>
                <w:szCs w:val="22"/>
              </w:rPr>
            </w:pPr>
            <w:r w:rsidRPr="00703A0B">
              <w:rPr>
                <w:rFonts w:cs="Arial"/>
                <w:szCs w:val="22"/>
              </w:rPr>
              <w:t>Financial reporting</w:t>
            </w:r>
          </w:p>
        </w:tc>
        <w:tc>
          <w:tcPr>
            <w:tcW w:w="8169"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DC539CD" w14:textId="17B8A7A1" w:rsidR="00B76F2C" w:rsidRPr="00703A0B" w:rsidRDefault="00B76F2C">
            <w:pPr>
              <w:contextualSpacing/>
              <w:rPr>
                <w:rFonts w:cs="Arial"/>
                <w:szCs w:val="22"/>
              </w:rPr>
            </w:pPr>
            <w:r w:rsidRPr="00703A0B">
              <w:rPr>
                <w:rFonts w:cs="Arial"/>
                <w:szCs w:val="22"/>
              </w:rPr>
              <w:t xml:space="preserve">Transactions of the </w:t>
            </w:r>
            <w:r w:rsidR="00BA3CE8" w:rsidRPr="00703A0B">
              <w:rPr>
                <w:rFonts w:cs="Arial"/>
                <w:szCs w:val="22"/>
              </w:rPr>
              <w:t>entity</w:t>
            </w:r>
            <w:r w:rsidRPr="00703A0B">
              <w:rPr>
                <w:rFonts w:cs="Arial"/>
                <w:szCs w:val="22"/>
              </w:rPr>
              <w:t xml:space="preserve"> are accounted for in the </w:t>
            </w:r>
            <w:r w:rsidR="00BA3CE8" w:rsidRPr="00703A0B">
              <w:rPr>
                <w:rFonts w:cs="Arial"/>
                <w:szCs w:val="22"/>
              </w:rPr>
              <w:t xml:space="preserve">QBCC’s </w:t>
            </w:r>
            <w:r w:rsidRPr="00703A0B">
              <w:rPr>
                <w:rFonts w:cs="Arial"/>
                <w:szCs w:val="22"/>
              </w:rPr>
              <w:t>Financial Statements.</w:t>
            </w:r>
          </w:p>
        </w:tc>
      </w:tr>
      <w:tr w:rsidR="00B76F2C" w:rsidRPr="00703A0B" w14:paraId="0D88E7BF" w14:textId="77777777" w:rsidTr="7B3F2B7B">
        <w:trPr>
          <w:jc w:val="center"/>
        </w:trPr>
        <w:tc>
          <w:tcPr>
            <w:tcW w:w="10206"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4AC588" w14:textId="77777777" w:rsidR="00B76F2C" w:rsidRPr="00703A0B" w:rsidRDefault="00B76F2C">
            <w:pPr>
              <w:contextualSpacing/>
              <w:rPr>
                <w:rFonts w:cs="Arial"/>
                <w:szCs w:val="22"/>
              </w:rPr>
            </w:pPr>
            <w:r w:rsidRPr="00703A0B">
              <w:rPr>
                <w:rFonts w:cs="Arial"/>
                <w:b/>
                <w:szCs w:val="22"/>
              </w:rPr>
              <w:t>Remuneration</w:t>
            </w:r>
            <w:r w:rsidRPr="00703A0B">
              <w:rPr>
                <w:rFonts w:cs="Arial"/>
                <w:szCs w:val="22"/>
              </w:rPr>
              <w:t xml:space="preserve"> </w:t>
            </w:r>
          </w:p>
        </w:tc>
      </w:tr>
      <w:tr w:rsidR="00B76F2C" w:rsidRPr="00703A0B" w14:paraId="741B2FFE" w14:textId="77777777" w:rsidTr="7B3F2B7B">
        <w:trPr>
          <w:jc w:val="center"/>
        </w:trPr>
        <w:tc>
          <w:tcPr>
            <w:tcW w:w="12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2F4F18" w14:textId="77777777" w:rsidR="00B76F2C" w:rsidRPr="00703A0B" w:rsidRDefault="00B76F2C">
            <w:pPr>
              <w:contextualSpacing/>
              <w:rPr>
                <w:rFonts w:cs="Arial"/>
                <w:szCs w:val="22"/>
              </w:rPr>
            </w:pPr>
            <w:r w:rsidRPr="00703A0B">
              <w:rPr>
                <w:rFonts w:cs="Arial"/>
                <w:szCs w:val="22"/>
              </w:rPr>
              <w:t xml:space="preserve">Position </w:t>
            </w:r>
          </w:p>
          <w:p w14:paraId="29FA3B37" w14:textId="77777777" w:rsidR="00B76F2C" w:rsidRPr="00703A0B" w:rsidRDefault="00B76F2C">
            <w:pPr>
              <w:contextualSpacing/>
              <w:rPr>
                <w:rFonts w:cs="Arial"/>
                <w:szCs w:val="22"/>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FBE6B3E" w14:textId="77777777" w:rsidR="00B76F2C" w:rsidRPr="00703A0B" w:rsidRDefault="00B76F2C">
            <w:pPr>
              <w:contextualSpacing/>
              <w:rPr>
                <w:rFonts w:cs="Arial"/>
                <w:szCs w:val="22"/>
              </w:rPr>
            </w:pPr>
            <w:r w:rsidRPr="00703A0B">
              <w:rPr>
                <w:rFonts w:cs="Arial"/>
                <w:szCs w:val="22"/>
              </w:rPr>
              <w:t>Name</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25278D" w14:textId="63F397C5" w:rsidR="00B76F2C" w:rsidRPr="00703A0B" w:rsidRDefault="00B76F2C">
            <w:pPr>
              <w:contextualSpacing/>
              <w:rPr>
                <w:rFonts w:cs="Arial"/>
                <w:szCs w:val="22"/>
              </w:rPr>
            </w:pPr>
            <w:r w:rsidRPr="00703A0B">
              <w:rPr>
                <w:rFonts w:cs="Arial"/>
                <w:szCs w:val="22"/>
              </w:rPr>
              <w:t xml:space="preserve">Meetings attendance </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6B3A24" w14:textId="78C6B788" w:rsidR="00B76F2C" w:rsidRPr="00703A0B" w:rsidRDefault="00B76F2C">
            <w:pPr>
              <w:contextualSpacing/>
              <w:rPr>
                <w:rFonts w:cs="Arial"/>
                <w:szCs w:val="22"/>
              </w:rPr>
            </w:pPr>
            <w:r w:rsidRPr="00703A0B">
              <w:rPr>
                <w:rFonts w:cs="Arial"/>
                <w:szCs w:val="22"/>
              </w:rPr>
              <w:t xml:space="preserve">Approved annual, sessional or daily fee </w:t>
            </w:r>
            <w:r w:rsidR="00971611" w:rsidRPr="00703A0B">
              <w:rPr>
                <w:rFonts w:cs="Arial"/>
                <w:szCs w:val="22"/>
              </w:rPr>
              <w:t>(exclude superannuation)</w:t>
            </w:r>
            <w:r w:rsidRPr="00703A0B">
              <w:rPr>
                <w:rFonts w:cs="Arial"/>
                <w:szCs w:val="22"/>
              </w:rPr>
              <w:t xml:space="preserve"> </w:t>
            </w:r>
            <w:r w:rsidR="007C6C5F" w:rsidRPr="00703A0B">
              <w:rPr>
                <w:rFonts w:cs="Arial"/>
                <w:szCs w:val="22"/>
              </w:rPr>
              <w:t>($)</w:t>
            </w:r>
            <w:r w:rsidRPr="00703A0B">
              <w:rPr>
                <w:rFonts w:cs="Arial"/>
                <w:szCs w:val="22"/>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7A262D3" w14:textId="025F6DF9" w:rsidR="00B76F2C" w:rsidRPr="00703A0B" w:rsidRDefault="00B76F2C">
            <w:pPr>
              <w:contextualSpacing/>
              <w:rPr>
                <w:rFonts w:cs="Arial"/>
                <w:szCs w:val="22"/>
              </w:rPr>
            </w:pPr>
            <w:r w:rsidRPr="00703A0B">
              <w:rPr>
                <w:rFonts w:cs="Arial"/>
                <w:szCs w:val="22"/>
              </w:rPr>
              <w:t>Approved sub-committee fees if applicable</w:t>
            </w:r>
            <w:r w:rsidR="007C6C5F" w:rsidRPr="00703A0B">
              <w:rPr>
                <w:rFonts w:cs="Arial"/>
                <w:szCs w:val="22"/>
              </w:rPr>
              <w:t xml:space="preserve"> ($)</w:t>
            </w:r>
          </w:p>
        </w:tc>
        <w:tc>
          <w:tcPr>
            <w:tcW w:w="19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B61A48" w14:textId="56AA3C34" w:rsidR="00B76F2C" w:rsidRPr="00703A0B" w:rsidRDefault="00B76F2C">
            <w:pPr>
              <w:contextualSpacing/>
              <w:rPr>
                <w:rFonts w:cs="Arial"/>
                <w:szCs w:val="22"/>
              </w:rPr>
            </w:pPr>
            <w:r w:rsidRPr="00703A0B">
              <w:rPr>
                <w:rFonts w:cs="Arial"/>
                <w:szCs w:val="22"/>
              </w:rPr>
              <w:t>Actual fees received</w:t>
            </w:r>
            <w:r w:rsidR="00AB1BFF" w:rsidRPr="00703A0B">
              <w:rPr>
                <w:rFonts w:cs="Arial"/>
                <w:szCs w:val="22"/>
              </w:rPr>
              <w:t xml:space="preserve"> (include superannuation)</w:t>
            </w:r>
            <w:r w:rsidRPr="00703A0B">
              <w:rPr>
                <w:rFonts w:cs="Arial"/>
                <w:szCs w:val="22"/>
              </w:rPr>
              <w:t xml:space="preserve"> </w:t>
            </w:r>
            <w:r w:rsidR="007C6C5F" w:rsidRPr="00703A0B">
              <w:rPr>
                <w:rFonts w:cs="Arial"/>
                <w:szCs w:val="22"/>
              </w:rPr>
              <w:t>($)</w:t>
            </w:r>
          </w:p>
        </w:tc>
      </w:tr>
      <w:tr w:rsidR="001B7913" w:rsidRPr="00703A0B" w14:paraId="5A964158" w14:textId="77777777">
        <w:trPr>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14:paraId="520D1C6F" w14:textId="3C7E0D05" w:rsidR="001B7913" w:rsidRPr="00703A0B" w:rsidRDefault="001B7913" w:rsidP="001B7913">
            <w:pPr>
              <w:contextualSpacing/>
              <w:rPr>
                <w:rFonts w:cs="Arial"/>
                <w:szCs w:val="22"/>
              </w:rPr>
            </w:pPr>
            <w:r w:rsidRPr="00703A0B">
              <w:rPr>
                <w:szCs w:val="22"/>
              </w:rPr>
              <w:t>Chair</w:t>
            </w:r>
          </w:p>
        </w:tc>
        <w:tc>
          <w:tcPr>
            <w:tcW w:w="1843" w:type="dxa"/>
            <w:gridSpan w:val="2"/>
            <w:tcBorders>
              <w:top w:val="single" w:sz="4" w:space="0" w:color="auto"/>
              <w:left w:val="single" w:sz="4" w:space="0" w:color="auto"/>
              <w:bottom w:val="single" w:sz="4" w:space="0" w:color="auto"/>
              <w:right w:val="single" w:sz="4" w:space="0" w:color="auto"/>
            </w:tcBorders>
            <w:vAlign w:val="center"/>
            <w:hideMark/>
          </w:tcPr>
          <w:p w14:paraId="5C089D39" w14:textId="3923B391" w:rsidR="001B7913" w:rsidRPr="00703A0B" w:rsidRDefault="001B7913" w:rsidP="001B7913">
            <w:pPr>
              <w:contextualSpacing/>
              <w:rPr>
                <w:rFonts w:cs="Arial"/>
                <w:szCs w:val="22"/>
                <w:highlight w:val="yellow"/>
              </w:rPr>
            </w:pPr>
            <w:r w:rsidRPr="00703A0B">
              <w:rPr>
                <w:szCs w:val="22"/>
              </w:rPr>
              <w:t xml:space="preserve">Penny </w:t>
            </w:r>
            <w:proofErr w:type="spellStart"/>
            <w:r w:rsidRPr="00703A0B">
              <w:rPr>
                <w:szCs w:val="22"/>
              </w:rPr>
              <w:t>Cornah</w:t>
            </w:r>
            <w:proofErr w:type="spellEnd"/>
          </w:p>
        </w:tc>
        <w:tc>
          <w:tcPr>
            <w:tcW w:w="1417" w:type="dxa"/>
            <w:tcBorders>
              <w:top w:val="single" w:sz="4" w:space="0" w:color="auto"/>
              <w:left w:val="single" w:sz="4" w:space="0" w:color="auto"/>
              <w:bottom w:val="single" w:sz="4" w:space="0" w:color="auto"/>
              <w:right w:val="single" w:sz="4" w:space="0" w:color="auto"/>
            </w:tcBorders>
          </w:tcPr>
          <w:p w14:paraId="1918538D" w14:textId="13F12460" w:rsidR="001B7913" w:rsidRPr="00703A0B" w:rsidRDefault="00747D54" w:rsidP="001B7913">
            <w:pPr>
              <w:contextualSpacing/>
              <w:rPr>
                <w:rFonts w:cs="Arial"/>
                <w:szCs w:val="22"/>
              </w:rPr>
            </w:pPr>
            <w:r w:rsidRPr="00703A0B">
              <w:rPr>
                <w:rFonts w:cs="Arial"/>
                <w:bCs/>
                <w:szCs w:val="22"/>
              </w:rPr>
              <w:t>6</w:t>
            </w:r>
          </w:p>
        </w:tc>
        <w:tc>
          <w:tcPr>
            <w:tcW w:w="1985" w:type="dxa"/>
            <w:tcBorders>
              <w:top w:val="single" w:sz="4" w:space="0" w:color="auto"/>
              <w:left w:val="single" w:sz="4" w:space="0" w:color="auto"/>
              <w:bottom w:val="single" w:sz="4" w:space="0" w:color="auto"/>
              <w:right w:val="single" w:sz="4" w:space="0" w:color="auto"/>
            </w:tcBorders>
            <w:hideMark/>
          </w:tcPr>
          <w:p w14:paraId="129A5B95" w14:textId="250D4135" w:rsidR="001B7913" w:rsidRPr="00703A0B" w:rsidRDefault="009D152D" w:rsidP="001B7913">
            <w:pPr>
              <w:contextualSpacing/>
              <w:rPr>
                <w:rFonts w:cs="Arial"/>
                <w:szCs w:val="22"/>
              </w:rPr>
            </w:pPr>
            <w:r w:rsidRPr="00703A0B">
              <w:rPr>
                <w:rFonts w:cs="Arial"/>
                <w:bCs/>
                <w:szCs w:val="22"/>
              </w:rPr>
              <w:t>n/a</w:t>
            </w:r>
          </w:p>
        </w:tc>
        <w:tc>
          <w:tcPr>
            <w:tcW w:w="1701" w:type="dxa"/>
            <w:tcBorders>
              <w:top w:val="single" w:sz="4" w:space="0" w:color="auto"/>
              <w:left w:val="single" w:sz="4" w:space="0" w:color="auto"/>
              <w:bottom w:val="single" w:sz="4" w:space="0" w:color="auto"/>
              <w:right w:val="single" w:sz="4" w:space="0" w:color="auto"/>
            </w:tcBorders>
            <w:hideMark/>
          </w:tcPr>
          <w:p w14:paraId="46B82477" w14:textId="088B48ED" w:rsidR="001B7913" w:rsidRPr="00703A0B" w:rsidRDefault="009D152D" w:rsidP="001B7913">
            <w:pPr>
              <w:contextualSpacing/>
              <w:rPr>
                <w:rFonts w:cs="Arial"/>
                <w:szCs w:val="22"/>
              </w:rPr>
            </w:pPr>
            <w:r w:rsidRPr="00703A0B">
              <w:rPr>
                <w:rFonts w:cs="Arial"/>
                <w:bCs/>
                <w:szCs w:val="22"/>
              </w:rPr>
              <w:t>n/a</w:t>
            </w:r>
          </w:p>
        </w:tc>
        <w:tc>
          <w:tcPr>
            <w:tcW w:w="1989" w:type="dxa"/>
            <w:tcBorders>
              <w:top w:val="single" w:sz="4" w:space="0" w:color="auto"/>
              <w:left w:val="single" w:sz="4" w:space="0" w:color="auto"/>
              <w:bottom w:val="single" w:sz="4" w:space="0" w:color="auto"/>
              <w:right w:val="single" w:sz="4" w:space="0" w:color="auto"/>
            </w:tcBorders>
            <w:hideMark/>
          </w:tcPr>
          <w:p w14:paraId="215BD20F" w14:textId="43EB9B91" w:rsidR="001B7913" w:rsidRPr="00703A0B" w:rsidRDefault="00FD3840" w:rsidP="001B7913">
            <w:pPr>
              <w:contextualSpacing/>
              <w:rPr>
                <w:rFonts w:cs="Arial"/>
              </w:rPr>
            </w:pPr>
            <w:r w:rsidRPr="00703A0B">
              <w:rPr>
                <w:rFonts w:cs="Arial"/>
                <w:bCs/>
                <w:szCs w:val="22"/>
              </w:rPr>
              <w:t>nil</w:t>
            </w:r>
          </w:p>
        </w:tc>
      </w:tr>
      <w:tr w:rsidR="00351053" w:rsidRPr="00703A0B" w14:paraId="55AE875D" w14:textId="77777777" w:rsidTr="00351053">
        <w:trPr>
          <w:jc w:val="center"/>
        </w:trPr>
        <w:tc>
          <w:tcPr>
            <w:tcW w:w="1271" w:type="dxa"/>
            <w:tcBorders>
              <w:top w:val="single" w:sz="4" w:space="0" w:color="auto"/>
              <w:left w:val="single" w:sz="4" w:space="0" w:color="auto"/>
              <w:bottom w:val="single" w:sz="4" w:space="0" w:color="auto"/>
              <w:right w:val="single" w:sz="4" w:space="0" w:color="auto"/>
            </w:tcBorders>
            <w:vAlign w:val="center"/>
          </w:tcPr>
          <w:p w14:paraId="5155BA23" w14:textId="4AC653C7" w:rsidR="00351053" w:rsidRPr="00703A0B" w:rsidRDefault="00351053" w:rsidP="00351053">
            <w:pPr>
              <w:contextualSpacing/>
              <w:rPr>
                <w:rFonts w:cs="Arial"/>
                <w:szCs w:val="22"/>
              </w:rPr>
            </w:pPr>
            <w:r w:rsidRPr="00703A0B">
              <w:rPr>
                <w:szCs w:val="22"/>
              </w:rPr>
              <w:t>Deputy Chair</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60D2C381" w14:textId="29ACA495" w:rsidR="00351053" w:rsidRPr="00703A0B" w:rsidRDefault="00351053" w:rsidP="00351053">
            <w:pPr>
              <w:contextualSpacing/>
              <w:rPr>
                <w:rFonts w:cs="Arial"/>
                <w:szCs w:val="22"/>
              </w:rPr>
            </w:pPr>
            <w:r w:rsidRPr="00703A0B">
              <w:rPr>
                <w:szCs w:val="22"/>
              </w:rPr>
              <w:t>Mary Morrison</w:t>
            </w:r>
          </w:p>
        </w:tc>
        <w:tc>
          <w:tcPr>
            <w:tcW w:w="1417" w:type="dxa"/>
            <w:tcBorders>
              <w:top w:val="single" w:sz="4" w:space="0" w:color="auto"/>
              <w:left w:val="single" w:sz="4" w:space="0" w:color="auto"/>
              <w:bottom w:val="single" w:sz="4" w:space="0" w:color="auto"/>
              <w:right w:val="single" w:sz="4" w:space="0" w:color="auto"/>
            </w:tcBorders>
          </w:tcPr>
          <w:p w14:paraId="76E8D480" w14:textId="62796830" w:rsidR="00351053" w:rsidRPr="00703A0B" w:rsidRDefault="00E80BFC" w:rsidP="00351053">
            <w:pPr>
              <w:contextualSpacing/>
              <w:rPr>
                <w:rFonts w:cs="Arial"/>
                <w:szCs w:val="22"/>
              </w:rPr>
            </w:pPr>
            <w:r w:rsidRPr="00703A0B">
              <w:rPr>
                <w:rFonts w:cs="Arial"/>
                <w:bCs/>
                <w:szCs w:val="22"/>
              </w:rPr>
              <w:t>4</w:t>
            </w:r>
          </w:p>
        </w:tc>
        <w:tc>
          <w:tcPr>
            <w:tcW w:w="1985" w:type="dxa"/>
            <w:tcBorders>
              <w:top w:val="single" w:sz="4" w:space="0" w:color="auto"/>
              <w:left w:val="single" w:sz="4" w:space="0" w:color="auto"/>
              <w:bottom w:val="single" w:sz="4" w:space="0" w:color="auto"/>
              <w:right w:val="single" w:sz="4" w:space="0" w:color="auto"/>
            </w:tcBorders>
          </w:tcPr>
          <w:p w14:paraId="28BD03A0" w14:textId="669EED33" w:rsidR="00351053" w:rsidRPr="00703A0B" w:rsidRDefault="009D152D" w:rsidP="00351053">
            <w:pPr>
              <w:contextualSpacing/>
              <w:rPr>
                <w:rFonts w:cs="Arial"/>
                <w:szCs w:val="22"/>
              </w:rPr>
            </w:pPr>
            <w:r w:rsidRPr="00703A0B">
              <w:rPr>
                <w:rFonts w:cs="Arial"/>
                <w:bCs/>
                <w:szCs w:val="22"/>
              </w:rPr>
              <w:t>n/a</w:t>
            </w:r>
          </w:p>
        </w:tc>
        <w:tc>
          <w:tcPr>
            <w:tcW w:w="1701" w:type="dxa"/>
            <w:tcBorders>
              <w:top w:val="single" w:sz="4" w:space="0" w:color="auto"/>
              <w:left w:val="single" w:sz="4" w:space="0" w:color="auto"/>
              <w:bottom w:val="single" w:sz="4" w:space="0" w:color="auto"/>
              <w:right w:val="single" w:sz="4" w:space="0" w:color="auto"/>
            </w:tcBorders>
          </w:tcPr>
          <w:p w14:paraId="7640CC51" w14:textId="79FEAFB7" w:rsidR="00351053" w:rsidRPr="00703A0B" w:rsidRDefault="009D152D" w:rsidP="00351053">
            <w:pPr>
              <w:contextualSpacing/>
              <w:rPr>
                <w:rFonts w:cs="Arial"/>
                <w:szCs w:val="22"/>
              </w:rPr>
            </w:pPr>
            <w:r w:rsidRPr="00703A0B">
              <w:rPr>
                <w:rFonts w:cs="Arial"/>
                <w:bCs/>
                <w:szCs w:val="22"/>
              </w:rPr>
              <w:t>n/a</w:t>
            </w:r>
          </w:p>
        </w:tc>
        <w:tc>
          <w:tcPr>
            <w:tcW w:w="1989" w:type="dxa"/>
            <w:tcBorders>
              <w:top w:val="single" w:sz="4" w:space="0" w:color="auto"/>
              <w:left w:val="single" w:sz="4" w:space="0" w:color="auto"/>
              <w:bottom w:val="single" w:sz="4" w:space="0" w:color="auto"/>
              <w:right w:val="single" w:sz="4" w:space="0" w:color="auto"/>
            </w:tcBorders>
          </w:tcPr>
          <w:p w14:paraId="0F0F369B" w14:textId="40BBD37B" w:rsidR="00351053" w:rsidRPr="00703A0B" w:rsidRDefault="00FD3840" w:rsidP="00351053">
            <w:pPr>
              <w:contextualSpacing/>
              <w:rPr>
                <w:rFonts w:cs="Arial"/>
                <w:szCs w:val="22"/>
              </w:rPr>
            </w:pPr>
            <w:r w:rsidRPr="00703A0B">
              <w:rPr>
                <w:rFonts w:cs="Arial"/>
                <w:bCs/>
                <w:szCs w:val="22"/>
              </w:rPr>
              <w:t>nil</w:t>
            </w:r>
          </w:p>
        </w:tc>
      </w:tr>
      <w:tr w:rsidR="00351053" w:rsidRPr="00703A0B" w14:paraId="16702798" w14:textId="77777777" w:rsidTr="00351053">
        <w:trPr>
          <w:jc w:val="center"/>
        </w:trPr>
        <w:tc>
          <w:tcPr>
            <w:tcW w:w="1271" w:type="dxa"/>
            <w:tcBorders>
              <w:top w:val="single" w:sz="4" w:space="0" w:color="auto"/>
              <w:left w:val="single" w:sz="4" w:space="0" w:color="auto"/>
              <w:bottom w:val="single" w:sz="4" w:space="0" w:color="auto"/>
              <w:right w:val="single" w:sz="4" w:space="0" w:color="auto"/>
            </w:tcBorders>
            <w:vAlign w:val="center"/>
          </w:tcPr>
          <w:p w14:paraId="238BD753" w14:textId="3588E6C4" w:rsidR="00351053" w:rsidRPr="00703A0B" w:rsidRDefault="00351053" w:rsidP="00351053">
            <w:pPr>
              <w:contextualSpacing/>
              <w:rPr>
                <w:rFonts w:cs="Arial"/>
                <w:szCs w:val="22"/>
              </w:rPr>
            </w:pPr>
            <w:r w:rsidRPr="00703A0B">
              <w:rPr>
                <w:szCs w:val="22"/>
              </w:rPr>
              <w:t>Member</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46D04B24" w14:textId="4E3DC0A7" w:rsidR="00351053" w:rsidRPr="00703A0B" w:rsidRDefault="00351053" w:rsidP="00351053">
            <w:pPr>
              <w:contextualSpacing/>
              <w:rPr>
                <w:rFonts w:cs="Arial"/>
                <w:szCs w:val="22"/>
                <w:highlight w:val="yellow"/>
              </w:rPr>
            </w:pPr>
            <w:r w:rsidRPr="00703A0B">
              <w:rPr>
                <w:szCs w:val="22"/>
              </w:rPr>
              <w:t xml:space="preserve">Chris McCahon, QBCC Assistant Commissioner Regulatory </w:t>
            </w:r>
            <w:r w:rsidR="00A07CE5" w:rsidRPr="00703A0B">
              <w:rPr>
                <w:szCs w:val="22"/>
              </w:rPr>
              <w:t>Standards</w:t>
            </w:r>
            <w:r w:rsidRPr="00703A0B">
              <w:rPr>
                <w:szCs w:val="22"/>
              </w:rPr>
              <w:t xml:space="preserve"> and Support</w:t>
            </w:r>
          </w:p>
        </w:tc>
        <w:tc>
          <w:tcPr>
            <w:tcW w:w="1417" w:type="dxa"/>
            <w:tcBorders>
              <w:top w:val="single" w:sz="4" w:space="0" w:color="auto"/>
              <w:left w:val="single" w:sz="4" w:space="0" w:color="auto"/>
              <w:bottom w:val="single" w:sz="4" w:space="0" w:color="auto"/>
              <w:right w:val="single" w:sz="4" w:space="0" w:color="auto"/>
            </w:tcBorders>
          </w:tcPr>
          <w:p w14:paraId="3AA78E9B" w14:textId="3AA7F8CA" w:rsidR="00351053" w:rsidRPr="00703A0B" w:rsidRDefault="0074743B" w:rsidP="00351053">
            <w:pPr>
              <w:contextualSpacing/>
              <w:rPr>
                <w:rFonts w:cs="Arial"/>
                <w:szCs w:val="22"/>
              </w:rPr>
            </w:pPr>
            <w:r w:rsidRPr="00703A0B">
              <w:rPr>
                <w:rFonts w:cs="Arial"/>
                <w:bCs/>
                <w:szCs w:val="22"/>
              </w:rPr>
              <w:t>5</w:t>
            </w:r>
          </w:p>
        </w:tc>
        <w:tc>
          <w:tcPr>
            <w:tcW w:w="1985" w:type="dxa"/>
            <w:tcBorders>
              <w:top w:val="single" w:sz="4" w:space="0" w:color="auto"/>
              <w:left w:val="single" w:sz="4" w:space="0" w:color="auto"/>
              <w:bottom w:val="single" w:sz="4" w:space="0" w:color="auto"/>
              <w:right w:val="single" w:sz="4" w:space="0" w:color="auto"/>
            </w:tcBorders>
          </w:tcPr>
          <w:p w14:paraId="074AB14E" w14:textId="59003A38" w:rsidR="00351053" w:rsidRPr="00703A0B" w:rsidRDefault="009D152D" w:rsidP="00351053">
            <w:pPr>
              <w:contextualSpacing/>
              <w:rPr>
                <w:rFonts w:cs="Arial"/>
                <w:szCs w:val="22"/>
              </w:rPr>
            </w:pPr>
            <w:r w:rsidRPr="00703A0B">
              <w:rPr>
                <w:rFonts w:cs="Arial"/>
                <w:bCs/>
                <w:szCs w:val="22"/>
              </w:rPr>
              <w:t>n/a</w:t>
            </w:r>
          </w:p>
        </w:tc>
        <w:tc>
          <w:tcPr>
            <w:tcW w:w="1701" w:type="dxa"/>
            <w:tcBorders>
              <w:top w:val="single" w:sz="4" w:space="0" w:color="auto"/>
              <w:left w:val="single" w:sz="4" w:space="0" w:color="auto"/>
              <w:bottom w:val="single" w:sz="4" w:space="0" w:color="auto"/>
              <w:right w:val="single" w:sz="4" w:space="0" w:color="auto"/>
            </w:tcBorders>
          </w:tcPr>
          <w:p w14:paraId="5780B9A7" w14:textId="78C65234" w:rsidR="00351053" w:rsidRPr="00703A0B" w:rsidRDefault="009D152D" w:rsidP="00351053">
            <w:pPr>
              <w:contextualSpacing/>
              <w:rPr>
                <w:rFonts w:cs="Arial"/>
                <w:szCs w:val="22"/>
              </w:rPr>
            </w:pPr>
            <w:r w:rsidRPr="00703A0B">
              <w:rPr>
                <w:rFonts w:cs="Arial"/>
                <w:bCs/>
                <w:szCs w:val="22"/>
              </w:rPr>
              <w:t>n/a</w:t>
            </w:r>
          </w:p>
        </w:tc>
        <w:tc>
          <w:tcPr>
            <w:tcW w:w="1989" w:type="dxa"/>
            <w:tcBorders>
              <w:top w:val="single" w:sz="4" w:space="0" w:color="auto"/>
              <w:left w:val="single" w:sz="4" w:space="0" w:color="auto"/>
              <w:bottom w:val="single" w:sz="4" w:space="0" w:color="auto"/>
              <w:right w:val="single" w:sz="4" w:space="0" w:color="auto"/>
            </w:tcBorders>
          </w:tcPr>
          <w:p w14:paraId="5C0DBF48" w14:textId="00ACEC4E" w:rsidR="00351053" w:rsidRPr="00703A0B" w:rsidRDefault="00FD3840" w:rsidP="00351053">
            <w:pPr>
              <w:contextualSpacing/>
              <w:rPr>
                <w:rFonts w:cs="Arial"/>
                <w:szCs w:val="22"/>
                <w:highlight w:val="green"/>
              </w:rPr>
            </w:pPr>
            <w:r w:rsidRPr="00703A0B">
              <w:rPr>
                <w:rFonts w:cs="Arial"/>
                <w:bCs/>
                <w:szCs w:val="22"/>
              </w:rPr>
              <w:t>nil</w:t>
            </w:r>
          </w:p>
        </w:tc>
      </w:tr>
      <w:tr w:rsidR="00351053" w:rsidRPr="00703A0B" w14:paraId="58C18F1E" w14:textId="77777777" w:rsidTr="00351053">
        <w:trPr>
          <w:jc w:val="center"/>
        </w:trPr>
        <w:tc>
          <w:tcPr>
            <w:tcW w:w="1271" w:type="dxa"/>
            <w:tcBorders>
              <w:top w:val="single" w:sz="4" w:space="0" w:color="auto"/>
              <w:left w:val="single" w:sz="4" w:space="0" w:color="auto"/>
              <w:bottom w:val="single" w:sz="4" w:space="0" w:color="auto"/>
              <w:right w:val="single" w:sz="4" w:space="0" w:color="auto"/>
            </w:tcBorders>
            <w:vAlign w:val="center"/>
          </w:tcPr>
          <w:p w14:paraId="67ABAC70" w14:textId="45C2BACA" w:rsidR="00351053" w:rsidRPr="00703A0B" w:rsidRDefault="00351053" w:rsidP="00351053">
            <w:pPr>
              <w:contextualSpacing/>
              <w:rPr>
                <w:rFonts w:cs="Arial"/>
                <w:szCs w:val="22"/>
              </w:rPr>
            </w:pPr>
            <w:r w:rsidRPr="00703A0B">
              <w:rPr>
                <w:szCs w:val="22"/>
              </w:rPr>
              <w:lastRenderedPageBreak/>
              <w:t>Member</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400323B2" w14:textId="7DF1F14B" w:rsidR="00351053" w:rsidRPr="00703A0B" w:rsidRDefault="00351053" w:rsidP="00351053">
            <w:pPr>
              <w:contextualSpacing/>
              <w:rPr>
                <w:rFonts w:cs="Arial"/>
                <w:szCs w:val="22"/>
                <w:highlight w:val="yellow"/>
              </w:rPr>
            </w:pPr>
            <w:r w:rsidRPr="00703A0B">
              <w:rPr>
                <w:szCs w:val="22"/>
              </w:rPr>
              <w:t>Phillip Denman</w:t>
            </w:r>
          </w:p>
        </w:tc>
        <w:tc>
          <w:tcPr>
            <w:tcW w:w="1417" w:type="dxa"/>
            <w:tcBorders>
              <w:top w:val="single" w:sz="4" w:space="0" w:color="auto"/>
              <w:left w:val="single" w:sz="4" w:space="0" w:color="auto"/>
              <w:bottom w:val="single" w:sz="4" w:space="0" w:color="auto"/>
              <w:right w:val="single" w:sz="4" w:space="0" w:color="auto"/>
            </w:tcBorders>
          </w:tcPr>
          <w:p w14:paraId="66ECEA3A" w14:textId="6B4C8940" w:rsidR="00351053" w:rsidRPr="00703A0B" w:rsidRDefault="000315C3" w:rsidP="00351053">
            <w:pPr>
              <w:contextualSpacing/>
              <w:rPr>
                <w:rFonts w:cs="Arial"/>
                <w:szCs w:val="22"/>
              </w:rPr>
            </w:pPr>
            <w:r w:rsidRPr="00703A0B">
              <w:rPr>
                <w:rFonts w:cs="Arial"/>
                <w:bCs/>
                <w:szCs w:val="22"/>
              </w:rPr>
              <w:t>4</w:t>
            </w:r>
          </w:p>
        </w:tc>
        <w:tc>
          <w:tcPr>
            <w:tcW w:w="1985" w:type="dxa"/>
            <w:tcBorders>
              <w:top w:val="single" w:sz="4" w:space="0" w:color="auto"/>
              <w:left w:val="single" w:sz="4" w:space="0" w:color="auto"/>
              <w:bottom w:val="single" w:sz="4" w:space="0" w:color="auto"/>
              <w:right w:val="single" w:sz="4" w:space="0" w:color="auto"/>
            </w:tcBorders>
          </w:tcPr>
          <w:p w14:paraId="74FC6487" w14:textId="723A5FE5" w:rsidR="00351053" w:rsidRPr="00703A0B" w:rsidRDefault="009D152D" w:rsidP="00351053">
            <w:pPr>
              <w:contextualSpacing/>
              <w:rPr>
                <w:rFonts w:cs="Arial"/>
                <w:szCs w:val="22"/>
              </w:rPr>
            </w:pPr>
            <w:r w:rsidRPr="00703A0B">
              <w:rPr>
                <w:rFonts w:cs="Arial"/>
                <w:bCs/>
                <w:szCs w:val="22"/>
              </w:rPr>
              <w:t>n/a</w:t>
            </w:r>
          </w:p>
        </w:tc>
        <w:tc>
          <w:tcPr>
            <w:tcW w:w="1701" w:type="dxa"/>
            <w:tcBorders>
              <w:top w:val="single" w:sz="4" w:space="0" w:color="auto"/>
              <w:left w:val="single" w:sz="4" w:space="0" w:color="auto"/>
              <w:bottom w:val="single" w:sz="4" w:space="0" w:color="auto"/>
              <w:right w:val="single" w:sz="4" w:space="0" w:color="auto"/>
            </w:tcBorders>
          </w:tcPr>
          <w:p w14:paraId="11A97E17" w14:textId="447DD9F0" w:rsidR="00351053" w:rsidRPr="00703A0B" w:rsidRDefault="009D152D" w:rsidP="00351053">
            <w:pPr>
              <w:contextualSpacing/>
              <w:rPr>
                <w:rFonts w:cs="Arial"/>
                <w:szCs w:val="22"/>
              </w:rPr>
            </w:pPr>
            <w:r w:rsidRPr="00703A0B">
              <w:rPr>
                <w:rFonts w:cs="Arial"/>
                <w:bCs/>
                <w:szCs w:val="22"/>
              </w:rPr>
              <w:t>n/a</w:t>
            </w:r>
          </w:p>
        </w:tc>
        <w:tc>
          <w:tcPr>
            <w:tcW w:w="1989" w:type="dxa"/>
            <w:tcBorders>
              <w:top w:val="single" w:sz="4" w:space="0" w:color="auto"/>
              <w:left w:val="single" w:sz="4" w:space="0" w:color="auto"/>
              <w:bottom w:val="single" w:sz="4" w:space="0" w:color="auto"/>
              <w:right w:val="single" w:sz="4" w:space="0" w:color="auto"/>
            </w:tcBorders>
          </w:tcPr>
          <w:p w14:paraId="2E56F353" w14:textId="04F21EEB" w:rsidR="00351053" w:rsidRPr="00703A0B" w:rsidRDefault="00FD3840" w:rsidP="00351053">
            <w:pPr>
              <w:contextualSpacing/>
              <w:rPr>
                <w:rFonts w:cs="Arial"/>
                <w:szCs w:val="22"/>
              </w:rPr>
            </w:pPr>
            <w:r w:rsidRPr="00703A0B">
              <w:rPr>
                <w:rFonts w:cs="Arial"/>
                <w:bCs/>
                <w:szCs w:val="22"/>
              </w:rPr>
              <w:t>nil</w:t>
            </w:r>
          </w:p>
        </w:tc>
      </w:tr>
      <w:tr w:rsidR="00351053" w:rsidRPr="00703A0B" w14:paraId="0CDCBDC0" w14:textId="77777777" w:rsidTr="00351053">
        <w:trPr>
          <w:jc w:val="center"/>
        </w:trPr>
        <w:tc>
          <w:tcPr>
            <w:tcW w:w="1271" w:type="dxa"/>
            <w:tcBorders>
              <w:top w:val="single" w:sz="4" w:space="0" w:color="auto"/>
              <w:left w:val="single" w:sz="4" w:space="0" w:color="auto"/>
              <w:bottom w:val="single" w:sz="4" w:space="0" w:color="auto"/>
              <w:right w:val="single" w:sz="4" w:space="0" w:color="auto"/>
            </w:tcBorders>
            <w:vAlign w:val="center"/>
          </w:tcPr>
          <w:p w14:paraId="149C552E" w14:textId="6E90CBEC" w:rsidR="00351053" w:rsidRPr="00703A0B" w:rsidRDefault="00351053" w:rsidP="00351053">
            <w:pPr>
              <w:contextualSpacing/>
              <w:rPr>
                <w:rFonts w:cs="Arial"/>
                <w:szCs w:val="22"/>
              </w:rPr>
            </w:pPr>
            <w:r w:rsidRPr="00703A0B">
              <w:rPr>
                <w:szCs w:val="22"/>
              </w:rPr>
              <w:t>Member</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4C7C9309" w14:textId="6CE94DB6" w:rsidR="00351053" w:rsidRPr="00703A0B" w:rsidRDefault="00351053" w:rsidP="00351053">
            <w:pPr>
              <w:contextualSpacing/>
              <w:rPr>
                <w:rFonts w:cs="Arial"/>
                <w:szCs w:val="22"/>
              </w:rPr>
            </w:pPr>
            <w:r w:rsidRPr="00703A0B">
              <w:rPr>
                <w:szCs w:val="22"/>
              </w:rPr>
              <w:t>Benjamin Hawkins</w:t>
            </w:r>
          </w:p>
        </w:tc>
        <w:tc>
          <w:tcPr>
            <w:tcW w:w="1417" w:type="dxa"/>
            <w:tcBorders>
              <w:top w:val="single" w:sz="4" w:space="0" w:color="auto"/>
              <w:left w:val="single" w:sz="4" w:space="0" w:color="auto"/>
              <w:bottom w:val="single" w:sz="4" w:space="0" w:color="auto"/>
              <w:right w:val="single" w:sz="4" w:space="0" w:color="auto"/>
            </w:tcBorders>
          </w:tcPr>
          <w:p w14:paraId="3607912A" w14:textId="2B1EAEDF" w:rsidR="00351053" w:rsidRPr="00703A0B" w:rsidRDefault="009D52C0" w:rsidP="00351053">
            <w:pPr>
              <w:contextualSpacing/>
              <w:rPr>
                <w:rFonts w:cs="Arial"/>
                <w:szCs w:val="22"/>
              </w:rPr>
            </w:pPr>
            <w:r w:rsidRPr="00703A0B">
              <w:rPr>
                <w:rFonts w:cs="Arial"/>
                <w:bCs/>
                <w:szCs w:val="22"/>
              </w:rPr>
              <w:t>3</w:t>
            </w:r>
          </w:p>
        </w:tc>
        <w:tc>
          <w:tcPr>
            <w:tcW w:w="1985" w:type="dxa"/>
            <w:tcBorders>
              <w:top w:val="single" w:sz="4" w:space="0" w:color="auto"/>
              <w:left w:val="single" w:sz="4" w:space="0" w:color="auto"/>
              <w:bottom w:val="single" w:sz="4" w:space="0" w:color="auto"/>
              <w:right w:val="single" w:sz="4" w:space="0" w:color="auto"/>
            </w:tcBorders>
          </w:tcPr>
          <w:p w14:paraId="79ABF8D0" w14:textId="53275CF4" w:rsidR="00351053" w:rsidRPr="00703A0B" w:rsidRDefault="009D152D" w:rsidP="00351053">
            <w:pPr>
              <w:contextualSpacing/>
              <w:rPr>
                <w:rFonts w:cs="Arial"/>
                <w:szCs w:val="22"/>
              </w:rPr>
            </w:pPr>
            <w:r w:rsidRPr="00703A0B">
              <w:rPr>
                <w:rFonts w:cs="Arial"/>
                <w:bCs/>
                <w:szCs w:val="22"/>
              </w:rPr>
              <w:t>n/a</w:t>
            </w:r>
          </w:p>
        </w:tc>
        <w:tc>
          <w:tcPr>
            <w:tcW w:w="1701" w:type="dxa"/>
            <w:tcBorders>
              <w:top w:val="single" w:sz="4" w:space="0" w:color="auto"/>
              <w:left w:val="single" w:sz="4" w:space="0" w:color="auto"/>
              <w:bottom w:val="single" w:sz="4" w:space="0" w:color="auto"/>
              <w:right w:val="single" w:sz="4" w:space="0" w:color="auto"/>
            </w:tcBorders>
          </w:tcPr>
          <w:p w14:paraId="55752BDD" w14:textId="2825E278" w:rsidR="00351053" w:rsidRPr="00703A0B" w:rsidRDefault="009D152D" w:rsidP="00351053">
            <w:pPr>
              <w:contextualSpacing/>
              <w:rPr>
                <w:rFonts w:cs="Arial"/>
                <w:szCs w:val="22"/>
              </w:rPr>
            </w:pPr>
            <w:r w:rsidRPr="00703A0B">
              <w:rPr>
                <w:rFonts w:cs="Arial"/>
                <w:bCs/>
                <w:szCs w:val="22"/>
              </w:rPr>
              <w:t>n/a</w:t>
            </w:r>
          </w:p>
        </w:tc>
        <w:tc>
          <w:tcPr>
            <w:tcW w:w="1989" w:type="dxa"/>
            <w:tcBorders>
              <w:top w:val="single" w:sz="4" w:space="0" w:color="auto"/>
              <w:left w:val="single" w:sz="4" w:space="0" w:color="auto"/>
              <w:bottom w:val="single" w:sz="4" w:space="0" w:color="auto"/>
              <w:right w:val="single" w:sz="4" w:space="0" w:color="auto"/>
            </w:tcBorders>
          </w:tcPr>
          <w:p w14:paraId="7B6C82A4" w14:textId="5798C1C9" w:rsidR="00351053" w:rsidRPr="00703A0B" w:rsidRDefault="00FD3840" w:rsidP="00351053">
            <w:pPr>
              <w:contextualSpacing/>
              <w:rPr>
                <w:rFonts w:cs="Arial"/>
                <w:szCs w:val="22"/>
              </w:rPr>
            </w:pPr>
            <w:r w:rsidRPr="00703A0B">
              <w:rPr>
                <w:rFonts w:cs="Arial"/>
                <w:bCs/>
                <w:szCs w:val="22"/>
              </w:rPr>
              <w:t>nil</w:t>
            </w:r>
          </w:p>
        </w:tc>
      </w:tr>
      <w:tr w:rsidR="00351053" w:rsidRPr="00703A0B" w14:paraId="43AA6754" w14:textId="77777777" w:rsidTr="00351053">
        <w:trPr>
          <w:jc w:val="center"/>
        </w:trPr>
        <w:tc>
          <w:tcPr>
            <w:tcW w:w="1271" w:type="dxa"/>
            <w:tcBorders>
              <w:top w:val="single" w:sz="4" w:space="0" w:color="auto"/>
              <w:left w:val="single" w:sz="4" w:space="0" w:color="auto"/>
              <w:bottom w:val="single" w:sz="4" w:space="0" w:color="auto"/>
              <w:right w:val="single" w:sz="4" w:space="0" w:color="auto"/>
            </w:tcBorders>
            <w:vAlign w:val="center"/>
          </w:tcPr>
          <w:p w14:paraId="0B681F15" w14:textId="43EC0064" w:rsidR="00351053" w:rsidRPr="00703A0B" w:rsidRDefault="00351053" w:rsidP="00351053">
            <w:pPr>
              <w:contextualSpacing/>
              <w:rPr>
                <w:rFonts w:cs="Arial"/>
                <w:i/>
                <w:szCs w:val="22"/>
              </w:rPr>
            </w:pPr>
            <w:r w:rsidRPr="00703A0B">
              <w:rPr>
                <w:szCs w:val="22"/>
              </w:rPr>
              <w:t>Member</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347D222D" w14:textId="4D572D1D" w:rsidR="00351053" w:rsidRPr="00703A0B" w:rsidRDefault="00351053" w:rsidP="00351053">
            <w:pPr>
              <w:contextualSpacing/>
              <w:rPr>
                <w:rFonts w:cs="Arial"/>
                <w:szCs w:val="22"/>
                <w:highlight w:val="yellow"/>
              </w:rPr>
            </w:pPr>
            <w:r w:rsidRPr="00703A0B">
              <w:rPr>
                <w:szCs w:val="22"/>
              </w:rPr>
              <w:t>Michelle Kennedy</w:t>
            </w:r>
          </w:p>
        </w:tc>
        <w:tc>
          <w:tcPr>
            <w:tcW w:w="1417" w:type="dxa"/>
            <w:tcBorders>
              <w:top w:val="single" w:sz="4" w:space="0" w:color="auto"/>
              <w:left w:val="single" w:sz="4" w:space="0" w:color="auto"/>
              <w:bottom w:val="single" w:sz="4" w:space="0" w:color="auto"/>
              <w:right w:val="single" w:sz="4" w:space="0" w:color="auto"/>
            </w:tcBorders>
          </w:tcPr>
          <w:p w14:paraId="13FA408E" w14:textId="506DE9AA" w:rsidR="00351053" w:rsidRPr="00703A0B" w:rsidRDefault="004B089D" w:rsidP="00351053">
            <w:pPr>
              <w:contextualSpacing/>
              <w:rPr>
                <w:rFonts w:cs="Arial"/>
                <w:szCs w:val="22"/>
              </w:rPr>
            </w:pPr>
            <w:r w:rsidRPr="00703A0B">
              <w:rPr>
                <w:rFonts w:cs="Arial"/>
                <w:bCs/>
                <w:szCs w:val="22"/>
              </w:rPr>
              <w:t>3</w:t>
            </w:r>
          </w:p>
        </w:tc>
        <w:tc>
          <w:tcPr>
            <w:tcW w:w="1985" w:type="dxa"/>
            <w:tcBorders>
              <w:top w:val="single" w:sz="4" w:space="0" w:color="auto"/>
              <w:left w:val="single" w:sz="4" w:space="0" w:color="auto"/>
              <w:bottom w:val="single" w:sz="4" w:space="0" w:color="auto"/>
              <w:right w:val="single" w:sz="4" w:space="0" w:color="auto"/>
            </w:tcBorders>
          </w:tcPr>
          <w:p w14:paraId="3387F96C" w14:textId="23A9F0F5" w:rsidR="00351053" w:rsidRPr="00703A0B" w:rsidRDefault="009D152D" w:rsidP="00351053">
            <w:pPr>
              <w:contextualSpacing/>
              <w:rPr>
                <w:rFonts w:cs="Arial"/>
                <w:szCs w:val="22"/>
              </w:rPr>
            </w:pPr>
            <w:r w:rsidRPr="00703A0B">
              <w:rPr>
                <w:rFonts w:cs="Arial"/>
                <w:bCs/>
                <w:szCs w:val="22"/>
              </w:rPr>
              <w:t>n/a</w:t>
            </w:r>
          </w:p>
        </w:tc>
        <w:tc>
          <w:tcPr>
            <w:tcW w:w="1701" w:type="dxa"/>
            <w:tcBorders>
              <w:top w:val="single" w:sz="4" w:space="0" w:color="auto"/>
              <w:left w:val="single" w:sz="4" w:space="0" w:color="auto"/>
              <w:bottom w:val="single" w:sz="4" w:space="0" w:color="auto"/>
              <w:right w:val="single" w:sz="4" w:space="0" w:color="auto"/>
            </w:tcBorders>
          </w:tcPr>
          <w:p w14:paraId="02788366" w14:textId="498DA472" w:rsidR="00351053" w:rsidRPr="00703A0B" w:rsidRDefault="009D152D" w:rsidP="00351053">
            <w:pPr>
              <w:contextualSpacing/>
              <w:rPr>
                <w:rFonts w:cs="Arial"/>
                <w:szCs w:val="22"/>
              </w:rPr>
            </w:pPr>
            <w:r w:rsidRPr="00703A0B">
              <w:rPr>
                <w:rFonts w:cs="Arial"/>
                <w:bCs/>
                <w:szCs w:val="22"/>
              </w:rPr>
              <w:t>n/a</w:t>
            </w:r>
          </w:p>
        </w:tc>
        <w:tc>
          <w:tcPr>
            <w:tcW w:w="1989" w:type="dxa"/>
            <w:tcBorders>
              <w:top w:val="single" w:sz="4" w:space="0" w:color="auto"/>
              <w:left w:val="single" w:sz="4" w:space="0" w:color="auto"/>
              <w:bottom w:val="single" w:sz="4" w:space="0" w:color="auto"/>
              <w:right w:val="single" w:sz="4" w:space="0" w:color="auto"/>
            </w:tcBorders>
          </w:tcPr>
          <w:p w14:paraId="64559E65" w14:textId="1A4F2BFF" w:rsidR="00351053" w:rsidRPr="00703A0B" w:rsidRDefault="00FD3840" w:rsidP="00351053">
            <w:pPr>
              <w:contextualSpacing/>
              <w:rPr>
                <w:rFonts w:cs="Arial"/>
                <w:szCs w:val="22"/>
                <w:highlight w:val="green"/>
              </w:rPr>
            </w:pPr>
            <w:r w:rsidRPr="00703A0B">
              <w:rPr>
                <w:rFonts w:cs="Arial"/>
                <w:bCs/>
                <w:szCs w:val="22"/>
              </w:rPr>
              <w:t>nil</w:t>
            </w:r>
          </w:p>
        </w:tc>
      </w:tr>
      <w:tr w:rsidR="00351053" w:rsidRPr="00703A0B" w14:paraId="0521DCE3" w14:textId="77777777" w:rsidTr="00351053">
        <w:trPr>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14:paraId="6EB9DADD" w14:textId="2E2EC2D1" w:rsidR="00351053" w:rsidRPr="00703A0B" w:rsidRDefault="00351053" w:rsidP="00351053">
            <w:pPr>
              <w:contextualSpacing/>
              <w:rPr>
                <w:rFonts w:cs="Arial"/>
                <w:szCs w:val="22"/>
              </w:rPr>
            </w:pPr>
            <w:r w:rsidRPr="00703A0B">
              <w:rPr>
                <w:szCs w:val="22"/>
              </w:rPr>
              <w:t>Member</w:t>
            </w:r>
          </w:p>
        </w:tc>
        <w:tc>
          <w:tcPr>
            <w:tcW w:w="1843" w:type="dxa"/>
            <w:gridSpan w:val="2"/>
            <w:tcBorders>
              <w:top w:val="single" w:sz="4" w:space="0" w:color="auto"/>
              <w:left w:val="single" w:sz="4" w:space="0" w:color="auto"/>
              <w:bottom w:val="single" w:sz="4" w:space="0" w:color="auto"/>
              <w:right w:val="single" w:sz="4" w:space="0" w:color="auto"/>
            </w:tcBorders>
            <w:vAlign w:val="center"/>
            <w:hideMark/>
          </w:tcPr>
          <w:p w14:paraId="6B0E4CBD" w14:textId="697F66ED" w:rsidR="00351053" w:rsidRPr="00703A0B" w:rsidRDefault="00351053" w:rsidP="00351053">
            <w:pPr>
              <w:contextualSpacing/>
              <w:rPr>
                <w:rFonts w:cs="Arial"/>
                <w:szCs w:val="22"/>
                <w:highlight w:val="yellow"/>
              </w:rPr>
            </w:pPr>
            <w:r w:rsidRPr="00703A0B">
              <w:rPr>
                <w:szCs w:val="22"/>
              </w:rPr>
              <w:t>Gary O’Halloran</w:t>
            </w:r>
          </w:p>
        </w:tc>
        <w:tc>
          <w:tcPr>
            <w:tcW w:w="1417" w:type="dxa"/>
            <w:tcBorders>
              <w:top w:val="single" w:sz="4" w:space="0" w:color="auto"/>
              <w:left w:val="single" w:sz="4" w:space="0" w:color="auto"/>
              <w:bottom w:val="single" w:sz="4" w:space="0" w:color="auto"/>
              <w:right w:val="single" w:sz="4" w:space="0" w:color="auto"/>
            </w:tcBorders>
          </w:tcPr>
          <w:p w14:paraId="75AEF964" w14:textId="2C86CE32" w:rsidR="00351053" w:rsidRPr="00703A0B" w:rsidRDefault="00697D90" w:rsidP="00351053">
            <w:pPr>
              <w:contextualSpacing/>
              <w:rPr>
                <w:rFonts w:cs="Arial"/>
                <w:szCs w:val="22"/>
              </w:rPr>
            </w:pPr>
            <w:r w:rsidRPr="00703A0B">
              <w:rPr>
                <w:rFonts w:cs="Arial"/>
                <w:bCs/>
                <w:szCs w:val="22"/>
              </w:rPr>
              <w:t>2</w:t>
            </w:r>
          </w:p>
        </w:tc>
        <w:tc>
          <w:tcPr>
            <w:tcW w:w="1985" w:type="dxa"/>
            <w:tcBorders>
              <w:top w:val="single" w:sz="4" w:space="0" w:color="auto"/>
              <w:left w:val="single" w:sz="4" w:space="0" w:color="auto"/>
              <w:bottom w:val="single" w:sz="4" w:space="0" w:color="auto"/>
              <w:right w:val="single" w:sz="4" w:space="0" w:color="auto"/>
            </w:tcBorders>
          </w:tcPr>
          <w:p w14:paraId="73890727" w14:textId="4AA10F6F" w:rsidR="00351053" w:rsidRPr="00703A0B" w:rsidRDefault="009D152D" w:rsidP="00351053">
            <w:pPr>
              <w:contextualSpacing/>
              <w:rPr>
                <w:rFonts w:cs="Arial"/>
                <w:szCs w:val="22"/>
              </w:rPr>
            </w:pPr>
            <w:r w:rsidRPr="00703A0B">
              <w:rPr>
                <w:rFonts w:cs="Arial"/>
                <w:bCs/>
                <w:szCs w:val="22"/>
              </w:rPr>
              <w:t>n/a</w:t>
            </w:r>
          </w:p>
        </w:tc>
        <w:tc>
          <w:tcPr>
            <w:tcW w:w="1701" w:type="dxa"/>
            <w:tcBorders>
              <w:top w:val="single" w:sz="4" w:space="0" w:color="auto"/>
              <w:left w:val="single" w:sz="4" w:space="0" w:color="auto"/>
              <w:bottom w:val="single" w:sz="4" w:space="0" w:color="auto"/>
              <w:right w:val="single" w:sz="4" w:space="0" w:color="auto"/>
            </w:tcBorders>
          </w:tcPr>
          <w:p w14:paraId="6AE4574E" w14:textId="1FD9E2CD" w:rsidR="00351053" w:rsidRPr="00703A0B" w:rsidRDefault="009D152D" w:rsidP="00351053">
            <w:pPr>
              <w:contextualSpacing/>
              <w:rPr>
                <w:rFonts w:cs="Arial"/>
                <w:szCs w:val="22"/>
              </w:rPr>
            </w:pPr>
            <w:r w:rsidRPr="00703A0B">
              <w:rPr>
                <w:rFonts w:cs="Arial"/>
                <w:bCs/>
                <w:szCs w:val="22"/>
              </w:rPr>
              <w:t>n/a</w:t>
            </w:r>
          </w:p>
        </w:tc>
        <w:tc>
          <w:tcPr>
            <w:tcW w:w="1989" w:type="dxa"/>
            <w:tcBorders>
              <w:top w:val="single" w:sz="4" w:space="0" w:color="auto"/>
              <w:left w:val="single" w:sz="4" w:space="0" w:color="auto"/>
              <w:bottom w:val="single" w:sz="4" w:space="0" w:color="auto"/>
              <w:right w:val="single" w:sz="4" w:space="0" w:color="auto"/>
            </w:tcBorders>
          </w:tcPr>
          <w:p w14:paraId="54F63A27" w14:textId="6A57A668" w:rsidR="00351053" w:rsidRPr="00703A0B" w:rsidRDefault="00FD3840" w:rsidP="00351053">
            <w:pPr>
              <w:contextualSpacing/>
              <w:rPr>
                <w:rFonts w:cs="Arial"/>
                <w:szCs w:val="22"/>
                <w:highlight w:val="green"/>
              </w:rPr>
            </w:pPr>
            <w:r w:rsidRPr="00703A0B">
              <w:rPr>
                <w:rFonts w:cs="Arial"/>
                <w:bCs/>
                <w:szCs w:val="22"/>
              </w:rPr>
              <w:t>nil</w:t>
            </w:r>
          </w:p>
        </w:tc>
      </w:tr>
      <w:tr w:rsidR="00351053" w:rsidRPr="00703A0B" w14:paraId="5A78EE3C" w14:textId="77777777" w:rsidTr="00351053">
        <w:trPr>
          <w:jc w:val="center"/>
        </w:trPr>
        <w:tc>
          <w:tcPr>
            <w:tcW w:w="1271" w:type="dxa"/>
            <w:tcBorders>
              <w:top w:val="single" w:sz="4" w:space="0" w:color="auto"/>
              <w:left w:val="single" w:sz="4" w:space="0" w:color="auto"/>
              <w:bottom w:val="single" w:sz="4" w:space="0" w:color="auto"/>
              <w:right w:val="single" w:sz="4" w:space="0" w:color="auto"/>
            </w:tcBorders>
            <w:vAlign w:val="center"/>
          </w:tcPr>
          <w:p w14:paraId="4699FC3F" w14:textId="52F49774" w:rsidR="00351053" w:rsidRPr="00703A0B" w:rsidRDefault="00351053" w:rsidP="00351053">
            <w:pPr>
              <w:contextualSpacing/>
              <w:rPr>
                <w:rFonts w:cs="Arial"/>
                <w:szCs w:val="22"/>
              </w:rPr>
            </w:pPr>
            <w:r w:rsidRPr="00703A0B">
              <w:rPr>
                <w:szCs w:val="22"/>
              </w:rPr>
              <w:t>Member</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1C6ED9CD" w14:textId="579C8FFA" w:rsidR="00351053" w:rsidRPr="00703A0B" w:rsidRDefault="00351053" w:rsidP="00351053">
            <w:pPr>
              <w:contextualSpacing/>
              <w:rPr>
                <w:rFonts w:cs="Arial"/>
                <w:szCs w:val="22"/>
                <w:highlight w:val="yellow"/>
              </w:rPr>
            </w:pPr>
            <w:r w:rsidRPr="00703A0B">
              <w:rPr>
                <w:szCs w:val="22"/>
              </w:rPr>
              <w:t>Sharon Simmers</w:t>
            </w:r>
          </w:p>
        </w:tc>
        <w:tc>
          <w:tcPr>
            <w:tcW w:w="1417" w:type="dxa"/>
            <w:tcBorders>
              <w:top w:val="single" w:sz="4" w:space="0" w:color="auto"/>
              <w:left w:val="single" w:sz="4" w:space="0" w:color="auto"/>
              <w:bottom w:val="single" w:sz="4" w:space="0" w:color="auto"/>
              <w:right w:val="single" w:sz="4" w:space="0" w:color="auto"/>
            </w:tcBorders>
          </w:tcPr>
          <w:p w14:paraId="63A649F0" w14:textId="04DEA546" w:rsidR="00351053" w:rsidRPr="00703A0B" w:rsidRDefault="00DC7699" w:rsidP="00351053">
            <w:pPr>
              <w:contextualSpacing/>
              <w:rPr>
                <w:rFonts w:cs="Arial"/>
                <w:szCs w:val="22"/>
              </w:rPr>
            </w:pPr>
            <w:r w:rsidRPr="00703A0B">
              <w:rPr>
                <w:rFonts w:cs="Arial"/>
                <w:bCs/>
                <w:szCs w:val="22"/>
              </w:rPr>
              <w:t>4</w:t>
            </w:r>
          </w:p>
        </w:tc>
        <w:tc>
          <w:tcPr>
            <w:tcW w:w="1985" w:type="dxa"/>
            <w:tcBorders>
              <w:top w:val="single" w:sz="4" w:space="0" w:color="auto"/>
              <w:left w:val="single" w:sz="4" w:space="0" w:color="auto"/>
              <w:bottom w:val="single" w:sz="4" w:space="0" w:color="auto"/>
              <w:right w:val="single" w:sz="4" w:space="0" w:color="auto"/>
            </w:tcBorders>
          </w:tcPr>
          <w:p w14:paraId="7D6F6C6D" w14:textId="6C7716E3" w:rsidR="00351053" w:rsidRPr="00703A0B" w:rsidRDefault="009D152D" w:rsidP="00351053">
            <w:pPr>
              <w:contextualSpacing/>
              <w:rPr>
                <w:rFonts w:cs="Arial"/>
                <w:szCs w:val="22"/>
              </w:rPr>
            </w:pPr>
            <w:r w:rsidRPr="00703A0B">
              <w:rPr>
                <w:rFonts w:cs="Arial"/>
                <w:bCs/>
                <w:szCs w:val="22"/>
              </w:rPr>
              <w:t>n/a</w:t>
            </w:r>
          </w:p>
        </w:tc>
        <w:tc>
          <w:tcPr>
            <w:tcW w:w="1701" w:type="dxa"/>
            <w:tcBorders>
              <w:top w:val="single" w:sz="4" w:space="0" w:color="auto"/>
              <w:left w:val="single" w:sz="4" w:space="0" w:color="auto"/>
              <w:bottom w:val="single" w:sz="4" w:space="0" w:color="auto"/>
              <w:right w:val="single" w:sz="4" w:space="0" w:color="auto"/>
            </w:tcBorders>
          </w:tcPr>
          <w:p w14:paraId="369F958C" w14:textId="2FB605F7" w:rsidR="00351053" w:rsidRPr="00703A0B" w:rsidRDefault="009D152D" w:rsidP="00351053">
            <w:pPr>
              <w:contextualSpacing/>
              <w:rPr>
                <w:rFonts w:cs="Arial"/>
                <w:szCs w:val="22"/>
              </w:rPr>
            </w:pPr>
            <w:r w:rsidRPr="00703A0B">
              <w:rPr>
                <w:rFonts w:cs="Arial"/>
                <w:bCs/>
                <w:szCs w:val="22"/>
              </w:rPr>
              <w:t>n/a</w:t>
            </w:r>
          </w:p>
        </w:tc>
        <w:tc>
          <w:tcPr>
            <w:tcW w:w="1989" w:type="dxa"/>
            <w:tcBorders>
              <w:top w:val="single" w:sz="4" w:space="0" w:color="auto"/>
              <w:left w:val="single" w:sz="4" w:space="0" w:color="auto"/>
              <w:bottom w:val="single" w:sz="4" w:space="0" w:color="auto"/>
              <w:right w:val="single" w:sz="4" w:space="0" w:color="auto"/>
            </w:tcBorders>
          </w:tcPr>
          <w:p w14:paraId="2338F0C1" w14:textId="3F97DCA4" w:rsidR="00351053" w:rsidRPr="00703A0B" w:rsidRDefault="00FD3840" w:rsidP="00351053">
            <w:pPr>
              <w:contextualSpacing/>
              <w:rPr>
                <w:rFonts w:cs="Arial"/>
                <w:szCs w:val="22"/>
              </w:rPr>
            </w:pPr>
            <w:r w:rsidRPr="00703A0B">
              <w:rPr>
                <w:rFonts w:cs="Arial"/>
                <w:bCs/>
                <w:szCs w:val="22"/>
              </w:rPr>
              <w:t>nil</w:t>
            </w:r>
          </w:p>
        </w:tc>
      </w:tr>
      <w:tr w:rsidR="00351053" w:rsidRPr="00703A0B" w14:paraId="0294442C" w14:textId="77777777" w:rsidTr="00351053">
        <w:trPr>
          <w:jc w:val="center"/>
        </w:trPr>
        <w:tc>
          <w:tcPr>
            <w:tcW w:w="1271" w:type="dxa"/>
            <w:tcBorders>
              <w:top w:val="single" w:sz="4" w:space="0" w:color="auto"/>
              <w:left w:val="single" w:sz="4" w:space="0" w:color="auto"/>
              <w:bottom w:val="single" w:sz="4" w:space="0" w:color="auto"/>
              <w:right w:val="single" w:sz="4" w:space="0" w:color="auto"/>
            </w:tcBorders>
            <w:vAlign w:val="center"/>
          </w:tcPr>
          <w:p w14:paraId="0B6C0CF3" w14:textId="0C631A94" w:rsidR="00351053" w:rsidRPr="00703A0B" w:rsidRDefault="00351053" w:rsidP="00351053">
            <w:pPr>
              <w:contextualSpacing/>
              <w:rPr>
                <w:rFonts w:cs="Arial"/>
                <w:szCs w:val="22"/>
              </w:rPr>
            </w:pPr>
            <w:r w:rsidRPr="00703A0B">
              <w:rPr>
                <w:szCs w:val="22"/>
              </w:rPr>
              <w:t>Member</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4B397303" w14:textId="2C4C49A8" w:rsidR="00351053" w:rsidRPr="00703A0B" w:rsidRDefault="00351053" w:rsidP="00351053">
            <w:pPr>
              <w:contextualSpacing/>
              <w:rPr>
                <w:rFonts w:cs="Arial"/>
                <w:szCs w:val="22"/>
                <w:highlight w:val="yellow"/>
              </w:rPr>
            </w:pPr>
            <w:r w:rsidRPr="00703A0B">
              <w:rPr>
                <w:szCs w:val="22"/>
              </w:rPr>
              <w:t>Joseph Smith</w:t>
            </w:r>
          </w:p>
        </w:tc>
        <w:tc>
          <w:tcPr>
            <w:tcW w:w="1417" w:type="dxa"/>
            <w:tcBorders>
              <w:top w:val="single" w:sz="4" w:space="0" w:color="auto"/>
              <w:left w:val="single" w:sz="4" w:space="0" w:color="auto"/>
              <w:bottom w:val="single" w:sz="4" w:space="0" w:color="auto"/>
              <w:right w:val="single" w:sz="4" w:space="0" w:color="auto"/>
            </w:tcBorders>
          </w:tcPr>
          <w:p w14:paraId="75FE156A" w14:textId="750FA62D" w:rsidR="00351053" w:rsidRPr="00703A0B" w:rsidRDefault="00167959" w:rsidP="00351053">
            <w:pPr>
              <w:contextualSpacing/>
              <w:rPr>
                <w:rFonts w:cs="Arial"/>
                <w:szCs w:val="22"/>
              </w:rPr>
            </w:pPr>
            <w:r w:rsidRPr="00703A0B">
              <w:rPr>
                <w:rFonts w:cs="Arial"/>
                <w:bCs/>
                <w:szCs w:val="22"/>
              </w:rPr>
              <w:t>3</w:t>
            </w:r>
          </w:p>
        </w:tc>
        <w:tc>
          <w:tcPr>
            <w:tcW w:w="1985" w:type="dxa"/>
            <w:tcBorders>
              <w:top w:val="single" w:sz="4" w:space="0" w:color="auto"/>
              <w:left w:val="single" w:sz="4" w:space="0" w:color="auto"/>
              <w:bottom w:val="single" w:sz="4" w:space="0" w:color="auto"/>
              <w:right w:val="single" w:sz="4" w:space="0" w:color="auto"/>
            </w:tcBorders>
          </w:tcPr>
          <w:p w14:paraId="2F888489" w14:textId="7466F731" w:rsidR="00351053" w:rsidRPr="00703A0B" w:rsidRDefault="009D152D" w:rsidP="00351053">
            <w:pPr>
              <w:contextualSpacing/>
              <w:rPr>
                <w:rFonts w:cs="Arial"/>
                <w:szCs w:val="22"/>
              </w:rPr>
            </w:pPr>
            <w:r w:rsidRPr="00703A0B">
              <w:rPr>
                <w:rFonts w:cs="Arial"/>
                <w:bCs/>
                <w:szCs w:val="22"/>
              </w:rPr>
              <w:t>n/a</w:t>
            </w:r>
          </w:p>
        </w:tc>
        <w:tc>
          <w:tcPr>
            <w:tcW w:w="1701" w:type="dxa"/>
            <w:tcBorders>
              <w:top w:val="single" w:sz="4" w:space="0" w:color="auto"/>
              <w:left w:val="single" w:sz="4" w:space="0" w:color="auto"/>
              <w:bottom w:val="single" w:sz="4" w:space="0" w:color="auto"/>
              <w:right w:val="single" w:sz="4" w:space="0" w:color="auto"/>
            </w:tcBorders>
          </w:tcPr>
          <w:p w14:paraId="23514D85" w14:textId="2D2613E7" w:rsidR="00351053" w:rsidRPr="00703A0B" w:rsidRDefault="009D152D" w:rsidP="00351053">
            <w:pPr>
              <w:contextualSpacing/>
              <w:rPr>
                <w:rFonts w:cs="Arial"/>
                <w:szCs w:val="22"/>
              </w:rPr>
            </w:pPr>
            <w:r w:rsidRPr="00703A0B">
              <w:rPr>
                <w:rFonts w:cs="Arial"/>
                <w:bCs/>
                <w:szCs w:val="22"/>
              </w:rPr>
              <w:t>n/a</w:t>
            </w:r>
          </w:p>
        </w:tc>
        <w:tc>
          <w:tcPr>
            <w:tcW w:w="1989" w:type="dxa"/>
            <w:tcBorders>
              <w:top w:val="single" w:sz="4" w:space="0" w:color="auto"/>
              <w:left w:val="single" w:sz="4" w:space="0" w:color="auto"/>
              <w:bottom w:val="single" w:sz="4" w:space="0" w:color="auto"/>
              <w:right w:val="single" w:sz="4" w:space="0" w:color="auto"/>
            </w:tcBorders>
          </w:tcPr>
          <w:p w14:paraId="0117A151" w14:textId="3FF858E5" w:rsidR="00351053" w:rsidRPr="00703A0B" w:rsidRDefault="00FD3840" w:rsidP="00351053">
            <w:pPr>
              <w:contextualSpacing/>
              <w:rPr>
                <w:rFonts w:cs="Arial"/>
                <w:szCs w:val="22"/>
              </w:rPr>
            </w:pPr>
            <w:r w:rsidRPr="00703A0B">
              <w:rPr>
                <w:rFonts w:cs="Arial"/>
                <w:bCs/>
                <w:szCs w:val="22"/>
              </w:rPr>
              <w:t>nil</w:t>
            </w:r>
          </w:p>
        </w:tc>
      </w:tr>
      <w:tr w:rsidR="00224525" w:rsidRPr="00703A0B" w14:paraId="3007E214" w14:textId="77777777" w:rsidTr="00351053">
        <w:trPr>
          <w:jc w:val="center"/>
        </w:trPr>
        <w:tc>
          <w:tcPr>
            <w:tcW w:w="1271" w:type="dxa"/>
            <w:tcBorders>
              <w:top w:val="single" w:sz="4" w:space="0" w:color="auto"/>
              <w:left w:val="single" w:sz="4" w:space="0" w:color="auto"/>
              <w:bottom w:val="single" w:sz="4" w:space="0" w:color="auto"/>
              <w:right w:val="single" w:sz="4" w:space="0" w:color="auto"/>
            </w:tcBorders>
            <w:vAlign w:val="center"/>
          </w:tcPr>
          <w:p w14:paraId="230A862D" w14:textId="33064BB9" w:rsidR="00224525" w:rsidRPr="00703A0B" w:rsidRDefault="00224525" w:rsidP="00224525">
            <w:pPr>
              <w:contextualSpacing/>
              <w:rPr>
                <w:szCs w:val="22"/>
              </w:rPr>
            </w:pPr>
            <w:r w:rsidRPr="00703A0B">
              <w:rPr>
                <w:szCs w:val="22"/>
              </w:rPr>
              <w:t xml:space="preserve">Former </w:t>
            </w:r>
            <w:r w:rsidR="003C0415" w:rsidRPr="00703A0B">
              <w:rPr>
                <w:szCs w:val="22"/>
              </w:rPr>
              <w:t>Member</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110B72D7" w14:textId="77777777" w:rsidR="00224525" w:rsidRPr="00703A0B" w:rsidRDefault="00224525" w:rsidP="00224525">
            <w:pPr>
              <w:autoSpaceDE w:val="0"/>
              <w:autoSpaceDN w:val="0"/>
              <w:adjustRightInd w:val="0"/>
              <w:contextualSpacing/>
              <w:rPr>
                <w:szCs w:val="22"/>
              </w:rPr>
            </w:pPr>
            <w:r w:rsidRPr="00703A0B">
              <w:rPr>
                <w:szCs w:val="22"/>
              </w:rPr>
              <w:t>Anne Neuendorf</w:t>
            </w:r>
            <w:r w:rsidRPr="00703A0B">
              <w:rPr>
                <w:rStyle w:val="FootnoteReference"/>
                <w:szCs w:val="22"/>
              </w:rPr>
              <w:footnoteReference w:id="13"/>
            </w:r>
          </w:p>
          <w:p w14:paraId="65CA24D7" w14:textId="7F4168FC" w:rsidR="00224525" w:rsidRPr="00703A0B" w:rsidRDefault="00224525" w:rsidP="00224525">
            <w:pPr>
              <w:contextualSpacing/>
              <w:rPr>
                <w:szCs w:val="22"/>
              </w:rPr>
            </w:pPr>
            <w:r w:rsidRPr="00703A0B">
              <w:rPr>
                <w:i/>
                <w:iCs/>
                <w:szCs w:val="22"/>
              </w:rPr>
              <w:t xml:space="preserve">(1 July 2025 </w:t>
            </w:r>
            <w:r w:rsidRPr="00703A0B">
              <w:rPr>
                <w:rFonts w:cs="Arial"/>
                <w:i/>
                <w:iCs/>
                <w:szCs w:val="22"/>
              </w:rPr>
              <w:t>–</w:t>
            </w:r>
            <w:r w:rsidRPr="00703A0B">
              <w:rPr>
                <w:i/>
                <w:iCs/>
                <w:szCs w:val="22"/>
              </w:rPr>
              <w:t xml:space="preserve"> 1 October 2025)</w:t>
            </w:r>
          </w:p>
        </w:tc>
        <w:tc>
          <w:tcPr>
            <w:tcW w:w="1417" w:type="dxa"/>
            <w:tcBorders>
              <w:top w:val="single" w:sz="4" w:space="0" w:color="auto"/>
              <w:left w:val="single" w:sz="4" w:space="0" w:color="auto"/>
              <w:bottom w:val="single" w:sz="4" w:space="0" w:color="auto"/>
              <w:right w:val="single" w:sz="4" w:space="0" w:color="auto"/>
            </w:tcBorders>
          </w:tcPr>
          <w:p w14:paraId="16F44AAA" w14:textId="50B7E19E" w:rsidR="00224525" w:rsidRPr="00703A0B" w:rsidRDefault="00224525" w:rsidP="00224525">
            <w:pPr>
              <w:contextualSpacing/>
              <w:rPr>
                <w:rFonts w:cs="Arial"/>
                <w:bCs/>
                <w:szCs w:val="22"/>
              </w:rPr>
            </w:pPr>
            <w:r w:rsidRPr="00703A0B">
              <w:rPr>
                <w:rFonts w:cs="Arial"/>
                <w:bCs/>
                <w:szCs w:val="22"/>
              </w:rPr>
              <w:t>0</w:t>
            </w:r>
          </w:p>
        </w:tc>
        <w:tc>
          <w:tcPr>
            <w:tcW w:w="1985" w:type="dxa"/>
            <w:tcBorders>
              <w:top w:val="single" w:sz="4" w:space="0" w:color="auto"/>
              <w:left w:val="single" w:sz="4" w:space="0" w:color="auto"/>
              <w:bottom w:val="single" w:sz="4" w:space="0" w:color="auto"/>
              <w:right w:val="single" w:sz="4" w:space="0" w:color="auto"/>
            </w:tcBorders>
          </w:tcPr>
          <w:p w14:paraId="34E10738" w14:textId="395753E6" w:rsidR="00224525" w:rsidRPr="00703A0B" w:rsidRDefault="00224525" w:rsidP="00224525">
            <w:pPr>
              <w:contextualSpacing/>
              <w:rPr>
                <w:rFonts w:cs="Arial"/>
                <w:bCs/>
                <w:szCs w:val="22"/>
              </w:rPr>
            </w:pPr>
            <w:r w:rsidRPr="00703A0B">
              <w:rPr>
                <w:rFonts w:cs="Arial"/>
                <w:bCs/>
                <w:szCs w:val="22"/>
              </w:rPr>
              <w:t>n/a</w:t>
            </w:r>
          </w:p>
        </w:tc>
        <w:tc>
          <w:tcPr>
            <w:tcW w:w="1701" w:type="dxa"/>
            <w:tcBorders>
              <w:top w:val="single" w:sz="4" w:space="0" w:color="auto"/>
              <w:left w:val="single" w:sz="4" w:space="0" w:color="auto"/>
              <w:bottom w:val="single" w:sz="4" w:space="0" w:color="auto"/>
              <w:right w:val="single" w:sz="4" w:space="0" w:color="auto"/>
            </w:tcBorders>
          </w:tcPr>
          <w:p w14:paraId="37DEB04F" w14:textId="663A6ECD" w:rsidR="00224525" w:rsidRPr="00703A0B" w:rsidRDefault="00224525" w:rsidP="00224525">
            <w:pPr>
              <w:contextualSpacing/>
              <w:rPr>
                <w:rFonts w:cs="Arial"/>
                <w:bCs/>
                <w:szCs w:val="22"/>
              </w:rPr>
            </w:pPr>
            <w:r w:rsidRPr="00703A0B">
              <w:rPr>
                <w:rFonts w:cs="Arial"/>
                <w:bCs/>
                <w:szCs w:val="22"/>
              </w:rPr>
              <w:t>n/a</w:t>
            </w:r>
          </w:p>
        </w:tc>
        <w:tc>
          <w:tcPr>
            <w:tcW w:w="1989" w:type="dxa"/>
            <w:tcBorders>
              <w:top w:val="single" w:sz="4" w:space="0" w:color="auto"/>
              <w:left w:val="single" w:sz="4" w:space="0" w:color="auto"/>
              <w:bottom w:val="single" w:sz="4" w:space="0" w:color="auto"/>
              <w:right w:val="single" w:sz="4" w:space="0" w:color="auto"/>
            </w:tcBorders>
          </w:tcPr>
          <w:p w14:paraId="751E8CAE" w14:textId="35771073" w:rsidR="00224525" w:rsidRPr="00703A0B" w:rsidRDefault="00FD3840" w:rsidP="00224525">
            <w:pPr>
              <w:contextualSpacing/>
              <w:rPr>
                <w:rFonts w:cs="Arial"/>
                <w:bCs/>
                <w:szCs w:val="22"/>
                <w:highlight w:val="yellow"/>
              </w:rPr>
            </w:pPr>
            <w:r w:rsidRPr="00703A0B">
              <w:rPr>
                <w:rFonts w:cs="Arial"/>
                <w:bCs/>
                <w:szCs w:val="22"/>
              </w:rPr>
              <w:t>nil</w:t>
            </w:r>
          </w:p>
        </w:tc>
      </w:tr>
      <w:tr w:rsidR="00351053" w:rsidRPr="00703A0B" w14:paraId="403C9E45" w14:textId="77777777" w:rsidTr="00351053">
        <w:trPr>
          <w:jc w:val="center"/>
        </w:trPr>
        <w:tc>
          <w:tcPr>
            <w:tcW w:w="1271" w:type="dxa"/>
            <w:tcBorders>
              <w:top w:val="single" w:sz="4" w:space="0" w:color="auto"/>
              <w:left w:val="single" w:sz="4" w:space="0" w:color="auto"/>
              <w:bottom w:val="single" w:sz="4" w:space="0" w:color="auto"/>
              <w:right w:val="single" w:sz="4" w:space="0" w:color="auto"/>
            </w:tcBorders>
            <w:vAlign w:val="center"/>
          </w:tcPr>
          <w:p w14:paraId="51979215" w14:textId="13D0D119" w:rsidR="00351053" w:rsidRPr="00703A0B" w:rsidRDefault="00351053" w:rsidP="00351053">
            <w:pPr>
              <w:contextualSpacing/>
              <w:rPr>
                <w:rFonts w:cs="Arial"/>
                <w:szCs w:val="22"/>
              </w:rPr>
            </w:pPr>
            <w:r w:rsidRPr="00703A0B">
              <w:rPr>
                <w:szCs w:val="22"/>
              </w:rPr>
              <w:t>Deputy Member</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3ECC1BC0" w14:textId="05B271B9" w:rsidR="00351053" w:rsidRPr="00703A0B" w:rsidRDefault="00351053" w:rsidP="00351053">
            <w:pPr>
              <w:contextualSpacing/>
              <w:rPr>
                <w:rFonts w:cs="Arial"/>
                <w:szCs w:val="22"/>
                <w:highlight w:val="yellow"/>
              </w:rPr>
            </w:pPr>
            <w:r w:rsidRPr="00703A0B">
              <w:rPr>
                <w:szCs w:val="22"/>
              </w:rPr>
              <w:t>Rudolphe Martin</w:t>
            </w:r>
          </w:p>
        </w:tc>
        <w:tc>
          <w:tcPr>
            <w:tcW w:w="1417" w:type="dxa"/>
            <w:tcBorders>
              <w:top w:val="single" w:sz="4" w:space="0" w:color="auto"/>
              <w:left w:val="single" w:sz="4" w:space="0" w:color="auto"/>
              <w:bottom w:val="single" w:sz="4" w:space="0" w:color="auto"/>
              <w:right w:val="single" w:sz="4" w:space="0" w:color="auto"/>
            </w:tcBorders>
          </w:tcPr>
          <w:p w14:paraId="375172B6" w14:textId="28D65D8F" w:rsidR="00351053" w:rsidRPr="00703A0B" w:rsidRDefault="003E701F" w:rsidP="00351053">
            <w:pPr>
              <w:contextualSpacing/>
              <w:rPr>
                <w:rFonts w:cs="Arial"/>
                <w:szCs w:val="22"/>
              </w:rPr>
            </w:pPr>
            <w:r w:rsidRPr="00703A0B">
              <w:rPr>
                <w:rFonts w:cs="Arial"/>
                <w:bCs/>
                <w:szCs w:val="22"/>
              </w:rPr>
              <w:t>1</w:t>
            </w:r>
          </w:p>
        </w:tc>
        <w:tc>
          <w:tcPr>
            <w:tcW w:w="1985" w:type="dxa"/>
            <w:tcBorders>
              <w:top w:val="single" w:sz="4" w:space="0" w:color="auto"/>
              <w:left w:val="single" w:sz="4" w:space="0" w:color="auto"/>
              <w:bottom w:val="single" w:sz="4" w:space="0" w:color="auto"/>
              <w:right w:val="single" w:sz="4" w:space="0" w:color="auto"/>
            </w:tcBorders>
          </w:tcPr>
          <w:p w14:paraId="4AAA816A" w14:textId="42D00C38" w:rsidR="00351053" w:rsidRPr="00703A0B" w:rsidRDefault="009D152D" w:rsidP="00351053">
            <w:pPr>
              <w:contextualSpacing/>
              <w:rPr>
                <w:rFonts w:cs="Arial"/>
                <w:szCs w:val="22"/>
              </w:rPr>
            </w:pPr>
            <w:r w:rsidRPr="00703A0B">
              <w:rPr>
                <w:rFonts w:cs="Arial"/>
                <w:bCs/>
                <w:szCs w:val="22"/>
              </w:rPr>
              <w:t>n/a</w:t>
            </w:r>
          </w:p>
        </w:tc>
        <w:tc>
          <w:tcPr>
            <w:tcW w:w="1701" w:type="dxa"/>
            <w:tcBorders>
              <w:top w:val="single" w:sz="4" w:space="0" w:color="auto"/>
              <w:left w:val="single" w:sz="4" w:space="0" w:color="auto"/>
              <w:bottom w:val="single" w:sz="4" w:space="0" w:color="auto"/>
              <w:right w:val="single" w:sz="4" w:space="0" w:color="auto"/>
            </w:tcBorders>
          </w:tcPr>
          <w:p w14:paraId="0A339C6C" w14:textId="42718EF2" w:rsidR="00351053" w:rsidRPr="00703A0B" w:rsidRDefault="009D152D" w:rsidP="00351053">
            <w:pPr>
              <w:contextualSpacing/>
              <w:rPr>
                <w:rFonts w:cs="Arial"/>
                <w:szCs w:val="22"/>
              </w:rPr>
            </w:pPr>
            <w:r w:rsidRPr="00703A0B">
              <w:rPr>
                <w:rFonts w:cs="Arial"/>
                <w:bCs/>
                <w:szCs w:val="22"/>
              </w:rPr>
              <w:t>n/a</w:t>
            </w:r>
          </w:p>
        </w:tc>
        <w:tc>
          <w:tcPr>
            <w:tcW w:w="1989" w:type="dxa"/>
            <w:tcBorders>
              <w:top w:val="single" w:sz="4" w:space="0" w:color="auto"/>
              <w:left w:val="single" w:sz="4" w:space="0" w:color="auto"/>
              <w:bottom w:val="single" w:sz="4" w:space="0" w:color="auto"/>
              <w:right w:val="single" w:sz="4" w:space="0" w:color="auto"/>
            </w:tcBorders>
          </w:tcPr>
          <w:p w14:paraId="790497B3" w14:textId="33BEDBA7" w:rsidR="00351053" w:rsidRPr="00703A0B" w:rsidRDefault="00FD3840" w:rsidP="00351053">
            <w:pPr>
              <w:contextualSpacing/>
              <w:rPr>
                <w:rFonts w:cs="Arial"/>
                <w:szCs w:val="22"/>
              </w:rPr>
            </w:pPr>
            <w:r w:rsidRPr="00703A0B">
              <w:rPr>
                <w:rFonts w:cs="Arial"/>
                <w:bCs/>
                <w:szCs w:val="22"/>
              </w:rPr>
              <w:t>nil</w:t>
            </w:r>
          </w:p>
        </w:tc>
      </w:tr>
      <w:tr w:rsidR="00351053" w:rsidRPr="00703A0B" w14:paraId="37B31A33" w14:textId="77777777" w:rsidTr="00351053">
        <w:trPr>
          <w:jc w:val="center"/>
        </w:trPr>
        <w:tc>
          <w:tcPr>
            <w:tcW w:w="1271" w:type="dxa"/>
            <w:tcBorders>
              <w:top w:val="single" w:sz="4" w:space="0" w:color="auto"/>
              <w:left w:val="single" w:sz="4" w:space="0" w:color="auto"/>
              <w:bottom w:val="single" w:sz="4" w:space="0" w:color="auto"/>
              <w:right w:val="single" w:sz="4" w:space="0" w:color="auto"/>
            </w:tcBorders>
            <w:vAlign w:val="center"/>
          </w:tcPr>
          <w:p w14:paraId="075B0550" w14:textId="4CF26986" w:rsidR="00351053" w:rsidRPr="00703A0B" w:rsidRDefault="00351053" w:rsidP="00351053">
            <w:pPr>
              <w:contextualSpacing/>
              <w:rPr>
                <w:rFonts w:cs="Arial"/>
                <w:szCs w:val="22"/>
              </w:rPr>
            </w:pPr>
            <w:r w:rsidRPr="00703A0B">
              <w:rPr>
                <w:szCs w:val="22"/>
              </w:rPr>
              <w:t>Deputy Member</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49E7752D" w14:textId="29C188D2" w:rsidR="00351053" w:rsidRPr="00703A0B" w:rsidRDefault="00351053" w:rsidP="00351053">
            <w:pPr>
              <w:contextualSpacing/>
              <w:rPr>
                <w:rFonts w:cs="Arial"/>
                <w:szCs w:val="22"/>
                <w:highlight w:val="yellow"/>
              </w:rPr>
            </w:pPr>
            <w:r w:rsidRPr="00703A0B">
              <w:rPr>
                <w:szCs w:val="22"/>
              </w:rPr>
              <w:t>Stacey McInnes</w:t>
            </w:r>
          </w:p>
        </w:tc>
        <w:tc>
          <w:tcPr>
            <w:tcW w:w="1417" w:type="dxa"/>
            <w:tcBorders>
              <w:top w:val="single" w:sz="4" w:space="0" w:color="auto"/>
              <w:left w:val="single" w:sz="4" w:space="0" w:color="auto"/>
              <w:bottom w:val="single" w:sz="4" w:space="0" w:color="auto"/>
              <w:right w:val="single" w:sz="4" w:space="0" w:color="auto"/>
            </w:tcBorders>
          </w:tcPr>
          <w:p w14:paraId="4F871225" w14:textId="1985A226" w:rsidR="00351053" w:rsidRPr="00703A0B" w:rsidRDefault="003E701F" w:rsidP="00351053">
            <w:pPr>
              <w:contextualSpacing/>
              <w:rPr>
                <w:rFonts w:cs="Arial"/>
                <w:szCs w:val="22"/>
              </w:rPr>
            </w:pPr>
            <w:r w:rsidRPr="00703A0B">
              <w:rPr>
                <w:rFonts w:cs="Arial"/>
                <w:bCs/>
                <w:szCs w:val="22"/>
              </w:rPr>
              <w:t>3</w:t>
            </w:r>
          </w:p>
        </w:tc>
        <w:tc>
          <w:tcPr>
            <w:tcW w:w="1985" w:type="dxa"/>
            <w:tcBorders>
              <w:top w:val="single" w:sz="4" w:space="0" w:color="auto"/>
              <w:left w:val="single" w:sz="4" w:space="0" w:color="auto"/>
              <w:bottom w:val="single" w:sz="4" w:space="0" w:color="auto"/>
              <w:right w:val="single" w:sz="4" w:space="0" w:color="auto"/>
            </w:tcBorders>
          </w:tcPr>
          <w:p w14:paraId="0BCFE445" w14:textId="36AA432D" w:rsidR="00351053" w:rsidRPr="00703A0B" w:rsidRDefault="009D152D" w:rsidP="00351053">
            <w:pPr>
              <w:contextualSpacing/>
              <w:rPr>
                <w:rFonts w:cs="Arial"/>
                <w:szCs w:val="22"/>
              </w:rPr>
            </w:pPr>
            <w:r w:rsidRPr="00703A0B">
              <w:rPr>
                <w:rFonts w:cs="Arial"/>
                <w:bCs/>
                <w:szCs w:val="22"/>
              </w:rPr>
              <w:t>n/a</w:t>
            </w:r>
          </w:p>
        </w:tc>
        <w:tc>
          <w:tcPr>
            <w:tcW w:w="1701" w:type="dxa"/>
            <w:tcBorders>
              <w:top w:val="single" w:sz="4" w:space="0" w:color="auto"/>
              <w:left w:val="single" w:sz="4" w:space="0" w:color="auto"/>
              <w:bottom w:val="single" w:sz="4" w:space="0" w:color="auto"/>
              <w:right w:val="single" w:sz="4" w:space="0" w:color="auto"/>
            </w:tcBorders>
          </w:tcPr>
          <w:p w14:paraId="4174E1D7" w14:textId="3CDFF81B" w:rsidR="00351053" w:rsidRPr="00703A0B" w:rsidRDefault="009D152D" w:rsidP="00351053">
            <w:pPr>
              <w:contextualSpacing/>
              <w:rPr>
                <w:rFonts w:cs="Arial"/>
                <w:szCs w:val="22"/>
              </w:rPr>
            </w:pPr>
            <w:r w:rsidRPr="00703A0B">
              <w:rPr>
                <w:rFonts w:cs="Arial"/>
                <w:bCs/>
                <w:szCs w:val="22"/>
              </w:rPr>
              <w:t>n/a</w:t>
            </w:r>
          </w:p>
        </w:tc>
        <w:tc>
          <w:tcPr>
            <w:tcW w:w="1989" w:type="dxa"/>
            <w:tcBorders>
              <w:top w:val="single" w:sz="4" w:space="0" w:color="auto"/>
              <w:left w:val="single" w:sz="4" w:space="0" w:color="auto"/>
              <w:bottom w:val="single" w:sz="4" w:space="0" w:color="auto"/>
              <w:right w:val="single" w:sz="4" w:space="0" w:color="auto"/>
            </w:tcBorders>
          </w:tcPr>
          <w:p w14:paraId="3C08C67A" w14:textId="3BFD6145" w:rsidR="00351053" w:rsidRPr="00703A0B" w:rsidRDefault="00FD3840" w:rsidP="00351053">
            <w:pPr>
              <w:contextualSpacing/>
              <w:rPr>
                <w:rFonts w:cs="Arial"/>
                <w:szCs w:val="22"/>
              </w:rPr>
            </w:pPr>
            <w:r w:rsidRPr="00703A0B">
              <w:rPr>
                <w:rFonts w:cs="Arial"/>
                <w:bCs/>
                <w:szCs w:val="22"/>
              </w:rPr>
              <w:t>nil</w:t>
            </w:r>
          </w:p>
        </w:tc>
      </w:tr>
      <w:tr w:rsidR="00351053" w:rsidRPr="00703A0B" w14:paraId="2D0F7F28" w14:textId="77777777" w:rsidTr="00351053">
        <w:trPr>
          <w:jc w:val="center"/>
        </w:trPr>
        <w:tc>
          <w:tcPr>
            <w:tcW w:w="1271" w:type="dxa"/>
            <w:tcBorders>
              <w:top w:val="single" w:sz="4" w:space="0" w:color="auto"/>
              <w:left w:val="single" w:sz="4" w:space="0" w:color="auto"/>
              <w:bottom w:val="single" w:sz="4" w:space="0" w:color="auto"/>
              <w:right w:val="single" w:sz="4" w:space="0" w:color="auto"/>
            </w:tcBorders>
            <w:vAlign w:val="center"/>
          </w:tcPr>
          <w:p w14:paraId="37A6096D" w14:textId="0AC7116D" w:rsidR="00351053" w:rsidRPr="00703A0B" w:rsidRDefault="00351053" w:rsidP="00351053">
            <w:pPr>
              <w:contextualSpacing/>
              <w:rPr>
                <w:rFonts w:cs="Arial"/>
                <w:szCs w:val="22"/>
              </w:rPr>
            </w:pPr>
            <w:r w:rsidRPr="00703A0B">
              <w:rPr>
                <w:szCs w:val="22"/>
              </w:rPr>
              <w:t>Deputy Member</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77C45929" w14:textId="00AAA620" w:rsidR="00351053" w:rsidRPr="00703A0B" w:rsidRDefault="00351053" w:rsidP="00351053">
            <w:pPr>
              <w:contextualSpacing/>
              <w:rPr>
                <w:rFonts w:cs="Arial"/>
                <w:szCs w:val="22"/>
                <w:highlight w:val="yellow"/>
              </w:rPr>
            </w:pPr>
            <w:r w:rsidRPr="00703A0B">
              <w:rPr>
                <w:szCs w:val="22"/>
              </w:rPr>
              <w:t>Christopher McKenzie</w:t>
            </w:r>
          </w:p>
        </w:tc>
        <w:tc>
          <w:tcPr>
            <w:tcW w:w="1417" w:type="dxa"/>
            <w:tcBorders>
              <w:top w:val="single" w:sz="4" w:space="0" w:color="auto"/>
              <w:left w:val="single" w:sz="4" w:space="0" w:color="auto"/>
              <w:bottom w:val="single" w:sz="4" w:space="0" w:color="auto"/>
              <w:right w:val="single" w:sz="4" w:space="0" w:color="auto"/>
            </w:tcBorders>
          </w:tcPr>
          <w:p w14:paraId="429D6D6F" w14:textId="773DE6B7" w:rsidR="00351053" w:rsidRPr="00703A0B" w:rsidRDefault="003E701F" w:rsidP="00351053">
            <w:pPr>
              <w:contextualSpacing/>
              <w:rPr>
                <w:rFonts w:cs="Arial"/>
                <w:szCs w:val="22"/>
              </w:rPr>
            </w:pPr>
            <w:r w:rsidRPr="00703A0B">
              <w:rPr>
                <w:rFonts w:cs="Arial"/>
                <w:bCs/>
                <w:szCs w:val="22"/>
              </w:rPr>
              <w:t>1</w:t>
            </w:r>
          </w:p>
        </w:tc>
        <w:tc>
          <w:tcPr>
            <w:tcW w:w="1985" w:type="dxa"/>
            <w:tcBorders>
              <w:top w:val="single" w:sz="4" w:space="0" w:color="auto"/>
              <w:left w:val="single" w:sz="4" w:space="0" w:color="auto"/>
              <w:bottom w:val="single" w:sz="4" w:space="0" w:color="auto"/>
              <w:right w:val="single" w:sz="4" w:space="0" w:color="auto"/>
            </w:tcBorders>
          </w:tcPr>
          <w:p w14:paraId="2C7C18C3" w14:textId="1CC9028D" w:rsidR="00351053" w:rsidRPr="00703A0B" w:rsidRDefault="009D152D" w:rsidP="00351053">
            <w:pPr>
              <w:contextualSpacing/>
              <w:rPr>
                <w:rFonts w:cs="Arial"/>
                <w:szCs w:val="22"/>
              </w:rPr>
            </w:pPr>
            <w:r w:rsidRPr="00703A0B">
              <w:rPr>
                <w:rFonts w:cs="Arial"/>
                <w:bCs/>
                <w:szCs w:val="22"/>
              </w:rPr>
              <w:t>n/a</w:t>
            </w:r>
          </w:p>
        </w:tc>
        <w:tc>
          <w:tcPr>
            <w:tcW w:w="1701" w:type="dxa"/>
            <w:tcBorders>
              <w:top w:val="single" w:sz="4" w:space="0" w:color="auto"/>
              <w:left w:val="single" w:sz="4" w:space="0" w:color="auto"/>
              <w:bottom w:val="single" w:sz="4" w:space="0" w:color="auto"/>
              <w:right w:val="single" w:sz="4" w:space="0" w:color="auto"/>
            </w:tcBorders>
          </w:tcPr>
          <w:p w14:paraId="2FCEB7B9" w14:textId="6673AFAA" w:rsidR="00351053" w:rsidRPr="00703A0B" w:rsidRDefault="009D152D" w:rsidP="00351053">
            <w:pPr>
              <w:contextualSpacing/>
              <w:rPr>
                <w:rFonts w:cs="Arial"/>
                <w:szCs w:val="22"/>
              </w:rPr>
            </w:pPr>
            <w:r w:rsidRPr="00703A0B">
              <w:rPr>
                <w:rFonts w:cs="Arial"/>
                <w:bCs/>
                <w:szCs w:val="22"/>
              </w:rPr>
              <w:t>n/a</w:t>
            </w:r>
          </w:p>
        </w:tc>
        <w:tc>
          <w:tcPr>
            <w:tcW w:w="1989" w:type="dxa"/>
            <w:tcBorders>
              <w:top w:val="single" w:sz="4" w:space="0" w:color="auto"/>
              <w:left w:val="single" w:sz="4" w:space="0" w:color="auto"/>
              <w:bottom w:val="single" w:sz="4" w:space="0" w:color="auto"/>
              <w:right w:val="single" w:sz="4" w:space="0" w:color="auto"/>
            </w:tcBorders>
          </w:tcPr>
          <w:p w14:paraId="286B079B" w14:textId="02897879" w:rsidR="00351053" w:rsidRPr="00703A0B" w:rsidRDefault="00FD3840" w:rsidP="00351053">
            <w:pPr>
              <w:contextualSpacing/>
              <w:rPr>
                <w:rFonts w:cs="Arial"/>
                <w:szCs w:val="22"/>
              </w:rPr>
            </w:pPr>
            <w:r w:rsidRPr="00703A0B">
              <w:rPr>
                <w:rFonts w:cs="Arial"/>
                <w:bCs/>
                <w:szCs w:val="22"/>
              </w:rPr>
              <w:t>nil</w:t>
            </w:r>
          </w:p>
        </w:tc>
      </w:tr>
      <w:tr w:rsidR="00351053" w:rsidRPr="00703A0B" w14:paraId="56AD917F" w14:textId="77777777" w:rsidTr="00351053">
        <w:trPr>
          <w:jc w:val="center"/>
        </w:trPr>
        <w:tc>
          <w:tcPr>
            <w:tcW w:w="1271" w:type="dxa"/>
            <w:tcBorders>
              <w:top w:val="single" w:sz="4" w:space="0" w:color="auto"/>
              <w:left w:val="single" w:sz="4" w:space="0" w:color="auto"/>
              <w:bottom w:val="single" w:sz="4" w:space="0" w:color="auto"/>
              <w:right w:val="single" w:sz="4" w:space="0" w:color="auto"/>
            </w:tcBorders>
            <w:vAlign w:val="center"/>
          </w:tcPr>
          <w:p w14:paraId="71E05FFA" w14:textId="0996BF86" w:rsidR="00351053" w:rsidRPr="00703A0B" w:rsidRDefault="00351053" w:rsidP="00351053">
            <w:pPr>
              <w:contextualSpacing/>
              <w:rPr>
                <w:rFonts w:cs="Arial"/>
                <w:szCs w:val="22"/>
              </w:rPr>
            </w:pPr>
            <w:r w:rsidRPr="00703A0B">
              <w:rPr>
                <w:szCs w:val="22"/>
              </w:rPr>
              <w:t>Deputy Member</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47CEFD78" w14:textId="3F880B9C" w:rsidR="00351053" w:rsidRPr="00703A0B" w:rsidRDefault="00351053" w:rsidP="00351053">
            <w:pPr>
              <w:contextualSpacing/>
              <w:rPr>
                <w:rFonts w:cs="Arial"/>
                <w:szCs w:val="22"/>
                <w:highlight w:val="yellow"/>
              </w:rPr>
            </w:pPr>
            <w:r w:rsidRPr="00703A0B">
              <w:rPr>
                <w:szCs w:val="22"/>
              </w:rPr>
              <w:t>Kent Vickers</w:t>
            </w:r>
          </w:p>
        </w:tc>
        <w:tc>
          <w:tcPr>
            <w:tcW w:w="1417" w:type="dxa"/>
            <w:tcBorders>
              <w:top w:val="single" w:sz="4" w:space="0" w:color="auto"/>
              <w:left w:val="single" w:sz="4" w:space="0" w:color="auto"/>
              <w:bottom w:val="single" w:sz="4" w:space="0" w:color="auto"/>
              <w:right w:val="single" w:sz="4" w:space="0" w:color="auto"/>
            </w:tcBorders>
          </w:tcPr>
          <w:p w14:paraId="6ADEC3FA" w14:textId="1F6ADE11" w:rsidR="00351053" w:rsidRPr="00703A0B" w:rsidRDefault="00083343" w:rsidP="00351053">
            <w:pPr>
              <w:contextualSpacing/>
              <w:rPr>
                <w:rFonts w:cs="Arial"/>
                <w:szCs w:val="22"/>
              </w:rPr>
            </w:pPr>
            <w:r w:rsidRPr="00703A0B">
              <w:rPr>
                <w:rFonts w:cs="Arial"/>
                <w:bCs/>
                <w:szCs w:val="22"/>
              </w:rPr>
              <w:t>0</w:t>
            </w:r>
          </w:p>
        </w:tc>
        <w:tc>
          <w:tcPr>
            <w:tcW w:w="1985" w:type="dxa"/>
            <w:tcBorders>
              <w:top w:val="single" w:sz="4" w:space="0" w:color="auto"/>
              <w:left w:val="single" w:sz="4" w:space="0" w:color="auto"/>
              <w:bottom w:val="single" w:sz="4" w:space="0" w:color="auto"/>
              <w:right w:val="single" w:sz="4" w:space="0" w:color="auto"/>
            </w:tcBorders>
          </w:tcPr>
          <w:p w14:paraId="7F11306C" w14:textId="61D5ED71" w:rsidR="00351053" w:rsidRPr="00703A0B" w:rsidRDefault="009D152D" w:rsidP="00351053">
            <w:pPr>
              <w:contextualSpacing/>
              <w:rPr>
                <w:rFonts w:cs="Arial"/>
                <w:szCs w:val="22"/>
              </w:rPr>
            </w:pPr>
            <w:r w:rsidRPr="00703A0B">
              <w:rPr>
                <w:rFonts w:cs="Arial"/>
                <w:bCs/>
                <w:szCs w:val="22"/>
              </w:rPr>
              <w:t>n/a</w:t>
            </w:r>
          </w:p>
        </w:tc>
        <w:tc>
          <w:tcPr>
            <w:tcW w:w="1701" w:type="dxa"/>
            <w:tcBorders>
              <w:top w:val="single" w:sz="4" w:space="0" w:color="auto"/>
              <w:left w:val="single" w:sz="4" w:space="0" w:color="auto"/>
              <w:bottom w:val="single" w:sz="4" w:space="0" w:color="auto"/>
              <w:right w:val="single" w:sz="4" w:space="0" w:color="auto"/>
            </w:tcBorders>
          </w:tcPr>
          <w:p w14:paraId="517BA0EF" w14:textId="6702FBE3" w:rsidR="00351053" w:rsidRPr="00703A0B" w:rsidRDefault="009D152D" w:rsidP="00351053">
            <w:pPr>
              <w:contextualSpacing/>
              <w:rPr>
                <w:rFonts w:cs="Arial"/>
                <w:szCs w:val="22"/>
              </w:rPr>
            </w:pPr>
            <w:r w:rsidRPr="00703A0B">
              <w:rPr>
                <w:rFonts w:cs="Arial"/>
                <w:bCs/>
                <w:szCs w:val="22"/>
              </w:rPr>
              <w:t>n/a</w:t>
            </w:r>
          </w:p>
        </w:tc>
        <w:tc>
          <w:tcPr>
            <w:tcW w:w="1989" w:type="dxa"/>
            <w:tcBorders>
              <w:top w:val="single" w:sz="4" w:space="0" w:color="auto"/>
              <w:left w:val="single" w:sz="4" w:space="0" w:color="auto"/>
              <w:bottom w:val="single" w:sz="4" w:space="0" w:color="auto"/>
              <w:right w:val="single" w:sz="4" w:space="0" w:color="auto"/>
            </w:tcBorders>
          </w:tcPr>
          <w:p w14:paraId="0ED9DADA" w14:textId="6EDF7CB7" w:rsidR="00351053" w:rsidRPr="00703A0B" w:rsidRDefault="00FD3840" w:rsidP="00351053">
            <w:pPr>
              <w:contextualSpacing/>
              <w:rPr>
                <w:rFonts w:cs="Arial"/>
                <w:szCs w:val="22"/>
              </w:rPr>
            </w:pPr>
            <w:r w:rsidRPr="00703A0B">
              <w:rPr>
                <w:rFonts w:cs="Arial"/>
                <w:bCs/>
                <w:szCs w:val="22"/>
              </w:rPr>
              <w:t>nil</w:t>
            </w:r>
          </w:p>
        </w:tc>
      </w:tr>
      <w:tr w:rsidR="005823CE" w:rsidRPr="00703A0B" w14:paraId="3D89B084" w14:textId="77777777" w:rsidTr="00351053">
        <w:trPr>
          <w:jc w:val="center"/>
        </w:trPr>
        <w:tc>
          <w:tcPr>
            <w:tcW w:w="1271" w:type="dxa"/>
            <w:tcBorders>
              <w:top w:val="single" w:sz="4" w:space="0" w:color="auto"/>
              <w:left w:val="single" w:sz="4" w:space="0" w:color="auto"/>
              <w:bottom w:val="single" w:sz="4" w:space="0" w:color="auto"/>
              <w:right w:val="single" w:sz="4" w:space="0" w:color="auto"/>
            </w:tcBorders>
            <w:vAlign w:val="center"/>
          </w:tcPr>
          <w:p w14:paraId="3F9361CC" w14:textId="164427C5" w:rsidR="005823CE" w:rsidRPr="00703A0B" w:rsidRDefault="003C0415" w:rsidP="005823CE">
            <w:pPr>
              <w:contextualSpacing/>
              <w:rPr>
                <w:szCs w:val="22"/>
              </w:rPr>
            </w:pPr>
            <w:r w:rsidRPr="00703A0B">
              <w:rPr>
                <w:szCs w:val="22"/>
              </w:rPr>
              <w:t xml:space="preserve">Former </w:t>
            </w:r>
            <w:r w:rsidR="005823CE" w:rsidRPr="00703A0B">
              <w:rPr>
                <w:szCs w:val="22"/>
              </w:rPr>
              <w:t>Deputy Member</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08BE9910" w14:textId="77777777" w:rsidR="005823CE" w:rsidRPr="00703A0B" w:rsidRDefault="005823CE" w:rsidP="005823CE">
            <w:pPr>
              <w:contextualSpacing/>
              <w:rPr>
                <w:szCs w:val="22"/>
              </w:rPr>
            </w:pPr>
            <w:r w:rsidRPr="00703A0B">
              <w:rPr>
                <w:szCs w:val="22"/>
              </w:rPr>
              <w:t>Justin Maxwell</w:t>
            </w:r>
          </w:p>
          <w:p w14:paraId="141B9CBD" w14:textId="13029FAE" w:rsidR="005823CE" w:rsidRPr="00703A0B" w:rsidRDefault="005823CE" w:rsidP="005823CE">
            <w:pPr>
              <w:contextualSpacing/>
              <w:rPr>
                <w:szCs w:val="22"/>
              </w:rPr>
            </w:pPr>
            <w:r w:rsidRPr="00703A0B">
              <w:rPr>
                <w:i/>
                <w:iCs/>
                <w:szCs w:val="22"/>
              </w:rPr>
              <w:t xml:space="preserve">(1 July 2025 </w:t>
            </w:r>
            <w:r w:rsidRPr="00703A0B">
              <w:rPr>
                <w:rFonts w:cs="Arial"/>
                <w:i/>
                <w:iCs/>
                <w:szCs w:val="22"/>
              </w:rPr>
              <w:t>–</w:t>
            </w:r>
            <w:r w:rsidRPr="00703A0B">
              <w:rPr>
                <w:i/>
                <w:iCs/>
                <w:szCs w:val="22"/>
              </w:rPr>
              <w:t xml:space="preserve"> 16 January 2026)</w:t>
            </w:r>
          </w:p>
        </w:tc>
        <w:tc>
          <w:tcPr>
            <w:tcW w:w="1417" w:type="dxa"/>
            <w:tcBorders>
              <w:top w:val="single" w:sz="4" w:space="0" w:color="auto"/>
              <w:left w:val="single" w:sz="4" w:space="0" w:color="auto"/>
              <w:bottom w:val="single" w:sz="4" w:space="0" w:color="auto"/>
              <w:right w:val="single" w:sz="4" w:space="0" w:color="auto"/>
            </w:tcBorders>
          </w:tcPr>
          <w:p w14:paraId="0258B909" w14:textId="66B497C5" w:rsidR="005823CE" w:rsidRPr="00703A0B" w:rsidRDefault="005823CE" w:rsidP="005823CE">
            <w:pPr>
              <w:contextualSpacing/>
              <w:rPr>
                <w:rFonts w:cs="Arial"/>
                <w:bCs/>
                <w:szCs w:val="22"/>
              </w:rPr>
            </w:pPr>
            <w:r w:rsidRPr="00703A0B">
              <w:rPr>
                <w:rFonts w:cs="Arial"/>
                <w:bCs/>
                <w:szCs w:val="22"/>
              </w:rPr>
              <w:t>1</w:t>
            </w:r>
          </w:p>
        </w:tc>
        <w:tc>
          <w:tcPr>
            <w:tcW w:w="1985" w:type="dxa"/>
            <w:tcBorders>
              <w:top w:val="single" w:sz="4" w:space="0" w:color="auto"/>
              <w:left w:val="single" w:sz="4" w:space="0" w:color="auto"/>
              <w:bottom w:val="single" w:sz="4" w:space="0" w:color="auto"/>
              <w:right w:val="single" w:sz="4" w:space="0" w:color="auto"/>
            </w:tcBorders>
          </w:tcPr>
          <w:p w14:paraId="20BF2E7E" w14:textId="392F5E4C" w:rsidR="005823CE" w:rsidRPr="00703A0B" w:rsidRDefault="005823CE" w:rsidP="005823CE">
            <w:pPr>
              <w:contextualSpacing/>
              <w:rPr>
                <w:rFonts w:cs="Arial"/>
                <w:bCs/>
                <w:szCs w:val="22"/>
              </w:rPr>
            </w:pPr>
            <w:r w:rsidRPr="00703A0B">
              <w:rPr>
                <w:rFonts w:cs="Arial"/>
                <w:bCs/>
                <w:szCs w:val="22"/>
              </w:rPr>
              <w:t>n/a</w:t>
            </w:r>
          </w:p>
        </w:tc>
        <w:tc>
          <w:tcPr>
            <w:tcW w:w="1701" w:type="dxa"/>
            <w:tcBorders>
              <w:top w:val="single" w:sz="4" w:space="0" w:color="auto"/>
              <w:left w:val="single" w:sz="4" w:space="0" w:color="auto"/>
              <w:bottom w:val="single" w:sz="4" w:space="0" w:color="auto"/>
              <w:right w:val="single" w:sz="4" w:space="0" w:color="auto"/>
            </w:tcBorders>
          </w:tcPr>
          <w:p w14:paraId="61674F4C" w14:textId="69415B81" w:rsidR="005823CE" w:rsidRPr="00703A0B" w:rsidRDefault="005823CE" w:rsidP="005823CE">
            <w:pPr>
              <w:contextualSpacing/>
              <w:rPr>
                <w:rFonts w:cs="Arial"/>
                <w:bCs/>
                <w:szCs w:val="22"/>
              </w:rPr>
            </w:pPr>
            <w:r w:rsidRPr="00703A0B">
              <w:rPr>
                <w:rFonts w:cs="Arial"/>
                <w:bCs/>
                <w:szCs w:val="22"/>
              </w:rPr>
              <w:t>n/a</w:t>
            </w:r>
          </w:p>
        </w:tc>
        <w:tc>
          <w:tcPr>
            <w:tcW w:w="1989" w:type="dxa"/>
            <w:tcBorders>
              <w:top w:val="single" w:sz="4" w:space="0" w:color="auto"/>
              <w:left w:val="single" w:sz="4" w:space="0" w:color="auto"/>
              <w:bottom w:val="single" w:sz="4" w:space="0" w:color="auto"/>
              <w:right w:val="single" w:sz="4" w:space="0" w:color="auto"/>
            </w:tcBorders>
          </w:tcPr>
          <w:p w14:paraId="5359F7F1" w14:textId="0EC0729F" w:rsidR="005823CE" w:rsidRPr="00703A0B" w:rsidRDefault="00FD3840" w:rsidP="005823CE">
            <w:pPr>
              <w:contextualSpacing/>
              <w:rPr>
                <w:rFonts w:cs="Arial"/>
                <w:bCs/>
                <w:szCs w:val="22"/>
                <w:highlight w:val="yellow"/>
              </w:rPr>
            </w:pPr>
            <w:r w:rsidRPr="00703A0B">
              <w:rPr>
                <w:rFonts w:cs="Arial"/>
                <w:bCs/>
                <w:szCs w:val="22"/>
              </w:rPr>
              <w:t>nil</w:t>
            </w:r>
          </w:p>
        </w:tc>
      </w:tr>
      <w:tr w:rsidR="00B76F2C" w:rsidRPr="00703A0B" w14:paraId="4D033782" w14:textId="77777777" w:rsidTr="7B3F2B7B">
        <w:trPr>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14:paraId="7F23A775" w14:textId="77777777" w:rsidR="00B76F2C" w:rsidRPr="00703A0B" w:rsidRDefault="00B76F2C">
            <w:pPr>
              <w:contextualSpacing/>
              <w:rPr>
                <w:rFonts w:cs="Arial"/>
                <w:szCs w:val="22"/>
              </w:rPr>
            </w:pPr>
            <w:r w:rsidRPr="00703A0B" w:rsidDel="00143937">
              <w:rPr>
                <w:rFonts w:cs="Arial"/>
                <w:szCs w:val="22"/>
              </w:rPr>
              <w:t xml:space="preserve">No. </w:t>
            </w:r>
            <w:r w:rsidRPr="00703A0B">
              <w:rPr>
                <w:rFonts w:cs="Arial"/>
                <w:szCs w:val="22"/>
              </w:rPr>
              <w:t>of scheduled meetings/sessions</w:t>
            </w:r>
          </w:p>
        </w:tc>
        <w:tc>
          <w:tcPr>
            <w:tcW w:w="8935" w:type="dxa"/>
            <w:gridSpan w:val="6"/>
            <w:tcBorders>
              <w:top w:val="single" w:sz="4" w:space="0" w:color="auto"/>
              <w:left w:val="single" w:sz="4" w:space="0" w:color="auto"/>
              <w:bottom w:val="single" w:sz="4" w:space="0" w:color="auto"/>
              <w:right w:val="single" w:sz="4" w:space="0" w:color="auto"/>
            </w:tcBorders>
            <w:vAlign w:val="center"/>
            <w:hideMark/>
          </w:tcPr>
          <w:p w14:paraId="519C8098" w14:textId="62029B14" w:rsidR="002205D7" w:rsidRPr="00703A0B" w:rsidRDefault="002205D7" w:rsidP="002205D7">
            <w:pPr>
              <w:contextualSpacing/>
              <w:rPr>
                <w:rFonts w:cs="Arial"/>
                <w:szCs w:val="22"/>
              </w:rPr>
            </w:pPr>
            <w:r w:rsidRPr="00703A0B">
              <w:rPr>
                <w:rFonts w:cs="Arial"/>
                <w:szCs w:val="22"/>
              </w:rPr>
              <w:t xml:space="preserve">STC: </w:t>
            </w:r>
            <w:r w:rsidR="005C2C9F" w:rsidRPr="00703A0B">
              <w:rPr>
                <w:rFonts w:cs="Arial"/>
                <w:szCs w:val="22"/>
              </w:rPr>
              <w:t>6</w:t>
            </w:r>
          </w:p>
          <w:p w14:paraId="7BFE29F9" w14:textId="5D940158" w:rsidR="002205D7" w:rsidRPr="00703A0B" w:rsidRDefault="002205D7" w:rsidP="002205D7">
            <w:pPr>
              <w:contextualSpacing/>
              <w:rPr>
                <w:rFonts w:cs="Arial"/>
                <w:szCs w:val="22"/>
              </w:rPr>
            </w:pPr>
            <w:r w:rsidRPr="00703A0B">
              <w:rPr>
                <w:rFonts w:cs="Arial"/>
                <w:szCs w:val="22"/>
              </w:rPr>
              <w:t>S</w:t>
            </w:r>
            <w:r w:rsidR="00A61001" w:rsidRPr="00703A0B">
              <w:rPr>
                <w:rFonts w:cs="Arial"/>
                <w:szCs w:val="22"/>
              </w:rPr>
              <w:t>ervice Trades Licensing Advisory Panel</w:t>
            </w:r>
            <w:r w:rsidRPr="00703A0B">
              <w:rPr>
                <w:rFonts w:cs="Arial"/>
                <w:szCs w:val="22"/>
              </w:rPr>
              <w:t xml:space="preserve">: </w:t>
            </w:r>
            <w:r w:rsidR="000A6DEF" w:rsidRPr="00703A0B">
              <w:rPr>
                <w:rFonts w:cs="Arial"/>
                <w:szCs w:val="22"/>
              </w:rPr>
              <w:t>3</w:t>
            </w:r>
          </w:p>
          <w:p w14:paraId="7440FB6C" w14:textId="438DC460" w:rsidR="00B76F2C" w:rsidRPr="00703A0B" w:rsidRDefault="002205D7">
            <w:pPr>
              <w:contextualSpacing/>
              <w:rPr>
                <w:rFonts w:cs="Arial"/>
                <w:szCs w:val="22"/>
              </w:rPr>
            </w:pPr>
            <w:r w:rsidRPr="00703A0B">
              <w:rPr>
                <w:rFonts w:cs="Arial"/>
                <w:szCs w:val="22"/>
              </w:rPr>
              <w:t>N</w:t>
            </w:r>
            <w:r w:rsidR="00A61001" w:rsidRPr="00703A0B">
              <w:rPr>
                <w:rFonts w:cs="Arial"/>
                <w:szCs w:val="22"/>
              </w:rPr>
              <w:t xml:space="preserve">otifiable </w:t>
            </w:r>
            <w:r w:rsidRPr="00703A0B">
              <w:rPr>
                <w:rFonts w:cs="Arial"/>
                <w:szCs w:val="22"/>
              </w:rPr>
              <w:t>W</w:t>
            </w:r>
            <w:r w:rsidR="00A61001" w:rsidRPr="00703A0B">
              <w:rPr>
                <w:rFonts w:cs="Arial"/>
                <w:szCs w:val="22"/>
              </w:rPr>
              <w:t xml:space="preserve">ork </w:t>
            </w:r>
            <w:r w:rsidRPr="00703A0B">
              <w:rPr>
                <w:rFonts w:cs="Arial"/>
                <w:szCs w:val="22"/>
              </w:rPr>
              <w:t>P</w:t>
            </w:r>
            <w:r w:rsidR="00A61001" w:rsidRPr="00703A0B">
              <w:rPr>
                <w:rFonts w:cs="Arial"/>
                <w:szCs w:val="22"/>
              </w:rPr>
              <w:t>anel</w:t>
            </w:r>
            <w:r w:rsidRPr="00703A0B">
              <w:rPr>
                <w:rFonts w:cs="Arial"/>
                <w:szCs w:val="22"/>
              </w:rPr>
              <w:t>:</w:t>
            </w:r>
            <w:r w:rsidR="003070E8" w:rsidRPr="00703A0B">
              <w:rPr>
                <w:rFonts w:cs="Arial"/>
                <w:szCs w:val="22"/>
              </w:rPr>
              <w:t xml:space="preserve"> </w:t>
            </w:r>
            <w:r w:rsidR="000A6DEF" w:rsidRPr="00703A0B">
              <w:rPr>
                <w:rFonts w:cs="Arial"/>
                <w:szCs w:val="22"/>
              </w:rPr>
              <w:t>3</w:t>
            </w:r>
          </w:p>
          <w:p w14:paraId="7BFA5105" w14:textId="77777777" w:rsidR="00B76F2C" w:rsidRPr="00703A0B" w:rsidRDefault="00B76F2C">
            <w:pPr>
              <w:contextualSpacing/>
              <w:rPr>
                <w:rFonts w:cs="Arial"/>
                <w:szCs w:val="22"/>
              </w:rPr>
            </w:pPr>
          </w:p>
        </w:tc>
      </w:tr>
      <w:tr w:rsidR="00B76F2C" w:rsidRPr="00703A0B" w14:paraId="658A4AF9" w14:textId="77777777" w:rsidTr="7B3F2B7B">
        <w:trPr>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14:paraId="0F755876" w14:textId="703C929E" w:rsidR="00B76F2C" w:rsidRPr="00703A0B" w:rsidRDefault="00B76F2C">
            <w:pPr>
              <w:contextualSpacing/>
              <w:rPr>
                <w:rFonts w:cs="Arial"/>
                <w:i/>
                <w:szCs w:val="22"/>
                <w:highlight w:val="yellow"/>
              </w:rPr>
            </w:pPr>
            <w:r w:rsidRPr="00703A0B">
              <w:rPr>
                <w:rFonts w:cs="Arial"/>
                <w:szCs w:val="22"/>
              </w:rPr>
              <w:t>Total out of pocket expenses</w:t>
            </w:r>
          </w:p>
        </w:tc>
        <w:tc>
          <w:tcPr>
            <w:tcW w:w="8935" w:type="dxa"/>
            <w:gridSpan w:val="6"/>
            <w:tcBorders>
              <w:top w:val="single" w:sz="4" w:space="0" w:color="auto"/>
              <w:left w:val="single" w:sz="4" w:space="0" w:color="auto"/>
              <w:bottom w:val="single" w:sz="4" w:space="0" w:color="auto"/>
              <w:right w:val="single" w:sz="4" w:space="0" w:color="auto"/>
            </w:tcBorders>
            <w:vAlign w:val="center"/>
          </w:tcPr>
          <w:p w14:paraId="01EB3BB3" w14:textId="009F8437" w:rsidR="00F515C7" w:rsidRPr="00703A0B" w:rsidRDefault="00F515C7" w:rsidP="7B3F2B7B">
            <w:pPr>
              <w:contextualSpacing/>
            </w:pPr>
          </w:p>
          <w:p w14:paraId="23CF5F5D" w14:textId="0DD47169" w:rsidR="00B76F2C" w:rsidRPr="00703A0B" w:rsidRDefault="00E94B3E" w:rsidP="7B3F2B7B">
            <w:pPr>
              <w:contextualSpacing/>
              <w:rPr>
                <w:rFonts w:cs="Arial"/>
              </w:rPr>
            </w:pPr>
            <w:r w:rsidRPr="00703A0B">
              <w:rPr>
                <w:rFonts w:cs="Arial"/>
              </w:rPr>
              <w:t>$0</w:t>
            </w:r>
            <w:r w:rsidR="00B76F2C" w:rsidRPr="00703A0B">
              <w:t>. Other operational costs totalled $</w:t>
            </w:r>
            <w:r w:rsidR="00306DDA" w:rsidRPr="00703A0B">
              <w:t>24,772.88</w:t>
            </w:r>
            <w:r w:rsidR="00B76F2C" w:rsidRPr="00703A0B">
              <w:rPr>
                <w:rFonts w:cs="Arial"/>
              </w:rPr>
              <w:t xml:space="preserve"> </w:t>
            </w:r>
          </w:p>
        </w:tc>
      </w:tr>
    </w:tbl>
    <w:p w14:paraId="4DFA3A86" w14:textId="77777777" w:rsidR="00EC0EBF" w:rsidRPr="00703A0B" w:rsidRDefault="00EC0EBF" w:rsidP="00E63609">
      <w:bookmarkStart w:id="165" w:name="_Senior_Leadership_Team"/>
      <w:bookmarkStart w:id="166" w:name="_Advisory_panels"/>
      <w:bookmarkEnd w:id="165"/>
      <w:bookmarkEnd w:id="166"/>
    </w:p>
    <w:p w14:paraId="14C90A99" w14:textId="77777777" w:rsidR="00EC0EBF" w:rsidRPr="00703A0B" w:rsidRDefault="00EC0EBF">
      <w:pPr>
        <w:rPr>
          <w:rFonts w:eastAsiaTheme="majorEastAsia" w:cstheme="majorBidi"/>
          <w:b/>
          <w:iCs/>
        </w:rPr>
      </w:pPr>
      <w:r w:rsidRPr="00703A0B">
        <w:br w:type="page"/>
      </w:r>
    </w:p>
    <w:p w14:paraId="3343833F" w14:textId="13A3FA61" w:rsidR="00F9295A" w:rsidRPr="00703A0B" w:rsidRDefault="00F9295A" w:rsidP="0088575E">
      <w:pPr>
        <w:pStyle w:val="Heading4"/>
      </w:pPr>
      <w:r w:rsidRPr="00703A0B">
        <w:lastRenderedPageBreak/>
        <w:t>Advisory panels</w:t>
      </w:r>
    </w:p>
    <w:p w14:paraId="2031D709" w14:textId="70D0EEA1" w:rsidR="00F9295A" w:rsidRPr="00703A0B" w:rsidRDefault="00F9295A" w:rsidP="00985CDF">
      <w:pPr>
        <w:spacing w:before="120" w:after="120"/>
        <w:rPr>
          <w:rFonts w:cs="Arial"/>
        </w:rPr>
      </w:pPr>
      <w:r w:rsidRPr="00703A0B">
        <w:rPr>
          <w:rFonts w:cs="Arial"/>
          <w:szCs w:val="22"/>
        </w:rPr>
        <w:t xml:space="preserve">The STC </w:t>
      </w:r>
      <w:r w:rsidR="00997A23" w:rsidRPr="00703A0B">
        <w:rPr>
          <w:rFonts w:cs="Arial"/>
          <w:szCs w:val="22"/>
        </w:rPr>
        <w:t xml:space="preserve">is supported by </w:t>
      </w:r>
      <w:r w:rsidRPr="00703A0B">
        <w:rPr>
          <w:rFonts w:cs="Arial"/>
          <w:szCs w:val="22"/>
        </w:rPr>
        <w:t xml:space="preserve">two advisory panels </w:t>
      </w:r>
      <w:r w:rsidR="00997A23" w:rsidRPr="00703A0B">
        <w:rPr>
          <w:rFonts w:cs="Arial"/>
          <w:szCs w:val="22"/>
        </w:rPr>
        <w:t xml:space="preserve">established </w:t>
      </w:r>
      <w:r w:rsidRPr="00703A0B">
        <w:rPr>
          <w:rFonts w:cs="Arial"/>
          <w:szCs w:val="22"/>
        </w:rPr>
        <w:t xml:space="preserve">under the PD Act </w:t>
      </w:r>
      <w:r w:rsidR="00294CEF" w:rsidRPr="00703A0B">
        <w:rPr>
          <w:rFonts w:cs="Arial"/>
          <w:szCs w:val="22"/>
        </w:rPr>
        <w:t xml:space="preserve">that </w:t>
      </w:r>
      <w:r w:rsidR="00997A23" w:rsidRPr="00703A0B">
        <w:rPr>
          <w:rFonts w:cs="Arial"/>
          <w:szCs w:val="22"/>
        </w:rPr>
        <w:t>provide</w:t>
      </w:r>
      <w:r w:rsidRPr="00703A0B">
        <w:rPr>
          <w:rFonts w:cs="Arial"/>
          <w:szCs w:val="22"/>
        </w:rPr>
        <w:t xml:space="preserve"> expert guidance and </w:t>
      </w:r>
      <w:r w:rsidR="0045766C" w:rsidRPr="00703A0B">
        <w:rPr>
          <w:rFonts w:cs="Arial"/>
          <w:szCs w:val="22"/>
        </w:rPr>
        <w:t>support to</w:t>
      </w:r>
      <w:r w:rsidRPr="00703A0B">
        <w:rPr>
          <w:rFonts w:cs="Arial"/>
          <w:szCs w:val="22"/>
        </w:rPr>
        <w:t xml:space="preserve"> strengthen regulatory outcomes </w:t>
      </w:r>
      <w:r w:rsidR="00E61694" w:rsidRPr="00703A0B">
        <w:rPr>
          <w:rFonts w:cs="Arial"/>
          <w:szCs w:val="22"/>
        </w:rPr>
        <w:t>across</w:t>
      </w:r>
      <w:r w:rsidRPr="00703A0B">
        <w:rPr>
          <w:rFonts w:cs="Arial"/>
          <w:szCs w:val="22"/>
        </w:rPr>
        <w:t xml:space="preserve"> the plumbing and drainage trades.</w:t>
      </w:r>
      <w:r w:rsidR="00F35342" w:rsidRPr="00703A0B">
        <w:rPr>
          <w:rFonts w:cs="Arial"/>
          <w:szCs w:val="22"/>
        </w:rPr>
        <w:t xml:space="preserve"> </w:t>
      </w:r>
      <w:r w:rsidR="00CC3FDF" w:rsidRPr="00703A0B">
        <w:rPr>
          <w:rFonts w:cs="Arial"/>
          <w:szCs w:val="22"/>
        </w:rPr>
        <w:fldChar w:fldCharType="begin"/>
      </w:r>
      <w:r w:rsidR="00CC3FDF" w:rsidRPr="00703A0B">
        <w:rPr>
          <w:rFonts w:cs="Arial"/>
          <w:szCs w:val="22"/>
        </w:rPr>
        <w:instrText xml:space="preserve"> REF _Ref232674079 \h </w:instrText>
      </w:r>
      <w:r w:rsidR="00CC3FDF" w:rsidRPr="00703A0B">
        <w:rPr>
          <w:rFonts w:cs="Arial"/>
          <w:szCs w:val="22"/>
        </w:rPr>
      </w:r>
      <w:r w:rsidR="00CC3FDF" w:rsidRPr="00703A0B">
        <w:rPr>
          <w:rFonts w:cs="Arial"/>
          <w:szCs w:val="22"/>
        </w:rPr>
        <w:fldChar w:fldCharType="separate"/>
      </w:r>
      <w:r w:rsidR="00712377" w:rsidRPr="00703A0B">
        <w:t xml:space="preserve">Table </w:t>
      </w:r>
      <w:r w:rsidR="00712377" w:rsidRPr="00F80E1E">
        <w:t>24</w:t>
      </w:r>
      <w:r w:rsidR="00CC3FDF" w:rsidRPr="00703A0B">
        <w:rPr>
          <w:rFonts w:cs="Arial"/>
          <w:szCs w:val="22"/>
        </w:rPr>
        <w:fldChar w:fldCharType="end"/>
      </w:r>
      <w:r w:rsidR="002F2FE2" w:rsidRPr="00703A0B">
        <w:rPr>
          <w:rFonts w:cs="Arial"/>
          <w:szCs w:val="22"/>
        </w:rPr>
        <w:t xml:space="preserve"> </w:t>
      </w:r>
      <w:r w:rsidR="004E3B4C" w:rsidRPr="00703A0B">
        <w:rPr>
          <w:rFonts w:cs="Arial"/>
          <w:szCs w:val="22"/>
        </w:rPr>
        <w:t xml:space="preserve">provides </w:t>
      </w:r>
      <w:r w:rsidRPr="00703A0B">
        <w:rPr>
          <w:rFonts w:cs="Arial"/>
          <w:szCs w:val="22"/>
        </w:rPr>
        <w:t>an overview of the advisory panels</w:t>
      </w:r>
      <w:r w:rsidR="00D175AA" w:rsidRPr="00703A0B">
        <w:rPr>
          <w:rFonts w:cs="Arial"/>
          <w:szCs w:val="22"/>
        </w:rPr>
        <w:t xml:space="preserve"> </w:t>
      </w:r>
      <w:r w:rsidR="005F2633" w:rsidRPr="00703A0B">
        <w:rPr>
          <w:rFonts w:cs="Arial"/>
          <w:szCs w:val="22"/>
        </w:rPr>
        <w:t xml:space="preserve">and their membership </w:t>
      </w:r>
      <w:r w:rsidR="00D175AA" w:rsidRPr="00703A0B">
        <w:rPr>
          <w:rFonts w:cs="Arial"/>
          <w:szCs w:val="22"/>
        </w:rPr>
        <w:t>during the reporting period</w:t>
      </w:r>
      <w:r w:rsidRPr="00703A0B">
        <w:rPr>
          <w:rFonts w:cs="Arial"/>
          <w:szCs w:val="22"/>
        </w:rPr>
        <w:t>.</w:t>
      </w:r>
    </w:p>
    <w:p w14:paraId="3313486A" w14:textId="725E7A85" w:rsidR="00F9295A" w:rsidRPr="00703A0B" w:rsidRDefault="002F2FE2" w:rsidP="002F2FE2">
      <w:pPr>
        <w:pStyle w:val="Caption"/>
      </w:pPr>
      <w:bookmarkStart w:id="167" w:name="_Ref232674079"/>
      <w:bookmarkStart w:id="168" w:name="_Ref204947054"/>
      <w:bookmarkStart w:id="169" w:name="_Ref203982809"/>
      <w:bookmarkStart w:id="170" w:name="_Ref202871785"/>
      <w:bookmarkStart w:id="171" w:name="_Toc202872067"/>
      <w:bookmarkStart w:id="172" w:name="_Toc202872687"/>
      <w:r w:rsidRPr="00703A0B">
        <w:t xml:space="preserve">Table </w:t>
      </w:r>
      <w:r w:rsidRPr="00703A0B">
        <w:fldChar w:fldCharType="begin"/>
      </w:r>
      <w:r w:rsidRPr="00703A0B">
        <w:instrText>SEQ Table \* ARABIC</w:instrText>
      </w:r>
      <w:r w:rsidRPr="00703A0B">
        <w:fldChar w:fldCharType="separate"/>
      </w:r>
      <w:r w:rsidR="003764AA" w:rsidRPr="00F80E1E">
        <w:t>24</w:t>
      </w:r>
      <w:r w:rsidRPr="00703A0B">
        <w:fldChar w:fldCharType="end"/>
      </w:r>
      <w:bookmarkEnd w:id="167"/>
      <w:bookmarkEnd w:id="168"/>
      <w:bookmarkEnd w:id="169"/>
      <w:r w:rsidR="00F9295A" w:rsidRPr="00703A0B">
        <w:t xml:space="preserve">: </w:t>
      </w:r>
      <w:bookmarkStart w:id="173" w:name="_Ref202873638"/>
      <w:r w:rsidR="00F9295A" w:rsidRPr="00703A0B">
        <w:t>STC advisory panels, purpose, functions, membership and meeting schedule for 202</w:t>
      </w:r>
      <w:r w:rsidR="00563B50" w:rsidRPr="00703A0B">
        <w:t>5</w:t>
      </w:r>
      <w:r w:rsidR="00F9295A" w:rsidRPr="00703A0B">
        <w:t>–2</w:t>
      </w:r>
      <w:bookmarkEnd w:id="170"/>
      <w:bookmarkEnd w:id="171"/>
      <w:bookmarkEnd w:id="172"/>
      <w:bookmarkEnd w:id="173"/>
      <w:r w:rsidR="00563B50" w:rsidRPr="00703A0B">
        <w:t>6</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1838"/>
        <w:gridCol w:w="2126"/>
        <w:gridCol w:w="4678"/>
        <w:gridCol w:w="1564"/>
      </w:tblGrid>
      <w:tr w:rsidR="00F9295A" w:rsidRPr="00703A0B" w14:paraId="0843F80A" w14:textId="77777777" w:rsidTr="00E63609">
        <w:trPr>
          <w:tblHeader/>
          <w:jc w:val="center"/>
        </w:trPr>
        <w:tc>
          <w:tcPr>
            <w:tcW w:w="1838" w:type="dxa"/>
            <w:shd w:val="clear" w:color="auto" w:fill="BFBFBF" w:themeFill="background1" w:themeFillShade="BF"/>
          </w:tcPr>
          <w:p w14:paraId="05CDE3AD" w14:textId="77777777" w:rsidR="00F9295A" w:rsidRPr="00703A0B" w:rsidRDefault="00F9295A" w:rsidP="00E63609">
            <w:pPr>
              <w:rPr>
                <w:rFonts w:cs="Arial"/>
                <w:b/>
                <w:szCs w:val="20"/>
              </w:rPr>
            </w:pPr>
            <w:r w:rsidRPr="00703A0B">
              <w:rPr>
                <w:rFonts w:cs="Arial"/>
                <w:b/>
                <w:szCs w:val="20"/>
              </w:rPr>
              <w:t>Advisory panel</w:t>
            </w:r>
          </w:p>
        </w:tc>
        <w:tc>
          <w:tcPr>
            <w:tcW w:w="2126" w:type="dxa"/>
            <w:shd w:val="clear" w:color="auto" w:fill="BFBFBF" w:themeFill="background1" w:themeFillShade="BF"/>
          </w:tcPr>
          <w:p w14:paraId="46A41D2B" w14:textId="4C494BA2" w:rsidR="00F9295A" w:rsidRPr="00703A0B" w:rsidRDefault="00F9295A" w:rsidP="00E63609">
            <w:pPr>
              <w:rPr>
                <w:rFonts w:cs="Arial"/>
                <w:b/>
                <w:szCs w:val="20"/>
              </w:rPr>
            </w:pPr>
            <w:r w:rsidRPr="00703A0B">
              <w:rPr>
                <w:rFonts w:cs="Arial"/>
                <w:b/>
                <w:bCs/>
              </w:rPr>
              <w:t>Purpose</w:t>
            </w:r>
          </w:p>
        </w:tc>
        <w:tc>
          <w:tcPr>
            <w:tcW w:w="4678" w:type="dxa"/>
            <w:shd w:val="clear" w:color="auto" w:fill="BFBFBF" w:themeFill="background1" w:themeFillShade="BF"/>
          </w:tcPr>
          <w:p w14:paraId="20FFD2BD" w14:textId="77777777" w:rsidR="00F9295A" w:rsidRPr="00703A0B" w:rsidRDefault="00F9295A" w:rsidP="00E63609">
            <w:pPr>
              <w:rPr>
                <w:rFonts w:cs="Arial"/>
                <w:b/>
                <w:szCs w:val="20"/>
              </w:rPr>
            </w:pPr>
            <w:r w:rsidRPr="00703A0B">
              <w:rPr>
                <w:rFonts w:cs="Arial"/>
                <w:b/>
                <w:szCs w:val="20"/>
              </w:rPr>
              <w:t>Members</w:t>
            </w:r>
          </w:p>
        </w:tc>
        <w:tc>
          <w:tcPr>
            <w:tcW w:w="1564" w:type="dxa"/>
            <w:shd w:val="clear" w:color="auto" w:fill="BFBFBF" w:themeFill="background1" w:themeFillShade="BF"/>
          </w:tcPr>
          <w:p w14:paraId="11446784" w14:textId="05D4B9D8" w:rsidR="00F9295A" w:rsidRPr="00703A0B" w:rsidRDefault="00A478E0" w:rsidP="00E63609">
            <w:pPr>
              <w:rPr>
                <w:rFonts w:cs="Arial"/>
                <w:b/>
                <w:szCs w:val="20"/>
              </w:rPr>
            </w:pPr>
            <w:r w:rsidRPr="00703A0B">
              <w:rPr>
                <w:rFonts w:cs="Arial"/>
                <w:b/>
                <w:szCs w:val="20"/>
              </w:rPr>
              <w:t>No. of m</w:t>
            </w:r>
            <w:r w:rsidR="00F9295A" w:rsidRPr="00703A0B">
              <w:rPr>
                <w:rFonts w:cs="Arial"/>
                <w:b/>
                <w:szCs w:val="20"/>
              </w:rPr>
              <w:t>eeting</w:t>
            </w:r>
            <w:r w:rsidRPr="00703A0B">
              <w:rPr>
                <w:rFonts w:cs="Arial"/>
                <w:b/>
                <w:szCs w:val="20"/>
              </w:rPr>
              <w:t>s</w:t>
            </w:r>
            <w:r w:rsidR="00F9295A" w:rsidRPr="00703A0B">
              <w:rPr>
                <w:rFonts w:cs="Arial"/>
                <w:b/>
                <w:szCs w:val="20"/>
              </w:rPr>
              <w:t xml:space="preserve"> </w:t>
            </w:r>
          </w:p>
        </w:tc>
      </w:tr>
      <w:tr w:rsidR="00F9295A" w:rsidRPr="00703A0B" w14:paraId="0E4917E9" w14:textId="77777777" w:rsidTr="00E63609">
        <w:trPr>
          <w:jc w:val="center"/>
        </w:trPr>
        <w:tc>
          <w:tcPr>
            <w:tcW w:w="1838" w:type="dxa"/>
            <w:hideMark/>
          </w:tcPr>
          <w:p w14:paraId="060F2E30" w14:textId="77777777" w:rsidR="00F9295A" w:rsidRPr="00703A0B" w:rsidRDefault="003E7A71" w:rsidP="00BB09BC">
            <w:pPr>
              <w:suppressLineNumbers/>
              <w:suppressAutoHyphens/>
              <w:textAlignment w:val="baseline"/>
              <w:rPr>
                <w:rFonts w:cs="Arial"/>
                <w:szCs w:val="20"/>
              </w:rPr>
            </w:pPr>
            <w:r w:rsidRPr="00703A0B">
              <w:rPr>
                <w:rFonts w:cs="Arial"/>
                <w:szCs w:val="20"/>
              </w:rPr>
              <w:t xml:space="preserve">Service Trades Licensing Advisory Panel </w:t>
            </w:r>
          </w:p>
          <w:p w14:paraId="7D319597" w14:textId="77777777" w:rsidR="00021BE1" w:rsidRPr="00703A0B" w:rsidRDefault="00021BE1" w:rsidP="00BB09BC">
            <w:pPr>
              <w:suppressLineNumbers/>
              <w:suppressAutoHyphens/>
              <w:textAlignment w:val="baseline"/>
              <w:rPr>
                <w:rFonts w:cs="Arial"/>
                <w:szCs w:val="20"/>
              </w:rPr>
            </w:pPr>
          </w:p>
          <w:p w14:paraId="7DE948C9" w14:textId="77777777" w:rsidR="00021BE1" w:rsidRPr="00703A0B" w:rsidRDefault="00021BE1" w:rsidP="00BB09BC">
            <w:pPr>
              <w:suppressLineNumbers/>
              <w:suppressAutoHyphens/>
              <w:textAlignment w:val="baseline"/>
              <w:rPr>
                <w:rFonts w:cs="Arial"/>
                <w:i/>
                <w:szCs w:val="20"/>
              </w:rPr>
            </w:pPr>
            <w:r w:rsidRPr="00703A0B">
              <w:rPr>
                <w:rFonts w:cs="Arial"/>
                <w:i/>
                <w:szCs w:val="20"/>
              </w:rPr>
              <w:t xml:space="preserve">Operational </w:t>
            </w:r>
          </w:p>
          <w:p w14:paraId="328F5D3E" w14:textId="5F1CA6F2" w:rsidR="00F9295A" w:rsidRPr="00703A0B" w:rsidRDefault="00021BE1" w:rsidP="00BB09BC">
            <w:pPr>
              <w:suppressLineNumbers/>
              <w:suppressAutoHyphens/>
              <w:textAlignment w:val="baseline"/>
              <w:rPr>
                <w:rFonts w:cs="Arial"/>
                <w:i/>
                <w:szCs w:val="20"/>
              </w:rPr>
            </w:pPr>
            <w:r w:rsidRPr="00703A0B">
              <w:rPr>
                <w:rFonts w:cs="Arial"/>
                <w:i/>
                <w:szCs w:val="20"/>
              </w:rPr>
              <w:t>1 July 2025 – 30 June 2026</w:t>
            </w:r>
          </w:p>
        </w:tc>
        <w:tc>
          <w:tcPr>
            <w:tcW w:w="2126" w:type="dxa"/>
          </w:tcPr>
          <w:p w14:paraId="40F8E38C" w14:textId="5487EE60" w:rsidR="00F9295A" w:rsidRPr="00F80E1E" w:rsidRDefault="00F9295A" w:rsidP="00BB09BC">
            <w:pPr>
              <w:suppressLineNumbers/>
              <w:suppressAutoHyphens/>
              <w:textAlignment w:val="baseline"/>
              <w:rPr>
                <w:rFonts w:cs="Arial"/>
              </w:rPr>
            </w:pPr>
            <w:r w:rsidRPr="00F80E1E">
              <w:rPr>
                <w:rFonts w:cs="Arial"/>
              </w:rPr>
              <w:t>To help the Commissioner to effectively and efficiently perform the Commissioner’s licensing functions under Part 2, divisions 1</w:t>
            </w:r>
            <w:r w:rsidR="000A2997" w:rsidRPr="00F80E1E">
              <w:rPr>
                <w:rFonts w:cs="Arial"/>
                <w:i/>
              </w:rPr>
              <w:t>–</w:t>
            </w:r>
            <w:r w:rsidRPr="00F80E1E">
              <w:rPr>
                <w:rFonts w:cs="Arial"/>
              </w:rPr>
              <w:t>7 of the PD Act</w:t>
            </w:r>
          </w:p>
          <w:p w14:paraId="2561B89D" w14:textId="60D12A47" w:rsidR="00F9295A" w:rsidRPr="00703A0B" w:rsidRDefault="00F9295A" w:rsidP="00BB09BC">
            <w:pPr>
              <w:pStyle w:val="ListParagraph"/>
              <w:suppressLineNumbers/>
              <w:suppressAutoHyphens/>
              <w:ind w:left="170"/>
              <w:contextualSpacing w:val="0"/>
              <w:textAlignment w:val="baseline"/>
              <w:rPr>
                <w:rFonts w:cs="Arial"/>
                <w:szCs w:val="20"/>
              </w:rPr>
            </w:pPr>
          </w:p>
        </w:tc>
        <w:tc>
          <w:tcPr>
            <w:tcW w:w="4678" w:type="dxa"/>
          </w:tcPr>
          <w:p w14:paraId="30F41A14" w14:textId="77777777" w:rsidR="00F9295A" w:rsidRPr="00703A0B" w:rsidRDefault="00F9295A" w:rsidP="00BB09BC">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Luke Barden (Chair)</w:t>
            </w:r>
          </w:p>
          <w:p w14:paraId="1F995034" w14:textId="77777777" w:rsidR="00F9295A" w:rsidRPr="00703A0B" w:rsidRDefault="00F9295A" w:rsidP="00BB09BC">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Ernie Kretschmer (Deputy Chair)</w:t>
            </w:r>
          </w:p>
          <w:p w14:paraId="2C7C94A4" w14:textId="31059B8A" w:rsidR="00F9295A" w:rsidRPr="00703A0B" w:rsidRDefault="00F9295A" w:rsidP="00BB09BC">
            <w:pPr>
              <w:suppressLineNumbers/>
              <w:suppressAutoHyphens/>
              <w:textAlignment w:val="baseline"/>
              <w:rPr>
                <w:rFonts w:cs="Arial"/>
                <w:i/>
                <w:szCs w:val="20"/>
              </w:rPr>
            </w:pPr>
            <w:r w:rsidRPr="00703A0B">
              <w:rPr>
                <w:rFonts w:cs="Arial"/>
                <w:i/>
                <w:szCs w:val="20"/>
              </w:rPr>
              <w:t>Voting members:</w:t>
            </w:r>
          </w:p>
          <w:p w14:paraId="7EE1D2A7" w14:textId="77777777" w:rsidR="00F9295A" w:rsidRPr="00703A0B" w:rsidRDefault="00F9295A" w:rsidP="00BB09BC">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Adam Shaw</w:t>
            </w:r>
          </w:p>
          <w:p w14:paraId="1E128A74" w14:textId="77777777" w:rsidR="00021BE1" w:rsidRPr="00703A0B" w:rsidRDefault="00021BE1" w:rsidP="00BB09BC">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Steven Micallef</w:t>
            </w:r>
          </w:p>
          <w:p w14:paraId="7347ECE4" w14:textId="422B55BA" w:rsidR="00967384" w:rsidRPr="00703A0B" w:rsidRDefault="00531B0F" w:rsidP="00BB09BC">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Brian Dent</w:t>
            </w:r>
            <w:r w:rsidR="00021BE1" w:rsidRPr="00703A0B">
              <w:rPr>
                <w:rFonts w:cs="Arial"/>
                <w:szCs w:val="20"/>
              </w:rPr>
              <w:t xml:space="preserve"> </w:t>
            </w:r>
            <w:r w:rsidR="00021BE1" w:rsidRPr="00703A0B">
              <w:rPr>
                <w:rFonts w:cs="Arial"/>
                <w:i/>
                <w:szCs w:val="20"/>
              </w:rPr>
              <w:t>(appointed 1 March 2026)</w:t>
            </w:r>
          </w:p>
          <w:p w14:paraId="2C4E9640" w14:textId="5CC3F4E9" w:rsidR="00531B0F" w:rsidRPr="00703A0B" w:rsidRDefault="00531B0F" w:rsidP="00BB09BC">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Brook Pope</w:t>
            </w:r>
            <w:r w:rsidR="00021BE1" w:rsidRPr="00703A0B">
              <w:rPr>
                <w:rFonts w:cs="Arial"/>
                <w:szCs w:val="20"/>
              </w:rPr>
              <w:t xml:space="preserve"> </w:t>
            </w:r>
            <w:r w:rsidR="00021BE1" w:rsidRPr="00703A0B">
              <w:rPr>
                <w:rFonts w:cs="Arial"/>
                <w:i/>
                <w:szCs w:val="20"/>
              </w:rPr>
              <w:t>(appointed 1 March 2026)</w:t>
            </w:r>
          </w:p>
          <w:p w14:paraId="257B519B" w14:textId="09DF5187" w:rsidR="00D75636" w:rsidRPr="00703A0B" w:rsidRDefault="00D75636" w:rsidP="00BB09BC">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Andrew Evans</w:t>
            </w:r>
            <w:r w:rsidR="00FD429B" w:rsidRPr="00703A0B">
              <w:rPr>
                <w:rFonts w:cs="Arial"/>
                <w:szCs w:val="20"/>
              </w:rPr>
              <w:t xml:space="preserve"> </w:t>
            </w:r>
            <w:r w:rsidR="00FD429B" w:rsidRPr="00703A0B">
              <w:rPr>
                <w:rFonts w:cs="Arial"/>
                <w:i/>
                <w:szCs w:val="20"/>
              </w:rPr>
              <w:t>(term ended 28 February 2026</w:t>
            </w:r>
            <w:r w:rsidR="00021BE1" w:rsidRPr="00703A0B">
              <w:rPr>
                <w:rFonts w:cs="Arial"/>
                <w:i/>
                <w:szCs w:val="20"/>
              </w:rPr>
              <w:t>)</w:t>
            </w:r>
          </w:p>
          <w:p w14:paraId="43B0DE50" w14:textId="4366D7DE" w:rsidR="00D75636" w:rsidRPr="00F80E1E" w:rsidRDefault="00D75636" w:rsidP="00E63609">
            <w:pPr>
              <w:pStyle w:val="ListParagraph"/>
              <w:numPr>
                <w:ilvl w:val="0"/>
                <w:numId w:val="6"/>
              </w:numPr>
              <w:suppressLineNumbers/>
              <w:suppressAutoHyphens/>
              <w:ind w:left="170" w:hanging="170"/>
              <w:contextualSpacing w:val="0"/>
              <w:textAlignment w:val="baseline"/>
              <w:rPr>
                <w:rFonts w:cs="Arial"/>
              </w:rPr>
            </w:pPr>
            <w:r w:rsidRPr="00F80E1E">
              <w:rPr>
                <w:rFonts w:cs="Arial"/>
              </w:rPr>
              <w:t>James Metassa</w:t>
            </w:r>
            <w:r w:rsidR="00021BE1" w:rsidRPr="00F80E1E">
              <w:rPr>
                <w:rFonts w:cs="Arial"/>
              </w:rPr>
              <w:t xml:space="preserve"> </w:t>
            </w:r>
            <w:r w:rsidR="00021BE1" w:rsidRPr="00703A0B">
              <w:rPr>
                <w:rFonts w:cs="Arial"/>
                <w:i/>
                <w:szCs w:val="20"/>
              </w:rPr>
              <w:t>(term ended 28 February 2026)</w:t>
            </w:r>
          </w:p>
          <w:p w14:paraId="41E3ACA0" w14:textId="3C677DE4" w:rsidR="00D75636" w:rsidRPr="00703A0B" w:rsidRDefault="00D75636" w:rsidP="00BB09BC">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 xml:space="preserve">Kimberly Kerby </w:t>
            </w:r>
            <w:r w:rsidR="00021BE1" w:rsidRPr="00703A0B">
              <w:rPr>
                <w:rFonts w:cs="Arial"/>
                <w:i/>
                <w:szCs w:val="20"/>
              </w:rPr>
              <w:t>(term ended 28 February 2026)</w:t>
            </w:r>
          </w:p>
          <w:p w14:paraId="4278E8E5" w14:textId="0F7694F2" w:rsidR="00D75636" w:rsidRPr="00703A0B" w:rsidRDefault="00D75636" w:rsidP="00BB09BC">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Rechelle Adams</w:t>
            </w:r>
            <w:r w:rsidR="00021BE1" w:rsidRPr="00703A0B">
              <w:rPr>
                <w:rFonts w:cs="Arial"/>
                <w:szCs w:val="20"/>
              </w:rPr>
              <w:t xml:space="preserve"> </w:t>
            </w:r>
            <w:r w:rsidR="00021BE1" w:rsidRPr="00703A0B">
              <w:rPr>
                <w:rFonts w:cs="Arial"/>
                <w:i/>
                <w:szCs w:val="20"/>
              </w:rPr>
              <w:t>(term ended 28 February 2026)</w:t>
            </w:r>
          </w:p>
          <w:p w14:paraId="022A5893" w14:textId="77777777" w:rsidR="00F9295A" w:rsidRPr="00703A0B" w:rsidRDefault="00F9295A" w:rsidP="00BB09BC">
            <w:pPr>
              <w:suppressLineNumbers/>
              <w:suppressAutoHyphens/>
              <w:textAlignment w:val="baseline"/>
              <w:rPr>
                <w:rFonts w:cs="Arial"/>
                <w:i/>
                <w:szCs w:val="20"/>
              </w:rPr>
            </w:pPr>
            <w:r w:rsidRPr="00703A0B">
              <w:rPr>
                <w:rFonts w:cs="Arial"/>
                <w:i/>
                <w:szCs w:val="20"/>
              </w:rPr>
              <w:t>Non-voting members:</w:t>
            </w:r>
          </w:p>
          <w:p w14:paraId="2AF64F90" w14:textId="4DB48347" w:rsidR="0013517A" w:rsidRPr="00703A0B" w:rsidRDefault="0013517A" w:rsidP="00BB09BC">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Leonie Plata, QBCC Manager Occupational Licensing</w:t>
            </w:r>
          </w:p>
          <w:p w14:paraId="21745FD0" w14:textId="77777777" w:rsidR="00F9295A" w:rsidRPr="00703A0B" w:rsidRDefault="00F9295A" w:rsidP="00BB09BC">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Jo Wilson, QBCC Principal Plumbing Investigator</w:t>
            </w:r>
          </w:p>
        </w:tc>
        <w:tc>
          <w:tcPr>
            <w:tcW w:w="1564" w:type="dxa"/>
          </w:tcPr>
          <w:p w14:paraId="088C6D48" w14:textId="41B12914" w:rsidR="00F9295A" w:rsidRPr="00703A0B" w:rsidRDefault="004B5887" w:rsidP="00BB09BC">
            <w:pPr>
              <w:suppressLineNumbers/>
              <w:suppressAutoHyphens/>
              <w:textAlignment w:val="baseline"/>
              <w:rPr>
                <w:rFonts w:cs="Arial"/>
                <w:szCs w:val="20"/>
              </w:rPr>
            </w:pPr>
            <w:r w:rsidRPr="00703A0B">
              <w:rPr>
                <w:rFonts w:cs="Arial"/>
                <w:bCs/>
                <w:szCs w:val="22"/>
              </w:rPr>
              <w:t>3</w:t>
            </w:r>
          </w:p>
        </w:tc>
      </w:tr>
      <w:tr w:rsidR="00F9295A" w:rsidRPr="00703A0B" w14:paraId="58EE003F" w14:textId="77777777" w:rsidTr="00E63609">
        <w:trPr>
          <w:jc w:val="center"/>
        </w:trPr>
        <w:tc>
          <w:tcPr>
            <w:tcW w:w="1838" w:type="dxa"/>
          </w:tcPr>
          <w:p w14:paraId="4D23975A" w14:textId="02094EDA" w:rsidR="00F9295A" w:rsidRPr="00703A0B" w:rsidRDefault="003E7A71" w:rsidP="00BB09BC">
            <w:pPr>
              <w:suppressLineNumbers/>
              <w:suppressAutoHyphens/>
              <w:textAlignment w:val="baseline"/>
              <w:rPr>
                <w:rFonts w:cs="Arial"/>
                <w:szCs w:val="20"/>
              </w:rPr>
            </w:pPr>
            <w:r w:rsidRPr="00703A0B">
              <w:rPr>
                <w:rFonts w:cs="Arial"/>
                <w:szCs w:val="20"/>
              </w:rPr>
              <w:t>Notifiable Work Panel</w:t>
            </w:r>
          </w:p>
          <w:p w14:paraId="5116148C" w14:textId="77777777" w:rsidR="00021BE1" w:rsidRPr="00703A0B" w:rsidRDefault="00021BE1" w:rsidP="00BB09BC">
            <w:pPr>
              <w:suppressLineNumbers/>
              <w:suppressAutoHyphens/>
              <w:textAlignment w:val="baseline"/>
              <w:rPr>
                <w:rFonts w:cs="Arial"/>
                <w:szCs w:val="20"/>
              </w:rPr>
            </w:pPr>
          </w:p>
          <w:p w14:paraId="72226F9B" w14:textId="77777777" w:rsidR="00021BE1" w:rsidRPr="00703A0B" w:rsidRDefault="00021BE1" w:rsidP="00BB09BC">
            <w:pPr>
              <w:suppressLineNumbers/>
              <w:suppressAutoHyphens/>
              <w:textAlignment w:val="baseline"/>
              <w:rPr>
                <w:rFonts w:cs="Arial"/>
                <w:i/>
                <w:szCs w:val="20"/>
              </w:rPr>
            </w:pPr>
            <w:r w:rsidRPr="00703A0B">
              <w:rPr>
                <w:rFonts w:cs="Arial"/>
                <w:i/>
                <w:szCs w:val="20"/>
              </w:rPr>
              <w:t xml:space="preserve">Operational </w:t>
            </w:r>
          </w:p>
          <w:p w14:paraId="2E2094C8" w14:textId="1C9DCD6B" w:rsidR="00021BE1" w:rsidRPr="00703A0B" w:rsidRDefault="00021BE1" w:rsidP="00BB09BC">
            <w:pPr>
              <w:suppressLineNumbers/>
              <w:suppressAutoHyphens/>
              <w:textAlignment w:val="baseline"/>
              <w:rPr>
                <w:rFonts w:cs="Arial"/>
                <w:i/>
                <w:szCs w:val="20"/>
              </w:rPr>
            </w:pPr>
            <w:r w:rsidRPr="00703A0B">
              <w:rPr>
                <w:rFonts w:cs="Arial"/>
                <w:i/>
                <w:szCs w:val="20"/>
              </w:rPr>
              <w:t>1 July 2025 – 26 March 2026</w:t>
            </w:r>
          </w:p>
          <w:p w14:paraId="2526F454" w14:textId="5F62A3E2" w:rsidR="00F9295A" w:rsidRPr="00703A0B" w:rsidRDefault="00F9295A" w:rsidP="00BB09BC">
            <w:pPr>
              <w:suppressLineNumbers/>
              <w:suppressAutoHyphens/>
              <w:textAlignment w:val="baseline"/>
              <w:rPr>
                <w:rFonts w:cs="Arial"/>
                <w:szCs w:val="20"/>
              </w:rPr>
            </w:pPr>
          </w:p>
        </w:tc>
        <w:tc>
          <w:tcPr>
            <w:tcW w:w="2126" w:type="dxa"/>
          </w:tcPr>
          <w:p w14:paraId="6277F435" w14:textId="0FC7B6AC" w:rsidR="00F9295A" w:rsidRPr="00703A0B" w:rsidRDefault="00F9295A" w:rsidP="00BB09BC">
            <w:pPr>
              <w:suppressLineNumbers/>
              <w:suppressAutoHyphens/>
              <w:textAlignment w:val="baseline"/>
              <w:rPr>
                <w:rFonts w:cs="Arial"/>
                <w:szCs w:val="20"/>
              </w:rPr>
            </w:pPr>
            <w:r w:rsidRPr="00703A0B">
              <w:rPr>
                <w:rFonts w:cs="Arial"/>
                <w:szCs w:val="20"/>
              </w:rPr>
              <w:t>To review and provide recommendations for improvement to the notifiable work framework</w:t>
            </w:r>
          </w:p>
          <w:p w14:paraId="1DDE5CEA" w14:textId="0191F68E" w:rsidR="00F9295A" w:rsidRPr="00703A0B" w:rsidRDefault="00F9295A" w:rsidP="00BB09BC">
            <w:pPr>
              <w:pStyle w:val="ListParagraph"/>
              <w:suppressLineNumbers/>
              <w:suppressAutoHyphens/>
              <w:ind w:left="170"/>
              <w:contextualSpacing w:val="0"/>
              <w:textAlignment w:val="baseline"/>
              <w:rPr>
                <w:rFonts w:cs="Arial"/>
                <w:szCs w:val="20"/>
              </w:rPr>
            </w:pPr>
          </w:p>
        </w:tc>
        <w:tc>
          <w:tcPr>
            <w:tcW w:w="4678" w:type="dxa"/>
          </w:tcPr>
          <w:p w14:paraId="0B2888EA" w14:textId="42A2B3A8" w:rsidR="0083736B" w:rsidRPr="00703A0B" w:rsidRDefault="00F9295A" w:rsidP="00BB09BC">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Geoffrey Woodall (Chair)</w:t>
            </w:r>
          </w:p>
          <w:p w14:paraId="65C054EC" w14:textId="16927F97" w:rsidR="004A1E82" w:rsidRPr="00703A0B" w:rsidRDefault="00F9295A" w:rsidP="00BB09BC">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 xml:space="preserve">Elizabeth Palmer-Bright, QBCC </w:t>
            </w:r>
            <w:r w:rsidR="00111833" w:rsidRPr="00703A0B">
              <w:rPr>
                <w:rFonts w:cs="Arial"/>
                <w:szCs w:val="20"/>
              </w:rPr>
              <w:t xml:space="preserve">Principal </w:t>
            </w:r>
            <w:r w:rsidR="007F77B7" w:rsidRPr="00703A0B">
              <w:rPr>
                <w:rFonts w:cs="Arial"/>
                <w:szCs w:val="20"/>
              </w:rPr>
              <w:t>Advisor</w:t>
            </w:r>
            <w:r w:rsidR="00260C7C" w:rsidRPr="00703A0B">
              <w:rPr>
                <w:rFonts w:cs="Arial"/>
                <w:szCs w:val="20"/>
              </w:rPr>
              <w:t xml:space="preserve">, </w:t>
            </w:r>
            <w:r w:rsidR="00111833" w:rsidRPr="00703A0B">
              <w:rPr>
                <w:rFonts w:cs="Arial"/>
                <w:szCs w:val="20"/>
              </w:rPr>
              <w:t>Plumbing</w:t>
            </w:r>
            <w:r w:rsidRPr="00703A0B">
              <w:rPr>
                <w:rFonts w:cs="Arial"/>
                <w:szCs w:val="20"/>
              </w:rPr>
              <w:t xml:space="preserve"> </w:t>
            </w:r>
            <w:r w:rsidR="00260C7C" w:rsidRPr="00703A0B">
              <w:rPr>
                <w:rFonts w:cs="Arial"/>
                <w:szCs w:val="20"/>
              </w:rPr>
              <w:t>and Pools Investigation</w:t>
            </w:r>
            <w:r w:rsidR="00B859FD" w:rsidRPr="00703A0B">
              <w:rPr>
                <w:rFonts w:cs="Arial"/>
                <w:szCs w:val="20"/>
              </w:rPr>
              <w:t xml:space="preserve">s </w:t>
            </w:r>
            <w:r w:rsidRPr="00703A0B">
              <w:rPr>
                <w:rFonts w:cs="Arial"/>
                <w:szCs w:val="20"/>
              </w:rPr>
              <w:t xml:space="preserve">(Deputy Chair) </w:t>
            </w:r>
          </w:p>
          <w:p w14:paraId="358B2C4A" w14:textId="74E08E4F" w:rsidR="00F9295A" w:rsidRPr="00703A0B" w:rsidRDefault="00F9295A" w:rsidP="00BB09BC">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 xml:space="preserve">Luke Barden </w:t>
            </w:r>
          </w:p>
          <w:p w14:paraId="372EED06" w14:textId="77777777" w:rsidR="00F9295A" w:rsidRPr="00703A0B" w:rsidRDefault="00F9295A" w:rsidP="00BB09BC">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Andrew Evans</w:t>
            </w:r>
          </w:p>
          <w:p w14:paraId="1E47C65D" w14:textId="77777777" w:rsidR="00F9295A" w:rsidRPr="00703A0B" w:rsidRDefault="00F9295A" w:rsidP="00BB09BC">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 xml:space="preserve">Gregory Gilboy </w:t>
            </w:r>
          </w:p>
          <w:p w14:paraId="4291A6B1" w14:textId="77777777" w:rsidR="00F9295A" w:rsidRPr="00703A0B" w:rsidRDefault="00F9295A" w:rsidP="00BB09BC">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 xml:space="preserve">Gerard Gill </w:t>
            </w:r>
          </w:p>
          <w:p w14:paraId="68B4A406" w14:textId="77777777" w:rsidR="00F9295A" w:rsidRPr="00703A0B" w:rsidRDefault="00F9295A" w:rsidP="00BB09BC">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 xml:space="preserve">Patrick Keough </w:t>
            </w:r>
          </w:p>
          <w:p w14:paraId="75055E35" w14:textId="77777777" w:rsidR="00F9295A" w:rsidRPr="00703A0B" w:rsidRDefault="00F9295A" w:rsidP="00BB09BC">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 xml:space="preserve">Kimberly Kerby </w:t>
            </w:r>
          </w:p>
          <w:p w14:paraId="69FC03E6" w14:textId="77777777" w:rsidR="00F9295A" w:rsidRPr="00703A0B" w:rsidRDefault="00F9295A" w:rsidP="00BB09BC">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 xml:space="preserve">Ernie Kretschmer </w:t>
            </w:r>
          </w:p>
          <w:p w14:paraId="042E7715" w14:textId="77777777" w:rsidR="00F9295A" w:rsidRPr="00703A0B" w:rsidRDefault="00F9295A" w:rsidP="00BB09BC">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 xml:space="preserve">Russell Martin </w:t>
            </w:r>
          </w:p>
          <w:p w14:paraId="059B2305" w14:textId="77777777" w:rsidR="00F9295A" w:rsidRPr="00703A0B" w:rsidRDefault="00F9295A" w:rsidP="00BB09BC">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 xml:space="preserve">Kelvin Mason </w:t>
            </w:r>
          </w:p>
          <w:p w14:paraId="2B9B27BF" w14:textId="77777777" w:rsidR="00F9295A" w:rsidRPr="00703A0B" w:rsidRDefault="00F9295A" w:rsidP="00BB09BC">
            <w:pPr>
              <w:pStyle w:val="ListParagraph"/>
              <w:numPr>
                <w:ilvl w:val="0"/>
                <w:numId w:val="6"/>
              </w:numPr>
              <w:suppressLineNumbers/>
              <w:suppressAutoHyphens/>
              <w:ind w:left="170" w:hanging="170"/>
              <w:contextualSpacing w:val="0"/>
              <w:textAlignment w:val="baseline"/>
              <w:rPr>
                <w:rFonts w:cs="Arial"/>
                <w:szCs w:val="20"/>
              </w:rPr>
            </w:pPr>
            <w:r w:rsidRPr="00703A0B">
              <w:rPr>
                <w:rFonts w:cs="Arial"/>
                <w:szCs w:val="20"/>
              </w:rPr>
              <w:t xml:space="preserve">Adam Shaw </w:t>
            </w:r>
          </w:p>
          <w:p w14:paraId="7A509550" w14:textId="77777777" w:rsidR="00F9295A" w:rsidRPr="00F80E1E" w:rsidRDefault="00F9295A" w:rsidP="00E63609">
            <w:pPr>
              <w:pStyle w:val="ListParagraph"/>
              <w:numPr>
                <w:ilvl w:val="0"/>
                <w:numId w:val="6"/>
              </w:numPr>
              <w:suppressLineNumbers/>
              <w:suppressAutoHyphens/>
              <w:ind w:left="170" w:hanging="170"/>
              <w:contextualSpacing w:val="0"/>
              <w:textAlignment w:val="baseline"/>
              <w:rPr>
                <w:rFonts w:cs="Arial"/>
              </w:rPr>
            </w:pPr>
            <w:r w:rsidRPr="00F80E1E">
              <w:rPr>
                <w:rFonts w:cs="Arial"/>
              </w:rPr>
              <w:t>Bridget Vietheer, QBCC Manager Plumbing and Pools Investigations</w:t>
            </w:r>
          </w:p>
        </w:tc>
        <w:tc>
          <w:tcPr>
            <w:tcW w:w="1564" w:type="dxa"/>
          </w:tcPr>
          <w:p w14:paraId="007D107B" w14:textId="0D3583B3" w:rsidR="00F9295A" w:rsidRPr="00703A0B" w:rsidRDefault="004B5887" w:rsidP="00BB09BC">
            <w:pPr>
              <w:suppressLineNumbers/>
              <w:suppressAutoHyphens/>
              <w:textAlignment w:val="baseline"/>
              <w:rPr>
                <w:rFonts w:cs="Arial"/>
                <w:szCs w:val="20"/>
              </w:rPr>
            </w:pPr>
            <w:r w:rsidRPr="00703A0B">
              <w:rPr>
                <w:rFonts w:cs="Arial"/>
                <w:bCs/>
                <w:szCs w:val="22"/>
              </w:rPr>
              <w:t>3</w:t>
            </w:r>
          </w:p>
        </w:tc>
      </w:tr>
    </w:tbl>
    <w:p w14:paraId="79627D8D" w14:textId="77777777" w:rsidR="00675C67" w:rsidRPr="00703A0B" w:rsidRDefault="00675C67" w:rsidP="00010D66"/>
    <w:p w14:paraId="2005F168" w14:textId="77777777" w:rsidR="004B53A2" w:rsidRPr="00703A0B" w:rsidRDefault="004B53A2" w:rsidP="00010D66">
      <w:bookmarkStart w:id="174" w:name="_QBCC_people_and"/>
      <w:bookmarkEnd w:id="174"/>
    </w:p>
    <w:p w14:paraId="02BE1A9F" w14:textId="77777777" w:rsidR="004B53A2" w:rsidRPr="00703A0B" w:rsidRDefault="004B53A2">
      <w:pPr>
        <w:rPr>
          <w:rFonts w:eastAsiaTheme="majorEastAsia" w:cstheme="majorBidi"/>
          <w:bCs/>
          <w:sz w:val="32"/>
          <w:szCs w:val="32"/>
        </w:rPr>
      </w:pPr>
      <w:r w:rsidRPr="00703A0B">
        <w:br w:type="page"/>
      </w:r>
    </w:p>
    <w:p w14:paraId="76AA4B49" w14:textId="355A7086" w:rsidR="004979E6" w:rsidRPr="00703A0B" w:rsidRDefault="001C6A9A" w:rsidP="00677AC1">
      <w:pPr>
        <w:pStyle w:val="Heading2"/>
      </w:pPr>
      <w:bookmarkStart w:id="175" w:name="_People_and_culture"/>
      <w:bookmarkStart w:id="176" w:name="_Toc206493022"/>
      <w:bookmarkStart w:id="177" w:name="_Toc238101686"/>
      <w:bookmarkEnd w:id="175"/>
      <w:r w:rsidRPr="00703A0B">
        <w:lastRenderedPageBreak/>
        <w:t>P</w:t>
      </w:r>
      <w:r w:rsidR="005B0558" w:rsidRPr="00703A0B">
        <w:t xml:space="preserve">eople and </w:t>
      </w:r>
      <w:r w:rsidR="00016D8E" w:rsidRPr="00703A0B">
        <w:t>c</w:t>
      </w:r>
      <w:r w:rsidR="005B0558" w:rsidRPr="00703A0B">
        <w:t>ulture</w:t>
      </w:r>
      <w:bookmarkEnd w:id="176"/>
      <w:bookmarkEnd w:id="177"/>
    </w:p>
    <w:p w14:paraId="5B38A6A4" w14:textId="5769E93B" w:rsidR="002E0FCC" w:rsidRPr="00703A0B" w:rsidRDefault="007E4A3B" w:rsidP="00006313">
      <w:pPr>
        <w:spacing w:before="120" w:after="120"/>
        <w:rPr>
          <w:rFonts w:cs="Arial"/>
        </w:rPr>
      </w:pPr>
      <w:r w:rsidRPr="00703A0B">
        <w:rPr>
          <w:rFonts w:cs="Arial"/>
        </w:rPr>
        <w:t>During 2025–26, t</w:t>
      </w:r>
      <w:r w:rsidR="009C4D4F" w:rsidRPr="00703A0B">
        <w:rPr>
          <w:rFonts w:cs="Arial"/>
        </w:rPr>
        <w:t xml:space="preserve">he QBCC continued to </w:t>
      </w:r>
      <w:r w:rsidRPr="00703A0B">
        <w:rPr>
          <w:rFonts w:cs="Arial"/>
        </w:rPr>
        <w:t>support its workforce through a range of initiatives designed to</w:t>
      </w:r>
      <w:r w:rsidR="006E1E3C" w:rsidRPr="00703A0B">
        <w:rPr>
          <w:rFonts w:cs="Arial"/>
        </w:rPr>
        <w:t xml:space="preserve"> </w:t>
      </w:r>
      <w:r w:rsidR="00BA24E9" w:rsidRPr="00703A0B">
        <w:rPr>
          <w:rFonts w:cs="Arial"/>
        </w:rPr>
        <w:t>strengthen</w:t>
      </w:r>
      <w:r w:rsidR="006E1E3C" w:rsidRPr="00703A0B">
        <w:rPr>
          <w:rFonts w:cs="Arial"/>
        </w:rPr>
        <w:t xml:space="preserve"> </w:t>
      </w:r>
      <w:r w:rsidR="00BA24E9" w:rsidRPr="00703A0B">
        <w:rPr>
          <w:rFonts w:cs="Arial"/>
        </w:rPr>
        <w:t>workforce</w:t>
      </w:r>
      <w:r w:rsidR="00680BF6" w:rsidRPr="00703A0B">
        <w:rPr>
          <w:rFonts w:cs="Arial"/>
        </w:rPr>
        <w:t xml:space="preserve"> capability, engagement and wellbeing</w:t>
      </w:r>
      <w:r w:rsidR="007109D7" w:rsidRPr="00703A0B">
        <w:rPr>
          <w:rFonts w:cs="Arial"/>
        </w:rPr>
        <w:t xml:space="preserve">. </w:t>
      </w:r>
      <w:r w:rsidR="0046576C" w:rsidRPr="00703A0B">
        <w:rPr>
          <w:rFonts w:cs="Arial"/>
        </w:rPr>
        <w:t>As part of the organisation's broader transformation program, investments were made in digital tools</w:t>
      </w:r>
      <w:r w:rsidR="00040804" w:rsidRPr="00703A0B">
        <w:rPr>
          <w:rFonts w:cs="Arial"/>
        </w:rPr>
        <w:t>,</w:t>
      </w:r>
      <w:r w:rsidR="00B01290" w:rsidRPr="00703A0B">
        <w:rPr>
          <w:rFonts w:cs="Arial"/>
        </w:rPr>
        <w:t xml:space="preserve"> learning and development</w:t>
      </w:r>
      <w:r w:rsidR="00693784" w:rsidRPr="00703A0B">
        <w:rPr>
          <w:rFonts w:cs="Arial"/>
        </w:rPr>
        <w:t>,</w:t>
      </w:r>
      <w:r w:rsidR="00B01290" w:rsidRPr="00703A0B">
        <w:rPr>
          <w:rFonts w:cs="Arial"/>
        </w:rPr>
        <w:t xml:space="preserve"> and</w:t>
      </w:r>
      <w:r w:rsidR="0046576C" w:rsidRPr="00703A0B">
        <w:rPr>
          <w:rFonts w:cs="Arial"/>
        </w:rPr>
        <w:t xml:space="preserve"> practical guidance</w:t>
      </w:r>
      <w:r w:rsidR="00351D63" w:rsidRPr="00703A0B">
        <w:rPr>
          <w:rFonts w:cs="Arial"/>
        </w:rPr>
        <w:t xml:space="preserve">. These investments </w:t>
      </w:r>
      <w:r w:rsidR="00BC18C4" w:rsidRPr="00703A0B">
        <w:rPr>
          <w:rFonts w:cs="Arial"/>
        </w:rPr>
        <w:t>equip</w:t>
      </w:r>
      <w:r w:rsidR="00351D63" w:rsidRPr="00703A0B">
        <w:rPr>
          <w:rFonts w:cs="Arial"/>
        </w:rPr>
        <w:t>ped</w:t>
      </w:r>
      <w:r w:rsidR="0046576C" w:rsidRPr="00703A0B">
        <w:rPr>
          <w:rFonts w:cs="Arial"/>
        </w:rPr>
        <w:t xml:space="preserve"> </w:t>
      </w:r>
      <w:r w:rsidR="00BC18C4" w:rsidRPr="00703A0B">
        <w:rPr>
          <w:rFonts w:cs="Arial"/>
        </w:rPr>
        <w:t>employees with the skills</w:t>
      </w:r>
      <w:r w:rsidR="00A008DE" w:rsidRPr="00703A0B">
        <w:rPr>
          <w:rFonts w:cs="Arial"/>
        </w:rPr>
        <w:t>,</w:t>
      </w:r>
      <w:r w:rsidR="000A1799" w:rsidRPr="00703A0B">
        <w:rPr>
          <w:rFonts w:cs="Arial"/>
        </w:rPr>
        <w:t xml:space="preserve"> </w:t>
      </w:r>
      <w:r w:rsidR="00D43EC2" w:rsidRPr="00703A0B">
        <w:rPr>
          <w:rFonts w:cs="Arial"/>
        </w:rPr>
        <w:t>resources and confidence</w:t>
      </w:r>
      <w:r w:rsidR="000A1799" w:rsidRPr="00703A0B">
        <w:rPr>
          <w:rFonts w:cs="Arial"/>
        </w:rPr>
        <w:t xml:space="preserve"> needed</w:t>
      </w:r>
      <w:r w:rsidR="0046576C" w:rsidRPr="00703A0B">
        <w:rPr>
          <w:rFonts w:cs="Arial"/>
        </w:rPr>
        <w:t xml:space="preserve"> to deliver improved services and outcomes for consumers and industry.</w:t>
      </w:r>
      <w:r w:rsidR="00E50B63" w:rsidRPr="00703A0B">
        <w:rPr>
          <w:rFonts w:cs="Arial"/>
        </w:rPr>
        <w:t xml:space="preserve"> </w:t>
      </w:r>
    </w:p>
    <w:p w14:paraId="6A6E8F90" w14:textId="5B1E8C0D" w:rsidR="002E0FCC" w:rsidRPr="00703A0B" w:rsidRDefault="00A563D3" w:rsidP="00006313">
      <w:pPr>
        <w:spacing w:before="120" w:after="120"/>
        <w:rPr>
          <w:rFonts w:cs="Arial"/>
        </w:rPr>
      </w:pPr>
      <w:r w:rsidRPr="00703A0B">
        <w:rPr>
          <w:rFonts w:cs="Arial"/>
        </w:rPr>
        <w:t xml:space="preserve">A significant milestone during the year was the </w:t>
      </w:r>
      <w:r w:rsidR="00C952B1" w:rsidRPr="00703A0B">
        <w:rPr>
          <w:rFonts w:cs="Arial"/>
        </w:rPr>
        <w:t>launch</w:t>
      </w:r>
      <w:r w:rsidRPr="00703A0B">
        <w:rPr>
          <w:rFonts w:cs="Arial"/>
        </w:rPr>
        <w:t xml:space="preserve"> of the QBCC’s </w:t>
      </w:r>
      <w:r w:rsidR="00584576" w:rsidRPr="00703A0B">
        <w:rPr>
          <w:rFonts w:cs="Arial"/>
        </w:rPr>
        <w:t>People and Culture Strategy</w:t>
      </w:r>
      <w:r w:rsidRPr="00703A0B">
        <w:rPr>
          <w:rFonts w:cs="Arial"/>
        </w:rPr>
        <w:t>, which provides a framework</w:t>
      </w:r>
      <w:r w:rsidR="00584576" w:rsidRPr="00703A0B">
        <w:rPr>
          <w:rFonts w:cs="Arial"/>
        </w:rPr>
        <w:t xml:space="preserve"> </w:t>
      </w:r>
      <w:r w:rsidR="00686787" w:rsidRPr="00703A0B">
        <w:rPr>
          <w:rFonts w:cs="Arial"/>
        </w:rPr>
        <w:t>to</w:t>
      </w:r>
      <w:r w:rsidR="002E0FCC" w:rsidRPr="00703A0B">
        <w:rPr>
          <w:rFonts w:cs="Arial"/>
        </w:rPr>
        <w:t>:</w:t>
      </w:r>
    </w:p>
    <w:p w14:paraId="13DA44F4" w14:textId="3A2FED9E" w:rsidR="007F63C8" w:rsidRPr="00703A0B" w:rsidRDefault="006B3E3B" w:rsidP="007747B7">
      <w:pPr>
        <w:pStyle w:val="ListParagraph"/>
        <w:numPr>
          <w:ilvl w:val="0"/>
          <w:numId w:val="116"/>
        </w:numPr>
        <w:spacing w:before="120" w:after="120"/>
        <w:ind w:left="714" w:hanging="357"/>
        <w:contextualSpacing w:val="0"/>
        <w:rPr>
          <w:rFonts w:cs="Arial"/>
        </w:rPr>
      </w:pPr>
      <w:r w:rsidRPr="00703A0B">
        <w:rPr>
          <w:rFonts w:cs="Arial"/>
        </w:rPr>
        <w:t>shape a values</w:t>
      </w:r>
      <w:r w:rsidR="00F056DB" w:rsidRPr="00703A0B">
        <w:rPr>
          <w:rFonts w:cs="Arial"/>
        </w:rPr>
        <w:t>-led</w:t>
      </w:r>
      <w:r w:rsidR="001E4DDB" w:rsidRPr="00703A0B">
        <w:rPr>
          <w:rFonts w:cs="Arial"/>
        </w:rPr>
        <w:t>,</w:t>
      </w:r>
      <w:r w:rsidR="00F056DB" w:rsidRPr="00703A0B">
        <w:rPr>
          <w:rFonts w:cs="Arial"/>
        </w:rPr>
        <w:t xml:space="preserve"> </w:t>
      </w:r>
      <w:r w:rsidR="00A563D3" w:rsidRPr="00703A0B">
        <w:rPr>
          <w:rFonts w:cs="Arial"/>
        </w:rPr>
        <w:t>high-</w:t>
      </w:r>
      <w:r w:rsidR="00F056DB" w:rsidRPr="00703A0B">
        <w:rPr>
          <w:rFonts w:cs="Arial"/>
        </w:rPr>
        <w:t>performance culture</w:t>
      </w:r>
    </w:p>
    <w:p w14:paraId="2DC88B44" w14:textId="587AE36B" w:rsidR="0049377B" w:rsidRPr="00703A0B" w:rsidRDefault="004F0717" w:rsidP="007747B7">
      <w:pPr>
        <w:pStyle w:val="ListParagraph"/>
        <w:numPr>
          <w:ilvl w:val="0"/>
          <w:numId w:val="116"/>
        </w:numPr>
        <w:spacing w:before="120" w:after="120"/>
        <w:ind w:left="714" w:hanging="357"/>
        <w:contextualSpacing w:val="0"/>
        <w:rPr>
          <w:rFonts w:cs="Arial"/>
        </w:rPr>
      </w:pPr>
      <w:r w:rsidRPr="00703A0B">
        <w:rPr>
          <w:rFonts w:cs="Arial"/>
        </w:rPr>
        <w:t>strengt</w:t>
      </w:r>
      <w:r w:rsidR="00A563D3" w:rsidRPr="00703A0B">
        <w:rPr>
          <w:rFonts w:cs="Arial"/>
        </w:rPr>
        <w:t xml:space="preserve">hen </w:t>
      </w:r>
      <w:r w:rsidR="0049377B" w:rsidRPr="00703A0B">
        <w:rPr>
          <w:rFonts w:cs="Arial"/>
        </w:rPr>
        <w:t xml:space="preserve">leadership </w:t>
      </w:r>
      <w:r w:rsidR="00A563D3" w:rsidRPr="00703A0B">
        <w:rPr>
          <w:rFonts w:cs="Arial"/>
        </w:rPr>
        <w:t xml:space="preserve">capability </w:t>
      </w:r>
      <w:r w:rsidR="0049377B" w:rsidRPr="00703A0B">
        <w:rPr>
          <w:rFonts w:cs="Arial"/>
        </w:rPr>
        <w:t>and performance</w:t>
      </w:r>
    </w:p>
    <w:p w14:paraId="60505077" w14:textId="02268F34" w:rsidR="0049377B" w:rsidRPr="00703A0B" w:rsidRDefault="0049377B" w:rsidP="007747B7">
      <w:pPr>
        <w:pStyle w:val="ListParagraph"/>
        <w:numPr>
          <w:ilvl w:val="0"/>
          <w:numId w:val="116"/>
        </w:numPr>
        <w:spacing w:before="120" w:after="120"/>
        <w:ind w:left="714" w:hanging="357"/>
        <w:contextualSpacing w:val="0"/>
        <w:rPr>
          <w:rFonts w:cs="Arial"/>
        </w:rPr>
      </w:pPr>
      <w:r w:rsidRPr="00703A0B">
        <w:rPr>
          <w:rFonts w:cs="Arial"/>
        </w:rPr>
        <w:t>optimise workforce re</w:t>
      </w:r>
      <w:r w:rsidR="00AC45D1" w:rsidRPr="00703A0B">
        <w:rPr>
          <w:rFonts w:cs="Arial"/>
        </w:rPr>
        <w:t>a</w:t>
      </w:r>
      <w:r w:rsidRPr="00703A0B">
        <w:rPr>
          <w:rFonts w:cs="Arial"/>
        </w:rPr>
        <w:t>diness</w:t>
      </w:r>
      <w:r w:rsidR="00C0435F" w:rsidRPr="00703A0B">
        <w:rPr>
          <w:rFonts w:cs="Arial"/>
        </w:rPr>
        <w:t xml:space="preserve"> and capability</w:t>
      </w:r>
    </w:p>
    <w:p w14:paraId="1EA7EB1A" w14:textId="43EA0871" w:rsidR="00AC45D1" w:rsidRPr="00703A0B" w:rsidRDefault="00D90B78" w:rsidP="007747B7">
      <w:pPr>
        <w:pStyle w:val="ListParagraph"/>
        <w:numPr>
          <w:ilvl w:val="0"/>
          <w:numId w:val="116"/>
        </w:numPr>
        <w:spacing w:before="120" w:after="120"/>
        <w:ind w:left="714" w:hanging="357"/>
        <w:contextualSpacing w:val="0"/>
        <w:rPr>
          <w:rFonts w:cs="Arial"/>
        </w:rPr>
      </w:pPr>
      <w:r w:rsidRPr="00703A0B">
        <w:rPr>
          <w:rFonts w:cs="Arial"/>
        </w:rPr>
        <w:t xml:space="preserve">elevate </w:t>
      </w:r>
      <w:r w:rsidR="007E5D3A" w:rsidRPr="00703A0B">
        <w:rPr>
          <w:rFonts w:cs="Arial"/>
        </w:rPr>
        <w:t xml:space="preserve">and integrate </w:t>
      </w:r>
      <w:r w:rsidRPr="00703A0B">
        <w:rPr>
          <w:rFonts w:cs="Arial"/>
        </w:rPr>
        <w:t xml:space="preserve">people systems </w:t>
      </w:r>
      <w:r w:rsidR="00AC45D1" w:rsidRPr="00703A0B">
        <w:rPr>
          <w:rFonts w:cs="Arial"/>
        </w:rPr>
        <w:t>and processes</w:t>
      </w:r>
      <w:r w:rsidR="001E4DDB" w:rsidRPr="00703A0B">
        <w:rPr>
          <w:rFonts w:cs="Arial"/>
        </w:rPr>
        <w:t>.</w:t>
      </w:r>
    </w:p>
    <w:p w14:paraId="076E73C4" w14:textId="7DC66804" w:rsidR="00680BF6" w:rsidRPr="00703A0B" w:rsidRDefault="009C7BFB" w:rsidP="00006313">
      <w:pPr>
        <w:spacing w:before="120" w:after="120"/>
        <w:rPr>
          <w:rFonts w:cs="Arial"/>
        </w:rPr>
      </w:pPr>
      <w:r w:rsidRPr="00703A0B">
        <w:rPr>
          <w:rFonts w:cs="Arial"/>
        </w:rPr>
        <w:t>T</w:t>
      </w:r>
      <w:r w:rsidR="003B35DE" w:rsidRPr="00703A0B">
        <w:rPr>
          <w:rFonts w:cs="Arial"/>
        </w:rPr>
        <w:t xml:space="preserve">he QBCC </w:t>
      </w:r>
      <w:r w:rsidRPr="00703A0B">
        <w:rPr>
          <w:rFonts w:cs="Arial"/>
        </w:rPr>
        <w:t xml:space="preserve">also introduced a new set of </w:t>
      </w:r>
      <w:r w:rsidR="003B35DE" w:rsidRPr="00703A0B">
        <w:rPr>
          <w:rFonts w:cs="Arial"/>
        </w:rPr>
        <w:t>organisational</w:t>
      </w:r>
      <w:r w:rsidR="008516C5" w:rsidRPr="00703A0B">
        <w:rPr>
          <w:rFonts w:cs="Arial"/>
        </w:rPr>
        <w:t xml:space="preserve"> values </w:t>
      </w:r>
      <w:r w:rsidR="007356FA" w:rsidRPr="00703A0B">
        <w:rPr>
          <w:rFonts w:cs="Arial"/>
        </w:rPr>
        <w:t xml:space="preserve">on </w:t>
      </w:r>
      <w:r w:rsidR="001562E2" w:rsidRPr="00703A0B">
        <w:rPr>
          <w:rFonts w:cs="Arial"/>
        </w:rPr>
        <w:t>30 October 2025</w:t>
      </w:r>
      <w:r w:rsidRPr="00703A0B">
        <w:rPr>
          <w:rFonts w:cs="Arial"/>
        </w:rPr>
        <w:t>, centred on</w:t>
      </w:r>
      <w:r w:rsidR="009E102B" w:rsidRPr="00703A0B">
        <w:rPr>
          <w:rFonts w:cs="Arial"/>
        </w:rPr>
        <w:t xml:space="preserve"> </w:t>
      </w:r>
      <w:r w:rsidR="00CC7BA6" w:rsidRPr="00703A0B">
        <w:rPr>
          <w:rFonts w:cs="Arial"/>
        </w:rPr>
        <w:t>f</w:t>
      </w:r>
      <w:r w:rsidR="009E102B" w:rsidRPr="00703A0B">
        <w:rPr>
          <w:rFonts w:cs="Arial"/>
        </w:rPr>
        <w:t xml:space="preserve">airness, </w:t>
      </w:r>
      <w:r w:rsidR="00CC7BA6" w:rsidRPr="00703A0B">
        <w:rPr>
          <w:rFonts w:cs="Arial"/>
        </w:rPr>
        <w:t>a</w:t>
      </w:r>
      <w:r w:rsidR="009E102B" w:rsidRPr="00703A0B">
        <w:rPr>
          <w:rFonts w:cs="Arial"/>
        </w:rPr>
        <w:t xml:space="preserve">ccountability, </w:t>
      </w:r>
      <w:r w:rsidR="00CC7BA6" w:rsidRPr="00703A0B">
        <w:rPr>
          <w:rFonts w:cs="Arial"/>
        </w:rPr>
        <w:t>i</w:t>
      </w:r>
      <w:r w:rsidR="009E102B" w:rsidRPr="00703A0B">
        <w:rPr>
          <w:rFonts w:cs="Arial"/>
        </w:rPr>
        <w:t>ntegrity and respect</w:t>
      </w:r>
      <w:r w:rsidR="00CC7BA6" w:rsidRPr="00703A0B">
        <w:rPr>
          <w:rFonts w:cs="Arial"/>
        </w:rPr>
        <w:t xml:space="preserve">. </w:t>
      </w:r>
      <w:r w:rsidR="00327F2C" w:rsidRPr="00703A0B">
        <w:rPr>
          <w:rFonts w:cs="Arial"/>
        </w:rPr>
        <w:t xml:space="preserve">Together, the </w:t>
      </w:r>
      <w:r w:rsidR="00995C01" w:rsidRPr="00703A0B">
        <w:rPr>
          <w:rFonts w:cs="Arial"/>
        </w:rPr>
        <w:t xml:space="preserve">People and Culture </w:t>
      </w:r>
      <w:r w:rsidR="00327F2C" w:rsidRPr="00703A0B">
        <w:rPr>
          <w:rFonts w:cs="Arial"/>
        </w:rPr>
        <w:t>S</w:t>
      </w:r>
      <w:r w:rsidR="00995C01" w:rsidRPr="00703A0B">
        <w:rPr>
          <w:rFonts w:cs="Arial"/>
        </w:rPr>
        <w:t>trategy</w:t>
      </w:r>
      <w:r w:rsidR="00327F2C" w:rsidRPr="00703A0B">
        <w:rPr>
          <w:rFonts w:cs="Arial"/>
        </w:rPr>
        <w:t xml:space="preserve"> and organisational values are </w:t>
      </w:r>
      <w:r w:rsidR="000D23E3" w:rsidRPr="00703A0B">
        <w:rPr>
          <w:rFonts w:cs="Arial"/>
        </w:rPr>
        <w:t xml:space="preserve">supporting the organisation's transformation objectives by ensuring the workforce is </w:t>
      </w:r>
      <w:r w:rsidR="004154F6" w:rsidRPr="00703A0B">
        <w:rPr>
          <w:rFonts w:cs="Arial"/>
        </w:rPr>
        <w:t>well</w:t>
      </w:r>
      <w:r w:rsidR="00192ADD" w:rsidRPr="00703A0B">
        <w:rPr>
          <w:rFonts w:cs="Arial"/>
        </w:rPr>
        <w:t xml:space="preserve"> </w:t>
      </w:r>
      <w:r w:rsidR="004154F6" w:rsidRPr="00703A0B">
        <w:rPr>
          <w:rFonts w:cs="Arial"/>
        </w:rPr>
        <w:t>positioned</w:t>
      </w:r>
      <w:r w:rsidR="00192ADD" w:rsidRPr="00703A0B">
        <w:rPr>
          <w:rFonts w:cs="Arial"/>
        </w:rPr>
        <w:t xml:space="preserve"> to meet the evolving </w:t>
      </w:r>
      <w:r w:rsidR="000D23E3" w:rsidRPr="00703A0B">
        <w:rPr>
          <w:rFonts w:cs="Arial"/>
        </w:rPr>
        <w:t xml:space="preserve">regulatory and service delivery </w:t>
      </w:r>
      <w:r w:rsidR="00192ADD" w:rsidRPr="00703A0B">
        <w:rPr>
          <w:rFonts w:cs="Arial"/>
        </w:rPr>
        <w:t>needs</w:t>
      </w:r>
      <w:r w:rsidR="001C20D7" w:rsidRPr="00703A0B">
        <w:rPr>
          <w:rFonts w:cs="Arial"/>
        </w:rPr>
        <w:t xml:space="preserve">. </w:t>
      </w:r>
      <w:r w:rsidR="00B82B3D" w:rsidRPr="00703A0B">
        <w:rPr>
          <w:rFonts w:cs="Arial"/>
        </w:rPr>
        <w:t xml:space="preserve">To support these priorities, the QBCC continued to </w:t>
      </w:r>
      <w:r w:rsidR="00A92B87" w:rsidRPr="00703A0B">
        <w:rPr>
          <w:rFonts w:cs="Arial"/>
        </w:rPr>
        <w:t>promote a</w:t>
      </w:r>
      <w:r w:rsidR="00E50B63" w:rsidRPr="00703A0B">
        <w:rPr>
          <w:rFonts w:cs="Arial"/>
        </w:rPr>
        <w:t xml:space="preserve"> </w:t>
      </w:r>
      <w:r w:rsidR="00680BF6" w:rsidRPr="00703A0B">
        <w:rPr>
          <w:rFonts w:cs="Arial"/>
        </w:rPr>
        <w:t>high-performing and inclusive workplace culture</w:t>
      </w:r>
      <w:r w:rsidR="00A92B87" w:rsidRPr="00703A0B">
        <w:rPr>
          <w:rFonts w:cs="Arial"/>
        </w:rPr>
        <w:t xml:space="preserve"> through </w:t>
      </w:r>
      <w:r w:rsidR="00893AE0" w:rsidRPr="00703A0B">
        <w:rPr>
          <w:rFonts w:cs="Arial"/>
        </w:rPr>
        <w:t xml:space="preserve">innovative ways of working, </w:t>
      </w:r>
      <w:r w:rsidR="00680BF6" w:rsidRPr="00703A0B">
        <w:rPr>
          <w:rFonts w:cs="Arial"/>
        </w:rPr>
        <w:t>targeted workforce development, leadership initiatives</w:t>
      </w:r>
      <w:r w:rsidR="00400A93" w:rsidRPr="00703A0B">
        <w:rPr>
          <w:rFonts w:cs="Arial"/>
        </w:rPr>
        <w:t xml:space="preserve"> and </w:t>
      </w:r>
      <w:r w:rsidR="00680BF6" w:rsidRPr="00703A0B">
        <w:rPr>
          <w:rFonts w:cs="Arial"/>
        </w:rPr>
        <w:t>employee support programs.</w:t>
      </w:r>
      <w:r w:rsidR="00F462CD" w:rsidRPr="00703A0B">
        <w:rPr>
          <w:rFonts w:cs="Arial"/>
        </w:rPr>
        <w:t xml:space="preserve"> </w:t>
      </w:r>
      <w:r w:rsidR="00CA6050" w:rsidRPr="00703A0B">
        <w:rPr>
          <w:rFonts w:cs="Arial"/>
        </w:rPr>
        <w:t xml:space="preserve">The organisation also maintained its recruitment focus </w:t>
      </w:r>
      <w:r w:rsidR="00F462CD" w:rsidRPr="00703A0B">
        <w:rPr>
          <w:rFonts w:cs="Arial"/>
        </w:rPr>
        <w:t xml:space="preserve">throughout the </w:t>
      </w:r>
      <w:r w:rsidR="002B70B8" w:rsidRPr="00703A0B">
        <w:rPr>
          <w:rFonts w:cs="Arial"/>
        </w:rPr>
        <w:t>year</w:t>
      </w:r>
      <w:r w:rsidR="00F462CD" w:rsidRPr="00703A0B">
        <w:rPr>
          <w:rFonts w:cs="Arial"/>
        </w:rPr>
        <w:t xml:space="preserve"> to fill vacancies and progress towards its approved workforce establishment of 765 FTE employees.</w:t>
      </w:r>
      <w:r w:rsidR="0020426F" w:rsidRPr="00703A0B">
        <w:rPr>
          <w:rFonts w:cs="Arial"/>
        </w:rPr>
        <w:t xml:space="preserve"> </w:t>
      </w:r>
    </w:p>
    <w:p w14:paraId="28641673" w14:textId="7B047552" w:rsidR="006B7F7C" w:rsidRPr="00703A0B" w:rsidRDefault="00E16668" w:rsidP="005A2D83">
      <w:pPr>
        <w:pStyle w:val="Heading3"/>
        <w:rPr>
          <w:rFonts w:cs="Arial"/>
          <w:szCs w:val="22"/>
        </w:rPr>
      </w:pPr>
      <w:bookmarkStart w:id="178" w:name="_Workforce_profile"/>
      <w:bookmarkEnd w:id="178"/>
      <w:r w:rsidRPr="00703A0B">
        <w:t>Workforce profile</w:t>
      </w:r>
      <w:r w:rsidR="0005107C" w:rsidRPr="00703A0B">
        <w:t xml:space="preserve">  </w:t>
      </w:r>
    </w:p>
    <w:p w14:paraId="6EE504E2" w14:textId="4964D08A" w:rsidR="00A048F5" w:rsidRPr="00703A0B" w:rsidRDefault="00312512" w:rsidP="00A048F5">
      <w:pPr>
        <w:spacing w:before="120" w:after="120"/>
        <w:rPr>
          <w:rFonts w:cs="Arial"/>
        </w:rPr>
      </w:pPr>
      <w:bookmarkStart w:id="179" w:name="_Ref232674114"/>
      <w:bookmarkStart w:id="180" w:name="_Ref204954995"/>
      <w:bookmarkStart w:id="181" w:name="_Ref201912431"/>
      <w:bookmarkStart w:id="182" w:name="_Toc202872068"/>
      <w:bookmarkStart w:id="183" w:name="_Toc202872688"/>
      <w:r w:rsidRPr="00703A0B">
        <w:rPr>
          <w:rFonts w:cs="Arial"/>
        </w:rPr>
        <w:t>Throughout 2025–26, the QBCC monitored workforce composition to inform workforce planning and ensure it maintained a skilled, experienced and diverse workforce capable of meeting the organisation's regulatory and service delivery needs</w:t>
      </w:r>
      <w:r w:rsidR="00A048F5" w:rsidRPr="00703A0B">
        <w:rPr>
          <w:rFonts w:cs="Arial"/>
        </w:rPr>
        <w:t>.</w:t>
      </w:r>
      <w:r w:rsidR="00202740" w:rsidRPr="00703A0B">
        <w:rPr>
          <w:rFonts w:cs="Arial"/>
        </w:rPr>
        <w:t xml:space="preserve"> </w:t>
      </w:r>
      <w:r w:rsidR="00202740" w:rsidRPr="00703A0B">
        <w:rPr>
          <w:rFonts w:cs="Arial"/>
        </w:rPr>
        <w:fldChar w:fldCharType="begin"/>
      </w:r>
      <w:r w:rsidR="00202740" w:rsidRPr="00703A0B">
        <w:rPr>
          <w:rFonts w:cs="Arial"/>
        </w:rPr>
        <w:instrText xml:space="preserve"> REF _Ref234921464 \h </w:instrText>
      </w:r>
      <w:r w:rsidR="00202740" w:rsidRPr="00703A0B">
        <w:rPr>
          <w:rFonts w:cs="Arial"/>
        </w:rPr>
      </w:r>
      <w:r w:rsidR="00202740" w:rsidRPr="00703A0B">
        <w:rPr>
          <w:rFonts w:cs="Arial"/>
        </w:rPr>
        <w:fldChar w:fldCharType="separate"/>
      </w:r>
      <w:r w:rsidR="00712377" w:rsidRPr="00703A0B">
        <w:t xml:space="preserve">Table </w:t>
      </w:r>
      <w:r w:rsidR="00712377" w:rsidRPr="00F80E1E">
        <w:t>25</w:t>
      </w:r>
      <w:r w:rsidR="00202740" w:rsidRPr="00703A0B">
        <w:rPr>
          <w:rFonts w:cs="Arial"/>
        </w:rPr>
        <w:fldChar w:fldCharType="end"/>
      </w:r>
      <w:r w:rsidR="00202740" w:rsidRPr="00703A0B">
        <w:rPr>
          <w:rFonts w:cs="Arial"/>
        </w:rPr>
        <w:t xml:space="preserve"> provides an overview of the </w:t>
      </w:r>
      <w:r w:rsidR="007D3089" w:rsidRPr="00703A0B">
        <w:rPr>
          <w:rFonts w:cs="Arial"/>
        </w:rPr>
        <w:t>QBCC workforce profile</w:t>
      </w:r>
      <w:r w:rsidR="00832EC2" w:rsidRPr="00703A0B">
        <w:rPr>
          <w:rFonts w:cs="Arial"/>
        </w:rPr>
        <w:t>.</w:t>
      </w:r>
    </w:p>
    <w:p w14:paraId="2D775DC2" w14:textId="6CE06762" w:rsidR="00943533" w:rsidRPr="00703A0B" w:rsidRDefault="002F2FE2" w:rsidP="002F2FE2">
      <w:pPr>
        <w:pStyle w:val="Caption"/>
      </w:pPr>
      <w:bookmarkStart w:id="184" w:name="_Ref234921464"/>
      <w:r w:rsidRPr="00703A0B">
        <w:t xml:space="preserve">Table </w:t>
      </w:r>
      <w:r w:rsidRPr="00703A0B">
        <w:fldChar w:fldCharType="begin"/>
      </w:r>
      <w:r w:rsidRPr="00703A0B">
        <w:instrText>SEQ Table \* ARABIC</w:instrText>
      </w:r>
      <w:r w:rsidRPr="00703A0B">
        <w:fldChar w:fldCharType="separate"/>
      </w:r>
      <w:r w:rsidR="003764AA" w:rsidRPr="00F80E1E">
        <w:t>25</w:t>
      </w:r>
      <w:r w:rsidRPr="00703A0B">
        <w:fldChar w:fldCharType="end"/>
      </w:r>
      <w:bookmarkEnd w:id="179"/>
      <w:bookmarkEnd w:id="180"/>
      <w:bookmarkEnd w:id="181"/>
      <w:bookmarkEnd w:id="184"/>
      <w:r w:rsidR="00C62F59" w:rsidRPr="00703A0B">
        <w:t xml:space="preserve">: </w:t>
      </w:r>
      <w:bookmarkStart w:id="185" w:name="_Ref202873652"/>
      <w:r w:rsidR="00412DD1" w:rsidRPr="00703A0B">
        <w:t>Employee demographics, diversity</w:t>
      </w:r>
      <w:r w:rsidR="00403C65" w:rsidRPr="00703A0B">
        <w:t xml:space="preserve"> and leadership</w:t>
      </w:r>
      <w:r w:rsidR="00C62F59" w:rsidRPr="00703A0B">
        <w:t xml:space="preserve"> </w:t>
      </w:r>
      <w:r w:rsidR="002F4128" w:rsidRPr="00703A0B">
        <w:t xml:space="preserve">roles </w:t>
      </w:r>
      <w:r w:rsidR="007D3089" w:rsidRPr="00703A0B">
        <w:t>over the past two years</w:t>
      </w:r>
      <w:bookmarkEnd w:id="182"/>
      <w:bookmarkEnd w:id="183"/>
      <w:bookmarkEnd w:id="185"/>
    </w:p>
    <w:tbl>
      <w:tblPr>
        <w:tblStyle w:val="TableGrid"/>
        <w:tblW w:w="10065" w:type="dxa"/>
        <w:tblInd w:w="-5" w:type="dxa"/>
        <w:tblLayout w:type="fixed"/>
        <w:tblCellMar>
          <w:top w:w="28" w:type="dxa"/>
          <w:bottom w:w="28" w:type="dxa"/>
        </w:tblCellMar>
        <w:tblLook w:val="04A0" w:firstRow="1" w:lastRow="0" w:firstColumn="1" w:lastColumn="0" w:noHBand="0" w:noVBand="1"/>
      </w:tblPr>
      <w:tblGrid>
        <w:gridCol w:w="3686"/>
        <w:gridCol w:w="1594"/>
        <w:gridCol w:w="1595"/>
        <w:gridCol w:w="1595"/>
        <w:gridCol w:w="1595"/>
      </w:tblGrid>
      <w:tr w:rsidR="00EC1A8A" w:rsidRPr="00703A0B" w14:paraId="59442F78" w14:textId="77777777" w:rsidTr="00BC2931">
        <w:tc>
          <w:tcPr>
            <w:tcW w:w="3686" w:type="dxa"/>
            <w:vMerge w:val="restart"/>
            <w:shd w:val="clear" w:color="auto" w:fill="BFBFBF" w:themeFill="background1" w:themeFillShade="BF"/>
          </w:tcPr>
          <w:p w14:paraId="5F86DF85" w14:textId="77777777" w:rsidR="005708FD" w:rsidRPr="00703A0B" w:rsidRDefault="005708FD" w:rsidP="00BB09BC">
            <w:pPr>
              <w:rPr>
                <w:rFonts w:cs="Arial"/>
                <w:b/>
                <w:szCs w:val="22"/>
              </w:rPr>
            </w:pPr>
            <w:r w:rsidRPr="00703A0B">
              <w:rPr>
                <w:rFonts w:cs="Arial"/>
                <w:b/>
                <w:szCs w:val="22"/>
              </w:rPr>
              <w:t>Gender</w:t>
            </w:r>
          </w:p>
        </w:tc>
        <w:tc>
          <w:tcPr>
            <w:tcW w:w="3189" w:type="dxa"/>
            <w:gridSpan w:val="2"/>
            <w:shd w:val="clear" w:color="auto" w:fill="BFBFBF" w:themeFill="background1" w:themeFillShade="BF"/>
          </w:tcPr>
          <w:p w14:paraId="4C190254" w14:textId="7C50221A" w:rsidR="005708FD" w:rsidRPr="00703A0B" w:rsidRDefault="00094FA8" w:rsidP="00BB09BC">
            <w:pPr>
              <w:rPr>
                <w:rFonts w:cs="Arial"/>
                <w:b/>
                <w:szCs w:val="22"/>
              </w:rPr>
            </w:pPr>
            <w:r w:rsidRPr="00703A0B">
              <w:rPr>
                <w:rFonts w:cs="Arial"/>
                <w:b/>
                <w:szCs w:val="22"/>
              </w:rPr>
              <w:t xml:space="preserve">Headcount </w:t>
            </w:r>
          </w:p>
        </w:tc>
        <w:tc>
          <w:tcPr>
            <w:tcW w:w="3190" w:type="dxa"/>
            <w:gridSpan w:val="2"/>
            <w:shd w:val="clear" w:color="auto" w:fill="BFBFBF" w:themeFill="background1" w:themeFillShade="BF"/>
          </w:tcPr>
          <w:p w14:paraId="6C6E29BD" w14:textId="73102972" w:rsidR="005708FD" w:rsidRPr="00703A0B" w:rsidRDefault="00543CA6" w:rsidP="00BB09BC">
            <w:pPr>
              <w:rPr>
                <w:rFonts w:cs="Arial"/>
                <w:b/>
                <w:szCs w:val="22"/>
              </w:rPr>
            </w:pPr>
            <w:r w:rsidRPr="00703A0B">
              <w:rPr>
                <w:rFonts w:cs="Arial"/>
                <w:b/>
                <w:szCs w:val="22"/>
              </w:rPr>
              <w:t>T</w:t>
            </w:r>
            <w:r w:rsidR="005708FD" w:rsidRPr="00703A0B">
              <w:rPr>
                <w:rFonts w:cs="Arial"/>
                <w:b/>
                <w:szCs w:val="22"/>
              </w:rPr>
              <w:t>otal workforce</w:t>
            </w:r>
            <w:r w:rsidR="00AF47DE" w:rsidRPr="00703A0B">
              <w:rPr>
                <w:rFonts w:cs="Arial"/>
                <w:b/>
                <w:szCs w:val="22"/>
              </w:rPr>
              <w:t xml:space="preserve"> by headcount</w:t>
            </w:r>
            <w:r w:rsidR="00D55F67" w:rsidRPr="00703A0B">
              <w:rPr>
                <w:rFonts w:cs="Arial"/>
                <w:b/>
                <w:szCs w:val="22"/>
              </w:rPr>
              <w:t xml:space="preserve"> (</w:t>
            </w:r>
            <w:r w:rsidR="000D1B29" w:rsidRPr="00703A0B">
              <w:rPr>
                <w:rFonts w:cs="Arial"/>
                <w:b/>
                <w:szCs w:val="22"/>
              </w:rPr>
              <w:t>%)</w:t>
            </w:r>
          </w:p>
        </w:tc>
      </w:tr>
      <w:tr w:rsidR="00735FF5" w:rsidRPr="00703A0B" w14:paraId="6E3AD149" w14:textId="77777777" w:rsidTr="00BC2931">
        <w:tc>
          <w:tcPr>
            <w:tcW w:w="3686" w:type="dxa"/>
            <w:vMerge/>
          </w:tcPr>
          <w:p w14:paraId="5F2AC508" w14:textId="77777777" w:rsidR="00735FF5" w:rsidRPr="00703A0B" w:rsidRDefault="00735FF5" w:rsidP="00BB09BC">
            <w:pPr>
              <w:rPr>
                <w:rFonts w:cs="Arial"/>
              </w:rPr>
            </w:pPr>
          </w:p>
        </w:tc>
        <w:tc>
          <w:tcPr>
            <w:tcW w:w="1594" w:type="dxa"/>
            <w:shd w:val="clear" w:color="auto" w:fill="D9D9D9" w:themeFill="background1" w:themeFillShade="D9"/>
          </w:tcPr>
          <w:p w14:paraId="06D5ACE2" w14:textId="5F281727" w:rsidR="00735FF5" w:rsidRPr="00703A0B" w:rsidRDefault="00735FF5" w:rsidP="00BB09BC">
            <w:pPr>
              <w:rPr>
                <w:rFonts w:cs="Arial"/>
                <w:b/>
                <w:szCs w:val="22"/>
                <w:highlight w:val="yellow"/>
              </w:rPr>
            </w:pPr>
            <w:r w:rsidRPr="00703A0B">
              <w:rPr>
                <w:rFonts w:cs="Arial"/>
                <w:b/>
                <w:szCs w:val="22"/>
              </w:rPr>
              <w:t>2024</w:t>
            </w:r>
            <w:r w:rsidR="006D4C7E" w:rsidRPr="00703A0B">
              <w:rPr>
                <w:rFonts w:cs="Arial"/>
                <w:b/>
                <w:szCs w:val="22"/>
              </w:rPr>
              <w:t>–</w:t>
            </w:r>
            <w:r w:rsidRPr="00703A0B">
              <w:rPr>
                <w:rFonts w:cs="Arial"/>
                <w:b/>
                <w:szCs w:val="22"/>
              </w:rPr>
              <w:t>25</w:t>
            </w:r>
          </w:p>
        </w:tc>
        <w:tc>
          <w:tcPr>
            <w:tcW w:w="1595" w:type="dxa"/>
            <w:shd w:val="clear" w:color="auto" w:fill="D9D9D9" w:themeFill="background1" w:themeFillShade="D9"/>
          </w:tcPr>
          <w:p w14:paraId="4E561FEF" w14:textId="72652D53" w:rsidR="00735FF5" w:rsidRPr="00703A0B" w:rsidRDefault="00735FF5" w:rsidP="00BB09BC">
            <w:pPr>
              <w:rPr>
                <w:rFonts w:cs="Arial"/>
                <w:b/>
              </w:rPr>
            </w:pPr>
            <w:r w:rsidRPr="00703A0B">
              <w:rPr>
                <w:rFonts w:cs="Arial"/>
                <w:b/>
                <w:szCs w:val="22"/>
              </w:rPr>
              <w:t>2025</w:t>
            </w:r>
            <w:r w:rsidR="006D4C7E" w:rsidRPr="00703A0B">
              <w:rPr>
                <w:rFonts w:cs="Arial"/>
                <w:b/>
                <w:szCs w:val="22"/>
              </w:rPr>
              <w:t>–</w:t>
            </w:r>
            <w:r w:rsidRPr="00703A0B">
              <w:rPr>
                <w:rFonts w:cs="Arial"/>
                <w:b/>
                <w:szCs w:val="22"/>
              </w:rPr>
              <w:t>26</w:t>
            </w:r>
          </w:p>
        </w:tc>
        <w:tc>
          <w:tcPr>
            <w:tcW w:w="1595" w:type="dxa"/>
            <w:shd w:val="clear" w:color="auto" w:fill="D9D9D9" w:themeFill="background1" w:themeFillShade="D9"/>
          </w:tcPr>
          <w:p w14:paraId="15FB9B44" w14:textId="27E4CCD7" w:rsidR="00735FF5" w:rsidRPr="00703A0B" w:rsidRDefault="00735FF5" w:rsidP="00BC2931">
            <w:pPr>
              <w:rPr>
                <w:rFonts w:cs="Arial"/>
                <w:b/>
                <w:szCs w:val="22"/>
                <w:highlight w:val="yellow"/>
              </w:rPr>
            </w:pPr>
            <w:r w:rsidRPr="00703A0B">
              <w:rPr>
                <w:rFonts w:cs="Arial"/>
                <w:b/>
                <w:szCs w:val="22"/>
              </w:rPr>
              <w:t>2024</w:t>
            </w:r>
            <w:r w:rsidR="006D4C7E" w:rsidRPr="00703A0B">
              <w:rPr>
                <w:rFonts w:cs="Arial"/>
                <w:b/>
                <w:szCs w:val="22"/>
              </w:rPr>
              <w:t>–</w:t>
            </w:r>
            <w:r w:rsidRPr="00703A0B">
              <w:rPr>
                <w:rFonts w:cs="Arial"/>
                <w:b/>
                <w:szCs w:val="22"/>
              </w:rPr>
              <w:t>25</w:t>
            </w:r>
          </w:p>
        </w:tc>
        <w:tc>
          <w:tcPr>
            <w:tcW w:w="1595" w:type="dxa"/>
            <w:shd w:val="clear" w:color="auto" w:fill="D9D9D9" w:themeFill="background1" w:themeFillShade="D9"/>
          </w:tcPr>
          <w:p w14:paraId="5913F8C0" w14:textId="1AD0F01D" w:rsidR="00735FF5" w:rsidRPr="00703A0B" w:rsidRDefault="00735FF5" w:rsidP="00BC2931">
            <w:pPr>
              <w:rPr>
                <w:rFonts w:cs="Arial"/>
                <w:b/>
                <w:szCs w:val="22"/>
                <w:highlight w:val="yellow"/>
              </w:rPr>
            </w:pPr>
            <w:r w:rsidRPr="00703A0B">
              <w:rPr>
                <w:rFonts w:cs="Arial"/>
                <w:b/>
                <w:szCs w:val="22"/>
              </w:rPr>
              <w:t>2025</w:t>
            </w:r>
            <w:r w:rsidR="006D4C7E" w:rsidRPr="00703A0B">
              <w:rPr>
                <w:rFonts w:cs="Arial"/>
                <w:b/>
                <w:szCs w:val="22"/>
              </w:rPr>
              <w:t>–</w:t>
            </w:r>
            <w:r w:rsidRPr="00703A0B">
              <w:rPr>
                <w:rFonts w:cs="Arial"/>
                <w:b/>
                <w:szCs w:val="22"/>
              </w:rPr>
              <w:t>26</w:t>
            </w:r>
          </w:p>
        </w:tc>
      </w:tr>
      <w:tr w:rsidR="006213A3" w:rsidRPr="00703A0B" w14:paraId="328DEC00" w14:textId="77777777" w:rsidTr="00BC2931">
        <w:tc>
          <w:tcPr>
            <w:tcW w:w="3686" w:type="dxa"/>
          </w:tcPr>
          <w:p w14:paraId="27DDF985" w14:textId="0DB94816" w:rsidR="005708FD" w:rsidRPr="00703A0B" w:rsidRDefault="005708FD" w:rsidP="00BB09BC">
            <w:pPr>
              <w:rPr>
                <w:rFonts w:cs="Arial"/>
              </w:rPr>
            </w:pPr>
            <w:r w:rsidRPr="00703A0B">
              <w:rPr>
                <w:rFonts w:cs="Arial"/>
              </w:rPr>
              <w:t>M</w:t>
            </w:r>
            <w:r w:rsidR="003163E2" w:rsidRPr="00703A0B">
              <w:rPr>
                <w:rFonts w:cs="Arial"/>
              </w:rPr>
              <w:t>e</w:t>
            </w:r>
            <w:r w:rsidRPr="00703A0B">
              <w:rPr>
                <w:rFonts w:cs="Arial"/>
              </w:rPr>
              <w:t>n</w:t>
            </w:r>
          </w:p>
        </w:tc>
        <w:tc>
          <w:tcPr>
            <w:tcW w:w="1594" w:type="dxa"/>
          </w:tcPr>
          <w:p w14:paraId="270A93F2" w14:textId="0627C2BA" w:rsidR="00735FF5" w:rsidRPr="00703A0B" w:rsidRDefault="5886944B" w:rsidP="00BB09BC">
            <w:pPr>
              <w:rPr>
                <w:rFonts w:cs="Arial"/>
              </w:rPr>
            </w:pPr>
            <w:r w:rsidRPr="00703A0B">
              <w:rPr>
                <w:rFonts w:cs="Arial"/>
              </w:rPr>
              <w:t>314</w:t>
            </w:r>
          </w:p>
        </w:tc>
        <w:tc>
          <w:tcPr>
            <w:tcW w:w="1595" w:type="dxa"/>
          </w:tcPr>
          <w:p w14:paraId="09BA1E83" w14:textId="6C9950D2" w:rsidR="005708FD" w:rsidRPr="00703A0B" w:rsidRDefault="5886944B" w:rsidP="00BC2931">
            <w:pPr>
              <w:rPr>
                <w:rFonts w:cs="Arial"/>
              </w:rPr>
            </w:pPr>
            <w:r w:rsidRPr="00703A0B">
              <w:rPr>
                <w:rFonts w:cs="Arial"/>
              </w:rPr>
              <w:t>321</w:t>
            </w:r>
          </w:p>
        </w:tc>
        <w:tc>
          <w:tcPr>
            <w:tcW w:w="1595" w:type="dxa"/>
          </w:tcPr>
          <w:p w14:paraId="6B3C651F" w14:textId="50BE820C" w:rsidR="00735FF5" w:rsidRPr="00703A0B" w:rsidRDefault="1CCE65BB" w:rsidP="00BC2931">
            <w:pPr>
              <w:rPr>
                <w:rFonts w:cs="Arial"/>
              </w:rPr>
            </w:pPr>
            <w:r w:rsidRPr="00703A0B">
              <w:rPr>
                <w:rFonts w:cs="Arial"/>
              </w:rPr>
              <w:t>45.4</w:t>
            </w:r>
          </w:p>
        </w:tc>
        <w:tc>
          <w:tcPr>
            <w:tcW w:w="1595" w:type="dxa"/>
          </w:tcPr>
          <w:p w14:paraId="44314E19" w14:textId="378FE6A5" w:rsidR="005708FD" w:rsidRPr="00703A0B" w:rsidRDefault="06AD41FC" w:rsidP="00BC2931">
            <w:pPr>
              <w:rPr>
                <w:rFonts w:cs="Arial"/>
              </w:rPr>
            </w:pPr>
            <w:r w:rsidRPr="00703A0B">
              <w:rPr>
                <w:rFonts w:cs="Arial"/>
              </w:rPr>
              <w:t>45.3</w:t>
            </w:r>
          </w:p>
        </w:tc>
      </w:tr>
      <w:tr w:rsidR="006213A3" w:rsidRPr="00703A0B" w14:paraId="725481FA" w14:textId="77777777" w:rsidTr="00BC2931">
        <w:tc>
          <w:tcPr>
            <w:tcW w:w="3686" w:type="dxa"/>
          </w:tcPr>
          <w:p w14:paraId="09A38A74" w14:textId="03102270" w:rsidR="005708FD" w:rsidRPr="00703A0B" w:rsidRDefault="005708FD" w:rsidP="00BC2931">
            <w:pPr>
              <w:rPr>
                <w:rFonts w:cs="Arial"/>
              </w:rPr>
            </w:pPr>
            <w:r w:rsidRPr="00703A0B">
              <w:rPr>
                <w:rFonts w:cs="Arial"/>
              </w:rPr>
              <w:t>Wom</w:t>
            </w:r>
            <w:r w:rsidR="00DA4F33" w:rsidRPr="00703A0B">
              <w:rPr>
                <w:rFonts w:cs="Arial"/>
              </w:rPr>
              <w:t>e</w:t>
            </w:r>
            <w:r w:rsidRPr="00703A0B">
              <w:rPr>
                <w:rFonts w:cs="Arial"/>
              </w:rPr>
              <w:t>n</w:t>
            </w:r>
          </w:p>
        </w:tc>
        <w:tc>
          <w:tcPr>
            <w:tcW w:w="1594" w:type="dxa"/>
          </w:tcPr>
          <w:p w14:paraId="22892964" w14:textId="26900B14" w:rsidR="00735FF5" w:rsidRPr="00703A0B" w:rsidRDefault="750DA51F" w:rsidP="00BB09BC">
            <w:pPr>
              <w:rPr>
                <w:rFonts w:cs="Arial"/>
              </w:rPr>
            </w:pPr>
            <w:r w:rsidRPr="00703A0B">
              <w:rPr>
                <w:rFonts w:cs="Arial"/>
              </w:rPr>
              <w:t>378</w:t>
            </w:r>
          </w:p>
        </w:tc>
        <w:tc>
          <w:tcPr>
            <w:tcW w:w="1595" w:type="dxa"/>
          </w:tcPr>
          <w:p w14:paraId="62033E6F" w14:textId="7F05CE83" w:rsidR="005708FD" w:rsidRPr="00703A0B" w:rsidRDefault="32670C39" w:rsidP="00BB09BC">
            <w:pPr>
              <w:rPr>
                <w:rFonts w:cs="Arial"/>
              </w:rPr>
            </w:pPr>
            <w:r w:rsidRPr="00703A0B">
              <w:rPr>
                <w:rFonts w:cs="Arial"/>
              </w:rPr>
              <w:t>387</w:t>
            </w:r>
          </w:p>
        </w:tc>
        <w:tc>
          <w:tcPr>
            <w:tcW w:w="1595" w:type="dxa"/>
          </w:tcPr>
          <w:p w14:paraId="156A896B" w14:textId="1CD06609" w:rsidR="00735FF5" w:rsidRPr="00703A0B" w:rsidRDefault="2D771095" w:rsidP="00BB09BC">
            <w:pPr>
              <w:rPr>
                <w:rFonts w:cs="Arial"/>
              </w:rPr>
            </w:pPr>
            <w:r w:rsidRPr="00703A0B">
              <w:rPr>
                <w:rFonts w:cs="Arial"/>
              </w:rPr>
              <w:t>54.6</w:t>
            </w:r>
          </w:p>
        </w:tc>
        <w:tc>
          <w:tcPr>
            <w:tcW w:w="1595" w:type="dxa"/>
          </w:tcPr>
          <w:p w14:paraId="317F0E4E" w14:textId="01E73739" w:rsidR="005708FD" w:rsidRPr="00703A0B" w:rsidRDefault="0322E480" w:rsidP="00BB09BC">
            <w:pPr>
              <w:rPr>
                <w:rFonts w:cs="Arial"/>
              </w:rPr>
            </w:pPr>
            <w:r w:rsidRPr="00703A0B">
              <w:rPr>
                <w:rFonts w:cs="Arial"/>
              </w:rPr>
              <w:t>54.7</w:t>
            </w:r>
          </w:p>
        </w:tc>
      </w:tr>
      <w:tr w:rsidR="006213A3" w:rsidRPr="00703A0B" w14:paraId="57108E9F" w14:textId="77777777" w:rsidTr="00BC2931">
        <w:tc>
          <w:tcPr>
            <w:tcW w:w="3686" w:type="dxa"/>
          </w:tcPr>
          <w:p w14:paraId="2F0B4424" w14:textId="77777777" w:rsidR="005708FD" w:rsidRPr="00703A0B" w:rsidRDefault="005708FD" w:rsidP="00BB09BC">
            <w:pPr>
              <w:rPr>
                <w:rFonts w:cs="Arial"/>
              </w:rPr>
            </w:pPr>
            <w:r w:rsidRPr="00703A0B">
              <w:rPr>
                <w:rFonts w:cs="Arial"/>
              </w:rPr>
              <w:t>Non-binary</w:t>
            </w:r>
          </w:p>
        </w:tc>
        <w:tc>
          <w:tcPr>
            <w:tcW w:w="1594" w:type="dxa"/>
          </w:tcPr>
          <w:p w14:paraId="5C4299A8" w14:textId="1E3E31EB" w:rsidR="00735FF5" w:rsidRPr="00703A0B" w:rsidRDefault="1D235AA9" w:rsidP="00BB09BC">
            <w:pPr>
              <w:rPr>
                <w:rFonts w:cs="Arial"/>
              </w:rPr>
            </w:pPr>
            <w:r w:rsidRPr="00703A0B">
              <w:rPr>
                <w:rFonts w:cs="Arial"/>
              </w:rPr>
              <w:t>0</w:t>
            </w:r>
          </w:p>
        </w:tc>
        <w:tc>
          <w:tcPr>
            <w:tcW w:w="1595" w:type="dxa"/>
          </w:tcPr>
          <w:p w14:paraId="5E41D758" w14:textId="530DBE4B" w:rsidR="005708FD" w:rsidRPr="00703A0B" w:rsidRDefault="0BDDECF3" w:rsidP="00BB09BC">
            <w:pPr>
              <w:rPr>
                <w:rFonts w:cs="Arial"/>
              </w:rPr>
            </w:pPr>
            <w:r w:rsidRPr="00703A0B">
              <w:rPr>
                <w:rFonts w:cs="Arial"/>
              </w:rPr>
              <w:t>0</w:t>
            </w:r>
          </w:p>
        </w:tc>
        <w:tc>
          <w:tcPr>
            <w:tcW w:w="1595" w:type="dxa"/>
          </w:tcPr>
          <w:p w14:paraId="2FC2B4D3" w14:textId="514A1D62" w:rsidR="00735FF5" w:rsidRPr="00703A0B" w:rsidRDefault="5609C21E" w:rsidP="00BB09BC">
            <w:pPr>
              <w:rPr>
                <w:rFonts w:cs="Arial"/>
              </w:rPr>
            </w:pPr>
            <w:r w:rsidRPr="00703A0B">
              <w:rPr>
                <w:rFonts w:cs="Arial"/>
              </w:rPr>
              <w:t>0</w:t>
            </w:r>
          </w:p>
        </w:tc>
        <w:tc>
          <w:tcPr>
            <w:tcW w:w="1595" w:type="dxa"/>
          </w:tcPr>
          <w:p w14:paraId="1EEF22A3" w14:textId="23562626" w:rsidR="005708FD" w:rsidRPr="00703A0B" w:rsidRDefault="62B330B9" w:rsidP="00BB09BC">
            <w:pPr>
              <w:rPr>
                <w:rFonts w:cs="Arial"/>
              </w:rPr>
            </w:pPr>
            <w:r w:rsidRPr="00703A0B">
              <w:rPr>
                <w:rFonts w:cs="Arial"/>
              </w:rPr>
              <w:t>0</w:t>
            </w:r>
          </w:p>
        </w:tc>
      </w:tr>
      <w:tr w:rsidR="00EC1A8A" w:rsidRPr="00703A0B" w14:paraId="1A30508D" w14:textId="77777777" w:rsidTr="00BC2931">
        <w:tc>
          <w:tcPr>
            <w:tcW w:w="3686" w:type="dxa"/>
            <w:vMerge w:val="restart"/>
            <w:shd w:val="clear" w:color="auto" w:fill="BFBFBF" w:themeFill="background1" w:themeFillShade="BF"/>
          </w:tcPr>
          <w:p w14:paraId="313C4793" w14:textId="378BECC3" w:rsidR="005708FD" w:rsidRPr="00703A0B" w:rsidRDefault="005708FD" w:rsidP="00BB09BC">
            <w:pPr>
              <w:rPr>
                <w:rFonts w:cs="Arial"/>
                <w:b/>
                <w:szCs w:val="22"/>
              </w:rPr>
            </w:pPr>
            <w:r w:rsidRPr="00703A0B">
              <w:rPr>
                <w:rFonts w:cs="Arial"/>
                <w:b/>
                <w:szCs w:val="22"/>
              </w:rPr>
              <w:t xml:space="preserve">Diversity </w:t>
            </w:r>
          </w:p>
        </w:tc>
        <w:tc>
          <w:tcPr>
            <w:tcW w:w="3189" w:type="dxa"/>
            <w:gridSpan w:val="2"/>
            <w:shd w:val="clear" w:color="auto" w:fill="BFBFBF" w:themeFill="background1" w:themeFillShade="BF"/>
          </w:tcPr>
          <w:p w14:paraId="42883EFE" w14:textId="1ED18128" w:rsidR="005708FD" w:rsidRPr="00703A0B" w:rsidRDefault="00A0725E" w:rsidP="00BB09BC">
            <w:pPr>
              <w:rPr>
                <w:rFonts w:cs="Arial"/>
                <w:b/>
                <w:szCs w:val="22"/>
              </w:rPr>
            </w:pPr>
            <w:r w:rsidRPr="00703A0B">
              <w:rPr>
                <w:rFonts w:cs="Arial"/>
                <w:b/>
                <w:szCs w:val="22"/>
              </w:rPr>
              <w:t>Headcount</w:t>
            </w:r>
          </w:p>
        </w:tc>
        <w:tc>
          <w:tcPr>
            <w:tcW w:w="3190" w:type="dxa"/>
            <w:gridSpan w:val="2"/>
            <w:shd w:val="clear" w:color="auto" w:fill="BFBFBF" w:themeFill="background1" w:themeFillShade="BF"/>
          </w:tcPr>
          <w:p w14:paraId="214CCBBA" w14:textId="64443C28" w:rsidR="005708FD" w:rsidRPr="00703A0B" w:rsidRDefault="00543CA6" w:rsidP="00BB09BC">
            <w:pPr>
              <w:rPr>
                <w:rFonts w:cs="Arial"/>
                <w:b/>
                <w:szCs w:val="22"/>
              </w:rPr>
            </w:pPr>
            <w:r w:rsidRPr="00703A0B">
              <w:rPr>
                <w:rFonts w:cs="Arial"/>
                <w:b/>
                <w:szCs w:val="22"/>
              </w:rPr>
              <w:t>T</w:t>
            </w:r>
            <w:r w:rsidR="00AF47DE" w:rsidRPr="00703A0B">
              <w:rPr>
                <w:rFonts w:cs="Arial"/>
                <w:b/>
                <w:szCs w:val="22"/>
              </w:rPr>
              <w:t>otal workforce by headcount</w:t>
            </w:r>
            <w:r w:rsidR="00020352" w:rsidRPr="00703A0B">
              <w:rPr>
                <w:rFonts w:cs="Arial"/>
                <w:b/>
                <w:szCs w:val="22"/>
              </w:rPr>
              <w:t xml:space="preserve"> (%)</w:t>
            </w:r>
          </w:p>
        </w:tc>
      </w:tr>
      <w:tr w:rsidR="00735FF5" w:rsidRPr="00703A0B" w14:paraId="0E82C4A2" w14:textId="77777777" w:rsidTr="00BC2931">
        <w:tc>
          <w:tcPr>
            <w:tcW w:w="3686" w:type="dxa"/>
            <w:vMerge/>
          </w:tcPr>
          <w:p w14:paraId="69474209" w14:textId="77777777" w:rsidR="00735FF5" w:rsidRPr="00703A0B" w:rsidRDefault="00735FF5" w:rsidP="00BB09BC">
            <w:pPr>
              <w:rPr>
                <w:rFonts w:cs="Arial"/>
                <w:szCs w:val="22"/>
              </w:rPr>
            </w:pPr>
          </w:p>
        </w:tc>
        <w:tc>
          <w:tcPr>
            <w:tcW w:w="1594" w:type="dxa"/>
            <w:shd w:val="clear" w:color="auto" w:fill="D9D9D9" w:themeFill="background1" w:themeFillShade="D9"/>
          </w:tcPr>
          <w:p w14:paraId="6DBD3161" w14:textId="3FE2CFF2" w:rsidR="00735FF5" w:rsidRPr="00703A0B" w:rsidRDefault="00735FF5" w:rsidP="00BB09BC">
            <w:pPr>
              <w:rPr>
                <w:rFonts w:cs="Arial"/>
                <w:b/>
                <w:szCs w:val="22"/>
              </w:rPr>
            </w:pPr>
            <w:r w:rsidRPr="00703A0B">
              <w:rPr>
                <w:rFonts w:cs="Arial"/>
                <w:b/>
                <w:szCs w:val="22"/>
              </w:rPr>
              <w:t>2024</w:t>
            </w:r>
            <w:r w:rsidR="006D4C7E" w:rsidRPr="00703A0B">
              <w:rPr>
                <w:rFonts w:cs="Arial"/>
                <w:b/>
                <w:szCs w:val="22"/>
              </w:rPr>
              <w:t>–</w:t>
            </w:r>
            <w:r w:rsidRPr="00703A0B">
              <w:rPr>
                <w:rFonts w:cs="Arial"/>
                <w:b/>
                <w:szCs w:val="22"/>
              </w:rPr>
              <w:t>25</w:t>
            </w:r>
          </w:p>
        </w:tc>
        <w:tc>
          <w:tcPr>
            <w:tcW w:w="1595" w:type="dxa"/>
            <w:shd w:val="clear" w:color="auto" w:fill="D9D9D9" w:themeFill="background1" w:themeFillShade="D9"/>
          </w:tcPr>
          <w:p w14:paraId="0E1C357A" w14:textId="513CE48C" w:rsidR="00735FF5" w:rsidRPr="00703A0B" w:rsidRDefault="00735FF5" w:rsidP="00BB09BC">
            <w:pPr>
              <w:rPr>
                <w:rFonts w:cs="Arial"/>
                <w:b/>
              </w:rPr>
            </w:pPr>
            <w:r w:rsidRPr="00703A0B">
              <w:rPr>
                <w:rFonts w:cs="Arial"/>
                <w:b/>
                <w:szCs w:val="22"/>
              </w:rPr>
              <w:t>2025</w:t>
            </w:r>
            <w:r w:rsidR="006D4C7E" w:rsidRPr="00703A0B">
              <w:rPr>
                <w:rFonts w:cs="Arial"/>
                <w:b/>
                <w:szCs w:val="22"/>
              </w:rPr>
              <w:t>–</w:t>
            </w:r>
            <w:r w:rsidRPr="00703A0B">
              <w:rPr>
                <w:rFonts w:cs="Arial"/>
                <w:b/>
                <w:szCs w:val="22"/>
              </w:rPr>
              <w:t>26</w:t>
            </w:r>
          </w:p>
        </w:tc>
        <w:tc>
          <w:tcPr>
            <w:tcW w:w="1595" w:type="dxa"/>
            <w:shd w:val="clear" w:color="auto" w:fill="D9D9D9" w:themeFill="background1" w:themeFillShade="D9"/>
          </w:tcPr>
          <w:p w14:paraId="6B3C37B3" w14:textId="4CA324A5" w:rsidR="00735FF5" w:rsidRPr="00703A0B" w:rsidRDefault="00735FF5" w:rsidP="00BB09BC">
            <w:pPr>
              <w:rPr>
                <w:rFonts w:cs="Arial"/>
                <w:b/>
                <w:szCs w:val="22"/>
              </w:rPr>
            </w:pPr>
            <w:r w:rsidRPr="00703A0B">
              <w:rPr>
                <w:rFonts w:cs="Arial"/>
                <w:b/>
                <w:szCs w:val="22"/>
              </w:rPr>
              <w:t>2024</w:t>
            </w:r>
            <w:r w:rsidR="006D4C7E" w:rsidRPr="00703A0B">
              <w:rPr>
                <w:rFonts w:cs="Arial"/>
                <w:b/>
                <w:szCs w:val="22"/>
              </w:rPr>
              <w:t>–</w:t>
            </w:r>
            <w:r w:rsidRPr="00703A0B">
              <w:rPr>
                <w:rFonts w:cs="Arial"/>
                <w:b/>
                <w:szCs w:val="22"/>
              </w:rPr>
              <w:t>25</w:t>
            </w:r>
          </w:p>
        </w:tc>
        <w:tc>
          <w:tcPr>
            <w:tcW w:w="1595" w:type="dxa"/>
            <w:shd w:val="clear" w:color="auto" w:fill="D9D9D9" w:themeFill="background1" w:themeFillShade="D9"/>
          </w:tcPr>
          <w:p w14:paraId="0031B894" w14:textId="06BA14EF" w:rsidR="00735FF5" w:rsidRPr="00703A0B" w:rsidRDefault="00735FF5" w:rsidP="00BB09BC">
            <w:pPr>
              <w:rPr>
                <w:rFonts w:cs="Arial"/>
                <w:b/>
              </w:rPr>
            </w:pPr>
            <w:r w:rsidRPr="00703A0B">
              <w:rPr>
                <w:rFonts w:cs="Arial"/>
                <w:b/>
                <w:szCs w:val="22"/>
              </w:rPr>
              <w:t>2025</w:t>
            </w:r>
            <w:r w:rsidR="006D4C7E" w:rsidRPr="00703A0B">
              <w:rPr>
                <w:rFonts w:cs="Arial"/>
                <w:b/>
                <w:szCs w:val="22"/>
              </w:rPr>
              <w:t>–</w:t>
            </w:r>
            <w:r w:rsidRPr="00703A0B">
              <w:rPr>
                <w:rFonts w:cs="Arial"/>
                <w:b/>
                <w:szCs w:val="22"/>
              </w:rPr>
              <w:t>26</w:t>
            </w:r>
          </w:p>
        </w:tc>
      </w:tr>
      <w:tr w:rsidR="006213A3" w:rsidRPr="00703A0B" w14:paraId="55B94B1D" w14:textId="77777777" w:rsidTr="00BC2931">
        <w:tc>
          <w:tcPr>
            <w:tcW w:w="3686" w:type="dxa"/>
          </w:tcPr>
          <w:p w14:paraId="4A8EEA9E" w14:textId="77777777" w:rsidR="005708FD" w:rsidRPr="00703A0B" w:rsidRDefault="005708FD" w:rsidP="00BB09BC">
            <w:pPr>
              <w:rPr>
                <w:rFonts w:cs="Arial"/>
                <w:szCs w:val="22"/>
              </w:rPr>
            </w:pPr>
            <w:r w:rsidRPr="00703A0B">
              <w:rPr>
                <w:rFonts w:cs="Arial"/>
                <w:szCs w:val="22"/>
              </w:rPr>
              <w:t>Women</w:t>
            </w:r>
          </w:p>
        </w:tc>
        <w:tc>
          <w:tcPr>
            <w:tcW w:w="1594" w:type="dxa"/>
          </w:tcPr>
          <w:p w14:paraId="2FEF6276" w14:textId="3B0248B6" w:rsidR="00735FF5" w:rsidRPr="00703A0B" w:rsidRDefault="32E6CFFA" w:rsidP="00BB09BC">
            <w:pPr>
              <w:rPr>
                <w:rFonts w:cs="Arial"/>
              </w:rPr>
            </w:pPr>
            <w:r w:rsidRPr="00703A0B">
              <w:rPr>
                <w:rFonts w:cs="Arial"/>
              </w:rPr>
              <w:t>378</w:t>
            </w:r>
          </w:p>
        </w:tc>
        <w:tc>
          <w:tcPr>
            <w:tcW w:w="1595" w:type="dxa"/>
          </w:tcPr>
          <w:p w14:paraId="67CB8E7B" w14:textId="61AC3DD7" w:rsidR="005708FD" w:rsidRPr="00703A0B" w:rsidRDefault="0A95A4B3" w:rsidP="00BB09BC">
            <w:pPr>
              <w:rPr>
                <w:rFonts w:cs="Arial"/>
              </w:rPr>
            </w:pPr>
            <w:r w:rsidRPr="00703A0B">
              <w:rPr>
                <w:rFonts w:cs="Arial"/>
              </w:rPr>
              <w:t>387</w:t>
            </w:r>
          </w:p>
        </w:tc>
        <w:tc>
          <w:tcPr>
            <w:tcW w:w="1595" w:type="dxa"/>
          </w:tcPr>
          <w:p w14:paraId="72195B38" w14:textId="27CD4523" w:rsidR="00735FF5" w:rsidRPr="00703A0B" w:rsidRDefault="0F44454B" w:rsidP="00BB09BC">
            <w:pPr>
              <w:rPr>
                <w:rFonts w:cs="Arial"/>
              </w:rPr>
            </w:pPr>
            <w:r w:rsidRPr="00703A0B">
              <w:rPr>
                <w:rFonts w:cs="Arial"/>
              </w:rPr>
              <w:t>54.6</w:t>
            </w:r>
          </w:p>
        </w:tc>
        <w:tc>
          <w:tcPr>
            <w:tcW w:w="1595" w:type="dxa"/>
          </w:tcPr>
          <w:p w14:paraId="0725F1C8" w14:textId="08E21600" w:rsidR="005708FD" w:rsidRPr="00703A0B" w:rsidRDefault="04EDA529" w:rsidP="00BB09BC">
            <w:pPr>
              <w:rPr>
                <w:rFonts w:cs="Arial"/>
              </w:rPr>
            </w:pPr>
            <w:r w:rsidRPr="00703A0B">
              <w:rPr>
                <w:rFonts w:cs="Arial"/>
              </w:rPr>
              <w:t>54.7</w:t>
            </w:r>
          </w:p>
        </w:tc>
      </w:tr>
      <w:tr w:rsidR="006213A3" w:rsidRPr="00703A0B" w14:paraId="3E928A04" w14:textId="77777777" w:rsidTr="00BC2931">
        <w:tc>
          <w:tcPr>
            <w:tcW w:w="3686" w:type="dxa"/>
          </w:tcPr>
          <w:p w14:paraId="40837FFC" w14:textId="77DAC79E" w:rsidR="005708FD" w:rsidRPr="00703A0B" w:rsidRDefault="005708FD" w:rsidP="00BB09BC">
            <w:pPr>
              <w:rPr>
                <w:rFonts w:cs="Arial"/>
                <w:szCs w:val="22"/>
              </w:rPr>
            </w:pPr>
            <w:r w:rsidRPr="00703A0B">
              <w:rPr>
                <w:rFonts w:cs="Arial"/>
                <w:szCs w:val="22"/>
              </w:rPr>
              <w:t xml:space="preserve">Aboriginal </w:t>
            </w:r>
            <w:r w:rsidR="004769D3" w:rsidRPr="00703A0B">
              <w:rPr>
                <w:rFonts w:cs="Arial"/>
                <w:szCs w:val="22"/>
              </w:rPr>
              <w:t>p</w:t>
            </w:r>
            <w:r w:rsidRPr="00703A0B">
              <w:rPr>
                <w:rFonts w:cs="Arial"/>
                <w:szCs w:val="22"/>
              </w:rPr>
              <w:t xml:space="preserve">eoples and Torres Strait Islander </w:t>
            </w:r>
            <w:r w:rsidR="004769D3" w:rsidRPr="00703A0B">
              <w:rPr>
                <w:rFonts w:cs="Arial"/>
                <w:szCs w:val="22"/>
              </w:rPr>
              <w:t>p</w:t>
            </w:r>
            <w:r w:rsidRPr="00703A0B">
              <w:rPr>
                <w:rFonts w:cs="Arial"/>
                <w:szCs w:val="22"/>
              </w:rPr>
              <w:t>eoples</w:t>
            </w:r>
          </w:p>
        </w:tc>
        <w:tc>
          <w:tcPr>
            <w:tcW w:w="1594" w:type="dxa"/>
          </w:tcPr>
          <w:p w14:paraId="10C3FDDB" w14:textId="6472C003" w:rsidR="00735FF5" w:rsidRPr="00703A0B" w:rsidRDefault="70BD2A19" w:rsidP="00BB09BC">
            <w:pPr>
              <w:rPr>
                <w:rFonts w:cs="Arial"/>
              </w:rPr>
            </w:pPr>
            <w:r w:rsidRPr="00703A0B">
              <w:rPr>
                <w:rFonts w:cs="Arial"/>
              </w:rPr>
              <w:t>8</w:t>
            </w:r>
          </w:p>
        </w:tc>
        <w:tc>
          <w:tcPr>
            <w:tcW w:w="1595" w:type="dxa"/>
          </w:tcPr>
          <w:p w14:paraId="0FD1C855" w14:textId="213D0DE8" w:rsidR="005708FD" w:rsidRPr="00703A0B" w:rsidRDefault="4738B624" w:rsidP="00BB09BC">
            <w:pPr>
              <w:rPr>
                <w:rFonts w:cs="Arial"/>
              </w:rPr>
            </w:pPr>
            <w:r w:rsidRPr="00703A0B">
              <w:rPr>
                <w:rFonts w:cs="Arial"/>
              </w:rPr>
              <w:t>11</w:t>
            </w:r>
          </w:p>
        </w:tc>
        <w:tc>
          <w:tcPr>
            <w:tcW w:w="1595" w:type="dxa"/>
          </w:tcPr>
          <w:p w14:paraId="23375485" w14:textId="3E4B3674" w:rsidR="00735FF5" w:rsidRPr="00703A0B" w:rsidRDefault="1B103312" w:rsidP="00BB09BC">
            <w:pPr>
              <w:rPr>
                <w:rFonts w:cs="Arial"/>
              </w:rPr>
            </w:pPr>
            <w:r w:rsidRPr="00703A0B">
              <w:rPr>
                <w:rFonts w:cs="Arial"/>
              </w:rPr>
              <w:t>1.2</w:t>
            </w:r>
          </w:p>
        </w:tc>
        <w:tc>
          <w:tcPr>
            <w:tcW w:w="1595" w:type="dxa"/>
          </w:tcPr>
          <w:p w14:paraId="7DFF19ED" w14:textId="6674CA51" w:rsidR="005708FD" w:rsidRPr="00703A0B" w:rsidRDefault="61947D9B" w:rsidP="00BB09BC">
            <w:pPr>
              <w:rPr>
                <w:rFonts w:cs="Arial"/>
              </w:rPr>
            </w:pPr>
            <w:r w:rsidRPr="00703A0B">
              <w:rPr>
                <w:rFonts w:cs="Arial"/>
              </w:rPr>
              <w:t>1.6</w:t>
            </w:r>
          </w:p>
        </w:tc>
      </w:tr>
      <w:tr w:rsidR="006213A3" w:rsidRPr="00703A0B" w14:paraId="74F2227C" w14:textId="77777777" w:rsidTr="00BC2931">
        <w:tc>
          <w:tcPr>
            <w:tcW w:w="3686" w:type="dxa"/>
          </w:tcPr>
          <w:p w14:paraId="16C58B1B" w14:textId="77777777" w:rsidR="005708FD" w:rsidRPr="00703A0B" w:rsidRDefault="005708FD" w:rsidP="00BB09BC">
            <w:pPr>
              <w:rPr>
                <w:rFonts w:cs="Arial"/>
                <w:szCs w:val="22"/>
              </w:rPr>
            </w:pPr>
            <w:r w:rsidRPr="00703A0B">
              <w:rPr>
                <w:rFonts w:cs="Arial"/>
                <w:szCs w:val="22"/>
              </w:rPr>
              <w:t>People with disability</w:t>
            </w:r>
          </w:p>
        </w:tc>
        <w:tc>
          <w:tcPr>
            <w:tcW w:w="1594" w:type="dxa"/>
          </w:tcPr>
          <w:p w14:paraId="75106FB2" w14:textId="29827EE3" w:rsidR="00735FF5" w:rsidRPr="00703A0B" w:rsidRDefault="0CA97657" w:rsidP="00BB09BC">
            <w:pPr>
              <w:rPr>
                <w:rFonts w:cs="Arial"/>
              </w:rPr>
            </w:pPr>
            <w:r w:rsidRPr="00703A0B">
              <w:rPr>
                <w:rFonts w:cs="Arial"/>
              </w:rPr>
              <w:t>32</w:t>
            </w:r>
          </w:p>
        </w:tc>
        <w:tc>
          <w:tcPr>
            <w:tcW w:w="1595" w:type="dxa"/>
          </w:tcPr>
          <w:p w14:paraId="33764182" w14:textId="0E4A8ECE" w:rsidR="005708FD" w:rsidRPr="00703A0B" w:rsidRDefault="3238096F" w:rsidP="00BB09BC">
            <w:pPr>
              <w:rPr>
                <w:rFonts w:cs="Arial"/>
              </w:rPr>
            </w:pPr>
            <w:r w:rsidRPr="00703A0B">
              <w:rPr>
                <w:rFonts w:cs="Arial"/>
              </w:rPr>
              <w:t>29</w:t>
            </w:r>
          </w:p>
        </w:tc>
        <w:tc>
          <w:tcPr>
            <w:tcW w:w="1595" w:type="dxa"/>
          </w:tcPr>
          <w:p w14:paraId="16A2BFAF" w14:textId="5D551B1F" w:rsidR="00735FF5" w:rsidRPr="00703A0B" w:rsidRDefault="0DC2072E" w:rsidP="00BB09BC">
            <w:pPr>
              <w:rPr>
                <w:rFonts w:cs="Arial"/>
              </w:rPr>
            </w:pPr>
            <w:r w:rsidRPr="00703A0B">
              <w:rPr>
                <w:rFonts w:cs="Arial"/>
              </w:rPr>
              <w:t>4.6</w:t>
            </w:r>
          </w:p>
        </w:tc>
        <w:tc>
          <w:tcPr>
            <w:tcW w:w="1595" w:type="dxa"/>
          </w:tcPr>
          <w:p w14:paraId="5ABBE2A1" w14:textId="24FE6D7F" w:rsidR="005708FD" w:rsidRPr="00703A0B" w:rsidRDefault="24FB697F" w:rsidP="00BB09BC">
            <w:pPr>
              <w:rPr>
                <w:rFonts w:cs="Arial"/>
              </w:rPr>
            </w:pPr>
            <w:r w:rsidRPr="00703A0B">
              <w:rPr>
                <w:rFonts w:cs="Arial"/>
              </w:rPr>
              <w:t>4.1</w:t>
            </w:r>
          </w:p>
        </w:tc>
      </w:tr>
      <w:tr w:rsidR="006213A3" w:rsidRPr="00703A0B" w14:paraId="67AA1DE8" w14:textId="77777777" w:rsidTr="00BC2931">
        <w:tc>
          <w:tcPr>
            <w:tcW w:w="3686" w:type="dxa"/>
          </w:tcPr>
          <w:p w14:paraId="0821F3C0" w14:textId="3DAA45D7" w:rsidR="005708FD" w:rsidRPr="00703A0B" w:rsidRDefault="004F46A3" w:rsidP="00BB09BC">
            <w:pPr>
              <w:rPr>
                <w:rFonts w:cs="Arial"/>
                <w:szCs w:val="22"/>
              </w:rPr>
            </w:pPr>
            <w:r w:rsidRPr="00703A0B">
              <w:rPr>
                <w:rFonts w:cs="Arial"/>
                <w:szCs w:val="22"/>
              </w:rPr>
              <w:t>People</w:t>
            </w:r>
            <w:r w:rsidR="005708FD" w:rsidRPr="00703A0B">
              <w:rPr>
                <w:rFonts w:cs="Arial"/>
                <w:szCs w:val="22"/>
              </w:rPr>
              <w:t xml:space="preserve"> </w:t>
            </w:r>
            <w:r w:rsidRPr="00703A0B">
              <w:rPr>
                <w:rFonts w:cs="Arial"/>
                <w:szCs w:val="22"/>
              </w:rPr>
              <w:t>b</w:t>
            </w:r>
            <w:r w:rsidR="005708FD" w:rsidRPr="00703A0B">
              <w:rPr>
                <w:rFonts w:cs="Arial"/>
                <w:szCs w:val="22"/>
              </w:rPr>
              <w:t>orn overseas</w:t>
            </w:r>
          </w:p>
        </w:tc>
        <w:tc>
          <w:tcPr>
            <w:tcW w:w="1594" w:type="dxa"/>
          </w:tcPr>
          <w:p w14:paraId="6556F41E" w14:textId="4FBB76EE" w:rsidR="00735FF5" w:rsidRPr="00703A0B" w:rsidRDefault="54084071" w:rsidP="00BB09BC">
            <w:pPr>
              <w:rPr>
                <w:rFonts w:cs="Arial"/>
              </w:rPr>
            </w:pPr>
            <w:r w:rsidRPr="00703A0B">
              <w:rPr>
                <w:rFonts w:cs="Arial"/>
              </w:rPr>
              <w:t>172</w:t>
            </w:r>
          </w:p>
        </w:tc>
        <w:tc>
          <w:tcPr>
            <w:tcW w:w="1595" w:type="dxa"/>
          </w:tcPr>
          <w:p w14:paraId="1990B43D" w14:textId="65CE6179" w:rsidR="005708FD" w:rsidRPr="00703A0B" w:rsidRDefault="5EB9E130" w:rsidP="00BB09BC">
            <w:pPr>
              <w:rPr>
                <w:rFonts w:cs="Arial"/>
              </w:rPr>
            </w:pPr>
            <w:r w:rsidRPr="00703A0B">
              <w:rPr>
                <w:rFonts w:cs="Arial"/>
              </w:rPr>
              <w:t>207</w:t>
            </w:r>
          </w:p>
        </w:tc>
        <w:tc>
          <w:tcPr>
            <w:tcW w:w="1595" w:type="dxa"/>
          </w:tcPr>
          <w:p w14:paraId="63EBC17C" w14:textId="397E5711" w:rsidR="00735FF5" w:rsidRPr="00703A0B" w:rsidRDefault="7065A389" w:rsidP="00BB09BC">
            <w:pPr>
              <w:rPr>
                <w:rFonts w:cs="Arial"/>
              </w:rPr>
            </w:pPr>
            <w:r w:rsidRPr="00703A0B">
              <w:rPr>
                <w:rFonts w:cs="Arial"/>
              </w:rPr>
              <w:t>24.9</w:t>
            </w:r>
          </w:p>
        </w:tc>
        <w:tc>
          <w:tcPr>
            <w:tcW w:w="1595" w:type="dxa"/>
          </w:tcPr>
          <w:p w14:paraId="5F5F576F" w14:textId="3EDF0789" w:rsidR="005708FD" w:rsidRPr="00703A0B" w:rsidRDefault="4B0C14B1" w:rsidP="00BB09BC">
            <w:pPr>
              <w:rPr>
                <w:rFonts w:cs="Arial"/>
              </w:rPr>
            </w:pPr>
            <w:r w:rsidRPr="00703A0B">
              <w:rPr>
                <w:rFonts w:cs="Arial"/>
              </w:rPr>
              <w:t>29.2</w:t>
            </w:r>
          </w:p>
        </w:tc>
      </w:tr>
      <w:tr w:rsidR="006213A3" w:rsidRPr="00703A0B" w14:paraId="704ED532" w14:textId="77777777" w:rsidTr="00BC2931">
        <w:tc>
          <w:tcPr>
            <w:tcW w:w="3686" w:type="dxa"/>
          </w:tcPr>
          <w:p w14:paraId="044A2C4B" w14:textId="0EF59B10" w:rsidR="005708FD" w:rsidRPr="00703A0B" w:rsidRDefault="004F46A3" w:rsidP="00BB09BC">
            <w:pPr>
              <w:rPr>
                <w:rFonts w:cs="Arial"/>
                <w:szCs w:val="22"/>
              </w:rPr>
            </w:pPr>
            <w:r w:rsidRPr="00703A0B">
              <w:rPr>
                <w:rFonts w:cs="Arial"/>
                <w:szCs w:val="22"/>
              </w:rPr>
              <w:t xml:space="preserve">People </w:t>
            </w:r>
            <w:r w:rsidR="004769D3" w:rsidRPr="00703A0B">
              <w:rPr>
                <w:rFonts w:cs="Arial"/>
                <w:szCs w:val="22"/>
              </w:rPr>
              <w:t xml:space="preserve">who </w:t>
            </w:r>
            <w:r w:rsidRPr="00703A0B">
              <w:rPr>
                <w:rFonts w:cs="Arial"/>
                <w:szCs w:val="22"/>
              </w:rPr>
              <w:t>s</w:t>
            </w:r>
            <w:r w:rsidR="005708FD" w:rsidRPr="00703A0B">
              <w:rPr>
                <w:rFonts w:cs="Arial"/>
                <w:szCs w:val="22"/>
              </w:rPr>
              <w:t>peak a language other than English</w:t>
            </w:r>
            <w:r w:rsidR="00C653EF" w:rsidRPr="00703A0B">
              <w:rPr>
                <w:rFonts w:cs="Arial"/>
                <w:szCs w:val="22"/>
              </w:rPr>
              <w:t xml:space="preserve"> at home</w:t>
            </w:r>
          </w:p>
        </w:tc>
        <w:tc>
          <w:tcPr>
            <w:tcW w:w="1594" w:type="dxa"/>
          </w:tcPr>
          <w:p w14:paraId="5E947B3C" w14:textId="0D30DCE1" w:rsidR="00735FF5" w:rsidRPr="00703A0B" w:rsidRDefault="285DE302" w:rsidP="00BB09BC">
            <w:pPr>
              <w:rPr>
                <w:rFonts w:cs="Arial"/>
              </w:rPr>
            </w:pPr>
            <w:r w:rsidRPr="00703A0B">
              <w:rPr>
                <w:rFonts w:cs="Arial"/>
              </w:rPr>
              <w:t>69</w:t>
            </w:r>
          </w:p>
        </w:tc>
        <w:tc>
          <w:tcPr>
            <w:tcW w:w="1595" w:type="dxa"/>
          </w:tcPr>
          <w:p w14:paraId="2C91F903" w14:textId="26964981" w:rsidR="005708FD" w:rsidRPr="00703A0B" w:rsidRDefault="5B069C48" w:rsidP="00BB09BC">
            <w:pPr>
              <w:rPr>
                <w:rFonts w:cs="Arial"/>
              </w:rPr>
            </w:pPr>
            <w:r w:rsidRPr="00703A0B">
              <w:rPr>
                <w:rFonts w:cs="Arial"/>
              </w:rPr>
              <w:t>73</w:t>
            </w:r>
          </w:p>
        </w:tc>
        <w:tc>
          <w:tcPr>
            <w:tcW w:w="1595" w:type="dxa"/>
          </w:tcPr>
          <w:p w14:paraId="2258CF57" w14:textId="6E8EA251" w:rsidR="00735FF5" w:rsidRPr="00703A0B" w:rsidRDefault="5B3C425B" w:rsidP="00BB09BC">
            <w:pPr>
              <w:rPr>
                <w:rFonts w:cs="Arial"/>
              </w:rPr>
            </w:pPr>
            <w:r w:rsidRPr="00703A0B">
              <w:rPr>
                <w:rFonts w:cs="Arial"/>
              </w:rPr>
              <w:t>10</w:t>
            </w:r>
          </w:p>
        </w:tc>
        <w:tc>
          <w:tcPr>
            <w:tcW w:w="1595" w:type="dxa"/>
          </w:tcPr>
          <w:p w14:paraId="770AB1AB" w14:textId="70F5F010" w:rsidR="005708FD" w:rsidRPr="00703A0B" w:rsidRDefault="4E55599E" w:rsidP="00BB09BC">
            <w:pPr>
              <w:rPr>
                <w:rFonts w:cs="Arial"/>
              </w:rPr>
            </w:pPr>
            <w:r w:rsidRPr="00703A0B">
              <w:rPr>
                <w:rFonts w:cs="Arial"/>
              </w:rPr>
              <w:t>10.3</w:t>
            </w:r>
          </w:p>
        </w:tc>
      </w:tr>
      <w:tr w:rsidR="00EC1A8A" w:rsidRPr="00703A0B" w14:paraId="336AEDC3" w14:textId="77777777" w:rsidTr="00BC2931">
        <w:tc>
          <w:tcPr>
            <w:tcW w:w="3686" w:type="dxa"/>
            <w:vMerge w:val="restart"/>
            <w:shd w:val="clear" w:color="auto" w:fill="BFBFBF" w:themeFill="background1" w:themeFillShade="BF"/>
          </w:tcPr>
          <w:p w14:paraId="1B55C48B" w14:textId="226971B2" w:rsidR="005708FD" w:rsidRPr="00703A0B" w:rsidRDefault="005708FD" w:rsidP="00BB09BC">
            <w:pPr>
              <w:rPr>
                <w:rFonts w:cs="Arial"/>
                <w:b/>
              </w:rPr>
            </w:pPr>
            <w:r w:rsidRPr="00703A0B">
              <w:rPr>
                <w:rFonts w:cs="Arial"/>
                <w:b/>
              </w:rPr>
              <w:t xml:space="preserve">Women in </w:t>
            </w:r>
            <w:r w:rsidR="004912B8" w:rsidRPr="00703A0B">
              <w:rPr>
                <w:rFonts w:cs="Arial"/>
                <w:b/>
              </w:rPr>
              <w:t>l</w:t>
            </w:r>
            <w:r w:rsidRPr="00703A0B">
              <w:rPr>
                <w:rFonts w:cs="Arial"/>
                <w:b/>
              </w:rPr>
              <w:t xml:space="preserve">eadership </w:t>
            </w:r>
          </w:p>
        </w:tc>
        <w:tc>
          <w:tcPr>
            <w:tcW w:w="3189" w:type="dxa"/>
            <w:gridSpan w:val="2"/>
            <w:shd w:val="clear" w:color="auto" w:fill="BFBFBF" w:themeFill="background1" w:themeFillShade="BF"/>
          </w:tcPr>
          <w:p w14:paraId="78D61EB0" w14:textId="62D88B3D" w:rsidR="005708FD" w:rsidRPr="00703A0B" w:rsidRDefault="001A556F" w:rsidP="00BB09BC">
            <w:pPr>
              <w:rPr>
                <w:rFonts w:cs="Arial"/>
                <w:b/>
              </w:rPr>
            </w:pPr>
            <w:r w:rsidRPr="00703A0B">
              <w:rPr>
                <w:rFonts w:cs="Arial"/>
                <w:b/>
                <w:szCs w:val="22"/>
              </w:rPr>
              <w:t>Headcount</w:t>
            </w:r>
          </w:p>
        </w:tc>
        <w:tc>
          <w:tcPr>
            <w:tcW w:w="3190" w:type="dxa"/>
            <w:gridSpan w:val="2"/>
            <w:shd w:val="clear" w:color="auto" w:fill="BFBFBF" w:themeFill="background1" w:themeFillShade="BF"/>
          </w:tcPr>
          <w:p w14:paraId="276D9E9E" w14:textId="3720690F" w:rsidR="005708FD" w:rsidRPr="00703A0B" w:rsidRDefault="00796977" w:rsidP="00BB09BC">
            <w:pPr>
              <w:rPr>
                <w:rFonts w:cs="Arial"/>
                <w:b/>
              </w:rPr>
            </w:pPr>
            <w:r w:rsidRPr="00703A0B">
              <w:rPr>
                <w:rFonts w:cs="Arial"/>
                <w:b/>
              </w:rPr>
              <w:t>T</w:t>
            </w:r>
            <w:r w:rsidR="005708FD" w:rsidRPr="00703A0B">
              <w:rPr>
                <w:rFonts w:cs="Arial"/>
                <w:b/>
              </w:rPr>
              <w:t>otal leadership</w:t>
            </w:r>
            <w:r w:rsidR="00A10C05" w:rsidRPr="00703A0B">
              <w:rPr>
                <w:rFonts w:cs="Arial"/>
                <w:b/>
              </w:rPr>
              <w:t xml:space="preserve"> cohort</w:t>
            </w:r>
            <w:r w:rsidR="001A556F" w:rsidRPr="00703A0B">
              <w:rPr>
                <w:rFonts w:cs="Arial"/>
                <w:b/>
              </w:rPr>
              <w:t xml:space="preserve"> by headcount</w:t>
            </w:r>
            <w:r w:rsidR="00020352" w:rsidRPr="00703A0B">
              <w:rPr>
                <w:rFonts w:cs="Arial"/>
                <w:b/>
              </w:rPr>
              <w:t xml:space="preserve"> (%)</w:t>
            </w:r>
          </w:p>
        </w:tc>
      </w:tr>
      <w:tr w:rsidR="00735FF5" w:rsidRPr="00703A0B" w14:paraId="61C67717" w14:textId="77777777" w:rsidTr="00BC2931">
        <w:tc>
          <w:tcPr>
            <w:tcW w:w="3686" w:type="dxa"/>
            <w:vMerge/>
          </w:tcPr>
          <w:p w14:paraId="57473230" w14:textId="77777777" w:rsidR="00735FF5" w:rsidRPr="00703A0B" w:rsidRDefault="00735FF5" w:rsidP="00BB09BC">
            <w:pPr>
              <w:rPr>
                <w:rFonts w:cs="Arial"/>
                <w:szCs w:val="22"/>
              </w:rPr>
            </w:pPr>
          </w:p>
        </w:tc>
        <w:tc>
          <w:tcPr>
            <w:tcW w:w="1594" w:type="dxa"/>
            <w:shd w:val="clear" w:color="auto" w:fill="D9D9D9" w:themeFill="background1" w:themeFillShade="D9"/>
          </w:tcPr>
          <w:p w14:paraId="615D362D" w14:textId="18800322" w:rsidR="00735FF5" w:rsidRPr="00703A0B" w:rsidRDefault="00735FF5" w:rsidP="00BB09BC">
            <w:pPr>
              <w:rPr>
                <w:rFonts w:cs="Arial"/>
                <w:b/>
                <w:szCs w:val="22"/>
              </w:rPr>
            </w:pPr>
            <w:r w:rsidRPr="00703A0B">
              <w:rPr>
                <w:rFonts w:cs="Arial"/>
                <w:b/>
                <w:szCs w:val="22"/>
              </w:rPr>
              <w:t>2024</w:t>
            </w:r>
            <w:r w:rsidR="006D4C7E" w:rsidRPr="00703A0B">
              <w:rPr>
                <w:rFonts w:cs="Arial"/>
                <w:b/>
                <w:szCs w:val="22"/>
              </w:rPr>
              <w:t>–</w:t>
            </w:r>
            <w:r w:rsidRPr="00703A0B">
              <w:rPr>
                <w:rFonts w:cs="Arial"/>
                <w:b/>
                <w:szCs w:val="22"/>
              </w:rPr>
              <w:t>25</w:t>
            </w:r>
          </w:p>
        </w:tc>
        <w:tc>
          <w:tcPr>
            <w:tcW w:w="1595" w:type="dxa"/>
            <w:shd w:val="clear" w:color="auto" w:fill="D9D9D9" w:themeFill="background1" w:themeFillShade="D9"/>
          </w:tcPr>
          <w:p w14:paraId="4FF434EA" w14:textId="13D74A27" w:rsidR="00735FF5" w:rsidRPr="00703A0B" w:rsidRDefault="00735FF5" w:rsidP="00BB09BC">
            <w:pPr>
              <w:rPr>
                <w:rFonts w:cs="Arial"/>
                <w:b/>
              </w:rPr>
            </w:pPr>
            <w:r w:rsidRPr="00703A0B">
              <w:rPr>
                <w:rFonts w:cs="Arial"/>
                <w:b/>
                <w:szCs w:val="22"/>
              </w:rPr>
              <w:t>2025</w:t>
            </w:r>
            <w:r w:rsidR="006D4C7E" w:rsidRPr="00703A0B">
              <w:rPr>
                <w:rFonts w:cs="Arial"/>
                <w:b/>
                <w:szCs w:val="22"/>
              </w:rPr>
              <w:t>–</w:t>
            </w:r>
            <w:r w:rsidRPr="00703A0B">
              <w:rPr>
                <w:rFonts w:cs="Arial"/>
                <w:b/>
                <w:szCs w:val="22"/>
              </w:rPr>
              <w:t>26</w:t>
            </w:r>
          </w:p>
        </w:tc>
        <w:tc>
          <w:tcPr>
            <w:tcW w:w="1595" w:type="dxa"/>
            <w:shd w:val="clear" w:color="auto" w:fill="D9D9D9" w:themeFill="background1" w:themeFillShade="D9"/>
          </w:tcPr>
          <w:p w14:paraId="669EC34E" w14:textId="3D0E45DA" w:rsidR="00735FF5" w:rsidRPr="00703A0B" w:rsidRDefault="00735FF5" w:rsidP="00BB09BC">
            <w:pPr>
              <w:rPr>
                <w:rFonts w:cs="Arial"/>
                <w:b/>
                <w:szCs w:val="22"/>
              </w:rPr>
            </w:pPr>
            <w:r w:rsidRPr="00703A0B">
              <w:rPr>
                <w:rFonts w:cs="Arial"/>
                <w:b/>
                <w:szCs w:val="22"/>
              </w:rPr>
              <w:t>2024</w:t>
            </w:r>
            <w:r w:rsidR="006D4C7E" w:rsidRPr="00703A0B">
              <w:rPr>
                <w:rFonts w:cs="Arial"/>
                <w:b/>
                <w:szCs w:val="22"/>
              </w:rPr>
              <w:t>–</w:t>
            </w:r>
            <w:r w:rsidRPr="00703A0B">
              <w:rPr>
                <w:rFonts w:cs="Arial"/>
                <w:b/>
                <w:szCs w:val="22"/>
              </w:rPr>
              <w:t>25</w:t>
            </w:r>
          </w:p>
        </w:tc>
        <w:tc>
          <w:tcPr>
            <w:tcW w:w="1595" w:type="dxa"/>
            <w:shd w:val="clear" w:color="auto" w:fill="D9D9D9" w:themeFill="background1" w:themeFillShade="D9"/>
          </w:tcPr>
          <w:p w14:paraId="73B7806B" w14:textId="2E3EA2AE" w:rsidR="00735FF5" w:rsidRPr="00703A0B" w:rsidRDefault="00735FF5" w:rsidP="00BB09BC">
            <w:pPr>
              <w:rPr>
                <w:rFonts w:cs="Arial"/>
                <w:b/>
              </w:rPr>
            </w:pPr>
            <w:r w:rsidRPr="00703A0B">
              <w:rPr>
                <w:rFonts w:cs="Arial"/>
                <w:b/>
                <w:szCs w:val="22"/>
              </w:rPr>
              <w:t>2025</w:t>
            </w:r>
            <w:r w:rsidR="006D4C7E" w:rsidRPr="00703A0B">
              <w:rPr>
                <w:rFonts w:cs="Arial"/>
                <w:b/>
                <w:szCs w:val="22"/>
              </w:rPr>
              <w:t>–</w:t>
            </w:r>
            <w:r w:rsidRPr="00703A0B">
              <w:rPr>
                <w:rFonts w:cs="Arial"/>
                <w:b/>
                <w:szCs w:val="22"/>
              </w:rPr>
              <w:t>26</w:t>
            </w:r>
          </w:p>
        </w:tc>
      </w:tr>
      <w:tr w:rsidR="006213A3" w:rsidRPr="00703A0B" w14:paraId="4C996C15" w14:textId="77777777" w:rsidTr="00BC2931">
        <w:tc>
          <w:tcPr>
            <w:tcW w:w="3686" w:type="dxa"/>
          </w:tcPr>
          <w:p w14:paraId="28302DEE" w14:textId="77777777" w:rsidR="005708FD" w:rsidRPr="00703A0B" w:rsidDel="00C147EB" w:rsidRDefault="005708FD" w:rsidP="00BB09BC">
            <w:pPr>
              <w:rPr>
                <w:rFonts w:cs="Arial"/>
                <w:szCs w:val="22"/>
              </w:rPr>
            </w:pPr>
            <w:r w:rsidRPr="00703A0B">
              <w:rPr>
                <w:rFonts w:cs="Arial"/>
                <w:szCs w:val="22"/>
              </w:rPr>
              <w:t>Senior Officers</w:t>
            </w:r>
          </w:p>
        </w:tc>
        <w:tc>
          <w:tcPr>
            <w:tcW w:w="1594" w:type="dxa"/>
          </w:tcPr>
          <w:p w14:paraId="217FF161" w14:textId="260792B8" w:rsidR="00735FF5" w:rsidRPr="00703A0B" w:rsidRDefault="6D8F9207" w:rsidP="00BB09BC">
            <w:pPr>
              <w:rPr>
                <w:rFonts w:cs="Arial"/>
              </w:rPr>
            </w:pPr>
            <w:r w:rsidRPr="00703A0B">
              <w:rPr>
                <w:rFonts w:cs="Arial"/>
              </w:rPr>
              <w:t>17</w:t>
            </w:r>
          </w:p>
        </w:tc>
        <w:tc>
          <w:tcPr>
            <w:tcW w:w="1595" w:type="dxa"/>
          </w:tcPr>
          <w:p w14:paraId="5B5EC000" w14:textId="0B946EE5" w:rsidR="005708FD" w:rsidRPr="00703A0B" w:rsidRDefault="7EBD47A1" w:rsidP="00BB09BC">
            <w:pPr>
              <w:rPr>
                <w:rFonts w:cs="Arial"/>
              </w:rPr>
            </w:pPr>
            <w:r w:rsidRPr="00703A0B">
              <w:rPr>
                <w:rFonts w:cs="Arial"/>
              </w:rPr>
              <w:t>14</w:t>
            </w:r>
          </w:p>
        </w:tc>
        <w:tc>
          <w:tcPr>
            <w:tcW w:w="1595" w:type="dxa"/>
          </w:tcPr>
          <w:p w14:paraId="116BB15C" w14:textId="586EF6B2" w:rsidR="00735FF5" w:rsidRPr="00703A0B" w:rsidRDefault="2CC21BD7" w:rsidP="00BB09BC">
            <w:pPr>
              <w:rPr>
                <w:rFonts w:cs="Arial"/>
              </w:rPr>
            </w:pPr>
            <w:r w:rsidRPr="00703A0B">
              <w:rPr>
                <w:rFonts w:cs="Arial"/>
              </w:rPr>
              <w:t>56.7</w:t>
            </w:r>
          </w:p>
        </w:tc>
        <w:tc>
          <w:tcPr>
            <w:tcW w:w="1595" w:type="dxa"/>
          </w:tcPr>
          <w:p w14:paraId="5CF8B736" w14:textId="33FAEAA6" w:rsidR="005708FD" w:rsidRPr="00703A0B" w:rsidRDefault="73D9132C" w:rsidP="00BB09BC">
            <w:pPr>
              <w:rPr>
                <w:rFonts w:cs="Arial"/>
              </w:rPr>
            </w:pPr>
            <w:r w:rsidRPr="00703A0B">
              <w:rPr>
                <w:rFonts w:cs="Arial"/>
              </w:rPr>
              <w:t>48.3</w:t>
            </w:r>
          </w:p>
        </w:tc>
      </w:tr>
      <w:tr w:rsidR="006213A3" w:rsidRPr="00703A0B" w14:paraId="0434B860" w14:textId="77777777" w:rsidTr="00BC2931">
        <w:tc>
          <w:tcPr>
            <w:tcW w:w="3686" w:type="dxa"/>
          </w:tcPr>
          <w:p w14:paraId="34D436D3" w14:textId="77777777" w:rsidR="005708FD" w:rsidRPr="00703A0B" w:rsidRDefault="005708FD" w:rsidP="00BB09BC">
            <w:pPr>
              <w:rPr>
                <w:rFonts w:cs="Arial"/>
                <w:szCs w:val="22"/>
              </w:rPr>
            </w:pPr>
            <w:r w:rsidRPr="00703A0B">
              <w:rPr>
                <w:rFonts w:cs="Arial"/>
                <w:szCs w:val="22"/>
              </w:rPr>
              <w:t>Senior Executive Service and Chief Executives</w:t>
            </w:r>
          </w:p>
        </w:tc>
        <w:tc>
          <w:tcPr>
            <w:tcW w:w="1594" w:type="dxa"/>
          </w:tcPr>
          <w:p w14:paraId="1C0BC9E5" w14:textId="3C08AFEE" w:rsidR="00735FF5" w:rsidRPr="00703A0B" w:rsidRDefault="70465FDF" w:rsidP="00BB09BC">
            <w:pPr>
              <w:rPr>
                <w:rFonts w:cs="Arial"/>
              </w:rPr>
            </w:pPr>
            <w:r w:rsidRPr="00703A0B">
              <w:rPr>
                <w:rFonts w:cs="Arial"/>
              </w:rPr>
              <w:t>7</w:t>
            </w:r>
          </w:p>
        </w:tc>
        <w:tc>
          <w:tcPr>
            <w:tcW w:w="1595" w:type="dxa"/>
          </w:tcPr>
          <w:p w14:paraId="4C480449" w14:textId="34521E32" w:rsidR="005708FD" w:rsidRPr="00703A0B" w:rsidRDefault="71A94DF0" w:rsidP="00BB09BC">
            <w:pPr>
              <w:rPr>
                <w:rFonts w:cs="Arial"/>
              </w:rPr>
            </w:pPr>
            <w:r w:rsidRPr="00703A0B">
              <w:rPr>
                <w:rFonts w:cs="Arial"/>
              </w:rPr>
              <w:t>7</w:t>
            </w:r>
          </w:p>
        </w:tc>
        <w:tc>
          <w:tcPr>
            <w:tcW w:w="1595" w:type="dxa"/>
          </w:tcPr>
          <w:p w14:paraId="47AA6BD1" w14:textId="4D5D2ABF" w:rsidR="00735FF5" w:rsidRPr="00703A0B" w:rsidRDefault="0A18F14B" w:rsidP="00BC2931">
            <w:pPr>
              <w:rPr>
                <w:rFonts w:cs="Arial"/>
              </w:rPr>
            </w:pPr>
            <w:r w:rsidRPr="00703A0B">
              <w:rPr>
                <w:rFonts w:cs="Arial"/>
              </w:rPr>
              <w:t>38.9</w:t>
            </w:r>
          </w:p>
        </w:tc>
        <w:tc>
          <w:tcPr>
            <w:tcW w:w="1595" w:type="dxa"/>
          </w:tcPr>
          <w:p w14:paraId="01D930E0" w14:textId="0A3DBF47" w:rsidR="005708FD" w:rsidRPr="00703A0B" w:rsidRDefault="1AC8C249" w:rsidP="00BC2931">
            <w:pPr>
              <w:rPr>
                <w:rFonts w:cs="Arial"/>
              </w:rPr>
            </w:pPr>
            <w:r w:rsidRPr="00703A0B">
              <w:rPr>
                <w:rFonts w:cs="Arial"/>
              </w:rPr>
              <w:t>43.8</w:t>
            </w:r>
          </w:p>
        </w:tc>
      </w:tr>
    </w:tbl>
    <w:p w14:paraId="7E0A3E6B" w14:textId="1FF64CED" w:rsidR="0073579C" w:rsidRPr="00703A0B" w:rsidRDefault="00282480" w:rsidP="00282480">
      <w:pPr>
        <w:spacing w:before="120" w:after="120" w:line="259" w:lineRule="auto"/>
        <w:rPr>
          <w:rFonts w:cs="Arial"/>
        </w:rPr>
      </w:pPr>
      <w:bookmarkStart w:id="186" w:name="_Employee_engagement_and"/>
      <w:bookmarkEnd w:id="186"/>
      <w:r w:rsidRPr="00703A0B">
        <w:rPr>
          <w:rFonts w:cs="Arial"/>
        </w:rPr>
        <w:lastRenderedPageBreak/>
        <w:t xml:space="preserve">The QBCC's workforce continued to grow in 2025–26, reflecting the organisation's ongoing commitment to delivering </w:t>
      </w:r>
      <w:r w:rsidR="005620C7" w:rsidRPr="00703A0B">
        <w:rPr>
          <w:rFonts w:cs="Arial"/>
        </w:rPr>
        <w:t>high</w:t>
      </w:r>
      <w:r w:rsidR="0059360D" w:rsidRPr="00703A0B">
        <w:rPr>
          <w:rFonts w:cs="Arial"/>
        </w:rPr>
        <w:t>-quality</w:t>
      </w:r>
      <w:r w:rsidRPr="00703A0B">
        <w:rPr>
          <w:rFonts w:cs="Arial"/>
        </w:rPr>
        <w:t xml:space="preserve"> services that support Queensland's building and construction industry. Workforce growth helps ensure the QBCC is well positioned to respond to increasing demand across its regulatory, licensing, dispute resolution, insurance and customer service functions.</w:t>
      </w:r>
      <w:r w:rsidR="00E37D86" w:rsidRPr="00703A0B">
        <w:rPr>
          <w:rFonts w:cs="Arial"/>
        </w:rPr>
        <w:t xml:space="preserve"> Workforce diversity also continued to strengthen, with increase</w:t>
      </w:r>
      <w:r w:rsidR="00A560C7" w:rsidRPr="00703A0B">
        <w:rPr>
          <w:rFonts w:cs="Arial"/>
        </w:rPr>
        <w:t>d</w:t>
      </w:r>
      <w:r w:rsidR="00E37D86" w:rsidRPr="00703A0B">
        <w:rPr>
          <w:rFonts w:cs="Arial"/>
        </w:rPr>
        <w:t xml:space="preserve"> representation </w:t>
      </w:r>
      <w:r w:rsidR="00A560C7" w:rsidRPr="00703A0B">
        <w:rPr>
          <w:rFonts w:cs="Arial"/>
        </w:rPr>
        <w:t>of</w:t>
      </w:r>
      <w:r w:rsidR="00E37D86" w:rsidRPr="00703A0B">
        <w:rPr>
          <w:rFonts w:cs="Arial"/>
        </w:rPr>
        <w:t xml:space="preserve"> Aboriginal and Torres Strait Islander peoples and employees born overseas. A diverse workforce brings a broader range of perspectives, experiences and skills to regulatory decision</w:t>
      </w:r>
      <w:r w:rsidR="00333EC0" w:rsidRPr="00703A0B">
        <w:rPr>
          <w:rFonts w:cs="Arial"/>
        </w:rPr>
        <w:t xml:space="preserve"> </w:t>
      </w:r>
      <w:r w:rsidR="00E37D86" w:rsidRPr="00703A0B">
        <w:rPr>
          <w:rFonts w:cs="Arial"/>
        </w:rPr>
        <w:t xml:space="preserve">making and service delivery, </w:t>
      </w:r>
      <w:r w:rsidR="00C75867" w:rsidRPr="00703A0B">
        <w:rPr>
          <w:rFonts w:cs="Arial"/>
        </w:rPr>
        <w:t xml:space="preserve">enabling </w:t>
      </w:r>
      <w:r w:rsidR="00E37D86" w:rsidRPr="00703A0B">
        <w:rPr>
          <w:rFonts w:cs="Arial"/>
        </w:rPr>
        <w:t>the QBCC</w:t>
      </w:r>
      <w:r w:rsidR="00C75867" w:rsidRPr="00703A0B">
        <w:rPr>
          <w:rFonts w:cs="Arial"/>
        </w:rPr>
        <w:t xml:space="preserve"> to</w:t>
      </w:r>
      <w:r w:rsidR="00E37D86" w:rsidRPr="00703A0B">
        <w:rPr>
          <w:rFonts w:cs="Arial"/>
        </w:rPr>
        <w:t xml:space="preserve"> better understand and respond to the needs of Queensland's diverse communities and </w:t>
      </w:r>
      <w:r w:rsidR="00E02A08" w:rsidRPr="00703A0B">
        <w:rPr>
          <w:rFonts w:cs="Arial"/>
        </w:rPr>
        <w:t xml:space="preserve">the </w:t>
      </w:r>
      <w:r w:rsidR="00D96A80" w:rsidRPr="00703A0B">
        <w:rPr>
          <w:rFonts w:cs="Arial"/>
        </w:rPr>
        <w:t xml:space="preserve">building and </w:t>
      </w:r>
      <w:r w:rsidR="00E37D86" w:rsidRPr="00703A0B">
        <w:rPr>
          <w:rFonts w:cs="Arial"/>
        </w:rPr>
        <w:t>construction industry.</w:t>
      </w:r>
    </w:p>
    <w:p w14:paraId="06D63BA3" w14:textId="6A220F7B" w:rsidR="00BE6329" w:rsidRPr="00703A0B" w:rsidRDefault="00BE6329" w:rsidP="060D5D40">
      <w:pPr>
        <w:spacing w:before="120" w:after="120" w:line="259" w:lineRule="auto"/>
        <w:rPr>
          <w:rFonts w:cs="Arial"/>
        </w:rPr>
      </w:pPr>
      <w:r w:rsidRPr="00703A0B">
        <w:rPr>
          <w:rFonts w:cs="Arial"/>
        </w:rPr>
        <w:t>Women continued to represent a significant proportion of the QBCC workforce and maintained strong representation in leadership positions across the organisation. Continued representation of women in senior leadership roles demonstrates the QBCC's commitment to foster</w:t>
      </w:r>
      <w:r w:rsidR="0086463C" w:rsidRPr="00703A0B">
        <w:rPr>
          <w:rFonts w:cs="Arial"/>
        </w:rPr>
        <w:t>ing</w:t>
      </w:r>
      <w:r w:rsidRPr="00703A0B">
        <w:rPr>
          <w:rFonts w:cs="Arial"/>
        </w:rPr>
        <w:t xml:space="preserve"> an inclusive workplace and </w:t>
      </w:r>
      <w:r w:rsidR="000A4AD1" w:rsidRPr="00703A0B">
        <w:rPr>
          <w:rFonts w:cs="Arial"/>
        </w:rPr>
        <w:t xml:space="preserve">building </w:t>
      </w:r>
      <w:r w:rsidRPr="00703A0B">
        <w:rPr>
          <w:rFonts w:cs="Arial"/>
        </w:rPr>
        <w:t xml:space="preserve">diverse leadership capability. Diverse leadership teams </w:t>
      </w:r>
      <w:r w:rsidR="0085674E" w:rsidRPr="00703A0B">
        <w:rPr>
          <w:rFonts w:cs="Arial"/>
        </w:rPr>
        <w:t xml:space="preserve">bring a broader range of perspectives and experiences, </w:t>
      </w:r>
      <w:r w:rsidRPr="00703A0B">
        <w:rPr>
          <w:rFonts w:cs="Arial"/>
        </w:rPr>
        <w:t>support</w:t>
      </w:r>
      <w:r w:rsidR="0085674E" w:rsidRPr="00703A0B">
        <w:rPr>
          <w:rFonts w:cs="Arial"/>
        </w:rPr>
        <w:t>ing</w:t>
      </w:r>
      <w:r w:rsidRPr="00703A0B">
        <w:rPr>
          <w:rFonts w:cs="Arial"/>
        </w:rPr>
        <w:t xml:space="preserve"> </w:t>
      </w:r>
      <w:r w:rsidR="00F04DBD" w:rsidRPr="00703A0B">
        <w:rPr>
          <w:rFonts w:cs="Arial"/>
        </w:rPr>
        <w:t>informed</w:t>
      </w:r>
      <w:r w:rsidRPr="00703A0B">
        <w:rPr>
          <w:rFonts w:cs="Arial"/>
        </w:rPr>
        <w:t xml:space="preserve"> decision</w:t>
      </w:r>
      <w:r w:rsidR="00F87EFA" w:rsidRPr="00703A0B">
        <w:rPr>
          <w:rFonts w:cs="Arial"/>
        </w:rPr>
        <w:t xml:space="preserve"> </w:t>
      </w:r>
      <w:r w:rsidRPr="00703A0B">
        <w:rPr>
          <w:rFonts w:cs="Arial"/>
        </w:rPr>
        <w:t>making</w:t>
      </w:r>
      <w:r w:rsidR="00FF19B2" w:rsidRPr="00703A0B">
        <w:rPr>
          <w:rFonts w:cs="Arial"/>
        </w:rPr>
        <w:t xml:space="preserve">, </w:t>
      </w:r>
      <w:r w:rsidRPr="00703A0B">
        <w:rPr>
          <w:rFonts w:cs="Arial"/>
        </w:rPr>
        <w:t xml:space="preserve">innovation and </w:t>
      </w:r>
      <w:r w:rsidR="00FF19B2" w:rsidRPr="00703A0B">
        <w:rPr>
          <w:rFonts w:cs="Arial"/>
        </w:rPr>
        <w:t xml:space="preserve">stronger </w:t>
      </w:r>
      <w:r w:rsidRPr="00703A0B">
        <w:rPr>
          <w:rFonts w:cs="Arial"/>
        </w:rPr>
        <w:t>organisational performance</w:t>
      </w:r>
      <w:r w:rsidR="00EC3514" w:rsidRPr="00703A0B">
        <w:rPr>
          <w:rFonts w:cs="Arial"/>
        </w:rPr>
        <w:t>.</w:t>
      </w:r>
      <w:r w:rsidR="00AF57D3" w:rsidRPr="00703A0B">
        <w:rPr>
          <w:rFonts w:cs="Arial"/>
        </w:rPr>
        <w:t xml:space="preserve"> </w:t>
      </w:r>
      <w:r w:rsidR="005176FA" w:rsidRPr="00703A0B">
        <w:rPr>
          <w:rFonts w:cs="Arial"/>
        </w:rPr>
        <w:t>Together with a</w:t>
      </w:r>
      <w:r w:rsidR="007F2D6A" w:rsidRPr="00703A0B">
        <w:rPr>
          <w:rFonts w:cs="Arial"/>
        </w:rPr>
        <w:t xml:space="preserve"> growing</w:t>
      </w:r>
      <w:r w:rsidR="00C34FCC" w:rsidRPr="00703A0B">
        <w:rPr>
          <w:rFonts w:cs="Arial"/>
        </w:rPr>
        <w:t xml:space="preserve"> </w:t>
      </w:r>
      <w:r w:rsidR="00796E77" w:rsidRPr="00703A0B">
        <w:rPr>
          <w:rFonts w:cs="Arial"/>
        </w:rPr>
        <w:t>and increasingly</w:t>
      </w:r>
      <w:r w:rsidR="007F2D6A" w:rsidRPr="00703A0B">
        <w:rPr>
          <w:rFonts w:cs="Arial"/>
        </w:rPr>
        <w:t xml:space="preserve"> diverse workforce</w:t>
      </w:r>
      <w:r w:rsidR="002E3827" w:rsidRPr="00703A0B">
        <w:rPr>
          <w:rFonts w:cs="Arial"/>
        </w:rPr>
        <w:t xml:space="preserve">, these strengths </w:t>
      </w:r>
      <w:r w:rsidR="0031471A" w:rsidRPr="00703A0B">
        <w:rPr>
          <w:rFonts w:cs="Arial"/>
        </w:rPr>
        <w:t>enhance</w:t>
      </w:r>
      <w:r w:rsidR="002E3827" w:rsidRPr="00703A0B">
        <w:rPr>
          <w:rFonts w:cs="Arial"/>
        </w:rPr>
        <w:t xml:space="preserve"> </w:t>
      </w:r>
      <w:r w:rsidR="007F2D6A" w:rsidRPr="00703A0B">
        <w:rPr>
          <w:rFonts w:cs="Arial"/>
        </w:rPr>
        <w:t>the QBCC's ability to deliver responsive, customer-focused and effective regulation. A capable</w:t>
      </w:r>
      <w:r w:rsidR="002E3827" w:rsidRPr="00703A0B">
        <w:rPr>
          <w:rFonts w:cs="Arial"/>
        </w:rPr>
        <w:t xml:space="preserve"> and inclusive</w:t>
      </w:r>
      <w:r w:rsidR="007F2D6A" w:rsidRPr="00703A0B">
        <w:rPr>
          <w:rFonts w:cs="Arial"/>
        </w:rPr>
        <w:t xml:space="preserve"> workforce </w:t>
      </w:r>
      <w:r w:rsidR="005C0FE0" w:rsidRPr="00703A0B">
        <w:rPr>
          <w:rFonts w:cs="Arial"/>
        </w:rPr>
        <w:t>also</w:t>
      </w:r>
      <w:r w:rsidR="007F2D6A" w:rsidRPr="00703A0B">
        <w:rPr>
          <w:rFonts w:cs="Arial"/>
        </w:rPr>
        <w:t xml:space="preserve"> strengthens the organisation's </w:t>
      </w:r>
      <w:r w:rsidR="00E84E47" w:rsidRPr="00703A0B">
        <w:rPr>
          <w:rFonts w:cs="Arial"/>
        </w:rPr>
        <w:t>ability to deliver responsive and effective services</w:t>
      </w:r>
      <w:r w:rsidR="007F2D6A" w:rsidRPr="00703A0B">
        <w:rPr>
          <w:rFonts w:cs="Arial"/>
        </w:rPr>
        <w:t xml:space="preserve"> to </w:t>
      </w:r>
      <w:r w:rsidR="00E84E47" w:rsidRPr="00703A0B">
        <w:rPr>
          <w:rFonts w:cs="Arial"/>
        </w:rPr>
        <w:t>consumers</w:t>
      </w:r>
      <w:r w:rsidR="007F2D6A" w:rsidRPr="00703A0B">
        <w:rPr>
          <w:rFonts w:cs="Arial"/>
        </w:rPr>
        <w:t xml:space="preserve"> and</w:t>
      </w:r>
      <w:r w:rsidR="00BC02E4" w:rsidRPr="00703A0B">
        <w:rPr>
          <w:rFonts w:cs="Arial"/>
        </w:rPr>
        <w:t xml:space="preserve"> </w:t>
      </w:r>
      <w:r w:rsidR="00397080" w:rsidRPr="00703A0B">
        <w:rPr>
          <w:rFonts w:cs="Arial"/>
        </w:rPr>
        <w:t xml:space="preserve">the </w:t>
      </w:r>
      <w:r w:rsidR="007F2D6A" w:rsidRPr="00703A0B">
        <w:rPr>
          <w:rFonts w:cs="Arial"/>
        </w:rPr>
        <w:t xml:space="preserve">industry, while </w:t>
      </w:r>
      <w:r w:rsidR="00213011" w:rsidRPr="00703A0B">
        <w:rPr>
          <w:rFonts w:cs="Arial"/>
        </w:rPr>
        <w:t>helping build</w:t>
      </w:r>
      <w:r w:rsidR="007F2D6A" w:rsidRPr="00703A0B">
        <w:rPr>
          <w:rFonts w:cs="Arial"/>
        </w:rPr>
        <w:t xml:space="preserve"> confidence in Queensland's building and construction regulatory framework.</w:t>
      </w:r>
    </w:p>
    <w:p w14:paraId="1EF1D601" w14:textId="49562504" w:rsidR="0037515B" w:rsidRPr="00703A0B" w:rsidRDefault="00A54958" w:rsidP="002B0855">
      <w:pPr>
        <w:spacing w:before="120" w:after="120"/>
        <w:rPr>
          <w:rFonts w:cs="Arial"/>
        </w:rPr>
      </w:pPr>
      <w:r w:rsidRPr="00703A0B">
        <w:rPr>
          <w:rFonts w:cs="Arial"/>
        </w:rPr>
        <w:t>Building on positive workforce diversity outcomes and strong representation of women in leadership roles, the QBCC continued to invest in initiatives that strengthen workforce capability and foster an inclusive workplace culture where employees feel valued, respected and supported to succeed.</w:t>
      </w:r>
      <w:r w:rsidR="00373211" w:rsidRPr="00703A0B">
        <w:rPr>
          <w:rFonts w:cs="Arial"/>
        </w:rPr>
        <w:t xml:space="preserve"> Launched during the reporting period, the QBCC Diversity, Equity, Inclusion and Belonging (DEIB) Action Plan 2026–2028 establishe</w:t>
      </w:r>
      <w:r w:rsidR="00964C46" w:rsidRPr="00703A0B">
        <w:rPr>
          <w:rFonts w:cs="Arial"/>
        </w:rPr>
        <w:t>d</w:t>
      </w:r>
      <w:r w:rsidR="00373211" w:rsidRPr="00703A0B">
        <w:rPr>
          <w:rFonts w:cs="Arial"/>
        </w:rPr>
        <w:t xml:space="preserve"> a practical</w:t>
      </w:r>
      <w:r w:rsidR="001D5B80" w:rsidRPr="00703A0B">
        <w:rPr>
          <w:rFonts w:cs="Arial"/>
        </w:rPr>
        <w:t xml:space="preserve"> </w:t>
      </w:r>
      <w:r w:rsidR="00373211" w:rsidRPr="00703A0B">
        <w:rPr>
          <w:rFonts w:cs="Arial"/>
        </w:rPr>
        <w:t xml:space="preserve">evidence-based </w:t>
      </w:r>
      <w:r w:rsidR="007A099F" w:rsidRPr="00703A0B">
        <w:rPr>
          <w:rFonts w:cs="Arial"/>
        </w:rPr>
        <w:t>framework</w:t>
      </w:r>
      <w:r w:rsidR="00373211" w:rsidRPr="00703A0B">
        <w:rPr>
          <w:rFonts w:cs="Arial"/>
        </w:rPr>
        <w:t xml:space="preserve"> to advanc</w:t>
      </w:r>
      <w:r w:rsidR="007A099F" w:rsidRPr="00703A0B">
        <w:rPr>
          <w:rFonts w:cs="Arial"/>
        </w:rPr>
        <w:t>e</w:t>
      </w:r>
      <w:r w:rsidR="00373211" w:rsidRPr="00703A0B">
        <w:rPr>
          <w:rFonts w:cs="Arial"/>
        </w:rPr>
        <w:t xml:space="preserve"> inclusion and strengthen workforce capability. By </w:t>
      </w:r>
      <w:r w:rsidR="00234B4D" w:rsidRPr="00703A0B">
        <w:rPr>
          <w:rFonts w:cs="Arial"/>
        </w:rPr>
        <w:t>promoting</w:t>
      </w:r>
      <w:r w:rsidR="00373211" w:rsidRPr="00703A0B">
        <w:rPr>
          <w:rFonts w:cs="Arial"/>
        </w:rPr>
        <w:t xml:space="preserve"> fair and inclusive employment practices, the DEIB Action Plan </w:t>
      </w:r>
      <w:r w:rsidR="00234B4D" w:rsidRPr="00703A0B">
        <w:rPr>
          <w:rFonts w:cs="Arial"/>
        </w:rPr>
        <w:t>supports</w:t>
      </w:r>
      <w:r w:rsidR="00373211" w:rsidRPr="00703A0B">
        <w:rPr>
          <w:rFonts w:cs="Arial"/>
        </w:rPr>
        <w:t xml:space="preserve"> the attract</w:t>
      </w:r>
      <w:r w:rsidR="00234B4D" w:rsidRPr="00703A0B">
        <w:rPr>
          <w:rFonts w:cs="Arial"/>
        </w:rPr>
        <w:t>ion</w:t>
      </w:r>
      <w:r w:rsidR="00373211" w:rsidRPr="00703A0B">
        <w:rPr>
          <w:rFonts w:cs="Arial"/>
        </w:rPr>
        <w:t>, develop</w:t>
      </w:r>
      <w:r w:rsidR="00234B4D" w:rsidRPr="00703A0B">
        <w:rPr>
          <w:rFonts w:cs="Arial"/>
        </w:rPr>
        <w:t>ment</w:t>
      </w:r>
      <w:r w:rsidR="00373211" w:rsidRPr="00703A0B">
        <w:rPr>
          <w:rFonts w:cs="Arial"/>
        </w:rPr>
        <w:t xml:space="preserve"> and </w:t>
      </w:r>
      <w:r w:rsidR="0037515B" w:rsidRPr="00703A0B">
        <w:rPr>
          <w:rFonts w:cs="Arial"/>
        </w:rPr>
        <w:t>retention</w:t>
      </w:r>
      <w:r w:rsidR="00234B4D" w:rsidRPr="00703A0B">
        <w:rPr>
          <w:rFonts w:cs="Arial"/>
        </w:rPr>
        <w:t xml:space="preserve"> of</w:t>
      </w:r>
      <w:r w:rsidR="00373211" w:rsidRPr="00703A0B">
        <w:rPr>
          <w:rFonts w:cs="Arial"/>
        </w:rPr>
        <w:t xml:space="preserve"> a skilled workforce that reflects the diversity of the communities and industry </w:t>
      </w:r>
      <w:r w:rsidR="0037515B" w:rsidRPr="00703A0B">
        <w:rPr>
          <w:rFonts w:cs="Arial"/>
        </w:rPr>
        <w:t>the QBCC</w:t>
      </w:r>
      <w:r w:rsidR="00373211" w:rsidRPr="00703A0B">
        <w:rPr>
          <w:rFonts w:cs="Arial"/>
        </w:rPr>
        <w:t xml:space="preserve"> serves.</w:t>
      </w:r>
      <w:r w:rsidR="00E22861" w:rsidRPr="00703A0B">
        <w:rPr>
          <w:rFonts w:cs="Arial"/>
        </w:rPr>
        <w:t xml:space="preserve"> </w:t>
      </w:r>
    </w:p>
    <w:p w14:paraId="24057210" w14:textId="60B5E336" w:rsidR="00A54958" w:rsidRPr="00703A0B" w:rsidRDefault="00E22861" w:rsidP="005D56BF">
      <w:pPr>
        <w:spacing w:before="120" w:after="120"/>
        <w:rPr>
          <w:rFonts w:cs="Arial"/>
        </w:rPr>
      </w:pPr>
      <w:r w:rsidRPr="00703A0B">
        <w:rPr>
          <w:rFonts w:cs="Arial"/>
        </w:rPr>
        <w:t xml:space="preserve">The QBCC also launched its Innovate Reconciliation Action Plan (RAP) 2026–2028, </w:t>
      </w:r>
      <w:r w:rsidR="000C0A0D" w:rsidRPr="00703A0B">
        <w:rPr>
          <w:rFonts w:cs="Arial"/>
        </w:rPr>
        <w:t xml:space="preserve">reinforcing its commitment </w:t>
      </w:r>
      <w:r w:rsidRPr="00703A0B">
        <w:rPr>
          <w:rFonts w:cs="Arial"/>
        </w:rPr>
        <w:t>to advanc</w:t>
      </w:r>
      <w:r w:rsidR="000C0A0D" w:rsidRPr="00703A0B">
        <w:rPr>
          <w:rFonts w:cs="Arial"/>
        </w:rPr>
        <w:t>ing</w:t>
      </w:r>
      <w:r w:rsidRPr="00703A0B">
        <w:rPr>
          <w:rFonts w:cs="Arial"/>
        </w:rPr>
        <w:t xml:space="preserve"> reconciliation and strengthen</w:t>
      </w:r>
      <w:r w:rsidR="000C0A0D" w:rsidRPr="00703A0B">
        <w:rPr>
          <w:rFonts w:cs="Arial"/>
        </w:rPr>
        <w:t>ing</w:t>
      </w:r>
      <w:r w:rsidRPr="00703A0B">
        <w:rPr>
          <w:rFonts w:cs="Arial"/>
        </w:rPr>
        <w:t xml:space="preserve"> relationships with Aboriginal and Torres Strait Islander peoples. Through a focus on meaningful relationships, cultural understanding, equitable opportunities and strong governance, the RAP </w:t>
      </w:r>
      <w:r w:rsidR="000C0A0D" w:rsidRPr="00703A0B">
        <w:rPr>
          <w:rFonts w:cs="Arial"/>
        </w:rPr>
        <w:t>provides a framework for embedding</w:t>
      </w:r>
      <w:r w:rsidRPr="00703A0B">
        <w:rPr>
          <w:rFonts w:cs="Arial"/>
        </w:rPr>
        <w:t xml:space="preserve"> reconciliation across the organisation's culture, workforce and service delivery.</w:t>
      </w:r>
      <w:r w:rsidR="00563212" w:rsidRPr="00703A0B">
        <w:rPr>
          <w:rFonts w:cs="Arial"/>
        </w:rPr>
        <w:t xml:space="preserve"> Together, these initiatives </w:t>
      </w:r>
      <w:r w:rsidR="001F7E39" w:rsidRPr="00703A0B">
        <w:rPr>
          <w:rFonts w:cs="Arial"/>
        </w:rPr>
        <w:t>support</w:t>
      </w:r>
      <w:r w:rsidR="00563212" w:rsidRPr="00703A0B">
        <w:rPr>
          <w:rFonts w:cs="Arial"/>
        </w:rPr>
        <w:t xml:space="preserve"> a more inclusive, capable </w:t>
      </w:r>
      <w:r w:rsidR="00DC47C1" w:rsidRPr="00703A0B">
        <w:rPr>
          <w:rFonts w:cs="Arial"/>
        </w:rPr>
        <w:t>and connected</w:t>
      </w:r>
      <w:r w:rsidR="00563212" w:rsidRPr="00703A0B">
        <w:rPr>
          <w:rFonts w:cs="Arial"/>
        </w:rPr>
        <w:t xml:space="preserve"> workforce, </w:t>
      </w:r>
      <w:r w:rsidR="00DC47C1" w:rsidRPr="00703A0B">
        <w:rPr>
          <w:rFonts w:cs="Arial"/>
        </w:rPr>
        <w:t>enhancing the QBCC’s ability to deliver responsive services and positive outcomes for consumers, industry and communities across Queensland</w:t>
      </w:r>
      <w:r w:rsidR="00563212" w:rsidRPr="00703A0B">
        <w:rPr>
          <w:rFonts w:cs="Arial"/>
        </w:rPr>
        <w:t>.</w:t>
      </w:r>
    </w:p>
    <w:p w14:paraId="6EEC6661" w14:textId="77777777" w:rsidR="007C3B3D" w:rsidRPr="00703A0B" w:rsidRDefault="007C3B3D">
      <w:pPr>
        <w:rPr>
          <w:rFonts w:eastAsiaTheme="majorEastAsia" w:cs="Arial"/>
          <w:b/>
          <w:sz w:val="28"/>
        </w:rPr>
      </w:pPr>
      <w:r w:rsidRPr="00703A0B">
        <w:rPr>
          <w:rFonts w:cs="Arial"/>
        </w:rPr>
        <w:br w:type="page"/>
      </w:r>
    </w:p>
    <w:p w14:paraId="1C3F9319" w14:textId="46D1625C" w:rsidR="007F0F42" w:rsidRPr="00703A0B" w:rsidRDefault="00786134" w:rsidP="007F0F42">
      <w:pPr>
        <w:pStyle w:val="Heading3"/>
      </w:pPr>
      <w:bookmarkStart w:id="187" w:name="_Early_retirement_redundancy"/>
      <w:bookmarkStart w:id="188" w:name="_Governance_and_accountability"/>
      <w:bookmarkEnd w:id="187"/>
      <w:bookmarkEnd w:id="188"/>
      <w:r w:rsidRPr="00703A0B">
        <w:lastRenderedPageBreak/>
        <w:t>Employee e</w:t>
      </w:r>
      <w:r w:rsidR="007F0F42" w:rsidRPr="00703A0B">
        <w:t>ngagement</w:t>
      </w:r>
    </w:p>
    <w:p w14:paraId="3939C628" w14:textId="4CAC0F64" w:rsidR="00991915" w:rsidRPr="00703A0B" w:rsidRDefault="007F67E9" w:rsidP="00E05E60">
      <w:pPr>
        <w:spacing w:before="120" w:after="120"/>
        <w:rPr>
          <w:rFonts w:cs="Arial"/>
        </w:rPr>
      </w:pPr>
      <w:r w:rsidRPr="00703A0B">
        <w:rPr>
          <w:rFonts w:cs="Arial"/>
        </w:rPr>
        <w:t>During 2025–26, t</w:t>
      </w:r>
      <w:r w:rsidR="00E05E60" w:rsidRPr="00703A0B">
        <w:rPr>
          <w:rFonts w:cs="Arial"/>
        </w:rPr>
        <w:t xml:space="preserve">he QBCC </w:t>
      </w:r>
      <w:r w:rsidRPr="00703A0B">
        <w:rPr>
          <w:rFonts w:cs="Arial"/>
        </w:rPr>
        <w:t>further strengthened its</w:t>
      </w:r>
      <w:r w:rsidR="00E05E60" w:rsidRPr="00703A0B">
        <w:rPr>
          <w:rFonts w:cs="Arial"/>
        </w:rPr>
        <w:t xml:space="preserve"> culture of performance, accountability and continuous improvement </w:t>
      </w:r>
      <w:r w:rsidRPr="00703A0B">
        <w:rPr>
          <w:rFonts w:cs="Arial"/>
        </w:rPr>
        <w:t>through</w:t>
      </w:r>
      <w:r w:rsidR="00E05E60" w:rsidRPr="00703A0B">
        <w:rPr>
          <w:rFonts w:cs="Arial"/>
        </w:rPr>
        <w:t xml:space="preserve"> </w:t>
      </w:r>
      <w:r w:rsidR="007168FA" w:rsidRPr="00703A0B">
        <w:rPr>
          <w:rFonts w:cs="Arial"/>
        </w:rPr>
        <w:t>continued focus on</w:t>
      </w:r>
      <w:r w:rsidR="00E05E60" w:rsidRPr="00703A0B">
        <w:rPr>
          <w:rFonts w:cs="Arial"/>
        </w:rPr>
        <w:t xml:space="preserve"> employee engagement</w:t>
      </w:r>
      <w:r w:rsidR="007168FA" w:rsidRPr="00703A0B">
        <w:rPr>
          <w:rFonts w:cs="Arial"/>
        </w:rPr>
        <w:t>. By listening to employee feedback and responding to workforce needs, the organisation supported positive workforce experiences and enhanced</w:t>
      </w:r>
      <w:r w:rsidR="00E05E60" w:rsidRPr="00703A0B">
        <w:rPr>
          <w:rFonts w:cs="Arial"/>
        </w:rPr>
        <w:t xml:space="preserve"> </w:t>
      </w:r>
      <w:r w:rsidR="00A2272B" w:rsidRPr="00703A0B">
        <w:rPr>
          <w:rFonts w:cs="Arial"/>
        </w:rPr>
        <w:t>its ability to deliver</w:t>
      </w:r>
      <w:r w:rsidR="00E05E60" w:rsidRPr="00703A0B">
        <w:rPr>
          <w:rFonts w:cs="Arial"/>
        </w:rPr>
        <w:t xml:space="preserve"> </w:t>
      </w:r>
      <w:r w:rsidR="00D97A90" w:rsidRPr="00703A0B">
        <w:rPr>
          <w:rFonts w:cs="Arial"/>
        </w:rPr>
        <w:t>effective</w:t>
      </w:r>
      <w:r w:rsidR="00E05E60" w:rsidRPr="00703A0B">
        <w:rPr>
          <w:rFonts w:cs="Arial"/>
        </w:rPr>
        <w:t xml:space="preserve"> </w:t>
      </w:r>
      <w:r w:rsidR="00D97A90" w:rsidRPr="00703A0B">
        <w:rPr>
          <w:rFonts w:cs="Arial"/>
        </w:rPr>
        <w:t>regulatory</w:t>
      </w:r>
      <w:r w:rsidR="00E05E60" w:rsidRPr="00703A0B">
        <w:rPr>
          <w:rFonts w:cs="Arial"/>
        </w:rPr>
        <w:t xml:space="preserve"> and customer outcomes.</w:t>
      </w:r>
      <w:r w:rsidR="00B76FEB" w:rsidRPr="00703A0B">
        <w:rPr>
          <w:rFonts w:cs="Arial"/>
        </w:rPr>
        <w:t xml:space="preserve"> The introduction of the QWIK program further </w:t>
      </w:r>
      <w:r w:rsidR="006A536B" w:rsidRPr="00703A0B">
        <w:rPr>
          <w:rFonts w:cs="Arial"/>
        </w:rPr>
        <w:t>reinforced a</w:t>
      </w:r>
      <w:r w:rsidR="00B76FEB" w:rsidRPr="00703A0B">
        <w:rPr>
          <w:rFonts w:cs="Arial"/>
        </w:rPr>
        <w:t xml:space="preserve"> culture of continuous improvement by empowering employees to identify and implement practical operational improvements</w:t>
      </w:r>
      <w:r w:rsidR="005028A8" w:rsidRPr="00703A0B">
        <w:rPr>
          <w:rFonts w:cs="Arial"/>
        </w:rPr>
        <w:t xml:space="preserve"> across the organisation</w:t>
      </w:r>
      <w:r w:rsidR="00B76FEB" w:rsidRPr="00703A0B">
        <w:rPr>
          <w:rFonts w:cs="Arial"/>
        </w:rPr>
        <w:t>.</w:t>
      </w:r>
      <w:r w:rsidR="003E78BA" w:rsidRPr="00703A0B">
        <w:rPr>
          <w:rFonts w:cs="Arial"/>
        </w:rPr>
        <w:t xml:space="preserve"> </w:t>
      </w:r>
      <w:r w:rsidR="00A54CF6" w:rsidRPr="00703A0B">
        <w:rPr>
          <w:rFonts w:cs="Arial"/>
        </w:rPr>
        <w:fldChar w:fldCharType="begin"/>
      </w:r>
      <w:r w:rsidR="00A54CF6" w:rsidRPr="00703A0B">
        <w:rPr>
          <w:rFonts w:cs="Arial"/>
        </w:rPr>
        <w:instrText xml:space="preserve"> REF _Ref235626587 \h  \* MERGEFORMAT </w:instrText>
      </w:r>
      <w:r w:rsidR="00A54CF6" w:rsidRPr="00703A0B">
        <w:rPr>
          <w:rFonts w:cs="Arial"/>
        </w:rPr>
      </w:r>
      <w:r w:rsidR="00A54CF6" w:rsidRPr="00703A0B">
        <w:rPr>
          <w:rFonts w:cs="Arial"/>
        </w:rPr>
        <w:fldChar w:fldCharType="separate"/>
      </w:r>
      <w:r w:rsidR="00701E7B" w:rsidRPr="00703A0B">
        <w:rPr>
          <w:bCs/>
        </w:rPr>
        <w:t xml:space="preserve">Figure </w:t>
      </w:r>
      <w:r w:rsidR="00701E7B" w:rsidRPr="00F80E1E">
        <w:rPr>
          <w:bCs/>
        </w:rPr>
        <w:t>8</w:t>
      </w:r>
      <w:r w:rsidR="00A54CF6" w:rsidRPr="00703A0B">
        <w:rPr>
          <w:rFonts w:cs="Arial"/>
        </w:rPr>
        <w:fldChar w:fldCharType="end"/>
      </w:r>
      <w:r w:rsidR="00A54CF6" w:rsidRPr="00703A0B">
        <w:rPr>
          <w:rFonts w:cs="Arial"/>
        </w:rPr>
        <w:t xml:space="preserve"> </w:t>
      </w:r>
      <w:r w:rsidR="00012FFB" w:rsidRPr="00703A0B">
        <w:rPr>
          <w:rFonts w:cs="Arial"/>
        </w:rPr>
        <w:t>provide</w:t>
      </w:r>
      <w:r w:rsidR="00A54CF6" w:rsidRPr="00703A0B">
        <w:rPr>
          <w:rFonts w:cs="Arial"/>
        </w:rPr>
        <w:t>s</w:t>
      </w:r>
      <w:r w:rsidR="003E78BA" w:rsidRPr="00703A0B">
        <w:rPr>
          <w:rFonts w:cs="Arial"/>
        </w:rPr>
        <w:t xml:space="preserve"> an </w:t>
      </w:r>
      <w:r w:rsidR="00952365" w:rsidRPr="00703A0B">
        <w:rPr>
          <w:rFonts w:cs="Arial"/>
        </w:rPr>
        <w:t xml:space="preserve">overview </w:t>
      </w:r>
      <w:r w:rsidR="001A53AD" w:rsidRPr="00703A0B">
        <w:rPr>
          <w:rFonts w:cs="Arial"/>
        </w:rPr>
        <w:t>of</w:t>
      </w:r>
      <w:r w:rsidR="00E91DC8" w:rsidRPr="00703A0B">
        <w:rPr>
          <w:rFonts w:cs="Arial"/>
        </w:rPr>
        <w:t xml:space="preserve"> </w:t>
      </w:r>
      <w:r w:rsidR="003E78BA" w:rsidRPr="00703A0B">
        <w:rPr>
          <w:rFonts w:cs="Arial"/>
        </w:rPr>
        <w:t>engagement</w:t>
      </w:r>
      <w:r w:rsidR="00952365" w:rsidRPr="00703A0B">
        <w:rPr>
          <w:rFonts w:cs="Arial"/>
        </w:rPr>
        <w:t xml:space="preserve"> levels</w:t>
      </w:r>
      <w:r w:rsidR="00E91DC8" w:rsidRPr="00703A0B">
        <w:rPr>
          <w:rFonts w:cs="Arial"/>
        </w:rPr>
        <w:t>, participation</w:t>
      </w:r>
      <w:r w:rsidR="00952365" w:rsidRPr="00703A0B">
        <w:rPr>
          <w:rFonts w:cs="Arial"/>
        </w:rPr>
        <w:t xml:space="preserve"> rates</w:t>
      </w:r>
      <w:r w:rsidR="00E91DC8" w:rsidRPr="00703A0B">
        <w:rPr>
          <w:rFonts w:cs="Arial"/>
        </w:rPr>
        <w:t xml:space="preserve"> and re</w:t>
      </w:r>
      <w:r w:rsidR="00EE292D" w:rsidRPr="00703A0B">
        <w:rPr>
          <w:rFonts w:cs="Arial"/>
        </w:rPr>
        <w:t xml:space="preserve">sponses to </w:t>
      </w:r>
      <w:r w:rsidR="00A82552" w:rsidRPr="00703A0B">
        <w:rPr>
          <w:rFonts w:cs="Arial"/>
        </w:rPr>
        <w:t xml:space="preserve">survey </w:t>
      </w:r>
      <w:r w:rsidR="00952365" w:rsidRPr="00703A0B">
        <w:rPr>
          <w:rFonts w:cs="Arial"/>
        </w:rPr>
        <w:t>questions</w:t>
      </w:r>
      <w:r w:rsidR="000124E9" w:rsidRPr="00703A0B">
        <w:rPr>
          <w:rFonts w:cs="Arial"/>
        </w:rPr>
        <w:t xml:space="preserve"> assessing engagement</w:t>
      </w:r>
      <w:r w:rsidR="00A82552" w:rsidRPr="00703A0B">
        <w:rPr>
          <w:rFonts w:cs="Arial"/>
        </w:rPr>
        <w:t>.</w:t>
      </w:r>
    </w:p>
    <w:p w14:paraId="310442AC" w14:textId="11B9CABF" w:rsidR="00991915" w:rsidRPr="00703A0B" w:rsidRDefault="00991915" w:rsidP="00FF5E39">
      <w:pPr>
        <w:rPr>
          <w:rFonts w:cs="Arial"/>
        </w:rPr>
      </w:pPr>
    </w:p>
    <w:p w14:paraId="6FA866AB" w14:textId="2523C8E7" w:rsidR="00A35887" w:rsidRPr="00703A0B" w:rsidRDefault="00A35887" w:rsidP="00FF5E39">
      <w:pPr>
        <w:rPr>
          <w:rFonts w:cs="Arial"/>
        </w:rPr>
      </w:pPr>
      <w:r w:rsidRPr="00BB72F2">
        <w:rPr>
          <w:rFonts w:cs="Arial"/>
          <w:noProof/>
        </w:rPr>
        <w:drawing>
          <wp:inline distT="0" distB="0" distL="0" distR="0" wp14:anchorId="68DEFF03" wp14:editId="286F22D7">
            <wp:extent cx="6642100" cy="1780540"/>
            <wp:effectExtent l="0" t="0" r="6350" b="0"/>
            <wp:docPr id="180607575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075757" name=""/>
                    <pic:cNvPicPr/>
                  </pic:nvPicPr>
                  <pic:blipFill>
                    <a:blip r:embed="rId36">
                      <a:extLst>
                        <a:ext uri="{96DAC541-7B7A-43D3-8B79-37D633B846F1}">
                          <asvg:svgBlip xmlns:asvg="http://schemas.microsoft.com/office/drawing/2016/SVG/main" r:embed="rId37"/>
                        </a:ext>
                      </a:extLst>
                    </a:blip>
                    <a:stretch>
                      <a:fillRect/>
                    </a:stretch>
                  </pic:blipFill>
                  <pic:spPr>
                    <a:xfrm>
                      <a:off x="0" y="0"/>
                      <a:ext cx="6642100" cy="1780540"/>
                    </a:xfrm>
                    <a:prstGeom prst="rect">
                      <a:avLst/>
                    </a:prstGeom>
                  </pic:spPr>
                </pic:pic>
              </a:graphicData>
            </a:graphic>
          </wp:inline>
        </w:drawing>
      </w:r>
    </w:p>
    <w:p w14:paraId="10E3CCEE" w14:textId="17E5B7F6" w:rsidR="00991915" w:rsidRPr="00703A0B" w:rsidRDefault="00991915" w:rsidP="007D76F2">
      <w:pPr>
        <w:pStyle w:val="Caption"/>
        <w:rPr>
          <w:b w:val="0"/>
          <w:bCs/>
          <w:i/>
          <w:iCs/>
        </w:rPr>
      </w:pPr>
      <w:bookmarkStart w:id="189" w:name="_Ref235626587"/>
      <w:r w:rsidRPr="00703A0B">
        <w:rPr>
          <w:b w:val="0"/>
          <w:bCs/>
          <w:i/>
          <w:iCs/>
        </w:rPr>
        <w:t xml:space="preserve">Figure </w:t>
      </w:r>
      <w:r w:rsidRPr="00703A0B">
        <w:rPr>
          <w:b w:val="0"/>
          <w:bCs/>
          <w:i/>
          <w:iCs/>
        </w:rPr>
        <w:fldChar w:fldCharType="begin"/>
      </w:r>
      <w:r w:rsidRPr="00703A0B">
        <w:rPr>
          <w:b w:val="0"/>
          <w:bCs/>
          <w:i/>
          <w:iCs/>
        </w:rPr>
        <w:instrText xml:space="preserve"> SEQ Figure \* ARABIC </w:instrText>
      </w:r>
      <w:r w:rsidRPr="00703A0B">
        <w:rPr>
          <w:b w:val="0"/>
          <w:bCs/>
          <w:i/>
          <w:iCs/>
        </w:rPr>
        <w:fldChar w:fldCharType="separate"/>
      </w:r>
      <w:r w:rsidR="00051582" w:rsidRPr="00FF5E39">
        <w:rPr>
          <w:b w:val="0"/>
          <w:bCs/>
          <w:i/>
          <w:iCs/>
        </w:rPr>
        <w:t>8</w:t>
      </w:r>
      <w:r w:rsidRPr="00703A0B">
        <w:rPr>
          <w:b w:val="0"/>
          <w:bCs/>
          <w:i/>
          <w:iCs/>
        </w:rPr>
        <w:fldChar w:fldCharType="end"/>
      </w:r>
      <w:bookmarkEnd w:id="189"/>
      <w:r w:rsidRPr="00703A0B">
        <w:rPr>
          <w:b w:val="0"/>
          <w:bCs/>
          <w:i/>
          <w:iCs/>
        </w:rPr>
        <w:t>: Employee engagement</w:t>
      </w:r>
      <w:r w:rsidR="00080A8C" w:rsidRPr="00703A0B">
        <w:rPr>
          <w:b w:val="0"/>
          <w:bCs/>
          <w:i/>
          <w:iCs/>
        </w:rPr>
        <w:t xml:space="preserve">, </w:t>
      </w:r>
      <w:r w:rsidRPr="00703A0B">
        <w:rPr>
          <w:b w:val="0"/>
          <w:bCs/>
          <w:i/>
          <w:iCs/>
        </w:rPr>
        <w:t xml:space="preserve">survey participation rate across </w:t>
      </w:r>
      <w:r w:rsidR="00497D28" w:rsidRPr="00703A0B">
        <w:rPr>
          <w:b w:val="0"/>
          <w:bCs/>
          <w:i/>
          <w:iCs/>
        </w:rPr>
        <w:t>Working for Queensland (</w:t>
      </w:r>
      <w:proofErr w:type="spellStart"/>
      <w:r w:rsidRPr="00703A0B">
        <w:rPr>
          <w:b w:val="0"/>
          <w:bCs/>
          <w:i/>
          <w:iCs/>
        </w:rPr>
        <w:t>WfQ</w:t>
      </w:r>
      <w:proofErr w:type="spellEnd"/>
      <w:r w:rsidR="00497D28" w:rsidRPr="00703A0B">
        <w:rPr>
          <w:b w:val="0"/>
          <w:bCs/>
          <w:i/>
          <w:iCs/>
        </w:rPr>
        <w:t>)</w:t>
      </w:r>
      <w:r w:rsidRPr="00703A0B">
        <w:rPr>
          <w:b w:val="0"/>
          <w:bCs/>
          <w:i/>
          <w:iCs/>
        </w:rPr>
        <w:t xml:space="preserve"> and Pulse surveys </w:t>
      </w:r>
      <w:r w:rsidR="00F25A61" w:rsidRPr="00703A0B">
        <w:rPr>
          <w:b w:val="0"/>
          <w:bCs/>
          <w:i/>
          <w:iCs/>
        </w:rPr>
        <w:t xml:space="preserve">and </w:t>
      </w:r>
      <w:proofErr w:type="spellStart"/>
      <w:r w:rsidR="00F25A61" w:rsidRPr="00703A0B">
        <w:rPr>
          <w:b w:val="0"/>
          <w:bCs/>
          <w:i/>
          <w:iCs/>
        </w:rPr>
        <w:t>WfQ</w:t>
      </w:r>
      <w:proofErr w:type="spellEnd"/>
      <w:r w:rsidR="00F25A61" w:rsidRPr="00703A0B">
        <w:rPr>
          <w:b w:val="0"/>
          <w:bCs/>
          <w:i/>
          <w:iCs/>
        </w:rPr>
        <w:t xml:space="preserve"> survey responses</w:t>
      </w:r>
      <w:r w:rsidR="00B96FBE" w:rsidRPr="00703A0B">
        <w:rPr>
          <w:b w:val="0"/>
          <w:bCs/>
          <w:i/>
          <w:iCs/>
        </w:rPr>
        <w:t xml:space="preserve"> assessing engagement</w:t>
      </w:r>
      <w:r w:rsidR="00F25A61" w:rsidRPr="00703A0B">
        <w:rPr>
          <w:b w:val="0"/>
          <w:bCs/>
          <w:i/>
          <w:iCs/>
        </w:rPr>
        <w:t xml:space="preserve"> </w:t>
      </w:r>
      <w:r w:rsidRPr="00703A0B">
        <w:rPr>
          <w:b w:val="0"/>
          <w:bCs/>
          <w:i/>
          <w:iCs/>
        </w:rPr>
        <w:t>over the past two years</w:t>
      </w:r>
    </w:p>
    <w:p w14:paraId="74F9FED5" w14:textId="5F2C07DF" w:rsidR="00E72EFF" w:rsidRPr="00703A0B" w:rsidRDefault="00E72EFF" w:rsidP="00991915">
      <w:pPr>
        <w:spacing w:before="120" w:after="120"/>
        <w:rPr>
          <w:rFonts w:cs="Arial"/>
        </w:rPr>
      </w:pPr>
      <w:r w:rsidRPr="00703A0B">
        <w:rPr>
          <w:rFonts w:cs="Arial"/>
        </w:rPr>
        <w:t>Employee engagement continued to improve in 2025–26, with results across both staff surveys indicating a more positive employee experience and stronger connection to the organisation. High participation rates also demonstrate employees</w:t>
      </w:r>
      <w:r w:rsidR="005A5E09" w:rsidRPr="00703A0B">
        <w:rPr>
          <w:rFonts w:cs="Arial"/>
        </w:rPr>
        <w:t>’ ongoing commitment to</w:t>
      </w:r>
      <w:r w:rsidRPr="00703A0B">
        <w:rPr>
          <w:rFonts w:cs="Arial"/>
        </w:rPr>
        <w:t xml:space="preserve"> shar</w:t>
      </w:r>
      <w:r w:rsidR="005A5E09" w:rsidRPr="00703A0B">
        <w:rPr>
          <w:rFonts w:cs="Arial"/>
        </w:rPr>
        <w:t>ing</w:t>
      </w:r>
      <w:r w:rsidRPr="00703A0B">
        <w:rPr>
          <w:rFonts w:cs="Arial"/>
        </w:rPr>
        <w:t xml:space="preserve"> their </w:t>
      </w:r>
      <w:r w:rsidR="00CD71CD" w:rsidRPr="00703A0B">
        <w:rPr>
          <w:rFonts w:cs="Arial"/>
        </w:rPr>
        <w:t>perspectives</w:t>
      </w:r>
      <w:r w:rsidRPr="00703A0B">
        <w:rPr>
          <w:rFonts w:cs="Arial"/>
        </w:rPr>
        <w:t xml:space="preserve"> and contribut</w:t>
      </w:r>
      <w:r w:rsidR="00CD71CD" w:rsidRPr="00703A0B">
        <w:rPr>
          <w:rFonts w:cs="Arial"/>
        </w:rPr>
        <w:t>ing</w:t>
      </w:r>
      <w:r w:rsidRPr="00703A0B">
        <w:rPr>
          <w:rFonts w:cs="Arial"/>
        </w:rPr>
        <w:t xml:space="preserve"> to </w:t>
      </w:r>
      <w:r w:rsidR="001E32BD" w:rsidRPr="00703A0B">
        <w:rPr>
          <w:rFonts w:cs="Arial"/>
        </w:rPr>
        <w:t>the</w:t>
      </w:r>
      <w:r w:rsidRPr="00703A0B">
        <w:rPr>
          <w:rFonts w:cs="Arial"/>
        </w:rPr>
        <w:t xml:space="preserve"> future direction</w:t>
      </w:r>
      <w:r w:rsidR="001E32BD" w:rsidRPr="00703A0B">
        <w:rPr>
          <w:rFonts w:cs="Arial"/>
        </w:rPr>
        <w:t xml:space="preserve"> and culture of the QBCC</w:t>
      </w:r>
      <w:r w:rsidRPr="00703A0B">
        <w:rPr>
          <w:rFonts w:cs="Arial"/>
        </w:rPr>
        <w:t xml:space="preserve">. While the results show positive momentum, opportunities remain to further strengthen engagement and </w:t>
      </w:r>
      <w:r w:rsidR="00DD73B3" w:rsidRPr="00703A0B">
        <w:rPr>
          <w:rFonts w:cs="Arial"/>
        </w:rPr>
        <w:t xml:space="preserve">continue building </w:t>
      </w:r>
      <w:r w:rsidRPr="00703A0B">
        <w:rPr>
          <w:rFonts w:cs="Arial"/>
        </w:rPr>
        <w:t>an even more connected</w:t>
      </w:r>
      <w:r w:rsidR="00DD73B3" w:rsidRPr="00703A0B">
        <w:rPr>
          <w:rFonts w:cs="Arial"/>
        </w:rPr>
        <w:t>, inclusive</w:t>
      </w:r>
      <w:r w:rsidRPr="00703A0B">
        <w:rPr>
          <w:rFonts w:cs="Arial"/>
        </w:rPr>
        <w:t xml:space="preserve"> and supportive workplace.</w:t>
      </w:r>
    </w:p>
    <w:p w14:paraId="14F231A8" w14:textId="30580B2C" w:rsidR="009863C2" w:rsidRPr="00703A0B" w:rsidRDefault="0094670A" w:rsidP="00BC2BA9">
      <w:pPr>
        <w:spacing w:before="120" w:after="120"/>
        <w:rPr>
          <w:rFonts w:cs="Arial"/>
        </w:rPr>
      </w:pPr>
      <w:r w:rsidRPr="00703A0B">
        <w:rPr>
          <w:rFonts w:cs="Arial"/>
        </w:rPr>
        <w:t>Survey feedback highlighted positive trends across several key drivers of engagement. Employees reported a stronger understanding of how their role</w:t>
      </w:r>
      <w:r w:rsidR="00BB4B41" w:rsidRPr="00703A0B">
        <w:rPr>
          <w:rFonts w:cs="Arial"/>
        </w:rPr>
        <w:t>s</w:t>
      </w:r>
      <w:r w:rsidRPr="00703A0B">
        <w:rPr>
          <w:rFonts w:cs="Arial"/>
        </w:rPr>
        <w:t xml:space="preserve"> contribute to organisational objectives, greater recognition of the QBCC's impact on the community and a stronger sense of inclusion, respect and accomplishment in their work. Together, these results </w:t>
      </w:r>
      <w:r w:rsidR="00BB4B41" w:rsidRPr="00703A0B">
        <w:rPr>
          <w:rFonts w:cs="Arial"/>
        </w:rPr>
        <w:t>indicate</w:t>
      </w:r>
      <w:r w:rsidRPr="00703A0B">
        <w:rPr>
          <w:rFonts w:cs="Arial"/>
        </w:rPr>
        <w:t xml:space="preserve"> that employees are</w:t>
      </w:r>
      <w:r w:rsidR="00BB4B41" w:rsidRPr="00703A0B">
        <w:rPr>
          <w:rFonts w:cs="Arial"/>
        </w:rPr>
        <w:t xml:space="preserve"> becoming</w:t>
      </w:r>
      <w:r w:rsidRPr="00703A0B">
        <w:rPr>
          <w:rFonts w:cs="Arial"/>
        </w:rPr>
        <w:t xml:space="preserve"> increasingly connected to the organisation's purpose and </w:t>
      </w:r>
      <w:r w:rsidR="005142C8" w:rsidRPr="00703A0B">
        <w:rPr>
          <w:rFonts w:cs="Arial"/>
        </w:rPr>
        <w:t>recognise</w:t>
      </w:r>
      <w:r w:rsidRPr="00703A0B">
        <w:rPr>
          <w:rFonts w:cs="Arial"/>
        </w:rPr>
        <w:t xml:space="preserve"> the </w:t>
      </w:r>
      <w:r w:rsidR="005142C8" w:rsidRPr="00703A0B">
        <w:rPr>
          <w:rFonts w:cs="Arial"/>
        </w:rPr>
        <w:t>important</w:t>
      </w:r>
      <w:r w:rsidRPr="00703A0B">
        <w:rPr>
          <w:rFonts w:cs="Arial"/>
        </w:rPr>
        <w:t xml:space="preserve"> contribution </w:t>
      </w:r>
      <w:r w:rsidR="005142C8" w:rsidRPr="00703A0B">
        <w:rPr>
          <w:rFonts w:cs="Arial"/>
        </w:rPr>
        <w:t>they make</w:t>
      </w:r>
      <w:r w:rsidRPr="00703A0B">
        <w:rPr>
          <w:rFonts w:cs="Arial"/>
        </w:rPr>
        <w:t xml:space="preserve"> to delivering services </w:t>
      </w:r>
      <w:r w:rsidR="0092421D" w:rsidRPr="00703A0B">
        <w:rPr>
          <w:rFonts w:cs="Arial"/>
        </w:rPr>
        <w:t xml:space="preserve">and outcomes </w:t>
      </w:r>
      <w:r w:rsidRPr="00703A0B">
        <w:rPr>
          <w:rFonts w:cs="Arial"/>
        </w:rPr>
        <w:t xml:space="preserve">for </w:t>
      </w:r>
      <w:r w:rsidR="009E79E9" w:rsidRPr="00703A0B">
        <w:rPr>
          <w:rFonts w:cs="Arial"/>
        </w:rPr>
        <w:t>customers</w:t>
      </w:r>
      <w:r w:rsidRPr="00703A0B">
        <w:rPr>
          <w:rFonts w:cs="Arial"/>
        </w:rPr>
        <w:t xml:space="preserve"> and </w:t>
      </w:r>
      <w:r w:rsidR="009E79E9" w:rsidRPr="00703A0B">
        <w:rPr>
          <w:rFonts w:cs="Arial"/>
        </w:rPr>
        <w:t xml:space="preserve">the </w:t>
      </w:r>
      <w:r w:rsidR="009863C2" w:rsidRPr="00703A0B">
        <w:rPr>
          <w:rFonts w:cs="Arial"/>
        </w:rPr>
        <w:t>building and construction</w:t>
      </w:r>
      <w:r w:rsidR="009E79E9" w:rsidRPr="00703A0B">
        <w:rPr>
          <w:rFonts w:cs="Arial"/>
        </w:rPr>
        <w:t xml:space="preserve"> </w:t>
      </w:r>
      <w:r w:rsidRPr="00703A0B">
        <w:rPr>
          <w:rFonts w:cs="Arial"/>
        </w:rPr>
        <w:t>industry.</w:t>
      </w:r>
      <w:r w:rsidR="007A3925" w:rsidRPr="00703A0B">
        <w:rPr>
          <w:rFonts w:cs="Arial"/>
        </w:rPr>
        <w:t xml:space="preserve"> </w:t>
      </w:r>
    </w:p>
    <w:p w14:paraId="65372341" w14:textId="0EEB2030" w:rsidR="00E72EFF" w:rsidRPr="00703A0B" w:rsidRDefault="007A3925" w:rsidP="00BC2BA9">
      <w:pPr>
        <w:spacing w:before="120" w:after="120"/>
        <w:rPr>
          <w:rFonts w:cs="Arial"/>
        </w:rPr>
      </w:pPr>
      <w:r w:rsidRPr="00703A0B">
        <w:rPr>
          <w:rFonts w:cs="Arial"/>
        </w:rPr>
        <w:t xml:space="preserve">An engaged workforce is critical to the QBCC's ability to deliver effective regulation and high-quality customer service. Employees who understand the organisation's goals and feel connected to its purpose are better </w:t>
      </w:r>
      <w:r w:rsidR="001351B1" w:rsidRPr="00703A0B">
        <w:rPr>
          <w:rFonts w:cs="Arial"/>
        </w:rPr>
        <w:t>equipped</w:t>
      </w:r>
      <w:r w:rsidRPr="00703A0B">
        <w:rPr>
          <w:rFonts w:cs="Arial"/>
        </w:rPr>
        <w:t xml:space="preserve"> to respond to customer needs, support industry stakeholders and </w:t>
      </w:r>
      <w:r w:rsidR="001351B1" w:rsidRPr="00703A0B">
        <w:rPr>
          <w:rFonts w:cs="Arial"/>
        </w:rPr>
        <w:t>drive</w:t>
      </w:r>
      <w:r w:rsidRPr="00703A0B">
        <w:rPr>
          <w:rFonts w:cs="Arial"/>
        </w:rPr>
        <w:t xml:space="preserve"> continuous improvement</w:t>
      </w:r>
      <w:r w:rsidR="001351B1" w:rsidRPr="00703A0B">
        <w:rPr>
          <w:rFonts w:cs="Arial"/>
        </w:rPr>
        <w:t>.</w:t>
      </w:r>
      <w:r w:rsidRPr="00703A0B">
        <w:rPr>
          <w:rFonts w:cs="Arial"/>
        </w:rPr>
        <w:t xml:space="preserve"> Strong employee engagement also supports workforce retention, capability and organisational performance, helping </w:t>
      </w:r>
      <w:r w:rsidR="00E96D65" w:rsidRPr="00703A0B">
        <w:rPr>
          <w:rFonts w:cs="Arial"/>
        </w:rPr>
        <w:t xml:space="preserve">to </w:t>
      </w:r>
      <w:r w:rsidRPr="00703A0B">
        <w:rPr>
          <w:rFonts w:cs="Arial"/>
        </w:rPr>
        <w:t xml:space="preserve">ensure the QBCC </w:t>
      </w:r>
      <w:r w:rsidR="001351B1" w:rsidRPr="00703A0B">
        <w:rPr>
          <w:rFonts w:cs="Arial"/>
        </w:rPr>
        <w:t>remains</w:t>
      </w:r>
      <w:r w:rsidRPr="00703A0B">
        <w:rPr>
          <w:rFonts w:cs="Arial"/>
        </w:rPr>
        <w:t xml:space="preserve"> responsive, trusted and customer-focused </w:t>
      </w:r>
      <w:r w:rsidR="00E96D65" w:rsidRPr="00703A0B">
        <w:rPr>
          <w:rFonts w:cs="Arial"/>
        </w:rPr>
        <w:t xml:space="preserve">in its </w:t>
      </w:r>
      <w:r w:rsidRPr="00703A0B">
        <w:rPr>
          <w:rFonts w:cs="Arial"/>
        </w:rPr>
        <w:t>service to Queensland's building and construction industry.</w:t>
      </w:r>
    </w:p>
    <w:p w14:paraId="5E758793" w14:textId="4A862B2A" w:rsidR="005D5226" w:rsidRPr="00703A0B" w:rsidRDefault="005D5226" w:rsidP="005D5226">
      <w:pPr>
        <w:pStyle w:val="Heading3"/>
      </w:pPr>
      <w:bookmarkStart w:id="190" w:name="_Workforce_capability_and"/>
      <w:bookmarkEnd w:id="190"/>
      <w:r w:rsidRPr="00703A0B">
        <w:t xml:space="preserve">Employee </w:t>
      </w:r>
      <w:r w:rsidR="00415DCA" w:rsidRPr="00703A0B">
        <w:t>c</w:t>
      </w:r>
      <w:r w:rsidRPr="00703A0B">
        <w:t xml:space="preserve">onduct </w:t>
      </w:r>
    </w:p>
    <w:p w14:paraId="4F1675CB" w14:textId="77777777" w:rsidR="005D5226" w:rsidRPr="00703A0B" w:rsidRDefault="005D5226" w:rsidP="005D5226">
      <w:pPr>
        <w:spacing w:before="120" w:after="120"/>
        <w:rPr>
          <w:rFonts w:cs="Arial"/>
        </w:rPr>
      </w:pPr>
      <w:r w:rsidRPr="00703A0B">
        <w:rPr>
          <w:rFonts w:cs="Arial"/>
        </w:rPr>
        <w:t xml:space="preserve">The QBCC continued to demonstrate its commitment to the highest standards of integrity, accountability and ethical conduct, meeting its obligations under the </w:t>
      </w:r>
      <w:r w:rsidRPr="00703A0B">
        <w:rPr>
          <w:rFonts w:cs="Arial"/>
          <w:i/>
          <w:iCs/>
        </w:rPr>
        <w:t>Public Interest Disclosure Act 2010</w:t>
      </w:r>
      <w:r w:rsidRPr="00703A0B">
        <w:rPr>
          <w:rFonts w:cs="Arial"/>
        </w:rPr>
        <w:t xml:space="preserve">, the </w:t>
      </w:r>
      <w:r w:rsidRPr="00703A0B">
        <w:rPr>
          <w:rFonts w:cs="Arial"/>
          <w:i/>
          <w:iCs/>
        </w:rPr>
        <w:t>Public Sector Act 2022</w:t>
      </w:r>
      <w:r w:rsidRPr="00703A0B">
        <w:rPr>
          <w:rFonts w:cs="Arial"/>
        </w:rPr>
        <w:t xml:space="preserve">, the </w:t>
      </w:r>
      <w:r w:rsidRPr="00703A0B">
        <w:rPr>
          <w:rFonts w:cs="Arial"/>
          <w:i/>
          <w:iCs/>
        </w:rPr>
        <w:t>Public Sector Ethics Act 1994</w:t>
      </w:r>
      <w:r w:rsidRPr="00703A0B">
        <w:rPr>
          <w:rFonts w:cs="Arial"/>
        </w:rPr>
        <w:t xml:space="preserve"> and other relevant integrity-related legislation.</w:t>
      </w:r>
    </w:p>
    <w:p w14:paraId="2BB1D679" w14:textId="47565BCB" w:rsidR="005D5226" w:rsidRPr="00703A0B" w:rsidRDefault="005D5226" w:rsidP="005D5226">
      <w:pPr>
        <w:spacing w:before="120" w:after="120"/>
        <w:rPr>
          <w:rFonts w:cs="Arial"/>
        </w:rPr>
      </w:pPr>
      <w:r w:rsidRPr="00703A0B">
        <w:rPr>
          <w:rFonts w:cs="Arial"/>
        </w:rPr>
        <w:t xml:space="preserve">The Code of Conduct for the Queensland Public </w:t>
      </w:r>
      <w:r w:rsidR="00AA21FC" w:rsidRPr="00703A0B">
        <w:rPr>
          <w:rFonts w:cs="Arial"/>
        </w:rPr>
        <w:t>Service</w:t>
      </w:r>
      <w:r w:rsidRPr="00703A0B">
        <w:rPr>
          <w:rFonts w:cs="Arial"/>
        </w:rPr>
        <w:t xml:space="preserve"> sets out the standards and behaviours expected of employees. Together with the </w:t>
      </w:r>
      <w:r w:rsidRPr="00703A0B">
        <w:rPr>
          <w:rFonts w:cs="Arial"/>
          <w:i/>
          <w:iCs/>
        </w:rPr>
        <w:t>Public Sector Ethics Act 1994</w:t>
      </w:r>
      <w:r w:rsidRPr="00703A0B">
        <w:rPr>
          <w:rFonts w:cs="Arial"/>
        </w:rPr>
        <w:t xml:space="preserve"> (Qld) and the </w:t>
      </w:r>
      <w:r w:rsidRPr="00703A0B">
        <w:rPr>
          <w:rFonts w:cs="Arial"/>
          <w:i/>
          <w:iCs/>
        </w:rPr>
        <w:t>Public Sector Act 2022</w:t>
      </w:r>
      <w:r w:rsidRPr="00703A0B">
        <w:rPr>
          <w:rFonts w:cs="Arial"/>
        </w:rPr>
        <w:t xml:space="preserve">, it provides a clear framework for ethical conduct across the QBCC. </w:t>
      </w:r>
      <w:r w:rsidR="00FD6545" w:rsidRPr="00703A0B">
        <w:rPr>
          <w:rFonts w:cs="Arial"/>
        </w:rPr>
        <w:t>The</w:t>
      </w:r>
      <w:r w:rsidRPr="00703A0B">
        <w:rPr>
          <w:rFonts w:cs="Arial"/>
        </w:rPr>
        <w:t xml:space="preserve"> framework </w:t>
      </w:r>
      <w:r w:rsidR="00FD6545" w:rsidRPr="00703A0B">
        <w:rPr>
          <w:rFonts w:cs="Arial"/>
        </w:rPr>
        <w:t>for ethical conduct</w:t>
      </w:r>
      <w:r w:rsidRPr="00703A0B">
        <w:rPr>
          <w:rFonts w:cs="Arial"/>
        </w:rPr>
        <w:t xml:space="preserve"> has been embedded in QBCC’s integrity and human resource policies, induction programs, procedures and management practices, supporting professionalism, accountability and exemplary public administration.</w:t>
      </w:r>
    </w:p>
    <w:p w14:paraId="607D9EBF" w14:textId="184D05B5" w:rsidR="005D5226" w:rsidRPr="00703A0B" w:rsidRDefault="005D5226" w:rsidP="005D5226">
      <w:pPr>
        <w:spacing w:before="120" w:after="120"/>
        <w:rPr>
          <w:rFonts w:cs="Arial"/>
        </w:rPr>
      </w:pPr>
      <w:r w:rsidRPr="00703A0B">
        <w:rPr>
          <w:rFonts w:cs="Arial"/>
        </w:rPr>
        <w:t>To strengthen organisational capability and promote a culture of integrity, the QBCC delivered mandatory training through the QBCC Learning Hub</w:t>
      </w:r>
      <w:r w:rsidR="00606D29" w:rsidRPr="00703A0B">
        <w:rPr>
          <w:rFonts w:cs="Arial"/>
        </w:rPr>
        <w:t xml:space="preserve"> in 2025–26</w:t>
      </w:r>
      <w:r w:rsidRPr="00703A0B">
        <w:rPr>
          <w:rFonts w:cs="Arial"/>
        </w:rPr>
        <w:t xml:space="preserve">. </w:t>
      </w:r>
      <w:r w:rsidR="002C7041" w:rsidRPr="00703A0B">
        <w:rPr>
          <w:rFonts w:cs="Arial"/>
        </w:rPr>
        <w:t>The</w:t>
      </w:r>
      <w:r w:rsidRPr="00703A0B">
        <w:rPr>
          <w:rFonts w:cs="Arial"/>
        </w:rPr>
        <w:t xml:space="preserve"> training help</w:t>
      </w:r>
      <w:r w:rsidR="002C7041" w:rsidRPr="00703A0B">
        <w:rPr>
          <w:rFonts w:cs="Arial"/>
        </w:rPr>
        <w:t>ed</w:t>
      </w:r>
      <w:r w:rsidRPr="00703A0B">
        <w:rPr>
          <w:rFonts w:cs="Arial"/>
        </w:rPr>
        <w:t xml:space="preserve"> staff understand and apply core public sector values, including integrity, impartiality, accountability, transparency and promoting the public </w:t>
      </w:r>
      <w:r w:rsidRPr="00703A0B">
        <w:rPr>
          <w:rFonts w:cs="Arial"/>
        </w:rPr>
        <w:lastRenderedPageBreak/>
        <w:t>good. In doing so, it strengthen</w:t>
      </w:r>
      <w:r w:rsidR="000426C0" w:rsidRPr="00703A0B">
        <w:rPr>
          <w:rFonts w:cs="Arial"/>
        </w:rPr>
        <w:t>ed</w:t>
      </w:r>
      <w:r w:rsidRPr="00703A0B">
        <w:rPr>
          <w:rFonts w:cs="Arial"/>
        </w:rPr>
        <w:t xml:space="preserve"> organisational capability and promote</w:t>
      </w:r>
      <w:r w:rsidR="000426C0" w:rsidRPr="00703A0B">
        <w:rPr>
          <w:rFonts w:cs="Arial"/>
        </w:rPr>
        <w:t>d</w:t>
      </w:r>
      <w:r w:rsidRPr="00703A0B">
        <w:rPr>
          <w:rFonts w:cs="Arial"/>
        </w:rPr>
        <w:t xml:space="preserve"> consistent, ethical decision</w:t>
      </w:r>
      <w:r w:rsidR="000426C0" w:rsidRPr="00703A0B">
        <w:rPr>
          <w:rFonts w:cs="Arial"/>
        </w:rPr>
        <w:t xml:space="preserve"> </w:t>
      </w:r>
      <w:r w:rsidRPr="00703A0B">
        <w:rPr>
          <w:rFonts w:cs="Arial"/>
        </w:rPr>
        <w:t>making and service delivery.</w:t>
      </w:r>
    </w:p>
    <w:p w14:paraId="4E3FE778" w14:textId="3A9617D3" w:rsidR="005D5226" w:rsidRPr="00703A0B" w:rsidRDefault="005D5226" w:rsidP="005D5226">
      <w:pPr>
        <w:spacing w:before="120" w:after="120"/>
        <w:rPr>
          <w:rFonts w:cs="Arial"/>
        </w:rPr>
      </w:pPr>
      <w:r w:rsidRPr="00703A0B">
        <w:rPr>
          <w:rFonts w:cs="Arial"/>
        </w:rPr>
        <w:t xml:space="preserve">Mandatory training </w:t>
      </w:r>
      <w:r w:rsidR="00493E6F" w:rsidRPr="00703A0B">
        <w:rPr>
          <w:rFonts w:cs="Arial"/>
        </w:rPr>
        <w:t xml:space="preserve">delivered throughout the reporting period </w:t>
      </w:r>
      <w:r w:rsidRPr="00703A0B">
        <w:rPr>
          <w:rFonts w:cs="Arial"/>
        </w:rPr>
        <w:t>cover</w:t>
      </w:r>
      <w:r w:rsidR="00493E6F" w:rsidRPr="00703A0B">
        <w:rPr>
          <w:rFonts w:cs="Arial"/>
        </w:rPr>
        <w:t>ed</w:t>
      </w:r>
      <w:r w:rsidRPr="00703A0B">
        <w:rPr>
          <w:rFonts w:cs="Arial"/>
        </w:rPr>
        <w:t xml:space="preserve"> a range of important topics:</w:t>
      </w:r>
    </w:p>
    <w:p w14:paraId="049FB785" w14:textId="77777777" w:rsidR="005D5226" w:rsidRPr="00703A0B" w:rsidRDefault="005D5226" w:rsidP="005D5226">
      <w:pPr>
        <w:pStyle w:val="ListParagraph"/>
        <w:numPr>
          <w:ilvl w:val="0"/>
          <w:numId w:val="9"/>
        </w:numPr>
        <w:spacing w:before="120" w:after="120"/>
        <w:ind w:left="714" w:hanging="357"/>
        <w:contextualSpacing w:val="0"/>
        <w:rPr>
          <w:rFonts w:cs="Arial"/>
        </w:rPr>
      </w:pPr>
      <w:r w:rsidRPr="00703A0B">
        <w:rPr>
          <w:rFonts w:cs="Arial"/>
        </w:rPr>
        <w:t>Code of Conduct and workplace bullying, harassment and equal employment opportunity</w:t>
      </w:r>
    </w:p>
    <w:p w14:paraId="7E502362" w14:textId="77777777" w:rsidR="005D5226" w:rsidRPr="00703A0B" w:rsidRDefault="005D5226" w:rsidP="005D5226">
      <w:pPr>
        <w:pStyle w:val="ListParagraph"/>
        <w:numPr>
          <w:ilvl w:val="0"/>
          <w:numId w:val="8"/>
        </w:numPr>
        <w:spacing w:before="120" w:after="120"/>
        <w:ind w:left="714" w:hanging="357"/>
        <w:contextualSpacing w:val="0"/>
        <w:rPr>
          <w:rFonts w:cs="Arial"/>
        </w:rPr>
      </w:pPr>
      <w:r w:rsidRPr="00703A0B">
        <w:rPr>
          <w:rFonts w:cs="Arial"/>
        </w:rPr>
        <w:t>fraud and corruption</w:t>
      </w:r>
    </w:p>
    <w:p w14:paraId="636A5E09" w14:textId="77777777" w:rsidR="005D5226" w:rsidRPr="00703A0B" w:rsidRDefault="005D5226" w:rsidP="005D5226">
      <w:pPr>
        <w:pStyle w:val="ListParagraph"/>
        <w:numPr>
          <w:ilvl w:val="0"/>
          <w:numId w:val="8"/>
        </w:numPr>
        <w:spacing w:before="120" w:after="120"/>
        <w:ind w:left="714" w:hanging="357"/>
        <w:contextualSpacing w:val="0"/>
        <w:rPr>
          <w:rFonts w:cs="Arial"/>
        </w:rPr>
      </w:pPr>
      <w:r w:rsidRPr="00703A0B">
        <w:rPr>
          <w:rFonts w:cs="Arial"/>
        </w:rPr>
        <w:t>public interest disclosures</w:t>
      </w:r>
    </w:p>
    <w:p w14:paraId="02A66DCB" w14:textId="387EE900" w:rsidR="005D5226" w:rsidRPr="00703A0B" w:rsidRDefault="005D5226" w:rsidP="005D5226">
      <w:pPr>
        <w:pStyle w:val="ListParagraph"/>
        <w:numPr>
          <w:ilvl w:val="0"/>
          <w:numId w:val="8"/>
        </w:numPr>
        <w:spacing w:before="120" w:after="120"/>
        <w:ind w:left="714" w:hanging="357"/>
        <w:rPr>
          <w:rFonts w:cs="Arial"/>
        </w:rPr>
      </w:pPr>
      <w:r w:rsidRPr="00703A0B">
        <w:rPr>
          <w:rFonts w:cs="Arial"/>
        </w:rPr>
        <w:t>conflict of interest, secondary employment, right to information and information privacy.</w:t>
      </w:r>
    </w:p>
    <w:p w14:paraId="46324A96" w14:textId="0C8C2D65" w:rsidR="005D5226" w:rsidRPr="00703A0B" w:rsidRDefault="005D5226" w:rsidP="007747B7">
      <w:pPr>
        <w:spacing w:before="120" w:after="120"/>
        <w:rPr>
          <w:rFonts w:cs="Arial"/>
        </w:rPr>
      </w:pPr>
      <w:r w:rsidRPr="00703A0B">
        <w:rPr>
          <w:rFonts w:cs="Arial"/>
        </w:rPr>
        <w:t xml:space="preserve">All employees </w:t>
      </w:r>
      <w:r w:rsidR="00597A0A" w:rsidRPr="00703A0B">
        <w:rPr>
          <w:rFonts w:cs="Arial"/>
        </w:rPr>
        <w:t xml:space="preserve">are </w:t>
      </w:r>
      <w:r w:rsidRPr="00703A0B">
        <w:rPr>
          <w:rFonts w:cs="Arial"/>
        </w:rPr>
        <w:t>required to complete mandatory eLearning modules on a two</w:t>
      </w:r>
      <w:r w:rsidR="009E7237" w:rsidRPr="00703A0B">
        <w:rPr>
          <w:rFonts w:ascii="Cambria Math" w:hAnsi="Cambria Math" w:cs="Cambria Math"/>
        </w:rPr>
        <w:t>-</w:t>
      </w:r>
      <w:r w:rsidRPr="00703A0B">
        <w:rPr>
          <w:rFonts w:cs="Arial"/>
        </w:rPr>
        <w:t>year cycle</w:t>
      </w:r>
      <w:r w:rsidR="00A077D5" w:rsidRPr="00703A0B">
        <w:rPr>
          <w:rFonts w:cs="Arial"/>
        </w:rPr>
        <w:t xml:space="preserve">. </w:t>
      </w:r>
      <w:r w:rsidR="00A1282F" w:rsidRPr="00703A0B">
        <w:rPr>
          <w:rFonts w:cs="Arial"/>
        </w:rPr>
        <w:t>In addition, a</w:t>
      </w:r>
      <w:r w:rsidRPr="00703A0B">
        <w:rPr>
          <w:rFonts w:cs="Arial"/>
        </w:rPr>
        <w:t>nnual face</w:t>
      </w:r>
      <w:r w:rsidR="00537E47" w:rsidRPr="00703A0B">
        <w:rPr>
          <w:rFonts w:cs="Arial"/>
        </w:rPr>
        <w:t>-</w:t>
      </w:r>
      <w:r w:rsidRPr="00703A0B">
        <w:rPr>
          <w:rFonts w:cs="Arial"/>
        </w:rPr>
        <w:t>to</w:t>
      </w:r>
      <w:r w:rsidR="00537E47" w:rsidRPr="00703A0B">
        <w:rPr>
          <w:rFonts w:cs="Arial"/>
        </w:rPr>
        <w:t>-</w:t>
      </w:r>
      <w:r w:rsidRPr="00703A0B">
        <w:rPr>
          <w:rFonts w:cs="Arial"/>
        </w:rPr>
        <w:t xml:space="preserve">face ethics awareness training </w:t>
      </w:r>
      <w:r w:rsidR="00537E47" w:rsidRPr="00703A0B">
        <w:rPr>
          <w:rFonts w:cs="Arial"/>
        </w:rPr>
        <w:t xml:space="preserve">was delivered </w:t>
      </w:r>
      <w:r w:rsidR="00A1282F" w:rsidRPr="00703A0B">
        <w:rPr>
          <w:rFonts w:cs="Arial"/>
        </w:rPr>
        <w:t>during</w:t>
      </w:r>
      <w:r w:rsidR="000D2B51" w:rsidRPr="00703A0B">
        <w:rPr>
          <w:rFonts w:cs="Arial"/>
        </w:rPr>
        <w:t xml:space="preserve"> 2025–26 </w:t>
      </w:r>
      <w:r w:rsidRPr="00703A0B">
        <w:rPr>
          <w:rFonts w:cs="Arial"/>
        </w:rPr>
        <w:t xml:space="preserve">to </w:t>
      </w:r>
      <w:r w:rsidR="00A1282F" w:rsidRPr="00703A0B">
        <w:rPr>
          <w:rFonts w:cs="Arial"/>
        </w:rPr>
        <w:t xml:space="preserve">reinforce </w:t>
      </w:r>
      <w:r w:rsidR="000D2B51" w:rsidRPr="00703A0B">
        <w:rPr>
          <w:rFonts w:cs="Arial"/>
        </w:rPr>
        <w:t>ethic</w:t>
      </w:r>
      <w:r w:rsidR="00A1282F" w:rsidRPr="00703A0B">
        <w:rPr>
          <w:rFonts w:cs="Arial"/>
        </w:rPr>
        <w:t xml:space="preserve">al </w:t>
      </w:r>
      <w:r w:rsidRPr="00703A0B">
        <w:rPr>
          <w:rFonts w:cs="Arial"/>
        </w:rPr>
        <w:t xml:space="preserve">principles </w:t>
      </w:r>
      <w:r w:rsidR="00A1282F" w:rsidRPr="00703A0B">
        <w:rPr>
          <w:rFonts w:cs="Arial"/>
        </w:rPr>
        <w:t xml:space="preserve">and support their application </w:t>
      </w:r>
      <w:r w:rsidRPr="00703A0B">
        <w:rPr>
          <w:rFonts w:cs="Arial"/>
        </w:rPr>
        <w:t xml:space="preserve">in </w:t>
      </w:r>
      <w:r w:rsidR="00A1282F" w:rsidRPr="00703A0B">
        <w:rPr>
          <w:rFonts w:cs="Arial"/>
        </w:rPr>
        <w:t>day-to-day</w:t>
      </w:r>
      <w:r w:rsidRPr="00703A0B">
        <w:rPr>
          <w:rFonts w:cs="Arial"/>
        </w:rPr>
        <w:t xml:space="preserve"> </w:t>
      </w:r>
      <w:r w:rsidR="00781486" w:rsidRPr="00703A0B">
        <w:rPr>
          <w:rFonts w:cs="Arial"/>
        </w:rPr>
        <w:t>decision making</w:t>
      </w:r>
      <w:r w:rsidRPr="00703A0B">
        <w:rPr>
          <w:rFonts w:cs="Arial"/>
        </w:rPr>
        <w:t>.</w:t>
      </w:r>
      <w:r w:rsidR="00B3121F" w:rsidRPr="00703A0B">
        <w:rPr>
          <w:rFonts w:cs="Arial"/>
        </w:rPr>
        <w:t xml:space="preserve"> </w:t>
      </w:r>
      <w:r w:rsidR="00781486" w:rsidRPr="00703A0B">
        <w:rPr>
          <w:rFonts w:cs="Arial"/>
        </w:rPr>
        <w:t>O</w:t>
      </w:r>
      <w:r w:rsidRPr="00703A0B">
        <w:rPr>
          <w:rFonts w:cs="Arial"/>
        </w:rPr>
        <w:t xml:space="preserve">ngoing investment </w:t>
      </w:r>
      <w:r w:rsidR="00D134B2" w:rsidRPr="00703A0B">
        <w:rPr>
          <w:rFonts w:cs="Arial"/>
        </w:rPr>
        <w:t xml:space="preserve">in </w:t>
      </w:r>
      <w:r w:rsidRPr="00703A0B">
        <w:rPr>
          <w:rFonts w:cs="Arial"/>
        </w:rPr>
        <w:t>promot</w:t>
      </w:r>
      <w:r w:rsidR="00D134B2" w:rsidRPr="00703A0B">
        <w:rPr>
          <w:rFonts w:cs="Arial"/>
        </w:rPr>
        <w:t>ing</w:t>
      </w:r>
      <w:r w:rsidRPr="00703A0B">
        <w:rPr>
          <w:rFonts w:cs="Arial"/>
        </w:rPr>
        <w:t xml:space="preserve"> a strong integrity culture demonstrate</w:t>
      </w:r>
      <w:r w:rsidR="00D134B2" w:rsidRPr="00703A0B">
        <w:rPr>
          <w:rFonts w:cs="Arial"/>
        </w:rPr>
        <w:t>s</w:t>
      </w:r>
      <w:r w:rsidRPr="00703A0B">
        <w:rPr>
          <w:rFonts w:cs="Arial"/>
        </w:rPr>
        <w:t xml:space="preserve"> the QBCC’s commitment to upholding the ethical </w:t>
      </w:r>
      <w:r w:rsidR="00636E3F" w:rsidRPr="00703A0B">
        <w:rPr>
          <w:rFonts w:cs="Arial"/>
        </w:rPr>
        <w:t xml:space="preserve">standards and </w:t>
      </w:r>
      <w:r w:rsidRPr="00703A0B">
        <w:rPr>
          <w:rFonts w:cs="Arial"/>
        </w:rPr>
        <w:t>obligations that underpin its regulatory responsibilities.</w:t>
      </w:r>
    </w:p>
    <w:p w14:paraId="6F2CA959" w14:textId="6F284AE1" w:rsidR="00E241C8" w:rsidRPr="00703A0B" w:rsidRDefault="00E241C8" w:rsidP="008D6D1F">
      <w:pPr>
        <w:pStyle w:val="Heading3"/>
      </w:pPr>
      <w:r w:rsidRPr="00703A0B">
        <w:t>Workforce capability and development</w:t>
      </w:r>
    </w:p>
    <w:p w14:paraId="49A1A578" w14:textId="77777777" w:rsidR="004A1067" w:rsidRPr="00703A0B" w:rsidRDefault="004A1067" w:rsidP="004A1067">
      <w:pPr>
        <w:spacing w:before="120" w:after="120"/>
        <w:rPr>
          <w:rFonts w:cs="Arial"/>
        </w:rPr>
      </w:pPr>
      <w:r w:rsidRPr="00703A0B">
        <w:rPr>
          <w:rFonts w:cs="Arial"/>
        </w:rPr>
        <w:t>The QBCC continued to invest in workforce capability to ensure employees are equipped to operate within an increasingly complex regulatory environment.</w:t>
      </w:r>
    </w:p>
    <w:p w14:paraId="2C840FDE" w14:textId="77777777" w:rsidR="00983723" w:rsidRPr="00703A0B" w:rsidRDefault="004A1067" w:rsidP="00E241C8">
      <w:pPr>
        <w:spacing w:before="120" w:after="120"/>
        <w:rPr>
          <w:b/>
          <w:bCs/>
        </w:rPr>
      </w:pPr>
      <w:r w:rsidRPr="00703A0B">
        <w:rPr>
          <w:rFonts w:cs="Arial"/>
        </w:rPr>
        <w:t>Learning and development activities focused on leadership capability, professional skills, psychosocial risk management, recruitment capability and customer interactions. Key initiatives included the Elevate program, Constructive Conversations, Leaders' Onboarding Program and the Leaders' Playbook. These programs strengthen</w:t>
      </w:r>
      <w:r w:rsidR="00FA7B0A" w:rsidRPr="00703A0B">
        <w:rPr>
          <w:rFonts w:cs="Arial"/>
        </w:rPr>
        <w:t>ed</w:t>
      </w:r>
      <w:r w:rsidRPr="00703A0B">
        <w:rPr>
          <w:rFonts w:cs="Arial"/>
        </w:rPr>
        <w:t xml:space="preserve"> leadership effectiveness, workforce resilience and organisational capability</w:t>
      </w:r>
      <w:r w:rsidR="00983723" w:rsidRPr="00703A0B">
        <w:rPr>
          <w:b/>
          <w:bCs/>
        </w:rPr>
        <w:t>.</w:t>
      </w:r>
    </w:p>
    <w:p w14:paraId="6E3D4284" w14:textId="01C344B5" w:rsidR="00E241C8" w:rsidRPr="00703A0B" w:rsidRDefault="00E241C8" w:rsidP="00E241C8">
      <w:pPr>
        <w:spacing w:before="120" w:after="120"/>
        <w:rPr>
          <w:rFonts w:cs="Arial"/>
        </w:rPr>
      </w:pPr>
      <w:r w:rsidRPr="00703A0B">
        <w:rPr>
          <w:rFonts w:cs="Arial"/>
        </w:rPr>
        <w:t xml:space="preserve">During the </w:t>
      </w:r>
      <w:r w:rsidR="00983723" w:rsidRPr="00703A0B">
        <w:rPr>
          <w:rFonts w:cs="Arial"/>
        </w:rPr>
        <w:t>reporting period</w:t>
      </w:r>
      <w:r w:rsidRPr="00703A0B">
        <w:rPr>
          <w:rFonts w:cs="Arial"/>
        </w:rPr>
        <w:t xml:space="preserve">, the QBCC also strengthened employee development through Performance Development Plans, coaching conversations and ongoing feedback mechanisms. The Study and Research Assistance Scheme continued to support employees undertaking formal qualifications and professional development opportunities aligned with organisational capability needs. </w:t>
      </w:r>
    </w:p>
    <w:p w14:paraId="3F2DAB01" w14:textId="0794CAED" w:rsidR="00E241C8" w:rsidRPr="00703A0B" w:rsidRDefault="00E241C8" w:rsidP="00731EE3">
      <w:pPr>
        <w:spacing w:before="120" w:after="120"/>
        <w:rPr>
          <w:rFonts w:cs="Arial"/>
        </w:rPr>
      </w:pPr>
      <w:r w:rsidRPr="00703A0B">
        <w:rPr>
          <w:rFonts w:cs="Arial"/>
        </w:rPr>
        <w:t>The QBCC Academy</w:t>
      </w:r>
      <w:r w:rsidR="004A1067" w:rsidRPr="00703A0B">
        <w:rPr>
          <w:rFonts w:cs="Arial"/>
        </w:rPr>
        <w:t xml:space="preserve"> (formerly Regulatory Academy)</w:t>
      </w:r>
      <w:r w:rsidRPr="00703A0B">
        <w:rPr>
          <w:rFonts w:cs="Arial"/>
        </w:rPr>
        <w:t xml:space="preserve"> </w:t>
      </w:r>
      <w:r w:rsidR="00A976B8" w:rsidRPr="00703A0B">
        <w:rPr>
          <w:rFonts w:cs="Arial"/>
        </w:rPr>
        <w:t>continued</w:t>
      </w:r>
      <w:r w:rsidR="00F23465" w:rsidRPr="00703A0B">
        <w:rPr>
          <w:rFonts w:cs="Arial"/>
        </w:rPr>
        <w:t xml:space="preserve"> to play a central role in building organisational</w:t>
      </w:r>
      <w:r w:rsidRPr="00703A0B">
        <w:rPr>
          <w:rFonts w:cs="Arial"/>
        </w:rPr>
        <w:t xml:space="preserve"> capability </w:t>
      </w:r>
      <w:r w:rsidR="00F23465" w:rsidRPr="00703A0B">
        <w:rPr>
          <w:rFonts w:cs="Arial"/>
        </w:rPr>
        <w:t>and</w:t>
      </w:r>
      <w:r w:rsidRPr="00703A0B">
        <w:rPr>
          <w:rFonts w:cs="Arial"/>
        </w:rPr>
        <w:t xml:space="preserve"> supporting the transition to a more structured and </w:t>
      </w:r>
      <w:r w:rsidR="00146A90" w:rsidRPr="00703A0B">
        <w:rPr>
          <w:rFonts w:cs="Arial"/>
        </w:rPr>
        <w:t xml:space="preserve">contemporary workforce development model. </w:t>
      </w:r>
      <w:r w:rsidRPr="00703A0B">
        <w:rPr>
          <w:rFonts w:cs="Arial"/>
        </w:rPr>
        <w:t xml:space="preserve">A </w:t>
      </w:r>
      <w:r w:rsidR="00146A90" w:rsidRPr="00703A0B">
        <w:rPr>
          <w:rFonts w:cs="Arial"/>
        </w:rPr>
        <w:t>key</w:t>
      </w:r>
      <w:r w:rsidRPr="00703A0B">
        <w:rPr>
          <w:rFonts w:cs="Arial"/>
        </w:rPr>
        <w:t xml:space="preserve"> milestone</w:t>
      </w:r>
      <w:r w:rsidR="00146A90" w:rsidRPr="00703A0B">
        <w:rPr>
          <w:rFonts w:cs="Arial"/>
        </w:rPr>
        <w:t xml:space="preserve"> during the year</w:t>
      </w:r>
      <w:r w:rsidRPr="00703A0B">
        <w:rPr>
          <w:rFonts w:cs="Arial"/>
        </w:rPr>
        <w:t xml:space="preserve"> was the commencement of an organisation-wide onboarding </w:t>
      </w:r>
      <w:r w:rsidR="00D00150" w:rsidRPr="00703A0B">
        <w:rPr>
          <w:rFonts w:cs="Arial"/>
        </w:rPr>
        <w:t>program</w:t>
      </w:r>
      <w:r w:rsidR="00257C8B" w:rsidRPr="00703A0B">
        <w:rPr>
          <w:rFonts w:cs="Arial"/>
        </w:rPr>
        <w:t xml:space="preserve"> </w:t>
      </w:r>
      <w:r w:rsidRPr="00703A0B">
        <w:rPr>
          <w:rFonts w:cs="Arial"/>
        </w:rPr>
        <w:t xml:space="preserve">and refreshed capability approach </w:t>
      </w:r>
      <w:r w:rsidR="00257C8B" w:rsidRPr="00703A0B">
        <w:rPr>
          <w:rFonts w:cs="Arial"/>
        </w:rPr>
        <w:t xml:space="preserve">aimed at developing </w:t>
      </w:r>
      <w:r w:rsidR="00EC10DD" w:rsidRPr="00703A0B">
        <w:rPr>
          <w:rFonts w:cs="Arial"/>
        </w:rPr>
        <w:t xml:space="preserve">a </w:t>
      </w:r>
      <w:r w:rsidRPr="00703A0B">
        <w:rPr>
          <w:rFonts w:cs="Arial"/>
        </w:rPr>
        <w:t>confident, customer-focused</w:t>
      </w:r>
      <w:r w:rsidR="00485C10" w:rsidRPr="00703A0B">
        <w:rPr>
          <w:rFonts w:cs="Arial"/>
        </w:rPr>
        <w:t xml:space="preserve"> and high-performing </w:t>
      </w:r>
      <w:r w:rsidRPr="00703A0B">
        <w:rPr>
          <w:rFonts w:cs="Arial"/>
        </w:rPr>
        <w:t xml:space="preserve">regulatory workforce. </w:t>
      </w:r>
      <w:r w:rsidR="00731EE3" w:rsidRPr="00703A0B">
        <w:rPr>
          <w:rFonts w:cs="Arial"/>
        </w:rPr>
        <w:t>Repositioned as the organisation's enterprise capability</w:t>
      </w:r>
      <w:r w:rsidR="00B357D6" w:rsidRPr="00703A0B">
        <w:rPr>
          <w:rFonts w:cs="Arial"/>
        </w:rPr>
        <w:t xml:space="preserve"> </w:t>
      </w:r>
      <w:r w:rsidR="00731EE3" w:rsidRPr="00703A0B">
        <w:rPr>
          <w:rFonts w:cs="Arial"/>
        </w:rPr>
        <w:t>function</w:t>
      </w:r>
      <w:r w:rsidR="00B357D6" w:rsidRPr="00703A0B">
        <w:rPr>
          <w:rFonts w:cs="Arial"/>
        </w:rPr>
        <w:t>, t</w:t>
      </w:r>
      <w:r w:rsidR="00731EE3" w:rsidRPr="00703A0B">
        <w:rPr>
          <w:rFonts w:cs="Arial"/>
        </w:rPr>
        <w:t xml:space="preserve">he </w:t>
      </w:r>
      <w:r w:rsidR="00BB2AB2" w:rsidRPr="00703A0B">
        <w:rPr>
          <w:rFonts w:cs="Arial"/>
        </w:rPr>
        <w:t xml:space="preserve">QBCC </w:t>
      </w:r>
      <w:r w:rsidR="00731EE3" w:rsidRPr="00703A0B">
        <w:rPr>
          <w:rFonts w:cs="Arial"/>
        </w:rPr>
        <w:t>Academy</w:t>
      </w:r>
      <w:r w:rsidR="00485C10" w:rsidRPr="00703A0B">
        <w:rPr>
          <w:rFonts w:cs="Arial"/>
        </w:rPr>
        <w:t xml:space="preserve"> provides a coordinated approach </w:t>
      </w:r>
      <w:r w:rsidR="00731EE3" w:rsidRPr="00703A0B">
        <w:rPr>
          <w:rFonts w:cs="Arial"/>
        </w:rPr>
        <w:t xml:space="preserve">to onboarding, </w:t>
      </w:r>
      <w:r w:rsidR="00743071" w:rsidRPr="00703A0B">
        <w:rPr>
          <w:rFonts w:cs="Arial"/>
        </w:rPr>
        <w:t>professional</w:t>
      </w:r>
      <w:r w:rsidR="00731EE3" w:rsidRPr="00703A0B">
        <w:rPr>
          <w:rFonts w:cs="Arial"/>
        </w:rPr>
        <w:t xml:space="preserve"> development, leadership growth and workforce readiness. Th</w:t>
      </w:r>
      <w:r w:rsidR="0081484B" w:rsidRPr="00703A0B">
        <w:rPr>
          <w:rFonts w:cs="Arial"/>
        </w:rPr>
        <w:t>e refreshed capability framework</w:t>
      </w:r>
      <w:r w:rsidR="004F6B99" w:rsidRPr="00703A0B">
        <w:rPr>
          <w:rFonts w:cs="Arial"/>
        </w:rPr>
        <w:t xml:space="preserve"> </w:t>
      </w:r>
      <w:r w:rsidR="00E753EB" w:rsidRPr="00703A0B">
        <w:rPr>
          <w:rFonts w:cs="Arial"/>
        </w:rPr>
        <w:t>str</w:t>
      </w:r>
      <w:r w:rsidR="00731EE3" w:rsidRPr="00703A0B">
        <w:rPr>
          <w:rFonts w:cs="Arial"/>
        </w:rPr>
        <w:t>engthen</w:t>
      </w:r>
      <w:r w:rsidR="00583D63" w:rsidRPr="00703A0B">
        <w:rPr>
          <w:rFonts w:cs="Arial"/>
        </w:rPr>
        <w:t>s</w:t>
      </w:r>
      <w:r w:rsidR="00731EE3" w:rsidRPr="00703A0B">
        <w:rPr>
          <w:rFonts w:cs="Arial"/>
        </w:rPr>
        <w:t xml:space="preserve"> regulatory professionalism, support</w:t>
      </w:r>
      <w:r w:rsidR="00583D63" w:rsidRPr="00703A0B">
        <w:rPr>
          <w:rFonts w:cs="Arial"/>
        </w:rPr>
        <w:t>s</w:t>
      </w:r>
      <w:r w:rsidR="00731EE3" w:rsidRPr="00703A0B">
        <w:rPr>
          <w:rFonts w:cs="Arial"/>
        </w:rPr>
        <w:t xml:space="preserve"> fair, reasonable and risk-based decision</w:t>
      </w:r>
      <w:r w:rsidR="00415519" w:rsidRPr="00703A0B">
        <w:rPr>
          <w:rFonts w:cs="Arial"/>
        </w:rPr>
        <w:t xml:space="preserve"> </w:t>
      </w:r>
      <w:r w:rsidR="00731EE3" w:rsidRPr="00703A0B">
        <w:rPr>
          <w:rFonts w:cs="Arial"/>
        </w:rPr>
        <w:t>making and embed</w:t>
      </w:r>
      <w:r w:rsidR="00583D63" w:rsidRPr="00703A0B">
        <w:rPr>
          <w:rFonts w:cs="Arial"/>
        </w:rPr>
        <w:t>s</w:t>
      </w:r>
      <w:r w:rsidR="00731EE3" w:rsidRPr="00703A0B">
        <w:rPr>
          <w:rFonts w:cs="Arial"/>
        </w:rPr>
        <w:t xml:space="preserve"> a shared understanding of the QBCC</w:t>
      </w:r>
      <w:r w:rsidR="00D943FF" w:rsidRPr="00703A0B">
        <w:rPr>
          <w:rFonts w:cs="Arial"/>
        </w:rPr>
        <w:t>’s</w:t>
      </w:r>
      <w:r w:rsidR="00731EE3" w:rsidRPr="00703A0B">
        <w:rPr>
          <w:rFonts w:cs="Arial"/>
        </w:rPr>
        <w:t xml:space="preserve"> </w:t>
      </w:r>
      <w:r w:rsidR="00B444AB" w:rsidRPr="00703A0B">
        <w:rPr>
          <w:rFonts w:cs="Arial"/>
        </w:rPr>
        <w:t>vision</w:t>
      </w:r>
      <w:r w:rsidR="00F23117" w:rsidRPr="00703A0B">
        <w:rPr>
          <w:rFonts w:cs="Arial"/>
        </w:rPr>
        <w:t xml:space="preserve">, strategic objectives and performance </w:t>
      </w:r>
      <w:r w:rsidR="00162486" w:rsidRPr="00703A0B">
        <w:rPr>
          <w:rFonts w:cs="Arial"/>
        </w:rPr>
        <w:t>framework</w:t>
      </w:r>
      <w:r w:rsidR="00731EE3" w:rsidRPr="00703A0B">
        <w:rPr>
          <w:rFonts w:cs="Arial"/>
        </w:rPr>
        <w:t>.</w:t>
      </w:r>
      <w:r w:rsidR="00AA4D4A" w:rsidRPr="00703A0B">
        <w:rPr>
          <w:rFonts w:cs="Arial"/>
        </w:rPr>
        <w:t xml:space="preserve"> </w:t>
      </w:r>
      <w:r w:rsidR="00731EE3" w:rsidRPr="00703A0B">
        <w:rPr>
          <w:rFonts w:cs="Arial"/>
        </w:rPr>
        <w:t xml:space="preserve">Through </w:t>
      </w:r>
      <w:r w:rsidR="008236DF" w:rsidRPr="00703A0B">
        <w:rPr>
          <w:rFonts w:cs="Arial"/>
        </w:rPr>
        <w:t>targeted development</w:t>
      </w:r>
      <w:r w:rsidR="00731EE3" w:rsidRPr="00703A0B">
        <w:rPr>
          <w:rFonts w:cs="Arial"/>
        </w:rPr>
        <w:t xml:space="preserve"> pathwa</w:t>
      </w:r>
      <w:r w:rsidR="008236DF" w:rsidRPr="00703A0B">
        <w:rPr>
          <w:rFonts w:cs="Arial"/>
        </w:rPr>
        <w:t>ys and consistent capability standards</w:t>
      </w:r>
      <w:r w:rsidR="00731EE3" w:rsidRPr="00703A0B">
        <w:rPr>
          <w:rFonts w:cs="Arial"/>
        </w:rPr>
        <w:t xml:space="preserve">, the </w:t>
      </w:r>
      <w:r w:rsidR="00671FF4" w:rsidRPr="00703A0B">
        <w:rPr>
          <w:rFonts w:cs="Arial"/>
        </w:rPr>
        <w:t xml:space="preserve">QBCC </w:t>
      </w:r>
      <w:r w:rsidR="00731EE3" w:rsidRPr="00703A0B">
        <w:rPr>
          <w:rFonts w:cs="Arial"/>
        </w:rPr>
        <w:t xml:space="preserve">Academy is helping build </w:t>
      </w:r>
      <w:r w:rsidR="008236DF" w:rsidRPr="00703A0B">
        <w:rPr>
          <w:rFonts w:cs="Arial"/>
        </w:rPr>
        <w:t>a skilled</w:t>
      </w:r>
      <w:r w:rsidR="00731EE3" w:rsidRPr="00703A0B">
        <w:rPr>
          <w:rFonts w:cs="Arial"/>
        </w:rPr>
        <w:t xml:space="preserve">, </w:t>
      </w:r>
      <w:r w:rsidR="008236DF" w:rsidRPr="00703A0B">
        <w:rPr>
          <w:rFonts w:cs="Arial"/>
        </w:rPr>
        <w:t>ada</w:t>
      </w:r>
      <w:r w:rsidR="00A04693" w:rsidRPr="00703A0B">
        <w:rPr>
          <w:rFonts w:cs="Arial"/>
        </w:rPr>
        <w:t>ptable</w:t>
      </w:r>
      <w:r w:rsidR="00731EE3" w:rsidRPr="00703A0B">
        <w:rPr>
          <w:rFonts w:cs="Arial"/>
        </w:rPr>
        <w:t xml:space="preserve"> and </w:t>
      </w:r>
      <w:r w:rsidR="00A04693" w:rsidRPr="00703A0B">
        <w:rPr>
          <w:rFonts w:cs="Arial"/>
        </w:rPr>
        <w:t>future-ready workforce</w:t>
      </w:r>
      <w:r w:rsidR="00731EE3" w:rsidRPr="00703A0B">
        <w:rPr>
          <w:rFonts w:cs="Arial"/>
        </w:rPr>
        <w:t>.</w:t>
      </w:r>
    </w:p>
    <w:p w14:paraId="1D2E60C3" w14:textId="1A44D504" w:rsidR="004A1067" w:rsidRPr="00703A0B" w:rsidRDefault="004A1067" w:rsidP="008D6D1F">
      <w:pPr>
        <w:pStyle w:val="Heading3"/>
      </w:pPr>
      <w:bookmarkStart w:id="191" w:name="_Workforce_optimisation_and"/>
      <w:bookmarkEnd w:id="191"/>
      <w:r w:rsidRPr="00703A0B">
        <w:t>Workforce optimisation and efficiency</w:t>
      </w:r>
    </w:p>
    <w:p w14:paraId="126694C9" w14:textId="624CDF4B" w:rsidR="00AB675C" w:rsidRPr="00703A0B" w:rsidRDefault="00AB675C" w:rsidP="00AB675C">
      <w:pPr>
        <w:spacing w:before="120" w:after="120"/>
        <w:rPr>
          <w:rFonts w:cs="Arial"/>
        </w:rPr>
      </w:pPr>
      <w:r w:rsidRPr="00703A0B">
        <w:rPr>
          <w:rFonts w:cs="Arial"/>
        </w:rPr>
        <w:t>Maintaining workforce capability while operating within approved workforce limits remains a key organisational priority.</w:t>
      </w:r>
      <w:r w:rsidR="006160C6" w:rsidRPr="00703A0B">
        <w:rPr>
          <w:rFonts w:cs="Arial"/>
        </w:rPr>
        <w:t xml:space="preserve"> </w:t>
      </w:r>
      <w:r w:rsidR="006160C6" w:rsidRPr="00703A0B">
        <w:rPr>
          <w:rFonts w:cs="Arial"/>
        </w:rPr>
        <w:fldChar w:fldCharType="begin"/>
      </w:r>
      <w:r w:rsidR="006160C6" w:rsidRPr="00703A0B">
        <w:rPr>
          <w:rFonts w:cs="Arial"/>
        </w:rPr>
        <w:instrText xml:space="preserve"> REF _Ref234924012 \h </w:instrText>
      </w:r>
      <w:r w:rsidR="006160C6" w:rsidRPr="00703A0B">
        <w:rPr>
          <w:rFonts w:cs="Arial"/>
        </w:rPr>
      </w:r>
      <w:r w:rsidR="006160C6" w:rsidRPr="00703A0B">
        <w:rPr>
          <w:rFonts w:cs="Arial"/>
        </w:rPr>
        <w:fldChar w:fldCharType="separate"/>
      </w:r>
      <w:r w:rsidR="00712377" w:rsidRPr="00703A0B">
        <w:t xml:space="preserve">Table </w:t>
      </w:r>
      <w:r w:rsidR="00712377" w:rsidRPr="00FF5E39">
        <w:t>26</w:t>
      </w:r>
      <w:r w:rsidR="006160C6" w:rsidRPr="00703A0B">
        <w:rPr>
          <w:rFonts w:cs="Arial"/>
        </w:rPr>
        <w:fldChar w:fldCharType="end"/>
      </w:r>
      <w:r w:rsidR="006160C6" w:rsidRPr="00703A0B">
        <w:rPr>
          <w:rFonts w:cs="Arial"/>
        </w:rPr>
        <w:t xml:space="preserve"> provides an overview of </w:t>
      </w:r>
      <w:r w:rsidR="00A1056A" w:rsidRPr="00703A0B">
        <w:rPr>
          <w:rFonts w:cs="Arial"/>
        </w:rPr>
        <w:t>workforce capacity</w:t>
      </w:r>
      <w:r w:rsidR="00BC60CE" w:rsidRPr="00703A0B">
        <w:rPr>
          <w:rStyle w:val="FootnoteReference"/>
          <w:rFonts w:cs="Arial"/>
        </w:rPr>
        <w:footnoteReference w:id="14"/>
      </w:r>
      <w:r w:rsidR="00A1056A" w:rsidRPr="00703A0B">
        <w:rPr>
          <w:rFonts w:cs="Arial"/>
        </w:rPr>
        <w:t xml:space="preserve"> and </w:t>
      </w:r>
      <w:r w:rsidR="00D25747" w:rsidRPr="00703A0B">
        <w:rPr>
          <w:rFonts w:cs="Arial"/>
        </w:rPr>
        <w:t>efficiency</w:t>
      </w:r>
      <w:r w:rsidR="00FF1E44" w:rsidRPr="00703A0B">
        <w:rPr>
          <w:rFonts w:cs="Arial"/>
        </w:rPr>
        <w:t xml:space="preserve"> metrics</w:t>
      </w:r>
      <w:r w:rsidR="00D25747" w:rsidRPr="00703A0B">
        <w:rPr>
          <w:rFonts w:cs="Arial"/>
        </w:rPr>
        <w:t>.</w:t>
      </w:r>
    </w:p>
    <w:p w14:paraId="315121CB" w14:textId="3FA94D0B" w:rsidR="00275697" w:rsidRPr="00703A0B" w:rsidRDefault="00482871" w:rsidP="00482871">
      <w:pPr>
        <w:pStyle w:val="Caption"/>
        <w:rPr>
          <w:bCs/>
        </w:rPr>
      </w:pPr>
      <w:bookmarkStart w:id="192" w:name="_Ref234924012"/>
      <w:r w:rsidRPr="00703A0B">
        <w:t xml:space="preserve">Table </w:t>
      </w:r>
      <w:r w:rsidRPr="00703A0B">
        <w:fldChar w:fldCharType="begin"/>
      </w:r>
      <w:r w:rsidRPr="00703A0B">
        <w:instrText>SEQ Table \* ARABIC</w:instrText>
      </w:r>
      <w:r w:rsidRPr="00703A0B">
        <w:fldChar w:fldCharType="separate"/>
      </w:r>
      <w:r w:rsidR="003764AA" w:rsidRPr="00FF5E39">
        <w:t>26</w:t>
      </w:r>
      <w:r w:rsidRPr="00703A0B">
        <w:fldChar w:fldCharType="end"/>
      </w:r>
      <w:bookmarkEnd w:id="192"/>
      <w:r w:rsidR="004A1067" w:rsidRPr="00703A0B">
        <w:rPr>
          <w:bCs/>
        </w:rPr>
        <w:t>: Workforce capacity and efficiency</w:t>
      </w:r>
      <w:r w:rsidR="00F93F1F" w:rsidRPr="00703A0B">
        <w:rPr>
          <w:bCs/>
        </w:rPr>
        <w:t xml:space="preserve"> metrics over the past three years</w:t>
      </w:r>
    </w:p>
    <w:tbl>
      <w:tblPr>
        <w:tblStyle w:val="TableGrid"/>
        <w:tblW w:w="4949" w:type="pct"/>
        <w:tblCellMar>
          <w:top w:w="28" w:type="dxa"/>
          <w:bottom w:w="28" w:type="dxa"/>
        </w:tblCellMar>
        <w:tblLook w:val="04A0" w:firstRow="1" w:lastRow="0" w:firstColumn="1" w:lastColumn="0" w:noHBand="0" w:noVBand="1"/>
      </w:tblPr>
      <w:tblGrid>
        <w:gridCol w:w="3679"/>
        <w:gridCol w:w="2220"/>
        <w:gridCol w:w="2222"/>
        <w:gridCol w:w="2222"/>
      </w:tblGrid>
      <w:tr w:rsidR="00275697" w:rsidRPr="00703A0B" w14:paraId="7C35FBC3" w14:textId="4A53C8CB" w:rsidTr="005C18D1">
        <w:tc>
          <w:tcPr>
            <w:tcW w:w="1778" w:type="pct"/>
            <w:shd w:val="clear" w:color="auto" w:fill="BFBFBF" w:themeFill="background1" w:themeFillShade="BF"/>
          </w:tcPr>
          <w:p w14:paraId="6F112AF7" w14:textId="14ECD393" w:rsidR="00275697" w:rsidRPr="00703A0B" w:rsidRDefault="00C85BE1" w:rsidP="00BB09BC">
            <w:pPr>
              <w:rPr>
                <w:b/>
                <w:bCs/>
              </w:rPr>
            </w:pPr>
            <w:r w:rsidRPr="00703A0B">
              <w:rPr>
                <w:b/>
                <w:bCs/>
              </w:rPr>
              <w:t>Capacity and efficiency</w:t>
            </w:r>
          </w:p>
        </w:tc>
        <w:tc>
          <w:tcPr>
            <w:tcW w:w="1073" w:type="pct"/>
            <w:shd w:val="clear" w:color="auto" w:fill="BFBFBF" w:themeFill="background1" w:themeFillShade="BF"/>
          </w:tcPr>
          <w:p w14:paraId="1CA1898F" w14:textId="5EAAB49B" w:rsidR="00275697" w:rsidRPr="00703A0B" w:rsidRDefault="00275697" w:rsidP="00BB09BC">
            <w:pPr>
              <w:rPr>
                <w:b/>
                <w:bCs/>
              </w:rPr>
            </w:pPr>
            <w:r w:rsidRPr="00703A0B">
              <w:rPr>
                <w:b/>
                <w:bCs/>
              </w:rPr>
              <w:t>2023</w:t>
            </w:r>
            <w:r w:rsidR="005D54BA" w:rsidRPr="00703A0B">
              <w:rPr>
                <w:b/>
                <w:bCs/>
              </w:rPr>
              <w:t>–</w:t>
            </w:r>
            <w:r w:rsidRPr="00703A0B">
              <w:rPr>
                <w:b/>
                <w:bCs/>
              </w:rPr>
              <w:t>24</w:t>
            </w:r>
          </w:p>
        </w:tc>
        <w:tc>
          <w:tcPr>
            <w:tcW w:w="1074" w:type="pct"/>
            <w:shd w:val="clear" w:color="auto" w:fill="BFBFBF" w:themeFill="background1" w:themeFillShade="BF"/>
          </w:tcPr>
          <w:p w14:paraId="7C26EBEE" w14:textId="7B50019C" w:rsidR="00275697" w:rsidRPr="00703A0B" w:rsidRDefault="00275697" w:rsidP="00BB09BC">
            <w:pPr>
              <w:rPr>
                <w:b/>
                <w:bCs/>
              </w:rPr>
            </w:pPr>
            <w:r w:rsidRPr="00703A0B">
              <w:rPr>
                <w:b/>
                <w:bCs/>
              </w:rPr>
              <w:t>2024</w:t>
            </w:r>
            <w:r w:rsidR="005D54BA" w:rsidRPr="00703A0B">
              <w:rPr>
                <w:b/>
                <w:bCs/>
              </w:rPr>
              <w:t>–</w:t>
            </w:r>
            <w:r w:rsidRPr="00703A0B">
              <w:rPr>
                <w:b/>
                <w:bCs/>
              </w:rPr>
              <w:t>25</w:t>
            </w:r>
          </w:p>
        </w:tc>
        <w:tc>
          <w:tcPr>
            <w:tcW w:w="1074" w:type="pct"/>
            <w:shd w:val="clear" w:color="auto" w:fill="BFBFBF" w:themeFill="background1" w:themeFillShade="BF"/>
          </w:tcPr>
          <w:p w14:paraId="0B4AF4B5" w14:textId="7C58ECF8" w:rsidR="00275697" w:rsidRPr="00703A0B" w:rsidRDefault="00275697" w:rsidP="00BB09BC">
            <w:pPr>
              <w:rPr>
                <w:b/>
                <w:bCs/>
              </w:rPr>
            </w:pPr>
            <w:r w:rsidRPr="00703A0B">
              <w:rPr>
                <w:b/>
                <w:bCs/>
              </w:rPr>
              <w:t>2025</w:t>
            </w:r>
            <w:r w:rsidR="005D54BA" w:rsidRPr="00703A0B">
              <w:rPr>
                <w:b/>
                <w:bCs/>
              </w:rPr>
              <w:t>–</w:t>
            </w:r>
            <w:r w:rsidRPr="00703A0B">
              <w:rPr>
                <w:b/>
                <w:bCs/>
              </w:rPr>
              <w:t>26</w:t>
            </w:r>
          </w:p>
        </w:tc>
      </w:tr>
      <w:tr w:rsidR="00D854EF" w:rsidRPr="00703A0B" w14:paraId="2D93B5E4" w14:textId="0016EE57" w:rsidTr="005C18D1">
        <w:tc>
          <w:tcPr>
            <w:tcW w:w="1778" w:type="pct"/>
          </w:tcPr>
          <w:p w14:paraId="3E085875" w14:textId="38E9015C" w:rsidR="00D854EF" w:rsidRPr="00703A0B" w:rsidRDefault="00D854EF" w:rsidP="00BB09BC">
            <w:r w:rsidRPr="00703A0B">
              <w:t xml:space="preserve">Vacancy rate </w:t>
            </w:r>
            <w:r w:rsidR="006A7DE8" w:rsidRPr="00703A0B">
              <w:t>(</w:t>
            </w:r>
            <w:r w:rsidRPr="00703A0B">
              <w:t>%</w:t>
            </w:r>
            <w:r w:rsidR="006A7DE8" w:rsidRPr="00703A0B">
              <w:t>)</w:t>
            </w:r>
          </w:p>
        </w:tc>
        <w:tc>
          <w:tcPr>
            <w:tcW w:w="1073" w:type="pct"/>
          </w:tcPr>
          <w:p w14:paraId="22F61B88" w14:textId="5C7D707D" w:rsidR="00D854EF" w:rsidRPr="00703A0B" w:rsidRDefault="56CAEEDE" w:rsidP="00BB09BC">
            <w:r w:rsidRPr="00703A0B">
              <w:rPr>
                <w:rFonts w:cs="Arial"/>
              </w:rPr>
              <w:t>6.2%</w:t>
            </w:r>
          </w:p>
        </w:tc>
        <w:tc>
          <w:tcPr>
            <w:tcW w:w="1074" w:type="pct"/>
          </w:tcPr>
          <w:p w14:paraId="568B0034" w14:textId="53514D31" w:rsidR="00D854EF" w:rsidRPr="00703A0B" w:rsidRDefault="1BC6491F" w:rsidP="00BB09BC">
            <w:r w:rsidRPr="00703A0B">
              <w:rPr>
                <w:rFonts w:cs="Arial"/>
              </w:rPr>
              <w:t>5.9%</w:t>
            </w:r>
          </w:p>
        </w:tc>
        <w:tc>
          <w:tcPr>
            <w:tcW w:w="1074" w:type="pct"/>
          </w:tcPr>
          <w:p w14:paraId="0AC23D5A" w14:textId="710B2C36" w:rsidR="00D854EF" w:rsidRPr="00703A0B" w:rsidRDefault="263C8185" w:rsidP="00BB09BC">
            <w:r w:rsidRPr="00703A0B">
              <w:rPr>
                <w:rFonts w:cs="Arial"/>
              </w:rPr>
              <w:t>4.8%</w:t>
            </w:r>
          </w:p>
        </w:tc>
      </w:tr>
      <w:tr w:rsidR="00D854EF" w:rsidRPr="00703A0B" w14:paraId="5700DEF9" w14:textId="77777777" w:rsidTr="005C18D1">
        <w:tc>
          <w:tcPr>
            <w:tcW w:w="1778" w:type="pct"/>
          </w:tcPr>
          <w:p w14:paraId="2E3E75C4" w14:textId="718AAA15" w:rsidR="00D854EF" w:rsidRPr="00703A0B" w:rsidRDefault="002B433C" w:rsidP="00BB09BC">
            <w:r w:rsidRPr="00703A0B">
              <w:t>Unlocked w</w:t>
            </w:r>
            <w:r w:rsidR="00D854EF" w:rsidRPr="00703A0B">
              <w:t>orkforce capacity</w:t>
            </w:r>
            <w:r w:rsidR="000A2F26" w:rsidRPr="00703A0B">
              <w:t xml:space="preserve"> (FTE)</w:t>
            </w:r>
          </w:p>
        </w:tc>
        <w:tc>
          <w:tcPr>
            <w:tcW w:w="1073" w:type="pct"/>
          </w:tcPr>
          <w:p w14:paraId="7B328585" w14:textId="41B8BD4C" w:rsidR="00D854EF" w:rsidRPr="00703A0B" w:rsidRDefault="0091754F" w:rsidP="00BB09BC">
            <w:r w:rsidRPr="00703A0B">
              <w:rPr>
                <w:rFonts w:cs="Arial"/>
                <w:szCs w:val="22"/>
              </w:rPr>
              <w:t>-</w:t>
            </w:r>
          </w:p>
        </w:tc>
        <w:tc>
          <w:tcPr>
            <w:tcW w:w="1074" w:type="pct"/>
          </w:tcPr>
          <w:p w14:paraId="5C392DD6" w14:textId="6742F090" w:rsidR="00D854EF" w:rsidRPr="00703A0B" w:rsidRDefault="0059011A" w:rsidP="00BB09BC">
            <w:r w:rsidRPr="00703A0B">
              <w:rPr>
                <w:rFonts w:cs="Arial"/>
                <w:bCs/>
                <w:szCs w:val="22"/>
              </w:rPr>
              <w:t>0</w:t>
            </w:r>
          </w:p>
        </w:tc>
        <w:tc>
          <w:tcPr>
            <w:tcW w:w="1074" w:type="pct"/>
          </w:tcPr>
          <w:p w14:paraId="18A04196" w14:textId="3B9F508D" w:rsidR="00D854EF" w:rsidRPr="00703A0B" w:rsidRDefault="00CF416F" w:rsidP="00BB09BC">
            <w:r w:rsidRPr="00703A0B">
              <w:rPr>
                <w:rFonts w:cs="Arial"/>
                <w:szCs w:val="22"/>
              </w:rPr>
              <w:t>14</w:t>
            </w:r>
          </w:p>
        </w:tc>
      </w:tr>
    </w:tbl>
    <w:p w14:paraId="1DD5E17F" w14:textId="77777777" w:rsidR="008111C5" w:rsidRDefault="00216863" w:rsidP="00216863">
      <w:pPr>
        <w:spacing w:before="120" w:after="120"/>
        <w:rPr>
          <w:rFonts w:cs="Arial"/>
        </w:rPr>
      </w:pPr>
      <w:r w:rsidRPr="00703A0B">
        <w:rPr>
          <w:rFonts w:cs="Arial"/>
        </w:rPr>
        <w:t xml:space="preserve">Workforce capacity continued to strengthen in 2025–26, supported by ongoing success in attracting and retaining employees in critical roles. </w:t>
      </w:r>
      <w:r w:rsidR="002E3711" w:rsidRPr="00703A0B">
        <w:rPr>
          <w:rFonts w:cs="Arial"/>
        </w:rPr>
        <w:t xml:space="preserve">The reduction in </w:t>
      </w:r>
      <w:r w:rsidRPr="00703A0B">
        <w:rPr>
          <w:rFonts w:cs="Arial"/>
        </w:rPr>
        <w:t xml:space="preserve">vacancy </w:t>
      </w:r>
      <w:r w:rsidR="002E3711" w:rsidRPr="00703A0B">
        <w:rPr>
          <w:rFonts w:cs="Arial"/>
        </w:rPr>
        <w:t>rate</w:t>
      </w:r>
      <w:r w:rsidR="00FC689C" w:rsidRPr="00703A0B">
        <w:rPr>
          <w:rFonts w:cs="Arial"/>
        </w:rPr>
        <w:t>s</w:t>
      </w:r>
      <w:r w:rsidR="001744E9" w:rsidRPr="00703A0B">
        <w:rPr>
          <w:rFonts w:cs="Arial"/>
        </w:rPr>
        <w:t xml:space="preserve"> from a peak of 13 per cent </w:t>
      </w:r>
      <w:r w:rsidR="00FC689C" w:rsidRPr="00703A0B">
        <w:rPr>
          <w:rFonts w:cs="Arial"/>
        </w:rPr>
        <w:t xml:space="preserve">in </w:t>
      </w:r>
      <w:r w:rsidR="00BE3F96" w:rsidRPr="00703A0B">
        <w:rPr>
          <w:rFonts w:cs="Arial"/>
        </w:rPr>
        <w:t xml:space="preserve">May 2025, </w:t>
      </w:r>
      <w:r w:rsidR="00FC689C" w:rsidRPr="00703A0B">
        <w:rPr>
          <w:rFonts w:cs="Arial"/>
        </w:rPr>
        <w:t xml:space="preserve">combined with lower employee </w:t>
      </w:r>
      <w:r w:rsidR="00D60D86" w:rsidRPr="00703A0B">
        <w:rPr>
          <w:rFonts w:cs="Arial"/>
        </w:rPr>
        <w:t>turnover</w:t>
      </w:r>
      <w:r w:rsidR="00BE3F96" w:rsidRPr="00703A0B">
        <w:rPr>
          <w:rFonts w:cs="Arial"/>
        </w:rPr>
        <w:t>,</w:t>
      </w:r>
      <w:r w:rsidR="00D60D86" w:rsidRPr="00703A0B">
        <w:rPr>
          <w:rFonts w:cs="Arial"/>
        </w:rPr>
        <w:t xml:space="preserve"> </w:t>
      </w:r>
      <w:r w:rsidR="009D2152" w:rsidRPr="00703A0B">
        <w:rPr>
          <w:rFonts w:cs="Arial"/>
        </w:rPr>
        <w:t>strengthened</w:t>
      </w:r>
      <w:r w:rsidRPr="00703A0B">
        <w:rPr>
          <w:rFonts w:cs="Arial"/>
        </w:rPr>
        <w:t xml:space="preserve"> the QBCC's </w:t>
      </w:r>
      <w:r w:rsidR="009D2152" w:rsidRPr="00703A0B">
        <w:rPr>
          <w:rFonts w:cs="Arial"/>
        </w:rPr>
        <w:t xml:space="preserve">capacity </w:t>
      </w:r>
      <w:r w:rsidRPr="00703A0B">
        <w:rPr>
          <w:rFonts w:cs="Arial"/>
        </w:rPr>
        <w:t xml:space="preserve">to respond to service demand and deliver regulatory, licensing, compliance and customer services </w:t>
      </w:r>
      <w:r w:rsidR="002350A6" w:rsidRPr="00703A0B">
        <w:rPr>
          <w:rFonts w:cs="Arial"/>
        </w:rPr>
        <w:t xml:space="preserve">efficiently and </w:t>
      </w:r>
      <w:r w:rsidRPr="00703A0B">
        <w:rPr>
          <w:rFonts w:cs="Arial"/>
        </w:rPr>
        <w:t>effective</w:t>
      </w:r>
      <w:r w:rsidR="002350A6" w:rsidRPr="00703A0B">
        <w:rPr>
          <w:rFonts w:cs="Arial"/>
        </w:rPr>
        <w:t>ly</w:t>
      </w:r>
      <w:r w:rsidRPr="00703A0B">
        <w:rPr>
          <w:rFonts w:cs="Arial"/>
        </w:rPr>
        <w:t>.</w:t>
      </w:r>
      <w:r w:rsidR="00EA4B4B" w:rsidRPr="00703A0B">
        <w:rPr>
          <w:rFonts w:cs="Arial"/>
        </w:rPr>
        <w:t xml:space="preserve"> </w:t>
      </w:r>
    </w:p>
    <w:p w14:paraId="4370FB38" w14:textId="0A774D1C" w:rsidR="00216863" w:rsidRPr="00703A0B" w:rsidRDefault="00EA4B4B" w:rsidP="00216863">
      <w:pPr>
        <w:spacing w:before="120" w:after="120"/>
        <w:rPr>
          <w:rFonts w:cs="Arial"/>
        </w:rPr>
      </w:pPr>
      <w:r w:rsidRPr="00703A0B">
        <w:rPr>
          <w:rFonts w:cs="Arial"/>
        </w:rPr>
        <w:t xml:space="preserve">Alongside workforce growth, the QBCC </w:t>
      </w:r>
      <w:r w:rsidR="00203986" w:rsidRPr="00703A0B">
        <w:rPr>
          <w:rFonts w:cs="Arial"/>
        </w:rPr>
        <w:t>maintained a strong</w:t>
      </w:r>
      <w:r w:rsidRPr="00703A0B">
        <w:rPr>
          <w:rFonts w:cs="Arial"/>
        </w:rPr>
        <w:t xml:space="preserve"> focus on improving efficiency through process improvement, technology adoption and </w:t>
      </w:r>
      <w:r w:rsidR="00203986" w:rsidRPr="00703A0B">
        <w:rPr>
          <w:rFonts w:cs="Arial"/>
        </w:rPr>
        <w:t>expanded</w:t>
      </w:r>
      <w:r w:rsidRPr="00703A0B">
        <w:rPr>
          <w:rFonts w:cs="Arial"/>
        </w:rPr>
        <w:t xml:space="preserve"> use of digital tools. Automation and AI-enabled solutions </w:t>
      </w:r>
      <w:r w:rsidRPr="00703A0B">
        <w:rPr>
          <w:rFonts w:cs="Arial"/>
        </w:rPr>
        <w:lastRenderedPageBreak/>
        <w:t xml:space="preserve">reduced administrative effort and streamlined key regulatory processes, </w:t>
      </w:r>
      <w:r w:rsidR="00203986" w:rsidRPr="00703A0B">
        <w:rPr>
          <w:rFonts w:cs="Arial"/>
        </w:rPr>
        <w:t>enabling</w:t>
      </w:r>
      <w:r w:rsidRPr="00703A0B">
        <w:rPr>
          <w:rFonts w:cs="Arial"/>
        </w:rPr>
        <w:t xml:space="preserve"> employees to </w:t>
      </w:r>
      <w:r w:rsidR="00203986" w:rsidRPr="00703A0B">
        <w:rPr>
          <w:rFonts w:cs="Arial"/>
        </w:rPr>
        <w:t>focus</w:t>
      </w:r>
      <w:r w:rsidRPr="00703A0B">
        <w:rPr>
          <w:rFonts w:cs="Arial"/>
        </w:rPr>
        <w:t xml:space="preserve"> more time on higher-value activities that directly support regulatory outcomes and customer service delivery. These improvements enhanced </w:t>
      </w:r>
      <w:r w:rsidR="00203986" w:rsidRPr="00703A0B">
        <w:rPr>
          <w:rFonts w:cs="Arial"/>
        </w:rPr>
        <w:t xml:space="preserve">organisational </w:t>
      </w:r>
      <w:r w:rsidRPr="00703A0B">
        <w:rPr>
          <w:rFonts w:cs="Arial"/>
        </w:rPr>
        <w:t>productivity</w:t>
      </w:r>
      <w:r w:rsidR="00203986" w:rsidRPr="00703A0B">
        <w:rPr>
          <w:rFonts w:cs="Arial"/>
        </w:rPr>
        <w:t xml:space="preserve">, </w:t>
      </w:r>
      <w:r w:rsidRPr="00703A0B">
        <w:rPr>
          <w:rFonts w:cs="Arial"/>
        </w:rPr>
        <w:t xml:space="preserve">increased </w:t>
      </w:r>
      <w:r w:rsidR="00203986" w:rsidRPr="00703A0B">
        <w:rPr>
          <w:rFonts w:cs="Arial"/>
        </w:rPr>
        <w:t>service</w:t>
      </w:r>
      <w:r w:rsidRPr="00703A0B">
        <w:rPr>
          <w:rFonts w:cs="Arial"/>
        </w:rPr>
        <w:t xml:space="preserve"> capacity </w:t>
      </w:r>
      <w:r w:rsidR="0023314A" w:rsidRPr="00703A0B">
        <w:rPr>
          <w:rFonts w:cs="Arial"/>
        </w:rPr>
        <w:t xml:space="preserve">and strengthened the QBCC’s ability </w:t>
      </w:r>
      <w:r w:rsidRPr="00703A0B">
        <w:rPr>
          <w:rFonts w:cs="Arial"/>
        </w:rPr>
        <w:t xml:space="preserve">to deliver </w:t>
      </w:r>
      <w:r w:rsidR="0023314A" w:rsidRPr="00703A0B">
        <w:rPr>
          <w:rFonts w:cs="Arial"/>
        </w:rPr>
        <w:t xml:space="preserve">responsive and effective </w:t>
      </w:r>
      <w:r w:rsidRPr="00703A0B">
        <w:rPr>
          <w:rFonts w:cs="Arial"/>
        </w:rPr>
        <w:t xml:space="preserve">services </w:t>
      </w:r>
      <w:r w:rsidR="0023314A" w:rsidRPr="00703A0B">
        <w:rPr>
          <w:rFonts w:cs="Arial"/>
        </w:rPr>
        <w:t xml:space="preserve">to </w:t>
      </w:r>
      <w:r w:rsidR="00AB66E6" w:rsidRPr="00703A0B">
        <w:rPr>
          <w:rFonts w:cs="Arial"/>
        </w:rPr>
        <w:t>customers</w:t>
      </w:r>
      <w:r w:rsidR="0023314A" w:rsidRPr="00703A0B">
        <w:rPr>
          <w:rFonts w:cs="Arial"/>
        </w:rPr>
        <w:t xml:space="preserve"> and </w:t>
      </w:r>
      <w:r w:rsidR="00AB66E6" w:rsidRPr="00703A0B">
        <w:rPr>
          <w:rFonts w:cs="Arial"/>
        </w:rPr>
        <w:t xml:space="preserve">the </w:t>
      </w:r>
      <w:r w:rsidR="0023314A" w:rsidRPr="00703A0B">
        <w:rPr>
          <w:rFonts w:cs="Arial"/>
        </w:rPr>
        <w:t xml:space="preserve">industry </w:t>
      </w:r>
      <w:r w:rsidRPr="00703A0B">
        <w:rPr>
          <w:rFonts w:cs="Arial"/>
        </w:rPr>
        <w:t>without a corresponding increase in workforce size.</w:t>
      </w:r>
    </w:p>
    <w:p w14:paraId="2BFC49AE" w14:textId="6A2AFA6B" w:rsidR="004A1067" w:rsidRPr="00703A0B" w:rsidRDefault="00303E02" w:rsidP="004A1067">
      <w:pPr>
        <w:spacing w:before="120" w:after="120"/>
        <w:rPr>
          <w:rFonts w:cs="Arial"/>
        </w:rPr>
      </w:pPr>
      <w:r w:rsidRPr="00703A0B">
        <w:rPr>
          <w:rFonts w:cs="Arial"/>
        </w:rPr>
        <w:t>The combination of improved workforce capacity and operational efficiency strengthen</w:t>
      </w:r>
      <w:r w:rsidR="00DD4D8D" w:rsidRPr="00703A0B">
        <w:rPr>
          <w:rFonts w:cs="Arial"/>
        </w:rPr>
        <w:t>ed</w:t>
      </w:r>
      <w:r w:rsidRPr="00703A0B">
        <w:rPr>
          <w:rFonts w:cs="Arial"/>
        </w:rPr>
        <w:t xml:space="preserve"> the QBCC's ability to meet the evolving needs of Queensland's building and construction industry. Faster</w:t>
      </w:r>
      <w:r w:rsidR="00C31CD7" w:rsidRPr="00703A0B">
        <w:rPr>
          <w:rFonts w:cs="Arial"/>
        </w:rPr>
        <w:t xml:space="preserve"> and</w:t>
      </w:r>
      <w:r w:rsidRPr="00703A0B">
        <w:rPr>
          <w:rFonts w:cs="Arial"/>
        </w:rPr>
        <w:t xml:space="preserve"> more efficient service delivery support</w:t>
      </w:r>
      <w:r w:rsidR="00DD4D8D" w:rsidRPr="00703A0B">
        <w:rPr>
          <w:rFonts w:cs="Arial"/>
        </w:rPr>
        <w:t>ed</w:t>
      </w:r>
      <w:r w:rsidRPr="00703A0B">
        <w:rPr>
          <w:rFonts w:cs="Arial"/>
        </w:rPr>
        <w:t xml:space="preserve"> better customer experiences, </w:t>
      </w:r>
      <w:r w:rsidR="00DD4D8D" w:rsidRPr="00703A0B">
        <w:rPr>
          <w:rFonts w:cs="Arial"/>
        </w:rPr>
        <w:t xml:space="preserve">enhanced </w:t>
      </w:r>
      <w:r w:rsidRPr="00703A0B">
        <w:rPr>
          <w:rFonts w:cs="Arial"/>
        </w:rPr>
        <w:t>regulatory responsiveness and enable</w:t>
      </w:r>
      <w:r w:rsidR="00DD4D8D" w:rsidRPr="00703A0B">
        <w:rPr>
          <w:rFonts w:cs="Arial"/>
        </w:rPr>
        <w:t>d</w:t>
      </w:r>
      <w:r w:rsidRPr="00703A0B">
        <w:rPr>
          <w:rFonts w:cs="Arial"/>
        </w:rPr>
        <w:t xml:space="preserve"> resources to be directed to areas of greatest</w:t>
      </w:r>
      <w:r w:rsidR="002B4E79" w:rsidRPr="00703A0B">
        <w:rPr>
          <w:rFonts w:cs="Arial"/>
        </w:rPr>
        <w:t xml:space="preserve"> regulatory</w:t>
      </w:r>
      <w:r w:rsidRPr="00703A0B">
        <w:rPr>
          <w:rFonts w:cs="Arial"/>
        </w:rPr>
        <w:t xml:space="preserve"> risk and impact. </w:t>
      </w:r>
      <w:r w:rsidR="0015786D" w:rsidRPr="00703A0B">
        <w:rPr>
          <w:rFonts w:cs="Arial"/>
        </w:rPr>
        <w:t>S</w:t>
      </w:r>
      <w:r w:rsidR="00BA7B20" w:rsidRPr="00703A0B">
        <w:rPr>
          <w:rFonts w:cs="Arial"/>
        </w:rPr>
        <w:t>upported by technology</w:t>
      </w:r>
      <w:r w:rsidR="0015786D" w:rsidRPr="00703A0B">
        <w:rPr>
          <w:rFonts w:cs="Arial"/>
        </w:rPr>
        <w:t xml:space="preserve">, </w:t>
      </w:r>
      <w:r w:rsidR="00BA7B20" w:rsidRPr="00703A0B">
        <w:rPr>
          <w:rFonts w:cs="Arial"/>
        </w:rPr>
        <w:t>process</w:t>
      </w:r>
      <w:r w:rsidRPr="00703A0B">
        <w:rPr>
          <w:rFonts w:cs="Arial"/>
        </w:rPr>
        <w:t xml:space="preserve"> improvements</w:t>
      </w:r>
      <w:r w:rsidR="0015786D" w:rsidRPr="00703A0B">
        <w:rPr>
          <w:rFonts w:cs="Arial"/>
        </w:rPr>
        <w:t xml:space="preserve"> and a capable workforce</w:t>
      </w:r>
      <w:r w:rsidR="00175F24" w:rsidRPr="00703A0B">
        <w:rPr>
          <w:rFonts w:cs="Arial"/>
        </w:rPr>
        <w:t xml:space="preserve">, </w:t>
      </w:r>
      <w:r w:rsidRPr="00703A0B">
        <w:rPr>
          <w:rFonts w:cs="Arial"/>
        </w:rPr>
        <w:t xml:space="preserve">the QBCC remains well positioned to deliver effective regulation, </w:t>
      </w:r>
      <w:r w:rsidR="0015786D" w:rsidRPr="00703A0B">
        <w:rPr>
          <w:rFonts w:cs="Arial"/>
        </w:rPr>
        <w:t>strengthen</w:t>
      </w:r>
      <w:r w:rsidRPr="00703A0B">
        <w:rPr>
          <w:rFonts w:cs="Arial"/>
        </w:rPr>
        <w:t xml:space="preserve"> industry confidence and respond to growing demand across the </w:t>
      </w:r>
      <w:r w:rsidR="005014EC" w:rsidRPr="00703A0B">
        <w:rPr>
          <w:rFonts w:cs="Arial"/>
        </w:rPr>
        <w:t xml:space="preserve">residential building </w:t>
      </w:r>
      <w:r w:rsidRPr="00703A0B">
        <w:rPr>
          <w:rFonts w:cs="Arial"/>
        </w:rPr>
        <w:t>sector.</w:t>
      </w:r>
    </w:p>
    <w:p w14:paraId="7EEB6A74" w14:textId="2C0A31F7" w:rsidR="004A1067" w:rsidRPr="00703A0B" w:rsidRDefault="004A1067" w:rsidP="008D6D1F">
      <w:pPr>
        <w:pStyle w:val="Heading3"/>
      </w:pPr>
      <w:r w:rsidRPr="00703A0B">
        <w:t>Health, safety and wellbeing</w:t>
      </w:r>
    </w:p>
    <w:p w14:paraId="497144CA" w14:textId="381E4A79" w:rsidR="00A130D1" w:rsidRPr="00703A0B" w:rsidRDefault="00607003" w:rsidP="004A1067">
      <w:pPr>
        <w:spacing w:before="120" w:after="120"/>
        <w:rPr>
          <w:rFonts w:cs="Arial"/>
        </w:rPr>
      </w:pPr>
      <w:r w:rsidRPr="00703A0B">
        <w:rPr>
          <w:rFonts w:cs="Arial"/>
        </w:rPr>
        <w:t>In 2025–26, t</w:t>
      </w:r>
      <w:r w:rsidR="004A1067" w:rsidRPr="00703A0B">
        <w:rPr>
          <w:rFonts w:cs="Arial"/>
        </w:rPr>
        <w:t>he QBCC continued to prioritise employee safety, wellbeing and organisational resilience through a range of</w:t>
      </w:r>
      <w:r w:rsidR="005F044E" w:rsidRPr="00703A0B">
        <w:rPr>
          <w:rFonts w:cs="Arial"/>
        </w:rPr>
        <w:t xml:space="preserve"> </w:t>
      </w:r>
      <w:r w:rsidR="000B4AA7" w:rsidRPr="00703A0B">
        <w:rPr>
          <w:rFonts w:cs="Arial"/>
        </w:rPr>
        <w:t xml:space="preserve">Work Health and Safety </w:t>
      </w:r>
      <w:r w:rsidR="005F044E" w:rsidRPr="00703A0B">
        <w:rPr>
          <w:rFonts w:cs="Arial"/>
        </w:rPr>
        <w:t>(WHS)</w:t>
      </w:r>
      <w:r w:rsidR="004A1067" w:rsidRPr="00703A0B">
        <w:rPr>
          <w:rFonts w:cs="Arial"/>
        </w:rPr>
        <w:t xml:space="preserve"> initiatives.</w:t>
      </w:r>
      <w:r w:rsidR="00B709DB" w:rsidRPr="00703A0B">
        <w:rPr>
          <w:rFonts w:cs="Arial"/>
        </w:rPr>
        <w:t xml:space="preserve"> </w:t>
      </w:r>
      <w:r w:rsidR="004A1067" w:rsidRPr="00703A0B">
        <w:rPr>
          <w:rFonts w:cs="Arial"/>
        </w:rPr>
        <w:t xml:space="preserve">Key achievements </w:t>
      </w:r>
      <w:r w:rsidR="005F044E" w:rsidRPr="00703A0B">
        <w:rPr>
          <w:rFonts w:cs="Arial"/>
        </w:rPr>
        <w:t xml:space="preserve">during the reporting period </w:t>
      </w:r>
      <w:r w:rsidR="004A1067" w:rsidRPr="00703A0B">
        <w:rPr>
          <w:rFonts w:cs="Arial"/>
        </w:rPr>
        <w:t>included</w:t>
      </w:r>
      <w:r w:rsidR="00A130D1" w:rsidRPr="00703A0B">
        <w:rPr>
          <w:rFonts w:cs="Arial"/>
        </w:rPr>
        <w:t>:</w:t>
      </w:r>
    </w:p>
    <w:p w14:paraId="352977EB" w14:textId="3803B4BC" w:rsidR="00A130D1" w:rsidRPr="00703A0B" w:rsidRDefault="004A1067" w:rsidP="007747B7">
      <w:pPr>
        <w:pStyle w:val="ListParagraph"/>
        <w:numPr>
          <w:ilvl w:val="0"/>
          <w:numId w:val="112"/>
        </w:numPr>
        <w:spacing w:before="120" w:after="120"/>
        <w:ind w:left="771" w:hanging="357"/>
        <w:contextualSpacing w:val="0"/>
        <w:rPr>
          <w:rFonts w:cs="Arial"/>
        </w:rPr>
      </w:pPr>
      <w:r w:rsidRPr="00703A0B">
        <w:rPr>
          <w:rFonts w:cs="Arial"/>
        </w:rPr>
        <w:t>strengthening psychosocial risk management practices</w:t>
      </w:r>
    </w:p>
    <w:p w14:paraId="4B60C685" w14:textId="01395F33" w:rsidR="00A130D1" w:rsidRPr="00703A0B" w:rsidRDefault="004A1067" w:rsidP="007747B7">
      <w:pPr>
        <w:pStyle w:val="ListParagraph"/>
        <w:numPr>
          <w:ilvl w:val="0"/>
          <w:numId w:val="112"/>
        </w:numPr>
        <w:spacing w:before="120" w:after="120"/>
        <w:ind w:left="771" w:hanging="357"/>
        <w:contextualSpacing w:val="0"/>
        <w:rPr>
          <w:rFonts w:cs="Arial"/>
        </w:rPr>
      </w:pPr>
      <w:r w:rsidRPr="00703A0B">
        <w:rPr>
          <w:rFonts w:cs="Arial"/>
        </w:rPr>
        <w:t>updating core WHS procedures</w:t>
      </w:r>
    </w:p>
    <w:p w14:paraId="013110D8" w14:textId="1105E545" w:rsidR="00A130D1" w:rsidRPr="00703A0B" w:rsidRDefault="004A1067" w:rsidP="003F0681">
      <w:pPr>
        <w:pStyle w:val="ListParagraph"/>
        <w:numPr>
          <w:ilvl w:val="0"/>
          <w:numId w:val="112"/>
        </w:numPr>
        <w:spacing w:before="120" w:after="120"/>
        <w:ind w:left="771" w:hanging="357"/>
        <w:contextualSpacing w:val="0"/>
        <w:rPr>
          <w:rFonts w:cs="Arial"/>
        </w:rPr>
      </w:pPr>
      <w:r w:rsidRPr="00703A0B">
        <w:rPr>
          <w:rFonts w:cs="Arial"/>
        </w:rPr>
        <w:t>enhancing incident management processes</w:t>
      </w:r>
    </w:p>
    <w:p w14:paraId="02646F6F" w14:textId="71048C54" w:rsidR="0006334F" w:rsidRPr="00703A0B" w:rsidRDefault="00FD17F3" w:rsidP="003F0681">
      <w:pPr>
        <w:pStyle w:val="ListParagraph"/>
        <w:numPr>
          <w:ilvl w:val="0"/>
          <w:numId w:val="112"/>
        </w:numPr>
        <w:spacing w:before="120" w:after="120"/>
        <w:ind w:left="771" w:hanging="357"/>
        <w:contextualSpacing w:val="0"/>
        <w:rPr>
          <w:rFonts w:cs="Arial"/>
        </w:rPr>
      </w:pPr>
      <w:r w:rsidRPr="00703A0B">
        <w:rPr>
          <w:rFonts w:cs="Arial"/>
        </w:rPr>
        <w:t>improving workplace rehabilitation and return-to-work arrangements</w:t>
      </w:r>
    </w:p>
    <w:p w14:paraId="7659AC36" w14:textId="4A2ED20B" w:rsidR="00007347" w:rsidRPr="00703A0B" w:rsidRDefault="00007347" w:rsidP="007747B7">
      <w:pPr>
        <w:pStyle w:val="ListParagraph"/>
        <w:numPr>
          <w:ilvl w:val="0"/>
          <w:numId w:val="112"/>
        </w:numPr>
        <w:spacing w:before="120" w:after="120"/>
        <w:ind w:left="771" w:hanging="357"/>
        <w:contextualSpacing w:val="0"/>
        <w:rPr>
          <w:rFonts w:cs="Arial"/>
        </w:rPr>
      </w:pPr>
      <w:r w:rsidRPr="00703A0B">
        <w:rPr>
          <w:rFonts w:cs="Arial"/>
        </w:rPr>
        <w:t>strengthening processes to support workplace adjustments and employee wellbeing</w:t>
      </w:r>
    </w:p>
    <w:p w14:paraId="5526B694" w14:textId="687DBF0E" w:rsidR="004A1067" w:rsidRPr="00703A0B" w:rsidRDefault="007E41F3" w:rsidP="00815B56">
      <w:pPr>
        <w:pStyle w:val="ListParagraph"/>
        <w:numPr>
          <w:ilvl w:val="0"/>
          <w:numId w:val="112"/>
        </w:numPr>
        <w:spacing w:before="120" w:after="120"/>
        <w:ind w:left="771" w:hanging="357"/>
        <w:contextualSpacing w:val="0"/>
        <w:rPr>
          <w:rFonts w:cs="Arial"/>
        </w:rPr>
      </w:pPr>
      <w:r w:rsidRPr="00703A0B">
        <w:rPr>
          <w:rFonts w:cs="Arial"/>
        </w:rPr>
        <w:t>enhancing</w:t>
      </w:r>
      <w:r w:rsidR="004A1067" w:rsidRPr="00703A0B">
        <w:rPr>
          <w:rFonts w:cs="Arial"/>
        </w:rPr>
        <w:t xml:space="preserve"> Job Safety Analyses</w:t>
      </w:r>
      <w:r w:rsidR="00007347" w:rsidRPr="00703A0B">
        <w:rPr>
          <w:rFonts w:cs="Arial"/>
        </w:rPr>
        <w:t xml:space="preserve"> </w:t>
      </w:r>
      <w:r w:rsidR="004A1067" w:rsidRPr="00703A0B">
        <w:rPr>
          <w:rFonts w:cs="Arial"/>
        </w:rPr>
        <w:t>for Building Inspectors</w:t>
      </w:r>
    </w:p>
    <w:p w14:paraId="5969FBA5" w14:textId="473025AA" w:rsidR="00207E98" w:rsidRPr="00703A0B" w:rsidRDefault="00241D8A" w:rsidP="007747B7">
      <w:pPr>
        <w:pStyle w:val="ListParagraph"/>
        <w:numPr>
          <w:ilvl w:val="0"/>
          <w:numId w:val="68"/>
        </w:numPr>
        <w:spacing w:before="120" w:after="120"/>
        <w:ind w:left="714" w:hanging="357"/>
        <w:contextualSpacing w:val="0"/>
        <w:rPr>
          <w:b/>
          <w:bCs/>
        </w:rPr>
      </w:pPr>
      <w:r w:rsidRPr="00703A0B">
        <w:rPr>
          <w:rFonts w:cs="Arial"/>
        </w:rPr>
        <w:t>d</w:t>
      </w:r>
      <w:r w:rsidR="000A3740" w:rsidRPr="00703A0B">
        <w:rPr>
          <w:rFonts w:cs="Arial"/>
        </w:rPr>
        <w:t>eliver</w:t>
      </w:r>
      <w:r w:rsidR="00C47F5D" w:rsidRPr="00703A0B">
        <w:rPr>
          <w:rFonts w:cs="Arial"/>
        </w:rPr>
        <w:t>ing</w:t>
      </w:r>
      <w:r w:rsidR="00082C61" w:rsidRPr="00703A0B">
        <w:rPr>
          <w:rFonts w:cs="Arial"/>
        </w:rPr>
        <w:t xml:space="preserve"> the</w:t>
      </w:r>
      <w:r w:rsidR="000A3740" w:rsidRPr="00703A0B">
        <w:rPr>
          <w:rFonts w:cs="Arial"/>
        </w:rPr>
        <w:t xml:space="preserve"> </w:t>
      </w:r>
      <w:r w:rsidR="00207E98" w:rsidRPr="00703A0B">
        <w:rPr>
          <w:rFonts w:cs="Arial"/>
        </w:rPr>
        <w:t>WHS Strategy and Roadmap</w:t>
      </w:r>
    </w:p>
    <w:p w14:paraId="51E7C0C2" w14:textId="1D21C353" w:rsidR="00207E98" w:rsidRPr="00703A0B" w:rsidRDefault="00241D8A" w:rsidP="007747B7">
      <w:pPr>
        <w:pStyle w:val="ListParagraph"/>
        <w:numPr>
          <w:ilvl w:val="0"/>
          <w:numId w:val="68"/>
        </w:numPr>
        <w:spacing w:before="120" w:after="120"/>
        <w:ind w:left="714" w:hanging="357"/>
        <w:contextualSpacing w:val="0"/>
        <w:rPr>
          <w:b/>
          <w:bCs/>
        </w:rPr>
      </w:pPr>
      <w:r w:rsidRPr="00703A0B">
        <w:rPr>
          <w:rFonts w:cs="Arial"/>
        </w:rPr>
        <w:t>e</w:t>
      </w:r>
      <w:r w:rsidR="000A3740" w:rsidRPr="00703A0B">
        <w:rPr>
          <w:rFonts w:cs="Arial"/>
        </w:rPr>
        <w:t>stablish</w:t>
      </w:r>
      <w:r w:rsidR="00C47F5D" w:rsidRPr="00703A0B">
        <w:rPr>
          <w:rFonts w:cs="Arial"/>
        </w:rPr>
        <w:t>ing</w:t>
      </w:r>
      <w:r w:rsidR="00082C61" w:rsidRPr="00703A0B">
        <w:rPr>
          <w:rFonts w:cs="Arial"/>
        </w:rPr>
        <w:t xml:space="preserve"> the</w:t>
      </w:r>
      <w:r w:rsidR="000A3740" w:rsidRPr="00703A0B">
        <w:rPr>
          <w:rFonts w:cs="Arial"/>
        </w:rPr>
        <w:t xml:space="preserve"> </w:t>
      </w:r>
      <w:r w:rsidR="00207E98" w:rsidRPr="00703A0B">
        <w:rPr>
          <w:rFonts w:cs="Arial"/>
        </w:rPr>
        <w:t>Health and Wellbeing Network</w:t>
      </w:r>
    </w:p>
    <w:p w14:paraId="42DAA7D2" w14:textId="7E225977" w:rsidR="00207E98" w:rsidRPr="00703A0B" w:rsidRDefault="00241D8A" w:rsidP="007747B7">
      <w:pPr>
        <w:pStyle w:val="ListParagraph"/>
        <w:numPr>
          <w:ilvl w:val="0"/>
          <w:numId w:val="68"/>
        </w:numPr>
        <w:spacing w:before="120" w:after="120"/>
        <w:ind w:left="714" w:hanging="357"/>
        <w:contextualSpacing w:val="0"/>
        <w:rPr>
          <w:b/>
          <w:bCs/>
        </w:rPr>
      </w:pPr>
      <w:r w:rsidRPr="00703A0B">
        <w:rPr>
          <w:rFonts w:cs="Arial"/>
        </w:rPr>
        <w:t>d</w:t>
      </w:r>
      <w:r w:rsidR="000A3740" w:rsidRPr="00703A0B">
        <w:rPr>
          <w:rFonts w:cs="Arial"/>
        </w:rPr>
        <w:t>eliver</w:t>
      </w:r>
      <w:r w:rsidR="00C47F5D" w:rsidRPr="00703A0B">
        <w:rPr>
          <w:rFonts w:cs="Arial"/>
        </w:rPr>
        <w:t>ing</w:t>
      </w:r>
      <w:r w:rsidR="006E6041" w:rsidRPr="00703A0B">
        <w:rPr>
          <w:rFonts w:cs="Arial"/>
        </w:rPr>
        <w:t xml:space="preserve"> </w:t>
      </w:r>
      <w:r w:rsidR="00C002BE" w:rsidRPr="00703A0B">
        <w:rPr>
          <w:rFonts w:cs="Arial"/>
        </w:rPr>
        <w:t>P</w:t>
      </w:r>
      <w:r w:rsidR="00207E98" w:rsidRPr="00703A0B">
        <w:rPr>
          <w:rFonts w:cs="Arial"/>
        </w:rPr>
        <w:t xml:space="preserve">sychosocial </w:t>
      </w:r>
      <w:r w:rsidR="00C002BE" w:rsidRPr="00703A0B">
        <w:rPr>
          <w:rFonts w:cs="Arial"/>
        </w:rPr>
        <w:t>R</w:t>
      </w:r>
      <w:r w:rsidR="00207E98" w:rsidRPr="00703A0B">
        <w:rPr>
          <w:rFonts w:cs="Arial"/>
        </w:rPr>
        <w:t xml:space="preserve">isk </w:t>
      </w:r>
      <w:r w:rsidR="00C002BE" w:rsidRPr="00703A0B">
        <w:rPr>
          <w:rFonts w:cs="Arial"/>
        </w:rPr>
        <w:t>C</w:t>
      </w:r>
      <w:r w:rsidR="00207E98" w:rsidRPr="00703A0B">
        <w:rPr>
          <w:rFonts w:cs="Arial"/>
        </w:rPr>
        <w:t xml:space="preserve">apability </w:t>
      </w:r>
      <w:r w:rsidR="00C002BE" w:rsidRPr="00703A0B">
        <w:rPr>
          <w:rFonts w:cs="Arial"/>
        </w:rPr>
        <w:t>U</w:t>
      </w:r>
      <w:r w:rsidR="00207E98" w:rsidRPr="00703A0B">
        <w:rPr>
          <w:rFonts w:cs="Arial"/>
        </w:rPr>
        <w:t>plift</w:t>
      </w:r>
      <w:r w:rsidR="006E6041" w:rsidRPr="00703A0B">
        <w:rPr>
          <w:rFonts w:cs="Arial"/>
        </w:rPr>
        <w:t xml:space="preserve"> activities</w:t>
      </w:r>
    </w:p>
    <w:p w14:paraId="5964F8DB" w14:textId="57A0DF83" w:rsidR="00207E98" w:rsidRPr="00703A0B" w:rsidRDefault="00241D8A" w:rsidP="007747B7">
      <w:pPr>
        <w:pStyle w:val="ListParagraph"/>
        <w:numPr>
          <w:ilvl w:val="0"/>
          <w:numId w:val="68"/>
        </w:numPr>
        <w:spacing w:before="120" w:after="120"/>
        <w:ind w:left="714" w:hanging="357"/>
        <w:contextualSpacing w:val="0"/>
        <w:rPr>
          <w:b/>
          <w:bCs/>
        </w:rPr>
      </w:pPr>
      <w:r w:rsidRPr="00703A0B">
        <w:rPr>
          <w:rFonts w:cs="Arial"/>
        </w:rPr>
        <w:t>i</w:t>
      </w:r>
      <w:r w:rsidR="000A3740" w:rsidRPr="00703A0B">
        <w:rPr>
          <w:rFonts w:cs="Arial"/>
        </w:rPr>
        <w:t>mplement</w:t>
      </w:r>
      <w:r w:rsidR="00C002BE" w:rsidRPr="00703A0B">
        <w:rPr>
          <w:rFonts w:cs="Arial"/>
        </w:rPr>
        <w:t>ing</w:t>
      </w:r>
      <w:r w:rsidRPr="00703A0B">
        <w:rPr>
          <w:rFonts w:cs="Arial"/>
        </w:rPr>
        <w:t xml:space="preserve"> the </w:t>
      </w:r>
      <w:r w:rsidR="00207E98" w:rsidRPr="00703A0B">
        <w:rPr>
          <w:rFonts w:cs="Arial"/>
        </w:rPr>
        <w:t>Customer Violence and Aggression Guide</w:t>
      </w:r>
      <w:r w:rsidR="00304A88" w:rsidRPr="00703A0B">
        <w:rPr>
          <w:rFonts w:cs="Arial"/>
        </w:rPr>
        <w:t>.</w:t>
      </w:r>
    </w:p>
    <w:p w14:paraId="1A40886A" w14:textId="37B6F1AE" w:rsidR="008636B8" w:rsidRPr="00703A0B" w:rsidRDefault="00721BF8" w:rsidP="004A1067">
      <w:pPr>
        <w:spacing w:before="120" w:after="120"/>
        <w:rPr>
          <w:rFonts w:cs="Arial"/>
        </w:rPr>
      </w:pPr>
      <w:r w:rsidRPr="00703A0B">
        <w:rPr>
          <w:rFonts w:cs="Arial"/>
        </w:rPr>
        <w:t>T</w:t>
      </w:r>
      <w:r w:rsidR="004A1067" w:rsidRPr="00703A0B">
        <w:rPr>
          <w:rFonts w:cs="Arial"/>
        </w:rPr>
        <w:t xml:space="preserve">he Health and Wellbeing Network </w:t>
      </w:r>
      <w:r w:rsidRPr="00703A0B">
        <w:rPr>
          <w:rFonts w:cs="Arial"/>
        </w:rPr>
        <w:t xml:space="preserve">also </w:t>
      </w:r>
      <w:r w:rsidR="004A1067" w:rsidRPr="00703A0B">
        <w:rPr>
          <w:rFonts w:cs="Arial"/>
        </w:rPr>
        <w:t xml:space="preserve">continued to promote physical and psychological wellbeing through awareness campaigns, workplace activities and employee-led programs delivered across metropolitan and regional offices. </w:t>
      </w:r>
      <w:bookmarkStart w:id="193" w:name="_Looking_ahead_8"/>
      <w:bookmarkEnd w:id="193"/>
    </w:p>
    <w:p w14:paraId="7A8912A0" w14:textId="373638FC" w:rsidR="008636B8" w:rsidRPr="00703A0B" w:rsidRDefault="008636B8" w:rsidP="007747B7">
      <w:pPr>
        <w:pStyle w:val="Heading3"/>
      </w:pPr>
      <w:r w:rsidRPr="00703A0B">
        <w:t>Early retirement, redundancy and retrenchment</w:t>
      </w:r>
    </w:p>
    <w:p w14:paraId="00E03939" w14:textId="398F658C" w:rsidR="00872115" w:rsidRPr="00703A0B" w:rsidRDefault="002D27D0" w:rsidP="004A1067">
      <w:pPr>
        <w:spacing w:before="120" w:after="120"/>
        <w:rPr>
          <w:rFonts w:cs="Arial"/>
        </w:rPr>
      </w:pPr>
      <w:r w:rsidRPr="00703A0B">
        <w:rPr>
          <w:rFonts w:cs="Arial"/>
        </w:rPr>
        <w:t>Effective workforce management is essential for the QBCC to respond to internal employment changes while maintaining staff morale and upholding its commitment to a respectful and supportive culture. Employee transitions, such as early retirement, redundancy and retrenchment, are significant events that can impact both individuals and the broader organisation. Supporting staff throughout these processes is vital to maintaining trust, morale and alignment with the organisation’s values. With clear policies and procedures in place, the QBCC ensures that these transitions are managed with transparency, fairness and care.</w:t>
      </w:r>
      <w:r w:rsidR="00F233F2" w:rsidRPr="00703A0B">
        <w:rPr>
          <w:rFonts w:cs="Arial"/>
        </w:rPr>
        <w:t xml:space="preserve"> In 2025–26, </w:t>
      </w:r>
      <w:r w:rsidR="009A7824" w:rsidRPr="00703A0B">
        <w:rPr>
          <w:rFonts w:cs="Arial"/>
        </w:rPr>
        <w:t>n</w:t>
      </w:r>
      <w:r w:rsidR="00A4771C" w:rsidRPr="00703A0B">
        <w:rPr>
          <w:rFonts w:cs="Arial"/>
        </w:rPr>
        <w:t>o redundancy</w:t>
      </w:r>
      <w:r w:rsidR="00EF52A5" w:rsidRPr="00703A0B">
        <w:rPr>
          <w:rFonts w:cs="Arial"/>
        </w:rPr>
        <w:t xml:space="preserve">, </w:t>
      </w:r>
      <w:r w:rsidR="00A4771C" w:rsidRPr="00703A0B">
        <w:rPr>
          <w:rFonts w:cs="Arial"/>
        </w:rPr>
        <w:t>early retirement</w:t>
      </w:r>
      <w:r w:rsidR="00A473B5" w:rsidRPr="00703A0B">
        <w:rPr>
          <w:rFonts w:cs="Arial"/>
        </w:rPr>
        <w:t xml:space="preserve"> or </w:t>
      </w:r>
      <w:r w:rsidR="00A4771C" w:rsidRPr="00703A0B">
        <w:rPr>
          <w:rFonts w:cs="Arial"/>
        </w:rPr>
        <w:t>retrenchment packages were paid during the period.</w:t>
      </w:r>
    </w:p>
    <w:p w14:paraId="62404D46" w14:textId="2A5CFF19" w:rsidR="004A1067" w:rsidRPr="00703A0B" w:rsidRDefault="004A1067" w:rsidP="008D6D1F">
      <w:pPr>
        <w:pStyle w:val="Heading3"/>
      </w:pPr>
      <w:r w:rsidRPr="00703A0B">
        <w:t>Looking ahead</w:t>
      </w:r>
    </w:p>
    <w:p w14:paraId="50D4F8A3" w14:textId="426CCB89" w:rsidR="00D9257E" w:rsidRPr="00703A0B" w:rsidRDefault="00E6204C" w:rsidP="004A1067">
      <w:pPr>
        <w:spacing w:before="120" w:after="120"/>
        <w:rPr>
          <w:rFonts w:cs="Arial"/>
        </w:rPr>
      </w:pPr>
      <w:r w:rsidRPr="00703A0B">
        <w:rPr>
          <w:rFonts w:cs="Arial"/>
        </w:rPr>
        <w:t>Over the next 12 months</w:t>
      </w:r>
      <w:r w:rsidR="004A1067" w:rsidRPr="00703A0B">
        <w:rPr>
          <w:rFonts w:cs="Arial"/>
        </w:rPr>
        <w:t>, the QBCC will continue to strengthen organisational performance through a focus on workforce capability, leadership excellence, employee engagement and workforce optimisation. Key priorities include</w:t>
      </w:r>
      <w:r w:rsidR="00D9257E" w:rsidRPr="00703A0B">
        <w:rPr>
          <w:rFonts w:cs="Arial"/>
        </w:rPr>
        <w:t>:</w:t>
      </w:r>
    </w:p>
    <w:p w14:paraId="4AA2F98D" w14:textId="7792A289" w:rsidR="00D9257E" w:rsidRPr="00703A0B" w:rsidRDefault="004A1067" w:rsidP="00815B56">
      <w:pPr>
        <w:pStyle w:val="ListParagraph"/>
        <w:numPr>
          <w:ilvl w:val="0"/>
          <w:numId w:val="113"/>
        </w:numPr>
        <w:rPr>
          <w:rFonts w:cs="Arial"/>
        </w:rPr>
      </w:pPr>
      <w:r w:rsidRPr="00703A0B">
        <w:rPr>
          <w:rFonts w:cs="Arial"/>
        </w:rPr>
        <w:t>implementing the refreshed QBCC Academy model</w:t>
      </w:r>
      <w:r w:rsidR="00C61990" w:rsidRPr="00703A0B">
        <w:rPr>
          <w:rFonts w:cs="Arial"/>
        </w:rPr>
        <w:t xml:space="preserve"> that strengthens capability and consistency of service</w:t>
      </w:r>
    </w:p>
    <w:p w14:paraId="2C609CC3" w14:textId="7146AF59" w:rsidR="00D9257E" w:rsidRPr="00703A0B" w:rsidRDefault="004A1067" w:rsidP="00162374">
      <w:pPr>
        <w:pStyle w:val="ListParagraph"/>
        <w:numPr>
          <w:ilvl w:val="0"/>
          <w:numId w:val="113"/>
        </w:numPr>
        <w:spacing w:before="120" w:after="120"/>
        <w:ind w:left="771" w:hanging="357"/>
        <w:contextualSpacing w:val="0"/>
        <w:rPr>
          <w:rFonts w:cs="Arial"/>
        </w:rPr>
      </w:pPr>
      <w:r w:rsidRPr="00703A0B">
        <w:rPr>
          <w:rFonts w:cs="Arial"/>
        </w:rPr>
        <w:t>progressing the Innovate Reconciliation Action Plan 2026–2028</w:t>
      </w:r>
    </w:p>
    <w:p w14:paraId="020BB34F" w14:textId="5BEFA7BA" w:rsidR="00D9257E" w:rsidRPr="00703A0B" w:rsidRDefault="004A1067" w:rsidP="00162374">
      <w:pPr>
        <w:pStyle w:val="ListParagraph"/>
        <w:numPr>
          <w:ilvl w:val="0"/>
          <w:numId w:val="113"/>
        </w:numPr>
        <w:spacing w:before="120" w:after="120"/>
        <w:ind w:left="771" w:hanging="357"/>
        <w:contextualSpacing w:val="0"/>
        <w:rPr>
          <w:rFonts w:cs="Arial"/>
        </w:rPr>
      </w:pPr>
      <w:r w:rsidRPr="00703A0B">
        <w:rPr>
          <w:rFonts w:cs="Arial"/>
        </w:rPr>
        <w:t>embedding continuous improvement initiatives</w:t>
      </w:r>
      <w:r w:rsidR="00D15AE8" w:rsidRPr="00703A0B">
        <w:rPr>
          <w:rFonts w:cs="Arial"/>
        </w:rPr>
        <w:t xml:space="preserve"> that unlock capacity within the budgeted headcount</w:t>
      </w:r>
    </w:p>
    <w:p w14:paraId="57E16459" w14:textId="0453755F" w:rsidR="004A1067" w:rsidRPr="00703A0B" w:rsidRDefault="004A1067" w:rsidP="007747B7">
      <w:pPr>
        <w:pStyle w:val="ListParagraph"/>
        <w:numPr>
          <w:ilvl w:val="0"/>
          <w:numId w:val="113"/>
        </w:numPr>
        <w:spacing w:before="120" w:after="120"/>
        <w:ind w:left="771" w:hanging="357"/>
        <w:contextualSpacing w:val="0"/>
        <w:rPr>
          <w:rFonts w:cs="Arial"/>
        </w:rPr>
      </w:pPr>
      <w:r w:rsidRPr="00703A0B">
        <w:rPr>
          <w:rFonts w:cs="Arial"/>
        </w:rPr>
        <w:lastRenderedPageBreak/>
        <w:t>expanding the use of digital and AI-enabled solutions that enhance productivity and regulatory outcomes.</w:t>
      </w:r>
    </w:p>
    <w:p w14:paraId="7CD39613" w14:textId="77777777" w:rsidR="004A1067" w:rsidRPr="00703A0B" w:rsidRDefault="004A1067" w:rsidP="004A1067">
      <w:pPr>
        <w:spacing w:before="120" w:after="120"/>
        <w:rPr>
          <w:rFonts w:cs="Arial"/>
        </w:rPr>
      </w:pPr>
      <w:r w:rsidRPr="00703A0B">
        <w:rPr>
          <w:rFonts w:cs="Arial"/>
        </w:rPr>
        <w:t>The organisation will continue to invest in building a high-performing, inclusive and future-ready workforce that supports trusted regulatory services and delivers value for Queensland's building and construction industry.</w:t>
      </w:r>
    </w:p>
    <w:p w14:paraId="5321C67C" w14:textId="5C3524AE" w:rsidR="00CF791E" w:rsidRPr="00703A0B" w:rsidRDefault="00CF791E" w:rsidP="00D200F0">
      <w:pPr>
        <w:rPr>
          <w:rFonts w:cs="Arial"/>
        </w:rPr>
      </w:pPr>
      <w:r w:rsidRPr="00703A0B">
        <w:br w:type="page"/>
      </w:r>
    </w:p>
    <w:p w14:paraId="6A913B18" w14:textId="2734586B" w:rsidR="004341FB" w:rsidRPr="00703A0B" w:rsidRDefault="006D4282" w:rsidP="00F75018">
      <w:pPr>
        <w:pStyle w:val="Heading2"/>
      </w:pPr>
      <w:bookmarkStart w:id="194" w:name="_Governance_and_accountability_1"/>
      <w:bookmarkStart w:id="195" w:name="_Toc206493023"/>
      <w:bookmarkStart w:id="196" w:name="_Toc238101687"/>
      <w:bookmarkEnd w:id="194"/>
      <w:r w:rsidRPr="00703A0B">
        <w:lastRenderedPageBreak/>
        <w:t>Governance and accountability</w:t>
      </w:r>
      <w:bookmarkEnd w:id="195"/>
      <w:bookmarkEnd w:id="196"/>
    </w:p>
    <w:p w14:paraId="3A19CA70" w14:textId="2AD343EA" w:rsidR="004E7207" w:rsidRPr="00703A0B" w:rsidRDefault="00684089" w:rsidP="0012198D">
      <w:pPr>
        <w:spacing w:before="120" w:after="120"/>
        <w:rPr>
          <w:rFonts w:cs="Arial"/>
        </w:rPr>
      </w:pPr>
      <w:bookmarkStart w:id="197" w:name="_Risk_management"/>
      <w:bookmarkEnd w:id="197"/>
      <w:r w:rsidRPr="00703A0B">
        <w:rPr>
          <w:rFonts w:cs="Arial"/>
        </w:rPr>
        <w:t xml:space="preserve">Robust governance and accountability frameworks are essential to ensuring the QBCC operates with integrity, transparency and effectiveness in fulfilling its regulatory role. </w:t>
      </w:r>
      <w:r w:rsidR="00A54F75" w:rsidRPr="00703A0B">
        <w:rPr>
          <w:rFonts w:cs="Arial"/>
        </w:rPr>
        <w:t>K</w:t>
      </w:r>
      <w:r w:rsidR="00D827F1" w:rsidRPr="00703A0B">
        <w:rPr>
          <w:rFonts w:cs="Arial"/>
        </w:rPr>
        <w:t xml:space="preserve">ey outputs delivered in 2025–26 </w:t>
      </w:r>
      <w:r w:rsidR="00D838E3" w:rsidRPr="00703A0B">
        <w:rPr>
          <w:rFonts w:cs="Arial"/>
        </w:rPr>
        <w:t>to</w:t>
      </w:r>
      <w:r w:rsidR="00263DA7" w:rsidRPr="00703A0B">
        <w:rPr>
          <w:rFonts w:cs="Arial"/>
        </w:rPr>
        <w:t xml:space="preserve"> </w:t>
      </w:r>
      <w:r w:rsidR="00A54F75" w:rsidRPr="00703A0B">
        <w:rPr>
          <w:rFonts w:cs="Arial"/>
        </w:rPr>
        <w:t xml:space="preserve">support </w:t>
      </w:r>
      <w:r w:rsidR="00263DA7" w:rsidRPr="00703A0B">
        <w:rPr>
          <w:rFonts w:cs="Arial"/>
        </w:rPr>
        <w:t xml:space="preserve">governance and accountability </w:t>
      </w:r>
      <w:r w:rsidR="00D827F1" w:rsidRPr="00703A0B">
        <w:rPr>
          <w:rFonts w:cs="Arial"/>
        </w:rPr>
        <w:t>include:</w:t>
      </w:r>
    </w:p>
    <w:p w14:paraId="68F528B3" w14:textId="4F54C2D4" w:rsidR="0012198D" w:rsidRPr="00703A0B" w:rsidRDefault="0012198D" w:rsidP="00A836CF">
      <w:pPr>
        <w:pStyle w:val="ListParagraph"/>
        <w:numPr>
          <w:ilvl w:val="0"/>
          <w:numId w:val="69"/>
        </w:numPr>
        <w:spacing w:before="120" w:after="120"/>
        <w:ind w:left="714" w:hanging="357"/>
        <w:contextualSpacing w:val="0"/>
        <w:rPr>
          <w:rFonts w:cs="Arial"/>
          <w:b/>
          <w:bCs/>
          <w:szCs w:val="22"/>
        </w:rPr>
      </w:pPr>
      <w:r w:rsidRPr="00703A0B">
        <w:rPr>
          <w:rFonts w:cs="Arial"/>
          <w:b/>
          <w:bCs/>
          <w:szCs w:val="22"/>
        </w:rPr>
        <w:t>Policy Governance Framewor</w:t>
      </w:r>
      <w:r w:rsidR="00485CB4" w:rsidRPr="00703A0B">
        <w:rPr>
          <w:rFonts w:cs="Arial"/>
          <w:b/>
          <w:bCs/>
          <w:szCs w:val="22"/>
        </w:rPr>
        <w:t xml:space="preserve">k: </w:t>
      </w:r>
      <w:r w:rsidR="000E135D" w:rsidRPr="00703A0B">
        <w:rPr>
          <w:rFonts w:cs="Arial"/>
          <w:szCs w:val="22"/>
        </w:rPr>
        <w:t xml:space="preserve">The implementation of </w:t>
      </w:r>
      <w:r w:rsidR="00B454B2" w:rsidRPr="00703A0B">
        <w:rPr>
          <w:rFonts w:cs="Arial"/>
          <w:szCs w:val="22"/>
        </w:rPr>
        <w:t xml:space="preserve">the </w:t>
      </w:r>
      <w:r w:rsidR="000E135D" w:rsidRPr="00703A0B">
        <w:rPr>
          <w:rFonts w:cs="Arial"/>
          <w:szCs w:val="22"/>
        </w:rPr>
        <w:t>QBCC’s revised</w:t>
      </w:r>
      <w:r w:rsidR="00F039F3" w:rsidRPr="00703A0B">
        <w:rPr>
          <w:rFonts w:cs="Arial"/>
          <w:szCs w:val="22"/>
        </w:rPr>
        <w:t xml:space="preserve"> Policy Governance Framework</w:t>
      </w:r>
      <w:r w:rsidRPr="00703A0B">
        <w:rPr>
          <w:rFonts w:cs="Arial"/>
          <w:szCs w:val="22"/>
        </w:rPr>
        <w:t xml:space="preserve"> has strengthened organisational capability by providing clear</w:t>
      </w:r>
      <w:r w:rsidR="00A6391B" w:rsidRPr="00703A0B">
        <w:rPr>
          <w:rFonts w:cs="Arial"/>
          <w:szCs w:val="22"/>
        </w:rPr>
        <w:t xml:space="preserve"> and </w:t>
      </w:r>
      <w:r w:rsidRPr="00703A0B">
        <w:rPr>
          <w:rFonts w:cs="Arial"/>
          <w:szCs w:val="22"/>
        </w:rPr>
        <w:t>consistent guidance for the development and management of policy instruments. By embedding minimum standards, defined approval pathways</w:t>
      </w:r>
      <w:r w:rsidR="003C41EC" w:rsidRPr="00703A0B">
        <w:rPr>
          <w:rFonts w:cs="Arial"/>
          <w:szCs w:val="22"/>
        </w:rPr>
        <w:t xml:space="preserve"> </w:t>
      </w:r>
      <w:r w:rsidRPr="00703A0B">
        <w:rPr>
          <w:rFonts w:cs="Arial"/>
          <w:szCs w:val="22"/>
        </w:rPr>
        <w:t>and structured review cycles, the framework enhances alignment with legislative requirements while improving governance, consistency and accountability across policy-related activities.</w:t>
      </w:r>
    </w:p>
    <w:p w14:paraId="20273FCF" w14:textId="2AFBD309" w:rsidR="0012198D" w:rsidRPr="00703A0B" w:rsidRDefault="00F039F3" w:rsidP="00A836CF">
      <w:pPr>
        <w:pStyle w:val="ListParagraph"/>
        <w:numPr>
          <w:ilvl w:val="0"/>
          <w:numId w:val="69"/>
        </w:numPr>
        <w:spacing w:before="120" w:after="120"/>
        <w:ind w:left="714" w:hanging="357"/>
        <w:contextualSpacing w:val="0"/>
        <w:rPr>
          <w:rFonts w:cs="Arial"/>
          <w:szCs w:val="22"/>
        </w:rPr>
      </w:pPr>
      <w:r w:rsidRPr="00703A0B">
        <w:rPr>
          <w:rFonts w:cs="Arial"/>
          <w:b/>
          <w:bCs/>
          <w:szCs w:val="22"/>
        </w:rPr>
        <w:t>Policy and Procedure Library:</w:t>
      </w:r>
      <w:r w:rsidRPr="00703A0B">
        <w:rPr>
          <w:rFonts w:cs="Arial"/>
          <w:szCs w:val="22"/>
        </w:rPr>
        <w:t xml:space="preserve"> </w:t>
      </w:r>
      <w:r w:rsidR="0012198D" w:rsidRPr="00703A0B">
        <w:rPr>
          <w:rFonts w:cs="Arial"/>
          <w:szCs w:val="22"/>
        </w:rPr>
        <w:t xml:space="preserve">A comprehensive review of </w:t>
      </w:r>
      <w:r w:rsidR="006A7909" w:rsidRPr="00703A0B">
        <w:rPr>
          <w:rFonts w:cs="Arial"/>
          <w:szCs w:val="22"/>
        </w:rPr>
        <w:t xml:space="preserve">the </w:t>
      </w:r>
      <w:r w:rsidR="0012198D" w:rsidRPr="00703A0B">
        <w:rPr>
          <w:rFonts w:cs="Arial"/>
          <w:szCs w:val="22"/>
        </w:rPr>
        <w:t xml:space="preserve">QBCC’s Policy and Procedure Library has delivered significant organisational benefits by ensuring policy instruments are current, streamlined and aligned to contemporary standards and operational needs. </w:t>
      </w:r>
    </w:p>
    <w:p w14:paraId="1CC7A771" w14:textId="290B9B63" w:rsidR="0012198D" w:rsidRPr="00703A0B" w:rsidRDefault="00F039F3" w:rsidP="00A836CF">
      <w:pPr>
        <w:pStyle w:val="ListParagraph"/>
        <w:numPr>
          <w:ilvl w:val="0"/>
          <w:numId w:val="69"/>
        </w:numPr>
        <w:spacing w:before="120" w:after="120"/>
        <w:ind w:left="714" w:hanging="357"/>
        <w:contextualSpacing w:val="0"/>
        <w:rPr>
          <w:rFonts w:cs="Arial"/>
        </w:rPr>
      </w:pPr>
      <w:r w:rsidRPr="00703A0B">
        <w:rPr>
          <w:rFonts w:cs="Arial"/>
          <w:b/>
          <w:bCs/>
        </w:rPr>
        <w:t>Delegations and Authorisations Manual:</w:t>
      </w:r>
      <w:r w:rsidRPr="00703A0B">
        <w:rPr>
          <w:rFonts w:cs="Arial"/>
        </w:rPr>
        <w:t xml:space="preserve"> </w:t>
      </w:r>
      <w:r w:rsidR="0012198D" w:rsidRPr="00703A0B">
        <w:rPr>
          <w:rFonts w:cs="Arial"/>
        </w:rPr>
        <w:t xml:space="preserve">The introduction of </w:t>
      </w:r>
      <w:r w:rsidR="006A7909" w:rsidRPr="00703A0B">
        <w:rPr>
          <w:rFonts w:cs="Arial"/>
        </w:rPr>
        <w:t xml:space="preserve">the </w:t>
      </w:r>
      <w:r w:rsidR="0012198D" w:rsidRPr="00703A0B">
        <w:rPr>
          <w:rFonts w:cs="Arial"/>
        </w:rPr>
        <w:t xml:space="preserve">QBCC’s updated Delegations and Authorisations Manual has </w:t>
      </w:r>
      <w:r w:rsidR="006C062F" w:rsidRPr="00703A0B">
        <w:rPr>
          <w:rFonts w:cs="Arial"/>
        </w:rPr>
        <w:t xml:space="preserve">improved </w:t>
      </w:r>
      <w:r w:rsidR="0012198D" w:rsidRPr="00703A0B">
        <w:rPr>
          <w:rFonts w:cs="Arial"/>
        </w:rPr>
        <w:t>usability and streamlin</w:t>
      </w:r>
      <w:r w:rsidR="00C631D6" w:rsidRPr="00703A0B">
        <w:rPr>
          <w:rFonts w:cs="Arial"/>
        </w:rPr>
        <w:t xml:space="preserve">ed approval </w:t>
      </w:r>
      <w:r w:rsidR="0012198D" w:rsidRPr="00703A0B">
        <w:rPr>
          <w:rFonts w:cs="Arial"/>
        </w:rPr>
        <w:t>processes</w:t>
      </w:r>
      <w:r w:rsidR="006C062F" w:rsidRPr="00703A0B">
        <w:rPr>
          <w:rFonts w:cs="Arial"/>
        </w:rPr>
        <w:t xml:space="preserve"> across the organisation</w:t>
      </w:r>
      <w:r w:rsidR="0012198D" w:rsidRPr="00703A0B">
        <w:rPr>
          <w:rFonts w:cs="Arial"/>
        </w:rPr>
        <w:t xml:space="preserve">. The revised </w:t>
      </w:r>
      <w:r w:rsidR="009475B8" w:rsidRPr="00703A0B">
        <w:rPr>
          <w:rFonts w:cs="Arial"/>
        </w:rPr>
        <w:t>manual</w:t>
      </w:r>
      <w:r w:rsidR="0012198D" w:rsidRPr="00703A0B">
        <w:rPr>
          <w:rFonts w:cs="Arial"/>
        </w:rPr>
        <w:t xml:space="preserve"> </w:t>
      </w:r>
      <w:r w:rsidR="00B751FB" w:rsidRPr="00703A0B">
        <w:rPr>
          <w:rFonts w:cs="Arial"/>
        </w:rPr>
        <w:t xml:space="preserve">provides a clearer and </w:t>
      </w:r>
      <w:r w:rsidR="009475B8" w:rsidRPr="00703A0B">
        <w:rPr>
          <w:rFonts w:cs="Arial"/>
        </w:rPr>
        <w:t xml:space="preserve">more </w:t>
      </w:r>
      <w:r w:rsidR="0012198D" w:rsidRPr="00703A0B">
        <w:rPr>
          <w:rFonts w:cs="Arial"/>
        </w:rPr>
        <w:t xml:space="preserve">structured </w:t>
      </w:r>
      <w:r w:rsidR="00B751FB" w:rsidRPr="00703A0B">
        <w:rPr>
          <w:rFonts w:cs="Arial"/>
        </w:rPr>
        <w:t xml:space="preserve">framework for delegating and exercising </w:t>
      </w:r>
      <w:r w:rsidR="00F61BE1" w:rsidRPr="00703A0B">
        <w:rPr>
          <w:rFonts w:cs="Arial"/>
        </w:rPr>
        <w:t xml:space="preserve">authority, </w:t>
      </w:r>
      <w:r w:rsidR="0012198D" w:rsidRPr="00703A0B">
        <w:rPr>
          <w:rFonts w:cs="Arial"/>
        </w:rPr>
        <w:t xml:space="preserve">supported by regular Commissioner approval and </w:t>
      </w:r>
      <w:r w:rsidR="00BB2966" w:rsidRPr="00703A0B">
        <w:rPr>
          <w:rFonts w:cs="Arial"/>
        </w:rPr>
        <w:t xml:space="preserve">QBC </w:t>
      </w:r>
      <w:r w:rsidR="0012198D" w:rsidRPr="00703A0B">
        <w:rPr>
          <w:rFonts w:cs="Arial"/>
        </w:rPr>
        <w:t>Board oversight</w:t>
      </w:r>
      <w:r w:rsidR="00364B33" w:rsidRPr="00703A0B">
        <w:rPr>
          <w:rFonts w:cs="Arial"/>
        </w:rPr>
        <w:t>. Enhanced governance arrangement</w:t>
      </w:r>
      <w:r w:rsidR="0008018F" w:rsidRPr="00703A0B">
        <w:rPr>
          <w:rFonts w:cs="Arial"/>
        </w:rPr>
        <w:t>s</w:t>
      </w:r>
      <w:r w:rsidR="006A7909" w:rsidRPr="00703A0B">
        <w:rPr>
          <w:rFonts w:cs="Arial"/>
        </w:rPr>
        <w:t xml:space="preserve"> have</w:t>
      </w:r>
      <w:r w:rsidR="00364B33" w:rsidRPr="00703A0B">
        <w:rPr>
          <w:rFonts w:cs="Arial"/>
        </w:rPr>
        <w:t xml:space="preserve"> </w:t>
      </w:r>
      <w:r w:rsidR="0012198D" w:rsidRPr="00703A0B">
        <w:rPr>
          <w:rFonts w:cs="Arial"/>
        </w:rPr>
        <w:t>strengthen</w:t>
      </w:r>
      <w:r w:rsidR="006A7909" w:rsidRPr="00703A0B">
        <w:rPr>
          <w:rFonts w:cs="Arial"/>
        </w:rPr>
        <w:t>ed</w:t>
      </w:r>
      <w:r w:rsidR="0012198D" w:rsidRPr="00703A0B">
        <w:rPr>
          <w:rFonts w:cs="Arial"/>
        </w:rPr>
        <w:t xml:space="preserve"> accountability</w:t>
      </w:r>
      <w:r w:rsidR="0008018F" w:rsidRPr="00703A0B">
        <w:rPr>
          <w:rFonts w:cs="Arial"/>
        </w:rPr>
        <w:t xml:space="preserve"> and transparency</w:t>
      </w:r>
      <w:r w:rsidR="0012198D" w:rsidRPr="00703A0B">
        <w:rPr>
          <w:rFonts w:cs="Arial"/>
        </w:rPr>
        <w:t xml:space="preserve">, </w:t>
      </w:r>
      <w:r w:rsidR="0008018F" w:rsidRPr="00703A0B">
        <w:rPr>
          <w:rFonts w:cs="Arial"/>
        </w:rPr>
        <w:t>while</w:t>
      </w:r>
      <w:r w:rsidR="0012198D" w:rsidRPr="00703A0B">
        <w:rPr>
          <w:rFonts w:cs="Arial"/>
        </w:rPr>
        <w:t xml:space="preserve"> promot</w:t>
      </w:r>
      <w:r w:rsidR="0008018F" w:rsidRPr="00703A0B">
        <w:rPr>
          <w:rFonts w:cs="Arial"/>
        </w:rPr>
        <w:t>ing</w:t>
      </w:r>
      <w:r w:rsidR="0012198D" w:rsidRPr="00703A0B">
        <w:rPr>
          <w:rFonts w:cs="Arial"/>
        </w:rPr>
        <w:t xml:space="preserve"> consistent</w:t>
      </w:r>
      <w:r w:rsidR="00B43FDC" w:rsidRPr="00703A0B">
        <w:rPr>
          <w:rFonts w:cs="Arial"/>
        </w:rPr>
        <w:t>,</w:t>
      </w:r>
      <w:r w:rsidR="00A94055" w:rsidRPr="00703A0B">
        <w:rPr>
          <w:rFonts w:cs="Arial"/>
        </w:rPr>
        <w:t xml:space="preserve"> </w:t>
      </w:r>
      <w:r w:rsidR="0012198D" w:rsidRPr="00703A0B">
        <w:rPr>
          <w:rFonts w:cs="Arial"/>
        </w:rPr>
        <w:t>well-governed decision</w:t>
      </w:r>
      <w:r w:rsidR="00A94055" w:rsidRPr="00703A0B">
        <w:rPr>
          <w:rFonts w:cs="Arial"/>
        </w:rPr>
        <w:t xml:space="preserve"> </w:t>
      </w:r>
      <w:r w:rsidR="0012198D" w:rsidRPr="00703A0B">
        <w:rPr>
          <w:rFonts w:cs="Arial"/>
        </w:rPr>
        <w:t>making across the organisation.</w:t>
      </w:r>
    </w:p>
    <w:p w14:paraId="1D22D55B" w14:textId="1112CEDD" w:rsidR="00A14529" w:rsidRPr="00703A0B" w:rsidRDefault="00447510" w:rsidP="42773D3D">
      <w:pPr>
        <w:spacing w:before="120" w:after="120"/>
        <w:rPr>
          <w:rFonts w:cs="Arial"/>
        </w:rPr>
      </w:pPr>
      <w:r w:rsidRPr="00703A0B">
        <w:rPr>
          <w:rFonts w:cs="Arial"/>
        </w:rPr>
        <w:t>Collectively</w:t>
      </w:r>
      <w:r w:rsidR="007B41F9" w:rsidRPr="00703A0B">
        <w:rPr>
          <w:rFonts w:cs="Arial"/>
        </w:rPr>
        <w:t xml:space="preserve">, these outputs </w:t>
      </w:r>
      <w:r w:rsidR="0015763C" w:rsidRPr="00703A0B">
        <w:rPr>
          <w:rFonts w:cs="Arial"/>
        </w:rPr>
        <w:t xml:space="preserve">are embedded across all operational areas of </w:t>
      </w:r>
      <w:r w:rsidR="006A1776" w:rsidRPr="00703A0B">
        <w:rPr>
          <w:rFonts w:cs="Arial"/>
        </w:rPr>
        <w:t xml:space="preserve">the </w:t>
      </w:r>
      <w:r w:rsidR="0015763C" w:rsidRPr="00703A0B">
        <w:rPr>
          <w:rFonts w:cs="Arial"/>
        </w:rPr>
        <w:t>QBCC, creating a cohesive and robust foundation for clear accountability, effective oversight</w:t>
      </w:r>
      <w:r w:rsidR="006A1776" w:rsidRPr="00703A0B">
        <w:rPr>
          <w:rFonts w:cs="Arial"/>
        </w:rPr>
        <w:t xml:space="preserve"> </w:t>
      </w:r>
      <w:r w:rsidR="0015763C" w:rsidRPr="00703A0B">
        <w:rPr>
          <w:rFonts w:cs="Arial"/>
        </w:rPr>
        <w:t>and</w:t>
      </w:r>
      <w:r w:rsidR="006A1776" w:rsidRPr="00703A0B">
        <w:rPr>
          <w:rFonts w:cs="Arial"/>
        </w:rPr>
        <w:t xml:space="preserve"> robust</w:t>
      </w:r>
      <w:r w:rsidR="0015763C" w:rsidRPr="00703A0B">
        <w:rPr>
          <w:rFonts w:cs="Arial"/>
        </w:rPr>
        <w:t xml:space="preserve"> decision</w:t>
      </w:r>
      <w:r w:rsidR="006A1776" w:rsidRPr="00703A0B">
        <w:rPr>
          <w:rFonts w:cs="Arial"/>
        </w:rPr>
        <w:t xml:space="preserve"> </w:t>
      </w:r>
      <w:r w:rsidR="0015763C" w:rsidRPr="00703A0B">
        <w:rPr>
          <w:rFonts w:cs="Arial"/>
        </w:rPr>
        <w:t xml:space="preserve">making. Their integration strengthens governance practices, supports consistent application of standards and reinforces a culture of integrity, ensuring that decisions and actions align with organisational values and </w:t>
      </w:r>
      <w:r w:rsidR="00E20D41" w:rsidRPr="00703A0B">
        <w:rPr>
          <w:rFonts w:cs="Arial"/>
        </w:rPr>
        <w:t xml:space="preserve">the </w:t>
      </w:r>
      <w:r w:rsidR="0015763C" w:rsidRPr="00703A0B">
        <w:rPr>
          <w:rFonts w:cs="Arial"/>
        </w:rPr>
        <w:t>Queensland Government'</w:t>
      </w:r>
      <w:r w:rsidR="00E37165" w:rsidRPr="00703A0B">
        <w:rPr>
          <w:rFonts w:cs="Arial"/>
        </w:rPr>
        <w:t>s objectives for the community</w:t>
      </w:r>
      <w:r w:rsidR="0015763C" w:rsidRPr="00703A0B">
        <w:rPr>
          <w:rFonts w:cs="Arial"/>
        </w:rPr>
        <w:t>.</w:t>
      </w:r>
    </w:p>
    <w:p w14:paraId="658E51DC" w14:textId="1856CC30" w:rsidR="00823645" w:rsidRPr="00703A0B" w:rsidRDefault="009C3B6D" w:rsidP="00F01751">
      <w:pPr>
        <w:pStyle w:val="Heading3"/>
      </w:pPr>
      <w:bookmarkStart w:id="198" w:name="_Risk_management_1"/>
      <w:bookmarkEnd w:id="198"/>
      <w:r w:rsidRPr="00703A0B">
        <w:t xml:space="preserve">Risk </w:t>
      </w:r>
      <w:r w:rsidR="00497E42" w:rsidRPr="00703A0B">
        <w:t>m</w:t>
      </w:r>
      <w:r w:rsidRPr="00703A0B">
        <w:t>anagement</w:t>
      </w:r>
      <w:r w:rsidR="0005107C" w:rsidRPr="00703A0B">
        <w:t xml:space="preserve">  </w:t>
      </w:r>
    </w:p>
    <w:p w14:paraId="2A725A7E" w14:textId="00DABEB1" w:rsidR="00996DA9" w:rsidRPr="00703A0B" w:rsidRDefault="00996DA9" w:rsidP="00996DA9">
      <w:pPr>
        <w:spacing w:before="120" w:after="120"/>
        <w:rPr>
          <w:rFonts w:cs="Arial"/>
          <w:szCs w:val="22"/>
        </w:rPr>
      </w:pPr>
      <w:bookmarkStart w:id="199" w:name="_Internal_audits_and"/>
      <w:bookmarkEnd w:id="199"/>
      <w:r w:rsidRPr="00703A0B">
        <w:rPr>
          <w:rFonts w:cs="Arial"/>
          <w:szCs w:val="22"/>
        </w:rPr>
        <w:t xml:space="preserve">In accordance with the </w:t>
      </w:r>
      <w:r w:rsidRPr="00703A0B">
        <w:rPr>
          <w:rFonts w:cs="Arial"/>
          <w:i/>
          <w:iCs/>
          <w:szCs w:val="22"/>
        </w:rPr>
        <w:t>Financial Accountability Act 2009</w:t>
      </w:r>
      <w:r w:rsidRPr="00703A0B">
        <w:rPr>
          <w:rFonts w:cs="Arial"/>
          <w:szCs w:val="22"/>
        </w:rPr>
        <w:t xml:space="preserve"> </w:t>
      </w:r>
      <w:r w:rsidR="00E754EC" w:rsidRPr="00703A0B">
        <w:rPr>
          <w:rFonts w:cs="Arial"/>
          <w:szCs w:val="22"/>
        </w:rPr>
        <w:t xml:space="preserve">(FAA) </w:t>
      </w:r>
      <w:r w:rsidRPr="00703A0B">
        <w:rPr>
          <w:rFonts w:cs="Arial"/>
          <w:szCs w:val="22"/>
        </w:rPr>
        <w:t xml:space="preserve">and the </w:t>
      </w:r>
      <w:r w:rsidRPr="00703A0B">
        <w:rPr>
          <w:rFonts w:cs="Arial"/>
          <w:i/>
          <w:iCs/>
          <w:szCs w:val="22"/>
        </w:rPr>
        <w:t>Financial and Performance Management Standard 2019</w:t>
      </w:r>
      <w:r w:rsidR="00EB7484" w:rsidRPr="00703A0B">
        <w:rPr>
          <w:rFonts w:cs="Arial"/>
          <w:szCs w:val="22"/>
        </w:rPr>
        <w:t xml:space="preserve"> (</w:t>
      </w:r>
      <w:r w:rsidR="001C3F4B" w:rsidRPr="00703A0B">
        <w:rPr>
          <w:rFonts w:cs="Arial"/>
          <w:szCs w:val="22"/>
        </w:rPr>
        <w:t>FPMS)</w:t>
      </w:r>
      <w:r w:rsidRPr="00703A0B">
        <w:rPr>
          <w:rFonts w:cs="Arial"/>
          <w:szCs w:val="22"/>
        </w:rPr>
        <w:t>, the QBCC</w:t>
      </w:r>
      <w:r w:rsidR="00644028" w:rsidRPr="00703A0B">
        <w:rPr>
          <w:rFonts w:cs="Arial"/>
          <w:szCs w:val="22"/>
        </w:rPr>
        <w:t xml:space="preserve"> is</w:t>
      </w:r>
      <w:r w:rsidRPr="00703A0B">
        <w:rPr>
          <w:rFonts w:cs="Arial"/>
          <w:szCs w:val="22"/>
        </w:rPr>
        <w:t xml:space="preserve"> continu</w:t>
      </w:r>
      <w:r w:rsidR="00644028" w:rsidRPr="00703A0B">
        <w:rPr>
          <w:rFonts w:cs="Arial"/>
          <w:szCs w:val="22"/>
        </w:rPr>
        <w:t xml:space="preserve">ing </w:t>
      </w:r>
      <w:r w:rsidRPr="00703A0B">
        <w:rPr>
          <w:rFonts w:cs="Arial"/>
          <w:szCs w:val="22"/>
        </w:rPr>
        <w:t>to strengthen its risk management maturity and capability</w:t>
      </w:r>
      <w:r w:rsidR="00644028" w:rsidRPr="00703A0B">
        <w:rPr>
          <w:rFonts w:cs="Arial"/>
          <w:szCs w:val="22"/>
        </w:rPr>
        <w:t xml:space="preserve"> as a core enabler of its transformation journey</w:t>
      </w:r>
      <w:r w:rsidRPr="00703A0B">
        <w:rPr>
          <w:rFonts w:cs="Arial"/>
          <w:szCs w:val="22"/>
        </w:rPr>
        <w:t xml:space="preserve">. During 2025–26, </w:t>
      </w:r>
      <w:r w:rsidR="004A1F54" w:rsidRPr="00703A0B">
        <w:rPr>
          <w:rFonts w:cs="Arial"/>
          <w:szCs w:val="22"/>
        </w:rPr>
        <w:t xml:space="preserve">a series of targeted measures and improvements </w:t>
      </w:r>
      <w:r w:rsidR="009472DD" w:rsidRPr="00703A0B">
        <w:rPr>
          <w:rFonts w:cs="Arial"/>
          <w:szCs w:val="22"/>
        </w:rPr>
        <w:t xml:space="preserve">were implemented to improve </w:t>
      </w:r>
      <w:r w:rsidRPr="00703A0B">
        <w:rPr>
          <w:rFonts w:cs="Arial"/>
          <w:szCs w:val="22"/>
        </w:rPr>
        <w:t>the</w:t>
      </w:r>
      <w:r w:rsidR="00640E46" w:rsidRPr="00703A0B">
        <w:rPr>
          <w:rFonts w:cs="Arial"/>
          <w:szCs w:val="22"/>
        </w:rPr>
        <w:t xml:space="preserve"> </w:t>
      </w:r>
      <w:r w:rsidR="00B1396F" w:rsidRPr="00703A0B">
        <w:rPr>
          <w:rFonts w:cs="Arial"/>
          <w:szCs w:val="22"/>
        </w:rPr>
        <w:t xml:space="preserve">ability </w:t>
      </w:r>
      <w:r w:rsidR="00640E46" w:rsidRPr="00703A0B">
        <w:rPr>
          <w:rFonts w:cs="Arial"/>
          <w:szCs w:val="22"/>
        </w:rPr>
        <w:t xml:space="preserve">of the organisation </w:t>
      </w:r>
      <w:r w:rsidR="00B1396F" w:rsidRPr="00703A0B">
        <w:rPr>
          <w:rFonts w:cs="Arial"/>
          <w:szCs w:val="22"/>
        </w:rPr>
        <w:t>to proactively</w:t>
      </w:r>
      <w:r w:rsidR="00640E46" w:rsidRPr="00703A0B">
        <w:rPr>
          <w:rFonts w:cs="Arial"/>
          <w:szCs w:val="22"/>
        </w:rPr>
        <w:t xml:space="preserve"> manage uncertainty</w:t>
      </w:r>
      <w:r w:rsidR="001F66AB" w:rsidRPr="00703A0B">
        <w:rPr>
          <w:rFonts w:cs="Arial"/>
          <w:szCs w:val="22"/>
        </w:rPr>
        <w:t xml:space="preserve">, support </w:t>
      </w:r>
      <w:r w:rsidR="00105A49" w:rsidRPr="00703A0B">
        <w:rPr>
          <w:rFonts w:cs="Arial"/>
          <w:szCs w:val="22"/>
        </w:rPr>
        <w:t xml:space="preserve">the delivery of </w:t>
      </w:r>
      <w:r w:rsidR="001F66AB" w:rsidRPr="00703A0B">
        <w:rPr>
          <w:rFonts w:cs="Arial"/>
          <w:szCs w:val="22"/>
        </w:rPr>
        <w:t xml:space="preserve">strategic </w:t>
      </w:r>
      <w:r w:rsidR="00105A49" w:rsidRPr="00703A0B">
        <w:rPr>
          <w:rFonts w:cs="Arial"/>
          <w:szCs w:val="22"/>
        </w:rPr>
        <w:t>objectives</w:t>
      </w:r>
      <w:r w:rsidR="001F66AB" w:rsidRPr="00703A0B">
        <w:rPr>
          <w:rFonts w:cs="Arial"/>
          <w:szCs w:val="22"/>
        </w:rPr>
        <w:t xml:space="preserve"> and embed risk-informed decision making</w:t>
      </w:r>
      <w:r w:rsidR="00C619EF" w:rsidRPr="00703A0B">
        <w:rPr>
          <w:rFonts w:cs="Arial"/>
          <w:szCs w:val="22"/>
        </w:rPr>
        <w:t xml:space="preserve">, with a focus </w:t>
      </w:r>
      <w:r w:rsidRPr="00703A0B">
        <w:rPr>
          <w:rFonts w:cs="Arial"/>
          <w:szCs w:val="22"/>
        </w:rPr>
        <w:t>on the following:</w:t>
      </w:r>
    </w:p>
    <w:p w14:paraId="1FD8EFCF" w14:textId="2CA12239" w:rsidR="008D6C8D" w:rsidRPr="00703A0B" w:rsidRDefault="00105A49" w:rsidP="00A836CF">
      <w:pPr>
        <w:pStyle w:val="ListParagraph"/>
        <w:numPr>
          <w:ilvl w:val="0"/>
          <w:numId w:val="66"/>
        </w:numPr>
        <w:spacing w:before="120" w:after="120"/>
        <w:ind w:left="714" w:hanging="357"/>
        <w:contextualSpacing w:val="0"/>
        <w:rPr>
          <w:rFonts w:cs="Arial"/>
          <w:szCs w:val="22"/>
        </w:rPr>
      </w:pPr>
      <w:r w:rsidRPr="00703A0B">
        <w:rPr>
          <w:rFonts w:cs="Arial"/>
          <w:b/>
          <w:bCs/>
          <w:szCs w:val="22"/>
        </w:rPr>
        <w:t>Stre</w:t>
      </w:r>
      <w:r w:rsidR="0074714D" w:rsidRPr="00703A0B">
        <w:rPr>
          <w:rFonts w:cs="Arial"/>
          <w:b/>
          <w:bCs/>
          <w:szCs w:val="22"/>
        </w:rPr>
        <w:t xml:space="preserve">ngthening </w:t>
      </w:r>
      <w:r w:rsidR="008D6C8D" w:rsidRPr="00703A0B">
        <w:rPr>
          <w:rFonts w:cs="Arial"/>
          <w:b/>
          <w:bCs/>
          <w:szCs w:val="22"/>
        </w:rPr>
        <w:t>risk governance and visibility:</w:t>
      </w:r>
      <w:r w:rsidR="008D6C8D" w:rsidRPr="00703A0B">
        <w:rPr>
          <w:rFonts w:cs="Arial"/>
          <w:szCs w:val="22"/>
        </w:rPr>
        <w:t xml:space="preserve"> Increased focus on risks operating outside of appetite through quarterly strategic risk discussions</w:t>
      </w:r>
      <w:r w:rsidR="00C43A87" w:rsidRPr="00703A0B">
        <w:rPr>
          <w:rFonts w:cs="Arial"/>
          <w:szCs w:val="22"/>
        </w:rPr>
        <w:t xml:space="preserve">, supported by </w:t>
      </w:r>
      <w:r w:rsidR="008D6C8D" w:rsidRPr="00703A0B">
        <w:rPr>
          <w:rFonts w:cs="Arial"/>
          <w:szCs w:val="22"/>
        </w:rPr>
        <w:t xml:space="preserve">improved </w:t>
      </w:r>
      <w:r w:rsidR="001B39E8" w:rsidRPr="00703A0B">
        <w:rPr>
          <w:rFonts w:cs="Arial"/>
          <w:szCs w:val="22"/>
        </w:rPr>
        <w:t>b</w:t>
      </w:r>
      <w:r w:rsidR="008D6C8D" w:rsidRPr="00703A0B">
        <w:rPr>
          <w:rFonts w:cs="Arial"/>
          <w:szCs w:val="22"/>
        </w:rPr>
        <w:t>oard reporting via the Commissioner’s Strategic Risk Dashboard.</w:t>
      </w:r>
    </w:p>
    <w:p w14:paraId="60749E55" w14:textId="1CC83AA5" w:rsidR="008D6C8D" w:rsidRPr="00703A0B" w:rsidRDefault="007720D5" w:rsidP="00A836CF">
      <w:pPr>
        <w:pStyle w:val="ListParagraph"/>
        <w:numPr>
          <w:ilvl w:val="0"/>
          <w:numId w:val="66"/>
        </w:numPr>
        <w:spacing w:before="120" w:after="120"/>
        <w:ind w:left="714" w:hanging="357"/>
        <w:contextualSpacing w:val="0"/>
        <w:rPr>
          <w:rFonts w:cs="Arial"/>
          <w:szCs w:val="22"/>
        </w:rPr>
      </w:pPr>
      <w:r w:rsidRPr="00703A0B">
        <w:rPr>
          <w:rFonts w:cs="Arial"/>
          <w:b/>
          <w:bCs/>
          <w:szCs w:val="22"/>
        </w:rPr>
        <w:t xml:space="preserve">Embedding </w:t>
      </w:r>
      <w:r w:rsidR="008D6C8D" w:rsidRPr="00703A0B">
        <w:rPr>
          <w:rFonts w:cs="Arial"/>
          <w:b/>
          <w:bCs/>
          <w:szCs w:val="22"/>
        </w:rPr>
        <w:t>risk in planning and decision</w:t>
      </w:r>
      <w:r w:rsidR="00A406F8" w:rsidRPr="00703A0B">
        <w:rPr>
          <w:rFonts w:cs="Arial"/>
          <w:b/>
          <w:bCs/>
          <w:szCs w:val="22"/>
        </w:rPr>
        <w:t xml:space="preserve"> </w:t>
      </w:r>
      <w:r w:rsidR="008D6C8D" w:rsidRPr="00703A0B">
        <w:rPr>
          <w:rFonts w:cs="Arial"/>
          <w:b/>
          <w:bCs/>
          <w:szCs w:val="22"/>
        </w:rPr>
        <w:t>making:</w:t>
      </w:r>
      <w:r w:rsidR="008D6C8D" w:rsidRPr="00703A0B">
        <w:rPr>
          <w:rFonts w:cs="Arial"/>
          <w:szCs w:val="22"/>
        </w:rPr>
        <w:t xml:space="preserve"> </w:t>
      </w:r>
      <w:r w:rsidRPr="00703A0B">
        <w:rPr>
          <w:rFonts w:cs="Arial"/>
          <w:szCs w:val="22"/>
        </w:rPr>
        <w:t xml:space="preserve">Greater </w:t>
      </w:r>
      <w:r w:rsidR="007A5251" w:rsidRPr="00703A0B">
        <w:rPr>
          <w:rFonts w:cs="Arial"/>
          <w:szCs w:val="22"/>
        </w:rPr>
        <w:t>integration of ris</w:t>
      </w:r>
      <w:r w:rsidR="008D6C8D" w:rsidRPr="00703A0B">
        <w:rPr>
          <w:rFonts w:cs="Arial"/>
          <w:szCs w:val="22"/>
        </w:rPr>
        <w:t xml:space="preserve">k considerations </w:t>
      </w:r>
      <w:r w:rsidR="007A5251" w:rsidRPr="00703A0B">
        <w:rPr>
          <w:rFonts w:cs="Arial"/>
          <w:szCs w:val="22"/>
        </w:rPr>
        <w:t xml:space="preserve">into strategic </w:t>
      </w:r>
      <w:r w:rsidR="008D6C8D" w:rsidRPr="00703A0B">
        <w:rPr>
          <w:rFonts w:cs="Arial"/>
          <w:szCs w:val="22"/>
        </w:rPr>
        <w:t xml:space="preserve">and operational planning, </w:t>
      </w:r>
      <w:r w:rsidR="00C91AB1" w:rsidRPr="00703A0B">
        <w:rPr>
          <w:rFonts w:cs="Arial"/>
          <w:szCs w:val="22"/>
        </w:rPr>
        <w:t xml:space="preserve">improving </w:t>
      </w:r>
      <w:r w:rsidR="008D6C8D" w:rsidRPr="00703A0B">
        <w:rPr>
          <w:rFonts w:cs="Arial"/>
          <w:szCs w:val="22"/>
        </w:rPr>
        <w:t xml:space="preserve">alignment with risk appetite and </w:t>
      </w:r>
      <w:r w:rsidR="00C91AB1" w:rsidRPr="00703A0B">
        <w:rPr>
          <w:rFonts w:cs="Arial"/>
          <w:szCs w:val="22"/>
        </w:rPr>
        <w:t xml:space="preserve">enabling </w:t>
      </w:r>
      <w:r w:rsidR="008D6C8D" w:rsidRPr="00703A0B">
        <w:rPr>
          <w:rFonts w:cs="Arial"/>
          <w:szCs w:val="22"/>
        </w:rPr>
        <w:t xml:space="preserve">more informed </w:t>
      </w:r>
      <w:r w:rsidR="00621C16" w:rsidRPr="00703A0B">
        <w:rPr>
          <w:rFonts w:cs="Arial"/>
          <w:szCs w:val="22"/>
        </w:rPr>
        <w:t xml:space="preserve">and forward-looking </w:t>
      </w:r>
      <w:r w:rsidR="008D6C8D" w:rsidRPr="00703A0B">
        <w:rPr>
          <w:rFonts w:cs="Arial"/>
          <w:szCs w:val="22"/>
        </w:rPr>
        <w:t>decisio</w:t>
      </w:r>
      <w:r w:rsidR="00621C16" w:rsidRPr="00703A0B">
        <w:rPr>
          <w:rFonts w:cs="Arial"/>
          <w:szCs w:val="22"/>
        </w:rPr>
        <w:t>ns</w:t>
      </w:r>
      <w:r w:rsidR="008D6C8D" w:rsidRPr="00703A0B">
        <w:rPr>
          <w:rFonts w:cs="Arial"/>
          <w:szCs w:val="22"/>
        </w:rPr>
        <w:t>.</w:t>
      </w:r>
    </w:p>
    <w:p w14:paraId="74EAFD50" w14:textId="310ACAED" w:rsidR="008D6C8D" w:rsidRPr="00703A0B" w:rsidRDefault="008D6C8D" w:rsidP="00A836CF">
      <w:pPr>
        <w:pStyle w:val="ListParagraph"/>
        <w:numPr>
          <w:ilvl w:val="0"/>
          <w:numId w:val="66"/>
        </w:numPr>
        <w:spacing w:before="120" w:after="120"/>
        <w:ind w:left="714" w:hanging="357"/>
        <w:contextualSpacing w:val="0"/>
        <w:rPr>
          <w:rFonts w:cs="Arial"/>
          <w:szCs w:val="22"/>
        </w:rPr>
      </w:pPr>
      <w:r w:rsidRPr="00703A0B">
        <w:rPr>
          <w:rFonts w:cs="Arial"/>
          <w:b/>
          <w:bCs/>
          <w:szCs w:val="22"/>
        </w:rPr>
        <w:t>Improv</w:t>
      </w:r>
      <w:r w:rsidR="00D815D0" w:rsidRPr="00703A0B">
        <w:rPr>
          <w:rFonts w:cs="Arial"/>
          <w:b/>
          <w:bCs/>
          <w:szCs w:val="22"/>
        </w:rPr>
        <w:t xml:space="preserve">ing </w:t>
      </w:r>
      <w:r w:rsidRPr="00703A0B">
        <w:rPr>
          <w:rFonts w:cs="Arial"/>
          <w:b/>
          <w:bCs/>
          <w:szCs w:val="22"/>
        </w:rPr>
        <w:t>risk</w:t>
      </w:r>
      <w:r w:rsidR="00715C08" w:rsidRPr="00703A0B">
        <w:rPr>
          <w:rFonts w:cs="Arial"/>
          <w:b/>
          <w:bCs/>
          <w:szCs w:val="22"/>
        </w:rPr>
        <w:t xml:space="preserve"> management efficienc</w:t>
      </w:r>
      <w:r w:rsidR="00C3290D" w:rsidRPr="00703A0B">
        <w:rPr>
          <w:rFonts w:cs="Arial"/>
          <w:b/>
          <w:bCs/>
          <w:szCs w:val="22"/>
        </w:rPr>
        <w:t>y</w:t>
      </w:r>
      <w:r w:rsidRPr="00703A0B">
        <w:rPr>
          <w:rFonts w:cs="Arial"/>
          <w:b/>
          <w:bCs/>
          <w:szCs w:val="22"/>
        </w:rPr>
        <w:t>:</w:t>
      </w:r>
      <w:r w:rsidRPr="00703A0B">
        <w:rPr>
          <w:rFonts w:cs="Arial"/>
          <w:szCs w:val="22"/>
        </w:rPr>
        <w:t xml:space="preserve"> Introduction of a business self-service risk review model, increasing accountability within business units and improving visibility </w:t>
      </w:r>
      <w:r w:rsidR="00B23193" w:rsidRPr="00703A0B">
        <w:rPr>
          <w:rFonts w:cs="Arial"/>
          <w:szCs w:val="22"/>
        </w:rPr>
        <w:t xml:space="preserve">and active management </w:t>
      </w:r>
      <w:r w:rsidRPr="00703A0B">
        <w:rPr>
          <w:rFonts w:cs="Arial"/>
          <w:szCs w:val="22"/>
        </w:rPr>
        <w:t>of operational risks.</w:t>
      </w:r>
    </w:p>
    <w:p w14:paraId="7604EF7A" w14:textId="26F80629" w:rsidR="008D6C8D" w:rsidRPr="00703A0B" w:rsidRDefault="00064D69" w:rsidP="00A836CF">
      <w:pPr>
        <w:pStyle w:val="ListParagraph"/>
        <w:numPr>
          <w:ilvl w:val="0"/>
          <w:numId w:val="66"/>
        </w:numPr>
        <w:spacing w:before="120" w:after="120"/>
        <w:ind w:left="714" w:hanging="357"/>
        <w:contextualSpacing w:val="0"/>
        <w:rPr>
          <w:rFonts w:cs="Arial"/>
          <w:szCs w:val="22"/>
        </w:rPr>
      </w:pPr>
      <w:r w:rsidRPr="00703A0B">
        <w:rPr>
          <w:rFonts w:cs="Arial"/>
          <w:b/>
          <w:bCs/>
          <w:szCs w:val="22"/>
        </w:rPr>
        <w:t>Establishing s</w:t>
      </w:r>
      <w:r w:rsidR="008D6C8D" w:rsidRPr="00703A0B">
        <w:rPr>
          <w:rFonts w:cs="Arial"/>
          <w:b/>
          <w:bCs/>
          <w:szCs w:val="22"/>
        </w:rPr>
        <w:t>tronger controls</w:t>
      </w:r>
      <w:r w:rsidR="00226AA1" w:rsidRPr="00703A0B">
        <w:rPr>
          <w:rFonts w:cs="Arial"/>
          <w:b/>
          <w:bCs/>
          <w:szCs w:val="22"/>
        </w:rPr>
        <w:t xml:space="preserve"> for managing risks</w:t>
      </w:r>
      <w:r w:rsidR="008D6C8D" w:rsidRPr="00703A0B">
        <w:rPr>
          <w:rFonts w:cs="Arial"/>
          <w:b/>
          <w:bCs/>
          <w:szCs w:val="22"/>
        </w:rPr>
        <w:t>:</w:t>
      </w:r>
      <w:r w:rsidR="008D6C8D" w:rsidRPr="00703A0B">
        <w:rPr>
          <w:rFonts w:cs="Arial"/>
          <w:szCs w:val="22"/>
        </w:rPr>
        <w:t xml:space="preserve"> </w:t>
      </w:r>
      <w:r w:rsidR="0065603D" w:rsidRPr="00703A0B">
        <w:rPr>
          <w:rFonts w:cs="Arial"/>
          <w:szCs w:val="22"/>
        </w:rPr>
        <w:t>Delivery of t</w:t>
      </w:r>
      <w:r w:rsidR="008D6C8D" w:rsidRPr="00703A0B">
        <w:rPr>
          <w:rFonts w:cs="Arial"/>
          <w:szCs w:val="22"/>
        </w:rPr>
        <w:t>argeted assurance activities, including a focused review of licensing fraud and corruption risks</w:t>
      </w:r>
      <w:r w:rsidR="00873E7C" w:rsidRPr="00703A0B">
        <w:rPr>
          <w:rFonts w:cs="Arial"/>
          <w:szCs w:val="22"/>
        </w:rPr>
        <w:t>,</w:t>
      </w:r>
      <w:r w:rsidR="00407960" w:rsidRPr="00703A0B">
        <w:rPr>
          <w:rFonts w:cs="Arial"/>
          <w:szCs w:val="22"/>
        </w:rPr>
        <w:t xml:space="preserve"> </w:t>
      </w:r>
      <w:r w:rsidR="006F7453" w:rsidRPr="00703A0B">
        <w:rPr>
          <w:rFonts w:cs="Arial"/>
          <w:szCs w:val="22"/>
        </w:rPr>
        <w:t>which informed improvements to</w:t>
      </w:r>
      <w:r w:rsidR="00646A0C" w:rsidRPr="00703A0B">
        <w:rPr>
          <w:rFonts w:cs="Arial"/>
          <w:szCs w:val="22"/>
        </w:rPr>
        <w:t xml:space="preserve"> </w:t>
      </w:r>
      <w:r w:rsidR="006B7DA1" w:rsidRPr="00703A0B">
        <w:rPr>
          <w:rFonts w:cs="Arial"/>
          <w:szCs w:val="22"/>
        </w:rPr>
        <w:t>key</w:t>
      </w:r>
      <w:r w:rsidR="00BC2BA4" w:rsidRPr="00703A0B">
        <w:rPr>
          <w:rFonts w:cs="Arial"/>
          <w:szCs w:val="22"/>
        </w:rPr>
        <w:t xml:space="preserve"> controls</w:t>
      </w:r>
      <w:r w:rsidR="00646A0C" w:rsidRPr="00703A0B">
        <w:rPr>
          <w:rFonts w:cs="Arial"/>
          <w:szCs w:val="22"/>
        </w:rPr>
        <w:t xml:space="preserve"> and supported more effective risk management</w:t>
      </w:r>
      <w:r w:rsidR="008D6C8D" w:rsidRPr="00703A0B">
        <w:rPr>
          <w:rFonts w:cs="Arial"/>
          <w:szCs w:val="22"/>
        </w:rPr>
        <w:t>.</w:t>
      </w:r>
    </w:p>
    <w:p w14:paraId="3664209E" w14:textId="66A5E854" w:rsidR="008D6C8D" w:rsidRPr="00703A0B" w:rsidRDefault="00064D69" w:rsidP="00A836CF">
      <w:pPr>
        <w:pStyle w:val="ListParagraph"/>
        <w:numPr>
          <w:ilvl w:val="0"/>
          <w:numId w:val="66"/>
        </w:numPr>
        <w:spacing w:before="120" w:after="120"/>
        <w:ind w:left="714" w:hanging="357"/>
        <w:contextualSpacing w:val="0"/>
        <w:rPr>
          <w:rFonts w:cs="Arial"/>
          <w:szCs w:val="22"/>
        </w:rPr>
      </w:pPr>
      <w:r w:rsidRPr="00703A0B">
        <w:rPr>
          <w:rFonts w:cs="Arial"/>
          <w:b/>
          <w:bCs/>
          <w:szCs w:val="22"/>
        </w:rPr>
        <w:t>Building</w:t>
      </w:r>
      <w:r w:rsidR="008D6C8D" w:rsidRPr="00703A0B">
        <w:rPr>
          <w:rFonts w:cs="Arial"/>
          <w:b/>
          <w:bCs/>
          <w:szCs w:val="22"/>
        </w:rPr>
        <w:t xml:space="preserve"> organisational resilience:</w:t>
      </w:r>
      <w:r w:rsidR="008D6C8D" w:rsidRPr="00703A0B">
        <w:rPr>
          <w:rFonts w:cs="Arial"/>
          <w:szCs w:val="22"/>
        </w:rPr>
        <w:t xml:space="preserve"> </w:t>
      </w:r>
      <w:r w:rsidR="00DF78C3" w:rsidRPr="00703A0B">
        <w:rPr>
          <w:rFonts w:cs="Arial"/>
          <w:szCs w:val="22"/>
        </w:rPr>
        <w:t>Strengthened the organisation</w:t>
      </w:r>
      <w:r w:rsidR="00F6388B" w:rsidRPr="00703A0B">
        <w:rPr>
          <w:rFonts w:cs="Arial"/>
          <w:szCs w:val="22"/>
        </w:rPr>
        <w:t xml:space="preserve">al </w:t>
      </w:r>
      <w:r w:rsidR="00DF78C3" w:rsidRPr="00703A0B">
        <w:rPr>
          <w:rFonts w:cs="Arial"/>
          <w:szCs w:val="22"/>
        </w:rPr>
        <w:t>preparedness and response capabilities for disruptive events</w:t>
      </w:r>
      <w:r w:rsidR="004D6E4B" w:rsidRPr="00703A0B">
        <w:rPr>
          <w:rFonts w:cs="Arial"/>
          <w:szCs w:val="22"/>
        </w:rPr>
        <w:t xml:space="preserve"> through </w:t>
      </w:r>
      <w:r w:rsidR="00F6388B" w:rsidRPr="00703A0B">
        <w:rPr>
          <w:rFonts w:cs="Arial"/>
          <w:szCs w:val="22"/>
        </w:rPr>
        <w:t xml:space="preserve">the completion </w:t>
      </w:r>
      <w:r w:rsidR="004D6E4B" w:rsidRPr="00703A0B">
        <w:rPr>
          <w:rFonts w:cs="Arial"/>
          <w:szCs w:val="22"/>
        </w:rPr>
        <w:t xml:space="preserve">of </w:t>
      </w:r>
      <w:r w:rsidR="00F6388B" w:rsidRPr="00703A0B">
        <w:rPr>
          <w:rFonts w:cs="Arial"/>
          <w:szCs w:val="22"/>
        </w:rPr>
        <w:t xml:space="preserve">a </w:t>
      </w:r>
      <w:r w:rsidR="00902D48" w:rsidRPr="00703A0B">
        <w:rPr>
          <w:rFonts w:cs="Arial"/>
          <w:szCs w:val="22"/>
        </w:rPr>
        <w:t>b</w:t>
      </w:r>
      <w:r w:rsidR="008D6C8D" w:rsidRPr="00703A0B">
        <w:rPr>
          <w:rFonts w:cs="Arial"/>
          <w:szCs w:val="22"/>
        </w:rPr>
        <w:t xml:space="preserve">usiness </w:t>
      </w:r>
      <w:r w:rsidR="00902D48" w:rsidRPr="00703A0B">
        <w:rPr>
          <w:rFonts w:cs="Arial"/>
          <w:szCs w:val="22"/>
        </w:rPr>
        <w:t>i</w:t>
      </w:r>
      <w:r w:rsidR="008D6C8D" w:rsidRPr="00703A0B">
        <w:rPr>
          <w:rFonts w:cs="Arial"/>
          <w:szCs w:val="22"/>
        </w:rPr>
        <w:t xml:space="preserve">mpact </w:t>
      </w:r>
      <w:r w:rsidR="00902D48" w:rsidRPr="00703A0B">
        <w:rPr>
          <w:rFonts w:cs="Arial"/>
          <w:szCs w:val="22"/>
        </w:rPr>
        <w:t>a</w:t>
      </w:r>
      <w:r w:rsidR="008D6C8D" w:rsidRPr="00703A0B">
        <w:rPr>
          <w:rFonts w:cs="Arial"/>
          <w:szCs w:val="22"/>
        </w:rPr>
        <w:t>nalysis,</w:t>
      </w:r>
      <w:r w:rsidR="00D76270" w:rsidRPr="00703A0B">
        <w:rPr>
          <w:rFonts w:cs="Arial"/>
          <w:szCs w:val="22"/>
        </w:rPr>
        <w:t xml:space="preserve"> </w:t>
      </w:r>
      <w:r w:rsidR="00F6388B" w:rsidRPr="00703A0B">
        <w:rPr>
          <w:rFonts w:cs="Arial"/>
          <w:szCs w:val="22"/>
        </w:rPr>
        <w:t>enha</w:t>
      </w:r>
      <w:r w:rsidR="00613E1A" w:rsidRPr="00703A0B">
        <w:rPr>
          <w:rFonts w:cs="Arial"/>
          <w:szCs w:val="22"/>
        </w:rPr>
        <w:t>n</w:t>
      </w:r>
      <w:r w:rsidR="00F6388B" w:rsidRPr="00703A0B">
        <w:rPr>
          <w:rFonts w:cs="Arial"/>
          <w:szCs w:val="22"/>
        </w:rPr>
        <w:t>cem</w:t>
      </w:r>
      <w:r w:rsidR="00613E1A" w:rsidRPr="00703A0B">
        <w:rPr>
          <w:rFonts w:cs="Arial"/>
          <w:szCs w:val="22"/>
        </w:rPr>
        <w:t>e</w:t>
      </w:r>
      <w:r w:rsidR="00F6388B" w:rsidRPr="00703A0B">
        <w:rPr>
          <w:rFonts w:cs="Arial"/>
          <w:szCs w:val="22"/>
        </w:rPr>
        <w:t xml:space="preserve">nt of </w:t>
      </w:r>
      <w:r w:rsidR="008D6C8D" w:rsidRPr="00703A0B">
        <w:rPr>
          <w:rFonts w:cs="Arial"/>
          <w:szCs w:val="22"/>
        </w:rPr>
        <w:t>business recovery plan</w:t>
      </w:r>
      <w:r w:rsidR="00613E1A" w:rsidRPr="00703A0B">
        <w:rPr>
          <w:rFonts w:cs="Arial"/>
          <w:szCs w:val="22"/>
        </w:rPr>
        <w:t>s</w:t>
      </w:r>
      <w:r w:rsidR="008D6C8D" w:rsidRPr="00703A0B">
        <w:rPr>
          <w:rFonts w:cs="Arial"/>
          <w:szCs w:val="22"/>
        </w:rPr>
        <w:t xml:space="preserve"> and </w:t>
      </w:r>
      <w:r w:rsidR="00613E1A" w:rsidRPr="00703A0B">
        <w:rPr>
          <w:rFonts w:cs="Arial"/>
          <w:szCs w:val="22"/>
        </w:rPr>
        <w:t xml:space="preserve">delivery of </w:t>
      </w:r>
      <w:r w:rsidR="008D6C8D" w:rsidRPr="00703A0B">
        <w:rPr>
          <w:rFonts w:cs="Arial"/>
          <w:szCs w:val="22"/>
        </w:rPr>
        <w:t>incident response training and exercises.</w:t>
      </w:r>
    </w:p>
    <w:p w14:paraId="2B8F0545" w14:textId="36147AB3" w:rsidR="00AA6104" w:rsidRPr="00703A0B" w:rsidRDefault="00553DB0" w:rsidP="008D6C8D">
      <w:pPr>
        <w:spacing w:before="120" w:after="120"/>
        <w:rPr>
          <w:rFonts w:cs="Arial"/>
          <w:szCs w:val="22"/>
        </w:rPr>
      </w:pPr>
      <w:r w:rsidRPr="00703A0B">
        <w:rPr>
          <w:rFonts w:cs="Arial"/>
          <w:szCs w:val="22"/>
        </w:rPr>
        <w:t>Together</w:t>
      </w:r>
      <w:r w:rsidR="000A2D99" w:rsidRPr="00703A0B">
        <w:rPr>
          <w:rFonts w:cs="Arial"/>
          <w:szCs w:val="22"/>
        </w:rPr>
        <w:t>, t</w:t>
      </w:r>
      <w:r w:rsidR="008D6C8D" w:rsidRPr="00703A0B">
        <w:rPr>
          <w:rFonts w:cs="Arial"/>
          <w:szCs w:val="22"/>
        </w:rPr>
        <w:t xml:space="preserve">hese </w:t>
      </w:r>
      <w:r w:rsidR="001D05F7" w:rsidRPr="00703A0B">
        <w:rPr>
          <w:rFonts w:cs="Arial"/>
          <w:szCs w:val="22"/>
        </w:rPr>
        <w:t xml:space="preserve">improvements </w:t>
      </w:r>
      <w:r w:rsidR="000A2D99" w:rsidRPr="00703A0B">
        <w:rPr>
          <w:rFonts w:cs="Arial"/>
          <w:szCs w:val="22"/>
        </w:rPr>
        <w:t>represent a step change in the Q</w:t>
      </w:r>
      <w:r w:rsidR="008D6C8D" w:rsidRPr="00703A0B">
        <w:rPr>
          <w:rFonts w:cs="Arial"/>
          <w:szCs w:val="22"/>
        </w:rPr>
        <w:t xml:space="preserve">BCC’s </w:t>
      </w:r>
      <w:r w:rsidR="00D800E8" w:rsidRPr="00703A0B">
        <w:rPr>
          <w:rFonts w:cs="Arial"/>
          <w:szCs w:val="22"/>
        </w:rPr>
        <w:t>risk management approach</w:t>
      </w:r>
      <w:r w:rsidR="00FF2CF7" w:rsidRPr="00703A0B">
        <w:rPr>
          <w:rFonts w:cs="Arial"/>
          <w:szCs w:val="22"/>
        </w:rPr>
        <w:t xml:space="preserve">, strengthening </w:t>
      </w:r>
      <w:r w:rsidR="007A6617" w:rsidRPr="00703A0B">
        <w:rPr>
          <w:rFonts w:cs="Arial"/>
          <w:szCs w:val="22"/>
        </w:rPr>
        <w:t xml:space="preserve">organisational resilience and supporting the delivery of its transformation </w:t>
      </w:r>
      <w:r w:rsidR="000D0B75" w:rsidRPr="00703A0B">
        <w:rPr>
          <w:rFonts w:cs="Arial"/>
          <w:szCs w:val="22"/>
        </w:rPr>
        <w:t xml:space="preserve">agenda while </w:t>
      </w:r>
      <w:r w:rsidR="008D6C8D" w:rsidRPr="00703A0B">
        <w:rPr>
          <w:rFonts w:cs="Arial"/>
          <w:szCs w:val="22"/>
        </w:rPr>
        <w:t>maintain</w:t>
      </w:r>
      <w:r w:rsidR="000D0B75" w:rsidRPr="00703A0B">
        <w:rPr>
          <w:rFonts w:cs="Arial"/>
          <w:szCs w:val="22"/>
        </w:rPr>
        <w:t xml:space="preserve">ing continuity of </w:t>
      </w:r>
      <w:r w:rsidR="008D6C8D" w:rsidRPr="00703A0B">
        <w:rPr>
          <w:rFonts w:cs="Arial"/>
          <w:szCs w:val="22"/>
        </w:rPr>
        <w:t>critical services.</w:t>
      </w:r>
    </w:p>
    <w:p w14:paraId="23449486" w14:textId="0F949C96" w:rsidR="0057305A" w:rsidRPr="00703A0B" w:rsidRDefault="007E4CE8" w:rsidP="00907476">
      <w:pPr>
        <w:pStyle w:val="Heading3"/>
      </w:pPr>
      <w:bookmarkStart w:id="200" w:name="_Independent_audit_and"/>
      <w:bookmarkEnd w:id="200"/>
      <w:r w:rsidRPr="00703A0B">
        <w:lastRenderedPageBreak/>
        <w:t>Independent audit and assurance</w:t>
      </w:r>
      <w:r w:rsidR="00EE4C84" w:rsidRPr="00703A0B">
        <w:t xml:space="preserve">  </w:t>
      </w:r>
    </w:p>
    <w:p w14:paraId="257406C9" w14:textId="1E9AE7AA" w:rsidR="00AA5816" w:rsidRPr="00703A0B" w:rsidRDefault="008E4838" w:rsidP="00D850B1">
      <w:pPr>
        <w:spacing w:before="120" w:after="120"/>
        <w:rPr>
          <w:rFonts w:cs="Arial"/>
        </w:rPr>
      </w:pPr>
      <w:r w:rsidRPr="00703A0B">
        <w:rPr>
          <w:rFonts w:cs="Arial"/>
        </w:rPr>
        <w:t xml:space="preserve">The </w:t>
      </w:r>
      <w:r w:rsidR="00054CB5" w:rsidRPr="00703A0B">
        <w:rPr>
          <w:rFonts w:cs="Arial"/>
        </w:rPr>
        <w:t xml:space="preserve">QBCC’s </w:t>
      </w:r>
      <w:r w:rsidR="00CE73EA" w:rsidRPr="00703A0B">
        <w:rPr>
          <w:rFonts w:cs="Arial"/>
        </w:rPr>
        <w:t>audit and assurance</w:t>
      </w:r>
      <w:r w:rsidR="00054CB5" w:rsidRPr="00703A0B">
        <w:rPr>
          <w:rFonts w:cs="Arial"/>
        </w:rPr>
        <w:t xml:space="preserve"> function</w:t>
      </w:r>
      <w:r w:rsidR="00CE73EA" w:rsidRPr="00703A0B">
        <w:rPr>
          <w:rFonts w:cs="Arial"/>
        </w:rPr>
        <w:t>s</w:t>
      </w:r>
      <w:r w:rsidR="00B94883" w:rsidRPr="00703A0B">
        <w:rPr>
          <w:rFonts w:cs="Arial"/>
        </w:rPr>
        <w:t xml:space="preserve">, </w:t>
      </w:r>
      <w:r w:rsidR="00D37C50" w:rsidRPr="00703A0B">
        <w:rPr>
          <w:rFonts w:cs="Arial"/>
        </w:rPr>
        <w:t xml:space="preserve">along </w:t>
      </w:r>
      <w:r w:rsidR="00B94883" w:rsidRPr="00703A0B">
        <w:rPr>
          <w:rFonts w:cs="Arial"/>
        </w:rPr>
        <w:t xml:space="preserve">with </w:t>
      </w:r>
      <w:r w:rsidR="008D7A96" w:rsidRPr="00703A0B">
        <w:rPr>
          <w:rFonts w:cs="Arial"/>
        </w:rPr>
        <w:t xml:space="preserve">external oversight from </w:t>
      </w:r>
      <w:r w:rsidR="002D09D7" w:rsidRPr="00703A0B">
        <w:rPr>
          <w:rFonts w:cs="Arial"/>
        </w:rPr>
        <w:t xml:space="preserve">the </w:t>
      </w:r>
      <w:r w:rsidR="00D73998" w:rsidRPr="00703A0B">
        <w:rPr>
          <w:rFonts w:cs="Arial"/>
        </w:rPr>
        <w:t>Queensland Audit Office (</w:t>
      </w:r>
      <w:r w:rsidR="008D7A96" w:rsidRPr="00703A0B">
        <w:rPr>
          <w:rFonts w:cs="Arial"/>
        </w:rPr>
        <w:t>QAO</w:t>
      </w:r>
      <w:r w:rsidR="00D73998" w:rsidRPr="00703A0B">
        <w:rPr>
          <w:rFonts w:cs="Arial"/>
        </w:rPr>
        <w:t>)</w:t>
      </w:r>
      <w:r w:rsidR="00AA7444" w:rsidRPr="00703A0B">
        <w:rPr>
          <w:rFonts w:cs="Arial"/>
        </w:rPr>
        <w:t xml:space="preserve">, play a key role in </w:t>
      </w:r>
      <w:r w:rsidR="00A27AD5" w:rsidRPr="00703A0B">
        <w:rPr>
          <w:rFonts w:cs="Arial"/>
        </w:rPr>
        <w:t>strengthening</w:t>
      </w:r>
      <w:r w:rsidR="00054CB5" w:rsidRPr="00703A0B">
        <w:rPr>
          <w:rFonts w:cs="Arial"/>
        </w:rPr>
        <w:t xml:space="preserve"> governance, </w:t>
      </w:r>
      <w:r w:rsidR="00442CB1" w:rsidRPr="00703A0B">
        <w:rPr>
          <w:rFonts w:cs="Arial"/>
        </w:rPr>
        <w:t>promoting</w:t>
      </w:r>
      <w:r w:rsidR="006633EC" w:rsidRPr="00703A0B">
        <w:rPr>
          <w:rFonts w:cs="Arial"/>
        </w:rPr>
        <w:t xml:space="preserve"> </w:t>
      </w:r>
      <w:r w:rsidR="00054CB5" w:rsidRPr="00703A0B">
        <w:rPr>
          <w:rFonts w:cs="Arial"/>
        </w:rPr>
        <w:t xml:space="preserve">accountability and </w:t>
      </w:r>
      <w:r w:rsidR="00442CB1" w:rsidRPr="00703A0B">
        <w:rPr>
          <w:rFonts w:cs="Arial"/>
        </w:rPr>
        <w:t>driving</w:t>
      </w:r>
      <w:r w:rsidR="006633EC" w:rsidRPr="00703A0B">
        <w:rPr>
          <w:rFonts w:cs="Arial"/>
        </w:rPr>
        <w:t xml:space="preserve"> </w:t>
      </w:r>
      <w:r w:rsidR="00442CB1" w:rsidRPr="00703A0B">
        <w:rPr>
          <w:rFonts w:cs="Arial"/>
        </w:rPr>
        <w:t>continuous</w:t>
      </w:r>
      <w:r w:rsidR="00054CB5" w:rsidRPr="00703A0B">
        <w:rPr>
          <w:rFonts w:cs="Arial"/>
        </w:rPr>
        <w:t xml:space="preserve"> improvement across the organisation.</w:t>
      </w:r>
      <w:r w:rsidR="00AA5816" w:rsidRPr="00703A0B">
        <w:rPr>
          <w:rFonts w:cs="Arial"/>
        </w:rPr>
        <w:t xml:space="preserve"> </w:t>
      </w:r>
      <w:r w:rsidR="0008726A" w:rsidRPr="00703A0B">
        <w:rPr>
          <w:rFonts w:cs="Arial"/>
        </w:rPr>
        <w:t>In line</w:t>
      </w:r>
      <w:r w:rsidR="00054CB5" w:rsidRPr="00703A0B">
        <w:rPr>
          <w:rFonts w:cs="Arial"/>
        </w:rPr>
        <w:t xml:space="preserve"> with the </w:t>
      </w:r>
      <w:r w:rsidR="0064121F" w:rsidRPr="00703A0B">
        <w:rPr>
          <w:rFonts w:cs="Arial"/>
        </w:rPr>
        <w:t>FPMS</w:t>
      </w:r>
      <w:r w:rsidR="00054CB5" w:rsidRPr="00703A0B">
        <w:rPr>
          <w:rFonts w:cs="Arial"/>
        </w:rPr>
        <w:t xml:space="preserve">, the </w:t>
      </w:r>
      <w:r w:rsidR="00E24574" w:rsidRPr="00703A0B">
        <w:rPr>
          <w:rFonts w:cs="Arial"/>
        </w:rPr>
        <w:t xml:space="preserve">internal audit </w:t>
      </w:r>
      <w:r w:rsidR="00054CB5" w:rsidRPr="00703A0B">
        <w:rPr>
          <w:rFonts w:cs="Arial"/>
        </w:rPr>
        <w:t xml:space="preserve">function provides independent assurance and advisory services to assess and </w:t>
      </w:r>
      <w:r w:rsidR="00627BF1" w:rsidRPr="00703A0B">
        <w:rPr>
          <w:rFonts w:cs="Arial"/>
        </w:rPr>
        <w:t>enhance</w:t>
      </w:r>
      <w:r w:rsidR="00475DCA" w:rsidRPr="00703A0B">
        <w:rPr>
          <w:rFonts w:cs="Arial"/>
        </w:rPr>
        <w:t xml:space="preserve"> </w:t>
      </w:r>
      <w:r w:rsidR="00054CB5" w:rsidRPr="00703A0B">
        <w:rPr>
          <w:rFonts w:cs="Arial"/>
        </w:rPr>
        <w:t xml:space="preserve">the </w:t>
      </w:r>
      <w:r w:rsidR="00AA1FAF" w:rsidRPr="00703A0B">
        <w:rPr>
          <w:rFonts w:cs="Arial"/>
        </w:rPr>
        <w:t>effectiveness of</w:t>
      </w:r>
      <w:r w:rsidR="00475DCA" w:rsidRPr="00703A0B">
        <w:rPr>
          <w:rFonts w:cs="Arial"/>
        </w:rPr>
        <w:t xml:space="preserve"> risk management</w:t>
      </w:r>
      <w:r w:rsidR="00054CB5" w:rsidRPr="00703A0B">
        <w:rPr>
          <w:rFonts w:cs="Arial"/>
        </w:rPr>
        <w:t>, internal control</w:t>
      </w:r>
      <w:r w:rsidR="00110F32" w:rsidRPr="00703A0B">
        <w:rPr>
          <w:rFonts w:cs="Arial"/>
        </w:rPr>
        <w:t>s</w:t>
      </w:r>
      <w:r w:rsidR="00054CB5" w:rsidRPr="00703A0B">
        <w:rPr>
          <w:rFonts w:cs="Arial"/>
        </w:rPr>
        <w:t xml:space="preserve"> and governance </w:t>
      </w:r>
      <w:r w:rsidR="00BF0B97" w:rsidRPr="00703A0B">
        <w:rPr>
          <w:rFonts w:cs="Arial"/>
        </w:rPr>
        <w:t>systems</w:t>
      </w:r>
      <w:r w:rsidR="00476D92" w:rsidRPr="00703A0B">
        <w:rPr>
          <w:rFonts w:cs="Arial"/>
        </w:rPr>
        <w:t>.</w:t>
      </w:r>
      <w:r w:rsidR="00AA5816" w:rsidRPr="00703A0B">
        <w:rPr>
          <w:rFonts w:cs="Arial"/>
        </w:rPr>
        <w:t xml:space="preserve"> </w:t>
      </w:r>
      <w:r w:rsidR="00D02C36" w:rsidRPr="00703A0B">
        <w:rPr>
          <w:rFonts w:cs="Arial"/>
        </w:rPr>
        <w:t>Key outputs delivered in 2025–26 include</w:t>
      </w:r>
      <w:r w:rsidR="00AA5816" w:rsidRPr="00703A0B">
        <w:rPr>
          <w:rFonts w:cs="Arial"/>
        </w:rPr>
        <w:t>:</w:t>
      </w:r>
    </w:p>
    <w:p w14:paraId="7E31FF51" w14:textId="742B5698" w:rsidR="00DD76C8" w:rsidRPr="00703A0B" w:rsidRDefault="005F0BBE" w:rsidP="00A836CF">
      <w:pPr>
        <w:pStyle w:val="ListParagraph"/>
        <w:numPr>
          <w:ilvl w:val="0"/>
          <w:numId w:val="67"/>
        </w:numPr>
        <w:spacing w:before="120" w:after="120"/>
        <w:ind w:hanging="357"/>
        <w:contextualSpacing w:val="0"/>
        <w:rPr>
          <w:rFonts w:cs="Arial"/>
        </w:rPr>
      </w:pPr>
      <w:r w:rsidRPr="00703A0B" w:rsidDel="00D5721C">
        <w:rPr>
          <w:rFonts w:cs="Arial"/>
          <w:b/>
          <w:bCs/>
        </w:rPr>
        <w:t>Strategic Internal Audit Plan 2026–28</w:t>
      </w:r>
      <w:bookmarkStart w:id="201" w:name="_Internal_and_external"/>
      <w:bookmarkEnd w:id="201"/>
      <w:r w:rsidR="00AA5816" w:rsidRPr="00703A0B">
        <w:rPr>
          <w:rFonts w:cs="Arial"/>
          <w:b/>
          <w:bCs/>
        </w:rPr>
        <w:t>:</w:t>
      </w:r>
      <w:r w:rsidR="00F51913" w:rsidRPr="00703A0B" w:rsidDel="00D5721C">
        <w:rPr>
          <w:rFonts w:cs="Arial"/>
        </w:rPr>
        <w:t xml:space="preserve"> </w:t>
      </w:r>
      <w:r w:rsidR="00742BDA" w:rsidRPr="00703A0B">
        <w:rPr>
          <w:rFonts w:cs="Arial"/>
        </w:rPr>
        <w:t>A</w:t>
      </w:r>
      <w:r w:rsidR="009E2DAF" w:rsidRPr="00703A0B" w:rsidDel="00D5721C">
        <w:rPr>
          <w:rFonts w:cs="Arial"/>
        </w:rPr>
        <w:t xml:space="preserve"> </w:t>
      </w:r>
      <w:r w:rsidR="005F5D63" w:rsidRPr="00703A0B" w:rsidDel="00D5721C">
        <w:rPr>
          <w:rFonts w:cs="Arial"/>
        </w:rPr>
        <w:t>more targeted</w:t>
      </w:r>
      <w:r w:rsidR="006E07E0" w:rsidRPr="00703A0B">
        <w:rPr>
          <w:rFonts w:cs="Arial"/>
        </w:rPr>
        <w:t>,</w:t>
      </w:r>
      <w:r w:rsidR="009E2DAF" w:rsidRPr="00703A0B" w:rsidDel="00D5721C">
        <w:rPr>
          <w:rFonts w:cs="Arial"/>
        </w:rPr>
        <w:t xml:space="preserve"> risk-based approach to internal audit</w:t>
      </w:r>
      <w:r w:rsidR="00F51913" w:rsidRPr="00703A0B" w:rsidDel="00D5721C">
        <w:rPr>
          <w:rFonts w:cs="Arial"/>
        </w:rPr>
        <w:t>ing</w:t>
      </w:r>
      <w:r w:rsidR="004B7C47" w:rsidRPr="00703A0B">
        <w:rPr>
          <w:rFonts w:cs="Arial"/>
        </w:rPr>
        <w:t xml:space="preserve"> </w:t>
      </w:r>
      <w:r w:rsidR="003A6479" w:rsidRPr="00703A0B">
        <w:rPr>
          <w:rFonts w:cs="Arial"/>
        </w:rPr>
        <w:t>carried out</w:t>
      </w:r>
      <w:r w:rsidR="004B7C47" w:rsidRPr="00703A0B">
        <w:rPr>
          <w:rFonts w:cs="Arial"/>
        </w:rPr>
        <w:t xml:space="preserve"> independently</w:t>
      </w:r>
      <w:r w:rsidR="003A6479" w:rsidRPr="00703A0B">
        <w:rPr>
          <w:rFonts w:cs="Arial"/>
        </w:rPr>
        <w:t xml:space="preserve"> by</w:t>
      </w:r>
      <w:r w:rsidR="00D7248A" w:rsidRPr="00703A0B">
        <w:rPr>
          <w:rFonts w:cs="Arial"/>
        </w:rPr>
        <w:t xml:space="preserve"> </w:t>
      </w:r>
      <w:r w:rsidR="00D7248A" w:rsidRPr="00703A0B" w:rsidDel="00D5721C">
        <w:rPr>
          <w:rFonts w:cs="Arial"/>
        </w:rPr>
        <w:t>O’Connor Marsden and Associates</w:t>
      </w:r>
      <w:r w:rsidR="00193083" w:rsidRPr="00703A0B">
        <w:rPr>
          <w:rFonts w:cs="Arial"/>
        </w:rPr>
        <w:t>.</w:t>
      </w:r>
    </w:p>
    <w:p w14:paraId="0A6EC8DB" w14:textId="3F5570EC" w:rsidR="000F0052" w:rsidRPr="00703A0B" w:rsidRDefault="00DD76C8" w:rsidP="00A836CF">
      <w:pPr>
        <w:pStyle w:val="ListParagraph"/>
        <w:numPr>
          <w:ilvl w:val="0"/>
          <w:numId w:val="67"/>
        </w:numPr>
        <w:spacing w:before="120" w:after="120"/>
        <w:ind w:hanging="357"/>
        <w:contextualSpacing w:val="0"/>
        <w:rPr>
          <w:rFonts w:cs="Arial"/>
        </w:rPr>
      </w:pPr>
      <w:r w:rsidRPr="00703A0B" w:rsidDel="00D5721C">
        <w:rPr>
          <w:rFonts w:cs="Arial"/>
          <w:b/>
          <w:bCs/>
        </w:rPr>
        <w:t>Regulatory Audit Plan</w:t>
      </w:r>
      <w:r w:rsidR="00BC3FFC" w:rsidRPr="00703A0B">
        <w:rPr>
          <w:rFonts w:cs="Arial"/>
          <w:b/>
          <w:bCs/>
        </w:rPr>
        <w:t xml:space="preserve"> 2025</w:t>
      </w:r>
      <w:r w:rsidR="00BC3FFC" w:rsidRPr="00703A0B" w:rsidDel="00D5721C">
        <w:rPr>
          <w:rFonts w:cs="Arial"/>
          <w:b/>
          <w:bCs/>
        </w:rPr>
        <w:t>–</w:t>
      </w:r>
      <w:r w:rsidR="00BC3FFC" w:rsidRPr="00703A0B">
        <w:rPr>
          <w:rFonts w:cs="Arial"/>
          <w:b/>
          <w:bCs/>
        </w:rPr>
        <w:t>26</w:t>
      </w:r>
      <w:r w:rsidRPr="00703A0B">
        <w:rPr>
          <w:rFonts w:cs="Arial"/>
          <w:b/>
          <w:bCs/>
        </w:rPr>
        <w:t>:</w:t>
      </w:r>
      <w:r w:rsidRPr="00703A0B">
        <w:rPr>
          <w:rFonts w:cs="Arial"/>
        </w:rPr>
        <w:t xml:space="preserve"> </w:t>
      </w:r>
      <w:r w:rsidR="008342E5" w:rsidRPr="00703A0B">
        <w:rPr>
          <w:rFonts w:cs="Arial"/>
        </w:rPr>
        <w:t xml:space="preserve">Delivered </w:t>
      </w:r>
      <w:r w:rsidR="009C0590" w:rsidRPr="00703A0B">
        <w:rPr>
          <w:rFonts w:cs="Arial"/>
        </w:rPr>
        <w:t xml:space="preserve">a targeted </w:t>
      </w:r>
      <w:r w:rsidR="00AD4E04" w:rsidRPr="00703A0B">
        <w:rPr>
          <w:rFonts w:cs="Arial"/>
        </w:rPr>
        <w:t>audit</w:t>
      </w:r>
      <w:r w:rsidR="002409F8" w:rsidRPr="00703A0B">
        <w:rPr>
          <w:rFonts w:cs="Arial"/>
        </w:rPr>
        <w:t xml:space="preserve"> program</w:t>
      </w:r>
      <w:r w:rsidR="00AD4E04" w:rsidRPr="00703A0B">
        <w:rPr>
          <w:rFonts w:cs="Arial"/>
        </w:rPr>
        <w:t xml:space="preserve"> </w:t>
      </w:r>
      <w:r w:rsidR="009C0590" w:rsidRPr="00703A0B">
        <w:rPr>
          <w:rFonts w:cs="Arial"/>
        </w:rPr>
        <w:t xml:space="preserve">covering </w:t>
      </w:r>
      <w:r w:rsidR="25AFDE32" w:rsidRPr="00703A0B">
        <w:rPr>
          <w:rFonts w:cs="Arial"/>
        </w:rPr>
        <w:t xml:space="preserve">three </w:t>
      </w:r>
      <w:r w:rsidR="009C0590" w:rsidRPr="00703A0B">
        <w:rPr>
          <w:rFonts w:cs="Arial"/>
        </w:rPr>
        <w:t>categories of</w:t>
      </w:r>
      <w:r w:rsidR="00A66103" w:rsidRPr="00703A0B">
        <w:rPr>
          <w:rFonts w:cs="Arial"/>
        </w:rPr>
        <w:t xml:space="preserve"> </w:t>
      </w:r>
      <w:r w:rsidR="00DB277B" w:rsidRPr="00703A0B">
        <w:rPr>
          <w:rFonts w:cs="Arial"/>
        </w:rPr>
        <w:t>regulatory decisions</w:t>
      </w:r>
      <w:r w:rsidR="00A66103" w:rsidRPr="00703A0B">
        <w:rPr>
          <w:rFonts w:cs="Arial"/>
        </w:rPr>
        <w:t xml:space="preserve">, </w:t>
      </w:r>
      <w:r w:rsidR="00502FD5" w:rsidRPr="00703A0B">
        <w:rPr>
          <w:rFonts w:cs="Arial"/>
        </w:rPr>
        <w:t xml:space="preserve">strengthening regulatory integrity </w:t>
      </w:r>
      <w:r w:rsidR="00950CBC" w:rsidRPr="00703A0B">
        <w:rPr>
          <w:rFonts w:cs="Arial"/>
        </w:rPr>
        <w:t xml:space="preserve">through </w:t>
      </w:r>
      <w:r w:rsidR="002409F8" w:rsidRPr="00703A0B">
        <w:rPr>
          <w:rFonts w:cs="Arial"/>
        </w:rPr>
        <w:t>independent</w:t>
      </w:r>
      <w:r w:rsidR="00A66103" w:rsidRPr="00703A0B">
        <w:rPr>
          <w:rFonts w:cs="Arial"/>
        </w:rPr>
        <w:t xml:space="preserve"> assurance </w:t>
      </w:r>
      <w:r w:rsidR="00950CBC" w:rsidRPr="00703A0B">
        <w:rPr>
          <w:rFonts w:cs="Arial"/>
        </w:rPr>
        <w:t>of</w:t>
      </w:r>
      <w:r w:rsidR="00E42EAA" w:rsidRPr="00703A0B">
        <w:rPr>
          <w:rFonts w:cs="Arial"/>
        </w:rPr>
        <w:t xml:space="preserve"> compliance, control </w:t>
      </w:r>
      <w:r w:rsidR="00193083" w:rsidRPr="00703A0B">
        <w:rPr>
          <w:rFonts w:cs="Arial"/>
        </w:rPr>
        <w:t xml:space="preserve">effectiveness and </w:t>
      </w:r>
      <w:r w:rsidR="007D506E" w:rsidRPr="00703A0B">
        <w:rPr>
          <w:rFonts w:cs="Arial"/>
        </w:rPr>
        <w:t>alignment with</w:t>
      </w:r>
      <w:r w:rsidR="00193083" w:rsidRPr="00703A0B">
        <w:rPr>
          <w:rFonts w:cs="Arial"/>
        </w:rPr>
        <w:t xml:space="preserve"> good decision-making principles</w:t>
      </w:r>
      <w:r w:rsidR="00DB6973" w:rsidRPr="00703A0B" w:rsidDel="00D5721C">
        <w:rPr>
          <w:rFonts w:cs="Arial"/>
        </w:rPr>
        <w:t>.</w:t>
      </w:r>
      <w:r w:rsidR="00DB6973" w:rsidRPr="00703A0B">
        <w:rPr>
          <w:rFonts w:cs="Arial"/>
        </w:rPr>
        <w:t xml:space="preserve"> </w:t>
      </w:r>
    </w:p>
    <w:p w14:paraId="5BFBAC21" w14:textId="3DA5FEAE" w:rsidR="008E7E8D" w:rsidRPr="00703A0B" w:rsidRDefault="00373232" w:rsidP="00A836CF">
      <w:pPr>
        <w:pStyle w:val="ListParagraph"/>
        <w:numPr>
          <w:ilvl w:val="0"/>
          <w:numId w:val="67"/>
        </w:numPr>
        <w:spacing w:before="120" w:after="120"/>
        <w:ind w:hanging="357"/>
        <w:contextualSpacing w:val="0"/>
        <w:rPr>
          <w:rFonts w:cs="Arial"/>
        </w:rPr>
      </w:pPr>
      <w:r w:rsidRPr="00703A0B" w:rsidDel="00D5721C">
        <w:rPr>
          <w:rFonts w:cs="Arial"/>
          <w:b/>
          <w:bCs/>
        </w:rPr>
        <w:t>Regulatory Assurance Framework</w:t>
      </w:r>
      <w:r w:rsidRPr="00703A0B">
        <w:rPr>
          <w:rFonts w:cs="Arial"/>
        </w:rPr>
        <w:t xml:space="preserve">: </w:t>
      </w:r>
      <w:r w:rsidR="00BC6489" w:rsidRPr="00703A0B">
        <w:rPr>
          <w:rFonts w:cs="Arial"/>
        </w:rPr>
        <w:t>Continued embed</w:t>
      </w:r>
      <w:r w:rsidR="00B75F7A" w:rsidRPr="00703A0B">
        <w:rPr>
          <w:rFonts w:cs="Arial"/>
        </w:rPr>
        <w:t xml:space="preserve">ment </w:t>
      </w:r>
      <w:r w:rsidR="00BC6489" w:rsidRPr="00703A0B">
        <w:rPr>
          <w:rFonts w:cs="Arial"/>
        </w:rPr>
        <w:t xml:space="preserve">of the </w:t>
      </w:r>
      <w:r w:rsidR="00135D02" w:rsidRPr="00703A0B">
        <w:rPr>
          <w:rFonts w:cs="Arial"/>
        </w:rPr>
        <w:t>s</w:t>
      </w:r>
      <w:r w:rsidR="003D1FBE" w:rsidRPr="00703A0B">
        <w:rPr>
          <w:rFonts w:cs="Arial"/>
        </w:rPr>
        <w:t xml:space="preserve">even interconnected elements </w:t>
      </w:r>
      <w:r w:rsidR="006B6684" w:rsidRPr="00703A0B">
        <w:rPr>
          <w:rFonts w:cs="Arial"/>
        </w:rPr>
        <w:t xml:space="preserve">within the framework </w:t>
      </w:r>
      <w:r w:rsidR="0091570A" w:rsidRPr="00703A0B">
        <w:rPr>
          <w:rFonts w:cs="Arial"/>
        </w:rPr>
        <w:t xml:space="preserve">that strengthened regulatory </w:t>
      </w:r>
      <w:r w:rsidR="00135D02" w:rsidRPr="00703A0B">
        <w:rPr>
          <w:rFonts w:cs="Arial"/>
        </w:rPr>
        <w:t>decision</w:t>
      </w:r>
      <w:r w:rsidR="00150BB7" w:rsidRPr="00703A0B">
        <w:rPr>
          <w:rFonts w:cs="Arial"/>
        </w:rPr>
        <w:t xml:space="preserve"> </w:t>
      </w:r>
      <w:r w:rsidR="00135D02" w:rsidRPr="00703A0B">
        <w:rPr>
          <w:rFonts w:cs="Arial"/>
        </w:rPr>
        <w:t>making</w:t>
      </w:r>
      <w:r w:rsidR="00911A5F" w:rsidRPr="00703A0B">
        <w:rPr>
          <w:rFonts w:cs="Arial"/>
        </w:rPr>
        <w:t xml:space="preserve"> across the organisation</w:t>
      </w:r>
      <w:r w:rsidR="00135D02" w:rsidRPr="00703A0B">
        <w:rPr>
          <w:rFonts w:cs="Arial"/>
        </w:rPr>
        <w:t>.</w:t>
      </w:r>
      <w:r w:rsidR="00911A5F" w:rsidRPr="00703A0B">
        <w:rPr>
          <w:rFonts w:cs="Arial"/>
        </w:rPr>
        <w:t xml:space="preserve"> K</w:t>
      </w:r>
      <w:r w:rsidR="00DF1F5A" w:rsidRPr="00703A0B">
        <w:rPr>
          <w:rFonts w:cs="Arial"/>
        </w:rPr>
        <w:t xml:space="preserve">ey </w:t>
      </w:r>
      <w:r w:rsidR="005956FE" w:rsidRPr="00703A0B" w:rsidDel="00D5721C">
        <w:rPr>
          <w:rFonts w:cs="Arial"/>
        </w:rPr>
        <w:t>achieve</w:t>
      </w:r>
      <w:r w:rsidR="003A2A66" w:rsidRPr="00703A0B" w:rsidDel="00D5721C">
        <w:rPr>
          <w:rFonts w:cs="Arial"/>
        </w:rPr>
        <w:t>ments includ</w:t>
      </w:r>
      <w:r w:rsidR="00911A5F" w:rsidRPr="00703A0B">
        <w:rPr>
          <w:rFonts w:cs="Arial"/>
        </w:rPr>
        <w:t>ed</w:t>
      </w:r>
      <w:r w:rsidR="0077652B" w:rsidRPr="00703A0B" w:rsidDel="00D5721C">
        <w:rPr>
          <w:rFonts w:cs="Arial"/>
        </w:rPr>
        <w:t xml:space="preserve">: </w:t>
      </w:r>
    </w:p>
    <w:p w14:paraId="7C0E0FE4" w14:textId="61A3F242" w:rsidR="008E7E8D" w:rsidRPr="00703A0B" w:rsidRDefault="001D083B" w:rsidP="00A836CF">
      <w:pPr>
        <w:pStyle w:val="ListParagraph"/>
        <w:numPr>
          <w:ilvl w:val="1"/>
          <w:numId w:val="67"/>
        </w:numPr>
        <w:spacing w:before="120" w:after="120"/>
        <w:ind w:hanging="357"/>
        <w:contextualSpacing w:val="0"/>
        <w:rPr>
          <w:rFonts w:cs="Arial"/>
          <w:szCs w:val="22"/>
        </w:rPr>
      </w:pPr>
      <w:r w:rsidRPr="00703A0B">
        <w:rPr>
          <w:rFonts w:cs="Arial"/>
          <w:szCs w:val="22"/>
        </w:rPr>
        <w:t>implementation of</w:t>
      </w:r>
      <w:r w:rsidR="0077652B" w:rsidRPr="00703A0B" w:rsidDel="00D5721C">
        <w:rPr>
          <w:rFonts w:cs="Arial"/>
          <w:szCs w:val="22"/>
        </w:rPr>
        <w:t xml:space="preserve"> risk-based decision</w:t>
      </w:r>
      <w:r w:rsidR="00BB2EFD" w:rsidRPr="00703A0B" w:rsidDel="00D5721C">
        <w:rPr>
          <w:rFonts w:cs="Arial"/>
          <w:szCs w:val="22"/>
        </w:rPr>
        <w:t>-</w:t>
      </w:r>
      <w:r w:rsidR="0077652B" w:rsidRPr="00703A0B" w:rsidDel="00D5721C">
        <w:rPr>
          <w:rFonts w:cs="Arial"/>
          <w:szCs w:val="22"/>
        </w:rPr>
        <w:t xml:space="preserve">making </w:t>
      </w:r>
      <w:r w:rsidR="00A71104" w:rsidRPr="00703A0B">
        <w:rPr>
          <w:rFonts w:cs="Arial"/>
          <w:szCs w:val="22"/>
        </w:rPr>
        <w:t>processes</w:t>
      </w:r>
      <w:r w:rsidR="00853862" w:rsidRPr="00703A0B">
        <w:rPr>
          <w:rFonts w:cs="Arial"/>
          <w:szCs w:val="22"/>
        </w:rPr>
        <w:t xml:space="preserve"> and </w:t>
      </w:r>
      <w:r w:rsidR="0077652B" w:rsidRPr="00703A0B" w:rsidDel="00D5721C">
        <w:rPr>
          <w:rFonts w:cs="Arial"/>
          <w:szCs w:val="22"/>
        </w:rPr>
        <w:t>organisation</w:t>
      </w:r>
      <w:r w:rsidR="00B05ADE" w:rsidRPr="00703A0B" w:rsidDel="00D5721C">
        <w:rPr>
          <w:rFonts w:cs="Arial"/>
          <w:szCs w:val="22"/>
        </w:rPr>
        <w:t>-wide</w:t>
      </w:r>
      <w:r w:rsidR="0077652B" w:rsidRPr="00703A0B" w:rsidDel="00D5721C">
        <w:rPr>
          <w:rFonts w:cs="Arial"/>
          <w:szCs w:val="22"/>
        </w:rPr>
        <w:t xml:space="preserve"> quality assurance </w:t>
      </w:r>
      <w:r w:rsidRPr="00703A0B">
        <w:rPr>
          <w:rFonts w:cs="Arial"/>
          <w:szCs w:val="22"/>
        </w:rPr>
        <w:t>programs</w:t>
      </w:r>
    </w:p>
    <w:p w14:paraId="5FB0BF3A" w14:textId="5F6AEE16" w:rsidR="008E7E8D" w:rsidRPr="00703A0B" w:rsidRDefault="00ED45F1" w:rsidP="00A836CF">
      <w:pPr>
        <w:pStyle w:val="ListParagraph"/>
        <w:numPr>
          <w:ilvl w:val="1"/>
          <w:numId w:val="67"/>
        </w:numPr>
        <w:spacing w:before="120" w:after="120"/>
        <w:ind w:hanging="357"/>
        <w:contextualSpacing w:val="0"/>
        <w:rPr>
          <w:rFonts w:cs="Arial"/>
          <w:szCs w:val="22"/>
        </w:rPr>
      </w:pPr>
      <w:r w:rsidRPr="00703A0B">
        <w:rPr>
          <w:rFonts w:cs="Arial"/>
          <w:szCs w:val="22"/>
        </w:rPr>
        <w:t xml:space="preserve">enhanced </w:t>
      </w:r>
      <w:r w:rsidR="003E48CD" w:rsidRPr="00703A0B">
        <w:rPr>
          <w:rFonts w:cs="Arial"/>
          <w:szCs w:val="22"/>
        </w:rPr>
        <w:t xml:space="preserve">governance </w:t>
      </w:r>
      <w:r w:rsidRPr="00703A0B">
        <w:rPr>
          <w:rFonts w:cs="Arial"/>
          <w:szCs w:val="22"/>
        </w:rPr>
        <w:t xml:space="preserve">through the </w:t>
      </w:r>
      <w:r w:rsidR="003E48CD" w:rsidRPr="00703A0B">
        <w:rPr>
          <w:rFonts w:cs="Arial"/>
          <w:szCs w:val="22"/>
        </w:rPr>
        <w:t>maintenance of</w:t>
      </w:r>
      <w:r w:rsidR="0077652B" w:rsidRPr="00703A0B" w:rsidDel="00D5721C">
        <w:rPr>
          <w:rFonts w:cs="Arial"/>
          <w:szCs w:val="22"/>
        </w:rPr>
        <w:t xml:space="preserve"> the QBCC Delegations </w:t>
      </w:r>
      <w:r w:rsidR="00A977C4" w:rsidRPr="00703A0B" w:rsidDel="00D5721C">
        <w:rPr>
          <w:rFonts w:cs="Arial"/>
          <w:szCs w:val="22"/>
        </w:rPr>
        <w:t>and Authorisation</w:t>
      </w:r>
      <w:r w:rsidR="00F41DEF" w:rsidRPr="00703A0B">
        <w:rPr>
          <w:rFonts w:cs="Arial"/>
          <w:szCs w:val="22"/>
        </w:rPr>
        <w:t>s</w:t>
      </w:r>
      <w:r w:rsidR="0077652B" w:rsidRPr="00703A0B" w:rsidDel="00D5721C">
        <w:rPr>
          <w:rFonts w:cs="Arial"/>
          <w:szCs w:val="22"/>
        </w:rPr>
        <w:t xml:space="preserve"> Manual</w:t>
      </w:r>
    </w:p>
    <w:p w14:paraId="66B99772" w14:textId="3BAD1E40" w:rsidR="008E7E8D" w:rsidRPr="00703A0B" w:rsidRDefault="006B54D0" w:rsidP="00A836CF">
      <w:pPr>
        <w:pStyle w:val="ListParagraph"/>
        <w:numPr>
          <w:ilvl w:val="1"/>
          <w:numId w:val="67"/>
        </w:numPr>
        <w:spacing w:before="120" w:after="120"/>
        <w:ind w:hanging="357"/>
        <w:contextualSpacing w:val="0"/>
        <w:rPr>
          <w:rFonts w:cs="Arial"/>
          <w:szCs w:val="22"/>
        </w:rPr>
      </w:pPr>
      <w:r w:rsidRPr="00703A0B">
        <w:rPr>
          <w:rFonts w:cs="Arial"/>
          <w:szCs w:val="22"/>
        </w:rPr>
        <w:t>development of</w:t>
      </w:r>
      <w:r w:rsidR="0006779B" w:rsidRPr="00703A0B">
        <w:rPr>
          <w:rFonts w:cs="Arial"/>
          <w:szCs w:val="22"/>
        </w:rPr>
        <w:t xml:space="preserve"> </w:t>
      </w:r>
      <w:r w:rsidR="00224975" w:rsidRPr="00703A0B">
        <w:rPr>
          <w:rFonts w:cs="Arial"/>
          <w:szCs w:val="22"/>
        </w:rPr>
        <w:t xml:space="preserve">an internal </w:t>
      </w:r>
      <w:r w:rsidR="00B570CD" w:rsidRPr="00703A0B">
        <w:rPr>
          <w:rFonts w:cs="Arial"/>
          <w:szCs w:val="22"/>
        </w:rPr>
        <w:t>l</w:t>
      </w:r>
      <w:r w:rsidR="00224975" w:rsidRPr="00703A0B">
        <w:rPr>
          <w:rFonts w:cs="Arial"/>
          <w:szCs w:val="22"/>
        </w:rPr>
        <w:t xml:space="preserve">essons </w:t>
      </w:r>
      <w:r w:rsidR="00B570CD" w:rsidRPr="00703A0B">
        <w:rPr>
          <w:rFonts w:cs="Arial"/>
          <w:szCs w:val="22"/>
        </w:rPr>
        <w:t>l</w:t>
      </w:r>
      <w:r w:rsidR="00224975" w:rsidRPr="00703A0B">
        <w:rPr>
          <w:rFonts w:cs="Arial"/>
          <w:szCs w:val="22"/>
        </w:rPr>
        <w:t xml:space="preserve">earned platform </w:t>
      </w:r>
      <w:r w:rsidR="00175108" w:rsidRPr="00703A0B">
        <w:rPr>
          <w:rFonts w:cs="Arial"/>
          <w:szCs w:val="22"/>
        </w:rPr>
        <w:t xml:space="preserve">to support </w:t>
      </w:r>
      <w:r w:rsidR="001E1ED5" w:rsidRPr="00703A0B">
        <w:rPr>
          <w:rFonts w:cs="Arial"/>
          <w:szCs w:val="22"/>
        </w:rPr>
        <w:t>continuous improvement</w:t>
      </w:r>
    </w:p>
    <w:p w14:paraId="23E9CD04" w14:textId="74E0F0E1" w:rsidR="00DF4B72" w:rsidRPr="00703A0B" w:rsidDel="00D5721C" w:rsidRDefault="007148C4" w:rsidP="004C56BC">
      <w:pPr>
        <w:pStyle w:val="ListParagraph"/>
        <w:numPr>
          <w:ilvl w:val="1"/>
          <w:numId w:val="67"/>
        </w:numPr>
        <w:spacing w:before="120" w:after="120"/>
        <w:ind w:hanging="357"/>
        <w:contextualSpacing w:val="0"/>
        <w:rPr>
          <w:rFonts w:cs="Arial"/>
        </w:rPr>
      </w:pPr>
      <w:r w:rsidRPr="00703A0B">
        <w:rPr>
          <w:rFonts w:cs="Arial"/>
        </w:rPr>
        <w:t>deliver</w:t>
      </w:r>
      <w:r w:rsidR="008B51A6" w:rsidRPr="00703A0B">
        <w:rPr>
          <w:rFonts w:cs="Arial"/>
        </w:rPr>
        <w:t>y</w:t>
      </w:r>
      <w:r w:rsidRPr="00703A0B">
        <w:rPr>
          <w:rFonts w:cs="Arial"/>
        </w:rPr>
        <w:t xml:space="preserve"> </w:t>
      </w:r>
      <w:r w:rsidR="00983B05" w:rsidRPr="00703A0B">
        <w:rPr>
          <w:rFonts w:cs="Arial"/>
        </w:rPr>
        <w:t xml:space="preserve">of </w:t>
      </w:r>
      <w:r w:rsidR="00A857A1" w:rsidRPr="00703A0B">
        <w:rPr>
          <w:rFonts w:cs="Arial"/>
        </w:rPr>
        <w:t>a series of</w:t>
      </w:r>
      <w:r w:rsidR="00597BC4" w:rsidRPr="00703A0B">
        <w:rPr>
          <w:rFonts w:cs="Arial"/>
        </w:rPr>
        <w:t xml:space="preserve"> health checks and insight and improvement reviews</w:t>
      </w:r>
      <w:r w:rsidR="008F0CA5" w:rsidRPr="00703A0B">
        <w:rPr>
          <w:rFonts w:cs="Arial"/>
        </w:rPr>
        <w:t xml:space="preserve"> that</w:t>
      </w:r>
      <w:r w:rsidR="00597BC4" w:rsidRPr="00703A0B">
        <w:rPr>
          <w:rFonts w:cs="Arial"/>
        </w:rPr>
        <w:t xml:space="preserve"> identif</w:t>
      </w:r>
      <w:r w:rsidR="008F0CA5" w:rsidRPr="00703A0B">
        <w:rPr>
          <w:rFonts w:cs="Arial"/>
        </w:rPr>
        <w:t xml:space="preserve">ied </w:t>
      </w:r>
      <w:r w:rsidR="00597BC4" w:rsidRPr="00703A0B">
        <w:rPr>
          <w:rFonts w:cs="Arial"/>
        </w:rPr>
        <w:t xml:space="preserve">systemic </w:t>
      </w:r>
      <w:r w:rsidR="008F0CA5" w:rsidRPr="00703A0B">
        <w:rPr>
          <w:rFonts w:cs="Arial"/>
        </w:rPr>
        <w:t xml:space="preserve">issues and opportunities to </w:t>
      </w:r>
      <w:r w:rsidR="00B615B0" w:rsidRPr="00703A0B">
        <w:rPr>
          <w:rFonts w:cs="Arial"/>
        </w:rPr>
        <w:t>strengthen regulatory practice and performance</w:t>
      </w:r>
      <w:r w:rsidR="1EF795DE" w:rsidRPr="00703A0B">
        <w:rPr>
          <w:rFonts w:cs="Arial"/>
        </w:rPr>
        <w:t>.</w:t>
      </w:r>
      <w:r w:rsidR="00224975" w:rsidRPr="00703A0B">
        <w:rPr>
          <w:rFonts w:cs="Arial"/>
        </w:rPr>
        <w:t xml:space="preserve"> </w:t>
      </w:r>
    </w:p>
    <w:p w14:paraId="2D6F6BC8" w14:textId="275D2C2E" w:rsidR="00F465E8" w:rsidRPr="00703A0B" w:rsidRDefault="00E659E8" w:rsidP="009C5757">
      <w:bookmarkStart w:id="202" w:name="_QBCC_Governance_Review"/>
      <w:bookmarkEnd w:id="202"/>
      <w:r w:rsidRPr="00703A0B">
        <w:t xml:space="preserve">These achievements </w:t>
      </w:r>
      <w:r w:rsidR="000A73C8" w:rsidRPr="00703A0B">
        <w:t xml:space="preserve">strengthened the QBCC’s assurance and regulatory </w:t>
      </w:r>
      <w:r w:rsidR="000F34FD" w:rsidRPr="00703A0B">
        <w:t xml:space="preserve">governance </w:t>
      </w:r>
      <w:r w:rsidR="00B67C08" w:rsidRPr="00703A0B">
        <w:t>framework</w:t>
      </w:r>
      <w:r w:rsidR="000F34FD" w:rsidRPr="00703A0B">
        <w:t xml:space="preserve"> by enhancing</w:t>
      </w:r>
      <w:r w:rsidR="00B67C08" w:rsidRPr="00703A0B">
        <w:t xml:space="preserve"> </w:t>
      </w:r>
      <w:r w:rsidR="00BF17D0" w:rsidRPr="00703A0B" w:rsidDel="00D5721C">
        <w:t>internal controls,</w:t>
      </w:r>
      <w:r w:rsidR="00BF17D0" w:rsidRPr="00703A0B">
        <w:t xml:space="preserve"> </w:t>
      </w:r>
      <w:r w:rsidR="0071654D" w:rsidRPr="00703A0B">
        <w:t xml:space="preserve">improving </w:t>
      </w:r>
      <w:r w:rsidR="00BF17D0" w:rsidRPr="00703A0B">
        <w:t>compliance</w:t>
      </w:r>
      <w:r w:rsidR="0071654D" w:rsidRPr="00703A0B">
        <w:t xml:space="preserve"> and supporting more consistent and accountable </w:t>
      </w:r>
      <w:r w:rsidR="00C83CD7" w:rsidRPr="00703A0B">
        <w:t xml:space="preserve">decision making. </w:t>
      </w:r>
      <w:r w:rsidR="00C83CD7" w:rsidRPr="00703A0B">
        <w:rPr>
          <w:szCs w:val="22"/>
        </w:rPr>
        <w:t xml:space="preserve">They also advanced the organisation’s </w:t>
      </w:r>
      <w:r w:rsidR="00223309" w:rsidRPr="00703A0B">
        <w:rPr>
          <w:szCs w:val="22"/>
        </w:rPr>
        <w:t>capability to identify, learn from and respond to emerging risks and sys</w:t>
      </w:r>
      <w:r w:rsidR="00EA7746" w:rsidRPr="00703A0B">
        <w:rPr>
          <w:szCs w:val="22"/>
        </w:rPr>
        <w:t xml:space="preserve">temic issues, providing </w:t>
      </w:r>
      <w:r w:rsidR="0083068D" w:rsidRPr="00703A0B" w:rsidDel="00D5721C">
        <w:rPr>
          <w:szCs w:val="22"/>
        </w:rPr>
        <w:t>a strong foundation for intelligence</w:t>
      </w:r>
      <w:r w:rsidR="00EA7746" w:rsidRPr="00703A0B">
        <w:rPr>
          <w:szCs w:val="22"/>
        </w:rPr>
        <w:t>-led</w:t>
      </w:r>
      <w:r w:rsidR="00365B61" w:rsidRPr="00703A0B">
        <w:rPr>
          <w:szCs w:val="22"/>
        </w:rPr>
        <w:t>,</w:t>
      </w:r>
      <w:r w:rsidR="00EA7746" w:rsidRPr="00703A0B">
        <w:rPr>
          <w:szCs w:val="22"/>
        </w:rPr>
        <w:t xml:space="preserve"> </w:t>
      </w:r>
      <w:r w:rsidR="00BE1C83" w:rsidRPr="00703A0B">
        <w:rPr>
          <w:szCs w:val="22"/>
        </w:rPr>
        <w:t>risk-based regulation and continuous improvement</w:t>
      </w:r>
      <w:r w:rsidR="00537A75" w:rsidRPr="00703A0B" w:rsidDel="00D5721C">
        <w:rPr>
          <w:szCs w:val="22"/>
        </w:rPr>
        <w:t>.</w:t>
      </w:r>
      <w:r w:rsidR="00BC3FFC" w:rsidRPr="00703A0B">
        <w:rPr>
          <w:szCs w:val="22"/>
        </w:rPr>
        <w:t xml:space="preserve"> </w:t>
      </w:r>
    </w:p>
    <w:p w14:paraId="0299D266" w14:textId="71EE3FCC" w:rsidR="00DF399A" w:rsidRPr="00703A0B" w:rsidRDefault="00F25D49" w:rsidP="00E85E2C">
      <w:pPr>
        <w:pStyle w:val="Heading3"/>
      </w:pPr>
      <w:r w:rsidRPr="00703A0B">
        <w:t>External scrutiny</w:t>
      </w:r>
      <w:r w:rsidR="00DF399A" w:rsidRPr="00703A0B">
        <w:t xml:space="preserve"> </w:t>
      </w:r>
      <w:r w:rsidR="0005107C" w:rsidRPr="00703A0B">
        <w:t xml:space="preserve">  </w:t>
      </w:r>
      <w:r w:rsidR="00DF399A" w:rsidRPr="00703A0B">
        <w:t xml:space="preserve"> </w:t>
      </w:r>
    </w:p>
    <w:p w14:paraId="592D8746" w14:textId="3E16568C" w:rsidR="00351C45" w:rsidRPr="00703A0B" w:rsidRDefault="007E17F2" w:rsidP="002C339D">
      <w:pPr>
        <w:spacing w:before="120" w:after="120"/>
        <w:rPr>
          <w:rFonts w:cs="Arial"/>
          <w:szCs w:val="22"/>
        </w:rPr>
      </w:pPr>
      <w:r w:rsidRPr="00703A0B">
        <w:rPr>
          <w:rFonts w:cs="Arial"/>
          <w:szCs w:val="22"/>
        </w:rPr>
        <w:t>During</w:t>
      </w:r>
      <w:r w:rsidR="00174F81" w:rsidRPr="00703A0B">
        <w:rPr>
          <w:rFonts w:cs="Arial"/>
          <w:szCs w:val="22"/>
        </w:rPr>
        <w:t xml:space="preserve"> t</w:t>
      </w:r>
      <w:r w:rsidR="00FA15E9" w:rsidRPr="00703A0B">
        <w:rPr>
          <w:rFonts w:cs="Arial"/>
          <w:szCs w:val="22"/>
        </w:rPr>
        <w:t xml:space="preserve">he </w:t>
      </w:r>
      <w:r w:rsidR="004E7555" w:rsidRPr="00703A0B">
        <w:rPr>
          <w:rFonts w:cs="Arial"/>
          <w:szCs w:val="22"/>
        </w:rPr>
        <w:t>2025–26</w:t>
      </w:r>
      <w:r w:rsidR="00FA15E9" w:rsidRPr="00703A0B">
        <w:rPr>
          <w:rFonts w:cs="Arial"/>
          <w:szCs w:val="22"/>
        </w:rPr>
        <w:t xml:space="preserve"> reporting period</w:t>
      </w:r>
      <w:r w:rsidR="00174F81" w:rsidRPr="00703A0B">
        <w:rPr>
          <w:rFonts w:cs="Arial"/>
          <w:szCs w:val="22"/>
        </w:rPr>
        <w:t>,</w:t>
      </w:r>
      <w:r w:rsidR="00FA15E9" w:rsidRPr="00703A0B">
        <w:rPr>
          <w:rFonts w:cs="Arial"/>
          <w:szCs w:val="22"/>
        </w:rPr>
        <w:t xml:space="preserve"> </w:t>
      </w:r>
      <w:r w:rsidR="00070F54" w:rsidRPr="00703A0B">
        <w:rPr>
          <w:rFonts w:cs="Arial"/>
          <w:szCs w:val="22"/>
        </w:rPr>
        <w:t xml:space="preserve">the </w:t>
      </w:r>
      <w:r w:rsidR="0083797C" w:rsidRPr="00703A0B">
        <w:rPr>
          <w:rFonts w:cs="Arial"/>
          <w:szCs w:val="22"/>
        </w:rPr>
        <w:t>Queensland Productivity Commission</w:t>
      </w:r>
      <w:r w:rsidR="00BE7147" w:rsidRPr="00703A0B">
        <w:rPr>
          <w:rFonts w:cs="Arial"/>
          <w:szCs w:val="22"/>
        </w:rPr>
        <w:t xml:space="preserve"> (QPC)</w:t>
      </w:r>
      <w:r w:rsidR="00987596" w:rsidRPr="00703A0B">
        <w:rPr>
          <w:rFonts w:cs="Arial"/>
          <w:szCs w:val="22"/>
        </w:rPr>
        <w:t xml:space="preserve"> conducted</w:t>
      </w:r>
      <w:r w:rsidR="0083797C" w:rsidRPr="00703A0B">
        <w:rPr>
          <w:rFonts w:cs="Arial"/>
          <w:szCs w:val="22"/>
        </w:rPr>
        <w:t xml:space="preserve"> </w:t>
      </w:r>
      <w:r w:rsidR="00190D70" w:rsidRPr="00703A0B">
        <w:rPr>
          <w:rFonts w:cs="Arial"/>
          <w:szCs w:val="22"/>
        </w:rPr>
        <w:t xml:space="preserve">an </w:t>
      </w:r>
      <w:r w:rsidR="0083797C" w:rsidRPr="00703A0B">
        <w:rPr>
          <w:rFonts w:cs="Arial"/>
          <w:szCs w:val="22"/>
        </w:rPr>
        <w:t xml:space="preserve">inquiry into opportunities to improve productivity </w:t>
      </w:r>
      <w:r w:rsidR="000A49B9" w:rsidRPr="00703A0B">
        <w:rPr>
          <w:rFonts w:cs="Arial"/>
          <w:szCs w:val="22"/>
        </w:rPr>
        <w:t>across</w:t>
      </w:r>
      <w:r w:rsidR="0083797C" w:rsidRPr="00703A0B">
        <w:rPr>
          <w:rFonts w:cs="Arial"/>
          <w:szCs w:val="22"/>
        </w:rPr>
        <w:t xml:space="preserve"> Queensland's construction industry</w:t>
      </w:r>
      <w:r w:rsidR="00BE7147" w:rsidRPr="00703A0B">
        <w:rPr>
          <w:rFonts w:cs="Arial"/>
          <w:szCs w:val="22"/>
        </w:rPr>
        <w:t>.</w:t>
      </w:r>
      <w:r w:rsidR="009214E0" w:rsidRPr="00703A0B">
        <w:rPr>
          <w:rFonts w:cs="Arial"/>
          <w:szCs w:val="22"/>
        </w:rPr>
        <w:t xml:space="preserve"> </w:t>
      </w:r>
      <w:r w:rsidR="00310001" w:rsidRPr="00703A0B">
        <w:rPr>
          <w:rFonts w:cs="Arial"/>
          <w:szCs w:val="22"/>
        </w:rPr>
        <w:t>T</w:t>
      </w:r>
      <w:r w:rsidR="00F041B8" w:rsidRPr="00703A0B">
        <w:rPr>
          <w:rFonts w:cs="Arial"/>
          <w:szCs w:val="22"/>
        </w:rPr>
        <w:t xml:space="preserve">he </w:t>
      </w:r>
      <w:r w:rsidR="006F5CA9" w:rsidRPr="00703A0B">
        <w:rPr>
          <w:rFonts w:cs="Arial"/>
          <w:szCs w:val="22"/>
        </w:rPr>
        <w:t>QBCC</w:t>
      </w:r>
      <w:r w:rsidR="00FA139F" w:rsidRPr="00703A0B">
        <w:rPr>
          <w:rFonts w:cs="Arial"/>
          <w:szCs w:val="22"/>
        </w:rPr>
        <w:t xml:space="preserve"> actively</w:t>
      </w:r>
      <w:r w:rsidR="006F5CA9" w:rsidRPr="00703A0B">
        <w:rPr>
          <w:rFonts w:cs="Arial"/>
          <w:szCs w:val="22"/>
        </w:rPr>
        <w:t xml:space="preserve"> engage</w:t>
      </w:r>
      <w:r w:rsidR="009214E0" w:rsidRPr="00703A0B">
        <w:rPr>
          <w:rFonts w:cs="Arial"/>
          <w:szCs w:val="22"/>
        </w:rPr>
        <w:t>d</w:t>
      </w:r>
      <w:r w:rsidR="006F5CA9" w:rsidRPr="00703A0B">
        <w:rPr>
          <w:rFonts w:cs="Arial"/>
          <w:szCs w:val="22"/>
        </w:rPr>
        <w:t xml:space="preserve"> with</w:t>
      </w:r>
      <w:r w:rsidR="007840D8" w:rsidRPr="00703A0B">
        <w:rPr>
          <w:rFonts w:cs="Arial"/>
          <w:szCs w:val="22"/>
        </w:rPr>
        <w:t xml:space="preserve"> the QPC throughout the </w:t>
      </w:r>
      <w:r w:rsidR="00310001" w:rsidRPr="00703A0B">
        <w:rPr>
          <w:rFonts w:cs="Arial"/>
          <w:szCs w:val="22"/>
        </w:rPr>
        <w:t>year</w:t>
      </w:r>
      <w:r w:rsidR="007840D8" w:rsidRPr="00703A0B">
        <w:rPr>
          <w:rFonts w:cs="Arial"/>
          <w:szCs w:val="22"/>
        </w:rPr>
        <w:t>, contributing regulatory expertise and insights into industry challenges and opportunities.</w:t>
      </w:r>
      <w:r w:rsidR="00FA1414" w:rsidRPr="00703A0B">
        <w:rPr>
          <w:rFonts w:cs="Arial"/>
          <w:szCs w:val="22"/>
        </w:rPr>
        <w:t xml:space="preserve"> The QPC's recommendations </w:t>
      </w:r>
      <w:r w:rsidR="00E2198D" w:rsidRPr="00703A0B">
        <w:rPr>
          <w:rFonts w:cs="Arial"/>
          <w:szCs w:val="22"/>
        </w:rPr>
        <w:t>highlighted</w:t>
      </w:r>
      <w:r w:rsidR="00FA1414" w:rsidRPr="00703A0B">
        <w:rPr>
          <w:rFonts w:cs="Arial"/>
          <w:szCs w:val="22"/>
        </w:rPr>
        <w:t xml:space="preserve"> the importance of a modern, transparent and outcome</w:t>
      </w:r>
      <w:r w:rsidR="00743754" w:rsidRPr="00703A0B">
        <w:rPr>
          <w:rFonts w:cs="Arial"/>
          <w:szCs w:val="22"/>
        </w:rPr>
        <w:t>s</w:t>
      </w:r>
      <w:r w:rsidR="00FA1414" w:rsidRPr="00703A0B">
        <w:rPr>
          <w:rFonts w:cs="Arial"/>
          <w:szCs w:val="22"/>
        </w:rPr>
        <w:t>-focused regulator</w:t>
      </w:r>
      <w:r w:rsidR="00687DB5" w:rsidRPr="00703A0B">
        <w:rPr>
          <w:rFonts w:cs="Arial"/>
          <w:szCs w:val="22"/>
        </w:rPr>
        <w:t xml:space="preserve"> </w:t>
      </w:r>
      <w:r w:rsidR="009946AD" w:rsidRPr="00703A0B">
        <w:rPr>
          <w:rFonts w:cs="Arial"/>
          <w:szCs w:val="22"/>
        </w:rPr>
        <w:t>in supporting a productive, efficient and sustainable construction industry</w:t>
      </w:r>
      <w:r w:rsidR="00A33461" w:rsidRPr="00703A0B">
        <w:rPr>
          <w:rFonts w:cs="Arial"/>
          <w:szCs w:val="22"/>
        </w:rPr>
        <w:t xml:space="preserve">. </w:t>
      </w:r>
      <w:r w:rsidR="005208FB" w:rsidRPr="00703A0B">
        <w:rPr>
          <w:rFonts w:cs="Arial"/>
          <w:szCs w:val="22"/>
        </w:rPr>
        <w:t xml:space="preserve">They </w:t>
      </w:r>
      <w:r w:rsidR="00F417CA" w:rsidRPr="00703A0B">
        <w:rPr>
          <w:rFonts w:cs="Arial"/>
          <w:szCs w:val="22"/>
        </w:rPr>
        <w:t xml:space="preserve">also </w:t>
      </w:r>
      <w:r w:rsidR="00FA1414" w:rsidRPr="00703A0B">
        <w:rPr>
          <w:rFonts w:cs="Arial"/>
          <w:szCs w:val="22"/>
        </w:rPr>
        <w:t xml:space="preserve">identified opportunities to </w:t>
      </w:r>
      <w:r w:rsidR="00A41185" w:rsidRPr="00703A0B">
        <w:rPr>
          <w:rFonts w:cs="Arial"/>
          <w:szCs w:val="22"/>
        </w:rPr>
        <w:t xml:space="preserve">further </w:t>
      </w:r>
      <w:r w:rsidR="000979CF" w:rsidRPr="00703A0B">
        <w:rPr>
          <w:rFonts w:cs="Arial"/>
          <w:szCs w:val="22"/>
        </w:rPr>
        <w:t>enhance</w:t>
      </w:r>
      <w:r w:rsidR="00FA1414" w:rsidRPr="00703A0B">
        <w:rPr>
          <w:rFonts w:cs="Arial"/>
          <w:szCs w:val="22"/>
        </w:rPr>
        <w:t xml:space="preserve"> </w:t>
      </w:r>
      <w:r w:rsidR="00D2050F" w:rsidRPr="00703A0B">
        <w:rPr>
          <w:rFonts w:cs="Arial"/>
          <w:szCs w:val="22"/>
        </w:rPr>
        <w:t xml:space="preserve">governance, </w:t>
      </w:r>
      <w:r w:rsidR="000979CF" w:rsidRPr="00703A0B">
        <w:rPr>
          <w:rFonts w:cs="Arial"/>
          <w:szCs w:val="22"/>
        </w:rPr>
        <w:t xml:space="preserve">organisational </w:t>
      </w:r>
      <w:r w:rsidR="00FA1414" w:rsidRPr="00703A0B">
        <w:rPr>
          <w:rFonts w:cs="Arial"/>
          <w:szCs w:val="22"/>
        </w:rPr>
        <w:t>performance</w:t>
      </w:r>
      <w:r w:rsidR="000979CF" w:rsidRPr="00703A0B">
        <w:rPr>
          <w:rFonts w:cs="Arial"/>
          <w:szCs w:val="22"/>
        </w:rPr>
        <w:t xml:space="preserve"> and </w:t>
      </w:r>
      <w:r w:rsidR="00FA1414" w:rsidRPr="00703A0B">
        <w:rPr>
          <w:rFonts w:cs="Arial"/>
          <w:szCs w:val="22"/>
        </w:rPr>
        <w:t>customer experience.</w:t>
      </w:r>
      <w:r w:rsidR="00BD39ED" w:rsidRPr="00703A0B">
        <w:rPr>
          <w:rFonts w:cs="Arial"/>
          <w:szCs w:val="22"/>
        </w:rPr>
        <w:t xml:space="preserve"> </w:t>
      </w:r>
      <w:r w:rsidR="00F371FC" w:rsidRPr="00703A0B">
        <w:rPr>
          <w:rFonts w:cs="Arial"/>
          <w:szCs w:val="22"/>
        </w:rPr>
        <w:t xml:space="preserve">While </w:t>
      </w:r>
      <w:r w:rsidR="000979CF" w:rsidRPr="00703A0B">
        <w:rPr>
          <w:rFonts w:cs="Arial"/>
          <w:szCs w:val="22"/>
        </w:rPr>
        <w:t xml:space="preserve">several </w:t>
      </w:r>
      <w:r w:rsidR="00F371FC" w:rsidRPr="00703A0B">
        <w:rPr>
          <w:rFonts w:cs="Arial"/>
          <w:szCs w:val="22"/>
        </w:rPr>
        <w:t xml:space="preserve">QPC recommendations are </w:t>
      </w:r>
      <w:r w:rsidR="002F64BE" w:rsidRPr="00703A0B">
        <w:rPr>
          <w:rFonts w:cs="Arial"/>
          <w:szCs w:val="22"/>
        </w:rPr>
        <w:t>being progressed</w:t>
      </w:r>
      <w:r w:rsidR="00F371FC" w:rsidRPr="00703A0B">
        <w:rPr>
          <w:rFonts w:cs="Arial"/>
          <w:szCs w:val="22"/>
        </w:rPr>
        <w:t xml:space="preserve">, </w:t>
      </w:r>
      <w:r w:rsidR="0079146E" w:rsidRPr="00703A0B">
        <w:rPr>
          <w:rFonts w:cs="Arial"/>
          <w:szCs w:val="22"/>
        </w:rPr>
        <w:t xml:space="preserve">including </w:t>
      </w:r>
      <w:r w:rsidR="009805ED" w:rsidRPr="00703A0B">
        <w:rPr>
          <w:rFonts w:cs="Arial"/>
          <w:szCs w:val="22"/>
        </w:rPr>
        <w:t>a refreshed</w:t>
      </w:r>
      <w:r w:rsidR="0079146E" w:rsidRPr="00703A0B">
        <w:rPr>
          <w:rFonts w:cs="Arial"/>
          <w:szCs w:val="22"/>
        </w:rPr>
        <w:t xml:space="preserve"> </w:t>
      </w:r>
      <w:r w:rsidR="009805ED" w:rsidRPr="00703A0B">
        <w:rPr>
          <w:rFonts w:cs="Arial"/>
          <w:szCs w:val="22"/>
        </w:rPr>
        <w:t>c</w:t>
      </w:r>
      <w:r w:rsidR="0079146E" w:rsidRPr="00703A0B">
        <w:rPr>
          <w:rFonts w:cs="Arial"/>
          <w:szCs w:val="22"/>
        </w:rPr>
        <w:t xml:space="preserve">ompliance and </w:t>
      </w:r>
      <w:r w:rsidR="009805ED" w:rsidRPr="00703A0B">
        <w:rPr>
          <w:rFonts w:cs="Arial"/>
          <w:szCs w:val="22"/>
        </w:rPr>
        <w:t>e</w:t>
      </w:r>
      <w:r w:rsidR="0079146E" w:rsidRPr="00703A0B">
        <w:rPr>
          <w:rFonts w:cs="Arial"/>
          <w:szCs w:val="22"/>
        </w:rPr>
        <w:t>nforcement strategy</w:t>
      </w:r>
      <w:r w:rsidR="00BB588B" w:rsidRPr="00703A0B">
        <w:rPr>
          <w:rFonts w:cs="Arial"/>
          <w:szCs w:val="22"/>
        </w:rPr>
        <w:t xml:space="preserve"> and</w:t>
      </w:r>
      <w:r w:rsidR="002F64BE" w:rsidRPr="00703A0B">
        <w:rPr>
          <w:rFonts w:cs="Arial"/>
          <w:szCs w:val="22"/>
        </w:rPr>
        <w:t xml:space="preserve"> new</w:t>
      </w:r>
      <w:r w:rsidR="00BB588B" w:rsidRPr="00703A0B">
        <w:rPr>
          <w:rFonts w:cs="Arial"/>
          <w:szCs w:val="22"/>
        </w:rPr>
        <w:t xml:space="preserve"> performance measures</w:t>
      </w:r>
      <w:r w:rsidR="009805ED" w:rsidRPr="00703A0B">
        <w:rPr>
          <w:rFonts w:cs="Arial"/>
          <w:szCs w:val="22"/>
        </w:rPr>
        <w:t xml:space="preserve">, </w:t>
      </w:r>
      <w:r w:rsidR="00F371FC" w:rsidRPr="00703A0B">
        <w:rPr>
          <w:rFonts w:cs="Arial"/>
          <w:szCs w:val="22"/>
        </w:rPr>
        <w:t>t</w:t>
      </w:r>
      <w:r w:rsidR="00BD39ED" w:rsidRPr="00703A0B">
        <w:rPr>
          <w:rFonts w:cs="Arial"/>
          <w:szCs w:val="22"/>
        </w:rPr>
        <w:t xml:space="preserve">he QBCC </w:t>
      </w:r>
      <w:r w:rsidR="008D585A" w:rsidRPr="00703A0B">
        <w:rPr>
          <w:rFonts w:cs="Arial"/>
          <w:szCs w:val="22"/>
        </w:rPr>
        <w:t>remains committed to</w:t>
      </w:r>
      <w:r w:rsidR="007E6F59" w:rsidRPr="00703A0B">
        <w:rPr>
          <w:rFonts w:cs="Arial"/>
          <w:szCs w:val="22"/>
        </w:rPr>
        <w:t xml:space="preserve"> </w:t>
      </w:r>
      <w:r w:rsidR="00680FFE" w:rsidRPr="00703A0B">
        <w:rPr>
          <w:rFonts w:cs="Arial"/>
          <w:szCs w:val="22"/>
        </w:rPr>
        <w:t xml:space="preserve">improving </w:t>
      </w:r>
      <w:r w:rsidR="002B5300" w:rsidRPr="00703A0B">
        <w:rPr>
          <w:rFonts w:cs="Arial"/>
          <w:szCs w:val="22"/>
        </w:rPr>
        <w:t>industry</w:t>
      </w:r>
      <w:r w:rsidR="006A47AF" w:rsidRPr="00703A0B">
        <w:rPr>
          <w:rFonts w:cs="Arial"/>
          <w:szCs w:val="22"/>
        </w:rPr>
        <w:t xml:space="preserve"> </w:t>
      </w:r>
      <w:r w:rsidR="00E46353" w:rsidRPr="00703A0B">
        <w:rPr>
          <w:rFonts w:cs="Arial"/>
          <w:szCs w:val="22"/>
        </w:rPr>
        <w:t xml:space="preserve">productivity </w:t>
      </w:r>
      <w:r w:rsidR="00213B70" w:rsidRPr="00703A0B">
        <w:rPr>
          <w:rFonts w:cs="Arial"/>
          <w:szCs w:val="22"/>
        </w:rPr>
        <w:t>through</w:t>
      </w:r>
      <w:r w:rsidR="007E6F59" w:rsidRPr="00703A0B">
        <w:rPr>
          <w:rFonts w:cs="Arial"/>
          <w:szCs w:val="22"/>
        </w:rPr>
        <w:t xml:space="preserve"> digital transformation, </w:t>
      </w:r>
      <w:r w:rsidR="0091488C" w:rsidRPr="00703A0B">
        <w:rPr>
          <w:rFonts w:cs="Arial"/>
          <w:szCs w:val="22"/>
        </w:rPr>
        <w:t>effective re</w:t>
      </w:r>
      <w:r w:rsidR="006A3557" w:rsidRPr="00703A0B">
        <w:rPr>
          <w:rFonts w:cs="Arial"/>
          <w:szCs w:val="22"/>
        </w:rPr>
        <w:t xml:space="preserve">gulation </w:t>
      </w:r>
      <w:r w:rsidR="006A47AF" w:rsidRPr="00703A0B">
        <w:rPr>
          <w:rFonts w:cs="Arial"/>
          <w:szCs w:val="22"/>
        </w:rPr>
        <w:t xml:space="preserve">and greater </w:t>
      </w:r>
      <w:r w:rsidR="00D54A48" w:rsidRPr="00703A0B">
        <w:rPr>
          <w:rFonts w:cs="Arial"/>
          <w:szCs w:val="22"/>
        </w:rPr>
        <w:t>transparency</w:t>
      </w:r>
      <w:r w:rsidR="00667C20" w:rsidRPr="00703A0B">
        <w:rPr>
          <w:rFonts w:cs="Arial"/>
          <w:szCs w:val="22"/>
        </w:rPr>
        <w:t xml:space="preserve">. </w:t>
      </w:r>
      <w:r w:rsidR="00837725" w:rsidRPr="00703A0B">
        <w:rPr>
          <w:rFonts w:cs="Arial"/>
          <w:szCs w:val="22"/>
        </w:rPr>
        <w:t xml:space="preserve">These recommendations are aligned with and reinforce </w:t>
      </w:r>
      <w:r w:rsidR="00933757" w:rsidRPr="00703A0B">
        <w:rPr>
          <w:rFonts w:cs="Arial"/>
          <w:szCs w:val="22"/>
        </w:rPr>
        <w:t xml:space="preserve">the QBCC’s refreshed strategy and </w:t>
      </w:r>
      <w:r w:rsidR="002F7101" w:rsidRPr="00703A0B">
        <w:rPr>
          <w:rFonts w:cs="Arial"/>
          <w:szCs w:val="22"/>
        </w:rPr>
        <w:t>objectives over the coming year</w:t>
      </w:r>
      <w:r w:rsidR="00D54A48" w:rsidRPr="00703A0B">
        <w:rPr>
          <w:rFonts w:cs="Arial"/>
          <w:szCs w:val="22"/>
        </w:rPr>
        <w:t>.</w:t>
      </w:r>
    </w:p>
    <w:p w14:paraId="78BEFE46" w14:textId="7B532AD2" w:rsidR="001E679F" w:rsidRPr="00703A0B" w:rsidRDefault="001E679F" w:rsidP="001E679F">
      <w:pPr>
        <w:pStyle w:val="Heading3"/>
      </w:pPr>
      <w:r w:rsidRPr="00703A0B">
        <w:t xml:space="preserve">Human rights </w:t>
      </w:r>
    </w:p>
    <w:p w14:paraId="3F91FDDC" w14:textId="2BD7A8B6" w:rsidR="00D53A51" w:rsidRPr="00703A0B" w:rsidRDefault="00065DFE" w:rsidP="00793BEC">
      <w:pPr>
        <w:spacing w:before="120" w:after="120"/>
        <w:rPr>
          <w:rFonts w:cs="Arial"/>
        </w:rPr>
      </w:pPr>
      <w:r w:rsidRPr="00703A0B">
        <w:rPr>
          <w:rFonts w:cs="Arial"/>
        </w:rPr>
        <w:t xml:space="preserve">The </w:t>
      </w:r>
      <w:r w:rsidRPr="00703A0B">
        <w:rPr>
          <w:rFonts w:cs="Arial"/>
          <w:szCs w:val="28"/>
        </w:rPr>
        <w:t xml:space="preserve">QBCC </w:t>
      </w:r>
      <w:r w:rsidR="00464D7B" w:rsidRPr="00703A0B">
        <w:rPr>
          <w:rFonts w:cs="Arial"/>
          <w:szCs w:val="28"/>
        </w:rPr>
        <w:t>remained committed</w:t>
      </w:r>
      <w:r w:rsidR="001958A0" w:rsidRPr="00703A0B">
        <w:rPr>
          <w:rFonts w:cs="Arial"/>
          <w:szCs w:val="28"/>
        </w:rPr>
        <w:t xml:space="preserve"> </w:t>
      </w:r>
      <w:r w:rsidRPr="00703A0B">
        <w:rPr>
          <w:rFonts w:cs="Arial"/>
          <w:szCs w:val="28"/>
        </w:rPr>
        <w:t xml:space="preserve">to </w:t>
      </w:r>
      <w:r w:rsidR="008A1190" w:rsidRPr="00703A0B">
        <w:rPr>
          <w:rFonts w:cs="Arial"/>
          <w:szCs w:val="28"/>
        </w:rPr>
        <w:t xml:space="preserve">respecting, protecting and promoting human rights in </w:t>
      </w:r>
      <w:r w:rsidR="005D5912" w:rsidRPr="00703A0B">
        <w:rPr>
          <w:rFonts w:cs="Arial"/>
          <w:szCs w:val="28"/>
        </w:rPr>
        <w:t>all its</w:t>
      </w:r>
      <w:r w:rsidR="008A1190" w:rsidRPr="00703A0B">
        <w:rPr>
          <w:rFonts w:cs="Arial"/>
          <w:szCs w:val="28"/>
        </w:rPr>
        <w:t xml:space="preserve"> decision</w:t>
      </w:r>
      <w:r w:rsidR="005D5912" w:rsidRPr="00703A0B">
        <w:rPr>
          <w:rFonts w:cs="Arial"/>
          <w:szCs w:val="28"/>
        </w:rPr>
        <w:t>s</w:t>
      </w:r>
      <w:r w:rsidR="006D0A88" w:rsidRPr="00703A0B">
        <w:rPr>
          <w:rFonts w:cs="Arial"/>
          <w:szCs w:val="28"/>
        </w:rPr>
        <w:t xml:space="preserve"> and actions</w:t>
      </w:r>
      <w:r w:rsidR="005F4D99" w:rsidRPr="00703A0B">
        <w:rPr>
          <w:rFonts w:cs="Arial"/>
        </w:rPr>
        <w:t xml:space="preserve">, </w:t>
      </w:r>
      <w:r w:rsidR="005D5912" w:rsidRPr="00703A0B">
        <w:rPr>
          <w:rFonts w:cs="Arial"/>
        </w:rPr>
        <w:t xml:space="preserve">in alignment with the </w:t>
      </w:r>
      <w:r w:rsidR="005D5912" w:rsidRPr="00703A0B">
        <w:rPr>
          <w:rFonts w:cs="Arial"/>
          <w:szCs w:val="28"/>
        </w:rPr>
        <w:t>priorities outline</w:t>
      </w:r>
      <w:r w:rsidR="00C22879" w:rsidRPr="00703A0B">
        <w:rPr>
          <w:rFonts w:cs="Arial"/>
          <w:szCs w:val="28"/>
        </w:rPr>
        <w:t>d</w:t>
      </w:r>
      <w:r w:rsidR="005D5912" w:rsidRPr="00703A0B">
        <w:rPr>
          <w:rFonts w:cs="Arial"/>
          <w:szCs w:val="28"/>
        </w:rPr>
        <w:t xml:space="preserve"> in </w:t>
      </w:r>
      <w:r w:rsidR="00A7573C" w:rsidRPr="00703A0B">
        <w:rPr>
          <w:rFonts w:cs="Arial"/>
          <w:szCs w:val="28"/>
        </w:rPr>
        <w:t xml:space="preserve">the </w:t>
      </w:r>
      <w:r w:rsidR="00CA5392" w:rsidRPr="00703A0B">
        <w:rPr>
          <w:rFonts w:cs="Arial"/>
          <w:szCs w:val="28"/>
        </w:rPr>
        <w:t>Strategic Plan</w:t>
      </w:r>
      <w:r w:rsidR="00101A46" w:rsidRPr="00703A0B">
        <w:rPr>
          <w:rFonts w:cs="Arial"/>
          <w:szCs w:val="28"/>
        </w:rPr>
        <w:t xml:space="preserve">. </w:t>
      </w:r>
      <w:r w:rsidR="005F4D99" w:rsidRPr="00703A0B">
        <w:rPr>
          <w:rFonts w:cs="Arial"/>
        </w:rPr>
        <w:t xml:space="preserve">To </w:t>
      </w:r>
      <w:r w:rsidR="00E1656E" w:rsidRPr="00703A0B">
        <w:rPr>
          <w:rFonts w:cs="Arial"/>
        </w:rPr>
        <w:t>uphold the</w:t>
      </w:r>
      <w:r w:rsidR="005F4D99" w:rsidRPr="00703A0B">
        <w:rPr>
          <w:rFonts w:cs="Arial"/>
        </w:rPr>
        <w:t xml:space="preserve"> objectives</w:t>
      </w:r>
      <w:r w:rsidR="00E1656E" w:rsidRPr="00703A0B">
        <w:rPr>
          <w:rFonts w:cs="Arial"/>
        </w:rPr>
        <w:t xml:space="preserve"> of</w:t>
      </w:r>
      <w:r w:rsidR="005F4D99" w:rsidRPr="00703A0B">
        <w:rPr>
          <w:rFonts w:cs="Arial"/>
        </w:rPr>
        <w:t xml:space="preserve"> </w:t>
      </w:r>
      <w:r w:rsidR="00B731A8" w:rsidRPr="00703A0B">
        <w:rPr>
          <w:rFonts w:cs="Arial"/>
        </w:rPr>
        <w:t xml:space="preserve">the </w:t>
      </w:r>
      <w:r w:rsidR="00B731A8" w:rsidRPr="00703A0B">
        <w:rPr>
          <w:rFonts w:cs="Arial"/>
          <w:i/>
        </w:rPr>
        <w:t>Human Rights Act 2019</w:t>
      </w:r>
      <w:r w:rsidR="005F4D99" w:rsidRPr="00703A0B">
        <w:rPr>
          <w:rFonts w:cs="Arial"/>
        </w:rPr>
        <w:t xml:space="preserve">, the QBCC implemented </w:t>
      </w:r>
      <w:r w:rsidR="00B818E6" w:rsidRPr="00703A0B">
        <w:rPr>
          <w:rFonts w:cs="Arial"/>
        </w:rPr>
        <w:t xml:space="preserve">robust </w:t>
      </w:r>
      <w:r w:rsidR="005F4D99" w:rsidRPr="00703A0B">
        <w:rPr>
          <w:rFonts w:cs="Arial"/>
        </w:rPr>
        <w:t xml:space="preserve">processes </w:t>
      </w:r>
      <w:r w:rsidR="00444144" w:rsidRPr="00703A0B">
        <w:rPr>
          <w:rFonts w:cs="Arial"/>
        </w:rPr>
        <w:t xml:space="preserve">in 2025–26 </w:t>
      </w:r>
      <w:r w:rsidR="003634A9" w:rsidRPr="00703A0B">
        <w:rPr>
          <w:rFonts w:cs="Arial"/>
        </w:rPr>
        <w:t>to</w:t>
      </w:r>
      <w:r w:rsidR="005F4D99" w:rsidRPr="00703A0B">
        <w:rPr>
          <w:rFonts w:cs="Arial"/>
        </w:rPr>
        <w:t xml:space="preserve"> </w:t>
      </w:r>
      <w:r w:rsidR="00466D55" w:rsidRPr="00703A0B">
        <w:rPr>
          <w:rFonts w:cs="Arial"/>
        </w:rPr>
        <w:t>embed</w:t>
      </w:r>
      <w:r w:rsidR="005F4D99" w:rsidRPr="00703A0B">
        <w:rPr>
          <w:rFonts w:cs="Arial"/>
        </w:rPr>
        <w:t xml:space="preserve"> human rights considerations into </w:t>
      </w:r>
      <w:r w:rsidR="00466D55" w:rsidRPr="00703A0B">
        <w:rPr>
          <w:rFonts w:cs="Arial"/>
        </w:rPr>
        <w:t>its operations and</w:t>
      </w:r>
      <w:r w:rsidR="003B563F" w:rsidRPr="00703A0B">
        <w:rPr>
          <w:rFonts w:cs="Arial"/>
        </w:rPr>
        <w:t xml:space="preserve"> </w:t>
      </w:r>
      <w:r w:rsidR="0045736D" w:rsidRPr="00703A0B">
        <w:rPr>
          <w:rFonts w:cs="Arial"/>
        </w:rPr>
        <w:t>decision making,</w:t>
      </w:r>
      <w:r w:rsidR="003B563F" w:rsidRPr="00703A0B">
        <w:rPr>
          <w:rFonts w:cs="Arial"/>
        </w:rPr>
        <w:t xml:space="preserve"> </w:t>
      </w:r>
      <w:r w:rsidR="0045736D" w:rsidRPr="00703A0B">
        <w:rPr>
          <w:rFonts w:cs="Arial"/>
        </w:rPr>
        <w:t xml:space="preserve">ensuring </w:t>
      </w:r>
      <w:r w:rsidR="00466D55" w:rsidRPr="00703A0B">
        <w:rPr>
          <w:rFonts w:cs="Arial"/>
        </w:rPr>
        <w:t xml:space="preserve">ongoing </w:t>
      </w:r>
      <w:r w:rsidR="003B563F" w:rsidRPr="00703A0B">
        <w:rPr>
          <w:rFonts w:cs="Arial"/>
        </w:rPr>
        <w:t>compliance</w:t>
      </w:r>
      <w:r w:rsidR="0045736D" w:rsidRPr="00703A0B">
        <w:rPr>
          <w:rFonts w:cs="Arial"/>
        </w:rPr>
        <w:t xml:space="preserve"> with legislative requirements</w:t>
      </w:r>
      <w:r w:rsidR="005F4D99" w:rsidRPr="00703A0B">
        <w:rPr>
          <w:rFonts w:cs="Arial"/>
        </w:rPr>
        <w:t>.</w:t>
      </w:r>
      <w:r w:rsidR="00394895" w:rsidRPr="00703A0B">
        <w:rPr>
          <w:rFonts w:cs="Arial"/>
        </w:rPr>
        <w:t xml:space="preserve"> </w:t>
      </w:r>
    </w:p>
    <w:p w14:paraId="670CEABB" w14:textId="0736E9EB" w:rsidR="004F24BD" w:rsidRPr="00703A0B" w:rsidRDefault="0045736D" w:rsidP="5EB664DA">
      <w:pPr>
        <w:spacing w:before="120" w:after="120"/>
        <w:rPr>
          <w:rFonts w:cs="Arial"/>
        </w:rPr>
      </w:pPr>
      <w:r w:rsidRPr="00703A0B">
        <w:rPr>
          <w:rFonts w:cs="Arial"/>
        </w:rPr>
        <w:t>During</w:t>
      </w:r>
      <w:r w:rsidR="0034005C" w:rsidRPr="00703A0B">
        <w:rPr>
          <w:rFonts w:cs="Arial"/>
        </w:rPr>
        <w:t xml:space="preserve"> 202</w:t>
      </w:r>
      <w:r w:rsidR="00E31E8B" w:rsidRPr="00703A0B">
        <w:rPr>
          <w:rFonts w:cs="Arial"/>
        </w:rPr>
        <w:t>5</w:t>
      </w:r>
      <w:r w:rsidR="00D53A51" w:rsidRPr="00703A0B">
        <w:rPr>
          <w:rFonts w:cs="Arial"/>
        </w:rPr>
        <w:t>–2</w:t>
      </w:r>
      <w:r w:rsidR="00E31E8B" w:rsidRPr="00703A0B">
        <w:rPr>
          <w:rFonts w:cs="Arial"/>
        </w:rPr>
        <w:t>6</w:t>
      </w:r>
      <w:r w:rsidR="00D53A51" w:rsidRPr="00703A0B">
        <w:rPr>
          <w:rFonts w:cs="Arial"/>
        </w:rPr>
        <w:t xml:space="preserve">, </w:t>
      </w:r>
      <w:r w:rsidR="1D8D5252" w:rsidRPr="00703A0B">
        <w:rPr>
          <w:rFonts w:cs="Arial"/>
        </w:rPr>
        <w:t xml:space="preserve">the QBCC </w:t>
      </w:r>
      <w:r w:rsidR="00B01DBA" w:rsidRPr="00703A0B">
        <w:rPr>
          <w:rFonts w:cs="Arial"/>
        </w:rPr>
        <w:t xml:space="preserve">reviewed and </w:t>
      </w:r>
      <w:r w:rsidR="1D8D5252" w:rsidRPr="00703A0B">
        <w:rPr>
          <w:rFonts w:cs="Arial"/>
        </w:rPr>
        <w:t xml:space="preserve">published the following policies </w:t>
      </w:r>
      <w:r w:rsidR="004F4308" w:rsidRPr="00703A0B">
        <w:rPr>
          <w:rFonts w:cs="Arial"/>
        </w:rPr>
        <w:t>and guidance materials</w:t>
      </w:r>
      <w:r w:rsidR="008F61F9" w:rsidRPr="00703A0B">
        <w:rPr>
          <w:rFonts w:cs="Arial"/>
        </w:rPr>
        <w:t>,</w:t>
      </w:r>
      <w:r w:rsidR="1D8D5252" w:rsidRPr="00703A0B">
        <w:rPr>
          <w:rFonts w:cs="Arial"/>
        </w:rPr>
        <w:t xml:space="preserve"> which are consistent with and support the objects of </w:t>
      </w:r>
      <w:r w:rsidR="00394895" w:rsidRPr="00703A0B">
        <w:rPr>
          <w:rFonts w:cs="Arial"/>
        </w:rPr>
        <w:t xml:space="preserve">the </w:t>
      </w:r>
      <w:r w:rsidR="00394895" w:rsidRPr="00703A0B">
        <w:rPr>
          <w:rFonts w:cs="Arial"/>
          <w:i/>
        </w:rPr>
        <w:t>Human Rights Act 2019</w:t>
      </w:r>
      <w:r w:rsidR="64191DC3" w:rsidRPr="00703A0B">
        <w:rPr>
          <w:rFonts w:cs="Arial"/>
          <w:i/>
          <w:iCs/>
        </w:rPr>
        <w:t xml:space="preserve">: </w:t>
      </w:r>
    </w:p>
    <w:p w14:paraId="7C2BE7D0" w14:textId="29C0277C" w:rsidR="004F24BD" w:rsidRPr="00703A0B" w:rsidRDefault="64191DC3" w:rsidP="00F84990">
      <w:pPr>
        <w:pStyle w:val="ListParagraph"/>
        <w:numPr>
          <w:ilvl w:val="0"/>
          <w:numId w:val="54"/>
        </w:numPr>
        <w:spacing w:before="120" w:after="120"/>
        <w:ind w:left="714" w:hanging="357"/>
        <w:contextualSpacing w:val="0"/>
        <w:rPr>
          <w:rFonts w:cs="Arial"/>
        </w:rPr>
      </w:pPr>
      <w:r w:rsidRPr="00703A0B">
        <w:rPr>
          <w:rFonts w:cs="Arial"/>
        </w:rPr>
        <w:t>Workplace Adjustment Guide</w:t>
      </w:r>
    </w:p>
    <w:p w14:paraId="1542582F" w14:textId="4BB7776B" w:rsidR="004F24BD" w:rsidRPr="00703A0B" w:rsidRDefault="50C89803" w:rsidP="00F84990">
      <w:pPr>
        <w:pStyle w:val="ListParagraph"/>
        <w:numPr>
          <w:ilvl w:val="0"/>
          <w:numId w:val="54"/>
        </w:numPr>
        <w:spacing w:before="120" w:after="120"/>
        <w:ind w:left="714" w:hanging="357"/>
        <w:contextualSpacing w:val="0"/>
        <w:rPr>
          <w:rFonts w:cs="Arial"/>
        </w:rPr>
      </w:pPr>
      <w:r w:rsidRPr="00703A0B">
        <w:rPr>
          <w:rFonts w:cs="Arial"/>
        </w:rPr>
        <w:t>Unlawful Discrimination and Preventing Workplace Bullying Policy</w:t>
      </w:r>
    </w:p>
    <w:p w14:paraId="656D3247" w14:textId="586D26A0" w:rsidR="004F24BD" w:rsidRPr="00703A0B" w:rsidRDefault="61ACC125" w:rsidP="00F84990">
      <w:pPr>
        <w:pStyle w:val="ListParagraph"/>
        <w:numPr>
          <w:ilvl w:val="0"/>
          <w:numId w:val="54"/>
        </w:numPr>
        <w:spacing w:before="120" w:after="120"/>
        <w:ind w:left="714" w:hanging="357"/>
        <w:contextualSpacing w:val="0"/>
        <w:rPr>
          <w:rFonts w:cs="Arial"/>
        </w:rPr>
      </w:pPr>
      <w:r w:rsidRPr="00703A0B">
        <w:rPr>
          <w:rFonts w:cs="Arial"/>
        </w:rPr>
        <w:t>Individual Employee Grievance Policy and Procedure</w:t>
      </w:r>
    </w:p>
    <w:p w14:paraId="3E603B0C" w14:textId="6E6FB166" w:rsidR="004F24BD" w:rsidRPr="00703A0B" w:rsidRDefault="18D46222" w:rsidP="00F84990">
      <w:pPr>
        <w:pStyle w:val="ListParagraph"/>
        <w:numPr>
          <w:ilvl w:val="0"/>
          <w:numId w:val="54"/>
        </w:numPr>
        <w:spacing w:before="120" w:after="120"/>
        <w:ind w:left="714" w:hanging="357"/>
        <w:contextualSpacing w:val="0"/>
        <w:rPr>
          <w:rFonts w:cs="Arial"/>
        </w:rPr>
      </w:pPr>
      <w:r w:rsidRPr="00703A0B">
        <w:rPr>
          <w:rFonts w:cs="Arial"/>
        </w:rPr>
        <w:lastRenderedPageBreak/>
        <w:t>Privacy Policy</w:t>
      </w:r>
    </w:p>
    <w:p w14:paraId="12672EC3" w14:textId="7A89F103" w:rsidR="00023D44" w:rsidRPr="00703A0B" w:rsidRDefault="00023D44" w:rsidP="00023D44">
      <w:pPr>
        <w:spacing w:before="120" w:after="120"/>
        <w:rPr>
          <w:rFonts w:cs="Arial"/>
        </w:rPr>
      </w:pPr>
      <w:bookmarkStart w:id="203" w:name="_Access_to_information"/>
      <w:bookmarkEnd w:id="203"/>
      <w:r w:rsidRPr="00703A0B">
        <w:rPr>
          <w:rFonts w:cs="Arial"/>
        </w:rPr>
        <w:t xml:space="preserve">During the reporting period, the QBCC received </w:t>
      </w:r>
      <w:r w:rsidR="00A049A7" w:rsidRPr="00703A0B">
        <w:rPr>
          <w:rFonts w:cs="Arial"/>
        </w:rPr>
        <w:t>three internal</w:t>
      </w:r>
      <w:r w:rsidRPr="00703A0B">
        <w:rPr>
          <w:rFonts w:cs="Arial"/>
        </w:rPr>
        <w:t xml:space="preserve"> complaints </w:t>
      </w:r>
      <w:r w:rsidR="00D15547" w:rsidRPr="00703A0B">
        <w:rPr>
          <w:rFonts w:cs="Arial"/>
        </w:rPr>
        <w:t>involving</w:t>
      </w:r>
      <w:r w:rsidRPr="00703A0B">
        <w:rPr>
          <w:rFonts w:cs="Arial"/>
        </w:rPr>
        <w:t xml:space="preserve"> human rights</w:t>
      </w:r>
      <w:r w:rsidR="006A51BB" w:rsidRPr="00703A0B">
        <w:rPr>
          <w:rFonts w:cs="Arial"/>
        </w:rPr>
        <w:t xml:space="preserve"> </w:t>
      </w:r>
      <w:r w:rsidR="00D15547" w:rsidRPr="00703A0B">
        <w:rPr>
          <w:rFonts w:cs="Arial"/>
        </w:rPr>
        <w:t>considerations</w:t>
      </w:r>
      <w:r w:rsidRPr="00703A0B">
        <w:rPr>
          <w:rFonts w:cs="Arial"/>
        </w:rPr>
        <w:t xml:space="preserve">. </w:t>
      </w:r>
      <w:r w:rsidR="00655249" w:rsidRPr="00703A0B">
        <w:rPr>
          <w:rFonts w:cs="Arial"/>
        </w:rPr>
        <w:t xml:space="preserve">One complaint was </w:t>
      </w:r>
      <w:r w:rsidRPr="00703A0B">
        <w:rPr>
          <w:rFonts w:cs="Arial"/>
        </w:rPr>
        <w:t xml:space="preserve">resolved </w:t>
      </w:r>
      <w:r w:rsidR="00655249" w:rsidRPr="00703A0B">
        <w:rPr>
          <w:rFonts w:cs="Arial"/>
        </w:rPr>
        <w:t>through</w:t>
      </w:r>
      <w:r w:rsidRPr="00703A0B">
        <w:rPr>
          <w:rFonts w:cs="Arial"/>
        </w:rPr>
        <w:t xml:space="preserve"> the </w:t>
      </w:r>
      <w:r w:rsidR="00655249" w:rsidRPr="00703A0B">
        <w:rPr>
          <w:rFonts w:cs="Arial"/>
        </w:rPr>
        <w:t>I</w:t>
      </w:r>
      <w:r w:rsidRPr="00703A0B">
        <w:rPr>
          <w:rFonts w:cs="Arial"/>
        </w:rPr>
        <w:t xml:space="preserve">ndividual </w:t>
      </w:r>
      <w:r w:rsidR="00655249" w:rsidRPr="00703A0B">
        <w:rPr>
          <w:rFonts w:cs="Arial"/>
        </w:rPr>
        <w:t>E</w:t>
      </w:r>
      <w:r w:rsidRPr="00703A0B">
        <w:rPr>
          <w:rFonts w:cs="Arial"/>
        </w:rPr>
        <w:t xml:space="preserve">mployee </w:t>
      </w:r>
      <w:r w:rsidR="00655249" w:rsidRPr="00703A0B">
        <w:rPr>
          <w:rFonts w:cs="Arial"/>
        </w:rPr>
        <w:t>G</w:t>
      </w:r>
      <w:r w:rsidRPr="00703A0B">
        <w:rPr>
          <w:rFonts w:cs="Arial"/>
        </w:rPr>
        <w:t xml:space="preserve">rievance </w:t>
      </w:r>
      <w:proofErr w:type="gramStart"/>
      <w:r w:rsidRPr="00703A0B">
        <w:rPr>
          <w:rFonts w:cs="Arial"/>
        </w:rPr>
        <w:t>process,</w:t>
      </w:r>
      <w:proofErr w:type="gramEnd"/>
      <w:r w:rsidRPr="00703A0B">
        <w:rPr>
          <w:rFonts w:cs="Arial"/>
        </w:rPr>
        <w:t xml:space="preserve"> one was assessed by Ethics Standards and Complaints as not requiring further action and </w:t>
      </w:r>
      <w:r w:rsidR="00F83973" w:rsidRPr="00703A0B">
        <w:rPr>
          <w:rFonts w:cs="Arial"/>
        </w:rPr>
        <w:t>one</w:t>
      </w:r>
      <w:r w:rsidRPr="00703A0B">
        <w:rPr>
          <w:rFonts w:cs="Arial"/>
        </w:rPr>
        <w:t xml:space="preserve"> remained under assessment at the </w:t>
      </w:r>
      <w:r w:rsidR="00F83973" w:rsidRPr="00703A0B">
        <w:rPr>
          <w:rFonts w:cs="Arial"/>
        </w:rPr>
        <w:t xml:space="preserve">end of the </w:t>
      </w:r>
      <w:r w:rsidRPr="00703A0B">
        <w:rPr>
          <w:rFonts w:cs="Arial"/>
        </w:rPr>
        <w:t>reporting</w:t>
      </w:r>
      <w:r w:rsidR="00F83973" w:rsidRPr="00703A0B">
        <w:rPr>
          <w:rFonts w:cs="Arial"/>
        </w:rPr>
        <w:t xml:space="preserve"> period</w:t>
      </w:r>
      <w:r w:rsidRPr="00703A0B">
        <w:rPr>
          <w:rFonts w:cs="Arial"/>
        </w:rPr>
        <w:t>.</w:t>
      </w:r>
    </w:p>
    <w:p w14:paraId="25A0DEE2" w14:textId="51CD9764" w:rsidR="00370874" w:rsidRPr="00703A0B" w:rsidRDefault="00B37271" w:rsidP="00A037BB">
      <w:pPr>
        <w:spacing w:before="120" w:after="120"/>
        <w:rPr>
          <w:rFonts w:cs="Arial"/>
        </w:rPr>
      </w:pPr>
      <w:r w:rsidRPr="00703A0B">
        <w:rPr>
          <w:rFonts w:cs="Arial"/>
        </w:rPr>
        <w:t>At the time of reporting</w:t>
      </w:r>
      <w:r w:rsidR="00F02E57" w:rsidRPr="00703A0B">
        <w:rPr>
          <w:rFonts w:cs="Arial"/>
        </w:rPr>
        <w:t>,</w:t>
      </w:r>
      <w:r w:rsidRPr="00703A0B">
        <w:rPr>
          <w:rFonts w:cs="Arial"/>
        </w:rPr>
        <w:t xml:space="preserve"> one </w:t>
      </w:r>
      <w:r w:rsidR="005344D8" w:rsidRPr="00703A0B">
        <w:rPr>
          <w:rFonts w:cs="Arial"/>
        </w:rPr>
        <w:t xml:space="preserve">external </w:t>
      </w:r>
      <w:r w:rsidRPr="00703A0B">
        <w:rPr>
          <w:rFonts w:cs="Arial"/>
        </w:rPr>
        <w:t xml:space="preserve">complaint </w:t>
      </w:r>
      <w:r w:rsidR="00F83973" w:rsidRPr="00703A0B">
        <w:rPr>
          <w:rFonts w:cs="Arial"/>
        </w:rPr>
        <w:t>involving</w:t>
      </w:r>
      <w:r w:rsidRPr="00703A0B">
        <w:rPr>
          <w:rFonts w:cs="Arial"/>
        </w:rPr>
        <w:t xml:space="preserve"> the QBCC </w:t>
      </w:r>
      <w:r w:rsidR="00760297" w:rsidRPr="00703A0B">
        <w:rPr>
          <w:rFonts w:cs="Arial"/>
        </w:rPr>
        <w:t xml:space="preserve">had </w:t>
      </w:r>
      <w:r w:rsidR="007E4F48" w:rsidRPr="00703A0B">
        <w:rPr>
          <w:rFonts w:cs="Arial"/>
        </w:rPr>
        <w:t xml:space="preserve">proceeded </w:t>
      </w:r>
      <w:r w:rsidR="00943A0F" w:rsidRPr="00703A0B">
        <w:rPr>
          <w:rFonts w:cs="Arial"/>
        </w:rPr>
        <w:t xml:space="preserve">to </w:t>
      </w:r>
      <w:r w:rsidR="0021093C" w:rsidRPr="00703A0B">
        <w:rPr>
          <w:rFonts w:cs="Arial"/>
        </w:rPr>
        <w:t xml:space="preserve">conciliation </w:t>
      </w:r>
      <w:r w:rsidR="00943A0F" w:rsidRPr="00703A0B">
        <w:rPr>
          <w:rFonts w:cs="Arial"/>
        </w:rPr>
        <w:t xml:space="preserve">through </w:t>
      </w:r>
      <w:r w:rsidR="0021093C" w:rsidRPr="00703A0B">
        <w:rPr>
          <w:rFonts w:cs="Arial"/>
        </w:rPr>
        <w:t xml:space="preserve">the </w:t>
      </w:r>
      <w:r w:rsidRPr="00703A0B">
        <w:rPr>
          <w:rFonts w:cs="Arial"/>
        </w:rPr>
        <w:t>Queensland Human Rights Commission</w:t>
      </w:r>
      <w:r w:rsidR="00851BC1" w:rsidRPr="00703A0B">
        <w:rPr>
          <w:rFonts w:cs="Arial"/>
        </w:rPr>
        <w:t xml:space="preserve"> and remain</w:t>
      </w:r>
      <w:r w:rsidR="00943A0F" w:rsidRPr="00703A0B">
        <w:rPr>
          <w:rFonts w:cs="Arial"/>
        </w:rPr>
        <w:t>ed under consi</w:t>
      </w:r>
      <w:r w:rsidR="00154B93" w:rsidRPr="00703A0B">
        <w:rPr>
          <w:rFonts w:cs="Arial"/>
        </w:rPr>
        <w:t>deration</w:t>
      </w:r>
      <w:r w:rsidRPr="00703A0B">
        <w:rPr>
          <w:rFonts w:cs="Arial"/>
        </w:rPr>
        <w:t>.</w:t>
      </w:r>
    </w:p>
    <w:p w14:paraId="0D9026E4" w14:textId="206BD916" w:rsidR="001E45A6" w:rsidRPr="00703A0B" w:rsidRDefault="001E45A6" w:rsidP="007F3496">
      <w:pPr>
        <w:pStyle w:val="Heading3"/>
      </w:pPr>
      <w:r w:rsidRPr="00703A0B">
        <w:t>Information systems and record</w:t>
      </w:r>
      <w:r w:rsidR="00AC73C2" w:rsidRPr="00703A0B">
        <w:t>s manageme</w:t>
      </w:r>
      <w:r w:rsidRPr="00703A0B">
        <w:t>n</w:t>
      </w:r>
      <w:r w:rsidR="00AC73C2" w:rsidRPr="00703A0B">
        <w:t>t</w:t>
      </w:r>
    </w:p>
    <w:p w14:paraId="546E4493" w14:textId="7B25297B" w:rsidR="00172999" w:rsidRPr="00703A0B" w:rsidRDefault="00172999" w:rsidP="00F84990">
      <w:pPr>
        <w:spacing w:before="120" w:after="120"/>
        <w:rPr>
          <w:rFonts w:cs="Arial"/>
        </w:rPr>
      </w:pPr>
      <w:r w:rsidRPr="00703A0B">
        <w:rPr>
          <w:rFonts w:cs="Arial"/>
        </w:rPr>
        <w:t>The QBCC maintains information systems that support the effective delivery of its regulatory and corporate functions. Information and records are managed to support accountability, informed decision</w:t>
      </w:r>
      <w:r w:rsidR="002C15CF" w:rsidRPr="00703A0B">
        <w:rPr>
          <w:rFonts w:cs="Arial"/>
        </w:rPr>
        <w:t xml:space="preserve"> </w:t>
      </w:r>
      <w:r w:rsidRPr="00703A0B">
        <w:rPr>
          <w:rFonts w:cs="Arial"/>
        </w:rPr>
        <w:t>making and efficient business operations.</w:t>
      </w:r>
    </w:p>
    <w:p w14:paraId="55ED6A93" w14:textId="5BB55412" w:rsidR="002E5176" w:rsidRPr="00703A0B" w:rsidRDefault="00955BE8" w:rsidP="00491631">
      <w:pPr>
        <w:spacing w:before="120" w:after="120"/>
        <w:rPr>
          <w:rFonts w:cs="Arial"/>
        </w:rPr>
      </w:pPr>
      <w:r w:rsidRPr="00703A0B">
        <w:rPr>
          <w:rFonts w:cs="Arial"/>
        </w:rPr>
        <w:t>During 2025–26, t</w:t>
      </w:r>
      <w:r w:rsidR="001B2F70" w:rsidRPr="00703A0B">
        <w:rPr>
          <w:rFonts w:cs="Arial"/>
        </w:rPr>
        <w:t xml:space="preserve">he QBCC </w:t>
      </w:r>
      <w:r w:rsidR="002E5176" w:rsidRPr="00703A0B">
        <w:rPr>
          <w:rFonts w:cs="Arial"/>
        </w:rPr>
        <w:t xml:space="preserve">continued to enhance its information and records management capability, including strengthening governance arrangements and supporting the effective management of digital and physical records. In accordance with the </w:t>
      </w:r>
      <w:r w:rsidR="002E5176" w:rsidRPr="00703A0B">
        <w:rPr>
          <w:rFonts w:cs="Arial"/>
          <w:i/>
          <w:iCs/>
        </w:rPr>
        <w:t>Public Records Act 2023</w:t>
      </w:r>
      <w:r w:rsidR="002E5176" w:rsidRPr="00703A0B">
        <w:rPr>
          <w:rFonts w:cs="Arial"/>
        </w:rPr>
        <w:t>, Queensland State Archives requirements</w:t>
      </w:r>
      <w:r w:rsidR="00C81AF6" w:rsidRPr="00703A0B">
        <w:rPr>
          <w:rFonts w:cs="Arial"/>
        </w:rPr>
        <w:t xml:space="preserve"> </w:t>
      </w:r>
      <w:r w:rsidR="002E5176" w:rsidRPr="00703A0B">
        <w:rPr>
          <w:rFonts w:cs="Arial"/>
        </w:rPr>
        <w:t>and the QBCC's Information Management Policy, public records are created, managed, retained and disposed of appropriately throughout their lifecycle. Clear records management roles and responsibilities are established through the QBCC's Information Management Policy and Records Management Procedure, supporting compliant and consistent records management practices across the organisation.</w:t>
      </w:r>
    </w:p>
    <w:p w14:paraId="3F5E919F" w14:textId="42B80655" w:rsidR="00FE2867" w:rsidRPr="00703A0B" w:rsidRDefault="002A14AF" w:rsidP="00F84990">
      <w:pPr>
        <w:spacing w:before="120" w:after="120"/>
        <w:rPr>
          <w:rFonts w:cs="Arial"/>
        </w:rPr>
      </w:pPr>
      <w:r w:rsidRPr="00703A0B">
        <w:rPr>
          <w:rFonts w:cs="Arial"/>
        </w:rPr>
        <w:t>In addition, t</w:t>
      </w:r>
      <w:r w:rsidR="001B2F70" w:rsidRPr="00703A0B">
        <w:rPr>
          <w:rFonts w:cs="Arial"/>
        </w:rPr>
        <w:t>he QBCC completed its annual record</w:t>
      </w:r>
      <w:r w:rsidR="0000467E" w:rsidRPr="00703A0B">
        <w:rPr>
          <w:rFonts w:cs="Arial"/>
        </w:rPr>
        <w:t>s management</w:t>
      </w:r>
      <w:r w:rsidR="001B2F70" w:rsidRPr="00703A0B">
        <w:rPr>
          <w:rFonts w:cs="Arial"/>
        </w:rPr>
        <w:t xml:space="preserve"> maturity assessment</w:t>
      </w:r>
      <w:r w:rsidR="000A5BAD" w:rsidRPr="00703A0B">
        <w:rPr>
          <w:rFonts w:cs="Arial"/>
        </w:rPr>
        <w:t xml:space="preserve"> </w:t>
      </w:r>
      <w:r w:rsidR="00882835" w:rsidRPr="00703A0B">
        <w:rPr>
          <w:rFonts w:cs="Arial"/>
        </w:rPr>
        <w:t>during the reporting period</w:t>
      </w:r>
      <w:r w:rsidR="001B2F70" w:rsidRPr="00703A0B">
        <w:rPr>
          <w:rFonts w:cs="Arial"/>
        </w:rPr>
        <w:t xml:space="preserve">, </w:t>
      </w:r>
      <w:r w:rsidR="00B66964" w:rsidRPr="00703A0B">
        <w:rPr>
          <w:rFonts w:cs="Arial"/>
        </w:rPr>
        <w:t>reinforcing its</w:t>
      </w:r>
      <w:r w:rsidR="001B2F70" w:rsidRPr="00703A0B">
        <w:rPr>
          <w:rFonts w:cs="Arial"/>
        </w:rPr>
        <w:t xml:space="preserve"> commitment to continuous improvement and alignment with Queensland State Archives’ recommendations. </w:t>
      </w:r>
      <w:r w:rsidR="0026711C" w:rsidRPr="00703A0B">
        <w:rPr>
          <w:rFonts w:cs="Arial"/>
        </w:rPr>
        <w:t>Mandatory</w:t>
      </w:r>
      <w:r w:rsidR="001B2F70" w:rsidRPr="00703A0B">
        <w:rPr>
          <w:rFonts w:cs="Arial"/>
        </w:rPr>
        <w:t xml:space="preserve"> records management training </w:t>
      </w:r>
      <w:r w:rsidR="0026711C" w:rsidRPr="00703A0B">
        <w:rPr>
          <w:rFonts w:cs="Arial"/>
        </w:rPr>
        <w:t xml:space="preserve">was provided </w:t>
      </w:r>
      <w:r w:rsidR="001B2F70" w:rsidRPr="00703A0B">
        <w:rPr>
          <w:rFonts w:cs="Arial"/>
        </w:rPr>
        <w:t xml:space="preserve">to all new employees as part of </w:t>
      </w:r>
      <w:r w:rsidR="0026711C" w:rsidRPr="00703A0B">
        <w:rPr>
          <w:rFonts w:cs="Arial"/>
        </w:rPr>
        <w:t xml:space="preserve">the </w:t>
      </w:r>
      <w:r w:rsidR="001B2F70" w:rsidRPr="00703A0B">
        <w:rPr>
          <w:rFonts w:cs="Arial"/>
        </w:rPr>
        <w:t>induction</w:t>
      </w:r>
      <w:r w:rsidR="0026711C" w:rsidRPr="00703A0B">
        <w:rPr>
          <w:rFonts w:cs="Arial"/>
        </w:rPr>
        <w:t xml:space="preserve"> program, with</w:t>
      </w:r>
      <w:r w:rsidR="001B2F70" w:rsidRPr="00703A0B">
        <w:rPr>
          <w:rFonts w:cs="Arial"/>
        </w:rPr>
        <w:t xml:space="preserve"> refresher training </w:t>
      </w:r>
      <w:r w:rsidR="0026711C" w:rsidRPr="00703A0B">
        <w:rPr>
          <w:rFonts w:cs="Arial"/>
        </w:rPr>
        <w:t>available to support ongoing compliance. Targeted guidance was also provided where required</w:t>
      </w:r>
      <w:r w:rsidR="00F84990" w:rsidRPr="00703A0B">
        <w:rPr>
          <w:rFonts w:cs="Arial"/>
        </w:rPr>
        <w:t>,</w:t>
      </w:r>
      <w:r w:rsidR="0026711C" w:rsidRPr="00703A0B">
        <w:rPr>
          <w:rFonts w:cs="Arial"/>
        </w:rPr>
        <w:t xml:space="preserve"> to promote consistent and compliant records management practices across the organisation.</w:t>
      </w:r>
      <w:r w:rsidR="000C2005" w:rsidRPr="00703A0B">
        <w:rPr>
          <w:rFonts w:cs="Arial"/>
        </w:rPr>
        <w:t xml:space="preserve"> </w:t>
      </w:r>
    </w:p>
    <w:p w14:paraId="56945D65" w14:textId="28D7CC4A" w:rsidR="001E45A6" w:rsidRPr="00703A0B" w:rsidRDefault="002A14AF" w:rsidP="00F84990">
      <w:pPr>
        <w:spacing w:before="120" w:after="120"/>
      </w:pPr>
      <w:r w:rsidRPr="00703A0B">
        <w:rPr>
          <w:rFonts w:cs="Arial"/>
        </w:rPr>
        <w:t xml:space="preserve">The Records in Place project </w:t>
      </w:r>
      <w:r w:rsidR="002748BA" w:rsidRPr="00703A0B">
        <w:rPr>
          <w:rFonts w:cs="Arial"/>
        </w:rPr>
        <w:t xml:space="preserve">continues to </w:t>
      </w:r>
      <w:r w:rsidRPr="00703A0B">
        <w:rPr>
          <w:rFonts w:cs="Arial"/>
        </w:rPr>
        <w:t>modernis</w:t>
      </w:r>
      <w:r w:rsidR="002748BA" w:rsidRPr="00703A0B">
        <w:rPr>
          <w:rFonts w:cs="Arial"/>
        </w:rPr>
        <w:t xml:space="preserve">e </w:t>
      </w:r>
      <w:r w:rsidRPr="00703A0B">
        <w:rPr>
          <w:rFonts w:cs="Arial"/>
        </w:rPr>
        <w:t xml:space="preserve">the QBCC’s records management practices by </w:t>
      </w:r>
      <w:r w:rsidR="00CB035C" w:rsidRPr="00703A0B">
        <w:rPr>
          <w:rFonts w:cs="Arial"/>
        </w:rPr>
        <w:t xml:space="preserve">supporting the </w:t>
      </w:r>
      <w:r w:rsidRPr="00703A0B">
        <w:rPr>
          <w:rFonts w:cs="Arial"/>
        </w:rPr>
        <w:t>transition</w:t>
      </w:r>
      <w:r w:rsidR="00CB035C" w:rsidRPr="00703A0B">
        <w:rPr>
          <w:rFonts w:cs="Arial"/>
        </w:rPr>
        <w:t xml:space="preserve"> to </w:t>
      </w:r>
      <w:r w:rsidRPr="00703A0B">
        <w:rPr>
          <w:rFonts w:cs="Arial"/>
        </w:rPr>
        <w:t xml:space="preserve">a digital-first approach. During the reporting period, a new records management system was established to </w:t>
      </w:r>
      <w:r w:rsidR="00740C3F" w:rsidRPr="00703A0B">
        <w:rPr>
          <w:rFonts w:cs="Arial"/>
        </w:rPr>
        <w:t>facilitate</w:t>
      </w:r>
      <w:r w:rsidRPr="00703A0B">
        <w:rPr>
          <w:rFonts w:cs="Arial"/>
        </w:rPr>
        <w:t xml:space="preserve"> migration </w:t>
      </w:r>
      <w:r w:rsidR="00740C3F" w:rsidRPr="00703A0B">
        <w:rPr>
          <w:rFonts w:cs="Arial"/>
        </w:rPr>
        <w:t xml:space="preserve">from </w:t>
      </w:r>
      <w:r w:rsidRPr="00703A0B">
        <w:rPr>
          <w:rFonts w:cs="Arial"/>
        </w:rPr>
        <w:t xml:space="preserve">the legacy </w:t>
      </w:r>
      <w:r w:rsidR="009C3D76" w:rsidRPr="00703A0B">
        <w:rPr>
          <w:rFonts w:cs="Arial"/>
        </w:rPr>
        <w:t xml:space="preserve">system </w:t>
      </w:r>
      <w:r w:rsidR="003F3568" w:rsidRPr="00703A0B">
        <w:rPr>
          <w:rFonts w:cs="Arial"/>
        </w:rPr>
        <w:t xml:space="preserve">and </w:t>
      </w:r>
      <w:r w:rsidRPr="00703A0B">
        <w:rPr>
          <w:rFonts w:cs="Arial"/>
        </w:rPr>
        <w:t>provid</w:t>
      </w:r>
      <w:r w:rsidR="003F3568" w:rsidRPr="00703A0B">
        <w:rPr>
          <w:rFonts w:cs="Arial"/>
        </w:rPr>
        <w:t xml:space="preserve">e </w:t>
      </w:r>
      <w:r w:rsidRPr="00703A0B">
        <w:rPr>
          <w:rFonts w:cs="Arial"/>
        </w:rPr>
        <w:t>a modern platform</w:t>
      </w:r>
      <w:r w:rsidR="003F3568" w:rsidRPr="00703A0B">
        <w:rPr>
          <w:rFonts w:cs="Arial"/>
        </w:rPr>
        <w:t xml:space="preserve"> i</w:t>
      </w:r>
      <w:r w:rsidRPr="00703A0B">
        <w:rPr>
          <w:rFonts w:cs="Arial"/>
        </w:rPr>
        <w:t>ntegrate</w:t>
      </w:r>
      <w:r w:rsidR="003F3568" w:rsidRPr="00703A0B">
        <w:rPr>
          <w:rFonts w:cs="Arial"/>
        </w:rPr>
        <w:t>d</w:t>
      </w:r>
      <w:r w:rsidRPr="00703A0B">
        <w:rPr>
          <w:rFonts w:cs="Arial"/>
        </w:rPr>
        <w:t xml:space="preserve"> with existing business systems. The project is improving access to information while strengthening governance, retention and compliance controls. It also </w:t>
      </w:r>
      <w:r w:rsidR="003F3568" w:rsidRPr="00703A0B">
        <w:rPr>
          <w:rFonts w:cs="Arial"/>
        </w:rPr>
        <w:t>establishes a</w:t>
      </w:r>
      <w:r w:rsidRPr="00703A0B">
        <w:rPr>
          <w:rFonts w:cs="Arial"/>
        </w:rPr>
        <w:t xml:space="preserve"> foundation for more efficient, sustainable and user-centred records management practices across the organisation.</w:t>
      </w:r>
    </w:p>
    <w:p w14:paraId="7A6D481D" w14:textId="77777777" w:rsidR="00251998" w:rsidRPr="00703A0B" w:rsidRDefault="00165C7E" w:rsidP="00165C7E">
      <w:pPr>
        <w:pStyle w:val="Heading3"/>
      </w:pPr>
      <w:r w:rsidRPr="00703A0B">
        <w:t>Open data</w:t>
      </w:r>
    </w:p>
    <w:p w14:paraId="0038C3F3" w14:textId="27509C9D" w:rsidR="00656102" w:rsidRPr="00703A0B" w:rsidRDefault="00251998" w:rsidP="00C931AE">
      <w:pPr>
        <w:spacing w:before="120" w:after="120"/>
      </w:pPr>
      <w:r w:rsidRPr="00703A0B">
        <w:t xml:space="preserve">The </w:t>
      </w:r>
      <w:r w:rsidR="00782599" w:rsidRPr="00703A0B">
        <w:t xml:space="preserve">QBCC is required to </w:t>
      </w:r>
      <w:r w:rsidR="00BC2F8E" w:rsidRPr="00703A0B">
        <w:t xml:space="preserve">meet </w:t>
      </w:r>
      <w:proofErr w:type="gramStart"/>
      <w:r w:rsidR="000367C7" w:rsidRPr="00703A0B">
        <w:t>a number of</w:t>
      </w:r>
      <w:proofErr w:type="gramEnd"/>
      <w:r w:rsidR="000367C7" w:rsidRPr="00703A0B">
        <w:t xml:space="preserve"> annual report</w:t>
      </w:r>
      <w:r w:rsidR="00507137" w:rsidRPr="00703A0B">
        <w:t>ing</w:t>
      </w:r>
      <w:r w:rsidR="000367C7" w:rsidRPr="00703A0B">
        <w:t xml:space="preserve"> </w:t>
      </w:r>
      <w:r w:rsidR="00507137" w:rsidRPr="00703A0B">
        <w:t>obligations</w:t>
      </w:r>
      <w:r w:rsidR="0038668D" w:rsidRPr="00703A0B">
        <w:t xml:space="preserve"> by</w:t>
      </w:r>
      <w:r w:rsidR="00A539DA" w:rsidRPr="00703A0B">
        <w:t xml:space="preserve"> publi</w:t>
      </w:r>
      <w:r w:rsidR="00507137" w:rsidRPr="00703A0B">
        <w:t>shing</w:t>
      </w:r>
      <w:r w:rsidR="00A539DA" w:rsidRPr="00703A0B">
        <w:t xml:space="preserve"> </w:t>
      </w:r>
      <w:r w:rsidR="0038668D" w:rsidRPr="00703A0B">
        <w:t>d</w:t>
      </w:r>
      <w:r w:rsidR="00A539DA" w:rsidRPr="00703A0B">
        <w:t>ata through the Queensland Government Open Data Portal</w:t>
      </w:r>
      <w:r w:rsidR="001D164D" w:rsidRPr="00703A0B">
        <w:t xml:space="preserve"> at </w:t>
      </w:r>
      <w:r w:rsidR="004C6333" w:rsidRPr="00703A0B">
        <w:t>www.data.qld.gov.au</w:t>
      </w:r>
      <w:r w:rsidR="001D164D" w:rsidRPr="00703A0B">
        <w:t>.</w:t>
      </w:r>
      <w:r w:rsidR="004C6333" w:rsidRPr="00703A0B">
        <w:t xml:space="preserve"> The </w:t>
      </w:r>
      <w:r w:rsidR="00A9795B" w:rsidRPr="00703A0B">
        <w:t xml:space="preserve">reported </w:t>
      </w:r>
      <w:r w:rsidR="004C6333" w:rsidRPr="00703A0B">
        <w:t>information</w:t>
      </w:r>
      <w:r w:rsidR="00A9795B" w:rsidRPr="00703A0B">
        <w:t xml:space="preserve"> </w:t>
      </w:r>
      <w:r w:rsidR="00656102" w:rsidRPr="00703A0B">
        <w:t>include</w:t>
      </w:r>
      <w:r w:rsidR="00EF5ED6" w:rsidRPr="00703A0B">
        <w:t>d</w:t>
      </w:r>
      <w:r w:rsidR="00656102" w:rsidRPr="00703A0B">
        <w:t>:</w:t>
      </w:r>
    </w:p>
    <w:p w14:paraId="5CF7EB1D" w14:textId="77777777" w:rsidR="0067034B" w:rsidRPr="00703A0B" w:rsidRDefault="0067034B" w:rsidP="00A836CF">
      <w:pPr>
        <w:pStyle w:val="ListParagraph"/>
        <w:numPr>
          <w:ilvl w:val="0"/>
          <w:numId w:val="52"/>
        </w:numPr>
        <w:spacing w:before="120" w:after="120"/>
        <w:contextualSpacing w:val="0"/>
      </w:pPr>
      <w:r w:rsidRPr="00703A0B">
        <w:t>consultancies</w:t>
      </w:r>
    </w:p>
    <w:p w14:paraId="281D6803" w14:textId="77777777" w:rsidR="0067034B" w:rsidRPr="00703A0B" w:rsidRDefault="0067034B" w:rsidP="00A836CF">
      <w:pPr>
        <w:pStyle w:val="ListParagraph"/>
        <w:numPr>
          <w:ilvl w:val="0"/>
          <w:numId w:val="52"/>
        </w:numPr>
        <w:spacing w:before="120" w:after="120"/>
        <w:contextualSpacing w:val="0"/>
      </w:pPr>
      <w:r w:rsidRPr="00703A0B">
        <w:t>overseas travel</w:t>
      </w:r>
    </w:p>
    <w:p w14:paraId="584F1836" w14:textId="77777777" w:rsidR="0067034B" w:rsidRPr="00703A0B" w:rsidRDefault="0067034B" w:rsidP="00A836CF">
      <w:pPr>
        <w:pStyle w:val="ListParagraph"/>
        <w:numPr>
          <w:ilvl w:val="0"/>
          <w:numId w:val="52"/>
        </w:numPr>
        <w:spacing w:before="120" w:after="120"/>
        <w:contextualSpacing w:val="0"/>
      </w:pPr>
      <w:r w:rsidRPr="00703A0B">
        <w:t>Queensland Language Services Policy</w:t>
      </w:r>
    </w:p>
    <w:p w14:paraId="5B92CE2C" w14:textId="1BA79121" w:rsidR="00282A46" w:rsidRPr="00703A0B" w:rsidRDefault="0067034B" w:rsidP="00A836CF">
      <w:pPr>
        <w:pStyle w:val="ListParagraph"/>
        <w:numPr>
          <w:ilvl w:val="0"/>
          <w:numId w:val="52"/>
        </w:numPr>
        <w:spacing w:before="120" w:after="120"/>
        <w:contextualSpacing w:val="0"/>
      </w:pPr>
      <w:r w:rsidRPr="00703A0B">
        <w:t>Charter of Victims’ Rights</w:t>
      </w:r>
      <w:r w:rsidR="00E62A6C" w:rsidRPr="00703A0B">
        <w:t>.</w:t>
      </w:r>
      <w:r w:rsidR="004C6333" w:rsidRPr="00703A0B">
        <w:t xml:space="preserve"> </w:t>
      </w:r>
    </w:p>
    <w:p w14:paraId="523E7FB8" w14:textId="2F06C6AC" w:rsidR="00E85E2C" w:rsidRPr="00703A0B" w:rsidRDefault="00957AE2" w:rsidP="003B40F0">
      <w:pPr>
        <w:spacing w:before="120" w:after="120"/>
      </w:pPr>
      <w:r w:rsidRPr="00703A0B">
        <w:t xml:space="preserve">As </w:t>
      </w:r>
      <w:r w:rsidR="004E28B0" w:rsidRPr="00703A0B">
        <w:t xml:space="preserve">no </w:t>
      </w:r>
      <w:r w:rsidR="000D6401" w:rsidRPr="00703A0B">
        <w:t xml:space="preserve">overseas travel </w:t>
      </w:r>
      <w:r w:rsidR="00DC01F3" w:rsidRPr="00703A0B">
        <w:t xml:space="preserve">was undertaken by </w:t>
      </w:r>
      <w:r w:rsidR="000D6401" w:rsidRPr="00703A0B">
        <w:t xml:space="preserve">staff </w:t>
      </w:r>
      <w:r w:rsidR="00577DFE" w:rsidRPr="00703A0B">
        <w:t>durin</w:t>
      </w:r>
      <w:r w:rsidR="00DC01F3" w:rsidRPr="00703A0B">
        <w:t>g the year</w:t>
      </w:r>
      <w:r w:rsidR="00AA601E" w:rsidRPr="00703A0B">
        <w:t xml:space="preserve">, </w:t>
      </w:r>
      <w:r w:rsidRPr="00703A0B">
        <w:t>a</w:t>
      </w:r>
      <w:r w:rsidR="00AA601E" w:rsidRPr="00703A0B">
        <w:t xml:space="preserve"> report on overseas travel expenditure was </w:t>
      </w:r>
      <w:r w:rsidRPr="00703A0B">
        <w:t xml:space="preserve">not </w:t>
      </w:r>
      <w:r w:rsidR="00AA601E" w:rsidRPr="00703A0B">
        <w:t>required for 202</w:t>
      </w:r>
      <w:r w:rsidR="00083909" w:rsidRPr="00703A0B">
        <w:t>5</w:t>
      </w:r>
      <w:r w:rsidR="00AA601E" w:rsidRPr="00703A0B">
        <w:t>–2</w:t>
      </w:r>
      <w:r w:rsidR="00083909" w:rsidRPr="00703A0B">
        <w:t>6</w:t>
      </w:r>
      <w:r w:rsidR="000D6401" w:rsidRPr="00703A0B">
        <w:t xml:space="preserve">. </w:t>
      </w:r>
      <w:r w:rsidR="000955F3" w:rsidRPr="00703A0B">
        <w:t>Similarly</w:t>
      </w:r>
      <w:r w:rsidR="000D6401" w:rsidRPr="00703A0B">
        <w:t xml:space="preserve">, </w:t>
      </w:r>
      <w:r w:rsidR="00577DFE" w:rsidRPr="00703A0B">
        <w:t>no r</w:t>
      </w:r>
      <w:r w:rsidR="00B969C3" w:rsidRPr="00703A0B">
        <w:t xml:space="preserve">eport on </w:t>
      </w:r>
      <w:r w:rsidR="00577DFE" w:rsidRPr="00703A0B">
        <w:t xml:space="preserve">the </w:t>
      </w:r>
      <w:r w:rsidR="00B969C3" w:rsidRPr="00703A0B">
        <w:t xml:space="preserve">Charter of Victims’ Rights was </w:t>
      </w:r>
      <w:r w:rsidR="00744C17" w:rsidRPr="00703A0B">
        <w:t>required</w:t>
      </w:r>
      <w:r w:rsidR="000854A4" w:rsidRPr="00703A0B">
        <w:t xml:space="preserve"> </w:t>
      </w:r>
      <w:r w:rsidR="00744C17" w:rsidRPr="00703A0B">
        <w:t xml:space="preserve">as </w:t>
      </w:r>
      <w:r w:rsidR="00D86ED8" w:rsidRPr="00703A0B">
        <w:t xml:space="preserve">no cases </w:t>
      </w:r>
      <w:r w:rsidR="00744C17" w:rsidRPr="00703A0B">
        <w:t xml:space="preserve">were </w:t>
      </w:r>
      <w:r w:rsidR="00D86ED8" w:rsidRPr="00703A0B">
        <w:t>reported</w:t>
      </w:r>
      <w:r w:rsidR="000955F3" w:rsidRPr="00703A0B">
        <w:t xml:space="preserve"> during the year</w:t>
      </w:r>
      <w:r w:rsidR="00D86ED8" w:rsidRPr="00703A0B">
        <w:t>.</w:t>
      </w:r>
    </w:p>
    <w:p w14:paraId="191E9227" w14:textId="4FE4FF78" w:rsidR="00B637CD" w:rsidRPr="00703A0B" w:rsidRDefault="00400548" w:rsidP="00906756">
      <w:pPr>
        <w:pStyle w:val="Heading3"/>
      </w:pPr>
      <w:r w:rsidRPr="00703A0B">
        <w:t>Looking ahead</w:t>
      </w:r>
      <w:bookmarkStart w:id="204" w:name="_Digital_and_information"/>
      <w:bookmarkEnd w:id="204"/>
    </w:p>
    <w:p w14:paraId="42449C07" w14:textId="3F51905B" w:rsidR="007B7696" w:rsidRPr="00703A0B" w:rsidRDefault="00F3064A" w:rsidP="00CB6F2F">
      <w:pPr>
        <w:spacing w:before="120" w:after="120"/>
      </w:pPr>
      <w:r w:rsidRPr="00703A0B">
        <w:t>Over the next 12 months, t</w:t>
      </w:r>
      <w:r w:rsidR="00B637CD" w:rsidRPr="00703A0B">
        <w:t xml:space="preserve">he QBCC will </w:t>
      </w:r>
      <w:r w:rsidR="00FD341A" w:rsidRPr="00703A0B">
        <w:t xml:space="preserve">further </w:t>
      </w:r>
      <w:r w:rsidR="00514CD2" w:rsidRPr="00703A0B">
        <w:t xml:space="preserve">strengthen its </w:t>
      </w:r>
      <w:r w:rsidR="00B637CD" w:rsidRPr="00703A0B">
        <w:t>governance</w:t>
      </w:r>
      <w:r w:rsidR="00514CD2" w:rsidRPr="00703A0B">
        <w:t xml:space="preserve">, </w:t>
      </w:r>
      <w:r w:rsidR="00B637CD" w:rsidRPr="00703A0B">
        <w:t xml:space="preserve">risk management and assurance </w:t>
      </w:r>
      <w:r w:rsidR="00A445E4" w:rsidRPr="00703A0B">
        <w:t>practices</w:t>
      </w:r>
      <w:r w:rsidR="00C21CE5" w:rsidRPr="00703A0B">
        <w:t xml:space="preserve"> </w:t>
      </w:r>
      <w:r w:rsidR="00C276BC" w:rsidRPr="00703A0B">
        <w:t>to support effective oversight, accountability and risk-informed decision making</w:t>
      </w:r>
      <w:r w:rsidR="00A445E4" w:rsidRPr="00703A0B">
        <w:t>.</w:t>
      </w:r>
      <w:r w:rsidR="00506A51" w:rsidRPr="00703A0B">
        <w:t xml:space="preserve"> </w:t>
      </w:r>
      <w:r w:rsidR="007B7696" w:rsidRPr="00703A0B">
        <w:t>P</w:t>
      </w:r>
      <w:r w:rsidR="00A445E4" w:rsidRPr="00703A0B">
        <w:t>riorit</w:t>
      </w:r>
      <w:r w:rsidR="007B7696" w:rsidRPr="00703A0B">
        <w:t>y initiatives</w:t>
      </w:r>
      <w:r w:rsidR="00A445E4" w:rsidRPr="00703A0B">
        <w:t xml:space="preserve"> </w:t>
      </w:r>
      <w:r w:rsidR="001F6A2A" w:rsidRPr="00703A0B">
        <w:t>include</w:t>
      </w:r>
      <w:r w:rsidR="007B7696" w:rsidRPr="00703A0B">
        <w:t>:</w:t>
      </w:r>
    </w:p>
    <w:p w14:paraId="3010C602" w14:textId="3E2F00A5" w:rsidR="00506D72" w:rsidRPr="00703A0B" w:rsidRDefault="00B637CD" w:rsidP="00906756">
      <w:pPr>
        <w:pStyle w:val="ListParagraph"/>
        <w:numPr>
          <w:ilvl w:val="0"/>
          <w:numId w:val="117"/>
        </w:numPr>
        <w:spacing w:before="120" w:after="120"/>
        <w:ind w:left="714" w:hanging="357"/>
        <w:contextualSpacing w:val="0"/>
      </w:pPr>
      <w:r w:rsidRPr="00703A0B">
        <w:t>implement</w:t>
      </w:r>
      <w:r w:rsidR="001F6A2A" w:rsidRPr="00703A0B">
        <w:t xml:space="preserve">ing the </w:t>
      </w:r>
      <w:r w:rsidRPr="00703A0B">
        <w:t>Policy Governance Framework</w:t>
      </w:r>
    </w:p>
    <w:p w14:paraId="03DD29AA" w14:textId="102B811C" w:rsidR="00506D72" w:rsidRPr="00703A0B" w:rsidRDefault="00B637CD" w:rsidP="00906756">
      <w:pPr>
        <w:pStyle w:val="ListParagraph"/>
        <w:numPr>
          <w:ilvl w:val="0"/>
          <w:numId w:val="117"/>
        </w:numPr>
        <w:spacing w:before="120" w:after="120"/>
        <w:ind w:left="714" w:hanging="357"/>
        <w:contextualSpacing w:val="0"/>
      </w:pPr>
      <w:r w:rsidRPr="00703A0B">
        <w:t>enhanc</w:t>
      </w:r>
      <w:r w:rsidR="001F6A2A" w:rsidRPr="00703A0B">
        <w:t>ing</w:t>
      </w:r>
      <w:r w:rsidRPr="00703A0B">
        <w:t xml:space="preserve"> oversight of policy instruments</w:t>
      </w:r>
    </w:p>
    <w:p w14:paraId="00D592B8" w14:textId="023625C6" w:rsidR="00C22FC8" w:rsidRPr="00703A0B" w:rsidRDefault="00A57929" w:rsidP="00906756">
      <w:pPr>
        <w:pStyle w:val="ListParagraph"/>
        <w:numPr>
          <w:ilvl w:val="0"/>
          <w:numId w:val="117"/>
        </w:numPr>
        <w:spacing w:before="120" w:after="120"/>
        <w:ind w:left="714" w:hanging="357"/>
        <w:contextualSpacing w:val="0"/>
      </w:pPr>
      <w:r w:rsidRPr="00703A0B">
        <w:t>continuing</w:t>
      </w:r>
      <w:r w:rsidR="00B637CD" w:rsidRPr="00703A0B" w:rsidDel="00506D72">
        <w:t xml:space="preserve"> </w:t>
      </w:r>
      <w:r w:rsidR="00B637CD" w:rsidRPr="00703A0B">
        <w:t>refin</w:t>
      </w:r>
      <w:r w:rsidR="001F6A2A" w:rsidRPr="00703A0B">
        <w:t xml:space="preserve">ing </w:t>
      </w:r>
      <w:r w:rsidR="00B637CD" w:rsidRPr="00703A0B">
        <w:t>Delegations and Authorisations arrangements</w:t>
      </w:r>
    </w:p>
    <w:p w14:paraId="4D306B6C" w14:textId="495B1DE9" w:rsidR="00B637CD" w:rsidRPr="00703A0B" w:rsidRDefault="00B637CD" w:rsidP="00906756">
      <w:pPr>
        <w:pStyle w:val="ListParagraph"/>
        <w:numPr>
          <w:ilvl w:val="0"/>
          <w:numId w:val="117"/>
        </w:numPr>
        <w:spacing w:before="120" w:after="120"/>
        <w:ind w:left="714" w:hanging="357"/>
        <w:contextualSpacing w:val="0"/>
      </w:pPr>
      <w:r w:rsidRPr="00703A0B">
        <w:lastRenderedPageBreak/>
        <w:t>embedding the Regulatory Assurance Framework</w:t>
      </w:r>
    </w:p>
    <w:p w14:paraId="2C66B22F" w14:textId="2E404280" w:rsidR="00E903D0" w:rsidRPr="00703A0B" w:rsidRDefault="0065323C" w:rsidP="1F5BFF22">
      <w:pPr>
        <w:pStyle w:val="ListParagraph"/>
        <w:numPr>
          <w:ilvl w:val="0"/>
          <w:numId w:val="117"/>
        </w:numPr>
        <w:spacing w:before="120" w:after="120"/>
        <w:ind w:left="714" w:hanging="357"/>
        <w:contextualSpacing w:val="0"/>
      </w:pPr>
      <w:r w:rsidRPr="00703A0B">
        <w:t>strengthening</w:t>
      </w:r>
      <w:r w:rsidR="55AAF47D" w:rsidRPr="00703A0B">
        <w:t xml:space="preserve"> data architecture, governance and quality </w:t>
      </w:r>
      <w:r w:rsidR="006E2BBB" w:rsidRPr="00703A0B">
        <w:t xml:space="preserve">to support </w:t>
      </w:r>
      <w:r w:rsidR="55AAF47D" w:rsidRPr="00703A0B">
        <w:t xml:space="preserve">the </w:t>
      </w:r>
      <w:r w:rsidR="001A4CDE" w:rsidRPr="00703A0B">
        <w:t>adoption</w:t>
      </w:r>
      <w:r w:rsidR="55AAF47D" w:rsidRPr="00703A0B">
        <w:t xml:space="preserve"> of </w:t>
      </w:r>
      <w:r w:rsidR="00057909" w:rsidRPr="00703A0B">
        <w:t>AI</w:t>
      </w:r>
      <w:r w:rsidR="00D2686D" w:rsidRPr="00703A0B">
        <w:t xml:space="preserve"> </w:t>
      </w:r>
      <w:r w:rsidR="00EC19E1" w:rsidRPr="00703A0B">
        <w:t xml:space="preserve">and </w:t>
      </w:r>
      <w:r w:rsidR="006774F7" w:rsidRPr="00703A0B">
        <w:t>optimis</w:t>
      </w:r>
      <w:r w:rsidR="006152A8" w:rsidRPr="00703A0B">
        <w:t xml:space="preserve">e </w:t>
      </w:r>
      <w:r w:rsidR="006774F7" w:rsidRPr="00703A0B">
        <w:t>information systems and records management</w:t>
      </w:r>
    </w:p>
    <w:p w14:paraId="465E2234" w14:textId="3DDB02B8" w:rsidR="1F5BFF22" w:rsidRPr="00703A0B" w:rsidRDefault="00C873F7" w:rsidP="1F5BFF22">
      <w:pPr>
        <w:pStyle w:val="ListParagraph"/>
        <w:numPr>
          <w:ilvl w:val="0"/>
          <w:numId w:val="117"/>
        </w:numPr>
        <w:spacing w:before="120" w:after="120"/>
        <w:ind w:left="714" w:hanging="357"/>
        <w:contextualSpacing w:val="0"/>
      </w:pPr>
      <w:r w:rsidRPr="00703A0B">
        <w:t>advancing the organisation’s response to</w:t>
      </w:r>
      <w:r w:rsidR="00C905F0" w:rsidRPr="00703A0B">
        <w:t xml:space="preserve"> QPC recommendations</w:t>
      </w:r>
      <w:r w:rsidR="00A959BA" w:rsidRPr="00703A0B">
        <w:t>.</w:t>
      </w:r>
    </w:p>
    <w:p w14:paraId="23E1EBBF" w14:textId="7A5E0B27" w:rsidR="00B9646C" w:rsidRPr="00703A0B" w:rsidRDefault="00B637CD" w:rsidP="003B40F0">
      <w:pPr>
        <w:spacing w:before="120" w:after="120"/>
        <w:rPr>
          <w:rFonts w:cs="Arial"/>
        </w:rPr>
      </w:pPr>
      <w:r w:rsidRPr="00703A0B">
        <w:t>These initiatives will support greater accountability, transparency and consistency in decision</w:t>
      </w:r>
      <w:r w:rsidR="009310FB" w:rsidRPr="00703A0B">
        <w:t xml:space="preserve"> </w:t>
      </w:r>
      <w:r w:rsidRPr="00703A0B">
        <w:t>making</w:t>
      </w:r>
      <w:r w:rsidR="00EB56E7" w:rsidRPr="00703A0B">
        <w:t xml:space="preserve"> across the organisation</w:t>
      </w:r>
      <w:r w:rsidR="000D4150" w:rsidRPr="00703A0B">
        <w:t xml:space="preserve">. They will also help </w:t>
      </w:r>
      <w:r w:rsidRPr="00703A0B">
        <w:t>ensur</w:t>
      </w:r>
      <w:r w:rsidR="000D4150" w:rsidRPr="00703A0B">
        <w:t xml:space="preserve">e </w:t>
      </w:r>
      <w:r w:rsidRPr="00703A0B">
        <w:t xml:space="preserve">risks, controls and compliance obligations are effectively managed and aligned with legislative requirements, organisational objectives and </w:t>
      </w:r>
      <w:r w:rsidR="00D724AA" w:rsidRPr="00703A0B">
        <w:t xml:space="preserve">industry </w:t>
      </w:r>
      <w:r w:rsidRPr="00703A0B">
        <w:t>best practice.</w:t>
      </w:r>
      <w:r w:rsidR="00012DC6" w:rsidRPr="00703A0B">
        <w:t xml:space="preserve"> </w:t>
      </w:r>
      <w:r w:rsidRPr="00703A0B">
        <w:t xml:space="preserve">The </w:t>
      </w:r>
      <w:r w:rsidR="00417D17" w:rsidRPr="00703A0B">
        <w:t>organisation</w:t>
      </w:r>
      <w:r w:rsidRPr="00703A0B">
        <w:t xml:space="preserve"> wil</w:t>
      </w:r>
      <w:r w:rsidR="00417D17" w:rsidRPr="00703A0B">
        <w:t>l</w:t>
      </w:r>
      <w:r w:rsidRPr="00703A0B">
        <w:t xml:space="preserve"> continue to promote a culture of integrity and accountability by embedding human rights considerations into policy instruments and decision-making processes. </w:t>
      </w:r>
      <w:r w:rsidR="00206E10" w:rsidRPr="00703A0B">
        <w:t xml:space="preserve">It </w:t>
      </w:r>
      <w:r w:rsidR="00AD0FBF" w:rsidRPr="00703A0B">
        <w:t>will</w:t>
      </w:r>
      <w:r w:rsidR="00206E10" w:rsidRPr="00703A0B">
        <w:t xml:space="preserve"> also strengthen</w:t>
      </w:r>
      <w:r w:rsidR="000D3BB5" w:rsidRPr="00703A0B">
        <w:t xml:space="preserve"> </w:t>
      </w:r>
      <w:r w:rsidR="00842210" w:rsidRPr="00703A0B">
        <w:t>i</w:t>
      </w:r>
      <w:r w:rsidRPr="00703A0B">
        <w:t xml:space="preserve">nformation </w:t>
      </w:r>
      <w:r w:rsidR="00C10A8A" w:rsidRPr="00703A0B">
        <w:t xml:space="preserve">and records </w:t>
      </w:r>
      <w:r w:rsidRPr="00703A0B">
        <w:t xml:space="preserve">management </w:t>
      </w:r>
      <w:r w:rsidR="00842210" w:rsidRPr="00703A0B">
        <w:t>practices</w:t>
      </w:r>
      <w:r w:rsidR="00531046" w:rsidRPr="00703A0B">
        <w:t xml:space="preserve"> to ensure organisational information is accurate, accessible, secure and appropriately managed through</w:t>
      </w:r>
      <w:r w:rsidR="000D3BB5" w:rsidRPr="00703A0B">
        <w:t>out</w:t>
      </w:r>
      <w:r w:rsidR="00531046" w:rsidRPr="00703A0B">
        <w:t xml:space="preserve"> its lifecycle</w:t>
      </w:r>
      <w:r w:rsidR="000A7D69" w:rsidRPr="00703A0B">
        <w:t xml:space="preserve">. </w:t>
      </w:r>
      <w:r w:rsidRPr="00703A0B">
        <w:t>In addition,</w:t>
      </w:r>
      <w:r w:rsidR="002E56E7" w:rsidRPr="00703A0B">
        <w:t xml:space="preserve"> the</w:t>
      </w:r>
      <w:r w:rsidRPr="00703A0B">
        <w:t xml:space="preserve"> QBCC will maintain its commitment to transparency and public accountability through the publication of open data and </w:t>
      </w:r>
      <w:r w:rsidR="002E56E7" w:rsidRPr="00703A0B">
        <w:t xml:space="preserve">a continued focus </w:t>
      </w:r>
      <w:r w:rsidR="00F77C8A" w:rsidRPr="00703A0B">
        <w:t>on organisational improvement</w:t>
      </w:r>
      <w:r w:rsidRPr="00703A0B">
        <w:t>.</w:t>
      </w:r>
      <w:r w:rsidR="00206B68" w:rsidRPr="00703A0B">
        <w:t xml:space="preserve"> </w:t>
      </w:r>
      <w:r w:rsidR="00D724AA" w:rsidRPr="00703A0B">
        <w:t>Collectively, these efforts will support a high-performing</w:t>
      </w:r>
      <w:r w:rsidR="00530E67" w:rsidRPr="00703A0B">
        <w:t xml:space="preserve">, </w:t>
      </w:r>
      <w:r w:rsidR="00D724AA" w:rsidRPr="00703A0B">
        <w:t xml:space="preserve">accountable and well-governed organisation, </w:t>
      </w:r>
      <w:r w:rsidR="00530E67" w:rsidRPr="00703A0B">
        <w:t xml:space="preserve">positioning the </w:t>
      </w:r>
      <w:r w:rsidR="00D724AA" w:rsidRPr="00703A0B">
        <w:t xml:space="preserve">QBCC </w:t>
      </w:r>
      <w:r w:rsidR="00530E67" w:rsidRPr="00703A0B">
        <w:t xml:space="preserve">to respond to </w:t>
      </w:r>
      <w:r w:rsidR="00D724AA" w:rsidRPr="00703A0B">
        <w:t>emerging challenges and deliver value to the Queensland community.</w:t>
      </w:r>
      <w:r w:rsidR="002778D6" w:rsidRPr="00703A0B">
        <w:br w:type="page"/>
      </w:r>
      <w:bookmarkStart w:id="205" w:name="_QBCC_Strategic_Plan"/>
      <w:bookmarkEnd w:id="205"/>
    </w:p>
    <w:p w14:paraId="5E6B408D" w14:textId="3A543E0F" w:rsidR="00021488" w:rsidRPr="00703A0B" w:rsidRDefault="00F6408A" w:rsidP="001C78CC">
      <w:pPr>
        <w:pStyle w:val="Heading2"/>
        <w:rPr>
          <w:rFonts w:cs="Arial"/>
        </w:rPr>
      </w:pPr>
      <w:bookmarkStart w:id="206" w:name="_Toc206493026"/>
      <w:bookmarkStart w:id="207" w:name="_Toc238101688"/>
      <w:r w:rsidRPr="00703A0B">
        <w:lastRenderedPageBreak/>
        <w:t>Service Delivery Statements s</w:t>
      </w:r>
      <w:r w:rsidR="00DC6F97" w:rsidRPr="00703A0B">
        <w:t>ervice</w:t>
      </w:r>
      <w:r w:rsidR="00204D93" w:rsidRPr="00703A0B">
        <w:t xml:space="preserve"> standards</w:t>
      </w:r>
      <w:bookmarkStart w:id="208" w:name="_Service_Delivery_Statements"/>
      <w:bookmarkEnd w:id="206"/>
      <w:bookmarkEnd w:id="207"/>
      <w:bookmarkEnd w:id="208"/>
    </w:p>
    <w:p w14:paraId="3D4B6C11" w14:textId="648B7FE3" w:rsidR="00204D93" w:rsidRPr="00703A0B" w:rsidRDefault="0093510C" w:rsidP="00F93032">
      <w:pPr>
        <w:spacing w:before="120" w:after="120"/>
        <w:rPr>
          <w:rFonts w:cs="Arial"/>
        </w:rPr>
      </w:pPr>
      <w:bookmarkStart w:id="209" w:name="_Toc202872689"/>
      <w:bookmarkStart w:id="210" w:name="_Ref234917251"/>
      <w:r w:rsidRPr="00703A0B">
        <w:rPr>
          <w:rFonts w:cs="Arial"/>
        </w:rPr>
        <w:t xml:space="preserve">The QBCC </w:t>
      </w:r>
      <w:r w:rsidR="001834BF" w:rsidRPr="00703A0B">
        <w:rPr>
          <w:rFonts w:cs="Arial"/>
        </w:rPr>
        <w:t xml:space="preserve">Service Delivery Statements </w:t>
      </w:r>
      <w:r w:rsidR="003B74F5" w:rsidRPr="00703A0B">
        <w:rPr>
          <w:rFonts w:cs="Arial"/>
        </w:rPr>
        <w:t>(</w:t>
      </w:r>
      <w:r w:rsidR="00F52886" w:rsidRPr="00703A0B">
        <w:rPr>
          <w:rFonts w:cs="Arial"/>
        </w:rPr>
        <w:t>SDS</w:t>
      </w:r>
      <w:r w:rsidR="003B74F5" w:rsidRPr="00703A0B">
        <w:rPr>
          <w:rFonts w:cs="Arial"/>
        </w:rPr>
        <w:t>)</w:t>
      </w:r>
      <w:r w:rsidR="00F52886" w:rsidRPr="00703A0B">
        <w:rPr>
          <w:rFonts w:cs="Arial"/>
        </w:rPr>
        <w:t xml:space="preserve"> </w:t>
      </w:r>
      <w:r w:rsidR="006F4AB0" w:rsidRPr="00703A0B">
        <w:rPr>
          <w:rFonts w:cs="Arial"/>
        </w:rPr>
        <w:t>service</w:t>
      </w:r>
      <w:r w:rsidR="00F52886" w:rsidRPr="00703A0B">
        <w:rPr>
          <w:rFonts w:cs="Arial"/>
        </w:rPr>
        <w:t xml:space="preserve"> standards are key indicators </w:t>
      </w:r>
      <w:r w:rsidR="00E5056E" w:rsidRPr="00703A0B">
        <w:rPr>
          <w:rFonts w:cs="Arial"/>
        </w:rPr>
        <w:t>that reflect</w:t>
      </w:r>
      <w:r w:rsidR="0008696D" w:rsidRPr="00703A0B">
        <w:rPr>
          <w:rFonts w:cs="Arial"/>
        </w:rPr>
        <w:t xml:space="preserve"> the</w:t>
      </w:r>
      <w:r w:rsidR="00F52886" w:rsidRPr="00703A0B">
        <w:rPr>
          <w:rFonts w:cs="Arial"/>
        </w:rPr>
        <w:t xml:space="preserve"> expected </w:t>
      </w:r>
      <w:r w:rsidR="00E5056E" w:rsidRPr="00703A0B">
        <w:rPr>
          <w:rFonts w:cs="Arial"/>
        </w:rPr>
        <w:t>levels of</w:t>
      </w:r>
      <w:r w:rsidR="00E5056E" w:rsidRPr="00703A0B" w:rsidDel="002C44DD">
        <w:rPr>
          <w:rFonts w:cs="Arial"/>
        </w:rPr>
        <w:t xml:space="preserve"> </w:t>
      </w:r>
      <w:r w:rsidR="00935EAB" w:rsidRPr="00703A0B">
        <w:rPr>
          <w:rFonts w:cs="Arial"/>
        </w:rPr>
        <w:t xml:space="preserve">regulatory and support </w:t>
      </w:r>
      <w:r w:rsidR="00F52886" w:rsidRPr="00703A0B">
        <w:rPr>
          <w:rFonts w:cs="Arial"/>
        </w:rPr>
        <w:t>services</w:t>
      </w:r>
      <w:r w:rsidR="00A65E2A" w:rsidRPr="00703A0B">
        <w:rPr>
          <w:rFonts w:cs="Arial"/>
        </w:rPr>
        <w:t xml:space="preserve"> </w:t>
      </w:r>
      <w:r w:rsidR="002C44DD" w:rsidRPr="00703A0B">
        <w:rPr>
          <w:rFonts w:cs="Arial"/>
        </w:rPr>
        <w:t xml:space="preserve">delivered </w:t>
      </w:r>
      <w:r w:rsidR="00A65E2A" w:rsidRPr="00703A0B">
        <w:rPr>
          <w:rFonts w:cs="Arial"/>
        </w:rPr>
        <w:t>to the Queensland community</w:t>
      </w:r>
      <w:r w:rsidR="00F52886" w:rsidRPr="00703A0B">
        <w:rPr>
          <w:rFonts w:cs="Arial"/>
        </w:rPr>
        <w:t xml:space="preserve">. </w:t>
      </w:r>
      <w:r w:rsidR="00AE4663" w:rsidRPr="00703A0B">
        <w:rPr>
          <w:rFonts w:cs="Arial"/>
        </w:rPr>
        <w:t>E</w:t>
      </w:r>
      <w:r w:rsidR="00204D93" w:rsidRPr="00703A0B">
        <w:rPr>
          <w:rFonts w:cs="Arial"/>
        </w:rPr>
        <w:t>stimated actuals</w:t>
      </w:r>
      <w:r w:rsidR="00CC0CCA" w:rsidRPr="00703A0B">
        <w:rPr>
          <w:rFonts w:cs="Arial"/>
        </w:rPr>
        <w:t xml:space="preserve"> are pr</w:t>
      </w:r>
      <w:r w:rsidR="00FB4F46" w:rsidRPr="00703A0B">
        <w:rPr>
          <w:rFonts w:cs="Arial"/>
        </w:rPr>
        <w:t>epared</w:t>
      </w:r>
      <w:r w:rsidR="00204D93" w:rsidRPr="00703A0B">
        <w:rPr>
          <w:rFonts w:cs="Arial"/>
        </w:rPr>
        <w:t xml:space="preserve"> prior to the end of the financial year</w:t>
      </w:r>
      <w:r w:rsidR="00EC0C37" w:rsidRPr="00703A0B">
        <w:rPr>
          <w:rFonts w:cs="Arial"/>
        </w:rPr>
        <w:t xml:space="preserve"> to </w:t>
      </w:r>
      <w:r w:rsidR="00FB4F46" w:rsidRPr="00703A0B">
        <w:rPr>
          <w:rFonts w:cs="Arial"/>
        </w:rPr>
        <w:t xml:space="preserve">inform </w:t>
      </w:r>
      <w:r w:rsidR="00EC0C37" w:rsidRPr="00703A0B">
        <w:rPr>
          <w:rFonts w:cs="Arial"/>
        </w:rPr>
        <w:t>the budget process</w:t>
      </w:r>
      <w:r w:rsidR="00204D93" w:rsidRPr="00703A0B">
        <w:rPr>
          <w:rFonts w:cs="Arial"/>
        </w:rPr>
        <w:t xml:space="preserve">. </w:t>
      </w:r>
      <w:r w:rsidR="00CF5366" w:rsidRPr="00703A0B">
        <w:rPr>
          <w:rFonts w:cs="Arial"/>
        </w:rPr>
        <w:fldChar w:fldCharType="begin"/>
      </w:r>
      <w:r w:rsidR="00CF5366" w:rsidRPr="00703A0B">
        <w:rPr>
          <w:rFonts w:cs="Arial"/>
        </w:rPr>
        <w:instrText xml:space="preserve"> REF _Ref232674387 \h </w:instrText>
      </w:r>
      <w:r w:rsidR="00CF5366" w:rsidRPr="00703A0B">
        <w:rPr>
          <w:rFonts w:cs="Arial"/>
        </w:rPr>
      </w:r>
      <w:r w:rsidR="00CF5366" w:rsidRPr="00703A0B">
        <w:rPr>
          <w:rFonts w:cs="Arial"/>
        </w:rPr>
        <w:fldChar w:fldCharType="separate"/>
      </w:r>
      <w:r w:rsidR="00712377" w:rsidRPr="00703A0B">
        <w:t xml:space="preserve">Table </w:t>
      </w:r>
      <w:r w:rsidR="00712377" w:rsidRPr="00FF5E39">
        <w:t>27</w:t>
      </w:r>
      <w:r w:rsidR="00CF5366" w:rsidRPr="00703A0B">
        <w:rPr>
          <w:rFonts w:cs="Arial"/>
        </w:rPr>
        <w:fldChar w:fldCharType="end"/>
      </w:r>
      <w:r w:rsidR="00265878" w:rsidRPr="00703A0B">
        <w:rPr>
          <w:rFonts w:cs="Arial"/>
        </w:rPr>
        <w:t xml:space="preserve"> </w:t>
      </w:r>
      <w:r w:rsidR="00A45E9F" w:rsidRPr="00703A0B">
        <w:t>outlines</w:t>
      </w:r>
      <w:r w:rsidR="00204D93" w:rsidRPr="00703A0B">
        <w:rPr>
          <w:rFonts w:cs="Arial"/>
        </w:rPr>
        <w:t xml:space="preserve"> the actual </w:t>
      </w:r>
      <w:r w:rsidR="00B04EF2" w:rsidRPr="00703A0B">
        <w:rPr>
          <w:rFonts w:cs="Arial"/>
        </w:rPr>
        <w:t xml:space="preserve">performance </w:t>
      </w:r>
      <w:r w:rsidR="00204D93" w:rsidRPr="00703A0B">
        <w:rPr>
          <w:rFonts w:cs="Arial"/>
        </w:rPr>
        <w:t xml:space="preserve">results </w:t>
      </w:r>
      <w:r w:rsidR="00B04EF2" w:rsidRPr="00703A0B">
        <w:rPr>
          <w:rFonts w:cs="Arial"/>
        </w:rPr>
        <w:t xml:space="preserve">recorded </w:t>
      </w:r>
      <w:r w:rsidR="00B77808" w:rsidRPr="00703A0B">
        <w:rPr>
          <w:rFonts w:cs="Arial"/>
        </w:rPr>
        <w:t>on</w:t>
      </w:r>
      <w:r w:rsidR="00204D93" w:rsidRPr="00703A0B">
        <w:rPr>
          <w:rFonts w:cs="Arial"/>
        </w:rPr>
        <w:t xml:space="preserve"> 30 June 202</w:t>
      </w:r>
      <w:r w:rsidR="008623A7" w:rsidRPr="00703A0B">
        <w:rPr>
          <w:rFonts w:cs="Arial"/>
        </w:rPr>
        <w:t>6</w:t>
      </w:r>
      <w:r w:rsidR="00562345" w:rsidRPr="00703A0B">
        <w:rPr>
          <w:rFonts w:cs="Arial"/>
        </w:rPr>
        <w:t xml:space="preserve">, </w:t>
      </w:r>
      <w:r w:rsidR="00172CD8" w:rsidRPr="00703A0B">
        <w:rPr>
          <w:rFonts w:cs="Arial"/>
        </w:rPr>
        <w:t xml:space="preserve">including </w:t>
      </w:r>
      <w:r w:rsidR="00562345" w:rsidRPr="00703A0B">
        <w:rPr>
          <w:rFonts w:cs="Arial"/>
        </w:rPr>
        <w:t>explanation</w:t>
      </w:r>
      <w:r w:rsidR="00172CD8" w:rsidRPr="00703A0B">
        <w:rPr>
          <w:rFonts w:cs="Arial"/>
        </w:rPr>
        <w:t>s for</w:t>
      </w:r>
      <w:r w:rsidR="00204D93" w:rsidRPr="00703A0B">
        <w:rPr>
          <w:rFonts w:cs="Arial"/>
        </w:rPr>
        <w:t xml:space="preserve"> any significant variances between </w:t>
      </w:r>
      <w:r w:rsidR="00427BB8" w:rsidRPr="00703A0B">
        <w:rPr>
          <w:rFonts w:cs="Arial"/>
        </w:rPr>
        <w:t xml:space="preserve">the </w:t>
      </w:r>
      <w:r w:rsidR="00204D93" w:rsidRPr="00703A0B">
        <w:rPr>
          <w:rFonts w:cs="Arial"/>
        </w:rPr>
        <w:t>actual results</w:t>
      </w:r>
      <w:r w:rsidR="00427BB8" w:rsidRPr="00703A0B">
        <w:rPr>
          <w:rFonts w:cs="Arial"/>
        </w:rPr>
        <w:t>,</w:t>
      </w:r>
      <w:r w:rsidR="00204D93" w:rsidRPr="00703A0B">
        <w:rPr>
          <w:rFonts w:cs="Arial"/>
        </w:rPr>
        <w:t xml:space="preserve"> targets </w:t>
      </w:r>
      <w:r w:rsidR="00427BB8" w:rsidRPr="00703A0B">
        <w:rPr>
          <w:rFonts w:cs="Arial"/>
        </w:rPr>
        <w:t>and</w:t>
      </w:r>
      <w:r w:rsidR="00204D93" w:rsidRPr="00703A0B">
        <w:rPr>
          <w:rFonts w:cs="Arial"/>
        </w:rPr>
        <w:t xml:space="preserve"> estimated </w:t>
      </w:r>
      <w:r w:rsidR="00172CD8" w:rsidRPr="00703A0B">
        <w:rPr>
          <w:rFonts w:cs="Arial"/>
        </w:rPr>
        <w:t>outcomes</w:t>
      </w:r>
      <w:r w:rsidR="00204D93" w:rsidRPr="00703A0B">
        <w:rPr>
          <w:rFonts w:cs="Arial"/>
        </w:rPr>
        <w:t xml:space="preserve"> published in the </w:t>
      </w:r>
      <w:r w:rsidR="00324FFB" w:rsidRPr="00703A0B">
        <w:rPr>
          <w:rFonts w:cs="Arial"/>
        </w:rPr>
        <w:t>202</w:t>
      </w:r>
      <w:r w:rsidR="008623A7" w:rsidRPr="00703A0B">
        <w:rPr>
          <w:rFonts w:cs="Arial"/>
        </w:rPr>
        <w:t>5</w:t>
      </w:r>
      <w:r w:rsidR="00324FFB" w:rsidRPr="00703A0B">
        <w:rPr>
          <w:rFonts w:cs="Arial"/>
        </w:rPr>
        <w:t>–2</w:t>
      </w:r>
      <w:r w:rsidR="008623A7" w:rsidRPr="00703A0B">
        <w:rPr>
          <w:rFonts w:cs="Arial"/>
        </w:rPr>
        <w:t>6</w:t>
      </w:r>
      <w:r w:rsidR="00324FFB" w:rsidRPr="00703A0B">
        <w:rPr>
          <w:rFonts w:cs="Arial"/>
        </w:rPr>
        <w:t xml:space="preserve"> </w:t>
      </w:r>
      <w:r w:rsidR="00204D93" w:rsidRPr="00703A0B">
        <w:rPr>
          <w:rFonts w:cs="Arial"/>
        </w:rPr>
        <w:t>SDS.</w:t>
      </w:r>
      <w:bookmarkEnd w:id="209"/>
    </w:p>
    <w:p w14:paraId="117D8E29" w14:textId="7E517575" w:rsidR="00204D93" w:rsidRPr="00703A0B" w:rsidRDefault="00482871" w:rsidP="00482871">
      <w:pPr>
        <w:pStyle w:val="Caption"/>
      </w:pPr>
      <w:bookmarkStart w:id="211" w:name="_Ref232674387"/>
      <w:bookmarkStart w:id="212" w:name="_Ref204672319"/>
      <w:bookmarkStart w:id="213" w:name="_Ref203982847"/>
      <w:bookmarkStart w:id="214" w:name="_Ref202873290"/>
      <w:r w:rsidRPr="00703A0B">
        <w:t xml:space="preserve">Table </w:t>
      </w:r>
      <w:r w:rsidRPr="00703A0B">
        <w:fldChar w:fldCharType="begin"/>
      </w:r>
      <w:r w:rsidRPr="00703A0B">
        <w:instrText>SEQ Table \* ARABIC</w:instrText>
      </w:r>
      <w:r w:rsidRPr="00703A0B">
        <w:fldChar w:fldCharType="separate"/>
      </w:r>
      <w:r w:rsidR="003764AA" w:rsidRPr="00FF5E39">
        <w:t>27</w:t>
      </w:r>
      <w:r w:rsidRPr="00703A0B">
        <w:fldChar w:fldCharType="end"/>
      </w:r>
      <w:bookmarkEnd w:id="210"/>
      <w:bookmarkEnd w:id="211"/>
      <w:bookmarkEnd w:id="212"/>
      <w:bookmarkEnd w:id="213"/>
      <w:r w:rsidR="00A45E9F" w:rsidRPr="00703A0B">
        <w:t xml:space="preserve">: </w:t>
      </w:r>
      <w:bookmarkStart w:id="215" w:name="_Ref202873656"/>
      <w:r w:rsidR="002D13E9" w:rsidRPr="00703A0B">
        <w:t xml:space="preserve">The QBCC </w:t>
      </w:r>
      <w:r w:rsidR="00204D93" w:rsidRPr="00703A0B">
        <w:t xml:space="preserve">performance </w:t>
      </w:r>
      <w:r w:rsidR="007658BF" w:rsidRPr="00703A0B">
        <w:t>in 202</w:t>
      </w:r>
      <w:r w:rsidR="008623A7" w:rsidRPr="00703A0B">
        <w:t>5</w:t>
      </w:r>
      <w:r w:rsidR="007658BF" w:rsidRPr="00703A0B">
        <w:t>–2</w:t>
      </w:r>
      <w:r w:rsidR="008623A7" w:rsidRPr="00703A0B">
        <w:t>6</w:t>
      </w:r>
      <w:r w:rsidR="007658BF" w:rsidRPr="00703A0B">
        <w:t xml:space="preserve"> </w:t>
      </w:r>
      <w:r w:rsidR="00F82FC5" w:rsidRPr="00703A0B">
        <w:t xml:space="preserve">measured </w:t>
      </w:r>
      <w:r w:rsidR="007658BF" w:rsidRPr="00703A0B">
        <w:t xml:space="preserve">against the </w:t>
      </w:r>
      <w:r w:rsidR="00204D93" w:rsidRPr="00703A0B">
        <w:t xml:space="preserve">SDS </w:t>
      </w:r>
      <w:r w:rsidR="007658BF" w:rsidRPr="00703A0B">
        <w:t>standards</w:t>
      </w:r>
      <w:bookmarkEnd w:id="214"/>
      <w:bookmarkEnd w:id="215"/>
    </w:p>
    <w:tbl>
      <w:tblPr>
        <w:tblW w:w="1080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557"/>
        <w:gridCol w:w="1276"/>
        <w:gridCol w:w="1412"/>
        <w:gridCol w:w="1560"/>
        <w:gridCol w:w="4004"/>
      </w:tblGrid>
      <w:tr w:rsidR="00EA0D0A" w:rsidRPr="00703A0B" w14:paraId="05FB3F86" w14:textId="77777777" w:rsidTr="00561DDD">
        <w:trPr>
          <w:tblHeader/>
        </w:trPr>
        <w:tc>
          <w:tcPr>
            <w:tcW w:w="2557" w:type="dxa"/>
            <w:shd w:val="clear" w:color="auto" w:fill="BFBFBF" w:themeFill="background1" w:themeFillShade="BF"/>
            <w:hideMark/>
          </w:tcPr>
          <w:p w14:paraId="18C38766" w14:textId="77777777" w:rsidR="00204D93" w:rsidRPr="00703A0B" w:rsidRDefault="00204D93" w:rsidP="00366B3E">
            <w:pPr>
              <w:rPr>
                <w:rFonts w:cs="Arial"/>
                <w:b/>
                <w:szCs w:val="22"/>
              </w:rPr>
            </w:pPr>
            <w:r w:rsidRPr="00703A0B">
              <w:rPr>
                <w:rFonts w:cs="Arial"/>
                <w:b/>
                <w:szCs w:val="22"/>
              </w:rPr>
              <w:t>Service standards</w:t>
            </w:r>
          </w:p>
          <w:p w14:paraId="202E18FE" w14:textId="77777777" w:rsidR="00204D93" w:rsidRPr="00703A0B" w:rsidRDefault="00204D93" w:rsidP="00366B3E">
            <w:pPr>
              <w:rPr>
                <w:rFonts w:cs="Arial"/>
                <w:b/>
                <w:szCs w:val="22"/>
              </w:rPr>
            </w:pPr>
          </w:p>
        </w:tc>
        <w:tc>
          <w:tcPr>
            <w:tcW w:w="1276" w:type="dxa"/>
            <w:shd w:val="clear" w:color="auto" w:fill="BFBFBF" w:themeFill="background1" w:themeFillShade="BF"/>
            <w:hideMark/>
          </w:tcPr>
          <w:p w14:paraId="23817FF2" w14:textId="3379634E" w:rsidR="00204D93" w:rsidRPr="00703A0B" w:rsidRDefault="00204D93" w:rsidP="00366B3E">
            <w:pPr>
              <w:rPr>
                <w:rFonts w:cs="Arial"/>
                <w:b/>
                <w:szCs w:val="22"/>
              </w:rPr>
            </w:pPr>
            <w:r w:rsidRPr="00703A0B">
              <w:rPr>
                <w:rFonts w:cs="Arial"/>
                <w:b/>
                <w:szCs w:val="22"/>
              </w:rPr>
              <w:t>202</w:t>
            </w:r>
            <w:r w:rsidR="008623A7" w:rsidRPr="00703A0B">
              <w:rPr>
                <w:rFonts w:cs="Arial"/>
                <w:b/>
                <w:szCs w:val="22"/>
              </w:rPr>
              <w:t>5</w:t>
            </w:r>
            <w:r w:rsidRPr="00703A0B">
              <w:rPr>
                <w:rFonts w:cs="Arial"/>
                <w:b/>
                <w:szCs w:val="22"/>
              </w:rPr>
              <w:t>–2</w:t>
            </w:r>
            <w:r w:rsidR="008623A7" w:rsidRPr="00703A0B">
              <w:rPr>
                <w:rFonts w:cs="Arial"/>
                <w:b/>
                <w:szCs w:val="22"/>
              </w:rPr>
              <w:t>6</w:t>
            </w:r>
            <w:r w:rsidRPr="00703A0B">
              <w:rPr>
                <w:rFonts w:cs="Arial"/>
                <w:b/>
                <w:bCs/>
                <w:szCs w:val="22"/>
              </w:rPr>
              <w:t xml:space="preserve"> </w:t>
            </w:r>
            <w:r w:rsidRPr="00703A0B">
              <w:rPr>
                <w:rFonts w:cs="Arial"/>
                <w:b/>
                <w:szCs w:val="22"/>
              </w:rPr>
              <w:t>Target</w:t>
            </w:r>
            <w:r w:rsidR="00020352" w:rsidRPr="00703A0B">
              <w:rPr>
                <w:rFonts w:cs="Arial"/>
                <w:b/>
                <w:szCs w:val="22"/>
              </w:rPr>
              <w:t xml:space="preserve"> </w:t>
            </w:r>
          </w:p>
        </w:tc>
        <w:tc>
          <w:tcPr>
            <w:tcW w:w="1412" w:type="dxa"/>
            <w:shd w:val="clear" w:color="auto" w:fill="BFBFBF" w:themeFill="background1" w:themeFillShade="BF"/>
          </w:tcPr>
          <w:p w14:paraId="3A163F2E" w14:textId="33C73C1A" w:rsidR="00204D93" w:rsidRPr="00703A0B" w:rsidRDefault="00204D93" w:rsidP="00366B3E">
            <w:pPr>
              <w:rPr>
                <w:rFonts w:cs="Arial"/>
                <w:b/>
              </w:rPr>
            </w:pPr>
            <w:r w:rsidRPr="00703A0B">
              <w:rPr>
                <w:rFonts w:cs="Arial"/>
                <w:b/>
              </w:rPr>
              <w:t>202</w:t>
            </w:r>
            <w:r w:rsidR="008623A7" w:rsidRPr="00703A0B">
              <w:rPr>
                <w:rFonts w:cs="Arial"/>
                <w:b/>
              </w:rPr>
              <w:t>5</w:t>
            </w:r>
            <w:r w:rsidRPr="00703A0B">
              <w:rPr>
                <w:rFonts w:cs="Arial"/>
                <w:b/>
              </w:rPr>
              <w:t>–2</w:t>
            </w:r>
            <w:r w:rsidR="008623A7" w:rsidRPr="00703A0B">
              <w:rPr>
                <w:rFonts w:cs="Arial"/>
                <w:b/>
              </w:rPr>
              <w:t>6</w:t>
            </w:r>
            <w:r w:rsidRPr="00703A0B">
              <w:rPr>
                <w:rFonts w:cs="Arial"/>
                <w:b/>
              </w:rPr>
              <w:t xml:space="preserve"> Est. Actual</w:t>
            </w:r>
            <w:r w:rsidR="00020352" w:rsidRPr="00703A0B">
              <w:rPr>
                <w:rFonts w:cs="Arial"/>
                <w:b/>
              </w:rPr>
              <w:t xml:space="preserve"> </w:t>
            </w:r>
          </w:p>
        </w:tc>
        <w:tc>
          <w:tcPr>
            <w:tcW w:w="1560" w:type="dxa"/>
            <w:shd w:val="clear" w:color="auto" w:fill="BFBFBF" w:themeFill="background1" w:themeFillShade="BF"/>
          </w:tcPr>
          <w:p w14:paraId="0282A081" w14:textId="1A2D9EEA" w:rsidR="00204D93" w:rsidRPr="00703A0B" w:rsidRDefault="00204D93" w:rsidP="00366B3E">
            <w:pPr>
              <w:rPr>
                <w:rFonts w:cs="Arial"/>
                <w:b/>
                <w:szCs w:val="22"/>
              </w:rPr>
            </w:pPr>
            <w:r w:rsidRPr="00703A0B">
              <w:rPr>
                <w:rFonts w:cs="Arial"/>
                <w:b/>
                <w:szCs w:val="22"/>
              </w:rPr>
              <w:t>202</w:t>
            </w:r>
            <w:r w:rsidR="008623A7" w:rsidRPr="00703A0B">
              <w:rPr>
                <w:rFonts w:cs="Arial"/>
                <w:b/>
                <w:szCs w:val="22"/>
              </w:rPr>
              <w:t>5</w:t>
            </w:r>
            <w:r w:rsidRPr="00703A0B">
              <w:rPr>
                <w:rFonts w:cs="Arial"/>
                <w:b/>
                <w:szCs w:val="22"/>
              </w:rPr>
              <w:t>–2</w:t>
            </w:r>
            <w:r w:rsidR="008623A7" w:rsidRPr="00703A0B">
              <w:rPr>
                <w:rFonts w:cs="Arial"/>
                <w:b/>
                <w:szCs w:val="22"/>
              </w:rPr>
              <w:t>6</w:t>
            </w:r>
            <w:r w:rsidRPr="00703A0B">
              <w:rPr>
                <w:rFonts w:cs="Arial"/>
                <w:b/>
                <w:szCs w:val="22"/>
              </w:rPr>
              <w:t xml:space="preserve"> Actual</w:t>
            </w:r>
          </w:p>
        </w:tc>
        <w:tc>
          <w:tcPr>
            <w:tcW w:w="4004" w:type="dxa"/>
            <w:shd w:val="clear" w:color="auto" w:fill="BFBFBF" w:themeFill="background1" w:themeFillShade="BF"/>
          </w:tcPr>
          <w:p w14:paraId="0103B31E" w14:textId="3C745953" w:rsidR="00204D93" w:rsidRPr="00703A0B" w:rsidRDefault="00BD5A69" w:rsidP="00366B3E">
            <w:pPr>
              <w:rPr>
                <w:rFonts w:cs="Arial"/>
                <w:b/>
                <w:szCs w:val="22"/>
              </w:rPr>
            </w:pPr>
            <w:r w:rsidRPr="00703A0B">
              <w:rPr>
                <w:rFonts w:cs="Arial"/>
                <w:b/>
                <w:szCs w:val="22"/>
              </w:rPr>
              <w:t>Comment</w:t>
            </w:r>
          </w:p>
        </w:tc>
      </w:tr>
      <w:tr w:rsidR="00EC1A8A" w:rsidRPr="00703A0B" w14:paraId="029E6FC9" w14:textId="77777777" w:rsidTr="00955A3B">
        <w:tc>
          <w:tcPr>
            <w:tcW w:w="10809" w:type="dxa"/>
            <w:gridSpan w:val="5"/>
            <w:shd w:val="clear" w:color="auto" w:fill="D9D9D9" w:themeFill="background1" w:themeFillShade="D9"/>
          </w:tcPr>
          <w:p w14:paraId="12C09EF2" w14:textId="77777777" w:rsidR="00204D93" w:rsidRPr="00703A0B" w:rsidRDefault="00204D93" w:rsidP="00366B3E">
            <w:pPr>
              <w:rPr>
                <w:rStyle w:val="Bold"/>
                <w:rFonts w:ascii="Arial" w:hAnsi="Arial" w:cs="Arial"/>
                <w:b w:val="0"/>
                <w:i/>
                <w:sz w:val="22"/>
                <w:szCs w:val="22"/>
              </w:rPr>
            </w:pPr>
            <w:r w:rsidRPr="00703A0B">
              <w:rPr>
                <w:rStyle w:val="Bold"/>
                <w:rFonts w:ascii="Arial" w:hAnsi="Arial" w:cs="Arial"/>
                <w:i/>
                <w:sz w:val="22"/>
                <w:szCs w:val="22"/>
              </w:rPr>
              <w:t>Effectiveness measures</w:t>
            </w:r>
          </w:p>
        </w:tc>
      </w:tr>
      <w:tr w:rsidR="00204D93" w:rsidRPr="00703A0B" w14:paraId="5FFDB2D7" w14:textId="77777777" w:rsidTr="00561DDD">
        <w:tc>
          <w:tcPr>
            <w:tcW w:w="2557" w:type="dxa"/>
          </w:tcPr>
          <w:p w14:paraId="1963E7ED" w14:textId="77777777" w:rsidR="00204D93" w:rsidRPr="00703A0B" w:rsidRDefault="00204D93" w:rsidP="00366B3E">
            <w:pPr>
              <w:rPr>
                <w:rFonts w:cs="Arial"/>
              </w:rPr>
            </w:pPr>
            <w:r w:rsidRPr="00703A0B">
              <w:rPr>
                <w:rFonts w:cs="Arial"/>
              </w:rPr>
              <w:t>Perception of fairness</w:t>
            </w:r>
            <w:r w:rsidR="00AE7E62" w:rsidRPr="00703A0B">
              <w:rPr>
                <w:rFonts w:cs="Arial"/>
              </w:rPr>
              <w:t xml:space="preserve"> </w:t>
            </w:r>
            <w:r w:rsidRPr="00703A0B">
              <w:rPr>
                <w:rFonts w:cs="Arial"/>
              </w:rPr>
              <w:t>in decision-making: percentage of survey respondents agree the final decision was fair</w:t>
            </w:r>
          </w:p>
          <w:p w14:paraId="2A5D07ED" w14:textId="2111FD3E" w:rsidR="00204D93" w:rsidRPr="00703A0B" w:rsidRDefault="00204D93" w:rsidP="00366B3E">
            <w:pPr>
              <w:rPr>
                <w:rFonts w:cs="Arial"/>
              </w:rPr>
            </w:pPr>
          </w:p>
        </w:tc>
        <w:tc>
          <w:tcPr>
            <w:tcW w:w="1276" w:type="dxa"/>
          </w:tcPr>
          <w:p w14:paraId="4E05D0F1" w14:textId="205FF214" w:rsidR="00204D93" w:rsidRPr="00703A0B" w:rsidRDefault="00A70D79" w:rsidP="00366B3E">
            <w:pPr>
              <w:rPr>
                <w:rFonts w:cs="Arial"/>
                <w:color w:val="020A0A" w:themeColor="text1"/>
              </w:rPr>
            </w:pPr>
            <w:r w:rsidRPr="00703A0B">
              <w:rPr>
                <w:rFonts w:cs="Arial"/>
                <w:color w:val="020A0A" w:themeColor="text1"/>
              </w:rPr>
              <w:t>65%</w:t>
            </w:r>
          </w:p>
        </w:tc>
        <w:tc>
          <w:tcPr>
            <w:tcW w:w="1412" w:type="dxa"/>
          </w:tcPr>
          <w:p w14:paraId="502D824B" w14:textId="544B6F42" w:rsidR="00204D93" w:rsidRPr="00703A0B" w:rsidRDefault="00A742A4" w:rsidP="00366B3E">
            <w:pPr>
              <w:rPr>
                <w:rFonts w:cs="Arial"/>
                <w:color w:val="020A0A" w:themeColor="text1"/>
              </w:rPr>
            </w:pPr>
            <w:r w:rsidRPr="00703A0B">
              <w:rPr>
                <w:rFonts w:cs="Arial"/>
                <w:color w:val="020A0A" w:themeColor="text1"/>
              </w:rPr>
              <w:t>59.3</w:t>
            </w:r>
            <w:r w:rsidR="00380A6E" w:rsidRPr="00703A0B">
              <w:rPr>
                <w:rFonts w:cs="Arial"/>
                <w:color w:val="020A0A" w:themeColor="text1"/>
              </w:rPr>
              <w:t>%</w:t>
            </w:r>
          </w:p>
        </w:tc>
        <w:tc>
          <w:tcPr>
            <w:tcW w:w="1560" w:type="dxa"/>
          </w:tcPr>
          <w:p w14:paraId="7CEC61CA" w14:textId="53D9DA4D" w:rsidR="00204D93" w:rsidRPr="00703A0B" w:rsidRDefault="005A5F0F" w:rsidP="00366B3E">
            <w:pPr>
              <w:rPr>
                <w:rFonts w:cs="Arial"/>
              </w:rPr>
            </w:pPr>
            <w:r w:rsidRPr="00703A0B">
              <w:rPr>
                <w:rFonts w:cs="Arial"/>
              </w:rPr>
              <w:t>60.5</w:t>
            </w:r>
            <w:r w:rsidR="008916EA" w:rsidRPr="00703A0B">
              <w:rPr>
                <w:rFonts w:cs="Arial"/>
              </w:rPr>
              <w:t>%</w:t>
            </w:r>
            <w:r w:rsidR="00840BD2" w:rsidRPr="00703A0B">
              <w:rPr>
                <w:rStyle w:val="FootnoteReference"/>
                <w:rFonts w:cs="Arial"/>
              </w:rPr>
              <w:footnoteReference w:id="15"/>
            </w:r>
          </w:p>
        </w:tc>
        <w:tc>
          <w:tcPr>
            <w:tcW w:w="4004" w:type="dxa"/>
          </w:tcPr>
          <w:p w14:paraId="4732ED11" w14:textId="77777777" w:rsidR="00C72466" w:rsidRPr="00703A0B" w:rsidRDefault="00BA5BCE" w:rsidP="00366B3E">
            <w:pPr>
              <w:pStyle w:val="TableNotes"/>
              <w:spacing w:before="0" w:after="0" w:line="240" w:lineRule="auto"/>
              <w:rPr>
                <w:rFonts w:ascii="Arial" w:hAnsi="Arial" w:cs="Arial"/>
                <w:sz w:val="22"/>
                <w:szCs w:val="22"/>
              </w:rPr>
            </w:pPr>
            <w:r w:rsidRPr="00703A0B">
              <w:rPr>
                <w:rFonts w:ascii="Arial" w:hAnsi="Arial" w:cs="Arial"/>
                <w:sz w:val="22"/>
                <w:szCs w:val="22"/>
              </w:rPr>
              <w:t xml:space="preserve">The variance </w:t>
            </w:r>
            <w:r w:rsidR="00D14296" w:rsidRPr="00703A0B">
              <w:rPr>
                <w:rFonts w:ascii="Arial" w:hAnsi="Arial" w:cs="Arial"/>
                <w:sz w:val="22"/>
                <w:szCs w:val="22"/>
              </w:rPr>
              <w:t xml:space="preserve">below the target </w:t>
            </w:r>
            <w:r w:rsidR="0010774E" w:rsidRPr="00703A0B">
              <w:rPr>
                <w:rFonts w:ascii="Arial" w:hAnsi="Arial" w:cs="Arial"/>
                <w:sz w:val="22"/>
                <w:szCs w:val="22"/>
              </w:rPr>
              <w:t>reflects the complexity of achieving decision outcomes that adequately satisfy both parties in a dispute. Further work is being undertaken to ensure transparency in decision making and demonstrate objectiv</w:t>
            </w:r>
            <w:r w:rsidR="00AF31CD" w:rsidRPr="00703A0B">
              <w:rPr>
                <w:rFonts w:ascii="Arial" w:hAnsi="Arial" w:cs="Arial"/>
                <w:sz w:val="22"/>
                <w:szCs w:val="22"/>
              </w:rPr>
              <w:t>e</w:t>
            </w:r>
            <w:r w:rsidR="0010774E" w:rsidRPr="00703A0B">
              <w:rPr>
                <w:rFonts w:ascii="Arial" w:hAnsi="Arial" w:cs="Arial"/>
                <w:sz w:val="22"/>
                <w:szCs w:val="22"/>
              </w:rPr>
              <w:t>, unbiased and fact-based outcomes that have followed a consistent and fair process.</w:t>
            </w:r>
          </w:p>
          <w:p w14:paraId="13708DD4" w14:textId="162C93E8" w:rsidR="00204D93" w:rsidRPr="00703A0B" w:rsidRDefault="0010774E" w:rsidP="00366B3E">
            <w:pPr>
              <w:pStyle w:val="TableNotes"/>
              <w:spacing w:before="0" w:after="0" w:line="240" w:lineRule="auto"/>
              <w:rPr>
                <w:rFonts w:ascii="Arial" w:hAnsi="Arial" w:cs="Arial"/>
                <w:sz w:val="22"/>
                <w:szCs w:val="22"/>
              </w:rPr>
            </w:pPr>
            <w:r w:rsidRPr="00703A0B" w:rsidDel="0010774E">
              <w:rPr>
                <w:rFonts w:ascii="Arial" w:hAnsi="Arial" w:cs="Arial"/>
                <w:sz w:val="22"/>
                <w:szCs w:val="22"/>
              </w:rPr>
              <w:t xml:space="preserve"> </w:t>
            </w:r>
          </w:p>
        </w:tc>
      </w:tr>
      <w:tr w:rsidR="00DB1BE1" w:rsidRPr="00703A0B" w14:paraId="379FC75C" w14:textId="77777777" w:rsidTr="00561DDD">
        <w:tc>
          <w:tcPr>
            <w:tcW w:w="2557" w:type="dxa"/>
          </w:tcPr>
          <w:p w14:paraId="3FC69F24" w14:textId="77777777" w:rsidR="00DB1BE1" w:rsidRPr="00703A0B" w:rsidRDefault="00DB1BE1" w:rsidP="00366B3E">
            <w:pPr>
              <w:rPr>
                <w:rFonts w:cs="Arial"/>
              </w:rPr>
            </w:pPr>
            <w:r w:rsidRPr="00703A0B">
              <w:rPr>
                <w:rFonts w:cs="Arial"/>
              </w:rPr>
              <w:t>Percentage of QBCC decisions set aside (within the financial year period) by the Queensland Civil and Administrative Tribunal</w:t>
            </w:r>
          </w:p>
          <w:p w14:paraId="240460D6" w14:textId="4A2CF72F" w:rsidR="00DB1BE1" w:rsidRPr="00703A0B" w:rsidRDefault="00DB1BE1" w:rsidP="00366B3E">
            <w:pPr>
              <w:rPr>
                <w:rFonts w:cs="Arial"/>
              </w:rPr>
            </w:pPr>
          </w:p>
        </w:tc>
        <w:tc>
          <w:tcPr>
            <w:tcW w:w="1276" w:type="dxa"/>
          </w:tcPr>
          <w:p w14:paraId="5703C6B6" w14:textId="7D4A664E" w:rsidR="00DB1BE1" w:rsidRPr="00703A0B" w:rsidRDefault="00DB1BE1" w:rsidP="00366B3E">
            <w:pPr>
              <w:rPr>
                <w:rFonts w:cs="Arial"/>
              </w:rPr>
            </w:pPr>
            <w:r w:rsidRPr="00703A0B">
              <w:rPr>
                <w:rFonts w:cs="Arial"/>
                <w:color w:val="020A0A" w:themeColor="text1"/>
              </w:rPr>
              <w:t>10%</w:t>
            </w:r>
          </w:p>
        </w:tc>
        <w:tc>
          <w:tcPr>
            <w:tcW w:w="1412" w:type="dxa"/>
          </w:tcPr>
          <w:p w14:paraId="46EB0D35" w14:textId="146DFC05" w:rsidR="00DB1BE1" w:rsidRPr="00703A0B" w:rsidRDefault="005D213C" w:rsidP="00366B3E">
            <w:pPr>
              <w:rPr>
                <w:rFonts w:cs="Arial"/>
              </w:rPr>
            </w:pPr>
            <w:r w:rsidRPr="00703A0B">
              <w:rPr>
                <w:rFonts w:cs="Arial"/>
              </w:rPr>
              <w:t>9.6%</w:t>
            </w:r>
          </w:p>
        </w:tc>
        <w:tc>
          <w:tcPr>
            <w:tcW w:w="1560" w:type="dxa"/>
          </w:tcPr>
          <w:p w14:paraId="426682F8" w14:textId="06B97558" w:rsidR="00DB1BE1" w:rsidRPr="00703A0B" w:rsidRDefault="00102BEB" w:rsidP="00366B3E">
            <w:pPr>
              <w:rPr>
                <w:rFonts w:cs="Arial"/>
              </w:rPr>
            </w:pPr>
            <w:r w:rsidRPr="00703A0B">
              <w:rPr>
                <w:rFonts w:cs="Arial"/>
              </w:rPr>
              <w:t>8.5%</w:t>
            </w:r>
            <w:r w:rsidR="008739B3" w:rsidRPr="00703A0B">
              <w:rPr>
                <w:rStyle w:val="FootnoteReference"/>
                <w:rFonts w:cs="Arial"/>
              </w:rPr>
              <w:footnoteReference w:id="16"/>
            </w:r>
            <w:r w:rsidR="007C645C" w:rsidRPr="00703A0B">
              <w:rPr>
                <w:rFonts w:cs="Arial"/>
                <w:vertAlign w:val="superscript"/>
              </w:rPr>
              <w:t>,</w:t>
            </w:r>
            <w:r w:rsidR="007C645C" w:rsidRPr="00703A0B">
              <w:rPr>
                <w:rStyle w:val="FootnoteReference"/>
                <w:rFonts w:cs="Arial"/>
              </w:rPr>
              <w:footnoteReference w:id="17"/>
            </w:r>
          </w:p>
        </w:tc>
        <w:tc>
          <w:tcPr>
            <w:tcW w:w="4004" w:type="dxa"/>
          </w:tcPr>
          <w:p w14:paraId="71BB4054" w14:textId="7FC43C05" w:rsidR="00C72466" w:rsidRPr="00703A0B" w:rsidRDefault="00F25D59" w:rsidP="00366B3E">
            <w:pPr>
              <w:rPr>
                <w:rFonts w:cs="Arial"/>
              </w:rPr>
            </w:pPr>
            <w:r w:rsidRPr="00703A0B">
              <w:rPr>
                <w:rFonts w:cs="Arial"/>
              </w:rPr>
              <w:t>Several factors contributed to t</w:t>
            </w:r>
            <w:r w:rsidR="004D24DC" w:rsidRPr="00703A0B">
              <w:rPr>
                <w:rFonts w:cs="Arial"/>
              </w:rPr>
              <w:t xml:space="preserve">he </w:t>
            </w:r>
            <w:r w:rsidR="00D47F42" w:rsidRPr="00703A0B">
              <w:rPr>
                <w:rFonts w:cs="Arial"/>
              </w:rPr>
              <w:t xml:space="preserve">variance </w:t>
            </w:r>
            <w:r w:rsidR="00757A21" w:rsidRPr="00703A0B">
              <w:rPr>
                <w:rFonts w:cs="Arial"/>
              </w:rPr>
              <w:t xml:space="preserve">of decision set aside </w:t>
            </w:r>
            <w:r w:rsidR="00D47F42" w:rsidRPr="00703A0B">
              <w:rPr>
                <w:rFonts w:cs="Arial"/>
              </w:rPr>
              <w:t xml:space="preserve">exceeding </w:t>
            </w:r>
            <w:r w:rsidR="001641D6" w:rsidRPr="00703A0B">
              <w:rPr>
                <w:rFonts w:cs="Arial"/>
              </w:rPr>
              <w:t xml:space="preserve">both </w:t>
            </w:r>
            <w:r w:rsidR="00D47F42" w:rsidRPr="00703A0B">
              <w:rPr>
                <w:rFonts w:cs="Arial"/>
              </w:rPr>
              <w:t xml:space="preserve">the </w:t>
            </w:r>
            <w:r w:rsidR="004D24DC" w:rsidRPr="00703A0B">
              <w:rPr>
                <w:rFonts w:cs="Arial"/>
              </w:rPr>
              <w:t>target</w:t>
            </w:r>
            <w:r w:rsidR="00D47F42" w:rsidRPr="00703A0B">
              <w:rPr>
                <w:rFonts w:cs="Arial"/>
              </w:rPr>
              <w:t xml:space="preserve"> and estimated actual</w:t>
            </w:r>
            <w:r w:rsidR="00757A21" w:rsidRPr="00703A0B">
              <w:rPr>
                <w:rFonts w:cs="Arial"/>
              </w:rPr>
              <w:t xml:space="preserve">. These factors include </w:t>
            </w:r>
            <w:r w:rsidR="00B14718" w:rsidRPr="00703A0B">
              <w:rPr>
                <w:rFonts w:cs="Arial"/>
              </w:rPr>
              <w:t xml:space="preserve">the quality of the original </w:t>
            </w:r>
            <w:proofErr w:type="gramStart"/>
            <w:r w:rsidR="00B14718" w:rsidRPr="00703A0B">
              <w:rPr>
                <w:rFonts w:cs="Arial"/>
              </w:rPr>
              <w:t>decision,</w:t>
            </w:r>
            <w:proofErr w:type="gramEnd"/>
            <w:r w:rsidR="00B14718" w:rsidRPr="00703A0B">
              <w:rPr>
                <w:rFonts w:cs="Arial"/>
              </w:rPr>
              <w:t xml:space="preserve"> the number of matters resolved without the need for a hearing and whether new evidence was considered at </w:t>
            </w:r>
            <w:r w:rsidR="00347B98" w:rsidRPr="00703A0B">
              <w:rPr>
                <w:rFonts w:cs="Arial"/>
              </w:rPr>
              <w:t>the</w:t>
            </w:r>
            <w:r w:rsidR="00B14718" w:rsidRPr="00703A0B">
              <w:rPr>
                <w:rFonts w:cs="Arial"/>
              </w:rPr>
              <w:t xml:space="preserve"> hearing. </w:t>
            </w:r>
            <w:r w:rsidR="00E643F2" w:rsidRPr="00703A0B">
              <w:rPr>
                <w:rFonts w:cs="Arial"/>
              </w:rPr>
              <w:t xml:space="preserve">As </w:t>
            </w:r>
            <w:r w:rsidR="00375F66" w:rsidRPr="00703A0B">
              <w:rPr>
                <w:rFonts w:cs="Arial"/>
              </w:rPr>
              <w:t xml:space="preserve">a result, </w:t>
            </w:r>
            <w:r w:rsidR="00B14718" w:rsidRPr="00703A0B">
              <w:rPr>
                <w:rFonts w:cs="Arial"/>
              </w:rPr>
              <w:t xml:space="preserve">year-to-year variation is expected. A lower percentage of decisions set aside indicates better decision quality and improved outcomes in resolving matters before </w:t>
            </w:r>
            <w:r w:rsidR="00FD28DF" w:rsidRPr="00703A0B">
              <w:rPr>
                <w:rFonts w:cs="Arial"/>
              </w:rPr>
              <w:t xml:space="preserve">a </w:t>
            </w:r>
            <w:r w:rsidR="00B14718" w:rsidRPr="00703A0B">
              <w:rPr>
                <w:rFonts w:cs="Arial"/>
              </w:rPr>
              <w:t>hearing</w:t>
            </w:r>
            <w:r w:rsidR="00FD28DF" w:rsidRPr="00703A0B">
              <w:rPr>
                <w:rFonts w:cs="Arial"/>
              </w:rPr>
              <w:t xml:space="preserve"> is required</w:t>
            </w:r>
            <w:r w:rsidR="00B14718" w:rsidRPr="00703A0B">
              <w:rPr>
                <w:rFonts w:cs="Arial"/>
              </w:rPr>
              <w:t>.</w:t>
            </w:r>
          </w:p>
        </w:tc>
      </w:tr>
      <w:tr w:rsidR="00DB1BE1" w:rsidRPr="00703A0B" w14:paraId="0B2417D5" w14:textId="77777777" w:rsidTr="00561DDD">
        <w:tc>
          <w:tcPr>
            <w:tcW w:w="2557" w:type="dxa"/>
          </w:tcPr>
          <w:p w14:paraId="00C4EF81" w14:textId="333F3191" w:rsidR="00DB1BE1" w:rsidRPr="00703A0B" w:rsidRDefault="004576B5" w:rsidP="00366B3E">
            <w:pPr>
              <w:rPr>
                <w:rFonts w:cs="Arial"/>
                <w:color w:val="020A0A" w:themeColor="text1"/>
              </w:rPr>
            </w:pPr>
            <w:r w:rsidRPr="00703A0B">
              <w:rPr>
                <w:rFonts w:cs="Arial"/>
                <w:color w:val="020A0A" w:themeColor="text1"/>
              </w:rPr>
              <w:t>Percentage of category 4–7 licensee regulatory action cases that result in an improved position to meet the minimum financial requirements for sustainable operation</w:t>
            </w:r>
          </w:p>
        </w:tc>
        <w:tc>
          <w:tcPr>
            <w:tcW w:w="1276" w:type="dxa"/>
          </w:tcPr>
          <w:p w14:paraId="1E24C769" w14:textId="1DD0F672" w:rsidR="00DB1BE1" w:rsidRPr="00703A0B" w:rsidRDefault="00DB1BE1" w:rsidP="00366B3E">
            <w:pPr>
              <w:rPr>
                <w:rFonts w:cs="Arial"/>
              </w:rPr>
            </w:pPr>
            <w:r w:rsidRPr="00703A0B">
              <w:rPr>
                <w:rFonts w:cs="Arial"/>
                <w:color w:val="020A0A" w:themeColor="text1"/>
              </w:rPr>
              <w:t>80%</w:t>
            </w:r>
          </w:p>
        </w:tc>
        <w:tc>
          <w:tcPr>
            <w:tcW w:w="1412" w:type="dxa"/>
          </w:tcPr>
          <w:p w14:paraId="0402CCAF" w14:textId="66A208F0" w:rsidR="00DB1BE1" w:rsidRPr="00703A0B" w:rsidRDefault="00A70D79" w:rsidP="00366B3E">
            <w:pPr>
              <w:rPr>
                <w:rFonts w:cs="Arial"/>
              </w:rPr>
            </w:pPr>
            <w:r w:rsidRPr="00703A0B">
              <w:rPr>
                <w:rFonts w:cs="Arial"/>
              </w:rPr>
              <w:t>80%</w:t>
            </w:r>
          </w:p>
        </w:tc>
        <w:tc>
          <w:tcPr>
            <w:tcW w:w="1560" w:type="dxa"/>
          </w:tcPr>
          <w:p w14:paraId="3FCF6645" w14:textId="7906D405" w:rsidR="3B9AEA95" w:rsidRPr="00703A0B" w:rsidRDefault="3B9AEA95" w:rsidP="00366B3E">
            <w:pPr>
              <w:rPr>
                <w:rFonts w:cs="Arial"/>
              </w:rPr>
            </w:pPr>
            <w:r w:rsidRPr="00703A0B">
              <w:rPr>
                <w:rFonts w:cs="Arial"/>
              </w:rPr>
              <w:t xml:space="preserve"> 93%</w:t>
            </w:r>
            <w:r w:rsidR="006423EB" w:rsidRPr="00703A0B">
              <w:rPr>
                <w:rFonts w:cs="Arial"/>
                <w:vertAlign w:val="superscript"/>
              </w:rPr>
              <w:t>1</w:t>
            </w:r>
            <w:r w:rsidR="001372F8" w:rsidRPr="00703A0B">
              <w:rPr>
                <w:rFonts w:cs="Arial"/>
                <w:vertAlign w:val="superscript"/>
              </w:rPr>
              <w:t>5</w:t>
            </w:r>
            <w:r w:rsidR="006423EB" w:rsidRPr="00703A0B">
              <w:rPr>
                <w:rFonts w:cs="Arial"/>
                <w:vertAlign w:val="superscript"/>
              </w:rPr>
              <w:t>,1</w:t>
            </w:r>
            <w:r w:rsidR="001372F8" w:rsidRPr="00703A0B">
              <w:rPr>
                <w:rFonts w:cs="Arial"/>
                <w:vertAlign w:val="superscript"/>
              </w:rPr>
              <w:t>6</w:t>
            </w:r>
          </w:p>
          <w:p w14:paraId="7A7303C4" w14:textId="3A9D340B" w:rsidR="00DB1BE1" w:rsidRPr="00703A0B" w:rsidRDefault="00DB1BE1" w:rsidP="00366B3E">
            <w:pPr>
              <w:rPr>
                <w:rFonts w:cs="Arial"/>
              </w:rPr>
            </w:pPr>
          </w:p>
        </w:tc>
        <w:tc>
          <w:tcPr>
            <w:tcW w:w="4004" w:type="dxa"/>
          </w:tcPr>
          <w:p w14:paraId="29646284" w14:textId="34E0A660" w:rsidR="00DB1BE1" w:rsidRPr="00703A0B" w:rsidRDefault="2D5C0392" w:rsidP="00BB09BC">
            <w:pPr>
              <w:rPr>
                <w:rFonts w:ascii="Segoe UI" w:eastAsia="Segoe UI" w:hAnsi="Segoe UI" w:cs="Segoe UI"/>
                <w:sz w:val="21"/>
                <w:szCs w:val="21"/>
              </w:rPr>
            </w:pPr>
            <w:r w:rsidRPr="00703A0B">
              <w:t>The</w:t>
            </w:r>
            <w:r w:rsidR="00D47F42" w:rsidRPr="00703A0B">
              <w:t xml:space="preserve"> variance </w:t>
            </w:r>
            <w:r w:rsidR="00E26970" w:rsidRPr="00703A0B">
              <w:t xml:space="preserve">exceeding </w:t>
            </w:r>
            <w:r w:rsidR="001641D6" w:rsidRPr="00703A0B">
              <w:t xml:space="preserve">both </w:t>
            </w:r>
            <w:r w:rsidR="00E26970" w:rsidRPr="00703A0B">
              <w:t xml:space="preserve">the target and estimated actual </w:t>
            </w:r>
            <w:r w:rsidRPr="00703A0B">
              <w:t xml:space="preserve">reflects </w:t>
            </w:r>
            <w:r w:rsidR="008D7447" w:rsidRPr="00703A0B">
              <w:t xml:space="preserve">the </w:t>
            </w:r>
            <w:r w:rsidRPr="00703A0B">
              <w:t xml:space="preserve">QBCC's risk-based and proportionate approach, </w:t>
            </w:r>
            <w:r w:rsidR="008D7447" w:rsidRPr="00703A0B">
              <w:t xml:space="preserve">including </w:t>
            </w:r>
            <w:r w:rsidRPr="00703A0B">
              <w:t xml:space="preserve">a focus on early engagement, financial monitoring and </w:t>
            </w:r>
            <w:r w:rsidR="42DA11F6" w:rsidRPr="00703A0B">
              <w:t>supporting established plans to return to</w:t>
            </w:r>
            <w:r w:rsidRPr="00703A0B">
              <w:t xml:space="preserve"> compliance. By acting as a proactive regulatory partner, </w:t>
            </w:r>
            <w:r w:rsidR="00577560" w:rsidRPr="00703A0B">
              <w:t xml:space="preserve">the </w:t>
            </w:r>
            <w:r w:rsidRPr="00703A0B">
              <w:t>QBCC worked collaboratively with industry to address financial risks early</w:t>
            </w:r>
            <w:r w:rsidR="005D160F" w:rsidRPr="00703A0B">
              <w:t>,</w:t>
            </w:r>
            <w:r w:rsidRPr="00703A0B">
              <w:t xml:space="preserve"> while focusing </w:t>
            </w:r>
            <w:r w:rsidR="00621134" w:rsidRPr="00703A0B">
              <w:t>targeting regu</w:t>
            </w:r>
            <w:r w:rsidRPr="00703A0B">
              <w:t xml:space="preserve">latory intervention </w:t>
            </w:r>
            <w:r w:rsidR="00621134" w:rsidRPr="00703A0B">
              <w:t>towards</w:t>
            </w:r>
            <w:r w:rsidRPr="00703A0B">
              <w:t xml:space="preserve"> higher-risk matters.</w:t>
            </w:r>
          </w:p>
        </w:tc>
      </w:tr>
      <w:tr w:rsidR="00C05EDA" w:rsidRPr="00703A0B" w14:paraId="40E675DD" w14:textId="77777777" w:rsidTr="00561DDD">
        <w:tc>
          <w:tcPr>
            <w:tcW w:w="2557" w:type="dxa"/>
          </w:tcPr>
          <w:p w14:paraId="6D1C6DE7" w14:textId="2DEF5AD8" w:rsidR="00C05EDA" w:rsidRPr="00703A0B" w:rsidRDefault="00C05EDA" w:rsidP="00366B3E">
            <w:pPr>
              <w:rPr>
                <w:rFonts w:cs="Arial"/>
              </w:rPr>
            </w:pPr>
            <w:r w:rsidRPr="00703A0B">
              <w:rPr>
                <w:rFonts w:cs="Arial"/>
              </w:rPr>
              <w:t xml:space="preserve">Percentage of non-compliant plumbing and drainage licensees </w:t>
            </w:r>
            <w:r w:rsidRPr="00703A0B">
              <w:rPr>
                <w:rFonts w:cs="Arial"/>
              </w:rPr>
              <w:lastRenderedPageBreak/>
              <w:t>achieving compliance with notifiable work requirements upon a subsequent re-audit</w:t>
            </w:r>
          </w:p>
        </w:tc>
        <w:tc>
          <w:tcPr>
            <w:tcW w:w="1276" w:type="dxa"/>
          </w:tcPr>
          <w:p w14:paraId="76B11EEA" w14:textId="34C5DD9A" w:rsidR="00C05EDA" w:rsidRPr="00703A0B" w:rsidRDefault="00C05EDA" w:rsidP="00366B3E">
            <w:pPr>
              <w:rPr>
                <w:rFonts w:cs="Arial"/>
              </w:rPr>
            </w:pPr>
            <w:r w:rsidRPr="00703A0B">
              <w:rPr>
                <w:rFonts w:cs="Arial"/>
              </w:rPr>
              <w:lastRenderedPageBreak/>
              <w:t>75%</w:t>
            </w:r>
          </w:p>
        </w:tc>
        <w:tc>
          <w:tcPr>
            <w:tcW w:w="1412" w:type="dxa"/>
          </w:tcPr>
          <w:p w14:paraId="03FBFBB6" w14:textId="11F9127C" w:rsidR="00C05EDA" w:rsidRPr="00703A0B" w:rsidRDefault="005D213C" w:rsidP="00366B3E">
            <w:pPr>
              <w:rPr>
                <w:rFonts w:cs="Arial"/>
              </w:rPr>
            </w:pPr>
            <w:r w:rsidRPr="00703A0B">
              <w:rPr>
                <w:rFonts w:cs="Arial"/>
              </w:rPr>
              <w:t>80%</w:t>
            </w:r>
          </w:p>
        </w:tc>
        <w:tc>
          <w:tcPr>
            <w:tcW w:w="1560" w:type="dxa"/>
          </w:tcPr>
          <w:p w14:paraId="74F41C9A" w14:textId="1600C991" w:rsidR="00C05EDA" w:rsidRPr="00703A0B" w:rsidDel="00112E69" w:rsidRDefault="007C76DE" w:rsidP="00366B3E">
            <w:pPr>
              <w:rPr>
                <w:rFonts w:cs="Arial"/>
              </w:rPr>
            </w:pPr>
            <w:r w:rsidRPr="00703A0B">
              <w:rPr>
                <w:rFonts w:cs="Arial"/>
              </w:rPr>
              <w:t>81%</w:t>
            </w:r>
            <w:r w:rsidR="002714E0" w:rsidRPr="00703A0B">
              <w:rPr>
                <w:rFonts w:cs="Arial"/>
                <w:vertAlign w:val="superscript"/>
              </w:rPr>
              <w:t>1</w:t>
            </w:r>
            <w:r w:rsidR="00C53A41" w:rsidRPr="00703A0B">
              <w:rPr>
                <w:rFonts w:cs="Arial"/>
                <w:vertAlign w:val="superscript"/>
              </w:rPr>
              <w:t>5</w:t>
            </w:r>
          </w:p>
        </w:tc>
        <w:tc>
          <w:tcPr>
            <w:tcW w:w="4004" w:type="dxa"/>
          </w:tcPr>
          <w:p w14:paraId="53FA3595" w14:textId="6768BACF" w:rsidR="00C05EDA" w:rsidRPr="00703A0B" w:rsidRDefault="008A55E4" w:rsidP="00366B3E">
            <w:pPr>
              <w:rPr>
                <w:rFonts w:cs="Arial"/>
              </w:rPr>
            </w:pPr>
            <w:r w:rsidRPr="00703A0B">
              <w:rPr>
                <w:rFonts w:cs="Arial"/>
              </w:rPr>
              <w:t xml:space="preserve">The </w:t>
            </w:r>
            <w:r w:rsidR="00AF7749" w:rsidRPr="00703A0B">
              <w:rPr>
                <w:rFonts w:cs="Arial"/>
              </w:rPr>
              <w:t xml:space="preserve">variance </w:t>
            </w:r>
            <w:r w:rsidR="002714E0" w:rsidRPr="00703A0B">
              <w:rPr>
                <w:rFonts w:cs="Arial"/>
              </w:rPr>
              <w:t xml:space="preserve">exceeding the </w:t>
            </w:r>
            <w:r w:rsidR="00081C86" w:rsidRPr="00703A0B">
              <w:rPr>
                <w:rFonts w:cs="Arial"/>
              </w:rPr>
              <w:t>target</w:t>
            </w:r>
            <w:r w:rsidR="002714E0" w:rsidRPr="00703A0B">
              <w:rPr>
                <w:rFonts w:cs="Arial"/>
              </w:rPr>
              <w:t xml:space="preserve"> reflects</w:t>
            </w:r>
            <w:r w:rsidR="000839CD" w:rsidRPr="00703A0B">
              <w:rPr>
                <w:rFonts w:cs="Arial"/>
              </w:rPr>
              <w:t xml:space="preserve"> the effectiveness of the QBCC’s</w:t>
            </w:r>
            <w:r w:rsidR="002714E0" w:rsidRPr="00703A0B">
              <w:rPr>
                <w:rFonts w:cs="Arial"/>
              </w:rPr>
              <w:t xml:space="preserve"> </w:t>
            </w:r>
            <w:r w:rsidR="0063704A" w:rsidRPr="00703A0B">
              <w:rPr>
                <w:rFonts w:cs="Arial"/>
              </w:rPr>
              <w:t xml:space="preserve">proactive communication, </w:t>
            </w:r>
            <w:r w:rsidR="0063704A" w:rsidRPr="00703A0B">
              <w:rPr>
                <w:rFonts w:cs="Arial"/>
              </w:rPr>
              <w:lastRenderedPageBreak/>
              <w:t xml:space="preserve">engagement and education </w:t>
            </w:r>
            <w:r w:rsidR="000839CD" w:rsidRPr="00703A0B">
              <w:rPr>
                <w:rFonts w:cs="Arial"/>
              </w:rPr>
              <w:t>initiatives</w:t>
            </w:r>
            <w:r w:rsidR="00363317" w:rsidRPr="00703A0B">
              <w:rPr>
                <w:rFonts w:cs="Arial"/>
              </w:rPr>
              <w:t>. As a result, both f</w:t>
            </w:r>
            <w:r w:rsidR="00DF79D1" w:rsidRPr="00703A0B">
              <w:rPr>
                <w:rFonts w:cs="Arial"/>
              </w:rPr>
              <w:t>irst</w:t>
            </w:r>
            <w:r w:rsidR="00363317" w:rsidRPr="00703A0B">
              <w:rPr>
                <w:rFonts w:cs="Arial"/>
              </w:rPr>
              <w:t>-time</w:t>
            </w:r>
            <w:r w:rsidR="00DF79D1" w:rsidRPr="00703A0B">
              <w:rPr>
                <w:rFonts w:cs="Arial"/>
              </w:rPr>
              <w:t xml:space="preserve"> </w:t>
            </w:r>
            <w:r w:rsidR="00555CA8" w:rsidRPr="00703A0B">
              <w:rPr>
                <w:rFonts w:cs="Arial"/>
              </w:rPr>
              <w:t xml:space="preserve">and repeat </w:t>
            </w:r>
            <w:r w:rsidR="00F12839" w:rsidRPr="00703A0B">
              <w:rPr>
                <w:rFonts w:cs="Arial"/>
              </w:rPr>
              <w:t>instances of n</w:t>
            </w:r>
            <w:r w:rsidR="00555CA8" w:rsidRPr="00703A0B">
              <w:rPr>
                <w:rFonts w:cs="Arial"/>
              </w:rPr>
              <w:t xml:space="preserve">on-compliance with notifiable work requirements </w:t>
            </w:r>
            <w:r w:rsidR="00F12839" w:rsidRPr="00703A0B">
              <w:rPr>
                <w:rFonts w:cs="Arial"/>
              </w:rPr>
              <w:t xml:space="preserve">have </w:t>
            </w:r>
            <w:r w:rsidR="00555CA8" w:rsidRPr="00703A0B">
              <w:rPr>
                <w:rFonts w:cs="Arial"/>
              </w:rPr>
              <w:t>continue</w:t>
            </w:r>
            <w:r w:rsidR="001E1F1B" w:rsidRPr="00703A0B">
              <w:rPr>
                <w:rFonts w:cs="Arial"/>
              </w:rPr>
              <w:t>d</w:t>
            </w:r>
            <w:r w:rsidR="00555CA8" w:rsidRPr="00703A0B">
              <w:rPr>
                <w:rFonts w:cs="Arial"/>
              </w:rPr>
              <w:t xml:space="preserve"> to </w:t>
            </w:r>
            <w:r w:rsidR="00F12839" w:rsidRPr="00703A0B">
              <w:rPr>
                <w:rFonts w:cs="Arial"/>
              </w:rPr>
              <w:t>decline</w:t>
            </w:r>
            <w:r w:rsidR="00613552" w:rsidRPr="00703A0B">
              <w:rPr>
                <w:rFonts w:cs="Arial"/>
              </w:rPr>
              <w:t xml:space="preserve">. </w:t>
            </w:r>
          </w:p>
        </w:tc>
      </w:tr>
      <w:tr w:rsidR="00C05EDA" w:rsidRPr="00703A0B" w14:paraId="046EB048" w14:textId="77777777" w:rsidTr="00561DDD">
        <w:tc>
          <w:tcPr>
            <w:tcW w:w="2557" w:type="dxa"/>
          </w:tcPr>
          <w:p w14:paraId="4B540686" w14:textId="23A6232A" w:rsidR="00C05EDA" w:rsidRPr="00703A0B" w:rsidRDefault="00C05EDA" w:rsidP="00366B3E">
            <w:pPr>
              <w:rPr>
                <w:rFonts w:cs="Arial"/>
              </w:rPr>
            </w:pPr>
            <w:r w:rsidRPr="00703A0B">
              <w:rPr>
                <w:rFonts w:cs="Arial"/>
              </w:rPr>
              <w:lastRenderedPageBreak/>
              <w:t>Percentage of complaints about undisputed monies owed that result in individuals receiving full payment after QBCC involvement</w:t>
            </w:r>
          </w:p>
        </w:tc>
        <w:tc>
          <w:tcPr>
            <w:tcW w:w="1276" w:type="dxa"/>
          </w:tcPr>
          <w:p w14:paraId="718B19D2" w14:textId="7C78EA6A" w:rsidR="00C05EDA" w:rsidRPr="00703A0B" w:rsidRDefault="00C05EDA" w:rsidP="00366B3E">
            <w:pPr>
              <w:rPr>
                <w:rFonts w:cs="Arial"/>
              </w:rPr>
            </w:pPr>
            <w:r w:rsidRPr="00703A0B">
              <w:rPr>
                <w:rFonts w:cs="Arial"/>
                <w:szCs w:val="19"/>
              </w:rPr>
              <w:t>50%</w:t>
            </w:r>
            <w:r w:rsidRPr="00703A0B">
              <w:rPr>
                <w:rFonts w:cs="Arial"/>
                <w:szCs w:val="19"/>
                <w:lang w:eastAsia="en-AU"/>
              </w:rPr>
              <w:t xml:space="preserve"> </w:t>
            </w:r>
          </w:p>
        </w:tc>
        <w:tc>
          <w:tcPr>
            <w:tcW w:w="1412" w:type="dxa"/>
          </w:tcPr>
          <w:p w14:paraId="006A70A6" w14:textId="4ACA91EF" w:rsidR="00C05EDA" w:rsidRPr="00703A0B" w:rsidRDefault="005D213C" w:rsidP="00366B3E">
            <w:pPr>
              <w:rPr>
                <w:rFonts w:cs="Arial"/>
              </w:rPr>
            </w:pPr>
            <w:r w:rsidRPr="00703A0B">
              <w:rPr>
                <w:rFonts w:cs="Arial"/>
              </w:rPr>
              <w:t>56%</w:t>
            </w:r>
          </w:p>
        </w:tc>
        <w:tc>
          <w:tcPr>
            <w:tcW w:w="1560" w:type="dxa"/>
          </w:tcPr>
          <w:p w14:paraId="0E703E64" w14:textId="37418788" w:rsidR="00C05EDA" w:rsidRPr="00703A0B" w:rsidDel="00112E69" w:rsidRDefault="00BE1A87" w:rsidP="00366B3E">
            <w:pPr>
              <w:rPr>
                <w:rFonts w:cs="Arial"/>
              </w:rPr>
            </w:pPr>
            <w:r w:rsidRPr="00703A0B">
              <w:rPr>
                <w:rFonts w:cs="Arial"/>
              </w:rPr>
              <w:t>56%</w:t>
            </w:r>
            <w:r w:rsidR="004069F7" w:rsidRPr="00703A0B">
              <w:rPr>
                <w:rFonts w:cs="Arial"/>
                <w:vertAlign w:val="superscript"/>
              </w:rPr>
              <w:t>1</w:t>
            </w:r>
            <w:r w:rsidR="003F6FEE" w:rsidRPr="00703A0B">
              <w:rPr>
                <w:rFonts w:cs="Arial"/>
                <w:vertAlign w:val="superscript"/>
              </w:rPr>
              <w:t>5</w:t>
            </w:r>
          </w:p>
        </w:tc>
        <w:tc>
          <w:tcPr>
            <w:tcW w:w="4004" w:type="dxa"/>
          </w:tcPr>
          <w:p w14:paraId="03162AA5" w14:textId="1DDCF2AA" w:rsidR="00C05EDA" w:rsidRPr="00703A0B" w:rsidRDefault="008A55E4" w:rsidP="00366B3E">
            <w:pPr>
              <w:rPr>
                <w:rFonts w:cs="Arial"/>
                <w:highlight w:val="yellow"/>
              </w:rPr>
            </w:pPr>
            <w:r w:rsidRPr="00703A0B">
              <w:rPr>
                <w:rFonts w:cs="Arial"/>
              </w:rPr>
              <w:t xml:space="preserve">The </w:t>
            </w:r>
            <w:r w:rsidR="003D613B" w:rsidRPr="00703A0B">
              <w:rPr>
                <w:rFonts w:cs="Arial"/>
              </w:rPr>
              <w:t>variance</w:t>
            </w:r>
            <w:r w:rsidR="00472224" w:rsidRPr="00703A0B">
              <w:rPr>
                <w:rFonts w:cs="Arial"/>
              </w:rPr>
              <w:t xml:space="preserve"> exceeding the target reflects </w:t>
            </w:r>
            <w:r w:rsidR="00743F5A" w:rsidRPr="00703A0B">
              <w:rPr>
                <w:rFonts w:cs="Arial"/>
              </w:rPr>
              <w:t xml:space="preserve">improved classification </w:t>
            </w:r>
            <w:r w:rsidR="006858B3" w:rsidRPr="00703A0B">
              <w:rPr>
                <w:rFonts w:cs="Arial"/>
              </w:rPr>
              <w:t>of disputed</w:t>
            </w:r>
            <w:r w:rsidR="001C6665" w:rsidRPr="00703A0B">
              <w:rPr>
                <w:rFonts w:cs="Arial"/>
              </w:rPr>
              <w:t xml:space="preserve"> and </w:t>
            </w:r>
            <w:r w:rsidR="006858B3" w:rsidRPr="00703A0B">
              <w:rPr>
                <w:rFonts w:cs="Arial"/>
              </w:rPr>
              <w:t>undisputed matters</w:t>
            </w:r>
            <w:r w:rsidR="001C6665" w:rsidRPr="00703A0B">
              <w:rPr>
                <w:rFonts w:cs="Arial"/>
              </w:rPr>
              <w:t xml:space="preserve">, </w:t>
            </w:r>
            <w:r w:rsidR="00743F5A" w:rsidRPr="00703A0B">
              <w:rPr>
                <w:rFonts w:cs="Arial"/>
              </w:rPr>
              <w:t>as well as greater</w:t>
            </w:r>
            <w:r w:rsidR="00FC30E1" w:rsidRPr="00703A0B">
              <w:rPr>
                <w:rFonts w:cs="Arial"/>
              </w:rPr>
              <w:t xml:space="preserve"> industry awareness </w:t>
            </w:r>
            <w:r w:rsidR="008D64D5" w:rsidRPr="00703A0B">
              <w:rPr>
                <w:rFonts w:cs="Arial"/>
              </w:rPr>
              <w:t>generated through</w:t>
            </w:r>
            <w:r w:rsidR="00F75723" w:rsidRPr="00703A0B">
              <w:rPr>
                <w:rFonts w:cs="Arial"/>
              </w:rPr>
              <w:t xml:space="preserve"> </w:t>
            </w:r>
            <w:r w:rsidR="00FC30E1" w:rsidRPr="00703A0B">
              <w:rPr>
                <w:rFonts w:cs="Arial"/>
              </w:rPr>
              <w:t>enforcement campaigns.</w:t>
            </w:r>
          </w:p>
        </w:tc>
      </w:tr>
      <w:tr w:rsidR="00DB1BE1" w:rsidRPr="00703A0B" w14:paraId="24DAD2BF" w14:textId="77777777" w:rsidTr="00955A3B">
        <w:tc>
          <w:tcPr>
            <w:tcW w:w="10809" w:type="dxa"/>
            <w:gridSpan w:val="5"/>
            <w:shd w:val="clear" w:color="auto" w:fill="D9D9D9" w:themeFill="background1" w:themeFillShade="D9"/>
          </w:tcPr>
          <w:p w14:paraId="02B2EA80" w14:textId="5BF9B178" w:rsidR="00DB1BE1" w:rsidRPr="00703A0B" w:rsidRDefault="00DB1BE1" w:rsidP="00366B3E">
            <w:pPr>
              <w:rPr>
                <w:rStyle w:val="Bold"/>
                <w:rFonts w:ascii="Arial" w:hAnsi="Arial" w:cs="Arial"/>
                <w:i/>
                <w:sz w:val="22"/>
                <w:szCs w:val="22"/>
                <w:highlight w:val="yellow"/>
              </w:rPr>
            </w:pPr>
            <w:r w:rsidRPr="00703A0B">
              <w:rPr>
                <w:rStyle w:val="Bold"/>
                <w:rFonts w:ascii="Arial" w:hAnsi="Arial" w:cs="Arial"/>
                <w:i/>
                <w:sz w:val="22"/>
                <w:szCs w:val="22"/>
              </w:rPr>
              <w:t>Efficiency measures</w:t>
            </w:r>
          </w:p>
        </w:tc>
      </w:tr>
      <w:tr w:rsidR="00AD6DD4" w:rsidRPr="00703A0B" w14:paraId="194719E3" w14:textId="77777777" w:rsidTr="00561DDD">
        <w:tc>
          <w:tcPr>
            <w:tcW w:w="2557" w:type="dxa"/>
          </w:tcPr>
          <w:p w14:paraId="49A8FA32" w14:textId="202207CC" w:rsidR="00AD6DD4" w:rsidRPr="00703A0B" w:rsidRDefault="00AD6DD4" w:rsidP="00366B3E">
            <w:pPr>
              <w:rPr>
                <w:rFonts w:cs="Arial"/>
                <w:iCs/>
              </w:rPr>
            </w:pPr>
            <w:r w:rsidRPr="00703A0B">
              <w:rPr>
                <w:rFonts w:cs="Arial"/>
              </w:rPr>
              <w:t xml:space="preserve">Cost to assess and finalise a new licence application made under the </w:t>
            </w:r>
            <w:r w:rsidRPr="00703A0B">
              <w:rPr>
                <w:rFonts w:cs="Arial"/>
                <w:i/>
              </w:rPr>
              <w:t xml:space="preserve">Queensland Building and Construction </w:t>
            </w:r>
            <w:r w:rsidR="0016587A" w:rsidRPr="00703A0B">
              <w:rPr>
                <w:rFonts w:cs="Arial"/>
                <w:i/>
              </w:rPr>
              <w:t xml:space="preserve">Commission </w:t>
            </w:r>
            <w:r w:rsidRPr="00703A0B">
              <w:rPr>
                <w:rFonts w:cs="Arial"/>
                <w:i/>
              </w:rPr>
              <w:t>Act 1991</w:t>
            </w:r>
            <w:r w:rsidRPr="00703A0B">
              <w:rPr>
                <w:rFonts w:cs="Arial"/>
              </w:rPr>
              <w:t xml:space="preserve">, the </w:t>
            </w:r>
            <w:r w:rsidRPr="00703A0B">
              <w:rPr>
                <w:rFonts w:cs="Arial"/>
                <w:i/>
              </w:rPr>
              <w:t>Building Act 1975</w:t>
            </w:r>
            <w:r w:rsidRPr="00703A0B">
              <w:rPr>
                <w:rFonts w:cs="Arial"/>
              </w:rPr>
              <w:t xml:space="preserve">, and the </w:t>
            </w:r>
            <w:r w:rsidRPr="00703A0B">
              <w:rPr>
                <w:rFonts w:cs="Arial"/>
                <w:i/>
              </w:rPr>
              <w:t>Plumbing and Drainage Act 2018</w:t>
            </w:r>
          </w:p>
        </w:tc>
        <w:tc>
          <w:tcPr>
            <w:tcW w:w="1276" w:type="dxa"/>
          </w:tcPr>
          <w:p w14:paraId="72933850" w14:textId="74AED4EC" w:rsidR="00AD6DD4" w:rsidRPr="00703A0B" w:rsidRDefault="00AD6DD4" w:rsidP="00366B3E">
            <w:pPr>
              <w:rPr>
                <w:rFonts w:cs="Arial"/>
              </w:rPr>
            </w:pPr>
            <w:r w:rsidRPr="00703A0B">
              <w:rPr>
                <w:rFonts w:cs="Arial"/>
              </w:rPr>
              <w:t>$1,712</w:t>
            </w:r>
          </w:p>
        </w:tc>
        <w:tc>
          <w:tcPr>
            <w:tcW w:w="1412" w:type="dxa"/>
          </w:tcPr>
          <w:p w14:paraId="14E44156" w14:textId="583C7996" w:rsidR="00AD6DD4" w:rsidRPr="00703A0B" w:rsidRDefault="00CF1059" w:rsidP="00366B3E">
            <w:pPr>
              <w:rPr>
                <w:rFonts w:cs="Arial"/>
              </w:rPr>
            </w:pPr>
            <w:r w:rsidRPr="00703A0B">
              <w:rPr>
                <w:rFonts w:cs="Arial"/>
              </w:rPr>
              <w:t>$1,600</w:t>
            </w:r>
          </w:p>
        </w:tc>
        <w:tc>
          <w:tcPr>
            <w:tcW w:w="1560" w:type="dxa"/>
          </w:tcPr>
          <w:p w14:paraId="13AB45DB" w14:textId="622543C1" w:rsidR="00AD6DD4" w:rsidRPr="00703A0B" w:rsidRDefault="00E95CC1" w:rsidP="00366B3E">
            <w:pPr>
              <w:rPr>
                <w:rFonts w:cs="Arial"/>
              </w:rPr>
            </w:pPr>
            <w:r w:rsidRPr="00703A0B">
              <w:rPr>
                <w:rFonts w:cs="Arial"/>
              </w:rPr>
              <w:t>$1,484.35</w:t>
            </w:r>
            <w:r w:rsidR="0073599F" w:rsidRPr="00703A0B">
              <w:rPr>
                <w:rFonts w:cs="Arial"/>
                <w:vertAlign w:val="superscript"/>
              </w:rPr>
              <w:t>1</w:t>
            </w:r>
            <w:r w:rsidR="00EB0E09" w:rsidRPr="00703A0B">
              <w:rPr>
                <w:rFonts w:cs="Arial"/>
                <w:vertAlign w:val="superscript"/>
              </w:rPr>
              <w:t>5</w:t>
            </w:r>
            <w:r w:rsidR="00253CAA" w:rsidRPr="00703A0B">
              <w:rPr>
                <w:rFonts w:cs="Arial"/>
                <w:vertAlign w:val="superscript"/>
              </w:rPr>
              <w:t>,1</w:t>
            </w:r>
            <w:r w:rsidR="00EB0E09" w:rsidRPr="00703A0B">
              <w:rPr>
                <w:rFonts w:cs="Arial"/>
                <w:vertAlign w:val="superscript"/>
              </w:rPr>
              <w:t>6</w:t>
            </w:r>
          </w:p>
        </w:tc>
        <w:tc>
          <w:tcPr>
            <w:tcW w:w="4004" w:type="dxa"/>
          </w:tcPr>
          <w:p w14:paraId="2CA38C38" w14:textId="78F2AAA9" w:rsidR="00AD6DD4" w:rsidRPr="00703A0B" w:rsidRDefault="009F2458" w:rsidP="00366B3E">
            <w:pPr>
              <w:rPr>
                <w:rFonts w:cs="Arial"/>
              </w:rPr>
            </w:pPr>
            <w:r w:rsidRPr="00703A0B">
              <w:rPr>
                <w:rFonts w:cs="Arial"/>
              </w:rPr>
              <w:t xml:space="preserve">The </w:t>
            </w:r>
            <w:r w:rsidR="00CA3059" w:rsidRPr="00703A0B">
              <w:rPr>
                <w:rFonts w:cs="Arial"/>
              </w:rPr>
              <w:t xml:space="preserve">improved </w:t>
            </w:r>
            <w:r w:rsidR="00D077D2" w:rsidRPr="00703A0B">
              <w:rPr>
                <w:rFonts w:cs="Arial"/>
              </w:rPr>
              <w:t xml:space="preserve">variance </w:t>
            </w:r>
            <w:r w:rsidR="0047237E" w:rsidRPr="00703A0B">
              <w:rPr>
                <w:rFonts w:cs="Arial"/>
              </w:rPr>
              <w:t>against</w:t>
            </w:r>
            <w:r w:rsidR="00F57AF8" w:rsidRPr="00703A0B">
              <w:rPr>
                <w:rFonts w:cs="Arial"/>
              </w:rPr>
              <w:t xml:space="preserve"> both </w:t>
            </w:r>
            <w:r w:rsidR="00837B60" w:rsidRPr="00703A0B">
              <w:rPr>
                <w:rFonts w:cs="Arial"/>
              </w:rPr>
              <w:t>the</w:t>
            </w:r>
            <w:r w:rsidR="00D077D2" w:rsidRPr="00703A0B">
              <w:rPr>
                <w:rFonts w:cs="Arial"/>
              </w:rPr>
              <w:t xml:space="preserve"> target</w:t>
            </w:r>
            <w:r w:rsidR="00F57AF8" w:rsidRPr="00703A0B">
              <w:rPr>
                <w:rFonts w:cs="Arial"/>
              </w:rPr>
              <w:t xml:space="preserve"> and estimated actual</w:t>
            </w:r>
            <w:r w:rsidR="00091848" w:rsidRPr="00703A0B">
              <w:rPr>
                <w:rFonts w:cs="Arial"/>
              </w:rPr>
              <w:t xml:space="preserve"> </w:t>
            </w:r>
            <w:r w:rsidR="00837B60" w:rsidRPr="00703A0B">
              <w:rPr>
                <w:rFonts w:cs="Arial"/>
              </w:rPr>
              <w:t xml:space="preserve">reflects </w:t>
            </w:r>
            <w:r w:rsidR="00D077D2" w:rsidRPr="00703A0B">
              <w:rPr>
                <w:rFonts w:cs="Arial"/>
              </w:rPr>
              <w:t>process improvements across the QBCC</w:t>
            </w:r>
            <w:r w:rsidR="00181FDC" w:rsidRPr="00703A0B">
              <w:rPr>
                <w:rFonts w:cs="Arial"/>
              </w:rPr>
              <w:t xml:space="preserve"> licen</w:t>
            </w:r>
            <w:r w:rsidR="00CA3AAD" w:rsidRPr="00703A0B">
              <w:rPr>
                <w:rFonts w:cs="Arial"/>
              </w:rPr>
              <w:t xml:space="preserve">ce processing </w:t>
            </w:r>
            <w:r w:rsidR="00A93B98" w:rsidRPr="00703A0B">
              <w:rPr>
                <w:rFonts w:cs="Arial"/>
              </w:rPr>
              <w:t>functions</w:t>
            </w:r>
            <w:r w:rsidR="00D077D2" w:rsidRPr="00703A0B">
              <w:rPr>
                <w:rFonts w:cs="Arial"/>
              </w:rPr>
              <w:t xml:space="preserve">, improved triaging </w:t>
            </w:r>
            <w:r w:rsidR="00BC56F1" w:rsidRPr="00703A0B">
              <w:rPr>
                <w:rFonts w:cs="Arial"/>
              </w:rPr>
              <w:t xml:space="preserve">and the use of technology to process licence applications more efficiently. </w:t>
            </w:r>
          </w:p>
        </w:tc>
      </w:tr>
    </w:tbl>
    <w:p w14:paraId="748ED71E" w14:textId="03491BB4" w:rsidR="00730C25" w:rsidRPr="00703A0B" w:rsidRDefault="00730C25">
      <w:pPr>
        <w:rPr>
          <w:rFonts w:cs="Arial"/>
        </w:rPr>
      </w:pPr>
      <w:r w:rsidRPr="00703A0B">
        <w:br w:type="page"/>
      </w:r>
    </w:p>
    <w:p w14:paraId="44209AEC" w14:textId="3FD2C8FE" w:rsidR="00C7310F" w:rsidRPr="00703A0B" w:rsidRDefault="00DB5EE5" w:rsidP="00BB54BC">
      <w:pPr>
        <w:pStyle w:val="Heading1"/>
        <w:rPr>
          <w:rFonts w:cs="Arial"/>
        </w:rPr>
      </w:pPr>
      <w:bookmarkStart w:id="216" w:name="_Finances"/>
      <w:bookmarkStart w:id="217" w:name="_Toc206493028"/>
      <w:bookmarkStart w:id="218" w:name="_Toc238101689"/>
      <w:bookmarkEnd w:id="216"/>
      <w:r w:rsidRPr="00703A0B">
        <w:rPr>
          <w:rFonts w:cs="Arial"/>
        </w:rPr>
        <w:lastRenderedPageBreak/>
        <w:t>F</w:t>
      </w:r>
      <w:r w:rsidR="000B0EF4" w:rsidRPr="00703A0B">
        <w:rPr>
          <w:rFonts w:cs="Arial"/>
        </w:rPr>
        <w:t>inances</w:t>
      </w:r>
      <w:bookmarkEnd w:id="217"/>
      <w:bookmarkEnd w:id="218"/>
      <w:r w:rsidR="000B0EF4" w:rsidRPr="00703A0B">
        <w:rPr>
          <w:rFonts w:cs="Arial"/>
        </w:rPr>
        <w:t xml:space="preserve"> </w:t>
      </w:r>
    </w:p>
    <w:p w14:paraId="2997BED5" w14:textId="77777777" w:rsidR="00BB54BC" w:rsidRPr="00703A0B" w:rsidRDefault="00BB54BC" w:rsidP="00100D88"/>
    <w:p w14:paraId="064526B6" w14:textId="68996E9A" w:rsidR="00100D88" w:rsidRPr="00703A0B" w:rsidRDefault="00100D88" w:rsidP="00100D88">
      <w:r w:rsidRPr="00703A0B">
        <w:t xml:space="preserve">The following pages detail the QBCC’s financial performance </w:t>
      </w:r>
      <w:r w:rsidR="00A81283" w:rsidRPr="00703A0B">
        <w:t>for</w:t>
      </w:r>
      <w:r w:rsidRPr="00703A0B">
        <w:t xml:space="preserve"> </w:t>
      </w:r>
      <w:r w:rsidRPr="00703A0B">
        <w:rPr>
          <w:szCs w:val="22"/>
        </w:rPr>
        <w:t>202</w:t>
      </w:r>
      <w:r w:rsidR="00F91CEF" w:rsidRPr="00703A0B">
        <w:rPr>
          <w:szCs w:val="22"/>
        </w:rPr>
        <w:t>5</w:t>
      </w:r>
      <w:r w:rsidR="006D2CD4" w:rsidRPr="00703A0B">
        <w:rPr>
          <w:szCs w:val="22"/>
        </w:rPr>
        <w:t>–</w:t>
      </w:r>
      <w:r w:rsidRPr="00703A0B">
        <w:rPr>
          <w:szCs w:val="22"/>
        </w:rPr>
        <w:t>2</w:t>
      </w:r>
      <w:r w:rsidR="00F91CEF" w:rsidRPr="00703A0B">
        <w:rPr>
          <w:szCs w:val="22"/>
        </w:rPr>
        <w:t>6</w:t>
      </w:r>
      <w:r w:rsidRPr="00703A0B">
        <w:t>.</w:t>
      </w:r>
    </w:p>
    <w:p w14:paraId="06B494C5" w14:textId="77777777" w:rsidR="00C12B87" w:rsidRPr="00703A0B" w:rsidRDefault="00C12B87" w:rsidP="00252741">
      <w:bookmarkStart w:id="219" w:name="_Toc524611847"/>
      <w:bookmarkStart w:id="220" w:name="_Toc13825037"/>
      <w:bookmarkStart w:id="221" w:name="_Toc206493029"/>
    </w:p>
    <w:p w14:paraId="6A1E834D" w14:textId="3E3B5EE7" w:rsidR="00100D88" w:rsidRPr="00703A0B" w:rsidRDefault="00100D88" w:rsidP="00100D88">
      <w:pPr>
        <w:pStyle w:val="Heading2"/>
      </w:pPr>
      <w:bookmarkStart w:id="222" w:name="_Summary_of_financial"/>
      <w:bookmarkStart w:id="223" w:name="_Toc238101690"/>
      <w:bookmarkEnd w:id="222"/>
      <w:r w:rsidRPr="00703A0B">
        <w:t>Summary of financial performance</w:t>
      </w:r>
      <w:bookmarkEnd w:id="219"/>
      <w:bookmarkEnd w:id="220"/>
      <w:bookmarkEnd w:id="221"/>
      <w:bookmarkEnd w:id="223"/>
      <w:r w:rsidRPr="00703A0B">
        <w:t xml:space="preserve"> </w:t>
      </w:r>
    </w:p>
    <w:p w14:paraId="2FA021A0" w14:textId="77777777" w:rsidR="00100D88" w:rsidRPr="00703A0B" w:rsidDel="009059DF" w:rsidRDefault="00100D88" w:rsidP="00100D88">
      <w:pPr>
        <w:rPr>
          <w:szCs w:val="22"/>
        </w:rPr>
      </w:pPr>
    </w:p>
    <w:p w14:paraId="6B0C0521" w14:textId="2F7C5710" w:rsidR="0081591B" w:rsidRPr="00703A0B" w:rsidRDefault="0081591B" w:rsidP="0081591B">
      <w:r w:rsidRPr="00703A0B">
        <w:t xml:space="preserve">The QBCC returned a surplus of $98.94 million in 2025–26 and </w:t>
      </w:r>
      <w:r w:rsidR="00B66F8F" w:rsidRPr="00703A0B">
        <w:t>reported</w:t>
      </w:r>
      <w:r w:rsidRPr="00703A0B">
        <w:t xml:space="preserve"> a net asset position of $448.18 million. </w:t>
      </w:r>
    </w:p>
    <w:p w14:paraId="472DC597" w14:textId="77777777" w:rsidR="0081591B" w:rsidRPr="00703A0B" w:rsidRDefault="0081591B" w:rsidP="0081591B"/>
    <w:p w14:paraId="4201FC69" w14:textId="08A405A6" w:rsidR="0081591B" w:rsidRPr="00703A0B" w:rsidRDefault="0081591B" w:rsidP="0081591B">
      <w:r w:rsidRPr="00703A0B">
        <w:t xml:space="preserve">Total income was $546.35 million, </w:t>
      </w:r>
      <w:r w:rsidR="00FC323A" w:rsidRPr="00703A0B">
        <w:t xml:space="preserve">an increase of </w:t>
      </w:r>
      <w:r w:rsidRPr="00703A0B">
        <w:t>22.</w:t>
      </w:r>
      <w:r w:rsidR="00C91051" w:rsidRPr="00703A0B">
        <w:t>8</w:t>
      </w:r>
      <w:r w:rsidRPr="00703A0B">
        <w:t xml:space="preserve"> per cent </w:t>
      </w:r>
      <w:r w:rsidR="00FC323A" w:rsidRPr="00703A0B">
        <w:t>compared</w:t>
      </w:r>
      <w:r w:rsidR="00C91051" w:rsidRPr="00703A0B">
        <w:t xml:space="preserve"> with </w:t>
      </w:r>
      <w:r w:rsidRPr="00703A0B">
        <w:t xml:space="preserve">2024–25. The </w:t>
      </w:r>
      <w:r w:rsidR="00D00AF4" w:rsidRPr="00703A0B">
        <w:t xml:space="preserve">increase was primarily </w:t>
      </w:r>
      <w:r w:rsidR="007E2FB0" w:rsidRPr="00703A0B">
        <w:t xml:space="preserve">attributed </w:t>
      </w:r>
      <w:r w:rsidRPr="00703A0B">
        <w:t>to:</w:t>
      </w:r>
    </w:p>
    <w:p w14:paraId="613D17B7" w14:textId="44674B82" w:rsidR="0081591B" w:rsidRPr="00703A0B" w:rsidRDefault="0081591B" w:rsidP="0081591B">
      <w:pPr>
        <w:pStyle w:val="ListParagraph"/>
        <w:numPr>
          <w:ilvl w:val="0"/>
          <w:numId w:val="126"/>
        </w:numPr>
        <w:spacing w:after="160" w:line="259" w:lineRule="auto"/>
      </w:pPr>
      <w:r w:rsidRPr="00703A0B">
        <w:t>increase</w:t>
      </w:r>
      <w:r w:rsidR="007E2FB0" w:rsidRPr="00703A0B">
        <w:t xml:space="preserve">d industry </w:t>
      </w:r>
      <w:r w:rsidRPr="00703A0B">
        <w:t>activity</w:t>
      </w:r>
      <w:r w:rsidR="005351A7" w:rsidRPr="00703A0B">
        <w:t>,</w:t>
      </w:r>
      <w:r w:rsidRPr="00703A0B">
        <w:t xml:space="preserve"> </w:t>
      </w:r>
      <w:r w:rsidR="007E2FB0" w:rsidRPr="00703A0B">
        <w:t xml:space="preserve">resulting in </w:t>
      </w:r>
      <w:r w:rsidRPr="00703A0B">
        <w:t>higher premium, insurance administration and licence revenue</w:t>
      </w:r>
    </w:p>
    <w:p w14:paraId="7FC3C3EF" w14:textId="43EC1C82" w:rsidR="0081591B" w:rsidRPr="00703A0B" w:rsidRDefault="00285BEE" w:rsidP="0081591B">
      <w:pPr>
        <w:pStyle w:val="ListParagraph"/>
        <w:numPr>
          <w:ilvl w:val="0"/>
          <w:numId w:val="126"/>
        </w:numPr>
        <w:spacing w:after="160" w:line="259" w:lineRule="auto"/>
      </w:pPr>
      <w:r w:rsidRPr="00703A0B">
        <w:t xml:space="preserve">favourable movements in the </w:t>
      </w:r>
      <w:r w:rsidR="0081591B" w:rsidRPr="00703A0B">
        <w:t xml:space="preserve">fair value of investments, </w:t>
      </w:r>
      <w:r w:rsidR="00D034BC" w:rsidRPr="00703A0B">
        <w:t xml:space="preserve">reflecting </w:t>
      </w:r>
      <w:r w:rsidR="0081591B" w:rsidRPr="00703A0B">
        <w:t>investment market</w:t>
      </w:r>
      <w:r w:rsidR="00D034BC" w:rsidRPr="00703A0B">
        <w:t xml:space="preserve"> performance</w:t>
      </w:r>
    </w:p>
    <w:p w14:paraId="14409CB7" w14:textId="540E8D0E" w:rsidR="0081591B" w:rsidRPr="00703A0B" w:rsidRDefault="002F2AB4" w:rsidP="0081591B">
      <w:pPr>
        <w:pStyle w:val="ListParagraph"/>
        <w:numPr>
          <w:ilvl w:val="0"/>
          <w:numId w:val="126"/>
        </w:numPr>
        <w:spacing w:after="160" w:line="259" w:lineRule="auto"/>
      </w:pPr>
      <w:r w:rsidRPr="00703A0B">
        <w:t>other</w:t>
      </w:r>
      <w:r w:rsidR="00C64ADF" w:rsidRPr="00703A0B">
        <w:t xml:space="preserve"> </w:t>
      </w:r>
      <w:r w:rsidR="0081591B" w:rsidRPr="00703A0B">
        <w:t>revenue from the Queensland Government</w:t>
      </w:r>
      <w:r w:rsidR="00C646EF" w:rsidRPr="00703A0B">
        <w:t>,</w:t>
      </w:r>
      <w:r w:rsidR="0081591B" w:rsidRPr="00703A0B">
        <w:t xml:space="preserve"> including support from </w:t>
      </w:r>
      <w:r w:rsidR="00C64ADF" w:rsidRPr="00703A0B">
        <w:t xml:space="preserve">the </w:t>
      </w:r>
      <w:r w:rsidR="0081591B" w:rsidRPr="00703A0B">
        <w:t>Queensland Digital Fund for QBCC’s digital transformation</w:t>
      </w:r>
      <w:r w:rsidR="00274564" w:rsidRPr="00703A0B">
        <w:t xml:space="preserve"> program</w:t>
      </w:r>
      <w:r w:rsidR="0081591B" w:rsidRPr="00703A0B">
        <w:t>.</w:t>
      </w:r>
    </w:p>
    <w:p w14:paraId="0DC8D9BF" w14:textId="77777777" w:rsidR="0081591B" w:rsidRPr="00703A0B" w:rsidRDefault="0081591B" w:rsidP="0081591B">
      <w:r w:rsidRPr="00703A0B">
        <w:t xml:space="preserve"> </w:t>
      </w:r>
    </w:p>
    <w:p w14:paraId="6D562FE1" w14:textId="17329EBB" w:rsidR="0081591B" w:rsidRPr="00703A0B" w:rsidRDefault="0081591B" w:rsidP="0081591B">
      <w:r w:rsidRPr="00703A0B">
        <w:t xml:space="preserve">Total expenditure was $447.40 million, </w:t>
      </w:r>
      <w:r w:rsidR="00274564" w:rsidRPr="00703A0B">
        <w:t xml:space="preserve">an increase of </w:t>
      </w:r>
      <w:r w:rsidRPr="00703A0B">
        <w:t>33.</w:t>
      </w:r>
      <w:r w:rsidR="00274564" w:rsidRPr="00703A0B">
        <w:t>1</w:t>
      </w:r>
      <w:r w:rsidRPr="00703A0B">
        <w:t xml:space="preserve"> per cent </w:t>
      </w:r>
      <w:r w:rsidR="00E70B6C" w:rsidRPr="00703A0B">
        <w:t>compared with</w:t>
      </w:r>
      <w:r w:rsidRPr="00703A0B">
        <w:t xml:space="preserve"> 2024–25. The increase was </w:t>
      </w:r>
      <w:r w:rsidR="00E70B6C" w:rsidRPr="00703A0B">
        <w:t xml:space="preserve">primarily </w:t>
      </w:r>
      <w:r w:rsidRPr="00703A0B">
        <w:t>due to higher:</w:t>
      </w:r>
    </w:p>
    <w:p w14:paraId="1E77AD1F" w14:textId="73537512" w:rsidR="0081591B" w:rsidRPr="00703A0B" w:rsidRDefault="0081591B" w:rsidP="0081591B">
      <w:pPr>
        <w:pStyle w:val="ListParagraph"/>
        <w:numPr>
          <w:ilvl w:val="0"/>
          <w:numId w:val="126"/>
        </w:numPr>
        <w:spacing w:after="160" w:line="259" w:lineRule="auto"/>
      </w:pPr>
      <w:r w:rsidRPr="00703A0B">
        <w:t>outward reinsurance cost</w:t>
      </w:r>
      <w:r w:rsidR="00F17C9D" w:rsidRPr="00703A0B">
        <w:t>s</w:t>
      </w:r>
    </w:p>
    <w:p w14:paraId="703944C4" w14:textId="327D3D57" w:rsidR="0081591B" w:rsidRPr="00703A0B" w:rsidRDefault="0081591B" w:rsidP="0081591B">
      <w:pPr>
        <w:pStyle w:val="ListParagraph"/>
        <w:numPr>
          <w:ilvl w:val="0"/>
          <w:numId w:val="126"/>
        </w:numPr>
        <w:spacing w:after="160" w:line="259" w:lineRule="auto"/>
      </w:pPr>
      <w:r w:rsidRPr="00703A0B">
        <w:t>claims approved and charged</w:t>
      </w:r>
    </w:p>
    <w:p w14:paraId="6010107B" w14:textId="0C002961" w:rsidR="0081591B" w:rsidRPr="00703A0B" w:rsidRDefault="0050436D" w:rsidP="0081591B">
      <w:pPr>
        <w:pStyle w:val="ListParagraph"/>
        <w:numPr>
          <w:ilvl w:val="0"/>
          <w:numId w:val="126"/>
        </w:numPr>
        <w:spacing w:after="160" w:line="259" w:lineRule="auto"/>
      </w:pPr>
      <w:r w:rsidRPr="00703A0B">
        <w:t xml:space="preserve">expenditure on </w:t>
      </w:r>
      <w:r w:rsidR="0081591B" w:rsidRPr="00703A0B">
        <w:t xml:space="preserve">supplies and services </w:t>
      </w:r>
      <w:r w:rsidRPr="00703A0B">
        <w:t xml:space="preserve">associated with the </w:t>
      </w:r>
      <w:r w:rsidR="0081591B" w:rsidRPr="00703A0B">
        <w:t>QBCC’s digital transformation</w:t>
      </w:r>
      <w:r w:rsidRPr="00703A0B">
        <w:t xml:space="preserve"> program</w:t>
      </w:r>
      <w:r w:rsidR="0081591B" w:rsidRPr="00703A0B">
        <w:t>.</w:t>
      </w:r>
    </w:p>
    <w:p w14:paraId="7503E47F" w14:textId="77777777" w:rsidR="003E70BC" w:rsidRPr="00703A0B" w:rsidRDefault="003E70BC" w:rsidP="00B84627">
      <w:pPr>
        <w:rPr>
          <w:rFonts w:cs="Arial"/>
        </w:rPr>
      </w:pPr>
    </w:p>
    <w:p w14:paraId="76B895A2" w14:textId="5A3B79FD" w:rsidR="00C929A9" w:rsidRPr="00703A0B" w:rsidRDefault="00C929A9">
      <w:pPr>
        <w:rPr>
          <w:rFonts w:cs="Arial"/>
        </w:rPr>
      </w:pPr>
      <w:r w:rsidRPr="00703A0B">
        <w:rPr>
          <w:rFonts w:cs="Arial"/>
        </w:rPr>
        <w:br w:type="page"/>
      </w:r>
    </w:p>
    <w:p w14:paraId="0ACD0F1D" w14:textId="227352C7" w:rsidR="00C929A9" w:rsidRPr="00703A0B" w:rsidRDefault="00C929A9" w:rsidP="00C929A9">
      <w:pPr>
        <w:rPr>
          <w:b/>
          <w:sz w:val="28"/>
          <w:szCs w:val="28"/>
        </w:rPr>
      </w:pPr>
      <w:r w:rsidRPr="00703A0B">
        <w:rPr>
          <w:b/>
          <w:sz w:val="28"/>
          <w:szCs w:val="28"/>
        </w:rPr>
        <w:lastRenderedPageBreak/>
        <w:t>The QBCC Financial Statements can be found in the PDF version of the Annual Report 202</w:t>
      </w:r>
      <w:r w:rsidR="003D1BA6" w:rsidRPr="00703A0B">
        <w:rPr>
          <w:b/>
          <w:sz w:val="28"/>
          <w:szCs w:val="28"/>
        </w:rPr>
        <w:t>5</w:t>
      </w:r>
      <w:r w:rsidRPr="00703A0B">
        <w:rPr>
          <w:b/>
          <w:sz w:val="28"/>
          <w:szCs w:val="28"/>
        </w:rPr>
        <w:t>–2</w:t>
      </w:r>
      <w:r w:rsidR="003D1BA6" w:rsidRPr="00703A0B">
        <w:rPr>
          <w:b/>
          <w:sz w:val="28"/>
          <w:szCs w:val="28"/>
        </w:rPr>
        <w:t>6</w:t>
      </w:r>
    </w:p>
    <w:p w14:paraId="36C3CDCE" w14:textId="77777777" w:rsidR="00C929A9" w:rsidRPr="00703A0B" w:rsidRDefault="00C929A9" w:rsidP="00B84627">
      <w:pPr>
        <w:rPr>
          <w:rFonts w:cs="Arial"/>
        </w:rPr>
      </w:pPr>
    </w:p>
    <w:p w14:paraId="6A0F14DF" w14:textId="77777777" w:rsidR="00AE7098" w:rsidRPr="00703A0B" w:rsidRDefault="00AE7098">
      <w:pPr>
        <w:rPr>
          <w:rFonts w:eastAsiaTheme="majorEastAsia" w:cs="Arial"/>
          <w:sz w:val="48"/>
          <w:szCs w:val="32"/>
        </w:rPr>
      </w:pPr>
      <w:r w:rsidRPr="00703A0B">
        <w:rPr>
          <w:rFonts w:cs="Arial"/>
        </w:rPr>
        <w:br w:type="page"/>
      </w:r>
    </w:p>
    <w:p w14:paraId="41B1903E" w14:textId="60AA372C" w:rsidR="00E53917" w:rsidRPr="00703A0B" w:rsidRDefault="00E53917" w:rsidP="00432C37">
      <w:pPr>
        <w:pStyle w:val="Heading1"/>
      </w:pPr>
      <w:bookmarkStart w:id="224" w:name="_Toc190446773"/>
      <w:bookmarkStart w:id="225" w:name="_Toc206493034"/>
      <w:bookmarkStart w:id="226" w:name="_Toc238101691"/>
      <w:r w:rsidRPr="00703A0B">
        <w:lastRenderedPageBreak/>
        <w:t>Appendix A: Compliance checklist</w:t>
      </w:r>
      <w:bookmarkEnd w:id="224"/>
      <w:bookmarkEnd w:id="225"/>
      <w:bookmarkEnd w:id="226"/>
      <w:r w:rsidRPr="00703A0B">
        <w:t xml:space="preserve"> </w:t>
      </w:r>
    </w:p>
    <w:p w14:paraId="7C1DB2E0" w14:textId="1AFB9F2F" w:rsidR="004E712A" w:rsidRPr="00703A0B" w:rsidRDefault="004E712A" w:rsidP="004E712A"/>
    <w:tbl>
      <w:tblPr>
        <w:tblW w:w="0" w:type="auto"/>
        <w:tblInd w:w="148"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4265"/>
        <w:gridCol w:w="2520"/>
        <w:gridCol w:w="1591"/>
      </w:tblGrid>
      <w:tr w:rsidR="004E712A" w:rsidRPr="00703A0B" w14:paraId="0BF84049" w14:textId="77777777" w:rsidTr="00874859">
        <w:trPr>
          <w:trHeight w:val="652"/>
          <w:tblHeader/>
        </w:trPr>
        <w:tc>
          <w:tcPr>
            <w:tcW w:w="5813" w:type="dxa"/>
            <w:gridSpan w:val="2"/>
            <w:shd w:val="clear" w:color="auto" w:fill="BFBFBF" w:themeFill="background1" w:themeFillShade="BF"/>
          </w:tcPr>
          <w:p w14:paraId="1A01C13D" w14:textId="77777777" w:rsidR="004E712A" w:rsidRPr="007B6D71" w:rsidRDefault="004E712A">
            <w:pPr>
              <w:pStyle w:val="TableParagraph"/>
              <w:spacing w:before="15"/>
              <w:ind w:left="0"/>
              <w:rPr>
                <w:sz w:val="18"/>
                <w:lang w:val="en-AU"/>
              </w:rPr>
            </w:pPr>
          </w:p>
          <w:p w14:paraId="505F0738" w14:textId="77777777" w:rsidR="004E712A" w:rsidRPr="007B6D71" w:rsidRDefault="004E712A">
            <w:pPr>
              <w:pStyle w:val="TableParagraph"/>
              <w:spacing w:before="0"/>
              <w:ind w:left="107"/>
              <w:rPr>
                <w:b/>
                <w:sz w:val="18"/>
                <w:lang w:val="en-AU"/>
              </w:rPr>
            </w:pPr>
            <w:r w:rsidRPr="007B6D71">
              <w:rPr>
                <w:b/>
                <w:sz w:val="18"/>
                <w:lang w:val="en-AU"/>
              </w:rPr>
              <w:t>Summary</w:t>
            </w:r>
            <w:r w:rsidRPr="007B6D71">
              <w:rPr>
                <w:b/>
                <w:spacing w:val="-3"/>
                <w:sz w:val="18"/>
                <w:lang w:val="en-AU"/>
              </w:rPr>
              <w:t xml:space="preserve"> </w:t>
            </w:r>
            <w:r w:rsidRPr="007B6D71">
              <w:rPr>
                <w:b/>
                <w:sz w:val="18"/>
                <w:lang w:val="en-AU"/>
              </w:rPr>
              <w:t>of</w:t>
            </w:r>
            <w:r w:rsidRPr="007B6D71">
              <w:rPr>
                <w:b/>
                <w:spacing w:val="-2"/>
                <w:sz w:val="18"/>
                <w:lang w:val="en-AU"/>
              </w:rPr>
              <w:t xml:space="preserve"> requirement</w:t>
            </w:r>
          </w:p>
        </w:tc>
        <w:tc>
          <w:tcPr>
            <w:tcW w:w="2520" w:type="dxa"/>
            <w:shd w:val="clear" w:color="auto" w:fill="BFBFBF" w:themeFill="background1" w:themeFillShade="BF"/>
          </w:tcPr>
          <w:p w14:paraId="68A4C2D0" w14:textId="77777777" w:rsidR="004E712A" w:rsidRPr="007B6D71" w:rsidRDefault="004E712A">
            <w:pPr>
              <w:pStyle w:val="TableParagraph"/>
              <w:spacing w:before="15"/>
              <w:ind w:left="0"/>
              <w:rPr>
                <w:sz w:val="18"/>
                <w:lang w:val="en-AU"/>
              </w:rPr>
            </w:pPr>
          </w:p>
          <w:p w14:paraId="13D28CBE" w14:textId="77777777" w:rsidR="004E712A" w:rsidRPr="007B6D71" w:rsidRDefault="004E712A">
            <w:pPr>
              <w:pStyle w:val="TableParagraph"/>
              <w:spacing w:before="0"/>
              <w:ind w:left="325"/>
              <w:rPr>
                <w:b/>
                <w:sz w:val="18"/>
                <w:lang w:val="en-AU"/>
              </w:rPr>
            </w:pPr>
            <w:r w:rsidRPr="007B6D71">
              <w:rPr>
                <w:b/>
                <w:sz w:val="18"/>
                <w:lang w:val="en-AU"/>
              </w:rPr>
              <w:t>Basis</w:t>
            </w:r>
            <w:r w:rsidRPr="007B6D71">
              <w:rPr>
                <w:b/>
                <w:spacing w:val="-2"/>
                <w:sz w:val="18"/>
                <w:lang w:val="en-AU"/>
              </w:rPr>
              <w:t xml:space="preserve"> </w:t>
            </w:r>
            <w:r w:rsidRPr="007B6D71">
              <w:rPr>
                <w:b/>
                <w:sz w:val="18"/>
                <w:lang w:val="en-AU"/>
              </w:rPr>
              <w:t>for</w:t>
            </w:r>
            <w:r w:rsidRPr="007B6D71">
              <w:rPr>
                <w:b/>
                <w:spacing w:val="-1"/>
                <w:sz w:val="18"/>
                <w:lang w:val="en-AU"/>
              </w:rPr>
              <w:t xml:space="preserve"> </w:t>
            </w:r>
            <w:r w:rsidRPr="007B6D71">
              <w:rPr>
                <w:b/>
                <w:spacing w:val="-2"/>
                <w:sz w:val="18"/>
                <w:lang w:val="en-AU"/>
              </w:rPr>
              <w:t>requirement</w:t>
            </w:r>
          </w:p>
        </w:tc>
        <w:tc>
          <w:tcPr>
            <w:tcW w:w="1591" w:type="dxa"/>
            <w:shd w:val="clear" w:color="auto" w:fill="BFBFBF" w:themeFill="background1" w:themeFillShade="BF"/>
          </w:tcPr>
          <w:p w14:paraId="0F6E0D13" w14:textId="77777777" w:rsidR="004E712A" w:rsidRPr="007B6D71" w:rsidRDefault="004E712A">
            <w:pPr>
              <w:pStyle w:val="TableParagraph"/>
              <w:spacing w:before="119"/>
              <w:ind w:left="385" w:right="198" w:hanging="185"/>
              <w:rPr>
                <w:b/>
                <w:sz w:val="18"/>
                <w:lang w:val="en-AU"/>
              </w:rPr>
            </w:pPr>
            <w:r w:rsidRPr="007B6D71">
              <w:rPr>
                <w:b/>
                <w:sz w:val="18"/>
                <w:lang w:val="en-AU"/>
              </w:rPr>
              <w:t>Annual</w:t>
            </w:r>
            <w:r w:rsidRPr="007B6D71">
              <w:rPr>
                <w:b/>
                <w:spacing w:val="-13"/>
                <w:sz w:val="18"/>
                <w:lang w:val="en-AU"/>
              </w:rPr>
              <w:t xml:space="preserve"> </w:t>
            </w:r>
            <w:r w:rsidRPr="007B6D71">
              <w:rPr>
                <w:b/>
                <w:sz w:val="18"/>
                <w:lang w:val="en-AU"/>
              </w:rPr>
              <w:t xml:space="preserve">report </w:t>
            </w:r>
            <w:r w:rsidRPr="007B6D71">
              <w:rPr>
                <w:b/>
                <w:spacing w:val="-2"/>
                <w:sz w:val="18"/>
                <w:lang w:val="en-AU"/>
              </w:rPr>
              <w:t>reference</w:t>
            </w:r>
          </w:p>
        </w:tc>
      </w:tr>
      <w:tr w:rsidR="004E712A" w:rsidRPr="00703A0B" w14:paraId="52EBA62B" w14:textId="77777777">
        <w:trPr>
          <w:trHeight w:val="580"/>
        </w:trPr>
        <w:tc>
          <w:tcPr>
            <w:tcW w:w="1548" w:type="dxa"/>
          </w:tcPr>
          <w:p w14:paraId="4DC6F4B4" w14:textId="77777777" w:rsidR="004E712A" w:rsidRPr="007B6D71" w:rsidRDefault="004E712A">
            <w:pPr>
              <w:pStyle w:val="TableParagraph"/>
              <w:spacing w:before="99" w:line="244" w:lineRule="auto"/>
              <w:ind w:left="107"/>
              <w:rPr>
                <w:b/>
                <w:sz w:val="16"/>
                <w:lang w:val="en-AU"/>
              </w:rPr>
            </w:pPr>
            <w:r w:rsidRPr="007B6D71">
              <w:rPr>
                <w:b/>
                <w:sz w:val="16"/>
                <w:lang w:val="en-AU"/>
              </w:rPr>
              <w:t xml:space="preserve">Letter of </w:t>
            </w:r>
            <w:r w:rsidRPr="007B6D71">
              <w:rPr>
                <w:b/>
                <w:spacing w:val="-2"/>
                <w:sz w:val="16"/>
                <w:lang w:val="en-AU"/>
              </w:rPr>
              <w:t>compliance</w:t>
            </w:r>
          </w:p>
        </w:tc>
        <w:tc>
          <w:tcPr>
            <w:tcW w:w="4265" w:type="dxa"/>
          </w:tcPr>
          <w:p w14:paraId="64A68278" w14:textId="77777777" w:rsidR="004E712A" w:rsidRPr="007B6D71" w:rsidRDefault="004E712A" w:rsidP="00A836CF">
            <w:pPr>
              <w:pStyle w:val="TableParagraph"/>
              <w:numPr>
                <w:ilvl w:val="0"/>
                <w:numId w:val="39"/>
              </w:numPr>
              <w:tabs>
                <w:tab w:val="left" w:pos="355"/>
              </w:tabs>
              <w:ind w:right="115"/>
              <w:rPr>
                <w:b/>
                <w:sz w:val="16"/>
                <w:lang w:val="en-AU"/>
              </w:rPr>
            </w:pPr>
            <w:r w:rsidRPr="007B6D71">
              <w:rPr>
                <w:b/>
                <w:sz w:val="16"/>
                <w:lang w:val="en-AU"/>
              </w:rPr>
              <w:t>A letter of compliance from the accountable officer</w:t>
            </w:r>
            <w:r w:rsidRPr="007B6D71">
              <w:rPr>
                <w:b/>
                <w:spacing w:val="-5"/>
                <w:sz w:val="16"/>
                <w:lang w:val="en-AU"/>
              </w:rPr>
              <w:t xml:space="preserve"> </w:t>
            </w:r>
            <w:r w:rsidRPr="007B6D71">
              <w:rPr>
                <w:b/>
                <w:sz w:val="16"/>
                <w:lang w:val="en-AU"/>
              </w:rPr>
              <w:t>or</w:t>
            </w:r>
            <w:r w:rsidRPr="007B6D71">
              <w:rPr>
                <w:b/>
                <w:spacing w:val="-7"/>
                <w:sz w:val="16"/>
                <w:lang w:val="en-AU"/>
              </w:rPr>
              <w:t xml:space="preserve"> </w:t>
            </w:r>
            <w:r w:rsidRPr="007B6D71">
              <w:rPr>
                <w:b/>
                <w:sz w:val="16"/>
                <w:lang w:val="en-AU"/>
              </w:rPr>
              <w:t>statutory</w:t>
            </w:r>
            <w:r w:rsidRPr="007B6D71">
              <w:rPr>
                <w:b/>
                <w:spacing w:val="-5"/>
                <w:sz w:val="16"/>
                <w:lang w:val="en-AU"/>
              </w:rPr>
              <w:t xml:space="preserve"> </w:t>
            </w:r>
            <w:r w:rsidRPr="007B6D71">
              <w:rPr>
                <w:b/>
                <w:sz w:val="16"/>
                <w:lang w:val="en-AU"/>
              </w:rPr>
              <w:t>body</w:t>
            </w:r>
            <w:r w:rsidRPr="007B6D71">
              <w:rPr>
                <w:b/>
                <w:spacing w:val="-5"/>
                <w:sz w:val="16"/>
                <w:lang w:val="en-AU"/>
              </w:rPr>
              <w:t xml:space="preserve"> </w:t>
            </w:r>
            <w:r w:rsidRPr="007B6D71">
              <w:rPr>
                <w:b/>
                <w:sz w:val="16"/>
                <w:lang w:val="en-AU"/>
              </w:rPr>
              <w:t>to</w:t>
            </w:r>
            <w:r w:rsidRPr="007B6D71">
              <w:rPr>
                <w:b/>
                <w:spacing w:val="-7"/>
                <w:sz w:val="16"/>
                <w:lang w:val="en-AU"/>
              </w:rPr>
              <w:t xml:space="preserve"> </w:t>
            </w:r>
            <w:r w:rsidRPr="007B6D71">
              <w:rPr>
                <w:b/>
                <w:sz w:val="16"/>
                <w:lang w:val="en-AU"/>
              </w:rPr>
              <w:t>the</w:t>
            </w:r>
            <w:r w:rsidRPr="007B6D71">
              <w:rPr>
                <w:b/>
                <w:spacing w:val="-5"/>
                <w:sz w:val="16"/>
                <w:lang w:val="en-AU"/>
              </w:rPr>
              <w:t xml:space="preserve"> </w:t>
            </w:r>
            <w:r w:rsidRPr="007B6D71">
              <w:rPr>
                <w:b/>
                <w:sz w:val="16"/>
                <w:lang w:val="en-AU"/>
              </w:rPr>
              <w:t>relevant</w:t>
            </w:r>
            <w:r w:rsidRPr="007B6D71">
              <w:rPr>
                <w:b/>
                <w:spacing w:val="-5"/>
                <w:sz w:val="16"/>
                <w:lang w:val="en-AU"/>
              </w:rPr>
              <w:t xml:space="preserve"> </w:t>
            </w:r>
            <w:r w:rsidRPr="007B6D71">
              <w:rPr>
                <w:b/>
                <w:sz w:val="16"/>
                <w:lang w:val="en-AU"/>
              </w:rPr>
              <w:t>Minister/s</w:t>
            </w:r>
          </w:p>
        </w:tc>
        <w:tc>
          <w:tcPr>
            <w:tcW w:w="2520" w:type="dxa"/>
          </w:tcPr>
          <w:p w14:paraId="62E810B4" w14:textId="77777777" w:rsidR="004E712A" w:rsidRPr="007B6D71" w:rsidRDefault="004E712A">
            <w:pPr>
              <w:pStyle w:val="TableParagraph"/>
              <w:spacing w:before="101"/>
              <w:rPr>
                <w:sz w:val="16"/>
                <w:lang w:val="en-AU"/>
              </w:rPr>
            </w:pPr>
            <w:r w:rsidRPr="007B6D71">
              <w:rPr>
                <w:sz w:val="16"/>
                <w:lang w:val="en-AU"/>
              </w:rPr>
              <w:t>ARRs</w:t>
            </w:r>
            <w:r w:rsidRPr="007B6D71">
              <w:rPr>
                <w:spacing w:val="-4"/>
                <w:sz w:val="16"/>
                <w:lang w:val="en-AU"/>
              </w:rPr>
              <w:t xml:space="preserve"> </w:t>
            </w:r>
            <w:r w:rsidRPr="007B6D71">
              <w:rPr>
                <w:i/>
                <w:sz w:val="16"/>
                <w:lang w:val="en-AU"/>
              </w:rPr>
              <w:t>–</w:t>
            </w:r>
            <w:r w:rsidRPr="007B6D71">
              <w:rPr>
                <w:i/>
                <w:spacing w:val="-5"/>
                <w:sz w:val="16"/>
                <w:lang w:val="en-AU"/>
              </w:rPr>
              <w:t xml:space="preserve"> </w:t>
            </w:r>
            <w:r w:rsidRPr="007B6D71">
              <w:rPr>
                <w:sz w:val="16"/>
                <w:lang w:val="en-AU"/>
              </w:rPr>
              <w:t>section</w:t>
            </w:r>
            <w:r w:rsidRPr="007B6D71">
              <w:rPr>
                <w:spacing w:val="-3"/>
                <w:sz w:val="16"/>
                <w:lang w:val="en-AU"/>
              </w:rPr>
              <w:t xml:space="preserve"> </w:t>
            </w:r>
            <w:r w:rsidRPr="007B6D71">
              <w:rPr>
                <w:spacing w:val="-10"/>
                <w:sz w:val="16"/>
                <w:lang w:val="en-AU"/>
              </w:rPr>
              <w:t>7</w:t>
            </w:r>
          </w:p>
        </w:tc>
        <w:tc>
          <w:tcPr>
            <w:tcW w:w="1591" w:type="dxa"/>
          </w:tcPr>
          <w:p w14:paraId="7BD5C4CB" w14:textId="5525ADCF" w:rsidR="004E712A" w:rsidRPr="007B6D71" w:rsidRDefault="00802585" w:rsidP="007D372B">
            <w:pPr>
              <w:pStyle w:val="TableParagraph"/>
              <w:spacing w:before="101"/>
              <w:rPr>
                <w:sz w:val="16"/>
                <w:lang w:val="en-AU"/>
              </w:rPr>
            </w:pPr>
            <w:r w:rsidRPr="007B6D71">
              <w:rPr>
                <w:sz w:val="16"/>
                <w:lang w:val="en-AU"/>
              </w:rPr>
              <w:t>1</w:t>
            </w:r>
          </w:p>
        </w:tc>
      </w:tr>
      <w:tr w:rsidR="004E712A" w:rsidRPr="00703A0B" w14:paraId="6C90E99B" w14:textId="77777777">
        <w:trPr>
          <w:trHeight w:val="688"/>
        </w:trPr>
        <w:tc>
          <w:tcPr>
            <w:tcW w:w="1548" w:type="dxa"/>
            <w:vMerge w:val="restart"/>
          </w:tcPr>
          <w:p w14:paraId="3552945E" w14:textId="77777777" w:rsidR="004E712A" w:rsidRPr="007B6D71" w:rsidRDefault="004E712A">
            <w:pPr>
              <w:pStyle w:val="TableParagraph"/>
              <w:spacing w:before="101"/>
              <w:ind w:left="107"/>
              <w:rPr>
                <w:b/>
                <w:sz w:val="16"/>
                <w:lang w:val="en-AU"/>
              </w:rPr>
            </w:pPr>
            <w:r w:rsidRPr="007B6D71">
              <w:rPr>
                <w:b/>
                <w:spacing w:val="-2"/>
                <w:sz w:val="16"/>
                <w:lang w:val="en-AU"/>
              </w:rPr>
              <w:t>Accessibility</w:t>
            </w:r>
          </w:p>
        </w:tc>
        <w:tc>
          <w:tcPr>
            <w:tcW w:w="4265" w:type="dxa"/>
          </w:tcPr>
          <w:p w14:paraId="3C129E55" w14:textId="77777777" w:rsidR="004E712A" w:rsidRPr="007B6D71" w:rsidRDefault="004E712A" w:rsidP="00A836CF">
            <w:pPr>
              <w:pStyle w:val="TableParagraph"/>
              <w:numPr>
                <w:ilvl w:val="0"/>
                <w:numId w:val="38"/>
              </w:numPr>
              <w:tabs>
                <w:tab w:val="left" w:pos="354"/>
              </w:tabs>
              <w:ind w:left="354" w:hanging="251"/>
              <w:rPr>
                <w:b/>
                <w:sz w:val="16"/>
                <w:lang w:val="en-AU"/>
              </w:rPr>
            </w:pPr>
            <w:r w:rsidRPr="007B6D71">
              <w:rPr>
                <w:b/>
                <w:sz w:val="16"/>
                <w:lang w:val="en-AU"/>
              </w:rPr>
              <w:t>Table</w:t>
            </w:r>
            <w:r w:rsidRPr="007B6D71">
              <w:rPr>
                <w:b/>
                <w:spacing w:val="-3"/>
                <w:sz w:val="16"/>
                <w:lang w:val="en-AU"/>
              </w:rPr>
              <w:t xml:space="preserve"> </w:t>
            </w:r>
            <w:r w:rsidRPr="007B6D71">
              <w:rPr>
                <w:b/>
                <w:sz w:val="16"/>
                <w:lang w:val="en-AU"/>
              </w:rPr>
              <w:t>of</w:t>
            </w:r>
            <w:r w:rsidRPr="007B6D71">
              <w:rPr>
                <w:b/>
                <w:spacing w:val="-1"/>
                <w:sz w:val="16"/>
                <w:lang w:val="en-AU"/>
              </w:rPr>
              <w:t xml:space="preserve"> </w:t>
            </w:r>
            <w:r w:rsidRPr="007B6D71">
              <w:rPr>
                <w:b/>
                <w:spacing w:val="-2"/>
                <w:sz w:val="16"/>
                <w:lang w:val="en-AU"/>
              </w:rPr>
              <w:t>contents</w:t>
            </w:r>
          </w:p>
          <w:p w14:paraId="315107F5" w14:textId="77777777" w:rsidR="004E712A" w:rsidRPr="007B6D71" w:rsidRDefault="004E712A" w:rsidP="00A836CF">
            <w:pPr>
              <w:pStyle w:val="TableParagraph"/>
              <w:numPr>
                <w:ilvl w:val="0"/>
                <w:numId w:val="38"/>
              </w:numPr>
              <w:tabs>
                <w:tab w:val="left" w:pos="354"/>
              </w:tabs>
              <w:spacing w:before="97"/>
              <w:ind w:left="354" w:hanging="251"/>
              <w:rPr>
                <w:b/>
                <w:sz w:val="16"/>
                <w:lang w:val="en-AU"/>
              </w:rPr>
            </w:pPr>
            <w:r w:rsidRPr="007B6D71">
              <w:rPr>
                <w:b/>
                <w:spacing w:val="-2"/>
                <w:sz w:val="16"/>
                <w:lang w:val="en-AU"/>
              </w:rPr>
              <w:t>Glossary</w:t>
            </w:r>
          </w:p>
        </w:tc>
        <w:tc>
          <w:tcPr>
            <w:tcW w:w="2520" w:type="dxa"/>
          </w:tcPr>
          <w:p w14:paraId="0CAB1D1F" w14:textId="77777777" w:rsidR="004E712A" w:rsidRPr="007B6D71" w:rsidRDefault="004E712A">
            <w:pPr>
              <w:pStyle w:val="TableParagraph"/>
              <w:spacing w:before="101"/>
              <w:rPr>
                <w:sz w:val="16"/>
                <w:lang w:val="en-AU"/>
              </w:rPr>
            </w:pPr>
            <w:r w:rsidRPr="007B6D71">
              <w:rPr>
                <w:sz w:val="16"/>
                <w:lang w:val="en-AU"/>
              </w:rPr>
              <w:t>ARRs</w:t>
            </w:r>
            <w:r w:rsidRPr="007B6D71">
              <w:rPr>
                <w:spacing w:val="-2"/>
                <w:sz w:val="16"/>
                <w:lang w:val="en-AU"/>
              </w:rPr>
              <w:t xml:space="preserve"> </w:t>
            </w:r>
            <w:r w:rsidRPr="007B6D71">
              <w:rPr>
                <w:sz w:val="16"/>
                <w:lang w:val="en-AU"/>
              </w:rPr>
              <w:t>–</w:t>
            </w:r>
            <w:r w:rsidRPr="007B6D71">
              <w:rPr>
                <w:spacing w:val="-5"/>
                <w:sz w:val="16"/>
                <w:lang w:val="en-AU"/>
              </w:rPr>
              <w:t xml:space="preserve"> </w:t>
            </w:r>
            <w:r w:rsidRPr="007B6D71">
              <w:rPr>
                <w:sz w:val="16"/>
                <w:lang w:val="en-AU"/>
              </w:rPr>
              <w:t>section</w:t>
            </w:r>
            <w:r w:rsidRPr="007B6D71">
              <w:rPr>
                <w:spacing w:val="-3"/>
                <w:sz w:val="16"/>
                <w:lang w:val="en-AU"/>
              </w:rPr>
              <w:t xml:space="preserve"> </w:t>
            </w:r>
            <w:r w:rsidRPr="007B6D71">
              <w:rPr>
                <w:spacing w:val="-5"/>
                <w:sz w:val="16"/>
                <w:lang w:val="en-AU"/>
              </w:rPr>
              <w:t>9.1</w:t>
            </w:r>
          </w:p>
        </w:tc>
        <w:tc>
          <w:tcPr>
            <w:tcW w:w="1591" w:type="dxa"/>
          </w:tcPr>
          <w:p w14:paraId="7A1A1182" w14:textId="0AEF360E" w:rsidR="004E712A" w:rsidRPr="007B6D71" w:rsidRDefault="007C5CBB" w:rsidP="00F87AB9">
            <w:pPr>
              <w:pStyle w:val="TableParagraph"/>
              <w:spacing w:before="101"/>
              <w:rPr>
                <w:sz w:val="16"/>
                <w:lang w:val="en-AU"/>
              </w:rPr>
            </w:pPr>
            <w:r>
              <w:rPr>
                <w:sz w:val="16"/>
                <w:lang w:val="en-AU"/>
              </w:rPr>
              <w:t>ii</w:t>
            </w:r>
          </w:p>
          <w:p w14:paraId="1B88DCF2" w14:textId="02DC0C23" w:rsidR="004E712A" w:rsidRPr="007B6D71" w:rsidRDefault="009C3E54" w:rsidP="007D372B">
            <w:pPr>
              <w:pStyle w:val="TableParagraph"/>
              <w:spacing w:before="101"/>
              <w:rPr>
                <w:sz w:val="16"/>
                <w:lang w:val="en-AU"/>
              </w:rPr>
            </w:pPr>
            <w:r w:rsidRPr="007B6D71">
              <w:rPr>
                <w:sz w:val="16"/>
                <w:lang w:val="en-AU"/>
              </w:rPr>
              <w:t>100</w:t>
            </w:r>
          </w:p>
        </w:tc>
      </w:tr>
      <w:tr w:rsidR="004E712A" w:rsidRPr="00703A0B" w14:paraId="34E7EA05" w14:textId="77777777">
        <w:trPr>
          <w:trHeight w:val="396"/>
        </w:trPr>
        <w:tc>
          <w:tcPr>
            <w:tcW w:w="1548" w:type="dxa"/>
            <w:vMerge/>
          </w:tcPr>
          <w:p w14:paraId="0E5EDA45" w14:textId="77777777" w:rsidR="004E712A" w:rsidRPr="00703A0B" w:rsidRDefault="004E712A">
            <w:pPr>
              <w:rPr>
                <w:sz w:val="2"/>
                <w:szCs w:val="2"/>
              </w:rPr>
            </w:pPr>
          </w:p>
        </w:tc>
        <w:tc>
          <w:tcPr>
            <w:tcW w:w="4265" w:type="dxa"/>
          </w:tcPr>
          <w:p w14:paraId="67E83F63" w14:textId="77777777" w:rsidR="004E712A" w:rsidRPr="007B6D71" w:rsidRDefault="004E712A" w:rsidP="00A836CF">
            <w:pPr>
              <w:pStyle w:val="TableParagraph"/>
              <w:numPr>
                <w:ilvl w:val="0"/>
                <w:numId w:val="37"/>
              </w:numPr>
              <w:tabs>
                <w:tab w:val="left" w:pos="354"/>
              </w:tabs>
              <w:ind w:left="354" w:hanging="251"/>
              <w:rPr>
                <w:b/>
                <w:sz w:val="16"/>
                <w:lang w:val="en-AU"/>
              </w:rPr>
            </w:pPr>
            <w:r w:rsidRPr="007B6D71">
              <w:rPr>
                <w:b/>
                <w:sz w:val="16"/>
                <w:lang w:val="en-AU"/>
              </w:rPr>
              <w:t>Public</w:t>
            </w:r>
            <w:r w:rsidRPr="007B6D71">
              <w:rPr>
                <w:b/>
                <w:spacing w:val="-5"/>
                <w:sz w:val="16"/>
                <w:lang w:val="en-AU"/>
              </w:rPr>
              <w:t xml:space="preserve"> </w:t>
            </w:r>
            <w:r w:rsidRPr="007B6D71">
              <w:rPr>
                <w:b/>
                <w:spacing w:val="-2"/>
                <w:sz w:val="16"/>
                <w:lang w:val="en-AU"/>
              </w:rPr>
              <w:t>availability</w:t>
            </w:r>
          </w:p>
        </w:tc>
        <w:tc>
          <w:tcPr>
            <w:tcW w:w="2520" w:type="dxa"/>
          </w:tcPr>
          <w:p w14:paraId="53D4AD41" w14:textId="77777777" w:rsidR="004E712A" w:rsidRPr="007B6D71" w:rsidRDefault="004E712A">
            <w:pPr>
              <w:pStyle w:val="TableParagraph"/>
              <w:spacing w:before="101"/>
              <w:rPr>
                <w:sz w:val="16"/>
                <w:lang w:val="en-AU"/>
              </w:rPr>
            </w:pPr>
            <w:r w:rsidRPr="007B6D71">
              <w:rPr>
                <w:sz w:val="16"/>
                <w:lang w:val="en-AU"/>
              </w:rPr>
              <w:t>ARRs</w:t>
            </w:r>
            <w:r w:rsidRPr="007B6D71">
              <w:rPr>
                <w:spacing w:val="-2"/>
                <w:sz w:val="16"/>
                <w:lang w:val="en-AU"/>
              </w:rPr>
              <w:t xml:space="preserve"> </w:t>
            </w:r>
            <w:r w:rsidRPr="007B6D71">
              <w:rPr>
                <w:sz w:val="16"/>
                <w:lang w:val="en-AU"/>
              </w:rPr>
              <w:t>–</w:t>
            </w:r>
            <w:r w:rsidRPr="007B6D71">
              <w:rPr>
                <w:spacing w:val="-5"/>
                <w:sz w:val="16"/>
                <w:lang w:val="en-AU"/>
              </w:rPr>
              <w:t xml:space="preserve"> </w:t>
            </w:r>
            <w:r w:rsidRPr="007B6D71">
              <w:rPr>
                <w:sz w:val="16"/>
                <w:lang w:val="en-AU"/>
              </w:rPr>
              <w:t>section</w:t>
            </w:r>
            <w:r w:rsidRPr="007B6D71">
              <w:rPr>
                <w:spacing w:val="-3"/>
                <w:sz w:val="16"/>
                <w:lang w:val="en-AU"/>
              </w:rPr>
              <w:t xml:space="preserve"> </w:t>
            </w:r>
            <w:r w:rsidRPr="007B6D71">
              <w:rPr>
                <w:spacing w:val="-5"/>
                <w:sz w:val="16"/>
                <w:lang w:val="en-AU"/>
              </w:rPr>
              <w:t>9.2</w:t>
            </w:r>
          </w:p>
        </w:tc>
        <w:tc>
          <w:tcPr>
            <w:tcW w:w="1591" w:type="dxa"/>
          </w:tcPr>
          <w:p w14:paraId="21076CDC" w14:textId="195B3E8A" w:rsidR="004E712A" w:rsidRPr="007B6D71" w:rsidRDefault="007C5CBB" w:rsidP="007D372B">
            <w:pPr>
              <w:pStyle w:val="TableParagraph"/>
              <w:spacing w:before="101"/>
              <w:rPr>
                <w:sz w:val="16"/>
                <w:lang w:val="en-AU"/>
              </w:rPr>
            </w:pPr>
            <w:proofErr w:type="spellStart"/>
            <w:r>
              <w:rPr>
                <w:sz w:val="16"/>
                <w:lang w:val="en-AU"/>
              </w:rPr>
              <w:t>i</w:t>
            </w:r>
            <w:proofErr w:type="spellEnd"/>
          </w:p>
        </w:tc>
      </w:tr>
      <w:tr w:rsidR="004E712A" w:rsidRPr="00703A0B" w14:paraId="1655865B" w14:textId="77777777">
        <w:trPr>
          <w:trHeight w:val="851"/>
        </w:trPr>
        <w:tc>
          <w:tcPr>
            <w:tcW w:w="1548" w:type="dxa"/>
            <w:vMerge/>
          </w:tcPr>
          <w:p w14:paraId="4009A133" w14:textId="77777777" w:rsidR="004E712A" w:rsidRPr="00703A0B" w:rsidRDefault="004E712A">
            <w:pPr>
              <w:rPr>
                <w:sz w:val="2"/>
                <w:szCs w:val="2"/>
              </w:rPr>
            </w:pPr>
          </w:p>
        </w:tc>
        <w:tc>
          <w:tcPr>
            <w:tcW w:w="4265" w:type="dxa"/>
          </w:tcPr>
          <w:p w14:paraId="4C7A0422" w14:textId="77777777" w:rsidR="004E712A" w:rsidRPr="007B6D71" w:rsidRDefault="004E712A" w:rsidP="00A836CF">
            <w:pPr>
              <w:pStyle w:val="TableParagraph"/>
              <w:numPr>
                <w:ilvl w:val="0"/>
                <w:numId w:val="36"/>
              </w:numPr>
              <w:tabs>
                <w:tab w:val="left" w:pos="354"/>
              </w:tabs>
              <w:ind w:left="354" w:hanging="251"/>
              <w:rPr>
                <w:b/>
                <w:sz w:val="16"/>
                <w:lang w:val="en-AU"/>
              </w:rPr>
            </w:pPr>
            <w:r w:rsidRPr="007B6D71">
              <w:rPr>
                <w:b/>
                <w:sz w:val="16"/>
                <w:lang w:val="en-AU"/>
              </w:rPr>
              <w:t>Interpreter</w:t>
            </w:r>
            <w:r w:rsidRPr="007B6D71">
              <w:rPr>
                <w:b/>
                <w:spacing w:val="-7"/>
                <w:sz w:val="16"/>
                <w:lang w:val="en-AU"/>
              </w:rPr>
              <w:t xml:space="preserve"> </w:t>
            </w:r>
            <w:r w:rsidRPr="007B6D71">
              <w:rPr>
                <w:b/>
                <w:sz w:val="16"/>
                <w:lang w:val="en-AU"/>
              </w:rPr>
              <w:t>service</w:t>
            </w:r>
            <w:r w:rsidRPr="007B6D71">
              <w:rPr>
                <w:b/>
                <w:spacing w:val="-9"/>
                <w:sz w:val="16"/>
                <w:lang w:val="en-AU"/>
              </w:rPr>
              <w:t xml:space="preserve"> </w:t>
            </w:r>
            <w:r w:rsidRPr="007B6D71">
              <w:rPr>
                <w:b/>
                <w:spacing w:val="-2"/>
                <w:sz w:val="16"/>
                <w:lang w:val="en-AU"/>
              </w:rPr>
              <w:t>statement</w:t>
            </w:r>
          </w:p>
        </w:tc>
        <w:tc>
          <w:tcPr>
            <w:tcW w:w="2520" w:type="dxa"/>
          </w:tcPr>
          <w:p w14:paraId="7FFD67B0" w14:textId="77777777" w:rsidR="004E712A" w:rsidRPr="007B6D71" w:rsidRDefault="004E712A">
            <w:pPr>
              <w:pStyle w:val="TableParagraph"/>
              <w:spacing w:before="99"/>
              <w:rPr>
                <w:i/>
                <w:sz w:val="16"/>
                <w:lang w:val="en-AU"/>
              </w:rPr>
            </w:pPr>
            <w:r w:rsidRPr="007B6D71">
              <w:rPr>
                <w:i/>
                <w:sz w:val="16"/>
                <w:lang w:val="en-AU"/>
              </w:rPr>
              <w:t>Queensland Government Language</w:t>
            </w:r>
            <w:r w:rsidRPr="007B6D71">
              <w:rPr>
                <w:i/>
                <w:spacing w:val="-12"/>
                <w:sz w:val="16"/>
                <w:lang w:val="en-AU"/>
              </w:rPr>
              <w:t xml:space="preserve"> </w:t>
            </w:r>
            <w:r w:rsidRPr="007B6D71">
              <w:rPr>
                <w:i/>
                <w:sz w:val="16"/>
                <w:lang w:val="en-AU"/>
              </w:rPr>
              <w:t>Services</w:t>
            </w:r>
            <w:r w:rsidRPr="007B6D71">
              <w:rPr>
                <w:i/>
                <w:spacing w:val="-11"/>
                <w:sz w:val="16"/>
                <w:lang w:val="en-AU"/>
              </w:rPr>
              <w:t xml:space="preserve"> </w:t>
            </w:r>
            <w:r w:rsidRPr="007B6D71">
              <w:rPr>
                <w:i/>
                <w:sz w:val="16"/>
                <w:lang w:val="en-AU"/>
              </w:rPr>
              <w:t>Policy</w:t>
            </w:r>
          </w:p>
          <w:p w14:paraId="377FB4E3" w14:textId="77777777" w:rsidR="004E712A" w:rsidRPr="007B6D71" w:rsidRDefault="004E712A">
            <w:pPr>
              <w:pStyle w:val="TableParagraph"/>
              <w:spacing w:before="102"/>
              <w:rPr>
                <w:sz w:val="16"/>
                <w:lang w:val="en-AU"/>
              </w:rPr>
            </w:pPr>
            <w:r w:rsidRPr="007B6D71">
              <w:rPr>
                <w:sz w:val="16"/>
                <w:lang w:val="en-AU"/>
              </w:rPr>
              <w:t>ARRs</w:t>
            </w:r>
            <w:r w:rsidRPr="007B6D71">
              <w:rPr>
                <w:spacing w:val="-2"/>
                <w:sz w:val="16"/>
                <w:lang w:val="en-AU"/>
              </w:rPr>
              <w:t xml:space="preserve"> </w:t>
            </w:r>
            <w:r w:rsidRPr="007B6D71">
              <w:rPr>
                <w:sz w:val="16"/>
                <w:lang w:val="en-AU"/>
              </w:rPr>
              <w:t>–</w:t>
            </w:r>
            <w:r w:rsidRPr="007B6D71">
              <w:rPr>
                <w:spacing w:val="-5"/>
                <w:sz w:val="16"/>
                <w:lang w:val="en-AU"/>
              </w:rPr>
              <w:t xml:space="preserve"> </w:t>
            </w:r>
            <w:r w:rsidRPr="007B6D71">
              <w:rPr>
                <w:sz w:val="16"/>
                <w:lang w:val="en-AU"/>
              </w:rPr>
              <w:t>section</w:t>
            </w:r>
            <w:r w:rsidRPr="007B6D71">
              <w:rPr>
                <w:spacing w:val="-3"/>
                <w:sz w:val="16"/>
                <w:lang w:val="en-AU"/>
              </w:rPr>
              <w:t xml:space="preserve"> </w:t>
            </w:r>
            <w:r w:rsidRPr="007B6D71">
              <w:rPr>
                <w:spacing w:val="-5"/>
                <w:sz w:val="16"/>
                <w:lang w:val="en-AU"/>
              </w:rPr>
              <w:t>9.3</w:t>
            </w:r>
          </w:p>
        </w:tc>
        <w:tc>
          <w:tcPr>
            <w:tcW w:w="1591" w:type="dxa"/>
          </w:tcPr>
          <w:p w14:paraId="394B3C4F" w14:textId="687820E8" w:rsidR="004E712A" w:rsidRPr="007B6D71" w:rsidRDefault="007C5CBB" w:rsidP="007D372B">
            <w:pPr>
              <w:pStyle w:val="TableParagraph"/>
              <w:spacing w:before="101"/>
              <w:rPr>
                <w:sz w:val="16"/>
                <w:lang w:val="en-AU"/>
              </w:rPr>
            </w:pPr>
            <w:proofErr w:type="spellStart"/>
            <w:r>
              <w:rPr>
                <w:sz w:val="16"/>
                <w:lang w:val="en-AU"/>
              </w:rPr>
              <w:t>i</w:t>
            </w:r>
            <w:proofErr w:type="spellEnd"/>
          </w:p>
        </w:tc>
      </w:tr>
      <w:tr w:rsidR="004E712A" w:rsidRPr="00703A0B" w14:paraId="76ACA607" w14:textId="77777777">
        <w:trPr>
          <w:trHeight w:val="666"/>
        </w:trPr>
        <w:tc>
          <w:tcPr>
            <w:tcW w:w="1548" w:type="dxa"/>
            <w:vMerge/>
          </w:tcPr>
          <w:p w14:paraId="6A101ADC" w14:textId="77777777" w:rsidR="004E712A" w:rsidRPr="00703A0B" w:rsidRDefault="004E712A">
            <w:pPr>
              <w:rPr>
                <w:sz w:val="2"/>
                <w:szCs w:val="2"/>
              </w:rPr>
            </w:pPr>
          </w:p>
        </w:tc>
        <w:tc>
          <w:tcPr>
            <w:tcW w:w="4265" w:type="dxa"/>
          </w:tcPr>
          <w:p w14:paraId="06E366E8" w14:textId="77777777" w:rsidR="004E712A" w:rsidRPr="007B6D71" w:rsidRDefault="004E712A" w:rsidP="00A836CF">
            <w:pPr>
              <w:pStyle w:val="TableParagraph"/>
              <w:numPr>
                <w:ilvl w:val="0"/>
                <w:numId w:val="35"/>
              </w:numPr>
              <w:tabs>
                <w:tab w:val="left" w:pos="354"/>
              </w:tabs>
              <w:ind w:left="354" w:hanging="251"/>
              <w:rPr>
                <w:b/>
                <w:sz w:val="16"/>
                <w:lang w:val="en-AU"/>
              </w:rPr>
            </w:pPr>
            <w:r w:rsidRPr="007B6D71">
              <w:rPr>
                <w:b/>
                <w:sz w:val="16"/>
                <w:lang w:val="en-AU"/>
              </w:rPr>
              <w:t>Copyright</w:t>
            </w:r>
            <w:r w:rsidRPr="007B6D71">
              <w:rPr>
                <w:b/>
                <w:spacing w:val="-3"/>
                <w:sz w:val="16"/>
                <w:lang w:val="en-AU"/>
              </w:rPr>
              <w:t xml:space="preserve"> </w:t>
            </w:r>
            <w:r w:rsidRPr="007B6D71">
              <w:rPr>
                <w:b/>
                <w:spacing w:val="-2"/>
                <w:sz w:val="16"/>
                <w:lang w:val="en-AU"/>
              </w:rPr>
              <w:t>notice</w:t>
            </w:r>
          </w:p>
        </w:tc>
        <w:tc>
          <w:tcPr>
            <w:tcW w:w="2520" w:type="dxa"/>
          </w:tcPr>
          <w:p w14:paraId="5CEF84DB" w14:textId="77777777" w:rsidR="004E712A" w:rsidRPr="007B6D71" w:rsidRDefault="004E712A">
            <w:pPr>
              <w:pStyle w:val="TableParagraph"/>
              <w:spacing w:before="101"/>
              <w:rPr>
                <w:i/>
                <w:sz w:val="16"/>
                <w:lang w:val="en-AU"/>
              </w:rPr>
            </w:pPr>
            <w:r w:rsidRPr="007B6D71">
              <w:rPr>
                <w:i/>
                <w:sz w:val="16"/>
                <w:lang w:val="en-AU"/>
              </w:rPr>
              <w:t>Copyright</w:t>
            </w:r>
            <w:r w:rsidRPr="007B6D71">
              <w:rPr>
                <w:i/>
                <w:spacing w:val="-6"/>
                <w:sz w:val="16"/>
                <w:lang w:val="en-AU"/>
              </w:rPr>
              <w:t xml:space="preserve"> </w:t>
            </w:r>
            <w:r w:rsidRPr="007B6D71">
              <w:rPr>
                <w:i/>
                <w:sz w:val="16"/>
                <w:lang w:val="en-AU"/>
              </w:rPr>
              <w:t>Act</w:t>
            </w:r>
            <w:r w:rsidRPr="007B6D71">
              <w:rPr>
                <w:i/>
                <w:spacing w:val="-3"/>
                <w:sz w:val="16"/>
                <w:lang w:val="en-AU"/>
              </w:rPr>
              <w:t xml:space="preserve"> </w:t>
            </w:r>
            <w:r w:rsidRPr="007B6D71">
              <w:rPr>
                <w:i/>
                <w:spacing w:val="-4"/>
                <w:sz w:val="16"/>
                <w:lang w:val="en-AU"/>
              </w:rPr>
              <w:t>1968</w:t>
            </w:r>
          </w:p>
          <w:p w14:paraId="6BC8B6B3" w14:textId="77777777" w:rsidR="004E712A" w:rsidRPr="007B6D71" w:rsidRDefault="004E712A">
            <w:pPr>
              <w:pStyle w:val="TableParagraph"/>
              <w:rPr>
                <w:sz w:val="16"/>
                <w:lang w:val="en-AU"/>
              </w:rPr>
            </w:pPr>
            <w:r w:rsidRPr="007B6D71">
              <w:rPr>
                <w:sz w:val="16"/>
                <w:lang w:val="en-AU"/>
              </w:rPr>
              <w:t>ARRs</w:t>
            </w:r>
            <w:r w:rsidRPr="007B6D71">
              <w:rPr>
                <w:spacing w:val="-2"/>
                <w:sz w:val="16"/>
                <w:lang w:val="en-AU"/>
              </w:rPr>
              <w:t xml:space="preserve"> </w:t>
            </w:r>
            <w:r w:rsidRPr="007B6D71">
              <w:rPr>
                <w:sz w:val="16"/>
                <w:lang w:val="en-AU"/>
              </w:rPr>
              <w:t>–</w:t>
            </w:r>
            <w:r w:rsidRPr="007B6D71">
              <w:rPr>
                <w:spacing w:val="-5"/>
                <w:sz w:val="16"/>
                <w:lang w:val="en-AU"/>
              </w:rPr>
              <w:t xml:space="preserve"> </w:t>
            </w:r>
            <w:r w:rsidRPr="007B6D71">
              <w:rPr>
                <w:sz w:val="16"/>
                <w:lang w:val="en-AU"/>
              </w:rPr>
              <w:t>section</w:t>
            </w:r>
            <w:r w:rsidRPr="007B6D71">
              <w:rPr>
                <w:spacing w:val="-3"/>
                <w:sz w:val="16"/>
                <w:lang w:val="en-AU"/>
              </w:rPr>
              <w:t xml:space="preserve"> </w:t>
            </w:r>
            <w:r w:rsidRPr="007B6D71">
              <w:rPr>
                <w:spacing w:val="-5"/>
                <w:sz w:val="16"/>
                <w:lang w:val="en-AU"/>
              </w:rPr>
              <w:t>9.4</w:t>
            </w:r>
          </w:p>
        </w:tc>
        <w:tc>
          <w:tcPr>
            <w:tcW w:w="1591" w:type="dxa"/>
          </w:tcPr>
          <w:p w14:paraId="0E15D582" w14:textId="1DA71FBD" w:rsidR="004E712A" w:rsidRPr="007B6D71" w:rsidRDefault="007C5CBB" w:rsidP="007D372B">
            <w:pPr>
              <w:pStyle w:val="TableParagraph"/>
              <w:spacing w:before="101"/>
              <w:rPr>
                <w:sz w:val="16"/>
                <w:lang w:val="en-AU"/>
              </w:rPr>
            </w:pPr>
            <w:proofErr w:type="spellStart"/>
            <w:r>
              <w:rPr>
                <w:sz w:val="16"/>
                <w:lang w:val="en-AU"/>
              </w:rPr>
              <w:t>i</w:t>
            </w:r>
            <w:proofErr w:type="spellEnd"/>
          </w:p>
        </w:tc>
      </w:tr>
      <w:tr w:rsidR="004E712A" w:rsidRPr="00703A0B" w14:paraId="598D7726" w14:textId="77777777">
        <w:trPr>
          <w:trHeight w:val="669"/>
        </w:trPr>
        <w:tc>
          <w:tcPr>
            <w:tcW w:w="1548" w:type="dxa"/>
            <w:vMerge/>
          </w:tcPr>
          <w:p w14:paraId="586A5786" w14:textId="77777777" w:rsidR="004E712A" w:rsidRPr="00703A0B" w:rsidRDefault="004E712A">
            <w:pPr>
              <w:rPr>
                <w:sz w:val="2"/>
                <w:szCs w:val="2"/>
              </w:rPr>
            </w:pPr>
          </w:p>
        </w:tc>
        <w:tc>
          <w:tcPr>
            <w:tcW w:w="4265" w:type="dxa"/>
          </w:tcPr>
          <w:p w14:paraId="02AC88A0" w14:textId="77777777" w:rsidR="004E712A" w:rsidRPr="007B6D71" w:rsidRDefault="004E712A" w:rsidP="00A836CF">
            <w:pPr>
              <w:pStyle w:val="TableParagraph"/>
              <w:numPr>
                <w:ilvl w:val="0"/>
                <w:numId w:val="34"/>
              </w:numPr>
              <w:tabs>
                <w:tab w:val="left" w:pos="354"/>
              </w:tabs>
              <w:ind w:left="354" w:hanging="251"/>
              <w:rPr>
                <w:b/>
                <w:sz w:val="16"/>
                <w:lang w:val="en-AU"/>
              </w:rPr>
            </w:pPr>
            <w:r w:rsidRPr="007B6D71">
              <w:rPr>
                <w:b/>
                <w:sz w:val="16"/>
                <w:lang w:val="en-AU"/>
              </w:rPr>
              <w:t>Information</w:t>
            </w:r>
            <w:r w:rsidRPr="007B6D71">
              <w:rPr>
                <w:b/>
                <w:spacing w:val="-9"/>
                <w:sz w:val="16"/>
                <w:lang w:val="en-AU"/>
              </w:rPr>
              <w:t xml:space="preserve"> </w:t>
            </w:r>
            <w:r w:rsidRPr="007B6D71">
              <w:rPr>
                <w:b/>
                <w:spacing w:val="-2"/>
                <w:sz w:val="16"/>
                <w:lang w:val="en-AU"/>
              </w:rPr>
              <w:t>Licensing</w:t>
            </w:r>
          </w:p>
        </w:tc>
        <w:tc>
          <w:tcPr>
            <w:tcW w:w="2520" w:type="dxa"/>
          </w:tcPr>
          <w:p w14:paraId="3002068B" w14:textId="77777777" w:rsidR="004E712A" w:rsidRPr="007B6D71" w:rsidRDefault="004E712A">
            <w:pPr>
              <w:pStyle w:val="TableParagraph"/>
              <w:spacing w:before="101"/>
              <w:rPr>
                <w:i/>
                <w:sz w:val="16"/>
                <w:lang w:val="en-AU"/>
              </w:rPr>
            </w:pPr>
            <w:r w:rsidRPr="007B6D71">
              <w:rPr>
                <w:i/>
                <w:sz w:val="16"/>
                <w:lang w:val="en-AU"/>
              </w:rPr>
              <w:t>QGEA</w:t>
            </w:r>
            <w:r w:rsidRPr="007B6D71">
              <w:rPr>
                <w:i/>
                <w:spacing w:val="-5"/>
                <w:sz w:val="16"/>
                <w:lang w:val="en-AU"/>
              </w:rPr>
              <w:t xml:space="preserve"> </w:t>
            </w:r>
            <w:r w:rsidRPr="007B6D71">
              <w:rPr>
                <w:i/>
                <w:sz w:val="16"/>
                <w:lang w:val="en-AU"/>
              </w:rPr>
              <w:t>–</w:t>
            </w:r>
            <w:r w:rsidRPr="007B6D71">
              <w:rPr>
                <w:i/>
                <w:spacing w:val="-5"/>
                <w:sz w:val="16"/>
                <w:lang w:val="en-AU"/>
              </w:rPr>
              <w:t xml:space="preserve"> </w:t>
            </w:r>
            <w:r w:rsidRPr="007B6D71">
              <w:rPr>
                <w:i/>
                <w:sz w:val="16"/>
                <w:lang w:val="en-AU"/>
              </w:rPr>
              <w:t>Information</w:t>
            </w:r>
            <w:r w:rsidRPr="007B6D71">
              <w:rPr>
                <w:i/>
                <w:spacing w:val="-3"/>
                <w:sz w:val="16"/>
                <w:lang w:val="en-AU"/>
              </w:rPr>
              <w:t xml:space="preserve"> </w:t>
            </w:r>
            <w:r w:rsidRPr="007B6D71">
              <w:rPr>
                <w:i/>
                <w:spacing w:val="-2"/>
                <w:sz w:val="16"/>
                <w:lang w:val="en-AU"/>
              </w:rPr>
              <w:t>Licensing</w:t>
            </w:r>
          </w:p>
          <w:p w14:paraId="58C1C09D" w14:textId="77777777" w:rsidR="004E712A" w:rsidRPr="007B6D71" w:rsidRDefault="004E712A">
            <w:pPr>
              <w:pStyle w:val="TableParagraph"/>
              <w:rPr>
                <w:sz w:val="16"/>
                <w:lang w:val="en-AU"/>
              </w:rPr>
            </w:pPr>
            <w:r w:rsidRPr="007B6D71">
              <w:rPr>
                <w:sz w:val="16"/>
                <w:lang w:val="en-AU"/>
              </w:rPr>
              <w:t>ARRs</w:t>
            </w:r>
            <w:r w:rsidRPr="007B6D71">
              <w:rPr>
                <w:spacing w:val="-2"/>
                <w:sz w:val="16"/>
                <w:lang w:val="en-AU"/>
              </w:rPr>
              <w:t xml:space="preserve"> </w:t>
            </w:r>
            <w:r w:rsidRPr="007B6D71">
              <w:rPr>
                <w:sz w:val="16"/>
                <w:lang w:val="en-AU"/>
              </w:rPr>
              <w:t>–</w:t>
            </w:r>
            <w:r w:rsidRPr="007B6D71">
              <w:rPr>
                <w:spacing w:val="-5"/>
                <w:sz w:val="16"/>
                <w:lang w:val="en-AU"/>
              </w:rPr>
              <w:t xml:space="preserve"> </w:t>
            </w:r>
            <w:r w:rsidRPr="007B6D71">
              <w:rPr>
                <w:sz w:val="16"/>
                <w:lang w:val="en-AU"/>
              </w:rPr>
              <w:t>section</w:t>
            </w:r>
            <w:r w:rsidRPr="007B6D71">
              <w:rPr>
                <w:spacing w:val="-3"/>
                <w:sz w:val="16"/>
                <w:lang w:val="en-AU"/>
              </w:rPr>
              <w:t xml:space="preserve"> </w:t>
            </w:r>
            <w:r w:rsidRPr="007B6D71">
              <w:rPr>
                <w:spacing w:val="-5"/>
                <w:sz w:val="16"/>
                <w:lang w:val="en-AU"/>
              </w:rPr>
              <w:t>9.5</w:t>
            </w:r>
          </w:p>
        </w:tc>
        <w:tc>
          <w:tcPr>
            <w:tcW w:w="1591" w:type="dxa"/>
          </w:tcPr>
          <w:p w14:paraId="1C0727C5" w14:textId="02258E2E" w:rsidR="004E712A" w:rsidRPr="007B6D71" w:rsidRDefault="007C5CBB" w:rsidP="007D372B">
            <w:pPr>
              <w:pStyle w:val="TableParagraph"/>
              <w:spacing w:before="101"/>
              <w:rPr>
                <w:sz w:val="16"/>
                <w:lang w:val="en-AU"/>
              </w:rPr>
            </w:pPr>
            <w:proofErr w:type="spellStart"/>
            <w:r>
              <w:rPr>
                <w:sz w:val="16"/>
                <w:lang w:val="en-AU"/>
              </w:rPr>
              <w:t>i</w:t>
            </w:r>
            <w:proofErr w:type="spellEnd"/>
          </w:p>
        </w:tc>
      </w:tr>
      <w:tr w:rsidR="004E712A" w:rsidRPr="00703A0B" w14:paraId="03104C56" w14:textId="77777777">
        <w:trPr>
          <w:trHeight w:val="568"/>
        </w:trPr>
        <w:tc>
          <w:tcPr>
            <w:tcW w:w="1548" w:type="dxa"/>
          </w:tcPr>
          <w:p w14:paraId="2320CAB1" w14:textId="77777777" w:rsidR="004E712A" w:rsidRPr="007B6D71" w:rsidRDefault="004E712A">
            <w:pPr>
              <w:pStyle w:val="TableParagraph"/>
              <w:spacing w:before="99"/>
              <w:ind w:left="107" w:right="112"/>
              <w:rPr>
                <w:b/>
                <w:sz w:val="16"/>
                <w:lang w:val="en-AU"/>
              </w:rPr>
            </w:pPr>
            <w:r w:rsidRPr="007B6D71">
              <w:rPr>
                <w:b/>
                <w:spacing w:val="-2"/>
                <w:sz w:val="16"/>
                <w:lang w:val="en-AU"/>
              </w:rPr>
              <w:t>General information</w:t>
            </w:r>
          </w:p>
        </w:tc>
        <w:tc>
          <w:tcPr>
            <w:tcW w:w="4265" w:type="dxa"/>
          </w:tcPr>
          <w:p w14:paraId="3C0CB2A1" w14:textId="77777777" w:rsidR="004E712A" w:rsidRPr="007B6D71" w:rsidRDefault="004E712A" w:rsidP="00A836CF">
            <w:pPr>
              <w:pStyle w:val="TableParagraph"/>
              <w:numPr>
                <w:ilvl w:val="0"/>
                <w:numId w:val="33"/>
              </w:numPr>
              <w:tabs>
                <w:tab w:val="left" w:pos="354"/>
              </w:tabs>
              <w:ind w:left="354" w:hanging="251"/>
              <w:rPr>
                <w:b/>
                <w:sz w:val="16"/>
                <w:lang w:val="en-AU"/>
              </w:rPr>
            </w:pPr>
            <w:r w:rsidRPr="007B6D71">
              <w:rPr>
                <w:b/>
                <w:sz w:val="16"/>
                <w:lang w:val="en-AU"/>
              </w:rPr>
              <w:t>Introductory</w:t>
            </w:r>
            <w:r w:rsidRPr="007B6D71">
              <w:rPr>
                <w:b/>
                <w:spacing w:val="-8"/>
                <w:sz w:val="16"/>
                <w:lang w:val="en-AU"/>
              </w:rPr>
              <w:t xml:space="preserve"> </w:t>
            </w:r>
            <w:r w:rsidRPr="007B6D71">
              <w:rPr>
                <w:b/>
                <w:spacing w:val="-2"/>
                <w:sz w:val="16"/>
                <w:lang w:val="en-AU"/>
              </w:rPr>
              <w:t>Information</w:t>
            </w:r>
          </w:p>
        </w:tc>
        <w:tc>
          <w:tcPr>
            <w:tcW w:w="2520" w:type="dxa"/>
          </w:tcPr>
          <w:p w14:paraId="4E2DAB85" w14:textId="77777777" w:rsidR="004E712A" w:rsidRPr="007B6D71" w:rsidRDefault="004E712A">
            <w:pPr>
              <w:pStyle w:val="TableParagraph"/>
              <w:spacing w:before="101"/>
              <w:rPr>
                <w:sz w:val="16"/>
                <w:lang w:val="en-AU"/>
              </w:rPr>
            </w:pPr>
            <w:r w:rsidRPr="007B6D71">
              <w:rPr>
                <w:sz w:val="16"/>
                <w:lang w:val="en-AU"/>
              </w:rPr>
              <w:t>ARRs</w:t>
            </w:r>
            <w:r w:rsidRPr="007B6D71">
              <w:rPr>
                <w:spacing w:val="-2"/>
                <w:sz w:val="16"/>
                <w:lang w:val="en-AU"/>
              </w:rPr>
              <w:t xml:space="preserve"> </w:t>
            </w:r>
            <w:r w:rsidRPr="007B6D71">
              <w:rPr>
                <w:sz w:val="16"/>
                <w:lang w:val="en-AU"/>
              </w:rPr>
              <w:t>–</w:t>
            </w:r>
            <w:r w:rsidRPr="007B6D71">
              <w:rPr>
                <w:spacing w:val="-5"/>
                <w:sz w:val="16"/>
                <w:lang w:val="en-AU"/>
              </w:rPr>
              <w:t xml:space="preserve"> </w:t>
            </w:r>
            <w:r w:rsidRPr="007B6D71">
              <w:rPr>
                <w:sz w:val="16"/>
                <w:lang w:val="en-AU"/>
              </w:rPr>
              <w:t>section</w:t>
            </w:r>
            <w:r w:rsidRPr="007B6D71">
              <w:rPr>
                <w:spacing w:val="-3"/>
                <w:sz w:val="16"/>
                <w:lang w:val="en-AU"/>
              </w:rPr>
              <w:t xml:space="preserve"> </w:t>
            </w:r>
            <w:r w:rsidRPr="007B6D71">
              <w:rPr>
                <w:spacing w:val="-5"/>
                <w:sz w:val="16"/>
                <w:lang w:val="en-AU"/>
              </w:rPr>
              <w:t>10</w:t>
            </w:r>
          </w:p>
        </w:tc>
        <w:tc>
          <w:tcPr>
            <w:tcW w:w="1591" w:type="dxa"/>
          </w:tcPr>
          <w:p w14:paraId="4919EFC6" w14:textId="4312DF42" w:rsidR="004E712A" w:rsidRPr="007B6D71" w:rsidRDefault="005F0D35" w:rsidP="007D372B">
            <w:pPr>
              <w:pStyle w:val="TableParagraph"/>
              <w:spacing w:before="101"/>
              <w:rPr>
                <w:sz w:val="16"/>
                <w:lang w:val="en-AU"/>
              </w:rPr>
            </w:pPr>
            <w:r w:rsidRPr="007B6D71">
              <w:rPr>
                <w:sz w:val="16"/>
                <w:lang w:val="en-AU"/>
              </w:rPr>
              <w:t>4</w:t>
            </w:r>
          </w:p>
        </w:tc>
      </w:tr>
      <w:tr w:rsidR="004E712A" w:rsidRPr="00703A0B" w14:paraId="5BB66959" w14:textId="77777777">
        <w:trPr>
          <w:trHeight w:val="577"/>
        </w:trPr>
        <w:tc>
          <w:tcPr>
            <w:tcW w:w="1548" w:type="dxa"/>
            <w:vMerge w:val="restart"/>
          </w:tcPr>
          <w:p w14:paraId="234D24B5" w14:textId="77777777" w:rsidR="004E712A" w:rsidRPr="007B6D71" w:rsidRDefault="004E712A">
            <w:pPr>
              <w:pStyle w:val="TableParagraph"/>
              <w:spacing w:before="99"/>
              <w:ind w:left="107"/>
              <w:rPr>
                <w:b/>
                <w:sz w:val="16"/>
                <w:lang w:val="en-AU"/>
              </w:rPr>
            </w:pPr>
            <w:r w:rsidRPr="007B6D71">
              <w:rPr>
                <w:b/>
                <w:spacing w:val="-2"/>
                <w:sz w:val="16"/>
                <w:lang w:val="en-AU"/>
              </w:rPr>
              <w:t>Non-financial performance</w:t>
            </w:r>
          </w:p>
        </w:tc>
        <w:tc>
          <w:tcPr>
            <w:tcW w:w="4265" w:type="dxa"/>
          </w:tcPr>
          <w:p w14:paraId="618606B3" w14:textId="77777777" w:rsidR="004E712A" w:rsidRPr="007B6D71" w:rsidRDefault="004E712A" w:rsidP="00A836CF">
            <w:pPr>
              <w:pStyle w:val="TableParagraph"/>
              <w:numPr>
                <w:ilvl w:val="0"/>
                <w:numId w:val="32"/>
              </w:numPr>
              <w:tabs>
                <w:tab w:val="left" w:pos="355"/>
              </w:tabs>
              <w:ind w:right="222"/>
              <w:rPr>
                <w:b/>
                <w:sz w:val="16"/>
                <w:lang w:val="en-AU"/>
              </w:rPr>
            </w:pPr>
            <w:r w:rsidRPr="007B6D71">
              <w:rPr>
                <w:b/>
                <w:sz w:val="16"/>
                <w:lang w:val="en-AU"/>
              </w:rPr>
              <w:t>Government’s</w:t>
            </w:r>
            <w:r w:rsidRPr="007B6D71">
              <w:rPr>
                <w:b/>
                <w:spacing w:val="-7"/>
                <w:sz w:val="16"/>
                <w:lang w:val="en-AU"/>
              </w:rPr>
              <w:t xml:space="preserve"> </w:t>
            </w:r>
            <w:r w:rsidRPr="007B6D71">
              <w:rPr>
                <w:b/>
                <w:sz w:val="16"/>
                <w:lang w:val="en-AU"/>
              </w:rPr>
              <w:t>objectives</w:t>
            </w:r>
            <w:r w:rsidRPr="007B6D71">
              <w:rPr>
                <w:b/>
                <w:spacing w:val="-10"/>
                <w:sz w:val="16"/>
                <w:lang w:val="en-AU"/>
              </w:rPr>
              <w:t xml:space="preserve"> </w:t>
            </w:r>
            <w:r w:rsidRPr="007B6D71">
              <w:rPr>
                <w:b/>
                <w:sz w:val="16"/>
                <w:lang w:val="en-AU"/>
              </w:rPr>
              <w:t>for</w:t>
            </w:r>
            <w:r w:rsidRPr="007B6D71">
              <w:rPr>
                <w:b/>
                <w:spacing w:val="-6"/>
                <w:sz w:val="16"/>
                <w:lang w:val="en-AU"/>
              </w:rPr>
              <w:t xml:space="preserve"> </w:t>
            </w:r>
            <w:r w:rsidRPr="007B6D71">
              <w:rPr>
                <w:b/>
                <w:sz w:val="16"/>
                <w:lang w:val="en-AU"/>
              </w:rPr>
              <w:t>the</w:t>
            </w:r>
            <w:r w:rsidRPr="007B6D71">
              <w:rPr>
                <w:b/>
                <w:spacing w:val="-9"/>
                <w:sz w:val="16"/>
                <w:lang w:val="en-AU"/>
              </w:rPr>
              <w:t xml:space="preserve"> </w:t>
            </w:r>
            <w:r w:rsidRPr="007B6D71">
              <w:rPr>
                <w:b/>
                <w:sz w:val="16"/>
                <w:lang w:val="en-AU"/>
              </w:rPr>
              <w:t>community</w:t>
            </w:r>
            <w:r w:rsidRPr="007B6D71">
              <w:rPr>
                <w:b/>
                <w:spacing w:val="-5"/>
                <w:sz w:val="16"/>
                <w:lang w:val="en-AU"/>
              </w:rPr>
              <w:t xml:space="preserve"> </w:t>
            </w:r>
            <w:r w:rsidRPr="007B6D71">
              <w:rPr>
                <w:b/>
                <w:sz w:val="16"/>
                <w:lang w:val="en-AU"/>
              </w:rPr>
              <w:t>and whole-of-government plans/specific initiatives</w:t>
            </w:r>
          </w:p>
        </w:tc>
        <w:tc>
          <w:tcPr>
            <w:tcW w:w="2520" w:type="dxa"/>
          </w:tcPr>
          <w:p w14:paraId="6DBBF4CA" w14:textId="77777777" w:rsidR="004E712A" w:rsidRPr="007B6D71" w:rsidRDefault="004E712A">
            <w:pPr>
              <w:pStyle w:val="TableParagraph"/>
              <w:spacing w:before="101"/>
              <w:rPr>
                <w:sz w:val="16"/>
                <w:lang w:val="en-AU"/>
              </w:rPr>
            </w:pPr>
            <w:r w:rsidRPr="007B6D71">
              <w:rPr>
                <w:sz w:val="16"/>
                <w:lang w:val="en-AU"/>
              </w:rPr>
              <w:t>ARRs</w:t>
            </w:r>
            <w:r w:rsidRPr="007B6D71">
              <w:rPr>
                <w:spacing w:val="-4"/>
                <w:sz w:val="16"/>
                <w:lang w:val="en-AU"/>
              </w:rPr>
              <w:t xml:space="preserve"> </w:t>
            </w:r>
            <w:r w:rsidRPr="007B6D71">
              <w:rPr>
                <w:sz w:val="16"/>
                <w:lang w:val="en-AU"/>
              </w:rPr>
              <w:t>–</w:t>
            </w:r>
            <w:r w:rsidRPr="007B6D71">
              <w:rPr>
                <w:spacing w:val="-5"/>
                <w:sz w:val="16"/>
                <w:lang w:val="en-AU"/>
              </w:rPr>
              <w:t xml:space="preserve"> </w:t>
            </w:r>
            <w:r w:rsidRPr="007B6D71">
              <w:rPr>
                <w:sz w:val="16"/>
                <w:lang w:val="en-AU"/>
              </w:rPr>
              <w:t>section</w:t>
            </w:r>
            <w:r w:rsidRPr="007B6D71">
              <w:rPr>
                <w:spacing w:val="-3"/>
                <w:sz w:val="16"/>
                <w:lang w:val="en-AU"/>
              </w:rPr>
              <w:t xml:space="preserve"> </w:t>
            </w:r>
            <w:r w:rsidRPr="007B6D71">
              <w:rPr>
                <w:spacing w:val="-4"/>
                <w:sz w:val="16"/>
                <w:lang w:val="en-AU"/>
              </w:rPr>
              <w:t>11.1</w:t>
            </w:r>
          </w:p>
        </w:tc>
        <w:tc>
          <w:tcPr>
            <w:tcW w:w="1591" w:type="dxa"/>
          </w:tcPr>
          <w:p w14:paraId="5EAADB92" w14:textId="213A8E2C" w:rsidR="004E712A" w:rsidRPr="007B6D71" w:rsidRDefault="005F0D35" w:rsidP="007D372B">
            <w:pPr>
              <w:pStyle w:val="TableParagraph"/>
              <w:spacing w:before="101"/>
              <w:rPr>
                <w:sz w:val="16"/>
                <w:lang w:val="en-AU"/>
              </w:rPr>
            </w:pPr>
            <w:r w:rsidRPr="007B6D71">
              <w:rPr>
                <w:sz w:val="16"/>
                <w:lang w:val="en-AU"/>
              </w:rPr>
              <w:t>5</w:t>
            </w:r>
          </w:p>
        </w:tc>
      </w:tr>
      <w:tr w:rsidR="004E712A" w:rsidRPr="00703A0B" w14:paraId="3159C4E7" w14:textId="77777777">
        <w:trPr>
          <w:trHeight w:val="395"/>
        </w:trPr>
        <w:tc>
          <w:tcPr>
            <w:tcW w:w="1548" w:type="dxa"/>
            <w:vMerge/>
          </w:tcPr>
          <w:p w14:paraId="7FF45817" w14:textId="77777777" w:rsidR="004E712A" w:rsidRPr="00703A0B" w:rsidRDefault="004E712A">
            <w:pPr>
              <w:rPr>
                <w:sz w:val="2"/>
                <w:szCs w:val="2"/>
              </w:rPr>
            </w:pPr>
          </w:p>
        </w:tc>
        <w:tc>
          <w:tcPr>
            <w:tcW w:w="4265" w:type="dxa"/>
          </w:tcPr>
          <w:p w14:paraId="5BE4659C" w14:textId="77777777" w:rsidR="004E712A" w:rsidRPr="007B6D71" w:rsidRDefault="004E712A" w:rsidP="00A836CF">
            <w:pPr>
              <w:pStyle w:val="TableParagraph"/>
              <w:numPr>
                <w:ilvl w:val="0"/>
                <w:numId w:val="31"/>
              </w:numPr>
              <w:tabs>
                <w:tab w:val="left" w:pos="354"/>
              </w:tabs>
              <w:ind w:left="354" w:hanging="251"/>
              <w:rPr>
                <w:b/>
                <w:sz w:val="16"/>
                <w:lang w:val="en-AU"/>
              </w:rPr>
            </w:pPr>
            <w:r w:rsidRPr="007B6D71">
              <w:rPr>
                <w:b/>
                <w:sz w:val="16"/>
                <w:lang w:val="en-AU"/>
              </w:rPr>
              <w:t>Agency</w:t>
            </w:r>
            <w:r w:rsidRPr="007B6D71">
              <w:rPr>
                <w:b/>
                <w:spacing w:val="-7"/>
                <w:sz w:val="16"/>
                <w:lang w:val="en-AU"/>
              </w:rPr>
              <w:t xml:space="preserve"> </w:t>
            </w:r>
            <w:r w:rsidRPr="007B6D71">
              <w:rPr>
                <w:b/>
                <w:sz w:val="16"/>
                <w:lang w:val="en-AU"/>
              </w:rPr>
              <w:t>objectives</w:t>
            </w:r>
            <w:r w:rsidRPr="007B6D71">
              <w:rPr>
                <w:b/>
                <w:spacing w:val="-7"/>
                <w:sz w:val="16"/>
                <w:lang w:val="en-AU"/>
              </w:rPr>
              <w:t xml:space="preserve"> </w:t>
            </w:r>
            <w:r w:rsidRPr="007B6D71">
              <w:rPr>
                <w:b/>
                <w:sz w:val="16"/>
                <w:lang w:val="en-AU"/>
              </w:rPr>
              <w:t>and</w:t>
            </w:r>
            <w:r w:rsidRPr="007B6D71">
              <w:rPr>
                <w:b/>
                <w:spacing w:val="-9"/>
                <w:sz w:val="16"/>
                <w:lang w:val="en-AU"/>
              </w:rPr>
              <w:t xml:space="preserve"> </w:t>
            </w:r>
            <w:r w:rsidRPr="007B6D71">
              <w:rPr>
                <w:b/>
                <w:sz w:val="16"/>
                <w:lang w:val="en-AU"/>
              </w:rPr>
              <w:t>performance</w:t>
            </w:r>
            <w:r w:rsidRPr="007B6D71">
              <w:rPr>
                <w:b/>
                <w:spacing w:val="-7"/>
                <w:sz w:val="16"/>
                <w:lang w:val="en-AU"/>
              </w:rPr>
              <w:t xml:space="preserve"> </w:t>
            </w:r>
            <w:r w:rsidRPr="007B6D71">
              <w:rPr>
                <w:b/>
                <w:spacing w:val="-2"/>
                <w:sz w:val="16"/>
                <w:lang w:val="en-AU"/>
              </w:rPr>
              <w:t>indicators</w:t>
            </w:r>
          </w:p>
        </w:tc>
        <w:tc>
          <w:tcPr>
            <w:tcW w:w="2520" w:type="dxa"/>
          </w:tcPr>
          <w:p w14:paraId="641B0A3B" w14:textId="77777777" w:rsidR="004E712A" w:rsidRPr="007B6D71" w:rsidRDefault="004E712A">
            <w:pPr>
              <w:pStyle w:val="TableParagraph"/>
              <w:spacing w:before="101"/>
              <w:rPr>
                <w:sz w:val="16"/>
                <w:lang w:val="en-AU"/>
              </w:rPr>
            </w:pPr>
            <w:r w:rsidRPr="007B6D71">
              <w:rPr>
                <w:sz w:val="16"/>
                <w:lang w:val="en-AU"/>
              </w:rPr>
              <w:t>ARRs</w:t>
            </w:r>
            <w:r w:rsidRPr="007B6D71">
              <w:rPr>
                <w:spacing w:val="-4"/>
                <w:sz w:val="16"/>
                <w:lang w:val="en-AU"/>
              </w:rPr>
              <w:t xml:space="preserve"> </w:t>
            </w:r>
            <w:r w:rsidRPr="007B6D71">
              <w:rPr>
                <w:sz w:val="16"/>
                <w:lang w:val="en-AU"/>
              </w:rPr>
              <w:t>–</w:t>
            </w:r>
            <w:r w:rsidRPr="007B6D71">
              <w:rPr>
                <w:spacing w:val="-5"/>
                <w:sz w:val="16"/>
                <w:lang w:val="en-AU"/>
              </w:rPr>
              <w:t xml:space="preserve"> </w:t>
            </w:r>
            <w:r w:rsidRPr="007B6D71">
              <w:rPr>
                <w:sz w:val="16"/>
                <w:lang w:val="en-AU"/>
              </w:rPr>
              <w:t>section</w:t>
            </w:r>
            <w:r w:rsidRPr="007B6D71">
              <w:rPr>
                <w:spacing w:val="-3"/>
                <w:sz w:val="16"/>
                <w:lang w:val="en-AU"/>
              </w:rPr>
              <w:t xml:space="preserve"> </w:t>
            </w:r>
            <w:r w:rsidRPr="007B6D71">
              <w:rPr>
                <w:spacing w:val="-4"/>
                <w:sz w:val="16"/>
                <w:lang w:val="en-AU"/>
              </w:rPr>
              <w:t>11.2</w:t>
            </w:r>
          </w:p>
        </w:tc>
        <w:tc>
          <w:tcPr>
            <w:tcW w:w="1591" w:type="dxa"/>
          </w:tcPr>
          <w:p w14:paraId="7C645D3C" w14:textId="784764EF" w:rsidR="004E712A" w:rsidRPr="007B6D71" w:rsidRDefault="005F0D35" w:rsidP="007D372B">
            <w:pPr>
              <w:pStyle w:val="TableParagraph"/>
              <w:spacing w:before="101"/>
              <w:rPr>
                <w:sz w:val="16"/>
                <w:lang w:val="en-AU"/>
              </w:rPr>
            </w:pPr>
            <w:r w:rsidRPr="007B6D71">
              <w:rPr>
                <w:sz w:val="16"/>
                <w:lang w:val="en-AU"/>
              </w:rPr>
              <w:t>5</w:t>
            </w:r>
          </w:p>
        </w:tc>
      </w:tr>
      <w:tr w:rsidR="004E712A" w:rsidRPr="00703A0B" w14:paraId="590EB5FE" w14:textId="77777777">
        <w:trPr>
          <w:trHeight w:val="393"/>
        </w:trPr>
        <w:tc>
          <w:tcPr>
            <w:tcW w:w="1548" w:type="dxa"/>
            <w:vMerge/>
          </w:tcPr>
          <w:p w14:paraId="5BE3A05E" w14:textId="77777777" w:rsidR="004E712A" w:rsidRPr="00703A0B" w:rsidRDefault="004E712A">
            <w:pPr>
              <w:rPr>
                <w:sz w:val="2"/>
                <w:szCs w:val="2"/>
              </w:rPr>
            </w:pPr>
          </w:p>
        </w:tc>
        <w:tc>
          <w:tcPr>
            <w:tcW w:w="4265" w:type="dxa"/>
          </w:tcPr>
          <w:p w14:paraId="468C16CE" w14:textId="77777777" w:rsidR="004E712A" w:rsidRPr="007B6D71" w:rsidRDefault="004E712A" w:rsidP="00A836CF">
            <w:pPr>
              <w:pStyle w:val="TableParagraph"/>
              <w:numPr>
                <w:ilvl w:val="0"/>
                <w:numId w:val="30"/>
              </w:numPr>
              <w:tabs>
                <w:tab w:val="left" w:pos="354"/>
              </w:tabs>
              <w:ind w:left="354" w:hanging="251"/>
              <w:rPr>
                <w:b/>
                <w:sz w:val="16"/>
                <w:lang w:val="en-AU"/>
              </w:rPr>
            </w:pPr>
            <w:r w:rsidRPr="007B6D71">
              <w:rPr>
                <w:b/>
                <w:sz w:val="16"/>
                <w:lang w:val="en-AU"/>
              </w:rPr>
              <w:t>Agency</w:t>
            </w:r>
            <w:r w:rsidRPr="007B6D71">
              <w:rPr>
                <w:b/>
                <w:spacing w:val="-6"/>
                <w:sz w:val="16"/>
                <w:lang w:val="en-AU"/>
              </w:rPr>
              <w:t xml:space="preserve"> </w:t>
            </w:r>
            <w:r w:rsidRPr="007B6D71">
              <w:rPr>
                <w:b/>
                <w:sz w:val="16"/>
                <w:lang w:val="en-AU"/>
              </w:rPr>
              <w:t>service</w:t>
            </w:r>
            <w:r w:rsidRPr="007B6D71">
              <w:rPr>
                <w:b/>
                <w:spacing w:val="-6"/>
                <w:sz w:val="16"/>
                <w:lang w:val="en-AU"/>
              </w:rPr>
              <w:t xml:space="preserve"> </w:t>
            </w:r>
            <w:r w:rsidRPr="007B6D71">
              <w:rPr>
                <w:b/>
                <w:sz w:val="16"/>
                <w:lang w:val="en-AU"/>
              </w:rPr>
              <w:t>areas</w:t>
            </w:r>
            <w:r w:rsidRPr="007B6D71">
              <w:rPr>
                <w:b/>
                <w:spacing w:val="-5"/>
                <w:sz w:val="16"/>
                <w:lang w:val="en-AU"/>
              </w:rPr>
              <w:t xml:space="preserve"> </w:t>
            </w:r>
            <w:r w:rsidRPr="007B6D71">
              <w:rPr>
                <w:b/>
                <w:sz w:val="16"/>
                <w:lang w:val="en-AU"/>
              </w:rPr>
              <w:t>and</w:t>
            </w:r>
            <w:r w:rsidRPr="007B6D71">
              <w:rPr>
                <w:b/>
                <w:spacing w:val="-5"/>
                <w:sz w:val="16"/>
                <w:lang w:val="en-AU"/>
              </w:rPr>
              <w:t xml:space="preserve"> </w:t>
            </w:r>
            <w:r w:rsidRPr="007B6D71">
              <w:rPr>
                <w:b/>
                <w:sz w:val="16"/>
                <w:lang w:val="en-AU"/>
              </w:rPr>
              <w:t>service</w:t>
            </w:r>
            <w:r w:rsidRPr="007B6D71">
              <w:rPr>
                <w:b/>
                <w:spacing w:val="-5"/>
                <w:sz w:val="16"/>
                <w:lang w:val="en-AU"/>
              </w:rPr>
              <w:t xml:space="preserve"> </w:t>
            </w:r>
            <w:r w:rsidRPr="007B6D71">
              <w:rPr>
                <w:b/>
                <w:spacing w:val="-2"/>
                <w:sz w:val="16"/>
                <w:lang w:val="en-AU"/>
              </w:rPr>
              <w:t>standards</w:t>
            </w:r>
          </w:p>
        </w:tc>
        <w:tc>
          <w:tcPr>
            <w:tcW w:w="2520" w:type="dxa"/>
          </w:tcPr>
          <w:p w14:paraId="0753C2D1" w14:textId="77777777" w:rsidR="004E712A" w:rsidRPr="007B6D71" w:rsidRDefault="004E712A">
            <w:pPr>
              <w:pStyle w:val="TableParagraph"/>
              <w:spacing w:before="101"/>
              <w:rPr>
                <w:sz w:val="16"/>
                <w:lang w:val="en-AU"/>
              </w:rPr>
            </w:pPr>
            <w:r w:rsidRPr="007B6D71">
              <w:rPr>
                <w:sz w:val="16"/>
                <w:lang w:val="en-AU"/>
              </w:rPr>
              <w:t>ARRs</w:t>
            </w:r>
            <w:r w:rsidRPr="007B6D71">
              <w:rPr>
                <w:spacing w:val="-4"/>
                <w:sz w:val="16"/>
                <w:lang w:val="en-AU"/>
              </w:rPr>
              <w:t xml:space="preserve"> </w:t>
            </w:r>
            <w:r w:rsidRPr="007B6D71">
              <w:rPr>
                <w:sz w:val="16"/>
                <w:lang w:val="en-AU"/>
              </w:rPr>
              <w:t>–</w:t>
            </w:r>
            <w:r w:rsidRPr="007B6D71">
              <w:rPr>
                <w:spacing w:val="-5"/>
                <w:sz w:val="16"/>
                <w:lang w:val="en-AU"/>
              </w:rPr>
              <w:t xml:space="preserve"> </w:t>
            </w:r>
            <w:r w:rsidRPr="007B6D71">
              <w:rPr>
                <w:sz w:val="16"/>
                <w:lang w:val="en-AU"/>
              </w:rPr>
              <w:t>section</w:t>
            </w:r>
            <w:r w:rsidRPr="007B6D71">
              <w:rPr>
                <w:spacing w:val="-3"/>
                <w:sz w:val="16"/>
                <w:lang w:val="en-AU"/>
              </w:rPr>
              <w:t xml:space="preserve"> </w:t>
            </w:r>
            <w:r w:rsidRPr="007B6D71">
              <w:rPr>
                <w:spacing w:val="-4"/>
                <w:sz w:val="16"/>
                <w:lang w:val="en-AU"/>
              </w:rPr>
              <w:t>11.3</w:t>
            </w:r>
          </w:p>
        </w:tc>
        <w:tc>
          <w:tcPr>
            <w:tcW w:w="1591" w:type="dxa"/>
          </w:tcPr>
          <w:p w14:paraId="33658792" w14:textId="14F7B460" w:rsidR="004E712A" w:rsidRPr="007B6D71" w:rsidRDefault="00454BDE" w:rsidP="007D372B">
            <w:pPr>
              <w:pStyle w:val="TableParagraph"/>
              <w:spacing w:before="101"/>
              <w:rPr>
                <w:sz w:val="16"/>
                <w:lang w:val="en-AU"/>
              </w:rPr>
            </w:pPr>
            <w:r w:rsidRPr="007B6D71">
              <w:rPr>
                <w:sz w:val="16"/>
                <w:lang w:val="en-AU"/>
              </w:rPr>
              <w:t>45</w:t>
            </w:r>
          </w:p>
        </w:tc>
      </w:tr>
      <w:tr w:rsidR="004E712A" w:rsidRPr="00703A0B" w14:paraId="5498FA24" w14:textId="77777777">
        <w:trPr>
          <w:trHeight w:val="568"/>
        </w:trPr>
        <w:tc>
          <w:tcPr>
            <w:tcW w:w="1548" w:type="dxa"/>
          </w:tcPr>
          <w:p w14:paraId="2468B5D4" w14:textId="77777777" w:rsidR="004E712A" w:rsidRPr="007B6D71" w:rsidRDefault="004E712A">
            <w:pPr>
              <w:pStyle w:val="TableParagraph"/>
              <w:spacing w:before="99" w:line="244" w:lineRule="auto"/>
              <w:ind w:left="107"/>
              <w:rPr>
                <w:b/>
                <w:sz w:val="16"/>
                <w:lang w:val="en-AU"/>
              </w:rPr>
            </w:pPr>
            <w:r w:rsidRPr="007B6D71">
              <w:rPr>
                <w:b/>
                <w:spacing w:val="-2"/>
                <w:sz w:val="16"/>
                <w:lang w:val="en-AU"/>
              </w:rPr>
              <w:t>Financial performance</w:t>
            </w:r>
          </w:p>
        </w:tc>
        <w:tc>
          <w:tcPr>
            <w:tcW w:w="4265" w:type="dxa"/>
          </w:tcPr>
          <w:p w14:paraId="601456B6" w14:textId="77777777" w:rsidR="004E712A" w:rsidRPr="007B6D71" w:rsidRDefault="004E712A" w:rsidP="00A836CF">
            <w:pPr>
              <w:pStyle w:val="TableParagraph"/>
              <w:numPr>
                <w:ilvl w:val="0"/>
                <w:numId w:val="29"/>
              </w:numPr>
              <w:tabs>
                <w:tab w:val="left" w:pos="354"/>
              </w:tabs>
              <w:ind w:left="354" w:hanging="251"/>
              <w:rPr>
                <w:b/>
                <w:sz w:val="16"/>
                <w:lang w:val="en-AU"/>
              </w:rPr>
            </w:pPr>
            <w:r w:rsidRPr="007B6D71">
              <w:rPr>
                <w:b/>
                <w:sz w:val="16"/>
                <w:lang w:val="en-AU"/>
              </w:rPr>
              <w:t>Summary</w:t>
            </w:r>
            <w:r w:rsidRPr="007B6D71">
              <w:rPr>
                <w:b/>
                <w:spacing w:val="-9"/>
                <w:sz w:val="16"/>
                <w:lang w:val="en-AU"/>
              </w:rPr>
              <w:t xml:space="preserve"> </w:t>
            </w:r>
            <w:r w:rsidRPr="007B6D71">
              <w:rPr>
                <w:b/>
                <w:sz w:val="16"/>
                <w:lang w:val="en-AU"/>
              </w:rPr>
              <w:t>of</w:t>
            </w:r>
            <w:r w:rsidRPr="007B6D71">
              <w:rPr>
                <w:b/>
                <w:spacing w:val="-5"/>
                <w:sz w:val="16"/>
                <w:lang w:val="en-AU"/>
              </w:rPr>
              <w:t xml:space="preserve"> </w:t>
            </w:r>
            <w:r w:rsidRPr="007B6D71">
              <w:rPr>
                <w:b/>
                <w:sz w:val="16"/>
                <w:lang w:val="en-AU"/>
              </w:rPr>
              <w:t>financial</w:t>
            </w:r>
            <w:r w:rsidRPr="007B6D71">
              <w:rPr>
                <w:b/>
                <w:spacing w:val="-4"/>
                <w:sz w:val="16"/>
                <w:lang w:val="en-AU"/>
              </w:rPr>
              <w:t xml:space="preserve"> </w:t>
            </w:r>
            <w:r w:rsidRPr="007B6D71">
              <w:rPr>
                <w:b/>
                <w:spacing w:val="-2"/>
                <w:sz w:val="16"/>
                <w:lang w:val="en-AU"/>
              </w:rPr>
              <w:t>performance</w:t>
            </w:r>
          </w:p>
        </w:tc>
        <w:tc>
          <w:tcPr>
            <w:tcW w:w="2520" w:type="dxa"/>
          </w:tcPr>
          <w:p w14:paraId="074F7603" w14:textId="77777777" w:rsidR="004E712A" w:rsidRPr="007B6D71" w:rsidRDefault="004E712A">
            <w:pPr>
              <w:pStyle w:val="TableParagraph"/>
              <w:spacing w:before="101"/>
              <w:rPr>
                <w:sz w:val="16"/>
                <w:lang w:val="en-AU"/>
              </w:rPr>
            </w:pPr>
            <w:r w:rsidRPr="007B6D71">
              <w:rPr>
                <w:sz w:val="16"/>
                <w:lang w:val="en-AU"/>
              </w:rPr>
              <w:t>ARRs</w:t>
            </w:r>
            <w:r w:rsidRPr="007B6D71">
              <w:rPr>
                <w:spacing w:val="-4"/>
                <w:sz w:val="16"/>
                <w:lang w:val="en-AU"/>
              </w:rPr>
              <w:t xml:space="preserve"> </w:t>
            </w:r>
            <w:r w:rsidRPr="007B6D71">
              <w:rPr>
                <w:sz w:val="16"/>
                <w:lang w:val="en-AU"/>
              </w:rPr>
              <w:t>–</w:t>
            </w:r>
            <w:r w:rsidRPr="007B6D71">
              <w:rPr>
                <w:spacing w:val="-5"/>
                <w:sz w:val="16"/>
                <w:lang w:val="en-AU"/>
              </w:rPr>
              <w:t xml:space="preserve"> </w:t>
            </w:r>
            <w:r w:rsidRPr="007B6D71">
              <w:rPr>
                <w:sz w:val="16"/>
                <w:lang w:val="en-AU"/>
              </w:rPr>
              <w:t>section</w:t>
            </w:r>
            <w:r w:rsidRPr="007B6D71">
              <w:rPr>
                <w:spacing w:val="-3"/>
                <w:sz w:val="16"/>
                <w:lang w:val="en-AU"/>
              </w:rPr>
              <w:t xml:space="preserve"> </w:t>
            </w:r>
            <w:r w:rsidRPr="007B6D71">
              <w:rPr>
                <w:spacing w:val="-4"/>
                <w:sz w:val="16"/>
                <w:lang w:val="en-AU"/>
              </w:rPr>
              <w:t>12.1</w:t>
            </w:r>
          </w:p>
        </w:tc>
        <w:tc>
          <w:tcPr>
            <w:tcW w:w="1591" w:type="dxa"/>
          </w:tcPr>
          <w:p w14:paraId="0E6F082A" w14:textId="5135A537" w:rsidR="004E712A" w:rsidRPr="007B6D71" w:rsidRDefault="00D722CD" w:rsidP="007D372B">
            <w:pPr>
              <w:pStyle w:val="TableParagraph"/>
              <w:spacing w:before="101"/>
              <w:rPr>
                <w:sz w:val="16"/>
                <w:lang w:val="en-AU"/>
              </w:rPr>
            </w:pPr>
            <w:r w:rsidRPr="007B6D71">
              <w:rPr>
                <w:sz w:val="16"/>
                <w:lang w:val="en-AU"/>
              </w:rPr>
              <w:t>46</w:t>
            </w:r>
          </w:p>
        </w:tc>
      </w:tr>
      <w:tr w:rsidR="004E712A" w:rsidRPr="00703A0B" w14:paraId="479951D2" w14:textId="77777777">
        <w:trPr>
          <w:trHeight w:val="395"/>
        </w:trPr>
        <w:tc>
          <w:tcPr>
            <w:tcW w:w="1548" w:type="dxa"/>
            <w:vMerge w:val="restart"/>
          </w:tcPr>
          <w:p w14:paraId="0BC10A7A" w14:textId="77777777" w:rsidR="004E712A" w:rsidRPr="007B6D71" w:rsidRDefault="004E712A">
            <w:pPr>
              <w:pStyle w:val="TableParagraph"/>
              <w:spacing w:before="99"/>
              <w:ind w:left="107" w:right="112"/>
              <w:rPr>
                <w:b/>
                <w:sz w:val="16"/>
                <w:lang w:val="en-AU"/>
              </w:rPr>
            </w:pPr>
            <w:r w:rsidRPr="007B6D71">
              <w:rPr>
                <w:b/>
                <w:sz w:val="16"/>
                <w:lang w:val="en-AU"/>
              </w:rPr>
              <w:t>Governance – management</w:t>
            </w:r>
            <w:r w:rsidRPr="007B6D71">
              <w:rPr>
                <w:b/>
                <w:spacing w:val="-12"/>
                <w:sz w:val="16"/>
                <w:lang w:val="en-AU"/>
              </w:rPr>
              <w:t xml:space="preserve"> </w:t>
            </w:r>
            <w:r w:rsidRPr="007B6D71">
              <w:rPr>
                <w:b/>
                <w:sz w:val="16"/>
                <w:lang w:val="en-AU"/>
              </w:rPr>
              <w:t xml:space="preserve">and </w:t>
            </w:r>
            <w:r w:rsidRPr="007B6D71">
              <w:rPr>
                <w:b/>
                <w:spacing w:val="-2"/>
                <w:sz w:val="16"/>
                <w:lang w:val="en-AU"/>
              </w:rPr>
              <w:t>structure</w:t>
            </w:r>
          </w:p>
        </w:tc>
        <w:tc>
          <w:tcPr>
            <w:tcW w:w="4265" w:type="dxa"/>
          </w:tcPr>
          <w:p w14:paraId="07BBA42B" w14:textId="77777777" w:rsidR="004E712A" w:rsidRPr="007B6D71" w:rsidRDefault="00FC2C37" w:rsidP="00A836CF">
            <w:pPr>
              <w:pStyle w:val="TableParagraph"/>
              <w:numPr>
                <w:ilvl w:val="0"/>
                <w:numId w:val="28"/>
              </w:numPr>
              <w:tabs>
                <w:tab w:val="left" w:pos="354"/>
              </w:tabs>
              <w:ind w:left="354" w:hanging="251"/>
              <w:rPr>
                <w:b/>
                <w:sz w:val="16"/>
                <w:lang w:val="en-AU"/>
              </w:rPr>
            </w:pPr>
            <w:r w:rsidRPr="007B6D71">
              <w:rPr>
                <w:b/>
                <w:sz w:val="16"/>
                <w:lang w:val="en-AU"/>
              </w:rPr>
              <w:t>Organisational</w:t>
            </w:r>
            <w:r w:rsidR="004E712A" w:rsidRPr="007B6D71">
              <w:rPr>
                <w:b/>
                <w:spacing w:val="-9"/>
                <w:sz w:val="16"/>
                <w:lang w:val="en-AU"/>
              </w:rPr>
              <w:t xml:space="preserve"> </w:t>
            </w:r>
            <w:r w:rsidR="004E712A" w:rsidRPr="007B6D71">
              <w:rPr>
                <w:b/>
                <w:spacing w:val="-2"/>
                <w:sz w:val="16"/>
                <w:lang w:val="en-AU"/>
              </w:rPr>
              <w:t>structure</w:t>
            </w:r>
          </w:p>
        </w:tc>
        <w:tc>
          <w:tcPr>
            <w:tcW w:w="2520" w:type="dxa"/>
          </w:tcPr>
          <w:p w14:paraId="4495C1CA" w14:textId="77777777" w:rsidR="004E712A" w:rsidRPr="007B6D71" w:rsidRDefault="004E712A">
            <w:pPr>
              <w:pStyle w:val="TableParagraph"/>
              <w:spacing w:before="101"/>
              <w:rPr>
                <w:sz w:val="16"/>
                <w:lang w:val="en-AU"/>
              </w:rPr>
            </w:pPr>
            <w:r w:rsidRPr="007B6D71">
              <w:rPr>
                <w:sz w:val="16"/>
                <w:lang w:val="en-AU"/>
              </w:rPr>
              <w:t>ARRs</w:t>
            </w:r>
            <w:r w:rsidRPr="007B6D71">
              <w:rPr>
                <w:spacing w:val="-4"/>
                <w:sz w:val="16"/>
                <w:lang w:val="en-AU"/>
              </w:rPr>
              <w:t xml:space="preserve"> </w:t>
            </w:r>
            <w:r w:rsidRPr="007B6D71">
              <w:rPr>
                <w:sz w:val="16"/>
                <w:lang w:val="en-AU"/>
              </w:rPr>
              <w:t>–</w:t>
            </w:r>
            <w:r w:rsidRPr="007B6D71">
              <w:rPr>
                <w:spacing w:val="-5"/>
                <w:sz w:val="16"/>
                <w:lang w:val="en-AU"/>
              </w:rPr>
              <w:t xml:space="preserve"> </w:t>
            </w:r>
            <w:r w:rsidRPr="007B6D71">
              <w:rPr>
                <w:sz w:val="16"/>
                <w:lang w:val="en-AU"/>
              </w:rPr>
              <w:t>section</w:t>
            </w:r>
            <w:r w:rsidRPr="007B6D71">
              <w:rPr>
                <w:spacing w:val="-3"/>
                <w:sz w:val="16"/>
                <w:lang w:val="en-AU"/>
              </w:rPr>
              <w:t xml:space="preserve"> </w:t>
            </w:r>
            <w:r w:rsidRPr="007B6D71">
              <w:rPr>
                <w:spacing w:val="-4"/>
                <w:sz w:val="16"/>
                <w:lang w:val="en-AU"/>
              </w:rPr>
              <w:t>13.1</w:t>
            </w:r>
          </w:p>
        </w:tc>
        <w:tc>
          <w:tcPr>
            <w:tcW w:w="1591" w:type="dxa"/>
          </w:tcPr>
          <w:p w14:paraId="403836C1" w14:textId="3F65655D" w:rsidR="004E712A" w:rsidRPr="007B6D71" w:rsidRDefault="00A93BFC" w:rsidP="007D372B">
            <w:pPr>
              <w:pStyle w:val="TableParagraph"/>
              <w:spacing w:before="101"/>
              <w:rPr>
                <w:sz w:val="16"/>
                <w:lang w:val="en-AU"/>
              </w:rPr>
            </w:pPr>
            <w:r w:rsidRPr="007B6D71">
              <w:rPr>
                <w:sz w:val="16"/>
                <w:lang w:val="en-AU"/>
              </w:rPr>
              <w:t>28</w:t>
            </w:r>
          </w:p>
        </w:tc>
      </w:tr>
      <w:tr w:rsidR="004E712A" w:rsidRPr="00703A0B" w14:paraId="3EF16E89" w14:textId="77777777">
        <w:trPr>
          <w:trHeight w:val="393"/>
        </w:trPr>
        <w:tc>
          <w:tcPr>
            <w:tcW w:w="1548" w:type="dxa"/>
            <w:vMerge/>
          </w:tcPr>
          <w:p w14:paraId="5FE4B89C" w14:textId="77777777" w:rsidR="004E712A" w:rsidRPr="00703A0B" w:rsidRDefault="004E712A">
            <w:pPr>
              <w:rPr>
                <w:sz w:val="2"/>
                <w:szCs w:val="2"/>
              </w:rPr>
            </w:pPr>
          </w:p>
        </w:tc>
        <w:tc>
          <w:tcPr>
            <w:tcW w:w="4265" w:type="dxa"/>
          </w:tcPr>
          <w:p w14:paraId="648B11E9" w14:textId="77777777" w:rsidR="004E712A" w:rsidRPr="007B6D71" w:rsidRDefault="004E712A" w:rsidP="00A836CF">
            <w:pPr>
              <w:pStyle w:val="TableParagraph"/>
              <w:numPr>
                <w:ilvl w:val="0"/>
                <w:numId w:val="27"/>
              </w:numPr>
              <w:tabs>
                <w:tab w:val="left" w:pos="354"/>
              </w:tabs>
              <w:ind w:left="354" w:hanging="251"/>
              <w:rPr>
                <w:b/>
                <w:sz w:val="16"/>
                <w:lang w:val="en-AU"/>
              </w:rPr>
            </w:pPr>
            <w:r w:rsidRPr="007B6D71">
              <w:rPr>
                <w:b/>
                <w:sz w:val="16"/>
                <w:lang w:val="en-AU"/>
              </w:rPr>
              <w:t>Executive</w:t>
            </w:r>
            <w:r w:rsidRPr="007B6D71">
              <w:rPr>
                <w:b/>
                <w:spacing w:val="-7"/>
                <w:sz w:val="16"/>
                <w:lang w:val="en-AU"/>
              </w:rPr>
              <w:t xml:space="preserve"> </w:t>
            </w:r>
            <w:r w:rsidRPr="007B6D71">
              <w:rPr>
                <w:b/>
                <w:spacing w:val="-2"/>
                <w:sz w:val="16"/>
                <w:lang w:val="en-AU"/>
              </w:rPr>
              <w:t>management</w:t>
            </w:r>
          </w:p>
        </w:tc>
        <w:tc>
          <w:tcPr>
            <w:tcW w:w="2520" w:type="dxa"/>
          </w:tcPr>
          <w:p w14:paraId="463AFE4C" w14:textId="77777777" w:rsidR="004E712A" w:rsidRPr="007B6D71" w:rsidRDefault="004E712A">
            <w:pPr>
              <w:pStyle w:val="TableParagraph"/>
              <w:spacing w:before="101"/>
              <w:rPr>
                <w:sz w:val="16"/>
                <w:lang w:val="en-AU"/>
              </w:rPr>
            </w:pPr>
            <w:r w:rsidRPr="007B6D71">
              <w:rPr>
                <w:sz w:val="16"/>
                <w:lang w:val="en-AU"/>
              </w:rPr>
              <w:t>ARRs</w:t>
            </w:r>
            <w:r w:rsidRPr="007B6D71">
              <w:rPr>
                <w:spacing w:val="-4"/>
                <w:sz w:val="16"/>
                <w:lang w:val="en-AU"/>
              </w:rPr>
              <w:t xml:space="preserve"> </w:t>
            </w:r>
            <w:r w:rsidRPr="007B6D71">
              <w:rPr>
                <w:sz w:val="16"/>
                <w:lang w:val="en-AU"/>
              </w:rPr>
              <w:t>–</w:t>
            </w:r>
            <w:r w:rsidRPr="007B6D71">
              <w:rPr>
                <w:spacing w:val="-5"/>
                <w:sz w:val="16"/>
                <w:lang w:val="en-AU"/>
              </w:rPr>
              <w:t xml:space="preserve"> </w:t>
            </w:r>
            <w:r w:rsidRPr="007B6D71">
              <w:rPr>
                <w:sz w:val="16"/>
                <w:lang w:val="en-AU"/>
              </w:rPr>
              <w:t>section</w:t>
            </w:r>
            <w:r w:rsidRPr="007B6D71">
              <w:rPr>
                <w:spacing w:val="-3"/>
                <w:sz w:val="16"/>
                <w:lang w:val="en-AU"/>
              </w:rPr>
              <w:t xml:space="preserve"> </w:t>
            </w:r>
            <w:r w:rsidRPr="007B6D71">
              <w:rPr>
                <w:spacing w:val="-4"/>
                <w:sz w:val="16"/>
                <w:lang w:val="en-AU"/>
              </w:rPr>
              <w:t>13.2</w:t>
            </w:r>
          </w:p>
        </w:tc>
        <w:tc>
          <w:tcPr>
            <w:tcW w:w="1591" w:type="dxa"/>
          </w:tcPr>
          <w:p w14:paraId="603A7D9A" w14:textId="751D3922" w:rsidR="004E712A" w:rsidRPr="007B6D71" w:rsidRDefault="00C926F4" w:rsidP="007D372B">
            <w:pPr>
              <w:pStyle w:val="TableParagraph"/>
              <w:spacing w:before="101"/>
              <w:rPr>
                <w:sz w:val="16"/>
                <w:lang w:val="en-AU"/>
              </w:rPr>
            </w:pPr>
            <w:r w:rsidRPr="007B6D71">
              <w:rPr>
                <w:sz w:val="16"/>
                <w:lang w:val="en-AU"/>
              </w:rPr>
              <w:t>33</w:t>
            </w:r>
          </w:p>
        </w:tc>
      </w:tr>
      <w:tr w:rsidR="004E712A" w:rsidRPr="00703A0B" w14:paraId="0AC3C26F" w14:textId="77777777">
        <w:trPr>
          <w:trHeight w:val="580"/>
        </w:trPr>
        <w:tc>
          <w:tcPr>
            <w:tcW w:w="1548" w:type="dxa"/>
            <w:vMerge/>
          </w:tcPr>
          <w:p w14:paraId="4F2A65B2" w14:textId="77777777" w:rsidR="004E712A" w:rsidRPr="00703A0B" w:rsidRDefault="004E712A">
            <w:pPr>
              <w:rPr>
                <w:sz w:val="2"/>
                <w:szCs w:val="2"/>
              </w:rPr>
            </w:pPr>
          </w:p>
        </w:tc>
        <w:tc>
          <w:tcPr>
            <w:tcW w:w="4265" w:type="dxa"/>
          </w:tcPr>
          <w:p w14:paraId="288C3508" w14:textId="77777777" w:rsidR="004E712A" w:rsidRPr="007B6D71" w:rsidRDefault="004E712A" w:rsidP="00A836CF">
            <w:pPr>
              <w:pStyle w:val="TableParagraph"/>
              <w:numPr>
                <w:ilvl w:val="0"/>
                <w:numId w:val="26"/>
              </w:numPr>
              <w:tabs>
                <w:tab w:val="left" w:pos="355"/>
              </w:tabs>
              <w:ind w:right="279"/>
              <w:rPr>
                <w:b/>
                <w:sz w:val="16"/>
                <w:lang w:val="en-AU"/>
              </w:rPr>
            </w:pPr>
            <w:r w:rsidRPr="007B6D71">
              <w:rPr>
                <w:b/>
                <w:sz w:val="16"/>
                <w:lang w:val="en-AU"/>
              </w:rPr>
              <w:t>Government</w:t>
            </w:r>
            <w:r w:rsidRPr="007B6D71">
              <w:rPr>
                <w:b/>
                <w:spacing w:val="-9"/>
                <w:sz w:val="16"/>
                <w:lang w:val="en-AU"/>
              </w:rPr>
              <w:t xml:space="preserve"> </w:t>
            </w:r>
            <w:r w:rsidRPr="007B6D71">
              <w:rPr>
                <w:b/>
                <w:sz w:val="16"/>
                <w:lang w:val="en-AU"/>
              </w:rPr>
              <w:t>bodies</w:t>
            </w:r>
            <w:r w:rsidRPr="007B6D71">
              <w:rPr>
                <w:b/>
                <w:spacing w:val="-7"/>
                <w:sz w:val="16"/>
                <w:lang w:val="en-AU"/>
              </w:rPr>
              <w:t xml:space="preserve"> </w:t>
            </w:r>
            <w:r w:rsidRPr="007B6D71">
              <w:rPr>
                <w:b/>
                <w:sz w:val="16"/>
                <w:lang w:val="en-AU"/>
              </w:rPr>
              <w:t>(statutory</w:t>
            </w:r>
            <w:r w:rsidRPr="007B6D71">
              <w:rPr>
                <w:b/>
                <w:spacing w:val="-9"/>
                <w:sz w:val="16"/>
                <w:lang w:val="en-AU"/>
              </w:rPr>
              <w:t xml:space="preserve"> </w:t>
            </w:r>
            <w:r w:rsidRPr="007B6D71">
              <w:rPr>
                <w:b/>
                <w:sz w:val="16"/>
                <w:lang w:val="en-AU"/>
              </w:rPr>
              <w:t>bodies</w:t>
            </w:r>
            <w:r w:rsidRPr="007B6D71">
              <w:rPr>
                <w:b/>
                <w:spacing w:val="-7"/>
                <w:sz w:val="16"/>
                <w:lang w:val="en-AU"/>
              </w:rPr>
              <w:t xml:space="preserve"> </w:t>
            </w:r>
            <w:r w:rsidRPr="007B6D71">
              <w:rPr>
                <w:b/>
                <w:sz w:val="16"/>
                <w:lang w:val="en-AU"/>
              </w:rPr>
              <w:t>and</w:t>
            </w:r>
            <w:r w:rsidRPr="007B6D71">
              <w:rPr>
                <w:b/>
                <w:spacing w:val="-8"/>
                <w:sz w:val="16"/>
                <w:lang w:val="en-AU"/>
              </w:rPr>
              <w:t xml:space="preserve"> </w:t>
            </w:r>
            <w:r w:rsidRPr="007B6D71">
              <w:rPr>
                <w:b/>
                <w:sz w:val="16"/>
                <w:lang w:val="en-AU"/>
              </w:rPr>
              <w:t xml:space="preserve">other </w:t>
            </w:r>
            <w:r w:rsidRPr="007B6D71">
              <w:rPr>
                <w:b/>
                <w:spacing w:val="-2"/>
                <w:sz w:val="16"/>
                <w:lang w:val="en-AU"/>
              </w:rPr>
              <w:t>entities)</w:t>
            </w:r>
          </w:p>
        </w:tc>
        <w:tc>
          <w:tcPr>
            <w:tcW w:w="2520" w:type="dxa"/>
          </w:tcPr>
          <w:p w14:paraId="25DB45CE" w14:textId="77777777" w:rsidR="004E712A" w:rsidRPr="007B6D71" w:rsidRDefault="004E712A">
            <w:pPr>
              <w:pStyle w:val="TableParagraph"/>
              <w:spacing w:before="104"/>
              <w:rPr>
                <w:sz w:val="16"/>
                <w:lang w:val="en-AU"/>
              </w:rPr>
            </w:pPr>
            <w:r w:rsidRPr="007B6D71">
              <w:rPr>
                <w:sz w:val="16"/>
                <w:lang w:val="en-AU"/>
              </w:rPr>
              <w:t>ARRs</w:t>
            </w:r>
            <w:r w:rsidRPr="007B6D71">
              <w:rPr>
                <w:spacing w:val="-4"/>
                <w:sz w:val="16"/>
                <w:lang w:val="en-AU"/>
              </w:rPr>
              <w:t xml:space="preserve"> </w:t>
            </w:r>
            <w:r w:rsidRPr="007B6D71">
              <w:rPr>
                <w:sz w:val="16"/>
                <w:lang w:val="en-AU"/>
              </w:rPr>
              <w:t>–</w:t>
            </w:r>
            <w:r w:rsidRPr="007B6D71">
              <w:rPr>
                <w:spacing w:val="-5"/>
                <w:sz w:val="16"/>
                <w:lang w:val="en-AU"/>
              </w:rPr>
              <w:t xml:space="preserve"> </w:t>
            </w:r>
            <w:r w:rsidRPr="007B6D71">
              <w:rPr>
                <w:sz w:val="16"/>
                <w:lang w:val="en-AU"/>
              </w:rPr>
              <w:t>section</w:t>
            </w:r>
            <w:r w:rsidRPr="007B6D71">
              <w:rPr>
                <w:spacing w:val="-3"/>
                <w:sz w:val="16"/>
                <w:lang w:val="en-AU"/>
              </w:rPr>
              <w:t xml:space="preserve"> </w:t>
            </w:r>
            <w:r w:rsidRPr="007B6D71">
              <w:rPr>
                <w:spacing w:val="-4"/>
                <w:sz w:val="16"/>
                <w:lang w:val="en-AU"/>
              </w:rPr>
              <w:t>13.3</w:t>
            </w:r>
          </w:p>
        </w:tc>
        <w:tc>
          <w:tcPr>
            <w:tcW w:w="1591" w:type="dxa"/>
          </w:tcPr>
          <w:p w14:paraId="6811B7C4" w14:textId="18769A51" w:rsidR="004E712A" w:rsidRPr="007B6D71" w:rsidRDefault="00202CD7" w:rsidP="007D372B">
            <w:pPr>
              <w:pStyle w:val="TableParagraph"/>
              <w:spacing w:before="101"/>
              <w:rPr>
                <w:sz w:val="16"/>
                <w:lang w:val="en-AU"/>
              </w:rPr>
            </w:pPr>
            <w:r w:rsidRPr="007B6D71">
              <w:rPr>
                <w:sz w:val="16"/>
                <w:lang w:val="en-AU"/>
              </w:rPr>
              <w:t xml:space="preserve">31, </w:t>
            </w:r>
            <w:r w:rsidR="00C926F4" w:rsidRPr="007B6D71">
              <w:rPr>
                <w:sz w:val="16"/>
                <w:lang w:val="en-AU"/>
              </w:rPr>
              <w:t>36</w:t>
            </w:r>
          </w:p>
        </w:tc>
      </w:tr>
      <w:tr w:rsidR="004E712A" w:rsidRPr="00703A0B" w14:paraId="587FAAF9" w14:textId="77777777">
        <w:trPr>
          <w:trHeight w:val="666"/>
        </w:trPr>
        <w:tc>
          <w:tcPr>
            <w:tcW w:w="1548" w:type="dxa"/>
            <w:vMerge/>
          </w:tcPr>
          <w:p w14:paraId="1306C2D7" w14:textId="77777777" w:rsidR="004E712A" w:rsidRPr="00703A0B" w:rsidRDefault="004E712A">
            <w:pPr>
              <w:rPr>
                <w:sz w:val="2"/>
                <w:szCs w:val="2"/>
              </w:rPr>
            </w:pPr>
          </w:p>
        </w:tc>
        <w:tc>
          <w:tcPr>
            <w:tcW w:w="4265" w:type="dxa"/>
          </w:tcPr>
          <w:p w14:paraId="056D7386" w14:textId="77777777" w:rsidR="004E712A" w:rsidRPr="007B6D71" w:rsidRDefault="004E712A" w:rsidP="00A836CF">
            <w:pPr>
              <w:pStyle w:val="TableParagraph"/>
              <w:numPr>
                <w:ilvl w:val="0"/>
                <w:numId w:val="25"/>
              </w:numPr>
              <w:tabs>
                <w:tab w:val="left" w:pos="354"/>
              </w:tabs>
              <w:ind w:left="354" w:hanging="251"/>
              <w:rPr>
                <w:b/>
                <w:sz w:val="16"/>
                <w:lang w:val="en-AU"/>
              </w:rPr>
            </w:pPr>
            <w:r w:rsidRPr="007B6D71">
              <w:rPr>
                <w:b/>
                <w:sz w:val="16"/>
                <w:lang w:val="en-AU"/>
              </w:rPr>
              <w:t>Public</w:t>
            </w:r>
            <w:r w:rsidRPr="007B6D71">
              <w:rPr>
                <w:b/>
                <w:spacing w:val="-6"/>
                <w:sz w:val="16"/>
                <w:lang w:val="en-AU"/>
              </w:rPr>
              <w:t xml:space="preserve"> </w:t>
            </w:r>
            <w:r w:rsidRPr="007B6D71">
              <w:rPr>
                <w:b/>
                <w:sz w:val="16"/>
                <w:lang w:val="en-AU"/>
              </w:rPr>
              <w:t>Sector</w:t>
            </w:r>
            <w:r w:rsidRPr="007B6D71">
              <w:rPr>
                <w:b/>
                <w:spacing w:val="-5"/>
                <w:sz w:val="16"/>
                <w:lang w:val="en-AU"/>
              </w:rPr>
              <w:t xml:space="preserve"> </w:t>
            </w:r>
            <w:r w:rsidRPr="007B6D71">
              <w:rPr>
                <w:b/>
                <w:spacing w:val="-2"/>
                <w:sz w:val="16"/>
                <w:lang w:val="en-AU"/>
              </w:rPr>
              <w:t>Ethics</w:t>
            </w:r>
          </w:p>
        </w:tc>
        <w:tc>
          <w:tcPr>
            <w:tcW w:w="2520" w:type="dxa"/>
          </w:tcPr>
          <w:p w14:paraId="52F57EBF" w14:textId="77777777" w:rsidR="004E712A" w:rsidRPr="007B6D71" w:rsidRDefault="004E712A">
            <w:pPr>
              <w:pStyle w:val="TableParagraph"/>
              <w:spacing w:before="101"/>
              <w:rPr>
                <w:i/>
                <w:sz w:val="16"/>
                <w:lang w:val="en-AU"/>
              </w:rPr>
            </w:pPr>
            <w:r w:rsidRPr="007B6D71">
              <w:rPr>
                <w:i/>
                <w:sz w:val="16"/>
                <w:lang w:val="en-AU"/>
              </w:rPr>
              <w:t>Public</w:t>
            </w:r>
            <w:r w:rsidRPr="007B6D71">
              <w:rPr>
                <w:i/>
                <w:spacing w:val="-5"/>
                <w:sz w:val="16"/>
                <w:lang w:val="en-AU"/>
              </w:rPr>
              <w:t xml:space="preserve"> </w:t>
            </w:r>
            <w:r w:rsidRPr="007B6D71">
              <w:rPr>
                <w:i/>
                <w:sz w:val="16"/>
                <w:lang w:val="en-AU"/>
              </w:rPr>
              <w:t>Sector</w:t>
            </w:r>
            <w:r w:rsidRPr="007B6D71">
              <w:rPr>
                <w:i/>
                <w:spacing w:val="-6"/>
                <w:sz w:val="16"/>
                <w:lang w:val="en-AU"/>
              </w:rPr>
              <w:t xml:space="preserve"> </w:t>
            </w:r>
            <w:r w:rsidRPr="007B6D71">
              <w:rPr>
                <w:i/>
                <w:sz w:val="16"/>
                <w:lang w:val="en-AU"/>
              </w:rPr>
              <w:t>Ethics</w:t>
            </w:r>
            <w:r w:rsidRPr="007B6D71">
              <w:rPr>
                <w:i/>
                <w:spacing w:val="-5"/>
                <w:sz w:val="16"/>
                <w:lang w:val="en-AU"/>
              </w:rPr>
              <w:t xml:space="preserve"> </w:t>
            </w:r>
            <w:r w:rsidRPr="007B6D71">
              <w:rPr>
                <w:i/>
                <w:sz w:val="16"/>
                <w:lang w:val="en-AU"/>
              </w:rPr>
              <w:t>Act</w:t>
            </w:r>
            <w:r w:rsidRPr="007B6D71">
              <w:rPr>
                <w:i/>
                <w:spacing w:val="-4"/>
                <w:sz w:val="16"/>
                <w:lang w:val="en-AU"/>
              </w:rPr>
              <w:t xml:space="preserve"> 1994</w:t>
            </w:r>
          </w:p>
          <w:p w14:paraId="2F0C3F87" w14:textId="77777777" w:rsidR="004E712A" w:rsidRPr="007B6D71" w:rsidRDefault="004E712A">
            <w:pPr>
              <w:pStyle w:val="TableParagraph"/>
              <w:rPr>
                <w:sz w:val="16"/>
                <w:lang w:val="en-AU"/>
              </w:rPr>
            </w:pPr>
            <w:r w:rsidRPr="007B6D71">
              <w:rPr>
                <w:sz w:val="16"/>
                <w:lang w:val="en-AU"/>
              </w:rPr>
              <w:t>ARRs</w:t>
            </w:r>
            <w:r w:rsidRPr="007B6D71">
              <w:rPr>
                <w:spacing w:val="-4"/>
                <w:sz w:val="16"/>
                <w:lang w:val="en-AU"/>
              </w:rPr>
              <w:t xml:space="preserve"> </w:t>
            </w:r>
            <w:r w:rsidRPr="007B6D71">
              <w:rPr>
                <w:sz w:val="16"/>
                <w:lang w:val="en-AU"/>
              </w:rPr>
              <w:t>–</w:t>
            </w:r>
            <w:r w:rsidRPr="007B6D71">
              <w:rPr>
                <w:spacing w:val="-5"/>
                <w:sz w:val="16"/>
                <w:lang w:val="en-AU"/>
              </w:rPr>
              <w:t xml:space="preserve"> </w:t>
            </w:r>
            <w:r w:rsidRPr="007B6D71">
              <w:rPr>
                <w:sz w:val="16"/>
                <w:lang w:val="en-AU"/>
              </w:rPr>
              <w:t>section</w:t>
            </w:r>
            <w:r w:rsidRPr="007B6D71">
              <w:rPr>
                <w:spacing w:val="-3"/>
                <w:sz w:val="16"/>
                <w:lang w:val="en-AU"/>
              </w:rPr>
              <w:t xml:space="preserve"> </w:t>
            </w:r>
            <w:r w:rsidRPr="007B6D71">
              <w:rPr>
                <w:spacing w:val="-4"/>
                <w:sz w:val="16"/>
                <w:lang w:val="en-AU"/>
              </w:rPr>
              <w:t>13.4</w:t>
            </w:r>
          </w:p>
        </w:tc>
        <w:tc>
          <w:tcPr>
            <w:tcW w:w="1591" w:type="dxa"/>
          </w:tcPr>
          <w:p w14:paraId="03EDE53B" w14:textId="0F7F58A2" w:rsidR="004E712A" w:rsidRPr="007B6D71" w:rsidRDefault="00620C7F" w:rsidP="007D372B">
            <w:pPr>
              <w:pStyle w:val="TableParagraph"/>
              <w:spacing w:before="101"/>
              <w:rPr>
                <w:sz w:val="16"/>
                <w:lang w:val="en-AU"/>
              </w:rPr>
            </w:pPr>
            <w:r w:rsidRPr="007B6D71">
              <w:rPr>
                <w:sz w:val="16"/>
                <w:lang w:val="en-AU"/>
              </w:rPr>
              <w:t>40</w:t>
            </w:r>
          </w:p>
        </w:tc>
      </w:tr>
      <w:tr w:rsidR="004E712A" w:rsidRPr="00703A0B" w14:paraId="3CB50F18" w14:textId="77777777">
        <w:trPr>
          <w:trHeight w:val="669"/>
        </w:trPr>
        <w:tc>
          <w:tcPr>
            <w:tcW w:w="1548" w:type="dxa"/>
            <w:vMerge/>
          </w:tcPr>
          <w:p w14:paraId="34CF088C" w14:textId="77777777" w:rsidR="004E712A" w:rsidRPr="00703A0B" w:rsidRDefault="004E712A">
            <w:pPr>
              <w:rPr>
                <w:sz w:val="2"/>
                <w:szCs w:val="2"/>
              </w:rPr>
            </w:pPr>
          </w:p>
        </w:tc>
        <w:tc>
          <w:tcPr>
            <w:tcW w:w="4265" w:type="dxa"/>
          </w:tcPr>
          <w:p w14:paraId="0587A087" w14:textId="77777777" w:rsidR="004E712A" w:rsidRPr="007B6D71" w:rsidRDefault="004E712A" w:rsidP="00A836CF">
            <w:pPr>
              <w:pStyle w:val="TableParagraph"/>
              <w:numPr>
                <w:ilvl w:val="0"/>
                <w:numId w:val="24"/>
              </w:numPr>
              <w:tabs>
                <w:tab w:val="left" w:pos="354"/>
              </w:tabs>
              <w:ind w:left="354" w:hanging="251"/>
              <w:rPr>
                <w:b/>
                <w:sz w:val="16"/>
                <w:lang w:val="en-AU"/>
              </w:rPr>
            </w:pPr>
            <w:r w:rsidRPr="007B6D71">
              <w:rPr>
                <w:b/>
                <w:sz w:val="16"/>
                <w:lang w:val="en-AU"/>
              </w:rPr>
              <w:t>Human</w:t>
            </w:r>
            <w:r w:rsidRPr="007B6D71">
              <w:rPr>
                <w:b/>
                <w:spacing w:val="-7"/>
                <w:sz w:val="16"/>
                <w:lang w:val="en-AU"/>
              </w:rPr>
              <w:t xml:space="preserve"> </w:t>
            </w:r>
            <w:r w:rsidRPr="007B6D71">
              <w:rPr>
                <w:b/>
                <w:spacing w:val="-2"/>
                <w:sz w:val="16"/>
                <w:lang w:val="en-AU"/>
              </w:rPr>
              <w:t>Rights</w:t>
            </w:r>
          </w:p>
        </w:tc>
        <w:tc>
          <w:tcPr>
            <w:tcW w:w="2520" w:type="dxa"/>
          </w:tcPr>
          <w:p w14:paraId="3F262153" w14:textId="77777777" w:rsidR="004E712A" w:rsidRPr="007B6D71" w:rsidRDefault="004E712A">
            <w:pPr>
              <w:pStyle w:val="TableParagraph"/>
              <w:spacing w:before="101"/>
              <w:rPr>
                <w:i/>
                <w:sz w:val="16"/>
                <w:lang w:val="en-AU"/>
              </w:rPr>
            </w:pPr>
            <w:r w:rsidRPr="007B6D71">
              <w:rPr>
                <w:i/>
                <w:sz w:val="16"/>
                <w:lang w:val="en-AU"/>
              </w:rPr>
              <w:t>Human</w:t>
            </w:r>
            <w:r w:rsidRPr="007B6D71">
              <w:rPr>
                <w:i/>
                <w:spacing w:val="-4"/>
                <w:sz w:val="16"/>
                <w:lang w:val="en-AU"/>
              </w:rPr>
              <w:t xml:space="preserve"> </w:t>
            </w:r>
            <w:r w:rsidRPr="007B6D71">
              <w:rPr>
                <w:i/>
                <w:sz w:val="16"/>
                <w:lang w:val="en-AU"/>
              </w:rPr>
              <w:t>Rights</w:t>
            </w:r>
            <w:r w:rsidRPr="007B6D71">
              <w:rPr>
                <w:i/>
                <w:spacing w:val="-5"/>
                <w:sz w:val="16"/>
                <w:lang w:val="en-AU"/>
              </w:rPr>
              <w:t xml:space="preserve"> </w:t>
            </w:r>
            <w:r w:rsidRPr="007B6D71">
              <w:rPr>
                <w:i/>
                <w:sz w:val="16"/>
                <w:lang w:val="en-AU"/>
              </w:rPr>
              <w:t>Act</w:t>
            </w:r>
            <w:r w:rsidRPr="007B6D71">
              <w:rPr>
                <w:i/>
                <w:spacing w:val="-3"/>
                <w:sz w:val="16"/>
                <w:lang w:val="en-AU"/>
              </w:rPr>
              <w:t xml:space="preserve"> </w:t>
            </w:r>
            <w:r w:rsidRPr="007B6D71">
              <w:rPr>
                <w:i/>
                <w:spacing w:val="-4"/>
                <w:sz w:val="16"/>
                <w:lang w:val="en-AU"/>
              </w:rPr>
              <w:t>2019</w:t>
            </w:r>
          </w:p>
          <w:p w14:paraId="34D95587" w14:textId="77777777" w:rsidR="004E712A" w:rsidRPr="007B6D71" w:rsidRDefault="004E712A">
            <w:pPr>
              <w:pStyle w:val="TableParagraph"/>
              <w:rPr>
                <w:sz w:val="16"/>
                <w:lang w:val="en-AU"/>
              </w:rPr>
            </w:pPr>
            <w:r w:rsidRPr="007B6D71">
              <w:rPr>
                <w:sz w:val="16"/>
                <w:lang w:val="en-AU"/>
              </w:rPr>
              <w:t>ARRs</w:t>
            </w:r>
            <w:r w:rsidRPr="007B6D71">
              <w:rPr>
                <w:spacing w:val="-4"/>
                <w:sz w:val="16"/>
                <w:lang w:val="en-AU"/>
              </w:rPr>
              <w:t xml:space="preserve"> </w:t>
            </w:r>
            <w:r w:rsidRPr="007B6D71">
              <w:rPr>
                <w:sz w:val="16"/>
                <w:lang w:val="en-AU"/>
              </w:rPr>
              <w:t>–</w:t>
            </w:r>
            <w:r w:rsidRPr="007B6D71">
              <w:rPr>
                <w:spacing w:val="-5"/>
                <w:sz w:val="16"/>
                <w:lang w:val="en-AU"/>
              </w:rPr>
              <w:t xml:space="preserve"> </w:t>
            </w:r>
            <w:r w:rsidRPr="007B6D71">
              <w:rPr>
                <w:sz w:val="16"/>
                <w:lang w:val="en-AU"/>
              </w:rPr>
              <w:t>section</w:t>
            </w:r>
            <w:r w:rsidRPr="007B6D71">
              <w:rPr>
                <w:spacing w:val="-3"/>
                <w:sz w:val="16"/>
                <w:lang w:val="en-AU"/>
              </w:rPr>
              <w:t xml:space="preserve"> </w:t>
            </w:r>
            <w:r w:rsidRPr="007B6D71">
              <w:rPr>
                <w:spacing w:val="-4"/>
                <w:sz w:val="16"/>
                <w:lang w:val="en-AU"/>
              </w:rPr>
              <w:t>13.5</w:t>
            </w:r>
          </w:p>
        </w:tc>
        <w:tc>
          <w:tcPr>
            <w:tcW w:w="1591" w:type="dxa"/>
          </w:tcPr>
          <w:p w14:paraId="10B2F6DC" w14:textId="1ACD2BC0" w:rsidR="004E712A" w:rsidRPr="007B6D71" w:rsidRDefault="00E15605" w:rsidP="007D372B">
            <w:pPr>
              <w:pStyle w:val="TableParagraph"/>
              <w:spacing w:before="101"/>
              <w:rPr>
                <w:sz w:val="16"/>
                <w:lang w:val="en-AU"/>
              </w:rPr>
            </w:pPr>
            <w:r w:rsidRPr="007B6D71">
              <w:rPr>
                <w:sz w:val="16"/>
                <w:lang w:val="en-AU"/>
              </w:rPr>
              <w:t>43</w:t>
            </w:r>
          </w:p>
        </w:tc>
      </w:tr>
      <w:tr w:rsidR="004E712A" w:rsidRPr="00703A0B" w14:paraId="4B8C6D66" w14:textId="77777777">
        <w:trPr>
          <w:trHeight w:val="393"/>
        </w:trPr>
        <w:tc>
          <w:tcPr>
            <w:tcW w:w="1548" w:type="dxa"/>
            <w:vMerge/>
          </w:tcPr>
          <w:p w14:paraId="0910D5E7" w14:textId="77777777" w:rsidR="004E712A" w:rsidRPr="00703A0B" w:rsidRDefault="004E712A">
            <w:pPr>
              <w:rPr>
                <w:sz w:val="2"/>
                <w:szCs w:val="2"/>
              </w:rPr>
            </w:pPr>
          </w:p>
        </w:tc>
        <w:tc>
          <w:tcPr>
            <w:tcW w:w="4265" w:type="dxa"/>
          </w:tcPr>
          <w:p w14:paraId="65EAABA6" w14:textId="77777777" w:rsidR="004E712A" w:rsidRPr="007B6D71" w:rsidRDefault="004E712A" w:rsidP="00A836CF">
            <w:pPr>
              <w:pStyle w:val="TableParagraph"/>
              <w:numPr>
                <w:ilvl w:val="0"/>
                <w:numId w:val="23"/>
              </w:numPr>
              <w:tabs>
                <w:tab w:val="left" w:pos="354"/>
              </w:tabs>
              <w:ind w:left="354" w:hanging="251"/>
              <w:rPr>
                <w:b/>
                <w:sz w:val="16"/>
                <w:lang w:val="en-AU"/>
              </w:rPr>
            </w:pPr>
            <w:r w:rsidRPr="007B6D71">
              <w:rPr>
                <w:b/>
                <w:sz w:val="16"/>
                <w:lang w:val="en-AU"/>
              </w:rPr>
              <w:t>Queensland</w:t>
            </w:r>
            <w:r w:rsidRPr="007B6D71">
              <w:rPr>
                <w:b/>
                <w:spacing w:val="-7"/>
                <w:sz w:val="16"/>
                <w:lang w:val="en-AU"/>
              </w:rPr>
              <w:t xml:space="preserve"> </w:t>
            </w:r>
            <w:r w:rsidRPr="007B6D71">
              <w:rPr>
                <w:b/>
                <w:sz w:val="16"/>
                <w:lang w:val="en-AU"/>
              </w:rPr>
              <w:t>public</w:t>
            </w:r>
            <w:r w:rsidRPr="007B6D71">
              <w:rPr>
                <w:b/>
                <w:spacing w:val="-5"/>
                <w:sz w:val="16"/>
                <w:lang w:val="en-AU"/>
              </w:rPr>
              <w:t xml:space="preserve"> </w:t>
            </w:r>
            <w:r w:rsidRPr="007B6D71">
              <w:rPr>
                <w:b/>
                <w:sz w:val="16"/>
                <w:lang w:val="en-AU"/>
              </w:rPr>
              <w:t>service</w:t>
            </w:r>
            <w:r w:rsidRPr="007B6D71">
              <w:rPr>
                <w:b/>
                <w:spacing w:val="-7"/>
                <w:sz w:val="16"/>
                <w:lang w:val="en-AU"/>
              </w:rPr>
              <w:t xml:space="preserve"> </w:t>
            </w:r>
            <w:r w:rsidRPr="007B6D71">
              <w:rPr>
                <w:b/>
                <w:spacing w:val="-2"/>
                <w:sz w:val="16"/>
                <w:lang w:val="en-AU"/>
              </w:rPr>
              <w:t>values</w:t>
            </w:r>
          </w:p>
        </w:tc>
        <w:tc>
          <w:tcPr>
            <w:tcW w:w="2520" w:type="dxa"/>
          </w:tcPr>
          <w:p w14:paraId="76C7EA00" w14:textId="77777777" w:rsidR="004E712A" w:rsidRPr="007B6D71" w:rsidRDefault="004E712A">
            <w:pPr>
              <w:pStyle w:val="TableParagraph"/>
              <w:spacing w:before="101"/>
              <w:rPr>
                <w:sz w:val="16"/>
                <w:lang w:val="en-AU"/>
              </w:rPr>
            </w:pPr>
            <w:r w:rsidRPr="007B6D71">
              <w:rPr>
                <w:sz w:val="16"/>
                <w:lang w:val="en-AU"/>
              </w:rPr>
              <w:t>ARRs</w:t>
            </w:r>
            <w:r w:rsidRPr="007B6D71">
              <w:rPr>
                <w:spacing w:val="-4"/>
                <w:sz w:val="16"/>
                <w:lang w:val="en-AU"/>
              </w:rPr>
              <w:t xml:space="preserve"> </w:t>
            </w:r>
            <w:r w:rsidRPr="007B6D71">
              <w:rPr>
                <w:sz w:val="16"/>
                <w:lang w:val="en-AU"/>
              </w:rPr>
              <w:t>–</w:t>
            </w:r>
            <w:r w:rsidRPr="007B6D71">
              <w:rPr>
                <w:spacing w:val="-5"/>
                <w:sz w:val="16"/>
                <w:lang w:val="en-AU"/>
              </w:rPr>
              <w:t xml:space="preserve"> </w:t>
            </w:r>
            <w:r w:rsidRPr="007B6D71">
              <w:rPr>
                <w:sz w:val="16"/>
                <w:lang w:val="en-AU"/>
              </w:rPr>
              <w:t>section</w:t>
            </w:r>
            <w:r w:rsidRPr="007B6D71">
              <w:rPr>
                <w:spacing w:val="-3"/>
                <w:sz w:val="16"/>
                <w:lang w:val="en-AU"/>
              </w:rPr>
              <w:t xml:space="preserve"> </w:t>
            </w:r>
            <w:r w:rsidRPr="007B6D71">
              <w:rPr>
                <w:spacing w:val="-4"/>
                <w:sz w:val="16"/>
                <w:lang w:val="en-AU"/>
              </w:rPr>
              <w:t>13.6</w:t>
            </w:r>
          </w:p>
        </w:tc>
        <w:tc>
          <w:tcPr>
            <w:tcW w:w="1591" w:type="dxa"/>
          </w:tcPr>
          <w:p w14:paraId="6E68F503" w14:textId="768681F6" w:rsidR="004E712A" w:rsidRPr="007B6D71" w:rsidRDefault="00DF6DC5" w:rsidP="007D372B">
            <w:pPr>
              <w:pStyle w:val="TableParagraph"/>
              <w:spacing w:before="101"/>
              <w:rPr>
                <w:sz w:val="16"/>
                <w:lang w:val="en-AU"/>
              </w:rPr>
            </w:pPr>
            <w:r w:rsidRPr="007B6D71">
              <w:rPr>
                <w:sz w:val="16"/>
                <w:lang w:val="en-AU"/>
              </w:rPr>
              <w:t>Not applicable</w:t>
            </w:r>
          </w:p>
        </w:tc>
      </w:tr>
      <w:tr w:rsidR="004E712A" w:rsidRPr="00703A0B" w14:paraId="0BA85E4A" w14:textId="77777777">
        <w:trPr>
          <w:trHeight w:val="395"/>
        </w:trPr>
        <w:tc>
          <w:tcPr>
            <w:tcW w:w="1548" w:type="dxa"/>
            <w:vMerge w:val="restart"/>
          </w:tcPr>
          <w:p w14:paraId="654DBEE4" w14:textId="77777777" w:rsidR="004E712A" w:rsidRPr="007B6D71" w:rsidRDefault="004E712A">
            <w:pPr>
              <w:pStyle w:val="TableParagraph"/>
              <w:spacing w:before="99"/>
              <w:ind w:left="107" w:right="115"/>
              <w:rPr>
                <w:b/>
                <w:sz w:val="16"/>
                <w:lang w:val="en-AU"/>
              </w:rPr>
            </w:pPr>
            <w:r w:rsidRPr="007B6D71">
              <w:rPr>
                <w:b/>
                <w:sz w:val="16"/>
                <w:lang w:val="en-AU"/>
              </w:rPr>
              <w:t>Governance – risk</w:t>
            </w:r>
            <w:r w:rsidRPr="007B6D71">
              <w:rPr>
                <w:b/>
                <w:spacing w:val="-12"/>
                <w:sz w:val="16"/>
                <w:lang w:val="en-AU"/>
              </w:rPr>
              <w:t xml:space="preserve"> </w:t>
            </w:r>
            <w:r w:rsidRPr="007B6D71">
              <w:rPr>
                <w:b/>
                <w:sz w:val="16"/>
                <w:lang w:val="en-AU"/>
              </w:rPr>
              <w:t xml:space="preserve">management </w:t>
            </w:r>
            <w:r w:rsidRPr="007B6D71">
              <w:rPr>
                <w:b/>
                <w:spacing w:val="-4"/>
                <w:sz w:val="16"/>
                <w:lang w:val="en-AU"/>
              </w:rPr>
              <w:t>and</w:t>
            </w:r>
            <w:r w:rsidRPr="007B6D71">
              <w:rPr>
                <w:b/>
                <w:spacing w:val="-2"/>
                <w:sz w:val="16"/>
                <w:lang w:val="en-AU"/>
              </w:rPr>
              <w:t xml:space="preserve"> accountability</w:t>
            </w:r>
          </w:p>
        </w:tc>
        <w:tc>
          <w:tcPr>
            <w:tcW w:w="4265" w:type="dxa"/>
          </w:tcPr>
          <w:p w14:paraId="72A10CB0" w14:textId="77777777" w:rsidR="004E712A" w:rsidRPr="007B6D71" w:rsidRDefault="004E712A" w:rsidP="00A836CF">
            <w:pPr>
              <w:pStyle w:val="TableParagraph"/>
              <w:numPr>
                <w:ilvl w:val="0"/>
                <w:numId w:val="22"/>
              </w:numPr>
              <w:tabs>
                <w:tab w:val="left" w:pos="354"/>
              </w:tabs>
              <w:ind w:left="354" w:hanging="251"/>
              <w:rPr>
                <w:b/>
                <w:sz w:val="16"/>
                <w:lang w:val="en-AU"/>
              </w:rPr>
            </w:pPr>
            <w:r w:rsidRPr="007B6D71">
              <w:rPr>
                <w:b/>
                <w:sz w:val="16"/>
                <w:lang w:val="en-AU"/>
              </w:rPr>
              <w:t>Risk</w:t>
            </w:r>
            <w:r w:rsidRPr="007B6D71">
              <w:rPr>
                <w:b/>
                <w:spacing w:val="-2"/>
                <w:sz w:val="16"/>
                <w:lang w:val="en-AU"/>
              </w:rPr>
              <w:t xml:space="preserve"> management</w:t>
            </w:r>
          </w:p>
        </w:tc>
        <w:tc>
          <w:tcPr>
            <w:tcW w:w="2520" w:type="dxa"/>
          </w:tcPr>
          <w:p w14:paraId="2770B04E" w14:textId="77777777" w:rsidR="004E712A" w:rsidRPr="007B6D71" w:rsidRDefault="004E712A">
            <w:pPr>
              <w:pStyle w:val="TableParagraph"/>
              <w:spacing w:before="101"/>
              <w:rPr>
                <w:sz w:val="16"/>
                <w:lang w:val="en-AU"/>
              </w:rPr>
            </w:pPr>
            <w:r w:rsidRPr="007B6D71">
              <w:rPr>
                <w:sz w:val="16"/>
                <w:lang w:val="en-AU"/>
              </w:rPr>
              <w:t>ARRs</w:t>
            </w:r>
            <w:r w:rsidRPr="007B6D71">
              <w:rPr>
                <w:spacing w:val="-4"/>
                <w:sz w:val="16"/>
                <w:lang w:val="en-AU"/>
              </w:rPr>
              <w:t xml:space="preserve"> </w:t>
            </w:r>
            <w:r w:rsidRPr="007B6D71">
              <w:rPr>
                <w:sz w:val="16"/>
                <w:lang w:val="en-AU"/>
              </w:rPr>
              <w:t>–</w:t>
            </w:r>
            <w:r w:rsidRPr="007B6D71">
              <w:rPr>
                <w:spacing w:val="-5"/>
                <w:sz w:val="16"/>
                <w:lang w:val="en-AU"/>
              </w:rPr>
              <w:t xml:space="preserve"> </w:t>
            </w:r>
            <w:r w:rsidRPr="007B6D71">
              <w:rPr>
                <w:sz w:val="16"/>
                <w:lang w:val="en-AU"/>
              </w:rPr>
              <w:t>section</w:t>
            </w:r>
            <w:r w:rsidRPr="007B6D71">
              <w:rPr>
                <w:spacing w:val="-3"/>
                <w:sz w:val="16"/>
                <w:lang w:val="en-AU"/>
              </w:rPr>
              <w:t xml:space="preserve"> </w:t>
            </w:r>
            <w:r w:rsidRPr="007B6D71">
              <w:rPr>
                <w:spacing w:val="-4"/>
                <w:sz w:val="16"/>
                <w:lang w:val="en-AU"/>
              </w:rPr>
              <w:t>14.1</w:t>
            </w:r>
          </w:p>
        </w:tc>
        <w:tc>
          <w:tcPr>
            <w:tcW w:w="1591" w:type="dxa"/>
          </w:tcPr>
          <w:p w14:paraId="29285743" w14:textId="05ADA6EF" w:rsidR="004E712A" w:rsidRPr="007B6D71" w:rsidRDefault="00CD7C2F" w:rsidP="007D372B">
            <w:pPr>
              <w:pStyle w:val="TableParagraph"/>
              <w:spacing w:before="101"/>
              <w:rPr>
                <w:sz w:val="16"/>
                <w:lang w:val="en-AU"/>
              </w:rPr>
            </w:pPr>
            <w:r w:rsidRPr="007B6D71">
              <w:rPr>
                <w:sz w:val="16"/>
                <w:lang w:val="en-AU"/>
              </w:rPr>
              <w:t>42</w:t>
            </w:r>
          </w:p>
        </w:tc>
      </w:tr>
      <w:tr w:rsidR="004E712A" w:rsidRPr="00703A0B" w14:paraId="5DA6BEA9" w14:textId="77777777">
        <w:trPr>
          <w:trHeight w:val="395"/>
        </w:trPr>
        <w:tc>
          <w:tcPr>
            <w:tcW w:w="1548" w:type="dxa"/>
            <w:vMerge/>
          </w:tcPr>
          <w:p w14:paraId="5535F228" w14:textId="77777777" w:rsidR="004E712A" w:rsidRPr="00703A0B" w:rsidRDefault="004E712A">
            <w:pPr>
              <w:rPr>
                <w:sz w:val="2"/>
                <w:szCs w:val="2"/>
              </w:rPr>
            </w:pPr>
          </w:p>
        </w:tc>
        <w:tc>
          <w:tcPr>
            <w:tcW w:w="4265" w:type="dxa"/>
          </w:tcPr>
          <w:p w14:paraId="1197C7FE" w14:textId="77777777" w:rsidR="004E712A" w:rsidRPr="007B6D71" w:rsidRDefault="004E712A" w:rsidP="00A836CF">
            <w:pPr>
              <w:pStyle w:val="TableParagraph"/>
              <w:numPr>
                <w:ilvl w:val="0"/>
                <w:numId w:val="21"/>
              </w:numPr>
              <w:tabs>
                <w:tab w:val="left" w:pos="354"/>
              </w:tabs>
              <w:ind w:left="354" w:hanging="251"/>
              <w:rPr>
                <w:b/>
                <w:sz w:val="16"/>
                <w:lang w:val="en-AU"/>
              </w:rPr>
            </w:pPr>
            <w:r w:rsidRPr="007B6D71">
              <w:rPr>
                <w:b/>
                <w:sz w:val="16"/>
                <w:lang w:val="en-AU"/>
              </w:rPr>
              <w:t xml:space="preserve">Audit </w:t>
            </w:r>
            <w:r w:rsidRPr="007B6D71">
              <w:rPr>
                <w:b/>
                <w:spacing w:val="-2"/>
                <w:sz w:val="16"/>
                <w:lang w:val="en-AU"/>
              </w:rPr>
              <w:t>committee</w:t>
            </w:r>
          </w:p>
        </w:tc>
        <w:tc>
          <w:tcPr>
            <w:tcW w:w="2520" w:type="dxa"/>
          </w:tcPr>
          <w:p w14:paraId="06E01E7D" w14:textId="77777777" w:rsidR="004E712A" w:rsidRPr="007B6D71" w:rsidRDefault="004E712A">
            <w:pPr>
              <w:pStyle w:val="TableParagraph"/>
              <w:spacing w:before="101"/>
              <w:rPr>
                <w:sz w:val="16"/>
                <w:lang w:val="en-AU"/>
              </w:rPr>
            </w:pPr>
            <w:r w:rsidRPr="007B6D71">
              <w:rPr>
                <w:sz w:val="16"/>
                <w:lang w:val="en-AU"/>
              </w:rPr>
              <w:t>ARRs</w:t>
            </w:r>
            <w:r w:rsidRPr="007B6D71">
              <w:rPr>
                <w:spacing w:val="-4"/>
                <w:sz w:val="16"/>
                <w:lang w:val="en-AU"/>
              </w:rPr>
              <w:t xml:space="preserve"> </w:t>
            </w:r>
            <w:r w:rsidRPr="007B6D71">
              <w:rPr>
                <w:sz w:val="16"/>
                <w:lang w:val="en-AU"/>
              </w:rPr>
              <w:t>–</w:t>
            </w:r>
            <w:r w:rsidRPr="007B6D71">
              <w:rPr>
                <w:spacing w:val="-5"/>
                <w:sz w:val="16"/>
                <w:lang w:val="en-AU"/>
              </w:rPr>
              <w:t xml:space="preserve"> </w:t>
            </w:r>
            <w:r w:rsidRPr="007B6D71">
              <w:rPr>
                <w:sz w:val="16"/>
                <w:lang w:val="en-AU"/>
              </w:rPr>
              <w:t>section</w:t>
            </w:r>
            <w:r w:rsidRPr="007B6D71">
              <w:rPr>
                <w:spacing w:val="-3"/>
                <w:sz w:val="16"/>
                <w:lang w:val="en-AU"/>
              </w:rPr>
              <w:t xml:space="preserve"> </w:t>
            </w:r>
            <w:r w:rsidRPr="007B6D71">
              <w:rPr>
                <w:spacing w:val="-4"/>
                <w:sz w:val="16"/>
                <w:lang w:val="en-AU"/>
              </w:rPr>
              <w:t>14.2</w:t>
            </w:r>
          </w:p>
        </w:tc>
        <w:tc>
          <w:tcPr>
            <w:tcW w:w="1591" w:type="dxa"/>
          </w:tcPr>
          <w:p w14:paraId="5EFE5243" w14:textId="1D613D3C" w:rsidR="004E712A" w:rsidRPr="007B6D71" w:rsidRDefault="00C23A27" w:rsidP="007D372B">
            <w:pPr>
              <w:pStyle w:val="TableParagraph"/>
              <w:spacing w:before="101"/>
              <w:rPr>
                <w:sz w:val="16"/>
                <w:lang w:val="en-AU"/>
              </w:rPr>
            </w:pPr>
            <w:r w:rsidRPr="007B6D71">
              <w:rPr>
                <w:sz w:val="16"/>
                <w:lang w:val="en-AU"/>
              </w:rPr>
              <w:t>30</w:t>
            </w:r>
          </w:p>
        </w:tc>
      </w:tr>
      <w:tr w:rsidR="004E712A" w:rsidRPr="00703A0B" w14:paraId="41BA7D15" w14:textId="77777777">
        <w:trPr>
          <w:trHeight w:val="422"/>
        </w:trPr>
        <w:tc>
          <w:tcPr>
            <w:tcW w:w="1548" w:type="dxa"/>
            <w:vMerge/>
          </w:tcPr>
          <w:p w14:paraId="60ED4FEE" w14:textId="77777777" w:rsidR="004E712A" w:rsidRPr="00703A0B" w:rsidRDefault="004E712A">
            <w:pPr>
              <w:rPr>
                <w:sz w:val="2"/>
                <w:szCs w:val="2"/>
              </w:rPr>
            </w:pPr>
          </w:p>
        </w:tc>
        <w:tc>
          <w:tcPr>
            <w:tcW w:w="4265" w:type="dxa"/>
          </w:tcPr>
          <w:p w14:paraId="0B2044F1" w14:textId="77777777" w:rsidR="004E712A" w:rsidRPr="00ED6DCE" w:rsidRDefault="004E712A" w:rsidP="00A836CF">
            <w:pPr>
              <w:pStyle w:val="TableParagraph"/>
              <w:numPr>
                <w:ilvl w:val="0"/>
                <w:numId w:val="20"/>
              </w:numPr>
              <w:tabs>
                <w:tab w:val="left" w:pos="354"/>
              </w:tabs>
              <w:ind w:left="354" w:hanging="251"/>
              <w:rPr>
                <w:b/>
                <w:sz w:val="16"/>
                <w:lang w:val="en-AU"/>
              </w:rPr>
            </w:pPr>
            <w:r w:rsidRPr="00ED6DCE">
              <w:rPr>
                <w:b/>
                <w:sz w:val="16"/>
                <w:lang w:val="en-AU"/>
              </w:rPr>
              <w:t>Internal</w:t>
            </w:r>
            <w:r w:rsidRPr="00ED6DCE">
              <w:rPr>
                <w:b/>
                <w:spacing w:val="-8"/>
                <w:sz w:val="16"/>
                <w:lang w:val="en-AU"/>
              </w:rPr>
              <w:t xml:space="preserve"> </w:t>
            </w:r>
            <w:r w:rsidRPr="00ED6DCE">
              <w:rPr>
                <w:b/>
                <w:spacing w:val="-2"/>
                <w:sz w:val="16"/>
                <w:lang w:val="en-AU"/>
              </w:rPr>
              <w:t>audit</w:t>
            </w:r>
          </w:p>
        </w:tc>
        <w:tc>
          <w:tcPr>
            <w:tcW w:w="2520" w:type="dxa"/>
          </w:tcPr>
          <w:p w14:paraId="70017F1B" w14:textId="77777777" w:rsidR="004E712A" w:rsidRPr="00ED6DCE" w:rsidRDefault="004E712A">
            <w:pPr>
              <w:pStyle w:val="TableParagraph"/>
              <w:spacing w:before="101"/>
              <w:rPr>
                <w:sz w:val="16"/>
                <w:lang w:val="en-AU"/>
              </w:rPr>
            </w:pPr>
            <w:r w:rsidRPr="00ED6DCE">
              <w:rPr>
                <w:sz w:val="16"/>
                <w:lang w:val="en-AU"/>
              </w:rPr>
              <w:t>ARRs</w:t>
            </w:r>
            <w:r w:rsidRPr="00ED6DCE">
              <w:rPr>
                <w:spacing w:val="-4"/>
                <w:sz w:val="16"/>
                <w:lang w:val="en-AU"/>
              </w:rPr>
              <w:t xml:space="preserve"> </w:t>
            </w:r>
            <w:r w:rsidRPr="00ED6DCE">
              <w:rPr>
                <w:sz w:val="16"/>
                <w:lang w:val="en-AU"/>
              </w:rPr>
              <w:t>–</w:t>
            </w:r>
            <w:r w:rsidRPr="00ED6DCE">
              <w:rPr>
                <w:spacing w:val="-5"/>
                <w:sz w:val="16"/>
                <w:lang w:val="en-AU"/>
              </w:rPr>
              <w:t xml:space="preserve"> </w:t>
            </w:r>
            <w:r w:rsidRPr="00ED6DCE">
              <w:rPr>
                <w:sz w:val="16"/>
                <w:lang w:val="en-AU"/>
              </w:rPr>
              <w:t>section</w:t>
            </w:r>
            <w:r w:rsidRPr="00ED6DCE">
              <w:rPr>
                <w:spacing w:val="-3"/>
                <w:sz w:val="16"/>
                <w:lang w:val="en-AU"/>
              </w:rPr>
              <w:t xml:space="preserve"> </w:t>
            </w:r>
            <w:r w:rsidRPr="00ED6DCE">
              <w:rPr>
                <w:spacing w:val="-4"/>
                <w:sz w:val="16"/>
                <w:lang w:val="en-AU"/>
              </w:rPr>
              <w:t>14.3</w:t>
            </w:r>
          </w:p>
        </w:tc>
        <w:tc>
          <w:tcPr>
            <w:tcW w:w="1591" w:type="dxa"/>
          </w:tcPr>
          <w:p w14:paraId="0476196F" w14:textId="27E251F4" w:rsidR="004E712A" w:rsidRPr="00ED6DCE" w:rsidRDefault="006D7D39" w:rsidP="007D372B">
            <w:pPr>
              <w:pStyle w:val="TableParagraph"/>
              <w:spacing w:before="101"/>
              <w:rPr>
                <w:sz w:val="16"/>
                <w:lang w:val="en-AU"/>
              </w:rPr>
            </w:pPr>
            <w:r w:rsidRPr="00ED6DCE">
              <w:rPr>
                <w:sz w:val="16"/>
                <w:lang w:val="en-AU"/>
              </w:rPr>
              <w:t>42</w:t>
            </w:r>
          </w:p>
        </w:tc>
      </w:tr>
      <w:tr w:rsidR="004E712A" w:rsidRPr="00703A0B" w14:paraId="432D25F6" w14:textId="77777777">
        <w:trPr>
          <w:trHeight w:val="421"/>
        </w:trPr>
        <w:tc>
          <w:tcPr>
            <w:tcW w:w="1548" w:type="dxa"/>
            <w:vMerge/>
          </w:tcPr>
          <w:p w14:paraId="2A5D6C97" w14:textId="77777777" w:rsidR="004E712A" w:rsidRPr="00703A0B" w:rsidRDefault="004E712A">
            <w:pPr>
              <w:rPr>
                <w:sz w:val="2"/>
                <w:szCs w:val="2"/>
              </w:rPr>
            </w:pPr>
          </w:p>
        </w:tc>
        <w:tc>
          <w:tcPr>
            <w:tcW w:w="4265" w:type="dxa"/>
          </w:tcPr>
          <w:p w14:paraId="5D1BAE27" w14:textId="77777777" w:rsidR="004E712A" w:rsidRPr="00ED6DCE" w:rsidRDefault="004E712A" w:rsidP="00A836CF">
            <w:pPr>
              <w:pStyle w:val="TableParagraph"/>
              <w:numPr>
                <w:ilvl w:val="0"/>
                <w:numId w:val="19"/>
              </w:numPr>
              <w:tabs>
                <w:tab w:val="left" w:pos="354"/>
              </w:tabs>
              <w:ind w:left="354" w:hanging="251"/>
              <w:rPr>
                <w:b/>
                <w:sz w:val="16"/>
                <w:lang w:val="en-AU"/>
              </w:rPr>
            </w:pPr>
            <w:r w:rsidRPr="00ED6DCE">
              <w:rPr>
                <w:b/>
                <w:sz w:val="16"/>
                <w:lang w:val="en-AU"/>
              </w:rPr>
              <w:t>External</w:t>
            </w:r>
            <w:r w:rsidRPr="00ED6DCE">
              <w:rPr>
                <w:b/>
                <w:spacing w:val="-7"/>
                <w:sz w:val="16"/>
                <w:lang w:val="en-AU"/>
              </w:rPr>
              <w:t xml:space="preserve"> </w:t>
            </w:r>
            <w:r w:rsidRPr="00ED6DCE">
              <w:rPr>
                <w:b/>
                <w:spacing w:val="-2"/>
                <w:sz w:val="16"/>
                <w:lang w:val="en-AU"/>
              </w:rPr>
              <w:t>scrutiny</w:t>
            </w:r>
          </w:p>
        </w:tc>
        <w:tc>
          <w:tcPr>
            <w:tcW w:w="2520" w:type="dxa"/>
          </w:tcPr>
          <w:p w14:paraId="09F4EB15" w14:textId="77777777" w:rsidR="004E712A" w:rsidRPr="00ED6DCE" w:rsidRDefault="004E712A">
            <w:pPr>
              <w:pStyle w:val="TableParagraph"/>
              <w:spacing w:before="101"/>
              <w:rPr>
                <w:sz w:val="16"/>
                <w:lang w:val="en-AU"/>
              </w:rPr>
            </w:pPr>
            <w:r w:rsidRPr="00ED6DCE">
              <w:rPr>
                <w:sz w:val="16"/>
                <w:lang w:val="en-AU"/>
              </w:rPr>
              <w:t>ARRs</w:t>
            </w:r>
            <w:r w:rsidRPr="00ED6DCE">
              <w:rPr>
                <w:spacing w:val="-4"/>
                <w:sz w:val="16"/>
                <w:lang w:val="en-AU"/>
              </w:rPr>
              <w:t xml:space="preserve"> </w:t>
            </w:r>
            <w:r w:rsidRPr="00ED6DCE">
              <w:rPr>
                <w:sz w:val="16"/>
                <w:lang w:val="en-AU"/>
              </w:rPr>
              <w:t>–</w:t>
            </w:r>
            <w:r w:rsidRPr="00ED6DCE">
              <w:rPr>
                <w:spacing w:val="-5"/>
                <w:sz w:val="16"/>
                <w:lang w:val="en-AU"/>
              </w:rPr>
              <w:t xml:space="preserve"> </w:t>
            </w:r>
            <w:r w:rsidRPr="00ED6DCE">
              <w:rPr>
                <w:sz w:val="16"/>
                <w:lang w:val="en-AU"/>
              </w:rPr>
              <w:t>section</w:t>
            </w:r>
            <w:r w:rsidRPr="00ED6DCE">
              <w:rPr>
                <w:spacing w:val="-3"/>
                <w:sz w:val="16"/>
                <w:lang w:val="en-AU"/>
              </w:rPr>
              <w:t xml:space="preserve"> </w:t>
            </w:r>
            <w:r w:rsidRPr="00ED6DCE">
              <w:rPr>
                <w:spacing w:val="-4"/>
                <w:sz w:val="16"/>
                <w:lang w:val="en-AU"/>
              </w:rPr>
              <w:t>14.4</w:t>
            </w:r>
          </w:p>
        </w:tc>
        <w:tc>
          <w:tcPr>
            <w:tcW w:w="1591" w:type="dxa"/>
          </w:tcPr>
          <w:p w14:paraId="13EB4119" w14:textId="6AE35EC4" w:rsidR="004E712A" w:rsidRPr="00ED6DCE" w:rsidRDefault="006D7D39" w:rsidP="007D372B">
            <w:pPr>
              <w:pStyle w:val="TableParagraph"/>
              <w:spacing w:before="101"/>
              <w:rPr>
                <w:sz w:val="16"/>
                <w:lang w:val="en-AU"/>
              </w:rPr>
            </w:pPr>
            <w:r w:rsidRPr="00ED6DCE">
              <w:rPr>
                <w:sz w:val="16"/>
                <w:lang w:val="en-AU"/>
              </w:rPr>
              <w:t>43</w:t>
            </w:r>
          </w:p>
        </w:tc>
      </w:tr>
      <w:tr w:rsidR="004E712A" w:rsidRPr="00703A0B" w14:paraId="1722856C" w14:textId="77777777">
        <w:trPr>
          <w:trHeight w:val="421"/>
        </w:trPr>
        <w:tc>
          <w:tcPr>
            <w:tcW w:w="1548" w:type="dxa"/>
            <w:vMerge/>
          </w:tcPr>
          <w:p w14:paraId="36162BF4" w14:textId="77777777" w:rsidR="004E712A" w:rsidRPr="00222AE5" w:rsidRDefault="004E712A">
            <w:pPr>
              <w:pStyle w:val="TableParagraph"/>
              <w:spacing w:before="0"/>
              <w:ind w:left="0"/>
              <w:rPr>
                <w:rFonts w:ascii="Times New Roman"/>
                <w:sz w:val="14"/>
                <w:lang w:val="en-AU"/>
              </w:rPr>
            </w:pPr>
          </w:p>
        </w:tc>
        <w:tc>
          <w:tcPr>
            <w:tcW w:w="4265" w:type="dxa"/>
          </w:tcPr>
          <w:p w14:paraId="0BA10477" w14:textId="2B45A5AD" w:rsidR="004E712A" w:rsidRPr="00222AE5" w:rsidRDefault="004E712A" w:rsidP="00A836CF">
            <w:pPr>
              <w:pStyle w:val="TableParagraph"/>
              <w:numPr>
                <w:ilvl w:val="0"/>
                <w:numId w:val="50"/>
              </w:numPr>
              <w:tabs>
                <w:tab w:val="left" w:pos="354"/>
              </w:tabs>
              <w:ind w:left="354" w:hanging="251"/>
              <w:rPr>
                <w:b/>
                <w:sz w:val="16"/>
                <w:lang w:val="en-AU"/>
              </w:rPr>
            </w:pPr>
            <w:r w:rsidRPr="00222AE5">
              <w:rPr>
                <w:b/>
                <w:sz w:val="16"/>
                <w:lang w:val="en-AU"/>
              </w:rPr>
              <w:t>Information</w:t>
            </w:r>
            <w:r w:rsidRPr="00222AE5">
              <w:rPr>
                <w:b/>
                <w:spacing w:val="-8"/>
                <w:sz w:val="16"/>
                <w:lang w:val="en-AU"/>
              </w:rPr>
              <w:t xml:space="preserve"> </w:t>
            </w:r>
            <w:r w:rsidRPr="00222AE5">
              <w:rPr>
                <w:b/>
                <w:sz w:val="16"/>
                <w:lang w:val="en-AU"/>
              </w:rPr>
              <w:t>systems</w:t>
            </w:r>
            <w:r w:rsidRPr="00222AE5">
              <w:rPr>
                <w:b/>
                <w:spacing w:val="-5"/>
                <w:sz w:val="16"/>
                <w:lang w:val="en-AU"/>
              </w:rPr>
              <w:t xml:space="preserve"> </w:t>
            </w:r>
            <w:r w:rsidRPr="00222AE5">
              <w:rPr>
                <w:b/>
                <w:sz w:val="16"/>
                <w:lang w:val="en-AU"/>
              </w:rPr>
              <w:t>and</w:t>
            </w:r>
            <w:r w:rsidRPr="00222AE5">
              <w:rPr>
                <w:b/>
                <w:spacing w:val="-4"/>
                <w:sz w:val="16"/>
                <w:lang w:val="en-AU"/>
              </w:rPr>
              <w:t xml:space="preserve"> </w:t>
            </w:r>
            <w:r w:rsidRPr="00222AE5">
              <w:rPr>
                <w:b/>
                <w:spacing w:val="-2"/>
                <w:sz w:val="16"/>
                <w:lang w:val="en-AU"/>
              </w:rPr>
              <w:t>record</w:t>
            </w:r>
            <w:r w:rsidR="00AB34F2" w:rsidRPr="00222AE5">
              <w:rPr>
                <w:b/>
                <w:spacing w:val="-2"/>
                <w:sz w:val="16"/>
                <w:lang w:val="en-AU"/>
              </w:rPr>
              <w:t>s management</w:t>
            </w:r>
          </w:p>
        </w:tc>
        <w:tc>
          <w:tcPr>
            <w:tcW w:w="2520" w:type="dxa"/>
          </w:tcPr>
          <w:p w14:paraId="3B34EE05" w14:textId="77777777" w:rsidR="004E712A" w:rsidRPr="00222AE5" w:rsidRDefault="004E712A">
            <w:pPr>
              <w:pStyle w:val="TableParagraph"/>
              <w:spacing w:before="101"/>
              <w:rPr>
                <w:sz w:val="16"/>
                <w:lang w:val="en-AU"/>
              </w:rPr>
            </w:pPr>
            <w:r w:rsidRPr="00222AE5">
              <w:rPr>
                <w:sz w:val="16"/>
                <w:lang w:val="en-AU"/>
              </w:rPr>
              <w:t>ARRs</w:t>
            </w:r>
            <w:r w:rsidRPr="00222AE5">
              <w:rPr>
                <w:spacing w:val="-4"/>
                <w:sz w:val="16"/>
                <w:lang w:val="en-AU"/>
              </w:rPr>
              <w:t xml:space="preserve"> </w:t>
            </w:r>
            <w:r w:rsidRPr="00222AE5">
              <w:rPr>
                <w:sz w:val="16"/>
                <w:lang w:val="en-AU"/>
              </w:rPr>
              <w:t>–</w:t>
            </w:r>
            <w:r w:rsidRPr="00222AE5">
              <w:rPr>
                <w:spacing w:val="-5"/>
                <w:sz w:val="16"/>
                <w:lang w:val="en-AU"/>
              </w:rPr>
              <w:t xml:space="preserve"> </w:t>
            </w:r>
            <w:r w:rsidRPr="00222AE5">
              <w:rPr>
                <w:sz w:val="16"/>
                <w:lang w:val="en-AU"/>
              </w:rPr>
              <w:t>section</w:t>
            </w:r>
            <w:r w:rsidRPr="00222AE5">
              <w:rPr>
                <w:spacing w:val="-3"/>
                <w:sz w:val="16"/>
                <w:lang w:val="en-AU"/>
              </w:rPr>
              <w:t xml:space="preserve"> </w:t>
            </w:r>
            <w:r w:rsidRPr="00222AE5">
              <w:rPr>
                <w:spacing w:val="-4"/>
                <w:sz w:val="16"/>
                <w:lang w:val="en-AU"/>
              </w:rPr>
              <w:t>14.5</w:t>
            </w:r>
          </w:p>
        </w:tc>
        <w:tc>
          <w:tcPr>
            <w:tcW w:w="1591" w:type="dxa"/>
          </w:tcPr>
          <w:p w14:paraId="789C16C5" w14:textId="18BD2AB9" w:rsidR="004E712A" w:rsidRPr="00222AE5" w:rsidRDefault="006D7D39" w:rsidP="007D372B">
            <w:pPr>
              <w:pStyle w:val="TableParagraph"/>
              <w:spacing w:before="101"/>
              <w:rPr>
                <w:sz w:val="16"/>
                <w:lang w:val="en-AU"/>
              </w:rPr>
            </w:pPr>
            <w:r w:rsidRPr="00222AE5">
              <w:rPr>
                <w:sz w:val="16"/>
                <w:lang w:val="en-AU"/>
              </w:rPr>
              <w:t>43</w:t>
            </w:r>
          </w:p>
        </w:tc>
      </w:tr>
      <w:tr w:rsidR="004E712A" w:rsidRPr="00703A0B" w14:paraId="756535B1" w14:textId="77777777">
        <w:trPr>
          <w:trHeight w:val="422"/>
        </w:trPr>
        <w:tc>
          <w:tcPr>
            <w:tcW w:w="1548" w:type="dxa"/>
            <w:vMerge/>
          </w:tcPr>
          <w:p w14:paraId="22652B78" w14:textId="77777777" w:rsidR="004E712A" w:rsidRPr="00703A0B" w:rsidRDefault="004E712A">
            <w:pPr>
              <w:rPr>
                <w:sz w:val="2"/>
                <w:szCs w:val="2"/>
              </w:rPr>
            </w:pPr>
          </w:p>
        </w:tc>
        <w:tc>
          <w:tcPr>
            <w:tcW w:w="4265" w:type="dxa"/>
          </w:tcPr>
          <w:p w14:paraId="1E416D04" w14:textId="77777777" w:rsidR="004E712A" w:rsidRPr="00EA2ACA" w:rsidRDefault="004E712A" w:rsidP="00A836CF">
            <w:pPr>
              <w:pStyle w:val="TableParagraph"/>
              <w:numPr>
                <w:ilvl w:val="0"/>
                <w:numId w:val="49"/>
              </w:numPr>
              <w:tabs>
                <w:tab w:val="left" w:pos="354"/>
              </w:tabs>
              <w:ind w:left="354" w:hanging="251"/>
              <w:rPr>
                <w:b/>
                <w:sz w:val="16"/>
                <w:lang w:val="en-AU"/>
              </w:rPr>
            </w:pPr>
            <w:r w:rsidRPr="00EA2ACA">
              <w:rPr>
                <w:b/>
                <w:sz w:val="16"/>
                <w:lang w:val="en-AU"/>
              </w:rPr>
              <w:t>Information</w:t>
            </w:r>
            <w:r w:rsidRPr="00EA2ACA">
              <w:rPr>
                <w:b/>
                <w:spacing w:val="-11"/>
                <w:sz w:val="16"/>
                <w:lang w:val="en-AU"/>
              </w:rPr>
              <w:t xml:space="preserve"> </w:t>
            </w:r>
            <w:r w:rsidRPr="00EA2ACA">
              <w:rPr>
                <w:b/>
                <w:sz w:val="16"/>
                <w:lang w:val="en-AU"/>
              </w:rPr>
              <w:t>Security</w:t>
            </w:r>
            <w:r w:rsidRPr="00EA2ACA">
              <w:rPr>
                <w:b/>
                <w:spacing w:val="-6"/>
                <w:sz w:val="16"/>
                <w:lang w:val="en-AU"/>
              </w:rPr>
              <w:t xml:space="preserve"> </w:t>
            </w:r>
            <w:r w:rsidRPr="00EA2ACA">
              <w:rPr>
                <w:b/>
                <w:spacing w:val="-2"/>
                <w:sz w:val="16"/>
                <w:lang w:val="en-AU"/>
              </w:rPr>
              <w:t>attestation</w:t>
            </w:r>
          </w:p>
        </w:tc>
        <w:tc>
          <w:tcPr>
            <w:tcW w:w="2520" w:type="dxa"/>
          </w:tcPr>
          <w:p w14:paraId="4F0004CC" w14:textId="77777777" w:rsidR="004E712A" w:rsidRPr="00EA2ACA" w:rsidRDefault="004E712A">
            <w:pPr>
              <w:pStyle w:val="TableParagraph"/>
              <w:spacing w:before="101"/>
              <w:rPr>
                <w:sz w:val="16"/>
                <w:lang w:val="en-AU"/>
              </w:rPr>
            </w:pPr>
            <w:r w:rsidRPr="00EA2ACA">
              <w:rPr>
                <w:sz w:val="16"/>
                <w:lang w:val="en-AU"/>
              </w:rPr>
              <w:t>ARRs</w:t>
            </w:r>
            <w:r w:rsidRPr="00EA2ACA">
              <w:rPr>
                <w:spacing w:val="-4"/>
                <w:sz w:val="16"/>
                <w:lang w:val="en-AU"/>
              </w:rPr>
              <w:t xml:space="preserve"> </w:t>
            </w:r>
            <w:r w:rsidRPr="00EA2ACA">
              <w:rPr>
                <w:sz w:val="16"/>
                <w:lang w:val="en-AU"/>
              </w:rPr>
              <w:t>–</w:t>
            </w:r>
            <w:r w:rsidRPr="00EA2ACA">
              <w:rPr>
                <w:spacing w:val="-5"/>
                <w:sz w:val="16"/>
                <w:lang w:val="en-AU"/>
              </w:rPr>
              <w:t xml:space="preserve"> </w:t>
            </w:r>
            <w:r w:rsidRPr="00EA2ACA">
              <w:rPr>
                <w:sz w:val="16"/>
                <w:lang w:val="en-AU"/>
              </w:rPr>
              <w:t>section</w:t>
            </w:r>
            <w:r w:rsidRPr="00EA2ACA">
              <w:rPr>
                <w:spacing w:val="-3"/>
                <w:sz w:val="16"/>
                <w:lang w:val="en-AU"/>
              </w:rPr>
              <w:t xml:space="preserve"> </w:t>
            </w:r>
            <w:r w:rsidRPr="00EA2ACA">
              <w:rPr>
                <w:spacing w:val="-4"/>
                <w:sz w:val="16"/>
                <w:lang w:val="en-AU"/>
              </w:rPr>
              <w:t>14.6</w:t>
            </w:r>
          </w:p>
        </w:tc>
        <w:tc>
          <w:tcPr>
            <w:tcW w:w="1591" w:type="dxa"/>
          </w:tcPr>
          <w:p w14:paraId="4EC4F7DA" w14:textId="619B3F05" w:rsidR="004E712A" w:rsidRPr="00EA2ACA" w:rsidRDefault="007D372B" w:rsidP="007D372B">
            <w:pPr>
              <w:pStyle w:val="TableParagraph"/>
              <w:spacing w:before="101"/>
              <w:rPr>
                <w:sz w:val="16"/>
                <w:lang w:val="en-AU"/>
              </w:rPr>
            </w:pPr>
            <w:r w:rsidRPr="00EA2ACA">
              <w:rPr>
                <w:sz w:val="16"/>
                <w:lang w:val="en-AU"/>
              </w:rPr>
              <w:t>Not applicable</w:t>
            </w:r>
          </w:p>
        </w:tc>
      </w:tr>
      <w:tr w:rsidR="004E712A" w:rsidRPr="00703A0B" w14:paraId="2F1CC840" w14:textId="77777777">
        <w:trPr>
          <w:trHeight w:val="393"/>
        </w:trPr>
        <w:tc>
          <w:tcPr>
            <w:tcW w:w="1548" w:type="dxa"/>
            <w:vMerge w:val="restart"/>
          </w:tcPr>
          <w:p w14:paraId="46C9BCCA" w14:textId="77777777" w:rsidR="004E712A" w:rsidRPr="00D142D9" w:rsidRDefault="004E712A">
            <w:pPr>
              <w:pStyle w:val="TableParagraph"/>
              <w:spacing w:before="99"/>
              <w:ind w:left="107" w:right="369"/>
              <w:rPr>
                <w:b/>
                <w:sz w:val="16"/>
                <w:lang w:val="en-AU"/>
              </w:rPr>
            </w:pPr>
            <w:r w:rsidRPr="00D142D9">
              <w:rPr>
                <w:b/>
                <w:sz w:val="16"/>
                <w:lang w:val="en-AU"/>
              </w:rPr>
              <w:t>Governance</w:t>
            </w:r>
            <w:r w:rsidRPr="00D142D9">
              <w:rPr>
                <w:b/>
                <w:spacing w:val="-12"/>
                <w:sz w:val="16"/>
                <w:lang w:val="en-AU"/>
              </w:rPr>
              <w:t xml:space="preserve"> </w:t>
            </w:r>
            <w:r w:rsidRPr="00D142D9">
              <w:rPr>
                <w:b/>
                <w:sz w:val="16"/>
                <w:lang w:val="en-AU"/>
              </w:rPr>
              <w:t xml:space="preserve">– </w:t>
            </w:r>
            <w:r w:rsidRPr="00D142D9">
              <w:rPr>
                <w:b/>
                <w:spacing w:val="-2"/>
                <w:sz w:val="16"/>
                <w:lang w:val="en-AU"/>
              </w:rPr>
              <w:lastRenderedPageBreak/>
              <w:t>human resources</w:t>
            </w:r>
          </w:p>
        </w:tc>
        <w:tc>
          <w:tcPr>
            <w:tcW w:w="4265" w:type="dxa"/>
          </w:tcPr>
          <w:p w14:paraId="445C6407" w14:textId="77777777" w:rsidR="004E712A" w:rsidRPr="00D142D9" w:rsidRDefault="004E712A" w:rsidP="00A836CF">
            <w:pPr>
              <w:pStyle w:val="TableParagraph"/>
              <w:numPr>
                <w:ilvl w:val="0"/>
                <w:numId w:val="48"/>
              </w:numPr>
              <w:tabs>
                <w:tab w:val="left" w:pos="354"/>
              </w:tabs>
              <w:ind w:left="354" w:hanging="251"/>
              <w:rPr>
                <w:b/>
                <w:sz w:val="16"/>
                <w:lang w:val="en-AU"/>
              </w:rPr>
            </w:pPr>
            <w:r w:rsidRPr="00D142D9">
              <w:rPr>
                <w:b/>
                <w:sz w:val="16"/>
                <w:lang w:val="en-AU"/>
              </w:rPr>
              <w:lastRenderedPageBreak/>
              <w:t>Strategic</w:t>
            </w:r>
            <w:r w:rsidRPr="00D142D9">
              <w:rPr>
                <w:b/>
                <w:spacing w:val="-9"/>
                <w:sz w:val="16"/>
                <w:lang w:val="en-AU"/>
              </w:rPr>
              <w:t xml:space="preserve"> </w:t>
            </w:r>
            <w:r w:rsidRPr="00D142D9">
              <w:rPr>
                <w:b/>
                <w:sz w:val="16"/>
                <w:lang w:val="en-AU"/>
              </w:rPr>
              <w:t>workforce</w:t>
            </w:r>
            <w:r w:rsidRPr="00D142D9">
              <w:rPr>
                <w:b/>
                <w:spacing w:val="-6"/>
                <w:sz w:val="16"/>
                <w:lang w:val="en-AU"/>
              </w:rPr>
              <w:t xml:space="preserve"> </w:t>
            </w:r>
            <w:r w:rsidRPr="00D142D9">
              <w:rPr>
                <w:b/>
                <w:sz w:val="16"/>
                <w:lang w:val="en-AU"/>
              </w:rPr>
              <w:t>planning</w:t>
            </w:r>
            <w:r w:rsidRPr="00D142D9">
              <w:rPr>
                <w:b/>
                <w:spacing w:val="-6"/>
                <w:sz w:val="16"/>
                <w:lang w:val="en-AU"/>
              </w:rPr>
              <w:t xml:space="preserve"> </w:t>
            </w:r>
            <w:r w:rsidRPr="00D142D9">
              <w:rPr>
                <w:b/>
                <w:sz w:val="16"/>
                <w:lang w:val="en-AU"/>
              </w:rPr>
              <w:t>and</w:t>
            </w:r>
            <w:r w:rsidRPr="00D142D9">
              <w:rPr>
                <w:b/>
                <w:spacing w:val="-5"/>
                <w:sz w:val="16"/>
                <w:lang w:val="en-AU"/>
              </w:rPr>
              <w:t xml:space="preserve"> </w:t>
            </w:r>
            <w:r w:rsidRPr="00D142D9">
              <w:rPr>
                <w:b/>
                <w:spacing w:val="-2"/>
                <w:sz w:val="16"/>
                <w:lang w:val="en-AU"/>
              </w:rPr>
              <w:t>performance</w:t>
            </w:r>
          </w:p>
        </w:tc>
        <w:tc>
          <w:tcPr>
            <w:tcW w:w="2520" w:type="dxa"/>
          </w:tcPr>
          <w:p w14:paraId="277647CC" w14:textId="77777777" w:rsidR="004E712A" w:rsidRPr="00D142D9" w:rsidRDefault="004E712A">
            <w:pPr>
              <w:pStyle w:val="TableParagraph"/>
              <w:spacing w:before="101"/>
              <w:rPr>
                <w:sz w:val="16"/>
                <w:lang w:val="en-AU"/>
              </w:rPr>
            </w:pPr>
            <w:r w:rsidRPr="00D142D9">
              <w:rPr>
                <w:sz w:val="16"/>
                <w:lang w:val="en-AU"/>
              </w:rPr>
              <w:t>ARRs</w:t>
            </w:r>
            <w:r w:rsidRPr="00D142D9">
              <w:rPr>
                <w:spacing w:val="-4"/>
                <w:sz w:val="16"/>
                <w:lang w:val="en-AU"/>
              </w:rPr>
              <w:t xml:space="preserve"> </w:t>
            </w:r>
            <w:r w:rsidRPr="00D142D9">
              <w:rPr>
                <w:sz w:val="16"/>
                <w:lang w:val="en-AU"/>
              </w:rPr>
              <w:t>–</w:t>
            </w:r>
            <w:r w:rsidRPr="00D142D9">
              <w:rPr>
                <w:spacing w:val="-5"/>
                <w:sz w:val="16"/>
                <w:lang w:val="en-AU"/>
              </w:rPr>
              <w:t xml:space="preserve"> </w:t>
            </w:r>
            <w:r w:rsidRPr="00D142D9">
              <w:rPr>
                <w:sz w:val="16"/>
                <w:lang w:val="en-AU"/>
              </w:rPr>
              <w:t>section</w:t>
            </w:r>
            <w:r w:rsidRPr="00D142D9">
              <w:rPr>
                <w:spacing w:val="-3"/>
                <w:sz w:val="16"/>
                <w:lang w:val="en-AU"/>
              </w:rPr>
              <w:t xml:space="preserve"> </w:t>
            </w:r>
            <w:r w:rsidRPr="00D142D9">
              <w:rPr>
                <w:spacing w:val="-4"/>
                <w:sz w:val="16"/>
                <w:lang w:val="en-AU"/>
              </w:rPr>
              <w:t>15.1</w:t>
            </w:r>
          </w:p>
        </w:tc>
        <w:tc>
          <w:tcPr>
            <w:tcW w:w="1591" w:type="dxa"/>
          </w:tcPr>
          <w:p w14:paraId="7FAD1C1F" w14:textId="71FE1953" w:rsidR="004E712A" w:rsidRPr="00D142D9" w:rsidRDefault="002B5521" w:rsidP="007D372B">
            <w:pPr>
              <w:pStyle w:val="TableParagraph"/>
              <w:spacing w:before="101"/>
              <w:rPr>
                <w:sz w:val="16"/>
                <w:lang w:val="en-AU"/>
              </w:rPr>
            </w:pPr>
            <w:r w:rsidRPr="00D142D9">
              <w:rPr>
                <w:sz w:val="16"/>
                <w:lang w:val="en-AU"/>
              </w:rPr>
              <w:t>38</w:t>
            </w:r>
          </w:p>
        </w:tc>
      </w:tr>
      <w:tr w:rsidR="004E712A" w:rsidRPr="00703A0B" w14:paraId="3A477A46" w14:textId="77777777">
        <w:trPr>
          <w:trHeight w:val="1036"/>
        </w:trPr>
        <w:tc>
          <w:tcPr>
            <w:tcW w:w="1548" w:type="dxa"/>
            <w:vMerge/>
          </w:tcPr>
          <w:p w14:paraId="7E3B03CE" w14:textId="77777777" w:rsidR="004E712A" w:rsidRPr="00703A0B" w:rsidRDefault="004E712A">
            <w:pPr>
              <w:rPr>
                <w:sz w:val="2"/>
                <w:szCs w:val="2"/>
              </w:rPr>
            </w:pPr>
          </w:p>
        </w:tc>
        <w:tc>
          <w:tcPr>
            <w:tcW w:w="4265" w:type="dxa"/>
          </w:tcPr>
          <w:p w14:paraId="390DFDC2" w14:textId="77777777" w:rsidR="004E712A" w:rsidRPr="00D142D9" w:rsidRDefault="004E712A" w:rsidP="00A836CF">
            <w:pPr>
              <w:pStyle w:val="TableParagraph"/>
              <w:numPr>
                <w:ilvl w:val="0"/>
                <w:numId w:val="47"/>
              </w:numPr>
              <w:tabs>
                <w:tab w:val="left" w:pos="354"/>
              </w:tabs>
              <w:ind w:left="354" w:hanging="251"/>
              <w:rPr>
                <w:b/>
                <w:sz w:val="16"/>
                <w:lang w:val="en-AU"/>
              </w:rPr>
            </w:pPr>
            <w:r w:rsidRPr="00D142D9">
              <w:rPr>
                <w:b/>
                <w:sz w:val="16"/>
                <w:lang w:val="en-AU"/>
              </w:rPr>
              <w:t>Early</w:t>
            </w:r>
            <w:r w:rsidRPr="00D142D9">
              <w:rPr>
                <w:b/>
                <w:spacing w:val="-8"/>
                <w:sz w:val="16"/>
                <w:lang w:val="en-AU"/>
              </w:rPr>
              <w:t xml:space="preserve"> </w:t>
            </w:r>
            <w:r w:rsidRPr="00D142D9">
              <w:rPr>
                <w:b/>
                <w:sz w:val="16"/>
                <w:lang w:val="en-AU"/>
              </w:rPr>
              <w:t>retirement,</w:t>
            </w:r>
            <w:r w:rsidRPr="00D142D9">
              <w:rPr>
                <w:b/>
                <w:spacing w:val="-6"/>
                <w:sz w:val="16"/>
                <w:lang w:val="en-AU"/>
              </w:rPr>
              <w:t xml:space="preserve"> </w:t>
            </w:r>
            <w:r w:rsidRPr="00D142D9">
              <w:rPr>
                <w:b/>
                <w:sz w:val="16"/>
                <w:lang w:val="en-AU"/>
              </w:rPr>
              <w:t>redundancy</w:t>
            </w:r>
            <w:r w:rsidRPr="00D142D9">
              <w:rPr>
                <w:b/>
                <w:spacing w:val="-8"/>
                <w:sz w:val="16"/>
                <w:lang w:val="en-AU"/>
              </w:rPr>
              <w:t xml:space="preserve"> </w:t>
            </w:r>
            <w:r w:rsidRPr="00D142D9">
              <w:rPr>
                <w:b/>
                <w:sz w:val="16"/>
                <w:lang w:val="en-AU"/>
              </w:rPr>
              <w:t>and</w:t>
            </w:r>
            <w:r w:rsidRPr="00D142D9">
              <w:rPr>
                <w:b/>
                <w:spacing w:val="-6"/>
                <w:sz w:val="16"/>
                <w:lang w:val="en-AU"/>
              </w:rPr>
              <w:t xml:space="preserve"> </w:t>
            </w:r>
            <w:r w:rsidRPr="00D142D9">
              <w:rPr>
                <w:b/>
                <w:spacing w:val="-2"/>
                <w:sz w:val="16"/>
                <w:lang w:val="en-AU"/>
              </w:rPr>
              <w:t>retrenchment</w:t>
            </w:r>
          </w:p>
        </w:tc>
        <w:tc>
          <w:tcPr>
            <w:tcW w:w="2520" w:type="dxa"/>
          </w:tcPr>
          <w:p w14:paraId="68CCC222" w14:textId="77777777" w:rsidR="004E712A" w:rsidRPr="00D142D9" w:rsidRDefault="004E712A">
            <w:pPr>
              <w:pStyle w:val="TableParagraph"/>
              <w:spacing w:before="99"/>
              <w:rPr>
                <w:i/>
                <w:sz w:val="16"/>
                <w:lang w:val="en-AU"/>
              </w:rPr>
            </w:pPr>
            <w:r w:rsidRPr="00D142D9">
              <w:rPr>
                <w:sz w:val="16"/>
                <w:lang w:val="en-AU"/>
              </w:rPr>
              <w:t xml:space="preserve">Directive No.04/18 </w:t>
            </w:r>
            <w:r w:rsidRPr="00D142D9">
              <w:rPr>
                <w:i/>
                <w:sz w:val="16"/>
                <w:lang w:val="en-AU"/>
              </w:rPr>
              <w:t>Early Retirement,</w:t>
            </w:r>
            <w:r w:rsidRPr="00D142D9">
              <w:rPr>
                <w:i/>
                <w:spacing w:val="-12"/>
                <w:sz w:val="16"/>
                <w:lang w:val="en-AU"/>
              </w:rPr>
              <w:t xml:space="preserve"> </w:t>
            </w:r>
            <w:r w:rsidRPr="00D142D9">
              <w:rPr>
                <w:i/>
                <w:sz w:val="16"/>
                <w:lang w:val="en-AU"/>
              </w:rPr>
              <w:t>Redundancy</w:t>
            </w:r>
            <w:r w:rsidRPr="00D142D9">
              <w:rPr>
                <w:i/>
                <w:spacing w:val="-11"/>
                <w:sz w:val="16"/>
                <w:lang w:val="en-AU"/>
              </w:rPr>
              <w:t xml:space="preserve"> </w:t>
            </w:r>
            <w:r w:rsidRPr="00D142D9">
              <w:rPr>
                <w:i/>
                <w:sz w:val="16"/>
                <w:lang w:val="en-AU"/>
              </w:rPr>
              <w:t xml:space="preserve">and </w:t>
            </w:r>
            <w:r w:rsidRPr="00D142D9">
              <w:rPr>
                <w:i/>
                <w:spacing w:val="-2"/>
                <w:sz w:val="16"/>
                <w:lang w:val="en-AU"/>
              </w:rPr>
              <w:t>Retrenchment</w:t>
            </w:r>
          </w:p>
          <w:p w14:paraId="12407735" w14:textId="77777777" w:rsidR="004E712A" w:rsidRPr="00D142D9" w:rsidRDefault="004E712A">
            <w:pPr>
              <w:pStyle w:val="TableParagraph"/>
              <w:spacing w:before="103"/>
              <w:rPr>
                <w:sz w:val="16"/>
                <w:lang w:val="en-AU"/>
              </w:rPr>
            </w:pPr>
            <w:r w:rsidRPr="00D142D9">
              <w:rPr>
                <w:sz w:val="16"/>
                <w:lang w:val="en-AU"/>
              </w:rPr>
              <w:t>ARRs</w:t>
            </w:r>
            <w:r w:rsidRPr="00D142D9">
              <w:rPr>
                <w:spacing w:val="-4"/>
                <w:sz w:val="16"/>
                <w:lang w:val="en-AU"/>
              </w:rPr>
              <w:t xml:space="preserve"> </w:t>
            </w:r>
            <w:r w:rsidRPr="00D142D9">
              <w:rPr>
                <w:sz w:val="16"/>
                <w:lang w:val="en-AU"/>
              </w:rPr>
              <w:t>–</w:t>
            </w:r>
            <w:r w:rsidRPr="00D142D9">
              <w:rPr>
                <w:spacing w:val="-5"/>
                <w:sz w:val="16"/>
                <w:lang w:val="en-AU"/>
              </w:rPr>
              <w:t xml:space="preserve"> </w:t>
            </w:r>
            <w:r w:rsidRPr="00D142D9">
              <w:rPr>
                <w:sz w:val="16"/>
                <w:lang w:val="en-AU"/>
              </w:rPr>
              <w:t>section</w:t>
            </w:r>
            <w:r w:rsidRPr="00D142D9">
              <w:rPr>
                <w:spacing w:val="-3"/>
                <w:sz w:val="16"/>
                <w:lang w:val="en-AU"/>
              </w:rPr>
              <w:t xml:space="preserve"> </w:t>
            </w:r>
            <w:r w:rsidRPr="00D142D9">
              <w:rPr>
                <w:spacing w:val="-4"/>
                <w:sz w:val="16"/>
                <w:lang w:val="en-AU"/>
              </w:rPr>
              <w:t>15.2</w:t>
            </w:r>
          </w:p>
        </w:tc>
        <w:tc>
          <w:tcPr>
            <w:tcW w:w="1591" w:type="dxa"/>
          </w:tcPr>
          <w:p w14:paraId="4E29F276" w14:textId="21AA0B0E" w:rsidR="004E712A" w:rsidRPr="00D142D9" w:rsidRDefault="004C69D7" w:rsidP="007D372B">
            <w:pPr>
              <w:pStyle w:val="TableParagraph"/>
              <w:spacing w:before="101"/>
              <w:rPr>
                <w:sz w:val="16"/>
                <w:lang w:val="en-AU"/>
              </w:rPr>
            </w:pPr>
            <w:r w:rsidRPr="00D142D9">
              <w:rPr>
                <w:sz w:val="16"/>
                <w:lang w:val="en-AU"/>
              </w:rPr>
              <w:t>41</w:t>
            </w:r>
          </w:p>
        </w:tc>
      </w:tr>
      <w:tr w:rsidR="004E712A" w:rsidRPr="00703A0B" w14:paraId="461F57FE" w14:textId="77777777">
        <w:trPr>
          <w:trHeight w:val="395"/>
        </w:trPr>
        <w:tc>
          <w:tcPr>
            <w:tcW w:w="1548" w:type="dxa"/>
            <w:vMerge w:val="restart"/>
          </w:tcPr>
          <w:p w14:paraId="632AAE5D" w14:textId="77777777" w:rsidR="004E712A" w:rsidRPr="00D142D9" w:rsidRDefault="004E712A">
            <w:pPr>
              <w:pStyle w:val="TableParagraph"/>
              <w:spacing w:before="101"/>
              <w:ind w:left="107"/>
              <w:rPr>
                <w:b/>
                <w:sz w:val="16"/>
                <w:lang w:val="en-AU"/>
              </w:rPr>
            </w:pPr>
            <w:r w:rsidRPr="00D142D9">
              <w:rPr>
                <w:b/>
                <w:sz w:val="16"/>
                <w:lang w:val="en-AU"/>
              </w:rPr>
              <w:t>Open</w:t>
            </w:r>
            <w:r w:rsidRPr="00D142D9">
              <w:rPr>
                <w:b/>
                <w:spacing w:val="-2"/>
                <w:sz w:val="16"/>
                <w:lang w:val="en-AU"/>
              </w:rPr>
              <w:t xml:space="preserve"> </w:t>
            </w:r>
            <w:r w:rsidRPr="00D142D9">
              <w:rPr>
                <w:b/>
                <w:spacing w:val="-4"/>
                <w:sz w:val="16"/>
                <w:lang w:val="en-AU"/>
              </w:rPr>
              <w:t>Data</w:t>
            </w:r>
          </w:p>
        </w:tc>
        <w:tc>
          <w:tcPr>
            <w:tcW w:w="4265" w:type="dxa"/>
          </w:tcPr>
          <w:p w14:paraId="777004F1" w14:textId="77777777" w:rsidR="004E712A" w:rsidRPr="00D142D9" w:rsidRDefault="004E712A" w:rsidP="00A836CF">
            <w:pPr>
              <w:pStyle w:val="TableParagraph"/>
              <w:numPr>
                <w:ilvl w:val="0"/>
                <w:numId w:val="46"/>
              </w:numPr>
              <w:tabs>
                <w:tab w:val="left" w:pos="354"/>
              </w:tabs>
              <w:ind w:left="354" w:hanging="251"/>
              <w:rPr>
                <w:b/>
                <w:sz w:val="16"/>
                <w:lang w:val="en-AU"/>
              </w:rPr>
            </w:pPr>
            <w:r w:rsidRPr="00D142D9">
              <w:rPr>
                <w:b/>
                <w:sz w:val="16"/>
                <w:lang w:val="en-AU"/>
              </w:rPr>
              <w:t>Statement</w:t>
            </w:r>
            <w:r w:rsidRPr="00D142D9">
              <w:rPr>
                <w:b/>
                <w:spacing w:val="-7"/>
                <w:sz w:val="16"/>
                <w:lang w:val="en-AU"/>
              </w:rPr>
              <w:t xml:space="preserve"> </w:t>
            </w:r>
            <w:r w:rsidRPr="00D142D9">
              <w:rPr>
                <w:b/>
                <w:sz w:val="16"/>
                <w:lang w:val="en-AU"/>
              </w:rPr>
              <w:t>advising</w:t>
            </w:r>
            <w:r w:rsidRPr="00D142D9">
              <w:rPr>
                <w:b/>
                <w:spacing w:val="-5"/>
                <w:sz w:val="16"/>
                <w:lang w:val="en-AU"/>
              </w:rPr>
              <w:t xml:space="preserve"> </w:t>
            </w:r>
            <w:r w:rsidRPr="00D142D9">
              <w:rPr>
                <w:b/>
                <w:sz w:val="16"/>
                <w:lang w:val="en-AU"/>
              </w:rPr>
              <w:t>publication</w:t>
            </w:r>
            <w:r w:rsidRPr="00D142D9">
              <w:rPr>
                <w:b/>
                <w:spacing w:val="-8"/>
                <w:sz w:val="16"/>
                <w:lang w:val="en-AU"/>
              </w:rPr>
              <w:t xml:space="preserve"> </w:t>
            </w:r>
            <w:r w:rsidRPr="00D142D9">
              <w:rPr>
                <w:b/>
                <w:sz w:val="16"/>
                <w:lang w:val="en-AU"/>
              </w:rPr>
              <w:t>of</w:t>
            </w:r>
            <w:r w:rsidRPr="00D142D9">
              <w:rPr>
                <w:b/>
                <w:spacing w:val="-6"/>
                <w:sz w:val="16"/>
                <w:lang w:val="en-AU"/>
              </w:rPr>
              <w:t xml:space="preserve"> </w:t>
            </w:r>
            <w:r w:rsidRPr="00D142D9">
              <w:rPr>
                <w:b/>
                <w:spacing w:val="-2"/>
                <w:sz w:val="16"/>
                <w:lang w:val="en-AU"/>
              </w:rPr>
              <w:t>information</w:t>
            </w:r>
          </w:p>
        </w:tc>
        <w:tc>
          <w:tcPr>
            <w:tcW w:w="2520" w:type="dxa"/>
          </w:tcPr>
          <w:p w14:paraId="1F7A859E" w14:textId="77777777" w:rsidR="004E712A" w:rsidRPr="00D142D9" w:rsidRDefault="004E712A">
            <w:pPr>
              <w:pStyle w:val="TableParagraph"/>
              <w:spacing w:before="101"/>
              <w:rPr>
                <w:sz w:val="16"/>
                <w:lang w:val="en-AU"/>
              </w:rPr>
            </w:pPr>
            <w:r w:rsidRPr="00D142D9">
              <w:rPr>
                <w:sz w:val="16"/>
                <w:lang w:val="en-AU"/>
              </w:rPr>
              <w:t>ARRs</w:t>
            </w:r>
            <w:r w:rsidRPr="00D142D9">
              <w:rPr>
                <w:spacing w:val="-2"/>
                <w:sz w:val="16"/>
                <w:lang w:val="en-AU"/>
              </w:rPr>
              <w:t xml:space="preserve"> </w:t>
            </w:r>
            <w:r w:rsidRPr="00D142D9">
              <w:rPr>
                <w:sz w:val="16"/>
                <w:lang w:val="en-AU"/>
              </w:rPr>
              <w:t>–</w:t>
            </w:r>
            <w:r w:rsidRPr="00D142D9">
              <w:rPr>
                <w:spacing w:val="-5"/>
                <w:sz w:val="16"/>
                <w:lang w:val="en-AU"/>
              </w:rPr>
              <w:t xml:space="preserve"> </w:t>
            </w:r>
            <w:r w:rsidRPr="00D142D9">
              <w:rPr>
                <w:sz w:val="16"/>
                <w:lang w:val="en-AU"/>
              </w:rPr>
              <w:t>section</w:t>
            </w:r>
            <w:r w:rsidRPr="00D142D9">
              <w:rPr>
                <w:spacing w:val="-3"/>
                <w:sz w:val="16"/>
                <w:lang w:val="en-AU"/>
              </w:rPr>
              <w:t xml:space="preserve"> </w:t>
            </w:r>
            <w:r w:rsidRPr="00D142D9">
              <w:rPr>
                <w:spacing w:val="-5"/>
                <w:sz w:val="16"/>
                <w:lang w:val="en-AU"/>
              </w:rPr>
              <w:t>16</w:t>
            </w:r>
          </w:p>
        </w:tc>
        <w:tc>
          <w:tcPr>
            <w:tcW w:w="1591" w:type="dxa"/>
          </w:tcPr>
          <w:p w14:paraId="3A64BFD0" w14:textId="649B74F1" w:rsidR="004E712A" w:rsidRPr="00D142D9" w:rsidRDefault="00222AE5" w:rsidP="007D372B">
            <w:pPr>
              <w:pStyle w:val="TableParagraph"/>
              <w:spacing w:before="101"/>
              <w:rPr>
                <w:sz w:val="16"/>
                <w:lang w:val="en-AU"/>
              </w:rPr>
            </w:pPr>
            <w:proofErr w:type="spellStart"/>
            <w:r>
              <w:rPr>
                <w:sz w:val="16"/>
                <w:lang w:val="en-AU"/>
              </w:rPr>
              <w:t>i</w:t>
            </w:r>
            <w:proofErr w:type="spellEnd"/>
          </w:p>
        </w:tc>
      </w:tr>
      <w:tr w:rsidR="004E712A" w:rsidRPr="00703A0B" w14:paraId="06A203DA" w14:textId="77777777">
        <w:trPr>
          <w:trHeight w:val="393"/>
        </w:trPr>
        <w:tc>
          <w:tcPr>
            <w:tcW w:w="1548" w:type="dxa"/>
            <w:vMerge/>
          </w:tcPr>
          <w:p w14:paraId="3B7F856A" w14:textId="77777777" w:rsidR="004E712A" w:rsidRPr="00703A0B" w:rsidRDefault="004E712A">
            <w:pPr>
              <w:rPr>
                <w:sz w:val="2"/>
                <w:szCs w:val="2"/>
              </w:rPr>
            </w:pPr>
          </w:p>
        </w:tc>
        <w:tc>
          <w:tcPr>
            <w:tcW w:w="4265" w:type="dxa"/>
          </w:tcPr>
          <w:p w14:paraId="262DFAB1" w14:textId="77777777" w:rsidR="004E712A" w:rsidRPr="00D142D9" w:rsidRDefault="004E712A" w:rsidP="00A836CF">
            <w:pPr>
              <w:pStyle w:val="TableParagraph"/>
              <w:numPr>
                <w:ilvl w:val="0"/>
                <w:numId w:val="45"/>
              </w:numPr>
              <w:tabs>
                <w:tab w:val="left" w:pos="354"/>
              </w:tabs>
              <w:ind w:left="354" w:hanging="251"/>
              <w:rPr>
                <w:b/>
                <w:sz w:val="16"/>
                <w:lang w:val="en-AU"/>
              </w:rPr>
            </w:pPr>
            <w:r w:rsidRPr="00D142D9">
              <w:rPr>
                <w:b/>
                <w:spacing w:val="-2"/>
                <w:sz w:val="16"/>
                <w:lang w:val="en-AU"/>
              </w:rPr>
              <w:t>Consultancies</w:t>
            </w:r>
          </w:p>
        </w:tc>
        <w:tc>
          <w:tcPr>
            <w:tcW w:w="2520" w:type="dxa"/>
          </w:tcPr>
          <w:p w14:paraId="4CF72135" w14:textId="77777777" w:rsidR="004E712A" w:rsidRPr="00D142D9" w:rsidRDefault="004E712A">
            <w:pPr>
              <w:pStyle w:val="TableParagraph"/>
              <w:spacing w:before="101"/>
              <w:rPr>
                <w:sz w:val="16"/>
                <w:lang w:val="en-AU"/>
              </w:rPr>
            </w:pPr>
            <w:r w:rsidRPr="00D142D9">
              <w:rPr>
                <w:sz w:val="16"/>
                <w:lang w:val="en-AU"/>
              </w:rPr>
              <w:t>ARRs</w:t>
            </w:r>
            <w:r w:rsidRPr="00D142D9">
              <w:rPr>
                <w:spacing w:val="-4"/>
                <w:sz w:val="16"/>
                <w:lang w:val="en-AU"/>
              </w:rPr>
              <w:t xml:space="preserve"> </w:t>
            </w:r>
            <w:r w:rsidRPr="00D142D9">
              <w:rPr>
                <w:sz w:val="16"/>
                <w:lang w:val="en-AU"/>
              </w:rPr>
              <w:t>–</w:t>
            </w:r>
            <w:r w:rsidRPr="00D142D9">
              <w:rPr>
                <w:spacing w:val="-5"/>
                <w:sz w:val="16"/>
                <w:lang w:val="en-AU"/>
              </w:rPr>
              <w:t xml:space="preserve"> </w:t>
            </w:r>
            <w:r w:rsidRPr="00D142D9">
              <w:rPr>
                <w:sz w:val="16"/>
                <w:lang w:val="en-AU"/>
              </w:rPr>
              <w:t>section</w:t>
            </w:r>
            <w:r w:rsidRPr="00D142D9">
              <w:rPr>
                <w:spacing w:val="-3"/>
                <w:sz w:val="16"/>
                <w:lang w:val="en-AU"/>
              </w:rPr>
              <w:t xml:space="preserve"> </w:t>
            </w:r>
            <w:r w:rsidRPr="00D142D9">
              <w:rPr>
                <w:spacing w:val="-4"/>
                <w:sz w:val="16"/>
                <w:lang w:val="en-AU"/>
              </w:rPr>
              <w:t>31.1</w:t>
            </w:r>
          </w:p>
        </w:tc>
        <w:tc>
          <w:tcPr>
            <w:tcW w:w="1591" w:type="dxa"/>
          </w:tcPr>
          <w:p w14:paraId="3FC1BDFA" w14:textId="77777777" w:rsidR="004E712A" w:rsidRPr="00D142D9" w:rsidRDefault="004E712A" w:rsidP="00222AE5">
            <w:pPr>
              <w:pStyle w:val="TableParagraph"/>
              <w:spacing w:before="101"/>
              <w:rPr>
                <w:sz w:val="12"/>
                <w:szCs w:val="12"/>
                <w:lang w:val="en-AU"/>
              </w:rPr>
            </w:pPr>
            <w:r w:rsidRPr="00D142D9">
              <w:rPr>
                <w:sz w:val="12"/>
                <w:szCs w:val="12"/>
                <w:lang w:val="en-AU"/>
              </w:rPr>
              <w:t>https://data.qld.gov.au</w:t>
            </w:r>
          </w:p>
        </w:tc>
      </w:tr>
      <w:tr w:rsidR="004E712A" w:rsidRPr="00703A0B" w14:paraId="04D9BDD1" w14:textId="77777777">
        <w:trPr>
          <w:trHeight w:val="396"/>
        </w:trPr>
        <w:tc>
          <w:tcPr>
            <w:tcW w:w="1548" w:type="dxa"/>
            <w:vMerge/>
          </w:tcPr>
          <w:p w14:paraId="107A887B" w14:textId="77777777" w:rsidR="004E712A" w:rsidRPr="00703A0B" w:rsidRDefault="004E712A">
            <w:pPr>
              <w:rPr>
                <w:sz w:val="2"/>
                <w:szCs w:val="2"/>
              </w:rPr>
            </w:pPr>
          </w:p>
        </w:tc>
        <w:tc>
          <w:tcPr>
            <w:tcW w:w="4265" w:type="dxa"/>
          </w:tcPr>
          <w:p w14:paraId="47D298B2" w14:textId="77777777" w:rsidR="004E712A" w:rsidRPr="00D142D9" w:rsidRDefault="004E712A" w:rsidP="00A836CF">
            <w:pPr>
              <w:pStyle w:val="TableParagraph"/>
              <w:numPr>
                <w:ilvl w:val="0"/>
                <w:numId w:val="44"/>
              </w:numPr>
              <w:tabs>
                <w:tab w:val="left" w:pos="354"/>
              </w:tabs>
              <w:spacing w:before="103"/>
              <w:ind w:left="354" w:hanging="251"/>
              <w:rPr>
                <w:b/>
                <w:sz w:val="16"/>
                <w:lang w:val="en-AU"/>
              </w:rPr>
            </w:pPr>
            <w:r w:rsidRPr="00D142D9">
              <w:rPr>
                <w:b/>
                <w:sz w:val="16"/>
                <w:lang w:val="en-AU"/>
              </w:rPr>
              <w:t>Overseas</w:t>
            </w:r>
            <w:r w:rsidRPr="00D142D9">
              <w:rPr>
                <w:b/>
                <w:spacing w:val="-7"/>
                <w:sz w:val="16"/>
                <w:lang w:val="en-AU"/>
              </w:rPr>
              <w:t xml:space="preserve"> </w:t>
            </w:r>
            <w:r w:rsidRPr="00D142D9">
              <w:rPr>
                <w:b/>
                <w:spacing w:val="-2"/>
                <w:sz w:val="16"/>
                <w:lang w:val="en-AU"/>
              </w:rPr>
              <w:t>travel</w:t>
            </w:r>
          </w:p>
        </w:tc>
        <w:tc>
          <w:tcPr>
            <w:tcW w:w="2520" w:type="dxa"/>
          </w:tcPr>
          <w:p w14:paraId="7538BF79" w14:textId="77777777" w:rsidR="004E712A" w:rsidRPr="00D142D9" w:rsidRDefault="004E712A">
            <w:pPr>
              <w:pStyle w:val="TableParagraph"/>
              <w:spacing w:before="104"/>
              <w:rPr>
                <w:sz w:val="16"/>
                <w:lang w:val="en-AU"/>
              </w:rPr>
            </w:pPr>
            <w:r w:rsidRPr="00D142D9">
              <w:rPr>
                <w:sz w:val="16"/>
                <w:lang w:val="en-AU"/>
              </w:rPr>
              <w:t>ARRs</w:t>
            </w:r>
            <w:r w:rsidRPr="00D142D9">
              <w:rPr>
                <w:spacing w:val="-4"/>
                <w:sz w:val="16"/>
                <w:lang w:val="en-AU"/>
              </w:rPr>
              <w:t xml:space="preserve"> </w:t>
            </w:r>
            <w:r w:rsidRPr="00D142D9">
              <w:rPr>
                <w:sz w:val="16"/>
                <w:lang w:val="en-AU"/>
              </w:rPr>
              <w:t>–</w:t>
            </w:r>
            <w:r w:rsidRPr="00D142D9">
              <w:rPr>
                <w:spacing w:val="-5"/>
                <w:sz w:val="16"/>
                <w:lang w:val="en-AU"/>
              </w:rPr>
              <w:t xml:space="preserve"> </w:t>
            </w:r>
            <w:r w:rsidRPr="00D142D9">
              <w:rPr>
                <w:sz w:val="16"/>
                <w:lang w:val="en-AU"/>
              </w:rPr>
              <w:t>section</w:t>
            </w:r>
            <w:r w:rsidRPr="00D142D9">
              <w:rPr>
                <w:spacing w:val="-3"/>
                <w:sz w:val="16"/>
                <w:lang w:val="en-AU"/>
              </w:rPr>
              <w:t xml:space="preserve"> </w:t>
            </w:r>
            <w:r w:rsidRPr="00D142D9">
              <w:rPr>
                <w:spacing w:val="-4"/>
                <w:sz w:val="16"/>
                <w:lang w:val="en-AU"/>
              </w:rPr>
              <w:t>31.2</w:t>
            </w:r>
          </w:p>
        </w:tc>
        <w:tc>
          <w:tcPr>
            <w:tcW w:w="1591" w:type="dxa"/>
          </w:tcPr>
          <w:p w14:paraId="1D168ADB" w14:textId="2CB274C5" w:rsidR="004E712A" w:rsidRPr="00D142D9" w:rsidRDefault="00AC1559" w:rsidP="00C931AE">
            <w:pPr>
              <w:pStyle w:val="TableParagraph"/>
              <w:spacing w:before="101"/>
              <w:rPr>
                <w:sz w:val="16"/>
                <w:lang w:val="en-AU"/>
              </w:rPr>
            </w:pPr>
            <w:r w:rsidRPr="00D142D9">
              <w:rPr>
                <w:sz w:val="16"/>
                <w:lang w:val="en-AU"/>
              </w:rPr>
              <w:t>44</w:t>
            </w:r>
          </w:p>
        </w:tc>
      </w:tr>
      <w:tr w:rsidR="004E712A" w:rsidRPr="00703A0B" w14:paraId="7C13A7F7" w14:textId="77777777">
        <w:trPr>
          <w:trHeight w:val="395"/>
        </w:trPr>
        <w:tc>
          <w:tcPr>
            <w:tcW w:w="1548" w:type="dxa"/>
            <w:vMerge/>
          </w:tcPr>
          <w:p w14:paraId="3053AEA1" w14:textId="77777777" w:rsidR="004E712A" w:rsidRPr="00703A0B" w:rsidRDefault="004E712A">
            <w:pPr>
              <w:rPr>
                <w:sz w:val="2"/>
                <w:szCs w:val="2"/>
              </w:rPr>
            </w:pPr>
          </w:p>
        </w:tc>
        <w:tc>
          <w:tcPr>
            <w:tcW w:w="4265" w:type="dxa"/>
          </w:tcPr>
          <w:p w14:paraId="155F16B4" w14:textId="77777777" w:rsidR="004E712A" w:rsidRPr="00D142D9" w:rsidRDefault="004E712A" w:rsidP="00A836CF">
            <w:pPr>
              <w:pStyle w:val="TableParagraph"/>
              <w:numPr>
                <w:ilvl w:val="0"/>
                <w:numId w:val="43"/>
              </w:numPr>
              <w:tabs>
                <w:tab w:val="left" w:pos="354"/>
              </w:tabs>
              <w:ind w:left="354" w:hanging="251"/>
              <w:rPr>
                <w:b/>
                <w:sz w:val="16"/>
                <w:lang w:val="en-AU"/>
              </w:rPr>
            </w:pPr>
            <w:r w:rsidRPr="00D142D9">
              <w:rPr>
                <w:b/>
                <w:sz w:val="16"/>
                <w:lang w:val="en-AU"/>
              </w:rPr>
              <w:t>Queensland</w:t>
            </w:r>
            <w:r w:rsidRPr="00D142D9">
              <w:rPr>
                <w:b/>
                <w:spacing w:val="-8"/>
                <w:sz w:val="16"/>
                <w:lang w:val="en-AU"/>
              </w:rPr>
              <w:t xml:space="preserve"> </w:t>
            </w:r>
            <w:r w:rsidRPr="00D142D9">
              <w:rPr>
                <w:b/>
                <w:sz w:val="16"/>
                <w:lang w:val="en-AU"/>
              </w:rPr>
              <w:t>Language</w:t>
            </w:r>
            <w:r w:rsidRPr="00D142D9">
              <w:rPr>
                <w:b/>
                <w:spacing w:val="-8"/>
                <w:sz w:val="16"/>
                <w:lang w:val="en-AU"/>
              </w:rPr>
              <w:t xml:space="preserve"> </w:t>
            </w:r>
            <w:r w:rsidRPr="00D142D9">
              <w:rPr>
                <w:b/>
                <w:sz w:val="16"/>
                <w:lang w:val="en-AU"/>
              </w:rPr>
              <w:t>Services</w:t>
            </w:r>
            <w:r w:rsidRPr="00D142D9">
              <w:rPr>
                <w:b/>
                <w:spacing w:val="-8"/>
                <w:sz w:val="16"/>
                <w:lang w:val="en-AU"/>
              </w:rPr>
              <w:t xml:space="preserve"> </w:t>
            </w:r>
            <w:r w:rsidRPr="00D142D9">
              <w:rPr>
                <w:b/>
                <w:spacing w:val="-2"/>
                <w:sz w:val="16"/>
                <w:lang w:val="en-AU"/>
              </w:rPr>
              <w:t>Policy</w:t>
            </w:r>
          </w:p>
        </w:tc>
        <w:tc>
          <w:tcPr>
            <w:tcW w:w="2520" w:type="dxa"/>
          </w:tcPr>
          <w:p w14:paraId="7BF6C46A" w14:textId="77777777" w:rsidR="004E712A" w:rsidRPr="00D142D9" w:rsidRDefault="004E712A">
            <w:pPr>
              <w:pStyle w:val="TableParagraph"/>
              <w:spacing w:before="101"/>
              <w:rPr>
                <w:sz w:val="16"/>
                <w:lang w:val="en-AU"/>
              </w:rPr>
            </w:pPr>
            <w:r w:rsidRPr="00D142D9">
              <w:rPr>
                <w:sz w:val="16"/>
                <w:lang w:val="en-AU"/>
              </w:rPr>
              <w:t>ARRs</w:t>
            </w:r>
            <w:r w:rsidRPr="00D142D9">
              <w:rPr>
                <w:spacing w:val="-4"/>
                <w:sz w:val="16"/>
                <w:lang w:val="en-AU"/>
              </w:rPr>
              <w:t xml:space="preserve"> </w:t>
            </w:r>
            <w:r w:rsidRPr="00D142D9">
              <w:rPr>
                <w:sz w:val="16"/>
                <w:lang w:val="en-AU"/>
              </w:rPr>
              <w:t>–</w:t>
            </w:r>
            <w:r w:rsidRPr="00D142D9">
              <w:rPr>
                <w:spacing w:val="-5"/>
                <w:sz w:val="16"/>
                <w:lang w:val="en-AU"/>
              </w:rPr>
              <w:t xml:space="preserve"> </w:t>
            </w:r>
            <w:r w:rsidRPr="00D142D9">
              <w:rPr>
                <w:sz w:val="16"/>
                <w:lang w:val="en-AU"/>
              </w:rPr>
              <w:t>section</w:t>
            </w:r>
            <w:r w:rsidRPr="00D142D9">
              <w:rPr>
                <w:spacing w:val="-3"/>
                <w:sz w:val="16"/>
                <w:lang w:val="en-AU"/>
              </w:rPr>
              <w:t xml:space="preserve"> </w:t>
            </w:r>
            <w:r w:rsidRPr="00D142D9">
              <w:rPr>
                <w:spacing w:val="-4"/>
                <w:sz w:val="16"/>
                <w:lang w:val="en-AU"/>
              </w:rPr>
              <w:t>31.3</w:t>
            </w:r>
          </w:p>
        </w:tc>
        <w:tc>
          <w:tcPr>
            <w:tcW w:w="1591" w:type="dxa"/>
          </w:tcPr>
          <w:p w14:paraId="44DA0C38" w14:textId="77777777" w:rsidR="004E712A" w:rsidRPr="00D142D9" w:rsidRDefault="004E712A" w:rsidP="00222AE5">
            <w:pPr>
              <w:pStyle w:val="TableParagraph"/>
              <w:spacing w:before="101"/>
              <w:rPr>
                <w:sz w:val="12"/>
                <w:szCs w:val="12"/>
                <w:lang w:val="en-AU"/>
              </w:rPr>
            </w:pPr>
            <w:r w:rsidRPr="00D142D9">
              <w:rPr>
                <w:sz w:val="12"/>
                <w:szCs w:val="12"/>
                <w:lang w:val="en-AU"/>
              </w:rPr>
              <w:t>https://data.qld.gov.au</w:t>
            </w:r>
          </w:p>
        </w:tc>
      </w:tr>
      <w:tr w:rsidR="004E712A" w:rsidRPr="00703A0B" w14:paraId="2626E5C7" w14:textId="77777777">
        <w:trPr>
          <w:trHeight w:val="666"/>
        </w:trPr>
        <w:tc>
          <w:tcPr>
            <w:tcW w:w="1548" w:type="dxa"/>
            <w:vMerge/>
          </w:tcPr>
          <w:p w14:paraId="191FB6F4" w14:textId="77777777" w:rsidR="004E712A" w:rsidRPr="00703A0B" w:rsidRDefault="004E712A">
            <w:pPr>
              <w:rPr>
                <w:sz w:val="2"/>
                <w:szCs w:val="2"/>
              </w:rPr>
            </w:pPr>
          </w:p>
        </w:tc>
        <w:tc>
          <w:tcPr>
            <w:tcW w:w="4265" w:type="dxa"/>
          </w:tcPr>
          <w:p w14:paraId="70BA6ACE" w14:textId="77777777" w:rsidR="004E712A" w:rsidRPr="00D142D9" w:rsidRDefault="004E712A" w:rsidP="00A836CF">
            <w:pPr>
              <w:pStyle w:val="TableParagraph"/>
              <w:numPr>
                <w:ilvl w:val="0"/>
                <w:numId w:val="42"/>
              </w:numPr>
              <w:tabs>
                <w:tab w:val="left" w:pos="354"/>
              </w:tabs>
              <w:ind w:left="354" w:hanging="251"/>
              <w:rPr>
                <w:b/>
                <w:sz w:val="16"/>
                <w:lang w:val="en-AU"/>
              </w:rPr>
            </w:pPr>
            <w:r w:rsidRPr="00D142D9">
              <w:rPr>
                <w:b/>
                <w:sz w:val="16"/>
                <w:lang w:val="en-AU"/>
              </w:rPr>
              <w:t>Charter</w:t>
            </w:r>
            <w:r w:rsidRPr="00D142D9">
              <w:rPr>
                <w:b/>
                <w:spacing w:val="-5"/>
                <w:sz w:val="16"/>
                <w:lang w:val="en-AU"/>
              </w:rPr>
              <w:t xml:space="preserve"> </w:t>
            </w:r>
            <w:r w:rsidRPr="00D142D9">
              <w:rPr>
                <w:b/>
                <w:sz w:val="16"/>
                <w:lang w:val="en-AU"/>
              </w:rPr>
              <w:t>of</w:t>
            </w:r>
            <w:r w:rsidRPr="00D142D9">
              <w:rPr>
                <w:b/>
                <w:spacing w:val="-4"/>
                <w:sz w:val="16"/>
                <w:lang w:val="en-AU"/>
              </w:rPr>
              <w:t xml:space="preserve"> </w:t>
            </w:r>
            <w:r w:rsidRPr="00D142D9">
              <w:rPr>
                <w:b/>
                <w:sz w:val="16"/>
                <w:lang w:val="en-AU"/>
              </w:rPr>
              <w:t>Victims’</w:t>
            </w:r>
            <w:r w:rsidRPr="00D142D9">
              <w:rPr>
                <w:b/>
                <w:spacing w:val="-5"/>
                <w:sz w:val="16"/>
                <w:lang w:val="en-AU"/>
              </w:rPr>
              <w:t xml:space="preserve"> </w:t>
            </w:r>
            <w:r w:rsidRPr="00D142D9">
              <w:rPr>
                <w:b/>
                <w:spacing w:val="-2"/>
                <w:sz w:val="16"/>
                <w:lang w:val="en-AU"/>
              </w:rPr>
              <w:t>Rights</w:t>
            </w:r>
          </w:p>
        </w:tc>
        <w:tc>
          <w:tcPr>
            <w:tcW w:w="2520" w:type="dxa"/>
          </w:tcPr>
          <w:p w14:paraId="3AA05B92" w14:textId="77777777" w:rsidR="004E712A" w:rsidRPr="00D142D9" w:rsidRDefault="004E712A">
            <w:pPr>
              <w:pStyle w:val="TableParagraph"/>
              <w:spacing w:before="101"/>
              <w:rPr>
                <w:i/>
                <w:sz w:val="16"/>
                <w:lang w:val="en-AU"/>
              </w:rPr>
            </w:pPr>
            <w:r w:rsidRPr="00D142D9">
              <w:rPr>
                <w:i/>
                <w:sz w:val="16"/>
                <w:lang w:val="en-AU"/>
              </w:rPr>
              <w:t>VCSVRB</w:t>
            </w:r>
            <w:r w:rsidRPr="00D142D9">
              <w:rPr>
                <w:i/>
                <w:spacing w:val="-5"/>
                <w:sz w:val="16"/>
                <w:lang w:val="en-AU"/>
              </w:rPr>
              <w:t xml:space="preserve"> </w:t>
            </w:r>
            <w:r w:rsidRPr="00D142D9">
              <w:rPr>
                <w:i/>
                <w:sz w:val="16"/>
                <w:lang w:val="en-AU"/>
              </w:rPr>
              <w:t>Act</w:t>
            </w:r>
            <w:r w:rsidRPr="00D142D9">
              <w:rPr>
                <w:i/>
                <w:spacing w:val="-2"/>
                <w:sz w:val="16"/>
                <w:lang w:val="en-AU"/>
              </w:rPr>
              <w:t xml:space="preserve"> </w:t>
            </w:r>
            <w:r w:rsidRPr="00D142D9">
              <w:rPr>
                <w:i/>
                <w:spacing w:val="-4"/>
                <w:sz w:val="16"/>
                <w:lang w:val="en-AU"/>
              </w:rPr>
              <w:t>2024</w:t>
            </w:r>
          </w:p>
          <w:p w14:paraId="34E5B7E5" w14:textId="77777777" w:rsidR="004E712A" w:rsidRPr="00D142D9" w:rsidRDefault="004E712A">
            <w:pPr>
              <w:pStyle w:val="TableParagraph"/>
              <w:rPr>
                <w:sz w:val="16"/>
                <w:lang w:val="en-AU"/>
              </w:rPr>
            </w:pPr>
            <w:r w:rsidRPr="00D142D9">
              <w:rPr>
                <w:sz w:val="16"/>
                <w:lang w:val="en-AU"/>
              </w:rPr>
              <w:t>ARRs</w:t>
            </w:r>
            <w:r w:rsidRPr="00D142D9">
              <w:rPr>
                <w:spacing w:val="-4"/>
                <w:sz w:val="16"/>
                <w:lang w:val="en-AU"/>
              </w:rPr>
              <w:t xml:space="preserve"> </w:t>
            </w:r>
            <w:r w:rsidRPr="00D142D9">
              <w:rPr>
                <w:sz w:val="16"/>
                <w:lang w:val="en-AU"/>
              </w:rPr>
              <w:t>–</w:t>
            </w:r>
            <w:r w:rsidRPr="00D142D9">
              <w:rPr>
                <w:spacing w:val="-5"/>
                <w:sz w:val="16"/>
                <w:lang w:val="en-AU"/>
              </w:rPr>
              <w:t xml:space="preserve"> </w:t>
            </w:r>
            <w:r w:rsidRPr="00D142D9">
              <w:rPr>
                <w:sz w:val="16"/>
                <w:lang w:val="en-AU"/>
              </w:rPr>
              <w:t>section</w:t>
            </w:r>
            <w:r w:rsidRPr="00D142D9">
              <w:rPr>
                <w:spacing w:val="-3"/>
                <w:sz w:val="16"/>
                <w:lang w:val="en-AU"/>
              </w:rPr>
              <w:t xml:space="preserve"> </w:t>
            </w:r>
            <w:r w:rsidRPr="00D142D9">
              <w:rPr>
                <w:spacing w:val="-4"/>
                <w:sz w:val="16"/>
                <w:lang w:val="en-AU"/>
              </w:rPr>
              <w:t>31.4</w:t>
            </w:r>
          </w:p>
        </w:tc>
        <w:tc>
          <w:tcPr>
            <w:tcW w:w="1591" w:type="dxa"/>
          </w:tcPr>
          <w:p w14:paraId="6BCCAD72" w14:textId="411DC7AA" w:rsidR="004E712A" w:rsidRPr="00D142D9" w:rsidRDefault="00AC1559" w:rsidP="00C931AE">
            <w:pPr>
              <w:pStyle w:val="TableParagraph"/>
              <w:spacing w:before="101"/>
              <w:rPr>
                <w:sz w:val="16"/>
                <w:lang w:val="en-AU"/>
              </w:rPr>
            </w:pPr>
            <w:r w:rsidRPr="00D142D9">
              <w:rPr>
                <w:sz w:val="16"/>
                <w:lang w:val="en-AU"/>
              </w:rPr>
              <w:t>44</w:t>
            </w:r>
          </w:p>
        </w:tc>
      </w:tr>
      <w:tr w:rsidR="004E712A" w:rsidRPr="00703A0B" w14:paraId="74722618" w14:textId="77777777">
        <w:trPr>
          <w:trHeight w:val="952"/>
        </w:trPr>
        <w:tc>
          <w:tcPr>
            <w:tcW w:w="1548" w:type="dxa"/>
            <w:vMerge w:val="restart"/>
          </w:tcPr>
          <w:p w14:paraId="3D49C468" w14:textId="77777777" w:rsidR="004E712A" w:rsidRPr="00D142D9" w:rsidRDefault="004E712A">
            <w:pPr>
              <w:pStyle w:val="TableParagraph"/>
              <w:spacing w:before="99" w:line="244" w:lineRule="auto"/>
              <w:ind w:left="107"/>
              <w:rPr>
                <w:b/>
                <w:sz w:val="16"/>
                <w:lang w:val="en-AU"/>
              </w:rPr>
            </w:pPr>
            <w:r w:rsidRPr="00D142D9">
              <w:rPr>
                <w:b/>
                <w:spacing w:val="-2"/>
                <w:sz w:val="16"/>
                <w:lang w:val="en-AU"/>
              </w:rPr>
              <w:t>Financial statements</w:t>
            </w:r>
          </w:p>
        </w:tc>
        <w:tc>
          <w:tcPr>
            <w:tcW w:w="4265" w:type="dxa"/>
          </w:tcPr>
          <w:p w14:paraId="52009DB3" w14:textId="77777777" w:rsidR="004E712A" w:rsidRPr="00D142D9" w:rsidRDefault="004E712A" w:rsidP="00A836CF">
            <w:pPr>
              <w:pStyle w:val="TableParagraph"/>
              <w:numPr>
                <w:ilvl w:val="0"/>
                <w:numId w:val="41"/>
              </w:numPr>
              <w:tabs>
                <w:tab w:val="left" w:pos="354"/>
              </w:tabs>
              <w:ind w:left="354" w:hanging="251"/>
              <w:rPr>
                <w:b/>
                <w:sz w:val="16"/>
                <w:lang w:val="en-AU"/>
              </w:rPr>
            </w:pPr>
            <w:r w:rsidRPr="00D142D9">
              <w:rPr>
                <w:b/>
                <w:sz w:val="16"/>
                <w:lang w:val="en-AU"/>
              </w:rPr>
              <w:t>Certification</w:t>
            </w:r>
            <w:r w:rsidRPr="00D142D9">
              <w:rPr>
                <w:b/>
                <w:spacing w:val="-8"/>
                <w:sz w:val="16"/>
                <w:lang w:val="en-AU"/>
              </w:rPr>
              <w:t xml:space="preserve"> </w:t>
            </w:r>
            <w:r w:rsidRPr="00D142D9">
              <w:rPr>
                <w:b/>
                <w:sz w:val="16"/>
                <w:lang w:val="en-AU"/>
              </w:rPr>
              <w:t>of</w:t>
            </w:r>
            <w:r w:rsidRPr="00D142D9">
              <w:rPr>
                <w:b/>
                <w:spacing w:val="-6"/>
                <w:sz w:val="16"/>
                <w:lang w:val="en-AU"/>
              </w:rPr>
              <w:t xml:space="preserve"> </w:t>
            </w:r>
            <w:r w:rsidRPr="00D142D9">
              <w:rPr>
                <w:b/>
                <w:sz w:val="16"/>
                <w:lang w:val="en-AU"/>
              </w:rPr>
              <w:t>financial</w:t>
            </w:r>
            <w:r w:rsidRPr="00D142D9">
              <w:rPr>
                <w:b/>
                <w:spacing w:val="-5"/>
                <w:sz w:val="16"/>
                <w:lang w:val="en-AU"/>
              </w:rPr>
              <w:t xml:space="preserve"> </w:t>
            </w:r>
            <w:r w:rsidRPr="00D142D9">
              <w:rPr>
                <w:b/>
                <w:spacing w:val="-2"/>
                <w:sz w:val="16"/>
                <w:lang w:val="en-AU"/>
              </w:rPr>
              <w:t>statements</w:t>
            </w:r>
          </w:p>
        </w:tc>
        <w:tc>
          <w:tcPr>
            <w:tcW w:w="2520" w:type="dxa"/>
          </w:tcPr>
          <w:p w14:paraId="7CAEC6A6" w14:textId="77777777" w:rsidR="004E712A" w:rsidRPr="00D142D9" w:rsidRDefault="004E712A">
            <w:pPr>
              <w:pStyle w:val="TableParagraph"/>
              <w:spacing w:before="101"/>
              <w:rPr>
                <w:sz w:val="16"/>
                <w:lang w:val="en-AU"/>
              </w:rPr>
            </w:pPr>
            <w:r w:rsidRPr="00D142D9">
              <w:rPr>
                <w:sz w:val="16"/>
                <w:lang w:val="en-AU"/>
              </w:rPr>
              <w:t>FAA</w:t>
            </w:r>
            <w:r w:rsidRPr="00D142D9">
              <w:rPr>
                <w:spacing w:val="-5"/>
                <w:sz w:val="16"/>
                <w:lang w:val="en-AU"/>
              </w:rPr>
              <w:t xml:space="preserve"> </w:t>
            </w:r>
            <w:r w:rsidRPr="00D142D9">
              <w:rPr>
                <w:sz w:val="16"/>
                <w:lang w:val="en-AU"/>
              </w:rPr>
              <w:t>–</w:t>
            </w:r>
            <w:r w:rsidRPr="00D142D9">
              <w:rPr>
                <w:spacing w:val="-4"/>
                <w:sz w:val="16"/>
                <w:lang w:val="en-AU"/>
              </w:rPr>
              <w:t xml:space="preserve"> </w:t>
            </w:r>
            <w:r w:rsidRPr="00D142D9">
              <w:rPr>
                <w:sz w:val="16"/>
                <w:lang w:val="en-AU"/>
              </w:rPr>
              <w:t>section</w:t>
            </w:r>
            <w:r w:rsidRPr="00D142D9">
              <w:rPr>
                <w:spacing w:val="-1"/>
                <w:sz w:val="16"/>
                <w:lang w:val="en-AU"/>
              </w:rPr>
              <w:t xml:space="preserve"> </w:t>
            </w:r>
            <w:r w:rsidRPr="00D142D9">
              <w:rPr>
                <w:spacing w:val="-5"/>
                <w:sz w:val="16"/>
                <w:lang w:val="en-AU"/>
              </w:rPr>
              <w:t>62</w:t>
            </w:r>
          </w:p>
          <w:p w14:paraId="5807BA5A" w14:textId="77777777" w:rsidR="004E712A" w:rsidRPr="00D142D9" w:rsidRDefault="004E712A">
            <w:pPr>
              <w:pStyle w:val="TableParagraph"/>
              <w:spacing w:before="21" w:line="286" w:lineRule="exact"/>
              <w:rPr>
                <w:sz w:val="16"/>
                <w:lang w:val="en-AU"/>
              </w:rPr>
            </w:pPr>
            <w:r w:rsidRPr="00D142D9">
              <w:rPr>
                <w:sz w:val="16"/>
                <w:lang w:val="en-AU"/>
              </w:rPr>
              <w:t>FPMS</w:t>
            </w:r>
            <w:r w:rsidRPr="00D142D9">
              <w:rPr>
                <w:spacing w:val="-5"/>
                <w:sz w:val="16"/>
                <w:lang w:val="en-AU"/>
              </w:rPr>
              <w:t xml:space="preserve"> </w:t>
            </w:r>
            <w:r w:rsidRPr="00D142D9">
              <w:rPr>
                <w:sz w:val="16"/>
                <w:lang w:val="en-AU"/>
              </w:rPr>
              <w:t>–</w:t>
            </w:r>
            <w:r w:rsidRPr="00D142D9">
              <w:rPr>
                <w:spacing w:val="-8"/>
                <w:sz w:val="16"/>
                <w:lang w:val="en-AU"/>
              </w:rPr>
              <w:t xml:space="preserve"> </w:t>
            </w:r>
            <w:r w:rsidRPr="00D142D9">
              <w:rPr>
                <w:sz w:val="16"/>
                <w:lang w:val="en-AU"/>
              </w:rPr>
              <w:t>sections</w:t>
            </w:r>
            <w:r w:rsidRPr="00D142D9">
              <w:rPr>
                <w:spacing w:val="-6"/>
                <w:sz w:val="16"/>
                <w:lang w:val="en-AU"/>
              </w:rPr>
              <w:t xml:space="preserve"> </w:t>
            </w:r>
            <w:r w:rsidRPr="00D142D9">
              <w:rPr>
                <w:sz w:val="16"/>
                <w:lang w:val="en-AU"/>
              </w:rPr>
              <w:t>38,</w:t>
            </w:r>
            <w:r w:rsidRPr="00D142D9">
              <w:rPr>
                <w:spacing w:val="-5"/>
                <w:sz w:val="16"/>
                <w:lang w:val="en-AU"/>
              </w:rPr>
              <w:t xml:space="preserve"> </w:t>
            </w:r>
            <w:r w:rsidRPr="00D142D9">
              <w:rPr>
                <w:sz w:val="16"/>
                <w:lang w:val="en-AU"/>
              </w:rPr>
              <w:t>39</w:t>
            </w:r>
            <w:r w:rsidRPr="00D142D9">
              <w:rPr>
                <w:spacing w:val="-8"/>
                <w:sz w:val="16"/>
                <w:lang w:val="en-AU"/>
              </w:rPr>
              <w:t xml:space="preserve"> </w:t>
            </w:r>
            <w:r w:rsidRPr="00D142D9">
              <w:rPr>
                <w:sz w:val="16"/>
                <w:lang w:val="en-AU"/>
              </w:rPr>
              <w:t>and</w:t>
            </w:r>
            <w:r w:rsidRPr="00D142D9">
              <w:rPr>
                <w:spacing w:val="-6"/>
                <w:sz w:val="16"/>
                <w:lang w:val="en-AU"/>
              </w:rPr>
              <w:t xml:space="preserve"> </w:t>
            </w:r>
            <w:r w:rsidRPr="00D142D9">
              <w:rPr>
                <w:sz w:val="16"/>
                <w:lang w:val="en-AU"/>
              </w:rPr>
              <w:t>46 ARRs – section 17.1</w:t>
            </w:r>
          </w:p>
        </w:tc>
        <w:tc>
          <w:tcPr>
            <w:tcW w:w="1591" w:type="dxa"/>
          </w:tcPr>
          <w:p w14:paraId="3B84E5D6" w14:textId="270540EE" w:rsidR="004E712A" w:rsidRPr="00D142D9" w:rsidRDefault="00B002D8" w:rsidP="007D372B">
            <w:pPr>
              <w:pStyle w:val="TableParagraph"/>
              <w:spacing w:before="101"/>
              <w:rPr>
                <w:sz w:val="16"/>
                <w:lang w:val="en-AU"/>
              </w:rPr>
            </w:pPr>
            <w:r w:rsidRPr="00D142D9">
              <w:rPr>
                <w:sz w:val="16"/>
                <w:lang w:val="en-AU"/>
              </w:rPr>
              <w:t>9</w:t>
            </w:r>
            <w:r w:rsidR="009C3E54" w:rsidRPr="00D142D9">
              <w:rPr>
                <w:sz w:val="16"/>
                <w:lang w:val="en-AU"/>
              </w:rPr>
              <w:t>5</w:t>
            </w:r>
          </w:p>
        </w:tc>
      </w:tr>
      <w:tr w:rsidR="004E712A" w:rsidRPr="00703A0B" w14:paraId="6D88EDA6" w14:textId="77777777">
        <w:trPr>
          <w:trHeight w:val="952"/>
        </w:trPr>
        <w:tc>
          <w:tcPr>
            <w:tcW w:w="1548" w:type="dxa"/>
            <w:vMerge/>
          </w:tcPr>
          <w:p w14:paraId="5A2C6160" w14:textId="77777777" w:rsidR="004E712A" w:rsidRPr="00703A0B" w:rsidRDefault="004E712A">
            <w:pPr>
              <w:rPr>
                <w:sz w:val="2"/>
                <w:szCs w:val="2"/>
              </w:rPr>
            </w:pPr>
          </w:p>
        </w:tc>
        <w:tc>
          <w:tcPr>
            <w:tcW w:w="4265" w:type="dxa"/>
          </w:tcPr>
          <w:p w14:paraId="73A0870C" w14:textId="77777777" w:rsidR="004E712A" w:rsidRPr="00D142D9" w:rsidRDefault="004E712A" w:rsidP="00A836CF">
            <w:pPr>
              <w:pStyle w:val="TableParagraph"/>
              <w:numPr>
                <w:ilvl w:val="0"/>
                <w:numId w:val="40"/>
              </w:numPr>
              <w:tabs>
                <w:tab w:val="left" w:pos="354"/>
              </w:tabs>
              <w:ind w:left="354" w:hanging="251"/>
              <w:rPr>
                <w:b/>
                <w:sz w:val="16"/>
                <w:lang w:val="en-AU"/>
              </w:rPr>
            </w:pPr>
            <w:r w:rsidRPr="00D142D9">
              <w:rPr>
                <w:b/>
                <w:sz w:val="16"/>
                <w:lang w:val="en-AU"/>
              </w:rPr>
              <w:t>Independent</w:t>
            </w:r>
            <w:r w:rsidRPr="00D142D9">
              <w:rPr>
                <w:b/>
                <w:spacing w:val="-9"/>
                <w:sz w:val="16"/>
                <w:lang w:val="en-AU"/>
              </w:rPr>
              <w:t xml:space="preserve"> </w:t>
            </w:r>
            <w:r w:rsidRPr="00D142D9">
              <w:rPr>
                <w:b/>
                <w:sz w:val="16"/>
                <w:lang w:val="en-AU"/>
              </w:rPr>
              <w:t>Auditor’s</w:t>
            </w:r>
            <w:r w:rsidRPr="00D142D9">
              <w:rPr>
                <w:b/>
                <w:spacing w:val="-7"/>
                <w:sz w:val="16"/>
                <w:lang w:val="en-AU"/>
              </w:rPr>
              <w:t xml:space="preserve"> </w:t>
            </w:r>
            <w:r w:rsidRPr="00D142D9">
              <w:rPr>
                <w:b/>
                <w:spacing w:val="-2"/>
                <w:sz w:val="16"/>
                <w:lang w:val="en-AU"/>
              </w:rPr>
              <w:t>Report</w:t>
            </w:r>
          </w:p>
        </w:tc>
        <w:tc>
          <w:tcPr>
            <w:tcW w:w="2520" w:type="dxa"/>
          </w:tcPr>
          <w:p w14:paraId="7069DC21" w14:textId="77777777" w:rsidR="004E712A" w:rsidRPr="00D142D9" w:rsidRDefault="004E712A">
            <w:pPr>
              <w:pStyle w:val="TableParagraph"/>
              <w:spacing w:before="101" w:line="369" w:lineRule="auto"/>
              <w:ind w:right="763"/>
              <w:rPr>
                <w:sz w:val="16"/>
                <w:lang w:val="en-AU"/>
              </w:rPr>
            </w:pPr>
            <w:r w:rsidRPr="00D142D9">
              <w:rPr>
                <w:sz w:val="16"/>
                <w:lang w:val="en-AU"/>
              </w:rPr>
              <w:t>FAA – section 62 FPMS</w:t>
            </w:r>
            <w:r w:rsidRPr="00D142D9">
              <w:rPr>
                <w:spacing w:val="-12"/>
                <w:sz w:val="16"/>
                <w:lang w:val="en-AU"/>
              </w:rPr>
              <w:t xml:space="preserve"> </w:t>
            </w:r>
            <w:r w:rsidRPr="00D142D9">
              <w:rPr>
                <w:sz w:val="16"/>
                <w:lang w:val="en-AU"/>
              </w:rPr>
              <w:t>–</w:t>
            </w:r>
            <w:r w:rsidRPr="00D142D9">
              <w:rPr>
                <w:spacing w:val="-11"/>
                <w:sz w:val="16"/>
                <w:lang w:val="en-AU"/>
              </w:rPr>
              <w:t xml:space="preserve"> </w:t>
            </w:r>
            <w:r w:rsidRPr="00D142D9">
              <w:rPr>
                <w:sz w:val="16"/>
                <w:lang w:val="en-AU"/>
              </w:rPr>
              <w:t>section</w:t>
            </w:r>
            <w:r w:rsidRPr="00D142D9">
              <w:rPr>
                <w:spacing w:val="-11"/>
                <w:sz w:val="16"/>
                <w:lang w:val="en-AU"/>
              </w:rPr>
              <w:t xml:space="preserve"> </w:t>
            </w:r>
            <w:r w:rsidRPr="00D142D9">
              <w:rPr>
                <w:sz w:val="16"/>
                <w:lang w:val="en-AU"/>
              </w:rPr>
              <w:t>46</w:t>
            </w:r>
          </w:p>
          <w:p w14:paraId="282ED919" w14:textId="77777777" w:rsidR="004E712A" w:rsidRPr="00D142D9" w:rsidRDefault="004E712A">
            <w:pPr>
              <w:pStyle w:val="TableParagraph"/>
              <w:spacing w:before="3"/>
              <w:rPr>
                <w:sz w:val="16"/>
                <w:lang w:val="en-AU"/>
              </w:rPr>
            </w:pPr>
            <w:r w:rsidRPr="00D142D9">
              <w:rPr>
                <w:sz w:val="16"/>
                <w:lang w:val="en-AU"/>
              </w:rPr>
              <w:t>ARRs</w:t>
            </w:r>
            <w:r w:rsidRPr="00D142D9">
              <w:rPr>
                <w:spacing w:val="-4"/>
                <w:sz w:val="16"/>
                <w:lang w:val="en-AU"/>
              </w:rPr>
              <w:t xml:space="preserve"> </w:t>
            </w:r>
            <w:r w:rsidRPr="00D142D9">
              <w:rPr>
                <w:sz w:val="16"/>
                <w:lang w:val="en-AU"/>
              </w:rPr>
              <w:t>–</w:t>
            </w:r>
            <w:r w:rsidRPr="00D142D9">
              <w:rPr>
                <w:spacing w:val="-5"/>
                <w:sz w:val="16"/>
                <w:lang w:val="en-AU"/>
              </w:rPr>
              <w:t xml:space="preserve"> </w:t>
            </w:r>
            <w:r w:rsidRPr="00D142D9">
              <w:rPr>
                <w:sz w:val="16"/>
                <w:lang w:val="en-AU"/>
              </w:rPr>
              <w:t>section</w:t>
            </w:r>
            <w:r w:rsidRPr="00D142D9">
              <w:rPr>
                <w:spacing w:val="-3"/>
                <w:sz w:val="16"/>
                <w:lang w:val="en-AU"/>
              </w:rPr>
              <w:t xml:space="preserve"> </w:t>
            </w:r>
            <w:r w:rsidRPr="00D142D9">
              <w:rPr>
                <w:spacing w:val="-4"/>
                <w:sz w:val="16"/>
                <w:lang w:val="en-AU"/>
              </w:rPr>
              <w:t>17.2</w:t>
            </w:r>
          </w:p>
        </w:tc>
        <w:tc>
          <w:tcPr>
            <w:tcW w:w="1591" w:type="dxa"/>
          </w:tcPr>
          <w:p w14:paraId="284B5858" w14:textId="4CC1B0BD" w:rsidR="004E712A" w:rsidRPr="00D142D9" w:rsidRDefault="00B002D8" w:rsidP="007D372B">
            <w:pPr>
              <w:pStyle w:val="TableParagraph"/>
              <w:spacing w:before="101"/>
              <w:rPr>
                <w:sz w:val="16"/>
                <w:lang w:val="en-AU"/>
              </w:rPr>
            </w:pPr>
            <w:r w:rsidRPr="00D142D9">
              <w:rPr>
                <w:sz w:val="16"/>
                <w:lang w:val="en-AU"/>
              </w:rPr>
              <w:t>9</w:t>
            </w:r>
            <w:r w:rsidR="009C3E54" w:rsidRPr="00D142D9">
              <w:rPr>
                <w:sz w:val="16"/>
                <w:lang w:val="en-AU"/>
              </w:rPr>
              <w:t>6</w:t>
            </w:r>
          </w:p>
        </w:tc>
      </w:tr>
    </w:tbl>
    <w:p w14:paraId="111BF1E6" w14:textId="77777777" w:rsidR="006A47D4" w:rsidRPr="00703A0B" w:rsidRDefault="006A47D4" w:rsidP="006A47D4">
      <w:bookmarkStart w:id="227" w:name="_Toc206493035"/>
    </w:p>
    <w:p w14:paraId="11866F91" w14:textId="02ECF485" w:rsidR="006A47D4" w:rsidRPr="00703A0B" w:rsidRDefault="006A47D4">
      <w:pPr>
        <w:rPr>
          <w:rFonts w:eastAsiaTheme="majorEastAsia" w:cstheme="majorBidi"/>
          <w:sz w:val="48"/>
          <w:szCs w:val="32"/>
        </w:rPr>
      </w:pPr>
      <w:r w:rsidRPr="00703A0B">
        <w:br w:type="page"/>
      </w:r>
    </w:p>
    <w:p w14:paraId="1DD0F32F" w14:textId="4D39A271" w:rsidR="00FA4C90" w:rsidRPr="00703A0B" w:rsidRDefault="001F4C7E" w:rsidP="00296D4B">
      <w:pPr>
        <w:pStyle w:val="Heading1"/>
        <w:rPr>
          <w:color w:val="020A0A" w:themeColor="text1"/>
        </w:rPr>
      </w:pPr>
      <w:bookmarkStart w:id="228" w:name="_Toc238101692"/>
      <w:r w:rsidRPr="00703A0B">
        <w:lastRenderedPageBreak/>
        <w:t xml:space="preserve">Appendix B: </w:t>
      </w:r>
      <w:r w:rsidR="00DC0465" w:rsidRPr="00703A0B">
        <w:rPr>
          <w:color w:val="020A0A" w:themeColor="text1"/>
        </w:rPr>
        <w:t>Glossary</w:t>
      </w:r>
      <w:bookmarkEnd w:id="227"/>
      <w:bookmarkEnd w:id="228"/>
    </w:p>
    <w:p w14:paraId="4E49A352" w14:textId="77777777" w:rsidR="000606F4" w:rsidRPr="00703A0B" w:rsidRDefault="000606F4" w:rsidP="000606F4"/>
    <w:tbl>
      <w:tblPr>
        <w:tblStyle w:val="PlainTable4"/>
        <w:tblW w:w="10065" w:type="dxa"/>
        <w:tblCellMar>
          <w:top w:w="28" w:type="dxa"/>
          <w:bottom w:w="28" w:type="dxa"/>
        </w:tblCellMar>
        <w:tblLook w:val="04A0" w:firstRow="1" w:lastRow="0" w:firstColumn="1" w:lastColumn="0" w:noHBand="0" w:noVBand="1"/>
      </w:tblPr>
      <w:tblGrid>
        <w:gridCol w:w="2405"/>
        <w:gridCol w:w="7660"/>
      </w:tblGrid>
      <w:tr w:rsidR="00C106AF" w:rsidRPr="00703A0B" w14:paraId="4805A3E3" w14:textId="77777777" w:rsidTr="008748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hideMark/>
          </w:tcPr>
          <w:p w14:paraId="02D598FB" w14:textId="77777777" w:rsidR="00C106AF" w:rsidRPr="00703A0B" w:rsidRDefault="00C106AF" w:rsidP="00052E7D">
            <w:pPr>
              <w:rPr>
                <w:rFonts w:eastAsia="Times New Roman" w:cs="Arial"/>
                <w:color w:val="000000"/>
                <w:szCs w:val="22"/>
                <w:lang w:eastAsia="en-AU"/>
              </w:rPr>
            </w:pPr>
            <w:r w:rsidRPr="00703A0B">
              <w:rPr>
                <w:rFonts w:eastAsia="Times New Roman" w:cs="Arial"/>
                <w:color w:val="000000"/>
                <w:szCs w:val="22"/>
                <w:lang w:eastAsia="en-AU"/>
              </w:rPr>
              <w:t>Acronym</w:t>
            </w:r>
          </w:p>
        </w:tc>
        <w:tc>
          <w:tcPr>
            <w:tcW w:w="766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hideMark/>
          </w:tcPr>
          <w:p w14:paraId="575A8DFA" w14:textId="77777777" w:rsidR="00C106AF" w:rsidRPr="00703A0B" w:rsidRDefault="00C106AF" w:rsidP="00052E7D">
            <w:pPr>
              <w:cnfStyle w:val="100000000000" w:firstRow="1" w:lastRow="0" w:firstColumn="0" w:lastColumn="0" w:oddVBand="0" w:evenVBand="0" w:oddHBand="0" w:evenHBand="0" w:firstRowFirstColumn="0" w:firstRowLastColumn="0" w:lastRowFirstColumn="0" w:lastRowLastColumn="0"/>
              <w:rPr>
                <w:rFonts w:eastAsia="Times New Roman" w:cs="Arial"/>
                <w:color w:val="000000"/>
                <w:szCs w:val="22"/>
                <w:lang w:eastAsia="en-AU"/>
              </w:rPr>
            </w:pPr>
            <w:r w:rsidRPr="00703A0B">
              <w:rPr>
                <w:rFonts w:eastAsia="Times New Roman" w:cs="Arial"/>
                <w:color w:val="000000"/>
                <w:szCs w:val="22"/>
                <w:lang w:eastAsia="en-AU"/>
              </w:rPr>
              <w:t>Full title</w:t>
            </w:r>
          </w:p>
        </w:tc>
      </w:tr>
      <w:tr w:rsidR="0017794A" w:rsidRPr="00703A0B" w14:paraId="478EBB83" w14:textId="77777777" w:rsidTr="008748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27997A01" w14:textId="72E3C7D7" w:rsidR="0017794A" w:rsidRPr="00703A0B" w:rsidRDefault="0017794A" w:rsidP="0017794A">
            <w:pPr>
              <w:rPr>
                <w:rFonts w:eastAsia="Times New Roman" w:cs="Arial"/>
                <w:b w:val="0"/>
                <w:color w:val="000000"/>
                <w:szCs w:val="22"/>
                <w:lang w:eastAsia="en-AU"/>
              </w:rPr>
            </w:pPr>
            <w:r w:rsidRPr="00703A0B">
              <w:rPr>
                <w:rFonts w:eastAsia="Times New Roman" w:cs="Arial"/>
                <w:b w:val="0"/>
                <w:color w:val="000000"/>
                <w:szCs w:val="22"/>
                <w:lang w:eastAsia="en-AU"/>
              </w:rPr>
              <w:t>AICD</w:t>
            </w:r>
          </w:p>
        </w:tc>
        <w:tc>
          <w:tcPr>
            <w:tcW w:w="7660" w:type="dxa"/>
            <w:tcBorders>
              <w:left w:val="single" w:sz="4" w:space="0" w:color="auto"/>
              <w:right w:val="single" w:sz="4" w:space="0" w:color="auto"/>
            </w:tcBorders>
            <w:noWrap/>
          </w:tcPr>
          <w:p w14:paraId="45EA4610" w14:textId="27766736" w:rsidR="0017794A" w:rsidRPr="00703A0B" w:rsidRDefault="0017794A" w:rsidP="0017794A">
            <w:pP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2"/>
                <w:lang w:eastAsia="en-AU"/>
              </w:rPr>
            </w:pPr>
            <w:r w:rsidRPr="00703A0B">
              <w:rPr>
                <w:rFonts w:eastAsia="Times New Roman" w:cs="Arial"/>
                <w:color w:val="000000"/>
                <w:szCs w:val="22"/>
                <w:lang w:eastAsia="en-AU"/>
              </w:rPr>
              <w:t>Australian Institute of Company Directors</w:t>
            </w:r>
          </w:p>
        </w:tc>
      </w:tr>
      <w:tr w:rsidR="00E16CD9" w:rsidRPr="00703A0B" w14:paraId="6BD3C94C" w14:textId="77777777" w:rsidTr="00E656BD">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62DC8798" w14:textId="04624FDF" w:rsidR="00CB22D3" w:rsidRPr="00703A0B" w:rsidRDefault="0017794A" w:rsidP="00052E7D">
            <w:pPr>
              <w:rPr>
                <w:rFonts w:eastAsia="Times New Roman" w:cs="Arial"/>
                <w:b w:val="0"/>
                <w:color w:val="000000"/>
                <w:szCs w:val="22"/>
                <w:lang w:eastAsia="en-AU"/>
              </w:rPr>
            </w:pPr>
            <w:r w:rsidRPr="0017794A">
              <w:rPr>
                <w:rFonts w:eastAsia="Times New Roman" w:cs="Arial"/>
                <w:b w:val="0"/>
                <w:color w:val="000000"/>
                <w:szCs w:val="22"/>
                <w:lang w:eastAsia="en-AU"/>
              </w:rPr>
              <w:t>APBN audit</w:t>
            </w:r>
          </w:p>
        </w:tc>
        <w:tc>
          <w:tcPr>
            <w:tcW w:w="7660" w:type="dxa"/>
            <w:tcBorders>
              <w:left w:val="single" w:sz="4" w:space="0" w:color="auto"/>
              <w:right w:val="single" w:sz="4" w:space="0" w:color="auto"/>
            </w:tcBorders>
            <w:noWrap/>
          </w:tcPr>
          <w:p w14:paraId="414AC0D0" w14:textId="4A9EDBE7" w:rsidR="00CB22D3" w:rsidRPr="00703A0B" w:rsidRDefault="006C09CF" w:rsidP="00052E7D">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2"/>
                <w:lang w:eastAsia="en-AU"/>
              </w:rPr>
            </w:pPr>
            <w:r w:rsidRPr="006C09CF">
              <w:rPr>
                <w:rFonts w:eastAsia="Times New Roman" w:cs="Arial"/>
                <w:color w:val="000000"/>
                <w:szCs w:val="22"/>
                <w:lang w:eastAsia="en-AU"/>
              </w:rPr>
              <w:t>Affected private building notice audit</w:t>
            </w:r>
          </w:p>
        </w:tc>
      </w:tr>
      <w:tr w:rsidR="008865A8" w:rsidRPr="00703A0B" w14:paraId="5313500C" w14:textId="77777777" w:rsidTr="008748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7A1CF6A3" w14:textId="13174A38" w:rsidR="008865A8" w:rsidRPr="00703A0B" w:rsidRDefault="008865A8" w:rsidP="00052E7D">
            <w:pPr>
              <w:rPr>
                <w:rFonts w:eastAsia="Times New Roman" w:cs="Arial"/>
                <w:b w:val="0"/>
                <w:bCs w:val="0"/>
                <w:color w:val="000000"/>
                <w:szCs w:val="22"/>
                <w:lang w:eastAsia="en-AU"/>
              </w:rPr>
            </w:pPr>
            <w:r w:rsidRPr="00703A0B">
              <w:rPr>
                <w:rFonts w:eastAsia="Times New Roman" w:cs="Arial"/>
                <w:b w:val="0"/>
                <w:bCs w:val="0"/>
                <w:color w:val="000000"/>
                <w:szCs w:val="22"/>
                <w:lang w:eastAsia="en-AU"/>
              </w:rPr>
              <w:t>ARRs</w:t>
            </w:r>
          </w:p>
        </w:tc>
        <w:tc>
          <w:tcPr>
            <w:tcW w:w="7660" w:type="dxa"/>
            <w:tcBorders>
              <w:left w:val="single" w:sz="4" w:space="0" w:color="auto"/>
              <w:right w:val="single" w:sz="4" w:space="0" w:color="auto"/>
            </w:tcBorders>
            <w:noWrap/>
          </w:tcPr>
          <w:p w14:paraId="442ED0F6" w14:textId="3C18FE59" w:rsidR="008865A8" w:rsidRPr="00703A0B" w:rsidRDefault="006A47D4" w:rsidP="00052E7D">
            <w:pP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2"/>
                <w:lang w:eastAsia="en-AU"/>
              </w:rPr>
            </w:pPr>
            <w:r w:rsidRPr="00703A0B">
              <w:rPr>
                <w:rFonts w:eastAsia="Times New Roman" w:cs="Arial"/>
                <w:color w:val="000000"/>
                <w:szCs w:val="22"/>
                <w:lang w:eastAsia="en-AU"/>
              </w:rPr>
              <w:t>Annual report requirements for Queensland Government agencies</w:t>
            </w:r>
          </w:p>
        </w:tc>
      </w:tr>
      <w:tr w:rsidR="008B7673" w:rsidRPr="00703A0B" w14:paraId="73E0B612" w14:textId="77777777" w:rsidTr="00874859">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hideMark/>
          </w:tcPr>
          <w:p w14:paraId="1A3D7BC2" w14:textId="087E9019" w:rsidR="00CB22D3" w:rsidRPr="00703A0B" w:rsidRDefault="00CB22D3" w:rsidP="00052E7D">
            <w:pPr>
              <w:rPr>
                <w:rFonts w:eastAsia="Times New Roman" w:cs="Arial"/>
                <w:b w:val="0"/>
                <w:color w:val="000000"/>
                <w:szCs w:val="22"/>
                <w:lang w:eastAsia="en-AU"/>
              </w:rPr>
            </w:pPr>
            <w:r w:rsidRPr="00703A0B">
              <w:rPr>
                <w:rFonts w:eastAsia="Times New Roman" w:cs="Arial"/>
                <w:b w:val="0"/>
                <w:color w:val="000000"/>
                <w:szCs w:val="22"/>
                <w:lang w:eastAsia="en-AU"/>
              </w:rPr>
              <w:t>BIF</w:t>
            </w:r>
            <w:r w:rsidR="00D01C3A" w:rsidRPr="00703A0B">
              <w:rPr>
                <w:rFonts w:eastAsia="Times New Roman" w:cs="Arial"/>
                <w:b w:val="0"/>
                <w:color w:val="000000"/>
                <w:szCs w:val="22"/>
                <w:lang w:eastAsia="en-AU"/>
              </w:rPr>
              <w:t xml:space="preserve"> Act</w:t>
            </w:r>
          </w:p>
        </w:tc>
        <w:tc>
          <w:tcPr>
            <w:tcW w:w="7660" w:type="dxa"/>
            <w:tcBorders>
              <w:left w:val="single" w:sz="4" w:space="0" w:color="auto"/>
              <w:right w:val="single" w:sz="4" w:space="0" w:color="auto"/>
            </w:tcBorders>
            <w:noWrap/>
            <w:hideMark/>
          </w:tcPr>
          <w:p w14:paraId="43C190E7" w14:textId="6571400B" w:rsidR="00CB22D3" w:rsidRPr="00703A0B" w:rsidRDefault="00CB22D3" w:rsidP="00052E7D">
            <w:pPr>
              <w:cnfStyle w:val="000000000000" w:firstRow="0" w:lastRow="0" w:firstColumn="0" w:lastColumn="0" w:oddVBand="0" w:evenVBand="0" w:oddHBand="0" w:evenHBand="0" w:firstRowFirstColumn="0" w:firstRowLastColumn="0" w:lastRowFirstColumn="0" w:lastRowLastColumn="0"/>
              <w:rPr>
                <w:rFonts w:eastAsia="Times New Roman" w:cs="Arial"/>
                <w:i/>
                <w:iCs/>
                <w:color w:val="000000"/>
                <w:szCs w:val="22"/>
                <w:lang w:eastAsia="en-AU"/>
              </w:rPr>
            </w:pPr>
            <w:r w:rsidRPr="00703A0B">
              <w:rPr>
                <w:rFonts w:eastAsia="Times New Roman" w:cs="Arial"/>
                <w:i/>
                <w:iCs/>
                <w:color w:val="000000"/>
                <w:szCs w:val="22"/>
                <w:lang w:eastAsia="en-AU"/>
              </w:rPr>
              <w:t>Building Industry Fairness</w:t>
            </w:r>
            <w:r w:rsidR="00D01C3A" w:rsidRPr="00703A0B">
              <w:rPr>
                <w:rFonts w:eastAsia="Times New Roman" w:cs="Arial"/>
                <w:i/>
                <w:iCs/>
                <w:color w:val="000000"/>
                <w:szCs w:val="22"/>
                <w:lang w:eastAsia="en-AU"/>
              </w:rPr>
              <w:t xml:space="preserve"> (Security of Payment) Act 2017</w:t>
            </w:r>
          </w:p>
        </w:tc>
      </w:tr>
      <w:tr w:rsidR="004307ED" w:rsidRPr="00703A0B" w14:paraId="68328247" w14:textId="77777777" w:rsidTr="008748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hideMark/>
          </w:tcPr>
          <w:p w14:paraId="0EB5CDAC" w14:textId="77777777" w:rsidR="00CB22D3" w:rsidRPr="00703A0B" w:rsidRDefault="00CB22D3" w:rsidP="00052E7D">
            <w:pPr>
              <w:rPr>
                <w:rFonts w:eastAsia="Times New Roman" w:cs="Arial"/>
                <w:b w:val="0"/>
                <w:color w:val="000000"/>
                <w:szCs w:val="22"/>
                <w:lang w:eastAsia="en-AU"/>
              </w:rPr>
            </w:pPr>
            <w:r w:rsidRPr="00703A0B">
              <w:rPr>
                <w:rFonts w:eastAsia="Times New Roman" w:cs="Arial"/>
                <w:b w:val="0"/>
                <w:color w:val="000000"/>
                <w:szCs w:val="22"/>
                <w:lang w:eastAsia="en-AU"/>
              </w:rPr>
              <w:t>Building Act</w:t>
            </w:r>
          </w:p>
        </w:tc>
        <w:tc>
          <w:tcPr>
            <w:tcW w:w="7660" w:type="dxa"/>
            <w:tcBorders>
              <w:left w:val="single" w:sz="4" w:space="0" w:color="auto"/>
              <w:right w:val="single" w:sz="4" w:space="0" w:color="auto"/>
            </w:tcBorders>
            <w:noWrap/>
            <w:hideMark/>
          </w:tcPr>
          <w:p w14:paraId="6FA00025" w14:textId="77777777" w:rsidR="00CB22D3" w:rsidRPr="00703A0B" w:rsidRDefault="00CB22D3" w:rsidP="00052E7D">
            <w:pPr>
              <w:cnfStyle w:val="000000100000" w:firstRow="0" w:lastRow="0" w:firstColumn="0" w:lastColumn="0" w:oddVBand="0" w:evenVBand="0" w:oddHBand="1" w:evenHBand="0" w:firstRowFirstColumn="0" w:firstRowLastColumn="0" w:lastRowFirstColumn="0" w:lastRowLastColumn="0"/>
              <w:rPr>
                <w:rFonts w:eastAsia="Times New Roman" w:cs="Arial"/>
                <w:i/>
                <w:iCs/>
                <w:color w:val="000000"/>
                <w:szCs w:val="22"/>
                <w:lang w:eastAsia="en-AU"/>
              </w:rPr>
            </w:pPr>
            <w:r w:rsidRPr="00703A0B">
              <w:rPr>
                <w:rFonts w:eastAsia="Times New Roman" w:cs="Arial"/>
                <w:i/>
                <w:iCs/>
                <w:color w:val="000000"/>
                <w:szCs w:val="22"/>
                <w:lang w:eastAsia="en-AU"/>
              </w:rPr>
              <w:t>Building Act 1975</w:t>
            </w:r>
          </w:p>
        </w:tc>
      </w:tr>
      <w:tr w:rsidR="008B7673" w:rsidRPr="00703A0B" w14:paraId="3FC809BF" w14:textId="77777777" w:rsidTr="00874859">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77E7C03E" w14:textId="7ECAB440" w:rsidR="005E0509" w:rsidRPr="00703A0B" w:rsidRDefault="000103CA" w:rsidP="00052E7D">
            <w:pPr>
              <w:rPr>
                <w:rFonts w:eastAsia="Times New Roman" w:cs="Arial"/>
                <w:b w:val="0"/>
                <w:color w:val="000000"/>
                <w:szCs w:val="22"/>
                <w:lang w:eastAsia="en-AU"/>
              </w:rPr>
            </w:pPr>
            <w:r w:rsidRPr="00703A0B">
              <w:rPr>
                <w:rFonts w:eastAsia="Times New Roman" w:cs="Arial"/>
                <w:b w:val="0"/>
                <w:color w:val="000000"/>
                <w:szCs w:val="22"/>
                <w:lang w:eastAsia="en-AU"/>
              </w:rPr>
              <w:t>Building Reg Reno</w:t>
            </w:r>
          </w:p>
        </w:tc>
        <w:tc>
          <w:tcPr>
            <w:tcW w:w="7660" w:type="dxa"/>
            <w:tcBorders>
              <w:left w:val="single" w:sz="4" w:space="0" w:color="auto"/>
              <w:right w:val="single" w:sz="4" w:space="0" w:color="auto"/>
            </w:tcBorders>
            <w:noWrap/>
          </w:tcPr>
          <w:p w14:paraId="10C71046" w14:textId="4B4A142A" w:rsidR="005E0509" w:rsidRPr="00703A0B" w:rsidRDefault="000103CA" w:rsidP="00052E7D">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2"/>
                <w:lang w:eastAsia="en-AU"/>
              </w:rPr>
            </w:pPr>
            <w:r w:rsidRPr="00703A0B">
              <w:rPr>
                <w:rFonts w:eastAsia="Times New Roman" w:cs="Arial"/>
                <w:color w:val="000000"/>
                <w:szCs w:val="22"/>
                <w:lang w:eastAsia="en-AU"/>
              </w:rPr>
              <w:t>Building Regulation Renovation</w:t>
            </w:r>
          </w:p>
        </w:tc>
      </w:tr>
      <w:tr w:rsidR="008B7673" w:rsidRPr="00703A0B" w14:paraId="3186D980" w14:textId="77777777" w:rsidTr="008748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79E29B62" w14:textId="7E0DB961" w:rsidR="00401FCE" w:rsidRPr="00703A0B" w:rsidRDefault="00401FCE" w:rsidP="00052E7D">
            <w:pPr>
              <w:rPr>
                <w:rFonts w:eastAsia="Times New Roman" w:cs="Arial"/>
                <w:b w:val="0"/>
                <w:color w:val="000000"/>
                <w:szCs w:val="22"/>
                <w:lang w:eastAsia="en-AU"/>
              </w:rPr>
            </w:pPr>
            <w:r w:rsidRPr="00703A0B">
              <w:rPr>
                <w:rFonts w:eastAsia="Times New Roman" w:cs="Arial"/>
                <w:b w:val="0"/>
                <w:color w:val="000000"/>
                <w:szCs w:val="22"/>
                <w:lang w:eastAsia="en-AU"/>
              </w:rPr>
              <w:t>CEO</w:t>
            </w:r>
          </w:p>
        </w:tc>
        <w:tc>
          <w:tcPr>
            <w:tcW w:w="7660" w:type="dxa"/>
            <w:tcBorders>
              <w:left w:val="single" w:sz="4" w:space="0" w:color="auto"/>
              <w:right w:val="single" w:sz="4" w:space="0" w:color="auto"/>
            </w:tcBorders>
            <w:noWrap/>
          </w:tcPr>
          <w:p w14:paraId="056FEA94" w14:textId="42C070F4" w:rsidR="00401FCE" w:rsidRPr="00703A0B" w:rsidRDefault="00401FCE" w:rsidP="00052E7D">
            <w:pP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2"/>
                <w:lang w:eastAsia="en-AU"/>
              </w:rPr>
            </w:pPr>
            <w:r w:rsidRPr="00703A0B">
              <w:rPr>
                <w:rFonts w:eastAsia="Times New Roman" w:cs="Arial"/>
                <w:color w:val="000000"/>
                <w:szCs w:val="22"/>
                <w:lang w:eastAsia="en-AU"/>
              </w:rPr>
              <w:t>Chief Executive Officer</w:t>
            </w:r>
          </w:p>
        </w:tc>
      </w:tr>
      <w:tr w:rsidR="000A2415" w:rsidRPr="00703A0B" w14:paraId="07B2229D" w14:textId="77777777" w:rsidTr="00874859">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54DD4C9B" w14:textId="0FA702C0" w:rsidR="000A2415" w:rsidRPr="00E656BD" w:rsidRDefault="00D5516D" w:rsidP="00052E7D">
            <w:pPr>
              <w:rPr>
                <w:rFonts w:eastAsia="Times New Roman" w:cs="Arial"/>
                <w:b w:val="0"/>
                <w:bCs w:val="0"/>
                <w:color w:val="000000"/>
                <w:szCs w:val="22"/>
                <w:lang w:eastAsia="en-AU"/>
              </w:rPr>
            </w:pPr>
            <w:r w:rsidRPr="00E656BD">
              <w:rPr>
                <w:rFonts w:eastAsia="Times New Roman" w:cs="Arial"/>
                <w:b w:val="0"/>
                <w:bCs w:val="0"/>
                <w:color w:val="000000"/>
                <w:szCs w:val="22"/>
                <w:lang w:eastAsia="en-AU"/>
              </w:rPr>
              <w:t>Code of Conduct</w:t>
            </w:r>
          </w:p>
        </w:tc>
        <w:tc>
          <w:tcPr>
            <w:tcW w:w="7660" w:type="dxa"/>
            <w:tcBorders>
              <w:left w:val="single" w:sz="4" w:space="0" w:color="auto"/>
              <w:right w:val="single" w:sz="4" w:space="0" w:color="auto"/>
            </w:tcBorders>
            <w:noWrap/>
          </w:tcPr>
          <w:p w14:paraId="48D0A761" w14:textId="1F127B19" w:rsidR="000A2415" w:rsidRPr="00703A0B" w:rsidRDefault="00D5516D" w:rsidP="00052E7D">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2"/>
                <w:lang w:eastAsia="en-AU"/>
              </w:rPr>
            </w:pPr>
            <w:r w:rsidRPr="00D5516D">
              <w:rPr>
                <w:rFonts w:eastAsia="Times New Roman" w:cs="Arial"/>
                <w:color w:val="000000"/>
                <w:szCs w:val="22"/>
                <w:lang w:eastAsia="en-AU"/>
              </w:rPr>
              <w:t>Code of Conduct for the Queensland Public Service</w:t>
            </w:r>
          </w:p>
        </w:tc>
      </w:tr>
      <w:tr w:rsidR="008B7673" w:rsidRPr="00703A0B" w14:paraId="1B49B6F7" w14:textId="77777777" w:rsidTr="008748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hideMark/>
          </w:tcPr>
          <w:p w14:paraId="273DB6B7" w14:textId="77777777" w:rsidR="00CB22D3" w:rsidRPr="00703A0B" w:rsidRDefault="00CB22D3" w:rsidP="00052E7D">
            <w:pPr>
              <w:rPr>
                <w:rFonts w:eastAsia="Times New Roman" w:cs="Arial"/>
                <w:b w:val="0"/>
                <w:color w:val="000000"/>
                <w:szCs w:val="22"/>
                <w:lang w:eastAsia="en-AU"/>
              </w:rPr>
            </w:pPr>
            <w:r w:rsidRPr="00703A0B">
              <w:rPr>
                <w:rFonts w:eastAsia="Times New Roman" w:cs="Arial"/>
                <w:b w:val="0"/>
                <w:color w:val="000000"/>
                <w:szCs w:val="22"/>
                <w:lang w:eastAsia="en-AU"/>
              </w:rPr>
              <w:t>CPD</w:t>
            </w:r>
          </w:p>
        </w:tc>
        <w:tc>
          <w:tcPr>
            <w:tcW w:w="7660" w:type="dxa"/>
            <w:tcBorders>
              <w:left w:val="single" w:sz="4" w:space="0" w:color="auto"/>
              <w:right w:val="single" w:sz="4" w:space="0" w:color="auto"/>
            </w:tcBorders>
            <w:noWrap/>
            <w:hideMark/>
          </w:tcPr>
          <w:p w14:paraId="05975FFA" w14:textId="77777777" w:rsidR="00CB22D3" w:rsidRPr="00703A0B" w:rsidRDefault="00CB22D3" w:rsidP="00052E7D">
            <w:pP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2"/>
                <w:lang w:eastAsia="en-AU"/>
              </w:rPr>
            </w:pPr>
            <w:r w:rsidRPr="00703A0B">
              <w:rPr>
                <w:rFonts w:eastAsia="Times New Roman" w:cs="Arial"/>
                <w:color w:val="000000"/>
                <w:szCs w:val="22"/>
                <w:lang w:eastAsia="en-AU"/>
              </w:rPr>
              <w:t>Continuing Professional Development</w:t>
            </w:r>
          </w:p>
        </w:tc>
      </w:tr>
      <w:tr w:rsidR="00B167FF" w:rsidRPr="00703A0B" w14:paraId="7D196863" w14:textId="77777777" w:rsidTr="00874859">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hideMark/>
          </w:tcPr>
          <w:p w14:paraId="75FCDD98" w14:textId="311C06EE" w:rsidR="00CB22D3" w:rsidRPr="00703A0B" w:rsidRDefault="00CB22D3" w:rsidP="00052E7D">
            <w:pPr>
              <w:rPr>
                <w:rFonts w:eastAsia="Times New Roman" w:cs="Arial"/>
                <w:b w:val="0"/>
                <w:color w:val="000000"/>
                <w:szCs w:val="22"/>
                <w:lang w:eastAsia="en-AU"/>
              </w:rPr>
            </w:pPr>
            <w:r w:rsidRPr="00703A0B">
              <w:rPr>
                <w:rFonts w:eastAsia="Times New Roman" w:cs="Arial"/>
                <w:b w:val="0"/>
                <w:color w:val="000000"/>
                <w:szCs w:val="22"/>
                <w:lang w:eastAsia="en-AU"/>
              </w:rPr>
              <w:t>CX</w:t>
            </w:r>
            <w:r w:rsidR="00EB3B1A">
              <w:rPr>
                <w:rFonts w:eastAsia="Times New Roman" w:cs="Arial"/>
                <w:b w:val="0"/>
                <w:color w:val="000000"/>
                <w:szCs w:val="22"/>
                <w:lang w:eastAsia="en-AU"/>
              </w:rPr>
              <w:t xml:space="preserve"> Strategy</w:t>
            </w:r>
          </w:p>
        </w:tc>
        <w:tc>
          <w:tcPr>
            <w:tcW w:w="7660" w:type="dxa"/>
            <w:tcBorders>
              <w:left w:val="single" w:sz="4" w:space="0" w:color="auto"/>
              <w:right w:val="single" w:sz="4" w:space="0" w:color="auto"/>
            </w:tcBorders>
            <w:noWrap/>
            <w:hideMark/>
          </w:tcPr>
          <w:p w14:paraId="00CE1572" w14:textId="4B67081B" w:rsidR="00CB22D3" w:rsidRPr="00703A0B" w:rsidRDefault="00CB22D3" w:rsidP="00052E7D">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2"/>
                <w:lang w:eastAsia="en-AU"/>
              </w:rPr>
            </w:pPr>
            <w:r w:rsidRPr="00703A0B">
              <w:rPr>
                <w:rFonts w:eastAsia="Times New Roman" w:cs="Arial"/>
                <w:color w:val="000000"/>
                <w:szCs w:val="22"/>
                <w:lang w:eastAsia="en-AU"/>
              </w:rPr>
              <w:t xml:space="preserve">Customer </w:t>
            </w:r>
            <w:r w:rsidR="00EB3B1A">
              <w:rPr>
                <w:rFonts w:eastAsia="Times New Roman" w:cs="Arial"/>
                <w:color w:val="000000"/>
                <w:szCs w:val="22"/>
                <w:lang w:eastAsia="en-AU"/>
              </w:rPr>
              <w:t>E</w:t>
            </w:r>
            <w:r w:rsidRPr="00703A0B">
              <w:rPr>
                <w:rFonts w:eastAsia="Times New Roman" w:cs="Arial"/>
                <w:color w:val="000000"/>
                <w:szCs w:val="22"/>
                <w:lang w:eastAsia="en-AU"/>
              </w:rPr>
              <w:t>xperience</w:t>
            </w:r>
            <w:r w:rsidR="00EB3B1A">
              <w:rPr>
                <w:rFonts w:eastAsia="Times New Roman" w:cs="Arial"/>
                <w:color w:val="000000"/>
                <w:szCs w:val="22"/>
                <w:lang w:eastAsia="en-AU"/>
              </w:rPr>
              <w:t xml:space="preserve"> </w:t>
            </w:r>
            <w:r w:rsidR="00EB3B1A" w:rsidRPr="00EB3B1A">
              <w:rPr>
                <w:rFonts w:eastAsia="Times New Roman" w:cs="Arial"/>
                <w:color w:val="000000"/>
                <w:szCs w:val="22"/>
                <w:lang w:eastAsia="en-AU"/>
              </w:rPr>
              <w:t>Strategy 2024–2027</w:t>
            </w:r>
          </w:p>
        </w:tc>
      </w:tr>
      <w:tr w:rsidR="008B7673" w:rsidRPr="00703A0B" w14:paraId="57D47202" w14:textId="77777777" w:rsidTr="004D1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hideMark/>
          </w:tcPr>
          <w:p w14:paraId="7AF7BF17" w14:textId="77777777" w:rsidR="00CB22D3" w:rsidRPr="00703A0B" w:rsidRDefault="00CB22D3" w:rsidP="00052E7D">
            <w:pPr>
              <w:rPr>
                <w:rFonts w:eastAsia="Times New Roman" w:cs="Arial"/>
                <w:b w:val="0"/>
                <w:color w:val="000000"/>
                <w:szCs w:val="22"/>
                <w:lang w:eastAsia="en-AU"/>
              </w:rPr>
            </w:pPr>
            <w:r w:rsidRPr="00703A0B">
              <w:rPr>
                <w:rFonts w:eastAsia="Times New Roman" w:cs="Arial"/>
                <w:b w:val="0"/>
                <w:color w:val="000000"/>
                <w:szCs w:val="22"/>
                <w:lang w:eastAsia="en-AU"/>
              </w:rPr>
              <w:t>DHPW</w:t>
            </w:r>
          </w:p>
        </w:tc>
        <w:tc>
          <w:tcPr>
            <w:tcW w:w="7660" w:type="dxa"/>
            <w:tcBorders>
              <w:left w:val="single" w:sz="4" w:space="0" w:color="auto"/>
              <w:right w:val="single" w:sz="4" w:space="0" w:color="auto"/>
            </w:tcBorders>
            <w:noWrap/>
            <w:hideMark/>
          </w:tcPr>
          <w:p w14:paraId="0D6ADE07" w14:textId="77777777" w:rsidR="00CB22D3" w:rsidRPr="00703A0B" w:rsidRDefault="00CB22D3" w:rsidP="00052E7D">
            <w:pP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2"/>
                <w:lang w:eastAsia="en-AU"/>
              </w:rPr>
            </w:pPr>
            <w:r w:rsidRPr="00703A0B">
              <w:rPr>
                <w:rFonts w:eastAsia="Times New Roman" w:cs="Arial"/>
                <w:color w:val="000000"/>
                <w:szCs w:val="22"/>
                <w:lang w:eastAsia="en-AU"/>
              </w:rPr>
              <w:t>Department of Housing and Public Works</w:t>
            </w:r>
          </w:p>
        </w:tc>
      </w:tr>
      <w:tr w:rsidR="004307ED" w:rsidRPr="00703A0B" w14:paraId="5365C51E" w14:textId="77777777" w:rsidTr="004D1C30">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7C6475C1" w14:textId="2A886554" w:rsidR="00E11C9B" w:rsidRPr="00703A0B" w:rsidRDefault="00E11C9B" w:rsidP="00052E7D">
            <w:pPr>
              <w:rPr>
                <w:rFonts w:eastAsia="Times New Roman" w:cs="Arial"/>
                <w:b w:val="0"/>
                <w:color w:val="000000"/>
                <w:szCs w:val="22"/>
                <w:lang w:eastAsia="en-AU"/>
              </w:rPr>
            </w:pPr>
            <w:r w:rsidRPr="00703A0B">
              <w:rPr>
                <w:rFonts w:eastAsia="Times New Roman" w:cs="Arial"/>
                <w:b w:val="0"/>
                <w:color w:val="000000"/>
                <w:szCs w:val="22"/>
                <w:lang w:eastAsia="en-AU"/>
              </w:rPr>
              <w:t>DTR</w:t>
            </w:r>
          </w:p>
        </w:tc>
        <w:tc>
          <w:tcPr>
            <w:tcW w:w="7660" w:type="dxa"/>
            <w:tcBorders>
              <w:left w:val="single" w:sz="4" w:space="0" w:color="auto"/>
              <w:right w:val="single" w:sz="4" w:space="0" w:color="auto"/>
            </w:tcBorders>
            <w:noWrap/>
          </w:tcPr>
          <w:p w14:paraId="35067290" w14:textId="2D996B76" w:rsidR="00E11C9B" w:rsidRPr="00703A0B" w:rsidRDefault="00E11C9B" w:rsidP="00052E7D">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2"/>
                <w:lang w:eastAsia="en-AU"/>
              </w:rPr>
            </w:pPr>
            <w:r w:rsidRPr="00703A0B">
              <w:rPr>
                <w:rFonts w:eastAsia="Times New Roman" w:cs="Arial"/>
                <w:color w:val="000000"/>
                <w:szCs w:val="22"/>
                <w:lang w:eastAsia="en-AU"/>
              </w:rPr>
              <w:t xml:space="preserve">Direction to </w:t>
            </w:r>
            <w:r w:rsidR="00B9196D" w:rsidRPr="00703A0B">
              <w:rPr>
                <w:rFonts w:eastAsia="Times New Roman" w:cs="Arial"/>
                <w:color w:val="000000"/>
                <w:szCs w:val="22"/>
                <w:lang w:eastAsia="en-AU"/>
              </w:rPr>
              <w:t>r</w:t>
            </w:r>
            <w:r w:rsidRPr="00703A0B">
              <w:rPr>
                <w:rFonts w:eastAsia="Times New Roman" w:cs="Arial"/>
                <w:color w:val="000000"/>
                <w:szCs w:val="22"/>
                <w:lang w:eastAsia="en-AU"/>
              </w:rPr>
              <w:t>ectify</w:t>
            </w:r>
          </w:p>
        </w:tc>
      </w:tr>
      <w:tr w:rsidR="002C79FC" w:rsidRPr="00703A0B" w14:paraId="17387CEF" w14:textId="77777777" w:rsidTr="00C72E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189F177E" w14:textId="26F9540C" w:rsidR="002C79FC" w:rsidRPr="00703A0B" w:rsidRDefault="002C79FC" w:rsidP="00052E7D">
            <w:pPr>
              <w:rPr>
                <w:rFonts w:eastAsia="Times New Roman" w:cs="Arial"/>
                <w:b w:val="0"/>
                <w:color w:val="000000"/>
                <w:szCs w:val="22"/>
                <w:lang w:eastAsia="en-AU"/>
              </w:rPr>
            </w:pPr>
            <w:r w:rsidRPr="00703A0B">
              <w:rPr>
                <w:rFonts w:eastAsia="Times New Roman" w:cs="Arial"/>
                <w:b w:val="0"/>
                <w:color w:val="000000"/>
                <w:szCs w:val="22"/>
                <w:lang w:eastAsia="en-AU"/>
              </w:rPr>
              <w:t>ED</w:t>
            </w:r>
            <w:r w:rsidR="00D567D2">
              <w:rPr>
                <w:rFonts w:eastAsia="Times New Roman" w:cs="Arial"/>
                <w:b w:val="0"/>
                <w:color w:val="000000"/>
                <w:szCs w:val="22"/>
                <w:lang w:eastAsia="en-AU"/>
              </w:rPr>
              <w:t>W</w:t>
            </w:r>
          </w:p>
        </w:tc>
        <w:tc>
          <w:tcPr>
            <w:tcW w:w="7660" w:type="dxa"/>
            <w:tcBorders>
              <w:left w:val="single" w:sz="4" w:space="0" w:color="auto"/>
              <w:right w:val="single" w:sz="4" w:space="0" w:color="auto"/>
            </w:tcBorders>
            <w:noWrap/>
          </w:tcPr>
          <w:p w14:paraId="2A54EDEE" w14:textId="461A05DC" w:rsidR="002C79FC" w:rsidRPr="00703A0B" w:rsidRDefault="00D567D2" w:rsidP="00052E7D">
            <w:pP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2"/>
                <w:lang w:eastAsia="en-AU"/>
              </w:rPr>
            </w:pPr>
            <w:r w:rsidRPr="00D567D2">
              <w:rPr>
                <w:rFonts w:eastAsia="Times New Roman" w:cs="Arial"/>
                <w:color w:val="000000"/>
                <w:szCs w:val="22"/>
                <w:lang w:eastAsia="en-AU"/>
              </w:rPr>
              <w:t>Enterprise data warehouse</w:t>
            </w:r>
          </w:p>
        </w:tc>
      </w:tr>
      <w:tr w:rsidR="00D567D2" w:rsidRPr="00703A0B" w14:paraId="6C0D42F0" w14:textId="77777777" w:rsidTr="00C72EC9">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44B5BCBB" w14:textId="6F5FA26C" w:rsidR="00D567D2" w:rsidRPr="00703A0B" w:rsidRDefault="00D567D2" w:rsidP="00D567D2">
            <w:pPr>
              <w:rPr>
                <w:rFonts w:eastAsia="Times New Roman" w:cs="Arial"/>
                <w:b w:val="0"/>
                <w:bCs w:val="0"/>
                <w:color w:val="000000"/>
                <w:szCs w:val="22"/>
                <w:lang w:eastAsia="en-AU"/>
              </w:rPr>
            </w:pPr>
            <w:r w:rsidRPr="00A32A52">
              <w:rPr>
                <w:rFonts w:eastAsia="Times New Roman" w:cs="Arial"/>
                <w:b w:val="0"/>
                <w:bCs w:val="0"/>
                <w:color w:val="000000"/>
                <w:szCs w:val="22"/>
                <w:lang w:eastAsia="en-AU"/>
              </w:rPr>
              <w:t>EGP</w:t>
            </w:r>
          </w:p>
        </w:tc>
        <w:tc>
          <w:tcPr>
            <w:tcW w:w="7660" w:type="dxa"/>
            <w:tcBorders>
              <w:left w:val="single" w:sz="4" w:space="0" w:color="auto"/>
              <w:right w:val="single" w:sz="4" w:space="0" w:color="auto"/>
            </w:tcBorders>
            <w:noWrap/>
          </w:tcPr>
          <w:p w14:paraId="0B16281B" w14:textId="42E6F522" w:rsidR="00D567D2" w:rsidRPr="00703A0B" w:rsidRDefault="00D567D2" w:rsidP="00D567D2">
            <w:pPr>
              <w:cnfStyle w:val="000000000000" w:firstRow="0" w:lastRow="0" w:firstColumn="0" w:lastColumn="0" w:oddVBand="0" w:evenVBand="0" w:oddHBand="0" w:evenHBand="0" w:firstRowFirstColumn="0" w:firstRowLastColumn="0" w:lastRowFirstColumn="0" w:lastRowLastColumn="0"/>
            </w:pPr>
            <w:r w:rsidRPr="00710286">
              <w:rPr>
                <w:rFonts w:eastAsia="Times New Roman" w:cs="Arial"/>
                <w:color w:val="000000"/>
                <w:szCs w:val="22"/>
                <w:lang w:eastAsia="en-AU"/>
              </w:rPr>
              <w:t>Ex Gratia Payment Decisions Committee</w:t>
            </w:r>
          </w:p>
        </w:tc>
      </w:tr>
      <w:tr w:rsidR="00054EDD" w:rsidRPr="00703A0B" w14:paraId="33ED2180" w14:textId="77777777" w:rsidTr="004D1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52E15222" w14:textId="23A714D6" w:rsidR="00054EDD" w:rsidRPr="00703A0B" w:rsidRDefault="00054EDD" w:rsidP="00052E7D">
            <w:pPr>
              <w:rPr>
                <w:rFonts w:eastAsia="Times New Roman" w:cs="Arial"/>
                <w:b w:val="0"/>
                <w:bCs w:val="0"/>
                <w:color w:val="000000"/>
                <w:szCs w:val="22"/>
                <w:lang w:eastAsia="en-AU"/>
              </w:rPr>
            </w:pPr>
            <w:r w:rsidRPr="00703A0B">
              <w:rPr>
                <w:rFonts w:eastAsia="Times New Roman" w:cs="Arial"/>
                <w:b w:val="0"/>
                <w:bCs w:val="0"/>
                <w:color w:val="000000"/>
                <w:szCs w:val="22"/>
                <w:lang w:eastAsia="en-AU"/>
              </w:rPr>
              <w:t>FAA</w:t>
            </w:r>
          </w:p>
        </w:tc>
        <w:tc>
          <w:tcPr>
            <w:tcW w:w="7660" w:type="dxa"/>
            <w:tcBorders>
              <w:left w:val="single" w:sz="4" w:space="0" w:color="auto"/>
              <w:right w:val="single" w:sz="4" w:space="0" w:color="auto"/>
            </w:tcBorders>
            <w:noWrap/>
          </w:tcPr>
          <w:p w14:paraId="2918B539" w14:textId="73E091A3" w:rsidR="00054EDD" w:rsidRPr="0045521D" w:rsidRDefault="00CD565A" w:rsidP="00052E7D">
            <w:pPr>
              <w:cnfStyle w:val="000000100000" w:firstRow="0" w:lastRow="0" w:firstColumn="0" w:lastColumn="0" w:oddVBand="0" w:evenVBand="0" w:oddHBand="1" w:evenHBand="0" w:firstRowFirstColumn="0" w:firstRowLastColumn="0" w:lastRowFirstColumn="0" w:lastRowLastColumn="0"/>
              <w:rPr>
                <w:i/>
              </w:rPr>
            </w:pPr>
            <w:r w:rsidRPr="0045521D">
              <w:rPr>
                <w:i/>
              </w:rPr>
              <w:t>Financial Accountability Act 2009</w:t>
            </w:r>
          </w:p>
        </w:tc>
      </w:tr>
      <w:tr w:rsidR="008B7673" w:rsidRPr="00703A0B" w14:paraId="543DE96E" w14:textId="77777777" w:rsidTr="004D1C30">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hideMark/>
          </w:tcPr>
          <w:p w14:paraId="640A4A1C" w14:textId="498E0EC5" w:rsidR="00CB22D3" w:rsidRPr="00703A0B" w:rsidRDefault="00CB22D3" w:rsidP="00052E7D">
            <w:pPr>
              <w:rPr>
                <w:rFonts w:eastAsia="Times New Roman" w:cs="Arial"/>
                <w:b w:val="0"/>
                <w:color w:val="000000"/>
                <w:szCs w:val="22"/>
                <w:lang w:eastAsia="en-AU"/>
              </w:rPr>
            </w:pPr>
            <w:r w:rsidRPr="00703A0B">
              <w:rPr>
                <w:rFonts w:eastAsia="Times New Roman" w:cs="Arial"/>
                <w:b w:val="0"/>
                <w:color w:val="000000"/>
                <w:szCs w:val="22"/>
                <w:lang w:eastAsia="en-AU"/>
              </w:rPr>
              <w:t>FA</w:t>
            </w:r>
            <w:r w:rsidR="00914AB5" w:rsidRPr="00703A0B">
              <w:rPr>
                <w:rFonts w:eastAsia="Times New Roman" w:cs="Arial"/>
                <w:b w:val="0"/>
                <w:color w:val="000000"/>
                <w:szCs w:val="22"/>
                <w:lang w:eastAsia="en-AU"/>
              </w:rPr>
              <w:t>I</w:t>
            </w:r>
            <w:r w:rsidRPr="00703A0B">
              <w:rPr>
                <w:rFonts w:eastAsia="Times New Roman" w:cs="Arial"/>
                <w:b w:val="0"/>
                <w:color w:val="000000"/>
                <w:szCs w:val="22"/>
                <w:lang w:eastAsia="en-AU"/>
              </w:rPr>
              <w:t>R</w:t>
            </w:r>
          </w:p>
        </w:tc>
        <w:tc>
          <w:tcPr>
            <w:tcW w:w="7660" w:type="dxa"/>
            <w:tcBorders>
              <w:left w:val="single" w:sz="4" w:space="0" w:color="auto"/>
              <w:right w:val="single" w:sz="4" w:space="0" w:color="auto"/>
            </w:tcBorders>
            <w:noWrap/>
            <w:hideMark/>
          </w:tcPr>
          <w:p w14:paraId="79C9F80C" w14:textId="7432505C" w:rsidR="00CB22D3" w:rsidRPr="00703A0B" w:rsidRDefault="00CB22D3" w:rsidP="00052E7D">
            <w:pPr>
              <w:cnfStyle w:val="000000000000" w:firstRow="0" w:lastRow="0" w:firstColumn="0" w:lastColumn="0" w:oddVBand="0" w:evenVBand="0" w:oddHBand="0" w:evenHBand="0" w:firstRowFirstColumn="0" w:firstRowLastColumn="0" w:lastRowFirstColumn="0" w:lastRowLastColumn="0"/>
            </w:pPr>
            <w:r w:rsidRPr="00703A0B">
              <w:t>Finance</w:t>
            </w:r>
            <w:r w:rsidR="00914AB5" w:rsidRPr="00703A0B">
              <w:t xml:space="preserve">, </w:t>
            </w:r>
            <w:r w:rsidRPr="00703A0B">
              <w:t>Audit</w:t>
            </w:r>
            <w:r w:rsidR="00902FFA" w:rsidRPr="00703A0B">
              <w:t>, Insurance</w:t>
            </w:r>
            <w:r w:rsidRPr="00703A0B">
              <w:t xml:space="preserve"> and Risk Committee</w:t>
            </w:r>
          </w:p>
        </w:tc>
      </w:tr>
      <w:tr w:rsidR="004C392B" w:rsidRPr="00703A0B" w14:paraId="1FE7E315" w14:textId="77777777" w:rsidTr="004D1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7C9BFBC8" w14:textId="00E32FAF" w:rsidR="004C392B" w:rsidRPr="00E656BD" w:rsidRDefault="004C392B" w:rsidP="00052E7D">
            <w:pPr>
              <w:rPr>
                <w:rFonts w:eastAsia="Times New Roman" w:cs="Arial"/>
                <w:b w:val="0"/>
                <w:bCs w:val="0"/>
                <w:color w:val="000000"/>
                <w:szCs w:val="22"/>
                <w:lang w:eastAsia="en-AU"/>
              </w:rPr>
            </w:pPr>
            <w:r w:rsidRPr="00E656BD">
              <w:rPr>
                <w:rFonts w:eastAsia="Times New Roman" w:cs="Arial"/>
                <w:b w:val="0"/>
                <w:bCs w:val="0"/>
                <w:color w:val="000000"/>
                <w:szCs w:val="22"/>
                <w:lang w:eastAsia="en-AU"/>
              </w:rPr>
              <w:t xml:space="preserve">Form </w:t>
            </w:r>
            <w:r w:rsidR="006E5057">
              <w:rPr>
                <w:rFonts w:eastAsia="Times New Roman" w:cs="Arial"/>
                <w:b w:val="0"/>
                <w:bCs w:val="0"/>
                <w:color w:val="000000"/>
                <w:szCs w:val="22"/>
                <w:lang w:eastAsia="en-AU"/>
              </w:rPr>
              <w:t>4/4A</w:t>
            </w:r>
          </w:p>
        </w:tc>
        <w:tc>
          <w:tcPr>
            <w:tcW w:w="7660" w:type="dxa"/>
            <w:tcBorders>
              <w:left w:val="single" w:sz="4" w:space="0" w:color="auto"/>
              <w:right w:val="single" w:sz="4" w:space="0" w:color="auto"/>
            </w:tcBorders>
            <w:noWrap/>
          </w:tcPr>
          <w:p w14:paraId="0717320D" w14:textId="68F6D28D" w:rsidR="004C392B" w:rsidRPr="00E656BD" w:rsidRDefault="006E5057" w:rsidP="00052E7D">
            <w:pPr>
              <w:cnfStyle w:val="000000100000" w:firstRow="0" w:lastRow="0" w:firstColumn="0" w:lastColumn="0" w:oddVBand="0" w:evenVBand="0" w:oddHBand="1" w:evenHBand="0" w:firstRowFirstColumn="0" w:firstRowLastColumn="0" w:lastRowFirstColumn="0" w:lastRowLastColumn="0"/>
              <w:rPr>
                <w:rFonts w:eastAsia="Times New Roman" w:cs="Arial"/>
                <w:iCs/>
                <w:color w:val="000000"/>
                <w:lang w:eastAsia="en-AU"/>
              </w:rPr>
            </w:pPr>
            <w:r w:rsidRPr="00E656BD">
              <w:rPr>
                <w:rFonts w:eastAsia="Times New Roman" w:cs="Arial"/>
                <w:iCs/>
                <w:color w:val="000000"/>
                <w:lang w:eastAsia="en-AU"/>
              </w:rPr>
              <w:t>Notifiable Work Notification</w:t>
            </w:r>
          </w:p>
        </w:tc>
      </w:tr>
      <w:tr w:rsidR="00CD565A" w:rsidRPr="00703A0B" w14:paraId="57A9AA51" w14:textId="77777777" w:rsidTr="004D1C30">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6BBBDC19" w14:textId="53CEEC88" w:rsidR="00CD565A" w:rsidRPr="00703A0B" w:rsidRDefault="00C20DFF" w:rsidP="00052E7D">
            <w:pPr>
              <w:rPr>
                <w:rFonts w:eastAsia="Times New Roman" w:cs="Arial"/>
                <w:b w:val="0"/>
                <w:bCs w:val="0"/>
                <w:color w:val="000000"/>
                <w:szCs w:val="22"/>
                <w:lang w:eastAsia="en-AU"/>
              </w:rPr>
            </w:pPr>
            <w:r w:rsidRPr="00703A0B">
              <w:rPr>
                <w:rFonts w:eastAsia="Times New Roman" w:cs="Arial"/>
                <w:b w:val="0"/>
                <w:bCs w:val="0"/>
                <w:color w:val="000000"/>
                <w:szCs w:val="22"/>
                <w:lang w:eastAsia="en-AU"/>
              </w:rPr>
              <w:t>FPMS</w:t>
            </w:r>
          </w:p>
        </w:tc>
        <w:tc>
          <w:tcPr>
            <w:tcW w:w="7660" w:type="dxa"/>
            <w:tcBorders>
              <w:left w:val="single" w:sz="4" w:space="0" w:color="auto"/>
              <w:right w:val="single" w:sz="4" w:space="0" w:color="auto"/>
            </w:tcBorders>
            <w:noWrap/>
          </w:tcPr>
          <w:p w14:paraId="20F7A60B" w14:textId="5EC58F08" w:rsidR="00CD565A" w:rsidRPr="0045521D" w:rsidRDefault="00C20DFF" w:rsidP="00052E7D">
            <w:pPr>
              <w:cnfStyle w:val="000000000000" w:firstRow="0" w:lastRow="0" w:firstColumn="0" w:lastColumn="0" w:oddVBand="0" w:evenVBand="0" w:oddHBand="0" w:evenHBand="0" w:firstRowFirstColumn="0" w:firstRowLastColumn="0" w:lastRowFirstColumn="0" w:lastRowLastColumn="0"/>
              <w:rPr>
                <w:rFonts w:eastAsia="Times New Roman" w:cs="Arial"/>
                <w:i/>
                <w:color w:val="000000"/>
                <w:lang w:eastAsia="en-AU"/>
              </w:rPr>
            </w:pPr>
            <w:r w:rsidRPr="0045521D">
              <w:rPr>
                <w:rFonts w:eastAsia="Times New Roman" w:cs="Arial"/>
                <w:i/>
                <w:color w:val="000000"/>
                <w:lang w:eastAsia="en-AU"/>
              </w:rPr>
              <w:t>Financial and Performance Management Standard 2019</w:t>
            </w:r>
          </w:p>
        </w:tc>
      </w:tr>
      <w:tr w:rsidR="00284716" w:rsidRPr="00703A0B" w:rsidDel="00716D0B" w14:paraId="20CF5A1B" w14:textId="77777777" w:rsidTr="00C72E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64039862" w14:textId="3156E268" w:rsidR="00284716" w:rsidRPr="00703A0B" w:rsidDel="00716D0B" w:rsidRDefault="00B9233A" w:rsidP="00052E7D">
            <w:pPr>
              <w:rPr>
                <w:rFonts w:eastAsia="Times New Roman" w:cs="Arial"/>
                <w:b w:val="0"/>
                <w:bCs w:val="0"/>
                <w:color w:val="000000"/>
                <w:szCs w:val="22"/>
                <w:lang w:eastAsia="en-AU"/>
              </w:rPr>
            </w:pPr>
            <w:r>
              <w:rPr>
                <w:rFonts w:eastAsia="Times New Roman" w:cs="Arial"/>
                <w:b w:val="0"/>
                <w:color w:val="000000"/>
                <w:szCs w:val="22"/>
                <w:lang w:eastAsia="en-AU"/>
              </w:rPr>
              <w:t>FWA</w:t>
            </w:r>
          </w:p>
        </w:tc>
        <w:tc>
          <w:tcPr>
            <w:tcW w:w="7660" w:type="dxa"/>
            <w:tcBorders>
              <w:left w:val="single" w:sz="4" w:space="0" w:color="auto"/>
              <w:right w:val="single" w:sz="4" w:space="0" w:color="auto"/>
            </w:tcBorders>
            <w:noWrap/>
          </w:tcPr>
          <w:p w14:paraId="78F9C389" w14:textId="6D388D70" w:rsidR="00284716" w:rsidRPr="00703A0B" w:rsidDel="00716D0B" w:rsidRDefault="00B9233A" w:rsidP="00052E7D">
            <w:pP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2"/>
                <w:lang w:eastAsia="en-AU"/>
              </w:rPr>
            </w:pPr>
            <w:r w:rsidRPr="00B9233A">
              <w:rPr>
                <w:rFonts w:eastAsia="Times New Roman" w:cs="Arial"/>
                <w:color w:val="000000"/>
                <w:szCs w:val="22"/>
                <w:lang w:eastAsia="en-AU"/>
              </w:rPr>
              <w:t>Flexible work arrangements</w:t>
            </w:r>
          </w:p>
        </w:tc>
      </w:tr>
      <w:tr w:rsidR="00007963" w:rsidRPr="00703A0B" w:rsidDel="00716D0B" w14:paraId="64C36BC8" w14:textId="77777777" w:rsidTr="00C72EC9">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2F49F5E0" w14:textId="2D9703D7" w:rsidR="00007963" w:rsidRPr="00703A0B" w:rsidRDefault="0075163B" w:rsidP="00052E7D">
            <w:pPr>
              <w:rPr>
                <w:rFonts w:eastAsia="Times New Roman" w:cs="Arial"/>
                <w:b w:val="0"/>
                <w:color w:val="000000"/>
                <w:szCs w:val="22"/>
                <w:lang w:eastAsia="en-AU"/>
              </w:rPr>
            </w:pPr>
            <w:r>
              <w:rPr>
                <w:rFonts w:eastAsia="Times New Roman" w:cs="Arial"/>
                <w:b w:val="0"/>
                <w:color w:val="000000"/>
                <w:szCs w:val="22"/>
                <w:lang w:eastAsia="en-AU"/>
              </w:rPr>
              <w:t>IP Act</w:t>
            </w:r>
          </w:p>
        </w:tc>
        <w:tc>
          <w:tcPr>
            <w:tcW w:w="7660" w:type="dxa"/>
            <w:tcBorders>
              <w:left w:val="single" w:sz="4" w:space="0" w:color="auto"/>
              <w:right w:val="single" w:sz="4" w:space="0" w:color="auto"/>
            </w:tcBorders>
            <w:noWrap/>
          </w:tcPr>
          <w:p w14:paraId="436A6C24" w14:textId="157B1637" w:rsidR="00007963" w:rsidRPr="00E656BD" w:rsidRDefault="0075163B" w:rsidP="00052E7D">
            <w:pPr>
              <w:cnfStyle w:val="000000000000" w:firstRow="0" w:lastRow="0" w:firstColumn="0" w:lastColumn="0" w:oddVBand="0" w:evenVBand="0" w:oddHBand="0" w:evenHBand="0" w:firstRowFirstColumn="0" w:firstRowLastColumn="0" w:lastRowFirstColumn="0" w:lastRowLastColumn="0"/>
              <w:rPr>
                <w:rFonts w:eastAsia="Times New Roman" w:cs="Arial"/>
                <w:i/>
                <w:iCs/>
                <w:color w:val="000000"/>
                <w:szCs w:val="22"/>
                <w:lang w:eastAsia="en-AU"/>
              </w:rPr>
            </w:pPr>
            <w:r w:rsidRPr="00E656BD">
              <w:rPr>
                <w:rFonts w:eastAsia="Times New Roman" w:cs="Arial"/>
                <w:i/>
                <w:iCs/>
                <w:color w:val="000000"/>
                <w:szCs w:val="22"/>
                <w:lang w:eastAsia="en-AU"/>
              </w:rPr>
              <w:t>Information Privacy Act 2009</w:t>
            </w:r>
          </w:p>
        </w:tc>
      </w:tr>
      <w:tr w:rsidR="000B0361" w:rsidRPr="00703A0B" w14:paraId="3EF04BDD" w14:textId="77777777" w:rsidTr="00C72E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528B4C2F" w14:textId="2E0FFDEB" w:rsidR="000B0361" w:rsidRPr="00703A0B" w:rsidRDefault="0075163B" w:rsidP="00052E7D">
            <w:pPr>
              <w:rPr>
                <w:rFonts w:eastAsia="Times New Roman" w:cs="Arial"/>
                <w:b w:val="0"/>
                <w:bCs w:val="0"/>
                <w:color w:val="000000"/>
                <w:szCs w:val="22"/>
                <w:lang w:eastAsia="en-AU"/>
              </w:rPr>
            </w:pPr>
            <w:r>
              <w:rPr>
                <w:rFonts w:eastAsia="Times New Roman" w:cs="Arial"/>
                <w:b w:val="0"/>
                <w:bCs w:val="0"/>
                <w:color w:val="000000"/>
                <w:szCs w:val="22"/>
                <w:lang w:eastAsia="en-AU"/>
              </w:rPr>
              <w:t>ISC</w:t>
            </w:r>
          </w:p>
        </w:tc>
        <w:tc>
          <w:tcPr>
            <w:tcW w:w="7660" w:type="dxa"/>
            <w:tcBorders>
              <w:left w:val="single" w:sz="4" w:space="0" w:color="auto"/>
              <w:right w:val="single" w:sz="4" w:space="0" w:color="auto"/>
            </w:tcBorders>
            <w:noWrap/>
          </w:tcPr>
          <w:p w14:paraId="44F67B98" w14:textId="368CF437" w:rsidR="000B0361" w:rsidRPr="00703A0B" w:rsidRDefault="00C53D91" w:rsidP="00052E7D">
            <w:pP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2"/>
                <w:lang w:eastAsia="en-AU"/>
              </w:rPr>
            </w:pPr>
            <w:r w:rsidRPr="00C53D91">
              <w:rPr>
                <w:rFonts w:eastAsia="Aptos" w:cs="Arial"/>
              </w:rPr>
              <w:t>Implementation Steering Committee</w:t>
            </w:r>
          </w:p>
        </w:tc>
      </w:tr>
      <w:tr w:rsidR="00C53D91" w:rsidRPr="00703A0B" w14:paraId="28372263" w14:textId="77777777" w:rsidTr="00C72EC9">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7C3C5645" w14:textId="5881C5A2" w:rsidR="00C53D91" w:rsidRPr="00703A0B" w:rsidRDefault="00C53D91" w:rsidP="00C53D91">
            <w:pPr>
              <w:rPr>
                <w:rFonts w:eastAsia="Times New Roman" w:cs="Arial"/>
                <w:b w:val="0"/>
                <w:color w:val="000000"/>
                <w:szCs w:val="22"/>
                <w:lang w:eastAsia="en-AU"/>
              </w:rPr>
            </w:pPr>
            <w:r w:rsidRPr="00703A0B">
              <w:rPr>
                <w:rFonts w:eastAsia="Times New Roman" w:cs="Arial"/>
                <w:b w:val="0"/>
                <w:color w:val="000000"/>
                <w:szCs w:val="22"/>
                <w:lang w:eastAsia="en-AU"/>
              </w:rPr>
              <w:t>MFR</w:t>
            </w:r>
          </w:p>
        </w:tc>
        <w:tc>
          <w:tcPr>
            <w:tcW w:w="7660" w:type="dxa"/>
            <w:tcBorders>
              <w:left w:val="single" w:sz="4" w:space="0" w:color="auto"/>
              <w:right w:val="single" w:sz="4" w:space="0" w:color="auto"/>
            </w:tcBorders>
            <w:noWrap/>
          </w:tcPr>
          <w:p w14:paraId="31C68709" w14:textId="0587C806" w:rsidR="00C53D91" w:rsidRPr="00703A0B" w:rsidRDefault="00C53D91" w:rsidP="00C53D91">
            <w:pPr>
              <w:cnfStyle w:val="000000000000" w:firstRow="0" w:lastRow="0" w:firstColumn="0" w:lastColumn="0" w:oddVBand="0" w:evenVBand="0" w:oddHBand="0" w:evenHBand="0" w:firstRowFirstColumn="0" w:firstRowLastColumn="0" w:lastRowFirstColumn="0" w:lastRowLastColumn="0"/>
              <w:rPr>
                <w:rFonts w:eastAsia="Aptos" w:cs="Arial"/>
              </w:rPr>
            </w:pPr>
            <w:r w:rsidRPr="00703A0B">
              <w:rPr>
                <w:rFonts w:eastAsia="Times New Roman" w:cs="Arial"/>
                <w:color w:val="000000"/>
                <w:szCs w:val="22"/>
                <w:lang w:eastAsia="en-AU"/>
              </w:rPr>
              <w:t>Minimum financial requirements</w:t>
            </w:r>
          </w:p>
        </w:tc>
      </w:tr>
      <w:tr w:rsidR="00C53D91" w:rsidRPr="00703A0B" w:rsidDel="00DC7187" w14:paraId="68690702" w14:textId="77777777" w:rsidTr="00C72E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6FB8E7B1" w14:textId="45113E6F" w:rsidR="00C53D91" w:rsidRPr="00703A0B" w:rsidRDefault="003D16FE" w:rsidP="00C53D91">
            <w:pPr>
              <w:rPr>
                <w:rFonts w:eastAsia="Times New Roman" w:cs="Arial"/>
                <w:b w:val="0"/>
                <w:color w:val="000000"/>
                <w:szCs w:val="22"/>
                <w:lang w:eastAsia="en-AU"/>
              </w:rPr>
            </w:pPr>
            <w:r>
              <w:rPr>
                <w:rFonts w:eastAsia="Times New Roman" w:cs="Arial"/>
                <w:b w:val="0"/>
                <w:color w:val="000000"/>
                <w:szCs w:val="22"/>
                <w:lang w:eastAsia="en-AU"/>
              </w:rPr>
              <w:t>NAWIC</w:t>
            </w:r>
          </w:p>
        </w:tc>
        <w:tc>
          <w:tcPr>
            <w:tcW w:w="7660" w:type="dxa"/>
            <w:tcBorders>
              <w:left w:val="single" w:sz="4" w:space="0" w:color="auto"/>
              <w:right w:val="single" w:sz="4" w:space="0" w:color="auto"/>
            </w:tcBorders>
            <w:noWrap/>
          </w:tcPr>
          <w:p w14:paraId="239D6644" w14:textId="41950144" w:rsidR="00C53D91" w:rsidRPr="00703A0B" w:rsidRDefault="003D16FE" w:rsidP="00C53D91">
            <w:pP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2"/>
                <w:lang w:eastAsia="en-AU"/>
              </w:rPr>
            </w:pPr>
            <w:r w:rsidRPr="003D16FE">
              <w:rPr>
                <w:rFonts w:eastAsia="Times New Roman" w:cs="Arial"/>
                <w:color w:val="000000"/>
                <w:szCs w:val="22"/>
                <w:lang w:eastAsia="en-AU"/>
              </w:rPr>
              <w:t>National Association of Women in Construction</w:t>
            </w:r>
          </w:p>
        </w:tc>
      </w:tr>
      <w:tr w:rsidR="00C53D91" w:rsidRPr="00703A0B" w14:paraId="425860D2" w14:textId="77777777" w:rsidTr="00E656BD">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22295E83" w14:textId="0C5E587C" w:rsidR="00C53D91" w:rsidRPr="00703A0B" w:rsidRDefault="003D16FE" w:rsidP="00C53D91">
            <w:pPr>
              <w:rPr>
                <w:rFonts w:eastAsia="Times New Roman" w:cs="Arial"/>
                <w:b w:val="0"/>
                <w:color w:val="000000"/>
                <w:szCs w:val="22"/>
                <w:lang w:eastAsia="en-AU"/>
              </w:rPr>
            </w:pPr>
            <w:r>
              <w:rPr>
                <w:rFonts w:eastAsia="Times New Roman" w:cs="Arial"/>
                <w:b w:val="0"/>
                <w:color w:val="000000"/>
                <w:szCs w:val="22"/>
                <w:lang w:eastAsia="en-AU"/>
              </w:rPr>
              <w:t>NCBP</w:t>
            </w:r>
          </w:p>
        </w:tc>
        <w:tc>
          <w:tcPr>
            <w:tcW w:w="7660" w:type="dxa"/>
            <w:tcBorders>
              <w:left w:val="single" w:sz="4" w:space="0" w:color="auto"/>
              <w:right w:val="single" w:sz="4" w:space="0" w:color="auto"/>
            </w:tcBorders>
            <w:noWrap/>
          </w:tcPr>
          <w:p w14:paraId="281B8209" w14:textId="77FB5C7E" w:rsidR="00C53D91" w:rsidRPr="00703A0B" w:rsidRDefault="003D16FE" w:rsidP="00C53D91">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2"/>
                <w:lang w:eastAsia="en-AU"/>
              </w:rPr>
            </w:pPr>
            <w:r w:rsidRPr="003D16FE">
              <w:rPr>
                <w:rFonts w:eastAsia="Times New Roman" w:cs="Arial"/>
                <w:color w:val="000000"/>
                <w:szCs w:val="22"/>
                <w:lang w:eastAsia="en-AU"/>
              </w:rPr>
              <w:t>Non-conforming building product</w:t>
            </w:r>
          </w:p>
        </w:tc>
      </w:tr>
      <w:tr w:rsidR="00C53D91" w:rsidRPr="00703A0B" w:rsidDel="00D52F83" w14:paraId="5CD574EE" w14:textId="77777777" w:rsidTr="00C72E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53C509B5" w14:textId="011835C7" w:rsidR="00C53D91" w:rsidRPr="00703A0B" w:rsidDel="00D52F83" w:rsidRDefault="004478D9" w:rsidP="00C53D91">
            <w:pPr>
              <w:rPr>
                <w:rFonts w:eastAsia="Times New Roman" w:cs="Arial"/>
                <w:b w:val="0"/>
                <w:bCs w:val="0"/>
                <w:color w:val="000000"/>
                <w:szCs w:val="22"/>
                <w:lang w:eastAsia="en-AU"/>
              </w:rPr>
            </w:pPr>
            <w:r>
              <w:rPr>
                <w:rFonts w:eastAsia="Times New Roman" w:cs="Arial"/>
                <w:b w:val="0"/>
                <w:color w:val="000000"/>
                <w:szCs w:val="22"/>
                <w:lang w:eastAsia="en-AU"/>
              </w:rPr>
              <w:t>NWP</w:t>
            </w:r>
          </w:p>
        </w:tc>
        <w:tc>
          <w:tcPr>
            <w:tcW w:w="7660" w:type="dxa"/>
            <w:tcBorders>
              <w:left w:val="single" w:sz="4" w:space="0" w:color="auto"/>
              <w:right w:val="single" w:sz="4" w:space="0" w:color="auto"/>
            </w:tcBorders>
            <w:noWrap/>
          </w:tcPr>
          <w:p w14:paraId="4912445D" w14:textId="18D3CB44" w:rsidR="00C53D91" w:rsidRPr="00703A0B" w:rsidDel="00D52F83" w:rsidRDefault="004478D9" w:rsidP="00C53D91">
            <w:pP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2"/>
                <w:lang w:eastAsia="en-AU"/>
              </w:rPr>
            </w:pPr>
            <w:r w:rsidRPr="004478D9">
              <w:rPr>
                <w:rFonts w:eastAsia="Times New Roman" w:cs="Arial"/>
                <w:color w:val="000000"/>
                <w:szCs w:val="22"/>
                <w:lang w:eastAsia="en-AU"/>
              </w:rPr>
              <w:t>Notifiable Work Panel</w:t>
            </w:r>
          </w:p>
        </w:tc>
      </w:tr>
      <w:tr w:rsidR="00C53D91" w:rsidRPr="00703A0B" w14:paraId="77B2390B" w14:textId="77777777" w:rsidTr="004D1C30">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hideMark/>
          </w:tcPr>
          <w:p w14:paraId="781494A5" w14:textId="77777777" w:rsidR="00C53D91" w:rsidRPr="00703A0B" w:rsidRDefault="00C53D91" w:rsidP="00C53D91">
            <w:pPr>
              <w:rPr>
                <w:rFonts w:eastAsia="Times New Roman" w:cs="Arial"/>
                <w:b w:val="0"/>
                <w:color w:val="000000"/>
                <w:szCs w:val="22"/>
                <w:lang w:eastAsia="en-AU"/>
              </w:rPr>
            </w:pPr>
            <w:r w:rsidRPr="00703A0B">
              <w:rPr>
                <w:rFonts w:eastAsia="Times New Roman" w:cs="Arial"/>
                <w:b w:val="0"/>
                <w:color w:val="000000"/>
                <w:szCs w:val="22"/>
                <w:lang w:eastAsia="en-AU"/>
              </w:rPr>
              <w:t>PCP</w:t>
            </w:r>
          </w:p>
        </w:tc>
        <w:tc>
          <w:tcPr>
            <w:tcW w:w="7660" w:type="dxa"/>
            <w:tcBorders>
              <w:left w:val="single" w:sz="4" w:space="0" w:color="auto"/>
              <w:right w:val="single" w:sz="4" w:space="0" w:color="auto"/>
            </w:tcBorders>
            <w:noWrap/>
            <w:hideMark/>
          </w:tcPr>
          <w:p w14:paraId="48978410" w14:textId="77777777" w:rsidR="00C53D91" w:rsidRPr="00703A0B" w:rsidRDefault="00C53D91" w:rsidP="00C53D91">
            <w:pPr>
              <w:cnfStyle w:val="000000000000" w:firstRow="0" w:lastRow="0" w:firstColumn="0" w:lastColumn="0" w:oddVBand="0" w:evenVBand="0" w:oddHBand="0" w:evenHBand="0" w:firstRowFirstColumn="0" w:firstRowLastColumn="0" w:lastRowFirstColumn="0" w:lastRowLastColumn="0"/>
            </w:pPr>
            <w:r w:rsidRPr="00703A0B">
              <w:t>People, Culture and Performance Committee</w:t>
            </w:r>
          </w:p>
        </w:tc>
      </w:tr>
      <w:tr w:rsidR="00C53D91" w:rsidRPr="00703A0B" w14:paraId="39240434" w14:textId="77777777" w:rsidTr="004D1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hideMark/>
          </w:tcPr>
          <w:p w14:paraId="0B435608" w14:textId="77777777" w:rsidR="00C53D91" w:rsidRPr="00703A0B" w:rsidRDefault="00C53D91" w:rsidP="00C53D91">
            <w:pPr>
              <w:rPr>
                <w:rFonts w:eastAsia="Times New Roman" w:cs="Arial"/>
                <w:b w:val="0"/>
                <w:color w:val="000000"/>
                <w:szCs w:val="22"/>
                <w:lang w:eastAsia="en-AU"/>
              </w:rPr>
            </w:pPr>
            <w:r w:rsidRPr="00703A0B">
              <w:rPr>
                <w:rFonts w:eastAsia="Times New Roman" w:cs="Arial"/>
                <w:b w:val="0"/>
                <w:color w:val="000000"/>
                <w:szCs w:val="22"/>
                <w:lang w:eastAsia="en-AU"/>
              </w:rPr>
              <w:t>PD Act</w:t>
            </w:r>
          </w:p>
        </w:tc>
        <w:tc>
          <w:tcPr>
            <w:tcW w:w="7660" w:type="dxa"/>
            <w:tcBorders>
              <w:left w:val="single" w:sz="4" w:space="0" w:color="auto"/>
              <w:right w:val="single" w:sz="4" w:space="0" w:color="auto"/>
            </w:tcBorders>
            <w:noWrap/>
            <w:hideMark/>
          </w:tcPr>
          <w:p w14:paraId="31482E46" w14:textId="77777777" w:rsidR="00C53D91" w:rsidRPr="00703A0B" w:rsidRDefault="00C53D91" w:rsidP="00C53D91">
            <w:pPr>
              <w:cnfStyle w:val="000000100000" w:firstRow="0" w:lastRow="0" w:firstColumn="0" w:lastColumn="0" w:oddVBand="0" w:evenVBand="0" w:oddHBand="1" w:evenHBand="0" w:firstRowFirstColumn="0" w:firstRowLastColumn="0" w:lastRowFirstColumn="0" w:lastRowLastColumn="0"/>
              <w:rPr>
                <w:rFonts w:eastAsia="Times New Roman" w:cs="Arial"/>
                <w:i/>
                <w:iCs/>
                <w:color w:val="000000"/>
                <w:szCs w:val="22"/>
                <w:lang w:eastAsia="en-AU"/>
              </w:rPr>
            </w:pPr>
            <w:r w:rsidRPr="00703A0B">
              <w:rPr>
                <w:rFonts w:eastAsia="Times New Roman" w:cs="Arial"/>
                <w:i/>
                <w:iCs/>
                <w:color w:val="000000"/>
                <w:szCs w:val="22"/>
                <w:lang w:eastAsia="en-AU"/>
              </w:rPr>
              <w:t>Plumbing and Drainage Act 2018</w:t>
            </w:r>
          </w:p>
        </w:tc>
      </w:tr>
      <w:tr w:rsidR="006C663C" w:rsidRPr="00703A0B" w14:paraId="599ABAB6" w14:textId="77777777" w:rsidTr="004D1C30">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740C69C3" w14:textId="663DCADC" w:rsidR="006C663C" w:rsidRPr="00E656BD" w:rsidRDefault="006C663C" w:rsidP="00C53D91">
            <w:pPr>
              <w:rPr>
                <w:rFonts w:eastAsia="Times New Roman" w:cs="Arial"/>
                <w:b w:val="0"/>
                <w:bCs w:val="0"/>
                <w:color w:val="000000"/>
                <w:szCs w:val="22"/>
                <w:lang w:eastAsia="en-AU"/>
              </w:rPr>
            </w:pPr>
            <w:r w:rsidRPr="00E656BD">
              <w:rPr>
                <w:rFonts w:eastAsia="Times New Roman" w:cs="Arial"/>
                <w:b w:val="0"/>
                <w:bCs w:val="0"/>
                <w:color w:val="000000"/>
                <w:szCs w:val="22"/>
                <w:lang w:eastAsia="en-AU"/>
              </w:rPr>
              <w:t>PDP</w:t>
            </w:r>
          </w:p>
        </w:tc>
        <w:tc>
          <w:tcPr>
            <w:tcW w:w="7660" w:type="dxa"/>
            <w:tcBorders>
              <w:left w:val="single" w:sz="4" w:space="0" w:color="auto"/>
              <w:right w:val="single" w:sz="4" w:space="0" w:color="auto"/>
            </w:tcBorders>
            <w:noWrap/>
          </w:tcPr>
          <w:p w14:paraId="1B424D43" w14:textId="00CD069C" w:rsidR="006C663C" w:rsidRPr="00E656BD" w:rsidRDefault="006C663C" w:rsidP="00C53D91">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2"/>
                <w:lang w:eastAsia="en-AU"/>
              </w:rPr>
            </w:pPr>
            <w:r w:rsidRPr="00E656BD">
              <w:rPr>
                <w:rFonts w:eastAsia="Times New Roman" w:cs="Arial"/>
                <w:color w:val="000000"/>
                <w:szCs w:val="22"/>
                <w:lang w:eastAsia="en-AU"/>
              </w:rPr>
              <w:t>Performance Development Plan</w:t>
            </w:r>
          </w:p>
        </w:tc>
      </w:tr>
      <w:tr w:rsidR="00C53D91" w:rsidRPr="00703A0B" w14:paraId="34D364C0" w14:textId="77777777" w:rsidTr="004D1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hideMark/>
          </w:tcPr>
          <w:p w14:paraId="62612392" w14:textId="77777777" w:rsidR="00C53D91" w:rsidRPr="00703A0B" w:rsidRDefault="00C53D91" w:rsidP="00C53D91">
            <w:pPr>
              <w:rPr>
                <w:rFonts w:eastAsia="Times New Roman" w:cs="Arial"/>
                <w:b w:val="0"/>
                <w:color w:val="000000"/>
                <w:szCs w:val="22"/>
                <w:lang w:eastAsia="en-AU"/>
              </w:rPr>
            </w:pPr>
            <w:r w:rsidRPr="00703A0B">
              <w:rPr>
                <w:rFonts w:eastAsia="Times New Roman" w:cs="Arial"/>
                <w:b w:val="0"/>
                <w:color w:val="000000"/>
                <w:szCs w:val="22"/>
                <w:lang w:eastAsia="en-AU"/>
              </w:rPr>
              <w:t>QAO</w:t>
            </w:r>
          </w:p>
        </w:tc>
        <w:tc>
          <w:tcPr>
            <w:tcW w:w="7660" w:type="dxa"/>
            <w:tcBorders>
              <w:left w:val="single" w:sz="4" w:space="0" w:color="auto"/>
              <w:right w:val="single" w:sz="4" w:space="0" w:color="auto"/>
            </w:tcBorders>
            <w:noWrap/>
            <w:hideMark/>
          </w:tcPr>
          <w:p w14:paraId="439E8EA7" w14:textId="77777777" w:rsidR="00C53D91" w:rsidRPr="00703A0B" w:rsidRDefault="00C53D91" w:rsidP="00C53D91">
            <w:pP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2"/>
                <w:lang w:eastAsia="en-AU"/>
              </w:rPr>
            </w:pPr>
            <w:r w:rsidRPr="00703A0B">
              <w:rPr>
                <w:rFonts w:eastAsia="Times New Roman" w:cs="Arial"/>
                <w:color w:val="000000"/>
                <w:szCs w:val="22"/>
                <w:lang w:eastAsia="en-AU"/>
              </w:rPr>
              <w:t>Queensland Audit Office</w:t>
            </w:r>
          </w:p>
        </w:tc>
      </w:tr>
      <w:tr w:rsidR="00C53D91" w:rsidRPr="00703A0B" w14:paraId="4A63DC15" w14:textId="77777777" w:rsidTr="004D1C30">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hideMark/>
          </w:tcPr>
          <w:p w14:paraId="2CCCE98D" w14:textId="649708FD" w:rsidR="00C53D91" w:rsidRPr="00703A0B" w:rsidRDefault="00C53D91" w:rsidP="00C53D91">
            <w:pPr>
              <w:rPr>
                <w:rFonts w:eastAsia="Times New Roman" w:cs="Arial"/>
                <w:b w:val="0"/>
                <w:color w:val="000000"/>
                <w:szCs w:val="22"/>
                <w:lang w:eastAsia="en-AU"/>
              </w:rPr>
            </w:pPr>
            <w:r w:rsidRPr="00703A0B">
              <w:rPr>
                <w:rFonts w:eastAsia="Times New Roman" w:cs="Arial"/>
                <w:b w:val="0"/>
                <w:color w:val="000000"/>
                <w:szCs w:val="22"/>
                <w:lang w:eastAsia="en-AU"/>
              </w:rPr>
              <w:t>QBC</w:t>
            </w:r>
          </w:p>
        </w:tc>
        <w:tc>
          <w:tcPr>
            <w:tcW w:w="7660" w:type="dxa"/>
            <w:tcBorders>
              <w:left w:val="single" w:sz="4" w:space="0" w:color="auto"/>
              <w:right w:val="single" w:sz="4" w:space="0" w:color="auto"/>
            </w:tcBorders>
            <w:noWrap/>
            <w:hideMark/>
          </w:tcPr>
          <w:p w14:paraId="4C288ADB" w14:textId="3B657AC1" w:rsidR="00C53D91" w:rsidRPr="00703A0B" w:rsidRDefault="00C53D91" w:rsidP="00C53D91">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2"/>
                <w:lang w:eastAsia="en-AU"/>
              </w:rPr>
            </w:pPr>
            <w:r w:rsidRPr="00703A0B">
              <w:rPr>
                <w:rFonts w:eastAsia="Times New Roman" w:cs="Arial"/>
                <w:color w:val="000000"/>
                <w:szCs w:val="22"/>
                <w:lang w:eastAsia="en-AU"/>
              </w:rPr>
              <w:t>Queensland Building and Construction</w:t>
            </w:r>
          </w:p>
        </w:tc>
      </w:tr>
      <w:tr w:rsidR="00C53D91" w:rsidRPr="00703A0B" w14:paraId="5C175668" w14:textId="77777777" w:rsidTr="004D1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hideMark/>
          </w:tcPr>
          <w:p w14:paraId="73FEFA60" w14:textId="77777777" w:rsidR="00C53D91" w:rsidRPr="00703A0B" w:rsidRDefault="00C53D91" w:rsidP="00C53D91">
            <w:pPr>
              <w:rPr>
                <w:rFonts w:eastAsia="Times New Roman" w:cs="Arial"/>
                <w:b w:val="0"/>
                <w:color w:val="000000"/>
                <w:szCs w:val="22"/>
                <w:lang w:eastAsia="en-AU"/>
              </w:rPr>
            </w:pPr>
            <w:r w:rsidRPr="00703A0B">
              <w:rPr>
                <w:rFonts w:eastAsia="Times New Roman" w:cs="Arial"/>
                <w:b w:val="0"/>
                <w:color w:val="000000"/>
                <w:szCs w:val="22"/>
                <w:lang w:eastAsia="en-AU"/>
              </w:rPr>
              <w:t>QBCC</w:t>
            </w:r>
          </w:p>
        </w:tc>
        <w:tc>
          <w:tcPr>
            <w:tcW w:w="7660" w:type="dxa"/>
            <w:tcBorders>
              <w:left w:val="single" w:sz="4" w:space="0" w:color="auto"/>
              <w:right w:val="single" w:sz="4" w:space="0" w:color="auto"/>
            </w:tcBorders>
            <w:noWrap/>
            <w:hideMark/>
          </w:tcPr>
          <w:p w14:paraId="17D83288" w14:textId="77777777" w:rsidR="00C53D91" w:rsidRPr="00703A0B" w:rsidRDefault="00C53D91" w:rsidP="00C53D91">
            <w:pP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2"/>
                <w:lang w:eastAsia="en-AU"/>
              </w:rPr>
            </w:pPr>
            <w:r w:rsidRPr="00703A0B">
              <w:rPr>
                <w:rFonts w:eastAsia="Times New Roman" w:cs="Arial"/>
                <w:color w:val="000000"/>
                <w:szCs w:val="22"/>
                <w:lang w:eastAsia="en-AU"/>
              </w:rPr>
              <w:t>Queensland Building and Construction Commission</w:t>
            </w:r>
          </w:p>
        </w:tc>
      </w:tr>
      <w:tr w:rsidR="00C53D91" w:rsidRPr="00703A0B" w14:paraId="43A265AF" w14:textId="77777777" w:rsidTr="004D1C30">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hideMark/>
          </w:tcPr>
          <w:p w14:paraId="065ACD2B" w14:textId="77777777" w:rsidR="00C53D91" w:rsidRPr="00703A0B" w:rsidRDefault="00C53D91" w:rsidP="00C53D91">
            <w:pPr>
              <w:rPr>
                <w:rFonts w:eastAsia="Times New Roman" w:cs="Arial"/>
                <w:b w:val="0"/>
                <w:color w:val="000000"/>
                <w:szCs w:val="22"/>
                <w:lang w:eastAsia="en-AU"/>
              </w:rPr>
            </w:pPr>
            <w:r w:rsidRPr="00703A0B">
              <w:rPr>
                <w:rFonts w:eastAsia="Times New Roman" w:cs="Arial"/>
                <w:b w:val="0"/>
                <w:color w:val="000000"/>
                <w:szCs w:val="22"/>
                <w:lang w:eastAsia="en-AU"/>
              </w:rPr>
              <w:t>QBCC Act</w:t>
            </w:r>
          </w:p>
        </w:tc>
        <w:tc>
          <w:tcPr>
            <w:tcW w:w="7660" w:type="dxa"/>
            <w:tcBorders>
              <w:left w:val="single" w:sz="4" w:space="0" w:color="auto"/>
              <w:right w:val="single" w:sz="4" w:space="0" w:color="auto"/>
            </w:tcBorders>
            <w:noWrap/>
            <w:hideMark/>
          </w:tcPr>
          <w:p w14:paraId="647DA7FC" w14:textId="77777777" w:rsidR="00C53D91" w:rsidRPr="00703A0B" w:rsidRDefault="00C53D91" w:rsidP="00C53D91">
            <w:pPr>
              <w:cnfStyle w:val="000000000000" w:firstRow="0" w:lastRow="0" w:firstColumn="0" w:lastColumn="0" w:oddVBand="0" w:evenVBand="0" w:oddHBand="0" w:evenHBand="0" w:firstRowFirstColumn="0" w:firstRowLastColumn="0" w:lastRowFirstColumn="0" w:lastRowLastColumn="0"/>
              <w:rPr>
                <w:rFonts w:eastAsia="Times New Roman" w:cs="Arial"/>
                <w:i/>
                <w:iCs/>
                <w:color w:val="000000"/>
                <w:szCs w:val="22"/>
                <w:lang w:eastAsia="en-AU"/>
              </w:rPr>
            </w:pPr>
            <w:r w:rsidRPr="00703A0B">
              <w:rPr>
                <w:rFonts w:eastAsia="Times New Roman" w:cs="Arial"/>
                <w:i/>
                <w:iCs/>
                <w:color w:val="000000"/>
                <w:szCs w:val="22"/>
                <w:lang w:eastAsia="en-AU"/>
              </w:rPr>
              <w:t>Queensland Building and Construction Commission Act 1991</w:t>
            </w:r>
          </w:p>
        </w:tc>
      </w:tr>
      <w:tr w:rsidR="00C53D91" w:rsidRPr="00703A0B" w14:paraId="56B1B20B" w14:textId="77777777" w:rsidTr="004D1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63EE82F3" w14:textId="7EE9A88A" w:rsidR="00C53D91" w:rsidRPr="00703A0B" w:rsidRDefault="00C53D91" w:rsidP="00C53D91">
            <w:pPr>
              <w:rPr>
                <w:rFonts w:eastAsia="Times New Roman" w:cs="Arial"/>
                <w:b w:val="0"/>
                <w:color w:val="000000"/>
                <w:szCs w:val="22"/>
                <w:lang w:eastAsia="en-AU"/>
              </w:rPr>
            </w:pPr>
            <w:r w:rsidRPr="00703A0B">
              <w:rPr>
                <w:rFonts w:eastAsia="Times New Roman" w:cs="Arial"/>
                <w:b w:val="0"/>
                <w:color w:val="000000"/>
                <w:szCs w:val="22"/>
                <w:lang w:eastAsia="en-AU"/>
              </w:rPr>
              <w:t>QBCC Annual Report</w:t>
            </w:r>
          </w:p>
        </w:tc>
        <w:tc>
          <w:tcPr>
            <w:tcW w:w="7660" w:type="dxa"/>
            <w:tcBorders>
              <w:left w:val="single" w:sz="4" w:space="0" w:color="auto"/>
              <w:right w:val="single" w:sz="4" w:space="0" w:color="auto"/>
            </w:tcBorders>
            <w:noWrap/>
          </w:tcPr>
          <w:p w14:paraId="502280BD" w14:textId="1A5130C2" w:rsidR="00C53D91" w:rsidRPr="00703A0B" w:rsidRDefault="00C53D91" w:rsidP="00C53D91">
            <w:pPr>
              <w:cnfStyle w:val="000000100000" w:firstRow="0" w:lastRow="0" w:firstColumn="0" w:lastColumn="0" w:oddVBand="0" w:evenVBand="0" w:oddHBand="1" w:evenHBand="0" w:firstRowFirstColumn="0" w:firstRowLastColumn="0" w:lastRowFirstColumn="0" w:lastRowLastColumn="0"/>
              <w:rPr>
                <w:rFonts w:eastAsia="Times New Roman" w:cs="Arial"/>
                <w:i/>
                <w:iCs/>
                <w:color w:val="000000"/>
                <w:szCs w:val="22"/>
                <w:lang w:eastAsia="en-AU"/>
              </w:rPr>
            </w:pPr>
            <w:r w:rsidRPr="00703A0B">
              <w:rPr>
                <w:rFonts w:eastAsia="Times New Roman" w:cs="Arial"/>
                <w:color w:val="000000"/>
                <w:szCs w:val="22"/>
                <w:lang w:eastAsia="en-AU"/>
              </w:rPr>
              <w:t>Queensland Building and Construction Commission Annual Report 2025–26</w:t>
            </w:r>
          </w:p>
        </w:tc>
      </w:tr>
      <w:tr w:rsidR="00C53D91" w:rsidRPr="00703A0B" w14:paraId="6BCEE9CE" w14:textId="77777777" w:rsidTr="714D47D6">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5648E533" w14:textId="6636345D" w:rsidR="00C53D91" w:rsidRPr="00462928" w:rsidRDefault="00C53D91" w:rsidP="00C53D91">
            <w:pPr>
              <w:rPr>
                <w:rFonts w:eastAsia="Times New Roman" w:cs="Arial"/>
                <w:b w:val="0"/>
                <w:bCs w:val="0"/>
                <w:color w:val="000000"/>
                <w:szCs w:val="22"/>
                <w:lang w:eastAsia="en-AU"/>
              </w:rPr>
            </w:pPr>
            <w:r w:rsidRPr="00E656BD">
              <w:rPr>
                <w:rFonts w:eastAsia="Times New Roman" w:cs="Arial"/>
                <w:b w:val="0"/>
                <w:bCs w:val="0"/>
                <w:color w:val="000000"/>
                <w:szCs w:val="22"/>
                <w:lang w:eastAsia="en-AU"/>
              </w:rPr>
              <w:t>QBCEO</w:t>
            </w:r>
          </w:p>
        </w:tc>
        <w:tc>
          <w:tcPr>
            <w:tcW w:w="7660" w:type="dxa"/>
            <w:tcBorders>
              <w:left w:val="single" w:sz="4" w:space="0" w:color="auto"/>
              <w:right w:val="single" w:sz="4" w:space="0" w:color="auto"/>
            </w:tcBorders>
            <w:noWrap/>
          </w:tcPr>
          <w:p w14:paraId="458DCBC4" w14:textId="534FE09C" w:rsidR="00C53D91" w:rsidRPr="00703A0B" w:rsidRDefault="00C53D91" w:rsidP="00C53D91">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2"/>
                <w:lang w:eastAsia="en-AU"/>
              </w:rPr>
            </w:pPr>
            <w:r w:rsidRPr="00703A0B">
              <w:rPr>
                <w:rFonts w:eastAsia="Times New Roman" w:cs="Arial"/>
                <w:color w:val="000000"/>
                <w:szCs w:val="22"/>
                <w:lang w:eastAsia="en-AU"/>
              </w:rPr>
              <w:t>Queensland Building and Construction Employing Office</w:t>
            </w:r>
          </w:p>
        </w:tc>
      </w:tr>
      <w:tr w:rsidR="00C53D91" w:rsidRPr="00703A0B" w14:paraId="480D7CD1" w14:textId="77777777" w:rsidTr="004D1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hideMark/>
          </w:tcPr>
          <w:p w14:paraId="4823BD12" w14:textId="77777777" w:rsidR="00C53D91" w:rsidRPr="00703A0B" w:rsidRDefault="00C53D91" w:rsidP="00C53D91">
            <w:pPr>
              <w:rPr>
                <w:rFonts w:eastAsia="Times New Roman" w:cs="Arial"/>
                <w:b w:val="0"/>
                <w:color w:val="000000"/>
                <w:szCs w:val="22"/>
                <w:lang w:eastAsia="en-AU"/>
              </w:rPr>
            </w:pPr>
            <w:r w:rsidRPr="00703A0B">
              <w:rPr>
                <w:rFonts w:eastAsia="Times New Roman" w:cs="Arial"/>
                <w:b w:val="0"/>
                <w:color w:val="000000"/>
                <w:szCs w:val="22"/>
                <w:lang w:eastAsia="en-AU"/>
              </w:rPr>
              <w:t>QCAT</w:t>
            </w:r>
          </w:p>
        </w:tc>
        <w:tc>
          <w:tcPr>
            <w:tcW w:w="7660" w:type="dxa"/>
            <w:tcBorders>
              <w:left w:val="single" w:sz="4" w:space="0" w:color="auto"/>
              <w:right w:val="single" w:sz="4" w:space="0" w:color="auto"/>
            </w:tcBorders>
            <w:noWrap/>
            <w:hideMark/>
          </w:tcPr>
          <w:p w14:paraId="1E1934DB" w14:textId="77777777" w:rsidR="00C53D91" w:rsidRPr="00703A0B" w:rsidRDefault="00C53D91" w:rsidP="00C53D91">
            <w:pP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2"/>
                <w:lang w:eastAsia="en-AU"/>
              </w:rPr>
            </w:pPr>
            <w:r w:rsidRPr="00703A0B">
              <w:rPr>
                <w:rFonts w:eastAsia="Times New Roman" w:cs="Arial"/>
                <w:color w:val="000000"/>
                <w:szCs w:val="22"/>
                <w:lang w:eastAsia="en-AU"/>
              </w:rPr>
              <w:t>Queensland Civil and Administrative Tribunal</w:t>
            </w:r>
          </w:p>
        </w:tc>
      </w:tr>
      <w:tr w:rsidR="00C53D91" w:rsidRPr="00703A0B" w14:paraId="1D9D064F" w14:textId="77777777" w:rsidTr="004D1C30">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hideMark/>
          </w:tcPr>
          <w:p w14:paraId="487A2DCD" w14:textId="77777777" w:rsidR="00C53D91" w:rsidRPr="00703A0B" w:rsidRDefault="00C53D91" w:rsidP="00C53D91">
            <w:pPr>
              <w:rPr>
                <w:rFonts w:eastAsia="Times New Roman" w:cs="Arial"/>
                <w:b w:val="0"/>
                <w:color w:val="000000"/>
                <w:szCs w:val="22"/>
                <w:lang w:eastAsia="en-AU"/>
              </w:rPr>
            </w:pPr>
            <w:r w:rsidRPr="00703A0B">
              <w:rPr>
                <w:rFonts w:eastAsia="Times New Roman" w:cs="Arial"/>
                <w:b w:val="0"/>
                <w:color w:val="000000"/>
                <w:szCs w:val="22"/>
                <w:lang w:eastAsia="en-AU"/>
              </w:rPr>
              <w:t>QGEA</w:t>
            </w:r>
          </w:p>
        </w:tc>
        <w:tc>
          <w:tcPr>
            <w:tcW w:w="7660" w:type="dxa"/>
            <w:tcBorders>
              <w:left w:val="single" w:sz="4" w:space="0" w:color="auto"/>
              <w:right w:val="single" w:sz="4" w:space="0" w:color="auto"/>
            </w:tcBorders>
            <w:noWrap/>
            <w:hideMark/>
          </w:tcPr>
          <w:p w14:paraId="123BDD14" w14:textId="77777777" w:rsidR="00C53D91" w:rsidRPr="00703A0B" w:rsidRDefault="00C53D91" w:rsidP="00C53D91">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2"/>
                <w:lang w:eastAsia="en-AU"/>
              </w:rPr>
            </w:pPr>
            <w:r w:rsidRPr="00703A0B">
              <w:rPr>
                <w:rFonts w:eastAsia="Times New Roman" w:cs="Arial"/>
                <w:color w:val="000000"/>
                <w:szCs w:val="22"/>
                <w:lang w:eastAsia="en-AU"/>
              </w:rPr>
              <w:t>Queensland Government Enterprise Architecture</w:t>
            </w:r>
          </w:p>
        </w:tc>
      </w:tr>
      <w:tr w:rsidR="00C53D91" w:rsidRPr="00703A0B" w14:paraId="458CC2E7" w14:textId="77777777" w:rsidTr="004D1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hideMark/>
          </w:tcPr>
          <w:p w14:paraId="2C07C776" w14:textId="77777777" w:rsidR="00C53D91" w:rsidRPr="00703A0B" w:rsidRDefault="00C53D91" w:rsidP="00C53D91">
            <w:pPr>
              <w:rPr>
                <w:rFonts w:eastAsia="Times New Roman" w:cs="Arial"/>
                <w:b w:val="0"/>
                <w:color w:val="000000"/>
                <w:szCs w:val="22"/>
                <w:lang w:eastAsia="en-AU"/>
              </w:rPr>
            </w:pPr>
            <w:r w:rsidRPr="00703A0B">
              <w:rPr>
                <w:rFonts w:eastAsia="Times New Roman" w:cs="Arial"/>
                <w:b w:val="0"/>
                <w:color w:val="000000"/>
                <w:szCs w:val="22"/>
                <w:lang w:eastAsia="en-AU"/>
              </w:rPr>
              <w:t>QHWS</w:t>
            </w:r>
          </w:p>
        </w:tc>
        <w:tc>
          <w:tcPr>
            <w:tcW w:w="7660" w:type="dxa"/>
            <w:tcBorders>
              <w:left w:val="single" w:sz="4" w:space="0" w:color="auto"/>
              <w:right w:val="single" w:sz="4" w:space="0" w:color="auto"/>
            </w:tcBorders>
            <w:noWrap/>
            <w:hideMark/>
          </w:tcPr>
          <w:p w14:paraId="417BCDA3" w14:textId="77777777" w:rsidR="00C53D91" w:rsidRPr="00703A0B" w:rsidRDefault="00C53D91" w:rsidP="00C53D91">
            <w:pP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2"/>
                <w:lang w:eastAsia="en-AU"/>
              </w:rPr>
            </w:pPr>
            <w:r w:rsidRPr="00703A0B">
              <w:rPr>
                <w:rFonts w:eastAsia="Times New Roman" w:cs="Arial"/>
                <w:color w:val="000000"/>
                <w:szCs w:val="22"/>
                <w:lang w:eastAsia="en-AU"/>
              </w:rPr>
              <w:t>Queensland Home Warranty Scheme</w:t>
            </w:r>
          </w:p>
        </w:tc>
      </w:tr>
      <w:tr w:rsidR="00110537" w:rsidRPr="00703A0B" w14:paraId="5B8AF14C" w14:textId="77777777" w:rsidTr="004D1C30">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692FBCF1" w14:textId="1029BD7C" w:rsidR="00110537" w:rsidRPr="00703A0B" w:rsidRDefault="00110537" w:rsidP="00110537">
            <w:pPr>
              <w:rPr>
                <w:rFonts w:eastAsia="Times New Roman" w:cs="Arial"/>
                <w:b w:val="0"/>
                <w:color w:val="000000"/>
                <w:szCs w:val="22"/>
                <w:lang w:eastAsia="en-AU"/>
              </w:rPr>
            </w:pPr>
            <w:r w:rsidRPr="00703A0B">
              <w:rPr>
                <w:rFonts w:eastAsia="Times New Roman" w:cs="Arial"/>
                <w:b w:val="0"/>
                <w:color w:val="000000"/>
                <w:szCs w:val="22"/>
                <w:lang w:eastAsia="en-AU"/>
              </w:rPr>
              <w:t>Registry</w:t>
            </w:r>
          </w:p>
        </w:tc>
        <w:tc>
          <w:tcPr>
            <w:tcW w:w="7660" w:type="dxa"/>
            <w:tcBorders>
              <w:left w:val="single" w:sz="4" w:space="0" w:color="auto"/>
              <w:right w:val="single" w:sz="4" w:space="0" w:color="auto"/>
            </w:tcBorders>
            <w:noWrap/>
          </w:tcPr>
          <w:p w14:paraId="67705572" w14:textId="2C56EB7E" w:rsidR="00110537" w:rsidRPr="00703A0B" w:rsidRDefault="00110537" w:rsidP="0011053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2"/>
                <w:lang w:eastAsia="en-AU"/>
              </w:rPr>
            </w:pPr>
            <w:r w:rsidRPr="00703A0B">
              <w:rPr>
                <w:rFonts w:eastAsia="Times New Roman" w:cs="Arial"/>
                <w:color w:val="000000"/>
                <w:szCs w:val="22"/>
                <w:lang w:eastAsia="en-AU"/>
              </w:rPr>
              <w:t>Adjudication Registry</w:t>
            </w:r>
          </w:p>
        </w:tc>
      </w:tr>
      <w:tr w:rsidR="00110537" w:rsidRPr="00703A0B" w14:paraId="28050F0A" w14:textId="77777777" w:rsidTr="00C72E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3E93BDA0" w14:textId="1D950DC4" w:rsidR="00110537" w:rsidRPr="00703A0B" w:rsidRDefault="00110537" w:rsidP="00110537">
            <w:pPr>
              <w:rPr>
                <w:rFonts w:eastAsia="Times New Roman" w:cs="Arial"/>
                <w:b w:val="0"/>
                <w:color w:val="000000"/>
                <w:szCs w:val="22"/>
                <w:lang w:eastAsia="en-AU"/>
              </w:rPr>
            </w:pPr>
            <w:r>
              <w:rPr>
                <w:rFonts w:eastAsia="Times New Roman" w:cs="Arial"/>
                <w:b w:val="0"/>
                <w:color w:val="000000"/>
                <w:szCs w:val="22"/>
                <w:lang w:eastAsia="en-AU"/>
              </w:rPr>
              <w:t>RTI Act</w:t>
            </w:r>
          </w:p>
        </w:tc>
        <w:tc>
          <w:tcPr>
            <w:tcW w:w="7660" w:type="dxa"/>
            <w:tcBorders>
              <w:left w:val="single" w:sz="4" w:space="0" w:color="auto"/>
              <w:right w:val="single" w:sz="4" w:space="0" w:color="auto"/>
            </w:tcBorders>
            <w:noWrap/>
          </w:tcPr>
          <w:p w14:paraId="44DE879B" w14:textId="7A3DD0E2" w:rsidR="00110537" w:rsidRPr="00E656BD" w:rsidRDefault="00B73023" w:rsidP="00110537">
            <w:pPr>
              <w:cnfStyle w:val="000000100000" w:firstRow="0" w:lastRow="0" w:firstColumn="0" w:lastColumn="0" w:oddVBand="0" w:evenVBand="0" w:oddHBand="1" w:evenHBand="0" w:firstRowFirstColumn="0" w:firstRowLastColumn="0" w:lastRowFirstColumn="0" w:lastRowLastColumn="0"/>
              <w:rPr>
                <w:rFonts w:eastAsia="Times New Roman" w:cs="Arial"/>
                <w:i/>
                <w:iCs/>
                <w:color w:val="000000"/>
                <w:szCs w:val="22"/>
                <w:lang w:eastAsia="en-AU"/>
              </w:rPr>
            </w:pPr>
            <w:r w:rsidRPr="00E656BD">
              <w:rPr>
                <w:rFonts w:eastAsia="Times New Roman" w:cs="Arial"/>
                <w:i/>
                <w:iCs/>
                <w:color w:val="000000"/>
                <w:szCs w:val="22"/>
                <w:lang w:eastAsia="en-AU"/>
              </w:rPr>
              <w:t>Right to Information Act 2009</w:t>
            </w:r>
          </w:p>
        </w:tc>
      </w:tr>
      <w:tr w:rsidR="00110537" w:rsidRPr="00703A0B" w14:paraId="3B0C5B84" w14:textId="77777777" w:rsidTr="00C72EC9">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7A08DE3D" w14:textId="30836AE5" w:rsidR="00110537" w:rsidRPr="00703A0B" w:rsidRDefault="00B73023" w:rsidP="00110537">
            <w:pPr>
              <w:rPr>
                <w:rFonts w:eastAsia="Times New Roman" w:cs="Arial"/>
                <w:b w:val="0"/>
                <w:color w:val="000000"/>
                <w:szCs w:val="22"/>
                <w:lang w:eastAsia="en-AU"/>
              </w:rPr>
            </w:pPr>
            <w:r>
              <w:rPr>
                <w:rFonts w:eastAsia="Times New Roman" w:cs="Arial"/>
                <w:b w:val="0"/>
                <w:color w:val="000000"/>
                <w:szCs w:val="22"/>
                <w:lang w:eastAsia="en-AU"/>
              </w:rPr>
              <w:t>RTO</w:t>
            </w:r>
          </w:p>
        </w:tc>
        <w:tc>
          <w:tcPr>
            <w:tcW w:w="7660" w:type="dxa"/>
            <w:tcBorders>
              <w:left w:val="single" w:sz="4" w:space="0" w:color="auto"/>
              <w:right w:val="single" w:sz="4" w:space="0" w:color="auto"/>
            </w:tcBorders>
            <w:noWrap/>
          </w:tcPr>
          <w:p w14:paraId="4142CF02" w14:textId="3CA8ADEE" w:rsidR="00110537" w:rsidRPr="00703A0B" w:rsidRDefault="00B73023" w:rsidP="0011053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2"/>
                <w:lang w:eastAsia="en-AU"/>
              </w:rPr>
            </w:pPr>
            <w:r w:rsidRPr="00B73023">
              <w:rPr>
                <w:rFonts w:eastAsia="Times New Roman" w:cs="Arial"/>
                <w:color w:val="000000"/>
                <w:szCs w:val="22"/>
                <w:lang w:eastAsia="en-AU"/>
              </w:rPr>
              <w:t>Registered training organisation</w:t>
            </w:r>
          </w:p>
        </w:tc>
      </w:tr>
      <w:tr w:rsidR="00110537" w:rsidRPr="00703A0B" w14:paraId="06F7AF7C" w14:textId="77777777" w:rsidTr="00E65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5E22B426" w14:textId="2E255C07" w:rsidR="00110537" w:rsidRPr="00703A0B" w:rsidRDefault="00B73023" w:rsidP="00110537">
            <w:pPr>
              <w:rPr>
                <w:rFonts w:eastAsia="Times New Roman" w:cs="Arial"/>
                <w:b w:val="0"/>
                <w:color w:val="000000"/>
                <w:szCs w:val="22"/>
                <w:lang w:eastAsia="en-AU"/>
              </w:rPr>
            </w:pPr>
            <w:r>
              <w:rPr>
                <w:rFonts w:eastAsia="Times New Roman" w:cs="Arial"/>
                <w:b w:val="0"/>
                <w:color w:val="000000"/>
                <w:szCs w:val="22"/>
                <w:lang w:eastAsia="en-AU"/>
              </w:rPr>
              <w:t>SARAS</w:t>
            </w:r>
          </w:p>
        </w:tc>
        <w:tc>
          <w:tcPr>
            <w:tcW w:w="7660" w:type="dxa"/>
            <w:tcBorders>
              <w:left w:val="single" w:sz="4" w:space="0" w:color="auto"/>
              <w:right w:val="single" w:sz="4" w:space="0" w:color="auto"/>
            </w:tcBorders>
            <w:noWrap/>
          </w:tcPr>
          <w:p w14:paraId="7465F868" w14:textId="6A4846D7" w:rsidR="00110537" w:rsidRPr="00703A0B" w:rsidRDefault="00581E40" w:rsidP="00110537">
            <w:pP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2"/>
                <w:lang w:eastAsia="en-AU"/>
              </w:rPr>
            </w:pPr>
            <w:r w:rsidRPr="00581E40">
              <w:rPr>
                <w:rFonts w:eastAsia="Times New Roman" w:cs="Arial"/>
                <w:color w:val="000000"/>
                <w:szCs w:val="22"/>
                <w:lang w:eastAsia="en-AU"/>
              </w:rPr>
              <w:t>Study and Research Assistance Scheme</w:t>
            </w:r>
          </w:p>
        </w:tc>
      </w:tr>
      <w:tr w:rsidR="00581E40" w:rsidRPr="00703A0B" w14:paraId="286699DB" w14:textId="77777777" w:rsidTr="004D1C30">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23513774" w14:textId="1F8AE5FE" w:rsidR="00581E40" w:rsidRPr="00E656BD" w:rsidRDefault="00581E40" w:rsidP="00110537">
            <w:pPr>
              <w:rPr>
                <w:rFonts w:eastAsia="Times New Roman" w:cs="Arial"/>
                <w:b w:val="0"/>
                <w:bCs w:val="0"/>
                <w:color w:val="000000"/>
                <w:szCs w:val="22"/>
                <w:lang w:eastAsia="en-AU"/>
              </w:rPr>
            </w:pPr>
            <w:r w:rsidRPr="00E656BD">
              <w:rPr>
                <w:rFonts w:eastAsia="Times New Roman" w:cs="Arial"/>
                <w:b w:val="0"/>
                <w:bCs w:val="0"/>
                <w:color w:val="000000"/>
                <w:szCs w:val="22"/>
                <w:lang w:eastAsia="en-AU"/>
              </w:rPr>
              <w:t>SC</w:t>
            </w:r>
          </w:p>
        </w:tc>
        <w:tc>
          <w:tcPr>
            <w:tcW w:w="7660" w:type="dxa"/>
            <w:tcBorders>
              <w:left w:val="single" w:sz="4" w:space="0" w:color="auto"/>
              <w:right w:val="single" w:sz="4" w:space="0" w:color="auto"/>
            </w:tcBorders>
            <w:noWrap/>
          </w:tcPr>
          <w:p w14:paraId="7DC92392" w14:textId="6183955F" w:rsidR="00581E40" w:rsidRPr="00703A0B" w:rsidRDefault="00581E40" w:rsidP="0011053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2"/>
                <w:lang w:eastAsia="en-AU"/>
              </w:rPr>
            </w:pPr>
            <w:r w:rsidRPr="00581E40">
              <w:rPr>
                <w:rFonts w:eastAsia="Times New Roman" w:cs="Arial"/>
                <w:color w:val="000000"/>
                <w:szCs w:val="22"/>
                <w:lang w:eastAsia="en-AU"/>
              </w:rPr>
              <w:t>Self-Certifying Category</w:t>
            </w:r>
          </w:p>
        </w:tc>
      </w:tr>
      <w:tr w:rsidR="00110537" w:rsidRPr="00703A0B" w14:paraId="6363EF6C" w14:textId="77777777" w:rsidTr="004D1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hideMark/>
          </w:tcPr>
          <w:p w14:paraId="4A80D839" w14:textId="77777777" w:rsidR="00110537" w:rsidRPr="00703A0B" w:rsidRDefault="00110537" w:rsidP="00110537">
            <w:pPr>
              <w:rPr>
                <w:rFonts w:eastAsia="Times New Roman" w:cs="Arial"/>
                <w:b w:val="0"/>
                <w:color w:val="000000"/>
                <w:szCs w:val="22"/>
                <w:lang w:eastAsia="en-AU"/>
              </w:rPr>
            </w:pPr>
            <w:r w:rsidRPr="00703A0B">
              <w:rPr>
                <w:rFonts w:eastAsia="Times New Roman" w:cs="Arial"/>
                <w:b w:val="0"/>
                <w:color w:val="000000"/>
                <w:szCs w:val="22"/>
                <w:lang w:eastAsia="en-AU"/>
              </w:rPr>
              <w:t>SDS</w:t>
            </w:r>
          </w:p>
        </w:tc>
        <w:tc>
          <w:tcPr>
            <w:tcW w:w="7660" w:type="dxa"/>
            <w:tcBorders>
              <w:left w:val="single" w:sz="4" w:space="0" w:color="auto"/>
              <w:right w:val="single" w:sz="4" w:space="0" w:color="auto"/>
            </w:tcBorders>
            <w:noWrap/>
            <w:hideMark/>
          </w:tcPr>
          <w:p w14:paraId="4BF3CF49" w14:textId="77777777" w:rsidR="00110537" w:rsidRPr="00703A0B" w:rsidRDefault="00110537" w:rsidP="00110537">
            <w:pP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2"/>
                <w:lang w:eastAsia="en-AU"/>
              </w:rPr>
            </w:pPr>
            <w:r w:rsidRPr="00703A0B">
              <w:rPr>
                <w:rFonts w:eastAsia="Times New Roman" w:cs="Arial"/>
                <w:color w:val="000000"/>
                <w:szCs w:val="22"/>
                <w:lang w:eastAsia="en-AU"/>
              </w:rPr>
              <w:t>Service Delivery Statements</w:t>
            </w:r>
          </w:p>
        </w:tc>
      </w:tr>
      <w:tr w:rsidR="00110537" w:rsidRPr="00703A0B" w14:paraId="726E5A65" w14:textId="77777777" w:rsidTr="004D1C30">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650C609C" w14:textId="10C752F0" w:rsidR="00110537" w:rsidRPr="00703A0B" w:rsidRDefault="00110537" w:rsidP="00110537">
            <w:pPr>
              <w:rPr>
                <w:rFonts w:eastAsia="Times New Roman" w:cs="Arial"/>
                <w:b w:val="0"/>
                <w:color w:val="000000"/>
                <w:szCs w:val="22"/>
                <w:lang w:eastAsia="en-AU"/>
              </w:rPr>
            </w:pPr>
            <w:r w:rsidRPr="00703A0B">
              <w:rPr>
                <w:rFonts w:eastAsia="Times New Roman" w:cs="Arial"/>
                <w:b w:val="0"/>
                <w:color w:val="000000"/>
                <w:szCs w:val="22"/>
                <w:lang w:eastAsia="en-AU"/>
              </w:rPr>
              <w:t>SLT</w:t>
            </w:r>
          </w:p>
        </w:tc>
        <w:tc>
          <w:tcPr>
            <w:tcW w:w="7660" w:type="dxa"/>
            <w:tcBorders>
              <w:left w:val="single" w:sz="4" w:space="0" w:color="auto"/>
              <w:right w:val="single" w:sz="4" w:space="0" w:color="auto"/>
            </w:tcBorders>
            <w:noWrap/>
          </w:tcPr>
          <w:p w14:paraId="26E320CF" w14:textId="7D93C1C3" w:rsidR="00110537" w:rsidRPr="00703A0B" w:rsidRDefault="00110537" w:rsidP="0011053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2"/>
                <w:lang w:eastAsia="en-AU"/>
              </w:rPr>
            </w:pPr>
            <w:r w:rsidRPr="00703A0B">
              <w:rPr>
                <w:rFonts w:eastAsia="Times New Roman" w:cs="Arial"/>
                <w:color w:val="000000"/>
                <w:szCs w:val="22"/>
                <w:lang w:eastAsia="en-AU"/>
              </w:rPr>
              <w:t>Senior Leadership Team</w:t>
            </w:r>
          </w:p>
        </w:tc>
      </w:tr>
      <w:tr w:rsidR="00581E40" w:rsidRPr="00703A0B" w14:paraId="11624672" w14:textId="77777777" w:rsidTr="004D1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3538FE96" w14:textId="62AB9763" w:rsidR="00581E40" w:rsidRPr="00E656BD" w:rsidRDefault="00581E40" w:rsidP="00110537">
            <w:pPr>
              <w:rPr>
                <w:rFonts w:eastAsia="Times New Roman" w:cs="Arial"/>
                <w:b w:val="0"/>
                <w:bCs w:val="0"/>
                <w:color w:val="000000"/>
                <w:szCs w:val="22"/>
                <w:lang w:eastAsia="en-AU"/>
              </w:rPr>
            </w:pPr>
            <w:r w:rsidRPr="00E656BD">
              <w:rPr>
                <w:rFonts w:eastAsia="Times New Roman" w:cs="Arial"/>
                <w:b w:val="0"/>
                <w:bCs w:val="0"/>
                <w:color w:val="000000"/>
                <w:szCs w:val="22"/>
                <w:lang w:eastAsia="en-AU"/>
              </w:rPr>
              <w:lastRenderedPageBreak/>
              <w:t>SME</w:t>
            </w:r>
          </w:p>
        </w:tc>
        <w:tc>
          <w:tcPr>
            <w:tcW w:w="7660" w:type="dxa"/>
            <w:tcBorders>
              <w:left w:val="single" w:sz="4" w:space="0" w:color="auto"/>
              <w:right w:val="single" w:sz="4" w:space="0" w:color="auto"/>
            </w:tcBorders>
            <w:noWrap/>
          </w:tcPr>
          <w:p w14:paraId="668B8460" w14:textId="2392FBFF" w:rsidR="00581E40" w:rsidRPr="00703A0B" w:rsidRDefault="009447D1" w:rsidP="00110537">
            <w:pP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2"/>
                <w:lang w:eastAsia="en-AU"/>
              </w:rPr>
            </w:pPr>
            <w:r w:rsidRPr="009447D1">
              <w:rPr>
                <w:rFonts w:eastAsia="Times New Roman" w:cs="Arial"/>
                <w:color w:val="000000"/>
                <w:szCs w:val="22"/>
                <w:lang w:eastAsia="en-AU"/>
              </w:rPr>
              <w:t>Subject matter expert</w:t>
            </w:r>
          </w:p>
        </w:tc>
      </w:tr>
      <w:tr w:rsidR="00110537" w:rsidRPr="00703A0B" w14:paraId="5A366C6A" w14:textId="77777777" w:rsidTr="004D1C30">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hideMark/>
          </w:tcPr>
          <w:p w14:paraId="4175DE6E" w14:textId="77777777" w:rsidR="00110537" w:rsidRPr="00703A0B" w:rsidRDefault="00110537" w:rsidP="00110537">
            <w:pPr>
              <w:rPr>
                <w:rFonts w:eastAsia="Times New Roman" w:cs="Arial"/>
                <w:b w:val="0"/>
                <w:color w:val="000000"/>
                <w:szCs w:val="22"/>
                <w:lang w:eastAsia="en-AU"/>
              </w:rPr>
            </w:pPr>
            <w:r w:rsidRPr="00703A0B">
              <w:rPr>
                <w:rFonts w:eastAsia="Times New Roman" w:cs="Arial"/>
                <w:b w:val="0"/>
                <w:color w:val="000000"/>
                <w:szCs w:val="22"/>
                <w:lang w:eastAsia="en-AU"/>
              </w:rPr>
              <w:t>STC</w:t>
            </w:r>
          </w:p>
        </w:tc>
        <w:tc>
          <w:tcPr>
            <w:tcW w:w="7660" w:type="dxa"/>
            <w:tcBorders>
              <w:left w:val="single" w:sz="4" w:space="0" w:color="auto"/>
              <w:right w:val="single" w:sz="4" w:space="0" w:color="auto"/>
            </w:tcBorders>
            <w:noWrap/>
            <w:hideMark/>
          </w:tcPr>
          <w:p w14:paraId="61E2F0A2" w14:textId="77777777" w:rsidR="00110537" w:rsidRPr="00703A0B" w:rsidRDefault="00110537" w:rsidP="0011053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2"/>
                <w:lang w:eastAsia="en-AU"/>
              </w:rPr>
            </w:pPr>
            <w:r w:rsidRPr="00703A0B">
              <w:rPr>
                <w:rFonts w:eastAsia="Times New Roman" w:cs="Arial"/>
                <w:color w:val="000000"/>
                <w:szCs w:val="22"/>
                <w:lang w:eastAsia="en-AU"/>
              </w:rPr>
              <w:t>Service Trades Council</w:t>
            </w:r>
          </w:p>
        </w:tc>
      </w:tr>
      <w:tr w:rsidR="009447D1" w:rsidRPr="00703A0B" w14:paraId="32E2A0C0" w14:textId="77777777" w:rsidTr="004D1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tcPr>
          <w:p w14:paraId="26ABC38F" w14:textId="14E56116" w:rsidR="009447D1" w:rsidRPr="00E656BD" w:rsidRDefault="009447D1" w:rsidP="00110537">
            <w:pPr>
              <w:rPr>
                <w:rFonts w:eastAsia="Times New Roman" w:cs="Arial"/>
                <w:b w:val="0"/>
                <w:bCs w:val="0"/>
                <w:color w:val="000000"/>
                <w:szCs w:val="22"/>
                <w:lang w:eastAsia="en-AU"/>
              </w:rPr>
            </w:pPr>
            <w:r w:rsidRPr="00E656BD">
              <w:rPr>
                <w:rFonts w:eastAsia="Times New Roman" w:cs="Arial"/>
                <w:b w:val="0"/>
                <w:bCs w:val="0"/>
                <w:color w:val="000000"/>
                <w:szCs w:val="22"/>
                <w:lang w:eastAsia="en-AU"/>
              </w:rPr>
              <w:t>STLAP</w:t>
            </w:r>
          </w:p>
        </w:tc>
        <w:tc>
          <w:tcPr>
            <w:tcW w:w="7660" w:type="dxa"/>
            <w:tcBorders>
              <w:left w:val="single" w:sz="4" w:space="0" w:color="auto"/>
              <w:right w:val="single" w:sz="4" w:space="0" w:color="auto"/>
            </w:tcBorders>
            <w:noWrap/>
          </w:tcPr>
          <w:p w14:paraId="267A0A1C" w14:textId="6F99CAEA" w:rsidR="009447D1" w:rsidRPr="00703A0B" w:rsidRDefault="00516BD0" w:rsidP="00110537">
            <w:pP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2"/>
                <w:lang w:eastAsia="en-AU"/>
              </w:rPr>
            </w:pPr>
            <w:r w:rsidRPr="00516BD0">
              <w:rPr>
                <w:rFonts w:eastAsia="Times New Roman" w:cs="Arial"/>
                <w:color w:val="000000"/>
                <w:szCs w:val="22"/>
                <w:lang w:eastAsia="en-AU"/>
              </w:rPr>
              <w:t>Service Trades Licensing Advisory Panel</w:t>
            </w:r>
          </w:p>
        </w:tc>
      </w:tr>
      <w:tr w:rsidR="00110537" w:rsidRPr="00703A0B" w14:paraId="7BEFC2E1" w14:textId="77777777" w:rsidTr="004D1C30">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hideMark/>
          </w:tcPr>
          <w:p w14:paraId="3C3D8C9A" w14:textId="77777777" w:rsidR="00110537" w:rsidRPr="00703A0B" w:rsidRDefault="00110537" w:rsidP="00110537">
            <w:pPr>
              <w:rPr>
                <w:rFonts w:eastAsia="Times New Roman" w:cs="Arial"/>
                <w:b w:val="0"/>
                <w:color w:val="000000"/>
                <w:szCs w:val="22"/>
                <w:lang w:eastAsia="en-AU"/>
              </w:rPr>
            </w:pPr>
            <w:r w:rsidRPr="00703A0B">
              <w:rPr>
                <w:rFonts w:eastAsia="Times New Roman" w:cs="Arial"/>
                <w:b w:val="0"/>
                <w:color w:val="000000"/>
                <w:szCs w:val="22"/>
                <w:lang w:eastAsia="en-AU"/>
              </w:rPr>
              <w:t>Strategic Plan</w:t>
            </w:r>
          </w:p>
        </w:tc>
        <w:tc>
          <w:tcPr>
            <w:tcW w:w="7660" w:type="dxa"/>
            <w:tcBorders>
              <w:left w:val="single" w:sz="4" w:space="0" w:color="auto"/>
              <w:right w:val="single" w:sz="4" w:space="0" w:color="auto"/>
            </w:tcBorders>
            <w:noWrap/>
            <w:hideMark/>
          </w:tcPr>
          <w:p w14:paraId="2047C225" w14:textId="72A3BA6F" w:rsidR="00110537" w:rsidRPr="00703A0B" w:rsidRDefault="00110537" w:rsidP="0011053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2"/>
                <w:lang w:eastAsia="en-AU"/>
              </w:rPr>
            </w:pPr>
            <w:r w:rsidRPr="00703A0B">
              <w:rPr>
                <w:rFonts w:eastAsia="Times New Roman" w:cs="Arial"/>
                <w:color w:val="000000"/>
                <w:szCs w:val="22"/>
                <w:lang w:eastAsia="en-AU"/>
              </w:rPr>
              <w:t>QBCC Strategic Plan 2025–29</w:t>
            </w:r>
          </w:p>
        </w:tc>
      </w:tr>
      <w:tr w:rsidR="00110537" w:rsidRPr="00703A0B" w14:paraId="7A5D9562" w14:textId="77777777" w:rsidTr="004D1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right w:val="single" w:sz="4" w:space="0" w:color="auto"/>
            </w:tcBorders>
            <w:noWrap/>
            <w:hideMark/>
          </w:tcPr>
          <w:p w14:paraId="654E97C4" w14:textId="77777777" w:rsidR="00110537" w:rsidRPr="00703A0B" w:rsidRDefault="00110537" w:rsidP="00110537">
            <w:pPr>
              <w:rPr>
                <w:rFonts w:eastAsia="Times New Roman" w:cs="Arial"/>
                <w:b w:val="0"/>
                <w:color w:val="000000"/>
                <w:szCs w:val="22"/>
                <w:lang w:eastAsia="en-AU"/>
              </w:rPr>
            </w:pPr>
            <w:proofErr w:type="spellStart"/>
            <w:r w:rsidRPr="00703A0B">
              <w:rPr>
                <w:rFonts w:eastAsia="Times New Roman" w:cs="Arial"/>
                <w:b w:val="0"/>
                <w:color w:val="000000"/>
                <w:szCs w:val="22"/>
                <w:lang w:eastAsia="en-AU"/>
              </w:rPr>
              <w:t>WfQ</w:t>
            </w:r>
            <w:proofErr w:type="spellEnd"/>
          </w:p>
        </w:tc>
        <w:tc>
          <w:tcPr>
            <w:tcW w:w="7660" w:type="dxa"/>
            <w:tcBorders>
              <w:left w:val="single" w:sz="4" w:space="0" w:color="auto"/>
              <w:right w:val="single" w:sz="4" w:space="0" w:color="auto"/>
            </w:tcBorders>
            <w:noWrap/>
            <w:hideMark/>
          </w:tcPr>
          <w:p w14:paraId="13212A39" w14:textId="77777777" w:rsidR="00110537" w:rsidRPr="00703A0B" w:rsidRDefault="00110537" w:rsidP="00110537">
            <w:pP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2"/>
                <w:lang w:eastAsia="en-AU"/>
              </w:rPr>
            </w:pPr>
            <w:r w:rsidRPr="00703A0B">
              <w:rPr>
                <w:rFonts w:eastAsia="Times New Roman" w:cs="Arial"/>
                <w:color w:val="000000"/>
                <w:szCs w:val="22"/>
                <w:lang w:eastAsia="en-AU"/>
              </w:rPr>
              <w:t>Working for Queensland</w:t>
            </w:r>
          </w:p>
        </w:tc>
      </w:tr>
      <w:tr w:rsidR="00110537" w:rsidRPr="00703A0B" w14:paraId="3D635032" w14:textId="77777777" w:rsidTr="004D1C30">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bottom w:val="single" w:sz="4" w:space="0" w:color="auto"/>
              <w:right w:val="single" w:sz="4" w:space="0" w:color="auto"/>
            </w:tcBorders>
            <w:noWrap/>
            <w:hideMark/>
          </w:tcPr>
          <w:p w14:paraId="6CB43D41" w14:textId="78C56A63" w:rsidR="00110537" w:rsidRPr="00703A0B" w:rsidRDefault="00110537" w:rsidP="00110537">
            <w:pPr>
              <w:rPr>
                <w:rFonts w:eastAsia="Times New Roman" w:cs="Arial"/>
                <w:b w:val="0"/>
                <w:color w:val="000000"/>
                <w:szCs w:val="22"/>
                <w:lang w:eastAsia="en-AU"/>
              </w:rPr>
            </w:pPr>
            <w:r w:rsidRPr="00703A0B">
              <w:rPr>
                <w:rFonts w:eastAsia="Times New Roman" w:cs="Arial"/>
                <w:b w:val="0"/>
                <w:color w:val="000000"/>
                <w:szCs w:val="22"/>
                <w:lang w:eastAsia="en-AU"/>
              </w:rPr>
              <w:t>WHS</w:t>
            </w:r>
          </w:p>
        </w:tc>
        <w:tc>
          <w:tcPr>
            <w:tcW w:w="7660" w:type="dxa"/>
            <w:tcBorders>
              <w:left w:val="single" w:sz="4" w:space="0" w:color="auto"/>
              <w:bottom w:val="single" w:sz="4" w:space="0" w:color="auto"/>
              <w:right w:val="single" w:sz="4" w:space="0" w:color="auto"/>
            </w:tcBorders>
            <w:noWrap/>
            <w:hideMark/>
          </w:tcPr>
          <w:p w14:paraId="599ED522" w14:textId="086C5B2A" w:rsidR="00110537" w:rsidRPr="00703A0B" w:rsidRDefault="00110537" w:rsidP="0011053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2"/>
                <w:lang w:eastAsia="en-AU"/>
              </w:rPr>
            </w:pPr>
            <w:r w:rsidRPr="00703A0B">
              <w:rPr>
                <w:rFonts w:eastAsia="Times New Roman" w:cs="Arial"/>
                <w:color w:val="000000"/>
                <w:szCs w:val="22"/>
                <w:lang w:eastAsia="en-AU"/>
              </w:rPr>
              <w:t>Work Health and Safety</w:t>
            </w:r>
          </w:p>
        </w:tc>
      </w:tr>
    </w:tbl>
    <w:p w14:paraId="63276327" w14:textId="5F4437ED" w:rsidR="00144AF3" w:rsidRPr="00703A0B" w:rsidRDefault="00144AF3" w:rsidP="00144AF3">
      <w:pPr>
        <w:rPr>
          <w:rFonts w:cs="Arial"/>
        </w:rPr>
      </w:pPr>
    </w:p>
    <w:p w14:paraId="08090B6F" w14:textId="03C121F9" w:rsidR="00E16F11" w:rsidRPr="00703A0B" w:rsidRDefault="00E16F11" w:rsidP="008555D8">
      <w:pPr>
        <w:rPr>
          <w:rFonts w:cs="Arial"/>
          <w:szCs w:val="20"/>
        </w:rPr>
      </w:pPr>
    </w:p>
    <w:p w14:paraId="2174DD64" w14:textId="06A96CAE" w:rsidR="00BD3D3E" w:rsidRPr="00703A0B" w:rsidRDefault="007254C7">
      <w:pPr>
        <w:rPr>
          <w:rFonts w:cs="Arial"/>
          <w:szCs w:val="20"/>
        </w:rPr>
      </w:pPr>
      <w:r w:rsidRPr="00703A0B">
        <w:rPr>
          <w:rFonts w:cs="Arial"/>
          <w:szCs w:val="20"/>
        </w:rPr>
        <w:br w:type="page"/>
      </w:r>
    </w:p>
    <w:p w14:paraId="2CBAF580" w14:textId="77777777" w:rsidR="00BD3D3E" w:rsidRPr="00703A0B" w:rsidRDefault="00BD3D3E">
      <w:pPr>
        <w:rPr>
          <w:rFonts w:cs="Arial"/>
          <w:szCs w:val="20"/>
        </w:rPr>
      </w:pPr>
    </w:p>
    <w:p w14:paraId="744C22DC" w14:textId="5CC72718" w:rsidR="00A61A19" w:rsidRPr="00703A0B" w:rsidRDefault="006766D2" w:rsidP="00A61A19">
      <w:pPr>
        <w:pStyle w:val="Heading1"/>
      </w:pPr>
      <w:bookmarkStart w:id="229" w:name="_Toc238101693"/>
      <w:r w:rsidRPr="00703A0B">
        <w:t xml:space="preserve">Appendix </w:t>
      </w:r>
      <w:r w:rsidR="00905726" w:rsidRPr="00703A0B">
        <w:t>C</w:t>
      </w:r>
      <w:r w:rsidRPr="00703A0B">
        <w:t xml:space="preserve">: </w:t>
      </w:r>
      <w:r w:rsidR="00A61A19" w:rsidRPr="00703A0B">
        <w:t>Statement of Expectations</w:t>
      </w:r>
      <w:bookmarkEnd w:id="229"/>
    </w:p>
    <w:p w14:paraId="137E7907" w14:textId="77777777" w:rsidR="00EA7284" w:rsidRPr="00703A0B" w:rsidRDefault="00EA7284" w:rsidP="0082698C">
      <w:pPr>
        <w:ind w:left="-142"/>
        <w:rPr>
          <w:rFonts w:cs="Arial"/>
          <w:szCs w:val="20"/>
        </w:rPr>
      </w:pPr>
    </w:p>
    <w:p w14:paraId="209A180B" w14:textId="42126E17" w:rsidR="00260C74" w:rsidRPr="00703A0B" w:rsidRDefault="00151E97" w:rsidP="0082698C">
      <w:pPr>
        <w:ind w:left="-142"/>
        <w:rPr>
          <w:rFonts w:cs="Arial"/>
          <w:szCs w:val="20"/>
        </w:rPr>
      </w:pPr>
      <w:r w:rsidRPr="00BB72F2">
        <w:rPr>
          <w:rFonts w:cs="Arial"/>
          <w:noProof/>
          <w:szCs w:val="20"/>
        </w:rPr>
        <w:drawing>
          <wp:inline distT="0" distB="0" distL="0" distR="0" wp14:anchorId="20C3FEE9" wp14:editId="203BDD8D">
            <wp:extent cx="5855902" cy="8280000"/>
            <wp:effectExtent l="0" t="0" r="0" b="6985"/>
            <wp:docPr id="10064763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76341" name="Picture 1006476341"/>
                    <pic:cNvPicPr/>
                  </pic:nvPicPr>
                  <pic:blipFill>
                    <a:blip r:embed="rId38"/>
                    <a:stretch>
                      <a:fillRect/>
                    </a:stretch>
                  </pic:blipFill>
                  <pic:spPr>
                    <a:xfrm>
                      <a:off x="0" y="0"/>
                      <a:ext cx="5855902" cy="8280000"/>
                    </a:xfrm>
                    <a:prstGeom prst="rect">
                      <a:avLst/>
                    </a:prstGeom>
                  </pic:spPr>
                </pic:pic>
              </a:graphicData>
            </a:graphic>
          </wp:inline>
        </w:drawing>
      </w:r>
    </w:p>
    <w:p w14:paraId="52992746" w14:textId="12EB1D6C" w:rsidR="00260C74" w:rsidRPr="00703A0B" w:rsidRDefault="00260C74" w:rsidP="0082698C">
      <w:pPr>
        <w:ind w:left="-142"/>
        <w:rPr>
          <w:rFonts w:cs="Arial"/>
          <w:szCs w:val="20"/>
        </w:rPr>
      </w:pPr>
    </w:p>
    <w:p w14:paraId="58849AFE" w14:textId="4DEA722A" w:rsidR="00260C74" w:rsidRPr="00703A0B" w:rsidRDefault="00151E97" w:rsidP="0082698C">
      <w:pPr>
        <w:ind w:left="-142"/>
        <w:rPr>
          <w:rFonts w:cs="Arial"/>
          <w:szCs w:val="20"/>
        </w:rPr>
      </w:pPr>
      <w:r w:rsidRPr="00BB72F2">
        <w:rPr>
          <w:rFonts w:cs="Arial"/>
          <w:noProof/>
          <w:szCs w:val="20"/>
        </w:rPr>
        <w:lastRenderedPageBreak/>
        <w:drawing>
          <wp:inline distT="0" distB="0" distL="0" distR="0" wp14:anchorId="554608A9" wp14:editId="66A1A35B">
            <wp:extent cx="5855907" cy="8280000"/>
            <wp:effectExtent l="0" t="0" r="0" b="6985"/>
            <wp:docPr id="14793451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345159" name="Picture 1479345159"/>
                    <pic:cNvPicPr/>
                  </pic:nvPicPr>
                  <pic:blipFill>
                    <a:blip r:embed="rId39"/>
                    <a:stretch>
                      <a:fillRect/>
                    </a:stretch>
                  </pic:blipFill>
                  <pic:spPr>
                    <a:xfrm>
                      <a:off x="0" y="0"/>
                      <a:ext cx="5855907" cy="8280000"/>
                    </a:xfrm>
                    <a:prstGeom prst="rect">
                      <a:avLst/>
                    </a:prstGeom>
                  </pic:spPr>
                </pic:pic>
              </a:graphicData>
            </a:graphic>
          </wp:inline>
        </w:drawing>
      </w:r>
    </w:p>
    <w:p w14:paraId="723AF80F" w14:textId="3D829BD6" w:rsidR="00260C74" w:rsidRPr="00703A0B" w:rsidRDefault="00260C74" w:rsidP="0082698C">
      <w:pPr>
        <w:ind w:left="-142"/>
        <w:rPr>
          <w:rFonts w:cs="Arial"/>
          <w:szCs w:val="20"/>
        </w:rPr>
      </w:pPr>
    </w:p>
    <w:p w14:paraId="5D92BC17" w14:textId="77777777" w:rsidR="00260C74" w:rsidRPr="00703A0B" w:rsidRDefault="00260C74" w:rsidP="0082698C">
      <w:pPr>
        <w:ind w:left="-142"/>
        <w:rPr>
          <w:rFonts w:cs="Arial"/>
          <w:szCs w:val="20"/>
        </w:rPr>
      </w:pPr>
    </w:p>
    <w:p w14:paraId="6146A0CF" w14:textId="77777777" w:rsidR="00260C74" w:rsidRPr="00703A0B" w:rsidRDefault="00260C74" w:rsidP="0082698C">
      <w:pPr>
        <w:ind w:left="-142"/>
        <w:rPr>
          <w:rFonts w:cs="Arial"/>
          <w:szCs w:val="20"/>
        </w:rPr>
      </w:pPr>
    </w:p>
    <w:p w14:paraId="6D9418F6" w14:textId="2588F851" w:rsidR="00260C74" w:rsidRPr="00703A0B" w:rsidRDefault="000E372D" w:rsidP="0082698C">
      <w:pPr>
        <w:ind w:left="-142"/>
        <w:rPr>
          <w:rFonts w:cs="Arial"/>
          <w:szCs w:val="20"/>
        </w:rPr>
      </w:pPr>
      <w:r w:rsidRPr="00BB72F2">
        <w:rPr>
          <w:rFonts w:cs="Arial"/>
          <w:noProof/>
          <w:szCs w:val="20"/>
          <w:lang w:eastAsia="en-GB"/>
        </w:rPr>
        <w:drawing>
          <wp:anchor distT="0" distB="0" distL="114300" distR="114300" simplePos="0" relativeHeight="251658244" behindDoc="0" locked="0" layoutInCell="1" allowOverlap="1" wp14:anchorId="0D0CB27F" wp14:editId="35210300">
            <wp:simplePos x="0" y="0"/>
            <wp:positionH relativeFrom="page">
              <wp:posOffset>-74083</wp:posOffset>
            </wp:positionH>
            <wp:positionV relativeFrom="paragraph">
              <wp:posOffset>-930910</wp:posOffset>
            </wp:positionV>
            <wp:extent cx="7642225" cy="11550015"/>
            <wp:effectExtent l="0" t="0" r="0" b="0"/>
            <wp:wrapNone/>
            <wp:docPr id="8" name="Picture 8" descr="A grey rectangular object with a whi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ey rectangular object with a white logo"/>
                    <pic:cNvPicPr/>
                  </pic:nvPicPr>
                  <pic:blipFill>
                    <a:blip r:embed="rId40">
                      <a:extLst>
                        <a:ext uri="{28A0092B-C50C-407E-A947-70E740481C1C}">
                          <a14:useLocalDpi xmlns:a14="http://schemas.microsoft.com/office/drawing/2010/main" val="0"/>
                        </a:ext>
                      </a:extLst>
                    </a:blip>
                    <a:stretch>
                      <a:fillRect/>
                    </a:stretch>
                  </pic:blipFill>
                  <pic:spPr>
                    <a:xfrm>
                      <a:off x="0" y="0"/>
                      <a:ext cx="7642225" cy="11550015"/>
                    </a:xfrm>
                    <a:prstGeom prst="rect">
                      <a:avLst/>
                    </a:prstGeom>
                  </pic:spPr>
                </pic:pic>
              </a:graphicData>
            </a:graphic>
            <wp14:sizeRelH relativeFrom="page">
              <wp14:pctWidth>0</wp14:pctWidth>
            </wp14:sizeRelH>
            <wp14:sizeRelV relativeFrom="page">
              <wp14:pctHeight>0</wp14:pctHeight>
            </wp14:sizeRelV>
          </wp:anchor>
        </w:drawing>
      </w:r>
    </w:p>
    <w:p w14:paraId="658E878E" w14:textId="3214820E" w:rsidR="00260C74" w:rsidRPr="00703A0B" w:rsidRDefault="00260C74" w:rsidP="0082698C">
      <w:pPr>
        <w:ind w:left="-142"/>
        <w:rPr>
          <w:rFonts w:cs="Arial"/>
          <w:szCs w:val="20"/>
        </w:rPr>
      </w:pPr>
    </w:p>
    <w:p w14:paraId="0D09F596" w14:textId="74608B0D" w:rsidR="005B6D89" w:rsidRPr="00703A0B" w:rsidRDefault="005B6D89">
      <w:pPr>
        <w:rPr>
          <w:rFonts w:cs="Arial"/>
          <w:szCs w:val="20"/>
        </w:rPr>
      </w:pPr>
    </w:p>
    <w:p w14:paraId="187627EF" w14:textId="77777777" w:rsidR="00CE25A9" w:rsidRPr="00703A0B" w:rsidRDefault="00CE25A9">
      <w:pPr>
        <w:rPr>
          <w:rFonts w:cs="Arial"/>
          <w:szCs w:val="20"/>
        </w:rPr>
      </w:pPr>
    </w:p>
    <w:p w14:paraId="6CD6C9EA" w14:textId="77777777" w:rsidR="00CE25A9" w:rsidRPr="00703A0B" w:rsidRDefault="00CE25A9">
      <w:pPr>
        <w:rPr>
          <w:rFonts w:cs="Arial"/>
          <w:szCs w:val="20"/>
        </w:rPr>
      </w:pPr>
    </w:p>
    <w:p w14:paraId="1BCC4AC9" w14:textId="77777777" w:rsidR="00CE25A9" w:rsidRPr="00703A0B" w:rsidRDefault="00CE25A9">
      <w:pPr>
        <w:rPr>
          <w:rFonts w:cs="Arial"/>
          <w:szCs w:val="20"/>
        </w:rPr>
      </w:pPr>
    </w:p>
    <w:p w14:paraId="303E652E" w14:textId="77777777" w:rsidR="00CE25A9" w:rsidRPr="00703A0B" w:rsidRDefault="00CE25A9">
      <w:pPr>
        <w:rPr>
          <w:rFonts w:cs="Arial"/>
          <w:szCs w:val="20"/>
        </w:rPr>
      </w:pPr>
    </w:p>
    <w:p w14:paraId="2CB41E86" w14:textId="77777777" w:rsidR="00CE25A9" w:rsidRPr="00703A0B" w:rsidRDefault="00CE25A9">
      <w:pPr>
        <w:rPr>
          <w:rFonts w:cs="Arial"/>
          <w:szCs w:val="20"/>
        </w:rPr>
      </w:pPr>
    </w:p>
    <w:p w14:paraId="4E366CE9" w14:textId="77777777" w:rsidR="00CE25A9" w:rsidRPr="00703A0B" w:rsidRDefault="00CE25A9">
      <w:pPr>
        <w:rPr>
          <w:rFonts w:cs="Arial"/>
          <w:szCs w:val="20"/>
        </w:rPr>
      </w:pPr>
    </w:p>
    <w:p w14:paraId="3F55AC35" w14:textId="77777777" w:rsidR="00CE25A9" w:rsidRPr="00703A0B" w:rsidRDefault="00CE25A9">
      <w:pPr>
        <w:rPr>
          <w:rFonts w:cs="Arial"/>
          <w:szCs w:val="20"/>
        </w:rPr>
      </w:pPr>
    </w:p>
    <w:p w14:paraId="55CF5797" w14:textId="77777777" w:rsidR="00CE25A9" w:rsidRPr="00703A0B" w:rsidRDefault="00CE25A9">
      <w:pPr>
        <w:rPr>
          <w:rFonts w:cs="Arial"/>
          <w:szCs w:val="20"/>
        </w:rPr>
      </w:pPr>
    </w:p>
    <w:p w14:paraId="161C0BA0" w14:textId="77777777" w:rsidR="00CE25A9" w:rsidRPr="00703A0B" w:rsidRDefault="00CE25A9">
      <w:pPr>
        <w:rPr>
          <w:rFonts w:cs="Arial"/>
          <w:szCs w:val="20"/>
        </w:rPr>
      </w:pPr>
    </w:p>
    <w:p w14:paraId="2F64F4D1" w14:textId="77777777" w:rsidR="00CE25A9" w:rsidRPr="00703A0B" w:rsidRDefault="00CE25A9">
      <w:pPr>
        <w:rPr>
          <w:rFonts w:cs="Arial"/>
          <w:szCs w:val="20"/>
        </w:rPr>
      </w:pPr>
    </w:p>
    <w:p w14:paraId="4F47EEAE" w14:textId="77777777" w:rsidR="00CE25A9" w:rsidRPr="00703A0B" w:rsidRDefault="00CE25A9">
      <w:pPr>
        <w:rPr>
          <w:rFonts w:cs="Arial"/>
          <w:szCs w:val="20"/>
        </w:rPr>
      </w:pPr>
    </w:p>
    <w:p w14:paraId="2EB2B750" w14:textId="77777777" w:rsidR="00CE25A9" w:rsidRPr="00703A0B" w:rsidRDefault="00CE25A9">
      <w:pPr>
        <w:rPr>
          <w:rFonts w:cs="Arial"/>
          <w:szCs w:val="20"/>
        </w:rPr>
      </w:pPr>
    </w:p>
    <w:p w14:paraId="477FBB6D" w14:textId="77777777" w:rsidR="00CE25A9" w:rsidRPr="00703A0B" w:rsidRDefault="00CE25A9">
      <w:pPr>
        <w:rPr>
          <w:rFonts w:cs="Arial"/>
          <w:szCs w:val="20"/>
        </w:rPr>
      </w:pPr>
    </w:p>
    <w:p w14:paraId="3F2A1EF0" w14:textId="77777777" w:rsidR="00CE25A9" w:rsidRPr="00703A0B" w:rsidRDefault="00CE25A9">
      <w:pPr>
        <w:rPr>
          <w:rFonts w:cs="Arial"/>
          <w:szCs w:val="20"/>
        </w:rPr>
      </w:pPr>
    </w:p>
    <w:p w14:paraId="4BEAC605" w14:textId="77777777" w:rsidR="00CE25A9" w:rsidRPr="00703A0B" w:rsidRDefault="00CE25A9">
      <w:pPr>
        <w:rPr>
          <w:rFonts w:cs="Arial"/>
          <w:szCs w:val="20"/>
        </w:rPr>
      </w:pPr>
    </w:p>
    <w:p w14:paraId="1B2542AA" w14:textId="77777777" w:rsidR="00CE25A9" w:rsidRPr="00703A0B" w:rsidRDefault="00CE25A9">
      <w:pPr>
        <w:rPr>
          <w:rFonts w:cs="Arial"/>
          <w:szCs w:val="20"/>
        </w:rPr>
      </w:pPr>
    </w:p>
    <w:p w14:paraId="100DC269" w14:textId="77777777" w:rsidR="005B6D89" w:rsidRPr="00703A0B" w:rsidRDefault="005B6D89">
      <w:pPr>
        <w:rPr>
          <w:rFonts w:cs="Arial"/>
          <w:szCs w:val="20"/>
        </w:rPr>
      </w:pPr>
    </w:p>
    <w:p w14:paraId="57EBE37F" w14:textId="77777777" w:rsidR="005B6D89" w:rsidRPr="00703A0B" w:rsidRDefault="005B6D89">
      <w:pPr>
        <w:rPr>
          <w:rFonts w:cs="Arial"/>
          <w:szCs w:val="20"/>
        </w:rPr>
      </w:pPr>
    </w:p>
    <w:p w14:paraId="1CB08B94" w14:textId="77777777" w:rsidR="00D24C2C" w:rsidRPr="00703A0B" w:rsidRDefault="00D24C2C">
      <w:pPr>
        <w:rPr>
          <w:rFonts w:cs="Arial"/>
          <w:szCs w:val="20"/>
        </w:rPr>
      </w:pPr>
    </w:p>
    <w:p w14:paraId="5FA8F0FB" w14:textId="77777777" w:rsidR="00D24C2C" w:rsidRPr="00703A0B" w:rsidRDefault="00D24C2C">
      <w:pPr>
        <w:rPr>
          <w:rFonts w:cs="Arial"/>
          <w:szCs w:val="20"/>
        </w:rPr>
      </w:pPr>
    </w:p>
    <w:p w14:paraId="336FB910" w14:textId="77777777" w:rsidR="00D24C2C" w:rsidRPr="00703A0B" w:rsidRDefault="00D24C2C">
      <w:pPr>
        <w:rPr>
          <w:rFonts w:cs="Arial"/>
          <w:szCs w:val="20"/>
        </w:rPr>
      </w:pPr>
    </w:p>
    <w:p w14:paraId="6808F678" w14:textId="3279076D" w:rsidR="00D24C2C" w:rsidRPr="00703A0B" w:rsidRDefault="00D24C2C">
      <w:pPr>
        <w:rPr>
          <w:rFonts w:cs="Arial"/>
          <w:szCs w:val="20"/>
        </w:rPr>
      </w:pPr>
    </w:p>
    <w:p w14:paraId="0BC8C8E4" w14:textId="77777777" w:rsidR="00D24C2C" w:rsidRPr="00703A0B" w:rsidRDefault="00D24C2C">
      <w:pPr>
        <w:rPr>
          <w:rFonts w:cs="Arial"/>
          <w:szCs w:val="20"/>
        </w:rPr>
      </w:pPr>
    </w:p>
    <w:p w14:paraId="57017E8E" w14:textId="77777777" w:rsidR="00D24C2C" w:rsidRPr="00703A0B" w:rsidRDefault="00D24C2C">
      <w:pPr>
        <w:rPr>
          <w:rFonts w:cs="Arial"/>
          <w:szCs w:val="20"/>
        </w:rPr>
      </w:pPr>
    </w:p>
    <w:p w14:paraId="4BEBF9D9" w14:textId="77777777" w:rsidR="00D24C2C" w:rsidRPr="00703A0B" w:rsidRDefault="00D24C2C">
      <w:pPr>
        <w:rPr>
          <w:rFonts w:cs="Arial"/>
          <w:szCs w:val="20"/>
        </w:rPr>
      </w:pPr>
    </w:p>
    <w:p w14:paraId="4C5983F7" w14:textId="77777777" w:rsidR="00D24C2C" w:rsidRPr="00703A0B" w:rsidRDefault="00D24C2C">
      <w:pPr>
        <w:rPr>
          <w:rFonts w:cs="Arial"/>
          <w:szCs w:val="20"/>
        </w:rPr>
      </w:pPr>
    </w:p>
    <w:p w14:paraId="194C1929" w14:textId="77777777" w:rsidR="00D24C2C" w:rsidRPr="00703A0B" w:rsidRDefault="00D24C2C">
      <w:pPr>
        <w:rPr>
          <w:rFonts w:cs="Arial"/>
          <w:szCs w:val="20"/>
        </w:rPr>
      </w:pPr>
    </w:p>
    <w:p w14:paraId="59EC93D5" w14:textId="39379CD9" w:rsidR="00D24C2C" w:rsidRPr="00703A0B" w:rsidRDefault="00D24C2C">
      <w:pPr>
        <w:rPr>
          <w:rFonts w:cs="Arial"/>
          <w:szCs w:val="20"/>
        </w:rPr>
      </w:pPr>
    </w:p>
    <w:p w14:paraId="6AE38CDF" w14:textId="7FBF6A61" w:rsidR="00D24C2C" w:rsidRPr="00703A0B" w:rsidRDefault="00D24C2C">
      <w:pPr>
        <w:rPr>
          <w:rFonts w:cs="Arial"/>
          <w:szCs w:val="20"/>
        </w:rPr>
      </w:pPr>
    </w:p>
    <w:p w14:paraId="5FC560D2" w14:textId="77777777" w:rsidR="00D24C2C" w:rsidRPr="00703A0B" w:rsidRDefault="00D24C2C">
      <w:pPr>
        <w:rPr>
          <w:rFonts w:cs="Arial"/>
          <w:szCs w:val="20"/>
        </w:rPr>
      </w:pPr>
    </w:p>
    <w:p w14:paraId="251D9479" w14:textId="77777777" w:rsidR="00D24C2C" w:rsidRPr="00703A0B" w:rsidRDefault="00D24C2C">
      <w:pPr>
        <w:rPr>
          <w:rFonts w:cs="Arial"/>
          <w:szCs w:val="20"/>
        </w:rPr>
      </w:pPr>
    </w:p>
    <w:p w14:paraId="0B755A12" w14:textId="77777777" w:rsidR="00D24C2C" w:rsidRPr="00703A0B" w:rsidRDefault="00D24C2C">
      <w:pPr>
        <w:rPr>
          <w:rFonts w:cs="Arial"/>
          <w:szCs w:val="20"/>
        </w:rPr>
      </w:pPr>
    </w:p>
    <w:p w14:paraId="2E94BF60" w14:textId="5C67060E" w:rsidR="00D24C2C" w:rsidRPr="00703A0B" w:rsidRDefault="00D24C2C">
      <w:pPr>
        <w:rPr>
          <w:rFonts w:cs="Arial"/>
          <w:szCs w:val="20"/>
        </w:rPr>
      </w:pPr>
    </w:p>
    <w:p w14:paraId="78B49B47" w14:textId="77777777" w:rsidR="00D24C2C" w:rsidRPr="00703A0B" w:rsidRDefault="00D24C2C">
      <w:pPr>
        <w:rPr>
          <w:rFonts w:cs="Arial"/>
          <w:szCs w:val="20"/>
        </w:rPr>
      </w:pPr>
    </w:p>
    <w:p w14:paraId="6625DC1F" w14:textId="7B3533DB" w:rsidR="00D24C2C" w:rsidRPr="00703A0B" w:rsidRDefault="00D24C2C">
      <w:pPr>
        <w:rPr>
          <w:rFonts w:cs="Arial"/>
          <w:szCs w:val="20"/>
        </w:rPr>
      </w:pPr>
    </w:p>
    <w:p w14:paraId="58D071CD" w14:textId="7838D1C5" w:rsidR="00D24C2C" w:rsidRPr="00703A0B" w:rsidRDefault="00D24C2C">
      <w:pPr>
        <w:rPr>
          <w:rFonts w:cs="Arial"/>
          <w:szCs w:val="20"/>
        </w:rPr>
      </w:pPr>
    </w:p>
    <w:p w14:paraId="3A712425" w14:textId="77777777" w:rsidR="00D24C2C" w:rsidRPr="00703A0B" w:rsidRDefault="00D24C2C">
      <w:pPr>
        <w:rPr>
          <w:rFonts w:cs="Arial"/>
          <w:szCs w:val="20"/>
        </w:rPr>
      </w:pPr>
    </w:p>
    <w:p w14:paraId="27F34BE6" w14:textId="71B7B241" w:rsidR="0096110F" w:rsidRPr="004A2C19" w:rsidRDefault="0096110F">
      <w:pPr>
        <w:rPr>
          <w:rFonts w:cs="Arial"/>
          <w:szCs w:val="20"/>
        </w:rPr>
      </w:pPr>
    </w:p>
    <w:sectPr w:rsidR="0096110F" w:rsidRPr="004A2C19" w:rsidSect="00963D31">
      <w:footerReference w:type="first" r:id="rId41"/>
      <w:pgSz w:w="11900" w:h="16840"/>
      <w:pgMar w:top="720" w:right="720" w:bottom="720" w:left="7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883FA" w14:textId="77777777" w:rsidR="004234C8" w:rsidRPr="00703A0B" w:rsidRDefault="004234C8" w:rsidP="007D3474">
      <w:r w:rsidRPr="00703A0B">
        <w:separator/>
      </w:r>
    </w:p>
  </w:endnote>
  <w:endnote w:type="continuationSeparator" w:id="0">
    <w:p w14:paraId="20EAE26F" w14:textId="77777777" w:rsidR="004234C8" w:rsidRPr="00703A0B" w:rsidRDefault="004234C8" w:rsidP="007D3474">
      <w:r w:rsidRPr="00703A0B">
        <w:continuationSeparator/>
      </w:r>
    </w:p>
  </w:endnote>
  <w:endnote w:type="continuationNotice" w:id="1">
    <w:p w14:paraId="301B4D1C" w14:textId="77777777" w:rsidR="004234C8" w:rsidRPr="00703A0B" w:rsidRDefault="004234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otham Medium">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auto"/>
    <w:pitch w:val="variable"/>
    <w:sig w:usb0="00000000" w:usb1="5000A1FF" w:usb2="00000000" w:usb3="00000000" w:csb0="000001BF" w:csb1="00000000"/>
  </w:font>
  <w:font w:name="MinionPro-Regular">
    <w:altName w:val="Calibri"/>
    <w:charset w:val="00"/>
    <w:family w:val="auto"/>
    <w:pitch w:val="variable"/>
    <w:sig w:usb0="60000287" w:usb1="00000001" w:usb2="00000000" w:usb3="00000000" w:csb0="0000019F" w:csb1="00000000"/>
  </w:font>
  <w:font w:name="Gotham Light">
    <w:panose1 w:val="00000000000000000000"/>
    <w:charset w:val="00"/>
    <w:family w:val="modern"/>
    <w:notTrueType/>
    <w:pitch w:val="variable"/>
    <w:sig w:usb0="A00002FF" w:usb1="4000005B" w:usb2="00000000" w:usb3="00000000" w:csb0="0000009F" w:csb1="00000000"/>
  </w:font>
  <w:font w:name="Arial Bold">
    <w:panose1 w:val="020B0704020202020204"/>
    <w:charset w:val="00"/>
    <w:family w:val="roman"/>
    <w:notTrueType/>
    <w:pitch w:val="default"/>
  </w:font>
  <w:font w:name="Noto Sans">
    <w:charset w:val="00"/>
    <w:family w:val="swiss"/>
    <w:pitch w:val="variable"/>
    <w:sig w:usb0="E00082FF" w:usb1="400078F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13DAE" w14:textId="77777777" w:rsidR="0086683B" w:rsidRPr="00703A0B" w:rsidRDefault="008668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43B85" w14:textId="1F9FF6F9" w:rsidR="00C2525B" w:rsidRPr="00703A0B" w:rsidRDefault="00C2525B" w:rsidP="005F7BD0">
    <w:pPr>
      <w:ind w:left="-142"/>
      <w:jc w:val="right"/>
      <w:rPr>
        <w:rFonts w:cs="Arial"/>
        <w:color w:val="020A0A" w:themeColor="text1"/>
        <w:sz w:val="14"/>
        <w:szCs w:val="14"/>
      </w:rPr>
    </w:pPr>
    <w:r w:rsidRPr="00703A0B">
      <w:rPr>
        <w:rFonts w:cs="Arial"/>
        <w:color w:val="020A0A" w:themeColor="text1"/>
        <w:sz w:val="14"/>
        <w:szCs w:val="14"/>
      </w:rPr>
      <w:t xml:space="preserve">Page </w:t>
    </w:r>
    <w:r w:rsidRPr="00703A0B">
      <w:rPr>
        <w:rFonts w:cs="Arial"/>
        <w:color w:val="020A0A" w:themeColor="text1"/>
        <w:sz w:val="14"/>
        <w:szCs w:val="14"/>
      </w:rPr>
      <w:fldChar w:fldCharType="begin"/>
    </w:r>
    <w:r w:rsidRPr="00703A0B">
      <w:rPr>
        <w:rFonts w:cs="Arial"/>
        <w:color w:val="020A0A" w:themeColor="text1"/>
        <w:sz w:val="14"/>
        <w:szCs w:val="14"/>
      </w:rPr>
      <w:instrText xml:space="preserve"> PAGE </w:instrText>
    </w:r>
    <w:r w:rsidRPr="00703A0B">
      <w:rPr>
        <w:rFonts w:cs="Arial"/>
        <w:color w:val="020A0A" w:themeColor="text1"/>
        <w:sz w:val="14"/>
        <w:szCs w:val="14"/>
      </w:rPr>
      <w:fldChar w:fldCharType="separate"/>
    </w:r>
    <w:r w:rsidRPr="00703A0B">
      <w:rPr>
        <w:rFonts w:cs="Arial"/>
        <w:color w:val="020A0A" w:themeColor="text1"/>
        <w:sz w:val="14"/>
        <w:szCs w:val="14"/>
      </w:rPr>
      <w:t>2</w:t>
    </w:r>
    <w:r w:rsidRPr="00703A0B">
      <w:rPr>
        <w:rFonts w:cs="Arial"/>
        <w:color w:val="020A0A" w:themeColor="text1"/>
        <w:sz w:val="14"/>
        <w:szCs w:val="14"/>
      </w:rPr>
      <w:fldChar w:fldCharType="end"/>
    </w:r>
  </w:p>
  <w:p w14:paraId="543C4803" w14:textId="77777777" w:rsidR="00C2525B" w:rsidRPr="00703A0B" w:rsidRDefault="00C2525B" w:rsidP="007D3474">
    <w:pPr>
      <w:pStyle w:val="BasicParagraph"/>
      <w:tabs>
        <w:tab w:val="left" w:pos="3260"/>
        <w:tab w:val="left" w:pos="4420"/>
        <w:tab w:val="left" w:pos="6100"/>
      </w:tabs>
      <w:rPr>
        <w:rFonts w:ascii="Arial" w:hAnsi="Arial" w:cs="Arial"/>
        <w:color w:val="575A5D"/>
        <w:sz w:val="14"/>
        <w:szCs w:val="14"/>
        <w:lang w:val="en-AU"/>
      </w:rPr>
    </w:pPr>
    <w:r w:rsidRPr="00BB72F2">
      <w:rPr>
        <w:rFonts w:ascii="Arial" w:hAnsi="Arial" w:cs="Arial"/>
        <w:noProof/>
        <w:color w:val="575A5D"/>
        <w:sz w:val="14"/>
        <w:szCs w:val="14"/>
        <w:lang w:val="en-AU" w:eastAsia="en-GB"/>
      </w:rPr>
      <w:drawing>
        <wp:anchor distT="0" distB="0" distL="114300" distR="114300" simplePos="0" relativeHeight="251660311" behindDoc="1" locked="0" layoutInCell="1" allowOverlap="1" wp14:anchorId="27A38E1B" wp14:editId="488F74AE">
          <wp:simplePos x="0" y="0"/>
          <wp:positionH relativeFrom="column">
            <wp:posOffset>-457200</wp:posOffset>
          </wp:positionH>
          <wp:positionV relativeFrom="paragraph">
            <wp:posOffset>319405</wp:posOffset>
          </wp:positionV>
          <wp:extent cx="7559675" cy="121930"/>
          <wp:effectExtent l="0" t="0" r="3175" b="0"/>
          <wp:wrapNone/>
          <wp:docPr id="905438578" name="Picture 905438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61335" behindDoc="1" locked="0" layoutInCell="1" allowOverlap="1" wp14:anchorId="427C0D01" wp14:editId="2C0BB861">
          <wp:simplePos x="0" y="0"/>
          <wp:positionH relativeFrom="column">
            <wp:posOffset>-457200</wp:posOffset>
          </wp:positionH>
          <wp:positionV relativeFrom="paragraph">
            <wp:posOffset>319405</wp:posOffset>
          </wp:positionV>
          <wp:extent cx="7559675" cy="121930"/>
          <wp:effectExtent l="0" t="0" r="3175" b="0"/>
          <wp:wrapNone/>
          <wp:docPr id="1742444160" name="Picture 1742444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62359" behindDoc="1" locked="0" layoutInCell="1" allowOverlap="1" wp14:anchorId="58AD32FC" wp14:editId="0789CDE9">
          <wp:simplePos x="0" y="0"/>
          <wp:positionH relativeFrom="column">
            <wp:posOffset>-457200</wp:posOffset>
          </wp:positionH>
          <wp:positionV relativeFrom="paragraph">
            <wp:posOffset>319405</wp:posOffset>
          </wp:positionV>
          <wp:extent cx="7559675" cy="121930"/>
          <wp:effectExtent l="0" t="0" r="3175" b="0"/>
          <wp:wrapNone/>
          <wp:docPr id="1485015108" name="Picture 1485015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63383" behindDoc="1" locked="0" layoutInCell="1" allowOverlap="1" wp14:anchorId="4CAD0763" wp14:editId="25012D18">
          <wp:simplePos x="0" y="0"/>
          <wp:positionH relativeFrom="column">
            <wp:posOffset>-457200</wp:posOffset>
          </wp:positionH>
          <wp:positionV relativeFrom="paragraph">
            <wp:posOffset>319405</wp:posOffset>
          </wp:positionV>
          <wp:extent cx="7559675" cy="121930"/>
          <wp:effectExtent l="0" t="0" r="3175" b="0"/>
          <wp:wrapNone/>
          <wp:docPr id="2021436046" name="Picture 2021436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64407" behindDoc="1" locked="0" layoutInCell="1" allowOverlap="1" wp14:anchorId="392BBA2D" wp14:editId="5D921CA0">
          <wp:simplePos x="0" y="0"/>
          <wp:positionH relativeFrom="column">
            <wp:posOffset>-457200</wp:posOffset>
          </wp:positionH>
          <wp:positionV relativeFrom="paragraph">
            <wp:posOffset>319405</wp:posOffset>
          </wp:positionV>
          <wp:extent cx="7559675" cy="121930"/>
          <wp:effectExtent l="0" t="0" r="3175" b="0"/>
          <wp:wrapNone/>
          <wp:docPr id="1703613185" name="Picture 1703613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65431" behindDoc="1" locked="0" layoutInCell="1" allowOverlap="1" wp14:anchorId="4960FC84" wp14:editId="28C43E5A">
          <wp:simplePos x="0" y="0"/>
          <wp:positionH relativeFrom="column">
            <wp:posOffset>-457200</wp:posOffset>
          </wp:positionH>
          <wp:positionV relativeFrom="paragraph">
            <wp:posOffset>319405</wp:posOffset>
          </wp:positionV>
          <wp:extent cx="7559675" cy="121930"/>
          <wp:effectExtent l="0" t="0" r="3175" b="0"/>
          <wp:wrapNone/>
          <wp:docPr id="1889750508" name="Picture 1889750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66455" behindDoc="1" locked="0" layoutInCell="1" allowOverlap="1" wp14:anchorId="0B98D9D7" wp14:editId="01E9CA1A">
          <wp:simplePos x="0" y="0"/>
          <wp:positionH relativeFrom="column">
            <wp:posOffset>-457200</wp:posOffset>
          </wp:positionH>
          <wp:positionV relativeFrom="paragraph">
            <wp:posOffset>319405</wp:posOffset>
          </wp:positionV>
          <wp:extent cx="7559675" cy="121930"/>
          <wp:effectExtent l="0" t="0" r="3175" b="0"/>
          <wp:wrapNone/>
          <wp:docPr id="1852142747" name="Picture 1852142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67479" behindDoc="1" locked="0" layoutInCell="1" allowOverlap="1" wp14:anchorId="00FAF561" wp14:editId="36A44AFB">
          <wp:simplePos x="0" y="0"/>
          <wp:positionH relativeFrom="column">
            <wp:posOffset>-457200</wp:posOffset>
          </wp:positionH>
          <wp:positionV relativeFrom="paragraph">
            <wp:posOffset>319405</wp:posOffset>
          </wp:positionV>
          <wp:extent cx="7559675" cy="121930"/>
          <wp:effectExtent l="0" t="0" r="3175" b="0"/>
          <wp:wrapNone/>
          <wp:docPr id="2010034125" name="Picture 2010034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68503" behindDoc="1" locked="0" layoutInCell="1" allowOverlap="1" wp14:anchorId="57DD4742" wp14:editId="5F039208">
          <wp:simplePos x="0" y="0"/>
          <wp:positionH relativeFrom="column">
            <wp:posOffset>-457200</wp:posOffset>
          </wp:positionH>
          <wp:positionV relativeFrom="paragraph">
            <wp:posOffset>319405</wp:posOffset>
          </wp:positionV>
          <wp:extent cx="7559675" cy="121930"/>
          <wp:effectExtent l="0" t="0" r="3175" b="0"/>
          <wp:wrapNone/>
          <wp:docPr id="1353998740" name="Picture 1353998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69527" behindDoc="1" locked="0" layoutInCell="1" allowOverlap="1" wp14:anchorId="27061BB1" wp14:editId="30612686">
          <wp:simplePos x="0" y="0"/>
          <wp:positionH relativeFrom="column">
            <wp:posOffset>-457200</wp:posOffset>
          </wp:positionH>
          <wp:positionV relativeFrom="paragraph">
            <wp:posOffset>319405</wp:posOffset>
          </wp:positionV>
          <wp:extent cx="7559675" cy="121930"/>
          <wp:effectExtent l="0" t="0" r="3175" b="0"/>
          <wp:wrapNone/>
          <wp:docPr id="1695752372" name="Picture 1695752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70551" behindDoc="1" locked="0" layoutInCell="1" allowOverlap="1" wp14:anchorId="1A0FB8A0" wp14:editId="682A92B6">
          <wp:simplePos x="0" y="0"/>
          <wp:positionH relativeFrom="column">
            <wp:posOffset>-457200</wp:posOffset>
          </wp:positionH>
          <wp:positionV relativeFrom="paragraph">
            <wp:posOffset>319405</wp:posOffset>
          </wp:positionV>
          <wp:extent cx="7559675" cy="121930"/>
          <wp:effectExtent l="0" t="0" r="3175" b="0"/>
          <wp:wrapNone/>
          <wp:docPr id="2126032790" name="Picture 2126032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71575" behindDoc="1" locked="0" layoutInCell="1" allowOverlap="1" wp14:anchorId="444B3FFC" wp14:editId="15E287A8">
          <wp:simplePos x="0" y="0"/>
          <wp:positionH relativeFrom="column">
            <wp:posOffset>-457200</wp:posOffset>
          </wp:positionH>
          <wp:positionV relativeFrom="paragraph">
            <wp:posOffset>319405</wp:posOffset>
          </wp:positionV>
          <wp:extent cx="7559675" cy="121930"/>
          <wp:effectExtent l="0" t="0" r="3175" b="0"/>
          <wp:wrapNone/>
          <wp:docPr id="1884900009" name="Picture 18849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72599" behindDoc="1" locked="0" layoutInCell="1" allowOverlap="1" wp14:anchorId="2E7AFB18" wp14:editId="3EFF9100">
          <wp:simplePos x="0" y="0"/>
          <wp:positionH relativeFrom="column">
            <wp:posOffset>-457200</wp:posOffset>
          </wp:positionH>
          <wp:positionV relativeFrom="paragraph">
            <wp:posOffset>319405</wp:posOffset>
          </wp:positionV>
          <wp:extent cx="7559675" cy="121930"/>
          <wp:effectExtent l="0" t="0" r="3175" b="0"/>
          <wp:wrapNone/>
          <wp:docPr id="924768489" name="Picture 924768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73623" behindDoc="1" locked="0" layoutInCell="1" allowOverlap="1" wp14:anchorId="6D6A7933" wp14:editId="28B88F51">
          <wp:simplePos x="0" y="0"/>
          <wp:positionH relativeFrom="column">
            <wp:posOffset>-457200</wp:posOffset>
          </wp:positionH>
          <wp:positionV relativeFrom="paragraph">
            <wp:posOffset>319405</wp:posOffset>
          </wp:positionV>
          <wp:extent cx="7559675" cy="121930"/>
          <wp:effectExtent l="0" t="0" r="3175" b="0"/>
          <wp:wrapNone/>
          <wp:docPr id="232975902" name="Picture 232975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74647" behindDoc="1" locked="0" layoutInCell="1" allowOverlap="1" wp14:anchorId="4B5EDE95" wp14:editId="118DD0E6">
          <wp:simplePos x="0" y="0"/>
          <wp:positionH relativeFrom="column">
            <wp:posOffset>-457200</wp:posOffset>
          </wp:positionH>
          <wp:positionV relativeFrom="paragraph">
            <wp:posOffset>319405</wp:posOffset>
          </wp:positionV>
          <wp:extent cx="7559675" cy="121930"/>
          <wp:effectExtent l="0" t="0" r="3175" b="0"/>
          <wp:wrapNone/>
          <wp:docPr id="1696792193" name="Picture 1696792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75671" behindDoc="1" locked="0" layoutInCell="1" allowOverlap="1" wp14:anchorId="0893C812" wp14:editId="286F1D14">
          <wp:simplePos x="0" y="0"/>
          <wp:positionH relativeFrom="column">
            <wp:posOffset>-457200</wp:posOffset>
          </wp:positionH>
          <wp:positionV relativeFrom="paragraph">
            <wp:posOffset>319405</wp:posOffset>
          </wp:positionV>
          <wp:extent cx="7559675" cy="121930"/>
          <wp:effectExtent l="0" t="0" r="3175" b="0"/>
          <wp:wrapNone/>
          <wp:docPr id="736114939" name="Picture 736114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76695" behindDoc="1" locked="0" layoutInCell="1" allowOverlap="1" wp14:anchorId="49BB4721" wp14:editId="30A4A60A">
          <wp:simplePos x="0" y="0"/>
          <wp:positionH relativeFrom="column">
            <wp:posOffset>-457200</wp:posOffset>
          </wp:positionH>
          <wp:positionV relativeFrom="paragraph">
            <wp:posOffset>319405</wp:posOffset>
          </wp:positionV>
          <wp:extent cx="7559675" cy="121930"/>
          <wp:effectExtent l="0" t="0" r="3175" b="0"/>
          <wp:wrapNone/>
          <wp:docPr id="2125759758" name="Picture 2125759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77719" behindDoc="1" locked="0" layoutInCell="1" allowOverlap="1" wp14:anchorId="37829A6F" wp14:editId="286B7522">
          <wp:simplePos x="0" y="0"/>
          <wp:positionH relativeFrom="column">
            <wp:posOffset>-457200</wp:posOffset>
          </wp:positionH>
          <wp:positionV relativeFrom="paragraph">
            <wp:posOffset>319405</wp:posOffset>
          </wp:positionV>
          <wp:extent cx="7559675" cy="121930"/>
          <wp:effectExtent l="0" t="0" r="3175" b="0"/>
          <wp:wrapNone/>
          <wp:docPr id="2109352566" name="Picture 2109352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78743" behindDoc="1" locked="0" layoutInCell="1" allowOverlap="1" wp14:anchorId="3D7966E7" wp14:editId="756D85AE">
          <wp:simplePos x="0" y="0"/>
          <wp:positionH relativeFrom="column">
            <wp:posOffset>-457200</wp:posOffset>
          </wp:positionH>
          <wp:positionV relativeFrom="paragraph">
            <wp:posOffset>319405</wp:posOffset>
          </wp:positionV>
          <wp:extent cx="7559675" cy="121930"/>
          <wp:effectExtent l="0" t="0" r="3175" b="0"/>
          <wp:wrapNone/>
          <wp:docPr id="33072868" name="Picture 33072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79767" behindDoc="1" locked="0" layoutInCell="1" allowOverlap="1" wp14:anchorId="05AE5548" wp14:editId="0C0A6262">
          <wp:simplePos x="0" y="0"/>
          <wp:positionH relativeFrom="column">
            <wp:posOffset>-457200</wp:posOffset>
          </wp:positionH>
          <wp:positionV relativeFrom="paragraph">
            <wp:posOffset>319405</wp:posOffset>
          </wp:positionV>
          <wp:extent cx="7559675" cy="121930"/>
          <wp:effectExtent l="0" t="0" r="3175" b="0"/>
          <wp:wrapNone/>
          <wp:docPr id="1294493791" name="Picture 1294493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80791" behindDoc="1" locked="0" layoutInCell="1" allowOverlap="1" wp14:anchorId="056CF810" wp14:editId="4075229A">
          <wp:simplePos x="0" y="0"/>
          <wp:positionH relativeFrom="column">
            <wp:posOffset>-457200</wp:posOffset>
          </wp:positionH>
          <wp:positionV relativeFrom="paragraph">
            <wp:posOffset>319405</wp:posOffset>
          </wp:positionV>
          <wp:extent cx="7559675" cy="121930"/>
          <wp:effectExtent l="0" t="0" r="3175" b="0"/>
          <wp:wrapNone/>
          <wp:docPr id="1148594780" name="Picture 1148594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81815" behindDoc="1" locked="0" layoutInCell="1" allowOverlap="1" wp14:anchorId="68BD4EE6" wp14:editId="4188CF68">
          <wp:simplePos x="0" y="0"/>
          <wp:positionH relativeFrom="column">
            <wp:posOffset>-457200</wp:posOffset>
          </wp:positionH>
          <wp:positionV relativeFrom="paragraph">
            <wp:posOffset>319405</wp:posOffset>
          </wp:positionV>
          <wp:extent cx="7559675" cy="121930"/>
          <wp:effectExtent l="0" t="0" r="3175" b="0"/>
          <wp:wrapNone/>
          <wp:docPr id="904729978" name="Picture 904729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82839" behindDoc="1" locked="0" layoutInCell="1" allowOverlap="1" wp14:anchorId="38899A4E" wp14:editId="11F16DCB">
          <wp:simplePos x="0" y="0"/>
          <wp:positionH relativeFrom="column">
            <wp:posOffset>-457200</wp:posOffset>
          </wp:positionH>
          <wp:positionV relativeFrom="paragraph">
            <wp:posOffset>319405</wp:posOffset>
          </wp:positionV>
          <wp:extent cx="7559675" cy="121930"/>
          <wp:effectExtent l="0" t="0" r="3175" b="0"/>
          <wp:wrapNone/>
          <wp:docPr id="857136195" name="Picture 857136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83863" behindDoc="1" locked="0" layoutInCell="1" allowOverlap="1" wp14:anchorId="760DB4D9" wp14:editId="06DFDA34">
          <wp:simplePos x="0" y="0"/>
          <wp:positionH relativeFrom="column">
            <wp:posOffset>-457200</wp:posOffset>
          </wp:positionH>
          <wp:positionV relativeFrom="paragraph">
            <wp:posOffset>319405</wp:posOffset>
          </wp:positionV>
          <wp:extent cx="7559675" cy="121930"/>
          <wp:effectExtent l="0" t="0" r="3175" b="0"/>
          <wp:wrapNone/>
          <wp:docPr id="228163008" name="Picture 228163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703A0B">
      <w:rPr>
        <w:rFonts w:ascii="Arial" w:hAnsi="Arial" w:cs="Arial"/>
        <w:color w:val="575A5D"/>
        <w:sz w:val="14"/>
        <w:szCs w:val="14"/>
        <w:lang w:val="en-AU" w:eastAsia="en-GB"/>
      </w:rPr>
      <w:t>Annual Report 2025–26</w:t>
    </w:r>
    <w:r w:rsidRPr="00703A0B">
      <w:rPr>
        <w:rFonts w:ascii="Arial" w:hAnsi="Arial" w:cs="Arial"/>
        <w:color w:val="575A5D"/>
        <w:sz w:val="14"/>
        <w:szCs w:val="14"/>
        <w:lang w:val="en-AU"/>
      </w:rPr>
      <w:t xml:space="preserve"> – Queensland Building and Construction Commission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CD8D5" w14:textId="77777777" w:rsidR="0086683B" w:rsidRPr="00703A0B" w:rsidRDefault="0086683B" w:rsidP="0086683B">
    <w:pPr>
      <w:ind w:left="-142"/>
      <w:jc w:val="right"/>
      <w:rPr>
        <w:rFonts w:cs="Arial"/>
        <w:color w:val="020A0A" w:themeColor="text1"/>
        <w:sz w:val="14"/>
        <w:szCs w:val="14"/>
      </w:rPr>
    </w:pPr>
    <w:r w:rsidRPr="00703A0B">
      <w:rPr>
        <w:rFonts w:cs="Arial"/>
        <w:color w:val="020A0A" w:themeColor="text1"/>
        <w:sz w:val="14"/>
        <w:szCs w:val="14"/>
      </w:rPr>
      <w:t xml:space="preserve">Page </w:t>
    </w:r>
    <w:r w:rsidRPr="00703A0B">
      <w:rPr>
        <w:rFonts w:cs="Arial"/>
        <w:color w:val="020A0A" w:themeColor="text1"/>
        <w:sz w:val="14"/>
        <w:szCs w:val="14"/>
      </w:rPr>
      <w:fldChar w:fldCharType="begin"/>
    </w:r>
    <w:r w:rsidRPr="00703A0B">
      <w:rPr>
        <w:rFonts w:cs="Arial"/>
        <w:color w:val="020A0A" w:themeColor="text1"/>
        <w:sz w:val="14"/>
        <w:szCs w:val="14"/>
      </w:rPr>
      <w:instrText xml:space="preserve"> PAGE </w:instrText>
    </w:r>
    <w:r w:rsidRPr="00703A0B">
      <w:rPr>
        <w:rFonts w:cs="Arial"/>
        <w:color w:val="020A0A" w:themeColor="text1"/>
        <w:sz w:val="14"/>
        <w:szCs w:val="14"/>
      </w:rPr>
      <w:fldChar w:fldCharType="separate"/>
    </w:r>
    <w:r w:rsidRPr="00703A0B">
      <w:rPr>
        <w:rFonts w:cs="Arial"/>
        <w:color w:val="020A0A" w:themeColor="text1"/>
        <w:sz w:val="14"/>
        <w:szCs w:val="14"/>
      </w:rPr>
      <w:t>3</w:t>
    </w:r>
    <w:r w:rsidRPr="00703A0B">
      <w:rPr>
        <w:rFonts w:cs="Arial"/>
        <w:color w:val="020A0A" w:themeColor="text1"/>
        <w:sz w:val="14"/>
        <w:szCs w:val="14"/>
      </w:rPr>
      <w:fldChar w:fldCharType="end"/>
    </w:r>
    <w:r w:rsidRPr="00703A0B">
      <w:rPr>
        <w:rFonts w:cs="Arial"/>
        <w:color w:val="020A0A" w:themeColor="text1"/>
        <w:sz w:val="14"/>
        <w:szCs w:val="14"/>
      </w:rPr>
      <w:t xml:space="preserve"> of </w:t>
    </w:r>
    <w:r w:rsidRPr="00703A0B">
      <w:rPr>
        <w:rFonts w:cs="Arial"/>
        <w:color w:val="020A0A" w:themeColor="text1"/>
        <w:sz w:val="14"/>
        <w:szCs w:val="14"/>
      </w:rPr>
      <w:fldChar w:fldCharType="begin"/>
    </w:r>
    <w:r w:rsidRPr="00703A0B">
      <w:rPr>
        <w:rFonts w:cs="Arial"/>
        <w:color w:val="020A0A" w:themeColor="text1"/>
        <w:sz w:val="14"/>
        <w:szCs w:val="14"/>
      </w:rPr>
      <w:instrText xml:space="preserve"> NUMPAGES </w:instrText>
    </w:r>
    <w:r w:rsidRPr="00703A0B">
      <w:rPr>
        <w:rFonts w:cs="Arial"/>
        <w:color w:val="020A0A" w:themeColor="text1"/>
        <w:sz w:val="14"/>
        <w:szCs w:val="14"/>
      </w:rPr>
      <w:fldChar w:fldCharType="separate"/>
    </w:r>
    <w:r w:rsidRPr="00703A0B">
      <w:rPr>
        <w:rFonts w:cs="Arial"/>
        <w:color w:val="020A0A" w:themeColor="text1"/>
        <w:sz w:val="14"/>
        <w:szCs w:val="14"/>
      </w:rPr>
      <w:t>74</w:t>
    </w:r>
    <w:r w:rsidRPr="00703A0B">
      <w:rPr>
        <w:rFonts w:cs="Arial"/>
        <w:color w:val="020A0A" w:themeColor="text1"/>
        <w:sz w:val="14"/>
        <w:szCs w:val="14"/>
      </w:rPr>
      <w:fldChar w:fldCharType="end"/>
    </w:r>
    <w:r w:rsidRPr="00703A0B">
      <w:rPr>
        <w:rFonts w:cs="Arial"/>
        <w:color w:val="020A0A" w:themeColor="text1"/>
        <w:sz w:val="14"/>
        <w:szCs w:val="14"/>
      </w:rPr>
      <w:t xml:space="preserve"> </w:t>
    </w:r>
  </w:p>
  <w:p w14:paraId="7E773353" w14:textId="77777777" w:rsidR="0086683B" w:rsidRPr="00703A0B" w:rsidRDefault="0086683B" w:rsidP="0086683B">
    <w:pPr>
      <w:pStyle w:val="BasicParagraph"/>
      <w:tabs>
        <w:tab w:val="left" w:pos="3260"/>
        <w:tab w:val="left" w:pos="4420"/>
        <w:tab w:val="left" w:pos="6100"/>
      </w:tabs>
      <w:rPr>
        <w:rFonts w:ascii="Arial" w:hAnsi="Arial" w:cs="Arial"/>
        <w:color w:val="575A5D"/>
        <w:sz w:val="14"/>
        <w:szCs w:val="14"/>
        <w:lang w:val="en-AU"/>
      </w:rPr>
    </w:pPr>
    <w:r w:rsidRPr="00BB72F2">
      <w:rPr>
        <w:rFonts w:ascii="Arial" w:hAnsi="Arial" w:cs="Arial"/>
        <w:noProof/>
        <w:color w:val="575A5D"/>
        <w:sz w:val="14"/>
        <w:szCs w:val="14"/>
        <w:lang w:val="en-AU" w:eastAsia="en-GB"/>
      </w:rPr>
      <w:drawing>
        <wp:anchor distT="0" distB="0" distL="114300" distR="114300" simplePos="0" relativeHeight="251685911" behindDoc="1" locked="0" layoutInCell="1" allowOverlap="1" wp14:anchorId="3DF8F016" wp14:editId="121F5C6E">
          <wp:simplePos x="0" y="0"/>
          <wp:positionH relativeFrom="column">
            <wp:posOffset>-457200</wp:posOffset>
          </wp:positionH>
          <wp:positionV relativeFrom="paragraph">
            <wp:posOffset>319405</wp:posOffset>
          </wp:positionV>
          <wp:extent cx="7559675" cy="121930"/>
          <wp:effectExtent l="0" t="0" r="3175" b="0"/>
          <wp:wrapNone/>
          <wp:docPr id="312812725" name="Picture 312812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86935" behindDoc="1" locked="0" layoutInCell="1" allowOverlap="1" wp14:anchorId="582992AB" wp14:editId="4DEC987D">
          <wp:simplePos x="0" y="0"/>
          <wp:positionH relativeFrom="column">
            <wp:posOffset>-457200</wp:posOffset>
          </wp:positionH>
          <wp:positionV relativeFrom="paragraph">
            <wp:posOffset>319405</wp:posOffset>
          </wp:positionV>
          <wp:extent cx="7559675" cy="121930"/>
          <wp:effectExtent l="0" t="0" r="3175" b="0"/>
          <wp:wrapNone/>
          <wp:docPr id="924757892" name="Picture 924757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87959" behindDoc="1" locked="0" layoutInCell="1" allowOverlap="1" wp14:anchorId="08A2E29C" wp14:editId="6BDC1D10">
          <wp:simplePos x="0" y="0"/>
          <wp:positionH relativeFrom="column">
            <wp:posOffset>-457200</wp:posOffset>
          </wp:positionH>
          <wp:positionV relativeFrom="paragraph">
            <wp:posOffset>319405</wp:posOffset>
          </wp:positionV>
          <wp:extent cx="7559675" cy="121930"/>
          <wp:effectExtent l="0" t="0" r="3175" b="0"/>
          <wp:wrapNone/>
          <wp:docPr id="1779382917" name="Picture 1779382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88983" behindDoc="1" locked="0" layoutInCell="1" allowOverlap="1" wp14:anchorId="7653D6F6" wp14:editId="096A87CB">
          <wp:simplePos x="0" y="0"/>
          <wp:positionH relativeFrom="column">
            <wp:posOffset>-457200</wp:posOffset>
          </wp:positionH>
          <wp:positionV relativeFrom="paragraph">
            <wp:posOffset>319405</wp:posOffset>
          </wp:positionV>
          <wp:extent cx="7559675" cy="121930"/>
          <wp:effectExtent l="0" t="0" r="3175" b="0"/>
          <wp:wrapNone/>
          <wp:docPr id="1174967872" name="Picture 1174967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90007" behindDoc="1" locked="0" layoutInCell="1" allowOverlap="1" wp14:anchorId="56E823ED" wp14:editId="22B7293F">
          <wp:simplePos x="0" y="0"/>
          <wp:positionH relativeFrom="column">
            <wp:posOffset>-457200</wp:posOffset>
          </wp:positionH>
          <wp:positionV relativeFrom="paragraph">
            <wp:posOffset>319405</wp:posOffset>
          </wp:positionV>
          <wp:extent cx="7559675" cy="121930"/>
          <wp:effectExtent l="0" t="0" r="3175" b="0"/>
          <wp:wrapNone/>
          <wp:docPr id="4106551" name="Picture 4106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91031" behindDoc="1" locked="0" layoutInCell="1" allowOverlap="1" wp14:anchorId="67B609CF" wp14:editId="4DA345AE">
          <wp:simplePos x="0" y="0"/>
          <wp:positionH relativeFrom="column">
            <wp:posOffset>-457200</wp:posOffset>
          </wp:positionH>
          <wp:positionV relativeFrom="paragraph">
            <wp:posOffset>319405</wp:posOffset>
          </wp:positionV>
          <wp:extent cx="7559675" cy="121930"/>
          <wp:effectExtent l="0" t="0" r="3175" b="0"/>
          <wp:wrapNone/>
          <wp:docPr id="961350680" name="Picture 961350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92055" behindDoc="1" locked="0" layoutInCell="1" allowOverlap="1" wp14:anchorId="0BB50B3E" wp14:editId="3B7CF3A2">
          <wp:simplePos x="0" y="0"/>
          <wp:positionH relativeFrom="column">
            <wp:posOffset>-457200</wp:posOffset>
          </wp:positionH>
          <wp:positionV relativeFrom="paragraph">
            <wp:posOffset>319405</wp:posOffset>
          </wp:positionV>
          <wp:extent cx="7559675" cy="121930"/>
          <wp:effectExtent l="0" t="0" r="3175" b="0"/>
          <wp:wrapNone/>
          <wp:docPr id="1913791024" name="Picture 191379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93079" behindDoc="1" locked="0" layoutInCell="1" allowOverlap="1" wp14:anchorId="439B6AD6" wp14:editId="3C5E7D8B">
          <wp:simplePos x="0" y="0"/>
          <wp:positionH relativeFrom="column">
            <wp:posOffset>-457200</wp:posOffset>
          </wp:positionH>
          <wp:positionV relativeFrom="paragraph">
            <wp:posOffset>319405</wp:posOffset>
          </wp:positionV>
          <wp:extent cx="7559675" cy="121930"/>
          <wp:effectExtent l="0" t="0" r="3175" b="0"/>
          <wp:wrapNone/>
          <wp:docPr id="943295345" name="Picture 943295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94103" behindDoc="1" locked="0" layoutInCell="1" allowOverlap="1" wp14:anchorId="10030342" wp14:editId="5EA0B292">
          <wp:simplePos x="0" y="0"/>
          <wp:positionH relativeFrom="column">
            <wp:posOffset>-457200</wp:posOffset>
          </wp:positionH>
          <wp:positionV relativeFrom="paragraph">
            <wp:posOffset>319405</wp:posOffset>
          </wp:positionV>
          <wp:extent cx="7559675" cy="121930"/>
          <wp:effectExtent l="0" t="0" r="3175" b="0"/>
          <wp:wrapNone/>
          <wp:docPr id="1344062872" name="Picture 1344062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95127" behindDoc="1" locked="0" layoutInCell="1" allowOverlap="1" wp14:anchorId="55EF82B3" wp14:editId="6075E9F0">
          <wp:simplePos x="0" y="0"/>
          <wp:positionH relativeFrom="column">
            <wp:posOffset>-457200</wp:posOffset>
          </wp:positionH>
          <wp:positionV relativeFrom="paragraph">
            <wp:posOffset>319405</wp:posOffset>
          </wp:positionV>
          <wp:extent cx="7559675" cy="121930"/>
          <wp:effectExtent l="0" t="0" r="3175" b="0"/>
          <wp:wrapNone/>
          <wp:docPr id="1616564927" name="Picture 1616564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96151" behindDoc="1" locked="0" layoutInCell="1" allowOverlap="1" wp14:anchorId="269C7F05" wp14:editId="5CC1ACB2">
          <wp:simplePos x="0" y="0"/>
          <wp:positionH relativeFrom="column">
            <wp:posOffset>-457200</wp:posOffset>
          </wp:positionH>
          <wp:positionV relativeFrom="paragraph">
            <wp:posOffset>319405</wp:posOffset>
          </wp:positionV>
          <wp:extent cx="7559675" cy="121930"/>
          <wp:effectExtent l="0" t="0" r="3175" b="0"/>
          <wp:wrapNone/>
          <wp:docPr id="594346347" name="Picture 594346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97175" behindDoc="1" locked="0" layoutInCell="1" allowOverlap="1" wp14:anchorId="0D0B0641" wp14:editId="7AFB9A11">
          <wp:simplePos x="0" y="0"/>
          <wp:positionH relativeFrom="column">
            <wp:posOffset>-457200</wp:posOffset>
          </wp:positionH>
          <wp:positionV relativeFrom="paragraph">
            <wp:posOffset>319405</wp:posOffset>
          </wp:positionV>
          <wp:extent cx="7559675" cy="121930"/>
          <wp:effectExtent l="0" t="0" r="3175" b="0"/>
          <wp:wrapNone/>
          <wp:docPr id="1331009045" name="Picture 1331009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98199" behindDoc="1" locked="0" layoutInCell="1" allowOverlap="1" wp14:anchorId="21526FB2" wp14:editId="7293BA55">
          <wp:simplePos x="0" y="0"/>
          <wp:positionH relativeFrom="column">
            <wp:posOffset>-457200</wp:posOffset>
          </wp:positionH>
          <wp:positionV relativeFrom="paragraph">
            <wp:posOffset>319405</wp:posOffset>
          </wp:positionV>
          <wp:extent cx="7559675" cy="121930"/>
          <wp:effectExtent l="0" t="0" r="3175" b="0"/>
          <wp:wrapNone/>
          <wp:docPr id="1201836340" name="Picture 1201836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699223" behindDoc="1" locked="0" layoutInCell="1" allowOverlap="1" wp14:anchorId="28603156" wp14:editId="0D517DCC">
          <wp:simplePos x="0" y="0"/>
          <wp:positionH relativeFrom="column">
            <wp:posOffset>-457200</wp:posOffset>
          </wp:positionH>
          <wp:positionV relativeFrom="paragraph">
            <wp:posOffset>319405</wp:posOffset>
          </wp:positionV>
          <wp:extent cx="7559675" cy="121930"/>
          <wp:effectExtent l="0" t="0" r="3175" b="0"/>
          <wp:wrapNone/>
          <wp:docPr id="1505051072" name="Picture 150505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00247" behindDoc="1" locked="0" layoutInCell="1" allowOverlap="1" wp14:anchorId="0A53AE84" wp14:editId="475AA24B">
          <wp:simplePos x="0" y="0"/>
          <wp:positionH relativeFrom="column">
            <wp:posOffset>-457200</wp:posOffset>
          </wp:positionH>
          <wp:positionV relativeFrom="paragraph">
            <wp:posOffset>319405</wp:posOffset>
          </wp:positionV>
          <wp:extent cx="7559675" cy="121930"/>
          <wp:effectExtent l="0" t="0" r="3175" b="0"/>
          <wp:wrapNone/>
          <wp:docPr id="1431195925" name="Picture 1431195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01271" behindDoc="1" locked="0" layoutInCell="1" allowOverlap="1" wp14:anchorId="7B10F4C1" wp14:editId="548A8453">
          <wp:simplePos x="0" y="0"/>
          <wp:positionH relativeFrom="column">
            <wp:posOffset>-457200</wp:posOffset>
          </wp:positionH>
          <wp:positionV relativeFrom="paragraph">
            <wp:posOffset>319405</wp:posOffset>
          </wp:positionV>
          <wp:extent cx="7559675" cy="121930"/>
          <wp:effectExtent l="0" t="0" r="3175" b="0"/>
          <wp:wrapNone/>
          <wp:docPr id="400735368" name="Picture 400735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02295" behindDoc="1" locked="0" layoutInCell="1" allowOverlap="1" wp14:anchorId="610359DD" wp14:editId="589B5AD6">
          <wp:simplePos x="0" y="0"/>
          <wp:positionH relativeFrom="column">
            <wp:posOffset>-457200</wp:posOffset>
          </wp:positionH>
          <wp:positionV relativeFrom="paragraph">
            <wp:posOffset>319405</wp:posOffset>
          </wp:positionV>
          <wp:extent cx="7559675" cy="121930"/>
          <wp:effectExtent l="0" t="0" r="3175" b="0"/>
          <wp:wrapNone/>
          <wp:docPr id="1952373056" name="Picture 1952373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03319" behindDoc="1" locked="0" layoutInCell="1" allowOverlap="1" wp14:anchorId="5AF89EA1" wp14:editId="0EEA6CFE">
          <wp:simplePos x="0" y="0"/>
          <wp:positionH relativeFrom="column">
            <wp:posOffset>-457200</wp:posOffset>
          </wp:positionH>
          <wp:positionV relativeFrom="paragraph">
            <wp:posOffset>319405</wp:posOffset>
          </wp:positionV>
          <wp:extent cx="7559675" cy="121930"/>
          <wp:effectExtent l="0" t="0" r="3175" b="0"/>
          <wp:wrapNone/>
          <wp:docPr id="1018016457" name="Picture 1018016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04343" behindDoc="1" locked="0" layoutInCell="1" allowOverlap="1" wp14:anchorId="52641255" wp14:editId="64201A59">
          <wp:simplePos x="0" y="0"/>
          <wp:positionH relativeFrom="column">
            <wp:posOffset>-457200</wp:posOffset>
          </wp:positionH>
          <wp:positionV relativeFrom="paragraph">
            <wp:posOffset>319405</wp:posOffset>
          </wp:positionV>
          <wp:extent cx="7559675" cy="121930"/>
          <wp:effectExtent l="0" t="0" r="3175" b="0"/>
          <wp:wrapNone/>
          <wp:docPr id="1689791772" name="Picture 1689791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05367" behindDoc="1" locked="0" layoutInCell="1" allowOverlap="1" wp14:anchorId="3E9FAF82" wp14:editId="0F1CECA4">
          <wp:simplePos x="0" y="0"/>
          <wp:positionH relativeFrom="column">
            <wp:posOffset>-457200</wp:posOffset>
          </wp:positionH>
          <wp:positionV relativeFrom="paragraph">
            <wp:posOffset>319405</wp:posOffset>
          </wp:positionV>
          <wp:extent cx="7559675" cy="121930"/>
          <wp:effectExtent l="0" t="0" r="3175" b="0"/>
          <wp:wrapNone/>
          <wp:docPr id="1935004477" name="Picture 1935004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06391" behindDoc="1" locked="0" layoutInCell="1" allowOverlap="1" wp14:anchorId="63AEFDF5" wp14:editId="4B518A8D">
          <wp:simplePos x="0" y="0"/>
          <wp:positionH relativeFrom="column">
            <wp:posOffset>-457200</wp:posOffset>
          </wp:positionH>
          <wp:positionV relativeFrom="paragraph">
            <wp:posOffset>319405</wp:posOffset>
          </wp:positionV>
          <wp:extent cx="7559675" cy="121930"/>
          <wp:effectExtent l="0" t="0" r="3175" b="0"/>
          <wp:wrapNone/>
          <wp:docPr id="1547065702" name="Picture 1547065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07415" behindDoc="1" locked="0" layoutInCell="1" allowOverlap="1" wp14:anchorId="123D284E" wp14:editId="4F3FED16">
          <wp:simplePos x="0" y="0"/>
          <wp:positionH relativeFrom="column">
            <wp:posOffset>-457200</wp:posOffset>
          </wp:positionH>
          <wp:positionV relativeFrom="paragraph">
            <wp:posOffset>319405</wp:posOffset>
          </wp:positionV>
          <wp:extent cx="7559675" cy="121930"/>
          <wp:effectExtent l="0" t="0" r="3175" b="0"/>
          <wp:wrapNone/>
          <wp:docPr id="1855348276" name="Picture 1855348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08439" behindDoc="1" locked="0" layoutInCell="1" allowOverlap="1" wp14:anchorId="62773A09" wp14:editId="12FA4B55">
          <wp:simplePos x="0" y="0"/>
          <wp:positionH relativeFrom="column">
            <wp:posOffset>-457200</wp:posOffset>
          </wp:positionH>
          <wp:positionV relativeFrom="paragraph">
            <wp:posOffset>319405</wp:posOffset>
          </wp:positionV>
          <wp:extent cx="7559675" cy="121930"/>
          <wp:effectExtent l="0" t="0" r="3175" b="0"/>
          <wp:wrapNone/>
          <wp:docPr id="769387050" name="Picture 769387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09463" behindDoc="1" locked="0" layoutInCell="1" allowOverlap="1" wp14:anchorId="2728AA1D" wp14:editId="5E12D0C8">
          <wp:simplePos x="0" y="0"/>
          <wp:positionH relativeFrom="column">
            <wp:posOffset>-457200</wp:posOffset>
          </wp:positionH>
          <wp:positionV relativeFrom="paragraph">
            <wp:posOffset>319405</wp:posOffset>
          </wp:positionV>
          <wp:extent cx="7559675" cy="121930"/>
          <wp:effectExtent l="0" t="0" r="3175" b="0"/>
          <wp:wrapNone/>
          <wp:docPr id="1998627648" name="Picture 1998627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703A0B">
      <w:rPr>
        <w:rFonts w:ascii="Arial" w:hAnsi="Arial" w:cs="Arial"/>
        <w:color w:val="575A5D"/>
        <w:sz w:val="14"/>
        <w:szCs w:val="14"/>
        <w:lang w:val="en-AU" w:eastAsia="en-GB"/>
      </w:rPr>
      <w:t>Annual Report 2025–26</w:t>
    </w:r>
    <w:r w:rsidRPr="00703A0B">
      <w:rPr>
        <w:rFonts w:ascii="Arial" w:hAnsi="Arial" w:cs="Arial"/>
        <w:color w:val="575A5D"/>
        <w:sz w:val="14"/>
        <w:szCs w:val="14"/>
        <w:lang w:val="en-AU"/>
      </w:rPr>
      <w:t xml:space="preserve"> – Queensland Building and Construction Commission</w:t>
    </w:r>
  </w:p>
  <w:p w14:paraId="7856B3EE" w14:textId="77777777" w:rsidR="0086683B" w:rsidRPr="00703A0B" w:rsidRDefault="0086683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8924A" w14:textId="3C11E822" w:rsidR="0086683B" w:rsidRPr="00703A0B" w:rsidRDefault="0086683B" w:rsidP="0086683B">
    <w:pPr>
      <w:ind w:left="-142"/>
      <w:jc w:val="right"/>
      <w:rPr>
        <w:rFonts w:cs="Arial"/>
        <w:color w:val="020A0A" w:themeColor="text1"/>
        <w:sz w:val="14"/>
        <w:szCs w:val="14"/>
      </w:rPr>
    </w:pPr>
    <w:r w:rsidRPr="00703A0B">
      <w:rPr>
        <w:rFonts w:cs="Arial"/>
        <w:color w:val="020A0A" w:themeColor="text1"/>
        <w:sz w:val="14"/>
        <w:szCs w:val="14"/>
      </w:rPr>
      <w:t xml:space="preserve">Page </w:t>
    </w:r>
    <w:r w:rsidRPr="00703A0B">
      <w:rPr>
        <w:rFonts w:cs="Arial"/>
        <w:color w:val="020A0A" w:themeColor="text1"/>
        <w:sz w:val="14"/>
        <w:szCs w:val="14"/>
      </w:rPr>
      <w:fldChar w:fldCharType="begin"/>
    </w:r>
    <w:r w:rsidRPr="00703A0B">
      <w:rPr>
        <w:rFonts w:cs="Arial"/>
        <w:color w:val="020A0A" w:themeColor="text1"/>
        <w:sz w:val="14"/>
        <w:szCs w:val="14"/>
      </w:rPr>
      <w:instrText xml:space="preserve"> PAGE </w:instrText>
    </w:r>
    <w:r w:rsidRPr="00703A0B">
      <w:rPr>
        <w:rFonts w:cs="Arial"/>
        <w:color w:val="020A0A" w:themeColor="text1"/>
        <w:sz w:val="14"/>
        <w:szCs w:val="14"/>
      </w:rPr>
      <w:fldChar w:fldCharType="separate"/>
    </w:r>
    <w:r w:rsidRPr="00703A0B">
      <w:rPr>
        <w:rFonts w:cs="Arial"/>
        <w:color w:val="020A0A" w:themeColor="text1"/>
        <w:sz w:val="14"/>
        <w:szCs w:val="14"/>
      </w:rPr>
      <w:t>3</w:t>
    </w:r>
    <w:r w:rsidRPr="00703A0B">
      <w:rPr>
        <w:rFonts w:cs="Arial"/>
        <w:color w:val="020A0A" w:themeColor="text1"/>
        <w:sz w:val="14"/>
        <w:szCs w:val="14"/>
      </w:rPr>
      <w:fldChar w:fldCharType="end"/>
    </w:r>
  </w:p>
  <w:p w14:paraId="771102A9" w14:textId="77777777" w:rsidR="0086683B" w:rsidRPr="00703A0B" w:rsidRDefault="0086683B" w:rsidP="0086683B">
    <w:pPr>
      <w:pStyle w:val="BasicParagraph"/>
      <w:tabs>
        <w:tab w:val="left" w:pos="3260"/>
        <w:tab w:val="left" w:pos="4420"/>
        <w:tab w:val="left" w:pos="6100"/>
      </w:tabs>
      <w:rPr>
        <w:rFonts w:ascii="Arial" w:hAnsi="Arial" w:cs="Arial"/>
        <w:color w:val="575A5D"/>
        <w:sz w:val="14"/>
        <w:szCs w:val="14"/>
        <w:lang w:val="en-AU"/>
      </w:rPr>
    </w:pPr>
    <w:r w:rsidRPr="00BB72F2">
      <w:rPr>
        <w:rFonts w:ascii="Arial" w:hAnsi="Arial" w:cs="Arial"/>
        <w:noProof/>
        <w:color w:val="575A5D"/>
        <w:sz w:val="14"/>
        <w:szCs w:val="14"/>
        <w:lang w:val="en-AU" w:eastAsia="en-GB"/>
      </w:rPr>
      <w:drawing>
        <wp:anchor distT="0" distB="0" distL="114300" distR="114300" simplePos="0" relativeHeight="251711511" behindDoc="1" locked="0" layoutInCell="1" allowOverlap="1" wp14:anchorId="3172D58A" wp14:editId="1D76DEB6">
          <wp:simplePos x="0" y="0"/>
          <wp:positionH relativeFrom="column">
            <wp:posOffset>-457200</wp:posOffset>
          </wp:positionH>
          <wp:positionV relativeFrom="paragraph">
            <wp:posOffset>319405</wp:posOffset>
          </wp:positionV>
          <wp:extent cx="7559675" cy="121930"/>
          <wp:effectExtent l="0" t="0" r="3175" b="0"/>
          <wp:wrapNone/>
          <wp:docPr id="833861532" name="Picture 833861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12535" behindDoc="1" locked="0" layoutInCell="1" allowOverlap="1" wp14:anchorId="744A9BD8" wp14:editId="6D49A25B">
          <wp:simplePos x="0" y="0"/>
          <wp:positionH relativeFrom="column">
            <wp:posOffset>-457200</wp:posOffset>
          </wp:positionH>
          <wp:positionV relativeFrom="paragraph">
            <wp:posOffset>319405</wp:posOffset>
          </wp:positionV>
          <wp:extent cx="7559675" cy="121930"/>
          <wp:effectExtent l="0" t="0" r="3175" b="0"/>
          <wp:wrapNone/>
          <wp:docPr id="1002524473" name="Picture 1002524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13559" behindDoc="1" locked="0" layoutInCell="1" allowOverlap="1" wp14:anchorId="3CE664AF" wp14:editId="6DB16F81">
          <wp:simplePos x="0" y="0"/>
          <wp:positionH relativeFrom="column">
            <wp:posOffset>-457200</wp:posOffset>
          </wp:positionH>
          <wp:positionV relativeFrom="paragraph">
            <wp:posOffset>319405</wp:posOffset>
          </wp:positionV>
          <wp:extent cx="7559675" cy="121930"/>
          <wp:effectExtent l="0" t="0" r="3175" b="0"/>
          <wp:wrapNone/>
          <wp:docPr id="1330650843" name="Picture 1330650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14583" behindDoc="1" locked="0" layoutInCell="1" allowOverlap="1" wp14:anchorId="4B0F9136" wp14:editId="2F42AD71">
          <wp:simplePos x="0" y="0"/>
          <wp:positionH relativeFrom="column">
            <wp:posOffset>-457200</wp:posOffset>
          </wp:positionH>
          <wp:positionV relativeFrom="paragraph">
            <wp:posOffset>319405</wp:posOffset>
          </wp:positionV>
          <wp:extent cx="7559675" cy="121930"/>
          <wp:effectExtent l="0" t="0" r="3175" b="0"/>
          <wp:wrapNone/>
          <wp:docPr id="1490319691" name="Picture 1490319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15607" behindDoc="1" locked="0" layoutInCell="1" allowOverlap="1" wp14:anchorId="2C04A650" wp14:editId="496D11DF">
          <wp:simplePos x="0" y="0"/>
          <wp:positionH relativeFrom="column">
            <wp:posOffset>-457200</wp:posOffset>
          </wp:positionH>
          <wp:positionV relativeFrom="paragraph">
            <wp:posOffset>319405</wp:posOffset>
          </wp:positionV>
          <wp:extent cx="7559675" cy="121930"/>
          <wp:effectExtent l="0" t="0" r="3175" b="0"/>
          <wp:wrapNone/>
          <wp:docPr id="946793246" name="Picture 946793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16631" behindDoc="1" locked="0" layoutInCell="1" allowOverlap="1" wp14:anchorId="7853646F" wp14:editId="32410105">
          <wp:simplePos x="0" y="0"/>
          <wp:positionH relativeFrom="column">
            <wp:posOffset>-457200</wp:posOffset>
          </wp:positionH>
          <wp:positionV relativeFrom="paragraph">
            <wp:posOffset>319405</wp:posOffset>
          </wp:positionV>
          <wp:extent cx="7559675" cy="121930"/>
          <wp:effectExtent l="0" t="0" r="3175" b="0"/>
          <wp:wrapNone/>
          <wp:docPr id="151516520" name="Picture 151516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17655" behindDoc="1" locked="0" layoutInCell="1" allowOverlap="1" wp14:anchorId="02D0D8B0" wp14:editId="21159070">
          <wp:simplePos x="0" y="0"/>
          <wp:positionH relativeFrom="column">
            <wp:posOffset>-457200</wp:posOffset>
          </wp:positionH>
          <wp:positionV relativeFrom="paragraph">
            <wp:posOffset>319405</wp:posOffset>
          </wp:positionV>
          <wp:extent cx="7559675" cy="121930"/>
          <wp:effectExtent l="0" t="0" r="3175" b="0"/>
          <wp:wrapNone/>
          <wp:docPr id="694361071" name="Picture 69436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18679" behindDoc="1" locked="0" layoutInCell="1" allowOverlap="1" wp14:anchorId="5352CA84" wp14:editId="2A3012C8">
          <wp:simplePos x="0" y="0"/>
          <wp:positionH relativeFrom="column">
            <wp:posOffset>-457200</wp:posOffset>
          </wp:positionH>
          <wp:positionV relativeFrom="paragraph">
            <wp:posOffset>319405</wp:posOffset>
          </wp:positionV>
          <wp:extent cx="7559675" cy="121930"/>
          <wp:effectExtent l="0" t="0" r="3175" b="0"/>
          <wp:wrapNone/>
          <wp:docPr id="1720308478" name="Picture 1720308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19703" behindDoc="1" locked="0" layoutInCell="1" allowOverlap="1" wp14:anchorId="114D3A8E" wp14:editId="5ACC2064">
          <wp:simplePos x="0" y="0"/>
          <wp:positionH relativeFrom="column">
            <wp:posOffset>-457200</wp:posOffset>
          </wp:positionH>
          <wp:positionV relativeFrom="paragraph">
            <wp:posOffset>319405</wp:posOffset>
          </wp:positionV>
          <wp:extent cx="7559675" cy="121930"/>
          <wp:effectExtent l="0" t="0" r="3175" b="0"/>
          <wp:wrapNone/>
          <wp:docPr id="903213681" name="Picture 903213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20727" behindDoc="1" locked="0" layoutInCell="1" allowOverlap="1" wp14:anchorId="64038F1E" wp14:editId="77965639">
          <wp:simplePos x="0" y="0"/>
          <wp:positionH relativeFrom="column">
            <wp:posOffset>-457200</wp:posOffset>
          </wp:positionH>
          <wp:positionV relativeFrom="paragraph">
            <wp:posOffset>319405</wp:posOffset>
          </wp:positionV>
          <wp:extent cx="7559675" cy="121930"/>
          <wp:effectExtent l="0" t="0" r="3175" b="0"/>
          <wp:wrapNone/>
          <wp:docPr id="1048589891" name="Picture 1048589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21751" behindDoc="1" locked="0" layoutInCell="1" allowOverlap="1" wp14:anchorId="5D76D13A" wp14:editId="3245761D">
          <wp:simplePos x="0" y="0"/>
          <wp:positionH relativeFrom="column">
            <wp:posOffset>-457200</wp:posOffset>
          </wp:positionH>
          <wp:positionV relativeFrom="paragraph">
            <wp:posOffset>319405</wp:posOffset>
          </wp:positionV>
          <wp:extent cx="7559675" cy="121930"/>
          <wp:effectExtent l="0" t="0" r="3175" b="0"/>
          <wp:wrapNone/>
          <wp:docPr id="1822159505" name="Picture 1822159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22775" behindDoc="1" locked="0" layoutInCell="1" allowOverlap="1" wp14:anchorId="2DD0FA6C" wp14:editId="4523CA70">
          <wp:simplePos x="0" y="0"/>
          <wp:positionH relativeFrom="column">
            <wp:posOffset>-457200</wp:posOffset>
          </wp:positionH>
          <wp:positionV relativeFrom="paragraph">
            <wp:posOffset>319405</wp:posOffset>
          </wp:positionV>
          <wp:extent cx="7559675" cy="121930"/>
          <wp:effectExtent l="0" t="0" r="3175" b="0"/>
          <wp:wrapNone/>
          <wp:docPr id="968476048" name="Picture 968476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23799" behindDoc="1" locked="0" layoutInCell="1" allowOverlap="1" wp14:anchorId="091A164A" wp14:editId="48D5C210">
          <wp:simplePos x="0" y="0"/>
          <wp:positionH relativeFrom="column">
            <wp:posOffset>-457200</wp:posOffset>
          </wp:positionH>
          <wp:positionV relativeFrom="paragraph">
            <wp:posOffset>319405</wp:posOffset>
          </wp:positionV>
          <wp:extent cx="7559675" cy="121930"/>
          <wp:effectExtent l="0" t="0" r="3175" b="0"/>
          <wp:wrapNone/>
          <wp:docPr id="1261232865" name="Picture 1261232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24823" behindDoc="1" locked="0" layoutInCell="1" allowOverlap="1" wp14:anchorId="4B82CDF5" wp14:editId="74240A4A">
          <wp:simplePos x="0" y="0"/>
          <wp:positionH relativeFrom="column">
            <wp:posOffset>-457200</wp:posOffset>
          </wp:positionH>
          <wp:positionV relativeFrom="paragraph">
            <wp:posOffset>319405</wp:posOffset>
          </wp:positionV>
          <wp:extent cx="7559675" cy="121930"/>
          <wp:effectExtent l="0" t="0" r="3175" b="0"/>
          <wp:wrapNone/>
          <wp:docPr id="690449141" name="Picture 690449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25847" behindDoc="1" locked="0" layoutInCell="1" allowOverlap="1" wp14:anchorId="25ABB45E" wp14:editId="47333AD0">
          <wp:simplePos x="0" y="0"/>
          <wp:positionH relativeFrom="column">
            <wp:posOffset>-457200</wp:posOffset>
          </wp:positionH>
          <wp:positionV relativeFrom="paragraph">
            <wp:posOffset>319405</wp:posOffset>
          </wp:positionV>
          <wp:extent cx="7559675" cy="121930"/>
          <wp:effectExtent l="0" t="0" r="3175" b="0"/>
          <wp:wrapNone/>
          <wp:docPr id="461608654" name="Picture 461608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26871" behindDoc="1" locked="0" layoutInCell="1" allowOverlap="1" wp14:anchorId="13640E0A" wp14:editId="007B4C42">
          <wp:simplePos x="0" y="0"/>
          <wp:positionH relativeFrom="column">
            <wp:posOffset>-457200</wp:posOffset>
          </wp:positionH>
          <wp:positionV relativeFrom="paragraph">
            <wp:posOffset>319405</wp:posOffset>
          </wp:positionV>
          <wp:extent cx="7559675" cy="121930"/>
          <wp:effectExtent l="0" t="0" r="3175" b="0"/>
          <wp:wrapNone/>
          <wp:docPr id="1659769918" name="Picture 1659769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27895" behindDoc="1" locked="0" layoutInCell="1" allowOverlap="1" wp14:anchorId="1529436A" wp14:editId="6B0BFF44">
          <wp:simplePos x="0" y="0"/>
          <wp:positionH relativeFrom="column">
            <wp:posOffset>-457200</wp:posOffset>
          </wp:positionH>
          <wp:positionV relativeFrom="paragraph">
            <wp:posOffset>319405</wp:posOffset>
          </wp:positionV>
          <wp:extent cx="7559675" cy="121930"/>
          <wp:effectExtent l="0" t="0" r="3175" b="0"/>
          <wp:wrapNone/>
          <wp:docPr id="878804969" name="Picture 878804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28919" behindDoc="1" locked="0" layoutInCell="1" allowOverlap="1" wp14:anchorId="464CBD2A" wp14:editId="0901D43F">
          <wp:simplePos x="0" y="0"/>
          <wp:positionH relativeFrom="column">
            <wp:posOffset>-457200</wp:posOffset>
          </wp:positionH>
          <wp:positionV relativeFrom="paragraph">
            <wp:posOffset>319405</wp:posOffset>
          </wp:positionV>
          <wp:extent cx="7559675" cy="121930"/>
          <wp:effectExtent l="0" t="0" r="3175" b="0"/>
          <wp:wrapNone/>
          <wp:docPr id="270800640" name="Picture 270800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29943" behindDoc="1" locked="0" layoutInCell="1" allowOverlap="1" wp14:anchorId="26381C27" wp14:editId="519CBE89">
          <wp:simplePos x="0" y="0"/>
          <wp:positionH relativeFrom="column">
            <wp:posOffset>-457200</wp:posOffset>
          </wp:positionH>
          <wp:positionV relativeFrom="paragraph">
            <wp:posOffset>319405</wp:posOffset>
          </wp:positionV>
          <wp:extent cx="7559675" cy="121930"/>
          <wp:effectExtent l="0" t="0" r="3175" b="0"/>
          <wp:wrapNone/>
          <wp:docPr id="1828838692" name="Picture 18288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30967" behindDoc="1" locked="0" layoutInCell="1" allowOverlap="1" wp14:anchorId="05467AB8" wp14:editId="7BDE9C5D">
          <wp:simplePos x="0" y="0"/>
          <wp:positionH relativeFrom="column">
            <wp:posOffset>-457200</wp:posOffset>
          </wp:positionH>
          <wp:positionV relativeFrom="paragraph">
            <wp:posOffset>319405</wp:posOffset>
          </wp:positionV>
          <wp:extent cx="7559675" cy="121930"/>
          <wp:effectExtent l="0" t="0" r="3175" b="0"/>
          <wp:wrapNone/>
          <wp:docPr id="7208932" name="Picture 7208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31991" behindDoc="1" locked="0" layoutInCell="1" allowOverlap="1" wp14:anchorId="26218C7B" wp14:editId="7017055A">
          <wp:simplePos x="0" y="0"/>
          <wp:positionH relativeFrom="column">
            <wp:posOffset>-457200</wp:posOffset>
          </wp:positionH>
          <wp:positionV relativeFrom="paragraph">
            <wp:posOffset>319405</wp:posOffset>
          </wp:positionV>
          <wp:extent cx="7559675" cy="121930"/>
          <wp:effectExtent l="0" t="0" r="3175" b="0"/>
          <wp:wrapNone/>
          <wp:docPr id="507107198" name="Picture 507107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33015" behindDoc="1" locked="0" layoutInCell="1" allowOverlap="1" wp14:anchorId="3E353027" wp14:editId="198515B9">
          <wp:simplePos x="0" y="0"/>
          <wp:positionH relativeFrom="column">
            <wp:posOffset>-457200</wp:posOffset>
          </wp:positionH>
          <wp:positionV relativeFrom="paragraph">
            <wp:posOffset>319405</wp:posOffset>
          </wp:positionV>
          <wp:extent cx="7559675" cy="121930"/>
          <wp:effectExtent l="0" t="0" r="3175" b="0"/>
          <wp:wrapNone/>
          <wp:docPr id="273717927" name="Picture 273717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34039" behindDoc="1" locked="0" layoutInCell="1" allowOverlap="1" wp14:anchorId="219F0D9C" wp14:editId="6DD9E45F">
          <wp:simplePos x="0" y="0"/>
          <wp:positionH relativeFrom="column">
            <wp:posOffset>-457200</wp:posOffset>
          </wp:positionH>
          <wp:positionV relativeFrom="paragraph">
            <wp:posOffset>319405</wp:posOffset>
          </wp:positionV>
          <wp:extent cx="7559675" cy="121930"/>
          <wp:effectExtent l="0" t="0" r="3175" b="0"/>
          <wp:wrapNone/>
          <wp:docPr id="1943563965" name="Picture 1943563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xt>
                  </a:extLst>
                </pic:spPr>
              </pic:pic>
            </a:graphicData>
          </a:graphic>
          <wp14:sizeRelH relativeFrom="page">
            <wp14:pctWidth>0</wp14:pctWidth>
          </wp14:sizeRelH>
          <wp14:sizeRelV relativeFrom="page">
            <wp14:pctHeight>0</wp14:pctHeight>
          </wp14:sizeRelV>
        </wp:anchor>
      </w:drawing>
    </w:r>
    <w:r w:rsidRPr="00BB72F2">
      <w:rPr>
        <w:rFonts w:ascii="Arial" w:hAnsi="Arial" w:cs="Arial"/>
        <w:noProof/>
        <w:color w:val="575A5D"/>
        <w:sz w:val="14"/>
        <w:szCs w:val="14"/>
        <w:lang w:val="en-AU" w:eastAsia="en-GB"/>
      </w:rPr>
      <w:drawing>
        <wp:anchor distT="0" distB="0" distL="114300" distR="114300" simplePos="0" relativeHeight="251735063" behindDoc="1" locked="0" layoutInCell="1" allowOverlap="1" wp14:anchorId="5B1B1462" wp14:editId="38E9E7D1">
          <wp:simplePos x="0" y="0"/>
          <wp:positionH relativeFrom="column">
            <wp:posOffset>-457200</wp:posOffset>
          </wp:positionH>
          <wp:positionV relativeFrom="paragraph">
            <wp:posOffset>319405</wp:posOffset>
          </wp:positionV>
          <wp:extent cx="7559675" cy="121930"/>
          <wp:effectExtent l="0" t="0" r="3175" b="0"/>
          <wp:wrapNone/>
          <wp:docPr id="956867475" name="Picture 956867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BCC Letterhead footer colour bar.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7559675" cy="121930"/>
                  </a:xfrm>
                  <a:prstGeom prst="rect">
                    <a:avLst/>
                  </a:prstGeom>
                  <a:ln>
                    <a:noFill/>
                  </a:ln>
                  <a:extLst>
                    <a:ext uri="{53640926-AAD7-44d8-BBD7-CCE9431645EC}">
                      <a14:shadowObscured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703A0B">
      <w:rPr>
        <w:rFonts w:ascii="Arial" w:hAnsi="Arial" w:cs="Arial"/>
        <w:color w:val="575A5D"/>
        <w:sz w:val="14"/>
        <w:szCs w:val="14"/>
        <w:lang w:val="en-AU" w:eastAsia="en-GB"/>
      </w:rPr>
      <w:t>Annual Report 2025–26</w:t>
    </w:r>
    <w:r w:rsidRPr="00703A0B">
      <w:rPr>
        <w:rFonts w:ascii="Arial" w:hAnsi="Arial" w:cs="Arial"/>
        <w:color w:val="575A5D"/>
        <w:sz w:val="14"/>
        <w:szCs w:val="14"/>
        <w:lang w:val="en-AU"/>
      </w:rPr>
      <w:t xml:space="preserve"> – Queensland Building and Construction Commission</w:t>
    </w:r>
  </w:p>
  <w:p w14:paraId="62A00F2B" w14:textId="77777777" w:rsidR="0086683B" w:rsidRPr="00703A0B" w:rsidRDefault="008668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2C6BD" w14:textId="77777777" w:rsidR="004234C8" w:rsidRPr="00703A0B" w:rsidRDefault="004234C8" w:rsidP="007D3474">
      <w:r w:rsidRPr="00703A0B">
        <w:separator/>
      </w:r>
    </w:p>
  </w:footnote>
  <w:footnote w:type="continuationSeparator" w:id="0">
    <w:p w14:paraId="36A5CE5E" w14:textId="77777777" w:rsidR="004234C8" w:rsidRPr="00703A0B" w:rsidRDefault="004234C8" w:rsidP="007D3474">
      <w:r w:rsidRPr="00703A0B">
        <w:continuationSeparator/>
      </w:r>
    </w:p>
  </w:footnote>
  <w:footnote w:type="continuationNotice" w:id="1">
    <w:p w14:paraId="735073E5" w14:textId="77777777" w:rsidR="004234C8" w:rsidRPr="00703A0B" w:rsidRDefault="004234C8"/>
  </w:footnote>
  <w:footnote w:id="2">
    <w:p w14:paraId="72800AB0" w14:textId="1214B0FD" w:rsidR="00277E57" w:rsidRPr="00703A0B" w:rsidRDefault="00277E57" w:rsidP="00277E57">
      <w:pPr>
        <w:pStyle w:val="FootnoteText"/>
      </w:pPr>
      <w:r w:rsidRPr="00703A0B">
        <w:rPr>
          <w:rStyle w:val="FootnoteReference"/>
        </w:rPr>
        <w:footnoteRef/>
      </w:r>
      <w:r w:rsidRPr="00703A0B">
        <w:t xml:space="preserve"> </w:t>
      </w:r>
      <w:r w:rsidR="007228CD" w:rsidRPr="00703A0B">
        <w:rPr>
          <w:rFonts w:eastAsia="Arial" w:cs="Arial"/>
          <w:sz w:val="16"/>
          <w:szCs w:val="16"/>
        </w:rPr>
        <w:t>www.</w:t>
      </w:r>
      <w:r w:rsidRPr="00703A0B">
        <w:rPr>
          <w:rFonts w:eastAsia="Arial" w:cs="Arial"/>
          <w:sz w:val="16"/>
          <w:szCs w:val="16"/>
        </w:rPr>
        <w:t>qbcc.qld.gov.au/licences/licensing-reforms/deconstructing-building-reg-reno</w:t>
      </w:r>
    </w:p>
  </w:footnote>
  <w:footnote w:id="3">
    <w:p w14:paraId="48AAFD6E" w14:textId="7006946B" w:rsidR="003A37E6" w:rsidRPr="00703A0B" w:rsidRDefault="003A37E6">
      <w:pPr>
        <w:pStyle w:val="FootnoteText"/>
      </w:pPr>
      <w:r w:rsidRPr="00703A0B">
        <w:rPr>
          <w:rStyle w:val="FootnoteReference"/>
        </w:rPr>
        <w:footnoteRef/>
      </w:r>
      <w:r w:rsidRPr="00703A0B">
        <w:t xml:space="preserve"> </w:t>
      </w:r>
      <w:r w:rsidR="0076577B" w:rsidRPr="00703A0B">
        <w:rPr>
          <w:sz w:val="16"/>
          <w:szCs w:val="16"/>
        </w:rPr>
        <w:t>www.qbcc.qld.gov.au/about-us/our-corporate-publications/strategic-plan</w:t>
      </w:r>
    </w:p>
  </w:footnote>
  <w:footnote w:id="4">
    <w:p w14:paraId="3F2436D9" w14:textId="1D5E5684" w:rsidR="009B7ADA" w:rsidRPr="00703A0B" w:rsidRDefault="009B7ADA">
      <w:pPr>
        <w:pStyle w:val="FootnoteText"/>
        <w:rPr>
          <w:sz w:val="16"/>
          <w:szCs w:val="14"/>
        </w:rPr>
      </w:pPr>
      <w:r w:rsidRPr="00703A0B">
        <w:rPr>
          <w:rStyle w:val="FootnoteReference"/>
        </w:rPr>
        <w:footnoteRef/>
      </w:r>
      <w:r w:rsidRPr="00703A0B">
        <w:t xml:space="preserve"> </w:t>
      </w:r>
      <w:r w:rsidRPr="00703A0B">
        <w:rPr>
          <w:sz w:val="16"/>
          <w:szCs w:val="14"/>
        </w:rPr>
        <w:t>www.qld.gov.au/about/how-government-works/our-priorities/governments-objectives-for-the-community</w:t>
      </w:r>
    </w:p>
  </w:footnote>
  <w:footnote w:id="5">
    <w:p w14:paraId="3ECDC38E" w14:textId="2EA1BDB0" w:rsidR="006A67D2" w:rsidRPr="00703A0B" w:rsidRDefault="006A67D2">
      <w:pPr>
        <w:pStyle w:val="FootnoteText"/>
      </w:pPr>
      <w:r w:rsidRPr="00703A0B">
        <w:rPr>
          <w:rStyle w:val="FootnoteReference"/>
        </w:rPr>
        <w:footnoteRef/>
      </w:r>
      <w:r w:rsidRPr="00703A0B">
        <w:t xml:space="preserve"> </w:t>
      </w:r>
      <w:r w:rsidRPr="00703A0B">
        <w:rPr>
          <w:sz w:val="16"/>
          <w:szCs w:val="16"/>
        </w:rPr>
        <w:t>Reported from September 2026</w:t>
      </w:r>
    </w:p>
  </w:footnote>
  <w:footnote w:id="6">
    <w:p w14:paraId="6FCE7916" w14:textId="158BB45D" w:rsidR="00EA5313" w:rsidRPr="00703A0B" w:rsidRDefault="00EA5313">
      <w:pPr>
        <w:pStyle w:val="FootnoteText"/>
      </w:pPr>
      <w:r w:rsidRPr="00703A0B">
        <w:rPr>
          <w:rStyle w:val="FootnoteReference"/>
        </w:rPr>
        <w:footnoteRef/>
      </w:r>
      <w:r w:rsidRPr="00703A0B">
        <w:t xml:space="preserve"> </w:t>
      </w:r>
      <w:r w:rsidRPr="00703A0B">
        <w:rPr>
          <w:sz w:val="16"/>
          <w:szCs w:val="16"/>
        </w:rPr>
        <w:t>Reported from October 2023</w:t>
      </w:r>
    </w:p>
  </w:footnote>
  <w:footnote w:id="7">
    <w:p w14:paraId="3581EB94" w14:textId="6E332C8A" w:rsidR="0077686F" w:rsidRPr="00703A0B" w:rsidRDefault="0077686F">
      <w:pPr>
        <w:pStyle w:val="FootnoteText"/>
      </w:pPr>
      <w:r w:rsidRPr="00703A0B">
        <w:rPr>
          <w:rStyle w:val="FootnoteReference"/>
        </w:rPr>
        <w:footnoteRef/>
      </w:r>
      <w:r w:rsidRPr="00703A0B">
        <w:t xml:space="preserve"> </w:t>
      </w:r>
      <w:r w:rsidRPr="00703A0B">
        <w:rPr>
          <w:sz w:val="16"/>
          <w:szCs w:val="16"/>
        </w:rPr>
        <w:t>Reported from September 2025</w:t>
      </w:r>
    </w:p>
  </w:footnote>
  <w:footnote w:id="8">
    <w:p w14:paraId="0CFB952A" w14:textId="4BA5BEDB" w:rsidR="00371632" w:rsidRPr="00703A0B" w:rsidRDefault="00371632">
      <w:pPr>
        <w:pStyle w:val="FootnoteText"/>
        <w:rPr>
          <w:sz w:val="16"/>
          <w:szCs w:val="16"/>
        </w:rPr>
      </w:pPr>
      <w:r w:rsidRPr="00703A0B">
        <w:rPr>
          <w:rStyle w:val="FootnoteReference"/>
          <w:sz w:val="16"/>
          <w:szCs w:val="16"/>
        </w:rPr>
        <w:footnoteRef/>
      </w:r>
      <w:r w:rsidRPr="00703A0B">
        <w:rPr>
          <w:sz w:val="16"/>
          <w:szCs w:val="16"/>
        </w:rPr>
        <w:t xml:space="preserve"> </w:t>
      </w:r>
      <w:r w:rsidR="00067285" w:rsidRPr="00703A0B">
        <w:rPr>
          <w:sz w:val="16"/>
          <w:szCs w:val="16"/>
        </w:rPr>
        <w:t>Reported from January 2023</w:t>
      </w:r>
    </w:p>
  </w:footnote>
  <w:footnote w:id="9">
    <w:p w14:paraId="1F9EEBA5" w14:textId="77777777" w:rsidR="00B45F8A" w:rsidRPr="00703A0B" w:rsidRDefault="00B45F8A">
      <w:pPr>
        <w:pStyle w:val="FootnoteText"/>
      </w:pPr>
      <w:r w:rsidRPr="00703A0B">
        <w:rPr>
          <w:rStyle w:val="FootnoteReference"/>
        </w:rPr>
        <w:footnoteRef/>
      </w:r>
      <w:r w:rsidRPr="00703A0B">
        <w:t xml:space="preserve"> </w:t>
      </w:r>
      <w:r w:rsidRPr="00703A0B">
        <w:rPr>
          <w:sz w:val="16"/>
          <w:szCs w:val="16"/>
        </w:rPr>
        <w:t>Claims received includes claims re-opened.</w:t>
      </w:r>
    </w:p>
  </w:footnote>
  <w:footnote w:id="10">
    <w:p w14:paraId="28A3CC84" w14:textId="3F8D1547" w:rsidR="00B45F8A" w:rsidRPr="00703A0B" w:rsidRDefault="00B45F8A">
      <w:pPr>
        <w:pStyle w:val="FootnoteText"/>
      </w:pPr>
      <w:r w:rsidRPr="00703A0B">
        <w:rPr>
          <w:rStyle w:val="FootnoteReference"/>
        </w:rPr>
        <w:footnoteRef/>
      </w:r>
      <w:r w:rsidRPr="00703A0B">
        <w:t xml:space="preserve"> </w:t>
      </w:r>
      <w:r w:rsidR="00A72380" w:rsidRPr="00703A0B">
        <w:rPr>
          <w:sz w:val="16"/>
          <w:szCs w:val="16"/>
        </w:rPr>
        <w:t xml:space="preserve">Includes </w:t>
      </w:r>
      <w:r w:rsidRPr="00703A0B">
        <w:rPr>
          <w:sz w:val="16"/>
          <w:szCs w:val="16"/>
        </w:rPr>
        <w:t xml:space="preserve">claims </w:t>
      </w:r>
      <w:r w:rsidR="00A72380" w:rsidRPr="00703A0B">
        <w:rPr>
          <w:sz w:val="16"/>
          <w:szCs w:val="16"/>
        </w:rPr>
        <w:t>that were not</w:t>
      </w:r>
      <w:r w:rsidRPr="00703A0B">
        <w:rPr>
          <w:sz w:val="16"/>
          <w:szCs w:val="16"/>
        </w:rPr>
        <w:t xml:space="preserve"> approv</w:t>
      </w:r>
      <w:r w:rsidR="00A72380" w:rsidRPr="00703A0B">
        <w:rPr>
          <w:sz w:val="16"/>
          <w:szCs w:val="16"/>
        </w:rPr>
        <w:t>ed</w:t>
      </w:r>
      <w:r w:rsidRPr="00703A0B">
        <w:rPr>
          <w:sz w:val="16"/>
          <w:szCs w:val="16"/>
        </w:rPr>
        <w:t xml:space="preserve"> but were not declined</w:t>
      </w:r>
      <w:r w:rsidR="00CB016A" w:rsidRPr="00703A0B">
        <w:rPr>
          <w:sz w:val="16"/>
          <w:szCs w:val="16"/>
        </w:rPr>
        <w:t xml:space="preserve">, such as withdrawn </w:t>
      </w:r>
      <w:r w:rsidRPr="00703A0B">
        <w:rPr>
          <w:sz w:val="16"/>
          <w:szCs w:val="16"/>
        </w:rPr>
        <w:t xml:space="preserve">claims, </w:t>
      </w:r>
      <w:r w:rsidR="00CB016A" w:rsidRPr="00703A0B">
        <w:rPr>
          <w:sz w:val="16"/>
          <w:szCs w:val="16"/>
        </w:rPr>
        <w:t xml:space="preserve">claims </w:t>
      </w:r>
      <w:r w:rsidRPr="00703A0B">
        <w:rPr>
          <w:sz w:val="16"/>
          <w:szCs w:val="16"/>
        </w:rPr>
        <w:t xml:space="preserve">opened in error, referred to Resolution Services </w:t>
      </w:r>
      <w:r w:rsidR="00E76854" w:rsidRPr="00703A0B">
        <w:rPr>
          <w:sz w:val="16"/>
          <w:szCs w:val="16"/>
        </w:rPr>
        <w:t>and</w:t>
      </w:r>
      <w:r w:rsidRPr="00703A0B">
        <w:rPr>
          <w:sz w:val="16"/>
          <w:szCs w:val="16"/>
        </w:rPr>
        <w:t xml:space="preserve"> duplicate</w:t>
      </w:r>
      <w:r w:rsidR="00E76854" w:rsidRPr="00703A0B">
        <w:rPr>
          <w:sz w:val="16"/>
          <w:szCs w:val="16"/>
        </w:rPr>
        <w:t xml:space="preserve"> claims</w:t>
      </w:r>
      <w:r w:rsidRPr="00703A0B">
        <w:rPr>
          <w:sz w:val="16"/>
          <w:szCs w:val="16"/>
        </w:rPr>
        <w:t xml:space="preserve">. </w:t>
      </w:r>
      <w:r w:rsidR="003006C4" w:rsidRPr="00703A0B">
        <w:rPr>
          <w:sz w:val="16"/>
          <w:szCs w:val="16"/>
        </w:rPr>
        <w:t>I</w:t>
      </w:r>
      <w:r w:rsidRPr="00703A0B">
        <w:rPr>
          <w:sz w:val="16"/>
          <w:szCs w:val="16"/>
        </w:rPr>
        <w:t>n 2021</w:t>
      </w:r>
      <w:r w:rsidR="003006C4" w:rsidRPr="00703A0B">
        <w:rPr>
          <w:sz w:val="16"/>
          <w:szCs w:val="16"/>
        </w:rPr>
        <w:t>–</w:t>
      </w:r>
      <w:r w:rsidRPr="00703A0B">
        <w:rPr>
          <w:sz w:val="16"/>
          <w:szCs w:val="16"/>
        </w:rPr>
        <w:t>22</w:t>
      </w:r>
      <w:r w:rsidR="003006C4" w:rsidRPr="00703A0B">
        <w:rPr>
          <w:sz w:val="16"/>
          <w:szCs w:val="16"/>
        </w:rPr>
        <w:t xml:space="preserve">, duplicate claims </w:t>
      </w:r>
      <w:r w:rsidR="005005F1" w:rsidRPr="00703A0B">
        <w:rPr>
          <w:sz w:val="16"/>
          <w:szCs w:val="16"/>
        </w:rPr>
        <w:t>and</w:t>
      </w:r>
      <w:r w:rsidRPr="00703A0B">
        <w:rPr>
          <w:sz w:val="16"/>
          <w:szCs w:val="16"/>
        </w:rPr>
        <w:t xml:space="preserve"> cases created in error</w:t>
      </w:r>
      <w:r w:rsidR="005005F1" w:rsidRPr="00703A0B">
        <w:rPr>
          <w:sz w:val="16"/>
          <w:szCs w:val="16"/>
        </w:rPr>
        <w:t xml:space="preserve"> were excluded</w:t>
      </w:r>
      <w:r w:rsidR="00163E01" w:rsidRPr="00703A0B">
        <w:rPr>
          <w:sz w:val="16"/>
          <w:szCs w:val="16"/>
        </w:rPr>
        <w:t xml:space="preserve">. As such, </w:t>
      </w:r>
      <w:r w:rsidR="00C805F2" w:rsidRPr="00703A0B">
        <w:rPr>
          <w:sz w:val="16"/>
          <w:szCs w:val="16"/>
        </w:rPr>
        <w:t xml:space="preserve">claims approved, declined and not declined or approved </w:t>
      </w:r>
      <w:r w:rsidR="001815CC" w:rsidRPr="00703A0B">
        <w:rPr>
          <w:sz w:val="16"/>
          <w:szCs w:val="16"/>
        </w:rPr>
        <w:t>do</w:t>
      </w:r>
      <w:r w:rsidRPr="00703A0B" w:rsidDel="001815CC">
        <w:rPr>
          <w:sz w:val="16"/>
          <w:szCs w:val="16"/>
        </w:rPr>
        <w:t xml:space="preserve"> </w:t>
      </w:r>
      <w:r w:rsidRPr="00703A0B">
        <w:rPr>
          <w:sz w:val="16"/>
          <w:szCs w:val="16"/>
        </w:rPr>
        <w:t xml:space="preserve">not </w:t>
      </w:r>
      <w:r w:rsidR="001815CC" w:rsidRPr="00703A0B">
        <w:rPr>
          <w:sz w:val="16"/>
          <w:szCs w:val="16"/>
        </w:rPr>
        <w:t xml:space="preserve">sum </w:t>
      </w:r>
      <w:r w:rsidRPr="00703A0B" w:rsidDel="001815CC">
        <w:rPr>
          <w:sz w:val="16"/>
          <w:szCs w:val="16"/>
        </w:rPr>
        <w:t>t</w:t>
      </w:r>
      <w:r w:rsidRPr="00703A0B">
        <w:rPr>
          <w:sz w:val="16"/>
          <w:szCs w:val="16"/>
        </w:rPr>
        <w:t>o 1,628.</w:t>
      </w:r>
    </w:p>
  </w:footnote>
  <w:footnote w:id="11">
    <w:p w14:paraId="07526CCF" w14:textId="68631989" w:rsidR="00CC0D6E" w:rsidRPr="00703A0B" w:rsidRDefault="00CC0D6E">
      <w:pPr>
        <w:pStyle w:val="FootnoteText"/>
      </w:pPr>
      <w:r w:rsidRPr="00703A0B">
        <w:rPr>
          <w:rStyle w:val="FootnoteReference"/>
        </w:rPr>
        <w:footnoteRef/>
      </w:r>
      <w:r w:rsidRPr="00703A0B">
        <w:t xml:space="preserve"> </w:t>
      </w:r>
      <w:r w:rsidR="006C3049" w:rsidRPr="00703A0B">
        <w:rPr>
          <w:sz w:val="16"/>
          <w:szCs w:val="16"/>
        </w:rPr>
        <w:t>Registration and r</w:t>
      </w:r>
      <w:r w:rsidRPr="00703A0B">
        <w:rPr>
          <w:sz w:val="16"/>
          <w:szCs w:val="16"/>
        </w:rPr>
        <w:t xml:space="preserve">enewal fees </w:t>
      </w:r>
      <w:r w:rsidR="00857522" w:rsidRPr="00703A0B">
        <w:rPr>
          <w:sz w:val="16"/>
          <w:szCs w:val="16"/>
        </w:rPr>
        <w:t xml:space="preserve">are reported on </w:t>
      </w:r>
      <w:r w:rsidRPr="00703A0B">
        <w:rPr>
          <w:sz w:val="16"/>
          <w:szCs w:val="16"/>
        </w:rPr>
        <w:t xml:space="preserve">a cash basis </w:t>
      </w:r>
      <w:r w:rsidR="00BB5AB2" w:rsidRPr="00703A0B">
        <w:rPr>
          <w:sz w:val="16"/>
          <w:szCs w:val="16"/>
        </w:rPr>
        <w:t>(</w:t>
      </w:r>
      <w:r w:rsidR="00BA0975" w:rsidRPr="00703A0B">
        <w:rPr>
          <w:sz w:val="16"/>
          <w:szCs w:val="16"/>
        </w:rPr>
        <w:t>payments</w:t>
      </w:r>
      <w:r w:rsidR="00524BBD" w:rsidRPr="00703A0B">
        <w:rPr>
          <w:sz w:val="16"/>
          <w:szCs w:val="16"/>
        </w:rPr>
        <w:t xml:space="preserve"> received</w:t>
      </w:r>
      <w:r w:rsidR="00BB5AB2" w:rsidRPr="00703A0B">
        <w:rPr>
          <w:sz w:val="16"/>
          <w:szCs w:val="16"/>
        </w:rPr>
        <w:t>)</w:t>
      </w:r>
      <w:r w:rsidR="00C50C94" w:rsidRPr="00703A0B">
        <w:rPr>
          <w:sz w:val="16"/>
          <w:szCs w:val="16"/>
        </w:rPr>
        <w:t xml:space="preserve"> and may therefore differ from amounts reported in the </w:t>
      </w:r>
      <w:r w:rsidRPr="00703A0B">
        <w:rPr>
          <w:sz w:val="16"/>
          <w:szCs w:val="16"/>
        </w:rPr>
        <w:t>financial statements</w:t>
      </w:r>
      <w:r w:rsidR="00D9654D" w:rsidRPr="00703A0B">
        <w:rPr>
          <w:sz w:val="16"/>
          <w:szCs w:val="16"/>
        </w:rPr>
        <w:t xml:space="preserve"> that </w:t>
      </w:r>
      <w:r w:rsidR="00BB5AB2" w:rsidRPr="00703A0B">
        <w:rPr>
          <w:sz w:val="16"/>
          <w:szCs w:val="16"/>
        </w:rPr>
        <w:t>are prepared on an accrual basis</w:t>
      </w:r>
      <w:r w:rsidR="00EC1E26" w:rsidRPr="00703A0B">
        <w:rPr>
          <w:sz w:val="16"/>
          <w:szCs w:val="16"/>
        </w:rPr>
        <w:t xml:space="preserve"> (</w:t>
      </w:r>
      <w:r w:rsidR="002F6F4C" w:rsidRPr="00703A0B">
        <w:rPr>
          <w:sz w:val="16"/>
          <w:szCs w:val="16"/>
        </w:rPr>
        <w:t>recognised</w:t>
      </w:r>
      <w:r w:rsidR="00EC1E26" w:rsidRPr="00703A0B">
        <w:rPr>
          <w:sz w:val="16"/>
          <w:szCs w:val="16"/>
        </w:rPr>
        <w:t xml:space="preserve"> payments)</w:t>
      </w:r>
      <w:r w:rsidRPr="00703A0B">
        <w:rPr>
          <w:sz w:val="16"/>
          <w:szCs w:val="16"/>
        </w:rPr>
        <w:t>.</w:t>
      </w:r>
    </w:p>
  </w:footnote>
  <w:footnote w:id="12">
    <w:p w14:paraId="3F6ABEDF" w14:textId="1C223A46" w:rsidR="00C442B3" w:rsidRPr="00703A0B" w:rsidRDefault="00C442B3">
      <w:pPr>
        <w:pStyle w:val="FootnoteText"/>
      </w:pPr>
      <w:r w:rsidRPr="00703A0B">
        <w:rPr>
          <w:rStyle w:val="FootnoteReference"/>
        </w:rPr>
        <w:footnoteRef/>
      </w:r>
      <w:r w:rsidRPr="00703A0B">
        <w:t xml:space="preserve"> </w:t>
      </w:r>
      <w:r w:rsidR="00402A6D" w:rsidRPr="00703A0B">
        <w:rPr>
          <w:sz w:val="16"/>
          <w:szCs w:val="16"/>
        </w:rPr>
        <w:t>Reported from 1 August 2025</w:t>
      </w:r>
    </w:p>
  </w:footnote>
  <w:footnote w:id="13">
    <w:p w14:paraId="0B65854F" w14:textId="77777777" w:rsidR="00224525" w:rsidRPr="00703A0B" w:rsidRDefault="00224525">
      <w:pPr>
        <w:pStyle w:val="FootnoteText"/>
        <w:rPr>
          <w:sz w:val="16"/>
          <w:szCs w:val="14"/>
        </w:rPr>
      </w:pPr>
      <w:r w:rsidRPr="00703A0B">
        <w:rPr>
          <w:rStyle w:val="FootnoteReference"/>
        </w:rPr>
        <w:footnoteRef/>
      </w:r>
      <w:r w:rsidRPr="00703A0B">
        <w:t xml:space="preserve"> </w:t>
      </w:r>
      <w:r w:rsidRPr="00703A0B">
        <w:rPr>
          <w:sz w:val="16"/>
          <w:szCs w:val="14"/>
        </w:rPr>
        <w:t>Anne Neuendorf commenced leave on 4 August 2025 and resigned from the STC on 1 October 2025. In the interim, Anastasia Tritchler attended two meetings as the DHPW representative.</w:t>
      </w:r>
    </w:p>
  </w:footnote>
  <w:footnote w:id="14">
    <w:p w14:paraId="3AAEE6F0" w14:textId="44C9EA7F" w:rsidR="00BC60CE" w:rsidRPr="00703A0B" w:rsidRDefault="00BC60CE">
      <w:pPr>
        <w:pStyle w:val="FootnoteText"/>
      </w:pPr>
      <w:r w:rsidRPr="00703A0B">
        <w:rPr>
          <w:rStyle w:val="FootnoteReference"/>
        </w:rPr>
        <w:footnoteRef/>
      </w:r>
      <w:r w:rsidRPr="00703A0B">
        <w:t xml:space="preserve"> </w:t>
      </w:r>
      <w:r w:rsidR="00C46270" w:rsidRPr="00703A0B">
        <w:rPr>
          <w:sz w:val="16"/>
          <w:szCs w:val="16"/>
        </w:rPr>
        <w:t>Vacancy rate</w:t>
      </w:r>
      <w:r w:rsidR="00B90D2B" w:rsidRPr="00703A0B">
        <w:rPr>
          <w:sz w:val="16"/>
          <w:szCs w:val="16"/>
        </w:rPr>
        <w:t>,</w:t>
      </w:r>
      <w:r w:rsidR="00C46270" w:rsidRPr="00703A0B">
        <w:rPr>
          <w:sz w:val="16"/>
          <w:szCs w:val="16"/>
        </w:rPr>
        <w:t xml:space="preserve"> </w:t>
      </w:r>
      <w:r w:rsidR="00594807" w:rsidRPr="00703A0B">
        <w:rPr>
          <w:sz w:val="16"/>
          <w:szCs w:val="16"/>
        </w:rPr>
        <w:t>as a measure of workforce capacity</w:t>
      </w:r>
      <w:r w:rsidR="00B90D2B" w:rsidRPr="00703A0B">
        <w:rPr>
          <w:sz w:val="16"/>
          <w:szCs w:val="16"/>
        </w:rPr>
        <w:t>,</w:t>
      </w:r>
      <w:r w:rsidR="00594807" w:rsidRPr="00703A0B">
        <w:rPr>
          <w:sz w:val="16"/>
          <w:szCs w:val="16"/>
        </w:rPr>
        <w:t xml:space="preserve"> </w:t>
      </w:r>
      <w:r w:rsidR="00C46270" w:rsidRPr="00703A0B">
        <w:rPr>
          <w:sz w:val="16"/>
          <w:szCs w:val="16"/>
        </w:rPr>
        <w:t xml:space="preserve">is </w:t>
      </w:r>
      <w:r w:rsidR="00B84300" w:rsidRPr="00703A0B">
        <w:rPr>
          <w:sz w:val="16"/>
          <w:szCs w:val="16"/>
        </w:rPr>
        <w:t xml:space="preserve">defined as the </w:t>
      </w:r>
      <w:r w:rsidR="00F5199E" w:rsidRPr="00703A0B">
        <w:rPr>
          <w:sz w:val="16"/>
          <w:szCs w:val="16"/>
        </w:rPr>
        <w:t xml:space="preserve">number of permanent positions </w:t>
      </w:r>
      <w:r w:rsidR="001529D5" w:rsidRPr="00703A0B">
        <w:rPr>
          <w:sz w:val="16"/>
          <w:szCs w:val="16"/>
        </w:rPr>
        <w:t xml:space="preserve">that do not have a </w:t>
      </w:r>
      <w:r w:rsidR="00F5199E" w:rsidRPr="00703A0B">
        <w:rPr>
          <w:sz w:val="16"/>
          <w:szCs w:val="16"/>
        </w:rPr>
        <w:t xml:space="preserve">current </w:t>
      </w:r>
      <w:r w:rsidR="00FD0B1F" w:rsidRPr="00703A0B">
        <w:rPr>
          <w:sz w:val="16"/>
          <w:szCs w:val="16"/>
        </w:rPr>
        <w:t>occupant.</w:t>
      </w:r>
      <w:r w:rsidR="00F5199E" w:rsidRPr="00703A0B">
        <w:rPr>
          <w:sz w:val="16"/>
          <w:szCs w:val="16"/>
        </w:rPr>
        <w:t xml:space="preserve"> </w:t>
      </w:r>
    </w:p>
  </w:footnote>
  <w:footnote w:id="15">
    <w:p w14:paraId="291EDBA2" w14:textId="4499333B" w:rsidR="00840BD2" w:rsidRPr="00703A0B" w:rsidRDefault="00840BD2">
      <w:pPr>
        <w:pStyle w:val="FootnoteText"/>
      </w:pPr>
      <w:r w:rsidRPr="00703A0B">
        <w:rPr>
          <w:rStyle w:val="FootnoteReference"/>
        </w:rPr>
        <w:footnoteRef/>
      </w:r>
      <w:r w:rsidRPr="00703A0B">
        <w:t xml:space="preserve"> </w:t>
      </w:r>
      <w:r w:rsidR="00314FE8" w:rsidRPr="00703A0B">
        <w:rPr>
          <w:sz w:val="16"/>
          <w:szCs w:val="16"/>
        </w:rPr>
        <w:t>A v</w:t>
      </w:r>
      <w:r w:rsidR="0014375B" w:rsidRPr="00703A0B">
        <w:rPr>
          <w:sz w:val="16"/>
          <w:szCs w:val="16"/>
        </w:rPr>
        <w:t>ariance of more than</w:t>
      </w:r>
      <w:r w:rsidR="00383FED" w:rsidRPr="00703A0B">
        <w:rPr>
          <w:sz w:val="16"/>
          <w:szCs w:val="16"/>
        </w:rPr>
        <w:t xml:space="preserve"> five per cent </w:t>
      </w:r>
      <w:r w:rsidR="00314FE8" w:rsidRPr="00703A0B">
        <w:rPr>
          <w:sz w:val="16"/>
          <w:szCs w:val="16"/>
        </w:rPr>
        <w:t>below the target</w:t>
      </w:r>
    </w:p>
  </w:footnote>
  <w:footnote w:id="16">
    <w:p w14:paraId="4147676F" w14:textId="77E8BD9B" w:rsidR="008739B3" w:rsidRPr="00703A0B" w:rsidRDefault="008739B3">
      <w:pPr>
        <w:pStyle w:val="FootnoteText"/>
        <w:rPr>
          <w:sz w:val="16"/>
          <w:szCs w:val="16"/>
        </w:rPr>
      </w:pPr>
      <w:r w:rsidRPr="00703A0B">
        <w:rPr>
          <w:rStyle w:val="FootnoteReference"/>
        </w:rPr>
        <w:footnoteRef/>
      </w:r>
      <w:r w:rsidRPr="00703A0B">
        <w:t xml:space="preserve"> </w:t>
      </w:r>
      <w:r w:rsidRPr="00703A0B">
        <w:rPr>
          <w:sz w:val="16"/>
          <w:szCs w:val="16"/>
        </w:rPr>
        <w:t xml:space="preserve">A variance of </w:t>
      </w:r>
      <w:r w:rsidR="00F3255D" w:rsidRPr="00703A0B">
        <w:rPr>
          <w:sz w:val="16"/>
          <w:szCs w:val="16"/>
        </w:rPr>
        <w:t>more than five per cent</w:t>
      </w:r>
      <w:r w:rsidR="000918A0" w:rsidRPr="00703A0B">
        <w:rPr>
          <w:sz w:val="16"/>
          <w:szCs w:val="16"/>
        </w:rPr>
        <w:t xml:space="preserve"> exceeding the target</w:t>
      </w:r>
      <w:r w:rsidR="00F3255D" w:rsidRPr="00703A0B">
        <w:rPr>
          <w:sz w:val="16"/>
          <w:szCs w:val="16"/>
        </w:rPr>
        <w:t xml:space="preserve"> </w:t>
      </w:r>
    </w:p>
  </w:footnote>
  <w:footnote w:id="17">
    <w:p w14:paraId="6DC5EBBB" w14:textId="633AB246" w:rsidR="007C645C" w:rsidRDefault="007C645C">
      <w:pPr>
        <w:pStyle w:val="FootnoteText"/>
      </w:pPr>
      <w:r w:rsidRPr="00703A0B">
        <w:rPr>
          <w:rStyle w:val="FootnoteReference"/>
        </w:rPr>
        <w:footnoteRef/>
      </w:r>
      <w:r w:rsidRPr="00703A0B">
        <w:t xml:space="preserve"> </w:t>
      </w:r>
      <w:r w:rsidRPr="00703A0B">
        <w:rPr>
          <w:sz w:val="16"/>
          <w:szCs w:val="16"/>
        </w:rPr>
        <w:t xml:space="preserve">A variance of </w:t>
      </w:r>
      <w:r w:rsidR="005F02E7" w:rsidRPr="00703A0B">
        <w:rPr>
          <w:sz w:val="16"/>
          <w:szCs w:val="16"/>
        </w:rPr>
        <w:t>more than five per cent exceeding the estimated actual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4EE54" w14:textId="77777777" w:rsidR="0086683B" w:rsidRPr="00703A0B" w:rsidRDefault="008668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FD20B" w14:textId="77777777" w:rsidR="0086683B" w:rsidRPr="00703A0B" w:rsidRDefault="008668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875E8" w14:textId="77777777" w:rsidR="0086683B" w:rsidRPr="00703A0B" w:rsidRDefault="008668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0DC2A3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57432D"/>
    <w:multiLevelType w:val="hybridMultilevel"/>
    <w:tmpl w:val="A6DCBC1A"/>
    <w:lvl w:ilvl="0" w:tplc="BDF846F6">
      <w:start w:val="1"/>
      <w:numFmt w:val="bullet"/>
      <w:lvlText w:val=""/>
      <w:lvlJc w:val="left"/>
      <w:pPr>
        <w:ind w:left="720" w:hanging="360"/>
      </w:pPr>
      <w:rPr>
        <w:rFonts w:ascii="Symbol" w:hAnsi="Symbol"/>
      </w:rPr>
    </w:lvl>
    <w:lvl w:ilvl="1" w:tplc="B26C727E">
      <w:start w:val="1"/>
      <w:numFmt w:val="bullet"/>
      <w:lvlText w:val=""/>
      <w:lvlJc w:val="left"/>
      <w:pPr>
        <w:ind w:left="720" w:hanging="360"/>
      </w:pPr>
      <w:rPr>
        <w:rFonts w:ascii="Symbol" w:hAnsi="Symbol"/>
      </w:rPr>
    </w:lvl>
    <w:lvl w:ilvl="2" w:tplc="EEDAAA0E">
      <w:start w:val="1"/>
      <w:numFmt w:val="bullet"/>
      <w:lvlText w:val=""/>
      <w:lvlJc w:val="left"/>
      <w:pPr>
        <w:ind w:left="720" w:hanging="360"/>
      </w:pPr>
      <w:rPr>
        <w:rFonts w:ascii="Symbol" w:hAnsi="Symbol"/>
      </w:rPr>
    </w:lvl>
    <w:lvl w:ilvl="3" w:tplc="483A54B8">
      <w:start w:val="1"/>
      <w:numFmt w:val="bullet"/>
      <w:lvlText w:val=""/>
      <w:lvlJc w:val="left"/>
      <w:pPr>
        <w:ind w:left="720" w:hanging="360"/>
      </w:pPr>
      <w:rPr>
        <w:rFonts w:ascii="Symbol" w:hAnsi="Symbol"/>
      </w:rPr>
    </w:lvl>
    <w:lvl w:ilvl="4" w:tplc="92DA533C">
      <w:start w:val="1"/>
      <w:numFmt w:val="bullet"/>
      <w:lvlText w:val=""/>
      <w:lvlJc w:val="left"/>
      <w:pPr>
        <w:ind w:left="720" w:hanging="360"/>
      </w:pPr>
      <w:rPr>
        <w:rFonts w:ascii="Symbol" w:hAnsi="Symbol"/>
      </w:rPr>
    </w:lvl>
    <w:lvl w:ilvl="5" w:tplc="C00C3AF6">
      <w:start w:val="1"/>
      <w:numFmt w:val="bullet"/>
      <w:lvlText w:val=""/>
      <w:lvlJc w:val="left"/>
      <w:pPr>
        <w:ind w:left="720" w:hanging="360"/>
      </w:pPr>
      <w:rPr>
        <w:rFonts w:ascii="Symbol" w:hAnsi="Symbol"/>
      </w:rPr>
    </w:lvl>
    <w:lvl w:ilvl="6" w:tplc="474802E8">
      <w:start w:val="1"/>
      <w:numFmt w:val="bullet"/>
      <w:lvlText w:val=""/>
      <w:lvlJc w:val="left"/>
      <w:pPr>
        <w:ind w:left="720" w:hanging="360"/>
      </w:pPr>
      <w:rPr>
        <w:rFonts w:ascii="Symbol" w:hAnsi="Symbol"/>
      </w:rPr>
    </w:lvl>
    <w:lvl w:ilvl="7" w:tplc="01580F2A">
      <w:start w:val="1"/>
      <w:numFmt w:val="bullet"/>
      <w:lvlText w:val=""/>
      <w:lvlJc w:val="left"/>
      <w:pPr>
        <w:ind w:left="720" w:hanging="360"/>
      </w:pPr>
      <w:rPr>
        <w:rFonts w:ascii="Symbol" w:hAnsi="Symbol"/>
      </w:rPr>
    </w:lvl>
    <w:lvl w:ilvl="8" w:tplc="24040B2A">
      <w:start w:val="1"/>
      <w:numFmt w:val="bullet"/>
      <w:lvlText w:val=""/>
      <w:lvlJc w:val="left"/>
      <w:pPr>
        <w:ind w:left="720" w:hanging="360"/>
      </w:pPr>
      <w:rPr>
        <w:rFonts w:ascii="Symbol" w:hAnsi="Symbol"/>
      </w:rPr>
    </w:lvl>
  </w:abstractNum>
  <w:abstractNum w:abstractNumId="2" w15:restartNumberingAfterBreak="0">
    <w:nsid w:val="005B5A2F"/>
    <w:multiLevelType w:val="hybridMultilevel"/>
    <w:tmpl w:val="11763DE6"/>
    <w:lvl w:ilvl="0" w:tplc="2CA8AE44">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DC309CD4">
      <w:numFmt w:val="bullet"/>
      <w:lvlText w:val="•"/>
      <w:lvlJc w:val="left"/>
      <w:pPr>
        <w:ind w:left="749" w:hanging="252"/>
      </w:pPr>
      <w:rPr>
        <w:rFonts w:hint="default"/>
        <w:lang w:val="en-US" w:eastAsia="en-US" w:bidi="ar-SA"/>
      </w:rPr>
    </w:lvl>
    <w:lvl w:ilvl="2" w:tplc="17708BA0">
      <w:numFmt w:val="bullet"/>
      <w:lvlText w:val="•"/>
      <w:lvlJc w:val="left"/>
      <w:pPr>
        <w:ind w:left="1139" w:hanging="252"/>
      </w:pPr>
      <w:rPr>
        <w:rFonts w:hint="default"/>
        <w:lang w:val="en-US" w:eastAsia="en-US" w:bidi="ar-SA"/>
      </w:rPr>
    </w:lvl>
    <w:lvl w:ilvl="3" w:tplc="F0F80D9C">
      <w:numFmt w:val="bullet"/>
      <w:lvlText w:val="•"/>
      <w:lvlJc w:val="left"/>
      <w:pPr>
        <w:ind w:left="1528" w:hanging="252"/>
      </w:pPr>
      <w:rPr>
        <w:rFonts w:hint="default"/>
        <w:lang w:val="en-US" w:eastAsia="en-US" w:bidi="ar-SA"/>
      </w:rPr>
    </w:lvl>
    <w:lvl w:ilvl="4" w:tplc="66182FE4">
      <w:numFmt w:val="bullet"/>
      <w:lvlText w:val="•"/>
      <w:lvlJc w:val="left"/>
      <w:pPr>
        <w:ind w:left="1918" w:hanging="252"/>
      </w:pPr>
      <w:rPr>
        <w:rFonts w:hint="default"/>
        <w:lang w:val="en-US" w:eastAsia="en-US" w:bidi="ar-SA"/>
      </w:rPr>
    </w:lvl>
    <w:lvl w:ilvl="5" w:tplc="C66E0972">
      <w:numFmt w:val="bullet"/>
      <w:lvlText w:val="•"/>
      <w:lvlJc w:val="left"/>
      <w:pPr>
        <w:ind w:left="2307" w:hanging="252"/>
      </w:pPr>
      <w:rPr>
        <w:rFonts w:hint="default"/>
        <w:lang w:val="en-US" w:eastAsia="en-US" w:bidi="ar-SA"/>
      </w:rPr>
    </w:lvl>
    <w:lvl w:ilvl="6" w:tplc="DBD07E0E">
      <w:numFmt w:val="bullet"/>
      <w:lvlText w:val="•"/>
      <w:lvlJc w:val="left"/>
      <w:pPr>
        <w:ind w:left="2697" w:hanging="252"/>
      </w:pPr>
      <w:rPr>
        <w:rFonts w:hint="default"/>
        <w:lang w:val="en-US" w:eastAsia="en-US" w:bidi="ar-SA"/>
      </w:rPr>
    </w:lvl>
    <w:lvl w:ilvl="7" w:tplc="7818AFB6">
      <w:numFmt w:val="bullet"/>
      <w:lvlText w:val="•"/>
      <w:lvlJc w:val="left"/>
      <w:pPr>
        <w:ind w:left="3086" w:hanging="252"/>
      </w:pPr>
      <w:rPr>
        <w:rFonts w:hint="default"/>
        <w:lang w:val="en-US" w:eastAsia="en-US" w:bidi="ar-SA"/>
      </w:rPr>
    </w:lvl>
    <w:lvl w:ilvl="8" w:tplc="78803C84">
      <w:numFmt w:val="bullet"/>
      <w:lvlText w:val="•"/>
      <w:lvlJc w:val="left"/>
      <w:pPr>
        <w:ind w:left="3476" w:hanging="252"/>
      </w:pPr>
      <w:rPr>
        <w:rFonts w:hint="default"/>
        <w:lang w:val="en-US" w:eastAsia="en-US" w:bidi="ar-SA"/>
      </w:rPr>
    </w:lvl>
  </w:abstractNum>
  <w:abstractNum w:abstractNumId="3" w15:restartNumberingAfterBreak="0">
    <w:nsid w:val="006427FD"/>
    <w:multiLevelType w:val="hybridMultilevel"/>
    <w:tmpl w:val="71CE73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23C6777"/>
    <w:multiLevelType w:val="hybridMultilevel"/>
    <w:tmpl w:val="FBE07328"/>
    <w:lvl w:ilvl="0" w:tplc="648A78FA">
      <w:start w:val="1"/>
      <w:numFmt w:val="bullet"/>
      <w:lvlText w:val=""/>
      <w:lvlJc w:val="left"/>
      <w:pPr>
        <w:ind w:left="1020" w:hanging="360"/>
      </w:pPr>
      <w:rPr>
        <w:rFonts w:ascii="Symbol" w:hAnsi="Symbol"/>
      </w:rPr>
    </w:lvl>
    <w:lvl w:ilvl="1" w:tplc="7DCA2868">
      <w:start w:val="1"/>
      <w:numFmt w:val="bullet"/>
      <w:lvlText w:val=""/>
      <w:lvlJc w:val="left"/>
      <w:pPr>
        <w:ind w:left="1020" w:hanging="360"/>
      </w:pPr>
      <w:rPr>
        <w:rFonts w:ascii="Symbol" w:hAnsi="Symbol"/>
      </w:rPr>
    </w:lvl>
    <w:lvl w:ilvl="2" w:tplc="7F382D6C">
      <w:start w:val="1"/>
      <w:numFmt w:val="bullet"/>
      <w:lvlText w:val=""/>
      <w:lvlJc w:val="left"/>
      <w:pPr>
        <w:ind w:left="1020" w:hanging="360"/>
      </w:pPr>
      <w:rPr>
        <w:rFonts w:ascii="Symbol" w:hAnsi="Symbol"/>
      </w:rPr>
    </w:lvl>
    <w:lvl w:ilvl="3" w:tplc="F7B437B4">
      <w:start w:val="1"/>
      <w:numFmt w:val="bullet"/>
      <w:lvlText w:val=""/>
      <w:lvlJc w:val="left"/>
      <w:pPr>
        <w:ind w:left="1020" w:hanging="360"/>
      </w:pPr>
      <w:rPr>
        <w:rFonts w:ascii="Symbol" w:hAnsi="Symbol"/>
      </w:rPr>
    </w:lvl>
    <w:lvl w:ilvl="4" w:tplc="48962920">
      <w:start w:val="1"/>
      <w:numFmt w:val="bullet"/>
      <w:lvlText w:val=""/>
      <w:lvlJc w:val="left"/>
      <w:pPr>
        <w:ind w:left="1020" w:hanging="360"/>
      </w:pPr>
      <w:rPr>
        <w:rFonts w:ascii="Symbol" w:hAnsi="Symbol"/>
      </w:rPr>
    </w:lvl>
    <w:lvl w:ilvl="5" w:tplc="FB3A7386">
      <w:start w:val="1"/>
      <w:numFmt w:val="bullet"/>
      <w:lvlText w:val=""/>
      <w:lvlJc w:val="left"/>
      <w:pPr>
        <w:ind w:left="1020" w:hanging="360"/>
      </w:pPr>
      <w:rPr>
        <w:rFonts w:ascii="Symbol" w:hAnsi="Symbol"/>
      </w:rPr>
    </w:lvl>
    <w:lvl w:ilvl="6" w:tplc="71C29B72">
      <w:start w:val="1"/>
      <w:numFmt w:val="bullet"/>
      <w:lvlText w:val=""/>
      <w:lvlJc w:val="left"/>
      <w:pPr>
        <w:ind w:left="1020" w:hanging="360"/>
      </w:pPr>
      <w:rPr>
        <w:rFonts w:ascii="Symbol" w:hAnsi="Symbol"/>
      </w:rPr>
    </w:lvl>
    <w:lvl w:ilvl="7" w:tplc="CF58E3BC">
      <w:start w:val="1"/>
      <w:numFmt w:val="bullet"/>
      <w:lvlText w:val=""/>
      <w:lvlJc w:val="left"/>
      <w:pPr>
        <w:ind w:left="1020" w:hanging="360"/>
      </w:pPr>
      <w:rPr>
        <w:rFonts w:ascii="Symbol" w:hAnsi="Symbol"/>
      </w:rPr>
    </w:lvl>
    <w:lvl w:ilvl="8" w:tplc="2656078E">
      <w:start w:val="1"/>
      <w:numFmt w:val="bullet"/>
      <w:lvlText w:val=""/>
      <w:lvlJc w:val="left"/>
      <w:pPr>
        <w:ind w:left="1020" w:hanging="360"/>
      </w:pPr>
      <w:rPr>
        <w:rFonts w:ascii="Symbol" w:hAnsi="Symbol"/>
      </w:rPr>
    </w:lvl>
  </w:abstractNum>
  <w:abstractNum w:abstractNumId="5" w15:restartNumberingAfterBreak="0">
    <w:nsid w:val="04F67F4A"/>
    <w:multiLevelType w:val="hybridMultilevel"/>
    <w:tmpl w:val="1E7E17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68135DA"/>
    <w:multiLevelType w:val="hybridMultilevel"/>
    <w:tmpl w:val="5DA4D0AA"/>
    <w:lvl w:ilvl="0" w:tplc="98D6DB16">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59F2F182">
      <w:numFmt w:val="bullet"/>
      <w:lvlText w:val="•"/>
      <w:lvlJc w:val="left"/>
      <w:pPr>
        <w:ind w:left="749" w:hanging="252"/>
      </w:pPr>
      <w:rPr>
        <w:rFonts w:hint="default"/>
        <w:lang w:val="en-US" w:eastAsia="en-US" w:bidi="ar-SA"/>
      </w:rPr>
    </w:lvl>
    <w:lvl w:ilvl="2" w:tplc="AC188DE2">
      <w:numFmt w:val="bullet"/>
      <w:lvlText w:val="•"/>
      <w:lvlJc w:val="left"/>
      <w:pPr>
        <w:ind w:left="1139" w:hanging="252"/>
      </w:pPr>
      <w:rPr>
        <w:rFonts w:hint="default"/>
        <w:lang w:val="en-US" w:eastAsia="en-US" w:bidi="ar-SA"/>
      </w:rPr>
    </w:lvl>
    <w:lvl w:ilvl="3" w:tplc="BFEEBD66">
      <w:numFmt w:val="bullet"/>
      <w:lvlText w:val="•"/>
      <w:lvlJc w:val="left"/>
      <w:pPr>
        <w:ind w:left="1528" w:hanging="252"/>
      </w:pPr>
      <w:rPr>
        <w:rFonts w:hint="default"/>
        <w:lang w:val="en-US" w:eastAsia="en-US" w:bidi="ar-SA"/>
      </w:rPr>
    </w:lvl>
    <w:lvl w:ilvl="4" w:tplc="622467EC">
      <w:numFmt w:val="bullet"/>
      <w:lvlText w:val="•"/>
      <w:lvlJc w:val="left"/>
      <w:pPr>
        <w:ind w:left="1918" w:hanging="252"/>
      </w:pPr>
      <w:rPr>
        <w:rFonts w:hint="default"/>
        <w:lang w:val="en-US" w:eastAsia="en-US" w:bidi="ar-SA"/>
      </w:rPr>
    </w:lvl>
    <w:lvl w:ilvl="5" w:tplc="4C409224">
      <w:numFmt w:val="bullet"/>
      <w:lvlText w:val="•"/>
      <w:lvlJc w:val="left"/>
      <w:pPr>
        <w:ind w:left="2307" w:hanging="252"/>
      </w:pPr>
      <w:rPr>
        <w:rFonts w:hint="default"/>
        <w:lang w:val="en-US" w:eastAsia="en-US" w:bidi="ar-SA"/>
      </w:rPr>
    </w:lvl>
    <w:lvl w:ilvl="6" w:tplc="13168D10">
      <w:numFmt w:val="bullet"/>
      <w:lvlText w:val="•"/>
      <w:lvlJc w:val="left"/>
      <w:pPr>
        <w:ind w:left="2697" w:hanging="252"/>
      </w:pPr>
      <w:rPr>
        <w:rFonts w:hint="default"/>
        <w:lang w:val="en-US" w:eastAsia="en-US" w:bidi="ar-SA"/>
      </w:rPr>
    </w:lvl>
    <w:lvl w:ilvl="7" w:tplc="182A4260">
      <w:numFmt w:val="bullet"/>
      <w:lvlText w:val="•"/>
      <w:lvlJc w:val="left"/>
      <w:pPr>
        <w:ind w:left="3086" w:hanging="252"/>
      </w:pPr>
      <w:rPr>
        <w:rFonts w:hint="default"/>
        <w:lang w:val="en-US" w:eastAsia="en-US" w:bidi="ar-SA"/>
      </w:rPr>
    </w:lvl>
    <w:lvl w:ilvl="8" w:tplc="EC865750">
      <w:numFmt w:val="bullet"/>
      <w:lvlText w:val="•"/>
      <w:lvlJc w:val="left"/>
      <w:pPr>
        <w:ind w:left="3476" w:hanging="252"/>
      </w:pPr>
      <w:rPr>
        <w:rFonts w:hint="default"/>
        <w:lang w:val="en-US" w:eastAsia="en-US" w:bidi="ar-SA"/>
      </w:rPr>
    </w:lvl>
  </w:abstractNum>
  <w:abstractNum w:abstractNumId="7" w15:restartNumberingAfterBreak="0">
    <w:nsid w:val="06B33B41"/>
    <w:multiLevelType w:val="hybridMultilevel"/>
    <w:tmpl w:val="CBCE13E6"/>
    <w:lvl w:ilvl="0" w:tplc="C428CDF0">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1242C6CE">
      <w:numFmt w:val="bullet"/>
      <w:lvlText w:val="•"/>
      <w:lvlJc w:val="left"/>
      <w:pPr>
        <w:ind w:left="749" w:hanging="252"/>
      </w:pPr>
      <w:rPr>
        <w:rFonts w:hint="default"/>
        <w:lang w:val="en-US" w:eastAsia="en-US" w:bidi="ar-SA"/>
      </w:rPr>
    </w:lvl>
    <w:lvl w:ilvl="2" w:tplc="72466EC6">
      <w:numFmt w:val="bullet"/>
      <w:lvlText w:val="•"/>
      <w:lvlJc w:val="left"/>
      <w:pPr>
        <w:ind w:left="1139" w:hanging="252"/>
      </w:pPr>
      <w:rPr>
        <w:rFonts w:hint="default"/>
        <w:lang w:val="en-US" w:eastAsia="en-US" w:bidi="ar-SA"/>
      </w:rPr>
    </w:lvl>
    <w:lvl w:ilvl="3" w:tplc="3800BA7E">
      <w:numFmt w:val="bullet"/>
      <w:lvlText w:val="•"/>
      <w:lvlJc w:val="left"/>
      <w:pPr>
        <w:ind w:left="1528" w:hanging="252"/>
      </w:pPr>
      <w:rPr>
        <w:rFonts w:hint="default"/>
        <w:lang w:val="en-US" w:eastAsia="en-US" w:bidi="ar-SA"/>
      </w:rPr>
    </w:lvl>
    <w:lvl w:ilvl="4" w:tplc="EC0E7FB0">
      <w:numFmt w:val="bullet"/>
      <w:lvlText w:val="•"/>
      <w:lvlJc w:val="left"/>
      <w:pPr>
        <w:ind w:left="1918" w:hanging="252"/>
      </w:pPr>
      <w:rPr>
        <w:rFonts w:hint="default"/>
        <w:lang w:val="en-US" w:eastAsia="en-US" w:bidi="ar-SA"/>
      </w:rPr>
    </w:lvl>
    <w:lvl w:ilvl="5" w:tplc="15EC6CF4">
      <w:numFmt w:val="bullet"/>
      <w:lvlText w:val="•"/>
      <w:lvlJc w:val="left"/>
      <w:pPr>
        <w:ind w:left="2307" w:hanging="252"/>
      </w:pPr>
      <w:rPr>
        <w:rFonts w:hint="default"/>
        <w:lang w:val="en-US" w:eastAsia="en-US" w:bidi="ar-SA"/>
      </w:rPr>
    </w:lvl>
    <w:lvl w:ilvl="6" w:tplc="3BACAF4E">
      <w:numFmt w:val="bullet"/>
      <w:lvlText w:val="•"/>
      <w:lvlJc w:val="left"/>
      <w:pPr>
        <w:ind w:left="2697" w:hanging="252"/>
      </w:pPr>
      <w:rPr>
        <w:rFonts w:hint="default"/>
        <w:lang w:val="en-US" w:eastAsia="en-US" w:bidi="ar-SA"/>
      </w:rPr>
    </w:lvl>
    <w:lvl w:ilvl="7" w:tplc="DA36FD06">
      <w:numFmt w:val="bullet"/>
      <w:lvlText w:val="•"/>
      <w:lvlJc w:val="left"/>
      <w:pPr>
        <w:ind w:left="3086" w:hanging="252"/>
      </w:pPr>
      <w:rPr>
        <w:rFonts w:hint="default"/>
        <w:lang w:val="en-US" w:eastAsia="en-US" w:bidi="ar-SA"/>
      </w:rPr>
    </w:lvl>
    <w:lvl w:ilvl="8" w:tplc="5CBC30B8">
      <w:numFmt w:val="bullet"/>
      <w:lvlText w:val="•"/>
      <w:lvlJc w:val="left"/>
      <w:pPr>
        <w:ind w:left="3476" w:hanging="252"/>
      </w:pPr>
      <w:rPr>
        <w:rFonts w:hint="default"/>
        <w:lang w:val="en-US" w:eastAsia="en-US" w:bidi="ar-SA"/>
      </w:rPr>
    </w:lvl>
  </w:abstractNum>
  <w:abstractNum w:abstractNumId="8" w15:restartNumberingAfterBreak="0">
    <w:nsid w:val="08CB73AC"/>
    <w:multiLevelType w:val="hybridMultilevel"/>
    <w:tmpl w:val="A1BC49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9DD269A"/>
    <w:multiLevelType w:val="hybridMultilevel"/>
    <w:tmpl w:val="3370C0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9FD5C25"/>
    <w:multiLevelType w:val="multilevel"/>
    <w:tmpl w:val="A2541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C72304F"/>
    <w:multiLevelType w:val="hybridMultilevel"/>
    <w:tmpl w:val="074A0FFA"/>
    <w:lvl w:ilvl="0" w:tplc="3DFC6418">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5D2CBE64">
      <w:numFmt w:val="bullet"/>
      <w:lvlText w:val="•"/>
      <w:lvlJc w:val="left"/>
      <w:pPr>
        <w:ind w:left="749" w:hanging="252"/>
      </w:pPr>
      <w:rPr>
        <w:rFonts w:hint="default"/>
        <w:lang w:val="en-US" w:eastAsia="en-US" w:bidi="ar-SA"/>
      </w:rPr>
    </w:lvl>
    <w:lvl w:ilvl="2" w:tplc="99D2BB68">
      <w:numFmt w:val="bullet"/>
      <w:lvlText w:val="•"/>
      <w:lvlJc w:val="left"/>
      <w:pPr>
        <w:ind w:left="1139" w:hanging="252"/>
      </w:pPr>
      <w:rPr>
        <w:rFonts w:hint="default"/>
        <w:lang w:val="en-US" w:eastAsia="en-US" w:bidi="ar-SA"/>
      </w:rPr>
    </w:lvl>
    <w:lvl w:ilvl="3" w:tplc="26B2EFDC">
      <w:numFmt w:val="bullet"/>
      <w:lvlText w:val="•"/>
      <w:lvlJc w:val="left"/>
      <w:pPr>
        <w:ind w:left="1528" w:hanging="252"/>
      </w:pPr>
      <w:rPr>
        <w:rFonts w:hint="default"/>
        <w:lang w:val="en-US" w:eastAsia="en-US" w:bidi="ar-SA"/>
      </w:rPr>
    </w:lvl>
    <w:lvl w:ilvl="4" w:tplc="4A86755E">
      <w:numFmt w:val="bullet"/>
      <w:lvlText w:val="•"/>
      <w:lvlJc w:val="left"/>
      <w:pPr>
        <w:ind w:left="1918" w:hanging="252"/>
      </w:pPr>
      <w:rPr>
        <w:rFonts w:hint="default"/>
        <w:lang w:val="en-US" w:eastAsia="en-US" w:bidi="ar-SA"/>
      </w:rPr>
    </w:lvl>
    <w:lvl w:ilvl="5" w:tplc="1F0EA934">
      <w:numFmt w:val="bullet"/>
      <w:lvlText w:val="•"/>
      <w:lvlJc w:val="left"/>
      <w:pPr>
        <w:ind w:left="2307" w:hanging="252"/>
      </w:pPr>
      <w:rPr>
        <w:rFonts w:hint="default"/>
        <w:lang w:val="en-US" w:eastAsia="en-US" w:bidi="ar-SA"/>
      </w:rPr>
    </w:lvl>
    <w:lvl w:ilvl="6" w:tplc="DEAAD1D4">
      <w:numFmt w:val="bullet"/>
      <w:lvlText w:val="•"/>
      <w:lvlJc w:val="left"/>
      <w:pPr>
        <w:ind w:left="2697" w:hanging="252"/>
      </w:pPr>
      <w:rPr>
        <w:rFonts w:hint="default"/>
        <w:lang w:val="en-US" w:eastAsia="en-US" w:bidi="ar-SA"/>
      </w:rPr>
    </w:lvl>
    <w:lvl w:ilvl="7" w:tplc="4620A1F2">
      <w:numFmt w:val="bullet"/>
      <w:lvlText w:val="•"/>
      <w:lvlJc w:val="left"/>
      <w:pPr>
        <w:ind w:left="3086" w:hanging="252"/>
      </w:pPr>
      <w:rPr>
        <w:rFonts w:hint="default"/>
        <w:lang w:val="en-US" w:eastAsia="en-US" w:bidi="ar-SA"/>
      </w:rPr>
    </w:lvl>
    <w:lvl w:ilvl="8" w:tplc="5D2849C0">
      <w:numFmt w:val="bullet"/>
      <w:lvlText w:val="•"/>
      <w:lvlJc w:val="left"/>
      <w:pPr>
        <w:ind w:left="3476" w:hanging="252"/>
      </w:pPr>
      <w:rPr>
        <w:rFonts w:hint="default"/>
        <w:lang w:val="en-US" w:eastAsia="en-US" w:bidi="ar-SA"/>
      </w:rPr>
    </w:lvl>
  </w:abstractNum>
  <w:abstractNum w:abstractNumId="12" w15:restartNumberingAfterBreak="0">
    <w:nsid w:val="0CBF1C88"/>
    <w:multiLevelType w:val="multilevel"/>
    <w:tmpl w:val="7C903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FE85B31"/>
    <w:multiLevelType w:val="hybridMultilevel"/>
    <w:tmpl w:val="5A84FB0A"/>
    <w:lvl w:ilvl="0" w:tplc="648A98E0">
      <w:start w:val="1"/>
      <w:numFmt w:val="bullet"/>
      <w:lvlText w:val=""/>
      <w:lvlJc w:val="left"/>
      <w:pPr>
        <w:ind w:left="720" w:hanging="360"/>
      </w:pPr>
      <w:rPr>
        <w:rFonts w:ascii="Symbol" w:hAnsi="Symbol"/>
      </w:rPr>
    </w:lvl>
    <w:lvl w:ilvl="1" w:tplc="2FF29D28">
      <w:start w:val="1"/>
      <w:numFmt w:val="bullet"/>
      <w:lvlText w:val=""/>
      <w:lvlJc w:val="left"/>
      <w:pPr>
        <w:ind w:left="720" w:hanging="360"/>
      </w:pPr>
      <w:rPr>
        <w:rFonts w:ascii="Symbol" w:hAnsi="Symbol"/>
      </w:rPr>
    </w:lvl>
    <w:lvl w:ilvl="2" w:tplc="8E2A5C02">
      <w:start w:val="1"/>
      <w:numFmt w:val="bullet"/>
      <w:lvlText w:val=""/>
      <w:lvlJc w:val="left"/>
      <w:pPr>
        <w:ind w:left="720" w:hanging="360"/>
      </w:pPr>
      <w:rPr>
        <w:rFonts w:ascii="Symbol" w:hAnsi="Symbol"/>
      </w:rPr>
    </w:lvl>
    <w:lvl w:ilvl="3" w:tplc="45CE7934">
      <w:start w:val="1"/>
      <w:numFmt w:val="bullet"/>
      <w:lvlText w:val=""/>
      <w:lvlJc w:val="left"/>
      <w:pPr>
        <w:ind w:left="720" w:hanging="360"/>
      </w:pPr>
      <w:rPr>
        <w:rFonts w:ascii="Symbol" w:hAnsi="Symbol"/>
      </w:rPr>
    </w:lvl>
    <w:lvl w:ilvl="4" w:tplc="24B4627A">
      <w:start w:val="1"/>
      <w:numFmt w:val="bullet"/>
      <w:lvlText w:val=""/>
      <w:lvlJc w:val="left"/>
      <w:pPr>
        <w:ind w:left="720" w:hanging="360"/>
      </w:pPr>
      <w:rPr>
        <w:rFonts w:ascii="Symbol" w:hAnsi="Symbol"/>
      </w:rPr>
    </w:lvl>
    <w:lvl w:ilvl="5" w:tplc="7D48CCB6">
      <w:start w:val="1"/>
      <w:numFmt w:val="bullet"/>
      <w:lvlText w:val=""/>
      <w:lvlJc w:val="left"/>
      <w:pPr>
        <w:ind w:left="720" w:hanging="360"/>
      </w:pPr>
      <w:rPr>
        <w:rFonts w:ascii="Symbol" w:hAnsi="Symbol"/>
      </w:rPr>
    </w:lvl>
    <w:lvl w:ilvl="6" w:tplc="16E0062A">
      <w:start w:val="1"/>
      <w:numFmt w:val="bullet"/>
      <w:lvlText w:val=""/>
      <w:lvlJc w:val="left"/>
      <w:pPr>
        <w:ind w:left="720" w:hanging="360"/>
      </w:pPr>
      <w:rPr>
        <w:rFonts w:ascii="Symbol" w:hAnsi="Symbol"/>
      </w:rPr>
    </w:lvl>
    <w:lvl w:ilvl="7" w:tplc="F7F88D5C">
      <w:start w:val="1"/>
      <w:numFmt w:val="bullet"/>
      <w:lvlText w:val=""/>
      <w:lvlJc w:val="left"/>
      <w:pPr>
        <w:ind w:left="720" w:hanging="360"/>
      </w:pPr>
      <w:rPr>
        <w:rFonts w:ascii="Symbol" w:hAnsi="Symbol"/>
      </w:rPr>
    </w:lvl>
    <w:lvl w:ilvl="8" w:tplc="86B44E9A">
      <w:start w:val="1"/>
      <w:numFmt w:val="bullet"/>
      <w:lvlText w:val=""/>
      <w:lvlJc w:val="left"/>
      <w:pPr>
        <w:ind w:left="720" w:hanging="360"/>
      </w:pPr>
      <w:rPr>
        <w:rFonts w:ascii="Symbol" w:hAnsi="Symbol"/>
      </w:rPr>
    </w:lvl>
  </w:abstractNum>
  <w:abstractNum w:abstractNumId="14" w15:restartNumberingAfterBreak="0">
    <w:nsid w:val="117C7798"/>
    <w:multiLevelType w:val="hybridMultilevel"/>
    <w:tmpl w:val="9402B410"/>
    <w:lvl w:ilvl="0" w:tplc="476C879C">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00DC3802">
      <w:numFmt w:val="bullet"/>
      <w:lvlText w:val="•"/>
      <w:lvlJc w:val="left"/>
      <w:pPr>
        <w:ind w:left="749" w:hanging="252"/>
      </w:pPr>
      <w:rPr>
        <w:rFonts w:hint="default"/>
        <w:lang w:val="en-US" w:eastAsia="en-US" w:bidi="ar-SA"/>
      </w:rPr>
    </w:lvl>
    <w:lvl w:ilvl="2" w:tplc="0E8E9D72">
      <w:numFmt w:val="bullet"/>
      <w:lvlText w:val="•"/>
      <w:lvlJc w:val="left"/>
      <w:pPr>
        <w:ind w:left="1139" w:hanging="252"/>
      </w:pPr>
      <w:rPr>
        <w:rFonts w:hint="default"/>
        <w:lang w:val="en-US" w:eastAsia="en-US" w:bidi="ar-SA"/>
      </w:rPr>
    </w:lvl>
    <w:lvl w:ilvl="3" w:tplc="8DEAD5B6">
      <w:numFmt w:val="bullet"/>
      <w:lvlText w:val="•"/>
      <w:lvlJc w:val="left"/>
      <w:pPr>
        <w:ind w:left="1528" w:hanging="252"/>
      </w:pPr>
      <w:rPr>
        <w:rFonts w:hint="default"/>
        <w:lang w:val="en-US" w:eastAsia="en-US" w:bidi="ar-SA"/>
      </w:rPr>
    </w:lvl>
    <w:lvl w:ilvl="4" w:tplc="6276DF9C">
      <w:numFmt w:val="bullet"/>
      <w:lvlText w:val="•"/>
      <w:lvlJc w:val="left"/>
      <w:pPr>
        <w:ind w:left="1918" w:hanging="252"/>
      </w:pPr>
      <w:rPr>
        <w:rFonts w:hint="default"/>
        <w:lang w:val="en-US" w:eastAsia="en-US" w:bidi="ar-SA"/>
      </w:rPr>
    </w:lvl>
    <w:lvl w:ilvl="5" w:tplc="ED50A608">
      <w:numFmt w:val="bullet"/>
      <w:lvlText w:val="•"/>
      <w:lvlJc w:val="left"/>
      <w:pPr>
        <w:ind w:left="2307" w:hanging="252"/>
      </w:pPr>
      <w:rPr>
        <w:rFonts w:hint="default"/>
        <w:lang w:val="en-US" w:eastAsia="en-US" w:bidi="ar-SA"/>
      </w:rPr>
    </w:lvl>
    <w:lvl w:ilvl="6" w:tplc="0F245B62">
      <w:numFmt w:val="bullet"/>
      <w:lvlText w:val="•"/>
      <w:lvlJc w:val="left"/>
      <w:pPr>
        <w:ind w:left="2697" w:hanging="252"/>
      </w:pPr>
      <w:rPr>
        <w:rFonts w:hint="default"/>
        <w:lang w:val="en-US" w:eastAsia="en-US" w:bidi="ar-SA"/>
      </w:rPr>
    </w:lvl>
    <w:lvl w:ilvl="7" w:tplc="3B823BE4">
      <w:numFmt w:val="bullet"/>
      <w:lvlText w:val="•"/>
      <w:lvlJc w:val="left"/>
      <w:pPr>
        <w:ind w:left="3086" w:hanging="252"/>
      </w:pPr>
      <w:rPr>
        <w:rFonts w:hint="default"/>
        <w:lang w:val="en-US" w:eastAsia="en-US" w:bidi="ar-SA"/>
      </w:rPr>
    </w:lvl>
    <w:lvl w:ilvl="8" w:tplc="2044497A">
      <w:numFmt w:val="bullet"/>
      <w:lvlText w:val="•"/>
      <w:lvlJc w:val="left"/>
      <w:pPr>
        <w:ind w:left="3476" w:hanging="252"/>
      </w:pPr>
      <w:rPr>
        <w:rFonts w:hint="default"/>
        <w:lang w:val="en-US" w:eastAsia="en-US" w:bidi="ar-SA"/>
      </w:rPr>
    </w:lvl>
  </w:abstractNum>
  <w:abstractNum w:abstractNumId="15" w15:restartNumberingAfterBreak="0">
    <w:nsid w:val="14D137CF"/>
    <w:multiLevelType w:val="hybridMultilevel"/>
    <w:tmpl w:val="807A6C58"/>
    <w:lvl w:ilvl="0" w:tplc="CD720840">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0128A6F8">
      <w:numFmt w:val="bullet"/>
      <w:lvlText w:val="•"/>
      <w:lvlJc w:val="left"/>
      <w:pPr>
        <w:ind w:left="749" w:hanging="252"/>
      </w:pPr>
      <w:rPr>
        <w:rFonts w:hint="default"/>
        <w:lang w:val="en-US" w:eastAsia="en-US" w:bidi="ar-SA"/>
      </w:rPr>
    </w:lvl>
    <w:lvl w:ilvl="2" w:tplc="085C058C">
      <w:numFmt w:val="bullet"/>
      <w:lvlText w:val="•"/>
      <w:lvlJc w:val="left"/>
      <w:pPr>
        <w:ind w:left="1139" w:hanging="252"/>
      </w:pPr>
      <w:rPr>
        <w:rFonts w:hint="default"/>
        <w:lang w:val="en-US" w:eastAsia="en-US" w:bidi="ar-SA"/>
      </w:rPr>
    </w:lvl>
    <w:lvl w:ilvl="3" w:tplc="2048F13E">
      <w:numFmt w:val="bullet"/>
      <w:lvlText w:val="•"/>
      <w:lvlJc w:val="left"/>
      <w:pPr>
        <w:ind w:left="1528" w:hanging="252"/>
      </w:pPr>
      <w:rPr>
        <w:rFonts w:hint="default"/>
        <w:lang w:val="en-US" w:eastAsia="en-US" w:bidi="ar-SA"/>
      </w:rPr>
    </w:lvl>
    <w:lvl w:ilvl="4" w:tplc="7D1AF022">
      <w:numFmt w:val="bullet"/>
      <w:lvlText w:val="•"/>
      <w:lvlJc w:val="left"/>
      <w:pPr>
        <w:ind w:left="1918" w:hanging="252"/>
      </w:pPr>
      <w:rPr>
        <w:rFonts w:hint="default"/>
        <w:lang w:val="en-US" w:eastAsia="en-US" w:bidi="ar-SA"/>
      </w:rPr>
    </w:lvl>
    <w:lvl w:ilvl="5" w:tplc="F880FDEC">
      <w:numFmt w:val="bullet"/>
      <w:lvlText w:val="•"/>
      <w:lvlJc w:val="left"/>
      <w:pPr>
        <w:ind w:left="2307" w:hanging="252"/>
      </w:pPr>
      <w:rPr>
        <w:rFonts w:hint="default"/>
        <w:lang w:val="en-US" w:eastAsia="en-US" w:bidi="ar-SA"/>
      </w:rPr>
    </w:lvl>
    <w:lvl w:ilvl="6" w:tplc="E2E60DFC">
      <w:numFmt w:val="bullet"/>
      <w:lvlText w:val="•"/>
      <w:lvlJc w:val="left"/>
      <w:pPr>
        <w:ind w:left="2697" w:hanging="252"/>
      </w:pPr>
      <w:rPr>
        <w:rFonts w:hint="default"/>
        <w:lang w:val="en-US" w:eastAsia="en-US" w:bidi="ar-SA"/>
      </w:rPr>
    </w:lvl>
    <w:lvl w:ilvl="7" w:tplc="BC7C627C">
      <w:numFmt w:val="bullet"/>
      <w:lvlText w:val="•"/>
      <w:lvlJc w:val="left"/>
      <w:pPr>
        <w:ind w:left="3086" w:hanging="252"/>
      </w:pPr>
      <w:rPr>
        <w:rFonts w:hint="default"/>
        <w:lang w:val="en-US" w:eastAsia="en-US" w:bidi="ar-SA"/>
      </w:rPr>
    </w:lvl>
    <w:lvl w:ilvl="8" w:tplc="83109608">
      <w:numFmt w:val="bullet"/>
      <w:lvlText w:val="•"/>
      <w:lvlJc w:val="left"/>
      <w:pPr>
        <w:ind w:left="3476" w:hanging="252"/>
      </w:pPr>
      <w:rPr>
        <w:rFonts w:hint="default"/>
        <w:lang w:val="en-US" w:eastAsia="en-US" w:bidi="ar-SA"/>
      </w:rPr>
    </w:lvl>
  </w:abstractNum>
  <w:abstractNum w:abstractNumId="16" w15:restartNumberingAfterBreak="0">
    <w:nsid w:val="14D31301"/>
    <w:multiLevelType w:val="hybridMultilevel"/>
    <w:tmpl w:val="789EA11C"/>
    <w:lvl w:ilvl="0" w:tplc="33BAB244">
      <w:start w:val="1"/>
      <w:numFmt w:val="bullet"/>
      <w:lvlText w:val=""/>
      <w:lvlJc w:val="left"/>
      <w:pPr>
        <w:ind w:left="720" w:hanging="360"/>
      </w:pPr>
      <w:rPr>
        <w:rFonts w:ascii="Symbol" w:hAnsi="Symbol"/>
      </w:rPr>
    </w:lvl>
    <w:lvl w:ilvl="1" w:tplc="6B7CFA74">
      <w:start w:val="1"/>
      <w:numFmt w:val="bullet"/>
      <w:lvlText w:val=""/>
      <w:lvlJc w:val="left"/>
      <w:pPr>
        <w:ind w:left="720" w:hanging="360"/>
      </w:pPr>
      <w:rPr>
        <w:rFonts w:ascii="Symbol" w:hAnsi="Symbol"/>
      </w:rPr>
    </w:lvl>
    <w:lvl w:ilvl="2" w:tplc="D7D6D72E">
      <w:start w:val="1"/>
      <w:numFmt w:val="bullet"/>
      <w:lvlText w:val=""/>
      <w:lvlJc w:val="left"/>
      <w:pPr>
        <w:ind w:left="720" w:hanging="360"/>
      </w:pPr>
      <w:rPr>
        <w:rFonts w:ascii="Symbol" w:hAnsi="Symbol"/>
      </w:rPr>
    </w:lvl>
    <w:lvl w:ilvl="3" w:tplc="BAD0594E">
      <w:start w:val="1"/>
      <w:numFmt w:val="bullet"/>
      <w:lvlText w:val=""/>
      <w:lvlJc w:val="left"/>
      <w:pPr>
        <w:ind w:left="720" w:hanging="360"/>
      </w:pPr>
      <w:rPr>
        <w:rFonts w:ascii="Symbol" w:hAnsi="Symbol"/>
      </w:rPr>
    </w:lvl>
    <w:lvl w:ilvl="4" w:tplc="86CCD3AE">
      <w:start w:val="1"/>
      <w:numFmt w:val="bullet"/>
      <w:lvlText w:val=""/>
      <w:lvlJc w:val="left"/>
      <w:pPr>
        <w:ind w:left="720" w:hanging="360"/>
      </w:pPr>
      <w:rPr>
        <w:rFonts w:ascii="Symbol" w:hAnsi="Symbol"/>
      </w:rPr>
    </w:lvl>
    <w:lvl w:ilvl="5" w:tplc="7186AFDC">
      <w:start w:val="1"/>
      <w:numFmt w:val="bullet"/>
      <w:lvlText w:val=""/>
      <w:lvlJc w:val="left"/>
      <w:pPr>
        <w:ind w:left="720" w:hanging="360"/>
      </w:pPr>
      <w:rPr>
        <w:rFonts w:ascii="Symbol" w:hAnsi="Symbol"/>
      </w:rPr>
    </w:lvl>
    <w:lvl w:ilvl="6" w:tplc="2272CFB6">
      <w:start w:val="1"/>
      <w:numFmt w:val="bullet"/>
      <w:lvlText w:val=""/>
      <w:lvlJc w:val="left"/>
      <w:pPr>
        <w:ind w:left="720" w:hanging="360"/>
      </w:pPr>
      <w:rPr>
        <w:rFonts w:ascii="Symbol" w:hAnsi="Symbol"/>
      </w:rPr>
    </w:lvl>
    <w:lvl w:ilvl="7" w:tplc="05AE32A4">
      <w:start w:val="1"/>
      <w:numFmt w:val="bullet"/>
      <w:lvlText w:val=""/>
      <w:lvlJc w:val="left"/>
      <w:pPr>
        <w:ind w:left="720" w:hanging="360"/>
      </w:pPr>
      <w:rPr>
        <w:rFonts w:ascii="Symbol" w:hAnsi="Symbol"/>
      </w:rPr>
    </w:lvl>
    <w:lvl w:ilvl="8" w:tplc="34EA6FD6">
      <w:start w:val="1"/>
      <w:numFmt w:val="bullet"/>
      <w:lvlText w:val=""/>
      <w:lvlJc w:val="left"/>
      <w:pPr>
        <w:ind w:left="720" w:hanging="360"/>
      </w:pPr>
      <w:rPr>
        <w:rFonts w:ascii="Symbol" w:hAnsi="Symbol"/>
      </w:rPr>
    </w:lvl>
  </w:abstractNum>
  <w:abstractNum w:abstractNumId="17" w15:restartNumberingAfterBreak="0">
    <w:nsid w:val="155F2429"/>
    <w:multiLevelType w:val="hybridMultilevel"/>
    <w:tmpl w:val="BDFCF1D2"/>
    <w:lvl w:ilvl="0" w:tplc="8F2AC070">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19402272">
      <w:numFmt w:val="bullet"/>
      <w:lvlText w:val="•"/>
      <w:lvlJc w:val="left"/>
      <w:pPr>
        <w:ind w:left="749" w:hanging="252"/>
      </w:pPr>
      <w:rPr>
        <w:rFonts w:hint="default"/>
        <w:lang w:val="en-US" w:eastAsia="en-US" w:bidi="ar-SA"/>
      </w:rPr>
    </w:lvl>
    <w:lvl w:ilvl="2" w:tplc="CB949168">
      <w:numFmt w:val="bullet"/>
      <w:lvlText w:val="•"/>
      <w:lvlJc w:val="left"/>
      <w:pPr>
        <w:ind w:left="1139" w:hanging="252"/>
      </w:pPr>
      <w:rPr>
        <w:rFonts w:hint="default"/>
        <w:lang w:val="en-US" w:eastAsia="en-US" w:bidi="ar-SA"/>
      </w:rPr>
    </w:lvl>
    <w:lvl w:ilvl="3" w:tplc="E84421D6">
      <w:numFmt w:val="bullet"/>
      <w:lvlText w:val="•"/>
      <w:lvlJc w:val="left"/>
      <w:pPr>
        <w:ind w:left="1528" w:hanging="252"/>
      </w:pPr>
      <w:rPr>
        <w:rFonts w:hint="default"/>
        <w:lang w:val="en-US" w:eastAsia="en-US" w:bidi="ar-SA"/>
      </w:rPr>
    </w:lvl>
    <w:lvl w:ilvl="4" w:tplc="758C0EFA">
      <w:numFmt w:val="bullet"/>
      <w:lvlText w:val="•"/>
      <w:lvlJc w:val="left"/>
      <w:pPr>
        <w:ind w:left="1918" w:hanging="252"/>
      </w:pPr>
      <w:rPr>
        <w:rFonts w:hint="default"/>
        <w:lang w:val="en-US" w:eastAsia="en-US" w:bidi="ar-SA"/>
      </w:rPr>
    </w:lvl>
    <w:lvl w:ilvl="5" w:tplc="E2CC5AB0">
      <w:numFmt w:val="bullet"/>
      <w:lvlText w:val="•"/>
      <w:lvlJc w:val="left"/>
      <w:pPr>
        <w:ind w:left="2307" w:hanging="252"/>
      </w:pPr>
      <w:rPr>
        <w:rFonts w:hint="default"/>
        <w:lang w:val="en-US" w:eastAsia="en-US" w:bidi="ar-SA"/>
      </w:rPr>
    </w:lvl>
    <w:lvl w:ilvl="6" w:tplc="AEF8D756">
      <w:numFmt w:val="bullet"/>
      <w:lvlText w:val="•"/>
      <w:lvlJc w:val="left"/>
      <w:pPr>
        <w:ind w:left="2697" w:hanging="252"/>
      </w:pPr>
      <w:rPr>
        <w:rFonts w:hint="default"/>
        <w:lang w:val="en-US" w:eastAsia="en-US" w:bidi="ar-SA"/>
      </w:rPr>
    </w:lvl>
    <w:lvl w:ilvl="7" w:tplc="8D44E3F6">
      <w:numFmt w:val="bullet"/>
      <w:lvlText w:val="•"/>
      <w:lvlJc w:val="left"/>
      <w:pPr>
        <w:ind w:left="3086" w:hanging="252"/>
      </w:pPr>
      <w:rPr>
        <w:rFonts w:hint="default"/>
        <w:lang w:val="en-US" w:eastAsia="en-US" w:bidi="ar-SA"/>
      </w:rPr>
    </w:lvl>
    <w:lvl w:ilvl="8" w:tplc="0178BCEE">
      <w:numFmt w:val="bullet"/>
      <w:lvlText w:val="•"/>
      <w:lvlJc w:val="left"/>
      <w:pPr>
        <w:ind w:left="3476" w:hanging="252"/>
      </w:pPr>
      <w:rPr>
        <w:rFonts w:hint="default"/>
        <w:lang w:val="en-US" w:eastAsia="en-US" w:bidi="ar-SA"/>
      </w:rPr>
    </w:lvl>
  </w:abstractNum>
  <w:abstractNum w:abstractNumId="18" w15:restartNumberingAfterBreak="0">
    <w:nsid w:val="1609E52F"/>
    <w:multiLevelType w:val="hybridMultilevel"/>
    <w:tmpl w:val="60D8ADF2"/>
    <w:lvl w:ilvl="0" w:tplc="C194DA50">
      <w:start w:val="1"/>
      <w:numFmt w:val="bullet"/>
      <w:lvlText w:val=""/>
      <w:lvlJc w:val="left"/>
      <w:pPr>
        <w:ind w:left="720" w:hanging="360"/>
      </w:pPr>
      <w:rPr>
        <w:rFonts w:ascii="Symbol" w:hAnsi="Symbol" w:hint="default"/>
      </w:rPr>
    </w:lvl>
    <w:lvl w:ilvl="1" w:tplc="E6CE04D6">
      <w:start w:val="1"/>
      <w:numFmt w:val="bullet"/>
      <w:lvlText w:val="o"/>
      <w:lvlJc w:val="left"/>
      <w:pPr>
        <w:ind w:left="1440" w:hanging="360"/>
      </w:pPr>
      <w:rPr>
        <w:rFonts w:ascii="Courier New" w:hAnsi="Courier New" w:hint="default"/>
      </w:rPr>
    </w:lvl>
    <w:lvl w:ilvl="2" w:tplc="D8363AEA">
      <w:start w:val="1"/>
      <w:numFmt w:val="bullet"/>
      <w:lvlText w:val=""/>
      <w:lvlJc w:val="left"/>
      <w:pPr>
        <w:ind w:left="2160" w:hanging="360"/>
      </w:pPr>
      <w:rPr>
        <w:rFonts w:ascii="Wingdings" w:hAnsi="Wingdings" w:hint="default"/>
      </w:rPr>
    </w:lvl>
    <w:lvl w:ilvl="3" w:tplc="76D64C78">
      <w:start w:val="1"/>
      <w:numFmt w:val="bullet"/>
      <w:lvlText w:val=""/>
      <w:lvlJc w:val="left"/>
      <w:pPr>
        <w:ind w:left="2880" w:hanging="360"/>
      </w:pPr>
      <w:rPr>
        <w:rFonts w:ascii="Symbol" w:hAnsi="Symbol" w:hint="default"/>
      </w:rPr>
    </w:lvl>
    <w:lvl w:ilvl="4" w:tplc="20AE26B4">
      <w:start w:val="1"/>
      <w:numFmt w:val="bullet"/>
      <w:lvlText w:val="o"/>
      <w:lvlJc w:val="left"/>
      <w:pPr>
        <w:ind w:left="3600" w:hanging="360"/>
      </w:pPr>
      <w:rPr>
        <w:rFonts w:ascii="Courier New" w:hAnsi="Courier New" w:hint="default"/>
      </w:rPr>
    </w:lvl>
    <w:lvl w:ilvl="5" w:tplc="0D92F6DE">
      <w:start w:val="1"/>
      <w:numFmt w:val="bullet"/>
      <w:lvlText w:val=""/>
      <w:lvlJc w:val="left"/>
      <w:pPr>
        <w:ind w:left="4320" w:hanging="360"/>
      </w:pPr>
      <w:rPr>
        <w:rFonts w:ascii="Wingdings" w:hAnsi="Wingdings" w:hint="default"/>
      </w:rPr>
    </w:lvl>
    <w:lvl w:ilvl="6" w:tplc="69FE8ECC">
      <w:start w:val="1"/>
      <w:numFmt w:val="bullet"/>
      <w:lvlText w:val=""/>
      <w:lvlJc w:val="left"/>
      <w:pPr>
        <w:ind w:left="5040" w:hanging="360"/>
      </w:pPr>
      <w:rPr>
        <w:rFonts w:ascii="Symbol" w:hAnsi="Symbol" w:hint="default"/>
      </w:rPr>
    </w:lvl>
    <w:lvl w:ilvl="7" w:tplc="9E72FE9C">
      <w:start w:val="1"/>
      <w:numFmt w:val="bullet"/>
      <w:lvlText w:val="o"/>
      <w:lvlJc w:val="left"/>
      <w:pPr>
        <w:ind w:left="5760" w:hanging="360"/>
      </w:pPr>
      <w:rPr>
        <w:rFonts w:ascii="Courier New" w:hAnsi="Courier New" w:hint="default"/>
      </w:rPr>
    </w:lvl>
    <w:lvl w:ilvl="8" w:tplc="6C3C9750">
      <w:start w:val="1"/>
      <w:numFmt w:val="bullet"/>
      <w:lvlText w:val=""/>
      <w:lvlJc w:val="left"/>
      <w:pPr>
        <w:ind w:left="6480" w:hanging="360"/>
      </w:pPr>
      <w:rPr>
        <w:rFonts w:ascii="Wingdings" w:hAnsi="Wingdings" w:hint="default"/>
      </w:rPr>
    </w:lvl>
  </w:abstractNum>
  <w:abstractNum w:abstractNumId="19" w15:restartNumberingAfterBreak="0">
    <w:nsid w:val="16476555"/>
    <w:multiLevelType w:val="multilevel"/>
    <w:tmpl w:val="7A300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7276227"/>
    <w:multiLevelType w:val="hybridMultilevel"/>
    <w:tmpl w:val="66F2B8EE"/>
    <w:lvl w:ilvl="0" w:tplc="029ED648">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316671A6">
      <w:numFmt w:val="bullet"/>
      <w:lvlText w:val="•"/>
      <w:lvlJc w:val="left"/>
      <w:pPr>
        <w:ind w:left="749" w:hanging="252"/>
      </w:pPr>
      <w:rPr>
        <w:rFonts w:hint="default"/>
        <w:lang w:val="en-US" w:eastAsia="en-US" w:bidi="ar-SA"/>
      </w:rPr>
    </w:lvl>
    <w:lvl w:ilvl="2" w:tplc="5AAE3A0E">
      <w:numFmt w:val="bullet"/>
      <w:lvlText w:val="•"/>
      <w:lvlJc w:val="left"/>
      <w:pPr>
        <w:ind w:left="1139" w:hanging="252"/>
      </w:pPr>
      <w:rPr>
        <w:rFonts w:hint="default"/>
        <w:lang w:val="en-US" w:eastAsia="en-US" w:bidi="ar-SA"/>
      </w:rPr>
    </w:lvl>
    <w:lvl w:ilvl="3" w:tplc="A6F6A0BE">
      <w:numFmt w:val="bullet"/>
      <w:lvlText w:val="•"/>
      <w:lvlJc w:val="left"/>
      <w:pPr>
        <w:ind w:left="1528" w:hanging="252"/>
      </w:pPr>
      <w:rPr>
        <w:rFonts w:hint="default"/>
        <w:lang w:val="en-US" w:eastAsia="en-US" w:bidi="ar-SA"/>
      </w:rPr>
    </w:lvl>
    <w:lvl w:ilvl="4" w:tplc="2B34D61A">
      <w:numFmt w:val="bullet"/>
      <w:lvlText w:val="•"/>
      <w:lvlJc w:val="left"/>
      <w:pPr>
        <w:ind w:left="1918" w:hanging="252"/>
      </w:pPr>
      <w:rPr>
        <w:rFonts w:hint="default"/>
        <w:lang w:val="en-US" w:eastAsia="en-US" w:bidi="ar-SA"/>
      </w:rPr>
    </w:lvl>
    <w:lvl w:ilvl="5" w:tplc="48008EC8">
      <w:numFmt w:val="bullet"/>
      <w:lvlText w:val="•"/>
      <w:lvlJc w:val="left"/>
      <w:pPr>
        <w:ind w:left="2307" w:hanging="252"/>
      </w:pPr>
      <w:rPr>
        <w:rFonts w:hint="default"/>
        <w:lang w:val="en-US" w:eastAsia="en-US" w:bidi="ar-SA"/>
      </w:rPr>
    </w:lvl>
    <w:lvl w:ilvl="6" w:tplc="FFE6A578">
      <w:numFmt w:val="bullet"/>
      <w:lvlText w:val="•"/>
      <w:lvlJc w:val="left"/>
      <w:pPr>
        <w:ind w:left="2697" w:hanging="252"/>
      </w:pPr>
      <w:rPr>
        <w:rFonts w:hint="default"/>
        <w:lang w:val="en-US" w:eastAsia="en-US" w:bidi="ar-SA"/>
      </w:rPr>
    </w:lvl>
    <w:lvl w:ilvl="7" w:tplc="72E4FD16">
      <w:numFmt w:val="bullet"/>
      <w:lvlText w:val="•"/>
      <w:lvlJc w:val="left"/>
      <w:pPr>
        <w:ind w:left="3086" w:hanging="252"/>
      </w:pPr>
      <w:rPr>
        <w:rFonts w:hint="default"/>
        <w:lang w:val="en-US" w:eastAsia="en-US" w:bidi="ar-SA"/>
      </w:rPr>
    </w:lvl>
    <w:lvl w:ilvl="8" w:tplc="FC46CC10">
      <w:numFmt w:val="bullet"/>
      <w:lvlText w:val="•"/>
      <w:lvlJc w:val="left"/>
      <w:pPr>
        <w:ind w:left="3476" w:hanging="252"/>
      </w:pPr>
      <w:rPr>
        <w:rFonts w:hint="default"/>
        <w:lang w:val="en-US" w:eastAsia="en-US" w:bidi="ar-SA"/>
      </w:rPr>
    </w:lvl>
  </w:abstractNum>
  <w:abstractNum w:abstractNumId="21" w15:restartNumberingAfterBreak="0">
    <w:nsid w:val="17804088"/>
    <w:multiLevelType w:val="hybridMultilevel"/>
    <w:tmpl w:val="E2580B0E"/>
    <w:lvl w:ilvl="0" w:tplc="5BF646AC">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86DE6922">
      <w:numFmt w:val="bullet"/>
      <w:lvlText w:val="•"/>
      <w:lvlJc w:val="left"/>
      <w:pPr>
        <w:ind w:left="749" w:hanging="252"/>
      </w:pPr>
      <w:rPr>
        <w:rFonts w:hint="default"/>
        <w:lang w:val="en-US" w:eastAsia="en-US" w:bidi="ar-SA"/>
      </w:rPr>
    </w:lvl>
    <w:lvl w:ilvl="2" w:tplc="D80E2AB6">
      <w:numFmt w:val="bullet"/>
      <w:lvlText w:val="•"/>
      <w:lvlJc w:val="left"/>
      <w:pPr>
        <w:ind w:left="1139" w:hanging="252"/>
      </w:pPr>
      <w:rPr>
        <w:rFonts w:hint="default"/>
        <w:lang w:val="en-US" w:eastAsia="en-US" w:bidi="ar-SA"/>
      </w:rPr>
    </w:lvl>
    <w:lvl w:ilvl="3" w:tplc="F6640512">
      <w:numFmt w:val="bullet"/>
      <w:lvlText w:val="•"/>
      <w:lvlJc w:val="left"/>
      <w:pPr>
        <w:ind w:left="1528" w:hanging="252"/>
      </w:pPr>
      <w:rPr>
        <w:rFonts w:hint="default"/>
        <w:lang w:val="en-US" w:eastAsia="en-US" w:bidi="ar-SA"/>
      </w:rPr>
    </w:lvl>
    <w:lvl w:ilvl="4" w:tplc="E654D720">
      <w:numFmt w:val="bullet"/>
      <w:lvlText w:val="•"/>
      <w:lvlJc w:val="left"/>
      <w:pPr>
        <w:ind w:left="1918" w:hanging="252"/>
      </w:pPr>
      <w:rPr>
        <w:rFonts w:hint="default"/>
        <w:lang w:val="en-US" w:eastAsia="en-US" w:bidi="ar-SA"/>
      </w:rPr>
    </w:lvl>
    <w:lvl w:ilvl="5" w:tplc="728CF7C8">
      <w:numFmt w:val="bullet"/>
      <w:lvlText w:val="•"/>
      <w:lvlJc w:val="left"/>
      <w:pPr>
        <w:ind w:left="2307" w:hanging="252"/>
      </w:pPr>
      <w:rPr>
        <w:rFonts w:hint="default"/>
        <w:lang w:val="en-US" w:eastAsia="en-US" w:bidi="ar-SA"/>
      </w:rPr>
    </w:lvl>
    <w:lvl w:ilvl="6" w:tplc="6D70D904">
      <w:numFmt w:val="bullet"/>
      <w:lvlText w:val="•"/>
      <w:lvlJc w:val="left"/>
      <w:pPr>
        <w:ind w:left="2697" w:hanging="252"/>
      </w:pPr>
      <w:rPr>
        <w:rFonts w:hint="default"/>
        <w:lang w:val="en-US" w:eastAsia="en-US" w:bidi="ar-SA"/>
      </w:rPr>
    </w:lvl>
    <w:lvl w:ilvl="7" w:tplc="E7401A5C">
      <w:numFmt w:val="bullet"/>
      <w:lvlText w:val="•"/>
      <w:lvlJc w:val="left"/>
      <w:pPr>
        <w:ind w:left="3086" w:hanging="252"/>
      </w:pPr>
      <w:rPr>
        <w:rFonts w:hint="default"/>
        <w:lang w:val="en-US" w:eastAsia="en-US" w:bidi="ar-SA"/>
      </w:rPr>
    </w:lvl>
    <w:lvl w:ilvl="8" w:tplc="A81EF85A">
      <w:numFmt w:val="bullet"/>
      <w:lvlText w:val="•"/>
      <w:lvlJc w:val="left"/>
      <w:pPr>
        <w:ind w:left="3476" w:hanging="252"/>
      </w:pPr>
      <w:rPr>
        <w:rFonts w:hint="default"/>
        <w:lang w:val="en-US" w:eastAsia="en-US" w:bidi="ar-SA"/>
      </w:rPr>
    </w:lvl>
  </w:abstractNum>
  <w:abstractNum w:abstractNumId="22" w15:restartNumberingAfterBreak="0">
    <w:nsid w:val="1DF909AF"/>
    <w:multiLevelType w:val="hybridMultilevel"/>
    <w:tmpl w:val="39946D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1EB426D1"/>
    <w:multiLevelType w:val="hybridMultilevel"/>
    <w:tmpl w:val="8F566B16"/>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4" w15:restartNumberingAfterBreak="0">
    <w:nsid w:val="20DD7E58"/>
    <w:multiLevelType w:val="multilevel"/>
    <w:tmpl w:val="9C0AB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10A3A1E"/>
    <w:multiLevelType w:val="hybridMultilevel"/>
    <w:tmpl w:val="9508DD8A"/>
    <w:lvl w:ilvl="0" w:tplc="75C20DD0">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43F6AAF6">
      <w:numFmt w:val="bullet"/>
      <w:lvlText w:val="•"/>
      <w:lvlJc w:val="left"/>
      <w:pPr>
        <w:ind w:left="749" w:hanging="252"/>
      </w:pPr>
      <w:rPr>
        <w:rFonts w:hint="default"/>
        <w:lang w:val="en-US" w:eastAsia="en-US" w:bidi="ar-SA"/>
      </w:rPr>
    </w:lvl>
    <w:lvl w:ilvl="2" w:tplc="2FAC222E">
      <w:numFmt w:val="bullet"/>
      <w:lvlText w:val="•"/>
      <w:lvlJc w:val="left"/>
      <w:pPr>
        <w:ind w:left="1139" w:hanging="252"/>
      </w:pPr>
      <w:rPr>
        <w:rFonts w:hint="default"/>
        <w:lang w:val="en-US" w:eastAsia="en-US" w:bidi="ar-SA"/>
      </w:rPr>
    </w:lvl>
    <w:lvl w:ilvl="3" w:tplc="8646A2D4">
      <w:numFmt w:val="bullet"/>
      <w:lvlText w:val="•"/>
      <w:lvlJc w:val="left"/>
      <w:pPr>
        <w:ind w:left="1528" w:hanging="252"/>
      </w:pPr>
      <w:rPr>
        <w:rFonts w:hint="default"/>
        <w:lang w:val="en-US" w:eastAsia="en-US" w:bidi="ar-SA"/>
      </w:rPr>
    </w:lvl>
    <w:lvl w:ilvl="4" w:tplc="08785A0A">
      <w:numFmt w:val="bullet"/>
      <w:lvlText w:val="•"/>
      <w:lvlJc w:val="left"/>
      <w:pPr>
        <w:ind w:left="1918" w:hanging="252"/>
      </w:pPr>
      <w:rPr>
        <w:rFonts w:hint="default"/>
        <w:lang w:val="en-US" w:eastAsia="en-US" w:bidi="ar-SA"/>
      </w:rPr>
    </w:lvl>
    <w:lvl w:ilvl="5" w:tplc="BA0E5176">
      <w:numFmt w:val="bullet"/>
      <w:lvlText w:val="•"/>
      <w:lvlJc w:val="left"/>
      <w:pPr>
        <w:ind w:left="2307" w:hanging="252"/>
      </w:pPr>
      <w:rPr>
        <w:rFonts w:hint="default"/>
        <w:lang w:val="en-US" w:eastAsia="en-US" w:bidi="ar-SA"/>
      </w:rPr>
    </w:lvl>
    <w:lvl w:ilvl="6" w:tplc="96F853B8">
      <w:numFmt w:val="bullet"/>
      <w:lvlText w:val="•"/>
      <w:lvlJc w:val="left"/>
      <w:pPr>
        <w:ind w:left="2697" w:hanging="252"/>
      </w:pPr>
      <w:rPr>
        <w:rFonts w:hint="default"/>
        <w:lang w:val="en-US" w:eastAsia="en-US" w:bidi="ar-SA"/>
      </w:rPr>
    </w:lvl>
    <w:lvl w:ilvl="7" w:tplc="0B10B62A">
      <w:numFmt w:val="bullet"/>
      <w:lvlText w:val="•"/>
      <w:lvlJc w:val="left"/>
      <w:pPr>
        <w:ind w:left="3086" w:hanging="252"/>
      </w:pPr>
      <w:rPr>
        <w:rFonts w:hint="default"/>
        <w:lang w:val="en-US" w:eastAsia="en-US" w:bidi="ar-SA"/>
      </w:rPr>
    </w:lvl>
    <w:lvl w:ilvl="8" w:tplc="FB080D4C">
      <w:numFmt w:val="bullet"/>
      <w:lvlText w:val="•"/>
      <w:lvlJc w:val="left"/>
      <w:pPr>
        <w:ind w:left="3476" w:hanging="252"/>
      </w:pPr>
      <w:rPr>
        <w:rFonts w:hint="default"/>
        <w:lang w:val="en-US" w:eastAsia="en-US" w:bidi="ar-SA"/>
      </w:rPr>
    </w:lvl>
  </w:abstractNum>
  <w:abstractNum w:abstractNumId="26" w15:restartNumberingAfterBreak="0">
    <w:nsid w:val="212952D8"/>
    <w:multiLevelType w:val="hybridMultilevel"/>
    <w:tmpl w:val="E594DC50"/>
    <w:lvl w:ilvl="0" w:tplc="7E0065CC">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E2F0CD10">
      <w:numFmt w:val="bullet"/>
      <w:lvlText w:val="•"/>
      <w:lvlJc w:val="left"/>
      <w:pPr>
        <w:ind w:left="749" w:hanging="252"/>
      </w:pPr>
      <w:rPr>
        <w:rFonts w:hint="default"/>
        <w:lang w:val="en-US" w:eastAsia="en-US" w:bidi="ar-SA"/>
      </w:rPr>
    </w:lvl>
    <w:lvl w:ilvl="2" w:tplc="54E2F4BC">
      <w:numFmt w:val="bullet"/>
      <w:lvlText w:val="•"/>
      <w:lvlJc w:val="left"/>
      <w:pPr>
        <w:ind w:left="1139" w:hanging="252"/>
      </w:pPr>
      <w:rPr>
        <w:rFonts w:hint="default"/>
        <w:lang w:val="en-US" w:eastAsia="en-US" w:bidi="ar-SA"/>
      </w:rPr>
    </w:lvl>
    <w:lvl w:ilvl="3" w:tplc="92E85BB8">
      <w:numFmt w:val="bullet"/>
      <w:lvlText w:val="•"/>
      <w:lvlJc w:val="left"/>
      <w:pPr>
        <w:ind w:left="1528" w:hanging="252"/>
      </w:pPr>
      <w:rPr>
        <w:rFonts w:hint="default"/>
        <w:lang w:val="en-US" w:eastAsia="en-US" w:bidi="ar-SA"/>
      </w:rPr>
    </w:lvl>
    <w:lvl w:ilvl="4" w:tplc="2E12D9FE">
      <w:numFmt w:val="bullet"/>
      <w:lvlText w:val="•"/>
      <w:lvlJc w:val="left"/>
      <w:pPr>
        <w:ind w:left="1918" w:hanging="252"/>
      </w:pPr>
      <w:rPr>
        <w:rFonts w:hint="default"/>
        <w:lang w:val="en-US" w:eastAsia="en-US" w:bidi="ar-SA"/>
      </w:rPr>
    </w:lvl>
    <w:lvl w:ilvl="5" w:tplc="90C44BC4">
      <w:numFmt w:val="bullet"/>
      <w:lvlText w:val="•"/>
      <w:lvlJc w:val="left"/>
      <w:pPr>
        <w:ind w:left="2307" w:hanging="252"/>
      </w:pPr>
      <w:rPr>
        <w:rFonts w:hint="default"/>
        <w:lang w:val="en-US" w:eastAsia="en-US" w:bidi="ar-SA"/>
      </w:rPr>
    </w:lvl>
    <w:lvl w:ilvl="6" w:tplc="179CFED2">
      <w:numFmt w:val="bullet"/>
      <w:lvlText w:val="•"/>
      <w:lvlJc w:val="left"/>
      <w:pPr>
        <w:ind w:left="2697" w:hanging="252"/>
      </w:pPr>
      <w:rPr>
        <w:rFonts w:hint="default"/>
        <w:lang w:val="en-US" w:eastAsia="en-US" w:bidi="ar-SA"/>
      </w:rPr>
    </w:lvl>
    <w:lvl w:ilvl="7" w:tplc="8D685240">
      <w:numFmt w:val="bullet"/>
      <w:lvlText w:val="•"/>
      <w:lvlJc w:val="left"/>
      <w:pPr>
        <w:ind w:left="3086" w:hanging="252"/>
      </w:pPr>
      <w:rPr>
        <w:rFonts w:hint="default"/>
        <w:lang w:val="en-US" w:eastAsia="en-US" w:bidi="ar-SA"/>
      </w:rPr>
    </w:lvl>
    <w:lvl w:ilvl="8" w:tplc="B6463BD4">
      <w:numFmt w:val="bullet"/>
      <w:lvlText w:val="•"/>
      <w:lvlJc w:val="left"/>
      <w:pPr>
        <w:ind w:left="3476" w:hanging="252"/>
      </w:pPr>
      <w:rPr>
        <w:rFonts w:hint="default"/>
        <w:lang w:val="en-US" w:eastAsia="en-US" w:bidi="ar-SA"/>
      </w:rPr>
    </w:lvl>
  </w:abstractNum>
  <w:abstractNum w:abstractNumId="27" w15:restartNumberingAfterBreak="0">
    <w:nsid w:val="216B4C73"/>
    <w:multiLevelType w:val="multilevel"/>
    <w:tmpl w:val="20607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20D0385"/>
    <w:multiLevelType w:val="hybridMultilevel"/>
    <w:tmpl w:val="86CEEC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659696A"/>
    <w:multiLevelType w:val="hybridMultilevel"/>
    <w:tmpl w:val="8D8EED2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2873076F"/>
    <w:multiLevelType w:val="hybridMultilevel"/>
    <w:tmpl w:val="9AF65502"/>
    <w:lvl w:ilvl="0" w:tplc="862CAAA4">
      <w:start w:val="1"/>
      <w:numFmt w:val="bullet"/>
      <w:lvlText w:val=""/>
      <w:lvlJc w:val="left"/>
      <w:pPr>
        <w:ind w:left="720" w:hanging="360"/>
      </w:pPr>
      <w:rPr>
        <w:rFonts w:ascii="Symbol" w:hAnsi="Symbol"/>
      </w:rPr>
    </w:lvl>
    <w:lvl w:ilvl="1" w:tplc="F27CFF7C">
      <w:start w:val="1"/>
      <w:numFmt w:val="bullet"/>
      <w:lvlText w:val=""/>
      <w:lvlJc w:val="left"/>
      <w:pPr>
        <w:ind w:left="720" w:hanging="360"/>
      </w:pPr>
      <w:rPr>
        <w:rFonts w:ascii="Symbol" w:hAnsi="Symbol"/>
      </w:rPr>
    </w:lvl>
    <w:lvl w:ilvl="2" w:tplc="E6725AEA">
      <w:start w:val="1"/>
      <w:numFmt w:val="bullet"/>
      <w:lvlText w:val=""/>
      <w:lvlJc w:val="left"/>
      <w:pPr>
        <w:ind w:left="720" w:hanging="360"/>
      </w:pPr>
      <w:rPr>
        <w:rFonts w:ascii="Symbol" w:hAnsi="Symbol"/>
      </w:rPr>
    </w:lvl>
    <w:lvl w:ilvl="3" w:tplc="5EDC86F2">
      <w:start w:val="1"/>
      <w:numFmt w:val="bullet"/>
      <w:lvlText w:val=""/>
      <w:lvlJc w:val="left"/>
      <w:pPr>
        <w:ind w:left="720" w:hanging="360"/>
      </w:pPr>
      <w:rPr>
        <w:rFonts w:ascii="Symbol" w:hAnsi="Symbol"/>
      </w:rPr>
    </w:lvl>
    <w:lvl w:ilvl="4" w:tplc="5660096A">
      <w:start w:val="1"/>
      <w:numFmt w:val="bullet"/>
      <w:lvlText w:val=""/>
      <w:lvlJc w:val="left"/>
      <w:pPr>
        <w:ind w:left="720" w:hanging="360"/>
      </w:pPr>
      <w:rPr>
        <w:rFonts w:ascii="Symbol" w:hAnsi="Symbol"/>
      </w:rPr>
    </w:lvl>
    <w:lvl w:ilvl="5" w:tplc="9128458C">
      <w:start w:val="1"/>
      <w:numFmt w:val="bullet"/>
      <w:lvlText w:val=""/>
      <w:lvlJc w:val="left"/>
      <w:pPr>
        <w:ind w:left="720" w:hanging="360"/>
      </w:pPr>
      <w:rPr>
        <w:rFonts w:ascii="Symbol" w:hAnsi="Symbol"/>
      </w:rPr>
    </w:lvl>
    <w:lvl w:ilvl="6" w:tplc="A1B41284">
      <w:start w:val="1"/>
      <w:numFmt w:val="bullet"/>
      <w:lvlText w:val=""/>
      <w:lvlJc w:val="left"/>
      <w:pPr>
        <w:ind w:left="720" w:hanging="360"/>
      </w:pPr>
      <w:rPr>
        <w:rFonts w:ascii="Symbol" w:hAnsi="Symbol"/>
      </w:rPr>
    </w:lvl>
    <w:lvl w:ilvl="7" w:tplc="D464A954">
      <w:start w:val="1"/>
      <w:numFmt w:val="bullet"/>
      <w:lvlText w:val=""/>
      <w:lvlJc w:val="left"/>
      <w:pPr>
        <w:ind w:left="720" w:hanging="360"/>
      </w:pPr>
      <w:rPr>
        <w:rFonts w:ascii="Symbol" w:hAnsi="Symbol"/>
      </w:rPr>
    </w:lvl>
    <w:lvl w:ilvl="8" w:tplc="712062CE">
      <w:start w:val="1"/>
      <w:numFmt w:val="bullet"/>
      <w:lvlText w:val=""/>
      <w:lvlJc w:val="left"/>
      <w:pPr>
        <w:ind w:left="720" w:hanging="360"/>
      </w:pPr>
      <w:rPr>
        <w:rFonts w:ascii="Symbol" w:hAnsi="Symbol"/>
      </w:rPr>
    </w:lvl>
  </w:abstractNum>
  <w:abstractNum w:abstractNumId="31" w15:restartNumberingAfterBreak="0">
    <w:nsid w:val="29F5462D"/>
    <w:multiLevelType w:val="hybridMultilevel"/>
    <w:tmpl w:val="ED9E54DE"/>
    <w:lvl w:ilvl="0" w:tplc="3F8EBA9C">
      <w:start w:val="1"/>
      <w:numFmt w:val="bullet"/>
      <w:lvlText w:val=""/>
      <w:lvlJc w:val="left"/>
      <w:pPr>
        <w:ind w:left="720" w:hanging="360"/>
      </w:pPr>
      <w:rPr>
        <w:rFonts w:ascii="Symbol" w:hAnsi="Symbol"/>
      </w:rPr>
    </w:lvl>
    <w:lvl w:ilvl="1" w:tplc="ABDCB346">
      <w:start w:val="1"/>
      <w:numFmt w:val="bullet"/>
      <w:lvlText w:val=""/>
      <w:lvlJc w:val="left"/>
      <w:pPr>
        <w:ind w:left="720" w:hanging="360"/>
      </w:pPr>
      <w:rPr>
        <w:rFonts w:ascii="Symbol" w:hAnsi="Symbol"/>
      </w:rPr>
    </w:lvl>
    <w:lvl w:ilvl="2" w:tplc="FAC064B4">
      <w:start w:val="1"/>
      <w:numFmt w:val="bullet"/>
      <w:lvlText w:val=""/>
      <w:lvlJc w:val="left"/>
      <w:pPr>
        <w:ind w:left="720" w:hanging="360"/>
      </w:pPr>
      <w:rPr>
        <w:rFonts w:ascii="Symbol" w:hAnsi="Symbol"/>
      </w:rPr>
    </w:lvl>
    <w:lvl w:ilvl="3" w:tplc="E6480304">
      <w:start w:val="1"/>
      <w:numFmt w:val="bullet"/>
      <w:lvlText w:val=""/>
      <w:lvlJc w:val="left"/>
      <w:pPr>
        <w:ind w:left="720" w:hanging="360"/>
      </w:pPr>
      <w:rPr>
        <w:rFonts w:ascii="Symbol" w:hAnsi="Symbol"/>
      </w:rPr>
    </w:lvl>
    <w:lvl w:ilvl="4" w:tplc="FBB025EE">
      <w:start w:val="1"/>
      <w:numFmt w:val="bullet"/>
      <w:lvlText w:val=""/>
      <w:lvlJc w:val="left"/>
      <w:pPr>
        <w:ind w:left="720" w:hanging="360"/>
      </w:pPr>
      <w:rPr>
        <w:rFonts w:ascii="Symbol" w:hAnsi="Symbol"/>
      </w:rPr>
    </w:lvl>
    <w:lvl w:ilvl="5" w:tplc="80CE025A">
      <w:start w:val="1"/>
      <w:numFmt w:val="bullet"/>
      <w:lvlText w:val=""/>
      <w:lvlJc w:val="left"/>
      <w:pPr>
        <w:ind w:left="720" w:hanging="360"/>
      </w:pPr>
      <w:rPr>
        <w:rFonts w:ascii="Symbol" w:hAnsi="Symbol"/>
      </w:rPr>
    </w:lvl>
    <w:lvl w:ilvl="6" w:tplc="9796E87A">
      <w:start w:val="1"/>
      <w:numFmt w:val="bullet"/>
      <w:lvlText w:val=""/>
      <w:lvlJc w:val="left"/>
      <w:pPr>
        <w:ind w:left="720" w:hanging="360"/>
      </w:pPr>
      <w:rPr>
        <w:rFonts w:ascii="Symbol" w:hAnsi="Symbol"/>
      </w:rPr>
    </w:lvl>
    <w:lvl w:ilvl="7" w:tplc="39444922">
      <w:start w:val="1"/>
      <w:numFmt w:val="bullet"/>
      <w:lvlText w:val=""/>
      <w:lvlJc w:val="left"/>
      <w:pPr>
        <w:ind w:left="720" w:hanging="360"/>
      </w:pPr>
      <w:rPr>
        <w:rFonts w:ascii="Symbol" w:hAnsi="Symbol"/>
      </w:rPr>
    </w:lvl>
    <w:lvl w:ilvl="8" w:tplc="ED4C3D4E">
      <w:start w:val="1"/>
      <w:numFmt w:val="bullet"/>
      <w:lvlText w:val=""/>
      <w:lvlJc w:val="left"/>
      <w:pPr>
        <w:ind w:left="720" w:hanging="360"/>
      </w:pPr>
      <w:rPr>
        <w:rFonts w:ascii="Symbol" w:hAnsi="Symbol"/>
      </w:rPr>
    </w:lvl>
  </w:abstractNum>
  <w:abstractNum w:abstractNumId="32" w15:restartNumberingAfterBreak="0">
    <w:nsid w:val="2AD746C1"/>
    <w:multiLevelType w:val="hybridMultilevel"/>
    <w:tmpl w:val="5EF69B66"/>
    <w:lvl w:ilvl="0" w:tplc="13423752">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A81477BC">
      <w:numFmt w:val="bullet"/>
      <w:lvlText w:val="•"/>
      <w:lvlJc w:val="left"/>
      <w:pPr>
        <w:ind w:left="749" w:hanging="252"/>
      </w:pPr>
      <w:rPr>
        <w:rFonts w:hint="default"/>
        <w:lang w:val="en-US" w:eastAsia="en-US" w:bidi="ar-SA"/>
      </w:rPr>
    </w:lvl>
    <w:lvl w:ilvl="2" w:tplc="C520F712">
      <w:numFmt w:val="bullet"/>
      <w:lvlText w:val="•"/>
      <w:lvlJc w:val="left"/>
      <w:pPr>
        <w:ind w:left="1139" w:hanging="252"/>
      </w:pPr>
      <w:rPr>
        <w:rFonts w:hint="default"/>
        <w:lang w:val="en-US" w:eastAsia="en-US" w:bidi="ar-SA"/>
      </w:rPr>
    </w:lvl>
    <w:lvl w:ilvl="3" w:tplc="2D4AF906">
      <w:numFmt w:val="bullet"/>
      <w:lvlText w:val="•"/>
      <w:lvlJc w:val="left"/>
      <w:pPr>
        <w:ind w:left="1528" w:hanging="252"/>
      </w:pPr>
      <w:rPr>
        <w:rFonts w:hint="default"/>
        <w:lang w:val="en-US" w:eastAsia="en-US" w:bidi="ar-SA"/>
      </w:rPr>
    </w:lvl>
    <w:lvl w:ilvl="4" w:tplc="F5A45100">
      <w:numFmt w:val="bullet"/>
      <w:lvlText w:val="•"/>
      <w:lvlJc w:val="left"/>
      <w:pPr>
        <w:ind w:left="1918" w:hanging="252"/>
      </w:pPr>
      <w:rPr>
        <w:rFonts w:hint="default"/>
        <w:lang w:val="en-US" w:eastAsia="en-US" w:bidi="ar-SA"/>
      </w:rPr>
    </w:lvl>
    <w:lvl w:ilvl="5" w:tplc="F606D71E">
      <w:numFmt w:val="bullet"/>
      <w:lvlText w:val="•"/>
      <w:lvlJc w:val="left"/>
      <w:pPr>
        <w:ind w:left="2307" w:hanging="252"/>
      </w:pPr>
      <w:rPr>
        <w:rFonts w:hint="default"/>
        <w:lang w:val="en-US" w:eastAsia="en-US" w:bidi="ar-SA"/>
      </w:rPr>
    </w:lvl>
    <w:lvl w:ilvl="6" w:tplc="5ADC355C">
      <w:numFmt w:val="bullet"/>
      <w:lvlText w:val="•"/>
      <w:lvlJc w:val="left"/>
      <w:pPr>
        <w:ind w:left="2697" w:hanging="252"/>
      </w:pPr>
      <w:rPr>
        <w:rFonts w:hint="default"/>
        <w:lang w:val="en-US" w:eastAsia="en-US" w:bidi="ar-SA"/>
      </w:rPr>
    </w:lvl>
    <w:lvl w:ilvl="7" w:tplc="5B94BC4E">
      <w:numFmt w:val="bullet"/>
      <w:lvlText w:val="•"/>
      <w:lvlJc w:val="left"/>
      <w:pPr>
        <w:ind w:left="3086" w:hanging="252"/>
      </w:pPr>
      <w:rPr>
        <w:rFonts w:hint="default"/>
        <w:lang w:val="en-US" w:eastAsia="en-US" w:bidi="ar-SA"/>
      </w:rPr>
    </w:lvl>
    <w:lvl w:ilvl="8" w:tplc="A2BEFAB2">
      <w:numFmt w:val="bullet"/>
      <w:lvlText w:val="•"/>
      <w:lvlJc w:val="left"/>
      <w:pPr>
        <w:ind w:left="3476" w:hanging="252"/>
      </w:pPr>
      <w:rPr>
        <w:rFonts w:hint="default"/>
        <w:lang w:val="en-US" w:eastAsia="en-US" w:bidi="ar-SA"/>
      </w:rPr>
    </w:lvl>
  </w:abstractNum>
  <w:abstractNum w:abstractNumId="33" w15:restartNumberingAfterBreak="0">
    <w:nsid w:val="2B075524"/>
    <w:multiLevelType w:val="hybridMultilevel"/>
    <w:tmpl w:val="24FEA9C8"/>
    <w:lvl w:ilvl="0" w:tplc="0C686B92">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4FDCF9A8">
      <w:numFmt w:val="bullet"/>
      <w:lvlText w:val="•"/>
      <w:lvlJc w:val="left"/>
      <w:pPr>
        <w:ind w:left="749" w:hanging="252"/>
      </w:pPr>
      <w:rPr>
        <w:rFonts w:hint="default"/>
        <w:lang w:val="en-US" w:eastAsia="en-US" w:bidi="ar-SA"/>
      </w:rPr>
    </w:lvl>
    <w:lvl w:ilvl="2" w:tplc="2CC882A0">
      <w:numFmt w:val="bullet"/>
      <w:lvlText w:val="•"/>
      <w:lvlJc w:val="left"/>
      <w:pPr>
        <w:ind w:left="1139" w:hanging="252"/>
      </w:pPr>
      <w:rPr>
        <w:rFonts w:hint="default"/>
        <w:lang w:val="en-US" w:eastAsia="en-US" w:bidi="ar-SA"/>
      </w:rPr>
    </w:lvl>
    <w:lvl w:ilvl="3" w:tplc="9872E788">
      <w:numFmt w:val="bullet"/>
      <w:lvlText w:val="•"/>
      <w:lvlJc w:val="left"/>
      <w:pPr>
        <w:ind w:left="1528" w:hanging="252"/>
      </w:pPr>
      <w:rPr>
        <w:rFonts w:hint="default"/>
        <w:lang w:val="en-US" w:eastAsia="en-US" w:bidi="ar-SA"/>
      </w:rPr>
    </w:lvl>
    <w:lvl w:ilvl="4" w:tplc="CF300974">
      <w:numFmt w:val="bullet"/>
      <w:lvlText w:val="•"/>
      <w:lvlJc w:val="left"/>
      <w:pPr>
        <w:ind w:left="1918" w:hanging="252"/>
      </w:pPr>
      <w:rPr>
        <w:rFonts w:hint="default"/>
        <w:lang w:val="en-US" w:eastAsia="en-US" w:bidi="ar-SA"/>
      </w:rPr>
    </w:lvl>
    <w:lvl w:ilvl="5" w:tplc="1E5ACDEE">
      <w:numFmt w:val="bullet"/>
      <w:lvlText w:val="•"/>
      <w:lvlJc w:val="left"/>
      <w:pPr>
        <w:ind w:left="2307" w:hanging="252"/>
      </w:pPr>
      <w:rPr>
        <w:rFonts w:hint="default"/>
        <w:lang w:val="en-US" w:eastAsia="en-US" w:bidi="ar-SA"/>
      </w:rPr>
    </w:lvl>
    <w:lvl w:ilvl="6" w:tplc="ADC292B4">
      <w:numFmt w:val="bullet"/>
      <w:lvlText w:val="•"/>
      <w:lvlJc w:val="left"/>
      <w:pPr>
        <w:ind w:left="2697" w:hanging="252"/>
      </w:pPr>
      <w:rPr>
        <w:rFonts w:hint="default"/>
        <w:lang w:val="en-US" w:eastAsia="en-US" w:bidi="ar-SA"/>
      </w:rPr>
    </w:lvl>
    <w:lvl w:ilvl="7" w:tplc="7DE2B000">
      <w:numFmt w:val="bullet"/>
      <w:lvlText w:val="•"/>
      <w:lvlJc w:val="left"/>
      <w:pPr>
        <w:ind w:left="3086" w:hanging="252"/>
      </w:pPr>
      <w:rPr>
        <w:rFonts w:hint="default"/>
        <w:lang w:val="en-US" w:eastAsia="en-US" w:bidi="ar-SA"/>
      </w:rPr>
    </w:lvl>
    <w:lvl w:ilvl="8" w:tplc="5E44C0CC">
      <w:numFmt w:val="bullet"/>
      <w:lvlText w:val="•"/>
      <w:lvlJc w:val="left"/>
      <w:pPr>
        <w:ind w:left="3476" w:hanging="252"/>
      </w:pPr>
      <w:rPr>
        <w:rFonts w:hint="default"/>
        <w:lang w:val="en-US" w:eastAsia="en-US" w:bidi="ar-SA"/>
      </w:rPr>
    </w:lvl>
  </w:abstractNum>
  <w:abstractNum w:abstractNumId="34" w15:restartNumberingAfterBreak="0">
    <w:nsid w:val="2E3437B5"/>
    <w:multiLevelType w:val="hybridMultilevel"/>
    <w:tmpl w:val="CDAE117A"/>
    <w:lvl w:ilvl="0" w:tplc="FB08E96E">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B80422FC">
      <w:numFmt w:val="bullet"/>
      <w:lvlText w:val="•"/>
      <w:lvlJc w:val="left"/>
      <w:pPr>
        <w:ind w:left="749" w:hanging="252"/>
      </w:pPr>
      <w:rPr>
        <w:rFonts w:hint="default"/>
        <w:lang w:val="en-US" w:eastAsia="en-US" w:bidi="ar-SA"/>
      </w:rPr>
    </w:lvl>
    <w:lvl w:ilvl="2" w:tplc="65A6FDB4">
      <w:numFmt w:val="bullet"/>
      <w:lvlText w:val="•"/>
      <w:lvlJc w:val="left"/>
      <w:pPr>
        <w:ind w:left="1139" w:hanging="252"/>
      </w:pPr>
      <w:rPr>
        <w:rFonts w:hint="default"/>
        <w:lang w:val="en-US" w:eastAsia="en-US" w:bidi="ar-SA"/>
      </w:rPr>
    </w:lvl>
    <w:lvl w:ilvl="3" w:tplc="A45A9748">
      <w:numFmt w:val="bullet"/>
      <w:lvlText w:val="•"/>
      <w:lvlJc w:val="left"/>
      <w:pPr>
        <w:ind w:left="1528" w:hanging="252"/>
      </w:pPr>
      <w:rPr>
        <w:rFonts w:hint="default"/>
        <w:lang w:val="en-US" w:eastAsia="en-US" w:bidi="ar-SA"/>
      </w:rPr>
    </w:lvl>
    <w:lvl w:ilvl="4" w:tplc="2100738E">
      <w:numFmt w:val="bullet"/>
      <w:lvlText w:val="•"/>
      <w:lvlJc w:val="left"/>
      <w:pPr>
        <w:ind w:left="1918" w:hanging="252"/>
      </w:pPr>
      <w:rPr>
        <w:rFonts w:hint="default"/>
        <w:lang w:val="en-US" w:eastAsia="en-US" w:bidi="ar-SA"/>
      </w:rPr>
    </w:lvl>
    <w:lvl w:ilvl="5" w:tplc="842E7FD2">
      <w:numFmt w:val="bullet"/>
      <w:lvlText w:val="•"/>
      <w:lvlJc w:val="left"/>
      <w:pPr>
        <w:ind w:left="2307" w:hanging="252"/>
      </w:pPr>
      <w:rPr>
        <w:rFonts w:hint="default"/>
        <w:lang w:val="en-US" w:eastAsia="en-US" w:bidi="ar-SA"/>
      </w:rPr>
    </w:lvl>
    <w:lvl w:ilvl="6" w:tplc="33B86CFE">
      <w:numFmt w:val="bullet"/>
      <w:lvlText w:val="•"/>
      <w:lvlJc w:val="left"/>
      <w:pPr>
        <w:ind w:left="2697" w:hanging="252"/>
      </w:pPr>
      <w:rPr>
        <w:rFonts w:hint="default"/>
        <w:lang w:val="en-US" w:eastAsia="en-US" w:bidi="ar-SA"/>
      </w:rPr>
    </w:lvl>
    <w:lvl w:ilvl="7" w:tplc="B8A2BFB6">
      <w:numFmt w:val="bullet"/>
      <w:lvlText w:val="•"/>
      <w:lvlJc w:val="left"/>
      <w:pPr>
        <w:ind w:left="3086" w:hanging="252"/>
      </w:pPr>
      <w:rPr>
        <w:rFonts w:hint="default"/>
        <w:lang w:val="en-US" w:eastAsia="en-US" w:bidi="ar-SA"/>
      </w:rPr>
    </w:lvl>
    <w:lvl w:ilvl="8" w:tplc="2FAC6234">
      <w:numFmt w:val="bullet"/>
      <w:lvlText w:val="•"/>
      <w:lvlJc w:val="left"/>
      <w:pPr>
        <w:ind w:left="3476" w:hanging="252"/>
      </w:pPr>
      <w:rPr>
        <w:rFonts w:hint="default"/>
        <w:lang w:val="en-US" w:eastAsia="en-US" w:bidi="ar-SA"/>
      </w:rPr>
    </w:lvl>
  </w:abstractNum>
  <w:abstractNum w:abstractNumId="35" w15:restartNumberingAfterBreak="0">
    <w:nsid w:val="2F003CEF"/>
    <w:multiLevelType w:val="multilevel"/>
    <w:tmpl w:val="99C48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0434751"/>
    <w:multiLevelType w:val="hybridMultilevel"/>
    <w:tmpl w:val="838E886C"/>
    <w:lvl w:ilvl="0" w:tplc="06042924">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BC80EE32">
      <w:numFmt w:val="bullet"/>
      <w:lvlText w:val="•"/>
      <w:lvlJc w:val="left"/>
      <w:pPr>
        <w:ind w:left="749" w:hanging="252"/>
      </w:pPr>
      <w:rPr>
        <w:rFonts w:hint="default"/>
        <w:lang w:val="en-US" w:eastAsia="en-US" w:bidi="ar-SA"/>
      </w:rPr>
    </w:lvl>
    <w:lvl w:ilvl="2" w:tplc="BC94EF1A">
      <w:numFmt w:val="bullet"/>
      <w:lvlText w:val="•"/>
      <w:lvlJc w:val="left"/>
      <w:pPr>
        <w:ind w:left="1139" w:hanging="252"/>
      </w:pPr>
      <w:rPr>
        <w:rFonts w:hint="default"/>
        <w:lang w:val="en-US" w:eastAsia="en-US" w:bidi="ar-SA"/>
      </w:rPr>
    </w:lvl>
    <w:lvl w:ilvl="3" w:tplc="6B365AEE">
      <w:numFmt w:val="bullet"/>
      <w:lvlText w:val="•"/>
      <w:lvlJc w:val="left"/>
      <w:pPr>
        <w:ind w:left="1528" w:hanging="252"/>
      </w:pPr>
      <w:rPr>
        <w:rFonts w:hint="default"/>
        <w:lang w:val="en-US" w:eastAsia="en-US" w:bidi="ar-SA"/>
      </w:rPr>
    </w:lvl>
    <w:lvl w:ilvl="4" w:tplc="B846D868">
      <w:numFmt w:val="bullet"/>
      <w:lvlText w:val="•"/>
      <w:lvlJc w:val="left"/>
      <w:pPr>
        <w:ind w:left="1918" w:hanging="252"/>
      </w:pPr>
      <w:rPr>
        <w:rFonts w:hint="default"/>
        <w:lang w:val="en-US" w:eastAsia="en-US" w:bidi="ar-SA"/>
      </w:rPr>
    </w:lvl>
    <w:lvl w:ilvl="5" w:tplc="C0DA01C8">
      <w:numFmt w:val="bullet"/>
      <w:lvlText w:val="•"/>
      <w:lvlJc w:val="left"/>
      <w:pPr>
        <w:ind w:left="2307" w:hanging="252"/>
      </w:pPr>
      <w:rPr>
        <w:rFonts w:hint="default"/>
        <w:lang w:val="en-US" w:eastAsia="en-US" w:bidi="ar-SA"/>
      </w:rPr>
    </w:lvl>
    <w:lvl w:ilvl="6" w:tplc="A27CF66A">
      <w:numFmt w:val="bullet"/>
      <w:lvlText w:val="•"/>
      <w:lvlJc w:val="left"/>
      <w:pPr>
        <w:ind w:left="2697" w:hanging="252"/>
      </w:pPr>
      <w:rPr>
        <w:rFonts w:hint="default"/>
        <w:lang w:val="en-US" w:eastAsia="en-US" w:bidi="ar-SA"/>
      </w:rPr>
    </w:lvl>
    <w:lvl w:ilvl="7" w:tplc="E8DCC55C">
      <w:numFmt w:val="bullet"/>
      <w:lvlText w:val="•"/>
      <w:lvlJc w:val="left"/>
      <w:pPr>
        <w:ind w:left="3086" w:hanging="252"/>
      </w:pPr>
      <w:rPr>
        <w:rFonts w:hint="default"/>
        <w:lang w:val="en-US" w:eastAsia="en-US" w:bidi="ar-SA"/>
      </w:rPr>
    </w:lvl>
    <w:lvl w:ilvl="8" w:tplc="E6AA8630">
      <w:numFmt w:val="bullet"/>
      <w:lvlText w:val="•"/>
      <w:lvlJc w:val="left"/>
      <w:pPr>
        <w:ind w:left="3476" w:hanging="252"/>
      </w:pPr>
      <w:rPr>
        <w:rFonts w:hint="default"/>
        <w:lang w:val="en-US" w:eastAsia="en-US" w:bidi="ar-SA"/>
      </w:rPr>
    </w:lvl>
  </w:abstractNum>
  <w:abstractNum w:abstractNumId="37" w15:restartNumberingAfterBreak="0">
    <w:nsid w:val="31D879C0"/>
    <w:multiLevelType w:val="hybridMultilevel"/>
    <w:tmpl w:val="1388A2A8"/>
    <w:lvl w:ilvl="0" w:tplc="BA8038C0">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9CF4BCD8">
      <w:numFmt w:val="bullet"/>
      <w:lvlText w:val="•"/>
      <w:lvlJc w:val="left"/>
      <w:pPr>
        <w:ind w:left="749" w:hanging="252"/>
      </w:pPr>
      <w:rPr>
        <w:rFonts w:hint="default"/>
        <w:lang w:val="en-US" w:eastAsia="en-US" w:bidi="ar-SA"/>
      </w:rPr>
    </w:lvl>
    <w:lvl w:ilvl="2" w:tplc="4E7A13B4">
      <w:numFmt w:val="bullet"/>
      <w:lvlText w:val="•"/>
      <w:lvlJc w:val="left"/>
      <w:pPr>
        <w:ind w:left="1139" w:hanging="252"/>
      </w:pPr>
      <w:rPr>
        <w:rFonts w:hint="default"/>
        <w:lang w:val="en-US" w:eastAsia="en-US" w:bidi="ar-SA"/>
      </w:rPr>
    </w:lvl>
    <w:lvl w:ilvl="3" w:tplc="2A9AE04E">
      <w:numFmt w:val="bullet"/>
      <w:lvlText w:val="•"/>
      <w:lvlJc w:val="left"/>
      <w:pPr>
        <w:ind w:left="1528" w:hanging="252"/>
      </w:pPr>
      <w:rPr>
        <w:rFonts w:hint="default"/>
        <w:lang w:val="en-US" w:eastAsia="en-US" w:bidi="ar-SA"/>
      </w:rPr>
    </w:lvl>
    <w:lvl w:ilvl="4" w:tplc="9D288E60">
      <w:numFmt w:val="bullet"/>
      <w:lvlText w:val="•"/>
      <w:lvlJc w:val="left"/>
      <w:pPr>
        <w:ind w:left="1918" w:hanging="252"/>
      </w:pPr>
      <w:rPr>
        <w:rFonts w:hint="default"/>
        <w:lang w:val="en-US" w:eastAsia="en-US" w:bidi="ar-SA"/>
      </w:rPr>
    </w:lvl>
    <w:lvl w:ilvl="5" w:tplc="8528F9AA">
      <w:numFmt w:val="bullet"/>
      <w:lvlText w:val="•"/>
      <w:lvlJc w:val="left"/>
      <w:pPr>
        <w:ind w:left="2307" w:hanging="252"/>
      </w:pPr>
      <w:rPr>
        <w:rFonts w:hint="default"/>
        <w:lang w:val="en-US" w:eastAsia="en-US" w:bidi="ar-SA"/>
      </w:rPr>
    </w:lvl>
    <w:lvl w:ilvl="6" w:tplc="7EDE8262">
      <w:numFmt w:val="bullet"/>
      <w:lvlText w:val="•"/>
      <w:lvlJc w:val="left"/>
      <w:pPr>
        <w:ind w:left="2697" w:hanging="252"/>
      </w:pPr>
      <w:rPr>
        <w:rFonts w:hint="default"/>
        <w:lang w:val="en-US" w:eastAsia="en-US" w:bidi="ar-SA"/>
      </w:rPr>
    </w:lvl>
    <w:lvl w:ilvl="7" w:tplc="84EA7498">
      <w:numFmt w:val="bullet"/>
      <w:lvlText w:val="•"/>
      <w:lvlJc w:val="left"/>
      <w:pPr>
        <w:ind w:left="3086" w:hanging="252"/>
      </w:pPr>
      <w:rPr>
        <w:rFonts w:hint="default"/>
        <w:lang w:val="en-US" w:eastAsia="en-US" w:bidi="ar-SA"/>
      </w:rPr>
    </w:lvl>
    <w:lvl w:ilvl="8" w:tplc="7B7CC3DE">
      <w:numFmt w:val="bullet"/>
      <w:lvlText w:val="•"/>
      <w:lvlJc w:val="left"/>
      <w:pPr>
        <w:ind w:left="3476" w:hanging="252"/>
      </w:pPr>
      <w:rPr>
        <w:rFonts w:hint="default"/>
        <w:lang w:val="en-US" w:eastAsia="en-US" w:bidi="ar-SA"/>
      </w:rPr>
    </w:lvl>
  </w:abstractNum>
  <w:abstractNum w:abstractNumId="38" w15:restartNumberingAfterBreak="0">
    <w:nsid w:val="31E0648F"/>
    <w:multiLevelType w:val="hybridMultilevel"/>
    <w:tmpl w:val="FFFFFFFF"/>
    <w:lvl w:ilvl="0" w:tplc="80388692">
      <w:start w:val="1"/>
      <w:numFmt w:val="bullet"/>
      <w:lvlText w:val="-"/>
      <w:lvlJc w:val="left"/>
      <w:pPr>
        <w:ind w:left="720" w:hanging="360"/>
      </w:pPr>
      <w:rPr>
        <w:rFonts w:ascii="Aptos" w:hAnsi="Aptos" w:hint="default"/>
      </w:rPr>
    </w:lvl>
    <w:lvl w:ilvl="1" w:tplc="327C3D4E">
      <w:start w:val="1"/>
      <w:numFmt w:val="bullet"/>
      <w:lvlText w:val="o"/>
      <w:lvlJc w:val="left"/>
      <w:pPr>
        <w:ind w:left="1440" w:hanging="360"/>
      </w:pPr>
      <w:rPr>
        <w:rFonts w:ascii="Courier New" w:hAnsi="Courier New" w:hint="default"/>
      </w:rPr>
    </w:lvl>
    <w:lvl w:ilvl="2" w:tplc="29142D08">
      <w:start w:val="1"/>
      <w:numFmt w:val="bullet"/>
      <w:lvlText w:val=""/>
      <w:lvlJc w:val="left"/>
      <w:pPr>
        <w:ind w:left="2160" w:hanging="360"/>
      </w:pPr>
      <w:rPr>
        <w:rFonts w:ascii="Wingdings" w:hAnsi="Wingdings" w:hint="default"/>
      </w:rPr>
    </w:lvl>
    <w:lvl w:ilvl="3" w:tplc="F022EB90">
      <w:start w:val="1"/>
      <w:numFmt w:val="bullet"/>
      <w:lvlText w:val=""/>
      <w:lvlJc w:val="left"/>
      <w:pPr>
        <w:ind w:left="2880" w:hanging="360"/>
      </w:pPr>
      <w:rPr>
        <w:rFonts w:ascii="Symbol" w:hAnsi="Symbol" w:hint="default"/>
      </w:rPr>
    </w:lvl>
    <w:lvl w:ilvl="4" w:tplc="B0320A56">
      <w:start w:val="1"/>
      <w:numFmt w:val="bullet"/>
      <w:lvlText w:val="o"/>
      <w:lvlJc w:val="left"/>
      <w:pPr>
        <w:ind w:left="3600" w:hanging="360"/>
      </w:pPr>
      <w:rPr>
        <w:rFonts w:ascii="Courier New" w:hAnsi="Courier New" w:hint="default"/>
      </w:rPr>
    </w:lvl>
    <w:lvl w:ilvl="5" w:tplc="03E60602">
      <w:start w:val="1"/>
      <w:numFmt w:val="bullet"/>
      <w:lvlText w:val=""/>
      <w:lvlJc w:val="left"/>
      <w:pPr>
        <w:ind w:left="4320" w:hanging="360"/>
      </w:pPr>
      <w:rPr>
        <w:rFonts w:ascii="Wingdings" w:hAnsi="Wingdings" w:hint="default"/>
      </w:rPr>
    </w:lvl>
    <w:lvl w:ilvl="6" w:tplc="D34824D6">
      <w:start w:val="1"/>
      <w:numFmt w:val="bullet"/>
      <w:lvlText w:val=""/>
      <w:lvlJc w:val="left"/>
      <w:pPr>
        <w:ind w:left="5040" w:hanging="360"/>
      </w:pPr>
      <w:rPr>
        <w:rFonts w:ascii="Symbol" w:hAnsi="Symbol" w:hint="default"/>
      </w:rPr>
    </w:lvl>
    <w:lvl w:ilvl="7" w:tplc="8AE610EE">
      <w:start w:val="1"/>
      <w:numFmt w:val="bullet"/>
      <w:lvlText w:val="o"/>
      <w:lvlJc w:val="left"/>
      <w:pPr>
        <w:ind w:left="5760" w:hanging="360"/>
      </w:pPr>
      <w:rPr>
        <w:rFonts w:ascii="Courier New" w:hAnsi="Courier New" w:hint="default"/>
      </w:rPr>
    </w:lvl>
    <w:lvl w:ilvl="8" w:tplc="D4F8E8C0">
      <w:start w:val="1"/>
      <w:numFmt w:val="bullet"/>
      <w:lvlText w:val=""/>
      <w:lvlJc w:val="left"/>
      <w:pPr>
        <w:ind w:left="6480" w:hanging="360"/>
      </w:pPr>
      <w:rPr>
        <w:rFonts w:ascii="Wingdings" w:hAnsi="Wingdings" w:hint="default"/>
      </w:rPr>
    </w:lvl>
  </w:abstractNum>
  <w:abstractNum w:abstractNumId="39" w15:restartNumberingAfterBreak="0">
    <w:nsid w:val="32C9028E"/>
    <w:multiLevelType w:val="hybridMultilevel"/>
    <w:tmpl w:val="598A741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 w15:restartNumberingAfterBreak="0">
    <w:nsid w:val="32D303B4"/>
    <w:multiLevelType w:val="hybridMultilevel"/>
    <w:tmpl w:val="925A29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34F13C78"/>
    <w:multiLevelType w:val="hybridMultilevel"/>
    <w:tmpl w:val="184EF0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350961D7"/>
    <w:multiLevelType w:val="hybridMultilevel"/>
    <w:tmpl w:val="6240B1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35635CA9"/>
    <w:multiLevelType w:val="multilevel"/>
    <w:tmpl w:val="01FA1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7D22A32"/>
    <w:multiLevelType w:val="hybridMultilevel"/>
    <w:tmpl w:val="0BAACB74"/>
    <w:lvl w:ilvl="0" w:tplc="0C090001">
      <w:start w:val="1"/>
      <w:numFmt w:val="bullet"/>
      <w:lvlText w:val=""/>
      <w:lvlJc w:val="left"/>
      <w:pPr>
        <w:ind w:left="6" w:hanging="360"/>
      </w:pPr>
      <w:rPr>
        <w:rFonts w:ascii="Symbol" w:hAnsi="Symbol" w:hint="default"/>
      </w:rPr>
    </w:lvl>
    <w:lvl w:ilvl="1" w:tplc="0C090003" w:tentative="1">
      <w:start w:val="1"/>
      <w:numFmt w:val="bullet"/>
      <w:lvlText w:val="o"/>
      <w:lvlJc w:val="left"/>
      <w:pPr>
        <w:ind w:left="726" w:hanging="360"/>
      </w:pPr>
      <w:rPr>
        <w:rFonts w:ascii="Courier New" w:hAnsi="Courier New" w:cs="Courier New" w:hint="default"/>
      </w:rPr>
    </w:lvl>
    <w:lvl w:ilvl="2" w:tplc="0C090005" w:tentative="1">
      <w:start w:val="1"/>
      <w:numFmt w:val="bullet"/>
      <w:lvlText w:val=""/>
      <w:lvlJc w:val="left"/>
      <w:pPr>
        <w:ind w:left="1446" w:hanging="360"/>
      </w:pPr>
      <w:rPr>
        <w:rFonts w:ascii="Wingdings" w:hAnsi="Wingdings" w:hint="default"/>
      </w:rPr>
    </w:lvl>
    <w:lvl w:ilvl="3" w:tplc="0C090001" w:tentative="1">
      <w:start w:val="1"/>
      <w:numFmt w:val="bullet"/>
      <w:lvlText w:val=""/>
      <w:lvlJc w:val="left"/>
      <w:pPr>
        <w:ind w:left="2166" w:hanging="360"/>
      </w:pPr>
      <w:rPr>
        <w:rFonts w:ascii="Symbol" w:hAnsi="Symbol" w:hint="default"/>
      </w:rPr>
    </w:lvl>
    <w:lvl w:ilvl="4" w:tplc="0C090003" w:tentative="1">
      <w:start w:val="1"/>
      <w:numFmt w:val="bullet"/>
      <w:lvlText w:val="o"/>
      <w:lvlJc w:val="left"/>
      <w:pPr>
        <w:ind w:left="2886" w:hanging="360"/>
      </w:pPr>
      <w:rPr>
        <w:rFonts w:ascii="Courier New" w:hAnsi="Courier New" w:cs="Courier New" w:hint="default"/>
      </w:rPr>
    </w:lvl>
    <w:lvl w:ilvl="5" w:tplc="0C090005" w:tentative="1">
      <w:start w:val="1"/>
      <w:numFmt w:val="bullet"/>
      <w:lvlText w:val=""/>
      <w:lvlJc w:val="left"/>
      <w:pPr>
        <w:ind w:left="3606" w:hanging="360"/>
      </w:pPr>
      <w:rPr>
        <w:rFonts w:ascii="Wingdings" w:hAnsi="Wingdings" w:hint="default"/>
      </w:rPr>
    </w:lvl>
    <w:lvl w:ilvl="6" w:tplc="0C090001" w:tentative="1">
      <w:start w:val="1"/>
      <w:numFmt w:val="bullet"/>
      <w:lvlText w:val=""/>
      <w:lvlJc w:val="left"/>
      <w:pPr>
        <w:ind w:left="4326" w:hanging="360"/>
      </w:pPr>
      <w:rPr>
        <w:rFonts w:ascii="Symbol" w:hAnsi="Symbol" w:hint="default"/>
      </w:rPr>
    </w:lvl>
    <w:lvl w:ilvl="7" w:tplc="0C090003" w:tentative="1">
      <w:start w:val="1"/>
      <w:numFmt w:val="bullet"/>
      <w:lvlText w:val="o"/>
      <w:lvlJc w:val="left"/>
      <w:pPr>
        <w:ind w:left="5046" w:hanging="360"/>
      </w:pPr>
      <w:rPr>
        <w:rFonts w:ascii="Courier New" w:hAnsi="Courier New" w:cs="Courier New" w:hint="default"/>
      </w:rPr>
    </w:lvl>
    <w:lvl w:ilvl="8" w:tplc="0C090005" w:tentative="1">
      <w:start w:val="1"/>
      <w:numFmt w:val="bullet"/>
      <w:lvlText w:val=""/>
      <w:lvlJc w:val="left"/>
      <w:pPr>
        <w:ind w:left="5766" w:hanging="360"/>
      </w:pPr>
      <w:rPr>
        <w:rFonts w:ascii="Wingdings" w:hAnsi="Wingdings" w:hint="default"/>
      </w:rPr>
    </w:lvl>
  </w:abstractNum>
  <w:abstractNum w:abstractNumId="45" w15:restartNumberingAfterBreak="0">
    <w:nsid w:val="37F20B66"/>
    <w:multiLevelType w:val="hybridMultilevel"/>
    <w:tmpl w:val="740089F8"/>
    <w:lvl w:ilvl="0" w:tplc="BF304F40">
      <w:start w:val="1"/>
      <w:numFmt w:val="bullet"/>
      <w:lvlText w:val=""/>
      <w:lvlJc w:val="left"/>
      <w:pPr>
        <w:tabs>
          <w:tab w:val="num" w:pos="720"/>
        </w:tabs>
        <w:ind w:left="720" w:hanging="360"/>
      </w:pPr>
      <w:rPr>
        <w:rFonts w:ascii="Symbol" w:hAnsi="Symbol" w:hint="default"/>
      </w:rPr>
    </w:lvl>
    <w:lvl w:ilvl="1" w:tplc="41BAC810" w:tentative="1">
      <w:start w:val="1"/>
      <w:numFmt w:val="bullet"/>
      <w:lvlText w:val="•"/>
      <w:lvlJc w:val="left"/>
      <w:pPr>
        <w:tabs>
          <w:tab w:val="num" w:pos="1440"/>
        </w:tabs>
        <w:ind w:left="1440" w:hanging="360"/>
      </w:pPr>
      <w:rPr>
        <w:rFonts w:ascii="Arial" w:hAnsi="Arial" w:hint="default"/>
      </w:rPr>
    </w:lvl>
    <w:lvl w:ilvl="2" w:tplc="89BEDEE4" w:tentative="1">
      <w:start w:val="1"/>
      <w:numFmt w:val="bullet"/>
      <w:lvlText w:val="•"/>
      <w:lvlJc w:val="left"/>
      <w:pPr>
        <w:tabs>
          <w:tab w:val="num" w:pos="2160"/>
        </w:tabs>
        <w:ind w:left="2160" w:hanging="360"/>
      </w:pPr>
      <w:rPr>
        <w:rFonts w:ascii="Arial" w:hAnsi="Arial" w:hint="default"/>
      </w:rPr>
    </w:lvl>
    <w:lvl w:ilvl="3" w:tplc="7B24B73C" w:tentative="1">
      <w:start w:val="1"/>
      <w:numFmt w:val="bullet"/>
      <w:lvlText w:val="•"/>
      <w:lvlJc w:val="left"/>
      <w:pPr>
        <w:tabs>
          <w:tab w:val="num" w:pos="2880"/>
        </w:tabs>
        <w:ind w:left="2880" w:hanging="360"/>
      </w:pPr>
      <w:rPr>
        <w:rFonts w:ascii="Arial" w:hAnsi="Arial" w:hint="default"/>
      </w:rPr>
    </w:lvl>
    <w:lvl w:ilvl="4" w:tplc="FA0AE7EC" w:tentative="1">
      <w:start w:val="1"/>
      <w:numFmt w:val="bullet"/>
      <w:lvlText w:val="•"/>
      <w:lvlJc w:val="left"/>
      <w:pPr>
        <w:tabs>
          <w:tab w:val="num" w:pos="3600"/>
        </w:tabs>
        <w:ind w:left="3600" w:hanging="360"/>
      </w:pPr>
      <w:rPr>
        <w:rFonts w:ascii="Arial" w:hAnsi="Arial" w:hint="default"/>
      </w:rPr>
    </w:lvl>
    <w:lvl w:ilvl="5" w:tplc="C7CA4E16" w:tentative="1">
      <w:start w:val="1"/>
      <w:numFmt w:val="bullet"/>
      <w:lvlText w:val="•"/>
      <w:lvlJc w:val="left"/>
      <w:pPr>
        <w:tabs>
          <w:tab w:val="num" w:pos="4320"/>
        </w:tabs>
        <w:ind w:left="4320" w:hanging="360"/>
      </w:pPr>
      <w:rPr>
        <w:rFonts w:ascii="Arial" w:hAnsi="Arial" w:hint="default"/>
      </w:rPr>
    </w:lvl>
    <w:lvl w:ilvl="6" w:tplc="22629364" w:tentative="1">
      <w:start w:val="1"/>
      <w:numFmt w:val="bullet"/>
      <w:lvlText w:val="•"/>
      <w:lvlJc w:val="left"/>
      <w:pPr>
        <w:tabs>
          <w:tab w:val="num" w:pos="5040"/>
        </w:tabs>
        <w:ind w:left="5040" w:hanging="360"/>
      </w:pPr>
      <w:rPr>
        <w:rFonts w:ascii="Arial" w:hAnsi="Arial" w:hint="default"/>
      </w:rPr>
    </w:lvl>
    <w:lvl w:ilvl="7" w:tplc="EF042E9C" w:tentative="1">
      <w:start w:val="1"/>
      <w:numFmt w:val="bullet"/>
      <w:lvlText w:val="•"/>
      <w:lvlJc w:val="left"/>
      <w:pPr>
        <w:tabs>
          <w:tab w:val="num" w:pos="5760"/>
        </w:tabs>
        <w:ind w:left="5760" w:hanging="360"/>
      </w:pPr>
      <w:rPr>
        <w:rFonts w:ascii="Arial" w:hAnsi="Arial" w:hint="default"/>
      </w:rPr>
    </w:lvl>
    <w:lvl w:ilvl="8" w:tplc="8ACC3AC0"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38211945"/>
    <w:multiLevelType w:val="hybridMultilevel"/>
    <w:tmpl w:val="5562F5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39EB35CB"/>
    <w:multiLevelType w:val="hybridMultilevel"/>
    <w:tmpl w:val="77EABA24"/>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3A5467BD"/>
    <w:multiLevelType w:val="hybridMultilevel"/>
    <w:tmpl w:val="25D25B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3AA91649"/>
    <w:multiLevelType w:val="hybridMultilevel"/>
    <w:tmpl w:val="541621DE"/>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50" w15:restartNumberingAfterBreak="0">
    <w:nsid w:val="3CDD2A57"/>
    <w:multiLevelType w:val="hybridMultilevel"/>
    <w:tmpl w:val="F134E098"/>
    <w:lvl w:ilvl="0" w:tplc="BFAEEBBA">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E07EDA52">
      <w:numFmt w:val="bullet"/>
      <w:lvlText w:val="•"/>
      <w:lvlJc w:val="left"/>
      <w:pPr>
        <w:ind w:left="749" w:hanging="252"/>
      </w:pPr>
      <w:rPr>
        <w:rFonts w:hint="default"/>
        <w:lang w:val="en-US" w:eastAsia="en-US" w:bidi="ar-SA"/>
      </w:rPr>
    </w:lvl>
    <w:lvl w:ilvl="2" w:tplc="29C03910">
      <w:numFmt w:val="bullet"/>
      <w:lvlText w:val="•"/>
      <w:lvlJc w:val="left"/>
      <w:pPr>
        <w:ind w:left="1139" w:hanging="252"/>
      </w:pPr>
      <w:rPr>
        <w:rFonts w:hint="default"/>
        <w:lang w:val="en-US" w:eastAsia="en-US" w:bidi="ar-SA"/>
      </w:rPr>
    </w:lvl>
    <w:lvl w:ilvl="3" w:tplc="704225B8">
      <w:numFmt w:val="bullet"/>
      <w:lvlText w:val="•"/>
      <w:lvlJc w:val="left"/>
      <w:pPr>
        <w:ind w:left="1528" w:hanging="252"/>
      </w:pPr>
      <w:rPr>
        <w:rFonts w:hint="default"/>
        <w:lang w:val="en-US" w:eastAsia="en-US" w:bidi="ar-SA"/>
      </w:rPr>
    </w:lvl>
    <w:lvl w:ilvl="4" w:tplc="855CAFBE">
      <w:numFmt w:val="bullet"/>
      <w:lvlText w:val="•"/>
      <w:lvlJc w:val="left"/>
      <w:pPr>
        <w:ind w:left="1918" w:hanging="252"/>
      </w:pPr>
      <w:rPr>
        <w:rFonts w:hint="default"/>
        <w:lang w:val="en-US" w:eastAsia="en-US" w:bidi="ar-SA"/>
      </w:rPr>
    </w:lvl>
    <w:lvl w:ilvl="5" w:tplc="A6DA7590">
      <w:numFmt w:val="bullet"/>
      <w:lvlText w:val="•"/>
      <w:lvlJc w:val="left"/>
      <w:pPr>
        <w:ind w:left="2307" w:hanging="252"/>
      </w:pPr>
      <w:rPr>
        <w:rFonts w:hint="default"/>
        <w:lang w:val="en-US" w:eastAsia="en-US" w:bidi="ar-SA"/>
      </w:rPr>
    </w:lvl>
    <w:lvl w:ilvl="6" w:tplc="B6C66746">
      <w:numFmt w:val="bullet"/>
      <w:lvlText w:val="•"/>
      <w:lvlJc w:val="left"/>
      <w:pPr>
        <w:ind w:left="2697" w:hanging="252"/>
      </w:pPr>
      <w:rPr>
        <w:rFonts w:hint="default"/>
        <w:lang w:val="en-US" w:eastAsia="en-US" w:bidi="ar-SA"/>
      </w:rPr>
    </w:lvl>
    <w:lvl w:ilvl="7" w:tplc="6E22A7B8">
      <w:numFmt w:val="bullet"/>
      <w:lvlText w:val="•"/>
      <w:lvlJc w:val="left"/>
      <w:pPr>
        <w:ind w:left="3086" w:hanging="252"/>
      </w:pPr>
      <w:rPr>
        <w:rFonts w:hint="default"/>
        <w:lang w:val="en-US" w:eastAsia="en-US" w:bidi="ar-SA"/>
      </w:rPr>
    </w:lvl>
    <w:lvl w:ilvl="8" w:tplc="DAA0B346">
      <w:numFmt w:val="bullet"/>
      <w:lvlText w:val="•"/>
      <w:lvlJc w:val="left"/>
      <w:pPr>
        <w:ind w:left="3476" w:hanging="252"/>
      </w:pPr>
      <w:rPr>
        <w:rFonts w:hint="default"/>
        <w:lang w:val="en-US" w:eastAsia="en-US" w:bidi="ar-SA"/>
      </w:rPr>
    </w:lvl>
  </w:abstractNum>
  <w:abstractNum w:abstractNumId="51" w15:restartNumberingAfterBreak="0">
    <w:nsid w:val="3CE14383"/>
    <w:multiLevelType w:val="hybridMultilevel"/>
    <w:tmpl w:val="96E6A04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52" w15:restartNumberingAfterBreak="0">
    <w:nsid w:val="3DF222F2"/>
    <w:multiLevelType w:val="hybridMultilevel"/>
    <w:tmpl w:val="8DC65B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3E2E027C"/>
    <w:multiLevelType w:val="hybridMultilevel"/>
    <w:tmpl w:val="FFFFFFFF"/>
    <w:lvl w:ilvl="0" w:tplc="8E0019E8">
      <w:start w:val="1"/>
      <w:numFmt w:val="bullet"/>
      <w:lvlText w:val=""/>
      <w:lvlJc w:val="left"/>
      <w:pPr>
        <w:ind w:left="720" w:hanging="360"/>
      </w:pPr>
      <w:rPr>
        <w:rFonts w:ascii="Symbol" w:hAnsi="Symbol" w:hint="default"/>
      </w:rPr>
    </w:lvl>
    <w:lvl w:ilvl="1" w:tplc="5770CDEA">
      <w:start w:val="1"/>
      <w:numFmt w:val="bullet"/>
      <w:lvlText w:val="o"/>
      <w:lvlJc w:val="left"/>
      <w:pPr>
        <w:ind w:left="1440" w:hanging="360"/>
      </w:pPr>
      <w:rPr>
        <w:rFonts w:ascii="Courier New" w:hAnsi="Courier New" w:hint="default"/>
      </w:rPr>
    </w:lvl>
    <w:lvl w:ilvl="2" w:tplc="39BC4A1C">
      <w:start w:val="1"/>
      <w:numFmt w:val="bullet"/>
      <w:lvlText w:val=""/>
      <w:lvlJc w:val="left"/>
      <w:pPr>
        <w:ind w:left="2160" w:hanging="360"/>
      </w:pPr>
      <w:rPr>
        <w:rFonts w:ascii="Wingdings" w:hAnsi="Wingdings" w:hint="default"/>
      </w:rPr>
    </w:lvl>
    <w:lvl w:ilvl="3" w:tplc="9162DBC6">
      <w:start w:val="1"/>
      <w:numFmt w:val="bullet"/>
      <w:lvlText w:val=""/>
      <w:lvlJc w:val="left"/>
      <w:pPr>
        <w:ind w:left="2880" w:hanging="360"/>
      </w:pPr>
      <w:rPr>
        <w:rFonts w:ascii="Symbol" w:hAnsi="Symbol" w:hint="default"/>
      </w:rPr>
    </w:lvl>
    <w:lvl w:ilvl="4" w:tplc="E1028B5C">
      <w:start w:val="1"/>
      <w:numFmt w:val="bullet"/>
      <w:lvlText w:val="o"/>
      <w:lvlJc w:val="left"/>
      <w:pPr>
        <w:ind w:left="3600" w:hanging="360"/>
      </w:pPr>
      <w:rPr>
        <w:rFonts w:ascii="Courier New" w:hAnsi="Courier New" w:hint="default"/>
      </w:rPr>
    </w:lvl>
    <w:lvl w:ilvl="5" w:tplc="EF86AF6A">
      <w:start w:val="1"/>
      <w:numFmt w:val="bullet"/>
      <w:lvlText w:val=""/>
      <w:lvlJc w:val="left"/>
      <w:pPr>
        <w:ind w:left="4320" w:hanging="360"/>
      </w:pPr>
      <w:rPr>
        <w:rFonts w:ascii="Wingdings" w:hAnsi="Wingdings" w:hint="default"/>
      </w:rPr>
    </w:lvl>
    <w:lvl w:ilvl="6" w:tplc="E83E562C">
      <w:start w:val="1"/>
      <w:numFmt w:val="bullet"/>
      <w:lvlText w:val=""/>
      <w:lvlJc w:val="left"/>
      <w:pPr>
        <w:ind w:left="5040" w:hanging="360"/>
      </w:pPr>
      <w:rPr>
        <w:rFonts w:ascii="Symbol" w:hAnsi="Symbol" w:hint="default"/>
      </w:rPr>
    </w:lvl>
    <w:lvl w:ilvl="7" w:tplc="57304CA2">
      <w:start w:val="1"/>
      <w:numFmt w:val="bullet"/>
      <w:lvlText w:val="o"/>
      <w:lvlJc w:val="left"/>
      <w:pPr>
        <w:ind w:left="5760" w:hanging="360"/>
      </w:pPr>
      <w:rPr>
        <w:rFonts w:ascii="Courier New" w:hAnsi="Courier New" w:hint="default"/>
      </w:rPr>
    </w:lvl>
    <w:lvl w:ilvl="8" w:tplc="3BB61A80">
      <w:start w:val="1"/>
      <w:numFmt w:val="bullet"/>
      <w:lvlText w:val=""/>
      <w:lvlJc w:val="left"/>
      <w:pPr>
        <w:ind w:left="6480" w:hanging="360"/>
      </w:pPr>
      <w:rPr>
        <w:rFonts w:ascii="Wingdings" w:hAnsi="Wingdings" w:hint="default"/>
      </w:rPr>
    </w:lvl>
  </w:abstractNum>
  <w:abstractNum w:abstractNumId="54" w15:restartNumberingAfterBreak="0">
    <w:nsid w:val="3E6A395D"/>
    <w:multiLevelType w:val="hybridMultilevel"/>
    <w:tmpl w:val="AEEC2EC0"/>
    <w:lvl w:ilvl="0" w:tplc="C6CCF646">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7396E0B8">
      <w:numFmt w:val="bullet"/>
      <w:lvlText w:val="•"/>
      <w:lvlJc w:val="left"/>
      <w:pPr>
        <w:ind w:left="749" w:hanging="252"/>
      </w:pPr>
      <w:rPr>
        <w:rFonts w:hint="default"/>
        <w:lang w:val="en-US" w:eastAsia="en-US" w:bidi="ar-SA"/>
      </w:rPr>
    </w:lvl>
    <w:lvl w:ilvl="2" w:tplc="9E661CFC">
      <w:numFmt w:val="bullet"/>
      <w:lvlText w:val="•"/>
      <w:lvlJc w:val="left"/>
      <w:pPr>
        <w:ind w:left="1139" w:hanging="252"/>
      </w:pPr>
      <w:rPr>
        <w:rFonts w:hint="default"/>
        <w:lang w:val="en-US" w:eastAsia="en-US" w:bidi="ar-SA"/>
      </w:rPr>
    </w:lvl>
    <w:lvl w:ilvl="3" w:tplc="2EBA1440">
      <w:numFmt w:val="bullet"/>
      <w:lvlText w:val="•"/>
      <w:lvlJc w:val="left"/>
      <w:pPr>
        <w:ind w:left="1528" w:hanging="252"/>
      </w:pPr>
      <w:rPr>
        <w:rFonts w:hint="default"/>
        <w:lang w:val="en-US" w:eastAsia="en-US" w:bidi="ar-SA"/>
      </w:rPr>
    </w:lvl>
    <w:lvl w:ilvl="4" w:tplc="379A6BDA">
      <w:numFmt w:val="bullet"/>
      <w:lvlText w:val="•"/>
      <w:lvlJc w:val="left"/>
      <w:pPr>
        <w:ind w:left="1918" w:hanging="252"/>
      </w:pPr>
      <w:rPr>
        <w:rFonts w:hint="default"/>
        <w:lang w:val="en-US" w:eastAsia="en-US" w:bidi="ar-SA"/>
      </w:rPr>
    </w:lvl>
    <w:lvl w:ilvl="5" w:tplc="17E4EBC4">
      <w:numFmt w:val="bullet"/>
      <w:lvlText w:val="•"/>
      <w:lvlJc w:val="left"/>
      <w:pPr>
        <w:ind w:left="2307" w:hanging="252"/>
      </w:pPr>
      <w:rPr>
        <w:rFonts w:hint="default"/>
        <w:lang w:val="en-US" w:eastAsia="en-US" w:bidi="ar-SA"/>
      </w:rPr>
    </w:lvl>
    <w:lvl w:ilvl="6" w:tplc="583439E8">
      <w:numFmt w:val="bullet"/>
      <w:lvlText w:val="•"/>
      <w:lvlJc w:val="left"/>
      <w:pPr>
        <w:ind w:left="2697" w:hanging="252"/>
      </w:pPr>
      <w:rPr>
        <w:rFonts w:hint="default"/>
        <w:lang w:val="en-US" w:eastAsia="en-US" w:bidi="ar-SA"/>
      </w:rPr>
    </w:lvl>
    <w:lvl w:ilvl="7" w:tplc="0D64215C">
      <w:numFmt w:val="bullet"/>
      <w:lvlText w:val="•"/>
      <w:lvlJc w:val="left"/>
      <w:pPr>
        <w:ind w:left="3086" w:hanging="252"/>
      </w:pPr>
      <w:rPr>
        <w:rFonts w:hint="default"/>
        <w:lang w:val="en-US" w:eastAsia="en-US" w:bidi="ar-SA"/>
      </w:rPr>
    </w:lvl>
    <w:lvl w:ilvl="8" w:tplc="2C528E72">
      <w:numFmt w:val="bullet"/>
      <w:lvlText w:val="•"/>
      <w:lvlJc w:val="left"/>
      <w:pPr>
        <w:ind w:left="3476" w:hanging="252"/>
      </w:pPr>
      <w:rPr>
        <w:rFonts w:hint="default"/>
        <w:lang w:val="en-US" w:eastAsia="en-US" w:bidi="ar-SA"/>
      </w:rPr>
    </w:lvl>
  </w:abstractNum>
  <w:abstractNum w:abstractNumId="55" w15:restartNumberingAfterBreak="0">
    <w:nsid w:val="3E8B27B5"/>
    <w:multiLevelType w:val="hybridMultilevel"/>
    <w:tmpl w:val="2E34F1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3EB6C7DA"/>
    <w:multiLevelType w:val="hybridMultilevel"/>
    <w:tmpl w:val="9DD8EDBA"/>
    <w:lvl w:ilvl="0" w:tplc="BD32DF46">
      <w:start w:val="1"/>
      <w:numFmt w:val="bullet"/>
      <w:lvlText w:val=""/>
      <w:lvlJc w:val="left"/>
      <w:pPr>
        <w:ind w:left="720" w:hanging="360"/>
      </w:pPr>
      <w:rPr>
        <w:rFonts w:ascii="Symbol" w:hAnsi="Symbol" w:hint="default"/>
      </w:rPr>
    </w:lvl>
    <w:lvl w:ilvl="1" w:tplc="01D0C8BC">
      <w:start w:val="1"/>
      <w:numFmt w:val="bullet"/>
      <w:lvlText w:val="o"/>
      <w:lvlJc w:val="left"/>
      <w:pPr>
        <w:ind w:left="1440" w:hanging="360"/>
      </w:pPr>
      <w:rPr>
        <w:rFonts w:ascii="Courier New" w:hAnsi="Courier New" w:hint="default"/>
      </w:rPr>
    </w:lvl>
    <w:lvl w:ilvl="2" w:tplc="49628878">
      <w:start w:val="1"/>
      <w:numFmt w:val="bullet"/>
      <w:lvlText w:val=""/>
      <w:lvlJc w:val="left"/>
      <w:pPr>
        <w:ind w:left="2160" w:hanging="360"/>
      </w:pPr>
      <w:rPr>
        <w:rFonts w:ascii="Wingdings" w:hAnsi="Wingdings" w:hint="default"/>
      </w:rPr>
    </w:lvl>
    <w:lvl w:ilvl="3" w:tplc="CAB298A4">
      <w:start w:val="1"/>
      <w:numFmt w:val="bullet"/>
      <w:lvlText w:val=""/>
      <w:lvlJc w:val="left"/>
      <w:pPr>
        <w:ind w:left="2880" w:hanging="360"/>
      </w:pPr>
      <w:rPr>
        <w:rFonts w:ascii="Symbol" w:hAnsi="Symbol" w:hint="default"/>
      </w:rPr>
    </w:lvl>
    <w:lvl w:ilvl="4" w:tplc="50F41D3A">
      <w:start w:val="1"/>
      <w:numFmt w:val="bullet"/>
      <w:lvlText w:val="o"/>
      <w:lvlJc w:val="left"/>
      <w:pPr>
        <w:ind w:left="3600" w:hanging="360"/>
      </w:pPr>
      <w:rPr>
        <w:rFonts w:ascii="Courier New" w:hAnsi="Courier New" w:hint="default"/>
      </w:rPr>
    </w:lvl>
    <w:lvl w:ilvl="5" w:tplc="B1966420">
      <w:start w:val="1"/>
      <w:numFmt w:val="bullet"/>
      <w:lvlText w:val=""/>
      <w:lvlJc w:val="left"/>
      <w:pPr>
        <w:ind w:left="4320" w:hanging="360"/>
      </w:pPr>
      <w:rPr>
        <w:rFonts w:ascii="Wingdings" w:hAnsi="Wingdings" w:hint="default"/>
      </w:rPr>
    </w:lvl>
    <w:lvl w:ilvl="6" w:tplc="92E85C86">
      <w:start w:val="1"/>
      <w:numFmt w:val="bullet"/>
      <w:lvlText w:val=""/>
      <w:lvlJc w:val="left"/>
      <w:pPr>
        <w:ind w:left="5040" w:hanging="360"/>
      </w:pPr>
      <w:rPr>
        <w:rFonts w:ascii="Symbol" w:hAnsi="Symbol" w:hint="default"/>
      </w:rPr>
    </w:lvl>
    <w:lvl w:ilvl="7" w:tplc="1F2C213A">
      <w:start w:val="1"/>
      <w:numFmt w:val="bullet"/>
      <w:lvlText w:val="o"/>
      <w:lvlJc w:val="left"/>
      <w:pPr>
        <w:ind w:left="5760" w:hanging="360"/>
      </w:pPr>
      <w:rPr>
        <w:rFonts w:ascii="Courier New" w:hAnsi="Courier New" w:hint="default"/>
      </w:rPr>
    </w:lvl>
    <w:lvl w:ilvl="8" w:tplc="F75E85CC">
      <w:start w:val="1"/>
      <w:numFmt w:val="bullet"/>
      <w:lvlText w:val=""/>
      <w:lvlJc w:val="left"/>
      <w:pPr>
        <w:ind w:left="6480" w:hanging="360"/>
      </w:pPr>
      <w:rPr>
        <w:rFonts w:ascii="Wingdings" w:hAnsi="Wingdings" w:hint="default"/>
      </w:rPr>
    </w:lvl>
  </w:abstractNum>
  <w:abstractNum w:abstractNumId="57" w15:restartNumberingAfterBreak="0">
    <w:nsid w:val="3FD179CD"/>
    <w:multiLevelType w:val="hybridMultilevel"/>
    <w:tmpl w:val="DE3C61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40EF4064"/>
    <w:multiLevelType w:val="hybridMultilevel"/>
    <w:tmpl w:val="F60A8380"/>
    <w:lvl w:ilvl="0" w:tplc="2AF68246">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1D3269F2">
      <w:numFmt w:val="bullet"/>
      <w:lvlText w:val="•"/>
      <w:lvlJc w:val="left"/>
      <w:pPr>
        <w:ind w:left="749" w:hanging="252"/>
      </w:pPr>
      <w:rPr>
        <w:rFonts w:hint="default"/>
        <w:lang w:val="en-US" w:eastAsia="en-US" w:bidi="ar-SA"/>
      </w:rPr>
    </w:lvl>
    <w:lvl w:ilvl="2" w:tplc="F05A3E28">
      <w:numFmt w:val="bullet"/>
      <w:lvlText w:val="•"/>
      <w:lvlJc w:val="left"/>
      <w:pPr>
        <w:ind w:left="1139" w:hanging="252"/>
      </w:pPr>
      <w:rPr>
        <w:rFonts w:hint="default"/>
        <w:lang w:val="en-US" w:eastAsia="en-US" w:bidi="ar-SA"/>
      </w:rPr>
    </w:lvl>
    <w:lvl w:ilvl="3" w:tplc="F1E470D0">
      <w:numFmt w:val="bullet"/>
      <w:lvlText w:val="•"/>
      <w:lvlJc w:val="left"/>
      <w:pPr>
        <w:ind w:left="1528" w:hanging="252"/>
      </w:pPr>
      <w:rPr>
        <w:rFonts w:hint="default"/>
        <w:lang w:val="en-US" w:eastAsia="en-US" w:bidi="ar-SA"/>
      </w:rPr>
    </w:lvl>
    <w:lvl w:ilvl="4" w:tplc="47A601F8">
      <w:numFmt w:val="bullet"/>
      <w:lvlText w:val="•"/>
      <w:lvlJc w:val="left"/>
      <w:pPr>
        <w:ind w:left="1918" w:hanging="252"/>
      </w:pPr>
      <w:rPr>
        <w:rFonts w:hint="default"/>
        <w:lang w:val="en-US" w:eastAsia="en-US" w:bidi="ar-SA"/>
      </w:rPr>
    </w:lvl>
    <w:lvl w:ilvl="5" w:tplc="F6EEB0E8">
      <w:numFmt w:val="bullet"/>
      <w:lvlText w:val="•"/>
      <w:lvlJc w:val="left"/>
      <w:pPr>
        <w:ind w:left="2307" w:hanging="252"/>
      </w:pPr>
      <w:rPr>
        <w:rFonts w:hint="default"/>
        <w:lang w:val="en-US" w:eastAsia="en-US" w:bidi="ar-SA"/>
      </w:rPr>
    </w:lvl>
    <w:lvl w:ilvl="6" w:tplc="454E365A">
      <w:numFmt w:val="bullet"/>
      <w:lvlText w:val="•"/>
      <w:lvlJc w:val="left"/>
      <w:pPr>
        <w:ind w:left="2697" w:hanging="252"/>
      </w:pPr>
      <w:rPr>
        <w:rFonts w:hint="default"/>
        <w:lang w:val="en-US" w:eastAsia="en-US" w:bidi="ar-SA"/>
      </w:rPr>
    </w:lvl>
    <w:lvl w:ilvl="7" w:tplc="8F3ECB4A">
      <w:numFmt w:val="bullet"/>
      <w:lvlText w:val="•"/>
      <w:lvlJc w:val="left"/>
      <w:pPr>
        <w:ind w:left="3086" w:hanging="252"/>
      </w:pPr>
      <w:rPr>
        <w:rFonts w:hint="default"/>
        <w:lang w:val="en-US" w:eastAsia="en-US" w:bidi="ar-SA"/>
      </w:rPr>
    </w:lvl>
    <w:lvl w:ilvl="8" w:tplc="6CA8F8DC">
      <w:numFmt w:val="bullet"/>
      <w:lvlText w:val="•"/>
      <w:lvlJc w:val="left"/>
      <w:pPr>
        <w:ind w:left="3476" w:hanging="252"/>
      </w:pPr>
      <w:rPr>
        <w:rFonts w:hint="default"/>
        <w:lang w:val="en-US" w:eastAsia="en-US" w:bidi="ar-SA"/>
      </w:rPr>
    </w:lvl>
  </w:abstractNum>
  <w:abstractNum w:abstractNumId="59" w15:restartNumberingAfterBreak="0">
    <w:nsid w:val="42032E87"/>
    <w:multiLevelType w:val="hybridMultilevel"/>
    <w:tmpl w:val="5778EFDA"/>
    <w:lvl w:ilvl="0" w:tplc="01C65370">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6F520572">
      <w:numFmt w:val="bullet"/>
      <w:lvlText w:val="•"/>
      <w:lvlJc w:val="left"/>
      <w:pPr>
        <w:ind w:left="749" w:hanging="252"/>
      </w:pPr>
      <w:rPr>
        <w:rFonts w:hint="default"/>
        <w:lang w:val="en-US" w:eastAsia="en-US" w:bidi="ar-SA"/>
      </w:rPr>
    </w:lvl>
    <w:lvl w:ilvl="2" w:tplc="2278BBB4">
      <w:numFmt w:val="bullet"/>
      <w:lvlText w:val="•"/>
      <w:lvlJc w:val="left"/>
      <w:pPr>
        <w:ind w:left="1139" w:hanging="252"/>
      </w:pPr>
      <w:rPr>
        <w:rFonts w:hint="default"/>
        <w:lang w:val="en-US" w:eastAsia="en-US" w:bidi="ar-SA"/>
      </w:rPr>
    </w:lvl>
    <w:lvl w:ilvl="3" w:tplc="7A80215E">
      <w:numFmt w:val="bullet"/>
      <w:lvlText w:val="•"/>
      <w:lvlJc w:val="left"/>
      <w:pPr>
        <w:ind w:left="1528" w:hanging="252"/>
      </w:pPr>
      <w:rPr>
        <w:rFonts w:hint="default"/>
        <w:lang w:val="en-US" w:eastAsia="en-US" w:bidi="ar-SA"/>
      </w:rPr>
    </w:lvl>
    <w:lvl w:ilvl="4" w:tplc="6906A6A0">
      <w:numFmt w:val="bullet"/>
      <w:lvlText w:val="•"/>
      <w:lvlJc w:val="left"/>
      <w:pPr>
        <w:ind w:left="1918" w:hanging="252"/>
      </w:pPr>
      <w:rPr>
        <w:rFonts w:hint="default"/>
        <w:lang w:val="en-US" w:eastAsia="en-US" w:bidi="ar-SA"/>
      </w:rPr>
    </w:lvl>
    <w:lvl w:ilvl="5" w:tplc="B4B2B242">
      <w:numFmt w:val="bullet"/>
      <w:lvlText w:val="•"/>
      <w:lvlJc w:val="left"/>
      <w:pPr>
        <w:ind w:left="2307" w:hanging="252"/>
      </w:pPr>
      <w:rPr>
        <w:rFonts w:hint="default"/>
        <w:lang w:val="en-US" w:eastAsia="en-US" w:bidi="ar-SA"/>
      </w:rPr>
    </w:lvl>
    <w:lvl w:ilvl="6" w:tplc="28385D2C">
      <w:numFmt w:val="bullet"/>
      <w:lvlText w:val="•"/>
      <w:lvlJc w:val="left"/>
      <w:pPr>
        <w:ind w:left="2697" w:hanging="252"/>
      </w:pPr>
      <w:rPr>
        <w:rFonts w:hint="default"/>
        <w:lang w:val="en-US" w:eastAsia="en-US" w:bidi="ar-SA"/>
      </w:rPr>
    </w:lvl>
    <w:lvl w:ilvl="7" w:tplc="E28CCFF0">
      <w:numFmt w:val="bullet"/>
      <w:lvlText w:val="•"/>
      <w:lvlJc w:val="left"/>
      <w:pPr>
        <w:ind w:left="3086" w:hanging="252"/>
      </w:pPr>
      <w:rPr>
        <w:rFonts w:hint="default"/>
        <w:lang w:val="en-US" w:eastAsia="en-US" w:bidi="ar-SA"/>
      </w:rPr>
    </w:lvl>
    <w:lvl w:ilvl="8" w:tplc="D206ED86">
      <w:numFmt w:val="bullet"/>
      <w:lvlText w:val="•"/>
      <w:lvlJc w:val="left"/>
      <w:pPr>
        <w:ind w:left="3476" w:hanging="252"/>
      </w:pPr>
      <w:rPr>
        <w:rFonts w:hint="default"/>
        <w:lang w:val="en-US" w:eastAsia="en-US" w:bidi="ar-SA"/>
      </w:rPr>
    </w:lvl>
  </w:abstractNum>
  <w:abstractNum w:abstractNumId="60" w15:restartNumberingAfterBreak="0">
    <w:nsid w:val="42987FC3"/>
    <w:multiLevelType w:val="multilevel"/>
    <w:tmpl w:val="85C2F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47A2D6F"/>
    <w:multiLevelType w:val="hybridMultilevel"/>
    <w:tmpl w:val="4E348BD4"/>
    <w:lvl w:ilvl="0" w:tplc="A72CAE3E">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14C2B88A">
      <w:numFmt w:val="bullet"/>
      <w:lvlText w:val="•"/>
      <w:lvlJc w:val="left"/>
      <w:pPr>
        <w:ind w:left="749" w:hanging="252"/>
      </w:pPr>
      <w:rPr>
        <w:rFonts w:hint="default"/>
        <w:lang w:val="en-US" w:eastAsia="en-US" w:bidi="ar-SA"/>
      </w:rPr>
    </w:lvl>
    <w:lvl w:ilvl="2" w:tplc="2DE03DB0">
      <w:numFmt w:val="bullet"/>
      <w:lvlText w:val="•"/>
      <w:lvlJc w:val="left"/>
      <w:pPr>
        <w:ind w:left="1139" w:hanging="252"/>
      </w:pPr>
      <w:rPr>
        <w:rFonts w:hint="default"/>
        <w:lang w:val="en-US" w:eastAsia="en-US" w:bidi="ar-SA"/>
      </w:rPr>
    </w:lvl>
    <w:lvl w:ilvl="3" w:tplc="F8CAE55A">
      <w:numFmt w:val="bullet"/>
      <w:lvlText w:val="•"/>
      <w:lvlJc w:val="left"/>
      <w:pPr>
        <w:ind w:left="1528" w:hanging="252"/>
      </w:pPr>
      <w:rPr>
        <w:rFonts w:hint="default"/>
        <w:lang w:val="en-US" w:eastAsia="en-US" w:bidi="ar-SA"/>
      </w:rPr>
    </w:lvl>
    <w:lvl w:ilvl="4" w:tplc="3752C9D8">
      <w:numFmt w:val="bullet"/>
      <w:lvlText w:val="•"/>
      <w:lvlJc w:val="left"/>
      <w:pPr>
        <w:ind w:left="1918" w:hanging="252"/>
      </w:pPr>
      <w:rPr>
        <w:rFonts w:hint="default"/>
        <w:lang w:val="en-US" w:eastAsia="en-US" w:bidi="ar-SA"/>
      </w:rPr>
    </w:lvl>
    <w:lvl w:ilvl="5" w:tplc="1D9A0B5C">
      <w:numFmt w:val="bullet"/>
      <w:lvlText w:val="•"/>
      <w:lvlJc w:val="left"/>
      <w:pPr>
        <w:ind w:left="2307" w:hanging="252"/>
      </w:pPr>
      <w:rPr>
        <w:rFonts w:hint="default"/>
        <w:lang w:val="en-US" w:eastAsia="en-US" w:bidi="ar-SA"/>
      </w:rPr>
    </w:lvl>
    <w:lvl w:ilvl="6" w:tplc="30685052">
      <w:numFmt w:val="bullet"/>
      <w:lvlText w:val="•"/>
      <w:lvlJc w:val="left"/>
      <w:pPr>
        <w:ind w:left="2697" w:hanging="252"/>
      </w:pPr>
      <w:rPr>
        <w:rFonts w:hint="default"/>
        <w:lang w:val="en-US" w:eastAsia="en-US" w:bidi="ar-SA"/>
      </w:rPr>
    </w:lvl>
    <w:lvl w:ilvl="7" w:tplc="E048B4B0">
      <w:numFmt w:val="bullet"/>
      <w:lvlText w:val="•"/>
      <w:lvlJc w:val="left"/>
      <w:pPr>
        <w:ind w:left="3086" w:hanging="252"/>
      </w:pPr>
      <w:rPr>
        <w:rFonts w:hint="default"/>
        <w:lang w:val="en-US" w:eastAsia="en-US" w:bidi="ar-SA"/>
      </w:rPr>
    </w:lvl>
    <w:lvl w:ilvl="8" w:tplc="615A2616">
      <w:numFmt w:val="bullet"/>
      <w:lvlText w:val="•"/>
      <w:lvlJc w:val="left"/>
      <w:pPr>
        <w:ind w:left="3476" w:hanging="252"/>
      </w:pPr>
      <w:rPr>
        <w:rFonts w:hint="default"/>
        <w:lang w:val="en-US" w:eastAsia="en-US" w:bidi="ar-SA"/>
      </w:rPr>
    </w:lvl>
  </w:abstractNum>
  <w:abstractNum w:abstractNumId="62" w15:restartNumberingAfterBreak="0">
    <w:nsid w:val="458C5EC8"/>
    <w:multiLevelType w:val="hybridMultilevel"/>
    <w:tmpl w:val="DD1040FC"/>
    <w:lvl w:ilvl="0" w:tplc="7F3A48F4">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3A66D912">
      <w:numFmt w:val="bullet"/>
      <w:lvlText w:val="•"/>
      <w:lvlJc w:val="left"/>
      <w:pPr>
        <w:ind w:left="749" w:hanging="252"/>
      </w:pPr>
      <w:rPr>
        <w:rFonts w:hint="default"/>
        <w:lang w:val="en-US" w:eastAsia="en-US" w:bidi="ar-SA"/>
      </w:rPr>
    </w:lvl>
    <w:lvl w:ilvl="2" w:tplc="408CAAF6">
      <w:numFmt w:val="bullet"/>
      <w:lvlText w:val="•"/>
      <w:lvlJc w:val="left"/>
      <w:pPr>
        <w:ind w:left="1139" w:hanging="252"/>
      </w:pPr>
      <w:rPr>
        <w:rFonts w:hint="default"/>
        <w:lang w:val="en-US" w:eastAsia="en-US" w:bidi="ar-SA"/>
      </w:rPr>
    </w:lvl>
    <w:lvl w:ilvl="3" w:tplc="4AE810B0">
      <w:numFmt w:val="bullet"/>
      <w:lvlText w:val="•"/>
      <w:lvlJc w:val="left"/>
      <w:pPr>
        <w:ind w:left="1528" w:hanging="252"/>
      </w:pPr>
      <w:rPr>
        <w:rFonts w:hint="default"/>
        <w:lang w:val="en-US" w:eastAsia="en-US" w:bidi="ar-SA"/>
      </w:rPr>
    </w:lvl>
    <w:lvl w:ilvl="4" w:tplc="84B20772">
      <w:numFmt w:val="bullet"/>
      <w:lvlText w:val="•"/>
      <w:lvlJc w:val="left"/>
      <w:pPr>
        <w:ind w:left="1918" w:hanging="252"/>
      </w:pPr>
      <w:rPr>
        <w:rFonts w:hint="default"/>
        <w:lang w:val="en-US" w:eastAsia="en-US" w:bidi="ar-SA"/>
      </w:rPr>
    </w:lvl>
    <w:lvl w:ilvl="5" w:tplc="038EDB7A">
      <w:numFmt w:val="bullet"/>
      <w:lvlText w:val="•"/>
      <w:lvlJc w:val="left"/>
      <w:pPr>
        <w:ind w:left="2307" w:hanging="252"/>
      </w:pPr>
      <w:rPr>
        <w:rFonts w:hint="default"/>
        <w:lang w:val="en-US" w:eastAsia="en-US" w:bidi="ar-SA"/>
      </w:rPr>
    </w:lvl>
    <w:lvl w:ilvl="6" w:tplc="6FCC60BC">
      <w:numFmt w:val="bullet"/>
      <w:lvlText w:val="•"/>
      <w:lvlJc w:val="left"/>
      <w:pPr>
        <w:ind w:left="2697" w:hanging="252"/>
      </w:pPr>
      <w:rPr>
        <w:rFonts w:hint="default"/>
        <w:lang w:val="en-US" w:eastAsia="en-US" w:bidi="ar-SA"/>
      </w:rPr>
    </w:lvl>
    <w:lvl w:ilvl="7" w:tplc="7E5029B4">
      <w:numFmt w:val="bullet"/>
      <w:lvlText w:val="•"/>
      <w:lvlJc w:val="left"/>
      <w:pPr>
        <w:ind w:left="3086" w:hanging="252"/>
      </w:pPr>
      <w:rPr>
        <w:rFonts w:hint="default"/>
        <w:lang w:val="en-US" w:eastAsia="en-US" w:bidi="ar-SA"/>
      </w:rPr>
    </w:lvl>
    <w:lvl w:ilvl="8" w:tplc="39EA4214">
      <w:numFmt w:val="bullet"/>
      <w:lvlText w:val="•"/>
      <w:lvlJc w:val="left"/>
      <w:pPr>
        <w:ind w:left="3476" w:hanging="252"/>
      </w:pPr>
      <w:rPr>
        <w:rFonts w:hint="default"/>
        <w:lang w:val="en-US" w:eastAsia="en-US" w:bidi="ar-SA"/>
      </w:rPr>
    </w:lvl>
  </w:abstractNum>
  <w:abstractNum w:abstractNumId="63" w15:restartNumberingAfterBreak="0">
    <w:nsid w:val="45EF20EF"/>
    <w:multiLevelType w:val="hybridMultilevel"/>
    <w:tmpl w:val="F168DE9E"/>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46125BD6"/>
    <w:multiLevelType w:val="hybridMultilevel"/>
    <w:tmpl w:val="3BC8E5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4644F20F"/>
    <w:multiLevelType w:val="hybridMultilevel"/>
    <w:tmpl w:val="FFFFFFFF"/>
    <w:lvl w:ilvl="0" w:tplc="EADC77EE">
      <w:start w:val="1"/>
      <w:numFmt w:val="bullet"/>
      <w:lvlText w:val=""/>
      <w:lvlJc w:val="left"/>
      <w:pPr>
        <w:ind w:left="720" w:hanging="360"/>
      </w:pPr>
      <w:rPr>
        <w:rFonts w:ascii="Symbol" w:hAnsi="Symbol" w:hint="default"/>
      </w:rPr>
    </w:lvl>
    <w:lvl w:ilvl="1" w:tplc="55E007A4">
      <w:start w:val="1"/>
      <w:numFmt w:val="bullet"/>
      <w:lvlText w:val="o"/>
      <w:lvlJc w:val="left"/>
      <w:pPr>
        <w:ind w:left="1440" w:hanging="360"/>
      </w:pPr>
      <w:rPr>
        <w:rFonts w:ascii="Courier New" w:hAnsi="Courier New" w:hint="default"/>
      </w:rPr>
    </w:lvl>
    <w:lvl w:ilvl="2" w:tplc="5FA6F104">
      <w:start w:val="1"/>
      <w:numFmt w:val="bullet"/>
      <w:lvlText w:val=""/>
      <w:lvlJc w:val="left"/>
      <w:pPr>
        <w:ind w:left="2160" w:hanging="360"/>
      </w:pPr>
      <w:rPr>
        <w:rFonts w:ascii="Wingdings" w:hAnsi="Wingdings" w:hint="default"/>
      </w:rPr>
    </w:lvl>
    <w:lvl w:ilvl="3" w:tplc="D6E0F2C4">
      <w:start w:val="1"/>
      <w:numFmt w:val="bullet"/>
      <w:lvlText w:val=""/>
      <w:lvlJc w:val="left"/>
      <w:pPr>
        <w:ind w:left="2880" w:hanging="360"/>
      </w:pPr>
      <w:rPr>
        <w:rFonts w:ascii="Symbol" w:hAnsi="Symbol" w:hint="default"/>
      </w:rPr>
    </w:lvl>
    <w:lvl w:ilvl="4" w:tplc="DEE2080A">
      <w:start w:val="1"/>
      <w:numFmt w:val="bullet"/>
      <w:lvlText w:val="o"/>
      <w:lvlJc w:val="left"/>
      <w:pPr>
        <w:ind w:left="3600" w:hanging="360"/>
      </w:pPr>
      <w:rPr>
        <w:rFonts w:ascii="Courier New" w:hAnsi="Courier New" w:hint="default"/>
      </w:rPr>
    </w:lvl>
    <w:lvl w:ilvl="5" w:tplc="A07401F0">
      <w:start w:val="1"/>
      <w:numFmt w:val="bullet"/>
      <w:lvlText w:val=""/>
      <w:lvlJc w:val="left"/>
      <w:pPr>
        <w:ind w:left="4320" w:hanging="360"/>
      </w:pPr>
      <w:rPr>
        <w:rFonts w:ascii="Wingdings" w:hAnsi="Wingdings" w:hint="default"/>
      </w:rPr>
    </w:lvl>
    <w:lvl w:ilvl="6" w:tplc="A1F6FB36">
      <w:start w:val="1"/>
      <w:numFmt w:val="bullet"/>
      <w:lvlText w:val=""/>
      <w:lvlJc w:val="left"/>
      <w:pPr>
        <w:ind w:left="5040" w:hanging="360"/>
      </w:pPr>
      <w:rPr>
        <w:rFonts w:ascii="Symbol" w:hAnsi="Symbol" w:hint="default"/>
      </w:rPr>
    </w:lvl>
    <w:lvl w:ilvl="7" w:tplc="D872458E">
      <w:start w:val="1"/>
      <w:numFmt w:val="bullet"/>
      <w:lvlText w:val="o"/>
      <w:lvlJc w:val="left"/>
      <w:pPr>
        <w:ind w:left="5760" w:hanging="360"/>
      </w:pPr>
      <w:rPr>
        <w:rFonts w:ascii="Courier New" w:hAnsi="Courier New" w:hint="default"/>
      </w:rPr>
    </w:lvl>
    <w:lvl w:ilvl="8" w:tplc="E7064EEC">
      <w:start w:val="1"/>
      <w:numFmt w:val="bullet"/>
      <w:lvlText w:val=""/>
      <w:lvlJc w:val="left"/>
      <w:pPr>
        <w:ind w:left="6480" w:hanging="360"/>
      </w:pPr>
      <w:rPr>
        <w:rFonts w:ascii="Wingdings" w:hAnsi="Wingdings" w:hint="default"/>
      </w:rPr>
    </w:lvl>
  </w:abstractNum>
  <w:abstractNum w:abstractNumId="66" w15:restartNumberingAfterBreak="0">
    <w:nsid w:val="46B00100"/>
    <w:multiLevelType w:val="hybridMultilevel"/>
    <w:tmpl w:val="10BC5D66"/>
    <w:lvl w:ilvl="0" w:tplc="7B06059A">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60B2E3A0">
      <w:numFmt w:val="bullet"/>
      <w:lvlText w:val="•"/>
      <w:lvlJc w:val="left"/>
      <w:pPr>
        <w:ind w:left="749" w:hanging="252"/>
      </w:pPr>
      <w:rPr>
        <w:rFonts w:hint="default"/>
        <w:lang w:val="en-US" w:eastAsia="en-US" w:bidi="ar-SA"/>
      </w:rPr>
    </w:lvl>
    <w:lvl w:ilvl="2" w:tplc="F3F6EF4E">
      <w:numFmt w:val="bullet"/>
      <w:lvlText w:val="•"/>
      <w:lvlJc w:val="left"/>
      <w:pPr>
        <w:ind w:left="1139" w:hanging="252"/>
      </w:pPr>
      <w:rPr>
        <w:rFonts w:hint="default"/>
        <w:lang w:val="en-US" w:eastAsia="en-US" w:bidi="ar-SA"/>
      </w:rPr>
    </w:lvl>
    <w:lvl w:ilvl="3" w:tplc="1C52E1BC">
      <w:numFmt w:val="bullet"/>
      <w:lvlText w:val="•"/>
      <w:lvlJc w:val="left"/>
      <w:pPr>
        <w:ind w:left="1528" w:hanging="252"/>
      </w:pPr>
      <w:rPr>
        <w:rFonts w:hint="default"/>
        <w:lang w:val="en-US" w:eastAsia="en-US" w:bidi="ar-SA"/>
      </w:rPr>
    </w:lvl>
    <w:lvl w:ilvl="4" w:tplc="7DB059B8">
      <w:numFmt w:val="bullet"/>
      <w:lvlText w:val="•"/>
      <w:lvlJc w:val="left"/>
      <w:pPr>
        <w:ind w:left="1918" w:hanging="252"/>
      </w:pPr>
      <w:rPr>
        <w:rFonts w:hint="default"/>
        <w:lang w:val="en-US" w:eastAsia="en-US" w:bidi="ar-SA"/>
      </w:rPr>
    </w:lvl>
    <w:lvl w:ilvl="5" w:tplc="3D703D06">
      <w:numFmt w:val="bullet"/>
      <w:lvlText w:val="•"/>
      <w:lvlJc w:val="left"/>
      <w:pPr>
        <w:ind w:left="2307" w:hanging="252"/>
      </w:pPr>
      <w:rPr>
        <w:rFonts w:hint="default"/>
        <w:lang w:val="en-US" w:eastAsia="en-US" w:bidi="ar-SA"/>
      </w:rPr>
    </w:lvl>
    <w:lvl w:ilvl="6" w:tplc="5A3AC9FC">
      <w:numFmt w:val="bullet"/>
      <w:lvlText w:val="•"/>
      <w:lvlJc w:val="left"/>
      <w:pPr>
        <w:ind w:left="2697" w:hanging="252"/>
      </w:pPr>
      <w:rPr>
        <w:rFonts w:hint="default"/>
        <w:lang w:val="en-US" w:eastAsia="en-US" w:bidi="ar-SA"/>
      </w:rPr>
    </w:lvl>
    <w:lvl w:ilvl="7" w:tplc="7170330E">
      <w:numFmt w:val="bullet"/>
      <w:lvlText w:val="•"/>
      <w:lvlJc w:val="left"/>
      <w:pPr>
        <w:ind w:left="3086" w:hanging="252"/>
      </w:pPr>
      <w:rPr>
        <w:rFonts w:hint="default"/>
        <w:lang w:val="en-US" w:eastAsia="en-US" w:bidi="ar-SA"/>
      </w:rPr>
    </w:lvl>
    <w:lvl w:ilvl="8" w:tplc="13F876CC">
      <w:numFmt w:val="bullet"/>
      <w:lvlText w:val="•"/>
      <w:lvlJc w:val="left"/>
      <w:pPr>
        <w:ind w:left="3476" w:hanging="252"/>
      </w:pPr>
      <w:rPr>
        <w:rFonts w:hint="default"/>
        <w:lang w:val="en-US" w:eastAsia="en-US" w:bidi="ar-SA"/>
      </w:rPr>
    </w:lvl>
  </w:abstractNum>
  <w:abstractNum w:abstractNumId="67" w15:restartNumberingAfterBreak="0">
    <w:nsid w:val="4701268A"/>
    <w:multiLevelType w:val="hybridMultilevel"/>
    <w:tmpl w:val="64441F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484541A5"/>
    <w:multiLevelType w:val="hybridMultilevel"/>
    <w:tmpl w:val="324E3722"/>
    <w:lvl w:ilvl="0" w:tplc="5DBA2F60">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BC6E5AF8">
      <w:numFmt w:val="bullet"/>
      <w:lvlText w:val="•"/>
      <w:lvlJc w:val="left"/>
      <w:pPr>
        <w:ind w:left="749" w:hanging="252"/>
      </w:pPr>
      <w:rPr>
        <w:rFonts w:hint="default"/>
        <w:lang w:val="en-US" w:eastAsia="en-US" w:bidi="ar-SA"/>
      </w:rPr>
    </w:lvl>
    <w:lvl w:ilvl="2" w:tplc="480699DC">
      <w:numFmt w:val="bullet"/>
      <w:lvlText w:val="•"/>
      <w:lvlJc w:val="left"/>
      <w:pPr>
        <w:ind w:left="1139" w:hanging="252"/>
      </w:pPr>
      <w:rPr>
        <w:rFonts w:hint="default"/>
        <w:lang w:val="en-US" w:eastAsia="en-US" w:bidi="ar-SA"/>
      </w:rPr>
    </w:lvl>
    <w:lvl w:ilvl="3" w:tplc="32A41DD0">
      <w:numFmt w:val="bullet"/>
      <w:lvlText w:val="•"/>
      <w:lvlJc w:val="left"/>
      <w:pPr>
        <w:ind w:left="1528" w:hanging="252"/>
      </w:pPr>
      <w:rPr>
        <w:rFonts w:hint="default"/>
        <w:lang w:val="en-US" w:eastAsia="en-US" w:bidi="ar-SA"/>
      </w:rPr>
    </w:lvl>
    <w:lvl w:ilvl="4" w:tplc="36FEFF74">
      <w:numFmt w:val="bullet"/>
      <w:lvlText w:val="•"/>
      <w:lvlJc w:val="left"/>
      <w:pPr>
        <w:ind w:left="1918" w:hanging="252"/>
      </w:pPr>
      <w:rPr>
        <w:rFonts w:hint="default"/>
        <w:lang w:val="en-US" w:eastAsia="en-US" w:bidi="ar-SA"/>
      </w:rPr>
    </w:lvl>
    <w:lvl w:ilvl="5" w:tplc="A6FA6584">
      <w:numFmt w:val="bullet"/>
      <w:lvlText w:val="•"/>
      <w:lvlJc w:val="left"/>
      <w:pPr>
        <w:ind w:left="2307" w:hanging="252"/>
      </w:pPr>
      <w:rPr>
        <w:rFonts w:hint="default"/>
        <w:lang w:val="en-US" w:eastAsia="en-US" w:bidi="ar-SA"/>
      </w:rPr>
    </w:lvl>
    <w:lvl w:ilvl="6" w:tplc="F16A236A">
      <w:numFmt w:val="bullet"/>
      <w:lvlText w:val="•"/>
      <w:lvlJc w:val="left"/>
      <w:pPr>
        <w:ind w:left="2697" w:hanging="252"/>
      </w:pPr>
      <w:rPr>
        <w:rFonts w:hint="default"/>
        <w:lang w:val="en-US" w:eastAsia="en-US" w:bidi="ar-SA"/>
      </w:rPr>
    </w:lvl>
    <w:lvl w:ilvl="7" w:tplc="0D42E812">
      <w:numFmt w:val="bullet"/>
      <w:lvlText w:val="•"/>
      <w:lvlJc w:val="left"/>
      <w:pPr>
        <w:ind w:left="3086" w:hanging="252"/>
      </w:pPr>
      <w:rPr>
        <w:rFonts w:hint="default"/>
        <w:lang w:val="en-US" w:eastAsia="en-US" w:bidi="ar-SA"/>
      </w:rPr>
    </w:lvl>
    <w:lvl w:ilvl="8" w:tplc="A86E0A22">
      <w:numFmt w:val="bullet"/>
      <w:lvlText w:val="•"/>
      <w:lvlJc w:val="left"/>
      <w:pPr>
        <w:ind w:left="3476" w:hanging="252"/>
      </w:pPr>
      <w:rPr>
        <w:rFonts w:hint="default"/>
        <w:lang w:val="en-US" w:eastAsia="en-US" w:bidi="ar-SA"/>
      </w:rPr>
    </w:lvl>
  </w:abstractNum>
  <w:abstractNum w:abstractNumId="69" w15:restartNumberingAfterBreak="0">
    <w:nsid w:val="4A4F0E90"/>
    <w:multiLevelType w:val="multilevel"/>
    <w:tmpl w:val="D4F446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A7D64E5"/>
    <w:multiLevelType w:val="multilevel"/>
    <w:tmpl w:val="0798D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B4963A6"/>
    <w:multiLevelType w:val="hybridMultilevel"/>
    <w:tmpl w:val="89948F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4C7C661D"/>
    <w:multiLevelType w:val="hybridMultilevel"/>
    <w:tmpl w:val="816CAD44"/>
    <w:lvl w:ilvl="0" w:tplc="B2BAFF50">
      <w:start w:val="1"/>
      <w:numFmt w:val="bullet"/>
      <w:lvlText w:val=""/>
      <w:lvlJc w:val="left"/>
      <w:pPr>
        <w:ind w:left="720" w:hanging="360"/>
      </w:pPr>
      <w:rPr>
        <w:rFonts w:ascii="Symbol" w:hAnsi="Symbol"/>
      </w:rPr>
    </w:lvl>
    <w:lvl w:ilvl="1" w:tplc="69148866">
      <w:start w:val="1"/>
      <w:numFmt w:val="bullet"/>
      <w:lvlText w:val=""/>
      <w:lvlJc w:val="left"/>
      <w:pPr>
        <w:ind w:left="720" w:hanging="360"/>
      </w:pPr>
      <w:rPr>
        <w:rFonts w:ascii="Symbol" w:hAnsi="Symbol"/>
      </w:rPr>
    </w:lvl>
    <w:lvl w:ilvl="2" w:tplc="3C563C34">
      <w:start w:val="1"/>
      <w:numFmt w:val="bullet"/>
      <w:lvlText w:val=""/>
      <w:lvlJc w:val="left"/>
      <w:pPr>
        <w:ind w:left="720" w:hanging="360"/>
      </w:pPr>
      <w:rPr>
        <w:rFonts w:ascii="Symbol" w:hAnsi="Symbol"/>
      </w:rPr>
    </w:lvl>
    <w:lvl w:ilvl="3" w:tplc="071048B6">
      <w:start w:val="1"/>
      <w:numFmt w:val="bullet"/>
      <w:lvlText w:val=""/>
      <w:lvlJc w:val="left"/>
      <w:pPr>
        <w:ind w:left="720" w:hanging="360"/>
      </w:pPr>
      <w:rPr>
        <w:rFonts w:ascii="Symbol" w:hAnsi="Symbol"/>
      </w:rPr>
    </w:lvl>
    <w:lvl w:ilvl="4" w:tplc="E996E716">
      <w:start w:val="1"/>
      <w:numFmt w:val="bullet"/>
      <w:lvlText w:val=""/>
      <w:lvlJc w:val="left"/>
      <w:pPr>
        <w:ind w:left="720" w:hanging="360"/>
      </w:pPr>
      <w:rPr>
        <w:rFonts w:ascii="Symbol" w:hAnsi="Symbol"/>
      </w:rPr>
    </w:lvl>
    <w:lvl w:ilvl="5" w:tplc="D4D8FDB4">
      <w:start w:val="1"/>
      <w:numFmt w:val="bullet"/>
      <w:lvlText w:val=""/>
      <w:lvlJc w:val="left"/>
      <w:pPr>
        <w:ind w:left="720" w:hanging="360"/>
      </w:pPr>
      <w:rPr>
        <w:rFonts w:ascii="Symbol" w:hAnsi="Symbol"/>
      </w:rPr>
    </w:lvl>
    <w:lvl w:ilvl="6" w:tplc="A7F63B36">
      <w:start w:val="1"/>
      <w:numFmt w:val="bullet"/>
      <w:lvlText w:val=""/>
      <w:lvlJc w:val="left"/>
      <w:pPr>
        <w:ind w:left="720" w:hanging="360"/>
      </w:pPr>
      <w:rPr>
        <w:rFonts w:ascii="Symbol" w:hAnsi="Symbol"/>
      </w:rPr>
    </w:lvl>
    <w:lvl w:ilvl="7" w:tplc="E35AB214">
      <w:start w:val="1"/>
      <w:numFmt w:val="bullet"/>
      <w:lvlText w:val=""/>
      <w:lvlJc w:val="left"/>
      <w:pPr>
        <w:ind w:left="720" w:hanging="360"/>
      </w:pPr>
      <w:rPr>
        <w:rFonts w:ascii="Symbol" w:hAnsi="Symbol"/>
      </w:rPr>
    </w:lvl>
    <w:lvl w:ilvl="8" w:tplc="35B02FF4">
      <w:start w:val="1"/>
      <w:numFmt w:val="bullet"/>
      <w:lvlText w:val=""/>
      <w:lvlJc w:val="left"/>
      <w:pPr>
        <w:ind w:left="720" w:hanging="360"/>
      </w:pPr>
      <w:rPr>
        <w:rFonts w:ascii="Symbol" w:hAnsi="Symbol"/>
      </w:rPr>
    </w:lvl>
  </w:abstractNum>
  <w:abstractNum w:abstractNumId="73" w15:restartNumberingAfterBreak="0">
    <w:nsid w:val="4DAB57AC"/>
    <w:multiLevelType w:val="multilevel"/>
    <w:tmpl w:val="36F47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4E4570E5"/>
    <w:multiLevelType w:val="hybridMultilevel"/>
    <w:tmpl w:val="FFFFFFFF"/>
    <w:lvl w:ilvl="0" w:tplc="AD96F100">
      <w:start w:val="1"/>
      <w:numFmt w:val="bullet"/>
      <w:lvlText w:val=""/>
      <w:lvlJc w:val="left"/>
      <w:pPr>
        <w:ind w:left="720" w:hanging="360"/>
      </w:pPr>
      <w:rPr>
        <w:rFonts w:ascii="Symbol" w:hAnsi="Symbol" w:hint="default"/>
      </w:rPr>
    </w:lvl>
    <w:lvl w:ilvl="1" w:tplc="4808B554">
      <w:start w:val="1"/>
      <w:numFmt w:val="bullet"/>
      <w:lvlText w:val="o"/>
      <w:lvlJc w:val="left"/>
      <w:pPr>
        <w:ind w:left="1440" w:hanging="360"/>
      </w:pPr>
      <w:rPr>
        <w:rFonts w:ascii="Courier New" w:hAnsi="Courier New" w:hint="default"/>
      </w:rPr>
    </w:lvl>
    <w:lvl w:ilvl="2" w:tplc="EC6A2750">
      <w:start w:val="1"/>
      <w:numFmt w:val="bullet"/>
      <w:lvlText w:val=""/>
      <w:lvlJc w:val="left"/>
      <w:pPr>
        <w:ind w:left="2160" w:hanging="360"/>
      </w:pPr>
      <w:rPr>
        <w:rFonts w:ascii="Wingdings" w:hAnsi="Wingdings" w:hint="default"/>
      </w:rPr>
    </w:lvl>
    <w:lvl w:ilvl="3" w:tplc="A3382B74">
      <w:start w:val="1"/>
      <w:numFmt w:val="bullet"/>
      <w:lvlText w:val=""/>
      <w:lvlJc w:val="left"/>
      <w:pPr>
        <w:ind w:left="2880" w:hanging="360"/>
      </w:pPr>
      <w:rPr>
        <w:rFonts w:ascii="Symbol" w:hAnsi="Symbol" w:hint="default"/>
      </w:rPr>
    </w:lvl>
    <w:lvl w:ilvl="4" w:tplc="5EC8AD76">
      <w:start w:val="1"/>
      <w:numFmt w:val="bullet"/>
      <w:lvlText w:val="o"/>
      <w:lvlJc w:val="left"/>
      <w:pPr>
        <w:ind w:left="3600" w:hanging="360"/>
      </w:pPr>
      <w:rPr>
        <w:rFonts w:ascii="Courier New" w:hAnsi="Courier New" w:hint="default"/>
      </w:rPr>
    </w:lvl>
    <w:lvl w:ilvl="5" w:tplc="12C08FCE">
      <w:start w:val="1"/>
      <w:numFmt w:val="bullet"/>
      <w:lvlText w:val=""/>
      <w:lvlJc w:val="left"/>
      <w:pPr>
        <w:ind w:left="4320" w:hanging="360"/>
      </w:pPr>
      <w:rPr>
        <w:rFonts w:ascii="Wingdings" w:hAnsi="Wingdings" w:hint="default"/>
      </w:rPr>
    </w:lvl>
    <w:lvl w:ilvl="6" w:tplc="726409C0">
      <w:start w:val="1"/>
      <w:numFmt w:val="bullet"/>
      <w:lvlText w:val=""/>
      <w:lvlJc w:val="left"/>
      <w:pPr>
        <w:ind w:left="5040" w:hanging="360"/>
      </w:pPr>
      <w:rPr>
        <w:rFonts w:ascii="Symbol" w:hAnsi="Symbol" w:hint="default"/>
      </w:rPr>
    </w:lvl>
    <w:lvl w:ilvl="7" w:tplc="8CE81D4E">
      <w:start w:val="1"/>
      <w:numFmt w:val="bullet"/>
      <w:lvlText w:val="o"/>
      <w:lvlJc w:val="left"/>
      <w:pPr>
        <w:ind w:left="5760" w:hanging="360"/>
      </w:pPr>
      <w:rPr>
        <w:rFonts w:ascii="Courier New" w:hAnsi="Courier New" w:hint="default"/>
      </w:rPr>
    </w:lvl>
    <w:lvl w:ilvl="8" w:tplc="9230B452">
      <w:start w:val="1"/>
      <w:numFmt w:val="bullet"/>
      <w:lvlText w:val=""/>
      <w:lvlJc w:val="left"/>
      <w:pPr>
        <w:ind w:left="6480" w:hanging="360"/>
      </w:pPr>
      <w:rPr>
        <w:rFonts w:ascii="Wingdings" w:hAnsi="Wingdings" w:hint="default"/>
      </w:rPr>
    </w:lvl>
  </w:abstractNum>
  <w:abstractNum w:abstractNumId="75" w15:restartNumberingAfterBreak="0">
    <w:nsid w:val="515E426F"/>
    <w:multiLevelType w:val="hybridMultilevel"/>
    <w:tmpl w:val="A54495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15:restartNumberingAfterBreak="0">
    <w:nsid w:val="51B12712"/>
    <w:multiLevelType w:val="hybridMultilevel"/>
    <w:tmpl w:val="53485BA0"/>
    <w:lvl w:ilvl="0" w:tplc="6E24F7A6">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67720004">
      <w:numFmt w:val="bullet"/>
      <w:lvlText w:val="•"/>
      <w:lvlJc w:val="left"/>
      <w:pPr>
        <w:ind w:left="749" w:hanging="252"/>
      </w:pPr>
      <w:rPr>
        <w:rFonts w:hint="default"/>
        <w:lang w:val="en-US" w:eastAsia="en-US" w:bidi="ar-SA"/>
      </w:rPr>
    </w:lvl>
    <w:lvl w:ilvl="2" w:tplc="E0665798">
      <w:numFmt w:val="bullet"/>
      <w:lvlText w:val="•"/>
      <w:lvlJc w:val="left"/>
      <w:pPr>
        <w:ind w:left="1139" w:hanging="252"/>
      </w:pPr>
      <w:rPr>
        <w:rFonts w:hint="default"/>
        <w:lang w:val="en-US" w:eastAsia="en-US" w:bidi="ar-SA"/>
      </w:rPr>
    </w:lvl>
    <w:lvl w:ilvl="3" w:tplc="D45A3348">
      <w:numFmt w:val="bullet"/>
      <w:lvlText w:val="•"/>
      <w:lvlJc w:val="left"/>
      <w:pPr>
        <w:ind w:left="1528" w:hanging="252"/>
      </w:pPr>
      <w:rPr>
        <w:rFonts w:hint="default"/>
        <w:lang w:val="en-US" w:eastAsia="en-US" w:bidi="ar-SA"/>
      </w:rPr>
    </w:lvl>
    <w:lvl w:ilvl="4" w:tplc="D514F48E">
      <w:numFmt w:val="bullet"/>
      <w:lvlText w:val="•"/>
      <w:lvlJc w:val="left"/>
      <w:pPr>
        <w:ind w:left="1918" w:hanging="252"/>
      </w:pPr>
      <w:rPr>
        <w:rFonts w:hint="default"/>
        <w:lang w:val="en-US" w:eastAsia="en-US" w:bidi="ar-SA"/>
      </w:rPr>
    </w:lvl>
    <w:lvl w:ilvl="5" w:tplc="899C992E">
      <w:numFmt w:val="bullet"/>
      <w:lvlText w:val="•"/>
      <w:lvlJc w:val="left"/>
      <w:pPr>
        <w:ind w:left="2307" w:hanging="252"/>
      </w:pPr>
      <w:rPr>
        <w:rFonts w:hint="default"/>
        <w:lang w:val="en-US" w:eastAsia="en-US" w:bidi="ar-SA"/>
      </w:rPr>
    </w:lvl>
    <w:lvl w:ilvl="6" w:tplc="12EEA8B2">
      <w:numFmt w:val="bullet"/>
      <w:lvlText w:val="•"/>
      <w:lvlJc w:val="left"/>
      <w:pPr>
        <w:ind w:left="2697" w:hanging="252"/>
      </w:pPr>
      <w:rPr>
        <w:rFonts w:hint="default"/>
        <w:lang w:val="en-US" w:eastAsia="en-US" w:bidi="ar-SA"/>
      </w:rPr>
    </w:lvl>
    <w:lvl w:ilvl="7" w:tplc="2EDAD018">
      <w:numFmt w:val="bullet"/>
      <w:lvlText w:val="•"/>
      <w:lvlJc w:val="left"/>
      <w:pPr>
        <w:ind w:left="3086" w:hanging="252"/>
      </w:pPr>
      <w:rPr>
        <w:rFonts w:hint="default"/>
        <w:lang w:val="en-US" w:eastAsia="en-US" w:bidi="ar-SA"/>
      </w:rPr>
    </w:lvl>
    <w:lvl w:ilvl="8" w:tplc="CB0E7CD0">
      <w:numFmt w:val="bullet"/>
      <w:lvlText w:val="•"/>
      <w:lvlJc w:val="left"/>
      <w:pPr>
        <w:ind w:left="3476" w:hanging="252"/>
      </w:pPr>
      <w:rPr>
        <w:rFonts w:hint="default"/>
        <w:lang w:val="en-US" w:eastAsia="en-US" w:bidi="ar-SA"/>
      </w:rPr>
    </w:lvl>
  </w:abstractNum>
  <w:abstractNum w:abstractNumId="77" w15:restartNumberingAfterBreak="0">
    <w:nsid w:val="51E0472B"/>
    <w:multiLevelType w:val="hybridMultilevel"/>
    <w:tmpl w:val="F1AA97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52A5D498"/>
    <w:multiLevelType w:val="hybridMultilevel"/>
    <w:tmpl w:val="FFFFFFFF"/>
    <w:lvl w:ilvl="0" w:tplc="A8684FAE">
      <w:start w:val="1"/>
      <w:numFmt w:val="bullet"/>
      <w:lvlText w:val=""/>
      <w:lvlJc w:val="left"/>
      <w:pPr>
        <w:ind w:left="720" w:hanging="360"/>
      </w:pPr>
      <w:rPr>
        <w:rFonts w:ascii="Symbol" w:hAnsi="Symbol" w:hint="default"/>
      </w:rPr>
    </w:lvl>
    <w:lvl w:ilvl="1" w:tplc="2C226A50">
      <w:start w:val="1"/>
      <w:numFmt w:val="bullet"/>
      <w:lvlText w:val="o"/>
      <w:lvlJc w:val="left"/>
      <w:pPr>
        <w:ind w:left="1440" w:hanging="360"/>
      </w:pPr>
      <w:rPr>
        <w:rFonts w:ascii="Courier New" w:hAnsi="Courier New" w:hint="default"/>
      </w:rPr>
    </w:lvl>
    <w:lvl w:ilvl="2" w:tplc="EB26BD00">
      <w:start w:val="1"/>
      <w:numFmt w:val="bullet"/>
      <w:lvlText w:val=""/>
      <w:lvlJc w:val="left"/>
      <w:pPr>
        <w:ind w:left="2160" w:hanging="360"/>
      </w:pPr>
      <w:rPr>
        <w:rFonts w:ascii="Wingdings" w:hAnsi="Wingdings" w:hint="default"/>
      </w:rPr>
    </w:lvl>
    <w:lvl w:ilvl="3" w:tplc="61CA075A">
      <w:start w:val="1"/>
      <w:numFmt w:val="bullet"/>
      <w:lvlText w:val=""/>
      <w:lvlJc w:val="left"/>
      <w:pPr>
        <w:ind w:left="2880" w:hanging="360"/>
      </w:pPr>
      <w:rPr>
        <w:rFonts w:ascii="Symbol" w:hAnsi="Symbol" w:hint="default"/>
      </w:rPr>
    </w:lvl>
    <w:lvl w:ilvl="4" w:tplc="5BA40A10">
      <w:start w:val="1"/>
      <w:numFmt w:val="bullet"/>
      <w:lvlText w:val="o"/>
      <w:lvlJc w:val="left"/>
      <w:pPr>
        <w:ind w:left="3600" w:hanging="360"/>
      </w:pPr>
      <w:rPr>
        <w:rFonts w:ascii="Courier New" w:hAnsi="Courier New" w:hint="default"/>
      </w:rPr>
    </w:lvl>
    <w:lvl w:ilvl="5" w:tplc="86C6F63E">
      <w:start w:val="1"/>
      <w:numFmt w:val="bullet"/>
      <w:lvlText w:val=""/>
      <w:lvlJc w:val="left"/>
      <w:pPr>
        <w:ind w:left="4320" w:hanging="360"/>
      </w:pPr>
      <w:rPr>
        <w:rFonts w:ascii="Wingdings" w:hAnsi="Wingdings" w:hint="default"/>
      </w:rPr>
    </w:lvl>
    <w:lvl w:ilvl="6" w:tplc="393E5C2E">
      <w:start w:val="1"/>
      <w:numFmt w:val="bullet"/>
      <w:lvlText w:val=""/>
      <w:lvlJc w:val="left"/>
      <w:pPr>
        <w:ind w:left="5040" w:hanging="360"/>
      </w:pPr>
      <w:rPr>
        <w:rFonts w:ascii="Symbol" w:hAnsi="Symbol" w:hint="default"/>
      </w:rPr>
    </w:lvl>
    <w:lvl w:ilvl="7" w:tplc="E1089CA2">
      <w:start w:val="1"/>
      <w:numFmt w:val="bullet"/>
      <w:lvlText w:val="o"/>
      <w:lvlJc w:val="left"/>
      <w:pPr>
        <w:ind w:left="5760" w:hanging="360"/>
      </w:pPr>
      <w:rPr>
        <w:rFonts w:ascii="Courier New" w:hAnsi="Courier New" w:hint="default"/>
      </w:rPr>
    </w:lvl>
    <w:lvl w:ilvl="8" w:tplc="9DF8B372">
      <w:start w:val="1"/>
      <w:numFmt w:val="bullet"/>
      <w:lvlText w:val=""/>
      <w:lvlJc w:val="left"/>
      <w:pPr>
        <w:ind w:left="6480" w:hanging="360"/>
      </w:pPr>
      <w:rPr>
        <w:rFonts w:ascii="Wingdings" w:hAnsi="Wingdings" w:hint="default"/>
      </w:rPr>
    </w:lvl>
  </w:abstractNum>
  <w:abstractNum w:abstractNumId="79" w15:restartNumberingAfterBreak="0">
    <w:nsid w:val="52FEBCAF"/>
    <w:multiLevelType w:val="hybridMultilevel"/>
    <w:tmpl w:val="FFFFFFFF"/>
    <w:lvl w:ilvl="0" w:tplc="E4B6A57C">
      <w:start w:val="1"/>
      <w:numFmt w:val="bullet"/>
      <w:lvlText w:val="-"/>
      <w:lvlJc w:val="left"/>
      <w:pPr>
        <w:ind w:left="720" w:hanging="360"/>
      </w:pPr>
      <w:rPr>
        <w:rFonts w:ascii="Aptos" w:hAnsi="Aptos" w:hint="default"/>
      </w:rPr>
    </w:lvl>
    <w:lvl w:ilvl="1" w:tplc="0EFAE846">
      <w:start w:val="1"/>
      <w:numFmt w:val="bullet"/>
      <w:lvlText w:val="o"/>
      <w:lvlJc w:val="left"/>
      <w:pPr>
        <w:ind w:left="1440" w:hanging="360"/>
      </w:pPr>
      <w:rPr>
        <w:rFonts w:ascii="Courier New" w:hAnsi="Courier New" w:hint="default"/>
      </w:rPr>
    </w:lvl>
    <w:lvl w:ilvl="2" w:tplc="702601D6">
      <w:start w:val="1"/>
      <w:numFmt w:val="bullet"/>
      <w:lvlText w:val=""/>
      <w:lvlJc w:val="left"/>
      <w:pPr>
        <w:ind w:left="2160" w:hanging="360"/>
      </w:pPr>
      <w:rPr>
        <w:rFonts w:ascii="Wingdings" w:hAnsi="Wingdings" w:hint="default"/>
      </w:rPr>
    </w:lvl>
    <w:lvl w:ilvl="3" w:tplc="E2102650">
      <w:start w:val="1"/>
      <w:numFmt w:val="bullet"/>
      <w:lvlText w:val=""/>
      <w:lvlJc w:val="left"/>
      <w:pPr>
        <w:ind w:left="2880" w:hanging="360"/>
      </w:pPr>
      <w:rPr>
        <w:rFonts w:ascii="Symbol" w:hAnsi="Symbol" w:hint="default"/>
      </w:rPr>
    </w:lvl>
    <w:lvl w:ilvl="4" w:tplc="3F4E1F06">
      <w:start w:val="1"/>
      <w:numFmt w:val="bullet"/>
      <w:lvlText w:val="o"/>
      <w:lvlJc w:val="left"/>
      <w:pPr>
        <w:ind w:left="3600" w:hanging="360"/>
      </w:pPr>
      <w:rPr>
        <w:rFonts w:ascii="Courier New" w:hAnsi="Courier New" w:hint="default"/>
      </w:rPr>
    </w:lvl>
    <w:lvl w:ilvl="5" w:tplc="B54229B6">
      <w:start w:val="1"/>
      <w:numFmt w:val="bullet"/>
      <w:lvlText w:val=""/>
      <w:lvlJc w:val="left"/>
      <w:pPr>
        <w:ind w:left="4320" w:hanging="360"/>
      </w:pPr>
      <w:rPr>
        <w:rFonts w:ascii="Wingdings" w:hAnsi="Wingdings" w:hint="default"/>
      </w:rPr>
    </w:lvl>
    <w:lvl w:ilvl="6" w:tplc="AF1E9BD0">
      <w:start w:val="1"/>
      <w:numFmt w:val="bullet"/>
      <w:lvlText w:val=""/>
      <w:lvlJc w:val="left"/>
      <w:pPr>
        <w:ind w:left="5040" w:hanging="360"/>
      </w:pPr>
      <w:rPr>
        <w:rFonts w:ascii="Symbol" w:hAnsi="Symbol" w:hint="default"/>
      </w:rPr>
    </w:lvl>
    <w:lvl w:ilvl="7" w:tplc="168C793C">
      <w:start w:val="1"/>
      <w:numFmt w:val="bullet"/>
      <w:lvlText w:val="o"/>
      <w:lvlJc w:val="left"/>
      <w:pPr>
        <w:ind w:left="5760" w:hanging="360"/>
      </w:pPr>
      <w:rPr>
        <w:rFonts w:ascii="Courier New" w:hAnsi="Courier New" w:hint="default"/>
      </w:rPr>
    </w:lvl>
    <w:lvl w:ilvl="8" w:tplc="4E44EB94">
      <w:start w:val="1"/>
      <w:numFmt w:val="bullet"/>
      <w:lvlText w:val=""/>
      <w:lvlJc w:val="left"/>
      <w:pPr>
        <w:ind w:left="6480" w:hanging="360"/>
      </w:pPr>
      <w:rPr>
        <w:rFonts w:ascii="Wingdings" w:hAnsi="Wingdings" w:hint="default"/>
      </w:rPr>
    </w:lvl>
  </w:abstractNum>
  <w:abstractNum w:abstractNumId="80" w15:restartNumberingAfterBreak="0">
    <w:nsid w:val="54200E68"/>
    <w:multiLevelType w:val="hybridMultilevel"/>
    <w:tmpl w:val="AF70E2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54D8381E"/>
    <w:multiLevelType w:val="multilevel"/>
    <w:tmpl w:val="6504D3AA"/>
    <w:lvl w:ilvl="0">
      <w:start w:val="1"/>
      <w:numFmt w:val="bullet"/>
      <w:pStyle w:val="PulloutBullet"/>
      <w:lvlText w:val=""/>
      <w:lvlJc w:val="left"/>
      <w:pPr>
        <w:tabs>
          <w:tab w:val="num" w:pos="170"/>
        </w:tabs>
        <w:ind w:left="170" w:hanging="170"/>
      </w:pPr>
      <w:rPr>
        <w:rFonts w:ascii="Symbol" w:hAnsi="Symbol" w:hint="default"/>
        <w:color w:val="F5A800" w:themeColor="accent6"/>
        <w:sz w:val="16"/>
      </w:rPr>
    </w:lvl>
    <w:lvl w:ilvl="1">
      <w:start w:val="1"/>
      <w:numFmt w:val="bullet"/>
      <w:pStyle w:val="PulloutBullet2"/>
      <w:lvlText w:val=""/>
      <w:lvlJc w:val="left"/>
      <w:pPr>
        <w:tabs>
          <w:tab w:val="num" w:pos="340"/>
        </w:tabs>
        <w:ind w:left="340" w:hanging="170"/>
      </w:pPr>
      <w:rPr>
        <w:rFonts w:ascii="Symbol" w:hAnsi="Symbol" w:hint="default"/>
        <w:color w:val="0090BA" w:themeColor="accent1"/>
        <w:sz w:val="14"/>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82" w15:restartNumberingAfterBreak="0">
    <w:nsid w:val="54DD5C81"/>
    <w:multiLevelType w:val="hybridMultilevel"/>
    <w:tmpl w:val="F05A55D8"/>
    <w:lvl w:ilvl="0" w:tplc="97FC4470">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DFF2ECA2">
      <w:numFmt w:val="bullet"/>
      <w:lvlText w:val="•"/>
      <w:lvlJc w:val="left"/>
      <w:pPr>
        <w:ind w:left="749" w:hanging="252"/>
      </w:pPr>
      <w:rPr>
        <w:rFonts w:hint="default"/>
        <w:lang w:val="en-US" w:eastAsia="en-US" w:bidi="ar-SA"/>
      </w:rPr>
    </w:lvl>
    <w:lvl w:ilvl="2" w:tplc="8D42B684">
      <w:numFmt w:val="bullet"/>
      <w:lvlText w:val="•"/>
      <w:lvlJc w:val="left"/>
      <w:pPr>
        <w:ind w:left="1139" w:hanging="252"/>
      </w:pPr>
      <w:rPr>
        <w:rFonts w:hint="default"/>
        <w:lang w:val="en-US" w:eastAsia="en-US" w:bidi="ar-SA"/>
      </w:rPr>
    </w:lvl>
    <w:lvl w:ilvl="3" w:tplc="751ACDBC">
      <w:numFmt w:val="bullet"/>
      <w:lvlText w:val="•"/>
      <w:lvlJc w:val="left"/>
      <w:pPr>
        <w:ind w:left="1528" w:hanging="252"/>
      </w:pPr>
      <w:rPr>
        <w:rFonts w:hint="default"/>
        <w:lang w:val="en-US" w:eastAsia="en-US" w:bidi="ar-SA"/>
      </w:rPr>
    </w:lvl>
    <w:lvl w:ilvl="4" w:tplc="60A05CE4">
      <w:numFmt w:val="bullet"/>
      <w:lvlText w:val="•"/>
      <w:lvlJc w:val="left"/>
      <w:pPr>
        <w:ind w:left="1918" w:hanging="252"/>
      </w:pPr>
      <w:rPr>
        <w:rFonts w:hint="default"/>
        <w:lang w:val="en-US" w:eastAsia="en-US" w:bidi="ar-SA"/>
      </w:rPr>
    </w:lvl>
    <w:lvl w:ilvl="5" w:tplc="E8EEB1F2">
      <w:numFmt w:val="bullet"/>
      <w:lvlText w:val="•"/>
      <w:lvlJc w:val="left"/>
      <w:pPr>
        <w:ind w:left="2307" w:hanging="252"/>
      </w:pPr>
      <w:rPr>
        <w:rFonts w:hint="default"/>
        <w:lang w:val="en-US" w:eastAsia="en-US" w:bidi="ar-SA"/>
      </w:rPr>
    </w:lvl>
    <w:lvl w:ilvl="6" w:tplc="218C6394">
      <w:numFmt w:val="bullet"/>
      <w:lvlText w:val="•"/>
      <w:lvlJc w:val="left"/>
      <w:pPr>
        <w:ind w:left="2697" w:hanging="252"/>
      </w:pPr>
      <w:rPr>
        <w:rFonts w:hint="default"/>
        <w:lang w:val="en-US" w:eastAsia="en-US" w:bidi="ar-SA"/>
      </w:rPr>
    </w:lvl>
    <w:lvl w:ilvl="7" w:tplc="99FE5332">
      <w:numFmt w:val="bullet"/>
      <w:lvlText w:val="•"/>
      <w:lvlJc w:val="left"/>
      <w:pPr>
        <w:ind w:left="3086" w:hanging="252"/>
      </w:pPr>
      <w:rPr>
        <w:rFonts w:hint="default"/>
        <w:lang w:val="en-US" w:eastAsia="en-US" w:bidi="ar-SA"/>
      </w:rPr>
    </w:lvl>
    <w:lvl w:ilvl="8" w:tplc="1E6A0922">
      <w:numFmt w:val="bullet"/>
      <w:lvlText w:val="•"/>
      <w:lvlJc w:val="left"/>
      <w:pPr>
        <w:ind w:left="3476" w:hanging="252"/>
      </w:pPr>
      <w:rPr>
        <w:rFonts w:hint="default"/>
        <w:lang w:val="en-US" w:eastAsia="en-US" w:bidi="ar-SA"/>
      </w:rPr>
    </w:lvl>
  </w:abstractNum>
  <w:abstractNum w:abstractNumId="83" w15:restartNumberingAfterBreak="0">
    <w:nsid w:val="55063C25"/>
    <w:multiLevelType w:val="hybridMultilevel"/>
    <w:tmpl w:val="FFFFFFFF"/>
    <w:lvl w:ilvl="0" w:tplc="084482E6">
      <w:start w:val="1"/>
      <w:numFmt w:val="bullet"/>
      <w:lvlText w:val=""/>
      <w:lvlJc w:val="left"/>
      <w:pPr>
        <w:ind w:left="720" w:hanging="360"/>
      </w:pPr>
      <w:rPr>
        <w:rFonts w:ascii="Symbol" w:hAnsi="Symbol" w:hint="default"/>
      </w:rPr>
    </w:lvl>
    <w:lvl w:ilvl="1" w:tplc="419A2C4C">
      <w:start w:val="1"/>
      <w:numFmt w:val="bullet"/>
      <w:lvlText w:val="o"/>
      <w:lvlJc w:val="left"/>
      <w:pPr>
        <w:ind w:left="1440" w:hanging="360"/>
      </w:pPr>
      <w:rPr>
        <w:rFonts w:ascii="Courier New" w:hAnsi="Courier New" w:hint="default"/>
      </w:rPr>
    </w:lvl>
    <w:lvl w:ilvl="2" w:tplc="BF9682B2">
      <w:start w:val="1"/>
      <w:numFmt w:val="bullet"/>
      <w:lvlText w:val=""/>
      <w:lvlJc w:val="left"/>
      <w:pPr>
        <w:ind w:left="2160" w:hanging="360"/>
      </w:pPr>
      <w:rPr>
        <w:rFonts w:ascii="Wingdings" w:hAnsi="Wingdings" w:hint="default"/>
      </w:rPr>
    </w:lvl>
    <w:lvl w:ilvl="3" w:tplc="8872DE8E">
      <w:start w:val="1"/>
      <w:numFmt w:val="bullet"/>
      <w:lvlText w:val=""/>
      <w:lvlJc w:val="left"/>
      <w:pPr>
        <w:ind w:left="2880" w:hanging="360"/>
      </w:pPr>
      <w:rPr>
        <w:rFonts w:ascii="Symbol" w:hAnsi="Symbol" w:hint="default"/>
      </w:rPr>
    </w:lvl>
    <w:lvl w:ilvl="4" w:tplc="A0705C08">
      <w:start w:val="1"/>
      <w:numFmt w:val="bullet"/>
      <w:lvlText w:val="o"/>
      <w:lvlJc w:val="left"/>
      <w:pPr>
        <w:ind w:left="3600" w:hanging="360"/>
      </w:pPr>
      <w:rPr>
        <w:rFonts w:ascii="Courier New" w:hAnsi="Courier New" w:hint="default"/>
      </w:rPr>
    </w:lvl>
    <w:lvl w:ilvl="5" w:tplc="08389FDE">
      <w:start w:val="1"/>
      <w:numFmt w:val="bullet"/>
      <w:lvlText w:val=""/>
      <w:lvlJc w:val="left"/>
      <w:pPr>
        <w:ind w:left="4320" w:hanging="360"/>
      </w:pPr>
      <w:rPr>
        <w:rFonts w:ascii="Wingdings" w:hAnsi="Wingdings" w:hint="default"/>
      </w:rPr>
    </w:lvl>
    <w:lvl w:ilvl="6" w:tplc="71A8C444">
      <w:start w:val="1"/>
      <w:numFmt w:val="bullet"/>
      <w:lvlText w:val=""/>
      <w:lvlJc w:val="left"/>
      <w:pPr>
        <w:ind w:left="5040" w:hanging="360"/>
      </w:pPr>
      <w:rPr>
        <w:rFonts w:ascii="Symbol" w:hAnsi="Symbol" w:hint="default"/>
      </w:rPr>
    </w:lvl>
    <w:lvl w:ilvl="7" w:tplc="143202E4">
      <w:start w:val="1"/>
      <w:numFmt w:val="bullet"/>
      <w:lvlText w:val="o"/>
      <w:lvlJc w:val="left"/>
      <w:pPr>
        <w:ind w:left="5760" w:hanging="360"/>
      </w:pPr>
      <w:rPr>
        <w:rFonts w:ascii="Courier New" w:hAnsi="Courier New" w:hint="default"/>
      </w:rPr>
    </w:lvl>
    <w:lvl w:ilvl="8" w:tplc="666231FC">
      <w:start w:val="1"/>
      <w:numFmt w:val="bullet"/>
      <w:lvlText w:val=""/>
      <w:lvlJc w:val="left"/>
      <w:pPr>
        <w:ind w:left="6480" w:hanging="360"/>
      </w:pPr>
      <w:rPr>
        <w:rFonts w:ascii="Wingdings" w:hAnsi="Wingdings" w:hint="default"/>
      </w:rPr>
    </w:lvl>
  </w:abstractNum>
  <w:abstractNum w:abstractNumId="84" w15:restartNumberingAfterBreak="0">
    <w:nsid w:val="57186F56"/>
    <w:multiLevelType w:val="hybridMultilevel"/>
    <w:tmpl w:val="F17A8F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 w15:restartNumberingAfterBreak="0">
    <w:nsid w:val="58341AC2"/>
    <w:multiLevelType w:val="hybridMultilevel"/>
    <w:tmpl w:val="A82AF1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6" w15:restartNumberingAfterBreak="0">
    <w:nsid w:val="58591686"/>
    <w:multiLevelType w:val="hybridMultilevel"/>
    <w:tmpl w:val="9E384DDE"/>
    <w:lvl w:ilvl="0" w:tplc="8FD8B6EC">
      <w:start w:val="1"/>
      <w:numFmt w:val="bullet"/>
      <w:lvlText w:val=""/>
      <w:lvlJc w:val="left"/>
      <w:pPr>
        <w:ind w:left="720" w:hanging="360"/>
      </w:pPr>
      <w:rPr>
        <w:rFonts w:ascii="Symbol" w:hAnsi="Symbol"/>
      </w:rPr>
    </w:lvl>
    <w:lvl w:ilvl="1" w:tplc="EADECF00">
      <w:start w:val="1"/>
      <w:numFmt w:val="bullet"/>
      <w:lvlText w:val=""/>
      <w:lvlJc w:val="left"/>
      <w:pPr>
        <w:ind w:left="720" w:hanging="360"/>
      </w:pPr>
      <w:rPr>
        <w:rFonts w:ascii="Symbol" w:hAnsi="Symbol"/>
      </w:rPr>
    </w:lvl>
    <w:lvl w:ilvl="2" w:tplc="E58244F8">
      <w:start w:val="1"/>
      <w:numFmt w:val="bullet"/>
      <w:lvlText w:val=""/>
      <w:lvlJc w:val="left"/>
      <w:pPr>
        <w:ind w:left="720" w:hanging="360"/>
      </w:pPr>
      <w:rPr>
        <w:rFonts w:ascii="Symbol" w:hAnsi="Symbol"/>
      </w:rPr>
    </w:lvl>
    <w:lvl w:ilvl="3" w:tplc="58D0821E">
      <w:start w:val="1"/>
      <w:numFmt w:val="bullet"/>
      <w:lvlText w:val=""/>
      <w:lvlJc w:val="left"/>
      <w:pPr>
        <w:ind w:left="720" w:hanging="360"/>
      </w:pPr>
      <w:rPr>
        <w:rFonts w:ascii="Symbol" w:hAnsi="Symbol"/>
      </w:rPr>
    </w:lvl>
    <w:lvl w:ilvl="4" w:tplc="51A6C1EC">
      <w:start w:val="1"/>
      <w:numFmt w:val="bullet"/>
      <w:lvlText w:val=""/>
      <w:lvlJc w:val="left"/>
      <w:pPr>
        <w:ind w:left="720" w:hanging="360"/>
      </w:pPr>
      <w:rPr>
        <w:rFonts w:ascii="Symbol" w:hAnsi="Symbol"/>
      </w:rPr>
    </w:lvl>
    <w:lvl w:ilvl="5" w:tplc="EF40FA0C">
      <w:start w:val="1"/>
      <w:numFmt w:val="bullet"/>
      <w:lvlText w:val=""/>
      <w:lvlJc w:val="left"/>
      <w:pPr>
        <w:ind w:left="720" w:hanging="360"/>
      </w:pPr>
      <w:rPr>
        <w:rFonts w:ascii="Symbol" w:hAnsi="Symbol"/>
      </w:rPr>
    </w:lvl>
    <w:lvl w:ilvl="6" w:tplc="2A44DB20">
      <w:start w:val="1"/>
      <w:numFmt w:val="bullet"/>
      <w:lvlText w:val=""/>
      <w:lvlJc w:val="left"/>
      <w:pPr>
        <w:ind w:left="720" w:hanging="360"/>
      </w:pPr>
      <w:rPr>
        <w:rFonts w:ascii="Symbol" w:hAnsi="Symbol"/>
      </w:rPr>
    </w:lvl>
    <w:lvl w:ilvl="7" w:tplc="D3D07944">
      <w:start w:val="1"/>
      <w:numFmt w:val="bullet"/>
      <w:lvlText w:val=""/>
      <w:lvlJc w:val="left"/>
      <w:pPr>
        <w:ind w:left="720" w:hanging="360"/>
      </w:pPr>
      <w:rPr>
        <w:rFonts w:ascii="Symbol" w:hAnsi="Symbol"/>
      </w:rPr>
    </w:lvl>
    <w:lvl w:ilvl="8" w:tplc="AEEE6128">
      <w:start w:val="1"/>
      <w:numFmt w:val="bullet"/>
      <w:lvlText w:val=""/>
      <w:lvlJc w:val="left"/>
      <w:pPr>
        <w:ind w:left="720" w:hanging="360"/>
      </w:pPr>
      <w:rPr>
        <w:rFonts w:ascii="Symbol" w:hAnsi="Symbol"/>
      </w:rPr>
    </w:lvl>
  </w:abstractNum>
  <w:abstractNum w:abstractNumId="87" w15:restartNumberingAfterBreak="0">
    <w:nsid w:val="590A01A8"/>
    <w:multiLevelType w:val="hybridMultilevel"/>
    <w:tmpl w:val="F1FE5F20"/>
    <w:lvl w:ilvl="0" w:tplc="B840F028">
      <w:start w:val="1"/>
      <w:numFmt w:val="bullet"/>
      <w:lvlText w:val=""/>
      <w:lvlJc w:val="left"/>
      <w:pPr>
        <w:ind w:left="720" w:hanging="360"/>
      </w:pPr>
      <w:rPr>
        <w:rFonts w:ascii="Symbol" w:hAnsi="Symbol" w:hint="default"/>
      </w:rPr>
    </w:lvl>
    <w:lvl w:ilvl="1" w:tplc="B0A65C88">
      <w:start w:val="1"/>
      <w:numFmt w:val="bullet"/>
      <w:lvlText w:val="o"/>
      <w:lvlJc w:val="left"/>
      <w:pPr>
        <w:ind w:left="1440" w:hanging="360"/>
      </w:pPr>
      <w:rPr>
        <w:rFonts w:ascii="Courier New" w:hAnsi="Courier New" w:hint="default"/>
      </w:rPr>
    </w:lvl>
    <w:lvl w:ilvl="2" w:tplc="2932CA90">
      <w:start w:val="1"/>
      <w:numFmt w:val="bullet"/>
      <w:lvlText w:val=""/>
      <w:lvlJc w:val="left"/>
      <w:pPr>
        <w:ind w:left="2160" w:hanging="360"/>
      </w:pPr>
      <w:rPr>
        <w:rFonts w:ascii="Wingdings" w:hAnsi="Wingdings" w:hint="default"/>
      </w:rPr>
    </w:lvl>
    <w:lvl w:ilvl="3" w:tplc="86BE8758">
      <w:start w:val="1"/>
      <w:numFmt w:val="bullet"/>
      <w:lvlText w:val=""/>
      <w:lvlJc w:val="left"/>
      <w:pPr>
        <w:ind w:left="2880" w:hanging="360"/>
      </w:pPr>
      <w:rPr>
        <w:rFonts w:ascii="Symbol" w:hAnsi="Symbol" w:hint="default"/>
      </w:rPr>
    </w:lvl>
    <w:lvl w:ilvl="4" w:tplc="D71C0C7E">
      <w:start w:val="1"/>
      <w:numFmt w:val="bullet"/>
      <w:lvlText w:val="o"/>
      <w:lvlJc w:val="left"/>
      <w:pPr>
        <w:ind w:left="3600" w:hanging="360"/>
      </w:pPr>
      <w:rPr>
        <w:rFonts w:ascii="Courier New" w:hAnsi="Courier New" w:hint="default"/>
      </w:rPr>
    </w:lvl>
    <w:lvl w:ilvl="5" w:tplc="A7BED226">
      <w:start w:val="1"/>
      <w:numFmt w:val="bullet"/>
      <w:lvlText w:val=""/>
      <w:lvlJc w:val="left"/>
      <w:pPr>
        <w:ind w:left="4320" w:hanging="360"/>
      </w:pPr>
      <w:rPr>
        <w:rFonts w:ascii="Wingdings" w:hAnsi="Wingdings" w:hint="default"/>
      </w:rPr>
    </w:lvl>
    <w:lvl w:ilvl="6" w:tplc="80EA1366">
      <w:start w:val="1"/>
      <w:numFmt w:val="bullet"/>
      <w:lvlText w:val=""/>
      <w:lvlJc w:val="left"/>
      <w:pPr>
        <w:ind w:left="5040" w:hanging="360"/>
      </w:pPr>
      <w:rPr>
        <w:rFonts w:ascii="Symbol" w:hAnsi="Symbol" w:hint="default"/>
      </w:rPr>
    </w:lvl>
    <w:lvl w:ilvl="7" w:tplc="987A2A62">
      <w:start w:val="1"/>
      <w:numFmt w:val="bullet"/>
      <w:lvlText w:val="o"/>
      <w:lvlJc w:val="left"/>
      <w:pPr>
        <w:ind w:left="5760" w:hanging="360"/>
      </w:pPr>
      <w:rPr>
        <w:rFonts w:ascii="Courier New" w:hAnsi="Courier New" w:hint="default"/>
      </w:rPr>
    </w:lvl>
    <w:lvl w:ilvl="8" w:tplc="43F6C2F8">
      <w:start w:val="1"/>
      <w:numFmt w:val="bullet"/>
      <w:lvlText w:val=""/>
      <w:lvlJc w:val="left"/>
      <w:pPr>
        <w:ind w:left="6480" w:hanging="360"/>
      </w:pPr>
      <w:rPr>
        <w:rFonts w:ascii="Wingdings" w:hAnsi="Wingdings" w:hint="default"/>
      </w:rPr>
    </w:lvl>
  </w:abstractNum>
  <w:abstractNum w:abstractNumId="88" w15:restartNumberingAfterBreak="0">
    <w:nsid w:val="59962BA9"/>
    <w:multiLevelType w:val="hybridMultilevel"/>
    <w:tmpl w:val="6AF6E9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9" w15:restartNumberingAfterBreak="0">
    <w:nsid w:val="5C711648"/>
    <w:multiLevelType w:val="multilevel"/>
    <w:tmpl w:val="E7705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5CB55FA4"/>
    <w:multiLevelType w:val="multilevel"/>
    <w:tmpl w:val="E1A63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CE6258F"/>
    <w:multiLevelType w:val="hybridMultilevel"/>
    <w:tmpl w:val="AC304BCA"/>
    <w:lvl w:ilvl="0" w:tplc="0C090001">
      <w:start w:val="1"/>
      <w:numFmt w:val="bullet"/>
      <w:lvlText w:val=""/>
      <w:lvlJc w:val="left"/>
      <w:pPr>
        <w:ind w:left="720" w:hanging="360"/>
      </w:pPr>
      <w:rPr>
        <w:rFonts w:ascii="Symbol" w:hAnsi="Symbol" w:hint="default"/>
      </w:rPr>
    </w:lvl>
    <w:lvl w:ilvl="1" w:tplc="09869B8A">
      <w:numFmt w:val="bullet"/>
      <w:lvlText w:val="•"/>
      <w:lvlJc w:val="left"/>
      <w:pPr>
        <w:ind w:left="1800" w:hanging="720"/>
      </w:pPr>
      <w:rPr>
        <w:rFonts w:ascii="Arial" w:eastAsia="MS Mincho"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2" w15:restartNumberingAfterBreak="0">
    <w:nsid w:val="5D5723DC"/>
    <w:multiLevelType w:val="hybridMultilevel"/>
    <w:tmpl w:val="C15ECA68"/>
    <w:lvl w:ilvl="0" w:tplc="C5F843CE">
      <w:start w:val="2025"/>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3" w15:restartNumberingAfterBreak="0">
    <w:nsid w:val="5DD92369"/>
    <w:multiLevelType w:val="hybridMultilevel"/>
    <w:tmpl w:val="5C1E8920"/>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4" w15:restartNumberingAfterBreak="0">
    <w:nsid w:val="5E856B78"/>
    <w:multiLevelType w:val="hybridMultilevel"/>
    <w:tmpl w:val="676612F8"/>
    <w:lvl w:ilvl="0" w:tplc="131EC978">
      <w:start w:val="1"/>
      <w:numFmt w:val="bullet"/>
      <w:lvlText w:val=""/>
      <w:lvlJc w:val="left"/>
      <w:pPr>
        <w:ind w:left="720" w:hanging="360"/>
      </w:pPr>
      <w:rPr>
        <w:rFonts w:ascii="Symbol" w:hAnsi="Symbol"/>
      </w:rPr>
    </w:lvl>
    <w:lvl w:ilvl="1" w:tplc="7FB0003C">
      <w:start w:val="1"/>
      <w:numFmt w:val="bullet"/>
      <w:lvlText w:val=""/>
      <w:lvlJc w:val="left"/>
      <w:pPr>
        <w:ind w:left="720" w:hanging="360"/>
      </w:pPr>
      <w:rPr>
        <w:rFonts w:ascii="Symbol" w:hAnsi="Symbol"/>
      </w:rPr>
    </w:lvl>
    <w:lvl w:ilvl="2" w:tplc="79DC7316">
      <w:start w:val="1"/>
      <w:numFmt w:val="bullet"/>
      <w:lvlText w:val=""/>
      <w:lvlJc w:val="left"/>
      <w:pPr>
        <w:ind w:left="720" w:hanging="360"/>
      </w:pPr>
      <w:rPr>
        <w:rFonts w:ascii="Symbol" w:hAnsi="Symbol"/>
      </w:rPr>
    </w:lvl>
    <w:lvl w:ilvl="3" w:tplc="A13638F0">
      <w:start w:val="1"/>
      <w:numFmt w:val="bullet"/>
      <w:lvlText w:val=""/>
      <w:lvlJc w:val="left"/>
      <w:pPr>
        <w:ind w:left="720" w:hanging="360"/>
      </w:pPr>
      <w:rPr>
        <w:rFonts w:ascii="Symbol" w:hAnsi="Symbol"/>
      </w:rPr>
    </w:lvl>
    <w:lvl w:ilvl="4" w:tplc="D28E16EA">
      <w:start w:val="1"/>
      <w:numFmt w:val="bullet"/>
      <w:lvlText w:val=""/>
      <w:lvlJc w:val="left"/>
      <w:pPr>
        <w:ind w:left="720" w:hanging="360"/>
      </w:pPr>
      <w:rPr>
        <w:rFonts w:ascii="Symbol" w:hAnsi="Symbol"/>
      </w:rPr>
    </w:lvl>
    <w:lvl w:ilvl="5" w:tplc="873A4342">
      <w:start w:val="1"/>
      <w:numFmt w:val="bullet"/>
      <w:lvlText w:val=""/>
      <w:lvlJc w:val="left"/>
      <w:pPr>
        <w:ind w:left="720" w:hanging="360"/>
      </w:pPr>
      <w:rPr>
        <w:rFonts w:ascii="Symbol" w:hAnsi="Symbol"/>
      </w:rPr>
    </w:lvl>
    <w:lvl w:ilvl="6" w:tplc="9C726D08">
      <w:start w:val="1"/>
      <w:numFmt w:val="bullet"/>
      <w:lvlText w:val=""/>
      <w:lvlJc w:val="left"/>
      <w:pPr>
        <w:ind w:left="720" w:hanging="360"/>
      </w:pPr>
      <w:rPr>
        <w:rFonts w:ascii="Symbol" w:hAnsi="Symbol"/>
      </w:rPr>
    </w:lvl>
    <w:lvl w:ilvl="7" w:tplc="2F985692">
      <w:start w:val="1"/>
      <w:numFmt w:val="bullet"/>
      <w:lvlText w:val=""/>
      <w:lvlJc w:val="left"/>
      <w:pPr>
        <w:ind w:left="720" w:hanging="360"/>
      </w:pPr>
      <w:rPr>
        <w:rFonts w:ascii="Symbol" w:hAnsi="Symbol"/>
      </w:rPr>
    </w:lvl>
    <w:lvl w:ilvl="8" w:tplc="B31A63B2">
      <w:start w:val="1"/>
      <w:numFmt w:val="bullet"/>
      <w:lvlText w:val=""/>
      <w:lvlJc w:val="left"/>
      <w:pPr>
        <w:ind w:left="720" w:hanging="360"/>
      </w:pPr>
      <w:rPr>
        <w:rFonts w:ascii="Symbol" w:hAnsi="Symbol"/>
      </w:rPr>
    </w:lvl>
  </w:abstractNum>
  <w:abstractNum w:abstractNumId="95" w15:restartNumberingAfterBreak="0">
    <w:nsid w:val="5ED5532E"/>
    <w:multiLevelType w:val="hybridMultilevel"/>
    <w:tmpl w:val="9500ADE4"/>
    <w:lvl w:ilvl="0" w:tplc="927AEB4C">
      <w:start w:val="1"/>
      <w:numFmt w:val="bullet"/>
      <w:lvlText w:val=""/>
      <w:lvlJc w:val="left"/>
      <w:pPr>
        <w:ind w:left="720" w:hanging="360"/>
      </w:pPr>
      <w:rPr>
        <w:rFonts w:ascii="Symbol" w:hAnsi="Symbol"/>
      </w:rPr>
    </w:lvl>
    <w:lvl w:ilvl="1" w:tplc="5EF2CF4A">
      <w:start w:val="1"/>
      <w:numFmt w:val="bullet"/>
      <w:lvlText w:val=""/>
      <w:lvlJc w:val="left"/>
      <w:pPr>
        <w:ind w:left="720" w:hanging="360"/>
      </w:pPr>
      <w:rPr>
        <w:rFonts w:ascii="Symbol" w:hAnsi="Symbol"/>
      </w:rPr>
    </w:lvl>
    <w:lvl w:ilvl="2" w:tplc="E3BAF5E0">
      <w:start w:val="1"/>
      <w:numFmt w:val="bullet"/>
      <w:lvlText w:val=""/>
      <w:lvlJc w:val="left"/>
      <w:pPr>
        <w:ind w:left="720" w:hanging="360"/>
      </w:pPr>
      <w:rPr>
        <w:rFonts w:ascii="Symbol" w:hAnsi="Symbol"/>
      </w:rPr>
    </w:lvl>
    <w:lvl w:ilvl="3" w:tplc="1C0659FC">
      <w:start w:val="1"/>
      <w:numFmt w:val="bullet"/>
      <w:lvlText w:val=""/>
      <w:lvlJc w:val="left"/>
      <w:pPr>
        <w:ind w:left="720" w:hanging="360"/>
      </w:pPr>
      <w:rPr>
        <w:rFonts w:ascii="Symbol" w:hAnsi="Symbol"/>
      </w:rPr>
    </w:lvl>
    <w:lvl w:ilvl="4" w:tplc="821E435A">
      <w:start w:val="1"/>
      <w:numFmt w:val="bullet"/>
      <w:lvlText w:val=""/>
      <w:lvlJc w:val="left"/>
      <w:pPr>
        <w:ind w:left="720" w:hanging="360"/>
      </w:pPr>
      <w:rPr>
        <w:rFonts w:ascii="Symbol" w:hAnsi="Symbol"/>
      </w:rPr>
    </w:lvl>
    <w:lvl w:ilvl="5" w:tplc="686666DC">
      <w:start w:val="1"/>
      <w:numFmt w:val="bullet"/>
      <w:lvlText w:val=""/>
      <w:lvlJc w:val="left"/>
      <w:pPr>
        <w:ind w:left="720" w:hanging="360"/>
      </w:pPr>
      <w:rPr>
        <w:rFonts w:ascii="Symbol" w:hAnsi="Symbol"/>
      </w:rPr>
    </w:lvl>
    <w:lvl w:ilvl="6" w:tplc="84B22E26">
      <w:start w:val="1"/>
      <w:numFmt w:val="bullet"/>
      <w:lvlText w:val=""/>
      <w:lvlJc w:val="left"/>
      <w:pPr>
        <w:ind w:left="720" w:hanging="360"/>
      </w:pPr>
      <w:rPr>
        <w:rFonts w:ascii="Symbol" w:hAnsi="Symbol"/>
      </w:rPr>
    </w:lvl>
    <w:lvl w:ilvl="7" w:tplc="B5F85FA2">
      <w:start w:val="1"/>
      <w:numFmt w:val="bullet"/>
      <w:lvlText w:val=""/>
      <w:lvlJc w:val="left"/>
      <w:pPr>
        <w:ind w:left="720" w:hanging="360"/>
      </w:pPr>
      <w:rPr>
        <w:rFonts w:ascii="Symbol" w:hAnsi="Symbol"/>
      </w:rPr>
    </w:lvl>
    <w:lvl w:ilvl="8" w:tplc="3AD8EA56">
      <w:start w:val="1"/>
      <w:numFmt w:val="bullet"/>
      <w:lvlText w:val=""/>
      <w:lvlJc w:val="left"/>
      <w:pPr>
        <w:ind w:left="720" w:hanging="360"/>
      </w:pPr>
      <w:rPr>
        <w:rFonts w:ascii="Symbol" w:hAnsi="Symbol"/>
      </w:rPr>
    </w:lvl>
  </w:abstractNum>
  <w:abstractNum w:abstractNumId="96" w15:restartNumberingAfterBreak="0">
    <w:nsid w:val="5FD24E1C"/>
    <w:multiLevelType w:val="multilevel"/>
    <w:tmpl w:val="C0CAB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0166B75"/>
    <w:multiLevelType w:val="multilevel"/>
    <w:tmpl w:val="75DE2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21228F8"/>
    <w:multiLevelType w:val="multilevel"/>
    <w:tmpl w:val="DB2CC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2715182"/>
    <w:multiLevelType w:val="multilevel"/>
    <w:tmpl w:val="50AAE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2F52592"/>
    <w:multiLevelType w:val="hybridMultilevel"/>
    <w:tmpl w:val="FFFFFFFF"/>
    <w:lvl w:ilvl="0" w:tplc="D9BA4852">
      <w:start w:val="1"/>
      <w:numFmt w:val="bullet"/>
      <w:lvlText w:val="·"/>
      <w:lvlJc w:val="left"/>
      <w:pPr>
        <w:ind w:left="720" w:hanging="360"/>
      </w:pPr>
      <w:rPr>
        <w:rFonts w:ascii="Symbol" w:hAnsi="Symbol" w:hint="default"/>
      </w:rPr>
    </w:lvl>
    <w:lvl w:ilvl="1" w:tplc="F3689BAC">
      <w:start w:val="1"/>
      <w:numFmt w:val="bullet"/>
      <w:lvlText w:val="o"/>
      <w:lvlJc w:val="left"/>
      <w:pPr>
        <w:ind w:left="1440" w:hanging="360"/>
      </w:pPr>
      <w:rPr>
        <w:rFonts w:ascii="Courier New" w:hAnsi="Courier New" w:hint="default"/>
      </w:rPr>
    </w:lvl>
    <w:lvl w:ilvl="2" w:tplc="C3A2CD9C">
      <w:start w:val="1"/>
      <w:numFmt w:val="bullet"/>
      <w:lvlText w:val=""/>
      <w:lvlJc w:val="left"/>
      <w:pPr>
        <w:ind w:left="2160" w:hanging="360"/>
      </w:pPr>
      <w:rPr>
        <w:rFonts w:ascii="Wingdings" w:hAnsi="Wingdings" w:hint="default"/>
      </w:rPr>
    </w:lvl>
    <w:lvl w:ilvl="3" w:tplc="6E4A88FE">
      <w:start w:val="1"/>
      <w:numFmt w:val="bullet"/>
      <w:lvlText w:val=""/>
      <w:lvlJc w:val="left"/>
      <w:pPr>
        <w:ind w:left="2880" w:hanging="360"/>
      </w:pPr>
      <w:rPr>
        <w:rFonts w:ascii="Symbol" w:hAnsi="Symbol" w:hint="default"/>
      </w:rPr>
    </w:lvl>
    <w:lvl w:ilvl="4" w:tplc="E3D03040">
      <w:start w:val="1"/>
      <w:numFmt w:val="bullet"/>
      <w:lvlText w:val="o"/>
      <w:lvlJc w:val="left"/>
      <w:pPr>
        <w:ind w:left="3600" w:hanging="360"/>
      </w:pPr>
      <w:rPr>
        <w:rFonts w:ascii="Courier New" w:hAnsi="Courier New" w:hint="default"/>
      </w:rPr>
    </w:lvl>
    <w:lvl w:ilvl="5" w:tplc="5704B962">
      <w:start w:val="1"/>
      <w:numFmt w:val="bullet"/>
      <w:lvlText w:val=""/>
      <w:lvlJc w:val="left"/>
      <w:pPr>
        <w:ind w:left="4320" w:hanging="360"/>
      </w:pPr>
      <w:rPr>
        <w:rFonts w:ascii="Wingdings" w:hAnsi="Wingdings" w:hint="default"/>
      </w:rPr>
    </w:lvl>
    <w:lvl w:ilvl="6" w:tplc="6330C360">
      <w:start w:val="1"/>
      <w:numFmt w:val="bullet"/>
      <w:lvlText w:val=""/>
      <w:lvlJc w:val="left"/>
      <w:pPr>
        <w:ind w:left="5040" w:hanging="360"/>
      </w:pPr>
      <w:rPr>
        <w:rFonts w:ascii="Symbol" w:hAnsi="Symbol" w:hint="default"/>
      </w:rPr>
    </w:lvl>
    <w:lvl w:ilvl="7" w:tplc="D4764D24">
      <w:start w:val="1"/>
      <w:numFmt w:val="bullet"/>
      <w:lvlText w:val="o"/>
      <w:lvlJc w:val="left"/>
      <w:pPr>
        <w:ind w:left="5760" w:hanging="360"/>
      </w:pPr>
      <w:rPr>
        <w:rFonts w:ascii="Courier New" w:hAnsi="Courier New" w:hint="default"/>
      </w:rPr>
    </w:lvl>
    <w:lvl w:ilvl="8" w:tplc="E926E266">
      <w:start w:val="1"/>
      <w:numFmt w:val="bullet"/>
      <w:lvlText w:val=""/>
      <w:lvlJc w:val="left"/>
      <w:pPr>
        <w:ind w:left="6480" w:hanging="360"/>
      </w:pPr>
      <w:rPr>
        <w:rFonts w:ascii="Wingdings" w:hAnsi="Wingdings" w:hint="default"/>
      </w:rPr>
    </w:lvl>
  </w:abstractNum>
  <w:abstractNum w:abstractNumId="101" w15:restartNumberingAfterBreak="0">
    <w:nsid w:val="652632A9"/>
    <w:multiLevelType w:val="hybridMultilevel"/>
    <w:tmpl w:val="5346F434"/>
    <w:lvl w:ilvl="0" w:tplc="F5EAB52E">
      <w:start w:val="1"/>
      <w:numFmt w:val="bullet"/>
      <w:lvlText w:val=""/>
      <w:lvlJc w:val="left"/>
      <w:pPr>
        <w:ind w:left="720" w:hanging="360"/>
      </w:pPr>
      <w:rPr>
        <w:rFonts w:ascii="Symbol" w:hAnsi="Symbol"/>
      </w:rPr>
    </w:lvl>
    <w:lvl w:ilvl="1" w:tplc="35EE6B9C">
      <w:start w:val="1"/>
      <w:numFmt w:val="bullet"/>
      <w:lvlText w:val=""/>
      <w:lvlJc w:val="left"/>
      <w:pPr>
        <w:ind w:left="720" w:hanging="360"/>
      </w:pPr>
      <w:rPr>
        <w:rFonts w:ascii="Symbol" w:hAnsi="Symbol"/>
      </w:rPr>
    </w:lvl>
    <w:lvl w:ilvl="2" w:tplc="C97AC642">
      <w:start w:val="1"/>
      <w:numFmt w:val="bullet"/>
      <w:lvlText w:val=""/>
      <w:lvlJc w:val="left"/>
      <w:pPr>
        <w:ind w:left="720" w:hanging="360"/>
      </w:pPr>
      <w:rPr>
        <w:rFonts w:ascii="Symbol" w:hAnsi="Symbol"/>
      </w:rPr>
    </w:lvl>
    <w:lvl w:ilvl="3" w:tplc="58483524">
      <w:start w:val="1"/>
      <w:numFmt w:val="bullet"/>
      <w:lvlText w:val=""/>
      <w:lvlJc w:val="left"/>
      <w:pPr>
        <w:ind w:left="720" w:hanging="360"/>
      </w:pPr>
      <w:rPr>
        <w:rFonts w:ascii="Symbol" w:hAnsi="Symbol"/>
      </w:rPr>
    </w:lvl>
    <w:lvl w:ilvl="4" w:tplc="36582C94">
      <w:start w:val="1"/>
      <w:numFmt w:val="bullet"/>
      <w:lvlText w:val=""/>
      <w:lvlJc w:val="left"/>
      <w:pPr>
        <w:ind w:left="720" w:hanging="360"/>
      </w:pPr>
      <w:rPr>
        <w:rFonts w:ascii="Symbol" w:hAnsi="Symbol"/>
      </w:rPr>
    </w:lvl>
    <w:lvl w:ilvl="5" w:tplc="989AEF6C">
      <w:start w:val="1"/>
      <w:numFmt w:val="bullet"/>
      <w:lvlText w:val=""/>
      <w:lvlJc w:val="left"/>
      <w:pPr>
        <w:ind w:left="720" w:hanging="360"/>
      </w:pPr>
      <w:rPr>
        <w:rFonts w:ascii="Symbol" w:hAnsi="Symbol"/>
      </w:rPr>
    </w:lvl>
    <w:lvl w:ilvl="6" w:tplc="A970C460">
      <w:start w:val="1"/>
      <w:numFmt w:val="bullet"/>
      <w:lvlText w:val=""/>
      <w:lvlJc w:val="left"/>
      <w:pPr>
        <w:ind w:left="720" w:hanging="360"/>
      </w:pPr>
      <w:rPr>
        <w:rFonts w:ascii="Symbol" w:hAnsi="Symbol"/>
      </w:rPr>
    </w:lvl>
    <w:lvl w:ilvl="7" w:tplc="3CB07E66">
      <w:start w:val="1"/>
      <w:numFmt w:val="bullet"/>
      <w:lvlText w:val=""/>
      <w:lvlJc w:val="left"/>
      <w:pPr>
        <w:ind w:left="720" w:hanging="360"/>
      </w:pPr>
      <w:rPr>
        <w:rFonts w:ascii="Symbol" w:hAnsi="Symbol"/>
      </w:rPr>
    </w:lvl>
    <w:lvl w:ilvl="8" w:tplc="AC2A6B42">
      <w:start w:val="1"/>
      <w:numFmt w:val="bullet"/>
      <w:lvlText w:val=""/>
      <w:lvlJc w:val="left"/>
      <w:pPr>
        <w:ind w:left="720" w:hanging="360"/>
      </w:pPr>
      <w:rPr>
        <w:rFonts w:ascii="Symbol" w:hAnsi="Symbol"/>
      </w:rPr>
    </w:lvl>
  </w:abstractNum>
  <w:abstractNum w:abstractNumId="102" w15:restartNumberingAfterBreak="0">
    <w:nsid w:val="680E2FC1"/>
    <w:multiLevelType w:val="multilevel"/>
    <w:tmpl w:val="7068D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9901804"/>
    <w:multiLevelType w:val="hybridMultilevel"/>
    <w:tmpl w:val="197023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4" w15:restartNumberingAfterBreak="0">
    <w:nsid w:val="6AAA38AA"/>
    <w:multiLevelType w:val="hybridMultilevel"/>
    <w:tmpl w:val="FFE8011E"/>
    <w:lvl w:ilvl="0" w:tplc="43300774">
      <w:start w:val="1"/>
      <w:numFmt w:val="bullet"/>
      <w:lvlText w:val=""/>
      <w:lvlJc w:val="left"/>
      <w:pPr>
        <w:ind w:left="720" w:hanging="360"/>
      </w:pPr>
      <w:rPr>
        <w:rFonts w:ascii="Symbol" w:hAnsi="Symbol"/>
      </w:rPr>
    </w:lvl>
    <w:lvl w:ilvl="1" w:tplc="2B62A242">
      <w:start w:val="1"/>
      <w:numFmt w:val="bullet"/>
      <w:lvlText w:val=""/>
      <w:lvlJc w:val="left"/>
      <w:pPr>
        <w:ind w:left="720" w:hanging="360"/>
      </w:pPr>
      <w:rPr>
        <w:rFonts w:ascii="Symbol" w:hAnsi="Symbol"/>
      </w:rPr>
    </w:lvl>
    <w:lvl w:ilvl="2" w:tplc="68F04090">
      <w:start w:val="1"/>
      <w:numFmt w:val="bullet"/>
      <w:lvlText w:val=""/>
      <w:lvlJc w:val="left"/>
      <w:pPr>
        <w:ind w:left="720" w:hanging="360"/>
      </w:pPr>
      <w:rPr>
        <w:rFonts w:ascii="Symbol" w:hAnsi="Symbol"/>
      </w:rPr>
    </w:lvl>
    <w:lvl w:ilvl="3" w:tplc="47584FEE">
      <w:start w:val="1"/>
      <w:numFmt w:val="bullet"/>
      <w:lvlText w:val=""/>
      <w:lvlJc w:val="left"/>
      <w:pPr>
        <w:ind w:left="720" w:hanging="360"/>
      </w:pPr>
      <w:rPr>
        <w:rFonts w:ascii="Symbol" w:hAnsi="Symbol"/>
      </w:rPr>
    </w:lvl>
    <w:lvl w:ilvl="4" w:tplc="EA545CE2">
      <w:start w:val="1"/>
      <w:numFmt w:val="bullet"/>
      <w:lvlText w:val=""/>
      <w:lvlJc w:val="left"/>
      <w:pPr>
        <w:ind w:left="720" w:hanging="360"/>
      </w:pPr>
      <w:rPr>
        <w:rFonts w:ascii="Symbol" w:hAnsi="Symbol"/>
      </w:rPr>
    </w:lvl>
    <w:lvl w:ilvl="5" w:tplc="A7364460">
      <w:start w:val="1"/>
      <w:numFmt w:val="bullet"/>
      <w:lvlText w:val=""/>
      <w:lvlJc w:val="left"/>
      <w:pPr>
        <w:ind w:left="720" w:hanging="360"/>
      </w:pPr>
      <w:rPr>
        <w:rFonts w:ascii="Symbol" w:hAnsi="Symbol"/>
      </w:rPr>
    </w:lvl>
    <w:lvl w:ilvl="6" w:tplc="7494EC3A">
      <w:start w:val="1"/>
      <w:numFmt w:val="bullet"/>
      <w:lvlText w:val=""/>
      <w:lvlJc w:val="left"/>
      <w:pPr>
        <w:ind w:left="720" w:hanging="360"/>
      </w:pPr>
      <w:rPr>
        <w:rFonts w:ascii="Symbol" w:hAnsi="Symbol"/>
      </w:rPr>
    </w:lvl>
    <w:lvl w:ilvl="7" w:tplc="18EC81C6">
      <w:start w:val="1"/>
      <w:numFmt w:val="bullet"/>
      <w:lvlText w:val=""/>
      <w:lvlJc w:val="left"/>
      <w:pPr>
        <w:ind w:left="720" w:hanging="360"/>
      </w:pPr>
      <w:rPr>
        <w:rFonts w:ascii="Symbol" w:hAnsi="Symbol"/>
      </w:rPr>
    </w:lvl>
    <w:lvl w:ilvl="8" w:tplc="1AF6C0C6">
      <w:start w:val="1"/>
      <w:numFmt w:val="bullet"/>
      <w:lvlText w:val=""/>
      <w:lvlJc w:val="left"/>
      <w:pPr>
        <w:ind w:left="720" w:hanging="360"/>
      </w:pPr>
      <w:rPr>
        <w:rFonts w:ascii="Symbol" w:hAnsi="Symbol"/>
      </w:rPr>
    </w:lvl>
  </w:abstractNum>
  <w:abstractNum w:abstractNumId="105" w15:restartNumberingAfterBreak="0">
    <w:nsid w:val="6BE32B13"/>
    <w:multiLevelType w:val="hybridMultilevel"/>
    <w:tmpl w:val="60029C88"/>
    <w:lvl w:ilvl="0" w:tplc="96F00440">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64744F2A">
      <w:numFmt w:val="bullet"/>
      <w:lvlText w:val="•"/>
      <w:lvlJc w:val="left"/>
      <w:pPr>
        <w:ind w:left="749" w:hanging="252"/>
      </w:pPr>
      <w:rPr>
        <w:rFonts w:hint="default"/>
        <w:lang w:val="en-US" w:eastAsia="en-US" w:bidi="ar-SA"/>
      </w:rPr>
    </w:lvl>
    <w:lvl w:ilvl="2" w:tplc="805A5E2E">
      <w:numFmt w:val="bullet"/>
      <w:lvlText w:val="•"/>
      <w:lvlJc w:val="left"/>
      <w:pPr>
        <w:ind w:left="1139" w:hanging="252"/>
      </w:pPr>
      <w:rPr>
        <w:rFonts w:hint="default"/>
        <w:lang w:val="en-US" w:eastAsia="en-US" w:bidi="ar-SA"/>
      </w:rPr>
    </w:lvl>
    <w:lvl w:ilvl="3" w:tplc="7AC42910">
      <w:numFmt w:val="bullet"/>
      <w:lvlText w:val="•"/>
      <w:lvlJc w:val="left"/>
      <w:pPr>
        <w:ind w:left="1528" w:hanging="252"/>
      </w:pPr>
      <w:rPr>
        <w:rFonts w:hint="default"/>
        <w:lang w:val="en-US" w:eastAsia="en-US" w:bidi="ar-SA"/>
      </w:rPr>
    </w:lvl>
    <w:lvl w:ilvl="4" w:tplc="99DE640C">
      <w:numFmt w:val="bullet"/>
      <w:lvlText w:val="•"/>
      <w:lvlJc w:val="left"/>
      <w:pPr>
        <w:ind w:left="1918" w:hanging="252"/>
      </w:pPr>
      <w:rPr>
        <w:rFonts w:hint="default"/>
        <w:lang w:val="en-US" w:eastAsia="en-US" w:bidi="ar-SA"/>
      </w:rPr>
    </w:lvl>
    <w:lvl w:ilvl="5" w:tplc="B74ED044">
      <w:numFmt w:val="bullet"/>
      <w:lvlText w:val="•"/>
      <w:lvlJc w:val="left"/>
      <w:pPr>
        <w:ind w:left="2307" w:hanging="252"/>
      </w:pPr>
      <w:rPr>
        <w:rFonts w:hint="default"/>
        <w:lang w:val="en-US" w:eastAsia="en-US" w:bidi="ar-SA"/>
      </w:rPr>
    </w:lvl>
    <w:lvl w:ilvl="6" w:tplc="8168E45C">
      <w:numFmt w:val="bullet"/>
      <w:lvlText w:val="•"/>
      <w:lvlJc w:val="left"/>
      <w:pPr>
        <w:ind w:left="2697" w:hanging="252"/>
      </w:pPr>
      <w:rPr>
        <w:rFonts w:hint="default"/>
        <w:lang w:val="en-US" w:eastAsia="en-US" w:bidi="ar-SA"/>
      </w:rPr>
    </w:lvl>
    <w:lvl w:ilvl="7" w:tplc="34B8CD78">
      <w:numFmt w:val="bullet"/>
      <w:lvlText w:val="•"/>
      <w:lvlJc w:val="left"/>
      <w:pPr>
        <w:ind w:left="3086" w:hanging="252"/>
      </w:pPr>
      <w:rPr>
        <w:rFonts w:hint="default"/>
        <w:lang w:val="en-US" w:eastAsia="en-US" w:bidi="ar-SA"/>
      </w:rPr>
    </w:lvl>
    <w:lvl w:ilvl="8" w:tplc="1606376E">
      <w:numFmt w:val="bullet"/>
      <w:lvlText w:val="•"/>
      <w:lvlJc w:val="left"/>
      <w:pPr>
        <w:ind w:left="3476" w:hanging="252"/>
      </w:pPr>
      <w:rPr>
        <w:rFonts w:hint="default"/>
        <w:lang w:val="en-US" w:eastAsia="en-US" w:bidi="ar-SA"/>
      </w:rPr>
    </w:lvl>
  </w:abstractNum>
  <w:abstractNum w:abstractNumId="106" w15:restartNumberingAfterBreak="0">
    <w:nsid w:val="6C0E35BB"/>
    <w:multiLevelType w:val="hybridMultilevel"/>
    <w:tmpl w:val="0ABAC628"/>
    <w:lvl w:ilvl="0" w:tplc="6B5040C6">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3F2C0132">
      <w:numFmt w:val="bullet"/>
      <w:lvlText w:val="•"/>
      <w:lvlJc w:val="left"/>
      <w:pPr>
        <w:ind w:left="749" w:hanging="252"/>
      </w:pPr>
      <w:rPr>
        <w:rFonts w:hint="default"/>
        <w:lang w:val="en-US" w:eastAsia="en-US" w:bidi="ar-SA"/>
      </w:rPr>
    </w:lvl>
    <w:lvl w:ilvl="2" w:tplc="2BFA87D4">
      <w:numFmt w:val="bullet"/>
      <w:lvlText w:val="•"/>
      <w:lvlJc w:val="left"/>
      <w:pPr>
        <w:ind w:left="1139" w:hanging="252"/>
      </w:pPr>
      <w:rPr>
        <w:rFonts w:hint="default"/>
        <w:lang w:val="en-US" w:eastAsia="en-US" w:bidi="ar-SA"/>
      </w:rPr>
    </w:lvl>
    <w:lvl w:ilvl="3" w:tplc="6CB281F6">
      <w:numFmt w:val="bullet"/>
      <w:lvlText w:val="•"/>
      <w:lvlJc w:val="left"/>
      <w:pPr>
        <w:ind w:left="1528" w:hanging="252"/>
      </w:pPr>
      <w:rPr>
        <w:rFonts w:hint="default"/>
        <w:lang w:val="en-US" w:eastAsia="en-US" w:bidi="ar-SA"/>
      </w:rPr>
    </w:lvl>
    <w:lvl w:ilvl="4" w:tplc="59FEBA2C">
      <w:numFmt w:val="bullet"/>
      <w:lvlText w:val="•"/>
      <w:lvlJc w:val="left"/>
      <w:pPr>
        <w:ind w:left="1918" w:hanging="252"/>
      </w:pPr>
      <w:rPr>
        <w:rFonts w:hint="default"/>
        <w:lang w:val="en-US" w:eastAsia="en-US" w:bidi="ar-SA"/>
      </w:rPr>
    </w:lvl>
    <w:lvl w:ilvl="5" w:tplc="B866D404">
      <w:numFmt w:val="bullet"/>
      <w:lvlText w:val="•"/>
      <w:lvlJc w:val="left"/>
      <w:pPr>
        <w:ind w:left="2307" w:hanging="252"/>
      </w:pPr>
      <w:rPr>
        <w:rFonts w:hint="default"/>
        <w:lang w:val="en-US" w:eastAsia="en-US" w:bidi="ar-SA"/>
      </w:rPr>
    </w:lvl>
    <w:lvl w:ilvl="6" w:tplc="2C029CD0">
      <w:numFmt w:val="bullet"/>
      <w:lvlText w:val="•"/>
      <w:lvlJc w:val="left"/>
      <w:pPr>
        <w:ind w:left="2697" w:hanging="252"/>
      </w:pPr>
      <w:rPr>
        <w:rFonts w:hint="default"/>
        <w:lang w:val="en-US" w:eastAsia="en-US" w:bidi="ar-SA"/>
      </w:rPr>
    </w:lvl>
    <w:lvl w:ilvl="7" w:tplc="58065CC8">
      <w:numFmt w:val="bullet"/>
      <w:lvlText w:val="•"/>
      <w:lvlJc w:val="left"/>
      <w:pPr>
        <w:ind w:left="3086" w:hanging="252"/>
      </w:pPr>
      <w:rPr>
        <w:rFonts w:hint="default"/>
        <w:lang w:val="en-US" w:eastAsia="en-US" w:bidi="ar-SA"/>
      </w:rPr>
    </w:lvl>
    <w:lvl w:ilvl="8" w:tplc="BDECC008">
      <w:numFmt w:val="bullet"/>
      <w:lvlText w:val="•"/>
      <w:lvlJc w:val="left"/>
      <w:pPr>
        <w:ind w:left="3476" w:hanging="252"/>
      </w:pPr>
      <w:rPr>
        <w:rFonts w:hint="default"/>
        <w:lang w:val="en-US" w:eastAsia="en-US" w:bidi="ar-SA"/>
      </w:rPr>
    </w:lvl>
  </w:abstractNum>
  <w:abstractNum w:abstractNumId="107" w15:restartNumberingAfterBreak="0">
    <w:nsid w:val="6D8A1FA1"/>
    <w:multiLevelType w:val="hybridMultilevel"/>
    <w:tmpl w:val="4F560E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8" w15:restartNumberingAfterBreak="0">
    <w:nsid w:val="6DAA73E2"/>
    <w:multiLevelType w:val="hybridMultilevel"/>
    <w:tmpl w:val="EA067C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9" w15:restartNumberingAfterBreak="0">
    <w:nsid w:val="6E8773DC"/>
    <w:multiLevelType w:val="multilevel"/>
    <w:tmpl w:val="36FA9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6EA92148"/>
    <w:multiLevelType w:val="hybridMultilevel"/>
    <w:tmpl w:val="F99A2022"/>
    <w:lvl w:ilvl="0" w:tplc="2FDECCE4">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C48CE232">
      <w:numFmt w:val="bullet"/>
      <w:lvlText w:val="•"/>
      <w:lvlJc w:val="left"/>
      <w:pPr>
        <w:ind w:left="749" w:hanging="252"/>
      </w:pPr>
      <w:rPr>
        <w:rFonts w:hint="default"/>
        <w:lang w:val="en-US" w:eastAsia="en-US" w:bidi="ar-SA"/>
      </w:rPr>
    </w:lvl>
    <w:lvl w:ilvl="2" w:tplc="5BECD094">
      <w:numFmt w:val="bullet"/>
      <w:lvlText w:val="•"/>
      <w:lvlJc w:val="left"/>
      <w:pPr>
        <w:ind w:left="1139" w:hanging="252"/>
      </w:pPr>
      <w:rPr>
        <w:rFonts w:hint="default"/>
        <w:lang w:val="en-US" w:eastAsia="en-US" w:bidi="ar-SA"/>
      </w:rPr>
    </w:lvl>
    <w:lvl w:ilvl="3" w:tplc="34146374">
      <w:numFmt w:val="bullet"/>
      <w:lvlText w:val="•"/>
      <w:lvlJc w:val="left"/>
      <w:pPr>
        <w:ind w:left="1528" w:hanging="252"/>
      </w:pPr>
      <w:rPr>
        <w:rFonts w:hint="default"/>
        <w:lang w:val="en-US" w:eastAsia="en-US" w:bidi="ar-SA"/>
      </w:rPr>
    </w:lvl>
    <w:lvl w:ilvl="4" w:tplc="E4D434AE">
      <w:numFmt w:val="bullet"/>
      <w:lvlText w:val="•"/>
      <w:lvlJc w:val="left"/>
      <w:pPr>
        <w:ind w:left="1918" w:hanging="252"/>
      </w:pPr>
      <w:rPr>
        <w:rFonts w:hint="default"/>
        <w:lang w:val="en-US" w:eastAsia="en-US" w:bidi="ar-SA"/>
      </w:rPr>
    </w:lvl>
    <w:lvl w:ilvl="5" w:tplc="743A5DEE">
      <w:numFmt w:val="bullet"/>
      <w:lvlText w:val="•"/>
      <w:lvlJc w:val="left"/>
      <w:pPr>
        <w:ind w:left="2307" w:hanging="252"/>
      </w:pPr>
      <w:rPr>
        <w:rFonts w:hint="default"/>
        <w:lang w:val="en-US" w:eastAsia="en-US" w:bidi="ar-SA"/>
      </w:rPr>
    </w:lvl>
    <w:lvl w:ilvl="6" w:tplc="C79A0F4E">
      <w:numFmt w:val="bullet"/>
      <w:lvlText w:val="•"/>
      <w:lvlJc w:val="left"/>
      <w:pPr>
        <w:ind w:left="2697" w:hanging="252"/>
      </w:pPr>
      <w:rPr>
        <w:rFonts w:hint="default"/>
        <w:lang w:val="en-US" w:eastAsia="en-US" w:bidi="ar-SA"/>
      </w:rPr>
    </w:lvl>
    <w:lvl w:ilvl="7" w:tplc="8C1CA3F4">
      <w:numFmt w:val="bullet"/>
      <w:lvlText w:val="•"/>
      <w:lvlJc w:val="left"/>
      <w:pPr>
        <w:ind w:left="3086" w:hanging="252"/>
      </w:pPr>
      <w:rPr>
        <w:rFonts w:hint="default"/>
        <w:lang w:val="en-US" w:eastAsia="en-US" w:bidi="ar-SA"/>
      </w:rPr>
    </w:lvl>
    <w:lvl w:ilvl="8" w:tplc="2FFA009A">
      <w:numFmt w:val="bullet"/>
      <w:lvlText w:val="•"/>
      <w:lvlJc w:val="left"/>
      <w:pPr>
        <w:ind w:left="3476" w:hanging="252"/>
      </w:pPr>
      <w:rPr>
        <w:rFonts w:hint="default"/>
        <w:lang w:val="en-US" w:eastAsia="en-US" w:bidi="ar-SA"/>
      </w:rPr>
    </w:lvl>
  </w:abstractNum>
  <w:abstractNum w:abstractNumId="111" w15:restartNumberingAfterBreak="0">
    <w:nsid w:val="73206960"/>
    <w:multiLevelType w:val="hybridMultilevel"/>
    <w:tmpl w:val="A8320A16"/>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112" w15:restartNumberingAfterBreak="0">
    <w:nsid w:val="764E5638"/>
    <w:multiLevelType w:val="hybridMultilevel"/>
    <w:tmpl w:val="C0E007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3" w15:restartNumberingAfterBreak="0">
    <w:nsid w:val="771D6B81"/>
    <w:multiLevelType w:val="hybridMultilevel"/>
    <w:tmpl w:val="0EF8967E"/>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114" w15:restartNumberingAfterBreak="0">
    <w:nsid w:val="77263579"/>
    <w:multiLevelType w:val="hybridMultilevel"/>
    <w:tmpl w:val="255A414E"/>
    <w:lvl w:ilvl="0" w:tplc="B9BCDEE6">
      <w:start w:val="1"/>
      <w:numFmt w:val="bullet"/>
      <w:lvlText w:val=""/>
      <w:lvlJc w:val="left"/>
      <w:pPr>
        <w:ind w:left="720" w:hanging="360"/>
      </w:pPr>
      <w:rPr>
        <w:rFonts w:ascii="Symbol" w:hAnsi="Symbol"/>
      </w:rPr>
    </w:lvl>
    <w:lvl w:ilvl="1" w:tplc="A70A9E54">
      <w:start w:val="1"/>
      <w:numFmt w:val="bullet"/>
      <w:lvlText w:val=""/>
      <w:lvlJc w:val="left"/>
      <w:pPr>
        <w:ind w:left="720" w:hanging="360"/>
      </w:pPr>
      <w:rPr>
        <w:rFonts w:ascii="Symbol" w:hAnsi="Symbol"/>
      </w:rPr>
    </w:lvl>
    <w:lvl w:ilvl="2" w:tplc="8D1A943C">
      <w:start w:val="1"/>
      <w:numFmt w:val="bullet"/>
      <w:lvlText w:val=""/>
      <w:lvlJc w:val="left"/>
      <w:pPr>
        <w:ind w:left="720" w:hanging="360"/>
      </w:pPr>
      <w:rPr>
        <w:rFonts w:ascii="Symbol" w:hAnsi="Symbol"/>
      </w:rPr>
    </w:lvl>
    <w:lvl w:ilvl="3" w:tplc="5DBA18D8">
      <w:start w:val="1"/>
      <w:numFmt w:val="bullet"/>
      <w:lvlText w:val=""/>
      <w:lvlJc w:val="left"/>
      <w:pPr>
        <w:ind w:left="720" w:hanging="360"/>
      </w:pPr>
      <w:rPr>
        <w:rFonts w:ascii="Symbol" w:hAnsi="Symbol"/>
      </w:rPr>
    </w:lvl>
    <w:lvl w:ilvl="4" w:tplc="9D987B9E">
      <w:start w:val="1"/>
      <w:numFmt w:val="bullet"/>
      <w:lvlText w:val=""/>
      <w:lvlJc w:val="left"/>
      <w:pPr>
        <w:ind w:left="720" w:hanging="360"/>
      </w:pPr>
      <w:rPr>
        <w:rFonts w:ascii="Symbol" w:hAnsi="Symbol"/>
      </w:rPr>
    </w:lvl>
    <w:lvl w:ilvl="5" w:tplc="D0003066">
      <w:start w:val="1"/>
      <w:numFmt w:val="bullet"/>
      <w:lvlText w:val=""/>
      <w:lvlJc w:val="left"/>
      <w:pPr>
        <w:ind w:left="720" w:hanging="360"/>
      </w:pPr>
      <w:rPr>
        <w:rFonts w:ascii="Symbol" w:hAnsi="Symbol"/>
      </w:rPr>
    </w:lvl>
    <w:lvl w:ilvl="6" w:tplc="409634C6">
      <w:start w:val="1"/>
      <w:numFmt w:val="bullet"/>
      <w:lvlText w:val=""/>
      <w:lvlJc w:val="left"/>
      <w:pPr>
        <w:ind w:left="720" w:hanging="360"/>
      </w:pPr>
      <w:rPr>
        <w:rFonts w:ascii="Symbol" w:hAnsi="Symbol"/>
      </w:rPr>
    </w:lvl>
    <w:lvl w:ilvl="7" w:tplc="F844EFB2">
      <w:start w:val="1"/>
      <w:numFmt w:val="bullet"/>
      <w:lvlText w:val=""/>
      <w:lvlJc w:val="left"/>
      <w:pPr>
        <w:ind w:left="720" w:hanging="360"/>
      </w:pPr>
      <w:rPr>
        <w:rFonts w:ascii="Symbol" w:hAnsi="Symbol"/>
      </w:rPr>
    </w:lvl>
    <w:lvl w:ilvl="8" w:tplc="1960C064">
      <w:start w:val="1"/>
      <w:numFmt w:val="bullet"/>
      <w:lvlText w:val=""/>
      <w:lvlJc w:val="left"/>
      <w:pPr>
        <w:ind w:left="720" w:hanging="360"/>
      </w:pPr>
      <w:rPr>
        <w:rFonts w:ascii="Symbol" w:hAnsi="Symbol"/>
      </w:rPr>
    </w:lvl>
  </w:abstractNum>
  <w:abstractNum w:abstractNumId="115" w15:restartNumberingAfterBreak="0">
    <w:nsid w:val="7785772A"/>
    <w:multiLevelType w:val="hybridMultilevel"/>
    <w:tmpl w:val="8C82EB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6" w15:restartNumberingAfterBreak="0">
    <w:nsid w:val="79174538"/>
    <w:multiLevelType w:val="hybridMultilevel"/>
    <w:tmpl w:val="786A0E0E"/>
    <w:lvl w:ilvl="0" w:tplc="782800E2">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5EAC8A9A">
      <w:numFmt w:val="bullet"/>
      <w:lvlText w:val="•"/>
      <w:lvlJc w:val="left"/>
      <w:pPr>
        <w:ind w:left="749" w:hanging="252"/>
      </w:pPr>
      <w:rPr>
        <w:rFonts w:hint="default"/>
        <w:lang w:val="en-US" w:eastAsia="en-US" w:bidi="ar-SA"/>
      </w:rPr>
    </w:lvl>
    <w:lvl w:ilvl="2" w:tplc="BF525690">
      <w:numFmt w:val="bullet"/>
      <w:lvlText w:val="•"/>
      <w:lvlJc w:val="left"/>
      <w:pPr>
        <w:ind w:left="1139" w:hanging="252"/>
      </w:pPr>
      <w:rPr>
        <w:rFonts w:hint="default"/>
        <w:lang w:val="en-US" w:eastAsia="en-US" w:bidi="ar-SA"/>
      </w:rPr>
    </w:lvl>
    <w:lvl w:ilvl="3" w:tplc="3D4AD2F0">
      <w:numFmt w:val="bullet"/>
      <w:lvlText w:val="•"/>
      <w:lvlJc w:val="left"/>
      <w:pPr>
        <w:ind w:left="1528" w:hanging="252"/>
      </w:pPr>
      <w:rPr>
        <w:rFonts w:hint="default"/>
        <w:lang w:val="en-US" w:eastAsia="en-US" w:bidi="ar-SA"/>
      </w:rPr>
    </w:lvl>
    <w:lvl w:ilvl="4" w:tplc="C2E20C66">
      <w:numFmt w:val="bullet"/>
      <w:lvlText w:val="•"/>
      <w:lvlJc w:val="left"/>
      <w:pPr>
        <w:ind w:left="1918" w:hanging="252"/>
      </w:pPr>
      <w:rPr>
        <w:rFonts w:hint="default"/>
        <w:lang w:val="en-US" w:eastAsia="en-US" w:bidi="ar-SA"/>
      </w:rPr>
    </w:lvl>
    <w:lvl w:ilvl="5" w:tplc="1804B6D6">
      <w:numFmt w:val="bullet"/>
      <w:lvlText w:val="•"/>
      <w:lvlJc w:val="left"/>
      <w:pPr>
        <w:ind w:left="2307" w:hanging="252"/>
      </w:pPr>
      <w:rPr>
        <w:rFonts w:hint="default"/>
        <w:lang w:val="en-US" w:eastAsia="en-US" w:bidi="ar-SA"/>
      </w:rPr>
    </w:lvl>
    <w:lvl w:ilvl="6" w:tplc="DC6A6BEE">
      <w:numFmt w:val="bullet"/>
      <w:lvlText w:val="•"/>
      <w:lvlJc w:val="left"/>
      <w:pPr>
        <w:ind w:left="2697" w:hanging="252"/>
      </w:pPr>
      <w:rPr>
        <w:rFonts w:hint="default"/>
        <w:lang w:val="en-US" w:eastAsia="en-US" w:bidi="ar-SA"/>
      </w:rPr>
    </w:lvl>
    <w:lvl w:ilvl="7" w:tplc="148A3E58">
      <w:numFmt w:val="bullet"/>
      <w:lvlText w:val="•"/>
      <w:lvlJc w:val="left"/>
      <w:pPr>
        <w:ind w:left="3086" w:hanging="252"/>
      </w:pPr>
      <w:rPr>
        <w:rFonts w:hint="default"/>
        <w:lang w:val="en-US" w:eastAsia="en-US" w:bidi="ar-SA"/>
      </w:rPr>
    </w:lvl>
    <w:lvl w:ilvl="8" w:tplc="0FB2987A">
      <w:numFmt w:val="bullet"/>
      <w:lvlText w:val="•"/>
      <w:lvlJc w:val="left"/>
      <w:pPr>
        <w:ind w:left="3476" w:hanging="252"/>
      </w:pPr>
      <w:rPr>
        <w:rFonts w:hint="default"/>
        <w:lang w:val="en-US" w:eastAsia="en-US" w:bidi="ar-SA"/>
      </w:rPr>
    </w:lvl>
  </w:abstractNum>
  <w:abstractNum w:abstractNumId="117" w15:restartNumberingAfterBreak="0">
    <w:nsid w:val="7A2C3DE1"/>
    <w:multiLevelType w:val="multilevel"/>
    <w:tmpl w:val="43D83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7C1B60F2"/>
    <w:multiLevelType w:val="hybridMultilevel"/>
    <w:tmpl w:val="F900188A"/>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119" w15:restartNumberingAfterBreak="0">
    <w:nsid w:val="7CF3B8EA"/>
    <w:multiLevelType w:val="hybridMultilevel"/>
    <w:tmpl w:val="B83C8E9E"/>
    <w:lvl w:ilvl="0" w:tplc="DBE44028">
      <w:start w:val="1"/>
      <w:numFmt w:val="bullet"/>
      <w:lvlText w:val=""/>
      <w:lvlJc w:val="left"/>
      <w:pPr>
        <w:ind w:left="720" w:hanging="360"/>
      </w:pPr>
      <w:rPr>
        <w:rFonts w:ascii="Symbol" w:hAnsi="Symbol" w:hint="default"/>
      </w:rPr>
    </w:lvl>
    <w:lvl w:ilvl="1" w:tplc="D460E6E2">
      <w:start w:val="1"/>
      <w:numFmt w:val="bullet"/>
      <w:lvlText w:val="o"/>
      <w:lvlJc w:val="left"/>
      <w:pPr>
        <w:ind w:left="1440" w:hanging="360"/>
      </w:pPr>
      <w:rPr>
        <w:rFonts w:ascii="Courier New" w:hAnsi="Courier New" w:hint="default"/>
      </w:rPr>
    </w:lvl>
    <w:lvl w:ilvl="2" w:tplc="F8B4C43E">
      <w:start w:val="1"/>
      <w:numFmt w:val="bullet"/>
      <w:lvlText w:val=""/>
      <w:lvlJc w:val="left"/>
      <w:pPr>
        <w:ind w:left="2160" w:hanging="360"/>
      </w:pPr>
      <w:rPr>
        <w:rFonts w:ascii="Wingdings" w:hAnsi="Wingdings" w:hint="default"/>
      </w:rPr>
    </w:lvl>
    <w:lvl w:ilvl="3" w:tplc="2E585060">
      <w:start w:val="1"/>
      <w:numFmt w:val="bullet"/>
      <w:lvlText w:val=""/>
      <w:lvlJc w:val="left"/>
      <w:pPr>
        <w:ind w:left="2880" w:hanging="360"/>
      </w:pPr>
      <w:rPr>
        <w:rFonts w:ascii="Symbol" w:hAnsi="Symbol" w:hint="default"/>
      </w:rPr>
    </w:lvl>
    <w:lvl w:ilvl="4" w:tplc="C9E6FC30">
      <w:start w:val="1"/>
      <w:numFmt w:val="bullet"/>
      <w:lvlText w:val="o"/>
      <w:lvlJc w:val="left"/>
      <w:pPr>
        <w:ind w:left="3600" w:hanging="360"/>
      </w:pPr>
      <w:rPr>
        <w:rFonts w:ascii="Courier New" w:hAnsi="Courier New" w:hint="default"/>
      </w:rPr>
    </w:lvl>
    <w:lvl w:ilvl="5" w:tplc="5C36E514">
      <w:start w:val="1"/>
      <w:numFmt w:val="bullet"/>
      <w:lvlText w:val=""/>
      <w:lvlJc w:val="left"/>
      <w:pPr>
        <w:ind w:left="4320" w:hanging="360"/>
      </w:pPr>
      <w:rPr>
        <w:rFonts w:ascii="Wingdings" w:hAnsi="Wingdings" w:hint="default"/>
      </w:rPr>
    </w:lvl>
    <w:lvl w:ilvl="6" w:tplc="C67293D8">
      <w:start w:val="1"/>
      <w:numFmt w:val="bullet"/>
      <w:lvlText w:val=""/>
      <w:lvlJc w:val="left"/>
      <w:pPr>
        <w:ind w:left="5040" w:hanging="360"/>
      </w:pPr>
      <w:rPr>
        <w:rFonts w:ascii="Symbol" w:hAnsi="Symbol" w:hint="default"/>
      </w:rPr>
    </w:lvl>
    <w:lvl w:ilvl="7" w:tplc="41D85D9E">
      <w:start w:val="1"/>
      <w:numFmt w:val="bullet"/>
      <w:lvlText w:val="o"/>
      <w:lvlJc w:val="left"/>
      <w:pPr>
        <w:ind w:left="5760" w:hanging="360"/>
      </w:pPr>
      <w:rPr>
        <w:rFonts w:ascii="Courier New" w:hAnsi="Courier New" w:hint="default"/>
      </w:rPr>
    </w:lvl>
    <w:lvl w:ilvl="8" w:tplc="CCA67D6E">
      <w:start w:val="1"/>
      <w:numFmt w:val="bullet"/>
      <w:lvlText w:val=""/>
      <w:lvlJc w:val="left"/>
      <w:pPr>
        <w:ind w:left="6480" w:hanging="360"/>
      </w:pPr>
      <w:rPr>
        <w:rFonts w:ascii="Wingdings" w:hAnsi="Wingdings" w:hint="default"/>
      </w:rPr>
    </w:lvl>
  </w:abstractNum>
  <w:abstractNum w:abstractNumId="120" w15:restartNumberingAfterBreak="0">
    <w:nsid w:val="7D5319D4"/>
    <w:multiLevelType w:val="hybridMultilevel"/>
    <w:tmpl w:val="07B87840"/>
    <w:lvl w:ilvl="0" w:tplc="D4BA68DA">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E614428E">
      <w:numFmt w:val="bullet"/>
      <w:lvlText w:val="•"/>
      <w:lvlJc w:val="left"/>
      <w:pPr>
        <w:ind w:left="749" w:hanging="252"/>
      </w:pPr>
      <w:rPr>
        <w:rFonts w:hint="default"/>
        <w:lang w:val="en-US" w:eastAsia="en-US" w:bidi="ar-SA"/>
      </w:rPr>
    </w:lvl>
    <w:lvl w:ilvl="2" w:tplc="C506EA42">
      <w:numFmt w:val="bullet"/>
      <w:lvlText w:val="•"/>
      <w:lvlJc w:val="left"/>
      <w:pPr>
        <w:ind w:left="1139" w:hanging="252"/>
      </w:pPr>
      <w:rPr>
        <w:rFonts w:hint="default"/>
        <w:lang w:val="en-US" w:eastAsia="en-US" w:bidi="ar-SA"/>
      </w:rPr>
    </w:lvl>
    <w:lvl w:ilvl="3" w:tplc="97DA0D9E">
      <w:numFmt w:val="bullet"/>
      <w:lvlText w:val="•"/>
      <w:lvlJc w:val="left"/>
      <w:pPr>
        <w:ind w:left="1528" w:hanging="252"/>
      </w:pPr>
      <w:rPr>
        <w:rFonts w:hint="default"/>
        <w:lang w:val="en-US" w:eastAsia="en-US" w:bidi="ar-SA"/>
      </w:rPr>
    </w:lvl>
    <w:lvl w:ilvl="4" w:tplc="C9C2972E">
      <w:numFmt w:val="bullet"/>
      <w:lvlText w:val="•"/>
      <w:lvlJc w:val="left"/>
      <w:pPr>
        <w:ind w:left="1918" w:hanging="252"/>
      </w:pPr>
      <w:rPr>
        <w:rFonts w:hint="default"/>
        <w:lang w:val="en-US" w:eastAsia="en-US" w:bidi="ar-SA"/>
      </w:rPr>
    </w:lvl>
    <w:lvl w:ilvl="5" w:tplc="4D5C486C">
      <w:numFmt w:val="bullet"/>
      <w:lvlText w:val="•"/>
      <w:lvlJc w:val="left"/>
      <w:pPr>
        <w:ind w:left="2307" w:hanging="252"/>
      </w:pPr>
      <w:rPr>
        <w:rFonts w:hint="default"/>
        <w:lang w:val="en-US" w:eastAsia="en-US" w:bidi="ar-SA"/>
      </w:rPr>
    </w:lvl>
    <w:lvl w:ilvl="6" w:tplc="D536FACE">
      <w:numFmt w:val="bullet"/>
      <w:lvlText w:val="•"/>
      <w:lvlJc w:val="left"/>
      <w:pPr>
        <w:ind w:left="2697" w:hanging="252"/>
      </w:pPr>
      <w:rPr>
        <w:rFonts w:hint="default"/>
        <w:lang w:val="en-US" w:eastAsia="en-US" w:bidi="ar-SA"/>
      </w:rPr>
    </w:lvl>
    <w:lvl w:ilvl="7" w:tplc="3CCE17A0">
      <w:numFmt w:val="bullet"/>
      <w:lvlText w:val="•"/>
      <w:lvlJc w:val="left"/>
      <w:pPr>
        <w:ind w:left="3086" w:hanging="252"/>
      </w:pPr>
      <w:rPr>
        <w:rFonts w:hint="default"/>
        <w:lang w:val="en-US" w:eastAsia="en-US" w:bidi="ar-SA"/>
      </w:rPr>
    </w:lvl>
    <w:lvl w:ilvl="8" w:tplc="926847BC">
      <w:numFmt w:val="bullet"/>
      <w:lvlText w:val="•"/>
      <w:lvlJc w:val="left"/>
      <w:pPr>
        <w:ind w:left="3476" w:hanging="252"/>
      </w:pPr>
      <w:rPr>
        <w:rFonts w:hint="default"/>
        <w:lang w:val="en-US" w:eastAsia="en-US" w:bidi="ar-SA"/>
      </w:rPr>
    </w:lvl>
  </w:abstractNum>
  <w:abstractNum w:abstractNumId="121" w15:restartNumberingAfterBreak="0">
    <w:nsid w:val="7D726089"/>
    <w:multiLevelType w:val="hybridMultilevel"/>
    <w:tmpl w:val="51A0F51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2" w15:restartNumberingAfterBreak="0">
    <w:nsid w:val="7DFE3B88"/>
    <w:multiLevelType w:val="multilevel"/>
    <w:tmpl w:val="254E9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7E1A7DD4"/>
    <w:multiLevelType w:val="hybridMultilevel"/>
    <w:tmpl w:val="F0DCE4E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4" w15:restartNumberingAfterBreak="0">
    <w:nsid w:val="7E706925"/>
    <w:multiLevelType w:val="multilevel"/>
    <w:tmpl w:val="F50EAC84"/>
    <w:lvl w:ilvl="0">
      <w:start w:val="1"/>
      <w:numFmt w:val="bullet"/>
      <w:pStyle w:val="EstimatesBullet1"/>
      <w:lvlText w:val=""/>
      <w:lvlJc w:val="left"/>
      <w:pPr>
        <w:tabs>
          <w:tab w:val="num" w:pos="284"/>
        </w:tabs>
        <w:ind w:left="284" w:hanging="284"/>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Arial" w:hAnsi="Aria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5" w15:restartNumberingAfterBreak="0">
    <w:nsid w:val="7F5E010F"/>
    <w:multiLevelType w:val="hybridMultilevel"/>
    <w:tmpl w:val="751C1ACA"/>
    <w:lvl w:ilvl="0" w:tplc="289AFFA4">
      <w:numFmt w:val="bullet"/>
      <w:lvlText w:val=""/>
      <w:lvlJc w:val="left"/>
      <w:pPr>
        <w:ind w:left="355" w:hanging="252"/>
      </w:pPr>
      <w:rPr>
        <w:rFonts w:ascii="Symbol" w:eastAsia="Symbol" w:hAnsi="Symbol" w:cs="Symbol" w:hint="default"/>
        <w:b w:val="0"/>
        <w:bCs w:val="0"/>
        <w:i w:val="0"/>
        <w:iCs w:val="0"/>
        <w:spacing w:val="0"/>
        <w:w w:val="100"/>
        <w:sz w:val="16"/>
        <w:szCs w:val="16"/>
        <w:lang w:val="en-US" w:eastAsia="en-US" w:bidi="ar-SA"/>
      </w:rPr>
    </w:lvl>
    <w:lvl w:ilvl="1" w:tplc="E7D800B8">
      <w:numFmt w:val="bullet"/>
      <w:lvlText w:val="•"/>
      <w:lvlJc w:val="left"/>
      <w:pPr>
        <w:ind w:left="749" w:hanging="252"/>
      </w:pPr>
      <w:rPr>
        <w:rFonts w:hint="default"/>
        <w:lang w:val="en-US" w:eastAsia="en-US" w:bidi="ar-SA"/>
      </w:rPr>
    </w:lvl>
    <w:lvl w:ilvl="2" w:tplc="03BEE1E2">
      <w:numFmt w:val="bullet"/>
      <w:lvlText w:val="•"/>
      <w:lvlJc w:val="left"/>
      <w:pPr>
        <w:ind w:left="1139" w:hanging="252"/>
      </w:pPr>
      <w:rPr>
        <w:rFonts w:hint="default"/>
        <w:lang w:val="en-US" w:eastAsia="en-US" w:bidi="ar-SA"/>
      </w:rPr>
    </w:lvl>
    <w:lvl w:ilvl="3" w:tplc="293EA6FE">
      <w:numFmt w:val="bullet"/>
      <w:lvlText w:val="•"/>
      <w:lvlJc w:val="left"/>
      <w:pPr>
        <w:ind w:left="1528" w:hanging="252"/>
      </w:pPr>
      <w:rPr>
        <w:rFonts w:hint="default"/>
        <w:lang w:val="en-US" w:eastAsia="en-US" w:bidi="ar-SA"/>
      </w:rPr>
    </w:lvl>
    <w:lvl w:ilvl="4" w:tplc="F09C1DDC">
      <w:numFmt w:val="bullet"/>
      <w:lvlText w:val="•"/>
      <w:lvlJc w:val="left"/>
      <w:pPr>
        <w:ind w:left="1918" w:hanging="252"/>
      </w:pPr>
      <w:rPr>
        <w:rFonts w:hint="default"/>
        <w:lang w:val="en-US" w:eastAsia="en-US" w:bidi="ar-SA"/>
      </w:rPr>
    </w:lvl>
    <w:lvl w:ilvl="5" w:tplc="C4AEE7A4">
      <w:numFmt w:val="bullet"/>
      <w:lvlText w:val="•"/>
      <w:lvlJc w:val="left"/>
      <w:pPr>
        <w:ind w:left="2307" w:hanging="252"/>
      </w:pPr>
      <w:rPr>
        <w:rFonts w:hint="default"/>
        <w:lang w:val="en-US" w:eastAsia="en-US" w:bidi="ar-SA"/>
      </w:rPr>
    </w:lvl>
    <w:lvl w:ilvl="6" w:tplc="22789CB6">
      <w:numFmt w:val="bullet"/>
      <w:lvlText w:val="•"/>
      <w:lvlJc w:val="left"/>
      <w:pPr>
        <w:ind w:left="2697" w:hanging="252"/>
      </w:pPr>
      <w:rPr>
        <w:rFonts w:hint="default"/>
        <w:lang w:val="en-US" w:eastAsia="en-US" w:bidi="ar-SA"/>
      </w:rPr>
    </w:lvl>
    <w:lvl w:ilvl="7" w:tplc="66FC2CB6">
      <w:numFmt w:val="bullet"/>
      <w:lvlText w:val="•"/>
      <w:lvlJc w:val="left"/>
      <w:pPr>
        <w:ind w:left="3086" w:hanging="252"/>
      </w:pPr>
      <w:rPr>
        <w:rFonts w:hint="default"/>
        <w:lang w:val="en-US" w:eastAsia="en-US" w:bidi="ar-SA"/>
      </w:rPr>
    </w:lvl>
    <w:lvl w:ilvl="8" w:tplc="8BFCDC18">
      <w:numFmt w:val="bullet"/>
      <w:lvlText w:val="•"/>
      <w:lvlJc w:val="left"/>
      <w:pPr>
        <w:ind w:left="3476" w:hanging="252"/>
      </w:pPr>
      <w:rPr>
        <w:rFonts w:hint="default"/>
        <w:lang w:val="en-US" w:eastAsia="en-US" w:bidi="ar-SA"/>
      </w:rPr>
    </w:lvl>
  </w:abstractNum>
  <w:num w:numId="1" w16cid:durableId="1925259618">
    <w:abstractNumId w:val="38"/>
  </w:num>
  <w:num w:numId="2" w16cid:durableId="1003169255">
    <w:abstractNumId w:val="79"/>
  </w:num>
  <w:num w:numId="3" w16cid:durableId="508520141">
    <w:abstractNumId w:val="87"/>
  </w:num>
  <w:num w:numId="4" w16cid:durableId="1744137808">
    <w:abstractNumId w:val="81"/>
  </w:num>
  <w:num w:numId="5" w16cid:durableId="1806073169">
    <w:abstractNumId w:val="57"/>
  </w:num>
  <w:num w:numId="6" w16cid:durableId="1044325998">
    <w:abstractNumId w:val="3"/>
  </w:num>
  <w:num w:numId="7" w16cid:durableId="208886642">
    <w:abstractNumId w:val="124"/>
  </w:num>
  <w:num w:numId="8" w16cid:durableId="338317667">
    <w:abstractNumId w:val="84"/>
  </w:num>
  <w:num w:numId="9" w16cid:durableId="1131260">
    <w:abstractNumId w:val="91"/>
  </w:num>
  <w:num w:numId="10" w16cid:durableId="2085490599">
    <w:abstractNumId w:val="63"/>
  </w:num>
  <w:num w:numId="11" w16cid:durableId="1155562430">
    <w:abstractNumId w:val="0"/>
  </w:num>
  <w:num w:numId="12" w16cid:durableId="1126656686">
    <w:abstractNumId w:val="103"/>
  </w:num>
  <w:num w:numId="13" w16cid:durableId="2034915857">
    <w:abstractNumId w:val="5"/>
  </w:num>
  <w:num w:numId="14" w16cid:durableId="2107537041">
    <w:abstractNumId w:val="85"/>
  </w:num>
  <w:num w:numId="15" w16cid:durableId="1155342976">
    <w:abstractNumId w:val="71"/>
  </w:num>
  <w:num w:numId="16" w16cid:durableId="357047179">
    <w:abstractNumId w:val="45"/>
  </w:num>
  <w:num w:numId="17" w16cid:durableId="1856338008">
    <w:abstractNumId w:val="119"/>
  </w:num>
  <w:num w:numId="18" w16cid:durableId="1688216495">
    <w:abstractNumId w:val="47"/>
  </w:num>
  <w:num w:numId="19" w16cid:durableId="1292907091">
    <w:abstractNumId w:val="17"/>
  </w:num>
  <w:num w:numId="20" w16cid:durableId="1050225415">
    <w:abstractNumId w:val="58"/>
  </w:num>
  <w:num w:numId="21" w16cid:durableId="1430662707">
    <w:abstractNumId w:val="32"/>
  </w:num>
  <w:num w:numId="22" w16cid:durableId="1140149134">
    <w:abstractNumId w:val="25"/>
  </w:num>
  <w:num w:numId="23" w16cid:durableId="1243030034">
    <w:abstractNumId w:val="82"/>
  </w:num>
  <w:num w:numId="24" w16cid:durableId="807473405">
    <w:abstractNumId w:val="6"/>
  </w:num>
  <w:num w:numId="25" w16cid:durableId="22363011">
    <w:abstractNumId w:val="21"/>
  </w:num>
  <w:num w:numId="26" w16cid:durableId="566038023">
    <w:abstractNumId w:val="110"/>
  </w:num>
  <w:num w:numId="27" w16cid:durableId="236088929">
    <w:abstractNumId w:val="105"/>
  </w:num>
  <w:num w:numId="28" w16cid:durableId="1084186627">
    <w:abstractNumId w:val="7"/>
  </w:num>
  <w:num w:numId="29" w16cid:durableId="518129095">
    <w:abstractNumId w:val="68"/>
  </w:num>
  <w:num w:numId="30" w16cid:durableId="1714498494">
    <w:abstractNumId w:val="15"/>
  </w:num>
  <w:num w:numId="31" w16cid:durableId="324817439">
    <w:abstractNumId w:val="66"/>
  </w:num>
  <w:num w:numId="32" w16cid:durableId="2074429695">
    <w:abstractNumId w:val="116"/>
  </w:num>
  <w:num w:numId="33" w16cid:durableId="132797867">
    <w:abstractNumId w:val="2"/>
  </w:num>
  <w:num w:numId="34" w16cid:durableId="2103212491">
    <w:abstractNumId w:val="26"/>
  </w:num>
  <w:num w:numId="35" w16cid:durableId="1799256786">
    <w:abstractNumId w:val="14"/>
  </w:num>
  <w:num w:numId="36" w16cid:durableId="916599034">
    <w:abstractNumId w:val="59"/>
  </w:num>
  <w:num w:numId="37" w16cid:durableId="69545943">
    <w:abstractNumId w:val="36"/>
  </w:num>
  <w:num w:numId="38" w16cid:durableId="1540362460">
    <w:abstractNumId w:val="11"/>
  </w:num>
  <w:num w:numId="39" w16cid:durableId="1008286877">
    <w:abstractNumId w:val="50"/>
  </w:num>
  <w:num w:numId="40" w16cid:durableId="383598594">
    <w:abstractNumId w:val="120"/>
  </w:num>
  <w:num w:numId="41" w16cid:durableId="394164090">
    <w:abstractNumId w:val="33"/>
  </w:num>
  <w:num w:numId="42" w16cid:durableId="1991472901">
    <w:abstractNumId w:val="54"/>
  </w:num>
  <w:num w:numId="43" w16cid:durableId="665787443">
    <w:abstractNumId w:val="106"/>
  </w:num>
  <w:num w:numId="44" w16cid:durableId="199128447">
    <w:abstractNumId w:val="76"/>
  </w:num>
  <w:num w:numId="45" w16cid:durableId="1968925168">
    <w:abstractNumId w:val="125"/>
  </w:num>
  <w:num w:numId="46" w16cid:durableId="886063899">
    <w:abstractNumId w:val="61"/>
  </w:num>
  <w:num w:numId="47" w16cid:durableId="132255407">
    <w:abstractNumId w:val="62"/>
  </w:num>
  <w:num w:numId="48" w16cid:durableId="1939100090">
    <w:abstractNumId w:val="34"/>
  </w:num>
  <w:num w:numId="49" w16cid:durableId="366177636">
    <w:abstractNumId w:val="37"/>
  </w:num>
  <w:num w:numId="50" w16cid:durableId="2103254348">
    <w:abstractNumId w:val="20"/>
  </w:num>
  <w:num w:numId="51" w16cid:durableId="403341165">
    <w:abstractNumId w:val="51"/>
  </w:num>
  <w:num w:numId="52" w16cid:durableId="1520848936">
    <w:abstractNumId w:val="80"/>
  </w:num>
  <w:num w:numId="53" w16cid:durableId="747386905">
    <w:abstractNumId w:val="69"/>
  </w:num>
  <w:num w:numId="54" w16cid:durableId="586768624">
    <w:abstractNumId w:val="93"/>
  </w:num>
  <w:num w:numId="55" w16cid:durableId="806896512">
    <w:abstractNumId w:val="48"/>
  </w:num>
  <w:num w:numId="56" w16cid:durableId="656306047">
    <w:abstractNumId w:val="28"/>
  </w:num>
  <w:num w:numId="57" w16cid:durableId="450519829">
    <w:abstractNumId w:val="88"/>
  </w:num>
  <w:num w:numId="58" w16cid:durableId="5055869">
    <w:abstractNumId w:val="18"/>
  </w:num>
  <w:num w:numId="59" w16cid:durableId="1947810091">
    <w:abstractNumId w:val="65"/>
  </w:num>
  <w:num w:numId="60" w16cid:durableId="1671785673">
    <w:abstractNumId w:val="56"/>
  </w:num>
  <w:num w:numId="61" w16cid:durableId="857038391">
    <w:abstractNumId w:val="53"/>
  </w:num>
  <w:num w:numId="62" w16cid:durableId="114374812">
    <w:abstractNumId w:val="78"/>
  </w:num>
  <w:num w:numId="63" w16cid:durableId="1375813854">
    <w:abstractNumId w:val="29"/>
  </w:num>
  <w:num w:numId="64" w16cid:durableId="503595717">
    <w:abstractNumId w:val="67"/>
  </w:num>
  <w:num w:numId="65" w16cid:durableId="1581139147">
    <w:abstractNumId w:val="100"/>
  </w:num>
  <w:num w:numId="66" w16cid:durableId="99372363">
    <w:abstractNumId w:val="115"/>
  </w:num>
  <w:num w:numId="67" w16cid:durableId="12734522">
    <w:abstractNumId w:val="123"/>
  </w:num>
  <w:num w:numId="68" w16cid:durableId="1740250295">
    <w:abstractNumId w:val="64"/>
  </w:num>
  <w:num w:numId="69" w16cid:durableId="218706284">
    <w:abstractNumId w:val="52"/>
  </w:num>
  <w:num w:numId="70" w16cid:durableId="1316227038">
    <w:abstractNumId w:val="112"/>
  </w:num>
  <w:num w:numId="71" w16cid:durableId="100421779">
    <w:abstractNumId w:val="92"/>
  </w:num>
  <w:num w:numId="72" w16cid:durableId="569389548">
    <w:abstractNumId w:val="70"/>
  </w:num>
  <w:num w:numId="73" w16cid:durableId="30809799">
    <w:abstractNumId w:val="96"/>
  </w:num>
  <w:num w:numId="74" w16cid:durableId="325741523">
    <w:abstractNumId w:val="122"/>
  </w:num>
  <w:num w:numId="75" w16cid:durableId="1649825005">
    <w:abstractNumId w:val="89"/>
  </w:num>
  <w:num w:numId="76" w16cid:durableId="1886485861">
    <w:abstractNumId w:val="73"/>
  </w:num>
  <w:num w:numId="77" w16cid:durableId="710303225">
    <w:abstractNumId w:val="109"/>
  </w:num>
  <w:num w:numId="78" w16cid:durableId="134033984">
    <w:abstractNumId w:val="99"/>
  </w:num>
  <w:num w:numId="79" w16cid:durableId="1410693105">
    <w:abstractNumId w:val="117"/>
  </w:num>
  <w:num w:numId="80" w16cid:durableId="1851410322">
    <w:abstractNumId w:val="24"/>
  </w:num>
  <w:num w:numId="81" w16cid:durableId="807086273">
    <w:abstractNumId w:val="90"/>
  </w:num>
  <w:num w:numId="82" w16cid:durableId="1632982930">
    <w:abstractNumId w:val="10"/>
  </w:num>
  <w:num w:numId="83" w16cid:durableId="1761876727">
    <w:abstractNumId w:val="60"/>
  </w:num>
  <w:num w:numId="84" w16cid:durableId="650985750">
    <w:abstractNumId w:val="27"/>
  </w:num>
  <w:num w:numId="85" w16cid:durableId="1514344539">
    <w:abstractNumId w:val="35"/>
  </w:num>
  <w:num w:numId="86" w16cid:durableId="922180518">
    <w:abstractNumId w:val="19"/>
  </w:num>
  <w:num w:numId="87" w16cid:durableId="2089299742">
    <w:abstractNumId w:val="43"/>
  </w:num>
  <w:num w:numId="88" w16cid:durableId="562446656">
    <w:abstractNumId w:val="97"/>
  </w:num>
  <w:num w:numId="89" w16cid:durableId="1514417948">
    <w:abstractNumId w:val="102"/>
  </w:num>
  <w:num w:numId="90" w16cid:durableId="31463157">
    <w:abstractNumId w:val="12"/>
  </w:num>
  <w:num w:numId="91" w16cid:durableId="1326207983">
    <w:abstractNumId w:val="98"/>
  </w:num>
  <w:num w:numId="92" w16cid:durableId="2098821751">
    <w:abstractNumId w:val="121"/>
  </w:num>
  <w:num w:numId="93" w16cid:durableId="1086534179">
    <w:abstractNumId w:val="22"/>
  </w:num>
  <w:num w:numId="94" w16cid:durableId="728578300">
    <w:abstractNumId w:val="83"/>
  </w:num>
  <w:num w:numId="95" w16cid:durableId="325675194">
    <w:abstractNumId w:val="74"/>
  </w:num>
  <w:num w:numId="96" w16cid:durableId="1515457791">
    <w:abstractNumId w:val="46"/>
  </w:num>
  <w:num w:numId="97" w16cid:durableId="1846556455">
    <w:abstractNumId w:val="13"/>
  </w:num>
  <w:num w:numId="98" w16cid:durableId="1477648938">
    <w:abstractNumId w:val="1"/>
  </w:num>
  <w:num w:numId="99" w16cid:durableId="469052517">
    <w:abstractNumId w:val="31"/>
  </w:num>
  <w:num w:numId="100" w16cid:durableId="192310983">
    <w:abstractNumId w:val="30"/>
  </w:num>
  <w:num w:numId="101" w16cid:durableId="596671162">
    <w:abstractNumId w:val="101"/>
  </w:num>
  <w:num w:numId="102" w16cid:durableId="1458916052">
    <w:abstractNumId w:val="95"/>
  </w:num>
  <w:num w:numId="103" w16cid:durableId="252209390">
    <w:abstractNumId w:val="104"/>
  </w:num>
  <w:num w:numId="104" w16cid:durableId="1577201605">
    <w:abstractNumId w:val="86"/>
  </w:num>
  <w:num w:numId="105" w16cid:durableId="374353506">
    <w:abstractNumId w:val="114"/>
  </w:num>
  <w:num w:numId="106" w16cid:durableId="1243027119">
    <w:abstractNumId w:val="113"/>
  </w:num>
  <w:num w:numId="107" w16cid:durableId="884296496">
    <w:abstractNumId w:val="40"/>
  </w:num>
  <w:num w:numId="108" w16cid:durableId="2045593560">
    <w:abstractNumId w:val="72"/>
  </w:num>
  <w:num w:numId="109" w16cid:durableId="1578048724">
    <w:abstractNumId w:val="44"/>
  </w:num>
  <w:num w:numId="110" w16cid:durableId="1999914181">
    <w:abstractNumId w:val="108"/>
  </w:num>
  <w:num w:numId="111" w16cid:durableId="1909925604">
    <w:abstractNumId w:val="55"/>
  </w:num>
  <w:num w:numId="112" w16cid:durableId="339235961">
    <w:abstractNumId w:val="111"/>
  </w:num>
  <w:num w:numId="113" w16cid:durableId="325521346">
    <w:abstractNumId w:val="49"/>
  </w:num>
  <w:num w:numId="114" w16cid:durableId="1058358584">
    <w:abstractNumId w:val="39"/>
  </w:num>
  <w:num w:numId="115" w16cid:durableId="913390751">
    <w:abstractNumId w:val="75"/>
  </w:num>
  <w:num w:numId="116" w16cid:durableId="333729556">
    <w:abstractNumId w:val="9"/>
  </w:num>
  <w:num w:numId="117" w16cid:durableId="1591937061">
    <w:abstractNumId w:val="41"/>
  </w:num>
  <w:num w:numId="118" w16cid:durableId="448159873">
    <w:abstractNumId w:val="118"/>
  </w:num>
  <w:num w:numId="119" w16cid:durableId="1373962998">
    <w:abstractNumId w:val="77"/>
  </w:num>
  <w:num w:numId="120" w16cid:durableId="98179708">
    <w:abstractNumId w:val="42"/>
  </w:num>
  <w:num w:numId="121" w16cid:durableId="1036655994">
    <w:abstractNumId w:val="8"/>
  </w:num>
  <w:num w:numId="122" w16cid:durableId="257369261">
    <w:abstractNumId w:val="4"/>
  </w:num>
  <w:num w:numId="123" w16cid:durableId="146867109">
    <w:abstractNumId w:val="94"/>
  </w:num>
  <w:num w:numId="124" w16cid:durableId="2084452003">
    <w:abstractNumId w:val="16"/>
  </w:num>
  <w:num w:numId="125" w16cid:durableId="1057825035">
    <w:abstractNumId w:val="107"/>
  </w:num>
  <w:num w:numId="126" w16cid:durableId="84767024">
    <w:abstractNumId w:val="23"/>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474"/>
    <w:rsid w:val="00000007"/>
    <w:rsid w:val="0000001E"/>
    <w:rsid w:val="00000043"/>
    <w:rsid w:val="00000069"/>
    <w:rsid w:val="00000079"/>
    <w:rsid w:val="000000B4"/>
    <w:rsid w:val="00000117"/>
    <w:rsid w:val="00000197"/>
    <w:rsid w:val="000001C1"/>
    <w:rsid w:val="000001D6"/>
    <w:rsid w:val="000001DE"/>
    <w:rsid w:val="000001EA"/>
    <w:rsid w:val="000001EB"/>
    <w:rsid w:val="000001F2"/>
    <w:rsid w:val="00000204"/>
    <w:rsid w:val="00000286"/>
    <w:rsid w:val="0000028D"/>
    <w:rsid w:val="0000029F"/>
    <w:rsid w:val="000002EE"/>
    <w:rsid w:val="000002F2"/>
    <w:rsid w:val="00000301"/>
    <w:rsid w:val="00000331"/>
    <w:rsid w:val="000003A1"/>
    <w:rsid w:val="000003CF"/>
    <w:rsid w:val="000003E3"/>
    <w:rsid w:val="000003ED"/>
    <w:rsid w:val="00000403"/>
    <w:rsid w:val="00000413"/>
    <w:rsid w:val="0000041E"/>
    <w:rsid w:val="0000044B"/>
    <w:rsid w:val="0000048C"/>
    <w:rsid w:val="0000049D"/>
    <w:rsid w:val="000004B1"/>
    <w:rsid w:val="000004B6"/>
    <w:rsid w:val="000004DB"/>
    <w:rsid w:val="000004E4"/>
    <w:rsid w:val="000004E6"/>
    <w:rsid w:val="000004F8"/>
    <w:rsid w:val="000004F9"/>
    <w:rsid w:val="00000534"/>
    <w:rsid w:val="0000055D"/>
    <w:rsid w:val="0000057F"/>
    <w:rsid w:val="0000059B"/>
    <w:rsid w:val="0000059C"/>
    <w:rsid w:val="000005BD"/>
    <w:rsid w:val="00000625"/>
    <w:rsid w:val="0000062D"/>
    <w:rsid w:val="00000667"/>
    <w:rsid w:val="00000679"/>
    <w:rsid w:val="0000067F"/>
    <w:rsid w:val="0000069A"/>
    <w:rsid w:val="00000705"/>
    <w:rsid w:val="0000072F"/>
    <w:rsid w:val="000007CF"/>
    <w:rsid w:val="000007D6"/>
    <w:rsid w:val="000007F5"/>
    <w:rsid w:val="00000858"/>
    <w:rsid w:val="00000872"/>
    <w:rsid w:val="00000880"/>
    <w:rsid w:val="000008EC"/>
    <w:rsid w:val="00000909"/>
    <w:rsid w:val="0000093A"/>
    <w:rsid w:val="0000093B"/>
    <w:rsid w:val="00000955"/>
    <w:rsid w:val="0000095F"/>
    <w:rsid w:val="00000979"/>
    <w:rsid w:val="00000994"/>
    <w:rsid w:val="000009B0"/>
    <w:rsid w:val="000009DF"/>
    <w:rsid w:val="000009F1"/>
    <w:rsid w:val="00000A47"/>
    <w:rsid w:val="00000A83"/>
    <w:rsid w:val="00000A9F"/>
    <w:rsid w:val="00000AAF"/>
    <w:rsid w:val="00000AB1"/>
    <w:rsid w:val="00000AF5"/>
    <w:rsid w:val="00000AFE"/>
    <w:rsid w:val="00000AFF"/>
    <w:rsid w:val="00000B0D"/>
    <w:rsid w:val="00000B4F"/>
    <w:rsid w:val="00000BA7"/>
    <w:rsid w:val="00000BAA"/>
    <w:rsid w:val="00000BD2"/>
    <w:rsid w:val="00000C02"/>
    <w:rsid w:val="00000C86"/>
    <w:rsid w:val="00000C98"/>
    <w:rsid w:val="00000CBD"/>
    <w:rsid w:val="00000CED"/>
    <w:rsid w:val="00000D1A"/>
    <w:rsid w:val="00000D5C"/>
    <w:rsid w:val="00000D69"/>
    <w:rsid w:val="00000DCD"/>
    <w:rsid w:val="00000DD8"/>
    <w:rsid w:val="00000E09"/>
    <w:rsid w:val="00000E45"/>
    <w:rsid w:val="00000E78"/>
    <w:rsid w:val="00000E7A"/>
    <w:rsid w:val="00000EEF"/>
    <w:rsid w:val="00000EF8"/>
    <w:rsid w:val="00000F45"/>
    <w:rsid w:val="00000F4D"/>
    <w:rsid w:val="00000F7A"/>
    <w:rsid w:val="0000103D"/>
    <w:rsid w:val="00001046"/>
    <w:rsid w:val="00001097"/>
    <w:rsid w:val="000010CC"/>
    <w:rsid w:val="000010D6"/>
    <w:rsid w:val="0000113C"/>
    <w:rsid w:val="0000114F"/>
    <w:rsid w:val="000011B0"/>
    <w:rsid w:val="000011D8"/>
    <w:rsid w:val="000011FC"/>
    <w:rsid w:val="000011FF"/>
    <w:rsid w:val="00001220"/>
    <w:rsid w:val="00001236"/>
    <w:rsid w:val="00001268"/>
    <w:rsid w:val="000012B0"/>
    <w:rsid w:val="000012C3"/>
    <w:rsid w:val="000012C8"/>
    <w:rsid w:val="000012D4"/>
    <w:rsid w:val="000012DA"/>
    <w:rsid w:val="000012E3"/>
    <w:rsid w:val="0000131D"/>
    <w:rsid w:val="00001347"/>
    <w:rsid w:val="0000137A"/>
    <w:rsid w:val="000013FD"/>
    <w:rsid w:val="00001407"/>
    <w:rsid w:val="0000142A"/>
    <w:rsid w:val="0000142C"/>
    <w:rsid w:val="0000143B"/>
    <w:rsid w:val="00001461"/>
    <w:rsid w:val="0000146B"/>
    <w:rsid w:val="000014D9"/>
    <w:rsid w:val="000014DE"/>
    <w:rsid w:val="00001521"/>
    <w:rsid w:val="0000152A"/>
    <w:rsid w:val="00001534"/>
    <w:rsid w:val="000015AF"/>
    <w:rsid w:val="000015C8"/>
    <w:rsid w:val="00001660"/>
    <w:rsid w:val="00001661"/>
    <w:rsid w:val="00001679"/>
    <w:rsid w:val="00001691"/>
    <w:rsid w:val="0000172D"/>
    <w:rsid w:val="0000175E"/>
    <w:rsid w:val="00001777"/>
    <w:rsid w:val="0000178F"/>
    <w:rsid w:val="000017BC"/>
    <w:rsid w:val="000017FE"/>
    <w:rsid w:val="00001848"/>
    <w:rsid w:val="000018C4"/>
    <w:rsid w:val="000018D7"/>
    <w:rsid w:val="000018DA"/>
    <w:rsid w:val="00001957"/>
    <w:rsid w:val="000019B2"/>
    <w:rsid w:val="000019B8"/>
    <w:rsid w:val="000019E2"/>
    <w:rsid w:val="00001A16"/>
    <w:rsid w:val="00001A24"/>
    <w:rsid w:val="00001A43"/>
    <w:rsid w:val="00001A81"/>
    <w:rsid w:val="00001A94"/>
    <w:rsid w:val="00001A9F"/>
    <w:rsid w:val="00001AA8"/>
    <w:rsid w:val="00001AAD"/>
    <w:rsid w:val="00001AC6"/>
    <w:rsid w:val="00001AD8"/>
    <w:rsid w:val="00001AE4"/>
    <w:rsid w:val="00001AED"/>
    <w:rsid w:val="00001B43"/>
    <w:rsid w:val="00001B6E"/>
    <w:rsid w:val="00001B73"/>
    <w:rsid w:val="00001B90"/>
    <w:rsid w:val="00001BA6"/>
    <w:rsid w:val="00001C27"/>
    <w:rsid w:val="00001C5D"/>
    <w:rsid w:val="00001C8C"/>
    <w:rsid w:val="00001CBC"/>
    <w:rsid w:val="00001CD8"/>
    <w:rsid w:val="00001D22"/>
    <w:rsid w:val="00001D2D"/>
    <w:rsid w:val="00001D46"/>
    <w:rsid w:val="00001D5E"/>
    <w:rsid w:val="00001D96"/>
    <w:rsid w:val="00001DCA"/>
    <w:rsid w:val="00001E5E"/>
    <w:rsid w:val="00001E70"/>
    <w:rsid w:val="00001E84"/>
    <w:rsid w:val="00001EE1"/>
    <w:rsid w:val="00001F50"/>
    <w:rsid w:val="00001F75"/>
    <w:rsid w:val="00001F82"/>
    <w:rsid w:val="00001F88"/>
    <w:rsid w:val="00001FF1"/>
    <w:rsid w:val="00002076"/>
    <w:rsid w:val="00002086"/>
    <w:rsid w:val="00002099"/>
    <w:rsid w:val="000020C6"/>
    <w:rsid w:val="000020CF"/>
    <w:rsid w:val="000020D7"/>
    <w:rsid w:val="000020D9"/>
    <w:rsid w:val="00002101"/>
    <w:rsid w:val="0000211F"/>
    <w:rsid w:val="00002157"/>
    <w:rsid w:val="00002171"/>
    <w:rsid w:val="00002175"/>
    <w:rsid w:val="00002181"/>
    <w:rsid w:val="000021BB"/>
    <w:rsid w:val="000021CB"/>
    <w:rsid w:val="000021E9"/>
    <w:rsid w:val="000021F5"/>
    <w:rsid w:val="00002218"/>
    <w:rsid w:val="00002228"/>
    <w:rsid w:val="0000223B"/>
    <w:rsid w:val="000022A8"/>
    <w:rsid w:val="000022C0"/>
    <w:rsid w:val="000022E0"/>
    <w:rsid w:val="00002326"/>
    <w:rsid w:val="00002343"/>
    <w:rsid w:val="000023F9"/>
    <w:rsid w:val="00002417"/>
    <w:rsid w:val="00002449"/>
    <w:rsid w:val="0000249E"/>
    <w:rsid w:val="000024E0"/>
    <w:rsid w:val="000024E3"/>
    <w:rsid w:val="00002518"/>
    <w:rsid w:val="0000253B"/>
    <w:rsid w:val="0000253E"/>
    <w:rsid w:val="0000256A"/>
    <w:rsid w:val="00002587"/>
    <w:rsid w:val="00002594"/>
    <w:rsid w:val="000025EA"/>
    <w:rsid w:val="0000262D"/>
    <w:rsid w:val="00002679"/>
    <w:rsid w:val="00002688"/>
    <w:rsid w:val="0000269C"/>
    <w:rsid w:val="0000269E"/>
    <w:rsid w:val="000026AA"/>
    <w:rsid w:val="000026AB"/>
    <w:rsid w:val="000026EB"/>
    <w:rsid w:val="00002727"/>
    <w:rsid w:val="00002777"/>
    <w:rsid w:val="0000278F"/>
    <w:rsid w:val="00002795"/>
    <w:rsid w:val="0000279B"/>
    <w:rsid w:val="000027DC"/>
    <w:rsid w:val="000027E0"/>
    <w:rsid w:val="00002827"/>
    <w:rsid w:val="00002835"/>
    <w:rsid w:val="00002838"/>
    <w:rsid w:val="00002847"/>
    <w:rsid w:val="00002849"/>
    <w:rsid w:val="00002880"/>
    <w:rsid w:val="00002889"/>
    <w:rsid w:val="000028C9"/>
    <w:rsid w:val="0000291B"/>
    <w:rsid w:val="000029A9"/>
    <w:rsid w:val="000029AE"/>
    <w:rsid w:val="00002A32"/>
    <w:rsid w:val="00002A39"/>
    <w:rsid w:val="00002A6B"/>
    <w:rsid w:val="00002A9C"/>
    <w:rsid w:val="00002AB7"/>
    <w:rsid w:val="00002AD0"/>
    <w:rsid w:val="00002AE1"/>
    <w:rsid w:val="00002B1D"/>
    <w:rsid w:val="00002B24"/>
    <w:rsid w:val="00002B47"/>
    <w:rsid w:val="00002C64"/>
    <w:rsid w:val="00002CB4"/>
    <w:rsid w:val="00002CF3"/>
    <w:rsid w:val="00002D1E"/>
    <w:rsid w:val="00002D28"/>
    <w:rsid w:val="00002D2B"/>
    <w:rsid w:val="00002D5C"/>
    <w:rsid w:val="00002D79"/>
    <w:rsid w:val="00002D96"/>
    <w:rsid w:val="00002DE2"/>
    <w:rsid w:val="00002E2A"/>
    <w:rsid w:val="00002E75"/>
    <w:rsid w:val="00002E8E"/>
    <w:rsid w:val="00002EE8"/>
    <w:rsid w:val="00002EFE"/>
    <w:rsid w:val="00002F05"/>
    <w:rsid w:val="00002F1B"/>
    <w:rsid w:val="00002F32"/>
    <w:rsid w:val="00002FAF"/>
    <w:rsid w:val="00002FB0"/>
    <w:rsid w:val="00002FE3"/>
    <w:rsid w:val="00003028"/>
    <w:rsid w:val="0000303A"/>
    <w:rsid w:val="00003043"/>
    <w:rsid w:val="00003050"/>
    <w:rsid w:val="00003052"/>
    <w:rsid w:val="00003054"/>
    <w:rsid w:val="00003079"/>
    <w:rsid w:val="0000308E"/>
    <w:rsid w:val="00003093"/>
    <w:rsid w:val="00003094"/>
    <w:rsid w:val="000030BC"/>
    <w:rsid w:val="00003109"/>
    <w:rsid w:val="00003134"/>
    <w:rsid w:val="00003172"/>
    <w:rsid w:val="000031B4"/>
    <w:rsid w:val="000031EE"/>
    <w:rsid w:val="00003206"/>
    <w:rsid w:val="00003228"/>
    <w:rsid w:val="00003234"/>
    <w:rsid w:val="000032D8"/>
    <w:rsid w:val="0000333A"/>
    <w:rsid w:val="000033DA"/>
    <w:rsid w:val="00003403"/>
    <w:rsid w:val="00003409"/>
    <w:rsid w:val="0000341E"/>
    <w:rsid w:val="00003470"/>
    <w:rsid w:val="0000348B"/>
    <w:rsid w:val="00003495"/>
    <w:rsid w:val="00003497"/>
    <w:rsid w:val="000034A4"/>
    <w:rsid w:val="000034D4"/>
    <w:rsid w:val="000034F0"/>
    <w:rsid w:val="00003526"/>
    <w:rsid w:val="00003560"/>
    <w:rsid w:val="000035BA"/>
    <w:rsid w:val="000035D4"/>
    <w:rsid w:val="0000363E"/>
    <w:rsid w:val="0000366F"/>
    <w:rsid w:val="00003680"/>
    <w:rsid w:val="00003693"/>
    <w:rsid w:val="000036C5"/>
    <w:rsid w:val="000036DA"/>
    <w:rsid w:val="000036EB"/>
    <w:rsid w:val="0000374C"/>
    <w:rsid w:val="0000376B"/>
    <w:rsid w:val="000037AE"/>
    <w:rsid w:val="000037BC"/>
    <w:rsid w:val="000037CA"/>
    <w:rsid w:val="00003825"/>
    <w:rsid w:val="00003834"/>
    <w:rsid w:val="00003844"/>
    <w:rsid w:val="000038CD"/>
    <w:rsid w:val="00003940"/>
    <w:rsid w:val="00003965"/>
    <w:rsid w:val="00003999"/>
    <w:rsid w:val="000039B0"/>
    <w:rsid w:val="000039BE"/>
    <w:rsid w:val="000039DD"/>
    <w:rsid w:val="000039E4"/>
    <w:rsid w:val="00003A28"/>
    <w:rsid w:val="00003AE7"/>
    <w:rsid w:val="00003AF5"/>
    <w:rsid w:val="00003AF9"/>
    <w:rsid w:val="00003B17"/>
    <w:rsid w:val="00003B24"/>
    <w:rsid w:val="00003B51"/>
    <w:rsid w:val="00003B6C"/>
    <w:rsid w:val="00003BC0"/>
    <w:rsid w:val="00003BDB"/>
    <w:rsid w:val="00003BE9"/>
    <w:rsid w:val="00003C02"/>
    <w:rsid w:val="00003C47"/>
    <w:rsid w:val="00003C54"/>
    <w:rsid w:val="00003C7B"/>
    <w:rsid w:val="00003C87"/>
    <w:rsid w:val="00003C9B"/>
    <w:rsid w:val="00003C9D"/>
    <w:rsid w:val="00003CAE"/>
    <w:rsid w:val="00003CDA"/>
    <w:rsid w:val="00003D13"/>
    <w:rsid w:val="00003D4C"/>
    <w:rsid w:val="00003DB7"/>
    <w:rsid w:val="00003E1F"/>
    <w:rsid w:val="00003E63"/>
    <w:rsid w:val="00003E64"/>
    <w:rsid w:val="00003E76"/>
    <w:rsid w:val="00003EC6"/>
    <w:rsid w:val="00003F27"/>
    <w:rsid w:val="00003F5A"/>
    <w:rsid w:val="00003F7D"/>
    <w:rsid w:val="00003F82"/>
    <w:rsid w:val="00003FD6"/>
    <w:rsid w:val="00003FE6"/>
    <w:rsid w:val="0000403F"/>
    <w:rsid w:val="0000404E"/>
    <w:rsid w:val="00004050"/>
    <w:rsid w:val="0000406A"/>
    <w:rsid w:val="00004074"/>
    <w:rsid w:val="000040C7"/>
    <w:rsid w:val="000040F8"/>
    <w:rsid w:val="00004103"/>
    <w:rsid w:val="00004124"/>
    <w:rsid w:val="00004176"/>
    <w:rsid w:val="0000417F"/>
    <w:rsid w:val="000041C2"/>
    <w:rsid w:val="0000420B"/>
    <w:rsid w:val="00004248"/>
    <w:rsid w:val="00004251"/>
    <w:rsid w:val="00004284"/>
    <w:rsid w:val="000042CE"/>
    <w:rsid w:val="000042EF"/>
    <w:rsid w:val="00004321"/>
    <w:rsid w:val="0000434F"/>
    <w:rsid w:val="00004372"/>
    <w:rsid w:val="00004375"/>
    <w:rsid w:val="0000439F"/>
    <w:rsid w:val="000043E6"/>
    <w:rsid w:val="0000442C"/>
    <w:rsid w:val="00004443"/>
    <w:rsid w:val="0000445A"/>
    <w:rsid w:val="00004470"/>
    <w:rsid w:val="000044C0"/>
    <w:rsid w:val="000044FD"/>
    <w:rsid w:val="0000452A"/>
    <w:rsid w:val="00004562"/>
    <w:rsid w:val="00004564"/>
    <w:rsid w:val="0000458D"/>
    <w:rsid w:val="000045BB"/>
    <w:rsid w:val="000045C1"/>
    <w:rsid w:val="000045DA"/>
    <w:rsid w:val="000045EF"/>
    <w:rsid w:val="00004615"/>
    <w:rsid w:val="0000463B"/>
    <w:rsid w:val="0000463C"/>
    <w:rsid w:val="0000467E"/>
    <w:rsid w:val="00004683"/>
    <w:rsid w:val="000046CB"/>
    <w:rsid w:val="00004704"/>
    <w:rsid w:val="00004795"/>
    <w:rsid w:val="000047CD"/>
    <w:rsid w:val="000047DF"/>
    <w:rsid w:val="000047E2"/>
    <w:rsid w:val="00004807"/>
    <w:rsid w:val="00004820"/>
    <w:rsid w:val="0000487A"/>
    <w:rsid w:val="00004898"/>
    <w:rsid w:val="0000490B"/>
    <w:rsid w:val="00004943"/>
    <w:rsid w:val="00004963"/>
    <w:rsid w:val="0000497D"/>
    <w:rsid w:val="0000497F"/>
    <w:rsid w:val="00004991"/>
    <w:rsid w:val="00004997"/>
    <w:rsid w:val="000049A0"/>
    <w:rsid w:val="000049C9"/>
    <w:rsid w:val="000049E7"/>
    <w:rsid w:val="000049E9"/>
    <w:rsid w:val="000049F5"/>
    <w:rsid w:val="00004A02"/>
    <w:rsid w:val="00004A84"/>
    <w:rsid w:val="00004AB7"/>
    <w:rsid w:val="00004B00"/>
    <w:rsid w:val="00004B1D"/>
    <w:rsid w:val="00004B6C"/>
    <w:rsid w:val="00004BBD"/>
    <w:rsid w:val="00004BC1"/>
    <w:rsid w:val="00004BE2"/>
    <w:rsid w:val="00004C12"/>
    <w:rsid w:val="00004C1A"/>
    <w:rsid w:val="00004C1D"/>
    <w:rsid w:val="00004C44"/>
    <w:rsid w:val="00004C58"/>
    <w:rsid w:val="00004C63"/>
    <w:rsid w:val="00004C8D"/>
    <w:rsid w:val="00004C93"/>
    <w:rsid w:val="00004CAD"/>
    <w:rsid w:val="00004CDF"/>
    <w:rsid w:val="00004CF6"/>
    <w:rsid w:val="00004DA7"/>
    <w:rsid w:val="00004DAF"/>
    <w:rsid w:val="00004DE5"/>
    <w:rsid w:val="00004DE8"/>
    <w:rsid w:val="00004E1B"/>
    <w:rsid w:val="00004E77"/>
    <w:rsid w:val="00004E94"/>
    <w:rsid w:val="00004E95"/>
    <w:rsid w:val="00004EA4"/>
    <w:rsid w:val="00004EB8"/>
    <w:rsid w:val="00004ED5"/>
    <w:rsid w:val="00004EE3"/>
    <w:rsid w:val="00004F0B"/>
    <w:rsid w:val="00004F4A"/>
    <w:rsid w:val="00005021"/>
    <w:rsid w:val="00005048"/>
    <w:rsid w:val="0000504C"/>
    <w:rsid w:val="00005052"/>
    <w:rsid w:val="00005072"/>
    <w:rsid w:val="000050A5"/>
    <w:rsid w:val="000050D8"/>
    <w:rsid w:val="000050DA"/>
    <w:rsid w:val="000050E9"/>
    <w:rsid w:val="00005111"/>
    <w:rsid w:val="0000511A"/>
    <w:rsid w:val="000051B2"/>
    <w:rsid w:val="00005221"/>
    <w:rsid w:val="0000525D"/>
    <w:rsid w:val="0000526E"/>
    <w:rsid w:val="000052AA"/>
    <w:rsid w:val="000052B3"/>
    <w:rsid w:val="000052D1"/>
    <w:rsid w:val="000052D5"/>
    <w:rsid w:val="000052F9"/>
    <w:rsid w:val="00005323"/>
    <w:rsid w:val="00005360"/>
    <w:rsid w:val="0000537D"/>
    <w:rsid w:val="000053A9"/>
    <w:rsid w:val="000053B4"/>
    <w:rsid w:val="000053D7"/>
    <w:rsid w:val="000053F8"/>
    <w:rsid w:val="0000542D"/>
    <w:rsid w:val="00005433"/>
    <w:rsid w:val="000054A8"/>
    <w:rsid w:val="000054C5"/>
    <w:rsid w:val="00005585"/>
    <w:rsid w:val="000055B1"/>
    <w:rsid w:val="000055B3"/>
    <w:rsid w:val="000055E1"/>
    <w:rsid w:val="00005629"/>
    <w:rsid w:val="0000562F"/>
    <w:rsid w:val="000056A4"/>
    <w:rsid w:val="000056B8"/>
    <w:rsid w:val="000056C4"/>
    <w:rsid w:val="000056D0"/>
    <w:rsid w:val="00005739"/>
    <w:rsid w:val="00005743"/>
    <w:rsid w:val="000057AA"/>
    <w:rsid w:val="00005875"/>
    <w:rsid w:val="000058D3"/>
    <w:rsid w:val="00005923"/>
    <w:rsid w:val="0000595A"/>
    <w:rsid w:val="00005991"/>
    <w:rsid w:val="0000599D"/>
    <w:rsid w:val="000059EB"/>
    <w:rsid w:val="000059EC"/>
    <w:rsid w:val="00005A0A"/>
    <w:rsid w:val="00005A1B"/>
    <w:rsid w:val="00005A49"/>
    <w:rsid w:val="00005A79"/>
    <w:rsid w:val="00005B5A"/>
    <w:rsid w:val="00005BA6"/>
    <w:rsid w:val="00005BD2"/>
    <w:rsid w:val="00005C40"/>
    <w:rsid w:val="00005CB0"/>
    <w:rsid w:val="00005CB3"/>
    <w:rsid w:val="00005D0D"/>
    <w:rsid w:val="00005D25"/>
    <w:rsid w:val="00005D34"/>
    <w:rsid w:val="00005D35"/>
    <w:rsid w:val="00005DF2"/>
    <w:rsid w:val="00005E1B"/>
    <w:rsid w:val="00005E28"/>
    <w:rsid w:val="00005E74"/>
    <w:rsid w:val="00005EA5"/>
    <w:rsid w:val="00005EE5"/>
    <w:rsid w:val="00005EE9"/>
    <w:rsid w:val="00005EEA"/>
    <w:rsid w:val="00005EF3"/>
    <w:rsid w:val="00005EFB"/>
    <w:rsid w:val="00005F04"/>
    <w:rsid w:val="00005F57"/>
    <w:rsid w:val="00005FBD"/>
    <w:rsid w:val="00005FE8"/>
    <w:rsid w:val="00006037"/>
    <w:rsid w:val="00006061"/>
    <w:rsid w:val="0000608B"/>
    <w:rsid w:val="0000609D"/>
    <w:rsid w:val="000060C7"/>
    <w:rsid w:val="000060C8"/>
    <w:rsid w:val="000060E8"/>
    <w:rsid w:val="000061F3"/>
    <w:rsid w:val="0000621E"/>
    <w:rsid w:val="00006220"/>
    <w:rsid w:val="0000624B"/>
    <w:rsid w:val="0000624C"/>
    <w:rsid w:val="000062C3"/>
    <w:rsid w:val="000062F4"/>
    <w:rsid w:val="0000630F"/>
    <w:rsid w:val="00006310"/>
    <w:rsid w:val="00006313"/>
    <w:rsid w:val="00006319"/>
    <w:rsid w:val="0000632B"/>
    <w:rsid w:val="0000633B"/>
    <w:rsid w:val="0000635B"/>
    <w:rsid w:val="0000636E"/>
    <w:rsid w:val="00006384"/>
    <w:rsid w:val="00006390"/>
    <w:rsid w:val="00006413"/>
    <w:rsid w:val="00006433"/>
    <w:rsid w:val="00006435"/>
    <w:rsid w:val="0000643A"/>
    <w:rsid w:val="00006481"/>
    <w:rsid w:val="00006482"/>
    <w:rsid w:val="000064F2"/>
    <w:rsid w:val="00006528"/>
    <w:rsid w:val="0000653B"/>
    <w:rsid w:val="0000654B"/>
    <w:rsid w:val="000065B2"/>
    <w:rsid w:val="000065B3"/>
    <w:rsid w:val="0000660B"/>
    <w:rsid w:val="0000665E"/>
    <w:rsid w:val="00006664"/>
    <w:rsid w:val="0000667F"/>
    <w:rsid w:val="0000668D"/>
    <w:rsid w:val="000066B7"/>
    <w:rsid w:val="000066DE"/>
    <w:rsid w:val="00006703"/>
    <w:rsid w:val="00006714"/>
    <w:rsid w:val="0000671C"/>
    <w:rsid w:val="0000678E"/>
    <w:rsid w:val="000067BA"/>
    <w:rsid w:val="000067D9"/>
    <w:rsid w:val="00006855"/>
    <w:rsid w:val="000068CF"/>
    <w:rsid w:val="0000690F"/>
    <w:rsid w:val="00006913"/>
    <w:rsid w:val="00006915"/>
    <w:rsid w:val="00006955"/>
    <w:rsid w:val="00006992"/>
    <w:rsid w:val="00006A0A"/>
    <w:rsid w:val="00006A38"/>
    <w:rsid w:val="00006A67"/>
    <w:rsid w:val="00006A85"/>
    <w:rsid w:val="00006B36"/>
    <w:rsid w:val="00006B7D"/>
    <w:rsid w:val="00006C9C"/>
    <w:rsid w:val="00006CC8"/>
    <w:rsid w:val="00006DA1"/>
    <w:rsid w:val="00006DCE"/>
    <w:rsid w:val="00006DD6"/>
    <w:rsid w:val="00006E0D"/>
    <w:rsid w:val="00006E32"/>
    <w:rsid w:val="00006E46"/>
    <w:rsid w:val="00006E49"/>
    <w:rsid w:val="00006E94"/>
    <w:rsid w:val="00006EA3"/>
    <w:rsid w:val="00006EB5"/>
    <w:rsid w:val="00006EB9"/>
    <w:rsid w:val="00006EF2"/>
    <w:rsid w:val="00006F23"/>
    <w:rsid w:val="00006F68"/>
    <w:rsid w:val="00006FE7"/>
    <w:rsid w:val="00006FF7"/>
    <w:rsid w:val="0000702E"/>
    <w:rsid w:val="00007048"/>
    <w:rsid w:val="0000705D"/>
    <w:rsid w:val="0000706D"/>
    <w:rsid w:val="0000708B"/>
    <w:rsid w:val="000070B8"/>
    <w:rsid w:val="000070DE"/>
    <w:rsid w:val="000070E0"/>
    <w:rsid w:val="00007103"/>
    <w:rsid w:val="0000711F"/>
    <w:rsid w:val="00007138"/>
    <w:rsid w:val="00007175"/>
    <w:rsid w:val="000071A2"/>
    <w:rsid w:val="000071C8"/>
    <w:rsid w:val="000071D8"/>
    <w:rsid w:val="00007201"/>
    <w:rsid w:val="00007209"/>
    <w:rsid w:val="00007238"/>
    <w:rsid w:val="0000725E"/>
    <w:rsid w:val="000072A1"/>
    <w:rsid w:val="000072BF"/>
    <w:rsid w:val="000072CD"/>
    <w:rsid w:val="000072ED"/>
    <w:rsid w:val="00007321"/>
    <w:rsid w:val="0000733E"/>
    <w:rsid w:val="00007347"/>
    <w:rsid w:val="000073A1"/>
    <w:rsid w:val="000073CE"/>
    <w:rsid w:val="000073E2"/>
    <w:rsid w:val="0000741E"/>
    <w:rsid w:val="00007467"/>
    <w:rsid w:val="00007495"/>
    <w:rsid w:val="000074A6"/>
    <w:rsid w:val="000074B9"/>
    <w:rsid w:val="000074F1"/>
    <w:rsid w:val="00007501"/>
    <w:rsid w:val="0000751C"/>
    <w:rsid w:val="0000752F"/>
    <w:rsid w:val="0000754D"/>
    <w:rsid w:val="000075C0"/>
    <w:rsid w:val="000075D2"/>
    <w:rsid w:val="000075D6"/>
    <w:rsid w:val="00007672"/>
    <w:rsid w:val="00007694"/>
    <w:rsid w:val="0000773C"/>
    <w:rsid w:val="00007758"/>
    <w:rsid w:val="0000778C"/>
    <w:rsid w:val="00007872"/>
    <w:rsid w:val="00007876"/>
    <w:rsid w:val="000078A9"/>
    <w:rsid w:val="000078F6"/>
    <w:rsid w:val="00007900"/>
    <w:rsid w:val="00007934"/>
    <w:rsid w:val="00007963"/>
    <w:rsid w:val="00007999"/>
    <w:rsid w:val="000079BA"/>
    <w:rsid w:val="000079E3"/>
    <w:rsid w:val="000079F3"/>
    <w:rsid w:val="00007A1B"/>
    <w:rsid w:val="00007A4C"/>
    <w:rsid w:val="00007A63"/>
    <w:rsid w:val="00007A8E"/>
    <w:rsid w:val="00007AED"/>
    <w:rsid w:val="00007AFD"/>
    <w:rsid w:val="00007B0B"/>
    <w:rsid w:val="00007B37"/>
    <w:rsid w:val="00007B5B"/>
    <w:rsid w:val="00007B9B"/>
    <w:rsid w:val="00007BA1"/>
    <w:rsid w:val="00007BB1"/>
    <w:rsid w:val="00007BCA"/>
    <w:rsid w:val="00007BE2"/>
    <w:rsid w:val="00007BE8"/>
    <w:rsid w:val="00007BFF"/>
    <w:rsid w:val="00007C07"/>
    <w:rsid w:val="00007C19"/>
    <w:rsid w:val="00007C3F"/>
    <w:rsid w:val="00007C8E"/>
    <w:rsid w:val="00007C90"/>
    <w:rsid w:val="00007CC7"/>
    <w:rsid w:val="00007CD7"/>
    <w:rsid w:val="00007CE5"/>
    <w:rsid w:val="00007D4F"/>
    <w:rsid w:val="00007D76"/>
    <w:rsid w:val="00007D9D"/>
    <w:rsid w:val="00007DC2"/>
    <w:rsid w:val="00007DD2"/>
    <w:rsid w:val="00007DE0"/>
    <w:rsid w:val="00007DEB"/>
    <w:rsid w:val="00007E5E"/>
    <w:rsid w:val="00007E76"/>
    <w:rsid w:val="00007E83"/>
    <w:rsid w:val="00007EDA"/>
    <w:rsid w:val="00007F04"/>
    <w:rsid w:val="00007F15"/>
    <w:rsid w:val="00007F1D"/>
    <w:rsid w:val="00007F81"/>
    <w:rsid w:val="00007F93"/>
    <w:rsid w:val="00007FA6"/>
    <w:rsid w:val="00007FEA"/>
    <w:rsid w:val="00007FF6"/>
    <w:rsid w:val="000094F1"/>
    <w:rsid w:val="00010019"/>
    <w:rsid w:val="0001006E"/>
    <w:rsid w:val="00010079"/>
    <w:rsid w:val="00010092"/>
    <w:rsid w:val="0001009D"/>
    <w:rsid w:val="000100C6"/>
    <w:rsid w:val="000100C8"/>
    <w:rsid w:val="000100D0"/>
    <w:rsid w:val="000100DA"/>
    <w:rsid w:val="0001012B"/>
    <w:rsid w:val="00010136"/>
    <w:rsid w:val="00010239"/>
    <w:rsid w:val="0001030A"/>
    <w:rsid w:val="0001030D"/>
    <w:rsid w:val="00010331"/>
    <w:rsid w:val="0001036E"/>
    <w:rsid w:val="000103CA"/>
    <w:rsid w:val="000103E9"/>
    <w:rsid w:val="0001041A"/>
    <w:rsid w:val="00010461"/>
    <w:rsid w:val="00010499"/>
    <w:rsid w:val="000104B8"/>
    <w:rsid w:val="000104BE"/>
    <w:rsid w:val="000104D1"/>
    <w:rsid w:val="000104D4"/>
    <w:rsid w:val="000104F1"/>
    <w:rsid w:val="00010501"/>
    <w:rsid w:val="00010511"/>
    <w:rsid w:val="0001054A"/>
    <w:rsid w:val="00010589"/>
    <w:rsid w:val="0001058F"/>
    <w:rsid w:val="00010654"/>
    <w:rsid w:val="00010659"/>
    <w:rsid w:val="0001067A"/>
    <w:rsid w:val="00010683"/>
    <w:rsid w:val="0001068C"/>
    <w:rsid w:val="000106BD"/>
    <w:rsid w:val="00010732"/>
    <w:rsid w:val="00010748"/>
    <w:rsid w:val="0001074F"/>
    <w:rsid w:val="0001078E"/>
    <w:rsid w:val="000107AE"/>
    <w:rsid w:val="00010840"/>
    <w:rsid w:val="000108CF"/>
    <w:rsid w:val="000108F5"/>
    <w:rsid w:val="00010925"/>
    <w:rsid w:val="0001093B"/>
    <w:rsid w:val="0001095C"/>
    <w:rsid w:val="000109E2"/>
    <w:rsid w:val="000109F5"/>
    <w:rsid w:val="00010A2B"/>
    <w:rsid w:val="00010A3C"/>
    <w:rsid w:val="00010A80"/>
    <w:rsid w:val="00010AF1"/>
    <w:rsid w:val="00010AF3"/>
    <w:rsid w:val="00010B11"/>
    <w:rsid w:val="00010B26"/>
    <w:rsid w:val="00010B47"/>
    <w:rsid w:val="00010B48"/>
    <w:rsid w:val="00010B5F"/>
    <w:rsid w:val="00010B6F"/>
    <w:rsid w:val="00010B7E"/>
    <w:rsid w:val="00010BA7"/>
    <w:rsid w:val="00010BDC"/>
    <w:rsid w:val="00010BF4"/>
    <w:rsid w:val="00010BF6"/>
    <w:rsid w:val="00010C91"/>
    <w:rsid w:val="00010CE4"/>
    <w:rsid w:val="00010D66"/>
    <w:rsid w:val="00010D6F"/>
    <w:rsid w:val="00010DD7"/>
    <w:rsid w:val="00010DFC"/>
    <w:rsid w:val="00010E08"/>
    <w:rsid w:val="00010E60"/>
    <w:rsid w:val="00010EBE"/>
    <w:rsid w:val="00010ECA"/>
    <w:rsid w:val="00010EFF"/>
    <w:rsid w:val="00010F44"/>
    <w:rsid w:val="00010F4C"/>
    <w:rsid w:val="00010F8E"/>
    <w:rsid w:val="00010F9F"/>
    <w:rsid w:val="00010FD7"/>
    <w:rsid w:val="00011014"/>
    <w:rsid w:val="00011099"/>
    <w:rsid w:val="000110A1"/>
    <w:rsid w:val="000110C6"/>
    <w:rsid w:val="000110D3"/>
    <w:rsid w:val="000110DC"/>
    <w:rsid w:val="0001113A"/>
    <w:rsid w:val="00011151"/>
    <w:rsid w:val="00011158"/>
    <w:rsid w:val="00011166"/>
    <w:rsid w:val="0001117F"/>
    <w:rsid w:val="00011192"/>
    <w:rsid w:val="000111A5"/>
    <w:rsid w:val="000111F5"/>
    <w:rsid w:val="0001120B"/>
    <w:rsid w:val="0001123C"/>
    <w:rsid w:val="00011251"/>
    <w:rsid w:val="0001125F"/>
    <w:rsid w:val="000112FC"/>
    <w:rsid w:val="00011347"/>
    <w:rsid w:val="000113EA"/>
    <w:rsid w:val="000113FA"/>
    <w:rsid w:val="00011403"/>
    <w:rsid w:val="00011406"/>
    <w:rsid w:val="0001141D"/>
    <w:rsid w:val="00011476"/>
    <w:rsid w:val="00011482"/>
    <w:rsid w:val="000114A2"/>
    <w:rsid w:val="000114D9"/>
    <w:rsid w:val="000114F8"/>
    <w:rsid w:val="00011515"/>
    <w:rsid w:val="00011527"/>
    <w:rsid w:val="00011550"/>
    <w:rsid w:val="00011553"/>
    <w:rsid w:val="00011579"/>
    <w:rsid w:val="0001158C"/>
    <w:rsid w:val="000115CF"/>
    <w:rsid w:val="00011601"/>
    <w:rsid w:val="0001160A"/>
    <w:rsid w:val="00011646"/>
    <w:rsid w:val="0001165D"/>
    <w:rsid w:val="00011688"/>
    <w:rsid w:val="000116CF"/>
    <w:rsid w:val="000116E0"/>
    <w:rsid w:val="00011710"/>
    <w:rsid w:val="0001172F"/>
    <w:rsid w:val="00011786"/>
    <w:rsid w:val="00011796"/>
    <w:rsid w:val="000117A2"/>
    <w:rsid w:val="000117A4"/>
    <w:rsid w:val="000117C7"/>
    <w:rsid w:val="000117C9"/>
    <w:rsid w:val="00011815"/>
    <w:rsid w:val="00011874"/>
    <w:rsid w:val="000118B3"/>
    <w:rsid w:val="000118E5"/>
    <w:rsid w:val="00011961"/>
    <w:rsid w:val="00011983"/>
    <w:rsid w:val="000119C8"/>
    <w:rsid w:val="000119D0"/>
    <w:rsid w:val="000119D4"/>
    <w:rsid w:val="000119E3"/>
    <w:rsid w:val="00011A35"/>
    <w:rsid w:val="00011A41"/>
    <w:rsid w:val="00011A77"/>
    <w:rsid w:val="00011AC2"/>
    <w:rsid w:val="00011AE9"/>
    <w:rsid w:val="00011B2E"/>
    <w:rsid w:val="00011B32"/>
    <w:rsid w:val="00011B3B"/>
    <w:rsid w:val="00011B41"/>
    <w:rsid w:val="00011B55"/>
    <w:rsid w:val="00011B56"/>
    <w:rsid w:val="00011B63"/>
    <w:rsid w:val="00011B92"/>
    <w:rsid w:val="00011BA7"/>
    <w:rsid w:val="00011C18"/>
    <w:rsid w:val="00011C3A"/>
    <w:rsid w:val="00011C4F"/>
    <w:rsid w:val="00011C72"/>
    <w:rsid w:val="00011C9E"/>
    <w:rsid w:val="00011CEB"/>
    <w:rsid w:val="00011D28"/>
    <w:rsid w:val="00011D4E"/>
    <w:rsid w:val="00011D5A"/>
    <w:rsid w:val="00011D80"/>
    <w:rsid w:val="00011DA3"/>
    <w:rsid w:val="00011DC6"/>
    <w:rsid w:val="00011DF7"/>
    <w:rsid w:val="00011E44"/>
    <w:rsid w:val="00011E8B"/>
    <w:rsid w:val="00011F30"/>
    <w:rsid w:val="00011F8A"/>
    <w:rsid w:val="00011FBB"/>
    <w:rsid w:val="00011FC8"/>
    <w:rsid w:val="00012008"/>
    <w:rsid w:val="00012071"/>
    <w:rsid w:val="00012155"/>
    <w:rsid w:val="000121A5"/>
    <w:rsid w:val="000121D0"/>
    <w:rsid w:val="000121DF"/>
    <w:rsid w:val="0001228A"/>
    <w:rsid w:val="000122CE"/>
    <w:rsid w:val="00012331"/>
    <w:rsid w:val="0001233A"/>
    <w:rsid w:val="0001233C"/>
    <w:rsid w:val="0001239C"/>
    <w:rsid w:val="000123B5"/>
    <w:rsid w:val="000123CD"/>
    <w:rsid w:val="0001244E"/>
    <w:rsid w:val="00012458"/>
    <w:rsid w:val="0001245A"/>
    <w:rsid w:val="00012472"/>
    <w:rsid w:val="00012486"/>
    <w:rsid w:val="000124E8"/>
    <w:rsid w:val="000124E9"/>
    <w:rsid w:val="0001250D"/>
    <w:rsid w:val="00012543"/>
    <w:rsid w:val="0001257F"/>
    <w:rsid w:val="000125AD"/>
    <w:rsid w:val="000125BF"/>
    <w:rsid w:val="000125D5"/>
    <w:rsid w:val="000125DC"/>
    <w:rsid w:val="000125E4"/>
    <w:rsid w:val="00012653"/>
    <w:rsid w:val="00012675"/>
    <w:rsid w:val="000126C4"/>
    <w:rsid w:val="000126F5"/>
    <w:rsid w:val="00012752"/>
    <w:rsid w:val="00012786"/>
    <w:rsid w:val="00012787"/>
    <w:rsid w:val="00012789"/>
    <w:rsid w:val="00012830"/>
    <w:rsid w:val="0001287C"/>
    <w:rsid w:val="00012882"/>
    <w:rsid w:val="00012883"/>
    <w:rsid w:val="0001289B"/>
    <w:rsid w:val="00012905"/>
    <w:rsid w:val="0001290D"/>
    <w:rsid w:val="0001291C"/>
    <w:rsid w:val="00012925"/>
    <w:rsid w:val="0001292C"/>
    <w:rsid w:val="0001296E"/>
    <w:rsid w:val="00012990"/>
    <w:rsid w:val="00012997"/>
    <w:rsid w:val="000129F5"/>
    <w:rsid w:val="00012A18"/>
    <w:rsid w:val="00012A47"/>
    <w:rsid w:val="00012AE5"/>
    <w:rsid w:val="00012AF9"/>
    <w:rsid w:val="00012B2D"/>
    <w:rsid w:val="00012B83"/>
    <w:rsid w:val="00012B8E"/>
    <w:rsid w:val="00012BA8"/>
    <w:rsid w:val="00012BBA"/>
    <w:rsid w:val="00012C05"/>
    <w:rsid w:val="00012C2E"/>
    <w:rsid w:val="00012C5D"/>
    <w:rsid w:val="00012C97"/>
    <w:rsid w:val="00012CA6"/>
    <w:rsid w:val="00012DC6"/>
    <w:rsid w:val="00012DFC"/>
    <w:rsid w:val="00012E1E"/>
    <w:rsid w:val="00012E22"/>
    <w:rsid w:val="00012E48"/>
    <w:rsid w:val="00012ECF"/>
    <w:rsid w:val="00012F12"/>
    <w:rsid w:val="00012F85"/>
    <w:rsid w:val="00012F86"/>
    <w:rsid w:val="00012F9A"/>
    <w:rsid w:val="00012FC1"/>
    <w:rsid w:val="00012FC6"/>
    <w:rsid w:val="00012FFB"/>
    <w:rsid w:val="00012FFE"/>
    <w:rsid w:val="0001302F"/>
    <w:rsid w:val="00013039"/>
    <w:rsid w:val="00013059"/>
    <w:rsid w:val="0001306C"/>
    <w:rsid w:val="0001308D"/>
    <w:rsid w:val="00013095"/>
    <w:rsid w:val="000130DC"/>
    <w:rsid w:val="00013143"/>
    <w:rsid w:val="00013150"/>
    <w:rsid w:val="00013157"/>
    <w:rsid w:val="000131D3"/>
    <w:rsid w:val="000131E3"/>
    <w:rsid w:val="000131EA"/>
    <w:rsid w:val="0001321F"/>
    <w:rsid w:val="0001327A"/>
    <w:rsid w:val="000132E3"/>
    <w:rsid w:val="000132FD"/>
    <w:rsid w:val="00013301"/>
    <w:rsid w:val="0001330A"/>
    <w:rsid w:val="00013328"/>
    <w:rsid w:val="000133D2"/>
    <w:rsid w:val="000133DB"/>
    <w:rsid w:val="000133E0"/>
    <w:rsid w:val="00013460"/>
    <w:rsid w:val="00013468"/>
    <w:rsid w:val="00013490"/>
    <w:rsid w:val="00013495"/>
    <w:rsid w:val="00013549"/>
    <w:rsid w:val="000135CE"/>
    <w:rsid w:val="000135E0"/>
    <w:rsid w:val="000135F2"/>
    <w:rsid w:val="00013614"/>
    <w:rsid w:val="00013650"/>
    <w:rsid w:val="0001369B"/>
    <w:rsid w:val="000136BB"/>
    <w:rsid w:val="000137A5"/>
    <w:rsid w:val="000137E2"/>
    <w:rsid w:val="000137E9"/>
    <w:rsid w:val="0001381A"/>
    <w:rsid w:val="00013828"/>
    <w:rsid w:val="00013862"/>
    <w:rsid w:val="00013880"/>
    <w:rsid w:val="000138A4"/>
    <w:rsid w:val="000138C7"/>
    <w:rsid w:val="000138F5"/>
    <w:rsid w:val="000138FE"/>
    <w:rsid w:val="00013921"/>
    <w:rsid w:val="0001393D"/>
    <w:rsid w:val="0001394D"/>
    <w:rsid w:val="000139C5"/>
    <w:rsid w:val="000139CE"/>
    <w:rsid w:val="000139E5"/>
    <w:rsid w:val="000139EC"/>
    <w:rsid w:val="00013A1D"/>
    <w:rsid w:val="00013A74"/>
    <w:rsid w:val="00013A7F"/>
    <w:rsid w:val="00013AAF"/>
    <w:rsid w:val="00013AD7"/>
    <w:rsid w:val="00013AF9"/>
    <w:rsid w:val="00013B44"/>
    <w:rsid w:val="00013B53"/>
    <w:rsid w:val="00013B69"/>
    <w:rsid w:val="00013BA4"/>
    <w:rsid w:val="00013BA8"/>
    <w:rsid w:val="00013C19"/>
    <w:rsid w:val="00013C3D"/>
    <w:rsid w:val="00013D01"/>
    <w:rsid w:val="00013D2C"/>
    <w:rsid w:val="00013D3B"/>
    <w:rsid w:val="00013D7A"/>
    <w:rsid w:val="00013D95"/>
    <w:rsid w:val="00013DDA"/>
    <w:rsid w:val="00013DDE"/>
    <w:rsid w:val="00013E12"/>
    <w:rsid w:val="00013E56"/>
    <w:rsid w:val="00013E6A"/>
    <w:rsid w:val="00013EB9"/>
    <w:rsid w:val="00013F0A"/>
    <w:rsid w:val="00013F71"/>
    <w:rsid w:val="00013F7D"/>
    <w:rsid w:val="00013FD5"/>
    <w:rsid w:val="00014003"/>
    <w:rsid w:val="0001407F"/>
    <w:rsid w:val="0001409A"/>
    <w:rsid w:val="000140A3"/>
    <w:rsid w:val="0001411B"/>
    <w:rsid w:val="00014183"/>
    <w:rsid w:val="000141B2"/>
    <w:rsid w:val="000141C7"/>
    <w:rsid w:val="000141E8"/>
    <w:rsid w:val="000141FD"/>
    <w:rsid w:val="00014216"/>
    <w:rsid w:val="00014245"/>
    <w:rsid w:val="0001425F"/>
    <w:rsid w:val="000142A4"/>
    <w:rsid w:val="000142AB"/>
    <w:rsid w:val="000142AD"/>
    <w:rsid w:val="000142E3"/>
    <w:rsid w:val="000142ED"/>
    <w:rsid w:val="0001431C"/>
    <w:rsid w:val="000143B4"/>
    <w:rsid w:val="0001441D"/>
    <w:rsid w:val="0001443C"/>
    <w:rsid w:val="0001444A"/>
    <w:rsid w:val="0001448F"/>
    <w:rsid w:val="000144A3"/>
    <w:rsid w:val="000144D6"/>
    <w:rsid w:val="0001452F"/>
    <w:rsid w:val="00014550"/>
    <w:rsid w:val="0001457D"/>
    <w:rsid w:val="00014583"/>
    <w:rsid w:val="000145DC"/>
    <w:rsid w:val="000145FE"/>
    <w:rsid w:val="000146AA"/>
    <w:rsid w:val="00014722"/>
    <w:rsid w:val="00014747"/>
    <w:rsid w:val="00014793"/>
    <w:rsid w:val="000147CA"/>
    <w:rsid w:val="000147F4"/>
    <w:rsid w:val="00014838"/>
    <w:rsid w:val="00014839"/>
    <w:rsid w:val="00014868"/>
    <w:rsid w:val="0001488A"/>
    <w:rsid w:val="000148B6"/>
    <w:rsid w:val="000148C9"/>
    <w:rsid w:val="000148DE"/>
    <w:rsid w:val="000148E7"/>
    <w:rsid w:val="00014961"/>
    <w:rsid w:val="00014992"/>
    <w:rsid w:val="000149CF"/>
    <w:rsid w:val="000149DC"/>
    <w:rsid w:val="00014A1D"/>
    <w:rsid w:val="00014A65"/>
    <w:rsid w:val="00014A66"/>
    <w:rsid w:val="00014A74"/>
    <w:rsid w:val="00014AEF"/>
    <w:rsid w:val="00014B7C"/>
    <w:rsid w:val="00014BC4"/>
    <w:rsid w:val="00014C26"/>
    <w:rsid w:val="00014C4B"/>
    <w:rsid w:val="00014C51"/>
    <w:rsid w:val="00014C87"/>
    <w:rsid w:val="00014C90"/>
    <w:rsid w:val="00014CB7"/>
    <w:rsid w:val="00014CF1"/>
    <w:rsid w:val="00014D9D"/>
    <w:rsid w:val="00014DB5"/>
    <w:rsid w:val="00014DD4"/>
    <w:rsid w:val="00014DFB"/>
    <w:rsid w:val="00014E05"/>
    <w:rsid w:val="00014E10"/>
    <w:rsid w:val="00014E94"/>
    <w:rsid w:val="00014E97"/>
    <w:rsid w:val="00014E99"/>
    <w:rsid w:val="00014E9A"/>
    <w:rsid w:val="00014ED3"/>
    <w:rsid w:val="00014ED8"/>
    <w:rsid w:val="00014F14"/>
    <w:rsid w:val="00014F8A"/>
    <w:rsid w:val="00014FFB"/>
    <w:rsid w:val="0001503C"/>
    <w:rsid w:val="0001509E"/>
    <w:rsid w:val="000150F8"/>
    <w:rsid w:val="00015165"/>
    <w:rsid w:val="000151EF"/>
    <w:rsid w:val="000151F5"/>
    <w:rsid w:val="00015262"/>
    <w:rsid w:val="000152C8"/>
    <w:rsid w:val="000152EA"/>
    <w:rsid w:val="000152F1"/>
    <w:rsid w:val="0001534C"/>
    <w:rsid w:val="00015360"/>
    <w:rsid w:val="0001538D"/>
    <w:rsid w:val="000153CF"/>
    <w:rsid w:val="00015426"/>
    <w:rsid w:val="00015448"/>
    <w:rsid w:val="00015467"/>
    <w:rsid w:val="000154D5"/>
    <w:rsid w:val="0001550D"/>
    <w:rsid w:val="00015527"/>
    <w:rsid w:val="00015586"/>
    <w:rsid w:val="0001559E"/>
    <w:rsid w:val="000155D1"/>
    <w:rsid w:val="000156B9"/>
    <w:rsid w:val="000156BB"/>
    <w:rsid w:val="00015724"/>
    <w:rsid w:val="00015753"/>
    <w:rsid w:val="00015786"/>
    <w:rsid w:val="000157B0"/>
    <w:rsid w:val="000157BC"/>
    <w:rsid w:val="000157D5"/>
    <w:rsid w:val="00015882"/>
    <w:rsid w:val="0001588B"/>
    <w:rsid w:val="00015890"/>
    <w:rsid w:val="000158AD"/>
    <w:rsid w:val="00015905"/>
    <w:rsid w:val="00015917"/>
    <w:rsid w:val="00015930"/>
    <w:rsid w:val="00015994"/>
    <w:rsid w:val="000159D7"/>
    <w:rsid w:val="00015A63"/>
    <w:rsid w:val="00015A78"/>
    <w:rsid w:val="00015A89"/>
    <w:rsid w:val="00015AAD"/>
    <w:rsid w:val="00015AB7"/>
    <w:rsid w:val="00015B33"/>
    <w:rsid w:val="00015B39"/>
    <w:rsid w:val="00015B98"/>
    <w:rsid w:val="00015BD9"/>
    <w:rsid w:val="00015BDC"/>
    <w:rsid w:val="00015C19"/>
    <w:rsid w:val="00015C2F"/>
    <w:rsid w:val="00015C48"/>
    <w:rsid w:val="00015C71"/>
    <w:rsid w:val="00015C84"/>
    <w:rsid w:val="00015CC5"/>
    <w:rsid w:val="00015CCA"/>
    <w:rsid w:val="00015CE2"/>
    <w:rsid w:val="00015CED"/>
    <w:rsid w:val="00015D07"/>
    <w:rsid w:val="00015D23"/>
    <w:rsid w:val="00015D57"/>
    <w:rsid w:val="00015DB0"/>
    <w:rsid w:val="00015DB3"/>
    <w:rsid w:val="00015E0E"/>
    <w:rsid w:val="00015E36"/>
    <w:rsid w:val="00015E7C"/>
    <w:rsid w:val="00015E7D"/>
    <w:rsid w:val="00015E9C"/>
    <w:rsid w:val="00015EDD"/>
    <w:rsid w:val="00015F23"/>
    <w:rsid w:val="00015F46"/>
    <w:rsid w:val="00015FCA"/>
    <w:rsid w:val="00015FDD"/>
    <w:rsid w:val="00015FFC"/>
    <w:rsid w:val="00015FFF"/>
    <w:rsid w:val="00016006"/>
    <w:rsid w:val="0001601F"/>
    <w:rsid w:val="00016043"/>
    <w:rsid w:val="00016090"/>
    <w:rsid w:val="0001609C"/>
    <w:rsid w:val="000160B2"/>
    <w:rsid w:val="00016164"/>
    <w:rsid w:val="00016174"/>
    <w:rsid w:val="000161E7"/>
    <w:rsid w:val="0001622D"/>
    <w:rsid w:val="00016253"/>
    <w:rsid w:val="00016265"/>
    <w:rsid w:val="00016275"/>
    <w:rsid w:val="00016278"/>
    <w:rsid w:val="000162B7"/>
    <w:rsid w:val="0001632E"/>
    <w:rsid w:val="00016357"/>
    <w:rsid w:val="00016397"/>
    <w:rsid w:val="000163D3"/>
    <w:rsid w:val="000163D4"/>
    <w:rsid w:val="0001640A"/>
    <w:rsid w:val="00016410"/>
    <w:rsid w:val="000164B2"/>
    <w:rsid w:val="000164C7"/>
    <w:rsid w:val="000164F0"/>
    <w:rsid w:val="00016541"/>
    <w:rsid w:val="000165C0"/>
    <w:rsid w:val="000165EC"/>
    <w:rsid w:val="00016617"/>
    <w:rsid w:val="0001664D"/>
    <w:rsid w:val="0001668D"/>
    <w:rsid w:val="0001668F"/>
    <w:rsid w:val="00016696"/>
    <w:rsid w:val="0001669E"/>
    <w:rsid w:val="0001670B"/>
    <w:rsid w:val="00016731"/>
    <w:rsid w:val="00016756"/>
    <w:rsid w:val="0001676B"/>
    <w:rsid w:val="0001676F"/>
    <w:rsid w:val="00016780"/>
    <w:rsid w:val="000167A9"/>
    <w:rsid w:val="0001682B"/>
    <w:rsid w:val="00016836"/>
    <w:rsid w:val="000168B0"/>
    <w:rsid w:val="000168D4"/>
    <w:rsid w:val="000168DC"/>
    <w:rsid w:val="000168E1"/>
    <w:rsid w:val="000168E6"/>
    <w:rsid w:val="000168F4"/>
    <w:rsid w:val="000168F6"/>
    <w:rsid w:val="0001690A"/>
    <w:rsid w:val="00016927"/>
    <w:rsid w:val="0001697E"/>
    <w:rsid w:val="00016989"/>
    <w:rsid w:val="000169CE"/>
    <w:rsid w:val="000169D9"/>
    <w:rsid w:val="00016A23"/>
    <w:rsid w:val="00016A39"/>
    <w:rsid w:val="00016A5C"/>
    <w:rsid w:val="00016A7B"/>
    <w:rsid w:val="00016A7C"/>
    <w:rsid w:val="00016A7E"/>
    <w:rsid w:val="00016A9B"/>
    <w:rsid w:val="00016AE4"/>
    <w:rsid w:val="00016AF5"/>
    <w:rsid w:val="00016B7C"/>
    <w:rsid w:val="00016BA4"/>
    <w:rsid w:val="00016CC8"/>
    <w:rsid w:val="00016CD8"/>
    <w:rsid w:val="00016CDD"/>
    <w:rsid w:val="00016CF3"/>
    <w:rsid w:val="00016D8E"/>
    <w:rsid w:val="00016DA0"/>
    <w:rsid w:val="00016DCA"/>
    <w:rsid w:val="00016DFF"/>
    <w:rsid w:val="00016E41"/>
    <w:rsid w:val="00016E87"/>
    <w:rsid w:val="00016E8B"/>
    <w:rsid w:val="00016EE4"/>
    <w:rsid w:val="00016EFE"/>
    <w:rsid w:val="00016F66"/>
    <w:rsid w:val="00016F8B"/>
    <w:rsid w:val="00016F93"/>
    <w:rsid w:val="00016FD6"/>
    <w:rsid w:val="00016FE0"/>
    <w:rsid w:val="00016FEB"/>
    <w:rsid w:val="00017042"/>
    <w:rsid w:val="00017069"/>
    <w:rsid w:val="00017086"/>
    <w:rsid w:val="0001709B"/>
    <w:rsid w:val="000170AA"/>
    <w:rsid w:val="0001713A"/>
    <w:rsid w:val="00017196"/>
    <w:rsid w:val="00017199"/>
    <w:rsid w:val="000171DA"/>
    <w:rsid w:val="00017240"/>
    <w:rsid w:val="00017279"/>
    <w:rsid w:val="00017285"/>
    <w:rsid w:val="00017289"/>
    <w:rsid w:val="0001729D"/>
    <w:rsid w:val="000172A1"/>
    <w:rsid w:val="000172B3"/>
    <w:rsid w:val="000172CA"/>
    <w:rsid w:val="000172CF"/>
    <w:rsid w:val="0001730C"/>
    <w:rsid w:val="00017330"/>
    <w:rsid w:val="0001735E"/>
    <w:rsid w:val="00017362"/>
    <w:rsid w:val="000173BA"/>
    <w:rsid w:val="000173E8"/>
    <w:rsid w:val="00017453"/>
    <w:rsid w:val="00017482"/>
    <w:rsid w:val="0001749A"/>
    <w:rsid w:val="000174DE"/>
    <w:rsid w:val="000174E8"/>
    <w:rsid w:val="000174FC"/>
    <w:rsid w:val="0001758F"/>
    <w:rsid w:val="000175D5"/>
    <w:rsid w:val="00017652"/>
    <w:rsid w:val="000176B2"/>
    <w:rsid w:val="000176D4"/>
    <w:rsid w:val="000176DA"/>
    <w:rsid w:val="000176E5"/>
    <w:rsid w:val="000176FE"/>
    <w:rsid w:val="00017709"/>
    <w:rsid w:val="00017715"/>
    <w:rsid w:val="00017720"/>
    <w:rsid w:val="00017746"/>
    <w:rsid w:val="000177AC"/>
    <w:rsid w:val="00017817"/>
    <w:rsid w:val="00017822"/>
    <w:rsid w:val="00017843"/>
    <w:rsid w:val="00017858"/>
    <w:rsid w:val="0001788E"/>
    <w:rsid w:val="0001789D"/>
    <w:rsid w:val="000178E9"/>
    <w:rsid w:val="000178EA"/>
    <w:rsid w:val="00017908"/>
    <w:rsid w:val="0001792B"/>
    <w:rsid w:val="00017939"/>
    <w:rsid w:val="00017973"/>
    <w:rsid w:val="00017979"/>
    <w:rsid w:val="0001797E"/>
    <w:rsid w:val="000179A5"/>
    <w:rsid w:val="000179BD"/>
    <w:rsid w:val="00017AB7"/>
    <w:rsid w:val="00017ACB"/>
    <w:rsid w:val="00017AEA"/>
    <w:rsid w:val="00017B32"/>
    <w:rsid w:val="00017B4D"/>
    <w:rsid w:val="00017B65"/>
    <w:rsid w:val="00017B79"/>
    <w:rsid w:val="00017BDC"/>
    <w:rsid w:val="00017BE3"/>
    <w:rsid w:val="00017BE7"/>
    <w:rsid w:val="00017BEC"/>
    <w:rsid w:val="00017C18"/>
    <w:rsid w:val="00017C5F"/>
    <w:rsid w:val="00017C95"/>
    <w:rsid w:val="00017CB7"/>
    <w:rsid w:val="00017CBB"/>
    <w:rsid w:val="00017CD5"/>
    <w:rsid w:val="00017D38"/>
    <w:rsid w:val="00017D60"/>
    <w:rsid w:val="00017D93"/>
    <w:rsid w:val="00017D9A"/>
    <w:rsid w:val="00017E24"/>
    <w:rsid w:val="00017E28"/>
    <w:rsid w:val="00017E39"/>
    <w:rsid w:val="00017E6C"/>
    <w:rsid w:val="00017E76"/>
    <w:rsid w:val="00017E98"/>
    <w:rsid w:val="00017EA7"/>
    <w:rsid w:val="00017EC0"/>
    <w:rsid w:val="00017EEC"/>
    <w:rsid w:val="00017F13"/>
    <w:rsid w:val="00017F14"/>
    <w:rsid w:val="00017F73"/>
    <w:rsid w:val="00017FA3"/>
    <w:rsid w:val="00017FC9"/>
    <w:rsid w:val="00017FCF"/>
    <w:rsid w:val="00017FD8"/>
    <w:rsid w:val="00017FDF"/>
    <w:rsid w:val="00020001"/>
    <w:rsid w:val="0002001C"/>
    <w:rsid w:val="0002003A"/>
    <w:rsid w:val="00020063"/>
    <w:rsid w:val="00020066"/>
    <w:rsid w:val="0002006E"/>
    <w:rsid w:val="00020078"/>
    <w:rsid w:val="00020112"/>
    <w:rsid w:val="00020119"/>
    <w:rsid w:val="00020131"/>
    <w:rsid w:val="0002016D"/>
    <w:rsid w:val="0002016E"/>
    <w:rsid w:val="000201B1"/>
    <w:rsid w:val="000201BC"/>
    <w:rsid w:val="000201BD"/>
    <w:rsid w:val="000201F3"/>
    <w:rsid w:val="0002028F"/>
    <w:rsid w:val="000202CE"/>
    <w:rsid w:val="0002034E"/>
    <w:rsid w:val="00020352"/>
    <w:rsid w:val="00020375"/>
    <w:rsid w:val="00020382"/>
    <w:rsid w:val="0002038B"/>
    <w:rsid w:val="0002038D"/>
    <w:rsid w:val="000203E1"/>
    <w:rsid w:val="000203FA"/>
    <w:rsid w:val="0002040B"/>
    <w:rsid w:val="0002040E"/>
    <w:rsid w:val="00020424"/>
    <w:rsid w:val="0002043E"/>
    <w:rsid w:val="00020456"/>
    <w:rsid w:val="000204E0"/>
    <w:rsid w:val="000204FB"/>
    <w:rsid w:val="00020526"/>
    <w:rsid w:val="0002056E"/>
    <w:rsid w:val="0002058C"/>
    <w:rsid w:val="000205B7"/>
    <w:rsid w:val="000205DD"/>
    <w:rsid w:val="00020601"/>
    <w:rsid w:val="00020669"/>
    <w:rsid w:val="000206AC"/>
    <w:rsid w:val="000206AF"/>
    <w:rsid w:val="000206ED"/>
    <w:rsid w:val="000206FE"/>
    <w:rsid w:val="00020819"/>
    <w:rsid w:val="000208AA"/>
    <w:rsid w:val="000208CA"/>
    <w:rsid w:val="000208CE"/>
    <w:rsid w:val="000208CF"/>
    <w:rsid w:val="00020934"/>
    <w:rsid w:val="00020940"/>
    <w:rsid w:val="0002098B"/>
    <w:rsid w:val="00020A0C"/>
    <w:rsid w:val="00020A2A"/>
    <w:rsid w:val="00020A5A"/>
    <w:rsid w:val="00020A6E"/>
    <w:rsid w:val="00020A91"/>
    <w:rsid w:val="00020AB2"/>
    <w:rsid w:val="00020ACA"/>
    <w:rsid w:val="00020AD2"/>
    <w:rsid w:val="00020AE9"/>
    <w:rsid w:val="00020B1A"/>
    <w:rsid w:val="00020BB1"/>
    <w:rsid w:val="00020BF6"/>
    <w:rsid w:val="00020C21"/>
    <w:rsid w:val="00020C22"/>
    <w:rsid w:val="00020C45"/>
    <w:rsid w:val="00020C91"/>
    <w:rsid w:val="00020D18"/>
    <w:rsid w:val="00020D26"/>
    <w:rsid w:val="00020D39"/>
    <w:rsid w:val="00020D5E"/>
    <w:rsid w:val="00020DC3"/>
    <w:rsid w:val="00020DFB"/>
    <w:rsid w:val="00020E34"/>
    <w:rsid w:val="00020E62"/>
    <w:rsid w:val="00020E7C"/>
    <w:rsid w:val="00020E84"/>
    <w:rsid w:val="00020EA0"/>
    <w:rsid w:val="00020EA9"/>
    <w:rsid w:val="00020EAE"/>
    <w:rsid w:val="00020ED0"/>
    <w:rsid w:val="00020F54"/>
    <w:rsid w:val="00020FBF"/>
    <w:rsid w:val="00020FC9"/>
    <w:rsid w:val="00020FD2"/>
    <w:rsid w:val="00020FDD"/>
    <w:rsid w:val="00021027"/>
    <w:rsid w:val="0002103D"/>
    <w:rsid w:val="00021067"/>
    <w:rsid w:val="00021073"/>
    <w:rsid w:val="000210B0"/>
    <w:rsid w:val="00021158"/>
    <w:rsid w:val="000211F9"/>
    <w:rsid w:val="0002122A"/>
    <w:rsid w:val="0002124B"/>
    <w:rsid w:val="0002125A"/>
    <w:rsid w:val="00021299"/>
    <w:rsid w:val="000212B0"/>
    <w:rsid w:val="000212F6"/>
    <w:rsid w:val="000212F9"/>
    <w:rsid w:val="00021303"/>
    <w:rsid w:val="00021312"/>
    <w:rsid w:val="0002135B"/>
    <w:rsid w:val="000213BF"/>
    <w:rsid w:val="000213EB"/>
    <w:rsid w:val="000213F1"/>
    <w:rsid w:val="00021400"/>
    <w:rsid w:val="0002142B"/>
    <w:rsid w:val="00021458"/>
    <w:rsid w:val="00021488"/>
    <w:rsid w:val="0002148B"/>
    <w:rsid w:val="000214BE"/>
    <w:rsid w:val="000214DD"/>
    <w:rsid w:val="0002150B"/>
    <w:rsid w:val="00021549"/>
    <w:rsid w:val="00021585"/>
    <w:rsid w:val="000215AB"/>
    <w:rsid w:val="000215CE"/>
    <w:rsid w:val="000215D3"/>
    <w:rsid w:val="00021600"/>
    <w:rsid w:val="0002165D"/>
    <w:rsid w:val="00021674"/>
    <w:rsid w:val="0002167E"/>
    <w:rsid w:val="000216AB"/>
    <w:rsid w:val="000216C4"/>
    <w:rsid w:val="00021701"/>
    <w:rsid w:val="0002171A"/>
    <w:rsid w:val="0002177E"/>
    <w:rsid w:val="000217A8"/>
    <w:rsid w:val="000217D1"/>
    <w:rsid w:val="000217FF"/>
    <w:rsid w:val="00021874"/>
    <w:rsid w:val="000218A0"/>
    <w:rsid w:val="000218B2"/>
    <w:rsid w:val="000218F0"/>
    <w:rsid w:val="000218F4"/>
    <w:rsid w:val="00021928"/>
    <w:rsid w:val="0002192B"/>
    <w:rsid w:val="00021938"/>
    <w:rsid w:val="00021946"/>
    <w:rsid w:val="00021984"/>
    <w:rsid w:val="00021997"/>
    <w:rsid w:val="000219EA"/>
    <w:rsid w:val="00021A01"/>
    <w:rsid w:val="00021A0D"/>
    <w:rsid w:val="00021A34"/>
    <w:rsid w:val="00021A42"/>
    <w:rsid w:val="00021A56"/>
    <w:rsid w:val="00021A78"/>
    <w:rsid w:val="00021A7B"/>
    <w:rsid w:val="00021AC2"/>
    <w:rsid w:val="00021AD0"/>
    <w:rsid w:val="00021B0F"/>
    <w:rsid w:val="00021BE1"/>
    <w:rsid w:val="00021BE2"/>
    <w:rsid w:val="00021BE4"/>
    <w:rsid w:val="00021C09"/>
    <w:rsid w:val="00021C52"/>
    <w:rsid w:val="00021CA3"/>
    <w:rsid w:val="00021CCC"/>
    <w:rsid w:val="00021D1C"/>
    <w:rsid w:val="00021D56"/>
    <w:rsid w:val="00021D72"/>
    <w:rsid w:val="00021DEF"/>
    <w:rsid w:val="00021DF2"/>
    <w:rsid w:val="00021E31"/>
    <w:rsid w:val="00021EA6"/>
    <w:rsid w:val="00021EFF"/>
    <w:rsid w:val="00021F28"/>
    <w:rsid w:val="00021F46"/>
    <w:rsid w:val="00021F7C"/>
    <w:rsid w:val="00021F8C"/>
    <w:rsid w:val="00021FCF"/>
    <w:rsid w:val="00021FE0"/>
    <w:rsid w:val="00021FE4"/>
    <w:rsid w:val="00022105"/>
    <w:rsid w:val="0002211A"/>
    <w:rsid w:val="00022120"/>
    <w:rsid w:val="0002213F"/>
    <w:rsid w:val="00022165"/>
    <w:rsid w:val="00022188"/>
    <w:rsid w:val="00022192"/>
    <w:rsid w:val="000221CA"/>
    <w:rsid w:val="000221D5"/>
    <w:rsid w:val="000221DF"/>
    <w:rsid w:val="000221E4"/>
    <w:rsid w:val="000221E7"/>
    <w:rsid w:val="000221F9"/>
    <w:rsid w:val="00022232"/>
    <w:rsid w:val="00022235"/>
    <w:rsid w:val="000222E3"/>
    <w:rsid w:val="00022316"/>
    <w:rsid w:val="00022360"/>
    <w:rsid w:val="00022414"/>
    <w:rsid w:val="00022444"/>
    <w:rsid w:val="0002244B"/>
    <w:rsid w:val="0002245D"/>
    <w:rsid w:val="000224AF"/>
    <w:rsid w:val="000224DF"/>
    <w:rsid w:val="000224F5"/>
    <w:rsid w:val="00022529"/>
    <w:rsid w:val="00022536"/>
    <w:rsid w:val="0002253C"/>
    <w:rsid w:val="00022543"/>
    <w:rsid w:val="00022582"/>
    <w:rsid w:val="000225B0"/>
    <w:rsid w:val="000225E1"/>
    <w:rsid w:val="0002265D"/>
    <w:rsid w:val="00022666"/>
    <w:rsid w:val="0002267A"/>
    <w:rsid w:val="00022735"/>
    <w:rsid w:val="00022743"/>
    <w:rsid w:val="0002274C"/>
    <w:rsid w:val="0002278E"/>
    <w:rsid w:val="0002279A"/>
    <w:rsid w:val="000227B0"/>
    <w:rsid w:val="000227C2"/>
    <w:rsid w:val="000227C3"/>
    <w:rsid w:val="00022800"/>
    <w:rsid w:val="00022837"/>
    <w:rsid w:val="00022859"/>
    <w:rsid w:val="00022870"/>
    <w:rsid w:val="00022894"/>
    <w:rsid w:val="000228DC"/>
    <w:rsid w:val="000228E0"/>
    <w:rsid w:val="00022909"/>
    <w:rsid w:val="00022975"/>
    <w:rsid w:val="000229B3"/>
    <w:rsid w:val="000229BE"/>
    <w:rsid w:val="00022A3B"/>
    <w:rsid w:val="00022A3D"/>
    <w:rsid w:val="00022A7A"/>
    <w:rsid w:val="00022AAC"/>
    <w:rsid w:val="00022B44"/>
    <w:rsid w:val="00022B4A"/>
    <w:rsid w:val="00022B65"/>
    <w:rsid w:val="00022B67"/>
    <w:rsid w:val="00022B94"/>
    <w:rsid w:val="00022BB6"/>
    <w:rsid w:val="00022BBA"/>
    <w:rsid w:val="00022BEC"/>
    <w:rsid w:val="00022C26"/>
    <w:rsid w:val="00022C2F"/>
    <w:rsid w:val="00022CC4"/>
    <w:rsid w:val="00022CF3"/>
    <w:rsid w:val="00022D07"/>
    <w:rsid w:val="00022D61"/>
    <w:rsid w:val="00022D6B"/>
    <w:rsid w:val="00022D77"/>
    <w:rsid w:val="00022D81"/>
    <w:rsid w:val="00022DDB"/>
    <w:rsid w:val="00022DEB"/>
    <w:rsid w:val="00022DF8"/>
    <w:rsid w:val="00022E54"/>
    <w:rsid w:val="00022E5F"/>
    <w:rsid w:val="00022E72"/>
    <w:rsid w:val="00022F77"/>
    <w:rsid w:val="00022F78"/>
    <w:rsid w:val="00022F7F"/>
    <w:rsid w:val="00022F9A"/>
    <w:rsid w:val="00022FFC"/>
    <w:rsid w:val="0002300E"/>
    <w:rsid w:val="0002302C"/>
    <w:rsid w:val="00023054"/>
    <w:rsid w:val="00023055"/>
    <w:rsid w:val="00023090"/>
    <w:rsid w:val="000230B4"/>
    <w:rsid w:val="000230C7"/>
    <w:rsid w:val="000231D8"/>
    <w:rsid w:val="000231FA"/>
    <w:rsid w:val="0002326D"/>
    <w:rsid w:val="00023287"/>
    <w:rsid w:val="00023291"/>
    <w:rsid w:val="00023297"/>
    <w:rsid w:val="000232B1"/>
    <w:rsid w:val="00023348"/>
    <w:rsid w:val="00023351"/>
    <w:rsid w:val="00023369"/>
    <w:rsid w:val="0002339B"/>
    <w:rsid w:val="000233AE"/>
    <w:rsid w:val="000233DC"/>
    <w:rsid w:val="00023409"/>
    <w:rsid w:val="00023417"/>
    <w:rsid w:val="00023432"/>
    <w:rsid w:val="00023436"/>
    <w:rsid w:val="00023445"/>
    <w:rsid w:val="00023448"/>
    <w:rsid w:val="00023469"/>
    <w:rsid w:val="00023497"/>
    <w:rsid w:val="000234F0"/>
    <w:rsid w:val="00023530"/>
    <w:rsid w:val="000235A7"/>
    <w:rsid w:val="000235F7"/>
    <w:rsid w:val="00023696"/>
    <w:rsid w:val="0002369E"/>
    <w:rsid w:val="000236E0"/>
    <w:rsid w:val="000236EF"/>
    <w:rsid w:val="000236FD"/>
    <w:rsid w:val="00023727"/>
    <w:rsid w:val="0002372B"/>
    <w:rsid w:val="00023759"/>
    <w:rsid w:val="00023772"/>
    <w:rsid w:val="00023792"/>
    <w:rsid w:val="000237FE"/>
    <w:rsid w:val="00023811"/>
    <w:rsid w:val="00023815"/>
    <w:rsid w:val="00023819"/>
    <w:rsid w:val="00023832"/>
    <w:rsid w:val="000238AE"/>
    <w:rsid w:val="000238F5"/>
    <w:rsid w:val="0002396E"/>
    <w:rsid w:val="0002397C"/>
    <w:rsid w:val="00023982"/>
    <w:rsid w:val="000239FB"/>
    <w:rsid w:val="00023A11"/>
    <w:rsid w:val="00023A23"/>
    <w:rsid w:val="00023A2D"/>
    <w:rsid w:val="00023B45"/>
    <w:rsid w:val="00023BCF"/>
    <w:rsid w:val="00023BD9"/>
    <w:rsid w:val="00023BEC"/>
    <w:rsid w:val="00023C22"/>
    <w:rsid w:val="00023C39"/>
    <w:rsid w:val="00023C63"/>
    <w:rsid w:val="00023C7D"/>
    <w:rsid w:val="00023C9A"/>
    <w:rsid w:val="00023CB5"/>
    <w:rsid w:val="00023CEF"/>
    <w:rsid w:val="00023CFD"/>
    <w:rsid w:val="00023D02"/>
    <w:rsid w:val="00023D43"/>
    <w:rsid w:val="00023D44"/>
    <w:rsid w:val="00023D52"/>
    <w:rsid w:val="00023D83"/>
    <w:rsid w:val="00023DA6"/>
    <w:rsid w:val="00023DAF"/>
    <w:rsid w:val="00023DD7"/>
    <w:rsid w:val="00023DFD"/>
    <w:rsid w:val="00023E01"/>
    <w:rsid w:val="00023E11"/>
    <w:rsid w:val="00023E54"/>
    <w:rsid w:val="00023E5A"/>
    <w:rsid w:val="00023E7C"/>
    <w:rsid w:val="00023EA2"/>
    <w:rsid w:val="00023EBB"/>
    <w:rsid w:val="00023F56"/>
    <w:rsid w:val="00023F82"/>
    <w:rsid w:val="00023F8E"/>
    <w:rsid w:val="00023F8F"/>
    <w:rsid w:val="00023F9E"/>
    <w:rsid w:val="00023FF9"/>
    <w:rsid w:val="00024016"/>
    <w:rsid w:val="0002401F"/>
    <w:rsid w:val="00024049"/>
    <w:rsid w:val="00024097"/>
    <w:rsid w:val="000240BF"/>
    <w:rsid w:val="00024242"/>
    <w:rsid w:val="00024277"/>
    <w:rsid w:val="00024298"/>
    <w:rsid w:val="000243D0"/>
    <w:rsid w:val="000243D2"/>
    <w:rsid w:val="000243E1"/>
    <w:rsid w:val="000243F0"/>
    <w:rsid w:val="000243FA"/>
    <w:rsid w:val="000244D1"/>
    <w:rsid w:val="000244ED"/>
    <w:rsid w:val="00024557"/>
    <w:rsid w:val="00024581"/>
    <w:rsid w:val="0002458B"/>
    <w:rsid w:val="0002458C"/>
    <w:rsid w:val="0002459C"/>
    <w:rsid w:val="000245C7"/>
    <w:rsid w:val="000245F3"/>
    <w:rsid w:val="00024610"/>
    <w:rsid w:val="00024617"/>
    <w:rsid w:val="0002462D"/>
    <w:rsid w:val="00024666"/>
    <w:rsid w:val="00024673"/>
    <w:rsid w:val="0002468E"/>
    <w:rsid w:val="00024693"/>
    <w:rsid w:val="000246F1"/>
    <w:rsid w:val="00024702"/>
    <w:rsid w:val="000247D8"/>
    <w:rsid w:val="000247E5"/>
    <w:rsid w:val="000247F2"/>
    <w:rsid w:val="00024802"/>
    <w:rsid w:val="00024823"/>
    <w:rsid w:val="00024849"/>
    <w:rsid w:val="00024883"/>
    <w:rsid w:val="00024888"/>
    <w:rsid w:val="00024890"/>
    <w:rsid w:val="00024898"/>
    <w:rsid w:val="000248B9"/>
    <w:rsid w:val="000248DE"/>
    <w:rsid w:val="000248F9"/>
    <w:rsid w:val="000248FE"/>
    <w:rsid w:val="00024944"/>
    <w:rsid w:val="00024952"/>
    <w:rsid w:val="0002499F"/>
    <w:rsid w:val="000249BA"/>
    <w:rsid w:val="000249F9"/>
    <w:rsid w:val="00024A28"/>
    <w:rsid w:val="00024A35"/>
    <w:rsid w:val="00024A38"/>
    <w:rsid w:val="00024AB5"/>
    <w:rsid w:val="00024AD0"/>
    <w:rsid w:val="00024AF8"/>
    <w:rsid w:val="00024B0F"/>
    <w:rsid w:val="00024B14"/>
    <w:rsid w:val="00024B3C"/>
    <w:rsid w:val="00024C45"/>
    <w:rsid w:val="00024C46"/>
    <w:rsid w:val="00024C54"/>
    <w:rsid w:val="00024C57"/>
    <w:rsid w:val="00024C9E"/>
    <w:rsid w:val="00024CEE"/>
    <w:rsid w:val="00024CF9"/>
    <w:rsid w:val="00024E09"/>
    <w:rsid w:val="00024E83"/>
    <w:rsid w:val="00024E9C"/>
    <w:rsid w:val="00024EC3"/>
    <w:rsid w:val="00024EE0"/>
    <w:rsid w:val="00024F6E"/>
    <w:rsid w:val="00024FA7"/>
    <w:rsid w:val="00024FC5"/>
    <w:rsid w:val="00024FD2"/>
    <w:rsid w:val="00024FD4"/>
    <w:rsid w:val="00024FF6"/>
    <w:rsid w:val="0002507C"/>
    <w:rsid w:val="000250CF"/>
    <w:rsid w:val="00025110"/>
    <w:rsid w:val="00025118"/>
    <w:rsid w:val="00025119"/>
    <w:rsid w:val="00025124"/>
    <w:rsid w:val="0002515A"/>
    <w:rsid w:val="000251A5"/>
    <w:rsid w:val="000251A9"/>
    <w:rsid w:val="00025247"/>
    <w:rsid w:val="0002524B"/>
    <w:rsid w:val="0002524E"/>
    <w:rsid w:val="0002525F"/>
    <w:rsid w:val="00025276"/>
    <w:rsid w:val="00025277"/>
    <w:rsid w:val="0002528A"/>
    <w:rsid w:val="000252BC"/>
    <w:rsid w:val="000252E7"/>
    <w:rsid w:val="00025328"/>
    <w:rsid w:val="0002533F"/>
    <w:rsid w:val="00025389"/>
    <w:rsid w:val="000253A6"/>
    <w:rsid w:val="000253A7"/>
    <w:rsid w:val="00025413"/>
    <w:rsid w:val="00025433"/>
    <w:rsid w:val="0002543C"/>
    <w:rsid w:val="00025464"/>
    <w:rsid w:val="00025469"/>
    <w:rsid w:val="000254A1"/>
    <w:rsid w:val="000254A7"/>
    <w:rsid w:val="000254B1"/>
    <w:rsid w:val="000254D7"/>
    <w:rsid w:val="000254EC"/>
    <w:rsid w:val="00025514"/>
    <w:rsid w:val="0002555D"/>
    <w:rsid w:val="00025583"/>
    <w:rsid w:val="00025586"/>
    <w:rsid w:val="0002558E"/>
    <w:rsid w:val="000255A2"/>
    <w:rsid w:val="000255BE"/>
    <w:rsid w:val="00025602"/>
    <w:rsid w:val="0002561A"/>
    <w:rsid w:val="00025653"/>
    <w:rsid w:val="00025692"/>
    <w:rsid w:val="0002569B"/>
    <w:rsid w:val="000256CC"/>
    <w:rsid w:val="000256D5"/>
    <w:rsid w:val="000256F0"/>
    <w:rsid w:val="000256F4"/>
    <w:rsid w:val="00025721"/>
    <w:rsid w:val="00025734"/>
    <w:rsid w:val="00025753"/>
    <w:rsid w:val="00025765"/>
    <w:rsid w:val="00025794"/>
    <w:rsid w:val="00025799"/>
    <w:rsid w:val="00025814"/>
    <w:rsid w:val="0002584F"/>
    <w:rsid w:val="00025872"/>
    <w:rsid w:val="0002588C"/>
    <w:rsid w:val="000258EA"/>
    <w:rsid w:val="0002593D"/>
    <w:rsid w:val="0002596A"/>
    <w:rsid w:val="000259D7"/>
    <w:rsid w:val="000259F6"/>
    <w:rsid w:val="00025A49"/>
    <w:rsid w:val="00025A88"/>
    <w:rsid w:val="00025AF8"/>
    <w:rsid w:val="00025B35"/>
    <w:rsid w:val="00025B40"/>
    <w:rsid w:val="00025B57"/>
    <w:rsid w:val="00025B9C"/>
    <w:rsid w:val="00025BE3"/>
    <w:rsid w:val="00025C18"/>
    <w:rsid w:val="00025C28"/>
    <w:rsid w:val="00025C3A"/>
    <w:rsid w:val="00025C3C"/>
    <w:rsid w:val="00025C42"/>
    <w:rsid w:val="00025CD7"/>
    <w:rsid w:val="00025D06"/>
    <w:rsid w:val="00025D0A"/>
    <w:rsid w:val="00025D2D"/>
    <w:rsid w:val="00025D30"/>
    <w:rsid w:val="00025D37"/>
    <w:rsid w:val="00025D43"/>
    <w:rsid w:val="00025DDB"/>
    <w:rsid w:val="00025DF5"/>
    <w:rsid w:val="00025E19"/>
    <w:rsid w:val="00025E1A"/>
    <w:rsid w:val="00025E1E"/>
    <w:rsid w:val="00025E25"/>
    <w:rsid w:val="00025E56"/>
    <w:rsid w:val="00025E6E"/>
    <w:rsid w:val="00025E88"/>
    <w:rsid w:val="00025EB0"/>
    <w:rsid w:val="00025ED5"/>
    <w:rsid w:val="00025EDF"/>
    <w:rsid w:val="00025EF1"/>
    <w:rsid w:val="00025F7C"/>
    <w:rsid w:val="00025FFC"/>
    <w:rsid w:val="00026014"/>
    <w:rsid w:val="00026025"/>
    <w:rsid w:val="0002603E"/>
    <w:rsid w:val="0002605E"/>
    <w:rsid w:val="00026080"/>
    <w:rsid w:val="00026085"/>
    <w:rsid w:val="00026092"/>
    <w:rsid w:val="0002609D"/>
    <w:rsid w:val="000260B1"/>
    <w:rsid w:val="0002614B"/>
    <w:rsid w:val="0002617A"/>
    <w:rsid w:val="000261B7"/>
    <w:rsid w:val="00026239"/>
    <w:rsid w:val="00026275"/>
    <w:rsid w:val="00026291"/>
    <w:rsid w:val="000262B0"/>
    <w:rsid w:val="000262FE"/>
    <w:rsid w:val="00026350"/>
    <w:rsid w:val="0002639C"/>
    <w:rsid w:val="000263E4"/>
    <w:rsid w:val="000263F5"/>
    <w:rsid w:val="0002643C"/>
    <w:rsid w:val="00026456"/>
    <w:rsid w:val="00026478"/>
    <w:rsid w:val="00026488"/>
    <w:rsid w:val="000264A1"/>
    <w:rsid w:val="000264B8"/>
    <w:rsid w:val="000264E1"/>
    <w:rsid w:val="00026537"/>
    <w:rsid w:val="00026574"/>
    <w:rsid w:val="000265BB"/>
    <w:rsid w:val="000265DE"/>
    <w:rsid w:val="00026621"/>
    <w:rsid w:val="00026664"/>
    <w:rsid w:val="0002666C"/>
    <w:rsid w:val="000266EB"/>
    <w:rsid w:val="00026715"/>
    <w:rsid w:val="000267C7"/>
    <w:rsid w:val="000267CE"/>
    <w:rsid w:val="000267E6"/>
    <w:rsid w:val="00026826"/>
    <w:rsid w:val="00026837"/>
    <w:rsid w:val="0002684E"/>
    <w:rsid w:val="0002685E"/>
    <w:rsid w:val="000268D4"/>
    <w:rsid w:val="00026937"/>
    <w:rsid w:val="00026949"/>
    <w:rsid w:val="000269EA"/>
    <w:rsid w:val="00026A2E"/>
    <w:rsid w:val="00026A38"/>
    <w:rsid w:val="00026A4D"/>
    <w:rsid w:val="00026ABC"/>
    <w:rsid w:val="00026ACB"/>
    <w:rsid w:val="00026AEE"/>
    <w:rsid w:val="00026B2F"/>
    <w:rsid w:val="00026B36"/>
    <w:rsid w:val="00026B45"/>
    <w:rsid w:val="00026B8B"/>
    <w:rsid w:val="00026BB2"/>
    <w:rsid w:val="00026BBB"/>
    <w:rsid w:val="00026C04"/>
    <w:rsid w:val="00026C2E"/>
    <w:rsid w:val="00026C39"/>
    <w:rsid w:val="00026C70"/>
    <w:rsid w:val="00026C91"/>
    <w:rsid w:val="00026CD3"/>
    <w:rsid w:val="00026CE2"/>
    <w:rsid w:val="00026D23"/>
    <w:rsid w:val="00026D2F"/>
    <w:rsid w:val="00026D6C"/>
    <w:rsid w:val="00026DFA"/>
    <w:rsid w:val="00026E26"/>
    <w:rsid w:val="00026E51"/>
    <w:rsid w:val="00026E5C"/>
    <w:rsid w:val="00026E85"/>
    <w:rsid w:val="00026ECE"/>
    <w:rsid w:val="00026F06"/>
    <w:rsid w:val="00026F3B"/>
    <w:rsid w:val="00026F42"/>
    <w:rsid w:val="00026FB7"/>
    <w:rsid w:val="00026FBF"/>
    <w:rsid w:val="00026FE0"/>
    <w:rsid w:val="00026FFE"/>
    <w:rsid w:val="0002700E"/>
    <w:rsid w:val="00027013"/>
    <w:rsid w:val="0002703A"/>
    <w:rsid w:val="000270CF"/>
    <w:rsid w:val="000270D5"/>
    <w:rsid w:val="00027124"/>
    <w:rsid w:val="000271AC"/>
    <w:rsid w:val="000271DF"/>
    <w:rsid w:val="000271F6"/>
    <w:rsid w:val="00027237"/>
    <w:rsid w:val="00027267"/>
    <w:rsid w:val="000272B1"/>
    <w:rsid w:val="0002732D"/>
    <w:rsid w:val="00027349"/>
    <w:rsid w:val="0002737B"/>
    <w:rsid w:val="000273C1"/>
    <w:rsid w:val="00027454"/>
    <w:rsid w:val="000274B4"/>
    <w:rsid w:val="0002752E"/>
    <w:rsid w:val="00027531"/>
    <w:rsid w:val="00027553"/>
    <w:rsid w:val="00027554"/>
    <w:rsid w:val="000275EE"/>
    <w:rsid w:val="00027616"/>
    <w:rsid w:val="0002761E"/>
    <w:rsid w:val="0002766B"/>
    <w:rsid w:val="000276B1"/>
    <w:rsid w:val="000276B8"/>
    <w:rsid w:val="00027724"/>
    <w:rsid w:val="00027763"/>
    <w:rsid w:val="00027766"/>
    <w:rsid w:val="00027782"/>
    <w:rsid w:val="00027786"/>
    <w:rsid w:val="00027793"/>
    <w:rsid w:val="000277B4"/>
    <w:rsid w:val="000277E5"/>
    <w:rsid w:val="00027820"/>
    <w:rsid w:val="00027828"/>
    <w:rsid w:val="00027873"/>
    <w:rsid w:val="00027887"/>
    <w:rsid w:val="0002788A"/>
    <w:rsid w:val="00027891"/>
    <w:rsid w:val="0002789A"/>
    <w:rsid w:val="000278AD"/>
    <w:rsid w:val="000278CA"/>
    <w:rsid w:val="00027929"/>
    <w:rsid w:val="00027936"/>
    <w:rsid w:val="0002796D"/>
    <w:rsid w:val="000279A7"/>
    <w:rsid w:val="00027A4E"/>
    <w:rsid w:val="00027A6B"/>
    <w:rsid w:val="00027A6C"/>
    <w:rsid w:val="00027A71"/>
    <w:rsid w:val="00027A74"/>
    <w:rsid w:val="00027AED"/>
    <w:rsid w:val="00027AEE"/>
    <w:rsid w:val="00027B3E"/>
    <w:rsid w:val="00027B51"/>
    <w:rsid w:val="00027B88"/>
    <w:rsid w:val="00027B9D"/>
    <w:rsid w:val="00027BBF"/>
    <w:rsid w:val="00027C90"/>
    <w:rsid w:val="00027CA2"/>
    <w:rsid w:val="00027D04"/>
    <w:rsid w:val="00027D31"/>
    <w:rsid w:val="00027D4E"/>
    <w:rsid w:val="00027D57"/>
    <w:rsid w:val="00027D82"/>
    <w:rsid w:val="00027E36"/>
    <w:rsid w:val="00027E88"/>
    <w:rsid w:val="00027E8E"/>
    <w:rsid w:val="00027EC1"/>
    <w:rsid w:val="00027EC8"/>
    <w:rsid w:val="00027F42"/>
    <w:rsid w:val="00027F4A"/>
    <w:rsid w:val="00027F67"/>
    <w:rsid w:val="00027FC6"/>
    <w:rsid w:val="00027FDD"/>
    <w:rsid w:val="00027FF2"/>
    <w:rsid w:val="00030048"/>
    <w:rsid w:val="0003006B"/>
    <w:rsid w:val="00030090"/>
    <w:rsid w:val="00030099"/>
    <w:rsid w:val="00030127"/>
    <w:rsid w:val="00030143"/>
    <w:rsid w:val="0003014C"/>
    <w:rsid w:val="00030182"/>
    <w:rsid w:val="0003018D"/>
    <w:rsid w:val="00030191"/>
    <w:rsid w:val="00030230"/>
    <w:rsid w:val="00030265"/>
    <w:rsid w:val="00030268"/>
    <w:rsid w:val="00030269"/>
    <w:rsid w:val="00030280"/>
    <w:rsid w:val="000302B8"/>
    <w:rsid w:val="000302C2"/>
    <w:rsid w:val="000302C8"/>
    <w:rsid w:val="000302EC"/>
    <w:rsid w:val="00030337"/>
    <w:rsid w:val="0003035B"/>
    <w:rsid w:val="00030399"/>
    <w:rsid w:val="000303B3"/>
    <w:rsid w:val="00030437"/>
    <w:rsid w:val="0003045F"/>
    <w:rsid w:val="000304AC"/>
    <w:rsid w:val="000304B2"/>
    <w:rsid w:val="000304B6"/>
    <w:rsid w:val="000304E1"/>
    <w:rsid w:val="000304E2"/>
    <w:rsid w:val="00030515"/>
    <w:rsid w:val="0003051A"/>
    <w:rsid w:val="0003061A"/>
    <w:rsid w:val="0003061E"/>
    <w:rsid w:val="00030653"/>
    <w:rsid w:val="00030668"/>
    <w:rsid w:val="000306AE"/>
    <w:rsid w:val="000307CC"/>
    <w:rsid w:val="0003080F"/>
    <w:rsid w:val="00030830"/>
    <w:rsid w:val="00030879"/>
    <w:rsid w:val="00030895"/>
    <w:rsid w:val="000308D6"/>
    <w:rsid w:val="000308E0"/>
    <w:rsid w:val="000308E6"/>
    <w:rsid w:val="00030916"/>
    <w:rsid w:val="00030922"/>
    <w:rsid w:val="00030930"/>
    <w:rsid w:val="0003094E"/>
    <w:rsid w:val="00030992"/>
    <w:rsid w:val="000309D2"/>
    <w:rsid w:val="000309E7"/>
    <w:rsid w:val="00030A0B"/>
    <w:rsid w:val="00030AA2"/>
    <w:rsid w:val="00030ABC"/>
    <w:rsid w:val="00030ADD"/>
    <w:rsid w:val="00030AF6"/>
    <w:rsid w:val="00030B21"/>
    <w:rsid w:val="00030B41"/>
    <w:rsid w:val="00030B7D"/>
    <w:rsid w:val="00030B9B"/>
    <w:rsid w:val="00030BB1"/>
    <w:rsid w:val="00030BBC"/>
    <w:rsid w:val="00030BE5"/>
    <w:rsid w:val="00030C29"/>
    <w:rsid w:val="00030C36"/>
    <w:rsid w:val="00030C43"/>
    <w:rsid w:val="00030C64"/>
    <w:rsid w:val="00030C79"/>
    <w:rsid w:val="00030C8B"/>
    <w:rsid w:val="00030CEB"/>
    <w:rsid w:val="00030D15"/>
    <w:rsid w:val="00030D1A"/>
    <w:rsid w:val="00030D2F"/>
    <w:rsid w:val="00030D38"/>
    <w:rsid w:val="00030DBE"/>
    <w:rsid w:val="00030DCE"/>
    <w:rsid w:val="00030E0F"/>
    <w:rsid w:val="00030E58"/>
    <w:rsid w:val="00030E5A"/>
    <w:rsid w:val="00030E74"/>
    <w:rsid w:val="00030EE1"/>
    <w:rsid w:val="00030F12"/>
    <w:rsid w:val="00030F38"/>
    <w:rsid w:val="00030F44"/>
    <w:rsid w:val="00030F66"/>
    <w:rsid w:val="00030F94"/>
    <w:rsid w:val="00030FE1"/>
    <w:rsid w:val="00031012"/>
    <w:rsid w:val="0003106F"/>
    <w:rsid w:val="0003107F"/>
    <w:rsid w:val="00031084"/>
    <w:rsid w:val="00031118"/>
    <w:rsid w:val="00031136"/>
    <w:rsid w:val="000311B7"/>
    <w:rsid w:val="0003122E"/>
    <w:rsid w:val="0003125A"/>
    <w:rsid w:val="00031271"/>
    <w:rsid w:val="00031272"/>
    <w:rsid w:val="000312A0"/>
    <w:rsid w:val="000313BE"/>
    <w:rsid w:val="000313C3"/>
    <w:rsid w:val="000313F4"/>
    <w:rsid w:val="00031407"/>
    <w:rsid w:val="00031417"/>
    <w:rsid w:val="00031484"/>
    <w:rsid w:val="000314BA"/>
    <w:rsid w:val="000314CD"/>
    <w:rsid w:val="000314FB"/>
    <w:rsid w:val="00031514"/>
    <w:rsid w:val="00031534"/>
    <w:rsid w:val="0003153C"/>
    <w:rsid w:val="000315C3"/>
    <w:rsid w:val="000315D9"/>
    <w:rsid w:val="000315F7"/>
    <w:rsid w:val="00031602"/>
    <w:rsid w:val="00031609"/>
    <w:rsid w:val="00031617"/>
    <w:rsid w:val="00031635"/>
    <w:rsid w:val="0003163E"/>
    <w:rsid w:val="000316AC"/>
    <w:rsid w:val="000316D9"/>
    <w:rsid w:val="000316F1"/>
    <w:rsid w:val="00031712"/>
    <w:rsid w:val="00031762"/>
    <w:rsid w:val="00031789"/>
    <w:rsid w:val="0003184D"/>
    <w:rsid w:val="00031857"/>
    <w:rsid w:val="00031879"/>
    <w:rsid w:val="0003187D"/>
    <w:rsid w:val="0003188B"/>
    <w:rsid w:val="0003188C"/>
    <w:rsid w:val="0003191C"/>
    <w:rsid w:val="00031977"/>
    <w:rsid w:val="00031996"/>
    <w:rsid w:val="00031A2A"/>
    <w:rsid w:val="00031A2C"/>
    <w:rsid w:val="00031A41"/>
    <w:rsid w:val="00031A5F"/>
    <w:rsid w:val="00031AB2"/>
    <w:rsid w:val="00031AD1"/>
    <w:rsid w:val="00031AD4"/>
    <w:rsid w:val="00031B0A"/>
    <w:rsid w:val="00031B10"/>
    <w:rsid w:val="00031B59"/>
    <w:rsid w:val="00031B64"/>
    <w:rsid w:val="00031BA2"/>
    <w:rsid w:val="00031BAB"/>
    <w:rsid w:val="00031BC0"/>
    <w:rsid w:val="00031BF1"/>
    <w:rsid w:val="00031BF7"/>
    <w:rsid w:val="00031C11"/>
    <w:rsid w:val="00031C25"/>
    <w:rsid w:val="00031C38"/>
    <w:rsid w:val="00031C71"/>
    <w:rsid w:val="00031C9E"/>
    <w:rsid w:val="00031D49"/>
    <w:rsid w:val="00031DB9"/>
    <w:rsid w:val="00031DE4"/>
    <w:rsid w:val="00031DEC"/>
    <w:rsid w:val="00031DFC"/>
    <w:rsid w:val="00031E4B"/>
    <w:rsid w:val="00031E4E"/>
    <w:rsid w:val="00031E95"/>
    <w:rsid w:val="00031F51"/>
    <w:rsid w:val="00031F5E"/>
    <w:rsid w:val="00031FC7"/>
    <w:rsid w:val="00031FC8"/>
    <w:rsid w:val="00031FF9"/>
    <w:rsid w:val="00032022"/>
    <w:rsid w:val="000320E5"/>
    <w:rsid w:val="00032124"/>
    <w:rsid w:val="00032140"/>
    <w:rsid w:val="00032154"/>
    <w:rsid w:val="0003217E"/>
    <w:rsid w:val="00032181"/>
    <w:rsid w:val="000321F8"/>
    <w:rsid w:val="0003220D"/>
    <w:rsid w:val="0003232A"/>
    <w:rsid w:val="00032339"/>
    <w:rsid w:val="00032354"/>
    <w:rsid w:val="00032371"/>
    <w:rsid w:val="000323CB"/>
    <w:rsid w:val="000323EF"/>
    <w:rsid w:val="0003242F"/>
    <w:rsid w:val="00032495"/>
    <w:rsid w:val="0003249D"/>
    <w:rsid w:val="00032511"/>
    <w:rsid w:val="00032548"/>
    <w:rsid w:val="0003259F"/>
    <w:rsid w:val="000325E4"/>
    <w:rsid w:val="00032609"/>
    <w:rsid w:val="0003261D"/>
    <w:rsid w:val="00032638"/>
    <w:rsid w:val="00032652"/>
    <w:rsid w:val="000326A4"/>
    <w:rsid w:val="000326B4"/>
    <w:rsid w:val="000326E9"/>
    <w:rsid w:val="000326FC"/>
    <w:rsid w:val="00032766"/>
    <w:rsid w:val="0003276E"/>
    <w:rsid w:val="00032781"/>
    <w:rsid w:val="000327B9"/>
    <w:rsid w:val="000327C5"/>
    <w:rsid w:val="0003280D"/>
    <w:rsid w:val="000328A9"/>
    <w:rsid w:val="000328BE"/>
    <w:rsid w:val="000328D1"/>
    <w:rsid w:val="000328DC"/>
    <w:rsid w:val="000328EE"/>
    <w:rsid w:val="000328F7"/>
    <w:rsid w:val="00032925"/>
    <w:rsid w:val="00032926"/>
    <w:rsid w:val="00032947"/>
    <w:rsid w:val="00032A03"/>
    <w:rsid w:val="00032A05"/>
    <w:rsid w:val="00032A21"/>
    <w:rsid w:val="00032A34"/>
    <w:rsid w:val="00032A3C"/>
    <w:rsid w:val="00032A44"/>
    <w:rsid w:val="00032A67"/>
    <w:rsid w:val="00032A89"/>
    <w:rsid w:val="00032A8E"/>
    <w:rsid w:val="00032AF7"/>
    <w:rsid w:val="00032B20"/>
    <w:rsid w:val="00032B30"/>
    <w:rsid w:val="00032B38"/>
    <w:rsid w:val="00032B88"/>
    <w:rsid w:val="00032BA6"/>
    <w:rsid w:val="00032BD3"/>
    <w:rsid w:val="00032BD9"/>
    <w:rsid w:val="00032C29"/>
    <w:rsid w:val="00032C2E"/>
    <w:rsid w:val="00032C39"/>
    <w:rsid w:val="00032C63"/>
    <w:rsid w:val="00032C7D"/>
    <w:rsid w:val="00032CAA"/>
    <w:rsid w:val="00032CD2"/>
    <w:rsid w:val="00032CD7"/>
    <w:rsid w:val="00032CDD"/>
    <w:rsid w:val="00032CE4"/>
    <w:rsid w:val="00032D09"/>
    <w:rsid w:val="00032D13"/>
    <w:rsid w:val="00032D57"/>
    <w:rsid w:val="00032D98"/>
    <w:rsid w:val="00032DE8"/>
    <w:rsid w:val="00032E09"/>
    <w:rsid w:val="00032E19"/>
    <w:rsid w:val="00032E22"/>
    <w:rsid w:val="00032E4B"/>
    <w:rsid w:val="00032E80"/>
    <w:rsid w:val="00032E9A"/>
    <w:rsid w:val="00032EAA"/>
    <w:rsid w:val="00032EB1"/>
    <w:rsid w:val="00032F08"/>
    <w:rsid w:val="00032F42"/>
    <w:rsid w:val="00032FD9"/>
    <w:rsid w:val="00032FDE"/>
    <w:rsid w:val="00032FEC"/>
    <w:rsid w:val="00033012"/>
    <w:rsid w:val="00033026"/>
    <w:rsid w:val="00033052"/>
    <w:rsid w:val="0003308E"/>
    <w:rsid w:val="000330CB"/>
    <w:rsid w:val="000330D4"/>
    <w:rsid w:val="00033173"/>
    <w:rsid w:val="000331B0"/>
    <w:rsid w:val="000331C4"/>
    <w:rsid w:val="000331CC"/>
    <w:rsid w:val="000331D1"/>
    <w:rsid w:val="0003320E"/>
    <w:rsid w:val="00033217"/>
    <w:rsid w:val="00033243"/>
    <w:rsid w:val="00033269"/>
    <w:rsid w:val="0003327F"/>
    <w:rsid w:val="00033293"/>
    <w:rsid w:val="000332C7"/>
    <w:rsid w:val="000332C9"/>
    <w:rsid w:val="000332D6"/>
    <w:rsid w:val="000332DA"/>
    <w:rsid w:val="000332F8"/>
    <w:rsid w:val="00033327"/>
    <w:rsid w:val="0003339A"/>
    <w:rsid w:val="000333CA"/>
    <w:rsid w:val="0003340A"/>
    <w:rsid w:val="00033429"/>
    <w:rsid w:val="0003343A"/>
    <w:rsid w:val="00033478"/>
    <w:rsid w:val="00033505"/>
    <w:rsid w:val="0003350B"/>
    <w:rsid w:val="0003350D"/>
    <w:rsid w:val="00033579"/>
    <w:rsid w:val="0003357E"/>
    <w:rsid w:val="000335B3"/>
    <w:rsid w:val="000335E2"/>
    <w:rsid w:val="0003361A"/>
    <w:rsid w:val="00033621"/>
    <w:rsid w:val="000336AF"/>
    <w:rsid w:val="00033715"/>
    <w:rsid w:val="00033728"/>
    <w:rsid w:val="000337B2"/>
    <w:rsid w:val="00033800"/>
    <w:rsid w:val="0003387B"/>
    <w:rsid w:val="00033886"/>
    <w:rsid w:val="00033897"/>
    <w:rsid w:val="000338BF"/>
    <w:rsid w:val="00033921"/>
    <w:rsid w:val="00033935"/>
    <w:rsid w:val="00033960"/>
    <w:rsid w:val="0003396D"/>
    <w:rsid w:val="00033996"/>
    <w:rsid w:val="00033997"/>
    <w:rsid w:val="000339D1"/>
    <w:rsid w:val="00033A34"/>
    <w:rsid w:val="00033A4E"/>
    <w:rsid w:val="00033A74"/>
    <w:rsid w:val="00033A7E"/>
    <w:rsid w:val="00033A8D"/>
    <w:rsid w:val="00033AD6"/>
    <w:rsid w:val="00033B00"/>
    <w:rsid w:val="00033B27"/>
    <w:rsid w:val="00033B2D"/>
    <w:rsid w:val="00033B82"/>
    <w:rsid w:val="00033B88"/>
    <w:rsid w:val="00033B8D"/>
    <w:rsid w:val="00033BA1"/>
    <w:rsid w:val="00033BA2"/>
    <w:rsid w:val="00033C46"/>
    <w:rsid w:val="00033C5D"/>
    <w:rsid w:val="00033C72"/>
    <w:rsid w:val="00033C77"/>
    <w:rsid w:val="00033C9E"/>
    <w:rsid w:val="00033CEB"/>
    <w:rsid w:val="00033CFE"/>
    <w:rsid w:val="00033D08"/>
    <w:rsid w:val="00033D53"/>
    <w:rsid w:val="00033D71"/>
    <w:rsid w:val="00033DC4"/>
    <w:rsid w:val="00033E14"/>
    <w:rsid w:val="00033E2C"/>
    <w:rsid w:val="00033E30"/>
    <w:rsid w:val="00033F01"/>
    <w:rsid w:val="00033F27"/>
    <w:rsid w:val="00033F32"/>
    <w:rsid w:val="00033F48"/>
    <w:rsid w:val="00033F6C"/>
    <w:rsid w:val="00033F78"/>
    <w:rsid w:val="00033F7F"/>
    <w:rsid w:val="00033F85"/>
    <w:rsid w:val="00033FA5"/>
    <w:rsid w:val="00033FE7"/>
    <w:rsid w:val="00033FED"/>
    <w:rsid w:val="00034097"/>
    <w:rsid w:val="000340AF"/>
    <w:rsid w:val="000340B1"/>
    <w:rsid w:val="000340C0"/>
    <w:rsid w:val="000340DC"/>
    <w:rsid w:val="00034122"/>
    <w:rsid w:val="00034134"/>
    <w:rsid w:val="0003417D"/>
    <w:rsid w:val="000341D6"/>
    <w:rsid w:val="000341D9"/>
    <w:rsid w:val="000341E4"/>
    <w:rsid w:val="00034248"/>
    <w:rsid w:val="00034260"/>
    <w:rsid w:val="0003427F"/>
    <w:rsid w:val="000342A6"/>
    <w:rsid w:val="000342E8"/>
    <w:rsid w:val="00034329"/>
    <w:rsid w:val="0003433D"/>
    <w:rsid w:val="00034374"/>
    <w:rsid w:val="000343C5"/>
    <w:rsid w:val="000343ED"/>
    <w:rsid w:val="00034418"/>
    <w:rsid w:val="0003441C"/>
    <w:rsid w:val="00034420"/>
    <w:rsid w:val="00034426"/>
    <w:rsid w:val="00034430"/>
    <w:rsid w:val="000344AC"/>
    <w:rsid w:val="000344B1"/>
    <w:rsid w:val="000344C3"/>
    <w:rsid w:val="000344FA"/>
    <w:rsid w:val="0003451F"/>
    <w:rsid w:val="0003452E"/>
    <w:rsid w:val="00034532"/>
    <w:rsid w:val="00034539"/>
    <w:rsid w:val="00034560"/>
    <w:rsid w:val="00034573"/>
    <w:rsid w:val="00034627"/>
    <w:rsid w:val="00034639"/>
    <w:rsid w:val="00034643"/>
    <w:rsid w:val="0003467A"/>
    <w:rsid w:val="0003467B"/>
    <w:rsid w:val="00034682"/>
    <w:rsid w:val="0003469F"/>
    <w:rsid w:val="000346B2"/>
    <w:rsid w:val="000347E0"/>
    <w:rsid w:val="0003482F"/>
    <w:rsid w:val="0003485E"/>
    <w:rsid w:val="000348C3"/>
    <w:rsid w:val="000348D1"/>
    <w:rsid w:val="000349C0"/>
    <w:rsid w:val="00034A91"/>
    <w:rsid w:val="00034B8C"/>
    <w:rsid w:val="00034BA7"/>
    <w:rsid w:val="00034BFC"/>
    <w:rsid w:val="00034C30"/>
    <w:rsid w:val="00034C9D"/>
    <w:rsid w:val="00034CDA"/>
    <w:rsid w:val="00034CF2"/>
    <w:rsid w:val="00034D0F"/>
    <w:rsid w:val="00034D1D"/>
    <w:rsid w:val="00034D5D"/>
    <w:rsid w:val="00034D61"/>
    <w:rsid w:val="00034D6F"/>
    <w:rsid w:val="00034D77"/>
    <w:rsid w:val="00034DC6"/>
    <w:rsid w:val="00034DE3"/>
    <w:rsid w:val="00034E5E"/>
    <w:rsid w:val="00034E9F"/>
    <w:rsid w:val="00034EB3"/>
    <w:rsid w:val="00034F01"/>
    <w:rsid w:val="00034F14"/>
    <w:rsid w:val="00034F2A"/>
    <w:rsid w:val="00034F32"/>
    <w:rsid w:val="00034F68"/>
    <w:rsid w:val="00035005"/>
    <w:rsid w:val="00035014"/>
    <w:rsid w:val="00035041"/>
    <w:rsid w:val="000350DE"/>
    <w:rsid w:val="000350F9"/>
    <w:rsid w:val="00035120"/>
    <w:rsid w:val="0003512D"/>
    <w:rsid w:val="0003513B"/>
    <w:rsid w:val="00035170"/>
    <w:rsid w:val="000351A8"/>
    <w:rsid w:val="000351C5"/>
    <w:rsid w:val="000351C8"/>
    <w:rsid w:val="000351D3"/>
    <w:rsid w:val="000351E6"/>
    <w:rsid w:val="0003520F"/>
    <w:rsid w:val="00035223"/>
    <w:rsid w:val="00035268"/>
    <w:rsid w:val="00035270"/>
    <w:rsid w:val="000352A2"/>
    <w:rsid w:val="000352B0"/>
    <w:rsid w:val="0003530E"/>
    <w:rsid w:val="0003535E"/>
    <w:rsid w:val="000353D2"/>
    <w:rsid w:val="00035444"/>
    <w:rsid w:val="00035469"/>
    <w:rsid w:val="00035479"/>
    <w:rsid w:val="000354B1"/>
    <w:rsid w:val="000354C2"/>
    <w:rsid w:val="000354DF"/>
    <w:rsid w:val="00035538"/>
    <w:rsid w:val="00035577"/>
    <w:rsid w:val="0003557B"/>
    <w:rsid w:val="00035591"/>
    <w:rsid w:val="000355C3"/>
    <w:rsid w:val="000355CF"/>
    <w:rsid w:val="000355E9"/>
    <w:rsid w:val="0003562B"/>
    <w:rsid w:val="00035650"/>
    <w:rsid w:val="00035660"/>
    <w:rsid w:val="00035681"/>
    <w:rsid w:val="000356C3"/>
    <w:rsid w:val="000356CE"/>
    <w:rsid w:val="000356EA"/>
    <w:rsid w:val="0003578D"/>
    <w:rsid w:val="00035791"/>
    <w:rsid w:val="00035804"/>
    <w:rsid w:val="00035815"/>
    <w:rsid w:val="00035822"/>
    <w:rsid w:val="0003585C"/>
    <w:rsid w:val="000358A9"/>
    <w:rsid w:val="000358B5"/>
    <w:rsid w:val="000358E9"/>
    <w:rsid w:val="000358FA"/>
    <w:rsid w:val="00035930"/>
    <w:rsid w:val="00035954"/>
    <w:rsid w:val="0003595A"/>
    <w:rsid w:val="00035A64"/>
    <w:rsid w:val="00035A6F"/>
    <w:rsid w:val="00035A7D"/>
    <w:rsid w:val="00035AB7"/>
    <w:rsid w:val="00035B32"/>
    <w:rsid w:val="00035B3A"/>
    <w:rsid w:val="00035B3E"/>
    <w:rsid w:val="00035B8C"/>
    <w:rsid w:val="00035BCF"/>
    <w:rsid w:val="00035BDA"/>
    <w:rsid w:val="00035BE0"/>
    <w:rsid w:val="00035C09"/>
    <w:rsid w:val="00035C34"/>
    <w:rsid w:val="00035CA0"/>
    <w:rsid w:val="00035CBA"/>
    <w:rsid w:val="00035CD7"/>
    <w:rsid w:val="00035D3E"/>
    <w:rsid w:val="00035DDA"/>
    <w:rsid w:val="00035DE3"/>
    <w:rsid w:val="00035DF3"/>
    <w:rsid w:val="00035DF4"/>
    <w:rsid w:val="00035E0C"/>
    <w:rsid w:val="00035E4F"/>
    <w:rsid w:val="00035E92"/>
    <w:rsid w:val="00035ED9"/>
    <w:rsid w:val="00035EEC"/>
    <w:rsid w:val="00035F10"/>
    <w:rsid w:val="00035F3E"/>
    <w:rsid w:val="00035F5A"/>
    <w:rsid w:val="00035F7F"/>
    <w:rsid w:val="00035F80"/>
    <w:rsid w:val="00035F87"/>
    <w:rsid w:val="00035F8F"/>
    <w:rsid w:val="00035FC6"/>
    <w:rsid w:val="00035FD4"/>
    <w:rsid w:val="00035FF5"/>
    <w:rsid w:val="0003600B"/>
    <w:rsid w:val="00036047"/>
    <w:rsid w:val="00036059"/>
    <w:rsid w:val="000360ED"/>
    <w:rsid w:val="000360FA"/>
    <w:rsid w:val="00036109"/>
    <w:rsid w:val="00036129"/>
    <w:rsid w:val="00036155"/>
    <w:rsid w:val="00036158"/>
    <w:rsid w:val="00036180"/>
    <w:rsid w:val="000361A3"/>
    <w:rsid w:val="0003620B"/>
    <w:rsid w:val="00036229"/>
    <w:rsid w:val="00036263"/>
    <w:rsid w:val="00036330"/>
    <w:rsid w:val="00036350"/>
    <w:rsid w:val="00036355"/>
    <w:rsid w:val="00036407"/>
    <w:rsid w:val="00036409"/>
    <w:rsid w:val="0003648B"/>
    <w:rsid w:val="00036491"/>
    <w:rsid w:val="000364FF"/>
    <w:rsid w:val="0003653A"/>
    <w:rsid w:val="00036566"/>
    <w:rsid w:val="0003657B"/>
    <w:rsid w:val="00036591"/>
    <w:rsid w:val="000365CD"/>
    <w:rsid w:val="000365D7"/>
    <w:rsid w:val="000365DF"/>
    <w:rsid w:val="000365E8"/>
    <w:rsid w:val="000365EB"/>
    <w:rsid w:val="000365FC"/>
    <w:rsid w:val="0003667A"/>
    <w:rsid w:val="000366C2"/>
    <w:rsid w:val="00036708"/>
    <w:rsid w:val="0003673D"/>
    <w:rsid w:val="0003673E"/>
    <w:rsid w:val="00036793"/>
    <w:rsid w:val="000367BB"/>
    <w:rsid w:val="000367C7"/>
    <w:rsid w:val="000367F0"/>
    <w:rsid w:val="000367F3"/>
    <w:rsid w:val="00036804"/>
    <w:rsid w:val="00036815"/>
    <w:rsid w:val="0003681B"/>
    <w:rsid w:val="0003681F"/>
    <w:rsid w:val="00036848"/>
    <w:rsid w:val="00036879"/>
    <w:rsid w:val="0003688D"/>
    <w:rsid w:val="000368B9"/>
    <w:rsid w:val="00036944"/>
    <w:rsid w:val="0003694C"/>
    <w:rsid w:val="00036990"/>
    <w:rsid w:val="000369F2"/>
    <w:rsid w:val="00036A16"/>
    <w:rsid w:val="00036A1C"/>
    <w:rsid w:val="00036A32"/>
    <w:rsid w:val="00036A76"/>
    <w:rsid w:val="00036A86"/>
    <w:rsid w:val="00036A90"/>
    <w:rsid w:val="00036A9A"/>
    <w:rsid w:val="00036AA4"/>
    <w:rsid w:val="00036AAC"/>
    <w:rsid w:val="00036AF8"/>
    <w:rsid w:val="00036B97"/>
    <w:rsid w:val="00036BF7"/>
    <w:rsid w:val="00036C12"/>
    <w:rsid w:val="00036C55"/>
    <w:rsid w:val="00036CB1"/>
    <w:rsid w:val="00036D38"/>
    <w:rsid w:val="00036D69"/>
    <w:rsid w:val="00036D9D"/>
    <w:rsid w:val="00036DA9"/>
    <w:rsid w:val="00036DB9"/>
    <w:rsid w:val="00036DF7"/>
    <w:rsid w:val="00036E5C"/>
    <w:rsid w:val="00036E8B"/>
    <w:rsid w:val="00036E92"/>
    <w:rsid w:val="00036ECD"/>
    <w:rsid w:val="00036EE6"/>
    <w:rsid w:val="00036EF8"/>
    <w:rsid w:val="00036F28"/>
    <w:rsid w:val="00036F37"/>
    <w:rsid w:val="00036F76"/>
    <w:rsid w:val="00036F88"/>
    <w:rsid w:val="00036FB7"/>
    <w:rsid w:val="00036FE9"/>
    <w:rsid w:val="00036FF4"/>
    <w:rsid w:val="0003700F"/>
    <w:rsid w:val="00037014"/>
    <w:rsid w:val="00037015"/>
    <w:rsid w:val="0003702C"/>
    <w:rsid w:val="00037068"/>
    <w:rsid w:val="00037096"/>
    <w:rsid w:val="000370D3"/>
    <w:rsid w:val="0003711A"/>
    <w:rsid w:val="0003712C"/>
    <w:rsid w:val="0003714F"/>
    <w:rsid w:val="00037153"/>
    <w:rsid w:val="00037165"/>
    <w:rsid w:val="0003716C"/>
    <w:rsid w:val="0003721D"/>
    <w:rsid w:val="0003724C"/>
    <w:rsid w:val="00037251"/>
    <w:rsid w:val="0003727D"/>
    <w:rsid w:val="000372A9"/>
    <w:rsid w:val="000372BC"/>
    <w:rsid w:val="00037314"/>
    <w:rsid w:val="00037389"/>
    <w:rsid w:val="000373E8"/>
    <w:rsid w:val="0003740A"/>
    <w:rsid w:val="00037421"/>
    <w:rsid w:val="00037461"/>
    <w:rsid w:val="0003749C"/>
    <w:rsid w:val="000374A9"/>
    <w:rsid w:val="000374C8"/>
    <w:rsid w:val="000374CD"/>
    <w:rsid w:val="000374E5"/>
    <w:rsid w:val="000374E9"/>
    <w:rsid w:val="00037543"/>
    <w:rsid w:val="00037581"/>
    <w:rsid w:val="00037597"/>
    <w:rsid w:val="000375D1"/>
    <w:rsid w:val="000375FE"/>
    <w:rsid w:val="0003767C"/>
    <w:rsid w:val="000376B7"/>
    <w:rsid w:val="000376C0"/>
    <w:rsid w:val="000376EB"/>
    <w:rsid w:val="00037722"/>
    <w:rsid w:val="00037752"/>
    <w:rsid w:val="000377E6"/>
    <w:rsid w:val="00037899"/>
    <w:rsid w:val="000378B0"/>
    <w:rsid w:val="000378D8"/>
    <w:rsid w:val="00037950"/>
    <w:rsid w:val="0003795A"/>
    <w:rsid w:val="00037962"/>
    <w:rsid w:val="000379BD"/>
    <w:rsid w:val="000379CA"/>
    <w:rsid w:val="000379CD"/>
    <w:rsid w:val="00037A62"/>
    <w:rsid w:val="00037A88"/>
    <w:rsid w:val="00037A98"/>
    <w:rsid w:val="00037AD2"/>
    <w:rsid w:val="00037AFF"/>
    <w:rsid w:val="00037B2C"/>
    <w:rsid w:val="00037B31"/>
    <w:rsid w:val="00037B37"/>
    <w:rsid w:val="00037B49"/>
    <w:rsid w:val="00037B53"/>
    <w:rsid w:val="00037B76"/>
    <w:rsid w:val="00037BC0"/>
    <w:rsid w:val="00037BCC"/>
    <w:rsid w:val="00037BD7"/>
    <w:rsid w:val="00037BEC"/>
    <w:rsid w:val="00037BFE"/>
    <w:rsid w:val="00037C00"/>
    <w:rsid w:val="00037CD8"/>
    <w:rsid w:val="00037CDB"/>
    <w:rsid w:val="00037D45"/>
    <w:rsid w:val="00037D5F"/>
    <w:rsid w:val="00037D8D"/>
    <w:rsid w:val="00037DD0"/>
    <w:rsid w:val="00037DDF"/>
    <w:rsid w:val="00037DE4"/>
    <w:rsid w:val="00037E70"/>
    <w:rsid w:val="00037EB8"/>
    <w:rsid w:val="00037F11"/>
    <w:rsid w:val="00037F25"/>
    <w:rsid w:val="00037F41"/>
    <w:rsid w:val="00037F88"/>
    <w:rsid w:val="00037FDB"/>
    <w:rsid w:val="00040015"/>
    <w:rsid w:val="0004001A"/>
    <w:rsid w:val="0004005E"/>
    <w:rsid w:val="000400FC"/>
    <w:rsid w:val="00040119"/>
    <w:rsid w:val="0004011F"/>
    <w:rsid w:val="0004016D"/>
    <w:rsid w:val="000401B4"/>
    <w:rsid w:val="000401C2"/>
    <w:rsid w:val="0004023E"/>
    <w:rsid w:val="00040240"/>
    <w:rsid w:val="00040269"/>
    <w:rsid w:val="000402AB"/>
    <w:rsid w:val="000402D3"/>
    <w:rsid w:val="000402F3"/>
    <w:rsid w:val="000402FE"/>
    <w:rsid w:val="000403A1"/>
    <w:rsid w:val="000403BF"/>
    <w:rsid w:val="000403FA"/>
    <w:rsid w:val="0004047C"/>
    <w:rsid w:val="000404C3"/>
    <w:rsid w:val="000404E4"/>
    <w:rsid w:val="000404F6"/>
    <w:rsid w:val="000404F9"/>
    <w:rsid w:val="00040544"/>
    <w:rsid w:val="00040554"/>
    <w:rsid w:val="00040574"/>
    <w:rsid w:val="00040596"/>
    <w:rsid w:val="000405B7"/>
    <w:rsid w:val="00040668"/>
    <w:rsid w:val="0004067B"/>
    <w:rsid w:val="00040685"/>
    <w:rsid w:val="00040690"/>
    <w:rsid w:val="000406CA"/>
    <w:rsid w:val="000406E4"/>
    <w:rsid w:val="0004070F"/>
    <w:rsid w:val="0004073F"/>
    <w:rsid w:val="0004075C"/>
    <w:rsid w:val="00040795"/>
    <w:rsid w:val="000407A5"/>
    <w:rsid w:val="000407BC"/>
    <w:rsid w:val="00040804"/>
    <w:rsid w:val="00040821"/>
    <w:rsid w:val="0004082A"/>
    <w:rsid w:val="0004085B"/>
    <w:rsid w:val="000408C4"/>
    <w:rsid w:val="00040904"/>
    <w:rsid w:val="00040905"/>
    <w:rsid w:val="00040917"/>
    <w:rsid w:val="0004091A"/>
    <w:rsid w:val="0004092D"/>
    <w:rsid w:val="000409B9"/>
    <w:rsid w:val="000409CE"/>
    <w:rsid w:val="000409DF"/>
    <w:rsid w:val="00040A08"/>
    <w:rsid w:val="00040A0D"/>
    <w:rsid w:val="00040A12"/>
    <w:rsid w:val="00040A54"/>
    <w:rsid w:val="00040A6D"/>
    <w:rsid w:val="00040AB3"/>
    <w:rsid w:val="00040B03"/>
    <w:rsid w:val="00040B10"/>
    <w:rsid w:val="00040B23"/>
    <w:rsid w:val="00040B47"/>
    <w:rsid w:val="00040B7A"/>
    <w:rsid w:val="00040BA0"/>
    <w:rsid w:val="00040BC6"/>
    <w:rsid w:val="00040BE4"/>
    <w:rsid w:val="00040C32"/>
    <w:rsid w:val="00040CB6"/>
    <w:rsid w:val="00040CD1"/>
    <w:rsid w:val="00040D3E"/>
    <w:rsid w:val="00040D54"/>
    <w:rsid w:val="00040D57"/>
    <w:rsid w:val="00040D96"/>
    <w:rsid w:val="00040E28"/>
    <w:rsid w:val="00040E3E"/>
    <w:rsid w:val="00040E4B"/>
    <w:rsid w:val="00040E50"/>
    <w:rsid w:val="00040E5E"/>
    <w:rsid w:val="00040E8B"/>
    <w:rsid w:val="00040E90"/>
    <w:rsid w:val="00040ECD"/>
    <w:rsid w:val="00040EFC"/>
    <w:rsid w:val="00040EFE"/>
    <w:rsid w:val="00040EFF"/>
    <w:rsid w:val="00040F1E"/>
    <w:rsid w:val="00040F43"/>
    <w:rsid w:val="00040F50"/>
    <w:rsid w:val="00040F86"/>
    <w:rsid w:val="00040FB7"/>
    <w:rsid w:val="00040FC4"/>
    <w:rsid w:val="0004106C"/>
    <w:rsid w:val="00041074"/>
    <w:rsid w:val="000410B0"/>
    <w:rsid w:val="000410C3"/>
    <w:rsid w:val="000410EB"/>
    <w:rsid w:val="000410F5"/>
    <w:rsid w:val="0004113D"/>
    <w:rsid w:val="00041155"/>
    <w:rsid w:val="0004118D"/>
    <w:rsid w:val="00041198"/>
    <w:rsid w:val="000411B9"/>
    <w:rsid w:val="000411C4"/>
    <w:rsid w:val="0004122C"/>
    <w:rsid w:val="0004124F"/>
    <w:rsid w:val="00041281"/>
    <w:rsid w:val="000412C3"/>
    <w:rsid w:val="000412CE"/>
    <w:rsid w:val="000412FA"/>
    <w:rsid w:val="00041337"/>
    <w:rsid w:val="00041356"/>
    <w:rsid w:val="0004140A"/>
    <w:rsid w:val="00041421"/>
    <w:rsid w:val="00041461"/>
    <w:rsid w:val="0004147D"/>
    <w:rsid w:val="0004147F"/>
    <w:rsid w:val="000414C2"/>
    <w:rsid w:val="000414C6"/>
    <w:rsid w:val="00041550"/>
    <w:rsid w:val="00041555"/>
    <w:rsid w:val="00041563"/>
    <w:rsid w:val="00041568"/>
    <w:rsid w:val="0004157B"/>
    <w:rsid w:val="000415A7"/>
    <w:rsid w:val="000415BF"/>
    <w:rsid w:val="000415CB"/>
    <w:rsid w:val="000415F7"/>
    <w:rsid w:val="0004161E"/>
    <w:rsid w:val="00041660"/>
    <w:rsid w:val="00041688"/>
    <w:rsid w:val="00041724"/>
    <w:rsid w:val="0004173F"/>
    <w:rsid w:val="00041765"/>
    <w:rsid w:val="0004178E"/>
    <w:rsid w:val="0004179F"/>
    <w:rsid w:val="00041847"/>
    <w:rsid w:val="00041855"/>
    <w:rsid w:val="00041873"/>
    <w:rsid w:val="000418B6"/>
    <w:rsid w:val="000418D5"/>
    <w:rsid w:val="00041985"/>
    <w:rsid w:val="00041996"/>
    <w:rsid w:val="000419D1"/>
    <w:rsid w:val="000419DD"/>
    <w:rsid w:val="00041A05"/>
    <w:rsid w:val="00041A13"/>
    <w:rsid w:val="00041A6A"/>
    <w:rsid w:val="00041AEF"/>
    <w:rsid w:val="00041B39"/>
    <w:rsid w:val="00041B51"/>
    <w:rsid w:val="00041B52"/>
    <w:rsid w:val="00041B7A"/>
    <w:rsid w:val="00041BB2"/>
    <w:rsid w:val="00041C24"/>
    <w:rsid w:val="00041C51"/>
    <w:rsid w:val="00041C73"/>
    <w:rsid w:val="00041C7F"/>
    <w:rsid w:val="00041CC6"/>
    <w:rsid w:val="00041CEC"/>
    <w:rsid w:val="00041CFF"/>
    <w:rsid w:val="00041D36"/>
    <w:rsid w:val="00041DA9"/>
    <w:rsid w:val="00041DB8"/>
    <w:rsid w:val="00041E0F"/>
    <w:rsid w:val="00041E26"/>
    <w:rsid w:val="00041E27"/>
    <w:rsid w:val="00041E2B"/>
    <w:rsid w:val="00041EDC"/>
    <w:rsid w:val="00041F1C"/>
    <w:rsid w:val="000420B0"/>
    <w:rsid w:val="0004211A"/>
    <w:rsid w:val="0004212A"/>
    <w:rsid w:val="00042155"/>
    <w:rsid w:val="00042158"/>
    <w:rsid w:val="000421CA"/>
    <w:rsid w:val="000421FC"/>
    <w:rsid w:val="00042223"/>
    <w:rsid w:val="0004225F"/>
    <w:rsid w:val="000422F4"/>
    <w:rsid w:val="00042340"/>
    <w:rsid w:val="00042377"/>
    <w:rsid w:val="0004238C"/>
    <w:rsid w:val="000423A1"/>
    <w:rsid w:val="00042484"/>
    <w:rsid w:val="000424A6"/>
    <w:rsid w:val="0004253A"/>
    <w:rsid w:val="00042583"/>
    <w:rsid w:val="00042599"/>
    <w:rsid w:val="00042631"/>
    <w:rsid w:val="0004263A"/>
    <w:rsid w:val="00042654"/>
    <w:rsid w:val="00042658"/>
    <w:rsid w:val="0004269D"/>
    <w:rsid w:val="000426A4"/>
    <w:rsid w:val="000426A5"/>
    <w:rsid w:val="000426C0"/>
    <w:rsid w:val="000426D3"/>
    <w:rsid w:val="00042713"/>
    <w:rsid w:val="00042764"/>
    <w:rsid w:val="00042781"/>
    <w:rsid w:val="000427BE"/>
    <w:rsid w:val="000427FA"/>
    <w:rsid w:val="00042824"/>
    <w:rsid w:val="0004285E"/>
    <w:rsid w:val="000428A5"/>
    <w:rsid w:val="000428C4"/>
    <w:rsid w:val="0004290D"/>
    <w:rsid w:val="00042940"/>
    <w:rsid w:val="000429CF"/>
    <w:rsid w:val="00042A03"/>
    <w:rsid w:val="00042A0E"/>
    <w:rsid w:val="00042A7E"/>
    <w:rsid w:val="00042AA0"/>
    <w:rsid w:val="00042AC9"/>
    <w:rsid w:val="00042ACA"/>
    <w:rsid w:val="00042AE2"/>
    <w:rsid w:val="00042B13"/>
    <w:rsid w:val="00042B8A"/>
    <w:rsid w:val="00042B96"/>
    <w:rsid w:val="00042BA4"/>
    <w:rsid w:val="00042BC2"/>
    <w:rsid w:val="00042C11"/>
    <w:rsid w:val="00042C29"/>
    <w:rsid w:val="00042C67"/>
    <w:rsid w:val="00042C83"/>
    <w:rsid w:val="00042CDC"/>
    <w:rsid w:val="00042CEE"/>
    <w:rsid w:val="00042D08"/>
    <w:rsid w:val="00042D56"/>
    <w:rsid w:val="00042DB1"/>
    <w:rsid w:val="00042E22"/>
    <w:rsid w:val="00042E67"/>
    <w:rsid w:val="00042E92"/>
    <w:rsid w:val="00042EB1"/>
    <w:rsid w:val="00042EC2"/>
    <w:rsid w:val="00042EE4"/>
    <w:rsid w:val="00042F20"/>
    <w:rsid w:val="00042FAB"/>
    <w:rsid w:val="00042FC7"/>
    <w:rsid w:val="00042FD0"/>
    <w:rsid w:val="00042FFC"/>
    <w:rsid w:val="00043010"/>
    <w:rsid w:val="00043029"/>
    <w:rsid w:val="00043051"/>
    <w:rsid w:val="00043066"/>
    <w:rsid w:val="00043069"/>
    <w:rsid w:val="00043087"/>
    <w:rsid w:val="0004309B"/>
    <w:rsid w:val="000430D7"/>
    <w:rsid w:val="000430EA"/>
    <w:rsid w:val="0004310C"/>
    <w:rsid w:val="00043156"/>
    <w:rsid w:val="0004318E"/>
    <w:rsid w:val="000431AC"/>
    <w:rsid w:val="000431C8"/>
    <w:rsid w:val="00043240"/>
    <w:rsid w:val="00043265"/>
    <w:rsid w:val="000432E4"/>
    <w:rsid w:val="0004336B"/>
    <w:rsid w:val="0004336C"/>
    <w:rsid w:val="0004337A"/>
    <w:rsid w:val="000433B0"/>
    <w:rsid w:val="000433C0"/>
    <w:rsid w:val="0004341D"/>
    <w:rsid w:val="0004341F"/>
    <w:rsid w:val="00043498"/>
    <w:rsid w:val="000434EA"/>
    <w:rsid w:val="000434F7"/>
    <w:rsid w:val="00043508"/>
    <w:rsid w:val="00043520"/>
    <w:rsid w:val="00043561"/>
    <w:rsid w:val="000435A9"/>
    <w:rsid w:val="000435C3"/>
    <w:rsid w:val="00043627"/>
    <w:rsid w:val="00043645"/>
    <w:rsid w:val="000436CE"/>
    <w:rsid w:val="000436CF"/>
    <w:rsid w:val="0004370B"/>
    <w:rsid w:val="000437BC"/>
    <w:rsid w:val="000437DE"/>
    <w:rsid w:val="000437EC"/>
    <w:rsid w:val="00043931"/>
    <w:rsid w:val="00043951"/>
    <w:rsid w:val="0004396E"/>
    <w:rsid w:val="0004399C"/>
    <w:rsid w:val="000439A8"/>
    <w:rsid w:val="000439B3"/>
    <w:rsid w:val="000439BE"/>
    <w:rsid w:val="000439D0"/>
    <w:rsid w:val="000439E8"/>
    <w:rsid w:val="00043A1E"/>
    <w:rsid w:val="00043A3F"/>
    <w:rsid w:val="00043A69"/>
    <w:rsid w:val="00043ABB"/>
    <w:rsid w:val="00043AFB"/>
    <w:rsid w:val="00043B45"/>
    <w:rsid w:val="00043B6B"/>
    <w:rsid w:val="00043BBD"/>
    <w:rsid w:val="00043BF9"/>
    <w:rsid w:val="00043C64"/>
    <w:rsid w:val="00043C8E"/>
    <w:rsid w:val="00043C8F"/>
    <w:rsid w:val="00043CC2"/>
    <w:rsid w:val="00043CF7"/>
    <w:rsid w:val="00043D21"/>
    <w:rsid w:val="00043D2D"/>
    <w:rsid w:val="00043D40"/>
    <w:rsid w:val="00043D62"/>
    <w:rsid w:val="00043D9D"/>
    <w:rsid w:val="00043DB0"/>
    <w:rsid w:val="00043DDF"/>
    <w:rsid w:val="00043DE9"/>
    <w:rsid w:val="00043E02"/>
    <w:rsid w:val="00043E40"/>
    <w:rsid w:val="00043E4B"/>
    <w:rsid w:val="00043E50"/>
    <w:rsid w:val="00043E9B"/>
    <w:rsid w:val="00043F23"/>
    <w:rsid w:val="00043F34"/>
    <w:rsid w:val="00043F72"/>
    <w:rsid w:val="00043F94"/>
    <w:rsid w:val="00043F97"/>
    <w:rsid w:val="00043FB8"/>
    <w:rsid w:val="00043FC2"/>
    <w:rsid w:val="00044048"/>
    <w:rsid w:val="0004406D"/>
    <w:rsid w:val="000440AA"/>
    <w:rsid w:val="000440C8"/>
    <w:rsid w:val="000440D5"/>
    <w:rsid w:val="00044111"/>
    <w:rsid w:val="00044180"/>
    <w:rsid w:val="000441A3"/>
    <w:rsid w:val="0004420E"/>
    <w:rsid w:val="0004421A"/>
    <w:rsid w:val="00044241"/>
    <w:rsid w:val="000442A5"/>
    <w:rsid w:val="000442BF"/>
    <w:rsid w:val="000442E7"/>
    <w:rsid w:val="00044355"/>
    <w:rsid w:val="0004436B"/>
    <w:rsid w:val="000443E3"/>
    <w:rsid w:val="00044402"/>
    <w:rsid w:val="0004442F"/>
    <w:rsid w:val="00044469"/>
    <w:rsid w:val="00044473"/>
    <w:rsid w:val="00044477"/>
    <w:rsid w:val="0004447C"/>
    <w:rsid w:val="000444E0"/>
    <w:rsid w:val="000444F5"/>
    <w:rsid w:val="00044522"/>
    <w:rsid w:val="00044523"/>
    <w:rsid w:val="00044552"/>
    <w:rsid w:val="00044570"/>
    <w:rsid w:val="00044572"/>
    <w:rsid w:val="0004459A"/>
    <w:rsid w:val="000445B0"/>
    <w:rsid w:val="000445B4"/>
    <w:rsid w:val="000445C4"/>
    <w:rsid w:val="000445CE"/>
    <w:rsid w:val="00044650"/>
    <w:rsid w:val="0004465B"/>
    <w:rsid w:val="00044671"/>
    <w:rsid w:val="000446B2"/>
    <w:rsid w:val="000446BE"/>
    <w:rsid w:val="000446C8"/>
    <w:rsid w:val="00044713"/>
    <w:rsid w:val="00044719"/>
    <w:rsid w:val="00044731"/>
    <w:rsid w:val="00044743"/>
    <w:rsid w:val="0004474A"/>
    <w:rsid w:val="000447A4"/>
    <w:rsid w:val="00044824"/>
    <w:rsid w:val="000448B3"/>
    <w:rsid w:val="000448F0"/>
    <w:rsid w:val="00044925"/>
    <w:rsid w:val="00044956"/>
    <w:rsid w:val="0004495A"/>
    <w:rsid w:val="00044A14"/>
    <w:rsid w:val="00044A24"/>
    <w:rsid w:val="00044A28"/>
    <w:rsid w:val="00044A32"/>
    <w:rsid w:val="00044A45"/>
    <w:rsid w:val="00044A60"/>
    <w:rsid w:val="00044AA5"/>
    <w:rsid w:val="00044AC1"/>
    <w:rsid w:val="00044AEB"/>
    <w:rsid w:val="00044B06"/>
    <w:rsid w:val="00044B31"/>
    <w:rsid w:val="00044BED"/>
    <w:rsid w:val="00044BEE"/>
    <w:rsid w:val="00044C44"/>
    <w:rsid w:val="00044C94"/>
    <w:rsid w:val="00044C98"/>
    <w:rsid w:val="00044CB4"/>
    <w:rsid w:val="00044D05"/>
    <w:rsid w:val="00044D19"/>
    <w:rsid w:val="00044D71"/>
    <w:rsid w:val="00044D90"/>
    <w:rsid w:val="00044DD6"/>
    <w:rsid w:val="00044DF3"/>
    <w:rsid w:val="00044E0C"/>
    <w:rsid w:val="00044E20"/>
    <w:rsid w:val="00044E41"/>
    <w:rsid w:val="00044E46"/>
    <w:rsid w:val="00044E73"/>
    <w:rsid w:val="00044E77"/>
    <w:rsid w:val="00044E7E"/>
    <w:rsid w:val="00044ED1"/>
    <w:rsid w:val="00044EE0"/>
    <w:rsid w:val="00044F24"/>
    <w:rsid w:val="00044F2F"/>
    <w:rsid w:val="00044F51"/>
    <w:rsid w:val="00044F82"/>
    <w:rsid w:val="00044F84"/>
    <w:rsid w:val="00044F8B"/>
    <w:rsid w:val="00044FBE"/>
    <w:rsid w:val="00044FCB"/>
    <w:rsid w:val="00045067"/>
    <w:rsid w:val="000450BB"/>
    <w:rsid w:val="000450ED"/>
    <w:rsid w:val="00045102"/>
    <w:rsid w:val="00045132"/>
    <w:rsid w:val="0004518E"/>
    <w:rsid w:val="000451E4"/>
    <w:rsid w:val="00045218"/>
    <w:rsid w:val="00045295"/>
    <w:rsid w:val="000452B0"/>
    <w:rsid w:val="000452C3"/>
    <w:rsid w:val="000452C6"/>
    <w:rsid w:val="000452DB"/>
    <w:rsid w:val="0004535D"/>
    <w:rsid w:val="00045371"/>
    <w:rsid w:val="00045396"/>
    <w:rsid w:val="00045433"/>
    <w:rsid w:val="0004543E"/>
    <w:rsid w:val="00045452"/>
    <w:rsid w:val="000454AA"/>
    <w:rsid w:val="000454BF"/>
    <w:rsid w:val="000454C0"/>
    <w:rsid w:val="000454CA"/>
    <w:rsid w:val="00045509"/>
    <w:rsid w:val="00045525"/>
    <w:rsid w:val="0004552A"/>
    <w:rsid w:val="0004552F"/>
    <w:rsid w:val="00045543"/>
    <w:rsid w:val="0004554B"/>
    <w:rsid w:val="0004557E"/>
    <w:rsid w:val="000455E2"/>
    <w:rsid w:val="00045602"/>
    <w:rsid w:val="0004560C"/>
    <w:rsid w:val="00045621"/>
    <w:rsid w:val="00045653"/>
    <w:rsid w:val="00045659"/>
    <w:rsid w:val="000456A1"/>
    <w:rsid w:val="000456AD"/>
    <w:rsid w:val="000456BE"/>
    <w:rsid w:val="000456C5"/>
    <w:rsid w:val="000456DA"/>
    <w:rsid w:val="000456E6"/>
    <w:rsid w:val="000456F3"/>
    <w:rsid w:val="00045725"/>
    <w:rsid w:val="00045771"/>
    <w:rsid w:val="0004579A"/>
    <w:rsid w:val="000457E9"/>
    <w:rsid w:val="00045833"/>
    <w:rsid w:val="0004588B"/>
    <w:rsid w:val="00045912"/>
    <w:rsid w:val="00045913"/>
    <w:rsid w:val="0004593F"/>
    <w:rsid w:val="0004597A"/>
    <w:rsid w:val="0004597C"/>
    <w:rsid w:val="00045992"/>
    <w:rsid w:val="000459F9"/>
    <w:rsid w:val="00045A00"/>
    <w:rsid w:val="00045A08"/>
    <w:rsid w:val="00045A19"/>
    <w:rsid w:val="00045A44"/>
    <w:rsid w:val="00045A7B"/>
    <w:rsid w:val="00045A92"/>
    <w:rsid w:val="00045AC5"/>
    <w:rsid w:val="00045AF9"/>
    <w:rsid w:val="00045B1D"/>
    <w:rsid w:val="00045B2E"/>
    <w:rsid w:val="00045B32"/>
    <w:rsid w:val="00045B3B"/>
    <w:rsid w:val="00045B47"/>
    <w:rsid w:val="00045B52"/>
    <w:rsid w:val="00045B7B"/>
    <w:rsid w:val="00045BB7"/>
    <w:rsid w:val="00045C1D"/>
    <w:rsid w:val="00045C2A"/>
    <w:rsid w:val="00045C68"/>
    <w:rsid w:val="00045C7C"/>
    <w:rsid w:val="00045CEC"/>
    <w:rsid w:val="00045D00"/>
    <w:rsid w:val="00045D80"/>
    <w:rsid w:val="00045DA1"/>
    <w:rsid w:val="00045DBC"/>
    <w:rsid w:val="00045DC8"/>
    <w:rsid w:val="00045DEE"/>
    <w:rsid w:val="00045DFA"/>
    <w:rsid w:val="00045E6C"/>
    <w:rsid w:val="00045EC2"/>
    <w:rsid w:val="00045F78"/>
    <w:rsid w:val="00045F7A"/>
    <w:rsid w:val="00045F81"/>
    <w:rsid w:val="00045FD4"/>
    <w:rsid w:val="0004600C"/>
    <w:rsid w:val="0004602B"/>
    <w:rsid w:val="0004605D"/>
    <w:rsid w:val="00046066"/>
    <w:rsid w:val="00046074"/>
    <w:rsid w:val="00046096"/>
    <w:rsid w:val="0004610D"/>
    <w:rsid w:val="00046149"/>
    <w:rsid w:val="0004614B"/>
    <w:rsid w:val="00046166"/>
    <w:rsid w:val="0004618F"/>
    <w:rsid w:val="00046224"/>
    <w:rsid w:val="00046233"/>
    <w:rsid w:val="00046262"/>
    <w:rsid w:val="00046323"/>
    <w:rsid w:val="0004635E"/>
    <w:rsid w:val="000463BF"/>
    <w:rsid w:val="000463F1"/>
    <w:rsid w:val="0004645B"/>
    <w:rsid w:val="00046473"/>
    <w:rsid w:val="00046483"/>
    <w:rsid w:val="0004649D"/>
    <w:rsid w:val="000464C6"/>
    <w:rsid w:val="000464D8"/>
    <w:rsid w:val="0004650A"/>
    <w:rsid w:val="00046513"/>
    <w:rsid w:val="00046545"/>
    <w:rsid w:val="000465AA"/>
    <w:rsid w:val="000465BB"/>
    <w:rsid w:val="000465BE"/>
    <w:rsid w:val="00046639"/>
    <w:rsid w:val="00046663"/>
    <w:rsid w:val="00046664"/>
    <w:rsid w:val="00046759"/>
    <w:rsid w:val="0004677D"/>
    <w:rsid w:val="0004678E"/>
    <w:rsid w:val="00046796"/>
    <w:rsid w:val="000467CA"/>
    <w:rsid w:val="00046885"/>
    <w:rsid w:val="0004688D"/>
    <w:rsid w:val="00046894"/>
    <w:rsid w:val="00046899"/>
    <w:rsid w:val="000468B3"/>
    <w:rsid w:val="00046907"/>
    <w:rsid w:val="0004691F"/>
    <w:rsid w:val="00046988"/>
    <w:rsid w:val="0004698C"/>
    <w:rsid w:val="00046994"/>
    <w:rsid w:val="0004699A"/>
    <w:rsid w:val="000469A3"/>
    <w:rsid w:val="000469B8"/>
    <w:rsid w:val="000469BF"/>
    <w:rsid w:val="000469FD"/>
    <w:rsid w:val="00046A2A"/>
    <w:rsid w:val="00046A40"/>
    <w:rsid w:val="00046A4E"/>
    <w:rsid w:val="00046A7A"/>
    <w:rsid w:val="00046A8C"/>
    <w:rsid w:val="00046ACA"/>
    <w:rsid w:val="00046B07"/>
    <w:rsid w:val="00046B22"/>
    <w:rsid w:val="00046B5C"/>
    <w:rsid w:val="00046BE8"/>
    <w:rsid w:val="00046C09"/>
    <w:rsid w:val="00046C0B"/>
    <w:rsid w:val="00046C2B"/>
    <w:rsid w:val="00046C69"/>
    <w:rsid w:val="00046CCE"/>
    <w:rsid w:val="00046D10"/>
    <w:rsid w:val="00046D66"/>
    <w:rsid w:val="00046D6E"/>
    <w:rsid w:val="00046DA8"/>
    <w:rsid w:val="00046DCD"/>
    <w:rsid w:val="00046E30"/>
    <w:rsid w:val="00046E54"/>
    <w:rsid w:val="00046E5D"/>
    <w:rsid w:val="00046EA3"/>
    <w:rsid w:val="00046ECF"/>
    <w:rsid w:val="00046EE4"/>
    <w:rsid w:val="00046F38"/>
    <w:rsid w:val="00046F49"/>
    <w:rsid w:val="00046F4D"/>
    <w:rsid w:val="00046FD6"/>
    <w:rsid w:val="00047009"/>
    <w:rsid w:val="00047047"/>
    <w:rsid w:val="0004704C"/>
    <w:rsid w:val="000470D4"/>
    <w:rsid w:val="000470EA"/>
    <w:rsid w:val="00047112"/>
    <w:rsid w:val="00047131"/>
    <w:rsid w:val="0004713E"/>
    <w:rsid w:val="00047167"/>
    <w:rsid w:val="0004717A"/>
    <w:rsid w:val="00047201"/>
    <w:rsid w:val="0004725B"/>
    <w:rsid w:val="0004728D"/>
    <w:rsid w:val="00047294"/>
    <w:rsid w:val="0004729A"/>
    <w:rsid w:val="000472A0"/>
    <w:rsid w:val="000472B0"/>
    <w:rsid w:val="000472B4"/>
    <w:rsid w:val="0004733C"/>
    <w:rsid w:val="00047343"/>
    <w:rsid w:val="0004737A"/>
    <w:rsid w:val="00047384"/>
    <w:rsid w:val="000473B7"/>
    <w:rsid w:val="000473B9"/>
    <w:rsid w:val="000473CC"/>
    <w:rsid w:val="000473D5"/>
    <w:rsid w:val="000473E6"/>
    <w:rsid w:val="00047406"/>
    <w:rsid w:val="00047454"/>
    <w:rsid w:val="0004748A"/>
    <w:rsid w:val="000474D4"/>
    <w:rsid w:val="000474DC"/>
    <w:rsid w:val="000474ED"/>
    <w:rsid w:val="0004753D"/>
    <w:rsid w:val="0004754F"/>
    <w:rsid w:val="00047552"/>
    <w:rsid w:val="0004755A"/>
    <w:rsid w:val="0004756C"/>
    <w:rsid w:val="000475E7"/>
    <w:rsid w:val="000475F8"/>
    <w:rsid w:val="000475FE"/>
    <w:rsid w:val="0004761F"/>
    <w:rsid w:val="0004766B"/>
    <w:rsid w:val="000476DB"/>
    <w:rsid w:val="0004770E"/>
    <w:rsid w:val="0004771D"/>
    <w:rsid w:val="00047746"/>
    <w:rsid w:val="0004774E"/>
    <w:rsid w:val="00047769"/>
    <w:rsid w:val="000477EB"/>
    <w:rsid w:val="0004781A"/>
    <w:rsid w:val="0004781D"/>
    <w:rsid w:val="00047925"/>
    <w:rsid w:val="00047969"/>
    <w:rsid w:val="000479DE"/>
    <w:rsid w:val="00047B03"/>
    <w:rsid w:val="00047B73"/>
    <w:rsid w:val="00047B86"/>
    <w:rsid w:val="00047C22"/>
    <w:rsid w:val="00047C35"/>
    <w:rsid w:val="00047C78"/>
    <w:rsid w:val="00047C99"/>
    <w:rsid w:val="00047CBF"/>
    <w:rsid w:val="00047CC9"/>
    <w:rsid w:val="00047CD3"/>
    <w:rsid w:val="00047D2B"/>
    <w:rsid w:val="00047D2C"/>
    <w:rsid w:val="00047D39"/>
    <w:rsid w:val="00047D52"/>
    <w:rsid w:val="00047D57"/>
    <w:rsid w:val="00047D61"/>
    <w:rsid w:val="00047D9B"/>
    <w:rsid w:val="00047DC7"/>
    <w:rsid w:val="00047DD4"/>
    <w:rsid w:val="00047DEC"/>
    <w:rsid w:val="00047DFD"/>
    <w:rsid w:val="00047E02"/>
    <w:rsid w:val="00047E1B"/>
    <w:rsid w:val="00047ECC"/>
    <w:rsid w:val="00047ED5"/>
    <w:rsid w:val="00047F4D"/>
    <w:rsid w:val="00047F70"/>
    <w:rsid w:val="00047F8A"/>
    <w:rsid w:val="00047F8F"/>
    <w:rsid w:val="00047F95"/>
    <w:rsid w:val="00047FAE"/>
    <w:rsid w:val="0004C1AB"/>
    <w:rsid w:val="0005013A"/>
    <w:rsid w:val="0005014B"/>
    <w:rsid w:val="00050246"/>
    <w:rsid w:val="0005028A"/>
    <w:rsid w:val="000502C2"/>
    <w:rsid w:val="000502FB"/>
    <w:rsid w:val="00050350"/>
    <w:rsid w:val="000503AF"/>
    <w:rsid w:val="000503D3"/>
    <w:rsid w:val="000503F9"/>
    <w:rsid w:val="00050400"/>
    <w:rsid w:val="0005041B"/>
    <w:rsid w:val="00050431"/>
    <w:rsid w:val="00050445"/>
    <w:rsid w:val="0005047A"/>
    <w:rsid w:val="00050574"/>
    <w:rsid w:val="0005057F"/>
    <w:rsid w:val="00050580"/>
    <w:rsid w:val="00050668"/>
    <w:rsid w:val="000507DB"/>
    <w:rsid w:val="000507EF"/>
    <w:rsid w:val="00050818"/>
    <w:rsid w:val="0005083B"/>
    <w:rsid w:val="0005085E"/>
    <w:rsid w:val="00050877"/>
    <w:rsid w:val="00050885"/>
    <w:rsid w:val="000508C0"/>
    <w:rsid w:val="000508D9"/>
    <w:rsid w:val="00050923"/>
    <w:rsid w:val="0005094F"/>
    <w:rsid w:val="00050963"/>
    <w:rsid w:val="00050966"/>
    <w:rsid w:val="00050994"/>
    <w:rsid w:val="00050A1D"/>
    <w:rsid w:val="00050AEF"/>
    <w:rsid w:val="00050AFD"/>
    <w:rsid w:val="00050B45"/>
    <w:rsid w:val="00050B83"/>
    <w:rsid w:val="00050B90"/>
    <w:rsid w:val="00050B9E"/>
    <w:rsid w:val="00050BA1"/>
    <w:rsid w:val="00050BB1"/>
    <w:rsid w:val="00050BEC"/>
    <w:rsid w:val="00050BF4"/>
    <w:rsid w:val="00050C1E"/>
    <w:rsid w:val="00050C3C"/>
    <w:rsid w:val="00050C6F"/>
    <w:rsid w:val="00050C79"/>
    <w:rsid w:val="00050D0B"/>
    <w:rsid w:val="00050D7B"/>
    <w:rsid w:val="00050D7F"/>
    <w:rsid w:val="00050DAE"/>
    <w:rsid w:val="00050E09"/>
    <w:rsid w:val="00050E1B"/>
    <w:rsid w:val="00050E51"/>
    <w:rsid w:val="00050E95"/>
    <w:rsid w:val="00050EC4"/>
    <w:rsid w:val="00050ECF"/>
    <w:rsid w:val="00050F00"/>
    <w:rsid w:val="00050F03"/>
    <w:rsid w:val="00050F05"/>
    <w:rsid w:val="00050F5A"/>
    <w:rsid w:val="00050F90"/>
    <w:rsid w:val="00050FC6"/>
    <w:rsid w:val="00051008"/>
    <w:rsid w:val="0005103A"/>
    <w:rsid w:val="0005104F"/>
    <w:rsid w:val="0005105B"/>
    <w:rsid w:val="0005107C"/>
    <w:rsid w:val="0005109A"/>
    <w:rsid w:val="00051121"/>
    <w:rsid w:val="00051134"/>
    <w:rsid w:val="00051146"/>
    <w:rsid w:val="0005117F"/>
    <w:rsid w:val="00051217"/>
    <w:rsid w:val="00051239"/>
    <w:rsid w:val="000512BE"/>
    <w:rsid w:val="0005133E"/>
    <w:rsid w:val="00051342"/>
    <w:rsid w:val="00051397"/>
    <w:rsid w:val="000513A1"/>
    <w:rsid w:val="000513B7"/>
    <w:rsid w:val="000513E6"/>
    <w:rsid w:val="000513EF"/>
    <w:rsid w:val="0005141F"/>
    <w:rsid w:val="00051439"/>
    <w:rsid w:val="00051463"/>
    <w:rsid w:val="0005148A"/>
    <w:rsid w:val="00051497"/>
    <w:rsid w:val="000514FC"/>
    <w:rsid w:val="00051582"/>
    <w:rsid w:val="00051588"/>
    <w:rsid w:val="00051611"/>
    <w:rsid w:val="00051622"/>
    <w:rsid w:val="000516C3"/>
    <w:rsid w:val="000516C6"/>
    <w:rsid w:val="000516FA"/>
    <w:rsid w:val="0005172A"/>
    <w:rsid w:val="0005173F"/>
    <w:rsid w:val="0005174E"/>
    <w:rsid w:val="00051762"/>
    <w:rsid w:val="0005176D"/>
    <w:rsid w:val="0005182E"/>
    <w:rsid w:val="00051842"/>
    <w:rsid w:val="00051876"/>
    <w:rsid w:val="00051892"/>
    <w:rsid w:val="0005190E"/>
    <w:rsid w:val="00051918"/>
    <w:rsid w:val="00051923"/>
    <w:rsid w:val="00051997"/>
    <w:rsid w:val="00051A18"/>
    <w:rsid w:val="00051A41"/>
    <w:rsid w:val="00051A42"/>
    <w:rsid w:val="00051A68"/>
    <w:rsid w:val="00051A92"/>
    <w:rsid w:val="00051AE4"/>
    <w:rsid w:val="00051B39"/>
    <w:rsid w:val="00051B96"/>
    <w:rsid w:val="00051BD4"/>
    <w:rsid w:val="00051BDA"/>
    <w:rsid w:val="00051C44"/>
    <w:rsid w:val="00051C86"/>
    <w:rsid w:val="00051CB9"/>
    <w:rsid w:val="00051CF4"/>
    <w:rsid w:val="00051CFD"/>
    <w:rsid w:val="00051D21"/>
    <w:rsid w:val="00051D52"/>
    <w:rsid w:val="00051D6F"/>
    <w:rsid w:val="00051D72"/>
    <w:rsid w:val="00051E2B"/>
    <w:rsid w:val="00051E3D"/>
    <w:rsid w:val="00051E5E"/>
    <w:rsid w:val="00051F03"/>
    <w:rsid w:val="00051F4F"/>
    <w:rsid w:val="00051F63"/>
    <w:rsid w:val="00051F81"/>
    <w:rsid w:val="00051FE7"/>
    <w:rsid w:val="00051FEB"/>
    <w:rsid w:val="0005205A"/>
    <w:rsid w:val="00052067"/>
    <w:rsid w:val="0005208A"/>
    <w:rsid w:val="0005208E"/>
    <w:rsid w:val="00052094"/>
    <w:rsid w:val="000520BC"/>
    <w:rsid w:val="000520F3"/>
    <w:rsid w:val="00052147"/>
    <w:rsid w:val="0005215A"/>
    <w:rsid w:val="000521B6"/>
    <w:rsid w:val="000521FC"/>
    <w:rsid w:val="000521FF"/>
    <w:rsid w:val="00052204"/>
    <w:rsid w:val="00052289"/>
    <w:rsid w:val="00052302"/>
    <w:rsid w:val="00052306"/>
    <w:rsid w:val="00052324"/>
    <w:rsid w:val="00052332"/>
    <w:rsid w:val="00052389"/>
    <w:rsid w:val="000523ED"/>
    <w:rsid w:val="00052402"/>
    <w:rsid w:val="0005248C"/>
    <w:rsid w:val="0005249A"/>
    <w:rsid w:val="000524A1"/>
    <w:rsid w:val="000524CC"/>
    <w:rsid w:val="000524E2"/>
    <w:rsid w:val="000524E7"/>
    <w:rsid w:val="000524FB"/>
    <w:rsid w:val="00052516"/>
    <w:rsid w:val="00052556"/>
    <w:rsid w:val="00052564"/>
    <w:rsid w:val="0005256A"/>
    <w:rsid w:val="0005259C"/>
    <w:rsid w:val="000525B6"/>
    <w:rsid w:val="00052635"/>
    <w:rsid w:val="00052678"/>
    <w:rsid w:val="00052708"/>
    <w:rsid w:val="0005274E"/>
    <w:rsid w:val="0005276A"/>
    <w:rsid w:val="0005277B"/>
    <w:rsid w:val="000527E0"/>
    <w:rsid w:val="000527F7"/>
    <w:rsid w:val="000527F8"/>
    <w:rsid w:val="00052875"/>
    <w:rsid w:val="0005287D"/>
    <w:rsid w:val="00052884"/>
    <w:rsid w:val="0005289A"/>
    <w:rsid w:val="000528CB"/>
    <w:rsid w:val="000528EA"/>
    <w:rsid w:val="0005292D"/>
    <w:rsid w:val="0005298D"/>
    <w:rsid w:val="00052A16"/>
    <w:rsid w:val="00052A1F"/>
    <w:rsid w:val="00052A2C"/>
    <w:rsid w:val="00052A79"/>
    <w:rsid w:val="00052A82"/>
    <w:rsid w:val="00052ADA"/>
    <w:rsid w:val="00052AF0"/>
    <w:rsid w:val="00052B04"/>
    <w:rsid w:val="00052B1E"/>
    <w:rsid w:val="00052BED"/>
    <w:rsid w:val="00052C0C"/>
    <w:rsid w:val="00052C24"/>
    <w:rsid w:val="00052C31"/>
    <w:rsid w:val="00052CB7"/>
    <w:rsid w:val="00052D16"/>
    <w:rsid w:val="00052D47"/>
    <w:rsid w:val="00052DA3"/>
    <w:rsid w:val="00052DBB"/>
    <w:rsid w:val="00052E31"/>
    <w:rsid w:val="00052E4B"/>
    <w:rsid w:val="00052E7D"/>
    <w:rsid w:val="00052ECC"/>
    <w:rsid w:val="00052EE0"/>
    <w:rsid w:val="00052F0E"/>
    <w:rsid w:val="00052F1D"/>
    <w:rsid w:val="00052F27"/>
    <w:rsid w:val="00052F35"/>
    <w:rsid w:val="00052FB2"/>
    <w:rsid w:val="00052FC8"/>
    <w:rsid w:val="00053031"/>
    <w:rsid w:val="00053035"/>
    <w:rsid w:val="00053037"/>
    <w:rsid w:val="00053062"/>
    <w:rsid w:val="0005307F"/>
    <w:rsid w:val="00053087"/>
    <w:rsid w:val="0005308D"/>
    <w:rsid w:val="00053094"/>
    <w:rsid w:val="0005309E"/>
    <w:rsid w:val="000530E1"/>
    <w:rsid w:val="0005322A"/>
    <w:rsid w:val="00053271"/>
    <w:rsid w:val="00053293"/>
    <w:rsid w:val="0005329B"/>
    <w:rsid w:val="000532DD"/>
    <w:rsid w:val="000532ED"/>
    <w:rsid w:val="000533A0"/>
    <w:rsid w:val="000533B4"/>
    <w:rsid w:val="000533BC"/>
    <w:rsid w:val="000533D4"/>
    <w:rsid w:val="000533D6"/>
    <w:rsid w:val="00053413"/>
    <w:rsid w:val="0005341F"/>
    <w:rsid w:val="00053437"/>
    <w:rsid w:val="000534D0"/>
    <w:rsid w:val="000534F1"/>
    <w:rsid w:val="0005353E"/>
    <w:rsid w:val="00053583"/>
    <w:rsid w:val="00053598"/>
    <w:rsid w:val="00053599"/>
    <w:rsid w:val="00053682"/>
    <w:rsid w:val="000536C2"/>
    <w:rsid w:val="000536CB"/>
    <w:rsid w:val="000536DE"/>
    <w:rsid w:val="000536EB"/>
    <w:rsid w:val="000536F2"/>
    <w:rsid w:val="00053708"/>
    <w:rsid w:val="0005370A"/>
    <w:rsid w:val="0005371A"/>
    <w:rsid w:val="00053734"/>
    <w:rsid w:val="00053746"/>
    <w:rsid w:val="0005386D"/>
    <w:rsid w:val="00053870"/>
    <w:rsid w:val="00053894"/>
    <w:rsid w:val="00053897"/>
    <w:rsid w:val="000538B8"/>
    <w:rsid w:val="000538C4"/>
    <w:rsid w:val="000538F4"/>
    <w:rsid w:val="0005390B"/>
    <w:rsid w:val="00053911"/>
    <w:rsid w:val="0005391E"/>
    <w:rsid w:val="0005394A"/>
    <w:rsid w:val="00053956"/>
    <w:rsid w:val="0005397E"/>
    <w:rsid w:val="000539B5"/>
    <w:rsid w:val="000539B8"/>
    <w:rsid w:val="000539ED"/>
    <w:rsid w:val="00053A10"/>
    <w:rsid w:val="00053A50"/>
    <w:rsid w:val="00053A5D"/>
    <w:rsid w:val="00053A64"/>
    <w:rsid w:val="00053A83"/>
    <w:rsid w:val="00053AB8"/>
    <w:rsid w:val="00053B29"/>
    <w:rsid w:val="00053B95"/>
    <w:rsid w:val="00053BA0"/>
    <w:rsid w:val="00053BDF"/>
    <w:rsid w:val="00053C7C"/>
    <w:rsid w:val="00053C92"/>
    <w:rsid w:val="00053C98"/>
    <w:rsid w:val="00053CEB"/>
    <w:rsid w:val="00053CEF"/>
    <w:rsid w:val="00053CF6"/>
    <w:rsid w:val="00053D13"/>
    <w:rsid w:val="00053D3A"/>
    <w:rsid w:val="00053D80"/>
    <w:rsid w:val="00053DA3"/>
    <w:rsid w:val="00053DE8"/>
    <w:rsid w:val="00053E2B"/>
    <w:rsid w:val="00053E3C"/>
    <w:rsid w:val="00053E9E"/>
    <w:rsid w:val="00053F29"/>
    <w:rsid w:val="00053F2A"/>
    <w:rsid w:val="00053F4D"/>
    <w:rsid w:val="00053F95"/>
    <w:rsid w:val="00053F9A"/>
    <w:rsid w:val="00053FE1"/>
    <w:rsid w:val="00053FE6"/>
    <w:rsid w:val="00053FF2"/>
    <w:rsid w:val="00053FFB"/>
    <w:rsid w:val="00054016"/>
    <w:rsid w:val="0005401C"/>
    <w:rsid w:val="00054020"/>
    <w:rsid w:val="00054029"/>
    <w:rsid w:val="0005402A"/>
    <w:rsid w:val="00054057"/>
    <w:rsid w:val="0005405F"/>
    <w:rsid w:val="000540BB"/>
    <w:rsid w:val="00054149"/>
    <w:rsid w:val="0005414F"/>
    <w:rsid w:val="0005418A"/>
    <w:rsid w:val="000541A0"/>
    <w:rsid w:val="000541BF"/>
    <w:rsid w:val="000542E9"/>
    <w:rsid w:val="00054322"/>
    <w:rsid w:val="0005433B"/>
    <w:rsid w:val="00054380"/>
    <w:rsid w:val="00054386"/>
    <w:rsid w:val="0005440E"/>
    <w:rsid w:val="0005444A"/>
    <w:rsid w:val="000544D1"/>
    <w:rsid w:val="0005450D"/>
    <w:rsid w:val="00054534"/>
    <w:rsid w:val="00054563"/>
    <w:rsid w:val="000545AD"/>
    <w:rsid w:val="000545B5"/>
    <w:rsid w:val="000545C0"/>
    <w:rsid w:val="000545F3"/>
    <w:rsid w:val="000545FB"/>
    <w:rsid w:val="00054605"/>
    <w:rsid w:val="00054608"/>
    <w:rsid w:val="00054618"/>
    <w:rsid w:val="0005463D"/>
    <w:rsid w:val="00054653"/>
    <w:rsid w:val="0005466B"/>
    <w:rsid w:val="0005466E"/>
    <w:rsid w:val="00054693"/>
    <w:rsid w:val="000546B0"/>
    <w:rsid w:val="00054730"/>
    <w:rsid w:val="00054738"/>
    <w:rsid w:val="00054789"/>
    <w:rsid w:val="000547B0"/>
    <w:rsid w:val="000547E6"/>
    <w:rsid w:val="000547ED"/>
    <w:rsid w:val="00054824"/>
    <w:rsid w:val="0005482F"/>
    <w:rsid w:val="00054875"/>
    <w:rsid w:val="00054879"/>
    <w:rsid w:val="000548F2"/>
    <w:rsid w:val="00054958"/>
    <w:rsid w:val="00054969"/>
    <w:rsid w:val="000549A4"/>
    <w:rsid w:val="000549C8"/>
    <w:rsid w:val="00054A22"/>
    <w:rsid w:val="00054A7A"/>
    <w:rsid w:val="00054A8E"/>
    <w:rsid w:val="00054AAA"/>
    <w:rsid w:val="00054B2B"/>
    <w:rsid w:val="00054B4C"/>
    <w:rsid w:val="00054B63"/>
    <w:rsid w:val="00054B76"/>
    <w:rsid w:val="00054B9C"/>
    <w:rsid w:val="00054BCF"/>
    <w:rsid w:val="00054BD4"/>
    <w:rsid w:val="00054BF4"/>
    <w:rsid w:val="00054C07"/>
    <w:rsid w:val="00054C7C"/>
    <w:rsid w:val="00054CA3"/>
    <w:rsid w:val="00054CB5"/>
    <w:rsid w:val="00054CF2"/>
    <w:rsid w:val="00054D0A"/>
    <w:rsid w:val="00054D31"/>
    <w:rsid w:val="00054D5F"/>
    <w:rsid w:val="00054DAC"/>
    <w:rsid w:val="00054DC8"/>
    <w:rsid w:val="00054DD8"/>
    <w:rsid w:val="00054DE9"/>
    <w:rsid w:val="00054DF8"/>
    <w:rsid w:val="00054DFC"/>
    <w:rsid w:val="00054E33"/>
    <w:rsid w:val="00054E39"/>
    <w:rsid w:val="00054E48"/>
    <w:rsid w:val="00054E66"/>
    <w:rsid w:val="00054E9D"/>
    <w:rsid w:val="00054EC8"/>
    <w:rsid w:val="00054ED1"/>
    <w:rsid w:val="00054ED3"/>
    <w:rsid w:val="00054EDD"/>
    <w:rsid w:val="00054EF8"/>
    <w:rsid w:val="00054F03"/>
    <w:rsid w:val="00054F12"/>
    <w:rsid w:val="00054F65"/>
    <w:rsid w:val="00054F66"/>
    <w:rsid w:val="00054F68"/>
    <w:rsid w:val="00054F6F"/>
    <w:rsid w:val="00055037"/>
    <w:rsid w:val="0005509C"/>
    <w:rsid w:val="000550A2"/>
    <w:rsid w:val="000550AE"/>
    <w:rsid w:val="00055107"/>
    <w:rsid w:val="00055151"/>
    <w:rsid w:val="00055177"/>
    <w:rsid w:val="000551C9"/>
    <w:rsid w:val="000551D1"/>
    <w:rsid w:val="000551FE"/>
    <w:rsid w:val="00055216"/>
    <w:rsid w:val="0005521E"/>
    <w:rsid w:val="00055247"/>
    <w:rsid w:val="0005524A"/>
    <w:rsid w:val="00055266"/>
    <w:rsid w:val="0005526C"/>
    <w:rsid w:val="0005526D"/>
    <w:rsid w:val="00055270"/>
    <w:rsid w:val="00055279"/>
    <w:rsid w:val="00055296"/>
    <w:rsid w:val="000552AB"/>
    <w:rsid w:val="000552BC"/>
    <w:rsid w:val="000552CC"/>
    <w:rsid w:val="000552DB"/>
    <w:rsid w:val="000552F5"/>
    <w:rsid w:val="0005538B"/>
    <w:rsid w:val="0005548E"/>
    <w:rsid w:val="0005549C"/>
    <w:rsid w:val="0005549E"/>
    <w:rsid w:val="00055510"/>
    <w:rsid w:val="0005552A"/>
    <w:rsid w:val="00055567"/>
    <w:rsid w:val="0005558A"/>
    <w:rsid w:val="000555E7"/>
    <w:rsid w:val="000555F7"/>
    <w:rsid w:val="00055689"/>
    <w:rsid w:val="0005568B"/>
    <w:rsid w:val="00055760"/>
    <w:rsid w:val="00055769"/>
    <w:rsid w:val="000557A9"/>
    <w:rsid w:val="0005581B"/>
    <w:rsid w:val="00055846"/>
    <w:rsid w:val="0005585C"/>
    <w:rsid w:val="00055887"/>
    <w:rsid w:val="000558AF"/>
    <w:rsid w:val="000558CE"/>
    <w:rsid w:val="000558E4"/>
    <w:rsid w:val="0005592F"/>
    <w:rsid w:val="00055934"/>
    <w:rsid w:val="00055957"/>
    <w:rsid w:val="00055995"/>
    <w:rsid w:val="000559B9"/>
    <w:rsid w:val="000559BE"/>
    <w:rsid w:val="000559D8"/>
    <w:rsid w:val="000559ED"/>
    <w:rsid w:val="000559EE"/>
    <w:rsid w:val="00055A8E"/>
    <w:rsid w:val="00055AF8"/>
    <w:rsid w:val="00055B1D"/>
    <w:rsid w:val="00055B1E"/>
    <w:rsid w:val="00055B25"/>
    <w:rsid w:val="00055BB9"/>
    <w:rsid w:val="00055BC7"/>
    <w:rsid w:val="00055BCC"/>
    <w:rsid w:val="00055BCD"/>
    <w:rsid w:val="00055BCF"/>
    <w:rsid w:val="00055BDF"/>
    <w:rsid w:val="00055BFB"/>
    <w:rsid w:val="00055C26"/>
    <w:rsid w:val="00055C52"/>
    <w:rsid w:val="00055CA1"/>
    <w:rsid w:val="00055CA3"/>
    <w:rsid w:val="00055CA5"/>
    <w:rsid w:val="00055CC2"/>
    <w:rsid w:val="00055CD7"/>
    <w:rsid w:val="00055CF8"/>
    <w:rsid w:val="00055CFB"/>
    <w:rsid w:val="00055D09"/>
    <w:rsid w:val="00055D2B"/>
    <w:rsid w:val="00055D33"/>
    <w:rsid w:val="00055D35"/>
    <w:rsid w:val="00055D64"/>
    <w:rsid w:val="00055D67"/>
    <w:rsid w:val="00055D8A"/>
    <w:rsid w:val="00055DA9"/>
    <w:rsid w:val="00055DB1"/>
    <w:rsid w:val="00055DC9"/>
    <w:rsid w:val="00055DE6"/>
    <w:rsid w:val="00055E01"/>
    <w:rsid w:val="00055E29"/>
    <w:rsid w:val="00055E73"/>
    <w:rsid w:val="00055F97"/>
    <w:rsid w:val="00055FB9"/>
    <w:rsid w:val="00055FCE"/>
    <w:rsid w:val="00055FD4"/>
    <w:rsid w:val="0005601F"/>
    <w:rsid w:val="00056047"/>
    <w:rsid w:val="000560BD"/>
    <w:rsid w:val="000560C5"/>
    <w:rsid w:val="000560E7"/>
    <w:rsid w:val="00056124"/>
    <w:rsid w:val="0005613C"/>
    <w:rsid w:val="000561A5"/>
    <w:rsid w:val="000561C2"/>
    <w:rsid w:val="0005621C"/>
    <w:rsid w:val="00056235"/>
    <w:rsid w:val="0005623C"/>
    <w:rsid w:val="00056285"/>
    <w:rsid w:val="000562C3"/>
    <w:rsid w:val="000562D1"/>
    <w:rsid w:val="0005631A"/>
    <w:rsid w:val="0005632A"/>
    <w:rsid w:val="00056336"/>
    <w:rsid w:val="0005635B"/>
    <w:rsid w:val="0005636A"/>
    <w:rsid w:val="00056385"/>
    <w:rsid w:val="00056398"/>
    <w:rsid w:val="000563E7"/>
    <w:rsid w:val="0005643A"/>
    <w:rsid w:val="00056450"/>
    <w:rsid w:val="0005649F"/>
    <w:rsid w:val="000564B0"/>
    <w:rsid w:val="000564FE"/>
    <w:rsid w:val="0005657D"/>
    <w:rsid w:val="0005658E"/>
    <w:rsid w:val="000565DF"/>
    <w:rsid w:val="00056623"/>
    <w:rsid w:val="00056656"/>
    <w:rsid w:val="0005665A"/>
    <w:rsid w:val="0005665B"/>
    <w:rsid w:val="000566F9"/>
    <w:rsid w:val="00056736"/>
    <w:rsid w:val="0005677D"/>
    <w:rsid w:val="000567F0"/>
    <w:rsid w:val="0005687C"/>
    <w:rsid w:val="000568C0"/>
    <w:rsid w:val="00056943"/>
    <w:rsid w:val="0005696B"/>
    <w:rsid w:val="000569CD"/>
    <w:rsid w:val="000569FE"/>
    <w:rsid w:val="00056A21"/>
    <w:rsid w:val="00056A35"/>
    <w:rsid w:val="00056A36"/>
    <w:rsid w:val="00056A37"/>
    <w:rsid w:val="00056A77"/>
    <w:rsid w:val="00056AD2"/>
    <w:rsid w:val="00056B10"/>
    <w:rsid w:val="00056BAD"/>
    <w:rsid w:val="00056BAF"/>
    <w:rsid w:val="00056BB5"/>
    <w:rsid w:val="00056BB6"/>
    <w:rsid w:val="00056C29"/>
    <w:rsid w:val="00056C45"/>
    <w:rsid w:val="00056C99"/>
    <w:rsid w:val="00056CB1"/>
    <w:rsid w:val="00056D0C"/>
    <w:rsid w:val="00056D29"/>
    <w:rsid w:val="00056D55"/>
    <w:rsid w:val="00056DAF"/>
    <w:rsid w:val="00056DF8"/>
    <w:rsid w:val="00056E09"/>
    <w:rsid w:val="00056E68"/>
    <w:rsid w:val="00056EA5"/>
    <w:rsid w:val="00056ED3"/>
    <w:rsid w:val="00056F43"/>
    <w:rsid w:val="00056F4C"/>
    <w:rsid w:val="00056F4E"/>
    <w:rsid w:val="00056F65"/>
    <w:rsid w:val="00056FC9"/>
    <w:rsid w:val="00056FD7"/>
    <w:rsid w:val="00056FE1"/>
    <w:rsid w:val="000570B2"/>
    <w:rsid w:val="00057126"/>
    <w:rsid w:val="0005714B"/>
    <w:rsid w:val="0005716B"/>
    <w:rsid w:val="000571B6"/>
    <w:rsid w:val="00057200"/>
    <w:rsid w:val="0005724A"/>
    <w:rsid w:val="00057255"/>
    <w:rsid w:val="000572F6"/>
    <w:rsid w:val="00057300"/>
    <w:rsid w:val="00057327"/>
    <w:rsid w:val="00057339"/>
    <w:rsid w:val="00057342"/>
    <w:rsid w:val="00057356"/>
    <w:rsid w:val="00057375"/>
    <w:rsid w:val="00057386"/>
    <w:rsid w:val="000573CD"/>
    <w:rsid w:val="000573FD"/>
    <w:rsid w:val="00057466"/>
    <w:rsid w:val="0005746A"/>
    <w:rsid w:val="00057478"/>
    <w:rsid w:val="000574D4"/>
    <w:rsid w:val="000574E1"/>
    <w:rsid w:val="000574ED"/>
    <w:rsid w:val="0005750E"/>
    <w:rsid w:val="00057535"/>
    <w:rsid w:val="0005755F"/>
    <w:rsid w:val="00057595"/>
    <w:rsid w:val="000575AC"/>
    <w:rsid w:val="000575EE"/>
    <w:rsid w:val="00057611"/>
    <w:rsid w:val="00057669"/>
    <w:rsid w:val="0005767A"/>
    <w:rsid w:val="00057682"/>
    <w:rsid w:val="00057795"/>
    <w:rsid w:val="000577B2"/>
    <w:rsid w:val="000577B3"/>
    <w:rsid w:val="000577B6"/>
    <w:rsid w:val="000577F4"/>
    <w:rsid w:val="0005781D"/>
    <w:rsid w:val="00057860"/>
    <w:rsid w:val="0005786D"/>
    <w:rsid w:val="00057881"/>
    <w:rsid w:val="000578BC"/>
    <w:rsid w:val="000578D7"/>
    <w:rsid w:val="000578DE"/>
    <w:rsid w:val="00057909"/>
    <w:rsid w:val="00057919"/>
    <w:rsid w:val="0005795B"/>
    <w:rsid w:val="00057960"/>
    <w:rsid w:val="00057967"/>
    <w:rsid w:val="00057983"/>
    <w:rsid w:val="000579B1"/>
    <w:rsid w:val="000579B3"/>
    <w:rsid w:val="000579B8"/>
    <w:rsid w:val="000579C8"/>
    <w:rsid w:val="000579EB"/>
    <w:rsid w:val="00057A05"/>
    <w:rsid w:val="00057A61"/>
    <w:rsid w:val="00057A8E"/>
    <w:rsid w:val="00057AB3"/>
    <w:rsid w:val="00057AC3"/>
    <w:rsid w:val="00057AF8"/>
    <w:rsid w:val="00057B2E"/>
    <w:rsid w:val="00057B93"/>
    <w:rsid w:val="00057BB4"/>
    <w:rsid w:val="00057C04"/>
    <w:rsid w:val="00057C1F"/>
    <w:rsid w:val="00057C7A"/>
    <w:rsid w:val="00057C90"/>
    <w:rsid w:val="00057C9E"/>
    <w:rsid w:val="00057CCC"/>
    <w:rsid w:val="00057CE1"/>
    <w:rsid w:val="00057CE9"/>
    <w:rsid w:val="00057D20"/>
    <w:rsid w:val="00057D77"/>
    <w:rsid w:val="00057DA5"/>
    <w:rsid w:val="00057DF2"/>
    <w:rsid w:val="00057E06"/>
    <w:rsid w:val="00057E0D"/>
    <w:rsid w:val="00057E4B"/>
    <w:rsid w:val="00057E4C"/>
    <w:rsid w:val="00057E4F"/>
    <w:rsid w:val="00057E5D"/>
    <w:rsid w:val="00057E8D"/>
    <w:rsid w:val="00057E94"/>
    <w:rsid w:val="00057EA3"/>
    <w:rsid w:val="00057EDB"/>
    <w:rsid w:val="00057F43"/>
    <w:rsid w:val="00057F79"/>
    <w:rsid w:val="00057FE6"/>
    <w:rsid w:val="00057FF5"/>
    <w:rsid w:val="00057FFE"/>
    <w:rsid w:val="00060030"/>
    <w:rsid w:val="00060084"/>
    <w:rsid w:val="000600C6"/>
    <w:rsid w:val="000600DC"/>
    <w:rsid w:val="0006010F"/>
    <w:rsid w:val="0006012B"/>
    <w:rsid w:val="00060136"/>
    <w:rsid w:val="00060185"/>
    <w:rsid w:val="0006018D"/>
    <w:rsid w:val="000601A9"/>
    <w:rsid w:val="00060269"/>
    <w:rsid w:val="000602A2"/>
    <w:rsid w:val="000602A7"/>
    <w:rsid w:val="000602B1"/>
    <w:rsid w:val="0006030A"/>
    <w:rsid w:val="0006030C"/>
    <w:rsid w:val="0006031B"/>
    <w:rsid w:val="0006031D"/>
    <w:rsid w:val="00060325"/>
    <w:rsid w:val="0006034B"/>
    <w:rsid w:val="00060354"/>
    <w:rsid w:val="00060376"/>
    <w:rsid w:val="0006038E"/>
    <w:rsid w:val="000603E6"/>
    <w:rsid w:val="0006041B"/>
    <w:rsid w:val="00060436"/>
    <w:rsid w:val="0006043A"/>
    <w:rsid w:val="0006044D"/>
    <w:rsid w:val="00060494"/>
    <w:rsid w:val="000604D7"/>
    <w:rsid w:val="00060557"/>
    <w:rsid w:val="00060586"/>
    <w:rsid w:val="0006058D"/>
    <w:rsid w:val="00060592"/>
    <w:rsid w:val="000605A1"/>
    <w:rsid w:val="000605A5"/>
    <w:rsid w:val="0006060E"/>
    <w:rsid w:val="00060625"/>
    <w:rsid w:val="00060654"/>
    <w:rsid w:val="0006069D"/>
    <w:rsid w:val="000606C7"/>
    <w:rsid w:val="000606EE"/>
    <w:rsid w:val="000606F4"/>
    <w:rsid w:val="0006074A"/>
    <w:rsid w:val="0006074D"/>
    <w:rsid w:val="00060754"/>
    <w:rsid w:val="0006076E"/>
    <w:rsid w:val="000607EE"/>
    <w:rsid w:val="00060818"/>
    <w:rsid w:val="0006085A"/>
    <w:rsid w:val="0006085C"/>
    <w:rsid w:val="000608D1"/>
    <w:rsid w:val="000608E0"/>
    <w:rsid w:val="00060902"/>
    <w:rsid w:val="0006094B"/>
    <w:rsid w:val="00060985"/>
    <w:rsid w:val="000609A7"/>
    <w:rsid w:val="000609C4"/>
    <w:rsid w:val="000609CB"/>
    <w:rsid w:val="000609D1"/>
    <w:rsid w:val="00060A02"/>
    <w:rsid w:val="00060A07"/>
    <w:rsid w:val="00060A18"/>
    <w:rsid w:val="00060A22"/>
    <w:rsid w:val="00060A40"/>
    <w:rsid w:val="00060AB8"/>
    <w:rsid w:val="00060AEE"/>
    <w:rsid w:val="00060B02"/>
    <w:rsid w:val="00060B22"/>
    <w:rsid w:val="00060B3F"/>
    <w:rsid w:val="00060B85"/>
    <w:rsid w:val="00060BBC"/>
    <w:rsid w:val="00060BD9"/>
    <w:rsid w:val="00060BED"/>
    <w:rsid w:val="00060C42"/>
    <w:rsid w:val="00060C5F"/>
    <w:rsid w:val="00060CB8"/>
    <w:rsid w:val="00060CCE"/>
    <w:rsid w:val="00060CE3"/>
    <w:rsid w:val="00060CFE"/>
    <w:rsid w:val="00060D23"/>
    <w:rsid w:val="00060D37"/>
    <w:rsid w:val="00060DBD"/>
    <w:rsid w:val="00060DDA"/>
    <w:rsid w:val="00060DDF"/>
    <w:rsid w:val="00060DF8"/>
    <w:rsid w:val="00060DFB"/>
    <w:rsid w:val="00060E29"/>
    <w:rsid w:val="00060E4A"/>
    <w:rsid w:val="00060E8C"/>
    <w:rsid w:val="00060E92"/>
    <w:rsid w:val="00060EF7"/>
    <w:rsid w:val="00060F2E"/>
    <w:rsid w:val="00060F3B"/>
    <w:rsid w:val="00060FBC"/>
    <w:rsid w:val="00060FE5"/>
    <w:rsid w:val="0006103A"/>
    <w:rsid w:val="0006103F"/>
    <w:rsid w:val="00061073"/>
    <w:rsid w:val="000610BF"/>
    <w:rsid w:val="000610D0"/>
    <w:rsid w:val="00061114"/>
    <w:rsid w:val="00061180"/>
    <w:rsid w:val="00061189"/>
    <w:rsid w:val="000611B3"/>
    <w:rsid w:val="000611D1"/>
    <w:rsid w:val="0006122A"/>
    <w:rsid w:val="00061287"/>
    <w:rsid w:val="000612A8"/>
    <w:rsid w:val="000612B0"/>
    <w:rsid w:val="000612B7"/>
    <w:rsid w:val="000612E4"/>
    <w:rsid w:val="0006130F"/>
    <w:rsid w:val="0006136B"/>
    <w:rsid w:val="000613AC"/>
    <w:rsid w:val="00061419"/>
    <w:rsid w:val="00061436"/>
    <w:rsid w:val="0006146E"/>
    <w:rsid w:val="00061479"/>
    <w:rsid w:val="0006155F"/>
    <w:rsid w:val="00061580"/>
    <w:rsid w:val="00061604"/>
    <w:rsid w:val="00061620"/>
    <w:rsid w:val="0006167F"/>
    <w:rsid w:val="0006183F"/>
    <w:rsid w:val="0006187A"/>
    <w:rsid w:val="00061882"/>
    <w:rsid w:val="00061886"/>
    <w:rsid w:val="0006188A"/>
    <w:rsid w:val="00061893"/>
    <w:rsid w:val="000618B3"/>
    <w:rsid w:val="000618DF"/>
    <w:rsid w:val="000618F7"/>
    <w:rsid w:val="0006192C"/>
    <w:rsid w:val="00061966"/>
    <w:rsid w:val="0006197C"/>
    <w:rsid w:val="0006199E"/>
    <w:rsid w:val="000619B2"/>
    <w:rsid w:val="00061A0A"/>
    <w:rsid w:val="00061A99"/>
    <w:rsid w:val="00061AE8"/>
    <w:rsid w:val="00061AF7"/>
    <w:rsid w:val="00061B4D"/>
    <w:rsid w:val="00061B7B"/>
    <w:rsid w:val="00061BB4"/>
    <w:rsid w:val="00061BF7"/>
    <w:rsid w:val="00061BF9"/>
    <w:rsid w:val="00061C56"/>
    <w:rsid w:val="00061C7A"/>
    <w:rsid w:val="00061CB1"/>
    <w:rsid w:val="00061CB3"/>
    <w:rsid w:val="00061CE3"/>
    <w:rsid w:val="00061CF2"/>
    <w:rsid w:val="00061D02"/>
    <w:rsid w:val="00061D12"/>
    <w:rsid w:val="00061D13"/>
    <w:rsid w:val="00061D24"/>
    <w:rsid w:val="00061D25"/>
    <w:rsid w:val="00061D6C"/>
    <w:rsid w:val="00061D96"/>
    <w:rsid w:val="00061D9C"/>
    <w:rsid w:val="00061DA3"/>
    <w:rsid w:val="00061E46"/>
    <w:rsid w:val="00061E48"/>
    <w:rsid w:val="00061EA5"/>
    <w:rsid w:val="00061EBC"/>
    <w:rsid w:val="00061EF3"/>
    <w:rsid w:val="00061EF5"/>
    <w:rsid w:val="00061F48"/>
    <w:rsid w:val="00061F60"/>
    <w:rsid w:val="00061F97"/>
    <w:rsid w:val="00062022"/>
    <w:rsid w:val="0006203C"/>
    <w:rsid w:val="00062093"/>
    <w:rsid w:val="00062098"/>
    <w:rsid w:val="000620A7"/>
    <w:rsid w:val="000620B9"/>
    <w:rsid w:val="000620D5"/>
    <w:rsid w:val="000620EA"/>
    <w:rsid w:val="000620FA"/>
    <w:rsid w:val="00062106"/>
    <w:rsid w:val="000621AB"/>
    <w:rsid w:val="000621C1"/>
    <w:rsid w:val="00062220"/>
    <w:rsid w:val="0006222A"/>
    <w:rsid w:val="0006228C"/>
    <w:rsid w:val="000622EE"/>
    <w:rsid w:val="00062328"/>
    <w:rsid w:val="000623CB"/>
    <w:rsid w:val="0006242E"/>
    <w:rsid w:val="00062455"/>
    <w:rsid w:val="00062462"/>
    <w:rsid w:val="00062473"/>
    <w:rsid w:val="00062485"/>
    <w:rsid w:val="000624BB"/>
    <w:rsid w:val="000624BC"/>
    <w:rsid w:val="000624DA"/>
    <w:rsid w:val="000624E7"/>
    <w:rsid w:val="000624EC"/>
    <w:rsid w:val="000625A7"/>
    <w:rsid w:val="000625E2"/>
    <w:rsid w:val="00062612"/>
    <w:rsid w:val="00062616"/>
    <w:rsid w:val="0006267C"/>
    <w:rsid w:val="00062698"/>
    <w:rsid w:val="0006269C"/>
    <w:rsid w:val="000626B1"/>
    <w:rsid w:val="00062731"/>
    <w:rsid w:val="0006275B"/>
    <w:rsid w:val="000627B7"/>
    <w:rsid w:val="000627D8"/>
    <w:rsid w:val="000627F3"/>
    <w:rsid w:val="000627F4"/>
    <w:rsid w:val="00062812"/>
    <w:rsid w:val="0006286B"/>
    <w:rsid w:val="0006288B"/>
    <w:rsid w:val="000628D6"/>
    <w:rsid w:val="0006291D"/>
    <w:rsid w:val="0006293F"/>
    <w:rsid w:val="0006294C"/>
    <w:rsid w:val="00062994"/>
    <w:rsid w:val="000629CF"/>
    <w:rsid w:val="00062A40"/>
    <w:rsid w:val="00062A64"/>
    <w:rsid w:val="00062A88"/>
    <w:rsid w:val="00062A89"/>
    <w:rsid w:val="00062A90"/>
    <w:rsid w:val="00062AA2"/>
    <w:rsid w:val="00062AA5"/>
    <w:rsid w:val="00062B0C"/>
    <w:rsid w:val="00062B74"/>
    <w:rsid w:val="00062BAB"/>
    <w:rsid w:val="00062BDE"/>
    <w:rsid w:val="00062C3D"/>
    <w:rsid w:val="00062C80"/>
    <w:rsid w:val="00062CBD"/>
    <w:rsid w:val="00062D3E"/>
    <w:rsid w:val="00062D61"/>
    <w:rsid w:val="00062D6F"/>
    <w:rsid w:val="00062D7B"/>
    <w:rsid w:val="00062D8B"/>
    <w:rsid w:val="00062D9C"/>
    <w:rsid w:val="00062E1D"/>
    <w:rsid w:val="00062E53"/>
    <w:rsid w:val="00062E7F"/>
    <w:rsid w:val="00062EA1"/>
    <w:rsid w:val="00062F12"/>
    <w:rsid w:val="00062F20"/>
    <w:rsid w:val="00062F35"/>
    <w:rsid w:val="00062F70"/>
    <w:rsid w:val="00062F7D"/>
    <w:rsid w:val="00063005"/>
    <w:rsid w:val="00063031"/>
    <w:rsid w:val="00063054"/>
    <w:rsid w:val="0006315F"/>
    <w:rsid w:val="0006316D"/>
    <w:rsid w:val="0006317A"/>
    <w:rsid w:val="0006318B"/>
    <w:rsid w:val="0006318E"/>
    <w:rsid w:val="00063204"/>
    <w:rsid w:val="0006320D"/>
    <w:rsid w:val="00063214"/>
    <w:rsid w:val="00063245"/>
    <w:rsid w:val="00063247"/>
    <w:rsid w:val="000632BE"/>
    <w:rsid w:val="000632DD"/>
    <w:rsid w:val="000632EF"/>
    <w:rsid w:val="00063324"/>
    <w:rsid w:val="00063338"/>
    <w:rsid w:val="00063340"/>
    <w:rsid w:val="0006334F"/>
    <w:rsid w:val="00063351"/>
    <w:rsid w:val="00063365"/>
    <w:rsid w:val="00063372"/>
    <w:rsid w:val="0006337D"/>
    <w:rsid w:val="00063387"/>
    <w:rsid w:val="0006338B"/>
    <w:rsid w:val="00063400"/>
    <w:rsid w:val="0006345F"/>
    <w:rsid w:val="000634E4"/>
    <w:rsid w:val="000634EA"/>
    <w:rsid w:val="00063555"/>
    <w:rsid w:val="00063595"/>
    <w:rsid w:val="000635EA"/>
    <w:rsid w:val="00063604"/>
    <w:rsid w:val="0006367B"/>
    <w:rsid w:val="0006367D"/>
    <w:rsid w:val="000636D2"/>
    <w:rsid w:val="000636DE"/>
    <w:rsid w:val="000636E1"/>
    <w:rsid w:val="00063771"/>
    <w:rsid w:val="00063787"/>
    <w:rsid w:val="000637A6"/>
    <w:rsid w:val="000637B0"/>
    <w:rsid w:val="000637E9"/>
    <w:rsid w:val="000637EB"/>
    <w:rsid w:val="0006381F"/>
    <w:rsid w:val="00063849"/>
    <w:rsid w:val="00063852"/>
    <w:rsid w:val="00063885"/>
    <w:rsid w:val="000638D6"/>
    <w:rsid w:val="000638F4"/>
    <w:rsid w:val="00063988"/>
    <w:rsid w:val="0006398F"/>
    <w:rsid w:val="000639CB"/>
    <w:rsid w:val="00063A41"/>
    <w:rsid w:val="00063A94"/>
    <w:rsid w:val="00063ACB"/>
    <w:rsid w:val="00063AEC"/>
    <w:rsid w:val="00063AF5"/>
    <w:rsid w:val="00063C10"/>
    <w:rsid w:val="00063C16"/>
    <w:rsid w:val="00063C4B"/>
    <w:rsid w:val="00063C64"/>
    <w:rsid w:val="00063CD5"/>
    <w:rsid w:val="00063D49"/>
    <w:rsid w:val="00063D4B"/>
    <w:rsid w:val="00063D54"/>
    <w:rsid w:val="00063D6B"/>
    <w:rsid w:val="00063DBB"/>
    <w:rsid w:val="00063DEF"/>
    <w:rsid w:val="00063E1A"/>
    <w:rsid w:val="00063E71"/>
    <w:rsid w:val="00063EF0"/>
    <w:rsid w:val="00063EFD"/>
    <w:rsid w:val="00063F29"/>
    <w:rsid w:val="00063F47"/>
    <w:rsid w:val="00063F51"/>
    <w:rsid w:val="00063F7D"/>
    <w:rsid w:val="00063F98"/>
    <w:rsid w:val="00063FAD"/>
    <w:rsid w:val="00063FD9"/>
    <w:rsid w:val="00063FE5"/>
    <w:rsid w:val="00064004"/>
    <w:rsid w:val="00064026"/>
    <w:rsid w:val="00064049"/>
    <w:rsid w:val="000640C7"/>
    <w:rsid w:val="000640DA"/>
    <w:rsid w:val="00064118"/>
    <w:rsid w:val="00064174"/>
    <w:rsid w:val="0006417A"/>
    <w:rsid w:val="00064190"/>
    <w:rsid w:val="000641B6"/>
    <w:rsid w:val="00064208"/>
    <w:rsid w:val="00064229"/>
    <w:rsid w:val="0006426F"/>
    <w:rsid w:val="00064312"/>
    <w:rsid w:val="00064348"/>
    <w:rsid w:val="00064362"/>
    <w:rsid w:val="0006438C"/>
    <w:rsid w:val="0006439B"/>
    <w:rsid w:val="000643A0"/>
    <w:rsid w:val="000643C5"/>
    <w:rsid w:val="000643DF"/>
    <w:rsid w:val="000643FB"/>
    <w:rsid w:val="00064449"/>
    <w:rsid w:val="00064468"/>
    <w:rsid w:val="000644A3"/>
    <w:rsid w:val="00064509"/>
    <w:rsid w:val="00064560"/>
    <w:rsid w:val="00064570"/>
    <w:rsid w:val="000645A2"/>
    <w:rsid w:val="000645B9"/>
    <w:rsid w:val="000645DE"/>
    <w:rsid w:val="0006463A"/>
    <w:rsid w:val="00064690"/>
    <w:rsid w:val="000646AD"/>
    <w:rsid w:val="000646BF"/>
    <w:rsid w:val="000646DE"/>
    <w:rsid w:val="00064726"/>
    <w:rsid w:val="00064804"/>
    <w:rsid w:val="00064825"/>
    <w:rsid w:val="00064856"/>
    <w:rsid w:val="000648DE"/>
    <w:rsid w:val="0006492C"/>
    <w:rsid w:val="00064947"/>
    <w:rsid w:val="00064983"/>
    <w:rsid w:val="000649E7"/>
    <w:rsid w:val="00064A04"/>
    <w:rsid w:val="00064A3D"/>
    <w:rsid w:val="00064A52"/>
    <w:rsid w:val="00064A74"/>
    <w:rsid w:val="00064AA2"/>
    <w:rsid w:val="00064AA4"/>
    <w:rsid w:val="00064AB8"/>
    <w:rsid w:val="00064ABF"/>
    <w:rsid w:val="00064AD4"/>
    <w:rsid w:val="00064ADC"/>
    <w:rsid w:val="00064AF8"/>
    <w:rsid w:val="00064B5C"/>
    <w:rsid w:val="00064B6E"/>
    <w:rsid w:val="00064B81"/>
    <w:rsid w:val="00064BAE"/>
    <w:rsid w:val="00064BD7"/>
    <w:rsid w:val="00064BE9"/>
    <w:rsid w:val="00064C08"/>
    <w:rsid w:val="00064C1E"/>
    <w:rsid w:val="00064C4B"/>
    <w:rsid w:val="00064C6F"/>
    <w:rsid w:val="00064CAA"/>
    <w:rsid w:val="00064CB5"/>
    <w:rsid w:val="00064CD5"/>
    <w:rsid w:val="00064D15"/>
    <w:rsid w:val="00064D21"/>
    <w:rsid w:val="00064D69"/>
    <w:rsid w:val="00064D87"/>
    <w:rsid w:val="00064DEB"/>
    <w:rsid w:val="00064DFC"/>
    <w:rsid w:val="00064E02"/>
    <w:rsid w:val="00064E50"/>
    <w:rsid w:val="00064E52"/>
    <w:rsid w:val="00064E94"/>
    <w:rsid w:val="00064EAD"/>
    <w:rsid w:val="00064ED1"/>
    <w:rsid w:val="00064F06"/>
    <w:rsid w:val="00064F3D"/>
    <w:rsid w:val="00064F86"/>
    <w:rsid w:val="00064F8E"/>
    <w:rsid w:val="00064FC0"/>
    <w:rsid w:val="00064FCA"/>
    <w:rsid w:val="00064FCC"/>
    <w:rsid w:val="00064FE5"/>
    <w:rsid w:val="00064FF5"/>
    <w:rsid w:val="00065024"/>
    <w:rsid w:val="00065032"/>
    <w:rsid w:val="00065035"/>
    <w:rsid w:val="00065053"/>
    <w:rsid w:val="0006505D"/>
    <w:rsid w:val="00065078"/>
    <w:rsid w:val="000650D3"/>
    <w:rsid w:val="00065124"/>
    <w:rsid w:val="00065140"/>
    <w:rsid w:val="00065149"/>
    <w:rsid w:val="00065179"/>
    <w:rsid w:val="00065183"/>
    <w:rsid w:val="0006518B"/>
    <w:rsid w:val="000651A9"/>
    <w:rsid w:val="000651B3"/>
    <w:rsid w:val="00065229"/>
    <w:rsid w:val="00065233"/>
    <w:rsid w:val="00065235"/>
    <w:rsid w:val="00065244"/>
    <w:rsid w:val="000652BA"/>
    <w:rsid w:val="000652EF"/>
    <w:rsid w:val="00065306"/>
    <w:rsid w:val="00065309"/>
    <w:rsid w:val="00065335"/>
    <w:rsid w:val="0006533B"/>
    <w:rsid w:val="0006533F"/>
    <w:rsid w:val="00065378"/>
    <w:rsid w:val="00065386"/>
    <w:rsid w:val="00065426"/>
    <w:rsid w:val="0006547D"/>
    <w:rsid w:val="000654B1"/>
    <w:rsid w:val="0006554B"/>
    <w:rsid w:val="0006555A"/>
    <w:rsid w:val="0006557E"/>
    <w:rsid w:val="00065585"/>
    <w:rsid w:val="0006558B"/>
    <w:rsid w:val="00065644"/>
    <w:rsid w:val="0006565D"/>
    <w:rsid w:val="00065667"/>
    <w:rsid w:val="00065669"/>
    <w:rsid w:val="00065683"/>
    <w:rsid w:val="0006568A"/>
    <w:rsid w:val="00065696"/>
    <w:rsid w:val="0006571B"/>
    <w:rsid w:val="00065727"/>
    <w:rsid w:val="00065750"/>
    <w:rsid w:val="000657D1"/>
    <w:rsid w:val="000657D2"/>
    <w:rsid w:val="000657D4"/>
    <w:rsid w:val="00065814"/>
    <w:rsid w:val="0006585F"/>
    <w:rsid w:val="00065861"/>
    <w:rsid w:val="00065886"/>
    <w:rsid w:val="0006589C"/>
    <w:rsid w:val="0006589F"/>
    <w:rsid w:val="000658C4"/>
    <w:rsid w:val="0006596D"/>
    <w:rsid w:val="00065977"/>
    <w:rsid w:val="000659DC"/>
    <w:rsid w:val="00065A1A"/>
    <w:rsid w:val="00065A1F"/>
    <w:rsid w:val="00065A22"/>
    <w:rsid w:val="00065A24"/>
    <w:rsid w:val="00065A43"/>
    <w:rsid w:val="00065A88"/>
    <w:rsid w:val="00065AC9"/>
    <w:rsid w:val="00065ACE"/>
    <w:rsid w:val="00065AF0"/>
    <w:rsid w:val="00065B02"/>
    <w:rsid w:val="00065B38"/>
    <w:rsid w:val="00065BEA"/>
    <w:rsid w:val="00065C56"/>
    <w:rsid w:val="00065C90"/>
    <w:rsid w:val="00065CB0"/>
    <w:rsid w:val="00065D05"/>
    <w:rsid w:val="00065D46"/>
    <w:rsid w:val="00065D84"/>
    <w:rsid w:val="00065D8E"/>
    <w:rsid w:val="00065DB4"/>
    <w:rsid w:val="00065DFE"/>
    <w:rsid w:val="00065E0A"/>
    <w:rsid w:val="00065E10"/>
    <w:rsid w:val="00065E2F"/>
    <w:rsid w:val="00065E31"/>
    <w:rsid w:val="00065E78"/>
    <w:rsid w:val="00065E8A"/>
    <w:rsid w:val="00065ECB"/>
    <w:rsid w:val="00065ECD"/>
    <w:rsid w:val="00065ECE"/>
    <w:rsid w:val="00065ED8"/>
    <w:rsid w:val="00065F14"/>
    <w:rsid w:val="00065F42"/>
    <w:rsid w:val="00065F48"/>
    <w:rsid w:val="00065F55"/>
    <w:rsid w:val="00065F73"/>
    <w:rsid w:val="00065F84"/>
    <w:rsid w:val="00065FD8"/>
    <w:rsid w:val="00066066"/>
    <w:rsid w:val="0006606D"/>
    <w:rsid w:val="000660F1"/>
    <w:rsid w:val="000660FF"/>
    <w:rsid w:val="0006611F"/>
    <w:rsid w:val="00066135"/>
    <w:rsid w:val="000661A6"/>
    <w:rsid w:val="000661E3"/>
    <w:rsid w:val="000661FB"/>
    <w:rsid w:val="00066214"/>
    <w:rsid w:val="00066232"/>
    <w:rsid w:val="00066248"/>
    <w:rsid w:val="00066296"/>
    <w:rsid w:val="0006629A"/>
    <w:rsid w:val="000662BE"/>
    <w:rsid w:val="000662E6"/>
    <w:rsid w:val="000662F2"/>
    <w:rsid w:val="0006630A"/>
    <w:rsid w:val="0006634E"/>
    <w:rsid w:val="00066365"/>
    <w:rsid w:val="00066378"/>
    <w:rsid w:val="00066392"/>
    <w:rsid w:val="000663EE"/>
    <w:rsid w:val="000663F0"/>
    <w:rsid w:val="000663FD"/>
    <w:rsid w:val="00066431"/>
    <w:rsid w:val="00066484"/>
    <w:rsid w:val="000664D5"/>
    <w:rsid w:val="00066511"/>
    <w:rsid w:val="0006655E"/>
    <w:rsid w:val="0006657D"/>
    <w:rsid w:val="000665F9"/>
    <w:rsid w:val="00066641"/>
    <w:rsid w:val="00066642"/>
    <w:rsid w:val="000666A2"/>
    <w:rsid w:val="0006671A"/>
    <w:rsid w:val="00066722"/>
    <w:rsid w:val="00066741"/>
    <w:rsid w:val="00066754"/>
    <w:rsid w:val="000667AC"/>
    <w:rsid w:val="0006686D"/>
    <w:rsid w:val="0006688D"/>
    <w:rsid w:val="000668D1"/>
    <w:rsid w:val="000668E2"/>
    <w:rsid w:val="000668FD"/>
    <w:rsid w:val="0006696C"/>
    <w:rsid w:val="0006698E"/>
    <w:rsid w:val="00066992"/>
    <w:rsid w:val="000669BD"/>
    <w:rsid w:val="000669C5"/>
    <w:rsid w:val="000669EE"/>
    <w:rsid w:val="00066A0B"/>
    <w:rsid w:val="00066A50"/>
    <w:rsid w:val="00066A5D"/>
    <w:rsid w:val="00066A6A"/>
    <w:rsid w:val="00066AAF"/>
    <w:rsid w:val="00066B13"/>
    <w:rsid w:val="00066B16"/>
    <w:rsid w:val="00066B17"/>
    <w:rsid w:val="00066B28"/>
    <w:rsid w:val="00066BB3"/>
    <w:rsid w:val="00066BE7"/>
    <w:rsid w:val="00066C07"/>
    <w:rsid w:val="00066C1A"/>
    <w:rsid w:val="00066C1F"/>
    <w:rsid w:val="00066C21"/>
    <w:rsid w:val="00066C48"/>
    <w:rsid w:val="00066C9B"/>
    <w:rsid w:val="00066CE4"/>
    <w:rsid w:val="00066CFE"/>
    <w:rsid w:val="00066D00"/>
    <w:rsid w:val="00066D5E"/>
    <w:rsid w:val="00066D95"/>
    <w:rsid w:val="00066E2D"/>
    <w:rsid w:val="00066EB5"/>
    <w:rsid w:val="00066EEC"/>
    <w:rsid w:val="00066F06"/>
    <w:rsid w:val="00066F47"/>
    <w:rsid w:val="00066FA5"/>
    <w:rsid w:val="00066FA6"/>
    <w:rsid w:val="00067038"/>
    <w:rsid w:val="0006707D"/>
    <w:rsid w:val="00067092"/>
    <w:rsid w:val="000670A2"/>
    <w:rsid w:val="000670AC"/>
    <w:rsid w:val="000670D7"/>
    <w:rsid w:val="0006710E"/>
    <w:rsid w:val="00067149"/>
    <w:rsid w:val="00067158"/>
    <w:rsid w:val="00067183"/>
    <w:rsid w:val="000671AA"/>
    <w:rsid w:val="000671B3"/>
    <w:rsid w:val="000671EE"/>
    <w:rsid w:val="000671F1"/>
    <w:rsid w:val="0006724B"/>
    <w:rsid w:val="0006725F"/>
    <w:rsid w:val="0006727A"/>
    <w:rsid w:val="0006727C"/>
    <w:rsid w:val="00067285"/>
    <w:rsid w:val="00067299"/>
    <w:rsid w:val="000672CE"/>
    <w:rsid w:val="000672E8"/>
    <w:rsid w:val="00067390"/>
    <w:rsid w:val="000673A7"/>
    <w:rsid w:val="000673B2"/>
    <w:rsid w:val="000673B4"/>
    <w:rsid w:val="000673CE"/>
    <w:rsid w:val="000673FD"/>
    <w:rsid w:val="00067482"/>
    <w:rsid w:val="00067485"/>
    <w:rsid w:val="000674F2"/>
    <w:rsid w:val="0006751B"/>
    <w:rsid w:val="0006751C"/>
    <w:rsid w:val="0006757F"/>
    <w:rsid w:val="000675A7"/>
    <w:rsid w:val="000675C7"/>
    <w:rsid w:val="000675D9"/>
    <w:rsid w:val="000675F4"/>
    <w:rsid w:val="00067609"/>
    <w:rsid w:val="00067644"/>
    <w:rsid w:val="00067650"/>
    <w:rsid w:val="0006766D"/>
    <w:rsid w:val="00067688"/>
    <w:rsid w:val="000676BB"/>
    <w:rsid w:val="000676D7"/>
    <w:rsid w:val="000676DD"/>
    <w:rsid w:val="0006771C"/>
    <w:rsid w:val="0006771D"/>
    <w:rsid w:val="0006772E"/>
    <w:rsid w:val="00067744"/>
    <w:rsid w:val="00067765"/>
    <w:rsid w:val="00067771"/>
    <w:rsid w:val="0006779B"/>
    <w:rsid w:val="000677B2"/>
    <w:rsid w:val="000677BB"/>
    <w:rsid w:val="000677C8"/>
    <w:rsid w:val="000677D0"/>
    <w:rsid w:val="00067828"/>
    <w:rsid w:val="0006786E"/>
    <w:rsid w:val="00067873"/>
    <w:rsid w:val="0006787D"/>
    <w:rsid w:val="00067880"/>
    <w:rsid w:val="00067889"/>
    <w:rsid w:val="000678CD"/>
    <w:rsid w:val="00067923"/>
    <w:rsid w:val="0006793D"/>
    <w:rsid w:val="000679FA"/>
    <w:rsid w:val="00067A0E"/>
    <w:rsid w:val="00067A4E"/>
    <w:rsid w:val="00067AAA"/>
    <w:rsid w:val="00067B0B"/>
    <w:rsid w:val="00067B54"/>
    <w:rsid w:val="00067B69"/>
    <w:rsid w:val="00067B80"/>
    <w:rsid w:val="00067B8F"/>
    <w:rsid w:val="00067BC2"/>
    <w:rsid w:val="00067C1C"/>
    <w:rsid w:val="00067C41"/>
    <w:rsid w:val="00067C5A"/>
    <w:rsid w:val="00067C5F"/>
    <w:rsid w:val="00067C67"/>
    <w:rsid w:val="00067C6E"/>
    <w:rsid w:val="00067C8C"/>
    <w:rsid w:val="00067C9D"/>
    <w:rsid w:val="00067CC7"/>
    <w:rsid w:val="00067D00"/>
    <w:rsid w:val="00067D49"/>
    <w:rsid w:val="00067D4A"/>
    <w:rsid w:val="00067D6B"/>
    <w:rsid w:val="00067DA1"/>
    <w:rsid w:val="00067E13"/>
    <w:rsid w:val="00067E27"/>
    <w:rsid w:val="00067E39"/>
    <w:rsid w:val="00067E5A"/>
    <w:rsid w:val="00067EC6"/>
    <w:rsid w:val="00067EF0"/>
    <w:rsid w:val="00067EFB"/>
    <w:rsid w:val="00067F14"/>
    <w:rsid w:val="00067F50"/>
    <w:rsid w:val="00067F53"/>
    <w:rsid w:val="00067FAD"/>
    <w:rsid w:val="00067FB2"/>
    <w:rsid w:val="00067FE3"/>
    <w:rsid w:val="00070024"/>
    <w:rsid w:val="000700AF"/>
    <w:rsid w:val="000700D2"/>
    <w:rsid w:val="00070100"/>
    <w:rsid w:val="00070101"/>
    <w:rsid w:val="00070103"/>
    <w:rsid w:val="00070124"/>
    <w:rsid w:val="0007014B"/>
    <w:rsid w:val="00070197"/>
    <w:rsid w:val="000701A0"/>
    <w:rsid w:val="000701A6"/>
    <w:rsid w:val="0007020B"/>
    <w:rsid w:val="00070223"/>
    <w:rsid w:val="0007023F"/>
    <w:rsid w:val="0007024F"/>
    <w:rsid w:val="00070277"/>
    <w:rsid w:val="0007029E"/>
    <w:rsid w:val="000702B2"/>
    <w:rsid w:val="000702F2"/>
    <w:rsid w:val="00070321"/>
    <w:rsid w:val="00070369"/>
    <w:rsid w:val="00070406"/>
    <w:rsid w:val="00070413"/>
    <w:rsid w:val="00070425"/>
    <w:rsid w:val="0007044C"/>
    <w:rsid w:val="00070477"/>
    <w:rsid w:val="00070489"/>
    <w:rsid w:val="00070498"/>
    <w:rsid w:val="0007049A"/>
    <w:rsid w:val="000704A3"/>
    <w:rsid w:val="000704B6"/>
    <w:rsid w:val="000704CF"/>
    <w:rsid w:val="00070520"/>
    <w:rsid w:val="00070530"/>
    <w:rsid w:val="00070543"/>
    <w:rsid w:val="00070571"/>
    <w:rsid w:val="000705B6"/>
    <w:rsid w:val="000705D9"/>
    <w:rsid w:val="000705E2"/>
    <w:rsid w:val="000705F4"/>
    <w:rsid w:val="0007062C"/>
    <w:rsid w:val="00070639"/>
    <w:rsid w:val="0007066B"/>
    <w:rsid w:val="00070678"/>
    <w:rsid w:val="0007068F"/>
    <w:rsid w:val="000706A3"/>
    <w:rsid w:val="0007074F"/>
    <w:rsid w:val="000707A8"/>
    <w:rsid w:val="000707AA"/>
    <w:rsid w:val="000707B8"/>
    <w:rsid w:val="000707C6"/>
    <w:rsid w:val="000707E4"/>
    <w:rsid w:val="0007081B"/>
    <w:rsid w:val="00070827"/>
    <w:rsid w:val="0007082A"/>
    <w:rsid w:val="0007083C"/>
    <w:rsid w:val="0007085A"/>
    <w:rsid w:val="00070861"/>
    <w:rsid w:val="0007086F"/>
    <w:rsid w:val="00070874"/>
    <w:rsid w:val="000708A1"/>
    <w:rsid w:val="000708F2"/>
    <w:rsid w:val="000708F3"/>
    <w:rsid w:val="00070956"/>
    <w:rsid w:val="000709C8"/>
    <w:rsid w:val="00070A61"/>
    <w:rsid w:val="00070A72"/>
    <w:rsid w:val="00070A85"/>
    <w:rsid w:val="00070ABE"/>
    <w:rsid w:val="00070B26"/>
    <w:rsid w:val="00070BC4"/>
    <w:rsid w:val="00070BC5"/>
    <w:rsid w:val="00070C33"/>
    <w:rsid w:val="00070C7A"/>
    <w:rsid w:val="00070C86"/>
    <w:rsid w:val="00070C99"/>
    <w:rsid w:val="00070CC1"/>
    <w:rsid w:val="00070CE4"/>
    <w:rsid w:val="00070CEA"/>
    <w:rsid w:val="00070CF8"/>
    <w:rsid w:val="00070CF9"/>
    <w:rsid w:val="00070D56"/>
    <w:rsid w:val="00070DB1"/>
    <w:rsid w:val="00070DB9"/>
    <w:rsid w:val="00070DE8"/>
    <w:rsid w:val="00070DFB"/>
    <w:rsid w:val="00070E25"/>
    <w:rsid w:val="00070E2A"/>
    <w:rsid w:val="00070E6C"/>
    <w:rsid w:val="00070E77"/>
    <w:rsid w:val="00070F47"/>
    <w:rsid w:val="00070F54"/>
    <w:rsid w:val="00070F70"/>
    <w:rsid w:val="00070FB7"/>
    <w:rsid w:val="00070FB9"/>
    <w:rsid w:val="00070FF5"/>
    <w:rsid w:val="00070FF7"/>
    <w:rsid w:val="00071008"/>
    <w:rsid w:val="00071023"/>
    <w:rsid w:val="00071029"/>
    <w:rsid w:val="0007102F"/>
    <w:rsid w:val="000710E5"/>
    <w:rsid w:val="0007118D"/>
    <w:rsid w:val="00071195"/>
    <w:rsid w:val="00071197"/>
    <w:rsid w:val="000711B7"/>
    <w:rsid w:val="000711CF"/>
    <w:rsid w:val="000711EF"/>
    <w:rsid w:val="00071227"/>
    <w:rsid w:val="00071293"/>
    <w:rsid w:val="00071312"/>
    <w:rsid w:val="000713C7"/>
    <w:rsid w:val="000713CB"/>
    <w:rsid w:val="000713F8"/>
    <w:rsid w:val="00071404"/>
    <w:rsid w:val="0007145A"/>
    <w:rsid w:val="0007154B"/>
    <w:rsid w:val="0007155F"/>
    <w:rsid w:val="00071593"/>
    <w:rsid w:val="000715B5"/>
    <w:rsid w:val="000715F0"/>
    <w:rsid w:val="0007167D"/>
    <w:rsid w:val="000716CB"/>
    <w:rsid w:val="000716E4"/>
    <w:rsid w:val="00071713"/>
    <w:rsid w:val="00071725"/>
    <w:rsid w:val="00071739"/>
    <w:rsid w:val="00071777"/>
    <w:rsid w:val="0007178B"/>
    <w:rsid w:val="0007179E"/>
    <w:rsid w:val="000717EC"/>
    <w:rsid w:val="00071873"/>
    <w:rsid w:val="0007189D"/>
    <w:rsid w:val="0007189E"/>
    <w:rsid w:val="000718AF"/>
    <w:rsid w:val="00071903"/>
    <w:rsid w:val="00071940"/>
    <w:rsid w:val="0007194A"/>
    <w:rsid w:val="00071956"/>
    <w:rsid w:val="000719D9"/>
    <w:rsid w:val="00071A47"/>
    <w:rsid w:val="00071AF3"/>
    <w:rsid w:val="00071B39"/>
    <w:rsid w:val="00071B65"/>
    <w:rsid w:val="00071B83"/>
    <w:rsid w:val="00071BA3"/>
    <w:rsid w:val="00071BD8"/>
    <w:rsid w:val="00071BEF"/>
    <w:rsid w:val="00071C30"/>
    <w:rsid w:val="00071C44"/>
    <w:rsid w:val="00071C98"/>
    <w:rsid w:val="00071CF0"/>
    <w:rsid w:val="00071D7B"/>
    <w:rsid w:val="00071D8B"/>
    <w:rsid w:val="00071D9A"/>
    <w:rsid w:val="00071DD3"/>
    <w:rsid w:val="00071E2A"/>
    <w:rsid w:val="00071E75"/>
    <w:rsid w:val="00071E87"/>
    <w:rsid w:val="00071E9E"/>
    <w:rsid w:val="00071F60"/>
    <w:rsid w:val="00071F78"/>
    <w:rsid w:val="0007204A"/>
    <w:rsid w:val="00072067"/>
    <w:rsid w:val="0007208A"/>
    <w:rsid w:val="000720E1"/>
    <w:rsid w:val="0007210F"/>
    <w:rsid w:val="0007212F"/>
    <w:rsid w:val="00072170"/>
    <w:rsid w:val="00072199"/>
    <w:rsid w:val="000721EF"/>
    <w:rsid w:val="0007225A"/>
    <w:rsid w:val="0007228E"/>
    <w:rsid w:val="000722C5"/>
    <w:rsid w:val="00072309"/>
    <w:rsid w:val="00072336"/>
    <w:rsid w:val="0007236D"/>
    <w:rsid w:val="00072372"/>
    <w:rsid w:val="00072379"/>
    <w:rsid w:val="000723D0"/>
    <w:rsid w:val="00072436"/>
    <w:rsid w:val="00072443"/>
    <w:rsid w:val="00072453"/>
    <w:rsid w:val="00072465"/>
    <w:rsid w:val="00072472"/>
    <w:rsid w:val="0007248B"/>
    <w:rsid w:val="000724AF"/>
    <w:rsid w:val="00072501"/>
    <w:rsid w:val="00072535"/>
    <w:rsid w:val="00072557"/>
    <w:rsid w:val="0007259A"/>
    <w:rsid w:val="000725D5"/>
    <w:rsid w:val="000725E2"/>
    <w:rsid w:val="000725EF"/>
    <w:rsid w:val="000725FD"/>
    <w:rsid w:val="00072619"/>
    <w:rsid w:val="00072624"/>
    <w:rsid w:val="00072663"/>
    <w:rsid w:val="0007266A"/>
    <w:rsid w:val="00072673"/>
    <w:rsid w:val="000726A1"/>
    <w:rsid w:val="000726A8"/>
    <w:rsid w:val="000726B8"/>
    <w:rsid w:val="000727BB"/>
    <w:rsid w:val="000727E0"/>
    <w:rsid w:val="00072830"/>
    <w:rsid w:val="0007286C"/>
    <w:rsid w:val="00072874"/>
    <w:rsid w:val="00072880"/>
    <w:rsid w:val="00072889"/>
    <w:rsid w:val="000728F5"/>
    <w:rsid w:val="0007294D"/>
    <w:rsid w:val="00072A00"/>
    <w:rsid w:val="00072A25"/>
    <w:rsid w:val="00072A38"/>
    <w:rsid w:val="00072ABC"/>
    <w:rsid w:val="00072B05"/>
    <w:rsid w:val="00072B20"/>
    <w:rsid w:val="00072B26"/>
    <w:rsid w:val="00072B4C"/>
    <w:rsid w:val="00072B50"/>
    <w:rsid w:val="00072B55"/>
    <w:rsid w:val="00072B67"/>
    <w:rsid w:val="00072B86"/>
    <w:rsid w:val="00072BA3"/>
    <w:rsid w:val="00072BC2"/>
    <w:rsid w:val="00072C29"/>
    <w:rsid w:val="00072C5A"/>
    <w:rsid w:val="00072C6D"/>
    <w:rsid w:val="00072CA5"/>
    <w:rsid w:val="00072CB4"/>
    <w:rsid w:val="00072CDD"/>
    <w:rsid w:val="00072D2F"/>
    <w:rsid w:val="00072D38"/>
    <w:rsid w:val="00072D3C"/>
    <w:rsid w:val="00072D41"/>
    <w:rsid w:val="00072D5A"/>
    <w:rsid w:val="00072DBB"/>
    <w:rsid w:val="00072DC0"/>
    <w:rsid w:val="00072DD5"/>
    <w:rsid w:val="00072DD8"/>
    <w:rsid w:val="00072E2B"/>
    <w:rsid w:val="00072E88"/>
    <w:rsid w:val="00072E91"/>
    <w:rsid w:val="00072EBE"/>
    <w:rsid w:val="00072EEB"/>
    <w:rsid w:val="00072F5A"/>
    <w:rsid w:val="00072FFD"/>
    <w:rsid w:val="00073068"/>
    <w:rsid w:val="000730BF"/>
    <w:rsid w:val="000730C1"/>
    <w:rsid w:val="0007311B"/>
    <w:rsid w:val="00073136"/>
    <w:rsid w:val="00073142"/>
    <w:rsid w:val="0007315D"/>
    <w:rsid w:val="00073170"/>
    <w:rsid w:val="00073172"/>
    <w:rsid w:val="0007318A"/>
    <w:rsid w:val="000731A8"/>
    <w:rsid w:val="000731C1"/>
    <w:rsid w:val="000731E0"/>
    <w:rsid w:val="00073216"/>
    <w:rsid w:val="00073220"/>
    <w:rsid w:val="00073221"/>
    <w:rsid w:val="00073237"/>
    <w:rsid w:val="0007323E"/>
    <w:rsid w:val="00073282"/>
    <w:rsid w:val="0007329F"/>
    <w:rsid w:val="000732A7"/>
    <w:rsid w:val="000732BC"/>
    <w:rsid w:val="00073304"/>
    <w:rsid w:val="00073308"/>
    <w:rsid w:val="00073323"/>
    <w:rsid w:val="0007332C"/>
    <w:rsid w:val="0007333B"/>
    <w:rsid w:val="00073388"/>
    <w:rsid w:val="0007339F"/>
    <w:rsid w:val="000733B0"/>
    <w:rsid w:val="000733BE"/>
    <w:rsid w:val="000733BF"/>
    <w:rsid w:val="000733D3"/>
    <w:rsid w:val="000733E7"/>
    <w:rsid w:val="0007340D"/>
    <w:rsid w:val="00073430"/>
    <w:rsid w:val="000734C3"/>
    <w:rsid w:val="0007350E"/>
    <w:rsid w:val="00073541"/>
    <w:rsid w:val="0007355F"/>
    <w:rsid w:val="0007356D"/>
    <w:rsid w:val="00073574"/>
    <w:rsid w:val="000735E0"/>
    <w:rsid w:val="00073602"/>
    <w:rsid w:val="0007362E"/>
    <w:rsid w:val="0007365F"/>
    <w:rsid w:val="00073663"/>
    <w:rsid w:val="0007366E"/>
    <w:rsid w:val="0007369D"/>
    <w:rsid w:val="000736B5"/>
    <w:rsid w:val="000736BB"/>
    <w:rsid w:val="0007372D"/>
    <w:rsid w:val="00073735"/>
    <w:rsid w:val="00073768"/>
    <w:rsid w:val="000737BB"/>
    <w:rsid w:val="000737F3"/>
    <w:rsid w:val="00073843"/>
    <w:rsid w:val="00073887"/>
    <w:rsid w:val="000738AE"/>
    <w:rsid w:val="000738E6"/>
    <w:rsid w:val="0007393B"/>
    <w:rsid w:val="00073960"/>
    <w:rsid w:val="0007397B"/>
    <w:rsid w:val="000739C1"/>
    <w:rsid w:val="000739FC"/>
    <w:rsid w:val="00073A55"/>
    <w:rsid w:val="00073A63"/>
    <w:rsid w:val="00073A98"/>
    <w:rsid w:val="00073ACE"/>
    <w:rsid w:val="00073AD7"/>
    <w:rsid w:val="00073B1F"/>
    <w:rsid w:val="00073B31"/>
    <w:rsid w:val="00073B52"/>
    <w:rsid w:val="00073B62"/>
    <w:rsid w:val="00073BD4"/>
    <w:rsid w:val="00073C0C"/>
    <w:rsid w:val="00073C23"/>
    <w:rsid w:val="00073C30"/>
    <w:rsid w:val="00073C85"/>
    <w:rsid w:val="00073CB9"/>
    <w:rsid w:val="00073D10"/>
    <w:rsid w:val="00073D43"/>
    <w:rsid w:val="00073D5A"/>
    <w:rsid w:val="00073D69"/>
    <w:rsid w:val="00073D90"/>
    <w:rsid w:val="00073DD3"/>
    <w:rsid w:val="00073DEC"/>
    <w:rsid w:val="00073DFF"/>
    <w:rsid w:val="00073E2C"/>
    <w:rsid w:val="00073E36"/>
    <w:rsid w:val="00073E54"/>
    <w:rsid w:val="00073ED1"/>
    <w:rsid w:val="00073EEE"/>
    <w:rsid w:val="00073F6A"/>
    <w:rsid w:val="00073F7D"/>
    <w:rsid w:val="00073F8C"/>
    <w:rsid w:val="00073FB2"/>
    <w:rsid w:val="00074002"/>
    <w:rsid w:val="00074027"/>
    <w:rsid w:val="00074038"/>
    <w:rsid w:val="00074081"/>
    <w:rsid w:val="000740A3"/>
    <w:rsid w:val="000740E9"/>
    <w:rsid w:val="00074134"/>
    <w:rsid w:val="00074135"/>
    <w:rsid w:val="00074162"/>
    <w:rsid w:val="00074181"/>
    <w:rsid w:val="0007418B"/>
    <w:rsid w:val="000741B4"/>
    <w:rsid w:val="000741C1"/>
    <w:rsid w:val="00074211"/>
    <w:rsid w:val="00074231"/>
    <w:rsid w:val="0007425C"/>
    <w:rsid w:val="000742B1"/>
    <w:rsid w:val="000742B7"/>
    <w:rsid w:val="0007431C"/>
    <w:rsid w:val="00074320"/>
    <w:rsid w:val="0007435C"/>
    <w:rsid w:val="00074397"/>
    <w:rsid w:val="000743D0"/>
    <w:rsid w:val="00074406"/>
    <w:rsid w:val="00074452"/>
    <w:rsid w:val="0007447F"/>
    <w:rsid w:val="00074561"/>
    <w:rsid w:val="000745AA"/>
    <w:rsid w:val="000745AB"/>
    <w:rsid w:val="000745B2"/>
    <w:rsid w:val="000745B7"/>
    <w:rsid w:val="000745DC"/>
    <w:rsid w:val="000746C2"/>
    <w:rsid w:val="00074728"/>
    <w:rsid w:val="00074750"/>
    <w:rsid w:val="00074783"/>
    <w:rsid w:val="000747BE"/>
    <w:rsid w:val="000747C0"/>
    <w:rsid w:val="000747D3"/>
    <w:rsid w:val="000747DB"/>
    <w:rsid w:val="0007482B"/>
    <w:rsid w:val="00074891"/>
    <w:rsid w:val="000748B2"/>
    <w:rsid w:val="000748B7"/>
    <w:rsid w:val="000748BE"/>
    <w:rsid w:val="000748D0"/>
    <w:rsid w:val="000748F6"/>
    <w:rsid w:val="0007490B"/>
    <w:rsid w:val="00074924"/>
    <w:rsid w:val="0007492A"/>
    <w:rsid w:val="0007492D"/>
    <w:rsid w:val="00074942"/>
    <w:rsid w:val="000749A3"/>
    <w:rsid w:val="00074A85"/>
    <w:rsid w:val="00074AB6"/>
    <w:rsid w:val="00074B09"/>
    <w:rsid w:val="00074B1F"/>
    <w:rsid w:val="00074B36"/>
    <w:rsid w:val="00074B7B"/>
    <w:rsid w:val="00074B9C"/>
    <w:rsid w:val="00074BAE"/>
    <w:rsid w:val="00074C0F"/>
    <w:rsid w:val="00074C12"/>
    <w:rsid w:val="00074C15"/>
    <w:rsid w:val="00074C23"/>
    <w:rsid w:val="00074C61"/>
    <w:rsid w:val="00074C9A"/>
    <w:rsid w:val="00074CA6"/>
    <w:rsid w:val="00074CF7"/>
    <w:rsid w:val="00074D32"/>
    <w:rsid w:val="00074D68"/>
    <w:rsid w:val="00074D6A"/>
    <w:rsid w:val="00074DD0"/>
    <w:rsid w:val="00074DEC"/>
    <w:rsid w:val="00074E05"/>
    <w:rsid w:val="00074E66"/>
    <w:rsid w:val="00074E73"/>
    <w:rsid w:val="00074E7C"/>
    <w:rsid w:val="00074ED5"/>
    <w:rsid w:val="00074EE6"/>
    <w:rsid w:val="00074EF5"/>
    <w:rsid w:val="00074F18"/>
    <w:rsid w:val="00074F2A"/>
    <w:rsid w:val="00074F4F"/>
    <w:rsid w:val="00074FD4"/>
    <w:rsid w:val="00075080"/>
    <w:rsid w:val="000750D4"/>
    <w:rsid w:val="000750F0"/>
    <w:rsid w:val="000750FA"/>
    <w:rsid w:val="00075103"/>
    <w:rsid w:val="00075105"/>
    <w:rsid w:val="000751D5"/>
    <w:rsid w:val="000751DF"/>
    <w:rsid w:val="000751E2"/>
    <w:rsid w:val="0007524B"/>
    <w:rsid w:val="00075259"/>
    <w:rsid w:val="00075285"/>
    <w:rsid w:val="0007529F"/>
    <w:rsid w:val="000752B1"/>
    <w:rsid w:val="000752CB"/>
    <w:rsid w:val="00075338"/>
    <w:rsid w:val="00075394"/>
    <w:rsid w:val="0007542D"/>
    <w:rsid w:val="0007542F"/>
    <w:rsid w:val="00075466"/>
    <w:rsid w:val="00075479"/>
    <w:rsid w:val="000754A8"/>
    <w:rsid w:val="000754B0"/>
    <w:rsid w:val="000754D7"/>
    <w:rsid w:val="000754FC"/>
    <w:rsid w:val="0007552C"/>
    <w:rsid w:val="0007557B"/>
    <w:rsid w:val="0007557D"/>
    <w:rsid w:val="000755CD"/>
    <w:rsid w:val="000755F5"/>
    <w:rsid w:val="00075622"/>
    <w:rsid w:val="00075628"/>
    <w:rsid w:val="0007562E"/>
    <w:rsid w:val="0007569E"/>
    <w:rsid w:val="000756AE"/>
    <w:rsid w:val="000756B0"/>
    <w:rsid w:val="00075706"/>
    <w:rsid w:val="0007571C"/>
    <w:rsid w:val="00075750"/>
    <w:rsid w:val="00075780"/>
    <w:rsid w:val="00075786"/>
    <w:rsid w:val="000757A3"/>
    <w:rsid w:val="000757B5"/>
    <w:rsid w:val="00075808"/>
    <w:rsid w:val="00075810"/>
    <w:rsid w:val="00075833"/>
    <w:rsid w:val="00075867"/>
    <w:rsid w:val="00075896"/>
    <w:rsid w:val="000758BE"/>
    <w:rsid w:val="00075907"/>
    <w:rsid w:val="00075956"/>
    <w:rsid w:val="0007595D"/>
    <w:rsid w:val="000759B5"/>
    <w:rsid w:val="000759CE"/>
    <w:rsid w:val="000759DA"/>
    <w:rsid w:val="00075AE2"/>
    <w:rsid w:val="00075B0B"/>
    <w:rsid w:val="00075B6A"/>
    <w:rsid w:val="00075B9E"/>
    <w:rsid w:val="00075BA9"/>
    <w:rsid w:val="00075BBA"/>
    <w:rsid w:val="00075BBC"/>
    <w:rsid w:val="00075BEE"/>
    <w:rsid w:val="00075CD8"/>
    <w:rsid w:val="00075CDB"/>
    <w:rsid w:val="00075CE4"/>
    <w:rsid w:val="00075CF0"/>
    <w:rsid w:val="00075DAA"/>
    <w:rsid w:val="00075DC8"/>
    <w:rsid w:val="00075DD8"/>
    <w:rsid w:val="00075E0E"/>
    <w:rsid w:val="00075E7E"/>
    <w:rsid w:val="00075E9A"/>
    <w:rsid w:val="00075EE8"/>
    <w:rsid w:val="00075F8B"/>
    <w:rsid w:val="00075F93"/>
    <w:rsid w:val="00075FFF"/>
    <w:rsid w:val="00076058"/>
    <w:rsid w:val="00076074"/>
    <w:rsid w:val="0007608D"/>
    <w:rsid w:val="000760B4"/>
    <w:rsid w:val="000760C8"/>
    <w:rsid w:val="000760D8"/>
    <w:rsid w:val="000760FE"/>
    <w:rsid w:val="00076122"/>
    <w:rsid w:val="00076191"/>
    <w:rsid w:val="000761A2"/>
    <w:rsid w:val="000761CB"/>
    <w:rsid w:val="000761E9"/>
    <w:rsid w:val="00076240"/>
    <w:rsid w:val="00076263"/>
    <w:rsid w:val="00076278"/>
    <w:rsid w:val="00076282"/>
    <w:rsid w:val="000762E1"/>
    <w:rsid w:val="000762F7"/>
    <w:rsid w:val="00076329"/>
    <w:rsid w:val="0007636E"/>
    <w:rsid w:val="00076387"/>
    <w:rsid w:val="000763A4"/>
    <w:rsid w:val="000763CB"/>
    <w:rsid w:val="000763CC"/>
    <w:rsid w:val="000763D2"/>
    <w:rsid w:val="000763F6"/>
    <w:rsid w:val="00076401"/>
    <w:rsid w:val="00076407"/>
    <w:rsid w:val="0007641B"/>
    <w:rsid w:val="00076499"/>
    <w:rsid w:val="000764AC"/>
    <w:rsid w:val="000764C5"/>
    <w:rsid w:val="000764E8"/>
    <w:rsid w:val="000764EC"/>
    <w:rsid w:val="00076518"/>
    <w:rsid w:val="00076574"/>
    <w:rsid w:val="000765D9"/>
    <w:rsid w:val="00076601"/>
    <w:rsid w:val="0007660B"/>
    <w:rsid w:val="00076648"/>
    <w:rsid w:val="0007666D"/>
    <w:rsid w:val="00076677"/>
    <w:rsid w:val="000766A0"/>
    <w:rsid w:val="000766BB"/>
    <w:rsid w:val="000766E1"/>
    <w:rsid w:val="00076709"/>
    <w:rsid w:val="0007670C"/>
    <w:rsid w:val="00076713"/>
    <w:rsid w:val="0007678B"/>
    <w:rsid w:val="0007678D"/>
    <w:rsid w:val="0007679D"/>
    <w:rsid w:val="000767E3"/>
    <w:rsid w:val="0007686C"/>
    <w:rsid w:val="00076881"/>
    <w:rsid w:val="00076910"/>
    <w:rsid w:val="00076925"/>
    <w:rsid w:val="00076960"/>
    <w:rsid w:val="00076963"/>
    <w:rsid w:val="0007697E"/>
    <w:rsid w:val="000769D2"/>
    <w:rsid w:val="00076A31"/>
    <w:rsid w:val="00076AA2"/>
    <w:rsid w:val="00076AAC"/>
    <w:rsid w:val="00076AE6"/>
    <w:rsid w:val="00076AF1"/>
    <w:rsid w:val="00076AFD"/>
    <w:rsid w:val="00076B24"/>
    <w:rsid w:val="00076B93"/>
    <w:rsid w:val="00076BBD"/>
    <w:rsid w:val="00076BFC"/>
    <w:rsid w:val="00076C3C"/>
    <w:rsid w:val="00076CD7"/>
    <w:rsid w:val="00076D01"/>
    <w:rsid w:val="00076D56"/>
    <w:rsid w:val="00076DA0"/>
    <w:rsid w:val="00076DC0"/>
    <w:rsid w:val="00076DCF"/>
    <w:rsid w:val="00076E17"/>
    <w:rsid w:val="00076E20"/>
    <w:rsid w:val="00076E35"/>
    <w:rsid w:val="00076E40"/>
    <w:rsid w:val="00076E8F"/>
    <w:rsid w:val="00076EBF"/>
    <w:rsid w:val="00076F01"/>
    <w:rsid w:val="00076F25"/>
    <w:rsid w:val="00076F2C"/>
    <w:rsid w:val="00076F8F"/>
    <w:rsid w:val="00076F9B"/>
    <w:rsid w:val="00076FBC"/>
    <w:rsid w:val="00077024"/>
    <w:rsid w:val="00077028"/>
    <w:rsid w:val="00077049"/>
    <w:rsid w:val="00077055"/>
    <w:rsid w:val="000770BB"/>
    <w:rsid w:val="00077100"/>
    <w:rsid w:val="00077121"/>
    <w:rsid w:val="00077123"/>
    <w:rsid w:val="00077179"/>
    <w:rsid w:val="0007719B"/>
    <w:rsid w:val="000771AC"/>
    <w:rsid w:val="000771B4"/>
    <w:rsid w:val="0007723B"/>
    <w:rsid w:val="0007724F"/>
    <w:rsid w:val="00077256"/>
    <w:rsid w:val="00077294"/>
    <w:rsid w:val="000772BC"/>
    <w:rsid w:val="000772D2"/>
    <w:rsid w:val="000772E3"/>
    <w:rsid w:val="000772FF"/>
    <w:rsid w:val="0007732C"/>
    <w:rsid w:val="0007734C"/>
    <w:rsid w:val="00077386"/>
    <w:rsid w:val="000773A5"/>
    <w:rsid w:val="000773AD"/>
    <w:rsid w:val="000773EB"/>
    <w:rsid w:val="0007747A"/>
    <w:rsid w:val="0007751F"/>
    <w:rsid w:val="0007758B"/>
    <w:rsid w:val="000775D0"/>
    <w:rsid w:val="000775D2"/>
    <w:rsid w:val="00077657"/>
    <w:rsid w:val="000776BC"/>
    <w:rsid w:val="000776C1"/>
    <w:rsid w:val="000776CE"/>
    <w:rsid w:val="000776EA"/>
    <w:rsid w:val="00077707"/>
    <w:rsid w:val="00077734"/>
    <w:rsid w:val="0007774A"/>
    <w:rsid w:val="0007774C"/>
    <w:rsid w:val="00077786"/>
    <w:rsid w:val="000777D5"/>
    <w:rsid w:val="000777F7"/>
    <w:rsid w:val="00077816"/>
    <w:rsid w:val="0007783C"/>
    <w:rsid w:val="00077890"/>
    <w:rsid w:val="00077895"/>
    <w:rsid w:val="000778C8"/>
    <w:rsid w:val="00077900"/>
    <w:rsid w:val="00077955"/>
    <w:rsid w:val="000779FD"/>
    <w:rsid w:val="00077A01"/>
    <w:rsid w:val="00077A2A"/>
    <w:rsid w:val="00077A3A"/>
    <w:rsid w:val="00077AB3"/>
    <w:rsid w:val="00077B17"/>
    <w:rsid w:val="00077B1B"/>
    <w:rsid w:val="00077B58"/>
    <w:rsid w:val="00077B87"/>
    <w:rsid w:val="00077C0B"/>
    <w:rsid w:val="00077C41"/>
    <w:rsid w:val="00077C8B"/>
    <w:rsid w:val="00077CAA"/>
    <w:rsid w:val="00077CC5"/>
    <w:rsid w:val="00077CDD"/>
    <w:rsid w:val="00077CEB"/>
    <w:rsid w:val="00077D08"/>
    <w:rsid w:val="00077D3D"/>
    <w:rsid w:val="00077D72"/>
    <w:rsid w:val="00077D8E"/>
    <w:rsid w:val="00077DA5"/>
    <w:rsid w:val="00077DC1"/>
    <w:rsid w:val="00077DD4"/>
    <w:rsid w:val="00077E28"/>
    <w:rsid w:val="00077E3B"/>
    <w:rsid w:val="00077E63"/>
    <w:rsid w:val="00077E97"/>
    <w:rsid w:val="00077E9F"/>
    <w:rsid w:val="00077ECF"/>
    <w:rsid w:val="00077F4D"/>
    <w:rsid w:val="0008003D"/>
    <w:rsid w:val="00080047"/>
    <w:rsid w:val="00080081"/>
    <w:rsid w:val="00080090"/>
    <w:rsid w:val="000800DF"/>
    <w:rsid w:val="00080134"/>
    <w:rsid w:val="0008013E"/>
    <w:rsid w:val="00080151"/>
    <w:rsid w:val="00080172"/>
    <w:rsid w:val="0008018F"/>
    <w:rsid w:val="000801AB"/>
    <w:rsid w:val="000801B0"/>
    <w:rsid w:val="000801C5"/>
    <w:rsid w:val="000801F1"/>
    <w:rsid w:val="0008020F"/>
    <w:rsid w:val="0008023D"/>
    <w:rsid w:val="0008025F"/>
    <w:rsid w:val="000802DC"/>
    <w:rsid w:val="00080335"/>
    <w:rsid w:val="0008038A"/>
    <w:rsid w:val="00080396"/>
    <w:rsid w:val="000803C9"/>
    <w:rsid w:val="00080431"/>
    <w:rsid w:val="00080447"/>
    <w:rsid w:val="000804AF"/>
    <w:rsid w:val="000804BB"/>
    <w:rsid w:val="000804BD"/>
    <w:rsid w:val="000804E1"/>
    <w:rsid w:val="00080523"/>
    <w:rsid w:val="0008053A"/>
    <w:rsid w:val="00080541"/>
    <w:rsid w:val="00080543"/>
    <w:rsid w:val="0008057B"/>
    <w:rsid w:val="000805D2"/>
    <w:rsid w:val="000805F1"/>
    <w:rsid w:val="00080609"/>
    <w:rsid w:val="00080621"/>
    <w:rsid w:val="00080638"/>
    <w:rsid w:val="0008063D"/>
    <w:rsid w:val="0008066A"/>
    <w:rsid w:val="000806AE"/>
    <w:rsid w:val="000806AF"/>
    <w:rsid w:val="000806F2"/>
    <w:rsid w:val="000807AF"/>
    <w:rsid w:val="000807CE"/>
    <w:rsid w:val="000807ED"/>
    <w:rsid w:val="00080805"/>
    <w:rsid w:val="000808DA"/>
    <w:rsid w:val="00080930"/>
    <w:rsid w:val="00080996"/>
    <w:rsid w:val="0008099B"/>
    <w:rsid w:val="0008099D"/>
    <w:rsid w:val="000809B1"/>
    <w:rsid w:val="000809DE"/>
    <w:rsid w:val="00080A59"/>
    <w:rsid w:val="00080A67"/>
    <w:rsid w:val="00080A8C"/>
    <w:rsid w:val="00080AD8"/>
    <w:rsid w:val="00080AFC"/>
    <w:rsid w:val="00080B0E"/>
    <w:rsid w:val="00080BA3"/>
    <w:rsid w:val="00080BD1"/>
    <w:rsid w:val="00080BEB"/>
    <w:rsid w:val="00080C05"/>
    <w:rsid w:val="00080C61"/>
    <w:rsid w:val="00080C7D"/>
    <w:rsid w:val="00080C7E"/>
    <w:rsid w:val="00080CA1"/>
    <w:rsid w:val="00080CEB"/>
    <w:rsid w:val="00080D0E"/>
    <w:rsid w:val="00080D1A"/>
    <w:rsid w:val="00080D4A"/>
    <w:rsid w:val="00080D50"/>
    <w:rsid w:val="00080D5E"/>
    <w:rsid w:val="00080D8C"/>
    <w:rsid w:val="00080DB9"/>
    <w:rsid w:val="00080DD7"/>
    <w:rsid w:val="00080DE9"/>
    <w:rsid w:val="00080E0F"/>
    <w:rsid w:val="00080E22"/>
    <w:rsid w:val="00080E47"/>
    <w:rsid w:val="00080E5E"/>
    <w:rsid w:val="00080E7A"/>
    <w:rsid w:val="00080E96"/>
    <w:rsid w:val="00080F00"/>
    <w:rsid w:val="00080F78"/>
    <w:rsid w:val="00080FAC"/>
    <w:rsid w:val="00080FC3"/>
    <w:rsid w:val="0008103B"/>
    <w:rsid w:val="000810D8"/>
    <w:rsid w:val="00081127"/>
    <w:rsid w:val="0008113C"/>
    <w:rsid w:val="0008119F"/>
    <w:rsid w:val="000811B9"/>
    <w:rsid w:val="000811CF"/>
    <w:rsid w:val="000811D9"/>
    <w:rsid w:val="000811E5"/>
    <w:rsid w:val="000811EA"/>
    <w:rsid w:val="00081206"/>
    <w:rsid w:val="0008129B"/>
    <w:rsid w:val="000812F5"/>
    <w:rsid w:val="0008135C"/>
    <w:rsid w:val="00081391"/>
    <w:rsid w:val="000813A7"/>
    <w:rsid w:val="000813B8"/>
    <w:rsid w:val="000813FF"/>
    <w:rsid w:val="00081430"/>
    <w:rsid w:val="00081459"/>
    <w:rsid w:val="0008146A"/>
    <w:rsid w:val="000814C5"/>
    <w:rsid w:val="000814E8"/>
    <w:rsid w:val="000814EF"/>
    <w:rsid w:val="0008150C"/>
    <w:rsid w:val="0008150E"/>
    <w:rsid w:val="00081540"/>
    <w:rsid w:val="00081556"/>
    <w:rsid w:val="00081621"/>
    <w:rsid w:val="00081678"/>
    <w:rsid w:val="000816BC"/>
    <w:rsid w:val="000816C0"/>
    <w:rsid w:val="000816C1"/>
    <w:rsid w:val="000816C4"/>
    <w:rsid w:val="000816E5"/>
    <w:rsid w:val="000816EE"/>
    <w:rsid w:val="0008170D"/>
    <w:rsid w:val="00081714"/>
    <w:rsid w:val="00081748"/>
    <w:rsid w:val="000817EA"/>
    <w:rsid w:val="000817F2"/>
    <w:rsid w:val="00081816"/>
    <w:rsid w:val="0008185C"/>
    <w:rsid w:val="00081878"/>
    <w:rsid w:val="0008188F"/>
    <w:rsid w:val="000818C0"/>
    <w:rsid w:val="00081933"/>
    <w:rsid w:val="00081964"/>
    <w:rsid w:val="000819BA"/>
    <w:rsid w:val="000819FC"/>
    <w:rsid w:val="00081A5B"/>
    <w:rsid w:val="00081A79"/>
    <w:rsid w:val="00081ADB"/>
    <w:rsid w:val="00081AFF"/>
    <w:rsid w:val="00081B13"/>
    <w:rsid w:val="00081B8A"/>
    <w:rsid w:val="00081BAA"/>
    <w:rsid w:val="00081BB1"/>
    <w:rsid w:val="00081BC6"/>
    <w:rsid w:val="00081C3C"/>
    <w:rsid w:val="00081C86"/>
    <w:rsid w:val="00081C87"/>
    <w:rsid w:val="00081C8E"/>
    <w:rsid w:val="00081CB1"/>
    <w:rsid w:val="00081CEB"/>
    <w:rsid w:val="00081D22"/>
    <w:rsid w:val="00081D37"/>
    <w:rsid w:val="00081D5B"/>
    <w:rsid w:val="00081D88"/>
    <w:rsid w:val="00081D8A"/>
    <w:rsid w:val="00081DAA"/>
    <w:rsid w:val="00081DC6"/>
    <w:rsid w:val="00081E0C"/>
    <w:rsid w:val="00081E0D"/>
    <w:rsid w:val="00081E2B"/>
    <w:rsid w:val="00081E59"/>
    <w:rsid w:val="00081E95"/>
    <w:rsid w:val="00081EED"/>
    <w:rsid w:val="00081F29"/>
    <w:rsid w:val="00081F3F"/>
    <w:rsid w:val="00081F41"/>
    <w:rsid w:val="00081F78"/>
    <w:rsid w:val="0008200B"/>
    <w:rsid w:val="00082023"/>
    <w:rsid w:val="0008202F"/>
    <w:rsid w:val="00082053"/>
    <w:rsid w:val="000820A9"/>
    <w:rsid w:val="000820CB"/>
    <w:rsid w:val="000820DE"/>
    <w:rsid w:val="000820E1"/>
    <w:rsid w:val="000820EA"/>
    <w:rsid w:val="0008211F"/>
    <w:rsid w:val="0008215D"/>
    <w:rsid w:val="00082167"/>
    <w:rsid w:val="000821B9"/>
    <w:rsid w:val="000821BB"/>
    <w:rsid w:val="000821CE"/>
    <w:rsid w:val="000821DA"/>
    <w:rsid w:val="0008221C"/>
    <w:rsid w:val="00082275"/>
    <w:rsid w:val="0008227B"/>
    <w:rsid w:val="0008228C"/>
    <w:rsid w:val="0008229D"/>
    <w:rsid w:val="000822BF"/>
    <w:rsid w:val="00082333"/>
    <w:rsid w:val="0008234A"/>
    <w:rsid w:val="000823C2"/>
    <w:rsid w:val="000823C8"/>
    <w:rsid w:val="000823CA"/>
    <w:rsid w:val="000823FC"/>
    <w:rsid w:val="00082422"/>
    <w:rsid w:val="0008243D"/>
    <w:rsid w:val="00082491"/>
    <w:rsid w:val="00082494"/>
    <w:rsid w:val="00082499"/>
    <w:rsid w:val="000824CD"/>
    <w:rsid w:val="0008253D"/>
    <w:rsid w:val="00082596"/>
    <w:rsid w:val="000825BA"/>
    <w:rsid w:val="000825F6"/>
    <w:rsid w:val="00082641"/>
    <w:rsid w:val="0008264B"/>
    <w:rsid w:val="0008268C"/>
    <w:rsid w:val="000826F5"/>
    <w:rsid w:val="00082709"/>
    <w:rsid w:val="0008270C"/>
    <w:rsid w:val="00082720"/>
    <w:rsid w:val="00082835"/>
    <w:rsid w:val="00082892"/>
    <w:rsid w:val="000828BB"/>
    <w:rsid w:val="000828D2"/>
    <w:rsid w:val="0008291C"/>
    <w:rsid w:val="000829A8"/>
    <w:rsid w:val="000829DB"/>
    <w:rsid w:val="000829FF"/>
    <w:rsid w:val="00082A03"/>
    <w:rsid w:val="00082A08"/>
    <w:rsid w:val="00082A0F"/>
    <w:rsid w:val="00082A14"/>
    <w:rsid w:val="00082A47"/>
    <w:rsid w:val="00082A84"/>
    <w:rsid w:val="00082AA0"/>
    <w:rsid w:val="00082AB9"/>
    <w:rsid w:val="00082AD7"/>
    <w:rsid w:val="00082BC8"/>
    <w:rsid w:val="00082BD5"/>
    <w:rsid w:val="00082C00"/>
    <w:rsid w:val="00082C1B"/>
    <w:rsid w:val="00082C3B"/>
    <w:rsid w:val="00082C61"/>
    <w:rsid w:val="00082C64"/>
    <w:rsid w:val="00082C74"/>
    <w:rsid w:val="00082CB2"/>
    <w:rsid w:val="00082CB7"/>
    <w:rsid w:val="00082CC9"/>
    <w:rsid w:val="00082CDA"/>
    <w:rsid w:val="00082CF9"/>
    <w:rsid w:val="00082D55"/>
    <w:rsid w:val="00082D9B"/>
    <w:rsid w:val="00082DD6"/>
    <w:rsid w:val="00082DDE"/>
    <w:rsid w:val="00082DF3"/>
    <w:rsid w:val="00082E19"/>
    <w:rsid w:val="00082E25"/>
    <w:rsid w:val="00082E2C"/>
    <w:rsid w:val="00082E55"/>
    <w:rsid w:val="00082E67"/>
    <w:rsid w:val="00082EA9"/>
    <w:rsid w:val="00082EBC"/>
    <w:rsid w:val="00082EEB"/>
    <w:rsid w:val="00082F34"/>
    <w:rsid w:val="00082F4F"/>
    <w:rsid w:val="00082F55"/>
    <w:rsid w:val="00082F64"/>
    <w:rsid w:val="00082F7C"/>
    <w:rsid w:val="00082F93"/>
    <w:rsid w:val="00082FB9"/>
    <w:rsid w:val="00083000"/>
    <w:rsid w:val="0008306B"/>
    <w:rsid w:val="00083084"/>
    <w:rsid w:val="000830B6"/>
    <w:rsid w:val="000830CA"/>
    <w:rsid w:val="000830D1"/>
    <w:rsid w:val="0008319D"/>
    <w:rsid w:val="000831F5"/>
    <w:rsid w:val="0008324E"/>
    <w:rsid w:val="00083263"/>
    <w:rsid w:val="00083280"/>
    <w:rsid w:val="00083304"/>
    <w:rsid w:val="00083312"/>
    <w:rsid w:val="00083334"/>
    <w:rsid w:val="00083343"/>
    <w:rsid w:val="00083356"/>
    <w:rsid w:val="0008335B"/>
    <w:rsid w:val="0008335D"/>
    <w:rsid w:val="000833A5"/>
    <w:rsid w:val="00083485"/>
    <w:rsid w:val="000834AC"/>
    <w:rsid w:val="000834CC"/>
    <w:rsid w:val="000834E4"/>
    <w:rsid w:val="000834F2"/>
    <w:rsid w:val="000834FF"/>
    <w:rsid w:val="00083502"/>
    <w:rsid w:val="00083537"/>
    <w:rsid w:val="00083555"/>
    <w:rsid w:val="00083572"/>
    <w:rsid w:val="000835A3"/>
    <w:rsid w:val="00083603"/>
    <w:rsid w:val="0008362A"/>
    <w:rsid w:val="0008363A"/>
    <w:rsid w:val="0008364D"/>
    <w:rsid w:val="00083655"/>
    <w:rsid w:val="00083672"/>
    <w:rsid w:val="0008368F"/>
    <w:rsid w:val="000836EA"/>
    <w:rsid w:val="00083719"/>
    <w:rsid w:val="00083733"/>
    <w:rsid w:val="0008378F"/>
    <w:rsid w:val="000837B1"/>
    <w:rsid w:val="000837FD"/>
    <w:rsid w:val="00083806"/>
    <w:rsid w:val="00083839"/>
    <w:rsid w:val="00083844"/>
    <w:rsid w:val="00083897"/>
    <w:rsid w:val="0008389B"/>
    <w:rsid w:val="000838A4"/>
    <w:rsid w:val="000838A5"/>
    <w:rsid w:val="00083904"/>
    <w:rsid w:val="00083909"/>
    <w:rsid w:val="00083912"/>
    <w:rsid w:val="00083950"/>
    <w:rsid w:val="00083976"/>
    <w:rsid w:val="0008398B"/>
    <w:rsid w:val="0008398C"/>
    <w:rsid w:val="000839BC"/>
    <w:rsid w:val="000839CD"/>
    <w:rsid w:val="000839D2"/>
    <w:rsid w:val="000839E1"/>
    <w:rsid w:val="00083A03"/>
    <w:rsid w:val="00083A1E"/>
    <w:rsid w:val="00083A28"/>
    <w:rsid w:val="00083A99"/>
    <w:rsid w:val="00083A9E"/>
    <w:rsid w:val="00083ABB"/>
    <w:rsid w:val="00083B11"/>
    <w:rsid w:val="00083B53"/>
    <w:rsid w:val="00083B6F"/>
    <w:rsid w:val="00083B8A"/>
    <w:rsid w:val="00083BD4"/>
    <w:rsid w:val="00083C16"/>
    <w:rsid w:val="00083C1F"/>
    <w:rsid w:val="00083C22"/>
    <w:rsid w:val="00083C51"/>
    <w:rsid w:val="00083C6F"/>
    <w:rsid w:val="00083C93"/>
    <w:rsid w:val="00083C95"/>
    <w:rsid w:val="00083CCA"/>
    <w:rsid w:val="00083D0A"/>
    <w:rsid w:val="00083D1E"/>
    <w:rsid w:val="00083D37"/>
    <w:rsid w:val="00083D51"/>
    <w:rsid w:val="00083D6E"/>
    <w:rsid w:val="00083DA2"/>
    <w:rsid w:val="00083DB2"/>
    <w:rsid w:val="00083E59"/>
    <w:rsid w:val="00083E95"/>
    <w:rsid w:val="00083E9D"/>
    <w:rsid w:val="00083F09"/>
    <w:rsid w:val="00083FA5"/>
    <w:rsid w:val="00083FF4"/>
    <w:rsid w:val="00084018"/>
    <w:rsid w:val="00084081"/>
    <w:rsid w:val="00084090"/>
    <w:rsid w:val="00084174"/>
    <w:rsid w:val="00084183"/>
    <w:rsid w:val="000841AC"/>
    <w:rsid w:val="000841BA"/>
    <w:rsid w:val="000841FA"/>
    <w:rsid w:val="00084283"/>
    <w:rsid w:val="0008429E"/>
    <w:rsid w:val="000842E1"/>
    <w:rsid w:val="000842F3"/>
    <w:rsid w:val="000842F6"/>
    <w:rsid w:val="00084315"/>
    <w:rsid w:val="00084323"/>
    <w:rsid w:val="00084333"/>
    <w:rsid w:val="00084341"/>
    <w:rsid w:val="00084370"/>
    <w:rsid w:val="00084384"/>
    <w:rsid w:val="00084393"/>
    <w:rsid w:val="000843C3"/>
    <w:rsid w:val="0008443B"/>
    <w:rsid w:val="0008443C"/>
    <w:rsid w:val="000844A1"/>
    <w:rsid w:val="000844B0"/>
    <w:rsid w:val="000844D7"/>
    <w:rsid w:val="00084512"/>
    <w:rsid w:val="0008452F"/>
    <w:rsid w:val="00084538"/>
    <w:rsid w:val="00084575"/>
    <w:rsid w:val="0008457D"/>
    <w:rsid w:val="0008459C"/>
    <w:rsid w:val="000845DF"/>
    <w:rsid w:val="000845E4"/>
    <w:rsid w:val="00084651"/>
    <w:rsid w:val="00084657"/>
    <w:rsid w:val="00084662"/>
    <w:rsid w:val="00084672"/>
    <w:rsid w:val="000846BA"/>
    <w:rsid w:val="000846C7"/>
    <w:rsid w:val="000847CA"/>
    <w:rsid w:val="000847D2"/>
    <w:rsid w:val="0008487F"/>
    <w:rsid w:val="000848D3"/>
    <w:rsid w:val="000848DB"/>
    <w:rsid w:val="000848DE"/>
    <w:rsid w:val="000848EE"/>
    <w:rsid w:val="00084902"/>
    <w:rsid w:val="00084923"/>
    <w:rsid w:val="0008493D"/>
    <w:rsid w:val="00084982"/>
    <w:rsid w:val="0008498B"/>
    <w:rsid w:val="00084A0C"/>
    <w:rsid w:val="00084A1E"/>
    <w:rsid w:val="00084A22"/>
    <w:rsid w:val="00084A25"/>
    <w:rsid w:val="00084A4F"/>
    <w:rsid w:val="00084AA2"/>
    <w:rsid w:val="00084ACC"/>
    <w:rsid w:val="00084AFE"/>
    <w:rsid w:val="00084B53"/>
    <w:rsid w:val="00084B5C"/>
    <w:rsid w:val="00084BB5"/>
    <w:rsid w:val="00084BC3"/>
    <w:rsid w:val="00084BD6"/>
    <w:rsid w:val="00084C35"/>
    <w:rsid w:val="00084C38"/>
    <w:rsid w:val="00084C76"/>
    <w:rsid w:val="00084CF5"/>
    <w:rsid w:val="00084D0D"/>
    <w:rsid w:val="00084D5E"/>
    <w:rsid w:val="00084D98"/>
    <w:rsid w:val="00084DB3"/>
    <w:rsid w:val="00084E4F"/>
    <w:rsid w:val="00084E7B"/>
    <w:rsid w:val="00084E8A"/>
    <w:rsid w:val="00084EB3"/>
    <w:rsid w:val="00084ED2"/>
    <w:rsid w:val="00084EE9"/>
    <w:rsid w:val="00084F04"/>
    <w:rsid w:val="00084F11"/>
    <w:rsid w:val="00084F1D"/>
    <w:rsid w:val="00084FA4"/>
    <w:rsid w:val="00084FAF"/>
    <w:rsid w:val="00084FE0"/>
    <w:rsid w:val="00084FEB"/>
    <w:rsid w:val="00085008"/>
    <w:rsid w:val="0008504D"/>
    <w:rsid w:val="00085083"/>
    <w:rsid w:val="0008509F"/>
    <w:rsid w:val="000850AF"/>
    <w:rsid w:val="000850C9"/>
    <w:rsid w:val="000850FE"/>
    <w:rsid w:val="00085101"/>
    <w:rsid w:val="00085109"/>
    <w:rsid w:val="00085127"/>
    <w:rsid w:val="0008517F"/>
    <w:rsid w:val="000851B1"/>
    <w:rsid w:val="000851C0"/>
    <w:rsid w:val="000851CA"/>
    <w:rsid w:val="000851F1"/>
    <w:rsid w:val="00085226"/>
    <w:rsid w:val="00085248"/>
    <w:rsid w:val="0008525A"/>
    <w:rsid w:val="0008525B"/>
    <w:rsid w:val="00085290"/>
    <w:rsid w:val="000852D1"/>
    <w:rsid w:val="0008538D"/>
    <w:rsid w:val="00085427"/>
    <w:rsid w:val="00085476"/>
    <w:rsid w:val="00085480"/>
    <w:rsid w:val="00085490"/>
    <w:rsid w:val="00085497"/>
    <w:rsid w:val="000854A4"/>
    <w:rsid w:val="000854FE"/>
    <w:rsid w:val="0008551F"/>
    <w:rsid w:val="0008554F"/>
    <w:rsid w:val="00085558"/>
    <w:rsid w:val="00085580"/>
    <w:rsid w:val="000855BB"/>
    <w:rsid w:val="000855E7"/>
    <w:rsid w:val="00085648"/>
    <w:rsid w:val="0008565E"/>
    <w:rsid w:val="00085692"/>
    <w:rsid w:val="000856DC"/>
    <w:rsid w:val="000856FC"/>
    <w:rsid w:val="0008570D"/>
    <w:rsid w:val="0008573A"/>
    <w:rsid w:val="00085787"/>
    <w:rsid w:val="00085795"/>
    <w:rsid w:val="000857BF"/>
    <w:rsid w:val="000857C3"/>
    <w:rsid w:val="000857D0"/>
    <w:rsid w:val="000857DD"/>
    <w:rsid w:val="0008580B"/>
    <w:rsid w:val="0008581F"/>
    <w:rsid w:val="0008586F"/>
    <w:rsid w:val="00085935"/>
    <w:rsid w:val="0008597E"/>
    <w:rsid w:val="00085988"/>
    <w:rsid w:val="000859CF"/>
    <w:rsid w:val="00085A00"/>
    <w:rsid w:val="00085A4E"/>
    <w:rsid w:val="00085A70"/>
    <w:rsid w:val="00085A8B"/>
    <w:rsid w:val="00085A97"/>
    <w:rsid w:val="00085ABB"/>
    <w:rsid w:val="00085AC1"/>
    <w:rsid w:val="00085B28"/>
    <w:rsid w:val="00085BDE"/>
    <w:rsid w:val="00085C17"/>
    <w:rsid w:val="00085C32"/>
    <w:rsid w:val="00085C67"/>
    <w:rsid w:val="00085C7B"/>
    <w:rsid w:val="00085C80"/>
    <w:rsid w:val="00085C97"/>
    <w:rsid w:val="00085CF3"/>
    <w:rsid w:val="00085D48"/>
    <w:rsid w:val="00085D4E"/>
    <w:rsid w:val="00085D60"/>
    <w:rsid w:val="00085D6F"/>
    <w:rsid w:val="00085DB2"/>
    <w:rsid w:val="00085DD2"/>
    <w:rsid w:val="00085DEF"/>
    <w:rsid w:val="00085DFB"/>
    <w:rsid w:val="00085E54"/>
    <w:rsid w:val="00085E9D"/>
    <w:rsid w:val="00085ECC"/>
    <w:rsid w:val="00085EEF"/>
    <w:rsid w:val="00085F4D"/>
    <w:rsid w:val="00085F64"/>
    <w:rsid w:val="00085FDB"/>
    <w:rsid w:val="0008609D"/>
    <w:rsid w:val="000860D4"/>
    <w:rsid w:val="000860E1"/>
    <w:rsid w:val="000860E5"/>
    <w:rsid w:val="00086100"/>
    <w:rsid w:val="0008615D"/>
    <w:rsid w:val="0008616C"/>
    <w:rsid w:val="000861EE"/>
    <w:rsid w:val="00086233"/>
    <w:rsid w:val="00086244"/>
    <w:rsid w:val="00086274"/>
    <w:rsid w:val="000862DE"/>
    <w:rsid w:val="000862F5"/>
    <w:rsid w:val="0008630B"/>
    <w:rsid w:val="00086328"/>
    <w:rsid w:val="0008632D"/>
    <w:rsid w:val="00086390"/>
    <w:rsid w:val="0008639B"/>
    <w:rsid w:val="000863FD"/>
    <w:rsid w:val="00086414"/>
    <w:rsid w:val="00086459"/>
    <w:rsid w:val="00086545"/>
    <w:rsid w:val="00086583"/>
    <w:rsid w:val="000865A6"/>
    <w:rsid w:val="000865E8"/>
    <w:rsid w:val="000865EA"/>
    <w:rsid w:val="0008660C"/>
    <w:rsid w:val="0008661E"/>
    <w:rsid w:val="00086635"/>
    <w:rsid w:val="00086643"/>
    <w:rsid w:val="00086700"/>
    <w:rsid w:val="0008672A"/>
    <w:rsid w:val="0008676D"/>
    <w:rsid w:val="0008677C"/>
    <w:rsid w:val="000867B3"/>
    <w:rsid w:val="000867EC"/>
    <w:rsid w:val="00086842"/>
    <w:rsid w:val="00086878"/>
    <w:rsid w:val="0008687F"/>
    <w:rsid w:val="00086887"/>
    <w:rsid w:val="000868C0"/>
    <w:rsid w:val="00086958"/>
    <w:rsid w:val="0008696D"/>
    <w:rsid w:val="00086985"/>
    <w:rsid w:val="000869C9"/>
    <w:rsid w:val="00086A08"/>
    <w:rsid w:val="00086A28"/>
    <w:rsid w:val="00086A54"/>
    <w:rsid w:val="00086A60"/>
    <w:rsid w:val="00086A6B"/>
    <w:rsid w:val="00086A89"/>
    <w:rsid w:val="00086AA9"/>
    <w:rsid w:val="00086ADC"/>
    <w:rsid w:val="00086AEE"/>
    <w:rsid w:val="00086B1E"/>
    <w:rsid w:val="00086B2B"/>
    <w:rsid w:val="00086B48"/>
    <w:rsid w:val="00086B4B"/>
    <w:rsid w:val="00086B5F"/>
    <w:rsid w:val="00086B6C"/>
    <w:rsid w:val="00086B7B"/>
    <w:rsid w:val="00086B8C"/>
    <w:rsid w:val="00086B93"/>
    <w:rsid w:val="00086BAA"/>
    <w:rsid w:val="00086C18"/>
    <w:rsid w:val="00086C40"/>
    <w:rsid w:val="00086C51"/>
    <w:rsid w:val="00086C57"/>
    <w:rsid w:val="00086C77"/>
    <w:rsid w:val="00086CC9"/>
    <w:rsid w:val="00086CE9"/>
    <w:rsid w:val="00086CFF"/>
    <w:rsid w:val="00086D18"/>
    <w:rsid w:val="00086D63"/>
    <w:rsid w:val="00086D7F"/>
    <w:rsid w:val="00086DE6"/>
    <w:rsid w:val="00086E7C"/>
    <w:rsid w:val="00086E9F"/>
    <w:rsid w:val="00086EC7"/>
    <w:rsid w:val="00086EE2"/>
    <w:rsid w:val="00086F63"/>
    <w:rsid w:val="00086F83"/>
    <w:rsid w:val="00086FC3"/>
    <w:rsid w:val="00086FC9"/>
    <w:rsid w:val="00086FD2"/>
    <w:rsid w:val="00086FD7"/>
    <w:rsid w:val="00086FF0"/>
    <w:rsid w:val="00086FF3"/>
    <w:rsid w:val="0008700A"/>
    <w:rsid w:val="0008709E"/>
    <w:rsid w:val="0008713C"/>
    <w:rsid w:val="00087168"/>
    <w:rsid w:val="0008717D"/>
    <w:rsid w:val="00087185"/>
    <w:rsid w:val="000871C7"/>
    <w:rsid w:val="000871C8"/>
    <w:rsid w:val="000871CE"/>
    <w:rsid w:val="00087217"/>
    <w:rsid w:val="0008725B"/>
    <w:rsid w:val="0008726A"/>
    <w:rsid w:val="00087317"/>
    <w:rsid w:val="00087362"/>
    <w:rsid w:val="00087367"/>
    <w:rsid w:val="00087398"/>
    <w:rsid w:val="000873AD"/>
    <w:rsid w:val="000873B1"/>
    <w:rsid w:val="000873E6"/>
    <w:rsid w:val="000873F2"/>
    <w:rsid w:val="000873F9"/>
    <w:rsid w:val="00087438"/>
    <w:rsid w:val="00087448"/>
    <w:rsid w:val="0008748E"/>
    <w:rsid w:val="000874A2"/>
    <w:rsid w:val="000874F1"/>
    <w:rsid w:val="00087508"/>
    <w:rsid w:val="0008752B"/>
    <w:rsid w:val="00087542"/>
    <w:rsid w:val="00087612"/>
    <w:rsid w:val="00087655"/>
    <w:rsid w:val="000876C5"/>
    <w:rsid w:val="00087743"/>
    <w:rsid w:val="0008776A"/>
    <w:rsid w:val="0008779A"/>
    <w:rsid w:val="000877CC"/>
    <w:rsid w:val="000877EF"/>
    <w:rsid w:val="0008780A"/>
    <w:rsid w:val="0008781F"/>
    <w:rsid w:val="00087826"/>
    <w:rsid w:val="00087835"/>
    <w:rsid w:val="0008786D"/>
    <w:rsid w:val="00087897"/>
    <w:rsid w:val="000878E0"/>
    <w:rsid w:val="000878E1"/>
    <w:rsid w:val="000878F7"/>
    <w:rsid w:val="0008790B"/>
    <w:rsid w:val="0008791D"/>
    <w:rsid w:val="00087925"/>
    <w:rsid w:val="00087951"/>
    <w:rsid w:val="00087997"/>
    <w:rsid w:val="000879E6"/>
    <w:rsid w:val="00087A0A"/>
    <w:rsid w:val="00087A7D"/>
    <w:rsid w:val="00087AFF"/>
    <w:rsid w:val="00087B24"/>
    <w:rsid w:val="00087B63"/>
    <w:rsid w:val="00087BA9"/>
    <w:rsid w:val="00087BAD"/>
    <w:rsid w:val="00087BDB"/>
    <w:rsid w:val="00087BE9"/>
    <w:rsid w:val="00087BFA"/>
    <w:rsid w:val="00087C05"/>
    <w:rsid w:val="00087C0E"/>
    <w:rsid w:val="00087C2F"/>
    <w:rsid w:val="00087C6C"/>
    <w:rsid w:val="00087C9C"/>
    <w:rsid w:val="00087CF6"/>
    <w:rsid w:val="00087D07"/>
    <w:rsid w:val="00087D60"/>
    <w:rsid w:val="00087DDC"/>
    <w:rsid w:val="00087E06"/>
    <w:rsid w:val="00087E52"/>
    <w:rsid w:val="00087E8F"/>
    <w:rsid w:val="00087F30"/>
    <w:rsid w:val="00087F31"/>
    <w:rsid w:val="00087FBA"/>
    <w:rsid w:val="0009000C"/>
    <w:rsid w:val="00090015"/>
    <w:rsid w:val="0009003F"/>
    <w:rsid w:val="00090077"/>
    <w:rsid w:val="000900A2"/>
    <w:rsid w:val="000900BD"/>
    <w:rsid w:val="0009016D"/>
    <w:rsid w:val="00090178"/>
    <w:rsid w:val="00090195"/>
    <w:rsid w:val="000901A1"/>
    <w:rsid w:val="000901A7"/>
    <w:rsid w:val="000901CD"/>
    <w:rsid w:val="000901D4"/>
    <w:rsid w:val="000901D6"/>
    <w:rsid w:val="00090242"/>
    <w:rsid w:val="00090244"/>
    <w:rsid w:val="0009027F"/>
    <w:rsid w:val="000902AF"/>
    <w:rsid w:val="00090304"/>
    <w:rsid w:val="00090366"/>
    <w:rsid w:val="000903C0"/>
    <w:rsid w:val="000903CD"/>
    <w:rsid w:val="00090406"/>
    <w:rsid w:val="0009042C"/>
    <w:rsid w:val="000904AD"/>
    <w:rsid w:val="000904C5"/>
    <w:rsid w:val="0009051F"/>
    <w:rsid w:val="00090540"/>
    <w:rsid w:val="00090551"/>
    <w:rsid w:val="00090569"/>
    <w:rsid w:val="0009059F"/>
    <w:rsid w:val="00090606"/>
    <w:rsid w:val="00090640"/>
    <w:rsid w:val="00090667"/>
    <w:rsid w:val="0009067D"/>
    <w:rsid w:val="000906B2"/>
    <w:rsid w:val="000906CF"/>
    <w:rsid w:val="000906DA"/>
    <w:rsid w:val="000906F7"/>
    <w:rsid w:val="0009074F"/>
    <w:rsid w:val="000907A9"/>
    <w:rsid w:val="000907D0"/>
    <w:rsid w:val="0009082D"/>
    <w:rsid w:val="0009088C"/>
    <w:rsid w:val="00090894"/>
    <w:rsid w:val="000908B5"/>
    <w:rsid w:val="000908FF"/>
    <w:rsid w:val="0009091B"/>
    <w:rsid w:val="00090923"/>
    <w:rsid w:val="00090942"/>
    <w:rsid w:val="000909AA"/>
    <w:rsid w:val="000909AF"/>
    <w:rsid w:val="000909BD"/>
    <w:rsid w:val="000909DD"/>
    <w:rsid w:val="000909DE"/>
    <w:rsid w:val="00090A32"/>
    <w:rsid w:val="00090A9E"/>
    <w:rsid w:val="00090AA5"/>
    <w:rsid w:val="00090B20"/>
    <w:rsid w:val="00090B50"/>
    <w:rsid w:val="00090B98"/>
    <w:rsid w:val="00090B9A"/>
    <w:rsid w:val="00090BCD"/>
    <w:rsid w:val="00090BF5"/>
    <w:rsid w:val="00090C05"/>
    <w:rsid w:val="00090C0F"/>
    <w:rsid w:val="00090C5C"/>
    <w:rsid w:val="00090CA3"/>
    <w:rsid w:val="00090CEA"/>
    <w:rsid w:val="00090CEB"/>
    <w:rsid w:val="00090D0E"/>
    <w:rsid w:val="00090D59"/>
    <w:rsid w:val="00090DC5"/>
    <w:rsid w:val="00090DD0"/>
    <w:rsid w:val="00090DF2"/>
    <w:rsid w:val="00090DF7"/>
    <w:rsid w:val="00090E06"/>
    <w:rsid w:val="00090E40"/>
    <w:rsid w:val="00090E6C"/>
    <w:rsid w:val="00090EC2"/>
    <w:rsid w:val="00090F04"/>
    <w:rsid w:val="00090F12"/>
    <w:rsid w:val="00090F20"/>
    <w:rsid w:val="00090F48"/>
    <w:rsid w:val="00090F63"/>
    <w:rsid w:val="00090FB5"/>
    <w:rsid w:val="00090FC4"/>
    <w:rsid w:val="00091044"/>
    <w:rsid w:val="00091047"/>
    <w:rsid w:val="0009104E"/>
    <w:rsid w:val="00091085"/>
    <w:rsid w:val="000910C5"/>
    <w:rsid w:val="00091109"/>
    <w:rsid w:val="00091134"/>
    <w:rsid w:val="00091167"/>
    <w:rsid w:val="0009116C"/>
    <w:rsid w:val="0009117B"/>
    <w:rsid w:val="0009118E"/>
    <w:rsid w:val="00091192"/>
    <w:rsid w:val="000911A0"/>
    <w:rsid w:val="000911AA"/>
    <w:rsid w:val="000911D2"/>
    <w:rsid w:val="000911E5"/>
    <w:rsid w:val="000911F4"/>
    <w:rsid w:val="00091224"/>
    <w:rsid w:val="0009122C"/>
    <w:rsid w:val="00091232"/>
    <w:rsid w:val="0009125E"/>
    <w:rsid w:val="00091294"/>
    <w:rsid w:val="0009129F"/>
    <w:rsid w:val="0009137F"/>
    <w:rsid w:val="0009139A"/>
    <w:rsid w:val="000913B9"/>
    <w:rsid w:val="000913BC"/>
    <w:rsid w:val="000913C6"/>
    <w:rsid w:val="000913E6"/>
    <w:rsid w:val="00091419"/>
    <w:rsid w:val="000914D6"/>
    <w:rsid w:val="00091514"/>
    <w:rsid w:val="0009152D"/>
    <w:rsid w:val="0009155A"/>
    <w:rsid w:val="00091585"/>
    <w:rsid w:val="00091590"/>
    <w:rsid w:val="000915AA"/>
    <w:rsid w:val="000915C8"/>
    <w:rsid w:val="000915CB"/>
    <w:rsid w:val="000915DC"/>
    <w:rsid w:val="000915E8"/>
    <w:rsid w:val="0009160F"/>
    <w:rsid w:val="00091649"/>
    <w:rsid w:val="0009168B"/>
    <w:rsid w:val="0009169E"/>
    <w:rsid w:val="000916B9"/>
    <w:rsid w:val="000916C3"/>
    <w:rsid w:val="0009172B"/>
    <w:rsid w:val="00091746"/>
    <w:rsid w:val="00091784"/>
    <w:rsid w:val="0009178C"/>
    <w:rsid w:val="0009179C"/>
    <w:rsid w:val="000917C4"/>
    <w:rsid w:val="000917D0"/>
    <w:rsid w:val="0009181D"/>
    <w:rsid w:val="00091848"/>
    <w:rsid w:val="000918A0"/>
    <w:rsid w:val="000918A6"/>
    <w:rsid w:val="000918DB"/>
    <w:rsid w:val="00091900"/>
    <w:rsid w:val="00091901"/>
    <w:rsid w:val="00091948"/>
    <w:rsid w:val="00091958"/>
    <w:rsid w:val="0009197B"/>
    <w:rsid w:val="000919C3"/>
    <w:rsid w:val="00091A3A"/>
    <w:rsid w:val="00091A8E"/>
    <w:rsid w:val="00091AA5"/>
    <w:rsid w:val="00091AC0"/>
    <w:rsid w:val="00091AFF"/>
    <w:rsid w:val="00091B27"/>
    <w:rsid w:val="00091B3E"/>
    <w:rsid w:val="00091B51"/>
    <w:rsid w:val="00091B89"/>
    <w:rsid w:val="00091BC6"/>
    <w:rsid w:val="00091C07"/>
    <w:rsid w:val="00091C6C"/>
    <w:rsid w:val="00091CA4"/>
    <w:rsid w:val="00091CAB"/>
    <w:rsid w:val="00091CC6"/>
    <w:rsid w:val="00091CD0"/>
    <w:rsid w:val="00091CDF"/>
    <w:rsid w:val="00091D0E"/>
    <w:rsid w:val="00091D43"/>
    <w:rsid w:val="00091D81"/>
    <w:rsid w:val="00091DC2"/>
    <w:rsid w:val="00091DE3"/>
    <w:rsid w:val="00091E5A"/>
    <w:rsid w:val="00091E6A"/>
    <w:rsid w:val="00091F03"/>
    <w:rsid w:val="00091F61"/>
    <w:rsid w:val="00091FC8"/>
    <w:rsid w:val="00091FF8"/>
    <w:rsid w:val="00092009"/>
    <w:rsid w:val="00092011"/>
    <w:rsid w:val="0009206C"/>
    <w:rsid w:val="0009209F"/>
    <w:rsid w:val="000920A9"/>
    <w:rsid w:val="000920EE"/>
    <w:rsid w:val="000920F8"/>
    <w:rsid w:val="0009210B"/>
    <w:rsid w:val="0009211C"/>
    <w:rsid w:val="00092147"/>
    <w:rsid w:val="0009214E"/>
    <w:rsid w:val="00092154"/>
    <w:rsid w:val="00092159"/>
    <w:rsid w:val="00092160"/>
    <w:rsid w:val="00092191"/>
    <w:rsid w:val="0009219E"/>
    <w:rsid w:val="000921A7"/>
    <w:rsid w:val="000922B8"/>
    <w:rsid w:val="000922E4"/>
    <w:rsid w:val="000922EC"/>
    <w:rsid w:val="000922FE"/>
    <w:rsid w:val="00092309"/>
    <w:rsid w:val="0009230D"/>
    <w:rsid w:val="0009234A"/>
    <w:rsid w:val="00092362"/>
    <w:rsid w:val="00092363"/>
    <w:rsid w:val="0009236C"/>
    <w:rsid w:val="00092370"/>
    <w:rsid w:val="000923BF"/>
    <w:rsid w:val="00092428"/>
    <w:rsid w:val="00092442"/>
    <w:rsid w:val="0009244E"/>
    <w:rsid w:val="00092479"/>
    <w:rsid w:val="0009247F"/>
    <w:rsid w:val="00092489"/>
    <w:rsid w:val="0009248A"/>
    <w:rsid w:val="0009249A"/>
    <w:rsid w:val="000924A0"/>
    <w:rsid w:val="00092518"/>
    <w:rsid w:val="0009257D"/>
    <w:rsid w:val="000925C2"/>
    <w:rsid w:val="000925CC"/>
    <w:rsid w:val="00092615"/>
    <w:rsid w:val="0009263E"/>
    <w:rsid w:val="00092652"/>
    <w:rsid w:val="000926BB"/>
    <w:rsid w:val="000926EF"/>
    <w:rsid w:val="0009278C"/>
    <w:rsid w:val="0009279A"/>
    <w:rsid w:val="000927C3"/>
    <w:rsid w:val="000927F4"/>
    <w:rsid w:val="00092867"/>
    <w:rsid w:val="0009286A"/>
    <w:rsid w:val="000928B6"/>
    <w:rsid w:val="000928E3"/>
    <w:rsid w:val="0009291B"/>
    <w:rsid w:val="0009293B"/>
    <w:rsid w:val="000929B2"/>
    <w:rsid w:val="000929BA"/>
    <w:rsid w:val="00092A50"/>
    <w:rsid w:val="00092AFC"/>
    <w:rsid w:val="00092B5C"/>
    <w:rsid w:val="00092B60"/>
    <w:rsid w:val="00092B95"/>
    <w:rsid w:val="00092BB8"/>
    <w:rsid w:val="00092BBC"/>
    <w:rsid w:val="00092BE3"/>
    <w:rsid w:val="00092BF8"/>
    <w:rsid w:val="00092C53"/>
    <w:rsid w:val="00092C6C"/>
    <w:rsid w:val="00092C6F"/>
    <w:rsid w:val="00092C76"/>
    <w:rsid w:val="00092CAD"/>
    <w:rsid w:val="00092CAF"/>
    <w:rsid w:val="00092CE5"/>
    <w:rsid w:val="00092D23"/>
    <w:rsid w:val="00092D47"/>
    <w:rsid w:val="00092D8E"/>
    <w:rsid w:val="00092DA9"/>
    <w:rsid w:val="00092DD1"/>
    <w:rsid w:val="00092DFE"/>
    <w:rsid w:val="00092E67"/>
    <w:rsid w:val="00092E88"/>
    <w:rsid w:val="00092EEA"/>
    <w:rsid w:val="00092F0D"/>
    <w:rsid w:val="00092F2B"/>
    <w:rsid w:val="00092F63"/>
    <w:rsid w:val="00093038"/>
    <w:rsid w:val="00093068"/>
    <w:rsid w:val="00093078"/>
    <w:rsid w:val="000930B0"/>
    <w:rsid w:val="000930B4"/>
    <w:rsid w:val="000930CA"/>
    <w:rsid w:val="000930D2"/>
    <w:rsid w:val="000930DA"/>
    <w:rsid w:val="000930EA"/>
    <w:rsid w:val="000930F4"/>
    <w:rsid w:val="00093126"/>
    <w:rsid w:val="0009314C"/>
    <w:rsid w:val="000931A9"/>
    <w:rsid w:val="000931AA"/>
    <w:rsid w:val="000931CD"/>
    <w:rsid w:val="000931EF"/>
    <w:rsid w:val="0009320A"/>
    <w:rsid w:val="0009328D"/>
    <w:rsid w:val="000932AB"/>
    <w:rsid w:val="000932B9"/>
    <w:rsid w:val="000932F6"/>
    <w:rsid w:val="0009330A"/>
    <w:rsid w:val="00093349"/>
    <w:rsid w:val="0009335E"/>
    <w:rsid w:val="0009336C"/>
    <w:rsid w:val="00093398"/>
    <w:rsid w:val="000933A7"/>
    <w:rsid w:val="000933C7"/>
    <w:rsid w:val="000933E0"/>
    <w:rsid w:val="0009345B"/>
    <w:rsid w:val="00093462"/>
    <w:rsid w:val="0009346A"/>
    <w:rsid w:val="000934CF"/>
    <w:rsid w:val="000934DE"/>
    <w:rsid w:val="000934FF"/>
    <w:rsid w:val="00093556"/>
    <w:rsid w:val="0009355B"/>
    <w:rsid w:val="00093584"/>
    <w:rsid w:val="000935B9"/>
    <w:rsid w:val="000935DD"/>
    <w:rsid w:val="00093600"/>
    <w:rsid w:val="00093612"/>
    <w:rsid w:val="00093619"/>
    <w:rsid w:val="00093655"/>
    <w:rsid w:val="0009365A"/>
    <w:rsid w:val="00093668"/>
    <w:rsid w:val="00093679"/>
    <w:rsid w:val="000936BA"/>
    <w:rsid w:val="00093768"/>
    <w:rsid w:val="0009376B"/>
    <w:rsid w:val="000937AB"/>
    <w:rsid w:val="000937AF"/>
    <w:rsid w:val="000937EF"/>
    <w:rsid w:val="0009380B"/>
    <w:rsid w:val="00093818"/>
    <w:rsid w:val="00093825"/>
    <w:rsid w:val="0009389C"/>
    <w:rsid w:val="00093920"/>
    <w:rsid w:val="00093939"/>
    <w:rsid w:val="00093A17"/>
    <w:rsid w:val="00093A65"/>
    <w:rsid w:val="00093A96"/>
    <w:rsid w:val="00093AA8"/>
    <w:rsid w:val="00093AAB"/>
    <w:rsid w:val="00093AE8"/>
    <w:rsid w:val="00093B86"/>
    <w:rsid w:val="00093C5B"/>
    <w:rsid w:val="00093C8C"/>
    <w:rsid w:val="00093CB4"/>
    <w:rsid w:val="00093CC4"/>
    <w:rsid w:val="00093CC9"/>
    <w:rsid w:val="00093D28"/>
    <w:rsid w:val="00093DD7"/>
    <w:rsid w:val="00093DEE"/>
    <w:rsid w:val="00093E02"/>
    <w:rsid w:val="00093E14"/>
    <w:rsid w:val="00093E35"/>
    <w:rsid w:val="00093E64"/>
    <w:rsid w:val="00093E7C"/>
    <w:rsid w:val="00093E8B"/>
    <w:rsid w:val="00093EE9"/>
    <w:rsid w:val="00093F30"/>
    <w:rsid w:val="00093F31"/>
    <w:rsid w:val="00093FA7"/>
    <w:rsid w:val="00093FB0"/>
    <w:rsid w:val="00093FB6"/>
    <w:rsid w:val="00093FC3"/>
    <w:rsid w:val="0009401E"/>
    <w:rsid w:val="00094020"/>
    <w:rsid w:val="00094036"/>
    <w:rsid w:val="00094058"/>
    <w:rsid w:val="0009406B"/>
    <w:rsid w:val="00094080"/>
    <w:rsid w:val="000940D3"/>
    <w:rsid w:val="000940D5"/>
    <w:rsid w:val="000940E0"/>
    <w:rsid w:val="00094148"/>
    <w:rsid w:val="00094157"/>
    <w:rsid w:val="0009416C"/>
    <w:rsid w:val="00094187"/>
    <w:rsid w:val="0009419E"/>
    <w:rsid w:val="000941A9"/>
    <w:rsid w:val="000941E1"/>
    <w:rsid w:val="000941F6"/>
    <w:rsid w:val="0009421A"/>
    <w:rsid w:val="0009422A"/>
    <w:rsid w:val="00094253"/>
    <w:rsid w:val="000942AE"/>
    <w:rsid w:val="000942BE"/>
    <w:rsid w:val="000942C2"/>
    <w:rsid w:val="000942FB"/>
    <w:rsid w:val="00094313"/>
    <w:rsid w:val="00094381"/>
    <w:rsid w:val="000943AD"/>
    <w:rsid w:val="000943EA"/>
    <w:rsid w:val="000943F7"/>
    <w:rsid w:val="00094421"/>
    <w:rsid w:val="0009443E"/>
    <w:rsid w:val="00094484"/>
    <w:rsid w:val="000944CE"/>
    <w:rsid w:val="0009451A"/>
    <w:rsid w:val="00094522"/>
    <w:rsid w:val="0009455B"/>
    <w:rsid w:val="00094585"/>
    <w:rsid w:val="0009459A"/>
    <w:rsid w:val="00094616"/>
    <w:rsid w:val="0009464B"/>
    <w:rsid w:val="00094652"/>
    <w:rsid w:val="00094654"/>
    <w:rsid w:val="000946EC"/>
    <w:rsid w:val="000946FB"/>
    <w:rsid w:val="0009471B"/>
    <w:rsid w:val="00094759"/>
    <w:rsid w:val="0009475A"/>
    <w:rsid w:val="0009476F"/>
    <w:rsid w:val="0009477B"/>
    <w:rsid w:val="00094792"/>
    <w:rsid w:val="000947A0"/>
    <w:rsid w:val="000947BD"/>
    <w:rsid w:val="000947CC"/>
    <w:rsid w:val="0009484B"/>
    <w:rsid w:val="00094857"/>
    <w:rsid w:val="0009494E"/>
    <w:rsid w:val="0009496D"/>
    <w:rsid w:val="000949B8"/>
    <w:rsid w:val="000949E0"/>
    <w:rsid w:val="00094A25"/>
    <w:rsid w:val="00094A6A"/>
    <w:rsid w:val="00094AC4"/>
    <w:rsid w:val="00094ACC"/>
    <w:rsid w:val="00094AEB"/>
    <w:rsid w:val="00094B2B"/>
    <w:rsid w:val="00094B43"/>
    <w:rsid w:val="00094BBD"/>
    <w:rsid w:val="00094BBF"/>
    <w:rsid w:val="00094BDB"/>
    <w:rsid w:val="00094BE2"/>
    <w:rsid w:val="00094C13"/>
    <w:rsid w:val="00094C27"/>
    <w:rsid w:val="00094C63"/>
    <w:rsid w:val="00094CB5"/>
    <w:rsid w:val="00094CB6"/>
    <w:rsid w:val="00094CDE"/>
    <w:rsid w:val="00094CF5"/>
    <w:rsid w:val="00094D1A"/>
    <w:rsid w:val="00094D30"/>
    <w:rsid w:val="00094D4D"/>
    <w:rsid w:val="00094D5A"/>
    <w:rsid w:val="00094D60"/>
    <w:rsid w:val="00094D6B"/>
    <w:rsid w:val="00094D6C"/>
    <w:rsid w:val="00094D7C"/>
    <w:rsid w:val="00094DA8"/>
    <w:rsid w:val="00094DB2"/>
    <w:rsid w:val="00094DD8"/>
    <w:rsid w:val="00094E2B"/>
    <w:rsid w:val="00094E56"/>
    <w:rsid w:val="00094E6D"/>
    <w:rsid w:val="00094EA8"/>
    <w:rsid w:val="00094EF7"/>
    <w:rsid w:val="00094EF9"/>
    <w:rsid w:val="00094F26"/>
    <w:rsid w:val="00094F7B"/>
    <w:rsid w:val="00094FA6"/>
    <w:rsid w:val="00094FA7"/>
    <w:rsid w:val="00094FA8"/>
    <w:rsid w:val="00094FCA"/>
    <w:rsid w:val="00094FCD"/>
    <w:rsid w:val="00095084"/>
    <w:rsid w:val="000950D7"/>
    <w:rsid w:val="000950EE"/>
    <w:rsid w:val="00095100"/>
    <w:rsid w:val="00095165"/>
    <w:rsid w:val="000951A1"/>
    <w:rsid w:val="0009524E"/>
    <w:rsid w:val="00095275"/>
    <w:rsid w:val="0009528F"/>
    <w:rsid w:val="000952AE"/>
    <w:rsid w:val="000952B0"/>
    <w:rsid w:val="000952D5"/>
    <w:rsid w:val="000952DC"/>
    <w:rsid w:val="00095350"/>
    <w:rsid w:val="00095374"/>
    <w:rsid w:val="000953DB"/>
    <w:rsid w:val="00095414"/>
    <w:rsid w:val="0009545B"/>
    <w:rsid w:val="00095481"/>
    <w:rsid w:val="000954A2"/>
    <w:rsid w:val="000954A6"/>
    <w:rsid w:val="000954BA"/>
    <w:rsid w:val="000954CD"/>
    <w:rsid w:val="000954F6"/>
    <w:rsid w:val="00095504"/>
    <w:rsid w:val="0009556E"/>
    <w:rsid w:val="0009557B"/>
    <w:rsid w:val="000955AA"/>
    <w:rsid w:val="000955C0"/>
    <w:rsid w:val="000955DB"/>
    <w:rsid w:val="000955E1"/>
    <w:rsid w:val="000955F3"/>
    <w:rsid w:val="00095605"/>
    <w:rsid w:val="000956B7"/>
    <w:rsid w:val="000956D3"/>
    <w:rsid w:val="000956EA"/>
    <w:rsid w:val="0009575D"/>
    <w:rsid w:val="0009576B"/>
    <w:rsid w:val="000957A8"/>
    <w:rsid w:val="000957B2"/>
    <w:rsid w:val="00095830"/>
    <w:rsid w:val="00095849"/>
    <w:rsid w:val="00095874"/>
    <w:rsid w:val="00095884"/>
    <w:rsid w:val="00095886"/>
    <w:rsid w:val="0009588A"/>
    <w:rsid w:val="000958CF"/>
    <w:rsid w:val="00095946"/>
    <w:rsid w:val="00095A96"/>
    <w:rsid w:val="00095AD4"/>
    <w:rsid w:val="00095AD6"/>
    <w:rsid w:val="00095AD9"/>
    <w:rsid w:val="00095ADD"/>
    <w:rsid w:val="00095AE5"/>
    <w:rsid w:val="00095B60"/>
    <w:rsid w:val="00095B6A"/>
    <w:rsid w:val="00095B71"/>
    <w:rsid w:val="00095B85"/>
    <w:rsid w:val="00095B90"/>
    <w:rsid w:val="00095BA8"/>
    <w:rsid w:val="00095BC3"/>
    <w:rsid w:val="00095BD9"/>
    <w:rsid w:val="00095C40"/>
    <w:rsid w:val="00095C80"/>
    <w:rsid w:val="00095D29"/>
    <w:rsid w:val="00095D42"/>
    <w:rsid w:val="00095D95"/>
    <w:rsid w:val="00095D9A"/>
    <w:rsid w:val="00095DE8"/>
    <w:rsid w:val="00095E12"/>
    <w:rsid w:val="00095E34"/>
    <w:rsid w:val="00095E49"/>
    <w:rsid w:val="00095E86"/>
    <w:rsid w:val="00095F30"/>
    <w:rsid w:val="00095F6C"/>
    <w:rsid w:val="00095F85"/>
    <w:rsid w:val="00095F95"/>
    <w:rsid w:val="00095F9C"/>
    <w:rsid w:val="00095FF7"/>
    <w:rsid w:val="00096014"/>
    <w:rsid w:val="00096015"/>
    <w:rsid w:val="00096026"/>
    <w:rsid w:val="00096049"/>
    <w:rsid w:val="000960BF"/>
    <w:rsid w:val="000960FE"/>
    <w:rsid w:val="00096144"/>
    <w:rsid w:val="00096157"/>
    <w:rsid w:val="00096161"/>
    <w:rsid w:val="00096170"/>
    <w:rsid w:val="0009619E"/>
    <w:rsid w:val="000961B1"/>
    <w:rsid w:val="000961D1"/>
    <w:rsid w:val="000961EA"/>
    <w:rsid w:val="000961F5"/>
    <w:rsid w:val="00096207"/>
    <w:rsid w:val="00096242"/>
    <w:rsid w:val="00096245"/>
    <w:rsid w:val="000962A3"/>
    <w:rsid w:val="000962CB"/>
    <w:rsid w:val="000962E2"/>
    <w:rsid w:val="000962F5"/>
    <w:rsid w:val="00096316"/>
    <w:rsid w:val="00096339"/>
    <w:rsid w:val="000963DA"/>
    <w:rsid w:val="000963E0"/>
    <w:rsid w:val="000963E5"/>
    <w:rsid w:val="00096405"/>
    <w:rsid w:val="00096431"/>
    <w:rsid w:val="00096435"/>
    <w:rsid w:val="00096464"/>
    <w:rsid w:val="00096469"/>
    <w:rsid w:val="0009648D"/>
    <w:rsid w:val="000964DF"/>
    <w:rsid w:val="00096505"/>
    <w:rsid w:val="00096515"/>
    <w:rsid w:val="0009654A"/>
    <w:rsid w:val="00096559"/>
    <w:rsid w:val="0009655D"/>
    <w:rsid w:val="00096571"/>
    <w:rsid w:val="00096590"/>
    <w:rsid w:val="000965D0"/>
    <w:rsid w:val="00096623"/>
    <w:rsid w:val="00096654"/>
    <w:rsid w:val="0009668E"/>
    <w:rsid w:val="000966A5"/>
    <w:rsid w:val="000966FD"/>
    <w:rsid w:val="00096741"/>
    <w:rsid w:val="0009674A"/>
    <w:rsid w:val="00096763"/>
    <w:rsid w:val="0009677E"/>
    <w:rsid w:val="0009678E"/>
    <w:rsid w:val="000967A7"/>
    <w:rsid w:val="00096801"/>
    <w:rsid w:val="00096805"/>
    <w:rsid w:val="00096834"/>
    <w:rsid w:val="0009685D"/>
    <w:rsid w:val="000968BA"/>
    <w:rsid w:val="000968FE"/>
    <w:rsid w:val="0009692E"/>
    <w:rsid w:val="00096956"/>
    <w:rsid w:val="00096983"/>
    <w:rsid w:val="00096986"/>
    <w:rsid w:val="0009699F"/>
    <w:rsid w:val="000969BB"/>
    <w:rsid w:val="000969F7"/>
    <w:rsid w:val="00096A7D"/>
    <w:rsid w:val="00096ACF"/>
    <w:rsid w:val="00096B03"/>
    <w:rsid w:val="00096B28"/>
    <w:rsid w:val="00096B2A"/>
    <w:rsid w:val="00096B35"/>
    <w:rsid w:val="00096B75"/>
    <w:rsid w:val="00096BA0"/>
    <w:rsid w:val="00096BA7"/>
    <w:rsid w:val="00096BA8"/>
    <w:rsid w:val="00096BC7"/>
    <w:rsid w:val="00096BEB"/>
    <w:rsid w:val="00096BED"/>
    <w:rsid w:val="00096C4C"/>
    <w:rsid w:val="00096C63"/>
    <w:rsid w:val="00096CAE"/>
    <w:rsid w:val="00096CB8"/>
    <w:rsid w:val="00096D29"/>
    <w:rsid w:val="00096D46"/>
    <w:rsid w:val="00096D80"/>
    <w:rsid w:val="00096DBA"/>
    <w:rsid w:val="00096DFC"/>
    <w:rsid w:val="00096E08"/>
    <w:rsid w:val="00096E13"/>
    <w:rsid w:val="00096E3D"/>
    <w:rsid w:val="00096E5F"/>
    <w:rsid w:val="00096EA2"/>
    <w:rsid w:val="00096EE7"/>
    <w:rsid w:val="00096F15"/>
    <w:rsid w:val="00096F3F"/>
    <w:rsid w:val="00096F41"/>
    <w:rsid w:val="00096F95"/>
    <w:rsid w:val="00096FA9"/>
    <w:rsid w:val="00096FD8"/>
    <w:rsid w:val="00097002"/>
    <w:rsid w:val="0009700D"/>
    <w:rsid w:val="00097026"/>
    <w:rsid w:val="00097085"/>
    <w:rsid w:val="000970D5"/>
    <w:rsid w:val="00097121"/>
    <w:rsid w:val="0009716A"/>
    <w:rsid w:val="00097170"/>
    <w:rsid w:val="000971C8"/>
    <w:rsid w:val="00097228"/>
    <w:rsid w:val="000972C0"/>
    <w:rsid w:val="00097300"/>
    <w:rsid w:val="0009730F"/>
    <w:rsid w:val="0009732D"/>
    <w:rsid w:val="0009735A"/>
    <w:rsid w:val="00097391"/>
    <w:rsid w:val="000973EC"/>
    <w:rsid w:val="0009745E"/>
    <w:rsid w:val="00097472"/>
    <w:rsid w:val="000974C2"/>
    <w:rsid w:val="000974DF"/>
    <w:rsid w:val="000974F4"/>
    <w:rsid w:val="00097503"/>
    <w:rsid w:val="0009753F"/>
    <w:rsid w:val="00097552"/>
    <w:rsid w:val="0009757B"/>
    <w:rsid w:val="00097610"/>
    <w:rsid w:val="00097695"/>
    <w:rsid w:val="000976DB"/>
    <w:rsid w:val="000976E4"/>
    <w:rsid w:val="000976FD"/>
    <w:rsid w:val="0009773D"/>
    <w:rsid w:val="00097741"/>
    <w:rsid w:val="0009775A"/>
    <w:rsid w:val="00097775"/>
    <w:rsid w:val="0009778F"/>
    <w:rsid w:val="000977A7"/>
    <w:rsid w:val="000977E4"/>
    <w:rsid w:val="00097810"/>
    <w:rsid w:val="0009784B"/>
    <w:rsid w:val="000978BF"/>
    <w:rsid w:val="000978CB"/>
    <w:rsid w:val="000978F5"/>
    <w:rsid w:val="00097934"/>
    <w:rsid w:val="00097951"/>
    <w:rsid w:val="000979CC"/>
    <w:rsid w:val="000979CE"/>
    <w:rsid w:val="000979CF"/>
    <w:rsid w:val="00097A0B"/>
    <w:rsid w:val="00097A35"/>
    <w:rsid w:val="00097A3C"/>
    <w:rsid w:val="00097A6F"/>
    <w:rsid w:val="00097AC9"/>
    <w:rsid w:val="00097AEC"/>
    <w:rsid w:val="00097AF7"/>
    <w:rsid w:val="00097B9C"/>
    <w:rsid w:val="00097C38"/>
    <w:rsid w:val="00097C83"/>
    <w:rsid w:val="00097C8E"/>
    <w:rsid w:val="00097C98"/>
    <w:rsid w:val="00097CB2"/>
    <w:rsid w:val="00097D1B"/>
    <w:rsid w:val="00097D5C"/>
    <w:rsid w:val="00097D6D"/>
    <w:rsid w:val="00097DDA"/>
    <w:rsid w:val="00097DDF"/>
    <w:rsid w:val="00097DFC"/>
    <w:rsid w:val="00097E3D"/>
    <w:rsid w:val="00097E62"/>
    <w:rsid w:val="00097E6F"/>
    <w:rsid w:val="00097EA6"/>
    <w:rsid w:val="00097EB2"/>
    <w:rsid w:val="00097F04"/>
    <w:rsid w:val="00097F58"/>
    <w:rsid w:val="00097FD1"/>
    <w:rsid w:val="00097FE5"/>
    <w:rsid w:val="00097FF2"/>
    <w:rsid w:val="000A0003"/>
    <w:rsid w:val="000A0063"/>
    <w:rsid w:val="000A0076"/>
    <w:rsid w:val="000A007B"/>
    <w:rsid w:val="000A0133"/>
    <w:rsid w:val="000A0166"/>
    <w:rsid w:val="000A0195"/>
    <w:rsid w:val="000A019F"/>
    <w:rsid w:val="000A01AB"/>
    <w:rsid w:val="000A01C6"/>
    <w:rsid w:val="000A01C7"/>
    <w:rsid w:val="000A023F"/>
    <w:rsid w:val="000A024F"/>
    <w:rsid w:val="000A0271"/>
    <w:rsid w:val="000A027F"/>
    <w:rsid w:val="000A028A"/>
    <w:rsid w:val="000A02C1"/>
    <w:rsid w:val="000A02C7"/>
    <w:rsid w:val="000A0327"/>
    <w:rsid w:val="000A0348"/>
    <w:rsid w:val="000A035E"/>
    <w:rsid w:val="000A0367"/>
    <w:rsid w:val="000A03A1"/>
    <w:rsid w:val="000A03BD"/>
    <w:rsid w:val="000A0432"/>
    <w:rsid w:val="000A046D"/>
    <w:rsid w:val="000A0485"/>
    <w:rsid w:val="000A04AF"/>
    <w:rsid w:val="000A04CA"/>
    <w:rsid w:val="000A04DE"/>
    <w:rsid w:val="000A051F"/>
    <w:rsid w:val="000A0520"/>
    <w:rsid w:val="000A05B1"/>
    <w:rsid w:val="000A05D8"/>
    <w:rsid w:val="000A05DB"/>
    <w:rsid w:val="000A05DC"/>
    <w:rsid w:val="000A0615"/>
    <w:rsid w:val="000A0625"/>
    <w:rsid w:val="000A063B"/>
    <w:rsid w:val="000A0645"/>
    <w:rsid w:val="000A0690"/>
    <w:rsid w:val="000A06AB"/>
    <w:rsid w:val="000A06DC"/>
    <w:rsid w:val="000A0769"/>
    <w:rsid w:val="000A07C2"/>
    <w:rsid w:val="000A07CC"/>
    <w:rsid w:val="000A07EC"/>
    <w:rsid w:val="000A081B"/>
    <w:rsid w:val="000A084D"/>
    <w:rsid w:val="000A086D"/>
    <w:rsid w:val="000A08E5"/>
    <w:rsid w:val="000A08ED"/>
    <w:rsid w:val="000A08FA"/>
    <w:rsid w:val="000A094A"/>
    <w:rsid w:val="000A0980"/>
    <w:rsid w:val="000A09B8"/>
    <w:rsid w:val="000A09F4"/>
    <w:rsid w:val="000A09F7"/>
    <w:rsid w:val="000A0A40"/>
    <w:rsid w:val="000A0A4B"/>
    <w:rsid w:val="000A0A93"/>
    <w:rsid w:val="000A0A9B"/>
    <w:rsid w:val="000A0AAE"/>
    <w:rsid w:val="000A0B1C"/>
    <w:rsid w:val="000A0BEC"/>
    <w:rsid w:val="000A0BFA"/>
    <w:rsid w:val="000A0C0C"/>
    <w:rsid w:val="000A0C75"/>
    <w:rsid w:val="000A0C93"/>
    <w:rsid w:val="000A0CAA"/>
    <w:rsid w:val="000A0CD7"/>
    <w:rsid w:val="000A0D68"/>
    <w:rsid w:val="000A0DD5"/>
    <w:rsid w:val="000A0DD9"/>
    <w:rsid w:val="000A0E3E"/>
    <w:rsid w:val="000A0E55"/>
    <w:rsid w:val="000A0E6C"/>
    <w:rsid w:val="000A0EAA"/>
    <w:rsid w:val="000A0EB3"/>
    <w:rsid w:val="000A0ECD"/>
    <w:rsid w:val="000A0EDC"/>
    <w:rsid w:val="000A0FA0"/>
    <w:rsid w:val="000A1033"/>
    <w:rsid w:val="000A1044"/>
    <w:rsid w:val="000A1078"/>
    <w:rsid w:val="000A109C"/>
    <w:rsid w:val="000A10C7"/>
    <w:rsid w:val="000A1102"/>
    <w:rsid w:val="000A1134"/>
    <w:rsid w:val="000A115C"/>
    <w:rsid w:val="000A1171"/>
    <w:rsid w:val="000A117E"/>
    <w:rsid w:val="000A1191"/>
    <w:rsid w:val="000A11C4"/>
    <w:rsid w:val="000A11F0"/>
    <w:rsid w:val="000A123C"/>
    <w:rsid w:val="000A124B"/>
    <w:rsid w:val="000A1260"/>
    <w:rsid w:val="000A1275"/>
    <w:rsid w:val="000A127D"/>
    <w:rsid w:val="000A1295"/>
    <w:rsid w:val="000A12CB"/>
    <w:rsid w:val="000A12F7"/>
    <w:rsid w:val="000A1323"/>
    <w:rsid w:val="000A1325"/>
    <w:rsid w:val="000A1343"/>
    <w:rsid w:val="000A1344"/>
    <w:rsid w:val="000A1499"/>
    <w:rsid w:val="000A14B7"/>
    <w:rsid w:val="000A1501"/>
    <w:rsid w:val="000A1503"/>
    <w:rsid w:val="000A1517"/>
    <w:rsid w:val="000A1532"/>
    <w:rsid w:val="000A1547"/>
    <w:rsid w:val="000A1586"/>
    <w:rsid w:val="000A159A"/>
    <w:rsid w:val="000A1602"/>
    <w:rsid w:val="000A1636"/>
    <w:rsid w:val="000A1650"/>
    <w:rsid w:val="000A1658"/>
    <w:rsid w:val="000A16AC"/>
    <w:rsid w:val="000A16B7"/>
    <w:rsid w:val="000A16D0"/>
    <w:rsid w:val="000A1736"/>
    <w:rsid w:val="000A1755"/>
    <w:rsid w:val="000A1759"/>
    <w:rsid w:val="000A1799"/>
    <w:rsid w:val="000A17C8"/>
    <w:rsid w:val="000A17CB"/>
    <w:rsid w:val="000A17D9"/>
    <w:rsid w:val="000A17DF"/>
    <w:rsid w:val="000A17E9"/>
    <w:rsid w:val="000A17F4"/>
    <w:rsid w:val="000A182C"/>
    <w:rsid w:val="000A183A"/>
    <w:rsid w:val="000A186D"/>
    <w:rsid w:val="000A187D"/>
    <w:rsid w:val="000A18D3"/>
    <w:rsid w:val="000A1964"/>
    <w:rsid w:val="000A1978"/>
    <w:rsid w:val="000A19A5"/>
    <w:rsid w:val="000A19DC"/>
    <w:rsid w:val="000A19EF"/>
    <w:rsid w:val="000A1A08"/>
    <w:rsid w:val="000A1A1A"/>
    <w:rsid w:val="000A1AAA"/>
    <w:rsid w:val="000A1AB2"/>
    <w:rsid w:val="000A1AF7"/>
    <w:rsid w:val="000A1B41"/>
    <w:rsid w:val="000A1B68"/>
    <w:rsid w:val="000A1BAE"/>
    <w:rsid w:val="000A1C74"/>
    <w:rsid w:val="000A1CA3"/>
    <w:rsid w:val="000A1CC0"/>
    <w:rsid w:val="000A1CF3"/>
    <w:rsid w:val="000A1D35"/>
    <w:rsid w:val="000A1D69"/>
    <w:rsid w:val="000A1D6B"/>
    <w:rsid w:val="000A1D71"/>
    <w:rsid w:val="000A1D76"/>
    <w:rsid w:val="000A1E4B"/>
    <w:rsid w:val="000A1E63"/>
    <w:rsid w:val="000A1E89"/>
    <w:rsid w:val="000A1EAD"/>
    <w:rsid w:val="000A1F0C"/>
    <w:rsid w:val="000A1F1B"/>
    <w:rsid w:val="000A1F26"/>
    <w:rsid w:val="000A1F27"/>
    <w:rsid w:val="000A1F30"/>
    <w:rsid w:val="000A1F36"/>
    <w:rsid w:val="000A1F52"/>
    <w:rsid w:val="000A1F70"/>
    <w:rsid w:val="000A1F7A"/>
    <w:rsid w:val="000A2022"/>
    <w:rsid w:val="000A2063"/>
    <w:rsid w:val="000A2069"/>
    <w:rsid w:val="000A2073"/>
    <w:rsid w:val="000A209F"/>
    <w:rsid w:val="000A20CC"/>
    <w:rsid w:val="000A20EC"/>
    <w:rsid w:val="000A210A"/>
    <w:rsid w:val="000A2120"/>
    <w:rsid w:val="000A212F"/>
    <w:rsid w:val="000A21D6"/>
    <w:rsid w:val="000A21E2"/>
    <w:rsid w:val="000A2200"/>
    <w:rsid w:val="000A2242"/>
    <w:rsid w:val="000A2244"/>
    <w:rsid w:val="000A22D0"/>
    <w:rsid w:val="000A22DE"/>
    <w:rsid w:val="000A2375"/>
    <w:rsid w:val="000A23B6"/>
    <w:rsid w:val="000A23BA"/>
    <w:rsid w:val="000A23CD"/>
    <w:rsid w:val="000A2415"/>
    <w:rsid w:val="000A2416"/>
    <w:rsid w:val="000A245C"/>
    <w:rsid w:val="000A246F"/>
    <w:rsid w:val="000A24AA"/>
    <w:rsid w:val="000A24B9"/>
    <w:rsid w:val="000A24C3"/>
    <w:rsid w:val="000A2503"/>
    <w:rsid w:val="000A252B"/>
    <w:rsid w:val="000A2541"/>
    <w:rsid w:val="000A2553"/>
    <w:rsid w:val="000A2584"/>
    <w:rsid w:val="000A2586"/>
    <w:rsid w:val="000A25AA"/>
    <w:rsid w:val="000A25FD"/>
    <w:rsid w:val="000A2614"/>
    <w:rsid w:val="000A2637"/>
    <w:rsid w:val="000A263A"/>
    <w:rsid w:val="000A269D"/>
    <w:rsid w:val="000A26A6"/>
    <w:rsid w:val="000A26AE"/>
    <w:rsid w:val="000A26B3"/>
    <w:rsid w:val="000A272B"/>
    <w:rsid w:val="000A277B"/>
    <w:rsid w:val="000A27C6"/>
    <w:rsid w:val="000A27CE"/>
    <w:rsid w:val="000A281A"/>
    <w:rsid w:val="000A281C"/>
    <w:rsid w:val="000A283A"/>
    <w:rsid w:val="000A2843"/>
    <w:rsid w:val="000A286E"/>
    <w:rsid w:val="000A28B4"/>
    <w:rsid w:val="000A28CC"/>
    <w:rsid w:val="000A28E4"/>
    <w:rsid w:val="000A2922"/>
    <w:rsid w:val="000A2997"/>
    <w:rsid w:val="000A29E3"/>
    <w:rsid w:val="000A29E4"/>
    <w:rsid w:val="000A2A26"/>
    <w:rsid w:val="000A2A3F"/>
    <w:rsid w:val="000A2AAB"/>
    <w:rsid w:val="000A2ABE"/>
    <w:rsid w:val="000A2B26"/>
    <w:rsid w:val="000A2B6C"/>
    <w:rsid w:val="000A2B75"/>
    <w:rsid w:val="000A2BAB"/>
    <w:rsid w:val="000A2BF4"/>
    <w:rsid w:val="000A2BFC"/>
    <w:rsid w:val="000A2C01"/>
    <w:rsid w:val="000A2C46"/>
    <w:rsid w:val="000A2CA8"/>
    <w:rsid w:val="000A2CD0"/>
    <w:rsid w:val="000A2D29"/>
    <w:rsid w:val="000A2D64"/>
    <w:rsid w:val="000A2D93"/>
    <w:rsid w:val="000A2D99"/>
    <w:rsid w:val="000A2DA1"/>
    <w:rsid w:val="000A2DA8"/>
    <w:rsid w:val="000A2DBC"/>
    <w:rsid w:val="000A2DCE"/>
    <w:rsid w:val="000A2E30"/>
    <w:rsid w:val="000A2F26"/>
    <w:rsid w:val="000A2F56"/>
    <w:rsid w:val="000A2F6F"/>
    <w:rsid w:val="000A2F88"/>
    <w:rsid w:val="000A2FE2"/>
    <w:rsid w:val="000A2FFD"/>
    <w:rsid w:val="000A3031"/>
    <w:rsid w:val="000A30A1"/>
    <w:rsid w:val="000A30A9"/>
    <w:rsid w:val="000A30B8"/>
    <w:rsid w:val="000A30F0"/>
    <w:rsid w:val="000A313E"/>
    <w:rsid w:val="000A3165"/>
    <w:rsid w:val="000A3193"/>
    <w:rsid w:val="000A31BB"/>
    <w:rsid w:val="000A322C"/>
    <w:rsid w:val="000A323D"/>
    <w:rsid w:val="000A3284"/>
    <w:rsid w:val="000A32BE"/>
    <w:rsid w:val="000A331A"/>
    <w:rsid w:val="000A3321"/>
    <w:rsid w:val="000A333F"/>
    <w:rsid w:val="000A33AB"/>
    <w:rsid w:val="000A33B3"/>
    <w:rsid w:val="000A3410"/>
    <w:rsid w:val="000A34A1"/>
    <w:rsid w:val="000A34EC"/>
    <w:rsid w:val="000A351D"/>
    <w:rsid w:val="000A3545"/>
    <w:rsid w:val="000A3546"/>
    <w:rsid w:val="000A354D"/>
    <w:rsid w:val="000A3563"/>
    <w:rsid w:val="000A3654"/>
    <w:rsid w:val="000A368C"/>
    <w:rsid w:val="000A3696"/>
    <w:rsid w:val="000A36A5"/>
    <w:rsid w:val="000A36E3"/>
    <w:rsid w:val="000A36FF"/>
    <w:rsid w:val="000A3718"/>
    <w:rsid w:val="000A372A"/>
    <w:rsid w:val="000A373A"/>
    <w:rsid w:val="000A3740"/>
    <w:rsid w:val="000A3760"/>
    <w:rsid w:val="000A3768"/>
    <w:rsid w:val="000A3781"/>
    <w:rsid w:val="000A3819"/>
    <w:rsid w:val="000A3820"/>
    <w:rsid w:val="000A3865"/>
    <w:rsid w:val="000A3887"/>
    <w:rsid w:val="000A38B5"/>
    <w:rsid w:val="000A38B6"/>
    <w:rsid w:val="000A390D"/>
    <w:rsid w:val="000A3919"/>
    <w:rsid w:val="000A3945"/>
    <w:rsid w:val="000A39D8"/>
    <w:rsid w:val="000A39E7"/>
    <w:rsid w:val="000A3A0B"/>
    <w:rsid w:val="000A3A7B"/>
    <w:rsid w:val="000A3A8F"/>
    <w:rsid w:val="000A3B02"/>
    <w:rsid w:val="000A3B64"/>
    <w:rsid w:val="000A3B85"/>
    <w:rsid w:val="000A3BA4"/>
    <w:rsid w:val="000A3BD6"/>
    <w:rsid w:val="000A3BF2"/>
    <w:rsid w:val="000A3BF8"/>
    <w:rsid w:val="000A3C1C"/>
    <w:rsid w:val="000A3C28"/>
    <w:rsid w:val="000A3CA7"/>
    <w:rsid w:val="000A3CCD"/>
    <w:rsid w:val="000A3CCE"/>
    <w:rsid w:val="000A3CF0"/>
    <w:rsid w:val="000A3D07"/>
    <w:rsid w:val="000A3D1B"/>
    <w:rsid w:val="000A3D3B"/>
    <w:rsid w:val="000A3DC9"/>
    <w:rsid w:val="000A3DED"/>
    <w:rsid w:val="000A3E12"/>
    <w:rsid w:val="000A3E17"/>
    <w:rsid w:val="000A3E6A"/>
    <w:rsid w:val="000A3E90"/>
    <w:rsid w:val="000A3EFD"/>
    <w:rsid w:val="000A3F02"/>
    <w:rsid w:val="000A3F04"/>
    <w:rsid w:val="000A3F09"/>
    <w:rsid w:val="000A3F0E"/>
    <w:rsid w:val="000A3F21"/>
    <w:rsid w:val="000A3F2F"/>
    <w:rsid w:val="000A3F4C"/>
    <w:rsid w:val="000A3F72"/>
    <w:rsid w:val="000A3FA8"/>
    <w:rsid w:val="000A3FC4"/>
    <w:rsid w:val="000A3FEC"/>
    <w:rsid w:val="000A3FF0"/>
    <w:rsid w:val="000A4017"/>
    <w:rsid w:val="000A40C0"/>
    <w:rsid w:val="000A40DE"/>
    <w:rsid w:val="000A412B"/>
    <w:rsid w:val="000A4158"/>
    <w:rsid w:val="000A41D6"/>
    <w:rsid w:val="000A41D8"/>
    <w:rsid w:val="000A4216"/>
    <w:rsid w:val="000A424E"/>
    <w:rsid w:val="000A4265"/>
    <w:rsid w:val="000A428C"/>
    <w:rsid w:val="000A42F1"/>
    <w:rsid w:val="000A42F2"/>
    <w:rsid w:val="000A4312"/>
    <w:rsid w:val="000A4316"/>
    <w:rsid w:val="000A4319"/>
    <w:rsid w:val="000A4325"/>
    <w:rsid w:val="000A4328"/>
    <w:rsid w:val="000A4397"/>
    <w:rsid w:val="000A43C6"/>
    <w:rsid w:val="000A4409"/>
    <w:rsid w:val="000A4486"/>
    <w:rsid w:val="000A44BD"/>
    <w:rsid w:val="000A44C4"/>
    <w:rsid w:val="000A4571"/>
    <w:rsid w:val="000A458A"/>
    <w:rsid w:val="000A45D2"/>
    <w:rsid w:val="000A45D8"/>
    <w:rsid w:val="000A45EA"/>
    <w:rsid w:val="000A45ED"/>
    <w:rsid w:val="000A45F0"/>
    <w:rsid w:val="000A45FF"/>
    <w:rsid w:val="000A460B"/>
    <w:rsid w:val="000A4614"/>
    <w:rsid w:val="000A464F"/>
    <w:rsid w:val="000A46B3"/>
    <w:rsid w:val="000A46FA"/>
    <w:rsid w:val="000A4720"/>
    <w:rsid w:val="000A47A9"/>
    <w:rsid w:val="000A47B0"/>
    <w:rsid w:val="000A47C4"/>
    <w:rsid w:val="000A4892"/>
    <w:rsid w:val="000A48B4"/>
    <w:rsid w:val="000A48DD"/>
    <w:rsid w:val="000A48E5"/>
    <w:rsid w:val="000A48E8"/>
    <w:rsid w:val="000A48F9"/>
    <w:rsid w:val="000A49A1"/>
    <w:rsid w:val="000A49B9"/>
    <w:rsid w:val="000A49D5"/>
    <w:rsid w:val="000A49EC"/>
    <w:rsid w:val="000A4A3C"/>
    <w:rsid w:val="000A4A59"/>
    <w:rsid w:val="000A4A85"/>
    <w:rsid w:val="000A4AAF"/>
    <w:rsid w:val="000A4AD1"/>
    <w:rsid w:val="000A4AE5"/>
    <w:rsid w:val="000A4B4F"/>
    <w:rsid w:val="000A4BB5"/>
    <w:rsid w:val="000A4BCA"/>
    <w:rsid w:val="000A4C07"/>
    <w:rsid w:val="000A4C1E"/>
    <w:rsid w:val="000A4C6F"/>
    <w:rsid w:val="000A4C7C"/>
    <w:rsid w:val="000A4CC3"/>
    <w:rsid w:val="000A4D2D"/>
    <w:rsid w:val="000A4D88"/>
    <w:rsid w:val="000A4D98"/>
    <w:rsid w:val="000A4DA7"/>
    <w:rsid w:val="000A4E01"/>
    <w:rsid w:val="000A4E06"/>
    <w:rsid w:val="000A4E08"/>
    <w:rsid w:val="000A4E16"/>
    <w:rsid w:val="000A4E1C"/>
    <w:rsid w:val="000A4E39"/>
    <w:rsid w:val="000A4E9E"/>
    <w:rsid w:val="000A4EA6"/>
    <w:rsid w:val="000A4EC3"/>
    <w:rsid w:val="000A4EE5"/>
    <w:rsid w:val="000A4EF4"/>
    <w:rsid w:val="000A4F0A"/>
    <w:rsid w:val="000A4F3A"/>
    <w:rsid w:val="000A4F66"/>
    <w:rsid w:val="000A4F7D"/>
    <w:rsid w:val="000A4FC0"/>
    <w:rsid w:val="000A4FCD"/>
    <w:rsid w:val="000A503C"/>
    <w:rsid w:val="000A504F"/>
    <w:rsid w:val="000A5072"/>
    <w:rsid w:val="000A50A4"/>
    <w:rsid w:val="000A50BE"/>
    <w:rsid w:val="000A50DD"/>
    <w:rsid w:val="000A50E1"/>
    <w:rsid w:val="000A5127"/>
    <w:rsid w:val="000A5177"/>
    <w:rsid w:val="000A517C"/>
    <w:rsid w:val="000A51A8"/>
    <w:rsid w:val="000A51D3"/>
    <w:rsid w:val="000A520C"/>
    <w:rsid w:val="000A529C"/>
    <w:rsid w:val="000A52A8"/>
    <w:rsid w:val="000A52B0"/>
    <w:rsid w:val="000A52BB"/>
    <w:rsid w:val="000A52BD"/>
    <w:rsid w:val="000A52BF"/>
    <w:rsid w:val="000A52CA"/>
    <w:rsid w:val="000A5379"/>
    <w:rsid w:val="000A5382"/>
    <w:rsid w:val="000A53A6"/>
    <w:rsid w:val="000A548A"/>
    <w:rsid w:val="000A54FD"/>
    <w:rsid w:val="000A5570"/>
    <w:rsid w:val="000A558B"/>
    <w:rsid w:val="000A55CC"/>
    <w:rsid w:val="000A55D5"/>
    <w:rsid w:val="000A55E1"/>
    <w:rsid w:val="000A561B"/>
    <w:rsid w:val="000A568C"/>
    <w:rsid w:val="000A5699"/>
    <w:rsid w:val="000A56A9"/>
    <w:rsid w:val="000A56B0"/>
    <w:rsid w:val="000A5711"/>
    <w:rsid w:val="000A5731"/>
    <w:rsid w:val="000A575C"/>
    <w:rsid w:val="000A57AE"/>
    <w:rsid w:val="000A57D8"/>
    <w:rsid w:val="000A5800"/>
    <w:rsid w:val="000A5815"/>
    <w:rsid w:val="000A584B"/>
    <w:rsid w:val="000A5891"/>
    <w:rsid w:val="000A58F6"/>
    <w:rsid w:val="000A591F"/>
    <w:rsid w:val="000A5922"/>
    <w:rsid w:val="000A5984"/>
    <w:rsid w:val="000A59A7"/>
    <w:rsid w:val="000A59C8"/>
    <w:rsid w:val="000A59D5"/>
    <w:rsid w:val="000A59E6"/>
    <w:rsid w:val="000A5A33"/>
    <w:rsid w:val="000A5A49"/>
    <w:rsid w:val="000A5AB7"/>
    <w:rsid w:val="000A5AC2"/>
    <w:rsid w:val="000A5B58"/>
    <w:rsid w:val="000A5B70"/>
    <w:rsid w:val="000A5B76"/>
    <w:rsid w:val="000A5B7C"/>
    <w:rsid w:val="000A5BAD"/>
    <w:rsid w:val="000A5BE5"/>
    <w:rsid w:val="000A5BFF"/>
    <w:rsid w:val="000A5C00"/>
    <w:rsid w:val="000A5C24"/>
    <w:rsid w:val="000A5C3B"/>
    <w:rsid w:val="000A5C44"/>
    <w:rsid w:val="000A5C9A"/>
    <w:rsid w:val="000A5CA1"/>
    <w:rsid w:val="000A5CB7"/>
    <w:rsid w:val="000A5CE9"/>
    <w:rsid w:val="000A5D08"/>
    <w:rsid w:val="000A5D28"/>
    <w:rsid w:val="000A5D59"/>
    <w:rsid w:val="000A5D6B"/>
    <w:rsid w:val="000A5D92"/>
    <w:rsid w:val="000A5DA1"/>
    <w:rsid w:val="000A5DA7"/>
    <w:rsid w:val="000A5DC0"/>
    <w:rsid w:val="000A5DF0"/>
    <w:rsid w:val="000A5E00"/>
    <w:rsid w:val="000A5E28"/>
    <w:rsid w:val="000A5E32"/>
    <w:rsid w:val="000A5E40"/>
    <w:rsid w:val="000A5E98"/>
    <w:rsid w:val="000A5E9B"/>
    <w:rsid w:val="000A5EE4"/>
    <w:rsid w:val="000A5F20"/>
    <w:rsid w:val="000A5F36"/>
    <w:rsid w:val="000A5F56"/>
    <w:rsid w:val="000A5FAB"/>
    <w:rsid w:val="000A5FB2"/>
    <w:rsid w:val="000A5FE1"/>
    <w:rsid w:val="000A5FE8"/>
    <w:rsid w:val="000A600A"/>
    <w:rsid w:val="000A603D"/>
    <w:rsid w:val="000A6054"/>
    <w:rsid w:val="000A605C"/>
    <w:rsid w:val="000A6068"/>
    <w:rsid w:val="000A6069"/>
    <w:rsid w:val="000A6076"/>
    <w:rsid w:val="000A60A5"/>
    <w:rsid w:val="000A60C4"/>
    <w:rsid w:val="000A60D8"/>
    <w:rsid w:val="000A6163"/>
    <w:rsid w:val="000A61C9"/>
    <w:rsid w:val="000A61E7"/>
    <w:rsid w:val="000A61F5"/>
    <w:rsid w:val="000A6256"/>
    <w:rsid w:val="000A6263"/>
    <w:rsid w:val="000A6267"/>
    <w:rsid w:val="000A62A1"/>
    <w:rsid w:val="000A62A5"/>
    <w:rsid w:val="000A62B2"/>
    <w:rsid w:val="000A62E3"/>
    <w:rsid w:val="000A634B"/>
    <w:rsid w:val="000A6353"/>
    <w:rsid w:val="000A639B"/>
    <w:rsid w:val="000A63B6"/>
    <w:rsid w:val="000A6401"/>
    <w:rsid w:val="000A640B"/>
    <w:rsid w:val="000A6460"/>
    <w:rsid w:val="000A6473"/>
    <w:rsid w:val="000A647A"/>
    <w:rsid w:val="000A6496"/>
    <w:rsid w:val="000A64A7"/>
    <w:rsid w:val="000A64DE"/>
    <w:rsid w:val="000A651B"/>
    <w:rsid w:val="000A652A"/>
    <w:rsid w:val="000A652E"/>
    <w:rsid w:val="000A6576"/>
    <w:rsid w:val="000A659A"/>
    <w:rsid w:val="000A659E"/>
    <w:rsid w:val="000A65FB"/>
    <w:rsid w:val="000A6608"/>
    <w:rsid w:val="000A6615"/>
    <w:rsid w:val="000A6627"/>
    <w:rsid w:val="000A663A"/>
    <w:rsid w:val="000A6679"/>
    <w:rsid w:val="000A66A9"/>
    <w:rsid w:val="000A66C3"/>
    <w:rsid w:val="000A6714"/>
    <w:rsid w:val="000A6765"/>
    <w:rsid w:val="000A67BD"/>
    <w:rsid w:val="000A67C3"/>
    <w:rsid w:val="000A67DF"/>
    <w:rsid w:val="000A6844"/>
    <w:rsid w:val="000A6881"/>
    <w:rsid w:val="000A68BC"/>
    <w:rsid w:val="000A68C9"/>
    <w:rsid w:val="000A6901"/>
    <w:rsid w:val="000A691E"/>
    <w:rsid w:val="000A695D"/>
    <w:rsid w:val="000A696A"/>
    <w:rsid w:val="000A6976"/>
    <w:rsid w:val="000A69D8"/>
    <w:rsid w:val="000A69E1"/>
    <w:rsid w:val="000A6A4A"/>
    <w:rsid w:val="000A6ACD"/>
    <w:rsid w:val="000A6ADA"/>
    <w:rsid w:val="000A6AEC"/>
    <w:rsid w:val="000A6B85"/>
    <w:rsid w:val="000A6BA6"/>
    <w:rsid w:val="000A6BD1"/>
    <w:rsid w:val="000A6C1E"/>
    <w:rsid w:val="000A6C43"/>
    <w:rsid w:val="000A6C5C"/>
    <w:rsid w:val="000A6C80"/>
    <w:rsid w:val="000A6C99"/>
    <w:rsid w:val="000A6CB0"/>
    <w:rsid w:val="000A6D03"/>
    <w:rsid w:val="000A6D17"/>
    <w:rsid w:val="000A6D1E"/>
    <w:rsid w:val="000A6D83"/>
    <w:rsid w:val="000A6DBF"/>
    <w:rsid w:val="000A6DCB"/>
    <w:rsid w:val="000A6DEF"/>
    <w:rsid w:val="000A6E2D"/>
    <w:rsid w:val="000A6EA1"/>
    <w:rsid w:val="000A6EC8"/>
    <w:rsid w:val="000A6ED2"/>
    <w:rsid w:val="000A6ED4"/>
    <w:rsid w:val="000A6F0F"/>
    <w:rsid w:val="000A6F1F"/>
    <w:rsid w:val="000A6F3B"/>
    <w:rsid w:val="000A6F42"/>
    <w:rsid w:val="000A6F6B"/>
    <w:rsid w:val="000A6F71"/>
    <w:rsid w:val="000A6FE0"/>
    <w:rsid w:val="000A6FFD"/>
    <w:rsid w:val="000A7020"/>
    <w:rsid w:val="000A7025"/>
    <w:rsid w:val="000A702A"/>
    <w:rsid w:val="000A702F"/>
    <w:rsid w:val="000A7036"/>
    <w:rsid w:val="000A707B"/>
    <w:rsid w:val="000A7089"/>
    <w:rsid w:val="000A70C3"/>
    <w:rsid w:val="000A70CE"/>
    <w:rsid w:val="000A70DD"/>
    <w:rsid w:val="000A713F"/>
    <w:rsid w:val="000A714B"/>
    <w:rsid w:val="000A7178"/>
    <w:rsid w:val="000A71E7"/>
    <w:rsid w:val="000A71F1"/>
    <w:rsid w:val="000A71F8"/>
    <w:rsid w:val="000A729D"/>
    <w:rsid w:val="000A72CC"/>
    <w:rsid w:val="000A72F6"/>
    <w:rsid w:val="000A732C"/>
    <w:rsid w:val="000A732F"/>
    <w:rsid w:val="000A7331"/>
    <w:rsid w:val="000A7336"/>
    <w:rsid w:val="000A7363"/>
    <w:rsid w:val="000A7378"/>
    <w:rsid w:val="000A7396"/>
    <w:rsid w:val="000A739C"/>
    <w:rsid w:val="000A73A0"/>
    <w:rsid w:val="000A73C8"/>
    <w:rsid w:val="000A73DF"/>
    <w:rsid w:val="000A7404"/>
    <w:rsid w:val="000A7405"/>
    <w:rsid w:val="000A7435"/>
    <w:rsid w:val="000A743B"/>
    <w:rsid w:val="000A7455"/>
    <w:rsid w:val="000A7493"/>
    <w:rsid w:val="000A74CD"/>
    <w:rsid w:val="000A74E8"/>
    <w:rsid w:val="000A7521"/>
    <w:rsid w:val="000A754C"/>
    <w:rsid w:val="000A756A"/>
    <w:rsid w:val="000A757D"/>
    <w:rsid w:val="000A75A1"/>
    <w:rsid w:val="000A75D9"/>
    <w:rsid w:val="000A75DE"/>
    <w:rsid w:val="000A75E3"/>
    <w:rsid w:val="000A75EA"/>
    <w:rsid w:val="000A7635"/>
    <w:rsid w:val="000A76DB"/>
    <w:rsid w:val="000A7723"/>
    <w:rsid w:val="000A7730"/>
    <w:rsid w:val="000A7765"/>
    <w:rsid w:val="000A779F"/>
    <w:rsid w:val="000A77B9"/>
    <w:rsid w:val="000A77E7"/>
    <w:rsid w:val="000A77EA"/>
    <w:rsid w:val="000A77FC"/>
    <w:rsid w:val="000A7808"/>
    <w:rsid w:val="000A78D6"/>
    <w:rsid w:val="000A78F5"/>
    <w:rsid w:val="000A7913"/>
    <w:rsid w:val="000A7936"/>
    <w:rsid w:val="000A7947"/>
    <w:rsid w:val="000A7954"/>
    <w:rsid w:val="000A79B5"/>
    <w:rsid w:val="000A79D0"/>
    <w:rsid w:val="000A79D5"/>
    <w:rsid w:val="000A7A53"/>
    <w:rsid w:val="000A7A74"/>
    <w:rsid w:val="000A7A9D"/>
    <w:rsid w:val="000A7AAB"/>
    <w:rsid w:val="000A7AC8"/>
    <w:rsid w:val="000A7B27"/>
    <w:rsid w:val="000A7BB3"/>
    <w:rsid w:val="000A7BE4"/>
    <w:rsid w:val="000A7C36"/>
    <w:rsid w:val="000A7C60"/>
    <w:rsid w:val="000A7C6D"/>
    <w:rsid w:val="000A7C85"/>
    <w:rsid w:val="000A7C89"/>
    <w:rsid w:val="000A7C95"/>
    <w:rsid w:val="000A7CF0"/>
    <w:rsid w:val="000A7D55"/>
    <w:rsid w:val="000A7D69"/>
    <w:rsid w:val="000A7D9C"/>
    <w:rsid w:val="000A7DCD"/>
    <w:rsid w:val="000A7DDA"/>
    <w:rsid w:val="000A7E00"/>
    <w:rsid w:val="000A7F20"/>
    <w:rsid w:val="000A7F58"/>
    <w:rsid w:val="000A7FA7"/>
    <w:rsid w:val="000A7FAD"/>
    <w:rsid w:val="000A7FE5"/>
    <w:rsid w:val="000B0006"/>
    <w:rsid w:val="000B005F"/>
    <w:rsid w:val="000B0076"/>
    <w:rsid w:val="000B009B"/>
    <w:rsid w:val="000B00D1"/>
    <w:rsid w:val="000B0121"/>
    <w:rsid w:val="000B013E"/>
    <w:rsid w:val="000B01A4"/>
    <w:rsid w:val="000B01EF"/>
    <w:rsid w:val="000B021A"/>
    <w:rsid w:val="000B0223"/>
    <w:rsid w:val="000B02DC"/>
    <w:rsid w:val="000B02F6"/>
    <w:rsid w:val="000B034F"/>
    <w:rsid w:val="000B0361"/>
    <w:rsid w:val="000B036B"/>
    <w:rsid w:val="000B0419"/>
    <w:rsid w:val="000B0436"/>
    <w:rsid w:val="000B0440"/>
    <w:rsid w:val="000B044A"/>
    <w:rsid w:val="000B04AF"/>
    <w:rsid w:val="000B04CA"/>
    <w:rsid w:val="000B04D5"/>
    <w:rsid w:val="000B051A"/>
    <w:rsid w:val="000B05AF"/>
    <w:rsid w:val="000B0616"/>
    <w:rsid w:val="000B0660"/>
    <w:rsid w:val="000B06DC"/>
    <w:rsid w:val="000B0721"/>
    <w:rsid w:val="000B0759"/>
    <w:rsid w:val="000B078F"/>
    <w:rsid w:val="000B0812"/>
    <w:rsid w:val="000B0813"/>
    <w:rsid w:val="000B0816"/>
    <w:rsid w:val="000B088D"/>
    <w:rsid w:val="000B08DF"/>
    <w:rsid w:val="000B0925"/>
    <w:rsid w:val="000B095F"/>
    <w:rsid w:val="000B09BC"/>
    <w:rsid w:val="000B09F7"/>
    <w:rsid w:val="000B0A72"/>
    <w:rsid w:val="000B0AFC"/>
    <w:rsid w:val="000B0B20"/>
    <w:rsid w:val="000B0B36"/>
    <w:rsid w:val="000B0B7A"/>
    <w:rsid w:val="000B0B84"/>
    <w:rsid w:val="000B0C1C"/>
    <w:rsid w:val="000B0C4A"/>
    <w:rsid w:val="000B0C4F"/>
    <w:rsid w:val="000B0CD1"/>
    <w:rsid w:val="000B0CD5"/>
    <w:rsid w:val="000B0CF0"/>
    <w:rsid w:val="000B0D1E"/>
    <w:rsid w:val="000B0D22"/>
    <w:rsid w:val="000B0D3E"/>
    <w:rsid w:val="000B0D88"/>
    <w:rsid w:val="000B0D8F"/>
    <w:rsid w:val="000B0E20"/>
    <w:rsid w:val="000B0E28"/>
    <w:rsid w:val="000B0E80"/>
    <w:rsid w:val="000B0EF4"/>
    <w:rsid w:val="000B0F11"/>
    <w:rsid w:val="000B0F35"/>
    <w:rsid w:val="000B0F70"/>
    <w:rsid w:val="000B0F95"/>
    <w:rsid w:val="000B0F96"/>
    <w:rsid w:val="000B0F9C"/>
    <w:rsid w:val="000B0FB0"/>
    <w:rsid w:val="000B1005"/>
    <w:rsid w:val="000B101E"/>
    <w:rsid w:val="000B108B"/>
    <w:rsid w:val="000B1095"/>
    <w:rsid w:val="000B10A2"/>
    <w:rsid w:val="000B10D5"/>
    <w:rsid w:val="000B10E7"/>
    <w:rsid w:val="000B10ED"/>
    <w:rsid w:val="000B10FA"/>
    <w:rsid w:val="000B110E"/>
    <w:rsid w:val="000B112F"/>
    <w:rsid w:val="000B114F"/>
    <w:rsid w:val="000B1155"/>
    <w:rsid w:val="000B115F"/>
    <w:rsid w:val="000B1167"/>
    <w:rsid w:val="000B1201"/>
    <w:rsid w:val="000B124A"/>
    <w:rsid w:val="000B1285"/>
    <w:rsid w:val="000B129A"/>
    <w:rsid w:val="000B12C2"/>
    <w:rsid w:val="000B136B"/>
    <w:rsid w:val="000B139D"/>
    <w:rsid w:val="000B1469"/>
    <w:rsid w:val="000B1497"/>
    <w:rsid w:val="000B14CF"/>
    <w:rsid w:val="000B14EC"/>
    <w:rsid w:val="000B1509"/>
    <w:rsid w:val="000B1511"/>
    <w:rsid w:val="000B1548"/>
    <w:rsid w:val="000B1564"/>
    <w:rsid w:val="000B1570"/>
    <w:rsid w:val="000B15C4"/>
    <w:rsid w:val="000B1622"/>
    <w:rsid w:val="000B1668"/>
    <w:rsid w:val="000B1673"/>
    <w:rsid w:val="000B1691"/>
    <w:rsid w:val="000B16CA"/>
    <w:rsid w:val="000B1719"/>
    <w:rsid w:val="000B1750"/>
    <w:rsid w:val="000B175A"/>
    <w:rsid w:val="000B1796"/>
    <w:rsid w:val="000B17D3"/>
    <w:rsid w:val="000B17DA"/>
    <w:rsid w:val="000B17E9"/>
    <w:rsid w:val="000B1805"/>
    <w:rsid w:val="000B1828"/>
    <w:rsid w:val="000B1859"/>
    <w:rsid w:val="000B186D"/>
    <w:rsid w:val="000B187A"/>
    <w:rsid w:val="000B1890"/>
    <w:rsid w:val="000B189E"/>
    <w:rsid w:val="000B18BC"/>
    <w:rsid w:val="000B18C8"/>
    <w:rsid w:val="000B18CA"/>
    <w:rsid w:val="000B18F3"/>
    <w:rsid w:val="000B1910"/>
    <w:rsid w:val="000B1915"/>
    <w:rsid w:val="000B1959"/>
    <w:rsid w:val="000B1A92"/>
    <w:rsid w:val="000B1AB7"/>
    <w:rsid w:val="000B1AFA"/>
    <w:rsid w:val="000B1B39"/>
    <w:rsid w:val="000B1B69"/>
    <w:rsid w:val="000B1B92"/>
    <w:rsid w:val="000B1C18"/>
    <w:rsid w:val="000B1C23"/>
    <w:rsid w:val="000B1C31"/>
    <w:rsid w:val="000B1C50"/>
    <w:rsid w:val="000B1C8A"/>
    <w:rsid w:val="000B1C8E"/>
    <w:rsid w:val="000B1CB0"/>
    <w:rsid w:val="000B1CBC"/>
    <w:rsid w:val="000B1CBD"/>
    <w:rsid w:val="000B1CC8"/>
    <w:rsid w:val="000B1D5E"/>
    <w:rsid w:val="000B1E80"/>
    <w:rsid w:val="000B1E8C"/>
    <w:rsid w:val="000B1EC4"/>
    <w:rsid w:val="000B1EC6"/>
    <w:rsid w:val="000B1F34"/>
    <w:rsid w:val="000B1F70"/>
    <w:rsid w:val="000B1F7D"/>
    <w:rsid w:val="000B1FE7"/>
    <w:rsid w:val="000B2024"/>
    <w:rsid w:val="000B2072"/>
    <w:rsid w:val="000B2085"/>
    <w:rsid w:val="000B208D"/>
    <w:rsid w:val="000B20B8"/>
    <w:rsid w:val="000B20BC"/>
    <w:rsid w:val="000B20ED"/>
    <w:rsid w:val="000B20FB"/>
    <w:rsid w:val="000B211A"/>
    <w:rsid w:val="000B2135"/>
    <w:rsid w:val="000B218F"/>
    <w:rsid w:val="000B21A2"/>
    <w:rsid w:val="000B21FA"/>
    <w:rsid w:val="000B2223"/>
    <w:rsid w:val="000B224B"/>
    <w:rsid w:val="000B2253"/>
    <w:rsid w:val="000B2266"/>
    <w:rsid w:val="000B22A2"/>
    <w:rsid w:val="000B22B5"/>
    <w:rsid w:val="000B22BD"/>
    <w:rsid w:val="000B22C1"/>
    <w:rsid w:val="000B22D3"/>
    <w:rsid w:val="000B22EE"/>
    <w:rsid w:val="000B23B7"/>
    <w:rsid w:val="000B23E7"/>
    <w:rsid w:val="000B2402"/>
    <w:rsid w:val="000B2440"/>
    <w:rsid w:val="000B246C"/>
    <w:rsid w:val="000B24A6"/>
    <w:rsid w:val="000B24B1"/>
    <w:rsid w:val="000B24BE"/>
    <w:rsid w:val="000B2513"/>
    <w:rsid w:val="000B2525"/>
    <w:rsid w:val="000B256E"/>
    <w:rsid w:val="000B25A3"/>
    <w:rsid w:val="000B25C2"/>
    <w:rsid w:val="000B25E1"/>
    <w:rsid w:val="000B2626"/>
    <w:rsid w:val="000B264C"/>
    <w:rsid w:val="000B2669"/>
    <w:rsid w:val="000B269B"/>
    <w:rsid w:val="000B26C0"/>
    <w:rsid w:val="000B26D5"/>
    <w:rsid w:val="000B26D6"/>
    <w:rsid w:val="000B26E6"/>
    <w:rsid w:val="000B2700"/>
    <w:rsid w:val="000B2752"/>
    <w:rsid w:val="000B277A"/>
    <w:rsid w:val="000B278D"/>
    <w:rsid w:val="000B27BE"/>
    <w:rsid w:val="000B27F1"/>
    <w:rsid w:val="000B27F2"/>
    <w:rsid w:val="000B282B"/>
    <w:rsid w:val="000B2840"/>
    <w:rsid w:val="000B2901"/>
    <w:rsid w:val="000B2909"/>
    <w:rsid w:val="000B2940"/>
    <w:rsid w:val="000B2950"/>
    <w:rsid w:val="000B2984"/>
    <w:rsid w:val="000B298E"/>
    <w:rsid w:val="000B2991"/>
    <w:rsid w:val="000B29B7"/>
    <w:rsid w:val="000B29DA"/>
    <w:rsid w:val="000B2A13"/>
    <w:rsid w:val="000B2A35"/>
    <w:rsid w:val="000B2A7F"/>
    <w:rsid w:val="000B2AA4"/>
    <w:rsid w:val="000B2B2E"/>
    <w:rsid w:val="000B2B4C"/>
    <w:rsid w:val="000B2B6A"/>
    <w:rsid w:val="000B2BE3"/>
    <w:rsid w:val="000B2C17"/>
    <w:rsid w:val="000B2C21"/>
    <w:rsid w:val="000B2C2E"/>
    <w:rsid w:val="000B2C9E"/>
    <w:rsid w:val="000B2CB2"/>
    <w:rsid w:val="000B2CD2"/>
    <w:rsid w:val="000B2CDD"/>
    <w:rsid w:val="000B2CE5"/>
    <w:rsid w:val="000B2CF3"/>
    <w:rsid w:val="000B2D07"/>
    <w:rsid w:val="000B2D22"/>
    <w:rsid w:val="000B2D80"/>
    <w:rsid w:val="000B2D8F"/>
    <w:rsid w:val="000B2DBC"/>
    <w:rsid w:val="000B2DE5"/>
    <w:rsid w:val="000B2E26"/>
    <w:rsid w:val="000B2E6C"/>
    <w:rsid w:val="000B2E82"/>
    <w:rsid w:val="000B2EA2"/>
    <w:rsid w:val="000B2F5E"/>
    <w:rsid w:val="000B2FF5"/>
    <w:rsid w:val="000B3032"/>
    <w:rsid w:val="000B307D"/>
    <w:rsid w:val="000B3082"/>
    <w:rsid w:val="000B30A6"/>
    <w:rsid w:val="000B30CA"/>
    <w:rsid w:val="000B30F5"/>
    <w:rsid w:val="000B30F7"/>
    <w:rsid w:val="000B311B"/>
    <w:rsid w:val="000B3121"/>
    <w:rsid w:val="000B3151"/>
    <w:rsid w:val="000B31CE"/>
    <w:rsid w:val="000B31E2"/>
    <w:rsid w:val="000B31F9"/>
    <w:rsid w:val="000B3211"/>
    <w:rsid w:val="000B3215"/>
    <w:rsid w:val="000B3333"/>
    <w:rsid w:val="000B333B"/>
    <w:rsid w:val="000B3385"/>
    <w:rsid w:val="000B3390"/>
    <w:rsid w:val="000B33D9"/>
    <w:rsid w:val="000B33F8"/>
    <w:rsid w:val="000B3407"/>
    <w:rsid w:val="000B3420"/>
    <w:rsid w:val="000B3467"/>
    <w:rsid w:val="000B34BE"/>
    <w:rsid w:val="000B34F5"/>
    <w:rsid w:val="000B3519"/>
    <w:rsid w:val="000B351B"/>
    <w:rsid w:val="000B3554"/>
    <w:rsid w:val="000B355E"/>
    <w:rsid w:val="000B3566"/>
    <w:rsid w:val="000B3573"/>
    <w:rsid w:val="000B35E2"/>
    <w:rsid w:val="000B3681"/>
    <w:rsid w:val="000B36B4"/>
    <w:rsid w:val="000B36BC"/>
    <w:rsid w:val="000B36DD"/>
    <w:rsid w:val="000B36E0"/>
    <w:rsid w:val="000B36EF"/>
    <w:rsid w:val="000B3739"/>
    <w:rsid w:val="000B382C"/>
    <w:rsid w:val="000B386B"/>
    <w:rsid w:val="000B387C"/>
    <w:rsid w:val="000B389E"/>
    <w:rsid w:val="000B38D1"/>
    <w:rsid w:val="000B3919"/>
    <w:rsid w:val="000B394F"/>
    <w:rsid w:val="000B3964"/>
    <w:rsid w:val="000B3975"/>
    <w:rsid w:val="000B39D3"/>
    <w:rsid w:val="000B3A0E"/>
    <w:rsid w:val="000B3A8C"/>
    <w:rsid w:val="000B3AD4"/>
    <w:rsid w:val="000B3AFE"/>
    <w:rsid w:val="000B3B23"/>
    <w:rsid w:val="000B3B61"/>
    <w:rsid w:val="000B3B6C"/>
    <w:rsid w:val="000B3BE0"/>
    <w:rsid w:val="000B3BEC"/>
    <w:rsid w:val="000B3BF2"/>
    <w:rsid w:val="000B3C4B"/>
    <w:rsid w:val="000B3C94"/>
    <w:rsid w:val="000B3CBB"/>
    <w:rsid w:val="000B3CC3"/>
    <w:rsid w:val="000B3CFC"/>
    <w:rsid w:val="000B3D00"/>
    <w:rsid w:val="000B3D21"/>
    <w:rsid w:val="000B3D51"/>
    <w:rsid w:val="000B3D77"/>
    <w:rsid w:val="000B3D81"/>
    <w:rsid w:val="000B3DB6"/>
    <w:rsid w:val="000B3E75"/>
    <w:rsid w:val="000B3E7C"/>
    <w:rsid w:val="000B3EB6"/>
    <w:rsid w:val="000B3EBE"/>
    <w:rsid w:val="000B3EEE"/>
    <w:rsid w:val="000B3EEF"/>
    <w:rsid w:val="000B3EFD"/>
    <w:rsid w:val="000B3F43"/>
    <w:rsid w:val="000B3F4D"/>
    <w:rsid w:val="000B3F89"/>
    <w:rsid w:val="000B3F8D"/>
    <w:rsid w:val="000B3FAD"/>
    <w:rsid w:val="000B401E"/>
    <w:rsid w:val="000B40D3"/>
    <w:rsid w:val="000B4114"/>
    <w:rsid w:val="000B4122"/>
    <w:rsid w:val="000B4136"/>
    <w:rsid w:val="000B41A0"/>
    <w:rsid w:val="000B41C6"/>
    <w:rsid w:val="000B41DC"/>
    <w:rsid w:val="000B41FE"/>
    <w:rsid w:val="000B425B"/>
    <w:rsid w:val="000B42BE"/>
    <w:rsid w:val="000B42CD"/>
    <w:rsid w:val="000B42D5"/>
    <w:rsid w:val="000B42F8"/>
    <w:rsid w:val="000B4310"/>
    <w:rsid w:val="000B4342"/>
    <w:rsid w:val="000B434D"/>
    <w:rsid w:val="000B4366"/>
    <w:rsid w:val="000B43AE"/>
    <w:rsid w:val="000B43D7"/>
    <w:rsid w:val="000B4416"/>
    <w:rsid w:val="000B4458"/>
    <w:rsid w:val="000B447C"/>
    <w:rsid w:val="000B449A"/>
    <w:rsid w:val="000B44B3"/>
    <w:rsid w:val="000B44EC"/>
    <w:rsid w:val="000B44EE"/>
    <w:rsid w:val="000B4508"/>
    <w:rsid w:val="000B453D"/>
    <w:rsid w:val="000B4557"/>
    <w:rsid w:val="000B455B"/>
    <w:rsid w:val="000B457E"/>
    <w:rsid w:val="000B45EF"/>
    <w:rsid w:val="000B4659"/>
    <w:rsid w:val="000B4664"/>
    <w:rsid w:val="000B4680"/>
    <w:rsid w:val="000B469F"/>
    <w:rsid w:val="000B46B1"/>
    <w:rsid w:val="000B4729"/>
    <w:rsid w:val="000B473E"/>
    <w:rsid w:val="000B476A"/>
    <w:rsid w:val="000B47FE"/>
    <w:rsid w:val="000B4800"/>
    <w:rsid w:val="000B48BF"/>
    <w:rsid w:val="000B4983"/>
    <w:rsid w:val="000B49EC"/>
    <w:rsid w:val="000B4A0A"/>
    <w:rsid w:val="000B4A59"/>
    <w:rsid w:val="000B4A5D"/>
    <w:rsid w:val="000B4A65"/>
    <w:rsid w:val="000B4A7F"/>
    <w:rsid w:val="000B4AA7"/>
    <w:rsid w:val="000B4AED"/>
    <w:rsid w:val="000B4AEF"/>
    <w:rsid w:val="000B4AF8"/>
    <w:rsid w:val="000B4B0C"/>
    <w:rsid w:val="000B4B58"/>
    <w:rsid w:val="000B4B92"/>
    <w:rsid w:val="000B4BE7"/>
    <w:rsid w:val="000B4BEC"/>
    <w:rsid w:val="000B4C23"/>
    <w:rsid w:val="000B4C2D"/>
    <w:rsid w:val="000B4C2E"/>
    <w:rsid w:val="000B4C96"/>
    <w:rsid w:val="000B4CAD"/>
    <w:rsid w:val="000B4D21"/>
    <w:rsid w:val="000B4D35"/>
    <w:rsid w:val="000B4D82"/>
    <w:rsid w:val="000B4DA0"/>
    <w:rsid w:val="000B4DA9"/>
    <w:rsid w:val="000B4DCF"/>
    <w:rsid w:val="000B4DDD"/>
    <w:rsid w:val="000B4EB0"/>
    <w:rsid w:val="000B4EE6"/>
    <w:rsid w:val="000B4EE7"/>
    <w:rsid w:val="000B4F1F"/>
    <w:rsid w:val="000B4F63"/>
    <w:rsid w:val="000B4FB0"/>
    <w:rsid w:val="000B4FB5"/>
    <w:rsid w:val="000B4FD6"/>
    <w:rsid w:val="000B5041"/>
    <w:rsid w:val="000B5058"/>
    <w:rsid w:val="000B505F"/>
    <w:rsid w:val="000B5093"/>
    <w:rsid w:val="000B50C8"/>
    <w:rsid w:val="000B50D9"/>
    <w:rsid w:val="000B513E"/>
    <w:rsid w:val="000B5168"/>
    <w:rsid w:val="000B5187"/>
    <w:rsid w:val="000B519E"/>
    <w:rsid w:val="000B51BA"/>
    <w:rsid w:val="000B51D9"/>
    <w:rsid w:val="000B51EE"/>
    <w:rsid w:val="000B51FB"/>
    <w:rsid w:val="000B521A"/>
    <w:rsid w:val="000B5332"/>
    <w:rsid w:val="000B5388"/>
    <w:rsid w:val="000B53BB"/>
    <w:rsid w:val="000B53FE"/>
    <w:rsid w:val="000B53FF"/>
    <w:rsid w:val="000B5406"/>
    <w:rsid w:val="000B540A"/>
    <w:rsid w:val="000B5471"/>
    <w:rsid w:val="000B54A4"/>
    <w:rsid w:val="000B54E2"/>
    <w:rsid w:val="000B54EC"/>
    <w:rsid w:val="000B5533"/>
    <w:rsid w:val="000B5554"/>
    <w:rsid w:val="000B55F8"/>
    <w:rsid w:val="000B5618"/>
    <w:rsid w:val="000B5622"/>
    <w:rsid w:val="000B5630"/>
    <w:rsid w:val="000B5646"/>
    <w:rsid w:val="000B565F"/>
    <w:rsid w:val="000B567F"/>
    <w:rsid w:val="000B56A5"/>
    <w:rsid w:val="000B56CD"/>
    <w:rsid w:val="000B56FA"/>
    <w:rsid w:val="000B56FC"/>
    <w:rsid w:val="000B5709"/>
    <w:rsid w:val="000B571B"/>
    <w:rsid w:val="000B572D"/>
    <w:rsid w:val="000B573B"/>
    <w:rsid w:val="000B574A"/>
    <w:rsid w:val="000B575D"/>
    <w:rsid w:val="000B57A8"/>
    <w:rsid w:val="000B57B2"/>
    <w:rsid w:val="000B57F5"/>
    <w:rsid w:val="000B5816"/>
    <w:rsid w:val="000B5848"/>
    <w:rsid w:val="000B585B"/>
    <w:rsid w:val="000B5864"/>
    <w:rsid w:val="000B5871"/>
    <w:rsid w:val="000B5896"/>
    <w:rsid w:val="000B58EA"/>
    <w:rsid w:val="000B5900"/>
    <w:rsid w:val="000B5902"/>
    <w:rsid w:val="000B593B"/>
    <w:rsid w:val="000B595E"/>
    <w:rsid w:val="000B59C9"/>
    <w:rsid w:val="000B5A15"/>
    <w:rsid w:val="000B5A69"/>
    <w:rsid w:val="000B5AF4"/>
    <w:rsid w:val="000B5AFC"/>
    <w:rsid w:val="000B5B16"/>
    <w:rsid w:val="000B5B23"/>
    <w:rsid w:val="000B5B32"/>
    <w:rsid w:val="000B5B3D"/>
    <w:rsid w:val="000B5B47"/>
    <w:rsid w:val="000B5B94"/>
    <w:rsid w:val="000B5BC5"/>
    <w:rsid w:val="000B5C0C"/>
    <w:rsid w:val="000B5C56"/>
    <w:rsid w:val="000B5C8D"/>
    <w:rsid w:val="000B5C9B"/>
    <w:rsid w:val="000B5D20"/>
    <w:rsid w:val="000B5D33"/>
    <w:rsid w:val="000B5D61"/>
    <w:rsid w:val="000B5DCC"/>
    <w:rsid w:val="000B5DCF"/>
    <w:rsid w:val="000B5DFC"/>
    <w:rsid w:val="000B5E06"/>
    <w:rsid w:val="000B5E65"/>
    <w:rsid w:val="000B5E66"/>
    <w:rsid w:val="000B5E92"/>
    <w:rsid w:val="000B5E9C"/>
    <w:rsid w:val="000B5F02"/>
    <w:rsid w:val="000B5F42"/>
    <w:rsid w:val="000B5F68"/>
    <w:rsid w:val="000B5F6F"/>
    <w:rsid w:val="000B5FD7"/>
    <w:rsid w:val="000B603C"/>
    <w:rsid w:val="000B606D"/>
    <w:rsid w:val="000B606E"/>
    <w:rsid w:val="000B60A9"/>
    <w:rsid w:val="000B60AD"/>
    <w:rsid w:val="000B60DB"/>
    <w:rsid w:val="000B6197"/>
    <w:rsid w:val="000B61C0"/>
    <w:rsid w:val="000B61D7"/>
    <w:rsid w:val="000B61E0"/>
    <w:rsid w:val="000B621B"/>
    <w:rsid w:val="000B6311"/>
    <w:rsid w:val="000B6317"/>
    <w:rsid w:val="000B6368"/>
    <w:rsid w:val="000B6376"/>
    <w:rsid w:val="000B639C"/>
    <w:rsid w:val="000B63AE"/>
    <w:rsid w:val="000B6400"/>
    <w:rsid w:val="000B6410"/>
    <w:rsid w:val="000B646D"/>
    <w:rsid w:val="000B64FA"/>
    <w:rsid w:val="000B65D2"/>
    <w:rsid w:val="000B6610"/>
    <w:rsid w:val="000B6641"/>
    <w:rsid w:val="000B6658"/>
    <w:rsid w:val="000B6670"/>
    <w:rsid w:val="000B66B5"/>
    <w:rsid w:val="000B672B"/>
    <w:rsid w:val="000B6731"/>
    <w:rsid w:val="000B6787"/>
    <w:rsid w:val="000B680A"/>
    <w:rsid w:val="000B6835"/>
    <w:rsid w:val="000B6851"/>
    <w:rsid w:val="000B688F"/>
    <w:rsid w:val="000B68C3"/>
    <w:rsid w:val="000B68C6"/>
    <w:rsid w:val="000B68FF"/>
    <w:rsid w:val="000B691F"/>
    <w:rsid w:val="000B695E"/>
    <w:rsid w:val="000B6962"/>
    <w:rsid w:val="000B6974"/>
    <w:rsid w:val="000B69BC"/>
    <w:rsid w:val="000B6A03"/>
    <w:rsid w:val="000B6A0D"/>
    <w:rsid w:val="000B6A1D"/>
    <w:rsid w:val="000B6A38"/>
    <w:rsid w:val="000B6AC0"/>
    <w:rsid w:val="000B6AF1"/>
    <w:rsid w:val="000B6B20"/>
    <w:rsid w:val="000B6B25"/>
    <w:rsid w:val="000B6B4F"/>
    <w:rsid w:val="000B6B8D"/>
    <w:rsid w:val="000B6BB7"/>
    <w:rsid w:val="000B6BCD"/>
    <w:rsid w:val="000B6C82"/>
    <w:rsid w:val="000B6CD3"/>
    <w:rsid w:val="000B6CD7"/>
    <w:rsid w:val="000B6D2A"/>
    <w:rsid w:val="000B6D68"/>
    <w:rsid w:val="000B6DAE"/>
    <w:rsid w:val="000B6DB4"/>
    <w:rsid w:val="000B6E32"/>
    <w:rsid w:val="000B6E7B"/>
    <w:rsid w:val="000B6E94"/>
    <w:rsid w:val="000B6E95"/>
    <w:rsid w:val="000B6EA3"/>
    <w:rsid w:val="000B6EAA"/>
    <w:rsid w:val="000B6EB9"/>
    <w:rsid w:val="000B6ED6"/>
    <w:rsid w:val="000B6EE9"/>
    <w:rsid w:val="000B6EEB"/>
    <w:rsid w:val="000B705F"/>
    <w:rsid w:val="000B707F"/>
    <w:rsid w:val="000B70BC"/>
    <w:rsid w:val="000B70CA"/>
    <w:rsid w:val="000B7113"/>
    <w:rsid w:val="000B7126"/>
    <w:rsid w:val="000B7128"/>
    <w:rsid w:val="000B7133"/>
    <w:rsid w:val="000B7136"/>
    <w:rsid w:val="000B713D"/>
    <w:rsid w:val="000B714D"/>
    <w:rsid w:val="000B71A3"/>
    <w:rsid w:val="000B71F2"/>
    <w:rsid w:val="000B720D"/>
    <w:rsid w:val="000B72BA"/>
    <w:rsid w:val="000B7331"/>
    <w:rsid w:val="000B7356"/>
    <w:rsid w:val="000B73BC"/>
    <w:rsid w:val="000B73C2"/>
    <w:rsid w:val="000B73D0"/>
    <w:rsid w:val="000B7406"/>
    <w:rsid w:val="000B7423"/>
    <w:rsid w:val="000B7425"/>
    <w:rsid w:val="000B7430"/>
    <w:rsid w:val="000B744F"/>
    <w:rsid w:val="000B747F"/>
    <w:rsid w:val="000B74AD"/>
    <w:rsid w:val="000B74EA"/>
    <w:rsid w:val="000B7541"/>
    <w:rsid w:val="000B7586"/>
    <w:rsid w:val="000B7597"/>
    <w:rsid w:val="000B75A1"/>
    <w:rsid w:val="000B75A3"/>
    <w:rsid w:val="000B7608"/>
    <w:rsid w:val="000B7678"/>
    <w:rsid w:val="000B7698"/>
    <w:rsid w:val="000B76C4"/>
    <w:rsid w:val="000B76E0"/>
    <w:rsid w:val="000B7768"/>
    <w:rsid w:val="000B7769"/>
    <w:rsid w:val="000B77F9"/>
    <w:rsid w:val="000B7834"/>
    <w:rsid w:val="000B784E"/>
    <w:rsid w:val="000B7863"/>
    <w:rsid w:val="000B7866"/>
    <w:rsid w:val="000B7868"/>
    <w:rsid w:val="000B786E"/>
    <w:rsid w:val="000B7874"/>
    <w:rsid w:val="000B788E"/>
    <w:rsid w:val="000B78C6"/>
    <w:rsid w:val="000B78CA"/>
    <w:rsid w:val="000B78CD"/>
    <w:rsid w:val="000B78E5"/>
    <w:rsid w:val="000B7964"/>
    <w:rsid w:val="000B796C"/>
    <w:rsid w:val="000B799D"/>
    <w:rsid w:val="000B799E"/>
    <w:rsid w:val="000B79CE"/>
    <w:rsid w:val="000B7A18"/>
    <w:rsid w:val="000B7A78"/>
    <w:rsid w:val="000B7A97"/>
    <w:rsid w:val="000B7AAC"/>
    <w:rsid w:val="000B7AC4"/>
    <w:rsid w:val="000B7B22"/>
    <w:rsid w:val="000B7B25"/>
    <w:rsid w:val="000B7B93"/>
    <w:rsid w:val="000B7BE1"/>
    <w:rsid w:val="000B7BF3"/>
    <w:rsid w:val="000B7C04"/>
    <w:rsid w:val="000B7CBB"/>
    <w:rsid w:val="000B7CBF"/>
    <w:rsid w:val="000B7D05"/>
    <w:rsid w:val="000B7D19"/>
    <w:rsid w:val="000B7D2B"/>
    <w:rsid w:val="000B7D2E"/>
    <w:rsid w:val="000B7D57"/>
    <w:rsid w:val="000B7DD6"/>
    <w:rsid w:val="000B7E0A"/>
    <w:rsid w:val="000B7E61"/>
    <w:rsid w:val="000B7E77"/>
    <w:rsid w:val="000B7EBB"/>
    <w:rsid w:val="000B7EC0"/>
    <w:rsid w:val="000B7ED8"/>
    <w:rsid w:val="000B7EF8"/>
    <w:rsid w:val="000B7F4D"/>
    <w:rsid w:val="000B7F66"/>
    <w:rsid w:val="000B7F80"/>
    <w:rsid w:val="000B7F86"/>
    <w:rsid w:val="000B7F91"/>
    <w:rsid w:val="000B7FDC"/>
    <w:rsid w:val="000B7FDD"/>
    <w:rsid w:val="000C0020"/>
    <w:rsid w:val="000C002A"/>
    <w:rsid w:val="000C009B"/>
    <w:rsid w:val="000C00A2"/>
    <w:rsid w:val="000C00BE"/>
    <w:rsid w:val="000C00D3"/>
    <w:rsid w:val="000C00E1"/>
    <w:rsid w:val="000C00E7"/>
    <w:rsid w:val="000C0167"/>
    <w:rsid w:val="000C019C"/>
    <w:rsid w:val="000C01B5"/>
    <w:rsid w:val="000C01B6"/>
    <w:rsid w:val="000C01E2"/>
    <w:rsid w:val="000C021E"/>
    <w:rsid w:val="000C023A"/>
    <w:rsid w:val="000C0245"/>
    <w:rsid w:val="000C024C"/>
    <w:rsid w:val="000C0251"/>
    <w:rsid w:val="000C027F"/>
    <w:rsid w:val="000C02DE"/>
    <w:rsid w:val="000C02F2"/>
    <w:rsid w:val="000C031E"/>
    <w:rsid w:val="000C0369"/>
    <w:rsid w:val="000C0373"/>
    <w:rsid w:val="000C03CF"/>
    <w:rsid w:val="000C03E4"/>
    <w:rsid w:val="000C0434"/>
    <w:rsid w:val="000C0444"/>
    <w:rsid w:val="000C0450"/>
    <w:rsid w:val="000C0473"/>
    <w:rsid w:val="000C0496"/>
    <w:rsid w:val="000C04B8"/>
    <w:rsid w:val="000C04CF"/>
    <w:rsid w:val="000C04D3"/>
    <w:rsid w:val="000C04E4"/>
    <w:rsid w:val="000C04EC"/>
    <w:rsid w:val="000C052C"/>
    <w:rsid w:val="000C0542"/>
    <w:rsid w:val="000C0595"/>
    <w:rsid w:val="000C05AD"/>
    <w:rsid w:val="000C05D8"/>
    <w:rsid w:val="000C05E0"/>
    <w:rsid w:val="000C0645"/>
    <w:rsid w:val="000C0662"/>
    <w:rsid w:val="000C0690"/>
    <w:rsid w:val="000C06AA"/>
    <w:rsid w:val="000C06C3"/>
    <w:rsid w:val="000C06E3"/>
    <w:rsid w:val="000C0703"/>
    <w:rsid w:val="000C0710"/>
    <w:rsid w:val="000C0722"/>
    <w:rsid w:val="000C0737"/>
    <w:rsid w:val="000C0738"/>
    <w:rsid w:val="000C0790"/>
    <w:rsid w:val="000C0799"/>
    <w:rsid w:val="000C079F"/>
    <w:rsid w:val="000C07A3"/>
    <w:rsid w:val="000C07A9"/>
    <w:rsid w:val="000C07B2"/>
    <w:rsid w:val="000C07C7"/>
    <w:rsid w:val="000C0822"/>
    <w:rsid w:val="000C0830"/>
    <w:rsid w:val="000C085D"/>
    <w:rsid w:val="000C08D6"/>
    <w:rsid w:val="000C0930"/>
    <w:rsid w:val="000C0945"/>
    <w:rsid w:val="000C0953"/>
    <w:rsid w:val="000C09D4"/>
    <w:rsid w:val="000C0A0D"/>
    <w:rsid w:val="000C0A91"/>
    <w:rsid w:val="000C0AB1"/>
    <w:rsid w:val="000C0AB5"/>
    <w:rsid w:val="000C0ABB"/>
    <w:rsid w:val="000C0ADC"/>
    <w:rsid w:val="000C0B01"/>
    <w:rsid w:val="000C0BE5"/>
    <w:rsid w:val="000C0CA9"/>
    <w:rsid w:val="000C0CD3"/>
    <w:rsid w:val="000C0D26"/>
    <w:rsid w:val="000C0D31"/>
    <w:rsid w:val="000C0DDC"/>
    <w:rsid w:val="000C0DEC"/>
    <w:rsid w:val="000C0E24"/>
    <w:rsid w:val="000C0F0F"/>
    <w:rsid w:val="000C0F3A"/>
    <w:rsid w:val="000C0F5E"/>
    <w:rsid w:val="000C0F73"/>
    <w:rsid w:val="000C0F88"/>
    <w:rsid w:val="000C0F94"/>
    <w:rsid w:val="000C0FCF"/>
    <w:rsid w:val="000C0FEA"/>
    <w:rsid w:val="000C1057"/>
    <w:rsid w:val="000C10AD"/>
    <w:rsid w:val="000C10C2"/>
    <w:rsid w:val="000C1166"/>
    <w:rsid w:val="000C1181"/>
    <w:rsid w:val="000C11F3"/>
    <w:rsid w:val="000C11FA"/>
    <w:rsid w:val="000C1214"/>
    <w:rsid w:val="000C121B"/>
    <w:rsid w:val="000C125E"/>
    <w:rsid w:val="000C126D"/>
    <w:rsid w:val="000C12A5"/>
    <w:rsid w:val="000C12BF"/>
    <w:rsid w:val="000C12C2"/>
    <w:rsid w:val="000C12CE"/>
    <w:rsid w:val="000C1346"/>
    <w:rsid w:val="000C138D"/>
    <w:rsid w:val="000C13A1"/>
    <w:rsid w:val="000C13B3"/>
    <w:rsid w:val="000C13D0"/>
    <w:rsid w:val="000C13E2"/>
    <w:rsid w:val="000C13F9"/>
    <w:rsid w:val="000C140F"/>
    <w:rsid w:val="000C1425"/>
    <w:rsid w:val="000C1462"/>
    <w:rsid w:val="000C147E"/>
    <w:rsid w:val="000C14D8"/>
    <w:rsid w:val="000C14F2"/>
    <w:rsid w:val="000C151C"/>
    <w:rsid w:val="000C1554"/>
    <w:rsid w:val="000C15BE"/>
    <w:rsid w:val="000C1603"/>
    <w:rsid w:val="000C1610"/>
    <w:rsid w:val="000C1622"/>
    <w:rsid w:val="000C162F"/>
    <w:rsid w:val="000C1642"/>
    <w:rsid w:val="000C16B7"/>
    <w:rsid w:val="000C16F9"/>
    <w:rsid w:val="000C176D"/>
    <w:rsid w:val="000C177F"/>
    <w:rsid w:val="000C1782"/>
    <w:rsid w:val="000C17AA"/>
    <w:rsid w:val="000C17E3"/>
    <w:rsid w:val="000C17ED"/>
    <w:rsid w:val="000C1831"/>
    <w:rsid w:val="000C183A"/>
    <w:rsid w:val="000C18DF"/>
    <w:rsid w:val="000C191C"/>
    <w:rsid w:val="000C1940"/>
    <w:rsid w:val="000C1944"/>
    <w:rsid w:val="000C1952"/>
    <w:rsid w:val="000C1985"/>
    <w:rsid w:val="000C1988"/>
    <w:rsid w:val="000C19A2"/>
    <w:rsid w:val="000C19D4"/>
    <w:rsid w:val="000C19E5"/>
    <w:rsid w:val="000C1A00"/>
    <w:rsid w:val="000C1A05"/>
    <w:rsid w:val="000C1A08"/>
    <w:rsid w:val="000C1A37"/>
    <w:rsid w:val="000C1A4F"/>
    <w:rsid w:val="000C1A69"/>
    <w:rsid w:val="000C1A80"/>
    <w:rsid w:val="000C1A98"/>
    <w:rsid w:val="000C1AC2"/>
    <w:rsid w:val="000C1AF8"/>
    <w:rsid w:val="000C1AFB"/>
    <w:rsid w:val="000C1B1F"/>
    <w:rsid w:val="000C1B75"/>
    <w:rsid w:val="000C1B80"/>
    <w:rsid w:val="000C1BC9"/>
    <w:rsid w:val="000C1BF2"/>
    <w:rsid w:val="000C1C22"/>
    <w:rsid w:val="000C1C53"/>
    <w:rsid w:val="000C1CB3"/>
    <w:rsid w:val="000C1CC0"/>
    <w:rsid w:val="000C1CD3"/>
    <w:rsid w:val="000C1D36"/>
    <w:rsid w:val="000C1D74"/>
    <w:rsid w:val="000C1DA0"/>
    <w:rsid w:val="000C1E25"/>
    <w:rsid w:val="000C1E55"/>
    <w:rsid w:val="000C1E5A"/>
    <w:rsid w:val="000C1E5F"/>
    <w:rsid w:val="000C1E65"/>
    <w:rsid w:val="000C1E78"/>
    <w:rsid w:val="000C1E7D"/>
    <w:rsid w:val="000C1E8A"/>
    <w:rsid w:val="000C1ED7"/>
    <w:rsid w:val="000C1ED9"/>
    <w:rsid w:val="000C1EE2"/>
    <w:rsid w:val="000C1F1A"/>
    <w:rsid w:val="000C1F5A"/>
    <w:rsid w:val="000C1F78"/>
    <w:rsid w:val="000C1F96"/>
    <w:rsid w:val="000C2005"/>
    <w:rsid w:val="000C203E"/>
    <w:rsid w:val="000C205F"/>
    <w:rsid w:val="000C20B8"/>
    <w:rsid w:val="000C20BF"/>
    <w:rsid w:val="000C20F7"/>
    <w:rsid w:val="000C2106"/>
    <w:rsid w:val="000C212A"/>
    <w:rsid w:val="000C212D"/>
    <w:rsid w:val="000C214B"/>
    <w:rsid w:val="000C215C"/>
    <w:rsid w:val="000C215F"/>
    <w:rsid w:val="000C2161"/>
    <w:rsid w:val="000C2182"/>
    <w:rsid w:val="000C2183"/>
    <w:rsid w:val="000C222D"/>
    <w:rsid w:val="000C2261"/>
    <w:rsid w:val="000C2287"/>
    <w:rsid w:val="000C2297"/>
    <w:rsid w:val="000C23A7"/>
    <w:rsid w:val="000C23BA"/>
    <w:rsid w:val="000C23C5"/>
    <w:rsid w:val="000C23D0"/>
    <w:rsid w:val="000C241F"/>
    <w:rsid w:val="000C2424"/>
    <w:rsid w:val="000C2469"/>
    <w:rsid w:val="000C24A9"/>
    <w:rsid w:val="000C252B"/>
    <w:rsid w:val="000C254D"/>
    <w:rsid w:val="000C2550"/>
    <w:rsid w:val="000C2559"/>
    <w:rsid w:val="000C2568"/>
    <w:rsid w:val="000C2579"/>
    <w:rsid w:val="000C25FF"/>
    <w:rsid w:val="000C2614"/>
    <w:rsid w:val="000C2625"/>
    <w:rsid w:val="000C266E"/>
    <w:rsid w:val="000C26B3"/>
    <w:rsid w:val="000C26CC"/>
    <w:rsid w:val="000C2712"/>
    <w:rsid w:val="000C2756"/>
    <w:rsid w:val="000C2762"/>
    <w:rsid w:val="000C2771"/>
    <w:rsid w:val="000C277D"/>
    <w:rsid w:val="000C27A5"/>
    <w:rsid w:val="000C27CB"/>
    <w:rsid w:val="000C281B"/>
    <w:rsid w:val="000C2837"/>
    <w:rsid w:val="000C2892"/>
    <w:rsid w:val="000C2898"/>
    <w:rsid w:val="000C28C7"/>
    <w:rsid w:val="000C290A"/>
    <w:rsid w:val="000C291F"/>
    <w:rsid w:val="000C2940"/>
    <w:rsid w:val="000C2976"/>
    <w:rsid w:val="000C29CD"/>
    <w:rsid w:val="000C2A03"/>
    <w:rsid w:val="000C2A7A"/>
    <w:rsid w:val="000C2A89"/>
    <w:rsid w:val="000C2B14"/>
    <w:rsid w:val="000C2B3F"/>
    <w:rsid w:val="000C2B41"/>
    <w:rsid w:val="000C2B4B"/>
    <w:rsid w:val="000C2B56"/>
    <w:rsid w:val="000C2B9D"/>
    <w:rsid w:val="000C2BB2"/>
    <w:rsid w:val="000C2BC0"/>
    <w:rsid w:val="000C2BC4"/>
    <w:rsid w:val="000C2C00"/>
    <w:rsid w:val="000C2C56"/>
    <w:rsid w:val="000C2C85"/>
    <w:rsid w:val="000C2CCC"/>
    <w:rsid w:val="000C2CE5"/>
    <w:rsid w:val="000C2CF5"/>
    <w:rsid w:val="000C2D0C"/>
    <w:rsid w:val="000C2D24"/>
    <w:rsid w:val="000C2DAF"/>
    <w:rsid w:val="000C2DBD"/>
    <w:rsid w:val="000C2DC7"/>
    <w:rsid w:val="000C2DCA"/>
    <w:rsid w:val="000C2DD0"/>
    <w:rsid w:val="000C2E09"/>
    <w:rsid w:val="000C2E37"/>
    <w:rsid w:val="000C2EA5"/>
    <w:rsid w:val="000C2EEA"/>
    <w:rsid w:val="000C2F75"/>
    <w:rsid w:val="000C2F8E"/>
    <w:rsid w:val="000C3007"/>
    <w:rsid w:val="000C301F"/>
    <w:rsid w:val="000C302A"/>
    <w:rsid w:val="000C3044"/>
    <w:rsid w:val="000C308E"/>
    <w:rsid w:val="000C30C1"/>
    <w:rsid w:val="000C30CC"/>
    <w:rsid w:val="000C312D"/>
    <w:rsid w:val="000C315D"/>
    <w:rsid w:val="000C3179"/>
    <w:rsid w:val="000C31A0"/>
    <w:rsid w:val="000C31A6"/>
    <w:rsid w:val="000C31AC"/>
    <w:rsid w:val="000C320F"/>
    <w:rsid w:val="000C3217"/>
    <w:rsid w:val="000C3224"/>
    <w:rsid w:val="000C3274"/>
    <w:rsid w:val="000C32B6"/>
    <w:rsid w:val="000C32E7"/>
    <w:rsid w:val="000C32F8"/>
    <w:rsid w:val="000C333D"/>
    <w:rsid w:val="000C334F"/>
    <w:rsid w:val="000C3374"/>
    <w:rsid w:val="000C3398"/>
    <w:rsid w:val="000C33B6"/>
    <w:rsid w:val="000C3407"/>
    <w:rsid w:val="000C340E"/>
    <w:rsid w:val="000C344E"/>
    <w:rsid w:val="000C3498"/>
    <w:rsid w:val="000C3499"/>
    <w:rsid w:val="000C34A1"/>
    <w:rsid w:val="000C3502"/>
    <w:rsid w:val="000C355D"/>
    <w:rsid w:val="000C356B"/>
    <w:rsid w:val="000C35D2"/>
    <w:rsid w:val="000C35E2"/>
    <w:rsid w:val="000C35EC"/>
    <w:rsid w:val="000C363B"/>
    <w:rsid w:val="000C3657"/>
    <w:rsid w:val="000C36D8"/>
    <w:rsid w:val="000C372E"/>
    <w:rsid w:val="000C37AF"/>
    <w:rsid w:val="000C37C0"/>
    <w:rsid w:val="000C3803"/>
    <w:rsid w:val="000C3853"/>
    <w:rsid w:val="000C38B3"/>
    <w:rsid w:val="000C38DE"/>
    <w:rsid w:val="000C3919"/>
    <w:rsid w:val="000C394F"/>
    <w:rsid w:val="000C3954"/>
    <w:rsid w:val="000C397C"/>
    <w:rsid w:val="000C397D"/>
    <w:rsid w:val="000C3985"/>
    <w:rsid w:val="000C398A"/>
    <w:rsid w:val="000C39AD"/>
    <w:rsid w:val="000C3A47"/>
    <w:rsid w:val="000C3AAF"/>
    <w:rsid w:val="000C3AB5"/>
    <w:rsid w:val="000C3AD7"/>
    <w:rsid w:val="000C3AFF"/>
    <w:rsid w:val="000C3B3C"/>
    <w:rsid w:val="000C3B52"/>
    <w:rsid w:val="000C3B86"/>
    <w:rsid w:val="000C3BA8"/>
    <w:rsid w:val="000C3BDE"/>
    <w:rsid w:val="000C3BFB"/>
    <w:rsid w:val="000C3C0D"/>
    <w:rsid w:val="000C3C2D"/>
    <w:rsid w:val="000C3C41"/>
    <w:rsid w:val="000C3DC4"/>
    <w:rsid w:val="000C3E31"/>
    <w:rsid w:val="000C3E72"/>
    <w:rsid w:val="000C3E92"/>
    <w:rsid w:val="000C3EE1"/>
    <w:rsid w:val="000C3EEF"/>
    <w:rsid w:val="000C3F1A"/>
    <w:rsid w:val="000C3F35"/>
    <w:rsid w:val="000C3F59"/>
    <w:rsid w:val="000C3F76"/>
    <w:rsid w:val="000C3F89"/>
    <w:rsid w:val="000C3FDF"/>
    <w:rsid w:val="000C3FF8"/>
    <w:rsid w:val="000C400F"/>
    <w:rsid w:val="000C401B"/>
    <w:rsid w:val="000C4026"/>
    <w:rsid w:val="000C4029"/>
    <w:rsid w:val="000C403E"/>
    <w:rsid w:val="000C4073"/>
    <w:rsid w:val="000C40EF"/>
    <w:rsid w:val="000C40FD"/>
    <w:rsid w:val="000C410D"/>
    <w:rsid w:val="000C413A"/>
    <w:rsid w:val="000C4157"/>
    <w:rsid w:val="000C415B"/>
    <w:rsid w:val="000C415C"/>
    <w:rsid w:val="000C4193"/>
    <w:rsid w:val="000C41B5"/>
    <w:rsid w:val="000C41C1"/>
    <w:rsid w:val="000C41CB"/>
    <w:rsid w:val="000C41CD"/>
    <w:rsid w:val="000C41E4"/>
    <w:rsid w:val="000C41E5"/>
    <w:rsid w:val="000C4307"/>
    <w:rsid w:val="000C4315"/>
    <w:rsid w:val="000C433F"/>
    <w:rsid w:val="000C438B"/>
    <w:rsid w:val="000C4392"/>
    <w:rsid w:val="000C43A2"/>
    <w:rsid w:val="000C43AB"/>
    <w:rsid w:val="000C43C4"/>
    <w:rsid w:val="000C4403"/>
    <w:rsid w:val="000C440B"/>
    <w:rsid w:val="000C4473"/>
    <w:rsid w:val="000C4478"/>
    <w:rsid w:val="000C4521"/>
    <w:rsid w:val="000C4534"/>
    <w:rsid w:val="000C454A"/>
    <w:rsid w:val="000C4573"/>
    <w:rsid w:val="000C45D1"/>
    <w:rsid w:val="000C45DA"/>
    <w:rsid w:val="000C45DD"/>
    <w:rsid w:val="000C45E1"/>
    <w:rsid w:val="000C45F5"/>
    <w:rsid w:val="000C45FF"/>
    <w:rsid w:val="000C460E"/>
    <w:rsid w:val="000C4623"/>
    <w:rsid w:val="000C4628"/>
    <w:rsid w:val="000C4640"/>
    <w:rsid w:val="000C46AE"/>
    <w:rsid w:val="000C46B7"/>
    <w:rsid w:val="000C46D8"/>
    <w:rsid w:val="000C4706"/>
    <w:rsid w:val="000C4788"/>
    <w:rsid w:val="000C47BF"/>
    <w:rsid w:val="000C47DB"/>
    <w:rsid w:val="000C483D"/>
    <w:rsid w:val="000C488D"/>
    <w:rsid w:val="000C4891"/>
    <w:rsid w:val="000C489E"/>
    <w:rsid w:val="000C48A8"/>
    <w:rsid w:val="000C48B3"/>
    <w:rsid w:val="000C4918"/>
    <w:rsid w:val="000C4925"/>
    <w:rsid w:val="000C493E"/>
    <w:rsid w:val="000C4963"/>
    <w:rsid w:val="000C4981"/>
    <w:rsid w:val="000C49BB"/>
    <w:rsid w:val="000C4AAD"/>
    <w:rsid w:val="000C4AC2"/>
    <w:rsid w:val="000C4AEF"/>
    <w:rsid w:val="000C4B1B"/>
    <w:rsid w:val="000C4B29"/>
    <w:rsid w:val="000C4B42"/>
    <w:rsid w:val="000C4B86"/>
    <w:rsid w:val="000C4B93"/>
    <w:rsid w:val="000C4BC4"/>
    <w:rsid w:val="000C4BFA"/>
    <w:rsid w:val="000C4BFE"/>
    <w:rsid w:val="000C4C44"/>
    <w:rsid w:val="000C4C50"/>
    <w:rsid w:val="000C4C53"/>
    <w:rsid w:val="000C4D0E"/>
    <w:rsid w:val="000C4D94"/>
    <w:rsid w:val="000C4DDF"/>
    <w:rsid w:val="000C4E1A"/>
    <w:rsid w:val="000C4E62"/>
    <w:rsid w:val="000C4ECD"/>
    <w:rsid w:val="000C4EDA"/>
    <w:rsid w:val="000C4EE4"/>
    <w:rsid w:val="000C4EF2"/>
    <w:rsid w:val="000C4F10"/>
    <w:rsid w:val="000C4F75"/>
    <w:rsid w:val="000C4F90"/>
    <w:rsid w:val="000C4FCE"/>
    <w:rsid w:val="000C4FE7"/>
    <w:rsid w:val="000C4FEA"/>
    <w:rsid w:val="000C5066"/>
    <w:rsid w:val="000C506F"/>
    <w:rsid w:val="000C5085"/>
    <w:rsid w:val="000C5086"/>
    <w:rsid w:val="000C508C"/>
    <w:rsid w:val="000C50F9"/>
    <w:rsid w:val="000C513B"/>
    <w:rsid w:val="000C5144"/>
    <w:rsid w:val="000C5170"/>
    <w:rsid w:val="000C519A"/>
    <w:rsid w:val="000C51A6"/>
    <w:rsid w:val="000C51CB"/>
    <w:rsid w:val="000C51ED"/>
    <w:rsid w:val="000C5227"/>
    <w:rsid w:val="000C5241"/>
    <w:rsid w:val="000C5259"/>
    <w:rsid w:val="000C526D"/>
    <w:rsid w:val="000C531D"/>
    <w:rsid w:val="000C5371"/>
    <w:rsid w:val="000C537E"/>
    <w:rsid w:val="000C53AB"/>
    <w:rsid w:val="000C53B1"/>
    <w:rsid w:val="000C53B2"/>
    <w:rsid w:val="000C5432"/>
    <w:rsid w:val="000C5443"/>
    <w:rsid w:val="000C544C"/>
    <w:rsid w:val="000C546D"/>
    <w:rsid w:val="000C5499"/>
    <w:rsid w:val="000C5519"/>
    <w:rsid w:val="000C5555"/>
    <w:rsid w:val="000C5573"/>
    <w:rsid w:val="000C557D"/>
    <w:rsid w:val="000C558F"/>
    <w:rsid w:val="000C55D5"/>
    <w:rsid w:val="000C55E1"/>
    <w:rsid w:val="000C55F7"/>
    <w:rsid w:val="000C5601"/>
    <w:rsid w:val="000C561D"/>
    <w:rsid w:val="000C5653"/>
    <w:rsid w:val="000C5656"/>
    <w:rsid w:val="000C5657"/>
    <w:rsid w:val="000C56C4"/>
    <w:rsid w:val="000C56F1"/>
    <w:rsid w:val="000C56F6"/>
    <w:rsid w:val="000C56FC"/>
    <w:rsid w:val="000C572D"/>
    <w:rsid w:val="000C5755"/>
    <w:rsid w:val="000C577A"/>
    <w:rsid w:val="000C5789"/>
    <w:rsid w:val="000C57AC"/>
    <w:rsid w:val="000C57E2"/>
    <w:rsid w:val="000C5840"/>
    <w:rsid w:val="000C5848"/>
    <w:rsid w:val="000C5897"/>
    <w:rsid w:val="000C58C9"/>
    <w:rsid w:val="000C5905"/>
    <w:rsid w:val="000C5941"/>
    <w:rsid w:val="000C595F"/>
    <w:rsid w:val="000C596B"/>
    <w:rsid w:val="000C599B"/>
    <w:rsid w:val="000C59B6"/>
    <w:rsid w:val="000C59F0"/>
    <w:rsid w:val="000C5A0E"/>
    <w:rsid w:val="000C5A92"/>
    <w:rsid w:val="000C5A93"/>
    <w:rsid w:val="000C5B78"/>
    <w:rsid w:val="000C5B7E"/>
    <w:rsid w:val="000C5B9C"/>
    <w:rsid w:val="000C5BB8"/>
    <w:rsid w:val="000C5BDB"/>
    <w:rsid w:val="000C5C02"/>
    <w:rsid w:val="000C5CEA"/>
    <w:rsid w:val="000C5D14"/>
    <w:rsid w:val="000C5D21"/>
    <w:rsid w:val="000C5D52"/>
    <w:rsid w:val="000C5D66"/>
    <w:rsid w:val="000C5D7F"/>
    <w:rsid w:val="000C5DFB"/>
    <w:rsid w:val="000C5E08"/>
    <w:rsid w:val="000C5E2A"/>
    <w:rsid w:val="000C5E4A"/>
    <w:rsid w:val="000C5E72"/>
    <w:rsid w:val="000C5E90"/>
    <w:rsid w:val="000C5E98"/>
    <w:rsid w:val="000C5EE3"/>
    <w:rsid w:val="000C5EE9"/>
    <w:rsid w:val="000C5F2D"/>
    <w:rsid w:val="000C5F87"/>
    <w:rsid w:val="000C5FAD"/>
    <w:rsid w:val="000C5FBF"/>
    <w:rsid w:val="000C5FC4"/>
    <w:rsid w:val="000C6036"/>
    <w:rsid w:val="000C60BC"/>
    <w:rsid w:val="000C60CD"/>
    <w:rsid w:val="000C60ED"/>
    <w:rsid w:val="000C610D"/>
    <w:rsid w:val="000C6124"/>
    <w:rsid w:val="000C617D"/>
    <w:rsid w:val="000C6185"/>
    <w:rsid w:val="000C61AD"/>
    <w:rsid w:val="000C61E1"/>
    <w:rsid w:val="000C6260"/>
    <w:rsid w:val="000C62BC"/>
    <w:rsid w:val="000C63AA"/>
    <w:rsid w:val="000C63AF"/>
    <w:rsid w:val="000C63E0"/>
    <w:rsid w:val="000C646C"/>
    <w:rsid w:val="000C64D7"/>
    <w:rsid w:val="000C6527"/>
    <w:rsid w:val="000C6539"/>
    <w:rsid w:val="000C653B"/>
    <w:rsid w:val="000C654B"/>
    <w:rsid w:val="000C6569"/>
    <w:rsid w:val="000C6597"/>
    <w:rsid w:val="000C65B4"/>
    <w:rsid w:val="000C65D5"/>
    <w:rsid w:val="000C65D6"/>
    <w:rsid w:val="000C65DC"/>
    <w:rsid w:val="000C6604"/>
    <w:rsid w:val="000C6641"/>
    <w:rsid w:val="000C66AA"/>
    <w:rsid w:val="000C66AB"/>
    <w:rsid w:val="000C66D7"/>
    <w:rsid w:val="000C66E5"/>
    <w:rsid w:val="000C66EC"/>
    <w:rsid w:val="000C6724"/>
    <w:rsid w:val="000C675D"/>
    <w:rsid w:val="000C67B0"/>
    <w:rsid w:val="000C67CF"/>
    <w:rsid w:val="000C67E3"/>
    <w:rsid w:val="000C6821"/>
    <w:rsid w:val="000C6830"/>
    <w:rsid w:val="000C6863"/>
    <w:rsid w:val="000C6897"/>
    <w:rsid w:val="000C689F"/>
    <w:rsid w:val="000C6945"/>
    <w:rsid w:val="000C695A"/>
    <w:rsid w:val="000C695D"/>
    <w:rsid w:val="000C6964"/>
    <w:rsid w:val="000C6987"/>
    <w:rsid w:val="000C6989"/>
    <w:rsid w:val="000C69A5"/>
    <w:rsid w:val="000C69A7"/>
    <w:rsid w:val="000C69AF"/>
    <w:rsid w:val="000C69FC"/>
    <w:rsid w:val="000C6A69"/>
    <w:rsid w:val="000C6A84"/>
    <w:rsid w:val="000C6A8E"/>
    <w:rsid w:val="000C6A91"/>
    <w:rsid w:val="000C6AB2"/>
    <w:rsid w:val="000C6AB3"/>
    <w:rsid w:val="000C6AC0"/>
    <w:rsid w:val="000C6AFB"/>
    <w:rsid w:val="000C6B36"/>
    <w:rsid w:val="000C6B3E"/>
    <w:rsid w:val="000C6BAE"/>
    <w:rsid w:val="000C6BF2"/>
    <w:rsid w:val="000C6C2A"/>
    <w:rsid w:val="000C6CE4"/>
    <w:rsid w:val="000C6D00"/>
    <w:rsid w:val="000C6D16"/>
    <w:rsid w:val="000C6D81"/>
    <w:rsid w:val="000C6D82"/>
    <w:rsid w:val="000C6D8B"/>
    <w:rsid w:val="000C6DB8"/>
    <w:rsid w:val="000C6EC8"/>
    <w:rsid w:val="000C6EF0"/>
    <w:rsid w:val="000C6EF7"/>
    <w:rsid w:val="000C6F00"/>
    <w:rsid w:val="000C6F2C"/>
    <w:rsid w:val="000C6F5C"/>
    <w:rsid w:val="000C6F5E"/>
    <w:rsid w:val="000C6F88"/>
    <w:rsid w:val="000C6F92"/>
    <w:rsid w:val="000C6FAB"/>
    <w:rsid w:val="000C6FB8"/>
    <w:rsid w:val="000C6FC4"/>
    <w:rsid w:val="000C700A"/>
    <w:rsid w:val="000C70EA"/>
    <w:rsid w:val="000C70F1"/>
    <w:rsid w:val="000C7100"/>
    <w:rsid w:val="000C7103"/>
    <w:rsid w:val="000C713B"/>
    <w:rsid w:val="000C71B2"/>
    <w:rsid w:val="000C71B7"/>
    <w:rsid w:val="000C71C3"/>
    <w:rsid w:val="000C71F7"/>
    <w:rsid w:val="000C7207"/>
    <w:rsid w:val="000C7272"/>
    <w:rsid w:val="000C72A9"/>
    <w:rsid w:val="000C7308"/>
    <w:rsid w:val="000C730B"/>
    <w:rsid w:val="000C73A0"/>
    <w:rsid w:val="000C73C3"/>
    <w:rsid w:val="000C73E4"/>
    <w:rsid w:val="000C741F"/>
    <w:rsid w:val="000C7440"/>
    <w:rsid w:val="000C7445"/>
    <w:rsid w:val="000C749B"/>
    <w:rsid w:val="000C7511"/>
    <w:rsid w:val="000C751B"/>
    <w:rsid w:val="000C7530"/>
    <w:rsid w:val="000C759F"/>
    <w:rsid w:val="000C75D3"/>
    <w:rsid w:val="000C75D4"/>
    <w:rsid w:val="000C75DA"/>
    <w:rsid w:val="000C7661"/>
    <w:rsid w:val="000C766B"/>
    <w:rsid w:val="000C766D"/>
    <w:rsid w:val="000C76E3"/>
    <w:rsid w:val="000C76E5"/>
    <w:rsid w:val="000C76FD"/>
    <w:rsid w:val="000C771C"/>
    <w:rsid w:val="000C7721"/>
    <w:rsid w:val="000C778A"/>
    <w:rsid w:val="000C77C0"/>
    <w:rsid w:val="000C77CE"/>
    <w:rsid w:val="000C780B"/>
    <w:rsid w:val="000C787C"/>
    <w:rsid w:val="000C789D"/>
    <w:rsid w:val="000C78B0"/>
    <w:rsid w:val="000C78B8"/>
    <w:rsid w:val="000C78C2"/>
    <w:rsid w:val="000C78F3"/>
    <w:rsid w:val="000C790F"/>
    <w:rsid w:val="000C7916"/>
    <w:rsid w:val="000C7921"/>
    <w:rsid w:val="000C797F"/>
    <w:rsid w:val="000C7A26"/>
    <w:rsid w:val="000C7A2B"/>
    <w:rsid w:val="000C7A92"/>
    <w:rsid w:val="000C7A95"/>
    <w:rsid w:val="000C7AB8"/>
    <w:rsid w:val="000C7ABF"/>
    <w:rsid w:val="000C7AF4"/>
    <w:rsid w:val="000C7B37"/>
    <w:rsid w:val="000C7B3E"/>
    <w:rsid w:val="000C7B67"/>
    <w:rsid w:val="000C7BB0"/>
    <w:rsid w:val="000C7BD3"/>
    <w:rsid w:val="000C7BF8"/>
    <w:rsid w:val="000C7BFE"/>
    <w:rsid w:val="000C7C3C"/>
    <w:rsid w:val="000C7C3F"/>
    <w:rsid w:val="000C7C53"/>
    <w:rsid w:val="000C7C98"/>
    <w:rsid w:val="000C7CD5"/>
    <w:rsid w:val="000C7D0F"/>
    <w:rsid w:val="000C7DD7"/>
    <w:rsid w:val="000C7DE8"/>
    <w:rsid w:val="000C7DF2"/>
    <w:rsid w:val="000C7DFB"/>
    <w:rsid w:val="000C7E0C"/>
    <w:rsid w:val="000C7E46"/>
    <w:rsid w:val="000C7EC6"/>
    <w:rsid w:val="000C7EE2"/>
    <w:rsid w:val="000C7F16"/>
    <w:rsid w:val="000C7F2F"/>
    <w:rsid w:val="000C7F7D"/>
    <w:rsid w:val="000C7F8F"/>
    <w:rsid w:val="000C7FA6"/>
    <w:rsid w:val="000C7FB9"/>
    <w:rsid w:val="000C7FE2"/>
    <w:rsid w:val="000D0036"/>
    <w:rsid w:val="000D0041"/>
    <w:rsid w:val="000D009A"/>
    <w:rsid w:val="000D00B7"/>
    <w:rsid w:val="000D00E4"/>
    <w:rsid w:val="000D00F6"/>
    <w:rsid w:val="000D013E"/>
    <w:rsid w:val="000D0150"/>
    <w:rsid w:val="000D01B9"/>
    <w:rsid w:val="000D01E0"/>
    <w:rsid w:val="000D0210"/>
    <w:rsid w:val="000D021C"/>
    <w:rsid w:val="000D023D"/>
    <w:rsid w:val="000D027C"/>
    <w:rsid w:val="000D0281"/>
    <w:rsid w:val="000D0285"/>
    <w:rsid w:val="000D02B8"/>
    <w:rsid w:val="000D02D6"/>
    <w:rsid w:val="000D02DF"/>
    <w:rsid w:val="000D03EA"/>
    <w:rsid w:val="000D0433"/>
    <w:rsid w:val="000D0446"/>
    <w:rsid w:val="000D04B3"/>
    <w:rsid w:val="000D04C6"/>
    <w:rsid w:val="000D0578"/>
    <w:rsid w:val="000D058F"/>
    <w:rsid w:val="000D0596"/>
    <w:rsid w:val="000D05D5"/>
    <w:rsid w:val="000D0614"/>
    <w:rsid w:val="000D0638"/>
    <w:rsid w:val="000D066C"/>
    <w:rsid w:val="000D067E"/>
    <w:rsid w:val="000D0699"/>
    <w:rsid w:val="000D06AF"/>
    <w:rsid w:val="000D06B2"/>
    <w:rsid w:val="000D06B5"/>
    <w:rsid w:val="000D06CB"/>
    <w:rsid w:val="000D0713"/>
    <w:rsid w:val="000D0720"/>
    <w:rsid w:val="000D073A"/>
    <w:rsid w:val="000D077F"/>
    <w:rsid w:val="000D0791"/>
    <w:rsid w:val="000D080B"/>
    <w:rsid w:val="000D087B"/>
    <w:rsid w:val="000D0882"/>
    <w:rsid w:val="000D0891"/>
    <w:rsid w:val="000D092B"/>
    <w:rsid w:val="000D09E5"/>
    <w:rsid w:val="000D0A03"/>
    <w:rsid w:val="000D0A29"/>
    <w:rsid w:val="000D0AB0"/>
    <w:rsid w:val="000D0AC4"/>
    <w:rsid w:val="000D0AFC"/>
    <w:rsid w:val="000D0B56"/>
    <w:rsid w:val="000D0B75"/>
    <w:rsid w:val="000D0B79"/>
    <w:rsid w:val="000D0BB6"/>
    <w:rsid w:val="000D0BC1"/>
    <w:rsid w:val="000D0BE3"/>
    <w:rsid w:val="000D0C00"/>
    <w:rsid w:val="000D0C41"/>
    <w:rsid w:val="000D0C44"/>
    <w:rsid w:val="000D0C59"/>
    <w:rsid w:val="000D0C9B"/>
    <w:rsid w:val="000D0D4F"/>
    <w:rsid w:val="000D0D71"/>
    <w:rsid w:val="000D0D9C"/>
    <w:rsid w:val="000D0DA4"/>
    <w:rsid w:val="000D0E5B"/>
    <w:rsid w:val="000D0E69"/>
    <w:rsid w:val="000D0EE4"/>
    <w:rsid w:val="000D0EE9"/>
    <w:rsid w:val="000D0EF9"/>
    <w:rsid w:val="000D0F1F"/>
    <w:rsid w:val="000D0F3D"/>
    <w:rsid w:val="000D0F40"/>
    <w:rsid w:val="000D0F44"/>
    <w:rsid w:val="000D0F55"/>
    <w:rsid w:val="000D0F58"/>
    <w:rsid w:val="000D0F6D"/>
    <w:rsid w:val="000D0F85"/>
    <w:rsid w:val="000D0FA1"/>
    <w:rsid w:val="000D0FC9"/>
    <w:rsid w:val="000D103B"/>
    <w:rsid w:val="000D107A"/>
    <w:rsid w:val="000D1093"/>
    <w:rsid w:val="000D10B3"/>
    <w:rsid w:val="000D10BA"/>
    <w:rsid w:val="000D1106"/>
    <w:rsid w:val="000D1111"/>
    <w:rsid w:val="000D114F"/>
    <w:rsid w:val="000D1150"/>
    <w:rsid w:val="000D115F"/>
    <w:rsid w:val="000D116B"/>
    <w:rsid w:val="000D119A"/>
    <w:rsid w:val="000D11F8"/>
    <w:rsid w:val="000D122A"/>
    <w:rsid w:val="000D122D"/>
    <w:rsid w:val="000D1230"/>
    <w:rsid w:val="000D1240"/>
    <w:rsid w:val="000D1241"/>
    <w:rsid w:val="000D126D"/>
    <w:rsid w:val="000D12CA"/>
    <w:rsid w:val="000D12F2"/>
    <w:rsid w:val="000D12F9"/>
    <w:rsid w:val="000D131C"/>
    <w:rsid w:val="000D131D"/>
    <w:rsid w:val="000D1376"/>
    <w:rsid w:val="000D1397"/>
    <w:rsid w:val="000D13C1"/>
    <w:rsid w:val="000D13F3"/>
    <w:rsid w:val="000D1415"/>
    <w:rsid w:val="000D149E"/>
    <w:rsid w:val="000D14BD"/>
    <w:rsid w:val="000D14D7"/>
    <w:rsid w:val="000D15D7"/>
    <w:rsid w:val="000D15E9"/>
    <w:rsid w:val="000D1606"/>
    <w:rsid w:val="000D162E"/>
    <w:rsid w:val="000D1677"/>
    <w:rsid w:val="000D16A8"/>
    <w:rsid w:val="000D16AF"/>
    <w:rsid w:val="000D16C1"/>
    <w:rsid w:val="000D16C6"/>
    <w:rsid w:val="000D16E8"/>
    <w:rsid w:val="000D1712"/>
    <w:rsid w:val="000D1720"/>
    <w:rsid w:val="000D1729"/>
    <w:rsid w:val="000D17F0"/>
    <w:rsid w:val="000D1839"/>
    <w:rsid w:val="000D1842"/>
    <w:rsid w:val="000D18C7"/>
    <w:rsid w:val="000D18D5"/>
    <w:rsid w:val="000D1977"/>
    <w:rsid w:val="000D198A"/>
    <w:rsid w:val="000D19A0"/>
    <w:rsid w:val="000D1A38"/>
    <w:rsid w:val="000D1A6D"/>
    <w:rsid w:val="000D1A8F"/>
    <w:rsid w:val="000D1AC4"/>
    <w:rsid w:val="000D1ACB"/>
    <w:rsid w:val="000D1AD5"/>
    <w:rsid w:val="000D1B13"/>
    <w:rsid w:val="000D1B1D"/>
    <w:rsid w:val="000D1B29"/>
    <w:rsid w:val="000D1BAE"/>
    <w:rsid w:val="000D1BCD"/>
    <w:rsid w:val="000D1BE4"/>
    <w:rsid w:val="000D1C20"/>
    <w:rsid w:val="000D1C34"/>
    <w:rsid w:val="000D1C7D"/>
    <w:rsid w:val="000D1CFC"/>
    <w:rsid w:val="000D1D7B"/>
    <w:rsid w:val="000D1D81"/>
    <w:rsid w:val="000D1D92"/>
    <w:rsid w:val="000D1DBE"/>
    <w:rsid w:val="000D1DBF"/>
    <w:rsid w:val="000D1DC9"/>
    <w:rsid w:val="000D1DDD"/>
    <w:rsid w:val="000D1DFB"/>
    <w:rsid w:val="000D1E46"/>
    <w:rsid w:val="000D1E64"/>
    <w:rsid w:val="000D1ED0"/>
    <w:rsid w:val="000D1ED1"/>
    <w:rsid w:val="000D1F5B"/>
    <w:rsid w:val="000D1FE0"/>
    <w:rsid w:val="000D2080"/>
    <w:rsid w:val="000D2138"/>
    <w:rsid w:val="000D213A"/>
    <w:rsid w:val="000D214C"/>
    <w:rsid w:val="000D2155"/>
    <w:rsid w:val="000D215F"/>
    <w:rsid w:val="000D2176"/>
    <w:rsid w:val="000D219D"/>
    <w:rsid w:val="000D21BA"/>
    <w:rsid w:val="000D21FA"/>
    <w:rsid w:val="000D223C"/>
    <w:rsid w:val="000D2272"/>
    <w:rsid w:val="000D2275"/>
    <w:rsid w:val="000D22C4"/>
    <w:rsid w:val="000D22E1"/>
    <w:rsid w:val="000D22F4"/>
    <w:rsid w:val="000D2362"/>
    <w:rsid w:val="000D236A"/>
    <w:rsid w:val="000D2374"/>
    <w:rsid w:val="000D237B"/>
    <w:rsid w:val="000D238C"/>
    <w:rsid w:val="000D2390"/>
    <w:rsid w:val="000D23C4"/>
    <w:rsid w:val="000D23D6"/>
    <w:rsid w:val="000D23E0"/>
    <w:rsid w:val="000D23E3"/>
    <w:rsid w:val="000D2424"/>
    <w:rsid w:val="000D2453"/>
    <w:rsid w:val="000D248B"/>
    <w:rsid w:val="000D2492"/>
    <w:rsid w:val="000D249F"/>
    <w:rsid w:val="000D24D5"/>
    <w:rsid w:val="000D24FB"/>
    <w:rsid w:val="000D2565"/>
    <w:rsid w:val="000D2595"/>
    <w:rsid w:val="000D25C7"/>
    <w:rsid w:val="000D25D8"/>
    <w:rsid w:val="000D25F6"/>
    <w:rsid w:val="000D2614"/>
    <w:rsid w:val="000D261A"/>
    <w:rsid w:val="000D2642"/>
    <w:rsid w:val="000D265D"/>
    <w:rsid w:val="000D2687"/>
    <w:rsid w:val="000D268A"/>
    <w:rsid w:val="000D26D6"/>
    <w:rsid w:val="000D26E0"/>
    <w:rsid w:val="000D26E8"/>
    <w:rsid w:val="000D2719"/>
    <w:rsid w:val="000D271D"/>
    <w:rsid w:val="000D2722"/>
    <w:rsid w:val="000D2725"/>
    <w:rsid w:val="000D2742"/>
    <w:rsid w:val="000D2765"/>
    <w:rsid w:val="000D2778"/>
    <w:rsid w:val="000D277E"/>
    <w:rsid w:val="000D279A"/>
    <w:rsid w:val="000D27A2"/>
    <w:rsid w:val="000D27E4"/>
    <w:rsid w:val="000D27EE"/>
    <w:rsid w:val="000D2880"/>
    <w:rsid w:val="000D2889"/>
    <w:rsid w:val="000D28D1"/>
    <w:rsid w:val="000D28D6"/>
    <w:rsid w:val="000D28FB"/>
    <w:rsid w:val="000D2907"/>
    <w:rsid w:val="000D296A"/>
    <w:rsid w:val="000D299D"/>
    <w:rsid w:val="000D29A6"/>
    <w:rsid w:val="000D29BA"/>
    <w:rsid w:val="000D29EF"/>
    <w:rsid w:val="000D29F3"/>
    <w:rsid w:val="000D29F4"/>
    <w:rsid w:val="000D2A1F"/>
    <w:rsid w:val="000D2A95"/>
    <w:rsid w:val="000D2AE6"/>
    <w:rsid w:val="000D2B0F"/>
    <w:rsid w:val="000D2B34"/>
    <w:rsid w:val="000D2B51"/>
    <w:rsid w:val="000D2B77"/>
    <w:rsid w:val="000D2B94"/>
    <w:rsid w:val="000D2BB6"/>
    <w:rsid w:val="000D2BCC"/>
    <w:rsid w:val="000D2C61"/>
    <w:rsid w:val="000D2CA9"/>
    <w:rsid w:val="000D2CB5"/>
    <w:rsid w:val="000D2CB6"/>
    <w:rsid w:val="000D2CD5"/>
    <w:rsid w:val="000D2D2F"/>
    <w:rsid w:val="000D2D54"/>
    <w:rsid w:val="000D2D85"/>
    <w:rsid w:val="000D2D9C"/>
    <w:rsid w:val="000D2DE6"/>
    <w:rsid w:val="000D2E20"/>
    <w:rsid w:val="000D2E8E"/>
    <w:rsid w:val="000D2EC0"/>
    <w:rsid w:val="000D2EC7"/>
    <w:rsid w:val="000D2EE5"/>
    <w:rsid w:val="000D2EF4"/>
    <w:rsid w:val="000D2F21"/>
    <w:rsid w:val="000D2F36"/>
    <w:rsid w:val="000D2FB9"/>
    <w:rsid w:val="000D2FD0"/>
    <w:rsid w:val="000D2FE3"/>
    <w:rsid w:val="000D2FFE"/>
    <w:rsid w:val="000D301E"/>
    <w:rsid w:val="000D30E0"/>
    <w:rsid w:val="000D30E1"/>
    <w:rsid w:val="000D30E7"/>
    <w:rsid w:val="000D3114"/>
    <w:rsid w:val="000D3133"/>
    <w:rsid w:val="000D313D"/>
    <w:rsid w:val="000D317B"/>
    <w:rsid w:val="000D31A2"/>
    <w:rsid w:val="000D31A4"/>
    <w:rsid w:val="000D3200"/>
    <w:rsid w:val="000D323A"/>
    <w:rsid w:val="000D3252"/>
    <w:rsid w:val="000D3257"/>
    <w:rsid w:val="000D32BD"/>
    <w:rsid w:val="000D32BE"/>
    <w:rsid w:val="000D3301"/>
    <w:rsid w:val="000D3374"/>
    <w:rsid w:val="000D337E"/>
    <w:rsid w:val="000D33E8"/>
    <w:rsid w:val="000D344B"/>
    <w:rsid w:val="000D3467"/>
    <w:rsid w:val="000D3474"/>
    <w:rsid w:val="000D3489"/>
    <w:rsid w:val="000D34C7"/>
    <w:rsid w:val="000D34C9"/>
    <w:rsid w:val="000D3512"/>
    <w:rsid w:val="000D35C2"/>
    <w:rsid w:val="000D35D1"/>
    <w:rsid w:val="000D35EA"/>
    <w:rsid w:val="000D35FD"/>
    <w:rsid w:val="000D3604"/>
    <w:rsid w:val="000D3610"/>
    <w:rsid w:val="000D3627"/>
    <w:rsid w:val="000D3646"/>
    <w:rsid w:val="000D3652"/>
    <w:rsid w:val="000D36AD"/>
    <w:rsid w:val="000D3734"/>
    <w:rsid w:val="000D3819"/>
    <w:rsid w:val="000D3837"/>
    <w:rsid w:val="000D3940"/>
    <w:rsid w:val="000D394E"/>
    <w:rsid w:val="000D3978"/>
    <w:rsid w:val="000D3A20"/>
    <w:rsid w:val="000D3A23"/>
    <w:rsid w:val="000D3A38"/>
    <w:rsid w:val="000D3A42"/>
    <w:rsid w:val="000D3A55"/>
    <w:rsid w:val="000D3AA4"/>
    <w:rsid w:val="000D3ACD"/>
    <w:rsid w:val="000D3AD5"/>
    <w:rsid w:val="000D3AE2"/>
    <w:rsid w:val="000D3B12"/>
    <w:rsid w:val="000D3B2A"/>
    <w:rsid w:val="000D3BB5"/>
    <w:rsid w:val="000D3BC8"/>
    <w:rsid w:val="000D3C0A"/>
    <w:rsid w:val="000D3C45"/>
    <w:rsid w:val="000D3C4C"/>
    <w:rsid w:val="000D3C7A"/>
    <w:rsid w:val="000D3CB0"/>
    <w:rsid w:val="000D3D11"/>
    <w:rsid w:val="000D3D34"/>
    <w:rsid w:val="000D3D40"/>
    <w:rsid w:val="000D3D50"/>
    <w:rsid w:val="000D3DA8"/>
    <w:rsid w:val="000D3DE3"/>
    <w:rsid w:val="000D3E2C"/>
    <w:rsid w:val="000D3E2E"/>
    <w:rsid w:val="000D3E34"/>
    <w:rsid w:val="000D3E47"/>
    <w:rsid w:val="000D3E6F"/>
    <w:rsid w:val="000D3EFE"/>
    <w:rsid w:val="000D3F34"/>
    <w:rsid w:val="000D3F3F"/>
    <w:rsid w:val="000D3F76"/>
    <w:rsid w:val="000D3FBF"/>
    <w:rsid w:val="000D3FF2"/>
    <w:rsid w:val="000D403E"/>
    <w:rsid w:val="000D4043"/>
    <w:rsid w:val="000D4088"/>
    <w:rsid w:val="000D40A4"/>
    <w:rsid w:val="000D4105"/>
    <w:rsid w:val="000D411F"/>
    <w:rsid w:val="000D413E"/>
    <w:rsid w:val="000D4150"/>
    <w:rsid w:val="000D415D"/>
    <w:rsid w:val="000D4197"/>
    <w:rsid w:val="000D41A8"/>
    <w:rsid w:val="000D41B4"/>
    <w:rsid w:val="000D41B5"/>
    <w:rsid w:val="000D41D9"/>
    <w:rsid w:val="000D41E4"/>
    <w:rsid w:val="000D422D"/>
    <w:rsid w:val="000D425C"/>
    <w:rsid w:val="000D4279"/>
    <w:rsid w:val="000D429A"/>
    <w:rsid w:val="000D4315"/>
    <w:rsid w:val="000D4327"/>
    <w:rsid w:val="000D43ED"/>
    <w:rsid w:val="000D4494"/>
    <w:rsid w:val="000D44F1"/>
    <w:rsid w:val="000D44F7"/>
    <w:rsid w:val="000D44FF"/>
    <w:rsid w:val="000D455D"/>
    <w:rsid w:val="000D4568"/>
    <w:rsid w:val="000D4581"/>
    <w:rsid w:val="000D45C3"/>
    <w:rsid w:val="000D4641"/>
    <w:rsid w:val="000D4648"/>
    <w:rsid w:val="000D464C"/>
    <w:rsid w:val="000D469D"/>
    <w:rsid w:val="000D46B6"/>
    <w:rsid w:val="000D46BE"/>
    <w:rsid w:val="000D46EC"/>
    <w:rsid w:val="000D46F7"/>
    <w:rsid w:val="000D4719"/>
    <w:rsid w:val="000D472D"/>
    <w:rsid w:val="000D473D"/>
    <w:rsid w:val="000D47BC"/>
    <w:rsid w:val="000D47E4"/>
    <w:rsid w:val="000D488A"/>
    <w:rsid w:val="000D48A8"/>
    <w:rsid w:val="000D48D4"/>
    <w:rsid w:val="000D48F8"/>
    <w:rsid w:val="000D48FE"/>
    <w:rsid w:val="000D490F"/>
    <w:rsid w:val="000D4927"/>
    <w:rsid w:val="000D492A"/>
    <w:rsid w:val="000D496E"/>
    <w:rsid w:val="000D4979"/>
    <w:rsid w:val="000D49C2"/>
    <w:rsid w:val="000D49E6"/>
    <w:rsid w:val="000D49EC"/>
    <w:rsid w:val="000D4A04"/>
    <w:rsid w:val="000D4A2C"/>
    <w:rsid w:val="000D4A2E"/>
    <w:rsid w:val="000D4A3F"/>
    <w:rsid w:val="000D4A90"/>
    <w:rsid w:val="000D4A95"/>
    <w:rsid w:val="000D4AB7"/>
    <w:rsid w:val="000D4B3C"/>
    <w:rsid w:val="000D4B7A"/>
    <w:rsid w:val="000D4BE9"/>
    <w:rsid w:val="000D4BFB"/>
    <w:rsid w:val="000D4C30"/>
    <w:rsid w:val="000D4C82"/>
    <w:rsid w:val="000D4C99"/>
    <w:rsid w:val="000D4CA2"/>
    <w:rsid w:val="000D4CBF"/>
    <w:rsid w:val="000D4D30"/>
    <w:rsid w:val="000D4D35"/>
    <w:rsid w:val="000D4D41"/>
    <w:rsid w:val="000D4D60"/>
    <w:rsid w:val="000D4D62"/>
    <w:rsid w:val="000D4D80"/>
    <w:rsid w:val="000D4D9E"/>
    <w:rsid w:val="000D4DF2"/>
    <w:rsid w:val="000D4E1A"/>
    <w:rsid w:val="000D4E2A"/>
    <w:rsid w:val="000D4E7F"/>
    <w:rsid w:val="000D4ECA"/>
    <w:rsid w:val="000D4EDA"/>
    <w:rsid w:val="000D4EDF"/>
    <w:rsid w:val="000D4EEF"/>
    <w:rsid w:val="000D4F3F"/>
    <w:rsid w:val="000D4F9A"/>
    <w:rsid w:val="000D4FB6"/>
    <w:rsid w:val="000D4FCC"/>
    <w:rsid w:val="000D4FED"/>
    <w:rsid w:val="000D5093"/>
    <w:rsid w:val="000D50AA"/>
    <w:rsid w:val="000D50AE"/>
    <w:rsid w:val="000D50BB"/>
    <w:rsid w:val="000D50F6"/>
    <w:rsid w:val="000D5138"/>
    <w:rsid w:val="000D51CD"/>
    <w:rsid w:val="000D52AE"/>
    <w:rsid w:val="000D52C9"/>
    <w:rsid w:val="000D52D6"/>
    <w:rsid w:val="000D52F8"/>
    <w:rsid w:val="000D52FA"/>
    <w:rsid w:val="000D530E"/>
    <w:rsid w:val="000D5366"/>
    <w:rsid w:val="000D536C"/>
    <w:rsid w:val="000D536E"/>
    <w:rsid w:val="000D537B"/>
    <w:rsid w:val="000D5381"/>
    <w:rsid w:val="000D53DD"/>
    <w:rsid w:val="000D53F9"/>
    <w:rsid w:val="000D5413"/>
    <w:rsid w:val="000D5427"/>
    <w:rsid w:val="000D542F"/>
    <w:rsid w:val="000D5434"/>
    <w:rsid w:val="000D5436"/>
    <w:rsid w:val="000D5438"/>
    <w:rsid w:val="000D54CD"/>
    <w:rsid w:val="000D54DF"/>
    <w:rsid w:val="000D54E3"/>
    <w:rsid w:val="000D5506"/>
    <w:rsid w:val="000D5562"/>
    <w:rsid w:val="000D55BD"/>
    <w:rsid w:val="000D55CC"/>
    <w:rsid w:val="000D55E5"/>
    <w:rsid w:val="000D55F2"/>
    <w:rsid w:val="000D56B7"/>
    <w:rsid w:val="000D56BC"/>
    <w:rsid w:val="000D56CF"/>
    <w:rsid w:val="000D56E0"/>
    <w:rsid w:val="000D56EE"/>
    <w:rsid w:val="000D574C"/>
    <w:rsid w:val="000D5767"/>
    <w:rsid w:val="000D577F"/>
    <w:rsid w:val="000D5792"/>
    <w:rsid w:val="000D579A"/>
    <w:rsid w:val="000D57CE"/>
    <w:rsid w:val="000D57DE"/>
    <w:rsid w:val="000D57E9"/>
    <w:rsid w:val="000D57F3"/>
    <w:rsid w:val="000D5813"/>
    <w:rsid w:val="000D5818"/>
    <w:rsid w:val="000D5828"/>
    <w:rsid w:val="000D5830"/>
    <w:rsid w:val="000D5870"/>
    <w:rsid w:val="000D58D5"/>
    <w:rsid w:val="000D591D"/>
    <w:rsid w:val="000D5A18"/>
    <w:rsid w:val="000D5A21"/>
    <w:rsid w:val="000D5A41"/>
    <w:rsid w:val="000D5A76"/>
    <w:rsid w:val="000D5B0B"/>
    <w:rsid w:val="000D5B13"/>
    <w:rsid w:val="000D5B27"/>
    <w:rsid w:val="000D5B43"/>
    <w:rsid w:val="000D5B5C"/>
    <w:rsid w:val="000D5B96"/>
    <w:rsid w:val="000D5BA1"/>
    <w:rsid w:val="000D5BC9"/>
    <w:rsid w:val="000D5BF3"/>
    <w:rsid w:val="000D5BF4"/>
    <w:rsid w:val="000D5C09"/>
    <w:rsid w:val="000D5C68"/>
    <w:rsid w:val="000D5C99"/>
    <w:rsid w:val="000D5CC0"/>
    <w:rsid w:val="000D5CF6"/>
    <w:rsid w:val="000D5D05"/>
    <w:rsid w:val="000D5D5D"/>
    <w:rsid w:val="000D5D5F"/>
    <w:rsid w:val="000D5D6A"/>
    <w:rsid w:val="000D5D9E"/>
    <w:rsid w:val="000D5DC6"/>
    <w:rsid w:val="000D5DC9"/>
    <w:rsid w:val="000D5DDB"/>
    <w:rsid w:val="000D5DFA"/>
    <w:rsid w:val="000D5EF6"/>
    <w:rsid w:val="000D5F34"/>
    <w:rsid w:val="000D5F38"/>
    <w:rsid w:val="000D5F6E"/>
    <w:rsid w:val="000D5F70"/>
    <w:rsid w:val="000D5F79"/>
    <w:rsid w:val="000D5FA3"/>
    <w:rsid w:val="000D5FB0"/>
    <w:rsid w:val="000D5FF8"/>
    <w:rsid w:val="000D5FFE"/>
    <w:rsid w:val="000D6041"/>
    <w:rsid w:val="000D6077"/>
    <w:rsid w:val="000D608D"/>
    <w:rsid w:val="000D60BA"/>
    <w:rsid w:val="000D60E5"/>
    <w:rsid w:val="000D6114"/>
    <w:rsid w:val="000D6129"/>
    <w:rsid w:val="000D6137"/>
    <w:rsid w:val="000D6143"/>
    <w:rsid w:val="000D61DF"/>
    <w:rsid w:val="000D61ED"/>
    <w:rsid w:val="000D621C"/>
    <w:rsid w:val="000D62AA"/>
    <w:rsid w:val="000D62AC"/>
    <w:rsid w:val="000D6309"/>
    <w:rsid w:val="000D6317"/>
    <w:rsid w:val="000D634F"/>
    <w:rsid w:val="000D6369"/>
    <w:rsid w:val="000D63D1"/>
    <w:rsid w:val="000D63D8"/>
    <w:rsid w:val="000D63ED"/>
    <w:rsid w:val="000D6401"/>
    <w:rsid w:val="000D6449"/>
    <w:rsid w:val="000D6470"/>
    <w:rsid w:val="000D6494"/>
    <w:rsid w:val="000D6498"/>
    <w:rsid w:val="000D64A8"/>
    <w:rsid w:val="000D64AF"/>
    <w:rsid w:val="000D64B7"/>
    <w:rsid w:val="000D658E"/>
    <w:rsid w:val="000D65DB"/>
    <w:rsid w:val="000D6626"/>
    <w:rsid w:val="000D666B"/>
    <w:rsid w:val="000D66BF"/>
    <w:rsid w:val="000D6700"/>
    <w:rsid w:val="000D672E"/>
    <w:rsid w:val="000D6744"/>
    <w:rsid w:val="000D6748"/>
    <w:rsid w:val="000D6749"/>
    <w:rsid w:val="000D680F"/>
    <w:rsid w:val="000D681A"/>
    <w:rsid w:val="000D682D"/>
    <w:rsid w:val="000D6865"/>
    <w:rsid w:val="000D68E2"/>
    <w:rsid w:val="000D68EB"/>
    <w:rsid w:val="000D6928"/>
    <w:rsid w:val="000D6958"/>
    <w:rsid w:val="000D6A05"/>
    <w:rsid w:val="000D6A1B"/>
    <w:rsid w:val="000D6A2C"/>
    <w:rsid w:val="000D6A42"/>
    <w:rsid w:val="000D6A5D"/>
    <w:rsid w:val="000D6A5E"/>
    <w:rsid w:val="000D6A7B"/>
    <w:rsid w:val="000D6A7C"/>
    <w:rsid w:val="000D6ADE"/>
    <w:rsid w:val="000D6AE6"/>
    <w:rsid w:val="000D6AED"/>
    <w:rsid w:val="000D6AFA"/>
    <w:rsid w:val="000D6B39"/>
    <w:rsid w:val="000D6B41"/>
    <w:rsid w:val="000D6B5D"/>
    <w:rsid w:val="000D6B60"/>
    <w:rsid w:val="000D6B66"/>
    <w:rsid w:val="000D6B69"/>
    <w:rsid w:val="000D6B78"/>
    <w:rsid w:val="000D6B7D"/>
    <w:rsid w:val="000D6BD6"/>
    <w:rsid w:val="000D6BE4"/>
    <w:rsid w:val="000D6C03"/>
    <w:rsid w:val="000D6C21"/>
    <w:rsid w:val="000D6C33"/>
    <w:rsid w:val="000D6CA7"/>
    <w:rsid w:val="000D6CD9"/>
    <w:rsid w:val="000D6D22"/>
    <w:rsid w:val="000D6D36"/>
    <w:rsid w:val="000D6D5E"/>
    <w:rsid w:val="000D6DF6"/>
    <w:rsid w:val="000D6E53"/>
    <w:rsid w:val="000D6E54"/>
    <w:rsid w:val="000D6E5B"/>
    <w:rsid w:val="000D6EB5"/>
    <w:rsid w:val="000D6EE1"/>
    <w:rsid w:val="000D6F03"/>
    <w:rsid w:val="000D6F2B"/>
    <w:rsid w:val="000D6F2C"/>
    <w:rsid w:val="000D6F45"/>
    <w:rsid w:val="000D6F9F"/>
    <w:rsid w:val="000D6FDE"/>
    <w:rsid w:val="000D6FFE"/>
    <w:rsid w:val="000D703E"/>
    <w:rsid w:val="000D705B"/>
    <w:rsid w:val="000D7069"/>
    <w:rsid w:val="000D7090"/>
    <w:rsid w:val="000D7165"/>
    <w:rsid w:val="000D71A4"/>
    <w:rsid w:val="000D71D5"/>
    <w:rsid w:val="000D71E9"/>
    <w:rsid w:val="000D7228"/>
    <w:rsid w:val="000D722A"/>
    <w:rsid w:val="000D7236"/>
    <w:rsid w:val="000D7245"/>
    <w:rsid w:val="000D7250"/>
    <w:rsid w:val="000D727B"/>
    <w:rsid w:val="000D7296"/>
    <w:rsid w:val="000D72C6"/>
    <w:rsid w:val="000D72E7"/>
    <w:rsid w:val="000D7324"/>
    <w:rsid w:val="000D7371"/>
    <w:rsid w:val="000D73A7"/>
    <w:rsid w:val="000D73C1"/>
    <w:rsid w:val="000D73D2"/>
    <w:rsid w:val="000D73EC"/>
    <w:rsid w:val="000D73ED"/>
    <w:rsid w:val="000D7460"/>
    <w:rsid w:val="000D7461"/>
    <w:rsid w:val="000D7479"/>
    <w:rsid w:val="000D7490"/>
    <w:rsid w:val="000D74B7"/>
    <w:rsid w:val="000D7503"/>
    <w:rsid w:val="000D7507"/>
    <w:rsid w:val="000D750B"/>
    <w:rsid w:val="000D7520"/>
    <w:rsid w:val="000D75A7"/>
    <w:rsid w:val="000D75B0"/>
    <w:rsid w:val="000D75DE"/>
    <w:rsid w:val="000D7617"/>
    <w:rsid w:val="000D7620"/>
    <w:rsid w:val="000D7639"/>
    <w:rsid w:val="000D7685"/>
    <w:rsid w:val="000D768D"/>
    <w:rsid w:val="000D7694"/>
    <w:rsid w:val="000D76F1"/>
    <w:rsid w:val="000D76F7"/>
    <w:rsid w:val="000D7718"/>
    <w:rsid w:val="000D773E"/>
    <w:rsid w:val="000D7793"/>
    <w:rsid w:val="000D77DA"/>
    <w:rsid w:val="000D77ED"/>
    <w:rsid w:val="000D77FD"/>
    <w:rsid w:val="000D7839"/>
    <w:rsid w:val="000D785E"/>
    <w:rsid w:val="000D7866"/>
    <w:rsid w:val="000D78CE"/>
    <w:rsid w:val="000D78F8"/>
    <w:rsid w:val="000D790F"/>
    <w:rsid w:val="000D792F"/>
    <w:rsid w:val="000D7937"/>
    <w:rsid w:val="000D794B"/>
    <w:rsid w:val="000D79CB"/>
    <w:rsid w:val="000D79D6"/>
    <w:rsid w:val="000D7A00"/>
    <w:rsid w:val="000D7A1E"/>
    <w:rsid w:val="000D7A3F"/>
    <w:rsid w:val="000D7A4F"/>
    <w:rsid w:val="000D7AA8"/>
    <w:rsid w:val="000D7B00"/>
    <w:rsid w:val="000D7B02"/>
    <w:rsid w:val="000D7B22"/>
    <w:rsid w:val="000D7B3F"/>
    <w:rsid w:val="000D7B43"/>
    <w:rsid w:val="000D7B83"/>
    <w:rsid w:val="000D7BC1"/>
    <w:rsid w:val="000D7BCB"/>
    <w:rsid w:val="000D7BD8"/>
    <w:rsid w:val="000D7BD9"/>
    <w:rsid w:val="000D7BFC"/>
    <w:rsid w:val="000D7C41"/>
    <w:rsid w:val="000D7C92"/>
    <w:rsid w:val="000D7CA6"/>
    <w:rsid w:val="000D7CBC"/>
    <w:rsid w:val="000D7D28"/>
    <w:rsid w:val="000D7D3D"/>
    <w:rsid w:val="000D7D87"/>
    <w:rsid w:val="000D7D8D"/>
    <w:rsid w:val="000D7E0A"/>
    <w:rsid w:val="000D7E0D"/>
    <w:rsid w:val="000D7E19"/>
    <w:rsid w:val="000D7E44"/>
    <w:rsid w:val="000D7E83"/>
    <w:rsid w:val="000D7E84"/>
    <w:rsid w:val="000D7E99"/>
    <w:rsid w:val="000D7EA6"/>
    <w:rsid w:val="000D7EEB"/>
    <w:rsid w:val="000D7F4D"/>
    <w:rsid w:val="000D7F85"/>
    <w:rsid w:val="000D7FAC"/>
    <w:rsid w:val="000D7FFE"/>
    <w:rsid w:val="000E001B"/>
    <w:rsid w:val="000E004F"/>
    <w:rsid w:val="000E007D"/>
    <w:rsid w:val="000E0090"/>
    <w:rsid w:val="000E00AE"/>
    <w:rsid w:val="000E00C7"/>
    <w:rsid w:val="000E00F6"/>
    <w:rsid w:val="000E0114"/>
    <w:rsid w:val="000E0161"/>
    <w:rsid w:val="000E0174"/>
    <w:rsid w:val="000E0175"/>
    <w:rsid w:val="000E01E8"/>
    <w:rsid w:val="000E0236"/>
    <w:rsid w:val="000E0288"/>
    <w:rsid w:val="000E02F4"/>
    <w:rsid w:val="000E032D"/>
    <w:rsid w:val="000E0349"/>
    <w:rsid w:val="000E0358"/>
    <w:rsid w:val="000E0376"/>
    <w:rsid w:val="000E039D"/>
    <w:rsid w:val="000E047A"/>
    <w:rsid w:val="000E04D4"/>
    <w:rsid w:val="000E051F"/>
    <w:rsid w:val="000E0570"/>
    <w:rsid w:val="000E05AF"/>
    <w:rsid w:val="000E05B5"/>
    <w:rsid w:val="000E05C9"/>
    <w:rsid w:val="000E069C"/>
    <w:rsid w:val="000E06A8"/>
    <w:rsid w:val="000E06B2"/>
    <w:rsid w:val="000E06D9"/>
    <w:rsid w:val="000E06E9"/>
    <w:rsid w:val="000E0705"/>
    <w:rsid w:val="000E0751"/>
    <w:rsid w:val="000E075D"/>
    <w:rsid w:val="000E07BF"/>
    <w:rsid w:val="000E07FC"/>
    <w:rsid w:val="000E081F"/>
    <w:rsid w:val="000E0850"/>
    <w:rsid w:val="000E0853"/>
    <w:rsid w:val="000E0855"/>
    <w:rsid w:val="000E0863"/>
    <w:rsid w:val="000E0885"/>
    <w:rsid w:val="000E08F9"/>
    <w:rsid w:val="000E0916"/>
    <w:rsid w:val="000E0945"/>
    <w:rsid w:val="000E094A"/>
    <w:rsid w:val="000E0991"/>
    <w:rsid w:val="000E09A6"/>
    <w:rsid w:val="000E09A7"/>
    <w:rsid w:val="000E09E8"/>
    <w:rsid w:val="000E09F2"/>
    <w:rsid w:val="000E0A2A"/>
    <w:rsid w:val="000E0A42"/>
    <w:rsid w:val="000E0A5F"/>
    <w:rsid w:val="000E0A62"/>
    <w:rsid w:val="000E0AF8"/>
    <w:rsid w:val="000E0B02"/>
    <w:rsid w:val="000E0B0A"/>
    <w:rsid w:val="000E0B1A"/>
    <w:rsid w:val="000E0B8F"/>
    <w:rsid w:val="000E0C07"/>
    <w:rsid w:val="000E0C1B"/>
    <w:rsid w:val="000E0C6B"/>
    <w:rsid w:val="000E0CE4"/>
    <w:rsid w:val="000E0CF0"/>
    <w:rsid w:val="000E0E10"/>
    <w:rsid w:val="000E0E75"/>
    <w:rsid w:val="000E0EF2"/>
    <w:rsid w:val="000E0F07"/>
    <w:rsid w:val="000E0F64"/>
    <w:rsid w:val="000E0F6B"/>
    <w:rsid w:val="000E0F9B"/>
    <w:rsid w:val="000E0FDF"/>
    <w:rsid w:val="000E1018"/>
    <w:rsid w:val="000E10CC"/>
    <w:rsid w:val="000E10FA"/>
    <w:rsid w:val="000E114D"/>
    <w:rsid w:val="000E118C"/>
    <w:rsid w:val="000E11DF"/>
    <w:rsid w:val="000E11FE"/>
    <w:rsid w:val="000E1266"/>
    <w:rsid w:val="000E126A"/>
    <w:rsid w:val="000E127F"/>
    <w:rsid w:val="000E12D1"/>
    <w:rsid w:val="000E135D"/>
    <w:rsid w:val="000E136C"/>
    <w:rsid w:val="000E1378"/>
    <w:rsid w:val="000E1380"/>
    <w:rsid w:val="000E13CE"/>
    <w:rsid w:val="000E13EC"/>
    <w:rsid w:val="000E13EF"/>
    <w:rsid w:val="000E142D"/>
    <w:rsid w:val="000E143E"/>
    <w:rsid w:val="000E14B8"/>
    <w:rsid w:val="000E14C8"/>
    <w:rsid w:val="000E14F1"/>
    <w:rsid w:val="000E14FC"/>
    <w:rsid w:val="000E14FE"/>
    <w:rsid w:val="000E1555"/>
    <w:rsid w:val="000E1560"/>
    <w:rsid w:val="000E1570"/>
    <w:rsid w:val="000E15DE"/>
    <w:rsid w:val="000E160B"/>
    <w:rsid w:val="000E1639"/>
    <w:rsid w:val="000E16A7"/>
    <w:rsid w:val="000E16B5"/>
    <w:rsid w:val="000E16C9"/>
    <w:rsid w:val="000E16CF"/>
    <w:rsid w:val="000E16DA"/>
    <w:rsid w:val="000E16F0"/>
    <w:rsid w:val="000E1727"/>
    <w:rsid w:val="000E1755"/>
    <w:rsid w:val="000E17B3"/>
    <w:rsid w:val="000E17FE"/>
    <w:rsid w:val="000E180B"/>
    <w:rsid w:val="000E18D4"/>
    <w:rsid w:val="000E18D6"/>
    <w:rsid w:val="000E18DF"/>
    <w:rsid w:val="000E193B"/>
    <w:rsid w:val="000E195F"/>
    <w:rsid w:val="000E1983"/>
    <w:rsid w:val="000E1985"/>
    <w:rsid w:val="000E1996"/>
    <w:rsid w:val="000E19BC"/>
    <w:rsid w:val="000E19C6"/>
    <w:rsid w:val="000E19F1"/>
    <w:rsid w:val="000E19FB"/>
    <w:rsid w:val="000E1A05"/>
    <w:rsid w:val="000E1A3E"/>
    <w:rsid w:val="000E1A44"/>
    <w:rsid w:val="000E1A53"/>
    <w:rsid w:val="000E1AAE"/>
    <w:rsid w:val="000E1AB8"/>
    <w:rsid w:val="000E1ACC"/>
    <w:rsid w:val="000E1AEB"/>
    <w:rsid w:val="000E1AED"/>
    <w:rsid w:val="000E1B19"/>
    <w:rsid w:val="000E1B3E"/>
    <w:rsid w:val="000E1BCC"/>
    <w:rsid w:val="000E1BCD"/>
    <w:rsid w:val="000E1BEF"/>
    <w:rsid w:val="000E1BFD"/>
    <w:rsid w:val="000E1C0F"/>
    <w:rsid w:val="000E1C2C"/>
    <w:rsid w:val="000E1C7C"/>
    <w:rsid w:val="000E1C9D"/>
    <w:rsid w:val="000E1CCD"/>
    <w:rsid w:val="000E1CE8"/>
    <w:rsid w:val="000E1D11"/>
    <w:rsid w:val="000E1D22"/>
    <w:rsid w:val="000E1D45"/>
    <w:rsid w:val="000E1D81"/>
    <w:rsid w:val="000E1DAC"/>
    <w:rsid w:val="000E1E10"/>
    <w:rsid w:val="000E1E76"/>
    <w:rsid w:val="000E1E9A"/>
    <w:rsid w:val="000E1F2E"/>
    <w:rsid w:val="000E1F6D"/>
    <w:rsid w:val="000E1FF6"/>
    <w:rsid w:val="000E2008"/>
    <w:rsid w:val="000E202F"/>
    <w:rsid w:val="000E2038"/>
    <w:rsid w:val="000E203E"/>
    <w:rsid w:val="000E207C"/>
    <w:rsid w:val="000E2083"/>
    <w:rsid w:val="000E2094"/>
    <w:rsid w:val="000E2117"/>
    <w:rsid w:val="000E211A"/>
    <w:rsid w:val="000E2242"/>
    <w:rsid w:val="000E2249"/>
    <w:rsid w:val="000E2268"/>
    <w:rsid w:val="000E2289"/>
    <w:rsid w:val="000E22A2"/>
    <w:rsid w:val="000E22B7"/>
    <w:rsid w:val="000E22D6"/>
    <w:rsid w:val="000E22FB"/>
    <w:rsid w:val="000E2320"/>
    <w:rsid w:val="000E2351"/>
    <w:rsid w:val="000E237D"/>
    <w:rsid w:val="000E23A3"/>
    <w:rsid w:val="000E23B9"/>
    <w:rsid w:val="000E23BD"/>
    <w:rsid w:val="000E23C8"/>
    <w:rsid w:val="000E245B"/>
    <w:rsid w:val="000E246E"/>
    <w:rsid w:val="000E2480"/>
    <w:rsid w:val="000E24AB"/>
    <w:rsid w:val="000E24C2"/>
    <w:rsid w:val="000E24D4"/>
    <w:rsid w:val="000E24E7"/>
    <w:rsid w:val="000E254A"/>
    <w:rsid w:val="000E2575"/>
    <w:rsid w:val="000E257A"/>
    <w:rsid w:val="000E260C"/>
    <w:rsid w:val="000E2612"/>
    <w:rsid w:val="000E2616"/>
    <w:rsid w:val="000E261E"/>
    <w:rsid w:val="000E262A"/>
    <w:rsid w:val="000E2631"/>
    <w:rsid w:val="000E266C"/>
    <w:rsid w:val="000E2751"/>
    <w:rsid w:val="000E2764"/>
    <w:rsid w:val="000E27B4"/>
    <w:rsid w:val="000E27C9"/>
    <w:rsid w:val="000E27E1"/>
    <w:rsid w:val="000E2848"/>
    <w:rsid w:val="000E2855"/>
    <w:rsid w:val="000E2862"/>
    <w:rsid w:val="000E2863"/>
    <w:rsid w:val="000E28B5"/>
    <w:rsid w:val="000E28E6"/>
    <w:rsid w:val="000E28F5"/>
    <w:rsid w:val="000E296F"/>
    <w:rsid w:val="000E2997"/>
    <w:rsid w:val="000E29C0"/>
    <w:rsid w:val="000E29F4"/>
    <w:rsid w:val="000E2A8A"/>
    <w:rsid w:val="000E2ACB"/>
    <w:rsid w:val="000E2B4E"/>
    <w:rsid w:val="000E2B65"/>
    <w:rsid w:val="000E2B88"/>
    <w:rsid w:val="000E2B8D"/>
    <w:rsid w:val="000E2B98"/>
    <w:rsid w:val="000E2B9C"/>
    <w:rsid w:val="000E2BD4"/>
    <w:rsid w:val="000E2BEF"/>
    <w:rsid w:val="000E2C15"/>
    <w:rsid w:val="000E2C8B"/>
    <w:rsid w:val="000E2CA4"/>
    <w:rsid w:val="000E2CD8"/>
    <w:rsid w:val="000E2D4C"/>
    <w:rsid w:val="000E2D96"/>
    <w:rsid w:val="000E2DCF"/>
    <w:rsid w:val="000E2E3A"/>
    <w:rsid w:val="000E2E52"/>
    <w:rsid w:val="000E2EDB"/>
    <w:rsid w:val="000E2EFC"/>
    <w:rsid w:val="000E2F11"/>
    <w:rsid w:val="000E2F62"/>
    <w:rsid w:val="000E2F7E"/>
    <w:rsid w:val="000E2F86"/>
    <w:rsid w:val="000E2FA9"/>
    <w:rsid w:val="000E2FBB"/>
    <w:rsid w:val="000E2FF8"/>
    <w:rsid w:val="000E3082"/>
    <w:rsid w:val="000E30D6"/>
    <w:rsid w:val="000E30DD"/>
    <w:rsid w:val="000E3183"/>
    <w:rsid w:val="000E318A"/>
    <w:rsid w:val="000E3219"/>
    <w:rsid w:val="000E3287"/>
    <w:rsid w:val="000E32D3"/>
    <w:rsid w:val="000E32E6"/>
    <w:rsid w:val="000E32FF"/>
    <w:rsid w:val="000E3301"/>
    <w:rsid w:val="000E3328"/>
    <w:rsid w:val="000E3346"/>
    <w:rsid w:val="000E3348"/>
    <w:rsid w:val="000E3355"/>
    <w:rsid w:val="000E3386"/>
    <w:rsid w:val="000E33E1"/>
    <w:rsid w:val="000E33EB"/>
    <w:rsid w:val="000E3409"/>
    <w:rsid w:val="000E340B"/>
    <w:rsid w:val="000E342F"/>
    <w:rsid w:val="000E3435"/>
    <w:rsid w:val="000E3465"/>
    <w:rsid w:val="000E34AA"/>
    <w:rsid w:val="000E34EF"/>
    <w:rsid w:val="000E3503"/>
    <w:rsid w:val="000E350A"/>
    <w:rsid w:val="000E351F"/>
    <w:rsid w:val="000E357D"/>
    <w:rsid w:val="000E35AE"/>
    <w:rsid w:val="000E35C1"/>
    <w:rsid w:val="000E360A"/>
    <w:rsid w:val="000E3621"/>
    <w:rsid w:val="000E366C"/>
    <w:rsid w:val="000E366D"/>
    <w:rsid w:val="000E36FF"/>
    <w:rsid w:val="000E372D"/>
    <w:rsid w:val="000E3739"/>
    <w:rsid w:val="000E373A"/>
    <w:rsid w:val="000E378F"/>
    <w:rsid w:val="000E37A1"/>
    <w:rsid w:val="000E37D0"/>
    <w:rsid w:val="000E37D8"/>
    <w:rsid w:val="000E37FC"/>
    <w:rsid w:val="000E385E"/>
    <w:rsid w:val="000E386F"/>
    <w:rsid w:val="000E38AB"/>
    <w:rsid w:val="000E38CB"/>
    <w:rsid w:val="000E38CC"/>
    <w:rsid w:val="000E38E8"/>
    <w:rsid w:val="000E3941"/>
    <w:rsid w:val="000E3953"/>
    <w:rsid w:val="000E395E"/>
    <w:rsid w:val="000E3965"/>
    <w:rsid w:val="000E39EB"/>
    <w:rsid w:val="000E3A33"/>
    <w:rsid w:val="000E3A7C"/>
    <w:rsid w:val="000E3A92"/>
    <w:rsid w:val="000E3AC0"/>
    <w:rsid w:val="000E3AD3"/>
    <w:rsid w:val="000E3AF3"/>
    <w:rsid w:val="000E3B1B"/>
    <w:rsid w:val="000E3B49"/>
    <w:rsid w:val="000E3B55"/>
    <w:rsid w:val="000E3B99"/>
    <w:rsid w:val="000E3BAF"/>
    <w:rsid w:val="000E3BFE"/>
    <w:rsid w:val="000E3C36"/>
    <w:rsid w:val="000E3CA4"/>
    <w:rsid w:val="000E3CBB"/>
    <w:rsid w:val="000E3CBC"/>
    <w:rsid w:val="000E3D41"/>
    <w:rsid w:val="000E3D50"/>
    <w:rsid w:val="000E3DB0"/>
    <w:rsid w:val="000E3DBB"/>
    <w:rsid w:val="000E3DCE"/>
    <w:rsid w:val="000E3E2A"/>
    <w:rsid w:val="000E3EB9"/>
    <w:rsid w:val="000E3ED2"/>
    <w:rsid w:val="000E3F33"/>
    <w:rsid w:val="000E3F9F"/>
    <w:rsid w:val="000E400C"/>
    <w:rsid w:val="000E400E"/>
    <w:rsid w:val="000E4071"/>
    <w:rsid w:val="000E40A1"/>
    <w:rsid w:val="000E40E1"/>
    <w:rsid w:val="000E4102"/>
    <w:rsid w:val="000E4171"/>
    <w:rsid w:val="000E418C"/>
    <w:rsid w:val="000E41C8"/>
    <w:rsid w:val="000E41E7"/>
    <w:rsid w:val="000E41EE"/>
    <w:rsid w:val="000E4202"/>
    <w:rsid w:val="000E421B"/>
    <w:rsid w:val="000E4228"/>
    <w:rsid w:val="000E4232"/>
    <w:rsid w:val="000E4244"/>
    <w:rsid w:val="000E429B"/>
    <w:rsid w:val="000E42B8"/>
    <w:rsid w:val="000E42BD"/>
    <w:rsid w:val="000E42E2"/>
    <w:rsid w:val="000E435D"/>
    <w:rsid w:val="000E436B"/>
    <w:rsid w:val="000E4394"/>
    <w:rsid w:val="000E4408"/>
    <w:rsid w:val="000E440E"/>
    <w:rsid w:val="000E4422"/>
    <w:rsid w:val="000E44BB"/>
    <w:rsid w:val="000E450A"/>
    <w:rsid w:val="000E451B"/>
    <w:rsid w:val="000E451F"/>
    <w:rsid w:val="000E4559"/>
    <w:rsid w:val="000E4604"/>
    <w:rsid w:val="000E460C"/>
    <w:rsid w:val="000E465A"/>
    <w:rsid w:val="000E467A"/>
    <w:rsid w:val="000E46E7"/>
    <w:rsid w:val="000E47A4"/>
    <w:rsid w:val="000E47C4"/>
    <w:rsid w:val="000E47F8"/>
    <w:rsid w:val="000E4803"/>
    <w:rsid w:val="000E480C"/>
    <w:rsid w:val="000E4840"/>
    <w:rsid w:val="000E485E"/>
    <w:rsid w:val="000E48C7"/>
    <w:rsid w:val="000E48C9"/>
    <w:rsid w:val="000E491B"/>
    <w:rsid w:val="000E496E"/>
    <w:rsid w:val="000E498F"/>
    <w:rsid w:val="000E49A4"/>
    <w:rsid w:val="000E49B1"/>
    <w:rsid w:val="000E49C6"/>
    <w:rsid w:val="000E4A17"/>
    <w:rsid w:val="000E4A2E"/>
    <w:rsid w:val="000E4A47"/>
    <w:rsid w:val="000E4A5B"/>
    <w:rsid w:val="000E4A6B"/>
    <w:rsid w:val="000E4A76"/>
    <w:rsid w:val="000E4AC1"/>
    <w:rsid w:val="000E4B24"/>
    <w:rsid w:val="000E4B2B"/>
    <w:rsid w:val="000E4B7D"/>
    <w:rsid w:val="000E4BAE"/>
    <w:rsid w:val="000E4BD9"/>
    <w:rsid w:val="000E4BEC"/>
    <w:rsid w:val="000E4C1A"/>
    <w:rsid w:val="000E4C1F"/>
    <w:rsid w:val="000E4D22"/>
    <w:rsid w:val="000E4D6E"/>
    <w:rsid w:val="000E4D7F"/>
    <w:rsid w:val="000E4DF3"/>
    <w:rsid w:val="000E4E00"/>
    <w:rsid w:val="000E4E06"/>
    <w:rsid w:val="000E4E5A"/>
    <w:rsid w:val="000E4EA0"/>
    <w:rsid w:val="000E4EBB"/>
    <w:rsid w:val="000E4ED2"/>
    <w:rsid w:val="000E4EDC"/>
    <w:rsid w:val="000E4F10"/>
    <w:rsid w:val="000E4F14"/>
    <w:rsid w:val="000E4F2D"/>
    <w:rsid w:val="000E4F4F"/>
    <w:rsid w:val="000E4F8F"/>
    <w:rsid w:val="000E4FF8"/>
    <w:rsid w:val="000E5010"/>
    <w:rsid w:val="000E501C"/>
    <w:rsid w:val="000E5067"/>
    <w:rsid w:val="000E5074"/>
    <w:rsid w:val="000E5080"/>
    <w:rsid w:val="000E5088"/>
    <w:rsid w:val="000E509B"/>
    <w:rsid w:val="000E50A1"/>
    <w:rsid w:val="000E50B2"/>
    <w:rsid w:val="000E50E2"/>
    <w:rsid w:val="000E513E"/>
    <w:rsid w:val="000E5144"/>
    <w:rsid w:val="000E515D"/>
    <w:rsid w:val="000E516D"/>
    <w:rsid w:val="000E5175"/>
    <w:rsid w:val="000E5177"/>
    <w:rsid w:val="000E5192"/>
    <w:rsid w:val="000E5196"/>
    <w:rsid w:val="000E51B2"/>
    <w:rsid w:val="000E51DA"/>
    <w:rsid w:val="000E5218"/>
    <w:rsid w:val="000E522E"/>
    <w:rsid w:val="000E525B"/>
    <w:rsid w:val="000E5273"/>
    <w:rsid w:val="000E52B6"/>
    <w:rsid w:val="000E52C1"/>
    <w:rsid w:val="000E52C8"/>
    <w:rsid w:val="000E5305"/>
    <w:rsid w:val="000E5391"/>
    <w:rsid w:val="000E53EE"/>
    <w:rsid w:val="000E53F4"/>
    <w:rsid w:val="000E540D"/>
    <w:rsid w:val="000E5478"/>
    <w:rsid w:val="000E5484"/>
    <w:rsid w:val="000E54AB"/>
    <w:rsid w:val="000E54C0"/>
    <w:rsid w:val="000E54D0"/>
    <w:rsid w:val="000E54D3"/>
    <w:rsid w:val="000E54D5"/>
    <w:rsid w:val="000E554B"/>
    <w:rsid w:val="000E5569"/>
    <w:rsid w:val="000E55C0"/>
    <w:rsid w:val="000E5612"/>
    <w:rsid w:val="000E5629"/>
    <w:rsid w:val="000E564C"/>
    <w:rsid w:val="000E5666"/>
    <w:rsid w:val="000E5683"/>
    <w:rsid w:val="000E5692"/>
    <w:rsid w:val="000E56BD"/>
    <w:rsid w:val="000E56D4"/>
    <w:rsid w:val="000E5706"/>
    <w:rsid w:val="000E574B"/>
    <w:rsid w:val="000E5758"/>
    <w:rsid w:val="000E5781"/>
    <w:rsid w:val="000E57BE"/>
    <w:rsid w:val="000E57FC"/>
    <w:rsid w:val="000E5805"/>
    <w:rsid w:val="000E581F"/>
    <w:rsid w:val="000E5824"/>
    <w:rsid w:val="000E5855"/>
    <w:rsid w:val="000E589B"/>
    <w:rsid w:val="000E58C9"/>
    <w:rsid w:val="000E58ED"/>
    <w:rsid w:val="000E58FB"/>
    <w:rsid w:val="000E5919"/>
    <w:rsid w:val="000E591F"/>
    <w:rsid w:val="000E5927"/>
    <w:rsid w:val="000E5959"/>
    <w:rsid w:val="000E595E"/>
    <w:rsid w:val="000E5961"/>
    <w:rsid w:val="000E5970"/>
    <w:rsid w:val="000E59B1"/>
    <w:rsid w:val="000E59D9"/>
    <w:rsid w:val="000E59E3"/>
    <w:rsid w:val="000E59F1"/>
    <w:rsid w:val="000E5A1E"/>
    <w:rsid w:val="000E5AB5"/>
    <w:rsid w:val="000E5AE5"/>
    <w:rsid w:val="000E5AF1"/>
    <w:rsid w:val="000E5AF3"/>
    <w:rsid w:val="000E5B1B"/>
    <w:rsid w:val="000E5B2F"/>
    <w:rsid w:val="000E5B34"/>
    <w:rsid w:val="000E5B37"/>
    <w:rsid w:val="000E5B4E"/>
    <w:rsid w:val="000E5B55"/>
    <w:rsid w:val="000E5B6D"/>
    <w:rsid w:val="000E5B77"/>
    <w:rsid w:val="000E5B82"/>
    <w:rsid w:val="000E5BF1"/>
    <w:rsid w:val="000E5C5A"/>
    <w:rsid w:val="000E5CF5"/>
    <w:rsid w:val="000E5D69"/>
    <w:rsid w:val="000E5DBC"/>
    <w:rsid w:val="000E5DC0"/>
    <w:rsid w:val="000E5DE4"/>
    <w:rsid w:val="000E5DFD"/>
    <w:rsid w:val="000E5E2E"/>
    <w:rsid w:val="000E5E4F"/>
    <w:rsid w:val="000E5E8C"/>
    <w:rsid w:val="000E5EFE"/>
    <w:rsid w:val="000E5F3B"/>
    <w:rsid w:val="000E5FF9"/>
    <w:rsid w:val="000E5FFC"/>
    <w:rsid w:val="000E60AA"/>
    <w:rsid w:val="000E60AF"/>
    <w:rsid w:val="000E60BE"/>
    <w:rsid w:val="000E60CC"/>
    <w:rsid w:val="000E60EB"/>
    <w:rsid w:val="000E619C"/>
    <w:rsid w:val="000E61B4"/>
    <w:rsid w:val="000E61DC"/>
    <w:rsid w:val="000E620C"/>
    <w:rsid w:val="000E6233"/>
    <w:rsid w:val="000E623E"/>
    <w:rsid w:val="000E6240"/>
    <w:rsid w:val="000E629A"/>
    <w:rsid w:val="000E62C1"/>
    <w:rsid w:val="000E62C2"/>
    <w:rsid w:val="000E631E"/>
    <w:rsid w:val="000E633E"/>
    <w:rsid w:val="000E6347"/>
    <w:rsid w:val="000E63C7"/>
    <w:rsid w:val="000E63DD"/>
    <w:rsid w:val="000E63FB"/>
    <w:rsid w:val="000E6445"/>
    <w:rsid w:val="000E64AA"/>
    <w:rsid w:val="000E64F4"/>
    <w:rsid w:val="000E64FE"/>
    <w:rsid w:val="000E650D"/>
    <w:rsid w:val="000E6522"/>
    <w:rsid w:val="000E654B"/>
    <w:rsid w:val="000E6553"/>
    <w:rsid w:val="000E659C"/>
    <w:rsid w:val="000E65B0"/>
    <w:rsid w:val="000E65C2"/>
    <w:rsid w:val="000E65DE"/>
    <w:rsid w:val="000E6613"/>
    <w:rsid w:val="000E6644"/>
    <w:rsid w:val="000E6888"/>
    <w:rsid w:val="000E68A4"/>
    <w:rsid w:val="000E68A7"/>
    <w:rsid w:val="000E68AA"/>
    <w:rsid w:val="000E68DC"/>
    <w:rsid w:val="000E6923"/>
    <w:rsid w:val="000E692E"/>
    <w:rsid w:val="000E6937"/>
    <w:rsid w:val="000E6948"/>
    <w:rsid w:val="000E6A0F"/>
    <w:rsid w:val="000E6A15"/>
    <w:rsid w:val="000E6A28"/>
    <w:rsid w:val="000E6A3C"/>
    <w:rsid w:val="000E6A4A"/>
    <w:rsid w:val="000E6AC0"/>
    <w:rsid w:val="000E6AC1"/>
    <w:rsid w:val="000E6B34"/>
    <w:rsid w:val="000E6B7E"/>
    <w:rsid w:val="000E6B88"/>
    <w:rsid w:val="000E6B95"/>
    <w:rsid w:val="000E6BE1"/>
    <w:rsid w:val="000E6BEC"/>
    <w:rsid w:val="000E6C13"/>
    <w:rsid w:val="000E6C1A"/>
    <w:rsid w:val="000E6C68"/>
    <w:rsid w:val="000E6C73"/>
    <w:rsid w:val="000E6C9D"/>
    <w:rsid w:val="000E6D04"/>
    <w:rsid w:val="000E6D18"/>
    <w:rsid w:val="000E6D4A"/>
    <w:rsid w:val="000E6D67"/>
    <w:rsid w:val="000E6D70"/>
    <w:rsid w:val="000E6E26"/>
    <w:rsid w:val="000E6EA1"/>
    <w:rsid w:val="000E6ED7"/>
    <w:rsid w:val="000E6F1D"/>
    <w:rsid w:val="000E6F28"/>
    <w:rsid w:val="000E6F4D"/>
    <w:rsid w:val="000E6F5B"/>
    <w:rsid w:val="000E6F7C"/>
    <w:rsid w:val="000E6F90"/>
    <w:rsid w:val="000E6FD8"/>
    <w:rsid w:val="000E6FF8"/>
    <w:rsid w:val="000E7020"/>
    <w:rsid w:val="000E702A"/>
    <w:rsid w:val="000E7048"/>
    <w:rsid w:val="000E7057"/>
    <w:rsid w:val="000E705E"/>
    <w:rsid w:val="000E70A2"/>
    <w:rsid w:val="000E70BE"/>
    <w:rsid w:val="000E7133"/>
    <w:rsid w:val="000E713D"/>
    <w:rsid w:val="000E713E"/>
    <w:rsid w:val="000E719C"/>
    <w:rsid w:val="000E71C9"/>
    <w:rsid w:val="000E7212"/>
    <w:rsid w:val="000E7224"/>
    <w:rsid w:val="000E7225"/>
    <w:rsid w:val="000E723A"/>
    <w:rsid w:val="000E72A4"/>
    <w:rsid w:val="000E72B2"/>
    <w:rsid w:val="000E72DB"/>
    <w:rsid w:val="000E72E3"/>
    <w:rsid w:val="000E7402"/>
    <w:rsid w:val="000E741E"/>
    <w:rsid w:val="000E745E"/>
    <w:rsid w:val="000E7481"/>
    <w:rsid w:val="000E74AF"/>
    <w:rsid w:val="000E74B9"/>
    <w:rsid w:val="000E74F6"/>
    <w:rsid w:val="000E7531"/>
    <w:rsid w:val="000E75E4"/>
    <w:rsid w:val="000E75FA"/>
    <w:rsid w:val="000E761D"/>
    <w:rsid w:val="000E7672"/>
    <w:rsid w:val="000E767C"/>
    <w:rsid w:val="000E76AB"/>
    <w:rsid w:val="000E76FD"/>
    <w:rsid w:val="000E7708"/>
    <w:rsid w:val="000E772D"/>
    <w:rsid w:val="000E7734"/>
    <w:rsid w:val="000E773B"/>
    <w:rsid w:val="000E7775"/>
    <w:rsid w:val="000E779E"/>
    <w:rsid w:val="000E77CE"/>
    <w:rsid w:val="000E7801"/>
    <w:rsid w:val="000E7802"/>
    <w:rsid w:val="000E7887"/>
    <w:rsid w:val="000E78AE"/>
    <w:rsid w:val="000E78C8"/>
    <w:rsid w:val="000E78F7"/>
    <w:rsid w:val="000E790D"/>
    <w:rsid w:val="000E7931"/>
    <w:rsid w:val="000E7933"/>
    <w:rsid w:val="000E7966"/>
    <w:rsid w:val="000E7969"/>
    <w:rsid w:val="000E7986"/>
    <w:rsid w:val="000E79B6"/>
    <w:rsid w:val="000E79FD"/>
    <w:rsid w:val="000E7A71"/>
    <w:rsid w:val="000E7A9E"/>
    <w:rsid w:val="000E7B0B"/>
    <w:rsid w:val="000E7B4A"/>
    <w:rsid w:val="000E7B51"/>
    <w:rsid w:val="000E7C02"/>
    <w:rsid w:val="000E7C0B"/>
    <w:rsid w:val="000E7C3B"/>
    <w:rsid w:val="000E7CA6"/>
    <w:rsid w:val="000E7CE6"/>
    <w:rsid w:val="000E7D17"/>
    <w:rsid w:val="000E7D2C"/>
    <w:rsid w:val="000E7D3B"/>
    <w:rsid w:val="000E7D3F"/>
    <w:rsid w:val="000E7D85"/>
    <w:rsid w:val="000E7DB7"/>
    <w:rsid w:val="000E7DE2"/>
    <w:rsid w:val="000E7E1A"/>
    <w:rsid w:val="000E7E40"/>
    <w:rsid w:val="000E7E5B"/>
    <w:rsid w:val="000E7EC9"/>
    <w:rsid w:val="000E7F1C"/>
    <w:rsid w:val="000E7F99"/>
    <w:rsid w:val="000F0041"/>
    <w:rsid w:val="000F0052"/>
    <w:rsid w:val="000F0091"/>
    <w:rsid w:val="000F00C4"/>
    <w:rsid w:val="000F00C9"/>
    <w:rsid w:val="000F00D5"/>
    <w:rsid w:val="000F00E8"/>
    <w:rsid w:val="000F00EB"/>
    <w:rsid w:val="000F0121"/>
    <w:rsid w:val="000F0126"/>
    <w:rsid w:val="000F0138"/>
    <w:rsid w:val="000F0164"/>
    <w:rsid w:val="000F0180"/>
    <w:rsid w:val="000F01BD"/>
    <w:rsid w:val="000F01C3"/>
    <w:rsid w:val="000F01C9"/>
    <w:rsid w:val="000F026A"/>
    <w:rsid w:val="000F032D"/>
    <w:rsid w:val="000F032F"/>
    <w:rsid w:val="000F033D"/>
    <w:rsid w:val="000F0390"/>
    <w:rsid w:val="000F0404"/>
    <w:rsid w:val="000F042F"/>
    <w:rsid w:val="000F044C"/>
    <w:rsid w:val="000F0464"/>
    <w:rsid w:val="000F046A"/>
    <w:rsid w:val="000F051A"/>
    <w:rsid w:val="000F052B"/>
    <w:rsid w:val="000F0548"/>
    <w:rsid w:val="000F05A9"/>
    <w:rsid w:val="000F0604"/>
    <w:rsid w:val="000F0645"/>
    <w:rsid w:val="000F068A"/>
    <w:rsid w:val="000F06FC"/>
    <w:rsid w:val="000F072A"/>
    <w:rsid w:val="000F0767"/>
    <w:rsid w:val="000F07EC"/>
    <w:rsid w:val="000F07EE"/>
    <w:rsid w:val="000F0817"/>
    <w:rsid w:val="000F0898"/>
    <w:rsid w:val="000F0928"/>
    <w:rsid w:val="000F0934"/>
    <w:rsid w:val="000F093B"/>
    <w:rsid w:val="000F0965"/>
    <w:rsid w:val="000F0982"/>
    <w:rsid w:val="000F0995"/>
    <w:rsid w:val="000F09F9"/>
    <w:rsid w:val="000F0A2D"/>
    <w:rsid w:val="000F0A2F"/>
    <w:rsid w:val="000F0A4D"/>
    <w:rsid w:val="000F0A5A"/>
    <w:rsid w:val="000F0AA0"/>
    <w:rsid w:val="000F0AD5"/>
    <w:rsid w:val="000F0AD7"/>
    <w:rsid w:val="000F0BE6"/>
    <w:rsid w:val="000F0BE7"/>
    <w:rsid w:val="000F0C0D"/>
    <w:rsid w:val="000F0C5A"/>
    <w:rsid w:val="000F0C6A"/>
    <w:rsid w:val="000F0D1B"/>
    <w:rsid w:val="000F0D87"/>
    <w:rsid w:val="000F0E37"/>
    <w:rsid w:val="000F0E84"/>
    <w:rsid w:val="000F0E8F"/>
    <w:rsid w:val="000F0F2D"/>
    <w:rsid w:val="000F0F2F"/>
    <w:rsid w:val="000F0F33"/>
    <w:rsid w:val="000F0F57"/>
    <w:rsid w:val="000F0F5E"/>
    <w:rsid w:val="000F0F95"/>
    <w:rsid w:val="000F0F9E"/>
    <w:rsid w:val="000F104B"/>
    <w:rsid w:val="000F1056"/>
    <w:rsid w:val="000F1096"/>
    <w:rsid w:val="000F10C5"/>
    <w:rsid w:val="000F10FB"/>
    <w:rsid w:val="000F1130"/>
    <w:rsid w:val="000F113C"/>
    <w:rsid w:val="000F116A"/>
    <w:rsid w:val="000F1173"/>
    <w:rsid w:val="000F1184"/>
    <w:rsid w:val="000F1197"/>
    <w:rsid w:val="000F11AF"/>
    <w:rsid w:val="000F11B8"/>
    <w:rsid w:val="000F1203"/>
    <w:rsid w:val="000F1239"/>
    <w:rsid w:val="000F1262"/>
    <w:rsid w:val="000F1267"/>
    <w:rsid w:val="000F126C"/>
    <w:rsid w:val="000F12DB"/>
    <w:rsid w:val="000F1371"/>
    <w:rsid w:val="000F1374"/>
    <w:rsid w:val="000F1379"/>
    <w:rsid w:val="000F138F"/>
    <w:rsid w:val="000F13A6"/>
    <w:rsid w:val="000F142D"/>
    <w:rsid w:val="000F1482"/>
    <w:rsid w:val="000F14B5"/>
    <w:rsid w:val="000F14FC"/>
    <w:rsid w:val="000F1542"/>
    <w:rsid w:val="000F1555"/>
    <w:rsid w:val="000F1564"/>
    <w:rsid w:val="000F15A8"/>
    <w:rsid w:val="000F15E0"/>
    <w:rsid w:val="000F1624"/>
    <w:rsid w:val="000F1657"/>
    <w:rsid w:val="000F1666"/>
    <w:rsid w:val="000F166C"/>
    <w:rsid w:val="000F1687"/>
    <w:rsid w:val="000F16F5"/>
    <w:rsid w:val="000F1715"/>
    <w:rsid w:val="000F1724"/>
    <w:rsid w:val="000F1765"/>
    <w:rsid w:val="000F179B"/>
    <w:rsid w:val="000F17A4"/>
    <w:rsid w:val="000F17CF"/>
    <w:rsid w:val="000F17EC"/>
    <w:rsid w:val="000F1824"/>
    <w:rsid w:val="000F1833"/>
    <w:rsid w:val="000F1842"/>
    <w:rsid w:val="000F1865"/>
    <w:rsid w:val="000F18BC"/>
    <w:rsid w:val="000F1917"/>
    <w:rsid w:val="000F193F"/>
    <w:rsid w:val="000F1977"/>
    <w:rsid w:val="000F1979"/>
    <w:rsid w:val="000F198A"/>
    <w:rsid w:val="000F19BD"/>
    <w:rsid w:val="000F1A4C"/>
    <w:rsid w:val="000F1A59"/>
    <w:rsid w:val="000F1AA1"/>
    <w:rsid w:val="000F1AE8"/>
    <w:rsid w:val="000F1B15"/>
    <w:rsid w:val="000F1B23"/>
    <w:rsid w:val="000F1B53"/>
    <w:rsid w:val="000F1BB9"/>
    <w:rsid w:val="000F1BE9"/>
    <w:rsid w:val="000F1C11"/>
    <w:rsid w:val="000F1C33"/>
    <w:rsid w:val="000F1C49"/>
    <w:rsid w:val="000F1CC7"/>
    <w:rsid w:val="000F1CCE"/>
    <w:rsid w:val="000F1D4B"/>
    <w:rsid w:val="000F1D5E"/>
    <w:rsid w:val="000F1D61"/>
    <w:rsid w:val="000F1D91"/>
    <w:rsid w:val="000F1DAD"/>
    <w:rsid w:val="000F1E54"/>
    <w:rsid w:val="000F1E63"/>
    <w:rsid w:val="000F1F08"/>
    <w:rsid w:val="000F1F36"/>
    <w:rsid w:val="000F1F4B"/>
    <w:rsid w:val="000F1F53"/>
    <w:rsid w:val="000F1F95"/>
    <w:rsid w:val="000F1FA6"/>
    <w:rsid w:val="000F1FC7"/>
    <w:rsid w:val="000F1FF4"/>
    <w:rsid w:val="000F201E"/>
    <w:rsid w:val="000F20C5"/>
    <w:rsid w:val="000F20E3"/>
    <w:rsid w:val="000F2130"/>
    <w:rsid w:val="000F2146"/>
    <w:rsid w:val="000F2158"/>
    <w:rsid w:val="000F2188"/>
    <w:rsid w:val="000F218D"/>
    <w:rsid w:val="000F2237"/>
    <w:rsid w:val="000F225B"/>
    <w:rsid w:val="000F229B"/>
    <w:rsid w:val="000F22A3"/>
    <w:rsid w:val="000F22BB"/>
    <w:rsid w:val="000F232F"/>
    <w:rsid w:val="000F2392"/>
    <w:rsid w:val="000F239C"/>
    <w:rsid w:val="000F2445"/>
    <w:rsid w:val="000F2452"/>
    <w:rsid w:val="000F2456"/>
    <w:rsid w:val="000F2483"/>
    <w:rsid w:val="000F2497"/>
    <w:rsid w:val="000F24C9"/>
    <w:rsid w:val="000F24D3"/>
    <w:rsid w:val="000F24E2"/>
    <w:rsid w:val="000F2517"/>
    <w:rsid w:val="000F25B8"/>
    <w:rsid w:val="000F25D2"/>
    <w:rsid w:val="000F2630"/>
    <w:rsid w:val="000F2643"/>
    <w:rsid w:val="000F2647"/>
    <w:rsid w:val="000F2658"/>
    <w:rsid w:val="000F26D3"/>
    <w:rsid w:val="000F27A4"/>
    <w:rsid w:val="000F27C5"/>
    <w:rsid w:val="000F27CB"/>
    <w:rsid w:val="000F27E3"/>
    <w:rsid w:val="000F2864"/>
    <w:rsid w:val="000F286A"/>
    <w:rsid w:val="000F28EB"/>
    <w:rsid w:val="000F28F4"/>
    <w:rsid w:val="000F28FA"/>
    <w:rsid w:val="000F2902"/>
    <w:rsid w:val="000F2918"/>
    <w:rsid w:val="000F2927"/>
    <w:rsid w:val="000F2931"/>
    <w:rsid w:val="000F2961"/>
    <w:rsid w:val="000F2993"/>
    <w:rsid w:val="000F29C0"/>
    <w:rsid w:val="000F29CB"/>
    <w:rsid w:val="000F29EB"/>
    <w:rsid w:val="000F2A44"/>
    <w:rsid w:val="000F2A5A"/>
    <w:rsid w:val="000F2A9D"/>
    <w:rsid w:val="000F2AA7"/>
    <w:rsid w:val="000F2AAE"/>
    <w:rsid w:val="000F2ACB"/>
    <w:rsid w:val="000F2AFF"/>
    <w:rsid w:val="000F2B1D"/>
    <w:rsid w:val="000F2B87"/>
    <w:rsid w:val="000F2BBB"/>
    <w:rsid w:val="000F2BE8"/>
    <w:rsid w:val="000F2C09"/>
    <w:rsid w:val="000F2C0B"/>
    <w:rsid w:val="000F2C55"/>
    <w:rsid w:val="000F2CA9"/>
    <w:rsid w:val="000F2CE0"/>
    <w:rsid w:val="000F2D07"/>
    <w:rsid w:val="000F2D0D"/>
    <w:rsid w:val="000F2D14"/>
    <w:rsid w:val="000F2D4A"/>
    <w:rsid w:val="000F2D86"/>
    <w:rsid w:val="000F2DFE"/>
    <w:rsid w:val="000F2E13"/>
    <w:rsid w:val="000F2E38"/>
    <w:rsid w:val="000F2E78"/>
    <w:rsid w:val="000F2EB6"/>
    <w:rsid w:val="000F2EED"/>
    <w:rsid w:val="000F2F63"/>
    <w:rsid w:val="000F2FB6"/>
    <w:rsid w:val="000F2FC5"/>
    <w:rsid w:val="000F3019"/>
    <w:rsid w:val="000F3030"/>
    <w:rsid w:val="000F3049"/>
    <w:rsid w:val="000F304A"/>
    <w:rsid w:val="000F309B"/>
    <w:rsid w:val="000F30F5"/>
    <w:rsid w:val="000F3109"/>
    <w:rsid w:val="000F3126"/>
    <w:rsid w:val="000F3132"/>
    <w:rsid w:val="000F3176"/>
    <w:rsid w:val="000F31B7"/>
    <w:rsid w:val="000F31CE"/>
    <w:rsid w:val="000F3215"/>
    <w:rsid w:val="000F3279"/>
    <w:rsid w:val="000F3286"/>
    <w:rsid w:val="000F32C1"/>
    <w:rsid w:val="000F32D1"/>
    <w:rsid w:val="000F3303"/>
    <w:rsid w:val="000F331A"/>
    <w:rsid w:val="000F3334"/>
    <w:rsid w:val="000F3347"/>
    <w:rsid w:val="000F3358"/>
    <w:rsid w:val="000F335B"/>
    <w:rsid w:val="000F33F5"/>
    <w:rsid w:val="000F3416"/>
    <w:rsid w:val="000F342A"/>
    <w:rsid w:val="000F346F"/>
    <w:rsid w:val="000F3484"/>
    <w:rsid w:val="000F3493"/>
    <w:rsid w:val="000F34CB"/>
    <w:rsid w:val="000F34DD"/>
    <w:rsid w:val="000F34FD"/>
    <w:rsid w:val="000F3507"/>
    <w:rsid w:val="000F3553"/>
    <w:rsid w:val="000F3570"/>
    <w:rsid w:val="000F35C5"/>
    <w:rsid w:val="000F361E"/>
    <w:rsid w:val="000F36A1"/>
    <w:rsid w:val="000F36BC"/>
    <w:rsid w:val="000F36D3"/>
    <w:rsid w:val="000F3713"/>
    <w:rsid w:val="000F3748"/>
    <w:rsid w:val="000F374A"/>
    <w:rsid w:val="000F375A"/>
    <w:rsid w:val="000F3769"/>
    <w:rsid w:val="000F3805"/>
    <w:rsid w:val="000F380A"/>
    <w:rsid w:val="000F381E"/>
    <w:rsid w:val="000F3880"/>
    <w:rsid w:val="000F38CC"/>
    <w:rsid w:val="000F38F3"/>
    <w:rsid w:val="000F39AD"/>
    <w:rsid w:val="000F3A23"/>
    <w:rsid w:val="000F3A2D"/>
    <w:rsid w:val="000F3A44"/>
    <w:rsid w:val="000F3A59"/>
    <w:rsid w:val="000F3A5C"/>
    <w:rsid w:val="000F3AB9"/>
    <w:rsid w:val="000F3AD3"/>
    <w:rsid w:val="000F3B0D"/>
    <w:rsid w:val="000F3B32"/>
    <w:rsid w:val="000F3B3F"/>
    <w:rsid w:val="000F3B57"/>
    <w:rsid w:val="000F3B80"/>
    <w:rsid w:val="000F3B9A"/>
    <w:rsid w:val="000F3BBD"/>
    <w:rsid w:val="000F3BC4"/>
    <w:rsid w:val="000F3BCC"/>
    <w:rsid w:val="000F3BCF"/>
    <w:rsid w:val="000F3C24"/>
    <w:rsid w:val="000F3C33"/>
    <w:rsid w:val="000F3C80"/>
    <w:rsid w:val="000F3C90"/>
    <w:rsid w:val="000F3CBD"/>
    <w:rsid w:val="000F3CC8"/>
    <w:rsid w:val="000F3D0C"/>
    <w:rsid w:val="000F3D68"/>
    <w:rsid w:val="000F3DA8"/>
    <w:rsid w:val="000F3DD2"/>
    <w:rsid w:val="000F3DFE"/>
    <w:rsid w:val="000F3E15"/>
    <w:rsid w:val="000F3E2C"/>
    <w:rsid w:val="000F3E35"/>
    <w:rsid w:val="000F3E57"/>
    <w:rsid w:val="000F3E74"/>
    <w:rsid w:val="000F3EA5"/>
    <w:rsid w:val="000F3F02"/>
    <w:rsid w:val="000F3F06"/>
    <w:rsid w:val="000F3F0C"/>
    <w:rsid w:val="000F3F27"/>
    <w:rsid w:val="000F3F8C"/>
    <w:rsid w:val="000F3FA0"/>
    <w:rsid w:val="000F3FF0"/>
    <w:rsid w:val="000F3FF8"/>
    <w:rsid w:val="000F401C"/>
    <w:rsid w:val="000F4031"/>
    <w:rsid w:val="000F4124"/>
    <w:rsid w:val="000F416A"/>
    <w:rsid w:val="000F419A"/>
    <w:rsid w:val="000F41EC"/>
    <w:rsid w:val="000F41EF"/>
    <w:rsid w:val="000F41F2"/>
    <w:rsid w:val="000F4217"/>
    <w:rsid w:val="000F4234"/>
    <w:rsid w:val="000F4277"/>
    <w:rsid w:val="000F42E9"/>
    <w:rsid w:val="000F42F0"/>
    <w:rsid w:val="000F4341"/>
    <w:rsid w:val="000F43AB"/>
    <w:rsid w:val="000F43DA"/>
    <w:rsid w:val="000F43EB"/>
    <w:rsid w:val="000F4407"/>
    <w:rsid w:val="000F4418"/>
    <w:rsid w:val="000F4430"/>
    <w:rsid w:val="000F4435"/>
    <w:rsid w:val="000F4490"/>
    <w:rsid w:val="000F44B4"/>
    <w:rsid w:val="000F44BF"/>
    <w:rsid w:val="000F454A"/>
    <w:rsid w:val="000F45D4"/>
    <w:rsid w:val="000F45F2"/>
    <w:rsid w:val="000F4634"/>
    <w:rsid w:val="000F4640"/>
    <w:rsid w:val="000F4668"/>
    <w:rsid w:val="000F4676"/>
    <w:rsid w:val="000F469E"/>
    <w:rsid w:val="000F46BE"/>
    <w:rsid w:val="000F46CE"/>
    <w:rsid w:val="000F46D4"/>
    <w:rsid w:val="000F472A"/>
    <w:rsid w:val="000F475D"/>
    <w:rsid w:val="000F47D3"/>
    <w:rsid w:val="000F47EA"/>
    <w:rsid w:val="000F48AA"/>
    <w:rsid w:val="000F48E0"/>
    <w:rsid w:val="000F4907"/>
    <w:rsid w:val="000F493F"/>
    <w:rsid w:val="000F4963"/>
    <w:rsid w:val="000F4966"/>
    <w:rsid w:val="000F4984"/>
    <w:rsid w:val="000F4A0C"/>
    <w:rsid w:val="000F4A13"/>
    <w:rsid w:val="000F4A57"/>
    <w:rsid w:val="000F4A59"/>
    <w:rsid w:val="000F4A8E"/>
    <w:rsid w:val="000F4A97"/>
    <w:rsid w:val="000F4AAF"/>
    <w:rsid w:val="000F4B13"/>
    <w:rsid w:val="000F4B38"/>
    <w:rsid w:val="000F4B5C"/>
    <w:rsid w:val="000F4B62"/>
    <w:rsid w:val="000F4BB3"/>
    <w:rsid w:val="000F4BE5"/>
    <w:rsid w:val="000F4C2A"/>
    <w:rsid w:val="000F4C32"/>
    <w:rsid w:val="000F4C40"/>
    <w:rsid w:val="000F4C8E"/>
    <w:rsid w:val="000F4CEF"/>
    <w:rsid w:val="000F4CF1"/>
    <w:rsid w:val="000F4D2D"/>
    <w:rsid w:val="000F4D68"/>
    <w:rsid w:val="000F4D8F"/>
    <w:rsid w:val="000F4DAD"/>
    <w:rsid w:val="000F4DE9"/>
    <w:rsid w:val="000F4DFB"/>
    <w:rsid w:val="000F4E1D"/>
    <w:rsid w:val="000F4E69"/>
    <w:rsid w:val="000F4F02"/>
    <w:rsid w:val="000F4F25"/>
    <w:rsid w:val="000F4F3F"/>
    <w:rsid w:val="000F4F46"/>
    <w:rsid w:val="000F4F5E"/>
    <w:rsid w:val="000F4F75"/>
    <w:rsid w:val="000F4F9E"/>
    <w:rsid w:val="000F4FB1"/>
    <w:rsid w:val="000F4FFB"/>
    <w:rsid w:val="000F5030"/>
    <w:rsid w:val="000F5042"/>
    <w:rsid w:val="000F506A"/>
    <w:rsid w:val="000F506D"/>
    <w:rsid w:val="000F50C1"/>
    <w:rsid w:val="000F50D7"/>
    <w:rsid w:val="000F5105"/>
    <w:rsid w:val="000F510E"/>
    <w:rsid w:val="000F5126"/>
    <w:rsid w:val="000F514C"/>
    <w:rsid w:val="000F515E"/>
    <w:rsid w:val="000F515F"/>
    <w:rsid w:val="000F517A"/>
    <w:rsid w:val="000F5189"/>
    <w:rsid w:val="000F518A"/>
    <w:rsid w:val="000F5199"/>
    <w:rsid w:val="000F51CA"/>
    <w:rsid w:val="000F51E4"/>
    <w:rsid w:val="000F51F1"/>
    <w:rsid w:val="000F5224"/>
    <w:rsid w:val="000F5258"/>
    <w:rsid w:val="000F52C3"/>
    <w:rsid w:val="000F52E7"/>
    <w:rsid w:val="000F5330"/>
    <w:rsid w:val="000F534D"/>
    <w:rsid w:val="000F537F"/>
    <w:rsid w:val="000F5391"/>
    <w:rsid w:val="000F53B3"/>
    <w:rsid w:val="000F541F"/>
    <w:rsid w:val="000F5429"/>
    <w:rsid w:val="000F545F"/>
    <w:rsid w:val="000F5511"/>
    <w:rsid w:val="000F5545"/>
    <w:rsid w:val="000F5556"/>
    <w:rsid w:val="000F55A0"/>
    <w:rsid w:val="000F55B1"/>
    <w:rsid w:val="000F55EC"/>
    <w:rsid w:val="000F55F2"/>
    <w:rsid w:val="000F55FB"/>
    <w:rsid w:val="000F5664"/>
    <w:rsid w:val="000F567A"/>
    <w:rsid w:val="000F568B"/>
    <w:rsid w:val="000F56BC"/>
    <w:rsid w:val="000F5713"/>
    <w:rsid w:val="000F577F"/>
    <w:rsid w:val="000F57A3"/>
    <w:rsid w:val="000F57C8"/>
    <w:rsid w:val="000F588D"/>
    <w:rsid w:val="000F591F"/>
    <w:rsid w:val="000F5960"/>
    <w:rsid w:val="000F5963"/>
    <w:rsid w:val="000F59E4"/>
    <w:rsid w:val="000F59E6"/>
    <w:rsid w:val="000F5A0C"/>
    <w:rsid w:val="000F5A20"/>
    <w:rsid w:val="000F5A23"/>
    <w:rsid w:val="000F5A2A"/>
    <w:rsid w:val="000F5A4B"/>
    <w:rsid w:val="000F5AB7"/>
    <w:rsid w:val="000F5B11"/>
    <w:rsid w:val="000F5B14"/>
    <w:rsid w:val="000F5B2E"/>
    <w:rsid w:val="000F5B3D"/>
    <w:rsid w:val="000F5B59"/>
    <w:rsid w:val="000F5BDA"/>
    <w:rsid w:val="000F5BF2"/>
    <w:rsid w:val="000F5BFD"/>
    <w:rsid w:val="000F5C15"/>
    <w:rsid w:val="000F5C34"/>
    <w:rsid w:val="000F5C79"/>
    <w:rsid w:val="000F5CC6"/>
    <w:rsid w:val="000F5CC9"/>
    <w:rsid w:val="000F5CCF"/>
    <w:rsid w:val="000F5D27"/>
    <w:rsid w:val="000F5D3F"/>
    <w:rsid w:val="000F5D41"/>
    <w:rsid w:val="000F5D57"/>
    <w:rsid w:val="000F5D7B"/>
    <w:rsid w:val="000F5DAF"/>
    <w:rsid w:val="000F5E0E"/>
    <w:rsid w:val="000F5E2A"/>
    <w:rsid w:val="000F5E2C"/>
    <w:rsid w:val="000F5E99"/>
    <w:rsid w:val="000F5EA3"/>
    <w:rsid w:val="000F5EA7"/>
    <w:rsid w:val="000F5F01"/>
    <w:rsid w:val="000F5F70"/>
    <w:rsid w:val="000F5FC4"/>
    <w:rsid w:val="000F5FD4"/>
    <w:rsid w:val="000F5FFA"/>
    <w:rsid w:val="000F602B"/>
    <w:rsid w:val="000F6074"/>
    <w:rsid w:val="000F6083"/>
    <w:rsid w:val="000F60B0"/>
    <w:rsid w:val="000F60BB"/>
    <w:rsid w:val="000F6154"/>
    <w:rsid w:val="000F6167"/>
    <w:rsid w:val="000F619F"/>
    <w:rsid w:val="000F61BF"/>
    <w:rsid w:val="000F61EC"/>
    <w:rsid w:val="000F620B"/>
    <w:rsid w:val="000F6223"/>
    <w:rsid w:val="000F6229"/>
    <w:rsid w:val="000F6278"/>
    <w:rsid w:val="000F627A"/>
    <w:rsid w:val="000F6283"/>
    <w:rsid w:val="000F62B8"/>
    <w:rsid w:val="000F62BA"/>
    <w:rsid w:val="000F62F1"/>
    <w:rsid w:val="000F6314"/>
    <w:rsid w:val="000F6316"/>
    <w:rsid w:val="000F638A"/>
    <w:rsid w:val="000F63BB"/>
    <w:rsid w:val="000F63C2"/>
    <w:rsid w:val="000F63E3"/>
    <w:rsid w:val="000F63FB"/>
    <w:rsid w:val="000F64A5"/>
    <w:rsid w:val="000F64A6"/>
    <w:rsid w:val="000F64C9"/>
    <w:rsid w:val="000F64DB"/>
    <w:rsid w:val="000F6506"/>
    <w:rsid w:val="000F6566"/>
    <w:rsid w:val="000F656E"/>
    <w:rsid w:val="000F6628"/>
    <w:rsid w:val="000F662B"/>
    <w:rsid w:val="000F6636"/>
    <w:rsid w:val="000F6653"/>
    <w:rsid w:val="000F6687"/>
    <w:rsid w:val="000F66C7"/>
    <w:rsid w:val="000F66ED"/>
    <w:rsid w:val="000F670A"/>
    <w:rsid w:val="000F67A0"/>
    <w:rsid w:val="000F6802"/>
    <w:rsid w:val="000F6809"/>
    <w:rsid w:val="000F680A"/>
    <w:rsid w:val="000F6833"/>
    <w:rsid w:val="000F68A5"/>
    <w:rsid w:val="000F68BC"/>
    <w:rsid w:val="000F68E6"/>
    <w:rsid w:val="000F68F7"/>
    <w:rsid w:val="000F6932"/>
    <w:rsid w:val="000F696A"/>
    <w:rsid w:val="000F6979"/>
    <w:rsid w:val="000F697F"/>
    <w:rsid w:val="000F69E4"/>
    <w:rsid w:val="000F69EA"/>
    <w:rsid w:val="000F6A5C"/>
    <w:rsid w:val="000F6AA6"/>
    <w:rsid w:val="000F6AD5"/>
    <w:rsid w:val="000F6ADF"/>
    <w:rsid w:val="000F6B45"/>
    <w:rsid w:val="000F6B4A"/>
    <w:rsid w:val="000F6B83"/>
    <w:rsid w:val="000F6BBA"/>
    <w:rsid w:val="000F6BBF"/>
    <w:rsid w:val="000F6C0E"/>
    <w:rsid w:val="000F6C29"/>
    <w:rsid w:val="000F6C5F"/>
    <w:rsid w:val="000F6CC2"/>
    <w:rsid w:val="000F6D2B"/>
    <w:rsid w:val="000F6D52"/>
    <w:rsid w:val="000F6D66"/>
    <w:rsid w:val="000F6DE4"/>
    <w:rsid w:val="000F6E5E"/>
    <w:rsid w:val="000F6E6F"/>
    <w:rsid w:val="000F6EAD"/>
    <w:rsid w:val="000F6EB4"/>
    <w:rsid w:val="000F6EC4"/>
    <w:rsid w:val="000F6EC8"/>
    <w:rsid w:val="000F6ED2"/>
    <w:rsid w:val="000F6F07"/>
    <w:rsid w:val="000F6F2F"/>
    <w:rsid w:val="000F6F5E"/>
    <w:rsid w:val="000F6FC3"/>
    <w:rsid w:val="000F6FDA"/>
    <w:rsid w:val="000F6FF8"/>
    <w:rsid w:val="000F7007"/>
    <w:rsid w:val="000F703D"/>
    <w:rsid w:val="000F7087"/>
    <w:rsid w:val="000F7095"/>
    <w:rsid w:val="000F70D6"/>
    <w:rsid w:val="000F70F0"/>
    <w:rsid w:val="000F70F4"/>
    <w:rsid w:val="000F70FD"/>
    <w:rsid w:val="000F7175"/>
    <w:rsid w:val="000F7192"/>
    <w:rsid w:val="000F71D3"/>
    <w:rsid w:val="000F7222"/>
    <w:rsid w:val="000F724B"/>
    <w:rsid w:val="000F72BA"/>
    <w:rsid w:val="000F72F0"/>
    <w:rsid w:val="000F732E"/>
    <w:rsid w:val="000F7339"/>
    <w:rsid w:val="000F735C"/>
    <w:rsid w:val="000F7377"/>
    <w:rsid w:val="000F738D"/>
    <w:rsid w:val="000F73B5"/>
    <w:rsid w:val="000F73DB"/>
    <w:rsid w:val="000F73F1"/>
    <w:rsid w:val="000F7449"/>
    <w:rsid w:val="000F7490"/>
    <w:rsid w:val="000F7493"/>
    <w:rsid w:val="000F74CE"/>
    <w:rsid w:val="000F74FE"/>
    <w:rsid w:val="000F756F"/>
    <w:rsid w:val="000F7572"/>
    <w:rsid w:val="000F7573"/>
    <w:rsid w:val="000F75E2"/>
    <w:rsid w:val="000F7602"/>
    <w:rsid w:val="000F7666"/>
    <w:rsid w:val="000F766E"/>
    <w:rsid w:val="000F7675"/>
    <w:rsid w:val="000F7678"/>
    <w:rsid w:val="000F76A6"/>
    <w:rsid w:val="000F7715"/>
    <w:rsid w:val="000F7728"/>
    <w:rsid w:val="000F7770"/>
    <w:rsid w:val="000F7772"/>
    <w:rsid w:val="000F77EF"/>
    <w:rsid w:val="000F7848"/>
    <w:rsid w:val="000F78A2"/>
    <w:rsid w:val="000F78B7"/>
    <w:rsid w:val="000F78D2"/>
    <w:rsid w:val="000F7912"/>
    <w:rsid w:val="000F793D"/>
    <w:rsid w:val="000F7957"/>
    <w:rsid w:val="000F7964"/>
    <w:rsid w:val="000F7996"/>
    <w:rsid w:val="000F7A03"/>
    <w:rsid w:val="000F7A13"/>
    <w:rsid w:val="000F7A35"/>
    <w:rsid w:val="000F7A54"/>
    <w:rsid w:val="000F7A68"/>
    <w:rsid w:val="000F7A6B"/>
    <w:rsid w:val="000F7A72"/>
    <w:rsid w:val="000F7A82"/>
    <w:rsid w:val="000F7A96"/>
    <w:rsid w:val="000F7AA7"/>
    <w:rsid w:val="000F7ACF"/>
    <w:rsid w:val="000F7B18"/>
    <w:rsid w:val="000F7B1A"/>
    <w:rsid w:val="000F7B22"/>
    <w:rsid w:val="000F7B35"/>
    <w:rsid w:val="000F7B3C"/>
    <w:rsid w:val="000F7B69"/>
    <w:rsid w:val="000F7BDB"/>
    <w:rsid w:val="000F7BE5"/>
    <w:rsid w:val="000F7C18"/>
    <w:rsid w:val="000F7C46"/>
    <w:rsid w:val="000F7C5F"/>
    <w:rsid w:val="000F7CE6"/>
    <w:rsid w:val="000F7DD9"/>
    <w:rsid w:val="000F7E5F"/>
    <w:rsid w:val="000F7E77"/>
    <w:rsid w:val="000F7E80"/>
    <w:rsid w:val="000F7EA5"/>
    <w:rsid w:val="000F7EA7"/>
    <w:rsid w:val="000F7EC2"/>
    <w:rsid w:val="000F7ECD"/>
    <w:rsid w:val="000F7F39"/>
    <w:rsid w:val="000F7F7D"/>
    <w:rsid w:val="000F7F8C"/>
    <w:rsid w:val="000F7FC0"/>
    <w:rsid w:val="000F7FC1"/>
    <w:rsid w:val="000F7FC5"/>
    <w:rsid w:val="000F7FCC"/>
    <w:rsid w:val="00100139"/>
    <w:rsid w:val="0010014B"/>
    <w:rsid w:val="00100188"/>
    <w:rsid w:val="001001B1"/>
    <w:rsid w:val="001001C7"/>
    <w:rsid w:val="001001E3"/>
    <w:rsid w:val="0010020B"/>
    <w:rsid w:val="00100220"/>
    <w:rsid w:val="0010025F"/>
    <w:rsid w:val="00100304"/>
    <w:rsid w:val="00100307"/>
    <w:rsid w:val="00100383"/>
    <w:rsid w:val="001003B6"/>
    <w:rsid w:val="001003DC"/>
    <w:rsid w:val="0010043C"/>
    <w:rsid w:val="00100457"/>
    <w:rsid w:val="00100472"/>
    <w:rsid w:val="00100489"/>
    <w:rsid w:val="001004B3"/>
    <w:rsid w:val="001004B6"/>
    <w:rsid w:val="001004BC"/>
    <w:rsid w:val="001005B3"/>
    <w:rsid w:val="001005C7"/>
    <w:rsid w:val="001005E1"/>
    <w:rsid w:val="001005E7"/>
    <w:rsid w:val="001005F9"/>
    <w:rsid w:val="00100637"/>
    <w:rsid w:val="0010065D"/>
    <w:rsid w:val="00100687"/>
    <w:rsid w:val="0010068C"/>
    <w:rsid w:val="001006B3"/>
    <w:rsid w:val="001006C5"/>
    <w:rsid w:val="00100710"/>
    <w:rsid w:val="00100736"/>
    <w:rsid w:val="00100746"/>
    <w:rsid w:val="001007DA"/>
    <w:rsid w:val="001007EF"/>
    <w:rsid w:val="00100807"/>
    <w:rsid w:val="00100815"/>
    <w:rsid w:val="00100823"/>
    <w:rsid w:val="0010085E"/>
    <w:rsid w:val="00100861"/>
    <w:rsid w:val="001008B5"/>
    <w:rsid w:val="001008BE"/>
    <w:rsid w:val="001008DA"/>
    <w:rsid w:val="0010092F"/>
    <w:rsid w:val="0010095F"/>
    <w:rsid w:val="00100977"/>
    <w:rsid w:val="0010099B"/>
    <w:rsid w:val="001009AE"/>
    <w:rsid w:val="00100A07"/>
    <w:rsid w:val="00100A26"/>
    <w:rsid w:val="00100A38"/>
    <w:rsid w:val="00100A8F"/>
    <w:rsid w:val="00100AEC"/>
    <w:rsid w:val="00100AFA"/>
    <w:rsid w:val="00100B0C"/>
    <w:rsid w:val="00100B31"/>
    <w:rsid w:val="00100B38"/>
    <w:rsid w:val="00100B3B"/>
    <w:rsid w:val="00100B59"/>
    <w:rsid w:val="00100B62"/>
    <w:rsid w:val="00100B7B"/>
    <w:rsid w:val="00100BB2"/>
    <w:rsid w:val="00100BC7"/>
    <w:rsid w:val="00100BD7"/>
    <w:rsid w:val="00100BFB"/>
    <w:rsid w:val="00100C03"/>
    <w:rsid w:val="00100C2A"/>
    <w:rsid w:val="00100C3F"/>
    <w:rsid w:val="00100CAC"/>
    <w:rsid w:val="00100CB3"/>
    <w:rsid w:val="00100CE4"/>
    <w:rsid w:val="00100CE6"/>
    <w:rsid w:val="00100D44"/>
    <w:rsid w:val="00100D4A"/>
    <w:rsid w:val="00100D6A"/>
    <w:rsid w:val="00100D85"/>
    <w:rsid w:val="00100D88"/>
    <w:rsid w:val="00100D96"/>
    <w:rsid w:val="00100DA3"/>
    <w:rsid w:val="00100DBE"/>
    <w:rsid w:val="00100DC0"/>
    <w:rsid w:val="00100DC7"/>
    <w:rsid w:val="00100DF2"/>
    <w:rsid w:val="00100DF9"/>
    <w:rsid w:val="00100DFF"/>
    <w:rsid w:val="00100E05"/>
    <w:rsid w:val="00100E08"/>
    <w:rsid w:val="00100E0A"/>
    <w:rsid w:val="00100E67"/>
    <w:rsid w:val="00100E73"/>
    <w:rsid w:val="00100E96"/>
    <w:rsid w:val="00100E98"/>
    <w:rsid w:val="00100EC0"/>
    <w:rsid w:val="00100EE7"/>
    <w:rsid w:val="00100F17"/>
    <w:rsid w:val="00100F2C"/>
    <w:rsid w:val="00100F32"/>
    <w:rsid w:val="00100FA0"/>
    <w:rsid w:val="0010101F"/>
    <w:rsid w:val="0010108C"/>
    <w:rsid w:val="0010108E"/>
    <w:rsid w:val="001010EE"/>
    <w:rsid w:val="0010115E"/>
    <w:rsid w:val="00101167"/>
    <w:rsid w:val="00101174"/>
    <w:rsid w:val="00101182"/>
    <w:rsid w:val="0010118F"/>
    <w:rsid w:val="001011B5"/>
    <w:rsid w:val="001011C4"/>
    <w:rsid w:val="001011CB"/>
    <w:rsid w:val="00101241"/>
    <w:rsid w:val="001012AD"/>
    <w:rsid w:val="00101314"/>
    <w:rsid w:val="0010131A"/>
    <w:rsid w:val="0010131F"/>
    <w:rsid w:val="00101337"/>
    <w:rsid w:val="0010137D"/>
    <w:rsid w:val="001013B2"/>
    <w:rsid w:val="001013D7"/>
    <w:rsid w:val="001013F5"/>
    <w:rsid w:val="00101434"/>
    <w:rsid w:val="00101463"/>
    <w:rsid w:val="00101492"/>
    <w:rsid w:val="00101497"/>
    <w:rsid w:val="001014A0"/>
    <w:rsid w:val="0010155E"/>
    <w:rsid w:val="0010158F"/>
    <w:rsid w:val="001015B6"/>
    <w:rsid w:val="00101613"/>
    <w:rsid w:val="0010162A"/>
    <w:rsid w:val="0010166F"/>
    <w:rsid w:val="001016A4"/>
    <w:rsid w:val="001016B9"/>
    <w:rsid w:val="001016C8"/>
    <w:rsid w:val="001016F5"/>
    <w:rsid w:val="00101744"/>
    <w:rsid w:val="0010174E"/>
    <w:rsid w:val="0010176E"/>
    <w:rsid w:val="001017B2"/>
    <w:rsid w:val="0010181E"/>
    <w:rsid w:val="00101897"/>
    <w:rsid w:val="001018A0"/>
    <w:rsid w:val="001018C6"/>
    <w:rsid w:val="00101938"/>
    <w:rsid w:val="00101944"/>
    <w:rsid w:val="00101952"/>
    <w:rsid w:val="00101959"/>
    <w:rsid w:val="00101971"/>
    <w:rsid w:val="0010197E"/>
    <w:rsid w:val="00101986"/>
    <w:rsid w:val="00101A46"/>
    <w:rsid w:val="00101A64"/>
    <w:rsid w:val="00101A78"/>
    <w:rsid w:val="00101A80"/>
    <w:rsid w:val="00101A9D"/>
    <w:rsid w:val="00101A9E"/>
    <w:rsid w:val="00101ABD"/>
    <w:rsid w:val="00101B25"/>
    <w:rsid w:val="00101B75"/>
    <w:rsid w:val="00101B77"/>
    <w:rsid w:val="00101C24"/>
    <w:rsid w:val="00101C26"/>
    <w:rsid w:val="00101C29"/>
    <w:rsid w:val="00101C54"/>
    <w:rsid w:val="00101C86"/>
    <w:rsid w:val="00101CCB"/>
    <w:rsid w:val="00101E38"/>
    <w:rsid w:val="00101E95"/>
    <w:rsid w:val="00101EB7"/>
    <w:rsid w:val="00101F50"/>
    <w:rsid w:val="00101F69"/>
    <w:rsid w:val="00101F8B"/>
    <w:rsid w:val="00101F9E"/>
    <w:rsid w:val="00101FBF"/>
    <w:rsid w:val="00102072"/>
    <w:rsid w:val="001020D9"/>
    <w:rsid w:val="001020ED"/>
    <w:rsid w:val="00102155"/>
    <w:rsid w:val="00102163"/>
    <w:rsid w:val="0010219C"/>
    <w:rsid w:val="00102226"/>
    <w:rsid w:val="0010227F"/>
    <w:rsid w:val="0010229F"/>
    <w:rsid w:val="001022B5"/>
    <w:rsid w:val="001022EB"/>
    <w:rsid w:val="00102338"/>
    <w:rsid w:val="00102339"/>
    <w:rsid w:val="00102341"/>
    <w:rsid w:val="00102343"/>
    <w:rsid w:val="0010234B"/>
    <w:rsid w:val="00102350"/>
    <w:rsid w:val="00102376"/>
    <w:rsid w:val="001023B2"/>
    <w:rsid w:val="00102412"/>
    <w:rsid w:val="00102431"/>
    <w:rsid w:val="00102441"/>
    <w:rsid w:val="00102442"/>
    <w:rsid w:val="00102492"/>
    <w:rsid w:val="001024A4"/>
    <w:rsid w:val="001024B6"/>
    <w:rsid w:val="001024F1"/>
    <w:rsid w:val="00102501"/>
    <w:rsid w:val="0010253F"/>
    <w:rsid w:val="0010256C"/>
    <w:rsid w:val="001025A7"/>
    <w:rsid w:val="001025E9"/>
    <w:rsid w:val="0010266B"/>
    <w:rsid w:val="0010267B"/>
    <w:rsid w:val="001026CB"/>
    <w:rsid w:val="0010270A"/>
    <w:rsid w:val="00102741"/>
    <w:rsid w:val="00102748"/>
    <w:rsid w:val="0010276C"/>
    <w:rsid w:val="0010277E"/>
    <w:rsid w:val="0010278F"/>
    <w:rsid w:val="00102790"/>
    <w:rsid w:val="00102811"/>
    <w:rsid w:val="00102819"/>
    <w:rsid w:val="0010283F"/>
    <w:rsid w:val="00102853"/>
    <w:rsid w:val="00102889"/>
    <w:rsid w:val="00102890"/>
    <w:rsid w:val="001028D1"/>
    <w:rsid w:val="0010297D"/>
    <w:rsid w:val="00102A1A"/>
    <w:rsid w:val="00102A57"/>
    <w:rsid w:val="00102A90"/>
    <w:rsid w:val="00102A9E"/>
    <w:rsid w:val="00102ACE"/>
    <w:rsid w:val="00102ADA"/>
    <w:rsid w:val="00102AE8"/>
    <w:rsid w:val="00102AF8"/>
    <w:rsid w:val="00102AFD"/>
    <w:rsid w:val="00102B0D"/>
    <w:rsid w:val="00102B9D"/>
    <w:rsid w:val="00102BEB"/>
    <w:rsid w:val="00102C17"/>
    <w:rsid w:val="00102C27"/>
    <w:rsid w:val="00102C58"/>
    <w:rsid w:val="00102C69"/>
    <w:rsid w:val="00102CC3"/>
    <w:rsid w:val="00102CE5"/>
    <w:rsid w:val="00102D30"/>
    <w:rsid w:val="00102D4B"/>
    <w:rsid w:val="00102D64"/>
    <w:rsid w:val="00102D72"/>
    <w:rsid w:val="00102D7A"/>
    <w:rsid w:val="00102DB2"/>
    <w:rsid w:val="00102DD6"/>
    <w:rsid w:val="00102DE4"/>
    <w:rsid w:val="00102E14"/>
    <w:rsid w:val="00102E39"/>
    <w:rsid w:val="00102E5E"/>
    <w:rsid w:val="00102E95"/>
    <w:rsid w:val="00102E9B"/>
    <w:rsid w:val="00102EA3"/>
    <w:rsid w:val="00102EC4"/>
    <w:rsid w:val="00102ED8"/>
    <w:rsid w:val="00102EF8"/>
    <w:rsid w:val="00102F3A"/>
    <w:rsid w:val="00103017"/>
    <w:rsid w:val="0010305F"/>
    <w:rsid w:val="0010309D"/>
    <w:rsid w:val="00103110"/>
    <w:rsid w:val="0010315C"/>
    <w:rsid w:val="0010318A"/>
    <w:rsid w:val="00103190"/>
    <w:rsid w:val="001031DB"/>
    <w:rsid w:val="001031FC"/>
    <w:rsid w:val="00103236"/>
    <w:rsid w:val="00103244"/>
    <w:rsid w:val="00103270"/>
    <w:rsid w:val="00103298"/>
    <w:rsid w:val="001032A3"/>
    <w:rsid w:val="001032BF"/>
    <w:rsid w:val="001032DC"/>
    <w:rsid w:val="00103306"/>
    <w:rsid w:val="00103333"/>
    <w:rsid w:val="00103353"/>
    <w:rsid w:val="001033B2"/>
    <w:rsid w:val="001033B5"/>
    <w:rsid w:val="001033C3"/>
    <w:rsid w:val="001033D1"/>
    <w:rsid w:val="00103417"/>
    <w:rsid w:val="0010341E"/>
    <w:rsid w:val="00103426"/>
    <w:rsid w:val="0010342C"/>
    <w:rsid w:val="001034D0"/>
    <w:rsid w:val="001034F2"/>
    <w:rsid w:val="00103518"/>
    <w:rsid w:val="0010354F"/>
    <w:rsid w:val="00103665"/>
    <w:rsid w:val="00103672"/>
    <w:rsid w:val="0010369E"/>
    <w:rsid w:val="001036E0"/>
    <w:rsid w:val="00103713"/>
    <w:rsid w:val="00103725"/>
    <w:rsid w:val="0010372A"/>
    <w:rsid w:val="0010372B"/>
    <w:rsid w:val="00103756"/>
    <w:rsid w:val="0010378F"/>
    <w:rsid w:val="001037E7"/>
    <w:rsid w:val="001037ED"/>
    <w:rsid w:val="0010380F"/>
    <w:rsid w:val="00103842"/>
    <w:rsid w:val="00103884"/>
    <w:rsid w:val="001038C5"/>
    <w:rsid w:val="001038E1"/>
    <w:rsid w:val="001038EE"/>
    <w:rsid w:val="00103962"/>
    <w:rsid w:val="0010397B"/>
    <w:rsid w:val="00103A03"/>
    <w:rsid w:val="00103A24"/>
    <w:rsid w:val="00103AC6"/>
    <w:rsid w:val="00103B56"/>
    <w:rsid w:val="00103BB7"/>
    <w:rsid w:val="00103BFF"/>
    <w:rsid w:val="00103C7A"/>
    <w:rsid w:val="00103CFF"/>
    <w:rsid w:val="00103D16"/>
    <w:rsid w:val="00103D1B"/>
    <w:rsid w:val="00103D49"/>
    <w:rsid w:val="00103D7E"/>
    <w:rsid w:val="00103DBC"/>
    <w:rsid w:val="00103DDA"/>
    <w:rsid w:val="00103E7E"/>
    <w:rsid w:val="00103EA7"/>
    <w:rsid w:val="00103ED6"/>
    <w:rsid w:val="00103ED9"/>
    <w:rsid w:val="00103EEF"/>
    <w:rsid w:val="00103F4C"/>
    <w:rsid w:val="00103F4D"/>
    <w:rsid w:val="00103F64"/>
    <w:rsid w:val="00103FB1"/>
    <w:rsid w:val="00103FCC"/>
    <w:rsid w:val="0010404B"/>
    <w:rsid w:val="001040D3"/>
    <w:rsid w:val="001040E1"/>
    <w:rsid w:val="001040FF"/>
    <w:rsid w:val="00104105"/>
    <w:rsid w:val="0010410E"/>
    <w:rsid w:val="0010410F"/>
    <w:rsid w:val="0010412B"/>
    <w:rsid w:val="00104158"/>
    <w:rsid w:val="00104173"/>
    <w:rsid w:val="0010419C"/>
    <w:rsid w:val="001041A3"/>
    <w:rsid w:val="00104219"/>
    <w:rsid w:val="0010422C"/>
    <w:rsid w:val="0010425C"/>
    <w:rsid w:val="00104278"/>
    <w:rsid w:val="001042AE"/>
    <w:rsid w:val="001042DE"/>
    <w:rsid w:val="001042EF"/>
    <w:rsid w:val="00104301"/>
    <w:rsid w:val="00104304"/>
    <w:rsid w:val="0010438F"/>
    <w:rsid w:val="0010442C"/>
    <w:rsid w:val="00104440"/>
    <w:rsid w:val="00104458"/>
    <w:rsid w:val="001044DF"/>
    <w:rsid w:val="0010450C"/>
    <w:rsid w:val="0010450F"/>
    <w:rsid w:val="00104535"/>
    <w:rsid w:val="00104585"/>
    <w:rsid w:val="001045EE"/>
    <w:rsid w:val="00104607"/>
    <w:rsid w:val="0010462E"/>
    <w:rsid w:val="00104653"/>
    <w:rsid w:val="00104659"/>
    <w:rsid w:val="00104660"/>
    <w:rsid w:val="00104667"/>
    <w:rsid w:val="00104685"/>
    <w:rsid w:val="001046D5"/>
    <w:rsid w:val="001046EE"/>
    <w:rsid w:val="001046F4"/>
    <w:rsid w:val="00104707"/>
    <w:rsid w:val="0010471D"/>
    <w:rsid w:val="00104778"/>
    <w:rsid w:val="0010479C"/>
    <w:rsid w:val="0010480A"/>
    <w:rsid w:val="0010481F"/>
    <w:rsid w:val="00104842"/>
    <w:rsid w:val="00104853"/>
    <w:rsid w:val="001048B3"/>
    <w:rsid w:val="001048BF"/>
    <w:rsid w:val="001048CC"/>
    <w:rsid w:val="00104922"/>
    <w:rsid w:val="00104968"/>
    <w:rsid w:val="001049C3"/>
    <w:rsid w:val="001049E1"/>
    <w:rsid w:val="001049F1"/>
    <w:rsid w:val="00104AA0"/>
    <w:rsid w:val="00104AF7"/>
    <w:rsid w:val="00104AF8"/>
    <w:rsid w:val="00104B0D"/>
    <w:rsid w:val="00104B62"/>
    <w:rsid w:val="00104B69"/>
    <w:rsid w:val="00104BA6"/>
    <w:rsid w:val="00104BAC"/>
    <w:rsid w:val="00104BEF"/>
    <w:rsid w:val="00104C43"/>
    <w:rsid w:val="00104C47"/>
    <w:rsid w:val="00104C48"/>
    <w:rsid w:val="00104C6D"/>
    <w:rsid w:val="00104C85"/>
    <w:rsid w:val="00104CD9"/>
    <w:rsid w:val="00104CED"/>
    <w:rsid w:val="00104D40"/>
    <w:rsid w:val="00104DCC"/>
    <w:rsid w:val="00104DF1"/>
    <w:rsid w:val="00104E1B"/>
    <w:rsid w:val="00104E1C"/>
    <w:rsid w:val="00104E6A"/>
    <w:rsid w:val="00104E7B"/>
    <w:rsid w:val="00104F5C"/>
    <w:rsid w:val="00104F70"/>
    <w:rsid w:val="00104FCE"/>
    <w:rsid w:val="00104FF0"/>
    <w:rsid w:val="0010501D"/>
    <w:rsid w:val="00105082"/>
    <w:rsid w:val="001050B0"/>
    <w:rsid w:val="001050C9"/>
    <w:rsid w:val="001050D3"/>
    <w:rsid w:val="001050E8"/>
    <w:rsid w:val="001050EF"/>
    <w:rsid w:val="0010510B"/>
    <w:rsid w:val="00105114"/>
    <w:rsid w:val="001051AC"/>
    <w:rsid w:val="001051BE"/>
    <w:rsid w:val="001051EB"/>
    <w:rsid w:val="001051F1"/>
    <w:rsid w:val="001051FE"/>
    <w:rsid w:val="00105213"/>
    <w:rsid w:val="00105262"/>
    <w:rsid w:val="00105263"/>
    <w:rsid w:val="00105264"/>
    <w:rsid w:val="001052CB"/>
    <w:rsid w:val="001052F4"/>
    <w:rsid w:val="001052F7"/>
    <w:rsid w:val="00105311"/>
    <w:rsid w:val="00105388"/>
    <w:rsid w:val="001053A8"/>
    <w:rsid w:val="001053B8"/>
    <w:rsid w:val="001053B9"/>
    <w:rsid w:val="001053DA"/>
    <w:rsid w:val="001053F5"/>
    <w:rsid w:val="001053F9"/>
    <w:rsid w:val="0010546F"/>
    <w:rsid w:val="001054A2"/>
    <w:rsid w:val="001054BF"/>
    <w:rsid w:val="001054D9"/>
    <w:rsid w:val="001054DF"/>
    <w:rsid w:val="001054EC"/>
    <w:rsid w:val="001054F3"/>
    <w:rsid w:val="00105507"/>
    <w:rsid w:val="0010553A"/>
    <w:rsid w:val="00105551"/>
    <w:rsid w:val="00105574"/>
    <w:rsid w:val="00105594"/>
    <w:rsid w:val="00105621"/>
    <w:rsid w:val="0010564D"/>
    <w:rsid w:val="00105664"/>
    <w:rsid w:val="0010566A"/>
    <w:rsid w:val="0010567C"/>
    <w:rsid w:val="0010567D"/>
    <w:rsid w:val="001056B8"/>
    <w:rsid w:val="0010571F"/>
    <w:rsid w:val="00105735"/>
    <w:rsid w:val="00105773"/>
    <w:rsid w:val="00105794"/>
    <w:rsid w:val="0010579E"/>
    <w:rsid w:val="001057CD"/>
    <w:rsid w:val="001057D7"/>
    <w:rsid w:val="001057E5"/>
    <w:rsid w:val="001057F3"/>
    <w:rsid w:val="00105805"/>
    <w:rsid w:val="0010582B"/>
    <w:rsid w:val="0010584A"/>
    <w:rsid w:val="00105850"/>
    <w:rsid w:val="00105872"/>
    <w:rsid w:val="00105874"/>
    <w:rsid w:val="00105889"/>
    <w:rsid w:val="001058A8"/>
    <w:rsid w:val="001058AC"/>
    <w:rsid w:val="001058B3"/>
    <w:rsid w:val="001058D4"/>
    <w:rsid w:val="001058D9"/>
    <w:rsid w:val="00105930"/>
    <w:rsid w:val="00105937"/>
    <w:rsid w:val="00105991"/>
    <w:rsid w:val="0010599F"/>
    <w:rsid w:val="001059A2"/>
    <w:rsid w:val="001059B4"/>
    <w:rsid w:val="001059B5"/>
    <w:rsid w:val="001059BA"/>
    <w:rsid w:val="001059D6"/>
    <w:rsid w:val="001059F6"/>
    <w:rsid w:val="00105A49"/>
    <w:rsid w:val="00105A62"/>
    <w:rsid w:val="00105B28"/>
    <w:rsid w:val="00105B2D"/>
    <w:rsid w:val="00105B3E"/>
    <w:rsid w:val="00105B4B"/>
    <w:rsid w:val="00105BA8"/>
    <w:rsid w:val="00105BC3"/>
    <w:rsid w:val="00105BF9"/>
    <w:rsid w:val="00105C1C"/>
    <w:rsid w:val="00105C71"/>
    <w:rsid w:val="00105C80"/>
    <w:rsid w:val="00105D27"/>
    <w:rsid w:val="00105D4B"/>
    <w:rsid w:val="00105D6B"/>
    <w:rsid w:val="00105D81"/>
    <w:rsid w:val="00105DAB"/>
    <w:rsid w:val="00105DE8"/>
    <w:rsid w:val="00105E23"/>
    <w:rsid w:val="00105E2F"/>
    <w:rsid w:val="00105E3B"/>
    <w:rsid w:val="00105E62"/>
    <w:rsid w:val="00105E9F"/>
    <w:rsid w:val="00105EA3"/>
    <w:rsid w:val="00105ED8"/>
    <w:rsid w:val="00105F32"/>
    <w:rsid w:val="00105F35"/>
    <w:rsid w:val="00105F65"/>
    <w:rsid w:val="00105F6E"/>
    <w:rsid w:val="00105F71"/>
    <w:rsid w:val="00105F78"/>
    <w:rsid w:val="00105F90"/>
    <w:rsid w:val="00106049"/>
    <w:rsid w:val="00106063"/>
    <w:rsid w:val="00106082"/>
    <w:rsid w:val="00106164"/>
    <w:rsid w:val="00106193"/>
    <w:rsid w:val="001061DE"/>
    <w:rsid w:val="00106208"/>
    <w:rsid w:val="0010621C"/>
    <w:rsid w:val="00106272"/>
    <w:rsid w:val="001062A2"/>
    <w:rsid w:val="001062D7"/>
    <w:rsid w:val="00106308"/>
    <w:rsid w:val="00106317"/>
    <w:rsid w:val="00106390"/>
    <w:rsid w:val="001063EE"/>
    <w:rsid w:val="00106408"/>
    <w:rsid w:val="00106462"/>
    <w:rsid w:val="001064A5"/>
    <w:rsid w:val="001064C6"/>
    <w:rsid w:val="001064D0"/>
    <w:rsid w:val="001064FA"/>
    <w:rsid w:val="00106505"/>
    <w:rsid w:val="0010652E"/>
    <w:rsid w:val="00106530"/>
    <w:rsid w:val="001065E9"/>
    <w:rsid w:val="00106612"/>
    <w:rsid w:val="00106667"/>
    <w:rsid w:val="00106686"/>
    <w:rsid w:val="001066BE"/>
    <w:rsid w:val="001066C7"/>
    <w:rsid w:val="001066F8"/>
    <w:rsid w:val="00106712"/>
    <w:rsid w:val="0010674C"/>
    <w:rsid w:val="001067AC"/>
    <w:rsid w:val="0010685E"/>
    <w:rsid w:val="00106883"/>
    <w:rsid w:val="001068BD"/>
    <w:rsid w:val="001068BF"/>
    <w:rsid w:val="001068D4"/>
    <w:rsid w:val="001068EC"/>
    <w:rsid w:val="00106901"/>
    <w:rsid w:val="0010693A"/>
    <w:rsid w:val="0010693C"/>
    <w:rsid w:val="0010696E"/>
    <w:rsid w:val="001069B3"/>
    <w:rsid w:val="00106AD0"/>
    <w:rsid w:val="00106B07"/>
    <w:rsid w:val="00106B3D"/>
    <w:rsid w:val="00106B6C"/>
    <w:rsid w:val="00106B9E"/>
    <w:rsid w:val="00106C1E"/>
    <w:rsid w:val="00106C30"/>
    <w:rsid w:val="00106C34"/>
    <w:rsid w:val="00106C38"/>
    <w:rsid w:val="00106C48"/>
    <w:rsid w:val="00106C56"/>
    <w:rsid w:val="00106C60"/>
    <w:rsid w:val="00106C73"/>
    <w:rsid w:val="00106CAB"/>
    <w:rsid w:val="00106CB8"/>
    <w:rsid w:val="00106CCB"/>
    <w:rsid w:val="00106CD8"/>
    <w:rsid w:val="00106CF3"/>
    <w:rsid w:val="00106D15"/>
    <w:rsid w:val="00106D2E"/>
    <w:rsid w:val="00106D49"/>
    <w:rsid w:val="00106DD9"/>
    <w:rsid w:val="00106E36"/>
    <w:rsid w:val="00106EB2"/>
    <w:rsid w:val="00106EBB"/>
    <w:rsid w:val="00106ECE"/>
    <w:rsid w:val="00106ED1"/>
    <w:rsid w:val="00106ED4"/>
    <w:rsid w:val="00106F53"/>
    <w:rsid w:val="00106F85"/>
    <w:rsid w:val="00106F96"/>
    <w:rsid w:val="00106FCF"/>
    <w:rsid w:val="00106FD8"/>
    <w:rsid w:val="00107033"/>
    <w:rsid w:val="0010703E"/>
    <w:rsid w:val="001070AC"/>
    <w:rsid w:val="00107195"/>
    <w:rsid w:val="00107199"/>
    <w:rsid w:val="001071A4"/>
    <w:rsid w:val="001071A9"/>
    <w:rsid w:val="00107217"/>
    <w:rsid w:val="00107255"/>
    <w:rsid w:val="00107302"/>
    <w:rsid w:val="00107395"/>
    <w:rsid w:val="001073AC"/>
    <w:rsid w:val="001073C9"/>
    <w:rsid w:val="001073F7"/>
    <w:rsid w:val="001073F8"/>
    <w:rsid w:val="00107409"/>
    <w:rsid w:val="0010747C"/>
    <w:rsid w:val="001074AA"/>
    <w:rsid w:val="00107502"/>
    <w:rsid w:val="00107544"/>
    <w:rsid w:val="00107555"/>
    <w:rsid w:val="001075CC"/>
    <w:rsid w:val="00107627"/>
    <w:rsid w:val="0010763B"/>
    <w:rsid w:val="001076C9"/>
    <w:rsid w:val="0010773D"/>
    <w:rsid w:val="00107745"/>
    <w:rsid w:val="0010774E"/>
    <w:rsid w:val="00107762"/>
    <w:rsid w:val="00107794"/>
    <w:rsid w:val="00107799"/>
    <w:rsid w:val="001077B8"/>
    <w:rsid w:val="001077FE"/>
    <w:rsid w:val="00107805"/>
    <w:rsid w:val="00107844"/>
    <w:rsid w:val="0010784F"/>
    <w:rsid w:val="001078B3"/>
    <w:rsid w:val="001078BD"/>
    <w:rsid w:val="0010792B"/>
    <w:rsid w:val="0010798D"/>
    <w:rsid w:val="00107A2A"/>
    <w:rsid w:val="00107A49"/>
    <w:rsid w:val="00107A4F"/>
    <w:rsid w:val="00107A61"/>
    <w:rsid w:val="00107A66"/>
    <w:rsid w:val="00107ABD"/>
    <w:rsid w:val="00107AC5"/>
    <w:rsid w:val="00107ACA"/>
    <w:rsid w:val="00107AF7"/>
    <w:rsid w:val="00107B0A"/>
    <w:rsid w:val="00107B32"/>
    <w:rsid w:val="00107B61"/>
    <w:rsid w:val="00107B62"/>
    <w:rsid w:val="00107B68"/>
    <w:rsid w:val="00107C5A"/>
    <w:rsid w:val="00107CBD"/>
    <w:rsid w:val="00107D68"/>
    <w:rsid w:val="00107DBB"/>
    <w:rsid w:val="00107E00"/>
    <w:rsid w:val="00107E73"/>
    <w:rsid w:val="00107EEA"/>
    <w:rsid w:val="00107F71"/>
    <w:rsid w:val="00107F74"/>
    <w:rsid w:val="00107FB8"/>
    <w:rsid w:val="0011001B"/>
    <w:rsid w:val="001100E5"/>
    <w:rsid w:val="001100EB"/>
    <w:rsid w:val="00110119"/>
    <w:rsid w:val="00110158"/>
    <w:rsid w:val="0011015D"/>
    <w:rsid w:val="00110164"/>
    <w:rsid w:val="0011023E"/>
    <w:rsid w:val="00110244"/>
    <w:rsid w:val="00110247"/>
    <w:rsid w:val="00110278"/>
    <w:rsid w:val="00110288"/>
    <w:rsid w:val="001102E6"/>
    <w:rsid w:val="001102F1"/>
    <w:rsid w:val="00110322"/>
    <w:rsid w:val="0011032E"/>
    <w:rsid w:val="0011034B"/>
    <w:rsid w:val="0011035A"/>
    <w:rsid w:val="0011038E"/>
    <w:rsid w:val="00110422"/>
    <w:rsid w:val="00110432"/>
    <w:rsid w:val="00110437"/>
    <w:rsid w:val="00110482"/>
    <w:rsid w:val="00110537"/>
    <w:rsid w:val="0011056A"/>
    <w:rsid w:val="0011056D"/>
    <w:rsid w:val="00110602"/>
    <w:rsid w:val="001106CB"/>
    <w:rsid w:val="001106E7"/>
    <w:rsid w:val="001106F2"/>
    <w:rsid w:val="001106FE"/>
    <w:rsid w:val="00110720"/>
    <w:rsid w:val="00110765"/>
    <w:rsid w:val="0011076E"/>
    <w:rsid w:val="001107C6"/>
    <w:rsid w:val="00110804"/>
    <w:rsid w:val="00110805"/>
    <w:rsid w:val="0011080F"/>
    <w:rsid w:val="00110866"/>
    <w:rsid w:val="001108BA"/>
    <w:rsid w:val="001108BB"/>
    <w:rsid w:val="001108D2"/>
    <w:rsid w:val="001108DC"/>
    <w:rsid w:val="001108FA"/>
    <w:rsid w:val="0011091E"/>
    <w:rsid w:val="0011092A"/>
    <w:rsid w:val="0011092E"/>
    <w:rsid w:val="0011097F"/>
    <w:rsid w:val="0011099E"/>
    <w:rsid w:val="00110A6F"/>
    <w:rsid w:val="00110B41"/>
    <w:rsid w:val="00110B96"/>
    <w:rsid w:val="00110BAE"/>
    <w:rsid w:val="00110BB6"/>
    <w:rsid w:val="00110BCE"/>
    <w:rsid w:val="00110C3E"/>
    <w:rsid w:val="00110C5B"/>
    <w:rsid w:val="00110C62"/>
    <w:rsid w:val="00110CB4"/>
    <w:rsid w:val="00110CC1"/>
    <w:rsid w:val="00110CD1"/>
    <w:rsid w:val="00110D07"/>
    <w:rsid w:val="00110DA5"/>
    <w:rsid w:val="00110E59"/>
    <w:rsid w:val="00110E96"/>
    <w:rsid w:val="00110ED6"/>
    <w:rsid w:val="00110EE2"/>
    <w:rsid w:val="00110F0E"/>
    <w:rsid w:val="00110F1C"/>
    <w:rsid w:val="00110F32"/>
    <w:rsid w:val="00110F39"/>
    <w:rsid w:val="00110F76"/>
    <w:rsid w:val="00110F8B"/>
    <w:rsid w:val="00110FC6"/>
    <w:rsid w:val="00110FD2"/>
    <w:rsid w:val="00110FF2"/>
    <w:rsid w:val="00110FFF"/>
    <w:rsid w:val="00111045"/>
    <w:rsid w:val="001110D9"/>
    <w:rsid w:val="001110E4"/>
    <w:rsid w:val="0011119B"/>
    <w:rsid w:val="001111CF"/>
    <w:rsid w:val="00111206"/>
    <w:rsid w:val="00111244"/>
    <w:rsid w:val="001112C6"/>
    <w:rsid w:val="00111302"/>
    <w:rsid w:val="00111357"/>
    <w:rsid w:val="0011136A"/>
    <w:rsid w:val="00111411"/>
    <w:rsid w:val="00111428"/>
    <w:rsid w:val="00111437"/>
    <w:rsid w:val="0011143C"/>
    <w:rsid w:val="0011149C"/>
    <w:rsid w:val="001114AB"/>
    <w:rsid w:val="001114D5"/>
    <w:rsid w:val="001114FD"/>
    <w:rsid w:val="00111583"/>
    <w:rsid w:val="001115EB"/>
    <w:rsid w:val="00111609"/>
    <w:rsid w:val="00111658"/>
    <w:rsid w:val="0011167F"/>
    <w:rsid w:val="0011169F"/>
    <w:rsid w:val="001116A0"/>
    <w:rsid w:val="00111721"/>
    <w:rsid w:val="00111787"/>
    <w:rsid w:val="0011179D"/>
    <w:rsid w:val="001117BD"/>
    <w:rsid w:val="001117C1"/>
    <w:rsid w:val="00111833"/>
    <w:rsid w:val="00111852"/>
    <w:rsid w:val="0011189A"/>
    <w:rsid w:val="001118C7"/>
    <w:rsid w:val="001118D2"/>
    <w:rsid w:val="0011190E"/>
    <w:rsid w:val="0011192C"/>
    <w:rsid w:val="00111957"/>
    <w:rsid w:val="0011195F"/>
    <w:rsid w:val="00111965"/>
    <w:rsid w:val="00111966"/>
    <w:rsid w:val="001119BA"/>
    <w:rsid w:val="00111A36"/>
    <w:rsid w:val="00111A6F"/>
    <w:rsid w:val="00111AD5"/>
    <w:rsid w:val="00111AF6"/>
    <w:rsid w:val="00111AFE"/>
    <w:rsid w:val="00111B4A"/>
    <w:rsid w:val="00111BA6"/>
    <w:rsid w:val="00111BBC"/>
    <w:rsid w:val="00111C33"/>
    <w:rsid w:val="00111C91"/>
    <w:rsid w:val="00111C9A"/>
    <w:rsid w:val="00111CBC"/>
    <w:rsid w:val="00111CC6"/>
    <w:rsid w:val="00111CDE"/>
    <w:rsid w:val="00111D8D"/>
    <w:rsid w:val="00111DD0"/>
    <w:rsid w:val="00111DED"/>
    <w:rsid w:val="00111DF1"/>
    <w:rsid w:val="00111E38"/>
    <w:rsid w:val="00111E90"/>
    <w:rsid w:val="00111EAC"/>
    <w:rsid w:val="00111ED9"/>
    <w:rsid w:val="00111EFB"/>
    <w:rsid w:val="00111F10"/>
    <w:rsid w:val="00111F8E"/>
    <w:rsid w:val="00111FA9"/>
    <w:rsid w:val="00111FD8"/>
    <w:rsid w:val="00111FF4"/>
    <w:rsid w:val="00112011"/>
    <w:rsid w:val="0011203C"/>
    <w:rsid w:val="001120C1"/>
    <w:rsid w:val="001120C6"/>
    <w:rsid w:val="001120D4"/>
    <w:rsid w:val="001120F7"/>
    <w:rsid w:val="001121D0"/>
    <w:rsid w:val="001121EA"/>
    <w:rsid w:val="00112210"/>
    <w:rsid w:val="0011221C"/>
    <w:rsid w:val="00112260"/>
    <w:rsid w:val="001122BF"/>
    <w:rsid w:val="001122C8"/>
    <w:rsid w:val="001122F0"/>
    <w:rsid w:val="00112313"/>
    <w:rsid w:val="00112355"/>
    <w:rsid w:val="0011238A"/>
    <w:rsid w:val="001123D8"/>
    <w:rsid w:val="001123DE"/>
    <w:rsid w:val="001123E5"/>
    <w:rsid w:val="001124A1"/>
    <w:rsid w:val="001124FB"/>
    <w:rsid w:val="00112502"/>
    <w:rsid w:val="0011252B"/>
    <w:rsid w:val="00112546"/>
    <w:rsid w:val="00112567"/>
    <w:rsid w:val="00112571"/>
    <w:rsid w:val="0011259E"/>
    <w:rsid w:val="001125E8"/>
    <w:rsid w:val="00112686"/>
    <w:rsid w:val="001126B0"/>
    <w:rsid w:val="001126C1"/>
    <w:rsid w:val="001126D4"/>
    <w:rsid w:val="001126E1"/>
    <w:rsid w:val="00112747"/>
    <w:rsid w:val="00112770"/>
    <w:rsid w:val="001127BF"/>
    <w:rsid w:val="0011281D"/>
    <w:rsid w:val="0011282B"/>
    <w:rsid w:val="00112869"/>
    <w:rsid w:val="001128B2"/>
    <w:rsid w:val="00112970"/>
    <w:rsid w:val="00112976"/>
    <w:rsid w:val="00112A08"/>
    <w:rsid w:val="00112A28"/>
    <w:rsid w:val="00112A43"/>
    <w:rsid w:val="00112A4D"/>
    <w:rsid w:val="00112A6B"/>
    <w:rsid w:val="00112A83"/>
    <w:rsid w:val="00112ACE"/>
    <w:rsid w:val="00112B79"/>
    <w:rsid w:val="00112B8D"/>
    <w:rsid w:val="00112BB0"/>
    <w:rsid w:val="00112BB9"/>
    <w:rsid w:val="00112C27"/>
    <w:rsid w:val="00112C5B"/>
    <w:rsid w:val="00112C63"/>
    <w:rsid w:val="00112CE2"/>
    <w:rsid w:val="00112D5B"/>
    <w:rsid w:val="00112D8A"/>
    <w:rsid w:val="00112DC7"/>
    <w:rsid w:val="00112DD1"/>
    <w:rsid w:val="00112E0E"/>
    <w:rsid w:val="00112E34"/>
    <w:rsid w:val="00112E3F"/>
    <w:rsid w:val="00112E69"/>
    <w:rsid w:val="00112EC0"/>
    <w:rsid w:val="00112F22"/>
    <w:rsid w:val="00112F2B"/>
    <w:rsid w:val="00112F54"/>
    <w:rsid w:val="00112F9F"/>
    <w:rsid w:val="00112FEF"/>
    <w:rsid w:val="0011301B"/>
    <w:rsid w:val="0011309B"/>
    <w:rsid w:val="001130AA"/>
    <w:rsid w:val="001130AD"/>
    <w:rsid w:val="001130E2"/>
    <w:rsid w:val="001131A2"/>
    <w:rsid w:val="001131A5"/>
    <w:rsid w:val="001131BB"/>
    <w:rsid w:val="00113240"/>
    <w:rsid w:val="00113289"/>
    <w:rsid w:val="00113299"/>
    <w:rsid w:val="001132BD"/>
    <w:rsid w:val="001132DF"/>
    <w:rsid w:val="001132E2"/>
    <w:rsid w:val="001133A2"/>
    <w:rsid w:val="001133EC"/>
    <w:rsid w:val="001133FA"/>
    <w:rsid w:val="00113416"/>
    <w:rsid w:val="0011344C"/>
    <w:rsid w:val="001134FE"/>
    <w:rsid w:val="00113510"/>
    <w:rsid w:val="0011351A"/>
    <w:rsid w:val="00113524"/>
    <w:rsid w:val="00113530"/>
    <w:rsid w:val="00113533"/>
    <w:rsid w:val="00113537"/>
    <w:rsid w:val="00113586"/>
    <w:rsid w:val="001135E9"/>
    <w:rsid w:val="0011360F"/>
    <w:rsid w:val="0011362A"/>
    <w:rsid w:val="0011367D"/>
    <w:rsid w:val="001136ED"/>
    <w:rsid w:val="00113745"/>
    <w:rsid w:val="00113797"/>
    <w:rsid w:val="001137B0"/>
    <w:rsid w:val="0011380F"/>
    <w:rsid w:val="00113856"/>
    <w:rsid w:val="0011386B"/>
    <w:rsid w:val="0011389B"/>
    <w:rsid w:val="001138BD"/>
    <w:rsid w:val="001138C8"/>
    <w:rsid w:val="001138EB"/>
    <w:rsid w:val="00113974"/>
    <w:rsid w:val="001139C3"/>
    <w:rsid w:val="001139F1"/>
    <w:rsid w:val="00113A02"/>
    <w:rsid w:val="00113A2A"/>
    <w:rsid w:val="00113A5C"/>
    <w:rsid w:val="00113A6B"/>
    <w:rsid w:val="00113A75"/>
    <w:rsid w:val="00113A99"/>
    <w:rsid w:val="00113AAB"/>
    <w:rsid w:val="00113ABD"/>
    <w:rsid w:val="00113ADA"/>
    <w:rsid w:val="00113AE9"/>
    <w:rsid w:val="00113AFA"/>
    <w:rsid w:val="00113AFE"/>
    <w:rsid w:val="00113B0E"/>
    <w:rsid w:val="00113B43"/>
    <w:rsid w:val="00113B48"/>
    <w:rsid w:val="00113B49"/>
    <w:rsid w:val="00113B5C"/>
    <w:rsid w:val="00113B89"/>
    <w:rsid w:val="00113B9D"/>
    <w:rsid w:val="00113BFF"/>
    <w:rsid w:val="00113C1F"/>
    <w:rsid w:val="00113C74"/>
    <w:rsid w:val="00113C8E"/>
    <w:rsid w:val="00113CC3"/>
    <w:rsid w:val="00113CD3"/>
    <w:rsid w:val="00113CE0"/>
    <w:rsid w:val="00113CF9"/>
    <w:rsid w:val="00113D07"/>
    <w:rsid w:val="00113D25"/>
    <w:rsid w:val="00113D6B"/>
    <w:rsid w:val="00113E07"/>
    <w:rsid w:val="00113E46"/>
    <w:rsid w:val="00113EB8"/>
    <w:rsid w:val="00113EE7"/>
    <w:rsid w:val="00113EED"/>
    <w:rsid w:val="00113F1B"/>
    <w:rsid w:val="00113F56"/>
    <w:rsid w:val="00113F6D"/>
    <w:rsid w:val="00113F99"/>
    <w:rsid w:val="00113FA3"/>
    <w:rsid w:val="00113FCF"/>
    <w:rsid w:val="00113FFB"/>
    <w:rsid w:val="00114006"/>
    <w:rsid w:val="00114026"/>
    <w:rsid w:val="00114050"/>
    <w:rsid w:val="0011405F"/>
    <w:rsid w:val="001140AD"/>
    <w:rsid w:val="001140F6"/>
    <w:rsid w:val="00114121"/>
    <w:rsid w:val="0011413D"/>
    <w:rsid w:val="00114156"/>
    <w:rsid w:val="00114181"/>
    <w:rsid w:val="001141A3"/>
    <w:rsid w:val="001141DD"/>
    <w:rsid w:val="00114218"/>
    <w:rsid w:val="0011424C"/>
    <w:rsid w:val="001142AB"/>
    <w:rsid w:val="001142F1"/>
    <w:rsid w:val="00114349"/>
    <w:rsid w:val="0011434A"/>
    <w:rsid w:val="00114362"/>
    <w:rsid w:val="00114365"/>
    <w:rsid w:val="0011436F"/>
    <w:rsid w:val="00114392"/>
    <w:rsid w:val="001143AF"/>
    <w:rsid w:val="001143B7"/>
    <w:rsid w:val="001143F1"/>
    <w:rsid w:val="001143FF"/>
    <w:rsid w:val="0011440C"/>
    <w:rsid w:val="00114440"/>
    <w:rsid w:val="00114459"/>
    <w:rsid w:val="0011445A"/>
    <w:rsid w:val="0011445E"/>
    <w:rsid w:val="00114477"/>
    <w:rsid w:val="00114499"/>
    <w:rsid w:val="001144A2"/>
    <w:rsid w:val="001144C9"/>
    <w:rsid w:val="001144CA"/>
    <w:rsid w:val="001144F7"/>
    <w:rsid w:val="001144FA"/>
    <w:rsid w:val="00114514"/>
    <w:rsid w:val="0011455A"/>
    <w:rsid w:val="00114569"/>
    <w:rsid w:val="0011457F"/>
    <w:rsid w:val="00114586"/>
    <w:rsid w:val="0011459C"/>
    <w:rsid w:val="0011459F"/>
    <w:rsid w:val="00114616"/>
    <w:rsid w:val="00114658"/>
    <w:rsid w:val="0011465E"/>
    <w:rsid w:val="00114674"/>
    <w:rsid w:val="001146AC"/>
    <w:rsid w:val="0011470E"/>
    <w:rsid w:val="00114735"/>
    <w:rsid w:val="00114749"/>
    <w:rsid w:val="0011475F"/>
    <w:rsid w:val="00114762"/>
    <w:rsid w:val="00114767"/>
    <w:rsid w:val="00114778"/>
    <w:rsid w:val="00114780"/>
    <w:rsid w:val="001147A1"/>
    <w:rsid w:val="001147E1"/>
    <w:rsid w:val="001147F2"/>
    <w:rsid w:val="001147F9"/>
    <w:rsid w:val="0011480B"/>
    <w:rsid w:val="00114845"/>
    <w:rsid w:val="00114849"/>
    <w:rsid w:val="00114850"/>
    <w:rsid w:val="00114883"/>
    <w:rsid w:val="001148C0"/>
    <w:rsid w:val="001148D3"/>
    <w:rsid w:val="00114900"/>
    <w:rsid w:val="00114959"/>
    <w:rsid w:val="0011498C"/>
    <w:rsid w:val="001149D0"/>
    <w:rsid w:val="001149F5"/>
    <w:rsid w:val="00114A55"/>
    <w:rsid w:val="00114AD1"/>
    <w:rsid w:val="00114B26"/>
    <w:rsid w:val="00114B42"/>
    <w:rsid w:val="00114BA6"/>
    <w:rsid w:val="00114BF5"/>
    <w:rsid w:val="00114C2E"/>
    <w:rsid w:val="00114C81"/>
    <w:rsid w:val="00114C8B"/>
    <w:rsid w:val="00114C9A"/>
    <w:rsid w:val="00114CAB"/>
    <w:rsid w:val="00114CD2"/>
    <w:rsid w:val="00114D51"/>
    <w:rsid w:val="00114DFF"/>
    <w:rsid w:val="00114E86"/>
    <w:rsid w:val="00114F00"/>
    <w:rsid w:val="00114F24"/>
    <w:rsid w:val="00114F25"/>
    <w:rsid w:val="00114F27"/>
    <w:rsid w:val="00114F36"/>
    <w:rsid w:val="00114F75"/>
    <w:rsid w:val="00114F81"/>
    <w:rsid w:val="00114FB6"/>
    <w:rsid w:val="00114FDF"/>
    <w:rsid w:val="0011502D"/>
    <w:rsid w:val="00115048"/>
    <w:rsid w:val="0011505A"/>
    <w:rsid w:val="0011508A"/>
    <w:rsid w:val="001150BB"/>
    <w:rsid w:val="00115122"/>
    <w:rsid w:val="0011517F"/>
    <w:rsid w:val="0011518D"/>
    <w:rsid w:val="00115191"/>
    <w:rsid w:val="001151C2"/>
    <w:rsid w:val="0011520C"/>
    <w:rsid w:val="00115235"/>
    <w:rsid w:val="00115236"/>
    <w:rsid w:val="00115285"/>
    <w:rsid w:val="001152CF"/>
    <w:rsid w:val="0011530B"/>
    <w:rsid w:val="0011532D"/>
    <w:rsid w:val="0011535B"/>
    <w:rsid w:val="0011535D"/>
    <w:rsid w:val="0011538F"/>
    <w:rsid w:val="001153CC"/>
    <w:rsid w:val="00115405"/>
    <w:rsid w:val="0011545E"/>
    <w:rsid w:val="00115490"/>
    <w:rsid w:val="00115493"/>
    <w:rsid w:val="001154A0"/>
    <w:rsid w:val="001154BE"/>
    <w:rsid w:val="001154F9"/>
    <w:rsid w:val="00115518"/>
    <w:rsid w:val="0011554D"/>
    <w:rsid w:val="00115580"/>
    <w:rsid w:val="0011558E"/>
    <w:rsid w:val="001155CF"/>
    <w:rsid w:val="0011561F"/>
    <w:rsid w:val="00115682"/>
    <w:rsid w:val="0011568D"/>
    <w:rsid w:val="001156ED"/>
    <w:rsid w:val="001156F5"/>
    <w:rsid w:val="0011572C"/>
    <w:rsid w:val="0011576B"/>
    <w:rsid w:val="00115789"/>
    <w:rsid w:val="001157A5"/>
    <w:rsid w:val="00115875"/>
    <w:rsid w:val="00115895"/>
    <w:rsid w:val="001158B6"/>
    <w:rsid w:val="00115990"/>
    <w:rsid w:val="001159BC"/>
    <w:rsid w:val="001159C5"/>
    <w:rsid w:val="001159CA"/>
    <w:rsid w:val="001159FD"/>
    <w:rsid w:val="00115A6D"/>
    <w:rsid w:val="00115AB1"/>
    <w:rsid w:val="00115B07"/>
    <w:rsid w:val="00115B0D"/>
    <w:rsid w:val="00115B10"/>
    <w:rsid w:val="00115B1E"/>
    <w:rsid w:val="00115B5E"/>
    <w:rsid w:val="00115BC1"/>
    <w:rsid w:val="00115BE9"/>
    <w:rsid w:val="00115C49"/>
    <w:rsid w:val="00115C4F"/>
    <w:rsid w:val="00115C7C"/>
    <w:rsid w:val="00115C81"/>
    <w:rsid w:val="00115CCA"/>
    <w:rsid w:val="00115CE7"/>
    <w:rsid w:val="00115D05"/>
    <w:rsid w:val="00115D7C"/>
    <w:rsid w:val="00115DC2"/>
    <w:rsid w:val="00115DE4"/>
    <w:rsid w:val="00115DEF"/>
    <w:rsid w:val="00115E8C"/>
    <w:rsid w:val="00115E92"/>
    <w:rsid w:val="00115EB9"/>
    <w:rsid w:val="00115ECF"/>
    <w:rsid w:val="00115ED5"/>
    <w:rsid w:val="00115EEB"/>
    <w:rsid w:val="00115F02"/>
    <w:rsid w:val="00115F1E"/>
    <w:rsid w:val="00115F3C"/>
    <w:rsid w:val="00115F5E"/>
    <w:rsid w:val="0011600F"/>
    <w:rsid w:val="00116056"/>
    <w:rsid w:val="00116084"/>
    <w:rsid w:val="0011608B"/>
    <w:rsid w:val="00116098"/>
    <w:rsid w:val="001160BE"/>
    <w:rsid w:val="001160D1"/>
    <w:rsid w:val="00116129"/>
    <w:rsid w:val="0011619A"/>
    <w:rsid w:val="001161A1"/>
    <w:rsid w:val="001161C3"/>
    <w:rsid w:val="00116230"/>
    <w:rsid w:val="0011625B"/>
    <w:rsid w:val="00116270"/>
    <w:rsid w:val="00116289"/>
    <w:rsid w:val="0011628C"/>
    <w:rsid w:val="001162CF"/>
    <w:rsid w:val="0011634D"/>
    <w:rsid w:val="0011635A"/>
    <w:rsid w:val="0011643F"/>
    <w:rsid w:val="001164A9"/>
    <w:rsid w:val="001164D8"/>
    <w:rsid w:val="0011651B"/>
    <w:rsid w:val="00116530"/>
    <w:rsid w:val="001165A6"/>
    <w:rsid w:val="001165B7"/>
    <w:rsid w:val="00116618"/>
    <w:rsid w:val="00116624"/>
    <w:rsid w:val="00116692"/>
    <w:rsid w:val="00116694"/>
    <w:rsid w:val="001166A2"/>
    <w:rsid w:val="001166B4"/>
    <w:rsid w:val="0011672E"/>
    <w:rsid w:val="00116754"/>
    <w:rsid w:val="00116757"/>
    <w:rsid w:val="0011678A"/>
    <w:rsid w:val="0011678D"/>
    <w:rsid w:val="00116793"/>
    <w:rsid w:val="001167A2"/>
    <w:rsid w:val="001167BE"/>
    <w:rsid w:val="0011681D"/>
    <w:rsid w:val="0011682D"/>
    <w:rsid w:val="00116881"/>
    <w:rsid w:val="001168A7"/>
    <w:rsid w:val="001168DE"/>
    <w:rsid w:val="001168FD"/>
    <w:rsid w:val="0011696B"/>
    <w:rsid w:val="0011698E"/>
    <w:rsid w:val="00116992"/>
    <w:rsid w:val="0011699E"/>
    <w:rsid w:val="001169AE"/>
    <w:rsid w:val="001169CB"/>
    <w:rsid w:val="001169E8"/>
    <w:rsid w:val="00116A2D"/>
    <w:rsid w:val="00116A5B"/>
    <w:rsid w:val="00116A6B"/>
    <w:rsid w:val="00116A6C"/>
    <w:rsid w:val="00116AA0"/>
    <w:rsid w:val="00116AC5"/>
    <w:rsid w:val="00116AC9"/>
    <w:rsid w:val="00116AD0"/>
    <w:rsid w:val="00116B14"/>
    <w:rsid w:val="00116B43"/>
    <w:rsid w:val="00116B67"/>
    <w:rsid w:val="00116BCE"/>
    <w:rsid w:val="00116BDC"/>
    <w:rsid w:val="00116BF6"/>
    <w:rsid w:val="00116BFC"/>
    <w:rsid w:val="00116BFF"/>
    <w:rsid w:val="00116C13"/>
    <w:rsid w:val="00116CB6"/>
    <w:rsid w:val="00116D4F"/>
    <w:rsid w:val="00116D6B"/>
    <w:rsid w:val="00116D8C"/>
    <w:rsid w:val="00116D94"/>
    <w:rsid w:val="00116D98"/>
    <w:rsid w:val="00116D9E"/>
    <w:rsid w:val="00116DAD"/>
    <w:rsid w:val="00116DC2"/>
    <w:rsid w:val="00116E14"/>
    <w:rsid w:val="00116E1B"/>
    <w:rsid w:val="00116E22"/>
    <w:rsid w:val="00116E2C"/>
    <w:rsid w:val="00116E36"/>
    <w:rsid w:val="00116E4A"/>
    <w:rsid w:val="00116E85"/>
    <w:rsid w:val="00116ED5"/>
    <w:rsid w:val="00116F08"/>
    <w:rsid w:val="00116F3A"/>
    <w:rsid w:val="00116F5F"/>
    <w:rsid w:val="00116FB9"/>
    <w:rsid w:val="00116FC1"/>
    <w:rsid w:val="00117005"/>
    <w:rsid w:val="001170BB"/>
    <w:rsid w:val="001170EF"/>
    <w:rsid w:val="001170FB"/>
    <w:rsid w:val="00117165"/>
    <w:rsid w:val="0011716D"/>
    <w:rsid w:val="00117175"/>
    <w:rsid w:val="0011717B"/>
    <w:rsid w:val="00117181"/>
    <w:rsid w:val="00117196"/>
    <w:rsid w:val="001171CE"/>
    <w:rsid w:val="00117239"/>
    <w:rsid w:val="00117246"/>
    <w:rsid w:val="00117257"/>
    <w:rsid w:val="001172B0"/>
    <w:rsid w:val="001172CB"/>
    <w:rsid w:val="001172E7"/>
    <w:rsid w:val="0011733D"/>
    <w:rsid w:val="00117365"/>
    <w:rsid w:val="0011736C"/>
    <w:rsid w:val="0011739F"/>
    <w:rsid w:val="001173B0"/>
    <w:rsid w:val="001173B6"/>
    <w:rsid w:val="00117406"/>
    <w:rsid w:val="00117412"/>
    <w:rsid w:val="0011742B"/>
    <w:rsid w:val="0011745C"/>
    <w:rsid w:val="0011749D"/>
    <w:rsid w:val="001174A0"/>
    <w:rsid w:val="001174E6"/>
    <w:rsid w:val="00117521"/>
    <w:rsid w:val="0011753F"/>
    <w:rsid w:val="001175F2"/>
    <w:rsid w:val="001175FD"/>
    <w:rsid w:val="0011761B"/>
    <w:rsid w:val="00117636"/>
    <w:rsid w:val="00117638"/>
    <w:rsid w:val="0011763F"/>
    <w:rsid w:val="00117663"/>
    <w:rsid w:val="0011766B"/>
    <w:rsid w:val="00117697"/>
    <w:rsid w:val="001176A2"/>
    <w:rsid w:val="001176A5"/>
    <w:rsid w:val="001176CF"/>
    <w:rsid w:val="001176E7"/>
    <w:rsid w:val="001176EB"/>
    <w:rsid w:val="0011772F"/>
    <w:rsid w:val="00117763"/>
    <w:rsid w:val="00117780"/>
    <w:rsid w:val="00117785"/>
    <w:rsid w:val="00117794"/>
    <w:rsid w:val="001177B6"/>
    <w:rsid w:val="001177F3"/>
    <w:rsid w:val="00117862"/>
    <w:rsid w:val="00117880"/>
    <w:rsid w:val="001178C7"/>
    <w:rsid w:val="001178DE"/>
    <w:rsid w:val="001178FD"/>
    <w:rsid w:val="00117944"/>
    <w:rsid w:val="001179D2"/>
    <w:rsid w:val="001179D7"/>
    <w:rsid w:val="00117A04"/>
    <w:rsid w:val="00117A4F"/>
    <w:rsid w:val="00117AAA"/>
    <w:rsid w:val="00117ADB"/>
    <w:rsid w:val="00117B0E"/>
    <w:rsid w:val="00117B24"/>
    <w:rsid w:val="00117B5C"/>
    <w:rsid w:val="00117B75"/>
    <w:rsid w:val="00117B9D"/>
    <w:rsid w:val="00117BBC"/>
    <w:rsid w:val="00117BC0"/>
    <w:rsid w:val="00117BC8"/>
    <w:rsid w:val="00117C3A"/>
    <w:rsid w:val="00117C5E"/>
    <w:rsid w:val="00117C82"/>
    <w:rsid w:val="00117C97"/>
    <w:rsid w:val="00117CAE"/>
    <w:rsid w:val="00117D01"/>
    <w:rsid w:val="00117D06"/>
    <w:rsid w:val="00117D3C"/>
    <w:rsid w:val="00117D4D"/>
    <w:rsid w:val="00117DAB"/>
    <w:rsid w:val="00117DB3"/>
    <w:rsid w:val="00117DE5"/>
    <w:rsid w:val="00117E34"/>
    <w:rsid w:val="00117E38"/>
    <w:rsid w:val="00117E49"/>
    <w:rsid w:val="00117E61"/>
    <w:rsid w:val="00117E8D"/>
    <w:rsid w:val="00117F0F"/>
    <w:rsid w:val="00117F1A"/>
    <w:rsid w:val="00117F22"/>
    <w:rsid w:val="00117F6E"/>
    <w:rsid w:val="00117F75"/>
    <w:rsid w:val="00117FCC"/>
    <w:rsid w:val="00117FDA"/>
    <w:rsid w:val="00120011"/>
    <w:rsid w:val="00120017"/>
    <w:rsid w:val="00120050"/>
    <w:rsid w:val="0012007B"/>
    <w:rsid w:val="00120089"/>
    <w:rsid w:val="001200A1"/>
    <w:rsid w:val="001200EB"/>
    <w:rsid w:val="00120135"/>
    <w:rsid w:val="00120150"/>
    <w:rsid w:val="00120190"/>
    <w:rsid w:val="0012019D"/>
    <w:rsid w:val="001201B8"/>
    <w:rsid w:val="0012020B"/>
    <w:rsid w:val="00120223"/>
    <w:rsid w:val="00120228"/>
    <w:rsid w:val="00120258"/>
    <w:rsid w:val="0012026A"/>
    <w:rsid w:val="0012027F"/>
    <w:rsid w:val="001202C1"/>
    <w:rsid w:val="00120306"/>
    <w:rsid w:val="0012033B"/>
    <w:rsid w:val="001203B5"/>
    <w:rsid w:val="001203C5"/>
    <w:rsid w:val="00120439"/>
    <w:rsid w:val="00120443"/>
    <w:rsid w:val="00120499"/>
    <w:rsid w:val="0012049D"/>
    <w:rsid w:val="001204BE"/>
    <w:rsid w:val="001204C5"/>
    <w:rsid w:val="001204E5"/>
    <w:rsid w:val="001204F1"/>
    <w:rsid w:val="001204F7"/>
    <w:rsid w:val="001205F2"/>
    <w:rsid w:val="001205FA"/>
    <w:rsid w:val="00120619"/>
    <w:rsid w:val="001206BA"/>
    <w:rsid w:val="0012075A"/>
    <w:rsid w:val="0012078F"/>
    <w:rsid w:val="001207BC"/>
    <w:rsid w:val="001207C8"/>
    <w:rsid w:val="001207CB"/>
    <w:rsid w:val="0012085A"/>
    <w:rsid w:val="00120863"/>
    <w:rsid w:val="00120889"/>
    <w:rsid w:val="0012091F"/>
    <w:rsid w:val="00120926"/>
    <w:rsid w:val="00120997"/>
    <w:rsid w:val="001209A7"/>
    <w:rsid w:val="001209C7"/>
    <w:rsid w:val="00120A27"/>
    <w:rsid w:val="00120A34"/>
    <w:rsid w:val="00120A35"/>
    <w:rsid w:val="00120A3D"/>
    <w:rsid w:val="00120A53"/>
    <w:rsid w:val="00120A62"/>
    <w:rsid w:val="00120A64"/>
    <w:rsid w:val="00120A8D"/>
    <w:rsid w:val="00120AEC"/>
    <w:rsid w:val="00120B1A"/>
    <w:rsid w:val="00120B2A"/>
    <w:rsid w:val="00120B4A"/>
    <w:rsid w:val="00120BB5"/>
    <w:rsid w:val="00120BDA"/>
    <w:rsid w:val="00120BF0"/>
    <w:rsid w:val="00120BF1"/>
    <w:rsid w:val="00120C3F"/>
    <w:rsid w:val="00120C4C"/>
    <w:rsid w:val="00120C8D"/>
    <w:rsid w:val="00120C93"/>
    <w:rsid w:val="00120D0B"/>
    <w:rsid w:val="00120D4E"/>
    <w:rsid w:val="00120D8E"/>
    <w:rsid w:val="00120DA3"/>
    <w:rsid w:val="00120DA4"/>
    <w:rsid w:val="00120DE2"/>
    <w:rsid w:val="00120DF6"/>
    <w:rsid w:val="00120E39"/>
    <w:rsid w:val="00120E5C"/>
    <w:rsid w:val="00120E94"/>
    <w:rsid w:val="00120ECE"/>
    <w:rsid w:val="00120EF0"/>
    <w:rsid w:val="00120F19"/>
    <w:rsid w:val="00120F39"/>
    <w:rsid w:val="00120F4B"/>
    <w:rsid w:val="00120F5A"/>
    <w:rsid w:val="00120F66"/>
    <w:rsid w:val="00120FC5"/>
    <w:rsid w:val="0012100A"/>
    <w:rsid w:val="00121021"/>
    <w:rsid w:val="00121060"/>
    <w:rsid w:val="00121099"/>
    <w:rsid w:val="001210AE"/>
    <w:rsid w:val="001210D6"/>
    <w:rsid w:val="001210EA"/>
    <w:rsid w:val="001210FF"/>
    <w:rsid w:val="00121128"/>
    <w:rsid w:val="00121135"/>
    <w:rsid w:val="001211A5"/>
    <w:rsid w:val="0012120B"/>
    <w:rsid w:val="0012122E"/>
    <w:rsid w:val="00121274"/>
    <w:rsid w:val="0012129D"/>
    <w:rsid w:val="001212B1"/>
    <w:rsid w:val="001212C5"/>
    <w:rsid w:val="001212C9"/>
    <w:rsid w:val="001212E7"/>
    <w:rsid w:val="001212F5"/>
    <w:rsid w:val="001212FA"/>
    <w:rsid w:val="00121336"/>
    <w:rsid w:val="00121342"/>
    <w:rsid w:val="00121358"/>
    <w:rsid w:val="001213B8"/>
    <w:rsid w:val="001213F8"/>
    <w:rsid w:val="00121453"/>
    <w:rsid w:val="0012147B"/>
    <w:rsid w:val="001214B4"/>
    <w:rsid w:val="00121511"/>
    <w:rsid w:val="00121548"/>
    <w:rsid w:val="0012159E"/>
    <w:rsid w:val="001215B0"/>
    <w:rsid w:val="001215B6"/>
    <w:rsid w:val="001215FB"/>
    <w:rsid w:val="00121607"/>
    <w:rsid w:val="0012162C"/>
    <w:rsid w:val="00121665"/>
    <w:rsid w:val="001216AA"/>
    <w:rsid w:val="001216BE"/>
    <w:rsid w:val="001216DD"/>
    <w:rsid w:val="00121708"/>
    <w:rsid w:val="00121721"/>
    <w:rsid w:val="00121728"/>
    <w:rsid w:val="00121733"/>
    <w:rsid w:val="0012174B"/>
    <w:rsid w:val="00121753"/>
    <w:rsid w:val="0012175F"/>
    <w:rsid w:val="0012178C"/>
    <w:rsid w:val="001217C3"/>
    <w:rsid w:val="001217EF"/>
    <w:rsid w:val="00121825"/>
    <w:rsid w:val="00121835"/>
    <w:rsid w:val="00121855"/>
    <w:rsid w:val="001218A9"/>
    <w:rsid w:val="00121909"/>
    <w:rsid w:val="0012190E"/>
    <w:rsid w:val="00121974"/>
    <w:rsid w:val="0012198D"/>
    <w:rsid w:val="001219C6"/>
    <w:rsid w:val="00121A0C"/>
    <w:rsid w:val="00121A14"/>
    <w:rsid w:val="00121A2C"/>
    <w:rsid w:val="00121A33"/>
    <w:rsid w:val="00121A64"/>
    <w:rsid w:val="00121AB0"/>
    <w:rsid w:val="00121AD9"/>
    <w:rsid w:val="00121AF6"/>
    <w:rsid w:val="00121B2F"/>
    <w:rsid w:val="00121B8A"/>
    <w:rsid w:val="00121BC2"/>
    <w:rsid w:val="00121BD4"/>
    <w:rsid w:val="00121BE8"/>
    <w:rsid w:val="00121BE9"/>
    <w:rsid w:val="00121C03"/>
    <w:rsid w:val="00121C5C"/>
    <w:rsid w:val="00121CAD"/>
    <w:rsid w:val="00121CB8"/>
    <w:rsid w:val="00121D16"/>
    <w:rsid w:val="00121D5F"/>
    <w:rsid w:val="00121D83"/>
    <w:rsid w:val="00121DA3"/>
    <w:rsid w:val="00121DBD"/>
    <w:rsid w:val="00121DCE"/>
    <w:rsid w:val="00121DE1"/>
    <w:rsid w:val="00121DEE"/>
    <w:rsid w:val="00121E1C"/>
    <w:rsid w:val="00121E34"/>
    <w:rsid w:val="00121E7D"/>
    <w:rsid w:val="00121EA2"/>
    <w:rsid w:val="00121EFC"/>
    <w:rsid w:val="00121F18"/>
    <w:rsid w:val="00121F1F"/>
    <w:rsid w:val="00121F2F"/>
    <w:rsid w:val="00121F4C"/>
    <w:rsid w:val="00121F4D"/>
    <w:rsid w:val="00121F56"/>
    <w:rsid w:val="00121F59"/>
    <w:rsid w:val="00121F5E"/>
    <w:rsid w:val="00121F6A"/>
    <w:rsid w:val="00121F87"/>
    <w:rsid w:val="00121FA7"/>
    <w:rsid w:val="00121FB1"/>
    <w:rsid w:val="00121FB9"/>
    <w:rsid w:val="00121FBF"/>
    <w:rsid w:val="00121FF4"/>
    <w:rsid w:val="00121FFB"/>
    <w:rsid w:val="0012200A"/>
    <w:rsid w:val="00122021"/>
    <w:rsid w:val="00122048"/>
    <w:rsid w:val="0012204C"/>
    <w:rsid w:val="00122057"/>
    <w:rsid w:val="00122062"/>
    <w:rsid w:val="00122064"/>
    <w:rsid w:val="00122080"/>
    <w:rsid w:val="0012213D"/>
    <w:rsid w:val="00122145"/>
    <w:rsid w:val="0012214A"/>
    <w:rsid w:val="0012221C"/>
    <w:rsid w:val="00122225"/>
    <w:rsid w:val="0012223B"/>
    <w:rsid w:val="0012226F"/>
    <w:rsid w:val="001222BA"/>
    <w:rsid w:val="00122301"/>
    <w:rsid w:val="0012234D"/>
    <w:rsid w:val="00122355"/>
    <w:rsid w:val="001223A1"/>
    <w:rsid w:val="001223B1"/>
    <w:rsid w:val="001223B7"/>
    <w:rsid w:val="001223C3"/>
    <w:rsid w:val="001223CF"/>
    <w:rsid w:val="00122435"/>
    <w:rsid w:val="0012243B"/>
    <w:rsid w:val="00122456"/>
    <w:rsid w:val="00122494"/>
    <w:rsid w:val="001224ED"/>
    <w:rsid w:val="00122548"/>
    <w:rsid w:val="001225F7"/>
    <w:rsid w:val="00122609"/>
    <w:rsid w:val="001226ED"/>
    <w:rsid w:val="0012271C"/>
    <w:rsid w:val="00122770"/>
    <w:rsid w:val="00122794"/>
    <w:rsid w:val="00122796"/>
    <w:rsid w:val="001227AD"/>
    <w:rsid w:val="001227EC"/>
    <w:rsid w:val="0012282B"/>
    <w:rsid w:val="0012282F"/>
    <w:rsid w:val="00122841"/>
    <w:rsid w:val="00122844"/>
    <w:rsid w:val="00122847"/>
    <w:rsid w:val="0012286B"/>
    <w:rsid w:val="00122872"/>
    <w:rsid w:val="0012288D"/>
    <w:rsid w:val="001228E2"/>
    <w:rsid w:val="00122978"/>
    <w:rsid w:val="0012298C"/>
    <w:rsid w:val="001229AB"/>
    <w:rsid w:val="00122A52"/>
    <w:rsid w:val="00122AED"/>
    <w:rsid w:val="00122AF6"/>
    <w:rsid w:val="00122B0F"/>
    <w:rsid w:val="00122B35"/>
    <w:rsid w:val="00122BB4"/>
    <w:rsid w:val="00122C19"/>
    <w:rsid w:val="00122C20"/>
    <w:rsid w:val="00122C2E"/>
    <w:rsid w:val="00122CC1"/>
    <w:rsid w:val="00122CF8"/>
    <w:rsid w:val="00122D2C"/>
    <w:rsid w:val="00122D48"/>
    <w:rsid w:val="00122D70"/>
    <w:rsid w:val="00122D77"/>
    <w:rsid w:val="00122DAA"/>
    <w:rsid w:val="00122DEC"/>
    <w:rsid w:val="00122E1B"/>
    <w:rsid w:val="00122E27"/>
    <w:rsid w:val="00122E47"/>
    <w:rsid w:val="00122E66"/>
    <w:rsid w:val="00122E71"/>
    <w:rsid w:val="00122E97"/>
    <w:rsid w:val="00122EBB"/>
    <w:rsid w:val="00122F39"/>
    <w:rsid w:val="00122FAA"/>
    <w:rsid w:val="00122FB6"/>
    <w:rsid w:val="00122FCD"/>
    <w:rsid w:val="00123013"/>
    <w:rsid w:val="00123018"/>
    <w:rsid w:val="00123052"/>
    <w:rsid w:val="0012306B"/>
    <w:rsid w:val="00123094"/>
    <w:rsid w:val="001230B9"/>
    <w:rsid w:val="0012315D"/>
    <w:rsid w:val="00123160"/>
    <w:rsid w:val="0012317D"/>
    <w:rsid w:val="001231B9"/>
    <w:rsid w:val="001231C9"/>
    <w:rsid w:val="001231F9"/>
    <w:rsid w:val="00123223"/>
    <w:rsid w:val="001232B4"/>
    <w:rsid w:val="001232E4"/>
    <w:rsid w:val="001232E8"/>
    <w:rsid w:val="001232EF"/>
    <w:rsid w:val="00123307"/>
    <w:rsid w:val="00123348"/>
    <w:rsid w:val="00123351"/>
    <w:rsid w:val="00123357"/>
    <w:rsid w:val="00123371"/>
    <w:rsid w:val="0012337E"/>
    <w:rsid w:val="00123397"/>
    <w:rsid w:val="00123399"/>
    <w:rsid w:val="001233E8"/>
    <w:rsid w:val="00123415"/>
    <w:rsid w:val="0012345B"/>
    <w:rsid w:val="001234B1"/>
    <w:rsid w:val="00123530"/>
    <w:rsid w:val="00123593"/>
    <w:rsid w:val="001235A5"/>
    <w:rsid w:val="001235EA"/>
    <w:rsid w:val="00123605"/>
    <w:rsid w:val="0012360E"/>
    <w:rsid w:val="0012364B"/>
    <w:rsid w:val="00123669"/>
    <w:rsid w:val="0012369B"/>
    <w:rsid w:val="0012370C"/>
    <w:rsid w:val="001237E9"/>
    <w:rsid w:val="0012381B"/>
    <w:rsid w:val="0012383B"/>
    <w:rsid w:val="0012386D"/>
    <w:rsid w:val="001238B6"/>
    <w:rsid w:val="00123915"/>
    <w:rsid w:val="00123986"/>
    <w:rsid w:val="0012399E"/>
    <w:rsid w:val="001239BB"/>
    <w:rsid w:val="001239C0"/>
    <w:rsid w:val="001239CE"/>
    <w:rsid w:val="00123A32"/>
    <w:rsid w:val="00123A41"/>
    <w:rsid w:val="00123A61"/>
    <w:rsid w:val="00123AC3"/>
    <w:rsid w:val="00123AF3"/>
    <w:rsid w:val="00123B08"/>
    <w:rsid w:val="00123B17"/>
    <w:rsid w:val="00123B26"/>
    <w:rsid w:val="00123B2C"/>
    <w:rsid w:val="00123B59"/>
    <w:rsid w:val="00123B73"/>
    <w:rsid w:val="00123BA6"/>
    <w:rsid w:val="00123BCA"/>
    <w:rsid w:val="00123BDD"/>
    <w:rsid w:val="00123BEA"/>
    <w:rsid w:val="00123BEF"/>
    <w:rsid w:val="00123C03"/>
    <w:rsid w:val="00123C2E"/>
    <w:rsid w:val="00123C53"/>
    <w:rsid w:val="00123C64"/>
    <w:rsid w:val="00123C82"/>
    <w:rsid w:val="00123C8F"/>
    <w:rsid w:val="00123CA0"/>
    <w:rsid w:val="00123CFA"/>
    <w:rsid w:val="00123D5E"/>
    <w:rsid w:val="00123D95"/>
    <w:rsid w:val="00123DF5"/>
    <w:rsid w:val="00123E0F"/>
    <w:rsid w:val="00123E29"/>
    <w:rsid w:val="00123E34"/>
    <w:rsid w:val="00123E62"/>
    <w:rsid w:val="00123E78"/>
    <w:rsid w:val="00123EE8"/>
    <w:rsid w:val="00123F51"/>
    <w:rsid w:val="00123F87"/>
    <w:rsid w:val="00123FBB"/>
    <w:rsid w:val="00123FE8"/>
    <w:rsid w:val="00124007"/>
    <w:rsid w:val="00124020"/>
    <w:rsid w:val="00124042"/>
    <w:rsid w:val="00124060"/>
    <w:rsid w:val="001240AC"/>
    <w:rsid w:val="00124111"/>
    <w:rsid w:val="0012411A"/>
    <w:rsid w:val="00124143"/>
    <w:rsid w:val="00124152"/>
    <w:rsid w:val="00124187"/>
    <w:rsid w:val="00124214"/>
    <w:rsid w:val="00124219"/>
    <w:rsid w:val="00124221"/>
    <w:rsid w:val="00124227"/>
    <w:rsid w:val="0012429B"/>
    <w:rsid w:val="001242B1"/>
    <w:rsid w:val="001242BB"/>
    <w:rsid w:val="001242E2"/>
    <w:rsid w:val="001242EA"/>
    <w:rsid w:val="00124310"/>
    <w:rsid w:val="0012433A"/>
    <w:rsid w:val="00124372"/>
    <w:rsid w:val="001243C0"/>
    <w:rsid w:val="001243DE"/>
    <w:rsid w:val="00124422"/>
    <w:rsid w:val="00124423"/>
    <w:rsid w:val="00124424"/>
    <w:rsid w:val="00124440"/>
    <w:rsid w:val="001244A9"/>
    <w:rsid w:val="001244C3"/>
    <w:rsid w:val="001244CA"/>
    <w:rsid w:val="001244DA"/>
    <w:rsid w:val="00124510"/>
    <w:rsid w:val="00124553"/>
    <w:rsid w:val="0012456E"/>
    <w:rsid w:val="0012458E"/>
    <w:rsid w:val="00124596"/>
    <w:rsid w:val="001245F3"/>
    <w:rsid w:val="00124601"/>
    <w:rsid w:val="0012463E"/>
    <w:rsid w:val="0012468E"/>
    <w:rsid w:val="001246CB"/>
    <w:rsid w:val="001246DB"/>
    <w:rsid w:val="001246E2"/>
    <w:rsid w:val="001246EF"/>
    <w:rsid w:val="00124701"/>
    <w:rsid w:val="00124797"/>
    <w:rsid w:val="001247B3"/>
    <w:rsid w:val="001247C3"/>
    <w:rsid w:val="00124810"/>
    <w:rsid w:val="00124878"/>
    <w:rsid w:val="00124888"/>
    <w:rsid w:val="0012488B"/>
    <w:rsid w:val="001248C1"/>
    <w:rsid w:val="00124952"/>
    <w:rsid w:val="0012497B"/>
    <w:rsid w:val="00124999"/>
    <w:rsid w:val="00124A47"/>
    <w:rsid w:val="00124A5F"/>
    <w:rsid w:val="00124AAA"/>
    <w:rsid w:val="00124AAC"/>
    <w:rsid w:val="00124ADA"/>
    <w:rsid w:val="00124AEC"/>
    <w:rsid w:val="00124B03"/>
    <w:rsid w:val="00124B5D"/>
    <w:rsid w:val="00124B93"/>
    <w:rsid w:val="00124BAB"/>
    <w:rsid w:val="00124BD9"/>
    <w:rsid w:val="00124BFB"/>
    <w:rsid w:val="00124C22"/>
    <w:rsid w:val="00124C3F"/>
    <w:rsid w:val="00124C55"/>
    <w:rsid w:val="00124C6B"/>
    <w:rsid w:val="00124C72"/>
    <w:rsid w:val="00124C78"/>
    <w:rsid w:val="00124D0F"/>
    <w:rsid w:val="00124D22"/>
    <w:rsid w:val="00124D30"/>
    <w:rsid w:val="00124D33"/>
    <w:rsid w:val="00124D44"/>
    <w:rsid w:val="00124D5D"/>
    <w:rsid w:val="00124D93"/>
    <w:rsid w:val="00124DF9"/>
    <w:rsid w:val="00124E16"/>
    <w:rsid w:val="00124E17"/>
    <w:rsid w:val="00124E51"/>
    <w:rsid w:val="00124E70"/>
    <w:rsid w:val="00124EFC"/>
    <w:rsid w:val="00124F0C"/>
    <w:rsid w:val="00124F23"/>
    <w:rsid w:val="00124F25"/>
    <w:rsid w:val="00124F40"/>
    <w:rsid w:val="00124FD4"/>
    <w:rsid w:val="00124FF8"/>
    <w:rsid w:val="00125046"/>
    <w:rsid w:val="00125088"/>
    <w:rsid w:val="00125093"/>
    <w:rsid w:val="001250B9"/>
    <w:rsid w:val="001250CA"/>
    <w:rsid w:val="001250FB"/>
    <w:rsid w:val="0012515D"/>
    <w:rsid w:val="00125172"/>
    <w:rsid w:val="001251AD"/>
    <w:rsid w:val="001251B5"/>
    <w:rsid w:val="001251EE"/>
    <w:rsid w:val="00125216"/>
    <w:rsid w:val="00125265"/>
    <w:rsid w:val="0012528C"/>
    <w:rsid w:val="001252B6"/>
    <w:rsid w:val="001252BE"/>
    <w:rsid w:val="001252CA"/>
    <w:rsid w:val="00125331"/>
    <w:rsid w:val="0012536D"/>
    <w:rsid w:val="001253A9"/>
    <w:rsid w:val="001253B5"/>
    <w:rsid w:val="001253BC"/>
    <w:rsid w:val="0012541C"/>
    <w:rsid w:val="00125450"/>
    <w:rsid w:val="001254B0"/>
    <w:rsid w:val="001254B4"/>
    <w:rsid w:val="00125597"/>
    <w:rsid w:val="001255B5"/>
    <w:rsid w:val="001255FE"/>
    <w:rsid w:val="00125602"/>
    <w:rsid w:val="00125604"/>
    <w:rsid w:val="00125618"/>
    <w:rsid w:val="00125662"/>
    <w:rsid w:val="0012567D"/>
    <w:rsid w:val="0012569E"/>
    <w:rsid w:val="001256B8"/>
    <w:rsid w:val="001256C9"/>
    <w:rsid w:val="001256CB"/>
    <w:rsid w:val="001256E2"/>
    <w:rsid w:val="00125703"/>
    <w:rsid w:val="00125721"/>
    <w:rsid w:val="00125751"/>
    <w:rsid w:val="0012577F"/>
    <w:rsid w:val="001257A3"/>
    <w:rsid w:val="00125895"/>
    <w:rsid w:val="001258F8"/>
    <w:rsid w:val="001258F9"/>
    <w:rsid w:val="00125920"/>
    <w:rsid w:val="00125943"/>
    <w:rsid w:val="00125964"/>
    <w:rsid w:val="0012596D"/>
    <w:rsid w:val="00125984"/>
    <w:rsid w:val="001259E8"/>
    <w:rsid w:val="001259FC"/>
    <w:rsid w:val="00125A05"/>
    <w:rsid w:val="00125A37"/>
    <w:rsid w:val="00125A3D"/>
    <w:rsid w:val="00125AD9"/>
    <w:rsid w:val="00125B01"/>
    <w:rsid w:val="00125B17"/>
    <w:rsid w:val="00125B20"/>
    <w:rsid w:val="00125B3D"/>
    <w:rsid w:val="00125B89"/>
    <w:rsid w:val="00125BAB"/>
    <w:rsid w:val="00125BC7"/>
    <w:rsid w:val="00125BFA"/>
    <w:rsid w:val="00125C01"/>
    <w:rsid w:val="00125C4D"/>
    <w:rsid w:val="00125C7E"/>
    <w:rsid w:val="00125C96"/>
    <w:rsid w:val="00125CC5"/>
    <w:rsid w:val="00125D0D"/>
    <w:rsid w:val="00125D0F"/>
    <w:rsid w:val="00125D25"/>
    <w:rsid w:val="00125D70"/>
    <w:rsid w:val="00125D8D"/>
    <w:rsid w:val="00125D9B"/>
    <w:rsid w:val="00125E09"/>
    <w:rsid w:val="00125E19"/>
    <w:rsid w:val="00125E2B"/>
    <w:rsid w:val="00125E33"/>
    <w:rsid w:val="00125E38"/>
    <w:rsid w:val="00125EE7"/>
    <w:rsid w:val="00125EEF"/>
    <w:rsid w:val="00125F20"/>
    <w:rsid w:val="00125F33"/>
    <w:rsid w:val="00125F8A"/>
    <w:rsid w:val="00125FB9"/>
    <w:rsid w:val="00125FF7"/>
    <w:rsid w:val="00126003"/>
    <w:rsid w:val="00126049"/>
    <w:rsid w:val="00126057"/>
    <w:rsid w:val="00126081"/>
    <w:rsid w:val="00126097"/>
    <w:rsid w:val="001260AC"/>
    <w:rsid w:val="001260F9"/>
    <w:rsid w:val="0012615C"/>
    <w:rsid w:val="0012619D"/>
    <w:rsid w:val="001261E4"/>
    <w:rsid w:val="00126218"/>
    <w:rsid w:val="0012621A"/>
    <w:rsid w:val="00126268"/>
    <w:rsid w:val="0012626B"/>
    <w:rsid w:val="00126289"/>
    <w:rsid w:val="001262E1"/>
    <w:rsid w:val="0012632F"/>
    <w:rsid w:val="001263BE"/>
    <w:rsid w:val="00126421"/>
    <w:rsid w:val="0012650D"/>
    <w:rsid w:val="0012654F"/>
    <w:rsid w:val="0012657A"/>
    <w:rsid w:val="001265BF"/>
    <w:rsid w:val="001265CF"/>
    <w:rsid w:val="001265E0"/>
    <w:rsid w:val="001265E5"/>
    <w:rsid w:val="001265EA"/>
    <w:rsid w:val="001265F7"/>
    <w:rsid w:val="0012660D"/>
    <w:rsid w:val="00126648"/>
    <w:rsid w:val="0012665D"/>
    <w:rsid w:val="0012665E"/>
    <w:rsid w:val="00126667"/>
    <w:rsid w:val="0012666E"/>
    <w:rsid w:val="0012669C"/>
    <w:rsid w:val="001266AC"/>
    <w:rsid w:val="0012672C"/>
    <w:rsid w:val="00126737"/>
    <w:rsid w:val="00126753"/>
    <w:rsid w:val="0012678E"/>
    <w:rsid w:val="001267EF"/>
    <w:rsid w:val="0012680F"/>
    <w:rsid w:val="0012682B"/>
    <w:rsid w:val="0012698A"/>
    <w:rsid w:val="001269D3"/>
    <w:rsid w:val="001269F8"/>
    <w:rsid w:val="00126A49"/>
    <w:rsid w:val="00126AD9"/>
    <w:rsid w:val="00126B28"/>
    <w:rsid w:val="00126B84"/>
    <w:rsid w:val="00126B9F"/>
    <w:rsid w:val="00126BB6"/>
    <w:rsid w:val="00126BDC"/>
    <w:rsid w:val="00126C1C"/>
    <w:rsid w:val="00126C25"/>
    <w:rsid w:val="00126C34"/>
    <w:rsid w:val="00126C9A"/>
    <w:rsid w:val="00126CC5"/>
    <w:rsid w:val="00126CCB"/>
    <w:rsid w:val="00126CD8"/>
    <w:rsid w:val="00126CF0"/>
    <w:rsid w:val="00126CF1"/>
    <w:rsid w:val="00126D1B"/>
    <w:rsid w:val="00126D73"/>
    <w:rsid w:val="00126D81"/>
    <w:rsid w:val="00126DA0"/>
    <w:rsid w:val="00126DEA"/>
    <w:rsid w:val="00126E1B"/>
    <w:rsid w:val="00126E3C"/>
    <w:rsid w:val="00126E92"/>
    <w:rsid w:val="00126E97"/>
    <w:rsid w:val="00126E9C"/>
    <w:rsid w:val="00126F14"/>
    <w:rsid w:val="00126F25"/>
    <w:rsid w:val="00126F27"/>
    <w:rsid w:val="00126F2D"/>
    <w:rsid w:val="00126F5D"/>
    <w:rsid w:val="00126F79"/>
    <w:rsid w:val="00126FA7"/>
    <w:rsid w:val="00127010"/>
    <w:rsid w:val="00127026"/>
    <w:rsid w:val="001270F8"/>
    <w:rsid w:val="00127158"/>
    <w:rsid w:val="001271E4"/>
    <w:rsid w:val="001271F9"/>
    <w:rsid w:val="00127237"/>
    <w:rsid w:val="00127246"/>
    <w:rsid w:val="00127253"/>
    <w:rsid w:val="001272BC"/>
    <w:rsid w:val="001272E5"/>
    <w:rsid w:val="00127307"/>
    <w:rsid w:val="001273AF"/>
    <w:rsid w:val="001273B0"/>
    <w:rsid w:val="001273BB"/>
    <w:rsid w:val="001273CC"/>
    <w:rsid w:val="001273D8"/>
    <w:rsid w:val="001273FF"/>
    <w:rsid w:val="00127451"/>
    <w:rsid w:val="0012748D"/>
    <w:rsid w:val="001274FE"/>
    <w:rsid w:val="0012750B"/>
    <w:rsid w:val="0012753E"/>
    <w:rsid w:val="0012754F"/>
    <w:rsid w:val="00127563"/>
    <w:rsid w:val="00127577"/>
    <w:rsid w:val="00127596"/>
    <w:rsid w:val="001275C8"/>
    <w:rsid w:val="001275E4"/>
    <w:rsid w:val="00127649"/>
    <w:rsid w:val="0012765B"/>
    <w:rsid w:val="001276C6"/>
    <w:rsid w:val="001276D0"/>
    <w:rsid w:val="001276E1"/>
    <w:rsid w:val="001276EB"/>
    <w:rsid w:val="001276F6"/>
    <w:rsid w:val="00127729"/>
    <w:rsid w:val="0012772E"/>
    <w:rsid w:val="0012776E"/>
    <w:rsid w:val="00127785"/>
    <w:rsid w:val="001277AF"/>
    <w:rsid w:val="001277E4"/>
    <w:rsid w:val="001278C5"/>
    <w:rsid w:val="001278DA"/>
    <w:rsid w:val="001278E3"/>
    <w:rsid w:val="0012790C"/>
    <w:rsid w:val="00127953"/>
    <w:rsid w:val="00127981"/>
    <w:rsid w:val="00127985"/>
    <w:rsid w:val="001279AF"/>
    <w:rsid w:val="001279C5"/>
    <w:rsid w:val="001279C8"/>
    <w:rsid w:val="001279EA"/>
    <w:rsid w:val="00127A28"/>
    <w:rsid w:val="00127A35"/>
    <w:rsid w:val="00127AC9"/>
    <w:rsid w:val="00127B18"/>
    <w:rsid w:val="00127B3B"/>
    <w:rsid w:val="00127B68"/>
    <w:rsid w:val="00127B88"/>
    <w:rsid w:val="00127B9E"/>
    <w:rsid w:val="00127BA6"/>
    <w:rsid w:val="00127BC5"/>
    <w:rsid w:val="00127BD9"/>
    <w:rsid w:val="00127BFD"/>
    <w:rsid w:val="00127C0F"/>
    <w:rsid w:val="00127C1B"/>
    <w:rsid w:val="00127C58"/>
    <w:rsid w:val="00127C71"/>
    <w:rsid w:val="00127C7C"/>
    <w:rsid w:val="00127D1F"/>
    <w:rsid w:val="00127D53"/>
    <w:rsid w:val="00127D8C"/>
    <w:rsid w:val="00127DA2"/>
    <w:rsid w:val="00127DDB"/>
    <w:rsid w:val="00127E27"/>
    <w:rsid w:val="00127E93"/>
    <w:rsid w:val="00127E98"/>
    <w:rsid w:val="00127EB6"/>
    <w:rsid w:val="00127F06"/>
    <w:rsid w:val="00127F25"/>
    <w:rsid w:val="00127F38"/>
    <w:rsid w:val="00127F77"/>
    <w:rsid w:val="00127F93"/>
    <w:rsid w:val="00127F95"/>
    <w:rsid w:val="00127FA8"/>
    <w:rsid w:val="00127FD5"/>
    <w:rsid w:val="00127FDE"/>
    <w:rsid w:val="0013001E"/>
    <w:rsid w:val="00130070"/>
    <w:rsid w:val="0013007D"/>
    <w:rsid w:val="001300A1"/>
    <w:rsid w:val="001300A5"/>
    <w:rsid w:val="001300AA"/>
    <w:rsid w:val="001300B1"/>
    <w:rsid w:val="001300D7"/>
    <w:rsid w:val="00130110"/>
    <w:rsid w:val="00130125"/>
    <w:rsid w:val="00130158"/>
    <w:rsid w:val="00130173"/>
    <w:rsid w:val="00130188"/>
    <w:rsid w:val="001301A8"/>
    <w:rsid w:val="001301D5"/>
    <w:rsid w:val="001301FD"/>
    <w:rsid w:val="0013021F"/>
    <w:rsid w:val="0013022A"/>
    <w:rsid w:val="0013023B"/>
    <w:rsid w:val="00130244"/>
    <w:rsid w:val="00130256"/>
    <w:rsid w:val="00130260"/>
    <w:rsid w:val="00130288"/>
    <w:rsid w:val="00130291"/>
    <w:rsid w:val="001302D9"/>
    <w:rsid w:val="0013030E"/>
    <w:rsid w:val="00130364"/>
    <w:rsid w:val="0013037F"/>
    <w:rsid w:val="00130381"/>
    <w:rsid w:val="00130390"/>
    <w:rsid w:val="001303A7"/>
    <w:rsid w:val="001303B8"/>
    <w:rsid w:val="001303E2"/>
    <w:rsid w:val="001303E5"/>
    <w:rsid w:val="00130424"/>
    <w:rsid w:val="00130459"/>
    <w:rsid w:val="00130460"/>
    <w:rsid w:val="00130476"/>
    <w:rsid w:val="00130481"/>
    <w:rsid w:val="00130538"/>
    <w:rsid w:val="0013054A"/>
    <w:rsid w:val="00130555"/>
    <w:rsid w:val="00130575"/>
    <w:rsid w:val="001305A1"/>
    <w:rsid w:val="001305C8"/>
    <w:rsid w:val="001305D4"/>
    <w:rsid w:val="001305D7"/>
    <w:rsid w:val="00130637"/>
    <w:rsid w:val="0013066E"/>
    <w:rsid w:val="00130710"/>
    <w:rsid w:val="00130796"/>
    <w:rsid w:val="001307C7"/>
    <w:rsid w:val="001307DE"/>
    <w:rsid w:val="00130807"/>
    <w:rsid w:val="00130811"/>
    <w:rsid w:val="00130824"/>
    <w:rsid w:val="00130827"/>
    <w:rsid w:val="00130828"/>
    <w:rsid w:val="00130871"/>
    <w:rsid w:val="001308C4"/>
    <w:rsid w:val="001308CC"/>
    <w:rsid w:val="001308D7"/>
    <w:rsid w:val="001308D9"/>
    <w:rsid w:val="001308ED"/>
    <w:rsid w:val="00130915"/>
    <w:rsid w:val="00130916"/>
    <w:rsid w:val="0013091B"/>
    <w:rsid w:val="00130922"/>
    <w:rsid w:val="00130925"/>
    <w:rsid w:val="00130936"/>
    <w:rsid w:val="0013097C"/>
    <w:rsid w:val="0013099B"/>
    <w:rsid w:val="001309B5"/>
    <w:rsid w:val="001309BF"/>
    <w:rsid w:val="00130A7C"/>
    <w:rsid w:val="00130A82"/>
    <w:rsid w:val="00130A8D"/>
    <w:rsid w:val="00130AC5"/>
    <w:rsid w:val="00130AC6"/>
    <w:rsid w:val="00130AE7"/>
    <w:rsid w:val="00130B0D"/>
    <w:rsid w:val="00130B19"/>
    <w:rsid w:val="00130B3C"/>
    <w:rsid w:val="00130B70"/>
    <w:rsid w:val="00130CDF"/>
    <w:rsid w:val="00130D31"/>
    <w:rsid w:val="00130DDF"/>
    <w:rsid w:val="00130DE9"/>
    <w:rsid w:val="00130E77"/>
    <w:rsid w:val="00130F43"/>
    <w:rsid w:val="00130F6A"/>
    <w:rsid w:val="00130F6F"/>
    <w:rsid w:val="00130F73"/>
    <w:rsid w:val="00130FB0"/>
    <w:rsid w:val="00131018"/>
    <w:rsid w:val="0013101B"/>
    <w:rsid w:val="00131040"/>
    <w:rsid w:val="001310BB"/>
    <w:rsid w:val="001310DD"/>
    <w:rsid w:val="0013110B"/>
    <w:rsid w:val="0013110E"/>
    <w:rsid w:val="0013113C"/>
    <w:rsid w:val="00131163"/>
    <w:rsid w:val="00131166"/>
    <w:rsid w:val="001311E4"/>
    <w:rsid w:val="001311FB"/>
    <w:rsid w:val="0013121D"/>
    <w:rsid w:val="00131227"/>
    <w:rsid w:val="0013123F"/>
    <w:rsid w:val="0013124B"/>
    <w:rsid w:val="0013125F"/>
    <w:rsid w:val="0013128E"/>
    <w:rsid w:val="001312F8"/>
    <w:rsid w:val="00131312"/>
    <w:rsid w:val="00131322"/>
    <w:rsid w:val="00131333"/>
    <w:rsid w:val="00131339"/>
    <w:rsid w:val="0013133B"/>
    <w:rsid w:val="00131348"/>
    <w:rsid w:val="00131349"/>
    <w:rsid w:val="00131385"/>
    <w:rsid w:val="00131393"/>
    <w:rsid w:val="001313BF"/>
    <w:rsid w:val="001313CE"/>
    <w:rsid w:val="001313D1"/>
    <w:rsid w:val="001313DC"/>
    <w:rsid w:val="00131418"/>
    <w:rsid w:val="00131478"/>
    <w:rsid w:val="00131487"/>
    <w:rsid w:val="001314A8"/>
    <w:rsid w:val="001314BC"/>
    <w:rsid w:val="001314CB"/>
    <w:rsid w:val="00131501"/>
    <w:rsid w:val="00131513"/>
    <w:rsid w:val="0013152F"/>
    <w:rsid w:val="00131545"/>
    <w:rsid w:val="0013159F"/>
    <w:rsid w:val="001315BD"/>
    <w:rsid w:val="001315DE"/>
    <w:rsid w:val="001315F1"/>
    <w:rsid w:val="00131613"/>
    <w:rsid w:val="00131728"/>
    <w:rsid w:val="00131740"/>
    <w:rsid w:val="001317B2"/>
    <w:rsid w:val="001317CA"/>
    <w:rsid w:val="001317E1"/>
    <w:rsid w:val="001317F5"/>
    <w:rsid w:val="0013180B"/>
    <w:rsid w:val="0013180C"/>
    <w:rsid w:val="00131881"/>
    <w:rsid w:val="001318BB"/>
    <w:rsid w:val="0013190C"/>
    <w:rsid w:val="00131922"/>
    <w:rsid w:val="0013193F"/>
    <w:rsid w:val="00131993"/>
    <w:rsid w:val="001319BF"/>
    <w:rsid w:val="001319F2"/>
    <w:rsid w:val="00131A45"/>
    <w:rsid w:val="00131A48"/>
    <w:rsid w:val="00131A88"/>
    <w:rsid w:val="00131AC6"/>
    <w:rsid w:val="00131B90"/>
    <w:rsid w:val="00131B9E"/>
    <w:rsid w:val="00131C12"/>
    <w:rsid w:val="00131C85"/>
    <w:rsid w:val="00131C93"/>
    <w:rsid w:val="00131CB0"/>
    <w:rsid w:val="00131CB1"/>
    <w:rsid w:val="00131CFD"/>
    <w:rsid w:val="00131D01"/>
    <w:rsid w:val="00131D13"/>
    <w:rsid w:val="00131D3B"/>
    <w:rsid w:val="00131D40"/>
    <w:rsid w:val="00131D50"/>
    <w:rsid w:val="00131D59"/>
    <w:rsid w:val="00131D9D"/>
    <w:rsid w:val="00131DA1"/>
    <w:rsid w:val="00131DBE"/>
    <w:rsid w:val="00131DC1"/>
    <w:rsid w:val="00131DC8"/>
    <w:rsid w:val="00131DE7"/>
    <w:rsid w:val="00131EB7"/>
    <w:rsid w:val="00131ECF"/>
    <w:rsid w:val="00131EE8"/>
    <w:rsid w:val="00131EEB"/>
    <w:rsid w:val="00131EF0"/>
    <w:rsid w:val="00131F01"/>
    <w:rsid w:val="00131F19"/>
    <w:rsid w:val="00131F31"/>
    <w:rsid w:val="00131F46"/>
    <w:rsid w:val="00131F5A"/>
    <w:rsid w:val="00131F5D"/>
    <w:rsid w:val="00131F89"/>
    <w:rsid w:val="00131F9F"/>
    <w:rsid w:val="00131FCB"/>
    <w:rsid w:val="00131FDE"/>
    <w:rsid w:val="00131FE6"/>
    <w:rsid w:val="00131FFB"/>
    <w:rsid w:val="0013201A"/>
    <w:rsid w:val="0013202D"/>
    <w:rsid w:val="00132052"/>
    <w:rsid w:val="00132055"/>
    <w:rsid w:val="0013207A"/>
    <w:rsid w:val="001320C0"/>
    <w:rsid w:val="001320DA"/>
    <w:rsid w:val="001320F7"/>
    <w:rsid w:val="0013215A"/>
    <w:rsid w:val="00132177"/>
    <w:rsid w:val="001321A6"/>
    <w:rsid w:val="001321AE"/>
    <w:rsid w:val="0013222D"/>
    <w:rsid w:val="00132246"/>
    <w:rsid w:val="0013226A"/>
    <w:rsid w:val="00132271"/>
    <w:rsid w:val="001322DB"/>
    <w:rsid w:val="001322F3"/>
    <w:rsid w:val="00132304"/>
    <w:rsid w:val="00132349"/>
    <w:rsid w:val="001323BC"/>
    <w:rsid w:val="001323C7"/>
    <w:rsid w:val="0013240C"/>
    <w:rsid w:val="00132425"/>
    <w:rsid w:val="00132453"/>
    <w:rsid w:val="00132462"/>
    <w:rsid w:val="001324C3"/>
    <w:rsid w:val="001325AE"/>
    <w:rsid w:val="001325CE"/>
    <w:rsid w:val="001325DB"/>
    <w:rsid w:val="001325E1"/>
    <w:rsid w:val="00132694"/>
    <w:rsid w:val="001326A6"/>
    <w:rsid w:val="001326BD"/>
    <w:rsid w:val="00132709"/>
    <w:rsid w:val="0013273D"/>
    <w:rsid w:val="00132743"/>
    <w:rsid w:val="00132773"/>
    <w:rsid w:val="001327A0"/>
    <w:rsid w:val="001327E0"/>
    <w:rsid w:val="0013280B"/>
    <w:rsid w:val="0013283D"/>
    <w:rsid w:val="00132882"/>
    <w:rsid w:val="00132884"/>
    <w:rsid w:val="0013291D"/>
    <w:rsid w:val="0013296F"/>
    <w:rsid w:val="001329C2"/>
    <w:rsid w:val="001329F6"/>
    <w:rsid w:val="00132A5D"/>
    <w:rsid w:val="00132A8C"/>
    <w:rsid w:val="00132AD9"/>
    <w:rsid w:val="00132AF2"/>
    <w:rsid w:val="00132AFC"/>
    <w:rsid w:val="00132B3B"/>
    <w:rsid w:val="00132B3C"/>
    <w:rsid w:val="00132B4B"/>
    <w:rsid w:val="00132B6C"/>
    <w:rsid w:val="00132BA4"/>
    <w:rsid w:val="00132BA8"/>
    <w:rsid w:val="00132BBD"/>
    <w:rsid w:val="00132BD4"/>
    <w:rsid w:val="00132BDE"/>
    <w:rsid w:val="00132C15"/>
    <w:rsid w:val="00132C52"/>
    <w:rsid w:val="00132C5C"/>
    <w:rsid w:val="00132C8A"/>
    <w:rsid w:val="00132CF3"/>
    <w:rsid w:val="00132D00"/>
    <w:rsid w:val="00132D24"/>
    <w:rsid w:val="00132D4B"/>
    <w:rsid w:val="00132D7C"/>
    <w:rsid w:val="00132DE8"/>
    <w:rsid w:val="00132DFA"/>
    <w:rsid w:val="00132ED2"/>
    <w:rsid w:val="00132ED7"/>
    <w:rsid w:val="00132F0F"/>
    <w:rsid w:val="00132F70"/>
    <w:rsid w:val="00132FB4"/>
    <w:rsid w:val="00132FBC"/>
    <w:rsid w:val="00132FE1"/>
    <w:rsid w:val="00132FEC"/>
    <w:rsid w:val="00133003"/>
    <w:rsid w:val="00133015"/>
    <w:rsid w:val="0013301C"/>
    <w:rsid w:val="00133027"/>
    <w:rsid w:val="00133040"/>
    <w:rsid w:val="0013304F"/>
    <w:rsid w:val="00133082"/>
    <w:rsid w:val="001330F2"/>
    <w:rsid w:val="00133110"/>
    <w:rsid w:val="0013312A"/>
    <w:rsid w:val="00133201"/>
    <w:rsid w:val="0013320D"/>
    <w:rsid w:val="00133235"/>
    <w:rsid w:val="00133277"/>
    <w:rsid w:val="00133280"/>
    <w:rsid w:val="0013329F"/>
    <w:rsid w:val="001332D6"/>
    <w:rsid w:val="001332E0"/>
    <w:rsid w:val="001332E8"/>
    <w:rsid w:val="00133334"/>
    <w:rsid w:val="0013336E"/>
    <w:rsid w:val="00133389"/>
    <w:rsid w:val="001333D0"/>
    <w:rsid w:val="00133470"/>
    <w:rsid w:val="00133471"/>
    <w:rsid w:val="001334AE"/>
    <w:rsid w:val="001334D4"/>
    <w:rsid w:val="001334E6"/>
    <w:rsid w:val="001334F0"/>
    <w:rsid w:val="00133529"/>
    <w:rsid w:val="00133535"/>
    <w:rsid w:val="0013354E"/>
    <w:rsid w:val="00133561"/>
    <w:rsid w:val="00133574"/>
    <w:rsid w:val="00133627"/>
    <w:rsid w:val="00133692"/>
    <w:rsid w:val="001336C9"/>
    <w:rsid w:val="00133732"/>
    <w:rsid w:val="0013373D"/>
    <w:rsid w:val="0013374D"/>
    <w:rsid w:val="001337CF"/>
    <w:rsid w:val="001337D7"/>
    <w:rsid w:val="001337E1"/>
    <w:rsid w:val="001337F0"/>
    <w:rsid w:val="0013383B"/>
    <w:rsid w:val="00133874"/>
    <w:rsid w:val="0013387B"/>
    <w:rsid w:val="001338A5"/>
    <w:rsid w:val="001338EC"/>
    <w:rsid w:val="00133980"/>
    <w:rsid w:val="001339B2"/>
    <w:rsid w:val="001339FD"/>
    <w:rsid w:val="00133A7F"/>
    <w:rsid w:val="00133AAD"/>
    <w:rsid w:val="00133AC8"/>
    <w:rsid w:val="00133B4A"/>
    <w:rsid w:val="00133C61"/>
    <w:rsid w:val="00133C70"/>
    <w:rsid w:val="00133C76"/>
    <w:rsid w:val="00133CB7"/>
    <w:rsid w:val="00133CE0"/>
    <w:rsid w:val="00133CFC"/>
    <w:rsid w:val="00133D0E"/>
    <w:rsid w:val="00133D14"/>
    <w:rsid w:val="00133D40"/>
    <w:rsid w:val="00133DAD"/>
    <w:rsid w:val="00133DEB"/>
    <w:rsid w:val="00133E01"/>
    <w:rsid w:val="00133E69"/>
    <w:rsid w:val="00133ED9"/>
    <w:rsid w:val="00133F07"/>
    <w:rsid w:val="00133F15"/>
    <w:rsid w:val="00133F50"/>
    <w:rsid w:val="00133F51"/>
    <w:rsid w:val="00133F7D"/>
    <w:rsid w:val="00133F88"/>
    <w:rsid w:val="00133FB9"/>
    <w:rsid w:val="00134012"/>
    <w:rsid w:val="00134051"/>
    <w:rsid w:val="001340D9"/>
    <w:rsid w:val="001340FE"/>
    <w:rsid w:val="00134138"/>
    <w:rsid w:val="0013413F"/>
    <w:rsid w:val="00134174"/>
    <w:rsid w:val="001341AF"/>
    <w:rsid w:val="00134219"/>
    <w:rsid w:val="0013423C"/>
    <w:rsid w:val="0013423D"/>
    <w:rsid w:val="0013427A"/>
    <w:rsid w:val="00134283"/>
    <w:rsid w:val="00134290"/>
    <w:rsid w:val="0013429B"/>
    <w:rsid w:val="001342BE"/>
    <w:rsid w:val="001342F9"/>
    <w:rsid w:val="00134314"/>
    <w:rsid w:val="00134318"/>
    <w:rsid w:val="0013431B"/>
    <w:rsid w:val="0013432B"/>
    <w:rsid w:val="00134353"/>
    <w:rsid w:val="001343A1"/>
    <w:rsid w:val="001343AF"/>
    <w:rsid w:val="001343F8"/>
    <w:rsid w:val="0013440A"/>
    <w:rsid w:val="001344BD"/>
    <w:rsid w:val="00134513"/>
    <w:rsid w:val="001345B5"/>
    <w:rsid w:val="001345C7"/>
    <w:rsid w:val="001345D4"/>
    <w:rsid w:val="00134639"/>
    <w:rsid w:val="0013468A"/>
    <w:rsid w:val="00134734"/>
    <w:rsid w:val="001347E9"/>
    <w:rsid w:val="0013481E"/>
    <w:rsid w:val="0013484E"/>
    <w:rsid w:val="0013484F"/>
    <w:rsid w:val="00134870"/>
    <w:rsid w:val="00134888"/>
    <w:rsid w:val="0013488A"/>
    <w:rsid w:val="0013488C"/>
    <w:rsid w:val="001348AB"/>
    <w:rsid w:val="001348B8"/>
    <w:rsid w:val="001348C4"/>
    <w:rsid w:val="0013491A"/>
    <w:rsid w:val="0013495B"/>
    <w:rsid w:val="00134966"/>
    <w:rsid w:val="0013496D"/>
    <w:rsid w:val="0013498E"/>
    <w:rsid w:val="001349E4"/>
    <w:rsid w:val="001349F5"/>
    <w:rsid w:val="00134A05"/>
    <w:rsid w:val="00134A22"/>
    <w:rsid w:val="00134A51"/>
    <w:rsid w:val="00134A9C"/>
    <w:rsid w:val="00134ADE"/>
    <w:rsid w:val="00134B19"/>
    <w:rsid w:val="00134B6D"/>
    <w:rsid w:val="00134B71"/>
    <w:rsid w:val="00134B75"/>
    <w:rsid w:val="00134BA9"/>
    <w:rsid w:val="00134BD6"/>
    <w:rsid w:val="00134BF2"/>
    <w:rsid w:val="00134C1D"/>
    <w:rsid w:val="00134C35"/>
    <w:rsid w:val="00134C47"/>
    <w:rsid w:val="00134C4A"/>
    <w:rsid w:val="00134C77"/>
    <w:rsid w:val="00134C88"/>
    <w:rsid w:val="00134C95"/>
    <w:rsid w:val="00134D0E"/>
    <w:rsid w:val="00134D25"/>
    <w:rsid w:val="00134D2E"/>
    <w:rsid w:val="00134D74"/>
    <w:rsid w:val="00134D8F"/>
    <w:rsid w:val="00134D95"/>
    <w:rsid w:val="00134D96"/>
    <w:rsid w:val="00134DC0"/>
    <w:rsid w:val="00134DC5"/>
    <w:rsid w:val="00134DE5"/>
    <w:rsid w:val="00134E0D"/>
    <w:rsid w:val="00134E44"/>
    <w:rsid w:val="00134E86"/>
    <w:rsid w:val="00134ECD"/>
    <w:rsid w:val="00134ECE"/>
    <w:rsid w:val="00134EFD"/>
    <w:rsid w:val="00134F3C"/>
    <w:rsid w:val="00134F61"/>
    <w:rsid w:val="00134FB4"/>
    <w:rsid w:val="00134FC9"/>
    <w:rsid w:val="00134FCD"/>
    <w:rsid w:val="00134FE8"/>
    <w:rsid w:val="00135073"/>
    <w:rsid w:val="001350A2"/>
    <w:rsid w:val="001350CF"/>
    <w:rsid w:val="00135112"/>
    <w:rsid w:val="00135171"/>
    <w:rsid w:val="0013517A"/>
    <w:rsid w:val="0013517B"/>
    <w:rsid w:val="001351B1"/>
    <w:rsid w:val="00135232"/>
    <w:rsid w:val="00135235"/>
    <w:rsid w:val="00135296"/>
    <w:rsid w:val="001352B6"/>
    <w:rsid w:val="001352BC"/>
    <w:rsid w:val="00135307"/>
    <w:rsid w:val="0013538D"/>
    <w:rsid w:val="001353C6"/>
    <w:rsid w:val="001353D2"/>
    <w:rsid w:val="00135423"/>
    <w:rsid w:val="00135435"/>
    <w:rsid w:val="001354C8"/>
    <w:rsid w:val="001354CC"/>
    <w:rsid w:val="0013555E"/>
    <w:rsid w:val="00135575"/>
    <w:rsid w:val="001355B7"/>
    <w:rsid w:val="001355F4"/>
    <w:rsid w:val="001355F5"/>
    <w:rsid w:val="0013566B"/>
    <w:rsid w:val="00135670"/>
    <w:rsid w:val="00135689"/>
    <w:rsid w:val="001356A6"/>
    <w:rsid w:val="001356A8"/>
    <w:rsid w:val="00135704"/>
    <w:rsid w:val="0013574C"/>
    <w:rsid w:val="0013574F"/>
    <w:rsid w:val="0013577D"/>
    <w:rsid w:val="001357C9"/>
    <w:rsid w:val="001357CD"/>
    <w:rsid w:val="001357D4"/>
    <w:rsid w:val="001357E5"/>
    <w:rsid w:val="00135852"/>
    <w:rsid w:val="00135857"/>
    <w:rsid w:val="0013586D"/>
    <w:rsid w:val="001358B0"/>
    <w:rsid w:val="001358C5"/>
    <w:rsid w:val="00135913"/>
    <w:rsid w:val="0013596D"/>
    <w:rsid w:val="00135981"/>
    <w:rsid w:val="00135998"/>
    <w:rsid w:val="001359AF"/>
    <w:rsid w:val="001359C6"/>
    <w:rsid w:val="00135A2E"/>
    <w:rsid w:val="00135A5A"/>
    <w:rsid w:val="00135A69"/>
    <w:rsid w:val="00135A8C"/>
    <w:rsid w:val="00135ABC"/>
    <w:rsid w:val="00135ACD"/>
    <w:rsid w:val="00135AEF"/>
    <w:rsid w:val="00135B80"/>
    <w:rsid w:val="00135B97"/>
    <w:rsid w:val="00135B9F"/>
    <w:rsid w:val="00135BD1"/>
    <w:rsid w:val="00135BDA"/>
    <w:rsid w:val="00135BF6"/>
    <w:rsid w:val="00135BF7"/>
    <w:rsid w:val="00135BF8"/>
    <w:rsid w:val="00135C8A"/>
    <w:rsid w:val="00135CBB"/>
    <w:rsid w:val="00135CCB"/>
    <w:rsid w:val="00135CDB"/>
    <w:rsid w:val="00135D02"/>
    <w:rsid w:val="00135D20"/>
    <w:rsid w:val="00135D79"/>
    <w:rsid w:val="00135D80"/>
    <w:rsid w:val="00135D9A"/>
    <w:rsid w:val="00135DE9"/>
    <w:rsid w:val="00135DF0"/>
    <w:rsid w:val="00135E04"/>
    <w:rsid w:val="00135E65"/>
    <w:rsid w:val="00135E81"/>
    <w:rsid w:val="00135EDD"/>
    <w:rsid w:val="00135FAB"/>
    <w:rsid w:val="00135FD1"/>
    <w:rsid w:val="00135FED"/>
    <w:rsid w:val="00136007"/>
    <w:rsid w:val="00136008"/>
    <w:rsid w:val="00136021"/>
    <w:rsid w:val="00136035"/>
    <w:rsid w:val="00136062"/>
    <w:rsid w:val="0013607E"/>
    <w:rsid w:val="0013609E"/>
    <w:rsid w:val="001360F9"/>
    <w:rsid w:val="001360FA"/>
    <w:rsid w:val="00136118"/>
    <w:rsid w:val="001361C6"/>
    <w:rsid w:val="001361DB"/>
    <w:rsid w:val="001361DF"/>
    <w:rsid w:val="00136206"/>
    <w:rsid w:val="00136216"/>
    <w:rsid w:val="00136271"/>
    <w:rsid w:val="0013628E"/>
    <w:rsid w:val="001362E8"/>
    <w:rsid w:val="0013631F"/>
    <w:rsid w:val="0013632A"/>
    <w:rsid w:val="00136385"/>
    <w:rsid w:val="00136409"/>
    <w:rsid w:val="0013640E"/>
    <w:rsid w:val="0013643D"/>
    <w:rsid w:val="0013646A"/>
    <w:rsid w:val="001364B8"/>
    <w:rsid w:val="001364FD"/>
    <w:rsid w:val="00136589"/>
    <w:rsid w:val="001365BB"/>
    <w:rsid w:val="001365CA"/>
    <w:rsid w:val="001365FE"/>
    <w:rsid w:val="0013660E"/>
    <w:rsid w:val="00136635"/>
    <w:rsid w:val="0013667D"/>
    <w:rsid w:val="001366B3"/>
    <w:rsid w:val="001366F0"/>
    <w:rsid w:val="001366FF"/>
    <w:rsid w:val="00136724"/>
    <w:rsid w:val="00136760"/>
    <w:rsid w:val="001367CD"/>
    <w:rsid w:val="00136833"/>
    <w:rsid w:val="001368C5"/>
    <w:rsid w:val="001368CE"/>
    <w:rsid w:val="001368D9"/>
    <w:rsid w:val="001368E1"/>
    <w:rsid w:val="001368E4"/>
    <w:rsid w:val="00136908"/>
    <w:rsid w:val="0013691F"/>
    <w:rsid w:val="0013692D"/>
    <w:rsid w:val="00136931"/>
    <w:rsid w:val="0013693E"/>
    <w:rsid w:val="0013697F"/>
    <w:rsid w:val="0013698F"/>
    <w:rsid w:val="0013699D"/>
    <w:rsid w:val="001369E4"/>
    <w:rsid w:val="001369EF"/>
    <w:rsid w:val="00136A46"/>
    <w:rsid w:val="00136AAB"/>
    <w:rsid w:val="00136AC7"/>
    <w:rsid w:val="00136BB1"/>
    <w:rsid w:val="00136BB5"/>
    <w:rsid w:val="00136BBE"/>
    <w:rsid w:val="00136BC4"/>
    <w:rsid w:val="00136BE8"/>
    <w:rsid w:val="00136BFE"/>
    <w:rsid w:val="00136C06"/>
    <w:rsid w:val="00136C61"/>
    <w:rsid w:val="00136D2A"/>
    <w:rsid w:val="00136D34"/>
    <w:rsid w:val="00136D40"/>
    <w:rsid w:val="00136D7D"/>
    <w:rsid w:val="00136DA0"/>
    <w:rsid w:val="00136E37"/>
    <w:rsid w:val="00136E65"/>
    <w:rsid w:val="00136EF4"/>
    <w:rsid w:val="00136F21"/>
    <w:rsid w:val="00136F3A"/>
    <w:rsid w:val="00136F43"/>
    <w:rsid w:val="00136F77"/>
    <w:rsid w:val="00136FA3"/>
    <w:rsid w:val="00136FD1"/>
    <w:rsid w:val="00136FD5"/>
    <w:rsid w:val="00136FED"/>
    <w:rsid w:val="00136FF8"/>
    <w:rsid w:val="00136FFF"/>
    <w:rsid w:val="00137012"/>
    <w:rsid w:val="0013703D"/>
    <w:rsid w:val="00137046"/>
    <w:rsid w:val="00137049"/>
    <w:rsid w:val="00137081"/>
    <w:rsid w:val="001370CC"/>
    <w:rsid w:val="001370EC"/>
    <w:rsid w:val="001370FE"/>
    <w:rsid w:val="0013711F"/>
    <w:rsid w:val="00137121"/>
    <w:rsid w:val="00137151"/>
    <w:rsid w:val="00137173"/>
    <w:rsid w:val="001371B0"/>
    <w:rsid w:val="001371D4"/>
    <w:rsid w:val="00137208"/>
    <w:rsid w:val="00137226"/>
    <w:rsid w:val="00137279"/>
    <w:rsid w:val="001372BE"/>
    <w:rsid w:val="001372CD"/>
    <w:rsid w:val="001372EE"/>
    <w:rsid w:val="001372F8"/>
    <w:rsid w:val="00137306"/>
    <w:rsid w:val="0013732C"/>
    <w:rsid w:val="00137333"/>
    <w:rsid w:val="00137354"/>
    <w:rsid w:val="0013735E"/>
    <w:rsid w:val="00137371"/>
    <w:rsid w:val="00137389"/>
    <w:rsid w:val="001373FE"/>
    <w:rsid w:val="00137442"/>
    <w:rsid w:val="00137464"/>
    <w:rsid w:val="00137490"/>
    <w:rsid w:val="0013749B"/>
    <w:rsid w:val="0013749F"/>
    <w:rsid w:val="001374C3"/>
    <w:rsid w:val="00137507"/>
    <w:rsid w:val="00137509"/>
    <w:rsid w:val="00137535"/>
    <w:rsid w:val="00137574"/>
    <w:rsid w:val="001375AA"/>
    <w:rsid w:val="001375B8"/>
    <w:rsid w:val="001375CF"/>
    <w:rsid w:val="001375D9"/>
    <w:rsid w:val="001375F2"/>
    <w:rsid w:val="00137641"/>
    <w:rsid w:val="00137667"/>
    <w:rsid w:val="00137683"/>
    <w:rsid w:val="00137709"/>
    <w:rsid w:val="00137713"/>
    <w:rsid w:val="0013774F"/>
    <w:rsid w:val="00137759"/>
    <w:rsid w:val="0013776F"/>
    <w:rsid w:val="001377DD"/>
    <w:rsid w:val="001377EF"/>
    <w:rsid w:val="00137802"/>
    <w:rsid w:val="00137814"/>
    <w:rsid w:val="0013784A"/>
    <w:rsid w:val="0013786C"/>
    <w:rsid w:val="0013786F"/>
    <w:rsid w:val="001378B7"/>
    <w:rsid w:val="001378E0"/>
    <w:rsid w:val="001378EB"/>
    <w:rsid w:val="001378ED"/>
    <w:rsid w:val="001378F8"/>
    <w:rsid w:val="001378F9"/>
    <w:rsid w:val="00137900"/>
    <w:rsid w:val="00137924"/>
    <w:rsid w:val="00137949"/>
    <w:rsid w:val="001379F7"/>
    <w:rsid w:val="00137A01"/>
    <w:rsid w:val="00137B1C"/>
    <w:rsid w:val="00137B4A"/>
    <w:rsid w:val="00137B87"/>
    <w:rsid w:val="00137B9E"/>
    <w:rsid w:val="00137BB9"/>
    <w:rsid w:val="00137BCA"/>
    <w:rsid w:val="00137BD0"/>
    <w:rsid w:val="00137BD9"/>
    <w:rsid w:val="00137BE5"/>
    <w:rsid w:val="00137BEE"/>
    <w:rsid w:val="00137C13"/>
    <w:rsid w:val="00137C41"/>
    <w:rsid w:val="00137C67"/>
    <w:rsid w:val="00137C6D"/>
    <w:rsid w:val="00137C88"/>
    <w:rsid w:val="00137CC0"/>
    <w:rsid w:val="00137CD4"/>
    <w:rsid w:val="00137CDE"/>
    <w:rsid w:val="00137CE4"/>
    <w:rsid w:val="00137CF1"/>
    <w:rsid w:val="00137CF3"/>
    <w:rsid w:val="00137CF8"/>
    <w:rsid w:val="00137D6A"/>
    <w:rsid w:val="00137D74"/>
    <w:rsid w:val="00137DED"/>
    <w:rsid w:val="00137E06"/>
    <w:rsid w:val="00137E9F"/>
    <w:rsid w:val="00137ED1"/>
    <w:rsid w:val="00137EE4"/>
    <w:rsid w:val="00137F29"/>
    <w:rsid w:val="00137F4E"/>
    <w:rsid w:val="00137F59"/>
    <w:rsid w:val="00137F7B"/>
    <w:rsid w:val="00137FC7"/>
    <w:rsid w:val="00137FDB"/>
    <w:rsid w:val="00137FE4"/>
    <w:rsid w:val="00137FEE"/>
    <w:rsid w:val="0014007A"/>
    <w:rsid w:val="0014007E"/>
    <w:rsid w:val="0014009B"/>
    <w:rsid w:val="001400BF"/>
    <w:rsid w:val="001400C2"/>
    <w:rsid w:val="0014012D"/>
    <w:rsid w:val="00140154"/>
    <w:rsid w:val="00140185"/>
    <w:rsid w:val="001401C6"/>
    <w:rsid w:val="0014021A"/>
    <w:rsid w:val="0014022A"/>
    <w:rsid w:val="0014024A"/>
    <w:rsid w:val="00140306"/>
    <w:rsid w:val="00140354"/>
    <w:rsid w:val="00140363"/>
    <w:rsid w:val="001403BD"/>
    <w:rsid w:val="001403C3"/>
    <w:rsid w:val="001403D9"/>
    <w:rsid w:val="001403DE"/>
    <w:rsid w:val="0014040B"/>
    <w:rsid w:val="00140459"/>
    <w:rsid w:val="001404C2"/>
    <w:rsid w:val="001404DC"/>
    <w:rsid w:val="00140507"/>
    <w:rsid w:val="001405A1"/>
    <w:rsid w:val="001405E9"/>
    <w:rsid w:val="001405F7"/>
    <w:rsid w:val="00140635"/>
    <w:rsid w:val="00140665"/>
    <w:rsid w:val="00140668"/>
    <w:rsid w:val="0014067C"/>
    <w:rsid w:val="0014067D"/>
    <w:rsid w:val="00140689"/>
    <w:rsid w:val="0014068F"/>
    <w:rsid w:val="001406C7"/>
    <w:rsid w:val="0014070B"/>
    <w:rsid w:val="0014070F"/>
    <w:rsid w:val="0014073B"/>
    <w:rsid w:val="00140758"/>
    <w:rsid w:val="001407A6"/>
    <w:rsid w:val="001407C4"/>
    <w:rsid w:val="0014082C"/>
    <w:rsid w:val="00140850"/>
    <w:rsid w:val="00140885"/>
    <w:rsid w:val="00140889"/>
    <w:rsid w:val="001408B9"/>
    <w:rsid w:val="001408C7"/>
    <w:rsid w:val="001408FD"/>
    <w:rsid w:val="00140923"/>
    <w:rsid w:val="00140983"/>
    <w:rsid w:val="001409A5"/>
    <w:rsid w:val="001409CF"/>
    <w:rsid w:val="001409F4"/>
    <w:rsid w:val="00140A41"/>
    <w:rsid w:val="00140ACD"/>
    <w:rsid w:val="00140B04"/>
    <w:rsid w:val="00140B1F"/>
    <w:rsid w:val="00140B40"/>
    <w:rsid w:val="00140B5D"/>
    <w:rsid w:val="00140BD2"/>
    <w:rsid w:val="00140C01"/>
    <w:rsid w:val="00140C04"/>
    <w:rsid w:val="00140C28"/>
    <w:rsid w:val="00140C3C"/>
    <w:rsid w:val="00140C3E"/>
    <w:rsid w:val="00140C7C"/>
    <w:rsid w:val="00140CBC"/>
    <w:rsid w:val="00140CDA"/>
    <w:rsid w:val="00140CED"/>
    <w:rsid w:val="00140D5F"/>
    <w:rsid w:val="00140D7C"/>
    <w:rsid w:val="00140D7D"/>
    <w:rsid w:val="00140D7F"/>
    <w:rsid w:val="00140D80"/>
    <w:rsid w:val="00140E58"/>
    <w:rsid w:val="00140E66"/>
    <w:rsid w:val="00140E6D"/>
    <w:rsid w:val="00140ED5"/>
    <w:rsid w:val="00140EFF"/>
    <w:rsid w:val="00140F17"/>
    <w:rsid w:val="00140F3A"/>
    <w:rsid w:val="00140F45"/>
    <w:rsid w:val="00140FDB"/>
    <w:rsid w:val="00140FE7"/>
    <w:rsid w:val="0014100C"/>
    <w:rsid w:val="0014101C"/>
    <w:rsid w:val="00141042"/>
    <w:rsid w:val="0014106F"/>
    <w:rsid w:val="00141090"/>
    <w:rsid w:val="001410C5"/>
    <w:rsid w:val="001410EE"/>
    <w:rsid w:val="0014113A"/>
    <w:rsid w:val="00141178"/>
    <w:rsid w:val="0014117A"/>
    <w:rsid w:val="001411A5"/>
    <w:rsid w:val="001411D2"/>
    <w:rsid w:val="001411D5"/>
    <w:rsid w:val="001411DB"/>
    <w:rsid w:val="00141212"/>
    <w:rsid w:val="00141216"/>
    <w:rsid w:val="00141226"/>
    <w:rsid w:val="0014122B"/>
    <w:rsid w:val="00141247"/>
    <w:rsid w:val="0014125C"/>
    <w:rsid w:val="0014128E"/>
    <w:rsid w:val="001412C1"/>
    <w:rsid w:val="001412CE"/>
    <w:rsid w:val="00141320"/>
    <w:rsid w:val="00141350"/>
    <w:rsid w:val="00141353"/>
    <w:rsid w:val="00141392"/>
    <w:rsid w:val="001413CF"/>
    <w:rsid w:val="0014140B"/>
    <w:rsid w:val="00141429"/>
    <w:rsid w:val="0014143A"/>
    <w:rsid w:val="001414A8"/>
    <w:rsid w:val="0014157F"/>
    <w:rsid w:val="001415A2"/>
    <w:rsid w:val="001415AE"/>
    <w:rsid w:val="001415C4"/>
    <w:rsid w:val="001415FF"/>
    <w:rsid w:val="00141622"/>
    <w:rsid w:val="00141676"/>
    <w:rsid w:val="001416A7"/>
    <w:rsid w:val="001416F0"/>
    <w:rsid w:val="0014172C"/>
    <w:rsid w:val="00141748"/>
    <w:rsid w:val="00141756"/>
    <w:rsid w:val="00141772"/>
    <w:rsid w:val="00141773"/>
    <w:rsid w:val="00141781"/>
    <w:rsid w:val="001417BA"/>
    <w:rsid w:val="001417BD"/>
    <w:rsid w:val="001417C8"/>
    <w:rsid w:val="001417C9"/>
    <w:rsid w:val="00141817"/>
    <w:rsid w:val="00141827"/>
    <w:rsid w:val="0014183C"/>
    <w:rsid w:val="00141843"/>
    <w:rsid w:val="0014184C"/>
    <w:rsid w:val="0014186B"/>
    <w:rsid w:val="00141870"/>
    <w:rsid w:val="00141871"/>
    <w:rsid w:val="00141898"/>
    <w:rsid w:val="001418EA"/>
    <w:rsid w:val="00141935"/>
    <w:rsid w:val="0014193D"/>
    <w:rsid w:val="0014195D"/>
    <w:rsid w:val="00141973"/>
    <w:rsid w:val="0014197C"/>
    <w:rsid w:val="00141988"/>
    <w:rsid w:val="00141995"/>
    <w:rsid w:val="001419A4"/>
    <w:rsid w:val="00141A2E"/>
    <w:rsid w:val="00141A7C"/>
    <w:rsid w:val="00141AB7"/>
    <w:rsid w:val="00141AC8"/>
    <w:rsid w:val="00141AF4"/>
    <w:rsid w:val="00141B02"/>
    <w:rsid w:val="00141B14"/>
    <w:rsid w:val="00141B19"/>
    <w:rsid w:val="00141B50"/>
    <w:rsid w:val="00141B97"/>
    <w:rsid w:val="00141BAB"/>
    <w:rsid w:val="00141BB6"/>
    <w:rsid w:val="00141BBA"/>
    <w:rsid w:val="00141BEF"/>
    <w:rsid w:val="00141C07"/>
    <w:rsid w:val="00141C4C"/>
    <w:rsid w:val="00141C69"/>
    <w:rsid w:val="00141C98"/>
    <w:rsid w:val="00141CF4"/>
    <w:rsid w:val="00141CF5"/>
    <w:rsid w:val="00141D18"/>
    <w:rsid w:val="00141D35"/>
    <w:rsid w:val="00141D5C"/>
    <w:rsid w:val="00141D75"/>
    <w:rsid w:val="00141D7E"/>
    <w:rsid w:val="00141DA6"/>
    <w:rsid w:val="00141DCB"/>
    <w:rsid w:val="00141E10"/>
    <w:rsid w:val="00141E21"/>
    <w:rsid w:val="00141E6E"/>
    <w:rsid w:val="00141F31"/>
    <w:rsid w:val="00141F3F"/>
    <w:rsid w:val="00141F59"/>
    <w:rsid w:val="00141F86"/>
    <w:rsid w:val="00141FC9"/>
    <w:rsid w:val="00142010"/>
    <w:rsid w:val="00142011"/>
    <w:rsid w:val="0014205B"/>
    <w:rsid w:val="00142076"/>
    <w:rsid w:val="00142096"/>
    <w:rsid w:val="00142106"/>
    <w:rsid w:val="00142118"/>
    <w:rsid w:val="0014212C"/>
    <w:rsid w:val="00142154"/>
    <w:rsid w:val="0014217D"/>
    <w:rsid w:val="00142191"/>
    <w:rsid w:val="001421B8"/>
    <w:rsid w:val="001421E1"/>
    <w:rsid w:val="00142270"/>
    <w:rsid w:val="0014227F"/>
    <w:rsid w:val="0014228C"/>
    <w:rsid w:val="001422FE"/>
    <w:rsid w:val="00142339"/>
    <w:rsid w:val="001423D1"/>
    <w:rsid w:val="001423FA"/>
    <w:rsid w:val="00142469"/>
    <w:rsid w:val="001424B8"/>
    <w:rsid w:val="001424C0"/>
    <w:rsid w:val="001424C2"/>
    <w:rsid w:val="001424DF"/>
    <w:rsid w:val="00142541"/>
    <w:rsid w:val="00142568"/>
    <w:rsid w:val="00142570"/>
    <w:rsid w:val="00142575"/>
    <w:rsid w:val="0014257C"/>
    <w:rsid w:val="0014259B"/>
    <w:rsid w:val="0014259C"/>
    <w:rsid w:val="001425BB"/>
    <w:rsid w:val="00142659"/>
    <w:rsid w:val="00142668"/>
    <w:rsid w:val="0014268C"/>
    <w:rsid w:val="001426B0"/>
    <w:rsid w:val="001426D3"/>
    <w:rsid w:val="001426F2"/>
    <w:rsid w:val="00142703"/>
    <w:rsid w:val="00142720"/>
    <w:rsid w:val="00142723"/>
    <w:rsid w:val="0014272D"/>
    <w:rsid w:val="0014277C"/>
    <w:rsid w:val="001427D0"/>
    <w:rsid w:val="00142820"/>
    <w:rsid w:val="0014282B"/>
    <w:rsid w:val="00142843"/>
    <w:rsid w:val="0014286A"/>
    <w:rsid w:val="00142880"/>
    <w:rsid w:val="00142881"/>
    <w:rsid w:val="00142891"/>
    <w:rsid w:val="001428C5"/>
    <w:rsid w:val="001428C6"/>
    <w:rsid w:val="001428F6"/>
    <w:rsid w:val="0014292D"/>
    <w:rsid w:val="0014294D"/>
    <w:rsid w:val="00142953"/>
    <w:rsid w:val="00142970"/>
    <w:rsid w:val="00142991"/>
    <w:rsid w:val="001429A1"/>
    <w:rsid w:val="001429AC"/>
    <w:rsid w:val="001429E1"/>
    <w:rsid w:val="001429F8"/>
    <w:rsid w:val="00142A4F"/>
    <w:rsid w:val="00142A86"/>
    <w:rsid w:val="00142A92"/>
    <w:rsid w:val="00142A9C"/>
    <w:rsid w:val="00142AC4"/>
    <w:rsid w:val="00142ADC"/>
    <w:rsid w:val="00142AFA"/>
    <w:rsid w:val="00142B1D"/>
    <w:rsid w:val="00142B76"/>
    <w:rsid w:val="00142B84"/>
    <w:rsid w:val="00142BD5"/>
    <w:rsid w:val="00142BE2"/>
    <w:rsid w:val="00142C3B"/>
    <w:rsid w:val="00142C4B"/>
    <w:rsid w:val="00142C57"/>
    <w:rsid w:val="00142C87"/>
    <w:rsid w:val="00142C97"/>
    <w:rsid w:val="00142CB7"/>
    <w:rsid w:val="00142D23"/>
    <w:rsid w:val="00142D2B"/>
    <w:rsid w:val="00142D3F"/>
    <w:rsid w:val="00142D86"/>
    <w:rsid w:val="00142D9F"/>
    <w:rsid w:val="00142E4B"/>
    <w:rsid w:val="00142E8F"/>
    <w:rsid w:val="00142EB9"/>
    <w:rsid w:val="00142F7B"/>
    <w:rsid w:val="00142FD1"/>
    <w:rsid w:val="0014307A"/>
    <w:rsid w:val="001430D8"/>
    <w:rsid w:val="001430FE"/>
    <w:rsid w:val="00143135"/>
    <w:rsid w:val="00143137"/>
    <w:rsid w:val="0014314A"/>
    <w:rsid w:val="00143175"/>
    <w:rsid w:val="001431A0"/>
    <w:rsid w:val="00143254"/>
    <w:rsid w:val="00143259"/>
    <w:rsid w:val="0014328E"/>
    <w:rsid w:val="00143290"/>
    <w:rsid w:val="00143294"/>
    <w:rsid w:val="001432A6"/>
    <w:rsid w:val="001432DC"/>
    <w:rsid w:val="001432F2"/>
    <w:rsid w:val="00143300"/>
    <w:rsid w:val="00143307"/>
    <w:rsid w:val="00143363"/>
    <w:rsid w:val="0014337B"/>
    <w:rsid w:val="0014337C"/>
    <w:rsid w:val="001433A4"/>
    <w:rsid w:val="0014344C"/>
    <w:rsid w:val="001434B6"/>
    <w:rsid w:val="001434B9"/>
    <w:rsid w:val="001434D7"/>
    <w:rsid w:val="0014350A"/>
    <w:rsid w:val="00143563"/>
    <w:rsid w:val="001435AA"/>
    <w:rsid w:val="001435B1"/>
    <w:rsid w:val="001435E5"/>
    <w:rsid w:val="00143602"/>
    <w:rsid w:val="0014361F"/>
    <w:rsid w:val="00143664"/>
    <w:rsid w:val="00143695"/>
    <w:rsid w:val="001436A4"/>
    <w:rsid w:val="001436D7"/>
    <w:rsid w:val="0014370B"/>
    <w:rsid w:val="00143739"/>
    <w:rsid w:val="0014375B"/>
    <w:rsid w:val="001437E4"/>
    <w:rsid w:val="001437F9"/>
    <w:rsid w:val="00143808"/>
    <w:rsid w:val="0014380E"/>
    <w:rsid w:val="00143837"/>
    <w:rsid w:val="0014389C"/>
    <w:rsid w:val="001438A5"/>
    <w:rsid w:val="001438C0"/>
    <w:rsid w:val="001438C3"/>
    <w:rsid w:val="001438D8"/>
    <w:rsid w:val="001438E7"/>
    <w:rsid w:val="0014390D"/>
    <w:rsid w:val="00143962"/>
    <w:rsid w:val="0014396D"/>
    <w:rsid w:val="00143988"/>
    <w:rsid w:val="001439E6"/>
    <w:rsid w:val="00143A1A"/>
    <w:rsid w:val="00143A30"/>
    <w:rsid w:val="00143A5A"/>
    <w:rsid w:val="00143A5C"/>
    <w:rsid w:val="00143A75"/>
    <w:rsid w:val="00143A8A"/>
    <w:rsid w:val="00143ABB"/>
    <w:rsid w:val="00143B1C"/>
    <w:rsid w:val="00143B48"/>
    <w:rsid w:val="00143B71"/>
    <w:rsid w:val="00143BB7"/>
    <w:rsid w:val="00143BF0"/>
    <w:rsid w:val="00143C02"/>
    <w:rsid w:val="00143C03"/>
    <w:rsid w:val="00143C2C"/>
    <w:rsid w:val="00143C8C"/>
    <w:rsid w:val="00143CCB"/>
    <w:rsid w:val="00143CD9"/>
    <w:rsid w:val="00143D0D"/>
    <w:rsid w:val="00143D11"/>
    <w:rsid w:val="00143D44"/>
    <w:rsid w:val="00143D5E"/>
    <w:rsid w:val="00143D84"/>
    <w:rsid w:val="00143D85"/>
    <w:rsid w:val="00143DCB"/>
    <w:rsid w:val="00143DDA"/>
    <w:rsid w:val="00143E31"/>
    <w:rsid w:val="00143E79"/>
    <w:rsid w:val="00143EB3"/>
    <w:rsid w:val="00143EBD"/>
    <w:rsid w:val="00143F34"/>
    <w:rsid w:val="00143F52"/>
    <w:rsid w:val="00143F58"/>
    <w:rsid w:val="00143FAA"/>
    <w:rsid w:val="00143FB1"/>
    <w:rsid w:val="00143FBA"/>
    <w:rsid w:val="0014400E"/>
    <w:rsid w:val="0014404F"/>
    <w:rsid w:val="0014405A"/>
    <w:rsid w:val="00144099"/>
    <w:rsid w:val="001440A1"/>
    <w:rsid w:val="001440D7"/>
    <w:rsid w:val="001440F2"/>
    <w:rsid w:val="0014413D"/>
    <w:rsid w:val="00144179"/>
    <w:rsid w:val="001441F8"/>
    <w:rsid w:val="00144228"/>
    <w:rsid w:val="0014425A"/>
    <w:rsid w:val="00144271"/>
    <w:rsid w:val="00144297"/>
    <w:rsid w:val="001442A8"/>
    <w:rsid w:val="001442B7"/>
    <w:rsid w:val="001442CC"/>
    <w:rsid w:val="001442E5"/>
    <w:rsid w:val="00144303"/>
    <w:rsid w:val="0014433C"/>
    <w:rsid w:val="00144345"/>
    <w:rsid w:val="00144368"/>
    <w:rsid w:val="00144386"/>
    <w:rsid w:val="001443AB"/>
    <w:rsid w:val="001443DE"/>
    <w:rsid w:val="001443FD"/>
    <w:rsid w:val="00144408"/>
    <w:rsid w:val="0014440A"/>
    <w:rsid w:val="00144480"/>
    <w:rsid w:val="001444A7"/>
    <w:rsid w:val="001444B6"/>
    <w:rsid w:val="001444BB"/>
    <w:rsid w:val="001444F5"/>
    <w:rsid w:val="00144503"/>
    <w:rsid w:val="00144510"/>
    <w:rsid w:val="00144574"/>
    <w:rsid w:val="0014458F"/>
    <w:rsid w:val="00144616"/>
    <w:rsid w:val="00144655"/>
    <w:rsid w:val="001446C2"/>
    <w:rsid w:val="001446C5"/>
    <w:rsid w:val="001446F3"/>
    <w:rsid w:val="00144711"/>
    <w:rsid w:val="00144724"/>
    <w:rsid w:val="0014472E"/>
    <w:rsid w:val="0014473F"/>
    <w:rsid w:val="0014474D"/>
    <w:rsid w:val="00144762"/>
    <w:rsid w:val="0014477C"/>
    <w:rsid w:val="00144786"/>
    <w:rsid w:val="001447B3"/>
    <w:rsid w:val="001447EE"/>
    <w:rsid w:val="001447F2"/>
    <w:rsid w:val="0014482C"/>
    <w:rsid w:val="00144861"/>
    <w:rsid w:val="00144873"/>
    <w:rsid w:val="0014489D"/>
    <w:rsid w:val="001448F6"/>
    <w:rsid w:val="00144986"/>
    <w:rsid w:val="00144993"/>
    <w:rsid w:val="001449A5"/>
    <w:rsid w:val="001449B3"/>
    <w:rsid w:val="001449EA"/>
    <w:rsid w:val="00144A2B"/>
    <w:rsid w:val="00144A8C"/>
    <w:rsid w:val="00144AB7"/>
    <w:rsid w:val="00144AF3"/>
    <w:rsid w:val="00144B40"/>
    <w:rsid w:val="00144B49"/>
    <w:rsid w:val="00144B7B"/>
    <w:rsid w:val="00144BBD"/>
    <w:rsid w:val="00144BE6"/>
    <w:rsid w:val="00144C00"/>
    <w:rsid w:val="00144C22"/>
    <w:rsid w:val="00144C25"/>
    <w:rsid w:val="00144C98"/>
    <w:rsid w:val="00144CA7"/>
    <w:rsid w:val="00144CE4"/>
    <w:rsid w:val="00144D1B"/>
    <w:rsid w:val="00144D20"/>
    <w:rsid w:val="00144D2E"/>
    <w:rsid w:val="00144D6A"/>
    <w:rsid w:val="00144D7D"/>
    <w:rsid w:val="00144DA2"/>
    <w:rsid w:val="00144DB7"/>
    <w:rsid w:val="00144F2B"/>
    <w:rsid w:val="00144FAE"/>
    <w:rsid w:val="00144FD2"/>
    <w:rsid w:val="0014502D"/>
    <w:rsid w:val="00145041"/>
    <w:rsid w:val="00145077"/>
    <w:rsid w:val="00145080"/>
    <w:rsid w:val="00145089"/>
    <w:rsid w:val="0014509C"/>
    <w:rsid w:val="001450D2"/>
    <w:rsid w:val="00145105"/>
    <w:rsid w:val="0014513C"/>
    <w:rsid w:val="001451A4"/>
    <w:rsid w:val="001451D5"/>
    <w:rsid w:val="001451DB"/>
    <w:rsid w:val="0014522B"/>
    <w:rsid w:val="00145231"/>
    <w:rsid w:val="00145242"/>
    <w:rsid w:val="00145265"/>
    <w:rsid w:val="00145277"/>
    <w:rsid w:val="00145294"/>
    <w:rsid w:val="001452A4"/>
    <w:rsid w:val="00145349"/>
    <w:rsid w:val="001453A0"/>
    <w:rsid w:val="001453B1"/>
    <w:rsid w:val="00145429"/>
    <w:rsid w:val="00145473"/>
    <w:rsid w:val="00145485"/>
    <w:rsid w:val="00145496"/>
    <w:rsid w:val="001454BB"/>
    <w:rsid w:val="001454C2"/>
    <w:rsid w:val="001454E1"/>
    <w:rsid w:val="001454E5"/>
    <w:rsid w:val="001454F0"/>
    <w:rsid w:val="0014550F"/>
    <w:rsid w:val="001455A2"/>
    <w:rsid w:val="001455A5"/>
    <w:rsid w:val="001455D2"/>
    <w:rsid w:val="001455D9"/>
    <w:rsid w:val="001455F4"/>
    <w:rsid w:val="00145629"/>
    <w:rsid w:val="0014566C"/>
    <w:rsid w:val="00145684"/>
    <w:rsid w:val="001456F0"/>
    <w:rsid w:val="00145727"/>
    <w:rsid w:val="0014573A"/>
    <w:rsid w:val="00145741"/>
    <w:rsid w:val="00145746"/>
    <w:rsid w:val="0014575E"/>
    <w:rsid w:val="0014578C"/>
    <w:rsid w:val="001457C5"/>
    <w:rsid w:val="00145807"/>
    <w:rsid w:val="0014580D"/>
    <w:rsid w:val="0014581D"/>
    <w:rsid w:val="00145826"/>
    <w:rsid w:val="0014585B"/>
    <w:rsid w:val="00145862"/>
    <w:rsid w:val="001458BA"/>
    <w:rsid w:val="001458BF"/>
    <w:rsid w:val="001458D0"/>
    <w:rsid w:val="001458DA"/>
    <w:rsid w:val="00145905"/>
    <w:rsid w:val="00145988"/>
    <w:rsid w:val="0014599A"/>
    <w:rsid w:val="00145A38"/>
    <w:rsid w:val="00145A65"/>
    <w:rsid w:val="00145A76"/>
    <w:rsid w:val="00145A9E"/>
    <w:rsid w:val="00145AAF"/>
    <w:rsid w:val="00145AED"/>
    <w:rsid w:val="00145AEE"/>
    <w:rsid w:val="00145AF7"/>
    <w:rsid w:val="00145B0C"/>
    <w:rsid w:val="00145BB3"/>
    <w:rsid w:val="00145C2E"/>
    <w:rsid w:val="00145C5D"/>
    <w:rsid w:val="00145C65"/>
    <w:rsid w:val="00145C76"/>
    <w:rsid w:val="00145C8A"/>
    <w:rsid w:val="00145CA1"/>
    <w:rsid w:val="00145CA3"/>
    <w:rsid w:val="00145CB2"/>
    <w:rsid w:val="00145CCF"/>
    <w:rsid w:val="00145D00"/>
    <w:rsid w:val="00145D51"/>
    <w:rsid w:val="00145DCC"/>
    <w:rsid w:val="00145E2F"/>
    <w:rsid w:val="00145E46"/>
    <w:rsid w:val="00145E56"/>
    <w:rsid w:val="00145EA8"/>
    <w:rsid w:val="00145F02"/>
    <w:rsid w:val="00145F16"/>
    <w:rsid w:val="00145F2E"/>
    <w:rsid w:val="00145F43"/>
    <w:rsid w:val="00145F60"/>
    <w:rsid w:val="00145F61"/>
    <w:rsid w:val="00145F66"/>
    <w:rsid w:val="00145F6F"/>
    <w:rsid w:val="00145F91"/>
    <w:rsid w:val="00145FB3"/>
    <w:rsid w:val="00145FBF"/>
    <w:rsid w:val="00145FC9"/>
    <w:rsid w:val="00145FDC"/>
    <w:rsid w:val="00146092"/>
    <w:rsid w:val="001460C9"/>
    <w:rsid w:val="001460D8"/>
    <w:rsid w:val="00146110"/>
    <w:rsid w:val="0014611A"/>
    <w:rsid w:val="0014612A"/>
    <w:rsid w:val="0014616D"/>
    <w:rsid w:val="00146179"/>
    <w:rsid w:val="00146231"/>
    <w:rsid w:val="0014627C"/>
    <w:rsid w:val="0014627E"/>
    <w:rsid w:val="001462E6"/>
    <w:rsid w:val="0014634C"/>
    <w:rsid w:val="0014639B"/>
    <w:rsid w:val="001463DB"/>
    <w:rsid w:val="001463F4"/>
    <w:rsid w:val="0014641E"/>
    <w:rsid w:val="0014644C"/>
    <w:rsid w:val="0014646C"/>
    <w:rsid w:val="001464C7"/>
    <w:rsid w:val="001464EB"/>
    <w:rsid w:val="001464F2"/>
    <w:rsid w:val="0014659F"/>
    <w:rsid w:val="001465CE"/>
    <w:rsid w:val="001465EF"/>
    <w:rsid w:val="0014663D"/>
    <w:rsid w:val="00146686"/>
    <w:rsid w:val="00146689"/>
    <w:rsid w:val="001466DE"/>
    <w:rsid w:val="00146730"/>
    <w:rsid w:val="0014677A"/>
    <w:rsid w:val="00146780"/>
    <w:rsid w:val="001467B8"/>
    <w:rsid w:val="001467BA"/>
    <w:rsid w:val="001467DC"/>
    <w:rsid w:val="001468B2"/>
    <w:rsid w:val="001468C4"/>
    <w:rsid w:val="001468D2"/>
    <w:rsid w:val="00146963"/>
    <w:rsid w:val="00146984"/>
    <w:rsid w:val="001469CA"/>
    <w:rsid w:val="001469CD"/>
    <w:rsid w:val="001469DA"/>
    <w:rsid w:val="00146A5B"/>
    <w:rsid w:val="00146A90"/>
    <w:rsid w:val="00146AAA"/>
    <w:rsid w:val="00146B11"/>
    <w:rsid w:val="00146BA1"/>
    <w:rsid w:val="00146BA6"/>
    <w:rsid w:val="00146BEC"/>
    <w:rsid w:val="00146BF9"/>
    <w:rsid w:val="00146C25"/>
    <w:rsid w:val="00146C39"/>
    <w:rsid w:val="00146C6B"/>
    <w:rsid w:val="00146C9E"/>
    <w:rsid w:val="00146CA8"/>
    <w:rsid w:val="00146CF3"/>
    <w:rsid w:val="00146D85"/>
    <w:rsid w:val="00146D99"/>
    <w:rsid w:val="00146DBC"/>
    <w:rsid w:val="00146DCC"/>
    <w:rsid w:val="00146DF1"/>
    <w:rsid w:val="00146E10"/>
    <w:rsid w:val="00146E14"/>
    <w:rsid w:val="00146E32"/>
    <w:rsid w:val="00146E5D"/>
    <w:rsid w:val="00146E6A"/>
    <w:rsid w:val="00146EDE"/>
    <w:rsid w:val="00146EFB"/>
    <w:rsid w:val="00146F02"/>
    <w:rsid w:val="00146F66"/>
    <w:rsid w:val="00146FC3"/>
    <w:rsid w:val="00147032"/>
    <w:rsid w:val="00147078"/>
    <w:rsid w:val="001470B9"/>
    <w:rsid w:val="0014715D"/>
    <w:rsid w:val="00147188"/>
    <w:rsid w:val="001471AD"/>
    <w:rsid w:val="001471D3"/>
    <w:rsid w:val="00147240"/>
    <w:rsid w:val="001472D4"/>
    <w:rsid w:val="001472D8"/>
    <w:rsid w:val="00147335"/>
    <w:rsid w:val="001473C1"/>
    <w:rsid w:val="001473D6"/>
    <w:rsid w:val="001473E2"/>
    <w:rsid w:val="0014740D"/>
    <w:rsid w:val="00147442"/>
    <w:rsid w:val="00147459"/>
    <w:rsid w:val="0014746C"/>
    <w:rsid w:val="001474B9"/>
    <w:rsid w:val="001474BD"/>
    <w:rsid w:val="00147559"/>
    <w:rsid w:val="001475D5"/>
    <w:rsid w:val="001475E9"/>
    <w:rsid w:val="00147613"/>
    <w:rsid w:val="0014769F"/>
    <w:rsid w:val="001476E6"/>
    <w:rsid w:val="001476F3"/>
    <w:rsid w:val="0014772E"/>
    <w:rsid w:val="00147759"/>
    <w:rsid w:val="0014776F"/>
    <w:rsid w:val="00147786"/>
    <w:rsid w:val="001477BC"/>
    <w:rsid w:val="001477C9"/>
    <w:rsid w:val="001477D2"/>
    <w:rsid w:val="00147845"/>
    <w:rsid w:val="00147874"/>
    <w:rsid w:val="00147884"/>
    <w:rsid w:val="001478B7"/>
    <w:rsid w:val="001478C0"/>
    <w:rsid w:val="00147929"/>
    <w:rsid w:val="0014794A"/>
    <w:rsid w:val="0014794C"/>
    <w:rsid w:val="0014794F"/>
    <w:rsid w:val="0014796E"/>
    <w:rsid w:val="00147985"/>
    <w:rsid w:val="0014798D"/>
    <w:rsid w:val="00147991"/>
    <w:rsid w:val="001479CD"/>
    <w:rsid w:val="001479D4"/>
    <w:rsid w:val="001479EA"/>
    <w:rsid w:val="00147A26"/>
    <w:rsid w:val="00147A34"/>
    <w:rsid w:val="00147A5D"/>
    <w:rsid w:val="00147AA0"/>
    <w:rsid w:val="00147ACB"/>
    <w:rsid w:val="00147AD3"/>
    <w:rsid w:val="00147ADC"/>
    <w:rsid w:val="00147AF9"/>
    <w:rsid w:val="00147B65"/>
    <w:rsid w:val="00147B94"/>
    <w:rsid w:val="00147BAD"/>
    <w:rsid w:val="00147BFD"/>
    <w:rsid w:val="00147C45"/>
    <w:rsid w:val="00147C9D"/>
    <w:rsid w:val="00147D5F"/>
    <w:rsid w:val="00147D89"/>
    <w:rsid w:val="00147DA3"/>
    <w:rsid w:val="00147DAA"/>
    <w:rsid w:val="00147E07"/>
    <w:rsid w:val="00147E1D"/>
    <w:rsid w:val="00147E54"/>
    <w:rsid w:val="00147E58"/>
    <w:rsid w:val="00147E67"/>
    <w:rsid w:val="00147E68"/>
    <w:rsid w:val="00147E9D"/>
    <w:rsid w:val="00147F0B"/>
    <w:rsid w:val="00147FA0"/>
    <w:rsid w:val="00147FAD"/>
    <w:rsid w:val="00147FC3"/>
    <w:rsid w:val="00147FCF"/>
    <w:rsid w:val="00150045"/>
    <w:rsid w:val="00150054"/>
    <w:rsid w:val="00150055"/>
    <w:rsid w:val="0015006C"/>
    <w:rsid w:val="001500BF"/>
    <w:rsid w:val="001500FA"/>
    <w:rsid w:val="0015010C"/>
    <w:rsid w:val="00150136"/>
    <w:rsid w:val="0015018A"/>
    <w:rsid w:val="00150193"/>
    <w:rsid w:val="001501F0"/>
    <w:rsid w:val="00150244"/>
    <w:rsid w:val="0015026A"/>
    <w:rsid w:val="00150275"/>
    <w:rsid w:val="0015027B"/>
    <w:rsid w:val="00150281"/>
    <w:rsid w:val="001502DF"/>
    <w:rsid w:val="001502F4"/>
    <w:rsid w:val="0015030B"/>
    <w:rsid w:val="0015030D"/>
    <w:rsid w:val="00150319"/>
    <w:rsid w:val="0015035C"/>
    <w:rsid w:val="00150381"/>
    <w:rsid w:val="00150383"/>
    <w:rsid w:val="00150397"/>
    <w:rsid w:val="0015039B"/>
    <w:rsid w:val="001503C1"/>
    <w:rsid w:val="001503C2"/>
    <w:rsid w:val="00150412"/>
    <w:rsid w:val="00150432"/>
    <w:rsid w:val="00150440"/>
    <w:rsid w:val="0015044C"/>
    <w:rsid w:val="00150465"/>
    <w:rsid w:val="0015047C"/>
    <w:rsid w:val="001504ED"/>
    <w:rsid w:val="00150502"/>
    <w:rsid w:val="00150546"/>
    <w:rsid w:val="0015060F"/>
    <w:rsid w:val="00150627"/>
    <w:rsid w:val="001506D8"/>
    <w:rsid w:val="001506DC"/>
    <w:rsid w:val="001506EF"/>
    <w:rsid w:val="0015078E"/>
    <w:rsid w:val="00150793"/>
    <w:rsid w:val="001507E8"/>
    <w:rsid w:val="001507F4"/>
    <w:rsid w:val="00150813"/>
    <w:rsid w:val="00150847"/>
    <w:rsid w:val="0015084B"/>
    <w:rsid w:val="00150889"/>
    <w:rsid w:val="001508C3"/>
    <w:rsid w:val="001508DD"/>
    <w:rsid w:val="00150960"/>
    <w:rsid w:val="0015096A"/>
    <w:rsid w:val="00150999"/>
    <w:rsid w:val="001509AC"/>
    <w:rsid w:val="001509B1"/>
    <w:rsid w:val="001509EA"/>
    <w:rsid w:val="00150A18"/>
    <w:rsid w:val="00150AB0"/>
    <w:rsid w:val="00150AB5"/>
    <w:rsid w:val="00150AC7"/>
    <w:rsid w:val="00150AC9"/>
    <w:rsid w:val="00150B09"/>
    <w:rsid w:val="00150B25"/>
    <w:rsid w:val="00150B9D"/>
    <w:rsid w:val="00150BB7"/>
    <w:rsid w:val="00150BBC"/>
    <w:rsid w:val="00150C2C"/>
    <w:rsid w:val="00150C32"/>
    <w:rsid w:val="00150C68"/>
    <w:rsid w:val="00150D2D"/>
    <w:rsid w:val="00150E05"/>
    <w:rsid w:val="00150E0C"/>
    <w:rsid w:val="00150E0D"/>
    <w:rsid w:val="00150E1C"/>
    <w:rsid w:val="00150E4A"/>
    <w:rsid w:val="00150E76"/>
    <w:rsid w:val="00150E7A"/>
    <w:rsid w:val="00150E95"/>
    <w:rsid w:val="00150ED9"/>
    <w:rsid w:val="00150EDF"/>
    <w:rsid w:val="00150F10"/>
    <w:rsid w:val="00150F56"/>
    <w:rsid w:val="00150F8A"/>
    <w:rsid w:val="00151023"/>
    <w:rsid w:val="00151067"/>
    <w:rsid w:val="00151099"/>
    <w:rsid w:val="001510F9"/>
    <w:rsid w:val="00151146"/>
    <w:rsid w:val="0015114C"/>
    <w:rsid w:val="0015115D"/>
    <w:rsid w:val="00151168"/>
    <w:rsid w:val="0015116D"/>
    <w:rsid w:val="00151196"/>
    <w:rsid w:val="001511A4"/>
    <w:rsid w:val="001511C2"/>
    <w:rsid w:val="001511E4"/>
    <w:rsid w:val="0015123D"/>
    <w:rsid w:val="00151284"/>
    <w:rsid w:val="001512AA"/>
    <w:rsid w:val="001512CA"/>
    <w:rsid w:val="001512F6"/>
    <w:rsid w:val="001512F7"/>
    <w:rsid w:val="00151324"/>
    <w:rsid w:val="0015137B"/>
    <w:rsid w:val="001513CA"/>
    <w:rsid w:val="00151412"/>
    <w:rsid w:val="00151475"/>
    <w:rsid w:val="00151493"/>
    <w:rsid w:val="0015149E"/>
    <w:rsid w:val="001514C5"/>
    <w:rsid w:val="001514CD"/>
    <w:rsid w:val="001514DA"/>
    <w:rsid w:val="0015151F"/>
    <w:rsid w:val="00151576"/>
    <w:rsid w:val="00151595"/>
    <w:rsid w:val="001515A9"/>
    <w:rsid w:val="0015160D"/>
    <w:rsid w:val="0015162A"/>
    <w:rsid w:val="00151664"/>
    <w:rsid w:val="0015169A"/>
    <w:rsid w:val="001516C1"/>
    <w:rsid w:val="001516C5"/>
    <w:rsid w:val="0015170C"/>
    <w:rsid w:val="0015171B"/>
    <w:rsid w:val="0015171D"/>
    <w:rsid w:val="00151743"/>
    <w:rsid w:val="001517BD"/>
    <w:rsid w:val="001517D7"/>
    <w:rsid w:val="00151803"/>
    <w:rsid w:val="00151820"/>
    <w:rsid w:val="0015187C"/>
    <w:rsid w:val="00151889"/>
    <w:rsid w:val="001518EF"/>
    <w:rsid w:val="00151900"/>
    <w:rsid w:val="0015191D"/>
    <w:rsid w:val="00151938"/>
    <w:rsid w:val="00151941"/>
    <w:rsid w:val="00151942"/>
    <w:rsid w:val="00151978"/>
    <w:rsid w:val="00151989"/>
    <w:rsid w:val="001519A9"/>
    <w:rsid w:val="001519CD"/>
    <w:rsid w:val="001519E2"/>
    <w:rsid w:val="00151A1C"/>
    <w:rsid w:val="00151A27"/>
    <w:rsid w:val="00151ABD"/>
    <w:rsid w:val="00151AC3"/>
    <w:rsid w:val="00151AE3"/>
    <w:rsid w:val="00151B12"/>
    <w:rsid w:val="00151B19"/>
    <w:rsid w:val="00151B59"/>
    <w:rsid w:val="00151B7F"/>
    <w:rsid w:val="00151B9B"/>
    <w:rsid w:val="00151C04"/>
    <w:rsid w:val="00151C3C"/>
    <w:rsid w:val="00151C4F"/>
    <w:rsid w:val="00151C5A"/>
    <w:rsid w:val="00151C83"/>
    <w:rsid w:val="00151D09"/>
    <w:rsid w:val="00151D2D"/>
    <w:rsid w:val="00151D3D"/>
    <w:rsid w:val="00151D58"/>
    <w:rsid w:val="00151DAE"/>
    <w:rsid w:val="00151DDC"/>
    <w:rsid w:val="00151DE2"/>
    <w:rsid w:val="00151E2C"/>
    <w:rsid w:val="00151E2E"/>
    <w:rsid w:val="00151E97"/>
    <w:rsid w:val="00151EC0"/>
    <w:rsid w:val="00151EFE"/>
    <w:rsid w:val="00151F10"/>
    <w:rsid w:val="00151F13"/>
    <w:rsid w:val="00151F62"/>
    <w:rsid w:val="00151F76"/>
    <w:rsid w:val="00151F7F"/>
    <w:rsid w:val="00151F83"/>
    <w:rsid w:val="00151FB7"/>
    <w:rsid w:val="00151FCF"/>
    <w:rsid w:val="00151FF1"/>
    <w:rsid w:val="0015206D"/>
    <w:rsid w:val="00152073"/>
    <w:rsid w:val="001520E0"/>
    <w:rsid w:val="001520F7"/>
    <w:rsid w:val="00152163"/>
    <w:rsid w:val="001521BE"/>
    <w:rsid w:val="001521DA"/>
    <w:rsid w:val="00152261"/>
    <w:rsid w:val="00152286"/>
    <w:rsid w:val="001522AA"/>
    <w:rsid w:val="001522B4"/>
    <w:rsid w:val="001522C2"/>
    <w:rsid w:val="001522C3"/>
    <w:rsid w:val="001522FA"/>
    <w:rsid w:val="00152370"/>
    <w:rsid w:val="00152391"/>
    <w:rsid w:val="00152396"/>
    <w:rsid w:val="001523D3"/>
    <w:rsid w:val="00152400"/>
    <w:rsid w:val="00152494"/>
    <w:rsid w:val="001524A5"/>
    <w:rsid w:val="001524BD"/>
    <w:rsid w:val="001524D6"/>
    <w:rsid w:val="001524FB"/>
    <w:rsid w:val="00152549"/>
    <w:rsid w:val="00152585"/>
    <w:rsid w:val="001525BB"/>
    <w:rsid w:val="001525BD"/>
    <w:rsid w:val="001525D3"/>
    <w:rsid w:val="0015261C"/>
    <w:rsid w:val="0015264A"/>
    <w:rsid w:val="0015264C"/>
    <w:rsid w:val="00152655"/>
    <w:rsid w:val="00152678"/>
    <w:rsid w:val="0015268B"/>
    <w:rsid w:val="001526AF"/>
    <w:rsid w:val="001526B0"/>
    <w:rsid w:val="001526DB"/>
    <w:rsid w:val="001527DE"/>
    <w:rsid w:val="001527F8"/>
    <w:rsid w:val="00152802"/>
    <w:rsid w:val="00152836"/>
    <w:rsid w:val="00152883"/>
    <w:rsid w:val="00152894"/>
    <w:rsid w:val="0015293C"/>
    <w:rsid w:val="00152945"/>
    <w:rsid w:val="0015298C"/>
    <w:rsid w:val="001529A4"/>
    <w:rsid w:val="001529C8"/>
    <w:rsid w:val="001529D5"/>
    <w:rsid w:val="001529E2"/>
    <w:rsid w:val="001529FB"/>
    <w:rsid w:val="00152A40"/>
    <w:rsid w:val="00152A65"/>
    <w:rsid w:val="00152A76"/>
    <w:rsid w:val="00152ADB"/>
    <w:rsid w:val="00152B06"/>
    <w:rsid w:val="00152B62"/>
    <w:rsid w:val="00152B69"/>
    <w:rsid w:val="00152B7F"/>
    <w:rsid w:val="00152B94"/>
    <w:rsid w:val="00152BA7"/>
    <w:rsid w:val="00152BE7"/>
    <w:rsid w:val="00152C0D"/>
    <w:rsid w:val="00152C24"/>
    <w:rsid w:val="00152C28"/>
    <w:rsid w:val="00152C43"/>
    <w:rsid w:val="00152C5C"/>
    <w:rsid w:val="00152C69"/>
    <w:rsid w:val="00152C73"/>
    <w:rsid w:val="00152D1F"/>
    <w:rsid w:val="00152D29"/>
    <w:rsid w:val="00152D36"/>
    <w:rsid w:val="00152D5A"/>
    <w:rsid w:val="00152D96"/>
    <w:rsid w:val="00152DF2"/>
    <w:rsid w:val="00152E04"/>
    <w:rsid w:val="00152E14"/>
    <w:rsid w:val="00152E1B"/>
    <w:rsid w:val="00152E80"/>
    <w:rsid w:val="00152EDA"/>
    <w:rsid w:val="00152EE5"/>
    <w:rsid w:val="00152EFC"/>
    <w:rsid w:val="00152F09"/>
    <w:rsid w:val="00152F2D"/>
    <w:rsid w:val="00152F5C"/>
    <w:rsid w:val="00152F66"/>
    <w:rsid w:val="00152FEE"/>
    <w:rsid w:val="00153036"/>
    <w:rsid w:val="00153092"/>
    <w:rsid w:val="00153096"/>
    <w:rsid w:val="001530E4"/>
    <w:rsid w:val="001530E8"/>
    <w:rsid w:val="0015312E"/>
    <w:rsid w:val="0015313D"/>
    <w:rsid w:val="0015313E"/>
    <w:rsid w:val="001531E5"/>
    <w:rsid w:val="001531F5"/>
    <w:rsid w:val="00153274"/>
    <w:rsid w:val="001532C8"/>
    <w:rsid w:val="001532C9"/>
    <w:rsid w:val="001532DB"/>
    <w:rsid w:val="001532FF"/>
    <w:rsid w:val="00153325"/>
    <w:rsid w:val="0015336B"/>
    <w:rsid w:val="00153389"/>
    <w:rsid w:val="0015338E"/>
    <w:rsid w:val="00153396"/>
    <w:rsid w:val="001533BA"/>
    <w:rsid w:val="001533C2"/>
    <w:rsid w:val="00153449"/>
    <w:rsid w:val="00153463"/>
    <w:rsid w:val="00153471"/>
    <w:rsid w:val="00153485"/>
    <w:rsid w:val="0015349C"/>
    <w:rsid w:val="00153516"/>
    <w:rsid w:val="00153560"/>
    <w:rsid w:val="0015358A"/>
    <w:rsid w:val="001535B9"/>
    <w:rsid w:val="001535F2"/>
    <w:rsid w:val="001535FD"/>
    <w:rsid w:val="00153602"/>
    <w:rsid w:val="0015360D"/>
    <w:rsid w:val="00153630"/>
    <w:rsid w:val="0015368A"/>
    <w:rsid w:val="00153695"/>
    <w:rsid w:val="001536C8"/>
    <w:rsid w:val="00153717"/>
    <w:rsid w:val="0015372B"/>
    <w:rsid w:val="0015375C"/>
    <w:rsid w:val="001537E8"/>
    <w:rsid w:val="0015388D"/>
    <w:rsid w:val="001538E1"/>
    <w:rsid w:val="001538F5"/>
    <w:rsid w:val="00153903"/>
    <w:rsid w:val="0015390E"/>
    <w:rsid w:val="00153923"/>
    <w:rsid w:val="0015395F"/>
    <w:rsid w:val="00153973"/>
    <w:rsid w:val="00153984"/>
    <w:rsid w:val="00153988"/>
    <w:rsid w:val="0015398A"/>
    <w:rsid w:val="001539D9"/>
    <w:rsid w:val="001539F6"/>
    <w:rsid w:val="00153A2F"/>
    <w:rsid w:val="00153A49"/>
    <w:rsid w:val="00153A4A"/>
    <w:rsid w:val="00153A52"/>
    <w:rsid w:val="00153A5A"/>
    <w:rsid w:val="00153A5D"/>
    <w:rsid w:val="00153A90"/>
    <w:rsid w:val="00153AC6"/>
    <w:rsid w:val="00153AD1"/>
    <w:rsid w:val="00153AE0"/>
    <w:rsid w:val="00153AE3"/>
    <w:rsid w:val="00153AE7"/>
    <w:rsid w:val="00153B13"/>
    <w:rsid w:val="00153B46"/>
    <w:rsid w:val="00153B5C"/>
    <w:rsid w:val="00153B9C"/>
    <w:rsid w:val="00153BAE"/>
    <w:rsid w:val="00153BC4"/>
    <w:rsid w:val="00153BF2"/>
    <w:rsid w:val="00153C25"/>
    <w:rsid w:val="00153C61"/>
    <w:rsid w:val="00153C83"/>
    <w:rsid w:val="00153D06"/>
    <w:rsid w:val="00153D56"/>
    <w:rsid w:val="00153D7B"/>
    <w:rsid w:val="00153DA2"/>
    <w:rsid w:val="00153DC3"/>
    <w:rsid w:val="00153E06"/>
    <w:rsid w:val="00153E3B"/>
    <w:rsid w:val="00153E57"/>
    <w:rsid w:val="00153E58"/>
    <w:rsid w:val="00153E98"/>
    <w:rsid w:val="00153E9A"/>
    <w:rsid w:val="00153EF1"/>
    <w:rsid w:val="00153F68"/>
    <w:rsid w:val="00153FCB"/>
    <w:rsid w:val="00153FE2"/>
    <w:rsid w:val="0015401E"/>
    <w:rsid w:val="0015405F"/>
    <w:rsid w:val="0015408E"/>
    <w:rsid w:val="001540AD"/>
    <w:rsid w:val="001540D6"/>
    <w:rsid w:val="00154103"/>
    <w:rsid w:val="00154109"/>
    <w:rsid w:val="00154150"/>
    <w:rsid w:val="0015415C"/>
    <w:rsid w:val="001541A9"/>
    <w:rsid w:val="00154221"/>
    <w:rsid w:val="00154230"/>
    <w:rsid w:val="00154280"/>
    <w:rsid w:val="001542E3"/>
    <w:rsid w:val="00154336"/>
    <w:rsid w:val="00154375"/>
    <w:rsid w:val="0015437D"/>
    <w:rsid w:val="001543AA"/>
    <w:rsid w:val="001543AB"/>
    <w:rsid w:val="001543C9"/>
    <w:rsid w:val="001543DF"/>
    <w:rsid w:val="001543F5"/>
    <w:rsid w:val="00154431"/>
    <w:rsid w:val="00154453"/>
    <w:rsid w:val="00154461"/>
    <w:rsid w:val="001544BE"/>
    <w:rsid w:val="001544C5"/>
    <w:rsid w:val="001544C7"/>
    <w:rsid w:val="001544D6"/>
    <w:rsid w:val="00154547"/>
    <w:rsid w:val="00154582"/>
    <w:rsid w:val="00154584"/>
    <w:rsid w:val="001545C6"/>
    <w:rsid w:val="001545F0"/>
    <w:rsid w:val="001545F2"/>
    <w:rsid w:val="001545F5"/>
    <w:rsid w:val="00154628"/>
    <w:rsid w:val="00154630"/>
    <w:rsid w:val="00154635"/>
    <w:rsid w:val="00154701"/>
    <w:rsid w:val="00154705"/>
    <w:rsid w:val="00154775"/>
    <w:rsid w:val="0015477B"/>
    <w:rsid w:val="0015479B"/>
    <w:rsid w:val="001547C8"/>
    <w:rsid w:val="00154848"/>
    <w:rsid w:val="0015487C"/>
    <w:rsid w:val="0015489A"/>
    <w:rsid w:val="001548A0"/>
    <w:rsid w:val="001548BD"/>
    <w:rsid w:val="00154907"/>
    <w:rsid w:val="0015492B"/>
    <w:rsid w:val="00154966"/>
    <w:rsid w:val="0015499F"/>
    <w:rsid w:val="00154A27"/>
    <w:rsid w:val="00154A61"/>
    <w:rsid w:val="00154B13"/>
    <w:rsid w:val="00154B38"/>
    <w:rsid w:val="00154B41"/>
    <w:rsid w:val="00154B56"/>
    <w:rsid w:val="00154B79"/>
    <w:rsid w:val="00154B88"/>
    <w:rsid w:val="00154B93"/>
    <w:rsid w:val="00154BB7"/>
    <w:rsid w:val="00154BDF"/>
    <w:rsid w:val="00154C47"/>
    <w:rsid w:val="00154C84"/>
    <w:rsid w:val="00154C9A"/>
    <w:rsid w:val="00154CA9"/>
    <w:rsid w:val="00154CC1"/>
    <w:rsid w:val="00154D00"/>
    <w:rsid w:val="00154D1E"/>
    <w:rsid w:val="00154D2B"/>
    <w:rsid w:val="00154DAF"/>
    <w:rsid w:val="00154E0F"/>
    <w:rsid w:val="00154E1A"/>
    <w:rsid w:val="00154E29"/>
    <w:rsid w:val="00154E5C"/>
    <w:rsid w:val="00154FA4"/>
    <w:rsid w:val="00154FB4"/>
    <w:rsid w:val="00155098"/>
    <w:rsid w:val="001550CD"/>
    <w:rsid w:val="001550D8"/>
    <w:rsid w:val="001550DC"/>
    <w:rsid w:val="001550FB"/>
    <w:rsid w:val="00155111"/>
    <w:rsid w:val="001551C3"/>
    <w:rsid w:val="001551D9"/>
    <w:rsid w:val="001551EC"/>
    <w:rsid w:val="00155215"/>
    <w:rsid w:val="00155235"/>
    <w:rsid w:val="00155254"/>
    <w:rsid w:val="0015526B"/>
    <w:rsid w:val="00155294"/>
    <w:rsid w:val="00155299"/>
    <w:rsid w:val="001552F1"/>
    <w:rsid w:val="00155322"/>
    <w:rsid w:val="00155329"/>
    <w:rsid w:val="00155338"/>
    <w:rsid w:val="0015534A"/>
    <w:rsid w:val="00155355"/>
    <w:rsid w:val="00155387"/>
    <w:rsid w:val="0015539A"/>
    <w:rsid w:val="001553A4"/>
    <w:rsid w:val="001553AF"/>
    <w:rsid w:val="001553C7"/>
    <w:rsid w:val="001553DD"/>
    <w:rsid w:val="001553E2"/>
    <w:rsid w:val="001553F1"/>
    <w:rsid w:val="001553FA"/>
    <w:rsid w:val="00155416"/>
    <w:rsid w:val="00155420"/>
    <w:rsid w:val="00155426"/>
    <w:rsid w:val="00155449"/>
    <w:rsid w:val="0015544F"/>
    <w:rsid w:val="00155465"/>
    <w:rsid w:val="001554AE"/>
    <w:rsid w:val="00155516"/>
    <w:rsid w:val="001555E8"/>
    <w:rsid w:val="001555E9"/>
    <w:rsid w:val="001555EA"/>
    <w:rsid w:val="001556CA"/>
    <w:rsid w:val="00155707"/>
    <w:rsid w:val="0015572D"/>
    <w:rsid w:val="0015572E"/>
    <w:rsid w:val="00155739"/>
    <w:rsid w:val="001557D7"/>
    <w:rsid w:val="001558B3"/>
    <w:rsid w:val="00155956"/>
    <w:rsid w:val="00155964"/>
    <w:rsid w:val="00155983"/>
    <w:rsid w:val="001559F0"/>
    <w:rsid w:val="001559F4"/>
    <w:rsid w:val="00155A51"/>
    <w:rsid w:val="00155A77"/>
    <w:rsid w:val="00155AAB"/>
    <w:rsid w:val="00155ABC"/>
    <w:rsid w:val="00155AC3"/>
    <w:rsid w:val="00155AD0"/>
    <w:rsid w:val="00155B09"/>
    <w:rsid w:val="00155B90"/>
    <w:rsid w:val="00155BEA"/>
    <w:rsid w:val="00155BFB"/>
    <w:rsid w:val="00155C2C"/>
    <w:rsid w:val="00155C66"/>
    <w:rsid w:val="00155C9D"/>
    <w:rsid w:val="00155CA4"/>
    <w:rsid w:val="00155CC6"/>
    <w:rsid w:val="00155CCC"/>
    <w:rsid w:val="00155CE9"/>
    <w:rsid w:val="00155D06"/>
    <w:rsid w:val="00155D17"/>
    <w:rsid w:val="00155D2B"/>
    <w:rsid w:val="00155D39"/>
    <w:rsid w:val="00155D7B"/>
    <w:rsid w:val="00155D92"/>
    <w:rsid w:val="00155DB1"/>
    <w:rsid w:val="00155E16"/>
    <w:rsid w:val="00155E79"/>
    <w:rsid w:val="00155ED5"/>
    <w:rsid w:val="00155EEC"/>
    <w:rsid w:val="00155F24"/>
    <w:rsid w:val="00155F58"/>
    <w:rsid w:val="00155F9F"/>
    <w:rsid w:val="00155FC7"/>
    <w:rsid w:val="00155FF9"/>
    <w:rsid w:val="00155FFB"/>
    <w:rsid w:val="00155FFE"/>
    <w:rsid w:val="00156002"/>
    <w:rsid w:val="0015604F"/>
    <w:rsid w:val="0015606D"/>
    <w:rsid w:val="0015609A"/>
    <w:rsid w:val="001560A8"/>
    <w:rsid w:val="001560B8"/>
    <w:rsid w:val="001560D9"/>
    <w:rsid w:val="001560F7"/>
    <w:rsid w:val="00156113"/>
    <w:rsid w:val="0015615D"/>
    <w:rsid w:val="00156185"/>
    <w:rsid w:val="00156192"/>
    <w:rsid w:val="001561F4"/>
    <w:rsid w:val="00156236"/>
    <w:rsid w:val="00156249"/>
    <w:rsid w:val="00156251"/>
    <w:rsid w:val="00156272"/>
    <w:rsid w:val="00156284"/>
    <w:rsid w:val="0015628F"/>
    <w:rsid w:val="0015629E"/>
    <w:rsid w:val="001562E2"/>
    <w:rsid w:val="001562FC"/>
    <w:rsid w:val="00156306"/>
    <w:rsid w:val="00156313"/>
    <w:rsid w:val="00156336"/>
    <w:rsid w:val="00156348"/>
    <w:rsid w:val="0015637E"/>
    <w:rsid w:val="001563CA"/>
    <w:rsid w:val="0015640C"/>
    <w:rsid w:val="00156473"/>
    <w:rsid w:val="00156494"/>
    <w:rsid w:val="001564C6"/>
    <w:rsid w:val="001564F0"/>
    <w:rsid w:val="00156522"/>
    <w:rsid w:val="00156536"/>
    <w:rsid w:val="0015657D"/>
    <w:rsid w:val="001565B5"/>
    <w:rsid w:val="001565F0"/>
    <w:rsid w:val="00156605"/>
    <w:rsid w:val="00156631"/>
    <w:rsid w:val="0015664A"/>
    <w:rsid w:val="00156658"/>
    <w:rsid w:val="00156659"/>
    <w:rsid w:val="0015666D"/>
    <w:rsid w:val="0015668D"/>
    <w:rsid w:val="001566A2"/>
    <w:rsid w:val="001566B6"/>
    <w:rsid w:val="0015672F"/>
    <w:rsid w:val="0015674E"/>
    <w:rsid w:val="00156778"/>
    <w:rsid w:val="001567A9"/>
    <w:rsid w:val="001567B3"/>
    <w:rsid w:val="00156872"/>
    <w:rsid w:val="00156876"/>
    <w:rsid w:val="00156892"/>
    <w:rsid w:val="0015691A"/>
    <w:rsid w:val="00156986"/>
    <w:rsid w:val="001569C0"/>
    <w:rsid w:val="001569F5"/>
    <w:rsid w:val="00156A46"/>
    <w:rsid w:val="00156A7E"/>
    <w:rsid w:val="00156ABA"/>
    <w:rsid w:val="00156AE9"/>
    <w:rsid w:val="00156AF4"/>
    <w:rsid w:val="00156B0A"/>
    <w:rsid w:val="00156B27"/>
    <w:rsid w:val="00156B79"/>
    <w:rsid w:val="00156BBD"/>
    <w:rsid w:val="00156C0B"/>
    <w:rsid w:val="00156C17"/>
    <w:rsid w:val="00156C3C"/>
    <w:rsid w:val="00156C7F"/>
    <w:rsid w:val="00156C9B"/>
    <w:rsid w:val="00156CB0"/>
    <w:rsid w:val="00156CBF"/>
    <w:rsid w:val="00156D2C"/>
    <w:rsid w:val="00156DAC"/>
    <w:rsid w:val="00156DC4"/>
    <w:rsid w:val="00156DCE"/>
    <w:rsid w:val="00156DFD"/>
    <w:rsid w:val="00156E0E"/>
    <w:rsid w:val="00156E58"/>
    <w:rsid w:val="00156E73"/>
    <w:rsid w:val="00156E8F"/>
    <w:rsid w:val="00156EF2"/>
    <w:rsid w:val="00156F1E"/>
    <w:rsid w:val="00156F2A"/>
    <w:rsid w:val="00156F3B"/>
    <w:rsid w:val="00156F45"/>
    <w:rsid w:val="00156F4A"/>
    <w:rsid w:val="00156F68"/>
    <w:rsid w:val="00156F7F"/>
    <w:rsid w:val="00156FB8"/>
    <w:rsid w:val="00156FC8"/>
    <w:rsid w:val="00156FD6"/>
    <w:rsid w:val="00156FE2"/>
    <w:rsid w:val="00156FE5"/>
    <w:rsid w:val="00157029"/>
    <w:rsid w:val="00157067"/>
    <w:rsid w:val="0015706C"/>
    <w:rsid w:val="00157073"/>
    <w:rsid w:val="0015708F"/>
    <w:rsid w:val="001570E7"/>
    <w:rsid w:val="0015710B"/>
    <w:rsid w:val="00157156"/>
    <w:rsid w:val="00157168"/>
    <w:rsid w:val="001571BA"/>
    <w:rsid w:val="001571D2"/>
    <w:rsid w:val="001571DA"/>
    <w:rsid w:val="001571FF"/>
    <w:rsid w:val="00157208"/>
    <w:rsid w:val="00157210"/>
    <w:rsid w:val="00157240"/>
    <w:rsid w:val="00157259"/>
    <w:rsid w:val="0015725C"/>
    <w:rsid w:val="001572A8"/>
    <w:rsid w:val="00157308"/>
    <w:rsid w:val="0015731D"/>
    <w:rsid w:val="00157330"/>
    <w:rsid w:val="0015733C"/>
    <w:rsid w:val="00157388"/>
    <w:rsid w:val="00157390"/>
    <w:rsid w:val="00157395"/>
    <w:rsid w:val="0015739A"/>
    <w:rsid w:val="001573A7"/>
    <w:rsid w:val="001573B4"/>
    <w:rsid w:val="001573D9"/>
    <w:rsid w:val="001573ED"/>
    <w:rsid w:val="001573F7"/>
    <w:rsid w:val="00157418"/>
    <w:rsid w:val="00157460"/>
    <w:rsid w:val="00157476"/>
    <w:rsid w:val="00157483"/>
    <w:rsid w:val="001574A1"/>
    <w:rsid w:val="00157520"/>
    <w:rsid w:val="00157585"/>
    <w:rsid w:val="0015763C"/>
    <w:rsid w:val="00157653"/>
    <w:rsid w:val="00157672"/>
    <w:rsid w:val="00157682"/>
    <w:rsid w:val="001577A4"/>
    <w:rsid w:val="001577E5"/>
    <w:rsid w:val="001577EF"/>
    <w:rsid w:val="0015784E"/>
    <w:rsid w:val="0015785D"/>
    <w:rsid w:val="0015786D"/>
    <w:rsid w:val="001578A4"/>
    <w:rsid w:val="001578D1"/>
    <w:rsid w:val="001578E7"/>
    <w:rsid w:val="001578FB"/>
    <w:rsid w:val="00157952"/>
    <w:rsid w:val="0015795E"/>
    <w:rsid w:val="0015799E"/>
    <w:rsid w:val="001579D1"/>
    <w:rsid w:val="00157A04"/>
    <w:rsid w:val="00157A1C"/>
    <w:rsid w:val="00157A87"/>
    <w:rsid w:val="00157A9B"/>
    <w:rsid w:val="00157ABF"/>
    <w:rsid w:val="00157AF0"/>
    <w:rsid w:val="00157B1C"/>
    <w:rsid w:val="00157B35"/>
    <w:rsid w:val="00157B94"/>
    <w:rsid w:val="00157B9F"/>
    <w:rsid w:val="00157BC5"/>
    <w:rsid w:val="00157BCA"/>
    <w:rsid w:val="00157BCF"/>
    <w:rsid w:val="00157C43"/>
    <w:rsid w:val="00157C63"/>
    <w:rsid w:val="00157C7B"/>
    <w:rsid w:val="00157CAC"/>
    <w:rsid w:val="00157CBF"/>
    <w:rsid w:val="00157CC3"/>
    <w:rsid w:val="00157D40"/>
    <w:rsid w:val="00157D88"/>
    <w:rsid w:val="00157DC9"/>
    <w:rsid w:val="00157DE5"/>
    <w:rsid w:val="00157DF5"/>
    <w:rsid w:val="00157E26"/>
    <w:rsid w:val="00157E50"/>
    <w:rsid w:val="00157E7B"/>
    <w:rsid w:val="00157EAE"/>
    <w:rsid w:val="00157EB5"/>
    <w:rsid w:val="00157EE9"/>
    <w:rsid w:val="00157EF3"/>
    <w:rsid w:val="00157F13"/>
    <w:rsid w:val="00157F2C"/>
    <w:rsid w:val="00157FA0"/>
    <w:rsid w:val="00160063"/>
    <w:rsid w:val="00160091"/>
    <w:rsid w:val="0016009D"/>
    <w:rsid w:val="001600AC"/>
    <w:rsid w:val="001600E8"/>
    <w:rsid w:val="00160111"/>
    <w:rsid w:val="0016012F"/>
    <w:rsid w:val="00160144"/>
    <w:rsid w:val="0016017A"/>
    <w:rsid w:val="00160202"/>
    <w:rsid w:val="0016024B"/>
    <w:rsid w:val="00160286"/>
    <w:rsid w:val="0016029A"/>
    <w:rsid w:val="001602D5"/>
    <w:rsid w:val="0016030C"/>
    <w:rsid w:val="00160354"/>
    <w:rsid w:val="001603CC"/>
    <w:rsid w:val="001603D2"/>
    <w:rsid w:val="0016045A"/>
    <w:rsid w:val="001604A3"/>
    <w:rsid w:val="00160511"/>
    <w:rsid w:val="0016051E"/>
    <w:rsid w:val="00160526"/>
    <w:rsid w:val="00160573"/>
    <w:rsid w:val="001605D0"/>
    <w:rsid w:val="001605E4"/>
    <w:rsid w:val="001605ED"/>
    <w:rsid w:val="00160603"/>
    <w:rsid w:val="0016067F"/>
    <w:rsid w:val="00160697"/>
    <w:rsid w:val="00160702"/>
    <w:rsid w:val="00160736"/>
    <w:rsid w:val="0016076D"/>
    <w:rsid w:val="0016077F"/>
    <w:rsid w:val="00160786"/>
    <w:rsid w:val="001607B3"/>
    <w:rsid w:val="0016082D"/>
    <w:rsid w:val="00160899"/>
    <w:rsid w:val="0016089F"/>
    <w:rsid w:val="0016090F"/>
    <w:rsid w:val="00160912"/>
    <w:rsid w:val="00160921"/>
    <w:rsid w:val="00160940"/>
    <w:rsid w:val="0016094B"/>
    <w:rsid w:val="0016096A"/>
    <w:rsid w:val="0016096F"/>
    <w:rsid w:val="0016097C"/>
    <w:rsid w:val="0016099B"/>
    <w:rsid w:val="001609E9"/>
    <w:rsid w:val="001609EE"/>
    <w:rsid w:val="00160A04"/>
    <w:rsid w:val="00160A08"/>
    <w:rsid w:val="00160A56"/>
    <w:rsid w:val="00160A67"/>
    <w:rsid w:val="00160B04"/>
    <w:rsid w:val="00160B05"/>
    <w:rsid w:val="00160B3A"/>
    <w:rsid w:val="00160BA0"/>
    <w:rsid w:val="00160BA3"/>
    <w:rsid w:val="00160BA9"/>
    <w:rsid w:val="00160BC9"/>
    <w:rsid w:val="00160BD9"/>
    <w:rsid w:val="00160BE8"/>
    <w:rsid w:val="00160C0C"/>
    <w:rsid w:val="00160C42"/>
    <w:rsid w:val="00160C45"/>
    <w:rsid w:val="00160CA0"/>
    <w:rsid w:val="00160CA9"/>
    <w:rsid w:val="00160CD9"/>
    <w:rsid w:val="00160CFC"/>
    <w:rsid w:val="00160D11"/>
    <w:rsid w:val="00160D3F"/>
    <w:rsid w:val="00160D75"/>
    <w:rsid w:val="00160D8F"/>
    <w:rsid w:val="00160DA1"/>
    <w:rsid w:val="00160DAD"/>
    <w:rsid w:val="00160E1A"/>
    <w:rsid w:val="00160E3D"/>
    <w:rsid w:val="00160E90"/>
    <w:rsid w:val="00160EB4"/>
    <w:rsid w:val="00160EFD"/>
    <w:rsid w:val="00160F2B"/>
    <w:rsid w:val="00160F37"/>
    <w:rsid w:val="00160F40"/>
    <w:rsid w:val="00160FAC"/>
    <w:rsid w:val="00160FC6"/>
    <w:rsid w:val="00160FD0"/>
    <w:rsid w:val="00161028"/>
    <w:rsid w:val="0016106C"/>
    <w:rsid w:val="00161085"/>
    <w:rsid w:val="0016108B"/>
    <w:rsid w:val="001610D4"/>
    <w:rsid w:val="001610F0"/>
    <w:rsid w:val="00161155"/>
    <w:rsid w:val="0016116F"/>
    <w:rsid w:val="001611AA"/>
    <w:rsid w:val="001611CC"/>
    <w:rsid w:val="00161228"/>
    <w:rsid w:val="001612BD"/>
    <w:rsid w:val="00161307"/>
    <w:rsid w:val="00161312"/>
    <w:rsid w:val="0016132E"/>
    <w:rsid w:val="00161355"/>
    <w:rsid w:val="0016136E"/>
    <w:rsid w:val="0016139C"/>
    <w:rsid w:val="001613A6"/>
    <w:rsid w:val="001613BF"/>
    <w:rsid w:val="001613E2"/>
    <w:rsid w:val="001613E8"/>
    <w:rsid w:val="001613F1"/>
    <w:rsid w:val="001613F4"/>
    <w:rsid w:val="001613FD"/>
    <w:rsid w:val="00161451"/>
    <w:rsid w:val="00161504"/>
    <w:rsid w:val="00161505"/>
    <w:rsid w:val="00161506"/>
    <w:rsid w:val="00161509"/>
    <w:rsid w:val="00161569"/>
    <w:rsid w:val="0016159E"/>
    <w:rsid w:val="001615C0"/>
    <w:rsid w:val="001615F8"/>
    <w:rsid w:val="00161614"/>
    <w:rsid w:val="0016165D"/>
    <w:rsid w:val="00161670"/>
    <w:rsid w:val="0016167F"/>
    <w:rsid w:val="00161681"/>
    <w:rsid w:val="001616FA"/>
    <w:rsid w:val="00161796"/>
    <w:rsid w:val="001617A5"/>
    <w:rsid w:val="001617B5"/>
    <w:rsid w:val="00161825"/>
    <w:rsid w:val="001618C1"/>
    <w:rsid w:val="001618D3"/>
    <w:rsid w:val="001618EA"/>
    <w:rsid w:val="001618FA"/>
    <w:rsid w:val="00161958"/>
    <w:rsid w:val="00161972"/>
    <w:rsid w:val="001619B6"/>
    <w:rsid w:val="001619B8"/>
    <w:rsid w:val="001619C4"/>
    <w:rsid w:val="001619C9"/>
    <w:rsid w:val="001619D2"/>
    <w:rsid w:val="001619F2"/>
    <w:rsid w:val="00161A6C"/>
    <w:rsid w:val="00161B13"/>
    <w:rsid w:val="00161B17"/>
    <w:rsid w:val="00161B2B"/>
    <w:rsid w:val="00161BAF"/>
    <w:rsid w:val="00161BC0"/>
    <w:rsid w:val="00161C01"/>
    <w:rsid w:val="00161C21"/>
    <w:rsid w:val="00161C22"/>
    <w:rsid w:val="00161C23"/>
    <w:rsid w:val="00161C3C"/>
    <w:rsid w:val="00161CB1"/>
    <w:rsid w:val="00161CCC"/>
    <w:rsid w:val="00161D07"/>
    <w:rsid w:val="00161D2D"/>
    <w:rsid w:val="00161E2F"/>
    <w:rsid w:val="00161E36"/>
    <w:rsid w:val="00161ECA"/>
    <w:rsid w:val="00161ED5"/>
    <w:rsid w:val="00161EE9"/>
    <w:rsid w:val="00161F2B"/>
    <w:rsid w:val="00161F2C"/>
    <w:rsid w:val="00162014"/>
    <w:rsid w:val="00162022"/>
    <w:rsid w:val="001620B5"/>
    <w:rsid w:val="001620F4"/>
    <w:rsid w:val="0016212E"/>
    <w:rsid w:val="00162133"/>
    <w:rsid w:val="00162165"/>
    <w:rsid w:val="00162187"/>
    <w:rsid w:val="001621E4"/>
    <w:rsid w:val="00162242"/>
    <w:rsid w:val="00162244"/>
    <w:rsid w:val="0016225B"/>
    <w:rsid w:val="0016225D"/>
    <w:rsid w:val="001622D7"/>
    <w:rsid w:val="00162303"/>
    <w:rsid w:val="00162374"/>
    <w:rsid w:val="00162380"/>
    <w:rsid w:val="0016239A"/>
    <w:rsid w:val="001623D3"/>
    <w:rsid w:val="001623EA"/>
    <w:rsid w:val="00162424"/>
    <w:rsid w:val="00162431"/>
    <w:rsid w:val="00162462"/>
    <w:rsid w:val="00162479"/>
    <w:rsid w:val="00162486"/>
    <w:rsid w:val="001624B3"/>
    <w:rsid w:val="001624F0"/>
    <w:rsid w:val="001624FC"/>
    <w:rsid w:val="0016253C"/>
    <w:rsid w:val="00162556"/>
    <w:rsid w:val="00162562"/>
    <w:rsid w:val="00162601"/>
    <w:rsid w:val="00162613"/>
    <w:rsid w:val="0016263C"/>
    <w:rsid w:val="0016263E"/>
    <w:rsid w:val="0016266C"/>
    <w:rsid w:val="001626B9"/>
    <w:rsid w:val="001626D5"/>
    <w:rsid w:val="001626D7"/>
    <w:rsid w:val="00162701"/>
    <w:rsid w:val="0016273E"/>
    <w:rsid w:val="00162754"/>
    <w:rsid w:val="0016275D"/>
    <w:rsid w:val="00162760"/>
    <w:rsid w:val="00162768"/>
    <w:rsid w:val="0016276C"/>
    <w:rsid w:val="00162780"/>
    <w:rsid w:val="001627AF"/>
    <w:rsid w:val="001627E9"/>
    <w:rsid w:val="00162842"/>
    <w:rsid w:val="001628A1"/>
    <w:rsid w:val="001628A3"/>
    <w:rsid w:val="001628BD"/>
    <w:rsid w:val="001628CB"/>
    <w:rsid w:val="001628D4"/>
    <w:rsid w:val="001628D5"/>
    <w:rsid w:val="00162925"/>
    <w:rsid w:val="00162992"/>
    <w:rsid w:val="00162993"/>
    <w:rsid w:val="0016299C"/>
    <w:rsid w:val="001629B8"/>
    <w:rsid w:val="001629DB"/>
    <w:rsid w:val="00162A1A"/>
    <w:rsid w:val="00162A1B"/>
    <w:rsid w:val="00162A34"/>
    <w:rsid w:val="00162A64"/>
    <w:rsid w:val="00162AEB"/>
    <w:rsid w:val="00162B8C"/>
    <w:rsid w:val="00162C15"/>
    <w:rsid w:val="00162C18"/>
    <w:rsid w:val="00162C21"/>
    <w:rsid w:val="00162C22"/>
    <w:rsid w:val="00162C33"/>
    <w:rsid w:val="00162C5C"/>
    <w:rsid w:val="00162C8B"/>
    <w:rsid w:val="00162CD6"/>
    <w:rsid w:val="00162D1D"/>
    <w:rsid w:val="00162D2A"/>
    <w:rsid w:val="00162D35"/>
    <w:rsid w:val="00162D6F"/>
    <w:rsid w:val="00162DF6"/>
    <w:rsid w:val="00162E1A"/>
    <w:rsid w:val="00162E3C"/>
    <w:rsid w:val="00162E55"/>
    <w:rsid w:val="00162E59"/>
    <w:rsid w:val="00162E75"/>
    <w:rsid w:val="00162EAA"/>
    <w:rsid w:val="00162EB9"/>
    <w:rsid w:val="00162ECC"/>
    <w:rsid w:val="00162EF7"/>
    <w:rsid w:val="00162F64"/>
    <w:rsid w:val="00162F75"/>
    <w:rsid w:val="00162FC4"/>
    <w:rsid w:val="00162FD3"/>
    <w:rsid w:val="00162FE7"/>
    <w:rsid w:val="00162FE9"/>
    <w:rsid w:val="0016302D"/>
    <w:rsid w:val="00163043"/>
    <w:rsid w:val="0016307F"/>
    <w:rsid w:val="001630BD"/>
    <w:rsid w:val="001630E1"/>
    <w:rsid w:val="00163128"/>
    <w:rsid w:val="00163137"/>
    <w:rsid w:val="00163147"/>
    <w:rsid w:val="00163149"/>
    <w:rsid w:val="00163158"/>
    <w:rsid w:val="00163194"/>
    <w:rsid w:val="001631CC"/>
    <w:rsid w:val="001631FE"/>
    <w:rsid w:val="0016326A"/>
    <w:rsid w:val="001632B1"/>
    <w:rsid w:val="001632B6"/>
    <w:rsid w:val="001632D0"/>
    <w:rsid w:val="00163370"/>
    <w:rsid w:val="001633AF"/>
    <w:rsid w:val="001633EC"/>
    <w:rsid w:val="0016342D"/>
    <w:rsid w:val="00163454"/>
    <w:rsid w:val="0016345D"/>
    <w:rsid w:val="0016345F"/>
    <w:rsid w:val="00163460"/>
    <w:rsid w:val="00163467"/>
    <w:rsid w:val="001634A5"/>
    <w:rsid w:val="001634B0"/>
    <w:rsid w:val="001634DD"/>
    <w:rsid w:val="001634EB"/>
    <w:rsid w:val="001634F6"/>
    <w:rsid w:val="00163554"/>
    <w:rsid w:val="00163566"/>
    <w:rsid w:val="0016359E"/>
    <w:rsid w:val="001635A1"/>
    <w:rsid w:val="001635B0"/>
    <w:rsid w:val="001635C2"/>
    <w:rsid w:val="00163607"/>
    <w:rsid w:val="00163643"/>
    <w:rsid w:val="00163650"/>
    <w:rsid w:val="0016366C"/>
    <w:rsid w:val="0016366D"/>
    <w:rsid w:val="0016368E"/>
    <w:rsid w:val="00163705"/>
    <w:rsid w:val="00163709"/>
    <w:rsid w:val="00163749"/>
    <w:rsid w:val="001637AC"/>
    <w:rsid w:val="001637D8"/>
    <w:rsid w:val="001637E6"/>
    <w:rsid w:val="00163814"/>
    <w:rsid w:val="0016383C"/>
    <w:rsid w:val="00163860"/>
    <w:rsid w:val="00163869"/>
    <w:rsid w:val="0016389E"/>
    <w:rsid w:val="001638F9"/>
    <w:rsid w:val="00163919"/>
    <w:rsid w:val="00163921"/>
    <w:rsid w:val="0016394D"/>
    <w:rsid w:val="0016398D"/>
    <w:rsid w:val="001639A9"/>
    <w:rsid w:val="001639AB"/>
    <w:rsid w:val="001639F9"/>
    <w:rsid w:val="00163A06"/>
    <w:rsid w:val="00163A44"/>
    <w:rsid w:val="00163A56"/>
    <w:rsid w:val="00163A6B"/>
    <w:rsid w:val="00163A75"/>
    <w:rsid w:val="00163AA4"/>
    <w:rsid w:val="00163AFD"/>
    <w:rsid w:val="00163B0E"/>
    <w:rsid w:val="00163B1B"/>
    <w:rsid w:val="00163B30"/>
    <w:rsid w:val="00163BBF"/>
    <w:rsid w:val="00163BF7"/>
    <w:rsid w:val="00163C40"/>
    <w:rsid w:val="00163C43"/>
    <w:rsid w:val="00163C62"/>
    <w:rsid w:val="00163C75"/>
    <w:rsid w:val="00163CED"/>
    <w:rsid w:val="00163CFF"/>
    <w:rsid w:val="00163D4F"/>
    <w:rsid w:val="00163D67"/>
    <w:rsid w:val="00163DDC"/>
    <w:rsid w:val="00163E01"/>
    <w:rsid w:val="00163E0E"/>
    <w:rsid w:val="00163E10"/>
    <w:rsid w:val="00163E81"/>
    <w:rsid w:val="00163E94"/>
    <w:rsid w:val="00163EF6"/>
    <w:rsid w:val="00163EFE"/>
    <w:rsid w:val="00163F0C"/>
    <w:rsid w:val="00163F19"/>
    <w:rsid w:val="00163F3E"/>
    <w:rsid w:val="00163F53"/>
    <w:rsid w:val="00163F89"/>
    <w:rsid w:val="00163F95"/>
    <w:rsid w:val="00163FFA"/>
    <w:rsid w:val="00164043"/>
    <w:rsid w:val="00164091"/>
    <w:rsid w:val="001640F8"/>
    <w:rsid w:val="00164145"/>
    <w:rsid w:val="00164191"/>
    <w:rsid w:val="0016419B"/>
    <w:rsid w:val="001641D6"/>
    <w:rsid w:val="001641E4"/>
    <w:rsid w:val="001641ED"/>
    <w:rsid w:val="0016424A"/>
    <w:rsid w:val="0016425F"/>
    <w:rsid w:val="00164275"/>
    <w:rsid w:val="001642A6"/>
    <w:rsid w:val="001642C8"/>
    <w:rsid w:val="001642F4"/>
    <w:rsid w:val="001642F9"/>
    <w:rsid w:val="00164309"/>
    <w:rsid w:val="0016435C"/>
    <w:rsid w:val="00164372"/>
    <w:rsid w:val="00164379"/>
    <w:rsid w:val="001643D4"/>
    <w:rsid w:val="00164436"/>
    <w:rsid w:val="0016445F"/>
    <w:rsid w:val="001644C3"/>
    <w:rsid w:val="001644FD"/>
    <w:rsid w:val="00164500"/>
    <w:rsid w:val="00164519"/>
    <w:rsid w:val="00164553"/>
    <w:rsid w:val="001645D1"/>
    <w:rsid w:val="00164607"/>
    <w:rsid w:val="0016460B"/>
    <w:rsid w:val="00164621"/>
    <w:rsid w:val="00164636"/>
    <w:rsid w:val="00164664"/>
    <w:rsid w:val="00164680"/>
    <w:rsid w:val="001646A8"/>
    <w:rsid w:val="00164704"/>
    <w:rsid w:val="00164775"/>
    <w:rsid w:val="00164835"/>
    <w:rsid w:val="0016483D"/>
    <w:rsid w:val="00164881"/>
    <w:rsid w:val="001648E2"/>
    <w:rsid w:val="0016492E"/>
    <w:rsid w:val="00164966"/>
    <w:rsid w:val="001649AE"/>
    <w:rsid w:val="001649B9"/>
    <w:rsid w:val="001649D5"/>
    <w:rsid w:val="001649FC"/>
    <w:rsid w:val="00164A27"/>
    <w:rsid w:val="00164A72"/>
    <w:rsid w:val="00164AA7"/>
    <w:rsid w:val="00164AC1"/>
    <w:rsid w:val="00164AC8"/>
    <w:rsid w:val="00164B03"/>
    <w:rsid w:val="00164B10"/>
    <w:rsid w:val="00164BAC"/>
    <w:rsid w:val="00164BE7"/>
    <w:rsid w:val="00164C01"/>
    <w:rsid w:val="00164C7C"/>
    <w:rsid w:val="00164C8F"/>
    <w:rsid w:val="00164CA0"/>
    <w:rsid w:val="00164CB2"/>
    <w:rsid w:val="00164CFC"/>
    <w:rsid w:val="00164DF0"/>
    <w:rsid w:val="00164E04"/>
    <w:rsid w:val="00164E11"/>
    <w:rsid w:val="00164E24"/>
    <w:rsid w:val="00164E36"/>
    <w:rsid w:val="00164E44"/>
    <w:rsid w:val="00164E48"/>
    <w:rsid w:val="00164E49"/>
    <w:rsid w:val="00164E64"/>
    <w:rsid w:val="00164EB2"/>
    <w:rsid w:val="00164EE1"/>
    <w:rsid w:val="00164EFC"/>
    <w:rsid w:val="00164EFD"/>
    <w:rsid w:val="00164F2E"/>
    <w:rsid w:val="00164F32"/>
    <w:rsid w:val="00165018"/>
    <w:rsid w:val="0016502D"/>
    <w:rsid w:val="00165058"/>
    <w:rsid w:val="0016505E"/>
    <w:rsid w:val="001650C3"/>
    <w:rsid w:val="001650ED"/>
    <w:rsid w:val="0016513D"/>
    <w:rsid w:val="001651A2"/>
    <w:rsid w:val="001651B2"/>
    <w:rsid w:val="001651D5"/>
    <w:rsid w:val="001651ED"/>
    <w:rsid w:val="00165203"/>
    <w:rsid w:val="0016525A"/>
    <w:rsid w:val="001652B2"/>
    <w:rsid w:val="0016530A"/>
    <w:rsid w:val="001653A2"/>
    <w:rsid w:val="001653CE"/>
    <w:rsid w:val="001653D6"/>
    <w:rsid w:val="001653FA"/>
    <w:rsid w:val="0016540F"/>
    <w:rsid w:val="00165415"/>
    <w:rsid w:val="00165421"/>
    <w:rsid w:val="0016544E"/>
    <w:rsid w:val="00165457"/>
    <w:rsid w:val="0016545D"/>
    <w:rsid w:val="0016546C"/>
    <w:rsid w:val="001654CF"/>
    <w:rsid w:val="001654E4"/>
    <w:rsid w:val="0016550A"/>
    <w:rsid w:val="00165548"/>
    <w:rsid w:val="00165561"/>
    <w:rsid w:val="00165571"/>
    <w:rsid w:val="0016557E"/>
    <w:rsid w:val="00165583"/>
    <w:rsid w:val="0016558B"/>
    <w:rsid w:val="001655C2"/>
    <w:rsid w:val="001655EF"/>
    <w:rsid w:val="001655FF"/>
    <w:rsid w:val="00165620"/>
    <w:rsid w:val="00165646"/>
    <w:rsid w:val="00165650"/>
    <w:rsid w:val="001656E0"/>
    <w:rsid w:val="0016571D"/>
    <w:rsid w:val="00165756"/>
    <w:rsid w:val="00165786"/>
    <w:rsid w:val="00165788"/>
    <w:rsid w:val="00165797"/>
    <w:rsid w:val="0016579C"/>
    <w:rsid w:val="001657BB"/>
    <w:rsid w:val="001657E1"/>
    <w:rsid w:val="001657FC"/>
    <w:rsid w:val="0016587A"/>
    <w:rsid w:val="00165881"/>
    <w:rsid w:val="001658A4"/>
    <w:rsid w:val="001658A5"/>
    <w:rsid w:val="001658BE"/>
    <w:rsid w:val="001658EC"/>
    <w:rsid w:val="001658F5"/>
    <w:rsid w:val="00165906"/>
    <w:rsid w:val="00165914"/>
    <w:rsid w:val="00165931"/>
    <w:rsid w:val="00165949"/>
    <w:rsid w:val="0016595B"/>
    <w:rsid w:val="00165962"/>
    <w:rsid w:val="0016596D"/>
    <w:rsid w:val="001659B5"/>
    <w:rsid w:val="001659F3"/>
    <w:rsid w:val="00165A17"/>
    <w:rsid w:val="00165A65"/>
    <w:rsid w:val="00165A7E"/>
    <w:rsid w:val="00165ADA"/>
    <w:rsid w:val="00165B08"/>
    <w:rsid w:val="00165B38"/>
    <w:rsid w:val="00165B3F"/>
    <w:rsid w:val="00165BCA"/>
    <w:rsid w:val="00165BD8"/>
    <w:rsid w:val="00165BF5"/>
    <w:rsid w:val="00165BFF"/>
    <w:rsid w:val="00165C01"/>
    <w:rsid w:val="00165C09"/>
    <w:rsid w:val="00165C66"/>
    <w:rsid w:val="00165C70"/>
    <w:rsid w:val="00165C7E"/>
    <w:rsid w:val="00165CB3"/>
    <w:rsid w:val="00165D53"/>
    <w:rsid w:val="00165D56"/>
    <w:rsid w:val="00165D76"/>
    <w:rsid w:val="00165DDB"/>
    <w:rsid w:val="00165E2C"/>
    <w:rsid w:val="00165E55"/>
    <w:rsid w:val="00165EE5"/>
    <w:rsid w:val="00165EFF"/>
    <w:rsid w:val="00165F3A"/>
    <w:rsid w:val="00165FA7"/>
    <w:rsid w:val="00165FC1"/>
    <w:rsid w:val="00165FDB"/>
    <w:rsid w:val="00165FF1"/>
    <w:rsid w:val="0016605E"/>
    <w:rsid w:val="00166062"/>
    <w:rsid w:val="001660CA"/>
    <w:rsid w:val="001660DC"/>
    <w:rsid w:val="0016610E"/>
    <w:rsid w:val="0016615D"/>
    <w:rsid w:val="00166181"/>
    <w:rsid w:val="001661C1"/>
    <w:rsid w:val="001661D4"/>
    <w:rsid w:val="00166221"/>
    <w:rsid w:val="00166233"/>
    <w:rsid w:val="0016624F"/>
    <w:rsid w:val="00166265"/>
    <w:rsid w:val="001662FB"/>
    <w:rsid w:val="00166314"/>
    <w:rsid w:val="0016633C"/>
    <w:rsid w:val="00166340"/>
    <w:rsid w:val="00166342"/>
    <w:rsid w:val="001663A1"/>
    <w:rsid w:val="0016643F"/>
    <w:rsid w:val="0016644F"/>
    <w:rsid w:val="00166480"/>
    <w:rsid w:val="001664B6"/>
    <w:rsid w:val="001664D4"/>
    <w:rsid w:val="001664DC"/>
    <w:rsid w:val="001664E3"/>
    <w:rsid w:val="001664FC"/>
    <w:rsid w:val="0016650A"/>
    <w:rsid w:val="0016651C"/>
    <w:rsid w:val="00166524"/>
    <w:rsid w:val="00166546"/>
    <w:rsid w:val="0016655B"/>
    <w:rsid w:val="00166597"/>
    <w:rsid w:val="001665CB"/>
    <w:rsid w:val="001665E2"/>
    <w:rsid w:val="001665ED"/>
    <w:rsid w:val="001666E1"/>
    <w:rsid w:val="0016674D"/>
    <w:rsid w:val="00166765"/>
    <w:rsid w:val="00166768"/>
    <w:rsid w:val="00166782"/>
    <w:rsid w:val="001667A8"/>
    <w:rsid w:val="001667B8"/>
    <w:rsid w:val="001667C4"/>
    <w:rsid w:val="001667C6"/>
    <w:rsid w:val="001667CE"/>
    <w:rsid w:val="00166840"/>
    <w:rsid w:val="0016684E"/>
    <w:rsid w:val="0016689E"/>
    <w:rsid w:val="001668BE"/>
    <w:rsid w:val="0016694D"/>
    <w:rsid w:val="00166959"/>
    <w:rsid w:val="00166977"/>
    <w:rsid w:val="001669EF"/>
    <w:rsid w:val="001669FB"/>
    <w:rsid w:val="00166A74"/>
    <w:rsid w:val="00166A82"/>
    <w:rsid w:val="00166AAA"/>
    <w:rsid w:val="00166ACC"/>
    <w:rsid w:val="00166AD5"/>
    <w:rsid w:val="00166ADC"/>
    <w:rsid w:val="00166B1D"/>
    <w:rsid w:val="00166B36"/>
    <w:rsid w:val="00166B45"/>
    <w:rsid w:val="00166C15"/>
    <w:rsid w:val="00166C8D"/>
    <w:rsid w:val="00166CC2"/>
    <w:rsid w:val="00166D2F"/>
    <w:rsid w:val="00166D3B"/>
    <w:rsid w:val="00166D3D"/>
    <w:rsid w:val="00166D3E"/>
    <w:rsid w:val="00166D60"/>
    <w:rsid w:val="00166D91"/>
    <w:rsid w:val="00166DCB"/>
    <w:rsid w:val="00166DE3"/>
    <w:rsid w:val="00166DFD"/>
    <w:rsid w:val="00166E08"/>
    <w:rsid w:val="00166E19"/>
    <w:rsid w:val="00166E2B"/>
    <w:rsid w:val="00166E35"/>
    <w:rsid w:val="00166E44"/>
    <w:rsid w:val="00166EFD"/>
    <w:rsid w:val="00166F14"/>
    <w:rsid w:val="00166F57"/>
    <w:rsid w:val="00166F68"/>
    <w:rsid w:val="00166F70"/>
    <w:rsid w:val="00166F7E"/>
    <w:rsid w:val="00166FB2"/>
    <w:rsid w:val="00166FD9"/>
    <w:rsid w:val="001670D3"/>
    <w:rsid w:val="001670F1"/>
    <w:rsid w:val="00167101"/>
    <w:rsid w:val="00167182"/>
    <w:rsid w:val="001671B7"/>
    <w:rsid w:val="001671FA"/>
    <w:rsid w:val="001671FF"/>
    <w:rsid w:val="00167209"/>
    <w:rsid w:val="00167214"/>
    <w:rsid w:val="00167258"/>
    <w:rsid w:val="00167288"/>
    <w:rsid w:val="001672A3"/>
    <w:rsid w:val="00167353"/>
    <w:rsid w:val="0016735E"/>
    <w:rsid w:val="001673B0"/>
    <w:rsid w:val="001674EE"/>
    <w:rsid w:val="00167530"/>
    <w:rsid w:val="00167579"/>
    <w:rsid w:val="00167584"/>
    <w:rsid w:val="001675A7"/>
    <w:rsid w:val="0016764A"/>
    <w:rsid w:val="001676ED"/>
    <w:rsid w:val="0016775E"/>
    <w:rsid w:val="00167798"/>
    <w:rsid w:val="001677E1"/>
    <w:rsid w:val="001677EB"/>
    <w:rsid w:val="0016783D"/>
    <w:rsid w:val="00167840"/>
    <w:rsid w:val="0016784A"/>
    <w:rsid w:val="0016784F"/>
    <w:rsid w:val="001678CC"/>
    <w:rsid w:val="001678FC"/>
    <w:rsid w:val="00167928"/>
    <w:rsid w:val="0016793A"/>
    <w:rsid w:val="00167959"/>
    <w:rsid w:val="0016796D"/>
    <w:rsid w:val="0016798B"/>
    <w:rsid w:val="001679CA"/>
    <w:rsid w:val="001679E2"/>
    <w:rsid w:val="00167A0D"/>
    <w:rsid w:val="00167A15"/>
    <w:rsid w:val="00167A2A"/>
    <w:rsid w:val="00167A2B"/>
    <w:rsid w:val="00167A34"/>
    <w:rsid w:val="00167AB2"/>
    <w:rsid w:val="00167AE4"/>
    <w:rsid w:val="00167AF0"/>
    <w:rsid w:val="00167B19"/>
    <w:rsid w:val="00167B33"/>
    <w:rsid w:val="00167B4D"/>
    <w:rsid w:val="00167BA1"/>
    <w:rsid w:val="00167BC3"/>
    <w:rsid w:val="00167C02"/>
    <w:rsid w:val="00167C0C"/>
    <w:rsid w:val="00167C38"/>
    <w:rsid w:val="00167C39"/>
    <w:rsid w:val="00167C49"/>
    <w:rsid w:val="00167C4D"/>
    <w:rsid w:val="00167C66"/>
    <w:rsid w:val="00167CB3"/>
    <w:rsid w:val="00167CCE"/>
    <w:rsid w:val="00167CFC"/>
    <w:rsid w:val="00167D40"/>
    <w:rsid w:val="00167D4A"/>
    <w:rsid w:val="00167D75"/>
    <w:rsid w:val="00167D90"/>
    <w:rsid w:val="00167DC8"/>
    <w:rsid w:val="00167DF9"/>
    <w:rsid w:val="00167E08"/>
    <w:rsid w:val="00167E2A"/>
    <w:rsid w:val="00167E8F"/>
    <w:rsid w:val="00167EB9"/>
    <w:rsid w:val="00167EFB"/>
    <w:rsid w:val="00167F17"/>
    <w:rsid w:val="00167F29"/>
    <w:rsid w:val="00167F34"/>
    <w:rsid w:val="0017004A"/>
    <w:rsid w:val="0017009E"/>
    <w:rsid w:val="001700B6"/>
    <w:rsid w:val="00170104"/>
    <w:rsid w:val="001701BF"/>
    <w:rsid w:val="001701CB"/>
    <w:rsid w:val="001701F6"/>
    <w:rsid w:val="00170232"/>
    <w:rsid w:val="00170233"/>
    <w:rsid w:val="00170239"/>
    <w:rsid w:val="0017024D"/>
    <w:rsid w:val="0017028C"/>
    <w:rsid w:val="0017029E"/>
    <w:rsid w:val="001702D3"/>
    <w:rsid w:val="001702F9"/>
    <w:rsid w:val="00170349"/>
    <w:rsid w:val="00170399"/>
    <w:rsid w:val="001703B7"/>
    <w:rsid w:val="001703C2"/>
    <w:rsid w:val="001703C3"/>
    <w:rsid w:val="001703DF"/>
    <w:rsid w:val="001703EF"/>
    <w:rsid w:val="0017041F"/>
    <w:rsid w:val="00170450"/>
    <w:rsid w:val="0017045A"/>
    <w:rsid w:val="00170496"/>
    <w:rsid w:val="00170504"/>
    <w:rsid w:val="00170588"/>
    <w:rsid w:val="00170589"/>
    <w:rsid w:val="001705B0"/>
    <w:rsid w:val="001705B7"/>
    <w:rsid w:val="001705C5"/>
    <w:rsid w:val="0017060D"/>
    <w:rsid w:val="00170634"/>
    <w:rsid w:val="00170660"/>
    <w:rsid w:val="00170662"/>
    <w:rsid w:val="0017066C"/>
    <w:rsid w:val="00170673"/>
    <w:rsid w:val="001706BE"/>
    <w:rsid w:val="001706D3"/>
    <w:rsid w:val="00170731"/>
    <w:rsid w:val="00170779"/>
    <w:rsid w:val="00170823"/>
    <w:rsid w:val="00170851"/>
    <w:rsid w:val="00170859"/>
    <w:rsid w:val="0017088C"/>
    <w:rsid w:val="00170898"/>
    <w:rsid w:val="00170910"/>
    <w:rsid w:val="0017097F"/>
    <w:rsid w:val="001709FC"/>
    <w:rsid w:val="00170A48"/>
    <w:rsid w:val="00170A6B"/>
    <w:rsid w:val="00170AA6"/>
    <w:rsid w:val="00170AC7"/>
    <w:rsid w:val="00170B2F"/>
    <w:rsid w:val="00170B5E"/>
    <w:rsid w:val="00170B68"/>
    <w:rsid w:val="00170B98"/>
    <w:rsid w:val="00170BAC"/>
    <w:rsid w:val="00170BBA"/>
    <w:rsid w:val="00170BCA"/>
    <w:rsid w:val="00170BE3"/>
    <w:rsid w:val="00170BFB"/>
    <w:rsid w:val="00170C03"/>
    <w:rsid w:val="00170C18"/>
    <w:rsid w:val="00170C30"/>
    <w:rsid w:val="00170C42"/>
    <w:rsid w:val="00170C57"/>
    <w:rsid w:val="00170C6F"/>
    <w:rsid w:val="00170CA5"/>
    <w:rsid w:val="00170CCF"/>
    <w:rsid w:val="00170CD6"/>
    <w:rsid w:val="00170D27"/>
    <w:rsid w:val="00170D2E"/>
    <w:rsid w:val="00170D3A"/>
    <w:rsid w:val="00170D46"/>
    <w:rsid w:val="00170DC2"/>
    <w:rsid w:val="00170E02"/>
    <w:rsid w:val="00170E92"/>
    <w:rsid w:val="00170F19"/>
    <w:rsid w:val="00170F5C"/>
    <w:rsid w:val="00170F67"/>
    <w:rsid w:val="00170FC2"/>
    <w:rsid w:val="00170FC5"/>
    <w:rsid w:val="00170FC7"/>
    <w:rsid w:val="00170FCD"/>
    <w:rsid w:val="00170FDD"/>
    <w:rsid w:val="00170FE5"/>
    <w:rsid w:val="00171002"/>
    <w:rsid w:val="00171011"/>
    <w:rsid w:val="00171037"/>
    <w:rsid w:val="00171068"/>
    <w:rsid w:val="00171074"/>
    <w:rsid w:val="0017108D"/>
    <w:rsid w:val="001710E8"/>
    <w:rsid w:val="001710FF"/>
    <w:rsid w:val="0017111B"/>
    <w:rsid w:val="00171125"/>
    <w:rsid w:val="00171129"/>
    <w:rsid w:val="0017113A"/>
    <w:rsid w:val="00171173"/>
    <w:rsid w:val="00171187"/>
    <w:rsid w:val="0017119C"/>
    <w:rsid w:val="001711A0"/>
    <w:rsid w:val="00171218"/>
    <w:rsid w:val="0017123B"/>
    <w:rsid w:val="0017124F"/>
    <w:rsid w:val="0017125E"/>
    <w:rsid w:val="00171295"/>
    <w:rsid w:val="001712DC"/>
    <w:rsid w:val="00171304"/>
    <w:rsid w:val="00171320"/>
    <w:rsid w:val="00171372"/>
    <w:rsid w:val="0017137B"/>
    <w:rsid w:val="0017138F"/>
    <w:rsid w:val="001713A3"/>
    <w:rsid w:val="001713DE"/>
    <w:rsid w:val="001713F0"/>
    <w:rsid w:val="00171410"/>
    <w:rsid w:val="00171465"/>
    <w:rsid w:val="0017146F"/>
    <w:rsid w:val="0017147B"/>
    <w:rsid w:val="0017149B"/>
    <w:rsid w:val="001714AF"/>
    <w:rsid w:val="001714F7"/>
    <w:rsid w:val="0017153A"/>
    <w:rsid w:val="001715E8"/>
    <w:rsid w:val="00171687"/>
    <w:rsid w:val="0017168C"/>
    <w:rsid w:val="0017169A"/>
    <w:rsid w:val="001716AE"/>
    <w:rsid w:val="00171727"/>
    <w:rsid w:val="00171775"/>
    <w:rsid w:val="0017177B"/>
    <w:rsid w:val="0017178A"/>
    <w:rsid w:val="001717CE"/>
    <w:rsid w:val="00171802"/>
    <w:rsid w:val="00171807"/>
    <w:rsid w:val="00171818"/>
    <w:rsid w:val="0017183D"/>
    <w:rsid w:val="0017184D"/>
    <w:rsid w:val="00171890"/>
    <w:rsid w:val="00171891"/>
    <w:rsid w:val="00171895"/>
    <w:rsid w:val="001718F4"/>
    <w:rsid w:val="001718F9"/>
    <w:rsid w:val="00171905"/>
    <w:rsid w:val="00171997"/>
    <w:rsid w:val="001719C3"/>
    <w:rsid w:val="001719E3"/>
    <w:rsid w:val="001719EF"/>
    <w:rsid w:val="00171A20"/>
    <w:rsid w:val="00171AB5"/>
    <w:rsid w:val="00171AD8"/>
    <w:rsid w:val="00171B06"/>
    <w:rsid w:val="00171B0A"/>
    <w:rsid w:val="00171B2C"/>
    <w:rsid w:val="00171B2D"/>
    <w:rsid w:val="00171B58"/>
    <w:rsid w:val="00171B6A"/>
    <w:rsid w:val="00171B76"/>
    <w:rsid w:val="00171B7B"/>
    <w:rsid w:val="00171BE1"/>
    <w:rsid w:val="00171C1E"/>
    <w:rsid w:val="00171C3F"/>
    <w:rsid w:val="00171C4A"/>
    <w:rsid w:val="00171C6B"/>
    <w:rsid w:val="00171D03"/>
    <w:rsid w:val="00171D1B"/>
    <w:rsid w:val="00171D33"/>
    <w:rsid w:val="00171D4D"/>
    <w:rsid w:val="00171D64"/>
    <w:rsid w:val="00171D92"/>
    <w:rsid w:val="00171DD5"/>
    <w:rsid w:val="00171DDA"/>
    <w:rsid w:val="00171E3C"/>
    <w:rsid w:val="00171E4B"/>
    <w:rsid w:val="00171E57"/>
    <w:rsid w:val="00171E89"/>
    <w:rsid w:val="00171ED1"/>
    <w:rsid w:val="00171F43"/>
    <w:rsid w:val="00171F8B"/>
    <w:rsid w:val="00171F94"/>
    <w:rsid w:val="00171F99"/>
    <w:rsid w:val="00171FC4"/>
    <w:rsid w:val="00171FEA"/>
    <w:rsid w:val="00171FFD"/>
    <w:rsid w:val="0017203D"/>
    <w:rsid w:val="00172079"/>
    <w:rsid w:val="001720A8"/>
    <w:rsid w:val="001720E2"/>
    <w:rsid w:val="001720EB"/>
    <w:rsid w:val="00172121"/>
    <w:rsid w:val="00172132"/>
    <w:rsid w:val="0017214C"/>
    <w:rsid w:val="00172173"/>
    <w:rsid w:val="001721BF"/>
    <w:rsid w:val="001721D6"/>
    <w:rsid w:val="00172241"/>
    <w:rsid w:val="0017228E"/>
    <w:rsid w:val="001722AB"/>
    <w:rsid w:val="001722B1"/>
    <w:rsid w:val="001722FF"/>
    <w:rsid w:val="00172301"/>
    <w:rsid w:val="0017234F"/>
    <w:rsid w:val="00172373"/>
    <w:rsid w:val="0017237E"/>
    <w:rsid w:val="0017239D"/>
    <w:rsid w:val="001723F0"/>
    <w:rsid w:val="001723F5"/>
    <w:rsid w:val="0017241F"/>
    <w:rsid w:val="00172420"/>
    <w:rsid w:val="00172430"/>
    <w:rsid w:val="0017244D"/>
    <w:rsid w:val="0017244E"/>
    <w:rsid w:val="001724C4"/>
    <w:rsid w:val="001724D5"/>
    <w:rsid w:val="001724FC"/>
    <w:rsid w:val="00172505"/>
    <w:rsid w:val="00172510"/>
    <w:rsid w:val="001725CE"/>
    <w:rsid w:val="001725EE"/>
    <w:rsid w:val="0017262F"/>
    <w:rsid w:val="00172647"/>
    <w:rsid w:val="00172649"/>
    <w:rsid w:val="00172660"/>
    <w:rsid w:val="001726A2"/>
    <w:rsid w:val="001726A7"/>
    <w:rsid w:val="001726BB"/>
    <w:rsid w:val="001726EA"/>
    <w:rsid w:val="00172710"/>
    <w:rsid w:val="0017271A"/>
    <w:rsid w:val="00172746"/>
    <w:rsid w:val="0017274C"/>
    <w:rsid w:val="00172790"/>
    <w:rsid w:val="00172797"/>
    <w:rsid w:val="001727EE"/>
    <w:rsid w:val="00172847"/>
    <w:rsid w:val="00172861"/>
    <w:rsid w:val="001728CC"/>
    <w:rsid w:val="001728DA"/>
    <w:rsid w:val="00172917"/>
    <w:rsid w:val="0017293A"/>
    <w:rsid w:val="00172963"/>
    <w:rsid w:val="00172983"/>
    <w:rsid w:val="00172999"/>
    <w:rsid w:val="001729A5"/>
    <w:rsid w:val="001729C0"/>
    <w:rsid w:val="001729CB"/>
    <w:rsid w:val="001729E4"/>
    <w:rsid w:val="00172A0F"/>
    <w:rsid w:val="00172A23"/>
    <w:rsid w:val="00172A3C"/>
    <w:rsid w:val="00172A75"/>
    <w:rsid w:val="00172ABF"/>
    <w:rsid w:val="00172AD6"/>
    <w:rsid w:val="00172AD7"/>
    <w:rsid w:val="00172B35"/>
    <w:rsid w:val="00172B68"/>
    <w:rsid w:val="00172B71"/>
    <w:rsid w:val="00172B91"/>
    <w:rsid w:val="00172CAD"/>
    <w:rsid w:val="00172CAE"/>
    <w:rsid w:val="00172CC1"/>
    <w:rsid w:val="00172CD8"/>
    <w:rsid w:val="00172D52"/>
    <w:rsid w:val="00172D92"/>
    <w:rsid w:val="00172DC2"/>
    <w:rsid w:val="00172DCD"/>
    <w:rsid w:val="00172E15"/>
    <w:rsid w:val="00172E9A"/>
    <w:rsid w:val="00172EAF"/>
    <w:rsid w:val="00172EE7"/>
    <w:rsid w:val="00172F0A"/>
    <w:rsid w:val="00172F1D"/>
    <w:rsid w:val="00172F3F"/>
    <w:rsid w:val="00172F85"/>
    <w:rsid w:val="00172FFE"/>
    <w:rsid w:val="00173006"/>
    <w:rsid w:val="00173045"/>
    <w:rsid w:val="0017304E"/>
    <w:rsid w:val="00173068"/>
    <w:rsid w:val="00173070"/>
    <w:rsid w:val="001730BE"/>
    <w:rsid w:val="001730CC"/>
    <w:rsid w:val="001730E3"/>
    <w:rsid w:val="001730EC"/>
    <w:rsid w:val="0017314E"/>
    <w:rsid w:val="00173158"/>
    <w:rsid w:val="00173182"/>
    <w:rsid w:val="001731BA"/>
    <w:rsid w:val="001731BC"/>
    <w:rsid w:val="001731CF"/>
    <w:rsid w:val="001731D3"/>
    <w:rsid w:val="001731E8"/>
    <w:rsid w:val="0017326C"/>
    <w:rsid w:val="001732CC"/>
    <w:rsid w:val="001732E7"/>
    <w:rsid w:val="001732F4"/>
    <w:rsid w:val="001732F9"/>
    <w:rsid w:val="00173311"/>
    <w:rsid w:val="0017333E"/>
    <w:rsid w:val="0017335D"/>
    <w:rsid w:val="001733B8"/>
    <w:rsid w:val="001733BA"/>
    <w:rsid w:val="001733D4"/>
    <w:rsid w:val="001733FA"/>
    <w:rsid w:val="00173419"/>
    <w:rsid w:val="0017341D"/>
    <w:rsid w:val="00173483"/>
    <w:rsid w:val="001734B1"/>
    <w:rsid w:val="001734BF"/>
    <w:rsid w:val="00173500"/>
    <w:rsid w:val="0017351A"/>
    <w:rsid w:val="001735DC"/>
    <w:rsid w:val="00173601"/>
    <w:rsid w:val="00173616"/>
    <w:rsid w:val="00173629"/>
    <w:rsid w:val="0017368F"/>
    <w:rsid w:val="001736AA"/>
    <w:rsid w:val="001736EE"/>
    <w:rsid w:val="00173716"/>
    <w:rsid w:val="00173722"/>
    <w:rsid w:val="0017373C"/>
    <w:rsid w:val="0017374B"/>
    <w:rsid w:val="00173764"/>
    <w:rsid w:val="0017376B"/>
    <w:rsid w:val="0017377E"/>
    <w:rsid w:val="001737A0"/>
    <w:rsid w:val="001737C7"/>
    <w:rsid w:val="001737DF"/>
    <w:rsid w:val="0017386E"/>
    <w:rsid w:val="00173889"/>
    <w:rsid w:val="0017392F"/>
    <w:rsid w:val="00173933"/>
    <w:rsid w:val="0017393E"/>
    <w:rsid w:val="0017395A"/>
    <w:rsid w:val="00173994"/>
    <w:rsid w:val="00173995"/>
    <w:rsid w:val="00173A67"/>
    <w:rsid w:val="00173AB0"/>
    <w:rsid w:val="00173AC3"/>
    <w:rsid w:val="00173B2D"/>
    <w:rsid w:val="00173B34"/>
    <w:rsid w:val="00173B6F"/>
    <w:rsid w:val="00173BE2"/>
    <w:rsid w:val="00173CB1"/>
    <w:rsid w:val="00173CFC"/>
    <w:rsid w:val="00173D24"/>
    <w:rsid w:val="00173D74"/>
    <w:rsid w:val="00173D95"/>
    <w:rsid w:val="00173DBA"/>
    <w:rsid w:val="00173E14"/>
    <w:rsid w:val="00173E2D"/>
    <w:rsid w:val="00173E8F"/>
    <w:rsid w:val="00173EB7"/>
    <w:rsid w:val="00173ECA"/>
    <w:rsid w:val="00173EDE"/>
    <w:rsid w:val="00173F0F"/>
    <w:rsid w:val="00173FFF"/>
    <w:rsid w:val="00174021"/>
    <w:rsid w:val="00174047"/>
    <w:rsid w:val="00174055"/>
    <w:rsid w:val="00174096"/>
    <w:rsid w:val="001740FD"/>
    <w:rsid w:val="0017410F"/>
    <w:rsid w:val="00174122"/>
    <w:rsid w:val="0017414E"/>
    <w:rsid w:val="001741F1"/>
    <w:rsid w:val="001741F9"/>
    <w:rsid w:val="00174216"/>
    <w:rsid w:val="0017424D"/>
    <w:rsid w:val="00174259"/>
    <w:rsid w:val="00174261"/>
    <w:rsid w:val="00174291"/>
    <w:rsid w:val="001742B3"/>
    <w:rsid w:val="001742BE"/>
    <w:rsid w:val="0017430A"/>
    <w:rsid w:val="00174393"/>
    <w:rsid w:val="001743A2"/>
    <w:rsid w:val="00174436"/>
    <w:rsid w:val="00174447"/>
    <w:rsid w:val="0017444A"/>
    <w:rsid w:val="0017444B"/>
    <w:rsid w:val="001744D5"/>
    <w:rsid w:val="001744E1"/>
    <w:rsid w:val="001744E9"/>
    <w:rsid w:val="00174534"/>
    <w:rsid w:val="00174569"/>
    <w:rsid w:val="001745B1"/>
    <w:rsid w:val="001745D7"/>
    <w:rsid w:val="00174672"/>
    <w:rsid w:val="00174693"/>
    <w:rsid w:val="001746A0"/>
    <w:rsid w:val="001746B8"/>
    <w:rsid w:val="001746BD"/>
    <w:rsid w:val="001746C4"/>
    <w:rsid w:val="0017471F"/>
    <w:rsid w:val="0017478F"/>
    <w:rsid w:val="001747AF"/>
    <w:rsid w:val="001747BA"/>
    <w:rsid w:val="001747F2"/>
    <w:rsid w:val="0017481A"/>
    <w:rsid w:val="00174837"/>
    <w:rsid w:val="00174838"/>
    <w:rsid w:val="0017486F"/>
    <w:rsid w:val="001748B8"/>
    <w:rsid w:val="001748D0"/>
    <w:rsid w:val="00174900"/>
    <w:rsid w:val="0017493D"/>
    <w:rsid w:val="00174951"/>
    <w:rsid w:val="00174955"/>
    <w:rsid w:val="0017496F"/>
    <w:rsid w:val="00174983"/>
    <w:rsid w:val="001749C0"/>
    <w:rsid w:val="001749C1"/>
    <w:rsid w:val="001749CD"/>
    <w:rsid w:val="00174ADE"/>
    <w:rsid w:val="00174B14"/>
    <w:rsid w:val="00174B57"/>
    <w:rsid w:val="00174B74"/>
    <w:rsid w:val="00174BD8"/>
    <w:rsid w:val="00174BFF"/>
    <w:rsid w:val="00174C2A"/>
    <w:rsid w:val="00174C3E"/>
    <w:rsid w:val="00174C47"/>
    <w:rsid w:val="00174C59"/>
    <w:rsid w:val="00174CE8"/>
    <w:rsid w:val="00174D30"/>
    <w:rsid w:val="00174D3B"/>
    <w:rsid w:val="00174D90"/>
    <w:rsid w:val="00174DA8"/>
    <w:rsid w:val="00174DDA"/>
    <w:rsid w:val="00174DF1"/>
    <w:rsid w:val="00174DFD"/>
    <w:rsid w:val="00174E30"/>
    <w:rsid w:val="00174E47"/>
    <w:rsid w:val="00174E85"/>
    <w:rsid w:val="00174E89"/>
    <w:rsid w:val="00174EF0"/>
    <w:rsid w:val="00174F62"/>
    <w:rsid w:val="00174F6E"/>
    <w:rsid w:val="00174F81"/>
    <w:rsid w:val="00174FA7"/>
    <w:rsid w:val="00174FCC"/>
    <w:rsid w:val="00174FD1"/>
    <w:rsid w:val="00174FD6"/>
    <w:rsid w:val="00174FDC"/>
    <w:rsid w:val="00174FFF"/>
    <w:rsid w:val="00175009"/>
    <w:rsid w:val="00175029"/>
    <w:rsid w:val="00175035"/>
    <w:rsid w:val="00175041"/>
    <w:rsid w:val="00175050"/>
    <w:rsid w:val="00175052"/>
    <w:rsid w:val="00175070"/>
    <w:rsid w:val="0017509E"/>
    <w:rsid w:val="001750B5"/>
    <w:rsid w:val="001750E2"/>
    <w:rsid w:val="00175101"/>
    <w:rsid w:val="00175108"/>
    <w:rsid w:val="00175124"/>
    <w:rsid w:val="00175147"/>
    <w:rsid w:val="001751DC"/>
    <w:rsid w:val="001751E5"/>
    <w:rsid w:val="001752BC"/>
    <w:rsid w:val="001752EB"/>
    <w:rsid w:val="001752EF"/>
    <w:rsid w:val="00175314"/>
    <w:rsid w:val="00175376"/>
    <w:rsid w:val="001753B8"/>
    <w:rsid w:val="001754E4"/>
    <w:rsid w:val="001754F2"/>
    <w:rsid w:val="00175509"/>
    <w:rsid w:val="0017553E"/>
    <w:rsid w:val="00175544"/>
    <w:rsid w:val="00175566"/>
    <w:rsid w:val="001755B5"/>
    <w:rsid w:val="001755C0"/>
    <w:rsid w:val="001755C6"/>
    <w:rsid w:val="001755EA"/>
    <w:rsid w:val="00175610"/>
    <w:rsid w:val="00175612"/>
    <w:rsid w:val="0017562C"/>
    <w:rsid w:val="00175652"/>
    <w:rsid w:val="0017568A"/>
    <w:rsid w:val="0017569B"/>
    <w:rsid w:val="001756EC"/>
    <w:rsid w:val="001757C9"/>
    <w:rsid w:val="001757DD"/>
    <w:rsid w:val="001757E8"/>
    <w:rsid w:val="001757F2"/>
    <w:rsid w:val="00175803"/>
    <w:rsid w:val="00175819"/>
    <w:rsid w:val="00175823"/>
    <w:rsid w:val="0017583A"/>
    <w:rsid w:val="0017585F"/>
    <w:rsid w:val="0017587F"/>
    <w:rsid w:val="00175890"/>
    <w:rsid w:val="001758AF"/>
    <w:rsid w:val="001758C6"/>
    <w:rsid w:val="001758F7"/>
    <w:rsid w:val="00175945"/>
    <w:rsid w:val="0017598A"/>
    <w:rsid w:val="001759A6"/>
    <w:rsid w:val="001759C5"/>
    <w:rsid w:val="001759D7"/>
    <w:rsid w:val="00175ABF"/>
    <w:rsid w:val="00175C0D"/>
    <w:rsid w:val="00175C13"/>
    <w:rsid w:val="00175C6F"/>
    <w:rsid w:val="00175C75"/>
    <w:rsid w:val="00175CC5"/>
    <w:rsid w:val="00175D0F"/>
    <w:rsid w:val="00175D6E"/>
    <w:rsid w:val="00175DC4"/>
    <w:rsid w:val="00175DF6"/>
    <w:rsid w:val="00175E1F"/>
    <w:rsid w:val="00175E21"/>
    <w:rsid w:val="00175E48"/>
    <w:rsid w:val="00175E4D"/>
    <w:rsid w:val="00175E6B"/>
    <w:rsid w:val="00175EAC"/>
    <w:rsid w:val="00175EC7"/>
    <w:rsid w:val="00175ECE"/>
    <w:rsid w:val="00175EE4"/>
    <w:rsid w:val="00175F24"/>
    <w:rsid w:val="00175F5A"/>
    <w:rsid w:val="00175F6C"/>
    <w:rsid w:val="00175F74"/>
    <w:rsid w:val="00175F92"/>
    <w:rsid w:val="00175FB4"/>
    <w:rsid w:val="00175FBE"/>
    <w:rsid w:val="00175FF1"/>
    <w:rsid w:val="00175FF4"/>
    <w:rsid w:val="00175FFC"/>
    <w:rsid w:val="0017601E"/>
    <w:rsid w:val="00176059"/>
    <w:rsid w:val="00176071"/>
    <w:rsid w:val="0017607B"/>
    <w:rsid w:val="001760AF"/>
    <w:rsid w:val="001760BA"/>
    <w:rsid w:val="001760E5"/>
    <w:rsid w:val="0017612C"/>
    <w:rsid w:val="00176142"/>
    <w:rsid w:val="00176176"/>
    <w:rsid w:val="001761A2"/>
    <w:rsid w:val="001761AC"/>
    <w:rsid w:val="001761BA"/>
    <w:rsid w:val="001761D4"/>
    <w:rsid w:val="00176223"/>
    <w:rsid w:val="0017625F"/>
    <w:rsid w:val="00176261"/>
    <w:rsid w:val="001762A8"/>
    <w:rsid w:val="00176330"/>
    <w:rsid w:val="00176392"/>
    <w:rsid w:val="001763A9"/>
    <w:rsid w:val="001763D7"/>
    <w:rsid w:val="001763DA"/>
    <w:rsid w:val="00176424"/>
    <w:rsid w:val="00176477"/>
    <w:rsid w:val="001764B6"/>
    <w:rsid w:val="00176510"/>
    <w:rsid w:val="00176533"/>
    <w:rsid w:val="001765F2"/>
    <w:rsid w:val="0017660E"/>
    <w:rsid w:val="0017662F"/>
    <w:rsid w:val="00176641"/>
    <w:rsid w:val="0017665A"/>
    <w:rsid w:val="00176676"/>
    <w:rsid w:val="001766B7"/>
    <w:rsid w:val="001766F2"/>
    <w:rsid w:val="00176703"/>
    <w:rsid w:val="00176738"/>
    <w:rsid w:val="00176741"/>
    <w:rsid w:val="001767BB"/>
    <w:rsid w:val="001767FC"/>
    <w:rsid w:val="00176829"/>
    <w:rsid w:val="001768A6"/>
    <w:rsid w:val="001768AF"/>
    <w:rsid w:val="001768B1"/>
    <w:rsid w:val="00176909"/>
    <w:rsid w:val="00176956"/>
    <w:rsid w:val="00176997"/>
    <w:rsid w:val="0017699C"/>
    <w:rsid w:val="001769B4"/>
    <w:rsid w:val="001769F1"/>
    <w:rsid w:val="00176A6C"/>
    <w:rsid w:val="00176AE4"/>
    <w:rsid w:val="00176AFD"/>
    <w:rsid w:val="00176B0A"/>
    <w:rsid w:val="00176B14"/>
    <w:rsid w:val="00176B31"/>
    <w:rsid w:val="00176BE6"/>
    <w:rsid w:val="00176BE7"/>
    <w:rsid w:val="00176C03"/>
    <w:rsid w:val="00176C0E"/>
    <w:rsid w:val="00176C1E"/>
    <w:rsid w:val="00176C59"/>
    <w:rsid w:val="00176C64"/>
    <w:rsid w:val="00176C75"/>
    <w:rsid w:val="00176CAE"/>
    <w:rsid w:val="00176CF7"/>
    <w:rsid w:val="00176D22"/>
    <w:rsid w:val="00176D37"/>
    <w:rsid w:val="00176D49"/>
    <w:rsid w:val="00176D88"/>
    <w:rsid w:val="00176DC0"/>
    <w:rsid w:val="00176DD9"/>
    <w:rsid w:val="00176DEB"/>
    <w:rsid w:val="00176E19"/>
    <w:rsid w:val="00176E27"/>
    <w:rsid w:val="00176E40"/>
    <w:rsid w:val="00176E4A"/>
    <w:rsid w:val="00176E4E"/>
    <w:rsid w:val="00176EA0"/>
    <w:rsid w:val="00176EAD"/>
    <w:rsid w:val="00176EDC"/>
    <w:rsid w:val="00176F36"/>
    <w:rsid w:val="00176F7F"/>
    <w:rsid w:val="00176FC1"/>
    <w:rsid w:val="00176FC7"/>
    <w:rsid w:val="00176FD3"/>
    <w:rsid w:val="00176FFC"/>
    <w:rsid w:val="00177037"/>
    <w:rsid w:val="0017709C"/>
    <w:rsid w:val="001770A0"/>
    <w:rsid w:val="001770A2"/>
    <w:rsid w:val="001770AC"/>
    <w:rsid w:val="001770B1"/>
    <w:rsid w:val="0017710E"/>
    <w:rsid w:val="00177186"/>
    <w:rsid w:val="001771AD"/>
    <w:rsid w:val="0017724C"/>
    <w:rsid w:val="00177256"/>
    <w:rsid w:val="00177270"/>
    <w:rsid w:val="0017727A"/>
    <w:rsid w:val="00177290"/>
    <w:rsid w:val="00177293"/>
    <w:rsid w:val="00177301"/>
    <w:rsid w:val="00177302"/>
    <w:rsid w:val="0017733F"/>
    <w:rsid w:val="00177348"/>
    <w:rsid w:val="0017735C"/>
    <w:rsid w:val="0017737B"/>
    <w:rsid w:val="00177396"/>
    <w:rsid w:val="001773A8"/>
    <w:rsid w:val="001773F4"/>
    <w:rsid w:val="001773FA"/>
    <w:rsid w:val="001773FC"/>
    <w:rsid w:val="0017741E"/>
    <w:rsid w:val="0017744E"/>
    <w:rsid w:val="00177487"/>
    <w:rsid w:val="001774DB"/>
    <w:rsid w:val="0017750F"/>
    <w:rsid w:val="00177537"/>
    <w:rsid w:val="00177548"/>
    <w:rsid w:val="00177577"/>
    <w:rsid w:val="00177582"/>
    <w:rsid w:val="00177664"/>
    <w:rsid w:val="00177698"/>
    <w:rsid w:val="001776F5"/>
    <w:rsid w:val="001776F7"/>
    <w:rsid w:val="001776F8"/>
    <w:rsid w:val="0017772D"/>
    <w:rsid w:val="00177733"/>
    <w:rsid w:val="0017777A"/>
    <w:rsid w:val="00177787"/>
    <w:rsid w:val="001777CD"/>
    <w:rsid w:val="0017780A"/>
    <w:rsid w:val="0017781F"/>
    <w:rsid w:val="0017783A"/>
    <w:rsid w:val="00177840"/>
    <w:rsid w:val="00177851"/>
    <w:rsid w:val="001778EE"/>
    <w:rsid w:val="00177903"/>
    <w:rsid w:val="00177907"/>
    <w:rsid w:val="00177910"/>
    <w:rsid w:val="0017791E"/>
    <w:rsid w:val="0017794A"/>
    <w:rsid w:val="001779A6"/>
    <w:rsid w:val="001779B3"/>
    <w:rsid w:val="00177A10"/>
    <w:rsid w:val="00177A64"/>
    <w:rsid w:val="00177AC5"/>
    <w:rsid w:val="00177AF6"/>
    <w:rsid w:val="00177AFE"/>
    <w:rsid w:val="00177B0A"/>
    <w:rsid w:val="00177B10"/>
    <w:rsid w:val="00177B23"/>
    <w:rsid w:val="00177B36"/>
    <w:rsid w:val="00177B38"/>
    <w:rsid w:val="00177B5C"/>
    <w:rsid w:val="00177B91"/>
    <w:rsid w:val="00177BAB"/>
    <w:rsid w:val="00177BB5"/>
    <w:rsid w:val="00177BCE"/>
    <w:rsid w:val="00177BDB"/>
    <w:rsid w:val="00177BE4"/>
    <w:rsid w:val="00177C15"/>
    <w:rsid w:val="00177C16"/>
    <w:rsid w:val="00177C21"/>
    <w:rsid w:val="00177C3E"/>
    <w:rsid w:val="00177C53"/>
    <w:rsid w:val="00177C6B"/>
    <w:rsid w:val="00177CBF"/>
    <w:rsid w:val="00177CDF"/>
    <w:rsid w:val="00177D0B"/>
    <w:rsid w:val="00177D64"/>
    <w:rsid w:val="00177DFD"/>
    <w:rsid w:val="00177E38"/>
    <w:rsid w:val="00177E5D"/>
    <w:rsid w:val="00177E6D"/>
    <w:rsid w:val="00177E6E"/>
    <w:rsid w:val="00177EBC"/>
    <w:rsid w:val="00177EC8"/>
    <w:rsid w:val="00177EFD"/>
    <w:rsid w:val="00177F35"/>
    <w:rsid w:val="00177F4A"/>
    <w:rsid w:val="00177FB1"/>
    <w:rsid w:val="00177FD6"/>
    <w:rsid w:val="00177FEB"/>
    <w:rsid w:val="00177FFA"/>
    <w:rsid w:val="00180098"/>
    <w:rsid w:val="0018009F"/>
    <w:rsid w:val="001800AC"/>
    <w:rsid w:val="001800BB"/>
    <w:rsid w:val="00180107"/>
    <w:rsid w:val="00180123"/>
    <w:rsid w:val="0018013F"/>
    <w:rsid w:val="00180156"/>
    <w:rsid w:val="00180170"/>
    <w:rsid w:val="0018017D"/>
    <w:rsid w:val="001801EE"/>
    <w:rsid w:val="00180260"/>
    <w:rsid w:val="00180291"/>
    <w:rsid w:val="00180294"/>
    <w:rsid w:val="001802A4"/>
    <w:rsid w:val="001802B2"/>
    <w:rsid w:val="0018035E"/>
    <w:rsid w:val="00180389"/>
    <w:rsid w:val="001803FA"/>
    <w:rsid w:val="00180416"/>
    <w:rsid w:val="00180431"/>
    <w:rsid w:val="00180458"/>
    <w:rsid w:val="00180482"/>
    <w:rsid w:val="00180486"/>
    <w:rsid w:val="0018052F"/>
    <w:rsid w:val="00180584"/>
    <w:rsid w:val="0018059E"/>
    <w:rsid w:val="001805E3"/>
    <w:rsid w:val="00180614"/>
    <w:rsid w:val="00180618"/>
    <w:rsid w:val="00180631"/>
    <w:rsid w:val="00180635"/>
    <w:rsid w:val="00180678"/>
    <w:rsid w:val="0018067E"/>
    <w:rsid w:val="0018069B"/>
    <w:rsid w:val="001806D9"/>
    <w:rsid w:val="00180720"/>
    <w:rsid w:val="00180750"/>
    <w:rsid w:val="00180752"/>
    <w:rsid w:val="001807D1"/>
    <w:rsid w:val="001807E5"/>
    <w:rsid w:val="001807F6"/>
    <w:rsid w:val="00180819"/>
    <w:rsid w:val="00180862"/>
    <w:rsid w:val="00180895"/>
    <w:rsid w:val="001808B0"/>
    <w:rsid w:val="00180909"/>
    <w:rsid w:val="00180926"/>
    <w:rsid w:val="00180942"/>
    <w:rsid w:val="00180946"/>
    <w:rsid w:val="0018094F"/>
    <w:rsid w:val="00180962"/>
    <w:rsid w:val="00180967"/>
    <w:rsid w:val="0018096F"/>
    <w:rsid w:val="001809A3"/>
    <w:rsid w:val="001809BC"/>
    <w:rsid w:val="00180AAB"/>
    <w:rsid w:val="00180AB3"/>
    <w:rsid w:val="00180ACA"/>
    <w:rsid w:val="00180AD7"/>
    <w:rsid w:val="00180B12"/>
    <w:rsid w:val="00180B40"/>
    <w:rsid w:val="00180B9C"/>
    <w:rsid w:val="00180BF1"/>
    <w:rsid w:val="00180C01"/>
    <w:rsid w:val="00180C13"/>
    <w:rsid w:val="00180C9D"/>
    <w:rsid w:val="00180CBD"/>
    <w:rsid w:val="00180D11"/>
    <w:rsid w:val="00180D12"/>
    <w:rsid w:val="00180D24"/>
    <w:rsid w:val="00180D32"/>
    <w:rsid w:val="00180D67"/>
    <w:rsid w:val="00180D85"/>
    <w:rsid w:val="00180DD0"/>
    <w:rsid w:val="00180E0B"/>
    <w:rsid w:val="00180E23"/>
    <w:rsid w:val="00180EBB"/>
    <w:rsid w:val="00180F4B"/>
    <w:rsid w:val="00180F74"/>
    <w:rsid w:val="00180FA5"/>
    <w:rsid w:val="00180FF3"/>
    <w:rsid w:val="00181185"/>
    <w:rsid w:val="0018119A"/>
    <w:rsid w:val="001811AF"/>
    <w:rsid w:val="001811C3"/>
    <w:rsid w:val="00181218"/>
    <w:rsid w:val="00181233"/>
    <w:rsid w:val="00181258"/>
    <w:rsid w:val="00181285"/>
    <w:rsid w:val="001812E0"/>
    <w:rsid w:val="0018134F"/>
    <w:rsid w:val="00181350"/>
    <w:rsid w:val="0018137A"/>
    <w:rsid w:val="001813AB"/>
    <w:rsid w:val="001813AC"/>
    <w:rsid w:val="001813D8"/>
    <w:rsid w:val="00181404"/>
    <w:rsid w:val="00181449"/>
    <w:rsid w:val="0018144E"/>
    <w:rsid w:val="0018144F"/>
    <w:rsid w:val="00181487"/>
    <w:rsid w:val="001814F0"/>
    <w:rsid w:val="00181540"/>
    <w:rsid w:val="00181548"/>
    <w:rsid w:val="00181549"/>
    <w:rsid w:val="0018154E"/>
    <w:rsid w:val="00181553"/>
    <w:rsid w:val="0018156F"/>
    <w:rsid w:val="00181571"/>
    <w:rsid w:val="00181572"/>
    <w:rsid w:val="0018157C"/>
    <w:rsid w:val="001815A3"/>
    <w:rsid w:val="001815CC"/>
    <w:rsid w:val="0018160F"/>
    <w:rsid w:val="00181632"/>
    <w:rsid w:val="00181658"/>
    <w:rsid w:val="00181671"/>
    <w:rsid w:val="001816A6"/>
    <w:rsid w:val="001816AA"/>
    <w:rsid w:val="001816C8"/>
    <w:rsid w:val="001816D3"/>
    <w:rsid w:val="001816EF"/>
    <w:rsid w:val="00181721"/>
    <w:rsid w:val="0018172F"/>
    <w:rsid w:val="00181734"/>
    <w:rsid w:val="0018178E"/>
    <w:rsid w:val="001817DC"/>
    <w:rsid w:val="001817F8"/>
    <w:rsid w:val="0018181C"/>
    <w:rsid w:val="00181828"/>
    <w:rsid w:val="00181848"/>
    <w:rsid w:val="00181864"/>
    <w:rsid w:val="0018189A"/>
    <w:rsid w:val="001818CC"/>
    <w:rsid w:val="00181967"/>
    <w:rsid w:val="00181971"/>
    <w:rsid w:val="00181977"/>
    <w:rsid w:val="0018199C"/>
    <w:rsid w:val="001819DC"/>
    <w:rsid w:val="001819FB"/>
    <w:rsid w:val="00181A46"/>
    <w:rsid w:val="00181A63"/>
    <w:rsid w:val="00181AB0"/>
    <w:rsid w:val="00181B57"/>
    <w:rsid w:val="00181B74"/>
    <w:rsid w:val="00181B95"/>
    <w:rsid w:val="00181BF6"/>
    <w:rsid w:val="00181C74"/>
    <w:rsid w:val="00181C85"/>
    <w:rsid w:val="00181C9E"/>
    <w:rsid w:val="00181CBC"/>
    <w:rsid w:val="00181CD2"/>
    <w:rsid w:val="00181D1E"/>
    <w:rsid w:val="00181DB6"/>
    <w:rsid w:val="00181DBE"/>
    <w:rsid w:val="00181E19"/>
    <w:rsid w:val="00181ECF"/>
    <w:rsid w:val="00181F48"/>
    <w:rsid w:val="00181F4C"/>
    <w:rsid w:val="00181F5B"/>
    <w:rsid w:val="00181F67"/>
    <w:rsid w:val="00181F6B"/>
    <w:rsid w:val="00181FB9"/>
    <w:rsid w:val="00181FBD"/>
    <w:rsid w:val="00181FD1"/>
    <w:rsid w:val="00181FDC"/>
    <w:rsid w:val="00181FE3"/>
    <w:rsid w:val="0018204C"/>
    <w:rsid w:val="00182052"/>
    <w:rsid w:val="00182060"/>
    <w:rsid w:val="0018207E"/>
    <w:rsid w:val="001820C2"/>
    <w:rsid w:val="001820E2"/>
    <w:rsid w:val="001820E8"/>
    <w:rsid w:val="001820F4"/>
    <w:rsid w:val="00182101"/>
    <w:rsid w:val="00182137"/>
    <w:rsid w:val="001821A6"/>
    <w:rsid w:val="001821D2"/>
    <w:rsid w:val="001821D6"/>
    <w:rsid w:val="00182210"/>
    <w:rsid w:val="0018221F"/>
    <w:rsid w:val="0018226C"/>
    <w:rsid w:val="00182296"/>
    <w:rsid w:val="001822ED"/>
    <w:rsid w:val="001822F0"/>
    <w:rsid w:val="001822F7"/>
    <w:rsid w:val="001822FB"/>
    <w:rsid w:val="00182345"/>
    <w:rsid w:val="001823C5"/>
    <w:rsid w:val="00182402"/>
    <w:rsid w:val="0018242D"/>
    <w:rsid w:val="00182452"/>
    <w:rsid w:val="0018245B"/>
    <w:rsid w:val="0018245F"/>
    <w:rsid w:val="0018249B"/>
    <w:rsid w:val="001824A1"/>
    <w:rsid w:val="001824C2"/>
    <w:rsid w:val="001824DC"/>
    <w:rsid w:val="001824FD"/>
    <w:rsid w:val="00182500"/>
    <w:rsid w:val="0018252B"/>
    <w:rsid w:val="0018254C"/>
    <w:rsid w:val="00182553"/>
    <w:rsid w:val="00182570"/>
    <w:rsid w:val="00182575"/>
    <w:rsid w:val="001825A3"/>
    <w:rsid w:val="001825B4"/>
    <w:rsid w:val="001825D1"/>
    <w:rsid w:val="001825F2"/>
    <w:rsid w:val="00182603"/>
    <w:rsid w:val="00182644"/>
    <w:rsid w:val="00182668"/>
    <w:rsid w:val="00182669"/>
    <w:rsid w:val="001826A5"/>
    <w:rsid w:val="001826C9"/>
    <w:rsid w:val="001826D3"/>
    <w:rsid w:val="001826DE"/>
    <w:rsid w:val="001826EB"/>
    <w:rsid w:val="0018270A"/>
    <w:rsid w:val="00182785"/>
    <w:rsid w:val="00182786"/>
    <w:rsid w:val="001827ED"/>
    <w:rsid w:val="00182892"/>
    <w:rsid w:val="001828A8"/>
    <w:rsid w:val="001828B1"/>
    <w:rsid w:val="001828BA"/>
    <w:rsid w:val="001828EC"/>
    <w:rsid w:val="001828F7"/>
    <w:rsid w:val="00182903"/>
    <w:rsid w:val="0018290B"/>
    <w:rsid w:val="0018292C"/>
    <w:rsid w:val="00182936"/>
    <w:rsid w:val="00182973"/>
    <w:rsid w:val="0018298B"/>
    <w:rsid w:val="001829AF"/>
    <w:rsid w:val="001829C6"/>
    <w:rsid w:val="00182AB6"/>
    <w:rsid w:val="00182AC0"/>
    <w:rsid w:val="00182ADA"/>
    <w:rsid w:val="00182B1F"/>
    <w:rsid w:val="00182B48"/>
    <w:rsid w:val="00182BA1"/>
    <w:rsid w:val="00182BB0"/>
    <w:rsid w:val="00182C0E"/>
    <w:rsid w:val="00182C3E"/>
    <w:rsid w:val="00182C5F"/>
    <w:rsid w:val="00182C65"/>
    <w:rsid w:val="00182CA7"/>
    <w:rsid w:val="00182D14"/>
    <w:rsid w:val="00182D4D"/>
    <w:rsid w:val="00182D68"/>
    <w:rsid w:val="00182D84"/>
    <w:rsid w:val="00182DFD"/>
    <w:rsid w:val="00182E67"/>
    <w:rsid w:val="00182E6B"/>
    <w:rsid w:val="00182E76"/>
    <w:rsid w:val="00182E90"/>
    <w:rsid w:val="00182ECF"/>
    <w:rsid w:val="00182ED3"/>
    <w:rsid w:val="00182ED8"/>
    <w:rsid w:val="00182F12"/>
    <w:rsid w:val="00182F17"/>
    <w:rsid w:val="00182F5B"/>
    <w:rsid w:val="00182FA6"/>
    <w:rsid w:val="00182FAA"/>
    <w:rsid w:val="00182FDA"/>
    <w:rsid w:val="00182FE5"/>
    <w:rsid w:val="00183011"/>
    <w:rsid w:val="0018303D"/>
    <w:rsid w:val="00183049"/>
    <w:rsid w:val="00183081"/>
    <w:rsid w:val="00183127"/>
    <w:rsid w:val="0018314E"/>
    <w:rsid w:val="00183166"/>
    <w:rsid w:val="00183195"/>
    <w:rsid w:val="001831BE"/>
    <w:rsid w:val="001831C1"/>
    <w:rsid w:val="001831C7"/>
    <w:rsid w:val="001831D7"/>
    <w:rsid w:val="001831E5"/>
    <w:rsid w:val="001831EC"/>
    <w:rsid w:val="001831F3"/>
    <w:rsid w:val="00183204"/>
    <w:rsid w:val="0018320C"/>
    <w:rsid w:val="00183245"/>
    <w:rsid w:val="001832B6"/>
    <w:rsid w:val="001832C4"/>
    <w:rsid w:val="001832F2"/>
    <w:rsid w:val="00183303"/>
    <w:rsid w:val="00183305"/>
    <w:rsid w:val="0018335A"/>
    <w:rsid w:val="001833D0"/>
    <w:rsid w:val="001833DD"/>
    <w:rsid w:val="00183460"/>
    <w:rsid w:val="0018346C"/>
    <w:rsid w:val="0018346E"/>
    <w:rsid w:val="001834BF"/>
    <w:rsid w:val="001834DB"/>
    <w:rsid w:val="00183535"/>
    <w:rsid w:val="00183542"/>
    <w:rsid w:val="00183549"/>
    <w:rsid w:val="0018354A"/>
    <w:rsid w:val="00183557"/>
    <w:rsid w:val="00183580"/>
    <w:rsid w:val="00183585"/>
    <w:rsid w:val="00183586"/>
    <w:rsid w:val="0018359D"/>
    <w:rsid w:val="001835A5"/>
    <w:rsid w:val="001835C5"/>
    <w:rsid w:val="001835D4"/>
    <w:rsid w:val="00183645"/>
    <w:rsid w:val="0018366B"/>
    <w:rsid w:val="001836E0"/>
    <w:rsid w:val="001836ED"/>
    <w:rsid w:val="00183707"/>
    <w:rsid w:val="0018375C"/>
    <w:rsid w:val="0018375D"/>
    <w:rsid w:val="00183789"/>
    <w:rsid w:val="001837A7"/>
    <w:rsid w:val="001837E2"/>
    <w:rsid w:val="001838A9"/>
    <w:rsid w:val="001838FE"/>
    <w:rsid w:val="00183911"/>
    <w:rsid w:val="00183945"/>
    <w:rsid w:val="0018395D"/>
    <w:rsid w:val="0018397C"/>
    <w:rsid w:val="001839B4"/>
    <w:rsid w:val="001839BC"/>
    <w:rsid w:val="001839D2"/>
    <w:rsid w:val="001839F7"/>
    <w:rsid w:val="00183A0D"/>
    <w:rsid w:val="00183AA5"/>
    <w:rsid w:val="00183AE8"/>
    <w:rsid w:val="00183AED"/>
    <w:rsid w:val="00183B0C"/>
    <w:rsid w:val="00183B27"/>
    <w:rsid w:val="00183B4E"/>
    <w:rsid w:val="00183B9D"/>
    <w:rsid w:val="00183C25"/>
    <w:rsid w:val="00183C36"/>
    <w:rsid w:val="00183C4E"/>
    <w:rsid w:val="00183CDE"/>
    <w:rsid w:val="00183CE3"/>
    <w:rsid w:val="00183CFD"/>
    <w:rsid w:val="00183D3B"/>
    <w:rsid w:val="00183D47"/>
    <w:rsid w:val="00183D9E"/>
    <w:rsid w:val="00183DB2"/>
    <w:rsid w:val="00183E15"/>
    <w:rsid w:val="00183E2C"/>
    <w:rsid w:val="00183E39"/>
    <w:rsid w:val="00183EC2"/>
    <w:rsid w:val="00183EE2"/>
    <w:rsid w:val="00183EED"/>
    <w:rsid w:val="00183F1F"/>
    <w:rsid w:val="00183F27"/>
    <w:rsid w:val="00183F30"/>
    <w:rsid w:val="00183F3C"/>
    <w:rsid w:val="00183FB7"/>
    <w:rsid w:val="00183FD8"/>
    <w:rsid w:val="00183FFF"/>
    <w:rsid w:val="00184036"/>
    <w:rsid w:val="0018403E"/>
    <w:rsid w:val="0018405E"/>
    <w:rsid w:val="00184072"/>
    <w:rsid w:val="00184076"/>
    <w:rsid w:val="001840A7"/>
    <w:rsid w:val="001840BF"/>
    <w:rsid w:val="001840D8"/>
    <w:rsid w:val="00184180"/>
    <w:rsid w:val="001841B8"/>
    <w:rsid w:val="001841DF"/>
    <w:rsid w:val="00184220"/>
    <w:rsid w:val="00184249"/>
    <w:rsid w:val="0018425F"/>
    <w:rsid w:val="00184288"/>
    <w:rsid w:val="00184293"/>
    <w:rsid w:val="0018429C"/>
    <w:rsid w:val="001842BA"/>
    <w:rsid w:val="001842DE"/>
    <w:rsid w:val="001842FB"/>
    <w:rsid w:val="0018434D"/>
    <w:rsid w:val="001843BA"/>
    <w:rsid w:val="001843C4"/>
    <w:rsid w:val="001843EC"/>
    <w:rsid w:val="0018442C"/>
    <w:rsid w:val="0018448E"/>
    <w:rsid w:val="001844A6"/>
    <w:rsid w:val="001844A9"/>
    <w:rsid w:val="001844B3"/>
    <w:rsid w:val="001844B6"/>
    <w:rsid w:val="001844C1"/>
    <w:rsid w:val="001844FF"/>
    <w:rsid w:val="00184506"/>
    <w:rsid w:val="00184507"/>
    <w:rsid w:val="001845CF"/>
    <w:rsid w:val="0018460A"/>
    <w:rsid w:val="0018464F"/>
    <w:rsid w:val="00184671"/>
    <w:rsid w:val="00184679"/>
    <w:rsid w:val="0018468E"/>
    <w:rsid w:val="001846AF"/>
    <w:rsid w:val="001846D4"/>
    <w:rsid w:val="001846F6"/>
    <w:rsid w:val="00184765"/>
    <w:rsid w:val="00184779"/>
    <w:rsid w:val="001847D2"/>
    <w:rsid w:val="00184822"/>
    <w:rsid w:val="0018483A"/>
    <w:rsid w:val="0018487C"/>
    <w:rsid w:val="0018489C"/>
    <w:rsid w:val="001848BC"/>
    <w:rsid w:val="001848EA"/>
    <w:rsid w:val="001848FA"/>
    <w:rsid w:val="00184953"/>
    <w:rsid w:val="00184959"/>
    <w:rsid w:val="00184962"/>
    <w:rsid w:val="001849B3"/>
    <w:rsid w:val="001849D4"/>
    <w:rsid w:val="00184A2B"/>
    <w:rsid w:val="00184A33"/>
    <w:rsid w:val="00184A4C"/>
    <w:rsid w:val="00184A5C"/>
    <w:rsid w:val="00184AA0"/>
    <w:rsid w:val="00184AC8"/>
    <w:rsid w:val="00184B04"/>
    <w:rsid w:val="00184B05"/>
    <w:rsid w:val="00184B2C"/>
    <w:rsid w:val="00184BB5"/>
    <w:rsid w:val="00184BE4"/>
    <w:rsid w:val="00184BEE"/>
    <w:rsid w:val="00184C26"/>
    <w:rsid w:val="00184C47"/>
    <w:rsid w:val="00184C63"/>
    <w:rsid w:val="00184C7E"/>
    <w:rsid w:val="00184C7F"/>
    <w:rsid w:val="00184D33"/>
    <w:rsid w:val="00184D42"/>
    <w:rsid w:val="00184D44"/>
    <w:rsid w:val="00184E88"/>
    <w:rsid w:val="00184E9E"/>
    <w:rsid w:val="00184EAA"/>
    <w:rsid w:val="00184FD2"/>
    <w:rsid w:val="00184FE8"/>
    <w:rsid w:val="00184FFD"/>
    <w:rsid w:val="0018502C"/>
    <w:rsid w:val="00185050"/>
    <w:rsid w:val="0018508C"/>
    <w:rsid w:val="001851B6"/>
    <w:rsid w:val="001851C0"/>
    <w:rsid w:val="001851DB"/>
    <w:rsid w:val="0018520F"/>
    <w:rsid w:val="00185210"/>
    <w:rsid w:val="0018523B"/>
    <w:rsid w:val="0018524D"/>
    <w:rsid w:val="00185288"/>
    <w:rsid w:val="001852A0"/>
    <w:rsid w:val="001852D2"/>
    <w:rsid w:val="001852E0"/>
    <w:rsid w:val="00185349"/>
    <w:rsid w:val="0018535F"/>
    <w:rsid w:val="00185397"/>
    <w:rsid w:val="001853A8"/>
    <w:rsid w:val="0018547C"/>
    <w:rsid w:val="00185486"/>
    <w:rsid w:val="0018549C"/>
    <w:rsid w:val="0018551D"/>
    <w:rsid w:val="0018554F"/>
    <w:rsid w:val="0018556D"/>
    <w:rsid w:val="0018559C"/>
    <w:rsid w:val="001855AF"/>
    <w:rsid w:val="001855C2"/>
    <w:rsid w:val="001855D0"/>
    <w:rsid w:val="00185619"/>
    <w:rsid w:val="0018562A"/>
    <w:rsid w:val="00185670"/>
    <w:rsid w:val="001856C3"/>
    <w:rsid w:val="001856F4"/>
    <w:rsid w:val="00185733"/>
    <w:rsid w:val="00185738"/>
    <w:rsid w:val="0018574F"/>
    <w:rsid w:val="0018577A"/>
    <w:rsid w:val="0018583E"/>
    <w:rsid w:val="00185841"/>
    <w:rsid w:val="0018585F"/>
    <w:rsid w:val="001858B8"/>
    <w:rsid w:val="001858D7"/>
    <w:rsid w:val="001858F9"/>
    <w:rsid w:val="00185962"/>
    <w:rsid w:val="001859A1"/>
    <w:rsid w:val="00185A3C"/>
    <w:rsid w:val="00185A40"/>
    <w:rsid w:val="00185A6A"/>
    <w:rsid w:val="00185AD8"/>
    <w:rsid w:val="00185ADE"/>
    <w:rsid w:val="00185B08"/>
    <w:rsid w:val="00185B2B"/>
    <w:rsid w:val="00185B4A"/>
    <w:rsid w:val="00185B56"/>
    <w:rsid w:val="00185B69"/>
    <w:rsid w:val="00185B6E"/>
    <w:rsid w:val="00185B81"/>
    <w:rsid w:val="00185BA3"/>
    <w:rsid w:val="00185BBF"/>
    <w:rsid w:val="00185C0F"/>
    <w:rsid w:val="00185C4A"/>
    <w:rsid w:val="00185CAF"/>
    <w:rsid w:val="00185CBD"/>
    <w:rsid w:val="00185CC5"/>
    <w:rsid w:val="00185CD8"/>
    <w:rsid w:val="00185CFB"/>
    <w:rsid w:val="00185D1E"/>
    <w:rsid w:val="00185D20"/>
    <w:rsid w:val="00185D35"/>
    <w:rsid w:val="00185D3E"/>
    <w:rsid w:val="00185D87"/>
    <w:rsid w:val="00185D9F"/>
    <w:rsid w:val="00185DBF"/>
    <w:rsid w:val="00185DCF"/>
    <w:rsid w:val="00185DE0"/>
    <w:rsid w:val="00185DE6"/>
    <w:rsid w:val="00185E00"/>
    <w:rsid w:val="00185E11"/>
    <w:rsid w:val="00185E92"/>
    <w:rsid w:val="00185EB4"/>
    <w:rsid w:val="00185EC5"/>
    <w:rsid w:val="00185F45"/>
    <w:rsid w:val="00185FA1"/>
    <w:rsid w:val="00185FB7"/>
    <w:rsid w:val="00185FCE"/>
    <w:rsid w:val="00185FCF"/>
    <w:rsid w:val="00185FE7"/>
    <w:rsid w:val="00186001"/>
    <w:rsid w:val="00186011"/>
    <w:rsid w:val="00186016"/>
    <w:rsid w:val="00186150"/>
    <w:rsid w:val="0018615F"/>
    <w:rsid w:val="0018618A"/>
    <w:rsid w:val="00186203"/>
    <w:rsid w:val="00186215"/>
    <w:rsid w:val="0018622C"/>
    <w:rsid w:val="0018634D"/>
    <w:rsid w:val="00186362"/>
    <w:rsid w:val="00186376"/>
    <w:rsid w:val="00186395"/>
    <w:rsid w:val="001863A1"/>
    <w:rsid w:val="00186446"/>
    <w:rsid w:val="00186452"/>
    <w:rsid w:val="00186456"/>
    <w:rsid w:val="0018649A"/>
    <w:rsid w:val="001864C5"/>
    <w:rsid w:val="001864C6"/>
    <w:rsid w:val="00186539"/>
    <w:rsid w:val="00186575"/>
    <w:rsid w:val="00186586"/>
    <w:rsid w:val="0018659C"/>
    <w:rsid w:val="001865D3"/>
    <w:rsid w:val="001865DE"/>
    <w:rsid w:val="001866D6"/>
    <w:rsid w:val="001866FA"/>
    <w:rsid w:val="00186702"/>
    <w:rsid w:val="0018670E"/>
    <w:rsid w:val="00186740"/>
    <w:rsid w:val="00186749"/>
    <w:rsid w:val="00186752"/>
    <w:rsid w:val="00186770"/>
    <w:rsid w:val="00186777"/>
    <w:rsid w:val="0018677D"/>
    <w:rsid w:val="00186787"/>
    <w:rsid w:val="001867EB"/>
    <w:rsid w:val="00186839"/>
    <w:rsid w:val="00186861"/>
    <w:rsid w:val="001868A7"/>
    <w:rsid w:val="001868C5"/>
    <w:rsid w:val="001868CE"/>
    <w:rsid w:val="00186912"/>
    <w:rsid w:val="00186A07"/>
    <w:rsid w:val="00186A16"/>
    <w:rsid w:val="00186A35"/>
    <w:rsid w:val="00186A5D"/>
    <w:rsid w:val="00186A87"/>
    <w:rsid w:val="00186A97"/>
    <w:rsid w:val="00186AB2"/>
    <w:rsid w:val="00186ABD"/>
    <w:rsid w:val="00186AF1"/>
    <w:rsid w:val="00186AF6"/>
    <w:rsid w:val="00186AFD"/>
    <w:rsid w:val="00186B72"/>
    <w:rsid w:val="00186B84"/>
    <w:rsid w:val="00186BC6"/>
    <w:rsid w:val="00186BD2"/>
    <w:rsid w:val="00186C01"/>
    <w:rsid w:val="00186C29"/>
    <w:rsid w:val="00186C3C"/>
    <w:rsid w:val="00186D09"/>
    <w:rsid w:val="00186D78"/>
    <w:rsid w:val="00186DBB"/>
    <w:rsid w:val="00186DBF"/>
    <w:rsid w:val="00186DC7"/>
    <w:rsid w:val="00186E04"/>
    <w:rsid w:val="00186E6A"/>
    <w:rsid w:val="00186E7F"/>
    <w:rsid w:val="00186E87"/>
    <w:rsid w:val="00186E8E"/>
    <w:rsid w:val="00186E9E"/>
    <w:rsid w:val="00186EA8"/>
    <w:rsid w:val="00186ED5"/>
    <w:rsid w:val="00186EDA"/>
    <w:rsid w:val="00186EF7"/>
    <w:rsid w:val="00186F1C"/>
    <w:rsid w:val="00186F37"/>
    <w:rsid w:val="00186F43"/>
    <w:rsid w:val="00186F50"/>
    <w:rsid w:val="00186F61"/>
    <w:rsid w:val="00186FAF"/>
    <w:rsid w:val="00186FB0"/>
    <w:rsid w:val="0018703A"/>
    <w:rsid w:val="00187088"/>
    <w:rsid w:val="00187094"/>
    <w:rsid w:val="001870CE"/>
    <w:rsid w:val="00187103"/>
    <w:rsid w:val="00187121"/>
    <w:rsid w:val="00187198"/>
    <w:rsid w:val="00187245"/>
    <w:rsid w:val="00187255"/>
    <w:rsid w:val="0018725A"/>
    <w:rsid w:val="00187281"/>
    <w:rsid w:val="00187286"/>
    <w:rsid w:val="0018728F"/>
    <w:rsid w:val="001872C9"/>
    <w:rsid w:val="0018732E"/>
    <w:rsid w:val="001873B0"/>
    <w:rsid w:val="001873E9"/>
    <w:rsid w:val="00187416"/>
    <w:rsid w:val="0018741C"/>
    <w:rsid w:val="00187439"/>
    <w:rsid w:val="0018743F"/>
    <w:rsid w:val="00187440"/>
    <w:rsid w:val="00187474"/>
    <w:rsid w:val="00187485"/>
    <w:rsid w:val="001874C4"/>
    <w:rsid w:val="00187555"/>
    <w:rsid w:val="0018759A"/>
    <w:rsid w:val="001875BC"/>
    <w:rsid w:val="001875D1"/>
    <w:rsid w:val="0018762B"/>
    <w:rsid w:val="00187660"/>
    <w:rsid w:val="00187682"/>
    <w:rsid w:val="00187695"/>
    <w:rsid w:val="001876F0"/>
    <w:rsid w:val="00187730"/>
    <w:rsid w:val="00187735"/>
    <w:rsid w:val="0018777A"/>
    <w:rsid w:val="00187786"/>
    <w:rsid w:val="001877D9"/>
    <w:rsid w:val="001877F0"/>
    <w:rsid w:val="00187800"/>
    <w:rsid w:val="00187805"/>
    <w:rsid w:val="0018782B"/>
    <w:rsid w:val="0018783E"/>
    <w:rsid w:val="0018783F"/>
    <w:rsid w:val="0018785C"/>
    <w:rsid w:val="00187880"/>
    <w:rsid w:val="00187906"/>
    <w:rsid w:val="00187934"/>
    <w:rsid w:val="0018793F"/>
    <w:rsid w:val="0018795A"/>
    <w:rsid w:val="00187963"/>
    <w:rsid w:val="00187964"/>
    <w:rsid w:val="00187986"/>
    <w:rsid w:val="001879BA"/>
    <w:rsid w:val="001879BB"/>
    <w:rsid w:val="001879E0"/>
    <w:rsid w:val="001879F2"/>
    <w:rsid w:val="00187A4C"/>
    <w:rsid w:val="00187A66"/>
    <w:rsid w:val="00187A74"/>
    <w:rsid w:val="00187B00"/>
    <w:rsid w:val="00187B0D"/>
    <w:rsid w:val="00187B11"/>
    <w:rsid w:val="00187B35"/>
    <w:rsid w:val="00187B66"/>
    <w:rsid w:val="00187B89"/>
    <w:rsid w:val="00187BBC"/>
    <w:rsid w:val="00187BC1"/>
    <w:rsid w:val="00187BF0"/>
    <w:rsid w:val="00187C2A"/>
    <w:rsid w:val="00187C4A"/>
    <w:rsid w:val="00187C75"/>
    <w:rsid w:val="00187C89"/>
    <w:rsid w:val="00187CDF"/>
    <w:rsid w:val="00187CF3"/>
    <w:rsid w:val="00187CF8"/>
    <w:rsid w:val="00187D1F"/>
    <w:rsid w:val="00187D39"/>
    <w:rsid w:val="00187D3D"/>
    <w:rsid w:val="00187D69"/>
    <w:rsid w:val="00187DB9"/>
    <w:rsid w:val="00187DE2"/>
    <w:rsid w:val="00187DF0"/>
    <w:rsid w:val="00187EAC"/>
    <w:rsid w:val="00187EAD"/>
    <w:rsid w:val="00187EB4"/>
    <w:rsid w:val="00187ED2"/>
    <w:rsid w:val="00187FC9"/>
    <w:rsid w:val="00187FD0"/>
    <w:rsid w:val="00187FD3"/>
    <w:rsid w:val="0019005F"/>
    <w:rsid w:val="0019010B"/>
    <w:rsid w:val="00190110"/>
    <w:rsid w:val="00190163"/>
    <w:rsid w:val="00190193"/>
    <w:rsid w:val="0019021F"/>
    <w:rsid w:val="00190252"/>
    <w:rsid w:val="001902E8"/>
    <w:rsid w:val="00190381"/>
    <w:rsid w:val="00190387"/>
    <w:rsid w:val="0019039A"/>
    <w:rsid w:val="001903FD"/>
    <w:rsid w:val="00190413"/>
    <w:rsid w:val="0019042C"/>
    <w:rsid w:val="0019042F"/>
    <w:rsid w:val="00190434"/>
    <w:rsid w:val="0019045C"/>
    <w:rsid w:val="0019047B"/>
    <w:rsid w:val="00190492"/>
    <w:rsid w:val="001904A4"/>
    <w:rsid w:val="001904F8"/>
    <w:rsid w:val="00190523"/>
    <w:rsid w:val="00190560"/>
    <w:rsid w:val="00190578"/>
    <w:rsid w:val="00190585"/>
    <w:rsid w:val="001905D8"/>
    <w:rsid w:val="001905F1"/>
    <w:rsid w:val="00190609"/>
    <w:rsid w:val="00190623"/>
    <w:rsid w:val="0019062D"/>
    <w:rsid w:val="00190636"/>
    <w:rsid w:val="00190662"/>
    <w:rsid w:val="00190674"/>
    <w:rsid w:val="0019068D"/>
    <w:rsid w:val="0019070C"/>
    <w:rsid w:val="0019071D"/>
    <w:rsid w:val="00190721"/>
    <w:rsid w:val="001907C4"/>
    <w:rsid w:val="0019085B"/>
    <w:rsid w:val="0019088E"/>
    <w:rsid w:val="001908B5"/>
    <w:rsid w:val="001908BA"/>
    <w:rsid w:val="0019091D"/>
    <w:rsid w:val="00190944"/>
    <w:rsid w:val="00190951"/>
    <w:rsid w:val="00190957"/>
    <w:rsid w:val="0019095B"/>
    <w:rsid w:val="00190971"/>
    <w:rsid w:val="0019098E"/>
    <w:rsid w:val="00190997"/>
    <w:rsid w:val="001909BA"/>
    <w:rsid w:val="00190A12"/>
    <w:rsid w:val="00190A49"/>
    <w:rsid w:val="00190A54"/>
    <w:rsid w:val="00190A98"/>
    <w:rsid w:val="00190AA0"/>
    <w:rsid w:val="00190AA9"/>
    <w:rsid w:val="00190AC6"/>
    <w:rsid w:val="00190B0A"/>
    <w:rsid w:val="00190B2D"/>
    <w:rsid w:val="00190B40"/>
    <w:rsid w:val="00190B49"/>
    <w:rsid w:val="00190B52"/>
    <w:rsid w:val="00190B5A"/>
    <w:rsid w:val="00190BA6"/>
    <w:rsid w:val="00190C46"/>
    <w:rsid w:val="00190C96"/>
    <w:rsid w:val="00190CEA"/>
    <w:rsid w:val="00190CF2"/>
    <w:rsid w:val="00190D6F"/>
    <w:rsid w:val="00190D70"/>
    <w:rsid w:val="00190DA3"/>
    <w:rsid w:val="00190DB2"/>
    <w:rsid w:val="00190DF4"/>
    <w:rsid w:val="00190E16"/>
    <w:rsid w:val="00190E2B"/>
    <w:rsid w:val="00190E36"/>
    <w:rsid w:val="00190E39"/>
    <w:rsid w:val="00190EAA"/>
    <w:rsid w:val="00190F50"/>
    <w:rsid w:val="00190F61"/>
    <w:rsid w:val="00190FEC"/>
    <w:rsid w:val="00190FF4"/>
    <w:rsid w:val="00190FFE"/>
    <w:rsid w:val="0019100B"/>
    <w:rsid w:val="00191025"/>
    <w:rsid w:val="0019102C"/>
    <w:rsid w:val="00191044"/>
    <w:rsid w:val="00191061"/>
    <w:rsid w:val="00191079"/>
    <w:rsid w:val="001910B9"/>
    <w:rsid w:val="001910F0"/>
    <w:rsid w:val="001910FA"/>
    <w:rsid w:val="001911CE"/>
    <w:rsid w:val="001911E0"/>
    <w:rsid w:val="001911E9"/>
    <w:rsid w:val="001911F1"/>
    <w:rsid w:val="00191209"/>
    <w:rsid w:val="00191214"/>
    <w:rsid w:val="001912FA"/>
    <w:rsid w:val="0019130A"/>
    <w:rsid w:val="00191310"/>
    <w:rsid w:val="00191326"/>
    <w:rsid w:val="00191347"/>
    <w:rsid w:val="0019139A"/>
    <w:rsid w:val="0019139D"/>
    <w:rsid w:val="001913B4"/>
    <w:rsid w:val="001913E6"/>
    <w:rsid w:val="001913F7"/>
    <w:rsid w:val="00191403"/>
    <w:rsid w:val="00191420"/>
    <w:rsid w:val="00191435"/>
    <w:rsid w:val="00191462"/>
    <w:rsid w:val="00191470"/>
    <w:rsid w:val="001914A6"/>
    <w:rsid w:val="001914E9"/>
    <w:rsid w:val="0019153E"/>
    <w:rsid w:val="00191549"/>
    <w:rsid w:val="00191553"/>
    <w:rsid w:val="0019158A"/>
    <w:rsid w:val="001915AD"/>
    <w:rsid w:val="001915B6"/>
    <w:rsid w:val="001915CF"/>
    <w:rsid w:val="00191604"/>
    <w:rsid w:val="00191662"/>
    <w:rsid w:val="0019168F"/>
    <w:rsid w:val="001916B1"/>
    <w:rsid w:val="001916EF"/>
    <w:rsid w:val="00191704"/>
    <w:rsid w:val="00191732"/>
    <w:rsid w:val="00191748"/>
    <w:rsid w:val="00191764"/>
    <w:rsid w:val="00191801"/>
    <w:rsid w:val="0019182F"/>
    <w:rsid w:val="00191838"/>
    <w:rsid w:val="00191856"/>
    <w:rsid w:val="0019186A"/>
    <w:rsid w:val="00191889"/>
    <w:rsid w:val="001918A2"/>
    <w:rsid w:val="001918E5"/>
    <w:rsid w:val="001918F3"/>
    <w:rsid w:val="001918FF"/>
    <w:rsid w:val="00191908"/>
    <w:rsid w:val="0019190E"/>
    <w:rsid w:val="00191918"/>
    <w:rsid w:val="00191944"/>
    <w:rsid w:val="00191971"/>
    <w:rsid w:val="0019197F"/>
    <w:rsid w:val="0019198C"/>
    <w:rsid w:val="00191993"/>
    <w:rsid w:val="001919AD"/>
    <w:rsid w:val="001919B9"/>
    <w:rsid w:val="001919EB"/>
    <w:rsid w:val="001919EC"/>
    <w:rsid w:val="00191A3A"/>
    <w:rsid w:val="00191A41"/>
    <w:rsid w:val="00191A47"/>
    <w:rsid w:val="00191A48"/>
    <w:rsid w:val="00191A70"/>
    <w:rsid w:val="00191AA3"/>
    <w:rsid w:val="00191AD3"/>
    <w:rsid w:val="00191ADE"/>
    <w:rsid w:val="00191AF4"/>
    <w:rsid w:val="00191B0A"/>
    <w:rsid w:val="00191B4F"/>
    <w:rsid w:val="00191B54"/>
    <w:rsid w:val="00191B7D"/>
    <w:rsid w:val="00191C0B"/>
    <w:rsid w:val="00191C62"/>
    <w:rsid w:val="00191C69"/>
    <w:rsid w:val="00191C87"/>
    <w:rsid w:val="00191C9B"/>
    <w:rsid w:val="00191CC7"/>
    <w:rsid w:val="00191D90"/>
    <w:rsid w:val="00191D95"/>
    <w:rsid w:val="00191DA2"/>
    <w:rsid w:val="00191DA9"/>
    <w:rsid w:val="00191DD0"/>
    <w:rsid w:val="00191DD2"/>
    <w:rsid w:val="00191E10"/>
    <w:rsid w:val="00191E2F"/>
    <w:rsid w:val="00191E33"/>
    <w:rsid w:val="00191E79"/>
    <w:rsid w:val="00191E82"/>
    <w:rsid w:val="00191E83"/>
    <w:rsid w:val="00191E99"/>
    <w:rsid w:val="00191ED9"/>
    <w:rsid w:val="00191F16"/>
    <w:rsid w:val="00191F73"/>
    <w:rsid w:val="00191FD0"/>
    <w:rsid w:val="00191FF0"/>
    <w:rsid w:val="00191FF3"/>
    <w:rsid w:val="00192006"/>
    <w:rsid w:val="0019200C"/>
    <w:rsid w:val="0019200F"/>
    <w:rsid w:val="00192035"/>
    <w:rsid w:val="00192059"/>
    <w:rsid w:val="00192066"/>
    <w:rsid w:val="00192109"/>
    <w:rsid w:val="0019212E"/>
    <w:rsid w:val="00192137"/>
    <w:rsid w:val="00192182"/>
    <w:rsid w:val="00192186"/>
    <w:rsid w:val="0019219F"/>
    <w:rsid w:val="001921C7"/>
    <w:rsid w:val="0019221F"/>
    <w:rsid w:val="0019222A"/>
    <w:rsid w:val="00192257"/>
    <w:rsid w:val="00192274"/>
    <w:rsid w:val="00192277"/>
    <w:rsid w:val="00192286"/>
    <w:rsid w:val="001922A0"/>
    <w:rsid w:val="001922A2"/>
    <w:rsid w:val="001922A4"/>
    <w:rsid w:val="001922BD"/>
    <w:rsid w:val="001922DA"/>
    <w:rsid w:val="00192320"/>
    <w:rsid w:val="00192333"/>
    <w:rsid w:val="001923FE"/>
    <w:rsid w:val="00192474"/>
    <w:rsid w:val="0019247B"/>
    <w:rsid w:val="0019247D"/>
    <w:rsid w:val="0019251C"/>
    <w:rsid w:val="00192531"/>
    <w:rsid w:val="00192575"/>
    <w:rsid w:val="0019257B"/>
    <w:rsid w:val="00192593"/>
    <w:rsid w:val="001925D0"/>
    <w:rsid w:val="00192604"/>
    <w:rsid w:val="0019260E"/>
    <w:rsid w:val="0019261F"/>
    <w:rsid w:val="00192626"/>
    <w:rsid w:val="0019262E"/>
    <w:rsid w:val="0019263A"/>
    <w:rsid w:val="00192642"/>
    <w:rsid w:val="00192697"/>
    <w:rsid w:val="001926B1"/>
    <w:rsid w:val="001926B6"/>
    <w:rsid w:val="001926C8"/>
    <w:rsid w:val="001926CC"/>
    <w:rsid w:val="001927A0"/>
    <w:rsid w:val="001927F0"/>
    <w:rsid w:val="0019281D"/>
    <w:rsid w:val="00192838"/>
    <w:rsid w:val="0019284E"/>
    <w:rsid w:val="001928A8"/>
    <w:rsid w:val="001928DB"/>
    <w:rsid w:val="00192913"/>
    <w:rsid w:val="0019291F"/>
    <w:rsid w:val="00192924"/>
    <w:rsid w:val="00192939"/>
    <w:rsid w:val="00192991"/>
    <w:rsid w:val="00192A3E"/>
    <w:rsid w:val="00192A5A"/>
    <w:rsid w:val="00192A92"/>
    <w:rsid w:val="00192AC3"/>
    <w:rsid w:val="00192AD6"/>
    <w:rsid w:val="00192ADD"/>
    <w:rsid w:val="00192B29"/>
    <w:rsid w:val="00192B35"/>
    <w:rsid w:val="00192B5C"/>
    <w:rsid w:val="00192B95"/>
    <w:rsid w:val="00192BD7"/>
    <w:rsid w:val="00192BFD"/>
    <w:rsid w:val="00192C03"/>
    <w:rsid w:val="00192C2B"/>
    <w:rsid w:val="00192C2F"/>
    <w:rsid w:val="00192C3B"/>
    <w:rsid w:val="00192C72"/>
    <w:rsid w:val="00192CFE"/>
    <w:rsid w:val="00192D78"/>
    <w:rsid w:val="00192D79"/>
    <w:rsid w:val="00192DD6"/>
    <w:rsid w:val="00192DDF"/>
    <w:rsid w:val="00192DEA"/>
    <w:rsid w:val="00192DF0"/>
    <w:rsid w:val="00192EAD"/>
    <w:rsid w:val="00192EC0"/>
    <w:rsid w:val="00192ECE"/>
    <w:rsid w:val="00192ED7"/>
    <w:rsid w:val="00192EEE"/>
    <w:rsid w:val="00192F6D"/>
    <w:rsid w:val="00192FA4"/>
    <w:rsid w:val="00192FFA"/>
    <w:rsid w:val="00193067"/>
    <w:rsid w:val="0019306E"/>
    <w:rsid w:val="0019307E"/>
    <w:rsid w:val="00193083"/>
    <w:rsid w:val="0019308C"/>
    <w:rsid w:val="001930C3"/>
    <w:rsid w:val="00193110"/>
    <w:rsid w:val="0019311D"/>
    <w:rsid w:val="00193143"/>
    <w:rsid w:val="0019326E"/>
    <w:rsid w:val="00193289"/>
    <w:rsid w:val="00193291"/>
    <w:rsid w:val="001932C1"/>
    <w:rsid w:val="00193312"/>
    <w:rsid w:val="0019332B"/>
    <w:rsid w:val="00193337"/>
    <w:rsid w:val="0019335F"/>
    <w:rsid w:val="0019337D"/>
    <w:rsid w:val="001933A5"/>
    <w:rsid w:val="001933BA"/>
    <w:rsid w:val="001933C8"/>
    <w:rsid w:val="0019346E"/>
    <w:rsid w:val="0019347D"/>
    <w:rsid w:val="0019347F"/>
    <w:rsid w:val="00193480"/>
    <w:rsid w:val="001934B7"/>
    <w:rsid w:val="001934D9"/>
    <w:rsid w:val="001934F2"/>
    <w:rsid w:val="0019352E"/>
    <w:rsid w:val="00193540"/>
    <w:rsid w:val="00193541"/>
    <w:rsid w:val="0019356D"/>
    <w:rsid w:val="001935BF"/>
    <w:rsid w:val="001935C7"/>
    <w:rsid w:val="0019361E"/>
    <w:rsid w:val="00193653"/>
    <w:rsid w:val="00193660"/>
    <w:rsid w:val="001936F2"/>
    <w:rsid w:val="00193703"/>
    <w:rsid w:val="00193791"/>
    <w:rsid w:val="00193794"/>
    <w:rsid w:val="001937A0"/>
    <w:rsid w:val="001937C2"/>
    <w:rsid w:val="001937D7"/>
    <w:rsid w:val="001937FC"/>
    <w:rsid w:val="0019380B"/>
    <w:rsid w:val="0019384C"/>
    <w:rsid w:val="0019384F"/>
    <w:rsid w:val="001938B8"/>
    <w:rsid w:val="0019392A"/>
    <w:rsid w:val="0019395D"/>
    <w:rsid w:val="00193965"/>
    <w:rsid w:val="001939B1"/>
    <w:rsid w:val="001939B3"/>
    <w:rsid w:val="00193A88"/>
    <w:rsid w:val="00193B00"/>
    <w:rsid w:val="00193B2B"/>
    <w:rsid w:val="00193BA5"/>
    <w:rsid w:val="00193C2B"/>
    <w:rsid w:val="00193C3B"/>
    <w:rsid w:val="00193C54"/>
    <w:rsid w:val="00193C6D"/>
    <w:rsid w:val="00193C6E"/>
    <w:rsid w:val="00193C79"/>
    <w:rsid w:val="00193CE7"/>
    <w:rsid w:val="00193CF2"/>
    <w:rsid w:val="00193D00"/>
    <w:rsid w:val="00193D22"/>
    <w:rsid w:val="00193D24"/>
    <w:rsid w:val="00193D27"/>
    <w:rsid w:val="00193D67"/>
    <w:rsid w:val="00193D8D"/>
    <w:rsid w:val="00193D90"/>
    <w:rsid w:val="00193DBA"/>
    <w:rsid w:val="00193E13"/>
    <w:rsid w:val="00193E45"/>
    <w:rsid w:val="00193E60"/>
    <w:rsid w:val="00193E63"/>
    <w:rsid w:val="00193E64"/>
    <w:rsid w:val="00193E66"/>
    <w:rsid w:val="00193E6F"/>
    <w:rsid w:val="00193E76"/>
    <w:rsid w:val="00193E78"/>
    <w:rsid w:val="00193E90"/>
    <w:rsid w:val="00193E9C"/>
    <w:rsid w:val="00193E9E"/>
    <w:rsid w:val="00193EB4"/>
    <w:rsid w:val="00193F0B"/>
    <w:rsid w:val="00193F29"/>
    <w:rsid w:val="00193F69"/>
    <w:rsid w:val="00193F85"/>
    <w:rsid w:val="00193FAD"/>
    <w:rsid w:val="0019401C"/>
    <w:rsid w:val="00194039"/>
    <w:rsid w:val="00194055"/>
    <w:rsid w:val="0019406D"/>
    <w:rsid w:val="001940B6"/>
    <w:rsid w:val="001940BA"/>
    <w:rsid w:val="001940E4"/>
    <w:rsid w:val="001940EA"/>
    <w:rsid w:val="00194141"/>
    <w:rsid w:val="001941BD"/>
    <w:rsid w:val="001941CF"/>
    <w:rsid w:val="001941E5"/>
    <w:rsid w:val="00194234"/>
    <w:rsid w:val="00194254"/>
    <w:rsid w:val="00194259"/>
    <w:rsid w:val="00194281"/>
    <w:rsid w:val="001942A8"/>
    <w:rsid w:val="001942AA"/>
    <w:rsid w:val="001942AC"/>
    <w:rsid w:val="001942B6"/>
    <w:rsid w:val="00194384"/>
    <w:rsid w:val="00194409"/>
    <w:rsid w:val="00194424"/>
    <w:rsid w:val="0019445B"/>
    <w:rsid w:val="0019446C"/>
    <w:rsid w:val="0019448B"/>
    <w:rsid w:val="0019449F"/>
    <w:rsid w:val="001944A4"/>
    <w:rsid w:val="001944E2"/>
    <w:rsid w:val="001944ED"/>
    <w:rsid w:val="0019450E"/>
    <w:rsid w:val="0019452E"/>
    <w:rsid w:val="0019456F"/>
    <w:rsid w:val="00194585"/>
    <w:rsid w:val="001945B6"/>
    <w:rsid w:val="001945DC"/>
    <w:rsid w:val="00194623"/>
    <w:rsid w:val="00194639"/>
    <w:rsid w:val="00194651"/>
    <w:rsid w:val="00194668"/>
    <w:rsid w:val="0019474E"/>
    <w:rsid w:val="00194759"/>
    <w:rsid w:val="001947E1"/>
    <w:rsid w:val="001947F3"/>
    <w:rsid w:val="0019480C"/>
    <w:rsid w:val="0019484D"/>
    <w:rsid w:val="0019485F"/>
    <w:rsid w:val="00194865"/>
    <w:rsid w:val="00194889"/>
    <w:rsid w:val="00194890"/>
    <w:rsid w:val="001948CA"/>
    <w:rsid w:val="001948DE"/>
    <w:rsid w:val="001948FE"/>
    <w:rsid w:val="0019492A"/>
    <w:rsid w:val="00194954"/>
    <w:rsid w:val="0019496A"/>
    <w:rsid w:val="001949CB"/>
    <w:rsid w:val="001949CF"/>
    <w:rsid w:val="001949F5"/>
    <w:rsid w:val="001949F8"/>
    <w:rsid w:val="00194A1E"/>
    <w:rsid w:val="00194A3D"/>
    <w:rsid w:val="00194A6F"/>
    <w:rsid w:val="00194A91"/>
    <w:rsid w:val="00194AB5"/>
    <w:rsid w:val="00194B4A"/>
    <w:rsid w:val="00194B60"/>
    <w:rsid w:val="00194B67"/>
    <w:rsid w:val="00194BBF"/>
    <w:rsid w:val="00194BC1"/>
    <w:rsid w:val="00194C74"/>
    <w:rsid w:val="00194C76"/>
    <w:rsid w:val="00194C85"/>
    <w:rsid w:val="00194C9D"/>
    <w:rsid w:val="00194CA4"/>
    <w:rsid w:val="00194CEA"/>
    <w:rsid w:val="00194D0E"/>
    <w:rsid w:val="00194D26"/>
    <w:rsid w:val="00194D82"/>
    <w:rsid w:val="00194DF9"/>
    <w:rsid w:val="00194EB5"/>
    <w:rsid w:val="00194EEE"/>
    <w:rsid w:val="00194EFA"/>
    <w:rsid w:val="00194F15"/>
    <w:rsid w:val="00194F35"/>
    <w:rsid w:val="00194F9F"/>
    <w:rsid w:val="00194FBD"/>
    <w:rsid w:val="00194FDC"/>
    <w:rsid w:val="00195006"/>
    <w:rsid w:val="00195037"/>
    <w:rsid w:val="00195088"/>
    <w:rsid w:val="0019509E"/>
    <w:rsid w:val="001950A2"/>
    <w:rsid w:val="001950B7"/>
    <w:rsid w:val="001950EE"/>
    <w:rsid w:val="001950FB"/>
    <w:rsid w:val="0019511F"/>
    <w:rsid w:val="00195193"/>
    <w:rsid w:val="0019519F"/>
    <w:rsid w:val="001951DB"/>
    <w:rsid w:val="00195230"/>
    <w:rsid w:val="0019525E"/>
    <w:rsid w:val="00195276"/>
    <w:rsid w:val="00195278"/>
    <w:rsid w:val="00195286"/>
    <w:rsid w:val="0019529B"/>
    <w:rsid w:val="001952E4"/>
    <w:rsid w:val="0019530C"/>
    <w:rsid w:val="0019533B"/>
    <w:rsid w:val="00195345"/>
    <w:rsid w:val="00195380"/>
    <w:rsid w:val="00195393"/>
    <w:rsid w:val="0019539C"/>
    <w:rsid w:val="0019539F"/>
    <w:rsid w:val="001953A0"/>
    <w:rsid w:val="001953B6"/>
    <w:rsid w:val="001953EA"/>
    <w:rsid w:val="0019540C"/>
    <w:rsid w:val="001954A9"/>
    <w:rsid w:val="001954F6"/>
    <w:rsid w:val="00195504"/>
    <w:rsid w:val="0019552C"/>
    <w:rsid w:val="00195536"/>
    <w:rsid w:val="00195547"/>
    <w:rsid w:val="0019556E"/>
    <w:rsid w:val="001955CB"/>
    <w:rsid w:val="001955D6"/>
    <w:rsid w:val="001955FE"/>
    <w:rsid w:val="00195600"/>
    <w:rsid w:val="00195639"/>
    <w:rsid w:val="0019566D"/>
    <w:rsid w:val="00195673"/>
    <w:rsid w:val="00195681"/>
    <w:rsid w:val="00195691"/>
    <w:rsid w:val="001956B6"/>
    <w:rsid w:val="001956E6"/>
    <w:rsid w:val="001956E8"/>
    <w:rsid w:val="001956EA"/>
    <w:rsid w:val="001956F9"/>
    <w:rsid w:val="00195701"/>
    <w:rsid w:val="0019570C"/>
    <w:rsid w:val="0019571D"/>
    <w:rsid w:val="00195736"/>
    <w:rsid w:val="00195765"/>
    <w:rsid w:val="00195767"/>
    <w:rsid w:val="00195779"/>
    <w:rsid w:val="001957A1"/>
    <w:rsid w:val="001957DA"/>
    <w:rsid w:val="00195808"/>
    <w:rsid w:val="0019580C"/>
    <w:rsid w:val="0019585E"/>
    <w:rsid w:val="001958A0"/>
    <w:rsid w:val="001958B2"/>
    <w:rsid w:val="001958DF"/>
    <w:rsid w:val="001958EC"/>
    <w:rsid w:val="00195927"/>
    <w:rsid w:val="00195932"/>
    <w:rsid w:val="00195936"/>
    <w:rsid w:val="0019595A"/>
    <w:rsid w:val="00195994"/>
    <w:rsid w:val="00195A81"/>
    <w:rsid w:val="00195AA1"/>
    <w:rsid w:val="00195AA4"/>
    <w:rsid w:val="00195ABA"/>
    <w:rsid w:val="00195B27"/>
    <w:rsid w:val="00195BA9"/>
    <w:rsid w:val="00195BAD"/>
    <w:rsid w:val="00195BB7"/>
    <w:rsid w:val="00195BBE"/>
    <w:rsid w:val="00195C00"/>
    <w:rsid w:val="00195C21"/>
    <w:rsid w:val="00195C74"/>
    <w:rsid w:val="00195C9A"/>
    <w:rsid w:val="00195CDE"/>
    <w:rsid w:val="00195D09"/>
    <w:rsid w:val="00195D5E"/>
    <w:rsid w:val="00195DD9"/>
    <w:rsid w:val="00195DDD"/>
    <w:rsid w:val="00195E4F"/>
    <w:rsid w:val="00195E61"/>
    <w:rsid w:val="00195E68"/>
    <w:rsid w:val="00195E75"/>
    <w:rsid w:val="00195E7A"/>
    <w:rsid w:val="00195E86"/>
    <w:rsid w:val="00195EAC"/>
    <w:rsid w:val="00195EC9"/>
    <w:rsid w:val="00195ED1"/>
    <w:rsid w:val="00195F11"/>
    <w:rsid w:val="00195FC2"/>
    <w:rsid w:val="00195FCF"/>
    <w:rsid w:val="0019604B"/>
    <w:rsid w:val="00196056"/>
    <w:rsid w:val="00196068"/>
    <w:rsid w:val="0019606C"/>
    <w:rsid w:val="00196096"/>
    <w:rsid w:val="001960AB"/>
    <w:rsid w:val="001960E9"/>
    <w:rsid w:val="001960EF"/>
    <w:rsid w:val="001960FA"/>
    <w:rsid w:val="00196106"/>
    <w:rsid w:val="00196129"/>
    <w:rsid w:val="00196132"/>
    <w:rsid w:val="0019615A"/>
    <w:rsid w:val="001961B4"/>
    <w:rsid w:val="001961B8"/>
    <w:rsid w:val="001961E8"/>
    <w:rsid w:val="00196200"/>
    <w:rsid w:val="00196222"/>
    <w:rsid w:val="00196225"/>
    <w:rsid w:val="0019622D"/>
    <w:rsid w:val="00196248"/>
    <w:rsid w:val="00196249"/>
    <w:rsid w:val="00196281"/>
    <w:rsid w:val="00196292"/>
    <w:rsid w:val="001962E3"/>
    <w:rsid w:val="001962E7"/>
    <w:rsid w:val="001962F6"/>
    <w:rsid w:val="001962FD"/>
    <w:rsid w:val="0019630F"/>
    <w:rsid w:val="00196325"/>
    <w:rsid w:val="00196334"/>
    <w:rsid w:val="00196347"/>
    <w:rsid w:val="00196358"/>
    <w:rsid w:val="0019635B"/>
    <w:rsid w:val="0019637C"/>
    <w:rsid w:val="00196397"/>
    <w:rsid w:val="001963D8"/>
    <w:rsid w:val="001963E6"/>
    <w:rsid w:val="001963FD"/>
    <w:rsid w:val="00196404"/>
    <w:rsid w:val="00196454"/>
    <w:rsid w:val="001964B4"/>
    <w:rsid w:val="001964BF"/>
    <w:rsid w:val="001964EE"/>
    <w:rsid w:val="00196511"/>
    <w:rsid w:val="0019651B"/>
    <w:rsid w:val="001965FF"/>
    <w:rsid w:val="0019662F"/>
    <w:rsid w:val="0019665D"/>
    <w:rsid w:val="00196695"/>
    <w:rsid w:val="001966AA"/>
    <w:rsid w:val="001966C6"/>
    <w:rsid w:val="001966D9"/>
    <w:rsid w:val="00196727"/>
    <w:rsid w:val="00196749"/>
    <w:rsid w:val="00196754"/>
    <w:rsid w:val="001967E9"/>
    <w:rsid w:val="001967FE"/>
    <w:rsid w:val="0019686B"/>
    <w:rsid w:val="001968AA"/>
    <w:rsid w:val="00196901"/>
    <w:rsid w:val="001969A9"/>
    <w:rsid w:val="001969BB"/>
    <w:rsid w:val="001969D7"/>
    <w:rsid w:val="001969FC"/>
    <w:rsid w:val="00196A1B"/>
    <w:rsid w:val="00196A60"/>
    <w:rsid w:val="00196A71"/>
    <w:rsid w:val="00196A7D"/>
    <w:rsid w:val="00196A80"/>
    <w:rsid w:val="00196A91"/>
    <w:rsid w:val="00196B22"/>
    <w:rsid w:val="00196B23"/>
    <w:rsid w:val="00196B30"/>
    <w:rsid w:val="00196B73"/>
    <w:rsid w:val="00196B95"/>
    <w:rsid w:val="00196BA9"/>
    <w:rsid w:val="00196BDB"/>
    <w:rsid w:val="00196BEF"/>
    <w:rsid w:val="00196BFD"/>
    <w:rsid w:val="00196C2A"/>
    <w:rsid w:val="00196C3F"/>
    <w:rsid w:val="00196C60"/>
    <w:rsid w:val="00196CAA"/>
    <w:rsid w:val="00196CC4"/>
    <w:rsid w:val="00196CE9"/>
    <w:rsid w:val="00196D23"/>
    <w:rsid w:val="00196D27"/>
    <w:rsid w:val="00196D63"/>
    <w:rsid w:val="00196D67"/>
    <w:rsid w:val="00196D9C"/>
    <w:rsid w:val="00196DC4"/>
    <w:rsid w:val="00196DCD"/>
    <w:rsid w:val="00196DD0"/>
    <w:rsid w:val="00196DF2"/>
    <w:rsid w:val="00196E0E"/>
    <w:rsid w:val="00196E52"/>
    <w:rsid w:val="00196E5F"/>
    <w:rsid w:val="00196E90"/>
    <w:rsid w:val="00196EBB"/>
    <w:rsid w:val="00196EC2"/>
    <w:rsid w:val="00196F0E"/>
    <w:rsid w:val="00196F1E"/>
    <w:rsid w:val="00197009"/>
    <w:rsid w:val="00197013"/>
    <w:rsid w:val="0019705B"/>
    <w:rsid w:val="001970EB"/>
    <w:rsid w:val="001970F9"/>
    <w:rsid w:val="00197105"/>
    <w:rsid w:val="00197130"/>
    <w:rsid w:val="00197152"/>
    <w:rsid w:val="00197160"/>
    <w:rsid w:val="001971A9"/>
    <w:rsid w:val="001971AD"/>
    <w:rsid w:val="001971B7"/>
    <w:rsid w:val="001971E4"/>
    <w:rsid w:val="001971F8"/>
    <w:rsid w:val="00197214"/>
    <w:rsid w:val="00197233"/>
    <w:rsid w:val="00197242"/>
    <w:rsid w:val="0019728F"/>
    <w:rsid w:val="001972A0"/>
    <w:rsid w:val="001972D3"/>
    <w:rsid w:val="00197356"/>
    <w:rsid w:val="00197367"/>
    <w:rsid w:val="00197379"/>
    <w:rsid w:val="001973C2"/>
    <w:rsid w:val="001973C9"/>
    <w:rsid w:val="001973EE"/>
    <w:rsid w:val="001973F6"/>
    <w:rsid w:val="00197417"/>
    <w:rsid w:val="00197462"/>
    <w:rsid w:val="0019747E"/>
    <w:rsid w:val="00197483"/>
    <w:rsid w:val="001974D3"/>
    <w:rsid w:val="001974DB"/>
    <w:rsid w:val="001974E1"/>
    <w:rsid w:val="0019750A"/>
    <w:rsid w:val="00197536"/>
    <w:rsid w:val="0019754D"/>
    <w:rsid w:val="00197573"/>
    <w:rsid w:val="001975A7"/>
    <w:rsid w:val="001975F3"/>
    <w:rsid w:val="001975F6"/>
    <w:rsid w:val="00197626"/>
    <w:rsid w:val="00197670"/>
    <w:rsid w:val="00197680"/>
    <w:rsid w:val="00197682"/>
    <w:rsid w:val="00197683"/>
    <w:rsid w:val="0019769D"/>
    <w:rsid w:val="001976AD"/>
    <w:rsid w:val="001976F8"/>
    <w:rsid w:val="0019778F"/>
    <w:rsid w:val="001977F7"/>
    <w:rsid w:val="00197800"/>
    <w:rsid w:val="0019784F"/>
    <w:rsid w:val="00197863"/>
    <w:rsid w:val="00197865"/>
    <w:rsid w:val="001978D5"/>
    <w:rsid w:val="00197900"/>
    <w:rsid w:val="0019793A"/>
    <w:rsid w:val="0019793C"/>
    <w:rsid w:val="0019795A"/>
    <w:rsid w:val="001979CB"/>
    <w:rsid w:val="001979F9"/>
    <w:rsid w:val="001979FE"/>
    <w:rsid w:val="00197A13"/>
    <w:rsid w:val="00197A2C"/>
    <w:rsid w:val="00197A65"/>
    <w:rsid w:val="00197A99"/>
    <w:rsid w:val="00197AAC"/>
    <w:rsid w:val="00197ACA"/>
    <w:rsid w:val="00197AEF"/>
    <w:rsid w:val="00197B32"/>
    <w:rsid w:val="00197B50"/>
    <w:rsid w:val="00197BFD"/>
    <w:rsid w:val="00197BFF"/>
    <w:rsid w:val="00197C33"/>
    <w:rsid w:val="00197C62"/>
    <w:rsid w:val="00197C97"/>
    <w:rsid w:val="00197CB2"/>
    <w:rsid w:val="00197CBE"/>
    <w:rsid w:val="00197CC1"/>
    <w:rsid w:val="00197CD6"/>
    <w:rsid w:val="00197CE2"/>
    <w:rsid w:val="00197CEB"/>
    <w:rsid w:val="00197D24"/>
    <w:rsid w:val="00197D30"/>
    <w:rsid w:val="00197D61"/>
    <w:rsid w:val="00197D75"/>
    <w:rsid w:val="00197D9D"/>
    <w:rsid w:val="00197DA9"/>
    <w:rsid w:val="00197DBF"/>
    <w:rsid w:val="00197E78"/>
    <w:rsid w:val="00197E7F"/>
    <w:rsid w:val="00197E89"/>
    <w:rsid w:val="00197E8A"/>
    <w:rsid w:val="00197E8E"/>
    <w:rsid w:val="00197E9C"/>
    <w:rsid w:val="00197EA3"/>
    <w:rsid w:val="00197F3F"/>
    <w:rsid w:val="00197F6E"/>
    <w:rsid w:val="00197F98"/>
    <w:rsid w:val="00197FD5"/>
    <w:rsid w:val="00197FE3"/>
    <w:rsid w:val="001A0015"/>
    <w:rsid w:val="001A0030"/>
    <w:rsid w:val="001A003B"/>
    <w:rsid w:val="001A006E"/>
    <w:rsid w:val="001A0071"/>
    <w:rsid w:val="001A00C3"/>
    <w:rsid w:val="001A00D0"/>
    <w:rsid w:val="001A00ED"/>
    <w:rsid w:val="001A012B"/>
    <w:rsid w:val="001A0157"/>
    <w:rsid w:val="001A0168"/>
    <w:rsid w:val="001A017D"/>
    <w:rsid w:val="001A017E"/>
    <w:rsid w:val="001A021F"/>
    <w:rsid w:val="001A0227"/>
    <w:rsid w:val="001A02B2"/>
    <w:rsid w:val="001A035A"/>
    <w:rsid w:val="001A0377"/>
    <w:rsid w:val="001A03C2"/>
    <w:rsid w:val="001A03D0"/>
    <w:rsid w:val="001A03D9"/>
    <w:rsid w:val="001A03DD"/>
    <w:rsid w:val="001A03EC"/>
    <w:rsid w:val="001A03ED"/>
    <w:rsid w:val="001A03F2"/>
    <w:rsid w:val="001A03FA"/>
    <w:rsid w:val="001A0410"/>
    <w:rsid w:val="001A0422"/>
    <w:rsid w:val="001A043F"/>
    <w:rsid w:val="001A0487"/>
    <w:rsid w:val="001A048E"/>
    <w:rsid w:val="001A04D4"/>
    <w:rsid w:val="001A050D"/>
    <w:rsid w:val="001A050F"/>
    <w:rsid w:val="001A0524"/>
    <w:rsid w:val="001A053F"/>
    <w:rsid w:val="001A054F"/>
    <w:rsid w:val="001A056C"/>
    <w:rsid w:val="001A0589"/>
    <w:rsid w:val="001A05F3"/>
    <w:rsid w:val="001A065D"/>
    <w:rsid w:val="001A0691"/>
    <w:rsid w:val="001A06A2"/>
    <w:rsid w:val="001A06AC"/>
    <w:rsid w:val="001A06BD"/>
    <w:rsid w:val="001A06D5"/>
    <w:rsid w:val="001A071E"/>
    <w:rsid w:val="001A0756"/>
    <w:rsid w:val="001A077C"/>
    <w:rsid w:val="001A07B6"/>
    <w:rsid w:val="001A07C5"/>
    <w:rsid w:val="001A084A"/>
    <w:rsid w:val="001A08A2"/>
    <w:rsid w:val="001A08D6"/>
    <w:rsid w:val="001A0903"/>
    <w:rsid w:val="001A0958"/>
    <w:rsid w:val="001A095B"/>
    <w:rsid w:val="001A097E"/>
    <w:rsid w:val="001A0995"/>
    <w:rsid w:val="001A0999"/>
    <w:rsid w:val="001A09BF"/>
    <w:rsid w:val="001A09DD"/>
    <w:rsid w:val="001A0A28"/>
    <w:rsid w:val="001A0A70"/>
    <w:rsid w:val="001A0A9A"/>
    <w:rsid w:val="001A0AA9"/>
    <w:rsid w:val="001A0AFC"/>
    <w:rsid w:val="001A0B01"/>
    <w:rsid w:val="001A0B58"/>
    <w:rsid w:val="001A0BC0"/>
    <w:rsid w:val="001A0BC4"/>
    <w:rsid w:val="001A0C0D"/>
    <w:rsid w:val="001A0C36"/>
    <w:rsid w:val="001A0C66"/>
    <w:rsid w:val="001A0CBA"/>
    <w:rsid w:val="001A0CF2"/>
    <w:rsid w:val="001A0CF9"/>
    <w:rsid w:val="001A0D0C"/>
    <w:rsid w:val="001A0D3A"/>
    <w:rsid w:val="001A0D47"/>
    <w:rsid w:val="001A0D4A"/>
    <w:rsid w:val="001A0D97"/>
    <w:rsid w:val="001A0DA3"/>
    <w:rsid w:val="001A0DEF"/>
    <w:rsid w:val="001A0E0A"/>
    <w:rsid w:val="001A0E36"/>
    <w:rsid w:val="001A0E8A"/>
    <w:rsid w:val="001A0E90"/>
    <w:rsid w:val="001A0E92"/>
    <w:rsid w:val="001A0E9F"/>
    <w:rsid w:val="001A0EC0"/>
    <w:rsid w:val="001A0F01"/>
    <w:rsid w:val="001A0F23"/>
    <w:rsid w:val="001A0F85"/>
    <w:rsid w:val="001A1024"/>
    <w:rsid w:val="001A1026"/>
    <w:rsid w:val="001A1045"/>
    <w:rsid w:val="001A1047"/>
    <w:rsid w:val="001A1053"/>
    <w:rsid w:val="001A10AA"/>
    <w:rsid w:val="001A10D5"/>
    <w:rsid w:val="001A1111"/>
    <w:rsid w:val="001A1133"/>
    <w:rsid w:val="001A113C"/>
    <w:rsid w:val="001A116D"/>
    <w:rsid w:val="001A1197"/>
    <w:rsid w:val="001A119F"/>
    <w:rsid w:val="001A11CC"/>
    <w:rsid w:val="001A11FB"/>
    <w:rsid w:val="001A1243"/>
    <w:rsid w:val="001A12A3"/>
    <w:rsid w:val="001A12C5"/>
    <w:rsid w:val="001A12CA"/>
    <w:rsid w:val="001A12FB"/>
    <w:rsid w:val="001A1302"/>
    <w:rsid w:val="001A1303"/>
    <w:rsid w:val="001A1377"/>
    <w:rsid w:val="001A1378"/>
    <w:rsid w:val="001A139E"/>
    <w:rsid w:val="001A1416"/>
    <w:rsid w:val="001A143C"/>
    <w:rsid w:val="001A144D"/>
    <w:rsid w:val="001A1451"/>
    <w:rsid w:val="001A145B"/>
    <w:rsid w:val="001A14C5"/>
    <w:rsid w:val="001A14F1"/>
    <w:rsid w:val="001A154C"/>
    <w:rsid w:val="001A1569"/>
    <w:rsid w:val="001A15C9"/>
    <w:rsid w:val="001A1619"/>
    <w:rsid w:val="001A162A"/>
    <w:rsid w:val="001A163D"/>
    <w:rsid w:val="001A16C1"/>
    <w:rsid w:val="001A16D0"/>
    <w:rsid w:val="001A16D5"/>
    <w:rsid w:val="001A16F8"/>
    <w:rsid w:val="001A170C"/>
    <w:rsid w:val="001A17A9"/>
    <w:rsid w:val="001A17B2"/>
    <w:rsid w:val="001A17F5"/>
    <w:rsid w:val="001A1806"/>
    <w:rsid w:val="001A1807"/>
    <w:rsid w:val="001A180D"/>
    <w:rsid w:val="001A1810"/>
    <w:rsid w:val="001A1855"/>
    <w:rsid w:val="001A18A9"/>
    <w:rsid w:val="001A18AD"/>
    <w:rsid w:val="001A18D2"/>
    <w:rsid w:val="001A190A"/>
    <w:rsid w:val="001A191E"/>
    <w:rsid w:val="001A1925"/>
    <w:rsid w:val="001A1939"/>
    <w:rsid w:val="001A19DB"/>
    <w:rsid w:val="001A19DC"/>
    <w:rsid w:val="001A19F7"/>
    <w:rsid w:val="001A1A16"/>
    <w:rsid w:val="001A1A21"/>
    <w:rsid w:val="001A1A51"/>
    <w:rsid w:val="001A1A57"/>
    <w:rsid w:val="001A1A89"/>
    <w:rsid w:val="001A1A8B"/>
    <w:rsid w:val="001A1A8F"/>
    <w:rsid w:val="001A1A96"/>
    <w:rsid w:val="001A1AAA"/>
    <w:rsid w:val="001A1B69"/>
    <w:rsid w:val="001A1B7C"/>
    <w:rsid w:val="001A1B97"/>
    <w:rsid w:val="001A1BD5"/>
    <w:rsid w:val="001A1C00"/>
    <w:rsid w:val="001A1C1C"/>
    <w:rsid w:val="001A1C21"/>
    <w:rsid w:val="001A1C2A"/>
    <w:rsid w:val="001A1C68"/>
    <w:rsid w:val="001A1C97"/>
    <w:rsid w:val="001A1CC0"/>
    <w:rsid w:val="001A1CE5"/>
    <w:rsid w:val="001A1CEF"/>
    <w:rsid w:val="001A1D3C"/>
    <w:rsid w:val="001A1D63"/>
    <w:rsid w:val="001A1D79"/>
    <w:rsid w:val="001A1E04"/>
    <w:rsid w:val="001A1E73"/>
    <w:rsid w:val="001A1EC9"/>
    <w:rsid w:val="001A1EE0"/>
    <w:rsid w:val="001A1F19"/>
    <w:rsid w:val="001A1F3A"/>
    <w:rsid w:val="001A1F4E"/>
    <w:rsid w:val="001A1FA5"/>
    <w:rsid w:val="001A1FBE"/>
    <w:rsid w:val="001A201C"/>
    <w:rsid w:val="001A2024"/>
    <w:rsid w:val="001A20D8"/>
    <w:rsid w:val="001A210B"/>
    <w:rsid w:val="001A2122"/>
    <w:rsid w:val="001A2159"/>
    <w:rsid w:val="001A216D"/>
    <w:rsid w:val="001A219E"/>
    <w:rsid w:val="001A21BE"/>
    <w:rsid w:val="001A21CC"/>
    <w:rsid w:val="001A21EC"/>
    <w:rsid w:val="001A222C"/>
    <w:rsid w:val="001A2292"/>
    <w:rsid w:val="001A22AC"/>
    <w:rsid w:val="001A22C0"/>
    <w:rsid w:val="001A22C1"/>
    <w:rsid w:val="001A231B"/>
    <w:rsid w:val="001A23A2"/>
    <w:rsid w:val="001A23E1"/>
    <w:rsid w:val="001A23E9"/>
    <w:rsid w:val="001A240D"/>
    <w:rsid w:val="001A2426"/>
    <w:rsid w:val="001A242C"/>
    <w:rsid w:val="001A2431"/>
    <w:rsid w:val="001A2463"/>
    <w:rsid w:val="001A2470"/>
    <w:rsid w:val="001A24B7"/>
    <w:rsid w:val="001A24BD"/>
    <w:rsid w:val="001A2500"/>
    <w:rsid w:val="001A251A"/>
    <w:rsid w:val="001A2526"/>
    <w:rsid w:val="001A252A"/>
    <w:rsid w:val="001A2574"/>
    <w:rsid w:val="001A257A"/>
    <w:rsid w:val="001A258F"/>
    <w:rsid w:val="001A25B2"/>
    <w:rsid w:val="001A2658"/>
    <w:rsid w:val="001A2665"/>
    <w:rsid w:val="001A26A6"/>
    <w:rsid w:val="001A26F8"/>
    <w:rsid w:val="001A26F9"/>
    <w:rsid w:val="001A2726"/>
    <w:rsid w:val="001A27AB"/>
    <w:rsid w:val="001A27DA"/>
    <w:rsid w:val="001A27DD"/>
    <w:rsid w:val="001A27EF"/>
    <w:rsid w:val="001A2888"/>
    <w:rsid w:val="001A2889"/>
    <w:rsid w:val="001A2930"/>
    <w:rsid w:val="001A2957"/>
    <w:rsid w:val="001A2974"/>
    <w:rsid w:val="001A29A2"/>
    <w:rsid w:val="001A29CA"/>
    <w:rsid w:val="001A29F9"/>
    <w:rsid w:val="001A2A29"/>
    <w:rsid w:val="001A2A4D"/>
    <w:rsid w:val="001A2A85"/>
    <w:rsid w:val="001A2A87"/>
    <w:rsid w:val="001A2AEF"/>
    <w:rsid w:val="001A2B63"/>
    <w:rsid w:val="001A2B66"/>
    <w:rsid w:val="001A2BB4"/>
    <w:rsid w:val="001A2BC2"/>
    <w:rsid w:val="001A2C42"/>
    <w:rsid w:val="001A2C8F"/>
    <w:rsid w:val="001A2C90"/>
    <w:rsid w:val="001A2CCA"/>
    <w:rsid w:val="001A2CFF"/>
    <w:rsid w:val="001A2D79"/>
    <w:rsid w:val="001A2D8D"/>
    <w:rsid w:val="001A2D94"/>
    <w:rsid w:val="001A2DED"/>
    <w:rsid w:val="001A2E12"/>
    <w:rsid w:val="001A2E9B"/>
    <w:rsid w:val="001A2EBE"/>
    <w:rsid w:val="001A2EDD"/>
    <w:rsid w:val="001A2EEA"/>
    <w:rsid w:val="001A2F05"/>
    <w:rsid w:val="001A2F68"/>
    <w:rsid w:val="001A2F72"/>
    <w:rsid w:val="001A2F89"/>
    <w:rsid w:val="001A2F99"/>
    <w:rsid w:val="001A2F9E"/>
    <w:rsid w:val="001A2FC9"/>
    <w:rsid w:val="001A2FE9"/>
    <w:rsid w:val="001A2FF2"/>
    <w:rsid w:val="001A2FFF"/>
    <w:rsid w:val="001A3042"/>
    <w:rsid w:val="001A3088"/>
    <w:rsid w:val="001A30AA"/>
    <w:rsid w:val="001A311C"/>
    <w:rsid w:val="001A313A"/>
    <w:rsid w:val="001A31B0"/>
    <w:rsid w:val="001A3250"/>
    <w:rsid w:val="001A3251"/>
    <w:rsid w:val="001A32CC"/>
    <w:rsid w:val="001A32DA"/>
    <w:rsid w:val="001A32F1"/>
    <w:rsid w:val="001A336A"/>
    <w:rsid w:val="001A33A4"/>
    <w:rsid w:val="001A33CC"/>
    <w:rsid w:val="001A33CD"/>
    <w:rsid w:val="001A33DF"/>
    <w:rsid w:val="001A33E2"/>
    <w:rsid w:val="001A340A"/>
    <w:rsid w:val="001A3415"/>
    <w:rsid w:val="001A3432"/>
    <w:rsid w:val="001A343C"/>
    <w:rsid w:val="001A3440"/>
    <w:rsid w:val="001A3490"/>
    <w:rsid w:val="001A34B5"/>
    <w:rsid w:val="001A35C3"/>
    <w:rsid w:val="001A360C"/>
    <w:rsid w:val="001A367B"/>
    <w:rsid w:val="001A368D"/>
    <w:rsid w:val="001A36A9"/>
    <w:rsid w:val="001A36BD"/>
    <w:rsid w:val="001A36F0"/>
    <w:rsid w:val="001A3716"/>
    <w:rsid w:val="001A371F"/>
    <w:rsid w:val="001A3753"/>
    <w:rsid w:val="001A3756"/>
    <w:rsid w:val="001A3796"/>
    <w:rsid w:val="001A37BE"/>
    <w:rsid w:val="001A37C6"/>
    <w:rsid w:val="001A37DA"/>
    <w:rsid w:val="001A37E3"/>
    <w:rsid w:val="001A3829"/>
    <w:rsid w:val="001A3857"/>
    <w:rsid w:val="001A385B"/>
    <w:rsid w:val="001A38BE"/>
    <w:rsid w:val="001A38C4"/>
    <w:rsid w:val="001A38EC"/>
    <w:rsid w:val="001A3912"/>
    <w:rsid w:val="001A3945"/>
    <w:rsid w:val="001A3960"/>
    <w:rsid w:val="001A3975"/>
    <w:rsid w:val="001A399F"/>
    <w:rsid w:val="001A39F5"/>
    <w:rsid w:val="001A3A28"/>
    <w:rsid w:val="001A3A2A"/>
    <w:rsid w:val="001A3A3A"/>
    <w:rsid w:val="001A3A46"/>
    <w:rsid w:val="001A3A71"/>
    <w:rsid w:val="001A3AAE"/>
    <w:rsid w:val="001A3AB7"/>
    <w:rsid w:val="001A3B2A"/>
    <w:rsid w:val="001A3BA0"/>
    <w:rsid w:val="001A3BA7"/>
    <w:rsid w:val="001A3BAE"/>
    <w:rsid w:val="001A3BBF"/>
    <w:rsid w:val="001A3BC5"/>
    <w:rsid w:val="001A3BCB"/>
    <w:rsid w:val="001A3C3B"/>
    <w:rsid w:val="001A3C50"/>
    <w:rsid w:val="001A3C5B"/>
    <w:rsid w:val="001A3C92"/>
    <w:rsid w:val="001A3CB2"/>
    <w:rsid w:val="001A3CB4"/>
    <w:rsid w:val="001A3D00"/>
    <w:rsid w:val="001A3D0A"/>
    <w:rsid w:val="001A3D8B"/>
    <w:rsid w:val="001A3DB1"/>
    <w:rsid w:val="001A3DFF"/>
    <w:rsid w:val="001A3E02"/>
    <w:rsid w:val="001A3E75"/>
    <w:rsid w:val="001A3E7B"/>
    <w:rsid w:val="001A3E8D"/>
    <w:rsid w:val="001A3E97"/>
    <w:rsid w:val="001A3EB5"/>
    <w:rsid w:val="001A3EB9"/>
    <w:rsid w:val="001A3EBC"/>
    <w:rsid w:val="001A3EC0"/>
    <w:rsid w:val="001A3F34"/>
    <w:rsid w:val="001A3F45"/>
    <w:rsid w:val="001A3F46"/>
    <w:rsid w:val="001A3FCE"/>
    <w:rsid w:val="001A3FF3"/>
    <w:rsid w:val="001A4023"/>
    <w:rsid w:val="001A403D"/>
    <w:rsid w:val="001A4060"/>
    <w:rsid w:val="001A4064"/>
    <w:rsid w:val="001A4072"/>
    <w:rsid w:val="001A407E"/>
    <w:rsid w:val="001A40A5"/>
    <w:rsid w:val="001A40E7"/>
    <w:rsid w:val="001A40F8"/>
    <w:rsid w:val="001A4154"/>
    <w:rsid w:val="001A41BE"/>
    <w:rsid w:val="001A41DA"/>
    <w:rsid w:val="001A4219"/>
    <w:rsid w:val="001A4243"/>
    <w:rsid w:val="001A42A7"/>
    <w:rsid w:val="001A42B3"/>
    <w:rsid w:val="001A42BB"/>
    <w:rsid w:val="001A42C7"/>
    <w:rsid w:val="001A42D5"/>
    <w:rsid w:val="001A42E9"/>
    <w:rsid w:val="001A42EF"/>
    <w:rsid w:val="001A42F0"/>
    <w:rsid w:val="001A4303"/>
    <w:rsid w:val="001A4316"/>
    <w:rsid w:val="001A4322"/>
    <w:rsid w:val="001A4361"/>
    <w:rsid w:val="001A4364"/>
    <w:rsid w:val="001A436A"/>
    <w:rsid w:val="001A43C4"/>
    <w:rsid w:val="001A43FB"/>
    <w:rsid w:val="001A444B"/>
    <w:rsid w:val="001A4483"/>
    <w:rsid w:val="001A44EB"/>
    <w:rsid w:val="001A451F"/>
    <w:rsid w:val="001A4527"/>
    <w:rsid w:val="001A453B"/>
    <w:rsid w:val="001A459F"/>
    <w:rsid w:val="001A4666"/>
    <w:rsid w:val="001A4687"/>
    <w:rsid w:val="001A46F5"/>
    <w:rsid w:val="001A473A"/>
    <w:rsid w:val="001A474B"/>
    <w:rsid w:val="001A4797"/>
    <w:rsid w:val="001A47A4"/>
    <w:rsid w:val="001A47F0"/>
    <w:rsid w:val="001A4805"/>
    <w:rsid w:val="001A4841"/>
    <w:rsid w:val="001A4868"/>
    <w:rsid w:val="001A48BE"/>
    <w:rsid w:val="001A4941"/>
    <w:rsid w:val="001A49A4"/>
    <w:rsid w:val="001A49A9"/>
    <w:rsid w:val="001A49C9"/>
    <w:rsid w:val="001A49D5"/>
    <w:rsid w:val="001A4A1C"/>
    <w:rsid w:val="001A4A26"/>
    <w:rsid w:val="001A4A35"/>
    <w:rsid w:val="001A4A44"/>
    <w:rsid w:val="001A4A74"/>
    <w:rsid w:val="001A4A91"/>
    <w:rsid w:val="001A4AA3"/>
    <w:rsid w:val="001A4B04"/>
    <w:rsid w:val="001A4B0A"/>
    <w:rsid w:val="001A4B12"/>
    <w:rsid w:val="001A4B2B"/>
    <w:rsid w:val="001A4B33"/>
    <w:rsid w:val="001A4B81"/>
    <w:rsid w:val="001A4B9D"/>
    <w:rsid w:val="001A4BAB"/>
    <w:rsid w:val="001A4BAD"/>
    <w:rsid w:val="001A4BC6"/>
    <w:rsid w:val="001A4C00"/>
    <w:rsid w:val="001A4CDE"/>
    <w:rsid w:val="001A4D0F"/>
    <w:rsid w:val="001A4D16"/>
    <w:rsid w:val="001A4D43"/>
    <w:rsid w:val="001A4E12"/>
    <w:rsid w:val="001A4E88"/>
    <w:rsid w:val="001A4EB6"/>
    <w:rsid w:val="001A4ECD"/>
    <w:rsid w:val="001A4EFD"/>
    <w:rsid w:val="001A4F36"/>
    <w:rsid w:val="001A4FD5"/>
    <w:rsid w:val="001A4FEC"/>
    <w:rsid w:val="001A504D"/>
    <w:rsid w:val="001A5055"/>
    <w:rsid w:val="001A505F"/>
    <w:rsid w:val="001A5064"/>
    <w:rsid w:val="001A508E"/>
    <w:rsid w:val="001A509A"/>
    <w:rsid w:val="001A50A6"/>
    <w:rsid w:val="001A50A7"/>
    <w:rsid w:val="001A50F8"/>
    <w:rsid w:val="001A5134"/>
    <w:rsid w:val="001A5138"/>
    <w:rsid w:val="001A5148"/>
    <w:rsid w:val="001A5176"/>
    <w:rsid w:val="001A51E8"/>
    <w:rsid w:val="001A5217"/>
    <w:rsid w:val="001A5219"/>
    <w:rsid w:val="001A52A0"/>
    <w:rsid w:val="001A52C4"/>
    <w:rsid w:val="001A52CD"/>
    <w:rsid w:val="001A52E6"/>
    <w:rsid w:val="001A52FF"/>
    <w:rsid w:val="001A530E"/>
    <w:rsid w:val="001A5384"/>
    <w:rsid w:val="001A53AD"/>
    <w:rsid w:val="001A53B8"/>
    <w:rsid w:val="001A53DD"/>
    <w:rsid w:val="001A540B"/>
    <w:rsid w:val="001A54A4"/>
    <w:rsid w:val="001A54FD"/>
    <w:rsid w:val="001A556B"/>
    <w:rsid w:val="001A556F"/>
    <w:rsid w:val="001A558B"/>
    <w:rsid w:val="001A55EF"/>
    <w:rsid w:val="001A5669"/>
    <w:rsid w:val="001A56B0"/>
    <w:rsid w:val="001A56C6"/>
    <w:rsid w:val="001A56D0"/>
    <w:rsid w:val="001A5712"/>
    <w:rsid w:val="001A571C"/>
    <w:rsid w:val="001A5730"/>
    <w:rsid w:val="001A5752"/>
    <w:rsid w:val="001A575C"/>
    <w:rsid w:val="001A5761"/>
    <w:rsid w:val="001A576A"/>
    <w:rsid w:val="001A5770"/>
    <w:rsid w:val="001A5778"/>
    <w:rsid w:val="001A57A0"/>
    <w:rsid w:val="001A57B4"/>
    <w:rsid w:val="001A57D6"/>
    <w:rsid w:val="001A581A"/>
    <w:rsid w:val="001A581F"/>
    <w:rsid w:val="001A5820"/>
    <w:rsid w:val="001A5827"/>
    <w:rsid w:val="001A5846"/>
    <w:rsid w:val="001A584A"/>
    <w:rsid w:val="001A5858"/>
    <w:rsid w:val="001A58EE"/>
    <w:rsid w:val="001A58F0"/>
    <w:rsid w:val="001A58F6"/>
    <w:rsid w:val="001A593E"/>
    <w:rsid w:val="001A59F1"/>
    <w:rsid w:val="001A59FB"/>
    <w:rsid w:val="001A5A34"/>
    <w:rsid w:val="001A5A4A"/>
    <w:rsid w:val="001A5A62"/>
    <w:rsid w:val="001A5A6F"/>
    <w:rsid w:val="001A5B5F"/>
    <w:rsid w:val="001A5B95"/>
    <w:rsid w:val="001A5BDF"/>
    <w:rsid w:val="001A5CAC"/>
    <w:rsid w:val="001A5CD6"/>
    <w:rsid w:val="001A5CF3"/>
    <w:rsid w:val="001A5D01"/>
    <w:rsid w:val="001A5D4E"/>
    <w:rsid w:val="001A5D60"/>
    <w:rsid w:val="001A5E68"/>
    <w:rsid w:val="001A5E9A"/>
    <w:rsid w:val="001A5EFA"/>
    <w:rsid w:val="001A5F5E"/>
    <w:rsid w:val="001A5F9C"/>
    <w:rsid w:val="001A5FA3"/>
    <w:rsid w:val="001A5FB6"/>
    <w:rsid w:val="001A5FD7"/>
    <w:rsid w:val="001A5FDB"/>
    <w:rsid w:val="001A6002"/>
    <w:rsid w:val="001A6090"/>
    <w:rsid w:val="001A6097"/>
    <w:rsid w:val="001A609C"/>
    <w:rsid w:val="001A60D9"/>
    <w:rsid w:val="001A611B"/>
    <w:rsid w:val="001A6123"/>
    <w:rsid w:val="001A6124"/>
    <w:rsid w:val="001A6159"/>
    <w:rsid w:val="001A61E7"/>
    <w:rsid w:val="001A61F0"/>
    <w:rsid w:val="001A620F"/>
    <w:rsid w:val="001A625B"/>
    <w:rsid w:val="001A6271"/>
    <w:rsid w:val="001A62B5"/>
    <w:rsid w:val="001A62BE"/>
    <w:rsid w:val="001A62E4"/>
    <w:rsid w:val="001A636F"/>
    <w:rsid w:val="001A638B"/>
    <w:rsid w:val="001A63A4"/>
    <w:rsid w:val="001A63EF"/>
    <w:rsid w:val="001A640A"/>
    <w:rsid w:val="001A6425"/>
    <w:rsid w:val="001A644F"/>
    <w:rsid w:val="001A647C"/>
    <w:rsid w:val="001A6491"/>
    <w:rsid w:val="001A649A"/>
    <w:rsid w:val="001A649B"/>
    <w:rsid w:val="001A64D4"/>
    <w:rsid w:val="001A64DD"/>
    <w:rsid w:val="001A64E7"/>
    <w:rsid w:val="001A6527"/>
    <w:rsid w:val="001A656F"/>
    <w:rsid w:val="001A659D"/>
    <w:rsid w:val="001A65AD"/>
    <w:rsid w:val="001A65CB"/>
    <w:rsid w:val="001A65D4"/>
    <w:rsid w:val="001A65DD"/>
    <w:rsid w:val="001A65E0"/>
    <w:rsid w:val="001A65F2"/>
    <w:rsid w:val="001A6678"/>
    <w:rsid w:val="001A6698"/>
    <w:rsid w:val="001A66AC"/>
    <w:rsid w:val="001A66F0"/>
    <w:rsid w:val="001A6700"/>
    <w:rsid w:val="001A6722"/>
    <w:rsid w:val="001A6732"/>
    <w:rsid w:val="001A6736"/>
    <w:rsid w:val="001A6758"/>
    <w:rsid w:val="001A6781"/>
    <w:rsid w:val="001A6804"/>
    <w:rsid w:val="001A6810"/>
    <w:rsid w:val="001A6817"/>
    <w:rsid w:val="001A6821"/>
    <w:rsid w:val="001A682B"/>
    <w:rsid w:val="001A683B"/>
    <w:rsid w:val="001A6892"/>
    <w:rsid w:val="001A6899"/>
    <w:rsid w:val="001A68A1"/>
    <w:rsid w:val="001A68A9"/>
    <w:rsid w:val="001A68BC"/>
    <w:rsid w:val="001A68C0"/>
    <w:rsid w:val="001A68D3"/>
    <w:rsid w:val="001A68E2"/>
    <w:rsid w:val="001A693C"/>
    <w:rsid w:val="001A6944"/>
    <w:rsid w:val="001A6961"/>
    <w:rsid w:val="001A69B3"/>
    <w:rsid w:val="001A69C9"/>
    <w:rsid w:val="001A6A04"/>
    <w:rsid w:val="001A6A15"/>
    <w:rsid w:val="001A6A36"/>
    <w:rsid w:val="001A6AAB"/>
    <w:rsid w:val="001A6AB5"/>
    <w:rsid w:val="001A6ACA"/>
    <w:rsid w:val="001A6AD7"/>
    <w:rsid w:val="001A6B0D"/>
    <w:rsid w:val="001A6B55"/>
    <w:rsid w:val="001A6BD5"/>
    <w:rsid w:val="001A6C01"/>
    <w:rsid w:val="001A6C0E"/>
    <w:rsid w:val="001A6C3D"/>
    <w:rsid w:val="001A6C54"/>
    <w:rsid w:val="001A6C64"/>
    <w:rsid w:val="001A6C75"/>
    <w:rsid w:val="001A6C7B"/>
    <w:rsid w:val="001A6CAE"/>
    <w:rsid w:val="001A6CB5"/>
    <w:rsid w:val="001A6CD2"/>
    <w:rsid w:val="001A6CDE"/>
    <w:rsid w:val="001A6CE8"/>
    <w:rsid w:val="001A6CF7"/>
    <w:rsid w:val="001A6D26"/>
    <w:rsid w:val="001A6D9A"/>
    <w:rsid w:val="001A6DDE"/>
    <w:rsid w:val="001A6DE0"/>
    <w:rsid w:val="001A6DEE"/>
    <w:rsid w:val="001A6E3D"/>
    <w:rsid w:val="001A6E4B"/>
    <w:rsid w:val="001A6E50"/>
    <w:rsid w:val="001A6E84"/>
    <w:rsid w:val="001A6EAB"/>
    <w:rsid w:val="001A6EC2"/>
    <w:rsid w:val="001A6ED4"/>
    <w:rsid w:val="001A6EE2"/>
    <w:rsid w:val="001A6F33"/>
    <w:rsid w:val="001A6F3B"/>
    <w:rsid w:val="001A6F54"/>
    <w:rsid w:val="001A6F79"/>
    <w:rsid w:val="001A6FCE"/>
    <w:rsid w:val="001A6FD2"/>
    <w:rsid w:val="001A7006"/>
    <w:rsid w:val="001A7037"/>
    <w:rsid w:val="001A7058"/>
    <w:rsid w:val="001A7068"/>
    <w:rsid w:val="001A7077"/>
    <w:rsid w:val="001A707E"/>
    <w:rsid w:val="001A7098"/>
    <w:rsid w:val="001A70D0"/>
    <w:rsid w:val="001A70E1"/>
    <w:rsid w:val="001A7114"/>
    <w:rsid w:val="001A715C"/>
    <w:rsid w:val="001A71A4"/>
    <w:rsid w:val="001A71B1"/>
    <w:rsid w:val="001A71FB"/>
    <w:rsid w:val="001A7213"/>
    <w:rsid w:val="001A7236"/>
    <w:rsid w:val="001A723E"/>
    <w:rsid w:val="001A7267"/>
    <w:rsid w:val="001A727E"/>
    <w:rsid w:val="001A72B3"/>
    <w:rsid w:val="001A72C6"/>
    <w:rsid w:val="001A72D1"/>
    <w:rsid w:val="001A7322"/>
    <w:rsid w:val="001A7324"/>
    <w:rsid w:val="001A7398"/>
    <w:rsid w:val="001A73C8"/>
    <w:rsid w:val="001A73F0"/>
    <w:rsid w:val="001A73F4"/>
    <w:rsid w:val="001A73FA"/>
    <w:rsid w:val="001A73FD"/>
    <w:rsid w:val="001A7416"/>
    <w:rsid w:val="001A742D"/>
    <w:rsid w:val="001A7444"/>
    <w:rsid w:val="001A7452"/>
    <w:rsid w:val="001A745A"/>
    <w:rsid w:val="001A7462"/>
    <w:rsid w:val="001A749F"/>
    <w:rsid w:val="001A74BD"/>
    <w:rsid w:val="001A74C8"/>
    <w:rsid w:val="001A74FA"/>
    <w:rsid w:val="001A755A"/>
    <w:rsid w:val="001A7560"/>
    <w:rsid w:val="001A7565"/>
    <w:rsid w:val="001A7585"/>
    <w:rsid w:val="001A75C3"/>
    <w:rsid w:val="001A75FD"/>
    <w:rsid w:val="001A7601"/>
    <w:rsid w:val="001A7604"/>
    <w:rsid w:val="001A761E"/>
    <w:rsid w:val="001A7620"/>
    <w:rsid w:val="001A766C"/>
    <w:rsid w:val="001A76BB"/>
    <w:rsid w:val="001A76CB"/>
    <w:rsid w:val="001A76DE"/>
    <w:rsid w:val="001A76E2"/>
    <w:rsid w:val="001A76E7"/>
    <w:rsid w:val="001A770E"/>
    <w:rsid w:val="001A7717"/>
    <w:rsid w:val="001A7747"/>
    <w:rsid w:val="001A774D"/>
    <w:rsid w:val="001A77B6"/>
    <w:rsid w:val="001A77D0"/>
    <w:rsid w:val="001A77DE"/>
    <w:rsid w:val="001A77EB"/>
    <w:rsid w:val="001A7827"/>
    <w:rsid w:val="001A7831"/>
    <w:rsid w:val="001A7833"/>
    <w:rsid w:val="001A7837"/>
    <w:rsid w:val="001A7874"/>
    <w:rsid w:val="001A78CB"/>
    <w:rsid w:val="001A78F4"/>
    <w:rsid w:val="001A791A"/>
    <w:rsid w:val="001A799E"/>
    <w:rsid w:val="001A79B6"/>
    <w:rsid w:val="001A79C8"/>
    <w:rsid w:val="001A79D0"/>
    <w:rsid w:val="001A79E8"/>
    <w:rsid w:val="001A7A0C"/>
    <w:rsid w:val="001A7A4A"/>
    <w:rsid w:val="001A7A99"/>
    <w:rsid w:val="001A7A9C"/>
    <w:rsid w:val="001A7AB3"/>
    <w:rsid w:val="001A7AD1"/>
    <w:rsid w:val="001A7AEB"/>
    <w:rsid w:val="001A7B56"/>
    <w:rsid w:val="001A7B74"/>
    <w:rsid w:val="001A7B84"/>
    <w:rsid w:val="001A7B91"/>
    <w:rsid w:val="001A7BC2"/>
    <w:rsid w:val="001A7BDB"/>
    <w:rsid w:val="001A7BE5"/>
    <w:rsid w:val="001A7BEE"/>
    <w:rsid w:val="001A7C46"/>
    <w:rsid w:val="001A7C6F"/>
    <w:rsid w:val="001A7C7B"/>
    <w:rsid w:val="001A7CBC"/>
    <w:rsid w:val="001A7CF4"/>
    <w:rsid w:val="001A7DA4"/>
    <w:rsid w:val="001A7DED"/>
    <w:rsid w:val="001A7E32"/>
    <w:rsid w:val="001A7E51"/>
    <w:rsid w:val="001A7E5C"/>
    <w:rsid w:val="001A7EFB"/>
    <w:rsid w:val="001A7F1C"/>
    <w:rsid w:val="001A7F53"/>
    <w:rsid w:val="001A7F7D"/>
    <w:rsid w:val="001A7FAF"/>
    <w:rsid w:val="001B0009"/>
    <w:rsid w:val="001B0063"/>
    <w:rsid w:val="001B0064"/>
    <w:rsid w:val="001B008E"/>
    <w:rsid w:val="001B00A8"/>
    <w:rsid w:val="001B00FF"/>
    <w:rsid w:val="001B0114"/>
    <w:rsid w:val="001B0149"/>
    <w:rsid w:val="001B014D"/>
    <w:rsid w:val="001B0180"/>
    <w:rsid w:val="001B0185"/>
    <w:rsid w:val="001B0194"/>
    <w:rsid w:val="001B01C4"/>
    <w:rsid w:val="001B01D4"/>
    <w:rsid w:val="001B0218"/>
    <w:rsid w:val="001B0224"/>
    <w:rsid w:val="001B023C"/>
    <w:rsid w:val="001B0256"/>
    <w:rsid w:val="001B0264"/>
    <w:rsid w:val="001B026C"/>
    <w:rsid w:val="001B0278"/>
    <w:rsid w:val="001B02A0"/>
    <w:rsid w:val="001B02B7"/>
    <w:rsid w:val="001B02CF"/>
    <w:rsid w:val="001B031F"/>
    <w:rsid w:val="001B0360"/>
    <w:rsid w:val="001B03D7"/>
    <w:rsid w:val="001B03FF"/>
    <w:rsid w:val="001B0422"/>
    <w:rsid w:val="001B046E"/>
    <w:rsid w:val="001B0477"/>
    <w:rsid w:val="001B0482"/>
    <w:rsid w:val="001B0487"/>
    <w:rsid w:val="001B0495"/>
    <w:rsid w:val="001B04AB"/>
    <w:rsid w:val="001B04B3"/>
    <w:rsid w:val="001B04C8"/>
    <w:rsid w:val="001B04FC"/>
    <w:rsid w:val="001B0523"/>
    <w:rsid w:val="001B054D"/>
    <w:rsid w:val="001B0571"/>
    <w:rsid w:val="001B05A2"/>
    <w:rsid w:val="001B0673"/>
    <w:rsid w:val="001B06AB"/>
    <w:rsid w:val="001B06B3"/>
    <w:rsid w:val="001B0707"/>
    <w:rsid w:val="001B071C"/>
    <w:rsid w:val="001B073C"/>
    <w:rsid w:val="001B0750"/>
    <w:rsid w:val="001B0777"/>
    <w:rsid w:val="001B0815"/>
    <w:rsid w:val="001B08C7"/>
    <w:rsid w:val="001B08FD"/>
    <w:rsid w:val="001B0902"/>
    <w:rsid w:val="001B0955"/>
    <w:rsid w:val="001B09BB"/>
    <w:rsid w:val="001B0A17"/>
    <w:rsid w:val="001B0A5D"/>
    <w:rsid w:val="001B0A67"/>
    <w:rsid w:val="001B0A88"/>
    <w:rsid w:val="001B0A99"/>
    <w:rsid w:val="001B0ACC"/>
    <w:rsid w:val="001B0B4E"/>
    <w:rsid w:val="001B0B76"/>
    <w:rsid w:val="001B0B8F"/>
    <w:rsid w:val="001B0B93"/>
    <w:rsid w:val="001B0BB0"/>
    <w:rsid w:val="001B0BC7"/>
    <w:rsid w:val="001B0C15"/>
    <w:rsid w:val="001B0C37"/>
    <w:rsid w:val="001B0C53"/>
    <w:rsid w:val="001B0C5E"/>
    <w:rsid w:val="001B0C63"/>
    <w:rsid w:val="001B0C64"/>
    <w:rsid w:val="001B0C70"/>
    <w:rsid w:val="001B0C71"/>
    <w:rsid w:val="001B0C94"/>
    <w:rsid w:val="001B0C99"/>
    <w:rsid w:val="001B0D39"/>
    <w:rsid w:val="001B0D4A"/>
    <w:rsid w:val="001B0D5B"/>
    <w:rsid w:val="001B0DD2"/>
    <w:rsid w:val="001B0E2C"/>
    <w:rsid w:val="001B0E4A"/>
    <w:rsid w:val="001B0E66"/>
    <w:rsid w:val="001B0E6A"/>
    <w:rsid w:val="001B0E81"/>
    <w:rsid w:val="001B0E8F"/>
    <w:rsid w:val="001B0E92"/>
    <w:rsid w:val="001B0E97"/>
    <w:rsid w:val="001B0ED2"/>
    <w:rsid w:val="001B0EDF"/>
    <w:rsid w:val="001B0F31"/>
    <w:rsid w:val="001B0F57"/>
    <w:rsid w:val="001B0F6D"/>
    <w:rsid w:val="001B0F9D"/>
    <w:rsid w:val="001B101E"/>
    <w:rsid w:val="001B1054"/>
    <w:rsid w:val="001B1078"/>
    <w:rsid w:val="001B10D8"/>
    <w:rsid w:val="001B10E2"/>
    <w:rsid w:val="001B10EC"/>
    <w:rsid w:val="001B1124"/>
    <w:rsid w:val="001B117D"/>
    <w:rsid w:val="001B1192"/>
    <w:rsid w:val="001B11A4"/>
    <w:rsid w:val="001B11D3"/>
    <w:rsid w:val="001B1200"/>
    <w:rsid w:val="001B122D"/>
    <w:rsid w:val="001B124A"/>
    <w:rsid w:val="001B128D"/>
    <w:rsid w:val="001B12B7"/>
    <w:rsid w:val="001B12E7"/>
    <w:rsid w:val="001B1358"/>
    <w:rsid w:val="001B1368"/>
    <w:rsid w:val="001B138B"/>
    <w:rsid w:val="001B140B"/>
    <w:rsid w:val="001B1467"/>
    <w:rsid w:val="001B146B"/>
    <w:rsid w:val="001B148A"/>
    <w:rsid w:val="001B14BE"/>
    <w:rsid w:val="001B14E6"/>
    <w:rsid w:val="001B14E9"/>
    <w:rsid w:val="001B14F3"/>
    <w:rsid w:val="001B14FF"/>
    <w:rsid w:val="001B1567"/>
    <w:rsid w:val="001B1574"/>
    <w:rsid w:val="001B1593"/>
    <w:rsid w:val="001B15DB"/>
    <w:rsid w:val="001B1616"/>
    <w:rsid w:val="001B163C"/>
    <w:rsid w:val="001B1654"/>
    <w:rsid w:val="001B1670"/>
    <w:rsid w:val="001B1683"/>
    <w:rsid w:val="001B1689"/>
    <w:rsid w:val="001B169E"/>
    <w:rsid w:val="001B1729"/>
    <w:rsid w:val="001B173C"/>
    <w:rsid w:val="001B1752"/>
    <w:rsid w:val="001B178A"/>
    <w:rsid w:val="001B1795"/>
    <w:rsid w:val="001B1796"/>
    <w:rsid w:val="001B17E1"/>
    <w:rsid w:val="001B1880"/>
    <w:rsid w:val="001B18CD"/>
    <w:rsid w:val="001B19CE"/>
    <w:rsid w:val="001B19F1"/>
    <w:rsid w:val="001B1A17"/>
    <w:rsid w:val="001B1A27"/>
    <w:rsid w:val="001B1A2D"/>
    <w:rsid w:val="001B1A59"/>
    <w:rsid w:val="001B1A8D"/>
    <w:rsid w:val="001B1AD9"/>
    <w:rsid w:val="001B1B02"/>
    <w:rsid w:val="001B1B09"/>
    <w:rsid w:val="001B1BA6"/>
    <w:rsid w:val="001B1BAE"/>
    <w:rsid w:val="001B1C67"/>
    <w:rsid w:val="001B1C78"/>
    <w:rsid w:val="001B1CD3"/>
    <w:rsid w:val="001B1CF0"/>
    <w:rsid w:val="001B1CF8"/>
    <w:rsid w:val="001B1D07"/>
    <w:rsid w:val="001B1D81"/>
    <w:rsid w:val="001B1DF2"/>
    <w:rsid w:val="001B1E13"/>
    <w:rsid w:val="001B1E7B"/>
    <w:rsid w:val="001B1E80"/>
    <w:rsid w:val="001B1E9F"/>
    <w:rsid w:val="001B1F1E"/>
    <w:rsid w:val="001B1FD2"/>
    <w:rsid w:val="001B2018"/>
    <w:rsid w:val="001B2022"/>
    <w:rsid w:val="001B205A"/>
    <w:rsid w:val="001B2073"/>
    <w:rsid w:val="001B2099"/>
    <w:rsid w:val="001B20D3"/>
    <w:rsid w:val="001B20E8"/>
    <w:rsid w:val="001B20F4"/>
    <w:rsid w:val="001B21AA"/>
    <w:rsid w:val="001B2208"/>
    <w:rsid w:val="001B2226"/>
    <w:rsid w:val="001B2244"/>
    <w:rsid w:val="001B2249"/>
    <w:rsid w:val="001B22DF"/>
    <w:rsid w:val="001B22FE"/>
    <w:rsid w:val="001B238D"/>
    <w:rsid w:val="001B238E"/>
    <w:rsid w:val="001B23CD"/>
    <w:rsid w:val="001B23EA"/>
    <w:rsid w:val="001B23EF"/>
    <w:rsid w:val="001B245A"/>
    <w:rsid w:val="001B24A4"/>
    <w:rsid w:val="001B24C4"/>
    <w:rsid w:val="001B24F1"/>
    <w:rsid w:val="001B2541"/>
    <w:rsid w:val="001B2543"/>
    <w:rsid w:val="001B25EA"/>
    <w:rsid w:val="001B263D"/>
    <w:rsid w:val="001B2708"/>
    <w:rsid w:val="001B271E"/>
    <w:rsid w:val="001B27AF"/>
    <w:rsid w:val="001B282D"/>
    <w:rsid w:val="001B285A"/>
    <w:rsid w:val="001B28BE"/>
    <w:rsid w:val="001B2901"/>
    <w:rsid w:val="001B2914"/>
    <w:rsid w:val="001B2948"/>
    <w:rsid w:val="001B2963"/>
    <w:rsid w:val="001B2979"/>
    <w:rsid w:val="001B29D1"/>
    <w:rsid w:val="001B29D8"/>
    <w:rsid w:val="001B2A36"/>
    <w:rsid w:val="001B2A45"/>
    <w:rsid w:val="001B2A50"/>
    <w:rsid w:val="001B2A61"/>
    <w:rsid w:val="001B2AB3"/>
    <w:rsid w:val="001B2AD3"/>
    <w:rsid w:val="001B2AE1"/>
    <w:rsid w:val="001B2AF2"/>
    <w:rsid w:val="001B2B0E"/>
    <w:rsid w:val="001B2B5C"/>
    <w:rsid w:val="001B2B79"/>
    <w:rsid w:val="001B2BAA"/>
    <w:rsid w:val="001B2BB8"/>
    <w:rsid w:val="001B2C0F"/>
    <w:rsid w:val="001B2C32"/>
    <w:rsid w:val="001B2CA0"/>
    <w:rsid w:val="001B2CA3"/>
    <w:rsid w:val="001B2CB7"/>
    <w:rsid w:val="001B2D97"/>
    <w:rsid w:val="001B2DB6"/>
    <w:rsid w:val="001B2DDC"/>
    <w:rsid w:val="001B2DDF"/>
    <w:rsid w:val="001B2DE5"/>
    <w:rsid w:val="001B2DF9"/>
    <w:rsid w:val="001B2E1A"/>
    <w:rsid w:val="001B2E98"/>
    <w:rsid w:val="001B2ED6"/>
    <w:rsid w:val="001B2F70"/>
    <w:rsid w:val="001B2F71"/>
    <w:rsid w:val="001B2FB2"/>
    <w:rsid w:val="001B3035"/>
    <w:rsid w:val="001B30BC"/>
    <w:rsid w:val="001B30E6"/>
    <w:rsid w:val="001B310B"/>
    <w:rsid w:val="001B3123"/>
    <w:rsid w:val="001B3124"/>
    <w:rsid w:val="001B3185"/>
    <w:rsid w:val="001B3192"/>
    <w:rsid w:val="001B319A"/>
    <w:rsid w:val="001B31C5"/>
    <w:rsid w:val="001B31D9"/>
    <w:rsid w:val="001B31E7"/>
    <w:rsid w:val="001B323F"/>
    <w:rsid w:val="001B3267"/>
    <w:rsid w:val="001B32F4"/>
    <w:rsid w:val="001B332E"/>
    <w:rsid w:val="001B334E"/>
    <w:rsid w:val="001B3370"/>
    <w:rsid w:val="001B3391"/>
    <w:rsid w:val="001B339E"/>
    <w:rsid w:val="001B33C5"/>
    <w:rsid w:val="001B33E4"/>
    <w:rsid w:val="001B33E9"/>
    <w:rsid w:val="001B33F4"/>
    <w:rsid w:val="001B3454"/>
    <w:rsid w:val="001B345B"/>
    <w:rsid w:val="001B348F"/>
    <w:rsid w:val="001B3492"/>
    <w:rsid w:val="001B34D5"/>
    <w:rsid w:val="001B34DE"/>
    <w:rsid w:val="001B3585"/>
    <w:rsid w:val="001B35C0"/>
    <w:rsid w:val="001B3604"/>
    <w:rsid w:val="001B3613"/>
    <w:rsid w:val="001B367B"/>
    <w:rsid w:val="001B36A5"/>
    <w:rsid w:val="001B36B0"/>
    <w:rsid w:val="001B3704"/>
    <w:rsid w:val="001B370C"/>
    <w:rsid w:val="001B3718"/>
    <w:rsid w:val="001B3722"/>
    <w:rsid w:val="001B374E"/>
    <w:rsid w:val="001B3783"/>
    <w:rsid w:val="001B37A8"/>
    <w:rsid w:val="001B37BA"/>
    <w:rsid w:val="001B37C9"/>
    <w:rsid w:val="001B37E2"/>
    <w:rsid w:val="001B37FC"/>
    <w:rsid w:val="001B3825"/>
    <w:rsid w:val="001B3861"/>
    <w:rsid w:val="001B3954"/>
    <w:rsid w:val="001B3993"/>
    <w:rsid w:val="001B39E8"/>
    <w:rsid w:val="001B39FA"/>
    <w:rsid w:val="001B3A2D"/>
    <w:rsid w:val="001B3A71"/>
    <w:rsid w:val="001B3AA6"/>
    <w:rsid w:val="001B3AEE"/>
    <w:rsid w:val="001B3B14"/>
    <w:rsid w:val="001B3B34"/>
    <w:rsid w:val="001B3B5C"/>
    <w:rsid w:val="001B3B9F"/>
    <w:rsid w:val="001B3BBB"/>
    <w:rsid w:val="001B3BC7"/>
    <w:rsid w:val="001B3BCD"/>
    <w:rsid w:val="001B3BF6"/>
    <w:rsid w:val="001B3BF9"/>
    <w:rsid w:val="001B3BFF"/>
    <w:rsid w:val="001B3C0C"/>
    <w:rsid w:val="001B3C2D"/>
    <w:rsid w:val="001B3C39"/>
    <w:rsid w:val="001B3C50"/>
    <w:rsid w:val="001B3C56"/>
    <w:rsid w:val="001B3C59"/>
    <w:rsid w:val="001B3C5B"/>
    <w:rsid w:val="001B3C60"/>
    <w:rsid w:val="001B3CEC"/>
    <w:rsid w:val="001B3CF0"/>
    <w:rsid w:val="001B3CF5"/>
    <w:rsid w:val="001B3D1F"/>
    <w:rsid w:val="001B3D4D"/>
    <w:rsid w:val="001B3D62"/>
    <w:rsid w:val="001B3D91"/>
    <w:rsid w:val="001B3DDC"/>
    <w:rsid w:val="001B3E42"/>
    <w:rsid w:val="001B3E50"/>
    <w:rsid w:val="001B3E59"/>
    <w:rsid w:val="001B3E6C"/>
    <w:rsid w:val="001B3E73"/>
    <w:rsid w:val="001B3F06"/>
    <w:rsid w:val="001B3F1E"/>
    <w:rsid w:val="001B3FE0"/>
    <w:rsid w:val="001B4053"/>
    <w:rsid w:val="001B406B"/>
    <w:rsid w:val="001B40D7"/>
    <w:rsid w:val="001B40E6"/>
    <w:rsid w:val="001B40EA"/>
    <w:rsid w:val="001B411A"/>
    <w:rsid w:val="001B4135"/>
    <w:rsid w:val="001B4173"/>
    <w:rsid w:val="001B419B"/>
    <w:rsid w:val="001B41CE"/>
    <w:rsid w:val="001B41E6"/>
    <w:rsid w:val="001B4202"/>
    <w:rsid w:val="001B4213"/>
    <w:rsid w:val="001B421C"/>
    <w:rsid w:val="001B4232"/>
    <w:rsid w:val="001B4239"/>
    <w:rsid w:val="001B4244"/>
    <w:rsid w:val="001B4272"/>
    <w:rsid w:val="001B42D3"/>
    <w:rsid w:val="001B42EE"/>
    <w:rsid w:val="001B4316"/>
    <w:rsid w:val="001B43A2"/>
    <w:rsid w:val="001B43B1"/>
    <w:rsid w:val="001B43BD"/>
    <w:rsid w:val="001B4403"/>
    <w:rsid w:val="001B443C"/>
    <w:rsid w:val="001B4452"/>
    <w:rsid w:val="001B44BF"/>
    <w:rsid w:val="001B454B"/>
    <w:rsid w:val="001B458E"/>
    <w:rsid w:val="001B45B8"/>
    <w:rsid w:val="001B45C4"/>
    <w:rsid w:val="001B45FA"/>
    <w:rsid w:val="001B4646"/>
    <w:rsid w:val="001B4654"/>
    <w:rsid w:val="001B4664"/>
    <w:rsid w:val="001B4688"/>
    <w:rsid w:val="001B4690"/>
    <w:rsid w:val="001B469E"/>
    <w:rsid w:val="001B46A5"/>
    <w:rsid w:val="001B46BA"/>
    <w:rsid w:val="001B46BF"/>
    <w:rsid w:val="001B46DA"/>
    <w:rsid w:val="001B46DC"/>
    <w:rsid w:val="001B46E1"/>
    <w:rsid w:val="001B46E3"/>
    <w:rsid w:val="001B46EB"/>
    <w:rsid w:val="001B46FD"/>
    <w:rsid w:val="001B4746"/>
    <w:rsid w:val="001B475F"/>
    <w:rsid w:val="001B4762"/>
    <w:rsid w:val="001B4776"/>
    <w:rsid w:val="001B482D"/>
    <w:rsid w:val="001B4837"/>
    <w:rsid w:val="001B486A"/>
    <w:rsid w:val="001B4897"/>
    <w:rsid w:val="001B48EC"/>
    <w:rsid w:val="001B48F3"/>
    <w:rsid w:val="001B4901"/>
    <w:rsid w:val="001B494E"/>
    <w:rsid w:val="001B497A"/>
    <w:rsid w:val="001B4980"/>
    <w:rsid w:val="001B49EA"/>
    <w:rsid w:val="001B4A19"/>
    <w:rsid w:val="001B4A68"/>
    <w:rsid w:val="001B4A8C"/>
    <w:rsid w:val="001B4B13"/>
    <w:rsid w:val="001B4B44"/>
    <w:rsid w:val="001B4B56"/>
    <w:rsid w:val="001B4B84"/>
    <w:rsid w:val="001B4BB9"/>
    <w:rsid w:val="001B4BFE"/>
    <w:rsid w:val="001B4CAD"/>
    <w:rsid w:val="001B4CC9"/>
    <w:rsid w:val="001B4CE8"/>
    <w:rsid w:val="001B4D30"/>
    <w:rsid w:val="001B4D37"/>
    <w:rsid w:val="001B4D9E"/>
    <w:rsid w:val="001B4DAD"/>
    <w:rsid w:val="001B4DB5"/>
    <w:rsid w:val="001B4DC6"/>
    <w:rsid w:val="001B4E03"/>
    <w:rsid w:val="001B4E2C"/>
    <w:rsid w:val="001B4E6F"/>
    <w:rsid w:val="001B4E8F"/>
    <w:rsid w:val="001B4EA0"/>
    <w:rsid w:val="001B4ED9"/>
    <w:rsid w:val="001B4EF7"/>
    <w:rsid w:val="001B4F20"/>
    <w:rsid w:val="001B4F2D"/>
    <w:rsid w:val="001B4FA1"/>
    <w:rsid w:val="001B4FB1"/>
    <w:rsid w:val="001B4FBE"/>
    <w:rsid w:val="001B5007"/>
    <w:rsid w:val="001B500A"/>
    <w:rsid w:val="001B5016"/>
    <w:rsid w:val="001B503B"/>
    <w:rsid w:val="001B5053"/>
    <w:rsid w:val="001B5061"/>
    <w:rsid w:val="001B5068"/>
    <w:rsid w:val="001B5081"/>
    <w:rsid w:val="001B50EC"/>
    <w:rsid w:val="001B5119"/>
    <w:rsid w:val="001B5151"/>
    <w:rsid w:val="001B518E"/>
    <w:rsid w:val="001B519A"/>
    <w:rsid w:val="001B51D9"/>
    <w:rsid w:val="001B5268"/>
    <w:rsid w:val="001B527B"/>
    <w:rsid w:val="001B5304"/>
    <w:rsid w:val="001B5315"/>
    <w:rsid w:val="001B5321"/>
    <w:rsid w:val="001B534C"/>
    <w:rsid w:val="001B535C"/>
    <w:rsid w:val="001B5363"/>
    <w:rsid w:val="001B5365"/>
    <w:rsid w:val="001B536E"/>
    <w:rsid w:val="001B53DA"/>
    <w:rsid w:val="001B53DC"/>
    <w:rsid w:val="001B53F6"/>
    <w:rsid w:val="001B545F"/>
    <w:rsid w:val="001B5461"/>
    <w:rsid w:val="001B5480"/>
    <w:rsid w:val="001B5482"/>
    <w:rsid w:val="001B54D0"/>
    <w:rsid w:val="001B54DA"/>
    <w:rsid w:val="001B54E1"/>
    <w:rsid w:val="001B54FA"/>
    <w:rsid w:val="001B550B"/>
    <w:rsid w:val="001B5533"/>
    <w:rsid w:val="001B5597"/>
    <w:rsid w:val="001B55A3"/>
    <w:rsid w:val="001B55AE"/>
    <w:rsid w:val="001B55C4"/>
    <w:rsid w:val="001B55DC"/>
    <w:rsid w:val="001B55DE"/>
    <w:rsid w:val="001B562A"/>
    <w:rsid w:val="001B565B"/>
    <w:rsid w:val="001B5674"/>
    <w:rsid w:val="001B56B6"/>
    <w:rsid w:val="001B577B"/>
    <w:rsid w:val="001B57A8"/>
    <w:rsid w:val="001B582F"/>
    <w:rsid w:val="001B5875"/>
    <w:rsid w:val="001B5930"/>
    <w:rsid w:val="001B5941"/>
    <w:rsid w:val="001B5954"/>
    <w:rsid w:val="001B59A7"/>
    <w:rsid w:val="001B5A39"/>
    <w:rsid w:val="001B5ADF"/>
    <w:rsid w:val="001B5B33"/>
    <w:rsid w:val="001B5B7C"/>
    <w:rsid w:val="001B5B8A"/>
    <w:rsid w:val="001B5BAF"/>
    <w:rsid w:val="001B5C1B"/>
    <w:rsid w:val="001B5C36"/>
    <w:rsid w:val="001B5C60"/>
    <w:rsid w:val="001B5C96"/>
    <w:rsid w:val="001B5CE7"/>
    <w:rsid w:val="001B5CF7"/>
    <w:rsid w:val="001B5D2F"/>
    <w:rsid w:val="001B5D9C"/>
    <w:rsid w:val="001B5DC4"/>
    <w:rsid w:val="001B5DE8"/>
    <w:rsid w:val="001B5E48"/>
    <w:rsid w:val="001B5E58"/>
    <w:rsid w:val="001B5E95"/>
    <w:rsid w:val="001B5EA4"/>
    <w:rsid w:val="001B5F33"/>
    <w:rsid w:val="001B5F5D"/>
    <w:rsid w:val="001B5F96"/>
    <w:rsid w:val="001B5FE4"/>
    <w:rsid w:val="001B5FEA"/>
    <w:rsid w:val="001B5FEE"/>
    <w:rsid w:val="001B6011"/>
    <w:rsid w:val="001B603F"/>
    <w:rsid w:val="001B604A"/>
    <w:rsid w:val="001B605B"/>
    <w:rsid w:val="001B608C"/>
    <w:rsid w:val="001B60FA"/>
    <w:rsid w:val="001B617B"/>
    <w:rsid w:val="001B6192"/>
    <w:rsid w:val="001B61A2"/>
    <w:rsid w:val="001B61AE"/>
    <w:rsid w:val="001B61C1"/>
    <w:rsid w:val="001B61EF"/>
    <w:rsid w:val="001B6216"/>
    <w:rsid w:val="001B6218"/>
    <w:rsid w:val="001B621A"/>
    <w:rsid w:val="001B6265"/>
    <w:rsid w:val="001B628A"/>
    <w:rsid w:val="001B62F5"/>
    <w:rsid w:val="001B6355"/>
    <w:rsid w:val="001B6378"/>
    <w:rsid w:val="001B63BA"/>
    <w:rsid w:val="001B63C9"/>
    <w:rsid w:val="001B63F4"/>
    <w:rsid w:val="001B643D"/>
    <w:rsid w:val="001B64E0"/>
    <w:rsid w:val="001B6520"/>
    <w:rsid w:val="001B6528"/>
    <w:rsid w:val="001B656F"/>
    <w:rsid w:val="001B658D"/>
    <w:rsid w:val="001B6642"/>
    <w:rsid w:val="001B6662"/>
    <w:rsid w:val="001B668B"/>
    <w:rsid w:val="001B66C8"/>
    <w:rsid w:val="001B670A"/>
    <w:rsid w:val="001B6752"/>
    <w:rsid w:val="001B67AF"/>
    <w:rsid w:val="001B67E1"/>
    <w:rsid w:val="001B685E"/>
    <w:rsid w:val="001B68C5"/>
    <w:rsid w:val="001B68D3"/>
    <w:rsid w:val="001B68D8"/>
    <w:rsid w:val="001B6967"/>
    <w:rsid w:val="001B69BF"/>
    <w:rsid w:val="001B69E0"/>
    <w:rsid w:val="001B6A08"/>
    <w:rsid w:val="001B6A49"/>
    <w:rsid w:val="001B6AA5"/>
    <w:rsid w:val="001B6AC7"/>
    <w:rsid w:val="001B6AFF"/>
    <w:rsid w:val="001B6B3B"/>
    <w:rsid w:val="001B6B6E"/>
    <w:rsid w:val="001B6BA8"/>
    <w:rsid w:val="001B6BC7"/>
    <w:rsid w:val="001B6BD3"/>
    <w:rsid w:val="001B6BE0"/>
    <w:rsid w:val="001B6BF9"/>
    <w:rsid w:val="001B6C5A"/>
    <w:rsid w:val="001B6C62"/>
    <w:rsid w:val="001B6CAC"/>
    <w:rsid w:val="001B6CC5"/>
    <w:rsid w:val="001B6CD8"/>
    <w:rsid w:val="001B6D2F"/>
    <w:rsid w:val="001B6DB6"/>
    <w:rsid w:val="001B6DCA"/>
    <w:rsid w:val="001B6DCE"/>
    <w:rsid w:val="001B6DCF"/>
    <w:rsid w:val="001B6E7A"/>
    <w:rsid w:val="001B6E8F"/>
    <w:rsid w:val="001B6EAC"/>
    <w:rsid w:val="001B6EAE"/>
    <w:rsid w:val="001B6EDE"/>
    <w:rsid w:val="001B6EEA"/>
    <w:rsid w:val="001B6F05"/>
    <w:rsid w:val="001B6F21"/>
    <w:rsid w:val="001B6F27"/>
    <w:rsid w:val="001B6F90"/>
    <w:rsid w:val="001B6FAA"/>
    <w:rsid w:val="001B6FC3"/>
    <w:rsid w:val="001B6FDC"/>
    <w:rsid w:val="001B6FDF"/>
    <w:rsid w:val="001B7068"/>
    <w:rsid w:val="001B707A"/>
    <w:rsid w:val="001B707B"/>
    <w:rsid w:val="001B707C"/>
    <w:rsid w:val="001B7095"/>
    <w:rsid w:val="001B7123"/>
    <w:rsid w:val="001B7127"/>
    <w:rsid w:val="001B7203"/>
    <w:rsid w:val="001B7240"/>
    <w:rsid w:val="001B7244"/>
    <w:rsid w:val="001B726C"/>
    <w:rsid w:val="001B7274"/>
    <w:rsid w:val="001B7283"/>
    <w:rsid w:val="001B72BF"/>
    <w:rsid w:val="001B732D"/>
    <w:rsid w:val="001B7343"/>
    <w:rsid w:val="001B73C9"/>
    <w:rsid w:val="001B742E"/>
    <w:rsid w:val="001B7443"/>
    <w:rsid w:val="001B746C"/>
    <w:rsid w:val="001B74CC"/>
    <w:rsid w:val="001B7512"/>
    <w:rsid w:val="001B7518"/>
    <w:rsid w:val="001B757D"/>
    <w:rsid w:val="001B759D"/>
    <w:rsid w:val="001B75AA"/>
    <w:rsid w:val="001B75CB"/>
    <w:rsid w:val="001B75E5"/>
    <w:rsid w:val="001B7617"/>
    <w:rsid w:val="001B762D"/>
    <w:rsid w:val="001B7634"/>
    <w:rsid w:val="001B763A"/>
    <w:rsid w:val="001B7648"/>
    <w:rsid w:val="001B764F"/>
    <w:rsid w:val="001B7657"/>
    <w:rsid w:val="001B7677"/>
    <w:rsid w:val="001B7690"/>
    <w:rsid w:val="001B7693"/>
    <w:rsid w:val="001B76CB"/>
    <w:rsid w:val="001B773C"/>
    <w:rsid w:val="001B7768"/>
    <w:rsid w:val="001B77B5"/>
    <w:rsid w:val="001B77DD"/>
    <w:rsid w:val="001B77E9"/>
    <w:rsid w:val="001B77ED"/>
    <w:rsid w:val="001B77F5"/>
    <w:rsid w:val="001B7810"/>
    <w:rsid w:val="001B7830"/>
    <w:rsid w:val="001B7879"/>
    <w:rsid w:val="001B7889"/>
    <w:rsid w:val="001B7893"/>
    <w:rsid w:val="001B78CF"/>
    <w:rsid w:val="001B78FF"/>
    <w:rsid w:val="001B7907"/>
    <w:rsid w:val="001B7912"/>
    <w:rsid w:val="001B7913"/>
    <w:rsid w:val="001B7921"/>
    <w:rsid w:val="001B7933"/>
    <w:rsid w:val="001B795D"/>
    <w:rsid w:val="001B7A01"/>
    <w:rsid w:val="001B7A0D"/>
    <w:rsid w:val="001B7A51"/>
    <w:rsid w:val="001B7AA8"/>
    <w:rsid w:val="001B7AF3"/>
    <w:rsid w:val="001B7AFA"/>
    <w:rsid w:val="001B7B16"/>
    <w:rsid w:val="001B7B31"/>
    <w:rsid w:val="001B7B8A"/>
    <w:rsid w:val="001B7B92"/>
    <w:rsid w:val="001B7B93"/>
    <w:rsid w:val="001B7C7C"/>
    <w:rsid w:val="001B7C86"/>
    <w:rsid w:val="001B7C89"/>
    <w:rsid w:val="001B7C8E"/>
    <w:rsid w:val="001B7CA2"/>
    <w:rsid w:val="001B7CE3"/>
    <w:rsid w:val="001B7CF4"/>
    <w:rsid w:val="001B7D42"/>
    <w:rsid w:val="001B7D5F"/>
    <w:rsid w:val="001B7D82"/>
    <w:rsid w:val="001B7DD8"/>
    <w:rsid w:val="001B7DE0"/>
    <w:rsid w:val="001B7DF7"/>
    <w:rsid w:val="001B7E25"/>
    <w:rsid w:val="001B7E37"/>
    <w:rsid w:val="001B7EB3"/>
    <w:rsid w:val="001B7EB6"/>
    <w:rsid w:val="001B7EEE"/>
    <w:rsid w:val="001B7F12"/>
    <w:rsid w:val="001B7F18"/>
    <w:rsid w:val="001B7F19"/>
    <w:rsid w:val="001B7F38"/>
    <w:rsid w:val="001B7F6B"/>
    <w:rsid w:val="001B7F86"/>
    <w:rsid w:val="001B7FA1"/>
    <w:rsid w:val="001C0019"/>
    <w:rsid w:val="001C0030"/>
    <w:rsid w:val="001C004F"/>
    <w:rsid w:val="001C008E"/>
    <w:rsid w:val="001C00CF"/>
    <w:rsid w:val="001C016B"/>
    <w:rsid w:val="001C01D7"/>
    <w:rsid w:val="001C01EC"/>
    <w:rsid w:val="001C01F1"/>
    <w:rsid w:val="001C01F4"/>
    <w:rsid w:val="001C024D"/>
    <w:rsid w:val="001C025E"/>
    <w:rsid w:val="001C02B1"/>
    <w:rsid w:val="001C02C5"/>
    <w:rsid w:val="001C02CD"/>
    <w:rsid w:val="001C02D4"/>
    <w:rsid w:val="001C02E1"/>
    <w:rsid w:val="001C0306"/>
    <w:rsid w:val="001C0390"/>
    <w:rsid w:val="001C03A7"/>
    <w:rsid w:val="001C03CA"/>
    <w:rsid w:val="001C03EC"/>
    <w:rsid w:val="001C045C"/>
    <w:rsid w:val="001C04A6"/>
    <w:rsid w:val="001C04B1"/>
    <w:rsid w:val="001C04EB"/>
    <w:rsid w:val="001C0511"/>
    <w:rsid w:val="001C0515"/>
    <w:rsid w:val="001C0525"/>
    <w:rsid w:val="001C052E"/>
    <w:rsid w:val="001C0542"/>
    <w:rsid w:val="001C0555"/>
    <w:rsid w:val="001C0596"/>
    <w:rsid w:val="001C05A1"/>
    <w:rsid w:val="001C05B1"/>
    <w:rsid w:val="001C05BB"/>
    <w:rsid w:val="001C05BD"/>
    <w:rsid w:val="001C05D6"/>
    <w:rsid w:val="001C05D9"/>
    <w:rsid w:val="001C05EE"/>
    <w:rsid w:val="001C0617"/>
    <w:rsid w:val="001C0622"/>
    <w:rsid w:val="001C0626"/>
    <w:rsid w:val="001C06B5"/>
    <w:rsid w:val="001C06CA"/>
    <w:rsid w:val="001C0700"/>
    <w:rsid w:val="001C072C"/>
    <w:rsid w:val="001C0731"/>
    <w:rsid w:val="001C0742"/>
    <w:rsid w:val="001C07B3"/>
    <w:rsid w:val="001C080B"/>
    <w:rsid w:val="001C0840"/>
    <w:rsid w:val="001C08EF"/>
    <w:rsid w:val="001C08F2"/>
    <w:rsid w:val="001C08F4"/>
    <w:rsid w:val="001C093B"/>
    <w:rsid w:val="001C0943"/>
    <w:rsid w:val="001C095B"/>
    <w:rsid w:val="001C096C"/>
    <w:rsid w:val="001C097E"/>
    <w:rsid w:val="001C0987"/>
    <w:rsid w:val="001C0A19"/>
    <w:rsid w:val="001C0A25"/>
    <w:rsid w:val="001C0A30"/>
    <w:rsid w:val="001C0A6C"/>
    <w:rsid w:val="001C0A85"/>
    <w:rsid w:val="001C0AA7"/>
    <w:rsid w:val="001C0B3C"/>
    <w:rsid w:val="001C0B50"/>
    <w:rsid w:val="001C0B52"/>
    <w:rsid w:val="001C0BB4"/>
    <w:rsid w:val="001C0BE1"/>
    <w:rsid w:val="001C0BED"/>
    <w:rsid w:val="001C0C74"/>
    <w:rsid w:val="001C0C8F"/>
    <w:rsid w:val="001C0CD0"/>
    <w:rsid w:val="001C0D50"/>
    <w:rsid w:val="001C0D7F"/>
    <w:rsid w:val="001C0D9E"/>
    <w:rsid w:val="001C0DB4"/>
    <w:rsid w:val="001C0DD3"/>
    <w:rsid w:val="001C0E36"/>
    <w:rsid w:val="001C0E45"/>
    <w:rsid w:val="001C0E4A"/>
    <w:rsid w:val="001C0E56"/>
    <w:rsid w:val="001C0E9F"/>
    <w:rsid w:val="001C0FD7"/>
    <w:rsid w:val="001C102F"/>
    <w:rsid w:val="001C109B"/>
    <w:rsid w:val="001C1147"/>
    <w:rsid w:val="001C1164"/>
    <w:rsid w:val="001C119E"/>
    <w:rsid w:val="001C11A8"/>
    <w:rsid w:val="001C11D1"/>
    <w:rsid w:val="001C1222"/>
    <w:rsid w:val="001C123E"/>
    <w:rsid w:val="001C1290"/>
    <w:rsid w:val="001C12CD"/>
    <w:rsid w:val="001C12D8"/>
    <w:rsid w:val="001C130B"/>
    <w:rsid w:val="001C13DA"/>
    <w:rsid w:val="001C141E"/>
    <w:rsid w:val="001C1430"/>
    <w:rsid w:val="001C1485"/>
    <w:rsid w:val="001C14C6"/>
    <w:rsid w:val="001C14D8"/>
    <w:rsid w:val="001C14F5"/>
    <w:rsid w:val="001C1514"/>
    <w:rsid w:val="001C153D"/>
    <w:rsid w:val="001C1575"/>
    <w:rsid w:val="001C15A9"/>
    <w:rsid w:val="001C15BD"/>
    <w:rsid w:val="001C15FA"/>
    <w:rsid w:val="001C1600"/>
    <w:rsid w:val="001C160C"/>
    <w:rsid w:val="001C165B"/>
    <w:rsid w:val="001C1667"/>
    <w:rsid w:val="001C1674"/>
    <w:rsid w:val="001C16AB"/>
    <w:rsid w:val="001C16AF"/>
    <w:rsid w:val="001C16C4"/>
    <w:rsid w:val="001C16D7"/>
    <w:rsid w:val="001C16E4"/>
    <w:rsid w:val="001C16F0"/>
    <w:rsid w:val="001C1700"/>
    <w:rsid w:val="001C1701"/>
    <w:rsid w:val="001C177C"/>
    <w:rsid w:val="001C17C4"/>
    <w:rsid w:val="001C1803"/>
    <w:rsid w:val="001C181F"/>
    <w:rsid w:val="001C182E"/>
    <w:rsid w:val="001C183C"/>
    <w:rsid w:val="001C1846"/>
    <w:rsid w:val="001C18FC"/>
    <w:rsid w:val="001C192A"/>
    <w:rsid w:val="001C193A"/>
    <w:rsid w:val="001C1A08"/>
    <w:rsid w:val="001C1A0B"/>
    <w:rsid w:val="001C1A8E"/>
    <w:rsid w:val="001C1AED"/>
    <w:rsid w:val="001C1AFA"/>
    <w:rsid w:val="001C1B0C"/>
    <w:rsid w:val="001C1B26"/>
    <w:rsid w:val="001C1B27"/>
    <w:rsid w:val="001C1B36"/>
    <w:rsid w:val="001C1B71"/>
    <w:rsid w:val="001C1B9A"/>
    <w:rsid w:val="001C1BCE"/>
    <w:rsid w:val="001C1C10"/>
    <w:rsid w:val="001C1C28"/>
    <w:rsid w:val="001C1C3F"/>
    <w:rsid w:val="001C1C51"/>
    <w:rsid w:val="001C1C75"/>
    <w:rsid w:val="001C1CD3"/>
    <w:rsid w:val="001C1D0B"/>
    <w:rsid w:val="001C1D18"/>
    <w:rsid w:val="001C1D24"/>
    <w:rsid w:val="001C1D2B"/>
    <w:rsid w:val="001C1DB8"/>
    <w:rsid w:val="001C1DBE"/>
    <w:rsid w:val="001C1E76"/>
    <w:rsid w:val="001C1E85"/>
    <w:rsid w:val="001C1ED2"/>
    <w:rsid w:val="001C1F4E"/>
    <w:rsid w:val="001C1F51"/>
    <w:rsid w:val="001C1F61"/>
    <w:rsid w:val="001C1F6F"/>
    <w:rsid w:val="001C1F8E"/>
    <w:rsid w:val="001C201C"/>
    <w:rsid w:val="001C2061"/>
    <w:rsid w:val="001C2068"/>
    <w:rsid w:val="001C207C"/>
    <w:rsid w:val="001C20A2"/>
    <w:rsid w:val="001C20B0"/>
    <w:rsid w:val="001C20B4"/>
    <w:rsid w:val="001C20CB"/>
    <w:rsid w:val="001C20D7"/>
    <w:rsid w:val="001C2101"/>
    <w:rsid w:val="001C2107"/>
    <w:rsid w:val="001C2136"/>
    <w:rsid w:val="001C220D"/>
    <w:rsid w:val="001C2229"/>
    <w:rsid w:val="001C2230"/>
    <w:rsid w:val="001C223B"/>
    <w:rsid w:val="001C225C"/>
    <w:rsid w:val="001C2263"/>
    <w:rsid w:val="001C22C6"/>
    <w:rsid w:val="001C22E4"/>
    <w:rsid w:val="001C233D"/>
    <w:rsid w:val="001C2388"/>
    <w:rsid w:val="001C23A5"/>
    <w:rsid w:val="001C23AB"/>
    <w:rsid w:val="001C23DF"/>
    <w:rsid w:val="001C23FB"/>
    <w:rsid w:val="001C2404"/>
    <w:rsid w:val="001C2467"/>
    <w:rsid w:val="001C2468"/>
    <w:rsid w:val="001C2499"/>
    <w:rsid w:val="001C24F4"/>
    <w:rsid w:val="001C251B"/>
    <w:rsid w:val="001C25B3"/>
    <w:rsid w:val="001C25D1"/>
    <w:rsid w:val="001C264A"/>
    <w:rsid w:val="001C269C"/>
    <w:rsid w:val="001C26B3"/>
    <w:rsid w:val="001C2702"/>
    <w:rsid w:val="001C273F"/>
    <w:rsid w:val="001C276B"/>
    <w:rsid w:val="001C27A3"/>
    <w:rsid w:val="001C27B0"/>
    <w:rsid w:val="001C27D1"/>
    <w:rsid w:val="001C27D7"/>
    <w:rsid w:val="001C27E2"/>
    <w:rsid w:val="001C282D"/>
    <w:rsid w:val="001C2850"/>
    <w:rsid w:val="001C2872"/>
    <w:rsid w:val="001C28BA"/>
    <w:rsid w:val="001C293E"/>
    <w:rsid w:val="001C29A7"/>
    <w:rsid w:val="001C29E3"/>
    <w:rsid w:val="001C29E5"/>
    <w:rsid w:val="001C29EF"/>
    <w:rsid w:val="001C2A65"/>
    <w:rsid w:val="001C2A76"/>
    <w:rsid w:val="001C2ABA"/>
    <w:rsid w:val="001C2B2E"/>
    <w:rsid w:val="001C2B61"/>
    <w:rsid w:val="001C2BC9"/>
    <w:rsid w:val="001C2C0C"/>
    <w:rsid w:val="001C2C16"/>
    <w:rsid w:val="001C2CF4"/>
    <w:rsid w:val="001C2CFC"/>
    <w:rsid w:val="001C2D06"/>
    <w:rsid w:val="001C2D3D"/>
    <w:rsid w:val="001C2D42"/>
    <w:rsid w:val="001C2D59"/>
    <w:rsid w:val="001C2D7E"/>
    <w:rsid w:val="001C2DA4"/>
    <w:rsid w:val="001C2DD5"/>
    <w:rsid w:val="001C2E5E"/>
    <w:rsid w:val="001C2EC1"/>
    <w:rsid w:val="001C2ECB"/>
    <w:rsid w:val="001C2F46"/>
    <w:rsid w:val="001C2F4A"/>
    <w:rsid w:val="001C2F88"/>
    <w:rsid w:val="001C2FFA"/>
    <w:rsid w:val="001C3017"/>
    <w:rsid w:val="001C301D"/>
    <w:rsid w:val="001C303D"/>
    <w:rsid w:val="001C3061"/>
    <w:rsid w:val="001C306F"/>
    <w:rsid w:val="001C3086"/>
    <w:rsid w:val="001C30C8"/>
    <w:rsid w:val="001C310A"/>
    <w:rsid w:val="001C3142"/>
    <w:rsid w:val="001C31D0"/>
    <w:rsid w:val="001C31D3"/>
    <w:rsid w:val="001C31E6"/>
    <w:rsid w:val="001C3204"/>
    <w:rsid w:val="001C3209"/>
    <w:rsid w:val="001C3235"/>
    <w:rsid w:val="001C3251"/>
    <w:rsid w:val="001C3252"/>
    <w:rsid w:val="001C32BA"/>
    <w:rsid w:val="001C32CF"/>
    <w:rsid w:val="001C32D3"/>
    <w:rsid w:val="001C32E3"/>
    <w:rsid w:val="001C32FC"/>
    <w:rsid w:val="001C3324"/>
    <w:rsid w:val="001C332E"/>
    <w:rsid w:val="001C3358"/>
    <w:rsid w:val="001C33DC"/>
    <w:rsid w:val="001C33F0"/>
    <w:rsid w:val="001C3479"/>
    <w:rsid w:val="001C34D6"/>
    <w:rsid w:val="001C34E5"/>
    <w:rsid w:val="001C3507"/>
    <w:rsid w:val="001C350A"/>
    <w:rsid w:val="001C350F"/>
    <w:rsid w:val="001C3516"/>
    <w:rsid w:val="001C3557"/>
    <w:rsid w:val="001C359E"/>
    <w:rsid w:val="001C35B1"/>
    <w:rsid w:val="001C35C9"/>
    <w:rsid w:val="001C35D1"/>
    <w:rsid w:val="001C35EB"/>
    <w:rsid w:val="001C35F5"/>
    <w:rsid w:val="001C3604"/>
    <w:rsid w:val="001C3623"/>
    <w:rsid w:val="001C3624"/>
    <w:rsid w:val="001C3666"/>
    <w:rsid w:val="001C3693"/>
    <w:rsid w:val="001C36A0"/>
    <w:rsid w:val="001C3781"/>
    <w:rsid w:val="001C381C"/>
    <w:rsid w:val="001C3849"/>
    <w:rsid w:val="001C391F"/>
    <w:rsid w:val="001C3972"/>
    <w:rsid w:val="001C3A1C"/>
    <w:rsid w:val="001C3AB6"/>
    <w:rsid w:val="001C3AF3"/>
    <w:rsid w:val="001C3B11"/>
    <w:rsid w:val="001C3B17"/>
    <w:rsid w:val="001C3B3E"/>
    <w:rsid w:val="001C3B53"/>
    <w:rsid w:val="001C3B65"/>
    <w:rsid w:val="001C3BBA"/>
    <w:rsid w:val="001C3BC0"/>
    <w:rsid w:val="001C3BD5"/>
    <w:rsid w:val="001C3C29"/>
    <w:rsid w:val="001C3C37"/>
    <w:rsid w:val="001C3C6C"/>
    <w:rsid w:val="001C3C88"/>
    <w:rsid w:val="001C3D10"/>
    <w:rsid w:val="001C3D12"/>
    <w:rsid w:val="001C3D20"/>
    <w:rsid w:val="001C3D45"/>
    <w:rsid w:val="001C3D46"/>
    <w:rsid w:val="001C3D84"/>
    <w:rsid w:val="001C3DDB"/>
    <w:rsid w:val="001C3DDD"/>
    <w:rsid w:val="001C3E39"/>
    <w:rsid w:val="001C3E7F"/>
    <w:rsid w:val="001C3EC5"/>
    <w:rsid w:val="001C3EF5"/>
    <w:rsid w:val="001C3EF6"/>
    <w:rsid w:val="001C3F47"/>
    <w:rsid w:val="001C3F4B"/>
    <w:rsid w:val="001C3F60"/>
    <w:rsid w:val="001C3F86"/>
    <w:rsid w:val="001C3FAD"/>
    <w:rsid w:val="001C3FB0"/>
    <w:rsid w:val="001C405E"/>
    <w:rsid w:val="001C4071"/>
    <w:rsid w:val="001C40BF"/>
    <w:rsid w:val="001C40C5"/>
    <w:rsid w:val="001C40C9"/>
    <w:rsid w:val="001C418C"/>
    <w:rsid w:val="001C41A1"/>
    <w:rsid w:val="001C4213"/>
    <w:rsid w:val="001C423E"/>
    <w:rsid w:val="001C4270"/>
    <w:rsid w:val="001C4289"/>
    <w:rsid w:val="001C42A2"/>
    <w:rsid w:val="001C42B8"/>
    <w:rsid w:val="001C42C2"/>
    <w:rsid w:val="001C42ED"/>
    <w:rsid w:val="001C4305"/>
    <w:rsid w:val="001C4309"/>
    <w:rsid w:val="001C4312"/>
    <w:rsid w:val="001C433C"/>
    <w:rsid w:val="001C4355"/>
    <w:rsid w:val="001C4378"/>
    <w:rsid w:val="001C43CC"/>
    <w:rsid w:val="001C4423"/>
    <w:rsid w:val="001C4452"/>
    <w:rsid w:val="001C4454"/>
    <w:rsid w:val="001C4466"/>
    <w:rsid w:val="001C447C"/>
    <w:rsid w:val="001C4494"/>
    <w:rsid w:val="001C44AF"/>
    <w:rsid w:val="001C44CD"/>
    <w:rsid w:val="001C44E7"/>
    <w:rsid w:val="001C4502"/>
    <w:rsid w:val="001C4564"/>
    <w:rsid w:val="001C456D"/>
    <w:rsid w:val="001C456E"/>
    <w:rsid w:val="001C4577"/>
    <w:rsid w:val="001C4578"/>
    <w:rsid w:val="001C45A2"/>
    <w:rsid w:val="001C45C8"/>
    <w:rsid w:val="001C45DB"/>
    <w:rsid w:val="001C45FC"/>
    <w:rsid w:val="001C468A"/>
    <w:rsid w:val="001C4739"/>
    <w:rsid w:val="001C4758"/>
    <w:rsid w:val="001C47A5"/>
    <w:rsid w:val="001C47AF"/>
    <w:rsid w:val="001C47B4"/>
    <w:rsid w:val="001C47C4"/>
    <w:rsid w:val="001C47DA"/>
    <w:rsid w:val="001C47F4"/>
    <w:rsid w:val="001C4834"/>
    <w:rsid w:val="001C483D"/>
    <w:rsid w:val="001C4895"/>
    <w:rsid w:val="001C4898"/>
    <w:rsid w:val="001C48C0"/>
    <w:rsid w:val="001C4909"/>
    <w:rsid w:val="001C4933"/>
    <w:rsid w:val="001C494D"/>
    <w:rsid w:val="001C497A"/>
    <w:rsid w:val="001C497E"/>
    <w:rsid w:val="001C49E1"/>
    <w:rsid w:val="001C4A01"/>
    <w:rsid w:val="001C4A05"/>
    <w:rsid w:val="001C4A42"/>
    <w:rsid w:val="001C4A4C"/>
    <w:rsid w:val="001C4A6A"/>
    <w:rsid w:val="001C4AFA"/>
    <w:rsid w:val="001C4B2A"/>
    <w:rsid w:val="001C4B2E"/>
    <w:rsid w:val="001C4B50"/>
    <w:rsid w:val="001C4B51"/>
    <w:rsid w:val="001C4B5A"/>
    <w:rsid w:val="001C4B74"/>
    <w:rsid w:val="001C4B7F"/>
    <w:rsid w:val="001C4BA8"/>
    <w:rsid w:val="001C4BBA"/>
    <w:rsid w:val="001C4BFB"/>
    <w:rsid w:val="001C4C43"/>
    <w:rsid w:val="001C4C4D"/>
    <w:rsid w:val="001C4C61"/>
    <w:rsid w:val="001C4C62"/>
    <w:rsid w:val="001C4C67"/>
    <w:rsid w:val="001C4C83"/>
    <w:rsid w:val="001C4C97"/>
    <w:rsid w:val="001C4CAD"/>
    <w:rsid w:val="001C4CE2"/>
    <w:rsid w:val="001C4D70"/>
    <w:rsid w:val="001C4DD6"/>
    <w:rsid w:val="001C4E36"/>
    <w:rsid w:val="001C4E46"/>
    <w:rsid w:val="001C4E9B"/>
    <w:rsid w:val="001C4F04"/>
    <w:rsid w:val="001C4F2D"/>
    <w:rsid w:val="001C4F55"/>
    <w:rsid w:val="001C4FC3"/>
    <w:rsid w:val="001C502A"/>
    <w:rsid w:val="001C508C"/>
    <w:rsid w:val="001C50A7"/>
    <w:rsid w:val="001C50AF"/>
    <w:rsid w:val="001C50DF"/>
    <w:rsid w:val="001C50E9"/>
    <w:rsid w:val="001C510A"/>
    <w:rsid w:val="001C511B"/>
    <w:rsid w:val="001C5176"/>
    <w:rsid w:val="001C51A4"/>
    <w:rsid w:val="001C51B8"/>
    <w:rsid w:val="001C523A"/>
    <w:rsid w:val="001C525D"/>
    <w:rsid w:val="001C52AE"/>
    <w:rsid w:val="001C52CD"/>
    <w:rsid w:val="001C52CE"/>
    <w:rsid w:val="001C5341"/>
    <w:rsid w:val="001C53BA"/>
    <w:rsid w:val="001C53E5"/>
    <w:rsid w:val="001C5441"/>
    <w:rsid w:val="001C54C8"/>
    <w:rsid w:val="001C5513"/>
    <w:rsid w:val="001C5548"/>
    <w:rsid w:val="001C5694"/>
    <w:rsid w:val="001C56B7"/>
    <w:rsid w:val="001C5715"/>
    <w:rsid w:val="001C5737"/>
    <w:rsid w:val="001C575A"/>
    <w:rsid w:val="001C5760"/>
    <w:rsid w:val="001C57E6"/>
    <w:rsid w:val="001C581A"/>
    <w:rsid w:val="001C58F8"/>
    <w:rsid w:val="001C58FB"/>
    <w:rsid w:val="001C5926"/>
    <w:rsid w:val="001C597A"/>
    <w:rsid w:val="001C598B"/>
    <w:rsid w:val="001C5A24"/>
    <w:rsid w:val="001C5A60"/>
    <w:rsid w:val="001C5A63"/>
    <w:rsid w:val="001C5A65"/>
    <w:rsid w:val="001C5AC2"/>
    <w:rsid w:val="001C5BAD"/>
    <w:rsid w:val="001C5BCB"/>
    <w:rsid w:val="001C5C21"/>
    <w:rsid w:val="001C5C55"/>
    <w:rsid w:val="001C5C76"/>
    <w:rsid w:val="001C5C79"/>
    <w:rsid w:val="001C5C9A"/>
    <w:rsid w:val="001C5CA8"/>
    <w:rsid w:val="001C5CB8"/>
    <w:rsid w:val="001C5CDB"/>
    <w:rsid w:val="001C5CF3"/>
    <w:rsid w:val="001C5D2D"/>
    <w:rsid w:val="001C5D37"/>
    <w:rsid w:val="001C5D4D"/>
    <w:rsid w:val="001C5D73"/>
    <w:rsid w:val="001C5D78"/>
    <w:rsid w:val="001C5D8F"/>
    <w:rsid w:val="001C5DDF"/>
    <w:rsid w:val="001C5E1B"/>
    <w:rsid w:val="001C5E45"/>
    <w:rsid w:val="001C5E54"/>
    <w:rsid w:val="001C5EF2"/>
    <w:rsid w:val="001C5F88"/>
    <w:rsid w:val="001C5FA0"/>
    <w:rsid w:val="001C5FD5"/>
    <w:rsid w:val="001C5FDF"/>
    <w:rsid w:val="001C5FFC"/>
    <w:rsid w:val="001C601C"/>
    <w:rsid w:val="001C6028"/>
    <w:rsid w:val="001C6082"/>
    <w:rsid w:val="001C60D5"/>
    <w:rsid w:val="001C6109"/>
    <w:rsid w:val="001C610E"/>
    <w:rsid w:val="001C611E"/>
    <w:rsid w:val="001C612C"/>
    <w:rsid w:val="001C6135"/>
    <w:rsid w:val="001C61E7"/>
    <w:rsid w:val="001C61ED"/>
    <w:rsid w:val="001C6284"/>
    <w:rsid w:val="001C62B8"/>
    <w:rsid w:val="001C62DC"/>
    <w:rsid w:val="001C6303"/>
    <w:rsid w:val="001C634D"/>
    <w:rsid w:val="001C6357"/>
    <w:rsid w:val="001C6362"/>
    <w:rsid w:val="001C6384"/>
    <w:rsid w:val="001C63D2"/>
    <w:rsid w:val="001C63EF"/>
    <w:rsid w:val="001C6415"/>
    <w:rsid w:val="001C6447"/>
    <w:rsid w:val="001C6493"/>
    <w:rsid w:val="001C64B3"/>
    <w:rsid w:val="001C650F"/>
    <w:rsid w:val="001C6540"/>
    <w:rsid w:val="001C6584"/>
    <w:rsid w:val="001C65D3"/>
    <w:rsid w:val="001C65D5"/>
    <w:rsid w:val="001C65D7"/>
    <w:rsid w:val="001C65D8"/>
    <w:rsid w:val="001C65E1"/>
    <w:rsid w:val="001C65FA"/>
    <w:rsid w:val="001C660A"/>
    <w:rsid w:val="001C6615"/>
    <w:rsid w:val="001C6623"/>
    <w:rsid w:val="001C664E"/>
    <w:rsid w:val="001C6665"/>
    <w:rsid w:val="001C667A"/>
    <w:rsid w:val="001C66CB"/>
    <w:rsid w:val="001C66EB"/>
    <w:rsid w:val="001C66FA"/>
    <w:rsid w:val="001C677A"/>
    <w:rsid w:val="001C679F"/>
    <w:rsid w:val="001C67A6"/>
    <w:rsid w:val="001C67FA"/>
    <w:rsid w:val="001C6819"/>
    <w:rsid w:val="001C6861"/>
    <w:rsid w:val="001C687B"/>
    <w:rsid w:val="001C68C0"/>
    <w:rsid w:val="001C695A"/>
    <w:rsid w:val="001C69E6"/>
    <w:rsid w:val="001C6A45"/>
    <w:rsid w:val="001C6A9A"/>
    <w:rsid w:val="001C6AAB"/>
    <w:rsid w:val="001C6AF7"/>
    <w:rsid w:val="001C6B1F"/>
    <w:rsid w:val="001C6B33"/>
    <w:rsid w:val="001C6B3C"/>
    <w:rsid w:val="001C6B81"/>
    <w:rsid w:val="001C6B86"/>
    <w:rsid w:val="001C6B95"/>
    <w:rsid w:val="001C6BED"/>
    <w:rsid w:val="001C6BF5"/>
    <w:rsid w:val="001C6C36"/>
    <w:rsid w:val="001C6C92"/>
    <w:rsid w:val="001C6C97"/>
    <w:rsid w:val="001C6CA0"/>
    <w:rsid w:val="001C6D31"/>
    <w:rsid w:val="001C6DD2"/>
    <w:rsid w:val="001C6DD3"/>
    <w:rsid w:val="001C6DE5"/>
    <w:rsid w:val="001C6E59"/>
    <w:rsid w:val="001C6E88"/>
    <w:rsid w:val="001C6E96"/>
    <w:rsid w:val="001C6EEA"/>
    <w:rsid w:val="001C6EF8"/>
    <w:rsid w:val="001C6F43"/>
    <w:rsid w:val="001C6FC1"/>
    <w:rsid w:val="001C700A"/>
    <w:rsid w:val="001C7056"/>
    <w:rsid w:val="001C706F"/>
    <w:rsid w:val="001C70C2"/>
    <w:rsid w:val="001C714B"/>
    <w:rsid w:val="001C716B"/>
    <w:rsid w:val="001C717C"/>
    <w:rsid w:val="001C720D"/>
    <w:rsid w:val="001C7234"/>
    <w:rsid w:val="001C7239"/>
    <w:rsid w:val="001C7260"/>
    <w:rsid w:val="001C7288"/>
    <w:rsid w:val="001C728A"/>
    <w:rsid w:val="001C729C"/>
    <w:rsid w:val="001C72C1"/>
    <w:rsid w:val="001C7328"/>
    <w:rsid w:val="001C7337"/>
    <w:rsid w:val="001C734E"/>
    <w:rsid w:val="001C739E"/>
    <w:rsid w:val="001C73D4"/>
    <w:rsid w:val="001C73E5"/>
    <w:rsid w:val="001C73EF"/>
    <w:rsid w:val="001C7488"/>
    <w:rsid w:val="001C74B0"/>
    <w:rsid w:val="001C74CE"/>
    <w:rsid w:val="001C74EC"/>
    <w:rsid w:val="001C74EF"/>
    <w:rsid w:val="001C74F8"/>
    <w:rsid w:val="001C7554"/>
    <w:rsid w:val="001C75A3"/>
    <w:rsid w:val="001C75BF"/>
    <w:rsid w:val="001C761D"/>
    <w:rsid w:val="001C76A5"/>
    <w:rsid w:val="001C76E8"/>
    <w:rsid w:val="001C76FD"/>
    <w:rsid w:val="001C776B"/>
    <w:rsid w:val="001C7782"/>
    <w:rsid w:val="001C77C1"/>
    <w:rsid w:val="001C77CC"/>
    <w:rsid w:val="001C77F1"/>
    <w:rsid w:val="001C7823"/>
    <w:rsid w:val="001C7877"/>
    <w:rsid w:val="001C7887"/>
    <w:rsid w:val="001C7897"/>
    <w:rsid w:val="001C789E"/>
    <w:rsid w:val="001C78B7"/>
    <w:rsid w:val="001C78CC"/>
    <w:rsid w:val="001C78CD"/>
    <w:rsid w:val="001C78DA"/>
    <w:rsid w:val="001C78DE"/>
    <w:rsid w:val="001C791D"/>
    <w:rsid w:val="001C7938"/>
    <w:rsid w:val="001C7946"/>
    <w:rsid w:val="001C794B"/>
    <w:rsid w:val="001C795A"/>
    <w:rsid w:val="001C7980"/>
    <w:rsid w:val="001C79E8"/>
    <w:rsid w:val="001C7A08"/>
    <w:rsid w:val="001C7A73"/>
    <w:rsid w:val="001C7AD8"/>
    <w:rsid w:val="001C7B45"/>
    <w:rsid w:val="001C7B5B"/>
    <w:rsid w:val="001C7C4E"/>
    <w:rsid w:val="001C7CBF"/>
    <w:rsid w:val="001C7CC3"/>
    <w:rsid w:val="001C7CF8"/>
    <w:rsid w:val="001C7D0E"/>
    <w:rsid w:val="001C7D2C"/>
    <w:rsid w:val="001C7D41"/>
    <w:rsid w:val="001C7D51"/>
    <w:rsid w:val="001C7D5D"/>
    <w:rsid w:val="001C7D5F"/>
    <w:rsid w:val="001C7D71"/>
    <w:rsid w:val="001C7DE5"/>
    <w:rsid w:val="001C7DEC"/>
    <w:rsid w:val="001C7DFF"/>
    <w:rsid w:val="001C7E49"/>
    <w:rsid w:val="001C7E60"/>
    <w:rsid w:val="001C7EAE"/>
    <w:rsid w:val="001C7F03"/>
    <w:rsid w:val="001C7F53"/>
    <w:rsid w:val="001C7FA5"/>
    <w:rsid w:val="001C7FBB"/>
    <w:rsid w:val="001C7FCD"/>
    <w:rsid w:val="001C7FD1"/>
    <w:rsid w:val="001CE563"/>
    <w:rsid w:val="001CFBF8"/>
    <w:rsid w:val="001D0094"/>
    <w:rsid w:val="001D00A3"/>
    <w:rsid w:val="001D00A9"/>
    <w:rsid w:val="001D00EE"/>
    <w:rsid w:val="001D0101"/>
    <w:rsid w:val="001D012F"/>
    <w:rsid w:val="001D018B"/>
    <w:rsid w:val="001D01C6"/>
    <w:rsid w:val="001D01D6"/>
    <w:rsid w:val="001D01DC"/>
    <w:rsid w:val="001D01F8"/>
    <w:rsid w:val="001D0208"/>
    <w:rsid w:val="001D0221"/>
    <w:rsid w:val="001D022A"/>
    <w:rsid w:val="001D024E"/>
    <w:rsid w:val="001D0296"/>
    <w:rsid w:val="001D02CA"/>
    <w:rsid w:val="001D0300"/>
    <w:rsid w:val="001D0320"/>
    <w:rsid w:val="001D036D"/>
    <w:rsid w:val="001D03A1"/>
    <w:rsid w:val="001D03A2"/>
    <w:rsid w:val="001D03E1"/>
    <w:rsid w:val="001D0444"/>
    <w:rsid w:val="001D044E"/>
    <w:rsid w:val="001D0490"/>
    <w:rsid w:val="001D04AA"/>
    <w:rsid w:val="001D04C1"/>
    <w:rsid w:val="001D04EA"/>
    <w:rsid w:val="001D051F"/>
    <w:rsid w:val="001D054E"/>
    <w:rsid w:val="001D0599"/>
    <w:rsid w:val="001D059E"/>
    <w:rsid w:val="001D05F7"/>
    <w:rsid w:val="001D0603"/>
    <w:rsid w:val="001D0631"/>
    <w:rsid w:val="001D0636"/>
    <w:rsid w:val="001D0682"/>
    <w:rsid w:val="001D0748"/>
    <w:rsid w:val="001D079B"/>
    <w:rsid w:val="001D081B"/>
    <w:rsid w:val="001D0834"/>
    <w:rsid w:val="001D083B"/>
    <w:rsid w:val="001D084F"/>
    <w:rsid w:val="001D0878"/>
    <w:rsid w:val="001D0882"/>
    <w:rsid w:val="001D0895"/>
    <w:rsid w:val="001D089F"/>
    <w:rsid w:val="001D08AC"/>
    <w:rsid w:val="001D08BF"/>
    <w:rsid w:val="001D0910"/>
    <w:rsid w:val="001D098E"/>
    <w:rsid w:val="001D09A2"/>
    <w:rsid w:val="001D09EC"/>
    <w:rsid w:val="001D0A04"/>
    <w:rsid w:val="001D0A14"/>
    <w:rsid w:val="001D0A66"/>
    <w:rsid w:val="001D0A73"/>
    <w:rsid w:val="001D0A9E"/>
    <w:rsid w:val="001D0AFD"/>
    <w:rsid w:val="001D0B1C"/>
    <w:rsid w:val="001D0B28"/>
    <w:rsid w:val="001D0B36"/>
    <w:rsid w:val="001D0B64"/>
    <w:rsid w:val="001D0B72"/>
    <w:rsid w:val="001D0BE4"/>
    <w:rsid w:val="001D0C3E"/>
    <w:rsid w:val="001D0C43"/>
    <w:rsid w:val="001D0C62"/>
    <w:rsid w:val="001D0C98"/>
    <w:rsid w:val="001D0CB0"/>
    <w:rsid w:val="001D0CFC"/>
    <w:rsid w:val="001D0D35"/>
    <w:rsid w:val="001D0D83"/>
    <w:rsid w:val="001D0D96"/>
    <w:rsid w:val="001D0DB1"/>
    <w:rsid w:val="001D0DCD"/>
    <w:rsid w:val="001D0DF0"/>
    <w:rsid w:val="001D0E0A"/>
    <w:rsid w:val="001D0E0C"/>
    <w:rsid w:val="001D0E40"/>
    <w:rsid w:val="001D0E4C"/>
    <w:rsid w:val="001D0E53"/>
    <w:rsid w:val="001D0E6B"/>
    <w:rsid w:val="001D0E86"/>
    <w:rsid w:val="001D0E9B"/>
    <w:rsid w:val="001D0EC0"/>
    <w:rsid w:val="001D0ECF"/>
    <w:rsid w:val="001D0EE5"/>
    <w:rsid w:val="001D0F10"/>
    <w:rsid w:val="001D0F3B"/>
    <w:rsid w:val="001D0F6C"/>
    <w:rsid w:val="001D0F8B"/>
    <w:rsid w:val="001D0FE8"/>
    <w:rsid w:val="001D0FF8"/>
    <w:rsid w:val="001D1006"/>
    <w:rsid w:val="001D1015"/>
    <w:rsid w:val="001D107D"/>
    <w:rsid w:val="001D10DA"/>
    <w:rsid w:val="001D1137"/>
    <w:rsid w:val="001D113B"/>
    <w:rsid w:val="001D11A5"/>
    <w:rsid w:val="001D11D4"/>
    <w:rsid w:val="001D11D5"/>
    <w:rsid w:val="001D11D8"/>
    <w:rsid w:val="001D1221"/>
    <w:rsid w:val="001D1227"/>
    <w:rsid w:val="001D1231"/>
    <w:rsid w:val="001D1252"/>
    <w:rsid w:val="001D1297"/>
    <w:rsid w:val="001D1307"/>
    <w:rsid w:val="001D1330"/>
    <w:rsid w:val="001D133F"/>
    <w:rsid w:val="001D1378"/>
    <w:rsid w:val="001D1399"/>
    <w:rsid w:val="001D139C"/>
    <w:rsid w:val="001D13AE"/>
    <w:rsid w:val="001D13F6"/>
    <w:rsid w:val="001D140E"/>
    <w:rsid w:val="001D1417"/>
    <w:rsid w:val="001D1431"/>
    <w:rsid w:val="001D1498"/>
    <w:rsid w:val="001D151B"/>
    <w:rsid w:val="001D1532"/>
    <w:rsid w:val="001D156C"/>
    <w:rsid w:val="001D160A"/>
    <w:rsid w:val="001D164D"/>
    <w:rsid w:val="001D1694"/>
    <w:rsid w:val="001D16CA"/>
    <w:rsid w:val="001D16DA"/>
    <w:rsid w:val="001D1734"/>
    <w:rsid w:val="001D1740"/>
    <w:rsid w:val="001D17AD"/>
    <w:rsid w:val="001D17D1"/>
    <w:rsid w:val="001D1801"/>
    <w:rsid w:val="001D1849"/>
    <w:rsid w:val="001D1876"/>
    <w:rsid w:val="001D18B3"/>
    <w:rsid w:val="001D192E"/>
    <w:rsid w:val="001D1944"/>
    <w:rsid w:val="001D194E"/>
    <w:rsid w:val="001D1977"/>
    <w:rsid w:val="001D1997"/>
    <w:rsid w:val="001D1A13"/>
    <w:rsid w:val="001D1A17"/>
    <w:rsid w:val="001D1A66"/>
    <w:rsid w:val="001D1A7D"/>
    <w:rsid w:val="001D1A9B"/>
    <w:rsid w:val="001D1B09"/>
    <w:rsid w:val="001D1B0D"/>
    <w:rsid w:val="001D1B43"/>
    <w:rsid w:val="001D1BA3"/>
    <w:rsid w:val="001D1BB5"/>
    <w:rsid w:val="001D1BD7"/>
    <w:rsid w:val="001D1C91"/>
    <w:rsid w:val="001D1DD8"/>
    <w:rsid w:val="001D1E1C"/>
    <w:rsid w:val="001D1E46"/>
    <w:rsid w:val="001D1E5F"/>
    <w:rsid w:val="001D1EB2"/>
    <w:rsid w:val="001D1EE8"/>
    <w:rsid w:val="001D1F34"/>
    <w:rsid w:val="001D1F3B"/>
    <w:rsid w:val="001D1F71"/>
    <w:rsid w:val="001D1F8C"/>
    <w:rsid w:val="001D1FC9"/>
    <w:rsid w:val="001D1FE8"/>
    <w:rsid w:val="001D1FF1"/>
    <w:rsid w:val="001D206C"/>
    <w:rsid w:val="001D208B"/>
    <w:rsid w:val="001D2096"/>
    <w:rsid w:val="001D215D"/>
    <w:rsid w:val="001D216B"/>
    <w:rsid w:val="001D2177"/>
    <w:rsid w:val="001D2201"/>
    <w:rsid w:val="001D2221"/>
    <w:rsid w:val="001D2236"/>
    <w:rsid w:val="001D225A"/>
    <w:rsid w:val="001D22AA"/>
    <w:rsid w:val="001D22B1"/>
    <w:rsid w:val="001D22B3"/>
    <w:rsid w:val="001D2384"/>
    <w:rsid w:val="001D2387"/>
    <w:rsid w:val="001D23D6"/>
    <w:rsid w:val="001D23DC"/>
    <w:rsid w:val="001D241F"/>
    <w:rsid w:val="001D2424"/>
    <w:rsid w:val="001D2432"/>
    <w:rsid w:val="001D249E"/>
    <w:rsid w:val="001D24A2"/>
    <w:rsid w:val="001D24A4"/>
    <w:rsid w:val="001D24C7"/>
    <w:rsid w:val="001D24E0"/>
    <w:rsid w:val="001D2500"/>
    <w:rsid w:val="001D2560"/>
    <w:rsid w:val="001D2573"/>
    <w:rsid w:val="001D2579"/>
    <w:rsid w:val="001D25B5"/>
    <w:rsid w:val="001D25DA"/>
    <w:rsid w:val="001D2630"/>
    <w:rsid w:val="001D263C"/>
    <w:rsid w:val="001D2647"/>
    <w:rsid w:val="001D2667"/>
    <w:rsid w:val="001D266D"/>
    <w:rsid w:val="001D267F"/>
    <w:rsid w:val="001D26B2"/>
    <w:rsid w:val="001D26EA"/>
    <w:rsid w:val="001D26F6"/>
    <w:rsid w:val="001D2709"/>
    <w:rsid w:val="001D27AF"/>
    <w:rsid w:val="001D2861"/>
    <w:rsid w:val="001D2890"/>
    <w:rsid w:val="001D28F1"/>
    <w:rsid w:val="001D2939"/>
    <w:rsid w:val="001D2961"/>
    <w:rsid w:val="001D29A1"/>
    <w:rsid w:val="001D29B8"/>
    <w:rsid w:val="001D2A0D"/>
    <w:rsid w:val="001D2AC6"/>
    <w:rsid w:val="001D2B1A"/>
    <w:rsid w:val="001D2B24"/>
    <w:rsid w:val="001D2B73"/>
    <w:rsid w:val="001D2BD7"/>
    <w:rsid w:val="001D2BEB"/>
    <w:rsid w:val="001D2CA1"/>
    <w:rsid w:val="001D2CEB"/>
    <w:rsid w:val="001D2D1C"/>
    <w:rsid w:val="001D2D2D"/>
    <w:rsid w:val="001D2D3E"/>
    <w:rsid w:val="001D2D5A"/>
    <w:rsid w:val="001D2D5E"/>
    <w:rsid w:val="001D2D68"/>
    <w:rsid w:val="001D2D87"/>
    <w:rsid w:val="001D2DBD"/>
    <w:rsid w:val="001D2DE4"/>
    <w:rsid w:val="001D2E22"/>
    <w:rsid w:val="001D2E29"/>
    <w:rsid w:val="001D2E39"/>
    <w:rsid w:val="001D2E73"/>
    <w:rsid w:val="001D2E75"/>
    <w:rsid w:val="001D2E90"/>
    <w:rsid w:val="001D2E94"/>
    <w:rsid w:val="001D2EB1"/>
    <w:rsid w:val="001D2F02"/>
    <w:rsid w:val="001D2F1B"/>
    <w:rsid w:val="001D2F37"/>
    <w:rsid w:val="001D2F84"/>
    <w:rsid w:val="001D2FE7"/>
    <w:rsid w:val="001D3061"/>
    <w:rsid w:val="001D3080"/>
    <w:rsid w:val="001D3091"/>
    <w:rsid w:val="001D309B"/>
    <w:rsid w:val="001D30C1"/>
    <w:rsid w:val="001D30CE"/>
    <w:rsid w:val="001D30F0"/>
    <w:rsid w:val="001D311A"/>
    <w:rsid w:val="001D3128"/>
    <w:rsid w:val="001D3170"/>
    <w:rsid w:val="001D3189"/>
    <w:rsid w:val="001D31E6"/>
    <w:rsid w:val="001D3201"/>
    <w:rsid w:val="001D323F"/>
    <w:rsid w:val="001D3257"/>
    <w:rsid w:val="001D3259"/>
    <w:rsid w:val="001D3271"/>
    <w:rsid w:val="001D32AC"/>
    <w:rsid w:val="001D32DA"/>
    <w:rsid w:val="001D3354"/>
    <w:rsid w:val="001D3369"/>
    <w:rsid w:val="001D3396"/>
    <w:rsid w:val="001D33AA"/>
    <w:rsid w:val="001D33CD"/>
    <w:rsid w:val="001D33E3"/>
    <w:rsid w:val="001D33EE"/>
    <w:rsid w:val="001D3455"/>
    <w:rsid w:val="001D34C2"/>
    <w:rsid w:val="001D34CA"/>
    <w:rsid w:val="001D34D5"/>
    <w:rsid w:val="001D34D6"/>
    <w:rsid w:val="001D350E"/>
    <w:rsid w:val="001D354F"/>
    <w:rsid w:val="001D356D"/>
    <w:rsid w:val="001D3593"/>
    <w:rsid w:val="001D35F4"/>
    <w:rsid w:val="001D35FD"/>
    <w:rsid w:val="001D3602"/>
    <w:rsid w:val="001D360A"/>
    <w:rsid w:val="001D3619"/>
    <w:rsid w:val="001D3643"/>
    <w:rsid w:val="001D3681"/>
    <w:rsid w:val="001D3702"/>
    <w:rsid w:val="001D375E"/>
    <w:rsid w:val="001D3763"/>
    <w:rsid w:val="001D377D"/>
    <w:rsid w:val="001D3783"/>
    <w:rsid w:val="001D37CB"/>
    <w:rsid w:val="001D381C"/>
    <w:rsid w:val="001D382F"/>
    <w:rsid w:val="001D3876"/>
    <w:rsid w:val="001D3878"/>
    <w:rsid w:val="001D3903"/>
    <w:rsid w:val="001D3917"/>
    <w:rsid w:val="001D3928"/>
    <w:rsid w:val="001D3958"/>
    <w:rsid w:val="001D395B"/>
    <w:rsid w:val="001D398B"/>
    <w:rsid w:val="001D399C"/>
    <w:rsid w:val="001D39B7"/>
    <w:rsid w:val="001D3A24"/>
    <w:rsid w:val="001D3A32"/>
    <w:rsid w:val="001D3ACE"/>
    <w:rsid w:val="001D3AF3"/>
    <w:rsid w:val="001D3B13"/>
    <w:rsid w:val="001D3B4F"/>
    <w:rsid w:val="001D3B6C"/>
    <w:rsid w:val="001D3B8E"/>
    <w:rsid w:val="001D3BBB"/>
    <w:rsid w:val="001D3C5C"/>
    <w:rsid w:val="001D3C7E"/>
    <w:rsid w:val="001D3CBA"/>
    <w:rsid w:val="001D3CFD"/>
    <w:rsid w:val="001D3D25"/>
    <w:rsid w:val="001D3D82"/>
    <w:rsid w:val="001D3DB6"/>
    <w:rsid w:val="001D3DBD"/>
    <w:rsid w:val="001D3DC2"/>
    <w:rsid w:val="001D3DCC"/>
    <w:rsid w:val="001D3DDA"/>
    <w:rsid w:val="001D3DF7"/>
    <w:rsid w:val="001D3E2D"/>
    <w:rsid w:val="001D3E3F"/>
    <w:rsid w:val="001D3E56"/>
    <w:rsid w:val="001D3ED1"/>
    <w:rsid w:val="001D3EEE"/>
    <w:rsid w:val="001D3EF4"/>
    <w:rsid w:val="001D3F1B"/>
    <w:rsid w:val="001D3F2C"/>
    <w:rsid w:val="001D3F36"/>
    <w:rsid w:val="001D3F46"/>
    <w:rsid w:val="001D3F5E"/>
    <w:rsid w:val="001D3F70"/>
    <w:rsid w:val="001D3F9D"/>
    <w:rsid w:val="001D3FA3"/>
    <w:rsid w:val="001D3FA7"/>
    <w:rsid w:val="001D3FC1"/>
    <w:rsid w:val="001D4004"/>
    <w:rsid w:val="001D4043"/>
    <w:rsid w:val="001D4066"/>
    <w:rsid w:val="001D4071"/>
    <w:rsid w:val="001D40EB"/>
    <w:rsid w:val="001D4133"/>
    <w:rsid w:val="001D4148"/>
    <w:rsid w:val="001D414B"/>
    <w:rsid w:val="001D4154"/>
    <w:rsid w:val="001D417F"/>
    <w:rsid w:val="001D41BD"/>
    <w:rsid w:val="001D41BF"/>
    <w:rsid w:val="001D41CD"/>
    <w:rsid w:val="001D4244"/>
    <w:rsid w:val="001D4270"/>
    <w:rsid w:val="001D4272"/>
    <w:rsid w:val="001D4392"/>
    <w:rsid w:val="001D4420"/>
    <w:rsid w:val="001D4421"/>
    <w:rsid w:val="001D4504"/>
    <w:rsid w:val="001D450F"/>
    <w:rsid w:val="001D4529"/>
    <w:rsid w:val="001D453C"/>
    <w:rsid w:val="001D4581"/>
    <w:rsid w:val="001D4588"/>
    <w:rsid w:val="001D466F"/>
    <w:rsid w:val="001D4686"/>
    <w:rsid w:val="001D4694"/>
    <w:rsid w:val="001D46F7"/>
    <w:rsid w:val="001D470F"/>
    <w:rsid w:val="001D4737"/>
    <w:rsid w:val="001D4771"/>
    <w:rsid w:val="001D47EB"/>
    <w:rsid w:val="001D47F8"/>
    <w:rsid w:val="001D4802"/>
    <w:rsid w:val="001D4843"/>
    <w:rsid w:val="001D4866"/>
    <w:rsid w:val="001D4881"/>
    <w:rsid w:val="001D4889"/>
    <w:rsid w:val="001D489E"/>
    <w:rsid w:val="001D48B0"/>
    <w:rsid w:val="001D48BD"/>
    <w:rsid w:val="001D48D2"/>
    <w:rsid w:val="001D48F3"/>
    <w:rsid w:val="001D4919"/>
    <w:rsid w:val="001D4971"/>
    <w:rsid w:val="001D49D2"/>
    <w:rsid w:val="001D4A5D"/>
    <w:rsid w:val="001D4A81"/>
    <w:rsid w:val="001D4AAB"/>
    <w:rsid w:val="001D4ABF"/>
    <w:rsid w:val="001D4AEE"/>
    <w:rsid w:val="001D4B00"/>
    <w:rsid w:val="001D4B07"/>
    <w:rsid w:val="001D4B2B"/>
    <w:rsid w:val="001D4B51"/>
    <w:rsid w:val="001D4BE7"/>
    <w:rsid w:val="001D4C1C"/>
    <w:rsid w:val="001D4C36"/>
    <w:rsid w:val="001D4C5F"/>
    <w:rsid w:val="001D4C83"/>
    <w:rsid w:val="001D4CC7"/>
    <w:rsid w:val="001D4D24"/>
    <w:rsid w:val="001D4D2B"/>
    <w:rsid w:val="001D4DF5"/>
    <w:rsid w:val="001D4E0C"/>
    <w:rsid w:val="001D4E35"/>
    <w:rsid w:val="001D4E40"/>
    <w:rsid w:val="001D4E6A"/>
    <w:rsid w:val="001D4E96"/>
    <w:rsid w:val="001D4F84"/>
    <w:rsid w:val="001D4FA3"/>
    <w:rsid w:val="001D4FB1"/>
    <w:rsid w:val="001D4FDB"/>
    <w:rsid w:val="001D5029"/>
    <w:rsid w:val="001D502A"/>
    <w:rsid w:val="001D504B"/>
    <w:rsid w:val="001D5076"/>
    <w:rsid w:val="001D50E1"/>
    <w:rsid w:val="001D50F0"/>
    <w:rsid w:val="001D5150"/>
    <w:rsid w:val="001D515E"/>
    <w:rsid w:val="001D51DF"/>
    <w:rsid w:val="001D51F3"/>
    <w:rsid w:val="001D52D1"/>
    <w:rsid w:val="001D52EF"/>
    <w:rsid w:val="001D5333"/>
    <w:rsid w:val="001D5372"/>
    <w:rsid w:val="001D53A9"/>
    <w:rsid w:val="001D53EC"/>
    <w:rsid w:val="001D5415"/>
    <w:rsid w:val="001D5431"/>
    <w:rsid w:val="001D545D"/>
    <w:rsid w:val="001D5477"/>
    <w:rsid w:val="001D547A"/>
    <w:rsid w:val="001D54E4"/>
    <w:rsid w:val="001D54E5"/>
    <w:rsid w:val="001D5531"/>
    <w:rsid w:val="001D5562"/>
    <w:rsid w:val="001D558A"/>
    <w:rsid w:val="001D55A7"/>
    <w:rsid w:val="001D55BD"/>
    <w:rsid w:val="001D55E1"/>
    <w:rsid w:val="001D565E"/>
    <w:rsid w:val="001D5693"/>
    <w:rsid w:val="001D56A8"/>
    <w:rsid w:val="001D56DC"/>
    <w:rsid w:val="001D56E9"/>
    <w:rsid w:val="001D572D"/>
    <w:rsid w:val="001D574B"/>
    <w:rsid w:val="001D577C"/>
    <w:rsid w:val="001D5788"/>
    <w:rsid w:val="001D5796"/>
    <w:rsid w:val="001D5818"/>
    <w:rsid w:val="001D5834"/>
    <w:rsid w:val="001D58A6"/>
    <w:rsid w:val="001D58B1"/>
    <w:rsid w:val="001D58B5"/>
    <w:rsid w:val="001D58E3"/>
    <w:rsid w:val="001D5983"/>
    <w:rsid w:val="001D5ACD"/>
    <w:rsid w:val="001D5ACF"/>
    <w:rsid w:val="001D5AFD"/>
    <w:rsid w:val="001D5B1C"/>
    <w:rsid w:val="001D5B80"/>
    <w:rsid w:val="001D5B8E"/>
    <w:rsid w:val="001D5BDF"/>
    <w:rsid w:val="001D5BF2"/>
    <w:rsid w:val="001D5C2A"/>
    <w:rsid w:val="001D5C6F"/>
    <w:rsid w:val="001D5CBF"/>
    <w:rsid w:val="001D5D4E"/>
    <w:rsid w:val="001D5D68"/>
    <w:rsid w:val="001D5D9E"/>
    <w:rsid w:val="001D5DDA"/>
    <w:rsid w:val="001D5DFE"/>
    <w:rsid w:val="001D5E06"/>
    <w:rsid w:val="001D5E70"/>
    <w:rsid w:val="001D5EA3"/>
    <w:rsid w:val="001D5EAE"/>
    <w:rsid w:val="001D5F56"/>
    <w:rsid w:val="001D5F5C"/>
    <w:rsid w:val="001D5F8E"/>
    <w:rsid w:val="001D5F9B"/>
    <w:rsid w:val="001D5F9C"/>
    <w:rsid w:val="001D5FB2"/>
    <w:rsid w:val="001D5FCF"/>
    <w:rsid w:val="001D6005"/>
    <w:rsid w:val="001D6014"/>
    <w:rsid w:val="001D6019"/>
    <w:rsid w:val="001D601F"/>
    <w:rsid w:val="001D6049"/>
    <w:rsid w:val="001D6050"/>
    <w:rsid w:val="001D6085"/>
    <w:rsid w:val="001D609A"/>
    <w:rsid w:val="001D60C5"/>
    <w:rsid w:val="001D611A"/>
    <w:rsid w:val="001D6177"/>
    <w:rsid w:val="001D61B2"/>
    <w:rsid w:val="001D61B8"/>
    <w:rsid w:val="001D6209"/>
    <w:rsid w:val="001D6230"/>
    <w:rsid w:val="001D6242"/>
    <w:rsid w:val="001D6257"/>
    <w:rsid w:val="001D6274"/>
    <w:rsid w:val="001D62CA"/>
    <w:rsid w:val="001D62D8"/>
    <w:rsid w:val="001D62E5"/>
    <w:rsid w:val="001D62F7"/>
    <w:rsid w:val="001D630D"/>
    <w:rsid w:val="001D6386"/>
    <w:rsid w:val="001D6436"/>
    <w:rsid w:val="001D6479"/>
    <w:rsid w:val="001D64BE"/>
    <w:rsid w:val="001D64FF"/>
    <w:rsid w:val="001D6516"/>
    <w:rsid w:val="001D6564"/>
    <w:rsid w:val="001D65B3"/>
    <w:rsid w:val="001D65BA"/>
    <w:rsid w:val="001D65D2"/>
    <w:rsid w:val="001D65F5"/>
    <w:rsid w:val="001D6608"/>
    <w:rsid w:val="001D6657"/>
    <w:rsid w:val="001D665C"/>
    <w:rsid w:val="001D668A"/>
    <w:rsid w:val="001D66B0"/>
    <w:rsid w:val="001D66EB"/>
    <w:rsid w:val="001D677B"/>
    <w:rsid w:val="001D678A"/>
    <w:rsid w:val="001D67DB"/>
    <w:rsid w:val="001D67E5"/>
    <w:rsid w:val="001D67EE"/>
    <w:rsid w:val="001D684B"/>
    <w:rsid w:val="001D68DF"/>
    <w:rsid w:val="001D68EA"/>
    <w:rsid w:val="001D692E"/>
    <w:rsid w:val="001D6935"/>
    <w:rsid w:val="001D6953"/>
    <w:rsid w:val="001D69C4"/>
    <w:rsid w:val="001D69C7"/>
    <w:rsid w:val="001D6A53"/>
    <w:rsid w:val="001D6A76"/>
    <w:rsid w:val="001D6AE4"/>
    <w:rsid w:val="001D6AF9"/>
    <w:rsid w:val="001D6B25"/>
    <w:rsid w:val="001D6B62"/>
    <w:rsid w:val="001D6BDF"/>
    <w:rsid w:val="001D6BE4"/>
    <w:rsid w:val="001D6BEE"/>
    <w:rsid w:val="001D6BFA"/>
    <w:rsid w:val="001D6C6F"/>
    <w:rsid w:val="001D6C7A"/>
    <w:rsid w:val="001D6CB3"/>
    <w:rsid w:val="001D6CB8"/>
    <w:rsid w:val="001D6D06"/>
    <w:rsid w:val="001D6D88"/>
    <w:rsid w:val="001D6DE7"/>
    <w:rsid w:val="001D6DF6"/>
    <w:rsid w:val="001D6E2F"/>
    <w:rsid w:val="001D6E54"/>
    <w:rsid w:val="001D6EAB"/>
    <w:rsid w:val="001D6F11"/>
    <w:rsid w:val="001D6F1F"/>
    <w:rsid w:val="001D6F9E"/>
    <w:rsid w:val="001D6FE5"/>
    <w:rsid w:val="001D6FEC"/>
    <w:rsid w:val="001D7005"/>
    <w:rsid w:val="001D701A"/>
    <w:rsid w:val="001D7039"/>
    <w:rsid w:val="001D705B"/>
    <w:rsid w:val="001D70A5"/>
    <w:rsid w:val="001D70AA"/>
    <w:rsid w:val="001D70BA"/>
    <w:rsid w:val="001D70CB"/>
    <w:rsid w:val="001D714A"/>
    <w:rsid w:val="001D7167"/>
    <w:rsid w:val="001D71A4"/>
    <w:rsid w:val="001D71AE"/>
    <w:rsid w:val="001D71CD"/>
    <w:rsid w:val="001D7242"/>
    <w:rsid w:val="001D726F"/>
    <w:rsid w:val="001D7315"/>
    <w:rsid w:val="001D7348"/>
    <w:rsid w:val="001D73BA"/>
    <w:rsid w:val="001D73CB"/>
    <w:rsid w:val="001D73EB"/>
    <w:rsid w:val="001D73FF"/>
    <w:rsid w:val="001D7402"/>
    <w:rsid w:val="001D7418"/>
    <w:rsid w:val="001D744D"/>
    <w:rsid w:val="001D746A"/>
    <w:rsid w:val="001D74B9"/>
    <w:rsid w:val="001D7537"/>
    <w:rsid w:val="001D7543"/>
    <w:rsid w:val="001D7555"/>
    <w:rsid w:val="001D7583"/>
    <w:rsid w:val="001D7587"/>
    <w:rsid w:val="001D758A"/>
    <w:rsid w:val="001D75B5"/>
    <w:rsid w:val="001D75C0"/>
    <w:rsid w:val="001D75E6"/>
    <w:rsid w:val="001D75F1"/>
    <w:rsid w:val="001D75F6"/>
    <w:rsid w:val="001D7615"/>
    <w:rsid w:val="001D762F"/>
    <w:rsid w:val="001D7659"/>
    <w:rsid w:val="001D767B"/>
    <w:rsid w:val="001D76A2"/>
    <w:rsid w:val="001D76DC"/>
    <w:rsid w:val="001D76F0"/>
    <w:rsid w:val="001D7718"/>
    <w:rsid w:val="001D771D"/>
    <w:rsid w:val="001D7753"/>
    <w:rsid w:val="001D775C"/>
    <w:rsid w:val="001D7781"/>
    <w:rsid w:val="001D7786"/>
    <w:rsid w:val="001D779E"/>
    <w:rsid w:val="001D77A2"/>
    <w:rsid w:val="001D77AE"/>
    <w:rsid w:val="001D77E4"/>
    <w:rsid w:val="001D785A"/>
    <w:rsid w:val="001D787D"/>
    <w:rsid w:val="001D78DF"/>
    <w:rsid w:val="001D790C"/>
    <w:rsid w:val="001D7927"/>
    <w:rsid w:val="001D7935"/>
    <w:rsid w:val="001D799A"/>
    <w:rsid w:val="001D79C1"/>
    <w:rsid w:val="001D7A5E"/>
    <w:rsid w:val="001D7A8C"/>
    <w:rsid w:val="001D7ABD"/>
    <w:rsid w:val="001D7AC4"/>
    <w:rsid w:val="001D7B30"/>
    <w:rsid w:val="001D7B5F"/>
    <w:rsid w:val="001D7BAD"/>
    <w:rsid w:val="001D7BC6"/>
    <w:rsid w:val="001D7BC9"/>
    <w:rsid w:val="001D7BF0"/>
    <w:rsid w:val="001D7C29"/>
    <w:rsid w:val="001D7C2E"/>
    <w:rsid w:val="001D7C3D"/>
    <w:rsid w:val="001D7C5D"/>
    <w:rsid w:val="001D7C6A"/>
    <w:rsid w:val="001D7CCF"/>
    <w:rsid w:val="001D7CD1"/>
    <w:rsid w:val="001D7CD8"/>
    <w:rsid w:val="001D7CE3"/>
    <w:rsid w:val="001D7D04"/>
    <w:rsid w:val="001D7D11"/>
    <w:rsid w:val="001D7D18"/>
    <w:rsid w:val="001D7D32"/>
    <w:rsid w:val="001D7D35"/>
    <w:rsid w:val="001D7D70"/>
    <w:rsid w:val="001D7D83"/>
    <w:rsid w:val="001D7D91"/>
    <w:rsid w:val="001D7D9A"/>
    <w:rsid w:val="001D7DB9"/>
    <w:rsid w:val="001D7DC9"/>
    <w:rsid w:val="001D7DDB"/>
    <w:rsid w:val="001D7DE1"/>
    <w:rsid w:val="001D7E4B"/>
    <w:rsid w:val="001D7E4F"/>
    <w:rsid w:val="001D7E9D"/>
    <w:rsid w:val="001D7EE1"/>
    <w:rsid w:val="001D7F11"/>
    <w:rsid w:val="001D7F68"/>
    <w:rsid w:val="001D7F70"/>
    <w:rsid w:val="001D7F72"/>
    <w:rsid w:val="001D7FAC"/>
    <w:rsid w:val="001D7FB8"/>
    <w:rsid w:val="001D7FD1"/>
    <w:rsid w:val="001D7FE6"/>
    <w:rsid w:val="001E0003"/>
    <w:rsid w:val="001E0029"/>
    <w:rsid w:val="001E0038"/>
    <w:rsid w:val="001E0090"/>
    <w:rsid w:val="001E00A9"/>
    <w:rsid w:val="001E0117"/>
    <w:rsid w:val="001E014A"/>
    <w:rsid w:val="001E0169"/>
    <w:rsid w:val="001E0177"/>
    <w:rsid w:val="001E0178"/>
    <w:rsid w:val="001E01AA"/>
    <w:rsid w:val="001E01E8"/>
    <w:rsid w:val="001E0214"/>
    <w:rsid w:val="001E0222"/>
    <w:rsid w:val="001E0227"/>
    <w:rsid w:val="001E025A"/>
    <w:rsid w:val="001E02D6"/>
    <w:rsid w:val="001E02E2"/>
    <w:rsid w:val="001E0313"/>
    <w:rsid w:val="001E0318"/>
    <w:rsid w:val="001E0346"/>
    <w:rsid w:val="001E03AD"/>
    <w:rsid w:val="001E03DB"/>
    <w:rsid w:val="001E03F7"/>
    <w:rsid w:val="001E0412"/>
    <w:rsid w:val="001E041E"/>
    <w:rsid w:val="001E044D"/>
    <w:rsid w:val="001E0477"/>
    <w:rsid w:val="001E04D0"/>
    <w:rsid w:val="001E04F8"/>
    <w:rsid w:val="001E051A"/>
    <w:rsid w:val="001E054F"/>
    <w:rsid w:val="001E0560"/>
    <w:rsid w:val="001E05E3"/>
    <w:rsid w:val="001E0603"/>
    <w:rsid w:val="001E063C"/>
    <w:rsid w:val="001E069B"/>
    <w:rsid w:val="001E06B2"/>
    <w:rsid w:val="001E0765"/>
    <w:rsid w:val="001E0783"/>
    <w:rsid w:val="001E079D"/>
    <w:rsid w:val="001E07C6"/>
    <w:rsid w:val="001E07CD"/>
    <w:rsid w:val="001E0831"/>
    <w:rsid w:val="001E0835"/>
    <w:rsid w:val="001E083F"/>
    <w:rsid w:val="001E08D6"/>
    <w:rsid w:val="001E08DA"/>
    <w:rsid w:val="001E092D"/>
    <w:rsid w:val="001E092F"/>
    <w:rsid w:val="001E096E"/>
    <w:rsid w:val="001E0972"/>
    <w:rsid w:val="001E0984"/>
    <w:rsid w:val="001E0A0C"/>
    <w:rsid w:val="001E0B7A"/>
    <w:rsid w:val="001E0B8C"/>
    <w:rsid w:val="001E0B97"/>
    <w:rsid w:val="001E0C50"/>
    <w:rsid w:val="001E0C63"/>
    <w:rsid w:val="001E0C9B"/>
    <w:rsid w:val="001E0CD9"/>
    <w:rsid w:val="001E0D0F"/>
    <w:rsid w:val="001E0D36"/>
    <w:rsid w:val="001E0D60"/>
    <w:rsid w:val="001E0D87"/>
    <w:rsid w:val="001E0DA9"/>
    <w:rsid w:val="001E0DC7"/>
    <w:rsid w:val="001E0DCD"/>
    <w:rsid w:val="001E0DDA"/>
    <w:rsid w:val="001E0E1A"/>
    <w:rsid w:val="001E0E32"/>
    <w:rsid w:val="001E0E85"/>
    <w:rsid w:val="001E0EA2"/>
    <w:rsid w:val="001E0ECE"/>
    <w:rsid w:val="001E0ED3"/>
    <w:rsid w:val="001E0EE1"/>
    <w:rsid w:val="001E0F52"/>
    <w:rsid w:val="001E0F5C"/>
    <w:rsid w:val="001E0F9B"/>
    <w:rsid w:val="001E0FB0"/>
    <w:rsid w:val="001E0FD6"/>
    <w:rsid w:val="001E0FF8"/>
    <w:rsid w:val="001E1035"/>
    <w:rsid w:val="001E1117"/>
    <w:rsid w:val="001E112B"/>
    <w:rsid w:val="001E1218"/>
    <w:rsid w:val="001E121B"/>
    <w:rsid w:val="001E129E"/>
    <w:rsid w:val="001E12B8"/>
    <w:rsid w:val="001E12CF"/>
    <w:rsid w:val="001E12ED"/>
    <w:rsid w:val="001E1306"/>
    <w:rsid w:val="001E1383"/>
    <w:rsid w:val="001E13C3"/>
    <w:rsid w:val="001E1412"/>
    <w:rsid w:val="001E1488"/>
    <w:rsid w:val="001E14AF"/>
    <w:rsid w:val="001E157F"/>
    <w:rsid w:val="001E15F6"/>
    <w:rsid w:val="001E163E"/>
    <w:rsid w:val="001E1662"/>
    <w:rsid w:val="001E16CD"/>
    <w:rsid w:val="001E16D6"/>
    <w:rsid w:val="001E16DB"/>
    <w:rsid w:val="001E16E8"/>
    <w:rsid w:val="001E1729"/>
    <w:rsid w:val="001E173B"/>
    <w:rsid w:val="001E177D"/>
    <w:rsid w:val="001E17BD"/>
    <w:rsid w:val="001E17C3"/>
    <w:rsid w:val="001E17E9"/>
    <w:rsid w:val="001E1813"/>
    <w:rsid w:val="001E1940"/>
    <w:rsid w:val="001E19A8"/>
    <w:rsid w:val="001E19D8"/>
    <w:rsid w:val="001E19E3"/>
    <w:rsid w:val="001E1A3B"/>
    <w:rsid w:val="001E1A77"/>
    <w:rsid w:val="001E1A89"/>
    <w:rsid w:val="001E1AB4"/>
    <w:rsid w:val="001E1ADC"/>
    <w:rsid w:val="001E1AE2"/>
    <w:rsid w:val="001E1AF2"/>
    <w:rsid w:val="001E1B26"/>
    <w:rsid w:val="001E1B56"/>
    <w:rsid w:val="001E1B59"/>
    <w:rsid w:val="001E1BD6"/>
    <w:rsid w:val="001E1C2B"/>
    <w:rsid w:val="001E1C39"/>
    <w:rsid w:val="001E1C54"/>
    <w:rsid w:val="001E1C99"/>
    <w:rsid w:val="001E1CAE"/>
    <w:rsid w:val="001E1CBA"/>
    <w:rsid w:val="001E1CC4"/>
    <w:rsid w:val="001E1CDD"/>
    <w:rsid w:val="001E1CEA"/>
    <w:rsid w:val="001E1D24"/>
    <w:rsid w:val="001E1D2B"/>
    <w:rsid w:val="001E1D60"/>
    <w:rsid w:val="001E1D7A"/>
    <w:rsid w:val="001E1D8A"/>
    <w:rsid w:val="001E1DAC"/>
    <w:rsid w:val="001E1DF1"/>
    <w:rsid w:val="001E1DFB"/>
    <w:rsid w:val="001E1E26"/>
    <w:rsid w:val="001E1E53"/>
    <w:rsid w:val="001E1E7F"/>
    <w:rsid w:val="001E1E91"/>
    <w:rsid w:val="001E1ED5"/>
    <w:rsid w:val="001E1F09"/>
    <w:rsid w:val="001E1F1B"/>
    <w:rsid w:val="001E1F35"/>
    <w:rsid w:val="001E1F88"/>
    <w:rsid w:val="001E1F90"/>
    <w:rsid w:val="001E1FBA"/>
    <w:rsid w:val="001E2047"/>
    <w:rsid w:val="001E2062"/>
    <w:rsid w:val="001E2074"/>
    <w:rsid w:val="001E20A8"/>
    <w:rsid w:val="001E20FF"/>
    <w:rsid w:val="001E2123"/>
    <w:rsid w:val="001E212C"/>
    <w:rsid w:val="001E2132"/>
    <w:rsid w:val="001E2164"/>
    <w:rsid w:val="001E21DE"/>
    <w:rsid w:val="001E21DF"/>
    <w:rsid w:val="001E21F1"/>
    <w:rsid w:val="001E22B8"/>
    <w:rsid w:val="001E22C4"/>
    <w:rsid w:val="001E22C6"/>
    <w:rsid w:val="001E22CB"/>
    <w:rsid w:val="001E22D1"/>
    <w:rsid w:val="001E22E5"/>
    <w:rsid w:val="001E22FF"/>
    <w:rsid w:val="001E231E"/>
    <w:rsid w:val="001E2330"/>
    <w:rsid w:val="001E2350"/>
    <w:rsid w:val="001E2353"/>
    <w:rsid w:val="001E236C"/>
    <w:rsid w:val="001E23D5"/>
    <w:rsid w:val="001E243D"/>
    <w:rsid w:val="001E245B"/>
    <w:rsid w:val="001E2509"/>
    <w:rsid w:val="001E2510"/>
    <w:rsid w:val="001E2528"/>
    <w:rsid w:val="001E252E"/>
    <w:rsid w:val="001E2542"/>
    <w:rsid w:val="001E256D"/>
    <w:rsid w:val="001E258E"/>
    <w:rsid w:val="001E25C8"/>
    <w:rsid w:val="001E25DB"/>
    <w:rsid w:val="001E25E5"/>
    <w:rsid w:val="001E25FA"/>
    <w:rsid w:val="001E2631"/>
    <w:rsid w:val="001E2675"/>
    <w:rsid w:val="001E26D6"/>
    <w:rsid w:val="001E2714"/>
    <w:rsid w:val="001E2715"/>
    <w:rsid w:val="001E2716"/>
    <w:rsid w:val="001E277F"/>
    <w:rsid w:val="001E2796"/>
    <w:rsid w:val="001E279B"/>
    <w:rsid w:val="001E27E5"/>
    <w:rsid w:val="001E27F4"/>
    <w:rsid w:val="001E2864"/>
    <w:rsid w:val="001E28CA"/>
    <w:rsid w:val="001E28E0"/>
    <w:rsid w:val="001E2917"/>
    <w:rsid w:val="001E2927"/>
    <w:rsid w:val="001E2935"/>
    <w:rsid w:val="001E2941"/>
    <w:rsid w:val="001E298E"/>
    <w:rsid w:val="001E29FA"/>
    <w:rsid w:val="001E2A00"/>
    <w:rsid w:val="001E2A0E"/>
    <w:rsid w:val="001E2A15"/>
    <w:rsid w:val="001E2A2D"/>
    <w:rsid w:val="001E2A52"/>
    <w:rsid w:val="001E2AF0"/>
    <w:rsid w:val="001E2B00"/>
    <w:rsid w:val="001E2B59"/>
    <w:rsid w:val="001E2B90"/>
    <w:rsid w:val="001E2BC6"/>
    <w:rsid w:val="001E2BF8"/>
    <w:rsid w:val="001E2C13"/>
    <w:rsid w:val="001E2C30"/>
    <w:rsid w:val="001E2C62"/>
    <w:rsid w:val="001E2C8D"/>
    <w:rsid w:val="001E2CD7"/>
    <w:rsid w:val="001E2CE6"/>
    <w:rsid w:val="001E2D47"/>
    <w:rsid w:val="001E2D65"/>
    <w:rsid w:val="001E2D71"/>
    <w:rsid w:val="001E2DB2"/>
    <w:rsid w:val="001E2DD9"/>
    <w:rsid w:val="001E2DEF"/>
    <w:rsid w:val="001E2E0C"/>
    <w:rsid w:val="001E2E1D"/>
    <w:rsid w:val="001E2E99"/>
    <w:rsid w:val="001E2EB9"/>
    <w:rsid w:val="001E2ED6"/>
    <w:rsid w:val="001E2EE3"/>
    <w:rsid w:val="001E2EED"/>
    <w:rsid w:val="001E2F22"/>
    <w:rsid w:val="001E2F33"/>
    <w:rsid w:val="001E2F43"/>
    <w:rsid w:val="001E2F62"/>
    <w:rsid w:val="001E2F70"/>
    <w:rsid w:val="001E2FAE"/>
    <w:rsid w:val="001E2FC5"/>
    <w:rsid w:val="001E2FCB"/>
    <w:rsid w:val="001E3005"/>
    <w:rsid w:val="001E3012"/>
    <w:rsid w:val="001E3018"/>
    <w:rsid w:val="001E304A"/>
    <w:rsid w:val="001E3050"/>
    <w:rsid w:val="001E30D7"/>
    <w:rsid w:val="001E30E6"/>
    <w:rsid w:val="001E3178"/>
    <w:rsid w:val="001E317D"/>
    <w:rsid w:val="001E31A6"/>
    <w:rsid w:val="001E328B"/>
    <w:rsid w:val="001E32BD"/>
    <w:rsid w:val="001E334D"/>
    <w:rsid w:val="001E335A"/>
    <w:rsid w:val="001E3382"/>
    <w:rsid w:val="001E339D"/>
    <w:rsid w:val="001E33B1"/>
    <w:rsid w:val="001E33DF"/>
    <w:rsid w:val="001E3425"/>
    <w:rsid w:val="001E34B4"/>
    <w:rsid w:val="001E3509"/>
    <w:rsid w:val="001E3527"/>
    <w:rsid w:val="001E352D"/>
    <w:rsid w:val="001E355B"/>
    <w:rsid w:val="001E3574"/>
    <w:rsid w:val="001E35A8"/>
    <w:rsid w:val="001E3603"/>
    <w:rsid w:val="001E3606"/>
    <w:rsid w:val="001E3614"/>
    <w:rsid w:val="001E3616"/>
    <w:rsid w:val="001E3679"/>
    <w:rsid w:val="001E3680"/>
    <w:rsid w:val="001E368F"/>
    <w:rsid w:val="001E3699"/>
    <w:rsid w:val="001E36A1"/>
    <w:rsid w:val="001E3761"/>
    <w:rsid w:val="001E3766"/>
    <w:rsid w:val="001E384E"/>
    <w:rsid w:val="001E3891"/>
    <w:rsid w:val="001E38F2"/>
    <w:rsid w:val="001E3906"/>
    <w:rsid w:val="001E394B"/>
    <w:rsid w:val="001E397F"/>
    <w:rsid w:val="001E39A8"/>
    <w:rsid w:val="001E39B7"/>
    <w:rsid w:val="001E39F2"/>
    <w:rsid w:val="001E3A09"/>
    <w:rsid w:val="001E3A32"/>
    <w:rsid w:val="001E3A36"/>
    <w:rsid w:val="001E3A43"/>
    <w:rsid w:val="001E3A4C"/>
    <w:rsid w:val="001E3A53"/>
    <w:rsid w:val="001E3A78"/>
    <w:rsid w:val="001E3A8C"/>
    <w:rsid w:val="001E3AFE"/>
    <w:rsid w:val="001E3B45"/>
    <w:rsid w:val="001E3B72"/>
    <w:rsid w:val="001E3B80"/>
    <w:rsid w:val="001E3BBC"/>
    <w:rsid w:val="001E3BDF"/>
    <w:rsid w:val="001E3BF9"/>
    <w:rsid w:val="001E3C21"/>
    <w:rsid w:val="001E3C86"/>
    <w:rsid w:val="001E3CE0"/>
    <w:rsid w:val="001E3D15"/>
    <w:rsid w:val="001E3D32"/>
    <w:rsid w:val="001E3D4F"/>
    <w:rsid w:val="001E3D59"/>
    <w:rsid w:val="001E3D80"/>
    <w:rsid w:val="001E3D8C"/>
    <w:rsid w:val="001E3DB0"/>
    <w:rsid w:val="001E3DB2"/>
    <w:rsid w:val="001E3E2A"/>
    <w:rsid w:val="001E3E31"/>
    <w:rsid w:val="001E3E57"/>
    <w:rsid w:val="001E3E6A"/>
    <w:rsid w:val="001E3F08"/>
    <w:rsid w:val="001E3F81"/>
    <w:rsid w:val="001E3F8C"/>
    <w:rsid w:val="001E3FB8"/>
    <w:rsid w:val="001E407D"/>
    <w:rsid w:val="001E4092"/>
    <w:rsid w:val="001E40F5"/>
    <w:rsid w:val="001E40F6"/>
    <w:rsid w:val="001E4100"/>
    <w:rsid w:val="001E4122"/>
    <w:rsid w:val="001E4123"/>
    <w:rsid w:val="001E4127"/>
    <w:rsid w:val="001E415D"/>
    <w:rsid w:val="001E4177"/>
    <w:rsid w:val="001E4182"/>
    <w:rsid w:val="001E41BF"/>
    <w:rsid w:val="001E41C2"/>
    <w:rsid w:val="001E41CB"/>
    <w:rsid w:val="001E41CC"/>
    <w:rsid w:val="001E4220"/>
    <w:rsid w:val="001E42AA"/>
    <w:rsid w:val="001E42EC"/>
    <w:rsid w:val="001E42EE"/>
    <w:rsid w:val="001E42FE"/>
    <w:rsid w:val="001E4327"/>
    <w:rsid w:val="001E4344"/>
    <w:rsid w:val="001E435C"/>
    <w:rsid w:val="001E43DB"/>
    <w:rsid w:val="001E43E5"/>
    <w:rsid w:val="001E440D"/>
    <w:rsid w:val="001E441A"/>
    <w:rsid w:val="001E442D"/>
    <w:rsid w:val="001E444E"/>
    <w:rsid w:val="001E448E"/>
    <w:rsid w:val="001E44A4"/>
    <w:rsid w:val="001E44C6"/>
    <w:rsid w:val="001E44E4"/>
    <w:rsid w:val="001E4535"/>
    <w:rsid w:val="001E458F"/>
    <w:rsid w:val="001E45A6"/>
    <w:rsid w:val="001E45D8"/>
    <w:rsid w:val="001E45E8"/>
    <w:rsid w:val="001E45F0"/>
    <w:rsid w:val="001E462B"/>
    <w:rsid w:val="001E468D"/>
    <w:rsid w:val="001E469A"/>
    <w:rsid w:val="001E46E5"/>
    <w:rsid w:val="001E46F8"/>
    <w:rsid w:val="001E4734"/>
    <w:rsid w:val="001E4736"/>
    <w:rsid w:val="001E4737"/>
    <w:rsid w:val="001E4761"/>
    <w:rsid w:val="001E4775"/>
    <w:rsid w:val="001E477B"/>
    <w:rsid w:val="001E478C"/>
    <w:rsid w:val="001E479C"/>
    <w:rsid w:val="001E47B8"/>
    <w:rsid w:val="001E47BA"/>
    <w:rsid w:val="001E47CE"/>
    <w:rsid w:val="001E47E4"/>
    <w:rsid w:val="001E4838"/>
    <w:rsid w:val="001E484F"/>
    <w:rsid w:val="001E4860"/>
    <w:rsid w:val="001E488D"/>
    <w:rsid w:val="001E48D3"/>
    <w:rsid w:val="001E48F9"/>
    <w:rsid w:val="001E490B"/>
    <w:rsid w:val="001E4916"/>
    <w:rsid w:val="001E49A9"/>
    <w:rsid w:val="001E49AD"/>
    <w:rsid w:val="001E49C7"/>
    <w:rsid w:val="001E49CE"/>
    <w:rsid w:val="001E49DF"/>
    <w:rsid w:val="001E49EA"/>
    <w:rsid w:val="001E4A1C"/>
    <w:rsid w:val="001E4A54"/>
    <w:rsid w:val="001E4A61"/>
    <w:rsid w:val="001E4AED"/>
    <w:rsid w:val="001E4B8A"/>
    <w:rsid w:val="001E4B8B"/>
    <w:rsid w:val="001E4BA2"/>
    <w:rsid w:val="001E4BA4"/>
    <w:rsid w:val="001E4BB1"/>
    <w:rsid w:val="001E4BF0"/>
    <w:rsid w:val="001E4BFE"/>
    <w:rsid w:val="001E4C18"/>
    <w:rsid w:val="001E4C28"/>
    <w:rsid w:val="001E4C48"/>
    <w:rsid w:val="001E4C57"/>
    <w:rsid w:val="001E4C95"/>
    <w:rsid w:val="001E4CF9"/>
    <w:rsid w:val="001E4D05"/>
    <w:rsid w:val="001E4D18"/>
    <w:rsid w:val="001E4D77"/>
    <w:rsid w:val="001E4DDB"/>
    <w:rsid w:val="001E4E0B"/>
    <w:rsid w:val="001E4E48"/>
    <w:rsid w:val="001E4E87"/>
    <w:rsid w:val="001E4EEC"/>
    <w:rsid w:val="001E4F03"/>
    <w:rsid w:val="001E4F09"/>
    <w:rsid w:val="001E4F53"/>
    <w:rsid w:val="001E4F73"/>
    <w:rsid w:val="001E4FCD"/>
    <w:rsid w:val="001E4FEA"/>
    <w:rsid w:val="001E500B"/>
    <w:rsid w:val="001E508A"/>
    <w:rsid w:val="001E50DA"/>
    <w:rsid w:val="001E510F"/>
    <w:rsid w:val="001E5151"/>
    <w:rsid w:val="001E519C"/>
    <w:rsid w:val="001E51E1"/>
    <w:rsid w:val="001E520E"/>
    <w:rsid w:val="001E5304"/>
    <w:rsid w:val="001E5305"/>
    <w:rsid w:val="001E53A7"/>
    <w:rsid w:val="001E53E5"/>
    <w:rsid w:val="001E541C"/>
    <w:rsid w:val="001E542E"/>
    <w:rsid w:val="001E5435"/>
    <w:rsid w:val="001E543A"/>
    <w:rsid w:val="001E54AB"/>
    <w:rsid w:val="001E5550"/>
    <w:rsid w:val="001E5569"/>
    <w:rsid w:val="001E557E"/>
    <w:rsid w:val="001E55B5"/>
    <w:rsid w:val="001E55B8"/>
    <w:rsid w:val="001E55BE"/>
    <w:rsid w:val="001E5621"/>
    <w:rsid w:val="001E5687"/>
    <w:rsid w:val="001E575F"/>
    <w:rsid w:val="001E57BB"/>
    <w:rsid w:val="001E57CF"/>
    <w:rsid w:val="001E5826"/>
    <w:rsid w:val="001E5846"/>
    <w:rsid w:val="001E5853"/>
    <w:rsid w:val="001E585D"/>
    <w:rsid w:val="001E5899"/>
    <w:rsid w:val="001E58B8"/>
    <w:rsid w:val="001E58D3"/>
    <w:rsid w:val="001E58FA"/>
    <w:rsid w:val="001E592E"/>
    <w:rsid w:val="001E595E"/>
    <w:rsid w:val="001E5978"/>
    <w:rsid w:val="001E59B1"/>
    <w:rsid w:val="001E59C6"/>
    <w:rsid w:val="001E5A8D"/>
    <w:rsid w:val="001E5AAB"/>
    <w:rsid w:val="001E5BAB"/>
    <w:rsid w:val="001E5BD8"/>
    <w:rsid w:val="001E5BF0"/>
    <w:rsid w:val="001E5C72"/>
    <w:rsid w:val="001E5C85"/>
    <w:rsid w:val="001E5CAF"/>
    <w:rsid w:val="001E5D6F"/>
    <w:rsid w:val="001E5D71"/>
    <w:rsid w:val="001E5D97"/>
    <w:rsid w:val="001E5E10"/>
    <w:rsid w:val="001E5E26"/>
    <w:rsid w:val="001E5E47"/>
    <w:rsid w:val="001E5E50"/>
    <w:rsid w:val="001E5EAD"/>
    <w:rsid w:val="001E5EC2"/>
    <w:rsid w:val="001E5EF9"/>
    <w:rsid w:val="001E5F04"/>
    <w:rsid w:val="001E5F0A"/>
    <w:rsid w:val="001E5F14"/>
    <w:rsid w:val="001E5F22"/>
    <w:rsid w:val="001E5F8E"/>
    <w:rsid w:val="001E5FAE"/>
    <w:rsid w:val="001E5FB2"/>
    <w:rsid w:val="001E5FC1"/>
    <w:rsid w:val="001E6014"/>
    <w:rsid w:val="001E606E"/>
    <w:rsid w:val="001E6070"/>
    <w:rsid w:val="001E607F"/>
    <w:rsid w:val="001E6083"/>
    <w:rsid w:val="001E60D7"/>
    <w:rsid w:val="001E60E5"/>
    <w:rsid w:val="001E60EA"/>
    <w:rsid w:val="001E6100"/>
    <w:rsid w:val="001E612C"/>
    <w:rsid w:val="001E6191"/>
    <w:rsid w:val="001E61C3"/>
    <w:rsid w:val="001E61EA"/>
    <w:rsid w:val="001E6201"/>
    <w:rsid w:val="001E62A0"/>
    <w:rsid w:val="001E62AC"/>
    <w:rsid w:val="001E62C8"/>
    <w:rsid w:val="001E62EF"/>
    <w:rsid w:val="001E62F9"/>
    <w:rsid w:val="001E6314"/>
    <w:rsid w:val="001E6361"/>
    <w:rsid w:val="001E6386"/>
    <w:rsid w:val="001E63AE"/>
    <w:rsid w:val="001E63DB"/>
    <w:rsid w:val="001E6431"/>
    <w:rsid w:val="001E6455"/>
    <w:rsid w:val="001E646F"/>
    <w:rsid w:val="001E64D0"/>
    <w:rsid w:val="001E64DA"/>
    <w:rsid w:val="001E64FD"/>
    <w:rsid w:val="001E6533"/>
    <w:rsid w:val="001E653B"/>
    <w:rsid w:val="001E6555"/>
    <w:rsid w:val="001E6570"/>
    <w:rsid w:val="001E659E"/>
    <w:rsid w:val="001E6607"/>
    <w:rsid w:val="001E6619"/>
    <w:rsid w:val="001E6630"/>
    <w:rsid w:val="001E6646"/>
    <w:rsid w:val="001E6651"/>
    <w:rsid w:val="001E66A1"/>
    <w:rsid w:val="001E66D0"/>
    <w:rsid w:val="001E66DC"/>
    <w:rsid w:val="001E6713"/>
    <w:rsid w:val="001E6741"/>
    <w:rsid w:val="001E6777"/>
    <w:rsid w:val="001E679F"/>
    <w:rsid w:val="001E67B3"/>
    <w:rsid w:val="001E67C9"/>
    <w:rsid w:val="001E6825"/>
    <w:rsid w:val="001E6839"/>
    <w:rsid w:val="001E685C"/>
    <w:rsid w:val="001E68FA"/>
    <w:rsid w:val="001E6903"/>
    <w:rsid w:val="001E6918"/>
    <w:rsid w:val="001E691F"/>
    <w:rsid w:val="001E694A"/>
    <w:rsid w:val="001E697D"/>
    <w:rsid w:val="001E6A88"/>
    <w:rsid w:val="001E6ACA"/>
    <w:rsid w:val="001E6AE0"/>
    <w:rsid w:val="001E6AF4"/>
    <w:rsid w:val="001E6B14"/>
    <w:rsid w:val="001E6B47"/>
    <w:rsid w:val="001E6B4E"/>
    <w:rsid w:val="001E6B83"/>
    <w:rsid w:val="001E6B85"/>
    <w:rsid w:val="001E6B87"/>
    <w:rsid w:val="001E6BA8"/>
    <w:rsid w:val="001E6BB1"/>
    <w:rsid w:val="001E6BE7"/>
    <w:rsid w:val="001E6BEB"/>
    <w:rsid w:val="001E6C21"/>
    <w:rsid w:val="001E6C4E"/>
    <w:rsid w:val="001E6C67"/>
    <w:rsid w:val="001E6C76"/>
    <w:rsid w:val="001E6C96"/>
    <w:rsid w:val="001E6CB8"/>
    <w:rsid w:val="001E6CD0"/>
    <w:rsid w:val="001E6CDC"/>
    <w:rsid w:val="001E6CE0"/>
    <w:rsid w:val="001E6D12"/>
    <w:rsid w:val="001E6D4E"/>
    <w:rsid w:val="001E6D57"/>
    <w:rsid w:val="001E6D6F"/>
    <w:rsid w:val="001E6D97"/>
    <w:rsid w:val="001E6DA4"/>
    <w:rsid w:val="001E6E2B"/>
    <w:rsid w:val="001E6E49"/>
    <w:rsid w:val="001E6E54"/>
    <w:rsid w:val="001E6E73"/>
    <w:rsid w:val="001E6E8A"/>
    <w:rsid w:val="001E6E91"/>
    <w:rsid w:val="001E6F19"/>
    <w:rsid w:val="001E6F4C"/>
    <w:rsid w:val="001E6F58"/>
    <w:rsid w:val="001E6F7F"/>
    <w:rsid w:val="001E6FA6"/>
    <w:rsid w:val="001E7034"/>
    <w:rsid w:val="001E7035"/>
    <w:rsid w:val="001E7052"/>
    <w:rsid w:val="001E70A8"/>
    <w:rsid w:val="001E70F5"/>
    <w:rsid w:val="001E7148"/>
    <w:rsid w:val="001E7161"/>
    <w:rsid w:val="001E717E"/>
    <w:rsid w:val="001E7181"/>
    <w:rsid w:val="001E7197"/>
    <w:rsid w:val="001E71B0"/>
    <w:rsid w:val="001E71BA"/>
    <w:rsid w:val="001E7214"/>
    <w:rsid w:val="001E722B"/>
    <w:rsid w:val="001E7243"/>
    <w:rsid w:val="001E7278"/>
    <w:rsid w:val="001E7297"/>
    <w:rsid w:val="001E72C4"/>
    <w:rsid w:val="001E73AF"/>
    <w:rsid w:val="001E7406"/>
    <w:rsid w:val="001E7488"/>
    <w:rsid w:val="001E75FE"/>
    <w:rsid w:val="001E760B"/>
    <w:rsid w:val="001E763C"/>
    <w:rsid w:val="001E76D5"/>
    <w:rsid w:val="001E76D6"/>
    <w:rsid w:val="001E76E6"/>
    <w:rsid w:val="001E76E8"/>
    <w:rsid w:val="001E772E"/>
    <w:rsid w:val="001E7778"/>
    <w:rsid w:val="001E7781"/>
    <w:rsid w:val="001E779F"/>
    <w:rsid w:val="001E77AF"/>
    <w:rsid w:val="001E7829"/>
    <w:rsid w:val="001E785B"/>
    <w:rsid w:val="001E791F"/>
    <w:rsid w:val="001E793F"/>
    <w:rsid w:val="001E7949"/>
    <w:rsid w:val="001E79E7"/>
    <w:rsid w:val="001E7A1C"/>
    <w:rsid w:val="001E7A32"/>
    <w:rsid w:val="001E7A90"/>
    <w:rsid w:val="001E7A91"/>
    <w:rsid w:val="001E7A92"/>
    <w:rsid w:val="001E7AF3"/>
    <w:rsid w:val="001E7B09"/>
    <w:rsid w:val="001E7B0D"/>
    <w:rsid w:val="001E7B45"/>
    <w:rsid w:val="001E7B75"/>
    <w:rsid w:val="001E7B83"/>
    <w:rsid w:val="001E7BEE"/>
    <w:rsid w:val="001E7BF6"/>
    <w:rsid w:val="001E7C50"/>
    <w:rsid w:val="001E7C8A"/>
    <w:rsid w:val="001E7C9D"/>
    <w:rsid w:val="001E7CC4"/>
    <w:rsid w:val="001E7CCA"/>
    <w:rsid w:val="001E7D1F"/>
    <w:rsid w:val="001E7D58"/>
    <w:rsid w:val="001E7D6A"/>
    <w:rsid w:val="001E7D7E"/>
    <w:rsid w:val="001E7D99"/>
    <w:rsid w:val="001E7DF3"/>
    <w:rsid w:val="001E7E23"/>
    <w:rsid w:val="001E7E79"/>
    <w:rsid w:val="001E7E85"/>
    <w:rsid w:val="001E7EB4"/>
    <w:rsid w:val="001E7ECC"/>
    <w:rsid w:val="001E7F02"/>
    <w:rsid w:val="001E7F27"/>
    <w:rsid w:val="001E7F2C"/>
    <w:rsid w:val="001E7F75"/>
    <w:rsid w:val="001E7F91"/>
    <w:rsid w:val="001E7FB0"/>
    <w:rsid w:val="001E7FB3"/>
    <w:rsid w:val="001E7FC3"/>
    <w:rsid w:val="001E7FF3"/>
    <w:rsid w:val="001E7FF4"/>
    <w:rsid w:val="001E7FF7"/>
    <w:rsid w:val="001EFA48"/>
    <w:rsid w:val="001F0047"/>
    <w:rsid w:val="001F0086"/>
    <w:rsid w:val="001F009F"/>
    <w:rsid w:val="001F00FE"/>
    <w:rsid w:val="001F012B"/>
    <w:rsid w:val="001F0163"/>
    <w:rsid w:val="001F0191"/>
    <w:rsid w:val="001F019D"/>
    <w:rsid w:val="001F01F4"/>
    <w:rsid w:val="001F01FA"/>
    <w:rsid w:val="001F0209"/>
    <w:rsid w:val="001F025E"/>
    <w:rsid w:val="001F0310"/>
    <w:rsid w:val="001F0370"/>
    <w:rsid w:val="001F0415"/>
    <w:rsid w:val="001F04CA"/>
    <w:rsid w:val="001F050D"/>
    <w:rsid w:val="001F0517"/>
    <w:rsid w:val="001F056D"/>
    <w:rsid w:val="001F056F"/>
    <w:rsid w:val="001F0571"/>
    <w:rsid w:val="001F0586"/>
    <w:rsid w:val="001F058C"/>
    <w:rsid w:val="001F05BA"/>
    <w:rsid w:val="001F05C9"/>
    <w:rsid w:val="001F0610"/>
    <w:rsid w:val="001F0680"/>
    <w:rsid w:val="001F0682"/>
    <w:rsid w:val="001F0689"/>
    <w:rsid w:val="001F0699"/>
    <w:rsid w:val="001F06ED"/>
    <w:rsid w:val="001F0714"/>
    <w:rsid w:val="001F0752"/>
    <w:rsid w:val="001F085C"/>
    <w:rsid w:val="001F0891"/>
    <w:rsid w:val="001F0982"/>
    <w:rsid w:val="001F09C8"/>
    <w:rsid w:val="001F0A01"/>
    <w:rsid w:val="001F0A19"/>
    <w:rsid w:val="001F0A1D"/>
    <w:rsid w:val="001F0A78"/>
    <w:rsid w:val="001F0A7A"/>
    <w:rsid w:val="001F0A8C"/>
    <w:rsid w:val="001F0B2D"/>
    <w:rsid w:val="001F0B6D"/>
    <w:rsid w:val="001F0B85"/>
    <w:rsid w:val="001F0B91"/>
    <w:rsid w:val="001F0C03"/>
    <w:rsid w:val="001F0C14"/>
    <w:rsid w:val="001F0C27"/>
    <w:rsid w:val="001F0C90"/>
    <w:rsid w:val="001F0CB0"/>
    <w:rsid w:val="001F0CBA"/>
    <w:rsid w:val="001F0CBB"/>
    <w:rsid w:val="001F0D02"/>
    <w:rsid w:val="001F0D76"/>
    <w:rsid w:val="001F0DAE"/>
    <w:rsid w:val="001F0DC1"/>
    <w:rsid w:val="001F0DD3"/>
    <w:rsid w:val="001F0E40"/>
    <w:rsid w:val="001F0E44"/>
    <w:rsid w:val="001F0E53"/>
    <w:rsid w:val="001F0E79"/>
    <w:rsid w:val="001F0EBC"/>
    <w:rsid w:val="001F0EF7"/>
    <w:rsid w:val="001F0EFF"/>
    <w:rsid w:val="001F0F00"/>
    <w:rsid w:val="001F0FA1"/>
    <w:rsid w:val="001F0FB9"/>
    <w:rsid w:val="001F0FC3"/>
    <w:rsid w:val="001F0FC8"/>
    <w:rsid w:val="001F0FEF"/>
    <w:rsid w:val="001F0FFC"/>
    <w:rsid w:val="001F1036"/>
    <w:rsid w:val="001F1058"/>
    <w:rsid w:val="001F105F"/>
    <w:rsid w:val="001F108A"/>
    <w:rsid w:val="001F1092"/>
    <w:rsid w:val="001F10BD"/>
    <w:rsid w:val="001F10EC"/>
    <w:rsid w:val="001F1104"/>
    <w:rsid w:val="001F111C"/>
    <w:rsid w:val="001F11AB"/>
    <w:rsid w:val="001F122C"/>
    <w:rsid w:val="001F128C"/>
    <w:rsid w:val="001F12DB"/>
    <w:rsid w:val="001F12E1"/>
    <w:rsid w:val="001F12FA"/>
    <w:rsid w:val="001F1300"/>
    <w:rsid w:val="001F1358"/>
    <w:rsid w:val="001F137C"/>
    <w:rsid w:val="001F13AE"/>
    <w:rsid w:val="001F13C4"/>
    <w:rsid w:val="001F13D6"/>
    <w:rsid w:val="001F140F"/>
    <w:rsid w:val="001F1413"/>
    <w:rsid w:val="001F1481"/>
    <w:rsid w:val="001F14BB"/>
    <w:rsid w:val="001F14E3"/>
    <w:rsid w:val="001F14EB"/>
    <w:rsid w:val="001F150D"/>
    <w:rsid w:val="001F1535"/>
    <w:rsid w:val="001F15C3"/>
    <w:rsid w:val="001F15E7"/>
    <w:rsid w:val="001F15EB"/>
    <w:rsid w:val="001F1672"/>
    <w:rsid w:val="001F1687"/>
    <w:rsid w:val="001F16AF"/>
    <w:rsid w:val="001F170F"/>
    <w:rsid w:val="001F174D"/>
    <w:rsid w:val="001F17A4"/>
    <w:rsid w:val="001F17B0"/>
    <w:rsid w:val="001F17F0"/>
    <w:rsid w:val="001F180A"/>
    <w:rsid w:val="001F188A"/>
    <w:rsid w:val="001F1893"/>
    <w:rsid w:val="001F18C3"/>
    <w:rsid w:val="001F1906"/>
    <w:rsid w:val="001F1922"/>
    <w:rsid w:val="001F1926"/>
    <w:rsid w:val="001F1968"/>
    <w:rsid w:val="001F197E"/>
    <w:rsid w:val="001F19B0"/>
    <w:rsid w:val="001F19E2"/>
    <w:rsid w:val="001F1A56"/>
    <w:rsid w:val="001F1A6A"/>
    <w:rsid w:val="001F1A6F"/>
    <w:rsid w:val="001F1A7A"/>
    <w:rsid w:val="001F1A7F"/>
    <w:rsid w:val="001F1B4F"/>
    <w:rsid w:val="001F1B78"/>
    <w:rsid w:val="001F1BD0"/>
    <w:rsid w:val="001F1BD1"/>
    <w:rsid w:val="001F1BEA"/>
    <w:rsid w:val="001F1C2F"/>
    <w:rsid w:val="001F1C3C"/>
    <w:rsid w:val="001F1C5D"/>
    <w:rsid w:val="001F1C68"/>
    <w:rsid w:val="001F1C6E"/>
    <w:rsid w:val="001F1C84"/>
    <w:rsid w:val="001F1C95"/>
    <w:rsid w:val="001F1C9C"/>
    <w:rsid w:val="001F1CB5"/>
    <w:rsid w:val="001F1CD0"/>
    <w:rsid w:val="001F1CD6"/>
    <w:rsid w:val="001F1CE0"/>
    <w:rsid w:val="001F1D0C"/>
    <w:rsid w:val="001F1D1E"/>
    <w:rsid w:val="001F1D44"/>
    <w:rsid w:val="001F1D48"/>
    <w:rsid w:val="001F1D4C"/>
    <w:rsid w:val="001F1D54"/>
    <w:rsid w:val="001F1D62"/>
    <w:rsid w:val="001F1D63"/>
    <w:rsid w:val="001F1DC8"/>
    <w:rsid w:val="001F1E31"/>
    <w:rsid w:val="001F1E38"/>
    <w:rsid w:val="001F1E8D"/>
    <w:rsid w:val="001F1EFF"/>
    <w:rsid w:val="001F1F08"/>
    <w:rsid w:val="001F1F19"/>
    <w:rsid w:val="001F1F51"/>
    <w:rsid w:val="001F1F64"/>
    <w:rsid w:val="001F1F79"/>
    <w:rsid w:val="001F1F7F"/>
    <w:rsid w:val="001F1FBE"/>
    <w:rsid w:val="001F1FD2"/>
    <w:rsid w:val="001F1FF7"/>
    <w:rsid w:val="001F2009"/>
    <w:rsid w:val="001F2014"/>
    <w:rsid w:val="001F2038"/>
    <w:rsid w:val="001F2044"/>
    <w:rsid w:val="001F20BE"/>
    <w:rsid w:val="001F20D9"/>
    <w:rsid w:val="001F20ED"/>
    <w:rsid w:val="001F2109"/>
    <w:rsid w:val="001F2142"/>
    <w:rsid w:val="001F2179"/>
    <w:rsid w:val="001F21B0"/>
    <w:rsid w:val="001F21B5"/>
    <w:rsid w:val="001F21C4"/>
    <w:rsid w:val="001F21CD"/>
    <w:rsid w:val="001F21EF"/>
    <w:rsid w:val="001F225B"/>
    <w:rsid w:val="001F227C"/>
    <w:rsid w:val="001F22AC"/>
    <w:rsid w:val="001F233F"/>
    <w:rsid w:val="001F2359"/>
    <w:rsid w:val="001F2368"/>
    <w:rsid w:val="001F237D"/>
    <w:rsid w:val="001F2389"/>
    <w:rsid w:val="001F238F"/>
    <w:rsid w:val="001F23E2"/>
    <w:rsid w:val="001F23E4"/>
    <w:rsid w:val="001F2411"/>
    <w:rsid w:val="001F24B1"/>
    <w:rsid w:val="001F24BF"/>
    <w:rsid w:val="001F24C1"/>
    <w:rsid w:val="001F24CF"/>
    <w:rsid w:val="001F24EE"/>
    <w:rsid w:val="001F2566"/>
    <w:rsid w:val="001F259E"/>
    <w:rsid w:val="001F25C5"/>
    <w:rsid w:val="001F260D"/>
    <w:rsid w:val="001F2643"/>
    <w:rsid w:val="001F2651"/>
    <w:rsid w:val="001F26C0"/>
    <w:rsid w:val="001F26EB"/>
    <w:rsid w:val="001F2716"/>
    <w:rsid w:val="001F2735"/>
    <w:rsid w:val="001F2769"/>
    <w:rsid w:val="001F2822"/>
    <w:rsid w:val="001F2900"/>
    <w:rsid w:val="001F2952"/>
    <w:rsid w:val="001F2970"/>
    <w:rsid w:val="001F2A02"/>
    <w:rsid w:val="001F2A43"/>
    <w:rsid w:val="001F2A6B"/>
    <w:rsid w:val="001F2ABD"/>
    <w:rsid w:val="001F2AFD"/>
    <w:rsid w:val="001F2BA9"/>
    <w:rsid w:val="001F2BB5"/>
    <w:rsid w:val="001F2BCC"/>
    <w:rsid w:val="001F2BE0"/>
    <w:rsid w:val="001F2BF7"/>
    <w:rsid w:val="001F2C20"/>
    <w:rsid w:val="001F2C73"/>
    <w:rsid w:val="001F2C75"/>
    <w:rsid w:val="001F2C92"/>
    <w:rsid w:val="001F2CCC"/>
    <w:rsid w:val="001F2CCD"/>
    <w:rsid w:val="001F2D40"/>
    <w:rsid w:val="001F2D46"/>
    <w:rsid w:val="001F2D4C"/>
    <w:rsid w:val="001F2D7F"/>
    <w:rsid w:val="001F2DAF"/>
    <w:rsid w:val="001F2DCA"/>
    <w:rsid w:val="001F2E40"/>
    <w:rsid w:val="001F2EB2"/>
    <w:rsid w:val="001F2EB8"/>
    <w:rsid w:val="001F2EFF"/>
    <w:rsid w:val="001F2F74"/>
    <w:rsid w:val="001F3011"/>
    <w:rsid w:val="001F308B"/>
    <w:rsid w:val="001F3094"/>
    <w:rsid w:val="001F30B0"/>
    <w:rsid w:val="001F312B"/>
    <w:rsid w:val="001F3173"/>
    <w:rsid w:val="001F31E7"/>
    <w:rsid w:val="001F322D"/>
    <w:rsid w:val="001F325E"/>
    <w:rsid w:val="001F3287"/>
    <w:rsid w:val="001F3298"/>
    <w:rsid w:val="001F32A3"/>
    <w:rsid w:val="001F32C7"/>
    <w:rsid w:val="001F32DB"/>
    <w:rsid w:val="001F32FA"/>
    <w:rsid w:val="001F3322"/>
    <w:rsid w:val="001F332D"/>
    <w:rsid w:val="001F339F"/>
    <w:rsid w:val="001F33AE"/>
    <w:rsid w:val="001F33CC"/>
    <w:rsid w:val="001F3417"/>
    <w:rsid w:val="001F341B"/>
    <w:rsid w:val="001F3460"/>
    <w:rsid w:val="001F347D"/>
    <w:rsid w:val="001F347F"/>
    <w:rsid w:val="001F34C5"/>
    <w:rsid w:val="001F34F0"/>
    <w:rsid w:val="001F34F9"/>
    <w:rsid w:val="001F351F"/>
    <w:rsid w:val="001F354E"/>
    <w:rsid w:val="001F359A"/>
    <w:rsid w:val="001F359F"/>
    <w:rsid w:val="001F35D4"/>
    <w:rsid w:val="001F3612"/>
    <w:rsid w:val="001F3623"/>
    <w:rsid w:val="001F3634"/>
    <w:rsid w:val="001F3651"/>
    <w:rsid w:val="001F3674"/>
    <w:rsid w:val="001F367E"/>
    <w:rsid w:val="001F373A"/>
    <w:rsid w:val="001F37A9"/>
    <w:rsid w:val="001F37D6"/>
    <w:rsid w:val="001F37DF"/>
    <w:rsid w:val="001F37F9"/>
    <w:rsid w:val="001F3845"/>
    <w:rsid w:val="001F384F"/>
    <w:rsid w:val="001F3887"/>
    <w:rsid w:val="001F3891"/>
    <w:rsid w:val="001F38B4"/>
    <w:rsid w:val="001F38D0"/>
    <w:rsid w:val="001F38F4"/>
    <w:rsid w:val="001F3914"/>
    <w:rsid w:val="001F3916"/>
    <w:rsid w:val="001F3919"/>
    <w:rsid w:val="001F39A0"/>
    <w:rsid w:val="001F39BD"/>
    <w:rsid w:val="001F39C6"/>
    <w:rsid w:val="001F39CC"/>
    <w:rsid w:val="001F39FB"/>
    <w:rsid w:val="001F3A18"/>
    <w:rsid w:val="001F3A29"/>
    <w:rsid w:val="001F3AC8"/>
    <w:rsid w:val="001F3AEB"/>
    <w:rsid w:val="001F3B4A"/>
    <w:rsid w:val="001F3B88"/>
    <w:rsid w:val="001F3BA1"/>
    <w:rsid w:val="001F3BB3"/>
    <w:rsid w:val="001F3BDB"/>
    <w:rsid w:val="001F3CA4"/>
    <w:rsid w:val="001F3CA8"/>
    <w:rsid w:val="001F3CBA"/>
    <w:rsid w:val="001F3CF0"/>
    <w:rsid w:val="001F3D22"/>
    <w:rsid w:val="001F3D37"/>
    <w:rsid w:val="001F3D61"/>
    <w:rsid w:val="001F3DF6"/>
    <w:rsid w:val="001F3E2D"/>
    <w:rsid w:val="001F3E56"/>
    <w:rsid w:val="001F3ED4"/>
    <w:rsid w:val="001F3EE9"/>
    <w:rsid w:val="001F3F2D"/>
    <w:rsid w:val="001F3F32"/>
    <w:rsid w:val="001F3FD6"/>
    <w:rsid w:val="001F3FE1"/>
    <w:rsid w:val="001F3FEA"/>
    <w:rsid w:val="001F4023"/>
    <w:rsid w:val="001F4057"/>
    <w:rsid w:val="001F40A7"/>
    <w:rsid w:val="001F40D7"/>
    <w:rsid w:val="001F40E0"/>
    <w:rsid w:val="001F40F6"/>
    <w:rsid w:val="001F413D"/>
    <w:rsid w:val="001F4153"/>
    <w:rsid w:val="001F41A1"/>
    <w:rsid w:val="001F41AC"/>
    <w:rsid w:val="001F41CD"/>
    <w:rsid w:val="001F41D0"/>
    <w:rsid w:val="001F41DD"/>
    <w:rsid w:val="001F4233"/>
    <w:rsid w:val="001F4246"/>
    <w:rsid w:val="001F4248"/>
    <w:rsid w:val="001F428A"/>
    <w:rsid w:val="001F4325"/>
    <w:rsid w:val="001F432F"/>
    <w:rsid w:val="001F4391"/>
    <w:rsid w:val="001F43AD"/>
    <w:rsid w:val="001F442F"/>
    <w:rsid w:val="001F4434"/>
    <w:rsid w:val="001F4456"/>
    <w:rsid w:val="001F4457"/>
    <w:rsid w:val="001F4473"/>
    <w:rsid w:val="001F4474"/>
    <w:rsid w:val="001F4481"/>
    <w:rsid w:val="001F4497"/>
    <w:rsid w:val="001F44A0"/>
    <w:rsid w:val="001F44AA"/>
    <w:rsid w:val="001F44C0"/>
    <w:rsid w:val="001F44C1"/>
    <w:rsid w:val="001F4513"/>
    <w:rsid w:val="001F452F"/>
    <w:rsid w:val="001F458F"/>
    <w:rsid w:val="001F4599"/>
    <w:rsid w:val="001F45AD"/>
    <w:rsid w:val="001F45E1"/>
    <w:rsid w:val="001F45F5"/>
    <w:rsid w:val="001F4621"/>
    <w:rsid w:val="001F4635"/>
    <w:rsid w:val="001F4653"/>
    <w:rsid w:val="001F465E"/>
    <w:rsid w:val="001F4668"/>
    <w:rsid w:val="001F4676"/>
    <w:rsid w:val="001F468A"/>
    <w:rsid w:val="001F469B"/>
    <w:rsid w:val="001F46A2"/>
    <w:rsid w:val="001F46D0"/>
    <w:rsid w:val="001F46FB"/>
    <w:rsid w:val="001F473E"/>
    <w:rsid w:val="001F476B"/>
    <w:rsid w:val="001F4780"/>
    <w:rsid w:val="001F4790"/>
    <w:rsid w:val="001F47B4"/>
    <w:rsid w:val="001F47C7"/>
    <w:rsid w:val="001F47E6"/>
    <w:rsid w:val="001F47F2"/>
    <w:rsid w:val="001F484C"/>
    <w:rsid w:val="001F485D"/>
    <w:rsid w:val="001F4860"/>
    <w:rsid w:val="001F487B"/>
    <w:rsid w:val="001F487C"/>
    <w:rsid w:val="001F489D"/>
    <w:rsid w:val="001F48C2"/>
    <w:rsid w:val="001F494A"/>
    <w:rsid w:val="001F4958"/>
    <w:rsid w:val="001F4959"/>
    <w:rsid w:val="001F496F"/>
    <w:rsid w:val="001F497B"/>
    <w:rsid w:val="001F4999"/>
    <w:rsid w:val="001F4A0C"/>
    <w:rsid w:val="001F4A10"/>
    <w:rsid w:val="001F4A23"/>
    <w:rsid w:val="001F4A59"/>
    <w:rsid w:val="001F4AA5"/>
    <w:rsid w:val="001F4ABC"/>
    <w:rsid w:val="001F4ACF"/>
    <w:rsid w:val="001F4AD1"/>
    <w:rsid w:val="001F4AED"/>
    <w:rsid w:val="001F4AEE"/>
    <w:rsid w:val="001F4B12"/>
    <w:rsid w:val="001F4B1A"/>
    <w:rsid w:val="001F4B31"/>
    <w:rsid w:val="001F4B4E"/>
    <w:rsid w:val="001F4B5F"/>
    <w:rsid w:val="001F4B8C"/>
    <w:rsid w:val="001F4B9B"/>
    <w:rsid w:val="001F4BAC"/>
    <w:rsid w:val="001F4BEE"/>
    <w:rsid w:val="001F4C28"/>
    <w:rsid w:val="001F4C68"/>
    <w:rsid w:val="001F4C7E"/>
    <w:rsid w:val="001F4C94"/>
    <w:rsid w:val="001F4CD6"/>
    <w:rsid w:val="001F4D0C"/>
    <w:rsid w:val="001F4D1F"/>
    <w:rsid w:val="001F4D39"/>
    <w:rsid w:val="001F4D4D"/>
    <w:rsid w:val="001F4D6B"/>
    <w:rsid w:val="001F4D70"/>
    <w:rsid w:val="001F4D87"/>
    <w:rsid w:val="001F4DFD"/>
    <w:rsid w:val="001F4E09"/>
    <w:rsid w:val="001F4E76"/>
    <w:rsid w:val="001F4E9C"/>
    <w:rsid w:val="001F4EA4"/>
    <w:rsid w:val="001F4EFD"/>
    <w:rsid w:val="001F4F0D"/>
    <w:rsid w:val="001F4F62"/>
    <w:rsid w:val="001F4FA7"/>
    <w:rsid w:val="001F4FB5"/>
    <w:rsid w:val="001F4FB9"/>
    <w:rsid w:val="001F4FFE"/>
    <w:rsid w:val="001F5000"/>
    <w:rsid w:val="001F5006"/>
    <w:rsid w:val="001F5093"/>
    <w:rsid w:val="001F50DD"/>
    <w:rsid w:val="001F5119"/>
    <w:rsid w:val="001F5132"/>
    <w:rsid w:val="001F514E"/>
    <w:rsid w:val="001F516A"/>
    <w:rsid w:val="001F5181"/>
    <w:rsid w:val="001F51AB"/>
    <w:rsid w:val="001F51BC"/>
    <w:rsid w:val="001F51C6"/>
    <w:rsid w:val="001F521F"/>
    <w:rsid w:val="001F522E"/>
    <w:rsid w:val="001F5258"/>
    <w:rsid w:val="001F5261"/>
    <w:rsid w:val="001F5299"/>
    <w:rsid w:val="001F52D4"/>
    <w:rsid w:val="001F530E"/>
    <w:rsid w:val="001F5365"/>
    <w:rsid w:val="001F5393"/>
    <w:rsid w:val="001F53B5"/>
    <w:rsid w:val="001F541E"/>
    <w:rsid w:val="001F5424"/>
    <w:rsid w:val="001F543B"/>
    <w:rsid w:val="001F5491"/>
    <w:rsid w:val="001F54B5"/>
    <w:rsid w:val="001F54B6"/>
    <w:rsid w:val="001F54C0"/>
    <w:rsid w:val="001F54C4"/>
    <w:rsid w:val="001F54F9"/>
    <w:rsid w:val="001F5533"/>
    <w:rsid w:val="001F5538"/>
    <w:rsid w:val="001F5550"/>
    <w:rsid w:val="001F5565"/>
    <w:rsid w:val="001F5571"/>
    <w:rsid w:val="001F558D"/>
    <w:rsid w:val="001F55A2"/>
    <w:rsid w:val="001F55A6"/>
    <w:rsid w:val="001F55B7"/>
    <w:rsid w:val="001F55E7"/>
    <w:rsid w:val="001F5606"/>
    <w:rsid w:val="001F563A"/>
    <w:rsid w:val="001F566E"/>
    <w:rsid w:val="001F5684"/>
    <w:rsid w:val="001F56C9"/>
    <w:rsid w:val="001F56EA"/>
    <w:rsid w:val="001F56F4"/>
    <w:rsid w:val="001F56F9"/>
    <w:rsid w:val="001F570C"/>
    <w:rsid w:val="001F5730"/>
    <w:rsid w:val="001F575D"/>
    <w:rsid w:val="001F57AD"/>
    <w:rsid w:val="001F5803"/>
    <w:rsid w:val="001F5866"/>
    <w:rsid w:val="001F58D4"/>
    <w:rsid w:val="001F595E"/>
    <w:rsid w:val="001F5996"/>
    <w:rsid w:val="001F59B2"/>
    <w:rsid w:val="001F59B4"/>
    <w:rsid w:val="001F59BC"/>
    <w:rsid w:val="001F5A7D"/>
    <w:rsid w:val="001F5A95"/>
    <w:rsid w:val="001F5AEB"/>
    <w:rsid w:val="001F5AFC"/>
    <w:rsid w:val="001F5B2E"/>
    <w:rsid w:val="001F5B3B"/>
    <w:rsid w:val="001F5B5D"/>
    <w:rsid w:val="001F5B67"/>
    <w:rsid w:val="001F5B83"/>
    <w:rsid w:val="001F5B9B"/>
    <w:rsid w:val="001F5BA3"/>
    <w:rsid w:val="001F5BA6"/>
    <w:rsid w:val="001F5BAD"/>
    <w:rsid w:val="001F5BDA"/>
    <w:rsid w:val="001F5C1F"/>
    <w:rsid w:val="001F5C59"/>
    <w:rsid w:val="001F5C97"/>
    <w:rsid w:val="001F5CE4"/>
    <w:rsid w:val="001F5CEE"/>
    <w:rsid w:val="001F5D09"/>
    <w:rsid w:val="001F5D2A"/>
    <w:rsid w:val="001F5D3E"/>
    <w:rsid w:val="001F5D88"/>
    <w:rsid w:val="001F5DDB"/>
    <w:rsid w:val="001F5E22"/>
    <w:rsid w:val="001F5E88"/>
    <w:rsid w:val="001F5E8B"/>
    <w:rsid w:val="001F5ED0"/>
    <w:rsid w:val="001F5EF0"/>
    <w:rsid w:val="001F5EFC"/>
    <w:rsid w:val="001F5F0E"/>
    <w:rsid w:val="001F5F8F"/>
    <w:rsid w:val="001F5FBF"/>
    <w:rsid w:val="001F5FC7"/>
    <w:rsid w:val="001F600B"/>
    <w:rsid w:val="001F6031"/>
    <w:rsid w:val="001F609E"/>
    <w:rsid w:val="001F60E1"/>
    <w:rsid w:val="001F60F1"/>
    <w:rsid w:val="001F6111"/>
    <w:rsid w:val="001F6141"/>
    <w:rsid w:val="001F6171"/>
    <w:rsid w:val="001F61E4"/>
    <w:rsid w:val="001F622A"/>
    <w:rsid w:val="001F629B"/>
    <w:rsid w:val="001F62B0"/>
    <w:rsid w:val="001F62B1"/>
    <w:rsid w:val="001F62D4"/>
    <w:rsid w:val="001F630F"/>
    <w:rsid w:val="001F6316"/>
    <w:rsid w:val="001F6337"/>
    <w:rsid w:val="001F6347"/>
    <w:rsid w:val="001F634D"/>
    <w:rsid w:val="001F635D"/>
    <w:rsid w:val="001F63E1"/>
    <w:rsid w:val="001F6446"/>
    <w:rsid w:val="001F6455"/>
    <w:rsid w:val="001F6474"/>
    <w:rsid w:val="001F6485"/>
    <w:rsid w:val="001F648B"/>
    <w:rsid w:val="001F649F"/>
    <w:rsid w:val="001F64D3"/>
    <w:rsid w:val="001F64EE"/>
    <w:rsid w:val="001F6598"/>
    <w:rsid w:val="001F65DB"/>
    <w:rsid w:val="001F65E8"/>
    <w:rsid w:val="001F6601"/>
    <w:rsid w:val="001F661F"/>
    <w:rsid w:val="001F6685"/>
    <w:rsid w:val="001F66AB"/>
    <w:rsid w:val="001F66D3"/>
    <w:rsid w:val="001F66F7"/>
    <w:rsid w:val="001F66FA"/>
    <w:rsid w:val="001F6726"/>
    <w:rsid w:val="001F672C"/>
    <w:rsid w:val="001F673A"/>
    <w:rsid w:val="001F6746"/>
    <w:rsid w:val="001F6749"/>
    <w:rsid w:val="001F67B6"/>
    <w:rsid w:val="001F67E8"/>
    <w:rsid w:val="001F684F"/>
    <w:rsid w:val="001F6855"/>
    <w:rsid w:val="001F6872"/>
    <w:rsid w:val="001F6876"/>
    <w:rsid w:val="001F687E"/>
    <w:rsid w:val="001F689B"/>
    <w:rsid w:val="001F68A8"/>
    <w:rsid w:val="001F68AD"/>
    <w:rsid w:val="001F68B8"/>
    <w:rsid w:val="001F68C9"/>
    <w:rsid w:val="001F6936"/>
    <w:rsid w:val="001F69CD"/>
    <w:rsid w:val="001F69CF"/>
    <w:rsid w:val="001F6A1D"/>
    <w:rsid w:val="001F6A2A"/>
    <w:rsid w:val="001F6A36"/>
    <w:rsid w:val="001F6A66"/>
    <w:rsid w:val="001F6A6C"/>
    <w:rsid w:val="001F6AAE"/>
    <w:rsid w:val="001F6ABA"/>
    <w:rsid w:val="001F6ACE"/>
    <w:rsid w:val="001F6B17"/>
    <w:rsid w:val="001F6B6C"/>
    <w:rsid w:val="001F6B7B"/>
    <w:rsid w:val="001F6B7C"/>
    <w:rsid w:val="001F6B87"/>
    <w:rsid w:val="001F6BD0"/>
    <w:rsid w:val="001F6BDD"/>
    <w:rsid w:val="001F6C0B"/>
    <w:rsid w:val="001F6C7E"/>
    <w:rsid w:val="001F6C85"/>
    <w:rsid w:val="001F6C92"/>
    <w:rsid w:val="001F6CA5"/>
    <w:rsid w:val="001F6D78"/>
    <w:rsid w:val="001F6DE6"/>
    <w:rsid w:val="001F6E14"/>
    <w:rsid w:val="001F6E22"/>
    <w:rsid w:val="001F6E5C"/>
    <w:rsid w:val="001F6E6F"/>
    <w:rsid w:val="001F6E73"/>
    <w:rsid w:val="001F6EAC"/>
    <w:rsid w:val="001F6ECC"/>
    <w:rsid w:val="001F6EE8"/>
    <w:rsid w:val="001F6F51"/>
    <w:rsid w:val="001F6F63"/>
    <w:rsid w:val="001F6FB5"/>
    <w:rsid w:val="001F6FDB"/>
    <w:rsid w:val="001F6FE0"/>
    <w:rsid w:val="001F6FE2"/>
    <w:rsid w:val="001F7090"/>
    <w:rsid w:val="001F70B1"/>
    <w:rsid w:val="001F70BC"/>
    <w:rsid w:val="001F70E7"/>
    <w:rsid w:val="001F7101"/>
    <w:rsid w:val="001F7113"/>
    <w:rsid w:val="001F7142"/>
    <w:rsid w:val="001F7154"/>
    <w:rsid w:val="001F7157"/>
    <w:rsid w:val="001F715B"/>
    <w:rsid w:val="001F7162"/>
    <w:rsid w:val="001F7163"/>
    <w:rsid w:val="001F718C"/>
    <w:rsid w:val="001F71D9"/>
    <w:rsid w:val="001F71ED"/>
    <w:rsid w:val="001F7225"/>
    <w:rsid w:val="001F722C"/>
    <w:rsid w:val="001F723E"/>
    <w:rsid w:val="001F724D"/>
    <w:rsid w:val="001F72AA"/>
    <w:rsid w:val="001F72D5"/>
    <w:rsid w:val="001F7310"/>
    <w:rsid w:val="001F732A"/>
    <w:rsid w:val="001F7343"/>
    <w:rsid w:val="001F7372"/>
    <w:rsid w:val="001F7395"/>
    <w:rsid w:val="001F73C9"/>
    <w:rsid w:val="001F73E6"/>
    <w:rsid w:val="001F742E"/>
    <w:rsid w:val="001F7461"/>
    <w:rsid w:val="001F7465"/>
    <w:rsid w:val="001F74E9"/>
    <w:rsid w:val="001F74F2"/>
    <w:rsid w:val="001F752E"/>
    <w:rsid w:val="001F753C"/>
    <w:rsid w:val="001F7585"/>
    <w:rsid w:val="001F75AD"/>
    <w:rsid w:val="001F75BF"/>
    <w:rsid w:val="001F75D1"/>
    <w:rsid w:val="001F75D6"/>
    <w:rsid w:val="001F75F4"/>
    <w:rsid w:val="001F76C9"/>
    <w:rsid w:val="001F772C"/>
    <w:rsid w:val="001F7733"/>
    <w:rsid w:val="001F7740"/>
    <w:rsid w:val="001F7791"/>
    <w:rsid w:val="001F779F"/>
    <w:rsid w:val="001F77DA"/>
    <w:rsid w:val="001F77FA"/>
    <w:rsid w:val="001F7860"/>
    <w:rsid w:val="001F788C"/>
    <w:rsid w:val="001F78D4"/>
    <w:rsid w:val="001F78EE"/>
    <w:rsid w:val="001F78F8"/>
    <w:rsid w:val="001F790F"/>
    <w:rsid w:val="001F7948"/>
    <w:rsid w:val="001F7979"/>
    <w:rsid w:val="001F799A"/>
    <w:rsid w:val="001F79A1"/>
    <w:rsid w:val="001F79E5"/>
    <w:rsid w:val="001F7A01"/>
    <w:rsid w:val="001F7A65"/>
    <w:rsid w:val="001F7A70"/>
    <w:rsid w:val="001F7A83"/>
    <w:rsid w:val="001F7A8E"/>
    <w:rsid w:val="001F7A9A"/>
    <w:rsid w:val="001F7AC1"/>
    <w:rsid w:val="001F7AD5"/>
    <w:rsid w:val="001F7B16"/>
    <w:rsid w:val="001F7B72"/>
    <w:rsid w:val="001F7C1C"/>
    <w:rsid w:val="001F7C2D"/>
    <w:rsid w:val="001F7C46"/>
    <w:rsid w:val="001F7C50"/>
    <w:rsid w:val="001F7D12"/>
    <w:rsid w:val="001F7D24"/>
    <w:rsid w:val="001F7D2C"/>
    <w:rsid w:val="001F7E19"/>
    <w:rsid w:val="001F7E39"/>
    <w:rsid w:val="001F7E3C"/>
    <w:rsid w:val="001F7E4A"/>
    <w:rsid w:val="001F7E4B"/>
    <w:rsid w:val="001F7EB7"/>
    <w:rsid w:val="001F7EDC"/>
    <w:rsid w:val="001F7EF1"/>
    <w:rsid w:val="001F7F33"/>
    <w:rsid w:val="001F7F38"/>
    <w:rsid w:val="001F7F4B"/>
    <w:rsid w:val="001F7F5C"/>
    <w:rsid w:val="001F7F64"/>
    <w:rsid w:val="001F7F80"/>
    <w:rsid w:val="001F7F8F"/>
    <w:rsid w:val="001F7FD5"/>
    <w:rsid w:val="001F8558"/>
    <w:rsid w:val="00200008"/>
    <w:rsid w:val="0020000D"/>
    <w:rsid w:val="00200037"/>
    <w:rsid w:val="00200040"/>
    <w:rsid w:val="00200042"/>
    <w:rsid w:val="00200049"/>
    <w:rsid w:val="00200121"/>
    <w:rsid w:val="0020014C"/>
    <w:rsid w:val="00200156"/>
    <w:rsid w:val="00200161"/>
    <w:rsid w:val="00200172"/>
    <w:rsid w:val="002001A9"/>
    <w:rsid w:val="002001C9"/>
    <w:rsid w:val="00200222"/>
    <w:rsid w:val="00200281"/>
    <w:rsid w:val="00200289"/>
    <w:rsid w:val="00200293"/>
    <w:rsid w:val="002002C9"/>
    <w:rsid w:val="002002D0"/>
    <w:rsid w:val="00200324"/>
    <w:rsid w:val="00200329"/>
    <w:rsid w:val="00200348"/>
    <w:rsid w:val="002003D0"/>
    <w:rsid w:val="002003F5"/>
    <w:rsid w:val="00200402"/>
    <w:rsid w:val="0020042E"/>
    <w:rsid w:val="00200443"/>
    <w:rsid w:val="00200452"/>
    <w:rsid w:val="00200497"/>
    <w:rsid w:val="002004C8"/>
    <w:rsid w:val="002004CC"/>
    <w:rsid w:val="002004E5"/>
    <w:rsid w:val="002004FE"/>
    <w:rsid w:val="00200500"/>
    <w:rsid w:val="00200523"/>
    <w:rsid w:val="0020057D"/>
    <w:rsid w:val="002005C6"/>
    <w:rsid w:val="002005CF"/>
    <w:rsid w:val="002005F3"/>
    <w:rsid w:val="00200630"/>
    <w:rsid w:val="0020067A"/>
    <w:rsid w:val="0020070C"/>
    <w:rsid w:val="00200723"/>
    <w:rsid w:val="00200731"/>
    <w:rsid w:val="00200736"/>
    <w:rsid w:val="0020074A"/>
    <w:rsid w:val="00200751"/>
    <w:rsid w:val="00200798"/>
    <w:rsid w:val="002007A7"/>
    <w:rsid w:val="002007BD"/>
    <w:rsid w:val="002007EE"/>
    <w:rsid w:val="00200811"/>
    <w:rsid w:val="0020082B"/>
    <w:rsid w:val="00200871"/>
    <w:rsid w:val="0020087E"/>
    <w:rsid w:val="002008C4"/>
    <w:rsid w:val="0020090C"/>
    <w:rsid w:val="00200954"/>
    <w:rsid w:val="0020098E"/>
    <w:rsid w:val="002009C9"/>
    <w:rsid w:val="002009DC"/>
    <w:rsid w:val="00200A36"/>
    <w:rsid w:val="00200AF6"/>
    <w:rsid w:val="00200B0D"/>
    <w:rsid w:val="00200B1D"/>
    <w:rsid w:val="00200B38"/>
    <w:rsid w:val="00200B39"/>
    <w:rsid w:val="00200B90"/>
    <w:rsid w:val="00200C4C"/>
    <w:rsid w:val="00200C88"/>
    <w:rsid w:val="00200CBC"/>
    <w:rsid w:val="00200CCD"/>
    <w:rsid w:val="00200CDE"/>
    <w:rsid w:val="00200CE7"/>
    <w:rsid w:val="00200D21"/>
    <w:rsid w:val="00200D52"/>
    <w:rsid w:val="00200D74"/>
    <w:rsid w:val="00200DAB"/>
    <w:rsid w:val="00200DD8"/>
    <w:rsid w:val="00200DDB"/>
    <w:rsid w:val="00200DE2"/>
    <w:rsid w:val="00200DED"/>
    <w:rsid w:val="00200E3F"/>
    <w:rsid w:val="00200E64"/>
    <w:rsid w:val="00200F04"/>
    <w:rsid w:val="00200F07"/>
    <w:rsid w:val="00200F22"/>
    <w:rsid w:val="00200F38"/>
    <w:rsid w:val="00200F91"/>
    <w:rsid w:val="00200FFE"/>
    <w:rsid w:val="0020101D"/>
    <w:rsid w:val="0020102A"/>
    <w:rsid w:val="002010A8"/>
    <w:rsid w:val="00201140"/>
    <w:rsid w:val="00201175"/>
    <w:rsid w:val="00201203"/>
    <w:rsid w:val="002012A2"/>
    <w:rsid w:val="002012A6"/>
    <w:rsid w:val="002012CC"/>
    <w:rsid w:val="00201328"/>
    <w:rsid w:val="00201359"/>
    <w:rsid w:val="0020136B"/>
    <w:rsid w:val="00201379"/>
    <w:rsid w:val="00201478"/>
    <w:rsid w:val="0020149E"/>
    <w:rsid w:val="002014CB"/>
    <w:rsid w:val="00201526"/>
    <w:rsid w:val="0020152F"/>
    <w:rsid w:val="00201551"/>
    <w:rsid w:val="00201572"/>
    <w:rsid w:val="0020157A"/>
    <w:rsid w:val="002015CA"/>
    <w:rsid w:val="002015FE"/>
    <w:rsid w:val="0020160B"/>
    <w:rsid w:val="0020160F"/>
    <w:rsid w:val="00201627"/>
    <w:rsid w:val="0020168B"/>
    <w:rsid w:val="0020171B"/>
    <w:rsid w:val="00201725"/>
    <w:rsid w:val="0020174A"/>
    <w:rsid w:val="002017CF"/>
    <w:rsid w:val="002017D5"/>
    <w:rsid w:val="00201833"/>
    <w:rsid w:val="00201844"/>
    <w:rsid w:val="0020184A"/>
    <w:rsid w:val="00201888"/>
    <w:rsid w:val="002018C3"/>
    <w:rsid w:val="002018CF"/>
    <w:rsid w:val="002018DF"/>
    <w:rsid w:val="002018E0"/>
    <w:rsid w:val="00201934"/>
    <w:rsid w:val="0020194B"/>
    <w:rsid w:val="0020198E"/>
    <w:rsid w:val="002019AF"/>
    <w:rsid w:val="00201A11"/>
    <w:rsid w:val="00201A48"/>
    <w:rsid w:val="00201A8E"/>
    <w:rsid w:val="00201AC9"/>
    <w:rsid w:val="00201AFA"/>
    <w:rsid w:val="00201B5A"/>
    <w:rsid w:val="00201B67"/>
    <w:rsid w:val="00201B6B"/>
    <w:rsid w:val="00201B9E"/>
    <w:rsid w:val="00201BEA"/>
    <w:rsid w:val="00201C12"/>
    <w:rsid w:val="00201CBD"/>
    <w:rsid w:val="00201CC1"/>
    <w:rsid w:val="00201D0E"/>
    <w:rsid w:val="00201D26"/>
    <w:rsid w:val="00201D8F"/>
    <w:rsid w:val="00201DED"/>
    <w:rsid w:val="00201E6B"/>
    <w:rsid w:val="00201E71"/>
    <w:rsid w:val="00201EB3"/>
    <w:rsid w:val="00201ED0"/>
    <w:rsid w:val="00201ED2"/>
    <w:rsid w:val="00201EF9"/>
    <w:rsid w:val="00201EFB"/>
    <w:rsid w:val="00201F29"/>
    <w:rsid w:val="00201F2C"/>
    <w:rsid w:val="00201F43"/>
    <w:rsid w:val="00201F99"/>
    <w:rsid w:val="00201FA0"/>
    <w:rsid w:val="00201FD9"/>
    <w:rsid w:val="00202003"/>
    <w:rsid w:val="00202023"/>
    <w:rsid w:val="00202027"/>
    <w:rsid w:val="0020204B"/>
    <w:rsid w:val="00202050"/>
    <w:rsid w:val="00202079"/>
    <w:rsid w:val="0020207B"/>
    <w:rsid w:val="00202087"/>
    <w:rsid w:val="0020208D"/>
    <w:rsid w:val="00202091"/>
    <w:rsid w:val="00202099"/>
    <w:rsid w:val="002020F3"/>
    <w:rsid w:val="00202130"/>
    <w:rsid w:val="00202143"/>
    <w:rsid w:val="00202147"/>
    <w:rsid w:val="002021A0"/>
    <w:rsid w:val="0020223E"/>
    <w:rsid w:val="0020225B"/>
    <w:rsid w:val="00202262"/>
    <w:rsid w:val="002022F8"/>
    <w:rsid w:val="0020230F"/>
    <w:rsid w:val="0020235D"/>
    <w:rsid w:val="00202384"/>
    <w:rsid w:val="0020238A"/>
    <w:rsid w:val="002023A0"/>
    <w:rsid w:val="002023A7"/>
    <w:rsid w:val="002023A9"/>
    <w:rsid w:val="002023B3"/>
    <w:rsid w:val="002023F0"/>
    <w:rsid w:val="00202458"/>
    <w:rsid w:val="0020247E"/>
    <w:rsid w:val="00202511"/>
    <w:rsid w:val="00202585"/>
    <w:rsid w:val="002025C8"/>
    <w:rsid w:val="00202650"/>
    <w:rsid w:val="00202659"/>
    <w:rsid w:val="0020265B"/>
    <w:rsid w:val="00202679"/>
    <w:rsid w:val="002026B0"/>
    <w:rsid w:val="00202740"/>
    <w:rsid w:val="00202755"/>
    <w:rsid w:val="00202768"/>
    <w:rsid w:val="0020277B"/>
    <w:rsid w:val="002027E4"/>
    <w:rsid w:val="00202824"/>
    <w:rsid w:val="00202871"/>
    <w:rsid w:val="002028EF"/>
    <w:rsid w:val="0020290B"/>
    <w:rsid w:val="0020290E"/>
    <w:rsid w:val="00202928"/>
    <w:rsid w:val="00202943"/>
    <w:rsid w:val="00202953"/>
    <w:rsid w:val="0020297A"/>
    <w:rsid w:val="002029A3"/>
    <w:rsid w:val="002029C7"/>
    <w:rsid w:val="002029E7"/>
    <w:rsid w:val="002029F4"/>
    <w:rsid w:val="002029FB"/>
    <w:rsid w:val="00202A85"/>
    <w:rsid w:val="00202A96"/>
    <w:rsid w:val="00202A9C"/>
    <w:rsid w:val="00202AFC"/>
    <w:rsid w:val="00202B01"/>
    <w:rsid w:val="00202B2D"/>
    <w:rsid w:val="00202B3F"/>
    <w:rsid w:val="00202B46"/>
    <w:rsid w:val="00202B63"/>
    <w:rsid w:val="00202B7C"/>
    <w:rsid w:val="00202BE7"/>
    <w:rsid w:val="00202C09"/>
    <w:rsid w:val="00202C43"/>
    <w:rsid w:val="00202C88"/>
    <w:rsid w:val="00202CD7"/>
    <w:rsid w:val="00202D0C"/>
    <w:rsid w:val="00202D65"/>
    <w:rsid w:val="00202DA7"/>
    <w:rsid w:val="00202DBB"/>
    <w:rsid w:val="00202DC2"/>
    <w:rsid w:val="00202E2E"/>
    <w:rsid w:val="00202E6E"/>
    <w:rsid w:val="00202E6F"/>
    <w:rsid w:val="00202E9C"/>
    <w:rsid w:val="00202ED1"/>
    <w:rsid w:val="00202EE8"/>
    <w:rsid w:val="00202EFE"/>
    <w:rsid w:val="00202F36"/>
    <w:rsid w:val="00202F4D"/>
    <w:rsid w:val="00202F50"/>
    <w:rsid w:val="00202F5A"/>
    <w:rsid w:val="00202FDF"/>
    <w:rsid w:val="00202FFB"/>
    <w:rsid w:val="00203058"/>
    <w:rsid w:val="00203099"/>
    <w:rsid w:val="0020312E"/>
    <w:rsid w:val="00203131"/>
    <w:rsid w:val="00203163"/>
    <w:rsid w:val="0020316D"/>
    <w:rsid w:val="0020319E"/>
    <w:rsid w:val="002031AF"/>
    <w:rsid w:val="002031CC"/>
    <w:rsid w:val="00203225"/>
    <w:rsid w:val="0020323E"/>
    <w:rsid w:val="0020326F"/>
    <w:rsid w:val="002032EA"/>
    <w:rsid w:val="0020335D"/>
    <w:rsid w:val="0020336F"/>
    <w:rsid w:val="002033CE"/>
    <w:rsid w:val="002033CF"/>
    <w:rsid w:val="002033F1"/>
    <w:rsid w:val="002033FC"/>
    <w:rsid w:val="00203447"/>
    <w:rsid w:val="0020344A"/>
    <w:rsid w:val="00203470"/>
    <w:rsid w:val="002034B9"/>
    <w:rsid w:val="002034D3"/>
    <w:rsid w:val="00203508"/>
    <w:rsid w:val="0020352D"/>
    <w:rsid w:val="0020353A"/>
    <w:rsid w:val="0020354B"/>
    <w:rsid w:val="002035B5"/>
    <w:rsid w:val="002035CD"/>
    <w:rsid w:val="0020361C"/>
    <w:rsid w:val="00203628"/>
    <w:rsid w:val="00203639"/>
    <w:rsid w:val="0020365C"/>
    <w:rsid w:val="002036F2"/>
    <w:rsid w:val="00203727"/>
    <w:rsid w:val="00203740"/>
    <w:rsid w:val="0020377B"/>
    <w:rsid w:val="0020378A"/>
    <w:rsid w:val="00203797"/>
    <w:rsid w:val="00203799"/>
    <w:rsid w:val="00203802"/>
    <w:rsid w:val="00203817"/>
    <w:rsid w:val="00203836"/>
    <w:rsid w:val="00203849"/>
    <w:rsid w:val="0020384B"/>
    <w:rsid w:val="00203883"/>
    <w:rsid w:val="0020389B"/>
    <w:rsid w:val="002038C8"/>
    <w:rsid w:val="00203916"/>
    <w:rsid w:val="00203977"/>
    <w:rsid w:val="00203986"/>
    <w:rsid w:val="00203A4D"/>
    <w:rsid w:val="00203A81"/>
    <w:rsid w:val="00203AC8"/>
    <w:rsid w:val="00203AD5"/>
    <w:rsid w:val="00203AFA"/>
    <w:rsid w:val="00203B5C"/>
    <w:rsid w:val="00203B5F"/>
    <w:rsid w:val="00203B89"/>
    <w:rsid w:val="00203BA1"/>
    <w:rsid w:val="00203BD0"/>
    <w:rsid w:val="00203BD3"/>
    <w:rsid w:val="00203BD9"/>
    <w:rsid w:val="00203C20"/>
    <w:rsid w:val="00203C36"/>
    <w:rsid w:val="00203C9C"/>
    <w:rsid w:val="00203CF2"/>
    <w:rsid w:val="00203CFA"/>
    <w:rsid w:val="00203D06"/>
    <w:rsid w:val="00203D22"/>
    <w:rsid w:val="00203D3C"/>
    <w:rsid w:val="00203D89"/>
    <w:rsid w:val="00203DBB"/>
    <w:rsid w:val="00203DD1"/>
    <w:rsid w:val="00203DE9"/>
    <w:rsid w:val="00203DEE"/>
    <w:rsid w:val="00203E4A"/>
    <w:rsid w:val="00203E59"/>
    <w:rsid w:val="00203E8D"/>
    <w:rsid w:val="00203EA0"/>
    <w:rsid w:val="00203EC7"/>
    <w:rsid w:val="00203EE3"/>
    <w:rsid w:val="00203F28"/>
    <w:rsid w:val="002040DF"/>
    <w:rsid w:val="002040F6"/>
    <w:rsid w:val="00204128"/>
    <w:rsid w:val="0020412B"/>
    <w:rsid w:val="0020413A"/>
    <w:rsid w:val="00204163"/>
    <w:rsid w:val="002041B6"/>
    <w:rsid w:val="002041B7"/>
    <w:rsid w:val="002041FD"/>
    <w:rsid w:val="0020420B"/>
    <w:rsid w:val="0020420C"/>
    <w:rsid w:val="0020423E"/>
    <w:rsid w:val="0020426F"/>
    <w:rsid w:val="002042A5"/>
    <w:rsid w:val="002042B1"/>
    <w:rsid w:val="002042FC"/>
    <w:rsid w:val="00204307"/>
    <w:rsid w:val="00204379"/>
    <w:rsid w:val="00204380"/>
    <w:rsid w:val="00204398"/>
    <w:rsid w:val="002043B3"/>
    <w:rsid w:val="002043BB"/>
    <w:rsid w:val="002044C8"/>
    <w:rsid w:val="00204514"/>
    <w:rsid w:val="0020451F"/>
    <w:rsid w:val="002045A0"/>
    <w:rsid w:val="002045FA"/>
    <w:rsid w:val="0020462E"/>
    <w:rsid w:val="0020462F"/>
    <w:rsid w:val="00204660"/>
    <w:rsid w:val="0020468F"/>
    <w:rsid w:val="002046BB"/>
    <w:rsid w:val="0020474B"/>
    <w:rsid w:val="002047AE"/>
    <w:rsid w:val="002047F7"/>
    <w:rsid w:val="002047FD"/>
    <w:rsid w:val="00204832"/>
    <w:rsid w:val="0020485B"/>
    <w:rsid w:val="00204895"/>
    <w:rsid w:val="002048AA"/>
    <w:rsid w:val="00204936"/>
    <w:rsid w:val="002049C6"/>
    <w:rsid w:val="002049E8"/>
    <w:rsid w:val="00204A08"/>
    <w:rsid w:val="00204A1D"/>
    <w:rsid w:val="00204A28"/>
    <w:rsid w:val="00204A48"/>
    <w:rsid w:val="00204A5F"/>
    <w:rsid w:val="00204A9C"/>
    <w:rsid w:val="00204AF7"/>
    <w:rsid w:val="00204AF8"/>
    <w:rsid w:val="00204B20"/>
    <w:rsid w:val="00204B2C"/>
    <w:rsid w:val="00204B57"/>
    <w:rsid w:val="00204BAE"/>
    <w:rsid w:val="00204C02"/>
    <w:rsid w:val="00204C30"/>
    <w:rsid w:val="00204CBF"/>
    <w:rsid w:val="00204D0D"/>
    <w:rsid w:val="00204D1F"/>
    <w:rsid w:val="00204D5F"/>
    <w:rsid w:val="00204D93"/>
    <w:rsid w:val="00204DA8"/>
    <w:rsid w:val="00204DB8"/>
    <w:rsid w:val="00204DBD"/>
    <w:rsid w:val="00204DFF"/>
    <w:rsid w:val="00204E1B"/>
    <w:rsid w:val="00204E1F"/>
    <w:rsid w:val="00204E35"/>
    <w:rsid w:val="00204EA9"/>
    <w:rsid w:val="00204EF0"/>
    <w:rsid w:val="00204F06"/>
    <w:rsid w:val="00204F55"/>
    <w:rsid w:val="00204F57"/>
    <w:rsid w:val="00204FD0"/>
    <w:rsid w:val="00204FE9"/>
    <w:rsid w:val="00205004"/>
    <w:rsid w:val="0020508D"/>
    <w:rsid w:val="0020511A"/>
    <w:rsid w:val="0020511C"/>
    <w:rsid w:val="0020513E"/>
    <w:rsid w:val="00205169"/>
    <w:rsid w:val="00205176"/>
    <w:rsid w:val="0020518D"/>
    <w:rsid w:val="002051CD"/>
    <w:rsid w:val="002051E2"/>
    <w:rsid w:val="0020521F"/>
    <w:rsid w:val="00205240"/>
    <w:rsid w:val="00205251"/>
    <w:rsid w:val="00205287"/>
    <w:rsid w:val="002052F0"/>
    <w:rsid w:val="00205307"/>
    <w:rsid w:val="00205317"/>
    <w:rsid w:val="00205329"/>
    <w:rsid w:val="0020532C"/>
    <w:rsid w:val="00205333"/>
    <w:rsid w:val="00205383"/>
    <w:rsid w:val="0020539E"/>
    <w:rsid w:val="002053CB"/>
    <w:rsid w:val="002053DB"/>
    <w:rsid w:val="00205413"/>
    <w:rsid w:val="00205471"/>
    <w:rsid w:val="0020549F"/>
    <w:rsid w:val="002054D7"/>
    <w:rsid w:val="002054D9"/>
    <w:rsid w:val="00205519"/>
    <w:rsid w:val="002055F2"/>
    <w:rsid w:val="00205604"/>
    <w:rsid w:val="0020569D"/>
    <w:rsid w:val="002056AF"/>
    <w:rsid w:val="002056CB"/>
    <w:rsid w:val="002056DC"/>
    <w:rsid w:val="00205703"/>
    <w:rsid w:val="00205761"/>
    <w:rsid w:val="00205796"/>
    <w:rsid w:val="002057DF"/>
    <w:rsid w:val="002057E2"/>
    <w:rsid w:val="00205817"/>
    <w:rsid w:val="00205820"/>
    <w:rsid w:val="00205827"/>
    <w:rsid w:val="002058AE"/>
    <w:rsid w:val="00205938"/>
    <w:rsid w:val="0020599C"/>
    <w:rsid w:val="002059D2"/>
    <w:rsid w:val="002059EE"/>
    <w:rsid w:val="00205A10"/>
    <w:rsid w:val="00205A38"/>
    <w:rsid w:val="00205A5B"/>
    <w:rsid w:val="00205A62"/>
    <w:rsid w:val="00205A75"/>
    <w:rsid w:val="00205AAE"/>
    <w:rsid w:val="00205AB2"/>
    <w:rsid w:val="00205AC2"/>
    <w:rsid w:val="00205ACF"/>
    <w:rsid w:val="00205AD7"/>
    <w:rsid w:val="00205AE3"/>
    <w:rsid w:val="00205B4A"/>
    <w:rsid w:val="00205B5A"/>
    <w:rsid w:val="00205BC9"/>
    <w:rsid w:val="00205BF3"/>
    <w:rsid w:val="00205C2C"/>
    <w:rsid w:val="00205C3B"/>
    <w:rsid w:val="00205C4F"/>
    <w:rsid w:val="00205D43"/>
    <w:rsid w:val="00205D47"/>
    <w:rsid w:val="00205D52"/>
    <w:rsid w:val="00205D77"/>
    <w:rsid w:val="00205DDD"/>
    <w:rsid w:val="00205DF9"/>
    <w:rsid w:val="00205E15"/>
    <w:rsid w:val="00205E16"/>
    <w:rsid w:val="00205E17"/>
    <w:rsid w:val="00205E30"/>
    <w:rsid w:val="00205E72"/>
    <w:rsid w:val="00205E9F"/>
    <w:rsid w:val="00205EE8"/>
    <w:rsid w:val="00205F07"/>
    <w:rsid w:val="00205F3A"/>
    <w:rsid w:val="00205F6C"/>
    <w:rsid w:val="00205F6F"/>
    <w:rsid w:val="00205F72"/>
    <w:rsid w:val="00205F91"/>
    <w:rsid w:val="00206010"/>
    <w:rsid w:val="0020601D"/>
    <w:rsid w:val="00206056"/>
    <w:rsid w:val="0020605D"/>
    <w:rsid w:val="002060B5"/>
    <w:rsid w:val="002060D5"/>
    <w:rsid w:val="002060FB"/>
    <w:rsid w:val="0020613B"/>
    <w:rsid w:val="0020616C"/>
    <w:rsid w:val="00206186"/>
    <w:rsid w:val="0020618D"/>
    <w:rsid w:val="002061B5"/>
    <w:rsid w:val="002061BB"/>
    <w:rsid w:val="002061BE"/>
    <w:rsid w:val="002061C3"/>
    <w:rsid w:val="002061E1"/>
    <w:rsid w:val="002061EE"/>
    <w:rsid w:val="002062A8"/>
    <w:rsid w:val="00206312"/>
    <w:rsid w:val="00206362"/>
    <w:rsid w:val="002063D0"/>
    <w:rsid w:val="0020645A"/>
    <w:rsid w:val="00206461"/>
    <w:rsid w:val="00206463"/>
    <w:rsid w:val="002064C6"/>
    <w:rsid w:val="002064CE"/>
    <w:rsid w:val="002064EF"/>
    <w:rsid w:val="0020653B"/>
    <w:rsid w:val="0020653F"/>
    <w:rsid w:val="0020656B"/>
    <w:rsid w:val="002065A8"/>
    <w:rsid w:val="002065C9"/>
    <w:rsid w:val="002065ED"/>
    <w:rsid w:val="00206641"/>
    <w:rsid w:val="00206691"/>
    <w:rsid w:val="002066DD"/>
    <w:rsid w:val="002066E4"/>
    <w:rsid w:val="002066FF"/>
    <w:rsid w:val="00206735"/>
    <w:rsid w:val="00206741"/>
    <w:rsid w:val="002067B3"/>
    <w:rsid w:val="00206841"/>
    <w:rsid w:val="00206847"/>
    <w:rsid w:val="0020685C"/>
    <w:rsid w:val="0020688D"/>
    <w:rsid w:val="00206897"/>
    <w:rsid w:val="00206898"/>
    <w:rsid w:val="00206928"/>
    <w:rsid w:val="00206943"/>
    <w:rsid w:val="00206959"/>
    <w:rsid w:val="00206974"/>
    <w:rsid w:val="00206980"/>
    <w:rsid w:val="00206997"/>
    <w:rsid w:val="002069EB"/>
    <w:rsid w:val="00206A61"/>
    <w:rsid w:val="00206AE1"/>
    <w:rsid w:val="00206B0E"/>
    <w:rsid w:val="00206B61"/>
    <w:rsid w:val="00206B65"/>
    <w:rsid w:val="00206B68"/>
    <w:rsid w:val="00206B7A"/>
    <w:rsid w:val="00206BAA"/>
    <w:rsid w:val="00206BBC"/>
    <w:rsid w:val="00206BC4"/>
    <w:rsid w:val="00206BD5"/>
    <w:rsid w:val="00206BDC"/>
    <w:rsid w:val="00206C33"/>
    <w:rsid w:val="00206C41"/>
    <w:rsid w:val="00206C66"/>
    <w:rsid w:val="00206C87"/>
    <w:rsid w:val="00206C8F"/>
    <w:rsid w:val="00206D03"/>
    <w:rsid w:val="00206D17"/>
    <w:rsid w:val="00206D3A"/>
    <w:rsid w:val="00206D5C"/>
    <w:rsid w:val="00206D7C"/>
    <w:rsid w:val="00206D92"/>
    <w:rsid w:val="00206DAD"/>
    <w:rsid w:val="00206DCD"/>
    <w:rsid w:val="00206DEB"/>
    <w:rsid w:val="00206DEE"/>
    <w:rsid w:val="00206DFF"/>
    <w:rsid w:val="00206E10"/>
    <w:rsid w:val="00206E5B"/>
    <w:rsid w:val="00206E96"/>
    <w:rsid w:val="00206EA1"/>
    <w:rsid w:val="00206EBD"/>
    <w:rsid w:val="00206EC1"/>
    <w:rsid w:val="00206EF0"/>
    <w:rsid w:val="00206EF5"/>
    <w:rsid w:val="00206EFE"/>
    <w:rsid w:val="00206F00"/>
    <w:rsid w:val="00206F1C"/>
    <w:rsid w:val="00206F39"/>
    <w:rsid w:val="00206F58"/>
    <w:rsid w:val="00206F63"/>
    <w:rsid w:val="00206F67"/>
    <w:rsid w:val="00206F81"/>
    <w:rsid w:val="00206FA4"/>
    <w:rsid w:val="00206FCB"/>
    <w:rsid w:val="00206FF1"/>
    <w:rsid w:val="00206FFA"/>
    <w:rsid w:val="00207004"/>
    <w:rsid w:val="0020703A"/>
    <w:rsid w:val="00207063"/>
    <w:rsid w:val="0020708C"/>
    <w:rsid w:val="0020709A"/>
    <w:rsid w:val="002070B2"/>
    <w:rsid w:val="002070E7"/>
    <w:rsid w:val="002070E8"/>
    <w:rsid w:val="00207102"/>
    <w:rsid w:val="00207109"/>
    <w:rsid w:val="00207134"/>
    <w:rsid w:val="00207154"/>
    <w:rsid w:val="0020717B"/>
    <w:rsid w:val="0020718D"/>
    <w:rsid w:val="002071BA"/>
    <w:rsid w:val="002071CA"/>
    <w:rsid w:val="002071EC"/>
    <w:rsid w:val="00207204"/>
    <w:rsid w:val="0020724D"/>
    <w:rsid w:val="00207289"/>
    <w:rsid w:val="002072E1"/>
    <w:rsid w:val="00207353"/>
    <w:rsid w:val="00207379"/>
    <w:rsid w:val="00207388"/>
    <w:rsid w:val="00207403"/>
    <w:rsid w:val="00207414"/>
    <w:rsid w:val="00207425"/>
    <w:rsid w:val="0020745C"/>
    <w:rsid w:val="0020745F"/>
    <w:rsid w:val="002074C4"/>
    <w:rsid w:val="002074D2"/>
    <w:rsid w:val="002074D3"/>
    <w:rsid w:val="002074EC"/>
    <w:rsid w:val="002074FA"/>
    <w:rsid w:val="0020751E"/>
    <w:rsid w:val="00207523"/>
    <w:rsid w:val="0020754E"/>
    <w:rsid w:val="00207566"/>
    <w:rsid w:val="0020756B"/>
    <w:rsid w:val="002075A9"/>
    <w:rsid w:val="002075CC"/>
    <w:rsid w:val="002075D2"/>
    <w:rsid w:val="002075DF"/>
    <w:rsid w:val="002075E1"/>
    <w:rsid w:val="002075E7"/>
    <w:rsid w:val="0020762E"/>
    <w:rsid w:val="002076B3"/>
    <w:rsid w:val="002076CC"/>
    <w:rsid w:val="002076F8"/>
    <w:rsid w:val="00207700"/>
    <w:rsid w:val="00207705"/>
    <w:rsid w:val="0020771D"/>
    <w:rsid w:val="00207765"/>
    <w:rsid w:val="00207773"/>
    <w:rsid w:val="00207777"/>
    <w:rsid w:val="00207787"/>
    <w:rsid w:val="0020778F"/>
    <w:rsid w:val="002077FD"/>
    <w:rsid w:val="0020788F"/>
    <w:rsid w:val="002078A7"/>
    <w:rsid w:val="002078EB"/>
    <w:rsid w:val="002078FD"/>
    <w:rsid w:val="0020792D"/>
    <w:rsid w:val="00207988"/>
    <w:rsid w:val="0020798C"/>
    <w:rsid w:val="002079EA"/>
    <w:rsid w:val="002079F5"/>
    <w:rsid w:val="00207A9A"/>
    <w:rsid w:val="00207AAC"/>
    <w:rsid w:val="00207AD3"/>
    <w:rsid w:val="00207ADD"/>
    <w:rsid w:val="00207AEC"/>
    <w:rsid w:val="00207B03"/>
    <w:rsid w:val="00207B0F"/>
    <w:rsid w:val="00207B11"/>
    <w:rsid w:val="00207B14"/>
    <w:rsid w:val="00207B31"/>
    <w:rsid w:val="00207B4C"/>
    <w:rsid w:val="00207B6B"/>
    <w:rsid w:val="00207BB4"/>
    <w:rsid w:val="00207BCA"/>
    <w:rsid w:val="00207BD5"/>
    <w:rsid w:val="00207BEE"/>
    <w:rsid w:val="00207C13"/>
    <w:rsid w:val="00207C21"/>
    <w:rsid w:val="00207CE7"/>
    <w:rsid w:val="00207CF0"/>
    <w:rsid w:val="00207D17"/>
    <w:rsid w:val="00207D27"/>
    <w:rsid w:val="00207D46"/>
    <w:rsid w:val="00207D47"/>
    <w:rsid w:val="00207D85"/>
    <w:rsid w:val="00207DE5"/>
    <w:rsid w:val="00207DF5"/>
    <w:rsid w:val="00207E06"/>
    <w:rsid w:val="00207E17"/>
    <w:rsid w:val="00207E5F"/>
    <w:rsid w:val="00207E98"/>
    <w:rsid w:val="00207F53"/>
    <w:rsid w:val="00207F8A"/>
    <w:rsid w:val="00207F95"/>
    <w:rsid w:val="00207FF1"/>
    <w:rsid w:val="0021000E"/>
    <w:rsid w:val="00210089"/>
    <w:rsid w:val="0021010D"/>
    <w:rsid w:val="00210155"/>
    <w:rsid w:val="0021016D"/>
    <w:rsid w:val="0021017D"/>
    <w:rsid w:val="0021018D"/>
    <w:rsid w:val="0021019E"/>
    <w:rsid w:val="0021019F"/>
    <w:rsid w:val="002101B8"/>
    <w:rsid w:val="0021020F"/>
    <w:rsid w:val="00210237"/>
    <w:rsid w:val="0021026D"/>
    <w:rsid w:val="0021027C"/>
    <w:rsid w:val="002102A5"/>
    <w:rsid w:val="002102A9"/>
    <w:rsid w:val="00210365"/>
    <w:rsid w:val="00210377"/>
    <w:rsid w:val="00210409"/>
    <w:rsid w:val="0021043A"/>
    <w:rsid w:val="002104B4"/>
    <w:rsid w:val="002104F5"/>
    <w:rsid w:val="00210537"/>
    <w:rsid w:val="002105F9"/>
    <w:rsid w:val="0021061E"/>
    <w:rsid w:val="00210623"/>
    <w:rsid w:val="00210624"/>
    <w:rsid w:val="00210637"/>
    <w:rsid w:val="00210676"/>
    <w:rsid w:val="002106DB"/>
    <w:rsid w:val="00210708"/>
    <w:rsid w:val="0021075B"/>
    <w:rsid w:val="002107A8"/>
    <w:rsid w:val="00210800"/>
    <w:rsid w:val="0021084D"/>
    <w:rsid w:val="00210851"/>
    <w:rsid w:val="00210869"/>
    <w:rsid w:val="00210882"/>
    <w:rsid w:val="002108AF"/>
    <w:rsid w:val="002108D3"/>
    <w:rsid w:val="00210921"/>
    <w:rsid w:val="00210923"/>
    <w:rsid w:val="0021093C"/>
    <w:rsid w:val="0021097A"/>
    <w:rsid w:val="00210990"/>
    <w:rsid w:val="002109BE"/>
    <w:rsid w:val="002109FD"/>
    <w:rsid w:val="00210A3D"/>
    <w:rsid w:val="00210A61"/>
    <w:rsid w:val="00210A81"/>
    <w:rsid w:val="00210A85"/>
    <w:rsid w:val="00210A94"/>
    <w:rsid w:val="00210AFE"/>
    <w:rsid w:val="00210B0D"/>
    <w:rsid w:val="00210B5E"/>
    <w:rsid w:val="00210B68"/>
    <w:rsid w:val="00210B95"/>
    <w:rsid w:val="00210BBA"/>
    <w:rsid w:val="00210BC4"/>
    <w:rsid w:val="00210BDB"/>
    <w:rsid w:val="00210BF4"/>
    <w:rsid w:val="00210C09"/>
    <w:rsid w:val="00210C1E"/>
    <w:rsid w:val="00210CE8"/>
    <w:rsid w:val="00210CF6"/>
    <w:rsid w:val="00210D0D"/>
    <w:rsid w:val="00210D25"/>
    <w:rsid w:val="00210D30"/>
    <w:rsid w:val="00210D3B"/>
    <w:rsid w:val="00210D4E"/>
    <w:rsid w:val="00210D82"/>
    <w:rsid w:val="00210DAA"/>
    <w:rsid w:val="00210DC9"/>
    <w:rsid w:val="00210DCA"/>
    <w:rsid w:val="00210DD1"/>
    <w:rsid w:val="00210E33"/>
    <w:rsid w:val="00210EB8"/>
    <w:rsid w:val="00210F17"/>
    <w:rsid w:val="00210F28"/>
    <w:rsid w:val="00210F48"/>
    <w:rsid w:val="00210F51"/>
    <w:rsid w:val="00210F67"/>
    <w:rsid w:val="00210F73"/>
    <w:rsid w:val="00210FA2"/>
    <w:rsid w:val="00210FAA"/>
    <w:rsid w:val="00210FC6"/>
    <w:rsid w:val="00210FE5"/>
    <w:rsid w:val="00211012"/>
    <w:rsid w:val="0021103A"/>
    <w:rsid w:val="0021106A"/>
    <w:rsid w:val="0021110B"/>
    <w:rsid w:val="00211135"/>
    <w:rsid w:val="0021114A"/>
    <w:rsid w:val="0021114E"/>
    <w:rsid w:val="00211171"/>
    <w:rsid w:val="00211187"/>
    <w:rsid w:val="002111AF"/>
    <w:rsid w:val="002111B2"/>
    <w:rsid w:val="002111BD"/>
    <w:rsid w:val="002111DE"/>
    <w:rsid w:val="002111E8"/>
    <w:rsid w:val="00211203"/>
    <w:rsid w:val="00211215"/>
    <w:rsid w:val="00211259"/>
    <w:rsid w:val="0021125A"/>
    <w:rsid w:val="00211261"/>
    <w:rsid w:val="0021126F"/>
    <w:rsid w:val="00211302"/>
    <w:rsid w:val="00211309"/>
    <w:rsid w:val="0021131A"/>
    <w:rsid w:val="0021132C"/>
    <w:rsid w:val="00211338"/>
    <w:rsid w:val="0021133D"/>
    <w:rsid w:val="00211344"/>
    <w:rsid w:val="00211356"/>
    <w:rsid w:val="0021136B"/>
    <w:rsid w:val="002113DF"/>
    <w:rsid w:val="00211458"/>
    <w:rsid w:val="00211470"/>
    <w:rsid w:val="002114A5"/>
    <w:rsid w:val="002114C0"/>
    <w:rsid w:val="002114DE"/>
    <w:rsid w:val="002114EB"/>
    <w:rsid w:val="002114EC"/>
    <w:rsid w:val="00211550"/>
    <w:rsid w:val="00211553"/>
    <w:rsid w:val="00211562"/>
    <w:rsid w:val="00211580"/>
    <w:rsid w:val="002115EC"/>
    <w:rsid w:val="002115FA"/>
    <w:rsid w:val="0021161A"/>
    <w:rsid w:val="0021162C"/>
    <w:rsid w:val="00211633"/>
    <w:rsid w:val="0021166E"/>
    <w:rsid w:val="002116CA"/>
    <w:rsid w:val="0021171F"/>
    <w:rsid w:val="0021179F"/>
    <w:rsid w:val="002117AB"/>
    <w:rsid w:val="002117C3"/>
    <w:rsid w:val="002117E2"/>
    <w:rsid w:val="00211865"/>
    <w:rsid w:val="00211874"/>
    <w:rsid w:val="0021189B"/>
    <w:rsid w:val="00211926"/>
    <w:rsid w:val="00211945"/>
    <w:rsid w:val="0021194B"/>
    <w:rsid w:val="00211976"/>
    <w:rsid w:val="00211982"/>
    <w:rsid w:val="00211986"/>
    <w:rsid w:val="002119E2"/>
    <w:rsid w:val="00211A12"/>
    <w:rsid w:val="00211A19"/>
    <w:rsid w:val="00211A50"/>
    <w:rsid w:val="00211A80"/>
    <w:rsid w:val="00211A87"/>
    <w:rsid w:val="00211B1A"/>
    <w:rsid w:val="00211B28"/>
    <w:rsid w:val="00211B3F"/>
    <w:rsid w:val="00211BE6"/>
    <w:rsid w:val="00211C0C"/>
    <w:rsid w:val="00211C2C"/>
    <w:rsid w:val="00211C50"/>
    <w:rsid w:val="00211C5A"/>
    <w:rsid w:val="00211C5B"/>
    <w:rsid w:val="00211C6C"/>
    <w:rsid w:val="00211C96"/>
    <w:rsid w:val="00211CEA"/>
    <w:rsid w:val="00211D29"/>
    <w:rsid w:val="00211DA1"/>
    <w:rsid w:val="00211DA7"/>
    <w:rsid w:val="00211E20"/>
    <w:rsid w:val="00211E4E"/>
    <w:rsid w:val="00211E57"/>
    <w:rsid w:val="00211EC3"/>
    <w:rsid w:val="00211EE4"/>
    <w:rsid w:val="00211F1A"/>
    <w:rsid w:val="00211F39"/>
    <w:rsid w:val="00211F51"/>
    <w:rsid w:val="00211F59"/>
    <w:rsid w:val="00211F6A"/>
    <w:rsid w:val="00211FA9"/>
    <w:rsid w:val="00211FC8"/>
    <w:rsid w:val="00211FD1"/>
    <w:rsid w:val="00211FF7"/>
    <w:rsid w:val="00212078"/>
    <w:rsid w:val="002120A2"/>
    <w:rsid w:val="002120B4"/>
    <w:rsid w:val="002120C1"/>
    <w:rsid w:val="002120D7"/>
    <w:rsid w:val="002120DF"/>
    <w:rsid w:val="002120FE"/>
    <w:rsid w:val="0021213A"/>
    <w:rsid w:val="00212159"/>
    <w:rsid w:val="00212167"/>
    <w:rsid w:val="002121B5"/>
    <w:rsid w:val="002121D7"/>
    <w:rsid w:val="002121ED"/>
    <w:rsid w:val="002121F0"/>
    <w:rsid w:val="00212202"/>
    <w:rsid w:val="00212229"/>
    <w:rsid w:val="00212242"/>
    <w:rsid w:val="00212253"/>
    <w:rsid w:val="00212278"/>
    <w:rsid w:val="002122A6"/>
    <w:rsid w:val="002122B1"/>
    <w:rsid w:val="002122C6"/>
    <w:rsid w:val="002122EB"/>
    <w:rsid w:val="00212399"/>
    <w:rsid w:val="00212403"/>
    <w:rsid w:val="00212454"/>
    <w:rsid w:val="0021246C"/>
    <w:rsid w:val="00212474"/>
    <w:rsid w:val="0021248B"/>
    <w:rsid w:val="0021249B"/>
    <w:rsid w:val="002124CA"/>
    <w:rsid w:val="002124E4"/>
    <w:rsid w:val="0021252D"/>
    <w:rsid w:val="00212539"/>
    <w:rsid w:val="0021254C"/>
    <w:rsid w:val="002125D3"/>
    <w:rsid w:val="002125F8"/>
    <w:rsid w:val="0021261B"/>
    <w:rsid w:val="0021263B"/>
    <w:rsid w:val="00212668"/>
    <w:rsid w:val="0021266C"/>
    <w:rsid w:val="0021267F"/>
    <w:rsid w:val="00212705"/>
    <w:rsid w:val="002127BD"/>
    <w:rsid w:val="002127C0"/>
    <w:rsid w:val="002127CA"/>
    <w:rsid w:val="002127E9"/>
    <w:rsid w:val="0021281F"/>
    <w:rsid w:val="00212882"/>
    <w:rsid w:val="00212889"/>
    <w:rsid w:val="002128C1"/>
    <w:rsid w:val="002128C4"/>
    <w:rsid w:val="002128D6"/>
    <w:rsid w:val="002128F8"/>
    <w:rsid w:val="00212928"/>
    <w:rsid w:val="0021293F"/>
    <w:rsid w:val="00212953"/>
    <w:rsid w:val="00212957"/>
    <w:rsid w:val="002129C9"/>
    <w:rsid w:val="002129CD"/>
    <w:rsid w:val="002129D4"/>
    <w:rsid w:val="002129ED"/>
    <w:rsid w:val="002129FD"/>
    <w:rsid w:val="00212A14"/>
    <w:rsid w:val="00212A66"/>
    <w:rsid w:val="00212AB9"/>
    <w:rsid w:val="00212AF3"/>
    <w:rsid w:val="00212B1E"/>
    <w:rsid w:val="00212B6C"/>
    <w:rsid w:val="00212BCE"/>
    <w:rsid w:val="00212C20"/>
    <w:rsid w:val="00212C57"/>
    <w:rsid w:val="00212C5B"/>
    <w:rsid w:val="00212CB9"/>
    <w:rsid w:val="00212CD8"/>
    <w:rsid w:val="00212DFD"/>
    <w:rsid w:val="00212E0E"/>
    <w:rsid w:val="00212E0F"/>
    <w:rsid w:val="00212E1C"/>
    <w:rsid w:val="00212E48"/>
    <w:rsid w:val="00212E84"/>
    <w:rsid w:val="00212F45"/>
    <w:rsid w:val="00212F61"/>
    <w:rsid w:val="00212F94"/>
    <w:rsid w:val="00212FC2"/>
    <w:rsid w:val="0021300C"/>
    <w:rsid w:val="00213011"/>
    <w:rsid w:val="00213047"/>
    <w:rsid w:val="002130C6"/>
    <w:rsid w:val="002130E6"/>
    <w:rsid w:val="002130F3"/>
    <w:rsid w:val="00213165"/>
    <w:rsid w:val="0021316B"/>
    <w:rsid w:val="002131C6"/>
    <w:rsid w:val="002131CA"/>
    <w:rsid w:val="002131CC"/>
    <w:rsid w:val="002131CD"/>
    <w:rsid w:val="002131D6"/>
    <w:rsid w:val="002131FD"/>
    <w:rsid w:val="0021321E"/>
    <w:rsid w:val="00213241"/>
    <w:rsid w:val="0021325A"/>
    <w:rsid w:val="00213260"/>
    <w:rsid w:val="0021326E"/>
    <w:rsid w:val="002132E8"/>
    <w:rsid w:val="00213354"/>
    <w:rsid w:val="00213379"/>
    <w:rsid w:val="002133AB"/>
    <w:rsid w:val="002133E8"/>
    <w:rsid w:val="00213418"/>
    <w:rsid w:val="002134B5"/>
    <w:rsid w:val="002134D9"/>
    <w:rsid w:val="0021356A"/>
    <w:rsid w:val="0021356E"/>
    <w:rsid w:val="00213576"/>
    <w:rsid w:val="0021361C"/>
    <w:rsid w:val="00213685"/>
    <w:rsid w:val="002136B6"/>
    <w:rsid w:val="002136C6"/>
    <w:rsid w:val="002136CA"/>
    <w:rsid w:val="00213700"/>
    <w:rsid w:val="0021371C"/>
    <w:rsid w:val="0021373F"/>
    <w:rsid w:val="0021375A"/>
    <w:rsid w:val="00213768"/>
    <w:rsid w:val="002137AD"/>
    <w:rsid w:val="002137DD"/>
    <w:rsid w:val="002137E4"/>
    <w:rsid w:val="0021381C"/>
    <w:rsid w:val="00213863"/>
    <w:rsid w:val="0021388A"/>
    <w:rsid w:val="002138A9"/>
    <w:rsid w:val="002138B9"/>
    <w:rsid w:val="002138E5"/>
    <w:rsid w:val="0021390A"/>
    <w:rsid w:val="0021390B"/>
    <w:rsid w:val="0021392A"/>
    <w:rsid w:val="0021392F"/>
    <w:rsid w:val="002139CC"/>
    <w:rsid w:val="002139CD"/>
    <w:rsid w:val="00213A23"/>
    <w:rsid w:val="00213A7B"/>
    <w:rsid w:val="00213A87"/>
    <w:rsid w:val="00213AEC"/>
    <w:rsid w:val="00213B02"/>
    <w:rsid w:val="00213B70"/>
    <w:rsid w:val="00213B7C"/>
    <w:rsid w:val="00213B9A"/>
    <w:rsid w:val="00213BB3"/>
    <w:rsid w:val="00213BCF"/>
    <w:rsid w:val="00213BEF"/>
    <w:rsid w:val="00213BF4"/>
    <w:rsid w:val="00213BF6"/>
    <w:rsid w:val="00213C12"/>
    <w:rsid w:val="00213C38"/>
    <w:rsid w:val="00213C5E"/>
    <w:rsid w:val="00213D09"/>
    <w:rsid w:val="00213D2E"/>
    <w:rsid w:val="00213D6A"/>
    <w:rsid w:val="00213DAB"/>
    <w:rsid w:val="00213DE2"/>
    <w:rsid w:val="00213E0F"/>
    <w:rsid w:val="00213E1B"/>
    <w:rsid w:val="00213E1D"/>
    <w:rsid w:val="00213E40"/>
    <w:rsid w:val="00213F2C"/>
    <w:rsid w:val="00213F77"/>
    <w:rsid w:val="00213FBE"/>
    <w:rsid w:val="00213FD8"/>
    <w:rsid w:val="00213FF6"/>
    <w:rsid w:val="00214003"/>
    <w:rsid w:val="0021407B"/>
    <w:rsid w:val="00214091"/>
    <w:rsid w:val="002140BE"/>
    <w:rsid w:val="00214110"/>
    <w:rsid w:val="00214170"/>
    <w:rsid w:val="00214191"/>
    <w:rsid w:val="002142CA"/>
    <w:rsid w:val="002142D0"/>
    <w:rsid w:val="002142D9"/>
    <w:rsid w:val="002142DD"/>
    <w:rsid w:val="0021430C"/>
    <w:rsid w:val="00214319"/>
    <w:rsid w:val="00214327"/>
    <w:rsid w:val="00214356"/>
    <w:rsid w:val="0021437A"/>
    <w:rsid w:val="00214396"/>
    <w:rsid w:val="002143F5"/>
    <w:rsid w:val="00214455"/>
    <w:rsid w:val="0021449D"/>
    <w:rsid w:val="0021449E"/>
    <w:rsid w:val="002144A6"/>
    <w:rsid w:val="002144E5"/>
    <w:rsid w:val="002144F9"/>
    <w:rsid w:val="002145B2"/>
    <w:rsid w:val="00214602"/>
    <w:rsid w:val="0021461F"/>
    <w:rsid w:val="00214621"/>
    <w:rsid w:val="0021464C"/>
    <w:rsid w:val="00214672"/>
    <w:rsid w:val="00214681"/>
    <w:rsid w:val="00214692"/>
    <w:rsid w:val="002146A6"/>
    <w:rsid w:val="002146AF"/>
    <w:rsid w:val="002146B2"/>
    <w:rsid w:val="002146DD"/>
    <w:rsid w:val="002146EA"/>
    <w:rsid w:val="00214715"/>
    <w:rsid w:val="00214746"/>
    <w:rsid w:val="0021475A"/>
    <w:rsid w:val="00214767"/>
    <w:rsid w:val="00214770"/>
    <w:rsid w:val="0021481C"/>
    <w:rsid w:val="00214831"/>
    <w:rsid w:val="0021489C"/>
    <w:rsid w:val="002148A0"/>
    <w:rsid w:val="002148AA"/>
    <w:rsid w:val="00214931"/>
    <w:rsid w:val="00214942"/>
    <w:rsid w:val="002149A4"/>
    <w:rsid w:val="002149AB"/>
    <w:rsid w:val="002149E4"/>
    <w:rsid w:val="002149F9"/>
    <w:rsid w:val="00214A02"/>
    <w:rsid w:val="00214A5D"/>
    <w:rsid w:val="00214A73"/>
    <w:rsid w:val="00214A82"/>
    <w:rsid w:val="00214A8D"/>
    <w:rsid w:val="00214ACC"/>
    <w:rsid w:val="00214ADE"/>
    <w:rsid w:val="00214B21"/>
    <w:rsid w:val="00214B32"/>
    <w:rsid w:val="00214B34"/>
    <w:rsid w:val="00214B43"/>
    <w:rsid w:val="00214BE4"/>
    <w:rsid w:val="00214BEE"/>
    <w:rsid w:val="00214C1D"/>
    <w:rsid w:val="00214C31"/>
    <w:rsid w:val="00214C77"/>
    <w:rsid w:val="00214C7D"/>
    <w:rsid w:val="00214CA3"/>
    <w:rsid w:val="00214CD2"/>
    <w:rsid w:val="00214CE5"/>
    <w:rsid w:val="00214D16"/>
    <w:rsid w:val="00214D2C"/>
    <w:rsid w:val="00214D4C"/>
    <w:rsid w:val="00214D5E"/>
    <w:rsid w:val="00214D7A"/>
    <w:rsid w:val="00214D87"/>
    <w:rsid w:val="00214D90"/>
    <w:rsid w:val="00214E07"/>
    <w:rsid w:val="00214E08"/>
    <w:rsid w:val="00214E14"/>
    <w:rsid w:val="00214E46"/>
    <w:rsid w:val="00214E5E"/>
    <w:rsid w:val="00214F4B"/>
    <w:rsid w:val="00214F4E"/>
    <w:rsid w:val="00214F6E"/>
    <w:rsid w:val="00214F79"/>
    <w:rsid w:val="00214F7B"/>
    <w:rsid w:val="00214F8B"/>
    <w:rsid w:val="00214FA7"/>
    <w:rsid w:val="00214FBA"/>
    <w:rsid w:val="00214FF1"/>
    <w:rsid w:val="00215000"/>
    <w:rsid w:val="0021503A"/>
    <w:rsid w:val="00215078"/>
    <w:rsid w:val="002150CF"/>
    <w:rsid w:val="00215102"/>
    <w:rsid w:val="00215125"/>
    <w:rsid w:val="00215168"/>
    <w:rsid w:val="00215186"/>
    <w:rsid w:val="00215189"/>
    <w:rsid w:val="002151B8"/>
    <w:rsid w:val="002151D7"/>
    <w:rsid w:val="00215218"/>
    <w:rsid w:val="00215288"/>
    <w:rsid w:val="002152A3"/>
    <w:rsid w:val="002152AE"/>
    <w:rsid w:val="002152E6"/>
    <w:rsid w:val="0021534E"/>
    <w:rsid w:val="00215353"/>
    <w:rsid w:val="002153E1"/>
    <w:rsid w:val="002153E7"/>
    <w:rsid w:val="00215410"/>
    <w:rsid w:val="00215419"/>
    <w:rsid w:val="00215429"/>
    <w:rsid w:val="00215452"/>
    <w:rsid w:val="00215471"/>
    <w:rsid w:val="002154BE"/>
    <w:rsid w:val="002154C3"/>
    <w:rsid w:val="00215518"/>
    <w:rsid w:val="00215522"/>
    <w:rsid w:val="00215565"/>
    <w:rsid w:val="00215582"/>
    <w:rsid w:val="00215584"/>
    <w:rsid w:val="002155B5"/>
    <w:rsid w:val="002155E1"/>
    <w:rsid w:val="002155E3"/>
    <w:rsid w:val="002155F0"/>
    <w:rsid w:val="002155F3"/>
    <w:rsid w:val="002155F9"/>
    <w:rsid w:val="00215605"/>
    <w:rsid w:val="0021563A"/>
    <w:rsid w:val="0021565E"/>
    <w:rsid w:val="0021567E"/>
    <w:rsid w:val="00215691"/>
    <w:rsid w:val="00215728"/>
    <w:rsid w:val="00215733"/>
    <w:rsid w:val="00215735"/>
    <w:rsid w:val="0021577E"/>
    <w:rsid w:val="00215796"/>
    <w:rsid w:val="0021579D"/>
    <w:rsid w:val="002157A8"/>
    <w:rsid w:val="002157BF"/>
    <w:rsid w:val="002157E2"/>
    <w:rsid w:val="00215842"/>
    <w:rsid w:val="00215854"/>
    <w:rsid w:val="0021585A"/>
    <w:rsid w:val="0021585F"/>
    <w:rsid w:val="002158AE"/>
    <w:rsid w:val="0021590E"/>
    <w:rsid w:val="00215941"/>
    <w:rsid w:val="00215953"/>
    <w:rsid w:val="00215961"/>
    <w:rsid w:val="002159A4"/>
    <w:rsid w:val="002159E5"/>
    <w:rsid w:val="00215A1A"/>
    <w:rsid w:val="00215A76"/>
    <w:rsid w:val="00215B01"/>
    <w:rsid w:val="00215BCE"/>
    <w:rsid w:val="00215BD3"/>
    <w:rsid w:val="00215BDC"/>
    <w:rsid w:val="00215BDE"/>
    <w:rsid w:val="00215BE0"/>
    <w:rsid w:val="00215C2D"/>
    <w:rsid w:val="00215C93"/>
    <w:rsid w:val="00215C9F"/>
    <w:rsid w:val="00215CA4"/>
    <w:rsid w:val="00215CC9"/>
    <w:rsid w:val="00215CE4"/>
    <w:rsid w:val="00215CFC"/>
    <w:rsid w:val="00215D27"/>
    <w:rsid w:val="00215D4F"/>
    <w:rsid w:val="00215DE7"/>
    <w:rsid w:val="00215E1F"/>
    <w:rsid w:val="00215E27"/>
    <w:rsid w:val="00215E38"/>
    <w:rsid w:val="00215E3B"/>
    <w:rsid w:val="00215EA3"/>
    <w:rsid w:val="00215EEF"/>
    <w:rsid w:val="00215EF9"/>
    <w:rsid w:val="00215F06"/>
    <w:rsid w:val="00215F19"/>
    <w:rsid w:val="00215F41"/>
    <w:rsid w:val="00215F6C"/>
    <w:rsid w:val="00215F8B"/>
    <w:rsid w:val="00215FCF"/>
    <w:rsid w:val="0021602C"/>
    <w:rsid w:val="0021606F"/>
    <w:rsid w:val="002160A1"/>
    <w:rsid w:val="002160A3"/>
    <w:rsid w:val="002160B0"/>
    <w:rsid w:val="002160D3"/>
    <w:rsid w:val="00216126"/>
    <w:rsid w:val="00216127"/>
    <w:rsid w:val="00216141"/>
    <w:rsid w:val="00216154"/>
    <w:rsid w:val="0021618F"/>
    <w:rsid w:val="00216194"/>
    <w:rsid w:val="002161ED"/>
    <w:rsid w:val="0021620B"/>
    <w:rsid w:val="0021623B"/>
    <w:rsid w:val="002162A4"/>
    <w:rsid w:val="002162FF"/>
    <w:rsid w:val="0021633B"/>
    <w:rsid w:val="00216350"/>
    <w:rsid w:val="00216380"/>
    <w:rsid w:val="002163D7"/>
    <w:rsid w:val="002163ED"/>
    <w:rsid w:val="00216489"/>
    <w:rsid w:val="0021649B"/>
    <w:rsid w:val="0021649D"/>
    <w:rsid w:val="002164D5"/>
    <w:rsid w:val="00216504"/>
    <w:rsid w:val="0021653E"/>
    <w:rsid w:val="0021654B"/>
    <w:rsid w:val="00216550"/>
    <w:rsid w:val="00216570"/>
    <w:rsid w:val="002165A5"/>
    <w:rsid w:val="002165F0"/>
    <w:rsid w:val="00216609"/>
    <w:rsid w:val="002166AF"/>
    <w:rsid w:val="0021671C"/>
    <w:rsid w:val="00216761"/>
    <w:rsid w:val="00216779"/>
    <w:rsid w:val="00216796"/>
    <w:rsid w:val="002167CB"/>
    <w:rsid w:val="00216863"/>
    <w:rsid w:val="00216864"/>
    <w:rsid w:val="002168A2"/>
    <w:rsid w:val="002168B5"/>
    <w:rsid w:val="00216920"/>
    <w:rsid w:val="00216938"/>
    <w:rsid w:val="0021699C"/>
    <w:rsid w:val="002169BB"/>
    <w:rsid w:val="002169C5"/>
    <w:rsid w:val="002169CC"/>
    <w:rsid w:val="002169E0"/>
    <w:rsid w:val="00216A35"/>
    <w:rsid w:val="00216A57"/>
    <w:rsid w:val="00216A9D"/>
    <w:rsid w:val="00216BCC"/>
    <w:rsid w:val="00216BEF"/>
    <w:rsid w:val="00216C3F"/>
    <w:rsid w:val="00216C91"/>
    <w:rsid w:val="00216CA6"/>
    <w:rsid w:val="00216D09"/>
    <w:rsid w:val="00216D66"/>
    <w:rsid w:val="00216D6D"/>
    <w:rsid w:val="00216DB0"/>
    <w:rsid w:val="00216DD6"/>
    <w:rsid w:val="00216DF2"/>
    <w:rsid w:val="00216E55"/>
    <w:rsid w:val="00216E6A"/>
    <w:rsid w:val="00216EA8"/>
    <w:rsid w:val="00216EDE"/>
    <w:rsid w:val="00216EEC"/>
    <w:rsid w:val="00216F7B"/>
    <w:rsid w:val="00216FCF"/>
    <w:rsid w:val="00216FD5"/>
    <w:rsid w:val="00216FDB"/>
    <w:rsid w:val="0021703B"/>
    <w:rsid w:val="002170F7"/>
    <w:rsid w:val="002170FB"/>
    <w:rsid w:val="0021711B"/>
    <w:rsid w:val="0021711F"/>
    <w:rsid w:val="0021714E"/>
    <w:rsid w:val="0021715C"/>
    <w:rsid w:val="00217198"/>
    <w:rsid w:val="002171AA"/>
    <w:rsid w:val="0021729A"/>
    <w:rsid w:val="002172B1"/>
    <w:rsid w:val="002172C5"/>
    <w:rsid w:val="002172F0"/>
    <w:rsid w:val="00217319"/>
    <w:rsid w:val="00217325"/>
    <w:rsid w:val="00217360"/>
    <w:rsid w:val="00217383"/>
    <w:rsid w:val="002173A7"/>
    <w:rsid w:val="002173B6"/>
    <w:rsid w:val="002173B9"/>
    <w:rsid w:val="002173BC"/>
    <w:rsid w:val="002173E8"/>
    <w:rsid w:val="0021742E"/>
    <w:rsid w:val="00217484"/>
    <w:rsid w:val="002174A2"/>
    <w:rsid w:val="002174AE"/>
    <w:rsid w:val="002174AF"/>
    <w:rsid w:val="002174C5"/>
    <w:rsid w:val="00217521"/>
    <w:rsid w:val="00217558"/>
    <w:rsid w:val="00217563"/>
    <w:rsid w:val="00217579"/>
    <w:rsid w:val="002175A3"/>
    <w:rsid w:val="002175B7"/>
    <w:rsid w:val="00217615"/>
    <w:rsid w:val="00217622"/>
    <w:rsid w:val="0021765C"/>
    <w:rsid w:val="0021767B"/>
    <w:rsid w:val="00217684"/>
    <w:rsid w:val="002176E0"/>
    <w:rsid w:val="002176F2"/>
    <w:rsid w:val="002176FC"/>
    <w:rsid w:val="00217711"/>
    <w:rsid w:val="0021775A"/>
    <w:rsid w:val="002177A5"/>
    <w:rsid w:val="002177B0"/>
    <w:rsid w:val="002177B6"/>
    <w:rsid w:val="002177EF"/>
    <w:rsid w:val="00217809"/>
    <w:rsid w:val="00217840"/>
    <w:rsid w:val="0021786D"/>
    <w:rsid w:val="00217871"/>
    <w:rsid w:val="002178C1"/>
    <w:rsid w:val="002178DE"/>
    <w:rsid w:val="0021790C"/>
    <w:rsid w:val="0021791F"/>
    <w:rsid w:val="0021794B"/>
    <w:rsid w:val="0021795D"/>
    <w:rsid w:val="0021796C"/>
    <w:rsid w:val="00217996"/>
    <w:rsid w:val="002179C8"/>
    <w:rsid w:val="002179D7"/>
    <w:rsid w:val="00217A0B"/>
    <w:rsid w:val="00217A10"/>
    <w:rsid w:val="00217A42"/>
    <w:rsid w:val="00217A62"/>
    <w:rsid w:val="00217A93"/>
    <w:rsid w:val="00217AC1"/>
    <w:rsid w:val="00217ACB"/>
    <w:rsid w:val="00217B1F"/>
    <w:rsid w:val="00217B47"/>
    <w:rsid w:val="00217B52"/>
    <w:rsid w:val="00217B94"/>
    <w:rsid w:val="00217BB6"/>
    <w:rsid w:val="00217BB8"/>
    <w:rsid w:val="00217BCD"/>
    <w:rsid w:val="00217C63"/>
    <w:rsid w:val="00217C84"/>
    <w:rsid w:val="00217C85"/>
    <w:rsid w:val="00217CB9"/>
    <w:rsid w:val="00217D5C"/>
    <w:rsid w:val="00217D6C"/>
    <w:rsid w:val="00217D99"/>
    <w:rsid w:val="00217DAF"/>
    <w:rsid w:val="00217DF1"/>
    <w:rsid w:val="00217DF5"/>
    <w:rsid w:val="00217E9D"/>
    <w:rsid w:val="00217EE1"/>
    <w:rsid w:val="00217F13"/>
    <w:rsid w:val="00217F1C"/>
    <w:rsid w:val="00217F28"/>
    <w:rsid w:val="00217F55"/>
    <w:rsid w:val="00217F76"/>
    <w:rsid w:val="00217FB5"/>
    <w:rsid w:val="00217FC6"/>
    <w:rsid w:val="0022002C"/>
    <w:rsid w:val="00220061"/>
    <w:rsid w:val="00220096"/>
    <w:rsid w:val="002200BC"/>
    <w:rsid w:val="002200FA"/>
    <w:rsid w:val="00220102"/>
    <w:rsid w:val="0022012C"/>
    <w:rsid w:val="00220157"/>
    <w:rsid w:val="00220168"/>
    <w:rsid w:val="00220188"/>
    <w:rsid w:val="00220198"/>
    <w:rsid w:val="002201C1"/>
    <w:rsid w:val="002201D2"/>
    <w:rsid w:val="002201E0"/>
    <w:rsid w:val="00220225"/>
    <w:rsid w:val="00220240"/>
    <w:rsid w:val="00220253"/>
    <w:rsid w:val="00220257"/>
    <w:rsid w:val="002202B7"/>
    <w:rsid w:val="002202DA"/>
    <w:rsid w:val="002202DE"/>
    <w:rsid w:val="002202E1"/>
    <w:rsid w:val="0022030B"/>
    <w:rsid w:val="0022034A"/>
    <w:rsid w:val="00220367"/>
    <w:rsid w:val="00220380"/>
    <w:rsid w:val="002203AE"/>
    <w:rsid w:val="002203BC"/>
    <w:rsid w:val="002203CC"/>
    <w:rsid w:val="00220412"/>
    <w:rsid w:val="0022042F"/>
    <w:rsid w:val="00220441"/>
    <w:rsid w:val="00220447"/>
    <w:rsid w:val="00220520"/>
    <w:rsid w:val="00220524"/>
    <w:rsid w:val="0022052E"/>
    <w:rsid w:val="00220538"/>
    <w:rsid w:val="002205D7"/>
    <w:rsid w:val="002205E3"/>
    <w:rsid w:val="0022060E"/>
    <w:rsid w:val="002206C5"/>
    <w:rsid w:val="002206E3"/>
    <w:rsid w:val="002206F0"/>
    <w:rsid w:val="0022074B"/>
    <w:rsid w:val="00220765"/>
    <w:rsid w:val="00220768"/>
    <w:rsid w:val="0022079F"/>
    <w:rsid w:val="002207CB"/>
    <w:rsid w:val="002207DC"/>
    <w:rsid w:val="002207EE"/>
    <w:rsid w:val="002207F7"/>
    <w:rsid w:val="00220810"/>
    <w:rsid w:val="00220826"/>
    <w:rsid w:val="0022086B"/>
    <w:rsid w:val="00220A09"/>
    <w:rsid w:val="00220AB4"/>
    <w:rsid w:val="00220AB9"/>
    <w:rsid w:val="00220AC3"/>
    <w:rsid w:val="00220AC5"/>
    <w:rsid w:val="00220B04"/>
    <w:rsid w:val="00220B1A"/>
    <w:rsid w:val="00220B29"/>
    <w:rsid w:val="00220BC1"/>
    <w:rsid w:val="00220C28"/>
    <w:rsid w:val="00220C2B"/>
    <w:rsid w:val="00220C51"/>
    <w:rsid w:val="00220C6B"/>
    <w:rsid w:val="00220C6E"/>
    <w:rsid w:val="00220C81"/>
    <w:rsid w:val="00220CAE"/>
    <w:rsid w:val="00220CB1"/>
    <w:rsid w:val="00220CE9"/>
    <w:rsid w:val="00220D8B"/>
    <w:rsid w:val="00220DA2"/>
    <w:rsid w:val="00220DE8"/>
    <w:rsid w:val="00220DFC"/>
    <w:rsid w:val="00220E32"/>
    <w:rsid w:val="00220E3C"/>
    <w:rsid w:val="00220E99"/>
    <w:rsid w:val="00220EDA"/>
    <w:rsid w:val="00220F1C"/>
    <w:rsid w:val="00220F2B"/>
    <w:rsid w:val="00220F4D"/>
    <w:rsid w:val="00220F55"/>
    <w:rsid w:val="00220F5C"/>
    <w:rsid w:val="00220F66"/>
    <w:rsid w:val="00220F6A"/>
    <w:rsid w:val="00220F6F"/>
    <w:rsid w:val="00220F92"/>
    <w:rsid w:val="00220F96"/>
    <w:rsid w:val="00221026"/>
    <w:rsid w:val="0022104C"/>
    <w:rsid w:val="0022111B"/>
    <w:rsid w:val="00221150"/>
    <w:rsid w:val="00221152"/>
    <w:rsid w:val="00221154"/>
    <w:rsid w:val="0022115D"/>
    <w:rsid w:val="0022116E"/>
    <w:rsid w:val="0022119D"/>
    <w:rsid w:val="002211B8"/>
    <w:rsid w:val="002211D3"/>
    <w:rsid w:val="002211DA"/>
    <w:rsid w:val="00221221"/>
    <w:rsid w:val="00221224"/>
    <w:rsid w:val="0022126D"/>
    <w:rsid w:val="0022126E"/>
    <w:rsid w:val="0022130F"/>
    <w:rsid w:val="00221332"/>
    <w:rsid w:val="00221340"/>
    <w:rsid w:val="0022134C"/>
    <w:rsid w:val="0022135C"/>
    <w:rsid w:val="00221361"/>
    <w:rsid w:val="002213A0"/>
    <w:rsid w:val="002213F7"/>
    <w:rsid w:val="00221456"/>
    <w:rsid w:val="002214C8"/>
    <w:rsid w:val="002214CF"/>
    <w:rsid w:val="002214FD"/>
    <w:rsid w:val="002214FF"/>
    <w:rsid w:val="00221503"/>
    <w:rsid w:val="00221507"/>
    <w:rsid w:val="0022155E"/>
    <w:rsid w:val="002215BB"/>
    <w:rsid w:val="002215BF"/>
    <w:rsid w:val="002215E0"/>
    <w:rsid w:val="002215E5"/>
    <w:rsid w:val="002215F3"/>
    <w:rsid w:val="002215F6"/>
    <w:rsid w:val="0022160F"/>
    <w:rsid w:val="0022161F"/>
    <w:rsid w:val="00221622"/>
    <w:rsid w:val="00221655"/>
    <w:rsid w:val="00221674"/>
    <w:rsid w:val="002216C4"/>
    <w:rsid w:val="002216D9"/>
    <w:rsid w:val="002216E3"/>
    <w:rsid w:val="002216F1"/>
    <w:rsid w:val="00221701"/>
    <w:rsid w:val="00221719"/>
    <w:rsid w:val="00221751"/>
    <w:rsid w:val="00221769"/>
    <w:rsid w:val="002217AD"/>
    <w:rsid w:val="002217AF"/>
    <w:rsid w:val="002217B1"/>
    <w:rsid w:val="002217E7"/>
    <w:rsid w:val="002217E8"/>
    <w:rsid w:val="00221809"/>
    <w:rsid w:val="00221869"/>
    <w:rsid w:val="002218D6"/>
    <w:rsid w:val="002218E0"/>
    <w:rsid w:val="00221951"/>
    <w:rsid w:val="00221969"/>
    <w:rsid w:val="00221993"/>
    <w:rsid w:val="002219B6"/>
    <w:rsid w:val="002219EA"/>
    <w:rsid w:val="002219FF"/>
    <w:rsid w:val="00221A16"/>
    <w:rsid w:val="00221A2D"/>
    <w:rsid w:val="00221A61"/>
    <w:rsid w:val="00221A89"/>
    <w:rsid w:val="00221A94"/>
    <w:rsid w:val="00221AC4"/>
    <w:rsid w:val="00221AC5"/>
    <w:rsid w:val="00221B0D"/>
    <w:rsid w:val="00221B5C"/>
    <w:rsid w:val="00221B70"/>
    <w:rsid w:val="00221B8E"/>
    <w:rsid w:val="00221B93"/>
    <w:rsid w:val="00221C97"/>
    <w:rsid w:val="00221CD7"/>
    <w:rsid w:val="00221D32"/>
    <w:rsid w:val="00221D4D"/>
    <w:rsid w:val="00221D7C"/>
    <w:rsid w:val="00221DC1"/>
    <w:rsid w:val="00221DE1"/>
    <w:rsid w:val="00221E0A"/>
    <w:rsid w:val="00221E65"/>
    <w:rsid w:val="00221EAD"/>
    <w:rsid w:val="00221EDA"/>
    <w:rsid w:val="00221EDF"/>
    <w:rsid w:val="00221FCA"/>
    <w:rsid w:val="00221FDA"/>
    <w:rsid w:val="00221FEE"/>
    <w:rsid w:val="00222003"/>
    <w:rsid w:val="0022200B"/>
    <w:rsid w:val="00222026"/>
    <w:rsid w:val="00222027"/>
    <w:rsid w:val="00222031"/>
    <w:rsid w:val="0022206F"/>
    <w:rsid w:val="002220AA"/>
    <w:rsid w:val="00222132"/>
    <w:rsid w:val="002221A4"/>
    <w:rsid w:val="002221C2"/>
    <w:rsid w:val="002221F4"/>
    <w:rsid w:val="00222216"/>
    <w:rsid w:val="0022225E"/>
    <w:rsid w:val="00222264"/>
    <w:rsid w:val="00222296"/>
    <w:rsid w:val="00222314"/>
    <w:rsid w:val="00222338"/>
    <w:rsid w:val="00222350"/>
    <w:rsid w:val="00222369"/>
    <w:rsid w:val="002223B2"/>
    <w:rsid w:val="002223EC"/>
    <w:rsid w:val="002223FF"/>
    <w:rsid w:val="002224CC"/>
    <w:rsid w:val="002224CF"/>
    <w:rsid w:val="002224E1"/>
    <w:rsid w:val="002224FF"/>
    <w:rsid w:val="0022250F"/>
    <w:rsid w:val="00222553"/>
    <w:rsid w:val="0022257C"/>
    <w:rsid w:val="0022258D"/>
    <w:rsid w:val="002225CA"/>
    <w:rsid w:val="002225CC"/>
    <w:rsid w:val="002225D9"/>
    <w:rsid w:val="0022260F"/>
    <w:rsid w:val="0022263F"/>
    <w:rsid w:val="00222678"/>
    <w:rsid w:val="002226DB"/>
    <w:rsid w:val="002226E6"/>
    <w:rsid w:val="00222702"/>
    <w:rsid w:val="002227C7"/>
    <w:rsid w:val="002227CA"/>
    <w:rsid w:val="002227DB"/>
    <w:rsid w:val="002227DD"/>
    <w:rsid w:val="002227EC"/>
    <w:rsid w:val="002227F3"/>
    <w:rsid w:val="00222855"/>
    <w:rsid w:val="0022285B"/>
    <w:rsid w:val="0022286A"/>
    <w:rsid w:val="002228A9"/>
    <w:rsid w:val="00222906"/>
    <w:rsid w:val="00222940"/>
    <w:rsid w:val="00222964"/>
    <w:rsid w:val="002229E0"/>
    <w:rsid w:val="002229E3"/>
    <w:rsid w:val="002229F9"/>
    <w:rsid w:val="00222A16"/>
    <w:rsid w:val="00222A3B"/>
    <w:rsid w:val="00222A8C"/>
    <w:rsid w:val="00222AE5"/>
    <w:rsid w:val="00222AFD"/>
    <w:rsid w:val="00222B01"/>
    <w:rsid w:val="00222B1C"/>
    <w:rsid w:val="00222B56"/>
    <w:rsid w:val="00222B72"/>
    <w:rsid w:val="00222BFB"/>
    <w:rsid w:val="00222C25"/>
    <w:rsid w:val="00222CA9"/>
    <w:rsid w:val="00222CC3"/>
    <w:rsid w:val="00222D36"/>
    <w:rsid w:val="00222D5C"/>
    <w:rsid w:val="00222D7E"/>
    <w:rsid w:val="00222DCD"/>
    <w:rsid w:val="00222DF6"/>
    <w:rsid w:val="00222E3A"/>
    <w:rsid w:val="00222E42"/>
    <w:rsid w:val="00222E75"/>
    <w:rsid w:val="00222E87"/>
    <w:rsid w:val="00222EBA"/>
    <w:rsid w:val="00222ED6"/>
    <w:rsid w:val="00222F4A"/>
    <w:rsid w:val="00222F91"/>
    <w:rsid w:val="00222FAA"/>
    <w:rsid w:val="00222FCF"/>
    <w:rsid w:val="00222FFE"/>
    <w:rsid w:val="0022304D"/>
    <w:rsid w:val="00223052"/>
    <w:rsid w:val="002230A3"/>
    <w:rsid w:val="002230B2"/>
    <w:rsid w:val="002230FE"/>
    <w:rsid w:val="00223101"/>
    <w:rsid w:val="0022310E"/>
    <w:rsid w:val="00223135"/>
    <w:rsid w:val="00223255"/>
    <w:rsid w:val="002232B6"/>
    <w:rsid w:val="002232D0"/>
    <w:rsid w:val="002232EA"/>
    <w:rsid w:val="00223309"/>
    <w:rsid w:val="0022330E"/>
    <w:rsid w:val="00223351"/>
    <w:rsid w:val="002233F1"/>
    <w:rsid w:val="00223411"/>
    <w:rsid w:val="0022348B"/>
    <w:rsid w:val="002234DD"/>
    <w:rsid w:val="002234E6"/>
    <w:rsid w:val="00223546"/>
    <w:rsid w:val="00223591"/>
    <w:rsid w:val="002235B0"/>
    <w:rsid w:val="002235B9"/>
    <w:rsid w:val="002235F9"/>
    <w:rsid w:val="00223606"/>
    <w:rsid w:val="0022361E"/>
    <w:rsid w:val="0022362E"/>
    <w:rsid w:val="00223648"/>
    <w:rsid w:val="0022365D"/>
    <w:rsid w:val="002236D9"/>
    <w:rsid w:val="0022370E"/>
    <w:rsid w:val="0022373D"/>
    <w:rsid w:val="0022374A"/>
    <w:rsid w:val="002237B8"/>
    <w:rsid w:val="002237C2"/>
    <w:rsid w:val="00223801"/>
    <w:rsid w:val="0022384B"/>
    <w:rsid w:val="00223855"/>
    <w:rsid w:val="0022387F"/>
    <w:rsid w:val="00223884"/>
    <w:rsid w:val="002238B5"/>
    <w:rsid w:val="0022390A"/>
    <w:rsid w:val="0022392D"/>
    <w:rsid w:val="00223996"/>
    <w:rsid w:val="002239AB"/>
    <w:rsid w:val="002239C7"/>
    <w:rsid w:val="002239F6"/>
    <w:rsid w:val="00223A5D"/>
    <w:rsid w:val="00223A79"/>
    <w:rsid w:val="00223ACB"/>
    <w:rsid w:val="00223B32"/>
    <w:rsid w:val="00223B84"/>
    <w:rsid w:val="00223B97"/>
    <w:rsid w:val="00223BB1"/>
    <w:rsid w:val="00223C4A"/>
    <w:rsid w:val="00223C4B"/>
    <w:rsid w:val="00223C7A"/>
    <w:rsid w:val="00223CD4"/>
    <w:rsid w:val="00223CD5"/>
    <w:rsid w:val="00223CD6"/>
    <w:rsid w:val="00223D05"/>
    <w:rsid w:val="00223D4A"/>
    <w:rsid w:val="00223DA8"/>
    <w:rsid w:val="00223DEE"/>
    <w:rsid w:val="00223E3F"/>
    <w:rsid w:val="00223E51"/>
    <w:rsid w:val="00223EB3"/>
    <w:rsid w:val="00223EDE"/>
    <w:rsid w:val="00223F10"/>
    <w:rsid w:val="00223F31"/>
    <w:rsid w:val="00223F40"/>
    <w:rsid w:val="00223F74"/>
    <w:rsid w:val="00223FBD"/>
    <w:rsid w:val="00223FDC"/>
    <w:rsid w:val="00224031"/>
    <w:rsid w:val="0022407B"/>
    <w:rsid w:val="002240CB"/>
    <w:rsid w:val="0022411B"/>
    <w:rsid w:val="0022413B"/>
    <w:rsid w:val="00224167"/>
    <w:rsid w:val="0022416B"/>
    <w:rsid w:val="0022418B"/>
    <w:rsid w:val="002241A0"/>
    <w:rsid w:val="002241EA"/>
    <w:rsid w:val="002241EB"/>
    <w:rsid w:val="0022424A"/>
    <w:rsid w:val="002242C7"/>
    <w:rsid w:val="002242E1"/>
    <w:rsid w:val="002242F4"/>
    <w:rsid w:val="00224319"/>
    <w:rsid w:val="00224320"/>
    <w:rsid w:val="00224379"/>
    <w:rsid w:val="002243C8"/>
    <w:rsid w:val="002243CD"/>
    <w:rsid w:val="002243DE"/>
    <w:rsid w:val="002243ED"/>
    <w:rsid w:val="0022440C"/>
    <w:rsid w:val="00224412"/>
    <w:rsid w:val="0022441F"/>
    <w:rsid w:val="0022442B"/>
    <w:rsid w:val="002244B0"/>
    <w:rsid w:val="002244DC"/>
    <w:rsid w:val="002244EE"/>
    <w:rsid w:val="00224518"/>
    <w:rsid w:val="00224525"/>
    <w:rsid w:val="00224543"/>
    <w:rsid w:val="0022458A"/>
    <w:rsid w:val="002245B3"/>
    <w:rsid w:val="002245CD"/>
    <w:rsid w:val="002245F4"/>
    <w:rsid w:val="00224645"/>
    <w:rsid w:val="0022469D"/>
    <w:rsid w:val="00224704"/>
    <w:rsid w:val="0022474C"/>
    <w:rsid w:val="002247C5"/>
    <w:rsid w:val="002247F1"/>
    <w:rsid w:val="00224809"/>
    <w:rsid w:val="00224837"/>
    <w:rsid w:val="0022484C"/>
    <w:rsid w:val="00224855"/>
    <w:rsid w:val="0022485E"/>
    <w:rsid w:val="0022487B"/>
    <w:rsid w:val="002248B1"/>
    <w:rsid w:val="002248C7"/>
    <w:rsid w:val="002248DD"/>
    <w:rsid w:val="002248E6"/>
    <w:rsid w:val="00224916"/>
    <w:rsid w:val="0022492D"/>
    <w:rsid w:val="00224972"/>
    <w:rsid w:val="00224975"/>
    <w:rsid w:val="0022498B"/>
    <w:rsid w:val="002249A5"/>
    <w:rsid w:val="002249E0"/>
    <w:rsid w:val="002249E4"/>
    <w:rsid w:val="00224A3C"/>
    <w:rsid w:val="00224A72"/>
    <w:rsid w:val="00224A75"/>
    <w:rsid w:val="00224AB8"/>
    <w:rsid w:val="00224ACC"/>
    <w:rsid w:val="00224AE5"/>
    <w:rsid w:val="00224AF0"/>
    <w:rsid w:val="00224B82"/>
    <w:rsid w:val="00224B8B"/>
    <w:rsid w:val="00224BDA"/>
    <w:rsid w:val="00224BE1"/>
    <w:rsid w:val="00224BED"/>
    <w:rsid w:val="00224C3C"/>
    <w:rsid w:val="00224C3D"/>
    <w:rsid w:val="00224C41"/>
    <w:rsid w:val="00224C49"/>
    <w:rsid w:val="00224C5E"/>
    <w:rsid w:val="00224C72"/>
    <w:rsid w:val="00224C9C"/>
    <w:rsid w:val="00224CA0"/>
    <w:rsid w:val="00224CFC"/>
    <w:rsid w:val="00224D0E"/>
    <w:rsid w:val="00224D13"/>
    <w:rsid w:val="00224D1E"/>
    <w:rsid w:val="00224D26"/>
    <w:rsid w:val="00224DE5"/>
    <w:rsid w:val="00224E0A"/>
    <w:rsid w:val="00224E35"/>
    <w:rsid w:val="00224E3C"/>
    <w:rsid w:val="00224E72"/>
    <w:rsid w:val="00224ED0"/>
    <w:rsid w:val="00224F38"/>
    <w:rsid w:val="00224F7D"/>
    <w:rsid w:val="00224FB1"/>
    <w:rsid w:val="00224FF0"/>
    <w:rsid w:val="00225038"/>
    <w:rsid w:val="0022503C"/>
    <w:rsid w:val="002250C7"/>
    <w:rsid w:val="002250D5"/>
    <w:rsid w:val="00225106"/>
    <w:rsid w:val="00225126"/>
    <w:rsid w:val="00225132"/>
    <w:rsid w:val="002251E2"/>
    <w:rsid w:val="00225228"/>
    <w:rsid w:val="0022522F"/>
    <w:rsid w:val="0022529A"/>
    <w:rsid w:val="002252AC"/>
    <w:rsid w:val="002252C5"/>
    <w:rsid w:val="002252CE"/>
    <w:rsid w:val="00225305"/>
    <w:rsid w:val="0022532B"/>
    <w:rsid w:val="00225364"/>
    <w:rsid w:val="002253B1"/>
    <w:rsid w:val="00225407"/>
    <w:rsid w:val="0022541B"/>
    <w:rsid w:val="0022541E"/>
    <w:rsid w:val="00225424"/>
    <w:rsid w:val="00225456"/>
    <w:rsid w:val="00225471"/>
    <w:rsid w:val="002254D5"/>
    <w:rsid w:val="0022552E"/>
    <w:rsid w:val="00225536"/>
    <w:rsid w:val="0022555B"/>
    <w:rsid w:val="00225586"/>
    <w:rsid w:val="002255E3"/>
    <w:rsid w:val="002255F6"/>
    <w:rsid w:val="0022560C"/>
    <w:rsid w:val="00225656"/>
    <w:rsid w:val="0022566C"/>
    <w:rsid w:val="0022568E"/>
    <w:rsid w:val="002256A7"/>
    <w:rsid w:val="002256FA"/>
    <w:rsid w:val="0022571A"/>
    <w:rsid w:val="0022573A"/>
    <w:rsid w:val="002257A5"/>
    <w:rsid w:val="002257BF"/>
    <w:rsid w:val="002257E3"/>
    <w:rsid w:val="00225816"/>
    <w:rsid w:val="0022581C"/>
    <w:rsid w:val="0022584B"/>
    <w:rsid w:val="00225860"/>
    <w:rsid w:val="00225866"/>
    <w:rsid w:val="00225902"/>
    <w:rsid w:val="00225966"/>
    <w:rsid w:val="0022596B"/>
    <w:rsid w:val="00225988"/>
    <w:rsid w:val="00225A01"/>
    <w:rsid w:val="00225A9A"/>
    <w:rsid w:val="00225AAD"/>
    <w:rsid w:val="00225AB5"/>
    <w:rsid w:val="00225AE3"/>
    <w:rsid w:val="00225B10"/>
    <w:rsid w:val="00225B21"/>
    <w:rsid w:val="00225B4E"/>
    <w:rsid w:val="00225B6C"/>
    <w:rsid w:val="00225B9A"/>
    <w:rsid w:val="00225B9C"/>
    <w:rsid w:val="00225BAE"/>
    <w:rsid w:val="00225BC8"/>
    <w:rsid w:val="00225BC9"/>
    <w:rsid w:val="00225BE4"/>
    <w:rsid w:val="00225C74"/>
    <w:rsid w:val="00225C7E"/>
    <w:rsid w:val="00225C8C"/>
    <w:rsid w:val="00225C95"/>
    <w:rsid w:val="00225CEA"/>
    <w:rsid w:val="00225CEF"/>
    <w:rsid w:val="00225D00"/>
    <w:rsid w:val="00225D25"/>
    <w:rsid w:val="00225DAC"/>
    <w:rsid w:val="00225DC8"/>
    <w:rsid w:val="00225E03"/>
    <w:rsid w:val="00225E0B"/>
    <w:rsid w:val="00225E26"/>
    <w:rsid w:val="00225E70"/>
    <w:rsid w:val="00225E92"/>
    <w:rsid w:val="00225F06"/>
    <w:rsid w:val="00225F20"/>
    <w:rsid w:val="00225F5F"/>
    <w:rsid w:val="00225F8E"/>
    <w:rsid w:val="00225FAA"/>
    <w:rsid w:val="00225FAC"/>
    <w:rsid w:val="0022602F"/>
    <w:rsid w:val="00226080"/>
    <w:rsid w:val="002260A7"/>
    <w:rsid w:val="002260AB"/>
    <w:rsid w:val="002260D7"/>
    <w:rsid w:val="002260F7"/>
    <w:rsid w:val="0022610D"/>
    <w:rsid w:val="00226125"/>
    <w:rsid w:val="00226127"/>
    <w:rsid w:val="00226194"/>
    <w:rsid w:val="00226213"/>
    <w:rsid w:val="00226274"/>
    <w:rsid w:val="00226275"/>
    <w:rsid w:val="002262A4"/>
    <w:rsid w:val="002262CD"/>
    <w:rsid w:val="002262E7"/>
    <w:rsid w:val="00226317"/>
    <w:rsid w:val="0022632E"/>
    <w:rsid w:val="0022634B"/>
    <w:rsid w:val="0022635D"/>
    <w:rsid w:val="0022637D"/>
    <w:rsid w:val="00226389"/>
    <w:rsid w:val="0022638E"/>
    <w:rsid w:val="002263BD"/>
    <w:rsid w:val="002263F5"/>
    <w:rsid w:val="00226405"/>
    <w:rsid w:val="0022640E"/>
    <w:rsid w:val="0022642E"/>
    <w:rsid w:val="00226440"/>
    <w:rsid w:val="00226471"/>
    <w:rsid w:val="002264A0"/>
    <w:rsid w:val="002264AD"/>
    <w:rsid w:val="002264E0"/>
    <w:rsid w:val="002265F4"/>
    <w:rsid w:val="00226617"/>
    <w:rsid w:val="00226660"/>
    <w:rsid w:val="00226667"/>
    <w:rsid w:val="0022666D"/>
    <w:rsid w:val="0022668B"/>
    <w:rsid w:val="002266FC"/>
    <w:rsid w:val="00226702"/>
    <w:rsid w:val="0022670A"/>
    <w:rsid w:val="00226758"/>
    <w:rsid w:val="00226774"/>
    <w:rsid w:val="00226775"/>
    <w:rsid w:val="002267BA"/>
    <w:rsid w:val="002267D8"/>
    <w:rsid w:val="00226830"/>
    <w:rsid w:val="00226840"/>
    <w:rsid w:val="0022686E"/>
    <w:rsid w:val="00226884"/>
    <w:rsid w:val="002268F0"/>
    <w:rsid w:val="00226915"/>
    <w:rsid w:val="002269C1"/>
    <w:rsid w:val="002269DC"/>
    <w:rsid w:val="002269F8"/>
    <w:rsid w:val="00226A49"/>
    <w:rsid w:val="00226A5D"/>
    <w:rsid w:val="00226A7E"/>
    <w:rsid w:val="00226AA1"/>
    <w:rsid w:val="00226B37"/>
    <w:rsid w:val="00226B3D"/>
    <w:rsid w:val="00226BB7"/>
    <w:rsid w:val="00226C60"/>
    <w:rsid w:val="00226C83"/>
    <w:rsid w:val="00226C9F"/>
    <w:rsid w:val="00226CF3"/>
    <w:rsid w:val="00226D38"/>
    <w:rsid w:val="00226D8B"/>
    <w:rsid w:val="00226DD9"/>
    <w:rsid w:val="00226E31"/>
    <w:rsid w:val="00226EDB"/>
    <w:rsid w:val="00226F03"/>
    <w:rsid w:val="00226F08"/>
    <w:rsid w:val="00226FA1"/>
    <w:rsid w:val="00226FA8"/>
    <w:rsid w:val="00226FAC"/>
    <w:rsid w:val="00226FE6"/>
    <w:rsid w:val="00226FED"/>
    <w:rsid w:val="00226FF0"/>
    <w:rsid w:val="00226FFF"/>
    <w:rsid w:val="00227059"/>
    <w:rsid w:val="0022706B"/>
    <w:rsid w:val="00227093"/>
    <w:rsid w:val="002270EC"/>
    <w:rsid w:val="0022712F"/>
    <w:rsid w:val="00227177"/>
    <w:rsid w:val="002271A7"/>
    <w:rsid w:val="00227213"/>
    <w:rsid w:val="0022722B"/>
    <w:rsid w:val="00227259"/>
    <w:rsid w:val="00227278"/>
    <w:rsid w:val="002272A1"/>
    <w:rsid w:val="002272CF"/>
    <w:rsid w:val="002272D2"/>
    <w:rsid w:val="0022732C"/>
    <w:rsid w:val="0022732D"/>
    <w:rsid w:val="00227345"/>
    <w:rsid w:val="002273C1"/>
    <w:rsid w:val="00227460"/>
    <w:rsid w:val="002274CA"/>
    <w:rsid w:val="002274F2"/>
    <w:rsid w:val="00227502"/>
    <w:rsid w:val="00227513"/>
    <w:rsid w:val="00227540"/>
    <w:rsid w:val="0022756C"/>
    <w:rsid w:val="0022756F"/>
    <w:rsid w:val="0022760C"/>
    <w:rsid w:val="00227612"/>
    <w:rsid w:val="0022769D"/>
    <w:rsid w:val="0022769E"/>
    <w:rsid w:val="002276D7"/>
    <w:rsid w:val="002276D8"/>
    <w:rsid w:val="0022770B"/>
    <w:rsid w:val="00227716"/>
    <w:rsid w:val="0022778E"/>
    <w:rsid w:val="00227797"/>
    <w:rsid w:val="002277A1"/>
    <w:rsid w:val="002277BC"/>
    <w:rsid w:val="00227849"/>
    <w:rsid w:val="00227872"/>
    <w:rsid w:val="0022787D"/>
    <w:rsid w:val="002278B4"/>
    <w:rsid w:val="002278E0"/>
    <w:rsid w:val="00227945"/>
    <w:rsid w:val="002279B4"/>
    <w:rsid w:val="002279C3"/>
    <w:rsid w:val="002279F8"/>
    <w:rsid w:val="00227A58"/>
    <w:rsid w:val="00227B16"/>
    <w:rsid w:val="00227B29"/>
    <w:rsid w:val="00227BBD"/>
    <w:rsid w:val="00227BC7"/>
    <w:rsid w:val="00227C40"/>
    <w:rsid w:val="00227C55"/>
    <w:rsid w:val="00227C66"/>
    <w:rsid w:val="00227C69"/>
    <w:rsid w:val="00227C98"/>
    <w:rsid w:val="00227CC5"/>
    <w:rsid w:val="00227CC7"/>
    <w:rsid w:val="00227D1B"/>
    <w:rsid w:val="00227D3B"/>
    <w:rsid w:val="00227D72"/>
    <w:rsid w:val="00227DA8"/>
    <w:rsid w:val="00227DC6"/>
    <w:rsid w:val="00227DDF"/>
    <w:rsid w:val="00227E67"/>
    <w:rsid w:val="00227E71"/>
    <w:rsid w:val="00227E7A"/>
    <w:rsid w:val="00227E8A"/>
    <w:rsid w:val="00227E95"/>
    <w:rsid w:val="00227ED2"/>
    <w:rsid w:val="00227EDA"/>
    <w:rsid w:val="00227EDD"/>
    <w:rsid w:val="00227EDE"/>
    <w:rsid w:val="00227EEE"/>
    <w:rsid w:val="00227EF8"/>
    <w:rsid w:val="00227F17"/>
    <w:rsid w:val="00227F48"/>
    <w:rsid w:val="00227F6C"/>
    <w:rsid w:val="00227F89"/>
    <w:rsid w:val="00227F9E"/>
    <w:rsid w:val="00227FA9"/>
    <w:rsid w:val="00227FC0"/>
    <w:rsid w:val="00227FE2"/>
    <w:rsid w:val="00227FEE"/>
    <w:rsid w:val="0023001B"/>
    <w:rsid w:val="0023002B"/>
    <w:rsid w:val="002300AC"/>
    <w:rsid w:val="002300D2"/>
    <w:rsid w:val="002300E3"/>
    <w:rsid w:val="002300F6"/>
    <w:rsid w:val="00230139"/>
    <w:rsid w:val="00230148"/>
    <w:rsid w:val="002301B0"/>
    <w:rsid w:val="002301D7"/>
    <w:rsid w:val="002301E5"/>
    <w:rsid w:val="00230214"/>
    <w:rsid w:val="0023022A"/>
    <w:rsid w:val="00230251"/>
    <w:rsid w:val="00230270"/>
    <w:rsid w:val="0023028B"/>
    <w:rsid w:val="002302C3"/>
    <w:rsid w:val="002302C8"/>
    <w:rsid w:val="002302E3"/>
    <w:rsid w:val="0023033C"/>
    <w:rsid w:val="00230347"/>
    <w:rsid w:val="0023038B"/>
    <w:rsid w:val="002303AC"/>
    <w:rsid w:val="002303E2"/>
    <w:rsid w:val="00230428"/>
    <w:rsid w:val="00230490"/>
    <w:rsid w:val="002304A2"/>
    <w:rsid w:val="0023057A"/>
    <w:rsid w:val="002305B1"/>
    <w:rsid w:val="002305DB"/>
    <w:rsid w:val="0023062F"/>
    <w:rsid w:val="0023064A"/>
    <w:rsid w:val="0023064B"/>
    <w:rsid w:val="0023066A"/>
    <w:rsid w:val="00230680"/>
    <w:rsid w:val="002306B4"/>
    <w:rsid w:val="0023071B"/>
    <w:rsid w:val="00230773"/>
    <w:rsid w:val="002307A8"/>
    <w:rsid w:val="002307C1"/>
    <w:rsid w:val="00230813"/>
    <w:rsid w:val="0023081D"/>
    <w:rsid w:val="00230824"/>
    <w:rsid w:val="0023084C"/>
    <w:rsid w:val="00230883"/>
    <w:rsid w:val="002308B1"/>
    <w:rsid w:val="002308BB"/>
    <w:rsid w:val="002308EE"/>
    <w:rsid w:val="00230927"/>
    <w:rsid w:val="00230983"/>
    <w:rsid w:val="00230984"/>
    <w:rsid w:val="00230991"/>
    <w:rsid w:val="002309A4"/>
    <w:rsid w:val="002309C4"/>
    <w:rsid w:val="002309FC"/>
    <w:rsid w:val="00230A40"/>
    <w:rsid w:val="00230A41"/>
    <w:rsid w:val="00230A7A"/>
    <w:rsid w:val="00230A81"/>
    <w:rsid w:val="00230A89"/>
    <w:rsid w:val="00230A91"/>
    <w:rsid w:val="00230A9C"/>
    <w:rsid w:val="00230AFE"/>
    <w:rsid w:val="00230B4C"/>
    <w:rsid w:val="00230BB2"/>
    <w:rsid w:val="00230BC3"/>
    <w:rsid w:val="00230BD2"/>
    <w:rsid w:val="00230BDD"/>
    <w:rsid w:val="00230BF7"/>
    <w:rsid w:val="00230C0A"/>
    <w:rsid w:val="00230C14"/>
    <w:rsid w:val="00230C3B"/>
    <w:rsid w:val="00230C61"/>
    <w:rsid w:val="00230C66"/>
    <w:rsid w:val="00230C9B"/>
    <w:rsid w:val="00230C9D"/>
    <w:rsid w:val="00230CA2"/>
    <w:rsid w:val="00230D07"/>
    <w:rsid w:val="00230D89"/>
    <w:rsid w:val="00230DC7"/>
    <w:rsid w:val="00230DCA"/>
    <w:rsid w:val="00230DE6"/>
    <w:rsid w:val="00230E17"/>
    <w:rsid w:val="00230E2F"/>
    <w:rsid w:val="00230E60"/>
    <w:rsid w:val="00230E90"/>
    <w:rsid w:val="00230E92"/>
    <w:rsid w:val="00230EC5"/>
    <w:rsid w:val="0023107B"/>
    <w:rsid w:val="002310CC"/>
    <w:rsid w:val="002310CD"/>
    <w:rsid w:val="002310D7"/>
    <w:rsid w:val="002310D8"/>
    <w:rsid w:val="002310E9"/>
    <w:rsid w:val="002310EA"/>
    <w:rsid w:val="002310FE"/>
    <w:rsid w:val="0023110F"/>
    <w:rsid w:val="00231126"/>
    <w:rsid w:val="0023116B"/>
    <w:rsid w:val="00231179"/>
    <w:rsid w:val="00231182"/>
    <w:rsid w:val="002311A5"/>
    <w:rsid w:val="002312B1"/>
    <w:rsid w:val="00231309"/>
    <w:rsid w:val="00231324"/>
    <w:rsid w:val="0023137C"/>
    <w:rsid w:val="002313DA"/>
    <w:rsid w:val="002313DB"/>
    <w:rsid w:val="00231407"/>
    <w:rsid w:val="0023146C"/>
    <w:rsid w:val="002314A9"/>
    <w:rsid w:val="002314E4"/>
    <w:rsid w:val="00231538"/>
    <w:rsid w:val="0023154A"/>
    <w:rsid w:val="002315A7"/>
    <w:rsid w:val="002315B0"/>
    <w:rsid w:val="002315DF"/>
    <w:rsid w:val="002315FA"/>
    <w:rsid w:val="0023162A"/>
    <w:rsid w:val="0023162E"/>
    <w:rsid w:val="00231634"/>
    <w:rsid w:val="0023163B"/>
    <w:rsid w:val="0023165E"/>
    <w:rsid w:val="00231675"/>
    <w:rsid w:val="0023168A"/>
    <w:rsid w:val="00231694"/>
    <w:rsid w:val="00231699"/>
    <w:rsid w:val="002316A4"/>
    <w:rsid w:val="002316EF"/>
    <w:rsid w:val="00231748"/>
    <w:rsid w:val="0023175A"/>
    <w:rsid w:val="0023175F"/>
    <w:rsid w:val="00231769"/>
    <w:rsid w:val="002317A4"/>
    <w:rsid w:val="002317BB"/>
    <w:rsid w:val="002317C1"/>
    <w:rsid w:val="002317C2"/>
    <w:rsid w:val="00231811"/>
    <w:rsid w:val="00231829"/>
    <w:rsid w:val="00231847"/>
    <w:rsid w:val="00231865"/>
    <w:rsid w:val="002318AE"/>
    <w:rsid w:val="002318D5"/>
    <w:rsid w:val="002318DF"/>
    <w:rsid w:val="00231966"/>
    <w:rsid w:val="00231A07"/>
    <w:rsid w:val="00231A22"/>
    <w:rsid w:val="00231A63"/>
    <w:rsid w:val="00231A7C"/>
    <w:rsid w:val="00231A97"/>
    <w:rsid w:val="00231AA7"/>
    <w:rsid w:val="00231AE2"/>
    <w:rsid w:val="00231AEB"/>
    <w:rsid w:val="00231B4E"/>
    <w:rsid w:val="00231B96"/>
    <w:rsid w:val="00231BC3"/>
    <w:rsid w:val="00231BDF"/>
    <w:rsid w:val="00231C3C"/>
    <w:rsid w:val="00231C55"/>
    <w:rsid w:val="00231C79"/>
    <w:rsid w:val="00231CD2"/>
    <w:rsid w:val="00231D0C"/>
    <w:rsid w:val="00231D54"/>
    <w:rsid w:val="00231D5C"/>
    <w:rsid w:val="00231D9E"/>
    <w:rsid w:val="00231DD7"/>
    <w:rsid w:val="00231DDD"/>
    <w:rsid w:val="00231DE0"/>
    <w:rsid w:val="00231DFB"/>
    <w:rsid w:val="00231E02"/>
    <w:rsid w:val="00231E0B"/>
    <w:rsid w:val="00231E2F"/>
    <w:rsid w:val="00231E44"/>
    <w:rsid w:val="00231E64"/>
    <w:rsid w:val="00231E7D"/>
    <w:rsid w:val="00231E87"/>
    <w:rsid w:val="00231E8C"/>
    <w:rsid w:val="00231EA7"/>
    <w:rsid w:val="00231EC5"/>
    <w:rsid w:val="00231F57"/>
    <w:rsid w:val="00231F9E"/>
    <w:rsid w:val="00231FBE"/>
    <w:rsid w:val="00231FC2"/>
    <w:rsid w:val="00231FF0"/>
    <w:rsid w:val="00232017"/>
    <w:rsid w:val="00232043"/>
    <w:rsid w:val="002320BC"/>
    <w:rsid w:val="002320C6"/>
    <w:rsid w:val="002320E7"/>
    <w:rsid w:val="00232106"/>
    <w:rsid w:val="00232172"/>
    <w:rsid w:val="00232187"/>
    <w:rsid w:val="0023220F"/>
    <w:rsid w:val="0023221C"/>
    <w:rsid w:val="0023224B"/>
    <w:rsid w:val="002322C0"/>
    <w:rsid w:val="0023232B"/>
    <w:rsid w:val="00232330"/>
    <w:rsid w:val="0023234D"/>
    <w:rsid w:val="00232350"/>
    <w:rsid w:val="00232352"/>
    <w:rsid w:val="0023237D"/>
    <w:rsid w:val="002323F3"/>
    <w:rsid w:val="00232429"/>
    <w:rsid w:val="00232448"/>
    <w:rsid w:val="00232452"/>
    <w:rsid w:val="0023245A"/>
    <w:rsid w:val="0023245C"/>
    <w:rsid w:val="002324CB"/>
    <w:rsid w:val="002324FA"/>
    <w:rsid w:val="00232521"/>
    <w:rsid w:val="00232539"/>
    <w:rsid w:val="0023256A"/>
    <w:rsid w:val="00232574"/>
    <w:rsid w:val="0023257D"/>
    <w:rsid w:val="002325DA"/>
    <w:rsid w:val="002325FF"/>
    <w:rsid w:val="0023261F"/>
    <w:rsid w:val="0023262B"/>
    <w:rsid w:val="0023263D"/>
    <w:rsid w:val="0023264C"/>
    <w:rsid w:val="00232667"/>
    <w:rsid w:val="0023267D"/>
    <w:rsid w:val="0023269E"/>
    <w:rsid w:val="002326B2"/>
    <w:rsid w:val="002326B3"/>
    <w:rsid w:val="002326D7"/>
    <w:rsid w:val="002326F2"/>
    <w:rsid w:val="002326FA"/>
    <w:rsid w:val="00232703"/>
    <w:rsid w:val="00232712"/>
    <w:rsid w:val="0023274C"/>
    <w:rsid w:val="0023287E"/>
    <w:rsid w:val="00232887"/>
    <w:rsid w:val="0023289B"/>
    <w:rsid w:val="0023289F"/>
    <w:rsid w:val="002328A6"/>
    <w:rsid w:val="00232943"/>
    <w:rsid w:val="0023296D"/>
    <w:rsid w:val="002329AE"/>
    <w:rsid w:val="00232A16"/>
    <w:rsid w:val="00232A1F"/>
    <w:rsid w:val="00232A2C"/>
    <w:rsid w:val="00232A67"/>
    <w:rsid w:val="00232A86"/>
    <w:rsid w:val="00232AAC"/>
    <w:rsid w:val="00232AC5"/>
    <w:rsid w:val="00232AC7"/>
    <w:rsid w:val="00232ADD"/>
    <w:rsid w:val="00232AF2"/>
    <w:rsid w:val="00232B2F"/>
    <w:rsid w:val="00232B8E"/>
    <w:rsid w:val="00232BF2"/>
    <w:rsid w:val="00232C2D"/>
    <w:rsid w:val="00232C54"/>
    <w:rsid w:val="00232C8C"/>
    <w:rsid w:val="00232CB6"/>
    <w:rsid w:val="00232CE3"/>
    <w:rsid w:val="00232D0D"/>
    <w:rsid w:val="00232D42"/>
    <w:rsid w:val="00232D51"/>
    <w:rsid w:val="00232D58"/>
    <w:rsid w:val="00232DA3"/>
    <w:rsid w:val="00232DB6"/>
    <w:rsid w:val="00232E08"/>
    <w:rsid w:val="00232E42"/>
    <w:rsid w:val="00232EC1"/>
    <w:rsid w:val="00232EC5"/>
    <w:rsid w:val="00232F14"/>
    <w:rsid w:val="00232F39"/>
    <w:rsid w:val="00232F61"/>
    <w:rsid w:val="00232F6A"/>
    <w:rsid w:val="00232F72"/>
    <w:rsid w:val="00232F8F"/>
    <w:rsid w:val="00232F9F"/>
    <w:rsid w:val="00232FC6"/>
    <w:rsid w:val="0023304E"/>
    <w:rsid w:val="00233071"/>
    <w:rsid w:val="00233094"/>
    <w:rsid w:val="002330CA"/>
    <w:rsid w:val="002330D5"/>
    <w:rsid w:val="0023311A"/>
    <w:rsid w:val="0023314A"/>
    <w:rsid w:val="0023314C"/>
    <w:rsid w:val="0023314E"/>
    <w:rsid w:val="0023315E"/>
    <w:rsid w:val="00233193"/>
    <w:rsid w:val="002331A6"/>
    <w:rsid w:val="002331AE"/>
    <w:rsid w:val="002331DB"/>
    <w:rsid w:val="002331E7"/>
    <w:rsid w:val="00233217"/>
    <w:rsid w:val="0023324A"/>
    <w:rsid w:val="002332D7"/>
    <w:rsid w:val="002332F7"/>
    <w:rsid w:val="0023336D"/>
    <w:rsid w:val="00233383"/>
    <w:rsid w:val="0023338E"/>
    <w:rsid w:val="002333CD"/>
    <w:rsid w:val="00233401"/>
    <w:rsid w:val="00233405"/>
    <w:rsid w:val="0023347B"/>
    <w:rsid w:val="002334A9"/>
    <w:rsid w:val="002334BA"/>
    <w:rsid w:val="002334E4"/>
    <w:rsid w:val="002334EF"/>
    <w:rsid w:val="002334F2"/>
    <w:rsid w:val="00233564"/>
    <w:rsid w:val="002335B2"/>
    <w:rsid w:val="002335D2"/>
    <w:rsid w:val="002335D5"/>
    <w:rsid w:val="002335E6"/>
    <w:rsid w:val="002335EE"/>
    <w:rsid w:val="0023361A"/>
    <w:rsid w:val="00233687"/>
    <w:rsid w:val="0023368D"/>
    <w:rsid w:val="00233692"/>
    <w:rsid w:val="0023369C"/>
    <w:rsid w:val="002336CD"/>
    <w:rsid w:val="00233709"/>
    <w:rsid w:val="002337AF"/>
    <w:rsid w:val="002337B9"/>
    <w:rsid w:val="002337D3"/>
    <w:rsid w:val="00233819"/>
    <w:rsid w:val="0023386F"/>
    <w:rsid w:val="0023388B"/>
    <w:rsid w:val="0023389E"/>
    <w:rsid w:val="0023389F"/>
    <w:rsid w:val="002338EB"/>
    <w:rsid w:val="00233965"/>
    <w:rsid w:val="00233971"/>
    <w:rsid w:val="00233984"/>
    <w:rsid w:val="00233991"/>
    <w:rsid w:val="002339A8"/>
    <w:rsid w:val="002339C6"/>
    <w:rsid w:val="00233A02"/>
    <w:rsid w:val="00233A12"/>
    <w:rsid w:val="00233A69"/>
    <w:rsid w:val="00233A75"/>
    <w:rsid w:val="00233ABD"/>
    <w:rsid w:val="00233ABF"/>
    <w:rsid w:val="00233ACC"/>
    <w:rsid w:val="00233B2D"/>
    <w:rsid w:val="00233B45"/>
    <w:rsid w:val="00233BB0"/>
    <w:rsid w:val="00233C21"/>
    <w:rsid w:val="00233C3C"/>
    <w:rsid w:val="00233C84"/>
    <w:rsid w:val="00233CD3"/>
    <w:rsid w:val="00233CFF"/>
    <w:rsid w:val="00233D42"/>
    <w:rsid w:val="00233D56"/>
    <w:rsid w:val="00233D7D"/>
    <w:rsid w:val="00233E07"/>
    <w:rsid w:val="00233E1A"/>
    <w:rsid w:val="00233E58"/>
    <w:rsid w:val="00233E7C"/>
    <w:rsid w:val="00233E8F"/>
    <w:rsid w:val="00233ECA"/>
    <w:rsid w:val="00233F30"/>
    <w:rsid w:val="00233F57"/>
    <w:rsid w:val="00233F6A"/>
    <w:rsid w:val="00233F73"/>
    <w:rsid w:val="00233F96"/>
    <w:rsid w:val="00233FB0"/>
    <w:rsid w:val="00233FFA"/>
    <w:rsid w:val="00234025"/>
    <w:rsid w:val="002340A0"/>
    <w:rsid w:val="002340AD"/>
    <w:rsid w:val="00234104"/>
    <w:rsid w:val="00234159"/>
    <w:rsid w:val="00234162"/>
    <w:rsid w:val="00234172"/>
    <w:rsid w:val="002341E3"/>
    <w:rsid w:val="002341E5"/>
    <w:rsid w:val="002341F9"/>
    <w:rsid w:val="00234206"/>
    <w:rsid w:val="0023422B"/>
    <w:rsid w:val="00234238"/>
    <w:rsid w:val="00234253"/>
    <w:rsid w:val="00234273"/>
    <w:rsid w:val="002342BD"/>
    <w:rsid w:val="002342FD"/>
    <w:rsid w:val="00234310"/>
    <w:rsid w:val="00234338"/>
    <w:rsid w:val="00234370"/>
    <w:rsid w:val="00234384"/>
    <w:rsid w:val="0023438A"/>
    <w:rsid w:val="002343C0"/>
    <w:rsid w:val="002343C9"/>
    <w:rsid w:val="002343CD"/>
    <w:rsid w:val="0023440A"/>
    <w:rsid w:val="0023443C"/>
    <w:rsid w:val="0023448D"/>
    <w:rsid w:val="002344A3"/>
    <w:rsid w:val="002344A8"/>
    <w:rsid w:val="002344A9"/>
    <w:rsid w:val="002344B4"/>
    <w:rsid w:val="002344B5"/>
    <w:rsid w:val="002344F1"/>
    <w:rsid w:val="0023453E"/>
    <w:rsid w:val="0023456B"/>
    <w:rsid w:val="00234579"/>
    <w:rsid w:val="0023457C"/>
    <w:rsid w:val="0023457F"/>
    <w:rsid w:val="002345E8"/>
    <w:rsid w:val="002345FA"/>
    <w:rsid w:val="00234601"/>
    <w:rsid w:val="0023461E"/>
    <w:rsid w:val="00234680"/>
    <w:rsid w:val="002346BA"/>
    <w:rsid w:val="00234731"/>
    <w:rsid w:val="0023473B"/>
    <w:rsid w:val="00234753"/>
    <w:rsid w:val="00234792"/>
    <w:rsid w:val="002347C5"/>
    <w:rsid w:val="0023480F"/>
    <w:rsid w:val="0023481E"/>
    <w:rsid w:val="00234820"/>
    <w:rsid w:val="0023484F"/>
    <w:rsid w:val="0023487E"/>
    <w:rsid w:val="00234890"/>
    <w:rsid w:val="002348A8"/>
    <w:rsid w:val="002348AB"/>
    <w:rsid w:val="002348D0"/>
    <w:rsid w:val="002348E2"/>
    <w:rsid w:val="0023492F"/>
    <w:rsid w:val="00234976"/>
    <w:rsid w:val="00234989"/>
    <w:rsid w:val="002349F2"/>
    <w:rsid w:val="002349F9"/>
    <w:rsid w:val="002349FB"/>
    <w:rsid w:val="00234A1A"/>
    <w:rsid w:val="00234A91"/>
    <w:rsid w:val="00234AC8"/>
    <w:rsid w:val="00234B11"/>
    <w:rsid w:val="00234B14"/>
    <w:rsid w:val="00234B30"/>
    <w:rsid w:val="00234B36"/>
    <w:rsid w:val="00234B41"/>
    <w:rsid w:val="00234B4D"/>
    <w:rsid w:val="00234B5E"/>
    <w:rsid w:val="00234B63"/>
    <w:rsid w:val="00234B6D"/>
    <w:rsid w:val="00234B70"/>
    <w:rsid w:val="00234B8A"/>
    <w:rsid w:val="00234BA3"/>
    <w:rsid w:val="00234BAD"/>
    <w:rsid w:val="00234BDF"/>
    <w:rsid w:val="00234BE0"/>
    <w:rsid w:val="00234C0C"/>
    <w:rsid w:val="00234C29"/>
    <w:rsid w:val="00234C2F"/>
    <w:rsid w:val="00234C7B"/>
    <w:rsid w:val="00234CCA"/>
    <w:rsid w:val="00234CD1"/>
    <w:rsid w:val="00234CD5"/>
    <w:rsid w:val="00234D44"/>
    <w:rsid w:val="00234D57"/>
    <w:rsid w:val="00234DC6"/>
    <w:rsid w:val="00234DE8"/>
    <w:rsid w:val="00234DE9"/>
    <w:rsid w:val="00234E2A"/>
    <w:rsid w:val="00234E48"/>
    <w:rsid w:val="00234E61"/>
    <w:rsid w:val="00234E6B"/>
    <w:rsid w:val="00234E73"/>
    <w:rsid w:val="00234E7D"/>
    <w:rsid w:val="00234EBB"/>
    <w:rsid w:val="00234ED2"/>
    <w:rsid w:val="00234F1A"/>
    <w:rsid w:val="00234F66"/>
    <w:rsid w:val="00234F7E"/>
    <w:rsid w:val="00234FCF"/>
    <w:rsid w:val="00234FD3"/>
    <w:rsid w:val="00234FDC"/>
    <w:rsid w:val="00235029"/>
    <w:rsid w:val="00235060"/>
    <w:rsid w:val="00235062"/>
    <w:rsid w:val="00235080"/>
    <w:rsid w:val="002350A6"/>
    <w:rsid w:val="002350AE"/>
    <w:rsid w:val="002350BC"/>
    <w:rsid w:val="00235118"/>
    <w:rsid w:val="0023512F"/>
    <w:rsid w:val="00235190"/>
    <w:rsid w:val="002351CA"/>
    <w:rsid w:val="002351FA"/>
    <w:rsid w:val="0023520D"/>
    <w:rsid w:val="0023522D"/>
    <w:rsid w:val="002352CF"/>
    <w:rsid w:val="00235314"/>
    <w:rsid w:val="00235332"/>
    <w:rsid w:val="00235344"/>
    <w:rsid w:val="0023535F"/>
    <w:rsid w:val="00235363"/>
    <w:rsid w:val="0023538D"/>
    <w:rsid w:val="002353AB"/>
    <w:rsid w:val="002353AD"/>
    <w:rsid w:val="002353F7"/>
    <w:rsid w:val="0023542C"/>
    <w:rsid w:val="00235460"/>
    <w:rsid w:val="0023547C"/>
    <w:rsid w:val="002354AD"/>
    <w:rsid w:val="002354B9"/>
    <w:rsid w:val="002354CE"/>
    <w:rsid w:val="002354EF"/>
    <w:rsid w:val="00235534"/>
    <w:rsid w:val="00235569"/>
    <w:rsid w:val="00235609"/>
    <w:rsid w:val="00235655"/>
    <w:rsid w:val="0023567C"/>
    <w:rsid w:val="00235685"/>
    <w:rsid w:val="00235699"/>
    <w:rsid w:val="002356AE"/>
    <w:rsid w:val="002356D8"/>
    <w:rsid w:val="00235709"/>
    <w:rsid w:val="00235771"/>
    <w:rsid w:val="00235774"/>
    <w:rsid w:val="002357BF"/>
    <w:rsid w:val="002357D6"/>
    <w:rsid w:val="002357D9"/>
    <w:rsid w:val="002357E1"/>
    <w:rsid w:val="00235818"/>
    <w:rsid w:val="00235819"/>
    <w:rsid w:val="0023582C"/>
    <w:rsid w:val="0023584D"/>
    <w:rsid w:val="00235877"/>
    <w:rsid w:val="00235898"/>
    <w:rsid w:val="0023589B"/>
    <w:rsid w:val="002358D3"/>
    <w:rsid w:val="0023590E"/>
    <w:rsid w:val="002359B0"/>
    <w:rsid w:val="002359C1"/>
    <w:rsid w:val="00235A00"/>
    <w:rsid w:val="00235A6A"/>
    <w:rsid w:val="00235A76"/>
    <w:rsid w:val="00235A85"/>
    <w:rsid w:val="00235A97"/>
    <w:rsid w:val="00235A9F"/>
    <w:rsid w:val="00235AAC"/>
    <w:rsid w:val="00235AE7"/>
    <w:rsid w:val="00235AEF"/>
    <w:rsid w:val="00235AF8"/>
    <w:rsid w:val="00235B26"/>
    <w:rsid w:val="00235B31"/>
    <w:rsid w:val="00235B32"/>
    <w:rsid w:val="00235B77"/>
    <w:rsid w:val="00235B7A"/>
    <w:rsid w:val="00235BB9"/>
    <w:rsid w:val="00235BD6"/>
    <w:rsid w:val="00235BF5"/>
    <w:rsid w:val="00235BFC"/>
    <w:rsid w:val="00235C2E"/>
    <w:rsid w:val="00235C39"/>
    <w:rsid w:val="00235C65"/>
    <w:rsid w:val="00235C83"/>
    <w:rsid w:val="00235CA4"/>
    <w:rsid w:val="00235CD2"/>
    <w:rsid w:val="00235CF4"/>
    <w:rsid w:val="00235D12"/>
    <w:rsid w:val="00235D49"/>
    <w:rsid w:val="00235DCF"/>
    <w:rsid w:val="00235DE7"/>
    <w:rsid w:val="00235E75"/>
    <w:rsid w:val="00235E95"/>
    <w:rsid w:val="00235EB4"/>
    <w:rsid w:val="00235EF7"/>
    <w:rsid w:val="00235EFC"/>
    <w:rsid w:val="00235FC7"/>
    <w:rsid w:val="00235FD5"/>
    <w:rsid w:val="00235FEE"/>
    <w:rsid w:val="002360B8"/>
    <w:rsid w:val="002360DE"/>
    <w:rsid w:val="00236116"/>
    <w:rsid w:val="00236131"/>
    <w:rsid w:val="0023619F"/>
    <w:rsid w:val="002361A1"/>
    <w:rsid w:val="002361B6"/>
    <w:rsid w:val="002361DA"/>
    <w:rsid w:val="002361E1"/>
    <w:rsid w:val="00236217"/>
    <w:rsid w:val="00236250"/>
    <w:rsid w:val="00236291"/>
    <w:rsid w:val="002362B4"/>
    <w:rsid w:val="002362E3"/>
    <w:rsid w:val="0023631A"/>
    <w:rsid w:val="00236351"/>
    <w:rsid w:val="002363AD"/>
    <w:rsid w:val="002363EB"/>
    <w:rsid w:val="002363F5"/>
    <w:rsid w:val="00236411"/>
    <w:rsid w:val="0023643E"/>
    <w:rsid w:val="0023644B"/>
    <w:rsid w:val="0023649C"/>
    <w:rsid w:val="002364CD"/>
    <w:rsid w:val="002364EA"/>
    <w:rsid w:val="0023651E"/>
    <w:rsid w:val="00236557"/>
    <w:rsid w:val="00236598"/>
    <w:rsid w:val="002365A5"/>
    <w:rsid w:val="002365ED"/>
    <w:rsid w:val="002365FA"/>
    <w:rsid w:val="0023666B"/>
    <w:rsid w:val="00236681"/>
    <w:rsid w:val="002366E2"/>
    <w:rsid w:val="0023670B"/>
    <w:rsid w:val="00236753"/>
    <w:rsid w:val="002367E4"/>
    <w:rsid w:val="0023680D"/>
    <w:rsid w:val="0023683B"/>
    <w:rsid w:val="0023687F"/>
    <w:rsid w:val="00236888"/>
    <w:rsid w:val="002368B3"/>
    <w:rsid w:val="002368D0"/>
    <w:rsid w:val="002368EA"/>
    <w:rsid w:val="002368F1"/>
    <w:rsid w:val="002368FE"/>
    <w:rsid w:val="002369D3"/>
    <w:rsid w:val="00236A3A"/>
    <w:rsid w:val="00236A51"/>
    <w:rsid w:val="00236AD3"/>
    <w:rsid w:val="00236B26"/>
    <w:rsid w:val="00236B83"/>
    <w:rsid w:val="00236B8F"/>
    <w:rsid w:val="00236BD4"/>
    <w:rsid w:val="00236C29"/>
    <w:rsid w:val="00236C2B"/>
    <w:rsid w:val="00236D02"/>
    <w:rsid w:val="00236D30"/>
    <w:rsid w:val="00236D44"/>
    <w:rsid w:val="00236D62"/>
    <w:rsid w:val="00236DB9"/>
    <w:rsid w:val="00236DE2"/>
    <w:rsid w:val="00236DFD"/>
    <w:rsid w:val="00236E18"/>
    <w:rsid w:val="00236E98"/>
    <w:rsid w:val="00236EA8"/>
    <w:rsid w:val="00236EA9"/>
    <w:rsid w:val="00236EBB"/>
    <w:rsid w:val="00236ECA"/>
    <w:rsid w:val="00236EF9"/>
    <w:rsid w:val="00236F5F"/>
    <w:rsid w:val="00236F8D"/>
    <w:rsid w:val="00236F92"/>
    <w:rsid w:val="00236FD2"/>
    <w:rsid w:val="00236FDB"/>
    <w:rsid w:val="00236FE2"/>
    <w:rsid w:val="00236FE6"/>
    <w:rsid w:val="00237036"/>
    <w:rsid w:val="00237056"/>
    <w:rsid w:val="0023705C"/>
    <w:rsid w:val="00237076"/>
    <w:rsid w:val="0023707B"/>
    <w:rsid w:val="002370BC"/>
    <w:rsid w:val="002370E0"/>
    <w:rsid w:val="002370E8"/>
    <w:rsid w:val="002370FA"/>
    <w:rsid w:val="00237119"/>
    <w:rsid w:val="0023712D"/>
    <w:rsid w:val="00237142"/>
    <w:rsid w:val="00237153"/>
    <w:rsid w:val="002371DD"/>
    <w:rsid w:val="0023722E"/>
    <w:rsid w:val="0023728B"/>
    <w:rsid w:val="002372B2"/>
    <w:rsid w:val="002372DD"/>
    <w:rsid w:val="002372E5"/>
    <w:rsid w:val="002372E7"/>
    <w:rsid w:val="0023731D"/>
    <w:rsid w:val="00237350"/>
    <w:rsid w:val="0023737C"/>
    <w:rsid w:val="00237392"/>
    <w:rsid w:val="0023739B"/>
    <w:rsid w:val="002373C5"/>
    <w:rsid w:val="00237411"/>
    <w:rsid w:val="002374AD"/>
    <w:rsid w:val="002374DF"/>
    <w:rsid w:val="00237515"/>
    <w:rsid w:val="0023754D"/>
    <w:rsid w:val="0023755B"/>
    <w:rsid w:val="0023757A"/>
    <w:rsid w:val="0023757F"/>
    <w:rsid w:val="002375B5"/>
    <w:rsid w:val="002375F5"/>
    <w:rsid w:val="00237601"/>
    <w:rsid w:val="0023763E"/>
    <w:rsid w:val="00237682"/>
    <w:rsid w:val="00237698"/>
    <w:rsid w:val="0023769E"/>
    <w:rsid w:val="002376CA"/>
    <w:rsid w:val="00237756"/>
    <w:rsid w:val="0023775C"/>
    <w:rsid w:val="0023778F"/>
    <w:rsid w:val="00237798"/>
    <w:rsid w:val="002377A2"/>
    <w:rsid w:val="002377B9"/>
    <w:rsid w:val="00237819"/>
    <w:rsid w:val="00237832"/>
    <w:rsid w:val="0023783F"/>
    <w:rsid w:val="00237870"/>
    <w:rsid w:val="00237884"/>
    <w:rsid w:val="002378CB"/>
    <w:rsid w:val="002378D2"/>
    <w:rsid w:val="00237924"/>
    <w:rsid w:val="00237992"/>
    <w:rsid w:val="002379CE"/>
    <w:rsid w:val="00237A2F"/>
    <w:rsid w:val="00237A39"/>
    <w:rsid w:val="00237A48"/>
    <w:rsid w:val="00237A4E"/>
    <w:rsid w:val="00237A61"/>
    <w:rsid w:val="00237A7B"/>
    <w:rsid w:val="00237AA7"/>
    <w:rsid w:val="00237AAA"/>
    <w:rsid w:val="00237AF8"/>
    <w:rsid w:val="00237B2C"/>
    <w:rsid w:val="00237B4B"/>
    <w:rsid w:val="00237B6C"/>
    <w:rsid w:val="00237BA6"/>
    <w:rsid w:val="00237BB1"/>
    <w:rsid w:val="00237BE0"/>
    <w:rsid w:val="00237C12"/>
    <w:rsid w:val="00237C3E"/>
    <w:rsid w:val="00237C88"/>
    <w:rsid w:val="00237C98"/>
    <w:rsid w:val="00237CA9"/>
    <w:rsid w:val="00237CDE"/>
    <w:rsid w:val="00237CEF"/>
    <w:rsid w:val="00237D41"/>
    <w:rsid w:val="00237D73"/>
    <w:rsid w:val="00237D96"/>
    <w:rsid w:val="00237DB3"/>
    <w:rsid w:val="00237DB9"/>
    <w:rsid w:val="00237DBE"/>
    <w:rsid w:val="00237DFF"/>
    <w:rsid w:val="00237E10"/>
    <w:rsid w:val="00237E1D"/>
    <w:rsid w:val="00237E2C"/>
    <w:rsid w:val="00237E2E"/>
    <w:rsid w:val="00237E40"/>
    <w:rsid w:val="00237E4C"/>
    <w:rsid w:val="00237E59"/>
    <w:rsid w:val="00237EA7"/>
    <w:rsid w:val="00237EBD"/>
    <w:rsid w:val="00237EC5"/>
    <w:rsid w:val="00237EE4"/>
    <w:rsid w:val="00237EF0"/>
    <w:rsid w:val="00237EFA"/>
    <w:rsid w:val="00237EFE"/>
    <w:rsid w:val="00237F02"/>
    <w:rsid w:val="00237F3D"/>
    <w:rsid w:val="00237F7A"/>
    <w:rsid w:val="00237F9D"/>
    <w:rsid w:val="00237FD4"/>
    <w:rsid w:val="00237FDD"/>
    <w:rsid w:val="00237FE8"/>
    <w:rsid w:val="00237FEE"/>
    <w:rsid w:val="00237FF4"/>
    <w:rsid w:val="0024001A"/>
    <w:rsid w:val="0024001F"/>
    <w:rsid w:val="00240035"/>
    <w:rsid w:val="00240094"/>
    <w:rsid w:val="002400C8"/>
    <w:rsid w:val="0024017F"/>
    <w:rsid w:val="002401AC"/>
    <w:rsid w:val="002401BC"/>
    <w:rsid w:val="002401D2"/>
    <w:rsid w:val="002401F1"/>
    <w:rsid w:val="002401FE"/>
    <w:rsid w:val="00240236"/>
    <w:rsid w:val="00240273"/>
    <w:rsid w:val="002402B1"/>
    <w:rsid w:val="0024033F"/>
    <w:rsid w:val="0024039F"/>
    <w:rsid w:val="0024041B"/>
    <w:rsid w:val="00240443"/>
    <w:rsid w:val="00240448"/>
    <w:rsid w:val="0024046C"/>
    <w:rsid w:val="00240482"/>
    <w:rsid w:val="00240491"/>
    <w:rsid w:val="002404CE"/>
    <w:rsid w:val="002404F7"/>
    <w:rsid w:val="00240520"/>
    <w:rsid w:val="002405E8"/>
    <w:rsid w:val="002405E9"/>
    <w:rsid w:val="00240607"/>
    <w:rsid w:val="0024060C"/>
    <w:rsid w:val="0024060D"/>
    <w:rsid w:val="00240623"/>
    <w:rsid w:val="00240672"/>
    <w:rsid w:val="0024067F"/>
    <w:rsid w:val="0024069D"/>
    <w:rsid w:val="002406EF"/>
    <w:rsid w:val="0024076F"/>
    <w:rsid w:val="002407B8"/>
    <w:rsid w:val="002407C2"/>
    <w:rsid w:val="002407F0"/>
    <w:rsid w:val="002407FF"/>
    <w:rsid w:val="00240808"/>
    <w:rsid w:val="00240883"/>
    <w:rsid w:val="002408A9"/>
    <w:rsid w:val="002408B1"/>
    <w:rsid w:val="002408D3"/>
    <w:rsid w:val="00240935"/>
    <w:rsid w:val="00240947"/>
    <w:rsid w:val="0024094C"/>
    <w:rsid w:val="0024094F"/>
    <w:rsid w:val="00240997"/>
    <w:rsid w:val="002409ED"/>
    <w:rsid w:val="002409F4"/>
    <w:rsid w:val="002409F8"/>
    <w:rsid w:val="00240A2D"/>
    <w:rsid w:val="00240A4D"/>
    <w:rsid w:val="00240A55"/>
    <w:rsid w:val="00240A63"/>
    <w:rsid w:val="00240A69"/>
    <w:rsid w:val="00240A82"/>
    <w:rsid w:val="00240ABF"/>
    <w:rsid w:val="00240AD7"/>
    <w:rsid w:val="00240B1B"/>
    <w:rsid w:val="00240B26"/>
    <w:rsid w:val="00240B2E"/>
    <w:rsid w:val="00240B80"/>
    <w:rsid w:val="00240B9E"/>
    <w:rsid w:val="00240C00"/>
    <w:rsid w:val="00240C73"/>
    <w:rsid w:val="00240D27"/>
    <w:rsid w:val="00240D2F"/>
    <w:rsid w:val="00240D3B"/>
    <w:rsid w:val="00240DE6"/>
    <w:rsid w:val="00240E46"/>
    <w:rsid w:val="00240E48"/>
    <w:rsid w:val="00240E49"/>
    <w:rsid w:val="00240E91"/>
    <w:rsid w:val="00240EB3"/>
    <w:rsid w:val="00240EB4"/>
    <w:rsid w:val="00240F1A"/>
    <w:rsid w:val="00240F4F"/>
    <w:rsid w:val="00240F9E"/>
    <w:rsid w:val="00240FB6"/>
    <w:rsid w:val="00240FBA"/>
    <w:rsid w:val="00240FC9"/>
    <w:rsid w:val="00241041"/>
    <w:rsid w:val="00241052"/>
    <w:rsid w:val="00241073"/>
    <w:rsid w:val="00241076"/>
    <w:rsid w:val="002410C4"/>
    <w:rsid w:val="002410C9"/>
    <w:rsid w:val="002410D3"/>
    <w:rsid w:val="002410E3"/>
    <w:rsid w:val="00241151"/>
    <w:rsid w:val="00241155"/>
    <w:rsid w:val="00241175"/>
    <w:rsid w:val="0024118D"/>
    <w:rsid w:val="002411B9"/>
    <w:rsid w:val="0024123C"/>
    <w:rsid w:val="0024124A"/>
    <w:rsid w:val="0024124C"/>
    <w:rsid w:val="002412AC"/>
    <w:rsid w:val="002412B4"/>
    <w:rsid w:val="00241305"/>
    <w:rsid w:val="00241311"/>
    <w:rsid w:val="0024132B"/>
    <w:rsid w:val="00241356"/>
    <w:rsid w:val="00241369"/>
    <w:rsid w:val="0024136A"/>
    <w:rsid w:val="0024139D"/>
    <w:rsid w:val="002413C4"/>
    <w:rsid w:val="002413E1"/>
    <w:rsid w:val="0024141D"/>
    <w:rsid w:val="0024143D"/>
    <w:rsid w:val="0024148C"/>
    <w:rsid w:val="002414AB"/>
    <w:rsid w:val="002414B1"/>
    <w:rsid w:val="002414B7"/>
    <w:rsid w:val="002414FC"/>
    <w:rsid w:val="002414FF"/>
    <w:rsid w:val="0024150A"/>
    <w:rsid w:val="00241564"/>
    <w:rsid w:val="002415B6"/>
    <w:rsid w:val="00241602"/>
    <w:rsid w:val="00241639"/>
    <w:rsid w:val="00241685"/>
    <w:rsid w:val="002416C9"/>
    <w:rsid w:val="002416DC"/>
    <w:rsid w:val="002416F2"/>
    <w:rsid w:val="00241743"/>
    <w:rsid w:val="0024174E"/>
    <w:rsid w:val="002417D9"/>
    <w:rsid w:val="002417E8"/>
    <w:rsid w:val="002417F2"/>
    <w:rsid w:val="0024181A"/>
    <w:rsid w:val="0024182C"/>
    <w:rsid w:val="00241831"/>
    <w:rsid w:val="0024183C"/>
    <w:rsid w:val="00241858"/>
    <w:rsid w:val="00241882"/>
    <w:rsid w:val="00241893"/>
    <w:rsid w:val="00241910"/>
    <w:rsid w:val="00241916"/>
    <w:rsid w:val="0024196D"/>
    <w:rsid w:val="0024199C"/>
    <w:rsid w:val="0024199D"/>
    <w:rsid w:val="002419BE"/>
    <w:rsid w:val="002419FF"/>
    <w:rsid w:val="00241A08"/>
    <w:rsid w:val="00241A7F"/>
    <w:rsid w:val="00241A91"/>
    <w:rsid w:val="00241AA3"/>
    <w:rsid w:val="00241AE7"/>
    <w:rsid w:val="00241AEC"/>
    <w:rsid w:val="00241B10"/>
    <w:rsid w:val="00241B43"/>
    <w:rsid w:val="00241B60"/>
    <w:rsid w:val="00241B9D"/>
    <w:rsid w:val="00241BD9"/>
    <w:rsid w:val="00241C2F"/>
    <w:rsid w:val="00241C3D"/>
    <w:rsid w:val="00241C48"/>
    <w:rsid w:val="00241C51"/>
    <w:rsid w:val="00241C85"/>
    <w:rsid w:val="00241C92"/>
    <w:rsid w:val="00241C97"/>
    <w:rsid w:val="00241CAD"/>
    <w:rsid w:val="00241CB5"/>
    <w:rsid w:val="00241CBD"/>
    <w:rsid w:val="00241CCE"/>
    <w:rsid w:val="00241D28"/>
    <w:rsid w:val="00241D59"/>
    <w:rsid w:val="00241D6B"/>
    <w:rsid w:val="00241D6C"/>
    <w:rsid w:val="00241D70"/>
    <w:rsid w:val="00241D7A"/>
    <w:rsid w:val="00241D8A"/>
    <w:rsid w:val="00241DB6"/>
    <w:rsid w:val="00241DC5"/>
    <w:rsid w:val="00241DC6"/>
    <w:rsid w:val="00241DDD"/>
    <w:rsid w:val="00241E12"/>
    <w:rsid w:val="00241E1B"/>
    <w:rsid w:val="00241E34"/>
    <w:rsid w:val="00241E82"/>
    <w:rsid w:val="00241F24"/>
    <w:rsid w:val="00241F3E"/>
    <w:rsid w:val="00241F7B"/>
    <w:rsid w:val="00241F89"/>
    <w:rsid w:val="00241FEF"/>
    <w:rsid w:val="0024205F"/>
    <w:rsid w:val="0024208D"/>
    <w:rsid w:val="002420E2"/>
    <w:rsid w:val="00242123"/>
    <w:rsid w:val="0024212A"/>
    <w:rsid w:val="00242185"/>
    <w:rsid w:val="002421EC"/>
    <w:rsid w:val="002421EE"/>
    <w:rsid w:val="002421F3"/>
    <w:rsid w:val="002421F5"/>
    <w:rsid w:val="00242225"/>
    <w:rsid w:val="00242259"/>
    <w:rsid w:val="0024225B"/>
    <w:rsid w:val="00242261"/>
    <w:rsid w:val="0024227A"/>
    <w:rsid w:val="00242285"/>
    <w:rsid w:val="00242291"/>
    <w:rsid w:val="00242295"/>
    <w:rsid w:val="00242299"/>
    <w:rsid w:val="002422A4"/>
    <w:rsid w:val="002422AF"/>
    <w:rsid w:val="002422F9"/>
    <w:rsid w:val="0024233D"/>
    <w:rsid w:val="00242358"/>
    <w:rsid w:val="002423BB"/>
    <w:rsid w:val="002423FF"/>
    <w:rsid w:val="00242442"/>
    <w:rsid w:val="0024245B"/>
    <w:rsid w:val="0024249F"/>
    <w:rsid w:val="00242541"/>
    <w:rsid w:val="00242544"/>
    <w:rsid w:val="0024255C"/>
    <w:rsid w:val="0024259A"/>
    <w:rsid w:val="002425DD"/>
    <w:rsid w:val="0024260C"/>
    <w:rsid w:val="00242624"/>
    <w:rsid w:val="00242626"/>
    <w:rsid w:val="00242645"/>
    <w:rsid w:val="002426DE"/>
    <w:rsid w:val="00242721"/>
    <w:rsid w:val="0024273A"/>
    <w:rsid w:val="0024278B"/>
    <w:rsid w:val="00242798"/>
    <w:rsid w:val="002427BC"/>
    <w:rsid w:val="0024280C"/>
    <w:rsid w:val="0024283E"/>
    <w:rsid w:val="00242841"/>
    <w:rsid w:val="00242845"/>
    <w:rsid w:val="0024284D"/>
    <w:rsid w:val="0024284E"/>
    <w:rsid w:val="00242883"/>
    <w:rsid w:val="00242898"/>
    <w:rsid w:val="002428F2"/>
    <w:rsid w:val="00242906"/>
    <w:rsid w:val="00242907"/>
    <w:rsid w:val="0024290B"/>
    <w:rsid w:val="0024297D"/>
    <w:rsid w:val="002429B7"/>
    <w:rsid w:val="002429CF"/>
    <w:rsid w:val="002429EA"/>
    <w:rsid w:val="00242ACF"/>
    <w:rsid w:val="00242AF9"/>
    <w:rsid w:val="00242B0A"/>
    <w:rsid w:val="00242B32"/>
    <w:rsid w:val="00242B71"/>
    <w:rsid w:val="00242B8F"/>
    <w:rsid w:val="00242BD7"/>
    <w:rsid w:val="00242C04"/>
    <w:rsid w:val="00242C14"/>
    <w:rsid w:val="00242C17"/>
    <w:rsid w:val="00242C23"/>
    <w:rsid w:val="00242C2F"/>
    <w:rsid w:val="00242C5D"/>
    <w:rsid w:val="00242CDC"/>
    <w:rsid w:val="00242CF9"/>
    <w:rsid w:val="00242CFA"/>
    <w:rsid w:val="00242D1E"/>
    <w:rsid w:val="00242D25"/>
    <w:rsid w:val="00242D3D"/>
    <w:rsid w:val="00242D5F"/>
    <w:rsid w:val="00242D9C"/>
    <w:rsid w:val="00242DF0"/>
    <w:rsid w:val="00242E60"/>
    <w:rsid w:val="00242E7C"/>
    <w:rsid w:val="00242E7D"/>
    <w:rsid w:val="00242E8E"/>
    <w:rsid w:val="00242EA2"/>
    <w:rsid w:val="00242EBB"/>
    <w:rsid w:val="00242EE1"/>
    <w:rsid w:val="00242EF0"/>
    <w:rsid w:val="00242F25"/>
    <w:rsid w:val="00242F3C"/>
    <w:rsid w:val="00242F54"/>
    <w:rsid w:val="00242F5C"/>
    <w:rsid w:val="00242F7E"/>
    <w:rsid w:val="00242FD4"/>
    <w:rsid w:val="00243019"/>
    <w:rsid w:val="00243032"/>
    <w:rsid w:val="00243047"/>
    <w:rsid w:val="00243078"/>
    <w:rsid w:val="00243099"/>
    <w:rsid w:val="002430BA"/>
    <w:rsid w:val="0024315F"/>
    <w:rsid w:val="0024316B"/>
    <w:rsid w:val="002431B4"/>
    <w:rsid w:val="0024323F"/>
    <w:rsid w:val="00243249"/>
    <w:rsid w:val="0024328C"/>
    <w:rsid w:val="0024329C"/>
    <w:rsid w:val="002432AA"/>
    <w:rsid w:val="002432F9"/>
    <w:rsid w:val="00243337"/>
    <w:rsid w:val="00243354"/>
    <w:rsid w:val="00243360"/>
    <w:rsid w:val="00243367"/>
    <w:rsid w:val="0024338C"/>
    <w:rsid w:val="00243397"/>
    <w:rsid w:val="00243417"/>
    <w:rsid w:val="00243491"/>
    <w:rsid w:val="002434E9"/>
    <w:rsid w:val="00243500"/>
    <w:rsid w:val="00243565"/>
    <w:rsid w:val="00243582"/>
    <w:rsid w:val="002435E0"/>
    <w:rsid w:val="00243616"/>
    <w:rsid w:val="00243692"/>
    <w:rsid w:val="002436F8"/>
    <w:rsid w:val="00243718"/>
    <w:rsid w:val="002437F0"/>
    <w:rsid w:val="00243835"/>
    <w:rsid w:val="00243895"/>
    <w:rsid w:val="002438B3"/>
    <w:rsid w:val="002438EB"/>
    <w:rsid w:val="002438F6"/>
    <w:rsid w:val="00243924"/>
    <w:rsid w:val="00243931"/>
    <w:rsid w:val="00243952"/>
    <w:rsid w:val="00243978"/>
    <w:rsid w:val="0024399C"/>
    <w:rsid w:val="00243A04"/>
    <w:rsid w:val="00243A27"/>
    <w:rsid w:val="00243A50"/>
    <w:rsid w:val="00243A81"/>
    <w:rsid w:val="00243A94"/>
    <w:rsid w:val="00243B40"/>
    <w:rsid w:val="00243B55"/>
    <w:rsid w:val="00243BF0"/>
    <w:rsid w:val="00243C68"/>
    <w:rsid w:val="00243CCD"/>
    <w:rsid w:val="00243D20"/>
    <w:rsid w:val="00243D41"/>
    <w:rsid w:val="00243E15"/>
    <w:rsid w:val="00243E17"/>
    <w:rsid w:val="00243E20"/>
    <w:rsid w:val="00243E56"/>
    <w:rsid w:val="00243EA7"/>
    <w:rsid w:val="00243EB4"/>
    <w:rsid w:val="00243EBE"/>
    <w:rsid w:val="00243EF0"/>
    <w:rsid w:val="00243F3F"/>
    <w:rsid w:val="00243F97"/>
    <w:rsid w:val="00243FA5"/>
    <w:rsid w:val="00243FDE"/>
    <w:rsid w:val="00243FEE"/>
    <w:rsid w:val="00243FF0"/>
    <w:rsid w:val="002440B0"/>
    <w:rsid w:val="002440BE"/>
    <w:rsid w:val="002440D6"/>
    <w:rsid w:val="002440D8"/>
    <w:rsid w:val="00244183"/>
    <w:rsid w:val="00244197"/>
    <w:rsid w:val="002441A2"/>
    <w:rsid w:val="002441B1"/>
    <w:rsid w:val="002441CD"/>
    <w:rsid w:val="002441D1"/>
    <w:rsid w:val="00244219"/>
    <w:rsid w:val="0024426E"/>
    <w:rsid w:val="00244274"/>
    <w:rsid w:val="00244298"/>
    <w:rsid w:val="0024429E"/>
    <w:rsid w:val="002442B7"/>
    <w:rsid w:val="00244309"/>
    <w:rsid w:val="0024434D"/>
    <w:rsid w:val="00244366"/>
    <w:rsid w:val="0024438E"/>
    <w:rsid w:val="002443B0"/>
    <w:rsid w:val="002443BB"/>
    <w:rsid w:val="002443C2"/>
    <w:rsid w:val="00244409"/>
    <w:rsid w:val="0024444E"/>
    <w:rsid w:val="00244466"/>
    <w:rsid w:val="00244484"/>
    <w:rsid w:val="002444B0"/>
    <w:rsid w:val="002444BF"/>
    <w:rsid w:val="002444F5"/>
    <w:rsid w:val="00244546"/>
    <w:rsid w:val="00244556"/>
    <w:rsid w:val="00244563"/>
    <w:rsid w:val="0024456B"/>
    <w:rsid w:val="00244577"/>
    <w:rsid w:val="002445F2"/>
    <w:rsid w:val="00244621"/>
    <w:rsid w:val="002446E3"/>
    <w:rsid w:val="00244704"/>
    <w:rsid w:val="00244777"/>
    <w:rsid w:val="00244798"/>
    <w:rsid w:val="002447C1"/>
    <w:rsid w:val="0024481D"/>
    <w:rsid w:val="00244823"/>
    <w:rsid w:val="0024483E"/>
    <w:rsid w:val="00244853"/>
    <w:rsid w:val="00244872"/>
    <w:rsid w:val="00244898"/>
    <w:rsid w:val="002448B7"/>
    <w:rsid w:val="00244920"/>
    <w:rsid w:val="0024492B"/>
    <w:rsid w:val="00244945"/>
    <w:rsid w:val="00244952"/>
    <w:rsid w:val="0024497F"/>
    <w:rsid w:val="002449BA"/>
    <w:rsid w:val="002449ED"/>
    <w:rsid w:val="00244A32"/>
    <w:rsid w:val="00244A7E"/>
    <w:rsid w:val="00244AA6"/>
    <w:rsid w:val="00244B05"/>
    <w:rsid w:val="00244B06"/>
    <w:rsid w:val="00244B50"/>
    <w:rsid w:val="00244B60"/>
    <w:rsid w:val="00244BAC"/>
    <w:rsid w:val="00244BAD"/>
    <w:rsid w:val="00244BB0"/>
    <w:rsid w:val="00244BB1"/>
    <w:rsid w:val="00244BBF"/>
    <w:rsid w:val="00244BD7"/>
    <w:rsid w:val="00244C4A"/>
    <w:rsid w:val="00244C96"/>
    <w:rsid w:val="00244CDD"/>
    <w:rsid w:val="00244D72"/>
    <w:rsid w:val="00244D7F"/>
    <w:rsid w:val="00244D83"/>
    <w:rsid w:val="00244D96"/>
    <w:rsid w:val="00244DEC"/>
    <w:rsid w:val="00244DF4"/>
    <w:rsid w:val="00244E0C"/>
    <w:rsid w:val="00244EA1"/>
    <w:rsid w:val="00244EB8"/>
    <w:rsid w:val="00244F43"/>
    <w:rsid w:val="00244F7E"/>
    <w:rsid w:val="00244FBA"/>
    <w:rsid w:val="0024500B"/>
    <w:rsid w:val="00245012"/>
    <w:rsid w:val="00245037"/>
    <w:rsid w:val="0024507B"/>
    <w:rsid w:val="002450FB"/>
    <w:rsid w:val="00245110"/>
    <w:rsid w:val="0024511B"/>
    <w:rsid w:val="00245155"/>
    <w:rsid w:val="0024517D"/>
    <w:rsid w:val="00245186"/>
    <w:rsid w:val="00245190"/>
    <w:rsid w:val="002451E3"/>
    <w:rsid w:val="0024524A"/>
    <w:rsid w:val="0024525A"/>
    <w:rsid w:val="002452AE"/>
    <w:rsid w:val="002452D6"/>
    <w:rsid w:val="00245323"/>
    <w:rsid w:val="0024532A"/>
    <w:rsid w:val="0024532C"/>
    <w:rsid w:val="00245340"/>
    <w:rsid w:val="00245379"/>
    <w:rsid w:val="002453CE"/>
    <w:rsid w:val="002453FE"/>
    <w:rsid w:val="0024546A"/>
    <w:rsid w:val="00245476"/>
    <w:rsid w:val="002454C0"/>
    <w:rsid w:val="002454F6"/>
    <w:rsid w:val="0024550B"/>
    <w:rsid w:val="00245593"/>
    <w:rsid w:val="002455CF"/>
    <w:rsid w:val="00245607"/>
    <w:rsid w:val="00245618"/>
    <w:rsid w:val="00245621"/>
    <w:rsid w:val="0024562E"/>
    <w:rsid w:val="00245683"/>
    <w:rsid w:val="002456BE"/>
    <w:rsid w:val="002456F0"/>
    <w:rsid w:val="002457CC"/>
    <w:rsid w:val="00245815"/>
    <w:rsid w:val="0024583B"/>
    <w:rsid w:val="00245868"/>
    <w:rsid w:val="002458D0"/>
    <w:rsid w:val="00245939"/>
    <w:rsid w:val="0024593B"/>
    <w:rsid w:val="0024593F"/>
    <w:rsid w:val="002459DC"/>
    <w:rsid w:val="002459F8"/>
    <w:rsid w:val="00245A21"/>
    <w:rsid w:val="00245A2A"/>
    <w:rsid w:val="00245A33"/>
    <w:rsid w:val="00245A34"/>
    <w:rsid w:val="00245A72"/>
    <w:rsid w:val="00245AA2"/>
    <w:rsid w:val="00245AC2"/>
    <w:rsid w:val="00245AFD"/>
    <w:rsid w:val="00245B04"/>
    <w:rsid w:val="00245B11"/>
    <w:rsid w:val="00245B15"/>
    <w:rsid w:val="00245B25"/>
    <w:rsid w:val="00245B2A"/>
    <w:rsid w:val="00245BC4"/>
    <w:rsid w:val="00245C09"/>
    <w:rsid w:val="00245C5A"/>
    <w:rsid w:val="00245C5E"/>
    <w:rsid w:val="00245C7D"/>
    <w:rsid w:val="00245C9C"/>
    <w:rsid w:val="00245C9E"/>
    <w:rsid w:val="00245CBB"/>
    <w:rsid w:val="00245CBD"/>
    <w:rsid w:val="00245CCF"/>
    <w:rsid w:val="00245CD7"/>
    <w:rsid w:val="00245D25"/>
    <w:rsid w:val="00245D9C"/>
    <w:rsid w:val="00245DA7"/>
    <w:rsid w:val="00245DAE"/>
    <w:rsid w:val="00245DCD"/>
    <w:rsid w:val="00245E0A"/>
    <w:rsid w:val="00245E33"/>
    <w:rsid w:val="00245E3B"/>
    <w:rsid w:val="00245E3C"/>
    <w:rsid w:val="00245E44"/>
    <w:rsid w:val="00245E4B"/>
    <w:rsid w:val="00245EB7"/>
    <w:rsid w:val="00245F45"/>
    <w:rsid w:val="00245F63"/>
    <w:rsid w:val="00245F8A"/>
    <w:rsid w:val="00245FDB"/>
    <w:rsid w:val="00245FDD"/>
    <w:rsid w:val="0024605D"/>
    <w:rsid w:val="002460B3"/>
    <w:rsid w:val="002460FD"/>
    <w:rsid w:val="0024610C"/>
    <w:rsid w:val="0024619C"/>
    <w:rsid w:val="002461D4"/>
    <w:rsid w:val="00246215"/>
    <w:rsid w:val="00246249"/>
    <w:rsid w:val="002462A7"/>
    <w:rsid w:val="002462B4"/>
    <w:rsid w:val="002462C7"/>
    <w:rsid w:val="0024632F"/>
    <w:rsid w:val="00246356"/>
    <w:rsid w:val="00246361"/>
    <w:rsid w:val="00246376"/>
    <w:rsid w:val="0024637C"/>
    <w:rsid w:val="0024637E"/>
    <w:rsid w:val="002463B4"/>
    <w:rsid w:val="002463EB"/>
    <w:rsid w:val="00246441"/>
    <w:rsid w:val="00246449"/>
    <w:rsid w:val="00246484"/>
    <w:rsid w:val="002464D8"/>
    <w:rsid w:val="002464FC"/>
    <w:rsid w:val="00246543"/>
    <w:rsid w:val="0024658C"/>
    <w:rsid w:val="002465E5"/>
    <w:rsid w:val="00246619"/>
    <w:rsid w:val="00246749"/>
    <w:rsid w:val="00246757"/>
    <w:rsid w:val="00246796"/>
    <w:rsid w:val="00246830"/>
    <w:rsid w:val="002468B6"/>
    <w:rsid w:val="002468CC"/>
    <w:rsid w:val="00246928"/>
    <w:rsid w:val="00246934"/>
    <w:rsid w:val="0024693E"/>
    <w:rsid w:val="0024695B"/>
    <w:rsid w:val="00246963"/>
    <w:rsid w:val="00246988"/>
    <w:rsid w:val="002469EE"/>
    <w:rsid w:val="00246ABD"/>
    <w:rsid w:val="00246AD7"/>
    <w:rsid w:val="00246AE2"/>
    <w:rsid w:val="00246AF5"/>
    <w:rsid w:val="00246B17"/>
    <w:rsid w:val="00246B5C"/>
    <w:rsid w:val="00246B5E"/>
    <w:rsid w:val="00246B7C"/>
    <w:rsid w:val="00246BC5"/>
    <w:rsid w:val="00246BEC"/>
    <w:rsid w:val="00246C2F"/>
    <w:rsid w:val="00246C69"/>
    <w:rsid w:val="00246C6C"/>
    <w:rsid w:val="00246CEA"/>
    <w:rsid w:val="00246D38"/>
    <w:rsid w:val="00246D5C"/>
    <w:rsid w:val="00246D61"/>
    <w:rsid w:val="00246DA4"/>
    <w:rsid w:val="00246DB2"/>
    <w:rsid w:val="00246DCE"/>
    <w:rsid w:val="00246DE4"/>
    <w:rsid w:val="00246E0E"/>
    <w:rsid w:val="00246E4D"/>
    <w:rsid w:val="00246ED7"/>
    <w:rsid w:val="00246F89"/>
    <w:rsid w:val="00246F8E"/>
    <w:rsid w:val="00246FCE"/>
    <w:rsid w:val="00246FF6"/>
    <w:rsid w:val="0024704B"/>
    <w:rsid w:val="00247077"/>
    <w:rsid w:val="00247126"/>
    <w:rsid w:val="00247197"/>
    <w:rsid w:val="002471AB"/>
    <w:rsid w:val="002471BA"/>
    <w:rsid w:val="002471E0"/>
    <w:rsid w:val="00247231"/>
    <w:rsid w:val="00247237"/>
    <w:rsid w:val="00247260"/>
    <w:rsid w:val="0024729B"/>
    <w:rsid w:val="002472A1"/>
    <w:rsid w:val="002472B2"/>
    <w:rsid w:val="0024730D"/>
    <w:rsid w:val="0024734D"/>
    <w:rsid w:val="00247377"/>
    <w:rsid w:val="0024737F"/>
    <w:rsid w:val="002473D4"/>
    <w:rsid w:val="002473DA"/>
    <w:rsid w:val="00247427"/>
    <w:rsid w:val="002474B8"/>
    <w:rsid w:val="002474C2"/>
    <w:rsid w:val="002474DA"/>
    <w:rsid w:val="0024753E"/>
    <w:rsid w:val="0024755A"/>
    <w:rsid w:val="00247586"/>
    <w:rsid w:val="002475A5"/>
    <w:rsid w:val="002475E4"/>
    <w:rsid w:val="0024763A"/>
    <w:rsid w:val="0024764D"/>
    <w:rsid w:val="0024765C"/>
    <w:rsid w:val="002476BB"/>
    <w:rsid w:val="002476D2"/>
    <w:rsid w:val="002476D9"/>
    <w:rsid w:val="002476F4"/>
    <w:rsid w:val="00247750"/>
    <w:rsid w:val="00247766"/>
    <w:rsid w:val="0024778E"/>
    <w:rsid w:val="0024784C"/>
    <w:rsid w:val="0024785B"/>
    <w:rsid w:val="0024787A"/>
    <w:rsid w:val="0024788D"/>
    <w:rsid w:val="002478CD"/>
    <w:rsid w:val="00247950"/>
    <w:rsid w:val="00247956"/>
    <w:rsid w:val="00247962"/>
    <w:rsid w:val="002479C5"/>
    <w:rsid w:val="002479E0"/>
    <w:rsid w:val="002479E8"/>
    <w:rsid w:val="002479F4"/>
    <w:rsid w:val="00247A14"/>
    <w:rsid w:val="00247A19"/>
    <w:rsid w:val="00247A1D"/>
    <w:rsid w:val="00247A1F"/>
    <w:rsid w:val="00247A46"/>
    <w:rsid w:val="00247A80"/>
    <w:rsid w:val="00247AB5"/>
    <w:rsid w:val="00247ABD"/>
    <w:rsid w:val="00247AD5"/>
    <w:rsid w:val="00247AFC"/>
    <w:rsid w:val="00247B02"/>
    <w:rsid w:val="00247B04"/>
    <w:rsid w:val="00247B70"/>
    <w:rsid w:val="00247BA0"/>
    <w:rsid w:val="00247BF0"/>
    <w:rsid w:val="00247C07"/>
    <w:rsid w:val="00247C1F"/>
    <w:rsid w:val="00247C35"/>
    <w:rsid w:val="00247C58"/>
    <w:rsid w:val="00247C67"/>
    <w:rsid w:val="00247CA0"/>
    <w:rsid w:val="00247D08"/>
    <w:rsid w:val="00247D32"/>
    <w:rsid w:val="00247D94"/>
    <w:rsid w:val="00247E22"/>
    <w:rsid w:val="00247E31"/>
    <w:rsid w:val="00247EB4"/>
    <w:rsid w:val="00247EC1"/>
    <w:rsid w:val="00247EDE"/>
    <w:rsid w:val="00247EFF"/>
    <w:rsid w:val="00247F14"/>
    <w:rsid w:val="00247F4B"/>
    <w:rsid w:val="00247F61"/>
    <w:rsid w:val="00247F73"/>
    <w:rsid w:val="00247FB4"/>
    <w:rsid w:val="0025000A"/>
    <w:rsid w:val="0025001E"/>
    <w:rsid w:val="00250093"/>
    <w:rsid w:val="00250099"/>
    <w:rsid w:val="0025009E"/>
    <w:rsid w:val="00250152"/>
    <w:rsid w:val="00250169"/>
    <w:rsid w:val="0025016C"/>
    <w:rsid w:val="00250180"/>
    <w:rsid w:val="0025018A"/>
    <w:rsid w:val="002501A1"/>
    <w:rsid w:val="002501A9"/>
    <w:rsid w:val="002501B4"/>
    <w:rsid w:val="00250230"/>
    <w:rsid w:val="00250243"/>
    <w:rsid w:val="0025024D"/>
    <w:rsid w:val="0025024E"/>
    <w:rsid w:val="00250272"/>
    <w:rsid w:val="0025032A"/>
    <w:rsid w:val="00250363"/>
    <w:rsid w:val="00250368"/>
    <w:rsid w:val="0025036B"/>
    <w:rsid w:val="002503D9"/>
    <w:rsid w:val="00250445"/>
    <w:rsid w:val="00250446"/>
    <w:rsid w:val="0025044D"/>
    <w:rsid w:val="00250469"/>
    <w:rsid w:val="002504B7"/>
    <w:rsid w:val="002504D7"/>
    <w:rsid w:val="0025050D"/>
    <w:rsid w:val="00250510"/>
    <w:rsid w:val="00250521"/>
    <w:rsid w:val="00250577"/>
    <w:rsid w:val="002505A2"/>
    <w:rsid w:val="00250609"/>
    <w:rsid w:val="0025062E"/>
    <w:rsid w:val="00250642"/>
    <w:rsid w:val="0025066B"/>
    <w:rsid w:val="002506EE"/>
    <w:rsid w:val="00250774"/>
    <w:rsid w:val="0025077A"/>
    <w:rsid w:val="002507DC"/>
    <w:rsid w:val="002507F5"/>
    <w:rsid w:val="0025085A"/>
    <w:rsid w:val="002508B1"/>
    <w:rsid w:val="002508ED"/>
    <w:rsid w:val="00250900"/>
    <w:rsid w:val="00250922"/>
    <w:rsid w:val="0025092F"/>
    <w:rsid w:val="0025097D"/>
    <w:rsid w:val="002509B8"/>
    <w:rsid w:val="002509D2"/>
    <w:rsid w:val="002509F8"/>
    <w:rsid w:val="00250A15"/>
    <w:rsid w:val="00250A1B"/>
    <w:rsid w:val="00250A49"/>
    <w:rsid w:val="00250A59"/>
    <w:rsid w:val="00250ADB"/>
    <w:rsid w:val="00250ADD"/>
    <w:rsid w:val="00250AF5"/>
    <w:rsid w:val="00250B16"/>
    <w:rsid w:val="00250B1C"/>
    <w:rsid w:val="00250B21"/>
    <w:rsid w:val="00250B46"/>
    <w:rsid w:val="00250B54"/>
    <w:rsid w:val="00250BB3"/>
    <w:rsid w:val="00250BC1"/>
    <w:rsid w:val="00250BE3"/>
    <w:rsid w:val="00250C0B"/>
    <w:rsid w:val="00250C2F"/>
    <w:rsid w:val="00250CF3"/>
    <w:rsid w:val="00250D0A"/>
    <w:rsid w:val="00250D23"/>
    <w:rsid w:val="00250D69"/>
    <w:rsid w:val="00250DF4"/>
    <w:rsid w:val="00250DFF"/>
    <w:rsid w:val="00250E85"/>
    <w:rsid w:val="00250E8C"/>
    <w:rsid w:val="00250E97"/>
    <w:rsid w:val="00250EBE"/>
    <w:rsid w:val="00250F15"/>
    <w:rsid w:val="00250F5C"/>
    <w:rsid w:val="00250FC6"/>
    <w:rsid w:val="00250FE5"/>
    <w:rsid w:val="00250FF1"/>
    <w:rsid w:val="00250FFB"/>
    <w:rsid w:val="00251000"/>
    <w:rsid w:val="0025103A"/>
    <w:rsid w:val="0025106C"/>
    <w:rsid w:val="002510A2"/>
    <w:rsid w:val="002510F7"/>
    <w:rsid w:val="0025111B"/>
    <w:rsid w:val="00251136"/>
    <w:rsid w:val="00251140"/>
    <w:rsid w:val="0025114B"/>
    <w:rsid w:val="00251153"/>
    <w:rsid w:val="0025118C"/>
    <w:rsid w:val="002511AD"/>
    <w:rsid w:val="002511C3"/>
    <w:rsid w:val="0025121E"/>
    <w:rsid w:val="002512AC"/>
    <w:rsid w:val="0025132A"/>
    <w:rsid w:val="00251352"/>
    <w:rsid w:val="002513B7"/>
    <w:rsid w:val="002513F5"/>
    <w:rsid w:val="00251416"/>
    <w:rsid w:val="00251456"/>
    <w:rsid w:val="0025149A"/>
    <w:rsid w:val="002514A1"/>
    <w:rsid w:val="002514CB"/>
    <w:rsid w:val="002514E0"/>
    <w:rsid w:val="00251588"/>
    <w:rsid w:val="002515A3"/>
    <w:rsid w:val="002515EA"/>
    <w:rsid w:val="0025175F"/>
    <w:rsid w:val="002517DD"/>
    <w:rsid w:val="002517F6"/>
    <w:rsid w:val="0025183C"/>
    <w:rsid w:val="00251870"/>
    <w:rsid w:val="002518C2"/>
    <w:rsid w:val="002518C9"/>
    <w:rsid w:val="002518CA"/>
    <w:rsid w:val="002518F0"/>
    <w:rsid w:val="00251919"/>
    <w:rsid w:val="00251967"/>
    <w:rsid w:val="00251993"/>
    <w:rsid w:val="00251998"/>
    <w:rsid w:val="002519E8"/>
    <w:rsid w:val="00251A30"/>
    <w:rsid w:val="00251A32"/>
    <w:rsid w:val="00251A75"/>
    <w:rsid w:val="00251A86"/>
    <w:rsid w:val="00251A8A"/>
    <w:rsid w:val="00251AD5"/>
    <w:rsid w:val="00251AF3"/>
    <w:rsid w:val="00251B21"/>
    <w:rsid w:val="00251B77"/>
    <w:rsid w:val="00251B87"/>
    <w:rsid w:val="00251BA3"/>
    <w:rsid w:val="00251BDC"/>
    <w:rsid w:val="00251BE7"/>
    <w:rsid w:val="00251BEA"/>
    <w:rsid w:val="00251BEF"/>
    <w:rsid w:val="00251C09"/>
    <w:rsid w:val="00251C1D"/>
    <w:rsid w:val="00251C93"/>
    <w:rsid w:val="00251CA0"/>
    <w:rsid w:val="00251CD1"/>
    <w:rsid w:val="00251CE4"/>
    <w:rsid w:val="00251CFE"/>
    <w:rsid w:val="00251CFF"/>
    <w:rsid w:val="00251D26"/>
    <w:rsid w:val="00251D46"/>
    <w:rsid w:val="00251D62"/>
    <w:rsid w:val="00251D94"/>
    <w:rsid w:val="00251DF2"/>
    <w:rsid w:val="00251E2F"/>
    <w:rsid w:val="00251E36"/>
    <w:rsid w:val="00251E47"/>
    <w:rsid w:val="00251E4B"/>
    <w:rsid w:val="00251EE4"/>
    <w:rsid w:val="00251F69"/>
    <w:rsid w:val="00251F85"/>
    <w:rsid w:val="00251FA4"/>
    <w:rsid w:val="00251FC7"/>
    <w:rsid w:val="00251FE8"/>
    <w:rsid w:val="00252006"/>
    <w:rsid w:val="0025200C"/>
    <w:rsid w:val="00252015"/>
    <w:rsid w:val="0025203B"/>
    <w:rsid w:val="0025206A"/>
    <w:rsid w:val="0025207B"/>
    <w:rsid w:val="00252100"/>
    <w:rsid w:val="00252101"/>
    <w:rsid w:val="0025216B"/>
    <w:rsid w:val="002521D7"/>
    <w:rsid w:val="002521DA"/>
    <w:rsid w:val="002521F3"/>
    <w:rsid w:val="00252203"/>
    <w:rsid w:val="00252249"/>
    <w:rsid w:val="00252253"/>
    <w:rsid w:val="0025226A"/>
    <w:rsid w:val="0025229E"/>
    <w:rsid w:val="002522AE"/>
    <w:rsid w:val="002522BB"/>
    <w:rsid w:val="002522CD"/>
    <w:rsid w:val="002522FF"/>
    <w:rsid w:val="0025232B"/>
    <w:rsid w:val="0025233F"/>
    <w:rsid w:val="0025234F"/>
    <w:rsid w:val="0025236D"/>
    <w:rsid w:val="002523B5"/>
    <w:rsid w:val="002523F4"/>
    <w:rsid w:val="002523FE"/>
    <w:rsid w:val="00252404"/>
    <w:rsid w:val="00252452"/>
    <w:rsid w:val="00252471"/>
    <w:rsid w:val="00252478"/>
    <w:rsid w:val="002524C1"/>
    <w:rsid w:val="002524F4"/>
    <w:rsid w:val="00252501"/>
    <w:rsid w:val="00252523"/>
    <w:rsid w:val="0025252E"/>
    <w:rsid w:val="00252539"/>
    <w:rsid w:val="002525B5"/>
    <w:rsid w:val="002525B8"/>
    <w:rsid w:val="00252630"/>
    <w:rsid w:val="00252656"/>
    <w:rsid w:val="002526B7"/>
    <w:rsid w:val="002526D5"/>
    <w:rsid w:val="002526F5"/>
    <w:rsid w:val="00252706"/>
    <w:rsid w:val="00252714"/>
    <w:rsid w:val="00252723"/>
    <w:rsid w:val="00252733"/>
    <w:rsid w:val="00252740"/>
    <w:rsid w:val="00252741"/>
    <w:rsid w:val="00252756"/>
    <w:rsid w:val="00252769"/>
    <w:rsid w:val="0025278E"/>
    <w:rsid w:val="002527F6"/>
    <w:rsid w:val="002527FD"/>
    <w:rsid w:val="00252867"/>
    <w:rsid w:val="002528B5"/>
    <w:rsid w:val="00252906"/>
    <w:rsid w:val="0025292E"/>
    <w:rsid w:val="00252955"/>
    <w:rsid w:val="00252A7A"/>
    <w:rsid w:val="00252AA4"/>
    <w:rsid w:val="00252AF9"/>
    <w:rsid w:val="00252B14"/>
    <w:rsid w:val="00252B26"/>
    <w:rsid w:val="00252B2E"/>
    <w:rsid w:val="00252B31"/>
    <w:rsid w:val="00252B56"/>
    <w:rsid w:val="00252B9F"/>
    <w:rsid w:val="00252BB7"/>
    <w:rsid w:val="00252BB9"/>
    <w:rsid w:val="00252BBE"/>
    <w:rsid w:val="00252BF2"/>
    <w:rsid w:val="00252C01"/>
    <w:rsid w:val="00252C78"/>
    <w:rsid w:val="00252CA5"/>
    <w:rsid w:val="00252CA7"/>
    <w:rsid w:val="00252CCD"/>
    <w:rsid w:val="00252CF1"/>
    <w:rsid w:val="00252CF7"/>
    <w:rsid w:val="00252DAA"/>
    <w:rsid w:val="00252DB1"/>
    <w:rsid w:val="00252DC3"/>
    <w:rsid w:val="00252E05"/>
    <w:rsid w:val="00252E3F"/>
    <w:rsid w:val="00252E89"/>
    <w:rsid w:val="00252ECB"/>
    <w:rsid w:val="00252EEE"/>
    <w:rsid w:val="00252F0B"/>
    <w:rsid w:val="00252F2E"/>
    <w:rsid w:val="00252F35"/>
    <w:rsid w:val="00252F40"/>
    <w:rsid w:val="00252F4F"/>
    <w:rsid w:val="00252F70"/>
    <w:rsid w:val="00252F77"/>
    <w:rsid w:val="00252F7E"/>
    <w:rsid w:val="00252F92"/>
    <w:rsid w:val="00252FE3"/>
    <w:rsid w:val="00253002"/>
    <w:rsid w:val="0025301A"/>
    <w:rsid w:val="0025302D"/>
    <w:rsid w:val="0025303E"/>
    <w:rsid w:val="00253040"/>
    <w:rsid w:val="0025304E"/>
    <w:rsid w:val="002530DD"/>
    <w:rsid w:val="00253156"/>
    <w:rsid w:val="00253172"/>
    <w:rsid w:val="00253179"/>
    <w:rsid w:val="0025317B"/>
    <w:rsid w:val="0025323E"/>
    <w:rsid w:val="00253285"/>
    <w:rsid w:val="002532A9"/>
    <w:rsid w:val="002532AB"/>
    <w:rsid w:val="002532C8"/>
    <w:rsid w:val="0025334E"/>
    <w:rsid w:val="00253387"/>
    <w:rsid w:val="0025338A"/>
    <w:rsid w:val="002533EB"/>
    <w:rsid w:val="0025345E"/>
    <w:rsid w:val="00253465"/>
    <w:rsid w:val="002534AD"/>
    <w:rsid w:val="002534DD"/>
    <w:rsid w:val="002534E0"/>
    <w:rsid w:val="0025352E"/>
    <w:rsid w:val="00253569"/>
    <w:rsid w:val="0025356B"/>
    <w:rsid w:val="002535A1"/>
    <w:rsid w:val="002535A5"/>
    <w:rsid w:val="002535AD"/>
    <w:rsid w:val="002535B4"/>
    <w:rsid w:val="002535D2"/>
    <w:rsid w:val="002535EF"/>
    <w:rsid w:val="00253634"/>
    <w:rsid w:val="00253651"/>
    <w:rsid w:val="00253682"/>
    <w:rsid w:val="00253697"/>
    <w:rsid w:val="0025370F"/>
    <w:rsid w:val="00253764"/>
    <w:rsid w:val="00253765"/>
    <w:rsid w:val="002537A9"/>
    <w:rsid w:val="002537B4"/>
    <w:rsid w:val="002537BA"/>
    <w:rsid w:val="002537D5"/>
    <w:rsid w:val="0025383F"/>
    <w:rsid w:val="0025389C"/>
    <w:rsid w:val="002538A0"/>
    <w:rsid w:val="002538AD"/>
    <w:rsid w:val="002538BF"/>
    <w:rsid w:val="002538CA"/>
    <w:rsid w:val="002538DB"/>
    <w:rsid w:val="0025390A"/>
    <w:rsid w:val="00253984"/>
    <w:rsid w:val="002539B0"/>
    <w:rsid w:val="002539D4"/>
    <w:rsid w:val="00253A1A"/>
    <w:rsid w:val="00253A76"/>
    <w:rsid w:val="00253B1D"/>
    <w:rsid w:val="00253B63"/>
    <w:rsid w:val="00253BAE"/>
    <w:rsid w:val="00253BD6"/>
    <w:rsid w:val="00253C4C"/>
    <w:rsid w:val="00253CAA"/>
    <w:rsid w:val="00253D10"/>
    <w:rsid w:val="00253D69"/>
    <w:rsid w:val="00253D78"/>
    <w:rsid w:val="00253DC0"/>
    <w:rsid w:val="00253DDF"/>
    <w:rsid w:val="00253E0D"/>
    <w:rsid w:val="00253E29"/>
    <w:rsid w:val="00253E2C"/>
    <w:rsid w:val="00253EBF"/>
    <w:rsid w:val="00253F02"/>
    <w:rsid w:val="00253F1F"/>
    <w:rsid w:val="00253F20"/>
    <w:rsid w:val="00253F29"/>
    <w:rsid w:val="00253FAB"/>
    <w:rsid w:val="00253FD9"/>
    <w:rsid w:val="00254001"/>
    <w:rsid w:val="00254045"/>
    <w:rsid w:val="0025405B"/>
    <w:rsid w:val="00254088"/>
    <w:rsid w:val="002540A8"/>
    <w:rsid w:val="002540AE"/>
    <w:rsid w:val="00254113"/>
    <w:rsid w:val="00254114"/>
    <w:rsid w:val="00254119"/>
    <w:rsid w:val="00254187"/>
    <w:rsid w:val="002541A9"/>
    <w:rsid w:val="00254215"/>
    <w:rsid w:val="00254234"/>
    <w:rsid w:val="002542BE"/>
    <w:rsid w:val="002542E5"/>
    <w:rsid w:val="00254332"/>
    <w:rsid w:val="00254348"/>
    <w:rsid w:val="0025434F"/>
    <w:rsid w:val="00254380"/>
    <w:rsid w:val="002543C9"/>
    <w:rsid w:val="0025442A"/>
    <w:rsid w:val="00254443"/>
    <w:rsid w:val="00254465"/>
    <w:rsid w:val="00254470"/>
    <w:rsid w:val="00254484"/>
    <w:rsid w:val="0025448C"/>
    <w:rsid w:val="002544D0"/>
    <w:rsid w:val="002544F7"/>
    <w:rsid w:val="002544FA"/>
    <w:rsid w:val="002544FE"/>
    <w:rsid w:val="0025450B"/>
    <w:rsid w:val="00254537"/>
    <w:rsid w:val="00254562"/>
    <w:rsid w:val="002545B3"/>
    <w:rsid w:val="002545BE"/>
    <w:rsid w:val="002545E4"/>
    <w:rsid w:val="00254627"/>
    <w:rsid w:val="00254683"/>
    <w:rsid w:val="002546DD"/>
    <w:rsid w:val="002546F4"/>
    <w:rsid w:val="002546FC"/>
    <w:rsid w:val="0025470E"/>
    <w:rsid w:val="0025473B"/>
    <w:rsid w:val="00254820"/>
    <w:rsid w:val="002548C7"/>
    <w:rsid w:val="002548FA"/>
    <w:rsid w:val="002548FF"/>
    <w:rsid w:val="0025490E"/>
    <w:rsid w:val="00254967"/>
    <w:rsid w:val="00254970"/>
    <w:rsid w:val="00254984"/>
    <w:rsid w:val="002549E0"/>
    <w:rsid w:val="002549FE"/>
    <w:rsid w:val="00254A18"/>
    <w:rsid w:val="00254A1C"/>
    <w:rsid w:val="00254A52"/>
    <w:rsid w:val="00254A73"/>
    <w:rsid w:val="00254A98"/>
    <w:rsid w:val="00254AB3"/>
    <w:rsid w:val="00254AE0"/>
    <w:rsid w:val="00254AEA"/>
    <w:rsid w:val="00254AF3"/>
    <w:rsid w:val="00254B25"/>
    <w:rsid w:val="00254B69"/>
    <w:rsid w:val="00254BAE"/>
    <w:rsid w:val="00254BC8"/>
    <w:rsid w:val="00254BDA"/>
    <w:rsid w:val="00254C29"/>
    <w:rsid w:val="00254C4B"/>
    <w:rsid w:val="00254D1B"/>
    <w:rsid w:val="00254D8A"/>
    <w:rsid w:val="00254DC1"/>
    <w:rsid w:val="00254DEC"/>
    <w:rsid w:val="00254E18"/>
    <w:rsid w:val="00254E38"/>
    <w:rsid w:val="00254E48"/>
    <w:rsid w:val="00254E73"/>
    <w:rsid w:val="00254EAF"/>
    <w:rsid w:val="00254EB0"/>
    <w:rsid w:val="00254EE9"/>
    <w:rsid w:val="00254F07"/>
    <w:rsid w:val="00254F7C"/>
    <w:rsid w:val="00255006"/>
    <w:rsid w:val="00255021"/>
    <w:rsid w:val="00255025"/>
    <w:rsid w:val="00255033"/>
    <w:rsid w:val="0025505A"/>
    <w:rsid w:val="0025505C"/>
    <w:rsid w:val="00255065"/>
    <w:rsid w:val="002550F3"/>
    <w:rsid w:val="00255126"/>
    <w:rsid w:val="002551A6"/>
    <w:rsid w:val="0025526A"/>
    <w:rsid w:val="0025526F"/>
    <w:rsid w:val="00255292"/>
    <w:rsid w:val="002552F7"/>
    <w:rsid w:val="002552FD"/>
    <w:rsid w:val="00255303"/>
    <w:rsid w:val="00255311"/>
    <w:rsid w:val="0025533E"/>
    <w:rsid w:val="00255344"/>
    <w:rsid w:val="00255356"/>
    <w:rsid w:val="0025535C"/>
    <w:rsid w:val="002553F5"/>
    <w:rsid w:val="00255403"/>
    <w:rsid w:val="00255424"/>
    <w:rsid w:val="0025543F"/>
    <w:rsid w:val="002554E0"/>
    <w:rsid w:val="002554F3"/>
    <w:rsid w:val="00255599"/>
    <w:rsid w:val="0025559B"/>
    <w:rsid w:val="00255631"/>
    <w:rsid w:val="0025563D"/>
    <w:rsid w:val="00255659"/>
    <w:rsid w:val="0025567A"/>
    <w:rsid w:val="00255690"/>
    <w:rsid w:val="002556F0"/>
    <w:rsid w:val="002556FC"/>
    <w:rsid w:val="00255729"/>
    <w:rsid w:val="00255744"/>
    <w:rsid w:val="00255757"/>
    <w:rsid w:val="00255766"/>
    <w:rsid w:val="0025576A"/>
    <w:rsid w:val="002557EB"/>
    <w:rsid w:val="002557F2"/>
    <w:rsid w:val="00255829"/>
    <w:rsid w:val="00255840"/>
    <w:rsid w:val="0025588D"/>
    <w:rsid w:val="00255894"/>
    <w:rsid w:val="002558A4"/>
    <w:rsid w:val="002558DC"/>
    <w:rsid w:val="002558E8"/>
    <w:rsid w:val="002558EA"/>
    <w:rsid w:val="002558FA"/>
    <w:rsid w:val="00255902"/>
    <w:rsid w:val="00255917"/>
    <w:rsid w:val="0025593B"/>
    <w:rsid w:val="00255942"/>
    <w:rsid w:val="0025594F"/>
    <w:rsid w:val="00255951"/>
    <w:rsid w:val="00255971"/>
    <w:rsid w:val="0025598D"/>
    <w:rsid w:val="00255993"/>
    <w:rsid w:val="002559BD"/>
    <w:rsid w:val="002559C9"/>
    <w:rsid w:val="002559EE"/>
    <w:rsid w:val="002559FB"/>
    <w:rsid w:val="00255A06"/>
    <w:rsid w:val="00255A07"/>
    <w:rsid w:val="00255B74"/>
    <w:rsid w:val="00255BA8"/>
    <w:rsid w:val="00255BF2"/>
    <w:rsid w:val="00255C04"/>
    <w:rsid w:val="00255C17"/>
    <w:rsid w:val="00255C3F"/>
    <w:rsid w:val="00255CC8"/>
    <w:rsid w:val="00255D07"/>
    <w:rsid w:val="00255D27"/>
    <w:rsid w:val="00255D3C"/>
    <w:rsid w:val="00255DA5"/>
    <w:rsid w:val="00255DC8"/>
    <w:rsid w:val="00255DCE"/>
    <w:rsid w:val="00255E0F"/>
    <w:rsid w:val="00255E29"/>
    <w:rsid w:val="00255E31"/>
    <w:rsid w:val="00255E46"/>
    <w:rsid w:val="00255EB1"/>
    <w:rsid w:val="00255EED"/>
    <w:rsid w:val="00255EEE"/>
    <w:rsid w:val="00255F3A"/>
    <w:rsid w:val="00255F60"/>
    <w:rsid w:val="00255F74"/>
    <w:rsid w:val="00255F9B"/>
    <w:rsid w:val="00255FDA"/>
    <w:rsid w:val="00255FF0"/>
    <w:rsid w:val="0025600E"/>
    <w:rsid w:val="00256144"/>
    <w:rsid w:val="0025617E"/>
    <w:rsid w:val="00256184"/>
    <w:rsid w:val="002561DE"/>
    <w:rsid w:val="002561E9"/>
    <w:rsid w:val="00256256"/>
    <w:rsid w:val="0025627A"/>
    <w:rsid w:val="002562BF"/>
    <w:rsid w:val="002562C1"/>
    <w:rsid w:val="002562C5"/>
    <w:rsid w:val="00256321"/>
    <w:rsid w:val="00256383"/>
    <w:rsid w:val="0025638E"/>
    <w:rsid w:val="002563B1"/>
    <w:rsid w:val="00256411"/>
    <w:rsid w:val="00256416"/>
    <w:rsid w:val="00256449"/>
    <w:rsid w:val="002564B3"/>
    <w:rsid w:val="002564F8"/>
    <w:rsid w:val="0025650F"/>
    <w:rsid w:val="00256596"/>
    <w:rsid w:val="002565AE"/>
    <w:rsid w:val="002565DD"/>
    <w:rsid w:val="002565E4"/>
    <w:rsid w:val="00256648"/>
    <w:rsid w:val="00256669"/>
    <w:rsid w:val="0025669F"/>
    <w:rsid w:val="002566A7"/>
    <w:rsid w:val="002566DF"/>
    <w:rsid w:val="0025670D"/>
    <w:rsid w:val="00256751"/>
    <w:rsid w:val="002567A6"/>
    <w:rsid w:val="002567D0"/>
    <w:rsid w:val="002567D1"/>
    <w:rsid w:val="00256815"/>
    <w:rsid w:val="00256849"/>
    <w:rsid w:val="0025689E"/>
    <w:rsid w:val="002568AE"/>
    <w:rsid w:val="002568D1"/>
    <w:rsid w:val="002568DF"/>
    <w:rsid w:val="00256939"/>
    <w:rsid w:val="0025699D"/>
    <w:rsid w:val="002569DB"/>
    <w:rsid w:val="00256A0A"/>
    <w:rsid w:val="00256A11"/>
    <w:rsid w:val="00256A24"/>
    <w:rsid w:val="00256A2B"/>
    <w:rsid w:val="00256A6D"/>
    <w:rsid w:val="00256A79"/>
    <w:rsid w:val="00256AB5"/>
    <w:rsid w:val="00256B13"/>
    <w:rsid w:val="00256B37"/>
    <w:rsid w:val="00256BA6"/>
    <w:rsid w:val="00256C31"/>
    <w:rsid w:val="00256C57"/>
    <w:rsid w:val="00256C5E"/>
    <w:rsid w:val="00256C8A"/>
    <w:rsid w:val="00256CA5"/>
    <w:rsid w:val="00256CB0"/>
    <w:rsid w:val="00256CEF"/>
    <w:rsid w:val="00256D13"/>
    <w:rsid w:val="00256D79"/>
    <w:rsid w:val="00256D80"/>
    <w:rsid w:val="00256D8A"/>
    <w:rsid w:val="00256DA1"/>
    <w:rsid w:val="00256DBA"/>
    <w:rsid w:val="00256DC5"/>
    <w:rsid w:val="00256DCE"/>
    <w:rsid w:val="00256DD6"/>
    <w:rsid w:val="00256EA6"/>
    <w:rsid w:val="00256EDD"/>
    <w:rsid w:val="00256EF3"/>
    <w:rsid w:val="00256F00"/>
    <w:rsid w:val="00256F60"/>
    <w:rsid w:val="00256FCD"/>
    <w:rsid w:val="00256FFE"/>
    <w:rsid w:val="00257017"/>
    <w:rsid w:val="0025702A"/>
    <w:rsid w:val="0025708D"/>
    <w:rsid w:val="0025708E"/>
    <w:rsid w:val="00257095"/>
    <w:rsid w:val="002570A9"/>
    <w:rsid w:val="002570C5"/>
    <w:rsid w:val="002570D1"/>
    <w:rsid w:val="00257107"/>
    <w:rsid w:val="0025711D"/>
    <w:rsid w:val="00257174"/>
    <w:rsid w:val="00257183"/>
    <w:rsid w:val="002571A6"/>
    <w:rsid w:val="002571B1"/>
    <w:rsid w:val="002571C5"/>
    <w:rsid w:val="002571F4"/>
    <w:rsid w:val="00257201"/>
    <w:rsid w:val="00257215"/>
    <w:rsid w:val="0025723F"/>
    <w:rsid w:val="00257287"/>
    <w:rsid w:val="002572D7"/>
    <w:rsid w:val="002572F2"/>
    <w:rsid w:val="0025735B"/>
    <w:rsid w:val="0025738A"/>
    <w:rsid w:val="002573A7"/>
    <w:rsid w:val="002573B1"/>
    <w:rsid w:val="002573FD"/>
    <w:rsid w:val="00257410"/>
    <w:rsid w:val="00257459"/>
    <w:rsid w:val="00257499"/>
    <w:rsid w:val="002574BD"/>
    <w:rsid w:val="002574D0"/>
    <w:rsid w:val="002574F1"/>
    <w:rsid w:val="00257510"/>
    <w:rsid w:val="00257523"/>
    <w:rsid w:val="0025752D"/>
    <w:rsid w:val="0025753D"/>
    <w:rsid w:val="00257540"/>
    <w:rsid w:val="0025757D"/>
    <w:rsid w:val="00257592"/>
    <w:rsid w:val="002575B7"/>
    <w:rsid w:val="00257638"/>
    <w:rsid w:val="0025768B"/>
    <w:rsid w:val="002576F2"/>
    <w:rsid w:val="00257787"/>
    <w:rsid w:val="0025779D"/>
    <w:rsid w:val="002577E8"/>
    <w:rsid w:val="0025782C"/>
    <w:rsid w:val="0025783E"/>
    <w:rsid w:val="002578E0"/>
    <w:rsid w:val="002578FA"/>
    <w:rsid w:val="0025790B"/>
    <w:rsid w:val="00257912"/>
    <w:rsid w:val="0025791B"/>
    <w:rsid w:val="00257941"/>
    <w:rsid w:val="0025795A"/>
    <w:rsid w:val="002579A6"/>
    <w:rsid w:val="002579B8"/>
    <w:rsid w:val="002579BB"/>
    <w:rsid w:val="002579F6"/>
    <w:rsid w:val="00257A0B"/>
    <w:rsid w:val="00257A2D"/>
    <w:rsid w:val="00257A45"/>
    <w:rsid w:val="00257A75"/>
    <w:rsid w:val="00257A76"/>
    <w:rsid w:val="00257AA0"/>
    <w:rsid w:val="00257AA2"/>
    <w:rsid w:val="00257AD4"/>
    <w:rsid w:val="00257B2C"/>
    <w:rsid w:val="00257B3F"/>
    <w:rsid w:val="00257B69"/>
    <w:rsid w:val="00257B93"/>
    <w:rsid w:val="00257BBF"/>
    <w:rsid w:val="00257BF1"/>
    <w:rsid w:val="00257C0F"/>
    <w:rsid w:val="00257C2B"/>
    <w:rsid w:val="00257C4C"/>
    <w:rsid w:val="00257C53"/>
    <w:rsid w:val="00257C7F"/>
    <w:rsid w:val="00257C8B"/>
    <w:rsid w:val="00257C99"/>
    <w:rsid w:val="00257CB6"/>
    <w:rsid w:val="00257CC0"/>
    <w:rsid w:val="00257CF9"/>
    <w:rsid w:val="00257CFF"/>
    <w:rsid w:val="00257D42"/>
    <w:rsid w:val="00257D54"/>
    <w:rsid w:val="00257DB0"/>
    <w:rsid w:val="00257E1A"/>
    <w:rsid w:val="00257E23"/>
    <w:rsid w:val="00257E34"/>
    <w:rsid w:val="00257EA4"/>
    <w:rsid w:val="00257EA9"/>
    <w:rsid w:val="00257EBB"/>
    <w:rsid w:val="00257EDC"/>
    <w:rsid w:val="00257EEF"/>
    <w:rsid w:val="00257F28"/>
    <w:rsid w:val="00257F5F"/>
    <w:rsid w:val="00257F6A"/>
    <w:rsid w:val="00257F75"/>
    <w:rsid w:val="00257FC6"/>
    <w:rsid w:val="00257FFA"/>
    <w:rsid w:val="0025CB8E"/>
    <w:rsid w:val="00260023"/>
    <w:rsid w:val="00260026"/>
    <w:rsid w:val="00260072"/>
    <w:rsid w:val="002600CF"/>
    <w:rsid w:val="002600F9"/>
    <w:rsid w:val="00260128"/>
    <w:rsid w:val="0026015F"/>
    <w:rsid w:val="0026018B"/>
    <w:rsid w:val="00260197"/>
    <w:rsid w:val="002601AE"/>
    <w:rsid w:val="002601C7"/>
    <w:rsid w:val="002601FC"/>
    <w:rsid w:val="00260225"/>
    <w:rsid w:val="0026024A"/>
    <w:rsid w:val="00260252"/>
    <w:rsid w:val="00260365"/>
    <w:rsid w:val="00260366"/>
    <w:rsid w:val="0026039A"/>
    <w:rsid w:val="002603E4"/>
    <w:rsid w:val="002603E8"/>
    <w:rsid w:val="00260417"/>
    <w:rsid w:val="00260470"/>
    <w:rsid w:val="0026047B"/>
    <w:rsid w:val="0026049F"/>
    <w:rsid w:val="002604BD"/>
    <w:rsid w:val="002604F2"/>
    <w:rsid w:val="0026053D"/>
    <w:rsid w:val="00260542"/>
    <w:rsid w:val="00260575"/>
    <w:rsid w:val="00260582"/>
    <w:rsid w:val="00260583"/>
    <w:rsid w:val="002605A0"/>
    <w:rsid w:val="00260604"/>
    <w:rsid w:val="00260612"/>
    <w:rsid w:val="00260621"/>
    <w:rsid w:val="0026062C"/>
    <w:rsid w:val="00260631"/>
    <w:rsid w:val="00260639"/>
    <w:rsid w:val="00260645"/>
    <w:rsid w:val="00260687"/>
    <w:rsid w:val="002606A1"/>
    <w:rsid w:val="002606B2"/>
    <w:rsid w:val="002606BB"/>
    <w:rsid w:val="002606D3"/>
    <w:rsid w:val="002606ED"/>
    <w:rsid w:val="00260708"/>
    <w:rsid w:val="00260731"/>
    <w:rsid w:val="00260740"/>
    <w:rsid w:val="0026077E"/>
    <w:rsid w:val="002607A0"/>
    <w:rsid w:val="002607BE"/>
    <w:rsid w:val="0026080A"/>
    <w:rsid w:val="00260810"/>
    <w:rsid w:val="00260822"/>
    <w:rsid w:val="0026087A"/>
    <w:rsid w:val="002608BA"/>
    <w:rsid w:val="002608DB"/>
    <w:rsid w:val="002608FF"/>
    <w:rsid w:val="00260915"/>
    <w:rsid w:val="00260958"/>
    <w:rsid w:val="00260969"/>
    <w:rsid w:val="00260978"/>
    <w:rsid w:val="002609AF"/>
    <w:rsid w:val="002609B4"/>
    <w:rsid w:val="002609D4"/>
    <w:rsid w:val="002609EE"/>
    <w:rsid w:val="002609F2"/>
    <w:rsid w:val="00260AD3"/>
    <w:rsid w:val="00260AE8"/>
    <w:rsid w:val="00260B14"/>
    <w:rsid w:val="00260B54"/>
    <w:rsid w:val="00260BC6"/>
    <w:rsid w:val="00260BED"/>
    <w:rsid w:val="00260BF4"/>
    <w:rsid w:val="00260C38"/>
    <w:rsid w:val="00260C51"/>
    <w:rsid w:val="00260C70"/>
    <w:rsid w:val="00260C74"/>
    <w:rsid w:val="00260C7C"/>
    <w:rsid w:val="00260C7E"/>
    <w:rsid w:val="00260CA6"/>
    <w:rsid w:val="00260CD2"/>
    <w:rsid w:val="00260CD5"/>
    <w:rsid w:val="00260D1E"/>
    <w:rsid w:val="00260D4F"/>
    <w:rsid w:val="00260D5B"/>
    <w:rsid w:val="00260D7B"/>
    <w:rsid w:val="00260DA6"/>
    <w:rsid w:val="00260DA9"/>
    <w:rsid w:val="00260DB8"/>
    <w:rsid w:val="00260E47"/>
    <w:rsid w:val="00260E8C"/>
    <w:rsid w:val="00260E99"/>
    <w:rsid w:val="00260EC3"/>
    <w:rsid w:val="00260F03"/>
    <w:rsid w:val="00260F4B"/>
    <w:rsid w:val="00260F56"/>
    <w:rsid w:val="00260FA0"/>
    <w:rsid w:val="00260FA5"/>
    <w:rsid w:val="00260FC5"/>
    <w:rsid w:val="00260FDF"/>
    <w:rsid w:val="00260FE4"/>
    <w:rsid w:val="00260FEC"/>
    <w:rsid w:val="00261046"/>
    <w:rsid w:val="0026104E"/>
    <w:rsid w:val="00261054"/>
    <w:rsid w:val="002610C3"/>
    <w:rsid w:val="002610D9"/>
    <w:rsid w:val="002611A4"/>
    <w:rsid w:val="002611AF"/>
    <w:rsid w:val="0026120F"/>
    <w:rsid w:val="00261249"/>
    <w:rsid w:val="00261264"/>
    <w:rsid w:val="002612BC"/>
    <w:rsid w:val="0026130C"/>
    <w:rsid w:val="0026136B"/>
    <w:rsid w:val="002613AA"/>
    <w:rsid w:val="00261431"/>
    <w:rsid w:val="0026146A"/>
    <w:rsid w:val="00261483"/>
    <w:rsid w:val="00261488"/>
    <w:rsid w:val="00261494"/>
    <w:rsid w:val="00261495"/>
    <w:rsid w:val="002614A6"/>
    <w:rsid w:val="002614CC"/>
    <w:rsid w:val="002614CE"/>
    <w:rsid w:val="00261506"/>
    <w:rsid w:val="00261508"/>
    <w:rsid w:val="00261519"/>
    <w:rsid w:val="0026156B"/>
    <w:rsid w:val="002615AD"/>
    <w:rsid w:val="002615BF"/>
    <w:rsid w:val="002615EF"/>
    <w:rsid w:val="0026162C"/>
    <w:rsid w:val="00261660"/>
    <w:rsid w:val="00261699"/>
    <w:rsid w:val="002616B3"/>
    <w:rsid w:val="002616D6"/>
    <w:rsid w:val="002616F3"/>
    <w:rsid w:val="00261705"/>
    <w:rsid w:val="0026171B"/>
    <w:rsid w:val="0026171E"/>
    <w:rsid w:val="0026174E"/>
    <w:rsid w:val="0026178F"/>
    <w:rsid w:val="002617AE"/>
    <w:rsid w:val="002617B3"/>
    <w:rsid w:val="002617D3"/>
    <w:rsid w:val="00261816"/>
    <w:rsid w:val="00261843"/>
    <w:rsid w:val="0026189C"/>
    <w:rsid w:val="002618B1"/>
    <w:rsid w:val="002618B6"/>
    <w:rsid w:val="002618D4"/>
    <w:rsid w:val="002618F0"/>
    <w:rsid w:val="0026192F"/>
    <w:rsid w:val="002619A2"/>
    <w:rsid w:val="002619AF"/>
    <w:rsid w:val="002619B2"/>
    <w:rsid w:val="002619E2"/>
    <w:rsid w:val="00261A27"/>
    <w:rsid w:val="00261A70"/>
    <w:rsid w:val="00261A92"/>
    <w:rsid w:val="00261AF3"/>
    <w:rsid w:val="00261B0E"/>
    <w:rsid w:val="00261B1B"/>
    <w:rsid w:val="00261B2D"/>
    <w:rsid w:val="00261B5C"/>
    <w:rsid w:val="00261BC3"/>
    <w:rsid w:val="00261BC6"/>
    <w:rsid w:val="00261C04"/>
    <w:rsid w:val="00261C3C"/>
    <w:rsid w:val="00261C65"/>
    <w:rsid w:val="00261C82"/>
    <w:rsid w:val="00261CB1"/>
    <w:rsid w:val="00261D17"/>
    <w:rsid w:val="00261D3B"/>
    <w:rsid w:val="00261D92"/>
    <w:rsid w:val="00261DA4"/>
    <w:rsid w:val="00261DB7"/>
    <w:rsid w:val="00261DDF"/>
    <w:rsid w:val="00261E08"/>
    <w:rsid w:val="00261E58"/>
    <w:rsid w:val="00261E9E"/>
    <w:rsid w:val="00261EA7"/>
    <w:rsid w:val="00261EC6"/>
    <w:rsid w:val="00261FAC"/>
    <w:rsid w:val="00261FAD"/>
    <w:rsid w:val="00261FBA"/>
    <w:rsid w:val="00261FE9"/>
    <w:rsid w:val="0026204D"/>
    <w:rsid w:val="00262052"/>
    <w:rsid w:val="0026205C"/>
    <w:rsid w:val="00262074"/>
    <w:rsid w:val="002620C7"/>
    <w:rsid w:val="002620D0"/>
    <w:rsid w:val="002620F3"/>
    <w:rsid w:val="00262105"/>
    <w:rsid w:val="00262194"/>
    <w:rsid w:val="002621D3"/>
    <w:rsid w:val="0026221A"/>
    <w:rsid w:val="00262258"/>
    <w:rsid w:val="0026225B"/>
    <w:rsid w:val="0026225F"/>
    <w:rsid w:val="00262270"/>
    <w:rsid w:val="0026229F"/>
    <w:rsid w:val="002622F1"/>
    <w:rsid w:val="002622FF"/>
    <w:rsid w:val="00262345"/>
    <w:rsid w:val="0026235C"/>
    <w:rsid w:val="00262375"/>
    <w:rsid w:val="00262376"/>
    <w:rsid w:val="002623C8"/>
    <w:rsid w:val="002623DC"/>
    <w:rsid w:val="002623E2"/>
    <w:rsid w:val="002623F2"/>
    <w:rsid w:val="002623F9"/>
    <w:rsid w:val="00262411"/>
    <w:rsid w:val="00262416"/>
    <w:rsid w:val="00262439"/>
    <w:rsid w:val="0026244C"/>
    <w:rsid w:val="0026245C"/>
    <w:rsid w:val="00262485"/>
    <w:rsid w:val="0026249E"/>
    <w:rsid w:val="002624B8"/>
    <w:rsid w:val="00262501"/>
    <w:rsid w:val="00262535"/>
    <w:rsid w:val="00262556"/>
    <w:rsid w:val="00262571"/>
    <w:rsid w:val="002625C1"/>
    <w:rsid w:val="00262600"/>
    <w:rsid w:val="0026261E"/>
    <w:rsid w:val="00262659"/>
    <w:rsid w:val="002626B8"/>
    <w:rsid w:val="0026270B"/>
    <w:rsid w:val="00262719"/>
    <w:rsid w:val="0026272D"/>
    <w:rsid w:val="00262754"/>
    <w:rsid w:val="00262799"/>
    <w:rsid w:val="002627D7"/>
    <w:rsid w:val="002627E8"/>
    <w:rsid w:val="002627EC"/>
    <w:rsid w:val="002627FC"/>
    <w:rsid w:val="00262807"/>
    <w:rsid w:val="0026280F"/>
    <w:rsid w:val="0026281B"/>
    <w:rsid w:val="00262842"/>
    <w:rsid w:val="00262866"/>
    <w:rsid w:val="002628A5"/>
    <w:rsid w:val="00262909"/>
    <w:rsid w:val="0026292D"/>
    <w:rsid w:val="00262968"/>
    <w:rsid w:val="002629E1"/>
    <w:rsid w:val="002629E3"/>
    <w:rsid w:val="00262A0C"/>
    <w:rsid w:val="00262A93"/>
    <w:rsid w:val="00262ABD"/>
    <w:rsid w:val="00262B11"/>
    <w:rsid w:val="00262B23"/>
    <w:rsid w:val="00262B8A"/>
    <w:rsid w:val="00262BAB"/>
    <w:rsid w:val="00262BD5"/>
    <w:rsid w:val="00262C28"/>
    <w:rsid w:val="00262CEA"/>
    <w:rsid w:val="00262CED"/>
    <w:rsid w:val="00262CFD"/>
    <w:rsid w:val="00262D0E"/>
    <w:rsid w:val="00262D42"/>
    <w:rsid w:val="00262D6B"/>
    <w:rsid w:val="00262D99"/>
    <w:rsid w:val="00262DCD"/>
    <w:rsid w:val="00262DEE"/>
    <w:rsid w:val="00262E05"/>
    <w:rsid w:val="00262E0D"/>
    <w:rsid w:val="00262E2B"/>
    <w:rsid w:val="00262EA5"/>
    <w:rsid w:val="00262F25"/>
    <w:rsid w:val="00262F70"/>
    <w:rsid w:val="00262FAD"/>
    <w:rsid w:val="00262FB2"/>
    <w:rsid w:val="00262FCF"/>
    <w:rsid w:val="00263002"/>
    <w:rsid w:val="00263044"/>
    <w:rsid w:val="00263065"/>
    <w:rsid w:val="00263072"/>
    <w:rsid w:val="00263079"/>
    <w:rsid w:val="002630C3"/>
    <w:rsid w:val="002630F9"/>
    <w:rsid w:val="0026311C"/>
    <w:rsid w:val="00263122"/>
    <w:rsid w:val="00263126"/>
    <w:rsid w:val="00263188"/>
    <w:rsid w:val="002631CC"/>
    <w:rsid w:val="002631E2"/>
    <w:rsid w:val="002632AB"/>
    <w:rsid w:val="00263307"/>
    <w:rsid w:val="00263320"/>
    <w:rsid w:val="00263341"/>
    <w:rsid w:val="00263349"/>
    <w:rsid w:val="00263396"/>
    <w:rsid w:val="0026339B"/>
    <w:rsid w:val="002633B6"/>
    <w:rsid w:val="002633DA"/>
    <w:rsid w:val="002633E3"/>
    <w:rsid w:val="00263402"/>
    <w:rsid w:val="00263443"/>
    <w:rsid w:val="00263499"/>
    <w:rsid w:val="002634CD"/>
    <w:rsid w:val="0026350B"/>
    <w:rsid w:val="0026351A"/>
    <w:rsid w:val="00263523"/>
    <w:rsid w:val="00263566"/>
    <w:rsid w:val="00263577"/>
    <w:rsid w:val="00263579"/>
    <w:rsid w:val="002635DB"/>
    <w:rsid w:val="0026361E"/>
    <w:rsid w:val="00263649"/>
    <w:rsid w:val="00263656"/>
    <w:rsid w:val="00263666"/>
    <w:rsid w:val="002636A6"/>
    <w:rsid w:val="002636C0"/>
    <w:rsid w:val="00263702"/>
    <w:rsid w:val="0026370B"/>
    <w:rsid w:val="0026371C"/>
    <w:rsid w:val="00263765"/>
    <w:rsid w:val="002637C2"/>
    <w:rsid w:val="002637D7"/>
    <w:rsid w:val="002637E3"/>
    <w:rsid w:val="00263823"/>
    <w:rsid w:val="00263876"/>
    <w:rsid w:val="00263886"/>
    <w:rsid w:val="002638BA"/>
    <w:rsid w:val="00263903"/>
    <w:rsid w:val="00263906"/>
    <w:rsid w:val="0026391A"/>
    <w:rsid w:val="0026393E"/>
    <w:rsid w:val="00263948"/>
    <w:rsid w:val="002639A5"/>
    <w:rsid w:val="002639AB"/>
    <w:rsid w:val="002639F6"/>
    <w:rsid w:val="00263A09"/>
    <w:rsid w:val="00263A22"/>
    <w:rsid w:val="00263A27"/>
    <w:rsid w:val="00263A3F"/>
    <w:rsid w:val="00263A5F"/>
    <w:rsid w:val="00263A64"/>
    <w:rsid w:val="00263A75"/>
    <w:rsid w:val="00263AA3"/>
    <w:rsid w:val="00263ADE"/>
    <w:rsid w:val="00263ADF"/>
    <w:rsid w:val="00263B27"/>
    <w:rsid w:val="00263B53"/>
    <w:rsid w:val="00263B57"/>
    <w:rsid w:val="00263BC9"/>
    <w:rsid w:val="00263BDC"/>
    <w:rsid w:val="00263BF8"/>
    <w:rsid w:val="00263BFD"/>
    <w:rsid w:val="00263C0A"/>
    <w:rsid w:val="00263C26"/>
    <w:rsid w:val="00263C3C"/>
    <w:rsid w:val="00263C75"/>
    <w:rsid w:val="00263C95"/>
    <w:rsid w:val="00263CEC"/>
    <w:rsid w:val="00263D61"/>
    <w:rsid w:val="00263D67"/>
    <w:rsid w:val="00263D73"/>
    <w:rsid w:val="00263D86"/>
    <w:rsid w:val="00263DA7"/>
    <w:rsid w:val="00263DA8"/>
    <w:rsid w:val="00263DB4"/>
    <w:rsid w:val="00263DCD"/>
    <w:rsid w:val="00263DF1"/>
    <w:rsid w:val="00263EE2"/>
    <w:rsid w:val="00263EEB"/>
    <w:rsid w:val="00263F4F"/>
    <w:rsid w:val="00263F52"/>
    <w:rsid w:val="00263F5A"/>
    <w:rsid w:val="00263FAD"/>
    <w:rsid w:val="00263FB3"/>
    <w:rsid w:val="00264025"/>
    <w:rsid w:val="002640AD"/>
    <w:rsid w:val="002640AE"/>
    <w:rsid w:val="002640B6"/>
    <w:rsid w:val="002640D2"/>
    <w:rsid w:val="002640EB"/>
    <w:rsid w:val="0026413A"/>
    <w:rsid w:val="00264165"/>
    <w:rsid w:val="002641A4"/>
    <w:rsid w:val="002641D4"/>
    <w:rsid w:val="002641E7"/>
    <w:rsid w:val="0026423E"/>
    <w:rsid w:val="00264256"/>
    <w:rsid w:val="0026425A"/>
    <w:rsid w:val="00264282"/>
    <w:rsid w:val="00264296"/>
    <w:rsid w:val="002642C0"/>
    <w:rsid w:val="00264341"/>
    <w:rsid w:val="00264357"/>
    <w:rsid w:val="0026437B"/>
    <w:rsid w:val="0026437D"/>
    <w:rsid w:val="00264382"/>
    <w:rsid w:val="00264393"/>
    <w:rsid w:val="002643A5"/>
    <w:rsid w:val="002643DD"/>
    <w:rsid w:val="00264454"/>
    <w:rsid w:val="0026445A"/>
    <w:rsid w:val="002644E9"/>
    <w:rsid w:val="00264500"/>
    <w:rsid w:val="0026455F"/>
    <w:rsid w:val="00264579"/>
    <w:rsid w:val="0026458E"/>
    <w:rsid w:val="002645C2"/>
    <w:rsid w:val="002645C5"/>
    <w:rsid w:val="002645FC"/>
    <w:rsid w:val="0026461A"/>
    <w:rsid w:val="0026463D"/>
    <w:rsid w:val="0026464C"/>
    <w:rsid w:val="00264659"/>
    <w:rsid w:val="00264683"/>
    <w:rsid w:val="002646F7"/>
    <w:rsid w:val="00264701"/>
    <w:rsid w:val="00264725"/>
    <w:rsid w:val="0026472C"/>
    <w:rsid w:val="00264754"/>
    <w:rsid w:val="002647B2"/>
    <w:rsid w:val="002647B5"/>
    <w:rsid w:val="00264829"/>
    <w:rsid w:val="00264836"/>
    <w:rsid w:val="00264874"/>
    <w:rsid w:val="00264888"/>
    <w:rsid w:val="002648AB"/>
    <w:rsid w:val="002648EC"/>
    <w:rsid w:val="00264995"/>
    <w:rsid w:val="00264A01"/>
    <w:rsid w:val="00264A2A"/>
    <w:rsid w:val="00264A2D"/>
    <w:rsid w:val="00264A2E"/>
    <w:rsid w:val="00264A58"/>
    <w:rsid w:val="00264A60"/>
    <w:rsid w:val="00264A82"/>
    <w:rsid w:val="00264AA3"/>
    <w:rsid w:val="00264AB0"/>
    <w:rsid w:val="00264B00"/>
    <w:rsid w:val="00264B42"/>
    <w:rsid w:val="00264B47"/>
    <w:rsid w:val="00264B5B"/>
    <w:rsid w:val="00264BF4"/>
    <w:rsid w:val="00264C0A"/>
    <w:rsid w:val="00264C57"/>
    <w:rsid w:val="00264CB2"/>
    <w:rsid w:val="00264CC8"/>
    <w:rsid w:val="00264D06"/>
    <w:rsid w:val="00264D21"/>
    <w:rsid w:val="00264D63"/>
    <w:rsid w:val="00264D71"/>
    <w:rsid w:val="00264DAF"/>
    <w:rsid w:val="00264DEE"/>
    <w:rsid w:val="00264DF4"/>
    <w:rsid w:val="00264DF7"/>
    <w:rsid w:val="00264E12"/>
    <w:rsid w:val="00264E99"/>
    <w:rsid w:val="00264E9C"/>
    <w:rsid w:val="00264EA1"/>
    <w:rsid w:val="00264F25"/>
    <w:rsid w:val="00264F34"/>
    <w:rsid w:val="00264F5D"/>
    <w:rsid w:val="00264F74"/>
    <w:rsid w:val="00264F81"/>
    <w:rsid w:val="00264FA2"/>
    <w:rsid w:val="00264FD7"/>
    <w:rsid w:val="00264FE8"/>
    <w:rsid w:val="00264FF4"/>
    <w:rsid w:val="00265005"/>
    <w:rsid w:val="0026500F"/>
    <w:rsid w:val="00265035"/>
    <w:rsid w:val="00265098"/>
    <w:rsid w:val="002650A4"/>
    <w:rsid w:val="002650F7"/>
    <w:rsid w:val="0026512B"/>
    <w:rsid w:val="00265162"/>
    <w:rsid w:val="002651D8"/>
    <w:rsid w:val="0026521D"/>
    <w:rsid w:val="00265272"/>
    <w:rsid w:val="00265291"/>
    <w:rsid w:val="002652C8"/>
    <w:rsid w:val="002652E6"/>
    <w:rsid w:val="0026533C"/>
    <w:rsid w:val="002653A4"/>
    <w:rsid w:val="002653BB"/>
    <w:rsid w:val="00265407"/>
    <w:rsid w:val="00265420"/>
    <w:rsid w:val="00265434"/>
    <w:rsid w:val="00265471"/>
    <w:rsid w:val="0026547F"/>
    <w:rsid w:val="002654FB"/>
    <w:rsid w:val="00265503"/>
    <w:rsid w:val="00265522"/>
    <w:rsid w:val="00265536"/>
    <w:rsid w:val="0026556E"/>
    <w:rsid w:val="00265573"/>
    <w:rsid w:val="00265628"/>
    <w:rsid w:val="00265659"/>
    <w:rsid w:val="00265699"/>
    <w:rsid w:val="002656F1"/>
    <w:rsid w:val="002656F9"/>
    <w:rsid w:val="00265729"/>
    <w:rsid w:val="00265750"/>
    <w:rsid w:val="00265800"/>
    <w:rsid w:val="00265801"/>
    <w:rsid w:val="0026580E"/>
    <w:rsid w:val="00265878"/>
    <w:rsid w:val="00265887"/>
    <w:rsid w:val="00265890"/>
    <w:rsid w:val="00265891"/>
    <w:rsid w:val="002658AC"/>
    <w:rsid w:val="002658C2"/>
    <w:rsid w:val="002658DF"/>
    <w:rsid w:val="002658F2"/>
    <w:rsid w:val="002659A0"/>
    <w:rsid w:val="002659F0"/>
    <w:rsid w:val="00265A23"/>
    <w:rsid w:val="00265A50"/>
    <w:rsid w:val="00265A77"/>
    <w:rsid w:val="00265A81"/>
    <w:rsid w:val="00265AA9"/>
    <w:rsid w:val="00265ABA"/>
    <w:rsid w:val="00265ABE"/>
    <w:rsid w:val="00265AE1"/>
    <w:rsid w:val="00265B06"/>
    <w:rsid w:val="00265B50"/>
    <w:rsid w:val="00265B5B"/>
    <w:rsid w:val="00265BCF"/>
    <w:rsid w:val="00265BD4"/>
    <w:rsid w:val="00265BD9"/>
    <w:rsid w:val="00265C0D"/>
    <w:rsid w:val="00265C3A"/>
    <w:rsid w:val="00265C42"/>
    <w:rsid w:val="00265C59"/>
    <w:rsid w:val="00265C9D"/>
    <w:rsid w:val="00265CCF"/>
    <w:rsid w:val="00265CD7"/>
    <w:rsid w:val="00265D88"/>
    <w:rsid w:val="00265DB9"/>
    <w:rsid w:val="00265DE3"/>
    <w:rsid w:val="00265EA8"/>
    <w:rsid w:val="00265EB8"/>
    <w:rsid w:val="00265ED2"/>
    <w:rsid w:val="00265F07"/>
    <w:rsid w:val="00265F0F"/>
    <w:rsid w:val="00265F3D"/>
    <w:rsid w:val="00265F57"/>
    <w:rsid w:val="00265F62"/>
    <w:rsid w:val="00265FE3"/>
    <w:rsid w:val="00265FF6"/>
    <w:rsid w:val="0026609E"/>
    <w:rsid w:val="002660F3"/>
    <w:rsid w:val="0026614A"/>
    <w:rsid w:val="0026621D"/>
    <w:rsid w:val="00266231"/>
    <w:rsid w:val="00266272"/>
    <w:rsid w:val="0026628A"/>
    <w:rsid w:val="0026629A"/>
    <w:rsid w:val="002662C2"/>
    <w:rsid w:val="00266309"/>
    <w:rsid w:val="0026634F"/>
    <w:rsid w:val="00266378"/>
    <w:rsid w:val="002663CA"/>
    <w:rsid w:val="002663E6"/>
    <w:rsid w:val="00266428"/>
    <w:rsid w:val="00266429"/>
    <w:rsid w:val="0026649D"/>
    <w:rsid w:val="0026652E"/>
    <w:rsid w:val="002665A7"/>
    <w:rsid w:val="00266644"/>
    <w:rsid w:val="00266693"/>
    <w:rsid w:val="0026669D"/>
    <w:rsid w:val="002666EA"/>
    <w:rsid w:val="0026670C"/>
    <w:rsid w:val="002667D2"/>
    <w:rsid w:val="00266817"/>
    <w:rsid w:val="0026685E"/>
    <w:rsid w:val="00266865"/>
    <w:rsid w:val="002668D8"/>
    <w:rsid w:val="00266921"/>
    <w:rsid w:val="00266998"/>
    <w:rsid w:val="002669C0"/>
    <w:rsid w:val="00266A31"/>
    <w:rsid w:val="00266A3B"/>
    <w:rsid w:val="00266A5E"/>
    <w:rsid w:val="00266AE0"/>
    <w:rsid w:val="00266AFC"/>
    <w:rsid w:val="00266B15"/>
    <w:rsid w:val="00266B3D"/>
    <w:rsid w:val="00266B58"/>
    <w:rsid w:val="00266B5B"/>
    <w:rsid w:val="00266BFA"/>
    <w:rsid w:val="00266BFC"/>
    <w:rsid w:val="00266C43"/>
    <w:rsid w:val="00266C86"/>
    <w:rsid w:val="00266C8C"/>
    <w:rsid w:val="00266CA9"/>
    <w:rsid w:val="00266CAD"/>
    <w:rsid w:val="00266CBE"/>
    <w:rsid w:val="00266CC1"/>
    <w:rsid w:val="00266D0D"/>
    <w:rsid w:val="00266D28"/>
    <w:rsid w:val="00266D37"/>
    <w:rsid w:val="00266D75"/>
    <w:rsid w:val="00266DAC"/>
    <w:rsid w:val="00266DDA"/>
    <w:rsid w:val="00266DFC"/>
    <w:rsid w:val="00266E21"/>
    <w:rsid w:val="00266E8E"/>
    <w:rsid w:val="00266E9B"/>
    <w:rsid w:val="00266EAE"/>
    <w:rsid w:val="00266ECA"/>
    <w:rsid w:val="00266EE2"/>
    <w:rsid w:val="00266EF1"/>
    <w:rsid w:val="00266F0F"/>
    <w:rsid w:val="00266F44"/>
    <w:rsid w:val="00266F48"/>
    <w:rsid w:val="00266F79"/>
    <w:rsid w:val="00266F98"/>
    <w:rsid w:val="00266FF6"/>
    <w:rsid w:val="00267007"/>
    <w:rsid w:val="00267011"/>
    <w:rsid w:val="0026705C"/>
    <w:rsid w:val="002670AF"/>
    <w:rsid w:val="002670DD"/>
    <w:rsid w:val="002670E1"/>
    <w:rsid w:val="0026711C"/>
    <w:rsid w:val="0026712D"/>
    <w:rsid w:val="0026713A"/>
    <w:rsid w:val="00267163"/>
    <w:rsid w:val="0026717B"/>
    <w:rsid w:val="00267239"/>
    <w:rsid w:val="00267240"/>
    <w:rsid w:val="00267278"/>
    <w:rsid w:val="002672F0"/>
    <w:rsid w:val="00267312"/>
    <w:rsid w:val="00267347"/>
    <w:rsid w:val="00267388"/>
    <w:rsid w:val="002673CD"/>
    <w:rsid w:val="00267402"/>
    <w:rsid w:val="00267446"/>
    <w:rsid w:val="0026744F"/>
    <w:rsid w:val="0026746E"/>
    <w:rsid w:val="0026747C"/>
    <w:rsid w:val="002674B6"/>
    <w:rsid w:val="002674E4"/>
    <w:rsid w:val="002674E7"/>
    <w:rsid w:val="00267507"/>
    <w:rsid w:val="0026754E"/>
    <w:rsid w:val="00267585"/>
    <w:rsid w:val="002675C1"/>
    <w:rsid w:val="002675C8"/>
    <w:rsid w:val="002675D5"/>
    <w:rsid w:val="002675FB"/>
    <w:rsid w:val="00267618"/>
    <w:rsid w:val="00267700"/>
    <w:rsid w:val="00267702"/>
    <w:rsid w:val="0026771E"/>
    <w:rsid w:val="00267746"/>
    <w:rsid w:val="0026778D"/>
    <w:rsid w:val="00267798"/>
    <w:rsid w:val="002677BF"/>
    <w:rsid w:val="002677F0"/>
    <w:rsid w:val="00267825"/>
    <w:rsid w:val="002678A6"/>
    <w:rsid w:val="002679C2"/>
    <w:rsid w:val="002679D6"/>
    <w:rsid w:val="002679E3"/>
    <w:rsid w:val="002679EC"/>
    <w:rsid w:val="002679EE"/>
    <w:rsid w:val="002679F9"/>
    <w:rsid w:val="00267A75"/>
    <w:rsid w:val="00267A7D"/>
    <w:rsid w:val="00267A8C"/>
    <w:rsid w:val="00267AD9"/>
    <w:rsid w:val="00267ADA"/>
    <w:rsid w:val="00267B22"/>
    <w:rsid w:val="00267B3F"/>
    <w:rsid w:val="00267B47"/>
    <w:rsid w:val="00267B63"/>
    <w:rsid w:val="00267B69"/>
    <w:rsid w:val="00267B70"/>
    <w:rsid w:val="00267B8D"/>
    <w:rsid w:val="00267B93"/>
    <w:rsid w:val="00267BE0"/>
    <w:rsid w:val="00267C18"/>
    <w:rsid w:val="00267C97"/>
    <w:rsid w:val="00267CE7"/>
    <w:rsid w:val="00267D07"/>
    <w:rsid w:val="00267D24"/>
    <w:rsid w:val="00267D28"/>
    <w:rsid w:val="00267D36"/>
    <w:rsid w:val="00267D63"/>
    <w:rsid w:val="00267D83"/>
    <w:rsid w:val="00267DB6"/>
    <w:rsid w:val="00267DD7"/>
    <w:rsid w:val="00267DE2"/>
    <w:rsid w:val="00267E13"/>
    <w:rsid w:val="00267E3A"/>
    <w:rsid w:val="00267E6D"/>
    <w:rsid w:val="00267E72"/>
    <w:rsid w:val="00267E89"/>
    <w:rsid w:val="00267E95"/>
    <w:rsid w:val="00267F03"/>
    <w:rsid w:val="00267F07"/>
    <w:rsid w:val="00267F20"/>
    <w:rsid w:val="00267F5E"/>
    <w:rsid w:val="00267F67"/>
    <w:rsid w:val="00267F73"/>
    <w:rsid w:val="00267F88"/>
    <w:rsid w:val="00267FA7"/>
    <w:rsid w:val="00270007"/>
    <w:rsid w:val="00270027"/>
    <w:rsid w:val="00270041"/>
    <w:rsid w:val="00270054"/>
    <w:rsid w:val="00270064"/>
    <w:rsid w:val="00270138"/>
    <w:rsid w:val="0027015C"/>
    <w:rsid w:val="00270178"/>
    <w:rsid w:val="00270189"/>
    <w:rsid w:val="0027018A"/>
    <w:rsid w:val="00270216"/>
    <w:rsid w:val="00270218"/>
    <w:rsid w:val="00270238"/>
    <w:rsid w:val="00270264"/>
    <w:rsid w:val="002702A6"/>
    <w:rsid w:val="002702A7"/>
    <w:rsid w:val="002702E9"/>
    <w:rsid w:val="0027034F"/>
    <w:rsid w:val="00270383"/>
    <w:rsid w:val="00270391"/>
    <w:rsid w:val="002703A5"/>
    <w:rsid w:val="002703CF"/>
    <w:rsid w:val="002703D5"/>
    <w:rsid w:val="002703DE"/>
    <w:rsid w:val="002703FC"/>
    <w:rsid w:val="00270422"/>
    <w:rsid w:val="0027043A"/>
    <w:rsid w:val="002704B0"/>
    <w:rsid w:val="002704E3"/>
    <w:rsid w:val="00270505"/>
    <w:rsid w:val="002705FB"/>
    <w:rsid w:val="0027062A"/>
    <w:rsid w:val="0027062E"/>
    <w:rsid w:val="00270636"/>
    <w:rsid w:val="00270649"/>
    <w:rsid w:val="0027064E"/>
    <w:rsid w:val="00270660"/>
    <w:rsid w:val="00270662"/>
    <w:rsid w:val="0027067F"/>
    <w:rsid w:val="00270691"/>
    <w:rsid w:val="0027069D"/>
    <w:rsid w:val="002706BC"/>
    <w:rsid w:val="002706EA"/>
    <w:rsid w:val="002706ED"/>
    <w:rsid w:val="00270718"/>
    <w:rsid w:val="00270776"/>
    <w:rsid w:val="0027079B"/>
    <w:rsid w:val="002707DC"/>
    <w:rsid w:val="00270832"/>
    <w:rsid w:val="00270852"/>
    <w:rsid w:val="00270869"/>
    <w:rsid w:val="0027086C"/>
    <w:rsid w:val="00270875"/>
    <w:rsid w:val="00270899"/>
    <w:rsid w:val="002708A7"/>
    <w:rsid w:val="002708B7"/>
    <w:rsid w:val="002708FA"/>
    <w:rsid w:val="00270920"/>
    <w:rsid w:val="00270961"/>
    <w:rsid w:val="002709B1"/>
    <w:rsid w:val="002709C1"/>
    <w:rsid w:val="002709E0"/>
    <w:rsid w:val="002709ED"/>
    <w:rsid w:val="00270A1A"/>
    <w:rsid w:val="00270A84"/>
    <w:rsid w:val="00270AA4"/>
    <w:rsid w:val="00270B09"/>
    <w:rsid w:val="00270B81"/>
    <w:rsid w:val="00270B87"/>
    <w:rsid w:val="00270BA9"/>
    <w:rsid w:val="00270C0D"/>
    <w:rsid w:val="00270C70"/>
    <w:rsid w:val="00270CE2"/>
    <w:rsid w:val="00270D66"/>
    <w:rsid w:val="00270DE1"/>
    <w:rsid w:val="00270E18"/>
    <w:rsid w:val="00270E72"/>
    <w:rsid w:val="00270E78"/>
    <w:rsid w:val="00270E85"/>
    <w:rsid w:val="00270EB0"/>
    <w:rsid w:val="00270EE7"/>
    <w:rsid w:val="00270F67"/>
    <w:rsid w:val="00270F81"/>
    <w:rsid w:val="00270FB6"/>
    <w:rsid w:val="0027102D"/>
    <w:rsid w:val="0027102F"/>
    <w:rsid w:val="0027108F"/>
    <w:rsid w:val="00271091"/>
    <w:rsid w:val="00271107"/>
    <w:rsid w:val="00271181"/>
    <w:rsid w:val="0027118A"/>
    <w:rsid w:val="002711A1"/>
    <w:rsid w:val="00271272"/>
    <w:rsid w:val="00271288"/>
    <w:rsid w:val="00271289"/>
    <w:rsid w:val="002712C3"/>
    <w:rsid w:val="00271347"/>
    <w:rsid w:val="00271358"/>
    <w:rsid w:val="0027136A"/>
    <w:rsid w:val="0027138F"/>
    <w:rsid w:val="002713FB"/>
    <w:rsid w:val="0027140E"/>
    <w:rsid w:val="0027141F"/>
    <w:rsid w:val="0027145C"/>
    <w:rsid w:val="002714AC"/>
    <w:rsid w:val="002714E0"/>
    <w:rsid w:val="00271501"/>
    <w:rsid w:val="0027151F"/>
    <w:rsid w:val="0027155B"/>
    <w:rsid w:val="0027158A"/>
    <w:rsid w:val="002715D8"/>
    <w:rsid w:val="002715F6"/>
    <w:rsid w:val="00271662"/>
    <w:rsid w:val="00271701"/>
    <w:rsid w:val="0027170A"/>
    <w:rsid w:val="00271786"/>
    <w:rsid w:val="002717AF"/>
    <w:rsid w:val="002717BA"/>
    <w:rsid w:val="002717C1"/>
    <w:rsid w:val="002717C5"/>
    <w:rsid w:val="002717F8"/>
    <w:rsid w:val="00271848"/>
    <w:rsid w:val="00271899"/>
    <w:rsid w:val="0027195C"/>
    <w:rsid w:val="0027198E"/>
    <w:rsid w:val="002719AE"/>
    <w:rsid w:val="002719B0"/>
    <w:rsid w:val="00271A1D"/>
    <w:rsid w:val="00271A29"/>
    <w:rsid w:val="00271A38"/>
    <w:rsid w:val="00271B12"/>
    <w:rsid w:val="00271B63"/>
    <w:rsid w:val="00271BA6"/>
    <w:rsid w:val="00271BAB"/>
    <w:rsid w:val="00271BD1"/>
    <w:rsid w:val="00271C3B"/>
    <w:rsid w:val="00271C60"/>
    <w:rsid w:val="00271D0A"/>
    <w:rsid w:val="00271D47"/>
    <w:rsid w:val="00271D99"/>
    <w:rsid w:val="00271DA9"/>
    <w:rsid w:val="00271E41"/>
    <w:rsid w:val="00271E47"/>
    <w:rsid w:val="00271E51"/>
    <w:rsid w:val="00271E64"/>
    <w:rsid w:val="00271E75"/>
    <w:rsid w:val="00271E7A"/>
    <w:rsid w:val="00271E82"/>
    <w:rsid w:val="00271EC0"/>
    <w:rsid w:val="00271F33"/>
    <w:rsid w:val="00271F70"/>
    <w:rsid w:val="00271F8B"/>
    <w:rsid w:val="00271FA0"/>
    <w:rsid w:val="00271FF7"/>
    <w:rsid w:val="00272016"/>
    <w:rsid w:val="00272066"/>
    <w:rsid w:val="002720EA"/>
    <w:rsid w:val="002720F8"/>
    <w:rsid w:val="0027213A"/>
    <w:rsid w:val="002721CE"/>
    <w:rsid w:val="002721DB"/>
    <w:rsid w:val="0027224A"/>
    <w:rsid w:val="00272264"/>
    <w:rsid w:val="00272287"/>
    <w:rsid w:val="00272295"/>
    <w:rsid w:val="002722DE"/>
    <w:rsid w:val="0027232A"/>
    <w:rsid w:val="0027232E"/>
    <w:rsid w:val="0027235C"/>
    <w:rsid w:val="00272362"/>
    <w:rsid w:val="0027239D"/>
    <w:rsid w:val="0027246C"/>
    <w:rsid w:val="00272487"/>
    <w:rsid w:val="002724A0"/>
    <w:rsid w:val="00272513"/>
    <w:rsid w:val="00272553"/>
    <w:rsid w:val="00272560"/>
    <w:rsid w:val="0027256A"/>
    <w:rsid w:val="0027256D"/>
    <w:rsid w:val="00272570"/>
    <w:rsid w:val="00272583"/>
    <w:rsid w:val="00272593"/>
    <w:rsid w:val="002725C9"/>
    <w:rsid w:val="002725FD"/>
    <w:rsid w:val="00272646"/>
    <w:rsid w:val="0027266F"/>
    <w:rsid w:val="002726A0"/>
    <w:rsid w:val="002726C3"/>
    <w:rsid w:val="002726FB"/>
    <w:rsid w:val="00272706"/>
    <w:rsid w:val="0027270B"/>
    <w:rsid w:val="0027273E"/>
    <w:rsid w:val="0027278D"/>
    <w:rsid w:val="0027278F"/>
    <w:rsid w:val="0027279E"/>
    <w:rsid w:val="002727AB"/>
    <w:rsid w:val="002727E8"/>
    <w:rsid w:val="00272818"/>
    <w:rsid w:val="00272834"/>
    <w:rsid w:val="00272864"/>
    <w:rsid w:val="00272890"/>
    <w:rsid w:val="002728B7"/>
    <w:rsid w:val="002728E5"/>
    <w:rsid w:val="002728F2"/>
    <w:rsid w:val="00272963"/>
    <w:rsid w:val="00272971"/>
    <w:rsid w:val="002729A3"/>
    <w:rsid w:val="00272A08"/>
    <w:rsid w:val="00272A2F"/>
    <w:rsid w:val="00272A45"/>
    <w:rsid w:val="00272A78"/>
    <w:rsid w:val="00272AA3"/>
    <w:rsid w:val="00272B15"/>
    <w:rsid w:val="00272B25"/>
    <w:rsid w:val="00272B35"/>
    <w:rsid w:val="00272B71"/>
    <w:rsid w:val="00272B78"/>
    <w:rsid w:val="00272B8A"/>
    <w:rsid w:val="00272BAD"/>
    <w:rsid w:val="00272BE2"/>
    <w:rsid w:val="00272C01"/>
    <w:rsid w:val="00272C48"/>
    <w:rsid w:val="00272C5A"/>
    <w:rsid w:val="00272C61"/>
    <w:rsid w:val="00272C69"/>
    <w:rsid w:val="00272C6F"/>
    <w:rsid w:val="00272CDA"/>
    <w:rsid w:val="00272D06"/>
    <w:rsid w:val="00272D07"/>
    <w:rsid w:val="00272D09"/>
    <w:rsid w:val="00272D15"/>
    <w:rsid w:val="00272D2D"/>
    <w:rsid w:val="00272DA4"/>
    <w:rsid w:val="00272DC6"/>
    <w:rsid w:val="00272DD3"/>
    <w:rsid w:val="00272DD9"/>
    <w:rsid w:val="00272E89"/>
    <w:rsid w:val="00272EA5"/>
    <w:rsid w:val="00272EC7"/>
    <w:rsid w:val="00272ED5"/>
    <w:rsid w:val="00272F25"/>
    <w:rsid w:val="00272F5B"/>
    <w:rsid w:val="00272FB7"/>
    <w:rsid w:val="00272FBF"/>
    <w:rsid w:val="0027304F"/>
    <w:rsid w:val="00273058"/>
    <w:rsid w:val="00273092"/>
    <w:rsid w:val="002730C1"/>
    <w:rsid w:val="002730C9"/>
    <w:rsid w:val="002730D7"/>
    <w:rsid w:val="0027314C"/>
    <w:rsid w:val="00273161"/>
    <w:rsid w:val="002731B5"/>
    <w:rsid w:val="00273230"/>
    <w:rsid w:val="00273234"/>
    <w:rsid w:val="0027324D"/>
    <w:rsid w:val="00273263"/>
    <w:rsid w:val="002732AC"/>
    <w:rsid w:val="002732BB"/>
    <w:rsid w:val="002732BE"/>
    <w:rsid w:val="002732C3"/>
    <w:rsid w:val="002732F7"/>
    <w:rsid w:val="00273326"/>
    <w:rsid w:val="00273336"/>
    <w:rsid w:val="00273369"/>
    <w:rsid w:val="00273372"/>
    <w:rsid w:val="002733C6"/>
    <w:rsid w:val="0027343F"/>
    <w:rsid w:val="0027346A"/>
    <w:rsid w:val="00273489"/>
    <w:rsid w:val="002734B5"/>
    <w:rsid w:val="002734B8"/>
    <w:rsid w:val="002734BE"/>
    <w:rsid w:val="002734CC"/>
    <w:rsid w:val="002734F8"/>
    <w:rsid w:val="00273516"/>
    <w:rsid w:val="0027353D"/>
    <w:rsid w:val="002735C4"/>
    <w:rsid w:val="002735F3"/>
    <w:rsid w:val="00273640"/>
    <w:rsid w:val="00273656"/>
    <w:rsid w:val="0027368E"/>
    <w:rsid w:val="002736D0"/>
    <w:rsid w:val="00273712"/>
    <w:rsid w:val="00273736"/>
    <w:rsid w:val="0027378A"/>
    <w:rsid w:val="00273797"/>
    <w:rsid w:val="00273798"/>
    <w:rsid w:val="0027379C"/>
    <w:rsid w:val="002737A5"/>
    <w:rsid w:val="002737BE"/>
    <w:rsid w:val="002737DD"/>
    <w:rsid w:val="00273805"/>
    <w:rsid w:val="00273834"/>
    <w:rsid w:val="00273840"/>
    <w:rsid w:val="0027385C"/>
    <w:rsid w:val="002738A3"/>
    <w:rsid w:val="002738C5"/>
    <w:rsid w:val="002738CB"/>
    <w:rsid w:val="00273938"/>
    <w:rsid w:val="00273943"/>
    <w:rsid w:val="00273967"/>
    <w:rsid w:val="00273987"/>
    <w:rsid w:val="00273991"/>
    <w:rsid w:val="002739D5"/>
    <w:rsid w:val="00273A29"/>
    <w:rsid w:val="00273A59"/>
    <w:rsid w:val="00273A81"/>
    <w:rsid w:val="00273A9A"/>
    <w:rsid w:val="00273B29"/>
    <w:rsid w:val="00273B2E"/>
    <w:rsid w:val="00273B5D"/>
    <w:rsid w:val="00273B67"/>
    <w:rsid w:val="00273B8B"/>
    <w:rsid w:val="00273BCE"/>
    <w:rsid w:val="00273C07"/>
    <w:rsid w:val="00273C5A"/>
    <w:rsid w:val="00273CA6"/>
    <w:rsid w:val="00273D45"/>
    <w:rsid w:val="00273D77"/>
    <w:rsid w:val="00273DB3"/>
    <w:rsid w:val="00273DD3"/>
    <w:rsid w:val="00273DF3"/>
    <w:rsid w:val="00273E0F"/>
    <w:rsid w:val="00273E12"/>
    <w:rsid w:val="00273E43"/>
    <w:rsid w:val="00273E45"/>
    <w:rsid w:val="00273E50"/>
    <w:rsid w:val="00273E68"/>
    <w:rsid w:val="00273E79"/>
    <w:rsid w:val="00273E9F"/>
    <w:rsid w:val="00273ECC"/>
    <w:rsid w:val="00273EE8"/>
    <w:rsid w:val="00273F2C"/>
    <w:rsid w:val="00273F66"/>
    <w:rsid w:val="00273FBA"/>
    <w:rsid w:val="00273FFE"/>
    <w:rsid w:val="0027401A"/>
    <w:rsid w:val="0027402B"/>
    <w:rsid w:val="0027403E"/>
    <w:rsid w:val="002740CE"/>
    <w:rsid w:val="002740E4"/>
    <w:rsid w:val="00274147"/>
    <w:rsid w:val="0027414E"/>
    <w:rsid w:val="002741A2"/>
    <w:rsid w:val="002741AE"/>
    <w:rsid w:val="002741DF"/>
    <w:rsid w:val="002741E8"/>
    <w:rsid w:val="0027422F"/>
    <w:rsid w:val="00274257"/>
    <w:rsid w:val="002742A7"/>
    <w:rsid w:val="002742B4"/>
    <w:rsid w:val="00274341"/>
    <w:rsid w:val="0027434C"/>
    <w:rsid w:val="00274354"/>
    <w:rsid w:val="0027435B"/>
    <w:rsid w:val="00274364"/>
    <w:rsid w:val="00274368"/>
    <w:rsid w:val="00274378"/>
    <w:rsid w:val="0027438F"/>
    <w:rsid w:val="0027439D"/>
    <w:rsid w:val="002743F9"/>
    <w:rsid w:val="00274436"/>
    <w:rsid w:val="0027445C"/>
    <w:rsid w:val="00274465"/>
    <w:rsid w:val="0027446A"/>
    <w:rsid w:val="00274472"/>
    <w:rsid w:val="002744A7"/>
    <w:rsid w:val="002744D5"/>
    <w:rsid w:val="002744DD"/>
    <w:rsid w:val="00274509"/>
    <w:rsid w:val="00274520"/>
    <w:rsid w:val="0027453A"/>
    <w:rsid w:val="0027454B"/>
    <w:rsid w:val="00274564"/>
    <w:rsid w:val="00274591"/>
    <w:rsid w:val="002745A6"/>
    <w:rsid w:val="00274683"/>
    <w:rsid w:val="002746A3"/>
    <w:rsid w:val="002746C6"/>
    <w:rsid w:val="002746ED"/>
    <w:rsid w:val="002747EA"/>
    <w:rsid w:val="00274804"/>
    <w:rsid w:val="00274809"/>
    <w:rsid w:val="0027484B"/>
    <w:rsid w:val="002748BA"/>
    <w:rsid w:val="002748C1"/>
    <w:rsid w:val="00274906"/>
    <w:rsid w:val="0027493F"/>
    <w:rsid w:val="00274969"/>
    <w:rsid w:val="00274982"/>
    <w:rsid w:val="002749B9"/>
    <w:rsid w:val="00274A08"/>
    <w:rsid w:val="00274A3B"/>
    <w:rsid w:val="00274A4D"/>
    <w:rsid w:val="00274A65"/>
    <w:rsid w:val="00274AB7"/>
    <w:rsid w:val="00274AC8"/>
    <w:rsid w:val="00274AD3"/>
    <w:rsid w:val="00274ADA"/>
    <w:rsid w:val="00274AF0"/>
    <w:rsid w:val="00274AF8"/>
    <w:rsid w:val="00274B19"/>
    <w:rsid w:val="00274B57"/>
    <w:rsid w:val="00274BC9"/>
    <w:rsid w:val="00274C1D"/>
    <w:rsid w:val="00274C30"/>
    <w:rsid w:val="00274C8A"/>
    <w:rsid w:val="00274C96"/>
    <w:rsid w:val="00274CBA"/>
    <w:rsid w:val="00274CE5"/>
    <w:rsid w:val="00274D94"/>
    <w:rsid w:val="00274D98"/>
    <w:rsid w:val="00274EB2"/>
    <w:rsid w:val="00274EBF"/>
    <w:rsid w:val="00274EC7"/>
    <w:rsid w:val="00274EFC"/>
    <w:rsid w:val="00274F07"/>
    <w:rsid w:val="00274F22"/>
    <w:rsid w:val="00274F42"/>
    <w:rsid w:val="00274F55"/>
    <w:rsid w:val="0027501D"/>
    <w:rsid w:val="0027501E"/>
    <w:rsid w:val="0027503D"/>
    <w:rsid w:val="00275043"/>
    <w:rsid w:val="0027504E"/>
    <w:rsid w:val="00275079"/>
    <w:rsid w:val="0027507A"/>
    <w:rsid w:val="0027508C"/>
    <w:rsid w:val="0027509E"/>
    <w:rsid w:val="002750C8"/>
    <w:rsid w:val="00275126"/>
    <w:rsid w:val="0027512B"/>
    <w:rsid w:val="0027512E"/>
    <w:rsid w:val="00275197"/>
    <w:rsid w:val="002751E6"/>
    <w:rsid w:val="00275217"/>
    <w:rsid w:val="00275232"/>
    <w:rsid w:val="0027523D"/>
    <w:rsid w:val="00275251"/>
    <w:rsid w:val="002752A9"/>
    <w:rsid w:val="002752CE"/>
    <w:rsid w:val="00275300"/>
    <w:rsid w:val="002753F5"/>
    <w:rsid w:val="002753FC"/>
    <w:rsid w:val="00275414"/>
    <w:rsid w:val="002754E9"/>
    <w:rsid w:val="0027554B"/>
    <w:rsid w:val="0027554D"/>
    <w:rsid w:val="00275553"/>
    <w:rsid w:val="0027556F"/>
    <w:rsid w:val="002755C0"/>
    <w:rsid w:val="002755E0"/>
    <w:rsid w:val="002755E3"/>
    <w:rsid w:val="00275601"/>
    <w:rsid w:val="0027563A"/>
    <w:rsid w:val="0027565C"/>
    <w:rsid w:val="0027567C"/>
    <w:rsid w:val="00275697"/>
    <w:rsid w:val="0027569A"/>
    <w:rsid w:val="002756A2"/>
    <w:rsid w:val="002756BB"/>
    <w:rsid w:val="002756EF"/>
    <w:rsid w:val="00275729"/>
    <w:rsid w:val="0027574A"/>
    <w:rsid w:val="0027574E"/>
    <w:rsid w:val="00275773"/>
    <w:rsid w:val="002757C9"/>
    <w:rsid w:val="002758A0"/>
    <w:rsid w:val="002758BA"/>
    <w:rsid w:val="002758CD"/>
    <w:rsid w:val="00275985"/>
    <w:rsid w:val="002759E8"/>
    <w:rsid w:val="00275A0E"/>
    <w:rsid w:val="00275A1A"/>
    <w:rsid w:val="00275A45"/>
    <w:rsid w:val="00275AD6"/>
    <w:rsid w:val="00275AEC"/>
    <w:rsid w:val="00275B05"/>
    <w:rsid w:val="00275B1B"/>
    <w:rsid w:val="00275B79"/>
    <w:rsid w:val="00275B92"/>
    <w:rsid w:val="00275BF7"/>
    <w:rsid w:val="00275C26"/>
    <w:rsid w:val="00275C43"/>
    <w:rsid w:val="00275C94"/>
    <w:rsid w:val="00275C9B"/>
    <w:rsid w:val="00275C9E"/>
    <w:rsid w:val="00275CA0"/>
    <w:rsid w:val="00275CBC"/>
    <w:rsid w:val="00275CD1"/>
    <w:rsid w:val="00275D34"/>
    <w:rsid w:val="00275D38"/>
    <w:rsid w:val="00275D3E"/>
    <w:rsid w:val="00275D49"/>
    <w:rsid w:val="00275D9A"/>
    <w:rsid w:val="00275DE7"/>
    <w:rsid w:val="00275DEE"/>
    <w:rsid w:val="00275DFB"/>
    <w:rsid w:val="00275E42"/>
    <w:rsid w:val="00275EA0"/>
    <w:rsid w:val="00275ED6"/>
    <w:rsid w:val="00275EDD"/>
    <w:rsid w:val="00275F98"/>
    <w:rsid w:val="00275FCD"/>
    <w:rsid w:val="0027600F"/>
    <w:rsid w:val="0027603D"/>
    <w:rsid w:val="00276068"/>
    <w:rsid w:val="002760FB"/>
    <w:rsid w:val="00276103"/>
    <w:rsid w:val="0027613B"/>
    <w:rsid w:val="0027616C"/>
    <w:rsid w:val="00276178"/>
    <w:rsid w:val="00276196"/>
    <w:rsid w:val="00276235"/>
    <w:rsid w:val="0027624C"/>
    <w:rsid w:val="0027624F"/>
    <w:rsid w:val="0027629D"/>
    <w:rsid w:val="002762D6"/>
    <w:rsid w:val="00276346"/>
    <w:rsid w:val="00276363"/>
    <w:rsid w:val="002763C4"/>
    <w:rsid w:val="002763DC"/>
    <w:rsid w:val="002763FA"/>
    <w:rsid w:val="00276417"/>
    <w:rsid w:val="00276422"/>
    <w:rsid w:val="0027649D"/>
    <w:rsid w:val="002764A7"/>
    <w:rsid w:val="002764EC"/>
    <w:rsid w:val="0027651C"/>
    <w:rsid w:val="00276524"/>
    <w:rsid w:val="00276557"/>
    <w:rsid w:val="00276586"/>
    <w:rsid w:val="0027659F"/>
    <w:rsid w:val="002765BE"/>
    <w:rsid w:val="002765C7"/>
    <w:rsid w:val="002765F2"/>
    <w:rsid w:val="002765F7"/>
    <w:rsid w:val="002765FC"/>
    <w:rsid w:val="0027661E"/>
    <w:rsid w:val="00276621"/>
    <w:rsid w:val="00276639"/>
    <w:rsid w:val="0027666A"/>
    <w:rsid w:val="00276678"/>
    <w:rsid w:val="00276692"/>
    <w:rsid w:val="002766B0"/>
    <w:rsid w:val="002766B3"/>
    <w:rsid w:val="002766E9"/>
    <w:rsid w:val="002766EE"/>
    <w:rsid w:val="002766F1"/>
    <w:rsid w:val="002766FC"/>
    <w:rsid w:val="00276705"/>
    <w:rsid w:val="0027670E"/>
    <w:rsid w:val="00276761"/>
    <w:rsid w:val="002767A9"/>
    <w:rsid w:val="002767BF"/>
    <w:rsid w:val="002767C0"/>
    <w:rsid w:val="002767D7"/>
    <w:rsid w:val="00276816"/>
    <w:rsid w:val="00276833"/>
    <w:rsid w:val="00276887"/>
    <w:rsid w:val="00276895"/>
    <w:rsid w:val="00276929"/>
    <w:rsid w:val="00276950"/>
    <w:rsid w:val="002769B2"/>
    <w:rsid w:val="002769B5"/>
    <w:rsid w:val="002769C2"/>
    <w:rsid w:val="00276A32"/>
    <w:rsid w:val="00276A38"/>
    <w:rsid w:val="00276A6F"/>
    <w:rsid w:val="00276A7F"/>
    <w:rsid w:val="00276AA4"/>
    <w:rsid w:val="00276AEA"/>
    <w:rsid w:val="00276B09"/>
    <w:rsid w:val="00276B5A"/>
    <w:rsid w:val="00276B74"/>
    <w:rsid w:val="00276B80"/>
    <w:rsid w:val="00276BD7"/>
    <w:rsid w:val="00276C13"/>
    <w:rsid w:val="00276C20"/>
    <w:rsid w:val="00276C35"/>
    <w:rsid w:val="00276C43"/>
    <w:rsid w:val="00276C4D"/>
    <w:rsid w:val="00276C4F"/>
    <w:rsid w:val="00276C5C"/>
    <w:rsid w:val="00276C77"/>
    <w:rsid w:val="00276C8E"/>
    <w:rsid w:val="00276CC4"/>
    <w:rsid w:val="00276D00"/>
    <w:rsid w:val="00276DBA"/>
    <w:rsid w:val="00276E04"/>
    <w:rsid w:val="00276E33"/>
    <w:rsid w:val="00276E3B"/>
    <w:rsid w:val="00276E89"/>
    <w:rsid w:val="00276E94"/>
    <w:rsid w:val="00276E9C"/>
    <w:rsid w:val="00276EA6"/>
    <w:rsid w:val="00276EDA"/>
    <w:rsid w:val="00276EE6"/>
    <w:rsid w:val="00276EEF"/>
    <w:rsid w:val="00276EF0"/>
    <w:rsid w:val="00276EF1"/>
    <w:rsid w:val="00276F53"/>
    <w:rsid w:val="00276F85"/>
    <w:rsid w:val="00276F96"/>
    <w:rsid w:val="00276F9A"/>
    <w:rsid w:val="00277023"/>
    <w:rsid w:val="0027702E"/>
    <w:rsid w:val="0027704C"/>
    <w:rsid w:val="002770A8"/>
    <w:rsid w:val="002770AB"/>
    <w:rsid w:val="002770AE"/>
    <w:rsid w:val="002770B3"/>
    <w:rsid w:val="002770C2"/>
    <w:rsid w:val="002770CA"/>
    <w:rsid w:val="002770D2"/>
    <w:rsid w:val="002771B0"/>
    <w:rsid w:val="002771C7"/>
    <w:rsid w:val="002771EC"/>
    <w:rsid w:val="002771EE"/>
    <w:rsid w:val="002771FC"/>
    <w:rsid w:val="00277200"/>
    <w:rsid w:val="0027725D"/>
    <w:rsid w:val="00277260"/>
    <w:rsid w:val="00277262"/>
    <w:rsid w:val="00277268"/>
    <w:rsid w:val="0027726A"/>
    <w:rsid w:val="0027726D"/>
    <w:rsid w:val="00277281"/>
    <w:rsid w:val="002772CA"/>
    <w:rsid w:val="002772D3"/>
    <w:rsid w:val="002772EF"/>
    <w:rsid w:val="002772F0"/>
    <w:rsid w:val="00277336"/>
    <w:rsid w:val="00277397"/>
    <w:rsid w:val="0027740D"/>
    <w:rsid w:val="00277426"/>
    <w:rsid w:val="00277434"/>
    <w:rsid w:val="00277457"/>
    <w:rsid w:val="00277463"/>
    <w:rsid w:val="0027746D"/>
    <w:rsid w:val="002774DC"/>
    <w:rsid w:val="002774FB"/>
    <w:rsid w:val="002774FF"/>
    <w:rsid w:val="0027751E"/>
    <w:rsid w:val="0027758E"/>
    <w:rsid w:val="002775A1"/>
    <w:rsid w:val="00277634"/>
    <w:rsid w:val="00277635"/>
    <w:rsid w:val="0027765F"/>
    <w:rsid w:val="00277680"/>
    <w:rsid w:val="002776AE"/>
    <w:rsid w:val="002776F8"/>
    <w:rsid w:val="00277767"/>
    <w:rsid w:val="002777AB"/>
    <w:rsid w:val="002777C4"/>
    <w:rsid w:val="002777E6"/>
    <w:rsid w:val="00277801"/>
    <w:rsid w:val="00277820"/>
    <w:rsid w:val="00277840"/>
    <w:rsid w:val="00277876"/>
    <w:rsid w:val="002778D4"/>
    <w:rsid w:val="002778D6"/>
    <w:rsid w:val="002778FC"/>
    <w:rsid w:val="00277929"/>
    <w:rsid w:val="0027799F"/>
    <w:rsid w:val="002779FB"/>
    <w:rsid w:val="00277ABA"/>
    <w:rsid w:val="00277AE9"/>
    <w:rsid w:val="00277AF4"/>
    <w:rsid w:val="00277B26"/>
    <w:rsid w:val="00277B48"/>
    <w:rsid w:val="00277B4A"/>
    <w:rsid w:val="00277B7C"/>
    <w:rsid w:val="00277BCD"/>
    <w:rsid w:val="00277BDB"/>
    <w:rsid w:val="00277C42"/>
    <w:rsid w:val="00277C58"/>
    <w:rsid w:val="00277C8A"/>
    <w:rsid w:val="00277C8F"/>
    <w:rsid w:val="00277CB1"/>
    <w:rsid w:val="00277CB5"/>
    <w:rsid w:val="00277CD4"/>
    <w:rsid w:val="00277CF2"/>
    <w:rsid w:val="00277D1B"/>
    <w:rsid w:val="00277D50"/>
    <w:rsid w:val="00277DC0"/>
    <w:rsid w:val="00277DC3"/>
    <w:rsid w:val="00277DDF"/>
    <w:rsid w:val="00277DF0"/>
    <w:rsid w:val="00277E40"/>
    <w:rsid w:val="00277E57"/>
    <w:rsid w:val="00277E63"/>
    <w:rsid w:val="00277EA1"/>
    <w:rsid w:val="00277EDB"/>
    <w:rsid w:val="00277F8A"/>
    <w:rsid w:val="00277F93"/>
    <w:rsid w:val="00277FBB"/>
    <w:rsid w:val="00277FD7"/>
    <w:rsid w:val="00280028"/>
    <w:rsid w:val="00280041"/>
    <w:rsid w:val="00280050"/>
    <w:rsid w:val="00280053"/>
    <w:rsid w:val="002800C5"/>
    <w:rsid w:val="002800C8"/>
    <w:rsid w:val="002800F5"/>
    <w:rsid w:val="00280145"/>
    <w:rsid w:val="00280153"/>
    <w:rsid w:val="0028015A"/>
    <w:rsid w:val="0028015D"/>
    <w:rsid w:val="0028018D"/>
    <w:rsid w:val="002801D9"/>
    <w:rsid w:val="00280258"/>
    <w:rsid w:val="0028026A"/>
    <w:rsid w:val="002802A4"/>
    <w:rsid w:val="002802B9"/>
    <w:rsid w:val="002802DE"/>
    <w:rsid w:val="002802F8"/>
    <w:rsid w:val="002802FC"/>
    <w:rsid w:val="00280340"/>
    <w:rsid w:val="00280350"/>
    <w:rsid w:val="0028035C"/>
    <w:rsid w:val="00280418"/>
    <w:rsid w:val="00280439"/>
    <w:rsid w:val="0028043A"/>
    <w:rsid w:val="00280460"/>
    <w:rsid w:val="002804BB"/>
    <w:rsid w:val="002804CA"/>
    <w:rsid w:val="002804D9"/>
    <w:rsid w:val="002804DC"/>
    <w:rsid w:val="00280516"/>
    <w:rsid w:val="00280535"/>
    <w:rsid w:val="00280576"/>
    <w:rsid w:val="002805A1"/>
    <w:rsid w:val="002805C6"/>
    <w:rsid w:val="002805F4"/>
    <w:rsid w:val="00280655"/>
    <w:rsid w:val="00280726"/>
    <w:rsid w:val="00280761"/>
    <w:rsid w:val="00280777"/>
    <w:rsid w:val="00280795"/>
    <w:rsid w:val="002807BC"/>
    <w:rsid w:val="002807FD"/>
    <w:rsid w:val="00280818"/>
    <w:rsid w:val="0028081C"/>
    <w:rsid w:val="00280828"/>
    <w:rsid w:val="00280832"/>
    <w:rsid w:val="0028084F"/>
    <w:rsid w:val="00280853"/>
    <w:rsid w:val="00280894"/>
    <w:rsid w:val="002808BC"/>
    <w:rsid w:val="00280933"/>
    <w:rsid w:val="00280953"/>
    <w:rsid w:val="00280958"/>
    <w:rsid w:val="002809C7"/>
    <w:rsid w:val="002809D6"/>
    <w:rsid w:val="002809ED"/>
    <w:rsid w:val="002809FE"/>
    <w:rsid w:val="00280A8C"/>
    <w:rsid w:val="00280AE3"/>
    <w:rsid w:val="00280B22"/>
    <w:rsid w:val="00280BA6"/>
    <w:rsid w:val="00280BB3"/>
    <w:rsid w:val="00280BB9"/>
    <w:rsid w:val="00280C0F"/>
    <w:rsid w:val="00280C78"/>
    <w:rsid w:val="00280C8D"/>
    <w:rsid w:val="00280CCA"/>
    <w:rsid w:val="00280D22"/>
    <w:rsid w:val="00280D32"/>
    <w:rsid w:val="00280D89"/>
    <w:rsid w:val="00280D8D"/>
    <w:rsid w:val="00280DDC"/>
    <w:rsid w:val="00280E06"/>
    <w:rsid w:val="00280EBB"/>
    <w:rsid w:val="00280EC4"/>
    <w:rsid w:val="00280F33"/>
    <w:rsid w:val="00280F3C"/>
    <w:rsid w:val="00280F91"/>
    <w:rsid w:val="00280F9E"/>
    <w:rsid w:val="00280FC9"/>
    <w:rsid w:val="00280FDB"/>
    <w:rsid w:val="00281062"/>
    <w:rsid w:val="0028106F"/>
    <w:rsid w:val="002810A6"/>
    <w:rsid w:val="002810B1"/>
    <w:rsid w:val="002810BE"/>
    <w:rsid w:val="002810D3"/>
    <w:rsid w:val="002810F6"/>
    <w:rsid w:val="002810FD"/>
    <w:rsid w:val="00281186"/>
    <w:rsid w:val="002811AC"/>
    <w:rsid w:val="002811B5"/>
    <w:rsid w:val="00281218"/>
    <w:rsid w:val="00281254"/>
    <w:rsid w:val="00281269"/>
    <w:rsid w:val="0028129D"/>
    <w:rsid w:val="00281305"/>
    <w:rsid w:val="0028135F"/>
    <w:rsid w:val="00281365"/>
    <w:rsid w:val="00281378"/>
    <w:rsid w:val="002813AC"/>
    <w:rsid w:val="002813BB"/>
    <w:rsid w:val="00281441"/>
    <w:rsid w:val="002814CE"/>
    <w:rsid w:val="00281503"/>
    <w:rsid w:val="00281507"/>
    <w:rsid w:val="00281553"/>
    <w:rsid w:val="00281558"/>
    <w:rsid w:val="0028155E"/>
    <w:rsid w:val="00281575"/>
    <w:rsid w:val="00281580"/>
    <w:rsid w:val="002815A5"/>
    <w:rsid w:val="002815C8"/>
    <w:rsid w:val="002815CE"/>
    <w:rsid w:val="002815DF"/>
    <w:rsid w:val="002815E8"/>
    <w:rsid w:val="002815F6"/>
    <w:rsid w:val="002815F8"/>
    <w:rsid w:val="00281685"/>
    <w:rsid w:val="0028168E"/>
    <w:rsid w:val="002816AA"/>
    <w:rsid w:val="002816AD"/>
    <w:rsid w:val="002816B9"/>
    <w:rsid w:val="002816BD"/>
    <w:rsid w:val="002816DB"/>
    <w:rsid w:val="002816E2"/>
    <w:rsid w:val="002816F7"/>
    <w:rsid w:val="00281721"/>
    <w:rsid w:val="00281729"/>
    <w:rsid w:val="00281739"/>
    <w:rsid w:val="0028175A"/>
    <w:rsid w:val="0028177F"/>
    <w:rsid w:val="002817C2"/>
    <w:rsid w:val="002817F3"/>
    <w:rsid w:val="0028184B"/>
    <w:rsid w:val="00281856"/>
    <w:rsid w:val="0028189E"/>
    <w:rsid w:val="002818C7"/>
    <w:rsid w:val="0028191E"/>
    <w:rsid w:val="00281974"/>
    <w:rsid w:val="0028199B"/>
    <w:rsid w:val="002819B5"/>
    <w:rsid w:val="002819B7"/>
    <w:rsid w:val="002819D8"/>
    <w:rsid w:val="002819E4"/>
    <w:rsid w:val="002819E6"/>
    <w:rsid w:val="002819EE"/>
    <w:rsid w:val="002819F1"/>
    <w:rsid w:val="002819F4"/>
    <w:rsid w:val="00281A2C"/>
    <w:rsid w:val="00281A50"/>
    <w:rsid w:val="00281A70"/>
    <w:rsid w:val="00281AB1"/>
    <w:rsid w:val="00281B2C"/>
    <w:rsid w:val="00281B58"/>
    <w:rsid w:val="00281B70"/>
    <w:rsid w:val="00281B75"/>
    <w:rsid w:val="00281BAD"/>
    <w:rsid w:val="00281BD7"/>
    <w:rsid w:val="00281C11"/>
    <w:rsid w:val="00281C13"/>
    <w:rsid w:val="00281C36"/>
    <w:rsid w:val="00281C3D"/>
    <w:rsid w:val="00281C7F"/>
    <w:rsid w:val="00281C8E"/>
    <w:rsid w:val="00281CA3"/>
    <w:rsid w:val="00281CF8"/>
    <w:rsid w:val="00281D07"/>
    <w:rsid w:val="00281D1F"/>
    <w:rsid w:val="00281D51"/>
    <w:rsid w:val="00281D54"/>
    <w:rsid w:val="00281D8B"/>
    <w:rsid w:val="00281D8F"/>
    <w:rsid w:val="00281E2E"/>
    <w:rsid w:val="00281E37"/>
    <w:rsid w:val="00281EAE"/>
    <w:rsid w:val="00281F1A"/>
    <w:rsid w:val="00281F47"/>
    <w:rsid w:val="00281F6F"/>
    <w:rsid w:val="00281FD8"/>
    <w:rsid w:val="00281FFD"/>
    <w:rsid w:val="0028201A"/>
    <w:rsid w:val="00282059"/>
    <w:rsid w:val="002820DA"/>
    <w:rsid w:val="002820FE"/>
    <w:rsid w:val="0028211C"/>
    <w:rsid w:val="00282133"/>
    <w:rsid w:val="0028216D"/>
    <w:rsid w:val="00282170"/>
    <w:rsid w:val="00282178"/>
    <w:rsid w:val="002821B8"/>
    <w:rsid w:val="002821BC"/>
    <w:rsid w:val="002821DD"/>
    <w:rsid w:val="00282220"/>
    <w:rsid w:val="00282259"/>
    <w:rsid w:val="002822A5"/>
    <w:rsid w:val="00282309"/>
    <w:rsid w:val="00282330"/>
    <w:rsid w:val="0028233B"/>
    <w:rsid w:val="002823F5"/>
    <w:rsid w:val="00282480"/>
    <w:rsid w:val="002824A0"/>
    <w:rsid w:val="002824D2"/>
    <w:rsid w:val="002824D3"/>
    <w:rsid w:val="002824FE"/>
    <w:rsid w:val="0028253F"/>
    <w:rsid w:val="0028256F"/>
    <w:rsid w:val="002825AC"/>
    <w:rsid w:val="002825C5"/>
    <w:rsid w:val="0028260A"/>
    <w:rsid w:val="00282666"/>
    <w:rsid w:val="00282669"/>
    <w:rsid w:val="002826D7"/>
    <w:rsid w:val="002826F5"/>
    <w:rsid w:val="00282729"/>
    <w:rsid w:val="002827D0"/>
    <w:rsid w:val="00282838"/>
    <w:rsid w:val="0028283A"/>
    <w:rsid w:val="0028283B"/>
    <w:rsid w:val="0028284D"/>
    <w:rsid w:val="0028288B"/>
    <w:rsid w:val="002828D7"/>
    <w:rsid w:val="002828DA"/>
    <w:rsid w:val="00282911"/>
    <w:rsid w:val="0028291F"/>
    <w:rsid w:val="0028294F"/>
    <w:rsid w:val="00282954"/>
    <w:rsid w:val="00282967"/>
    <w:rsid w:val="00282974"/>
    <w:rsid w:val="002829BE"/>
    <w:rsid w:val="002829DE"/>
    <w:rsid w:val="00282A33"/>
    <w:rsid w:val="00282A46"/>
    <w:rsid w:val="00282A62"/>
    <w:rsid w:val="00282A72"/>
    <w:rsid w:val="00282AAE"/>
    <w:rsid w:val="00282ABD"/>
    <w:rsid w:val="00282B04"/>
    <w:rsid w:val="00282B0A"/>
    <w:rsid w:val="00282B0D"/>
    <w:rsid w:val="00282B37"/>
    <w:rsid w:val="00282B3B"/>
    <w:rsid w:val="00282B48"/>
    <w:rsid w:val="00282B53"/>
    <w:rsid w:val="00282B84"/>
    <w:rsid w:val="00282B8C"/>
    <w:rsid w:val="00282BA5"/>
    <w:rsid w:val="00282C4F"/>
    <w:rsid w:val="00282D18"/>
    <w:rsid w:val="00282D38"/>
    <w:rsid w:val="00282D57"/>
    <w:rsid w:val="00282D5A"/>
    <w:rsid w:val="00282D95"/>
    <w:rsid w:val="00282DCF"/>
    <w:rsid w:val="00282E30"/>
    <w:rsid w:val="00282E5F"/>
    <w:rsid w:val="00282ED3"/>
    <w:rsid w:val="00282EDC"/>
    <w:rsid w:val="00282F01"/>
    <w:rsid w:val="00282F50"/>
    <w:rsid w:val="00282F74"/>
    <w:rsid w:val="00282F7C"/>
    <w:rsid w:val="00282F92"/>
    <w:rsid w:val="00282FA7"/>
    <w:rsid w:val="00282FC0"/>
    <w:rsid w:val="00282FF6"/>
    <w:rsid w:val="0028300B"/>
    <w:rsid w:val="00283042"/>
    <w:rsid w:val="002830DA"/>
    <w:rsid w:val="00283141"/>
    <w:rsid w:val="00283152"/>
    <w:rsid w:val="0028319E"/>
    <w:rsid w:val="002831A1"/>
    <w:rsid w:val="002831D2"/>
    <w:rsid w:val="002831DE"/>
    <w:rsid w:val="00283251"/>
    <w:rsid w:val="0028328A"/>
    <w:rsid w:val="002832BA"/>
    <w:rsid w:val="002832C2"/>
    <w:rsid w:val="0028338A"/>
    <w:rsid w:val="00283392"/>
    <w:rsid w:val="00283485"/>
    <w:rsid w:val="00283488"/>
    <w:rsid w:val="00283494"/>
    <w:rsid w:val="002834AC"/>
    <w:rsid w:val="002834E0"/>
    <w:rsid w:val="0028352A"/>
    <w:rsid w:val="00283532"/>
    <w:rsid w:val="00283563"/>
    <w:rsid w:val="00283564"/>
    <w:rsid w:val="002835A8"/>
    <w:rsid w:val="002835B8"/>
    <w:rsid w:val="002835EC"/>
    <w:rsid w:val="0028365D"/>
    <w:rsid w:val="0028368B"/>
    <w:rsid w:val="002836B5"/>
    <w:rsid w:val="002836CC"/>
    <w:rsid w:val="002836CE"/>
    <w:rsid w:val="002836E3"/>
    <w:rsid w:val="00283715"/>
    <w:rsid w:val="0028379E"/>
    <w:rsid w:val="002837AC"/>
    <w:rsid w:val="002837C1"/>
    <w:rsid w:val="00283809"/>
    <w:rsid w:val="00283858"/>
    <w:rsid w:val="0028388E"/>
    <w:rsid w:val="002838C2"/>
    <w:rsid w:val="002838CB"/>
    <w:rsid w:val="00283924"/>
    <w:rsid w:val="0028394A"/>
    <w:rsid w:val="0028398B"/>
    <w:rsid w:val="0028398F"/>
    <w:rsid w:val="002839B4"/>
    <w:rsid w:val="002839C9"/>
    <w:rsid w:val="002839E1"/>
    <w:rsid w:val="00283A03"/>
    <w:rsid w:val="00283A2A"/>
    <w:rsid w:val="00283AB4"/>
    <w:rsid w:val="00283ABF"/>
    <w:rsid w:val="00283AC0"/>
    <w:rsid w:val="00283B38"/>
    <w:rsid w:val="00283B86"/>
    <w:rsid w:val="00283BC1"/>
    <w:rsid w:val="00283BD7"/>
    <w:rsid w:val="00283C19"/>
    <w:rsid w:val="00283C28"/>
    <w:rsid w:val="00283C2F"/>
    <w:rsid w:val="00283C63"/>
    <w:rsid w:val="00283C6E"/>
    <w:rsid w:val="00283C6F"/>
    <w:rsid w:val="00283C7D"/>
    <w:rsid w:val="00283C8A"/>
    <w:rsid w:val="00283C8E"/>
    <w:rsid w:val="00283C96"/>
    <w:rsid w:val="00283CD6"/>
    <w:rsid w:val="00283D12"/>
    <w:rsid w:val="00283D18"/>
    <w:rsid w:val="00283D24"/>
    <w:rsid w:val="00283D3D"/>
    <w:rsid w:val="00283DC9"/>
    <w:rsid w:val="00283DCE"/>
    <w:rsid w:val="00283DD8"/>
    <w:rsid w:val="00283DE4"/>
    <w:rsid w:val="00283E18"/>
    <w:rsid w:val="00283E25"/>
    <w:rsid w:val="00283E74"/>
    <w:rsid w:val="00283E88"/>
    <w:rsid w:val="00283EB8"/>
    <w:rsid w:val="00283EB9"/>
    <w:rsid w:val="00283EBD"/>
    <w:rsid w:val="00283EC5"/>
    <w:rsid w:val="00283F13"/>
    <w:rsid w:val="00283F1A"/>
    <w:rsid w:val="00283F51"/>
    <w:rsid w:val="00283F93"/>
    <w:rsid w:val="00283FCD"/>
    <w:rsid w:val="00284041"/>
    <w:rsid w:val="0028404A"/>
    <w:rsid w:val="00284059"/>
    <w:rsid w:val="0028406D"/>
    <w:rsid w:val="00284073"/>
    <w:rsid w:val="002840B0"/>
    <w:rsid w:val="002840C3"/>
    <w:rsid w:val="002840D9"/>
    <w:rsid w:val="002841A3"/>
    <w:rsid w:val="002841AA"/>
    <w:rsid w:val="002842DA"/>
    <w:rsid w:val="002842F3"/>
    <w:rsid w:val="00284330"/>
    <w:rsid w:val="00284331"/>
    <w:rsid w:val="0028443E"/>
    <w:rsid w:val="00284447"/>
    <w:rsid w:val="002844A1"/>
    <w:rsid w:val="002844B8"/>
    <w:rsid w:val="002844CD"/>
    <w:rsid w:val="002844D1"/>
    <w:rsid w:val="00284535"/>
    <w:rsid w:val="00284567"/>
    <w:rsid w:val="0028458B"/>
    <w:rsid w:val="0028458C"/>
    <w:rsid w:val="002845C6"/>
    <w:rsid w:val="002845DD"/>
    <w:rsid w:val="002846AC"/>
    <w:rsid w:val="002846BE"/>
    <w:rsid w:val="00284716"/>
    <w:rsid w:val="00284726"/>
    <w:rsid w:val="002847A2"/>
    <w:rsid w:val="002847CD"/>
    <w:rsid w:val="002847D9"/>
    <w:rsid w:val="0028481E"/>
    <w:rsid w:val="0028483C"/>
    <w:rsid w:val="002848A5"/>
    <w:rsid w:val="002848DF"/>
    <w:rsid w:val="00284920"/>
    <w:rsid w:val="00284970"/>
    <w:rsid w:val="00284976"/>
    <w:rsid w:val="0028498F"/>
    <w:rsid w:val="00284998"/>
    <w:rsid w:val="002849B6"/>
    <w:rsid w:val="002849DD"/>
    <w:rsid w:val="00284A24"/>
    <w:rsid w:val="00284A57"/>
    <w:rsid w:val="00284A93"/>
    <w:rsid w:val="00284A9F"/>
    <w:rsid w:val="00284B0C"/>
    <w:rsid w:val="00284B65"/>
    <w:rsid w:val="00284B68"/>
    <w:rsid w:val="00284B94"/>
    <w:rsid w:val="00284BE5"/>
    <w:rsid w:val="00284C2E"/>
    <w:rsid w:val="00284C40"/>
    <w:rsid w:val="00284C81"/>
    <w:rsid w:val="00284CB2"/>
    <w:rsid w:val="00284D33"/>
    <w:rsid w:val="00284D4B"/>
    <w:rsid w:val="00284D83"/>
    <w:rsid w:val="00284D89"/>
    <w:rsid w:val="00284D8D"/>
    <w:rsid w:val="00284D95"/>
    <w:rsid w:val="00284DAD"/>
    <w:rsid w:val="00284DBB"/>
    <w:rsid w:val="00284E0B"/>
    <w:rsid w:val="00284E30"/>
    <w:rsid w:val="00284E5E"/>
    <w:rsid w:val="00284E7F"/>
    <w:rsid w:val="00284E91"/>
    <w:rsid w:val="00284EBE"/>
    <w:rsid w:val="00284EC6"/>
    <w:rsid w:val="00284ED6"/>
    <w:rsid w:val="00284F0A"/>
    <w:rsid w:val="00284F62"/>
    <w:rsid w:val="00284F74"/>
    <w:rsid w:val="00285038"/>
    <w:rsid w:val="00285065"/>
    <w:rsid w:val="00285074"/>
    <w:rsid w:val="002850D9"/>
    <w:rsid w:val="002850EF"/>
    <w:rsid w:val="002850FD"/>
    <w:rsid w:val="00285112"/>
    <w:rsid w:val="0028512F"/>
    <w:rsid w:val="0028514C"/>
    <w:rsid w:val="00285171"/>
    <w:rsid w:val="002851A7"/>
    <w:rsid w:val="00285215"/>
    <w:rsid w:val="002852E9"/>
    <w:rsid w:val="00285317"/>
    <w:rsid w:val="002853B2"/>
    <w:rsid w:val="002853CA"/>
    <w:rsid w:val="002853D4"/>
    <w:rsid w:val="002853E3"/>
    <w:rsid w:val="00285400"/>
    <w:rsid w:val="0028540F"/>
    <w:rsid w:val="00285416"/>
    <w:rsid w:val="0028547A"/>
    <w:rsid w:val="002854B4"/>
    <w:rsid w:val="002854B7"/>
    <w:rsid w:val="00285504"/>
    <w:rsid w:val="0028550A"/>
    <w:rsid w:val="00285590"/>
    <w:rsid w:val="0028561A"/>
    <w:rsid w:val="00285629"/>
    <w:rsid w:val="00285676"/>
    <w:rsid w:val="002856DA"/>
    <w:rsid w:val="002856EE"/>
    <w:rsid w:val="00285706"/>
    <w:rsid w:val="0028575B"/>
    <w:rsid w:val="00285772"/>
    <w:rsid w:val="002857AA"/>
    <w:rsid w:val="002857ED"/>
    <w:rsid w:val="002857F2"/>
    <w:rsid w:val="0028581E"/>
    <w:rsid w:val="0028582D"/>
    <w:rsid w:val="002858B5"/>
    <w:rsid w:val="002858F6"/>
    <w:rsid w:val="002858F7"/>
    <w:rsid w:val="00285913"/>
    <w:rsid w:val="0028595B"/>
    <w:rsid w:val="0028598A"/>
    <w:rsid w:val="002859F9"/>
    <w:rsid w:val="00285A46"/>
    <w:rsid w:val="00285A7F"/>
    <w:rsid w:val="00285AB1"/>
    <w:rsid w:val="00285AED"/>
    <w:rsid w:val="00285AF9"/>
    <w:rsid w:val="00285B1A"/>
    <w:rsid w:val="00285B61"/>
    <w:rsid w:val="00285B6D"/>
    <w:rsid w:val="00285B9F"/>
    <w:rsid w:val="00285BDE"/>
    <w:rsid w:val="00285BEE"/>
    <w:rsid w:val="00285C3C"/>
    <w:rsid w:val="00285C50"/>
    <w:rsid w:val="00285C6B"/>
    <w:rsid w:val="00285C9B"/>
    <w:rsid w:val="00285CF5"/>
    <w:rsid w:val="00285D1A"/>
    <w:rsid w:val="00285D66"/>
    <w:rsid w:val="00285DA7"/>
    <w:rsid w:val="00285DAF"/>
    <w:rsid w:val="00285DB1"/>
    <w:rsid w:val="00285DD5"/>
    <w:rsid w:val="00285DF1"/>
    <w:rsid w:val="00285E21"/>
    <w:rsid w:val="00285E31"/>
    <w:rsid w:val="00285EA4"/>
    <w:rsid w:val="00285EC0"/>
    <w:rsid w:val="00285EDC"/>
    <w:rsid w:val="00285F28"/>
    <w:rsid w:val="00285F85"/>
    <w:rsid w:val="00285FE7"/>
    <w:rsid w:val="0028601B"/>
    <w:rsid w:val="002860CA"/>
    <w:rsid w:val="002860CB"/>
    <w:rsid w:val="002860E5"/>
    <w:rsid w:val="00286123"/>
    <w:rsid w:val="0028612E"/>
    <w:rsid w:val="00286196"/>
    <w:rsid w:val="002861E2"/>
    <w:rsid w:val="002861F8"/>
    <w:rsid w:val="0028620E"/>
    <w:rsid w:val="0028622F"/>
    <w:rsid w:val="00286287"/>
    <w:rsid w:val="0028628C"/>
    <w:rsid w:val="002862AF"/>
    <w:rsid w:val="002862D2"/>
    <w:rsid w:val="00286336"/>
    <w:rsid w:val="00286372"/>
    <w:rsid w:val="00286418"/>
    <w:rsid w:val="00286438"/>
    <w:rsid w:val="0028643D"/>
    <w:rsid w:val="002864B1"/>
    <w:rsid w:val="002864BA"/>
    <w:rsid w:val="002864F2"/>
    <w:rsid w:val="00286542"/>
    <w:rsid w:val="00286581"/>
    <w:rsid w:val="002865BE"/>
    <w:rsid w:val="002865D7"/>
    <w:rsid w:val="002865FC"/>
    <w:rsid w:val="0028662D"/>
    <w:rsid w:val="00286644"/>
    <w:rsid w:val="00286647"/>
    <w:rsid w:val="00286661"/>
    <w:rsid w:val="00286670"/>
    <w:rsid w:val="0028668E"/>
    <w:rsid w:val="002866CB"/>
    <w:rsid w:val="002866D5"/>
    <w:rsid w:val="002866FD"/>
    <w:rsid w:val="00286710"/>
    <w:rsid w:val="0028671C"/>
    <w:rsid w:val="00286758"/>
    <w:rsid w:val="0028675E"/>
    <w:rsid w:val="00286782"/>
    <w:rsid w:val="00286792"/>
    <w:rsid w:val="0028679D"/>
    <w:rsid w:val="002867A2"/>
    <w:rsid w:val="002867C0"/>
    <w:rsid w:val="002867C2"/>
    <w:rsid w:val="002867E0"/>
    <w:rsid w:val="002867E8"/>
    <w:rsid w:val="002867F5"/>
    <w:rsid w:val="00286881"/>
    <w:rsid w:val="002868A2"/>
    <w:rsid w:val="002868A9"/>
    <w:rsid w:val="002868B2"/>
    <w:rsid w:val="002868C5"/>
    <w:rsid w:val="002868CB"/>
    <w:rsid w:val="002868CD"/>
    <w:rsid w:val="0028691F"/>
    <w:rsid w:val="0028695D"/>
    <w:rsid w:val="00286991"/>
    <w:rsid w:val="002869E1"/>
    <w:rsid w:val="002869EF"/>
    <w:rsid w:val="00286A15"/>
    <w:rsid w:val="00286A61"/>
    <w:rsid w:val="00286A96"/>
    <w:rsid w:val="00286AE6"/>
    <w:rsid w:val="00286B1B"/>
    <w:rsid w:val="00286BB8"/>
    <w:rsid w:val="00286BD6"/>
    <w:rsid w:val="00286BF9"/>
    <w:rsid w:val="00286C61"/>
    <w:rsid w:val="00286C8F"/>
    <w:rsid w:val="00286CCD"/>
    <w:rsid w:val="00286CF4"/>
    <w:rsid w:val="00286D23"/>
    <w:rsid w:val="00286D6A"/>
    <w:rsid w:val="00286DD5"/>
    <w:rsid w:val="00286DF6"/>
    <w:rsid w:val="00286E27"/>
    <w:rsid w:val="00286E2D"/>
    <w:rsid w:val="00286E48"/>
    <w:rsid w:val="00286EDF"/>
    <w:rsid w:val="00286EE5"/>
    <w:rsid w:val="00286F76"/>
    <w:rsid w:val="00286F7E"/>
    <w:rsid w:val="00286FCB"/>
    <w:rsid w:val="00286FF2"/>
    <w:rsid w:val="00287097"/>
    <w:rsid w:val="0028711A"/>
    <w:rsid w:val="0028712B"/>
    <w:rsid w:val="00287141"/>
    <w:rsid w:val="00287167"/>
    <w:rsid w:val="00287198"/>
    <w:rsid w:val="00287199"/>
    <w:rsid w:val="002871BB"/>
    <w:rsid w:val="002871CA"/>
    <w:rsid w:val="00287205"/>
    <w:rsid w:val="00287208"/>
    <w:rsid w:val="0028731E"/>
    <w:rsid w:val="00287322"/>
    <w:rsid w:val="0028738C"/>
    <w:rsid w:val="002873B2"/>
    <w:rsid w:val="0028742E"/>
    <w:rsid w:val="0028745C"/>
    <w:rsid w:val="00287491"/>
    <w:rsid w:val="002874B0"/>
    <w:rsid w:val="00287501"/>
    <w:rsid w:val="00287503"/>
    <w:rsid w:val="00287513"/>
    <w:rsid w:val="00287539"/>
    <w:rsid w:val="0028754F"/>
    <w:rsid w:val="0028755B"/>
    <w:rsid w:val="00287595"/>
    <w:rsid w:val="00287597"/>
    <w:rsid w:val="00287599"/>
    <w:rsid w:val="00287636"/>
    <w:rsid w:val="0028764A"/>
    <w:rsid w:val="0028766C"/>
    <w:rsid w:val="00287694"/>
    <w:rsid w:val="002876A3"/>
    <w:rsid w:val="002876AC"/>
    <w:rsid w:val="002877AB"/>
    <w:rsid w:val="002877E6"/>
    <w:rsid w:val="00287820"/>
    <w:rsid w:val="00287874"/>
    <w:rsid w:val="0028788D"/>
    <w:rsid w:val="002878CD"/>
    <w:rsid w:val="002878D0"/>
    <w:rsid w:val="002878D2"/>
    <w:rsid w:val="002878FA"/>
    <w:rsid w:val="0028791D"/>
    <w:rsid w:val="00287962"/>
    <w:rsid w:val="002879AA"/>
    <w:rsid w:val="002879AF"/>
    <w:rsid w:val="00287A76"/>
    <w:rsid w:val="00287A7D"/>
    <w:rsid w:val="00287AA7"/>
    <w:rsid w:val="00287BA7"/>
    <w:rsid w:val="00287BAE"/>
    <w:rsid w:val="00287C37"/>
    <w:rsid w:val="00287C53"/>
    <w:rsid w:val="00287C7A"/>
    <w:rsid w:val="00287C96"/>
    <w:rsid w:val="00287CCD"/>
    <w:rsid w:val="00287CCE"/>
    <w:rsid w:val="00287D76"/>
    <w:rsid w:val="00287D78"/>
    <w:rsid w:val="00287DBA"/>
    <w:rsid w:val="00287DDF"/>
    <w:rsid w:val="00287DFA"/>
    <w:rsid w:val="00287E43"/>
    <w:rsid w:val="00287E4D"/>
    <w:rsid w:val="00287E5C"/>
    <w:rsid w:val="00287E78"/>
    <w:rsid w:val="00287E98"/>
    <w:rsid w:val="00287EAD"/>
    <w:rsid w:val="00287ECC"/>
    <w:rsid w:val="00287ED6"/>
    <w:rsid w:val="00287EEB"/>
    <w:rsid w:val="00287F05"/>
    <w:rsid w:val="00287F39"/>
    <w:rsid w:val="00287F67"/>
    <w:rsid w:val="00287F9E"/>
    <w:rsid w:val="00287FD9"/>
    <w:rsid w:val="00290016"/>
    <w:rsid w:val="002900CF"/>
    <w:rsid w:val="002900D3"/>
    <w:rsid w:val="002900D4"/>
    <w:rsid w:val="00290159"/>
    <w:rsid w:val="00290194"/>
    <w:rsid w:val="00290210"/>
    <w:rsid w:val="0029027B"/>
    <w:rsid w:val="00290285"/>
    <w:rsid w:val="002902FC"/>
    <w:rsid w:val="00290321"/>
    <w:rsid w:val="00290343"/>
    <w:rsid w:val="00290358"/>
    <w:rsid w:val="00290378"/>
    <w:rsid w:val="002903D7"/>
    <w:rsid w:val="002903EB"/>
    <w:rsid w:val="0029041A"/>
    <w:rsid w:val="0029041E"/>
    <w:rsid w:val="0029042B"/>
    <w:rsid w:val="00290434"/>
    <w:rsid w:val="0029045D"/>
    <w:rsid w:val="00290473"/>
    <w:rsid w:val="00290475"/>
    <w:rsid w:val="002904CE"/>
    <w:rsid w:val="002904DB"/>
    <w:rsid w:val="002904DE"/>
    <w:rsid w:val="002904F1"/>
    <w:rsid w:val="002904F7"/>
    <w:rsid w:val="00290514"/>
    <w:rsid w:val="00290522"/>
    <w:rsid w:val="00290531"/>
    <w:rsid w:val="0029055B"/>
    <w:rsid w:val="002905C1"/>
    <w:rsid w:val="00290676"/>
    <w:rsid w:val="002906A6"/>
    <w:rsid w:val="002906CD"/>
    <w:rsid w:val="0029074D"/>
    <w:rsid w:val="002907AE"/>
    <w:rsid w:val="002907DF"/>
    <w:rsid w:val="00290802"/>
    <w:rsid w:val="00290809"/>
    <w:rsid w:val="0029088A"/>
    <w:rsid w:val="00290892"/>
    <w:rsid w:val="0029089A"/>
    <w:rsid w:val="002908D8"/>
    <w:rsid w:val="002908FB"/>
    <w:rsid w:val="00290901"/>
    <w:rsid w:val="0029095F"/>
    <w:rsid w:val="00290999"/>
    <w:rsid w:val="0029099D"/>
    <w:rsid w:val="002909FD"/>
    <w:rsid w:val="00290A05"/>
    <w:rsid w:val="00290A1E"/>
    <w:rsid w:val="00290A27"/>
    <w:rsid w:val="00290A2E"/>
    <w:rsid w:val="00290AC6"/>
    <w:rsid w:val="00290AF8"/>
    <w:rsid w:val="00290B3E"/>
    <w:rsid w:val="00290B4D"/>
    <w:rsid w:val="00290BA9"/>
    <w:rsid w:val="00290BAE"/>
    <w:rsid w:val="00290C00"/>
    <w:rsid w:val="00290C45"/>
    <w:rsid w:val="00290C5B"/>
    <w:rsid w:val="00290C83"/>
    <w:rsid w:val="00290CE9"/>
    <w:rsid w:val="00290D05"/>
    <w:rsid w:val="00290D51"/>
    <w:rsid w:val="00290D5C"/>
    <w:rsid w:val="00290D91"/>
    <w:rsid w:val="00290DD7"/>
    <w:rsid w:val="00290E2F"/>
    <w:rsid w:val="00290E32"/>
    <w:rsid w:val="00290E6F"/>
    <w:rsid w:val="00290E7F"/>
    <w:rsid w:val="00290E9F"/>
    <w:rsid w:val="00290ED5"/>
    <w:rsid w:val="00290EF8"/>
    <w:rsid w:val="00290F30"/>
    <w:rsid w:val="00290F69"/>
    <w:rsid w:val="00290F9B"/>
    <w:rsid w:val="00290FAF"/>
    <w:rsid w:val="00290FD1"/>
    <w:rsid w:val="00290FE3"/>
    <w:rsid w:val="0029102B"/>
    <w:rsid w:val="00291098"/>
    <w:rsid w:val="002910B6"/>
    <w:rsid w:val="002910B8"/>
    <w:rsid w:val="002910EC"/>
    <w:rsid w:val="00291113"/>
    <w:rsid w:val="002911CD"/>
    <w:rsid w:val="0029121A"/>
    <w:rsid w:val="00291225"/>
    <w:rsid w:val="0029124E"/>
    <w:rsid w:val="00291279"/>
    <w:rsid w:val="0029129A"/>
    <w:rsid w:val="002912A4"/>
    <w:rsid w:val="002912B2"/>
    <w:rsid w:val="002912B3"/>
    <w:rsid w:val="002912C6"/>
    <w:rsid w:val="00291322"/>
    <w:rsid w:val="0029133A"/>
    <w:rsid w:val="00291355"/>
    <w:rsid w:val="00291374"/>
    <w:rsid w:val="002913C2"/>
    <w:rsid w:val="002913C4"/>
    <w:rsid w:val="002913DB"/>
    <w:rsid w:val="002914E5"/>
    <w:rsid w:val="00291555"/>
    <w:rsid w:val="0029156A"/>
    <w:rsid w:val="0029156E"/>
    <w:rsid w:val="00291595"/>
    <w:rsid w:val="002915C1"/>
    <w:rsid w:val="002915D1"/>
    <w:rsid w:val="00291604"/>
    <w:rsid w:val="00291616"/>
    <w:rsid w:val="0029161C"/>
    <w:rsid w:val="00291671"/>
    <w:rsid w:val="0029169D"/>
    <w:rsid w:val="002916BF"/>
    <w:rsid w:val="002916CE"/>
    <w:rsid w:val="002916CF"/>
    <w:rsid w:val="00291711"/>
    <w:rsid w:val="0029178A"/>
    <w:rsid w:val="002917CC"/>
    <w:rsid w:val="002917DD"/>
    <w:rsid w:val="002917F3"/>
    <w:rsid w:val="0029183D"/>
    <w:rsid w:val="00291849"/>
    <w:rsid w:val="00291852"/>
    <w:rsid w:val="00291854"/>
    <w:rsid w:val="0029186D"/>
    <w:rsid w:val="002918AF"/>
    <w:rsid w:val="002918B0"/>
    <w:rsid w:val="002918F1"/>
    <w:rsid w:val="002918F9"/>
    <w:rsid w:val="00291915"/>
    <w:rsid w:val="0029191E"/>
    <w:rsid w:val="0029193F"/>
    <w:rsid w:val="00291975"/>
    <w:rsid w:val="00291A10"/>
    <w:rsid w:val="00291A22"/>
    <w:rsid w:val="00291A7A"/>
    <w:rsid w:val="00291AA3"/>
    <w:rsid w:val="00291ABE"/>
    <w:rsid w:val="00291AC7"/>
    <w:rsid w:val="00291AF1"/>
    <w:rsid w:val="00291B83"/>
    <w:rsid w:val="00291BBD"/>
    <w:rsid w:val="00291C10"/>
    <w:rsid w:val="00291C17"/>
    <w:rsid w:val="00291C47"/>
    <w:rsid w:val="00291C5D"/>
    <w:rsid w:val="00291C75"/>
    <w:rsid w:val="00291C82"/>
    <w:rsid w:val="00291D09"/>
    <w:rsid w:val="00291DD1"/>
    <w:rsid w:val="00291DFA"/>
    <w:rsid w:val="00291E07"/>
    <w:rsid w:val="00291E5F"/>
    <w:rsid w:val="00291E60"/>
    <w:rsid w:val="00291E6A"/>
    <w:rsid w:val="00291E8C"/>
    <w:rsid w:val="00291ED1"/>
    <w:rsid w:val="00291EDC"/>
    <w:rsid w:val="00291EE3"/>
    <w:rsid w:val="00291F04"/>
    <w:rsid w:val="00291F27"/>
    <w:rsid w:val="00291F96"/>
    <w:rsid w:val="00291F9C"/>
    <w:rsid w:val="00291FA5"/>
    <w:rsid w:val="00291FA6"/>
    <w:rsid w:val="00292014"/>
    <w:rsid w:val="00292046"/>
    <w:rsid w:val="0029209D"/>
    <w:rsid w:val="002920AA"/>
    <w:rsid w:val="0029216E"/>
    <w:rsid w:val="00292176"/>
    <w:rsid w:val="0029217A"/>
    <w:rsid w:val="002921FE"/>
    <w:rsid w:val="00292217"/>
    <w:rsid w:val="0029227A"/>
    <w:rsid w:val="002922AC"/>
    <w:rsid w:val="00292316"/>
    <w:rsid w:val="002923C8"/>
    <w:rsid w:val="00292403"/>
    <w:rsid w:val="00292428"/>
    <w:rsid w:val="0029242A"/>
    <w:rsid w:val="00292435"/>
    <w:rsid w:val="00292489"/>
    <w:rsid w:val="00292493"/>
    <w:rsid w:val="0029253A"/>
    <w:rsid w:val="00292562"/>
    <w:rsid w:val="002925BC"/>
    <w:rsid w:val="002925C1"/>
    <w:rsid w:val="00292628"/>
    <w:rsid w:val="00292682"/>
    <w:rsid w:val="00292691"/>
    <w:rsid w:val="002926B0"/>
    <w:rsid w:val="002927AC"/>
    <w:rsid w:val="002927BD"/>
    <w:rsid w:val="00292803"/>
    <w:rsid w:val="00292809"/>
    <w:rsid w:val="00292851"/>
    <w:rsid w:val="00292887"/>
    <w:rsid w:val="00292892"/>
    <w:rsid w:val="002928A1"/>
    <w:rsid w:val="002928CA"/>
    <w:rsid w:val="002928CC"/>
    <w:rsid w:val="002928F4"/>
    <w:rsid w:val="0029290C"/>
    <w:rsid w:val="00292958"/>
    <w:rsid w:val="002929DE"/>
    <w:rsid w:val="002929ED"/>
    <w:rsid w:val="002929F2"/>
    <w:rsid w:val="00292A9F"/>
    <w:rsid w:val="00292AA5"/>
    <w:rsid w:val="00292AC2"/>
    <w:rsid w:val="00292B0B"/>
    <w:rsid w:val="00292B4C"/>
    <w:rsid w:val="00292B6A"/>
    <w:rsid w:val="00292BB8"/>
    <w:rsid w:val="00292C41"/>
    <w:rsid w:val="00292C77"/>
    <w:rsid w:val="00292CB5"/>
    <w:rsid w:val="00292CD3"/>
    <w:rsid w:val="00292CDB"/>
    <w:rsid w:val="00292CF4"/>
    <w:rsid w:val="00292CFE"/>
    <w:rsid w:val="00292D0B"/>
    <w:rsid w:val="00292D35"/>
    <w:rsid w:val="00292D5B"/>
    <w:rsid w:val="00292D78"/>
    <w:rsid w:val="00292DCE"/>
    <w:rsid w:val="00292DE6"/>
    <w:rsid w:val="00292DEE"/>
    <w:rsid w:val="00292E0D"/>
    <w:rsid w:val="00292E13"/>
    <w:rsid w:val="00292E25"/>
    <w:rsid w:val="00292EC0"/>
    <w:rsid w:val="00292F5D"/>
    <w:rsid w:val="00292F8A"/>
    <w:rsid w:val="00292FBB"/>
    <w:rsid w:val="00292FC0"/>
    <w:rsid w:val="00292FDA"/>
    <w:rsid w:val="00292FE3"/>
    <w:rsid w:val="00293065"/>
    <w:rsid w:val="002930C9"/>
    <w:rsid w:val="00293103"/>
    <w:rsid w:val="00293138"/>
    <w:rsid w:val="00293163"/>
    <w:rsid w:val="002931BF"/>
    <w:rsid w:val="002931D2"/>
    <w:rsid w:val="00293243"/>
    <w:rsid w:val="0029328D"/>
    <w:rsid w:val="00293296"/>
    <w:rsid w:val="002932AA"/>
    <w:rsid w:val="002932F9"/>
    <w:rsid w:val="00293329"/>
    <w:rsid w:val="00293399"/>
    <w:rsid w:val="002933FF"/>
    <w:rsid w:val="00293419"/>
    <w:rsid w:val="00293429"/>
    <w:rsid w:val="0029346A"/>
    <w:rsid w:val="00293478"/>
    <w:rsid w:val="0029347F"/>
    <w:rsid w:val="0029349E"/>
    <w:rsid w:val="002934D2"/>
    <w:rsid w:val="00293513"/>
    <w:rsid w:val="0029351A"/>
    <w:rsid w:val="00293575"/>
    <w:rsid w:val="00293612"/>
    <w:rsid w:val="0029364D"/>
    <w:rsid w:val="00293653"/>
    <w:rsid w:val="00293677"/>
    <w:rsid w:val="002936A5"/>
    <w:rsid w:val="00293706"/>
    <w:rsid w:val="0029372D"/>
    <w:rsid w:val="00293730"/>
    <w:rsid w:val="0029377D"/>
    <w:rsid w:val="002937E5"/>
    <w:rsid w:val="002937EC"/>
    <w:rsid w:val="0029383C"/>
    <w:rsid w:val="00293874"/>
    <w:rsid w:val="002938B2"/>
    <w:rsid w:val="002938FA"/>
    <w:rsid w:val="00293944"/>
    <w:rsid w:val="002939D0"/>
    <w:rsid w:val="00293A46"/>
    <w:rsid w:val="00293A65"/>
    <w:rsid w:val="00293AA3"/>
    <w:rsid w:val="00293ABF"/>
    <w:rsid w:val="00293AD6"/>
    <w:rsid w:val="00293AEB"/>
    <w:rsid w:val="00293AF8"/>
    <w:rsid w:val="00293B31"/>
    <w:rsid w:val="00293B61"/>
    <w:rsid w:val="00293B7E"/>
    <w:rsid w:val="00293B92"/>
    <w:rsid w:val="00293B9C"/>
    <w:rsid w:val="00293B9D"/>
    <w:rsid w:val="00293BA5"/>
    <w:rsid w:val="00293BAE"/>
    <w:rsid w:val="00293BC6"/>
    <w:rsid w:val="00293C65"/>
    <w:rsid w:val="00293CE9"/>
    <w:rsid w:val="00293CFB"/>
    <w:rsid w:val="00293D78"/>
    <w:rsid w:val="00293D8B"/>
    <w:rsid w:val="00293DAD"/>
    <w:rsid w:val="00293DB1"/>
    <w:rsid w:val="00293DB6"/>
    <w:rsid w:val="00293DB9"/>
    <w:rsid w:val="00293DD3"/>
    <w:rsid w:val="00293DF4"/>
    <w:rsid w:val="00293E44"/>
    <w:rsid w:val="00293E46"/>
    <w:rsid w:val="00293E63"/>
    <w:rsid w:val="00293E9C"/>
    <w:rsid w:val="00293ED3"/>
    <w:rsid w:val="00293EDC"/>
    <w:rsid w:val="00293F7E"/>
    <w:rsid w:val="00293FA6"/>
    <w:rsid w:val="0029400A"/>
    <w:rsid w:val="00294032"/>
    <w:rsid w:val="00294038"/>
    <w:rsid w:val="00294049"/>
    <w:rsid w:val="00294063"/>
    <w:rsid w:val="0029406C"/>
    <w:rsid w:val="002940A3"/>
    <w:rsid w:val="002940F5"/>
    <w:rsid w:val="0029411B"/>
    <w:rsid w:val="0029414A"/>
    <w:rsid w:val="00294155"/>
    <w:rsid w:val="0029415C"/>
    <w:rsid w:val="00294168"/>
    <w:rsid w:val="00294192"/>
    <w:rsid w:val="0029419F"/>
    <w:rsid w:val="002941D8"/>
    <w:rsid w:val="002941E9"/>
    <w:rsid w:val="0029425C"/>
    <w:rsid w:val="00294282"/>
    <w:rsid w:val="00294289"/>
    <w:rsid w:val="002942AB"/>
    <w:rsid w:val="002942F5"/>
    <w:rsid w:val="0029430D"/>
    <w:rsid w:val="0029430F"/>
    <w:rsid w:val="0029432F"/>
    <w:rsid w:val="00294338"/>
    <w:rsid w:val="00294358"/>
    <w:rsid w:val="0029435E"/>
    <w:rsid w:val="00294421"/>
    <w:rsid w:val="0029446E"/>
    <w:rsid w:val="00294477"/>
    <w:rsid w:val="002944C8"/>
    <w:rsid w:val="002944F4"/>
    <w:rsid w:val="0029450D"/>
    <w:rsid w:val="0029452C"/>
    <w:rsid w:val="00294581"/>
    <w:rsid w:val="0029458B"/>
    <w:rsid w:val="002945CC"/>
    <w:rsid w:val="002945E0"/>
    <w:rsid w:val="002945F8"/>
    <w:rsid w:val="00294690"/>
    <w:rsid w:val="002946B1"/>
    <w:rsid w:val="002946C0"/>
    <w:rsid w:val="0029480A"/>
    <w:rsid w:val="0029482D"/>
    <w:rsid w:val="00294881"/>
    <w:rsid w:val="00294886"/>
    <w:rsid w:val="002948C2"/>
    <w:rsid w:val="00294914"/>
    <w:rsid w:val="00294948"/>
    <w:rsid w:val="00294972"/>
    <w:rsid w:val="002949E1"/>
    <w:rsid w:val="00294A3F"/>
    <w:rsid w:val="00294A6E"/>
    <w:rsid w:val="00294AFF"/>
    <w:rsid w:val="00294B14"/>
    <w:rsid w:val="00294B19"/>
    <w:rsid w:val="00294B44"/>
    <w:rsid w:val="00294BAC"/>
    <w:rsid w:val="00294BC1"/>
    <w:rsid w:val="00294C1B"/>
    <w:rsid w:val="00294C58"/>
    <w:rsid w:val="00294C5A"/>
    <w:rsid w:val="00294C7A"/>
    <w:rsid w:val="00294C7B"/>
    <w:rsid w:val="00294C7E"/>
    <w:rsid w:val="00294C8B"/>
    <w:rsid w:val="00294CD8"/>
    <w:rsid w:val="00294CEF"/>
    <w:rsid w:val="00294D07"/>
    <w:rsid w:val="00294D4F"/>
    <w:rsid w:val="00294D7C"/>
    <w:rsid w:val="00294DA0"/>
    <w:rsid w:val="00294DA2"/>
    <w:rsid w:val="00294DCE"/>
    <w:rsid w:val="00294DDF"/>
    <w:rsid w:val="00294DFB"/>
    <w:rsid w:val="00294DFF"/>
    <w:rsid w:val="00294E1B"/>
    <w:rsid w:val="00294E2D"/>
    <w:rsid w:val="00294E6E"/>
    <w:rsid w:val="00294EAA"/>
    <w:rsid w:val="00294ED1"/>
    <w:rsid w:val="00294F2D"/>
    <w:rsid w:val="00294F35"/>
    <w:rsid w:val="00294F6C"/>
    <w:rsid w:val="00294FE6"/>
    <w:rsid w:val="00295033"/>
    <w:rsid w:val="00295063"/>
    <w:rsid w:val="00295076"/>
    <w:rsid w:val="00295091"/>
    <w:rsid w:val="002950C8"/>
    <w:rsid w:val="002950DA"/>
    <w:rsid w:val="002950FA"/>
    <w:rsid w:val="00295170"/>
    <w:rsid w:val="00295181"/>
    <w:rsid w:val="0029518F"/>
    <w:rsid w:val="00295191"/>
    <w:rsid w:val="00295208"/>
    <w:rsid w:val="00295235"/>
    <w:rsid w:val="0029525B"/>
    <w:rsid w:val="00295264"/>
    <w:rsid w:val="00295279"/>
    <w:rsid w:val="002952A6"/>
    <w:rsid w:val="002952DA"/>
    <w:rsid w:val="002952F1"/>
    <w:rsid w:val="00295309"/>
    <w:rsid w:val="00295340"/>
    <w:rsid w:val="00295345"/>
    <w:rsid w:val="0029534D"/>
    <w:rsid w:val="0029539C"/>
    <w:rsid w:val="002953BA"/>
    <w:rsid w:val="002953C3"/>
    <w:rsid w:val="002953C6"/>
    <w:rsid w:val="002953DC"/>
    <w:rsid w:val="002953F8"/>
    <w:rsid w:val="002953FD"/>
    <w:rsid w:val="00295409"/>
    <w:rsid w:val="00295427"/>
    <w:rsid w:val="00295432"/>
    <w:rsid w:val="00295450"/>
    <w:rsid w:val="00295494"/>
    <w:rsid w:val="002954CD"/>
    <w:rsid w:val="002954D6"/>
    <w:rsid w:val="002954E8"/>
    <w:rsid w:val="00295562"/>
    <w:rsid w:val="0029558C"/>
    <w:rsid w:val="00295598"/>
    <w:rsid w:val="002955B3"/>
    <w:rsid w:val="002955B7"/>
    <w:rsid w:val="0029561C"/>
    <w:rsid w:val="0029562A"/>
    <w:rsid w:val="00295647"/>
    <w:rsid w:val="00295659"/>
    <w:rsid w:val="00295688"/>
    <w:rsid w:val="002956A7"/>
    <w:rsid w:val="002956E5"/>
    <w:rsid w:val="002956E8"/>
    <w:rsid w:val="0029570B"/>
    <w:rsid w:val="0029570E"/>
    <w:rsid w:val="0029579B"/>
    <w:rsid w:val="002957E4"/>
    <w:rsid w:val="002957FF"/>
    <w:rsid w:val="0029582A"/>
    <w:rsid w:val="00295842"/>
    <w:rsid w:val="00295847"/>
    <w:rsid w:val="00295857"/>
    <w:rsid w:val="0029586C"/>
    <w:rsid w:val="00295871"/>
    <w:rsid w:val="002958AD"/>
    <w:rsid w:val="002958BD"/>
    <w:rsid w:val="002958CB"/>
    <w:rsid w:val="0029595F"/>
    <w:rsid w:val="0029596D"/>
    <w:rsid w:val="0029599F"/>
    <w:rsid w:val="00295AEE"/>
    <w:rsid w:val="00295B47"/>
    <w:rsid w:val="00295B8D"/>
    <w:rsid w:val="00295B9F"/>
    <w:rsid w:val="00295BA6"/>
    <w:rsid w:val="00295BC3"/>
    <w:rsid w:val="00295BEE"/>
    <w:rsid w:val="00295BF6"/>
    <w:rsid w:val="00295BFC"/>
    <w:rsid w:val="00295C9F"/>
    <w:rsid w:val="00295D34"/>
    <w:rsid w:val="00295D7D"/>
    <w:rsid w:val="00295D80"/>
    <w:rsid w:val="00295DBD"/>
    <w:rsid w:val="00295DE6"/>
    <w:rsid w:val="00295DEE"/>
    <w:rsid w:val="00295E10"/>
    <w:rsid w:val="00295E2F"/>
    <w:rsid w:val="00295E39"/>
    <w:rsid w:val="00295E80"/>
    <w:rsid w:val="00295E8A"/>
    <w:rsid w:val="00295F09"/>
    <w:rsid w:val="00295F18"/>
    <w:rsid w:val="00295F52"/>
    <w:rsid w:val="00295F7A"/>
    <w:rsid w:val="0029600A"/>
    <w:rsid w:val="00296050"/>
    <w:rsid w:val="00296051"/>
    <w:rsid w:val="0029609D"/>
    <w:rsid w:val="00296155"/>
    <w:rsid w:val="00296172"/>
    <w:rsid w:val="002961DE"/>
    <w:rsid w:val="0029622F"/>
    <w:rsid w:val="00296247"/>
    <w:rsid w:val="00296272"/>
    <w:rsid w:val="002962C0"/>
    <w:rsid w:val="0029633E"/>
    <w:rsid w:val="00296341"/>
    <w:rsid w:val="0029634A"/>
    <w:rsid w:val="0029635A"/>
    <w:rsid w:val="0029635D"/>
    <w:rsid w:val="00296379"/>
    <w:rsid w:val="002963A3"/>
    <w:rsid w:val="002963D5"/>
    <w:rsid w:val="002964A0"/>
    <w:rsid w:val="002964C6"/>
    <w:rsid w:val="002964C7"/>
    <w:rsid w:val="002964D7"/>
    <w:rsid w:val="00296522"/>
    <w:rsid w:val="0029652A"/>
    <w:rsid w:val="002965CC"/>
    <w:rsid w:val="002965CE"/>
    <w:rsid w:val="002965F2"/>
    <w:rsid w:val="0029660E"/>
    <w:rsid w:val="0029661B"/>
    <w:rsid w:val="00296626"/>
    <w:rsid w:val="002966D2"/>
    <w:rsid w:val="0029671A"/>
    <w:rsid w:val="00296774"/>
    <w:rsid w:val="002967E8"/>
    <w:rsid w:val="0029682C"/>
    <w:rsid w:val="00296832"/>
    <w:rsid w:val="00296833"/>
    <w:rsid w:val="002968AB"/>
    <w:rsid w:val="002968DF"/>
    <w:rsid w:val="002968F3"/>
    <w:rsid w:val="0029690A"/>
    <w:rsid w:val="00296962"/>
    <w:rsid w:val="0029696A"/>
    <w:rsid w:val="002969CB"/>
    <w:rsid w:val="002969EB"/>
    <w:rsid w:val="00296A62"/>
    <w:rsid w:val="00296A8E"/>
    <w:rsid w:val="00296AEB"/>
    <w:rsid w:val="00296AFD"/>
    <w:rsid w:val="00296B17"/>
    <w:rsid w:val="00296B4C"/>
    <w:rsid w:val="00296B63"/>
    <w:rsid w:val="00296BAC"/>
    <w:rsid w:val="00296BD4"/>
    <w:rsid w:val="00296C14"/>
    <w:rsid w:val="00296CAE"/>
    <w:rsid w:val="00296CC5"/>
    <w:rsid w:val="00296CDB"/>
    <w:rsid w:val="00296D37"/>
    <w:rsid w:val="00296D4B"/>
    <w:rsid w:val="00296DEC"/>
    <w:rsid w:val="00296E1D"/>
    <w:rsid w:val="00296E2E"/>
    <w:rsid w:val="00296E5A"/>
    <w:rsid w:val="00296E5F"/>
    <w:rsid w:val="00296E6B"/>
    <w:rsid w:val="00296F6F"/>
    <w:rsid w:val="00296F84"/>
    <w:rsid w:val="00296F86"/>
    <w:rsid w:val="00296FA4"/>
    <w:rsid w:val="00296FB6"/>
    <w:rsid w:val="00296FC5"/>
    <w:rsid w:val="00296FCB"/>
    <w:rsid w:val="00296FE8"/>
    <w:rsid w:val="00296FFF"/>
    <w:rsid w:val="00297013"/>
    <w:rsid w:val="0029709A"/>
    <w:rsid w:val="0029709B"/>
    <w:rsid w:val="00297220"/>
    <w:rsid w:val="00297265"/>
    <w:rsid w:val="00297299"/>
    <w:rsid w:val="002972AA"/>
    <w:rsid w:val="002972F0"/>
    <w:rsid w:val="002972F4"/>
    <w:rsid w:val="00297316"/>
    <w:rsid w:val="0029731F"/>
    <w:rsid w:val="00297331"/>
    <w:rsid w:val="00297367"/>
    <w:rsid w:val="0029736E"/>
    <w:rsid w:val="002973C4"/>
    <w:rsid w:val="00297456"/>
    <w:rsid w:val="00297583"/>
    <w:rsid w:val="00297595"/>
    <w:rsid w:val="002975A4"/>
    <w:rsid w:val="0029769D"/>
    <w:rsid w:val="002976D7"/>
    <w:rsid w:val="00297777"/>
    <w:rsid w:val="002977DD"/>
    <w:rsid w:val="002977F0"/>
    <w:rsid w:val="002977F6"/>
    <w:rsid w:val="002977FF"/>
    <w:rsid w:val="0029780E"/>
    <w:rsid w:val="0029784D"/>
    <w:rsid w:val="00297869"/>
    <w:rsid w:val="00297875"/>
    <w:rsid w:val="0029787F"/>
    <w:rsid w:val="00297887"/>
    <w:rsid w:val="002978B1"/>
    <w:rsid w:val="002978EE"/>
    <w:rsid w:val="00297903"/>
    <w:rsid w:val="00297904"/>
    <w:rsid w:val="0029795E"/>
    <w:rsid w:val="0029796A"/>
    <w:rsid w:val="00297987"/>
    <w:rsid w:val="00297A02"/>
    <w:rsid w:val="00297A20"/>
    <w:rsid w:val="00297AFE"/>
    <w:rsid w:val="00297B58"/>
    <w:rsid w:val="00297B62"/>
    <w:rsid w:val="00297C06"/>
    <w:rsid w:val="00297C2D"/>
    <w:rsid w:val="00297C31"/>
    <w:rsid w:val="00297C6F"/>
    <w:rsid w:val="00297C74"/>
    <w:rsid w:val="00297CAD"/>
    <w:rsid w:val="00297CC1"/>
    <w:rsid w:val="00297D98"/>
    <w:rsid w:val="00297DF0"/>
    <w:rsid w:val="00297E61"/>
    <w:rsid w:val="00297E9B"/>
    <w:rsid w:val="00297ED4"/>
    <w:rsid w:val="00297EDD"/>
    <w:rsid w:val="00297EF4"/>
    <w:rsid w:val="00297EFD"/>
    <w:rsid w:val="00297F87"/>
    <w:rsid w:val="00297FBE"/>
    <w:rsid w:val="002A000D"/>
    <w:rsid w:val="002A0027"/>
    <w:rsid w:val="002A00AA"/>
    <w:rsid w:val="002A00AD"/>
    <w:rsid w:val="002A00E1"/>
    <w:rsid w:val="002A00F9"/>
    <w:rsid w:val="002A0117"/>
    <w:rsid w:val="002A0161"/>
    <w:rsid w:val="002A0163"/>
    <w:rsid w:val="002A01B6"/>
    <w:rsid w:val="002A01CD"/>
    <w:rsid w:val="002A01EC"/>
    <w:rsid w:val="002A01FA"/>
    <w:rsid w:val="002A0230"/>
    <w:rsid w:val="002A024B"/>
    <w:rsid w:val="002A028E"/>
    <w:rsid w:val="002A02A1"/>
    <w:rsid w:val="002A02C3"/>
    <w:rsid w:val="002A02CF"/>
    <w:rsid w:val="002A0304"/>
    <w:rsid w:val="002A033F"/>
    <w:rsid w:val="002A0355"/>
    <w:rsid w:val="002A039C"/>
    <w:rsid w:val="002A03D9"/>
    <w:rsid w:val="002A040E"/>
    <w:rsid w:val="002A0410"/>
    <w:rsid w:val="002A0424"/>
    <w:rsid w:val="002A045F"/>
    <w:rsid w:val="002A049C"/>
    <w:rsid w:val="002A04A0"/>
    <w:rsid w:val="002A04A3"/>
    <w:rsid w:val="002A04A6"/>
    <w:rsid w:val="002A0536"/>
    <w:rsid w:val="002A053C"/>
    <w:rsid w:val="002A054E"/>
    <w:rsid w:val="002A0572"/>
    <w:rsid w:val="002A057E"/>
    <w:rsid w:val="002A0591"/>
    <w:rsid w:val="002A0611"/>
    <w:rsid w:val="002A062E"/>
    <w:rsid w:val="002A0677"/>
    <w:rsid w:val="002A067A"/>
    <w:rsid w:val="002A06C3"/>
    <w:rsid w:val="002A06D5"/>
    <w:rsid w:val="002A0764"/>
    <w:rsid w:val="002A07C6"/>
    <w:rsid w:val="002A07DD"/>
    <w:rsid w:val="002A07E8"/>
    <w:rsid w:val="002A07FF"/>
    <w:rsid w:val="002A0848"/>
    <w:rsid w:val="002A0870"/>
    <w:rsid w:val="002A0898"/>
    <w:rsid w:val="002A0905"/>
    <w:rsid w:val="002A092C"/>
    <w:rsid w:val="002A093C"/>
    <w:rsid w:val="002A0993"/>
    <w:rsid w:val="002A099B"/>
    <w:rsid w:val="002A09C3"/>
    <w:rsid w:val="002A09CE"/>
    <w:rsid w:val="002A09F7"/>
    <w:rsid w:val="002A0A27"/>
    <w:rsid w:val="002A0A78"/>
    <w:rsid w:val="002A0A93"/>
    <w:rsid w:val="002A0AE9"/>
    <w:rsid w:val="002A0BA8"/>
    <w:rsid w:val="002A0BDB"/>
    <w:rsid w:val="002A0BED"/>
    <w:rsid w:val="002A0C12"/>
    <w:rsid w:val="002A0C15"/>
    <w:rsid w:val="002A0C28"/>
    <w:rsid w:val="002A0C39"/>
    <w:rsid w:val="002A0C7F"/>
    <w:rsid w:val="002A0CA1"/>
    <w:rsid w:val="002A0CD0"/>
    <w:rsid w:val="002A0D02"/>
    <w:rsid w:val="002A0D0C"/>
    <w:rsid w:val="002A0D16"/>
    <w:rsid w:val="002A0D22"/>
    <w:rsid w:val="002A0D3D"/>
    <w:rsid w:val="002A0D3E"/>
    <w:rsid w:val="002A0D50"/>
    <w:rsid w:val="002A0D92"/>
    <w:rsid w:val="002A0DB3"/>
    <w:rsid w:val="002A0E02"/>
    <w:rsid w:val="002A0E60"/>
    <w:rsid w:val="002A0E72"/>
    <w:rsid w:val="002A0E96"/>
    <w:rsid w:val="002A0E97"/>
    <w:rsid w:val="002A0EBD"/>
    <w:rsid w:val="002A0ECA"/>
    <w:rsid w:val="002A0ED3"/>
    <w:rsid w:val="002A0EF0"/>
    <w:rsid w:val="002A0F73"/>
    <w:rsid w:val="002A0F9D"/>
    <w:rsid w:val="002A0FA9"/>
    <w:rsid w:val="002A0FD7"/>
    <w:rsid w:val="002A100D"/>
    <w:rsid w:val="002A100E"/>
    <w:rsid w:val="002A1017"/>
    <w:rsid w:val="002A102D"/>
    <w:rsid w:val="002A102E"/>
    <w:rsid w:val="002A103D"/>
    <w:rsid w:val="002A1063"/>
    <w:rsid w:val="002A109E"/>
    <w:rsid w:val="002A1116"/>
    <w:rsid w:val="002A1117"/>
    <w:rsid w:val="002A11A6"/>
    <w:rsid w:val="002A121E"/>
    <w:rsid w:val="002A1229"/>
    <w:rsid w:val="002A1267"/>
    <w:rsid w:val="002A1287"/>
    <w:rsid w:val="002A128D"/>
    <w:rsid w:val="002A12CE"/>
    <w:rsid w:val="002A12F0"/>
    <w:rsid w:val="002A1326"/>
    <w:rsid w:val="002A1388"/>
    <w:rsid w:val="002A13B7"/>
    <w:rsid w:val="002A13F2"/>
    <w:rsid w:val="002A1455"/>
    <w:rsid w:val="002A14AF"/>
    <w:rsid w:val="002A14FB"/>
    <w:rsid w:val="002A1540"/>
    <w:rsid w:val="002A1542"/>
    <w:rsid w:val="002A1549"/>
    <w:rsid w:val="002A154F"/>
    <w:rsid w:val="002A1569"/>
    <w:rsid w:val="002A1598"/>
    <w:rsid w:val="002A15C4"/>
    <w:rsid w:val="002A15DE"/>
    <w:rsid w:val="002A1605"/>
    <w:rsid w:val="002A160D"/>
    <w:rsid w:val="002A163C"/>
    <w:rsid w:val="002A1672"/>
    <w:rsid w:val="002A1785"/>
    <w:rsid w:val="002A1805"/>
    <w:rsid w:val="002A1823"/>
    <w:rsid w:val="002A1837"/>
    <w:rsid w:val="002A1886"/>
    <w:rsid w:val="002A18B2"/>
    <w:rsid w:val="002A18F8"/>
    <w:rsid w:val="002A191B"/>
    <w:rsid w:val="002A1945"/>
    <w:rsid w:val="002A1951"/>
    <w:rsid w:val="002A19A1"/>
    <w:rsid w:val="002A19E1"/>
    <w:rsid w:val="002A19EA"/>
    <w:rsid w:val="002A19F4"/>
    <w:rsid w:val="002A1A16"/>
    <w:rsid w:val="002A1AE5"/>
    <w:rsid w:val="002A1AFE"/>
    <w:rsid w:val="002A1B01"/>
    <w:rsid w:val="002A1B44"/>
    <w:rsid w:val="002A1C36"/>
    <w:rsid w:val="002A1C9D"/>
    <w:rsid w:val="002A1CA4"/>
    <w:rsid w:val="002A1D21"/>
    <w:rsid w:val="002A1D67"/>
    <w:rsid w:val="002A1DF8"/>
    <w:rsid w:val="002A1DFE"/>
    <w:rsid w:val="002A1E37"/>
    <w:rsid w:val="002A1E72"/>
    <w:rsid w:val="002A1EE2"/>
    <w:rsid w:val="002A1F13"/>
    <w:rsid w:val="002A1F1F"/>
    <w:rsid w:val="002A1F64"/>
    <w:rsid w:val="002A1FB5"/>
    <w:rsid w:val="002A1FD5"/>
    <w:rsid w:val="002A1FE6"/>
    <w:rsid w:val="002A2006"/>
    <w:rsid w:val="002A201A"/>
    <w:rsid w:val="002A201B"/>
    <w:rsid w:val="002A2065"/>
    <w:rsid w:val="002A2071"/>
    <w:rsid w:val="002A208B"/>
    <w:rsid w:val="002A20CA"/>
    <w:rsid w:val="002A210F"/>
    <w:rsid w:val="002A2162"/>
    <w:rsid w:val="002A2190"/>
    <w:rsid w:val="002A21B1"/>
    <w:rsid w:val="002A221D"/>
    <w:rsid w:val="002A2223"/>
    <w:rsid w:val="002A226A"/>
    <w:rsid w:val="002A2272"/>
    <w:rsid w:val="002A2320"/>
    <w:rsid w:val="002A2354"/>
    <w:rsid w:val="002A2358"/>
    <w:rsid w:val="002A2362"/>
    <w:rsid w:val="002A2363"/>
    <w:rsid w:val="002A237B"/>
    <w:rsid w:val="002A239F"/>
    <w:rsid w:val="002A23B1"/>
    <w:rsid w:val="002A23BC"/>
    <w:rsid w:val="002A23C9"/>
    <w:rsid w:val="002A23DB"/>
    <w:rsid w:val="002A2444"/>
    <w:rsid w:val="002A2448"/>
    <w:rsid w:val="002A2482"/>
    <w:rsid w:val="002A24FA"/>
    <w:rsid w:val="002A2527"/>
    <w:rsid w:val="002A2535"/>
    <w:rsid w:val="002A2549"/>
    <w:rsid w:val="002A256C"/>
    <w:rsid w:val="002A259E"/>
    <w:rsid w:val="002A25AA"/>
    <w:rsid w:val="002A25C6"/>
    <w:rsid w:val="002A25E3"/>
    <w:rsid w:val="002A25F4"/>
    <w:rsid w:val="002A261A"/>
    <w:rsid w:val="002A26C2"/>
    <w:rsid w:val="002A26DD"/>
    <w:rsid w:val="002A26F5"/>
    <w:rsid w:val="002A2703"/>
    <w:rsid w:val="002A2709"/>
    <w:rsid w:val="002A2746"/>
    <w:rsid w:val="002A274B"/>
    <w:rsid w:val="002A2778"/>
    <w:rsid w:val="002A27C0"/>
    <w:rsid w:val="002A27F4"/>
    <w:rsid w:val="002A280B"/>
    <w:rsid w:val="002A2810"/>
    <w:rsid w:val="002A281C"/>
    <w:rsid w:val="002A2821"/>
    <w:rsid w:val="002A2832"/>
    <w:rsid w:val="002A2872"/>
    <w:rsid w:val="002A28D1"/>
    <w:rsid w:val="002A28D5"/>
    <w:rsid w:val="002A297B"/>
    <w:rsid w:val="002A2999"/>
    <w:rsid w:val="002A299A"/>
    <w:rsid w:val="002A2A0F"/>
    <w:rsid w:val="002A2A96"/>
    <w:rsid w:val="002A2AA5"/>
    <w:rsid w:val="002A2AAD"/>
    <w:rsid w:val="002A2ABA"/>
    <w:rsid w:val="002A2AE9"/>
    <w:rsid w:val="002A2AF1"/>
    <w:rsid w:val="002A2B2F"/>
    <w:rsid w:val="002A2B64"/>
    <w:rsid w:val="002A2BB4"/>
    <w:rsid w:val="002A2C5B"/>
    <w:rsid w:val="002A2CB4"/>
    <w:rsid w:val="002A2CCD"/>
    <w:rsid w:val="002A2CD9"/>
    <w:rsid w:val="002A2CEA"/>
    <w:rsid w:val="002A2CF1"/>
    <w:rsid w:val="002A2D11"/>
    <w:rsid w:val="002A2D14"/>
    <w:rsid w:val="002A2D25"/>
    <w:rsid w:val="002A2D26"/>
    <w:rsid w:val="002A2D4D"/>
    <w:rsid w:val="002A2D4F"/>
    <w:rsid w:val="002A2DB4"/>
    <w:rsid w:val="002A2DFF"/>
    <w:rsid w:val="002A2E05"/>
    <w:rsid w:val="002A2E0D"/>
    <w:rsid w:val="002A2E17"/>
    <w:rsid w:val="002A2E30"/>
    <w:rsid w:val="002A2E50"/>
    <w:rsid w:val="002A2E92"/>
    <w:rsid w:val="002A2ED9"/>
    <w:rsid w:val="002A2F28"/>
    <w:rsid w:val="002A2F4E"/>
    <w:rsid w:val="002A2F9D"/>
    <w:rsid w:val="002A2FA0"/>
    <w:rsid w:val="002A2FC4"/>
    <w:rsid w:val="002A2FC8"/>
    <w:rsid w:val="002A306E"/>
    <w:rsid w:val="002A307E"/>
    <w:rsid w:val="002A307F"/>
    <w:rsid w:val="002A30C9"/>
    <w:rsid w:val="002A30EC"/>
    <w:rsid w:val="002A314D"/>
    <w:rsid w:val="002A3177"/>
    <w:rsid w:val="002A3179"/>
    <w:rsid w:val="002A31C3"/>
    <w:rsid w:val="002A31C4"/>
    <w:rsid w:val="002A31CF"/>
    <w:rsid w:val="002A3253"/>
    <w:rsid w:val="002A3256"/>
    <w:rsid w:val="002A3298"/>
    <w:rsid w:val="002A3308"/>
    <w:rsid w:val="002A333C"/>
    <w:rsid w:val="002A3355"/>
    <w:rsid w:val="002A3357"/>
    <w:rsid w:val="002A3379"/>
    <w:rsid w:val="002A3381"/>
    <w:rsid w:val="002A3399"/>
    <w:rsid w:val="002A33CB"/>
    <w:rsid w:val="002A33E9"/>
    <w:rsid w:val="002A3439"/>
    <w:rsid w:val="002A3462"/>
    <w:rsid w:val="002A346F"/>
    <w:rsid w:val="002A347E"/>
    <w:rsid w:val="002A3491"/>
    <w:rsid w:val="002A3498"/>
    <w:rsid w:val="002A34E1"/>
    <w:rsid w:val="002A3518"/>
    <w:rsid w:val="002A35CC"/>
    <w:rsid w:val="002A35D0"/>
    <w:rsid w:val="002A35ED"/>
    <w:rsid w:val="002A3606"/>
    <w:rsid w:val="002A360A"/>
    <w:rsid w:val="002A362F"/>
    <w:rsid w:val="002A3683"/>
    <w:rsid w:val="002A36B3"/>
    <w:rsid w:val="002A36C4"/>
    <w:rsid w:val="002A36FA"/>
    <w:rsid w:val="002A371B"/>
    <w:rsid w:val="002A3724"/>
    <w:rsid w:val="002A3733"/>
    <w:rsid w:val="002A373E"/>
    <w:rsid w:val="002A3756"/>
    <w:rsid w:val="002A3770"/>
    <w:rsid w:val="002A377F"/>
    <w:rsid w:val="002A3794"/>
    <w:rsid w:val="002A37A0"/>
    <w:rsid w:val="002A37F9"/>
    <w:rsid w:val="002A3809"/>
    <w:rsid w:val="002A3853"/>
    <w:rsid w:val="002A3887"/>
    <w:rsid w:val="002A38D2"/>
    <w:rsid w:val="002A38F1"/>
    <w:rsid w:val="002A38FE"/>
    <w:rsid w:val="002A390E"/>
    <w:rsid w:val="002A3923"/>
    <w:rsid w:val="002A39A9"/>
    <w:rsid w:val="002A39D6"/>
    <w:rsid w:val="002A3A22"/>
    <w:rsid w:val="002A3A4F"/>
    <w:rsid w:val="002A3A5A"/>
    <w:rsid w:val="002A3A64"/>
    <w:rsid w:val="002A3AB9"/>
    <w:rsid w:val="002A3AD9"/>
    <w:rsid w:val="002A3B19"/>
    <w:rsid w:val="002A3B20"/>
    <w:rsid w:val="002A3B69"/>
    <w:rsid w:val="002A3B6D"/>
    <w:rsid w:val="002A3BF3"/>
    <w:rsid w:val="002A3C12"/>
    <w:rsid w:val="002A3C30"/>
    <w:rsid w:val="002A3C31"/>
    <w:rsid w:val="002A3CB0"/>
    <w:rsid w:val="002A3D92"/>
    <w:rsid w:val="002A3DB9"/>
    <w:rsid w:val="002A3DFF"/>
    <w:rsid w:val="002A3E12"/>
    <w:rsid w:val="002A3E35"/>
    <w:rsid w:val="002A3E36"/>
    <w:rsid w:val="002A3E5F"/>
    <w:rsid w:val="002A3E95"/>
    <w:rsid w:val="002A3E98"/>
    <w:rsid w:val="002A3F11"/>
    <w:rsid w:val="002A3F2B"/>
    <w:rsid w:val="002A3F3E"/>
    <w:rsid w:val="002A3F57"/>
    <w:rsid w:val="002A3F76"/>
    <w:rsid w:val="002A3F77"/>
    <w:rsid w:val="002A3FC2"/>
    <w:rsid w:val="002A3FE7"/>
    <w:rsid w:val="002A4014"/>
    <w:rsid w:val="002A4038"/>
    <w:rsid w:val="002A4045"/>
    <w:rsid w:val="002A4046"/>
    <w:rsid w:val="002A4070"/>
    <w:rsid w:val="002A4079"/>
    <w:rsid w:val="002A407D"/>
    <w:rsid w:val="002A4089"/>
    <w:rsid w:val="002A4108"/>
    <w:rsid w:val="002A410B"/>
    <w:rsid w:val="002A4142"/>
    <w:rsid w:val="002A41AC"/>
    <w:rsid w:val="002A41C6"/>
    <w:rsid w:val="002A41F1"/>
    <w:rsid w:val="002A4220"/>
    <w:rsid w:val="002A4246"/>
    <w:rsid w:val="002A4302"/>
    <w:rsid w:val="002A4312"/>
    <w:rsid w:val="002A4331"/>
    <w:rsid w:val="002A4335"/>
    <w:rsid w:val="002A4336"/>
    <w:rsid w:val="002A4368"/>
    <w:rsid w:val="002A43D7"/>
    <w:rsid w:val="002A43FB"/>
    <w:rsid w:val="002A440C"/>
    <w:rsid w:val="002A441F"/>
    <w:rsid w:val="002A4437"/>
    <w:rsid w:val="002A444E"/>
    <w:rsid w:val="002A445C"/>
    <w:rsid w:val="002A44B0"/>
    <w:rsid w:val="002A44E3"/>
    <w:rsid w:val="002A44F0"/>
    <w:rsid w:val="002A44FB"/>
    <w:rsid w:val="002A4507"/>
    <w:rsid w:val="002A454A"/>
    <w:rsid w:val="002A455D"/>
    <w:rsid w:val="002A455E"/>
    <w:rsid w:val="002A458C"/>
    <w:rsid w:val="002A45D8"/>
    <w:rsid w:val="002A45DF"/>
    <w:rsid w:val="002A45F8"/>
    <w:rsid w:val="002A4633"/>
    <w:rsid w:val="002A4677"/>
    <w:rsid w:val="002A468A"/>
    <w:rsid w:val="002A46D3"/>
    <w:rsid w:val="002A46E1"/>
    <w:rsid w:val="002A46EB"/>
    <w:rsid w:val="002A4703"/>
    <w:rsid w:val="002A4719"/>
    <w:rsid w:val="002A474A"/>
    <w:rsid w:val="002A475E"/>
    <w:rsid w:val="002A4782"/>
    <w:rsid w:val="002A479D"/>
    <w:rsid w:val="002A47C8"/>
    <w:rsid w:val="002A47E2"/>
    <w:rsid w:val="002A47E7"/>
    <w:rsid w:val="002A4803"/>
    <w:rsid w:val="002A484F"/>
    <w:rsid w:val="002A488C"/>
    <w:rsid w:val="002A48AB"/>
    <w:rsid w:val="002A48FD"/>
    <w:rsid w:val="002A4930"/>
    <w:rsid w:val="002A496B"/>
    <w:rsid w:val="002A49BB"/>
    <w:rsid w:val="002A49D2"/>
    <w:rsid w:val="002A49E7"/>
    <w:rsid w:val="002A49F4"/>
    <w:rsid w:val="002A4A0A"/>
    <w:rsid w:val="002A4A3F"/>
    <w:rsid w:val="002A4AC5"/>
    <w:rsid w:val="002A4AFE"/>
    <w:rsid w:val="002A4BCD"/>
    <w:rsid w:val="002A4C16"/>
    <w:rsid w:val="002A4C17"/>
    <w:rsid w:val="002A4C1E"/>
    <w:rsid w:val="002A4C27"/>
    <w:rsid w:val="002A4C3F"/>
    <w:rsid w:val="002A4C42"/>
    <w:rsid w:val="002A4C6C"/>
    <w:rsid w:val="002A4CB0"/>
    <w:rsid w:val="002A4CB2"/>
    <w:rsid w:val="002A4CB7"/>
    <w:rsid w:val="002A4CC4"/>
    <w:rsid w:val="002A4CE4"/>
    <w:rsid w:val="002A4CEF"/>
    <w:rsid w:val="002A4CFA"/>
    <w:rsid w:val="002A4D11"/>
    <w:rsid w:val="002A4DA4"/>
    <w:rsid w:val="002A4DAD"/>
    <w:rsid w:val="002A4DB0"/>
    <w:rsid w:val="002A4DB1"/>
    <w:rsid w:val="002A4E26"/>
    <w:rsid w:val="002A4EBC"/>
    <w:rsid w:val="002A4ECB"/>
    <w:rsid w:val="002A4EFD"/>
    <w:rsid w:val="002A4F35"/>
    <w:rsid w:val="002A4F7F"/>
    <w:rsid w:val="002A4FC0"/>
    <w:rsid w:val="002A4FC3"/>
    <w:rsid w:val="002A4FFA"/>
    <w:rsid w:val="002A5026"/>
    <w:rsid w:val="002A5039"/>
    <w:rsid w:val="002A504E"/>
    <w:rsid w:val="002A506A"/>
    <w:rsid w:val="002A508E"/>
    <w:rsid w:val="002A50CB"/>
    <w:rsid w:val="002A5102"/>
    <w:rsid w:val="002A5146"/>
    <w:rsid w:val="002A5179"/>
    <w:rsid w:val="002A520C"/>
    <w:rsid w:val="002A5226"/>
    <w:rsid w:val="002A524B"/>
    <w:rsid w:val="002A52E2"/>
    <w:rsid w:val="002A52EF"/>
    <w:rsid w:val="002A5324"/>
    <w:rsid w:val="002A5328"/>
    <w:rsid w:val="002A5330"/>
    <w:rsid w:val="002A5341"/>
    <w:rsid w:val="002A5350"/>
    <w:rsid w:val="002A53CD"/>
    <w:rsid w:val="002A5401"/>
    <w:rsid w:val="002A5402"/>
    <w:rsid w:val="002A543C"/>
    <w:rsid w:val="002A545F"/>
    <w:rsid w:val="002A548B"/>
    <w:rsid w:val="002A5528"/>
    <w:rsid w:val="002A552F"/>
    <w:rsid w:val="002A5548"/>
    <w:rsid w:val="002A5595"/>
    <w:rsid w:val="002A55CC"/>
    <w:rsid w:val="002A55D1"/>
    <w:rsid w:val="002A55F0"/>
    <w:rsid w:val="002A563A"/>
    <w:rsid w:val="002A5648"/>
    <w:rsid w:val="002A5665"/>
    <w:rsid w:val="002A5695"/>
    <w:rsid w:val="002A56EC"/>
    <w:rsid w:val="002A572D"/>
    <w:rsid w:val="002A574C"/>
    <w:rsid w:val="002A5754"/>
    <w:rsid w:val="002A577A"/>
    <w:rsid w:val="002A57CD"/>
    <w:rsid w:val="002A57F7"/>
    <w:rsid w:val="002A584C"/>
    <w:rsid w:val="002A586B"/>
    <w:rsid w:val="002A587E"/>
    <w:rsid w:val="002A58A6"/>
    <w:rsid w:val="002A58CC"/>
    <w:rsid w:val="002A58FB"/>
    <w:rsid w:val="002A592E"/>
    <w:rsid w:val="002A5979"/>
    <w:rsid w:val="002A597E"/>
    <w:rsid w:val="002A5992"/>
    <w:rsid w:val="002A5A9D"/>
    <w:rsid w:val="002A5ABB"/>
    <w:rsid w:val="002A5AC6"/>
    <w:rsid w:val="002A5BB1"/>
    <w:rsid w:val="002A5BBD"/>
    <w:rsid w:val="002A5C22"/>
    <w:rsid w:val="002A5C5D"/>
    <w:rsid w:val="002A5CB4"/>
    <w:rsid w:val="002A5CE9"/>
    <w:rsid w:val="002A5D04"/>
    <w:rsid w:val="002A5D17"/>
    <w:rsid w:val="002A5D36"/>
    <w:rsid w:val="002A5D7E"/>
    <w:rsid w:val="002A5DA9"/>
    <w:rsid w:val="002A5DCA"/>
    <w:rsid w:val="002A5DDD"/>
    <w:rsid w:val="002A5E87"/>
    <w:rsid w:val="002A5F03"/>
    <w:rsid w:val="002A5F27"/>
    <w:rsid w:val="002A5F48"/>
    <w:rsid w:val="002A5F66"/>
    <w:rsid w:val="002A5F6F"/>
    <w:rsid w:val="002A5F77"/>
    <w:rsid w:val="002A5F8E"/>
    <w:rsid w:val="002A5F90"/>
    <w:rsid w:val="002A5F9D"/>
    <w:rsid w:val="002A601F"/>
    <w:rsid w:val="002A606B"/>
    <w:rsid w:val="002A6072"/>
    <w:rsid w:val="002A607A"/>
    <w:rsid w:val="002A60AD"/>
    <w:rsid w:val="002A60AF"/>
    <w:rsid w:val="002A60C3"/>
    <w:rsid w:val="002A6121"/>
    <w:rsid w:val="002A6137"/>
    <w:rsid w:val="002A619B"/>
    <w:rsid w:val="002A6203"/>
    <w:rsid w:val="002A620A"/>
    <w:rsid w:val="002A620F"/>
    <w:rsid w:val="002A6230"/>
    <w:rsid w:val="002A6234"/>
    <w:rsid w:val="002A628E"/>
    <w:rsid w:val="002A62A5"/>
    <w:rsid w:val="002A633D"/>
    <w:rsid w:val="002A6342"/>
    <w:rsid w:val="002A6366"/>
    <w:rsid w:val="002A6368"/>
    <w:rsid w:val="002A636A"/>
    <w:rsid w:val="002A6382"/>
    <w:rsid w:val="002A63B0"/>
    <w:rsid w:val="002A63DF"/>
    <w:rsid w:val="002A63E0"/>
    <w:rsid w:val="002A6455"/>
    <w:rsid w:val="002A646F"/>
    <w:rsid w:val="002A647D"/>
    <w:rsid w:val="002A64CD"/>
    <w:rsid w:val="002A64D3"/>
    <w:rsid w:val="002A64DB"/>
    <w:rsid w:val="002A658A"/>
    <w:rsid w:val="002A6591"/>
    <w:rsid w:val="002A65BA"/>
    <w:rsid w:val="002A65C5"/>
    <w:rsid w:val="002A65DA"/>
    <w:rsid w:val="002A65F4"/>
    <w:rsid w:val="002A6620"/>
    <w:rsid w:val="002A662A"/>
    <w:rsid w:val="002A665B"/>
    <w:rsid w:val="002A6665"/>
    <w:rsid w:val="002A6669"/>
    <w:rsid w:val="002A6689"/>
    <w:rsid w:val="002A66A2"/>
    <w:rsid w:val="002A66CE"/>
    <w:rsid w:val="002A6706"/>
    <w:rsid w:val="002A6741"/>
    <w:rsid w:val="002A6758"/>
    <w:rsid w:val="002A6767"/>
    <w:rsid w:val="002A676F"/>
    <w:rsid w:val="002A678B"/>
    <w:rsid w:val="002A67C5"/>
    <w:rsid w:val="002A67D7"/>
    <w:rsid w:val="002A67F1"/>
    <w:rsid w:val="002A67F4"/>
    <w:rsid w:val="002A6814"/>
    <w:rsid w:val="002A68FC"/>
    <w:rsid w:val="002A690C"/>
    <w:rsid w:val="002A6913"/>
    <w:rsid w:val="002A6925"/>
    <w:rsid w:val="002A69B7"/>
    <w:rsid w:val="002A69B9"/>
    <w:rsid w:val="002A69F9"/>
    <w:rsid w:val="002A6A19"/>
    <w:rsid w:val="002A6A6A"/>
    <w:rsid w:val="002A6AD4"/>
    <w:rsid w:val="002A6B2D"/>
    <w:rsid w:val="002A6B70"/>
    <w:rsid w:val="002A6B80"/>
    <w:rsid w:val="002A6BBA"/>
    <w:rsid w:val="002A6BF7"/>
    <w:rsid w:val="002A6C38"/>
    <w:rsid w:val="002A6C4B"/>
    <w:rsid w:val="002A6C8B"/>
    <w:rsid w:val="002A6C95"/>
    <w:rsid w:val="002A6D0E"/>
    <w:rsid w:val="002A6D2A"/>
    <w:rsid w:val="002A6D78"/>
    <w:rsid w:val="002A6D79"/>
    <w:rsid w:val="002A6D88"/>
    <w:rsid w:val="002A6DA6"/>
    <w:rsid w:val="002A6E08"/>
    <w:rsid w:val="002A6E2E"/>
    <w:rsid w:val="002A6E48"/>
    <w:rsid w:val="002A6E4E"/>
    <w:rsid w:val="002A6E80"/>
    <w:rsid w:val="002A6F1F"/>
    <w:rsid w:val="002A6F4E"/>
    <w:rsid w:val="002A6F5D"/>
    <w:rsid w:val="002A6F87"/>
    <w:rsid w:val="002A6F8F"/>
    <w:rsid w:val="002A6FD8"/>
    <w:rsid w:val="002A6FE5"/>
    <w:rsid w:val="002A7019"/>
    <w:rsid w:val="002A702B"/>
    <w:rsid w:val="002A70EA"/>
    <w:rsid w:val="002A70FB"/>
    <w:rsid w:val="002A7141"/>
    <w:rsid w:val="002A716A"/>
    <w:rsid w:val="002A717F"/>
    <w:rsid w:val="002A718D"/>
    <w:rsid w:val="002A719A"/>
    <w:rsid w:val="002A719D"/>
    <w:rsid w:val="002A71C2"/>
    <w:rsid w:val="002A71F6"/>
    <w:rsid w:val="002A71FE"/>
    <w:rsid w:val="002A724F"/>
    <w:rsid w:val="002A7260"/>
    <w:rsid w:val="002A7264"/>
    <w:rsid w:val="002A7269"/>
    <w:rsid w:val="002A727B"/>
    <w:rsid w:val="002A72D2"/>
    <w:rsid w:val="002A72EB"/>
    <w:rsid w:val="002A72EE"/>
    <w:rsid w:val="002A7312"/>
    <w:rsid w:val="002A732F"/>
    <w:rsid w:val="002A73A8"/>
    <w:rsid w:val="002A73B8"/>
    <w:rsid w:val="002A73E5"/>
    <w:rsid w:val="002A7413"/>
    <w:rsid w:val="002A7417"/>
    <w:rsid w:val="002A7422"/>
    <w:rsid w:val="002A7427"/>
    <w:rsid w:val="002A7433"/>
    <w:rsid w:val="002A7444"/>
    <w:rsid w:val="002A7454"/>
    <w:rsid w:val="002A7455"/>
    <w:rsid w:val="002A7481"/>
    <w:rsid w:val="002A74F1"/>
    <w:rsid w:val="002A7545"/>
    <w:rsid w:val="002A75D1"/>
    <w:rsid w:val="002A75E0"/>
    <w:rsid w:val="002A7606"/>
    <w:rsid w:val="002A760B"/>
    <w:rsid w:val="002A763D"/>
    <w:rsid w:val="002A764A"/>
    <w:rsid w:val="002A765D"/>
    <w:rsid w:val="002A7673"/>
    <w:rsid w:val="002A7687"/>
    <w:rsid w:val="002A768D"/>
    <w:rsid w:val="002A76CE"/>
    <w:rsid w:val="002A76D7"/>
    <w:rsid w:val="002A76F0"/>
    <w:rsid w:val="002A76F7"/>
    <w:rsid w:val="002A76FC"/>
    <w:rsid w:val="002A770A"/>
    <w:rsid w:val="002A7731"/>
    <w:rsid w:val="002A7753"/>
    <w:rsid w:val="002A7762"/>
    <w:rsid w:val="002A777B"/>
    <w:rsid w:val="002A777E"/>
    <w:rsid w:val="002A778D"/>
    <w:rsid w:val="002A778E"/>
    <w:rsid w:val="002A77D1"/>
    <w:rsid w:val="002A77D9"/>
    <w:rsid w:val="002A781F"/>
    <w:rsid w:val="002A7883"/>
    <w:rsid w:val="002A7893"/>
    <w:rsid w:val="002A78E6"/>
    <w:rsid w:val="002A7915"/>
    <w:rsid w:val="002A7925"/>
    <w:rsid w:val="002A794A"/>
    <w:rsid w:val="002A797C"/>
    <w:rsid w:val="002A7A01"/>
    <w:rsid w:val="002A7A12"/>
    <w:rsid w:val="002A7A3F"/>
    <w:rsid w:val="002A7A83"/>
    <w:rsid w:val="002A7AE6"/>
    <w:rsid w:val="002A7B9C"/>
    <w:rsid w:val="002A7BAB"/>
    <w:rsid w:val="002A7BAF"/>
    <w:rsid w:val="002A7BB8"/>
    <w:rsid w:val="002A7BD0"/>
    <w:rsid w:val="002A7C06"/>
    <w:rsid w:val="002A7C10"/>
    <w:rsid w:val="002A7C2F"/>
    <w:rsid w:val="002A7C40"/>
    <w:rsid w:val="002A7C5C"/>
    <w:rsid w:val="002A7CBB"/>
    <w:rsid w:val="002A7CC5"/>
    <w:rsid w:val="002A7CCC"/>
    <w:rsid w:val="002A7CF6"/>
    <w:rsid w:val="002A7D0F"/>
    <w:rsid w:val="002A7D1A"/>
    <w:rsid w:val="002A7D1D"/>
    <w:rsid w:val="002A7D3D"/>
    <w:rsid w:val="002A7DA1"/>
    <w:rsid w:val="002A7DCE"/>
    <w:rsid w:val="002A7DFD"/>
    <w:rsid w:val="002A7E27"/>
    <w:rsid w:val="002A7E93"/>
    <w:rsid w:val="002A7F22"/>
    <w:rsid w:val="002A7F27"/>
    <w:rsid w:val="002A7F2E"/>
    <w:rsid w:val="002A7F67"/>
    <w:rsid w:val="002A7F6C"/>
    <w:rsid w:val="002A7F9A"/>
    <w:rsid w:val="002A7FB9"/>
    <w:rsid w:val="002A7FF5"/>
    <w:rsid w:val="002B000D"/>
    <w:rsid w:val="002B0032"/>
    <w:rsid w:val="002B003D"/>
    <w:rsid w:val="002B00D3"/>
    <w:rsid w:val="002B00E3"/>
    <w:rsid w:val="002B00E6"/>
    <w:rsid w:val="002B0127"/>
    <w:rsid w:val="002B0138"/>
    <w:rsid w:val="002B0141"/>
    <w:rsid w:val="002B0142"/>
    <w:rsid w:val="002B014F"/>
    <w:rsid w:val="002B0150"/>
    <w:rsid w:val="002B01DB"/>
    <w:rsid w:val="002B01EA"/>
    <w:rsid w:val="002B020B"/>
    <w:rsid w:val="002B0243"/>
    <w:rsid w:val="002B0256"/>
    <w:rsid w:val="002B0261"/>
    <w:rsid w:val="002B026A"/>
    <w:rsid w:val="002B0294"/>
    <w:rsid w:val="002B02E3"/>
    <w:rsid w:val="002B02EF"/>
    <w:rsid w:val="002B02F7"/>
    <w:rsid w:val="002B0347"/>
    <w:rsid w:val="002B037C"/>
    <w:rsid w:val="002B038C"/>
    <w:rsid w:val="002B0396"/>
    <w:rsid w:val="002B03AD"/>
    <w:rsid w:val="002B03D0"/>
    <w:rsid w:val="002B03D4"/>
    <w:rsid w:val="002B03FE"/>
    <w:rsid w:val="002B0435"/>
    <w:rsid w:val="002B045F"/>
    <w:rsid w:val="002B046C"/>
    <w:rsid w:val="002B047A"/>
    <w:rsid w:val="002B048C"/>
    <w:rsid w:val="002B04A8"/>
    <w:rsid w:val="002B050E"/>
    <w:rsid w:val="002B0550"/>
    <w:rsid w:val="002B0560"/>
    <w:rsid w:val="002B059D"/>
    <w:rsid w:val="002B05D5"/>
    <w:rsid w:val="002B05F4"/>
    <w:rsid w:val="002B062B"/>
    <w:rsid w:val="002B0645"/>
    <w:rsid w:val="002B0670"/>
    <w:rsid w:val="002B06B8"/>
    <w:rsid w:val="002B0713"/>
    <w:rsid w:val="002B072D"/>
    <w:rsid w:val="002B0741"/>
    <w:rsid w:val="002B0762"/>
    <w:rsid w:val="002B076F"/>
    <w:rsid w:val="002B0794"/>
    <w:rsid w:val="002B07C2"/>
    <w:rsid w:val="002B07FE"/>
    <w:rsid w:val="002B0806"/>
    <w:rsid w:val="002B0855"/>
    <w:rsid w:val="002B086D"/>
    <w:rsid w:val="002B0886"/>
    <w:rsid w:val="002B08A5"/>
    <w:rsid w:val="002B08BA"/>
    <w:rsid w:val="002B08F5"/>
    <w:rsid w:val="002B096D"/>
    <w:rsid w:val="002B0983"/>
    <w:rsid w:val="002B09B2"/>
    <w:rsid w:val="002B0A05"/>
    <w:rsid w:val="002B0AB5"/>
    <w:rsid w:val="002B0AC9"/>
    <w:rsid w:val="002B0AF3"/>
    <w:rsid w:val="002B0B7B"/>
    <w:rsid w:val="002B0B8B"/>
    <w:rsid w:val="002B0B8C"/>
    <w:rsid w:val="002B0B9B"/>
    <w:rsid w:val="002B0BAD"/>
    <w:rsid w:val="002B0BB4"/>
    <w:rsid w:val="002B0BF1"/>
    <w:rsid w:val="002B0C43"/>
    <w:rsid w:val="002B0CB0"/>
    <w:rsid w:val="002B0CE9"/>
    <w:rsid w:val="002B0CED"/>
    <w:rsid w:val="002B0D18"/>
    <w:rsid w:val="002B0D45"/>
    <w:rsid w:val="002B0D81"/>
    <w:rsid w:val="002B0D83"/>
    <w:rsid w:val="002B0DB6"/>
    <w:rsid w:val="002B0DE4"/>
    <w:rsid w:val="002B0E4D"/>
    <w:rsid w:val="002B0E5C"/>
    <w:rsid w:val="002B0E5E"/>
    <w:rsid w:val="002B0E96"/>
    <w:rsid w:val="002B0EA4"/>
    <w:rsid w:val="002B0EA7"/>
    <w:rsid w:val="002B0EBE"/>
    <w:rsid w:val="002B0EE6"/>
    <w:rsid w:val="002B0F00"/>
    <w:rsid w:val="002B0F73"/>
    <w:rsid w:val="002B0FA2"/>
    <w:rsid w:val="002B0FB0"/>
    <w:rsid w:val="002B0FBC"/>
    <w:rsid w:val="002B0FE5"/>
    <w:rsid w:val="002B0FEC"/>
    <w:rsid w:val="002B0FF5"/>
    <w:rsid w:val="002B100A"/>
    <w:rsid w:val="002B1015"/>
    <w:rsid w:val="002B1033"/>
    <w:rsid w:val="002B1062"/>
    <w:rsid w:val="002B106A"/>
    <w:rsid w:val="002B1080"/>
    <w:rsid w:val="002B10C6"/>
    <w:rsid w:val="002B10CA"/>
    <w:rsid w:val="002B10E0"/>
    <w:rsid w:val="002B115A"/>
    <w:rsid w:val="002B117B"/>
    <w:rsid w:val="002B118C"/>
    <w:rsid w:val="002B1197"/>
    <w:rsid w:val="002B11A1"/>
    <w:rsid w:val="002B11D7"/>
    <w:rsid w:val="002B1235"/>
    <w:rsid w:val="002B1272"/>
    <w:rsid w:val="002B1291"/>
    <w:rsid w:val="002B12F6"/>
    <w:rsid w:val="002B1373"/>
    <w:rsid w:val="002B1392"/>
    <w:rsid w:val="002B13D8"/>
    <w:rsid w:val="002B142E"/>
    <w:rsid w:val="002B142F"/>
    <w:rsid w:val="002B1455"/>
    <w:rsid w:val="002B1462"/>
    <w:rsid w:val="002B1496"/>
    <w:rsid w:val="002B14E3"/>
    <w:rsid w:val="002B14E7"/>
    <w:rsid w:val="002B1509"/>
    <w:rsid w:val="002B1529"/>
    <w:rsid w:val="002B156D"/>
    <w:rsid w:val="002B156F"/>
    <w:rsid w:val="002B1639"/>
    <w:rsid w:val="002B165D"/>
    <w:rsid w:val="002B166C"/>
    <w:rsid w:val="002B16BE"/>
    <w:rsid w:val="002B16D0"/>
    <w:rsid w:val="002B1726"/>
    <w:rsid w:val="002B17BF"/>
    <w:rsid w:val="002B17DA"/>
    <w:rsid w:val="002B17E8"/>
    <w:rsid w:val="002B1803"/>
    <w:rsid w:val="002B1817"/>
    <w:rsid w:val="002B1823"/>
    <w:rsid w:val="002B183F"/>
    <w:rsid w:val="002B1843"/>
    <w:rsid w:val="002B186B"/>
    <w:rsid w:val="002B189B"/>
    <w:rsid w:val="002B18A1"/>
    <w:rsid w:val="002B18C9"/>
    <w:rsid w:val="002B18FE"/>
    <w:rsid w:val="002B1908"/>
    <w:rsid w:val="002B1914"/>
    <w:rsid w:val="002B1936"/>
    <w:rsid w:val="002B1974"/>
    <w:rsid w:val="002B197E"/>
    <w:rsid w:val="002B19C9"/>
    <w:rsid w:val="002B1A5E"/>
    <w:rsid w:val="002B1A62"/>
    <w:rsid w:val="002B1A79"/>
    <w:rsid w:val="002B1AB5"/>
    <w:rsid w:val="002B1AB6"/>
    <w:rsid w:val="002B1AF4"/>
    <w:rsid w:val="002B1BA5"/>
    <w:rsid w:val="002B1BBB"/>
    <w:rsid w:val="002B1BDD"/>
    <w:rsid w:val="002B1BE4"/>
    <w:rsid w:val="002B1BF6"/>
    <w:rsid w:val="002B1C12"/>
    <w:rsid w:val="002B1C49"/>
    <w:rsid w:val="002B1CDC"/>
    <w:rsid w:val="002B1D08"/>
    <w:rsid w:val="002B1D3C"/>
    <w:rsid w:val="002B1D44"/>
    <w:rsid w:val="002B1D48"/>
    <w:rsid w:val="002B1D83"/>
    <w:rsid w:val="002B1DA8"/>
    <w:rsid w:val="002B1DA9"/>
    <w:rsid w:val="002B1E39"/>
    <w:rsid w:val="002B1EA5"/>
    <w:rsid w:val="002B1ED8"/>
    <w:rsid w:val="002B1F30"/>
    <w:rsid w:val="002B1F34"/>
    <w:rsid w:val="002B1F40"/>
    <w:rsid w:val="002B1F9A"/>
    <w:rsid w:val="002B1FB5"/>
    <w:rsid w:val="002B1FC8"/>
    <w:rsid w:val="002B2008"/>
    <w:rsid w:val="002B200D"/>
    <w:rsid w:val="002B2051"/>
    <w:rsid w:val="002B2052"/>
    <w:rsid w:val="002B2061"/>
    <w:rsid w:val="002B2067"/>
    <w:rsid w:val="002B2068"/>
    <w:rsid w:val="002B2077"/>
    <w:rsid w:val="002B207C"/>
    <w:rsid w:val="002B20D6"/>
    <w:rsid w:val="002B2143"/>
    <w:rsid w:val="002B2150"/>
    <w:rsid w:val="002B216D"/>
    <w:rsid w:val="002B2178"/>
    <w:rsid w:val="002B21F4"/>
    <w:rsid w:val="002B222F"/>
    <w:rsid w:val="002B228A"/>
    <w:rsid w:val="002B229B"/>
    <w:rsid w:val="002B22BC"/>
    <w:rsid w:val="002B22D7"/>
    <w:rsid w:val="002B22D9"/>
    <w:rsid w:val="002B22E2"/>
    <w:rsid w:val="002B22E3"/>
    <w:rsid w:val="002B22F1"/>
    <w:rsid w:val="002B230C"/>
    <w:rsid w:val="002B235A"/>
    <w:rsid w:val="002B23BF"/>
    <w:rsid w:val="002B23D2"/>
    <w:rsid w:val="002B23DC"/>
    <w:rsid w:val="002B2421"/>
    <w:rsid w:val="002B244E"/>
    <w:rsid w:val="002B244F"/>
    <w:rsid w:val="002B245D"/>
    <w:rsid w:val="002B2491"/>
    <w:rsid w:val="002B24BD"/>
    <w:rsid w:val="002B24D0"/>
    <w:rsid w:val="002B24E8"/>
    <w:rsid w:val="002B24EF"/>
    <w:rsid w:val="002B251F"/>
    <w:rsid w:val="002B259E"/>
    <w:rsid w:val="002B25D6"/>
    <w:rsid w:val="002B2636"/>
    <w:rsid w:val="002B265C"/>
    <w:rsid w:val="002B267A"/>
    <w:rsid w:val="002B2681"/>
    <w:rsid w:val="002B26B0"/>
    <w:rsid w:val="002B26BF"/>
    <w:rsid w:val="002B275E"/>
    <w:rsid w:val="002B27C0"/>
    <w:rsid w:val="002B27C2"/>
    <w:rsid w:val="002B27FC"/>
    <w:rsid w:val="002B2851"/>
    <w:rsid w:val="002B286B"/>
    <w:rsid w:val="002B286E"/>
    <w:rsid w:val="002B2878"/>
    <w:rsid w:val="002B2880"/>
    <w:rsid w:val="002B28C8"/>
    <w:rsid w:val="002B28D6"/>
    <w:rsid w:val="002B2936"/>
    <w:rsid w:val="002B2990"/>
    <w:rsid w:val="002B29B2"/>
    <w:rsid w:val="002B29CD"/>
    <w:rsid w:val="002B29D6"/>
    <w:rsid w:val="002B29EC"/>
    <w:rsid w:val="002B2A03"/>
    <w:rsid w:val="002B2A20"/>
    <w:rsid w:val="002B2A33"/>
    <w:rsid w:val="002B2A35"/>
    <w:rsid w:val="002B2A5A"/>
    <w:rsid w:val="002B2A89"/>
    <w:rsid w:val="002B2A95"/>
    <w:rsid w:val="002B2AA7"/>
    <w:rsid w:val="002B2AAB"/>
    <w:rsid w:val="002B2AB0"/>
    <w:rsid w:val="002B2ABB"/>
    <w:rsid w:val="002B2B28"/>
    <w:rsid w:val="002B2B30"/>
    <w:rsid w:val="002B2B66"/>
    <w:rsid w:val="002B2B77"/>
    <w:rsid w:val="002B2BB4"/>
    <w:rsid w:val="002B2BBD"/>
    <w:rsid w:val="002B2BC9"/>
    <w:rsid w:val="002B2C0D"/>
    <w:rsid w:val="002B2C1D"/>
    <w:rsid w:val="002B2D0D"/>
    <w:rsid w:val="002B2D35"/>
    <w:rsid w:val="002B2D47"/>
    <w:rsid w:val="002B2D75"/>
    <w:rsid w:val="002B2D94"/>
    <w:rsid w:val="002B2DBC"/>
    <w:rsid w:val="002B2DE1"/>
    <w:rsid w:val="002B2E1D"/>
    <w:rsid w:val="002B2E52"/>
    <w:rsid w:val="002B2E62"/>
    <w:rsid w:val="002B2EC4"/>
    <w:rsid w:val="002B2EFD"/>
    <w:rsid w:val="002B2F02"/>
    <w:rsid w:val="002B2F3E"/>
    <w:rsid w:val="002B2F73"/>
    <w:rsid w:val="002B2FB9"/>
    <w:rsid w:val="002B2FF6"/>
    <w:rsid w:val="002B306A"/>
    <w:rsid w:val="002B3088"/>
    <w:rsid w:val="002B30CE"/>
    <w:rsid w:val="002B30E1"/>
    <w:rsid w:val="002B3100"/>
    <w:rsid w:val="002B31AE"/>
    <w:rsid w:val="002B31D1"/>
    <w:rsid w:val="002B31F6"/>
    <w:rsid w:val="002B31FA"/>
    <w:rsid w:val="002B3208"/>
    <w:rsid w:val="002B322A"/>
    <w:rsid w:val="002B3259"/>
    <w:rsid w:val="002B3267"/>
    <w:rsid w:val="002B3295"/>
    <w:rsid w:val="002B32C1"/>
    <w:rsid w:val="002B32E5"/>
    <w:rsid w:val="002B331F"/>
    <w:rsid w:val="002B3327"/>
    <w:rsid w:val="002B332E"/>
    <w:rsid w:val="002B3369"/>
    <w:rsid w:val="002B3391"/>
    <w:rsid w:val="002B33C0"/>
    <w:rsid w:val="002B345A"/>
    <w:rsid w:val="002B347D"/>
    <w:rsid w:val="002B34B6"/>
    <w:rsid w:val="002B3501"/>
    <w:rsid w:val="002B3539"/>
    <w:rsid w:val="002B359B"/>
    <w:rsid w:val="002B359C"/>
    <w:rsid w:val="002B35E6"/>
    <w:rsid w:val="002B35F6"/>
    <w:rsid w:val="002B360A"/>
    <w:rsid w:val="002B3693"/>
    <w:rsid w:val="002B36A0"/>
    <w:rsid w:val="002B36BC"/>
    <w:rsid w:val="002B36E8"/>
    <w:rsid w:val="002B3770"/>
    <w:rsid w:val="002B378B"/>
    <w:rsid w:val="002B378D"/>
    <w:rsid w:val="002B3797"/>
    <w:rsid w:val="002B37F7"/>
    <w:rsid w:val="002B3826"/>
    <w:rsid w:val="002B3836"/>
    <w:rsid w:val="002B383C"/>
    <w:rsid w:val="002B3868"/>
    <w:rsid w:val="002B3884"/>
    <w:rsid w:val="002B3887"/>
    <w:rsid w:val="002B38A3"/>
    <w:rsid w:val="002B38C6"/>
    <w:rsid w:val="002B38E9"/>
    <w:rsid w:val="002B390B"/>
    <w:rsid w:val="002B392F"/>
    <w:rsid w:val="002B3964"/>
    <w:rsid w:val="002B39A1"/>
    <w:rsid w:val="002B39B0"/>
    <w:rsid w:val="002B39E6"/>
    <w:rsid w:val="002B39E9"/>
    <w:rsid w:val="002B3A39"/>
    <w:rsid w:val="002B3A3B"/>
    <w:rsid w:val="002B3A52"/>
    <w:rsid w:val="002B3A77"/>
    <w:rsid w:val="002B3A9E"/>
    <w:rsid w:val="002B3AAB"/>
    <w:rsid w:val="002B3AFF"/>
    <w:rsid w:val="002B3B18"/>
    <w:rsid w:val="002B3B38"/>
    <w:rsid w:val="002B3B39"/>
    <w:rsid w:val="002B3B42"/>
    <w:rsid w:val="002B3B50"/>
    <w:rsid w:val="002B3BC8"/>
    <w:rsid w:val="002B3BD9"/>
    <w:rsid w:val="002B3BFE"/>
    <w:rsid w:val="002B3C06"/>
    <w:rsid w:val="002B3C28"/>
    <w:rsid w:val="002B3C2C"/>
    <w:rsid w:val="002B3C61"/>
    <w:rsid w:val="002B3C7D"/>
    <w:rsid w:val="002B3C8C"/>
    <w:rsid w:val="002B3CA4"/>
    <w:rsid w:val="002B3CAE"/>
    <w:rsid w:val="002B3CB8"/>
    <w:rsid w:val="002B3CFF"/>
    <w:rsid w:val="002B3D28"/>
    <w:rsid w:val="002B3D86"/>
    <w:rsid w:val="002B3D8C"/>
    <w:rsid w:val="002B3E3A"/>
    <w:rsid w:val="002B3E9B"/>
    <w:rsid w:val="002B3EA8"/>
    <w:rsid w:val="002B3EAC"/>
    <w:rsid w:val="002B3EF0"/>
    <w:rsid w:val="002B3EFD"/>
    <w:rsid w:val="002B3F1E"/>
    <w:rsid w:val="002B3F24"/>
    <w:rsid w:val="002B3FF5"/>
    <w:rsid w:val="002B4011"/>
    <w:rsid w:val="002B403B"/>
    <w:rsid w:val="002B4061"/>
    <w:rsid w:val="002B4078"/>
    <w:rsid w:val="002B40BE"/>
    <w:rsid w:val="002B411E"/>
    <w:rsid w:val="002B41B7"/>
    <w:rsid w:val="002B41D8"/>
    <w:rsid w:val="002B42DA"/>
    <w:rsid w:val="002B433C"/>
    <w:rsid w:val="002B435B"/>
    <w:rsid w:val="002B436E"/>
    <w:rsid w:val="002B4399"/>
    <w:rsid w:val="002B43C2"/>
    <w:rsid w:val="002B43C4"/>
    <w:rsid w:val="002B43EE"/>
    <w:rsid w:val="002B4400"/>
    <w:rsid w:val="002B4456"/>
    <w:rsid w:val="002B44BE"/>
    <w:rsid w:val="002B44D1"/>
    <w:rsid w:val="002B44EC"/>
    <w:rsid w:val="002B44F1"/>
    <w:rsid w:val="002B453A"/>
    <w:rsid w:val="002B4557"/>
    <w:rsid w:val="002B456C"/>
    <w:rsid w:val="002B4570"/>
    <w:rsid w:val="002B4579"/>
    <w:rsid w:val="002B4580"/>
    <w:rsid w:val="002B45AA"/>
    <w:rsid w:val="002B4625"/>
    <w:rsid w:val="002B462A"/>
    <w:rsid w:val="002B462D"/>
    <w:rsid w:val="002B46AC"/>
    <w:rsid w:val="002B47AE"/>
    <w:rsid w:val="002B47ED"/>
    <w:rsid w:val="002B480D"/>
    <w:rsid w:val="002B482E"/>
    <w:rsid w:val="002B483E"/>
    <w:rsid w:val="002B48B3"/>
    <w:rsid w:val="002B48B8"/>
    <w:rsid w:val="002B48DD"/>
    <w:rsid w:val="002B490C"/>
    <w:rsid w:val="002B4924"/>
    <w:rsid w:val="002B4952"/>
    <w:rsid w:val="002B49B2"/>
    <w:rsid w:val="002B49F2"/>
    <w:rsid w:val="002B4A0C"/>
    <w:rsid w:val="002B4A1B"/>
    <w:rsid w:val="002B4A39"/>
    <w:rsid w:val="002B4AB9"/>
    <w:rsid w:val="002B4AD2"/>
    <w:rsid w:val="002B4ADB"/>
    <w:rsid w:val="002B4B08"/>
    <w:rsid w:val="002B4B6D"/>
    <w:rsid w:val="002B4B7E"/>
    <w:rsid w:val="002B4C44"/>
    <w:rsid w:val="002B4C8C"/>
    <w:rsid w:val="002B4CC0"/>
    <w:rsid w:val="002B4CC1"/>
    <w:rsid w:val="002B4CCD"/>
    <w:rsid w:val="002B4CD1"/>
    <w:rsid w:val="002B4D41"/>
    <w:rsid w:val="002B4D5D"/>
    <w:rsid w:val="002B4D5E"/>
    <w:rsid w:val="002B4D62"/>
    <w:rsid w:val="002B4D78"/>
    <w:rsid w:val="002B4D84"/>
    <w:rsid w:val="002B4D9D"/>
    <w:rsid w:val="002B4D9E"/>
    <w:rsid w:val="002B4E13"/>
    <w:rsid w:val="002B4E72"/>
    <w:rsid w:val="002B4E79"/>
    <w:rsid w:val="002B4E96"/>
    <w:rsid w:val="002B4EB3"/>
    <w:rsid w:val="002B4EFB"/>
    <w:rsid w:val="002B4F1E"/>
    <w:rsid w:val="002B4F52"/>
    <w:rsid w:val="002B4F6A"/>
    <w:rsid w:val="002B4F82"/>
    <w:rsid w:val="002B4F9F"/>
    <w:rsid w:val="002B4FB5"/>
    <w:rsid w:val="002B4FBA"/>
    <w:rsid w:val="002B50BC"/>
    <w:rsid w:val="002B50D8"/>
    <w:rsid w:val="002B50E1"/>
    <w:rsid w:val="002B5185"/>
    <w:rsid w:val="002B5188"/>
    <w:rsid w:val="002B5208"/>
    <w:rsid w:val="002B522A"/>
    <w:rsid w:val="002B525B"/>
    <w:rsid w:val="002B5289"/>
    <w:rsid w:val="002B52BF"/>
    <w:rsid w:val="002B5300"/>
    <w:rsid w:val="002B5314"/>
    <w:rsid w:val="002B531F"/>
    <w:rsid w:val="002B534C"/>
    <w:rsid w:val="002B5357"/>
    <w:rsid w:val="002B5404"/>
    <w:rsid w:val="002B5408"/>
    <w:rsid w:val="002B5432"/>
    <w:rsid w:val="002B5475"/>
    <w:rsid w:val="002B5486"/>
    <w:rsid w:val="002B5488"/>
    <w:rsid w:val="002B54BF"/>
    <w:rsid w:val="002B54D2"/>
    <w:rsid w:val="002B5501"/>
    <w:rsid w:val="002B5521"/>
    <w:rsid w:val="002B5528"/>
    <w:rsid w:val="002B554C"/>
    <w:rsid w:val="002B5570"/>
    <w:rsid w:val="002B55AC"/>
    <w:rsid w:val="002B55DC"/>
    <w:rsid w:val="002B562F"/>
    <w:rsid w:val="002B5634"/>
    <w:rsid w:val="002B56BE"/>
    <w:rsid w:val="002B56D4"/>
    <w:rsid w:val="002B571B"/>
    <w:rsid w:val="002B5728"/>
    <w:rsid w:val="002B572A"/>
    <w:rsid w:val="002B572D"/>
    <w:rsid w:val="002B5796"/>
    <w:rsid w:val="002B57AC"/>
    <w:rsid w:val="002B57C6"/>
    <w:rsid w:val="002B57D0"/>
    <w:rsid w:val="002B57E7"/>
    <w:rsid w:val="002B5829"/>
    <w:rsid w:val="002B584C"/>
    <w:rsid w:val="002B5858"/>
    <w:rsid w:val="002B5893"/>
    <w:rsid w:val="002B58E7"/>
    <w:rsid w:val="002B5964"/>
    <w:rsid w:val="002B59A0"/>
    <w:rsid w:val="002B59DF"/>
    <w:rsid w:val="002B5A28"/>
    <w:rsid w:val="002B5A3C"/>
    <w:rsid w:val="002B5A55"/>
    <w:rsid w:val="002B5AC2"/>
    <w:rsid w:val="002B5AC8"/>
    <w:rsid w:val="002B5ACD"/>
    <w:rsid w:val="002B5ADF"/>
    <w:rsid w:val="002B5AED"/>
    <w:rsid w:val="002B5B28"/>
    <w:rsid w:val="002B5B63"/>
    <w:rsid w:val="002B5BFB"/>
    <w:rsid w:val="002B5C02"/>
    <w:rsid w:val="002B5C54"/>
    <w:rsid w:val="002B5CC0"/>
    <w:rsid w:val="002B5D4F"/>
    <w:rsid w:val="002B5D5C"/>
    <w:rsid w:val="002B5DAE"/>
    <w:rsid w:val="002B5DB1"/>
    <w:rsid w:val="002B5DFE"/>
    <w:rsid w:val="002B5E17"/>
    <w:rsid w:val="002B5E4A"/>
    <w:rsid w:val="002B5E56"/>
    <w:rsid w:val="002B5E93"/>
    <w:rsid w:val="002B5EAB"/>
    <w:rsid w:val="002B5ED1"/>
    <w:rsid w:val="002B5EF0"/>
    <w:rsid w:val="002B5EF5"/>
    <w:rsid w:val="002B5EF7"/>
    <w:rsid w:val="002B5F16"/>
    <w:rsid w:val="002B5F2D"/>
    <w:rsid w:val="002B5F3A"/>
    <w:rsid w:val="002B5F50"/>
    <w:rsid w:val="002B5FF7"/>
    <w:rsid w:val="002B6004"/>
    <w:rsid w:val="002B6010"/>
    <w:rsid w:val="002B6018"/>
    <w:rsid w:val="002B6035"/>
    <w:rsid w:val="002B60B4"/>
    <w:rsid w:val="002B60C3"/>
    <w:rsid w:val="002B60D2"/>
    <w:rsid w:val="002B612C"/>
    <w:rsid w:val="002B613F"/>
    <w:rsid w:val="002B6146"/>
    <w:rsid w:val="002B61D7"/>
    <w:rsid w:val="002B620B"/>
    <w:rsid w:val="002B6210"/>
    <w:rsid w:val="002B6267"/>
    <w:rsid w:val="002B62A5"/>
    <w:rsid w:val="002B6325"/>
    <w:rsid w:val="002B63A6"/>
    <w:rsid w:val="002B63A9"/>
    <w:rsid w:val="002B63F4"/>
    <w:rsid w:val="002B6426"/>
    <w:rsid w:val="002B64C7"/>
    <w:rsid w:val="002B64E0"/>
    <w:rsid w:val="002B6532"/>
    <w:rsid w:val="002B657B"/>
    <w:rsid w:val="002B65B9"/>
    <w:rsid w:val="002B65EF"/>
    <w:rsid w:val="002B6659"/>
    <w:rsid w:val="002B669A"/>
    <w:rsid w:val="002B66AB"/>
    <w:rsid w:val="002B66C6"/>
    <w:rsid w:val="002B66D6"/>
    <w:rsid w:val="002B66D8"/>
    <w:rsid w:val="002B66D9"/>
    <w:rsid w:val="002B6708"/>
    <w:rsid w:val="002B6710"/>
    <w:rsid w:val="002B6758"/>
    <w:rsid w:val="002B6786"/>
    <w:rsid w:val="002B6789"/>
    <w:rsid w:val="002B6790"/>
    <w:rsid w:val="002B6797"/>
    <w:rsid w:val="002B6880"/>
    <w:rsid w:val="002B6896"/>
    <w:rsid w:val="002B68C5"/>
    <w:rsid w:val="002B68EB"/>
    <w:rsid w:val="002B68EF"/>
    <w:rsid w:val="002B68F9"/>
    <w:rsid w:val="002B692A"/>
    <w:rsid w:val="002B692E"/>
    <w:rsid w:val="002B6937"/>
    <w:rsid w:val="002B6950"/>
    <w:rsid w:val="002B699D"/>
    <w:rsid w:val="002B69A8"/>
    <w:rsid w:val="002B69C8"/>
    <w:rsid w:val="002B69D5"/>
    <w:rsid w:val="002B6A5D"/>
    <w:rsid w:val="002B6A7E"/>
    <w:rsid w:val="002B6AFA"/>
    <w:rsid w:val="002B6B34"/>
    <w:rsid w:val="002B6B4C"/>
    <w:rsid w:val="002B6B9E"/>
    <w:rsid w:val="002B6C09"/>
    <w:rsid w:val="002B6C0A"/>
    <w:rsid w:val="002B6C26"/>
    <w:rsid w:val="002B6D01"/>
    <w:rsid w:val="002B6D15"/>
    <w:rsid w:val="002B6D2A"/>
    <w:rsid w:val="002B6D2D"/>
    <w:rsid w:val="002B6D45"/>
    <w:rsid w:val="002B6D4A"/>
    <w:rsid w:val="002B6D66"/>
    <w:rsid w:val="002B6DAD"/>
    <w:rsid w:val="002B6E28"/>
    <w:rsid w:val="002B6E35"/>
    <w:rsid w:val="002B6E61"/>
    <w:rsid w:val="002B6E6A"/>
    <w:rsid w:val="002B6E71"/>
    <w:rsid w:val="002B6E92"/>
    <w:rsid w:val="002B6ECB"/>
    <w:rsid w:val="002B6EDB"/>
    <w:rsid w:val="002B6EDF"/>
    <w:rsid w:val="002B6EEF"/>
    <w:rsid w:val="002B6F6F"/>
    <w:rsid w:val="002B6FCB"/>
    <w:rsid w:val="002B6FF3"/>
    <w:rsid w:val="002B705A"/>
    <w:rsid w:val="002B708C"/>
    <w:rsid w:val="002B70B8"/>
    <w:rsid w:val="002B7105"/>
    <w:rsid w:val="002B7116"/>
    <w:rsid w:val="002B7134"/>
    <w:rsid w:val="002B7138"/>
    <w:rsid w:val="002B714C"/>
    <w:rsid w:val="002B716A"/>
    <w:rsid w:val="002B723C"/>
    <w:rsid w:val="002B7246"/>
    <w:rsid w:val="002B72BF"/>
    <w:rsid w:val="002B731D"/>
    <w:rsid w:val="002B732A"/>
    <w:rsid w:val="002B733E"/>
    <w:rsid w:val="002B735C"/>
    <w:rsid w:val="002B73B5"/>
    <w:rsid w:val="002B73E9"/>
    <w:rsid w:val="002B7421"/>
    <w:rsid w:val="002B7449"/>
    <w:rsid w:val="002B744B"/>
    <w:rsid w:val="002B7463"/>
    <w:rsid w:val="002B746A"/>
    <w:rsid w:val="002B7480"/>
    <w:rsid w:val="002B749F"/>
    <w:rsid w:val="002B74B5"/>
    <w:rsid w:val="002B74C5"/>
    <w:rsid w:val="002B74E4"/>
    <w:rsid w:val="002B74F1"/>
    <w:rsid w:val="002B7501"/>
    <w:rsid w:val="002B7534"/>
    <w:rsid w:val="002B75C5"/>
    <w:rsid w:val="002B75EC"/>
    <w:rsid w:val="002B7603"/>
    <w:rsid w:val="002B761D"/>
    <w:rsid w:val="002B767C"/>
    <w:rsid w:val="002B768D"/>
    <w:rsid w:val="002B76F2"/>
    <w:rsid w:val="002B771D"/>
    <w:rsid w:val="002B776D"/>
    <w:rsid w:val="002B7788"/>
    <w:rsid w:val="002B779E"/>
    <w:rsid w:val="002B77A6"/>
    <w:rsid w:val="002B77A9"/>
    <w:rsid w:val="002B77E1"/>
    <w:rsid w:val="002B7827"/>
    <w:rsid w:val="002B782B"/>
    <w:rsid w:val="002B7842"/>
    <w:rsid w:val="002B7846"/>
    <w:rsid w:val="002B7883"/>
    <w:rsid w:val="002B788B"/>
    <w:rsid w:val="002B78D0"/>
    <w:rsid w:val="002B790D"/>
    <w:rsid w:val="002B7920"/>
    <w:rsid w:val="002B7929"/>
    <w:rsid w:val="002B796D"/>
    <w:rsid w:val="002B79AD"/>
    <w:rsid w:val="002B7A10"/>
    <w:rsid w:val="002B7A29"/>
    <w:rsid w:val="002B7A5E"/>
    <w:rsid w:val="002B7A7D"/>
    <w:rsid w:val="002B7B2B"/>
    <w:rsid w:val="002B7B2C"/>
    <w:rsid w:val="002B7B7B"/>
    <w:rsid w:val="002B7BB4"/>
    <w:rsid w:val="002B7C6C"/>
    <w:rsid w:val="002B7C98"/>
    <w:rsid w:val="002B7CC7"/>
    <w:rsid w:val="002B7D97"/>
    <w:rsid w:val="002B7D9C"/>
    <w:rsid w:val="002B7DC7"/>
    <w:rsid w:val="002B7E24"/>
    <w:rsid w:val="002B7E62"/>
    <w:rsid w:val="002B7E9A"/>
    <w:rsid w:val="002B7EB9"/>
    <w:rsid w:val="002B7EE0"/>
    <w:rsid w:val="002B7EE1"/>
    <w:rsid w:val="002B7F00"/>
    <w:rsid w:val="002B7FD3"/>
    <w:rsid w:val="002C001C"/>
    <w:rsid w:val="002C008E"/>
    <w:rsid w:val="002C0096"/>
    <w:rsid w:val="002C00B4"/>
    <w:rsid w:val="002C00B7"/>
    <w:rsid w:val="002C0144"/>
    <w:rsid w:val="002C016C"/>
    <w:rsid w:val="002C01FB"/>
    <w:rsid w:val="002C01FD"/>
    <w:rsid w:val="002C0201"/>
    <w:rsid w:val="002C025C"/>
    <w:rsid w:val="002C025E"/>
    <w:rsid w:val="002C02D3"/>
    <w:rsid w:val="002C032B"/>
    <w:rsid w:val="002C0350"/>
    <w:rsid w:val="002C035A"/>
    <w:rsid w:val="002C037F"/>
    <w:rsid w:val="002C0386"/>
    <w:rsid w:val="002C0450"/>
    <w:rsid w:val="002C04CF"/>
    <w:rsid w:val="002C04DF"/>
    <w:rsid w:val="002C04EB"/>
    <w:rsid w:val="002C04F6"/>
    <w:rsid w:val="002C051A"/>
    <w:rsid w:val="002C052C"/>
    <w:rsid w:val="002C055B"/>
    <w:rsid w:val="002C055F"/>
    <w:rsid w:val="002C056A"/>
    <w:rsid w:val="002C058E"/>
    <w:rsid w:val="002C0599"/>
    <w:rsid w:val="002C0643"/>
    <w:rsid w:val="002C0646"/>
    <w:rsid w:val="002C066A"/>
    <w:rsid w:val="002C0698"/>
    <w:rsid w:val="002C06C9"/>
    <w:rsid w:val="002C070D"/>
    <w:rsid w:val="002C072E"/>
    <w:rsid w:val="002C0790"/>
    <w:rsid w:val="002C07C1"/>
    <w:rsid w:val="002C07D8"/>
    <w:rsid w:val="002C0810"/>
    <w:rsid w:val="002C0814"/>
    <w:rsid w:val="002C0840"/>
    <w:rsid w:val="002C087D"/>
    <w:rsid w:val="002C08CB"/>
    <w:rsid w:val="002C08D1"/>
    <w:rsid w:val="002C08DC"/>
    <w:rsid w:val="002C090D"/>
    <w:rsid w:val="002C090F"/>
    <w:rsid w:val="002C09BB"/>
    <w:rsid w:val="002C0A01"/>
    <w:rsid w:val="002C0A09"/>
    <w:rsid w:val="002C0A0E"/>
    <w:rsid w:val="002C0A34"/>
    <w:rsid w:val="002C0A39"/>
    <w:rsid w:val="002C0A88"/>
    <w:rsid w:val="002C0AAB"/>
    <w:rsid w:val="002C0AC6"/>
    <w:rsid w:val="002C0ACF"/>
    <w:rsid w:val="002C0AF9"/>
    <w:rsid w:val="002C0B34"/>
    <w:rsid w:val="002C0BF3"/>
    <w:rsid w:val="002C0C04"/>
    <w:rsid w:val="002C0C4E"/>
    <w:rsid w:val="002C0C69"/>
    <w:rsid w:val="002C0CBA"/>
    <w:rsid w:val="002C0CBB"/>
    <w:rsid w:val="002C0CE4"/>
    <w:rsid w:val="002C0CEF"/>
    <w:rsid w:val="002C0CF7"/>
    <w:rsid w:val="002C0D1E"/>
    <w:rsid w:val="002C0D20"/>
    <w:rsid w:val="002C0D2C"/>
    <w:rsid w:val="002C0D82"/>
    <w:rsid w:val="002C0DB0"/>
    <w:rsid w:val="002C0DDA"/>
    <w:rsid w:val="002C0E37"/>
    <w:rsid w:val="002C0E47"/>
    <w:rsid w:val="002C0E71"/>
    <w:rsid w:val="002C0E80"/>
    <w:rsid w:val="002C0E9C"/>
    <w:rsid w:val="002C0EB9"/>
    <w:rsid w:val="002C0EBA"/>
    <w:rsid w:val="002C0EE9"/>
    <w:rsid w:val="002C0F53"/>
    <w:rsid w:val="002C0F58"/>
    <w:rsid w:val="002C0F92"/>
    <w:rsid w:val="002C0FA4"/>
    <w:rsid w:val="002C0FA9"/>
    <w:rsid w:val="002C0FB8"/>
    <w:rsid w:val="002C0FDC"/>
    <w:rsid w:val="002C0FFB"/>
    <w:rsid w:val="002C1054"/>
    <w:rsid w:val="002C10CB"/>
    <w:rsid w:val="002C1103"/>
    <w:rsid w:val="002C112F"/>
    <w:rsid w:val="002C1135"/>
    <w:rsid w:val="002C1157"/>
    <w:rsid w:val="002C11D1"/>
    <w:rsid w:val="002C11D4"/>
    <w:rsid w:val="002C11DC"/>
    <w:rsid w:val="002C11E1"/>
    <w:rsid w:val="002C122A"/>
    <w:rsid w:val="002C12A8"/>
    <w:rsid w:val="002C12AD"/>
    <w:rsid w:val="002C12D5"/>
    <w:rsid w:val="002C1308"/>
    <w:rsid w:val="002C131F"/>
    <w:rsid w:val="002C1357"/>
    <w:rsid w:val="002C1383"/>
    <w:rsid w:val="002C1393"/>
    <w:rsid w:val="002C13BA"/>
    <w:rsid w:val="002C13D9"/>
    <w:rsid w:val="002C13E8"/>
    <w:rsid w:val="002C13EF"/>
    <w:rsid w:val="002C1410"/>
    <w:rsid w:val="002C1442"/>
    <w:rsid w:val="002C1479"/>
    <w:rsid w:val="002C14AA"/>
    <w:rsid w:val="002C14AD"/>
    <w:rsid w:val="002C14C3"/>
    <w:rsid w:val="002C14D3"/>
    <w:rsid w:val="002C14E8"/>
    <w:rsid w:val="002C150C"/>
    <w:rsid w:val="002C150D"/>
    <w:rsid w:val="002C1568"/>
    <w:rsid w:val="002C15B4"/>
    <w:rsid w:val="002C15CF"/>
    <w:rsid w:val="002C1611"/>
    <w:rsid w:val="002C162A"/>
    <w:rsid w:val="002C165F"/>
    <w:rsid w:val="002C1660"/>
    <w:rsid w:val="002C16DA"/>
    <w:rsid w:val="002C16DF"/>
    <w:rsid w:val="002C170F"/>
    <w:rsid w:val="002C1740"/>
    <w:rsid w:val="002C177D"/>
    <w:rsid w:val="002C17F3"/>
    <w:rsid w:val="002C17F5"/>
    <w:rsid w:val="002C1829"/>
    <w:rsid w:val="002C189A"/>
    <w:rsid w:val="002C18D9"/>
    <w:rsid w:val="002C191B"/>
    <w:rsid w:val="002C19C2"/>
    <w:rsid w:val="002C19CF"/>
    <w:rsid w:val="002C19EF"/>
    <w:rsid w:val="002C1A18"/>
    <w:rsid w:val="002C1A3D"/>
    <w:rsid w:val="002C1A62"/>
    <w:rsid w:val="002C1B14"/>
    <w:rsid w:val="002C1B5E"/>
    <w:rsid w:val="002C1BB9"/>
    <w:rsid w:val="002C1BEC"/>
    <w:rsid w:val="002C1C16"/>
    <w:rsid w:val="002C1C4E"/>
    <w:rsid w:val="002C1C5B"/>
    <w:rsid w:val="002C1C6F"/>
    <w:rsid w:val="002C1C8C"/>
    <w:rsid w:val="002C1CAA"/>
    <w:rsid w:val="002C1CC6"/>
    <w:rsid w:val="002C1CE0"/>
    <w:rsid w:val="002C1CE2"/>
    <w:rsid w:val="002C1CE8"/>
    <w:rsid w:val="002C1D1C"/>
    <w:rsid w:val="002C1D43"/>
    <w:rsid w:val="002C1D4B"/>
    <w:rsid w:val="002C1D96"/>
    <w:rsid w:val="002C1DE2"/>
    <w:rsid w:val="002C1E0C"/>
    <w:rsid w:val="002C1E39"/>
    <w:rsid w:val="002C1E3B"/>
    <w:rsid w:val="002C1E50"/>
    <w:rsid w:val="002C1EE6"/>
    <w:rsid w:val="002C1F4D"/>
    <w:rsid w:val="002C1F54"/>
    <w:rsid w:val="002C1F56"/>
    <w:rsid w:val="002C1F8B"/>
    <w:rsid w:val="002C1FA6"/>
    <w:rsid w:val="002C1FFD"/>
    <w:rsid w:val="002C202E"/>
    <w:rsid w:val="002C2056"/>
    <w:rsid w:val="002C20C5"/>
    <w:rsid w:val="002C20C7"/>
    <w:rsid w:val="002C20F2"/>
    <w:rsid w:val="002C20F5"/>
    <w:rsid w:val="002C2120"/>
    <w:rsid w:val="002C2159"/>
    <w:rsid w:val="002C2199"/>
    <w:rsid w:val="002C219D"/>
    <w:rsid w:val="002C21B2"/>
    <w:rsid w:val="002C220D"/>
    <w:rsid w:val="002C2247"/>
    <w:rsid w:val="002C2287"/>
    <w:rsid w:val="002C22BC"/>
    <w:rsid w:val="002C22D2"/>
    <w:rsid w:val="002C22ED"/>
    <w:rsid w:val="002C233D"/>
    <w:rsid w:val="002C23D6"/>
    <w:rsid w:val="002C23F5"/>
    <w:rsid w:val="002C2408"/>
    <w:rsid w:val="002C2418"/>
    <w:rsid w:val="002C249F"/>
    <w:rsid w:val="002C24A4"/>
    <w:rsid w:val="002C24E1"/>
    <w:rsid w:val="002C253B"/>
    <w:rsid w:val="002C25A0"/>
    <w:rsid w:val="002C25FB"/>
    <w:rsid w:val="002C264E"/>
    <w:rsid w:val="002C2699"/>
    <w:rsid w:val="002C26EB"/>
    <w:rsid w:val="002C26FE"/>
    <w:rsid w:val="002C2738"/>
    <w:rsid w:val="002C278C"/>
    <w:rsid w:val="002C27AE"/>
    <w:rsid w:val="002C27BB"/>
    <w:rsid w:val="002C27D1"/>
    <w:rsid w:val="002C27D8"/>
    <w:rsid w:val="002C2805"/>
    <w:rsid w:val="002C280C"/>
    <w:rsid w:val="002C2839"/>
    <w:rsid w:val="002C283B"/>
    <w:rsid w:val="002C2848"/>
    <w:rsid w:val="002C2868"/>
    <w:rsid w:val="002C2877"/>
    <w:rsid w:val="002C287F"/>
    <w:rsid w:val="002C28A6"/>
    <w:rsid w:val="002C28BA"/>
    <w:rsid w:val="002C28FF"/>
    <w:rsid w:val="002C293B"/>
    <w:rsid w:val="002C2986"/>
    <w:rsid w:val="002C298B"/>
    <w:rsid w:val="002C29C8"/>
    <w:rsid w:val="002C29DC"/>
    <w:rsid w:val="002C29F1"/>
    <w:rsid w:val="002C29FC"/>
    <w:rsid w:val="002C2A27"/>
    <w:rsid w:val="002C2A3F"/>
    <w:rsid w:val="002C2A7B"/>
    <w:rsid w:val="002C2A9C"/>
    <w:rsid w:val="002C2AA3"/>
    <w:rsid w:val="002C2AEF"/>
    <w:rsid w:val="002C2B09"/>
    <w:rsid w:val="002C2B1A"/>
    <w:rsid w:val="002C2B43"/>
    <w:rsid w:val="002C2B47"/>
    <w:rsid w:val="002C2B6C"/>
    <w:rsid w:val="002C2B7E"/>
    <w:rsid w:val="002C2B85"/>
    <w:rsid w:val="002C2BC4"/>
    <w:rsid w:val="002C2BCD"/>
    <w:rsid w:val="002C2C0C"/>
    <w:rsid w:val="002C2C5C"/>
    <w:rsid w:val="002C2C96"/>
    <w:rsid w:val="002C2CC7"/>
    <w:rsid w:val="002C2CD5"/>
    <w:rsid w:val="002C2CE9"/>
    <w:rsid w:val="002C2D21"/>
    <w:rsid w:val="002C2D2F"/>
    <w:rsid w:val="002C2D48"/>
    <w:rsid w:val="002C2D5A"/>
    <w:rsid w:val="002C2D70"/>
    <w:rsid w:val="002C2DD5"/>
    <w:rsid w:val="002C2DE6"/>
    <w:rsid w:val="002C2DE9"/>
    <w:rsid w:val="002C2DF4"/>
    <w:rsid w:val="002C2E01"/>
    <w:rsid w:val="002C2E49"/>
    <w:rsid w:val="002C2E4D"/>
    <w:rsid w:val="002C2EC4"/>
    <w:rsid w:val="002C2F27"/>
    <w:rsid w:val="002C2F4A"/>
    <w:rsid w:val="002C2F8C"/>
    <w:rsid w:val="002C2F9D"/>
    <w:rsid w:val="002C2FCB"/>
    <w:rsid w:val="002C2FD2"/>
    <w:rsid w:val="002C306B"/>
    <w:rsid w:val="002C3081"/>
    <w:rsid w:val="002C30FD"/>
    <w:rsid w:val="002C310B"/>
    <w:rsid w:val="002C3110"/>
    <w:rsid w:val="002C3120"/>
    <w:rsid w:val="002C318D"/>
    <w:rsid w:val="002C31C2"/>
    <w:rsid w:val="002C3223"/>
    <w:rsid w:val="002C32A7"/>
    <w:rsid w:val="002C32B4"/>
    <w:rsid w:val="002C32C2"/>
    <w:rsid w:val="002C32CF"/>
    <w:rsid w:val="002C32F9"/>
    <w:rsid w:val="002C3337"/>
    <w:rsid w:val="002C3346"/>
    <w:rsid w:val="002C3348"/>
    <w:rsid w:val="002C335F"/>
    <w:rsid w:val="002C339D"/>
    <w:rsid w:val="002C33F6"/>
    <w:rsid w:val="002C3476"/>
    <w:rsid w:val="002C35DE"/>
    <w:rsid w:val="002C3678"/>
    <w:rsid w:val="002C3687"/>
    <w:rsid w:val="002C36A7"/>
    <w:rsid w:val="002C37CE"/>
    <w:rsid w:val="002C37DD"/>
    <w:rsid w:val="002C37FE"/>
    <w:rsid w:val="002C3843"/>
    <w:rsid w:val="002C38B7"/>
    <w:rsid w:val="002C38E8"/>
    <w:rsid w:val="002C38F1"/>
    <w:rsid w:val="002C391B"/>
    <w:rsid w:val="002C3940"/>
    <w:rsid w:val="002C39A9"/>
    <w:rsid w:val="002C39DE"/>
    <w:rsid w:val="002C39E4"/>
    <w:rsid w:val="002C3A7B"/>
    <w:rsid w:val="002C3A82"/>
    <w:rsid w:val="002C3AD5"/>
    <w:rsid w:val="002C3AE1"/>
    <w:rsid w:val="002C3AED"/>
    <w:rsid w:val="002C3AFC"/>
    <w:rsid w:val="002C3BE6"/>
    <w:rsid w:val="002C3C36"/>
    <w:rsid w:val="002C3C46"/>
    <w:rsid w:val="002C3C53"/>
    <w:rsid w:val="002C3C8F"/>
    <w:rsid w:val="002C3CAD"/>
    <w:rsid w:val="002C3CCA"/>
    <w:rsid w:val="002C3D2E"/>
    <w:rsid w:val="002C3D43"/>
    <w:rsid w:val="002C3D5E"/>
    <w:rsid w:val="002C3D7D"/>
    <w:rsid w:val="002C3DA0"/>
    <w:rsid w:val="002C3DC8"/>
    <w:rsid w:val="002C3DC9"/>
    <w:rsid w:val="002C3DD2"/>
    <w:rsid w:val="002C3DF4"/>
    <w:rsid w:val="002C3E1E"/>
    <w:rsid w:val="002C3E2B"/>
    <w:rsid w:val="002C3E3A"/>
    <w:rsid w:val="002C3E43"/>
    <w:rsid w:val="002C3E4D"/>
    <w:rsid w:val="002C3E84"/>
    <w:rsid w:val="002C3E85"/>
    <w:rsid w:val="002C3EA1"/>
    <w:rsid w:val="002C3EA9"/>
    <w:rsid w:val="002C3EB6"/>
    <w:rsid w:val="002C3EDD"/>
    <w:rsid w:val="002C3F4F"/>
    <w:rsid w:val="002C3FE0"/>
    <w:rsid w:val="002C3FF6"/>
    <w:rsid w:val="002C4000"/>
    <w:rsid w:val="002C4070"/>
    <w:rsid w:val="002C4081"/>
    <w:rsid w:val="002C408A"/>
    <w:rsid w:val="002C40CA"/>
    <w:rsid w:val="002C4111"/>
    <w:rsid w:val="002C4116"/>
    <w:rsid w:val="002C41AE"/>
    <w:rsid w:val="002C41CE"/>
    <w:rsid w:val="002C4207"/>
    <w:rsid w:val="002C4256"/>
    <w:rsid w:val="002C42EE"/>
    <w:rsid w:val="002C4307"/>
    <w:rsid w:val="002C430C"/>
    <w:rsid w:val="002C4311"/>
    <w:rsid w:val="002C433C"/>
    <w:rsid w:val="002C4369"/>
    <w:rsid w:val="002C4381"/>
    <w:rsid w:val="002C4398"/>
    <w:rsid w:val="002C439E"/>
    <w:rsid w:val="002C43A3"/>
    <w:rsid w:val="002C43E9"/>
    <w:rsid w:val="002C4408"/>
    <w:rsid w:val="002C4410"/>
    <w:rsid w:val="002C441F"/>
    <w:rsid w:val="002C448B"/>
    <w:rsid w:val="002C449E"/>
    <w:rsid w:val="002C44DD"/>
    <w:rsid w:val="002C451E"/>
    <w:rsid w:val="002C4596"/>
    <w:rsid w:val="002C45D3"/>
    <w:rsid w:val="002C4638"/>
    <w:rsid w:val="002C4654"/>
    <w:rsid w:val="002C46DC"/>
    <w:rsid w:val="002C471B"/>
    <w:rsid w:val="002C4803"/>
    <w:rsid w:val="002C4843"/>
    <w:rsid w:val="002C484A"/>
    <w:rsid w:val="002C486E"/>
    <w:rsid w:val="002C4892"/>
    <w:rsid w:val="002C48C3"/>
    <w:rsid w:val="002C48FF"/>
    <w:rsid w:val="002C4900"/>
    <w:rsid w:val="002C490D"/>
    <w:rsid w:val="002C492C"/>
    <w:rsid w:val="002C4962"/>
    <w:rsid w:val="002C4972"/>
    <w:rsid w:val="002C498F"/>
    <w:rsid w:val="002C499A"/>
    <w:rsid w:val="002C499E"/>
    <w:rsid w:val="002C49B0"/>
    <w:rsid w:val="002C49CD"/>
    <w:rsid w:val="002C49F5"/>
    <w:rsid w:val="002C4A8D"/>
    <w:rsid w:val="002C4ACD"/>
    <w:rsid w:val="002C4B0C"/>
    <w:rsid w:val="002C4B54"/>
    <w:rsid w:val="002C4B65"/>
    <w:rsid w:val="002C4BA9"/>
    <w:rsid w:val="002C4BD2"/>
    <w:rsid w:val="002C4BFA"/>
    <w:rsid w:val="002C4C8B"/>
    <w:rsid w:val="002C4CA8"/>
    <w:rsid w:val="002C4CD9"/>
    <w:rsid w:val="002C4CE3"/>
    <w:rsid w:val="002C4D72"/>
    <w:rsid w:val="002C4DA6"/>
    <w:rsid w:val="002C4DB3"/>
    <w:rsid w:val="002C4DD9"/>
    <w:rsid w:val="002C4DDF"/>
    <w:rsid w:val="002C4DFC"/>
    <w:rsid w:val="002C4E04"/>
    <w:rsid w:val="002C4E25"/>
    <w:rsid w:val="002C4ED5"/>
    <w:rsid w:val="002C4EE1"/>
    <w:rsid w:val="002C4F2E"/>
    <w:rsid w:val="002C4F35"/>
    <w:rsid w:val="002C4F70"/>
    <w:rsid w:val="002C4FA3"/>
    <w:rsid w:val="002C4FE7"/>
    <w:rsid w:val="002C5071"/>
    <w:rsid w:val="002C5080"/>
    <w:rsid w:val="002C5088"/>
    <w:rsid w:val="002C50B0"/>
    <w:rsid w:val="002C50D4"/>
    <w:rsid w:val="002C5113"/>
    <w:rsid w:val="002C515D"/>
    <w:rsid w:val="002C516F"/>
    <w:rsid w:val="002C517C"/>
    <w:rsid w:val="002C51D4"/>
    <w:rsid w:val="002C51EA"/>
    <w:rsid w:val="002C5205"/>
    <w:rsid w:val="002C5240"/>
    <w:rsid w:val="002C5284"/>
    <w:rsid w:val="002C532B"/>
    <w:rsid w:val="002C5390"/>
    <w:rsid w:val="002C53CB"/>
    <w:rsid w:val="002C53D8"/>
    <w:rsid w:val="002C53E5"/>
    <w:rsid w:val="002C53E7"/>
    <w:rsid w:val="002C5409"/>
    <w:rsid w:val="002C540A"/>
    <w:rsid w:val="002C544B"/>
    <w:rsid w:val="002C5471"/>
    <w:rsid w:val="002C54B3"/>
    <w:rsid w:val="002C54C0"/>
    <w:rsid w:val="002C5506"/>
    <w:rsid w:val="002C5547"/>
    <w:rsid w:val="002C55F2"/>
    <w:rsid w:val="002C55F7"/>
    <w:rsid w:val="002C560B"/>
    <w:rsid w:val="002C5628"/>
    <w:rsid w:val="002C5666"/>
    <w:rsid w:val="002C5674"/>
    <w:rsid w:val="002C5732"/>
    <w:rsid w:val="002C574E"/>
    <w:rsid w:val="002C5844"/>
    <w:rsid w:val="002C5849"/>
    <w:rsid w:val="002C585F"/>
    <w:rsid w:val="002C5865"/>
    <w:rsid w:val="002C5873"/>
    <w:rsid w:val="002C5880"/>
    <w:rsid w:val="002C58AF"/>
    <w:rsid w:val="002C58D7"/>
    <w:rsid w:val="002C58E3"/>
    <w:rsid w:val="002C58FD"/>
    <w:rsid w:val="002C590C"/>
    <w:rsid w:val="002C5919"/>
    <w:rsid w:val="002C591D"/>
    <w:rsid w:val="002C5951"/>
    <w:rsid w:val="002C5957"/>
    <w:rsid w:val="002C5971"/>
    <w:rsid w:val="002C5994"/>
    <w:rsid w:val="002C59CA"/>
    <w:rsid w:val="002C5A01"/>
    <w:rsid w:val="002C5A70"/>
    <w:rsid w:val="002C5A9D"/>
    <w:rsid w:val="002C5ABC"/>
    <w:rsid w:val="002C5AF1"/>
    <w:rsid w:val="002C5AFC"/>
    <w:rsid w:val="002C5B29"/>
    <w:rsid w:val="002C5B47"/>
    <w:rsid w:val="002C5B4C"/>
    <w:rsid w:val="002C5B95"/>
    <w:rsid w:val="002C5BBE"/>
    <w:rsid w:val="002C5BC2"/>
    <w:rsid w:val="002C5BC8"/>
    <w:rsid w:val="002C5BD6"/>
    <w:rsid w:val="002C5BEC"/>
    <w:rsid w:val="002C5BFC"/>
    <w:rsid w:val="002C5C08"/>
    <w:rsid w:val="002C5C5F"/>
    <w:rsid w:val="002C5C7A"/>
    <w:rsid w:val="002C5CBE"/>
    <w:rsid w:val="002C5CBF"/>
    <w:rsid w:val="002C5CFB"/>
    <w:rsid w:val="002C5D35"/>
    <w:rsid w:val="002C5D53"/>
    <w:rsid w:val="002C5D85"/>
    <w:rsid w:val="002C5D9F"/>
    <w:rsid w:val="002C5DD0"/>
    <w:rsid w:val="002C5E34"/>
    <w:rsid w:val="002C5E8F"/>
    <w:rsid w:val="002C5E95"/>
    <w:rsid w:val="002C5EE4"/>
    <w:rsid w:val="002C5F14"/>
    <w:rsid w:val="002C5F2F"/>
    <w:rsid w:val="002C5F70"/>
    <w:rsid w:val="002C5F83"/>
    <w:rsid w:val="002C5FBF"/>
    <w:rsid w:val="002C5FC4"/>
    <w:rsid w:val="002C5FFF"/>
    <w:rsid w:val="002C605E"/>
    <w:rsid w:val="002C607D"/>
    <w:rsid w:val="002C609F"/>
    <w:rsid w:val="002C6143"/>
    <w:rsid w:val="002C61E7"/>
    <w:rsid w:val="002C6231"/>
    <w:rsid w:val="002C623B"/>
    <w:rsid w:val="002C626E"/>
    <w:rsid w:val="002C62C6"/>
    <w:rsid w:val="002C6337"/>
    <w:rsid w:val="002C633D"/>
    <w:rsid w:val="002C6380"/>
    <w:rsid w:val="002C6385"/>
    <w:rsid w:val="002C63C8"/>
    <w:rsid w:val="002C63E1"/>
    <w:rsid w:val="002C646C"/>
    <w:rsid w:val="002C6483"/>
    <w:rsid w:val="002C64A4"/>
    <w:rsid w:val="002C6514"/>
    <w:rsid w:val="002C651A"/>
    <w:rsid w:val="002C651B"/>
    <w:rsid w:val="002C6554"/>
    <w:rsid w:val="002C6573"/>
    <w:rsid w:val="002C6585"/>
    <w:rsid w:val="002C6623"/>
    <w:rsid w:val="002C664A"/>
    <w:rsid w:val="002C6657"/>
    <w:rsid w:val="002C6662"/>
    <w:rsid w:val="002C6690"/>
    <w:rsid w:val="002C66AE"/>
    <w:rsid w:val="002C66B5"/>
    <w:rsid w:val="002C6763"/>
    <w:rsid w:val="002C6766"/>
    <w:rsid w:val="002C67A9"/>
    <w:rsid w:val="002C67F2"/>
    <w:rsid w:val="002C6800"/>
    <w:rsid w:val="002C6812"/>
    <w:rsid w:val="002C6856"/>
    <w:rsid w:val="002C6890"/>
    <w:rsid w:val="002C68B5"/>
    <w:rsid w:val="002C68BF"/>
    <w:rsid w:val="002C68ED"/>
    <w:rsid w:val="002C690A"/>
    <w:rsid w:val="002C694B"/>
    <w:rsid w:val="002C6965"/>
    <w:rsid w:val="002C6989"/>
    <w:rsid w:val="002C69AB"/>
    <w:rsid w:val="002C69BA"/>
    <w:rsid w:val="002C6AC1"/>
    <w:rsid w:val="002C6B0A"/>
    <w:rsid w:val="002C6B0B"/>
    <w:rsid w:val="002C6B2D"/>
    <w:rsid w:val="002C6B3C"/>
    <w:rsid w:val="002C6B52"/>
    <w:rsid w:val="002C6BC5"/>
    <w:rsid w:val="002C6BD0"/>
    <w:rsid w:val="002C6BD6"/>
    <w:rsid w:val="002C6BE2"/>
    <w:rsid w:val="002C6BFF"/>
    <w:rsid w:val="002C6C03"/>
    <w:rsid w:val="002C6CA7"/>
    <w:rsid w:val="002C6CC4"/>
    <w:rsid w:val="002C6CDF"/>
    <w:rsid w:val="002C6CE7"/>
    <w:rsid w:val="002C6D12"/>
    <w:rsid w:val="002C6D41"/>
    <w:rsid w:val="002C6D53"/>
    <w:rsid w:val="002C6D7D"/>
    <w:rsid w:val="002C6DC4"/>
    <w:rsid w:val="002C6E09"/>
    <w:rsid w:val="002C6E44"/>
    <w:rsid w:val="002C6E52"/>
    <w:rsid w:val="002C6E5F"/>
    <w:rsid w:val="002C6E81"/>
    <w:rsid w:val="002C6EC8"/>
    <w:rsid w:val="002C6EEB"/>
    <w:rsid w:val="002C6F6E"/>
    <w:rsid w:val="002C6FB0"/>
    <w:rsid w:val="002C701B"/>
    <w:rsid w:val="002C7035"/>
    <w:rsid w:val="002C7041"/>
    <w:rsid w:val="002C707C"/>
    <w:rsid w:val="002C70B2"/>
    <w:rsid w:val="002C70CC"/>
    <w:rsid w:val="002C70E0"/>
    <w:rsid w:val="002C70EF"/>
    <w:rsid w:val="002C7102"/>
    <w:rsid w:val="002C713C"/>
    <w:rsid w:val="002C713D"/>
    <w:rsid w:val="002C7149"/>
    <w:rsid w:val="002C719D"/>
    <w:rsid w:val="002C71BB"/>
    <w:rsid w:val="002C7282"/>
    <w:rsid w:val="002C7298"/>
    <w:rsid w:val="002C72A0"/>
    <w:rsid w:val="002C72AC"/>
    <w:rsid w:val="002C72E7"/>
    <w:rsid w:val="002C7319"/>
    <w:rsid w:val="002C7335"/>
    <w:rsid w:val="002C7336"/>
    <w:rsid w:val="002C733D"/>
    <w:rsid w:val="002C7358"/>
    <w:rsid w:val="002C73A0"/>
    <w:rsid w:val="002C73A9"/>
    <w:rsid w:val="002C73DE"/>
    <w:rsid w:val="002C7427"/>
    <w:rsid w:val="002C7461"/>
    <w:rsid w:val="002C7491"/>
    <w:rsid w:val="002C752F"/>
    <w:rsid w:val="002C754F"/>
    <w:rsid w:val="002C756B"/>
    <w:rsid w:val="002C75A1"/>
    <w:rsid w:val="002C75AA"/>
    <w:rsid w:val="002C75D8"/>
    <w:rsid w:val="002C761F"/>
    <w:rsid w:val="002C767B"/>
    <w:rsid w:val="002C768C"/>
    <w:rsid w:val="002C76AD"/>
    <w:rsid w:val="002C76F2"/>
    <w:rsid w:val="002C7705"/>
    <w:rsid w:val="002C7724"/>
    <w:rsid w:val="002C775B"/>
    <w:rsid w:val="002C7768"/>
    <w:rsid w:val="002C7789"/>
    <w:rsid w:val="002C779A"/>
    <w:rsid w:val="002C77B0"/>
    <w:rsid w:val="002C7826"/>
    <w:rsid w:val="002C7835"/>
    <w:rsid w:val="002C786E"/>
    <w:rsid w:val="002C78F6"/>
    <w:rsid w:val="002C7930"/>
    <w:rsid w:val="002C7976"/>
    <w:rsid w:val="002C79FC"/>
    <w:rsid w:val="002C79FE"/>
    <w:rsid w:val="002C7AB4"/>
    <w:rsid w:val="002C7ABE"/>
    <w:rsid w:val="002C7AD1"/>
    <w:rsid w:val="002C7ADE"/>
    <w:rsid w:val="002C7AF6"/>
    <w:rsid w:val="002C7B32"/>
    <w:rsid w:val="002C7B39"/>
    <w:rsid w:val="002C7B3F"/>
    <w:rsid w:val="002C7B4B"/>
    <w:rsid w:val="002C7B64"/>
    <w:rsid w:val="002C7B9D"/>
    <w:rsid w:val="002C7BA1"/>
    <w:rsid w:val="002C7BA7"/>
    <w:rsid w:val="002C7BB8"/>
    <w:rsid w:val="002C7BCA"/>
    <w:rsid w:val="002C7BD6"/>
    <w:rsid w:val="002C7BF9"/>
    <w:rsid w:val="002C7CAF"/>
    <w:rsid w:val="002C7CD0"/>
    <w:rsid w:val="002C7CF9"/>
    <w:rsid w:val="002C7CFF"/>
    <w:rsid w:val="002C7D07"/>
    <w:rsid w:val="002C7D70"/>
    <w:rsid w:val="002C7D81"/>
    <w:rsid w:val="002C7DDD"/>
    <w:rsid w:val="002C7DE7"/>
    <w:rsid w:val="002C7E02"/>
    <w:rsid w:val="002C7E13"/>
    <w:rsid w:val="002C7E4F"/>
    <w:rsid w:val="002C7E89"/>
    <w:rsid w:val="002C7EAA"/>
    <w:rsid w:val="002C7EF4"/>
    <w:rsid w:val="002C7EFD"/>
    <w:rsid w:val="002C7F09"/>
    <w:rsid w:val="002C7F4A"/>
    <w:rsid w:val="002C7F64"/>
    <w:rsid w:val="002C7F7F"/>
    <w:rsid w:val="002C7FA5"/>
    <w:rsid w:val="002C7FBF"/>
    <w:rsid w:val="002C7FC8"/>
    <w:rsid w:val="002C7FD2"/>
    <w:rsid w:val="002D0004"/>
    <w:rsid w:val="002D0006"/>
    <w:rsid w:val="002D0034"/>
    <w:rsid w:val="002D003F"/>
    <w:rsid w:val="002D004C"/>
    <w:rsid w:val="002D008A"/>
    <w:rsid w:val="002D023B"/>
    <w:rsid w:val="002D02CC"/>
    <w:rsid w:val="002D02EC"/>
    <w:rsid w:val="002D02ED"/>
    <w:rsid w:val="002D02EF"/>
    <w:rsid w:val="002D032B"/>
    <w:rsid w:val="002D0351"/>
    <w:rsid w:val="002D03A5"/>
    <w:rsid w:val="002D03D6"/>
    <w:rsid w:val="002D03FB"/>
    <w:rsid w:val="002D0400"/>
    <w:rsid w:val="002D0413"/>
    <w:rsid w:val="002D0448"/>
    <w:rsid w:val="002D044E"/>
    <w:rsid w:val="002D0478"/>
    <w:rsid w:val="002D047B"/>
    <w:rsid w:val="002D0480"/>
    <w:rsid w:val="002D04AD"/>
    <w:rsid w:val="002D04C3"/>
    <w:rsid w:val="002D04EC"/>
    <w:rsid w:val="002D050E"/>
    <w:rsid w:val="002D0566"/>
    <w:rsid w:val="002D057A"/>
    <w:rsid w:val="002D05EA"/>
    <w:rsid w:val="002D060E"/>
    <w:rsid w:val="002D067D"/>
    <w:rsid w:val="002D06AE"/>
    <w:rsid w:val="002D0721"/>
    <w:rsid w:val="002D074E"/>
    <w:rsid w:val="002D07EB"/>
    <w:rsid w:val="002D084B"/>
    <w:rsid w:val="002D0875"/>
    <w:rsid w:val="002D089D"/>
    <w:rsid w:val="002D08E5"/>
    <w:rsid w:val="002D08E8"/>
    <w:rsid w:val="002D0968"/>
    <w:rsid w:val="002D098F"/>
    <w:rsid w:val="002D099C"/>
    <w:rsid w:val="002D09D7"/>
    <w:rsid w:val="002D09E0"/>
    <w:rsid w:val="002D09FA"/>
    <w:rsid w:val="002D0A1B"/>
    <w:rsid w:val="002D0A5A"/>
    <w:rsid w:val="002D0A83"/>
    <w:rsid w:val="002D0AAD"/>
    <w:rsid w:val="002D0AE8"/>
    <w:rsid w:val="002D0AFD"/>
    <w:rsid w:val="002D0B64"/>
    <w:rsid w:val="002D0B7A"/>
    <w:rsid w:val="002D0B8B"/>
    <w:rsid w:val="002D0BC9"/>
    <w:rsid w:val="002D0C1C"/>
    <w:rsid w:val="002D0CAC"/>
    <w:rsid w:val="002D0CBD"/>
    <w:rsid w:val="002D0D10"/>
    <w:rsid w:val="002D0D59"/>
    <w:rsid w:val="002D0D8A"/>
    <w:rsid w:val="002D0DB7"/>
    <w:rsid w:val="002D0DD9"/>
    <w:rsid w:val="002D0DDB"/>
    <w:rsid w:val="002D0DF3"/>
    <w:rsid w:val="002D0E00"/>
    <w:rsid w:val="002D0EBF"/>
    <w:rsid w:val="002D0EC3"/>
    <w:rsid w:val="002D0EC9"/>
    <w:rsid w:val="002D0EFC"/>
    <w:rsid w:val="002D0F3D"/>
    <w:rsid w:val="002D0FC1"/>
    <w:rsid w:val="002D1023"/>
    <w:rsid w:val="002D1044"/>
    <w:rsid w:val="002D1064"/>
    <w:rsid w:val="002D10B6"/>
    <w:rsid w:val="002D10BD"/>
    <w:rsid w:val="002D10D9"/>
    <w:rsid w:val="002D118D"/>
    <w:rsid w:val="002D11C7"/>
    <w:rsid w:val="002D11DB"/>
    <w:rsid w:val="002D11E9"/>
    <w:rsid w:val="002D11EA"/>
    <w:rsid w:val="002D1215"/>
    <w:rsid w:val="002D1235"/>
    <w:rsid w:val="002D123D"/>
    <w:rsid w:val="002D12FA"/>
    <w:rsid w:val="002D12FE"/>
    <w:rsid w:val="002D130A"/>
    <w:rsid w:val="002D1334"/>
    <w:rsid w:val="002D133E"/>
    <w:rsid w:val="002D138F"/>
    <w:rsid w:val="002D13D3"/>
    <w:rsid w:val="002D13E9"/>
    <w:rsid w:val="002D1492"/>
    <w:rsid w:val="002D14B3"/>
    <w:rsid w:val="002D14D1"/>
    <w:rsid w:val="002D14EB"/>
    <w:rsid w:val="002D14F8"/>
    <w:rsid w:val="002D152F"/>
    <w:rsid w:val="002D157B"/>
    <w:rsid w:val="002D15A2"/>
    <w:rsid w:val="002D15A7"/>
    <w:rsid w:val="002D15AB"/>
    <w:rsid w:val="002D160D"/>
    <w:rsid w:val="002D164F"/>
    <w:rsid w:val="002D16F4"/>
    <w:rsid w:val="002D1728"/>
    <w:rsid w:val="002D1765"/>
    <w:rsid w:val="002D1778"/>
    <w:rsid w:val="002D17E6"/>
    <w:rsid w:val="002D1842"/>
    <w:rsid w:val="002D1858"/>
    <w:rsid w:val="002D189F"/>
    <w:rsid w:val="002D18BC"/>
    <w:rsid w:val="002D18C0"/>
    <w:rsid w:val="002D18C8"/>
    <w:rsid w:val="002D18FA"/>
    <w:rsid w:val="002D1954"/>
    <w:rsid w:val="002D1955"/>
    <w:rsid w:val="002D195B"/>
    <w:rsid w:val="002D1974"/>
    <w:rsid w:val="002D1975"/>
    <w:rsid w:val="002D199D"/>
    <w:rsid w:val="002D19B8"/>
    <w:rsid w:val="002D1A54"/>
    <w:rsid w:val="002D1A5E"/>
    <w:rsid w:val="002D1A6C"/>
    <w:rsid w:val="002D1AE6"/>
    <w:rsid w:val="002D1AFD"/>
    <w:rsid w:val="002D1B22"/>
    <w:rsid w:val="002D1B49"/>
    <w:rsid w:val="002D1B70"/>
    <w:rsid w:val="002D1B8D"/>
    <w:rsid w:val="002D1BB5"/>
    <w:rsid w:val="002D1BBE"/>
    <w:rsid w:val="002D1C0C"/>
    <w:rsid w:val="002D1C0F"/>
    <w:rsid w:val="002D1C11"/>
    <w:rsid w:val="002D1C1E"/>
    <w:rsid w:val="002D1C9A"/>
    <w:rsid w:val="002D1C9F"/>
    <w:rsid w:val="002D1CE1"/>
    <w:rsid w:val="002D1D05"/>
    <w:rsid w:val="002D1D9E"/>
    <w:rsid w:val="002D1DD5"/>
    <w:rsid w:val="002D1E0D"/>
    <w:rsid w:val="002D1E2C"/>
    <w:rsid w:val="002D1E47"/>
    <w:rsid w:val="002D1EB5"/>
    <w:rsid w:val="002D1F16"/>
    <w:rsid w:val="002D1F20"/>
    <w:rsid w:val="002D1F91"/>
    <w:rsid w:val="002D1FB0"/>
    <w:rsid w:val="002D202C"/>
    <w:rsid w:val="002D2033"/>
    <w:rsid w:val="002D2035"/>
    <w:rsid w:val="002D2051"/>
    <w:rsid w:val="002D2058"/>
    <w:rsid w:val="002D2064"/>
    <w:rsid w:val="002D20CB"/>
    <w:rsid w:val="002D20FC"/>
    <w:rsid w:val="002D211D"/>
    <w:rsid w:val="002D2139"/>
    <w:rsid w:val="002D214E"/>
    <w:rsid w:val="002D2197"/>
    <w:rsid w:val="002D21EB"/>
    <w:rsid w:val="002D2287"/>
    <w:rsid w:val="002D22C4"/>
    <w:rsid w:val="002D23B5"/>
    <w:rsid w:val="002D23FD"/>
    <w:rsid w:val="002D2400"/>
    <w:rsid w:val="002D24AA"/>
    <w:rsid w:val="002D24F3"/>
    <w:rsid w:val="002D2544"/>
    <w:rsid w:val="002D2567"/>
    <w:rsid w:val="002D2580"/>
    <w:rsid w:val="002D25C6"/>
    <w:rsid w:val="002D25D0"/>
    <w:rsid w:val="002D25E7"/>
    <w:rsid w:val="002D25FE"/>
    <w:rsid w:val="002D2664"/>
    <w:rsid w:val="002D267D"/>
    <w:rsid w:val="002D26BE"/>
    <w:rsid w:val="002D26FE"/>
    <w:rsid w:val="002D2737"/>
    <w:rsid w:val="002D2763"/>
    <w:rsid w:val="002D2765"/>
    <w:rsid w:val="002D2782"/>
    <w:rsid w:val="002D27C3"/>
    <w:rsid w:val="002D27D0"/>
    <w:rsid w:val="002D27EB"/>
    <w:rsid w:val="002D2886"/>
    <w:rsid w:val="002D291F"/>
    <w:rsid w:val="002D2931"/>
    <w:rsid w:val="002D2987"/>
    <w:rsid w:val="002D298B"/>
    <w:rsid w:val="002D2995"/>
    <w:rsid w:val="002D2AA3"/>
    <w:rsid w:val="002D2AA5"/>
    <w:rsid w:val="002D2AFB"/>
    <w:rsid w:val="002D2BA3"/>
    <w:rsid w:val="002D2BD4"/>
    <w:rsid w:val="002D2C4D"/>
    <w:rsid w:val="002D2C6E"/>
    <w:rsid w:val="002D2CE4"/>
    <w:rsid w:val="002D2D63"/>
    <w:rsid w:val="002D2D7A"/>
    <w:rsid w:val="002D2D86"/>
    <w:rsid w:val="002D2D8D"/>
    <w:rsid w:val="002D2D9D"/>
    <w:rsid w:val="002D2E24"/>
    <w:rsid w:val="002D2E27"/>
    <w:rsid w:val="002D2E97"/>
    <w:rsid w:val="002D2EA2"/>
    <w:rsid w:val="002D2EAF"/>
    <w:rsid w:val="002D2EE4"/>
    <w:rsid w:val="002D2EE7"/>
    <w:rsid w:val="002D2F18"/>
    <w:rsid w:val="002D2F41"/>
    <w:rsid w:val="002D2F43"/>
    <w:rsid w:val="002D2F79"/>
    <w:rsid w:val="002D2FC3"/>
    <w:rsid w:val="002D300C"/>
    <w:rsid w:val="002D308A"/>
    <w:rsid w:val="002D308B"/>
    <w:rsid w:val="002D30A5"/>
    <w:rsid w:val="002D30F8"/>
    <w:rsid w:val="002D30FA"/>
    <w:rsid w:val="002D311B"/>
    <w:rsid w:val="002D3122"/>
    <w:rsid w:val="002D3123"/>
    <w:rsid w:val="002D313F"/>
    <w:rsid w:val="002D3141"/>
    <w:rsid w:val="002D3148"/>
    <w:rsid w:val="002D315D"/>
    <w:rsid w:val="002D3180"/>
    <w:rsid w:val="002D3194"/>
    <w:rsid w:val="002D319E"/>
    <w:rsid w:val="002D31F4"/>
    <w:rsid w:val="002D3202"/>
    <w:rsid w:val="002D3208"/>
    <w:rsid w:val="002D3242"/>
    <w:rsid w:val="002D32A6"/>
    <w:rsid w:val="002D32DB"/>
    <w:rsid w:val="002D32FC"/>
    <w:rsid w:val="002D332C"/>
    <w:rsid w:val="002D3369"/>
    <w:rsid w:val="002D33D9"/>
    <w:rsid w:val="002D33F9"/>
    <w:rsid w:val="002D3444"/>
    <w:rsid w:val="002D349C"/>
    <w:rsid w:val="002D34A3"/>
    <w:rsid w:val="002D34B1"/>
    <w:rsid w:val="002D34BE"/>
    <w:rsid w:val="002D34FA"/>
    <w:rsid w:val="002D34FF"/>
    <w:rsid w:val="002D352F"/>
    <w:rsid w:val="002D3533"/>
    <w:rsid w:val="002D3538"/>
    <w:rsid w:val="002D3542"/>
    <w:rsid w:val="002D3551"/>
    <w:rsid w:val="002D356C"/>
    <w:rsid w:val="002D35C5"/>
    <w:rsid w:val="002D3601"/>
    <w:rsid w:val="002D3623"/>
    <w:rsid w:val="002D3646"/>
    <w:rsid w:val="002D366F"/>
    <w:rsid w:val="002D3688"/>
    <w:rsid w:val="002D36A3"/>
    <w:rsid w:val="002D36A6"/>
    <w:rsid w:val="002D373C"/>
    <w:rsid w:val="002D3740"/>
    <w:rsid w:val="002D374C"/>
    <w:rsid w:val="002D3760"/>
    <w:rsid w:val="002D3790"/>
    <w:rsid w:val="002D37B3"/>
    <w:rsid w:val="002D37C3"/>
    <w:rsid w:val="002D37C6"/>
    <w:rsid w:val="002D37D4"/>
    <w:rsid w:val="002D3830"/>
    <w:rsid w:val="002D3847"/>
    <w:rsid w:val="002D3872"/>
    <w:rsid w:val="002D3889"/>
    <w:rsid w:val="002D38CA"/>
    <w:rsid w:val="002D3901"/>
    <w:rsid w:val="002D39BB"/>
    <w:rsid w:val="002D39DD"/>
    <w:rsid w:val="002D39EE"/>
    <w:rsid w:val="002D39F8"/>
    <w:rsid w:val="002D3A24"/>
    <w:rsid w:val="002D3A4A"/>
    <w:rsid w:val="002D3AB0"/>
    <w:rsid w:val="002D3AC9"/>
    <w:rsid w:val="002D3ADE"/>
    <w:rsid w:val="002D3B99"/>
    <w:rsid w:val="002D3BA0"/>
    <w:rsid w:val="002D3BFF"/>
    <w:rsid w:val="002D3C22"/>
    <w:rsid w:val="002D3C32"/>
    <w:rsid w:val="002D3C79"/>
    <w:rsid w:val="002D3CCF"/>
    <w:rsid w:val="002D3CFD"/>
    <w:rsid w:val="002D3D50"/>
    <w:rsid w:val="002D3DBA"/>
    <w:rsid w:val="002D3DCE"/>
    <w:rsid w:val="002D3DD4"/>
    <w:rsid w:val="002D3DE5"/>
    <w:rsid w:val="002D3EC0"/>
    <w:rsid w:val="002D3EEA"/>
    <w:rsid w:val="002D3EF8"/>
    <w:rsid w:val="002D3F3C"/>
    <w:rsid w:val="002D3FB0"/>
    <w:rsid w:val="002D3FC1"/>
    <w:rsid w:val="002D4020"/>
    <w:rsid w:val="002D4026"/>
    <w:rsid w:val="002D4119"/>
    <w:rsid w:val="002D411C"/>
    <w:rsid w:val="002D4155"/>
    <w:rsid w:val="002D41B9"/>
    <w:rsid w:val="002D41D5"/>
    <w:rsid w:val="002D41E7"/>
    <w:rsid w:val="002D4249"/>
    <w:rsid w:val="002D426D"/>
    <w:rsid w:val="002D427B"/>
    <w:rsid w:val="002D429E"/>
    <w:rsid w:val="002D42DE"/>
    <w:rsid w:val="002D42E6"/>
    <w:rsid w:val="002D42EB"/>
    <w:rsid w:val="002D4334"/>
    <w:rsid w:val="002D4354"/>
    <w:rsid w:val="002D437B"/>
    <w:rsid w:val="002D439F"/>
    <w:rsid w:val="002D43A2"/>
    <w:rsid w:val="002D43C7"/>
    <w:rsid w:val="002D443C"/>
    <w:rsid w:val="002D4469"/>
    <w:rsid w:val="002D44E3"/>
    <w:rsid w:val="002D4563"/>
    <w:rsid w:val="002D45B9"/>
    <w:rsid w:val="002D45BF"/>
    <w:rsid w:val="002D45EA"/>
    <w:rsid w:val="002D4613"/>
    <w:rsid w:val="002D4622"/>
    <w:rsid w:val="002D463A"/>
    <w:rsid w:val="002D464A"/>
    <w:rsid w:val="002D46B2"/>
    <w:rsid w:val="002D46CF"/>
    <w:rsid w:val="002D46DD"/>
    <w:rsid w:val="002D4716"/>
    <w:rsid w:val="002D4750"/>
    <w:rsid w:val="002D4779"/>
    <w:rsid w:val="002D477C"/>
    <w:rsid w:val="002D47D1"/>
    <w:rsid w:val="002D47EE"/>
    <w:rsid w:val="002D4879"/>
    <w:rsid w:val="002D48D1"/>
    <w:rsid w:val="002D493A"/>
    <w:rsid w:val="002D494C"/>
    <w:rsid w:val="002D4977"/>
    <w:rsid w:val="002D497D"/>
    <w:rsid w:val="002D4A34"/>
    <w:rsid w:val="002D4A39"/>
    <w:rsid w:val="002D4A43"/>
    <w:rsid w:val="002D4A97"/>
    <w:rsid w:val="002D4A99"/>
    <w:rsid w:val="002D4AA9"/>
    <w:rsid w:val="002D4AE4"/>
    <w:rsid w:val="002D4B39"/>
    <w:rsid w:val="002D4B76"/>
    <w:rsid w:val="002D4B7E"/>
    <w:rsid w:val="002D4C40"/>
    <w:rsid w:val="002D4C84"/>
    <w:rsid w:val="002D4D0C"/>
    <w:rsid w:val="002D4D51"/>
    <w:rsid w:val="002D4D7F"/>
    <w:rsid w:val="002D4D88"/>
    <w:rsid w:val="002D4DAB"/>
    <w:rsid w:val="002D4DAE"/>
    <w:rsid w:val="002D4DE4"/>
    <w:rsid w:val="002D4DF5"/>
    <w:rsid w:val="002D4DFE"/>
    <w:rsid w:val="002D4E09"/>
    <w:rsid w:val="002D4EA9"/>
    <w:rsid w:val="002D4EC8"/>
    <w:rsid w:val="002D4EEB"/>
    <w:rsid w:val="002D4F97"/>
    <w:rsid w:val="002D4FD3"/>
    <w:rsid w:val="002D4FFC"/>
    <w:rsid w:val="002D5008"/>
    <w:rsid w:val="002D500B"/>
    <w:rsid w:val="002D500F"/>
    <w:rsid w:val="002D5064"/>
    <w:rsid w:val="002D50B7"/>
    <w:rsid w:val="002D50F5"/>
    <w:rsid w:val="002D5185"/>
    <w:rsid w:val="002D51BA"/>
    <w:rsid w:val="002D51BF"/>
    <w:rsid w:val="002D51C3"/>
    <w:rsid w:val="002D5214"/>
    <w:rsid w:val="002D522B"/>
    <w:rsid w:val="002D526E"/>
    <w:rsid w:val="002D5275"/>
    <w:rsid w:val="002D5292"/>
    <w:rsid w:val="002D52D3"/>
    <w:rsid w:val="002D52E4"/>
    <w:rsid w:val="002D5365"/>
    <w:rsid w:val="002D539E"/>
    <w:rsid w:val="002D539F"/>
    <w:rsid w:val="002D53B5"/>
    <w:rsid w:val="002D53D3"/>
    <w:rsid w:val="002D53FF"/>
    <w:rsid w:val="002D5422"/>
    <w:rsid w:val="002D546D"/>
    <w:rsid w:val="002D5499"/>
    <w:rsid w:val="002D54D7"/>
    <w:rsid w:val="002D54F0"/>
    <w:rsid w:val="002D54F2"/>
    <w:rsid w:val="002D54F6"/>
    <w:rsid w:val="002D5531"/>
    <w:rsid w:val="002D5566"/>
    <w:rsid w:val="002D5579"/>
    <w:rsid w:val="002D5639"/>
    <w:rsid w:val="002D5717"/>
    <w:rsid w:val="002D5744"/>
    <w:rsid w:val="002D5785"/>
    <w:rsid w:val="002D578B"/>
    <w:rsid w:val="002D57CD"/>
    <w:rsid w:val="002D57E1"/>
    <w:rsid w:val="002D57E5"/>
    <w:rsid w:val="002D5801"/>
    <w:rsid w:val="002D5826"/>
    <w:rsid w:val="002D582B"/>
    <w:rsid w:val="002D5855"/>
    <w:rsid w:val="002D585C"/>
    <w:rsid w:val="002D5891"/>
    <w:rsid w:val="002D58BF"/>
    <w:rsid w:val="002D597B"/>
    <w:rsid w:val="002D5986"/>
    <w:rsid w:val="002D5988"/>
    <w:rsid w:val="002D598B"/>
    <w:rsid w:val="002D59DC"/>
    <w:rsid w:val="002D59E9"/>
    <w:rsid w:val="002D5A05"/>
    <w:rsid w:val="002D5A28"/>
    <w:rsid w:val="002D5A9E"/>
    <w:rsid w:val="002D5B11"/>
    <w:rsid w:val="002D5B15"/>
    <w:rsid w:val="002D5B16"/>
    <w:rsid w:val="002D5B2E"/>
    <w:rsid w:val="002D5B38"/>
    <w:rsid w:val="002D5B61"/>
    <w:rsid w:val="002D5B9C"/>
    <w:rsid w:val="002D5C27"/>
    <w:rsid w:val="002D5C45"/>
    <w:rsid w:val="002D5C6A"/>
    <w:rsid w:val="002D5C83"/>
    <w:rsid w:val="002D5CD1"/>
    <w:rsid w:val="002D5CE7"/>
    <w:rsid w:val="002D5D08"/>
    <w:rsid w:val="002D5D51"/>
    <w:rsid w:val="002D5D55"/>
    <w:rsid w:val="002D5D7A"/>
    <w:rsid w:val="002D5D89"/>
    <w:rsid w:val="002D5D9A"/>
    <w:rsid w:val="002D5DAE"/>
    <w:rsid w:val="002D5DB3"/>
    <w:rsid w:val="002D5DC2"/>
    <w:rsid w:val="002D5DDD"/>
    <w:rsid w:val="002D5E31"/>
    <w:rsid w:val="002D5E46"/>
    <w:rsid w:val="002D5E67"/>
    <w:rsid w:val="002D5EA9"/>
    <w:rsid w:val="002D5ED6"/>
    <w:rsid w:val="002D5EEF"/>
    <w:rsid w:val="002D5F34"/>
    <w:rsid w:val="002D5F67"/>
    <w:rsid w:val="002D5F77"/>
    <w:rsid w:val="002D5FDA"/>
    <w:rsid w:val="002D5FE5"/>
    <w:rsid w:val="002D5FE7"/>
    <w:rsid w:val="002D5FFF"/>
    <w:rsid w:val="002D6005"/>
    <w:rsid w:val="002D6040"/>
    <w:rsid w:val="002D60BB"/>
    <w:rsid w:val="002D60D7"/>
    <w:rsid w:val="002D60ED"/>
    <w:rsid w:val="002D61CF"/>
    <w:rsid w:val="002D61EE"/>
    <w:rsid w:val="002D6203"/>
    <w:rsid w:val="002D6238"/>
    <w:rsid w:val="002D62B9"/>
    <w:rsid w:val="002D62C3"/>
    <w:rsid w:val="002D62CA"/>
    <w:rsid w:val="002D6338"/>
    <w:rsid w:val="002D638C"/>
    <w:rsid w:val="002D6391"/>
    <w:rsid w:val="002D63E6"/>
    <w:rsid w:val="002D640D"/>
    <w:rsid w:val="002D64B6"/>
    <w:rsid w:val="002D64C7"/>
    <w:rsid w:val="002D660D"/>
    <w:rsid w:val="002D662E"/>
    <w:rsid w:val="002D6635"/>
    <w:rsid w:val="002D6731"/>
    <w:rsid w:val="002D6757"/>
    <w:rsid w:val="002D6770"/>
    <w:rsid w:val="002D677E"/>
    <w:rsid w:val="002D678A"/>
    <w:rsid w:val="002D67AA"/>
    <w:rsid w:val="002D67CB"/>
    <w:rsid w:val="002D67E1"/>
    <w:rsid w:val="002D67F6"/>
    <w:rsid w:val="002D6832"/>
    <w:rsid w:val="002D685F"/>
    <w:rsid w:val="002D6863"/>
    <w:rsid w:val="002D68A5"/>
    <w:rsid w:val="002D68B3"/>
    <w:rsid w:val="002D68B7"/>
    <w:rsid w:val="002D6941"/>
    <w:rsid w:val="002D696C"/>
    <w:rsid w:val="002D6982"/>
    <w:rsid w:val="002D69A1"/>
    <w:rsid w:val="002D69A8"/>
    <w:rsid w:val="002D69C3"/>
    <w:rsid w:val="002D69CB"/>
    <w:rsid w:val="002D69E4"/>
    <w:rsid w:val="002D6A44"/>
    <w:rsid w:val="002D6A55"/>
    <w:rsid w:val="002D6A75"/>
    <w:rsid w:val="002D6A78"/>
    <w:rsid w:val="002D6AD3"/>
    <w:rsid w:val="002D6B29"/>
    <w:rsid w:val="002D6B8A"/>
    <w:rsid w:val="002D6BC2"/>
    <w:rsid w:val="002D6C2D"/>
    <w:rsid w:val="002D6C30"/>
    <w:rsid w:val="002D6C39"/>
    <w:rsid w:val="002D6C54"/>
    <w:rsid w:val="002D6C62"/>
    <w:rsid w:val="002D6C6B"/>
    <w:rsid w:val="002D6C97"/>
    <w:rsid w:val="002D6CCE"/>
    <w:rsid w:val="002D6D09"/>
    <w:rsid w:val="002D6D3F"/>
    <w:rsid w:val="002D6DB4"/>
    <w:rsid w:val="002D6DC0"/>
    <w:rsid w:val="002D6F04"/>
    <w:rsid w:val="002D6F47"/>
    <w:rsid w:val="002D6F65"/>
    <w:rsid w:val="002D6F9B"/>
    <w:rsid w:val="002D6FE3"/>
    <w:rsid w:val="002D701D"/>
    <w:rsid w:val="002D70AD"/>
    <w:rsid w:val="002D70AF"/>
    <w:rsid w:val="002D70E0"/>
    <w:rsid w:val="002D70E2"/>
    <w:rsid w:val="002D710F"/>
    <w:rsid w:val="002D711B"/>
    <w:rsid w:val="002D7191"/>
    <w:rsid w:val="002D71D7"/>
    <w:rsid w:val="002D71DF"/>
    <w:rsid w:val="002D71E7"/>
    <w:rsid w:val="002D71F6"/>
    <w:rsid w:val="002D7212"/>
    <w:rsid w:val="002D7229"/>
    <w:rsid w:val="002D722B"/>
    <w:rsid w:val="002D723B"/>
    <w:rsid w:val="002D72AA"/>
    <w:rsid w:val="002D72BD"/>
    <w:rsid w:val="002D72C5"/>
    <w:rsid w:val="002D72EB"/>
    <w:rsid w:val="002D7322"/>
    <w:rsid w:val="002D7344"/>
    <w:rsid w:val="002D7346"/>
    <w:rsid w:val="002D738D"/>
    <w:rsid w:val="002D73BC"/>
    <w:rsid w:val="002D73CB"/>
    <w:rsid w:val="002D73CF"/>
    <w:rsid w:val="002D7407"/>
    <w:rsid w:val="002D7425"/>
    <w:rsid w:val="002D743E"/>
    <w:rsid w:val="002D745F"/>
    <w:rsid w:val="002D7476"/>
    <w:rsid w:val="002D7493"/>
    <w:rsid w:val="002D74BD"/>
    <w:rsid w:val="002D74F0"/>
    <w:rsid w:val="002D755E"/>
    <w:rsid w:val="002D756E"/>
    <w:rsid w:val="002D7590"/>
    <w:rsid w:val="002D75B4"/>
    <w:rsid w:val="002D762B"/>
    <w:rsid w:val="002D7672"/>
    <w:rsid w:val="002D7708"/>
    <w:rsid w:val="002D770B"/>
    <w:rsid w:val="002D7727"/>
    <w:rsid w:val="002D7747"/>
    <w:rsid w:val="002D776B"/>
    <w:rsid w:val="002D7786"/>
    <w:rsid w:val="002D7797"/>
    <w:rsid w:val="002D77BA"/>
    <w:rsid w:val="002D77CE"/>
    <w:rsid w:val="002D77D3"/>
    <w:rsid w:val="002D77E7"/>
    <w:rsid w:val="002D77EE"/>
    <w:rsid w:val="002D77EF"/>
    <w:rsid w:val="002D7872"/>
    <w:rsid w:val="002D788D"/>
    <w:rsid w:val="002D78DB"/>
    <w:rsid w:val="002D7903"/>
    <w:rsid w:val="002D7904"/>
    <w:rsid w:val="002D7934"/>
    <w:rsid w:val="002D7967"/>
    <w:rsid w:val="002D7974"/>
    <w:rsid w:val="002D797D"/>
    <w:rsid w:val="002D797F"/>
    <w:rsid w:val="002D7986"/>
    <w:rsid w:val="002D798F"/>
    <w:rsid w:val="002D7999"/>
    <w:rsid w:val="002D79D8"/>
    <w:rsid w:val="002D79F1"/>
    <w:rsid w:val="002D79F5"/>
    <w:rsid w:val="002D7A21"/>
    <w:rsid w:val="002D7A4B"/>
    <w:rsid w:val="002D7A52"/>
    <w:rsid w:val="002D7AA6"/>
    <w:rsid w:val="002D7ABD"/>
    <w:rsid w:val="002D7AED"/>
    <w:rsid w:val="002D7B16"/>
    <w:rsid w:val="002D7B79"/>
    <w:rsid w:val="002D7B8A"/>
    <w:rsid w:val="002D7BD2"/>
    <w:rsid w:val="002D7C04"/>
    <w:rsid w:val="002D7C20"/>
    <w:rsid w:val="002D7C24"/>
    <w:rsid w:val="002D7C4D"/>
    <w:rsid w:val="002D7C60"/>
    <w:rsid w:val="002D7C98"/>
    <w:rsid w:val="002D7CF8"/>
    <w:rsid w:val="002D7CFA"/>
    <w:rsid w:val="002D7D08"/>
    <w:rsid w:val="002D7D36"/>
    <w:rsid w:val="002D7E17"/>
    <w:rsid w:val="002D7E27"/>
    <w:rsid w:val="002D7E7B"/>
    <w:rsid w:val="002D7E9A"/>
    <w:rsid w:val="002D7EE8"/>
    <w:rsid w:val="002D7F10"/>
    <w:rsid w:val="002D7F1A"/>
    <w:rsid w:val="002D7F96"/>
    <w:rsid w:val="002D7FAD"/>
    <w:rsid w:val="002D7FC8"/>
    <w:rsid w:val="002D7FC9"/>
    <w:rsid w:val="002D7FE3"/>
    <w:rsid w:val="002E0009"/>
    <w:rsid w:val="002E005A"/>
    <w:rsid w:val="002E00B8"/>
    <w:rsid w:val="002E00C7"/>
    <w:rsid w:val="002E0138"/>
    <w:rsid w:val="002E013D"/>
    <w:rsid w:val="002E0152"/>
    <w:rsid w:val="002E0182"/>
    <w:rsid w:val="002E01BC"/>
    <w:rsid w:val="002E01C0"/>
    <w:rsid w:val="002E01D3"/>
    <w:rsid w:val="002E01D6"/>
    <w:rsid w:val="002E01E4"/>
    <w:rsid w:val="002E01E7"/>
    <w:rsid w:val="002E01EC"/>
    <w:rsid w:val="002E01F9"/>
    <w:rsid w:val="002E023C"/>
    <w:rsid w:val="002E023E"/>
    <w:rsid w:val="002E02BC"/>
    <w:rsid w:val="002E02C3"/>
    <w:rsid w:val="002E02DE"/>
    <w:rsid w:val="002E034D"/>
    <w:rsid w:val="002E0367"/>
    <w:rsid w:val="002E03B5"/>
    <w:rsid w:val="002E042F"/>
    <w:rsid w:val="002E0444"/>
    <w:rsid w:val="002E044A"/>
    <w:rsid w:val="002E0474"/>
    <w:rsid w:val="002E0497"/>
    <w:rsid w:val="002E0596"/>
    <w:rsid w:val="002E05AC"/>
    <w:rsid w:val="002E05C2"/>
    <w:rsid w:val="002E05CC"/>
    <w:rsid w:val="002E05F0"/>
    <w:rsid w:val="002E0604"/>
    <w:rsid w:val="002E0605"/>
    <w:rsid w:val="002E0613"/>
    <w:rsid w:val="002E062B"/>
    <w:rsid w:val="002E0645"/>
    <w:rsid w:val="002E064B"/>
    <w:rsid w:val="002E0678"/>
    <w:rsid w:val="002E06C3"/>
    <w:rsid w:val="002E06D6"/>
    <w:rsid w:val="002E073E"/>
    <w:rsid w:val="002E0757"/>
    <w:rsid w:val="002E07A5"/>
    <w:rsid w:val="002E0828"/>
    <w:rsid w:val="002E0842"/>
    <w:rsid w:val="002E0858"/>
    <w:rsid w:val="002E08B0"/>
    <w:rsid w:val="002E08BA"/>
    <w:rsid w:val="002E092D"/>
    <w:rsid w:val="002E09A4"/>
    <w:rsid w:val="002E09A9"/>
    <w:rsid w:val="002E09C5"/>
    <w:rsid w:val="002E09CB"/>
    <w:rsid w:val="002E0A21"/>
    <w:rsid w:val="002E0A4E"/>
    <w:rsid w:val="002E0A83"/>
    <w:rsid w:val="002E0A94"/>
    <w:rsid w:val="002E0AC6"/>
    <w:rsid w:val="002E0ADF"/>
    <w:rsid w:val="002E0B69"/>
    <w:rsid w:val="002E0BAA"/>
    <w:rsid w:val="002E0BCF"/>
    <w:rsid w:val="002E0BF0"/>
    <w:rsid w:val="002E0C36"/>
    <w:rsid w:val="002E0C45"/>
    <w:rsid w:val="002E0C4D"/>
    <w:rsid w:val="002E0C61"/>
    <w:rsid w:val="002E0C6E"/>
    <w:rsid w:val="002E0C7D"/>
    <w:rsid w:val="002E0CBA"/>
    <w:rsid w:val="002E0CBD"/>
    <w:rsid w:val="002E0CD3"/>
    <w:rsid w:val="002E0D37"/>
    <w:rsid w:val="002E0D3A"/>
    <w:rsid w:val="002E0DB1"/>
    <w:rsid w:val="002E0E3A"/>
    <w:rsid w:val="002E0E3C"/>
    <w:rsid w:val="002E0E4E"/>
    <w:rsid w:val="002E0E5B"/>
    <w:rsid w:val="002E0E6B"/>
    <w:rsid w:val="002E0E8E"/>
    <w:rsid w:val="002E0E97"/>
    <w:rsid w:val="002E0EA0"/>
    <w:rsid w:val="002E0ED7"/>
    <w:rsid w:val="002E0EFA"/>
    <w:rsid w:val="002E0EFB"/>
    <w:rsid w:val="002E0F12"/>
    <w:rsid w:val="002E0FCC"/>
    <w:rsid w:val="002E0FE3"/>
    <w:rsid w:val="002E0FEB"/>
    <w:rsid w:val="002E100E"/>
    <w:rsid w:val="002E1032"/>
    <w:rsid w:val="002E1047"/>
    <w:rsid w:val="002E1065"/>
    <w:rsid w:val="002E106C"/>
    <w:rsid w:val="002E108A"/>
    <w:rsid w:val="002E109D"/>
    <w:rsid w:val="002E10C9"/>
    <w:rsid w:val="002E10EB"/>
    <w:rsid w:val="002E1100"/>
    <w:rsid w:val="002E1105"/>
    <w:rsid w:val="002E1119"/>
    <w:rsid w:val="002E1153"/>
    <w:rsid w:val="002E118D"/>
    <w:rsid w:val="002E1193"/>
    <w:rsid w:val="002E11A4"/>
    <w:rsid w:val="002E124F"/>
    <w:rsid w:val="002E1261"/>
    <w:rsid w:val="002E1274"/>
    <w:rsid w:val="002E1292"/>
    <w:rsid w:val="002E1330"/>
    <w:rsid w:val="002E134F"/>
    <w:rsid w:val="002E1392"/>
    <w:rsid w:val="002E13A8"/>
    <w:rsid w:val="002E13BB"/>
    <w:rsid w:val="002E13BE"/>
    <w:rsid w:val="002E1449"/>
    <w:rsid w:val="002E14C2"/>
    <w:rsid w:val="002E14D8"/>
    <w:rsid w:val="002E14F8"/>
    <w:rsid w:val="002E150D"/>
    <w:rsid w:val="002E152F"/>
    <w:rsid w:val="002E1537"/>
    <w:rsid w:val="002E1542"/>
    <w:rsid w:val="002E156E"/>
    <w:rsid w:val="002E1577"/>
    <w:rsid w:val="002E1594"/>
    <w:rsid w:val="002E1596"/>
    <w:rsid w:val="002E15D2"/>
    <w:rsid w:val="002E15F4"/>
    <w:rsid w:val="002E1609"/>
    <w:rsid w:val="002E1694"/>
    <w:rsid w:val="002E16CE"/>
    <w:rsid w:val="002E16D5"/>
    <w:rsid w:val="002E1755"/>
    <w:rsid w:val="002E17B3"/>
    <w:rsid w:val="002E17BE"/>
    <w:rsid w:val="002E17D1"/>
    <w:rsid w:val="002E17FF"/>
    <w:rsid w:val="002E1842"/>
    <w:rsid w:val="002E186E"/>
    <w:rsid w:val="002E1896"/>
    <w:rsid w:val="002E18DC"/>
    <w:rsid w:val="002E18F1"/>
    <w:rsid w:val="002E1918"/>
    <w:rsid w:val="002E191B"/>
    <w:rsid w:val="002E1939"/>
    <w:rsid w:val="002E1966"/>
    <w:rsid w:val="002E196D"/>
    <w:rsid w:val="002E199F"/>
    <w:rsid w:val="002E19A6"/>
    <w:rsid w:val="002E1A43"/>
    <w:rsid w:val="002E1A6C"/>
    <w:rsid w:val="002E1AA8"/>
    <w:rsid w:val="002E1AD4"/>
    <w:rsid w:val="002E1AE0"/>
    <w:rsid w:val="002E1AE2"/>
    <w:rsid w:val="002E1B1B"/>
    <w:rsid w:val="002E1B2F"/>
    <w:rsid w:val="002E1B94"/>
    <w:rsid w:val="002E1BBA"/>
    <w:rsid w:val="002E1C0C"/>
    <w:rsid w:val="002E1C34"/>
    <w:rsid w:val="002E1C94"/>
    <w:rsid w:val="002E1CC1"/>
    <w:rsid w:val="002E1CD4"/>
    <w:rsid w:val="002E1D17"/>
    <w:rsid w:val="002E1D18"/>
    <w:rsid w:val="002E1D4E"/>
    <w:rsid w:val="002E1D87"/>
    <w:rsid w:val="002E1D93"/>
    <w:rsid w:val="002E1DC8"/>
    <w:rsid w:val="002E1DCA"/>
    <w:rsid w:val="002E1DDB"/>
    <w:rsid w:val="002E1DE0"/>
    <w:rsid w:val="002E1DE6"/>
    <w:rsid w:val="002E1E0D"/>
    <w:rsid w:val="002E1E12"/>
    <w:rsid w:val="002E1E3B"/>
    <w:rsid w:val="002E1E49"/>
    <w:rsid w:val="002E1E65"/>
    <w:rsid w:val="002E1E71"/>
    <w:rsid w:val="002E1EA3"/>
    <w:rsid w:val="002E1EF4"/>
    <w:rsid w:val="002E1EF5"/>
    <w:rsid w:val="002E1F1A"/>
    <w:rsid w:val="002E1FE6"/>
    <w:rsid w:val="002E2050"/>
    <w:rsid w:val="002E2070"/>
    <w:rsid w:val="002E2078"/>
    <w:rsid w:val="002E218C"/>
    <w:rsid w:val="002E2196"/>
    <w:rsid w:val="002E21C3"/>
    <w:rsid w:val="002E21DA"/>
    <w:rsid w:val="002E2247"/>
    <w:rsid w:val="002E2249"/>
    <w:rsid w:val="002E224D"/>
    <w:rsid w:val="002E2250"/>
    <w:rsid w:val="002E2251"/>
    <w:rsid w:val="002E2265"/>
    <w:rsid w:val="002E2272"/>
    <w:rsid w:val="002E22A5"/>
    <w:rsid w:val="002E22D4"/>
    <w:rsid w:val="002E22D7"/>
    <w:rsid w:val="002E232F"/>
    <w:rsid w:val="002E2377"/>
    <w:rsid w:val="002E237D"/>
    <w:rsid w:val="002E23A2"/>
    <w:rsid w:val="002E23A6"/>
    <w:rsid w:val="002E23B6"/>
    <w:rsid w:val="002E23CD"/>
    <w:rsid w:val="002E23E9"/>
    <w:rsid w:val="002E23FE"/>
    <w:rsid w:val="002E2456"/>
    <w:rsid w:val="002E245A"/>
    <w:rsid w:val="002E24B0"/>
    <w:rsid w:val="002E24C8"/>
    <w:rsid w:val="002E24D0"/>
    <w:rsid w:val="002E24D2"/>
    <w:rsid w:val="002E253F"/>
    <w:rsid w:val="002E254B"/>
    <w:rsid w:val="002E26A5"/>
    <w:rsid w:val="002E26C9"/>
    <w:rsid w:val="002E26E1"/>
    <w:rsid w:val="002E26ED"/>
    <w:rsid w:val="002E276E"/>
    <w:rsid w:val="002E2794"/>
    <w:rsid w:val="002E27DC"/>
    <w:rsid w:val="002E27FE"/>
    <w:rsid w:val="002E2818"/>
    <w:rsid w:val="002E2826"/>
    <w:rsid w:val="002E2827"/>
    <w:rsid w:val="002E2830"/>
    <w:rsid w:val="002E2855"/>
    <w:rsid w:val="002E2863"/>
    <w:rsid w:val="002E288C"/>
    <w:rsid w:val="002E2897"/>
    <w:rsid w:val="002E28D6"/>
    <w:rsid w:val="002E2900"/>
    <w:rsid w:val="002E2905"/>
    <w:rsid w:val="002E2927"/>
    <w:rsid w:val="002E294A"/>
    <w:rsid w:val="002E2965"/>
    <w:rsid w:val="002E296B"/>
    <w:rsid w:val="002E2A2C"/>
    <w:rsid w:val="002E2B50"/>
    <w:rsid w:val="002E2B5D"/>
    <w:rsid w:val="002E2B74"/>
    <w:rsid w:val="002E2B97"/>
    <w:rsid w:val="002E2C04"/>
    <w:rsid w:val="002E2C3F"/>
    <w:rsid w:val="002E2C41"/>
    <w:rsid w:val="002E2C84"/>
    <w:rsid w:val="002E2C9C"/>
    <w:rsid w:val="002E2D46"/>
    <w:rsid w:val="002E2D48"/>
    <w:rsid w:val="002E2D84"/>
    <w:rsid w:val="002E2DBC"/>
    <w:rsid w:val="002E2DBE"/>
    <w:rsid w:val="002E2DC2"/>
    <w:rsid w:val="002E2E24"/>
    <w:rsid w:val="002E2E2F"/>
    <w:rsid w:val="002E2E34"/>
    <w:rsid w:val="002E2E38"/>
    <w:rsid w:val="002E2E44"/>
    <w:rsid w:val="002E2E6A"/>
    <w:rsid w:val="002E2E85"/>
    <w:rsid w:val="002E2EFE"/>
    <w:rsid w:val="002E2F27"/>
    <w:rsid w:val="002E2F2B"/>
    <w:rsid w:val="002E2F2E"/>
    <w:rsid w:val="002E2F3C"/>
    <w:rsid w:val="002E2F5D"/>
    <w:rsid w:val="002E2F79"/>
    <w:rsid w:val="002E2F7F"/>
    <w:rsid w:val="002E2F84"/>
    <w:rsid w:val="002E2F89"/>
    <w:rsid w:val="002E2F8C"/>
    <w:rsid w:val="002E2FE4"/>
    <w:rsid w:val="002E2FF1"/>
    <w:rsid w:val="002E3039"/>
    <w:rsid w:val="002E3098"/>
    <w:rsid w:val="002E30DB"/>
    <w:rsid w:val="002E3153"/>
    <w:rsid w:val="002E3185"/>
    <w:rsid w:val="002E318D"/>
    <w:rsid w:val="002E31BC"/>
    <w:rsid w:val="002E31CC"/>
    <w:rsid w:val="002E31D7"/>
    <w:rsid w:val="002E3203"/>
    <w:rsid w:val="002E3228"/>
    <w:rsid w:val="002E32DC"/>
    <w:rsid w:val="002E3300"/>
    <w:rsid w:val="002E3321"/>
    <w:rsid w:val="002E3346"/>
    <w:rsid w:val="002E3399"/>
    <w:rsid w:val="002E33A9"/>
    <w:rsid w:val="002E33BA"/>
    <w:rsid w:val="002E343D"/>
    <w:rsid w:val="002E3464"/>
    <w:rsid w:val="002E3478"/>
    <w:rsid w:val="002E34B1"/>
    <w:rsid w:val="002E34C9"/>
    <w:rsid w:val="002E3518"/>
    <w:rsid w:val="002E354C"/>
    <w:rsid w:val="002E356E"/>
    <w:rsid w:val="002E3576"/>
    <w:rsid w:val="002E35DD"/>
    <w:rsid w:val="002E364A"/>
    <w:rsid w:val="002E3668"/>
    <w:rsid w:val="002E3690"/>
    <w:rsid w:val="002E36C3"/>
    <w:rsid w:val="002E3711"/>
    <w:rsid w:val="002E371B"/>
    <w:rsid w:val="002E372D"/>
    <w:rsid w:val="002E3734"/>
    <w:rsid w:val="002E373D"/>
    <w:rsid w:val="002E3752"/>
    <w:rsid w:val="002E37B5"/>
    <w:rsid w:val="002E37DD"/>
    <w:rsid w:val="002E3827"/>
    <w:rsid w:val="002E3891"/>
    <w:rsid w:val="002E38A0"/>
    <w:rsid w:val="002E38C4"/>
    <w:rsid w:val="002E38C8"/>
    <w:rsid w:val="002E38F3"/>
    <w:rsid w:val="002E3908"/>
    <w:rsid w:val="002E390E"/>
    <w:rsid w:val="002E3964"/>
    <w:rsid w:val="002E39EE"/>
    <w:rsid w:val="002E3A02"/>
    <w:rsid w:val="002E3A30"/>
    <w:rsid w:val="002E3A73"/>
    <w:rsid w:val="002E3AA0"/>
    <w:rsid w:val="002E3AE0"/>
    <w:rsid w:val="002E3AE4"/>
    <w:rsid w:val="002E3B47"/>
    <w:rsid w:val="002E3B4E"/>
    <w:rsid w:val="002E3B74"/>
    <w:rsid w:val="002E3B8B"/>
    <w:rsid w:val="002E3BC4"/>
    <w:rsid w:val="002E3BF1"/>
    <w:rsid w:val="002E3C90"/>
    <w:rsid w:val="002E3CA6"/>
    <w:rsid w:val="002E3CA7"/>
    <w:rsid w:val="002E3CBA"/>
    <w:rsid w:val="002E3CD5"/>
    <w:rsid w:val="002E3D16"/>
    <w:rsid w:val="002E3D1A"/>
    <w:rsid w:val="002E3D77"/>
    <w:rsid w:val="002E3DBB"/>
    <w:rsid w:val="002E3E1B"/>
    <w:rsid w:val="002E3E3A"/>
    <w:rsid w:val="002E3E59"/>
    <w:rsid w:val="002E3E8B"/>
    <w:rsid w:val="002E3EAD"/>
    <w:rsid w:val="002E3EC2"/>
    <w:rsid w:val="002E3F1C"/>
    <w:rsid w:val="002E3F3B"/>
    <w:rsid w:val="002E3F47"/>
    <w:rsid w:val="002E3F4E"/>
    <w:rsid w:val="002E3F55"/>
    <w:rsid w:val="002E3F9D"/>
    <w:rsid w:val="002E3FD6"/>
    <w:rsid w:val="002E3FED"/>
    <w:rsid w:val="002E403C"/>
    <w:rsid w:val="002E4070"/>
    <w:rsid w:val="002E40BA"/>
    <w:rsid w:val="002E410F"/>
    <w:rsid w:val="002E4145"/>
    <w:rsid w:val="002E4162"/>
    <w:rsid w:val="002E4189"/>
    <w:rsid w:val="002E41A7"/>
    <w:rsid w:val="002E422C"/>
    <w:rsid w:val="002E4263"/>
    <w:rsid w:val="002E42AB"/>
    <w:rsid w:val="002E42B7"/>
    <w:rsid w:val="002E42CC"/>
    <w:rsid w:val="002E42CF"/>
    <w:rsid w:val="002E42DA"/>
    <w:rsid w:val="002E42DD"/>
    <w:rsid w:val="002E4317"/>
    <w:rsid w:val="002E4322"/>
    <w:rsid w:val="002E432C"/>
    <w:rsid w:val="002E4339"/>
    <w:rsid w:val="002E4358"/>
    <w:rsid w:val="002E435C"/>
    <w:rsid w:val="002E43E2"/>
    <w:rsid w:val="002E43FF"/>
    <w:rsid w:val="002E4458"/>
    <w:rsid w:val="002E4495"/>
    <w:rsid w:val="002E44E8"/>
    <w:rsid w:val="002E44F0"/>
    <w:rsid w:val="002E4517"/>
    <w:rsid w:val="002E454B"/>
    <w:rsid w:val="002E454C"/>
    <w:rsid w:val="002E4568"/>
    <w:rsid w:val="002E45D7"/>
    <w:rsid w:val="002E46B4"/>
    <w:rsid w:val="002E46D3"/>
    <w:rsid w:val="002E46E2"/>
    <w:rsid w:val="002E46EA"/>
    <w:rsid w:val="002E471D"/>
    <w:rsid w:val="002E473E"/>
    <w:rsid w:val="002E4798"/>
    <w:rsid w:val="002E47C8"/>
    <w:rsid w:val="002E4850"/>
    <w:rsid w:val="002E4857"/>
    <w:rsid w:val="002E4883"/>
    <w:rsid w:val="002E48E3"/>
    <w:rsid w:val="002E48E7"/>
    <w:rsid w:val="002E48FD"/>
    <w:rsid w:val="002E48FE"/>
    <w:rsid w:val="002E4946"/>
    <w:rsid w:val="002E4958"/>
    <w:rsid w:val="002E4992"/>
    <w:rsid w:val="002E4995"/>
    <w:rsid w:val="002E49BD"/>
    <w:rsid w:val="002E49F2"/>
    <w:rsid w:val="002E4A2F"/>
    <w:rsid w:val="002E4A3A"/>
    <w:rsid w:val="002E4A45"/>
    <w:rsid w:val="002E4AA3"/>
    <w:rsid w:val="002E4AEF"/>
    <w:rsid w:val="002E4B43"/>
    <w:rsid w:val="002E4BA8"/>
    <w:rsid w:val="002E4BE4"/>
    <w:rsid w:val="002E4C0D"/>
    <w:rsid w:val="002E4C10"/>
    <w:rsid w:val="002E4C2A"/>
    <w:rsid w:val="002E4C38"/>
    <w:rsid w:val="002E4C3C"/>
    <w:rsid w:val="002E4C4F"/>
    <w:rsid w:val="002E4C67"/>
    <w:rsid w:val="002E4CC2"/>
    <w:rsid w:val="002E4CF8"/>
    <w:rsid w:val="002E4CFD"/>
    <w:rsid w:val="002E4D07"/>
    <w:rsid w:val="002E4D15"/>
    <w:rsid w:val="002E4D54"/>
    <w:rsid w:val="002E4D76"/>
    <w:rsid w:val="002E4D99"/>
    <w:rsid w:val="002E4DAE"/>
    <w:rsid w:val="002E4DC3"/>
    <w:rsid w:val="002E4DCB"/>
    <w:rsid w:val="002E4DD6"/>
    <w:rsid w:val="002E4E1F"/>
    <w:rsid w:val="002E4E39"/>
    <w:rsid w:val="002E4E77"/>
    <w:rsid w:val="002E4E7C"/>
    <w:rsid w:val="002E4EB4"/>
    <w:rsid w:val="002E4EBD"/>
    <w:rsid w:val="002E4F0F"/>
    <w:rsid w:val="002E4F32"/>
    <w:rsid w:val="002E4F67"/>
    <w:rsid w:val="002E4F69"/>
    <w:rsid w:val="002E4F88"/>
    <w:rsid w:val="002E4F8C"/>
    <w:rsid w:val="002E4FC6"/>
    <w:rsid w:val="002E4FF2"/>
    <w:rsid w:val="002E500A"/>
    <w:rsid w:val="002E5047"/>
    <w:rsid w:val="002E504A"/>
    <w:rsid w:val="002E5083"/>
    <w:rsid w:val="002E5097"/>
    <w:rsid w:val="002E50C2"/>
    <w:rsid w:val="002E50DA"/>
    <w:rsid w:val="002E5111"/>
    <w:rsid w:val="002E511A"/>
    <w:rsid w:val="002E5153"/>
    <w:rsid w:val="002E515A"/>
    <w:rsid w:val="002E5176"/>
    <w:rsid w:val="002E5193"/>
    <w:rsid w:val="002E51C3"/>
    <w:rsid w:val="002E5260"/>
    <w:rsid w:val="002E5288"/>
    <w:rsid w:val="002E528D"/>
    <w:rsid w:val="002E5298"/>
    <w:rsid w:val="002E529F"/>
    <w:rsid w:val="002E535C"/>
    <w:rsid w:val="002E5390"/>
    <w:rsid w:val="002E53D9"/>
    <w:rsid w:val="002E53FA"/>
    <w:rsid w:val="002E544E"/>
    <w:rsid w:val="002E5453"/>
    <w:rsid w:val="002E546B"/>
    <w:rsid w:val="002E5477"/>
    <w:rsid w:val="002E5497"/>
    <w:rsid w:val="002E54CD"/>
    <w:rsid w:val="002E5590"/>
    <w:rsid w:val="002E55A4"/>
    <w:rsid w:val="002E55B7"/>
    <w:rsid w:val="002E55CB"/>
    <w:rsid w:val="002E55D9"/>
    <w:rsid w:val="002E5612"/>
    <w:rsid w:val="002E561F"/>
    <w:rsid w:val="002E564C"/>
    <w:rsid w:val="002E56D0"/>
    <w:rsid w:val="002E56D7"/>
    <w:rsid w:val="002E56E1"/>
    <w:rsid w:val="002E56E7"/>
    <w:rsid w:val="002E56FA"/>
    <w:rsid w:val="002E570E"/>
    <w:rsid w:val="002E571C"/>
    <w:rsid w:val="002E5744"/>
    <w:rsid w:val="002E574C"/>
    <w:rsid w:val="002E5803"/>
    <w:rsid w:val="002E580C"/>
    <w:rsid w:val="002E5837"/>
    <w:rsid w:val="002E58A2"/>
    <w:rsid w:val="002E58A4"/>
    <w:rsid w:val="002E5902"/>
    <w:rsid w:val="002E594F"/>
    <w:rsid w:val="002E59BE"/>
    <w:rsid w:val="002E5A12"/>
    <w:rsid w:val="002E5A1D"/>
    <w:rsid w:val="002E5A2F"/>
    <w:rsid w:val="002E5A6D"/>
    <w:rsid w:val="002E5A73"/>
    <w:rsid w:val="002E5A92"/>
    <w:rsid w:val="002E5AC0"/>
    <w:rsid w:val="002E5AC2"/>
    <w:rsid w:val="002E5ACA"/>
    <w:rsid w:val="002E5AEF"/>
    <w:rsid w:val="002E5B08"/>
    <w:rsid w:val="002E5B15"/>
    <w:rsid w:val="002E5B35"/>
    <w:rsid w:val="002E5B3F"/>
    <w:rsid w:val="002E5B40"/>
    <w:rsid w:val="002E5B43"/>
    <w:rsid w:val="002E5BC8"/>
    <w:rsid w:val="002E5BCF"/>
    <w:rsid w:val="002E5BD8"/>
    <w:rsid w:val="002E5C53"/>
    <w:rsid w:val="002E5CF7"/>
    <w:rsid w:val="002E5CFE"/>
    <w:rsid w:val="002E5D15"/>
    <w:rsid w:val="002E5D16"/>
    <w:rsid w:val="002E5D29"/>
    <w:rsid w:val="002E5D34"/>
    <w:rsid w:val="002E5D36"/>
    <w:rsid w:val="002E5D5C"/>
    <w:rsid w:val="002E5D6A"/>
    <w:rsid w:val="002E5DC9"/>
    <w:rsid w:val="002E5DEB"/>
    <w:rsid w:val="002E5E01"/>
    <w:rsid w:val="002E5E0B"/>
    <w:rsid w:val="002E5E13"/>
    <w:rsid w:val="002E5E3F"/>
    <w:rsid w:val="002E5E52"/>
    <w:rsid w:val="002E5E67"/>
    <w:rsid w:val="002E5EA8"/>
    <w:rsid w:val="002E5EE9"/>
    <w:rsid w:val="002E5EEF"/>
    <w:rsid w:val="002E5F64"/>
    <w:rsid w:val="002E5F94"/>
    <w:rsid w:val="002E5FE0"/>
    <w:rsid w:val="002E5FE1"/>
    <w:rsid w:val="002E5FEE"/>
    <w:rsid w:val="002E6035"/>
    <w:rsid w:val="002E6059"/>
    <w:rsid w:val="002E605E"/>
    <w:rsid w:val="002E60ED"/>
    <w:rsid w:val="002E6132"/>
    <w:rsid w:val="002E6139"/>
    <w:rsid w:val="002E614A"/>
    <w:rsid w:val="002E6158"/>
    <w:rsid w:val="002E6183"/>
    <w:rsid w:val="002E6185"/>
    <w:rsid w:val="002E61C6"/>
    <w:rsid w:val="002E61F0"/>
    <w:rsid w:val="002E6303"/>
    <w:rsid w:val="002E632D"/>
    <w:rsid w:val="002E6334"/>
    <w:rsid w:val="002E63E8"/>
    <w:rsid w:val="002E640D"/>
    <w:rsid w:val="002E6448"/>
    <w:rsid w:val="002E645E"/>
    <w:rsid w:val="002E6484"/>
    <w:rsid w:val="002E6550"/>
    <w:rsid w:val="002E65DE"/>
    <w:rsid w:val="002E65F0"/>
    <w:rsid w:val="002E65F5"/>
    <w:rsid w:val="002E6612"/>
    <w:rsid w:val="002E6685"/>
    <w:rsid w:val="002E6689"/>
    <w:rsid w:val="002E66C8"/>
    <w:rsid w:val="002E670E"/>
    <w:rsid w:val="002E6740"/>
    <w:rsid w:val="002E67DC"/>
    <w:rsid w:val="002E67E7"/>
    <w:rsid w:val="002E67FF"/>
    <w:rsid w:val="002E6809"/>
    <w:rsid w:val="002E6857"/>
    <w:rsid w:val="002E686B"/>
    <w:rsid w:val="002E6885"/>
    <w:rsid w:val="002E68C1"/>
    <w:rsid w:val="002E692F"/>
    <w:rsid w:val="002E6968"/>
    <w:rsid w:val="002E6981"/>
    <w:rsid w:val="002E69C7"/>
    <w:rsid w:val="002E69D1"/>
    <w:rsid w:val="002E69E5"/>
    <w:rsid w:val="002E6A47"/>
    <w:rsid w:val="002E6A92"/>
    <w:rsid w:val="002E6AC0"/>
    <w:rsid w:val="002E6AE1"/>
    <w:rsid w:val="002E6B11"/>
    <w:rsid w:val="002E6B3D"/>
    <w:rsid w:val="002E6B6B"/>
    <w:rsid w:val="002E6B81"/>
    <w:rsid w:val="002E6BBD"/>
    <w:rsid w:val="002E6BD9"/>
    <w:rsid w:val="002E6BE9"/>
    <w:rsid w:val="002E6BF7"/>
    <w:rsid w:val="002E6C0E"/>
    <w:rsid w:val="002E6C29"/>
    <w:rsid w:val="002E6C4A"/>
    <w:rsid w:val="002E6CC0"/>
    <w:rsid w:val="002E6D4B"/>
    <w:rsid w:val="002E6D78"/>
    <w:rsid w:val="002E6DEF"/>
    <w:rsid w:val="002E6E5C"/>
    <w:rsid w:val="002E6E7C"/>
    <w:rsid w:val="002E6E92"/>
    <w:rsid w:val="002E6EAB"/>
    <w:rsid w:val="002E6EF3"/>
    <w:rsid w:val="002E6EFC"/>
    <w:rsid w:val="002E6F10"/>
    <w:rsid w:val="002E6F7A"/>
    <w:rsid w:val="002E6FAB"/>
    <w:rsid w:val="002E6FB2"/>
    <w:rsid w:val="002E6FD5"/>
    <w:rsid w:val="002E6FE7"/>
    <w:rsid w:val="002E6FE8"/>
    <w:rsid w:val="002E7018"/>
    <w:rsid w:val="002E701E"/>
    <w:rsid w:val="002E7047"/>
    <w:rsid w:val="002E7065"/>
    <w:rsid w:val="002E70A7"/>
    <w:rsid w:val="002E70C3"/>
    <w:rsid w:val="002E70D9"/>
    <w:rsid w:val="002E70DC"/>
    <w:rsid w:val="002E70F0"/>
    <w:rsid w:val="002E70FB"/>
    <w:rsid w:val="002E71A3"/>
    <w:rsid w:val="002E71CF"/>
    <w:rsid w:val="002E7208"/>
    <w:rsid w:val="002E7228"/>
    <w:rsid w:val="002E724B"/>
    <w:rsid w:val="002E725E"/>
    <w:rsid w:val="002E7281"/>
    <w:rsid w:val="002E72D7"/>
    <w:rsid w:val="002E72F6"/>
    <w:rsid w:val="002E731C"/>
    <w:rsid w:val="002E737F"/>
    <w:rsid w:val="002E7393"/>
    <w:rsid w:val="002E739D"/>
    <w:rsid w:val="002E73B3"/>
    <w:rsid w:val="002E73C1"/>
    <w:rsid w:val="002E73CB"/>
    <w:rsid w:val="002E73F4"/>
    <w:rsid w:val="002E7408"/>
    <w:rsid w:val="002E7420"/>
    <w:rsid w:val="002E7422"/>
    <w:rsid w:val="002E7462"/>
    <w:rsid w:val="002E74AE"/>
    <w:rsid w:val="002E74C8"/>
    <w:rsid w:val="002E74D8"/>
    <w:rsid w:val="002E74E0"/>
    <w:rsid w:val="002E74FB"/>
    <w:rsid w:val="002E74FE"/>
    <w:rsid w:val="002E7544"/>
    <w:rsid w:val="002E7573"/>
    <w:rsid w:val="002E7583"/>
    <w:rsid w:val="002E75E0"/>
    <w:rsid w:val="002E7629"/>
    <w:rsid w:val="002E7640"/>
    <w:rsid w:val="002E7668"/>
    <w:rsid w:val="002E76E2"/>
    <w:rsid w:val="002E76EB"/>
    <w:rsid w:val="002E76EF"/>
    <w:rsid w:val="002E770A"/>
    <w:rsid w:val="002E7777"/>
    <w:rsid w:val="002E7778"/>
    <w:rsid w:val="002E778C"/>
    <w:rsid w:val="002E77DD"/>
    <w:rsid w:val="002E77E3"/>
    <w:rsid w:val="002E7822"/>
    <w:rsid w:val="002E7826"/>
    <w:rsid w:val="002E7846"/>
    <w:rsid w:val="002E785C"/>
    <w:rsid w:val="002E78F1"/>
    <w:rsid w:val="002E7905"/>
    <w:rsid w:val="002E791C"/>
    <w:rsid w:val="002E7956"/>
    <w:rsid w:val="002E7A20"/>
    <w:rsid w:val="002E7A26"/>
    <w:rsid w:val="002E7A4B"/>
    <w:rsid w:val="002E7A4F"/>
    <w:rsid w:val="002E7A64"/>
    <w:rsid w:val="002E7AC1"/>
    <w:rsid w:val="002E7ACA"/>
    <w:rsid w:val="002E7AE0"/>
    <w:rsid w:val="002E7B15"/>
    <w:rsid w:val="002E7B7C"/>
    <w:rsid w:val="002E7B9A"/>
    <w:rsid w:val="002E7C28"/>
    <w:rsid w:val="002E7C5E"/>
    <w:rsid w:val="002E7CC1"/>
    <w:rsid w:val="002E7CCB"/>
    <w:rsid w:val="002E7CEA"/>
    <w:rsid w:val="002E7D21"/>
    <w:rsid w:val="002E7D52"/>
    <w:rsid w:val="002E7D9A"/>
    <w:rsid w:val="002E7DB5"/>
    <w:rsid w:val="002E7DF4"/>
    <w:rsid w:val="002E7E17"/>
    <w:rsid w:val="002E7EB3"/>
    <w:rsid w:val="002E7EBC"/>
    <w:rsid w:val="002E7EC6"/>
    <w:rsid w:val="002E7F25"/>
    <w:rsid w:val="002E7F34"/>
    <w:rsid w:val="002E7F7A"/>
    <w:rsid w:val="002E7F9F"/>
    <w:rsid w:val="002E7FA0"/>
    <w:rsid w:val="002E7FBB"/>
    <w:rsid w:val="002E7FFA"/>
    <w:rsid w:val="002F0004"/>
    <w:rsid w:val="002F0012"/>
    <w:rsid w:val="002F001F"/>
    <w:rsid w:val="002F0056"/>
    <w:rsid w:val="002F0081"/>
    <w:rsid w:val="002F01DB"/>
    <w:rsid w:val="002F01E0"/>
    <w:rsid w:val="002F01EB"/>
    <w:rsid w:val="002F0266"/>
    <w:rsid w:val="002F02AA"/>
    <w:rsid w:val="002F02B5"/>
    <w:rsid w:val="002F02DF"/>
    <w:rsid w:val="002F0320"/>
    <w:rsid w:val="002F0341"/>
    <w:rsid w:val="002F0344"/>
    <w:rsid w:val="002F037A"/>
    <w:rsid w:val="002F0382"/>
    <w:rsid w:val="002F03BE"/>
    <w:rsid w:val="002F03C7"/>
    <w:rsid w:val="002F03CC"/>
    <w:rsid w:val="002F03F1"/>
    <w:rsid w:val="002F0410"/>
    <w:rsid w:val="002F0427"/>
    <w:rsid w:val="002F0430"/>
    <w:rsid w:val="002F0444"/>
    <w:rsid w:val="002F0450"/>
    <w:rsid w:val="002F0465"/>
    <w:rsid w:val="002F046A"/>
    <w:rsid w:val="002F0498"/>
    <w:rsid w:val="002F04DC"/>
    <w:rsid w:val="002F04DD"/>
    <w:rsid w:val="002F052B"/>
    <w:rsid w:val="002F05A4"/>
    <w:rsid w:val="002F05B4"/>
    <w:rsid w:val="002F05B7"/>
    <w:rsid w:val="002F067F"/>
    <w:rsid w:val="002F06FC"/>
    <w:rsid w:val="002F0775"/>
    <w:rsid w:val="002F0778"/>
    <w:rsid w:val="002F077E"/>
    <w:rsid w:val="002F07CE"/>
    <w:rsid w:val="002F084F"/>
    <w:rsid w:val="002F0850"/>
    <w:rsid w:val="002F08C3"/>
    <w:rsid w:val="002F0967"/>
    <w:rsid w:val="002F0968"/>
    <w:rsid w:val="002F0988"/>
    <w:rsid w:val="002F09AF"/>
    <w:rsid w:val="002F0A57"/>
    <w:rsid w:val="002F0A87"/>
    <w:rsid w:val="002F0A9B"/>
    <w:rsid w:val="002F0AF6"/>
    <w:rsid w:val="002F0AFC"/>
    <w:rsid w:val="002F0B14"/>
    <w:rsid w:val="002F0B24"/>
    <w:rsid w:val="002F0B45"/>
    <w:rsid w:val="002F0B50"/>
    <w:rsid w:val="002F0B6A"/>
    <w:rsid w:val="002F0B9B"/>
    <w:rsid w:val="002F0BBC"/>
    <w:rsid w:val="002F0BC6"/>
    <w:rsid w:val="002F0BDD"/>
    <w:rsid w:val="002F0C01"/>
    <w:rsid w:val="002F0C1C"/>
    <w:rsid w:val="002F0C1E"/>
    <w:rsid w:val="002F0C62"/>
    <w:rsid w:val="002F0C83"/>
    <w:rsid w:val="002F0C95"/>
    <w:rsid w:val="002F0CAE"/>
    <w:rsid w:val="002F0CC7"/>
    <w:rsid w:val="002F0D21"/>
    <w:rsid w:val="002F0D63"/>
    <w:rsid w:val="002F0D76"/>
    <w:rsid w:val="002F0D81"/>
    <w:rsid w:val="002F0DA0"/>
    <w:rsid w:val="002F0DFF"/>
    <w:rsid w:val="002F0E0D"/>
    <w:rsid w:val="002F0E14"/>
    <w:rsid w:val="002F0E71"/>
    <w:rsid w:val="002F0E81"/>
    <w:rsid w:val="002F0E8D"/>
    <w:rsid w:val="002F0ECD"/>
    <w:rsid w:val="002F0F01"/>
    <w:rsid w:val="002F0F92"/>
    <w:rsid w:val="002F0F93"/>
    <w:rsid w:val="002F1004"/>
    <w:rsid w:val="002F1067"/>
    <w:rsid w:val="002F1071"/>
    <w:rsid w:val="002F11DC"/>
    <w:rsid w:val="002F120D"/>
    <w:rsid w:val="002F1241"/>
    <w:rsid w:val="002F1250"/>
    <w:rsid w:val="002F1284"/>
    <w:rsid w:val="002F12DC"/>
    <w:rsid w:val="002F1348"/>
    <w:rsid w:val="002F13EE"/>
    <w:rsid w:val="002F1433"/>
    <w:rsid w:val="002F1451"/>
    <w:rsid w:val="002F14A8"/>
    <w:rsid w:val="002F14B5"/>
    <w:rsid w:val="002F14E1"/>
    <w:rsid w:val="002F14FB"/>
    <w:rsid w:val="002F1525"/>
    <w:rsid w:val="002F1567"/>
    <w:rsid w:val="002F15AE"/>
    <w:rsid w:val="002F15BE"/>
    <w:rsid w:val="002F160B"/>
    <w:rsid w:val="002F1636"/>
    <w:rsid w:val="002F163C"/>
    <w:rsid w:val="002F16C5"/>
    <w:rsid w:val="002F16C8"/>
    <w:rsid w:val="002F16DB"/>
    <w:rsid w:val="002F1723"/>
    <w:rsid w:val="002F178E"/>
    <w:rsid w:val="002F1830"/>
    <w:rsid w:val="002F185B"/>
    <w:rsid w:val="002F1881"/>
    <w:rsid w:val="002F18B8"/>
    <w:rsid w:val="002F18E0"/>
    <w:rsid w:val="002F18F0"/>
    <w:rsid w:val="002F18FC"/>
    <w:rsid w:val="002F193B"/>
    <w:rsid w:val="002F1945"/>
    <w:rsid w:val="002F1952"/>
    <w:rsid w:val="002F199E"/>
    <w:rsid w:val="002F19CE"/>
    <w:rsid w:val="002F19ED"/>
    <w:rsid w:val="002F19F4"/>
    <w:rsid w:val="002F19FB"/>
    <w:rsid w:val="002F1A00"/>
    <w:rsid w:val="002F1A77"/>
    <w:rsid w:val="002F1A80"/>
    <w:rsid w:val="002F1A8A"/>
    <w:rsid w:val="002F1B06"/>
    <w:rsid w:val="002F1B17"/>
    <w:rsid w:val="002F1BA0"/>
    <w:rsid w:val="002F1BEA"/>
    <w:rsid w:val="002F1C22"/>
    <w:rsid w:val="002F1C76"/>
    <w:rsid w:val="002F1C8A"/>
    <w:rsid w:val="002F1D40"/>
    <w:rsid w:val="002F1D55"/>
    <w:rsid w:val="002F1D77"/>
    <w:rsid w:val="002F1D87"/>
    <w:rsid w:val="002F1E35"/>
    <w:rsid w:val="002F1E3C"/>
    <w:rsid w:val="002F1E3E"/>
    <w:rsid w:val="002F1E4C"/>
    <w:rsid w:val="002F1E67"/>
    <w:rsid w:val="002F1E72"/>
    <w:rsid w:val="002F1E7A"/>
    <w:rsid w:val="002F1EA3"/>
    <w:rsid w:val="002F1EA4"/>
    <w:rsid w:val="002F1EA6"/>
    <w:rsid w:val="002F1EE9"/>
    <w:rsid w:val="002F1F46"/>
    <w:rsid w:val="002F1F7A"/>
    <w:rsid w:val="002F1F9E"/>
    <w:rsid w:val="002F1FB7"/>
    <w:rsid w:val="002F1FBA"/>
    <w:rsid w:val="002F1FD5"/>
    <w:rsid w:val="002F202C"/>
    <w:rsid w:val="002F20A5"/>
    <w:rsid w:val="002F20AC"/>
    <w:rsid w:val="002F20CB"/>
    <w:rsid w:val="002F20E5"/>
    <w:rsid w:val="002F2133"/>
    <w:rsid w:val="002F2179"/>
    <w:rsid w:val="002F2187"/>
    <w:rsid w:val="002F219D"/>
    <w:rsid w:val="002F21BC"/>
    <w:rsid w:val="002F21DE"/>
    <w:rsid w:val="002F228E"/>
    <w:rsid w:val="002F22A9"/>
    <w:rsid w:val="002F22B0"/>
    <w:rsid w:val="002F22FB"/>
    <w:rsid w:val="002F231C"/>
    <w:rsid w:val="002F2369"/>
    <w:rsid w:val="002F249C"/>
    <w:rsid w:val="002F24D3"/>
    <w:rsid w:val="002F24E4"/>
    <w:rsid w:val="002F2547"/>
    <w:rsid w:val="002F2559"/>
    <w:rsid w:val="002F259E"/>
    <w:rsid w:val="002F25B5"/>
    <w:rsid w:val="002F260B"/>
    <w:rsid w:val="002F2617"/>
    <w:rsid w:val="002F2624"/>
    <w:rsid w:val="002F2648"/>
    <w:rsid w:val="002F2661"/>
    <w:rsid w:val="002F2667"/>
    <w:rsid w:val="002F2680"/>
    <w:rsid w:val="002F26D0"/>
    <w:rsid w:val="002F26ED"/>
    <w:rsid w:val="002F2761"/>
    <w:rsid w:val="002F27AB"/>
    <w:rsid w:val="002F27BE"/>
    <w:rsid w:val="002F27E8"/>
    <w:rsid w:val="002F27F3"/>
    <w:rsid w:val="002F27F7"/>
    <w:rsid w:val="002F2810"/>
    <w:rsid w:val="002F28DE"/>
    <w:rsid w:val="002F28F1"/>
    <w:rsid w:val="002F293D"/>
    <w:rsid w:val="002F2972"/>
    <w:rsid w:val="002F298A"/>
    <w:rsid w:val="002F298E"/>
    <w:rsid w:val="002F299C"/>
    <w:rsid w:val="002F29E5"/>
    <w:rsid w:val="002F29EC"/>
    <w:rsid w:val="002F2A25"/>
    <w:rsid w:val="002F2A31"/>
    <w:rsid w:val="002F2A55"/>
    <w:rsid w:val="002F2A5B"/>
    <w:rsid w:val="002F2A7B"/>
    <w:rsid w:val="002F2AB4"/>
    <w:rsid w:val="002F2AC0"/>
    <w:rsid w:val="002F2ADD"/>
    <w:rsid w:val="002F2B05"/>
    <w:rsid w:val="002F2B11"/>
    <w:rsid w:val="002F2BA9"/>
    <w:rsid w:val="002F2BAF"/>
    <w:rsid w:val="002F2C39"/>
    <w:rsid w:val="002F2C74"/>
    <w:rsid w:val="002F2C77"/>
    <w:rsid w:val="002F2C80"/>
    <w:rsid w:val="002F2CF4"/>
    <w:rsid w:val="002F2D7D"/>
    <w:rsid w:val="002F2D90"/>
    <w:rsid w:val="002F2D9F"/>
    <w:rsid w:val="002F2DA1"/>
    <w:rsid w:val="002F2DF4"/>
    <w:rsid w:val="002F2E23"/>
    <w:rsid w:val="002F2E31"/>
    <w:rsid w:val="002F2E63"/>
    <w:rsid w:val="002F2E6D"/>
    <w:rsid w:val="002F2E8E"/>
    <w:rsid w:val="002F2E93"/>
    <w:rsid w:val="002F2EAD"/>
    <w:rsid w:val="002F2EC2"/>
    <w:rsid w:val="002F2EFD"/>
    <w:rsid w:val="002F2F74"/>
    <w:rsid w:val="002F2F77"/>
    <w:rsid w:val="002F2F8A"/>
    <w:rsid w:val="002F2FB3"/>
    <w:rsid w:val="002F2FE2"/>
    <w:rsid w:val="002F3041"/>
    <w:rsid w:val="002F3043"/>
    <w:rsid w:val="002F3051"/>
    <w:rsid w:val="002F3053"/>
    <w:rsid w:val="002F305A"/>
    <w:rsid w:val="002F30D8"/>
    <w:rsid w:val="002F310A"/>
    <w:rsid w:val="002F3123"/>
    <w:rsid w:val="002F3167"/>
    <w:rsid w:val="002F3185"/>
    <w:rsid w:val="002F31F1"/>
    <w:rsid w:val="002F3206"/>
    <w:rsid w:val="002F3207"/>
    <w:rsid w:val="002F3209"/>
    <w:rsid w:val="002F3223"/>
    <w:rsid w:val="002F3262"/>
    <w:rsid w:val="002F3266"/>
    <w:rsid w:val="002F32D4"/>
    <w:rsid w:val="002F3338"/>
    <w:rsid w:val="002F3346"/>
    <w:rsid w:val="002F334B"/>
    <w:rsid w:val="002F337B"/>
    <w:rsid w:val="002F33E2"/>
    <w:rsid w:val="002F3415"/>
    <w:rsid w:val="002F3417"/>
    <w:rsid w:val="002F3420"/>
    <w:rsid w:val="002F342F"/>
    <w:rsid w:val="002F3440"/>
    <w:rsid w:val="002F34B2"/>
    <w:rsid w:val="002F34BC"/>
    <w:rsid w:val="002F34C5"/>
    <w:rsid w:val="002F34D4"/>
    <w:rsid w:val="002F34E2"/>
    <w:rsid w:val="002F351A"/>
    <w:rsid w:val="002F3563"/>
    <w:rsid w:val="002F358F"/>
    <w:rsid w:val="002F35A5"/>
    <w:rsid w:val="002F35E5"/>
    <w:rsid w:val="002F366C"/>
    <w:rsid w:val="002F366E"/>
    <w:rsid w:val="002F3671"/>
    <w:rsid w:val="002F3686"/>
    <w:rsid w:val="002F3711"/>
    <w:rsid w:val="002F3716"/>
    <w:rsid w:val="002F374C"/>
    <w:rsid w:val="002F3750"/>
    <w:rsid w:val="002F377D"/>
    <w:rsid w:val="002F380A"/>
    <w:rsid w:val="002F381B"/>
    <w:rsid w:val="002F385F"/>
    <w:rsid w:val="002F3877"/>
    <w:rsid w:val="002F388B"/>
    <w:rsid w:val="002F38B0"/>
    <w:rsid w:val="002F38D6"/>
    <w:rsid w:val="002F393B"/>
    <w:rsid w:val="002F3982"/>
    <w:rsid w:val="002F399E"/>
    <w:rsid w:val="002F39F8"/>
    <w:rsid w:val="002F3A61"/>
    <w:rsid w:val="002F3AB1"/>
    <w:rsid w:val="002F3AB4"/>
    <w:rsid w:val="002F3AD2"/>
    <w:rsid w:val="002F3B0A"/>
    <w:rsid w:val="002F3B2C"/>
    <w:rsid w:val="002F3B50"/>
    <w:rsid w:val="002F3B53"/>
    <w:rsid w:val="002F3B75"/>
    <w:rsid w:val="002F3B8E"/>
    <w:rsid w:val="002F3BA2"/>
    <w:rsid w:val="002F3BB6"/>
    <w:rsid w:val="002F3C21"/>
    <w:rsid w:val="002F3C9A"/>
    <w:rsid w:val="002F3CAE"/>
    <w:rsid w:val="002F3CEE"/>
    <w:rsid w:val="002F3CEF"/>
    <w:rsid w:val="002F3D33"/>
    <w:rsid w:val="002F3D59"/>
    <w:rsid w:val="002F3D94"/>
    <w:rsid w:val="002F3DA6"/>
    <w:rsid w:val="002F3DEA"/>
    <w:rsid w:val="002F3DFE"/>
    <w:rsid w:val="002F3E04"/>
    <w:rsid w:val="002F3E08"/>
    <w:rsid w:val="002F3E75"/>
    <w:rsid w:val="002F3EA0"/>
    <w:rsid w:val="002F3EA4"/>
    <w:rsid w:val="002F3EB1"/>
    <w:rsid w:val="002F3F0C"/>
    <w:rsid w:val="002F3F15"/>
    <w:rsid w:val="002F3F30"/>
    <w:rsid w:val="002F3F54"/>
    <w:rsid w:val="002F3F75"/>
    <w:rsid w:val="002F3FDF"/>
    <w:rsid w:val="002F3FF4"/>
    <w:rsid w:val="002F400C"/>
    <w:rsid w:val="002F4017"/>
    <w:rsid w:val="002F40B3"/>
    <w:rsid w:val="002F411A"/>
    <w:rsid w:val="002F4128"/>
    <w:rsid w:val="002F4147"/>
    <w:rsid w:val="002F4149"/>
    <w:rsid w:val="002F4164"/>
    <w:rsid w:val="002F417B"/>
    <w:rsid w:val="002F41E9"/>
    <w:rsid w:val="002F41EE"/>
    <w:rsid w:val="002F4203"/>
    <w:rsid w:val="002F4209"/>
    <w:rsid w:val="002F424F"/>
    <w:rsid w:val="002F4258"/>
    <w:rsid w:val="002F42B2"/>
    <w:rsid w:val="002F42BD"/>
    <w:rsid w:val="002F42D8"/>
    <w:rsid w:val="002F42DA"/>
    <w:rsid w:val="002F436F"/>
    <w:rsid w:val="002F437E"/>
    <w:rsid w:val="002F43AE"/>
    <w:rsid w:val="002F43B9"/>
    <w:rsid w:val="002F43F5"/>
    <w:rsid w:val="002F4425"/>
    <w:rsid w:val="002F4461"/>
    <w:rsid w:val="002F446C"/>
    <w:rsid w:val="002F4476"/>
    <w:rsid w:val="002F447E"/>
    <w:rsid w:val="002F4503"/>
    <w:rsid w:val="002F4515"/>
    <w:rsid w:val="002F4521"/>
    <w:rsid w:val="002F4534"/>
    <w:rsid w:val="002F45CC"/>
    <w:rsid w:val="002F45E4"/>
    <w:rsid w:val="002F4609"/>
    <w:rsid w:val="002F4617"/>
    <w:rsid w:val="002F462B"/>
    <w:rsid w:val="002F463D"/>
    <w:rsid w:val="002F463E"/>
    <w:rsid w:val="002F466C"/>
    <w:rsid w:val="002F46A1"/>
    <w:rsid w:val="002F473C"/>
    <w:rsid w:val="002F47AA"/>
    <w:rsid w:val="002F47BF"/>
    <w:rsid w:val="002F481D"/>
    <w:rsid w:val="002F481E"/>
    <w:rsid w:val="002F4878"/>
    <w:rsid w:val="002F4890"/>
    <w:rsid w:val="002F4920"/>
    <w:rsid w:val="002F4931"/>
    <w:rsid w:val="002F494D"/>
    <w:rsid w:val="002F4965"/>
    <w:rsid w:val="002F496A"/>
    <w:rsid w:val="002F499A"/>
    <w:rsid w:val="002F49DA"/>
    <w:rsid w:val="002F4A2D"/>
    <w:rsid w:val="002F4A5A"/>
    <w:rsid w:val="002F4A9B"/>
    <w:rsid w:val="002F4ACA"/>
    <w:rsid w:val="002F4B07"/>
    <w:rsid w:val="002F4B13"/>
    <w:rsid w:val="002F4B6E"/>
    <w:rsid w:val="002F4B8F"/>
    <w:rsid w:val="002F4B9B"/>
    <w:rsid w:val="002F4BA7"/>
    <w:rsid w:val="002F4C10"/>
    <w:rsid w:val="002F4C93"/>
    <w:rsid w:val="002F4CA3"/>
    <w:rsid w:val="002F4CA4"/>
    <w:rsid w:val="002F4D04"/>
    <w:rsid w:val="002F4D33"/>
    <w:rsid w:val="002F4D50"/>
    <w:rsid w:val="002F4D5E"/>
    <w:rsid w:val="002F4D99"/>
    <w:rsid w:val="002F4D9D"/>
    <w:rsid w:val="002F4DD3"/>
    <w:rsid w:val="002F4E45"/>
    <w:rsid w:val="002F4E66"/>
    <w:rsid w:val="002F4EC0"/>
    <w:rsid w:val="002F4F34"/>
    <w:rsid w:val="002F4F93"/>
    <w:rsid w:val="002F4FBD"/>
    <w:rsid w:val="002F4FED"/>
    <w:rsid w:val="002F5060"/>
    <w:rsid w:val="002F50FE"/>
    <w:rsid w:val="002F5129"/>
    <w:rsid w:val="002F512A"/>
    <w:rsid w:val="002F5169"/>
    <w:rsid w:val="002F517E"/>
    <w:rsid w:val="002F518B"/>
    <w:rsid w:val="002F519B"/>
    <w:rsid w:val="002F51A1"/>
    <w:rsid w:val="002F51FD"/>
    <w:rsid w:val="002F52A6"/>
    <w:rsid w:val="002F52EE"/>
    <w:rsid w:val="002F5324"/>
    <w:rsid w:val="002F5330"/>
    <w:rsid w:val="002F53B2"/>
    <w:rsid w:val="002F5415"/>
    <w:rsid w:val="002F542B"/>
    <w:rsid w:val="002F548C"/>
    <w:rsid w:val="002F5491"/>
    <w:rsid w:val="002F54A5"/>
    <w:rsid w:val="002F54AC"/>
    <w:rsid w:val="002F54B2"/>
    <w:rsid w:val="002F54CA"/>
    <w:rsid w:val="002F555D"/>
    <w:rsid w:val="002F5573"/>
    <w:rsid w:val="002F5585"/>
    <w:rsid w:val="002F55F6"/>
    <w:rsid w:val="002F562E"/>
    <w:rsid w:val="002F5644"/>
    <w:rsid w:val="002F5666"/>
    <w:rsid w:val="002F56EF"/>
    <w:rsid w:val="002F5713"/>
    <w:rsid w:val="002F5783"/>
    <w:rsid w:val="002F57A4"/>
    <w:rsid w:val="002F57AC"/>
    <w:rsid w:val="002F57B7"/>
    <w:rsid w:val="002F57C4"/>
    <w:rsid w:val="002F580B"/>
    <w:rsid w:val="002F586C"/>
    <w:rsid w:val="002F58DB"/>
    <w:rsid w:val="002F5938"/>
    <w:rsid w:val="002F597A"/>
    <w:rsid w:val="002F598A"/>
    <w:rsid w:val="002F59AD"/>
    <w:rsid w:val="002F59D0"/>
    <w:rsid w:val="002F5A02"/>
    <w:rsid w:val="002F5A57"/>
    <w:rsid w:val="002F5A72"/>
    <w:rsid w:val="002F5A82"/>
    <w:rsid w:val="002F5B08"/>
    <w:rsid w:val="002F5B4D"/>
    <w:rsid w:val="002F5B59"/>
    <w:rsid w:val="002F5B92"/>
    <w:rsid w:val="002F5B99"/>
    <w:rsid w:val="002F5BB8"/>
    <w:rsid w:val="002F5BF5"/>
    <w:rsid w:val="002F5C11"/>
    <w:rsid w:val="002F5C26"/>
    <w:rsid w:val="002F5C48"/>
    <w:rsid w:val="002F5C57"/>
    <w:rsid w:val="002F5C58"/>
    <w:rsid w:val="002F5C5B"/>
    <w:rsid w:val="002F5C96"/>
    <w:rsid w:val="002F5CC2"/>
    <w:rsid w:val="002F5CDA"/>
    <w:rsid w:val="002F5D7F"/>
    <w:rsid w:val="002F5D9C"/>
    <w:rsid w:val="002F5DA8"/>
    <w:rsid w:val="002F5DD6"/>
    <w:rsid w:val="002F5E07"/>
    <w:rsid w:val="002F5E55"/>
    <w:rsid w:val="002F5E5A"/>
    <w:rsid w:val="002F5E6D"/>
    <w:rsid w:val="002F5E8F"/>
    <w:rsid w:val="002F5ECB"/>
    <w:rsid w:val="002F5F42"/>
    <w:rsid w:val="002F5F82"/>
    <w:rsid w:val="002F5F85"/>
    <w:rsid w:val="002F5F97"/>
    <w:rsid w:val="002F5FFA"/>
    <w:rsid w:val="002F6010"/>
    <w:rsid w:val="002F6040"/>
    <w:rsid w:val="002F604F"/>
    <w:rsid w:val="002F6067"/>
    <w:rsid w:val="002F6082"/>
    <w:rsid w:val="002F60A2"/>
    <w:rsid w:val="002F60CA"/>
    <w:rsid w:val="002F60FB"/>
    <w:rsid w:val="002F6137"/>
    <w:rsid w:val="002F6152"/>
    <w:rsid w:val="002F6156"/>
    <w:rsid w:val="002F615D"/>
    <w:rsid w:val="002F6169"/>
    <w:rsid w:val="002F619F"/>
    <w:rsid w:val="002F61A7"/>
    <w:rsid w:val="002F61B8"/>
    <w:rsid w:val="002F61DF"/>
    <w:rsid w:val="002F61F2"/>
    <w:rsid w:val="002F6212"/>
    <w:rsid w:val="002F6215"/>
    <w:rsid w:val="002F621E"/>
    <w:rsid w:val="002F6238"/>
    <w:rsid w:val="002F628E"/>
    <w:rsid w:val="002F62C6"/>
    <w:rsid w:val="002F62DD"/>
    <w:rsid w:val="002F632E"/>
    <w:rsid w:val="002F635F"/>
    <w:rsid w:val="002F63C0"/>
    <w:rsid w:val="002F63FF"/>
    <w:rsid w:val="002F6411"/>
    <w:rsid w:val="002F6465"/>
    <w:rsid w:val="002F64BE"/>
    <w:rsid w:val="002F64CA"/>
    <w:rsid w:val="002F6510"/>
    <w:rsid w:val="002F651F"/>
    <w:rsid w:val="002F6522"/>
    <w:rsid w:val="002F6525"/>
    <w:rsid w:val="002F65AB"/>
    <w:rsid w:val="002F65B2"/>
    <w:rsid w:val="002F65E5"/>
    <w:rsid w:val="002F65E6"/>
    <w:rsid w:val="002F663A"/>
    <w:rsid w:val="002F6643"/>
    <w:rsid w:val="002F6658"/>
    <w:rsid w:val="002F6660"/>
    <w:rsid w:val="002F66E1"/>
    <w:rsid w:val="002F66E3"/>
    <w:rsid w:val="002F676C"/>
    <w:rsid w:val="002F678C"/>
    <w:rsid w:val="002F67A5"/>
    <w:rsid w:val="002F67CE"/>
    <w:rsid w:val="002F67E0"/>
    <w:rsid w:val="002F67F8"/>
    <w:rsid w:val="002F6815"/>
    <w:rsid w:val="002F6868"/>
    <w:rsid w:val="002F68D9"/>
    <w:rsid w:val="002F68F7"/>
    <w:rsid w:val="002F693E"/>
    <w:rsid w:val="002F695F"/>
    <w:rsid w:val="002F6977"/>
    <w:rsid w:val="002F6998"/>
    <w:rsid w:val="002F69AB"/>
    <w:rsid w:val="002F69C4"/>
    <w:rsid w:val="002F69EE"/>
    <w:rsid w:val="002F6A13"/>
    <w:rsid w:val="002F6A3B"/>
    <w:rsid w:val="002F6A3D"/>
    <w:rsid w:val="002F6AA6"/>
    <w:rsid w:val="002F6AFE"/>
    <w:rsid w:val="002F6B12"/>
    <w:rsid w:val="002F6B29"/>
    <w:rsid w:val="002F6B5E"/>
    <w:rsid w:val="002F6BA9"/>
    <w:rsid w:val="002F6BAF"/>
    <w:rsid w:val="002F6BB3"/>
    <w:rsid w:val="002F6BC8"/>
    <w:rsid w:val="002F6C03"/>
    <w:rsid w:val="002F6C35"/>
    <w:rsid w:val="002F6C44"/>
    <w:rsid w:val="002F6C5E"/>
    <w:rsid w:val="002F6C86"/>
    <w:rsid w:val="002F6CEA"/>
    <w:rsid w:val="002F6D0C"/>
    <w:rsid w:val="002F6D10"/>
    <w:rsid w:val="002F6D3F"/>
    <w:rsid w:val="002F6E47"/>
    <w:rsid w:val="002F6EAF"/>
    <w:rsid w:val="002F6EBA"/>
    <w:rsid w:val="002F6F0B"/>
    <w:rsid w:val="002F6F1D"/>
    <w:rsid w:val="002F6F2C"/>
    <w:rsid w:val="002F6F4C"/>
    <w:rsid w:val="002F6F66"/>
    <w:rsid w:val="002F6F84"/>
    <w:rsid w:val="002F6FD1"/>
    <w:rsid w:val="002F6FD2"/>
    <w:rsid w:val="002F7003"/>
    <w:rsid w:val="002F7044"/>
    <w:rsid w:val="002F7051"/>
    <w:rsid w:val="002F7054"/>
    <w:rsid w:val="002F705C"/>
    <w:rsid w:val="002F706D"/>
    <w:rsid w:val="002F7086"/>
    <w:rsid w:val="002F7099"/>
    <w:rsid w:val="002F70E1"/>
    <w:rsid w:val="002F7101"/>
    <w:rsid w:val="002F7102"/>
    <w:rsid w:val="002F711D"/>
    <w:rsid w:val="002F716B"/>
    <w:rsid w:val="002F71B4"/>
    <w:rsid w:val="002F71BC"/>
    <w:rsid w:val="002F721F"/>
    <w:rsid w:val="002F7239"/>
    <w:rsid w:val="002F7263"/>
    <w:rsid w:val="002F7282"/>
    <w:rsid w:val="002F72DA"/>
    <w:rsid w:val="002F72F0"/>
    <w:rsid w:val="002F7338"/>
    <w:rsid w:val="002F734B"/>
    <w:rsid w:val="002F736E"/>
    <w:rsid w:val="002F73A5"/>
    <w:rsid w:val="002F73D8"/>
    <w:rsid w:val="002F73E3"/>
    <w:rsid w:val="002F73E4"/>
    <w:rsid w:val="002F73FA"/>
    <w:rsid w:val="002F73FB"/>
    <w:rsid w:val="002F7432"/>
    <w:rsid w:val="002F7467"/>
    <w:rsid w:val="002F7478"/>
    <w:rsid w:val="002F74B7"/>
    <w:rsid w:val="002F74DD"/>
    <w:rsid w:val="002F750E"/>
    <w:rsid w:val="002F7526"/>
    <w:rsid w:val="002F7565"/>
    <w:rsid w:val="002F756F"/>
    <w:rsid w:val="002F7584"/>
    <w:rsid w:val="002F761D"/>
    <w:rsid w:val="002F764A"/>
    <w:rsid w:val="002F7650"/>
    <w:rsid w:val="002F7655"/>
    <w:rsid w:val="002F767A"/>
    <w:rsid w:val="002F7686"/>
    <w:rsid w:val="002F76A1"/>
    <w:rsid w:val="002F76D5"/>
    <w:rsid w:val="002F7702"/>
    <w:rsid w:val="002F7708"/>
    <w:rsid w:val="002F772E"/>
    <w:rsid w:val="002F774F"/>
    <w:rsid w:val="002F7786"/>
    <w:rsid w:val="002F77A2"/>
    <w:rsid w:val="002F780A"/>
    <w:rsid w:val="002F7840"/>
    <w:rsid w:val="002F7864"/>
    <w:rsid w:val="002F7878"/>
    <w:rsid w:val="002F7885"/>
    <w:rsid w:val="002F7888"/>
    <w:rsid w:val="002F78A1"/>
    <w:rsid w:val="002F78D0"/>
    <w:rsid w:val="002F78DC"/>
    <w:rsid w:val="002F7901"/>
    <w:rsid w:val="002F7908"/>
    <w:rsid w:val="002F7919"/>
    <w:rsid w:val="002F791E"/>
    <w:rsid w:val="002F792A"/>
    <w:rsid w:val="002F792E"/>
    <w:rsid w:val="002F792F"/>
    <w:rsid w:val="002F7930"/>
    <w:rsid w:val="002F7934"/>
    <w:rsid w:val="002F799C"/>
    <w:rsid w:val="002F7A0F"/>
    <w:rsid w:val="002F7A17"/>
    <w:rsid w:val="002F7AF4"/>
    <w:rsid w:val="002F7B04"/>
    <w:rsid w:val="002F7B57"/>
    <w:rsid w:val="002F7BD9"/>
    <w:rsid w:val="002F7C58"/>
    <w:rsid w:val="002F7CA3"/>
    <w:rsid w:val="002F7CD6"/>
    <w:rsid w:val="002F7CEE"/>
    <w:rsid w:val="002F7D01"/>
    <w:rsid w:val="002F7D50"/>
    <w:rsid w:val="002F7D51"/>
    <w:rsid w:val="002F7D53"/>
    <w:rsid w:val="002F7D78"/>
    <w:rsid w:val="002F7D9D"/>
    <w:rsid w:val="002F7DB9"/>
    <w:rsid w:val="002F7DBA"/>
    <w:rsid w:val="002F7E1C"/>
    <w:rsid w:val="002F7E1F"/>
    <w:rsid w:val="002F7E26"/>
    <w:rsid w:val="002F7E5A"/>
    <w:rsid w:val="002F7EE5"/>
    <w:rsid w:val="002F7EF2"/>
    <w:rsid w:val="002F7F32"/>
    <w:rsid w:val="002F7F50"/>
    <w:rsid w:val="002F7F58"/>
    <w:rsid w:val="002F7FAA"/>
    <w:rsid w:val="002F7FB9"/>
    <w:rsid w:val="002FA624"/>
    <w:rsid w:val="00300003"/>
    <w:rsid w:val="0030001B"/>
    <w:rsid w:val="00300021"/>
    <w:rsid w:val="00300026"/>
    <w:rsid w:val="00300075"/>
    <w:rsid w:val="0030008B"/>
    <w:rsid w:val="0030009C"/>
    <w:rsid w:val="003000A4"/>
    <w:rsid w:val="003000C1"/>
    <w:rsid w:val="00300159"/>
    <w:rsid w:val="00300163"/>
    <w:rsid w:val="003001D4"/>
    <w:rsid w:val="003001E8"/>
    <w:rsid w:val="00300215"/>
    <w:rsid w:val="0030021F"/>
    <w:rsid w:val="00300220"/>
    <w:rsid w:val="00300265"/>
    <w:rsid w:val="00300266"/>
    <w:rsid w:val="0030028E"/>
    <w:rsid w:val="003002A5"/>
    <w:rsid w:val="003002B8"/>
    <w:rsid w:val="003002E8"/>
    <w:rsid w:val="0030030C"/>
    <w:rsid w:val="00300326"/>
    <w:rsid w:val="003003EB"/>
    <w:rsid w:val="0030044C"/>
    <w:rsid w:val="00300487"/>
    <w:rsid w:val="00300496"/>
    <w:rsid w:val="003004AE"/>
    <w:rsid w:val="003004C8"/>
    <w:rsid w:val="003004F8"/>
    <w:rsid w:val="00300506"/>
    <w:rsid w:val="00300509"/>
    <w:rsid w:val="00300559"/>
    <w:rsid w:val="0030056B"/>
    <w:rsid w:val="00300583"/>
    <w:rsid w:val="00300587"/>
    <w:rsid w:val="00300591"/>
    <w:rsid w:val="003005AD"/>
    <w:rsid w:val="00300601"/>
    <w:rsid w:val="00300643"/>
    <w:rsid w:val="00300699"/>
    <w:rsid w:val="003006B6"/>
    <w:rsid w:val="003006C4"/>
    <w:rsid w:val="003006D9"/>
    <w:rsid w:val="003006DB"/>
    <w:rsid w:val="003006F5"/>
    <w:rsid w:val="003006FE"/>
    <w:rsid w:val="0030072F"/>
    <w:rsid w:val="0030073B"/>
    <w:rsid w:val="0030074B"/>
    <w:rsid w:val="0030074F"/>
    <w:rsid w:val="00300771"/>
    <w:rsid w:val="00300785"/>
    <w:rsid w:val="0030078C"/>
    <w:rsid w:val="003007E3"/>
    <w:rsid w:val="003007E9"/>
    <w:rsid w:val="00300833"/>
    <w:rsid w:val="00300848"/>
    <w:rsid w:val="0030087A"/>
    <w:rsid w:val="003008D4"/>
    <w:rsid w:val="00300911"/>
    <w:rsid w:val="00300919"/>
    <w:rsid w:val="0030091F"/>
    <w:rsid w:val="00300921"/>
    <w:rsid w:val="0030093D"/>
    <w:rsid w:val="00300982"/>
    <w:rsid w:val="00300984"/>
    <w:rsid w:val="003009CF"/>
    <w:rsid w:val="003009D0"/>
    <w:rsid w:val="00300A08"/>
    <w:rsid w:val="00300A1B"/>
    <w:rsid w:val="00300A57"/>
    <w:rsid w:val="00300A6B"/>
    <w:rsid w:val="00300A77"/>
    <w:rsid w:val="00300A96"/>
    <w:rsid w:val="00300A9D"/>
    <w:rsid w:val="00300AB1"/>
    <w:rsid w:val="00300AB4"/>
    <w:rsid w:val="00300AF9"/>
    <w:rsid w:val="00300B58"/>
    <w:rsid w:val="00300B79"/>
    <w:rsid w:val="00300BA0"/>
    <w:rsid w:val="00300BB5"/>
    <w:rsid w:val="00300BC0"/>
    <w:rsid w:val="00300BD6"/>
    <w:rsid w:val="00300C29"/>
    <w:rsid w:val="00300C3C"/>
    <w:rsid w:val="00300C56"/>
    <w:rsid w:val="00300C81"/>
    <w:rsid w:val="00300D29"/>
    <w:rsid w:val="00300DBD"/>
    <w:rsid w:val="00300E00"/>
    <w:rsid w:val="00300E4C"/>
    <w:rsid w:val="00300E60"/>
    <w:rsid w:val="00300EBA"/>
    <w:rsid w:val="00300EBC"/>
    <w:rsid w:val="00300ECB"/>
    <w:rsid w:val="00300ECF"/>
    <w:rsid w:val="00300F59"/>
    <w:rsid w:val="0030103A"/>
    <w:rsid w:val="003010AD"/>
    <w:rsid w:val="003010B5"/>
    <w:rsid w:val="003010E3"/>
    <w:rsid w:val="003010EE"/>
    <w:rsid w:val="00301103"/>
    <w:rsid w:val="00301123"/>
    <w:rsid w:val="00301128"/>
    <w:rsid w:val="00301131"/>
    <w:rsid w:val="00301148"/>
    <w:rsid w:val="00301164"/>
    <w:rsid w:val="00301197"/>
    <w:rsid w:val="003012A5"/>
    <w:rsid w:val="003012CE"/>
    <w:rsid w:val="003012E5"/>
    <w:rsid w:val="003012EF"/>
    <w:rsid w:val="00301314"/>
    <w:rsid w:val="00301331"/>
    <w:rsid w:val="0030138A"/>
    <w:rsid w:val="00301399"/>
    <w:rsid w:val="0030140A"/>
    <w:rsid w:val="0030144E"/>
    <w:rsid w:val="003014DE"/>
    <w:rsid w:val="003014FD"/>
    <w:rsid w:val="00301569"/>
    <w:rsid w:val="00301575"/>
    <w:rsid w:val="003015A0"/>
    <w:rsid w:val="003015A6"/>
    <w:rsid w:val="003015CD"/>
    <w:rsid w:val="003015D1"/>
    <w:rsid w:val="003015D8"/>
    <w:rsid w:val="003015F9"/>
    <w:rsid w:val="0030161B"/>
    <w:rsid w:val="00301648"/>
    <w:rsid w:val="00301662"/>
    <w:rsid w:val="003016AA"/>
    <w:rsid w:val="003016AE"/>
    <w:rsid w:val="003016B4"/>
    <w:rsid w:val="003016D0"/>
    <w:rsid w:val="003016D7"/>
    <w:rsid w:val="003016DF"/>
    <w:rsid w:val="00301737"/>
    <w:rsid w:val="00301772"/>
    <w:rsid w:val="0030178A"/>
    <w:rsid w:val="003017E1"/>
    <w:rsid w:val="003017E6"/>
    <w:rsid w:val="00301800"/>
    <w:rsid w:val="00301821"/>
    <w:rsid w:val="0030183A"/>
    <w:rsid w:val="0030186F"/>
    <w:rsid w:val="0030187B"/>
    <w:rsid w:val="00301894"/>
    <w:rsid w:val="003018B2"/>
    <w:rsid w:val="003018B5"/>
    <w:rsid w:val="00301919"/>
    <w:rsid w:val="00301923"/>
    <w:rsid w:val="0030192D"/>
    <w:rsid w:val="0030194E"/>
    <w:rsid w:val="003019B8"/>
    <w:rsid w:val="00301A15"/>
    <w:rsid w:val="00301ACF"/>
    <w:rsid w:val="00301BA7"/>
    <w:rsid w:val="00301BCA"/>
    <w:rsid w:val="00301BEA"/>
    <w:rsid w:val="00301C1E"/>
    <w:rsid w:val="00301C7E"/>
    <w:rsid w:val="00301C88"/>
    <w:rsid w:val="00301CEC"/>
    <w:rsid w:val="00301CF7"/>
    <w:rsid w:val="00301D8B"/>
    <w:rsid w:val="00301DA3"/>
    <w:rsid w:val="00301DBE"/>
    <w:rsid w:val="00301E02"/>
    <w:rsid w:val="00301E08"/>
    <w:rsid w:val="00301E33"/>
    <w:rsid w:val="00301E3F"/>
    <w:rsid w:val="00301EA3"/>
    <w:rsid w:val="00301ED5"/>
    <w:rsid w:val="00301F0E"/>
    <w:rsid w:val="00301F1F"/>
    <w:rsid w:val="00301F23"/>
    <w:rsid w:val="00301F27"/>
    <w:rsid w:val="00301F40"/>
    <w:rsid w:val="00301F55"/>
    <w:rsid w:val="00301F77"/>
    <w:rsid w:val="00301F9B"/>
    <w:rsid w:val="00301FC1"/>
    <w:rsid w:val="00301FE8"/>
    <w:rsid w:val="00302001"/>
    <w:rsid w:val="00302027"/>
    <w:rsid w:val="003021A3"/>
    <w:rsid w:val="003021DC"/>
    <w:rsid w:val="003021E9"/>
    <w:rsid w:val="003021EB"/>
    <w:rsid w:val="0030220A"/>
    <w:rsid w:val="00302272"/>
    <w:rsid w:val="0030232D"/>
    <w:rsid w:val="00302361"/>
    <w:rsid w:val="00302375"/>
    <w:rsid w:val="003023A1"/>
    <w:rsid w:val="00302403"/>
    <w:rsid w:val="00302415"/>
    <w:rsid w:val="00302438"/>
    <w:rsid w:val="0030245F"/>
    <w:rsid w:val="00302473"/>
    <w:rsid w:val="0030248D"/>
    <w:rsid w:val="003024BB"/>
    <w:rsid w:val="003024C9"/>
    <w:rsid w:val="003024E5"/>
    <w:rsid w:val="003024EE"/>
    <w:rsid w:val="00302537"/>
    <w:rsid w:val="00302583"/>
    <w:rsid w:val="00302591"/>
    <w:rsid w:val="0030259F"/>
    <w:rsid w:val="003025AD"/>
    <w:rsid w:val="003025B0"/>
    <w:rsid w:val="0030260F"/>
    <w:rsid w:val="00302650"/>
    <w:rsid w:val="0030265C"/>
    <w:rsid w:val="0030268D"/>
    <w:rsid w:val="003026A4"/>
    <w:rsid w:val="003026CD"/>
    <w:rsid w:val="003026DB"/>
    <w:rsid w:val="003026E6"/>
    <w:rsid w:val="00302712"/>
    <w:rsid w:val="00302724"/>
    <w:rsid w:val="0030272E"/>
    <w:rsid w:val="00302749"/>
    <w:rsid w:val="00302796"/>
    <w:rsid w:val="003027F7"/>
    <w:rsid w:val="00302824"/>
    <w:rsid w:val="00302874"/>
    <w:rsid w:val="00302897"/>
    <w:rsid w:val="0030289C"/>
    <w:rsid w:val="003028AA"/>
    <w:rsid w:val="0030290F"/>
    <w:rsid w:val="00302939"/>
    <w:rsid w:val="00302954"/>
    <w:rsid w:val="003029A5"/>
    <w:rsid w:val="003029FD"/>
    <w:rsid w:val="00302A28"/>
    <w:rsid w:val="00302A8A"/>
    <w:rsid w:val="00302AAD"/>
    <w:rsid w:val="00302AB1"/>
    <w:rsid w:val="00302AC1"/>
    <w:rsid w:val="00302AFC"/>
    <w:rsid w:val="00302B20"/>
    <w:rsid w:val="00302B36"/>
    <w:rsid w:val="00302B60"/>
    <w:rsid w:val="00302B89"/>
    <w:rsid w:val="00302BB3"/>
    <w:rsid w:val="00302BBF"/>
    <w:rsid w:val="00302C1E"/>
    <w:rsid w:val="00302C3C"/>
    <w:rsid w:val="00302C4B"/>
    <w:rsid w:val="00302C6D"/>
    <w:rsid w:val="00302C73"/>
    <w:rsid w:val="00302C7A"/>
    <w:rsid w:val="00302D0E"/>
    <w:rsid w:val="00302D7A"/>
    <w:rsid w:val="00302D9A"/>
    <w:rsid w:val="00302DA2"/>
    <w:rsid w:val="00302DC3"/>
    <w:rsid w:val="00302DDD"/>
    <w:rsid w:val="00302DF4"/>
    <w:rsid w:val="00302E33"/>
    <w:rsid w:val="00302E5B"/>
    <w:rsid w:val="00302E65"/>
    <w:rsid w:val="00302E82"/>
    <w:rsid w:val="00302E89"/>
    <w:rsid w:val="00302EA2"/>
    <w:rsid w:val="00302EB2"/>
    <w:rsid w:val="00302F3D"/>
    <w:rsid w:val="00303024"/>
    <w:rsid w:val="0030303F"/>
    <w:rsid w:val="00303046"/>
    <w:rsid w:val="003030B0"/>
    <w:rsid w:val="00303113"/>
    <w:rsid w:val="00303116"/>
    <w:rsid w:val="003031FB"/>
    <w:rsid w:val="00303231"/>
    <w:rsid w:val="00303246"/>
    <w:rsid w:val="00303249"/>
    <w:rsid w:val="0030324E"/>
    <w:rsid w:val="00303258"/>
    <w:rsid w:val="00303294"/>
    <w:rsid w:val="003032EA"/>
    <w:rsid w:val="00303328"/>
    <w:rsid w:val="00303334"/>
    <w:rsid w:val="0030338C"/>
    <w:rsid w:val="00303390"/>
    <w:rsid w:val="003033A1"/>
    <w:rsid w:val="003033C7"/>
    <w:rsid w:val="003033F0"/>
    <w:rsid w:val="0030344A"/>
    <w:rsid w:val="00303476"/>
    <w:rsid w:val="00303480"/>
    <w:rsid w:val="003034A7"/>
    <w:rsid w:val="003034EE"/>
    <w:rsid w:val="003034FA"/>
    <w:rsid w:val="00303501"/>
    <w:rsid w:val="0030353E"/>
    <w:rsid w:val="00303558"/>
    <w:rsid w:val="00303568"/>
    <w:rsid w:val="00303577"/>
    <w:rsid w:val="0030357F"/>
    <w:rsid w:val="00303581"/>
    <w:rsid w:val="0030359C"/>
    <w:rsid w:val="003035DF"/>
    <w:rsid w:val="00303601"/>
    <w:rsid w:val="00303623"/>
    <w:rsid w:val="00303625"/>
    <w:rsid w:val="00303669"/>
    <w:rsid w:val="003036A4"/>
    <w:rsid w:val="003036EE"/>
    <w:rsid w:val="003036EF"/>
    <w:rsid w:val="003036F9"/>
    <w:rsid w:val="00303710"/>
    <w:rsid w:val="00303745"/>
    <w:rsid w:val="0030378B"/>
    <w:rsid w:val="003037D1"/>
    <w:rsid w:val="003037D2"/>
    <w:rsid w:val="003037D5"/>
    <w:rsid w:val="00303867"/>
    <w:rsid w:val="0030388E"/>
    <w:rsid w:val="00303898"/>
    <w:rsid w:val="003038AB"/>
    <w:rsid w:val="003038F2"/>
    <w:rsid w:val="003038F7"/>
    <w:rsid w:val="003038F8"/>
    <w:rsid w:val="0030395F"/>
    <w:rsid w:val="003039C7"/>
    <w:rsid w:val="00303A1C"/>
    <w:rsid w:val="00303A38"/>
    <w:rsid w:val="00303A6A"/>
    <w:rsid w:val="00303A9D"/>
    <w:rsid w:val="00303AD4"/>
    <w:rsid w:val="00303B07"/>
    <w:rsid w:val="00303B22"/>
    <w:rsid w:val="00303B34"/>
    <w:rsid w:val="00303B3B"/>
    <w:rsid w:val="00303B52"/>
    <w:rsid w:val="00303B7B"/>
    <w:rsid w:val="00303BA2"/>
    <w:rsid w:val="00303BB4"/>
    <w:rsid w:val="00303BD6"/>
    <w:rsid w:val="00303BFB"/>
    <w:rsid w:val="00303BFC"/>
    <w:rsid w:val="00303C11"/>
    <w:rsid w:val="00303C6E"/>
    <w:rsid w:val="00303C72"/>
    <w:rsid w:val="00303CA5"/>
    <w:rsid w:val="00303CB9"/>
    <w:rsid w:val="00303CD4"/>
    <w:rsid w:val="00303CED"/>
    <w:rsid w:val="00303CFF"/>
    <w:rsid w:val="00303D36"/>
    <w:rsid w:val="00303D3D"/>
    <w:rsid w:val="00303D51"/>
    <w:rsid w:val="00303DB1"/>
    <w:rsid w:val="00303DDC"/>
    <w:rsid w:val="00303DF6"/>
    <w:rsid w:val="00303E02"/>
    <w:rsid w:val="00303E6B"/>
    <w:rsid w:val="00303E90"/>
    <w:rsid w:val="00303EA2"/>
    <w:rsid w:val="00303EBD"/>
    <w:rsid w:val="00303ED5"/>
    <w:rsid w:val="00303EF8"/>
    <w:rsid w:val="00303F4B"/>
    <w:rsid w:val="00303F67"/>
    <w:rsid w:val="00303F6F"/>
    <w:rsid w:val="00303F80"/>
    <w:rsid w:val="00303FE9"/>
    <w:rsid w:val="00304036"/>
    <w:rsid w:val="00304040"/>
    <w:rsid w:val="00304067"/>
    <w:rsid w:val="003040A5"/>
    <w:rsid w:val="003040DD"/>
    <w:rsid w:val="003040F5"/>
    <w:rsid w:val="00304110"/>
    <w:rsid w:val="0030413E"/>
    <w:rsid w:val="00304149"/>
    <w:rsid w:val="00304157"/>
    <w:rsid w:val="00304163"/>
    <w:rsid w:val="00304187"/>
    <w:rsid w:val="003041B6"/>
    <w:rsid w:val="003041C1"/>
    <w:rsid w:val="003041C6"/>
    <w:rsid w:val="003041D0"/>
    <w:rsid w:val="003041F2"/>
    <w:rsid w:val="00304204"/>
    <w:rsid w:val="0030420D"/>
    <w:rsid w:val="0030424B"/>
    <w:rsid w:val="003042A4"/>
    <w:rsid w:val="003042BA"/>
    <w:rsid w:val="003042D7"/>
    <w:rsid w:val="003042E4"/>
    <w:rsid w:val="00304311"/>
    <w:rsid w:val="00304312"/>
    <w:rsid w:val="00304326"/>
    <w:rsid w:val="0030432F"/>
    <w:rsid w:val="00304337"/>
    <w:rsid w:val="0030434A"/>
    <w:rsid w:val="0030435A"/>
    <w:rsid w:val="0030435F"/>
    <w:rsid w:val="00304365"/>
    <w:rsid w:val="0030436F"/>
    <w:rsid w:val="00304384"/>
    <w:rsid w:val="00304393"/>
    <w:rsid w:val="003043A3"/>
    <w:rsid w:val="003043CC"/>
    <w:rsid w:val="003043DC"/>
    <w:rsid w:val="003043EF"/>
    <w:rsid w:val="003043FD"/>
    <w:rsid w:val="00304443"/>
    <w:rsid w:val="00304483"/>
    <w:rsid w:val="00304489"/>
    <w:rsid w:val="003044B3"/>
    <w:rsid w:val="003044D2"/>
    <w:rsid w:val="003044DE"/>
    <w:rsid w:val="00304571"/>
    <w:rsid w:val="0030457A"/>
    <w:rsid w:val="00304583"/>
    <w:rsid w:val="0030459A"/>
    <w:rsid w:val="003045B9"/>
    <w:rsid w:val="003045CF"/>
    <w:rsid w:val="003045D8"/>
    <w:rsid w:val="00304621"/>
    <w:rsid w:val="00304645"/>
    <w:rsid w:val="00304670"/>
    <w:rsid w:val="00304680"/>
    <w:rsid w:val="003046B6"/>
    <w:rsid w:val="003046EB"/>
    <w:rsid w:val="003046FB"/>
    <w:rsid w:val="0030474C"/>
    <w:rsid w:val="00304751"/>
    <w:rsid w:val="00304760"/>
    <w:rsid w:val="00304782"/>
    <w:rsid w:val="003047A4"/>
    <w:rsid w:val="003047CA"/>
    <w:rsid w:val="0030488B"/>
    <w:rsid w:val="00304897"/>
    <w:rsid w:val="003048B5"/>
    <w:rsid w:val="0030491E"/>
    <w:rsid w:val="00304942"/>
    <w:rsid w:val="00304946"/>
    <w:rsid w:val="0030496B"/>
    <w:rsid w:val="003049DC"/>
    <w:rsid w:val="003049DF"/>
    <w:rsid w:val="003049FB"/>
    <w:rsid w:val="00304A0C"/>
    <w:rsid w:val="00304A55"/>
    <w:rsid w:val="00304A74"/>
    <w:rsid w:val="00304A7D"/>
    <w:rsid w:val="00304A88"/>
    <w:rsid w:val="00304A91"/>
    <w:rsid w:val="00304AA6"/>
    <w:rsid w:val="00304B10"/>
    <w:rsid w:val="00304B2C"/>
    <w:rsid w:val="00304B71"/>
    <w:rsid w:val="00304B7B"/>
    <w:rsid w:val="00304B91"/>
    <w:rsid w:val="00304BA3"/>
    <w:rsid w:val="00304BA9"/>
    <w:rsid w:val="00304C1C"/>
    <w:rsid w:val="00304C1E"/>
    <w:rsid w:val="00304C34"/>
    <w:rsid w:val="00304C51"/>
    <w:rsid w:val="00304C93"/>
    <w:rsid w:val="00304CA9"/>
    <w:rsid w:val="00304CB8"/>
    <w:rsid w:val="00304CE4"/>
    <w:rsid w:val="00304D05"/>
    <w:rsid w:val="00304D13"/>
    <w:rsid w:val="00304D20"/>
    <w:rsid w:val="00304D45"/>
    <w:rsid w:val="00304DA1"/>
    <w:rsid w:val="00304DA7"/>
    <w:rsid w:val="00304DD0"/>
    <w:rsid w:val="00304E39"/>
    <w:rsid w:val="00304EB7"/>
    <w:rsid w:val="00304ED6"/>
    <w:rsid w:val="00304F01"/>
    <w:rsid w:val="00304F4A"/>
    <w:rsid w:val="00304F56"/>
    <w:rsid w:val="00304F67"/>
    <w:rsid w:val="00304F76"/>
    <w:rsid w:val="00304FAB"/>
    <w:rsid w:val="00304FCC"/>
    <w:rsid w:val="0030504D"/>
    <w:rsid w:val="0030505D"/>
    <w:rsid w:val="00305072"/>
    <w:rsid w:val="00305097"/>
    <w:rsid w:val="003050CB"/>
    <w:rsid w:val="003050E6"/>
    <w:rsid w:val="003050F8"/>
    <w:rsid w:val="0030515E"/>
    <w:rsid w:val="003051F8"/>
    <w:rsid w:val="00305211"/>
    <w:rsid w:val="0030522D"/>
    <w:rsid w:val="00305269"/>
    <w:rsid w:val="0030527F"/>
    <w:rsid w:val="00305280"/>
    <w:rsid w:val="00305283"/>
    <w:rsid w:val="00305345"/>
    <w:rsid w:val="0030534C"/>
    <w:rsid w:val="00305398"/>
    <w:rsid w:val="003053A6"/>
    <w:rsid w:val="003053BE"/>
    <w:rsid w:val="003053EB"/>
    <w:rsid w:val="0030544E"/>
    <w:rsid w:val="0030545B"/>
    <w:rsid w:val="00305475"/>
    <w:rsid w:val="00305487"/>
    <w:rsid w:val="003054FC"/>
    <w:rsid w:val="00305516"/>
    <w:rsid w:val="0030551E"/>
    <w:rsid w:val="00305566"/>
    <w:rsid w:val="0030557F"/>
    <w:rsid w:val="0030558F"/>
    <w:rsid w:val="003055B9"/>
    <w:rsid w:val="003055D0"/>
    <w:rsid w:val="00305639"/>
    <w:rsid w:val="0030566D"/>
    <w:rsid w:val="0030567A"/>
    <w:rsid w:val="0030567B"/>
    <w:rsid w:val="003056CC"/>
    <w:rsid w:val="003056F7"/>
    <w:rsid w:val="003057A7"/>
    <w:rsid w:val="003057C3"/>
    <w:rsid w:val="003057CC"/>
    <w:rsid w:val="003057F8"/>
    <w:rsid w:val="00305801"/>
    <w:rsid w:val="0030581D"/>
    <w:rsid w:val="00305821"/>
    <w:rsid w:val="0030582D"/>
    <w:rsid w:val="00305863"/>
    <w:rsid w:val="0030589B"/>
    <w:rsid w:val="003058A1"/>
    <w:rsid w:val="003058D1"/>
    <w:rsid w:val="00305910"/>
    <w:rsid w:val="00305929"/>
    <w:rsid w:val="00305959"/>
    <w:rsid w:val="00305A65"/>
    <w:rsid w:val="00305A7E"/>
    <w:rsid w:val="00305AC4"/>
    <w:rsid w:val="00305ACF"/>
    <w:rsid w:val="00305AE1"/>
    <w:rsid w:val="00305B78"/>
    <w:rsid w:val="00305B95"/>
    <w:rsid w:val="00305B98"/>
    <w:rsid w:val="00305BC7"/>
    <w:rsid w:val="00305BF5"/>
    <w:rsid w:val="00305BF8"/>
    <w:rsid w:val="00305C01"/>
    <w:rsid w:val="00305C08"/>
    <w:rsid w:val="00305C0B"/>
    <w:rsid w:val="00305C15"/>
    <w:rsid w:val="00305C3B"/>
    <w:rsid w:val="00305CA5"/>
    <w:rsid w:val="00305CBF"/>
    <w:rsid w:val="00305D17"/>
    <w:rsid w:val="00305D53"/>
    <w:rsid w:val="00305DE8"/>
    <w:rsid w:val="00305DF4"/>
    <w:rsid w:val="00305E32"/>
    <w:rsid w:val="00305E74"/>
    <w:rsid w:val="00305EC1"/>
    <w:rsid w:val="00305EDA"/>
    <w:rsid w:val="00305F02"/>
    <w:rsid w:val="00305F3D"/>
    <w:rsid w:val="00305F41"/>
    <w:rsid w:val="00305F4C"/>
    <w:rsid w:val="00305F60"/>
    <w:rsid w:val="00305F77"/>
    <w:rsid w:val="00305F78"/>
    <w:rsid w:val="00305F9C"/>
    <w:rsid w:val="00306012"/>
    <w:rsid w:val="00306042"/>
    <w:rsid w:val="0030604A"/>
    <w:rsid w:val="0030604D"/>
    <w:rsid w:val="00306050"/>
    <w:rsid w:val="003060C1"/>
    <w:rsid w:val="0030610E"/>
    <w:rsid w:val="003061F2"/>
    <w:rsid w:val="003061F9"/>
    <w:rsid w:val="00306224"/>
    <w:rsid w:val="00306232"/>
    <w:rsid w:val="00306244"/>
    <w:rsid w:val="00306289"/>
    <w:rsid w:val="003062C3"/>
    <w:rsid w:val="003062DC"/>
    <w:rsid w:val="003062F9"/>
    <w:rsid w:val="0030632C"/>
    <w:rsid w:val="0030638A"/>
    <w:rsid w:val="0030639B"/>
    <w:rsid w:val="003063B8"/>
    <w:rsid w:val="003063C9"/>
    <w:rsid w:val="003063EC"/>
    <w:rsid w:val="003063F6"/>
    <w:rsid w:val="003063FE"/>
    <w:rsid w:val="00306407"/>
    <w:rsid w:val="00306458"/>
    <w:rsid w:val="0030647D"/>
    <w:rsid w:val="00306499"/>
    <w:rsid w:val="003064A9"/>
    <w:rsid w:val="003064EE"/>
    <w:rsid w:val="0030650C"/>
    <w:rsid w:val="00306573"/>
    <w:rsid w:val="00306577"/>
    <w:rsid w:val="0030657F"/>
    <w:rsid w:val="00306587"/>
    <w:rsid w:val="003065A2"/>
    <w:rsid w:val="003065B9"/>
    <w:rsid w:val="003065C6"/>
    <w:rsid w:val="003065CC"/>
    <w:rsid w:val="0030661F"/>
    <w:rsid w:val="00306646"/>
    <w:rsid w:val="003066FB"/>
    <w:rsid w:val="00306715"/>
    <w:rsid w:val="0030673D"/>
    <w:rsid w:val="0030675A"/>
    <w:rsid w:val="00306789"/>
    <w:rsid w:val="003067B2"/>
    <w:rsid w:val="003067E4"/>
    <w:rsid w:val="003067ED"/>
    <w:rsid w:val="0030683C"/>
    <w:rsid w:val="00306883"/>
    <w:rsid w:val="00306884"/>
    <w:rsid w:val="00306888"/>
    <w:rsid w:val="00306914"/>
    <w:rsid w:val="00306915"/>
    <w:rsid w:val="00306996"/>
    <w:rsid w:val="003069B0"/>
    <w:rsid w:val="003069C1"/>
    <w:rsid w:val="003069C5"/>
    <w:rsid w:val="003069FF"/>
    <w:rsid w:val="00306A1E"/>
    <w:rsid w:val="00306A4E"/>
    <w:rsid w:val="00306A94"/>
    <w:rsid w:val="00306A95"/>
    <w:rsid w:val="00306AAD"/>
    <w:rsid w:val="00306AAF"/>
    <w:rsid w:val="00306AB9"/>
    <w:rsid w:val="00306ABB"/>
    <w:rsid w:val="00306AC8"/>
    <w:rsid w:val="00306BA5"/>
    <w:rsid w:val="00306BAB"/>
    <w:rsid w:val="00306BAD"/>
    <w:rsid w:val="00306C46"/>
    <w:rsid w:val="00306C76"/>
    <w:rsid w:val="00306C7A"/>
    <w:rsid w:val="00306C91"/>
    <w:rsid w:val="00306CA4"/>
    <w:rsid w:val="00306CAC"/>
    <w:rsid w:val="00306CCD"/>
    <w:rsid w:val="00306CEC"/>
    <w:rsid w:val="00306D3B"/>
    <w:rsid w:val="00306D5C"/>
    <w:rsid w:val="00306D65"/>
    <w:rsid w:val="00306DC1"/>
    <w:rsid w:val="00306DDA"/>
    <w:rsid w:val="00306DDC"/>
    <w:rsid w:val="00306DEF"/>
    <w:rsid w:val="00306E0F"/>
    <w:rsid w:val="00306E54"/>
    <w:rsid w:val="00306E76"/>
    <w:rsid w:val="00306E7A"/>
    <w:rsid w:val="00306EA9"/>
    <w:rsid w:val="00306EB5"/>
    <w:rsid w:val="00306F09"/>
    <w:rsid w:val="00306F22"/>
    <w:rsid w:val="00306F36"/>
    <w:rsid w:val="00306F5D"/>
    <w:rsid w:val="00306FA4"/>
    <w:rsid w:val="00306FDC"/>
    <w:rsid w:val="00307038"/>
    <w:rsid w:val="003070BD"/>
    <w:rsid w:val="003070D8"/>
    <w:rsid w:val="003070E0"/>
    <w:rsid w:val="003070E8"/>
    <w:rsid w:val="0030717C"/>
    <w:rsid w:val="00307199"/>
    <w:rsid w:val="003071DD"/>
    <w:rsid w:val="00307216"/>
    <w:rsid w:val="0030728F"/>
    <w:rsid w:val="003072CA"/>
    <w:rsid w:val="00307328"/>
    <w:rsid w:val="0030736C"/>
    <w:rsid w:val="003073A9"/>
    <w:rsid w:val="0030741F"/>
    <w:rsid w:val="0030745E"/>
    <w:rsid w:val="003074AB"/>
    <w:rsid w:val="0030752F"/>
    <w:rsid w:val="00307548"/>
    <w:rsid w:val="00307571"/>
    <w:rsid w:val="00307574"/>
    <w:rsid w:val="00307609"/>
    <w:rsid w:val="0030760F"/>
    <w:rsid w:val="00307619"/>
    <w:rsid w:val="00307685"/>
    <w:rsid w:val="00307696"/>
    <w:rsid w:val="0030769E"/>
    <w:rsid w:val="003076EF"/>
    <w:rsid w:val="003076F6"/>
    <w:rsid w:val="00307738"/>
    <w:rsid w:val="0030774A"/>
    <w:rsid w:val="0030774E"/>
    <w:rsid w:val="00307779"/>
    <w:rsid w:val="003077F9"/>
    <w:rsid w:val="00307822"/>
    <w:rsid w:val="00307881"/>
    <w:rsid w:val="003078BD"/>
    <w:rsid w:val="003078DB"/>
    <w:rsid w:val="003078F3"/>
    <w:rsid w:val="00307921"/>
    <w:rsid w:val="00307944"/>
    <w:rsid w:val="0030794E"/>
    <w:rsid w:val="0030797D"/>
    <w:rsid w:val="003079B8"/>
    <w:rsid w:val="003079E8"/>
    <w:rsid w:val="003079F9"/>
    <w:rsid w:val="00307A2E"/>
    <w:rsid w:val="00307A53"/>
    <w:rsid w:val="00307A9F"/>
    <w:rsid w:val="00307AAB"/>
    <w:rsid w:val="00307AB2"/>
    <w:rsid w:val="00307AC9"/>
    <w:rsid w:val="00307AE6"/>
    <w:rsid w:val="00307AF2"/>
    <w:rsid w:val="00307B09"/>
    <w:rsid w:val="00307B27"/>
    <w:rsid w:val="00307B8B"/>
    <w:rsid w:val="00307BCF"/>
    <w:rsid w:val="00307C0A"/>
    <w:rsid w:val="00307C87"/>
    <w:rsid w:val="00307CBA"/>
    <w:rsid w:val="00307D15"/>
    <w:rsid w:val="00307D1E"/>
    <w:rsid w:val="00307D48"/>
    <w:rsid w:val="00307D6F"/>
    <w:rsid w:val="00307D91"/>
    <w:rsid w:val="00307DE2"/>
    <w:rsid w:val="00307E05"/>
    <w:rsid w:val="00307E0B"/>
    <w:rsid w:val="00307E19"/>
    <w:rsid w:val="00307E22"/>
    <w:rsid w:val="00307E42"/>
    <w:rsid w:val="00307EA1"/>
    <w:rsid w:val="00307EB6"/>
    <w:rsid w:val="00307EB8"/>
    <w:rsid w:val="00307F6A"/>
    <w:rsid w:val="00307FB4"/>
    <w:rsid w:val="0030C432"/>
    <w:rsid w:val="0030D2C5"/>
    <w:rsid w:val="0030E021"/>
    <w:rsid w:val="00310001"/>
    <w:rsid w:val="00310090"/>
    <w:rsid w:val="00310092"/>
    <w:rsid w:val="00310099"/>
    <w:rsid w:val="003100B1"/>
    <w:rsid w:val="003100EA"/>
    <w:rsid w:val="00310106"/>
    <w:rsid w:val="00310129"/>
    <w:rsid w:val="0031012D"/>
    <w:rsid w:val="00310142"/>
    <w:rsid w:val="00310156"/>
    <w:rsid w:val="0031019E"/>
    <w:rsid w:val="003101D6"/>
    <w:rsid w:val="003101F4"/>
    <w:rsid w:val="003101FD"/>
    <w:rsid w:val="0031020B"/>
    <w:rsid w:val="0031020C"/>
    <w:rsid w:val="00310249"/>
    <w:rsid w:val="0031026B"/>
    <w:rsid w:val="0031028C"/>
    <w:rsid w:val="003102AC"/>
    <w:rsid w:val="003102C1"/>
    <w:rsid w:val="003102CB"/>
    <w:rsid w:val="003102DC"/>
    <w:rsid w:val="0031030D"/>
    <w:rsid w:val="0031030E"/>
    <w:rsid w:val="0031032C"/>
    <w:rsid w:val="00310343"/>
    <w:rsid w:val="0031036C"/>
    <w:rsid w:val="003103B6"/>
    <w:rsid w:val="00310450"/>
    <w:rsid w:val="00310470"/>
    <w:rsid w:val="00310474"/>
    <w:rsid w:val="00310488"/>
    <w:rsid w:val="00310490"/>
    <w:rsid w:val="00310495"/>
    <w:rsid w:val="0031049C"/>
    <w:rsid w:val="003104B4"/>
    <w:rsid w:val="003104BA"/>
    <w:rsid w:val="00310523"/>
    <w:rsid w:val="00310580"/>
    <w:rsid w:val="0031059E"/>
    <w:rsid w:val="003105D2"/>
    <w:rsid w:val="003105E5"/>
    <w:rsid w:val="0031062F"/>
    <w:rsid w:val="0031064A"/>
    <w:rsid w:val="003106AB"/>
    <w:rsid w:val="003106B8"/>
    <w:rsid w:val="00310728"/>
    <w:rsid w:val="0031073C"/>
    <w:rsid w:val="00310741"/>
    <w:rsid w:val="003107AF"/>
    <w:rsid w:val="003107B0"/>
    <w:rsid w:val="003107DC"/>
    <w:rsid w:val="003107EE"/>
    <w:rsid w:val="00310823"/>
    <w:rsid w:val="0031083A"/>
    <w:rsid w:val="0031087A"/>
    <w:rsid w:val="0031088D"/>
    <w:rsid w:val="003108AE"/>
    <w:rsid w:val="003108BE"/>
    <w:rsid w:val="003108C6"/>
    <w:rsid w:val="003108CF"/>
    <w:rsid w:val="00310935"/>
    <w:rsid w:val="00310949"/>
    <w:rsid w:val="0031094F"/>
    <w:rsid w:val="003109BA"/>
    <w:rsid w:val="003109F0"/>
    <w:rsid w:val="003109FC"/>
    <w:rsid w:val="00310A28"/>
    <w:rsid w:val="00310A33"/>
    <w:rsid w:val="00310A90"/>
    <w:rsid w:val="00310A9F"/>
    <w:rsid w:val="00310AD3"/>
    <w:rsid w:val="00310ADF"/>
    <w:rsid w:val="00310B47"/>
    <w:rsid w:val="00310BDA"/>
    <w:rsid w:val="00310C41"/>
    <w:rsid w:val="00310C67"/>
    <w:rsid w:val="00310CA4"/>
    <w:rsid w:val="00310CCB"/>
    <w:rsid w:val="00310CE9"/>
    <w:rsid w:val="00310CF2"/>
    <w:rsid w:val="00310D3B"/>
    <w:rsid w:val="00310D7F"/>
    <w:rsid w:val="00310DB2"/>
    <w:rsid w:val="00310DBE"/>
    <w:rsid w:val="00310E1B"/>
    <w:rsid w:val="00310E3A"/>
    <w:rsid w:val="00310E44"/>
    <w:rsid w:val="00310E8F"/>
    <w:rsid w:val="00310E9F"/>
    <w:rsid w:val="00310EC6"/>
    <w:rsid w:val="00310EFF"/>
    <w:rsid w:val="00310F21"/>
    <w:rsid w:val="00310F4A"/>
    <w:rsid w:val="00310F9C"/>
    <w:rsid w:val="00310FBE"/>
    <w:rsid w:val="00310FE3"/>
    <w:rsid w:val="00310FF0"/>
    <w:rsid w:val="00311028"/>
    <w:rsid w:val="00311089"/>
    <w:rsid w:val="00311118"/>
    <w:rsid w:val="0031115E"/>
    <w:rsid w:val="00311175"/>
    <w:rsid w:val="0031118E"/>
    <w:rsid w:val="003111A2"/>
    <w:rsid w:val="003111CD"/>
    <w:rsid w:val="003111D9"/>
    <w:rsid w:val="003111DE"/>
    <w:rsid w:val="00311224"/>
    <w:rsid w:val="0031123F"/>
    <w:rsid w:val="00311241"/>
    <w:rsid w:val="0031125F"/>
    <w:rsid w:val="003112A9"/>
    <w:rsid w:val="00311301"/>
    <w:rsid w:val="00311307"/>
    <w:rsid w:val="00311311"/>
    <w:rsid w:val="00311352"/>
    <w:rsid w:val="003113BD"/>
    <w:rsid w:val="0031142A"/>
    <w:rsid w:val="00311430"/>
    <w:rsid w:val="00311473"/>
    <w:rsid w:val="00311486"/>
    <w:rsid w:val="00311492"/>
    <w:rsid w:val="00311497"/>
    <w:rsid w:val="003114BC"/>
    <w:rsid w:val="003114C9"/>
    <w:rsid w:val="003114CE"/>
    <w:rsid w:val="003114EC"/>
    <w:rsid w:val="0031150C"/>
    <w:rsid w:val="00311512"/>
    <w:rsid w:val="0031158B"/>
    <w:rsid w:val="003115BE"/>
    <w:rsid w:val="003115C1"/>
    <w:rsid w:val="003115DF"/>
    <w:rsid w:val="0031160E"/>
    <w:rsid w:val="0031163D"/>
    <w:rsid w:val="00311649"/>
    <w:rsid w:val="00311689"/>
    <w:rsid w:val="00311749"/>
    <w:rsid w:val="0031176B"/>
    <w:rsid w:val="00311781"/>
    <w:rsid w:val="00311792"/>
    <w:rsid w:val="00311829"/>
    <w:rsid w:val="003118CF"/>
    <w:rsid w:val="0031192A"/>
    <w:rsid w:val="003119B6"/>
    <w:rsid w:val="003119E7"/>
    <w:rsid w:val="00311A4D"/>
    <w:rsid w:val="00311A53"/>
    <w:rsid w:val="00311A84"/>
    <w:rsid w:val="00311A86"/>
    <w:rsid w:val="00311A8D"/>
    <w:rsid w:val="00311AB2"/>
    <w:rsid w:val="00311AD5"/>
    <w:rsid w:val="00311AD9"/>
    <w:rsid w:val="00311ADB"/>
    <w:rsid w:val="00311AF7"/>
    <w:rsid w:val="00311B06"/>
    <w:rsid w:val="00311B11"/>
    <w:rsid w:val="00311B3A"/>
    <w:rsid w:val="00311BBE"/>
    <w:rsid w:val="00311BDC"/>
    <w:rsid w:val="00311BEA"/>
    <w:rsid w:val="00311C1B"/>
    <w:rsid w:val="00311C3B"/>
    <w:rsid w:val="00311C68"/>
    <w:rsid w:val="00311CAA"/>
    <w:rsid w:val="00311CD2"/>
    <w:rsid w:val="00311D2D"/>
    <w:rsid w:val="00311D5D"/>
    <w:rsid w:val="00311D69"/>
    <w:rsid w:val="00311DB5"/>
    <w:rsid w:val="00311DBB"/>
    <w:rsid w:val="00311DD2"/>
    <w:rsid w:val="00311E80"/>
    <w:rsid w:val="00311E8E"/>
    <w:rsid w:val="00311F04"/>
    <w:rsid w:val="00311F25"/>
    <w:rsid w:val="00311F84"/>
    <w:rsid w:val="00311F88"/>
    <w:rsid w:val="00311FA1"/>
    <w:rsid w:val="00311FE0"/>
    <w:rsid w:val="00311FE4"/>
    <w:rsid w:val="00311FF0"/>
    <w:rsid w:val="00311FF3"/>
    <w:rsid w:val="0031202C"/>
    <w:rsid w:val="0031205E"/>
    <w:rsid w:val="00312065"/>
    <w:rsid w:val="00312084"/>
    <w:rsid w:val="00312090"/>
    <w:rsid w:val="003120D0"/>
    <w:rsid w:val="003120D5"/>
    <w:rsid w:val="0031210A"/>
    <w:rsid w:val="00312114"/>
    <w:rsid w:val="00312130"/>
    <w:rsid w:val="0031216A"/>
    <w:rsid w:val="0031217C"/>
    <w:rsid w:val="00312194"/>
    <w:rsid w:val="0031219F"/>
    <w:rsid w:val="0031220A"/>
    <w:rsid w:val="00312212"/>
    <w:rsid w:val="0031222D"/>
    <w:rsid w:val="003122CA"/>
    <w:rsid w:val="00312304"/>
    <w:rsid w:val="0031232A"/>
    <w:rsid w:val="00312350"/>
    <w:rsid w:val="003123CA"/>
    <w:rsid w:val="003123FB"/>
    <w:rsid w:val="0031240E"/>
    <w:rsid w:val="0031241E"/>
    <w:rsid w:val="00312436"/>
    <w:rsid w:val="00312438"/>
    <w:rsid w:val="0031245C"/>
    <w:rsid w:val="0031246A"/>
    <w:rsid w:val="00312474"/>
    <w:rsid w:val="0031247E"/>
    <w:rsid w:val="00312489"/>
    <w:rsid w:val="003124BC"/>
    <w:rsid w:val="003124FF"/>
    <w:rsid w:val="00312500"/>
    <w:rsid w:val="00312512"/>
    <w:rsid w:val="00312552"/>
    <w:rsid w:val="00312567"/>
    <w:rsid w:val="00312576"/>
    <w:rsid w:val="00312582"/>
    <w:rsid w:val="00312604"/>
    <w:rsid w:val="0031262A"/>
    <w:rsid w:val="00312642"/>
    <w:rsid w:val="00312644"/>
    <w:rsid w:val="00312664"/>
    <w:rsid w:val="0031268B"/>
    <w:rsid w:val="003126A6"/>
    <w:rsid w:val="003126B7"/>
    <w:rsid w:val="003126C2"/>
    <w:rsid w:val="00312713"/>
    <w:rsid w:val="00312719"/>
    <w:rsid w:val="0031271F"/>
    <w:rsid w:val="00312720"/>
    <w:rsid w:val="00312724"/>
    <w:rsid w:val="00312739"/>
    <w:rsid w:val="0031273C"/>
    <w:rsid w:val="0031274C"/>
    <w:rsid w:val="00312780"/>
    <w:rsid w:val="003127CB"/>
    <w:rsid w:val="003127F4"/>
    <w:rsid w:val="00312857"/>
    <w:rsid w:val="003128E5"/>
    <w:rsid w:val="00312907"/>
    <w:rsid w:val="0031290C"/>
    <w:rsid w:val="00312936"/>
    <w:rsid w:val="00312946"/>
    <w:rsid w:val="00312984"/>
    <w:rsid w:val="003129E5"/>
    <w:rsid w:val="00312A7C"/>
    <w:rsid w:val="00312A7F"/>
    <w:rsid w:val="00312A8E"/>
    <w:rsid w:val="00312AA5"/>
    <w:rsid w:val="00312AB8"/>
    <w:rsid w:val="00312AD5"/>
    <w:rsid w:val="00312ADF"/>
    <w:rsid w:val="00312AE2"/>
    <w:rsid w:val="00312B13"/>
    <w:rsid w:val="00312B47"/>
    <w:rsid w:val="00312B82"/>
    <w:rsid w:val="00312BAE"/>
    <w:rsid w:val="00312BF1"/>
    <w:rsid w:val="00312C10"/>
    <w:rsid w:val="00312C14"/>
    <w:rsid w:val="00312C2E"/>
    <w:rsid w:val="00312C46"/>
    <w:rsid w:val="00312C6B"/>
    <w:rsid w:val="00312C9E"/>
    <w:rsid w:val="00312CB1"/>
    <w:rsid w:val="00312CDD"/>
    <w:rsid w:val="00312D16"/>
    <w:rsid w:val="00312D27"/>
    <w:rsid w:val="00312D4C"/>
    <w:rsid w:val="00312DD9"/>
    <w:rsid w:val="00312E47"/>
    <w:rsid w:val="00312E63"/>
    <w:rsid w:val="00312E67"/>
    <w:rsid w:val="00312E77"/>
    <w:rsid w:val="00312EA3"/>
    <w:rsid w:val="00312EE7"/>
    <w:rsid w:val="00312F7A"/>
    <w:rsid w:val="00312F83"/>
    <w:rsid w:val="00312F86"/>
    <w:rsid w:val="00312FE8"/>
    <w:rsid w:val="00312FEB"/>
    <w:rsid w:val="00313016"/>
    <w:rsid w:val="00313062"/>
    <w:rsid w:val="003130A7"/>
    <w:rsid w:val="003130DF"/>
    <w:rsid w:val="003130EF"/>
    <w:rsid w:val="00313101"/>
    <w:rsid w:val="0031317B"/>
    <w:rsid w:val="0031319C"/>
    <w:rsid w:val="003131F3"/>
    <w:rsid w:val="003132E5"/>
    <w:rsid w:val="00313307"/>
    <w:rsid w:val="0031330E"/>
    <w:rsid w:val="00313326"/>
    <w:rsid w:val="00313333"/>
    <w:rsid w:val="00313371"/>
    <w:rsid w:val="00313387"/>
    <w:rsid w:val="003133C3"/>
    <w:rsid w:val="00313400"/>
    <w:rsid w:val="0031340D"/>
    <w:rsid w:val="00313424"/>
    <w:rsid w:val="003134A8"/>
    <w:rsid w:val="003134BC"/>
    <w:rsid w:val="00313530"/>
    <w:rsid w:val="0031355C"/>
    <w:rsid w:val="00313611"/>
    <w:rsid w:val="00313649"/>
    <w:rsid w:val="00313666"/>
    <w:rsid w:val="0031369E"/>
    <w:rsid w:val="003136D9"/>
    <w:rsid w:val="00313710"/>
    <w:rsid w:val="00313711"/>
    <w:rsid w:val="00313751"/>
    <w:rsid w:val="00313781"/>
    <w:rsid w:val="003137A9"/>
    <w:rsid w:val="003137EB"/>
    <w:rsid w:val="00313807"/>
    <w:rsid w:val="00313819"/>
    <w:rsid w:val="0031382B"/>
    <w:rsid w:val="0031382C"/>
    <w:rsid w:val="00313842"/>
    <w:rsid w:val="003138DC"/>
    <w:rsid w:val="00313937"/>
    <w:rsid w:val="00313997"/>
    <w:rsid w:val="00313998"/>
    <w:rsid w:val="003139DA"/>
    <w:rsid w:val="00313A39"/>
    <w:rsid w:val="00313AA4"/>
    <w:rsid w:val="00313ABA"/>
    <w:rsid w:val="00313AD9"/>
    <w:rsid w:val="00313B12"/>
    <w:rsid w:val="00313B22"/>
    <w:rsid w:val="00313B48"/>
    <w:rsid w:val="00313B64"/>
    <w:rsid w:val="00313B90"/>
    <w:rsid w:val="00313B97"/>
    <w:rsid w:val="00313BFC"/>
    <w:rsid w:val="00313C12"/>
    <w:rsid w:val="00313C28"/>
    <w:rsid w:val="00313C40"/>
    <w:rsid w:val="00313C47"/>
    <w:rsid w:val="00313C5C"/>
    <w:rsid w:val="00313CC3"/>
    <w:rsid w:val="00313CD1"/>
    <w:rsid w:val="00313D1D"/>
    <w:rsid w:val="00313D4F"/>
    <w:rsid w:val="00313D9B"/>
    <w:rsid w:val="00313DFE"/>
    <w:rsid w:val="00313E23"/>
    <w:rsid w:val="00313E41"/>
    <w:rsid w:val="00313E43"/>
    <w:rsid w:val="00313E8B"/>
    <w:rsid w:val="00313EC7"/>
    <w:rsid w:val="00313ED4"/>
    <w:rsid w:val="00313F35"/>
    <w:rsid w:val="00313F88"/>
    <w:rsid w:val="0031400B"/>
    <w:rsid w:val="00314063"/>
    <w:rsid w:val="003140B8"/>
    <w:rsid w:val="003140CF"/>
    <w:rsid w:val="00314101"/>
    <w:rsid w:val="00314114"/>
    <w:rsid w:val="0031411F"/>
    <w:rsid w:val="00314150"/>
    <w:rsid w:val="0031415E"/>
    <w:rsid w:val="00314180"/>
    <w:rsid w:val="003141C9"/>
    <w:rsid w:val="0031421D"/>
    <w:rsid w:val="00314227"/>
    <w:rsid w:val="003142EF"/>
    <w:rsid w:val="00314327"/>
    <w:rsid w:val="0031435E"/>
    <w:rsid w:val="003143AF"/>
    <w:rsid w:val="003143C0"/>
    <w:rsid w:val="003143F8"/>
    <w:rsid w:val="0031442F"/>
    <w:rsid w:val="0031443C"/>
    <w:rsid w:val="00314444"/>
    <w:rsid w:val="0031449C"/>
    <w:rsid w:val="003144A6"/>
    <w:rsid w:val="003144B6"/>
    <w:rsid w:val="003144EF"/>
    <w:rsid w:val="0031457E"/>
    <w:rsid w:val="003145A7"/>
    <w:rsid w:val="003145B2"/>
    <w:rsid w:val="003145BF"/>
    <w:rsid w:val="003145C6"/>
    <w:rsid w:val="003145CA"/>
    <w:rsid w:val="003145EE"/>
    <w:rsid w:val="00314632"/>
    <w:rsid w:val="0031463D"/>
    <w:rsid w:val="00314641"/>
    <w:rsid w:val="00314656"/>
    <w:rsid w:val="00314662"/>
    <w:rsid w:val="00314695"/>
    <w:rsid w:val="003146A0"/>
    <w:rsid w:val="003146F9"/>
    <w:rsid w:val="0031471A"/>
    <w:rsid w:val="00314728"/>
    <w:rsid w:val="00314730"/>
    <w:rsid w:val="0031473F"/>
    <w:rsid w:val="0031475C"/>
    <w:rsid w:val="0031475D"/>
    <w:rsid w:val="00314773"/>
    <w:rsid w:val="0031478E"/>
    <w:rsid w:val="00314837"/>
    <w:rsid w:val="003148B6"/>
    <w:rsid w:val="003148D4"/>
    <w:rsid w:val="0031497B"/>
    <w:rsid w:val="0031498D"/>
    <w:rsid w:val="0031498E"/>
    <w:rsid w:val="003149B8"/>
    <w:rsid w:val="003149EB"/>
    <w:rsid w:val="00314A40"/>
    <w:rsid w:val="00314A8B"/>
    <w:rsid w:val="00314AA4"/>
    <w:rsid w:val="00314AC0"/>
    <w:rsid w:val="00314B30"/>
    <w:rsid w:val="00314B53"/>
    <w:rsid w:val="00314BF7"/>
    <w:rsid w:val="00314C05"/>
    <w:rsid w:val="00314C22"/>
    <w:rsid w:val="00314C52"/>
    <w:rsid w:val="00314C54"/>
    <w:rsid w:val="00314C5E"/>
    <w:rsid w:val="00314C89"/>
    <w:rsid w:val="00314CF2"/>
    <w:rsid w:val="00314CF3"/>
    <w:rsid w:val="00314D1A"/>
    <w:rsid w:val="00314D22"/>
    <w:rsid w:val="00314D89"/>
    <w:rsid w:val="00314D97"/>
    <w:rsid w:val="00314E2F"/>
    <w:rsid w:val="00314E6A"/>
    <w:rsid w:val="00314E79"/>
    <w:rsid w:val="00314E92"/>
    <w:rsid w:val="00314EED"/>
    <w:rsid w:val="00314EF4"/>
    <w:rsid w:val="00314F07"/>
    <w:rsid w:val="00314F0E"/>
    <w:rsid w:val="00314F19"/>
    <w:rsid w:val="00314F21"/>
    <w:rsid w:val="00314F95"/>
    <w:rsid w:val="00314FE8"/>
    <w:rsid w:val="00314FED"/>
    <w:rsid w:val="00314FF4"/>
    <w:rsid w:val="0031501C"/>
    <w:rsid w:val="00315025"/>
    <w:rsid w:val="00315028"/>
    <w:rsid w:val="00315082"/>
    <w:rsid w:val="0031508F"/>
    <w:rsid w:val="003150E8"/>
    <w:rsid w:val="00315195"/>
    <w:rsid w:val="003151A9"/>
    <w:rsid w:val="00315222"/>
    <w:rsid w:val="003152AA"/>
    <w:rsid w:val="0031531F"/>
    <w:rsid w:val="0031534A"/>
    <w:rsid w:val="0031535F"/>
    <w:rsid w:val="003153B8"/>
    <w:rsid w:val="003153D2"/>
    <w:rsid w:val="003153E9"/>
    <w:rsid w:val="00315404"/>
    <w:rsid w:val="00315408"/>
    <w:rsid w:val="00315416"/>
    <w:rsid w:val="00315449"/>
    <w:rsid w:val="0031546A"/>
    <w:rsid w:val="00315476"/>
    <w:rsid w:val="00315482"/>
    <w:rsid w:val="00315512"/>
    <w:rsid w:val="00315551"/>
    <w:rsid w:val="003155AA"/>
    <w:rsid w:val="003155ED"/>
    <w:rsid w:val="0031563F"/>
    <w:rsid w:val="003156C0"/>
    <w:rsid w:val="0031577F"/>
    <w:rsid w:val="00315784"/>
    <w:rsid w:val="00315789"/>
    <w:rsid w:val="003157CA"/>
    <w:rsid w:val="00315838"/>
    <w:rsid w:val="0031586C"/>
    <w:rsid w:val="00315897"/>
    <w:rsid w:val="00315920"/>
    <w:rsid w:val="0031592E"/>
    <w:rsid w:val="00315934"/>
    <w:rsid w:val="00315955"/>
    <w:rsid w:val="003159E6"/>
    <w:rsid w:val="003159EA"/>
    <w:rsid w:val="003159ED"/>
    <w:rsid w:val="00315A57"/>
    <w:rsid w:val="00315A64"/>
    <w:rsid w:val="00315A76"/>
    <w:rsid w:val="00315A8C"/>
    <w:rsid w:val="00315ACF"/>
    <w:rsid w:val="00315B1C"/>
    <w:rsid w:val="00315B85"/>
    <w:rsid w:val="00315C59"/>
    <w:rsid w:val="00315C80"/>
    <w:rsid w:val="00315D01"/>
    <w:rsid w:val="00315D21"/>
    <w:rsid w:val="00315D22"/>
    <w:rsid w:val="00315D4D"/>
    <w:rsid w:val="00315D5C"/>
    <w:rsid w:val="00315D62"/>
    <w:rsid w:val="00315D99"/>
    <w:rsid w:val="00315DA2"/>
    <w:rsid w:val="00315E4B"/>
    <w:rsid w:val="00315E73"/>
    <w:rsid w:val="00315EF5"/>
    <w:rsid w:val="00315F16"/>
    <w:rsid w:val="00315F35"/>
    <w:rsid w:val="00315F3E"/>
    <w:rsid w:val="00315F5C"/>
    <w:rsid w:val="00315F7C"/>
    <w:rsid w:val="00315FB0"/>
    <w:rsid w:val="00316003"/>
    <w:rsid w:val="0031600B"/>
    <w:rsid w:val="00316013"/>
    <w:rsid w:val="00316039"/>
    <w:rsid w:val="00316095"/>
    <w:rsid w:val="003160FD"/>
    <w:rsid w:val="00316107"/>
    <w:rsid w:val="00316148"/>
    <w:rsid w:val="00316167"/>
    <w:rsid w:val="0031617C"/>
    <w:rsid w:val="0031617E"/>
    <w:rsid w:val="003161CE"/>
    <w:rsid w:val="0031621C"/>
    <w:rsid w:val="0031624A"/>
    <w:rsid w:val="0031624E"/>
    <w:rsid w:val="00316250"/>
    <w:rsid w:val="00316259"/>
    <w:rsid w:val="00316269"/>
    <w:rsid w:val="003162C1"/>
    <w:rsid w:val="003162DB"/>
    <w:rsid w:val="003162DC"/>
    <w:rsid w:val="003162E2"/>
    <w:rsid w:val="00316310"/>
    <w:rsid w:val="00316316"/>
    <w:rsid w:val="00316318"/>
    <w:rsid w:val="00316319"/>
    <w:rsid w:val="0031632C"/>
    <w:rsid w:val="00316353"/>
    <w:rsid w:val="0031637A"/>
    <w:rsid w:val="0031637D"/>
    <w:rsid w:val="00316387"/>
    <w:rsid w:val="0031639D"/>
    <w:rsid w:val="003163E2"/>
    <w:rsid w:val="00316491"/>
    <w:rsid w:val="003164E4"/>
    <w:rsid w:val="003164E8"/>
    <w:rsid w:val="0031650F"/>
    <w:rsid w:val="00316516"/>
    <w:rsid w:val="00316562"/>
    <w:rsid w:val="00316573"/>
    <w:rsid w:val="00316579"/>
    <w:rsid w:val="0031659A"/>
    <w:rsid w:val="003165CD"/>
    <w:rsid w:val="00316609"/>
    <w:rsid w:val="00316611"/>
    <w:rsid w:val="0031662F"/>
    <w:rsid w:val="0031664C"/>
    <w:rsid w:val="00316660"/>
    <w:rsid w:val="00316670"/>
    <w:rsid w:val="0031667C"/>
    <w:rsid w:val="0031668D"/>
    <w:rsid w:val="00316693"/>
    <w:rsid w:val="003166CC"/>
    <w:rsid w:val="003166DC"/>
    <w:rsid w:val="003166FD"/>
    <w:rsid w:val="00316716"/>
    <w:rsid w:val="00316721"/>
    <w:rsid w:val="0031673B"/>
    <w:rsid w:val="00316755"/>
    <w:rsid w:val="00316764"/>
    <w:rsid w:val="0031679A"/>
    <w:rsid w:val="0031679C"/>
    <w:rsid w:val="003167D7"/>
    <w:rsid w:val="00316866"/>
    <w:rsid w:val="00316874"/>
    <w:rsid w:val="003168A9"/>
    <w:rsid w:val="003168FB"/>
    <w:rsid w:val="00316934"/>
    <w:rsid w:val="003169C5"/>
    <w:rsid w:val="003169D1"/>
    <w:rsid w:val="003169D6"/>
    <w:rsid w:val="00316A3F"/>
    <w:rsid w:val="00316A42"/>
    <w:rsid w:val="00316A55"/>
    <w:rsid w:val="00316A7F"/>
    <w:rsid w:val="00316A81"/>
    <w:rsid w:val="00316A8A"/>
    <w:rsid w:val="00316A8D"/>
    <w:rsid w:val="00316A93"/>
    <w:rsid w:val="00316AA2"/>
    <w:rsid w:val="00316ACF"/>
    <w:rsid w:val="00316B27"/>
    <w:rsid w:val="00316B35"/>
    <w:rsid w:val="00316B40"/>
    <w:rsid w:val="00316BE5"/>
    <w:rsid w:val="00316C0C"/>
    <w:rsid w:val="00316C15"/>
    <w:rsid w:val="00316C19"/>
    <w:rsid w:val="00316C46"/>
    <w:rsid w:val="00316CC1"/>
    <w:rsid w:val="00316D77"/>
    <w:rsid w:val="00316DD5"/>
    <w:rsid w:val="00316E4C"/>
    <w:rsid w:val="00316E8F"/>
    <w:rsid w:val="00316EA4"/>
    <w:rsid w:val="00316EA9"/>
    <w:rsid w:val="00316ED6"/>
    <w:rsid w:val="00316F03"/>
    <w:rsid w:val="00316F22"/>
    <w:rsid w:val="00316F2B"/>
    <w:rsid w:val="00316F54"/>
    <w:rsid w:val="00316FDE"/>
    <w:rsid w:val="00317012"/>
    <w:rsid w:val="00317063"/>
    <w:rsid w:val="00317068"/>
    <w:rsid w:val="0031706F"/>
    <w:rsid w:val="003170E7"/>
    <w:rsid w:val="003170F4"/>
    <w:rsid w:val="0031718B"/>
    <w:rsid w:val="00317193"/>
    <w:rsid w:val="003171AC"/>
    <w:rsid w:val="003171C9"/>
    <w:rsid w:val="00317212"/>
    <w:rsid w:val="0031723E"/>
    <w:rsid w:val="00317301"/>
    <w:rsid w:val="00317317"/>
    <w:rsid w:val="00317343"/>
    <w:rsid w:val="00317349"/>
    <w:rsid w:val="0031734A"/>
    <w:rsid w:val="0031736A"/>
    <w:rsid w:val="00317379"/>
    <w:rsid w:val="00317393"/>
    <w:rsid w:val="0031739E"/>
    <w:rsid w:val="0031739F"/>
    <w:rsid w:val="003173EE"/>
    <w:rsid w:val="003173FC"/>
    <w:rsid w:val="00317416"/>
    <w:rsid w:val="0031744F"/>
    <w:rsid w:val="0031746D"/>
    <w:rsid w:val="00317486"/>
    <w:rsid w:val="003174D3"/>
    <w:rsid w:val="003174E1"/>
    <w:rsid w:val="00317519"/>
    <w:rsid w:val="0031752C"/>
    <w:rsid w:val="0031752F"/>
    <w:rsid w:val="0031755F"/>
    <w:rsid w:val="00317577"/>
    <w:rsid w:val="00317613"/>
    <w:rsid w:val="00317643"/>
    <w:rsid w:val="003176CB"/>
    <w:rsid w:val="003176E9"/>
    <w:rsid w:val="0031772C"/>
    <w:rsid w:val="00317763"/>
    <w:rsid w:val="003177C5"/>
    <w:rsid w:val="00317851"/>
    <w:rsid w:val="00317867"/>
    <w:rsid w:val="003178D2"/>
    <w:rsid w:val="003178D3"/>
    <w:rsid w:val="0031790A"/>
    <w:rsid w:val="0031790B"/>
    <w:rsid w:val="0031792C"/>
    <w:rsid w:val="003179AF"/>
    <w:rsid w:val="003179DC"/>
    <w:rsid w:val="003179FA"/>
    <w:rsid w:val="00317A22"/>
    <w:rsid w:val="00317A27"/>
    <w:rsid w:val="00317A95"/>
    <w:rsid w:val="00317ADC"/>
    <w:rsid w:val="00317AF5"/>
    <w:rsid w:val="00317AFA"/>
    <w:rsid w:val="00317B04"/>
    <w:rsid w:val="00317B48"/>
    <w:rsid w:val="00317B5F"/>
    <w:rsid w:val="00317B66"/>
    <w:rsid w:val="00317B6E"/>
    <w:rsid w:val="00317BBA"/>
    <w:rsid w:val="00317C35"/>
    <w:rsid w:val="00317C40"/>
    <w:rsid w:val="00317C56"/>
    <w:rsid w:val="00317C83"/>
    <w:rsid w:val="00317CB5"/>
    <w:rsid w:val="00317CD1"/>
    <w:rsid w:val="00317D0A"/>
    <w:rsid w:val="00317D26"/>
    <w:rsid w:val="00317D43"/>
    <w:rsid w:val="00317D6C"/>
    <w:rsid w:val="00317D77"/>
    <w:rsid w:val="00317D8F"/>
    <w:rsid w:val="00317DA9"/>
    <w:rsid w:val="00317DF7"/>
    <w:rsid w:val="00317E02"/>
    <w:rsid w:val="00317E20"/>
    <w:rsid w:val="00317E42"/>
    <w:rsid w:val="00317E50"/>
    <w:rsid w:val="00317E6F"/>
    <w:rsid w:val="00317E99"/>
    <w:rsid w:val="00320033"/>
    <w:rsid w:val="00320054"/>
    <w:rsid w:val="0032009B"/>
    <w:rsid w:val="0032009D"/>
    <w:rsid w:val="003200D8"/>
    <w:rsid w:val="003200E1"/>
    <w:rsid w:val="003200E9"/>
    <w:rsid w:val="00320110"/>
    <w:rsid w:val="0032012B"/>
    <w:rsid w:val="00320144"/>
    <w:rsid w:val="0032018B"/>
    <w:rsid w:val="003201A5"/>
    <w:rsid w:val="00320252"/>
    <w:rsid w:val="003202A0"/>
    <w:rsid w:val="003202EE"/>
    <w:rsid w:val="00320334"/>
    <w:rsid w:val="00320384"/>
    <w:rsid w:val="0032038C"/>
    <w:rsid w:val="003203B3"/>
    <w:rsid w:val="003203E7"/>
    <w:rsid w:val="003203F7"/>
    <w:rsid w:val="00320400"/>
    <w:rsid w:val="00320436"/>
    <w:rsid w:val="00320466"/>
    <w:rsid w:val="00320484"/>
    <w:rsid w:val="003204A1"/>
    <w:rsid w:val="003204A9"/>
    <w:rsid w:val="003204AD"/>
    <w:rsid w:val="003204B4"/>
    <w:rsid w:val="003204E0"/>
    <w:rsid w:val="003204F2"/>
    <w:rsid w:val="00320543"/>
    <w:rsid w:val="0032054F"/>
    <w:rsid w:val="0032058C"/>
    <w:rsid w:val="00320596"/>
    <w:rsid w:val="003205DD"/>
    <w:rsid w:val="003205E7"/>
    <w:rsid w:val="0032060F"/>
    <w:rsid w:val="00320618"/>
    <w:rsid w:val="0032062D"/>
    <w:rsid w:val="00320658"/>
    <w:rsid w:val="0032067D"/>
    <w:rsid w:val="00320689"/>
    <w:rsid w:val="0032069E"/>
    <w:rsid w:val="003206E3"/>
    <w:rsid w:val="003206E4"/>
    <w:rsid w:val="003206F7"/>
    <w:rsid w:val="00320713"/>
    <w:rsid w:val="00320716"/>
    <w:rsid w:val="00320745"/>
    <w:rsid w:val="00320753"/>
    <w:rsid w:val="00320763"/>
    <w:rsid w:val="003207A6"/>
    <w:rsid w:val="003207BA"/>
    <w:rsid w:val="003207DB"/>
    <w:rsid w:val="003207E0"/>
    <w:rsid w:val="003207E9"/>
    <w:rsid w:val="003207FA"/>
    <w:rsid w:val="00320812"/>
    <w:rsid w:val="00320868"/>
    <w:rsid w:val="0032086F"/>
    <w:rsid w:val="00320883"/>
    <w:rsid w:val="0032088E"/>
    <w:rsid w:val="003208B6"/>
    <w:rsid w:val="00320907"/>
    <w:rsid w:val="0032090A"/>
    <w:rsid w:val="00320918"/>
    <w:rsid w:val="0032091C"/>
    <w:rsid w:val="0032091D"/>
    <w:rsid w:val="00320957"/>
    <w:rsid w:val="0032098A"/>
    <w:rsid w:val="003209B1"/>
    <w:rsid w:val="003209E7"/>
    <w:rsid w:val="00320A31"/>
    <w:rsid w:val="00320A81"/>
    <w:rsid w:val="00320A9D"/>
    <w:rsid w:val="00320ABB"/>
    <w:rsid w:val="00320B09"/>
    <w:rsid w:val="00320B82"/>
    <w:rsid w:val="00320B90"/>
    <w:rsid w:val="00320C67"/>
    <w:rsid w:val="00320C73"/>
    <w:rsid w:val="00320C96"/>
    <w:rsid w:val="00320CB3"/>
    <w:rsid w:val="00320CD2"/>
    <w:rsid w:val="00320D23"/>
    <w:rsid w:val="00320D32"/>
    <w:rsid w:val="00320D91"/>
    <w:rsid w:val="00320DB4"/>
    <w:rsid w:val="00320DBA"/>
    <w:rsid w:val="00320DBD"/>
    <w:rsid w:val="00320E57"/>
    <w:rsid w:val="00320E62"/>
    <w:rsid w:val="00320E8F"/>
    <w:rsid w:val="00320EBA"/>
    <w:rsid w:val="00320ECC"/>
    <w:rsid w:val="00320EDA"/>
    <w:rsid w:val="00320EDB"/>
    <w:rsid w:val="00320F11"/>
    <w:rsid w:val="00320F48"/>
    <w:rsid w:val="00320F4B"/>
    <w:rsid w:val="00320F64"/>
    <w:rsid w:val="00320F9F"/>
    <w:rsid w:val="00320FC4"/>
    <w:rsid w:val="00320FD2"/>
    <w:rsid w:val="0032101A"/>
    <w:rsid w:val="00321023"/>
    <w:rsid w:val="00321051"/>
    <w:rsid w:val="00321057"/>
    <w:rsid w:val="00321094"/>
    <w:rsid w:val="003210A1"/>
    <w:rsid w:val="003210A3"/>
    <w:rsid w:val="003210CD"/>
    <w:rsid w:val="003210F6"/>
    <w:rsid w:val="003210F9"/>
    <w:rsid w:val="00321129"/>
    <w:rsid w:val="00321169"/>
    <w:rsid w:val="00321176"/>
    <w:rsid w:val="00321208"/>
    <w:rsid w:val="0032124B"/>
    <w:rsid w:val="00321265"/>
    <w:rsid w:val="0032127D"/>
    <w:rsid w:val="00321283"/>
    <w:rsid w:val="0032128D"/>
    <w:rsid w:val="00321296"/>
    <w:rsid w:val="003212AB"/>
    <w:rsid w:val="003212AC"/>
    <w:rsid w:val="0032137A"/>
    <w:rsid w:val="0032139A"/>
    <w:rsid w:val="003213ED"/>
    <w:rsid w:val="00321439"/>
    <w:rsid w:val="00321453"/>
    <w:rsid w:val="0032146B"/>
    <w:rsid w:val="0032146D"/>
    <w:rsid w:val="00321484"/>
    <w:rsid w:val="00321497"/>
    <w:rsid w:val="00321499"/>
    <w:rsid w:val="003214B2"/>
    <w:rsid w:val="003214E4"/>
    <w:rsid w:val="00321505"/>
    <w:rsid w:val="0032155E"/>
    <w:rsid w:val="00321616"/>
    <w:rsid w:val="00321636"/>
    <w:rsid w:val="0032163A"/>
    <w:rsid w:val="00321649"/>
    <w:rsid w:val="0032164C"/>
    <w:rsid w:val="0032165E"/>
    <w:rsid w:val="003216DF"/>
    <w:rsid w:val="003216EA"/>
    <w:rsid w:val="00321740"/>
    <w:rsid w:val="0032176C"/>
    <w:rsid w:val="00321785"/>
    <w:rsid w:val="00321788"/>
    <w:rsid w:val="003217F2"/>
    <w:rsid w:val="00321898"/>
    <w:rsid w:val="003218AD"/>
    <w:rsid w:val="003218DC"/>
    <w:rsid w:val="0032194D"/>
    <w:rsid w:val="00321977"/>
    <w:rsid w:val="0032198F"/>
    <w:rsid w:val="0032199D"/>
    <w:rsid w:val="003219C5"/>
    <w:rsid w:val="00321A1C"/>
    <w:rsid w:val="00321A25"/>
    <w:rsid w:val="00321A2A"/>
    <w:rsid w:val="00321A2D"/>
    <w:rsid w:val="00321ADA"/>
    <w:rsid w:val="00321AEE"/>
    <w:rsid w:val="00321B10"/>
    <w:rsid w:val="00321B67"/>
    <w:rsid w:val="00321B9C"/>
    <w:rsid w:val="00321BC5"/>
    <w:rsid w:val="00321BD4"/>
    <w:rsid w:val="00321BE5"/>
    <w:rsid w:val="00321C0D"/>
    <w:rsid w:val="00321C5B"/>
    <w:rsid w:val="00321C65"/>
    <w:rsid w:val="00321C90"/>
    <w:rsid w:val="00321CB1"/>
    <w:rsid w:val="00321CD8"/>
    <w:rsid w:val="00321D38"/>
    <w:rsid w:val="00321D5A"/>
    <w:rsid w:val="00321D5B"/>
    <w:rsid w:val="00321DB3"/>
    <w:rsid w:val="00321DC5"/>
    <w:rsid w:val="00321DEA"/>
    <w:rsid w:val="00321E2B"/>
    <w:rsid w:val="00321E73"/>
    <w:rsid w:val="00321ECA"/>
    <w:rsid w:val="00321EF2"/>
    <w:rsid w:val="00321EF7"/>
    <w:rsid w:val="00321F28"/>
    <w:rsid w:val="00321F4F"/>
    <w:rsid w:val="00321F51"/>
    <w:rsid w:val="00321F5A"/>
    <w:rsid w:val="00321F74"/>
    <w:rsid w:val="00321F83"/>
    <w:rsid w:val="00321F85"/>
    <w:rsid w:val="00321F92"/>
    <w:rsid w:val="00321FD9"/>
    <w:rsid w:val="00321FFF"/>
    <w:rsid w:val="00322002"/>
    <w:rsid w:val="00322015"/>
    <w:rsid w:val="0032205F"/>
    <w:rsid w:val="00322061"/>
    <w:rsid w:val="0032208D"/>
    <w:rsid w:val="00322092"/>
    <w:rsid w:val="003220AB"/>
    <w:rsid w:val="003220B5"/>
    <w:rsid w:val="003220DC"/>
    <w:rsid w:val="0032212F"/>
    <w:rsid w:val="00322147"/>
    <w:rsid w:val="0032214D"/>
    <w:rsid w:val="00322160"/>
    <w:rsid w:val="00322198"/>
    <w:rsid w:val="003221B9"/>
    <w:rsid w:val="003221CE"/>
    <w:rsid w:val="00322208"/>
    <w:rsid w:val="0032220A"/>
    <w:rsid w:val="00322224"/>
    <w:rsid w:val="0032229E"/>
    <w:rsid w:val="0032232D"/>
    <w:rsid w:val="00322350"/>
    <w:rsid w:val="003223AC"/>
    <w:rsid w:val="003223BC"/>
    <w:rsid w:val="003223DA"/>
    <w:rsid w:val="0032241C"/>
    <w:rsid w:val="00322460"/>
    <w:rsid w:val="0032246D"/>
    <w:rsid w:val="00322483"/>
    <w:rsid w:val="00322484"/>
    <w:rsid w:val="0032249D"/>
    <w:rsid w:val="003224E3"/>
    <w:rsid w:val="003224EB"/>
    <w:rsid w:val="00322518"/>
    <w:rsid w:val="0032254E"/>
    <w:rsid w:val="003225A2"/>
    <w:rsid w:val="003225C9"/>
    <w:rsid w:val="00322635"/>
    <w:rsid w:val="00322643"/>
    <w:rsid w:val="0032264D"/>
    <w:rsid w:val="00322668"/>
    <w:rsid w:val="0032269E"/>
    <w:rsid w:val="003226A1"/>
    <w:rsid w:val="003226E2"/>
    <w:rsid w:val="00322708"/>
    <w:rsid w:val="00322720"/>
    <w:rsid w:val="00322723"/>
    <w:rsid w:val="0032273F"/>
    <w:rsid w:val="00322758"/>
    <w:rsid w:val="0032276A"/>
    <w:rsid w:val="003227DB"/>
    <w:rsid w:val="003227EA"/>
    <w:rsid w:val="003227F1"/>
    <w:rsid w:val="0032287C"/>
    <w:rsid w:val="003228B3"/>
    <w:rsid w:val="003228C6"/>
    <w:rsid w:val="003228DD"/>
    <w:rsid w:val="00322901"/>
    <w:rsid w:val="00322908"/>
    <w:rsid w:val="0032293C"/>
    <w:rsid w:val="00322943"/>
    <w:rsid w:val="0032296D"/>
    <w:rsid w:val="00322976"/>
    <w:rsid w:val="003229D3"/>
    <w:rsid w:val="00322A33"/>
    <w:rsid w:val="00322A69"/>
    <w:rsid w:val="00322A8A"/>
    <w:rsid w:val="00322A97"/>
    <w:rsid w:val="00322AA2"/>
    <w:rsid w:val="00322ABA"/>
    <w:rsid w:val="00322ACE"/>
    <w:rsid w:val="00322AEF"/>
    <w:rsid w:val="00322B01"/>
    <w:rsid w:val="00322B14"/>
    <w:rsid w:val="00322B38"/>
    <w:rsid w:val="00322B4C"/>
    <w:rsid w:val="00322B73"/>
    <w:rsid w:val="00322B7E"/>
    <w:rsid w:val="00322BC0"/>
    <w:rsid w:val="00322BF7"/>
    <w:rsid w:val="00322C0A"/>
    <w:rsid w:val="00322C10"/>
    <w:rsid w:val="00322C27"/>
    <w:rsid w:val="00322C6F"/>
    <w:rsid w:val="00322CB5"/>
    <w:rsid w:val="00322CD3"/>
    <w:rsid w:val="00322CF3"/>
    <w:rsid w:val="00322D27"/>
    <w:rsid w:val="00322D4C"/>
    <w:rsid w:val="00322DD5"/>
    <w:rsid w:val="00322DE3"/>
    <w:rsid w:val="00322DEC"/>
    <w:rsid w:val="00322DEF"/>
    <w:rsid w:val="00322E3B"/>
    <w:rsid w:val="00322E53"/>
    <w:rsid w:val="00322E70"/>
    <w:rsid w:val="00322E80"/>
    <w:rsid w:val="00322EB3"/>
    <w:rsid w:val="00322ED7"/>
    <w:rsid w:val="00322EFB"/>
    <w:rsid w:val="00322F30"/>
    <w:rsid w:val="00322F32"/>
    <w:rsid w:val="00322F3B"/>
    <w:rsid w:val="00322F3C"/>
    <w:rsid w:val="00322F43"/>
    <w:rsid w:val="00322F81"/>
    <w:rsid w:val="00322F88"/>
    <w:rsid w:val="00322FA5"/>
    <w:rsid w:val="00322FE6"/>
    <w:rsid w:val="00322FF4"/>
    <w:rsid w:val="00323003"/>
    <w:rsid w:val="00323065"/>
    <w:rsid w:val="00323080"/>
    <w:rsid w:val="003230B1"/>
    <w:rsid w:val="003230C0"/>
    <w:rsid w:val="003230EA"/>
    <w:rsid w:val="003230F2"/>
    <w:rsid w:val="00323146"/>
    <w:rsid w:val="00323152"/>
    <w:rsid w:val="003231B1"/>
    <w:rsid w:val="0032321C"/>
    <w:rsid w:val="0032323C"/>
    <w:rsid w:val="00323246"/>
    <w:rsid w:val="00323287"/>
    <w:rsid w:val="003232AA"/>
    <w:rsid w:val="0032330E"/>
    <w:rsid w:val="00323345"/>
    <w:rsid w:val="00323373"/>
    <w:rsid w:val="00323395"/>
    <w:rsid w:val="00323399"/>
    <w:rsid w:val="003233B0"/>
    <w:rsid w:val="003233BE"/>
    <w:rsid w:val="003233D6"/>
    <w:rsid w:val="003233E4"/>
    <w:rsid w:val="003233FC"/>
    <w:rsid w:val="0032340A"/>
    <w:rsid w:val="00323414"/>
    <w:rsid w:val="0032341F"/>
    <w:rsid w:val="00323448"/>
    <w:rsid w:val="00323486"/>
    <w:rsid w:val="00323497"/>
    <w:rsid w:val="003234A9"/>
    <w:rsid w:val="003234BC"/>
    <w:rsid w:val="003234CA"/>
    <w:rsid w:val="003234D3"/>
    <w:rsid w:val="003234F7"/>
    <w:rsid w:val="0032350A"/>
    <w:rsid w:val="00323514"/>
    <w:rsid w:val="003235B9"/>
    <w:rsid w:val="003235C6"/>
    <w:rsid w:val="003235D6"/>
    <w:rsid w:val="003235E7"/>
    <w:rsid w:val="003235F3"/>
    <w:rsid w:val="00323633"/>
    <w:rsid w:val="003236C6"/>
    <w:rsid w:val="003236FD"/>
    <w:rsid w:val="00323701"/>
    <w:rsid w:val="00323705"/>
    <w:rsid w:val="00323745"/>
    <w:rsid w:val="00323805"/>
    <w:rsid w:val="0032380D"/>
    <w:rsid w:val="0032386B"/>
    <w:rsid w:val="0032386D"/>
    <w:rsid w:val="003238AA"/>
    <w:rsid w:val="0032390E"/>
    <w:rsid w:val="00323910"/>
    <w:rsid w:val="00323936"/>
    <w:rsid w:val="0032393F"/>
    <w:rsid w:val="00323944"/>
    <w:rsid w:val="00323951"/>
    <w:rsid w:val="00323995"/>
    <w:rsid w:val="0032399F"/>
    <w:rsid w:val="003239AC"/>
    <w:rsid w:val="003239ED"/>
    <w:rsid w:val="003239F1"/>
    <w:rsid w:val="003239FE"/>
    <w:rsid w:val="00323A49"/>
    <w:rsid w:val="00323A4B"/>
    <w:rsid w:val="00323B04"/>
    <w:rsid w:val="00323B26"/>
    <w:rsid w:val="00323B77"/>
    <w:rsid w:val="00323BBB"/>
    <w:rsid w:val="00323C0F"/>
    <w:rsid w:val="00323C8B"/>
    <w:rsid w:val="00323C96"/>
    <w:rsid w:val="00323C9A"/>
    <w:rsid w:val="00323CB0"/>
    <w:rsid w:val="00323CFE"/>
    <w:rsid w:val="00323D3E"/>
    <w:rsid w:val="00323E00"/>
    <w:rsid w:val="00323E12"/>
    <w:rsid w:val="00323E70"/>
    <w:rsid w:val="00323E7B"/>
    <w:rsid w:val="00323E80"/>
    <w:rsid w:val="00323E8A"/>
    <w:rsid w:val="00323EAE"/>
    <w:rsid w:val="00323EBE"/>
    <w:rsid w:val="00323F05"/>
    <w:rsid w:val="00323F21"/>
    <w:rsid w:val="00323F45"/>
    <w:rsid w:val="00323F58"/>
    <w:rsid w:val="00323F9B"/>
    <w:rsid w:val="00323FDF"/>
    <w:rsid w:val="0032403D"/>
    <w:rsid w:val="00324086"/>
    <w:rsid w:val="003240BE"/>
    <w:rsid w:val="003240E0"/>
    <w:rsid w:val="00324196"/>
    <w:rsid w:val="003241A9"/>
    <w:rsid w:val="00324258"/>
    <w:rsid w:val="0032425A"/>
    <w:rsid w:val="00324269"/>
    <w:rsid w:val="00324284"/>
    <w:rsid w:val="003242BD"/>
    <w:rsid w:val="003242CA"/>
    <w:rsid w:val="003242CB"/>
    <w:rsid w:val="00324313"/>
    <w:rsid w:val="0032433B"/>
    <w:rsid w:val="00324353"/>
    <w:rsid w:val="003243C2"/>
    <w:rsid w:val="003243E5"/>
    <w:rsid w:val="00324443"/>
    <w:rsid w:val="0032444C"/>
    <w:rsid w:val="00324465"/>
    <w:rsid w:val="003244B8"/>
    <w:rsid w:val="003244BE"/>
    <w:rsid w:val="003244C8"/>
    <w:rsid w:val="0032452F"/>
    <w:rsid w:val="00324584"/>
    <w:rsid w:val="003245A1"/>
    <w:rsid w:val="003245B1"/>
    <w:rsid w:val="003245FC"/>
    <w:rsid w:val="00324613"/>
    <w:rsid w:val="00324690"/>
    <w:rsid w:val="00324694"/>
    <w:rsid w:val="003246A7"/>
    <w:rsid w:val="003246F6"/>
    <w:rsid w:val="0032473E"/>
    <w:rsid w:val="00324794"/>
    <w:rsid w:val="00324797"/>
    <w:rsid w:val="003247C5"/>
    <w:rsid w:val="00324802"/>
    <w:rsid w:val="0032482A"/>
    <w:rsid w:val="0032485D"/>
    <w:rsid w:val="0032489B"/>
    <w:rsid w:val="003248A7"/>
    <w:rsid w:val="00324903"/>
    <w:rsid w:val="0032492B"/>
    <w:rsid w:val="0032498D"/>
    <w:rsid w:val="0032499C"/>
    <w:rsid w:val="003249BE"/>
    <w:rsid w:val="00324A09"/>
    <w:rsid w:val="00324AC8"/>
    <w:rsid w:val="00324AC9"/>
    <w:rsid w:val="00324B11"/>
    <w:rsid w:val="00324B6D"/>
    <w:rsid w:val="00324B6F"/>
    <w:rsid w:val="00324B7E"/>
    <w:rsid w:val="00324B97"/>
    <w:rsid w:val="00324BA2"/>
    <w:rsid w:val="00324BFC"/>
    <w:rsid w:val="00324C06"/>
    <w:rsid w:val="00324C1B"/>
    <w:rsid w:val="00324C33"/>
    <w:rsid w:val="00324C34"/>
    <w:rsid w:val="00324C58"/>
    <w:rsid w:val="00324C84"/>
    <w:rsid w:val="00324C9A"/>
    <w:rsid w:val="00324CE0"/>
    <w:rsid w:val="00324CF4"/>
    <w:rsid w:val="00324D9D"/>
    <w:rsid w:val="00324DA6"/>
    <w:rsid w:val="00324DDD"/>
    <w:rsid w:val="00324E14"/>
    <w:rsid w:val="00324E3A"/>
    <w:rsid w:val="00324E89"/>
    <w:rsid w:val="00324EB2"/>
    <w:rsid w:val="00324ED3"/>
    <w:rsid w:val="00324EDE"/>
    <w:rsid w:val="00324F23"/>
    <w:rsid w:val="00324F3A"/>
    <w:rsid w:val="00324F3B"/>
    <w:rsid w:val="00324F4C"/>
    <w:rsid w:val="00324F5B"/>
    <w:rsid w:val="00324F62"/>
    <w:rsid w:val="00324F6A"/>
    <w:rsid w:val="00324F70"/>
    <w:rsid w:val="00324F8C"/>
    <w:rsid w:val="00324FB0"/>
    <w:rsid w:val="00324FB4"/>
    <w:rsid w:val="00324FDD"/>
    <w:rsid w:val="00324FDF"/>
    <w:rsid w:val="00324FFB"/>
    <w:rsid w:val="00325095"/>
    <w:rsid w:val="00325105"/>
    <w:rsid w:val="00325137"/>
    <w:rsid w:val="0032515C"/>
    <w:rsid w:val="0032517E"/>
    <w:rsid w:val="003251A0"/>
    <w:rsid w:val="003251BA"/>
    <w:rsid w:val="0032522A"/>
    <w:rsid w:val="00325242"/>
    <w:rsid w:val="003252A7"/>
    <w:rsid w:val="003252A8"/>
    <w:rsid w:val="003252AE"/>
    <w:rsid w:val="003252D0"/>
    <w:rsid w:val="0032531B"/>
    <w:rsid w:val="00325322"/>
    <w:rsid w:val="00325378"/>
    <w:rsid w:val="00325387"/>
    <w:rsid w:val="00325394"/>
    <w:rsid w:val="003253A3"/>
    <w:rsid w:val="003253A9"/>
    <w:rsid w:val="003253C2"/>
    <w:rsid w:val="003253C9"/>
    <w:rsid w:val="00325413"/>
    <w:rsid w:val="00325418"/>
    <w:rsid w:val="0032541B"/>
    <w:rsid w:val="00325451"/>
    <w:rsid w:val="003254F2"/>
    <w:rsid w:val="00325503"/>
    <w:rsid w:val="00325580"/>
    <w:rsid w:val="0032558C"/>
    <w:rsid w:val="0032559C"/>
    <w:rsid w:val="003255A8"/>
    <w:rsid w:val="003255B2"/>
    <w:rsid w:val="0032563B"/>
    <w:rsid w:val="0032568C"/>
    <w:rsid w:val="003256AD"/>
    <w:rsid w:val="003256C7"/>
    <w:rsid w:val="003257AB"/>
    <w:rsid w:val="003257B3"/>
    <w:rsid w:val="003257D0"/>
    <w:rsid w:val="0032589A"/>
    <w:rsid w:val="00325911"/>
    <w:rsid w:val="00325916"/>
    <w:rsid w:val="00325926"/>
    <w:rsid w:val="0032593E"/>
    <w:rsid w:val="003259BD"/>
    <w:rsid w:val="003259D2"/>
    <w:rsid w:val="003259DF"/>
    <w:rsid w:val="00325A13"/>
    <w:rsid w:val="00325A25"/>
    <w:rsid w:val="00325A40"/>
    <w:rsid w:val="00325AAF"/>
    <w:rsid w:val="00325ABA"/>
    <w:rsid w:val="00325B02"/>
    <w:rsid w:val="00325B17"/>
    <w:rsid w:val="00325B6F"/>
    <w:rsid w:val="00325B73"/>
    <w:rsid w:val="00325B8A"/>
    <w:rsid w:val="00325B97"/>
    <w:rsid w:val="00325BAC"/>
    <w:rsid w:val="00325BD2"/>
    <w:rsid w:val="00325BEC"/>
    <w:rsid w:val="00325BFD"/>
    <w:rsid w:val="00325C0D"/>
    <w:rsid w:val="00325C86"/>
    <w:rsid w:val="00325CA8"/>
    <w:rsid w:val="00325CC1"/>
    <w:rsid w:val="00325CEE"/>
    <w:rsid w:val="00325D11"/>
    <w:rsid w:val="00325D48"/>
    <w:rsid w:val="00325D82"/>
    <w:rsid w:val="00325D8E"/>
    <w:rsid w:val="00325D90"/>
    <w:rsid w:val="00325D93"/>
    <w:rsid w:val="00325E39"/>
    <w:rsid w:val="00325E62"/>
    <w:rsid w:val="00325EA0"/>
    <w:rsid w:val="00325F0B"/>
    <w:rsid w:val="00325F11"/>
    <w:rsid w:val="00325F20"/>
    <w:rsid w:val="00325F65"/>
    <w:rsid w:val="00325F6E"/>
    <w:rsid w:val="00325F78"/>
    <w:rsid w:val="00325F93"/>
    <w:rsid w:val="00325FAE"/>
    <w:rsid w:val="00325FCA"/>
    <w:rsid w:val="00325FF8"/>
    <w:rsid w:val="00325FFF"/>
    <w:rsid w:val="00326018"/>
    <w:rsid w:val="00326077"/>
    <w:rsid w:val="0032607D"/>
    <w:rsid w:val="003260C0"/>
    <w:rsid w:val="003260F5"/>
    <w:rsid w:val="0032618D"/>
    <w:rsid w:val="00326192"/>
    <w:rsid w:val="003261A7"/>
    <w:rsid w:val="00326203"/>
    <w:rsid w:val="00326254"/>
    <w:rsid w:val="003262A7"/>
    <w:rsid w:val="003262C1"/>
    <w:rsid w:val="003262F0"/>
    <w:rsid w:val="00326358"/>
    <w:rsid w:val="0032637E"/>
    <w:rsid w:val="00326397"/>
    <w:rsid w:val="00326399"/>
    <w:rsid w:val="003263A6"/>
    <w:rsid w:val="003263AE"/>
    <w:rsid w:val="00326411"/>
    <w:rsid w:val="0032643D"/>
    <w:rsid w:val="00326469"/>
    <w:rsid w:val="0032646C"/>
    <w:rsid w:val="00326514"/>
    <w:rsid w:val="0032651C"/>
    <w:rsid w:val="00326542"/>
    <w:rsid w:val="00326588"/>
    <w:rsid w:val="003265CB"/>
    <w:rsid w:val="00326618"/>
    <w:rsid w:val="00326638"/>
    <w:rsid w:val="00326659"/>
    <w:rsid w:val="0032665A"/>
    <w:rsid w:val="0032668B"/>
    <w:rsid w:val="0032668E"/>
    <w:rsid w:val="003266AB"/>
    <w:rsid w:val="003266D9"/>
    <w:rsid w:val="003266F3"/>
    <w:rsid w:val="00326706"/>
    <w:rsid w:val="00326715"/>
    <w:rsid w:val="00326758"/>
    <w:rsid w:val="00326775"/>
    <w:rsid w:val="003267A8"/>
    <w:rsid w:val="003267AA"/>
    <w:rsid w:val="003267CD"/>
    <w:rsid w:val="003267F5"/>
    <w:rsid w:val="0032680B"/>
    <w:rsid w:val="0032680E"/>
    <w:rsid w:val="0032684E"/>
    <w:rsid w:val="003268AF"/>
    <w:rsid w:val="003268CD"/>
    <w:rsid w:val="003268F1"/>
    <w:rsid w:val="0032692A"/>
    <w:rsid w:val="00326971"/>
    <w:rsid w:val="00326972"/>
    <w:rsid w:val="003269BA"/>
    <w:rsid w:val="003269BB"/>
    <w:rsid w:val="003269E6"/>
    <w:rsid w:val="003269F1"/>
    <w:rsid w:val="00326A19"/>
    <w:rsid w:val="00326A43"/>
    <w:rsid w:val="00326A51"/>
    <w:rsid w:val="00326A62"/>
    <w:rsid w:val="00326A85"/>
    <w:rsid w:val="00326ABC"/>
    <w:rsid w:val="00326AD0"/>
    <w:rsid w:val="00326B3A"/>
    <w:rsid w:val="00326B48"/>
    <w:rsid w:val="00326B7A"/>
    <w:rsid w:val="00326BEC"/>
    <w:rsid w:val="00326C0A"/>
    <w:rsid w:val="00326C2F"/>
    <w:rsid w:val="00326C67"/>
    <w:rsid w:val="00326C89"/>
    <w:rsid w:val="00326C97"/>
    <w:rsid w:val="00326CA6"/>
    <w:rsid w:val="00326CAE"/>
    <w:rsid w:val="00326D6B"/>
    <w:rsid w:val="00326DA4"/>
    <w:rsid w:val="00326DA8"/>
    <w:rsid w:val="00326DCB"/>
    <w:rsid w:val="00326DDF"/>
    <w:rsid w:val="00326DF7"/>
    <w:rsid w:val="00326DFA"/>
    <w:rsid w:val="00326E25"/>
    <w:rsid w:val="00326E52"/>
    <w:rsid w:val="00326E54"/>
    <w:rsid w:val="00326E9B"/>
    <w:rsid w:val="00326EC5"/>
    <w:rsid w:val="00326EF4"/>
    <w:rsid w:val="00326F0B"/>
    <w:rsid w:val="00326F6F"/>
    <w:rsid w:val="00326FB6"/>
    <w:rsid w:val="0032705B"/>
    <w:rsid w:val="003270AE"/>
    <w:rsid w:val="00327127"/>
    <w:rsid w:val="00327128"/>
    <w:rsid w:val="0032716F"/>
    <w:rsid w:val="003271FF"/>
    <w:rsid w:val="0032723C"/>
    <w:rsid w:val="0032728A"/>
    <w:rsid w:val="0032739E"/>
    <w:rsid w:val="00327407"/>
    <w:rsid w:val="00327412"/>
    <w:rsid w:val="0032747A"/>
    <w:rsid w:val="003274F6"/>
    <w:rsid w:val="00327610"/>
    <w:rsid w:val="00327633"/>
    <w:rsid w:val="00327649"/>
    <w:rsid w:val="00327650"/>
    <w:rsid w:val="0032767D"/>
    <w:rsid w:val="003276DE"/>
    <w:rsid w:val="00327735"/>
    <w:rsid w:val="0032776C"/>
    <w:rsid w:val="0032776E"/>
    <w:rsid w:val="00327797"/>
    <w:rsid w:val="003277F9"/>
    <w:rsid w:val="0032780D"/>
    <w:rsid w:val="00327852"/>
    <w:rsid w:val="0032794E"/>
    <w:rsid w:val="0032794F"/>
    <w:rsid w:val="0032795A"/>
    <w:rsid w:val="0032797F"/>
    <w:rsid w:val="003279AE"/>
    <w:rsid w:val="003279EB"/>
    <w:rsid w:val="003279FE"/>
    <w:rsid w:val="00327A1A"/>
    <w:rsid w:val="00327A64"/>
    <w:rsid w:val="00327AAC"/>
    <w:rsid w:val="00327AD6"/>
    <w:rsid w:val="00327AF9"/>
    <w:rsid w:val="00327B21"/>
    <w:rsid w:val="00327B33"/>
    <w:rsid w:val="00327BA4"/>
    <w:rsid w:val="00327BE2"/>
    <w:rsid w:val="00327BF0"/>
    <w:rsid w:val="00327C17"/>
    <w:rsid w:val="00327C21"/>
    <w:rsid w:val="00327C97"/>
    <w:rsid w:val="00327CBF"/>
    <w:rsid w:val="00327CDA"/>
    <w:rsid w:val="00327CFA"/>
    <w:rsid w:val="00327D18"/>
    <w:rsid w:val="00327D26"/>
    <w:rsid w:val="00327D41"/>
    <w:rsid w:val="00327D88"/>
    <w:rsid w:val="00327D91"/>
    <w:rsid w:val="00327DAF"/>
    <w:rsid w:val="00327DC0"/>
    <w:rsid w:val="00327DCE"/>
    <w:rsid w:val="00327DDB"/>
    <w:rsid w:val="00327DF3"/>
    <w:rsid w:val="00327DFE"/>
    <w:rsid w:val="00327E26"/>
    <w:rsid w:val="00327E35"/>
    <w:rsid w:val="00327E38"/>
    <w:rsid w:val="00327F20"/>
    <w:rsid w:val="00327F2C"/>
    <w:rsid w:val="00327F32"/>
    <w:rsid w:val="00327F4C"/>
    <w:rsid w:val="00327F93"/>
    <w:rsid w:val="00327FC2"/>
    <w:rsid w:val="00328343"/>
    <w:rsid w:val="0032D7B0"/>
    <w:rsid w:val="00330089"/>
    <w:rsid w:val="003300C1"/>
    <w:rsid w:val="003300E5"/>
    <w:rsid w:val="003300FF"/>
    <w:rsid w:val="0033010F"/>
    <w:rsid w:val="00330161"/>
    <w:rsid w:val="00330181"/>
    <w:rsid w:val="00330193"/>
    <w:rsid w:val="003301A6"/>
    <w:rsid w:val="003301C9"/>
    <w:rsid w:val="0033020A"/>
    <w:rsid w:val="0033022F"/>
    <w:rsid w:val="00330273"/>
    <w:rsid w:val="00330282"/>
    <w:rsid w:val="00330283"/>
    <w:rsid w:val="003302AB"/>
    <w:rsid w:val="003302E7"/>
    <w:rsid w:val="0033031B"/>
    <w:rsid w:val="0033031F"/>
    <w:rsid w:val="00330331"/>
    <w:rsid w:val="00330333"/>
    <w:rsid w:val="00330335"/>
    <w:rsid w:val="00330355"/>
    <w:rsid w:val="003303AC"/>
    <w:rsid w:val="003303BA"/>
    <w:rsid w:val="0033041B"/>
    <w:rsid w:val="00330439"/>
    <w:rsid w:val="0033044E"/>
    <w:rsid w:val="00330463"/>
    <w:rsid w:val="0033048D"/>
    <w:rsid w:val="0033049F"/>
    <w:rsid w:val="0033051E"/>
    <w:rsid w:val="00330625"/>
    <w:rsid w:val="0033065D"/>
    <w:rsid w:val="00330667"/>
    <w:rsid w:val="00330674"/>
    <w:rsid w:val="0033067F"/>
    <w:rsid w:val="003306B7"/>
    <w:rsid w:val="003306C3"/>
    <w:rsid w:val="003306C5"/>
    <w:rsid w:val="003306C9"/>
    <w:rsid w:val="003306D7"/>
    <w:rsid w:val="00330746"/>
    <w:rsid w:val="0033075B"/>
    <w:rsid w:val="0033077F"/>
    <w:rsid w:val="00330817"/>
    <w:rsid w:val="00330850"/>
    <w:rsid w:val="00330859"/>
    <w:rsid w:val="00330876"/>
    <w:rsid w:val="003308A8"/>
    <w:rsid w:val="003308EF"/>
    <w:rsid w:val="0033094E"/>
    <w:rsid w:val="00330981"/>
    <w:rsid w:val="003309BD"/>
    <w:rsid w:val="003309D4"/>
    <w:rsid w:val="00330A03"/>
    <w:rsid w:val="00330A0D"/>
    <w:rsid w:val="00330A43"/>
    <w:rsid w:val="00330A79"/>
    <w:rsid w:val="00330ABE"/>
    <w:rsid w:val="00330AC3"/>
    <w:rsid w:val="00330B70"/>
    <w:rsid w:val="00330B8E"/>
    <w:rsid w:val="00330BD3"/>
    <w:rsid w:val="00330BE1"/>
    <w:rsid w:val="00330C03"/>
    <w:rsid w:val="00330C07"/>
    <w:rsid w:val="00330C3B"/>
    <w:rsid w:val="00330C85"/>
    <w:rsid w:val="00330CA1"/>
    <w:rsid w:val="00330CD3"/>
    <w:rsid w:val="00330CEF"/>
    <w:rsid w:val="00330D14"/>
    <w:rsid w:val="00330D6C"/>
    <w:rsid w:val="00330DBD"/>
    <w:rsid w:val="00330DC9"/>
    <w:rsid w:val="00330E03"/>
    <w:rsid w:val="00330E05"/>
    <w:rsid w:val="00330E16"/>
    <w:rsid w:val="00330E3D"/>
    <w:rsid w:val="00330E44"/>
    <w:rsid w:val="00330ED9"/>
    <w:rsid w:val="00330EE2"/>
    <w:rsid w:val="00330F30"/>
    <w:rsid w:val="00330F50"/>
    <w:rsid w:val="00330F91"/>
    <w:rsid w:val="00330F94"/>
    <w:rsid w:val="00330FD2"/>
    <w:rsid w:val="0033103D"/>
    <w:rsid w:val="0033103E"/>
    <w:rsid w:val="00331054"/>
    <w:rsid w:val="00331076"/>
    <w:rsid w:val="00331089"/>
    <w:rsid w:val="00331093"/>
    <w:rsid w:val="003310C8"/>
    <w:rsid w:val="003310D0"/>
    <w:rsid w:val="00331108"/>
    <w:rsid w:val="00331118"/>
    <w:rsid w:val="0033111F"/>
    <w:rsid w:val="003311A0"/>
    <w:rsid w:val="003311DC"/>
    <w:rsid w:val="003311FD"/>
    <w:rsid w:val="0033120E"/>
    <w:rsid w:val="00331235"/>
    <w:rsid w:val="00331336"/>
    <w:rsid w:val="00331342"/>
    <w:rsid w:val="00331371"/>
    <w:rsid w:val="00331383"/>
    <w:rsid w:val="003313D8"/>
    <w:rsid w:val="0033141A"/>
    <w:rsid w:val="00331438"/>
    <w:rsid w:val="00331449"/>
    <w:rsid w:val="0033149C"/>
    <w:rsid w:val="003314DB"/>
    <w:rsid w:val="00331519"/>
    <w:rsid w:val="0033153B"/>
    <w:rsid w:val="00331554"/>
    <w:rsid w:val="00331570"/>
    <w:rsid w:val="0033158E"/>
    <w:rsid w:val="003315BC"/>
    <w:rsid w:val="003315C7"/>
    <w:rsid w:val="003315E3"/>
    <w:rsid w:val="00331607"/>
    <w:rsid w:val="0033160A"/>
    <w:rsid w:val="0033160C"/>
    <w:rsid w:val="00331618"/>
    <w:rsid w:val="003316F5"/>
    <w:rsid w:val="00331728"/>
    <w:rsid w:val="0033174D"/>
    <w:rsid w:val="00331750"/>
    <w:rsid w:val="00331763"/>
    <w:rsid w:val="00331780"/>
    <w:rsid w:val="0033179A"/>
    <w:rsid w:val="0033179B"/>
    <w:rsid w:val="003317EF"/>
    <w:rsid w:val="00331816"/>
    <w:rsid w:val="00331830"/>
    <w:rsid w:val="00331839"/>
    <w:rsid w:val="0033186B"/>
    <w:rsid w:val="0033186F"/>
    <w:rsid w:val="003318B7"/>
    <w:rsid w:val="003318CF"/>
    <w:rsid w:val="0033192A"/>
    <w:rsid w:val="00331953"/>
    <w:rsid w:val="00331A8D"/>
    <w:rsid w:val="00331A92"/>
    <w:rsid w:val="00331AA3"/>
    <w:rsid w:val="00331AC6"/>
    <w:rsid w:val="00331AD7"/>
    <w:rsid w:val="00331AF8"/>
    <w:rsid w:val="00331B24"/>
    <w:rsid w:val="00331B30"/>
    <w:rsid w:val="00331B37"/>
    <w:rsid w:val="00331B3B"/>
    <w:rsid w:val="00331B84"/>
    <w:rsid w:val="00331B93"/>
    <w:rsid w:val="00331BE3"/>
    <w:rsid w:val="00331C01"/>
    <w:rsid w:val="00331C5E"/>
    <w:rsid w:val="00331C60"/>
    <w:rsid w:val="00331D2D"/>
    <w:rsid w:val="00331D44"/>
    <w:rsid w:val="00331D75"/>
    <w:rsid w:val="00331DC3"/>
    <w:rsid w:val="00331DCB"/>
    <w:rsid w:val="00331DE3"/>
    <w:rsid w:val="00331E0E"/>
    <w:rsid w:val="00331E8D"/>
    <w:rsid w:val="00331ED5"/>
    <w:rsid w:val="00331ED9"/>
    <w:rsid w:val="00331F33"/>
    <w:rsid w:val="00331F5C"/>
    <w:rsid w:val="00331F78"/>
    <w:rsid w:val="00331FA7"/>
    <w:rsid w:val="00331FBF"/>
    <w:rsid w:val="00331FDC"/>
    <w:rsid w:val="0033200D"/>
    <w:rsid w:val="00332018"/>
    <w:rsid w:val="0033202D"/>
    <w:rsid w:val="0033208C"/>
    <w:rsid w:val="0033209F"/>
    <w:rsid w:val="003320D5"/>
    <w:rsid w:val="0033210F"/>
    <w:rsid w:val="0033211D"/>
    <w:rsid w:val="00332175"/>
    <w:rsid w:val="00332192"/>
    <w:rsid w:val="00332198"/>
    <w:rsid w:val="003321E2"/>
    <w:rsid w:val="003321EC"/>
    <w:rsid w:val="003321F1"/>
    <w:rsid w:val="0033220F"/>
    <w:rsid w:val="0033221F"/>
    <w:rsid w:val="00332233"/>
    <w:rsid w:val="00332242"/>
    <w:rsid w:val="0033226E"/>
    <w:rsid w:val="00332320"/>
    <w:rsid w:val="0033238B"/>
    <w:rsid w:val="003323BA"/>
    <w:rsid w:val="003323C4"/>
    <w:rsid w:val="003323F6"/>
    <w:rsid w:val="003323FD"/>
    <w:rsid w:val="00332425"/>
    <w:rsid w:val="0033244E"/>
    <w:rsid w:val="00332452"/>
    <w:rsid w:val="0033245D"/>
    <w:rsid w:val="003324D4"/>
    <w:rsid w:val="003324DC"/>
    <w:rsid w:val="00332579"/>
    <w:rsid w:val="0033259A"/>
    <w:rsid w:val="003325BA"/>
    <w:rsid w:val="00332601"/>
    <w:rsid w:val="0033262F"/>
    <w:rsid w:val="00332691"/>
    <w:rsid w:val="003326C1"/>
    <w:rsid w:val="003326DE"/>
    <w:rsid w:val="003326E1"/>
    <w:rsid w:val="003326E6"/>
    <w:rsid w:val="00332748"/>
    <w:rsid w:val="00332749"/>
    <w:rsid w:val="00332762"/>
    <w:rsid w:val="0033276C"/>
    <w:rsid w:val="00332787"/>
    <w:rsid w:val="003327AC"/>
    <w:rsid w:val="003327B0"/>
    <w:rsid w:val="003327BD"/>
    <w:rsid w:val="0033287C"/>
    <w:rsid w:val="0033288A"/>
    <w:rsid w:val="0033288E"/>
    <w:rsid w:val="003328FD"/>
    <w:rsid w:val="0033290A"/>
    <w:rsid w:val="00332910"/>
    <w:rsid w:val="00332929"/>
    <w:rsid w:val="003329EE"/>
    <w:rsid w:val="003329F0"/>
    <w:rsid w:val="00332A2B"/>
    <w:rsid w:val="00332A5A"/>
    <w:rsid w:val="00332A6B"/>
    <w:rsid w:val="00332A97"/>
    <w:rsid w:val="00332B2B"/>
    <w:rsid w:val="00332B30"/>
    <w:rsid w:val="00332B6F"/>
    <w:rsid w:val="00332BC2"/>
    <w:rsid w:val="00332C31"/>
    <w:rsid w:val="00332C7A"/>
    <w:rsid w:val="00332C84"/>
    <w:rsid w:val="00332D30"/>
    <w:rsid w:val="00332D38"/>
    <w:rsid w:val="00332D58"/>
    <w:rsid w:val="00332D63"/>
    <w:rsid w:val="00332DAF"/>
    <w:rsid w:val="00332DD9"/>
    <w:rsid w:val="00332DE5"/>
    <w:rsid w:val="00332DF9"/>
    <w:rsid w:val="00332E11"/>
    <w:rsid w:val="00332E12"/>
    <w:rsid w:val="00332E30"/>
    <w:rsid w:val="00332E47"/>
    <w:rsid w:val="00332E6C"/>
    <w:rsid w:val="00332EA6"/>
    <w:rsid w:val="00332EA7"/>
    <w:rsid w:val="00332EBF"/>
    <w:rsid w:val="00332F31"/>
    <w:rsid w:val="00332F6F"/>
    <w:rsid w:val="00332FFA"/>
    <w:rsid w:val="00333039"/>
    <w:rsid w:val="0033304D"/>
    <w:rsid w:val="003330A8"/>
    <w:rsid w:val="00333159"/>
    <w:rsid w:val="003331BA"/>
    <w:rsid w:val="00333201"/>
    <w:rsid w:val="00333226"/>
    <w:rsid w:val="0033324F"/>
    <w:rsid w:val="00333287"/>
    <w:rsid w:val="003332AE"/>
    <w:rsid w:val="003332BC"/>
    <w:rsid w:val="003332FE"/>
    <w:rsid w:val="0033333E"/>
    <w:rsid w:val="00333358"/>
    <w:rsid w:val="00333385"/>
    <w:rsid w:val="003333C0"/>
    <w:rsid w:val="003333C5"/>
    <w:rsid w:val="0033341C"/>
    <w:rsid w:val="00333423"/>
    <w:rsid w:val="0033346D"/>
    <w:rsid w:val="003334C8"/>
    <w:rsid w:val="003334E7"/>
    <w:rsid w:val="00333513"/>
    <w:rsid w:val="0033351C"/>
    <w:rsid w:val="003335C3"/>
    <w:rsid w:val="003335E4"/>
    <w:rsid w:val="00333623"/>
    <w:rsid w:val="003336B3"/>
    <w:rsid w:val="003336C7"/>
    <w:rsid w:val="003336D4"/>
    <w:rsid w:val="0033375D"/>
    <w:rsid w:val="00333791"/>
    <w:rsid w:val="00333798"/>
    <w:rsid w:val="003337DB"/>
    <w:rsid w:val="003337E2"/>
    <w:rsid w:val="00333822"/>
    <w:rsid w:val="00333842"/>
    <w:rsid w:val="00333850"/>
    <w:rsid w:val="00333855"/>
    <w:rsid w:val="0033386C"/>
    <w:rsid w:val="003338A4"/>
    <w:rsid w:val="003338C7"/>
    <w:rsid w:val="00333916"/>
    <w:rsid w:val="0033393E"/>
    <w:rsid w:val="0033395C"/>
    <w:rsid w:val="0033398B"/>
    <w:rsid w:val="003339E2"/>
    <w:rsid w:val="003339FE"/>
    <w:rsid w:val="00333A22"/>
    <w:rsid w:val="00333A45"/>
    <w:rsid w:val="00333AB7"/>
    <w:rsid w:val="00333ABF"/>
    <w:rsid w:val="00333AC9"/>
    <w:rsid w:val="00333B17"/>
    <w:rsid w:val="00333B20"/>
    <w:rsid w:val="00333B75"/>
    <w:rsid w:val="00333B8F"/>
    <w:rsid w:val="00333BA9"/>
    <w:rsid w:val="00333BCF"/>
    <w:rsid w:val="00333C59"/>
    <w:rsid w:val="00333C6A"/>
    <w:rsid w:val="00333C73"/>
    <w:rsid w:val="00333C9E"/>
    <w:rsid w:val="00333CCD"/>
    <w:rsid w:val="00333CCF"/>
    <w:rsid w:val="00333D0C"/>
    <w:rsid w:val="00333D9A"/>
    <w:rsid w:val="00333E37"/>
    <w:rsid w:val="00333E6B"/>
    <w:rsid w:val="00333E72"/>
    <w:rsid w:val="00333E8A"/>
    <w:rsid w:val="00333EB4"/>
    <w:rsid w:val="00333EBA"/>
    <w:rsid w:val="00333EC0"/>
    <w:rsid w:val="00333EE3"/>
    <w:rsid w:val="00333F5F"/>
    <w:rsid w:val="00333F6A"/>
    <w:rsid w:val="00333F72"/>
    <w:rsid w:val="00333F91"/>
    <w:rsid w:val="00333FBF"/>
    <w:rsid w:val="00333FEA"/>
    <w:rsid w:val="0033400F"/>
    <w:rsid w:val="00334041"/>
    <w:rsid w:val="00334078"/>
    <w:rsid w:val="00334155"/>
    <w:rsid w:val="00334162"/>
    <w:rsid w:val="00334226"/>
    <w:rsid w:val="00334271"/>
    <w:rsid w:val="00334282"/>
    <w:rsid w:val="0033433C"/>
    <w:rsid w:val="0033434A"/>
    <w:rsid w:val="003343A2"/>
    <w:rsid w:val="003343A4"/>
    <w:rsid w:val="00334434"/>
    <w:rsid w:val="00334446"/>
    <w:rsid w:val="00334462"/>
    <w:rsid w:val="003344A5"/>
    <w:rsid w:val="003344AC"/>
    <w:rsid w:val="003344D0"/>
    <w:rsid w:val="003344E8"/>
    <w:rsid w:val="003344FA"/>
    <w:rsid w:val="0033453F"/>
    <w:rsid w:val="00334584"/>
    <w:rsid w:val="00334589"/>
    <w:rsid w:val="003345AD"/>
    <w:rsid w:val="003345B2"/>
    <w:rsid w:val="003345B4"/>
    <w:rsid w:val="003345DF"/>
    <w:rsid w:val="003345E7"/>
    <w:rsid w:val="003345FA"/>
    <w:rsid w:val="0033465C"/>
    <w:rsid w:val="0033467E"/>
    <w:rsid w:val="0033469B"/>
    <w:rsid w:val="003346A6"/>
    <w:rsid w:val="0033473C"/>
    <w:rsid w:val="003347D7"/>
    <w:rsid w:val="003347F1"/>
    <w:rsid w:val="0033482A"/>
    <w:rsid w:val="0033487D"/>
    <w:rsid w:val="00334881"/>
    <w:rsid w:val="00334895"/>
    <w:rsid w:val="003348CC"/>
    <w:rsid w:val="003348DC"/>
    <w:rsid w:val="00334941"/>
    <w:rsid w:val="00334946"/>
    <w:rsid w:val="0033498C"/>
    <w:rsid w:val="0033499E"/>
    <w:rsid w:val="003349A8"/>
    <w:rsid w:val="003349F1"/>
    <w:rsid w:val="003349F3"/>
    <w:rsid w:val="00334AD5"/>
    <w:rsid w:val="00334AEF"/>
    <w:rsid w:val="00334AF9"/>
    <w:rsid w:val="00334B0D"/>
    <w:rsid w:val="00334BA5"/>
    <w:rsid w:val="00334BC5"/>
    <w:rsid w:val="00334BCC"/>
    <w:rsid w:val="00334C92"/>
    <w:rsid w:val="00334CA1"/>
    <w:rsid w:val="00334CF6"/>
    <w:rsid w:val="00334D05"/>
    <w:rsid w:val="00334D8C"/>
    <w:rsid w:val="00334DB8"/>
    <w:rsid w:val="00334DDA"/>
    <w:rsid w:val="00334DF6"/>
    <w:rsid w:val="00334DFD"/>
    <w:rsid w:val="00334E5D"/>
    <w:rsid w:val="00334E6F"/>
    <w:rsid w:val="00334F3D"/>
    <w:rsid w:val="00334F43"/>
    <w:rsid w:val="00334F4C"/>
    <w:rsid w:val="00334FD1"/>
    <w:rsid w:val="00334FD7"/>
    <w:rsid w:val="00334FE5"/>
    <w:rsid w:val="00334FF9"/>
    <w:rsid w:val="0033501A"/>
    <w:rsid w:val="00335065"/>
    <w:rsid w:val="00335069"/>
    <w:rsid w:val="00335070"/>
    <w:rsid w:val="0033509E"/>
    <w:rsid w:val="003350A4"/>
    <w:rsid w:val="00335138"/>
    <w:rsid w:val="0033517A"/>
    <w:rsid w:val="00335198"/>
    <w:rsid w:val="003351D4"/>
    <w:rsid w:val="0033520B"/>
    <w:rsid w:val="00335220"/>
    <w:rsid w:val="0033526A"/>
    <w:rsid w:val="0033526C"/>
    <w:rsid w:val="00335285"/>
    <w:rsid w:val="003352C1"/>
    <w:rsid w:val="003352C8"/>
    <w:rsid w:val="00335315"/>
    <w:rsid w:val="00335355"/>
    <w:rsid w:val="0033536C"/>
    <w:rsid w:val="00335372"/>
    <w:rsid w:val="003353F9"/>
    <w:rsid w:val="00335420"/>
    <w:rsid w:val="00335429"/>
    <w:rsid w:val="00335430"/>
    <w:rsid w:val="00335471"/>
    <w:rsid w:val="0033547B"/>
    <w:rsid w:val="00335486"/>
    <w:rsid w:val="0033548D"/>
    <w:rsid w:val="003354AA"/>
    <w:rsid w:val="003354B8"/>
    <w:rsid w:val="003354EB"/>
    <w:rsid w:val="003354F9"/>
    <w:rsid w:val="00335537"/>
    <w:rsid w:val="00335545"/>
    <w:rsid w:val="00335583"/>
    <w:rsid w:val="003355A9"/>
    <w:rsid w:val="00335697"/>
    <w:rsid w:val="003356BF"/>
    <w:rsid w:val="003356C1"/>
    <w:rsid w:val="0033571F"/>
    <w:rsid w:val="003357B3"/>
    <w:rsid w:val="003357B6"/>
    <w:rsid w:val="0033581B"/>
    <w:rsid w:val="00335831"/>
    <w:rsid w:val="0033583E"/>
    <w:rsid w:val="00335881"/>
    <w:rsid w:val="0033588C"/>
    <w:rsid w:val="003358E1"/>
    <w:rsid w:val="00335938"/>
    <w:rsid w:val="0033595F"/>
    <w:rsid w:val="00335961"/>
    <w:rsid w:val="0033598E"/>
    <w:rsid w:val="00335995"/>
    <w:rsid w:val="003359EF"/>
    <w:rsid w:val="003359FE"/>
    <w:rsid w:val="00335A5A"/>
    <w:rsid w:val="00335ABF"/>
    <w:rsid w:val="00335AC9"/>
    <w:rsid w:val="00335AD2"/>
    <w:rsid w:val="00335B6D"/>
    <w:rsid w:val="00335B9B"/>
    <w:rsid w:val="00335B9E"/>
    <w:rsid w:val="00335BAA"/>
    <w:rsid w:val="00335BAF"/>
    <w:rsid w:val="00335C1E"/>
    <w:rsid w:val="00335C24"/>
    <w:rsid w:val="00335CC7"/>
    <w:rsid w:val="00335D38"/>
    <w:rsid w:val="00335D75"/>
    <w:rsid w:val="00335DEB"/>
    <w:rsid w:val="00335DF5"/>
    <w:rsid w:val="00335E17"/>
    <w:rsid w:val="00335E3C"/>
    <w:rsid w:val="00335E58"/>
    <w:rsid w:val="00335E7F"/>
    <w:rsid w:val="00335E83"/>
    <w:rsid w:val="00335E85"/>
    <w:rsid w:val="00335EF8"/>
    <w:rsid w:val="00335F13"/>
    <w:rsid w:val="00335F1E"/>
    <w:rsid w:val="00335F3E"/>
    <w:rsid w:val="00335F74"/>
    <w:rsid w:val="00335FE6"/>
    <w:rsid w:val="00335FE8"/>
    <w:rsid w:val="00335FE9"/>
    <w:rsid w:val="00336005"/>
    <w:rsid w:val="00336034"/>
    <w:rsid w:val="0033609F"/>
    <w:rsid w:val="003360D1"/>
    <w:rsid w:val="003360F7"/>
    <w:rsid w:val="00336135"/>
    <w:rsid w:val="00336147"/>
    <w:rsid w:val="00336157"/>
    <w:rsid w:val="00336181"/>
    <w:rsid w:val="003361A8"/>
    <w:rsid w:val="003361C0"/>
    <w:rsid w:val="003361E5"/>
    <w:rsid w:val="003361F6"/>
    <w:rsid w:val="00336207"/>
    <w:rsid w:val="00336216"/>
    <w:rsid w:val="00336227"/>
    <w:rsid w:val="00336248"/>
    <w:rsid w:val="0033625E"/>
    <w:rsid w:val="0033625F"/>
    <w:rsid w:val="003362CD"/>
    <w:rsid w:val="003362DC"/>
    <w:rsid w:val="0033631C"/>
    <w:rsid w:val="00336352"/>
    <w:rsid w:val="003363A3"/>
    <w:rsid w:val="003363DF"/>
    <w:rsid w:val="003363F5"/>
    <w:rsid w:val="00336404"/>
    <w:rsid w:val="00336407"/>
    <w:rsid w:val="00336426"/>
    <w:rsid w:val="00336436"/>
    <w:rsid w:val="00336440"/>
    <w:rsid w:val="00336484"/>
    <w:rsid w:val="0033649D"/>
    <w:rsid w:val="003364E9"/>
    <w:rsid w:val="003364F1"/>
    <w:rsid w:val="0033651F"/>
    <w:rsid w:val="00336533"/>
    <w:rsid w:val="00336534"/>
    <w:rsid w:val="00336546"/>
    <w:rsid w:val="00336565"/>
    <w:rsid w:val="0033656D"/>
    <w:rsid w:val="00336603"/>
    <w:rsid w:val="003366CB"/>
    <w:rsid w:val="003366D5"/>
    <w:rsid w:val="003366FB"/>
    <w:rsid w:val="00336709"/>
    <w:rsid w:val="00336755"/>
    <w:rsid w:val="003367E7"/>
    <w:rsid w:val="00336876"/>
    <w:rsid w:val="003368AA"/>
    <w:rsid w:val="003368B7"/>
    <w:rsid w:val="0033690D"/>
    <w:rsid w:val="0033696A"/>
    <w:rsid w:val="00336977"/>
    <w:rsid w:val="0033697B"/>
    <w:rsid w:val="003369E5"/>
    <w:rsid w:val="00336A0C"/>
    <w:rsid w:val="00336A49"/>
    <w:rsid w:val="00336B13"/>
    <w:rsid w:val="00336B26"/>
    <w:rsid w:val="00336B32"/>
    <w:rsid w:val="00336B3D"/>
    <w:rsid w:val="00336B47"/>
    <w:rsid w:val="00336B52"/>
    <w:rsid w:val="00336B6A"/>
    <w:rsid w:val="00336BA8"/>
    <w:rsid w:val="00336BEE"/>
    <w:rsid w:val="00336BEF"/>
    <w:rsid w:val="00336BFB"/>
    <w:rsid w:val="00336C22"/>
    <w:rsid w:val="00336C5E"/>
    <w:rsid w:val="00336C93"/>
    <w:rsid w:val="00336CEA"/>
    <w:rsid w:val="00336CEF"/>
    <w:rsid w:val="00336D4C"/>
    <w:rsid w:val="00336D85"/>
    <w:rsid w:val="00336DF9"/>
    <w:rsid w:val="00336E66"/>
    <w:rsid w:val="00336EAA"/>
    <w:rsid w:val="00336EB0"/>
    <w:rsid w:val="00336ECC"/>
    <w:rsid w:val="00336EF3"/>
    <w:rsid w:val="00336F4D"/>
    <w:rsid w:val="00337047"/>
    <w:rsid w:val="00337048"/>
    <w:rsid w:val="0033704C"/>
    <w:rsid w:val="0033708A"/>
    <w:rsid w:val="00337093"/>
    <w:rsid w:val="0033709E"/>
    <w:rsid w:val="003370E8"/>
    <w:rsid w:val="00337100"/>
    <w:rsid w:val="00337105"/>
    <w:rsid w:val="0033714E"/>
    <w:rsid w:val="00337179"/>
    <w:rsid w:val="00337192"/>
    <w:rsid w:val="003371BE"/>
    <w:rsid w:val="003371C8"/>
    <w:rsid w:val="003371EA"/>
    <w:rsid w:val="00337205"/>
    <w:rsid w:val="0033725F"/>
    <w:rsid w:val="003372A1"/>
    <w:rsid w:val="003372B7"/>
    <w:rsid w:val="003372C0"/>
    <w:rsid w:val="00337351"/>
    <w:rsid w:val="0033735D"/>
    <w:rsid w:val="0033735E"/>
    <w:rsid w:val="003373A4"/>
    <w:rsid w:val="003373D4"/>
    <w:rsid w:val="00337448"/>
    <w:rsid w:val="00337463"/>
    <w:rsid w:val="003374ED"/>
    <w:rsid w:val="003374EE"/>
    <w:rsid w:val="0033758B"/>
    <w:rsid w:val="003375BC"/>
    <w:rsid w:val="0033766E"/>
    <w:rsid w:val="0033769D"/>
    <w:rsid w:val="003376D3"/>
    <w:rsid w:val="00337708"/>
    <w:rsid w:val="00337712"/>
    <w:rsid w:val="0033778F"/>
    <w:rsid w:val="003377B4"/>
    <w:rsid w:val="00337846"/>
    <w:rsid w:val="00337861"/>
    <w:rsid w:val="00337884"/>
    <w:rsid w:val="003378DF"/>
    <w:rsid w:val="0033791F"/>
    <w:rsid w:val="00337999"/>
    <w:rsid w:val="003379D6"/>
    <w:rsid w:val="00337A07"/>
    <w:rsid w:val="00337A14"/>
    <w:rsid w:val="00337AA2"/>
    <w:rsid w:val="00337AC5"/>
    <w:rsid w:val="00337B25"/>
    <w:rsid w:val="00337B27"/>
    <w:rsid w:val="00337B3D"/>
    <w:rsid w:val="00337B4D"/>
    <w:rsid w:val="00337B53"/>
    <w:rsid w:val="00337B8E"/>
    <w:rsid w:val="00337B92"/>
    <w:rsid w:val="00337BF0"/>
    <w:rsid w:val="00337C53"/>
    <w:rsid w:val="00337C5C"/>
    <w:rsid w:val="00337C9D"/>
    <w:rsid w:val="00337D30"/>
    <w:rsid w:val="00337D60"/>
    <w:rsid w:val="00337D6F"/>
    <w:rsid w:val="00337D81"/>
    <w:rsid w:val="00337DEF"/>
    <w:rsid w:val="00337E01"/>
    <w:rsid w:val="00337E2B"/>
    <w:rsid w:val="00337E61"/>
    <w:rsid w:val="00337E69"/>
    <w:rsid w:val="00337E70"/>
    <w:rsid w:val="00337E88"/>
    <w:rsid w:val="00337EA9"/>
    <w:rsid w:val="00337F32"/>
    <w:rsid w:val="00337F3E"/>
    <w:rsid w:val="00337F63"/>
    <w:rsid w:val="00337F78"/>
    <w:rsid w:val="00337FA0"/>
    <w:rsid w:val="00337FB0"/>
    <w:rsid w:val="00337FF7"/>
    <w:rsid w:val="00337FF8"/>
    <w:rsid w:val="00340059"/>
    <w:rsid w:val="0034005C"/>
    <w:rsid w:val="0034009E"/>
    <w:rsid w:val="00340116"/>
    <w:rsid w:val="0034012D"/>
    <w:rsid w:val="00340130"/>
    <w:rsid w:val="00340155"/>
    <w:rsid w:val="00340199"/>
    <w:rsid w:val="003401AE"/>
    <w:rsid w:val="003401C3"/>
    <w:rsid w:val="003401EE"/>
    <w:rsid w:val="0034022F"/>
    <w:rsid w:val="0034023F"/>
    <w:rsid w:val="00340263"/>
    <w:rsid w:val="0034027B"/>
    <w:rsid w:val="00340284"/>
    <w:rsid w:val="003402DB"/>
    <w:rsid w:val="003402F0"/>
    <w:rsid w:val="00340313"/>
    <w:rsid w:val="0034031B"/>
    <w:rsid w:val="00340339"/>
    <w:rsid w:val="0034037A"/>
    <w:rsid w:val="0034038F"/>
    <w:rsid w:val="003403A3"/>
    <w:rsid w:val="003403AF"/>
    <w:rsid w:val="003403B1"/>
    <w:rsid w:val="003403B3"/>
    <w:rsid w:val="003403B8"/>
    <w:rsid w:val="003403F2"/>
    <w:rsid w:val="00340412"/>
    <w:rsid w:val="00340425"/>
    <w:rsid w:val="0034043C"/>
    <w:rsid w:val="00340445"/>
    <w:rsid w:val="00340486"/>
    <w:rsid w:val="0034049C"/>
    <w:rsid w:val="003404C3"/>
    <w:rsid w:val="0034050F"/>
    <w:rsid w:val="00340542"/>
    <w:rsid w:val="00340566"/>
    <w:rsid w:val="00340597"/>
    <w:rsid w:val="003405C3"/>
    <w:rsid w:val="003405DE"/>
    <w:rsid w:val="003405EC"/>
    <w:rsid w:val="00340605"/>
    <w:rsid w:val="0034061A"/>
    <w:rsid w:val="00340631"/>
    <w:rsid w:val="00340636"/>
    <w:rsid w:val="0034063B"/>
    <w:rsid w:val="00340641"/>
    <w:rsid w:val="00340692"/>
    <w:rsid w:val="003406C7"/>
    <w:rsid w:val="00340741"/>
    <w:rsid w:val="00340750"/>
    <w:rsid w:val="00340772"/>
    <w:rsid w:val="00340778"/>
    <w:rsid w:val="0034077F"/>
    <w:rsid w:val="00340788"/>
    <w:rsid w:val="003407A9"/>
    <w:rsid w:val="003407CF"/>
    <w:rsid w:val="003407D1"/>
    <w:rsid w:val="00340818"/>
    <w:rsid w:val="00340820"/>
    <w:rsid w:val="00340881"/>
    <w:rsid w:val="0034088C"/>
    <w:rsid w:val="00340918"/>
    <w:rsid w:val="00340942"/>
    <w:rsid w:val="00340948"/>
    <w:rsid w:val="00340A25"/>
    <w:rsid w:val="00340A4F"/>
    <w:rsid w:val="00340A66"/>
    <w:rsid w:val="00340A8F"/>
    <w:rsid w:val="00340A9E"/>
    <w:rsid w:val="00340AB4"/>
    <w:rsid w:val="00340ABC"/>
    <w:rsid w:val="00340ACD"/>
    <w:rsid w:val="00340ACF"/>
    <w:rsid w:val="00340B0A"/>
    <w:rsid w:val="00340B13"/>
    <w:rsid w:val="00340B4B"/>
    <w:rsid w:val="00340B95"/>
    <w:rsid w:val="00340B9B"/>
    <w:rsid w:val="00340BAB"/>
    <w:rsid w:val="00340BFD"/>
    <w:rsid w:val="00340D3C"/>
    <w:rsid w:val="00340D4B"/>
    <w:rsid w:val="00340D4C"/>
    <w:rsid w:val="00340DCB"/>
    <w:rsid w:val="00340E3D"/>
    <w:rsid w:val="00340E53"/>
    <w:rsid w:val="00340E6F"/>
    <w:rsid w:val="00340E90"/>
    <w:rsid w:val="00340EAA"/>
    <w:rsid w:val="00340EAD"/>
    <w:rsid w:val="00340EF9"/>
    <w:rsid w:val="00340F57"/>
    <w:rsid w:val="00340F7C"/>
    <w:rsid w:val="00340F80"/>
    <w:rsid w:val="00340F97"/>
    <w:rsid w:val="00340FAC"/>
    <w:rsid w:val="00340FCE"/>
    <w:rsid w:val="00340FD8"/>
    <w:rsid w:val="00341023"/>
    <w:rsid w:val="00341061"/>
    <w:rsid w:val="003410E1"/>
    <w:rsid w:val="003410E4"/>
    <w:rsid w:val="00341169"/>
    <w:rsid w:val="00341178"/>
    <w:rsid w:val="0034118E"/>
    <w:rsid w:val="0034120C"/>
    <w:rsid w:val="0034121D"/>
    <w:rsid w:val="00341245"/>
    <w:rsid w:val="00341248"/>
    <w:rsid w:val="0034125E"/>
    <w:rsid w:val="00341268"/>
    <w:rsid w:val="0034126A"/>
    <w:rsid w:val="003412FC"/>
    <w:rsid w:val="0034130B"/>
    <w:rsid w:val="00341386"/>
    <w:rsid w:val="00341389"/>
    <w:rsid w:val="00341426"/>
    <w:rsid w:val="003414B6"/>
    <w:rsid w:val="003414E6"/>
    <w:rsid w:val="003414F6"/>
    <w:rsid w:val="0034153B"/>
    <w:rsid w:val="00341547"/>
    <w:rsid w:val="0034155D"/>
    <w:rsid w:val="003415C0"/>
    <w:rsid w:val="003415D5"/>
    <w:rsid w:val="003415FC"/>
    <w:rsid w:val="0034160E"/>
    <w:rsid w:val="00341672"/>
    <w:rsid w:val="00341699"/>
    <w:rsid w:val="003416A6"/>
    <w:rsid w:val="003416C3"/>
    <w:rsid w:val="003416CB"/>
    <w:rsid w:val="003416DC"/>
    <w:rsid w:val="0034173B"/>
    <w:rsid w:val="003417A7"/>
    <w:rsid w:val="003417D0"/>
    <w:rsid w:val="003417F7"/>
    <w:rsid w:val="00341806"/>
    <w:rsid w:val="00341828"/>
    <w:rsid w:val="003418D3"/>
    <w:rsid w:val="003418FD"/>
    <w:rsid w:val="00341934"/>
    <w:rsid w:val="00341978"/>
    <w:rsid w:val="003419ED"/>
    <w:rsid w:val="00341A13"/>
    <w:rsid w:val="00341A24"/>
    <w:rsid w:val="00341A40"/>
    <w:rsid w:val="00341A80"/>
    <w:rsid w:val="00341A84"/>
    <w:rsid w:val="00341AA2"/>
    <w:rsid w:val="00341B2A"/>
    <w:rsid w:val="00341B2D"/>
    <w:rsid w:val="00341B79"/>
    <w:rsid w:val="00341B89"/>
    <w:rsid w:val="00341BDD"/>
    <w:rsid w:val="00341BE4"/>
    <w:rsid w:val="00341BF0"/>
    <w:rsid w:val="00341BFC"/>
    <w:rsid w:val="00341C15"/>
    <w:rsid w:val="00341C32"/>
    <w:rsid w:val="00341C40"/>
    <w:rsid w:val="00341CA6"/>
    <w:rsid w:val="00341CE3"/>
    <w:rsid w:val="00341D28"/>
    <w:rsid w:val="00341DB8"/>
    <w:rsid w:val="00341E4A"/>
    <w:rsid w:val="00341E5B"/>
    <w:rsid w:val="00341EB0"/>
    <w:rsid w:val="00341EBC"/>
    <w:rsid w:val="00341EBE"/>
    <w:rsid w:val="00341ECC"/>
    <w:rsid w:val="00341EF6"/>
    <w:rsid w:val="00341EFB"/>
    <w:rsid w:val="00341F3A"/>
    <w:rsid w:val="00341F40"/>
    <w:rsid w:val="00341FDB"/>
    <w:rsid w:val="00341FEC"/>
    <w:rsid w:val="0034202C"/>
    <w:rsid w:val="0034209D"/>
    <w:rsid w:val="003420BA"/>
    <w:rsid w:val="003420BB"/>
    <w:rsid w:val="003420D1"/>
    <w:rsid w:val="003420DE"/>
    <w:rsid w:val="00342106"/>
    <w:rsid w:val="0034210B"/>
    <w:rsid w:val="00342163"/>
    <w:rsid w:val="003421D3"/>
    <w:rsid w:val="00342202"/>
    <w:rsid w:val="00342205"/>
    <w:rsid w:val="0034220F"/>
    <w:rsid w:val="00342228"/>
    <w:rsid w:val="00342262"/>
    <w:rsid w:val="003422C1"/>
    <w:rsid w:val="003422D1"/>
    <w:rsid w:val="003422F8"/>
    <w:rsid w:val="00342313"/>
    <w:rsid w:val="00342342"/>
    <w:rsid w:val="00342368"/>
    <w:rsid w:val="00342383"/>
    <w:rsid w:val="00342436"/>
    <w:rsid w:val="00342471"/>
    <w:rsid w:val="003424CA"/>
    <w:rsid w:val="003424D1"/>
    <w:rsid w:val="003425B1"/>
    <w:rsid w:val="003425F8"/>
    <w:rsid w:val="00342601"/>
    <w:rsid w:val="00342625"/>
    <w:rsid w:val="00342638"/>
    <w:rsid w:val="00342662"/>
    <w:rsid w:val="0034266E"/>
    <w:rsid w:val="00342698"/>
    <w:rsid w:val="003426BF"/>
    <w:rsid w:val="003426C3"/>
    <w:rsid w:val="003426E1"/>
    <w:rsid w:val="00342728"/>
    <w:rsid w:val="00342770"/>
    <w:rsid w:val="0034277B"/>
    <w:rsid w:val="003427BF"/>
    <w:rsid w:val="00342809"/>
    <w:rsid w:val="0034280B"/>
    <w:rsid w:val="00342843"/>
    <w:rsid w:val="0034287C"/>
    <w:rsid w:val="00342881"/>
    <w:rsid w:val="0034289A"/>
    <w:rsid w:val="003428E8"/>
    <w:rsid w:val="003428F0"/>
    <w:rsid w:val="0034292E"/>
    <w:rsid w:val="003429BC"/>
    <w:rsid w:val="00342A3D"/>
    <w:rsid w:val="00342A40"/>
    <w:rsid w:val="00342A66"/>
    <w:rsid w:val="00342AA6"/>
    <w:rsid w:val="00342AB8"/>
    <w:rsid w:val="00342B0A"/>
    <w:rsid w:val="00342B17"/>
    <w:rsid w:val="00342B4C"/>
    <w:rsid w:val="00342B50"/>
    <w:rsid w:val="00342B77"/>
    <w:rsid w:val="00342B7E"/>
    <w:rsid w:val="00342BA9"/>
    <w:rsid w:val="00342BCE"/>
    <w:rsid w:val="00342C04"/>
    <w:rsid w:val="00342C0E"/>
    <w:rsid w:val="00342C4A"/>
    <w:rsid w:val="00342C62"/>
    <w:rsid w:val="00342C6F"/>
    <w:rsid w:val="00342C80"/>
    <w:rsid w:val="00342C91"/>
    <w:rsid w:val="00342CE9"/>
    <w:rsid w:val="00342D45"/>
    <w:rsid w:val="00342D64"/>
    <w:rsid w:val="00342D67"/>
    <w:rsid w:val="00342DD6"/>
    <w:rsid w:val="00342DE6"/>
    <w:rsid w:val="00342E2C"/>
    <w:rsid w:val="00342E34"/>
    <w:rsid w:val="00342EBA"/>
    <w:rsid w:val="00342EDF"/>
    <w:rsid w:val="00342F63"/>
    <w:rsid w:val="00342FCD"/>
    <w:rsid w:val="00342FEC"/>
    <w:rsid w:val="00342FEF"/>
    <w:rsid w:val="00343008"/>
    <w:rsid w:val="00343021"/>
    <w:rsid w:val="0034302A"/>
    <w:rsid w:val="0034303E"/>
    <w:rsid w:val="00343051"/>
    <w:rsid w:val="0034306F"/>
    <w:rsid w:val="00343094"/>
    <w:rsid w:val="00343116"/>
    <w:rsid w:val="00343138"/>
    <w:rsid w:val="0034316D"/>
    <w:rsid w:val="00343192"/>
    <w:rsid w:val="003431C1"/>
    <w:rsid w:val="003431D5"/>
    <w:rsid w:val="003431E3"/>
    <w:rsid w:val="003431E6"/>
    <w:rsid w:val="00343233"/>
    <w:rsid w:val="0034327C"/>
    <w:rsid w:val="0034327F"/>
    <w:rsid w:val="003432F6"/>
    <w:rsid w:val="00343323"/>
    <w:rsid w:val="0034334C"/>
    <w:rsid w:val="003433DA"/>
    <w:rsid w:val="003433E8"/>
    <w:rsid w:val="0034344C"/>
    <w:rsid w:val="00343454"/>
    <w:rsid w:val="00343499"/>
    <w:rsid w:val="003434BC"/>
    <w:rsid w:val="003434ED"/>
    <w:rsid w:val="003434F4"/>
    <w:rsid w:val="0034356B"/>
    <w:rsid w:val="003435CC"/>
    <w:rsid w:val="003435D2"/>
    <w:rsid w:val="003435EE"/>
    <w:rsid w:val="00343608"/>
    <w:rsid w:val="00343633"/>
    <w:rsid w:val="0034367F"/>
    <w:rsid w:val="00343689"/>
    <w:rsid w:val="003436A5"/>
    <w:rsid w:val="0034371A"/>
    <w:rsid w:val="00343720"/>
    <w:rsid w:val="00343739"/>
    <w:rsid w:val="00343762"/>
    <w:rsid w:val="0034377C"/>
    <w:rsid w:val="00343796"/>
    <w:rsid w:val="003437C4"/>
    <w:rsid w:val="0034383D"/>
    <w:rsid w:val="00343845"/>
    <w:rsid w:val="0034384D"/>
    <w:rsid w:val="0034386B"/>
    <w:rsid w:val="003438AE"/>
    <w:rsid w:val="003438D5"/>
    <w:rsid w:val="00343917"/>
    <w:rsid w:val="0034393F"/>
    <w:rsid w:val="00343943"/>
    <w:rsid w:val="00343984"/>
    <w:rsid w:val="00343A18"/>
    <w:rsid w:val="00343A27"/>
    <w:rsid w:val="00343A74"/>
    <w:rsid w:val="00343AA5"/>
    <w:rsid w:val="00343AB3"/>
    <w:rsid w:val="00343AE0"/>
    <w:rsid w:val="00343B17"/>
    <w:rsid w:val="00343B1D"/>
    <w:rsid w:val="00343B45"/>
    <w:rsid w:val="00343BAC"/>
    <w:rsid w:val="00343BE3"/>
    <w:rsid w:val="00343C08"/>
    <w:rsid w:val="00343C15"/>
    <w:rsid w:val="00343C4A"/>
    <w:rsid w:val="00343C53"/>
    <w:rsid w:val="00343CD5"/>
    <w:rsid w:val="00343CF3"/>
    <w:rsid w:val="00343D0D"/>
    <w:rsid w:val="00343D35"/>
    <w:rsid w:val="00343D47"/>
    <w:rsid w:val="00343D5C"/>
    <w:rsid w:val="00343D60"/>
    <w:rsid w:val="00343D8B"/>
    <w:rsid w:val="00343D8C"/>
    <w:rsid w:val="00343DA7"/>
    <w:rsid w:val="00343DB4"/>
    <w:rsid w:val="00343DBE"/>
    <w:rsid w:val="00343DC5"/>
    <w:rsid w:val="00343DD0"/>
    <w:rsid w:val="00343DD4"/>
    <w:rsid w:val="00343E0F"/>
    <w:rsid w:val="00343E45"/>
    <w:rsid w:val="00343E6C"/>
    <w:rsid w:val="00343E91"/>
    <w:rsid w:val="00343EA3"/>
    <w:rsid w:val="00343EA4"/>
    <w:rsid w:val="00343EA7"/>
    <w:rsid w:val="00343ED3"/>
    <w:rsid w:val="00343F4D"/>
    <w:rsid w:val="00343FF7"/>
    <w:rsid w:val="0034400A"/>
    <w:rsid w:val="0034400C"/>
    <w:rsid w:val="00344010"/>
    <w:rsid w:val="00344037"/>
    <w:rsid w:val="00344059"/>
    <w:rsid w:val="003440B9"/>
    <w:rsid w:val="003440F3"/>
    <w:rsid w:val="0034417D"/>
    <w:rsid w:val="0034418D"/>
    <w:rsid w:val="003441A2"/>
    <w:rsid w:val="003441A7"/>
    <w:rsid w:val="003441C4"/>
    <w:rsid w:val="003441F3"/>
    <w:rsid w:val="003441F6"/>
    <w:rsid w:val="00344215"/>
    <w:rsid w:val="00344220"/>
    <w:rsid w:val="00344236"/>
    <w:rsid w:val="0034423A"/>
    <w:rsid w:val="00344251"/>
    <w:rsid w:val="003442B7"/>
    <w:rsid w:val="003442CA"/>
    <w:rsid w:val="003442F5"/>
    <w:rsid w:val="00344337"/>
    <w:rsid w:val="00344341"/>
    <w:rsid w:val="0034436B"/>
    <w:rsid w:val="00344387"/>
    <w:rsid w:val="00344388"/>
    <w:rsid w:val="003443BB"/>
    <w:rsid w:val="003443E9"/>
    <w:rsid w:val="00344416"/>
    <w:rsid w:val="00344434"/>
    <w:rsid w:val="00344445"/>
    <w:rsid w:val="0034444A"/>
    <w:rsid w:val="00344510"/>
    <w:rsid w:val="00344511"/>
    <w:rsid w:val="00344547"/>
    <w:rsid w:val="00344558"/>
    <w:rsid w:val="00344585"/>
    <w:rsid w:val="003445E2"/>
    <w:rsid w:val="003445E3"/>
    <w:rsid w:val="0034461E"/>
    <w:rsid w:val="0034464A"/>
    <w:rsid w:val="00344655"/>
    <w:rsid w:val="00344701"/>
    <w:rsid w:val="00344779"/>
    <w:rsid w:val="00344782"/>
    <w:rsid w:val="003447C4"/>
    <w:rsid w:val="0034481C"/>
    <w:rsid w:val="0034483B"/>
    <w:rsid w:val="0034484F"/>
    <w:rsid w:val="0034485B"/>
    <w:rsid w:val="00344873"/>
    <w:rsid w:val="00344879"/>
    <w:rsid w:val="00344939"/>
    <w:rsid w:val="0034494C"/>
    <w:rsid w:val="00344A02"/>
    <w:rsid w:val="00344A0F"/>
    <w:rsid w:val="00344A17"/>
    <w:rsid w:val="00344A79"/>
    <w:rsid w:val="00344ACC"/>
    <w:rsid w:val="00344AD4"/>
    <w:rsid w:val="00344B0C"/>
    <w:rsid w:val="00344B37"/>
    <w:rsid w:val="00344B4B"/>
    <w:rsid w:val="00344BB2"/>
    <w:rsid w:val="00344C02"/>
    <w:rsid w:val="00344C8A"/>
    <w:rsid w:val="00344C92"/>
    <w:rsid w:val="00344CA7"/>
    <w:rsid w:val="00344CA8"/>
    <w:rsid w:val="00344CFB"/>
    <w:rsid w:val="00344D21"/>
    <w:rsid w:val="00344D5B"/>
    <w:rsid w:val="00344D6F"/>
    <w:rsid w:val="00344D83"/>
    <w:rsid w:val="00344DDF"/>
    <w:rsid w:val="00344DE1"/>
    <w:rsid w:val="00344E08"/>
    <w:rsid w:val="00344E38"/>
    <w:rsid w:val="00344E95"/>
    <w:rsid w:val="00344EEF"/>
    <w:rsid w:val="00344F0A"/>
    <w:rsid w:val="00344F17"/>
    <w:rsid w:val="00344F25"/>
    <w:rsid w:val="00344F3D"/>
    <w:rsid w:val="00344F52"/>
    <w:rsid w:val="00344F86"/>
    <w:rsid w:val="00344F9F"/>
    <w:rsid w:val="00345011"/>
    <w:rsid w:val="00345020"/>
    <w:rsid w:val="0034503A"/>
    <w:rsid w:val="0034504A"/>
    <w:rsid w:val="00345094"/>
    <w:rsid w:val="003450AE"/>
    <w:rsid w:val="003450EE"/>
    <w:rsid w:val="003450F2"/>
    <w:rsid w:val="00345115"/>
    <w:rsid w:val="00345125"/>
    <w:rsid w:val="00345127"/>
    <w:rsid w:val="00345138"/>
    <w:rsid w:val="00345144"/>
    <w:rsid w:val="0034515D"/>
    <w:rsid w:val="003451D4"/>
    <w:rsid w:val="003451EF"/>
    <w:rsid w:val="003451F3"/>
    <w:rsid w:val="00345229"/>
    <w:rsid w:val="0034522C"/>
    <w:rsid w:val="00345285"/>
    <w:rsid w:val="003452D1"/>
    <w:rsid w:val="003452FE"/>
    <w:rsid w:val="00345366"/>
    <w:rsid w:val="003453AA"/>
    <w:rsid w:val="003453AB"/>
    <w:rsid w:val="003453B0"/>
    <w:rsid w:val="003453DE"/>
    <w:rsid w:val="003453E0"/>
    <w:rsid w:val="003453E3"/>
    <w:rsid w:val="003453E7"/>
    <w:rsid w:val="003453EA"/>
    <w:rsid w:val="00345415"/>
    <w:rsid w:val="00345416"/>
    <w:rsid w:val="00345439"/>
    <w:rsid w:val="00345443"/>
    <w:rsid w:val="00345457"/>
    <w:rsid w:val="0034545E"/>
    <w:rsid w:val="00345474"/>
    <w:rsid w:val="00345482"/>
    <w:rsid w:val="00345485"/>
    <w:rsid w:val="003454DE"/>
    <w:rsid w:val="003454E5"/>
    <w:rsid w:val="0034554D"/>
    <w:rsid w:val="0034556C"/>
    <w:rsid w:val="003455A3"/>
    <w:rsid w:val="003455CE"/>
    <w:rsid w:val="003455FC"/>
    <w:rsid w:val="0034563B"/>
    <w:rsid w:val="00345661"/>
    <w:rsid w:val="0034566D"/>
    <w:rsid w:val="00345687"/>
    <w:rsid w:val="00345698"/>
    <w:rsid w:val="003456C6"/>
    <w:rsid w:val="0034571C"/>
    <w:rsid w:val="0034571D"/>
    <w:rsid w:val="00345741"/>
    <w:rsid w:val="00345758"/>
    <w:rsid w:val="003457F7"/>
    <w:rsid w:val="00345810"/>
    <w:rsid w:val="00345824"/>
    <w:rsid w:val="00345838"/>
    <w:rsid w:val="0034583D"/>
    <w:rsid w:val="00345846"/>
    <w:rsid w:val="0034585D"/>
    <w:rsid w:val="00345864"/>
    <w:rsid w:val="003458E5"/>
    <w:rsid w:val="00345902"/>
    <w:rsid w:val="0034590B"/>
    <w:rsid w:val="0034590C"/>
    <w:rsid w:val="00345910"/>
    <w:rsid w:val="0034593A"/>
    <w:rsid w:val="0034598E"/>
    <w:rsid w:val="003459CF"/>
    <w:rsid w:val="00345A04"/>
    <w:rsid w:val="00345A39"/>
    <w:rsid w:val="00345A44"/>
    <w:rsid w:val="00345AC3"/>
    <w:rsid w:val="00345AE2"/>
    <w:rsid w:val="00345B19"/>
    <w:rsid w:val="00345C02"/>
    <w:rsid w:val="00345C09"/>
    <w:rsid w:val="00345C3C"/>
    <w:rsid w:val="00345CA0"/>
    <w:rsid w:val="00345CA4"/>
    <w:rsid w:val="00345D5A"/>
    <w:rsid w:val="00345D6E"/>
    <w:rsid w:val="00345D8D"/>
    <w:rsid w:val="00345DA8"/>
    <w:rsid w:val="00345E4B"/>
    <w:rsid w:val="00345E50"/>
    <w:rsid w:val="00345E65"/>
    <w:rsid w:val="00345EAE"/>
    <w:rsid w:val="00345EEC"/>
    <w:rsid w:val="00345EFF"/>
    <w:rsid w:val="00345F2D"/>
    <w:rsid w:val="00345F2F"/>
    <w:rsid w:val="00345F31"/>
    <w:rsid w:val="00345F6F"/>
    <w:rsid w:val="00345F88"/>
    <w:rsid w:val="00345F90"/>
    <w:rsid w:val="00345FA6"/>
    <w:rsid w:val="00345FFA"/>
    <w:rsid w:val="0034602A"/>
    <w:rsid w:val="0034608F"/>
    <w:rsid w:val="003460E8"/>
    <w:rsid w:val="003460F3"/>
    <w:rsid w:val="0034619C"/>
    <w:rsid w:val="003461DA"/>
    <w:rsid w:val="003461FD"/>
    <w:rsid w:val="00346257"/>
    <w:rsid w:val="0034636C"/>
    <w:rsid w:val="003463A1"/>
    <w:rsid w:val="003463A3"/>
    <w:rsid w:val="003463AD"/>
    <w:rsid w:val="003463CF"/>
    <w:rsid w:val="003463D4"/>
    <w:rsid w:val="003463D9"/>
    <w:rsid w:val="003463DB"/>
    <w:rsid w:val="003463F4"/>
    <w:rsid w:val="003463F7"/>
    <w:rsid w:val="0034643C"/>
    <w:rsid w:val="0034646C"/>
    <w:rsid w:val="00346475"/>
    <w:rsid w:val="00346478"/>
    <w:rsid w:val="00346489"/>
    <w:rsid w:val="003464DC"/>
    <w:rsid w:val="003464F3"/>
    <w:rsid w:val="00346569"/>
    <w:rsid w:val="00346577"/>
    <w:rsid w:val="003465EB"/>
    <w:rsid w:val="003465F3"/>
    <w:rsid w:val="0034662C"/>
    <w:rsid w:val="0034662D"/>
    <w:rsid w:val="00346638"/>
    <w:rsid w:val="0034664F"/>
    <w:rsid w:val="00346653"/>
    <w:rsid w:val="00346659"/>
    <w:rsid w:val="003466F0"/>
    <w:rsid w:val="003466F9"/>
    <w:rsid w:val="00346749"/>
    <w:rsid w:val="003467DE"/>
    <w:rsid w:val="003467E4"/>
    <w:rsid w:val="003467EF"/>
    <w:rsid w:val="0034683D"/>
    <w:rsid w:val="00346896"/>
    <w:rsid w:val="00346953"/>
    <w:rsid w:val="00346961"/>
    <w:rsid w:val="0034697C"/>
    <w:rsid w:val="003469D4"/>
    <w:rsid w:val="003469E1"/>
    <w:rsid w:val="003469FC"/>
    <w:rsid w:val="003469FD"/>
    <w:rsid w:val="00346A00"/>
    <w:rsid w:val="00346A0E"/>
    <w:rsid w:val="00346A13"/>
    <w:rsid w:val="00346A15"/>
    <w:rsid w:val="00346A1A"/>
    <w:rsid w:val="00346A26"/>
    <w:rsid w:val="00346A2B"/>
    <w:rsid w:val="00346A8E"/>
    <w:rsid w:val="00346AA0"/>
    <w:rsid w:val="00346ABF"/>
    <w:rsid w:val="00346B0F"/>
    <w:rsid w:val="00346B1F"/>
    <w:rsid w:val="00346B80"/>
    <w:rsid w:val="00346B91"/>
    <w:rsid w:val="00346BCE"/>
    <w:rsid w:val="00346C13"/>
    <w:rsid w:val="00346C17"/>
    <w:rsid w:val="00346C44"/>
    <w:rsid w:val="00346C57"/>
    <w:rsid w:val="00346CBB"/>
    <w:rsid w:val="00346D0E"/>
    <w:rsid w:val="00346D1F"/>
    <w:rsid w:val="00346D28"/>
    <w:rsid w:val="00346DE7"/>
    <w:rsid w:val="00346E29"/>
    <w:rsid w:val="00346E7C"/>
    <w:rsid w:val="00346E83"/>
    <w:rsid w:val="00346EA6"/>
    <w:rsid w:val="00346ECE"/>
    <w:rsid w:val="00346F48"/>
    <w:rsid w:val="00346F71"/>
    <w:rsid w:val="00346F82"/>
    <w:rsid w:val="00346F91"/>
    <w:rsid w:val="00346FC6"/>
    <w:rsid w:val="00346FCB"/>
    <w:rsid w:val="00346FD0"/>
    <w:rsid w:val="00347013"/>
    <w:rsid w:val="00347014"/>
    <w:rsid w:val="00347032"/>
    <w:rsid w:val="00347079"/>
    <w:rsid w:val="00347093"/>
    <w:rsid w:val="003470ED"/>
    <w:rsid w:val="00347112"/>
    <w:rsid w:val="00347154"/>
    <w:rsid w:val="00347187"/>
    <w:rsid w:val="003471D0"/>
    <w:rsid w:val="003471D7"/>
    <w:rsid w:val="003471F4"/>
    <w:rsid w:val="00347200"/>
    <w:rsid w:val="00347202"/>
    <w:rsid w:val="00347222"/>
    <w:rsid w:val="00347238"/>
    <w:rsid w:val="00347252"/>
    <w:rsid w:val="0034725D"/>
    <w:rsid w:val="00347290"/>
    <w:rsid w:val="003472CC"/>
    <w:rsid w:val="00347310"/>
    <w:rsid w:val="00347372"/>
    <w:rsid w:val="0034738B"/>
    <w:rsid w:val="00347407"/>
    <w:rsid w:val="00347474"/>
    <w:rsid w:val="0034750B"/>
    <w:rsid w:val="00347517"/>
    <w:rsid w:val="00347565"/>
    <w:rsid w:val="0034756E"/>
    <w:rsid w:val="00347579"/>
    <w:rsid w:val="0034757B"/>
    <w:rsid w:val="00347598"/>
    <w:rsid w:val="003475F7"/>
    <w:rsid w:val="00347619"/>
    <w:rsid w:val="00347624"/>
    <w:rsid w:val="0034765A"/>
    <w:rsid w:val="003476DA"/>
    <w:rsid w:val="00347710"/>
    <w:rsid w:val="0034771B"/>
    <w:rsid w:val="003477A7"/>
    <w:rsid w:val="003477EF"/>
    <w:rsid w:val="003477F0"/>
    <w:rsid w:val="0034786E"/>
    <w:rsid w:val="00347896"/>
    <w:rsid w:val="003478A4"/>
    <w:rsid w:val="003478AF"/>
    <w:rsid w:val="003478B0"/>
    <w:rsid w:val="00347940"/>
    <w:rsid w:val="00347959"/>
    <w:rsid w:val="00347963"/>
    <w:rsid w:val="003479AF"/>
    <w:rsid w:val="003479E4"/>
    <w:rsid w:val="003479EA"/>
    <w:rsid w:val="003479F6"/>
    <w:rsid w:val="00347A4C"/>
    <w:rsid w:val="00347A64"/>
    <w:rsid w:val="00347A7B"/>
    <w:rsid w:val="00347A99"/>
    <w:rsid w:val="00347ABC"/>
    <w:rsid w:val="00347ABD"/>
    <w:rsid w:val="00347AC9"/>
    <w:rsid w:val="00347ADF"/>
    <w:rsid w:val="00347B28"/>
    <w:rsid w:val="00347B47"/>
    <w:rsid w:val="00347B51"/>
    <w:rsid w:val="00347B7C"/>
    <w:rsid w:val="00347B98"/>
    <w:rsid w:val="00347BA8"/>
    <w:rsid w:val="00347BF1"/>
    <w:rsid w:val="00347C2A"/>
    <w:rsid w:val="00347C7B"/>
    <w:rsid w:val="00347C99"/>
    <w:rsid w:val="00347C9D"/>
    <w:rsid w:val="00347D1D"/>
    <w:rsid w:val="00347D5F"/>
    <w:rsid w:val="00347D68"/>
    <w:rsid w:val="00347D7F"/>
    <w:rsid w:val="00347D89"/>
    <w:rsid w:val="00347E49"/>
    <w:rsid w:val="00347E92"/>
    <w:rsid w:val="00347E93"/>
    <w:rsid w:val="00347E94"/>
    <w:rsid w:val="00347F00"/>
    <w:rsid w:val="00347F29"/>
    <w:rsid w:val="00347F6B"/>
    <w:rsid w:val="00347F75"/>
    <w:rsid w:val="00347F83"/>
    <w:rsid w:val="00347FA2"/>
    <w:rsid w:val="00347FD6"/>
    <w:rsid w:val="00347FFD"/>
    <w:rsid w:val="0035003B"/>
    <w:rsid w:val="00350043"/>
    <w:rsid w:val="00350074"/>
    <w:rsid w:val="0035009E"/>
    <w:rsid w:val="003500F0"/>
    <w:rsid w:val="00350123"/>
    <w:rsid w:val="0035013A"/>
    <w:rsid w:val="0035015C"/>
    <w:rsid w:val="0035015E"/>
    <w:rsid w:val="003501D2"/>
    <w:rsid w:val="00350216"/>
    <w:rsid w:val="00350239"/>
    <w:rsid w:val="00350243"/>
    <w:rsid w:val="00350257"/>
    <w:rsid w:val="00350277"/>
    <w:rsid w:val="00350282"/>
    <w:rsid w:val="00350308"/>
    <w:rsid w:val="0035030B"/>
    <w:rsid w:val="00350382"/>
    <w:rsid w:val="00350385"/>
    <w:rsid w:val="003503CD"/>
    <w:rsid w:val="00350442"/>
    <w:rsid w:val="0035046F"/>
    <w:rsid w:val="003504A6"/>
    <w:rsid w:val="003504A9"/>
    <w:rsid w:val="003504B6"/>
    <w:rsid w:val="003504B9"/>
    <w:rsid w:val="003504CF"/>
    <w:rsid w:val="003504DF"/>
    <w:rsid w:val="003504E6"/>
    <w:rsid w:val="0035052E"/>
    <w:rsid w:val="00350539"/>
    <w:rsid w:val="0035058F"/>
    <w:rsid w:val="003505D9"/>
    <w:rsid w:val="003505E3"/>
    <w:rsid w:val="00350626"/>
    <w:rsid w:val="00350653"/>
    <w:rsid w:val="00350678"/>
    <w:rsid w:val="0035069E"/>
    <w:rsid w:val="003506B7"/>
    <w:rsid w:val="003506FD"/>
    <w:rsid w:val="00350722"/>
    <w:rsid w:val="0035072B"/>
    <w:rsid w:val="00350769"/>
    <w:rsid w:val="0035078E"/>
    <w:rsid w:val="003507D6"/>
    <w:rsid w:val="00350804"/>
    <w:rsid w:val="0035083D"/>
    <w:rsid w:val="0035085B"/>
    <w:rsid w:val="0035088E"/>
    <w:rsid w:val="0035090D"/>
    <w:rsid w:val="00350931"/>
    <w:rsid w:val="0035095A"/>
    <w:rsid w:val="00350962"/>
    <w:rsid w:val="0035099B"/>
    <w:rsid w:val="003509A9"/>
    <w:rsid w:val="003509B6"/>
    <w:rsid w:val="003509C0"/>
    <w:rsid w:val="003509C8"/>
    <w:rsid w:val="003509E2"/>
    <w:rsid w:val="003509FA"/>
    <w:rsid w:val="00350A08"/>
    <w:rsid w:val="00350A16"/>
    <w:rsid w:val="00350A32"/>
    <w:rsid w:val="00350A38"/>
    <w:rsid w:val="00350A51"/>
    <w:rsid w:val="00350A6B"/>
    <w:rsid w:val="00350B3A"/>
    <w:rsid w:val="00350B5A"/>
    <w:rsid w:val="00350B74"/>
    <w:rsid w:val="00350B95"/>
    <w:rsid w:val="00350B97"/>
    <w:rsid w:val="00350BC2"/>
    <w:rsid w:val="00350BF3"/>
    <w:rsid w:val="00350BFB"/>
    <w:rsid w:val="00350C16"/>
    <w:rsid w:val="00350CAC"/>
    <w:rsid w:val="00350CE9"/>
    <w:rsid w:val="00350D1E"/>
    <w:rsid w:val="00350D28"/>
    <w:rsid w:val="00350D7A"/>
    <w:rsid w:val="00350DA5"/>
    <w:rsid w:val="00350E2D"/>
    <w:rsid w:val="00350E62"/>
    <w:rsid w:val="00350E82"/>
    <w:rsid w:val="00350E9C"/>
    <w:rsid w:val="00350EB7"/>
    <w:rsid w:val="00350EB9"/>
    <w:rsid w:val="00350EE8"/>
    <w:rsid w:val="00350EFD"/>
    <w:rsid w:val="00350F2E"/>
    <w:rsid w:val="00350F39"/>
    <w:rsid w:val="00350F4F"/>
    <w:rsid w:val="00350F55"/>
    <w:rsid w:val="00350F57"/>
    <w:rsid w:val="00350F58"/>
    <w:rsid w:val="00350F8A"/>
    <w:rsid w:val="00350FC7"/>
    <w:rsid w:val="00351053"/>
    <w:rsid w:val="0035105A"/>
    <w:rsid w:val="00351080"/>
    <w:rsid w:val="0035108A"/>
    <w:rsid w:val="003510C9"/>
    <w:rsid w:val="003510E0"/>
    <w:rsid w:val="003510F9"/>
    <w:rsid w:val="00351146"/>
    <w:rsid w:val="00351147"/>
    <w:rsid w:val="00351176"/>
    <w:rsid w:val="0035119A"/>
    <w:rsid w:val="00351245"/>
    <w:rsid w:val="0035127F"/>
    <w:rsid w:val="003512E2"/>
    <w:rsid w:val="003512F0"/>
    <w:rsid w:val="00351379"/>
    <w:rsid w:val="003513FC"/>
    <w:rsid w:val="00351435"/>
    <w:rsid w:val="0035143D"/>
    <w:rsid w:val="00351455"/>
    <w:rsid w:val="003514A6"/>
    <w:rsid w:val="003514E0"/>
    <w:rsid w:val="0035150B"/>
    <w:rsid w:val="00351535"/>
    <w:rsid w:val="0035154E"/>
    <w:rsid w:val="00351556"/>
    <w:rsid w:val="0035155A"/>
    <w:rsid w:val="0035158C"/>
    <w:rsid w:val="0035159D"/>
    <w:rsid w:val="00351614"/>
    <w:rsid w:val="003516AE"/>
    <w:rsid w:val="003516E1"/>
    <w:rsid w:val="0035171D"/>
    <w:rsid w:val="003517DE"/>
    <w:rsid w:val="003517DF"/>
    <w:rsid w:val="0035181A"/>
    <w:rsid w:val="0035182F"/>
    <w:rsid w:val="0035185C"/>
    <w:rsid w:val="00351864"/>
    <w:rsid w:val="003518E0"/>
    <w:rsid w:val="003518ED"/>
    <w:rsid w:val="0035191E"/>
    <w:rsid w:val="00351934"/>
    <w:rsid w:val="0035196A"/>
    <w:rsid w:val="0035197A"/>
    <w:rsid w:val="0035199A"/>
    <w:rsid w:val="0035199C"/>
    <w:rsid w:val="00351A21"/>
    <w:rsid w:val="00351A95"/>
    <w:rsid w:val="00351ABE"/>
    <w:rsid w:val="00351AF7"/>
    <w:rsid w:val="00351B1D"/>
    <w:rsid w:val="00351B6F"/>
    <w:rsid w:val="00351B94"/>
    <w:rsid w:val="00351BB0"/>
    <w:rsid w:val="00351BDD"/>
    <w:rsid w:val="00351BE4"/>
    <w:rsid w:val="00351BEE"/>
    <w:rsid w:val="00351BFA"/>
    <w:rsid w:val="00351C45"/>
    <w:rsid w:val="00351C4D"/>
    <w:rsid w:val="00351C92"/>
    <w:rsid w:val="00351CD2"/>
    <w:rsid w:val="00351CFB"/>
    <w:rsid w:val="00351D24"/>
    <w:rsid w:val="00351D3A"/>
    <w:rsid w:val="00351D63"/>
    <w:rsid w:val="00351DB0"/>
    <w:rsid w:val="00351DB6"/>
    <w:rsid w:val="00351DC5"/>
    <w:rsid w:val="00351E07"/>
    <w:rsid w:val="00351E36"/>
    <w:rsid w:val="00351E3B"/>
    <w:rsid w:val="00351E47"/>
    <w:rsid w:val="00351EA4"/>
    <w:rsid w:val="00351F1C"/>
    <w:rsid w:val="00351F23"/>
    <w:rsid w:val="00351FBE"/>
    <w:rsid w:val="00352037"/>
    <w:rsid w:val="0035205F"/>
    <w:rsid w:val="00352075"/>
    <w:rsid w:val="00352094"/>
    <w:rsid w:val="003520A2"/>
    <w:rsid w:val="003520CC"/>
    <w:rsid w:val="003520D1"/>
    <w:rsid w:val="0035211E"/>
    <w:rsid w:val="00352124"/>
    <w:rsid w:val="00352147"/>
    <w:rsid w:val="0035218C"/>
    <w:rsid w:val="003521B3"/>
    <w:rsid w:val="003521DD"/>
    <w:rsid w:val="00352238"/>
    <w:rsid w:val="0035223B"/>
    <w:rsid w:val="00352243"/>
    <w:rsid w:val="0035224B"/>
    <w:rsid w:val="0035228A"/>
    <w:rsid w:val="003522AC"/>
    <w:rsid w:val="003522E1"/>
    <w:rsid w:val="003522E5"/>
    <w:rsid w:val="00352302"/>
    <w:rsid w:val="00352323"/>
    <w:rsid w:val="00352333"/>
    <w:rsid w:val="003523D4"/>
    <w:rsid w:val="003523D8"/>
    <w:rsid w:val="00352429"/>
    <w:rsid w:val="00352440"/>
    <w:rsid w:val="00352458"/>
    <w:rsid w:val="00352475"/>
    <w:rsid w:val="003524C7"/>
    <w:rsid w:val="003524F1"/>
    <w:rsid w:val="0035253E"/>
    <w:rsid w:val="0035255E"/>
    <w:rsid w:val="00352569"/>
    <w:rsid w:val="003525CD"/>
    <w:rsid w:val="003525E1"/>
    <w:rsid w:val="003525F4"/>
    <w:rsid w:val="003525FF"/>
    <w:rsid w:val="00352617"/>
    <w:rsid w:val="00352629"/>
    <w:rsid w:val="003526E9"/>
    <w:rsid w:val="003526FC"/>
    <w:rsid w:val="0035279F"/>
    <w:rsid w:val="003527A4"/>
    <w:rsid w:val="003527B9"/>
    <w:rsid w:val="003527E8"/>
    <w:rsid w:val="00352854"/>
    <w:rsid w:val="00352866"/>
    <w:rsid w:val="003528C3"/>
    <w:rsid w:val="003528CF"/>
    <w:rsid w:val="003528D4"/>
    <w:rsid w:val="00352917"/>
    <w:rsid w:val="00352947"/>
    <w:rsid w:val="0035296F"/>
    <w:rsid w:val="0035298B"/>
    <w:rsid w:val="003529AB"/>
    <w:rsid w:val="003529BC"/>
    <w:rsid w:val="003529DC"/>
    <w:rsid w:val="003529E5"/>
    <w:rsid w:val="00352A00"/>
    <w:rsid w:val="00352A54"/>
    <w:rsid w:val="00352A62"/>
    <w:rsid w:val="00352A6A"/>
    <w:rsid w:val="00352A87"/>
    <w:rsid w:val="00352A89"/>
    <w:rsid w:val="00352B30"/>
    <w:rsid w:val="00352BC5"/>
    <w:rsid w:val="00352BF5"/>
    <w:rsid w:val="00352C14"/>
    <w:rsid w:val="00352C6E"/>
    <w:rsid w:val="00352C77"/>
    <w:rsid w:val="00352C7F"/>
    <w:rsid w:val="00352C8D"/>
    <w:rsid w:val="00352C99"/>
    <w:rsid w:val="00352CC1"/>
    <w:rsid w:val="00352CC7"/>
    <w:rsid w:val="00352CD8"/>
    <w:rsid w:val="00352D3A"/>
    <w:rsid w:val="00352D76"/>
    <w:rsid w:val="00352D7B"/>
    <w:rsid w:val="00352D8C"/>
    <w:rsid w:val="00352DA3"/>
    <w:rsid w:val="00352E2B"/>
    <w:rsid w:val="00352E62"/>
    <w:rsid w:val="00352E71"/>
    <w:rsid w:val="00352E7D"/>
    <w:rsid w:val="00352EA4"/>
    <w:rsid w:val="00352F08"/>
    <w:rsid w:val="00352F1F"/>
    <w:rsid w:val="00352F31"/>
    <w:rsid w:val="00352F37"/>
    <w:rsid w:val="00352F73"/>
    <w:rsid w:val="00352F9D"/>
    <w:rsid w:val="0035306C"/>
    <w:rsid w:val="0035309F"/>
    <w:rsid w:val="003530A1"/>
    <w:rsid w:val="00353126"/>
    <w:rsid w:val="0035312E"/>
    <w:rsid w:val="0035313E"/>
    <w:rsid w:val="003531B6"/>
    <w:rsid w:val="003531D0"/>
    <w:rsid w:val="0035323A"/>
    <w:rsid w:val="0035325B"/>
    <w:rsid w:val="0035326F"/>
    <w:rsid w:val="0035327E"/>
    <w:rsid w:val="0035328A"/>
    <w:rsid w:val="00353294"/>
    <w:rsid w:val="003532E3"/>
    <w:rsid w:val="00353309"/>
    <w:rsid w:val="00353313"/>
    <w:rsid w:val="00353316"/>
    <w:rsid w:val="0035335F"/>
    <w:rsid w:val="0035340C"/>
    <w:rsid w:val="00353427"/>
    <w:rsid w:val="00353435"/>
    <w:rsid w:val="0035343B"/>
    <w:rsid w:val="00353478"/>
    <w:rsid w:val="003534C2"/>
    <w:rsid w:val="003534F3"/>
    <w:rsid w:val="003534FB"/>
    <w:rsid w:val="00353513"/>
    <w:rsid w:val="00353541"/>
    <w:rsid w:val="00353645"/>
    <w:rsid w:val="0035368A"/>
    <w:rsid w:val="00353749"/>
    <w:rsid w:val="0035374B"/>
    <w:rsid w:val="00353793"/>
    <w:rsid w:val="003537AD"/>
    <w:rsid w:val="003537B8"/>
    <w:rsid w:val="00353801"/>
    <w:rsid w:val="00353817"/>
    <w:rsid w:val="0035381E"/>
    <w:rsid w:val="00353833"/>
    <w:rsid w:val="00353835"/>
    <w:rsid w:val="0035384C"/>
    <w:rsid w:val="0035384D"/>
    <w:rsid w:val="00353927"/>
    <w:rsid w:val="00353941"/>
    <w:rsid w:val="003539B6"/>
    <w:rsid w:val="00353A5F"/>
    <w:rsid w:val="00353A7D"/>
    <w:rsid w:val="00353A8D"/>
    <w:rsid w:val="00353AD3"/>
    <w:rsid w:val="00353B05"/>
    <w:rsid w:val="00353B06"/>
    <w:rsid w:val="00353B1A"/>
    <w:rsid w:val="00353B4E"/>
    <w:rsid w:val="00353B55"/>
    <w:rsid w:val="00353B75"/>
    <w:rsid w:val="00353B99"/>
    <w:rsid w:val="00353BA5"/>
    <w:rsid w:val="00353BE6"/>
    <w:rsid w:val="00353CB8"/>
    <w:rsid w:val="00353D0E"/>
    <w:rsid w:val="00353D4E"/>
    <w:rsid w:val="00353D61"/>
    <w:rsid w:val="00353DB4"/>
    <w:rsid w:val="00353DF3"/>
    <w:rsid w:val="00353E21"/>
    <w:rsid w:val="00353E50"/>
    <w:rsid w:val="00353E82"/>
    <w:rsid w:val="00353ED1"/>
    <w:rsid w:val="00353F08"/>
    <w:rsid w:val="00353F7C"/>
    <w:rsid w:val="0035402F"/>
    <w:rsid w:val="00354098"/>
    <w:rsid w:val="00354099"/>
    <w:rsid w:val="003540D4"/>
    <w:rsid w:val="003540E3"/>
    <w:rsid w:val="00354118"/>
    <w:rsid w:val="003541C2"/>
    <w:rsid w:val="00354247"/>
    <w:rsid w:val="0035424D"/>
    <w:rsid w:val="00354278"/>
    <w:rsid w:val="003542AE"/>
    <w:rsid w:val="003542E6"/>
    <w:rsid w:val="003542EA"/>
    <w:rsid w:val="003542FE"/>
    <w:rsid w:val="00354321"/>
    <w:rsid w:val="00354349"/>
    <w:rsid w:val="00354356"/>
    <w:rsid w:val="00354418"/>
    <w:rsid w:val="00354426"/>
    <w:rsid w:val="00354479"/>
    <w:rsid w:val="0035448B"/>
    <w:rsid w:val="003544EA"/>
    <w:rsid w:val="003544FF"/>
    <w:rsid w:val="0035454A"/>
    <w:rsid w:val="0035455A"/>
    <w:rsid w:val="0035459F"/>
    <w:rsid w:val="00354664"/>
    <w:rsid w:val="00354693"/>
    <w:rsid w:val="00354764"/>
    <w:rsid w:val="0035477B"/>
    <w:rsid w:val="003547DB"/>
    <w:rsid w:val="0035480A"/>
    <w:rsid w:val="00354860"/>
    <w:rsid w:val="0035486D"/>
    <w:rsid w:val="00354875"/>
    <w:rsid w:val="003548D8"/>
    <w:rsid w:val="003548EC"/>
    <w:rsid w:val="0035490B"/>
    <w:rsid w:val="00354921"/>
    <w:rsid w:val="00354929"/>
    <w:rsid w:val="0035493F"/>
    <w:rsid w:val="00354976"/>
    <w:rsid w:val="003549A7"/>
    <w:rsid w:val="00354A42"/>
    <w:rsid w:val="00354A5C"/>
    <w:rsid w:val="00354A6B"/>
    <w:rsid w:val="00354ABB"/>
    <w:rsid w:val="00354B3D"/>
    <w:rsid w:val="00354B7E"/>
    <w:rsid w:val="00354B9B"/>
    <w:rsid w:val="00354BEF"/>
    <w:rsid w:val="00354C13"/>
    <w:rsid w:val="00354C9B"/>
    <w:rsid w:val="00354CFD"/>
    <w:rsid w:val="00354D6A"/>
    <w:rsid w:val="00354D81"/>
    <w:rsid w:val="00354DE1"/>
    <w:rsid w:val="00354E24"/>
    <w:rsid w:val="00354E2F"/>
    <w:rsid w:val="00354E45"/>
    <w:rsid w:val="00354EB3"/>
    <w:rsid w:val="00354F01"/>
    <w:rsid w:val="00354F11"/>
    <w:rsid w:val="00354F37"/>
    <w:rsid w:val="00354F5E"/>
    <w:rsid w:val="00354F6A"/>
    <w:rsid w:val="00354F6B"/>
    <w:rsid w:val="00354F6E"/>
    <w:rsid w:val="00354F71"/>
    <w:rsid w:val="00354FB8"/>
    <w:rsid w:val="00354FC7"/>
    <w:rsid w:val="00354FCF"/>
    <w:rsid w:val="00354FE9"/>
    <w:rsid w:val="00354FF3"/>
    <w:rsid w:val="00355022"/>
    <w:rsid w:val="0035505C"/>
    <w:rsid w:val="00355098"/>
    <w:rsid w:val="003550F5"/>
    <w:rsid w:val="003550F8"/>
    <w:rsid w:val="003550FA"/>
    <w:rsid w:val="00355110"/>
    <w:rsid w:val="00355112"/>
    <w:rsid w:val="00355164"/>
    <w:rsid w:val="0035517C"/>
    <w:rsid w:val="00355186"/>
    <w:rsid w:val="00355190"/>
    <w:rsid w:val="003551AD"/>
    <w:rsid w:val="003551F1"/>
    <w:rsid w:val="00355262"/>
    <w:rsid w:val="00355263"/>
    <w:rsid w:val="00355267"/>
    <w:rsid w:val="00355278"/>
    <w:rsid w:val="0035529B"/>
    <w:rsid w:val="003552EC"/>
    <w:rsid w:val="003552FA"/>
    <w:rsid w:val="003552FE"/>
    <w:rsid w:val="0035532E"/>
    <w:rsid w:val="0035537A"/>
    <w:rsid w:val="0035537C"/>
    <w:rsid w:val="0035539A"/>
    <w:rsid w:val="003553AE"/>
    <w:rsid w:val="003553B9"/>
    <w:rsid w:val="00355479"/>
    <w:rsid w:val="003554C8"/>
    <w:rsid w:val="003554E6"/>
    <w:rsid w:val="0035556F"/>
    <w:rsid w:val="003555BC"/>
    <w:rsid w:val="003555E1"/>
    <w:rsid w:val="00355639"/>
    <w:rsid w:val="0035563A"/>
    <w:rsid w:val="00355648"/>
    <w:rsid w:val="00355653"/>
    <w:rsid w:val="00355665"/>
    <w:rsid w:val="003556A4"/>
    <w:rsid w:val="003556A5"/>
    <w:rsid w:val="003556E6"/>
    <w:rsid w:val="00355720"/>
    <w:rsid w:val="00355751"/>
    <w:rsid w:val="003557F8"/>
    <w:rsid w:val="00355821"/>
    <w:rsid w:val="003558C7"/>
    <w:rsid w:val="0035591D"/>
    <w:rsid w:val="00355A6D"/>
    <w:rsid w:val="00355A80"/>
    <w:rsid w:val="00355A89"/>
    <w:rsid w:val="00355AC8"/>
    <w:rsid w:val="00355B2E"/>
    <w:rsid w:val="00355B7B"/>
    <w:rsid w:val="00355B93"/>
    <w:rsid w:val="00355BAF"/>
    <w:rsid w:val="00355C08"/>
    <w:rsid w:val="00355C4F"/>
    <w:rsid w:val="00355C68"/>
    <w:rsid w:val="00355CAF"/>
    <w:rsid w:val="00355CCD"/>
    <w:rsid w:val="00355CDE"/>
    <w:rsid w:val="00355D04"/>
    <w:rsid w:val="00355D19"/>
    <w:rsid w:val="00355DBD"/>
    <w:rsid w:val="00355DC5"/>
    <w:rsid w:val="00355DD0"/>
    <w:rsid w:val="00355DF5"/>
    <w:rsid w:val="00355E6D"/>
    <w:rsid w:val="00355E6F"/>
    <w:rsid w:val="00355E71"/>
    <w:rsid w:val="00355E98"/>
    <w:rsid w:val="00355EEC"/>
    <w:rsid w:val="00355F68"/>
    <w:rsid w:val="00355F86"/>
    <w:rsid w:val="00355FD2"/>
    <w:rsid w:val="00355FEB"/>
    <w:rsid w:val="00356009"/>
    <w:rsid w:val="0035600B"/>
    <w:rsid w:val="00356043"/>
    <w:rsid w:val="0035604A"/>
    <w:rsid w:val="0035604D"/>
    <w:rsid w:val="0035607D"/>
    <w:rsid w:val="00356096"/>
    <w:rsid w:val="003560AC"/>
    <w:rsid w:val="003560B3"/>
    <w:rsid w:val="003560B9"/>
    <w:rsid w:val="0035613C"/>
    <w:rsid w:val="003561AD"/>
    <w:rsid w:val="003561BE"/>
    <w:rsid w:val="003561D1"/>
    <w:rsid w:val="003561E1"/>
    <w:rsid w:val="00356253"/>
    <w:rsid w:val="00356288"/>
    <w:rsid w:val="00356297"/>
    <w:rsid w:val="003562E7"/>
    <w:rsid w:val="003562F5"/>
    <w:rsid w:val="0035631D"/>
    <w:rsid w:val="0035633D"/>
    <w:rsid w:val="00356366"/>
    <w:rsid w:val="003563AD"/>
    <w:rsid w:val="003563FF"/>
    <w:rsid w:val="00356444"/>
    <w:rsid w:val="00356453"/>
    <w:rsid w:val="00356464"/>
    <w:rsid w:val="003564B0"/>
    <w:rsid w:val="0035652D"/>
    <w:rsid w:val="0035654C"/>
    <w:rsid w:val="00356551"/>
    <w:rsid w:val="00356591"/>
    <w:rsid w:val="00356594"/>
    <w:rsid w:val="003565EF"/>
    <w:rsid w:val="0035662A"/>
    <w:rsid w:val="00356698"/>
    <w:rsid w:val="003566A4"/>
    <w:rsid w:val="003566CC"/>
    <w:rsid w:val="003566D8"/>
    <w:rsid w:val="003566F5"/>
    <w:rsid w:val="003566FE"/>
    <w:rsid w:val="00356702"/>
    <w:rsid w:val="0035671A"/>
    <w:rsid w:val="00356738"/>
    <w:rsid w:val="00356781"/>
    <w:rsid w:val="00356788"/>
    <w:rsid w:val="00356799"/>
    <w:rsid w:val="003567C1"/>
    <w:rsid w:val="0035684B"/>
    <w:rsid w:val="0035690F"/>
    <w:rsid w:val="0035692B"/>
    <w:rsid w:val="00356941"/>
    <w:rsid w:val="003569DD"/>
    <w:rsid w:val="003569F4"/>
    <w:rsid w:val="003569F6"/>
    <w:rsid w:val="00356A28"/>
    <w:rsid w:val="00356A46"/>
    <w:rsid w:val="00356A4A"/>
    <w:rsid w:val="00356A69"/>
    <w:rsid w:val="00356A94"/>
    <w:rsid w:val="00356AAC"/>
    <w:rsid w:val="00356AC1"/>
    <w:rsid w:val="00356B6C"/>
    <w:rsid w:val="00356BA5"/>
    <w:rsid w:val="00356BBD"/>
    <w:rsid w:val="00356BD7"/>
    <w:rsid w:val="00356BE7"/>
    <w:rsid w:val="00356BE8"/>
    <w:rsid w:val="00356C47"/>
    <w:rsid w:val="00356C92"/>
    <w:rsid w:val="00356CAA"/>
    <w:rsid w:val="00356CE8"/>
    <w:rsid w:val="00356D22"/>
    <w:rsid w:val="00356D28"/>
    <w:rsid w:val="00356D80"/>
    <w:rsid w:val="00356DC2"/>
    <w:rsid w:val="00356E2B"/>
    <w:rsid w:val="00356E84"/>
    <w:rsid w:val="00356E90"/>
    <w:rsid w:val="00356E92"/>
    <w:rsid w:val="00356EBF"/>
    <w:rsid w:val="00356EC7"/>
    <w:rsid w:val="00356F04"/>
    <w:rsid w:val="00356F08"/>
    <w:rsid w:val="00356F20"/>
    <w:rsid w:val="00356F33"/>
    <w:rsid w:val="00356F80"/>
    <w:rsid w:val="00356F8C"/>
    <w:rsid w:val="00356F96"/>
    <w:rsid w:val="00356FA1"/>
    <w:rsid w:val="00356FA3"/>
    <w:rsid w:val="00356FAA"/>
    <w:rsid w:val="00356FF8"/>
    <w:rsid w:val="00357011"/>
    <w:rsid w:val="0035708E"/>
    <w:rsid w:val="003570D0"/>
    <w:rsid w:val="0035710C"/>
    <w:rsid w:val="00357196"/>
    <w:rsid w:val="003571D0"/>
    <w:rsid w:val="003571D1"/>
    <w:rsid w:val="003571EE"/>
    <w:rsid w:val="003571F0"/>
    <w:rsid w:val="003571FB"/>
    <w:rsid w:val="00357263"/>
    <w:rsid w:val="00357270"/>
    <w:rsid w:val="00357288"/>
    <w:rsid w:val="00357293"/>
    <w:rsid w:val="00357326"/>
    <w:rsid w:val="00357348"/>
    <w:rsid w:val="0035738A"/>
    <w:rsid w:val="003573E8"/>
    <w:rsid w:val="00357457"/>
    <w:rsid w:val="00357467"/>
    <w:rsid w:val="003574B3"/>
    <w:rsid w:val="003574F3"/>
    <w:rsid w:val="00357523"/>
    <w:rsid w:val="00357533"/>
    <w:rsid w:val="0035753E"/>
    <w:rsid w:val="003575ED"/>
    <w:rsid w:val="003575F8"/>
    <w:rsid w:val="00357656"/>
    <w:rsid w:val="00357657"/>
    <w:rsid w:val="003576F0"/>
    <w:rsid w:val="003576FF"/>
    <w:rsid w:val="0035772E"/>
    <w:rsid w:val="00357736"/>
    <w:rsid w:val="00357738"/>
    <w:rsid w:val="0035774C"/>
    <w:rsid w:val="00357758"/>
    <w:rsid w:val="003577E1"/>
    <w:rsid w:val="003577FF"/>
    <w:rsid w:val="00357809"/>
    <w:rsid w:val="0035783B"/>
    <w:rsid w:val="0035786D"/>
    <w:rsid w:val="003578A5"/>
    <w:rsid w:val="003578A9"/>
    <w:rsid w:val="003578ED"/>
    <w:rsid w:val="00357910"/>
    <w:rsid w:val="0035791E"/>
    <w:rsid w:val="00357969"/>
    <w:rsid w:val="00357979"/>
    <w:rsid w:val="003579B1"/>
    <w:rsid w:val="00357AC1"/>
    <w:rsid w:val="00357AE2"/>
    <w:rsid w:val="00357B5C"/>
    <w:rsid w:val="00357B98"/>
    <w:rsid w:val="00357B9D"/>
    <w:rsid w:val="00357C4E"/>
    <w:rsid w:val="00357CDA"/>
    <w:rsid w:val="00357D35"/>
    <w:rsid w:val="00357DA4"/>
    <w:rsid w:val="00357DF8"/>
    <w:rsid w:val="00357E2F"/>
    <w:rsid w:val="00357E3E"/>
    <w:rsid w:val="00357E45"/>
    <w:rsid w:val="00357E6C"/>
    <w:rsid w:val="00357E75"/>
    <w:rsid w:val="00357EAD"/>
    <w:rsid w:val="00357EBE"/>
    <w:rsid w:val="00357EC8"/>
    <w:rsid w:val="00357F4B"/>
    <w:rsid w:val="00357FF2"/>
    <w:rsid w:val="00360007"/>
    <w:rsid w:val="00360049"/>
    <w:rsid w:val="00360073"/>
    <w:rsid w:val="003600BA"/>
    <w:rsid w:val="003600E1"/>
    <w:rsid w:val="0036015A"/>
    <w:rsid w:val="00360171"/>
    <w:rsid w:val="00360176"/>
    <w:rsid w:val="003601A0"/>
    <w:rsid w:val="003601F5"/>
    <w:rsid w:val="003601F7"/>
    <w:rsid w:val="00360231"/>
    <w:rsid w:val="0036023A"/>
    <w:rsid w:val="00360290"/>
    <w:rsid w:val="00360291"/>
    <w:rsid w:val="0036029E"/>
    <w:rsid w:val="003602B2"/>
    <w:rsid w:val="00360310"/>
    <w:rsid w:val="0036031A"/>
    <w:rsid w:val="0036034E"/>
    <w:rsid w:val="00360374"/>
    <w:rsid w:val="003603F8"/>
    <w:rsid w:val="003603F9"/>
    <w:rsid w:val="00360408"/>
    <w:rsid w:val="0036040B"/>
    <w:rsid w:val="0036043A"/>
    <w:rsid w:val="00360457"/>
    <w:rsid w:val="0036047C"/>
    <w:rsid w:val="00360482"/>
    <w:rsid w:val="00360494"/>
    <w:rsid w:val="0036049B"/>
    <w:rsid w:val="003604A2"/>
    <w:rsid w:val="003604CE"/>
    <w:rsid w:val="003604FA"/>
    <w:rsid w:val="00360560"/>
    <w:rsid w:val="00360579"/>
    <w:rsid w:val="0036058F"/>
    <w:rsid w:val="00360590"/>
    <w:rsid w:val="0036059E"/>
    <w:rsid w:val="003605A2"/>
    <w:rsid w:val="003605BD"/>
    <w:rsid w:val="003605C5"/>
    <w:rsid w:val="003605DF"/>
    <w:rsid w:val="003605E9"/>
    <w:rsid w:val="0036061C"/>
    <w:rsid w:val="00360655"/>
    <w:rsid w:val="00360671"/>
    <w:rsid w:val="0036068F"/>
    <w:rsid w:val="003606A2"/>
    <w:rsid w:val="003606EE"/>
    <w:rsid w:val="003606F6"/>
    <w:rsid w:val="0036073E"/>
    <w:rsid w:val="00360757"/>
    <w:rsid w:val="0036075F"/>
    <w:rsid w:val="0036076B"/>
    <w:rsid w:val="00360782"/>
    <w:rsid w:val="00360789"/>
    <w:rsid w:val="0036078D"/>
    <w:rsid w:val="003607C1"/>
    <w:rsid w:val="003607E9"/>
    <w:rsid w:val="0036084C"/>
    <w:rsid w:val="00360872"/>
    <w:rsid w:val="00360882"/>
    <w:rsid w:val="00360895"/>
    <w:rsid w:val="003608BB"/>
    <w:rsid w:val="003608CE"/>
    <w:rsid w:val="00360906"/>
    <w:rsid w:val="00360914"/>
    <w:rsid w:val="0036091D"/>
    <w:rsid w:val="00360932"/>
    <w:rsid w:val="00360961"/>
    <w:rsid w:val="003609BE"/>
    <w:rsid w:val="003609E8"/>
    <w:rsid w:val="00360A28"/>
    <w:rsid w:val="00360A4D"/>
    <w:rsid w:val="00360A5B"/>
    <w:rsid w:val="00360AA4"/>
    <w:rsid w:val="00360B17"/>
    <w:rsid w:val="00360B23"/>
    <w:rsid w:val="00360B4B"/>
    <w:rsid w:val="00360B5E"/>
    <w:rsid w:val="00360B87"/>
    <w:rsid w:val="00360B8B"/>
    <w:rsid w:val="00360BEE"/>
    <w:rsid w:val="00360BF7"/>
    <w:rsid w:val="00360C3C"/>
    <w:rsid w:val="00360C7E"/>
    <w:rsid w:val="00360C86"/>
    <w:rsid w:val="00360CA5"/>
    <w:rsid w:val="00360CBE"/>
    <w:rsid w:val="00360CCE"/>
    <w:rsid w:val="00360D35"/>
    <w:rsid w:val="00360DC5"/>
    <w:rsid w:val="00360E30"/>
    <w:rsid w:val="00360E41"/>
    <w:rsid w:val="00360E52"/>
    <w:rsid w:val="00360E61"/>
    <w:rsid w:val="00360E83"/>
    <w:rsid w:val="00360E8F"/>
    <w:rsid w:val="00360EE6"/>
    <w:rsid w:val="00360F03"/>
    <w:rsid w:val="00360F04"/>
    <w:rsid w:val="00360F41"/>
    <w:rsid w:val="00360F47"/>
    <w:rsid w:val="00360F82"/>
    <w:rsid w:val="00360FCA"/>
    <w:rsid w:val="00360FDB"/>
    <w:rsid w:val="00360FF2"/>
    <w:rsid w:val="0036102C"/>
    <w:rsid w:val="0036107E"/>
    <w:rsid w:val="003610A8"/>
    <w:rsid w:val="003610C1"/>
    <w:rsid w:val="003610F6"/>
    <w:rsid w:val="00361122"/>
    <w:rsid w:val="0036113C"/>
    <w:rsid w:val="00361148"/>
    <w:rsid w:val="00361281"/>
    <w:rsid w:val="0036129C"/>
    <w:rsid w:val="003612AE"/>
    <w:rsid w:val="003612E8"/>
    <w:rsid w:val="0036131F"/>
    <w:rsid w:val="0036132B"/>
    <w:rsid w:val="00361368"/>
    <w:rsid w:val="00361376"/>
    <w:rsid w:val="0036138C"/>
    <w:rsid w:val="003613F0"/>
    <w:rsid w:val="00361424"/>
    <w:rsid w:val="00361432"/>
    <w:rsid w:val="003614A1"/>
    <w:rsid w:val="003614F0"/>
    <w:rsid w:val="00361549"/>
    <w:rsid w:val="0036155F"/>
    <w:rsid w:val="00361585"/>
    <w:rsid w:val="00361587"/>
    <w:rsid w:val="003615A3"/>
    <w:rsid w:val="003615A5"/>
    <w:rsid w:val="003615D6"/>
    <w:rsid w:val="003615DA"/>
    <w:rsid w:val="003615F7"/>
    <w:rsid w:val="0036161B"/>
    <w:rsid w:val="00361626"/>
    <w:rsid w:val="00361641"/>
    <w:rsid w:val="0036165E"/>
    <w:rsid w:val="003616A8"/>
    <w:rsid w:val="003616AC"/>
    <w:rsid w:val="003616CB"/>
    <w:rsid w:val="003616F7"/>
    <w:rsid w:val="00361714"/>
    <w:rsid w:val="00361721"/>
    <w:rsid w:val="00361738"/>
    <w:rsid w:val="00361768"/>
    <w:rsid w:val="0036177E"/>
    <w:rsid w:val="00361798"/>
    <w:rsid w:val="003617FA"/>
    <w:rsid w:val="0036183F"/>
    <w:rsid w:val="00361853"/>
    <w:rsid w:val="003618AE"/>
    <w:rsid w:val="003618BE"/>
    <w:rsid w:val="003618BF"/>
    <w:rsid w:val="003618C4"/>
    <w:rsid w:val="003618C9"/>
    <w:rsid w:val="003618D1"/>
    <w:rsid w:val="003618D6"/>
    <w:rsid w:val="003618FB"/>
    <w:rsid w:val="00361921"/>
    <w:rsid w:val="0036196F"/>
    <w:rsid w:val="00361981"/>
    <w:rsid w:val="003619A6"/>
    <w:rsid w:val="003619B9"/>
    <w:rsid w:val="003619CF"/>
    <w:rsid w:val="00361A32"/>
    <w:rsid w:val="00361A55"/>
    <w:rsid w:val="00361A7C"/>
    <w:rsid w:val="00361AA9"/>
    <w:rsid w:val="00361AC7"/>
    <w:rsid w:val="00361ADF"/>
    <w:rsid w:val="00361B0E"/>
    <w:rsid w:val="00361B16"/>
    <w:rsid w:val="00361B1A"/>
    <w:rsid w:val="00361B3B"/>
    <w:rsid w:val="00361B44"/>
    <w:rsid w:val="00361B74"/>
    <w:rsid w:val="00361BB8"/>
    <w:rsid w:val="00361C2E"/>
    <w:rsid w:val="00361C74"/>
    <w:rsid w:val="00361C88"/>
    <w:rsid w:val="00361CE0"/>
    <w:rsid w:val="00361D2D"/>
    <w:rsid w:val="00361D61"/>
    <w:rsid w:val="00361D6A"/>
    <w:rsid w:val="00361D9A"/>
    <w:rsid w:val="00361DBE"/>
    <w:rsid w:val="00361DC5"/>
    <w:rsid w:val="00361E2F"/>
    <w:rsid w:val="00361E69"/>
    <w:rsid w:val="00361EA6"/>
    <w:rsid w:val="00361EE4"/>
    <w:rsid w:val="00361EF1"/>
    <w:rsid w:val="00361F10"/>
    <w:rsid w:val="00361FD3"/>
    <w:rsid w:val="00362009"/>
    <w:rsid w:val="0036204B"/>
    <w:rsid w:val="00362069"/>
    <w:rsid w:val="00362091"/>
    <w:rsid w:val="00362130"/>
    <w:rsid w:val="0036215C"/>
    <w:rsid w:val="003621E2"/>
    <w:rsid w:val="003622F7"/>
    <w:rsid w:val="0036230B"/>
    <w:rsid w:val="00362363"/>
    <w:rsid w:val="003623B1"/>
    <w:rsid w:val="003623E9"/>
    <w:rsid w:val="0036243D"/>
    <w:rsid w:val="00362459"/>
    <w:rsid w:val="00362504"/>
    <w:rsid w:val="00362508"/>
    <w:rsid w:val="00362531"/>
    <w:rsid w:val="00362576"/>
    <w:rsid w:val="003625D9"/>
    <w:rsid w:val="003625E0"/>
    <w:rsid w:val="003625F7"/>
    <w:rsid w:val="00362600"/>
    <w:rsid w:val="00362630"/>
    <w:rsid w:val="0036264B"/>
    <w:rsid w:val="003626AA"/>
    <w:rsid w:val="003626B9"/>
    <w:rsid w:val="0036272A"/>
    <w:rsid w:val="00362784"/>
    <w:rsid w:val="00362797"/>
    <w:rsid w:val="003627E2"/>
    <w:rsid w:val="0036281C"/>
    <w:rsid w:val="00362859"/>
    <w:rsid w:val="003628E1"/>
    <w:rsid w:val="00362908"/>
    <w:rsid w:val="00362921"/>
    <w:rsid w:val="003629BA"/>
    <w:rsid w:val="003629CC"/>
    <w:rsid w:val="003629FF"/>
    <w:rsid w:val="00362A06"/>
    <w:rsid w:val="00362A18"/>
    <w:rsid w:val="00362A23"/>
    <w:rsid w:val="00362A3A"/>
    <w:rsid w:val="00362A53"/>
    <w:rsid w:val="00362A8A"/>
    <w:rsid w:val="00362A8C"/>
    <w:rsid w:val="00362A8D"/>
    <w:rsid w:val="00362A8E"/>
    <w:rsid w:val="00362A97"/>
    <w:rsid w:val="00362AA1"/>
    <w:rsid w:val="00362AD4"/>
    <w:rsid w:val="00362AEA"/>
    <w:rsid w:val="00362B24"/>
    <w:rsid w:val="00362B28"/>
    <w:rsid w:val="00362B30"/>
    <w:rsid w:val="00362B76"/>
    <w:rsid w:val="00362B85"/>
    <w:rsid w:val="00362B8D"/>
    <w:rsid w:val="00362BB8"/>
    <w:rsid w:val="00362BC0"/>
    <w:rsid w:val="00362BC7"/>
    <w:rsid w:val="00362BDF"/>
    <w:rsid w:val="00362BF7"/>
    <w:rsid w:val="00362C02"/>
    <w:rsid w:val="00362C1A"/>
    <w:rsid w:val="00362C4C"/>
    <w:rsid w:val="00362C8D"/>
    <w:rsid w:val="00362C95"/>
    <w:rsid w:val="00362CA7"/>
    <w:rsid w:val="00362CBB"/>
    <w:rsid w:val="00362CCA"/>
    <w:rsid w:val="00362CF8"/>
    <w:rsid w:val="00362CFF"/>
    <w:rsid w:val="00362D07"/>
    <w:rsid w:val="00362D0E"/>
    <w:rsid w:val="00362D5D"/>
    <w:rsid w:val="00362D8D"/>
    <w:rsid w:val="00362E1D"/>
    <w:rsid w:val="00362E37"/>
    <w:rsid w:val="00362E3F"/>
    <w:rsid w:val="00362E4E"/>
    <w:rsid w:val="00362E62"/>
    <w:rsid w:val="00362E97"/>
    <w:rsid w:val="00362EC7"/>
    <w:rsid w:val="00362EDA"/>
    <w:rsid w:val="00362F0B"/>
    <w:rsid w:val="00362F13"/>
    <w:rsid w:val="00362F15"/>
    <w:rsid w:val="00362F44"/>
    <w:rsid w:val="00362F4E"/>
    <w:rsid w:val="00362F83"/>
    <w:rsid w:val="00362FA4"/>
    <w:rsid w:val="00362FBE"/>
    <w:rsid w:val="00362FC1"/>
    <w:rsid w:val="00362FE3"/>
    <w:rsid w:val="00362FEA"/>
    <w:rsid w:val="00363018"/>
    <w:rsid w:val="0036303F"/>
    <w:rsid w:val="0036304B"/>
    <w:rsid w:val="00363069"/>
    <w:rsid w:val="00363078"/>
    <w:rsid w:val="00363097"/>
    <w:rsid w:val="003630ED"/>
    <w:rsid w:val="00363111"/>
    <w:rsid w:val="0036311A"/>
    <w:rsid w:val="0036314D"/>
    <w:rsid w:val="0036316F"/>
    <w:rsid w:val="003631B1"/>
    <w:rsid w:val="003631B5"/>
    <w:rsid w:val="003631F7"/>
    <w:rsid w:val="00363206"/>
    <w:rsid w:val="00363207"/>
    <w:rsid w:val="00363284"/>
    <w:rsid w:val="003632A9"/>
    <w:rsid w:val="003632AD"/>
    <w:rsid w:val="0036330C"/>
    <w:rsid w:val="00363317"/>
    <w:rsid w:val="0036336C"/>
    <w:rsid w:val="0036339F"/>
    <w:rsid w:val="003633B4"/>
    <w:rsid w:val="003633E3"/>
    <w:rsid w:val="003633ED"/>
    <w:rsid w:val="003633FC"/>
    <w:rsid w:val="0036340B"/>
    <w:rsid w:val="00363450"/>
    <w:rsid w:val="0036347C"/>
    <w:rsid w:val="003634A9"/>
    <w:rsid w:val="003634D7"/>
    <w:rsid w:val="003634E6"/>
    <w:rsid w:val="003634E8"/>
    <w:rsid w:val="0036358F"/>
    <w:rsid w:val="003635D2"/>
    <w:rsid w:val="003635D9"/>
    <w:rsid w:val="00363603"/>
    <w:rsid w:val="00363644"/>
    <w:rsid w:val="0036366F"/>
    <w:rsid w:val="003636BB"/>
    <w:rsid w:val="0036371D"/>
    <w:rsid w:val="00363725"/>
    <w:rsid w:val="00363751"/>
    <w:rsid w:val="0036378E"/>
    <w:rsid w:val="0036381D"/>
    <w:rsid w:val="0036383B"/>
    <w:rsid w:val="00363871"/>
    <w:rsid w:val="003638A2"/>
    <w:rsid w:val="003638AE"/>
    <w:rsid w:val="003638B0"/>
    <w:rsid w:val="003638CA"/>
    <w:rsid w:val="003638E4"/>
    <w:rsid w:val="003638E8"/>
    <w:rsid w:val="00363931"/>
    <w:rsid w:val="00363934"/>
    <w:rsid w:val="00363986"/>
    <w:rsid w:val="00363992"/>
    <w:rsid w:val="003639CF"/>
    <w:rsid w:val="00363A2F"/>
    <w:rsid w:val="00363A41"/>
    <w:rsid w:val="00363A46"/>
    <w:rsid w:val="00363A4A"/>
    <w:rsid w:val="00363A4C"/>
    <w:rsid w:val="00363A93"/>
    <w:rsid w:val="00363AAE"/>
    <w:rsid w:val="00363ABA"/>
    <w:rsid w:val="00363ABE"/>
    <w:rsid w:val="00363AD0"/>
    <w:rsid w:val="00363AEC"/>
    <w:rsid w:val="00363AFE"/>
    <w:rsid w:val="00363B1B"/>
    <w:rsid w:val="00363B25"/>
    <w:rsid w:val="00363B42"/>
    <w:rsid w:val="00363B6F"/>
    <w:rsid w:val="00363B82"/>
    <w:rsid w:val="00363B91"/>
    <w:rsid w:val="00363B9F"/>
    <w:rsid w:val="00363BA4"/>
    <w:rsid w:val="00363BB9"/>
    <w:rsid w:val="00363BC5"/>
    <w:rsid w:val="00363C00"/>
    <w:rsid w:val="00363C44"/>
    <w:rsid w:val="00363CA3"/>
    <w:rsid w:val="00363CE4"/>
    <w:rsid w:val="00363CEA"/>
    <w:rsid w:val="00363CFC"/>
    <w:rsid w:val="00363D29"/>
    <w:rsid w:val="00363DD5"/>
    <w:rsid w:val="00363DD8"/>
    <w:rsid w:val="00363DE3"/>
    <w:rsid w:val="00363DEB"/>
    <w:rsid w:val="00363E57"/>
    <w:rsid w:val="00363EA8"/>
    <w:rsid w:val="00363F10"/>
    <w:rsid w:val="00363F1B"/>
    <w:rsid w:val="00363F5C"/>
    <w:rsid w:val="00363F73"/>
    <w:rsid w:val="00364028"/>
    <w:rsid w:val="00364046"/>
    <w:rsid w:val="0036405D"/>
    <w:rsid w:val="00364063"/>
    <w:rsid w:val="00364080"/>
    <w:rsid w:val="003640B9"/>
    <w:rsid w:val="003640BD"/>
    <w:rsid w:val="003640EB"/>
    <w:rsid w:val="0036410F"/>
    <w:rsid w:val="0036418E"/>
    <w:rsid w:val="0036424F"/>
    <w:rsid w:val="0036428B"/>
    <w:rsid w:val="003642E0"/>
    <w:rsid w:val="00364307"/>
    <w:rsid w:val="0036431B"/>
    <w:rsid w:val="0036431E"/>
    <w:rsid w:val="00364371"/>
    <w:rsid w:val="00364372"/>
    <w:rsid w:val="0036437D"/>
    <w:rsid w:val="003643B7"/>
    <w:rsid w:val="003643CE"/>
    <w:rsid w:val="003643FF"/>
    <w:rsid w:val="00364424"/>
    <w:rsid w:val="00364428"/>
    <w:rsid w:val="003644CD"/>
    <w:rsid w:val="003644CF"/>
    <w:rsid w:val="003644E8"/>
    <w:rsid w:val="003645EE"/>
    <w:rsid w:val="00364642"/>
    <w:rsid w:val="00364650"/>
    <w:rsid w:val="00364660"/>
    <w:rsid w:val="003646AC"/>
    <w:rsid w:val="003646BC"/>
    <w:rsid w:val="003646F2"/>
    <w:rsid w:val="003646FD"/>
    <w:rsid w:val="0036472A"/>
    <w:rsid w:val="00364747"/>
    <w:rsid w:val="00364789"/>
    <w:rsid w:val="003647B9"/>
    <w:rsid w:val="003647D0"/>
    <w:rsid w:val="00364863"/>
    <w:rsid w:val="00364877"/>
    <w:rsid w:val="003648B9"/>
    <w:rsid w:val="003648EA"/>
    <w:rsid w:val="003648F3"/>
    <w:rsid w:val="00364908"/>
    <w:rsid w:val="0036493C"/>
    <w:rsid w:val="00364964"/>
    <w:rsid w:val="00364972"/>
    <w:rsid w:val="00364982"/>
    <w:rsid w:val="0036498C"/>
    <w:rsid w:val="003649A8"/>
    <w:rsid w:val="003649CD"/>
    <w:rsid w:val="00364A00"/>
    <w:rsid w:val="00364A14"/>
    <w:rsid w:val="00364A23"/>
    <w:rsid w:val="00364A3D"/>
    <w:rsid w:val="00364A7F"/>
    <w:rsid w:val="00364AD2"/>
    <w:rsid w:val="00364ADA"/>
    <w:rsid w:val="00364B08"/>
    <w:rsid w:val="00364B0D"/>
    <w:rsid w:val="00364B33"/>
    <w:rsid w:val="00364B55"/>
    <w:rsid w:val="00364B65"/>
    <w:rsid w:val="00364B69"/>
    <w:rsid w:val="00364B81"/>
    <w:rsid w:val="00364B8B"/>
    <w:rsid w:val="00364BCF"/>
    <w:rsid w:val="00364C50"/>
    <w:rsid w:val="00364C85"/>
    <w:rsid w:val="00364C91"/>
    <w:rsid w:val="00364CB2"/>
    <w:rsid w:val="00364CCA"/>
    <w:rsid w:val="00364D04"/>
    <w:rsid w:val="00364D0D"/>
    <w:rsid w:val="00364D3A"/>
    <w:rsid w:val="00364D4A"/>
    <w:rsid w:val="00364D76"/>
    <w:rsid w:val="00364D7C"/>
    <w:rsid w:val="00364D89"/>
    <w:rsid w:val="00364DAD"/>
    <w:rsid w:val="00364DC6"/>
    <w:rsid w:val="00364DD6"/>
    <w:rsid w:val="00364DD9"/>
    <w:rsid w:val="00364DF5"/>
    <w:rsid w:val="00364E24"/>
    <w:rsid w:val="00364E28"/>
    <w:rsid w:val="00364E33"/>
    <w:rsid w:val="00364E43"/>
    <w:rsid w:val="00364E4F"/>
    <w:rsid w:val="00364E97"/>
    <w:rsid w:val="00364EAB"/>
    <w:rsid w:val="00364EC4"/>
    <w:rsid w:val="00364ED0"/>
    <w:rsid w:val="00364ED6"/>
    <w:rsid w:val="00364EF6"/>
    <w:rsid w:val="00364FEB"/>
    <w:rsid w:val="00365006"/>
    <w:rsid w:val="0036501B"/>
    <w:rsid w:val="00365029"/>
    <w:rsid w:val="003650BE"/>
    <w:rsid w:val="00365101"/>
    <w:rsid w:val="00365113"/>
    <w:rsid w:val="00365170"/>
    <w:rsid w:val="00365172"/>
    <w:rsid w:val="00365180"/>
    <w:rsid w:val="00365190"/>
    <w:rsid w:val="00365198"/>
    <w:rsid w:val="003651AA"/>
    <w:rsid w:val="003651AD"/>
    <w:rsid w:val="003651BA"/>
    <w:rsid w:val="00365244"/>
    <w:rsid w:val="0036529D"/>
    <w:rsid w:val="003652F4"/>
    <w:rsid w:val="003652F9"/>
    <w:rsid w:val="00365330"/>
    <w:rsid w:val="00365357"/>
    <w:rsid w:val="00365387"/>
    <w:rsid w:val="00365389"/>
    <w:rsid w:val="003653B4"/>
    <w:rsid w:val="00365412"/>
    <w:rsid w:val="00365460"/>
    <w:rsid w:val="0036549D"/>
    <w:rsid w:val="003654DB"/>
    <w:rsid w:val="003654FB"/>
    <w:rsid w:val="00365500"/>
    <w:rsid w:val="00365558"/>
    <w:rsid w:val="00365574"/>
    <w:rsid w:val="003655D6"/>
    <w:rsid w:val="00365608"/>
    <w:rsid w:val="0036566E"/>
    <w:rsid w:val="00365677"/>
    <w:rsid w:val="00365680"/>
    <w:rsid w:val="003656B4"/>
    <w:rsid w:val="003656D1"/>
    <w:rsid w:val="003656D3"/>
    <w:rsid w:val="003656D6"/>
    <w:rsid w:val="003656E9"/>
    <w:rsid w:val="00365712"/>
    <w:rsid w:val="003657C3"/>
    <w:rsid w:val="003657D3"/>
    <w:rsid w:val="003657EE"/>
    <w:rsid w:val="0036585A"/>
    <w:rsid w:val="0036585F"/>
    <w:rsid w:val="003658D9"/>
    <w:rsid w:val="0036595E"/>
    <w:rsid w:val="0036596F"/>
    <w:rsid w:val="00365987"/>
    <w:rsid w:val="003659F2"/>
    <w:rsid w:val="003659F7"/>
    <w:rsid w:val="00365A34"/>
    <w:rsid w:val="00365A45"/>
    <w:rsid w:val="00365A48"/>
    <w:rsid w:val="00365A55"/>
    <w:rsid w:val="00365AB1"/>
    <w:rsid w:val="00365AB9"/>
    <w:rsid w:val="00365B4D"/>
    <w:rsid w:val="00365B61"/>
    <w:rsid w:val="00365BCD"/>
    <w:rsid w:val="00365C09"/>
    <w:rsid w:val="00365C34"/>
    <w:rsid w:val="00365C43"/>
    <w:rsid w:val="00365C74"/>
    <w:rsid w:val="00365C99"/>
    <w:rsid w:val="00365CF6"/>
    <w:rsid w:val="00365D64"/>
    <w:rsid w:val="00365D6F"/>
    <w:rsid w:val="00365D84"/>
    <w:rsid w:val="00365DC3"/>
    <w:rsid w:val="00365DCA"/>
    <w:rsid w:val="00365DD2"/>
    <w:rsid w:val="00365DDA"/>
    <w:rsid w:val="00365DFD"/>
    <w:rsid w:val="00365E78"/>
    <w:rsid w:val="00365E9D"/>
    <w:rsid w:val="00365EDB"/>
    <w:rsid w:val="00365EDE"/>
    <w:rsid w:val="00365F5F"/>
    <w:rsid w:val="00365F61"/>
    <w:rsid w:val="00365F6B"/>
    <w:rsid w:val="00365FAE"/>
    <w:rsid w:val="00365FE6"/>
    <w:rsid w:val="00365FF8"/>
    <w:rsid w:val="0036601A"/>
    <w:rsid w:val="0036606B"/>
    <w:rsid w:val="0036606F"/>
    <w:rsid w:val="003660F8"/>
    <w:rsid w:val="00366121"/>
    <w:rsid w:val="003661A5"/>
    <w:rsid w:val="003661D6"/>
    <w:rsid w:val="003661F5"/>
    <w:rsid w:val="00366208"/>
    <w:rsid w:val="00366218"/>
    <w:rsid w:val="00366240"/>
    <w:rsid w:val="00366242"/>
    <w:rsid w:val="00366296"/>
    <w:rsid w:val="0036629F"/>
    <w:rsid w:val="003662A2"/>
    <w:rsid w:val="003662A4"/>
    <w:rsid w:val="003662AF"/>
    <w:rsid w:val="00366305"/>
    <w:rsid w:val="00366333"/>
    <w:rsid w:val="0036634E"/>
    <w:rsid w:val="0036635E"/>
    <w:rsid w:val="00366397"/>
    <w:rsid w:val="003663BD"/>
    <w:rsid w:val="003663CC"/>
    <w:rsid w:val="003663CE"/>
    <w:rsid w:val="00366413"/>
    <w:rsid w:val="003664CE"/>
    <w:rsid w:val="003664E7"/>
    <w:rsid w:val="003664F7"/>
    <w:rsid w:val="00366510"/>
    <w:rsid w:val="00366559"/>
    <w:rsid w:val="0036655A"/>
    <w:rsid w:val="00366571"/>
    <w:rsid w:val="003665B3"/>
    <w:rsid w:val="003665C0"/>
    <w:rsid w:val="003665CA"/>
    <w:rsid w:val="003665DE"/>
    <w:rsid w:val="00366612"/>
    <w:rsid w:val="00366613"/>
    <w:rsid w:val="00366647"/>
    <w:rsid w:val="00366648"/>
    <w:rsid w:val="003666A1"/>
    <w:rsid w:val="003666BC"/>
    <w:rsid w:val="003666E1"/>
    <w:rsid w:val="00366736"/>
    <w:rsid w:val="003667CA"/>
    <w:rsid w:val="003667DD"/>
    <w:rsid w:val="00366821"/>
    <w:rsid w:val="00366842"/>
    <w:rsid w:val="0036688E"/>
    <w:rsid w:val="003668B1"/>
    <w:rsid w:val="003668CF"/>
    <w:rsid w:val="003668DC"/>
    <w:rsid w:val="003668F4"/>
    <w:rsid w:val="0036694F"/>
    <w:rsid w:val="00366952"/>
    <w:rsid w:val="0036696C"/>
    <w:rsid w:val="0036696F"/>
    <w:rsid w:val="00366989"/>
    <w:rsid w:val="0036699A"/>
    <w:rsid w:val="003669F5"/>
    <w:rsid w:val="00366A17"/>
    <w:rsid w:val="00366A7D"/>
    <w:rsid w:val="00366A8D"/>
    <w:rsid w:val="00366A97"/>
    <w:rsid w:val="00366A9A"/>
    <w:rsid w:val="00366B3E"/>
    <w:rsid w:val="00366BBA"/>
    <w:rsid w:val="00366BD4"/>
    <w:rsid w:val="00366BD6"/>
    <w:rsid w:val="00366BE7"/>
    <w:rsid w:val="00366C21"/>
    <w:rsid w:val="00366C2A"/>
    <w:rsid w:val="00366C4B"/>
    <w:rsid w:val="00366C76"/>
    <w:rsid w:val="00366C8E"/>
    <w:rsid w:val="00366D05"/>
    <w:rsid w:val="00366D0B"/>
    <w:rsid w:val="00366D62"/>
    <w:rsid w:val="00366D7B"/>
    <w:rsid w:val="00366DA1"/>
    <w:rsid w:val="00366DEF"/>
    <w:rsid w:val="00366DF1"/>
    <w:rsid w:val="00366DFB"/>
    <w:rsid w:val="00366E50"/>
    <w:rsid w:val="00366E8F"/>
    <w:rsid w:val="00366EAE"/>
    <w:rsid w:val="00366F05"/>
    <w:rsid w:val="00366F0B"/>
    <w:rsid w:val="00366F62"/>
    <w:rsid w:val="00366F70"/>
    <w:rsid w:val="00366F7C"/>
    <w:rsid w:val="00366FD8"/>
    <w:rsid w:val="00367017"/>
    <w:rsid w:val="0036704B"/>
    <w:rsid w:val="003670D5"/>
    <w:rsid w:val="003670DF"/>
    <w:rsid w:val="00367104"/>
    <w:rsid w:val="0036714C"/>
    <w:rsid w:val="0036716B"/>
    <w:rsid w:val="003671B8"/>
    <w:rsid w:val="00367266"/>
    <w:rsid w:val="00367272"/>
    <w:rsid w:val="003672A9"/>
    <w:rsid w:val="00367304"/>
    <w:rsid w:val="00367327"/>
    <w:rsid w:val="0036732E"/>
    <w:rsid w:val="0036732F"/>
    <w:rsid w:val="0036733A"/>
    <w:rsid w:val="0036735F"/>
    <w:rsid w:val="00367364"/>
    <w:rsid w:val="00367397"/>
    <w:rsid w:val="003673BE"/>
    <w:rsid w:val="003673F3"/>
    <w:rsid w:val="003674AA"/>
    <w:rsid w:val="003674B5"/>
    <w:rsid w:val="003674B9"/>
    <w:rsid w:val="00367504"/>
    <w:rsid w:val="00367573"/>
    <w:rsid w:val="0036759D"/>
    <w:rsid w:val="003675AD"/>
    <w:rsid w:val="003675D6"/>
    <w:rsid w:val="003675DF"/>
    <w:rsid w:val="00367615"/>
    <w:rsid w:val="00367618"/>
    <w:rsid w:val="00367625"/>
    <w:rsid w:val="0036765E"/>
    <w:rsid w:val="003676D8"/>
    <w:rsid w:val="003676FD"/>
    <w:rsid w:val="0036773D"/>
    <w:rsid w:val="00367753"/>
    <w:rsid w:val="00367755"/>
    <w:rsid w:val="00367784"/>
    <w:rsid w:val="00367798"/>
    <w:rsid w:val="003677D0"/>
    <w:rsid w:val="00367856"/>
    <w:rsid w:val="0036786E"/>
    <w:rsid w:val="003678CB"/>
    <w:rsid w:val="003678ED"/>
    <w:rsid w:val="003678F8"/>
    <w:rsid w:val="0036791D"/>
    <w:rsid w:val="00367932"/>
    <w:rsid w:val="00367972"/>
    <w:rsid w:val="003679BA"/>
    <w:rsid w:val="003679C7"/>
    <w:rsid w:val="003679E2"/>
    <w:rsid w:val="003679E7"/>
    <w:rsid w:val="003679EB"/>
    <w:rsid w:val="003679FE"/>
    <w:rsid w:val="00367A13"/>
    <w:rsid w:val="00367A1E"/>
    <w:rsid w:val="00367A40"/>
    <w:rsid w:val="00367A65"/>
    <w:rsid w:val="00367A91"/>
    <w:rsid w:val="00367AA9"/>
    <w:rsid w:val="00367AAD"/>
    <w:rsid w:val="00367AC5"/>
    <w:rsid w:val="00367AE4"/>
    <w:rsid w:val="00367B10"/>
    <w:rsid w:val="00367B2D"/>
    <w:rsid w:val="00367B37"/>
    <w:rsid w:val="00367B3A"/>
    <w:rsid w:val="00367B7E"/>
    <w:rsid w:val="00367B9B"/>
    <w:rsid w:val="00367BCA"/>
    <w:rsid w:val="00367C57"/>
    <w:rsid w:val="00367C71"/>
    <w:rsid w:val="00367CAC"/>
    <w:rsid w:val="00367CB9"/>
    <w:rsid w:val="00367CFF"/>
    <w:rsid w:val="00367D90"/>
    <w:rsid w:val="00367D92"/>
    <w:rsid w:val="00367D9F"/>
    <w:rsid w:val="00367DAC"/>
    <w:rsid w:val="00367DC2"/>
    <w:rsid w:val="00367E24"/>
    <w:rsid w:val="00367E3B"/>
    <w:rsid w:val="00367E96"/>
    <w:rsid w:val="00367EDF"/>
    <w:rsid w:val="00367EF1"/>
    <w:rsid w:val="00367F9C"/>
    <w:rsid w:val="00370008"/>
    <w:rsid w:val="00370014"/>
    <w:rsid w:val="00370082"/>
    <w:rsid w:val="00370085"/>
    <w:rsid w:val="003700EC"/>
    <w:rsid w:val="00370108"/>
    <w:rsid w:val="0037010F"/>
    <w:rsid w:val="00370128"/>
    <w:rsid w:val="0037013B"/>
    <w:rsid w:val="00370164"/>
    <w:rsid w:val="003701E3"/>
    <w:rsid w:val="00370263"/>
    <w:rsid w:val="00370274"/>
    <w:rsid w:val="003702E7"/>
    <w:rsid w:val="00370317"/>
    <w:rsid w:val="0037034B"/>
    <w:rsid w:val="003703C5"/>
    <w:rsid w:val="003703DC"/>
    <w:rsid w:val="003703FB"/>
    <w:rsid w:val="00370407"/>
    <w:rsid w:val="00370455"/>
    <w:rsid w:val="00370459"/>
    <w:rsid w:val="00370467"/>
    <w:rsid w:val="003704BD"/>
    <w:rsid w:val="003704C0"/>
    <w:rsid w:val="0037051A"/>
    <w:rsid w:val="00370523"/>
    <w:rsid w:val="00370558"/>
    <w:rsid w:val="003705A0"/>
    <w:rsid w:val="003705D7"/>
    <w:rsid w:val="003705FD"/>
    <w:rsid w:val="00370669"/>
    <w:rsid w:val="0037067E"/>
    <w:rsid w:val="00370681"/>
    <w:rsid w:val="003706BD"/>
    <w:rsid w:val="00370713"/>
    <w:rsid w:val="003707C6"/>
    <w:rsid w:val="003707D5"/>
    <w:rsid w:val="003707E3"/>
    <w:rsid w:val="00370804"/>
    <w:rsid w:val="00370824"/>
    <w:rsid w:val="0037082B"/>
    <w:rsid w:val="00370853"/>
    <w:rsid w:val="00370874"/>
    <w:rsid w:val="003708D0"/>
    <w:rsid w:val="003708E4"/>
    <w:rsid w:val="00370973"/>
    <w:rsid w:val="00370985"/>
    <w:rsid w:val="0037099E"/>
    <w:rsid w:val="003709BE"/>
    <w:rsid w:val="003709CA"/>
    <w:rsid w:val="003709DB"/>
    <w:rsid w:val="003709F1"/>
    <w:rsid w:val="003709FE"/>
    <w:rsid w:val="00370A57"/>
    <w:rsid w:val="00370ABA"/>
    <w:rsid w:val="00370B98"/>
    <w:rsid w:val="00370B9C"/>
    <w:rsid w:val="00370BF4"/>
    <w:rsid w:val="00370BFD"/>
    <w:rsid w:val="00370C11"/>
    <w:rsid w:val="00370C55"/>
    <w:rsid w:val="00370C5C"/>
    <w:rsid w:val="00370C80"/>
    <w:rsid w:val="00370C94"/>
    <w:rsid w:val="00370D0E"/>
    <w:rsid w:val="00370D1B"/>
    <w:rsid w:val="00370DA5"/>
    <w:rsid w:val="00370DB3"/>
    <w:rsid w:val="00370DBC"/>
    <w:rsid w:val="00370DD9"/>
    <w:rsid w:val="00370E80"/>
    <w:rsid w:val="00370E83"/>
    <w:rsid w:val="00370E98"/>
    <w:rsid w:val="00370E9D"/>
    <w:rsid w:val="00370ED5"/>
    <w:rsid w:val="00370F01"/>
    <w:rsid w:val="00370F19"/>
    <w:rsid w:val="00370F42"/>
    <w:rsid w:val="00370FAC"/>
    <w:rsid w:val="00370FF0"/>
    <w:rsid w:val="00370FFC"/>
    <w:rsid w:val="00371039"/>
    <w:rsid w:val="00371067"/>
    <w:rsid w:val="0037108D"/>
    <w:rsid w:val="003710C1"/>
    <w:rsid w:val="003710EF"/>
    <w:rsid w:val="00371150"/>
    <w:rsid w:val="00371191"/>
    <w:rsid w:val="00371193"/>
    <w:rsid w:val="00371195"/>
    <w:rsid w:val="003711D8"/>
    <w:rsid w:val="003711E5"/>
    <w:rsid w:val="00371207"/>
    <w:rsid w:val="00371271"/>
    <w:rsid w:val="003712ED"/>
    <w:rsid w:val="00371301"/>
    <w:rsid w:val="00371333"/>
    <w:rsid w:val="00371429"/>
    <w:rsid w:val="0037145A"/>
    <w:rsid w:val="0037147B"/>
    <w:rsid w:val="00371509"/>
    <w:rsid w:val="0037152C"/>
    <w:rsid w:val="00371596"/>
    <w:rsid w:val="0037162A"/>
    <w:rsid w:val="00371632"/>
    <w:rsid w:val="0037163A"/>
    <w:rsid w:val="0037165A"/>
    <w:rsid w:val="0037167C"/>
    <w:rsid w:val="003716BD"/>
    <w:rsid w:val="003716D2"/>
    <w:rsid w:val="00371709"/>
    <w:rsid w:val="00371721"/>
    <w:rsid w:val="00371728"/>
    <w:rsid w:val="00371749"/>
    <w:rsid w:val="00371763"/>
    <w:rsid w:val="0037179F"/>
    <w:rsid w:val="003717A2"/>
    <w:rsid w:val="00371857"/>
    <w:rsid w:val="003718BE"/>
    <w:rsid w:val="003718C4"/>
    <w:rsid w:val="003718D0"/>
    <w:rsid w:val="0037196C"/>
    <w:rsid w:val="00371971"/>
    <w:rsid w:val="0037198B"/>
    <w:rsid w:val="00371A34"/>
    <w:rsid w:val="00371A92"/>
    <w:rsid w:val="00371AD9"/>
    <w:rsid w:val="00371B04"/>
    <w:rsid w:val="00371B2C"/>
    <w:rsid w:val="00371B99"/>
    <w:rsid w:val="00371BC5"/>
    <w:rsid w:val="00371BD5"/>
    <w:rsid w:val="00371BF4"/>
    <w:rsid w:val="00371BFF"/>
    <w:rsid w:val="00371C38"/>
    <w:rsid w:val="00371C61"/>
    <w:rsid w:val="00371CC6"/>
    <w:rsid w:val="00371D39"/>
    <w:rsid w:val="00371D8C"/>
    <w:rsid w:val="00371DA4"/>
    <w:rsid w:val="00371DC3"/>
    <w:rsid w:val="00371DDB"/>
    <w:rsid w:val="00371DEE"/>
    <w:rsid w:val="00371E42"/>
    <w:rsid w:val="00371E44"/>
    <w:rsid w:val="00371E53"/>
    <w:rsid w:val="00371E7B"/>
    <w:rsid w:val="00371EC3"/>
    <w:rsid w:val="00371EE7"/>
    <w:rsid w:val="00371EF9"/>
    <w:rsid w:val="00371F49"/>
    <w:rsid w:val="00371F69"/>
    <w:rsid w:val="00371FCA"/>
    <w:rsid w:val="00372001"/>
    <w:rsid w:val="00372021"/>
    <w:rsid w:val="0037202B"/>
    <w:rsid w:val="0037203C"/>
    <w:rsid w:val="003720B2"/>
    <w:rsid w:val="003720D6"/>
    <w:rsid w:val="0037212E"/>
    <w:rsid w:val="00372133"/>
    <w:rsid w:val="003721B7"/>
    <w:rsid w:val="003721D9"/>
    <w:rsid w:val="003721FD"/>
    <w:rsid w:val="00372221"/>
    <w:rsid w:val="00372289"/>
    <w:rsid w:val="003722B1"/>
    <w:rsid w:val="003722CA"/>
    <w:rsid w:val="00372323"/>
    <w:rsid w:val="00372342"/>
    <w:rsid w:val="0037234E"/>
    <w:rsid w:val="00372364"/>
    <w:rsid w:val="00372367"/>
    <w:rsid w:val="00372371"/>
    <w:rsid w:val="00372380"/>
    <w:rsid w:val="003723DF"/>
    <w:rsid w:val="003723E5"/>
    <w:rsid w:val="003723FB"/>
    <w:rsid w:val="00372412"/>
    <w:rsid w:val="0037241E"/>
    <w:rsid w:val="00372434"/>
    <w:rsid w:val="00372437"/>
    <w:rsid w:val="00372443"/>
    <w:rsid w:val="0037249F"/>
    <w:rsid w:val="003724B9"/>
    <w:rsid w:val="003724C8"/>
    <w:rsid w:val="003724D5"/>
    <w:rsid w:val="003724DF"/>
    <w:rsid w:val="003724F1"/>
    <w:rsid w:val="00372532"/>
    <w:rsid w:val="00372533"/>
    <w:rsid w:val="0037255C"/>
    <w:rsid w:val="00372568"/>
    <w:rsid w:val="003725C3"/>
    <w:rsid w:val="003725D1"/>
    <w:rsid w:val="003725E3"/>
    <w:rsid w:val="0037263E"/>
    <w:rsid w:val="0037265E"/>
    <w:rsid w:val="0037267B"/>
    <w:rsid w:val="0037268F"/>
    <w:rsid w:val="00372701"/>
    <w:rsid w:val="00372731"/>
    <w:rsid w:val="0037277B"/>
    <w:rsid w:val="00372794"/>
    <w:rsid w:val="003727B9"/>
    <w:rsid w:val="003727D4"/>
    <w:rsid w:val="0037283C"/>
    <w:rsid w:val="003728A2"/>
    <w:rsid w:val="003728A8"/>
    <w:rsid w:val="003728B5"/>
    <w:rsid w:val="003728D7"/>
    <w:rsid w:val="003728D8"/>
    <w:rsid w:val="0037293F"/>
    <w:rsid w:val="00372957"/>
    <w:rsid w:val="003729DB"/>
    <w:rsid w:val="00372A15"/>
    <w:rsid w:val="00372A6F"/>
    <w:rsid w:val="00372A8B"/>
    <w:rsid w:val="00372ACC"/>
    <w:rsid w:val="00372AD6"/>
    <w:rsid w:val="00372B44"/>
    <w:rsid w:val="00372B49"/>
    <w:rsid w:val="00372B72"/>
    <w:rsid w:val="00372B80"/>
    <w:rsid w:val="00372B92"/>
    <w:rsid w:val="00372BB3"/>
    <w:rsid w:val="00372C00"/>
    <w:rsid w:val="00372C02"/>
    <w:rsid w:val="00372C66"/>
    <w:rsid w:val="00372C6D"/>
    <w:rsid w:val="00372CAA"/>
    <w:rsid w:val="00372CE4"/>
    <w:rsid w:val="00372CEA"/>
    <w:rsid w:val="00372D52"/>
    <w:rsid w:val="00372D93"/>
    <w:rsid w:val="00372D95"/>
    <w:rsid w:val="00372E00"/>
    <w:rsid w:val="00372E49"/>
    <w:rsid w:val="00372E76"/>
    <w:rsid w:val="00372E82"/>
    <w:rsid w:val="00372EB2"/>
    <w:rsid w:val="00372ED2"/>
    <w:rsid w:val="00372EF9"/>
    <w:rsid w:val="00372F3C"/>
    <w:rsid w:val="00372F56"/>
    <w:rsid w:val="00372F6B"/>
    <w:rsid w:val="00372F76"/>
    <w:rsid w:val="00372F77"/>
    <w:rsid w:val="0037307F"/>
    <w:rsid w:val="003730F8"/>
    <w:rsid w:val="00373128"/>
    <w:rsid w:val="0037313C"/>
    <w:rsid w:val="0037317D"/>
    <w:rsid w:val="00373192"/>
    <w:rsid w:val="0037319A"/>
    <w:rsid w:val="003731A3"/>
    <w:rsid w:val="003731B0"/>
    <w:rsid w:val="00373211"/>
    <w:rsid w:val="00373232"/>
    <w:rsid w:val="00373239"/>
    <w:rsid w:val="00373260"/>
    <w:rsid w:val="0037327C"/>
    <w:rsid w:val="003732AC"/>
    <w:rsid w:val="003732B5"/>
    <w:rsid w:val="00373301"/>
    <w:rsid w:val="00373306"/>
    <w:rsid w:val="00373347"/>
    <w:rsid w:val="0037337F"/>
    <w:rsid w:val="003733B0"/>
    <w:rsid w:val="003733C0"/>
    <w:rsid w:val="003733C3"/>
    <w:rsid w:val="003733FE"/>
    <w:rsid w:val="00373441"/>
    <w:rsid w:val="003734C2"/>
    <w:rsid w:val="003734DB"/>
    <w:rsid w:val="0037353D"/>
    <w:rsid w:val="00373581"/>
    <w:rsid w:val="0037359E"/>
    <w:rsid w:val="003735D6"/>
    <w:rsid w:val="0037362D"/>
    <w:rsid w:val="00373634"/>
    <w:rsid w:val="0037363A"/>
    <w:rsid w:val="00373642"/>
    <w:rsid w:val="003736DA"/>
    <w:rsid w:val="00373718"/>
    <w:rsid w:val="0037377E"/>
    <w:rsid w:val="0037379B"/>
    <w:rsid w:val="003737B5"/>
    <w:rsid w:val="003737C9"/>
    <w:rsid w:val="003737E2"/>
    <w:rsid w:val="00373804"/>
    <w:rsid w:val="0037381F"/>
    <w:rsid w:val="0037387C"/>
    <w:rsid w:val="00373899"/>
    <w:rsid w:val="003738AD"/>
    <w:rsid w:val="003738BA"/>
    <w:rsid w:val="003738BD"/>
    <w:rsid w:val="003738CE"/>
    <w:rsid w:val="003738EE"/>
    <w:rsid w:val="00373971"/>
    <w:rsid w:val="003739A4"/>
    <w:rsid w:val="003739AC"/>
    <w:rsid w:val="003739B5"/>
    <w:rsid w:val="003739F0"/>
    <w:rsid w:val="00373A31"/>
    <w:rsid w:val="00373A3E"/>
    <w:rsid w:val="00373A47"/>
    <w:rsid w:val="00373A92"/>
    <w:rsid w:val="00373AA5"/>
    <w:rsid w:val="00373ABC"/>
    <w:rsid w:val="00373B0F"/>
    <w:rsid w:val="00373B10"/>
    <w:rsid w:val="00373B16"/>
    <w:rsid w:val="00373B17"/>
    <w:rsid w:val="00373B19"/>
    <w:rsid w:val="00373B38"/>
    <w:rsid w:val="00373B3C"/>
    <w:rsid w:val="00373B51"/>
    <w:rsid w:val="00373B57"/>
    <w:rsid w:val="00373B62"/>
    <w:rsid w:val="00373B68"/>
    <w:rsid w:val="00373BCA"/>
    <w:rsid w:val="00373BFC"/>
    <w:rsid w:val="00373C0B"/>
    <w:rsid w:val="00373C38"/>
    <w:rsid w:val="00373C5D"/>
    <w:rsid w:val="00373CAE"/>
    <w:rsid w:val="00373CFB"/>
    <w:rsid w:val="00373D08"/>
    <w:rsid w:val="00373D20"/>
    <w:rsid w:val="00373D41"/>
    <w:rsid w:val="00373D53"/>
    <w:rsid w:val="00373D64"/>
    <w:rsid w:val="00373D89"/>
    <w:rsid w:val="00373D92"/>
    <w:rsid w:val="00373D9F"/>
    <w:rsid w:val="00373DC1"/>
    <w:rsid w:val="00373DCA"/>
    <w:rsid w:val="00373DDA"/>
    <w:rsid w:val="00373DE8"/>
    <w:rsid w:val="00373DEB"/>
    <w:rsid w:val="00373DFE"/>
    <w:rsid w:val="00373E32"/>
    <w:rsid w:val="00373EB7"/>
    <w:rsid w:val="00373F34"/>
    <w:rsid w:val="00373F4E"/>
    <w:rsid w:val="00373FC0"/>
    <w:rsid w:val="00373FF2"/>
    <w:rsid w:val="00374011"/>
    <w:rsid w:val="0037402D"/>
    <w:rsid w:val="0037403B"/>
    <w:rsid w:val="0037407E"/>
    <w:rsid w:val="003740B9"/>
    <w:rsid w:val="003740DE"/>
    <w:rsid w:val="0037410D"/>
    <w:rsid w:val="00374119"/>
    <w:rsid w:val="0037413D"/>
    <w:rsid w:val="00374156"/>
    <w:rsid w:val="00374169"/>
    <w:rsid w:val="0037418C"/>
    <w:rsid w:val="003741C2"/>
    <w:rsid w:val="003741D0"/>
    <w:rsid w:val="0037420A"/>
    <w:rsid w:val="00374215"/>
    <w:rsid w:val="00374257"/>
    <w:rsid w:val="00374282"/>
    <w:rsid w:val="003742A9"/>
    <w:rsid w:val="003742D1"/>
    <w:rsid w:val="00374302"/>
    <w:rsid w:val="0037430A"/>
    <w:rsid w:val="00374312"/>
    <w:rsid w:val="00374340"/>
    <w:rsid w:val="00374360"/>
    <w:rsid w:val="003743D1"/>
    <w:rsid w:val="003743E9"/>
    <w:rsid w:val="00374443"/>
    <w:rsid w:val="0037447B"/>
    <w:rsid w:val="003744AC"/>
    <w:rsid w:val="003744EA"/>
    <w:rsid w:val="00374532"/>
    <w:rsid w:val="00374538"/>
    <w:rsid w:val="0037453F"/>
    <w:rsid w:val="0037454B"/>
    <w:rsid w:val="0037457E"/>
    <w:rsid w:val="0037458D"/>
    <w:rsid w:val="003745A5"/>
    <w:rsid w:val="003745BE"/>
    <w:rsid w:val="003745E0"/>
    <w:rsid w:val="00374614"/>
    <w:rsid w:val="0037468F"/>
    <w:rsid w:val="003746A3"/>
    <w:rsid w:val="003746A7"/>
    <w:rsid w:val="003746A8"/>
    <w:rsid w:val="003746C8"/>
    <w:rsid w:val="003747B9"/>
    <w:rsid w:val="003747D7"/>
    <w:rsid w:val="003747DC"/>
    <w:rsid w:val="003747EA"/>
    <w:rsid w:val="003747F0"/>
    <w:rsid w:val="00374808"/>
    <w:rsid w:val="0037480D"/>
    <w:rsid w:val="0037483B"/>
    <w:rsid w:val="00374889"/>
    <w:rsid w:val="003748B6"/>
    <w:rsid w:val="003748C6"/>
    <w:rsid w:val="00374971"/>
    <w:rsid w:val="0037497E"/>
    <w:rsid w:val="0037498E"/>
    <w:rsid w:val="003749BF"/>
    <w:rsid w:val="003749DA"/>
    <w:rsid w:val="003749E4"/>
    <w:rsid w:val="00374A16"/>
    <w:rsid w:val="00374A29"/>
    <w:rsid w:val="00374A3A"/>
    <w:rsid w:val="00374A64"/>
    <w:rsid w:val="00374A6F"/>
    <w:rsid w:val="00374A7C"/>
    <w:rsid w:val="00374A8C"/>
    <w:rsid w:val="00374AAC"/>
    <w:rsid w:val="00374AB1"/>
    <w:rsid w:val="00374ABB"/>
    <w:rsid w:val="00374AD2"/>
    <w:rsid w:val="00374B3D"/>
    <w:rsid w:val="00374B94"/>
    <w:rsid w:val="00374BB7"/>
    <w:rsid w:val="00374BE5"/>
    <w:rsid w:val="00374C09"/>
    <w:rsid w:val="00374C0A"/>
    <w:rsid w:val="00374C55"/>
    <w:rsid w:val="00374C6F"/>
    <w:rsid w:val="00374CCE"/>
    <w:rsid w:val="00374CD0"/>
    <w:rsid w:val="00374D22"/>
    <w:rsid w:val="00374D4B"/>
    <w:rsid w:val="00374E07"/>
    <w:rsid w:val="00374E3B"/>
    <w:rsid w:val="00374E5E"/>
    <w:rsid w:val="00374EB3"/>
    <w:rsid w:val="00374EDC"/>
    <w:rsid w:val="00374F04"/>
    <w:rsid w:val="00374F22"/>
    <w:rsid w:val="00374F4B"/>
    <w:rsid w:val="00374F4F"/>
    <w:rsid w:val="00374F61"/>
    <w:rsid w:val="00374F68"/>
    <w:rsid w:val="00374F8D"/>
    <w:rsid w:val="00374F9B"/>
    <w:rsid w:val="00374FCA"/>
    <w:rsid w:val="00374FFD"/>
    <w:rsid w:val="003750BA"/>
    <w:rsid w:val="003750F2"/>
    <w:rsid w:val="00375106"/>
    <w:rsid w:val="0037512A"/>
    <w:rsid w:val="0037514A"/>
    <w:rsid w:val="0037515B"/>
    <w:rsid w:val="0037517A"/>
    <w:rsid w:val="00375190"/>
    <w:rsid w:val="00375199"/>
    <w:rsid w:val="003751D1"/>
    <w:rsid w:val="003751D6"/>
    <w:rsid w:val="003751F4"/>
    <w:rsid w:val="003751FA"/>
    <w:rsid w:val="00375215"/>
    <w:rsid w:val="00375242"/>
    <w:rsid w:val="0037525F"/>
    <w:rsid w:val="00375290"/>
    <w:rsid w:val="00375296"/>
    <w:rsid w:val="003752BB"/>
    <w:rsid w:val="00375350"/>
    <w:rsid w:val="0037539D"/>
    <w:rsid w:val="003753ED"/>
    <w:rsid w:val="00375414"/>
    <w:rsid w:val="00375424"/>
    <w:rsid w:val="0037545A"/>
    <w:rsid w:val="0037545C"/>
    <w:rsid w:val="003754A9"/>
    <w:rsid w:val="003754B1"/>
    <w:rsid w:val="003754CA"/>
    <w:rsid w:val="003754E5"/>
    <w:rsid w:val="003754E7"/>
    <w:rsid w:val="003754F6"/>
    <w:rsid w:val="0037551C"/>
    <w:rsid w:val="00375576"/>
    <w:rsid w:val="0037558A"/>
    <w:rsid w:val="00375599"/>
    <w:rsid w:val="0037559A"/>
    <w:rsid w:val="003755DB"/>
    <w:rsid w:val="003755FF"/>
    <w:rsid w:val="0037560A"/>
    <w:rsid w:val="0037567A"/>
    <w:rsid w:val="00375694"/>
    <w:rsid w:val="00375697"/>
    <w:rsid w:val="00375724"/>
    <w:rsid w:val="00375747"/>
    <w:rsid w:val="00375764"/>
    <w:rsid w:val="00375779"/>
    <w:rsid w:val="00375781"/>
    <w:rsid w:val="00375785"/>
    <w:rsid w:val="003757BF"/>
    <w:rsid w:val="003757C3"/>
    <w:rsid w:val="00375817"/>
    <w:rsid w:val="00375826"/>
    <w:rsid w:val="00375836"/>
    <w:rsid w:val="00375838"/>
    <w:rsid w:val="0037583E"/>
    <w:rsid w:val="00375840"/>
    <w:rsid w:val="00375863"/>
    <w:rsid w:val="0037586B"/>
    <w:rsid w:val="003758F0"/>
    <w:rsid w:val="003758F9"/>
    <w:rsid w:val="00375902"/>
    <w:rsid w:val="00375931"/>
    <w:rsid w:val="00375946"/>
    <w:rsid w:val="0037594D"/>
    <w:rsid w:val="00375A45"/>
    <w:rsid w:val="00375A57"/>
    <w:rsid w:val="00375A86"/>
    <w:rsid w:val="00375A9F"/>
    <w:rsid w:val="00375AE9"/>
    <w:rsid w:val="00375B10"/>
    <w:rsid w:val="00375B5A"/>
    <w:rsid w:val="00375BD9"/>
    <w:rsid w:val="00375BEA"/>
    <w:rsid w:val="00375BF0"/>
    <w:rsid w:val="00375C24"/>
    <w:rsid w:val="00375C37"/>
    <w:rsid w:val="00375C41"/>
    <w:rsid w:val="00375C64"/>
    <w:rsid w:val="00375C67"/>
    <w:rsid w:val="00375C6E"/>
    <w:rsid w:val="00375C8C"/>
    <w:rsid w:val="00375C90"/>
    <w:rsid w:val="00375C9C"/>
    <w:rsid w:val="00375CA9"/>
    <w:rsid w:val="00375CAC"/>
    <w:rsid w:val="00375CB6"/>
    <w:rsid w:val="00375D31"/>
    <w:rsid w:val="00375D5E"/>
    <w:rsid w:val="00375D7B"/>
    <w:rsid w:val="00375D91"/>
    <w:rsid w:val="00375DEE"/>
    <w:rsid w:val="00375E1A"/>
    <w:rsid w:val="00375E1F"/>
    <w:rsid w:val="00375E53"/>
    <w:rsid w:val="00375E56"/>
    <w:rsid w:val="00375EC6"/>
    <w:rsid w:val="00375ED8"/>
    <w:rsid w:val="00375F13"/>
    <w:rsid w:val="00375F3E"/>
    <w:rsid w:val="00375F43"/>
    <w:rsid w:val="00375F4E"/>
    <w:rsid w:val="00375F66"/>
    <w:rsid w:val="00375F6C"/>
    <w:rsid w:val="00375F98"/>
    <w:rsid w:val="00375FA0"/>
    <w:rsid w:val="0037600B"/>
    <w:rsid w:val="00376045"/>
    <w:rsid w:val="00376053"/>
    <w:rsid w:val="00376073"/>
    <w:rsid w:val="00376075"/>
    <w:rsid w:val="003760B6"/>
    <w:rsid w:val="00376113"/>
    <w:rsid w:val="0037615D"/>
    <w:rsid w:val="0037616B"/>
    <w:rsid w:val="0037616E"/>
    <w:rsid w:val="00376181"/>
    <w:rsid w:val="0037618D"/>
    <w:rsid w:val="003761A0"/>
    <w:rsid w:val="003761BF"/>
    <w:rsid w:val="003761EF"/>
    <w:rsid w:val="003761FB"/>
    <w:rsid w:val="00376205"/>
    <w:rsid w:val="00376207"/>
    <w:rsid w:val="00376209"/>
    <w:rsid w:val="00376284"/>
    <w:rsid w:val="00376285"/>
    <w:rsid w:val="0037629D"/>
    <w:rsid w:val="003762A3"/>
    <w:rsid w:val="003762A8"/>
    <w:rsid w:val="003762D5"/>
    <w:rsid w:val="00376310"/>
    <w:rsid w:val="00376316"/>
    <w:rsid w:val="00376318"/>
    <w:rsid w:val="0037632A"/>
    <w:rsid w:val="00376344"/>
    <w:rsid w:val="00376381"/>
    <w:rsid w:val="00376385"/>
    <w:rsid w:val="0037641A"/>
    <w:rsid w:val="00376489"/>
    <w:rsid w:val="003764AA"/>
    <w:rsid w:val="003764BD"/>
    <w:rsid w:val="003764DC"/>
    <w:rsid w:val="00376510"/>
    <w:rsid w:val="00376513"/>
    <w:rsid w:val="00376541"/>
    <w:rsid w:val="003765C1"/>
    <w:rsid w:val="003765DA"/>
    <w:rsid w:val="003765FB"/>
    <w:rsid w:val="00376621"/>
    <w:rsid w:val="00376647"/>
    <w:rsid w:val="00376680"/>
    <w:rsid w:val="003766D8"/>
    <w:rsid w:val="003766E9"/>
    <w:rsid w:val="003766EB"/>
    <w:rsid w:val="003766FB"/>
    <w:rsid w:val="00376701"/>
    <w:rsid w:val="00376722"/>
    <w:rsid w:val="00376750"/>
    <w:rsid w:val="00376755"/>
    <w:rsid w:val="00376785"/>
    <w:rsid w:val="0037679D"/>
    <w:rsid w:val="0037683F"/>
    <w:rsid w:val="003768CB"/>
    <w:rsid w:val="00376A11"/>
    <w:rsid w:val="00376A36"/>
    <w:rsid w:val="00376AB7"/>
    <w:rsid w:val="00376B01"/>
    <w:rsid w:val="00376B14"/>
    <w:rsid w:val="00376B1D"/>
    <w:rsid w:val="00376B58"/>
    <w:rsid w:val="00376B8D"/>
    <w:rsid w:val="00376B9C"/>
    <w:rsid w:val="00376BE1"/>
    <w:rsid w:val="00376C28"/>
    <w:rsid w:val="00376C2D"/>
    <w:rsid w:val="00376C90"/>
    <w:rsid w:val="00376CE7"/>
    <w:rsid w:val="00376D09"/>
    <w:rsid w:val="00376D40"/>
    <w:rsid w:val="00376D82"/>
    <w:rsid w:val="00376DB6"/>
    <w:rsid w:val="00376DF9"/>
    <w:rsid w:val="00376E04"/>
    <w:rsid w:val="00376E1C"/>
    <w:rsid w:val="00376EB7"/>
    <w:rsid w:val="00376EBE"/>
    <w:rsid w:val="00376ECB"/>
    <w:rsid w:val="00376EE1"/>
    <w:rsid w:val="00376EE3"/>
    <w:rsid w:val="00376F7B"/>
    <w:rsid w:val="00377003"/>
    <w:rsid w:val="00377016"/>
    <w:rsid w:val="0037701C"/>
    <w:rsid w:val="0037701F"/>
    <w:rsid w:val="0037702D"/>
    <w:rsid w:val="0037708E"/>
    <w:rsid w:val="00377090"/>
    <w:rsid w:val="003770E0"/>
    <w:rsid w:val="003770FC"/>
    <w:rsid w:val="0037711B"/>
    <w:rsid w:val="0037715C"/>
    <w:rsid w:val="00377197"/>
    <w:rsid w:val="003771A6"/>
    <w:rsid w:val="003771DA"/>
    <w:rsid w:val="00377202"/>
    <w:rsid w:val="0037724F"/>
    <w:rsid w:val="0037726D"/>
    <w:rsid w:val="0037727F"/>
    <w:rsid w:val="00377318"/>
    <w:rsid w:val="0037735C"/>
    <w:rsid w:val="00377364"/>
    <w:rsid w:val="00377373"/>
    <w:rsid w:val="0037737A"/>
    <w:rsid w:val="00377399"/>
    <w:rsid w:val="003773A2"/>
    <w:rsid w:val="003773DC"/>
    <w:rsid w:val="003773F5"/>
    <w:rsid w:val="0037741E"/>
    <w:rsid w:val="00377434"/>
    <w:rsid w:val="0037744C"/>
    <w:rsid w:val="00377491"/>
    <w:rsid w:val="0037749D"/>
    <w:rsid w:val="003774AC"/>
    <w:rsid w:val="00377518"/>
    <w:rsid w:val="00377522"/>
    <w:rsid w:val="0037752E"/>
    <w:rsid w:val="00377532"/>
    <w:rsid w:val="0037755E"/>
    <w:rsid w:val="0037756E"/>
    <w:rsid w:val="00377582"/>
    <w:rsid w:val="003775A6"/>
    <w:rsid w:val="003775B0"/>
    <w:rsid w:val="00377624"/>
    <w:rsid w:val="00377652"/>
    <w:rsid w:val="00377663"/>
    <w:rsid w:val="00377688"/>
    <w:rsid w:val="0037769D"/>
    <w:rsid w:val="003776A0"/>
    <w:rsid w:val="003776CF"/>
    <w:rsid w:val="003776FA"/>
    <w:rsid w:val="00377703"/>
    <w:rsid w:val="00377746"/>
    <w:rsid w:val="00377765"/>
    <w:rsid w:val="00377786"/>
    <w:rsid w:val="003777BC"/>
    <w:rsid w:val="003777CD"/>
    <w:rsid w:val="0037780B"/>
    <w:rsid w:val="0037781B"/>
    <w:rsid w:val="00377869"/>
    <w:rsid w:val="003778A2"/>
    <w:rsid w:val="003778F0"/>
    <w:rsid w:val="00377970"/>
    <w:rsid w:val="00377985"/>
    <w:rsid w:val="0037799A"/>
    <w:rsid w:val="0037799B"/>
    <w:rsid w:val="003779F5"/>
    <w:rsid w:val="00377A56"/>
    <w:rsid w:val="00377A70"/>
    <w:rsid w:val="00377AA7"/>
    <w:rsid w:val="00377AAC"/>
    <w:rsid w:val="00377AFC"/>
    <w:rsid w:val="00377B15"/>
    <w:rsid w:val="00377B1A"/>
    <w:rsid w:val="00377B1C"/>
    <w:rsid w:val="00377BB8"/>
    <w:rsid w:val="00377C1F"/>
    <w:rsid w:val="00377C29"/>
    <w:rsid w:val="00377C6C"/>
    <w:rsid w:val="00377C6F"/>
    <w:rsid w:val="00377C76"/>
    <w:rsid w:val="00377C7B"/>
    <w:rsid w:val="00377CA8"/>
    <w:rsid w:val="00377CE5"/>
    <w:rsid w:val="00377CEB"/>
    <w:rsid w:val="00377D1E"/>
    <w:rsid w:val="00377D2E"/>
    <w:rsid w:val="00377D42"/>
    <w:rsid w:val="00377D59"/>
    <w:rsid w:val="00377D6D"/>
    <w:rsid w:val="00377D8C"/>
    <w:rsid w:val="00377D94"/>
    <w:rsid w:val="00377DE9"/>
    <w:rsid w:val="00377E39"/>
    <w:rsid w:val="00377E3C"/>
    <w:rsid w:val="00377E43"/>
    <w:rsid w:val="00377EFB"/>
    <w:rsid w:val="00377F00"/>
    <w:rsid w:val="00377F16"/>
    <w:rsid w:val="00377F20"/>
    <w:rsid w:val="00377F28"/>
    <w:rsid w:val="00377F85"/>
    <w:rsid w:val="00377FA2"/>
    <w:rsid w:val="00377FB0"/>
    <w:rsid w:val="00377FC4"/>
    <w:rsid w:val="00380057"/>
    <w:rsid w:val="00380098"/>
    <w:rsid w:val="003800B9"/>
    <w:rsid w:val="003800CB"/>
    <w:rsid w:val="003800E2"/>
    <w:rsid w:val="0038010A"/>
    <w:rsid w:val="0038012A"/>
    <w:rsid w:val="0038014C"/>
    <w:rsid w:val="0038015B"/>
    <w:rsid w:val="00380191"/>
    <w:rsid w:val="003801B5"/>
    <w:rsid w:val="003801FD"/>
    <w:rsid w:val="00380202"/>
    <w:rsid w:val="00380233"/>
    <w:rsid w:val="00380235"/>
    <w:rsid w:val="00380248"/>
    <w:rsid w:val="00380250"/>
    <w:rsid w:val="00380277"/>
    <w:rsid w:val="0038029E"/>
    <w:rsid w:val="003802A7"/>
    <w:rsid w:val="003802C6"/>
    <w:rsid w:val="003802D3"/>
    <w:rsid w:val="003802DF"/>
    <w:rsid w:val="00380350"/>
    <w:rsid w:val="0038036D"/>
    <w:rsid w:val="0038037A"/>
    <w:rsid w:val="003803AD"/>
    <w:rsid w:val="003803AF"/>
    <w:rsid w:val="003803BB"/>
    <w:rsid w:val="003803CE"/>
    <w:rsid w:val="0038040D"/>
    <w:rsid w:val="0038043E"/>
    <w:rsid w:val="00380509"/>
    <w:rsid w:val="00380530"/>
    <w:rsid w:val="00380559"/>
    <w:rsid w:val="0038057E"/>
    <w:rsid w:val="0038059E"/>
    <w:rsid w:val="003805DF"/>
    <w:rsid w:val="003805E4"/>
    <w:rsid w:val="003805FE"/>
    <w:rsid w:val="00380630"/>
    <w:rsid w:val="0038063B"/>
    <w:rsid w:val="00380656"/>
    <w:rsid w:val="0038067C"/>
    <w:rsid w:val="00380710"/>
    <w:rsid w:val="00380715"/>
    <w:rsid w:val="00380737"/>
    <w:rsid w:val="0038076B"/>
    <w:rsid w:val="00380772"/>
    <w:rsid w:val="003807B5"/>
    <w:rsid w:val="003807C2"/>
    <w:rsid w:val="003807EC"/>
    <w:rsid w:val="00380834"/>
    <w:rsid w:val="00380848"/>
    <w:rsid w:val="00380864"/>
    <w:rsid w:val="00380885"/>
    <w:rsid w:val="003808BE"/>
    <w:rsid w:val="003808E3"/>
    <w:rsid w:val="00380958"/>
    <w:rsid w:val="003809CD"/>
    <w:rsid w:val="00380A10"/>
    <w:rsid w:val="00380A12"/>
    <w:rsid w:val="00380A18"/>
    <w:rsid w:val="00380A1F"/>
    <w:rsid w:val="00380A24"/>
    <w:rsid w:val="00380A42"/>
    <w:rsid w:val="00380A67"/>
    <w:rsid w:val="00380A6E"/>
    <w:rsid w:val="00380A76"/>
    <w:rsid w:val="00380AA9"/>
    <w:rsid w:val="00380AE4"/>
    <w:rsid w:val="00380B0C"/>
    <w:rsid w:val="00380B0E"/>
    <w:rsid w:val="00380B1B"/>
    <w:rsid w:val="00380B6D"/>
    <w:rsid w:val="00380B73"/>
    <w:rsid w:val="00380BD2"/>
    <w:rsid w:val="00380C22"/>
    <w:rsid w:val="00380C2B"/>
    <w:rsid w:val="00380C68"/>
    <w:rsid w:val="00380C8B"/>
    <w:rsid w:val="00380CB1"/>
    <w:rsid w:val="00380CD2"/>
    <w:rsid w:val="00380CE4"/>
    <w:rsid w:val="00380D03"/>
    <w:rsid w:val="00380D12"/>
    <w:rsid w:val="00380D2A"/>
    <w:rsid w:val="00380D4A"/>
    <w:rsid w:val="00380D67"/>
    <w:rsid w:val="00380D7C"/>
    <w:rsid w:val="00380DEB"/>
    <w:rsid w:val="00380DFE"/>
    <w:rsid w:val="00380E01"/>
    <w:rsid w:val="00380E40"/>
    <w:rsid w:val="00380E67"/>
    <w:rsid w:val="00380E91"/>
    <w:rsid w:val="00380E95"/>
    <w:rsid w:val="00380EA0"/>
    <w:rsid w:val="00380EB0"/>
    <w:rsid w:val="00380EDA"/>
    <w:rsid w:val="00380EE4"/>
    <w:rsid w:val="00380F19"/>
    <w:rsid w:val="00380F1B"/>
    <w:rsid w:val="00380F53"/>
    <w:rsid w:val="00380FBE"/>
    <w:rsid w:val="00380FCA"/>
    <w:rsid w:val="00380FD1"/>
    <w:rsid w:val="0038100F"/>
    <w:rsid w:val="00381063"/>
    <w:rsid w:val="0038107D"/>
    <w:rsid w:val="00381099"/>
    <w:rsid w:val="003810F1"/>
    <w:rsid w:val="0038112E"/>
    <w:rsid w:val="00381142"/>
    <w:rsid w:val="0038115D"/>
    <w:rsid w:val="00381190"/>
    <w:rsid w:val="003811A3"/>
    <w:rsid w:val="003811AA"/>
    <w:rsid w:val="003811CE"/>
    <w:rsid w:val="00381212"/>
    <w:rsid w:val="0038128D"/>
    <w:rsid w:val="003812C6"/>
    <w:rsid w:val="003812D8"/>
    <w:rsid w:val="00381315"/>
    <w:rsid w:val="00381399"/>
    <w:rsid w:val="003813D9"/>
    <w:rsid w:val="003813E5"/>
    <w:rsid w:val="00381437"/>
    <w:rsid w:val="00381443"/>
    <w:rsid w:val="00381465"/>
    <w:rsid w:val="0038147C"/>
    <w:rsid w:val="003814A1"/>
    <w:rsid w:val="003814D3"/>
    <w:rsid w:val="003814FB"/>
    <w:rsid w:val="00381516"/>
    <w:rsid w:val="0038156C"/>
    <w:rsid w:val="0038159A"/>
    <w:rsid w:val="003815FF"/>
    <w:rsid w:val="00381621"/>
    <w:rsid w:val="0038162F"/>
    <w:rsid w:val="00381640"/>
    <w:rsid w:val="0038165C"/>
    <w:rsid w:val="00381687"/>
    <w:rsid w:val="00381709"/>
    <w:rsid w:val="00381720"/>
    <w:rsid w:val="0038172B"/>
    <w:rsid w:val="0038172E"/>
    <w:rsid w:val="0038173D"/>
    <w:rsid w:val="00381764"/>
    <w:rsid w:val="0038176D"/>
    <w:rsid w:val="00381783"/>
    <w:rsid w:val="0038179B"/>
    <w:rsid w:val="0038179F"/>
    <w:rsid w:val="003817E0"/>
    <w:rsid w:val="00381800"/>
    <w:rsid w:val="0038180C"/>
    <w:rsid w:val="0038183F"/>
    <w:rsid w:val="003818EB"/>
    <w:rsid w:val="003818FF"/>
    <w:rsid w:val="00381906"/>
    <w:rsid w:val="00381984"/>
    <w:rsid w:val="003819BF"/>
    <w:rsid w:val="00381A46"/>
    <w:rsid w:val="00381A4B"/>
    <w:rsid w:val="00381A53"/>
    <w:rsid w:val="00381A72"/>
    <w:rsid w:val="00381AA5"/>
    <w:rsid w:val="00381ABF"/>
    <w:rsid w:val="00381AC1"/>
    <w:rsid w:val="00381AD0"/>
    <w:rsid w:val="00381ADA"/>
    <w:rsid w:val="00381AEA"/>
    <w:rsid w:val="00381B24"/>
    <w:rsid w:val="00381B33"/>
    <w:rsid w:val="00381B3F"/>
    <w:rsid w:val="00381B9D"/>
    <w:rsid w:val="00381BD0"/>
    <w:rsid w:val="00381BD4"/>
    <w:rsid w:val="00381C23"/>
    <w:rsid w:val="00381C4C"/>
    <w:rsid w:val="00381CB7"/>
    <w:rsid w:val="00381CC8"/>
    <w:rsid w:val="00381CE3"/>
    <w:rsid w:val="00381CFC"/>
    <w:rsid w:val="00381DCC"/>
    <w:rsid w:val="00381DE3"/>
    <w:rsid w:val="00381DE4"/>
    <w:rsid w:val="00381E74"/>
    <w:rsid w:val="00381EA2"/>
    <w:rsid w:val="00381EBE"/>
    <w:rsid w:val="00381ED2"/>
    <w:rsid w:val="00381F43"/>
    <w:rsid w:val="00381F55"/>
    <w:rsid w:val="00381FB5"/>
    <w:rsid w:val="00381FCD"/>
    <w:rsid w:val="00381FDE"/>
    <w:rsid w:val="00381FE1"/>
    <w:rsid w:val="00382015"/>
    <w:rsid w:val="00382026"/>
    <w:rsid w:val="003820A9"/>
    <w:rsid w:val="00382139"/>
    <w:rsid w:val="0038217C"/>
    <w:rsid w:val="0038218D"/>
    <w:rsid w:val="0038226D"/>
    <w:rsid w:val="003822A5"/>
    <w:rsid w:val="003822AD"/>
    <w:rsid w:val="003822B1"/>
    <w:rsid w:val="003822D0"/>
    <w:rsid w:val="003822E2"/>
    <w:rsid w:val="00382303"/>
    <w:rsid w:val="0038230C"/>
    <w:rsid w:val="0038234F"/>
    <w:rsid w:val="00382380"/>
    <w:rsid w:val="003823E3"/>
    <w:rsid w:val="00382409"/>
    <w:rsid w:val="003824E6"/>
    <w:rsid w:val="00382517"/>
    <w:rsid w:val="0038253C"/>
    <w:rsid w:val="00382561"/>
    <w:rsid w:val="00382570"/>
    <w:rsid w:val="00382589"/>
    <w:rsid w:val="00382592"/>
    <w:rsid w:val="0038259B"/>
    <w:rsid w:val="00382602"/>
    <w:rsid w:val="0038260D"/>
    <w:rsid w:val="0038262F"/>
    <w:rsid w:val="00382643"/>
    <w:rsid w:val="00382654"/>
    <w:rsid w:val="00382693"/>
    <w:rsid w:val="00382708"/>
    <w:rsid w:val="00382720"/>
    <w:rsid w:val="00382722"/>
    <w:rsid w:val="00382739"/>
    <w:rsid w:val="0038276C"/>
    <w:rsid w:val="00382793"/>
    <w:rsid w:val="0038280C"/>
    <w:rsid w:val="00382817"/>
    <w:rsid w:val="0038288C"/>
    <w:rsid w:val="003828CB"/>
    <w:rsid w:val="003828E5"/>
    <w:rsid w:val="003828F4"/>
    <w:rsid w:val="00382902"/>
    <w:rsid w:val="00382915"/>
    <w:rsid w:val="00382999"/>
    <w:rsid w:val="00382A1C"/>
    <w:rsid w:val="00382A32"/>
    <w:rsid w:val="00382A4D"/>
    <w:rsid w:val="00382AC8"/>
    <w:rsid w:val="00382AD6"/>
    <w:rsid w:val="00382B10"/>
    <w:rsid w:val="00382B9C"/>
    <w:rsid w:val="00382BA2"/>
    <w:rsid w:val="00382BAA"/>
    <w:rsid w:val="00382BBF"/>
    <w:rsid w:val="00382BEB"/>
    <w:rsid w:val="00382BEF"/>
    <w:rsid w:val="00382C1E"/>
    <w:rsid w:val="00382C29"/>
    <w:rsid w:val="00382C39"/>
    <w:rsid w:val="00382C68"/>
    <w:rsid w:val="00382C8E"/>
    <w:rsid w:val="00382CB1"/>
    <w:rsid w:val="00382CBD"/>
    <w:rsid w:val="00382DA0"/>
    <w:rsid w:val="00382DA9"/>
    <w:rsid w:val="00382DEA"/>
    <w:rsid w:val="00382F11"/>
    <w:rsid w:val="00382F51"/>
    <w:rsid w:val="00382F8B"/>
    <w:rsid w:val="00382FF4"/>
    <w:rsid w:val="00383006"/>
    <w:rsid w:val="0038304A"/>
    <w:rsid w:val="003830AA"/>
    <w:rsid w:val="003830B1"/>
    <w:rsid w:val="003830D4"/>
    <w:rsid w:val="0038311C"/>
    <w:rsid w:val="0038312E"/>
    <w:rsid w:val="00383164"/>
    <w:rsid w:val="0038317D"/>
    <w:rsid w:val="003831AB"/>
    <w:rsid w:val="00383201"/>
    <w:rsid w:val="0038328E"/>
    <w:rsid w:val="003832A9"/>
    <w:rsid w:val="003832BF"/>
    <w:rsid w:val="003832F8"/>
    <w:rsid w:val="00383309"/>
    <w:rsid w:val="0038336C"/>
    <w:rsid w:val="00383371"/>
    <w:rsid w:val="00383375"/>
    <w:rsid w:val="00383377"/>
    <w:rsid w:val="0038337A"/>
    <w:rsid w:val="0038339C"/>
    <w:rsid w:val="003833A0"/>
    <w:rsid w:val="003833E4"/>
    <w:rsid w:val="0038346B"/>
    <w:rsid w:val="00383485"/>
    <w:rsid w:val="003834A4"/>
    <w:rsid w:val="003834BF"/>
    <w:rsid w:val="003834EC"/>
    <w:rsid w:val="00383560"/>
    <w:rsid w:val="003835B2"/>
    <w:rsid w:val="003835BD"/>
    <w:rsid w:val="003835C4"/>
    <w:rsid w:val="003835E8"/>
    <w:rsid w:val="00383647"/>
    <w:rsid w:val="00383649"/>
    <w:rsid w:val="00383687"/>
    <w:rsid w:val="003836C2"/>
    <w:rsid w:val="003836F2"/>
    <w:rsid w:val="0038374C"/>
    <w:rsid w:val="00383772"/>
    <w:rsid w:val="003837D0"/>
    <w:rsid w:val="00383833"/>
    <w:rsid w:val="0038387F"/>
    <w:rsid w:val="00383894"/>
    <w:rsid w:val="003838A6"/>
    <w:rsid w:val="00383915"/>
    <w:rsid w:val="00383916"/>
    <w:rsid w:val="00383948"/>
    <w:rsid w:val="0038396C"/>
    <w:rsid w:val="00383984"/>
    <w:rsid w:val="003839F3"/>
    <w:rsid w:val="00383A1C"/>
    <w:rsid w:val="00383AA7"/>
    <w:rsid w:val="00383AAA"/>
    <w:rsid w:val="00383AC3"/>
    <w:rsid w:val="00383AC5"/>
    <w:rsid w:val="00383B08"/>
    <w:rsid w:val="00383B17"/>
    <w:rsid w:val="00383B28"/>
    <w:rsid w:val="00383B59"/>
    <w:rsid w:val="00383B7A"/>
    <w:rsid w:val="00383B82"/>
    <w:rsid w:val="00383B8F"/>
    <w:rsid w:val="00383B9A"/>
    <w:rsid w:val="00383BA1"/>
    <w:rsid w:val="00383BB3"/>
    <w:rsid w:val="00383BBD"/>
    <w:rsid w:val="00383BEC"/>
    <w:rsid w:val="00383BEF"/>
    <w:rsid w:val="00383C33"/>
    <w:rsid w:val="00383C38"/>
    <w:rsid w:val="00383C47"/>
    <w:rsid w:val="00383C7E"/>
    <w:rsid w:val="00383C94"/>
    <w:rsid w:val="00383D11"/>
    <w:rsid w:val="00383D44"/>
    <w:rsid w:val="00383D47"/>
    <w:rsid w:val="00383D48"/>
    <w:rsid w:val="00383DCE"/>
    <w:rsid w:val="00383DED"/>
    <w:rsid w:val="00383E66"/>
    <w:rsid w:val="00383E6E"/>
    <w:rsid w:val="00383E8C"/>
    <w:rsid w:val="00383E8D"/>
    <w:rsid w:val="00383EB8"/>
    <w:rsid w:val="00383F31"/>
    <w:rsid w:val="00383F8A"/>
    <w:rsid w:val="00383F9E"/>
    <w:rsid w:val="00383FED"/>
    <w:rsid w:val="00384016"/>
    <w:rsid w:val="00384040"/>
    <w:rsid w:val="00384076"/>
    <w:rsid w:val="003840DE"/>
    <w:rsid w:val="003840EC"/>
    <w:rsid w:val="00384141"/>
    <w:rsid w:val="00384151"/>
    <w:rsid w:val="0038419D"/>
    <w:rsid w:val="003841E7"/>
    <w:rsid w:val="003841EA"/>
    <w:rsid w:val="0038421C"/>
    <w:rsid w:val="00384228"/>
    <w:rsid w:val="003842D9"/>
    <w:rsid w:val="003842DD"/>
    <w:rsid w:val="003842FC"/>
    <w:rsid w:val="0038438D"/>
    <w:rsid w:val="00384397"/>
    <w:rsid w:val="003843A5"/>
    <w:rsid w:val="0038447A"/>
    <w:rsid w:val="003844B0"/>
    <w:rsid w:val="003844CA"/>
    <w:rsid w:val="003844CB"/>
    <w:rsid w:val="003844E4"/>
    <w:rsid w:val="003844FD"/>
    <w:rsid w:val="003845A7"/>
    <w:rsid w:val="003845B0"/>
    <w:rsid w:val="003845F9"/>
    <w:rsid w:val="00384623"/>
    <w:rsid w:val="00384673"/>
    <w:rsid w:val="00384682"/>
    <w:rsid w:val="00384704"/>
    <w:rsid w:val="00384709"/>
    <w:rsid w:val="00384726"/>
    <w:rsid w:val="00384733"/>
    <w:rsid w:val="00384763"/>
    <w:rsid w:val="00384795"/>
    <w:rsid w:val="00384806"/>
    <w:rsid w:val="0038480E"/>
    <w:rsid w:val="00384837"/>
    <w:rsid w:val="003848B2"/>
    <w:rsid w:val="003848B4"/>
    <w:rsid w:val="003848D0"/>
    <w:rsid w:val="003848DC"/>
    <w:rsid w:val="00384907"/>
    <w:rsid w:val="00384960"/>
    <w:rsid w:val="0038496C"/>
    <w:rsid w:val="0038499C"/>
    <w:rsid w:val="003849A3"/>
    <w:rsid w:val="003849A6"/>
    <w:rsid w:val="003849AB"/>
    <w:rsid w:val="003849E0"/>
    <w:rsid w:val="003849F2"/>
    <w:rsid w:val="003849F5"/>
    <w:rsid w:val="00384A04"/>
    <w:rsid w:val="00384A43"/>
    <w:rsid w:val="00384A67"/>
    <w:rsid w:val="00384A84"/>
    <w:rsid w:val="00384A85"/>
    <w:rsid w:val="00384A9A"/>
    <w:rsid w:val="00384AEC"/>
    <w:rsid w:val="00384B45"/>
    <w:rsid w:val="00384B63"/>
    <w:rsid w:val="00384B9B"/>
    <w:rsid w:val="00384BAE"/>
    <w:rsid w:val="00384BD0"/>
    <w:rsid w:val="00384BE6"/>
    <w:rsid w:val="00384C31"/>
    <w:rsid w:val="00384C78"/>
    <w:rsid w:val="00384C92"/>
    <w:rsid w:val="00384C98"/>
    <w:rsid w:val="00384CB2"/>
    <w:rsid w:val="00384CC6"/>
    <w:rsid w:val="00384CC7"/>
    <w:rsid w:val="00384D67"/>
    <w:rsid w:val="00384D9A"/>
    <w:rsid w:val="00384DD6"/>
    <w:rsid w:val="00384DD9"/>
    <w:rsid w:val="00384E41"/>
    <w:rsid w:val="00384E5D"/>
    <w:rsid w:val="00384E68"/>
    <w:rsid w:val="00384E8C"/>
    <w:rsid w:val="00384F00"/>
    <w:rsid w:val="00384F0C"/>
    <w:rsid w:val="00384F18"/>
    <w:rsid w:val="00384F19"/>
    <w:rsid w:val="00384F3F"/>
    <w:rsid w:val="00384F4E"/>
    <w:rsid w:val="00384FA1"/>
    <w:rsid w:val="00384FC2"/>
    <w:rsid w:val="00384FC4"/>
    <w:rsid w:val="00384FC7"/>
    <w:rsid w:val="00384FC9"/>
    <w:rsid w:val="0038500F"/>
    <w:rsid w:val="0038504C"/>
    <w:rsid w:val="00385070"/>
    <w:rsid w:val="00385107"/>
    <w:rsid w:val="0038511E"/>
    <w:rsid w:val="0038513E"/>
    <w:rsid w:val="003851AF"/>
    <w:rsid w:val="003851D4"/>
    <w:rsid w:val="00385210"/>
    <w:rsid w:val="00385231"/>
    <w:rsid w:val="0038524B"/>
    <w:rsid w:val="00385272"/>
    <w:rsid w:val="003852F6"/>
    <w:rsid w:val="003852FE"/>
    <w:rsid w:val="0038530C"/>
    <w:rsid w:val="00385355"/>
    <w:rsid w:val="0038538E"/>
    <w:rsid w:val="003853CB"/>
    <w:rsid w:val="003853E3"/>
    <w:rsid w:val="003853F0"/>
    <w:rsid w:val="00385407"/>
    <w:rsid w:val="0038543A"/>
    <w:rsid w:val="00385470"/>
    <w:rsid w:val="0038550E"/>
    <w:rsid w:val="00385520"/>
    <w:rsid w:val="00385526"/>
    <w:rsid w:val="0038554C"/>
    <w:rsid w:val="0038554F"/>
    <w:rsid w:val="0038555F"/>
    <w:rsid w:val="00385573"/>
    <w:rsid w:val="003855C9"/>
    <w:rsid w:val="003855D2"/>
    <w:rsid w:val="00385618"/>
    <w:rsid w:val="00385690"/>
    <w:rsid w:val="003856C9"/>
    <w:rsid w:val="0038575D"/>
    <w:rsid w:val="0038576A"/>
    <w:rsid w:val="003857A7"/>
    <w:rsid w:val="003857A8"/>
    <w:rsid w:val="003857AC"/>
    <w:rsid w:val="003857AD"/>
    <w:rsid w:val="003857AF"/>
    <w:rsid w:val="003857EE"/>
    <w:rsid w:val="00385826"/>
    <w:rsid w:val="00385834"/>
    <w:rsid w:val="003858AB"/>
    <w:rsid w:val="003858AF"/>
    <w:rsid w:val="003858C5"/>
    <w:rsid w:val="00385973"/>
    <w:rsid w:val="003859AB"/>
    <w:rsid w:val="003859AD"/>
    <w:rsid w:val="003859EC"/>
    <w:rsid w:val="00385A19"/>
    <w:rsid w:val="00385A25"/>
    <w:rsid w:val="00385A48"/>
    <w:rsid w:val="00385A5B"/>
    <w:rsid w:val="00385AF0"/>
    <w:rsid w:val="00385AF6"/>
    <w:rsid w:val="00385B09"/>
    <w:rsid w:val="00385B4E"/>
    <w:rsid w:val="00385B50"/>
    <w:rsid w:val="00385B73"/>
    <w:rsid w:val="00385BA3"/>
    <w:rsid w:val="00385BD0"/>
    <w:rsid w:val="00385BD2"/>
    <w:rsid w:val="00385BD6"/>
    <w:rsid w:val="00385C09"/>
    <w:rsid w:val="00385C2D"/>
    <w:rsid w:val="00385C32"/>
    <w:rsid w:val="00385C46"/>
    <w:rsid w:val="00385C51"/>
    <w:rsid w:val="00385C69"/>
    <w:rsid w:val="00385C72"/>
    <w:rsid w:val="00385C7D"/>
    <w:rsid w:val="00385C7F"/>
    <w:rsid w:val="00385C9E"/>
    <w:rsid w:val="00385D51"/>
    <w:rsid w:val="00385D62"/>
    <w:rsid w:val="00385DAD"/>
    <w:rsid w:val="00385DB3"/>
    <w:rsid w:val="00385E23"/>
    <w:rsid w:val="00385E33"/>
    <w:rsid w:val="00385E40"/>
    <w:rsid w:val="00385E48"/>
    <w:rsid w:val="00385E52"/>
    <w:rsid w:val="00385EA3"/>
    <w:rsid w:val="00385EB3"/>
    <w:rsid w:val="00385F53"/>
    <w:rsid w:val="00385F73"/>
    <w:rsid w:val="00385FDC"/>
    <w:rsid w:val="00385FE8"/>
    <w:rsid w:val="00386045"/>
    <w:rsid w:val="00386092"/>
    <w:rsid w:val="003860A1"/>
    <w:rsid w:val="003860B4"/>
    <w:rsid w:val="0038611A"/>
    <w:rsid w:val="00386129"/>
    <w:rsid w:val="00386171"/>
    <w:rsid w:val="00386179"/>
    <w:rsid w:val="00386199"/>
    <w:rsid w:val="003861A4"/>
    <w:rsid w:val="00386218"/>
    <w:rsid w:val="00386270"/>
    <w:rsid w:val="00386285"/>
    <w:rsid w:val="00386384"/>
    <w:rsid w:val="003863B7"/>
    <w:rsid w:val="00386412"/>
    <w:rsid w:val="00386413"/>
    <w:rsid w:val="0038641D"/>
    <w:rsid w:val="0038643F"/>
    <w:rsid w:val="00386536"/>
    <w:rsid w:val="00386585"/>
    <w:rsid w:val="003865E1"/>
    <w:rsid w:val="00386671"/>
    <w:rsid w:val="00386674"/>
    <w:rsid w:val="0038668D"/>
    <w:rsid w:val="003866AF"/>
    <w:rsid w:val="003866D1"/>
    <w:rsid w:val="00386731"/>
    <w:rsid w:val="00386747"/>
    <w:rsid w:val="0038674B"/>
    <w:rsid w:val="0038676E"/>
    <w:rsid w:val="00386775"/>
    <w:rsid w:val="0038679A"/>
    <w:rsid w:val="003867A4"/>
    <w:rsid w:val="003868C4"/>
    <w:rsid w:val="003868DE"/>
    <w:rsid w:val="00386927"/>
    <w:rsid w:val="00386944"/>
    <w:rsid w:val="00386953"/>
    <w:rsid w:val="00386959"/>
    <w:rsid w:val="003869E4"/>
    <w:rsid w:val="00386A1D"/>
    <w:rsid w:val="00386A28"/>
    <w:rsid w:val="00386A52"/>
    <w:rsid w:val="00386A6A"/>
    <w:rsid w:val="00386A80"/>
    <w:rsid w:val="00386A95"/>
    <w:rsid w:val="00386AA5"/>
    <w:rsid w:val="00386AB1"/>
    <w:rsid w:val="00386AB9"/>
    <w:rsid w:val="00386AC2"/>
    <w:rsid w:val="00386AFA"/>
    <w:rsid w:val="00386B2B"/>
    <w:rsid w:val="00386B64"/>
    <w:rsid w:val="00386B70"/>
    <w:rsid w:val="00386B81"/>
    <w:rsid w:val="00386BB7"/>
    <w:rsid w:val="00386BBC"/>
    <w:rsid w:val="00386BBE"/>
    <w:rsid w:val="00386BC0"/>
    <w:rsid w:val="00386BCE"/>
    <w:rsid w:val="00386C70"/>
    <w:rsid w:val="00386C72"/>
    <w:rsid w:val="00386C84"/>
    <w:rsid w:val="00386C97"/>
    <w:rsid w:val="00386D18"/>
    <w:rsid w:val="00386D1C"/>
    <w:rsid w:val="00386D24"/>
    <w:rsid w:val="00386D6C"/>
    <w:rsid w:val="00386D94"/>
    <w:rsid w:val="00386DD0"/>
    <w:rsid w:val="00386DEA"/>
    <w:rsid w:val="00386E13"/>
    <w:rsid w:val="00386E36"/>
    <w:rsid w:val="00386E75"/>
    <w:rsid w:val="00386E9E"/>
    <w:rsid w:val="00386ED0"/>
    <w:rsid w:val="00386F05"/>
    <w:rsid w:val="00386F57"/>
    <w:rsid w:val="00386FE2"/>
    <w:rsid w:val="00386FE3"/>
    <w:rsid w:val="00386FFB"/>
    <w:rsid w:val="0038707A"/>
    <w:rsid w:val="003870A0"/>
    <w:rsid w:val="003870B9"/>
    <w:rsid w:val="003870E6"/>
    <w:rsid w:val="003870FA"/>
    <w:rsid w:val="0038712C"/>
    <w:rsid w:val="00387136"/>
    <w:rsid w:val="0038713F"/>
    <w:rsid w:val="003871A1"/>
    <w:rsid w:val="003871D3"/>
    <w:rsid w:val="003871E6"/>
    <w:rsid w:val="003871FB"/>
    <w:rsid w:val="003871FD"/>
    <w:rsid w:val="00387221"/>
    <w:rsid w:val="0038723C"/>
    <w:rsid w:val="003872C4"/>
    <w:rsid w:val="003872C6"/>
    <w:rsid w:val="003872D5"/>
    <w:rsid w:val="003872FF"/>
    <w:rsid w:val="00387367"/>
    <w:rsid w:val="0038737A"/>
    <w:rsid w:val="00387390"/>
    <w:rsid w:val="00387397"/>
    <w:rsid w:val="0038739F"/>
    <w:rsid w:val="003873AC"/>
    <w:rsid w:val="003873C5"/>
    <w:rsid w:val="003873D8"/>
    <w:rsid w:val="003873E7"/>
    <w:rsid w:val="003873F5"/>
    <w:rsid w:val="00387405"/>
    <w:rsid w:val="0038740D"/>
    <w:rsid w:val="0038744C"/>
    <w:rsid w:val="0038744F"/>
    <w:rsid w:val="0038746C"/>
    <w:rsid w:val="0038748C"/>
    <w:rsid w:val="00387582"/>
    <w:rsid w:val="003875B0"/>
    <w:rsid w:val="00387621"/>
    <w:rsid w:val="003876B0"/>
    <w:rsid w:val="003876B8"/>
    <w:rsid w:val="00387734"/>
    <w:rsid w:val="00387741"/>
    <w:rsid w:val="00387761"/>
    <w:rsid w:val="00387767"/>
    <w:rsid w:val="00387776"/>
    <w:rsid w:val="00387783"/>
    <w:rsid w:val="00387788"/>
    <w:rsid w:val="00387789"/>
    <w:rsid w:val="00387803"/>
    <w:rsid w:val="0038780F"/>
    <w:rsid w:val="00387831"/>
    <w:rsid w:val="00387854"/>
    <w:rsid w:val="003878B1"/>
    <w:rsid w:val="003878B3"/>
    <w:rsid w:val="003878BE"/>
    <w:rsid w:val="00387931"/>
    <w:rsid w:val="003879D5"/>
    <w:rsid w:val="003879F7"/>
    <w:rsid w:val="00387A00"/>
    <w:rsid w:val="00387A25"/>
    <w:rsid w:val="00387A2A"/>
    <w:rsid w:val="00387A32"/>
    <w:rsid w:val="00387A65"/>
    <w:rsid w:val="00387AB7"/>
    <w:rsid w:val="00387ACC"/>
    <w:rsid w:val="00387AF4"/>
    <w:rsid w:val="00387B07"/>
    <w:rsid w:val="00387B09"/>
    <w:rsid w:val="00387B93"/>
    <w:rsid w:val="00387C09"/>
    <w:rsid w:val="00387C10"/>
    <w:rsid w:val="00387C30"/>
    <w:rsid w:val="00387C44"/>
    <w:rsid w:val="00387C55"/>
    <w:rsid w:val="00387C7B"/>
    <w:rsid w:val="00387C7D"/>
    <w:rsid w:val="00387C7E"/>
    <w:rsid w:val="00387C83"/>
    <w:rsid w:val="00387C9E"/>
    <w:rsid w:val="00387CE8"/>
    <w:rsid w:val="00387CF7"/>
    <w:rsid w:val="00387D2A"/>
    <w:rsid w:val="00387D47"/>
    <w:rsid w:val="00387D75"/>
    <w:rsid w:val="00387DC9"/>
    <w:rsid w:val="00387DD4"/>
    <w:rsid w:val="00387DDF"/>
    <w:rsid w:val="00387DE9"/>
    <w:rsid w:val="00387DFF"/>
    <w:rsid w:val="00387E4A"/>
    <w:rsid w:val="00387E4B"/>
    <w:rsid w:val="00387EA6"/>
    <w:rsid w:val="00387F1D"/>
    <w:rsid w:val="00387FD9"/>
    <w:rsid w:val="00387FE2"/>
    <w:rsid w:val="00390001"/>
    <w:rsid w:val="0039002F"/>
    <w:rsid w:val="00390038"/>
    <w:rsid w:val="0039006B"/>
    <w:rsid w:val="003900B2"/>
    <w:rsid w:val="003900C9"/>
    <w:rsid w:val="0039012D"/>
    <w:rsid w:val="0039012E"/>
    <w:rsid w:val="00390144"/>
    <w:rsid w:val="00390222"/>
    <w:rsid w:val="0039024F"/>
    <w:rsid w:val="00390267"/>
    <w:rsid w:val="00390360"/>
    <w:rsid w:val="00390364"/>
    <w:rsid w:val="00390390"/>
    <w:rsid w:val="0039039B"/>
    <w:rsid w:val="00390414"/>
    <w:rsid w:val="003904BE"/>
    <w:rsid w:val="003904F3"/>
    <w:rsid w:val="00390502"/>
    <w:rsid w:val="0039050F"/>
    <w:rsid w:val="00390550"/>
    <w:rsid w:val="00390559"/>
    <w:rsid w:val="003905E1"/>
    <w:rsid w:val="0039065D"/>
    <w:rsid w:val="00390670"/>
    <w:rsid w:val="00390678"/>
    <w:rsid w:val="00390690"/>
    <w:rsid w:val="00390763"/>
    <w:rsid w:val="0039076F"/>
    <w:rsid w:val="003907DE"/>
    <w:rsid w:val="00390807"/>
    <w:rsid w:val="00390841"/>
    <w:rsid w:val="00390871"/>
    <w:rsid w:val="0039088B"/>
    <w:rsid w:val="00390897"/>
    <w:rsid w:val="003908AC"/>
    <w:rsid w:val="003908D2"/>
    <w:rsid w:val="00390914"/>
    <w:rsid w:val="0039094C"/>
    <w:rsid w:val="00390962"/>
    <w:rsid w:val="00390996"/>
    <w:rsid w:val="003909A9"/>
    <w:rsid w:val="00390A08"/>
    <w:rsid w:val="00390A53"/>
    <w:rsid w:val="00390A61"/>
    <w:rsid w:val="00390A9A"/>
    <w:rsid w:val="00390B06"/>
    <w:rsid w:val="00390B20"/>
    <w:rsid w:val="00390B8B"/>
    <w:rsid w:val="00390BA5"/>
    <w:rsid w:val="00390BE2"/>
    <w:rsid w:val="00390CD9"/>
    <w:rsid w:val="00390CE6"/>
    <w:rsid w:val="00390D20"/>
    <w:rsid w:val="00390D38"/>
    <w:rsid w:val="00390D40"/>
    <w:rsid w:val="00390DD8"/>
    <w:rsid w:val="00390DEE"/>
    <w:rsid w:val="00390ED7"/>
    <w:rsid w:val="00390F1D"/>
    <w:rsid w:val="00390F9B"/>
    <w:rsid w:val="00390FC7"/>
    <w:rsid w:val="0039104A"/>
    <w:rsid w:val="00391067"/>
    <w:rsid w:val="00391075"/>
    <w:rsid w:val="00391078"/>
    <w:rsid w:val="00391086"/>
    <w:rsid w:val="003910A8"/>
    <w:rsid w:val="003910E8"/>
    <w:rsid w:val="00391118"/>
    <w:rsid w:val="0039111D"/>
    <w:rsid w:val="00391125"/>
    <w:rsid w:val="0039115D"/>
    <w:rsid w:val="0039116E"/>
    <w:rsid w:val="00391179"/>
    <w:rsid w:val="003911C5"/>
    <w:rsid w:val="00391230"/>
    <w:rsid w:val="00391233"/>
    <w:rsid w:val="00391256"/>
    <w:rsid w:val="003912DB"/>
    <w:rsid w:val="003912E6"/>
    <w:rsid w:val="00391330"/>
    <w:rsid w:val="003913AF"/>
    <w:rsid w:val="003913BA"/>
    <w:rsid w:val="003913E6"/>
    <w:rsid w:val="0039143E"/>
    <w:rsid w:val="00391451"/>
    <w:rsid w:val="0039147E"/>
    <w:rsid w:val="003914BB"/>
    <w:rsid w:val="003914C5"/>
    <w:rsid w:val="003914F2"/>
    <w:rsid w:val="00391506"/>
    <w:rsid w:val="00391513"/>
    <w:rsid w:val="00391548"/>
    <w:rsid w:val="00391555"/>
    <w:rsid w:val="00391605"/>
    <w:rsid w:val="0039162B"/>
    <w:rsid w:val="00391652"/>
    <w:rsid w:val="003916BA"/>
    <w:rsid w:val="003916CC"/>
    <w:rsid w:val="0039173B"/>
    <w:rsid w:val="0039175A"/>
    <w:rsid w:val="0039176B"/>
    <w:rsid w:val="00391794"/>
    <w:rsid w:val="003917D7"/>
    <w:rsid w:val="003917F7"/>
    <w:rsid w:val="0039181B"/>
    <w:rsid w:val="00391842"/>
    <w:rsid w:val="0039184F"/>
    <w:rsid w:val="00391878"/>
    <w:rsid w:val="0039187C"/>
    <w:rsid w:val="003918D3"/>
    <w:rsid w:val="003918D5"/>
    <w:rsid w:val="00391912"/>
    <w:rsid w:val="0039196C"/>
    <w:rsid w:val="0039198A"/>
    <w:rsid w:val="003919B7"/>
    <w:rsid w:val="003919BD"/>
    <w:rsid w:val="003919C5"/>
    <w:rsid w:val="00391A1B"/>
    <w:rsid w:val="00391A1E"/>
    <w:rsid w:val="00391A55"/>
    <w:rsid w:val="00391B18"/>
    <w:rsid w:val="00391BA5"/>
    <w:rsid w:val="00391BCA"/>
    <w:rsid w:val="00391BEA"/>
    <w:rsid w:val="00391BF7"/>
    <w:rsid w:val="00391BFC"/>
    <w:rsid w:val="00391C09"/>
    <w:rsid w:val="00391C26"/>
    <w:rsid w:val="00391C88"/>
    <w:rsid w:val="00391C89"/>
    <w:rsid w:val="00391C97"/>
    <w:rsid w:val="00391CE8"/>
    <w:rsid w:val="00391D6F"/>
    <w:rsid w:val="00391D87"/>
    <w:rsid w:val="00391D93"/>
    <w:rsid w:val="00391DEE"/>
    <w:rsid w:val="00391EAC"/>
    <w:rsid w:val="00391EF9"/>
    <w:rsid w:val="00391F33"/>
    <w:rsid w:val="00391F53"/>
    <w:rsid w:val="00391F5B"/>
    <w:rsid w:val="00391F85"/>
    <w:rsid w:val="00391FD8"/>
    <w:rsid w:val="00392017"/>
    <w:rsid w:val="00392019"/>
    <w:rsid w:val="0039202C"/>
    <w:rsid w:val="0039205C"/>
    <w:rsid w:val="003920E9"/>
    <w:rsid w:val="0039210C"/>
    <w:rsid w:val="00392121"/>
    <w:rsid w:val="0039213E"/>
    <w:rsid w:val="00392178"/>
    <w:rsid w:val="0039219A"/>
    <w:rsid w:val="003921BC"/>
    <w:rsid w:val="003921F0"/>
    <w:rsid w:val="003921F7"/>
    <w:rsid w:val="003921FE"/>
    <w:rsid w:val="0039222E"/>
    <w:rsid w:val="00392293"/>
    <w:rsid w:val="0039229C"/>
    <w:rsid w:val="003922CC"/>
    <w:rsid w:val="0039238D"/>
    <w:rsid w:val="003923B1"/>
    <w:rsid w:val="003923F3"/>
    <w:rsid w:val="00392415"/>
    <w:rsid w:val="0039250D"/>
    <w:rsid w:val="00392526"/>
    <w:rsid w:val="00392536"/>
    <w:rsid w:val="003925A6"/>
    <w:rsid w:val="003925AF"/>
    <w:rsid w:val="003925B6"/>
    <w:rsid w:val="003925EA"/>
    <w:rsid w:val="003925FA"/>
    <w:rsid w:val="0039260F"/>
    <w:rsid w:val="00392630"/>
    <w:rsid w:val="0039263B"/>
    <w:rsid w:val="00392641"/>
    <w:rsid w:val="003926E2"/>
    <w:rsid w:val="003926E6"/>
    <w:rsid w:val="0039273B"/>
    <w:rsid w:val="0039273E"/>
    <w:rsid w:val="00392743"/>
    <w:rsid w:val="0039274F"/>
    <w:rsid w:val="00392772"/>
    <w:rsid w:val="00392789"/>
    <w:rsid w:val="00392794"/>
    <w:rsid w:val="003927BF"/>
    <w:rsid w:val="003927D9"/>
    <w:rsid w:val="003927F7"/>
    <w:rsid w:val="003927FD"/>
    <w:rsid w:val="00392814"/>
    <w:rsid w:val="003928AF"/>
    <w:rsid w:val="003928B2"/>
    <w:rsid w:val="00392916"/>
    <w:rsid w:val="00392925"/>
    <w:rsid w:val="00392975"/>
    <w:rsid w:val="00392997"/>
    <w:rsid w:val="0039299C"/>
    <w:rsid w:val="003929A9"/>
    <w:rsid w:val="003929DD"/>
    <w:rsid w:val="00392A7A"/>
    <w:rsid w:val="00392A86"/>
    <w:rsid w:val="00392AA6"/>
    <w:rsid w:val="00392AAE"/>
    <w:rsid w:val="00392AD4"/>
    <w:rsid w:val="00392AE2"/>
    <w:rsid w:val="00392B93"/>
    <w:rsid w:val="00392BA2"/>
    <w:rsid w:val="00392BE0"/>
    <w:rsid w:val="00392BF8"/>
    <w:rsid w:val="00392C16"/>
    <w:rsid w:val="00392C22"/>
    <w:rsid w:val="00392C3E"/>
    <w:rsid w:val="00392C3F"/>
    <w:rsid w:val="00392CB7"/>
    <w:rsid w:val="00392CCA"/>
    <w:rsid w:val="00392D1D"/>
    <w:rsid w:val="00392D59"/>
    <w:rsid w:val="00392D86"/>
    <w:rsid w:val="00392D88"/>
    <w:rsid w:val="00392DB8"/>
    <w:rsid w:val="00392DCC"/>
    <w:rsid w:val="00392E23"/>
    <w:rsid w:val="00392E8F"/>
    <w:rsid w:val="00392ED6"/>
    <w:rsid w:val="00392F15"/>
    <w:rsid w:val="00392F44"/>
    <w:rsid w:val="00392F80"/>
    <w:rsid w:val="00392F9B"/>
    <w:rsid w:val="00392FAE"/>
    <w:rsid w:val="00392FBA"/>
    <w:rsid w:val="00392FDC"/>
    <w:rsid w:val="00392FF7"/>
    <w:rsid w:val="0039307F"/>
    <w:rsid w:val="003930C4"/>
    <w:rsid w:val="003930D7"/>
    <w:rsid w:val="003930F1"/>
    <w:rsid w:val="0039317B"/>
    <w:rsid w:val="003931E6"/>
    <w:rsid w:val="00393277"/>
    <w:rsid w:val="0039329D"/>
    <w:rsid w:val="003932F5"/>
    <w:rsid w:val="00393326"/>
    <w:rsid w:val="00393337"/>
    <w:rsid w:val="0039339A"/>
    <w:rsid w:val="003933EB"/>
    <w:rsid w:val="0039340B"/>
    <w:rsid w:val="0039341F"/>
    <w:rsid w:val="0039344B"/>
    <w:rsid w:val="00393483"/>
    <w:rsid w:val="003934E3"/>
    <w:rsid w:val="003934FD"/>
    <w:rsid w:val="00393511"/>
    <w:rsid w:val="00393532"/>
    <w:rsid w:val="00393564"/>
    <w:rsid w:val="00393579"/>
    <w:rsid w:val="003935B6"/>
    <w:rsid w:val="00393608"/>
    <w:rsid w:val="0039363F"/>
    <w:rsid w:val="00393685"/>
    <w:rsid w:val="003936A8"/>
    <w:rsid w:val="003936B5"/>
    <w:rsid w:val="003936D2"/>
    <w:rsid w:val="003936D5"/>
    <w:rsid w:val="00393736"/>
    <w:rsid w:val="00393781"/>
    <w:rsid w:val="00393797"/>
    <w:rsid w:val="003937A7"/>
    <w:rsid w:val="003937AE"/>
    <w:rsid w:val="003937E2"/>
    <w:rsid w:val="00393802"/>
    <w:rsid w:val="0039382B"/>
    <w:rsid w:val="003938A6"/>
    <w:rsid w:val="00393923"/>
    <w:rsid w:val="00393933"/>
    <w:rsid w:val="00393952"/>
    <w:rsid w:val="0039395E"/>
    <w:rsid w:val="0039398E"/>
    <w:rsid w:val="0039399A"/>
    <w:rsid w:val="0039399F"/>
    <w:rsid w:val="003939E0"/>
    <w:rsid w:val="00393A52"/>
    <w:rsid w:val="00393A62"/>
    <w:rsid w:val="00393ABD"/>
    <w:rsid w:val="00393B30"/>
    <w:rsid w:val="00393B69"/>
    <w:rsid w:val="00393B87"/>
    <w:rsid w:val="00393BB2"/>
    <w:rsid w:val="00393BC1"/>
    <w:rsid w:val="00393BFE"/>
    <w:rsid w:val="00393C24"/>
    <w:rsid w:val="00393C53"/>
    <w:rsid w:val="00393C62"/>
    <w:rsid w:val="00393C6F"/>
    <w:rsid w:val="00393C75"/>
    <w:rsid w:val="00393CAB"/>
    <w:rsid w:val="00393CBC"/>
    <w:rsid w:val="00393D11"/>
    <w:rsid w:val="00393D4D"/>
    <w:rsid w:val="00393D51"/>
    <w:rsid w:val="00393D5C"/>
    <w:rsid w:val="00393D6B"/>
    <w:rsid w:val="00393DB0"/>
    <w:rsid w:val="00393DCD"/>
    <w:rsid w:val="00393DDA"/>
    <w:rsid w:val="00393DFA"/>
    <w:rsid w:val="00393E02"/>
    <w:rsid w:val="00393E33"/>
    <w:rsid w:val="00393E36"/>
    <w:rsid w:val="00393E55"/>
    <w:rsid w:val="00393E57"/>
    <w:rsid w:val="00393E80"/>
    <w:rsid w:val="00393E85"/>
    <w:rsid w:val="00393EB3"/>
    <w:rsid w:val="00393F28"/>
    <w:rsid w:val="00393F29"/>
    <w:rsid w:val="00393F2F"/>
    <w:rsid w:val="00393F4F"/>
    <w:rsid w:val="00393F73"/>
    <w:rsid w:val="00393F74"/>
    <w:rsid w:val="0039401A"/>
    <w:rsid w:val="0039402C"/>
    <w:rsid w:val="00394056"/>
    <w:rsid w:val="00394098"/>
    <w:rsid w:val="003940D1"/>
    <w:rsid w:val="00394123"/>
    <w:rsid w:val="00394138"/>
    <w:rsid w:val="0039415E"/>
    <w:rsid w:val="0039418B"/>
    <w:rsid w:val="003941D6"/>
    <w:rsid w:val="00394212"/>
    <w:rsid w:val="0039424A"/>
    <w:rsid w:val="003942CC"/>
    <w:rsid w:val="00394328"/>
    <w:rsid w:val="0039439E"/>
    <w:rsid w:val="003943A4"/>
    <w:rsid w:val="003943EF"/>
    <w:rsid w:val="0039441D"/>
    <w:rsid w:val="00394444"/>
    <w:rsid w:val="0039449B"/>
    <w:rsid w:val="003944B0"/>
    <w:rsid w:val="00394579"/>
    <w:rsid w:val="0039460C"/>
    <w:rsid w:val="00394638"/>
    <w:rsid w:val="003946A5"/>
    <w:rsid w:val="003946B0"/>
    <w:rsid w:val="003946BF"/>
    <w:rsid w:val="003946CC"/>
    <w:rsid w:val="003946CF"/>
    <w:rsid w:val="003946D4"/>
    <w:rsid w:val="003946D6"/>
    <w:rsid w:val="00394710"/>
    <w:rsid w:val="00394742"/>
    <w:rsid w:val="003947B6"/>
    <w:rsid w:val="00394815"/>
    <w:rsid w:val="00394868"/>
    <w:rsid w:val="0039488E"/>
    <w:rsid w:val="00394895"/>
    <w:rsid w:val="003948AF"/>
    <w:rsid w:val="003948C1"/>
    <w:rsid w:val="003948CD"/>
    <w:rsid w:val="003948FE"/>
    <w:rsid w:val="0039493D"/>
    <w:rsid w:val="00394944"/>
    <w:rsid w:val="00394984"/>
    <w:rsid w:val="003949D6"/>
    <w:rsid w:val="00394A17"/>
    <w:rsid w:val="00394A4F"/>
    <w:rsid w:val="00394A53"/>
    <w:rsid w:val="00394A54"/>
    <w:rsid w:val="00394B0B"/>
    <w:rsid w:val="00394B20"/>
    <w:rsid w:val="00394B3F"/>
    <w:rsid w:val="00394C60"/>
    <w:rsid w:val="00394C80"/>
    <w:rsid w:val="00394C9C"/>
    <w:rsid w:val="00394CDB"/>
    <w:rsid w:val="00394CF7"/>
    <w:rsid w:val="00394D4A"/>
    <w:rsid w:val="00394D5C"/>
    <w:rsid w:val="00394D70"/>
    <w:rsid w:val="00394D81"/>
    <w:rsid w:val="00394E20"/>
    <w:rsid w:val="00394E45"/>
    <w:rsid w:val="00394E50"/>
    <w:rsid w:val="00394E60"/>
    <w:rsid w:val="00394EB4"/>
    <w:rsid w:val="00394EC4"/>
    <w:rsid w:val="00394F78"/>
    <w:rsid w:val="00394FF1"/>
    <w:rsid w:val="00395040"/>
    <w:rsid w:val="003950A0"/>
    <w:rsid w:val="00395123"/>
    <w:rsid w:val="00395181"/>
    <w:rsid w:val="003951CA"/>
    <w:rsid w:val="00395231"/>
    <w:rsid w:val="00395274"/>
    <w:rsid w:val="0039529B"/>
    <w:rsid w:val="003952B4"/>
    <w:rsid w:val="003952D2"/>
    <w:rsid w:val="003952F3"/>
    <w:rsid w:val="00395338"/>
    <w:rsid w:val="00395339"/>
    <w:rsid w:val="00395353"/>
    <w:rsid w:val="0039538E"/>
    <w:rsid w:val="003953A5"/>
    <w:rsid w:val="003953FE"/>
    <w:rsid w:val="00395416"/>
    <w:rsid w:val="00395440"/>
    <w:rsid w:val="00395444"/>
    <w:rsid w:val="00395510"/>
    <w:rsid w:val="00395536"/>
    <w:rsid w:val="00395538"/>
    <w:rsid w:val="0039554C"/>
    <w:rsid w:val="0039559B"/>
    <w:rsid w:val="003955AA"/>
    <w:rsid w:val="00395630"/>
    <w:rsid w:val="0039566E"/>
    <w:rsid w:val="0039567F"/>
    <w:rsid w:val="0039569B"/>
    <w:rsid w:val="003956A3"/>
    <w:rsid w:val="003956C1"/>
    <w:rsid w:val="003956C4"/>
    <w:rsid w:val="003956E9"/>
    <w:rsid w:val="00395712"/>
    <w:rsid w:val="0039575F"/>
    <w:rsid w:val="003957B4"/>
    <w:rsid w:val="003957C9"/>
    <w:rsid w:val="003957D9"/>
    <w:rsid w:val="003957E3"/>
    <w:rsid w:val="003957E9"/>
    <w:rsid w:val="003957FB"/>
    <w:rsid w:val="00395807"/>
    <w:rsid w:val="00395837"/>
    <w:rsid w:val="00395840"/>
    <w:rsid w:val="0039587A"/>
    <w:rsid w:val="003958B1"/>
    <w:rsid w:val="003958EB"/>
    <w:rsid w:val="0039590C"/>
    <w:rsid w:val="00395918"/>
    <w:rsid w:val="00395926"/>
    <w:rsid w:val="00395952"/>
    <w:rsid w:val="0039596F"/>
    <w:rsid w:val="00395979"/>
    <w:rsid w:val="003959A9"/>
    <w:rsid w:val="003959AC"/>
    <w:rsid w:val="003959BB"/>
    <w:rsid w:val="003959EE"/>
    <w:rsid w:val="003959F6"/>
    <w:rsid w:val="00395A66"/>
    <w:rsid w:val="00395A85"/>
    <w:rsid w:val="00395A87"/>
    <w:rsid w:val="00395A8D"/>
    <w:rsid w:val="00395AAE"/>
    <w:rsid w:val="00395AFF"/>
    <w:rsid w:val="00395B27"/>
    <w:rsid w:val="00395B3D"/>
    <w:rsid w:val="00395B4B"/>
    <w:rsid w:val="00395B7D"/>
    <w:rsid w:val="00395BA2"/>
    <w:rsid w:val="00395C5C"/>
    <w:rsid w:val="00395C80"/>
    <w:rsid w:val="00395C82"/>
    <w:rsid w:val="00395C8B"/>
    <w:rsid w:val="00395CB4"/>
    <w:rsid w:val="00395CF8"/>
    <w:rsid w:val="00395E9E"/>
    <w:rsid w:val="00395EBE"/>
    <w:rsid w:val="00395EE2"/>
    <w:rsid w:val="00395EE4"/>
    <w:rsid w:val="00395EEE"/>
    <w:rsid w:val="00395F5D"/>
    <w:rsid w:val="00395F73"/>
    <w:rsid w:val="00395FA2"/>
    <w:rsid w:val="00395FAF"/>
    <w:rsid w:val="00395FB4"/>
    <w:rsid w:val="00395FED"/>
    <w:rsid w:val="00396088"/>
    <w:rsid w:val="0039610B"/>
    <w:rsid w:val="00396115"/>
    <w:rsid w:val="003961E1"/>
    <w:rsid w:val="0039623E"/>
    <w:rsid w:val="00396251"/>
    <w:rsid w:val="00396283"/>
    <w:rsid w:val="0039628A"/>
    <w:rsid w:val="003962C9"/>
    <w:rsid w:val="003962CE"/>
    <w:rsid w:val="003962E9"/>
    <w:rsid w:val="00396312"/>
    <w:rsid w:val="00396358"/>
    <w:rsid w:val="003963D2"/>
    <w:rsid w:val="003963EA"/>
    <w:rsid w:val="003963F3"/>
    <w:rsid w:val="00396404"/>
    <w:rsid w:val="00396419"/>
    <w:rsid w:val="0039645E"/>
    <w:rsid w:val="0039647A"/>
    <w:rsid w:val="003964BE"/>
    <w:rsid w:val="003964D2"/>
    <w:rsid w:val="003965A2"/>
    <w:rsid w:val="003965D7"/>
    <w:rsid w:val="003965E9"/>
    <w:rsid w:val="003965EA"/>
    <w:rsid w:val="0039660E"/>
    <w:rsid w:val="00396620"/>
    <w:rsid w:val="00396627"/>
    <w:rsid w:val="00396643"/>
    <w:rsid w:val="003966DF"/>
    <w:rsid w:val="00396749"/>
    <w:rsid w:val="00396756"/>
    <w:rsid w:val="003967B8"/>
    <w:rsid w:val="003967DC"/>
    <w:rsid w:val="0039682B"/>
    <w:rsid w:val="00396858"/>
    <w:rsid w:val="0039685A"/>
    <w:rsid w:val="003968B5"/>
    <w:rsid w:val="003968C5"/>
    <w:rsid w:val="0039691F"/>
    <w:rsid w:val="00396949"/>
    <w:rsid w:val="003969E4"/>
    <w:rsid w:val="003969F4"/>
    <w:rsid w:val="003969F8"/>
    <w:rsid w:val="00396A15"/>
    <w:rsid w:val="00396A5E"/>
    <w:rsid w:val="00396A88"/>
    <w:rsid w:val="00396AB5"/>
    <w:rsid w:val="00396AC9"/>
    <w:rsid w:val="00396ADD"/>
    <w:rsid w:val="00396AE5"/>
    <w:rsid w:val="00396AF1"/>
    <w:rsid w:val="00396AF9"/>
    <w:rsid w:val="00396B1F"/>
    <w:rsid w:val="00396B20"/>
    <w:rsid w:val="00396B2B"/>
    <w:rsid w:val="00396B60"/>
    <w:rsid w:val="00396C1F"/>
    <w:rsid w:val="00396C8D"/>
    <w:rsid w:val="00396D84"/>
    <w:rsid w:val="00396D98"/>
    <w:rsid w:val="00396D9E"/>
    <w:rsid w:val="00396DF4"/>
    <w:rsid w:val="00396E06"/>
    <w:rsid w:val="00396E33"/>
    <w:rsid w:val="00396EB1"/>
    <w:rsid w:val="00396F2C"/>
    <w:rsid w:val="00396F39"/>
    <w:rsid w:val="00397080"/>
    <w:rsid w:val="00397095"/>
    <w:rsid w:val="003970ED"/>
    <w:rsid w:val="00397111"/>
    <w:rsid w:val="0039712C"/>
    <w:rsid w:val="00397183"/>
    <w:rsid w:val="00397188"/>
    <w:rsid w:val="0039719B"/>
    <w:rsid w:val="003971C3"/>
    <w:rsid w:val="003971F4"/>
    <w:rsid w:val="00397226"/>
    <w:rsid w:val="0039729A"/>
    <w:rsid w:val="003972DF"/>
    <w:rsid w:val="0039733F"/>
    <w:rsid w:val="0039735D"/>
    <w:rsid w:val="00397363"/>
    <w:rsid w:val="00397364"/>
    <w:rsid w:val="00397373"/>
    <w:rsid w:val="00397389"/>
    <w:rsid w:val="0039744A"/>
    <w:rsid w:val="003974A4"/>
    <w:rsid w:val="003974A5"/>
    <w:rsid w:val="003974C1"/>
    <w:rsid w:val="0039752F"/>
    <w:rsid w:val="0039753F"/>
    <w:rsid w:val="00397551"/>
    <w:rsid w:val="003975D8"/>
    <w:rsid w:val="003975DF"/>
    <w:rsid w:val="00397639"/>
    <w:rsid w:val="0039763E"/>
    <w:rsid w:val="00397640"/>
    <w:rsid w:val="00397662"/>
    <w:rsid w:val="0039767C"/>
    <w:rsid w:val="003976BF"/>
    <w:rsid w:val="003976C1"/>
    <w:rsid w:val="003976CF"/>
    <w:rsid w:val="003976F2"/>
    <w:rsid w:val="00397726"/>
    <w:rsid w:val="0039773A"/>
    <w:rsid w:val="0039773F"/>
    <w:rsid w:val="0039775F"/>
    <w:rsid w:val="00397797"/>
    <w:rsid w:val="003977D6"/>
    <w:rsid w:val="00397853"/>
    <w:rsid w:val="00397891"/>
    <w:rsid w:val="003978E4"/>
    <w:rsid w:val="003978EC"/>
    <w:rsid w:val="0039795B"/>
    <w:rsid w:val="0039796E"/>
    <w:rsid w:val="00397973"/>
    <w:rsid w:val="003979A7"/>
    <w:rsid w:val="003979BE"/>
    <w:rsid w:val="003979D8"/>
    <w:rsid w:val="00397A20"/>
    <w:rsid w:val="00397A33"/>
    <w:rsid w:val="00397A35"/>
    <w:rsid w:val="00397A4C"/>
    <w:rsid w:val="00397A4F"/>
    <w:rsid w:val="00397A51"/>
    <w:rsid w:val="00397A90"/>
    <w:rsid w:val="00397A9C"/>
    <w:rsid w:val="00397AB1"/>
    <w:rsid w:val="00397AD2"/>
    <w:rsid w:val="00397AE6"/>
    <w:rsid w:val="00397B45"/>
    <w:rsid w:val="00397B4A"/>
    <w:rsid w:val="00397B62"/>
    <w:rsid w:val="00397B74"/>
    <w:rsid w:val="00397BA7"/>
    <w:rsid w:val="00397BE0"/>
    <w:rsid w:val="00397C09"/>
    <w:rsid w:val="00397C0A"/>
    <w:rsid w:val="00397C21"/>
    <w:rsid w:val="00397C4A"/>
    <w:rsid w:val="00397C55"/>
    <w:rsid w:val="00397C79"/>
    <w:rsid w:val="00397C97"/>
    <w:rsid w:val="00397CFE"/>
    <w:rsid w:val="00397D13"/>
    <w:rsid w:val="00397D5B"/>
    <w:rsid w:val="00397D75"/>
    <w:rsid w:val="00397D90"/>
    <w:rsid w:val="00397DBE"/>
    <w:rsid w:val="00397E2C"/>
    <w:rsid w:val="00397EC0"/>
    <w:rsid w:val="00397F3F"/>
    <w:rsid w:val="00397F40"/>
    <w:rsid w:val="00397F53"/>
    <w:rsid w:val="00397F97"/>
    <w:rsid w:val="00397FC8"/>
    <w:rsid w:val="00397FE1"/>
    <w:rsid w:val="00397FF0"/>
    <w:rsid w:val="003A0009"/>
    <w:rsid w:val="003A002C"/>
    <w:rsid w:val="003A002D"/>
    <w:rsid w:val="003A005D"/>
    <w:rsid w:val="003A0063"/>
    <w:rsid w:val="003A007E"/>
    <w:rsid w:val="003A00EF"/>
    <w:rsid w:val="003A00FD"/>
    <w:rsid w:val="003A0138"/>
    <w:rsid w:val="003A016D"/>
    <w:rsid w:val="003A0197"/>
    <w:rsid w:val="003A01A8"/>
    <w:rsid w:val="003A01D1"/>
    <w:rsid w:val="003A0223"/>
    <w:rsid w:val="003A023A"/>
    <w:rsid w:val="003A024A"/>
    <w:rsid w:val="003A0250"/>
    <w:rsid w:val="003A0274"/>
    <w:rsid w:val="003A029C"/>
    <w:rsid w:val="003A02A1"/>
    <w:rsid w:val="003A02CF"/>
    <w:rsid w:val="003A030B"/>
    <w:rsid w:val="003A0310"/>
    <w:rsid w:val="003A033D"/>
    <w:rsid w:val="003A0346"/>
    <w:rsid w:val="003A0373"/>
    <w:rsid w:val="003A03AB"/>
    <w:rsid w:val="003A03C6"/>
    <w:rsid w:val="003A03D3"/>
    <w:rsid w:val="003A03F2"/>
    <w:rsid w:val="003A0400"/>
    <w:rsid w:val="003A046E"/>
    <w:rsid w:val="003A0572"/>
    <w:rsid w:val="003A0585"/>
    <w:rsid w:val="003A0587"/>
    <w:rsid w:val="003A05C1"/>
    <w:rsid w:val="003A05EA"/>
    <w:rsid w:val="003A05ED"/>
    <w:rsid w:val="003A060C"/>
    <w:rsid w:val="003A0617"/>
    <w:rsid w:val="003A0654"/>
    <w:rsid w:val="003A0678"/>
    <w:rsid w:val="003A06A0"/>
    <w:rsid w:val="003A06D0"/>
    <w:rsid w:val="003A06E3"/>
    <w:rsid w:val="003A06E9"/>
    <w:rsid w:val="003A0734"/>
    <w:rsid w:val="003A0737"/>
    <w:rsid w:val="003A0756"/>
    <w:rsid w:val="003A0768"/>
    <w:rsid w:val="003A0788"/>
    <w:rsid w:val="003A07A5"/>
    <w:rsid w:val="003A07AC"/>
    <w:rsid w:val="003A07DE"/>
    <w:rsid w:val="003A080C"/>
    <w:rsid w:val="003A082C"/>
    <w:rsid w:val="003A083A"/>
    <w:rsid w:val="003A086A"/>
    <w:rsid w:val="003A087D"/>
    <w:rsid w:val="003A087F"/>
    <w:rsid w:val="003A0930"/>
    <w:rsid w:val="003A093A"/>
    <w:rsid w:val="003A0940"/>
    <w:rsid w:val="003A096C"/>
    <w:rsid w:val="003A097E"/>
    <w:rsid w:val="003A0A54"/>
    <w:rsid w:val="003A0A7D"/>
    <w:rsid w:val="003A0A86"/>
    <w:rsid w:val="003A0A9B"/>
    <w:rsid w:val="003A0B20"/>
    <w:rsid w:val="003A0BCB"/>
    <w:rsid w:val="003A0C15"/>
    <w:rsid w:val="003A0C1B"/>
    <w:rsid w:val="003A0C47"/>
    <w:rsid w:val="003A0C4E"/>
    <w:rsid w:val="003A0CBC"/>
    <w:rsid w:val="003A0CC9"/>
    <w:rsid w:val="003A0D22"/>
    <w:rsid w:val="003A0D32"/>
    <w:rsid w:val="003A0D94"/>
    <w:rsid w:val="003A0DC8"/>
    <w:rsid w:val="003A0DFC"/>
    <w:rsid w:val="003A0E0C"/>
    <w:rsid w:val="003A0E6B"/>
    <w:rsid w:val="003A0E9B"/>
    <w:rsid w:val="003A0ECF"/>
    <w:rsid w:val="003A0F25"/>
    <w:rsid w:val="003A0FB1"/>
    <w:rsid w:val="003A0FEE"/>
    <w:rsid w:val="003A1001"/>
    <w:rsid w:val="003A106D"/>
    <w:rsid w:val="003A1070"/>
    <w:rsid w:val="003A10B9"/>
    <w:rsid w:val="003A1110"/>
    <w:rsid w:val="003A120A"/>
    <w:rsid w:val="003A1213"/>
    <w:rsid w:val="003A1262"/>
    <w:rsid w:val="003A1275"/>
    <w:rsid w:val="003A12B3"/>
    <w:rsid w:val="003A1333"/>
    <w:rsid w:val="003A1368"/>
    <w:rsid w:val="003A13C4"/>
    <w:rsid w:val="003A13CE"/>
    <w:rsid w:val="003A1442"/>
    <w:rsid w:val="003A1466"/>
    <w:rsid w:val="003A1485"/>
    <w:rsid w:val="003A1530"/>
    <w:rsid w:val="003A155A"/>
    <w:rsid w:val="003A1578"/>
    <w:rsid w:val="003A1589"/>
    <w:rsid w:val="003A158D"/>
    <w:rsid w:val="003A159F"/>
    <w:rsid w:val="003A15A4"/>
    <w:rsid w:val="003A15DE"/>
    <w:rsid w:val="003A15F6"/>
    <w:rsid w:val="003A165D"/>
    <w:rsid w:val="003A1663"/>
    <w:rsid w:val="003A169B"/>
    <w:rsid w:val="003A16BC"/>
    <w:rsid w:val="003A16CB"/>
    <w:rsid w:val="003A16D1"/>
    <w:rsid w:val="003A173E"/>
    <w:rsid w:val="003A1757"/>
    <w:rsid w:val="003A1758"/>
    <w:rsid w:val="003A1762"/>
    <w:rsid w:val="003A17A5"/>
    <w:rsid w:val="003A17AB"/>
    <w:rsid w:val="003A183A"/>
    <w:rsid w:val="003A18BB"/>
    <w:rsid w:val="003A18C4"/>
    <w:rsid w:val="003A18E5"/>
    <w:rsid w:val="003A1943"/>
    <w:rsid w:val="003A199F"/>
    <w:rsid w:val="003A1A26"/>
    <w:rsid w:val="003A1A80"/>
    <w:rsid w:val="003A1A82"/>
    <w:rsid w:val="003A1AA5"/>
    <w:rsid w:val="003A1AD9"/>
    <w:rsid w:val="003A1ADE"/>
    <w:rsid w:val="003A1B32"/>
    <w:rsid w:val="003A1B6D"/>
    <w:rsid w:val="003A1B6E"/>
    <w:rsid w:val="003A1B94"/>
    <w:rsid w:val="003A1B99"/>
    <w:rsid w:val="003A1BDE"/>
    <w:rsid w:val="003A1C03"/>
    <w:rsid w:val="003A1C15"/>
    <w:rsid w:val="003A1C2D"/>
    <w:rsid w:val="003A1CC2"/>
    <w:rsid w:val="003A1CE2"/>
    <w:rsid w:val="003A1DAA"/>
    <w:rsid w:val="003A1DD7"/>
    <w:rsid w:val="003A1E07"/>
    <w:rsid w:val="003A1E0A"/>
    <w:rsid w:val="003A1E21"/>
    <w:rsid w:val="003A1E2A"/>
    <w:rsid w:val="003A1E49"/>
    <w:rsid w:val="003A1E54"/>
    <w:rsid w:val="003A1E6B"/>
    <w:rsid w:val="003A1E8A"/>
    <w:rsid w:val="003A1EC8"/>
    <w:rsid w:val="003A1F87"/>
    <w:rsid w:val="003A1F99"/>
    <w:rsid w:val="003A200B"/>
    <w:rsid w:val="003A201C"/>
    <w:rsid w:val="003A2055"/>
    <w:rsid w:val="003A2084"/>
    <w:rsid w:val="003A20BA"/>
    <w:rsid w:val="003A20D6"/>
    <w:rsid w:val="003A2106"/>
    <w:rsid w:val="003A2112"/>
    <w:rsid w:val="003A2117"/>
    <w:rsid w:val="003A212D"/>
    <w:rsid w:val="003A214E"/>
    <w:rsid w:val="003A216E"/>
    <w:rsid w:val="003A2184"/>
    <w:rsid w:val="003A2196"/>
    <w:rsid w:val="003A21AA"/>
    <w:rsid w:val="003A21BF"/>
    <w:rsid w:val="003A21C3"/>
    <w:rsid w:val="003A21CE"/>
    <w:rsid w:val="003A21FA"/>
    <w:rsid w:val="003A2225"/>
    <w:rsid w:val="003A222C"/>
    <w:rsid w:val="003A2268"/>
    <w:rsid w:val="003A2284"/>
    <w:rsid w:val="003A2292"/>
    <w:rsid w:val="003A22B1"/>
    <w:rsid w:val="003A22DE"/>
    <w:rsid w:val="003A22F0"/>
    <w:rsid w:val="003A2309"/>
    <w:rsid w:val="003A230E"/>
    <w:rsid w:val="003A2328"/>
    <w:rsid w:val="003A238A"/>
    <w:rsid w:val="003A23BA"/>
    <w:rsid w:val="003A23C6"/>
    <w:rsid w:val="003A242D"/>
    <w:rsid w:val="003A2458"/>
    <w:rsid w:val="003A2469"/>
    <w:rsid w:val="003A24E3"/>
    <w:rsid w:val="003A255E"/>
    <w:rsid w:val="003A256D"/>
    <w:rsid w:val="003A258B"/>
    <w:rsid w:val="003A25CB"/>
    <w:rsid w:val="003A25D1"/>
    <w:rsid w:val="003A2603"/>
    <w:rsid w:val="003A2609"/>
    <w:rsid w:val="003A261E"/>
    <w:rsid w:val="003A264A"/>
    <w:rsid w:val="003A2681"/>
    <w:rsid w:val="003A26D6"/>
    <w:rsid w:val="003A26F5"/>
    <w:rsid w:val="003A2714"/>
    <w:rsid w:val="003A2744"/>
    <w:rsid w:val="003A276C"/>
    <w:rsid w:val="003A277C"/>
    <w:rsid w:val="003A27A8"/>
    <w:rsid w:val="003A27AB"/>
    <w:rsid w:val="003A27D4"/>
    <w:rsid w:val="003A27F3"/>
    <w:rsid w:val="003A2801"/>
    <w:rsid w:val="003A281A"/>
    <w:rsid w:val="003A2821"/>
    <w:rsid w:val="003A2825"/>
    <w:rsid w:val="003A282D"/>
    <w:rsid w:val="003A282F"/>
    <w:rsid w:val="003A284A"/>
    <w:rsid w:val="003A2881"/>
    <w:rsid w:val="003A2965"/>
    <w:rsid w:val="003A299A"/>
    <w:rsid w:val="003A29D7"/>
    <w:rsid w:val="003A29E0"/>
    <w:rsid w:val="003A29ED"/>
    <w:rsid w:val="003A29F2"/>
    <w:rsid w:val="003A29FB"/>
    <w:rsid w:val="003A2A02"/>
    <w:rsid w:val="003A2A22"/>
    <w:rsid w:val="003A2A35"/>
    <w:rsid w:val="003A2A66"/>
    <w:rsid w:val="003A2ACB"/>
    <w:rsid w:val="003A2AF0"/>
    <w:rsid w:val="003A2AF1"/>
    <w:rsid w:val="003A2B24"/>
    <w:rsid w:val="003A2B36"/>
    <w:rsid w:val="003A2B39"/>
    <w:rsid w:val="003A2B53"/>
    <w:rsid w:val="003A2B94"/>
    <w:rsid w:val="003A2C2D"/>
    <w:rsid w:val="003A2C9B"/>
    <w:rsid w:val="003A2CB5"/>
    <w:rsid w:val="003A2D1E"/>
    <w:rsid w:val="003A2D9F"/>
    <w:rsid w:val="003A2DAB"/>
    <w:rsid w:val="003A2DCA"/>
    <w:rsid w:val="003A2DD1"/>
    <w:rsid w:val="003A2DD7"/>
    <w:rsid w:val="003A2DFE"/>
    <w:rsid w:val="003A2E28"/>
    <w:rsid w:val="003A2E8F"/>
    <w:rsid w:val="003A2ED9"/>
    <w:rsid w:val="003A2EDE"/>
    <w:rsid w:val="003A2EF3"/>
    <w:rsid w:val="003A2F09"/>
    <w:rsid w:val="003A2F6A"/>
    <w:rsid w:val="003A2F9A"/>
    <w:rsid w:val="003A2FA5"/>
    <w:rsid w:val="003A2FC7"/>
    <w:rsid w:val="003A2FFD"/>
    <w:rsid w:val="003A3014"/>
    <w:rsid w:val="003A301A"/>
    <w:rsid w:val="003A301D"/>
    <w:rsid w:val="003A307E"/>
    <w:rsid w:val="003A3089"/>
    <w:rsid w:val="003A311E"/>
    <w:rsid w:val="003A316E"/>
    <w:rsid w:val="003A318A"/>
    <w:rsid w:val="003A319A"/>
    <w:rsid w:val="003A31FD"/>
    <w:rsid w:val="003A3260"/>
    <w:rsid w:val="003A3316"/>
    <w:rsid w:val="003A334A"/>
    <w:rsid w:val="003A33F8"/>
    <w:rsid w:val="003A3419"/>
    <w:rsid w:val="003A3451"/>
    <w:rsid w:val="003A3470"/>
    <w:rsid w:val="003A34B1"/>
    <w:rsid w:val="003A34F1"/>
    <w:rsid w:val="003A34F4"/>
    <w:rsid w:val="003A34F6"/>
    <w:rsid w:val="003A3519"/>
    <w:rsid w:val="003A3592"/>
    <w:rsid w:val="003A35A5"/>
    <w:rsid w:val="003A35AC"/>
    <w:rsid w:val="003A3602"/>
    <w:rsid w:val="003A3637"/>
    <w:rsid w:val="003A3646"/>
    <w:rsid w:val="003A365C"/>
    <w:rsid w:val="003A3661"/>
    <w:rsid w:val="003A3681"/>
    <w:rsid w:val="003A36A5"/>
    <w:rsid w:val="003A36BE"/>
    <w:rsid w:val="003A36E0"/>
    <w:rsid w:val="003A3732"/>
    <w:rsid w:val="003A3746"/>
    <w:rsid w:val="003A3752"/>
    <w:rsid w:val="003A3762"/>
    <w:rsid w:val="003A3767"/>
    <w:rsid w:val="003A377A"/>
    <w:rsid w:val="003A379A"/>
    <w:rsid w:val="003A37AD"/>
    <w:rsid w:val="003A37CB"/>
    <w:rsid w:val="003A37E6"/>
    <w:rsid w:val="003A3865"/>
    <w:rsid w:val="003A3881"/>
    <w:rsid w:val="003A38C6"/>
    <w:rsid w:val="003A38DD"/>
    <w:rsid w:val="003A390D"/>
    <w:rsid w:val="003A3911"/>
    <w:rsid w:val="003A3952"/>
    <w:rsid w:val="003A396A"/>
    <w:rsid w:val="003A3984"/>
    <w:rsid w:val="003A3987"/>
    <w:rsid w:val="003A399F"/>
    <w:rsid w:val="003A39A9"/>
    <w:rsid w:val="003A39C8"/>
    <w:rsid w:val="003A39F1"/>
    <w:rsid w:val="003A3A25"/>
    <w:rsid w:val="003A3A47"/>
    <w:rsid w:val="003A3A4E"/>
    <w:rsid w:val="003A3A5B"/>
    <w:rsid w:val="003A3A7A"/>
    <w:rsid w:val="003A3A8B"/>
    <w:rsid w:val="003A3AD0"/>
    <w:rsid w:val="003A3AEB"/>
    <w:rsid w:val="003A3B15"/>
    <w:rsid w:val="003A3B3A"/>
    <w:rsid w:val="003A3B8C"/>
    <w:rsid w:val="003A3BA4"/>
    <w:rsid w:val="003A3C1C"/>
    <w:rsid w:val="003A3C24"/>
    <w:rsid w:val="003A3C60"/>
    <w:rsid w:val="003A3C87"/>
    <w:rsid w:val="003A3C9C"/>
    <w:rsid w:val="003A3CA5"/>
    <w:rsid w:val="003A3CAD"/>
    <w:rsid w:val="003A3CC4"/>
    <w:rsid w:val="003A3D0B"/>
    <w:rsid w:val="003A3D2B"/>
    <w:rsid w:val="003A3DB2"/>
    <w:rsid w:val="003A3DB3"/>
    <w:rsid w:val="003A3DBE"/>
    <w:rsid w:val="003A3DC6"/>
    <w:rsid w:val="003A3E01"/>
    <w:rsid w:val="003A3E04"/>
    <w:rsid w:val="003A3E52"/>
    <w:rsid w:val="003A3E55"/>
    <w:rsid w:val="003A3E6C"/>
    <w:rsid w:val="003A3E86"/>
    <w:rsid w:val="003A3EBC"/>
    <w:rsid w:val="003A3F14"/>
    <w:rsid w:val="003A3F5C"/>
    <w:rsid w:val="003A3F61"/>
    <w:rsid w:val="003A3F9D"/>
    <w:rsid w:val="003A3FB0"/>
    <w:rsid w:val="003A3FDF"/>
    <w:rsid w:val="003A4030"/>
    <w:rsid w:val="003A4041"/>
    <w:rsid w:val="003A40DC"/>
    <w:rsid w:val="003A40E0"/>
    <w:rsid w:val="003A40EA"/>
    <w:rsid w:val="003A4156"/>
    <w:rsid w:val="003A4158"/>
    <w:rsid w:val="003A419D"/>
    <w:rsid w:val="003A41DB"/>
    <w:rsid w:val="003A41F2"/>
    <w:rsid w:val="003A420F"/>
    <w:rsid w:val="003A4243"/>
    <w:rsid w:val="003A4250"/>
    <w:rsid w:val="003A42A0"/>
    <w:rsid w:val="003A42D1"/>
    <w:rsid w:val="003A4313"/>
    <w:rsid w:val="003A4362"/>
    <w:rsid w:val="003A4369"/>
    <w:rsid w:val="003A4371"/>
    <w:rsid w:val="003A4372"/>
    <w:rsid w:val="003A4385"/>
    <w:rsid w:val="003A4474"/>
    <w:rsid w:val="003A4475"/>
    <w:rsid w:val="003A44D5"/>
    <w:rsid w:val="003A44DA"/>
    <w:rsid w:val="003A457D"/>
    <w:rsid w:val="003A4598"/>
    <w:rsid w:val="003A45FB"/>
    <w:rsid w:val="003A460F"/>
    <w:rsid w:val="003A4637"/>
    <w:rsid w:val="003A4659"/>
    <w:rsid w:val="003A46B2"/>
    <w:rsid w:val="003A46C7"/>
    <w:rsid w:val="003A46DC"/>
    <w:rsid w:val="003A46FE"/>
    <w:rsid w:val="003A470C"/>
    <w:rsid w:val="003A472E"/>
    <w:rsid w:val="003A4733"/>
    <w:rsid w:val="003A474D"/>
    <w:rsid w:val="003A4773"/>
    <w:rsid w:val="003A477A"/>
    <w:rsid w:val="003A47E1"/>
    <w:rsid w:val="003A47FE"/>
    <w:rsid w:val="003A480D"/>
    <w:rsid w:val="003A481C"/>
    <w:rsid w:val="003A4853"/>
    <w:rsid w:val="003A487F"/>
    <w:rsid w:val="003A4926"/>
    <w:rsid w:val="003A4967"/>
    <w:rsid w:val="003A498C"/>
    <w:rsid w:val="003A4994"/>
    <w:rsid w:val="003A4999"/>
    <w:rsid w:val="003A49B7"/>
    <w:rsid w:val="003A4A79"/>
    <w:rsid w:val="003A4AC6"/>
    <w:rsid w:val="003A4AEA"/>
    <w:rsid w:val="003A4AFB"/>
    <w:rsid w:val="003A4B26"/>
    <w:rsid w:val="003A4B9D"/>
    <w:rsid w:val="003A4BA6"/>
    <w:rsid w:val="003A4BD3"/>
    <w:rsid w:val="003A4BF8"/>
    <w:rsid w:val="003A4C0F"/>
    <w:rsid w:val="003A4C3A"/>
    <w:rsid w:val="003A4C58"/>
    <w:rsid w:val="003A4C81"/>
    <w:rsid w:val="003A4C82"/>
    <w:rsid w:val="003A4CAE"/>
    <w:rsid w:val="003A4CC7"/>
    <w:rsid w:val="003A4CCA"/>
    <w:rsid w:val="003A4D0B"/>
    <w:rsid w:val="003A4D2B"/>
    <w:rsid w:val="003A4D4A"/>
    <w:rsid w:val="003A4DA2"/>
    <w:rsid w:val="003A4DF7"/>
    <w:rsid w:val="003A4E3F"/>
    <w:rsid w:val="003A4E42"/>
    <w:rsid w:val="003A4E5B"/>
    <w:rsid w:val="003A4E7D"/>
    <w:rsid w:val="003A4EB0"/>
    <w:rsid w:val="003A4EF0"/>
    <w:rsid w:val="003A4EF4"/>
    <w:rsid w:val="003A4F0D"/>
    <w:rsid w:val="003A4F11"/>
    <w:rsid w:val="003A4F51"/>
    <w:rsid w:val="003A4F59"/>
    <w:rsid w:val="003A4FB2"/>
    <w:rsid w:val="003A4FB5"/>
    <w:rsid w:val="003A5007"/>
    <w:rsid w:val="003A502C"/>
    <w:rsid w:val="003A503E"/>
    <w:rsid w:val="003A504B"/>
    <w:rsid w:val="003A50A3"/>
    <w:rsid w:val="003A50D1"/>
    <w:rsid w:val="003A516C"/>
    <w:rsid w:val="003A517E"/>
    <w:rsid w:val="003A51D6"/>
    <w:rsid w:val="003A51F1"/>
    <w:rsid w:val="003A521B"/>
    <w:rsid w:val="003A5237"/>
    <w:rsid w:val="003A5251"/>
    <w:rsid w:val="003A5256"/>
    <w:rsid w:val="003A5285"/>
    <w:rsid w:val="003A52A2"/>
    <w:rsid w:val="003A52B3"/>
    <w:rsid w:val="003A52BC"/>
    <w:rsid w:val="003A532D"/>
    <w:rsid w:val="003A534D"/>
    <w:rsid w:val="003A5386"/>
    <w:rsid w:val="003A53CF"/>
    <w:rsid w:val="003A53D2"/>
    <w:rsid w:val="003A53F9"/>
    <w:rsid w:val="003A542D"/>
    <w:rsid w:val="003A5445"/>
    <w:rsid w:val="003A544B"/>
    <w:rsid w:val="003A54A4"/>
    <w:rsid w:val="003A54AD"/>
    <w:rsid w:val="003A54B3"/>
    <w:rsid w:val="003A54FF"/>
    <w:rsid w:val="003A5502"/>
    <w:rsid w:val="003A5536"/>
    <w:rsid w:val="003A5537"/>
    <w:rsid w:val="003A5557"/>
    <w:rsid w:val="003A556A"/>
    <w:rsid w:val="003A557F"/>
    <w:rsid w:val="003A5583"/>
    <w:rsid w:val="003A5599"/>
    <w:rsid w:val="003A55B2"/>
    <w:rsid w:val="003A55DE"/>
    <w:rsid w:val="003A55E2"/>
    <w:rsid w:val="003A55E5"/>
    <w:rsid w:val="003A55E7"/>
    <w:rsid w:val="003A55FA"/>
    <w:rsid w:val="003A562C"/>
    <w:rsid w:val="003A5660"/>
    <w:rsid w:val="003A568C"/>
    <w:rsid w:val="003A569C"/>
    <w:rsid w:val="003A569E"/>
    <w:rsid w:val="003A56A0"/>
    <w:rsid w:val="003A570C"/>
    <w:rsid w:val="003A5753"/>
    <w:rsid w:val="003A578D"/>
    <w:rsid w:val="003A5791"/>
    <w:rsid w:val="003A57A9"/>
    <w:rsid w:val="003A57B5"/>
    <w:rsid w:val="003A57D1"/>
    <w:rsid w:val="003A57EC"/>
    <w:rsid w:val="003A57FD"/>
    <w:rsid w:val="003A580A"/>
    <w:rsid w:val="003A582B"/>
    <w:rsid w:val="003A583A"/>
    <w:rsid w:val="003A584D"/>
    <w:rsid w:val="003A5858"/>
    <w:rsid w:val="003A5881"/>
    <w:rsid w:val="003A589A"/>
    <w:rsid w:val="003A58A7"/>
    <w:rsid w:val="003A590B"/>
    <w:rsid w:val="003A5967"/>
    <w:rsid w:val="003A59E4"/>
    <w:rsid w:val="003A5A25"/>
    <w:rsid w:val="003A5A48"/>
    <w:rsid w:val="003A5A4A"/>
    <w:rsid w:val="003A5A66"/>
    <w:rsid w:val="003A5AC9"/>
    <w:rsid w:val="003A5ACE"/>
    <w:rsid w:val="003A5AE8"/>
    <w:rsid w:val="003A5B34"/>
    <w:rsid w:val="003A5B35"/>
    <w:rsid w:val="003A5B68"/>
    <w:rsid w:val="003A5BA3"/>
    <w:rsid w:val="003A5BEA"/>
    <w:rsid w:val="003A5C53"/>
    <w:rsid w:val="003A5C58"/>
    <w:rsid w:val="003A5C5E"/>
    <w:rsid w:val="003A5C76"/>
    <w:rsid w:val="003A5C92"/>
    <w:rsid w:val="003A5CD3"/>
    <w:rsid w:val="003A5CE3"/>
    <w:rsid w:val="003A5D3B"/>
    <w:rsid w:val="003A5D5B"/>
    <w:rsid w:val="003A5E10"/>
    <w:rsid w:val="003A5E57"/>
    <w:rsid w:val="003A5E8E"/>
    <w:rsid w:val="003A5E9D"/>
    <w:rsid w:val="003A5EAA"/>
    <w:rsid w:val="003A5ED2"/>
    <w:rsid w:val="003A5EEE"/>
    <w:rsid w:val="003A5F1E"/>
    <w:rsid w:val="003A5F2B"/>
    <w:rsid w:val="003A5F56"/>
    <w:rsid w:val="003A5FCA"/>
    <w:rsid w:val="003A5FCC"/>
    <w:rsid w:val="003A6009"/>
    <w:rsid w:val="003A6055"/>
    <w:rsid w:val="003A60BC"/>
    <w:rsid w:val="003A60BE"/>
    <w:rsid w:val="003A6100"/>
    <w:rsid w:val="003A612E"/>
    <w:rsid w:val="003A613E"/>
    <w:rsid w:val="003A6205"/>
    <w:rsid w:val="003A622A"/>
    <w:rsid w:val="003A6239"/>
    <w:rsid w:val="003A62B8"/>
    <w:rsid w:val="003A62CB"/>
    <w:rsid w:val="003A631A"/>
    <w:rsid w:val="003A6335"/>
    <w:rsid w:val="003A63A7"/>
    <w:rsid w:val="003A63DC"/>
    <w:rsid w:val="003A63EC"/>
    <w:rsid w:val="003A63F4"/>
    <w:rsid w:val="003A63F8"/>
    <w:rsid w:val="003A6438"/>
    <w:rsid w:val="003A6451"/>
    <w:rsid w:val="003A645C"/>
    <w:rsid w:val="003A6479"/>
    <w:rsid w:val="003A64A5"/>
    <w:rsid w:val="003A64F9"/>
    <w:rsid w:val="003A6514"/>
    <w:rsid w:val="003A657B"/>
    <w:rsid w:val="003A6599"/>
    <w:rsid w:val="003A65AB"/>
    <w:rsid w:val="003A65BA"/>
    <w:rsid w:val="003A65E7"/>
    <w:rsid w:val="003A6618"/>
    <w:rsid w:val="003A6626"/>
    <w:rsid w:val="003A6631"/>
    <w:rsid w:val="003A664F"/>
    <w:rsid w:val="003A6676"/>
    <w:rsid w:val="003A66F3"/>
    <w:rsid w:val="003A6714"/>
    <w:rsid w:val="003A6733"/>
    <w:rsid w:val="003A6746"/>
    <w:rsid w:val="003A6778"/>
    <w:rsid w:val="003A6780"/>
    <w:rsid w:val="003A6795"/>
    <w:rsid w:val="003A679A"/>
    <w:rsid w:val="003A67CA"/>
    <w:rsid w:val="003A67DE"/>
    <w:rsid w:val="003A67FF"/>
    <w:rsid w:val="003A681F"/>
    <w:rsid w:val="003A682F"/>
    <w:rsid w:val="003A684A"/>
    <w:rsid w:val="003A68F4"/>
    <w:rsid w:val="003A6901"/>
    <w:rsid w:val="003A6936"/>
    <w:rsid w:val="003A6938"/>
    <w:rsid w:val="003A6959"/>
    <w:rsid w:val="003A697E"/>
    <w:rsid w:val="003A697F"/>
    <w:rsid w:val="003A6990"/>
    <w:rsid w:val="003A69A9"/>
    <w:rsid w:val="003A69FC"/>
    <w:rsid w:val="003A6A6C"/>
    <w:rsid w:val="003A6A76"/>
    <w:rsid w:val="003A6A84"/>
    <w:rsid w:val="003A6A9E"/>
    <w:rsid w:val="003A6AAF"/>
    <w:rsid w:val="003A6AC2"/>
    <w:rsid w:val="003A6B0F"/>
    <w:rsid w:val="003A6B7A"/>
    <w:rsid w:val="003A6BB5"/>
    <w:rsid w:val="003A6C31"/>
    <w:rsid w:val="003A6C41"/>
    <w:rsid w:val="003A6C47"/>
    <w:rsid w:val="003A6C5B"/>
    <w:rsid w:val="003A6C74"/>
    <w:rsid w:val="003A6C8A"/>
    <w:rsid w:val="003A6C94"/>
    <w:rsid w:val="003A6CFD"/>
    <w:rsid w:val="003A6D1C"/>
    <w:rsid w:val="003A6D60"/>
    <w:rsid w:val="003A6D86"/>
    <w:rsid w:val="003A6DA6"/>
    <w:rsid w:val="003A6DC5"/>
    <w:rsid w:val="003A6DCB"/>
    <w:rsid w:val="003A6DD6"/>
    <w:rsid w:val="003A6E18"/>
    <w:rsid w:val="003A6E2F"/>
    <w:rsid w:val="003A6E6C"/>
    <w:rsid w:val="003A6E90"/>
    <w:rsid w:val="003A6EB1"/>
    <w:rsid w:val="003A6ECC"/>
    <w:rsid w:val="003A6F32"/>
    <w:rsid w:val="003A6F4E"/>
    <w:rsid w:val="003A6F55"/>
    <w:rsid w:val="003A6F94"/>
    <w:rsid w:val="003A6FB7"/>
    <w:rsid w:val="003A6FBF"/>
    <w:rsid w:val="003A6FF2"/>
    <w:rsid w:val="003A701B"/>
    <w:rsid w:val="003A7025"/>
    <w:rsid w:val="003A705C"/>
    <w:rsid w:val="003A7090"/>
    <w:rsid w:val="003A70B9"/>
    <w:rsid w:val="003A70BA"/>
    <w:rsid w:val="003A70BD"/>
    <w:rsid w:val="003A717F"/>
    <w:rsid w:val="003A7220"/>
    <w:rsid w:val="003A725D"/>
    <w:rsid w:val="003A7283"/>
    <w:rsid w:val="003A728E"/>
    <w:rsid w:val="003A7339"/>
    <w:rsid w:val="003A73A0"/>
    <w:rsid w:val="003A73BB"/>
    <w:rsid w:val="003A7419"/>
    <w:rsid w:val="003A741A"/>
    <w:rsid w:val="003A7442"/>
    <w:rsid w:val="003A7476"/>
    <w:rsid w:val="003A749F"/>
    <w:rsid w:val="003A74BC"/>
    <w:rsid w:val="003A74C1"/>
    <w:rsid w:val="003A74DD"/>
    <w:rsid w:val="003A7523"/>
    <w:rsid w:val="003A7533"/>
    <w:rsid w:val="003A7552"/>
    <w:rsid w:val="003A758E"/>
    <w:rsid w:val="003A7594"/>
    <w:rsid w:val="003A7655"/>
    <w:rsid w:val="003A776E"/>
    <w:rsid w:val="003A77BD"/>
    <w:rsid w:val="003A77DA"/>
    <w:rsid w:val="003A77DB"/>
    <w:rsid w:val="003A77F2"/>
    <w:rsid w:val="003A7807"/>
    <w:rsid w:val="003A7831"/>
    <w:rsid w:val="003A7856"/>
    <w:rsid w:val="003A78BD"/>
    <w:rsid w:val="003A78E9"/>
    <w:rsid w:val="003A78F1"/>
    <w:rsid w:val="003A78FF"/>
    <w:rsid w:val="003A7911"/>
    <w:rsid w:val="003A7949"/>
    <w:rsid w:val="003A7960"/>
    <w:rsid w:val="003A7966"/>
    <w:rsid w:val="003A79B0"/>
    <w:rsid w:val="003A7A31"/>
    <w:rsid w:val="003A7A71"/>
    <w:rsid w:val="003A7AA1"/>
    <w:rsid w:val="003A7AAA"/>
    <w:rsid w:val="003A7AD1"/>
    <w:rsid w:val="003A7AFA"/>
    <w:rsid w:val="003A7B0B"/>
    <w:rsid w:val="003A7B0D"/>
    <w:rsid w:val="003A7B15"/>
    <w:rsid w:val="003A7B63"/>
    <w:rsid w:val="003A7BB2"/>
    <w:rsid w:val="003A7BDF"/>
    <w:rsid w:val="003A7BE0"/>
    <w:rsid w:val="003A7BEE"/>
    <w:rsid w:val="003A7BFA"/>
    <w:rsid w:val="003A7C08"/>
    <w:rsid w:val="003A7C5C"/>
    <w:rsid w:val="003A7C62"/>
    <w:rsid w:val="003A7C8E"/>
    <w:rsid w:val="003A7CC6"/>
    <w:rsid w:val="003A7CCD"/>
    <w:rsid w:val="003A7D04"/>
    <w:rsid w:val="003A7D09"/>
    <w:rsid w:val="003A7D0A"/>
    <w:rsid w:val="003A7D52"/>
    <w:rsid w:val="003A7D66"/>
    <w:rsid w:val="003A7D84"/>
    <w:rsid w:val="003A7D8D"/>
    <w:rsid w:val="003A7D91"/>
    <w:rsid w:val="003A7E59"/>
    <w:rsid w:val="003A7E5B"/>
    <w:rsid w:val="003A7E63"/>
    <w:rsid w:val="003A7E7A"/>
    <w:rsid w:val="003A7EA7"/>
    <w:rsid w:val="003A7EE0"/>
    <w:rsid w:val="003A7EF2"/>
    <w:rsid w:val="003A7F41"/>
    <w:rsid w:val="003A7F58"/>
    <w:rsid w:val="003A7F66"/>
    <w:rsid w:val="003B0033"/>
    <w:rsid w:val="003B0043"/>
    <w:rsid w:val="003B0068"/>
    <w:rsid w:val="003B0071"/>
    <w:rsid w:val="003B00A2"/>
    <w:rsid w:val="003B00C9"/>
    <w:rsid w:val="003B00E4"/>
    <w:rsid w:val="003B00FA"/>
    <w:rsid w:val="003B012E"/>
    <w:rsid w:val="003B0135"/>
    <w:rsid w:val="003B01AA"/>
    <w:rsid w:val="003B0204"/>
    <w:rsid w:val="003B0205"/>
    <w:rsid w:val="003B020A"/>
    <w:rsid w:val="003B022B"/>
    <w:rsid w:val="003B0245"/>
    <w:rsid w:val="003B0271"/>
    <w:rsid w:val="003B0287"/>
    <w:rsid w:val="003B0288"/>
    <w:rsid w:val="003B02C2"/>
    <w:rsid w:val="003B02DC"/>
    <w:rsid w:val="003B0302"/>
    <w:rsid w:val="003B0310"/>
    <w:rsid w:val="003B0311"/>
    <w:rsid w:val="003B0348"/>
    <w:rsid w:val="003B0376"/>
    <w:rsid w:val="003B0383"/>
    <w:rsid w:val="003B039A"/>
    <w:rsid w:val="003B03C3"/>
    <w:rsid w:val="003B04B7"/>
    <w:rsid w:val="003B04C0"/>
    <w:rsid w:val="003B04DE"/>
    <w:rsid w:val="003B04E7"/>
    <w:rsid w:val="003B04F4"/>
    <w:rsid w:val="003B0536"/>
    <w:rsid w:val="003B0539"/>
    <w:rsid w:val="003B054D"/>
    <w:rsid w:val="003B05A8"/>
    <w:rsid w:val="003B05C1"/>
    <w:rsid w:val="003B05C7"/>
    <w:rsid w:val="003B05DC"/>
    <w:rsid w:val="003B0611"/>
    <w:rsid w:val="003B061D"/>
    <w:rsid w:val="003B06C9"/>
    <w:rsid w:val="003B06E1"/>
    <w:rsid w:val="003B0700"/>
    <w:rsid w:val="003B0717"/>
    <w:rsid w:val="003B071B"/>
    <w:rsid w:val="003B073B"/>
    <w:rsid w:val="003B074F"/>
    <w:rsid w:val="003B07FB"/>
    <w:rsid w:val="003B081F"/>
    <w:rsid w:val="003B0850"/>
    <w:rsid w:val="003B0874"/>
    <w:rsid w:val="003B08B1"/>
    <w:rsid w:val="003B08B6"/>
    <w:rsid w:val="003B08E7"/>
    <w:rsid w:val="003B08F1"/>
    <w:rsid w:val="003B093C"/>
    <w:rsid w:val="003B096D"/>
    <w:rsid w:val="003B09B3"/>
    <w:rsid w:val="003B0A6D"/>
    <w:rsid w:val="003B0AAC"/>
    <w:rsid w:val="003B0ABA"/>
    <w:rsid w:val="003B0AD3"/>
    <w:rsid w:val="003B0AF0"/>
    <w:rsid w:val="003B0AF1"/>
    <w:rsid w:val="003B0AFA"/>
    <w:rsid w:val="003B0B28"/>
    <w:rsid w:val="003B0B8D"/>
    <w:rsid w:val="003B0B98"/>
    <w:rsid w:val="003B0BB5"/>
    <w:rsid w:val="003B0BE3"/>
    <w:rsid w:val="003B0BF6"/>
    <w:rsid w:val="003B0BFA"/>
    <w:rsid w:val="003B0C22"/>
    <w:rsid w:val="003B0C97"/>
    <w:rsid w:val="003B0CB2"/>
    <w:rsid w:val="003B0CB6"/>
    <w:rsid w:val="003B0CCE"/>
    <w:rsid w:val="003B0D1F"/>
    <w:rsid w:val="003B0D27"/>
    <w:rsid w:val="003B0D7B"/>
    <w:rsid w:val="003B0D88"/>
    <w:rsid w:val="003B0DC6"/>
    <w:rsid w:val="003B0DFE"/>
    <w:rsid w:val="003B0E56"/>
    <w:rsid w:val="003B0E8C"/>
    <w:rsid w:val="003B0E9B"/>
    <w:rsid w:val="003B0EB9"/>
    <w:rsid w:val="003B0EDE"/>
    <w:rsid w:val="003B0EEC"/>
    <w:rsid w:val="003B0F2B"/>
    <w:rsid w:val="003B0F4A"/>
    <w:rsid w:val="003B0F67"/>
    <w:rsid w:val="003B0F6F"/>
    <w:rsid w:val="003B0F74"/>
    <w:rsid w:val="003B0FAB"/>
    <w:rsid w:val="003B0FB9"/>
    <w:rsid w:val="003B102F"/>
    <w:rsid w:val="003B103D"/>
    <w:rsid w:val="003B1048"/>
    <w:rsid w:val="003B1078"/>
    <w:rsid w:val="003B10D3"/>
    <w:rsid w:val="003B10F9"/>
    <w:rsid w:val="003B1118"/>
    <w:rsid w:val="003B1119"/>
    <w:rsid w:val="003B111E"/>
    <w:rsid w:val="003B117A"/>
    <w:rsid w:val="003B118B"/>
    <w:rsid w:val="003B1199"/>
    <w:rsid w:val="003B11D3"/>
    <w:rsid w:val="003B121A"/>
    <w:rsid w:val="003B1245"/>
    <w:rsid w:val="003B124F"/>
    <w:rsid w:val="003B125D"/>
    <w:rsid w:val="003B1266"/>
    <w:rsid w:val="003B1270"/>
    <w:rsid w:val="003B12BE"/>
    <w:rsid w:val="003B12D1"/>
    <w:rsid w:val="003B12E9"/>
    <w:rsid w:val="003B12F1"/>
    <w:rsid w:val="003B131B"/>
    <w:rsid w:val="003B134E"/>
    <w:rsid w:val="003B14A8"/>
    <w:rsid w:val="003B14BD"/>
    <w:rsid w:val="003B14D2"/>
    <w:rsid w:val="003B150E"/>
    <w:rsid w:val="003B151F"/>
    <w:rsid w:val="003B1540"/>
    <w:rsid w:val="003B1542"/>
    <w:rsid w:val="003B157A"/>
    <w:rsid w:val="003B157C"/>
    <w:rsid w:val="003B157F"/>
    <w:rsid w:val="003B1580"/>
    <w:rsid w:val="003B1595"/>
    <w:rsid w:val="003B15F9"/>
    <w:rsid w:val="003B1609"/>
    <w:rsid w:val="003B16FC"/>
    <w:rsid w:val="003B172B"/>
    <w:rsid w:val="003B172F"/>
    <w:rsid w:val="003B174B"/>
    <w:rsid w:val="003B177C"/>
    <w:rsid w:val="003B1785"/>
    <w:rsid w:val="003B1791"/>
    <w:rsid w:val="003B17C4"/>
    <w:rsid w:val="003B17DF"/>
    <w:rsid w:val="003B1815"/>
    <w:rsid w:val="003B183D"/>
    <w:rsid w:val="003B183F"/>
    <w:rsid w:val="003B185C"/>
    <w:rsid w:val="003B18C3"/>
    <w:rsid w:val="003B18F3"/>
    <w:rsid w:val="003B190C"/>
    <w:rsid w:val="003B1961"/>
    <w:rsid w:val="003B196B"/>
    <w:rsid w:val="003B1996"/>
    <w:rsid w:val="003B19C6"/>
    <w:rsid w:val="003B19D8"/>
    <w:rsid w:val="003B19EF"/>
    <w:rsid w:val="003B1A54"/>
    <w:rsid w:val="003B1B0A"/>
    <w:rsid w:val="003B1B90"/>
    <w:rsid w:val="003B1BB9"/>
    <w:rsid w:val="003B1C11"/>
    <w:rsid w:val="003B1C26"/>
    <w:rsid w:val="003B1C38"/>
    <w:rsid w:val="003B1C43"/>
    <w:rsid w:val="003B1C74"/>
    <w:rsid w:val="003B1C84"/>
    <w:rsid w:val="003B1C91"/>
    <w:rsid w:val="003B1CA2"/>
    <w:rsid w:val="003B1CFF"/>
    <w:rsid w:val="003B1D48"/>
    <w:rsid w:val="003B1D85"/>
    <w:rsid w:val="003B1DC8"/>
    <w:rsid w:val="003B1E03"/>
    <w:rsid w:val="003B1E44"/>
    <w:rsid w:val="003B1E97"/>
    <w:rsid w:val="003B1EAE"/>
    <w:rsid w:val="003B1EB8"/>
    <w:rsid w:val="003B1EEA"/>
    <w:rsid w:val="003B1F3B"/>
    <w:rsid w:val="003B1F3F"/>
    <w:rsid w:val="003B1F70"/>
    <w:rsid w:val="003B1FE2"/>
    <w:rsid w:val="003B2026"/>
    <w:rsid w:val="003B20BA"/>
    <w:rsid w:val="003B20C4"/>
    <w:rsid w:val="003B2113"/>
    <w:rsid w:val="003B217B"/>
    <w:rsid w:val="003B219C"/>
    <w:rsid w:val="003B21FD"/>
    <w:rsid w:val="003B2208"/>
    <w:rsid w:val="003B2236"/>
    <w:rsid w:val="003B2256"/>
    <w:rsid w:val="003B2269"/>
    <w:rsid w:val="003B2270"/>
    <w:rsid w:val="003B2285"/>
    <w:rsid w:val="003B228F"/>
    <w:rsid w:val="003B22DD"/>
    <w:rsid w:val="003B22FD"/>
    <w:rsid w:val="003B2342"/>
    <w:rsid w:val="003B2348"/>
    <w:rsid w:val="003B2372"/>
    <w:rsid w:val="003B237A"/>
    <w:rsid w:val="003B2383"/>
    <w:rsid w:val="003B2387"/>
    <w:rsid w:val="003B23A4"/>
    <w:rsid w:val="003B23B9"/>
    <w:rsid w:val="003B23F8"/>
    <w:rsid w:val="003B2415"/>
    <w:rsid w:val="003B2459"/>
    <w:rsid w:val="003B248D"/>
    <w:rsid w:val="003B24A9"/>
    <w:rsid w:val="003B24AD"/>
    <w:rsid w:val="003B24E6"/>
    <w:rsid w:val="003B2503"/>
    <w:rsid w:val="003B254F"/>
    <w:rsid w:val="003B2562"/>
    <w:rsid w:val="003B2589"/>
    <w:rsid w:val="003B2590"/>
    <w:rsid w:val="003B25B6"/>
    <w:rsid w:val="003B25D5"/>
    <w:rsid w:val="003B2602"/>
    <w:rsid w:val="003B2629"/>
    <w:rsid w:val="003B2638"/>
    <w:rsid w:val="003B26A3"/>
    <w:rsid w:val="003B26CB"/>
    <w:rsid w:val="003B26F8"/>
    <w:rsid w:val="003B2708"/>
    <w:rsid w:val="003B276F"/>
    <w:rsid w:val="003B278C"/>
    <w:rsid w:val="003B2800"/>
    <w:rsid w:val="003B2807"/>
    <w:rsid w:val="003B28DF"/>
    <w:rsid w:val="003B2912"/>
    <w:rsid w:val="003B2916"/>
    <w:rsid w:val="003B291D"/>
    <w:rsid w:val="003B2928"/>
    <w:rsid w:val="003B292A"/>
    <w:rsid w:val="003B2931"/>
    <w:rsid w:val="003B2979"/>
    <w:rsid w:val="003B298A"/>
    <w:rsid w:val="003B29F6"/>
    <w:rsid w:val="003B2ACF"/>
    <w:rsid w:val="003B2B91"/>
    <w:rsid w:val="003B2BD7"/>
    <w:rsid w:val="003B2C46"/>
    <w:rsid w:val="003B2C88"/>
    <w:rsid w:val="003B2CB8"/>
    <w:rsid w:val="003B2CDD"/>
    <w:rsid w:val="003B2D91"/>
    <w:rsid w:val="003B2DD0"/>
    <w:rsid w:val="003B2DE4"/>
    <w:rsid w:val="003B2DEC"/>
    <w:rsid w:val="003B2DF8"/>
    <w:rsid w:val="003B2E22"/>
    <w:rsid w:val="003B2E3C"/>
    <w:rsid w:val="003B2E5E"/>
    <w:rsid w:val="003B2E6C"/>
    <w:rsid w:val="003B2EA5"/>
    <w:rsid w:val="003B2F43"/>
    <w:rsid w:val="003B2F7B"/>
    <w:rsid w:val="003B2F8F"/>
    <w:rsid w:val="003B2F93"/>
    <w:rsid w:val="003B2F94"/>
    <w:rsid w:val="003B2FC2"/>
    <w:rsid w:val="003B2FCC"/>
    <w:rsid w:val="003B3032"/>
    <w:rsid w:val="003B3099"/>
    <w:rsid w:val="003B309B"/>
    <w:rsid w:val="003B30CA"/>
    <w:rsid w:val="003B3107"/>
    <w:rsid w:val="003B316F"/>
    <w:rsid w:val="003B31A7"/>
    <w:rsid w:val="003B31DF"/>
    <w:rsid w:val="003B3213"/>
    <w:rsid w:val="003B3271"/>
    <w:rsid w:val="003B3278"/>
    <w:rsid w:val="003B327E"/>
    <w:rsid w:val="003B328E"/>
    <w:rsid w:val="003B32B1"/>
    <w:rsid w:val="003B32F4"/>
    <w:rsid w:val="003B3323"/>
    <w:rsid w:val="003B334C"/>
    <w:rsid w:val="003B3374"/>
    <w:rsid w:val="003B337F"/>
    <w:rsid w:val="003B3391"/>
    <w:rsid w:val="003B33AE"/>
    <w:rsid w:val="003B33F5"/>
    <w:rsid w:val="003B3458"/>
    <w:rsid w:val="003B34A0"/>
    <w:rsid w:val="003B3539"/>
    <w:rsid w:val="003B355D"/>
    <w:rsid w:val="003B35B3"/>
    <w:rsid w:val="003B35D5"/>
    <w:rsid w:val="003B35DE"/>
    <w:rsid w:val="003B3600"/>
    <w:rsid w:val="003B3655"/>
    <w:rsid w:val="003B3689"/>
    <w:rsid w:val="003B36B5"/>
    <w:rsid w:val="003B3712"/>
    <w:rsid w:val="003B3720"/>
    <w:rsid w:val="003B3724"/>
    <w:rsid w:val="003B3736"/>
    <w:rsid w:val="003B3757"/>
    <w:rsid w:val="003B3764"/>
    <w:rsid w:val="003B379D"/>
    <w:rsid w:val="003B37A1"/>
    <w:rsid w:val="003B37CC"/>
    <w:rsid w:val="003B380A"/>
    <w:rsid w:val="003B3871"/>
    <w:rsid w:val="003B387E"/>
    <w:rsid w:val="003B38AA"/>
    <w:rsid w:val="003B38BD"/>
    <w:rsid w:val="003B38D4"/>
    <w:rsid w:val="003B38E2"/>
    <w:rsid w:val="003B3920"/>
    <w:rsid w:val="003B3968"/>
    <w:rsid w:val="003B39A7"/>
    <w:rsid w:val="003B39AA"/>
    <w:rsid w:val="003B39EA"/>
    <w:rsid w:val="003B3A05"/>
    <w:rsid w:val="003B3A24"/>
    <w:rsid w:val="003B3A64"/>
    <w:rsid w:val="003B3A7D"/>
    <w:rsid w:val="003B3A8C"/>
    <w:rsid w:val="003B3AAF"/>
    <w:rsid w:val="003B3AB2"/>
    <w:rsid w:val="003B3B9E"/>
    <w:rsid w:val="003B3C07"/>
    <w:rsid w:val="003B3C45"/>
    <w:rsid w:val="003B3C46"/>
    <w:rsid w:val="003B3C6D"/>
    <w:rsid w:val="003B3C80"/>
    <w:rsid w:val="003B3C95"/>
    <w:rsid w:val="003B3CE6"/>
    <w:rsid w:val="003B3D04"/>
    <w:rsid w:val="003B3D18"/>
    <w:rsid w:val="003B3D30"/>
    <w:rsid w:val="003B3D40"/>
    <w:rsid w:val="003B3D70"/>
    <w:rsid w:val="003B3D7E"/>
    <w:rsid w:val="003B3DB1"/>
    <w:rsid w:val="003B3DD0"/>
    <w:rsid w:val="003B3DE6"/>
    <w:rsid w:val="003B3E9F"/>
    <w:rsid w:val="003B3EB2"/>
    <w:rsid w:val="003B3EC5"/>
    <w:rsid w:val="003B3EE1"/>
    <w:rsid w:val="003B3EEB"/>
    <w:rsid w:val="003B3EF7"/>
    <w:rsid w:val="003B3F52"/>
    <w:rsid w:val="003B3F7B"/>
    <w:rsid w:val="003B3F85"/>
    <w:rsid w:val="003B3F91"/>
    <w:rsid w:val="003B3FBC"/>
    <w:rsid w:val="003B3FC4"/>
    <w:rsid w:val="003B4023"/>
    <w:rsid w:val="003B4056"/>
    <w:rsid w:val="003B4058"/>
    <w:rsid w:val="003B4079"/>
    <w:rsid w:val="003B40CA"/>
    <w:rsid w:val="003B40F0"/>
    <w:rsid w:val="003B413B"/>
    <w:rsid w:val="003B4189"/>
    <w:rsid w:val="003B4191"/>
    <w:rsid w:val="003B4199"/>
    <w:rsid w:val="003B41A3"/>
    <w:rsid w:val="003B41BA"/>
    <w:rsid w:val="003B41C0"/>
    <w:rsid w:val="003B4246"/>
    <w:rsid w:val="003B425B"/>
    <w:rsid w:val="003B427A"/>
    <w:rsid w:val="003B4289"/>
    <w:rsid w:val="003B42E0"/>
    <w:rsid w:val="003B4316"/>
    <w:rsid w:val="003B4335"/>
    <w:rsid w:val="003B43A0"/>
    <w:rsid w:val="003B43C5"/>
    <w:rsid w:val="003B4436"/>
    <w:rsid w:val="003B444A"/>
    <w:rsid w:val="003B445F"/>
    <w:rsid w:val="003B447B"/>
    <w:rsid w:val="003B4508"/>
    <w:rsid w:val="003B451A"/>
    <w:rsid w:val="003B453C"/>
    <w:rsid w:val="003B45D3"/>
    <w:rsid w:val="003B4632"/>
    <w:rsid w:val="003B4689"/>
    <w:rsid w:val="003B46E8"/>
    <w:rsid w:val="003B4700"/>
    <w:rsid w:val="003B4715"/>
    <w:rsid w:val="003B4723"/>
    <w:rsid w:val="003B47DE"/>
    <w:rsid w:val="003B4808"/>
    <w:rsid w:val="003B4843"/>
    <w:rsid w:val="003B4849"/>
    <w:rsid w:val="003B489D"/>
    <w:rsid w:val="003B4906"/>
    <w:rsid w:val="003B4923"/>
    <w:rsid w:val="003B4946"/>
    <w:rsid w:val="003B4958"/>
    <w:rsid w:val="003B499A"/>
    <w:rsid w:val="003B49CA"/>
    <w:rsid w:val="003B4A18"/>
    <w:rsid w:val="003B4A37"/>
    <w:rsid w:val="003B4A49"/>
    <w:rsid w:val="003B4A79"/>
    <w:rsid w:val="003B4A88"/>
    <w:rsid w:val="003B4A97"/>
    <w:rsid w:val="003B4A98"/>
    <w:rsid w:val="003B4A9F"/>
    <w:rsid w:val="003B4B00"/>
    <w:rsid w:val="003B4B2F"/>
    <w:rsid w:val="003B4B30"/>
    <w:rsid w:val="003B4B82"/>
    <w:rsid w:val="003B4B86"/>
    <w:rsid w:val="003B4BA3"/>
    <w:rsid w:val="003B4BCD"/>
    <w:rsid w:val="003B4BF3"/>
    <w:rsid w:val="003B4C26"/>
    <w:rsid w:val="003B4C50"/>
    <w:rsid w:val="003B4C8D"/>
    <w:rsid w:val="003B4CA1"/>
    <w:rsid w:val="003B4CDA"/>
    <w:rsid w:val="003B4D38"/>
    <w:rsid w:val="003B4DE7"/>
    <w:rsid w:val="003B4DFC"/>
    <w:rsid w:val="003B4EBF"/>
    <w:rsid w:val="003B4F48"/>
    <w:rsid w:val="003B4F49"/>
    <w:rsid w:val="003B4F54"/>
    <w:rsid w:val="003B4F7E"/>
    <w:rsid w:val="003B4F97"/>
    <w:rsid w:val="003B4FB2"/>
    <w:rsid w:val="003B4FE3"/>
    <w:rsid w:val="003B5024"/>
    <w:rsid w:val="003B502D"/>
    <w:rsid w:val="003B5038"/>
    <w:rsid w:val="003B505E"/>
    <w:rsid w:val="003B5060"/>
    <w:rsid w:val="003B50AB"/>
    <w:rsid w:val="003B50B4"/>
    <w:rsid w:val="003B5175"/>
    <w:rsid w:val="003B5192"/>
    <w:rsid w:val="003B522E"/>
    <w:rsid w:val="003B5268"/>
    <w:rsid w:val="003B5270"/>
    <w:rsid w:val="003B528E"/>
    <w:rsid w:val="003B52A3"/>
    <w:rsid w:val="003B52CB"/>
    <w:rsid w:val="003B530D"/>
    <w:rsid w:val="003B5342"/>
    <w:rsid w:val="003B5388"/>
    <w:rsid w:val="003B53D0"/>
    <w:rsid w:val="003B53F3"/>
    <w:rsid w:val="003B5446"/>
    <w:rsid w:val="003B5477"/>
    <w:rsid w:val="003B548B"/>
    <w:rsid w:val="003B5499"/>
    <w:rsid w:val="003B54AC"/>
    <w:rsid w:val="003B54BC"/>
    <w:rsid w:val="003B551D"/>
    <w:rsid w:val="003B552C"/>
    <w:rsid w:val="003B5566"/>
    <w:rsid w:val="003B5588"/>
    <w:rsid w:val="003B55E0"/>
    <w:rsid w:val="003B5610"/>
    <w:rsid w:val="003B562F"/>
    <w:rsid w:val="003B5635"/>
    <w:rsid w:val="003B5636"/>
    <w:rsid w:val="003B563F"/>
    <w:rsid w:val="003B5644"/>
    <w:rsid w:val="003B5658"/>
    <w:rsid w:val="003B565D"/>
    <w:rsid w:val="003B5666"/>
    <w:rsid w:val="003B5669"/>
    <w:rsid w:val="003B5686"/>
    <w:rsid w:val="003B56BF"/>
    <w:rsid w:val="003B5774"/>
    <w:rsid w:val="003B577C"/>
    <w:rsid w:val="003B57A0"/>
    <w:rsid w:val="003B57B7"/>
    <w:rsid w:val="003B583B"/>
    <w:rsid w:val="003B5852"/>
    <w:rsid w:val="003B587A"/>
    <w:rsid w:val="003B588F"/>
    <w:rsid w:val="003B5898"/>
    <w:rsid w:val="003B58A0"/>
    <w:rsid w:val="003B5903"/>
    <w:rsid w:val="003B595C"/>
    <w:rsid w:val="003B5974"/>
    <w:rsid w:val="003B598A"/>
    <w:rsid w:val="003B599E"/>
    <w:rsid w:val="003B59A0"/>
    <w:rsid w:val="003B59AA"/>
    <w:rsid w:val="003B5A6A"/>
    <w:rsid w:val="003B5A88"/>
    <w:rsid w:val="003B5A9C"/>
    <w:rsid w:val="003B5AF6"/>
    <w:rsid w:val="003B5B4D"/>
    <w:rsid w:val="003B5B82"/>
    <w:rsid w:val="003B5BF6"/>
    <w:rsid w:val="003B5C0C"/>
    <w:rsid w:val="003B5C63"/>
    <w:rsid w:val="003B5D0B"/>
    <w:rsid w:val="003B5D44"/>
    <w:rsid w:val="003B5D52"/>
    <w:rsid w:val="003B5DEB"/>
    <w:rsid w:val="003B5E7F"/>
    <w:rsid w:val="003B5E88"/>
    <w:rsid w:val="003B5ECF"/>
    <w:rsid w:val="003B5F1E"/>
    <w:rsid w:val="003B5F1F"/>
    <w:rsid w:val="003B5F7D"/>
    <w:rsid w:val="003B602B"/>
    <w:rsid w:val="003B6083"/>
    <w:rsid w:val="003B60A6"/>
    <w:rsid w:val="003B60E1"/>
    <w:rsid w:val="003B60EC"/>
    <w:rsid w:val="003B60F4"/>
    <w:rsid w:val="003B60FB"/>
    <w:rsid w:val="003B6113"/>
    <w:rsid w:val="003B6160"/>
    <w:rsid w:val="003B618C"/>
    <w:rsid w:val="003B61BA"/>
    <w:rsid w:val="003B61F3"/>
    <w:rsid w:val="003B61F7"/>
    <w:rsid w:val="003B622F"/>
    <w:rsid w:val="003B6283"/>
    <w:rsid w:val="003B629B"/>
    <w:rsid w:val="003B6381"/>
    <w:rsid w:val="003B6390"/>
    <w:rsid w:val="003B641E"/>
    <w:rsid w:val="003B641F"/>
    <w:rsid w:val="003B642D"/>
    <w:rsid w:val="003B644F"/>
    <w:rsid w:val="003B64A9"/>
    <w:rsid w:val="003B64B3"/>
    <w:rsid w:val="003B64DB"/>
    <w:rsid w:val="003B65C0"/>
    <w:rsid w:val="003B660E"/>
    <w:rsid w:val="003B6633"/>
    <w:rsid w:val="003B665B"/>
    <w:rsid w:val="003B6663"/>
    <w:rsid w:val="003B6679"/>
    <w:rsid w:val="003B6690"/>
    <w:rsid w:val="003B66C7"/>
    <w:rsid w:val="003B66C8"/>
    <w:rsid w:val="003B67CC"/>
    <w:rsid w:val="003B6805"/>
    <w:rsid w:val="003B6854"/>
    <w:rsid w:val="003B685E"/>
    <w:rsid w:val="003B68D6"/>
    <w:rsid w:val="003B68D7"/>
    <w:rsid w:val="003B690E"/>
    <w:rsid w:val="003B6913"/>
    <w:rsid w:val="003B691E"/>
    <w:rsid w:val="003B693A"/>
    <w:rsid w:val="003B6941"/>
    <w:rsid w:val="003B694D"/>
    <w:rsid w:val="003B696C"/>
    <w:rsid w:val="003B697A"/>
    <w:rsid w:val="003B69AA"/>
    <w:rsid w:val="003B69C2"/>
    <w:rsid w:val="003B69CB"/>
    <w:rsid w:val="003B69F6"/>
    <w:rsid w:val="003B6A5A"/>
    <w:rsid w:val="003B6A5B"/>
    <w:rsid w:val="003B6AAD"/>
    <w:rsid w:val="003B6AB8"/>
    <w:rsid w:val="003B6AC6"/>
    <w:rsid w:val="003B6AD3"/>
    <w:rsid w:val="003B6AE1"/>
    <w:rsid w:val="003B6AE2"/>
    <w:rsid w:val="003B6AEB"/>
    <w:rsid w:val="003B6B10"/>
    <w:rsid w:val="003B6B2A"/>
    <w:rsid w:val="003B6B4C"/>
    <w:rsid w:val="003B6B51"/>
    <w:rsid w:val="003B6BA2"/>
    <w:rsid w:val="003B6BBF"/>
    <w:rsid w:val="003B6BCD"/>
    <w:rsid w:val="003B6BCE"/>
    <w:rsid w:val="003B6BD0"/>
    <w:rsid w:val="003B6BE3"/>
    <w:rsid w:val="003B6C11"/>
    <w:rsid w:val="003B6C15"/>
    <w:rsid w:val="003B6C65"/>
    <w:rsid w:val="003B6CC8"/>
    <w:rsid w:val="003B6CDB"/>
    <w:rsid w:val="003B6CFC"/>
    <w:rsid w:val="003B6D25"/>
    <w:rsid w:val="003B6D54"/>
    <w:rsid w:val="003B6DA8"/>
    <w:rsid w:val="003B6E4E"/>
    <w:rsid w:val="003B6E5D"/>
    <w:rsid w:val="003B6E6A"/>
    <w:rsid w:val="003B6E6F"/>
    <w:rsid w:val="003B6E7C"/>
    <w:rsid w:val="003B6F48"/>
    <w:rsid w:val="003B6F6C"/>
    <w:rsid w:val="003B6F72"/>
    <w:rsid w:val="003B6FA4"/>
    <w:rsid w:val="003B6FB2"/>
    <w:rsid w:val="003B7045"/>
    <w:rsid w:val="003B70B2"/>
    <w:rsid w:val="003B70C3"/>
    <w:rsid w:val="003B7123"/>
    <w:rsid w:val="003B7147"/>
    <w:rsid w:val="003B7159"/>
    <w:rsid w:val="003B71AA"/>
    <w:rsid w:val="003B71DB"/>
    <w:rsid w:val="003B723E"/>
    <w:rsid w:val="003B7288"/>
    <w:rsid w:val="003B729A"/>
    <w:rsid w:val="003B72B8"/>
    <w:rsid w:val="003B7304"/>
    <w:rsid w:val="003B731B"/>
    <w:rsid w:val="003B738B"/>
    <w:rsid w:val="003B73A3"/>
    <w:rsid w:val="003B73B4"/>
    <w:rsid w:val="003B73FE"/>
    <w:rsid w:val="003B7411"/>
    <w:rsid w:val="003B7471"/>
    <w:rsid w:val="003B74B8"/>
    <w:rsid w:val="003B74BA"/>
    <w:rsid w:val="003B74D9"/>
    <w:rsid w:val="003B74F5"/>
    <w:rsid w:val="003B7556"/>
    <w:rsid w:val="003B75CA"/>
    <w:rsid w:val="003B75CE"/>
    <w:rsid w:val="003B75D6"/>
    <w:rsid w:val="003B75F2"/>
    <w:rsid w:val="003B7617"/>
    <w:rsid w:val="003B7624"/>
    <w:rsid w:val="003B76C2"/>
    <w:rsid w:val="003B76C6"/>
    <w:rsid w:val="003B7734"/>
    <w:rsid w:val="003B773D"/>
    <w:rsid w:val="003B7767"/>
    <w:rsid w:val="003B77C8"/>
    <w:rsid w:val="003B77C9"/>
    <w:rsid w:val="003B784B"/>
    <w:rsid w:val="003B78C5"/>
    <w:rsid w:val="003B78D2"/>
    <w:rsid w:val="003B78E4"/>
    <w:rsid w:val="003B78E6"/>
    <w:rsid w:val="003B7908"/>
    <w:rsid w:val="003B7914"/>
    <w:rsid w:val="003B794F"/>
    <w:rsid w:val="003B7971"/>
    <w:rsid w:val="003B799F"/>
    <w:rsid w:val="003B79E4"/>
    <w:rsid w:val="003B79E9"/>
    <w:rsid w:val="003B7A91"/>
    <w:rsid w:val="003B7AB8"/>
    <w:rsid w:val="003B7AFC"/>
    <w:rsid w:val="003B7B09"/>
    <w:rsid w:val="003B7B52"/>
    <w:rsid w:val="003B7B78"/>
    <w:rsid w:val="003B7B93"/>
    <w:rsid w:val="003B7C7C"/>
    <w:rsid w:val="003B7C8A"/>
    <w:rsid w:val="003B7CA4"/>
    <w:rsid w:val="003B7CB3"/>
    <w:rsid w:val="003B7D10"/>
    <w:rsid w:val="003B7D1E"/>
    <w:rsid w:val="003B7D64"/>
    <w:rsid w:val="003B7D97"/>
    <w:rsid w:val="003B7D9E"/>
    <w:rsid w:val="003B7DEF"/>
    <w:rsid w:val="003B7E00"/>
    <w:rsid w:val="003B7E14"/>
    <w:rsid w:val="003B7E1B"/>
    <w:rsid w:val="003B7E23"/>
    <w:rsid w:val="003B7E3E"/>
    <w:rsid w:val="003B7E64"/>
    <w:rsid w:val="003B7E69"/>
    <w:rsid w:val="003B7E7C"/>
    <w:rsid w:val="003B7E81"/>
    <w:rsid w:val="003B7E83"/>
    <w:rsid w:val="003B7E8C"/>
    <w:rsid w:val="003B7E8D"/>
    <w:rsid w:val="003B7EB7"/>
    <w:rsid w:val="003B7EFB"/>
    <w:rsid w:val="003B7F47"/>
    <w:rsid w:val="003B7F4B"/>
    <w:rsid w:val="003B7F61"/>
    <w:rsid w:val="003B7F9C"/>
    <w:rsid w:val="003C0000"/>
    <w:rsid w:val="003C0024"/>
    <w:rsid w:val="003C002B"/>
    <w:rsid w:val="003C0035"/>
    <w:rsid w:val="003C003B"/>
    <w:rsid w:val="003C0080"/>
    <w:rsid w:val="003C00BB"/>
    <w:rsid w:val="003C00C3"/>
    <w:rsid w:val="003C00EB"/>
    <w:rsid w:val="003C010E"/>
    <w:rsid w:val="003C011B"/>
    <w:rsid w:val="003C014A"/>
    <w:rsid w:val="003C018C"/>
    <w:rsid w:val="003C018D"/>
    <w:rsid w:val="003C019F"/>
    <w:rsid w:val="003C01D7"/>
    <w:rsid w:val="003C021D"/>
    <w:rsid w:val="003C022D"/>
    <w:rsid w:val="003C0254"/>
    <w:rsid w:val="003C0266"/>
    <w:rsid w:val="003C026E"/>
    <w:rsid w:val="003C0271"/>
    <w:rsid w:val="003C0283"/>
    <w:rsid w:val="003C02B0"/>
    <w:rsid w:val="003C02C7"/>
    <w:rsid w:val="003C02DE"/>
    <w:rsid w:val="003C02E6"/>
    <w:rsid w:val="003C02F0"/>
    <w:rsid w:val="003C0380"/>
    <w:rsid w:val="003C03A2"/>
    <w:rsid w:val="003C0415"/>
    <w:rsid w:val="003C0452"/>
    <w:rsid w:val="003C04D8"/>
    <w:rsid w:val="003C04FA"/>
    <w:rsid w:val="003C0506"/>
    <w:rsid w:val="003C0512"/>
    <w:rsid w:val="003C0529"/>
    <w:rsid w:val="003C056F"/>
    <w:rsid w:val="003C059A"/>
    <w:rsid w:val="003C05B4"/>
    <w:rsid w:val="003C05CF"/>
    <w:rsid w:val="003C0600"/>
    <w:rsid w:val="003C061F"/>
    <w:rsid w:val="003C0623"/>
    <w:rsid w:val="003C0653"/>
    <w:rsid w:val="003C066F"/>
    <w:rsid w:val="003C06CA"/>
    <w:rsid w:val="003C06CE"/>
    <w:rsid w:val="003C06DC"/>
    <w:rsid w:val="003C078B"/>
    <w:rsid w:val="003C07C4"/>
    <w:rsid w:val="003C082E"/>
    <w:rsid w:val="003C0863"/>
    <w:rsid w:val="003C0865"/>
    <w:rsid w:val="003C0903"/>
    <w:rsid w:val="003C092F"/>
    <w:rsid w:val="003C094A"/>
    <w:rsid w:val="003C0A1F"/>
    <w:rsid w:val="003C0A68"/>
    <w:rsid w:val="003C0A6C"/>
    <w:rsid w:val="003C0A90"/>
    <w:rsid w:val="003C0A92"/>
    <w:rsid w:val="003C0ACF"/>
    <w:rsid w:val="003C0AFE"/>
    <w:rsid w:val="003C0B12"/>
    <w:rsid w:val="003C0B2E"/>
    <w:rsid w:val="003C0B5A"/>
    <w:rsid w:val="003C0C0F"/>
    <w:rsid w:val="003C0C34"/>
    <w:rsid w:val="003C0C69"/>
    <w:rsid w:val="003C0C78"/>
    <w:rsid w:val="003C0C9A"/>
    <w:rsid w:val="003C0CD6"/>
    <w:rsid w:val="003C0D05"/>
    <w:rsid w:val="003C0D1D"/>
    <w:rsid w:val="003C0D1F"/>
    <w:rsid w:val="003C0D3C"/>
    <w:rsid w:val="003C0D4A"/>
    <w:rsid w:val="003C0D57"/>
    <w:rsid w:val="003C0D6A"/>
    <w:rsid w:val="003C0D94"/>
    <w:rsid w:val="003C0DA1"/>
    <w:rsid w:val="003C0DB0"/>
    <w:rsid w:val="003C0DB5"/>
    <w:rsid w:val="003C0DF9"/>
    <w:rsid w:val="003C0E7E"/>
    <w:rsid w:val="003C0E95"/>
    <w:rsid w:val="003C0F2E"/>
    <w:rsid w:val="003C0F32"/>
    <w:rsid w:val="003C0F6D"/>
    <w:rsid w:val="003C0F8E"/>
    <w:rsid w:val="003C0FA5"/>
    <w:rsid w:val="003C0FCB"/>
    <w:rsid w:val="003C0FDD"/>
    <w:rsid w:val="003C0FEE"/>
    <w:rsid w:val="003C1011"/>
    <w:rsid w:val="003C1014"/>
    <w:rsid w:val="003C101B"/>
    <w:rsid w:val="003C102D"/>
    <w:rsid w:val="003C1030"/>
    <w:rsid w:val="003C1061"/>
    <w:rsid w:val="003C1073"/>
    <w:rsid w:val="003C10A1"/>
    <w:rsid w:val="003C10EA"/>
    <w:rsid w:val="003C10F7"/>
    <w:rsid w:val="003C111B"/>
    <w:rsid w:val="003C114B"/>
    <w:rsid w:val="003C115C"/>
    <w:rsid w:val="003C117C"/>
    <w:rsid w:val="003C1186"/>
    <w:rsid w:val="003C1187"/>
    <w:rsid w:val="003C119B"/>
    <w:rsid w:val="003C11A1"/>
    <w:rsid w:val="003C11CD"/>
    <w:rsid w:val="003C11DB"/>
    <w:rsid w:val="003C11F8"/>
    <w:rsid w:val="003C1227"/>
    <w:rsid w:val="003C122C"/>
    <w:rsid w:val="003C126D"/>
    <w:rsid w:val="003C1275"/>
    <w:rsid w:val="003C1281"/>
    <w:rsid w:val="003C12B0"/>
    <w:rsid w:val="003C12BA"/>
    <w:rsid w:val="003C12BC"/>
    <w:rsid w:val="003C12E0"/>
    <w:rsid w:val="003C12E1"/>
    <w:rsid w:val="003C12E8"/>
    <w:rsid w:val="003C1337"/>
    <w:rsid w:val="003C138F"/>
    <w:rsid w:val="003C1392"/>
    <w:rsid w:val="003C13A8"/>
    <w:rsid w:val="003C13C0"/>
    <w:rsid w:val="003C13CA"/>
    <w:rsid w:val="003C13F2"/>
    <w:rsid w:val="003C13FA"/>
    <w:rsid w:val="003C1421"/>
    <w:rsid w:val="003C1424"/>
    <w:rsid w:val="003C142E"/>
    <w:rsid w:val="003C143C"/>
    <w:rsid w:val="003C1460"/>
    <w:rsid w:val="003C1469"/>
    <w:rsid w:val="003C14B5"/>
    <w:rsid w:val="003C14B7"/>
    <w:rsid w:val="003C14C0"/>
    <w:rsid w:val="003C14CA"/>
    <w:rsid w:val="003C14D7"/>
    <w:rsid w:val="003C1502"/>
    <w:rsid w:val="003C151B"/>
    <w:rsid w:val="003C152E"/>
    <w:rsid w:val="003C1592"/>
    <w:rsid w:val="003C15A7"/>
    <w:rsid w:val="003C15C0"/>
    <w:rsid w:val="003C15F3"/>
    <w:rsid w:val="003C1608"/>
    <w:rsid w:val="003C160C"/>
    <w:rsid w:val="003C1653"/>
    <w:rsid w:val="003C167C"/>
    <w:rsid w:val="003C16AE"/>
    <w:rsid w:val="003C16FE"/>
    <w:rsid w:val="003C171E"/>
    <w:rsid w:val="003C173D"/>
    <w:rsid w:val="003C177A"/>
    <w:rsid w:val="003C1788"/>
    <w:rsid w:val="003C1793"/>
    <w:rsid w:val="003C17C0"/>
    <w:rsid w:val="003C17C4"/>
    <w:rsid w:val="003C1809"/>
    <w:rsid w:val="003C1824"/>
    <w:rsid w:val="003C1831"/>
    <w:rsid w:val="003C18A1"/>
    <w:rsid w:val="003C193D"/>
    <w:rsid w:val="003C1942"/>
    <w:rsid w:val="003C1951"/>
    <w:rsid w:val="003C1963"/>
    <w:rsid w:val="003C19DD"/>
    <w:rsid w:val="003C1A1F"/>
    <w:rsid w:val="003C1A22"/>
    <w:rsid w:val="003C1A3D"/>
    <w:rsid w:val="003C1A3F"/>
    <w:rsid w:val="003C1A4C"/>
    <w:rsid w:val="003C1AA6"/>
    <w:rsid w:val="003C1AAE"/>
    <w:rsid w:val="003C1AE1"/>
    <w:rsid w:val="003C1AF1"/>
    <w:rsid w:val="003C1B57"/>
    <w:rsid w:val="003C1BDC"/>
    <w:rsid w:val="003C1BE7"/>
    <w:rsid w:val="003C1C15"/>
    <w:rsid w:val="003C1C40"/>
    <w:rsid w:val="003C1C54"/>
    <w:rsid w:val="003C1C99"/>
    <w:rsid w:val="003C1CE4"/>
    <w:rsid w:val="003C1CF4"/>
    <w:rsid w:val="003C1D28"/>
    <w:rsid w:val="003C1D2C"/>
    <w:rsid w:val="003C1DDF"/>
    <w:rsid w:val="003C1E0A"/>
    <w:rsid w:val="003C1ECD"/>
    <w:rsid w:val="003C1EF6"/>
    <w:rsid w:val="003C1EFC"/>
    <w:rsid w:val="003C1F69"/>
    <w:rsid w:val="003C1F7F"/>
    <w:rsid w:val="003C1F95"/>
    <w:rsid w:val="003C1F97"/>
    <w:rsid w:val="003C1FA4"/>
    <w:rsid w:val="003C1FB4"/>
    <w:rsid w:val="003C1FD2"/>
    <w:rsid w:val="003C1FEF"/>
    <w:rsid w:val="003C1FF1"/>
    <w:rsid w:val="003C2009"/>
    <w:rsid w:val="003C2022"/>
    <w:rsid w:val="003C202B"/>
    <w:rsid w:val="003C2043"/>
    <w:rsid w:val="003C2078"/>
    <w:rsid w:val="003C2082"/>
    <w:rsid w:val="003C2087"/>
    <w:rsid w:val="003C20AE"/>
    <w:rsid w:val="003C210B"/>
    <w:rsid w:val="003C2116"/>
    <w:rsid w:val="003C21BF"/>
    <w:rsid w:val="003C21C2"/>
    <w:rsid w:val="003C21D7"/>
    <w:rsid w:val="003C2212"/>
    <w:rsid w:val="003C228B"/>
    <w:rsid w:val="003C228D"/>
    <w:rsid w:val="003C22D8"/>
    <w:rsid w:val="003C234A"/>
    <w:rsid w:val="003C237B"/>
    <w:rsid w:val="003C23C7"/>
    <w:rsid w:val="003C2409"/>
    <w:rsid w:val="003C2433"/>
    <w:rsid w:val="003C24B4"/>
    <w:rsid w:val="003C24E0"/>
    <w:rsid w:val="003C24EF"/>
    <w:rsid w:val="003C24F8"/>
    <w:rsid w:val="003C2599"/>
    <w:rsid w:val="003C25BD"/>
    <w:rsid w:val="003C25CA"/>
    <w:rsid w:val="003C25D7"/>
    <w:rsid w:val="003C25FF"/>
    <w:rsid w:val="003C2609"/>
    <w:rsid w:val="003C267B"/>
    <w:rsid w:val="003C26B7"/>
    <w:rsid w:val="003C26D2"/>
    <w:rsid w:val="003C26DB"/>
    <w:rsid w:val="003C2761"/>
    <w:rsid w:val="003C2795"/>
    <w:rsid w:val="003C27B6"/>
    <w:rsid w:val="003C27D1"/>
    <w:rsid w:val="003C2816"/>
    <w:rsid w:val="003C284A"/>
    <w:rsid w:val="003C286D"/>
    <w:rsid w:val="003C28A3"/>
    <w:rsid w:val="003C28B5"/>
    <w:rsid w:val="003C28C6"/>
    <w:rsid w:val="003C28E2"/>
    <w:rsid w:val="003C2930"/>
    <w:rsid w:val="003C296F"/>
    <w:rsid w:val="003C2997"/>
    <w:rsid w:val="003C29DC"/>
    <w:rsid w:val="003C2A07"/>
    <w:rsid w:val="003C2A0D"/>
    <w:rsid w:val="003C2A20"/>
    <w:rsid w:val="003C2A4D"/>
    <w:rsid w:val="003C2A67"/>
    <w:rsid w:val="003C2AA8"/>
    <w:rsid w:val="003C2AE0"/>
    <w:rsid w:val="003C2AEC"/>
    <w:rsid w:val="003C2B0B"/>
    <w:rsid w:val="003C2B49"/>
    <w:rsid w:val="003C2B56"/>
    <w:rsid w:val="003C2B9B"/>
    <w:rsid w:val="003C2BD9"/>
    <w:rsid w:val="003C2BFF"/>
    <w:rsid w:val="003C2C14"/>
    <w:rsid w:val="003C2C23"/>
    <w:rsid w:val="003C2C40"/>
    <w:rsid w:val="003C2C7E"/>
    <w:rsid w:val="003C2C90"/>
    <w:rsid w:val="003C2C96"/>
    <w:rsid w:val="003C2CA0"/>
    <w:rsid w:val="003C2CFA"/>
    <w:rsid w:val="003C2D20"/>
    <w:rsid w:val="003C2D22"/>
    <w:rsid w:val="003C2D2F"/>
    <w:rsid w:val="003C2D57"/>
    <w:rsid w:val="003C2DA2"/>
    <w:rsid w:val="003C2DBD"/>
    <w:rsid w:val="003C2DCB"/>
    <w:rsid w:val="003C2E12"/>
    <w:rsid w:val="003C2E2D"/>
    <w:rsid w:val="003C2E37"/>
    <w:rsid w:val="003C2E68"/>
    <w:rsid w:val="003C2EDE"/>
    <w:rsid w:val="003C2EFA"/>
    <w:rsid w:val="003C2F16"/>
    <w:rsid w:val="003C2F29"/>
    <w:rsid w:val="003C2F41"/>
    <w:rsid w:val="003C2F78"/>
    <w:rsid w:val="003C2F81"/>
    <w:rsid w:val="003C2F87"/>
    <w:rsid w:val="003C2FBA"/>
    <w:rsid w:val="003C2FD9"/>
    <w:rsid w:val="003C2FF3"/>
    <w:rsid w:val="003C3006"/>
    <w:rsid w:val="003C3031"/>
    <w:rsid w:val="003C3062"/>
    <w:rsid w:val="003C3070"/>
    <w:rsid w:val="003C30F9"/>
    <w:rsid w:val="003C3110"/>
    <w:rsid w:val="003C3126"/>
    <w:rsid w:val="003C316F"/>
    <w:rsid w:val="003C3184"/>
    <w:rsid w:val="003C31D3"/>
    <w:rsid w:val="003C323F"/>
    <w:rsid w:val="003C324E"/>
    <w:rsid w:val="003C3262"/>
    <w:rsid w:val="003C327F"/>
    <w:rsid w:val="003C332A"/>
    <w:rsid w:val="003C334E"/>
    <w:rsid w:val="003C3369"/>
    <w:rsid w:val="003C3384"/>
    <w:rsid w:val="003C339D"/>
    <w:rsid w:val="003C33B1"/>
    <w:rsid w:val="003C33BD"/>
    <w:rsid w:val="003C3405"/>
    <w:rsid w:val="003C340F"/>
    <w:rsid w:val="003C3432"/>
    <w:rsid w:val="003C3449"/>
    <w:rsid w:val="003C3474"/>
    <w:rsid w:val="003C3476"/>
    <w:rsid w:val="003C3480"/>
    <w:rsid w:val="003C34A3"/>
    <w:rsid w:val="003C34AA"/>
    <w:rsid w:val="003C34C6"/>
    <w:rsid w:val="003C34EA"/>
    <w:rsid w:val="003C354B"/>
    <w:rsid w:val="003C3568"/>
    <w:rsid w:val="003C358A"/>
    <w:rsid w:val="003C35C8"/>
    <w:rsid w:val="003C35D2"/>
    <w:rsid w:val="003C362F"/>
    <w:rsid w:val="003C366D"/>
    <w:rsid w:val="003C36BB"/>
    <w:rsid w:val="003C36D0"/>
    <w:rsid w:val="003C36EE"/>
    <w:rsid w:val="003C371A"/>
    <w:rsid w:val="003C3772"/>
    <w:rsid w:val="003C379E"/>
    <w:rsid w:val="003C37A3"/>
    <w:rsid w:val="003C37A7"/>
    <w:rsid w:val="003C37CA"/>
    <w:rsid w:val="003C3836"/>
    <w:rsid w:val="003C387C"/>
    <w:rsid w:val="003C3893"/>
    <w:rsid w:val="003C38CB"/>
    <w:rsid w:val="003C38DD"/>
    <w:rsid w:val="003C38E7"/>
    <w:rsid w:val="003C394F"/>
    <w:rsid w:val="003C3976"/>
    <w:rsid w:val="003C39C0"/>
    <w:rsid w:val="003C39C7"/>
    <w:rsid w:val="003C39E2"/>
    <w:rsid w:val="003C39E7"/>
    <w:rsid w:val="003C3A21"/>
    <w:rsid w:val="003C3A26"/>
    <w:rsid w:val="003C3A69"/>
    <w:rsid w:val="003C3AF7"/>
    <w:rsid w:val="003C3B21"/>
    <w:rsid w:val="003C3B69"/>
    <w:rsid w:val="003C3C16"/>
    <w:rsid w:val="003C3D28"/>
    <w:rsid w:val="003C3D4F"/>
    <w:rsid w:val="003C3D62"/>
    <w:rsid w:val="003C3D7C"/>
    <w:rsid w:val="003C3D7D"/>
    <w:rsid w:val="003C3DAA"/>
    <w:rsid w:val="003C3DB8"/>
    <w:rsid w:val="003C3DDC"/>
    <w:rsid w:val="003C3DE4"/>
    <w:rsid w:val="003C3E18"/>
    <w:rsid w:val="003C3E2C"/>
    <w:rsid w:val="003C3E54"/>
    <w:rsid w:val="003C3EB3"/>
    <w:rsid w:val="003C3EE5"/>
    <w:rsid w:val="003C3F36"/>
    <w:rsid w:val="003C3F50"/>
    <w:rsid w:val="003C3F51"/>
    <w:rsid w:val="003C3FB5"/>
    <w:rsid w:val="003C3FD6"/>
    <w:rsid w:val="003C3FE5"/>
    <w:rsid w:val="003C401D"/>
    <w:rsid w:val="003C403F"/>
    <w:rsid w:val="003C407F"/>
    <w:rsid w:val="003C4125"/>
    <w:rsid w:val="003C4151"/>
    <w:rsid w:val="003C41E1"/>
    <w:rsid w:val="003C41E7"/>
    <w:rsid w:val="003C41EC"/>
    <w:rsid w:val="003C421D"/>
    <w:rsid w:val="003C4231"/>
    <w:rsid w:val="003C4243"/>
    <w:rsid w:val="003C428F"/>
    <w:rsid w:val="003C42B1"/>
    <w:rsid w:val="003C42CC"/>
    <w:rsid w:val="003C4316"/>
    <w:rsid w:val="003C43D9"/>
    <w:rsid w:val="003C4418"/>
    <w:rsid w:val="003C4430"/>
    <w:rsid w:val="003C443F"/>
    <w:rsid w:val="003C4461"/>
    <w:rsid w:val="003C44B1"/>
    <w:rsid w:val="003C44C2"/>
    <w:rsid w:val="003C44EC"/>
    <w:rsid w:val="003C4510"/>
    <w:rsid w:val="003C452C"/>
    <w:rsid w:val="003C453D"/>
    <w:rsid w:val="003C4566"/>
    <w:rsid w:val="003C468C"/>
    <w:rsid w:val="003C46B9"/>
    <w:rsid w:val="003C46BE"/>
    <w:rsid w:val="003C46E2"/>
    <w:rsid w:val="003C4736"/>
    <w:rsid w:val="003C4762"/>
    <w:rsid w:val="003C4777"/>
    <w:rsid w:val="003C479E"/>
    <w:rsid w:val="003C47A4"/>
    <w:rsid w:val="003C47BC"/>
    <w:rsid w:val="003C47C7"/>
    <w:rsid w:val="003C4816"/>
    <w:rsid w:val="003C4834"/>
    <w:rsid w:val="003C484F"/>
    <w:rsid w:val="003C4886"/>
    <w:rsid w:val="003C48AD"/>
    <w:rsid w:val="003C491F"/>
    <w:rsid w:val="003C4958"/>
    <w:rsid w:val="003C499B"/>
    <w:rsid w:val="003C49A0"/>
    <w:rsid w:val="003C49D3"/>
    <w:rsid w:val="003C4A16"/>
    <w:rsid w:val="003C4A1E"/>
    <w:rsid w:val="003C4A24"/>
    <w:rsid w:val="003C4A45"/>
    <w:rsid w:val="003C4A68"/>
    <w:rsid w:val="003C4A72"/>
    <w:rsid w:val="003C4AB1"/>
    <w:rsid w:val="003C4B03"/>
    <w:rsid w:val="003C4B0E"/>
    <w:rsid w:val="003C4B11"/>
    <w:rsid w:val="003C4B16"/>
    <w:rsid w:val="003C4B61"/>
    <w:rsid w:val="003C4B75"/>
    <w:rsid w:val="003C4B96"/>
    <w:rsid w:val="003C4B9E"/>
    <w:rsid w:val="003C4BC0"/>
    <w:rsid w:val="003C4C0B"/>
    <w:rsid w:val="003C4C2C"/>
    <w:rsid w:val="003C4C44"/>
    <w:rsid w:val="003C4C5A"/>
    <w:rsid w:val="003C4D25"/>
    <w:rsid w:val="003C4D6B"/>
    <w:rsid w:val="003C4D94"/>
    <w:rsid w:val="003C4DAC"/>
    <w:rsid w:val="003C4DB9"/>
    <w:rsid w:val="003C4DC1"/>
    <w:rsid w:val="003C4DE4"/>
    <w:rsid w:val="003C4E13"/>
    <w:rsid w:val="003C4E19"/>
    <w:rsid w:val="003C4E25"/>
    <w:rsid w:val="003C4E34"/>
    <w:rsid w:val="003C4E38"/>
    <w:rsid w:val="003C4E4F"/>
    <w:rsid w:val="003C4E72"/>
    <w:rsid w:val="003C4E8F"/>
    <w:rsid w:val="003C4EA4"/>
    <w:rsid w:val="003C4EEA"/>
    <w:rsid w:val="003C4EF5"/>
    <w:rsid w:val="003C4F3E"/>
    <w:rsid w:val="003C4FD5"/>
    <w:rsid w:val="003C501C"/>
    <w:rsid w:val="003C5028"/>
    <w:rsid w:val="003C5038"/>
    <w:rsid w:val="003C5042"/>
    <w:rsid w:val="003C5044"/>
    <w:rsid w:val="003C5055"/>
    <w:rsid w:val="003C5070"/>
    <w:rsid w:val="003C5081"/>
    <w:rsid w:val="003C509A"/>
    <w:rsid w:val="003C50DD"/>
    <w:rsid w:val="003C5100"/>
    <w:rsid w:val="003C511B"/>
    <w:rsid w:val="003C5156"/>
    <w:rsid w:val="003C51C0"/>
    <w:rsid w:val="003C51D8"/>
    <w:rsid w:val="003C51E1"/>
    <w:rsid w:val="003C51EB"/>
    <w:rsid w:val="003C51F4"/>
    <w:rsid w:val="003C522B"/>
    <w:rsid w:val="003C5257"/>
    <w:rsid w:val="003C5265"/>
    <w:rsid w:val="003C5269"/>
    <w:rsid w:val="003C52A4"/>
    <w:rsid w:val="003C52AD"/>
    <w:rsid w:val="003C52D4"/>
    <w:rsid w:val="003C52E5"/>
    <w:rsid w:val="003C52E8"/>
    <w:rsid w:val="003C52F3"/>
    <w:rsid w:val="003C5306"/>
    <w:rsid w:val="003C531A"/>
    <w:rsid w:val="003C532C"/>
    <w:rsid w:val="003C5378"/>
    <w:rsid w:val="003C53B1"/>
    <w:rsid w:val="003C53EA"/>
    <w:rsid w:val="003C543B"/>
    <w:rsid w:val="003C5452"/>
    <w:rsid w:val="003C548E"/>
    <w:rsid w:val="003C54F0"/>
    <w:rsid w:val="003C551B"/>
    <w:rsid w:val="003C555A"/>
    <w:rsid w:val="003C5563"/>
    <w:rsid w:val="003C5656"/>
    <w:rsid w:val="003C565D"/>
    <w:rsid w:val="003C566F"/>
    <w:rsid w:val="003C5697"/>
    <w:rsid w:val="003C56A6"/>
    <w:rsid w:val="003C56AB"/>
    <w:rsid w:val="003C56AE"/>
    <w:rsid w:val="003C56D2"/>
    <w:rsid w:val="003C56E1"/>
    <w:rsid w:val="003C56FC"/>
    <w:rsid w:val="003C5708"/>
    <w:rsid w:val="003C575A"/>
    <w:rsid w:val="003C578D"/>
    <w:rsid w:val="003C5792"/>
    <w:rsid w:val="003C57DD"/>
    <w:rsid w:val="003C5845"/>
    <w:rsid w:val="003C589D"/>
    <w:rsid w:val="003C58A8"/>
    <w:rsid w:val="003C58D9"/>
    <w:rsid w:val="003C58F0"/>
    <w:rsid w:val="003C590B"/>
    <w:rsid w:val="003C5917"/>
    <w:rsid w:val="003C591C"/>
    <w:rsid w:val="003C5939"/>
    <w:rsid w:val="003C5961"/>
    <w:rsid w:val="003C596E"/>
    <w:rsid w:val="003C5974"/>
    <w:rsid w:val="003C598F"/>
    <w:rsid w:val="003C5993"/>
    <w:rsid w:val="003C5A08"/>
    <w:rsid w:val="003C5A36"/>
    <w:rsid w:val="003C5ACF"/>
    <w:rsid w:val="003C5AE0"/>
    <w:rsid w:val="003C5B39"/>
    <w:rsid w:val="003C5B75"/>
    <w:rsid w:val="003C5BAF"/>
    <w:rsid w:val="003C5BD5"/>
    <w:rsid w:val="003C5C05"/>
    <w:rsid w:val="003C5C1C"/>
    <w:rsid w:val="003C5C5C"/>
    <w:rsid w:val="003C5C83"/>
    <w:rsid w:val="003C5C93"/>
    <w:rsid w:val="003C5C9C"/>
    <w:rsid w:val="003C5CE9"/>
    <w:rsid w:val="003C5D9E"/>
    <w:rsid w:val="003C5DC2"/>
    <w:rsid w:val="003C5DCE"/>
    <w:rsid w:val="003C5DF8"/>
    <w:rsid w:val="003C5E18"/>
    <w:rsid w:val="003C5E1E"/>
    <w:rsid w:val="003C5E1F"/>
    <w:rsid w:val="003C5E81"/>
    <w:rsid w:val="003C5E96"/>
    <w:rsid w:val="003C5EC0"/>
    <w:rsid w:val="003C5ECC"/>
    <w:rsid w:val="003C5ED7"/>
    <w:rsid w:val="003C5F1A"/>
    <w:rsid w:val="003C5F42"/>
    <w:rsid w:val="003C5F5F"/>
    <w:rsid w:val="003C5FA0"/>
    <w:rsid w:val="003C5FDA"/>
    <w:rsid w:val="003C5FDC"/>
    <w:rsid w:val="003C5FDE"/>
    <w:rsid w:val="003C602D"/>
    <w:rsid w:val="003C6041"/>
    <w:rsid w:val="003C607F"/>
    <w:rsid w:val="003C60A0"/>
    <w:rsid w:val="003C60FF"/>
    <w:rsid w:val="003C6145"/>
    <w:rsid w:val="003C619C"/>
    <w:rsid w:val="003C61D8"/>
    <w:rsid w:val="003C620D"/>
    <w:rsid w:val="003C62A6"/>
    <w:rsid w:val="003C62A7"/>
    <w:rsid w:val="003C62CF"/>
    <w:rsid w:val="003C6318"/>
    <w:rsid w:val="003C632B"/>
    <w:rsid w:val="003C632F"/>
    <w:rsid w:val="003C633A"/>
    <w:rsid w:val="003C636C"/>
    <w:rsid w:val="003C63A8"/>
    <w:rsid w:val="003C63AC"/>
    <w:rsid w:val="003C63B4"/>
    <w:rsid w:val="003C6449"/>
    <w:rsid w:val="003C6500"/>
    <w:rsid w:val="003C6534"/>
    <w:rsid w:val="003C6568"/>
    <w:rsid w:val="003C6570"/>
    <w:rsid w:val="003C657C"/>
    <w:rsid w:val="003C65E2"/>
    <w:rsid w:val="003C660A"/>
    <w:rsid w:val="003C664C"/>
    <w:rsid w:val="003C6655"/>
    <w:rsid w:val="003C66A5"/>
    <w:rsid w:val="003C66C1"/>
    <w:rsid w:val="003C6714"/>
    <w:rsid w:val="003C671A"/>
    <w:rsid w:val="003C675B"/>
    <w:rsid w:val="003C67D9"/>
    <w:rsid w:val="003C682B"/>
    <w:rsid w:val="003C6831"/>
    <w:rsid w:val="003C6863"/>
    <w:rsid w:val="003C6869"/>
    <w:rsid w:val="003C687A"/>
    <w:rsid w:val="003C68B6"/>
    <w:rsid w:val="003C6909"/>
    <w:rsid w:val="003C691A"/>
    <w:rsid w:val="003C6924"/>
    <w:rsid w:val="003C695D"/>
    <w:rsid w:val="003C6976"/>
    <w:rsid w:val="003C69F2"/>
    <w:rsid w:val="003C69FD"/>
    <w:rsid w:val="003C6A42"/>
    <w:rsid w:val="003C6A43"/>
    <w:rsid w:val="003C6A81"/>
    <w:rsid w:val="003C6A89"/>
    <w:rsid w:val="003C6ADE"/>
    <w:rsid w:val="003C6BB4"/>
    <w:rsid w:val="003C6BF3"/>
    <w:rsid w:val="003C6C26"/>
    <w:rsid w:val="003C6C2E"/>
    <w:rsid w:val="003C6C52"/>
    <w:rsid w:val="003C6C55"/>
    <w:rsid w:val="003C6CB1"/>
    <w:rsid w:val="003C6CC6"/>
    <w:rsid w:val="003C6CCA"/>
    <w:rsid w:val="003C6CE2"/>
    <w:rsid w:val="003C6CEA"/>
    <w:rsid w:val="003C6D2C"/>
    <w:rsid w:val="003C6D8F"/>
    <w:rsid w:val="003C6DC5"/>
    <w:rsid w:val="003C6E0E"/>
    <w:rsid w:val="003C6E37"/>
    <w:rsid w:val="003C6E49"/>
    <w:rsid w:val="003C6ED3"/>
    <w:rsid w:val="003C6EDF"/>
    <w:rsid w:val="003C6EFC"/>
    <w:rsid w:val="003C6F0E"/>
    <w:rsid w:val="003C6F3A"/>
    <w:rsid w:val="003C6F5C"/>
    <w:rsid w:val="003C6FE2"/>
    <w:rsid w:val="003C7002"/>
    <w:rsid w:val="003C7021"/>
    <w:rsid w:val="003C7028"/>
    <w:rsid w:val="003C7043"/>
    <w:rsid w:val="003C704B"/>
    <w:rsid w:val="003C70C8"/>
    <w:rsid w:val="003C70E1"/>
    <w:rsid w:val="003C70FA"/>
    <w:rsid w:val="003C7115"/>
    <w:rsid w:val="003C7142"/>
    <w:rsid w:val="003C725C"/>
    <w:rsid w:val="003C72AB"/>
    <w:rsid w:val="003C72C2"/>
    <w:rsid w:val="003C72C7"/>
    <w:rsid w:val="003C72D6"/>
    <w:rsid w:val="003C730D"/>
    <w:rsid w:val="003C7325"/>
    <w:rsid w:val="003C7337"/>
    <w:rsid w:val="003C736D"/>
    <w:rsid w:val="003C73E3"/>
    <w:rsid w:val="003C7445"/>
    <w:rsid w:val="003C7446"/>
    <w:rsid w:val="003C7518"/>
    <w:rsid w:val="003C751A"/>
    <w:rsid w:val="003C7547"/>
    <w:rsid w:val="003C760E"/>
    <w:rsid w:val="003C7651"/>
    <w:rsid w:val="003C7686"/>
    <w:rsid w:val="003C76C7"/>
    <w:rsid w:val="003C76FD"/>
    <w:rsid w:val="003C7766"/>
    <w:rsid w:val="003C7785"/>
    <w:rsid w:val="003C7796"/>
    <w:rsid w:val="003C7797"/>
    <w:rsid w:val="003C77DB"/>
    <w:rsid w:val="003C781C"/>
    <w:rsid w:val="003C7852"/>
    <w:rsid w:val="003C785F"/>
    <w:rsid w:val="003C7867"/>
    <w:rsid w:val="003C78D9"/>
    <w:rsid w:val="003C78DB"/>
    <w:rsid w:val="003C7907"/>
    <w:rsid w:val="003C7924"/>
    <w:rsid w:val="003C7961"/>
    <w:rsid w:val="003C798D"/>
    <w:rsid w:val="003C799D"/>
    <w:rsid w:val="003C7A05"/>
    <w:rsid w:val="003C7A16"/>
    <w:rsid w:val="003C7A1D"/>
    <w:rsid w:val="003C7A33"/>
    <w:rsid w:val="003C7AD3"/>
    <w:rsid w:val="003C7B27"/>
    <w:rsid w:val="003C7B70"/>
    <w:rsid w:val="003C7B73"/>
    <w:rsid w:val="003C7B79"/>
    <w:rsid w:val="003C7B87"/>
    <w:rsid w:val="003C7B91"/>
    <w:rsid w:val="003C7BC1"/>
    <w:rsid w:val="003C7BD0"/>
    <w:rsid w:val="003C7BD7"/>
    <w:rsid w:val="003C7BE8"/>
    <w:rsid w:val="003C7C02"/>
    <w:rsid w:val="003C7C21"/>
    <w:rsid w:val="003C7C25"/>
    <w:rsid w:val="003C7C59"/>
    <w:rsid w:val="003C7C66"/>
    <w:rsid w:val="003C7CBB"/>
    <w:rsid w:val="003C7CBD"/>
    <w:rsid w:val="003C7CDD"/>
    <w:rsid w:val="003C7D24"/>
    <w:rsid w:val="003C7D34"/>
    <w:rsid w:val="003C7D61"/>
    <w:rsid w:val="003C7D89"/>
    <w:rsid w:val="003C7DC6"/>
    <w:rsid w:val="003C7E1C"/>
    <w:rsid w:val="003C7E24"/>
    <w:rsid w:val="003C7E4C"/>
    <w:rsid w:val="003C7E9F"/>
    <w:rsid w:val="003C7F09"/>
    <w:rsid w:val="003C7F1C"/>
    <w:rsid w:val="003C7F32"/>
    <w:rsid w:val="003C7F3A"/>
    <w:rsid w:val="003C7F4D"/>
    <w:rsid w:val="003C7FE0"/>
    <w:rsid w:val="003C7FFB"/>
    <w:rsid w:val="003D001E"/>
    <w:rsid w:val="003D003F"/>
    <w:rsid w:val="003D0057"/>
    <w:rsid w:val="003D0065"/>
    <w:rsid w:val="003D006B"/>
    <w:rsid w:val="003D00ED"/>
    <w:rsid w:val="003D0108"/>
    <w:rsid w:val="003D010D"/>
    <w:rsid w:val="003D0117"/>
    <w:rsid w:val="003D0147"/>
    <w:rsid w:val="003D0159"/>
    <w:rsid w:val="003D0161"/>
    <w:rsid w:val="003D01A2"/>
    <w:rsid w:val="003D01B5"/>
    <w:rsid w:val="003D01BB"/>
    <w:rsid w:val="003D022B"/>
    <w:rsid w:val="003D0246"/>
    <w:rsid w:val="003D027C"/>
    <w:rsid w:val="003D027E"/>
    <w:rsid w:val="003D02C6"/>
    <w:rsid w:val="003D0330"/>
    <w:rsid w:val="003D0334"/>
    <w:rsid w:val="003D0342"/>
    <w:rsid w:val="003D0364"/>
    <w:rsid w:val="003D039A"/>
    <w:rsid w:val="003D03F6"/>
    <w:rsid w:val="003D03F9"/>
    <w:rsid w:val="003D046A"/>
    <w:rsid w:val="003D04BD"/>
    <w:rsid w:val="003D04F2"/>
    <w:rsid w:val="003D0533"/>
    <w:rsid w:val="003D0573"/>
    <w:rsid w:val="003D0587"/>
    <w:rsid w:val="003D061F"/>
    <w:rsid w:val="003D0641"/>
    <w:rsid w:val="003D06B0"/>
    <w:rsid w:val="003D06F5"/>
    <w:rsid w:val="003D06FE"/>
    <w:rsid w:val="003D070A"/>
    <w:rsid w:val="003D0712"/>
    <w:rsid w:val="003D075B"/>
    <w:rsid w:val="003D086C"/>
    <w:rsid w:val="003D0947"/>
    <w:rsid w:val="003D096F"/>
    <w:rsid w:val="003D0998"/>
    <w:rsid w:val="003D099C"/>
    <w:rsid w:val="003D09B9"/>
    <w:rsid w:val="003D09D3"/>
    <w:rsid w:val="003D0A46"/>
    <w:rsid w:val="003D0A74"/>
    <w:rsid w:val="003D0A97"/>
    <w:rsid w:val="003D0AD3"/>
    <w:rsid w:val="003D0B51"/>
    <w:rsid w:val="003D0BB0"/>
    <w:rsid w:val="003D0BF0"/>
    <w:rsid w:val="003D0C20"/>
    <w:rsid w:val="003D0C53"/>
    <w:rsid w:val="003D0C82"/>
    <w:rsid w:val="003D0C87"/>
    <w:rsid w:val="003D0D04"/>
    <w:rsid w:val="003D0D26"/>
    <w:rsid w:val="003D0D3F"/>
    <w:rsid w:val="003D0D4C"/>
    <w:rsid w:val="003D0D5C"/>
    <w:rsid w:val="003D0E11"/>
    <w:rsid w:val="003D0E2A"/>
    <w:rsid w:val="003D0E5A"/>
    <w:rsid w:val="003D0E5D"/>
    <w:rsid w:val="003D0E6C"/>
    <w:rsid w:val="003D0E85"/>
    <w:rsid w:val="003D0EB5"/>
    <w:rsid w:val="003D0EC3"/>
    <w:rsid w:val="003D0F3B"/>
    <w:rsid w:val="003D0FB5"/>
    <w:rsid w:val="003D0FD4"/>
    <w:rsid w:val="003D0FE9"/>
    <w:rsid w:val="003D1095"/>
    <w:rsid w:val="003D10EA"/>
    <w:rsid w:val="003D1125"/>
    <w:rsid w:val="003D1141"/>
    <w:rsid w:val="003D1163"/>
    <w:rsid w:val="003D11A9"/>
    <w:rsid w:val="003D11F3"/>
    <w:rsid w:val="003D1209"/>
    <w:rsid w:val="003D1272"/>
    <w:rsid w:val="003D128D"/>
    <w:rsid w:val="003D12A2"/>
    <w:rsid w:val="003D12B2"/>
    <w:rsid w:val="003D12FA"/>
    <w:rsid w:val="003D1313"/>
    <w:rsid w:val="003D1315"/>
    <w:rsid w:val="003D132F"/>
    <w:rsid w:val="003D1342"/>
    <w:rsid w:val="003D134E"/>
    <w:rsid w:val="003D137E"/>
    <w:rsid w:val="003D13C3"/>
    <w:rsid w:val="003D13EC"/>
    <w:rsid w:val="003D1433"/>
    <w:rsid w:val="003D14AB"/>
    <w:rsid w:val="003D14DF"/>
    <w:rsid w:val="003D14EE"/>
    <w:rsid w:val="003D15C3"/>
    <w:rsid w:val="003D1616"/>
    <w:rsid w:val="003D1668"/>
    <w:rsid w:val="003D169F"/>
    <w:rsid w:val="003D16B3"/>
    <w:rsid w:val="003D16BF"/>
    <w:rsid w:val="003D16D7"/>
    <w:rsid w:val="003D16FE"/>
    <w:rsid w:val="003D171F"/>
    <w:rsid w:val="003D1738"/>
    <w:rsid w:val="003D1778"/>
    <w:rsid w:val="003D178F"/>
    <w:rsid w:val="003D17B8"/>
    <w:rsid w:val="003D17D0"/>
    <w:rsid w:val="003D17E4"/>
    <w:rsid w:val="003D17FD"/>
    <w:rsid w:val="003D1830"/>
    <w:rsid w:val="003D1838"/>
    <w:rsid w:val="003D183B"/>
    <w:rsid w:val="003D1879"/>
    <w:rsid w:val="003D1889"/>
    <w:rsid w:val="003D18D1"/>
    <w:rsid w:val="003D18D8"/>
    <w:rsid w:val="003D18DE"/>
    <w:rsid w:val="003D18FF"/>
    <w:rsid w:val="003D190F"/>
    <w:rsid w:val="003D192B"/>
    <w:rsid w:val="003D1933"/>
    <w:rsid w:val="003D1959"/>
    <w:rsid w:val="003D1967"/>
    <w:rsid w:val="003D1986"/>
    <w:rsid w:val="003D199C"/>
    <w:rsid w:val="003D19A7"/>
    <w:rsid w:val="003D19BB"/>
    <w:rsid w:val="003D19DE"/>
    <w:rsid w:val="003D19FE"/>
    <w:rsid w:val="003D1A20"/>
    <w:rsid w:val="003D1A59"/>
    <w:rsid w:val="003D1A63"/>
    <w:rsid w:val="003D1A70"/>
    <w:rsid w:val="003D1A85"/>
    <w:rsid w:val="003D1A9D"/>
    <w:rsid w:val="003D1AC3"/>
    <w:rsid w:val="003D1ADC"/>
    <w:rsid w:val="003D1B11"/>
    <w:rsid w:val="003D1B37"/>
    <w:rsid w:val="003D1B57"/>
    <w:rsid w:val="003D1BA6"/>
    <w:rsid w:val="003D1C10"/>
    <w:rsid w:val="003D1C22"/>
    <w:rsid w:val="003D1C87"/>
    <w:rsid w:val="003D1CCF"/>
    <w:rsid w:val="003D1CD5"/>
    <w:rsid w:val="003D1CDA"/>
    <w:rsid w:val="003D1D3E"/>
    <w:rsid w:val="003D1D6F"/>
    <w:rsid w:val="003D1E50"/>
    <w:rsid w:val="003D1E68"/>
    <w:rsid w:val="003D1EF8"/>
    <w:rsid w:val="003D1F45"/>
    <w:rsid w:val="003D1FB3"/>
    <w:rsid w:val="003D1FBE"/>
    <w:rsid w:val="003D1FC6"/>
    <w:rsid w:val="003D2029"/>
    <w:rsid w:val="003D2059"/>
    <w:rsid w:val="003D20F9"/>
    <w:rsid w:val="003D2148"/>
    <w:rsid w:val="003D2156"/>
    <w:rsid w:val="003D2189"/>
    <w:rsid w:val="003D21A8"/>
    <w:rsid w:val="003D2221"/>
    <w:rsid w:val="003D223F"/>
    <w:rsid w:val="003D224F"/>
    <w:rsid w:val="003D225A"/>
    <w:rsid w:val="003D22BC"/>
    <w:rsid w:val="003D22FA"/>
    <w:rsid w:val="003D23A4"/>
    <w:rsid w:val="003D23B7"/>
    <w:rsid w:val="003D23BA"/>
    <w:rsid w:val="003D23BE"/>
    <w:rsid w:val="003D23E2"/>
    <w:rsid w:val="003D2442"/>
    <w:rsid w:val="003D24EC"/>
    <w:rsid w:val="003D24EE"/>
    <w:rsid w:val="003D24F1"/>
    <w:rsid w:val="003D24F8"/>
    <w:rsid w:val="003D24FA"/>
    <w:rsid w:val="003D24FD"/>
    <w:rsid w:val="003D250A"/>
    <w:rsid w:val="003D254C"/>
    <w:rsid w:val="003D2563"/>
    <w:rsid w:val="003D25AA"/>
    <w:rsid w:val="003D25AF"/>
    <w:rsid w:val="003D25D2"/>
    <w:rsid w:val="003D25EC"/>
    <w:rsid w:val="003D25EF"/>
    <w:rsid w:val="003D2676"/>
    <w:rsid w:val="003D2687"/>
    <w:rsid w:val="003D270F"/>
    <w:rsid w:val="003D2734"/>
    <w:rsid w:val="003D2750"/>
    <w:rsid w:val="003D278B"/>
    <w:rsid w:val="003D2799"/>
    <w:rsid w:val="003D27BA"/>
    <w:rsid w:val="003D281C"/>
    <w:rsid w:val="003D281F"/>
    <w:rsid w:val="003D283C"/>
    <w:rsid w:val="003D2879"/>
    <w:rsid w:val="003D2912"/>
    <w:rsid w:val="003D2917"/>
    <w:rsid w:val="003D291E"/>
    <w:rsid w:val="003D295C"/>
    <w:rsid w:val="003D29D5"/>
    <w:rsid w:val="003D29E3"/>
    <w:rsid w:val="003D29EA"/>
    <w:rsid w:val="003D2A33"/>
    <w:rsid w:val="003D2A3D"/>
    <w:rsid w:val="003D2A4F"/>
    <w:rsid w:val="003D2A55"/>
    <w:rsid w:val="003D2AA3"/>
    <w:rsid w:val="003D2ABC"/>
    <w:rsid w:val="003D2AD3"/>
    <w:rsid w:val="003D2ADD"/>
    <w:rsid w:val="003D2B00"/>
    <w:rsid w:val="003D2B38"/>
    <w:rsid w:val="003D2C3A"/>
    <w:rsid w:val="003D2C45"/>
    <w:rsid w:val="003D2C88"/>
    <w:rsid w:val="003D2C9C"/>
    <w:rsid w:val="003D2CE1"/>
    <w:rsid w:val="003D2D05"/>
    <w:rsid w:val="003D2D0B"/>
    <w:rsid w:val="003D2D3F"/>
    <w:rsid w:val="003D2D44"/>
    <w:rsid w:val="003D2D85"/>
    <w:rsid w:val="003D2DAE"/>
    <w:rsid w:val="003D2E10"/>
    <w:rsid w:val="003D2E35"/>
    <w:rsid w:val="003D2E3D"/>
    <w:rsid w:val="003D2E6B"/>
    <w:rsid w:val="003D2E6D"/>
    <w:rsid w:val="003D2E86"/>
    <w:rsid w:val="003D2EB0"/>
    <w:rsid w:val="003D2F58"/>
    <w:rsid w:val="003D3057"/>
    <w:rsid w:val="003D30A7"/>
    <w:rsid w:val="003D30E1"/>
    <w:rsid w:val="003D30F1"/>
    <w:rsid w:val="003D3119"/>
    <w:rsid w:val="003D3122"/>
    <w:rsid w:val="003D314B"/>
    <w:rsid w:val="003D315B"/>
    <w:rsid w:val="003D318B"/>
    <w:rsid w:val="003D319F"/>
    <w:rsid w:val="003D31F0"/>
    <w:rsid w:val="003D3208"/>
    <w:rsid w:val="003D3263"/>
    <w:rsid w:val="003D3264"/>
    <w:rsid w:val="003D3272"/>
    <w:rsid w:val="003D3283"/>
    <w:rsid w:val="003D32D7"/>
    <w:rsid w:val="003D32F7"/>
    <w:rsid w:val="003D32FD"/>
    <w:rsid w:val="003D3312"/>
    <w:rsid w:val="003D3324"/>
    <w:rsid w:val="003D334B"/>
    <w:rsid w:val="003D3354"/>
    <w:rsid w:val="003D3373"/>
    <w:rsid w:val="003D3382"/>
    <w:rsid w:val="003D339A"/>
    <w:rsid w:val="003D33C1"/>
    <w:rsid w:val="003D33C4"/>
    <w:rsid w:val="003D3423"/>
    <w:rsid w:val="003D3429"/>
    <w:rsid w:val="003D34A6"/>
    <w:rsid w:val="003D34D1"/>
    <w:rsid w:val="003D34D6"/>
    <w:rsid w:val="003D3509"/>
    <w:rsid w:val="003D3520"/>
    <w:rsid w:val="003D355A"/>
    <w:rsid w:val="003D3592"/>
    <w:rsid w:val="003D35F7"/>
    <w:rsid w:val="003D364B"/>
    <w:rsid w:val="003D364E"/>
    <w:rsid w:val="003D3653"/>
    <w:rsid w:val="003D3673"/>
    <w:rsid w:val="003D36A9"/>
    <w:rsid w:val="003D36EB"/>
    <w:rsid w:val="003D36FA"/>
    <w:rsid w:val="003D3742"/>
    <w:rsid w:val="003D3798"/>
    <w:rsid w:val="003D37BF"/>
    <w:rsid w:val="003D37EA"/>
    <w:rsid w:val="003D383C"/>
    <w:rsid w:val="003D3895"/>
    <w:rsid w:val="003D38C7"/>
    <w:rsid w:val="003D38CC"/>
    <w:rsid w:val="003D38DB"/>
    <w:rsid w:val="003D39AC"/>
    <w:rsid w:val="003D39E4"/>
    <w:rsid w:val="003D39FB"/>
    <w:rsid w:val="003D3A03"/>
    <w:rsid w:val="003D3A1E"/>
    <w:rsid w:val="003D3A65"/>
    <w:rsid w:val="003D3AA1"/>
    <w:rsid w:val="003D3AE0"/>
    <w:rsid w:val="003D3AEE"/>
    <w:rsid w:val="003D3B25"/>
    <w:rsid w:val="003D3B8E"/>
    <w:rsid w:val="003D3BA7"/>
    <w:rsid w:val="003D3BAB"/>
    <w:rsid w:val="003D3BB0"/>
    <w:rsid w:val="003D3BB3"/>
    <w:rsid w:val="003D3C07"/>
    <w:rsid w:val="003D3C4E"/>
    <w:rsid w:val="003D3C73"/>
    <w:rsid w:val="003D3CB6"/>
    <w:rsid w:val="003D3CB8"/>
    <w:rsid w:val="003D3CD1"/>
    <w:rsid w:val="003D3CEA"/>
    <w:rsid w:val="003D3D34"/>
    <w:rsid w:val="003D3DEE"/>
    <w:rsid w:val="003D3E61"/>
    <w:rsid w:val="003D3E7E"/>
    <w:rsid w:val="003D3E8E"/>
    <w:rsid w:val="003D3EFD"/>
    <w:rsid w:val="003D3F0F"/>
    <w:rsid w:val="003D3F92"/>
    <w:rsid w:val="003D3FEC"/>
    <w:rsid w:val="003D4027"/>
    <w:rsid w:val="003D403E"/>
    <w:rsid w:val="003D407B"/>
    <w:rsid w:val="003D4089"/>
    <w:rsid w:val="003D4110"/>
    <w:rsid w:val="003D4125"/>
    <w:rsid w:val="003D41EC"/>
    <w:rsid w:val="003D41FE"/>
    <w:rsid w:val="003D4203"/>
    <w:rsid w:val="003D4217"/>
    <w:rsid w:val="003D424B"/>
    <w:rsid w:val="003D4250"/>
    <w:rsid w:val="003D425B"/>
    <w:rsid w:val="003D427C"/>
    <w:rsid w:val="003D4296"/>
    <w:rsid w:val="003D42BB"/>
    <w:rsid w:val="003D42E9"/>
    <w:rsid w:val="003D430B"/>
    <w:rsid w:val="003D4312"/>
    <w:rsid w:val="003D4392"/>
    <w:rsid w:val="003D4400"/>
    <w:rsid w:val="003D448C"/>
    <w:rsid w:val="003D44AB"/>
    <w:rsid w:val="003D44E3"/>
    <w:rsid w:val="003D4535"/>
    <w:rsid w:val="003D45D3"/>
    <w:rsid w:val="003D461F"/>
    <w:rsid w:val="003D4622"/>
    <w:rsid w:val="003D4647"/>
    <w:rsid w:val="003D4656"/>
    <w:rsid w:val="003D465D"/>
    <w:rsid w:val="003D46F1"/>
    <w:rsid w:val="003D4705"/>
    <w:rsid w:val="003D4756"/>
    <w:rsid w:val="003D476B"/>
    <w:rsid w:val="003D47A6"/>
    <w:rsid w:val="003D47AD"/>
    <w:rsid w:val="003D47AF"/>
    <w:rsid w:val="003D47BC"/>
    <w:rsid w:val="003D47C5"/>
    <w:rsid w:val="003D4862"/>
    <w:rsid w:val="003D486C"/>
    <w:rsid w:val="003D4876"/>
    <w:rsid w:val="003D4887"/>
    <w:rsid w:val="003D48B0"/>
    <w:rsid w:val="003D48B7"/>
    <w:rsid w:val="003D48D6"/>
    <w:rsid w:val="003D48D7"/>
    <w:rsid w:val="003D4903"/>
    <w:rsid w:val="003D4943"/>
    <w:rsid w:val="003D49A6"/>
    <w:rsid w:val="003D49CB"/>
    <w:rsid w:val="003D49F9"/>
    <w:rsid w:val="003D4A79"/>
    <w:rsid w:val="003D4AA2"/>
    <w:rsid w:val="003D4ACF"/>
    <w:rsid w:val="003D4ADC"/>
    <w:rsid w:val="003D4B41"/>
    <w:rsid w:val="003D4B5D"/>
    <w:rsid w:val="003D4B64"/>
    <w:rsid w:val="003D4B69"/>
    <w:rsid w:val="003D4B97"/>
    <w:rsid w:val="003D4BAA"/>
    <w:rsid w:val="003D4BCA"/>
    <w:rsid w:val="003D4BD1"/>
    <w:rsid w:val="003D4BEB"/>
    <w:rsid w:val="003D4C3C"/>
    <w:rsid w:val="003D4C9C"/>
    <w:rsid w:val="003D4CB9"/>
    <w:rsid w:val="003D4D26"/>
    <w:rsid w:val="003D4D51"/>
    <w:rsid w:val="003D4D61"/>
    <w:rsid w:val="003D4DA3"/>
    <w:rsid w:val="003D4DC0"/>
    <w:rsid w:val="003D4DC6"/>
    <w:rsid w:val="003D4DF5"/>
    <w:rsid w:val="003D4E50"/>
    <w:rsid w:val="003D4E65"/>
    <w:rsid w:val="003D4E9D"/>
    <w:rsid w:val="003D4E9F"/>
    <w:rsid w:val="003D4EEA"/>
    <w:rsid w:val="003D4F1B"/>
    <w:rsid w:val="003D4F2C"/>
    <w:rsid w:val="003D4F42"/>
    <w:rsid w:val="003D4F56"/>
    <w:rsid w:val="003D4F6B"/>
    <w:rsid w:val="003D501A"/>
    <w:rsid w:val="003D501C"/>
    <w:rsid w:val="003D5060"/>
    <w:rsid w:val="003D50A1"/>
    <w:rsid w:val="003D50A2"/>
    <w:rsid w:val="003D50BD"/>
    <w:rsid w:val="003D50DC"/>
    <w:rsid w:val="003D50EE"/>
    <w:rsid w:val="003D511B"/>
    <w:rsid w:val="003D5146"/>
    <w:rsid w:val="003D518A"/>
    <w:rsid w:val="003D5195"/>
    <w:rsid w:val="003D5196"/>
    <w:rsid w:val="003D51E4"/>
    <w:rsid w:val="003D521C"/>
    <w:rsid w:val="003D525B"/>
    <w:rsid w:val="003D5264"/>
    <w:rsid w:val="003D526B"/>
    <w:rsid w:val="003D5373"/>
    <w:rsid w:val="003D5429"/>
    <w:rsid w:val="003D542A"/>
    <w:rsid w:val="003D544C"/>
    <w:rsid w:val="003D5488"/>
    <w:rsid w:val="003D54A5"/>
    <w:rsid w:val="003D54B1"/>
    <w:rsid w:val="003D54D2"/>
    <w:rsid w:val="003D5519"/>
    <w:rsid w:val="003D5535"/>
    <w:rsid w:val="003D5557"/>
    <w:rsid w:val="003D55AB"/>
    <w:rsid w:val="003D55C5"/>
    <w:rsid w:val="003D55D5"/>
    <w:rsid w:val="003D55DB"/>
    <w:rsid w:val="003D55EE"/>
    <w:rsid w:val="003D5615"/>
    <w:rsid w:val="003D561D"/>
    <w:rsid w:val="003D5625"/>
    <w:rsid w:val="003D562A"/>
    <w:rsid w:val="003D564C"/>
    <w:rsid w:val="003D568F"/>
    <w:rsid w:val="003D56ED"/>
    <w:rsid w:val="003D56FF"/>
    <w:rsid w:val="003D5707"/>
    <w:rsid w:val="003D5741"/>
    <w:rsid w:val="003D5767"/>
    <w:rsid w:val="003D57D3"/>
    <w:rsid w:val="003D5850"/>
    <w:rsid w:val="003D585A"/>
    <w:rsid w:val="003D5879"/>
    <w:rsid w:val="003D5888"/>
    <w:rsid w:val="003D588F"/>
    <w:rsid w:val="003D5895"/>
    <w:rsid w:val="003D58B7"/>
    <w:rsid w:val="003D5987"/>
    <w:rsid w:val="003D5990"/>
    <w:rsid w:val="003D599C"/>
    <w:rsid w:val="003D59E4"/>
    <w:rsid w:val="003D59F5"/>
    <w:rsid w:val="003D5A21"/>
    <w:rsid w:val="003D5A40"/>
    <w:rsid w:val="003D5A54"/>
    <w:rsid w:val="003D5AA5"/>
    <w:rsid w:val="003D5AA7"/>
    <w:rsid w:val="003D5ABB"/>
    <w:rsid w:val="003D5B14"/>
    <w:rsid w:val="003D5B36"/>
    <w:rsid w:val="003D5B71"/>
    <w:rsid w:val="003D5B72"/>
    <w:rsid w:val="003D5B83"/>
    <w:rsid w:val="003D5BB3"/>
    <w:rsid w:val="003D5C03"/>
    <w:rsid w:val="003D5C31"/>
    <w:rsid w:val="003D5C52"/>
    <w:rsid w:val="003D5C74"/>
    <w:rsid w:val="003D5C8E"/>
    <w:rsid w:val="003D5CA6"/>
    <w:rsid w:val="003D5CBA"/>
    <w:rsid w:val="003D5CD5"/>
    <w:rsid w:val="003D5D4D"/>
    <w:rsid w:val="003D5DB8"/>
    <w:rsid w:val="003D5DC8"/>
    <w:rsid w:val="003D5DDC"/>
    <w:rsid w:val="003D5DDF"/>
    <w:rsid w:val="003D5DF4"/>
    <w:rsid w:val="003D5E07"/>
    <w:rsid w:val="003D5E58"/>
    <w:rsid w:val="003D5E74"/>
    <w:rsid w:val="003D5F68"/>
    <w:rsid w:val="003D5F6B"/>
    <w:rsid w:val="003D6014"/>
    <w:rsid w:val="003D602C"/>
    <w:rsid w:val="003D602D"/>
    <w:rsid w:val="003D6038"/>
    <w:rsid w:val="003D6039"/>
    <w:rsid w:val="003D605B"/>
    <w:rsid w:val="003D60A2"/>
    <w:rsid w:val="003D60AC"/>
    <w:rsid w:val="003D60AE"/>
    <w:rsid w:val="003D60B3"/>
    <w:rsid w:val="003D60C9"/>
    <w:rsid w:val="003D610D"/>
    <w:rsid w:val="003D613B"/>
    <w:rsid w:val="003D6160"/>
    <w:rsid w:val="003D6171"/>
    <w:rsid w:val="003D6190"/>
    <w:rsid w:val="003D619B"/>
    <w:rsid w:val="003D61A2"/>
    <w:rsid w:val="003D61B6"/>
    <w:rsid w:val="003D61D5"/>
    <w:rsid w:val="003D61F4"/>
    <w:rsid w:val="003D6209"/>
    <w:rsid w:val="003D6234"/>
    <w:rsid w:val="003D62C9"/>
    <w:rsid w:val="003D62EC"/>
    <w:rsid w:val="003D6319"/>
    <w:rsid w:val="003D6340"/>
    <w:rsid w:val="003D635B"/>
    <w:rsid w:val="003D6360"/>
    <w:rsid w:val="003D6365"/>
    <w:rsid w:val="003D63C0"/>
    <w:rsid w:val="003D6434"/>
    <w:rsid w:val="003D645C"/>
    <w:rsid w:val="003D647D"/>
    <w:rsid w:val="003D64A3"/>
    <w:rsid w:val="003D64D7"/>
    <w:rsid w:val="003D64E0"/>
    <w:rsid w:val="003D64E9"/>
    <w:rsid w:val="003D64EA"/>
    <w:rsid w:val="003D64ED"/>
    <w:rsid w:val="003D6500"/>
    <w:rsid w:val="003D6514"/>
    <w:rsid w:val="003D6568"/>
    <w:rsid w:val="003D6575"/>
    <w:rsid w:val="003D658B"/>
    <w:rsid w:val="003D6591"/>
    <w:rsid w:val="003D65AC"/>
    <w:rsid w:val="003D662E"/>
    <w:rsid w:val="003D664A"/>
    <w:rsid w:val="003D665D"/>
    <w:rsid w:val="003D6672"/>
    <w:rsid w:val="003D66BB"/>
    <w:rsid w:val="003D66C7"/>
    <w:rsid w:val="003D66DD"/>
    <w:rsid w:val="003D671B"/>
    <w:rsid w:val="003D6746"/>
    <w:rsid w:val="003D6790"/>
    <w:rsid w:val="003D67B0"/>
    <w:rsid w:val="003D67CC"/>
    <w:rsid w:val="003D67FD"/>
    <w:rsid w:val="003D6830"/>
    <w:rsid w:val="003D6835"/>
    <w:rsid w:val="003D6881"/>
    <w:rsid w:val="003D6885"/>
    <w:rsid w:val="003D68A2"/>
    <w:rsid w:val="003D68AE"/>
    <w:rsid w:val="003D6908"/>
    <w:rsid w:val="003D690E"/>
    <w:rsid w:val="003D6930"/>
    <w:rsid w:val="003D699F"/>
    <w:rsid w:val="003D69C8"/>
    <w:rsid w:val="003D69F6"/>
    <w:rsid w:val="003D69FD"/>
    <w:rsid w:val="003D6A2A"/>
    <w:rsid w:val="003D6A51"/>
    <w:rsid w:val="003D6AC1"/>
    <w:rsid w:val="003D6AEF"/>
    <w:rsid w:val="003D6AF8"/>
    <w:rsid w:val="003D6AFD"/>
    <w:rsid w:val="003D6B62"/>
    <w:rsid w:val="003D6B88"/>
    <w:rsid w:val="003D6B89"/>
    <w:rsid w:val="003D6BAA"/>
    <w:rsid w:val="003D6BB6"/>
    <w:rsid w:val="003D6C41"/>
    <w:rsid w:val="003D6C98"/>
    <w:rsid w:val="003D6CCC"/>
    <w:rsid w:val="003D6CE1"/>
    <w:rsid w:val="003D6D14"/>
    <w:rsid w:val="003D6D37"/>
    <w:rsid w:val="003D6D73"/>
    <w:rsid w:val="003D6DC0"/>
    <w:rsid w:val="003D6DE8"/>
    <w:rsid w:val="003D6E20"/>
    <w:rsid w:val="003D6E39"/>
    <w:rsid w:val="003D6E72"/>
    <w:rsid w:val="003D6E9A"/>
    <w:rsid w:val="003D6ECD"/>
    <w:rsid w:val="003D6F1C"/>
    <w:rsid w:val="003D6F56"/>
    <w:rsid w:val="003D6F7A"/>
    <w:rsid w:val="003D6FAF"/>
    <w:rsid w:val="003D6FDE"/>
    <w:rsid w:val="003D7031"/>
    <w:rsid w:val="003D70A6"/>
    <w:rsid w:val="003D70CF"/>
    <w:rsid w:val="003D7116"/>
    <w:rsid w:val="003D713C"/>
    <w:rsid w:val="003D7170"/>
    <w:rsid w:val="003D7176"/>
    <w:rsid w:val="003D7184"/>
    <w:rsid w:val="003D7186"/>
    <w:rsid w:val="003D71F8"/>
    <w:rsid w:val="003D7275"/>
    <w:rsid w:val="003D72F2"/>
    <w:rsid w:val="003D72F7"/>
    <w:rsid w:val="003D7365"/>
    <w:rsid w:val="003D7370"/>
    <w:rsid w:val="003D737B"/>
    <w:rsid w:val="003D73E5"/>
    <w:rsid w:val="003D741C"/>
    <w:rsid w:val="003D749F"/>
    <w:rsid w:val="003D74BB"/>
    <w:rsid w:val="003D7503"/>
    <w:rsid w:val="003D7518"/>
    <w:rsid w:val="003D7569"/>
    <w:rsid w:val="003D7575"/>
    <w:rsid w:val="003D75A5"/>
    <w:rsid w:val="003D75A6"/>
    <w:rsid w:val="003D7610"/>
    <w:rsid w:val="003D7696"/>
    <w:rsid w:val="003D769C"/>
    <w:rsid w:val="003D769D"/>
    <w:rsid w:val="003D76C0"/>
    <w:rsid w:val="003D771B"/>
    <w:rsid w:val="003D7722"/>
    <w:rsid w:val="003D775D"/>
    <w:rsid w:val="003D775F"/>
    <w:rsid w:val="003D7781"/>
    <w:rsid w:val="003D7795"/>
    <w:rsid w:val="003D779E"/>
    <w:rsid w:val="003D77A9"/>
    <w:rsid w:val="003D77C6"/>
    <w:rsid w:val="003D77CD"/>
    <w:rsid w:val="003D7832"/>
    <w:rsid w:val="003D788E"/>
    <w:rsid w:val="003D78D4"/>
    <w:rsid w:val="003D79BF"/>
    <w:rsid w:val="003D79ED"/>
    <w:rsid w:val="003D79F9"/>
    <w:rsid w:val="003D7A39"/>
    <w:rsid w:val="003D7A50"/>
    <w:rsid w:val="003D7AAC"/>
    <w:rsid w:val="003D7ABC"/>
    <w:rsid w:val="003D7ADA"/>
    <w:rsid w:val="003D7AEC"/>
    <w:rsid w:val="003D7B27"/>
    <w:rsid w:val="003D7B9E"/>
    <w:rsid w:val="003D7BA8"/>
    <w:rsid w:val="003D7BB5"/>
    <w:rsid w:val="003D7BBA"/>
    <w:rsid w:val="003D7BCC"/>
    <w:rsid w:val="003D7BDF"/>
    <w:rsid w:val="003D7C45"/>
    <w:rsid w:val="003D7C58"/>
    <w:rsid w:val="003D7C66"/>
    <w:rsid w:val="003D7CB8"/>
    <w:rsid w:val="003D7CC5"/>
    <w:rsid w:val="003D7CDB"/>
    <w:rsid w:val="003D7D7A"/>
    <w:rsid w:val="003D7D95"/>
    <w:rsid w:val="003D7DC5"/>
    <w:rsid w:val="003D7DE9"/>
    <w:rsid w:val="003D7E80"/>
    <w:rsid w:val="003D7EA2"/>
    <w:rsid w:val="003D7EB2"/>
    <w:rsid w:val="003D7ED0"/>
    <w:rsid w:val="003D7ED2"/>
    <w:rsid w:val="003D7F36"/>
    <w:rsid w:val="003D7F60"/>
    <w:rsid w:val="003DA57F"/>
    <w:rsid w:val="003E0000"/>
    <w:rsid w:val="003E007C"/>
    <w:rsid w:val="003E0093"/>
    <w:rsid w:val="003E009B"/>
    <w:rsid w:val="003E00FC"/>
    <w:rsid w:val="003E0168"/>
    <w:rsid w:val="003E017C"/>
    <w:rsid w:val="003E0197"/>
    <w:rsid w:val="003E0198"/>
    <w:rsid w:val="003E01CB"/>
    <w:rsid w:val="003E024C"/>
    <w:rsid w:val="003E0277"/>
    <w:rsid w:val="003E02D2"/>
    <w:rsid w:val="003E0326"/>
    <w:rsid w:val="003E0352"/>
    <w:rsid w:val="003E03D7"/>
    <w:rsid w:val="003E0441"/>
    <w:rsid w:val="003E0469"/>
    <w:rsid w:val="003E0480"/>
    <w:rsid w:val="003E0535"/>
    <w:rsid w:val="003E0536"/>
    <w:rsid w:val="003E0553"/>
    <w:rsid w:val="003E0590"/>
    <w:rsid w:val="003E0596"/>
    <w:rsid w:val="003E05FA"/>
    <w:rsid w:val="003E05FB"/>
    <w:rsid w:val="003E0636"/>
    <w:rsid w:val="003E063B"/>
    <w:rsid w:val="003E0673"/>
    <w:rsid w:val="003E0689"/>
    <w:rsid w:val="003E0756"/>
    <w:rsid w:val="003E0777"/>
    <w:rsid w:val="003E077C"/>
    <w:rsid w:val="003E07F6"/>
    <w:rsid w:val="003E0809"/>
    <w:rsid w:val="003E0814"/>
    <w:rsid w:val="003E083A"/>
    <w:rsid w:val="003E0847"/>
    <w:rsid w:val="003E087F"/>
    <w:rsid w:val="003E0895"/>
    <w:rsid w:val="003E08B2"/>
    <w:rsid w:val="003E090E"/>
    <w:rsid w:val="003E096A"/>
    <w:rsid w:val="003E09A4"/>
    <w:rsid w:val="003E09AD"/>
    <w:rsid w:val="003E09C0"/>
    <w:rsid w:val="003E09C5"/>
    <w:rsid w:val="003E09F9"/>
    <w:rsid w:val="003E0A38"/>
    <w:rsid w:val="003E0A56"/>
    <w:rsid w:val="003E0A85"/>
    <w:rsid w:val="003E0A86"/>
    <w:rsid w:val="003E0AAB"/>
    <w:rsid w:val="003E0B0D"/>
    <w:rsid w:val="003E0B16"/>
    <w:rsid w:val="003E0B29"/>
    <w:rsid w:val="003E0B33"/>
    <w:rsid w:val="003E0B6F"/>
    <w:rsid w:val="003E0B95"/>
    <w:rsid w:val="003E0BDE"/>
    <w:rsid w:val="003E0C3C"/>
    <w:rsid w:val="003E0C4E"/>
    <w:rsid w:val="003E0C63"/>
    <w:rsid w:val="003E0C6A"/>
    <w:rsid w:val="003E0CD5"/>
    <w:rsid w:val="003E0CEE"/>
    <w:rsid w:val="003E0D10"/>
    <w:rsid w:val="003E0D1C"/>
    <w:rsid w:val="003E0D33"/>
    <w:rsid w:val="003E0D3F"/>
    <w:rsid w:val="003E0D47"/>
    <w:rsid w:val="003E0DA8"/>
    <w:rsid w:val="003E0DB8"/>
    <w:rsid w:val="003E0DF4"/>
    <w:rsid w:val="003E0E02"/>
    <w:rsid w:val="003E0EEE"/>
    <w:rsid w:val="003E0EFE"/>
    <w:rsid w:val="003E0F53"/>
    <w:rsid w:val="003E0FC8"/>
    <w:rsid w:val="003E0FE9"/>
    <w:rsid w:val="003E1046"/>
    <w:rsid w:val="003E1072"/>
    <w:rsid w:val="003E10A9"/>
    <w:rsid w:val="003E10B4"/>
    <w:rsid w:val="003E10C0"/>
    <w:rsid w:val="003E1122"/>
    <w:rsid w:val="003E119C"/>
    <w:rsid w:val="003E11B8"/>
    <w:rsid w:val="003E11BD"/>
    <w:rsid w:val="003E1215"/>
    <w:rsid w:val="003E1228"/>
    <w:rsid w:val="003E1242"/>
    <w:rsid w:val="003E1274"/>
    <w:rsid w:val="003E12A3"/>
    <w:rsid w:val="003E12B0"/>
    <w:rsid w:val="003E12EB"/>
    <w:rsid w:val="003E1309"/>
    <w:rsid w:val="003E1327"/>
    <w:rsid w:val="003E136F"/>
    <w:rsid w:val="003E137F"/>
    <w:rsid w:val="003E13B7"/>
    <w:rsid w:val="003E13DA"/>
    <w:rsid w:val="003E13E4"/>
    <w:rsid w:val="003E13F8"/>
    <w:rsid w:val="003E149B"/>
    <w:rsid w:val="003E149E"/>
    <w:rsid w:val="003E14A7"/>
    <w:rsid w:val="003E150D"/>
    <w:rsid w:val="003E1524"/>
    <w:rsid w:val="003E154F"/>
    <w:rsid w:val="003E1550"/>
    <w:rsid w:val="003E1564"/>
    <w:rsid w:val="003E159C"/>
    <w:rsid w:val="003E15B5"/>
    <w:rsid w:val="003E15F4"/>
    <w:rsid w:val="003E15FB"/>
    <w:rsid w:val="003E1618"/>
    <w:rsid w:val="003E164F"/>
    <w:rsid w:val="003E1687"/>
    <w:rsid w:val="003E172E"/>
    <w:rsid w:val="003E1771"/>
    <w:rsid w:val="003E17B0"/>
    <w:rsid w:val="003E17CD"/>
    <w:rsid w:val="003E17EC"/>
    <w:rsid w:val="003E17FE"/>
    <w:rsid w:val="003E1840"/>
    <w:rsid w:val="003E18F7"/>
    <w:rsid w:val="003E193D"/>
    <w:rsid w:val="003E193E"/>
    <w:rsid w:val="003E194C"/>
    <w:rsid w:val="003E194D"/>
    <w:rsid w:val="003E195E"/>
    <w:rsid w:val="003E19B1"/>
    <w:rsid w:val="003E19C8"/>
    <w:rsid w:val="003E1A06"/>
    <w:rsid w:val="003E1A13"/>
    <w:rsid w:val="003E1A2B"/>
    <w:rsid w:val="003E1A40"/>
    <w:rsid w:val="003E1A45"/>
    <w:rsid w:val="003E1A50"/>
    <w:rsid w:val="003E1A5B"/>
    <w:rsid w:val="003E1A7E"/>
    <w:rsid w:val="003E1A99"/>
    <w:rsid w:val="003E1AD9"/>
    <w:rsid w:val="003E1AEA"/>
    <w:rsid w:val="003E1B3D"/>
    <w:rsid w:val="003E1BA9"/>
    <w:rsid w:val="003E1BF2"/>
    <w:rsid w:val="003E1C27"/>
    <w:rsid w:val="003E1C6F"/>
    <w:rsid w:val="003E1C7F"/>
    <w:rsid w:val="003E1C83"/>
    <w:rsid w:val="003E1CB2"/>
    <w:rsid w:val="003E1CBF"/>
    <w:rsid w:val="003E1CD8"/>
    <w:rsid w:val="003E1CF4"/>
    <w:rsid w:val="003E1CFD"/>
    <w:rsid w:val="003E1D18"/>
    <w:rsid w:val="003E1D35"/>
    <w:rsid w:val="003E1D52"/>
    <w:rsid w:val="003E1DA8"/>
    <w:rsid w:val="003E1DBE"/>
    <w:rsid w:val="003E1DCF"/>
    <w:rsid w:val="003E1DF6"/>
    <w:rsid w:val="003E1E40"/>
    <w:rsid w:val="003E1E57"/>
    <w:rsid w:val="003E1E6B"/>
    <w:rsid w:val="003E1E73"/>
    <w:rsid w:val="003E1E86"/>
    <w:rsid w:val="003E1EC3"/>
    <w:rsid w:val="003E1EE4"/>
    <w:rsid w:val="003E1F04"/>
    <w:rsid w:val="003E1F0D"/>
    <w:rsid w:val="003E1F40"/>
    <w:rsid w:val="003E1F53"/>
    <w:rsid w:val="003E1F67"/>
    <w:rsid w:val="003E1F72"/>
    <w:rsid w:val="003E1F9C"/>
    <w:rsid w:val="003E1FCC"/>
    <w:rsid w:val="003E1FDD"/>
    <w:rsid w:val="003E200E"/>
    <w:rsid w:val="003E2025"/>
    <w:rsid w:val="003E2045"/>
    <w:rsid w:val="003E209D"/>
    <w:rsid w:val="003E20E8"/>
    <w:rsid w:val="003E219C"/>
    <w:rsid w:val="003E21AA"/>
    <w:rsid w:val="003E21AB"/>
    <w:rsid w:val="003E2229"/>
    <w:rsid w:val="003E223B"/>
    <w:rsid w:val="003E2251"/>
    <w:rsid w:val="003E2256"/>
    <w:rsid w:val="003E2277"/>
    <w:rsid w:val="003E228A"/>
    <w:rsid w:val="003E232D"/>
    <w:rsid w:val="003E2349"/>
    <w:rsid w:val="003E2394"/>
    <w:rsid w:val="003E239A"/>
    <w:rsid w:val="003E23AD"/>
    <w:rsid w:val="003E23CB"/>
    <w:rsid w:val="003E23D9"/>
    <w:rsid w:val="003E2426"/>
    <w:rsid w:val="003E2471"/>
    <w:rsid w:val="003E2481"/>
    <w:rsid w:val="003E249A"/>
    <w:rsid w:val="003E24B3"/>
    <w:rsid w:val="003E24D9"/>
    <w:rsid w:val="003E24FF"/>
    <w:rsid w:val="003E251D"/>
    <w:rsid w:val="003E2527"/>
    <w:rsid w:val="003E2545"/>
    <w:rsid w:val="003E258F"/>
    <w:rsid w:val="003E259B"/>
    <w:rsid w:val="003E25D2"/>
    <w:rsid w:val="003E25EA"/>
    <w:rsid w:val="003E2607"/>
    <w:rsid w:val="003E268A"/>
    <w:rsid w:val="003E2695"/>
    <w:rsid w:val="003E26B3"/>
    <w:rsid w:val="003E26C7"/>
    <w:rsid w:val="003E2707"/>
    <w:rsid w:val="003E273B"/>
    <w:rsid w:val="003E275D"/>
    <w:rsid w:val="003E278E"/>
    <w:rsid w:val="003E27B4"/>
    <w:rsid w:val="003E27E9"/>
    <w:rsid w:val="003E27EC"/>
    <w:rsid w:val="003E2812"/>
    <w:rsid w:val="003E2813"/>
    <w:rsid w:val="003E2882"/>
    <w:rsid w:val="003E288B"/>
    <w:rsid w:val="003E28AC"/>
    <w:rsid w:val="003E2901"/>
    <w:rsid w:val="003E293D"/>
    <w:rsid w:val="003E297F"/>
    <w:rsid w:val="003E29AE"/>
    <w:rsid w:val="003E29DD"/>
    <w:rsid w:val="003E2A67"/>
    <w:rsid w:val="003E2A93"/>
    <w:rsid w:val="003E2B0D"/>
    <w:rsid w:val="003E2B62"/>
    <w:rsid w:val="003E2B73"/>
    <w:rsid w:val="003E2BF1"/>
    <w:rsid w:val="003E2C1D"/>
    <w:rsid w:val="003E2C92"/>
    <w:rsid w:val="003E2C94"/>
    <w:rsid w:val="003E2C9F"/>
    <w:rsid w:val="003E2CB8"/>
    <w:rsid w:val="003E2D02"/>
    <w:rsid w:val="003E2D2F"/>
    <w:rsid w:val="003E2D3E"/>
    <w:rsid w:val="003E2D68"/>
    <w:rsid w:val="003E2D70"/>
    <w:rsid w:val="003E2DA4"/>
    <w:rsid w:val="003E2DAC"/>
    <w:rsid w:val="003E2DBB"/>
    <w:rsid w:val="003E2DC3"/>
    <w:rsid w:val="003E2DE5"/>
    <w:rsid w:val="003E2E30"/>
    <w:rsid w:val="003E2E59"/>
    <w:rsid w:val="003E2E7C"/>
    <w:rsid w:val="003E2EBE"/>
    <w:rsid w:val="003E2EBF"/>
    <w:rsid w:val="003E2EC2"/>
    <w:rsid w:val="003E2F19"/>
    <w:rsid w:val="003E2F67"/>
    <w:rsid w:val="003E2F81"/>
    <w:rsid w:val="003E2F8E"/>
    <w:rsid w:val="003E2FCD"/>
    <w:rsid w:val="003E2FE0"/>
    <w:rsid w:val="003E3003"/>
    <w:rsid w:val="003E300A"/>
    <w:rsid w:val="003E301C"/>
    <w:rsid w:val="003E3068"/>
    <w:rsid w:val="003E3079"/>
    <w:rsid w:val="003E30AB"/>
    <w:rsid w:val="003E30D3"/>
    <w:rsid w:val="003E30D6"/>
    <w:rsid w:val="003E30F9"/>
    <w:rsid w:val="003E3194"/>
    <w:rsid w:val="003E31BC"/>
    <w:rsid w:val="003E31DC"/>
    <w:rsid w:val="003E31EA"/>
    <w:rsid w:val="003E31EF"/>
    <w:rsid w:val="003E3219"/>
    <w:rsid w:val="003E323B"/>
    <w:rsid w:val="003E32E6"/>
    <w:rsid w:val="003E32F4"/>
    <w:rsid w:val="003E332B"/>
    <w:rsid w:val="003E332F"/>
    <w:rsid w:val="003E335E"/>
    <w:rsid w:val="003E339D"/>
    <w:rsid w:val="003E33C9"/>
    <w:rsid w:val="003E33DB"/>
    <w:rsid w:val="003E33FC"/>
    <w:rsid w:val="003E3435"/>
    <w:rsid w:val="003E3451"/>
    <w:rsid w:val="003E3457"/>
    <w:rsid w:val="003E345C"/>
    <w:rsid w:val="003E3467"/>
    <w:rsid w:val="003E34A7"/>
    <w:rsid w:val="003E34AA"/>
    <w:rsid w:val="003E34D2"/>
    <w:rsid w:val="003E34E0"/>
    <w:rsid w:val="003E34EB"/>
    <w:rsid w:val="003E34F8"/>
    <w:rsid w:val="003E34FD"/>
    <w:rsid w:val="003E35BA"/>
    <w:rsid w:val="003E35C2"/>
    <w:rsid w:val="003E35FA"/>
    <w:rsid w:val="003E35FD"/>
    <w:rsid w:val="003E3602"/>
    <w:rsid w:val="003E362E"/>
    <w:rsid w:val="003E3670"/>
    <w:rsid w:val="003E3682"/>
    <w:rsid w:val="003E36BD"/>
    <w:rsid w:val="003E36C3"/>
    <w:rsid w:val="003E36C9"/>
    <w:rsid w:val="003E36D4"/>
    <w:rsid w:val="003E370D"/>
    <w:rsid w:val="003E37B3"/>
    <w:rsid w:val="003E386A"/>
    <w:rsid w:val="003E388B"/>
    <w:rsid w:val="003E38D1"/>
    <w:rsid w:val="003E3915"/>
    <w:rsid w:val="003E394B"/>
    <w:rsid w:val="003E394F"/>
    <w:rsid w:val="003E3963"/>
    <w:rsid w:val="003E39E4"/>
    <w:rsid w:val="003E3A22"/>
    <w:rsid w:val="003E3A33"/>
    <w:rsid w:val="003E3A43"/>
    <w:rsid w:val="003E3A66"/>
    <w:rsid w:val="003E3A73"/>
    <w:rsid w:val="003E3A99"/>
    <w:rsid w:val="003E3AAF"/>
    <w:rsid w:val="003E3AC0"/>
    <w:rsid w:val="003E3B04"/>
    <w:rsid w:val="003E3B0B"/>
    <w:rsid w:val="003E3B17"/>
    <w:rsid w:val="003E3B28"/>
    <w:rsid w:val="003E3B45"/>
    <w:rsid w:val="003E3B4D"/>
    <w:rsid w:val="003E3B93"/>
    <w:rsid w:val="003E3BFC"/>
    <w:rsid w:val="003E3C10"/>
    <w:rsid w:val="003E3C40"/>
    <w:rsid w:val="003E3C5C"/>
    <w:rsid w:val="003E3CA3"/>
    <w:rsid w:val="003E3CA4"/>
    <w:rsid w:val="003E3CC4"/>
    <w:rsid w:val="003E3D16"/>
    <w:rsid w:val="003E3D18"/>
    <w:rsid w:val="003E3D33"/>
    <w:rsid w:val="003E3D34"/>
    <w:rsid w:val="003E3D3B"/>
    <w:rsid w:val="003E3D40"/>
    <w:rsid w:val="003E3D6F"/>
    <w:rsid w:val="003E3D84"/>
    <w:rsid w:val="003E3D99"/>
    <w:rsid w:val="003E3DE6"/>
    <w:rsid w:val="003E3E68"/>
    <w:rsid w:val="003E3EAF"/>
    <w:rsid w:val="003E3F50"/>
    <w:rsid w:val="003E3F78"/>
    <w:rsid w:val="003E3FB9"/>
    <w:rsid w:val="003E3FD5"/>
    <w:rsid w:val="003E3FDF"/>
    <w:rsid w:val="003E4002"/>
    <w:rsid w:val="003E4003"/>
    <w:rsid w:val="003E4007"/>
    <w:rsid w:val="003E402B"/>
    <w:rsid w:val="003E40A6"/>
    <w:rsid w:val="003E40C0"/>
    <w:rsid w:val="003E4117"/>
    <w:rsid w:val="003E417C"/>
    <w:rsid w:val="003E41CB"/>
    <w:rsid w:val="003E41CC"/>
    <w:rsid w:val="003E41E3"/>
    <w:rsid w:val="003E427C"/>
    <w:rsid w:val="003E428D"/>
    <w:rsid w:val="003E433F"/>
    <w:rsid w:val="003E434D"/>
    <w:rsid w:val="003E4369"/>
    <w:rsid w:val="003E4424"/>
    <w:rsid w:val="003E4428"/>
    <w:rsid w:val="003E444A"/>
    <w:rsid w:val="003E4456"/>
    <w:rsid w:val="003E44DF"/>
    <w:rsid w:val="003E4524"/>
    <w:rsid w:val="003E4529"/>
    <w:rsid w:val="003E4542"/>
    <w:rsid w:val="003E4562"/>
    <w:rsid w:val="003E4599"/>
    <w:rsid w:val="003E45FA"/>
    <w:rsid w:val="003E4607"/>
    <w:rsid w:val="003E463B"/>
    <w:rsid w:val="003E464C"/>
    <w:rsid w:val="003E4661"/>
    <w:rsid w:val="003E466B"/>
    <w:rsid w:val="003E467F"/>
    <w:rsid w:val="003E46E2"/>
    <w:rsid w:val="003E472A"/>
    <w:rsid w:val="003E4735"/>
    <w:rsid w:val="003E4738"/>
    <w:rsid w:val="003E4785"/>
    <w:rsid w:val="003E4837"/>
    <w:rsid w:val="003E483A"/>
    <w:rsid w:val="003E485A"/>
    <w:rsid w:val="003E48CD"/>
    <w:rsid w:val="003E4938"/>
    <w:rsid w:val="003E4A08"/>
    <w:rsid w:val="003E4A1B"/>
    <w:rsid w:val="003E4A69"/>
    <w:rsid w:val="003E4AB8"/>
    <w:rsid w:val="003E4AC3"/>
    <w:rsid w:val="003E4B13"/>
    <w:rsid w:val="003E4B19"/>
    <w:rsid w:val="003E4B57"/>
    <w:rsid w:val="003E4BBB"/>
    <w:rsid w:val="003E4BE5"/>
    <w:rsid w:val="003E4C16"/>
    <w:rsid w:val="003E4C5E"/>
    <w:rsid w:val="003E4C79"/>
    <w:rsid w:val="003E4C7F"/>
    <w:rsid w:val="003E4C91"/>
    <w:rsid w:val="003E4C95"/>
    <w:rsid w:val="003E4CA0"/>
    <w:rsid w:val="003E4CCD"/>
    <w:rsid w:val="003E4CE3"/>
    <w:rsid w:val="003E4D03"/>
    <w:rsid w:val="003E4D04"/>
    <w:rsid w:val="003E4D74"/>
    <w:rsid w:val="003E4D9A"/>
    <w:rsid w:val="003E4DD1"/>
    <w:rsid w:val="003E4E0C"/>
    <w:rsid w:val="003E4EAD"/>
    <w:rsid w:val="003E4EF8"/>
    <w:rsid w:val="003E4F0E"/>
    <w:rsid w:val="003E4F19"/>
    <w:rsid w:val="003E4F40"/>
    <w:rsid w:val="003E4F48"/>
    <w:rsid w:val="003E4F6F"/>
    <w:rsid w:val="003E4F71"/>
    <w:rsid w:val="003E4F91"/>
    <w:rsid w:val="003E4F92"/>
    <w:rsid w:val="003E4F9E"/>
    <w:rsid w:val="003E4FB6"/>
    <w:rsid w:val="003E5063"/>
    <w:rsid w:val="003E506A"/>
    <w:rsid w:val="003E5080"/>
    <w:rsid w:val="003E509D"/>
    <w:rsid w:val="003E50BC"/>
    <w:rsid w:val="003E50C7"/>
    <w:rsid w:val="003E5121"/>
    <w:rsid w:val="003E5140"/>
    <w:rsid w:val="003E5157"/>
    <w:rsid w:val="003E5177"/>
    <w:rsid w:val="003E51D0"/>
    <w:rsid w:val="003E51D4"/>
    <w:rsid w:val="003E5201"/>
    <w:rsid w:val="003E5253"/>
    <w:rsid w:val="003E5257"/>
    <w:rsid w:val="003E5292"/>
    <w:rsid w:val="003E52A3"/>
    <w:rsid w:val="003E5379"/>
    <w:rsid w:val="003E5387"/>
    <w:rsid w:val="003E53AF"/>
    <w:rsid w:val="003E53E2"/>
    <w:rsid w:val="003E5429"/>
    <w:rsid w:val="003E54A5"/>
    <w:rsid w:val="003E54AE"/>
    <w:rsid w:val="003E54CE"/>
    <w:rsid w:val="003E54F2"/>
    <w:rsid w:val="003E551E"/>
    <w:rsid w:val="003E554D"/>
    <w:rsid w:val="003E5569"/>
    <w:rsid w:val="003E5574"/>
    <w:rsid w:val="003E5598"/>
    <w:rsid w:val="003E55B0"/>
    <w:rsid w:val="003E55ED"/>
    <w:rsid w:val="003E5680"/>
    <w:rsid w:val="003E56E0"/>
    <w:rsid w:val="003E5773"/>
    <w:rsid w:val="003E5784"/>
    <w:rsid w:val="003E579F"/>
    <w:rsid w:val="003E5804"/>
    <w:rsid w:val="003E5828"/>
    <w:rsid w:val="003E584F"/>
    <w:rsid w:val="003E586C"/>
    <w:rsid w:val="003E587A"/>
    <w:rsid w:val="003E58CA"/>
    <w:rsid w:val="003E5978"/>
    <w:rsid w:val="003E599A"/>
    <w:rsid w:val="003E599E"/>
    <w:rsid w:val="003E59CD"/>
    <w:rsid w:val="003E59D5"/>
    <w:rsid w:val="003E5A37"/>
    <w:rsid w:val="003E5A57"/>
    <w:rsid w:val="003E5A6F"/>
    <w:rsid w:val="003E5A70"/>
    <w:rsid w:val="003E5AFE"/>
    <w:rsid w:val="003E5B25"/>
    <w:rsid w:val="003E5B29"/>
    <w:rsid w:val="003E5B4C"/>
    <w:rsid w:val="003E5B5C"/>
    <w:rsid w:val="003E5BA5"/>
    <w:rsid w:val="003E5BAB"/>
    <w:rsid w:val="003E5BD5"/>
    <w:rsid w:val="003E5BDA"/>
    <w:rsid w:val="003E5C03"/>
    <w:rsid w:val="003E5C27"/>
    <w:rsid w:val="003E5C28"/>
    <w:rsid w:val="003E5C2E"/>
    <w:rsid w:val="003E5C55"/>
    <w:rsid w:val="003E5C74"/>
    <w:rsid w:val="003E5C7D"/>
    <w:rsid w:val="003E5CF0"/>
    <w:rsid w:val="003E5D0A"/>
    <w:rsid w:val="003E5D20"/>
    <w:rsid w:val="003E5D26"/>
    <w:rsid w:val="003E5D2C"/>
    <w:rsid w:val="003E5D92"/>
    <w:rsid w:val="003E5D9D"/>
    <w:rsid w:val="003E5DEB"/>
    <w:rsid w:val="003E5E03"/>
    <w:rsid w:val="003E5E19"/>
    <w:rsid w:val="003E5EA6"/>
    <w:rsid w:val="003E5EB8"/>
    <w:rsid w:val="003E5EB9"/>
    <w:rsid w:val="003E5EE1"/>
    <w:rsid w:val="003E5F45"/>
    <w:rsid w:val="003E5F48"/>
    <w:rsid w:val="003E5F5B"/>
    <w:rsid w:val="003E5F8E"/>
    <w:rsid w:val="003E605A"/>
    <w:rsid w:val="003E6064"/>
    <w:rsid w:val="003E60E4"/>
    <w:rsid w:val="003E6114"/>
    <w:rsid w:val="003E6160"/>
    <w:rsid w:val="003E625E"/>
    <w:rsid w:val="003E62DB"/>
    <w:rsid w:val="003E634A"/>
    <w:rsid w:val="003E6393"/>
    <w:rsid w:val="003E63C1"/>
    <w:rsid w:val="003E63CA"/>
    <w:rsid w:val="003E63D9"/>
    <w:rsid w:val="003E63EB"/>
    <w:rsid w:val="003E63F6"/>
    <w:rsid w:val="003E6416"/>
    <w:rsid w:val="003E6418"/>
    <w:rsid w:val="003E647E"/>
    <w:rsid w:val="003E6481"/>
    <w:rsid w:val="003E64C0"/>
    <w:rsid w:val="003E6500"/>
    <w:rsid w:val="003E6594"/>
    <w:rsid w:val="003E659E"/>
    <w:rsid w:val="003E65A2"/>
    <w:rsid w:val="003E65D3"/>
    <w:rsid w:val="003E65F6"/>
    <w:rsid w:val="003E660F"/>
    <w:rsid w:val="003E6636"/>
    <w:rsid w:val="003E665A"/>
    <w:rsid w:val="003E6677"/>
    <w:rsid w:val="003E667D"/>
    <w:rsid w:val="003E66C4"/>
    <w:rsid w:val="003E66D4"/>
    <w:rsid w:val="003E66F5"/>
    <w:rsid w:val="003E6741"/>
    <w:rsid w:val="003E6743"/>
    <w:rsid w:val="003E67E4"/>
    <w:rsid w:val="003E67F8"/>
    <w:rsid w:val="003E683F"/>
    <w:rsid w:val="003E685F"/>
    <w:rsid w:val="003E68A4"/>
    <w:rsid w:val="003E68C5"/>
    <w:rsid w:val="003E68ED"/>
    <w:rsid w:val="003E6909"/>
    <w:rsid w:val="003E6911"/>
    <w:rsid w:val="003E6923"/>
    <w:rsid w:val="003E696F"/>
    <w:rsid w:val="003E6981"/>
    <w:rsid w:val="003E6992"/>
    <w:rsid w:val="003E69C6"/>
    <w:rsid w:val="003E69F6"/>
    <w:rsid w:val="003E6A8E"/>
    <w:rsid w:val="003E6A9D"/>
    <w:rsid w:val="003E6A9E"/>
    <w:rsid w:val="003E6AA3"/>
    <w:rsid w:val="003E6AB2"/>
    <w:rsid w:val="003E6ABA"/>
    <w:rsid w:val="003E6ABD"/>
    <w:rsid w:val="003E6ADD"/>
    <w:rsid w:val="003E6B17"/>
    <w:rsid w:val="003E6B57"/>
    <w:rsid w:val="003E6B59"/>
    <w:rsid w:val="003E6B69"/>
    <w:rsid w:val="003E6BB4"/>
    <w:rsid w:val="003E6BC5"/>
    <w:rsid w:val="003E6BCB"/>
    <w:rsid w:val="003E6BCD"/>
    <w:rsid w:val="003E6BD2"/>
    <w:rsid w:val="003E6C02"/>
    <w:rsid w:val="003E6C2A"/>
    <w:rsid w:val="003E6CCD"/>
    <w:rsid w:val="003E6CEE"/>
    <w:rsid w:val="003E6D4A"/>
    <w:rsid w:val="003E6D67"/>
    <w:rsid w:val="003E6D9D"/>
    <w:rsid w:val="003E6DFD"/>
    <w:rsid w:val="003E6E28"/>
    <w:rsid w:val="003E6E37"/>
    <w:rsid w:val="003E6E4D"/>
    <w:rsid w:val="003E6E6B"/>
    <w:rsid w:val="003E6EBC"/>
    <w:rsid w:val="003E6EDB"/>
    <w:rsid w:val="003E6F5B"/>
    <w:rsid w:val="003E6F71"/>
    <w:rsid w:val="003E6FD2"/>
    <w:rsid w:val="003E6FE3"/>
    <w:rsid w:val="003E701F"/>
    <w:rsid w:val="003E7047"/>
    <w:rsid w:val="003E7051"/>
    <w:rsid w:val="003E70BC"/>
    <w:rsid w:val="003E70F9"/>
    <w:rsid w:val="003E7173"/>
    <w:rsid w:val="003E7187"/>
    <w:rsid w:val="003E722F"/>
    <w:rsid w:val="003E7277"/>
    <w:rsid w:val="003E7318"/>
    <w:rsid w:val="003E733D"/>
    <w:rsid w:val="003E73AE"/>
    <w:rsid w:val="003E7417"/>
    <w:rsid w:val="003E7418"/>
    <w:rsid w:val="003E7428"/>
    <w:rsid w:val="003E7431"/>
    <w:rsid w:val="003E7441"/>
    <w:rsid w:val="003E7481"/>
    <w:rsid w:val="003E749E"/>
    <w:rsid w:val="003E74B5"/>
    <w:rsid w:val="003E74DD"/>
    <w:rsid w:val="003E74E8"/>
    <w:rsid w:val="003E74FC"/>
    <w:rsid w:val="003E750D"/>
    <w:rsid w:val="003E75C7"/>
    <w:rsid w:val="003E7664"/>
    <w:rsid w:val="003E76D0"/>
    <w:rsid w:val="003E76E5"/>
    <w:rsid w:val="003E76F3"/>
    <w:rsid w:val="003E770E"/>
    <w:rsid w:val="003E7724"/>
    <w:rsid w:val="003E7790"/>
    <w:rsid w:val="003E77AC"/>
    <w:rsid w:val="003E7821"/>
    <w:rsid w:val="003E782F"/>
    <w:rsid w:val="003E7856"/>
    <w:rsid w:val="003E7863"/>
    <w:rsid w:val="003E7892"/>
    <w:rsid w:val="003E78A4"/>
    <w:rsid w:val="003E78B1"/>
    <w:rsid w:val="003E78BA"/>
    <w:rsid w:val="003E79B5"/>
    <w:rsid w:val="003E79DC"/>
    <w:rsid w:val="003E7A13"/>
    <w:rsid w:val="003E7A71"/>
    <w:rsid w:val="003E7AA8"/>
    <w:rsid w:val="003E7AC2"/>
    <w:rsid w:val="003E7AE3"/>
    <w:rsid w:val="003E7B08"/>
    <w:rsid w:val="003E7B3F"/>
    <w:rsid w:val="003E7B9A"/>
    <w:rsid w:val="003E7BCE"/>
    <w:rsid w:val="003E7C0B"/>
    <w:rsid w:val="003E7C14"/>
    <w:rsid w:val="003E7C24"/>
    <w:rsid w:val="003E7C3E"/>
    <w:rsid w:val="003E7C65"/>
    <w:rsid w:val="003E7C69"/>
    <w:rsid w:val="003E7CA5"/>
    <w:rsid w:val="003E7CEB"/>
    <w:rsid w:val="003E7D01"/>
    <w:rsid w:val="003E7D43"/>
    <w:rsid w:val="003E7D46"/>
    <w:rsid w:val="003E7D4D"/>
    <w:rsid w:val="003E7DD0"/>
    <w:rsid w:val="003E7DD6"/>
    <w:rsid w:val="003E7E15"/>
    <w:rsid w:val="003E7E68"/>
    <w:rsid w:val="003E7E6B"/>
    <w:rsid w:val="003E7E90"/>
    <w:rsid w:val="003E7EE3"/>
    <w:rsid w:val="003E7F53"/>
    <w:rsid w:val="003E7F77"/>
    <w:rsid w:val="003E7F95"/>
    <w:rsid w:val="003E7F96"/>
    <w:rsid w:val="003E7FA9"/>
    <w:rsid w:val="003E7FB3"/>
    <w:rsid w:val="003E7FDE"/>
    <w:rsid w:val="003F002A"/>
    <w:rsid w:val="003F0058"/>
    <w:rsid w:val="003F00D2"/>
    <w:rsid w:val="003F00D7"/>
    <w:rsid w:val="003F0107"/>
    <w:rsid w:val="003F010F"/>
    <w:rsid w:val="003F0110"/>
    <w:rsid w:val="003F019F"/>
    <w:rsid w:val="003F01A6"/>
    <w:rsid w:val="003F01B5"/>
    <w:rsid w:val="003F01D3"/>
    <w:rsid w:val="003F01DA"/>
    <w:rsid w:val="003F020A"/>
    <w:rsid w:val="003F0219"/>
    <w:rsid w:val="003F0245"/>
    <w:rsid w:val="003F025E"/>
    <w:rsid w:val="003F026B"/>
    <w:rsid w:val="003F0282"/>
    <w:rsid w:val="003F029A"/>
    <w:rsid w:val="003F02DF"/>
    <w:rsid w:val="003F033A"/>
    <w:rsid w:val="003F0395"/>
    <w:rsid w:val="003F03DA"/>
    <w:rsid w:val="003F03DE"/>
    <w:rsid w:val="003F03E6"/>
    <w:rsid w:val="003F0436"/>
    <w:rsid w:val="003F0468"/>
    <w:rsid w:val="003F04B6"/>
    <w:rsid w:val="003F04C3"/>
    <w:rsid w:val="003F04FB"/>
    <w:rsid w:val="003F051D"/>
    <w:rsid w:val="003F0550"/>
    <w:rsid w:val="003F0568"/>
    <w:rsid w:val="003F0574"/>
    <w:rsid w:val="003F05CC"/>
    <w:rsid w:val="003F05FD"/>
    <w:rsid w:val="003F064E"/>
    <w:rsid w:val="003F0668"/>
    <w:rsid w:val="003F0681"/>
    <w:rsid w:val="003F06A6"/>
    <w:rsid w:val="003F0706"/>
    <w:rsid w:val="003F079A"/>
    <w:rsid w:val="003F07AE"/>
    <w:rsid w:val="003F07D4"/>
    <w:rsid w:val="003F0810"/>
    <w:rsid w:val="003F082F"/>
    <w:rsid w:val="003F084D"/>
    <w:rsid w:val="003F08D4"/>
    <w:rsid w:val="003F08EC"/>
    <w:rsid w:val="003F08EE"/>
    <w:rsid w:val="003F0911"/>
    <w:rsid w:val="003F0984"/>
    <w:rsid w:val="003F098A"/>
    <w:rsid w:val="003F09C0"/>
    <w:rsid w:val="003F09C5"/>
    <w:rsid w:val="003F09C8"/>
    <w:rsid w:val="003F09DC"/>
    <w:rsid w:val="003F0A17"/>
    <w:rsid w:val="003F0A19"/>
    <w:rsid w:val="003F0A22"/>
    <w:rsid w:val="003F0A46"/>
    <w:rsid w:val="003F0A90"/>
    <w:rsid w:val="003F0B10"/>
    <w:rsid w:val="003F0B5B"/>
    <w:rsid w:val="003F0B93"/>
    <w:rsid w:val="003F0B9E"/>
    <w:rsid w:val="003F0BB6"/>
    <w:rsid w:val="003F0BC5"/>
    <w:rsid w:val="003F0BCF"/>
    <w:rsid w:val="003F0BED"/>
    <w:rsid w:val="003F0C19"/>
    <w:rsid w:val="003F0C26"/>
    <w:rsid w:val="003F0C2D"/>
    <w:rsid w:val="003F0C4E"/>
    <w:rsid w:val="003F0C81"/>
    <w:rsid w:val="003F0CAB"/>
    <w:rsid w:val="003F0CB6"/>
    <w:rsid w:val="003F0CFD"/>
    <w:rsid w:val="003F0D0E"/>
    <w:rsid w:val="003F0D20"/>
    <w:rsid w:val="003F0D6A"/>
    <w:rsid w:val="003F0D97"/>
    <w:rsid w:val="003F0DAA"/>
    <w:rsid w:val="003F0E50"/>
    <w:rsid w:val="003F0EB6"/>
    <w:rsid w:val="003F0EBE"/>
    <w:rsid w:val="003F0EEA"/>
    <w:rsid w:val="003F0EF9"/>
    <w:rsid w:val="003F0F06"/>
    <w:rsid w:val="003F0F6F"/>
    <w:rsid w:val="003F0F84"/>
    <w:rsid w:val="003F0F90"/>
    <w:rsid w:val="003F0FC8"/>
    <w:rsid w:val="003F0FD1"/>
    <w:rsid w:val="003F101E"/>
    <w:rsid w:val="003F1031"/>
    <w:rsid w:val="003F1095"/>
    <w:rsid w:val="003F1101"/>
    <w:rsid w:val="003F110A"/>
    <w:rsid w:val="003F1117"/>
    <w:rsid w:val="003F113A"/>
    <w:rsid w:val="003F1181"/>
    <w:rsid w:val="003F11E3"/>
    <w:rsid w:val="003F11F5"/>
    <w:rsid w:val="003F1245"/>
    <w:rsid w:val="003F1247"/>
    <w:rsid w:val="003F1295"/>
    <w:rsid w:val="003F12BF"/>
    <w:rsid w:val="003F12C8"/>
    <w:rsid w:val="003F130D"/>
    <w:rsid w:val="003F1380"/>
    <w:rsid w:val="003F13AD"/>
    <w:rsid w:val="003F13EB"/>
    <w:rsid w:val="003F143D"/>
    <w:rsid w:val="003F143F"/>
    <w:rsid w:val="003F146C"/>
    <w:rsid w:val="003F149B"/>
    <w:rsid w:val="003F149D"/>
    <w:rsid w:val="003F14A1"/>
    <w:rsid w:val="003F14CE"/>
    <w:rsid w:val="003F14D9"/>
    <w:rsid w:val="003F1576"/>
    <w:rsid w:val="003F1585"/>
    <w:rsid w:val="003F158E"/>
    <w:rsid w:val="003F1590"/>
    <w:rsid w:val="003F15A2"/>
    <w:rsid w:val="003F15BE"/>
    <w:rsid w:val="003F15DC"/>
    <w:rsid w:val="003F165F"/>
    <w:rsid w:val="003F1667"/>
    <w:rsid w:val="003F169C"/>
    <w:rsid w:val="003F16B0"/>
    <w:rsid w:val="003F177F"/>
    <w:rsid w:val="003F17CB"/>
    <w:rsid w:val="003F17DD"/>
    <w:rsid w:val="003F180C"/>
    <w:rsid w:val="003F1864"/>
    <w:rsid w:val="003F18C4"/>
    <w:rsid w:val="003F18CB"/>
    <w:rsid w:val="003F18D4"/>
    <w:rsid w:val="003F1900"/>
    <w:rsid w:val="003F1929"/>
    <w:rsid w:val="003F192B"/>
    <w:rsid w:val="003F192C"/>
    <w:rsid w:val="003F198A"/>
    <w:rsid w:val="003F1991"/>
    <w:rsid w:val="003F19A8"/>
    <w:rsid w:val="003F1A06"/>
    <w:rsid w:val="003F1A32"/>
    <w:rsid w:val="003F1A6B"/>
    <w:rsid w:val="003F1A94"/>
    <w:rsid w:val="003F1A98"/>
    <w:rsid w:val="003F1AA0"/>
    <w:rsid w:val="003F1AE2"/>
    <w:rsid w:val="003F1BB8"/>
    <w:rsid w:val="003F1BDD"/>
    <w:rsid w:val="003F1C0F"/>
    <w:rsid w:val="003F1C81"/>
    <w:rsid w:val="003F1CDD"/>
    <w:rsid w:val="003F1CF3"/>
    <w:rsid w:val="003F1D0C"/>
    <w:rsid w:val="003F1D10"/>
    <w:rsid w:val="003F1D18"/>
    <w:rsid w:val="003F1D66"/>
    <w:rsid w:val="003F1D6C"/>
    <w:rsid w:val="003F1D7E"/>
    <w:rsid w:val="003F1D81"/>
    <w:rsid w:val="003F1DA3"/>
    <w:rsid w:val="003F1DB0"/>
    <w:rsid w:val="003F1DB3"/>
    <w:rsid w:val="003F1DB8"/>
    <w:rsid w:val="003F1DC2"/>
    <w:rsid w:val="003F1DED"/>
    <w:rsid w:val="003F1E29"/>
    <w:rsid w:val="003F1E2E"/>
    <w:rsid w:val="003F1E44"/>
    <w:rsid w:val="003F1E48"/>
    <w:rsid w:val="003F1E84"/>
    <w:rsid w:val="003F1EA3"/>
    <w:rsid w:val="003F1EFB"/>
    <w:rsid w:val="003F1F25"/>
    <w:rsid w:val="003F1F49"/>
    <w:rsid w:val="003F1F8C"/>
    <w:rsid w:val="003F1FC4"/>
    <w:rsid w:val="003F1FD2"/>
    <w:rsid w:val="003F200E"/>
    <w:rsid w:val="003F2016"/>
    <w:rsid w:val="003F208E"/>
    <w:rsid w:val="003F20A2"/>
    <w:rsid w:val="003F20F2"/>
    <w:rsid w:val="003F2108"/>
    <w:rsid w:val="003F210C"/>
    <w:rsid w:val="003F2146"/>
    <w:rsid w:val="003F21A7"/>
    <w:rsid w:val="003F21C7"/>
    <w:rsid w:val="003F21E5"/>
    <w:rsid w:val="003F220C"/>
    <w:rsid w:val="003F2222"/>
    <w:rsid w:val="003F2262"/>
    <w:rsid w:val="003F22B1"/>
    <w:rsid w:val="003F22BF"/>
    <w:rsid w:val="003F22C2"/>
    <w:rsid w:val="003F22E4"/>
    <w:rsid w:val="003F232F"/>
    <w:rsid w:val="003F234E"/>
    <w:rsid w:val="003F23A9"/>
    <w:rsid w:val="003F23B4"/>
    <w:rsid w:val="003F2424"/>
    <w:rsid w:val="003F244E"/>
    <w:rsid w:val="003F246D"/>
    <w:rsid w:val="003F2597"/>
    <w:rsid w:val="003F25B2"/>
    <w:rsid w:val="003F25BD"/>
    <w:rsid w:val="003F25CB"/>
    <w:rsid w:val="003F2605"/>
    <w:rsid w:val="003F263A"/>
    <w:rsid w:val="003F2664"/>
    <w:rsid w:val="003F2682"/>
    <w:rsid w:val="003F26DA"/>
    <w:rsid w:val="003F26F1"/>
    <w:rsid w:val="003F270B"/>
    <w:rsid w:val="003F2732"/>
    <w:rsid w:val="003F2750"/>
    <w:rsid w:val="003F2765"/>
    <w:rsid w:val="003F27A3"/>
    <w:rsid w:val="003F27C4"/>
    <w:rsid w:val="003F281A"/>
    <w:rsid w:val="003F2842"/>
    <w:rsid w:val="003F2843"/>
    <w:rsid w:val="003F285C"/>
    <w:rsid w:val="003F2873"/>
    <w:rsid w:val="003F287B"/>
    <w:rsid w:val="003F2880"/>
    <w:rsid w:val="003F2921"/>
    <w:rsid w:val="003F2938"/>
    <w:rsid w:val="003F2946"/>
    <w:rsid w:val="003F295E"/>
    <w:rsid w:val="003F2964"/>
    <w:rsid w:val="003F29A5"/>
    <w:rsid w:val="003F2A18"/>
    <w:rsid w:val="003F2A2E"/>
    <w:rsid w:val="003F2A30"/>
    <w:rsid w:val="003F2A5D"/>
    <w:rsid w:val="003F2ADF"/>
    <w:rsid w:val="003F2B0D"/>
    <w:rsid w:val="003F2B5E"/>
    <w:rsid w:val="003F2B6F"/>
    <w:rsid w:val="003F2B9D"/>
    <w:rsid w:val="003F2BB1"/>
    <w:rsid w:val="003F2C0A"/>
    <w:rsid w:val="003F2C1C"/>
    <w:rsid w:val="003F2C2B"/>
    <w:rsid w:val="003F2C38"/>
    <w:rsid w:val="003F2C60"/>
    <w:rsid w:val="003F2C8B"/>
    <w:rsid w:val="003F2D35"/>
    <w:rsid w:val="003F2D37"/>
    <w:rsid w:val="003F2D99"/>
    <w:rsid w:val="003F2DE7"/>
    <w:rsid w:val="003F2E1C"/>
    <w:rsid w:val="003F2E3B"/>
    <w:rsid w:val="003F2E86"/>
    <w:rsid w:val="003F2EDE"/>
    <w:rsid w:val="003F2EE6"/>
    <w:rsid w:val="003F2EEA"/>
    <w:rsid w:val="003F2F23"/>
    <w:rsid w:val="003F2F26"/>
    <w:rsid w:val="003F2F39"/>
    <w:rsid w:val="003F2F3F"/>
    <w:rsid w:val="003F2F75"/>
    <w:rsid w:val="003F2FF8"/>
    <w:rsid w:val="003F300C"/>
    <w:rsid w:val="003F3011"/>
    <w:rsid w:val="003F302E"/>
    <w:rsid w:val="003F308F"/>
    <w:rsid w:val="003F30A1"/>
    <w:rsid w:val="003F30E2"/>
    <w:rsid w:val="003F30EB"/>
    <w:rsid w:val="003F311D"/>
    <w:rsid w:val="003F3134"/>
    <w:rsid w:val="003F31F1"/>
    <w:rsid w:val="003F3212"/>
    <w:rsid w:val="003F327B"/>
    <w:rsid w:val="003F32E7"/>
    <w:rsid w:val="003F3319"/>
    <w:rsid w:val="003F3338"/>
    <w:rsid w:val="003F3345"/>
    <w:rsid w:val="003F336B"/>
    <w:rsid w:val="003F3385"/>
    <w:rsid w:val="003F3393"/>
    <w:rsid w:val="003F3401"/>
    <w:rsid w:val="003F3407"/>
    <w:rsid w:val="003F342E"/>
    <w:rsid w:val="003F34E3"/>
    <w:rsid w:val="003F3511"/>
    <w:rsid w:val="003F3568"/>
    <w:rsid w:val="003F3580"/>
    <w:rsid w:val="003F358F"/>
    <w:rsid w:val="003F35A3"/>
    <w:rsid w:val="003F35AD"/>
    <w:rsid w:val="003F362D"/>
    <w:rsid w:val="003F3641"/>
    <w:rsid w:val="003F3653"/>
    <w:rsid w:val="003F365A"/>
    <w:rsid w:val="003F3692"/>
    <w:rsid w:val="003F36A0"/>
    <w:rsid w:val="003F36BF"/>
    <w:rsid w:val="003F36CF"/>
    <w:rsid w:val="003F36F7"/>
    <w:rsid w:val="003F36FE"/>
    <w:rsid w:val="003F3737"/>
    <w:rsid w:val="003F3746"/>
    <w:rsid w:val="003F3771"/>
    <w:rsid w:val="003F3788"/>
    <w:rsid w:val="003F37C2"/>
    <w:rsid w:val="003F3837"/>
    <w:rsid w:val="003F3841"/>
    <w:rsid w:val="003F385A"/>
    <w:rsid w:val="003F387E"/>
    <w:rsid w:val="003F38B7"/>
    <w:rsid w:val="003F38B9"/>
    <w:rsid w:val="003F3912"/>
    <w:rsid w:val="003F392D"/>
    <w:rsid w:val="003F3950"/>
    <w:rsid w:val="003F3951"/>
    <w:rsid w:val="003F3954"/>
    <w:rsid w:val="003F3963"/>
    <w:rsid w:val="003F396C"/>
    <w:rsid w:val="003F39BF"/>
    <w:rsid w:val="003F39F1"/>
    <w:rsid w:val="003F3A1D"/>
    <w:rsid w:val="003F3A40"/>
    <w:rsid w:val="003F3A74"/>
    <w:rsid w:val="003F3AAF"/>
    <w:rsid w:val="003F3AB6"/>
    <w:rsid w:val="003F3B10"/>
    <w:rsid w:val="003F3B11"/>
    <w:rsid w:val="003F3B7F"/>
    <w:rsid w:val="003F3B99"/>
    <w:rsid w:val="003F3BBD"/>
    <w:rsid w:val="003F3C04"/>
    <w:rsid w:val="003F3C3A"/>
    <w:rsid w:val="003F3C81"/>
    <w:rsid w:val="003F3C8C"/>
    <w:rsid w:val="003F3CBA"/>
    <w:rsid w:val="003F3CEE"/>
    <w:rsid w:val="003F3D0F"/>
    <w:rsid w:val="003F3D4E"/>
    <w:rsid w:val="003F3DD0"/>
    <w:rsid w:val="003F3DFF"/>
    <w:rsid w:val="003F3E23"/>
    <w:rsid w:val="003F3E6D"/>
    <w:rsid w:val="003F3EB1"/>
    <w:rsid w:val="003F3EC1"/>
    <w:rsid w:val="003F3ECF"/>
    <w:rsid w:val="003F3F06"/>
    <w:rsid w:val="003F3F6E"/>
    <w:rsid w:val="003F3F77"/>
    <w:rsid w:val="003F3FCC"/>
    <w:rsid w:val="003F3FE5"/>
    <w:rsid w:val="003F406A"/>
    <w:rsid w:val="003F406B"/>
    <w:rsid w:val="003F407F"/>
    <w:rsid w:val="003F4099"/>
    <w:rsid w:val="003F409E"/>
    <w:rsid w:val="003F40A1"/>
    <w:rsid w:val="003F40E0"/>
    <w:rsid w:val="003F40E5"/>
    <w:rsid w:val="003F416F"/>
    <w:rsid w:val="003F417B"/>
    <w:rsid w:val="003F41FE"/>
    <w:rsid w:val="003F4242"/>
    <w:rsid w:val="003F424E"/>
    <w:rsid w:val="003F42E2"/>
    <w:rsid w:val="003F42F5"/>
    <w:rsid w:val="003F4300"/>
    <w:rsid w:val="003F4307"/>
    <w:rsid w:val="003F4397"/>
    <w:rsid w:val="003F43A9"/>
    <w:rsid w:val="003F43B9"/>
    <w:rsid w:val="003F441F"/>
    <w:rsid w:val="003F444A"/>
    <w:rsid w:val="003F4450"/>
    <w:rsid w:val="003F44A0"/>
    <w:rsid w:val="003F44B2"/>
    <w:rsid w:val="003F44BA"/>
    <w:rsid w:val="003F4507"/>
    <w:rsid w:val="003F4512"/>
    <w:rsid w:val="003F454C"/>
    <w:rsid w:val="003F45DE"/>
    <w:rsid w:val="003F45E2"/>
    <w:rsid w:val="003F45E9"/>
    <w:rsid w:val="003F45F4"/>
    <w:rsid w:val="003F463E"/>
    <w:rsid w:val="003F465D"/>
    <w:rsid w:val="003F4685"/>
    <w:rsid w:val="003F4746"/>
    <w:rsid w:val="003F475F"/>
    <w:rsid w:val="003F4783"/>
    <w:rsid w:val="003F4792"/>
    <w:rsid w:val="003F47A6"/>
    <w:rsid w:val="003F47AC"/>
    <w:rsid w:val="003F47B6"/>
    <w:rsid w:val="003F47F3"/>
    <w:rsid w:val="003F47F4"/>
    <w:rsid w:val="003F47FF"/>
    <w:rsid w:val="003F481C"/>
    <w:rsid w:val="003F4873"/>
    <w:rsid w:val="003F48A3"/>
    <w:rsid w:val="003F48B1"/>
    <w:rsid w:val="003F48D5"/>
    <w:rsid w:val="003F495A"/>
    <w:rsid w:val="003F4962"/>
    <w:rsid w:val="003F499C"/>
    <w:rsid w:val="003F49A7"/>
    <w:rsid w:val="003F4A32"/>
    <w:rsid w:val="003F4A5A"/>
    <w:rsid w:val="003F4A6F"/>
    <w:rsid w:val="003F4A8E"/>
    <w:rsid w:val="003F4A8F"/>
    <w:rsid w:val="003F4A90"/>
    <w:rsid w:val="003F4AAC"/>
    <w:rsid w:val="003F4ABC"/>
    <w:rsid w:val="003F4ADB"/>
    <w:rsid w:val="003F4B22"/>
    <w:rsid w:val="003F4BC3"/>
    <w:rsid w:val="003F4BC8"/>
    <w:rsid w:val="003F4BD7"/>
    <w:rsid w:val="003F4BE4"/>
    <w:rsid w:val="003F4C4F"/>
    <w:rsid w:val="003F4C7B"/>
    <w:rsid w:val="003F4C9F"/>
    <w:rsid w:val="003F4CBC"/>
    <w:rsid w:val="003F4D9E"/>
    <w:rsid w:val="003F4DB1"/>
    <w:rsid w:val="003F4DB2"/>
    <w:rsid w:val="003F4DF1"/>
    <w:rsid w:val="003F4DF8"/>
    <w:rsid w:val="003F4E30"/>
    <w:rsid w:val="003F4EB5"/>
    <w:rsid w:val="003F4F27"/>
    <w:rsid w:val="003F4F8F"/>
    <w:rsid w:val="003F4FAE"/>
    <w:rsid w:val="003F4FF6"/>
    <w:rsid w:val="003F500B"/>
    <w:rsid w:val="003F502A"/>
    <w:rsid w:val="003F5077"/>
    <w:rsid w:val="003F50A9"/>
    <w:rsid w:val="003F50B9"/>
    <w:rsid w:val="003F50E9"/>
    <w:rsid w:val="003F50FF"/>
    <w:rsid w:val="003F512E"/>
    <w:rsid w:val="003F5148"/>
    <w:rsid w:val="003F514E"/>
    <w:rsid w:val="003F51F2"/>
    <w:rsid w:val="003F5248"/>
    <w:rsid w:val="003F5276"/>
    <w:rsid w:val="003F52BC"/>
    <w:rsid w:val="003F52DA"/>
    <w:rsid w:val="003F5387"/>
    <w:rsid w:val="003F53EF"/>
    <w:rsid w:val="003F542C"/>
    <w:rsid w:val="003F543F"/>
    <w:rsid w:val="003F544A"/>
    <w:rsid w:val="003F546D"/>
    <w:rsid w:val="003F54B0"/>
    <w:rsid w:val="003F54DE"/>
    <w:rsid w:val="003F54F3"/>
    <w:rsid w:val="003F5506"/>
    <w:rsid w:val="003F5524"/>
    <w:rsid w:val="003F5546"/>
    <w:rsid w:val="003F5559"/>
    <w:rsid w:val="003F5596"/>
    <w:rsid w:val="003F55B7"/>
    <w:rsid w:val="003F55E7"/>
    <w:rsid w:val="003F5690"/>
    <w:rsid w:val="003F56C9"/>
    <w:rsid w:val="003F56FC"/>
    <w:rsid w:val="003F5701"/>
    <w:rsid w:val="003F5709"/>
    <w:rsid w:val="003F5755"/>
    <w:rsid w:val="003F5776"/>
    <w:rsid w:val="003F579C"/>
    <w:rsid w:val="003F57BB"/>
    <w:rsid w:val="003F57DF"/>
    <w:rsid w:val="003F5878"/>
    <w:rsid w:val="003F5911"/>
    <w:rsid w:val="003F5954"/>
    <w:rsid w:val="003F59E3"/>
    <w:rsid w:val="003F59F9"/>
    <w:rsid w:val="003F5A1A"/>
    <w:rsid w:val="003F5A35"/>
    <w:rsid w:val="003F5A52"/>
    <w:rsid w:val="003F5A5F"/>
    <w:rsid w:val="003F5AB9"/>
    <w:rsid w:val="003F5AFB"/>
    <w:rsid w:val="003F5B13"/>
    <w:rsid w:val="003F5B1C"/>
    <w:rsid w:val="003F5B1F"/>
    <w:rsid w:val="003F5B40"/>
    <w:rsid w:val="003F5B57"/>
    <w:rsid w:val="003F5B5C"/>
    <w:rsid w:val="003F5B6E"/>
    <w:rsid w:val="003F5B8D"/>
    <w:rsid w:val="003F5BC3"/>
    <w:rsid w:val="003F5BC7"/>
    <w:rsid w:val="003F5BE6"/>
    <w:rsid w:val="003F5C35"/>
    <w:rsid w:val="003F5C3A"/>
    <w:rsid w:val="003F5C7B"/>
    <w:rsid w:val="003F5C89"/>
    <w:rsid w:val="003F5C90"/>
    <w:rsid w:val="003F5CB1"/>
    <w:rsid w:val="003F5CD3"/>
    <w:rsid w:val="003F5D64"/>
    <w:rsid w:val="003F5D97"/>
    <w:rsid w:val="003F5DB1"/>
    <w:rsid w:val="003F5DBE"/>
    <w:rsid w:val="003F5E42"/>
    <w:rsid w:val="003F5EA6"/>
    <w:rsid w:val="003F5EB3"/>
    <w:rsid w:val="003F5EC7"/>
    <w:rsid w:val="003F5F19"/>
    <w:rsid w:val="003F5F25"/>
    <w:rsid w:val="003F5F3D"/>
    <w:rsid w:val="003F5F64"/>
    <w:rsid w:val="003F5F9F"/>
    <w:rsid w:val="003F600C"/>
    <w:rsid w:val="003F6011"/>
    <w:rsid w:val="003F603A"/>
    <w:rsid w:val="003F6087"/>
    <w:rsid w:val="003F6096"/>
    <w:rsid w:val="003F6098"/>
    <w:rsid w:val="003F6108"/>
    <w:rsid w:val="003F611B"/>
    <w:rsid w:val="003F611E"/>
    <w:rsid w:val="003F6195"/>
    <w:rsid w:val="003F61B0"/>
    <w:rsid w:val="003F61DB"/>
    <w:rsid w:val="003F62DD"/>
    <w:rsid w:val="003F6395"/>
    <w:rsid w:val="003F63FB"/>
    <w:rsid w:val="003F6416"/>
    <w:rsid w:val="003F641E"/>
    <w:rsid w:val="003F6423"/>
    <w:rsid w:val="003F6428"/>
    <w:rsid w:val="003F6432"/>
    <w:rsid w:val="003F6478"/>
    <w:rsid w:val="003F6481"/>
    <w:rsid w:val="003F6524"/>
    <w:rsid w:val="003F65C0"/>
    <w:rsid w:val="003F65EC"/>
    <w:rsid w:val="003F6603"/>
    <w:rsid w:val="003F6646"/>
    <w:rsid w:val="003F66A3"/>
    <w:rsid w:val="003F66EC"/>
    <w:rsid w:val="003F66F4"/>
    <w:rsid w:val="003F670D"/>
    <w:rsid w:val="003F6783"/>
    <w:rsid w:val="003F67B4"/>
    <w:rsid w:val="003F67CC"/>
    <w:rsid w:val="003F67FC"/>
    <w:rsid w:val="003F6831"/>
    <w:rsid w:val="003F6843"/>
    <w:rsid w:val="003F6858"/>
    <w:rsid w:val="003F68C6"/>
    <w:rsid w:val="003F68FF"/>
    <w:rsid w:val="003F697C"/>
    <w:rsid w:val="003F69BA"/>
    <w:rsid w:val="003F69D4"/>
    <w:rsid w:val="003F69E0"/>
    <w:rsid w:val="003F69FE"/>
    <w:rsid w:val="003F6A59"/>
    <w:rsid w:val="003F6A94"/>
    <w:rsid w:val="003F6A95"/>
    <w:rsid w:val="003F6AB3"/>
    <w:rsid w:val="003F6ABC"/>
    <w:rsid w:val="003F6ACD"/>
    <w:rsid w:val="003F6B06"/>
    <w:rsid w:val="003F6B88"/>
    <w:rsid w:val="003F6BBC"/>
    <w:rsid w:val="003F6BDC"/>
    <w:rsid w:val="003F6C89"/>
    <w:rsid w:val="003F6CC9"/>
    <w:rsid w:val="003F6CCD"/>
    <w:rsid w:val="003F6CD8"/>
    <w:rsid w:val="003F6D1D"/>
    <w:rsid w:val="003F6D5C"/>
    <w:rsid w:val="003F6D8F"/>
    <w:rsid w:val="003F6DA4"/>
    <w:rsid w:val="003F6DAB"/>
    <w:rsid w:val="003F6DD9"/>
    <w:rsid w:val="003F6E16"/>
    <w:rsid w:val="003F6E3B"/>
    <w:rsid w:val="003F6E59"/>
    <w:rsid w:val="003F6EB0"/>
    <w:rsid w:val="003F6EC3"/>
    <w:rsid w:val="003F6EE3"/>
    <w:rsid w:val="003F6F8B"/>
    <w:rsid w:val="003F6FEE"/>
    <w:rsid w:val="003F6FFC"/>
    <w:rsid w:val="003F7004"/>
    <w:rsid w:val="003F702B"/>
    <w:rsid w:val="003F7046"/>
    <w:rsid w:val="003F7057"/>
    <w:rsid w:val="003F7059"/>
    <w:rsid w:val="003F70D5"/>
    <w:rsid w:val="003F70E4"/>
    <w:rsid w:val="003F7103"/>
    <w:rsid w:val="003F7109"/>
    <w:rsid w:val="003F712E"/>
    <w:rsid w:val="003F7139"/>
    <w:rsid w:val="003F71CC"/>
    <w:rsid w:val="003F7228"/>
    <w:rsid w:val="003F722F"/>
    <w:rsid w:val="003F7260"/>
    <w:rsid w:val="003F7265"/>
    <w:rsid w:val="003F7286"/>
    <w:rsid w:val="003F72BF"/>
    <w:rsid w:val="003F7317"/>
    <w:rsid w:val="003F731B"/>
    <w:rsid w:val="003F733A"/>
    <w:rsid w:val="003F737E"/>
    <w:rsid w:val="003F73AE"/>
    <w:rsid w:val="003F73B8"/>
    <w:rsid w:val="003F73BA"/>
    <w:rsid w:val="003F7436"/>
    <w:rsid w:val="003F7447"/>
    <w:rsid w:val="003F74A7"/>
    <w:rsid w:val="003F74D8"/>
    <w:rsid w:val="003F7581"/>
    <w:rsid w:val="003F7596"/>
    <w:rsid w:val="003F75FB"/>
    <w:rsid w:val="003F764C"/>
    <w:rsid w:val="003F7659"/>
    <w:rsid w:val="003F766A"/>
    <w:rsid w:val="003F7673"/>
    <w:rsid w:val="003F7683"/>
    <w:rsid w:val="003F76A5"/>
    <w:rsid w:val="003F76EC"/>
    <w:rsid w:val="003F7702"/>
    <w:rsid w:val="003F772E"/>
    <w:rsid w:val="003F7734"/>
    <w:rsid w:val="003F77B3"/>
    <w:rsid w:val="003F780F"/>
    <w:rsid w:val="003F7868"/>
    <w:rsid w:val="003F7880"/>
    <w:rsid w:val="003F789E"/>
    <w:rsid w:val="003F78AE"/>
    <w:rsid w:val="003F7905"/>
    <w:rsid w:val="003F7919"/>
    <w:rsid w:val="003F7931"/>
    <w:rsid w:val="003F7942"/>
    <w:rsid w:val="003F794D"/>
    <w:rsid w:val="003F796D"/>
    <w:rsid w:val="003F7997"/>
    <w:rsid w:val="003F79A7"/>
    <w:rsid w:val="003F7A18"/>
    <w:rsid w:val="003F7A1B"/>
    <w:rsid w:val="003F7A30"/>
    <w:rsid w:val="003F7A4B"/>
    <w:rsid w:val="003F7ADE"/>
    <w:rsid w:val="003F7B40"/>
    <w:rsid w:val="003F7B6D"/>
    <w:rsid w:val="003F7B89"/>
    <w:rsid w:val="003F7BAD"/>
    <w:rsid w:val="003F7BC0"/>
    <w:rsid w:val="003F7BD1"/>
    <w:rsid w:val="003F7C22"/>
    <w:rsid w:val="003F7C53"/>
    <w:rsid w:val="003F7C70"/>
    <w:rsid w:val="003F7CB0"/>
    <w:rsid w:val="003F7CE7"/>
    <w:rsid w:val="003F7DC1"/>
    <w:rsid w:val="003F7DE4"/>
    <w:rsid w:val="003F7DF9"/>
    <w:rsid w:val="003F7E09"/>
    <w:rsid w:val="003F7ED5"/>
    <w:rsid w:val="003F7EEF"/>
    <w:rsid w:val="003F7F3D"/>
    <w:rsid w:val="003F7F77"/>
    <w:rsid w:val="003F7F89"/>
    <w:rsid w:val="003F7F93"/>
    <w:rsid w:val="003F7FBE"/>
    <w:rsid w:val="003F7FD3"/>
    <w:rsid w:val="003F7FD7"/>
    <w:rsid w:val="00400010"/>
    <w:rsid w:val="00400057"/>
    <w:rsid w:val="00400091"/>
    <w:rsid w:val="004000C7"/>
    <w:rsid w:val="00400124"/>
    <w:rsid w:val="0040015E"/>
    <w:rsid w:val="00400168"/>
    <w:rsid w:val="00400177"/>
    <w:rsid w:val="004001FB"/>
    <w:rsid w:val="00400256"/>
    <w:rsid w:val="00400299"/>
    <w:rsid w:val="004002D7"/>
    <w:rsid w:val="00400320"/>
    <w:rsid w:val="00400340"/>
    <w:rsid w:val="00400369"/>
    <w:rsid w:val="004003A3"/>
    <w:rsid w:val="004003C1"/>
    <w:rsid w:val="004003CC"/>
    <w:rsid w:val="004003F4"/>
    <w:rsid w:val="004004DC"/>
    <w:rsid w:val="004004E4"/>
    <w:rsid w:val="004004EB"/>
    <w:rsid w:val="004004FC"/>
    <w:rsid w:val="0040051F"/>
    <w:rsid w:val="00400521"/>
    <w:rsid w:val="00400525"/>
    <w:rsid w:val="0040052C"/>
    <w:rsid w:val="00400548"/>
    <w:rsid w:val="00400577"/>
    <w:rsid w:val="00400593"/>
    <w:rsid w:val="004005F4"/>
    <w:rsid w:val="00400600"/>
    <w:rsid w:val="00400613"/>
    <w:rsid w:val="0040062A"/>
    <w:rsid w:val="00400678"/>
    <w:rsid w:val="00400688"/>
    <w:rsid w:val="004006A8"/>
    <w:rsid w:val="004006BA"/>
    <w:rsid w:val="004006C1"/>
    <w:rsid w:val="004006E3"/>
    <w:rsid w:val="004006E6"/>
    <w:rsid w:val="00400714"/>
    <w:rsid w:val="00400739"/>
    <w:rsid w:val="00400763"/>
    <w:rsid w:val="00400765"/>
    <w:rsid w:val="00400775"/>
    <w:rsid w:val="004007D8"/>
    <w:rsid w:val="004007E5"/>
    <w:rsid w:val="0040083E"/>
    <w:rsid w:val="004008AD"/>
    <w:rsid w:val="004008B8"/>
    <w:rsid w:val="004008C3"/>
    <w:rsid w:val="004008F8"/>
    <w:rsid w:val="00400901"/>
    <w:rsid w:val="00400905"/>
    <w:rsid w:val="00400914"/>
    <w:rsid w:val="004009D9"/>
    <w:rsid w:val="00400A23"/>
    <w:rsid w:val="00400A3A"/>
    <w:rsid w:val="00400A82"/>
    <w:rsid w:val="00400A93"/>
    <w:rsid w:val="00400AB3"/>
    <w:rsid w:val="00400AE2"/>
    <w:rsid w:val="00400B05"/>
    <w:rsid w:val="00400B09"/>
    <w:rsid w:val="00400B4A"/>
    <w:rsid w:val="00400B83"/>
    <w:rsid w:val="00400BA2"/>
    <w:rsid w:val="00400BDF"/>
    <w:rsid w:val="00400C3B"/>
    <w:rsid w:val="00400C96"/>
    <w:rsid w:val="00400CA1"/>
    <w:rsid w:val="00400D29"/>
    <w:rsid w:val="00400D37"/>
    <w:rsid w:val="00400D3A"/>
    <w:rsid w:val="00400DB2"/>
    <w:rsid w:val="00400DCB"/>
    <w:rsid w:val="00400DEA"/>
    <w:rsid w:val="00400DFA"/>
    <w:rsid w:val="00400E12"/>
    <w:rsid w:val="00400E2E"/>
    <w:rsid w:val="00400E58"/>
    <w:rsid w:val="00400EAD"/>
    <w:rsid w:val="00400EEC"/>
    <w:rsid w:val="00400F71"/>
    <w:rsid w:val="00400F8B"/>
    <w:rsid w:val="00400FD3"/>
    <w:rsid w:val="00401006"/>
    <w:rsid w:val="00401014"/>
    <w:rsid w:val="0040105F"/>
    <w:rsid w:val="00401078"/>
    <w:rsid w:val="004010ED"/>
    <w:rsid w:val="00401135"/>
    <w:rsid w:val="0040113D"/>
    <w:rsid w:val="00401156"/>
    <w:rsid w:val="00401170"/>
    <w:rsid w:val="00401190"/>
    <w:rsid w:val="004011B0"/>
    <w:rsid w:val="004011C3"/>
    <w:rsid w:val="00401212"/>
    <w:rsid w:val="0040124B"/>
    <w:rsid w:val="004012B0"/>
    <w:rsid w:val="004012B1"/>
    <w:rsid w:val="0040132C"/>
    <w:rsid w:val="00401366"/>
    <w:rsid w:val="0040136D"/>
    <w:rsid w:val="004013A4"/>
    <w:rsid w:val="004013D5"/>
    <w:rsid w:val="004013E1"/>
    <w:rsid w:val="0040148C"/>
    <w:rsid w:val="004014CD"/>
    <w:rsid w:val="004014E9"/>
    <w:rsid w:val="0040152B"/>
    <w:rsid w:val="0040152D"/>
    <w:rsid w:val="00401538"/>
    <w:rsid w:val="0040153A"/>
    <w:rsid w:val="0040154D"/>
    <w:rsid w:val="0040157F"/>
    <w:rsid w:val="004015BF"/>
    <w:rsid w:val="004015C9"/>
    <w:rsid w:val="004015EF"/>
    <w:rsid w:val="00401630"/>
    <w:rsid w:val="004016BA"/>
    <w:rsid w:val="004016CD"/>
    <w:rsid w:val="00401728"/>
    <w:rsid w:val="0040172E"/>
    <w:rsid w:val="00401748"/>
    <w:rsid w:val="0040175E"/>
    <w:rsid w:val="00401796"/>
    <w:rsid w:val="004017AB"/>
    <w:rsid w:val="004017D0"/>
    <w:rsid w:val="004017E1"/>
    <w:rsid w:val="004017FB"/>
    <w:rsid w:val="004018A5"/>
    <w:rsid w:val="004018EC"/>
    <w:rsid w:val="0040192E"/>
    <w:rsid w:val="004019D5"/>
    <w:rsid w:val="00401A10"/>
    <w:rsid w:val="00401A80"/>
    <w:rsid w:val="00401A85"/>
    <w:rsid w:val="00401ACC"/>
    <w:rsid w:val="00401B11"/>
    <w:rsid w:val="00401B3F"/>
    <w:rsid w:val="00401B96"/>
    <w:rsid w:val="00401BB3"/>
    <w:rsid w:val="00401BBA"/>
    <w:rsid w:val="00401BC4"/>
    <w:rsid w:val="00401BC8"/>
    <w:rsid w:val="00401BCE"/>
    <w:rsid w:val="00401BF7"/>
    <w:rsid w:val="00401C0C"/>
    <w:rsid w:val="00401C14"/>
    <w:rsid w:val="00401C32"/>
    <w:rsid w:val="00401C55"/>
    <w:rsid w:val="00401CAE"/>
    <w:rsid w:val="00401CDE"/>
    <w:rsid w:val="00401CEB"/>
    <w:rsid w:val="00401D01"/>
    <w:rsid w:val="00401D1F"/>
    <w:rsid w:val="00401D51"/>
    <w:rsid w:val="00401D60"/>
    <w:rsid w:val="00401DA9"/>
    <w:rsid w:val="00401DEA"/>
    <w:rsid w:val="00401E37"/>
    <w:rsid w:val="00401E42"/>
    <w:rsid w:val="00401E7E"/>
    <w:rsid w:val="00401EB4"/>
    <w:rsid w:val="00401ED8"/>
    <w:rsid w:val="00401F1F"/>
    <w:rsid w:val="00401F20"/>
    <w:rsid w:val="00401F88"/>
    <w:rsid w:val="00401FCE"/>
    <w:rsid w:val="00401FFB"/>
    <w:rsid w:val="00402011"/>
    <w:rsid w:val="0040201A"/>
    <w:rsid w:val="0040203C"/>
    <w:rsid w:val="00402073"/>
    <w:rsid w:val="0040208E"/>
    <w:rsid w:val="00402091"/>
    <w:rsid w:val="004020A4"/>
    <w:rsid w:val="004020F8"/>
    <w:rsid w:val="004020FB"/>
    <w:rsid w:val="0040212A"/>
    <w:rsid w:val="00402160"/>
    <w:rsid w:val="0040216D"/>
    <w:rsid w:val="0040216F"/>
    <w:rsid w:val="0040218E"/>
    <w:rsid w:val="004021F6"/>
    <w:rsid w:val="00402222"/>
    <w:rsid w:val="0040224D"/>
    <w:rsid w:val="0040225F"/>
    <w:rsid w:val="00402286"/>
    <w:rsid w:val="0040228F"/>
    <w:rsid w:val="004022AF"/>
    <w:rsid w:val="004022C1"/>
    <w:rsid w:val="0040230F"/>
    <w:rsid w:val="00402358"/>
    <w:rsid w:val="004023A8"/>
    <w:rsid w:val="004023AA"/>
    <w:rsid w:val="004023F0"/>
    <w:rsid w:val="00402401"/>
    <w:rsid w:val="00402434"/>
    <w:rsid w:val="0040246F"/>
    <w:rsid w:val="00402487"/>
    <w:rsid w:val="004024A0"/>
    <w:rsid w:val="004024AB"/>
    <w:rsid w:val="004024C1"/>
    <w:rsid w:val="004024D4"/>
    <w:rsid w:val="00402510"/>
    <w:rsid w:val="00402521"/>
    <w:rsid w:val="00402547"/>
    <w:rsid w:val="00402562"/>
    <w:rsid w:val="00402570"/>
    <w:rsid w:val="00402584"/>
    <w:rsid w:val="0040258D"/>
    <w:rsid w:val="004025AF"/>
    <w:rsid w:val="004025CA"/>
    <w:rsid w:val="004026BA"/>
    <w:rsid w:val="00402708"/>
    <w:rsid w:val="0040273C"/>
    <w:rsid w:val="004027A9"/>
    <w:rsid w:val="00402830"/>
    <w:rsid w:val="00402834"/>
    <w:rsid w:val="00402835"/>
    <w:rsid w:val="0040283E"/>
    <w:rsid w:val="004028FD"/>
    <w:rsid w:val="00402903"/>
    <w:rsid w:val="0040290C"/>
    <w:rsid w:val="004029D5"/>
    <w:rsid w:val="00402A06"/>
    <w:rsid w:val="00402A14"/>
    <w:rsid w:val="00402A37"/>
    <w:rsid w:val="00402A4A"/>
    <w:rsid w:val="00402A6D"/>
    <w:rsid w:val="00402A81"/>
    <w:rsid w:val="00402AAB"/>
    <w:rsid w:val="00402AAC"/>
    <w:rsid w:val="00402ADE"/>
    <w:rsid w:val="00402AE4"/>
    <w:rsid w:val="00402B2B"/>
    <w:rsid w:val="00402B3C"/>
    <w:rsid w:val="00402B97"/>
    <w:rsid w:val="00402BDE"/>
    <w:rsid w:val="00402BFD"/>
    <w:rsid w:val="00402C0D"/>
    <w:rsid w:val="00402CA6"/>
    <w:rsid w:val="00402CB3"/>
    <w:rsid w:val="00402CDB"/>
    <w:rsid w:val="00402CF5"/>
    <w:rsid w:val="00402DAB"/>
    <w:rsid w:val="00402DAE"/>
    <w:rsid w:val="00402DB5"/>
    <w:rsid w:val="00402DEC"/>
    <w:rsid w:val="00402E02"/>
    <w:rsid w:val="00402E5B"/>
    <w:rsid w:val="00402E66"/>
    <w:rsid w:val="00402EA6"/>
    <w:rsid w:val="00402ED9"/>
    <w:rsid w:val="00402EED"/>
    <w:rsid w:val="00402F05"/>
    <w:rsid w:val="00402F2A"/>
    <w:rsid w:val="00402F42"/>
    <w:rsid w:val="00402F6C"/>
    <w:rsid w:val="00402F82"/>
    <w:rsid w:val="00402FA1"/>
    <w:rsid w:val="00402FB6"/>
    <w:rsid w:val="00402FD9"/>
    <w:rsid w:val="00402FF4"/>
    <w:rsid w:val="00403013"/>
    <w:rsid w:val="0040302E"/>
    <w:rsid w:val="00403095"/>
    <w:rsid w:val="004030A4"/>
    <w:rsid w:val="004030C4"/>
    <w:rsid w:val="004030DC"/>
    <w:rsid w:val="004030E3"/>
    <w:rsid w:val="004030FD"/>
    <w:rsid w:val="004031CA"/>
    <w:rsid w:val="004031ED"/>
    <w:rsid w:val="004031EE"/>
    <w:rsid w:val="0040320A"/>
    <w:rsid w:val="00403246"/>
    <w:rsid w:val="00403274"/>
    <w:rsid w:val="00403294"/>
    <w:rsid w:val="004032BD"/>
    <w:rsid w:val="004032D3"/>
    <w:rsid w:val="004032D9"/>
    <w:rsid w:val="00403318"/>
    <w:rsid w:val="00403397"/>
    <w:rsid w:val="004033D8"/>
    <w:rsid w:val="00403409"/>
    <w:rsid w:val="00403487"/>
    <w:rsid w:val="00403494"/>
    <w:rsid w:val="004034BD"/>
    <w:rsid w:val="004034C9"/>
    <w:rsid w:val="004034D0"/>
    <w:rsid w:val="00403600"/>
    <w:rsid w:val="00403649"/>
    <w:rsid w:val="0040368B"/>
    <w:rsid w:val="004036A5"/>
    <w:rsid w:val="004036BE"/>
    <w:rsid w:val="004036E4"/>
    <w:rsid w:val="004036F0"/>
    <w:rsid w:val="004036F3"/>
    <w:rsid w:val="004036F8"/>
    <w:rsid w:val="00403701"/>
    <w:rsid w:val="00403747"/>
    <w:rsid w:val="00403751"/>
    <w:rsid w:val="00403755"/>
    <w:rsid w:val="00403773"/>
    <w:rsid w:val="004037E1"/>
    <w:rsid w:val="0040388A"/>
    <w:rsid w:val="00403890"/>
    <w:rsid w:val="0040389C"/>
    <w:rsid w:val="00403946"/>
    <w:rsid w:val="00403978"/>
    <w:rsid w:val="00403990"/>
    <w:rsid w:val="004039B4"/>
    <w:rsid w:val="004039ED"/>
    <w:rsid w:val="00403A36"/>
    <w:rsid w:val="00403AC2"/>
    <w:rsid w:val="00403ACB"/>
    <w:rsid w:val="00403ACC"/>
    <w:rsid w:val="00403AE6"/>
    <w:rsid w:val="00403B04"/>
    <w:rsid w:val="00403B20"/>
    <w:rsid w:val="00403B29"/>
    <w:rsid w:val="00403B34"/>
    <w:rsid w:val="00403B3D"/>
    <w:rsid w:val="00403BBD"/>
    <w:rsid w:val="00403BDE"/>
    <w:rsid w:val="00403C45"/>
    <w:rsid w:val="00403C65"/>
    <w:rsid w:val="00403CC1"/>
    <w:rsid w:val="00403CCA"/>
    <w:rsid w:val="00403D23"/>
    <w:rsid w:val="00403D42"/>
    <w:rsid w:val="00403D56"/>
    <w:rsid w:val="00403D57"/>
    <w:rsid w:val="00403D5E"/>
    <w:rsid w:val="00403D5F"/>
    <w:rsid w:val="00403D8D"/>
    <w:rsid w:val="00403D9D"/>
    <w:rsid w:val="00403E11"/>
    <w:rsid w:val="00403E35"/>
    <w:rsid w:val="00403E7B"/>
    <w:rsid w:val="00403E92"/>
    <w:rsid w:val="00403EB4"/>
    <w:rsid w:val="00403ED5"/>
    <w:rsid w:val="00403EDE"/>
    <w:rsid w:val="00403F51"/>
    <w:rsid w:val="00403F68"/>
    <w:rsid w:val="00403FBA"/>
    <w:rsid w:val="00404001"/>
    <w:rsid w:val="00404011"/>
    <w:rsid w:val="004040DC"/>
    <w:rsid w:val="004040EC"/>
    <w:rsid w:val="004040EF"/>
    <w:rsid w:val="00404107"/>
    <w:rsid w:val="00404156"/>
    <w:rsid w:val="00404176"/>
    <w:rsid w:val="0040417D"/>
    <w:rsid w:val="004041CB"/>
    <w:rsid w:val="004041EB"/>
    <w:rsid w:val="0040420F"/>
    <w:rsid w:val="00404256"/>
    <w:rsid w:val="004042E8"/>
    <w:rsid w:val="00404341"/>
    <w:rsid w:val="00404359"/>
    <w:rsid w:val="00404395"/>
    <w:rsid w:val="00404396"/>
    <w:rsid w:val="004043F3"/>
    <w:rsid w:val="004043F4"/>
    <w:rsid w:val="00404429"/>
    <w:rsid w:val="00404502"/>
    <w:rsid w:val="00404564"/>
    <w:rsid w:val="004045CE"/>
    <w:rsid w:val="00404610"/>
    <w:rsid w:val="00404616"/>
    <w:rsid w:val="00404672"/>
    <w:rsid w:val="0040467D"/>
    <w:rsid w:val="00404693"/>
    <w:rsid w:val="004046B0"/>
    <w:rsid w:val="004046E3"/>
    <w:rsid w:val="004046E4"/>
    <w:rsid w:val="004046F2"/>
    <w:rsid w:val="004046F5"/>
    <w:rsid w:val="00404708"/>
    <w:rsid w:val="00404725"/>
    <w:rsid w:val="0040477D"/>
    <w:rsid w:val="0040478E"/>
    <w:rsid w:val="00404794"/>
    <w:rsid w:val="004047B0"/>
    <w:rsid w:val="004047E3"/>
    <w:rsid w:val="004047E7"/>
    <w:rsid w:val="004047EA"/>
    <w:rsid w:val="00404841"/>
    <w:rsid w:val="00404866"/>
    <w:rsid w:val="004048A9"/>
    <w:rsid w:val="004048BA"/>
    <w:rsid w:val="004048CA"/>
    <w:rsid w:val="0040494D"/>
    <w:rsid w:val="00404972"/>
    <w:rsid w:val="0040497B"/>
    <w:rsid w:val="004049B2"/>
    <w:rsid w:val="004049BB"/>
    <w:rsid w:val="00404A00"/>
    <w:rsid w:val="00404A0A"/>
    <w:rsid w:val="00404A17"/>
    <w:rsid w:val="00404A23"/>
    <w:rsid w:val="00404A2E"/>
    <w:rsid w:val="00404A55"/>
    <w:rsid w:val="00404A77"/>
    <w:rsid w:val="00404A88"/>
    <w:rsid w:val="00404ABF"/>
    <w:rsid w:val="00404AF6"/>
    <w:rsid w:val="00404B53"/>
    <w:rsid w:val="00404B5E"/>
    <w:rsid w:val="00404BE0"/>
    <w:rsid w:val="00404C07"/>
    <w:rsid w:val="00404C3D"/>
    <w:rsid w:val="00404C64"/>
    <w:rsid w:val="00404CB1"/>
    <w:rsid w:val="00404CB8"/>
    <w:rsid w:val="00404D0E"/>
    <w:rsid w:val="00404D17"/>
    <w:rsid w:val="00404D50"/>
    <w:rsid w:val="00404D94"/>
    <w:rsid w:val="00404DA7"/>
    <w:rsid w:val="00404DEE"/>
    <w:rsid w:val="00404E3A"/>
    <w:rsid w:val="00404E59"/>
    <w:rsid w:val="00404E8F"/>
    <w:rsid w:val="00404EE5"/>
    <w:rsid w:val="00404F24"/>
    <w:rsid w:val="00404F51"/>
    <w:rsid w:val="00404F54"/>
    <w:rsid w:val="00404F66"/>
    <w:rsid w:val="00404F94"/>
    <w:rsid w:val="00404F9D"/>
    <w:rsid w:val="00404FB4"/>
    <w:rsid w:val="00404FC6"/>
    <w:rsid w:val="00404FD4"/>
    <w:rsid w:val="00404FE2"/>
    <w:rsid w:val="00405019"/>
    <w:rsid w:val="00405101"/>
    <w:rsid w:val="00405114"/>
    <w:rsid w:val="00405139"/>
    <w:rsid w:val="00405173"/>
    <w:rsid w:val="004051BA"/>
    <w:rsid w:val="004051C2"/>
    <w:rsid w:val="004051C8"/>
    <w:rsid w:val="004051CC"/>
    <w:rsid w:val="004051ED"/>
    <w:rsid w:val="004051F1"/>
    <w:rsid w:val="00405228"/>
    <w:rsid w:val="00405275"/>
    <w:rsid w:val="0040531F"/>
    <w:rsid w:val="0040533F"/>
    <w:rsid w:val="0040535D"/>
    <w:rsid w:val="0040536B"/>
    <w:rsid w:val="0040537B"/>
    <w:rsid w:val="00405394"/>
    <w:rsid w:val="004053BC"/>
    <w:rsid w:val="004053DD"/>
    <w:rsid w:val="004053FF"/>
    <w:rsid w:val="00405428"/>
    <w:rsid w:val="0040549D"/>
    <w:rsid w:val="004054D6"/>
    <w:rsid w:val="004054DD"/>
    <w:rsid w:val="00405510"/>
    <w:rsid w:val="00405559"/>
    <w:rsid w:val="0040555C"/>
    <w:rsid w:val="004055CD"/>
    <w:rsid w:val="004055E4"/>
    <w:rsid w:val="004055F8"/>
    <w:rsid w:val="004056B3"/>
    <w:rsid w:val="004056B7"/>
    <w:rsid w:val="00405725"/>
    <w:rsid w:val="00405762"/>
    <w:rsid w:val="00405772"/>
    <w:rsid w:val="00405798"/>
    <w:rsid w:val="004057F5"/>
    <w:rsid w:val="0040581F"/>
    <w:rsid w:val="0040584F"/>
    <w:rsid w:val="004058A7"/>
    <w:rsid w:val="004058E6"/>
    <w:rsid w:val="00405919"/>
    <w:rsid w:val="00405942"/>
    <w:rsid w:val="00405957"/>
    <w:rsid w:val="00405965"/>
    <w:rsid w:val="00405988"/>
    <w:rsid w:val="004059C0"/>
    <w:rsid w:val="004059F7"/>
    <w:rsid w:val="004059FE"/>
    <w:rsid w:val="00405A00"/>
    <w:rsid w:val="00405A4D"/>
    <w:rsid w:val="00405A75"/>
    <w:rsid w:val="00405AC1"/>
    <w:rsid w:val="00405ADC"/>
    <w:rsid w:val="00405ADE"/>
    <w:rsid w:val="00405B16"/>
    <w:rsid w:val="00405B39"/>
    <w:rsid w:val="00405BC6"/>
    <w:rsid w:val="00405BDD"/>
    <w:rsid w:val="00405BDE"/>
    <w:rsid w:val="00405BEE"/>
    <w:rsid w:val="00405C2C"/>
    <w:rsid w:val="00405C44"/>
    <w:rsid w:val="00405C4F"/>
    <w:rsid w:val="00405CE8"/>
    <w:rsid w:val="00405D12"/>
    <w:rsid w:val="00405D3F"/>
    <w:rsid w:val="00405D48"/>
    <w:rsid w:val="00405D60"/>
    <w:rsid w:val="00405DBD"/>
    <w:rsid w:val="00405DC1"/>
    <w:rsid w:val="00405E4D"/>
    <w:rsid w:val="00405FFF"/>
    <w:rsid w:val="00406045"/>
    <w:rsid w:val="0040604E"/>
    <w:rsid w:val="00406073"/>
    <w:rsid w:val="00406078"/>
    <w:rsid w:val="00406128"/>
    <w:rsid w:val="00406137"/>
    <w:rsid w:val="00406149"/>
    <w:rsid w:val="0040615C"/>
    <w:rsid w:val="00406168"/>
    <w:rsid w:val="00406180"/>
    <w:rsid w:val="004061EE"/>
    <w:rsid w:val="004061F2"/>
    <w:rsid w:val="0040622C"/>
    <w:rsid w:val="0040636F"/>
    <w:rsid w:val="004063BB"/>
    <w:rsid w:val="004063E7"/>
    <w:rsid w:val="0040640D"/>
    <w:rsid w:val="00406492"/>
    <w:rsid w:val="004064A9"/>
    <w:rsid w:val="004064AA"/>
    <w:rsid w:val="004064DD"/>
    <w:rsid w:val="0040651B"/>
    <w:rsid w:val="00406537"/>
    <w:rsid w:val="00406599"/>
    <w:rsid w:val="0040664D"/>
    <w:rsid w:val="004066BF"/>
    <w:rsid w:val="004066C9"/>
    <w:rsid w:val="004066DB"/>
    <w:rsid w:val="004066E8"/>
    <w:rsid w:val="00406715"/>
    <w:rsid w:val="0040677B"/>
    <w:rsid w:val="004067A0"/>
    <w:rsid w:val="004067C1"/>
    <w:rsid w:val="004067C2"/>
    <w:rsid w:val="00406835"/>
    <w:rsid w:val="00406867"/>
    <w:rsid w:val="004068BF"/>
    <w:rsid w:val="004068C3"/>
    <w:rsid w:val="004068EE"/>
    <w:rsid w:val="00406907"/>
    <w:rsid w:val="00406969"/>
    <w:rsid w:val="004069C2"/>
    <w:rsid w:val="004069F7"/>
    <w:rsid w:val="004069FC"/>
    <w:rsid w:val="00406A26"/>
    <w:rsid w:val="00406A6B"/>
    <w:rsid w:val="00406A9F"/>
    <w:rsid w:val="00406AFB"/>
    <w:rsid w:val="00406B12"/>
    <w:rsid w:val="00406B16"/>
    <w:rsid w:val="00406B3C"/>
    <w:rsid w:val="00406B71"/>
    <w:rsid w:val="00406BA3"/>
    <w:rsid w:val="00406BA4"/>
    <w:rsid w:val="00406BB4"/>
    <w:rsid w:val="00406BCD"/>
    <w:rsid w:val="00406BE2"/>
    <w:rsid w:val="00406C28"/>
    <w:rsid w:val="00406C2A"/>
    <w:rsid w:val="00406C65"/>
    <w:rsid w:val="00406C7F"/>
    <w:rsid w:val="00406C94"/>
    <w:rsid w:val="00406CAF"/>
    <w:rsid w:val="00406CCB"/>
    <w:rsid w:val="00406CF0"/>
    <w:rsid w:val="00406D02"/>
    <w:rsid w:val="00406D1F"/>
    <w:rsid w:val="00406D6F"/>
    <w:rsid w:val="00406D9D"/>
    <w:rsid w:val="00406DB7"/>
    <w:rsid w:val="00406DBF"/>
    <w:rsid w:val="00406DCD"/>
    <w:rsid w:val="00406E0C"/>
    <w:rsid w:val="00406E50"/>
    <w:rsid w:val="00406E85"/>
    <w:rsid w:val="00406ECA"/>
    <w:rsid w:val="00406EDF"/>
    <w:rsid w:val="00406F14"/>
    <w:rsid w:val="00406F19"/>
    <w:rsid w:val="00406F86"/>
    <w:rsid w:val="00406FA5"/>
    <w:rsid w:val="00406FA8"/>
    <w:rsid w:val="00406FD7"/>
    <w:rsid w:val="00407017"/>
    <w:rsid w:val="00407028"/>
    <w:rsid w:val="0040703C"/>
    <w:rsid w:val="00407042"/>
    <w:rsid w:val="00407088"/>
    <w:rsid w:val="004070AB"/>
    <w:rsid w:val="004070CE"/>
    <w:rsid w:val="0040711E"/>
    <w:rsid w:val="00407140"/>
    <w:rsid w:val="0040715E"/>
    <w:rsid w:val="00407211"/>
    <w:rsid w:val="00407247"/>
    <w:rsid w:val="0040727C"/>
    <w:rsid w:val="0040728A"/>
    <w:rsid w:val="004072B8"/>
    <w:rsid w:val="004072F3"/>
    <w:rsid w:val="0040730B"/>
    <w:rsid w:val="0040733B"/>
    <w:rsid w:val="004073ED"/>
    <w:rsid w:val="004073F3"/>
    <w:rsid w:val="00407444"/>
    <w:rsid w:val="0040745B"/>
    <w:rsid w:val="00407481"/>
    <w:rsid w:val="00407493"/>
    <w:rsid w:val="004074B1"/>
    <w:rsid w:val="00407511"/>
    <w:rsid w:val="00407534"/>
    <w:rsid w:val="004075B3"/>
    <w:rsid w:val="004075D3"/>
    <w:rsid w:val="004075D4"/>
    <w:rsid w:val="004075E0"/>
    <w:rsid w:val="004075F0"/>
    <w:rsid w:val="0040763B"/>
    <w:rsid w:val="00407686"/>
    <w:rsid w:val="004076A1"/>
    <w:rsid w:val="004076A5"/>
    <w:rsid w:val="004076E2"/>
    <w:rsid w:val="0040770C"/>
    <w:rsid w:val="0040771D"/>
    <w:rsid w:val="00407756"/>
    <w:rsid w:val="00407772"/>
    <w:rsid w:val="004077AC"/>
    <w:rsid w:val="004077AE"/>
    <w:rsid w:val="004077F4"/>
    <w:rsid w:val="00407834"/>
    <w:rsid w:val="00407837"/>
    <w:rsid w:val="0040789F"/>
    <w:rsid w:val="004078BD"/>
    <w:rsid w:val="004078D4"/>
    <w:rsid w:val="0040790D"/>
    <w:rsid w:val="00407960"/>
    <w:rsid w:val="0040796D"/>
    <w:rsid w:val="00407991"/>
    <w:rsid w:val="0040799E"/>
    <w:rsid w:val="004079CF"/>
    <w:rsid w:val="00407A20"/>
    <w:rsid w:val="00407A40"/>
    <w:rsid w:val="00407A98"/>
    <w:rsid w:val="00407ABD"/>
    <w:rsid w:val="00407AF9"/>
    <w:rsid w:val="00407B09"/>
    <w:rsid w:val="00407B68"/>
    <w:rsid w:val="00407B75"/>
    <w:rsid w:val="00407B9B"/>
    <w:rsid w:val="00407BA2"/>
    <w:rsid w:val="00407BAE"/>
    <w:rsid w:val="00407C09"/>
    <w:rsid w:val="00407C10"/>
    <w:rsid w:val="00407C48"/>
    <w:rsid w:val="00407C5D"/>
    <w:rsid w:val="00407C72"/>
    <w:rsid w:val="00407D29"/>
    <w:rsid w:val="00407D43"/>
    <w:rsid w:val="00407D68"/>
    <w:rsid w:val="00407D7A"/>
    <w:rsid w:val="00407DDC"/>
    <w:rsid w:val="00407E2F"/>
    <w:rsid w:val="00407E35"/>
    <w:rsid w:val="00407E3E"/>
    <w:rsid w:val="00407E50"/>
    <w:rsid w:val="00407E57"/>
    <w:rsid w:val="00407E5A"/>
    <w:rsid w:val="00407E68"/>
    <w:rsid w:val="00407F2F"/>
    <w:rsid w:val="00407F47"/>
    <w:rsid w:val="00407F9C"/>
    <w:rsid w:val="00407FEA"/>
    <w:rsid w:val="00410017"/>
    <w:rsid w:val="00410073"/>
    <w:rsid w:val="00410091"/>
    <w:rsid w:val="004100EA"/>
    <w:rsid w:val="00410190"/>
    <w:rsid w:val="0041019E"/>
    <w:rsid w:val="004101DC"/>
    <w:rsid w:val="004101E7"/>
    <w:rsid w:val="00410239"/>
    <w:rsid w:val="00410242"/>
    <w:rsid w:val="004102D0"/>
    <w:rsid w:val="004102F5"/>
    <w:rsid w:val="004102F8"/>
    <w:rsid w:val="00410334"/>
    <w:rsid w:val="0041037E"/>
    <w:rsid w:val="00410387"/>
    <w:rsid w:val="0041043B"/>
    <w:rsid w:val="0041045B"/>
    <w:rsid w:val="00410468"/>
    <w:rsid w:val="004104B5"/>
    <w:rsid w:val="004104BA"/>
    <w:rsid w:val="004104C7"/>
    <w:rsid w:val="004104D0"/>
    <w:rsid w:val="004104DD"/>
    <w:rsid w:val="00410500"/>
    <w:rsid w:val="00410546"/>
    <w:rsid w:val="0041056A"/>
    <w:rsid w:val="00410583"/>
    <w:rsid w:val="00410599"/>
    <w:rsid w:val="004105A7"/>
    <w:rsid w:val="004105B1"/>
    <w:rsid w:val="004105B8"/>
    <w:rsid w:val="004105C0"/>
    <w:rsid w:val="004105CE"/>
    <w:rsid w:val="00410652"/>
    <w:rsid w:val="00410674"/>
    <w:rsid w:val="004106E3"/>
    <w:rsid w:val="004106F1"/>
    <w:rsid w:val="00410778"/>
    <w:rsid w:val="00410784"/>
    <w:rsid w:val="004107AA"/>
    <w:rsid w:val="004107C7"/>
    <w:rsid w:val="004107F5"/>
    <w:rsid w:val="0041084B"/>
    <w:rsid w:val="004108A5"/>
    <w:rsid w:val="004108AC"/>
    <w:rsid w:val="00410905"/>
    <w:rsid w:val="0041090F"/>
    <w:rsid w:val="0041091A"/>
    <w:rsid w:val="00410952"/>
    <w:rsid w:val="00410962"/>
    <w:rsid w:val="00410964"/>
    <w:rsid w:val="004109C2"/>
    <w:rsid w:val="004109D7"/>
    <w:rsid w:val="00410A1D"/>
    <w:rsid w:val="00410A4A"/>
    <w:rsid w:val="00410A5C"/>
    <w:rsid w:val="00410A83"/>
    <w:rsid w:val="00410A9F"/>
    <w:rsid w:val="00410AAD"/>
    <w:rsid w:val="00410ADD"/>
    <w:rsid w:val="00410AFB"/>
    <w:rsid w:val="00410B1C"/>
    <w:rsid w:val="00410BC1"/>
    <w:rsid w:val="00410BC7"/>
    <w:rsid w:val="00410BF1"/>
    <w:rsid w:val="00410C46"/>
    <w:rsid w:val="00410C4D"/>
    <w:rsid w:val="00410C82"/>
    <w:rsid w:val="00410CA6"/>
    <w:rsid w:val="00410D5D"/>
    <w:rsid w:val="00410DC6"/>
    <w:rsid w:val="00410DC7"/>
    <w:rsid w:val="00410DDB"/>
    <w:rsid w:val="00410E44"/>
    <w:rsid w:val="00410E79"/>
    <w:rsid w:val="00410E85"/>
    <w:rsid w:val="00410EDD"/>
    <w:rsid w:val="00410EE5"/>
    <w:rsid w:val="00410F04"/>
    <w:rsid w:val="00410F0A"/>
    <w:rsid w:val="00410F10"/>
    <w:rsid w:val="00410F17"/>
    <w:rsid w:val="00410FB8"/>
    <w:rsid w:val="0041100C"/>
    <w:rsid w:val="00411018"/>
    <w:rsid w:val="00411068"/>
    <w:rsid w:val="004110BA"/>
    <w:rsid w:val="004110BC"/>
    <w:rsid w:val="004110D5"/>
    <w:rsid w:val="004110DE"/>
    <w:rsid w:val="00411100"/>
    <w:rsid w:val="00411125"/>
    <w:rsid w:val="00411143"/>
    <w:rsid w:val="0041118B"/>
    <w:rsid w:val="00411192"/>
    <w:rsid w:val="0041119E"/>
    <w:rsid w:val="004111F7"/>
    <w:rsid w:val="004111FB"/>
    <w:rsid w:val="0041124D"/>
    <w:rsid w:val="0041124E"/>
    <w:rsid w:val="0041125F"/>
    <w:rsid w:val="004112F4"/>
    <w:rsid w:val="004112F6"/>
    <w:rsid w:val="004112FB"/>
    <w:rsid w:val="004112FF"/>
    <w:rsid w:val="004113FC"/>
    <w:rsid w:val="00411424"/>
    <w:rsid w:val="00411438"/>
    <w:rsid w:val="00411443"/>
    <w:rsid w:val="0041144B"/>
    <w:rsid w:val="00411468"/>
    <w:rsid w:val="0041151D"/>
    <w:rsid w:val="00411549"/>
    <w:rsid w:val="00411576"/>
    <w:rsid w:val="00411596"/>
    <w:rsid w:val="004115CA"/>
    <w:rsid w:val="004115F1"/>
    <w:rsid w:val="004115F9"/>
    <w:rsid w:val="004115FA"/>
    <w:rsid w:val="0041161E"/>
    <w:rsid w:val="004116A6"/>
    <w:rsid w:val="004116B8"/>
    <w:rsid w:val="004116DD"/>
    <w:rsid w:val="004116F7"/>
    <w:rsid w:val="00411732"/>
    <w:rsid w:val="0041174F"/>
    <w:rsid w:val="004117A0"/>
    <w:rsid w:val="004117B2"/>
    <w:rsid w:val="004117C3"/>
    <w:rsid w:val="004117D9"/>
    <w:rsid w:val="00411837"/>
    <w:rsid w:val="00411888"/>
    <w:rsid w:val="00411889"/>
    <w:rsid w:val="004118CF"/>
    <w:rsid w:val="00411958"/>
    <w:rsid w:val="00411966"/>
    <w:rsid w:val="004119C4"/>
    <w:rsid w:val="00411B4C"/>
    <w:rsid w:val="00411B74"/>
    <w:rsid w:val="00411B78"/>
    <w:rsid w:val="00411BA5"/>
    <w:rsid w:val="00411C2F"/>
    <w:rsid w:val="00411C67"/>
    <w:rsid w:val="00411C74"/>
    <w:rsid w:val="00411CA4"/>
    <w:rsid w:val="00411CD1"/>
    <w:rsid w:val="00411CD2"/>
    <w:rsid w:val="00411CE9"/>
    <w:rsid w:val="00411D71"/>
    <w:rsid w:val="00411D99"/>
    <w:rsid w:val="00411DAC"/>
    <w:rsid w:val="00411DC1"/>
    <w:rsid w:val="00411DD5"/>
    <w:rsid w:val="00411DD8"/>
    <w:rsid w:val="00411E58"/>
    <w:rsid w:val="00411E6D"/>
    <w:rsid w:val="00411E87"/>
    <w:rsid w:val="00411EA6"/>
    <w:rsid w:val="00411ECD"/>
    <w:rsid w:val="00411ED6"/>
    <w:rsid w:val="00411F96"/>
    <w:rsid w:val="00411FB8"/>
    <w:rsid w:val="00411FC1"/>
    <w:rsid w:val="00411FC6"/>
    <w:rsid w:val="00411FC9"/>
    <w:rsid w:val="00411FCA"/>
    <w:rsid w:val="00411FD5"/>
    <w:rsid w:val="00411FFF"/>
    <w:rsid w:val="00412009"/>
    <w:rsid w:val="0041200F"/>
    <w:rsid w:val="0041209B"/>
    <w:rsid w:val="004120C2"/>
    <w:rsid w:val="00412110"/>
    <w:rsid w:val="00412138"/>
    <w:rsid w:val="00412187"/>
    <w:rsid w:val="004121BC"/>
    <w:rsid w:val="004121C1"/>
    <w:rsid w:val="004121DF"/>
    <w:rsid w:val="004121E5"/>
    <w:rsid w:val="00412243"/>
    <w:rsid w:val="00412248"/>
    <w:rsid w:val="0041225E"/>
    <w:rsid w:val="0041227C"/>
    <w:rsid w:val="004122B2"/>
    <w:rsid w:val="004122EB"/>
    <w:rsid w:val="004122FA"/>
    <w:rsid w:val="00412364"/>
    <w:rsid w:val="004123BB"/>
    <w:rsid w:val="00412447"/>
    <w:rsid w:val="0041249E"/>
    <w:rsid w:val="004124AF"/>
    <w:rsid w:val="004124E0"/>
    <w:rsid w:val="00412521"/>
    <w:rsid w:val="00412532"/>
    <w:rsid w:val="00412636"/>
    <w:rsid w:val="00412657"/>
    <w:rsid w:val="00412668"/>
    <w:rsid w:val="00412669"/>
    <w:rsid w:val="0041269D"/>
    <w:rsid w:val="004126DF"/>
    <w:rsid w:val="0041272D"/>
    <w:rsid w:val="0041274D"/>
    <w:rsid w:val="0041276C"/>
    <w:rsid w:val="004127E4"/>
    <w:rsid w:val="0041280F"/>
    <w:rsid w:val="00412896"/>
    <w:rsid w:val="004128D0"/>
    <w:rsid w:val="00412907"/>
    <w:rsid w:val="0041291C"/>
    <w:rsid w:val="00412947"/>
    <w:rsid w:val="00412961"/>
    <w:rsid w:val="004129C4"/>
    <w:rsid w:val="004129F7"/>
    <w:rsid w:val="00412A12"/>
    <w:rsid w:val="00412A2D"/>
    <w:rsid w:val="00412A4E"/>
    <w:rsid w:val="00412AD9"/>
    <w:rsid w:val="00412AE7"/>
    <w:rsid w:val="00412B1C"/>
    <w:rsid w:val="00412B2B"/>
    <w:rsid w:val="00412BA0"/>
    <w:rsid w:val="00412C22"/>
    <w:rsid w:val="00412C83"/>
    <w:rsid w:val="00412C92"/>
    <w:rsid w:val="00412C9F"/>
    <w:rsid w:val="00412CB4"/>
    <w:rsid w:val="00412CC0"/>
    <w:rsid w:val="00412CCD"/>
    <w:rsid w:val="00412CE6"/>
    <w:rsid w:val="00412D00"/>
    <w:rsid w:val="00412D2F"/>
    <w:rsid w:val="00412D5A"/>
    <w:rsid w:val="00412D93"/>
    <w:rsid w:val="00412D99"/>
    <w:rsid w:val="00412DCE"/>
    <w:rsid w:val="00412DD1"/>
    <w:rsid w:val="00412DE9"/>
    <w:rsid w:val="00412E13"/>
    <w:rsid w:val="00412E2B"/>
    <w:rsid w:val="00412E58"/>
    <w:rsid w:val="00412E8A"/>
    <w:rsid w:val="00412F22"/>
    <w:rsid w:val="00412F5A"/>
    <w:rsid w:val="00412F5E"/>
    <w:rsid w:val="00412F72"/>
    <w:rsid w:val="00412F80"/>
    <w:rsid w:val="00412F93"/>
    <w:rsid w:val="00412FD4"/>
    <w:rsid w:val="00413001"/>
    <w:rsid w:val="0041300F"/>
    <w:rsid w:val="00413037"/>
    <w:rsid w:val="00413049"/>
    <w:rsid w:val="00413083"/>
    <w:rsid w:val="00413127"/>
    <w:rsid w:val="0041315C"/>
    <w:rsid w:val="0041318D"/>
    <w:rsid w:val="004131D1"/>
    <w:rsid w:val="0041322E"/>
    <w:rsid w:val="0041323D"/>
    <w:rsid w:val="0041325A"/>
    <w:rsid w:val="0041325F"/>
    <w:rsid w:val="0041326C"/>
    <w:rsid w:val="004132AC"/>
    <w:rsid w:val="004132DC"/>
    <w:rsid w:val="0041330D"/>
    <w:rsid w:val="00413336"/>
    <w:rsid w:val="0041339F"/>
    <w:rsid w:val="004133DA"/>
    <w:rsid w:val="004133F1"/>
    <w:rsid w:val="00413422"/>
    <w:rsid w:val="00413469"/>
    <w:rsid w:val="004134A1"/>
    <w:rsid w:val="004134AE"/>
    <w:rsid w:val="004134F0"/>
    <w:rsid w:val="00413502"/>
    <w:rsid w:val="00413542"/>
    <w:rsid w:val="00413576"/>
    <w:rsid w:val="004135A7"/>
    <w:rsid w:val="004135C2"/>
    <w:rsid w:val="004135F3"/>
    <w:rsid w:val="00413602"/>
    <w:rsid w:val="00413606"/>
    <w:rsid w:val="0041362A"/>
    <w:rsid w:val="00413630"/>
    <w:rsid w:val="00413650"/>
    <w:rsid w:val="00413682"/>
    <w:rsid w:val="004136D9"/>
    <w:rsid w:val="004136EB"/>
    <w:rsid w:val="004136F5"/>
    <w:rsid w:val="00413738"/>
    <w:rsid w:val="00413789"/>
    <w:rsid w:val="004137A6"/>
    <w:rsid w:val="004137A8"/>
    <w:rsid w:val="004137CC"/>
    <w:rsid w:val="004137CE"/>
    <w:rsid w:val="004137DC"/>
    <w:rsid w:val="00413852"/>
    <w:rsid w:val="00413859"/>
    <w:rsid w:val="0041385B"/>
    <w:rsid w:val="0041386A"/>
    <w:rsid w:val="004138D0"/>
    <w:rsid w:val="004138F9"/>
    <w:rsid w:val="00413906"/>
    <w:rsid w:val="0041391C"/>
    <w:rsid w:val="0041396D"/>
    <w:rsid w:val="00413988"/>
    <w:rsid w:val="004139AF"/>
    <w:rsid w:val="00413A03"/>
    <w:rsid w:val="00413A06"/>
    <w:rsid w:val="00413A4D"/>
    <w:rsid w:val="00413ACB"/>
    <w:rsid w:val="00413B1C"/>
    <w:rsid w:val="00413B38"/>
    <w:rsid w:val="00413B51"/>
    <w:rsid w:val="00413B86"/>
    <w:rsid w:val="00413BBD"/>
    <w:rsid w:val="00413BD5"/>
    <w:rsid w:val="00413C4D"/>
    <w:rsid w:val="00413C64"/>
    <w:rsid w:val="00413CA3"/>
    <w:rsid w:val="00413CA4"/>
    <w:rsid w:val="00413CD3"/>
    <w:rsid w:val="00413D15"/>
    <w:rsid w:val="00413D1A"/>
    <w:rsid w:val="00413D42"/>
    <w:rsid w:val="00413D43"/>
    <w:rsid w:val="00413D77"/>
    <w:rsid w:val="00413DA0"/>
    <w:rsid w:val="00413DA4"/>
    <w:rsid w:val="00413DEC"/>
    <w:rsid w:val="00413E04"/>
    <w:rsid w:val="00413E35"/>
    <w:rsid w:val="00413E61"/>
    <w:rsid w:val="00413EBC"/>
    <w:rsid w:val="00413EDE"/>
    <w:rsid w:val="00413EE4"/>
    <w:rsid w:val="00413EE6"/>
    <w:rsid w:val="00413F36"/>
    <w:rsid w:val="00413F47"/>
    <w:rsid w:val="00413F51"/>
    <w:rsid w:val="00413F7C"/>
    <w:rsid w:val="00413FA6"/>
    <w:rsid w:val="00413FF0"/>
    <w:rsid w:val="00414005"/>
    <w:rsid w:val="0041401A"/>
    <w:rsid w:val="00414068"/>
    <w:rsid w:val="004140B5"/>
    <w:rsid w:val="004140C6"/>
    <w:rsid w:val="004140D0"/>
    <w:rsid w:val="00414125"/>
    <w:rsid w:val="00414145"/>
    <w:rsid w:val="0041416A"/>
    <w:rsid w:val="00414188"/>
    <w:rsid w:val="0041418B"/>
    <w:rsid w:val="004141C6"/>
    <w:rsid w:val="004141E4"/>
    <w:rsid w:val="00414203"/>
    <w:rsid w:val="00414207"/>
    <w:rsid w:val="00414235"/>
    <w:rsid w:val="00414244"/>
    <w:rsid w:val="00414299"/>
    <w:rsid w:val="004142B6"/>
    <w:rsid w:val="004142BA"/>
    <w:rsid w:val="0041436C"/>
    <w:rsid w:val="004143A2"/>
    <w:rsid w:val="004143BB"/>
    <w:rsid w:val="004143F6"/>
    <w:rsid w:val="00414409"/>
    <w:rsid w:val="00414428"/>
    <w:rsid w:val="00414443"/>
    <w:rsid w:val="00414479"/>
    <w:rsid w:val="004144A0"/>
    <w:rsid w:val="004144BB"/>
    <w:rsid w:val="00414548"/>
    <w:rsid w:val="00414559"/>
    <w:rsid w:val="004145B0"/>
    <w:rsid w:val="0041461A"/>
    <w:rsid w:val="00414625"/>
    <w:rsid w:val="00414681"/>
    <w:rsid w:val="00414718"/>
    <w:rsid w:val="00414730"/>
    <w:rsid w:val="00414758"/>
    <w:rsid w:val="00414798"/>
    <w:rsid w:val="004147B0"/>
    <w:rsid w:val="004147BA"/>
    <w:rsid w:val="004147BC"/>
    <w:rsid w:val="004147C0"/>
    <w:rsid w:val="004147CB"/>
    <w:rsid w:val="004147DE"/>
    <w:rsid w:val="00414839"/>
    <w:rsid w:val="00414852"/>
    <w:rsid w:val="0041488A"/>
    <w:rsid w:val="0041489F"/>
    <w:rsid w:val="004148BF"/>
    <w:rsid w:val="004148E2"/>
    <w:rsid w:val="004148FE"/>
    <w:rsid w:val="00414914"/>
    <w:rsid w:val="00414917"/>
    <w:rsid w:val="0041491E"/>
    <w:rsid w:val="00414A01"/>
    <w:rsid w:val="00414A72"/>
    <w:rsid w:val="00414A96"/>
    <w:rsid w:val="00414AB6"/>
    <w:rsid w:val="00414AC5"/>
    <w:rsid w:val="00414AC9"/>
    <w:rsid w:val="00414ADE"/>
    <w:rsid w:val="00414B17"/>
    <w:rsid w:val="00414B7A"/>
    <w:rsid w:val="00414B90"/>
    <w:rsid w:val="00414B93"/>
    <w:rsid w:val="00414BD3"/>
    <w:rsid w:val="00414BE6"/>
    <w:rsid w:val="00414BED"/>
    <w:rsid w:val="00414C0F"/>
    <w:rsid w:val="00414C6D"/>
    <w:rsid w:val="00414D29"/>
    <w:rsid w:val="00414DB4"/>
    <w:rsid w:val="00414E00"/>
    <w:rsid w:val="00414E20"/>
    <w:rsid w:val="00414E4C"/>
    <w:rsid w:val="00414E5D"/>
    <w:rsid w:val="00414F37"/>
    <w:rsid w:val="00414F40"/>
    <w:rsid w:val="00414F63"/>
    <w:rsid w:val="00414F78"/>
    <w:rsid w:val="00414F94"/>
    <w:rsid w:val="00414FCD"/>
    <w:rsid w:val="00415002"/>
    <w:rsid w:val="0041500A"/>
    <w:rsid w:val="0041501B"/>
    <w:rsid w:val="0041503C"/>
    <w:rsid w:val="00415048"/>
    <w:rsid w:val="00415070"/>
    <w:rsid w:val="00415128"/>
    <w:rsid w:val="0041514C"/>
    <w:rsid w:val="00415161"/>
    <w:rsid w:val="0041517A"/>
    <w:rsid w:val="00415180"/>
    <w:rsid w:val="0041519C"/>
    <w:rsid w:val="004151F6"/>
    <w:rsid w:val="00415206"/>
    <w:rsid w:val="0041525D"/>
    <w:rsid w:val="00415286"/>
    <w:rsid w:val="00415295"/>
    <w:rsid w:val="004152E4"/>
    <w:rsid w:val="00415307"/>
    <w:rsid w:val="0041531C"/>
    <w:rsid w:val="00415348"/>
    <w:rsid w:val="0041534A"/>
    <w:rsid w:val="00415387"/>
    <w:rsid w:val="00415389"/>
    <w:rsid w:val="004153CA"/>
    <w:rsid w:val="0041540D"/>
    <w:rsid w:val="0041541D"/>
    <w:rsid w:val="0041543D"/>
    <w:rsid w:val="0041549B"/>
    <w:rsid w:val="004154A0"/>
    <w:rsid w:val="004154C3"/>
    <w:rsid w:val="004154DC"/>
    <w:rsid w:val="004154EC"/>
    <w:rsid w:val="004154EF"/>
    <w:rsid w:val="004154F2"/>
    <w:rsid w:val="004154F6"/>
    <w:rsid w:val="0041550C"/>
    <w:rsid w:val="00415519"/>
    <w:rsid w:val="00415560"/>
    <w:rsid w:val="004155BD"/>
    <w:rsid w:val="004155EE"/>
    <w:rsid w:val="004155F8"/>
    <w:rsid w:val="0041563B"/>
    <w:rsid w:val="00415666"/>
    <w:rsid w:val="00415688"/>
    <w:rsid w:val="004156E5"/>
    <w:rsid w:val="00415715"/>
    <w:rsid w:val="0041574C"/>
    <w:rsid w:val="00415768"/>
    <w:rsid w:val="00415784"/>
    <w:rsid w:val="004157D3"/>
    <w:rsid w:val="0041581B"/>
    <w:rsid w:val="00415878"/>
    <w:rsid w:val="0041588A"/>
    <w:rsid w:val="0041592F"/>
    <w:rsid w:val="004159CB"/>
    <w:rsid w:val="004159ED"/>
    <w:rsid w:val="00415A87"/>
    <w:rsid w:val="00415AAA"/>
    <w:rsid w:val="00415AB2"/>
    <w:rsid w:val="00415AF4"/>
    <w:rsid w:val="00415AF7"/>
    <w:rsid w:val="00415B09"/>
    <w:rsid w:val="00415B29"/>
    <w:rsid w:val="00415B30"/>
    <w:rsid w:val="00415B61"/>
    <w:rsid w:val="00415B64"/>
    <w:rsid w:val="00415B96"/>
    <w:rsid w:val="00415BBF"/>
    <w:rsid w:val="00415BE3"/>
    <w:rsid w:val="00415BE6"/>
    <w:rsid w:val="00415C12"/>
    <w:rsid w:val="00415C44"/>
    <w:rsid w:val="00415C56"/>
    <w:rsid w:val="00415C98"/>
    <w:rsid w:val="00415CC6"/>
    <w:rsid w:val="00415CF3"/>
    <w:rsid w:val="00415CF7"/>
    <w:rsid w:val="00415D07"/>
    <w:rsid w:val="00415D20"/>
    <w:rsid w:val="00415D35"/>
    <w:rsid w:val="00415D4A"/>
    <w:rsid w:val="00415DB0"/>
    <w:rsid w:val="00415DCA"/>
    <w:rsid w:val="00415E13"/>
    <w:rsid w:val="00415E6E"/>
    <w:rsid w:val="00415EC9"/>
    <w:rsid w:val="00415EDD"/>
    <w:rsid w:val="00415F52"/>
    <w:rsid w:val="00415F55"/>
    <w:rsid w:val="00415F63"/>
    <w:rsid w:val="00415F95"/>
    <w:rsid w:val="00415FA1"/>
    <w:rsid w:val="00415FDE"/>
    <w:rsid w:val="0041600A"/>
    <w:rsid w:val="00416031"/>
    <w:rsid w:val="00416076"/>
    <w:rsid w:val="00416099"/>
    <w:rsid w:val="004160A6"/>
    <w:rsid w:val="0041614B"/>
    <w:rsid w:val="004161CA"/>
    <w:rsid w:val="004161EB"/>
    <w:rsid w:val="00416221"/>
    <w:rsid w:val="00416223"/>
    <w:rsid w:val="0041622D"/>
    <w:rsid w:val="0041622E"/>
    <w:rsid w:val="00416254"/>
    <w:rsid w:val="0041625A"/>
    <w:rsid w:val="00416273"/>
    <w:rsid w:val="004162CF"/>
    <w:rsid w:val="00416380"/>
    <w:rsid w:val="00416387"/>
    <w:rsid w:val="00416391"/>
    <w:rsid w:val="004163AB"/>
    <w:rsid w:val="004163BB"/>
    <w:rsid w:val="004163FA"/>
    <w:rsid w:val="0041641F"/>
    <w:rsid w:val="00416457"/>
    <w:rsid w:val="0041648B"/>
    <w:rsid w:val="004164A1"/>
    <w:rsid w:val="004164C7"/>
    <w:rsid w:val="004164DF"/>
    <w:rsid w:val="004164F1"/>
    <w:rsid w:val="0041650B"/>
    <w:rsid w:val="00416555"/>
    <w:rsid w:val="004165A7"/>
    <w:rsid w:val="004165D2"/>
    <w:rsid w:val="004165DC"/>
    <w:rsid w:val="004165F6"/>
    <w:rsid w:val="0041664E"/>
    <w:rsid w:val="00416674"/>
    <w:rsid w:val="0041674A"/>
    <w:rsid w:val="004167A0"/>
    <w:rsid w:val="004167F0"/>
    <w:rsid w:val="00416822"/>
    <w:rsid w:val="00416840"/>
    <w:rsid w:val="0041687F"/>
    <w:rsid w:val="004168D1"/>
    <w:rsid w:val="004168EE"/>
    <w:rsid w:val="00416993"/>
    <w:rsid w:val="00416A28"/>
    <w:rsid w:val="00416A2F"/>
    <w:rsid w:val="00416A30"/>
    <w:rsid w:val="00416A3A"/>
    <w:rsid w:val="00416A54"/>
    <w:rsid w:val="00416A63"/>
    <w:rsid w:val="00416A88"/>
    <w:rsid w:val="00416B28"/>
    <w:rsid w:val="00416B50"/>
    <w:rsid w:val="00416B72"/>
    <w:rsid w:val="00416B76"/>
    <w:rsid w:val="00416B8A"/>
    <w:rsid w:val="00416BCF"/>
    <w:rsid w:val="00416C09"/>
    <w:rsid w:val="00416C16"/>
    <w:rsid w:val="00416C1F"/>
    <w:rsid w:val="00416C2C"/>
    <w:rsid w:val="00416C2D"/>
    <w:rsid w:val="00416C3B"/>
    <w:rsid w:val="00416C65"/>
    <w:rsid w:val="00416C74"/>
    <w:rsid w:val="00416C7D"/>
    <w:rsid w:val="00416CEC"/>
    <w:rsid w:val="00416DC1"/>
    <w:rsid w:val="00416E05"/>
    <w:rsid w:val="00416E77"/>
    <w:rsid w:val="00416EB0"/>
    <w:rsid w:val="00416EB3"/>
    <w:rsid w:val="00416EBF"/>
    <w:rsid w:val="00416ED1"/>
    <w:rsid w:val="00416ED6"/>
    <w:rsid w:val="00416EF6"/>
    <w:rsid w:val="00416EFF"/>
    <w:rsid w:val="00416F46"/>
    <w:rsid w:val="00416F63"/>
    <w:rsid w:val="00416F9B"/>
    <w:rsid w:val="00416FB1"/>
    <w:rsid w:val="00417017"/>
    <w:rsid w:val="0041701E"/>
    <w:rsid w:val="00417066"/>
    <w:rsid w:val="004170AF"/>
    <w:rsid w:val="004170C5"/>
    <w:rsid w:val="00417111"/>
    <w:rsid w:val="00417113"/>
    <w:rsid w:val="0041711D"/>
    <w:rsid w:val="00417145"/>
    <w:rsid w:val="00417151"/>
    <w:rsid w:val="00417198"/>
    <w:rsid w:val="004171CA"/>
    <w:rsid w:val="004171F2"/>
    <w:rsid w:val="00417204"/>
    <w:rsid w:val="00417210"/>
    <w:rsid w:val="00417236"/>
    <w:rsid w:val="00417275"/>
    <w:rsid w:val="004172C0"/>
    <w:rsid w:val="004172C3"/>
    <w:rsid w:val="004172C5"/>
    <w:rsid w:val="004172CF"/>
    <w:rsid w:val="004172D7"/>
    <w:rsid w:val="0041730A"/>
    <w:rsid w:val="0041731C"/>
    <w:rsid w:val="00417354"/>
    <w:rsid w:val="0041737F"/>
    <w:rsid w:val="00417390"/>
    <w:rsid w:val="004173B0"/>
    <w:rsid w:val="004173BA"/>
    <w:rsid w:val="0041740A"/>
    <w:rsid w:val="00417413"/>
    <w:rsid w:val="0041742B"/>
    <w:rsid w:val="00417434"/>
    <w:rsid w:val="0041746E"/>
    <w:rsid w:val="004174B0"/>
    <w:rsid w:val="004174B7"/>
    <w:rsid w:val="00417575"/>
    <w:rsid w:val="00417614"/>
    <w:rsid w:val="0041763D"/>
    <w:rsid w:val="00417663"/>
    <w:rsid w:val="00417679"/>
    <w:rsid w:val="0041767A"/>
    <w:rsid w:val="0041767F"/>
    <w:rsid w:val="00417686"/>
    <w:rsid w:val="00417687"/>
    <w:rsid w:val="00417691"/>
    <w:rsid w:val="00417697"/>
    <w:rsid w:val="0041769C"/>
    <w:rsid w:val="004176CE"/>
    <w:rsid w:val="004176E3"/>
    <w:rsid w:val="0041774D"/>
    <w:rsid w:val="00417796"/>
    <w:rsid w:val="00417827"/>
    <w:rsid w:val="00417834"/>
    <w:rsid w:val="00417879"/>
    <w:rsid w:val="004178A0"/>
    <w:rsid w:val="004178B6"/>
    <w:rsid w:val="004178F8"/>
    <w:rsid w:val="004178F9"/>
    <w:rsid w:val="0041791D"/>
    <w:rsid w:val="0041792F"/>
    <w:rsid w:val="00417938"/>
    <w:rsid w:val="0041798D"/>
    <w:rsid w:val="004179C9"/>
    <w:rsid w:val="00417A18"/>
    <w:rsid w:val="00417A2C"/>
    <w:rsid w:val="00417A74"/>
    <w:rsid w:val="00417A7B"/>
    <w:rsid w:val="00417A7F"/>
    <w:rsid w:val="00417B3C"/>
    <w:rsid w:val="00417B80"/>
    <w:rsid w:val="00417BB1"/>
    <w:rsid w:val="00417BB2"/>
    <w:rsid w:val="00417BC9"/>
    <w:rsid w:val="00417BE5"/>
    <w:rsid w:val="00417C24"/>
    <w:rsid w:val="00417CBC"/>
    <w:rsid w:val="00417CDE"/>
    <w:rsid w:val="00417CE8"/>
    <w:rsid w:val="00417D0B"/>
    <w:rsid w:val="00417D17"/>
    <w:rsid w:val="00417D3B"/>
    <w:rsid w:val="00417D7C"/>
    <w:rsid w:val="00417D7E"/>
    <w:rsid w:val="00417D90"/>
    <w:rsid w:val="00417D93"/>
    <w:rsid w:val="00417DFF"/>
    <w:rsid w:val="00417E01"/>
    <w:rsid w:val="00417E0E"/>
    <w:rsid w:val="00417E0F"/>
    <w:rsid w:val="00417E27"/>
    <w:rsid w:val="00417E33"/>
    <w:rsid w:val="00417E37"/>
    <w:rsid w:val="00417E47"/>
    <w:rsid w:val="00417E50"/>
    <w:rsid w:val="00417E62"/>
    <w:rsid w:val="00417E75"/>
    <w:rsid w:val="00417EB8"/>
    <w:rsid w:val="00417EE4"/>
    <w:rsid w:val="00417EF0"/>
    <w:rsid w:val="00417F69"/>
    <w:rsid w:val="00417F80"/>
    <w:rsid w:val="00417FA6"/>
    <w:rsid w:val="00417FE4"/>
    <w:rsid w:val="00417FEB"/>
    <w:rsid w:val="00420094"/>
    <w:rsid w:val="004200F7"/>
    <w:rsid w:val="00420115"/>
    <w:rsid w:val="00420169"/>
    <w:rsid w:val="004201BA"/>
    <w:rsid w:val="004201D7"/>
    <w:rsid w:val="00420212"/>
    <w:rsid w:val="00420214"/>
    <w:rsid w:val="0042024B"/>
    <w:rsid w:val="004202C1"/>
    <w:rsid w:val="00420302"/>
    <w:rsid w:val="00420304"/>
    <w:rsid w:val="00420343"/>
    <w:rsid w:val="00420359"/>
    <w:rsid w:val="00420374"/>
    <w:rsid w:val="00420383"/>
    <w:rsid w:val="004203C6"/>
    <w:rsid w:val="004203CF"/>
    <w:rsid w:val="004203E0"/>
    <w:rsid w:val="004203E7"/>
    <w:rsid w:val="004203F6"/>
    <w:rsid w:val="004203FD"/>
    <w:rsid w:val="00420440"/>
    <w:rsid w:val="004204B0"/>
    <w:rsid w:val="004204C0"/>
    <w:rsid w:val="004204CE"/>
    <w:rsid w:val="0042054B"/>
    <w:rsid w:val="00420556"/>
    <w:rsid w:val="00420575"/>
    <w:rsid w:val="00420595"/>
    <w:rsid w:val="0042059B"/>
    <w:rsid w:val="004205A1"/>
    <w:rsid w:val="004205B5"/>
    <w:rsid w:val="00420601"/>
    <w:rsid w:val="00420699"/>
    <w:rsid w:val="004206CF"/>
    <w:rsid w:val="004206F6"/>
    <w:rsid w:val="00420778"/>
    <w:rsid w:val="0042077E"/>
    <w:rsid w:val="004207AE"/>
    <w:rsid w:val="004207B4"/>
    <w:rsid w:val="004207CE"/>
    <w:rsid w:val="004207FE"/>
    <w:rsid w:val="00420889"/>
    <w:rsid w:val="0042088F"/>
    <w:rsid w:val="00420890"/>
    <w:rsid w:val="004208C9"/>
    <w:rsid w:val="004208CF"/>
    <w:rsid w:val="004208FF"/>
    <w:rsid w:val="00420930"/>
    <w:rsid w:val="0042096A"/>
    <w:rsid w:val="00420992"/>
    <w:rsid w:val="004209AD"/>
    <w:rsid w:val="004209D1"/>
    <w:rsid w:val="00420A18"/>
    <w:rsid w:val="00420A37"/>
    <w:rsid w:val="00420A3F"/>
    <w:rsid w:val="00420A4E"/>
    <w:rsid w:val="00420AA2"/>
    <w:rsid w:val="00420AB4"/>
    <w:rsid w:val="00420AD3"/>
    <w:rsid w:val="00420B2F"/>
    <w:rsid w:val="00420B3D"/>
    <w:rsid w:val="00420B94"/>
    <w:rsid w:val="00420BE2"/>
    <w:rsid w:val="00420BEA"/>
    <w:rsid w:val="00420BF5"/>
    <w:rsid w:val="00420BF8"/>
    <w:rsid w:val="00420C2F"/>
    <w:rsid w:val="00420C8B"/>
    <w:rsid w:val="00420CDA"/>
    <w:rsid w:val="00420D3C"/>
    <w:rsid w:val="00420D96"/>
    <w:rsid w:val="00420DD8"/>
    <w:rsid w:val="00420E11"/>
    <w:rsid w:val="00420EA4"/>
    <w:rsid w:val="00420EA8"/>
    <w:rsid w:val="00420ED8"/>
    <w:rsid w:val="00420EF1"/>
    <w:rsid w:val="00420F22"/>
    <w:rsid w:val="00420F46"/>
    <w:rsid w:val="00420F8D"/>
    <w:rsid w:val="00421002"/>
    <w:rsid w:val="0042106B"/>
    <w:rsid w:val="00421081"/>
    <w:rsid w:val="0042108A"/>
    <w:rsid w:val="004210A3"/>
    <w:rsid w:val="00421115"/>
    <w:rsid w:val="0042114E"/>
    <w:rsid w:val="0042115C"/>
    <w:rsid w:val="00421176"/>
    <w:rsid w:val="004211BC"/>
    <w:rsid w:val="004211BD"/>
    <w:rsid w:val="004211E2"/>
    <w:rsid w:val="00421219"/>
    <w:rsid w:val="00421220"/>
    <w:rsid w:val="00421264"/>
    <w:rsid w:val="00421282"/>
    <w:rsid w:val="00421326"/>
    <w:rsid w:val="0042138F"/>
    <w:rsid w:val="004213A0"/>
    <w:rsid w:val="004213BD"/>
    <w:rsid w:val="004213DB"/>
    <w:rsid w:val="00421410"/>
    <w:rsid w:val="00421424"/>
    <w:rsid w:val="00421452"/>
    <w:rsid w:val="0042148B"/>
    <w:rsid w:val="004214BA"/>
    <w:rsid w:val="004214D4"/>
    <w:rsid w:val="004214ED"/>
    <w:rsid w:val="00421525"/>
    <w:rsid w:val="00421567"/>
    <w:rsid w:val="00421573"/>
    <w:rsid w:val="00421588"/>
    <w:rsid w:val="004215B5"/>
    <w:rsid w:val="004215C2"/>
    <w:rsid w:val="004215E3"/>
    <w:rsid w:val="00421630"/>
    <w:rsid w:val="00421661"/>
    <w:rsid w:val="004216A7"/>
    <w:rsid w:val="004216CB"/>
    <w:rsid w:val="00421710"/>
    <w:rsid w:val="00421737"/>
    <w:rsid w:val="0042175A"/>
    <w:rsid w:val="00421762"/>
    <w:rsid w:val="004217AD"/>
    <w:rsid w:val="004217AF"/>
    <w:rsid w:val="004217E8"/>
    <w:rsid w:val="00421809"/>
    <w:rsid w:val="0042180A"/>
    <w:rsid w:val="0042180D"/>
    <w:rsid w:val="00421820"/>
    <w:rsid w:val="0042186F"/>
    <w:rsid w:val="004218B1"/>
    <w:rsid w:val="004218B5"/>
    <w:rsid w:val="004218B8"/>
    <w:rsid w:val="004218E1"/>
    <w:rsid w:val="00421909"/>
    <w:rsid w:val="00421913"/>
    <w:rsid w:val="00421920"/>
    <w:rsid w:val="0042193A"/>
    <w:rsid w:val="0042193C"/>
    <w:rsid w:val="00421A0D"/>
    <w:rsid w:val="00421A81"/>
    <w:rsid w:val="00421B40"/>
    <w:rsid w:val="00421BBF"/>
    <w:rsid w:val="00421C0A"/>
    <w:rsid w:val="00421C2B"/>
    <w:rsid w:val="00421CB7"/>
    <w:rsid w:val="00421D27"/>
    <w:rsid w:val="00421D47"/>
    <w:rsid w:val="00421D68"/>
    <w:rsid w:val="00421DD9"/>
    <w:rsid w:val="00421DF7"/>
    <w:rsid w:val="00421E45"/>
    <w:rsid w:val="00421E5E"/>
    <w:rsid w:val="00421F0D"/>
    <w:rsid w:val="00421F2B"/>
    <w:rsid w:val="00421FA7"/>
    <w:rsid w:val="00422001"/>
    <w:rsid w:val="00422096"/>
    <w:rsid w:val="004220E4"/>
    <w:rsid w:val="004220EF"/>
    <w:rsid w:val="0042210A"/>
    <w:rsid w:val="00422141"/>
    <w:rsid w:val="00422150"/>
    <w:rsid w:val="0042223D"/>
    <w:rsid w:val="0042224A"/>
    <w:rsid w:val="00422253"/>
    <w:rsid w:val="0042231D"/>
    <w:rsid w:val="00422359"/>
    <w:rsid w:val="0042238E"/>
    <w:rsid w:val="00422396"/>
    <w:rsid w:val="004223A7"/>
    <w:rsid w:val="004223AC"/>
    <w:rsid w:val="004223FD"/>
    <w:rsid w:val="00422425"/>
    <w:rsid w:val="0042243C"/>
    <w:rsid w:val="0042246D"/>
    <w:rsid w:val="004224AD"/>
    <w:rsid w:val="004224CD"/>
    <w:rsid w:val="004224D2"/>
    <w:rsid w:val="004224D8"/>
    <w:rsid w:val="004224EF"/>
    <w:rsid w:val="004224F9"/>
    <w:rsid w:val="0042251A"/>
    <w:rsid w:val="00422525"/>
    <w:rsid w:val="00422533"/>
    <w:rsid w:val="00422547"/>
    <w:rsid w:val="00422551"/>
    <w:rsid w:val="0042256C"/>
    <w:rsid w:val="00422584"/>
    <w:rsid w:val="00422585"/>
    <w:rsid w:val="004225BE"/>
    <w:rsid w:val="004225C3"/>
    <w:rsid w:val="004225FA"/>
    <w:rsid w:val="004225FD"/>
    <w:rsid w:val="00422681"/>
    <w:rsid w:val="004226A0"/>
    <w:rsid w:val="004226B5"/>
    <w:rsid w:val="004226BC"/>
    <w:rsid w:val="00422716"/>
    <w:rsid w:val="0042271E"/>
    <w:rsid w:val="00422731"/>
    <w:rsid w:val="004227A0"/>
    <w:rsid w:val="004227F7"/>
    <w:rsid w:val="00422807"/>
    <w:rsid w:val="00422839"/>
    <w:rsid w:val="00422870"/>
    <w:rsid w:val="004228AD"/>
    <w:rsid w:val="004228BC"/>
    <w:rsid w:val="004228C3"/>
    <w:rsid w:val="004228D4"/>
    <w:rsid w:val="004228F9"/>
    <w:rsid w:val="00422918"/>
    <w:rsid w:val="00422932"/>
    <w:rsid w:val="00422984"/>
    <w:rsid w:val="004229C9"/>
    <w:rsid w:val="00422A11"/>
    <w:rsid w:val="00422A2F"/>
    <w:rsid w:val="00422A30"/>
    <w:rsid w:val="00422A5D"/>
    <w:rsid w:val="00422AB7"/>
    <w:rsid w:val="00422ADA"/>
    <w:rsid w:val="00422AE8"/>
    <w:rsid w:val="00422B53"/>
    <w:rsid w:val="00422BA7"/>
    <w:rsid w:val="00422BA9"/>
    <w:rsid w:val="00422BC1"/>
    <w:rsid w:val="00422BC4"/>
    <w:rsid w:val="00422BD7"/>
    <w:rsid w:val="00422BE6"/>
    <w:rsid w:val="00422C0B"/>
    <w:rsid w:val="00422C29"/>
    <w:rsid w:val="00422C96"/>
    <w:rsid w:val="00422D14"/>
    <w:rsid w:val="00422D25"/>
    <w:rsid w:val="00422D3A"/>
    <w:rsid w:val="00422D8B"/>
    <w:rsid w:val="00422DEB"/>
    <w:rsid w:val="00422DED"/>
    <w:rsid w:val="00422E2B"/>
    <w:rsid w:val="00422EBF"/>
    <w:rsid w:val="00422EC7"/>
    <w:rsid w:val="00422F09"/>
    <w:rsid w:val="00422F0E"/>
    <w:rsid w:val="00422F42"/>
    <w:rsid w:val="00422FA4"/>
    <w:rsid w:val="00422FB2"/>
    <w:rsid w:val="00422FC2"/>
    <w:rsid w:val="00422FE5"/>
    <w:rsid w:val="00423000"/>
    <w:rsid w:val="0042303F"/>
    <w:rsid w:val="0042304D"/>
    <w:rsid w:val="00423094"/>
    <w:rsid w:val="004230CC"/>
    <w:rsid w:val="004230F1"/>
    <w:rsid w:val="00423163"/>
    <w:rsid w:val="0042316C"/>
    <w:rsid w:val="004231BA"/>
    <w:rsid w:val="004231BF"/>
    <w:rsid w:val="004231D2"/>
    <w:rsid w:val="00423207"/>
    <w:rsid w:val="00423241"/>
    <w:rsid w:val="00423244"/>
    <w:rsid w:val="00423251"/>
    <w:rsid w:val="00423300"/>
    <w:rsid w:val="00423312"/>
    <w:rsid w:val="00423322"/>
    <w:rsid w:val="0042332D"/>
    <w:rsid w:val="00423377"/>
    <w:rsid w:val="00423392"/>
    <w:rsid w:val="00423397"/>
    <w:rsid w:val="0042339F"/>
    <w:rsid w:val="004233E2"/>
    <w:rsid w:val="00423408"/>
    <w:rsid w:val="0042341E"/>
    <w:rsid w:val="00423463"/>
    <w:rsid w:val="004234C8"/>
    <w:rsid w:val="00423519"/>
    <w:rsid w:val="00423520"/>
    <w:rsid w:val="00423525"/>
    <w:rsid w:val="00423537"/>
    <w:rsid w:val="0042355E"/>
    <w:rsid w:val="004235C6"/>
    <w:rsid w:val="004235E9"/>
    <w:rsid w:val="00423618"/>
    <w:rsid w:val="00423620"/>
    <w:rsid w:val="0042363E"/>
    <w:rsid w:val="00423646"/>
    <w:rsid w:val="00423648"/>
    <w:rsid w:val="0042370C"/>
    <w:rsid w:val="0042370F"/>
    <w:rsid w:val="00423714"/>
    <w:rsid w:val="0042371A"/>
    <w:rsid w:val="0042376C"/>
    <w:rsid w:val="004237F3"/>
    <w:rsid w:val="00423800"/>
    <w:rsid w:val="00423848"/>
    <w:rsid w:val="00423863"/>
    <w:rsid w:val="00423872"/>
    <w:rsid w:val="00423893"/>
    <w:rsid w:val="00423895"/>
    <w:rsid w:val="004238A0"/>
    <w:rsid w:val="004238B2"/>
    <w:rsid w:val="004238D5"/>
    <w:rsid w:val="004238D8"/>
    <w:rsid w:val="00423915"/>
    <w:rsid w:val="0042391B"/>
    <w:rsid w:val="00423927"/>
    <w:rsid w:val="0042395F"/>
    <w:rsid w:val="0042396E"/>
    <w:rsid w:val="004239F5"/>
    <w:rsid w:val="00423A1C"/>
    <w:rsid w:val="00423A48"/>
    <w:rsid w:val="00423AA0"/>
    <w:rsid w:val="00423ADE"/>
    <w:rsid w:val="00423B01"/>
    <w:rsid w:val="00423B73"/>
    <w:rsid w:val="00423B78"/>
    <w:rsid w:val="00423B89"/>
    <w:rsid w:val="00423BEB"/>
    <w:rsid w:val="00423C05"/>
    <w:rsid w:val="00423C10"/>
    <w:rsid w:val="00423C29"/>
    <w:rsid w:val="00423C8A"/>
    <w:rsid w:val="00423CA0"/>
    <w:rsid w:val="00423CB3"/>
    <w:rsid w:val="00423CB8"/>
    <w:rsid w:val="00423CC5"/>
    <w:rsid w:val="00423CD0"/>
    <w:rsid w:val="00423D6F"/>
    <w:rsid w:val="00423D7A"/>
    <w:rsid w:val="00423D98"/>
    <w:rsid w:val="00423DC0"/>
    <w:rsid w:val="00423E20"/>
    <w:rsid w:val="00423E4F"/>
    <w:rsid w:val="00423EA0"/>
    <w:rsid w:val="00423F04"/>
    <w:rsid w:val="00423F0C"/>
    <w:rsid w:val="00423F11"/>
    <w:rsid w:val="00423F59"/>
    <w:rsid w:val="00423FBC"/>
    <w:rsid w:val="00423FD9"/>
    <w:rsid w:val="00423FDB"/>
    <w:rsid w:val="0042405E"/>
    <w:rsid w:val="0042407E"/>
    <w:rsid w:val="00424092"/>
    <w:rsid w:val="004240A2"/>
    <w:rsid w:val="004240A4"/>
    <w:rsid w:val="004240CF"/>
    <w:rsid w:val="004240E8"/>
    <w:rsid w:val="0042410C"/>
    <w:rsid w:val="0042412E"/>
    <w:rsid w:val="0042414C"/>
    <w:rsid w:val="0042416C"/>
    <w:rsid w:val="004241C4"/>
    <w:rsid w:val="00424217"/>
    <w:rsid w:val="00424292"/>
    <w:rsid w:val="004242A1"/>
    <w:rsid w:val="004242AD"/>
    <w:rsid w:val="00424304"/>
    <w:rsid w:val="0042430B"/>
    <w:rsid w:val="00424316"/>
    <w:rsid w:val="00424372"/>
    <w:rsid w:val="00424388"/>
    <w:rsid w:val="004243AE"/>
    <w:rsid w:val="004243B9"/>
    <w:rsid w:val="004243D3"/>
    <w:rsid w:val="00424405"/>
    <w:rsid w:val="0042442D"/>
    <w:rsid w:val="00424430"/>
    <w:rsid w:val="00424471"/>
    <w:rsid w:val="00424479"/>
    <w:rsid w:val="0042449D"/>
    <w:rsid w:val="004244C3"/>
    <w:rsid w:val="0042454F"/>
    <w:rsid w:val="00424562"/>
    <w:rsid w:val="0042456A"/>
    <w:rsid w:val="00424626"/>
    <w:rsid w:val="00424632"/>
    <w:rsid w:val="00424637"/>
    <w:rsid w:val="00424660"/>
    <w:rsid w:val="004246C0"/>
    <w:rsid w:val="004246C1"/>
    <w:rsid w:val="0042470A"/>
    <w:rsid w:val="00424726"/>
    <w:rsid w:val="00424759"/>
    <w:rsid w:val="00424797"/>
    <w:rsid w:val="00424799"/>
    <w:rsid w:val="004247A8"/>
    <w:rsid w:val="004247BE"/>
    <w:rsid w:val="004247E7"/>
    <w:rsid w:val="004247FC"/>
    <w:rsid w:val="0042480F"/>
    <w:rsid w:val="00424839"/>
    <w:rsid w:val="0042484E"/>
    <w:rsid w:val="0042486B"/>
    <w:rsid w:val="0042487A"/>
    <w:rsid w:val="004248A7"/>
    <w:rsid w:val="004248BF"/>
    <w:rsid w:val="004248DA"/>
    <w:rsid w:val="00424914"/>
    <w:rsid w:val="00424919"/>
    <w:rsid w:val="00424927"/>
    <w:rsid w:val="00424946"/>
    <w:rsid w:val="00424948"/>
    <w:rsid w:val="00424978"/>
    <w:rsid w:val="004249BA"/>
    <w:rsid w:val="004249D1"/>
    <w:rsid w:val="004249F9"/>
    <w:rsid w:val="00424A07"/>
    <w:rsid w:val="00424A32"/>
    <w:rsid w:val="00424A6A"/>
    <w:rsid w:val="00424A7B"/>
    <w:rsid w:val="00424A8A"/>
    <w:rsid w:val="00424ADD"/>
    <w:rsid w:val="00424AE4"/>
    <w:rsid w:val="00424AFC"/>
    <w:rsid w:val="00424B24"/>
    <w:rsid w:val="00424BA2"/>
    <w:rsid w:val="00424BBE"/>
    <w:rsid w:val="00424C07"/>
    <w:rsid w:val="00424C0F"/>
    <w:rsid w:val="00424C29"/>
    <w:rsid w:val="00424C44"/>
    <w:rsid w:val="00424C71"/>
    <w:rsid w:val="00424C74"/>
    <w:rsid w:val="00424CA0"/>
    <w:rsid w:val="00424CDB"/>
    <w:rsid w:val="00424CE2"/>
    <w:rsid w:val="00424CEA"/>
    <w:rsid w:val="00424D03"/>
    <w:rsid w:val="00424D20"/>
    <w:rsid w:val="00424D2A"/>
    <w:rsid w:val="00424D3C"/>
    <w:rsid w:val="00424D3F"/>
    <w:rsid w:val="00424DBF"/>
    <w:rsid w:val="00424E6C"/>
    <w:rsid w:val="00424EB5"/>
    <w:rsid w:val="00424F01"/>
    <w:rsid w:val="00424F45"/>
    <w:rsid w:val="00424F46"/>
    <w:rsid w:val="00424F71"/>
    <w:rsid w:val="00424F82"/>
    <w:rsid w:val="00424F8D"/>
    <w:rsid w:val="00424FAA"/>
    <w:rsid w:val="00424FD7"/>
    <w:rsid w:val="00424FE6"/>
    <w:rsid w:val="0042501E"/>
    <w:rsid w:val="0042504C"/>
    <w:rsid w:val="00425069"/>
    <w:rsid w:val="00425071"/>
    <w:rsid w:val="00425085"/>
    <w:rsid w:val="00425098"/>
    <w:rsid w:val="0042509D"/>
    <w:rsid w:val="00425107"/>
    <w:rsid w:val="00425134"/>
    <w:rsid w:val="00425166"/>
    <w:rsid w:val="0042524A"/>
    <w:rsid w:val="00425293"/>
    <w:rsid w:val="004252BA"/>
    <w:rsid w:val="00425316"/>
    <w:rsid w:val="0042531F"/>
    <w:rsid w:val="00425328"/>
    <w:rsid w:val="0042532A"/>
    <w:rsid w:val="0042534E"/>
    <w:rsid w:val="0042534F"/>
    <w:rsid w:val="00425409"/>
    <w:rsid w:val="00425455"/>
    <w:rsid w:val="00425456"/>
    <w:rsid w:val="0042548C"/>
    <w:rsid w:val="00425495"/>
    <w:rsid w:val="004254D9"/>
    <w:rsid w:val="004254F1"/>
    <w:rsid w:val="00425544"/>
    <w:rsid w:val="00425602"/>
    <w:rsid w:val="00425631"/>
    <w:rsid w:val="00425668"/>
    <w:rsid w:val="004256C7"/>
    <w:rsid w:val="0042572C"/>
    <w:rsid w:val="004257B7"/>
    <w:rsid w:val="004257B8"/>
    <w:rsid w:val="00425822"/>
    <w:rsid w:val="00425827"/>
    <w:rsid w:val="0042582D"/>
    <w:rsid w:val="0042582E"/>
    <w:rsid w:val="00425867"/>
    <w:rsid w:val="0042586A"/>
    <w:rsid w:val="00425878"/>
    <w:rsid w:val="004258A2"/>
    <w:rsid w:val="004258CF"/>
    <w:rsid w:val="004258E9"/>
    <w:rsid w:val="0042591A"/>
    <w:rsid w:val="0042592F"/>
    <w:rsid w:val="00425969"/>
    <w:rsid w:val="004259C0"/>
    <w:rsid w:val="004259C4"/>
    <w:rsid w:val="00425A1C"/>
    <w:rsid w:val="00425A1D"/>
    <w:rsid w:val="00425A28"/>
    <w:rsid w:val="00425A76"/>
    <w:rsid w:val="00425AA4"/>
    <w:rsid w:val="00425AB6"/>
    <w:rsid w:val="00425ACC"/>
    <w:rsid w:val="00425ADD"/>
    <w:rsid w:val="00425B2C"/>
    <w:rsid w:val="00425B2F"/>
    <w:rsid w:val="00425B32"/>
    <w:rsid w:val="00425B61"/>
    <w:rsid w:val="00425B62"/>
    <w:rsid w:val="00425B8A"/>
    <w:rsid w:val="00425BA1"/>
    <w:rsid w:val="00425BD5"/>
    <w:rsid w:val="00425BFD"/>
    <w:rsid w:val="00425C56"/>
    <w:rsid w:val="00425C5E"/>
    <w:rsid w:val="00425C6F"/>
    <w:rsid w:val="00425C9D"/>
    <w:rsid w:val="00425CA1"/>
    <w:rsid w:val="00425CBB"/>
    <w:rsid w:val="00425CC0"/>
    <w:rsid w:val="00425CDA"/>
    <w:rsid w:val="00425CFB"/>
    <w:rsid w:val="00425D64"/>
    <w:rsid w:val="00425D84"/>
    <w:rsid w:val="00425DD1"/>
    <w:rsid w:val="00425E5A"/>
    <w:rsid w:val="00425E77"/>
    <w:rsid w:val="00425EAD"/>
    <w:rsid w:val="00425F00"/>
    <w:rsid w:val="00425F5F"/>
    <w:rsid w:val="00426013"/>
    <w:rsid w:val="0042608C"/>
    <w:rsid w:val="004260BC"/>
    <w:rsid w:val="004260E4"/>
    <w:rsid w:val="00426120"/>
    <w:rsid w:val="00426137"/>
    <w:rsid w:val="00426151"/>
    <w:rsid w:val="00426180"/>
    <w:rsid w:val="004261BA"/>
    <w:rsid w:val="004261BD"/>
    <w:rsid w:val="004261F0"/>
    <w:rsid w:val="00426208"/>
    <w:rsid w:val="00426230"/>
    <w:rsid w:val="00426248"/>
    <w:rsid w:val="00426254"/>
    <w:rsid w:val="0042625A"/>
    <w:rsid w:val="00426277"/>
    <w:rsid w:val="004262B9"/>
    <w:rsid w:val="004262E2"/>
    <w:rsid w:val="004262E8"/>
    <w:rsid w:val="004263B9"/>
    <w:rsid w:val="004263EC"/>
    <w:rsid w:val="0042644F"/>
    <w:rsid w:val="00426457"/>
    <w:rsid w:val="0042649E"/>
    <w:rsid w:val="004264B9"/>
    <w:rsid w:val="004264CB"/>
    <w:rsid w:val="004264EC"/>
    <w:rsid w:val="00426557"/>
    <w:rsid w:val="00426562"/>
    <w:rsid w:val="00426570"/>
    <w:rsid w:val="004265D6"/>
    <w:rsid w:val="0042660D"/>
    <w:rsid w:val="00426613"/>
    <w:rsid w:val="00426634"/>
    <w:rsid w:val="00426645"/>
    <w:rsid w:val="00426654"/>
    <w:rsid w:val="0042667A"/>
    <w:rsid w:val="00426705"/>
    <w:rsid w:val="0042670C"/>
    <w:rsid w:val="00426731"/>
    <w:rsid w:val="00426796"/>
    <w:rsid w:val="00426851"/>
    <w:rsid w:val="00426853"/>
    <w:rsid w:val="00426859"/>
    <w:rsid w:val="00426879"/>
    <w:rsid w:val="0042689D"/>
    <w:rsid w:val="004268A7"/>
    <w:rsid w:val="004268D8"/>
    <w:rsid w:val="0042691B"/>
    <w:rsid w:val="00426932"/>
    <w:rsid w:val="0042694D"/>
    <w:rsid w:val="0042696E"/>
    <w:rsid w:val="00426970"/>
    <w:rsid w:val="004269A3"/>
    <w:rsid w:val="004269BA"/>
    <w:rsid w:val="00426A04"/>
    <w:rsid w:val="00426A3C"/>
    <w:rsid w:val="00426A65"/>
    <w:rsid w:val="00426A9B"/>
    <w:rsid w:val="00426A9F"/>
    <w:rsid w:val="00426AA5"/>
    <w:rsid w:val="00426AAF"/>
    <w:rsid w:val="00426B1F"/>
    <w:rsid w:val="00426B50"/>
    <w:rsid w:val="00426B6C"/>
    <w:rsid w:val="00426B85"/>
    <w:rsid w:val="00426B95"/>
    <w:rsid w:val="00426B97"/>
    <w:rsid w:val="00426BA3"/>
    <w:rsid w:val="00426BB6"/>
    <w:rsid w:val="00426BDB"/>
    <w:rsid w:val="00426C18"/>
    <w:rsid w:val="00426C1E"/>
    <w:rsid w:val="00426C8D"/>
    <w:rsid w:val="00426CBC"/>
    <w:rsid w:val="00426CE8"/>
    <w:rsid w:val="00426D18"/>
    <w:rsid w:val="00426D1A"/>
    <w:rsid w:val="00426D1B"/>
    <w:rsid w:val="00426D41"/>
    <w:rsid w:val="00426D69"/>
    <w:rsid w:val="00426D79"/>
    <w:rsid w:val="00426D7E"/>
    <w:rsid w:val="00426E18"/>
    <w:rsid w:val="00426E82"/>
    <w:rsid w:val="00426E95"/>
    <w:rsid w:val="00426EB0"/>
    <w:rsid w:val="00426EDD"/>
    <w:rsid w:val="00426F38"/>
    <w:rsid w:val="00426F71"/>
    <w:rsid w:val="00426F89"/>
    <w:rsid w:val="00426FE0"/>
    <w:rsid w:val="00426FED"/>
    <w:rsid w:val="00426FFF"/>
    <w:rsid w:val="00427057"/>
    <w:rsid w:val="004270F4"/>
    <w:rsid w:val="00427113"/>
    <w:rsid w:val="00427118"/>
    <w:rsid w:val="0042712D"/>
    <w:rsid w:val="00427248"/>
    <w:rsid w:val="004272C0"/>
    <w:rsid w:val="004272DE"/>
    <w:rsid w:val="004272F6"/>
    <w:rsid w:val="0042732B"/>
    <w:rsid w:val="00427386"/>
    <w:rsid w:val="0042739F"/>
    <w:rsid w:val="004273A9"/>
    <w:rsid w:val="004273AD"/>
    <w:rsid w:val="004273AE"/>
    <w:rsid w:val="004273C1"/>
    <w:rsid w:val="004273E7"/>
    <w:rsid w:val="00427403"/>
    <w:rsid w:val="00427414"/>
    <w:rsid w:val="0042743A"/>
    <w:rsid w:val="0042747E"/>
    <w:rsid w:val="00427487"/>
    <w:rsid w:val="004274B7"/>
    <w:rsid w:val="004274BD"/>
    <w:rsid w:val="004274E1"/>
    <w:rsid w:val="004274F0"/>
    <w:rsid w:val="0042750B"/>
    <w:rsid w:val="00427524"/>
    <w:rsid w:val="0042754A"/>
    <w:rsid w:val="00427578"/>
    <w:rsid w:val="0042758B"/>
    <w:rsid w:val="004275AE"/>
    <w:rsid w:val="004275C2"/>
    <w:rsid w:val="004275E9"/>
    <w:rsid w:val="004275F1"/>
    <w:rsid w:val="00427619"/>
    <w:rsid w:val="0042761A"/>
    <w:rsid w:val="00427637"/>
    <w:rsid w:val="0042764D"/>
    <w:rsid w:val="00427651"/>
    <w:rsid w:val="0042766F"/>
    <w:rsid w:val="004276B5"/>
    <w:rsid w:val="004276B9"/>
    <w:rsid w:val="004276F5"/>
    <w:rsid w:val="004276F6"/>
    <w:rsid w:val="00427705"/>
    <w:rsid w:val="00427706"/>
    <w:rsid w:val="0042772D"/>
    <w:rsid w:val="00427734"/>
    <w:rsid w:val="0042776C"/>
    <w:rsid w:val="004277DE"/>
    <w:rsid w:val="004277F4"/>
    <w:rsid w:val="004277FC"/>
    <w:rsid w:val="0042782C"/>
    <w:rsid w:val="00427848"/>
    <w:rsid w:val="0042784A"/>
    <w:rsid w:val="00427879"/>
    <w:rsid w:val="00427893"/>
    <w:rsid w:val="004278BE"/>
    <w:rsid w:val="004278D8"/>
    <w:rsid w:val="004278E2"/>
    <w:rsid w:val="00427943"/>
    <w:rsid w:val="00427983"/>
    <w:rsid w:val="004279AB"/>
    <w:rsid w:val="004279D6"/>
    <w:rsid w:val="00427AA2"/>
    <w:rsid w:val="00427AC2"/>
    <w:rsid w:val="00427AF8"/>
    <w:rsid w:val="00427B68"/>
    <w:rsid w:val="00427BB8"/>
    <w:rsid w:val="00427BD6"/>
    <w:rsid w:val="00427BF9"/>
    <w:rsid w:val="00427C38"/>
    <w:rsid w:val="00427C40"/>
    <w:rsid w:val="00427C51"/>
    <w:rsid w:val="00427C56"/>
    <w:rsid w:val="00427C85"/>
    <w:rsid w:val="00427CCC"/>
    <w:rsid w:val="00427CD2"/>
    <w:rsid w:val="00427D1F"/>
    <w:rsid w:val="00427D23"/>
    <w:rsid w:val="00427D90"/>
    <w:rsid w:val="00427DA4"/>
    <w:rsid w:val="00427DC1"/>
    <w:rsid w:val="00427DE6"/>
    <w:rsid w:val="00427DF7"/>
    <w:rsid w:val="00427E6E"/>
    <w:rsid w:val="00427EFC"/>
    <w:rsid w:val="00427EFF"/>
    <w:rsid w:val="00427F01"/>
    <w:rsid w:val="00427F64"/>
    <w:rsid w:val="00427FC3"/>
    <w:rsid w:val="00427FD3"/>
    <w:rsid w:val="00427FD5"/>
    <w:rsid w:val="00430006"/>
    <w:rsid w:val="0043001E"/>
    <w:rsid w:val="004300BD"/>
    <w:rsid w:val="004300C7"/>
    <w:rsid w:val="004300CB"/>
    <w:rsid w:val="004300CC"/>
    <w:rsid w:val="004300FD"/>
    <w:rsid w:val="0043015F"/>
    <w:rsid w:val="00430194"/>
    <w:rsid w:val="004301FC"/>
    <w:rsid w:val="00430247"/>
    <w:rsid w:val="00430257"/>
    <w:rsid w:val="00430283"/>
    <w:rsid w:val="004302D1"/>
    <w:rsid w:val="0043035D"/>
    <w:rsid w:val="004303A1"/>
    <w:rsid w:val="004303D9"/>
    <w:rsid w:val="004303E8"/>
    <w:rsid w:val="0043042A"/>
    <w:rsid w:val="0043046D"/>
    <w:rsid w:val="00430489"/>
    <w:rsid w:val="00430495"/>
    <w:rsid w:val="004304B5"/>
    <w:rsid w:val="004304B7"/>
    <w:rsid w:val="004304E0"/>
    <w:rsid w:val="0043051C"/>
    <w:rsid w:val="00430541"/>
    <w:rsid w:val="0043055E"/>
    <w:rsid w:val="00430564"/>
    <w:rsid w:val="00430579"/>
    <w:rsid w:val="0043059C"/>
    <w:rsid w:val="004305AF"/>
    <w:rsid w:val="004305B4"/>
    <w:rsid w:val="004305B9"/>
    <w:rsid w:val="004305E9"/>
    <w:rsid w:val="0043062B"/>
    <w:rsid w:val="00430636"/>
    <w:rsid w:val="00430650"/>
    <w:rsid w:val="00430665"/>
    <w:rsid w:val="004306CA"/>
    <w:rsid w:val="004306D9"/>
    <w:rsid w:val="004306E4"/>
    <w:rsid w:val="0043070F"/>
    <w:rsid w:val="0043078E"/>
    <w:rsid w:val="004307B3"/>
    <w:rsid w:val="004307ED"/>
    <w:rsid w:val="004307FD"/>
    <w:rsid w:val="00430837"/>
    <w:rsid w:val="00430843"/>
    <w:rsid w:val="0043084A"/>
    <w:rsid w:val="00430873"/>
    <w:rsid w:val="0043088B"/>
    <w:rsid w:val="0043089D"/>
    <w:rsid w:val="00430922"/>
    <w:rsid w:val="0043092D"/>
    <w:rsid w:val="00430934"/>
    <w:rsid w:val="00430960"/>
    <w:rsid w:val="00430968"/>
    <w:rsid w:val="004309FC"/>
    <w:rsid w:val="00430A0E"/>
    <w:rsid w:val="00430A0F"/>
    <w:rsid w:val="00430A1F"/>
    <w:rsid w:val="00430A27"/>
    <w:rsid w:val="00430A60"/>
    <w:rsid w:val="00430AE3"/>
    <w:rsid w:val="00430AEE"/>
    <w:rsid w:val="00430B15"/>
    <w:rsid w:val="00430B21"/>
    <w:rsid w:val="00430B44"/>
    <w:rsid w:val="00430BCD"/>
    <w:rsid w:val="00430C04"/>
    <w:rsid w:val="00430C0C"/>
    <w:rsid w:val="00430C29"/>
    <w:rsid w:val="00430C2E"/>
    <w:rsid w:val="00430C33"/>
    <w:rsid w:val="00430C4B"/>
    <w:rsid w:val="00430C72"/>
    <w:rsid w:val="00430CAB"/>
    <w:rsid w:val="00430CB4"/>
    <w:rsid w:val="00430D1B"/>
    <w:rsid w:val="00430D2C"/>
    <w:rsid w:val="00430D3E"/>
    <w:rsid w:val="00430D4C"/>
    <w:rsid w:val="00430D80"/>
    <w:rsid w:val="00430E35"/>
    <w:rsid w:val="00430E40"/>
    <w:rsid w:val="00430E56"/>
    <w:rsid w:val="00430E79"/>
    <w:rsid w:val="00430ECB"/>
    <w:rsid w:val="00430EE0"/>
    <w:rsid w:val="00430F59"/>
    <w:rsid w:val="00431055"/>
    <w:rsid w:val="0043109C"/>
    <w:rsid w:val="004310AF"/>
    <w:rsid w:val="004310B1"/>
    <w:rsid w:val="004310BA"/>
    <w:rsid w:val="0043111C"/>
    <w:rsid w:val="00431129"/>
    <w:rsid w:val="00431151"/>
    <w:rsid w:val="00431185"/>
    <w:rsid w:val="004311A7"/>
    <w:rsid w:val="004311F2"/>
    <w:rsid w:val="00431226"/>
    <w:rsid w:val="0043122A"/>
    <w:rsid w:val="00431254"/>
    <w:rsid w:val="0043126F"/>
    <w:rsid w:val="004312BE"/>
    <w:rsid w:val="004312D9"/>
    <w:rsid w:val="00431305"/>
    <w:rsid w:val="00431320"/>
    <w:rsid w:val="00431324"/>
    <w:rsid w:val="00431355"/>
    <w:rsid w:val="0043137C"/>
    <w:rsid w:val="00431381"/>
    <w:rsid w:val="00431386"/>
    <w:rsid w:val="0043139E"/>
    <w:rsid w:val="004313A1"/>
    <w:rsid w:val="004313A6"/>
    <w:rsid w:val="004313C0"/>
    <w:rsid w:val="004313DA"/>
    <w:rsid w:val="0043140D"/>
    <w:rsid w:val="00431469"/>
    <w:rsid w:val="0043146F"/>
    <w:rsid w:val="004314AA"/>
    <w:rsid w:val="00431501"/>
    <w:rsid w:val="00431541"/>
    <w:rsid w:val="00431549"/>
    <w:rsid w:val="004315A3"/>
    <w:rsid w:val="004315D6"/>
    <w:rsid w:val="00431604"/>
    <w:rsid w:val="0043160B"/>
    <w:rsid w:val="0043161E"/>
    <w:rsid w:val="00431643"/>
    <w:rsid w:val="00431653"/>
    <w:rsid w:val="00431665"/>
    <w:rsid w:val="00431689"/>
    <w:rsid w:val="004316AF"/>
    <w:rsid w:val="004316C5"/>
    <w:rsid w:val="004316DA"/>
    <w:rsid w:val="004316FE"/>
    <w:rsid w:val="00431731"/>
    <w:rsid w:val="0043173F"/>
    <w:rsid w:val="004317A2"/>
    <w:rsid w:val="004317F4"/>
    <w:rsid w:val="004317FF"/>
    <w:rsid w:val="00431819"/>
    <w:rsid w:val="00431834"/>
    <w:rsid w:val="0043185F"/>
    <w:rsid w:val="004318B7"/>
    <w:rsid w:val="004318CF"/>
    <w:rsid w:val="0043190F"/>
    <w:rsid w:val="0043196B"/>
    <w:rsid w:val="004319A9"/>
    <w:rsid w:val="00431A2E"/>
    <w:rsid w:val="00431A40"/>
    <w:rsid w:val="00431A9D"/>
    <w:rsid w:val="00431AE6"/>
    <w:rsid w:val="00431AFD"/>
    <w:rsid w:val="00431B08"/>
    <w:rsid w:val="00431B0D"/>
    <w:rsid w:val="00431B41"/>
    <w:rsid w:val="00431B57"/>
    <w:rsid w:val="00431B78"/>
    <w:rsid w:val="00431C31"/>
    <w:rsid w:val="00431C58"/>
    <w:rsid w:val="00431C6D"/>
    <w:rsid w:val="00431CCC"/>
    <w:rsid w:val="00431CD3"/>
    <w:rsid w:val="00431D13"/>
    <w:rsid w:val="00431D15"/>
    <w:rsid w:val="00431D3B"/>
    <w:rsid w:val="00431D45"/>
    <w:rsid w:val="00431D58"/>
    <w:rsid w:val="00431D62"/>
    <w:rsid w:val="00431E05"/>
    <w:rsid w:val="00431E16"/>
    <w:rsid w:val="00431E1C"/>
    <w:rsid w:val="00431E69"/>
    <w:rsid w:val="00431E9F"/>
    <w:rsid w:val="00431EB0"/>
    <w:rsid w:val="00431F1B"/>
    <w:rsid w:val="00431F39"/>
    <w:rsid w:val="00431F4B"/>
    <w:rsid w:val="00431F6E"/>
    <w:rsid w:val="00431F85"/>
    <w:rsid w:val="00431F8A"/>
    <w:rsid w:val="00431FBB"/>
    <w:rsid w:val="00431FF1"/>
    <w:rsid w:val="0043208C"/>
    <w:rsid w:val="004320BD"/>
    <w:rsid w:val="0043210F"/>
    <w:rsid w:val="00432124"/>
    <w:rsid w:val="0043213D"/>
    <w:rsid w:val="00432159"/>
    <w:rsid w:val="0043217B"/>
    <w:rsid w:val="00432182"/>
    <w:rsid w:val="0043222C"/>
    <w:rsid w:val="0043222D"/>
    <w:rsid w:val="0043227B"/>
    <w:rsid w:val="004322C6"/>
    <w:rsid w:val="004322CB"/>
    <w:rsid w:val="004322EB"/>
    <w:rsid w:val="004322EE"/>
    <w:rsid w:val="00432317"/>
    <w:rsid w:val="0043231A"/>
    <w:rsid w:val="0043232E"/>
    <w:rsid w:val="00432372"/>
    <w:rsid w:val="0043237E"/>
    <w:rsid w:val="004323D5"/>
    <w:rsid w:val="004323D6"/>
    <w:rsid w:val="004323E0"/>
    <w:rsid w:val="004323E5"/>
    <w:rsid w:val="00432420"/>
    <w:rsid w:val="00432444"/>
    <w:rsid w:val="0043246E"/>
    <w:rsid w:val="0043247A"/>
    <w:rsid w:val="00432481"/>
    <w:rsid w:val="00432521"/>
    <w:rsid w:val="0043258A"/>
    <w:rsid w:val="004325BD"/>
    <w:rsid w:val="004325F2"/>
    <w:rsid w:val="0043262A"/>
    <w:rsid w:val="0043265F"/>
    <w:rsid w:val="00432676"/>
    <w:rsid w:val="00432684"/>
    <w:rsid w:val="004326BD"/>
    <w:rsid w:val="004326C6"/>
    <w:rsid w:val="00432709"/>
    <w:rsid w:val="0043270B"/>
    <w:rsid w:val="0043271C"/>
    <w:rsid w:val="00432853"/>
    <w:rsid w:val="00432854"/>
    <w:rsid w:val="00432863"/>
    <w:rsid w:val="004328AE"/>
    <w:rsid w:val="00432903"/>
    <w:rsid w:val="0043295C"/>
    <w:rsid w:val="00432968"/>
    <w:rsid w:val="0043298B"/>
    <w:rsid w:val="004329B9"/>
    <w:rsid w:val="004329E2"/>
    <w:rsid w:val="00432A09"/>
    <w:rsid w:val="00432A42"/>
    <w:rsid w:val="00432A4E"/>
    <w:rsid w:val="00432A6A"/>
    <w:rsid w:val="00432AFB"/>
    <w:rsid w:val="00432B0D"/>
    <w:rsid w:val="00432B35"/>
    <w:rsid w:val="00432B74"/>
    <w:rsid w:val="00432B94"/>
    <w:rsid w:val="00432BA8"/>
    <w:rsid w:val="00432BEA"/>
    <w:rsid w:val="00432BEF"/>
    <w:rsid w:val="00432C21"/>
    <w:rsid w:val="00432C37"/>
    <w:rsid w:val="00432C3A"/>
    <w:rsid w:val="00432CBA"/>
    <w:rsid w:val="00432CD9"/>
    <w:rsid w:val="00432D45"/>
    <w:rsid w:val="00432D7B"/>
    <w:rsid w:val="00432D89"/>
    <w:rsid w:val="00432D96"/>
    <w:rsid w:val="00432DC2"/>
    <w:rsid w:val="00432DF9"/>
    <w:rsid w:val="00432DFF"/>
    <w:rsid w:val="00432E28"/>
    <w:rsid w:val="00432E40"/>
    <w:rsid w:val="00432E68"/>
    <w:rsid w:val="00432E70"/>
    <w:rsid w:val="00432EB3"/>
    <w:rsid w:val="00432EBD"/>
    <w:rsid w:val="00432ED3"/>
    <w:rsid w:val="00432EE2"/>
    <w:rsid w:val="00432F14"/>
    <w:rsid w:val="00432F4E"/>
    <w:rsid w:val="00432F56"/>
    <w:rsid w:val="00432F58"/>
    <w:rsid w:val="00432FAB"/>
    <w:rsid w:val="00432FC2"/>
    <w:rsid w:val="00432FDB"/>
    <w:rsid w:val="00433007"/>
    <w:rsid w:val="00433019"/>
    <w:rsid w:val="0043302E"/>
    <w:rsid w:val="00433050"/>
    <w:rsid w:val="0043309A"/>
    <w:rsid w:val="004330A3"/>
    <w:rsid w:val="004330B0"/>
    <w:rsid w:val="004330B9"/>
    <w:rsid w:val="004330BF"/>
    <w:rsid w:val="004330C6"/>
    <w:rsid w:val="004330E6"/>
    <w:rsid w:val="004330FA"/>
    <w:rsid w:val="00433120"/>
    <w:rsid w:val="00433188"/>
    <w:rsid w:val="004331DF"/>
    <w:rsid w:val="004332A2"/>
    <w:rsid w:val="004332BA"/>
    <w:rsid w:val="0043332C"/>
    <w:rsid w:val="004333AF"/>
    <w:rsid w:val="00433429"/>
    <w:rsid w:val="0043342E"/>
    <w:rsid w:val="0043347B"/>
    <w:rsid w:val="004334E1"/>
    <w:rsid w:val="0043354A"/>
    <w:rsid w:val="00433589"/>
    <w:rsid w:val="0043358B"/>
    <w:rsid w:val="004335C6"/>
    <w:rsid w:val="004335E7"/>
    <w:rsid w:val="00433600"/>
    <w:rsid w:val="0043361F"/>
    <w:rsid w:val="00433638"/>
    <w:rsid w:val="004336A0"/>
    <w:rsid w:val="004336B7"/>
    <w:rsid w:val="004336CE"/>
    <w:rsid w:val="004336D0"/>
    <w:rsid w:val="004336DB"/>
    <w:rsid w:val="0043371F"/>
    <w:rsid w:val="00433777"/>
    <w:rsid w:val="004337BA"/>
    <w:rsid w:val="004337CA"/>
    <w:rsid w:val="004337D4"/>
    <w:rsid w:val="00433812"/>
    <w:rsid w:val="00433827"/>
    <w:rsid w:val="00433856"/>
    <w:rsid w:val="00433890"/>
    <w:rsid w:val="004338A8"/>
    <w:rsid w:val="004338B9"/>
    <w:rsid w:val="004338EF"/>
    <w:rsid w:val="00433919"/>
    <w:rsid w:val="00433925"/>
    <w:rsid w:val="00433972"/>
    <w:rsid w:val="0043398D"/>
    <w:rsid w:val="00433A1E"/>
    <w:rsid w:val="00433A2A"/>
    <w:rsid w:val="00433A55"/>
    <w:rsid w:val="00433A94"/>
    <w:rsid w:val="00433A98"/>
    <w:rsid w:val="00433B41"/>
    <w:rsid w:val="00433B50"/>
    <w:rsid w:val="00433B58"/>
    <w:rsid w:val="00433B70"/>
    <w:rsid w:val="00433BB8"/>
    <w:rsid w:val="00433BC1"/>
    <w:rsid w:val="00433C20"/>
    <w:rsid w:val="00433C76"/>
    <w:rsid w:val="00433CA2"/>
    <w:rsid w:val="00433D79"/>
    <w:rsid w:val="00433E3F"/>
    <w:rsid w:val="00433E51"/>
    <w:rsid w:val="00433EB9"/>
    <w:rsid w:val="00433ED9"/>
    <w:rsid w:val="00433EEA"/>
    <w:rsid w:val="00433F09"/>
    <w:rsid w:val="00433F96"/>
    <w:rsid w:val="00433FA8"/>
    <w:rsid w:val="00433FEA"/>
    <w:rsid w:val="0043401E"/>
    <w:rsid w:val="00434064"/>
    <w:rsid w:val="004340C8"/>
    <w:rsid w:val="0043410A"/>
    <w:rsid w:val="0043410E"/>
    <w:rsid w:val="00434120"/>
    <w:rsid w:val="00434155"/>
    <w:rsid w:val="00434189"/>
    <w:rsid w:val="004341A3"/>
    <w:rsid w:val="004341C4"/>
    <w:rsid w:val="004341FB"/>
    <w:rsid w:val="004341FF"/>
    <w:rsid w:val="0043426D"/>
    <w:rsid w:val="00434290"/>
    <w:rsid w:val="004342E6"/>
    <w:rsid w:val="004342F4"/>
    <w:rsid w:val="00434351"/>
    <w:rsid w:val="0043438D"/>
    <w:rsid w:val="004343AE"/>
    <w:rsid w:val="004343D2"/>
    <w:rsid w:val="004343EA"/>
    <w:rsid w:val="00434427"/>
    <w:rsid w:val="0043446E"/>
    <w:rsid w:val="00434475"/>
    <w:rsid w:val="004344BA"/>
    <w:rsid w:val="004344CD"/>
    <w:rsid w:val="00434500"/>
    <w:rsid w:val="00434538"/>
    <w:rsid w:val="0043455C"/>
    <w:rsid w:val="004345A2"/>
    <w:rsid w:val="004345A5"/>
    <w:rsid w:val="004345AE"/>
    <w:rsid w:val="004345D9"/>
    <w:rsid w:val="00434634"/>
    <w:rsid w:val="00434637"/>
    <w:rsid w:val="00434640"/>
    <w:rsid w:val="00434656"/>
    <w:rsid w:val="0043471B"/>
    <w:rsid w:val="00434763"/>
    <w:rsid w:val="0043476C"/>
    <w:rsid w:val="0043476E"/>
    <w:rsid w:val="0043476F"/>
    <w:rsid w:val="00434776"/>
    <w:rsid w:val="0043485F"/>
    <w:rsid w:val="004348A9"/>
    <w:rsid w:val="004348B4"/>
    <w:rsid w:val="004348B5"/>
    <w:rsid w:val="00434956"/>
    <w:rsid w:val="00434973"/>
    <w:rsid w:val="004349A5"/>
    <w:rsid w:val="004349E1"/>
    <w:rsid w:val="004349F9"/>
    <w:rsid w:val="00434A22"/>
    <w:rsid w:val="00434A7E"/>
    <w:rsid w:val="00434AA9"/>
    <w:rsid w:val="00434AD6"/>
    <w:rsid w:val="00434AE6"/>
    <w:rsid w:val="00434AE9"/>
    <w:rsid w:val="00434B4C"/>
    <w:rsid w:val="00434B52"/>
    <w:rsid w:val="00434BB8"/>
    <w:rsid w:val="00434BBF"/>
    <w:rsid w:val="00434C1D"/>
    <w:rsid w:val="00434C23"/>
    <w:rsid w:val="00434C2A"/>
    <w:rsid w:val="00434CA3"/>
    <w:rsid w:val="00434D0B"/>
    <w:rsid w:val="00434D1F"/>
    <w:rsid w:val="00434D39"/>
    <w:rsid w:val="00434D55"/>
    <w:rsid w:val="00434DAE"/>
    <w:rsid w:val="00434DBD"/>
    <w:rsid w:val="00434DC7"/>
    <w:rsid w:val="00434DDB"/>
    <w:rsid w:val="00434E57"/>
    <w:rsid w:val="00434E9C"/>
    <w:rsid w:val="00434EA3"/>
    <w:rsid w:val="00434EB4"/>
    <w:rsid w:val="00434EC5"/>
    <w:rsid w:val="00434F09"/>
    <w:rsid w:val="00434F35"/>
    <w:rsid w:val="00434F7C"/>
    <w:rsid w:val="00434F97"/>
    <w:rsid w:val="00434FD4"/>
    <w:rsid w:val="00434FFB"/>
    <w:rsid w:val="00435034"/>
    <w:rsid w:val="0043507A"/>
    <w:rsid w:val="004350CB"/>
    <w:rsid w:val="004350D1"/>
    <w:rsid w:val="004350E1"/>
    <w:rsid w:val="00435102"/>
    <w:rsid w:val="00435121"/>
    <w:rsid w:val="00435122"/>
    <w:rsid w:val="00435149"/>
    <w:rsid w:val="0043515D"/>
    <w:rsid w:val="0043515E"/>
    <w:rsid w:val="004351D6"/>
    <w:rsid w:val="004351DA"/>
    <w:rsid w:val="004351DD"/>
    <w:rsid w:val="004351F4"/>
    <w:rsid w:val="004351F5"/>
    <w:rsid w:val="00435212"/>
    <w:rsid w:val="0043528E"/>
    <w:rsid w:val="0043529D"/>
    <w:rsid w:val="004352D7"/>
    <w:rsid w:val="004352DB"/>
    <w:rsid w:val="004352EE"/>
    <w:rsid w:val="004352F0"/>
    <w:rsid w:val="00435366"/>
    <w:rsid w:val="0043536F"/>
    <w:rsid w:val="00435371"/>
    <w:rsid w:val="00435375"/>
    <w:rsid w:val="004353AE"/>
    <w:rsid w:val="004353B0"/>
    <w:rsid w:val="004354A2"/>
    <w:rsid w:val="004354A8"/>
    <w:rsid w:val="004354EA"/>
    <w:rsid w:val="00435503"/>
    <w:rsid w:val="00435514"/>
    <w:rsid w:val="00435528"/>
    <w:rsid w:val="00435538"/>
    <w:rsid w:val="00435546"/>
    <w:rsid w:val="0043558C"/>
    <w:rsid w:val="004355AE"/>
    <w:rsid w:val="0043565F"/>
    <w:rsid w:val="00435669"/>
    <w:rsid w:val="0043571B"/>
    <w:rsid w:val="00435779"/>
    <w:rsid w:val="004357E1"/>
    <w:rsid w:val="00435836"/>
    <w:rsid w:val="00435848"/>
    <w:rsid w:val="0043584D"/>
    <w:rsid w:val="0043585E"/>
    <w:rsid w:val="004358C3"/>
    <w:rsid w:val="0043593F"/>
    <w:rsid w:val="0043597C"/>
    <w:rsid w:val="00435998"/>
    <w:rsid w:val="004359A6"/>
    <w:rsid w:val="004359F8"/>
    <w:rsid w:val="00435A53"/>
    <w:rsid w:val="00435A74"/>
    <w:rsid w:val="00435A99"/>
    <w:rsid w:val="00435ACF"/>
    <w:rsid w:val="00435B0F"/>
    <w:rsid w:val="00435B10"/>
    <w:rsid w:val="00435B30"/>
    <w:rsid w:val="00435B3C"/>
    <w:rsid w:val="00435B48"/>
    <w:rsid w:val="00435B7F"/>
    <w:rsid w:val="00435B86"/>
    <w:rsid w:val="00435B9F"/>
    <w:rsid w:val="00435C0D"/>
    <w:rsid w:val="00435C23"/>
    <w:rsid w:val="00435C36"/>
    <w:rsid w:val="00435C79"/>
    <w:rsid w:val="00435C8C"/>
    <w:rsid w:val="00435C92"/>
    <w:rsid w:val="00435CC8"/>
    <w:rsid w:val="00435CCE"/>
    <w:rsid w:val="00435CDA"/>
    <w:rsid w:val="00435D12"/>
    <w:rsid w:val="00435D57"/>
    <w:rsid w:val="00435DA3"/>
    <w:rsid w:val="00435DAB"/>
    <w:rsid w:val="00435DBF"/>
    <w:rsid w:val="00435E1F"/>
    <w:rsid w:val="00435E4A"/>
    <w:rsid w:val="00435ED9"/>
    <w:rsid w:val="00435EDB"/>
    <w:rsid w:val="00435F86"/>
    <w:rsid w:val="00435FA5"/>
    <w:rsid w:val="00435FC4"/>
    <w:rsid w:val="00435FF0"/>
    <w:rsid w:val="00436030"/>
    <w:rsid w:val="00436034"/>
    <w:rsid w:val="0043604F"/>
    <w:rsid w:val="0043605B"/>
    <w:rsid w:val="00436060"/>
    <w:rsid w:val="004360BF"/>
    <w:rsid w:val="004360E4"/>
    <w:rsid w:val="004360ED"/>
    <w:rsid w:val="004360F3"/>
    <w:rsid w:val="004360FD"/>
    <w:rsid w:val="00436114"/>
    <w:rsid w:val="004361AB"/>
    <w:rsid w:val="004362AA"/>
    <w:rsid w:val="004362BD"/>
    <w:rsid w:val="004362DE"/>
    <w:rsid w:val="00436398"/>
    <w:rsid w:val="004363DD"/>
    <w:rsid w:val="00436418"/>
    <w:rsid w:val="00436494"/>
    <w:rsid w:val="00436502"/>
    <w:rsid w:val="00436538"/>
    <w:rsid w:val="00436574"/>
    <w:rsid w:val="004365B1"/>
    <w:rsid w:val="004365CD"/>
    <w:rsid w:val="004365D4"/>
    <w:rsid w:val="0043660F"/>
    <w:rsid w:val="0043663D"/>
    <w:rsid w:val="00436640"/>
    <w:rsid w:val="00436695"/>
    <w:rsid w:val="004366B7"/>
    <w:rsid w:val="004366EC"/>
    <w:rsid w:val="004366F1"/>
    <w:rsid w:val="0043673B"/>
    <w:rsid w:val="0043676B"/>
    <w:rsid w:val="0043676D"/>
    <w:rsid w:val="00436814"/>
    <w:rsid w:val="00436868"/>
    <w:rsid w:val="0043686D"/>
    <w:rsid w:val="004368D3"/>
    <w:rsid w:val="004368E2"/>
    <w:rsid w:val="00436968"/>
    <w:rsid w:val="00436971"/>
    <w:rsid w:val="004369A3"/>
    <w:rsid w:val="004369CB"/>
    <w:rsid w:val="004369D0"/>
    <w:rsid w:val="004369DC"/>
    <w:rsid w:val="004369EF"/>
    <w:rsid w:val="00436A4A"/>
    <w:rsid w:val="00436A8F"/>
    <w:rsid w:val="00436AA6"/>
    <w:rsid w:val="00436AB7"/>
    <w:rsid w:val="00436B08"/>
    <w:rsid w:val="00436B0E"/>
    <w:rsid w:val="00436B26"/>
    <w:rsid w:val="00436B6A"/>
    <w:rsid w:val="00436B85"/>
    <w:rsid w:val="00436BD1"/>
    <w:rsid w:val="00436C02"/>
    <w:rsid w:val="00436C23"/>
    <w:rsid w:val="00436C51"/>
    <w:rsid w:val="00436CA2"/>
    <w:rsid w:val="00436CB8"/>
    <w:rsid w:val="00436D29"/>
    <w:rsid w:val="00436D67"/>
    <w:rsid w:val="00436DD4"/>
    <w:rsid w:val="00436DE8"/>
    <w:rsid w:val="00436E0F"/>
    <w:rsid w:val="00436E2B"/>
    <w:rsid w:val="00436E33"/>
    <w:rsid w:val="00436F25"/>
    <w:rsid w:val="00436F81"/>
    <w:rsid w:val="00436F94"/>
    <w:rsid w:val="00436FF4"/>
    <w:rsid w:val="00436FFC"/>
    <w:rsid w:val="00437042"/>
    <w:rsid w:val="00437052"/>
    <w:rsid w:val="00437065"/>
    <w:rsid w:val="0043709F"/>
    <w:rsid w:val="004370C8"/>
    <w:rsid w:val="004370D4"/>
    <w:rsid w:val="004370EE"/>
    <w:rsid w:val="004370F3"/>
    <w:rsid w:val="00437117"/>
    <w:rsid w:val="0043714F"/>
    <w:rsid w:val="00437198"/>
    <w:rsid w:val="004371B5"/>
    <w:rsid w:val="004371E9"/>
    <w:rsid w:val="0043720A"/>
    <w:rsid w:val="00437230"/>
    <w:rsid w:val="00437238"/>
    <w:rsid w:val="0043724E"/>
    <w:rsid w:val="00437250"/>
    <w:rsid w:val="00437252"/>
    <w:rsid w:val="0043726C"/>
    <w:rsid w:val="00437296"/>
    <w:rsid w:val="0043731A"/>
    <w:rsid w:val="00437376"/>
    <w:rsid w:val="00437397"/>
    <w:rsid w:val="004373B6"/>
    <w:rsid w:val="004373BD"/>
    <w:rsid w:val="00437401"/>
    <w:rsid w:val="00437419"/>
    <w:rsid w:val="0043742E"/>
    <w:rsid w:val="0043744F"/>
    <w:rsid w:val="00437471"/>
    <w:rsid w:val="0043747A"/>
    <w:rsid w:val="00437498"/>
    <w:rsid w:val="004374D8"/>
    <w:rsid w:val="004374E1"/>
    <w:rsid w:val="004374F1"/>
    <w:rsid w:val="004374FD"/>
    <w:rsid w:val="0043750A"/>
    <w:rsid w:val="00437585"/>
    <w:rsid w:val="004375B9"/>
    <w:rsid w:val="00437629"/>
    <w:rsid w:val="0043769B"/>
    <w:rsid w:val="004376CC"/>
    <w:rsid w:val="004376D9"/>
    <w:rsid w:val="004376EE"/>
    <w:rsid w:val="004376FE"/>
    <w:rsid w:val="0043770D"/>
    <w:rsid w:val="0043771C"/>
    <w:rsid w:val="00437727"/>
    <w:rsid w:val="00437748"/>
    <w:rsid w:val="004377E4"/>
    <w:rsid w:val="00437828"/>
    <w:rsid w:val="00437839"/>
    <w:rsid w:val="0043784F"/>
    <w:rsid w:val="00437868"/>
    <w:rsid w:val="004378B8"/>
    <w:rsid w:val="004378E7"/>
    <w:rsid w:val="00437920"/>
    <w:rsid w:val="00437933"/>
    <w:rsid w:val="00437939"/>
    <w:rsid w:val="00437943"/>
    <w:rsid w:val="0043795D"/>
    <w:rsid w:val="00437965"/>
    <w:rsid w:val="00437992"/>
    <w:rsid w:val="00437A74"/>
    <w:rsid w:val="00437A8B"/>
    <w:rsid w:val="00437A95"/>
    <w:rsid w:val="00437AA4"/>
    <w:rsid w:val="00437AAB"/>
    <w:rsid w:val="00437AB8"/>
    <w:rsid w:val="00437ABC"/>
    <w:rsid w:val="00437AD1"/>
    <w:rsid w:val="00437AF3"/>
    <w:rsid w:val="00437B66"/>
    <w:rsid w:val="00437B71"/>
    <w:rsid w:val="00437B74"/>
    <w:rsid w:val="00437B8A"/>
    <w:rsid w:val="00437B90"/>
    <w:rsid w:val="00437B9E"/>
    <w:rsid w:val="00437BA1"/>
    <w:rsid w:val="00437BB2"/>
    <w:rsid w:val="00437BCB"/>
    <w:rsid w:val="00437BD2"/>
    <w:rsid w:val="00437C55"/>
    <w:rsid w:val="00437C63"/>
    <w:rsid w:val="00437C72"/>
    <w:rsid w:val="00437C7B"/>
    <w:rsid w:val="00437C94"/>
    <w:rsid w:val="00437CCD"/>
    <w:rsid w:val="00437D02"/>
    <w:rsid w:val="00437D10"/>
    <w:rsid w:val="00437D24"/>
    <w:rsid w:val="00437D71"/>
    <w:rsid w:val="00437D96"/>
    <w:rsid w:val="00437DF4"/>
    <w:rsid w:val="00437EBF"/>
    <w:rsid w:val="00437ED5"/>
    <w:rsid w:val="00437EE7"/>
    <w:rsid w:val="00437F11"/>
    <w:rsid w:val="00437F28"/>
    <w:rsid w:val="00437F2B"/>
    <w:rsid w:val="00437F57"/>
    <w:rsid w:val="00437F90"/>
    <w:rsid w:val="00437F99"/>
    <w:rsid w:val="00437FE8"/>
    <w:rsid w:val="00437FE9"/>
    <w:rsid w:val="0043A642"/>
    <w:rsid w:val="00440004"/>
    <w:rsid w:val="0044007D"/>
    <w:rsid w:val="00440082"/>
    <w:rsid w:val="004400A2"/>
    <w:rsid w:val="004400B0"/>
    <w:rsid w:val="004400F8"/>
    <w:rsid w:val="0044010C"/>
    <w:rsid w:val="00440175"/>
    <w:rsid w:val="0044018A"/>
    <w:rsid w:val="004401B1"/>
    <w:rsid w:val="004401C5"/>
    <w:rsid w:val="004401D9"/>
    <w:rsid w:val="004401E8"/>
    <w:rsid w:val="00440225"/>
    <w:rsid w:val="0044025A"/>
    <w:rsid w:val="00440293"/>
    <w:rsid w:val="004402D9"/>
    <w:rsid w:val="004402E2"/>
    <w:rsid w:val="004402F3"/>
    <w:rsid w:val="00440333"/>
    <w:rsid w:val="0044034D"/>
    <w:rsid w:val="00440360"/>
    <w:rsid w:val="00440372"/>
    <w:rsid w:val="0044038D"/>
    <w:rsid w:val="004403C0"/>
    <w:rsid w:val="004403C4"/>
    <w:rsid w:val="004403CD"/>
    <w:rsid w:val="004403EC"/>
    <w:rsid w:val="00440409"/>
    <w:rsid w:val="00440422"/>
    <w:rsid w:val="004404EB"/>
    <w:rsid w:val="004404F4"/>
    <w:rsid w:val="0044050F"/>
    <w:rsid w:val="0044056E"/>
    <w:rsid w:val="0044063C"/>
    <w:rsid w:val="00440655"/>
    <w:rsid w:val="0044067A"/>
    <w:rsid w:val="00440684"/>
    <w:rsid w:val="0044068D"/>
    <w:rsid w:val="004406A5"/>
    <w:rsid w:val="004406E2"/>
    <w:rsid w:val="00440732"/>
    <w:rsid w:val="0044076C"/>
    <w:rsid w:val="004407E8"/>
    <w:rsid w:val="00440801"/>
    <w:rsid w:val="0044082E"/>
    <w:rsid w:val="00440840"/>
    <w:rsid w:val="00440879"/>
    <w:rsid w:val="0044087A"/>
    <w:rsid w:val="0044088D"/>
    <w:rsid w:val="0044089D"/>
    <w:rsid w:val="004408BA"/>
    <w:rsid w:val="00440904"/>
    <w:rsid w:val="00440911"/>
    <w:rsid w:val="0044092C"/>
    <w:rsid w:val="00440993"/>
    <w:rsid w:val="004409A6"/>
    <w:rsid w:val="00440A06"/>
    <w:rsid w:val="00440A1B"/>
    <w:rsid w:val="00440A74"/>
    <w:rsid w:val="00440ABA"/>
    <w:rsid w:val="00440AE7"/>
    <w:rsid w:val="00440B01"/>
    <w:rsid w:val="00440B07"/>
    <w:rsid w:val="00440B93"/>
    <w:rsid w:val="00440B96"/>
    <w:rsid w:val="00440BB5"/>
    <w:rsid w:val="00440BD5"/>
    <w:rsid w:val="00440C12"/>
    <w:rsid w:val="00440C41"/>
    <w:rsid w:val="00440C62"/>
    <w:rsid w:val="00440C7C"/>
    <w:rsid w:val="00440C87"/>
    <w:rsid w:val="00440DC4"/>
    <w:rsid w:val="00440DFF"/>
    <w:rsid w:val="00440E17"/>
    <w:rsid w:val="00440E2A"/>
    <w:rsid w:val="00440E3F"/>
    <w:rsid w:val="00440E5F"/>
    <w:rsid w:val="00440E65"/>
    <w:rsid w:val="00440E73"/>
    <w:rsid w:val="00440E99"/>
    <w:rsid w:val="00440ECB"/>
    <w:rsid w:val="00440ED9"/>
    <w:rsid w:val="00440EEC"/>
    <w:rsid w:val="00440F0F"/>
    <w:rsid w:val="00440F5C"/>
    <w:rsid w:val="00440FC5"/>
    <w:rsid w:val="00440FE3"/>
    <w:rsid w:val="00441008"/>
    <w:rsid w:val="00441093"/>
    <w:rsid w:val="00441098"/>
    <w:rsid w:val="004410AB"/>
    <w:rsid w:val="0044110B"/>
    <w:rsid w:val="00441112"/>
    <w:rsid w:val="0044116F"/>
    <w:rsid w:val="00441191"/>
    <w:rsid w:val="004411BC"/>
    <w:rsid w:val="004411C3"/>
    <w:rsid w:val="004411DD"/>
    <w:rsid w:val="004411E1"/>
    <w:rsid w:val="0044121C"/>
    <w:rsid w:val="00441230"/>
    <w:rsid w:val="00441269"/>
    <w:rsid w:val="0044127C"/>
    <w:rsid w:val="004412AA"/>
    <w:rsid w:val="004412FA"/>
    <w:rsid w:val="0044131F"/>
    <w:rsid w:val="004413A9"/>
    <w:rsid w:val="004413AF"/>
    <w:rsid w:val="00441400"/>
    <w:rsid w:val="00441478"/>
    <w:rsid w:val="004414C8"/>
    <w:rsid w:val="004414F2"/>
    <w:rsid w:val="00441584"/>
    <w:rsid w:val="0044165B"/>
    <w:rsid w:val="00441691"/>
    <w:rsid w:val="004416F6"/>
    <w:rsid w:val="004416FA"/>
    <w:rsid w:val="004417B9"/>
    <w:rsid w:val="004417EC"/>
    <w:rsid w:val="00441820"/>
    <w:rsid w:val="00441833"/>
    <w:rsid w:val="00441876"/>
    <w:rsid w:val="004418D3"/>
    <w:rsid w:val="0044199E"/>
    <w:rsid w:val="00441A26"/>
    <w:rsid w:val="00441A5D"/>
    <w:rsid w:val="00441A7A"/>
    <w:rsid w:val="00441AC7"/>
    <w:rsid w:val="00441AE1"/>
    <w:rsid w:val="00441AF1"/>
    <w:rsid w:val="00441B15"/>
    <w:rsid w:val="00441B69"/>
    <w:rsid w:val="00441B6B"/>
    <w:rsid w:val="00441B9F"/>
    <w:rsid w:val="00441BB7"/>
    <w:rsid w:val="00441BCE"/>
    <w:rsid w:val="00441BDF"/>
    <w:rsid w:val="00441BF1"/>
    <w:rsid w:val="00441C10"/>
    <w:rsid w:val="00441C3E"/>
    <w:rsid w:val="00441C62"/>
    <w:rsid w:val="00441C7B"/>
    <w:rsid w:val="00441C82"/>
    <w:rsid w:val="00441D3F"/>
    <w:rsid w:val="00441D9E"/>
    <w:rsid w:val="00441DDA"/>
    <w:rsid w:val="00441DDD"/>
    <w:rsid w:val="00441E9F"/>
    <w:rsid w:val="00441F1F"/>
    <w:rsid w:val="00441F2D"/>
    <w:rsid w:val="00441F5A"/>
    <w:rsid w:val="00441FB2"/>
    <w:rsid w:val="00441FDF"/>
    <w:rsid w:val="00441FFA"/>
    <w:rsid w:val="00442011"/>
    <w:rsid w:val="00442087"/>
    <w:rsid w:val="00442094"/>
    <w:rsid w:val="0044209B"/>
    <w:rsid w:val="004420A0"/>
    <w:rsid w:val="004420DD"/>
    <w:rsid w:val="004420DE"/>
    <w:rsid w:val="00442158"/>
    <w:rsid w:val="00442176"/>
    <w:rsid w:val="0044219D"/>
    <w:rsid w:val="00442222"/>
    <w:rsid w:val="0044231E"/>
    <w:rsid w:val="00442322"/>
    <w:rsid w:val="0044233F"/>
    <w:rsid w:val="00442368"/>
    <w:rsid w:val="0044236E"/>
    <w:rsid w:val="00442375"/>
    <w:rsid w:val="0044237C"/>
    <w:rsid w:val="004423C7"/>
    <w:rsid w:val="004423D5"/>
    <w:rsid w:val="004423E3"/>
    <w:rsid w:val="00442429"/>
    <w:rsid w:val="0044243C"/>
    <w:rsid w:val="00442446"/>
    <w:rsid w:val="00442488"/>
    <w:rsid w:val="0044248D"/>
    <w:rsid w:val="0044249C"/>
    <w:rsid w:val="004424BB"/>
    <w:rsid w:val="004424E0"/>
    <w:rsid w:val="00442505"/>
    <w:rsid w:val="0044250E"/>
    <w:rsid w:val="00442518"/>
    <w:rsid w:val="0044252B"/>
    <w:rsid w:val="00442534"/>
    <w:rsid w:val="004425EE"/>
    <w:rsid w:val="00442610"/>
    <w:rsid w:val="00442612"/>
    <w:rsid w:val="0044262A"/>
    <w:rsid w:val="00442640"/>
    <w:rsid w:val="00442653"/>
    <w:rsid w:val="0044267B"/>
    <w:rsid w:val="004426E1"/>
    <w:rsid w:val="004426F9"/>
    <w:rsid w:val="004427A0"/>
    <w:rsid w:val="004427D7"/>
    <w:rsid w:val="004427F9"/>
    <w:rsid w:val="00442820"/>
    <w:rsid w:val="00442836"/>
    <w:rsid w:val="00442837"/>
    <w:rsid w:val="0044283C"/>
    <w:rsid w:val="0044287B"/>
    <w:rsid w:val="00442891"/>
    <w:rsid w:val="00442894"/>
    <w:rsid w:val="004428A9"/>
    <w:rsid w:val="004428F0"/>
    <w:rsid w:val="00442909"/>
    <w:rsid w:val="00442963"/>
    <w:rsid w:val="00442977"/>
    <w:rsid w:val="004429AA"/>
    <w:rsid w:val="004429B4"/>
    <w:rsid w:val="004429BF"/>
    <w:rsid w:val="00442A00"/>
    <w:rsid w:val="00442A3B"/>
    <w:rsid w:val="00442A44"/>
    <w:rsid w:val="00442A4F"/>
    <w:rsid w:val="00442AB9"/>
    <w:rsid w:val="00442AC3"/>
    <w:rsid w:val="00442B39"/>
    <w:rsid w:val="00442B7E"/>
    <w:rsid w:val="00442B99"/>
    <w:rsid w:val="00442BA8"/>
    <w:rsid w:val="00442BB1"/>
    <w:rsid w:val="00442BB8"/>
    <w:rsid w:val="00442BC7"/>
    <w:rsid w:val="00442BCA"/>
    <w:rsid w:val="00442BE8"/>
    <w:rsid w:val="00442C1C"/>
    <w:rsid w:val="00442C2E"/>
    <w:rsid w:val="00442C54"/>
    <w:rsid w:val="00442C5B"/>
    <w:rsid w:val="00442C6B"/>
    <w:rsid w:val="00442C9C"/>
    <w:rsid w:val="00442CB1"/>
    <w:rsid w:val="00442D23"/>
    <w:rsid w:val="00442D53"/>
    <w:rsid w:val="00442D88"/>
    <w:rsid w:val="00442E14"/>
    <w:rsid w:val="00442E19"/>
    <w:rsid w:val="00442E1D"/>
    <w:rsid w:val="00442E4E"/>
    <w:rsid w:val="00442E63"/>
    <w:rsid w:val="00442E85"/>
    <w:rsid w:val="00442E90"/>
    <w:rsid w:val="00442EEB"/>
    <w:rsid w:val="00442F4B"/>
    <w:rsid w:val="00442F90"/>
    <w:rsid w:val="00442F99"/>
    <w:rsid w:val="00442FBC"/>
    <w:rsid w:val="00442FC2"/>
    <w:rsid w:val="00443012"/>
    <w:rsid w:val="0044304C"/>
    <w:rsid w:val="004430C3"/>
    <w:rsid w:val="004430CE"/>
    <w:rsid w:val="004430F2"/>
    <w:rsid w:val="0044312E"/>
    <w:rsid w:val="00443138"/>
    <w:rsid w:val="0044317F"/>
    <w:rsid w:val="004431B2"/>
    <w:rsid w:val="00443202"/>
    <w:rsid w:val="0044320E"/>
    <w:rsid w:val="0044324C"/>
    <w:rsid w:val="004432AC"/>
    <w:rsid w:val="004432BA"/>
    <w:rsid w:val="004432C3"/>
    <w:rsid w:val="004432C5"/>
    <w:rsid w:val="004432FF"/>
    <w:rsid w:val="0044331D"/>
    <w:rsid w:val="00443327"/>
    <w:rsid w:val="0044335D"/>
    <w:rsid w:val="004433B6"/>
    <w:rsid w:val="004433EA"/>
    <w:rsid w:val="004433FA"/>
    <w:rsid w:val="0044340A"/>
    <w:rsid w:val="0044342D"/>
    <w:rsid w:val="00443439"/>
    <w:rsid w:val="00443453"/>
    <w:rsid w:val="00443461"/>
    <w:rsid w:val="00443464"/>
    <w:rsid w:val="0044346A"/>
    <w:rsid w:val="004434CF"/>
    <w:rsid w:val="004434F4"/>
    <w:rsid w:val="00443542"/>
    <w:rsid w:val="0044357B"/>
    <w:rsid w:val="004435A2"/>
    <w:rsid w:val="004435C2"/>
    <w:rsid w:val="004435CB"/>
    <w:rsid w:val="0044360E"/>
    <w:rsid w:val="00443701"/>
    <w:rsid w:val="0044374D"/>
    <w:rsid w:val="00443756"/>
    <w:rsid w:val="0044379B"/>
    <w:rsid w:val="004437B7"/>
    <w:rsid w:val="004437B8"/>
    <w:rsid w:val="004437BB"/>
    <w:rsid w:val="004437E8"/>
    <w:rsid w:val="004437FD"/>
    <w:rsid w:val="0044383D"/>
    <w:rsid w:val="00443852"/>
    <w:rsid w:val="0044390D"/>
    <w:rsid w:val="00443969"/>
    <w:rsid w:val="00443988"/>
    <w:rsid w:val="00443997"/>
    <w:rsid w:val="004439C1"/>
    <w:rsid w:val="004439C8"/>
    <w:rsid w:val="004439D5"/>
    <w:rsid w:val="00443A32"/>
    <w:rsid w:val="00443A67"/>
    <w:rsid w:val="00443AB6"/>
    <w:rsid w:val="00443AC0"/>
    <w:rsid w:val="00443AE7"/>
    <w:rsid w:val="00443AF9"/>
    <w:rsid w:val="00443B03"/>
    <w:rsid w:val="00443B07"/>
    <w:rsid w:val="00443B8F"/>
    <w:rsid w:val="00443BA5"/>
    <w:rsid w:val="00443BEB"/>
    <w:rsid w:val="00443C04"/>
    <w:rsid w:val="00443C0B"/>
    <w:rsid w:val="00443CAB"/>
    <w:rsid w:val="00443D23"/>
    <w:rsid w:val="00443D33"/>
    <w:rsid w:val="00443D80"/>
    <w:rsid w:val="00443DAF"/>
    <w:rsid w:val="00443DBF"/>
    <w:rsid w:val="00443DF0"/>
    <w:rsid w:val="00443DF2"/>
    <w:rsid w:val="00443E7C"/>
    <w:rsid w:val="00443F27"/>
    <w:rsid w:val="00443F35"/>
    <w:rsid w:val="00443F61"/>
    <w:rsid w:val="00443FCC"/>
    <w:rsid w:val="00443FD0"/>
    <w:rsid w:val="0044402A"/>
    <w:rsid w:val="00444035"/>
    <w:rsid w:val="00444049"/>
    <w:rsid w:val="0044407F"/>
    <w:rsid w:val="00444092"/>
    <w:rsid w:val="004440CB"/>
    <w:rsid w:val="004440CC"/>
    <w:rsid w:val="004440FB"/>
    <w:rsid w:val="00444131"/>
    <w:rsid w:val="00444144"/>
    <w:rsid w:val="0044418C"/>
    <w:rsid w:val="004441F4"/>
    <w:rsid w:val="00444214"/>
    <w:rsid w:val="0044425E"/>
    <w:rsid w:val="00444272"/>
    <w:rsid w:val="00444283"/>
    <w:rsid w:val="0044429B"/>
    <w:rsid w:val="004442A1"/>
    <w:rsid w:val="0044431A"/>
    <w:rsid w:val="00444354"/>
    <w:rsid w:val="0044435D"/>
    <w:rsid w:val="00444381"/>
    <w:rsid w:val="0044439F"/>
    <w:rsid w:val="004443D7"/>
    <w:rsid w:val="004443E9"/>
    <w:rsid w:val="004443ED"/>
    <w:rsid w:val="00444459"/>
    <w:rsid w:val="0044449A"/>
    <w:rsid w:val="004444F8"/>
    <w:rsid w:val="0044450A"/>
    <w:rsid w:val="00444521"/>
    <w:rsid w:val="00444569"/>
    <w:rsid w:val="0044456C"/>
    <w:rsid w:val="004445B3"/>
    <w:rsid w:val="004445DB"/>
    <w:rsid w:val="004445F2"/>
    <w:rsid w:val="00444638"/>
    <w:rsid w:val="0044465D"/>
    <w:rsid w:val="004446B4"/>
    <w:rsid w:val="004446B6"/>
    <w:rsid w:val="004446C5"/>
    <w:rsid w:val="004446CB"/>
    <w:rsid w:val="004446DC"/>
    <w:rsid w:val="004446E9"/>
    <w:rsid w:val="004446F0"/>
    <w:rsid w:val="0044471C"/>
    <w:rsid w:val="0044474D"/>
    <w:rsid w:val="0044478A"/>
    <w:rsid w:val="004447C5"/>
    <w:rsid w:val="0044481A"/>
    <w:rsid w:val="0044487B"/>
    <w:rsid w:val="004448BF"/>
    <w:rsid w:val="004448F2"/>
    <w:rsid w:val="00444941"/>
    <w:rsid w:val="0044494A"/>
    <w:rsid w:val="0044496B"/>
    <w:rsid w:val="0044497A"/>
    <w:rsid w:val="00444990"/>
    <w:rsid w:val="004449AA"/>
    <w:rsid w:val="004449B9"/>
    <w:rsid w:val="004449DE"/>
    <w:rsid w:val="00444A14"/>
    <w:rsid w:val="00444A2C"/>
    <w:rsid w:val="00444A36"/>
    <w:rsid w:val="00444B3B"/>
    <w:rsid w:val="00444B47"/>
    <w:rsid w:val="00444B60"/>
    <w:rsid w:val="00444B81"/>
    <w:rsid w:val="00444B8B"/>
    <w:rsid w:val="00444BBF"/>
    <w:rsid w:val="00444BCC"/>
    <w:rsid w:val="00444BD8"/>
    <w:rsid w:val="00444BEF"/>
    <w:rsid w:val="00444C1A"/>
    <w:rsid w:val="00444C33"/>
    <w:rsid w:val="00444C80"/>
    <w:rsid w:val="00444CA3"/>
    <w:rsid w:val="00444CB6"/>
    <w:rsid w:val="00444CBF"/>
    <w:rsid w:val="00444D5E"/>
    <w:rsid w:val="00444D6B"/>
    <w:rsid w:val="00444D87"/>
    <w:rsid w:val="00444DAF"/>
    <w:rsid w:val="00444DB3"/>
    <w:rsid w:val="00444DB7"/>
    <w:rsid w:val="00444DE6"/>
    <w:rsid w:val="00444DEA"/>
    <w:rsid w:val="00444DEE"/>
    <w:rsid w:val="00444DF5"/>
    <w:rsid w:val="00444E2D"/>
    <w:rsid w:val="00444E5A"/>
    <w:rsid w:val="00444E70"/>
    <w:rsid w:val="00444E73"/>
    <w:rsid w:val="00444E7F"/>
    <w:rsid w:val="00444E97"/>
    <w:rsid w:val="00444EDE"/>
    <w:rsid w:val="00444F23"/>
    <w:rsid w:val="00444F31"/>
    <w:rsid w:val="00444F56"/>
    <w:rsid w:val="00444FB8"/>
    <w:rsid w:val="00444FC4"/>
    <w:rsid w:val="00444FC8"/>
    <w:rsid w:val="00444FD9"/>
    <w:rsid w:val="00444FF7"/>
    <w:rsid w:val="0044504F"/>
    <w:rsid w:val="00445076"/>
    <w:rsid w:val="0044511F"/>
    <w:rsid w:val="00445122"/>
    <w:rsid w:val="00445130"/>
    <w:rsid w:val="00445150"/>
    <w:rsid w:val="0044515E"/>
    <w:rsid w:val="00445194"/>
    <w:rsid w:val="004451D0"/>
    <w:rsid w:val="004451D8"/>
    <w:rsid w:val="004451DE"/>
    <w:rsid w:val="004451E0"/>
    <w:rsid w:val="00445205"/>
    <w:rsid w:val="00445219"/>
    <w:rsid w:val="0044521F"/>
    <w:rsid w:val="0044523A"/>
    <w:rsid w:val="0044526B"/>
    <w:rsid w:val="00445291"/>
    <w:rsid w:val="00445293"/>
    <w:rsid w:val="004452A4"/>
    <w:rsid w:val="004452C5"/>
    <w:rsid w:val="004452D2"/>
    <w:rsid w:val="004452E3"/>
    <w:rsid w:val="00445358"/>
    <w:rsid w:val="00445359"/>
    <w:rsid w:val="0044538E"/>
    <w:rsid w:val="004453D7"/>
    <w:rsid w:val="00445408"/>
    <w:rsid w:val="00445434"/>
    <w:rsid w:val="00445439"/>
    <w:rsid w:val="00445449"/>
    <w:rsid w:val="0044544D"/>
    <w:rsid w:val="00445453"/>
    <w:rsid w:val="0044545B"/>
    <w:rsid w:val="0044546E"/>
    <w:rsid w:val="0044547F"/>
    <w:rsid w:val="004454A5"/>
    <w:rsid w:val="004454A9"/>
    <w:rsid w:val="00445548"/>
    <w:rsid w:val="0044558A"/>
    <w:rsid w:val="0044561C"/>
    <w:rsid w:val="0044564E"/>
    <w:rsid w:val="0044567F"/>
    <w:rsid w:val="004456FC"/>
    <w:rsid w:val="00445709"/>
    <w:rsid w:val="0044576A"/>
    <w:rsid w:val="00445784"/>
    <w:rsid w:val="00445794"/>
    <w:rsid w:val="004457E7"/>
    <w:rsid w:val="0044580D"/>
    <w:rsid w:val="0044586B"/>
    <w:rsid w:val="004458AC"/>
    <w:rsid w:val="00445926"/>
    <w:rsid w:val="00445939"/>
    <w:rsid w:val="0044597D"/>
    <w:rsid w:val="004459AA"/>
    <w:rsid w:val="004459B6"/>
    <w:rsid w:val="004459B9"/>
    <w:rsid w:val="004459FB"/>
    <w:rsid w:val="00445A2C"/>
    <w:rsid w:val="00445A3F"/>
    <w:rsid w:val="00445A40"/>
    <w:rsid w:val="00445A45"/>
    <w:rsid w:val="00445ACA"/>
    <w:rsid w:val="00445B04"/>
    <w:rsid w:val="00445B18"/>
    <w:rsid w:val="00445B4B"/>
    <w:rsid w:val="00445B79"/>
    <w:rsid w:val="00445B88"/>
    <w:rsid w:val="00445B8F"/>
    <w:rsid w:val="00445BC8"/>
    <w:rsid w:val="00445BC9"/>
    <w:rsid w:val="00445C16"/>
    <w:rsid w:val="00445C31"/>
    <w:rsid w:val="00445C33"/>
    <w:rsid w:val="00445C3A"/>
    <w:rsid w:val="00445D22"/>
    <w:rsid w:val="00445D86"/>
    <w:rsid w:val="00445D89"/>
    <w:rsid w:val="00445DEB"/>
    <w:rsid w:val="00445E72"/>
    <w:rsid w:val="00445E78"/>
    <w:rsid w:val="00445EAE"/>
    <w:rsid w:val="00445EE3"/>
    <w:rsid w:val="00445F78"/>
    <w:rsid w:val="00445FA3"/>
    <w:rsid w:val="00445FC3"/>
    <w:rsid w:val="00445FE5"/>
    <w:rsid w:val="00445FE6"/>
    <w:rsid w:val="00445FE9"/>
    <w:rsid w:val="00445FFA"/>
    <w:rsid w:val="0044601B"/>
    <w:rsid w:val="0044601F"/>
    <w:rsid w:val="0044602B"/>
    <w:rsid w:val="00446073"/>
    <w:rsid w:val="004460B7"/>
    <w:rsid w:val="004460C1"/>
    <w:rsid w:val="004460D1"/>
    <w:rsid w:val="00446107"/>
    <w:rsid w:val="00446111"/>
    <w:rsid w:val="0044614E"/>
    <w:rsid w:val="00446166"/>
    <w:rsid w:val="00446214"/>
    <w:rsid w:val="00446270"/>
    <w:rsid w:val="004462B1"/>
    <w:rsid w:val="004462DB"/>
    <w:rsid w:val="004462EE"/>
    <w:rsid w:val="00446344"/>
    <w:rsid w:val="0044634A"/>
    <w:rsid w:val="0044634C"/>
    <w:rsid w:val="0044639B"/>
    <w:rsid w:val="004463A7"/>
    <w:rsid w:val="00446448"/>
    <w:rsid w:val="0044646A"/>
    <w:rsid w:val="004464A8"/>
    <w:rsid w:val="0044651C"/>
    <w:rsid w:val="0044656F"/>
    <w:rsid w:val="004465B7"/>
    <w:rsid w:val="004465F6"/>
    <w:rsid w:val="00446625"/>
    <w:rsid w:val="00446627"/>
    <w:rsid w:val="0044662B"/>
    <w:rsid w:val="00446641"/>
    <w:rsid w:val="004466D6"/>
    <w:rsid w:val="004466E0"/>
    <w:rsid w:val="0044670C"/>
    <w:rsid w:val="00446718"/>
    <w:rsid w:val="00446730"/>
    <w:rsid w:val="00446731"/>
    <w:rsid w:val="0044676A"/>
    <w:rsid w:val="0044677A"/>
    <w:rsid w:val="004467C1"/>
    <w:rsid w:val="004467CD"/>
    <w:rsid w:val="00446807"/>
    <w:rsid w:val="00446824"/>
    <w:rsid w:val="00446838"/>
    <w:rsid w:val="00446846"/>
    <w:rsid w:val="00446850"/>
    <w:rsid w:val="0044689D"/>
    <w:rsid w:val="004468B8"/>
    <w:rsid w:val="004468DA"/>
    <w:rsid w:val="004468FE"/>
    <w:rsid w:val="0044691B"/>
    <w:rsid w:val="00446A11"/>
    <w:rsid w:val="00446A2E"/>
    <w:rsid w:val="00446A32"/>
    <w:rsid w:val="00446AF9"/>
    <w:rsid w:val="00446B00"/>
    <w:rsid w:val="00446BEC"/>
    <w:rsid w:val="00446C2F"/>
    <w:rsid w:val="00446C30"/>
    <w:rsid w:val="00446C6D"/>
    <w:rsid w:val="00446C9F"/>
    <w:rsid w:val="00446CE4"/>
    <w:rsid w:val="00446D3C"/>
    <w:rsid w:val="00446D3E"/>
    <w:rsid w:val="00446D48"/>
    <w:rsid w:val="00446DE5"/>
    <w:rsid w:val="00446DFA"/>
    <w:rsid w:val="00446DFD"/>
    <w:rsid w:val="00446E0C"/>
    <w:rsid w:val="00446E3C"/>
    <w:rsid w:val="00446E41"/>
    <w:rsid w:val="00446E57"/>
    <w:rsid w:val="00446E5C"/>
    <w:rsid w:val="00446E64"/>
    <w:rsid w:val="00446E67"/>
    <w:rsid w:val="00446E6A"/>
    <w:rsid w:val="00446EA9"/>
    <w:rsid w:val="00446EC7"/>
    <w:rsid w:val="00446EE6"/>
    <w:rsid w:val="00446EF1"/>
    <w:rsid w:val="00446F31"/>
    <w:rsid w:val="00446F68"/>
    <w:rsid w:val="00446FAC"/>
    <w:rsid w:val="00446FB2"/>
    <w:rsid w:val="00446FE3"/>
    <w:rsid w:val="0044704B"/>
    <w:rsid w:val="00447060"/>
    <w:rsid w:val="00447073"/>
    <w:rsid w:val="004470AF"/>
    <w:rsid w:val="004470E4"/>
    <w:rsid w:val="0044710A"/>
    <w:rsid w:val="0044711F"/>
    <w:rsid w:val="00447183"/>
    <w:rsid w:val="00447186"/>
    <w:rsid w:val="004471A1"/>
    <w:rsid w:val="004471AF"/>
    <w:rsid w:val="004471C5"/>
    <w:rsid w:val="00447202"/>
    <w:rsid w:val="0044724D"/>
    <w:rsid w:val="00447262"/>
    <w:rsid w:val="00447271"/>
    <w:rsid w:val="0044729E"/>
    <w:rsid w:val="004472BE"/>
    <w:rsid w:val="004472D9"/>
    <w:rsid w:val="00447331"/>
    <w:rsid w:val="0044733B"/>
    <w:rsid w:val="00447376"/>
    <w:rsid w:val="004473C7"/>
    <w:rsid w:val="0044740B"/>
    <w:rsid w:val="0044741E"/>
    <w:rsid w:val="0044743B"/>
    <w:rsid w:val="00447479"/>
    <w:rsid w:val="0044749E"/>
    <w:rsid w:val="004474AF"/>
    <w:rsid w:val="004474CC"/>
    <w:rsid w:val="004474F1"/>
    <w:rsid w:val="00447502"/>
    <w:rsid w:val="00447510"/>
    <w:rsid w:val="0044752A"/>
    <w:rsid w:val="0044757B"/>
    <w:rsid w:val="00447583"/>
    <w:rsid w:val="004475CC"/>
    <w:rsid w:val="004475CD"/>
    <w:rsid w:val="004475D2"/>
    <w:rsid w:val="00447646"/>
    <w:rsid w:val="004476A2"/>
    <w:rsid w:val="00447731"/>
    <w:rsid w:val="00447748"/>
    <w:rsid w:val="0044774B"/>
    <w:rsid w:val="00447763"/>
    <w:rsid w:val="0044777B"/>
    <w:rsid w:val="00447797"/>
    <w:rsid w:val="0044779A"/>
    <w:rsid w:val="004477B9"/>
    <w:rsid w:val="004478D9"/>
    <w:rsid w:val="004478E9"/>
    <w:rsid w:val="0044791D"/>
    <w:rsid w:val="00447960"/>
    <w:rsid w:val="00447964"/>
    <w:rsid w:val="0044799A"/>
    <w:rsid w:val="004479BD"/>
    <w:rsid w:val="004479E9"/>
    <w:rsid w:val="00447A05"/>
    <w:rsid w:val="00447A33"/>
    <w:rsid w:val="00447A62"/>
    <w:rsid w:val="00447A6D"/>
    <w:rsid w:val="00447AA6"/>
    <w:rsid w:val="00447AAC"/>
    <w:rsid w:val="00447AC2"/>
    <w:rsid w:val="00447B1B"/>
    <w:rsid w:val="00447B29"/>
    <w:rsid w:val="00447B55"/>
    <w:rsid w:val="00447C37"/>
    <w:rsid w:val="00447CC1"/>
    <w:rsid w:val="00447CDD"/>
    <w:rsid w:val="00447CE2"/>
    <w:rsid w:val="00447CEE"/>
    <w:rsid w:val="00447CF4"/>
    <w:rsid w:val="00447D1C"/>
    <w:rsid w:val="00447D28"/>
    <w:rsid w:val="00447D2B"/>
    <w:rsid w:val="00447D2F"/>
    <w:rsid w:val="00447D37"/>
    <w:rsid w:val="00447D87"/>
    <w:rsid w:val="00447DA2"/>
    <w:rsid w:val="00447DA6"/>
    <w:rsid w:val="00447DAD"/>
    <w:rsid w:val="00447DD1"/>
    <w:rsid w:val="00447DE0"/>
    <w:rsid w:val="00447E4D"/>
    <w:rsid w:val="00447E5A"/>
    <w:rsid w:val="00447E6B"/>
    <w:rsid w:val="00447EDE"/>
    <w:rsid w:val="00447EDF"/>
    <w:rsid w:val="00447EF2"/>
    <w:rsid w:val="00447F58"/>
    <w:rsid w:val="00447F65"/>
    <w:rsid w:val="00447F79"/>
    <w:rsid w:val="00447FD5"/>
    <w:rsid w:val="00447FD8"/>
    <w:rsid w:val="00450001"/>
    <w:rsid w:val="0045002C"/>
    <w:rsid w:val="00450040"/>
    <w:rsid w:val="00450098"/>
    <w:rsid w:val="004500E4"/>
    <w:rsid w:val="004500F3"/>
    <w:rsid w:val="00450165"/>
    <w:rsid w:val="00450179"/>
    <w:rsid w:val="00450195"/>
    <w:rsid w:val="004501A3"/>
    <w:rsid w:val="004501C9"/>
    <w:rsid w:val="004501E0"/>
    <w:rsid w:val="00450216"/>
    <w:rsid w:val="0045023C"/>
    <w:rsid w:val="00450252"/>
    <w:rsid w:val="00450253"/>
    <w:rsid w:val="004502E3"/>
    <w:rsid w:val="004502E7"/>
    <w:rsid w:val="00450353"/>
    <w:rsid w:val="00450380"/>
    <w:rsid w:val="0045039E"/>
    <w:rsid w:val="004503A8"/>
    <w:rsid w:val="004503C8"/>
    <w:rsid w:val="004503EE"/>
    <w:rsid w:val="0045042F"/>
    <w:rsid w:val="00450488"/>
    <w:rsid w:val="004504CC"/>
    <w:rsid w:val="00450526"/>
    <w:rsid w:val="00450527"/>
    <w:rsid w:val="00450535"/>
    <w:rsid w:val="00450562"/>
    <w:rsid w:val="004505A4"/>
    <w:rsid w:val="004505E9"/>
    <w:rsid w:val="0045064D"/>
    <w:rsid w:val="0045064F"/>
    <w:rsid w:val="00450685"/>
    <w:rsid w:val="00450688"/>
    <w:rsid w:val="0045068A"/>
    <w:rsid w:val="004506A0"/>
    <w:rsid w:val="004506A6"/>
    <w:rsid w:val="004506B3"/>
    <w:rsid w:val="004506C5"/>
    <w:rsid w:val="0045073C"/>
    <w:rsid w:val="00450759"/>
    <w:rsid w:val="00450780"/>
    <w:rsid w:val="0045079E"/>
    <w:rsid w:val="004507AA"/>
    <w:rsid w:val="0045081B"/>
    <w:rsid w:val="00450864"/>
    <w:rsid w:val="00450899"/>
    <w:rsid w:val="004508B0"/>
    <w:rsid w:val="004508BA"/>
    <w:rsid w:val="0045098F"/>
    <w:rsid w:val="00450994"/>
    <w:rsid w:val="004509B5"/>
    <w:rsid w:val="004509C1"/>
    <w:rsid w:val="00450A0C"/>
    <w:rsid w:val="00450A12"/>
    <w:rsid w:val="00450A41"/>
    <w:rsid w:val="00450AA2"/>
    <w:rsid w:val="00450B37"/>
    <w:rsid w:val="00450B3B"/>
    <w:rsid w:val="00450B49"/>
    <w:rsid w:val="00450B50"/>
    <w:rsid w:val="00450B89"/>
    <w:rsid w:val="00450BA1"/>
    <w:rsid w:val="00450C08"/>
    <w:rsid w:val="00450C26"/>
    <w:rsid w:val="00450CAB"/>
    <w:rsid w:val="00450CC0"/>
    <w:rsid w:val="00450CCC"/>
    <w:rsid w:val="00450CE5"/>
    <w:rsid w:val="00450CFD"/>
    <w:rsid w:val="00450CFF"/>
    <w:rsid w:val="00450DCB"/>
    <w:rsid w:val="00450DD3"/>
    <w:rsid w:val="00450DE2"/>
    <w:rsid w:val="00450DE3"/>
    <w:rsid w:val="00450DEA"/>
    <w:rsid w:val="00450DEC"/>
    <w:rsid w:val="00450E0B"/>
    <w:rsid w:val="00450E12"/>
    <w:rsid w:val="00450E3D"/>
    <w:rsid w:val="00450E52"/>
    <w:rsid w:val="00450E67"/>
    <w:rsid w:val="00450E84"/>
    <w:rsid w:val="00450EB3"/>
    <w:rsid w:val="00450EEF"/>
    <w:rsid w:val="00450F26"/>
    <w:rsid w:val="00450F2E"/>
    <w:rsid w:val="00450F5B"/>
    <w:rsid w:val="00450F7B"/>
    <w:rsid w:val="00450F85"/>
    <w:rsid w:val="00450FA7"/>
    <w:rsid w:val="00451009"/>
    <w:rsid w:val="00451050"/>
    <w:rsid w:val="0045108B"/>
    <w:rsid w:val="004510C9"/>
    <w:rsid w:val="0045110A"/>
    <w:rsid w:val="0045111D"/>
    <w:rsid w:val="00451170"/>
    <w:rsid w:val="00451184"/>
    <w:rsid w:val="004511AE"/>
    <w:rsid w:val="004511D5"/>
    <w:rsid w:val="004511E3"/>
    <w:rsid w:val="004511E7"/>
    <w:rsid w:val="00451240"/>
    <w:rsid w:val="00451244"/>
    <w:rsid w:val="004512A8"/>
    <w:rsid w:val="004512C3"/>
    <w:rsid w:val="004512FA"/>
    <w:rsid w:val="00451314"/>
    <w:rsid w:val="0045135E"/>
    <w:rsid w:val="0045137E"/>
    <w:rsid w:val="00451381"/>
    <w:rsid w:val="004513E1"/>
    <w:rsid w:val="004513E7"/>
    <w:rsid w:val="00451412"/>
    <w:rsid w:val="00451424"/>
    <w:rsid w:val="00451434"/>
    <w:rsid w:val="00451441"/>
    <w:rsid w:val="00451452"/>
    <w:rsid w:val="004514ED"/>
    <w:rsid w:val="0045150C"/>
    <w:rsid w:val="0045157C"/>
    <w:rsid w:val="00451584"/>
    <w:rsid w:val="00451594"/>
    <w:rsid w:val="004515A7"/>
    <w:rsid w:val="004515D5"/>
    <w:rsid w:val="00451691"/>
    <w:rsid w:val="00451701"/>
    <w:rsid w:val="00451747"/>
    <w:rsid w:val="00451772"/>
    <w:rsid w:val="00451773"/>
    <w:rsid w:val="004517A0"/>
    <w:rsid w:val="004517A4"/>
    <w:rsid w:val="004517C8"/>
    <w:rsid w:val="004518B1"/>
    <w:rsid w:val="004518E1"/>
    <w:rsid w:val="00451905"/>
    <w:rsid w:val="0045191A"/>
    <w:rsid w:val="0045191D"/>
    <w:rsid w:val="0045192B"/>
    <w:rsid w:val="0045196C"/>
    <w:rsid w:val="0045198C"/>
    <w:rsid w:val="00451A08"/>
    <w:rsid w:val="00451A10"/>
    <w:rsid w:val="00451A29"/>
    <w:rsid w:val="00451A39"/>
    <w:rsid w:val="00451A56"/>
    <w:rsid w:val="00451A73"/>
    <w:rsid w:val="00451A8C"/>
    <w:rsid w:val="00451AA7"/>
    <w:rsid w:val="00451ADF"/>
    <w:rsid w:val="00451AF4"/>
    <w:rsid w:val="00451AF5"/>
    <w:rsid w:val="00451B10"/>
    <w:rsid w:val="00451B32"/>
    <w:rsid w:val="00451B91"/>
    <w:rsid w:val="00451BC9"/>
    <w:rsid w:val="00451BCA"/>
    <w:rsid w:val="00451C01"/>
    <w:rsid w:val="00451C77"/>
    <w:rsid w:val="00451CA3"/>
    <w:rsid w:val="00451CA7"/>
    <w:rsid w:val="00451CB2"/>
    <w:rsid w:val="00451CC1"/>
    <w:rsid w:val="00451CD7"/>
    <w:rsid w:val="00451CDF"/>
    <w:rsid w:val="00451D33"/>
    <w:rsid w:val="00451DC5"/>
    <w:rsid w:val="00451E19"/>
    <w:rsid w:val="00451E32"/>
    <w:rsid w:val="00451E36"/>
    <w:rsid w:val="00451E60"/>
    <w:rsid w:val="00451F14"/>
    <w:rsid w:val="00451F7A"/>
    <w:rsid w:val="00451F94"/>
    <w:rsid w:val="00451F99"/>
    <w:rsid w:val="00451FBF"/>
    <w:rsid w:val="00451FEC"/>
    <w:rsid w:val="00451FF0"/>
    <w:rsid w:val="00452004"/>
    <w:rsid w:val="00452021"/>
    <w:rsid w:val="00452058"/>
    <w:rsid w:val="00452068"/>
    <w:rsid w:val="004520D5"/>
    <w:rsid w:val="00452106"/>
    <w:rsid w:val="00452135"/>
    <w:rsid w:val="0045214D"/>
    <w:rsid w:val="00452163"/>
    <w:rsid w:val="00452184"/>
    <w:rsid w:val="004521BD"/>
    <w:rsid w:val="004521D9"/>
    <w:rsid w:val="004521EC"/>
    <w:rsid w:val="00452237"/>
    <w:rsid w:val="0045225B"/>
    <w:rsid w:val="0045232B"/>
    <w:rsid w:val="00452383"/>
    <w:rsid w:val="0045239B"/>
    <w:rsid w:val="004523A9"/>
    <w:rsid w:val="004523B1"/>
    <w:rsid w:val="00452434"/>
    <w:rsid w:val="0045243F"/>
    <w:rsid w:val="00452463"/>
    <w:rsid w:val="0045246B"/>
    <w:rsid w:val="004524E4"/>
    <w:rsid w:val="004524F1"/>
    <w:rsid w:val="004524F2"/>
    <w:rsid w:val="004524FE"/>
    <w:rsid w:val="0045256F"/>
    <w:rsid w:val="00452591"/>
    <w:rsid w:val="004525A0"/>
    <w:rsid w:val="004525E2"/>
    <w:rsid w:val="00452604"/>
    <w:rsid w:val="0045260C"/>
    <w:rsid w:val="00452670"/>
    <w:rsid w:val="00452673"/>
    <w:rsid w:val="00452697"/>
    <w:rsid w:val="004526B8"/>
    <w:rsid w:val="004526DC"/>
    <w:rsid w:val="004526E2"/>
    <w:rsid w:val="0045272F"/>
    <w:rsid w:val="00452789"/>
    <w:rsid w:val="004527A1"/>
    <w:rsid w:val="004527BD"/>
    <w:rsid w:val="004527C4"/>
    <w:rsid w:val="004527ED"/>
    <w:rsid w:val="00452801"/>
    <w:rsid w:val="00452870"/>
    <w:rsid w:val="004528E9"/>
    <w:rsid w:val="004528FE"/>
    <w:rsid w:val="0045290A"/>
    <w:rsid w:val="00452930"/>
    <w:rsid w:val="0045293D"/>
    <w:rsid w:val="00452982"/>
    <w:rsid w:val="00452993"/>
    <w:rsid w:val="00452999"/>
    <w:rsid w:val="004529B7"/>
    <w:rsid w:val="004529DE"/>
    <w:rsid w:val="004529E4"/>
    <w:rsid w:val="00452A15"/>
    <w:rsid w:val="00452A2C"/>
    <w:rsid w:val="00452A3A"/>
    <w:rsid w:val="00452A49"/>
    <w:rsid w:val="00452AA4"/>
    <w:rsid w:val="00452BA8"/>
    <w:rsid w:val="00452BE1"/>
    <w:rsid w:val="00452C0A"/>
    <w:rsid w:val="00452C2A"/>
    <w:rsid w:val="00452C4E"/>
    <w:rsid w:val="00452C58"/>
    <w:rsid w:val="00452CDB"/>
    <w:rsid w:val="00452D04"/>
    <w:rsid w:val="00452D0A"/>
    <w:rsid w:val="00452D8D"/>
    <w:rsid w:val="00452DA0"/>
    <w:rsid w:val="00452DAA"/>
    <w:rsid w:val="00452DC2"/>
    <w:rsid w:val="00452DC8"/>
    <w:rsid w:val="00452DD7"/>
    <w:rsid w:val="00452DE4"/>
    <w:rsid w:val="00452E41"/>
    <w:rsid w:val="00452E9E"/>
    <w:rsid w:val="00452ECF"/>
    <w:rsid w:val="00452ED4"/>
    <w:rsid w:val="00452EEE"/>
    <w:rsid w:val="00452F81"/>
    <w:rsid w:val="00452F8E"/>
    <w:rsid w:val="00452FA1"/>
    <w:rsid w:val="00452FB1"/>
    <w:rsid w:val="00453026"/>
    <w:rsid w:val="00453060"/>
    <w:rsid w:val="004530BC"/>
    <w:rsid w:val="004530C2"/>
    <w:rsid w:val="004530E8"/>
    <w:rsid w:val="004530FC"/>
    <w:rsid w:val="0045316C"/>
    <w:rsid w:val="0045319C"/>
    <w:rsid w:val="004531A7"/>
    <w:rsid w:val="0045321B"/>
    <w:rsid w:val="00453230"/>
    <w:rsid w:val="0045323B"/>
    <w:rsid w:val="0045324F"/>
    <w:rsid w:val="00453264"/>
    <w:rsid w:val="00453287"/>
    <w:rsid w:val="00453293"/>
    <w:rsid w:val="00453312"/>
    <w:rsid w:val="00453337"/>
    <w:rsid w:val="0045333B"/>
    <w:rsid w:val="00453340"/>
    <w:rsid w:val="00453371"/>
    <w:rsid w:val="004533A8"/>
    <w:rsid w:val="004533B5"/>
    <w:rsid w:val="004533E3"/>
    <w:rsid w:val="00453414"/>
    <w:rsid w:val="00453419"/>
    <w:rsid w:val="0045344F"/>
    <w:rsid w:val="0045345C"/>
    <w:rsid w:val="004534B0"/>
    <w:rsid w:val="0045350A"/>
    <w:rsid w:val="00453516"/>
    <w:rsid w:val="00453534"/>
    <w:rsid w:val="0045354F"/>
    <w:rsid w:val="00453552"/>
    <w:rsid w:val="00453568"/>
    <w:rsid w:val="004535B4"/>
    <w:rsid w:val="0045362D"/>
    <w:rsid w:val="00453658"/>
    <w:rsid w:val="00453698"/>
    <w:rsid w:val="00453767"/>
    <w:rsid w:val="00453793"/>
    <w:rsid w:val="004537E1"/>
    <w:rsid w:val="00453836"/>
    <w:rsid w:val="0045384F"/>
    <w:rsid w:val="00453859"/>
    <w:rsid w:val="004538F0"/>
    <w:rsid w:val="0045391E"/>
    <w:rsid w:val="0045392F"/>
    <w:rsid w:val="0045394E"/>
    <w:rsid w:val="00453973"/>
    <w:rsid w:val="00453987"/>
    <w:rsid w:val="004539B0"/>
    <w:rsid w:val="004539C4"/>
    <w:rsid w:val="004539F6"/>
    <w:rsid w:val="00453A16"/>
    <w:rsid w:val="00453A1E"/>
    <w:rsid w:val="00453A79"/>
    <w:rsid w:val="00453B1B"/>
    <w:rsid w:val="00453B2A"/>
    <w:rsid w:val="00453B41"/>
    <w:rsid w:val="00453B43"/>
    <w:rsid w:val="00453B5E"/>
    <w:rsid w:val="00453B9E"/>
    <w:rsid w:val="00453C29"/>
    <w:rsid w:val="00453C51"/>
    <w:rsid w:val="00453CA9"/>
    <w:rsid w:val="00453CFF"/>
    <w:rsid w:val="00453D2C"/>
    <w:rsid w:val="00453D44"/>
    <w:rsid w:val="00453DA8"/>
    <w:rsid w:val="00453DB9"/>
    <w:rsid w:val="00453DE9"/>
    <w:rsid w:val="00453E05"/>
    <w:rsid w:val="00453E5D"/>
    <w:rsid w:val="00453E6B"/>
    <w:rsid w:val="00453E6F"/>
    <w:rsid w:val="00453E76"/>
    <w:rsid w:val="00453E82"/>
    <w:rsid w:val="00453EB7"/>
    <w:rsid w:val="00453EBF"/>
    <w:rsid w:val="00453F06"/>
    <w:rsid w:val="00453F0F"/>
    <w:rsid w:val="00453F25"/>
    <w:rsid w:val="00453F6D"/>
    <w:rsid w:val="00453F7B"/>
    <w:rsid w:val="00453F81"/>
    <w:rsid w:val="00453FCE"/>
    <w:rsid w:val="00453FEC"/>
    <w:rsid w:val="00454008"/>
    <w:rsid w:val="00454061"/>
    <w:rsid w:val="00454097"/>
    <w:rsid w:val="00454185"/>
    <w:rsid w:val="004541A1"/>
    <w:rsid w:val="004541A2"/>
    <w:rsid w:val="004541BC"/>
    <w:rsid w:val="004541F4"/>
    <w:rsid w:val="00454267"/>
    <w:rsid w:val="004542C1"/>
    <w:rsid w:val="00454379"/>
    <w:rsid w:val="0045438A"/>
    <w:rsid w:val="004543B2"/>
    <w:rsid w:val="004543BB"/>
    <w:rsid w:val="004543F0"/>
    <w:rsid w:val="00454463"/>
    <w:rsid w:val="004544B6"/>
    <w:rsid w:val="004544CC"/>
    <w:rsid w:val="0045454B"/>
    <w:rsid w:val="00454587"/>
    <w:rsid w:val="004545AD"/>
    <w:rsid w:val="00454612"/>
    <w:rsid w:val="00454643"/>
    <w:rsid w:val="00454674"/>
    <w:rsid w:val="0045469F"/>
    <w:rsid w:val="004546B3"/>
    <w:rsid w:val="004546B6"/>
    <w:rsid w:val="004546D6"/>
    <w:rsid w:val="00454716"/>
    <w:rsid w:val="004547C4"/>
    <w:rsid w:val="004547D4"/>
    <w:rsid w:val="00454868"/>
    <w:rsid w:val="004548D7"/>
    <w:rsid w:val="00454903"/>
    <w:rsid w:val="0045498D"/>
    <w:rsid w:val="004549FD"/>
    <w:rsid w:val="00454A31"/>
    <w:rsid w:val="00454A5A"/>
    <w:rsid w:val="00454ACD"/>
    <w:rsid w:val="00454B6B"/>
    <w:rsid w:val="00454B99"/>
    <w:rsid w:val="00454BDE"/>
    <w:rsid w:val="00454BE3"/>
    <w:rsid w:val="00454BED"/>
    <w:rsid w:val="00454C00"/>
    <w:rsid w:val="00454C42"/>
    <w:rsid w:val="00454C4A"/>
    <w:rsid w:val="00454C63"/>
    <w:rsid w:val="00454C69"/>
    <w:rsid w:val="00454C6A"/>
    <w:rsid w:val="00454C92"/>
    <w:rsid w:val="00454CB0"/>
    <w:rsid w:val="00454CB6"/>
    <w:rsid w:val="00454CC1"/>
    <w:rsid w:val="00454CC6"/>
    <w:rsid w:val="00454D1B"/>
    <w:rsid w:val="00454D36"/>
    <w:rsid w:val="00454DE7"/>
    <w:rsid w:val="00454E05"/>
    <w:rsid w:val="00454E89"/>
    <w:rsid w:val="00454EEF"/>
    <w:rsid w:val="00454F00"/>
    <w:rsid w:val="00454F4A"/>
    <w:rsid w:val="00454F5C"/>
    <w:rsid w:val="00454F86"/>
    <w:rsid w:val="00454F9D"/>
    <w:rsid w:val="00454FFF"/>
    <w:rsid w:val="00455012"/>
    <w:rsid w:val="0045503C"/>
    <w:rsid w:val="00455045"/>
    <w:rsid w:val="00455046"/>
    <w:rsid w:val="0045505B"/>
    <w:rsid w:val="00455064"/>
    <w:rsid w:val="00455111"/>
    <w:rsid w:val="00455118"/>
    <w:rsid w:val="0045512A"/>
    <w:rsid w:val="004551AD"/>
    <w:rsid w:val="00455211"/>
    <w:rsid w:val="0045521D"/>
    <w:rsid w:val="00455245"/>
    <w:rsid w:val="00455290"/>
    <w:rsid w:val="004552BB"/>
    <w:rsid w:val="004552ED"/>
    <w:rsid w:val="00455331"/>
    <w:rsid w:val="00455337"/>
    <w:rsid w:val="0045539D"/>
    <w:rsid w:val="00455451"/>
    <w:rsid w:val="00455464"/>
    <w:rsid w:val="00455471"/>
    <w:rsid w:val="00455472"/>
    <w:rsid w:val="00455487"/>
    <w:rsid w:val="0045549A"/>
    <w:rsid w:val="004554E7"/>
    <w:rsid w:val="004554F8"/>
    <w:rsid w:val="0045556A"/>
    <w:rsid w:val="00455578"/>
    <w:rsid w:val="0045559F"/>
    <w:rsid w:val="004555A9"/>
    <w:rsid w:val="00455645"/>
    <w:rsid w:val="004556AB"/>
    <w:rsid w:val="004556AF"/>
    <w:rsid w:val="004556B9"/>
    <w:rsid w:val="004556D8"/>
    <w:rsid w:val="004556FA"/>
    <w:rsid w:val="00455750"/>
    <w:rsid w:val="0045578C"/>
    <w:rsid w:val="004557D1"/>
    <w:rsid w:val="004557DA"/>
    <w:rsid w:val="0045589B"/>
    <w:rsid w:val="004558B7"/>
    <w:rsid w:val="004558C0"/>
    <w:rsid w:val="004558C7"/>
    <w:rsid w:val="004558DC"/>
    <w:rsid w:val="00455912"/>
    <w:rsid w:val="00455918"/>
    <w:rsid w:val="0045598D"/>
    <w:rsid w:val="004559E0"/>
    <w:rsid w:val="004559FE"/>
    <w:rsid w:val="00455A01"/>
    <w:rsid w:val="00455A60"/>
    <w:rsid w:val="00455B34"/>
    <w:rsid w:val="00455B36"/>
    <w:rsid w:val="00455BF5"/>
    <w:rsid w:val="00455C51"/>
    <w:rsid w:val="00455C73"/>
    <w:rsid w:val="00455CAB"/>
    <w:rsid w:val="00455D14"/>
    <w:rsid w:val="00455D23"/>
    <w:rsid w:val="00455D26"/>
    <w:rsid w:val="00455D2F"/>
    <w:rsid w:val="00455D5C"/>
    <w:rsid w:val="00455DE0"/>
    <w:rsid w:val="00455DEB"/>
    <w:rsid w:val="00455E2F"/>
    <w:rsid w:val="00455E4D"/>
    <w:rsid w:val="00455E7D"/>
    <w:rsid w:val="00455EB8"/>
    <w:rsid w:val="00455F05"/>
    <w:rsid w:val="00455F18"/>
    <w:rsid w:val="00455F19"/>
    <w:rsid w:val="00455F29"/>
    <w:rsid w:val="00455F4D"/>
    <w:rsid w:val="00455F8A"/>
    <w:rsid w:val="00455FA7"/>
    <w:rsid w:val="00455FD8"/>
    <w:rsid w:val="00455FE2"/>
    <w:rsid w:val="00456011"/>
    <w:rsid w:val="0045601E"/>
    <w:rsid w:val="00456022"/>
    <w:rsid w:val="00456087"/>
    <w:rsid w:val="0045608A"/>
    <w:rsid w:val="004560A2"/>
    <w:rsid w:val="004560A6"/>
    <w:rsid w:val="004560AA"/>
    <w:rsid w:val="004560E7"/>
    <w:rsid w:val="00456104"/>
    <w:rsid w:val="0045611A"/>
    <w:rsid w:val="00456150"/>
    <w:rsid w:val="004561B6"/>
    <w:rsid w:val="004561F3"/>
    <w:rsid w:val="0045621C"/>
    <w:rsid w:val="00456234"/>
    <w:rsid w:val="0045623F"/>
    <w:rsid w:val="00456279"/>
    <w:rsid w:val="0045627D"/>
    <w:rsid w:val="00456298"/>
    <w:rsid w:val="004562DD"/>
    <w:rsid w:val="004562F3"/>
    <w:rsid w:val="004562F8"/>
    <w:rsid w:val="0045630C"/>
    <w:rsid w:val="00456333"/>
    <w:rsid w:val="0045634C"/>
    <w:rsid w:val="0045635E"/>
    <w:rsid w:val="00456390"/>
    <w:rsid w:val="004563F8"/>
    <w:rsid w:val="00456410"/>
    <w:rsid w:val="0045642E"/>
    <w:rsid w:val="00456448"/>
    <w:rsid w:val="00456498"/>
    <w:rsid w:val="004564B1"/>
    <w:rsid w:val="004564BA"/>
    <w:rsid w:val="004564D3"/>
    <w:rsid w:val="004564D7"/>
    <w:rsid w:val="004564F7"/>
    <w:rsid w:val="00456508"/>
    <w:rsid w:val="0045654C"/>
    <w:rsid w:val="004565B0"/>
    <w:rsid w:val="0045662F"/>
    <w:rsid w:val="00456647"/>
    <w:rsid w:val="00456665"/>
    <w:rsid w:val="00456687"/>
    <w:rsid w:val="004566B7"/>
    <w:rsid w:val="004566D4"/>
    <w:rsid w:val="004566D5"/>
    <w:rsid w:val="00456709"/>
    <w:rsid w:val="0045671A"/>
    <w:rsid w:val="00456757"/>
    <w:rsid w:val="0045676C"/>
    <w:rsid w:val="004567A1"/>
    <w:rsid w:val="004567E7"/>
    <w:rsid w:val="00456858"/>
    <w:rsid w:val="0045686E"/>
    <w:rsid w:val="004568A7"/>
    <w:rsid w:val="004568B0"/>
    <w:rsid w:val="004568F6"/>
    <w:rsid w:val="00456914"/>
    <w:rsid w:val="00456957"/>
    <w:rsid w:val="0045695A"/>
    <w:rsid w:val="004569B4"/>
    <w:rsid w:val="004569C1"/>
    <w:rsid w:val="00456A28"/>
    <w:rsid w:val="00456A4B"/>
    <w:rsid w:val="00456A56"/>
    <w:rsid w:val="00456A94"/>
    <w:rsid w:val="00456ACE"/>
    <w:rsid w:val="00456AE1"/>
    <w:rsid w:val="00456AE9"/>
    <w:rsid w:val="00456B1E"/>
    <w:rsid w:val="00456B63"/>
    <w:rsid w:val="00456BB0"/>
    <w:rsid w:val="00456C2D"/>
    <w:rsid w:val="00456C81"/>
    <w:rsid w:val="00456C9A"/>
    <w:rsid w:val="00456CC2"/>
    <w:rsid w:val="00456D43"/>
    <w:rsid w:val="00456D7D"/>
    <w:rsid w:val="00456D88"/>
    <w:rsid w:val="00456D8E"/>
    <w:rsid w:val="00456DC8"/>
    <w:rsid w:val="00456E27"/>
    <w:rsid w:val="00456E34"/>
    <w:rsid w:val="00456E5F"/>
    <w:rsid w:val="00456F3B"/>
    <w:rsid w:val="00456FB4"/>
    <w:rsid w:val="00456FBD"/>
    <w:rsid w:val="0045702F"/>
    <w:rsid w:val="0045708C"/>
    <w:rsid w:val="0045709C"/>
    <w:rsid w:val="004570D6"/>
    <w:rsid w:val="004570EC"/>
    <w:rsid w:val="004570F2"/>
    <w:rsid w:val="0045715F"/>
    <w:rsid w:val="00457191"/>
    <w:rsid w:val="004571D0"/>
    <w:rsid w:val="00457214"/>
    <w:rsid w:val="004572F1"/>
    <w:rsid w:val="00457366"/>
    <w:rsid w:val="0045736D"/>
    <w:rsid w:val="0045739A"/>
    <w:rsid w:val="004573AA"/>
    <w:rsid w:val="004573B3"/>
    <w:rsid w:val="004573E6"/>
    <w:rsid w:val="00457424"/>
    <w:rsid w:val="00457454"/>
    <w:rsid w:val="00457482"/>
    <w:rsid w:val="0045749F"/>
    <w:rsid w:val="004574A0"/>
    <w:rsid w:val="004574B4"/>
    <w:rsid w:val="00457506"/>
    <w:rsid w:val="00457510"/>
    <w:rsid w:val="0045751D"/>
    <w:rsid w:val="0045751F"/>
    <w:rsid w:val="00457582"/>
    <w:rsid w:val="00457587"/>
    <w:rsid w:val="0045758C"/>
    <w:rsid w:val="0045758F"/>
    <w:rsid w:val="004575A7"/>
    <w:rsid w:val="004575BD"/>
    <w:rsid w:val="004575E7"/>
    <w:rsid w:val="004575FA"/>
    <w:rsid w:val="00457640"/>
    <w:rsid w:val="00457644"/>
    <w:rsid w:val="00457653"/>
    <w:rsid w:val="00457659"/>
    <w:rsid w:val="0045766C"/>
    <w:rsid w:val="004576A2"/>
    <w:rsid w:val="004576B5"/>
    <w:rsid w:val="004576E0"/>
    <w:rsid w:val="004576EA"/>
    <w:rsid w:val="004576F4"/>
    <w:rsid w:val="00457781"/>
    <w:rsid w:val="004577B1"/>
    <w:rsid w:val="004577BD"/>
    <w:rsid w:val="004577D3"/>
    <w:rsid w:val="004577DC"/>
    <w:rsid w:val="00457829"/>
    <w:rsid w:val="0045785E"/>
    <w:rsid w:val="00457874"/>
    <w:rsid w:val="00457879"/>
    <w:rsid w:val="004578CA"/>
    <w:rsid w:val="004578DC"/>
    <w:rsid w:val="0045793D"/>
    <w:rsid w:val="00457971"/>
    <w:rsid w:val="004579C8"/>
    <w:rsid w:val="00457A31"/>
    <w:rsid w:val="00457A43"/>
    <w:rsid w:val="00457A44"/>
    <w:rsid w:val="00457A58"/>
    <w:rsid w:val="00457A6B"/>
    <w:rsid w:val="00457AB7"/>
    <w:rsid w:val="00457ADA"/>
    <w:rsid w:val="00457AE5"/>
    <w:rsid w:val="00457B22"/>
    <w:rsid w:val="00457B41"/>
    <w:rsid w:val="00457B4D"/>
    <w:rsid w:val="00457B57"/>
    <w:rsid w:val="00457B7D"/>
    <w:rsid w:val="00457BDB"/>
    <w:rsid w:val="00457BED"/>
    <w:rsid w:val="00457C05"/>
    <w:rsid w:val="00457C37"/>
    <w:rsid w:val="00457CA8"/>
    <w:rsid w:val="00457CB3"/>
    <w:rsid w:val="00457CBB"/>
    <w:rsid w:val="00457D39"/>
    <w:rsid w:val="00457D46"/>
    <w:rsid w:val="00457D93"/>
    <w:rsid w:val="00457DAF"/>
    <w:rsid w:val="00457DCD"/>
    <w:rsid w:val="00457E21"/>
    <w:rsid w:val="00457E90"/>
    <w:rsid w:val="00457EA2"/>
    <w:rsid w:val="00457EAE"/>
    <w:rsid w:val="00457EAF"/>
    <w:rsid w:val="00457EB1"/>
    <w:rsid w:val="00457EC6"/>
    <w:rsid w:val="00457EEB"/>
    <w:rsid w:val="00457F03"/>
    <w:rsid w:val="00457F10"/>
    <w:rsid w:val="00457F3B"/>
    <w:rsid w:val="00457F73"/>
    <w:rsid w:val="00460084"/>
    <w:rsid w:val="004600A2"/>
    <w:rsid w:val="0046014E"/>
    <w:rsid w:val="00460179"/>
    <w:rsid w:val="004601C7"/>
    <w:rsid w:val="00460258"/>
    <w:rsid w:val="00460267"/>
    <w:rsid w:val="004602DE"/>
    <w:rsid w:val="004602ED"/>
    <w:rsid w:val="004602FA"/>
    <w:rsid w:val="00460331"/>
    <w:rsid w:val="00460344"/>
    <w:rsid w:val="00460378"/>
    <w:rsid w:val="00460393"/>
    <w:rsid w:val="004603A5"/>
    <w:rsid w:val="004603ED"/>
    <w:rsid w:val="0046040E"/>
    <w:rsid w:val="004604D6"/>
    <w:rsid w:val="004604D7"/>
    <w:rsid w:val="00460505"/>
    <w:rsid w:val="0046050D"/>
    <w:rsid w:val="00460517"/>
    <w:rsid w:val="00460577"/>
    <w:rsid w:val="004605AC"/>
    <w:rsid w:val="004605C0"/>
    <w:rsid w:val="004605EA"/>
    <w:rsid w:val="00460617"/>
    <w:rsid w:val="0046063F"/>
    <w:rsid w:val="00460642"/>
    <w:rsid w:val="0046068F"/>
    <w:rsid w:val="00460690"/>
    <w:rsid w:val="004606F5"/>
    <w:rsid w:val="004606FC"/>
    <w:rsid w:val="00460743"/>
    <w:rsid w:val="00460749"/>
    <w:rsid w:val="0046074C"/>
    <w:rsid w:val="00460799"/>
    <w:rsid w:val="004607AF"/>
    <w:rsid w:val="004607D3"/>
    <w:rsid w:val="004607DA"/>
    <w:rsid w:val="004607DD"/>
    <w:rsid w:val="00460807"/>
    <w:rsid w:val="0046086A"/>
    <w:rsid w:val="0046087F"/>
    <w:rsid w:val="00460886"/>
    <w:rsid w:val="0046089D"/>
    <w:rsid w:val="004608DB"/>
    <w:rsid w:val="00460930"/>
    <w:rsid w:val="0046095C"/>
    <w:rsid w:val="0046099C"/>
    <w:rsid w:val="004609AB"/>
    <w:rsid w:val="004609B3"/>
    <w:rsid w:val="004609BD"/>
    <w:rsid w:val="004609E4"/>
    <w:rsid w:val="00460A01"/>
    <w:rsid w:val="00460A1C"/>
    <w:rsid w:val="00460A2F"/>
    <w:rsid w:val="00460A89"/>
    <w:rsid w:val="00460B1D"/>
    <w:rsid w:val="00460B37"/>
    <w:rsid w:val="00460B78"/>
    <w:rsid w:val="00460BBD"/>
    <w:rsid w:val="00460C35"/>
    <w:rsid w:val="00460C42"/>
    <w:rsid w:val="00460C8D"/>
    <w:rsid w:val="00460C90"/>
    <w:rsid w:val="00460C97"/>
    <w:rsid w:val="00460CE9"/>
    <w:rsid w:val="00460D01"/>
    <w:rsid w:val="00460D07"/>
    <w:rsid w:val="00460D3A"/>
    <w:rsid w:val="00460D3D"/>
    <w:rsid w:val="00460D76"/>
    <w:rsid w:val="00460D99"/>
    <w:rsid w:val="00460DA1"/>
    <w:rsid w:val="00460DAB"/>
    <w:rsid w:val="00460E22"/>
    <w:rsid w:val="00460EA6"/>
    <w:rsid w:val="00460EB2"/>
    <w:rsid w:val="00460F63"/>
    <w:rsid w:val="00460F8F"/>
    <w:rsid w:val="00460FE9"/>
    <w:rsid w:val="00461023"/>
    <w:rsid w:val="00461031"/>
    <w:rsid w:val="0046104C"/>
    <w:rsid w:val="00461059"/>
    <w:rsid w:val="004610C3"/>
    <w:rsid w:val="0046111B"/>
    <w:rsid w:val="00461147"/>
    <w:rsid w:val="004611A5"/>
    <w:rsid w:val="004611A6"/>
    <w:rsid w:val="004611B3"/>
    <w:rsid w:val="004611F7"/>
    <w:rsid w:val="0046124E"/>
    <w:rsid w:val="0046128D"/>
    <w:rsid w:val="00461293"/>
    <w:rsid w:val="00461311"/>
    <w:rsid w:val="00461350"/>
    <w:rsid w:val="0046135E"/>
    <w:rsid w:val="00461388"/>
    <w:rsid w:val="00461397"/>
    <w:rsid w:val="004613D2"/>
    <w:rsid w:val="004613F6"/>
    <w:rsid w:val="00461428"/>
    <w:rsid w:val="004614C5"/>
    <w:rsid w:val="004614D7"/>
    <w:rsid w:val="004614E5"/>
    <w:rsid w:val="00461513"/>
    <w:rsid w:val="0046152F"/>
    <w:rsid w:val="00461542"/>
    <w:rsid w:val="0046157C"/>
    <w:rsid w:val="0046158C"/>
    <w:rsid w:val="004615CD"/>
    <w:rsid w:val="00461647"/>
    <w:rsid w:val="004616AC"/>
    <w:rsid w:val="004616B4"/>
    <w:rsid w:val="004616F0"/>
    <w:rsid w:val="00461729"/>
    <w:rsid w:val="00461734"/>
    <w:rsid w:val="0046173F"/>
    <w:rsid w:val="0046174D"/>
    <w:rsid w:val="00461792"/>
    <w:rsid w:val="004617D9"/>
    <w:rsid w:val="0046185E"/>
    <w:rsid w:val="004618A0"/>
    <w:rsid w:val="004618CB"/>
    <w:rsid w:val="00461914"/>
    <w:rsid w:val="00461938"/>
    <w:rsid w:val="0046197C"/>
    <w:rsid w:val="00461980"/>
    <w:rsid w:val="00461988"/>
    <w:rsid w:val="004619B3"/>
    <w:rsid w:val="004619CD"/>
    <w:rsid w:val="00461A27"/>
    <w:rsid w:val="00461A3D"/>
    <w:rsid w:val="00461A76"/>
    <w:rsid w:val="00461A9A"/>
    <w:rsid w:val="00461AE4"/>
    <w:rsid w:val="00461AF6"/>
    <w:rsid w:val="00461B0E"/>
    <w:rsid w:val="00461B28"/>
    <w:rsid w:val="00461B78"/>
    <w:rsid w:val="00461B87"/>
    <w:rsid w:val="00461BDF"/>
    <w:rsid w:val="00461BF8"/>
    <w:rsid w:val="00461C04"/>
    <w:rsid w:val="00461C1F"/>
    <w:rsid w:val="00461C4B"/>
    <w:rsid w:val="00461C51"/>
    <w:rsid w:val="00461C59"/>
    <w:rsid w:val="00461C5D"/>
    <w:rsid w:val="00461C67"/>
    <w:rsid w:val="00461C98"/>
    <w:rsid w:val="00461CC9"/>
    <w:rsid w:val="00461CE0"/>
    <w:rsid w:val="00461D2B"/>
    <w:rsid w:val="00461D4A"/>
    <w:rsid w:val="00461DE9"/>
    <w:rsid w:val="00461DF3"/>
    <w:rsid w:val="00461E0F"/>
    <w:rsid w:val="00461E2A"/>
    <w:rsid w:val="00461EF0"/>
    <w:rsid w:val="00461EF4"/>
    <w:rsid w:val="00461F07"/>
    <w:rsid w:val="00461F64"/>
    <w:rsid w:val="00461F71"/>
    <w:rsid w:val="00461F7E"/>
    <w:rsid w:val="00461F83"/>
    <w:rsid w:val="00461FD5"/>
    <w:rsid w:val="00461FFD"/>
    <w:rsid w:val="0046202B"/>
    <w:rsid w:val="0046207E"/>
    <w:rsid w:val="004620A1"/>
    <w:rsid w:val="004620B8"/>
    <w:rsid w:val="004620CA"/>
    <w:rsid w:val="004620E2"/>
    <w:rsid w:val="004620FF"/>
    <w:rsid w:val="00462185"/>
    <w:rsid w:val="00462193"/>
    <w:rsid w:val="004621B4"/>
    <w:rsid w:val="004621B5"/>
    <w:rsid w:val="004621BD"/>
    <w:rsid w:val="004621EE"/>
    <w:rsid w:val="004621F8"/>
    <w:rsid w:val="00462272"/>
    <w:rsid w:val="004622BA"/>
    <w:rsid w:val="004622F0"/>
    <w:rsid w:val="00462341"/>
    <w:rsid w:val="004623BD"/>
    <w:rsid w:val="004623CF"/>
    <w:rsid w:val="004623F7"/>
    <w:rsid w:val="00462401"/>
    <w:rsid w:val="00462411"/>
    <w:rsid w:val="00462417"/>
    <w:rsid w:val="0046241B"/>
    <w:rsid w:val="00462428"/>
    <w:rsid w:val="00462441"/>
    <w:rsid w:val="0046246F"/>
    <w:rsid w:val="00462471"/>
    <w:rsid w:val="004624A0"/>
    <w:rsid w:val="00462511"/>
    <w:rsid w:val="00462533"/>
    <w:rsid w:val="00462587"/>
    <w:rsid w:val="00462588"/>
    <w:rsid w:val="004625F2"/>
    <w:rsid w:val="004626B3"/>
    <w:rsid w:val="004626C7"/>
    <w:rsid w:val="004626D8"/>
    <w:rsid w:val="004626DE"/>
    <w:rsid w:val="004626F5"/>
    <w:rsid w:val="00462734"/>
    <w:rsid w:val="00462776"/>
    <w:rsid w:val="004627BE"/>
    <w:rsid w:val="004627F3"/>
    <w:rsid w:val="00462822"/>
    <w:rsid w:val="004628B5"/>
    <w:rsid w:val="00462928"/>
    <w:rsid w:val="0046293A"/>
    <w:rsid w:val="0046295B"/>
    <w:rsid w:val="00462988"/>
    <w:rsid w:val="004629A8"/>
    <w:rsid w:val="004629CF"/>
    <w:rsid w:val="00462A6B"/>
    <w:rsid w:val="00462A78"/>
    <w:rsid w:val="00462A79"/>
    <w:rsid w:val="00462AA6"/>
    <w:rsid w:val="00462AAD"/>
    <w:rsid w:val="00462AB1"/>
    <w:rsid w:val="00462B5D"/>
    <w:rsid w:val="00462B7B"/>
    <w:rsid w:val="00462BBB"/>
    <w:rsid w:val="00462BF3"/>
    <w:rsid w:val="00462C07"/>
    <w:rsid w:val="00462C16"/>
    <w:rsid w:val="00462C29"/>
    <w:rsid w:val="00462C79"/>
    <w:rsid w:val="00462CC0"/>
    <w:rsid w:val="00462D35"/>
    <w:rsid w:val="00462D5E"/>
    <w:rsid w:val="00462E05"/>
    <w:rsid w:val="00462E1D"/>
    <w:rsid w:val="00462E4D"/>
    <w:rsid w:val="00462E9C"/>
    <w:rsid w:val="00462ED4"/>
    <w:rsid w:val="00462EDA"/>
    <w:rsid w:val="00462EE1"/>
    <w:rsid w:val="00462EF0"/>
    <w:rsid w:val="00462F03"/>
    <w:rsid w:val="00462F0A"/>
    <w:rsid w:val="00462F3E"/>
    <w:rsid w:val="00462F50"/>
    <w:rsid w:val="00462F59"/>
    <w:rsid w:val="00462F5B"/>
    <w:rsid w:val="00462F61"/>
    <w:rsid w:val="00462FCB"/>
    <w:rsid w:val="00462FD9"/>
    <w:rsid w:val="00463006"/>
    <w:rsid w:val="00463010"/>
    <w:rsid w:val="00463011"/>
    <w:rsid w:val="00463012"/>
    <w:rsid w:val="00463075"/>
    <w:rsid w:val="0046312A"/>
    <w:rsid w:val="00463179"/>
    <w:rsid w:val="004631D6"/>
    <w:rsid w:val="004631E7"/>
    <w:rsid w:val="004631FF"/>
    <w:rsid w:val="00463238"/>
    <w:rsid w:val="0046326E"/>
    <w:rsid w:val="0046335C"/>
    <w:rsid w:val="00463363"/>
    <w:rsid w:val="00463383"/>
    <w:rsid w:val="00463393"/>
    <w:rsid w:val="00463423"/>
    <w:rsid w:val="00463514"/>
    <w:rsid w:val="00463557"/>
    <w:rsid w:val="0046355F"/>
    <w:rsid w:val="00463583"/>
    <w:rsid w:val="00463593"/>
    <w:rsid w:val="004635F8"/>
    <w:rsid w:val="004635F9"/>
    <w:rsid w:val="0046360E"/>
    <w:rsid w:val="00463610"/>
    <w:rsid w:val="0046366B"/>
    <w:rsid w:val="00463695"/>
    <w:rsid w:val="00463698"/>
    <w:rsid w:val="004636BD"/>
    <w:rsid w:val="004636D8"/>
    <w:rsid w:val="00463700"/>
    <w:rsid w:val="0046371B"/>
    <w:rsid w:val="00463730"/>
    <w:rsid w:val="0046373A"/>
    <w:rsid w:val="00463763"/>
    <w:rsid w:val="00463765"/>
    <w:rsid w:val="00463790"/>
    <w:rsid w:val="00463794"/>
    <w:rsid w:val="0046379A"/>
    <w:rsid w:val="004637A2"/>
    <w:rsid w:val="004637AB"/>
    <w:rsid w:val="004637C7"/>
    <w:rsid w:val="0046382D"/>
    <w:rsid w:val="00463831"/>
    <w:rsid w:val="00463839"/>
    <w:rsid w:val="0046383F"/>
    <w:rsid w:val="00463840"/>
    <w:rsid w:val="00463873"/>
    <w:rsid w:val="00463875"/>
    <w:rsid w:val="00463876"/>
    <w:rsid w:val="0046389F"/>
    <w:rsid w:val="004638E1"/>
    <w:rsid w:val="004638F7"/>
    <w:rsid w:val="004638FE"/>
    <w:rsid w:val="00463934"/>
    <w:rsid w:val="004639C0"/>
    <w:rsid w:val="004639C8"/>
    <w:rsid w:val="00463A1F"/>
    <w:rsid w:val="00463A78"/>
    <w:rsid w:val="00463AB3"/>
    <w:rsid w:val="00463ABE"/>
    <w:rsid w:val="00463AC6"/>
    <w:rsid w:val="00463AE1"/>
    <w:rsid w:val="00463AF3"/>
    <w:rsid w:val="00463B13"/>
    <w:rsid w:val="00463B34"/>
    <w:rsid w:val="00463B45"/>
    <w:rsid w:val="00463B7F"/>
    <w:rsid w:val="00463B95"/>
    <w:rsid w:val="00463B9C"/>
    <w:rsid w:val="00463BA9"/>
    <w:rsid w:val="00463BB5"/>
    <w:rsid w:val="00463BC8"/>
    <w:rsid w:val="00463BEA"/>
    <w:rsid w:val="00463C26"/>
    <w:rsid w:val="00463C50"/>
    <w:rsid w:val="00463C9C"/>
    <w:rsid w:val="00463CDB"/>
    <w:rsid w:val="00463D11"/>
    <w:rsid w:val="00463DB8"/>
    <w:rsid w:val="00463DDF"/>
    <w:rsid w:val="00463DE4"/>
    <w:rsid w:val="00463E2C"/>
    <w:rsid w:val="00463E49"/>
    <w:rsid w:val="00463E62"/>
    <w:rsid w:val="00463EAB"/>
    <w:rsid w:val="00463EC5"/>
    <w:rsid w:val="00463F0A"/>
    <w:rsid w:val="00463F34"/>
    <w:rsid w:val="00463F56"/>
    <w:rsid w:val="00463F6F"/>
    <w:rsid w:val="00463F76"/>
    <w:rsid w:val="00463F87"/>
    <w:rsid w:val="00463F9B"/>
    <w:rsid w:val="0046404E"/>
    <w:rsid w:val="004640A3"/>
    <w:rsid w:val="004640ED"/>
    <w:rsid w:val="00464108"/>
    <w:rsid w:val="00464128"/>
    <w:rsid w:val="00464137"/>
    <w:rsid w:val="00464184"/>
    <w:rsid w:val="004641A8"/>
    <w:rsid w:val="004641B6"/>
    <w:rsid w:val="004641E3"/>
    <w:rsid w:val="0046426F"/>
    <w:rsid w:val="00464285"/>
    <w:rsid w:val="004642EF"/>
    <w:rsid w:val="004642FB"/>
    <w:rsid w:val="00464319"/>
    <w:rsid w:val="00464324"/>
    <w:rsid w:val="00464331"/>
    <w:rsid w:val="00464354"/>
    <w:rsid w:val="0046439A"/>
    <w:rsid w:val="004643CD"/>
    <w:rsid w:val="004643FC"/>
    <w:rsid w:val="004643FE"/>
    <w:rsid w:val="00464450"/>
    <w:rsid w:val="00464463"/>
    <w:rsid w:val="0046446C"/>
    <w:rsid w:val="004644AE"/>
    <w:rsid w:val="0046456B"/>
    <w:rsid w:val="004645BC"/>
    <w:rsid w:val="00464619"/>
    <w:rsid w:val="0046462E"/>
    <w:rsid w:val="00464641"/>
    <w:rsid w:val="00464650"/>
    <w:rsid w:val="00464662"/>
    <w:rsid w:val="004646E2"/>
    <w:rsid w:val="004646E4"/>
    <w:rsid w:val="0046470A"/>
    <w:rsid w:val="00464714"/>
    <w:rsid w:val="0046473A"/>
    <w:rsid w:val="00464835"/>
    <w:rsid w:val="00464842"/>
    <w:rsid w:val="004648C9"/>
    <w:rsid w:val="00464916"/>
    <w:rsid w:val="0046492D"/>
    <w:rsid w:val="00464940"/>
    <w:rsid w:val="00464981"/>
    <w:rsid w:val="004649CB"/>
    <w:rsid w:val="004649E1"/>
    <w:rsid w:val="00464A26"/>
    <w:rsid w:val="00464A5E"/>
    <w:rsid w:val="00464A93"/>
    <w:rsid w:val="00464AAD"/>
    <w:rsid w:val="00464B11"/>
    <w:rsid w:val="00464B1F"/>
    <w:rsid w:val="00464B4D"/>
    <w:rsid w:val="00464B65"/>
    <w:rsid w:val="00464B74"/>
    <w:rsid w:val="00464B93"/>
    <w:rsid w:val="00464BAF"/>
    <w:rsid w:val="00464BC7"/>
    <w:rsid w:val="00464BD1"/>
    <w:rsid w:val="00464C1C"/>
    <w:rsid w:val="00464C34"/>
    <w:rsid w:val="00464CFB"/>
    <w:rsid w:val="00464D20"/>
    <w:rsid w:val="00464D6E"/>
    <w:rsid w:val="00464D7B"/>
    <w:rsid w:val="00464E05"/>
    <w:rsid w:val="00464E8F"/>
    <w:rsid w:val="00464EA9"/>
    <w:rsid w:val="00464F13"/>
    <w:rsid w:val="00464F19"/>
    <w:rsid w:val="00464F22"/>
    <w:rsid w:val="00465004"/>
    <w:rsid w:val="00465014"/>
    <w:rsid w:val="00465022"/>
    <w:rsid w:val="00465028"/>
    <w:rsid w:val="0046507F"/>
    <w:rsid w:val="00465092"/>
    <w:rsid w:val="00465095"/>
    <w:rsid w:val="004650CF"/>
    <w:rsid w:val="004650E4"/>
    <w:rsid w:val="00465116"/>
    <w:rsid w:val="00465118"/>
    <w:rsid w:val="0046511B"/>
    <w:rsid w:val="0046512E"/>
    <w:rsid w:val="00465168"/>
    <w:rsid w:val="00465174"/>
    <w:rsid w:val="004651C5"/>
    <w:rsid w:val="004651DB"/>
    <w:rsid w:val="004651E8"/>
    <w:rsid w:val="00465226"/>
    <w:rsid w:val="00465247"/>
    <w:rsid w:val="004652D9"/>
    <w:rsid w:val="004652E6"/>
    <w:rsid w:val="004652EB"/>
    <w:rsid w:val="0046530A"/>
    <w:rsid w:val="00465342"/>
    <w:rsid w:val="0046536E"/>
    <w:rsid w:val="0046539C"/>
    <w:rsid w:val="0046539E"/>
    <w:rsid w:val="004653A5"/>
    <w:rsid w:val="0046545A"/>
    <w:rsid w:val="00465485"/>
    <w:rsid w:val="004654BF"/>
    <w:rsid w:val="004654E3"/>
    <w:rsid w:val="004654EE"/>
    <w:rsid w:val="0046557E"/>
    <w:rsid w:val="00465590"/>
    <w:rsid w:val="0046559B"/>
    <w:rsid w:val="004655D5"/>
    <w:rsid w:val="004655D9"/>
    <w:rsid w:val="004655E5"/>
    <w:rsid w:val="004655EB"/>
    <w:rsid w:val="004655EF"/>
    <w:rsid w:val="004655F0"/>
    <w:rsid w:val="00465651"/>
    <w:rsid w:val="00465657"/>
    <w:rsid w:val="004656E5"/>
    <w:rsid w:val="00465712"/>
    <w:rsid w:val="00465731"/>
    <w:rsid w:val="0046574D"/>
    <w:rsid w:val="0046576C"/>
    <w:rsid w:val="004657A2"/>
    <w:rsid w:val="004657AB"/>
    <w:rsid w:val="004657E1"/>
    <w:rsid w:val="004657FE"/>
    <w:rsid w:val="00465827"/>
    <w:rsid w:val="00465872"/>
    <w:rsid w:val="00465896"/>
    <w:rsid w:val="004658A1"/>
    <w:rsid w:val="004658B6"/>
    <w:rsid w:val="004658BF"/>
    <w:rsid w:val="004658ED"/>
    <w:rsid w:val="004658F5"/>
    <w:rsid w:val="00465979"/>
    <w:rsid w:val="004659A0"/>
    <w:rsid w:val="004659E8"/>
    <w:rsid w:val="004659FA"/>
    <w:rsid w:val="00465AA7"/>
    <w:rsid w:val="00465ADA"/>
    <w:rsid w:val="00465B05"/>
    <w:rsid w:val="00465B3E"/>
    <w:rsid w:val="00465B58"/>
    <w:rsid w:val="00465B59"/>
    <w:rsid w:val="00465B77"/>
    <w:rsid w:val="00465B9F"/>
    <w:rsid w:val="00465BA4"/>
    <w:rsid w:val="00465BC5"/>
    <w:rsid w:val="00465BFA"/>
    <w:rsid w:val="00465C06"/>
    <w:rsid w:val="00465C2C"/>
    <w:rsid w:val="00465C4A"/>
    <w:rsid w:val="00465C5A"/>
    <w:rsid w:val="00465C5D"/>
    <w:rsid w:val="00465C8D"/>
    <w:rsid w:val="00465C93"/>
    <w:rsid w:val="00465CB2"/>
    <w:rsid w:val="00465CC5"/>
    <w:rsid w:val="00465CEA"/>
    <w:rsid w:val="00465CF0"/>
    <w:rsid w:val="00465D7A"/>
    <w:rsid w:val="00465D7E"/>
    <w:rsid w:val="00465D96"/>
    <w:rsid w:val="00465DB9"/>
    <w:rsid w:val="00465E45"/>
    <w:rsid w:val="00465E61"/>
    <w:rsid w:val="00465EE5"/>
    <w:rsid w:val="00465F71"/>
    <w:rsid w:val="00465F7B"/>
    <w:rsid w:val="00465F8F"/>
    <w:rsid w:val="00465FFD"/>
    <w:rsid w:val="00466003"/>
    <w:rsid w:val="00466016"/>
    <w:rsid w:val="0046601F"/>
    <w:rsid w:val="0046603E"/>
    <w:rsid w:val="0046605F"/>
    <w:rsid w:val="0046609B"/>
    <w:rsid w:val="004660AA"/>
    <w:rsid w:val="004660E0"/>
    <w:rsid w:val="004660F4"/>
    <w:rsid w:val="0046613B"/>
    <w:rsid w:val="0046614C"/>
    <w:rsid w:val="00466174"/>
    <w:rsid w:val="00466180"/>
    <w:rsid w:val="004661BA"/>
    <w:rsid w:val="004661EE"/>
    <w:rsid w:val="004661F9"/>
    <w:rsid w:val="004661FA"/>
    <w:rsid w:val="00466244"/>
    <w:rsid w:val="00466264"/>
    <w:rsid w:val="004662A5"/>
    <w:rsid w:val="004662B6"/>
    <w:rsid w:val="004662C2"/>
    <w:rsid w:val="004662CA"/>
    <w:rsid w:val="004662F3"/>
    <w:rsid w:val="004662F7"/>
    <w:rsid w:val="00466335"/>
    <w:rsid w:val="00466337"/>
    <w:rsid w:val="0046633A"/>
    <w:rsid w:val="0046633C"/>
    <w:rsid w:val="00466363"/>
    <w:rsid w:val="00466374"/>
    <w:rsid w:val="00466385"/>
    <w:rsid w:val="004663A8"/>
    <w:rsid w:val="004663B6"/>
    <w:rsid w:val="004663E3"/>
    <w:rsid w:val="00466401"/>
    <w:rsid w:val="0046646D"/>
    <w:rsid w:val="00466497"/>
    <w:rsid w:val="004664A3"/>
    <w:rsid w:val="004664C6"/>
    <w:rsid w:val="0046652C"/>
    <w:rsid w:val="00466556"/>
    <w:rsid w:val="00466563"/>
    <w:rsid w:val="004665B5"/>
    <w:rsid w:val="004665E6"/>
    <w:rsid w:val="0046661A"/>
    <w:rsid w:val="0046663A"/>
    <w:rsid w:val="004666A0"/>
    <w:rsid w:val="004666A4"/>
    <w:rsid w:val="00466758"/>
    <w:rsid w:val="0046677C"/>
    <w:rsid w:val="00466792"/>
    <w:rsid w:val="004667AB"/>
    <w:rsid w:val="004667AC"/>
    <w:rsid w:val="004667D6"/>
    <w:rsid w:val="004667F4"/>
    <w:rsid w:val="0046683F"/>
    <w:rsid w:val="004668BD"/>
    <w:rsid w:val="004668FB"/>
    <w:rsid w:val="0046690B"/>
    <w:rsid w:val="00466910"/>
    <w:rsid w:val="00466956"/>
    <w:rsid w:val="0046695A"/>
    <w:rsid w:val="004669C4"/>
    <w:rsid w:val="004669C6"/>
    <w:rsid w:val="004669E7"/>
    <w:rsid w:val="004669F3"/>
    <w:rsid w:val="004669F6"/>
    <w:rsid w:val="00466A0A"/>
    <w:rsid w:val="00466ACF"/>
    <w:rsid w:val="00466AD5"/>
    <w:rsid w:val="00466AE9"/>
    <w:rsid w:val="00466B08"/>
    <w:rsid w:val="00466B52"/>
    <w:rsid w:val="00466B58"/>
    <w:rsid w:val="00466BA8"/>
    <w:rsid w:val="00466BE8"/>
    <w:rsid w:val="00466BF2"/>
    <w:rsid w:val="00466C3F"/>
    <w:rsid w:val="00466C5E"/>
    <w:rsid w:val="00466C6A"/>
    <w:rsid w:val="00466CAD"/>
    <w:rsid w:val="00466CDB"/>
    <w:rsid w:val="00466D03"/>
    <w:rsid w:val="00466D36"/>
    <w:rsid w:val="00466D39"/>
    <w:rsid w:val="00466D42"/>
    <w:rsid w:val="00466D55"/>
    <w:rsid w:val="00466D77"/>
    <w:rsid w:val="00466D95"/>
    <w:rsid w:val="00466DF8"/>
    <w:rsid w:val="00466E06"/>
    <w:rsid w:val="00466E0A"/>
    <w:rsid w:val="00466E1E"/>
    <w:rsid w:val="00466E31"/>
    <w:rsid w:val="00466E60"/>
    <w:rsid w:val="00466E61"/>
    <w:rsid w:val="00466E6B"/>
    <w:rsid w:val="00466E6C"/>
    <w:rsid w:val="00466E77"/>
    <w:rsid w:val="00466EA7"/>
    <w:rsid w:val="00466ECC"/>
    <w:rsid w:val="00466ED9"/>
    <w:rsid w:val="00466EEB"/>
    <w:rsid w:val="00466F4E"/>
    <w:rsid w:val="00466F70"/>
    <w:rsid w:val="00466F8C"/>
    <w:rsid w:val="00466FCB"/>
    <w:rsid w:val="00466FD6"/>
    <w:rsid w:val="00466FE5"/>
    <w:rsid w:val="00466FEF"/>
    <w:rsid w:val="00467010"/>
    <w:rsid w:val="00467046"/>
    <w:rsid w:val="0046707A"/>
    <w:rsid w:val="004670A3"/>
    <w:rsid w:val="004670C5"/>
    <w:rsid w:val="004670D4"/>
    <w:rsid w:val="004670F3"/>
    <w:rsid w:val="004670FE"/>
    <w:rsid w:val="004671AC"/>
    <w:rsid w:val="004671E3"/>
    <w:rsid w:val="00467243"/>
    <w:rsid w:val="004672BD"/>
    <w:rsid w:val="004672CD"/>
    <w:rsid w:val="004672E2"/>
    <w:rsid w:val="00467381"/>
    <w:rsid w:val="00467465"/>
    <w:rsid w:val="00467537"/>
    <w:rsid w:val="00467566"/>
    <w:rsid w:val="00467577"/>
    <w:rsid w:val="004675AA"/>
    <w:rsid w:val="00467639"/>
    <w:rsid w:val="00467678"/>
    <w:rsid w:val="004676B2"/>
    <w:rsid w:val="0046770E"/>
    <w:rsid w:val="0046772E"/>
    <w:rsid w:val="00467755"/>
    <w:rsid w:val="0046776B"/>
    <w:rsid w:val="0046777F"/>
    <w:rsid w:val="004677A7"/>
    <w:rsid w:val="0046782E"/>
    <w:rsid w:val="0046786B"/>
    <w:rsid w:val="004678F0"/>
    <w:rsid w:val="00467912"/>
    <w:rsid w:val="0046792A"/>
    <w:rsid w:val="0046797C"/>
    <w:rsid w:val="004679CC"/>
    <w:rsid w:val="00467A0B"/>
    <w:rsid w:val="00467A6B"/>
    <w:rsid w:val="00467A7C"/>
    <w:rsid w:val="00467A85"/>
    <w:rsid w:val="00467A91"/>
    <w:rsid w:val="00467AE7"/>
    <w:rsid w:val="00467B54"/>
    <w:rsid w:val="00467B6F"/>
    <w:rsid w:val="00467B75"/>
    <w:rsid w:val="00467B9B"/>
    <w:rsid w:val="00467C2A"/>
    <w:rsid w:val="00467C6E"/>
    <w:rsid w:val="00467C8B"/>
    <w:rsid w:val="00467CC6"/>
    <w:rsid w:val="00467D2A"/>
    <w:rsid w:val="00467D3C"/>
    <w:rsid w:val="00467E0E"/>
    <w:rsid w:val="00467EF7"/>
    <w:rsid w:val="00467F04"/>
    <w:rsid w:val="00467F16"/>
    <w:rsid w:val="00467F35"/>
    <w:rsid w:val="00467F58"/>
    <w:rsid w:val="00467F60"/>
    <w:rsid w:val="00467FC7"/>
    <w:rsid w:val="00467FD3"/>
    <w:rsid w:val="00467FE2"/>
    <w:rsid w:val="00470014"/>
    <w:rsid w:val="004700E2"/>
    <w:rsid w:val="004700EA"/>
    <w:rsid w:val="00470118"/>
    <w:rsid w:val="00470125"/>
    <w:rsid w:val="00470150"/>
    <w:rsid w:val="004701C4"/>
    <w:rsid w:val="0047020C"/>
    <w:rsid w:val="00470331"/>
    <w:rsid w:val="0047033E"/>
    <w:rsid w:val="00470385"/>
    <w:rsid w:val="00470400"/>
    <w:rsid w:val="0047040E"/>
    <w:rsid w:val="00470413"/>
    <w:rsid w:val="0047041D"/>
    <w:rsid w:val="00470443"/>
    <w:rsid w:val="0047044A"/>
    <w:rsid w:val="004704A3"/>
    <w:rsid w:val="004704B5"/>
    <w:rsid w:val="0047051A"/>
    <w:rsid w:val="0047059C"/>
    <w:rsid w:val="004705D7"/>
    <w:rsid w:val="004705EC"/>
    <w:rsid w:val="0047063B"/>
    <w:rsid w:val="0047063C"/>
    <w:rsid w:val="004706BA"/>
    <w:rsid w:val="004706F8"/>
    <w:rsid w:val="00470715"/>
    <w:rsid w:val="00470818"/>
    <w:rsid w:val="00470832"/>
    <w:rsid w:val="0047084B"/>
    <w:rsid w:val="00470891"/>
    <w:rsid w:val="004708C9"/>
    <w:rsid w:val="004708CF"/>
    <w:rsid w:val="004708E9"/>
    <w:rsid w:val="004708FE"/>
    <w:rsid w:val="00470911"/>
    <w:rsid w:val="00470927"/>
    <w:rsid w:val="00470928"/>
    <w:rsid w:val="0047096E"/>
    <w:rsid w:val="00470979"/>
    <w:rsid w:val="004709A5"/>
    <w:rsid w:val="004709AE"/>
    <w:rsid w:val="00470A40"/>
    <w:rsid w:val="00470A81"/>
    <w:rsid w:val="00470A95"/>
    <w:rsid w:val="00470A9D"/>
    <w:rsid w:val="00470AE8"/>
    <w:rsid w:val="00470AF5"/>
    <w:rsid w:val="00470AF9"/>
    <w:rsid w:val="00470AFC"/>
    <w:rsid w:val="00470B3F"/>
    <w:rsid w:val="00470BA2"/>
    <w:rsid w:val="00470BAB"/>
    <w:rsid w:val="00470BD5"/>
    <w:rsid w:val="00470BDE"/>
    <w:rsid w:val="00470BF3"/>
    <w:rsid w:val="00470C13"/>
    <w:rsid w:val="00470C62"/>
    <w:rsid w:val="00470C87"/>
    <w:rsid w:val="00470CAF"/>
    <w:rsid w:val="00470CD4"/>
    <w:rsid w:val="00470D2C"/>
    <w:rsid w:val="00470D4F"/>
    <w:rsid w:val="00470D56"/>
    <w:rsid w:val="00470D83"/>
    <w:rsid w:val="00470D92"/>
    <w:rsid w:val="00470DA8"/>
    <w:rsid w:val="00470DCE"/>
    <w:rsid w:val="00470E21"/>
    <w:rsid w:val="00470E48"/>
    <w:rsid w:val="00470E5D"/>
    <w:rsid w:val="00470E9F"/>
    <w:rsid w:val="00470EBF"/>
    <w:rsid w:val="00470ED3"/>
    <w:rsid w:val="00470ED5"/>
    <w:rsid w:val="00470F01"/>
    <w:rsid w:val="00470F1B"/>
    <w:rsid w:val="00470F31"/>
    <w:rsid w:val="00470F33"/>
    <w:rsid w:val="00470F42"/>
    <w:rsid w:val="00470F65"/>
    <w:rsid w:val="00470FA6"/>
    <w:rsid w:val="00470FAB"/>
    <w:rsid w:val="00470FFE"/>
    <w:rsid w:val="0047104D"/>
    <w:rsid w:val="00471063"/>
    <w:rsid w:val="004710B9"/>
    <w:rsid w:val="004710BB"/>
    <w:rsid w:val="00471127"/>
    <w:rsid w:val="00471153"/>
    <w:rsid w:val="0047116E"/>
    <w:rsid w:val="004711C1"/>
    <w:rsid w:val="004711DB"/>
    <w:rsid w:val="004711EE"/>
    <w:rsid w:val="004711FA"/>
    <w:rsid w:val="004711FC"/>
    <w:rsid w:val="004711FE"/>
    <w:rsid w:val="0047120A"/>
    <w:rsid w:val="0047120B"/>
    <w:rsid w:val="00471252"/>
    <w:rsid w:val="00471277"/>
    <w:rsid w:val="0047127D"/>
    <w:rsid w:val="004712D2"/>
    <w:rsid w:val="004712EE"/>
    <w:rsid w:val="0047134B"/>
    <w:rsid w:val="0047136D"/>
    <w:rsid w:val="0047138A"/>
    <w:rsid w:val="004713A7"/>
    <w:rsid w:val="004713D1"/>
    <w:rsid w:val="004713E1"/>
    <w:rsid w:val="0047141A"/>
    <w:rsid w:val="00471427"/>
    <w:rsid w:val="00471431"/>
    <w:rsid w:val="00471462"/>
    <w:rsid w:val="0047146B"/>
    <w:rsid w:val="00471490"/>
    <w:rsid w:val="00471498"/>
    <w:rsid w:val="004714EE"/>
    <w:rsid w:val="00471528"/>
    <w:rsid w:val="00471545"/>
    <w:rsid w:val="0047154E"/>
    <w:rsid w:val="00471582"/>
    <w:rsid w:val="004715BD"/>
    <w:rsid w:val="004715E3"/>
    <w:rsid w:val="004715ED"/>
    <w:rsid w:val="004715F6"/>
    <w:rsid w:val="00471655"/>
    <w:rsid w:val="0047165D"/>
    <w:rsid w:val="00471663"/>
    <w:rsid w:val="0047166C"/>
    <w:rsid w:val="00471677"/>
    <w:rsid w:val="0047167D"/>
    <w:rsid w:val="004716B3"/>
    <w:rsid w:val="004716E1"/>
    <w:rsid w:val="00471722"/>
    <w:rsid w:val="0047173C"/>
    <w:rsid w:val="00471758"/>
    <w:rsid w:val="00471764"/>
    <w:rsid w:val="0047179B"/>
    <w:rsid w:val="004717AE"/>
    <w:rsid w:val="004717E4"/>
    <w:rsid w:val="00471808"/>
    <w:rsid w:val="00471859"/>
    <w:rsid w:val="00471876"/>
    <w:rsid w:val="0047187D"/>
    <w:rsid w:val="004718A4"/>
    <w:rsid w:val="004718AF"/>
    <w:rsid w:val="004718D0"/>
    <w:rsid w:val="004718E0"/>
    <w:rsid w:val="004718E6"/>
    <w:rsid w:val="00471942"/>
    <w:rsid w:val="0047195E"/>
    <w:rsid w:val="00471970"/>
    <w:rsid w:val="004719C1"/>
    <w:rsid w:val="004719C9"/>
    <w:rsid w:val="004719ED"/>
    <w:rsid w:val="00471A38"/>
    <w:rsid w:val="00471A53"/>
    <w:rsid w:val="00471A95"/>
    <w:rsid w:val="00471B3E"/>
    <w:rsid w:val="00471BE1"/>
    <w:rsid w:val="00471C2B"/>
    <w:rsid w:val="00471C47"/>
    <w:rsid w:val="00471CA8"/>
    <w:rsid w:val="00471D00"/>
    <w:rsid w:val="00471D09"/>
    <w:rsid w:val="00471D41"/>
    <w:rsid w:val="00471D50"/>
    <w:rsid w:val="00471D52"/>
    <w:rsid w:val="00471D67"/>
    <w:rsid w:val="00471DBB"/>
    <w:rsid w:val="00471DBF"/>
    <w:rsid w:val="00471DC3"/>
    <w:rsid w:val="00471DCF"/>
    <w:rsid w:val="00471DE0"/>
    <w:rsid w:val="00471E12"/>
    <w:rsid w:val="00471E15"/>
    <w:rsid w:val="00471E2A"/>
    <w:rsid w:val="00471E38"/>
    <w:rsid w:val="00471E76"/>
    <w:rsid w:val="00471E8B"/>
    <w:rsid w:val="00471EFC"/>
    <w:rsid w:val="00471F27"/>
    <w:rsid w:val="00471F5C"/>
    <w:rsid w:val="00471F76"/>
    <w:rsid w:val="00471F96"/>
    <w:rsid w:val="00471FAE"/>
    <w:rsid w:val="00471FD5"/>
    <w:rsid w:val="00471FDC"/>
    <w:rsid w:val="0047200D"/>
    <w:rsid w:val="0047203E"/>
    <w:rsid w:val="0047204F"/>
    <w:rsid w:val="00472099"/>
    <w:rsid w:val="004720A8"/>
    <w:rsid w:val="004720CF"/>
    <w:rsid w:val="00472117"/>
    <w:rsid w:val="00472118"/>
    <w:rsid w:val="00472122"/>
    <w:rsid w:val="00472136"/>
    <w:rsid w:val="00472206"/>
    <w:rsid w:val="00472224"/>
    <w:rsid w:val="00472251"/>
    <w:rsid w:val="00472291"/>
    <w:rsid w:val="00472368"/>
    <w:rsid w:val="0047237E"/>
    <w:rsid w:val="00472384"/>
    <w:rsid w:val="0047239C"/>
    <w:rsid w:val="004723B0"/>
    <w:rsid w:val="004723BE"/>
    <w:rsid w:val="0047244C"/>
    <w:rsid w:val="00472472"/>
    <w:rsid w:val="0047247F"/>
    <w:rsid w:val="00472485"/>
    <w:rsid w:val="00472490"/>
    <w:rsid w:val="0047249C"/>
    <w:rsid w:val="004724C1"/>
    <w:rsid w:val="004724E1"/>
    <w:rsid w:val="0047252B"/>
    <w:rsid w:val="00472534"/>
    <w:rsid w:val="00472553"/>
    <w:rsid w:val="00472559"/>
    <w:rsid w:val="0047257D"/>
    <w:rsid w:val="0047258D"/>
    <w:rsid w:val="004725A4"/>
    <w:rsid w:val="004725C3"/>
    <w:rsid w:val="004725C6"/>
    <w:rsid w:val="0047261C"/>
    <w:rsid w:val="00472664"/>
    <w:rsid w:val="00472666"/>
    <w:rsid w:val="00472672"/>
    <w:rsid w:val="0047268F"/>
    <w:rsid w:val="004726BE"/>
    <w:rsid w:val="004726C8"/>
    <w:rsid w:val="004726CE"/>
    <w:rsid w:val="004726F4"/>
    <w:rsid w:val="004726FE"/>
    <w:rsid w:val="00472707"/>
    <w:rsid w:val="0047270B"/>
    <w:rsid w:val="00472746"/>
    <w:rsid w:val="00472798"/>
    <w:rsid w:val="004727BB"/>
    <w:rsid w:val="004727FD"/>
    <w:rsid w:val="00472832"/>
    <w:rsid w:val="0047289F"/>
    <w:rsid w:val="004728A2"/>
    <w:rsid w:val="004728A7"/>
    <w:rsid w:val="004728B1"/>
    <w:rsid w:val="00472908"/>
    <w:rsid w:val="0047290F"/>
    <w:rsid w:val="00472937"/>
    <w:rsid w:val="00472941"/>
    <w:rsid w:val="00472967"/>
    <w:rsid w:val="0047296F"/>
    <w:rsid w:val="004729F8"/>
    <w:rsid w:val="00472A03"/>
    <w:rsid w:val="00472A14"/>
    <w:rsid w:val="00472A15"/>
    <w:rsid w:val="00472A3C"/>
    <w:rsid w:val="00472A46"/>
    <w:rsid w:val="00472A55"/>
    <w:rsid w:val="00472A5D"/>
    <w:rsid w:val="00472A64"/>
    <w:rsid w:val="00472A9D"/>
    <w:rsid w:val="00472AA1"/>
    <w:rsid w:val="00472AAD"/>
    <w:rsid w:val="00472B62"/>
    <w:rsid w:val="00472B6C"/>
    <w:rsid w:val="00472BA2"/>
    <w:rsid w:val="00472BFF"/>
    <w:rsid w:val="00472CA6"/>
    <w:rsid w:val="00472D08"/>
    <w:rsid w:val="00472D16"/>
    <w:rsid w:val="00472D3B"/>
    <w:rsid w:val="00472D7C"/>
    <w:rsid w:val="00472D86"/>
    <w:rsid w:val="00472DD7"/>
    <w:rsid w:val="00472DDE"/>
    <w:rsid w:val="00472DDF"/>
    <w:rsid w:val="00472E0A"/>
    <w:rsid w:val="00472E33"/>
    <w:rsid w:val="00472E43"/>
    <w:rsid w:val="00472E64"/>
    <w:rsid w:val="00472E86"/>
    <w:rsid w:val="00472EC3"/>
    <w:rsid w:val="00472F1B"/>
    <w:rsid w:val="00472F65"/>
    <w:rsid w:val="00472F8C"/>
    <w:rsid w:val="00472FF4"/>
    <w:rsid w:val="00472FFA"/>
    <w:rsid w:val="0047300F"/>
    <w:rsid w:val="00473017"/>
    <w:rsid w:val="00473056"/>
    <w:rsid w:val="0047308D"/>
    <w:rsid w:val="0047309C"/>
    <w:rsid w:val="004730C3"/>
    <w:rsid w:val="004730CF"/>
    <w:rsid w:val="004730E3"/>
    <w:rsid w:val="00473105"/>
    <w:rsid w:val="00473176"/>
    <w:rsid w:val="00473190"/>
    <w:rsid w:val="00473193"/>
    <w:rsid w:val="004731D2"/>
    <w:rsid w:val="004731EF"/>
    <w:rsid w:val="00473227"/>
    <w:rsid w:val="0047323D"/>
    <w:rsid w:val="00473278"/>
    <w:rsid w:val="004732B9"/>
    <w:rsid w:val="00473300"/>
    <w:rsid w:val="00473310"/>
    <w:rsid w:val="00473333"/>
    <w:rsid w:val="0047335E"/>
    <w:rsid w:val="0047336B"/>
    <w:rsid w:val="00473380"/>
    <w:rsid w:val="004733BC"/>
    <w:rsid w:val="004733C2"/>
    <w:rsid w:val="004733E4"/>
    <w:rsid w:val="004733F5"/>
    <w:rsid w:val="004733FB"/>
    <w:rsid w:val="004733FE"/>
    <w:rsid w:val="0047340A"/>
    <w:rsid w:val="00473410"/>
    <w:rsid w:val="00473412"/>
    <w:rsid w:val="0047341D"/>
    <w:rsid w:val="004734E2"/>
    <w:rsid w:val="00473527"/>
    <w:rsid w:val="00473537"/>
    <w:rsid w:val="0047357F"/>
    <w:rsid w:val="00473594"/>
    <w:rsid w:val="004735A7"/>
    <w:rsid w:val="004735CB"/>
    <w:rsid w:val="004735EF"/>
    <w:rsid w:val="00473677"/>
    <w:rsid w:val="0047369A"/>
    <w:rsid w:val="0047370B"/>
    <w:rsid w:val="0047385F"/>
    <w:rsid w:val="00473867"/>
    <w:rsid w:val="00473893"/>
    <w:rsid w:val="004738F4"/>
    <w:rsid w:val="00473907"/>
    <w:rsid w:val="00473947"/>
    <w:rsid w:val="0047398B"/>
    <w:rsid w:val="00473A30"/>
    <w:rsid w:val="00473A3A"/>
    <w:rsid w:val="00473A3D"/>
    <w:rsid w:val="00473ACC"/>
    <w:rsid w:val="00473AE6"/>
    <w:rsid w:val="00473B36"/>
    <w:rsid w:val="00473B4C"/>
    <w:rsid w:val="00473BAB"/>
    <w:rsid w:val="00473BC0"/>
    <w:rsid w:val="00473BD8"/>
    <w:rsid w:val="00473BED"/>
    <w:rsid w:val="00473C60"/>
    <w:rsid w:val="00473C6C"/>
    <w:rsid w:val="00473C78"/>
    <w:rsid w:val="00473C8E"/>
    <w:rsid w:val="00473CB8"/>
    <w:rsid w:val="00473CCE"/>
    <w:rsid w:val="00473D35"/>
    <w:rsid w:val="00473D82"/>
    <w:rsid w:val="00473DA5"/>
    <w:rsid w:val="00473E31"/>
    <w:rsid w:val="00473E6C"/>
    <w:rsid w:val="00473E7C"/>
    <w:rsid w:val="00473E95"/>
    <w:rsid w:val="00473E98"/>
    <w:rsid w:val="00473EB7"/>
    <w:rsid w:val="00473EF6"/>
    <w:rsid w:val="00473F13"/>
    <w:rsid w:val="00473F48"/>
    <w:rsid w:val="00473F87"/>
    <w:rsid w:val="00473F93"/>
    <w:rsid w:val="00473FD8"/>
    <w:rsid w:val="00473FED"/>
    <w:rsid w:val="00473FFE"/>
    <w:rsid w:val="00474006"/>
    <w:rsid w:val="00474007"/>
    <w:rsid w:val="00474029"/>
    <w:rsid w:val="00474060"/>
    <w:rsid w:val="00474094"/>
    <w:rsid w:val="004740DC"/>
    <w:rsid w:val="004740E2"/>
    <w:rsid w:val="004740FC"/>
    <w:rsid w:val="00474135"/>
    <w:rsid w:val="0047415E"/>
    <w:rsid w:val="00474175"/>
    <w:rsid w:val="004741FE"/>
    <w:rsid w:val="00474204"/>
    <w:rsid w:val="0047420F"/>
    <w:rsid w:val="00474210"/>
    <w:rsid w:val="00474219"/>
    <w:rsid w:val="0047423D"/>
    <w:rsid w:val="004742B3"/>
    <w:rsid w:val="004742EF"/>
    <w:rsid w:val="00474343"/>
    <w:rsid w:val="0047435D"/>
    <w:rsid w:val="00474365"/>
    <w:rsid w:val="00474391"/>
    <w:rsid w:val="004743E5"/>
    <w:rsid w:val="004743F2"/>
    <w:rsid w:val="004743F4"/>
    <w:rsid w:val="00474425"/>
    <w:rsid w:val="00474448"/>
    <w:rsid w:val="00474462"/>
    <w:rsid w:val="00474475"/>
    <w:rsid w:val="0047447B"/>
    <w:rsid w:val="004744B6"/>
    <w:rsid w:val="004744BD"/>
    <w:rsid w:val="004744CD"/>
    <w:rsid w:val="0047451E"/>
    <w:rsid w:val="0047454A"/>
    <w:rsid w:val="0047454E"/>
    <w:rsid w:val="00474599"/>
    <w:rsid w:val="004745B1"/>
    <w:rsid w:val="004745C1"/>
    <w:rsid w:val="004745E7"/>
    <w:rsid w:val="00474640"/>
    <w:rsid w:val="00474660"/>
    <w:rsid w:val="004746D5"/>
    <w:rsid w:val="0047470A"/>
    <w:rsid w:val="00474716"/>
    <w:rsid w:val="0047471F"/>
    <w:rsid w:val="0047474C"/>
    <w:rsid w:val="00474768"/>
    <w:rsid w:val="0047477D"/>
    <w:rsid w:val="004747C0"/>
    <w:rsid w:val="004747D5"/>
    <w:rsid w:val="00474843"/>
    <w:rsid w:val="0047484D"/>
    <w:rsid w:val="00474856"/>
    <w:rsid w:val="00474881"/>
    <w:rsid w:val="00474893"/>
    <w:rsid w:val="004748CE"/>
    <w:rsid w:val="004748E4"/>
    <w:rsid w:val="00474969"/>
    <w:rsid w:val="004749D1"/>
    <w:rsid w:val="004749F3"/>
    <w:rsid w:val="00474A01"/>
    <w:rsid w:val="00474A03"/>
    <w:rsid w:val="00474A34"/>
    <w:rsid w:val="00474A70"/>
    <w:rsid w:val="00474AA7"/>
    <w:rsid w:val="00474AC8"/>
    <w:rsid w:val="00474AE5"/>
    <w:rsid w:val="00474B09"/>
    <w:rsid w:val="00474B40"/>
    <w:rsid w:val="00474B57"/>
    <w:rsid w:val="00474C30"/>
    <w:rsid w:val="00474C37"/>
    <w:rsid w:val="00474C69"/>
    <w:rsid w:val="00474C7E"/>
    <w:rsid w:val="00474C97"/>
    <w:rsid w:val="00474C99"/>
    <w:rsid w:val="00474CAC"/>
    <w:rsid w:val="00474D41"/>
    <w:rsid w:val="00474D42"/>
    <w:rsid w:val="00474D49"/>
    <w:rsid w:val="00474D68"/>
    <w:rsid w:val="00474D9B"/>
    <w:rsid w:val="00474DA3"/>
    <w:rsid w:val="00474DB4"/>
    <w:rsid w:val="00474DCD"/>
    <w:rsid w:val="00474DD5"/>
    <w:rsid w:val="00474E6D"/>
    <w:rsid w:val="00474EA5"/>
    <w:rsid w:val="00474EC4"/>
    <w:rsid w:val="00474ED7"/>
    <w:rsid w:val="00474EE3"/>
    <w:rsid w:val="00474F19"/>
    <w:rsid w:val="00474F33"/>
    <w:rsid w:val="00474F57"/>
    <w:rsid w:val="00474F5C"/>
    <w:rsid w:val="00474FA1"/>
    <w:rsid w:val="00474FA3"/>
    <w:rsid w:val="00474FAB"/>
    <w:rsid w:val="0047500D"/>
    <w:rsid w:val="00475032"/>
    <w:rsid w:val="00475082"/>
    <w:rsid w:val="004750CA"/>
    <w:rsid w:val="0047513D"/>
    <w:rsid w:val="0047516D"/>
    <w:rsid w:val="00475196"/>
    <w:rsid w:val="00475235"/>
    <w:rsid w:val="0047524E"/>
    <w:rsid w:val="0047526A"/>
    <w:rsid w:val="0047527B"/>
    <w:rsid w:val="00475322"/>
    <w:rsid w:val="00475323"/>
    <w:rsid w:val="00475329"/>
    <w:rsid w:val="00475339"/>
    <w:rsid w:val="0047536A"/>
    <w:rsid w:val="00475390"/>
    <w:rsid w:val="00475397"/>
    <w:rsid w:val="004753AD"/>
    <w:rsid w:val="004753E1"/>
    <w:rsid w:val="0047540F"/>
    <w:rsid w:val="00475427"/>
    <w:rsid w:val="00475441"/>
    <w:rsid w:val="00475446"/>
    <w:rsid w:val="00475472"/>
    <w:rsid w:val="004754FB"/>
    <w:rsid w:val="0047550D"/>
    <w:rsid w:val="00475520"/>
    <w:rsid w:val="0047553B"/>
    <w:rsid w:val="00475554"/>
    <w:rsid w:val="0047555D"/>
    <w:rsid w:val="00475568"/>
    <w:rsid w:val="004755AC"/>
    <w:rsid w:val="004755CD"/>
    <w:rsid w:val="004755D6"/>
    <w:rsid w:val="0047564B"/>
    <w:rsid w:val="004756A1"/>
    <w:rsid w:val="004756A6"/>
    <w:rsid w:val="004756BA"/>
    <w:rsid w:val="0047570E"/>
    <w:rsid w:val="0047573A"/>
    <w:rsid w:val="00475758"/>
    <w:rsid w:val="004757A7"/>
    <w:rsid w:val="004757FC"/>
    <w:rsid w:val="00475800"/>
    <w:rsid w:val="0047580F"/>
    <w:rsid w:val="00475857"/>
    <w:rsid w:val="00475865"/>
    <w:rsid w:val="0047586C"/>
    <w:rsid w:val="0047589D"/>
    <w:rsid w:val="004758B0"/>
    <w:rsid w:val="004758C1"/>
    <w:rsid w:val="004758EC"/>
    <w:rsid w:val="00475A09"/>
    <w:rsid w:val="00475A47"/>
    <w:rsid w:val="00475ABD"/>
    <w:rsid w:val="00475AC0"/>
    <w:rsid w:val="00475AC7"/>
    <w:rsid w:val="00475AE2"/>
    <w:rsid w:val="00475AEE"/>
    <w:rsid w:val="00475AEF"/>
    <w:rsid w:val="00475B4F"/>
    <w:rsid w:val="00475B71"/>
    <w:rsid w:val="00475BE9"/>
    <w:rsid w:val="00475BFB"/>
    <w:rsid w:val="00475C2D"/>
    <w:rsid w:val="00475C82"/>
    <w:rsid w:val="00475C9D"/>
    <w:rsid w:val="00475CBC"/>
    <w:rsid w:val="00475CDB"/>
    <w:rsid w:val="00475D09"/>
    <w:rsid w:val="00475D2F"/>
    <w:rsid w:val="00475D50"/>
    <w:rsid w:val="00475D52"/>
    <w:rsid w:val="00475D5F"/>
    <w:rsid w:val="00475D6C"/>
    <w:rsid w:val="00475D81"/>
    <w:rsid w:val="00475D87"/>
    <w:rsid w:val="00475D8B"/>
    <w:rsid w:val="00475D8F"/>
    <w:rsid w:val="00475DCA"/>
    <w:rsid w:val="00475E46"/>
    <w:rsid w:val="00475EC3"/>
    <w:rsid w:val="00475ECE"/>
    <w:rsid w:val="00475EEF"/>
    <w:rsid w:val="00475F01"/>
    <w:rsid w:val="00475F24"/>
    <w:rsid w:val="00475FB7"/>
    <w:rsid w:val="00475FC6"/>
    <w:rsid w:val="00475FC7"/>
    <w:rsid w:val="00476032"/>
    <w:rsid w:val="00476071"/>
    <w:rsid w:val="00476084"/>
    <w:rsid w:val="0047611B"/>
    <w:rsid w:val="0047612A"/>
    <w:rsid w:val="0047612D"/>
    <w:rsid w:val="00476150"/>
    <w:rsid w:val="00476171"/>
    <w:rsid w:val="004761A0"/>
    <w:rsid w:val="004761AB"/>
    <w:rsid w:val="004761AF"/>
    <w:rsid w:val="0047621C"/>
    <w:rsid w:val="0047622C"/>
    <w:rsid w:val="0047626A"/>
    <w:rsid w:val="0047626C"/>
    <w:rsid w:val="0047626E"/>
    <w:rsid w:val="00476285"/>
    <w:rsid w:val="004762A8"/>
    <w:rsid w:val="004762D2"/>
    <w:rsid w:val="00476381"/>
    <w:rsid w:val="0047639D"/>
    <w:rsid w:val="004763A7"/>
    <w:rsid w:val="00476439"/>
    <w:rsid w:val="00476442"/>
    <w:rsid w:val="0047645B"/>
    <w:rsid w:val="004764BE"/>
    <w:rsid w:val="00476504"/>
    <w:rsid w:val="00476524"/>
    <w:rsid w:val="0047652E"/>
    <w:rsid w:val="0047655C"/>
    <w:rsid w:val="00476568"/>
    <w:rsid w:val="004765E9"/>
    <w:rsid w:val="0047663C"/>
    <w:rsid w:val="00476664"/>
    <w:rsid w:val="0047669A"/>
    <w:rsid w:val="004766AB"/>
    <w:rsid w:val="004766D1"/>
    <w:rsid w:val="004766E9"/>
    <w:rsid w:val="0047674C"/>
    <w:rsid w:val="00476770"/>
    <w:rsid w:val="0047677A"/>
    <w:rsid w:val="00476790"/>
    <w:rsid w:val="004767AE"/>
    <w:rsid w:val="004767B9"/>
    <w:rsid w:val="004767E7"/>
    <w:rsid w:val="00476811"/>
    <w:rsid w:val="00476818"/>
    <w:rsid w:val="00476833"/>
    <w:rsid w:val="0047685B"/>
    <w:rsid w:val="00476889"/>
    <w:rsid w:val="004768B5"/>
    <w:rsid w:val="004768C7"/>
    <w:rsid w:val="004768FC"/>
    <w:rsid w:val="00476933"/>
    <w:rsid w:val="00476999"/>
    <w:rsid w:val="004769BE"/>
    <w:rsid w:val="004769D3"/>
    <w:rsid w:val="004769FF"/>
    <w:rsid w:val="00476A00"/>
    <w:rsid w:val="00476A07"/>
    <w:rsid w:val="00476A1B"/>
    <w:rsid w:val="00476AB9"/>
    <w:rsid w:val="00476AC9"/>
    <w:rsid w:val="00476ACB"/>
    <w:rsid w:val="00476B10"/>
    <w:rsid w:val="00476B2C"/>
    <w:rsid w:val="00476B33"/>
    <w:rsid w:val="00476B6B"/>
    <w:rsid w:val="00476B76"/>
    <w:rsid w:val="00476B7F"/>
    <w:rsid w:val="00476BA8"/>
    <w:rsid w:val="00476BCD"/>
    <w:rsid w:val="00476BE8"/>
    <w:rsid w:val="00476C1D"/>
    <w:rsid w:val="00476C3E"/>
    <w:rsid w:val="00476D8F"/>
    <w:rsid w:val="00476D92"/>
    <w:rsid w:val="00476DA1"/>
    <w:rsid w:val="00476E15"/>
    <w:rsid w:val="00476E8A"/>
    <w:rsid w:val="00476EB1"/>
    <w:rsid w:val="00476EBE"/>
    <w:rsid w:val="00476EC7"/>
    <w:rsid w:val="00476ECD"/>
    <w:rsid w:val="00476F31"/>
    <w:rsid w:val="00476F55"/>
    <w:rsid w:val="00476F73"/>
    <w:rsid w:val="004770A0"/>
    <w:rsid w:val="004770A2"/>
    <w:rsid w:val="004770B0"/>
    <w:rsid w:val="004770B8"/>
    <w:rsid w:val="0047710E"/>
    <w:rsid w:val="0047711F"/>
    <w:rsid w:val="0047712B"/>
    <w:rsid w:val="00477176"/>
    <w:rsid w:val="00477180"/>
    <w:rsid w:val="004771C6"/>
    <w:rsid w:val="00477239"/>
    <w:rsid w:val="00477253"/>
    <w:rsid w:val="00477259"/>
    <w:rsid w:val="0047727D"/>
    <w:rsid w:val="004772AA"/>
    <w:rsid w:val="004772D2"/>
    <w:rsid w:val="004772F6"/>
    <w:rsid w:val="004772F8"/>
    <w:rsid w:val="00477322"/>
    <w:rsid w:val="0047735A"/>
    <w:rsid w:val="004773A5"/>
    <w:rsid w:val="004773AB"/>
    <w:rsid w:val="00477402"/>
    <w:rsid w:val="00477425"/>
    <w:rsid w:val="00477429"/>
    <w:rsid w:val="004774BC"/>
    <w:rsid w:val="004774F1"/>
    <w:rsid w:val="0047756D"/>
    <w:rsid w:val="0047759B"/>
    <w:rsid w:val="004775B9"/>
    <w:rsid w:val="004775CF"/>
    <w:rsid w:val="004775DF"/>
    <w:rsid w:val="004775E6"/>
    <w:rsid w:val="004775FC"/>
    <w:rsid w:val="00477616"/>
    <w:rsid w:val="00477635"/>
    <w:rsid w:val="0047765D"/>
    <w:rsid w:val="004776AC"/>
    <w:rsid w:val="004776BD"/>
    <w:rsid w:val="004776DB"/>
    <w:rsid w:val="004776EB"/>
    <w:rsid w:val="00477701"/>
    <w:rsid w:val="00477718"/>
    <w:rsid w:val="00477729"/>
    <w:rsid w:val="004777B6"/>
    <w:rsid w:val="004777D4"/>
    <w:rsid w:val="004777D8"/>
    <w:rsid w:val="0047786D"/>
    <w:rsid w:val="004778E2"/>
    <w:rsid w:val="004778F4"/>
    <w:rsid w:val="00477932"/>
    <w:rsid w:val="00477934"/>
    <w:rsid w:val="00477947"/>
    <w:rsid w:val="00477953"/>
    <w:rsid w:val="004779F6"/>
    <w:rsid w:val="00477A6A"/>
    <w:rsid w:val="00477AD1"/>
    <w:rsid w:val="00477B0B"/>
    <w:rsid w:val="00477B0F"/>
    <w:rsid w:val="00477B2E"/>
    <w:rsid w:val="00477B5C"/>
    <w:rsid w:val="00477B76"/>
    <w:rsid w:val="00477BFB"/>
    <w:rsid w:val="00477C3A"/>
    <w:rsid w:val="00477C93"/>
    <w:rsid w:val="00477C9A"/>
    <w:rsid w:val="00477C9E"/>
    <w:rsid w:val="00477CE0"/>
    <w:rsid w:val="00477CFF"/>
    <w:rsid w:val="00477D09"/>
    <w:rsid w:val="00477D3F"/>
    <w:rsid w:val="00477D48"/>
    <w:rsid w:val="00477D49"/>
    <w:rsid w:val="00477D70"/>
    <w:rsid w:val="00477D72"/>
    <w:rsid w:val="00477D95"/>
    <w:rsid w:val="00477DDF"/>
    <w:rsid w:val="00477E32"/>
    <w:rsid w:val="00477E42"/>
    <w:rsid w:val="00477E57"/>
    <w:rsid w:val="00477E7A"/>
    <w:rsid w:val="00477EE2"/>
    <w:rsid w:val="00477F1B"/>
    <w:rsid w:val="00477F71"/>
    <w:rsid w:val="00477F79"/>
    <w:rsid w:val="00480009"/>
    <w:rsid w:val="0048000A"/>
    <w:rsid w:val="00480025"/>
    <w:rsid w:val="00480042"/>
    <w:rsid w:val="00480045"/>
    <w:rsid w:val="004800A7"/>
    <w:rsid w:val="004800B0"/>
    <w:rsid w:val="0048013C"/>
    <w:rsid w:val="00480152"/>
    <w:rsid w:val="00480163"/>
    <w:rsid w:val="0048017F"/>
    <w:rsid w:val="00480187"/>
    <w:rsid w:val="004801F6"/>
    <w:rsid w:val="00480226"/>
    <w:rsid w:val="00480262"/>
    <w:rsid w:val="00480266"/>
    <w:rsid w:val="00480298"/>
    <w:rsid w:val="004802A9"/>
    <w:rsid w:val="004802E9"/>
    <w:rsid w:val="00480306"/>
    <w:rsid w:val="0048031A"/>
    <w:rsid w:val="00480332"/>
    <w:rsid w:val="0048035E"/>
    <w:rsid w:val="0048036A"/>
    <w:rsid w:val="004803E3"/>
    <w:rsid w:val="0048044F"/>
    <w:rsid w:val="004804CC"/>
    <w:rsid w:val="004804E6"/>
    <w:rsid w:val="0048053E"/>
    <w:rsid w:val="00480552"/>
    <w:rsid w:val="004805BB"/>
    <w:rsid w:val="004805E4"/>
    <w:rsid w:val="0048060D"/>
    <w:rsid w:val="00480625"/>
    <w:rsid w:val="00480645"/>
    <w:rsid w:val="0048069F"/>
    <w:rsid w:val="004806F7"/>
    <w:rsid w:val="004806F8"/>
    <w:rsid w:val="00480729"/>
    <w:rsid w:val="0048073E"/>
    <w:rsid w:val="00480762"/>
    <w:rsid w:val="004807D8"/>
    <w:rsid w:val="004807ED"/>
    <w:rsid w:val="004808C2"/>
    <w:rsid w:val="004808EB"/>
    <w:rsid w:val="00480928"/>
    <w:rsid w:val="0048094F"/>
    <w:rsid w:val="004809B5"/>
    <w:rsid w:val="004809C2"/>
    <w:rsid w:val="004809D1"/>
    <w:rsid w:val="00480A04"/>
    <w:rsid w:val="00480A66"/>
    <w:rsid w:val="00480A8D"/>
    <w:rsid w:val="00480AB8"/>
    <w:rsid w:val="00480BB9"/>
    <w:rsid w:val="00480BD3"/>
    <w:rsid w:val="00480BEA"/>
    <w:rsid w:val="00480C03"/>
    <w:rsid w:val="00480C39"/>
    <w:rsid w:val="00480C74"/>
    <w:rsid w:val="00480C80"/>
    <w:rsid w:val="00480CA1"/>
    <w:rsid w:val="00480CC6"/>
    <w:rsid w:val="00480CE4"/>
    <w:rsid w:val="00480CF7"/>
    <w:rsid w:val="00480D02"/>
    <w:rsid w:val="00480D2C"/>
    <w:rsid w:val="00480D30"/>
    <w:rsid w:val="00480D5A"/>
    <w:rsid w:val="00480D9D"/>
    <w:rsid w:val="00480DB1"/>
    <w:rsid w:val="00480E32"/>
    <w:rsid w:val="00480F07"/>
    <w:rsid w:val="00480F5A"/>
    <w:rsid w:val="00480F66"/>
    <w:rsid w:val="00480F68"/>
    <w:rsid w:val="00480F9A"/>
    <w:rsid w:val="00480FD1"/>
    <w:rsid w:val="00480FDD"/>
    <w:rsid w:val="0048105A"/>
    <w:rsid w:val="00481061"/>
    <w:rsid w:val="00481097"/>
    <w:rsid w:val="004810A8"/>
    <w:rsid w:val="004810D8"/>
    <w:rsid w:val="004810E3"/>
    <w:rsid w:val="00481131"/>
    <w:rsid w:val="00481176"/>
    <w:rsid w:val="004811A7"/>
    <w:rsid w:val="004811F9"/>
    <w:rsid w:val="00481210"/>
    <w:rsid w:val="00481253"/>
    <w:rsid w:val="0048126E"/>
    <w:rsid w:val="00481273"/>
    <w:rsid w:val="0048128C"/>
    <w:rsid w:val="004812D8"/>
    <w:rsid w:val="0048130C"/>
    <w:rsid w:val="00481356"/>
    <w:rsid w:val="004813E0"/>
    <w:rsid w:val="004813F7"/>
    <w:rsid w:val="00481407"/>
    <w:rsid w:val="0048142D"/>
    <w:rsid w:val="00481438"/>
    <w:rsid w:val="004814B8"/>
    <w:rsid w:val="004814CF"/>
    <w:rsid w:val="004814D3"/>
    <w:rsid w:val="004814F8"/>
    <w:rsid w:val="004815DA"/>
    <w:rsid w:val="004815E4"/>
    <w:rsid w:val="0048160C"/>
    <w:rsid w:val="00481612"/>
    <w:rsid w:val="0048163F"/>
    <w:rsid w:val="00481676"/>
    <w:rsid w:val="004816FA"/>
    <w:rsid w:val="00481727"/>
    <w:rsid w:val="00481728"/>
    <w:rsid w:val="0048174F"/>
    <w:rsid w:val="00481770"/>
    <w:rsid w:val="004817A3"/>
    <w:rsid w:val="004817A6"/>
    <w:rsid w:val="004817D7"/>
    <w:rsid w:val="004817F0"/>
    <w:rsid w:val="00481809"/>
    <w:rsid w:val="00481843"/>
    <w:rsid w:val="00481871"/>
    <w:rsid w:val="00481892"/>
    <w:rsid w:val="004818AF"/>
    <w:rsid w:val="004818B8"/>
    <w:rsid w:val="004818F9"/>
    <w:rsid w:val="0048197D"/>
    <w:rsid w:val="0048199E"/>
    <w:rsid w:val="004819DD"/>
    <w:rsid w:val="004819FD"/>
    <w:rsid w:val="00481A21"/>
    <w:rsid w:val="00481AEC"/>
    <w:rsid w:val="00481B0D"/>
    <w:rsid w:val="00481B11"/>
    <w:rsid w:val="00481B33"/>
    <w:rsid w:val="00481B57"/>
    <w:rsid w:val="00481B5E"/>
    <w:rsid w:val="00481B98"/>
    <w:rsid w:val="00481BC6"/>
    <w:rsid w:val="00481BEC"/>
    <w:rsid w:val="00481C01"/>
    <w:rsid w:val="00481C30"/>
    <w:rsid w:val="00481C41"/>
    <w:rsid w:val="00481C84"/>
    <w:rsid w:val="00481C95"/>
    <w:rsid w:val="00481CAD"/>
    <w:rsid w:val="00481CAF"/>
    <w:rsid w:val="00481CCC"/>
    <w:rsid w:val="00481CFA"/>
    <w:rsid w:val="00481D0A"/>
    <w:rsid w:val="00481D28"/>
    <w:rsid w:val="00481DA4"/>
    <w:rsid w:val="00481DA6"/>
    <w:rsid w:val="00481E4B"/>
    <w:rsid w:val="00481E81"/>
    <w:rsid w:val="00481EA9"/>
    <w:rsid w:val="00481EB2"/>
    <w:rsid w:val="00481EE2"/>
    <w:rsid w:val="00481F05"/>
    <w:rsid w:val="00481F1B"/>
    <w:rsid w:val="00481F56"/>
    <w:rsid w:val="00481F67"/>
    <w:rsid w:val="00481FC1"/>
    <w:rsid w:val="00481FC6"/>
    <w:rsid w:val="00481FCF"/>
    <w:rsid w:val="00482006"/>
    <w:rsid w:val="00482089"/>
    <w:rsid w:val="004820AB"/>
    <w:rsid w:val="004820B8"/>
    <w:rsid w:val="004820BD"/>
    <w:rsid w:val="004820D2"/>
    <w:rsid w:val="00482113"/>
    <w:rsid w:val="00482127"/>
    <w:rsid w:val="004821A5"/>
    <w:rsid w:val="004821CF"/>
    <w:rsid w:val="004821D0"/>
    <w:rsid w:val="004821F0"/>
    <w:rsid w:val="00482250"/>
    <w:rsid w:val="00482288"/>
    <w:rsid w:val="00482353"/>
    <w:rsid w:val="004823CF"/>
    <w:rsid w:val="00482457"/>
    <w:rsid w:val="004824A1"/>
    <w:rsid w:val="004824D8"/>
    <w:rsid w:val="00482526"/>
    <w:rsid w:val="00482527"/>
    <w:rsid w:val="00482538"/>
    <w:rsid w:val="004825AC"/>
    <w:rsid w:val="004825D9"/>
    <w:rsid w:val="004825ED"/>
    <w:rsid w:val="0048263F"/>
    <w:rsid w:val="00482642"/>
    <w:rsid w:val="00482654"/>
    <w:rsid w:val="00482697"/>
    <w:rsid w:val="0048269B"/>
    <w:rsid w:val="0048276E"/>
    <w:rsid w:val="00482787"/>
    <w:rsid w:val="0048279C"/>
    <w:rsid w:val="004827A0"/>
    <w:rsid w:val="004827D7"/>
    <w:rsid w:val="004827EE"/>
    <w:rsid w:val="004827F6"/>
    <w:rsid w:val="00482854"/>
    <w:rsid w:val="00482871"/>
    <w:rsid w:val="004828FE"/>
    <w:rsid w:val="00482901"/>
    <w:rsid w:val="0048290D"/>
    <w:rsid w:val="00482944"/>
    <w:rsid w:val="00482945"/>
    <w:rsid w:val="00482963"/>
    <w:rsid w:val="0048298E"/>
    <w:rsid w:val="004829D6"/>
    <w:rsid w:val="004829F4"/>
    <w:rsid w:val="00482A5A"/>
    <w:rsid w:val="00482A75"/>
    <w:rsid w:val="00482A77"/>
    <w:rsid w:val="00482A78"/>
    <w:rsid w:val="00482A79"/>
    <w:rsid w:val="00482A7B"/>
    <w:rsid w:val="00482A8A"/>
    <w:rsid w:val="00482A8F"/>
    <w:rsid w:val="00482AD5"/>
    <w:rsid w:val="00482B84"/>
    <w:rsid w:val="00482B8E"/>
    <w:rsid w:val="00482BAC"/>
    <w:rsid w:val="00482BD1"/>
    <w:rsid w:val="00482BDC"/>
    <w:rsid w:val="00482BE8"/>
    <w:rsid w:val="00482C1F"/>
    <w:rsid w:val="00482C8E"/>
    <w:rsid w:val="00482C9C"/>
    <w:rsid w:val="00482CF6"/>
    <w:rsid w:val="00482D59"/>
    <w:rsid w:val="00482D6C"/>
    <w:rsid w:val="00482DB4"/>
    <w:rsid w:val="00482DEE"/>
    <w:rsid w:val="00482E07"/>
    <w:rsid w:val="00482E26"/>
    <w:rsid w:val="00482E50"/>
    <w:rsid w:val="00482E69"/>
    <w:rsid w:val="00482E99"/>
    <w:rsid w:val="00482ED1"/>
    <w:rsid w:val="00482F32"/>
    <w:rsid w:val="00482F59"/>
    <w:rsid w:val="00482F70"/>
    <w:rsid w:val="00482F79"/>
    <w:rsid w:val="004830C3"/>
    <w:rsid w:val="004830CA"/>
    <w:rsid w:val="004830CB"/>
    <w:rsid w:val="004830E7"/>
    <w:rsid w:val="004830ED"/>
    <w:rsid w:val="00483158"/>
    <w:rsid w:val="004831F3"/>
    <w:rsid w:val="00483217"/>
    <w:rsid w:val="00483282"/>
    <w:rsid w:val="004832C2"/>
    <w:rsid w:val="004832EE"/>
    <w:rsid w:val="00483313"/>
    <w:rsid w:val="00483340"/>
    <w:rsid w:val="00483387"/>
    <w:rsid w:val="0048339F"/>
    <w:rsid w:val="004833A0"/>
    <w:rsid w:val="004833C8"/>
    <w:rsid w:val="004833DB"/>
    <w:rsid w:val="004833E8"/>
    <w:rsid w:val="004833EB"/>
    <w:rsid w:val="004833F7"/>
    <w:rsid w:val="004833F9"/>
    <w:rsid w:val="00483440"/>
    <w:rsid w:val="00483533"/>
    <w:rsid w:val="00483548"/>
    <w:rsid w:val="00483559"/>
    <w:rsid w:val="004835EE"/>
    <w:rsid w:val="004835F9"/>
    <w:rsid w:val="00483629"/>
    <w:rsid w:val="00483653"/>
    <w:rsid w:val="00483681"/>
    <w:rsid w:val="00483685"/>
    <w:rsid w:val="004836B9"/>
    <w:rsid w:val="004836EC"/>
    <w:rsid w:val="004836ED"/>
    <w:rsid w:val="0048370B"/>
    <w:rsid w:val="00483744"/>
    <w:rsid w:val="00483762"/>
    <w:rsid w:val="004837F3"/>
    <w:rsid w:val="004837FA"/>
    <w:rsid w:val="0048380B"/>
    <w:rsid w:val="00483838"/>
    <w:rsid w:val="0048388C"/>
    <w:rsid w:val="004838F0"/>
    <w:rsid w:val="0048391B"/>
    <w:rsid w:val="00483969"/>
    <w:rsid w:val="004839C7"/>
    <w:rsid w:val="004839E3"/>
    <w:rsid w:val="004839F1"/>
    <w:rsid w:val="00483A68"/>
    <w:rsid w:val="00483AA5"/>
    <w:rsid w:val="00483AA8"/>
    <w:rsid w:val="00483AB1"/>
    <w:rsid w:val="00483ABA"/>
    <w:rsid w:val="00483B06"/>
    <w:rsid w:val="00483B1B"/>
    <w:rsid w:val="00483B3E"/>
    <w:rsid w:val="00483B49"/>
    <w:rsid w:val="00483B56"/>
    <w:rsid w:val="00483BC5"/>
    <w:rsid w:val="00483BEA"/>
    <w:rsid w:val="00483C2D"/>
    <w:rsid w:val="00483CAB"/>
    <w:rsid w:val="00483CB5"/>
    <w:rsid w:val="00483CEA"/>
    <w:rsid w:val="00483D2A"/>
    <w:rsid w:val="00483D6C"/>
    <w:rsid w:val="00483D84"/>
    <w:rsid w:val="00483DB1"/>
    <w:rsid w:val="00483DB8"/>
    <w:rsid w:val="00483DBC"/>
    <w:rsid w:val="00483DF4"/>
    <w:rsid w:val="00483E12"/>
    <w:rsid w:val="00483E56"/>
    <w:rsid w:val="00483EBB"/>
    <w:rsid w:val="00483EC3"/>
    <w:rsid w:val="00483ECF"/>
    <w:rsid w:val="00483F0F"/>
    <w:rsid w:val="00483F1D"/>
    <w:rsid w:val="00483F46"/>
    <w:rsid w:val="00483F76"/>
    <w:rsid w:val="00483FC4"/>
    <w:rsid w:val="00483FEE"/>
    <w:rsid w:val="00484038"/>
    <w:rsid w:val="00484055"/>
    <w:rsid w:val="0048405B"/>
    <w:rsid w:val="00484062"/>
    <w:rsid w:val="00484063"/>
    <w:rsid w:val="00484080"/>
    <w:rsid w:val="004840A5"/>
    <w:rsid w:val="004840B7"/>
    <w:rsid w:val="004840C3"/>
    <w:rsid w:val="00484123"/>
    <w:rsid w:val="0048412E"/>
    <w:rsid w:val="00484191"/>
    <w:rsid w:val="00484218"/>
    <w:rsid w:val="00484253"/>
    <w:rsid w:val="00484260"/>
    <w:rsid w:val="004842A4"/>
    <w:rsid w:val="004842B8"/>
    <w:rsid w:val="004842F7"/>
    <w:rsid w:val="00484303"/>
    <w:rsid w:val="00484329"/>
    <w:rsid w:val="00484392"/>
    <w:rsid w:val="004843CC"/>
    <w:rsid w:val="004843D5"/>
    <w:rsid w:val="004843E2"/>
    <w:rsid w:val="00484431"/>
    <w:rsid w:val="0048443A"/>
    <w:rsid w:val="004844A8"/>
    <w:rsid w:val="004844D0"/>
    <w:rsid w:val="0048455B"/>
    <w:rsid w:val="0048455C"/>
    <w:rsid w:val="004845A1"/>
    <w:rsid w:val="004845B0"/>
    <w:rsid w:val="004845E2"/>
    <w:rsid w:val="00484618"/>
    <w:rsid w:val="00484629"/>
    <w:rsid w:val="0048463C"/>
    <w:rsid w:val="00484653"/>
    <w:rsid w:val="00484655"/>
    <w:rsid w:val="004846D3"/>
    <w:rsid w:val="0048470D"/>
    <w:rsid w:val="004847AA"/>
    <w:rsid w:val="004847E2"/>
    <w:rsid w:val="00484843"/>
    <w:rsid w:val="00484989"/>
    <w:rsid w:val="004849DB"/>
    <w:rsid w:val="00484A1A"/>
    <w:rsid w:val="00484A1E"/>
    <w:rsid w:val="00484A34"/>
    <w:rsid w:val="00484A5E"/>
    <w:rsid w:val="00484A5F"/>
    <w:rsid w:val="00484A85"/>
    <w:rsid w:val="00484A9E"/>
    <w:rsid w:val="00484AD8"/>
    <w:rsid w:val="00484AE4"/>
    <w:rsid w:val="00484AFB"/>
    <w:rsid w:val="00484B0A"/>
    <w:rsid w:val="00484B0B"/>
    <w:rsid w:val="00484B17"/>
    <w:rsid w:val="00484B32"/>
    <w:rsid w:val="00484B78"/>
    <w:rsid w:val="00484BAC"/>
    <w:rsid w:val="00484BAD"/>
    <w:rsid w:val="00484BB0"/>
    <w:rsid w:val="00484BB5"/>
    <w:rsid w:val="00484BC5"/>
    <w:rsid w:val="00484C28"/>
    <w:rsid w:val="00484C5E"/>
    <w:rsid w:val="00484CEF"/>
    <w:rsid w:val="00484D2D"/>
    <w:rsid w:val="00484D72"/>
    <w:rsid w:val="00484DA0"/>
    <w:rsid w:val="00484DB0"/>
    <w:rsid w:val="00484DB2"/>
    <w:rsid w:val="00484DC6"/>
    <w:rsid w:val="00484DE2"/>
    <w:rsid w:val="00484E05"/>
    <w:rsid w:val="00484E14"/>
    <w:rsid w:val="00484E5A"/>
    <w:rsid w:val="00484E6E"/>
    <w:rsid w:val="00484EC3"/>
    <w:rsid w:val="00484ED5"/>
    <w:rsid w:val="00484F15"/>
    <w:rsid w:val="00484F3B"/>
    <w:rsid w:val="00484F5F"/>
    <w:rsid w:val="00484F81"/>
    <w:rsid w:val="00484FDE"/>
    <w:rsid w:val="00484FE6"/>
    <w:rsid w:val="0048501A"/>
    <w:rsid w:val="00485068"/>
    <w:rsid w:val="00485069"/>
    <w:rsid w:val="00485150"/>
    <w:rsid w:val="004851B7"/>
    <w:rsid w:val="004851BC"/>
    <w:rsid w:val="004851BD"/>
    <w:rsid w:val="004851FA"/>
    <w:rsid w:val="00485213"/>
    <w:rsid w:val="00485278"/>
    <w:rsid w:val="00485285"/>
    <w:rsid w:val="0048534D"/>
    <w:rsid w:val="00485376"/>
    <w:rsid w:val="0048539F"/>
    <w:rsid w:val="00485401"/>
    <w:rsid w:val="0048542B"/>
    <w:rsid w:val="0048543C"/>
    <w:rsid w:val="00485451"/>
    <w:rsid w:val="00485488"/>
    <w:rsid w:val="00485550"/>
    <w:rsid w:val="0048555B"/>
    <w:rsid w:val="00485579"/>
    <w:rsid w:val="004855DC"/>
    <w:rsid w:val="00485622"/>
    <w:rsid w:val="00485645"/>
    <w:rsid w:val="0048565D"/>
    <w:rsid w:val="0048575B"/>
    <w:rsid w:val="0048577A"/>
    <w:rsid w:val="0048578F"/>
    <w:rsid w:val="004857D3"/>
    <w:rsid w:val="004857DF"/>
    <w:rsid w:val="0048580A"/>
    <w:rsid w:val="00485850"/>
    <w:rsid w:val="00485864"/>
    <w:rsid w:val="00485876"/>
    <w:rsid w:val="0048587E"/>
    <w:rsid w:val="004858DC"/>
    <w:rsid w:val="0048590C"/>
    <w:rsid w:val="00485937"/>
    <w:rsid w:val="00485965"/>
    <w:rsid w:val="0048598A"/>
    <w:rsid w:val="0048599F"/>
    <w:rsid w:val="004859B0"/>
    <w:rsid w:val="004859D8"/>
    <w:rsid w:val="004859D9"/>
    <w:rsid w:val="004859EE"/>
    <w:rsid w:val="004859F4"/>
    <w:rsid w:val="004859FD"/>
    <w:rsid w:val="00485A1C"/>
    <w:rsid w:val="00485A37"/>
    <w:rsid w:val="00485A63"/>
    <w:rsid w:val="00485AD1"/>
    <w:rsid w:val="00485B27"/>
    <w:rsid w:val="00485BBD"/>
    <w:rsid w:val="00485BD2"/>
    <w:rsid w:val="00485BDF"/>
    <w:rsid w:val="00485C01"/>
    <w:rsid w:val="00485C10"/>
    <w:rsid w:val="00485C9D"/>
    <w:rsid w:val="00485CA0"/>
    <w:rsid w:val="00485CB4"/>
    <w:rsid w:val="00485D29"/>
    <w:rsid w:val="00485D3A"/>
    <w:rsid w:val="00485D84"/>
    <w:rsid w:val="00485D99"/>
    <w:rsid w:val="00485DB4"/>
    <w:rsid w:val="00485DDD"/>
    <w:rsid w:val="00485E00"/>
    <w:rsid w:val="00485E2C"/>
    <w:rsid w:val="00485E68"/>
    <w:rsid w:val="00485E9E"/>
    <w:rsid w:val="00485EAF"/>
    <w:rsid w:val="00485EC3"/>
    <w:rsid w:val="00485F1C"/>
    <w:rsid w:val="0048600B"/>
    <w:rsid w:val="0048603D"/>
    <w:rsid w:val="00486063"/>
    <w:rsid w:val="00486075"/>
    <w:rsid w:val="00486082"/>
    <w:rsid w:val="004860A6"/>
    <w:rsid w:val="004860BD"/>
    <w:rsid w:val="004860E5"/>
    <w:rsid w:val="004860EE"/>
    <w:rsid w:val="0048611A"/>
    <w:rsid w:val="00486120"/>
    <w:rsid w:val="00486134"/>
    <w:rsid w:val="00486147"/>
    <w:rsid w:val="0048619C"/>
    <w:rsid w:val="004861B3"/>
    <w:rsid w:val="004861BE"/>
    <w:rsid w:val="004861CA"/>
    <w:rsid w:val="0048620C"/>
    <w:rsid w:val="0048624A"/>
    <w:rsid w:val="004862B2"/>
    <w:rsid w:val="004862F7"/>
    <w:rsid w:val="00486315"/>
    <w:rsid w:val="00486330"/>
    <w:rsid w:val="0048635A"/>
    <w:rsid w:val="004863DC"/>
    <w:rsid w:val="0048642B"/>
    <w:rsid w:val="004864A2"/>
    <w:rsid w:val="004864AF"/>
    <w:rsid w:val="004864B4"/>
    <w:rsid w:val="004864BD"/>
    <w:rsid w:val="00486507"/>
    <w:rsid w:val="0048650A"/>
    <w:rsid w:val="004865BE"/>
    <w:rsid w:val="00486650"/>
    <w:rsid w:val="00486673"/>
    <w:rsid w:val="00486694"/>
    <w:rsid w:val="0048669D"/>
    <w:rsid w:val="004866BF"/>
    <w:rsid w:val="004867F0"/>
    <w:rsid w:val="00486849"/>
    <w:rsid w:val="00486852"/>
    <w:rsid w:val="00486859"/>
    <w:rsid w:val="0048687F"/>
    <w:rsid w:val="0048688C"/>
    <w:rsid w:val="00486894"/>
    <w:rsid w:val="004868A7"/>
    <w:rsid w:val="004868AE"/>
    <w:rsid w:val="004868C2"/>
    <w:rsid w:val="004868E4"/>
    <w:rsid w:val="004868F8"/>
    <w:rsid w:val="00486923"/>
    <w:rsid w:val="0048692C"/>
    <w:rsid w:val="004869DF"/>
    <w:rsid w:val="00486A43"/>
    <w:rsid w:val="00486A46"/>
    <w:rsid w:val="00486A5E"/>
    <w:rsid w:val="00486AFC"/>
    <w:rsid w:val="00486B01"/>
    <w:rsid w:val="00486B5F"/>
    <w:rsid w:val="00486B70"/>
    <w:rsid w:val="00486BFB"/>
    <w:rsid w:val="00486BFD"/>
    <w:rsid w:val="00486C50"/>
    <w:rsid w:val="00486C6D"/>
    <w:rsid w:val="00486CD6"/>
    <w:rsid w:val="00486CE4"/>
    <w:rsid w:val="00486CF6"/>
    <w:rsid w:val="00486D0F"/>
    <w:rsid w:val="00486D3C"/>
    <w:rsid w:val="00486D66"/>
    <w:rsid w:val="00486D68"/>
    <w:rsid w:val="00486D79"/>
    <w:rsid w:val="00486DAF"/>
    <w:rsid w:val="00486DC1"/>
    <w:rsid w:val="00486DC2"/>
    <w:rsid w:val="00486DE6"/>
    <w:rsid w:val="00486E13"/>
    <w:rsid w:val="00486E3C"/>
    <w:rsid w:val="00486E9D"/>
    <w:rsid w:val="00486EC8"/>
    <w:rsid w:val="00486F22"/>
    <w:rsid w:val="00486F6D"/>
    <w:rsid w:val="00486F92"/>
    <w:rsid w:val="00486FB2"/>
    <w:rsid w:val="00486FB9"/>
    <w:rsid w:val="00486FC1"/>
    <w:rsid w:val="0048705F"/>
    <w:rsid w:val="00487062"/>
    <w:rsid w:val="00487083"/>
    <w:rsid w:val="00487084"/>
    <w:rsid w:val="004870AF"/>
    <w:rsid w:val="004870BB"/>
    <w:rsid w:val="004870C6"/>
    <w:rsid w:val="0048710D"/>
    <w:rsid w:val="00487121"/>
    <w:rsid w:val="00487127"/>
    <w:rsid w:val="004871AE"/>
    <w:rsid w:val="004871C3"/>
    <w:rsid w:val="004871CD"/>
    <w:rsid w:val="0048722F"/>
    <w:rsid w:val="0048729A"/>
    <w:rsid w:val="004872C5"/>
    <w:rsid w:val="00487318"/>
    <w:rsid w:val="00487364"/>
    <w:rsid w:val="004873A0"/>
    <w:rsid w:val="004873EC"/>
    <w:rsid w:val="00487404"/>
    <w:rsid w:val="0048741C"/>
    <w:rsid w:val="00487424"/>
    <w:rsid w:val="0048745E"/>
    <w:rsid w:val="00487461"/>
    <w:rsid w:val="0048749C"/>
    <w:rsid w:val="004874AB"/>
    <w:rsid w:val="004874C4"/>
    <w:rsid w:val="004874C7"/>
    <w:rsid w:val="004874C8"/>
    <w:rsid w:val="004874C9"/>
    <w:rsid w:val="004874E6"/>
    <w:rsid w:val="00487506"/>
    <w:rsid w:val="0048755E"/>
    <w:rsid w:val="0048757E"/>
    <w:rsid w:val="004875EF"/>
    <w:rsid w:val="00487601"/>
    <w:rsid w:val="00487687"/>
    <w:rsid w:val="004876D1"/>
    <w:rsid w:val="0048771E"/>
    <w:rsid w:val="00487722"/>
    <w:rsid w:val="00487732"/>
    <w:rsid w:val="0048776D"/>
    <w:rsid w:val="00487785"/>
    <w:rsid w:val="004877C2"/>
    <w:rsid w:val="004877CF"/>
    <w:rsid w:val="004877FA"/>
    <w:rsid w:val="00487814"/>
    <w:rsid w:val="00487818"/>
    <w:rsid w:val="0048784F"/>
    <w:rsid w:val="0048785E"/>
    <w:rsid w:val="00487879"/>
    <w:rsid w:val="004878B0"/>
    <w:rsid w:val="004878C8"/>
    <w:rsid w:val="00487926"/>
    <w:rsid w:val="004879AE"/>
    <w:rsid w:val="004879D5"/>
    <w:rsid w:val="00487A18"/>
    <w:rsid w:val="00487A19"/>
    <w:rsid w:val="00487A67"/>
    <w:rsid w:val="00487A90"/>
    <w:rsid w:val="00487AB6"/>
    <w:rsid w:val="00487ABE"/>
    <w:rsid w:val="00487ABF"/>
    <w:rsid w:val="00487AD9"/>
    <w:rsid w:val="00487AEA"/>
    <w:rsid w:val="00487AEC"/>
    <w:rsid w:val="00487B6A"/>
    <w:rsid w:val="00487BC6"/>
    <w:rsid w:val="00487BFE"/>
    <w:rsid w:val="00487C06"/>
    <w:rsid w:val="00487C1A"/>
    <w:rsid w:val="00487CB4"/>
    <w:rsid w:val="00487CF7"/>
    <w:rsid w:val="00487D1F"/>
    <w:rsid w:val="00487D44"/>
    <w:rsid w:val="00487D5E"/>
    <w:rsid w:val="00487DF8"/>
    <w:rsid w:val="00487E48"/>
    <w:rsid w:val="00487EA9"/>
    <w:rsid w:val="00487EAB"/>
    <w:rsid w:val="00487EB7"/>
    <w:rsid w:val="00487ED9"/>
    <w:rsid w:val="00487EDE"/>
    <w:rsid w:val="00487F1A"/>
    <w:rsid w:val="00487F63"/>
    <w:rsid w:val="00487F99"/>
    <w:rsid w:val="00487FD3"/>
    <w:rsid w:val="00490017"/>
    <w:rsid w:val="00490052"/>
    <w:rsid w:val="004900B4"/>
    <w:rsid w:val="00490125"/>
    <w:rsid w:val="00490142"/>
    <w:rsid w:val="0049016C"/>
    <w:rsid w:val="0049018D"/>
    <w:rsid w:val="004901A2"/>
    <w:rsid w:val="004901B9"/>
    <w:rsid w:val="004901BB"/>
    <w:rsid w:val="004901F6"/>
    <w:rsid w:val="00490275"/>
    <w:rsid w:val="004902BD"/>
    <w:rsid w:val="004902D6"/>
    <w:rsid w:val="00490307"/>
    <w:rsid w:val="00490316"/>
    <w:rsid w:val="00490319"/>
    <w:rsid w:val="0049031B"/>
    <w:rsid w:val="00490351"/>
    <w:rsid w:val="0049039E"/>
    <w:rsid w:val="004903A8"/>
    <w:rsid w:val="004903AD"/>
    <w:rsid w:val="004903D4"/>
    <w:rsid w:val="00490410"/>
    <w:rsid w:val="00490447"/>
    <w:rsid w:val="004904A6"/>
    <w:rsid w:val="004904EB"/>
    <w:rsid w:val="004904F6"/>
    <w:rsid w:val="0049057D"/>
    <w:rsid w:val="0049057E"/>
    <w:rsid w:val="00490594"/>
    <w:rsid w:val="00490626"/>
    <w:rsid w:val="00490672"/>
    <w:rsid w:val="0049067E"/>
    <w:rsid w:val="00490687"/>
    <w:rsid w:val="00490730"/>
    <w:rsid w:val="00490738"/>
    <w:rsid w:val="00490771"/>
    <w:rsid w:val="00490779"/>
    <w:rsid w:val="00490789"/>
    <w:rsid w:val="004907ED"/>
    <w:rsid w:val="004908C1"/>
    <w:rsid w:val="0049092A"/>
    <w:rsid w:val="00490943"/>
    <w:rsid w:val="00490946"/>
    <w:rsid w:val="0049097F"/>
    <w:rsid w:val="0049098E"/>
    <w:rsid w:val="00490996"/>
    <w:rsid w:val="00490998"/>
    <w:rsid w:val="004909C3"/>
    <w:rsid w:val="00490A11"/>
    <w:rsid w:val="00490A25"/>
    <w:rsid w:val="00490ABE"/>
    <w:rsid w:val="00490ACB"/>
    <w:rsid w:val="00490B0A"/>
    <w:rsid w:val="00490B14"/>
    <w:rsid w:val="00490B65"/>
    <w:rsid w:val="00490B71"/>
    <w:rsid w:val="00490B79"/>
    <w:rsid w:val="00490B92"/>
    <w:rsid w:val="00490C03"/>
    <w:rsid w:val="00490C26"/>
    <w:rsid w:val="00490C2C"/>
    <w:rsid w:val="00490C31"/>
    <w:rsid w:val="00490C36"/>
    <w:rsid w:val="00490C6C"/>
    <w:rsid w:val="00490CA1"/>
    <w:rsid w:val="00490CC2"/>
    <w:rsid w:val="00490CCB"/>
    <w:rsid w:val="00490CE8"/>
    <w:rsid w:val="00490D0F"/>
    <w:rsid w:val="00490D17"/>
    <w:rsid w:val="00490D55"/>
    <w:rsid w:val="00490D7C"/>
    <w:rsid w:val="00490E02"/>
    <w:rsid w:val="00490E1F"/>
    <w:rsid w:val="00490E54"/>
    <w:rsid w:val="00490EAC"/>
    <w:rsid w:val="00490ED5"/>
    <w:rsid w:val="00490EE0"/>
    <w:rsid w:val="00490EEE"/>
    <w:rsid w:val="00490F08"/>
    <w:rsid w:val="00490F23"/>
    <w:rsid w:val="00490F4C"/>
    <w:rsid w:val="00490F6A"/>
    <w:rsid w:val="00490F7A"/>
    <w:rsid w:val="00491005"/>
    <w:rsid w:val="0049100C"/>
    <w:rsid w:val="00491059"/>
    <w:rsid w:val="0049108A"/>
    <w:rsid w:val="00491113"/>
    <w:rsid w:val="00491157"/>
    <w:rsid w:val="00491177"/>
    <w:rsid w:val="00491197"/>
    <w:rsid w:val="004911BA"/>
    <w:rsid w:val="004911BB"/>
    <w:rsid w:val="004911D9"/>
    <w:rsid w:val="004911E2"/>
    <w:rsid w:val="004911F1"/>
    <w:rsid w:val="0049123B"/>
    <w:rsid w:val="00491253"/>
    <w:rsid w:val="0049127F"/>
    <w:rsid w:val="004912B8"/>
    <w:rsid w:val="004913B4"/>
    <w:rsid w:val="004913DC"/>
    <w:rsid w:val="004913EB"/>
    <w:rsid w:val="00491413"/>
    <w:rsid w:val="00491443"/>
    <w:rsid w:val="004914B8"/>
    <w:rsid w:val="004914F5"/>
    <w:rsid w:val="0049152A"/>
    <w:rsid w:val="00491535"/>
    <w:rsid w:val="00491556"/>
    <w:rsid w:val="00491578"/>
    <w:rsid w:val="00491583"/>
    <w:rsid w:val="004915B7"/>
    <w:rsid w:val="004915BB"/>
    <w:rsid w:val="004915EB"/>
    <w:rsid w:val="00491631"/>
    <w:rsid w:val="0049167B"/>
    <w:rsid w:val="004916B5"/>
    <w:rsid w:val="004916C0"/>
    <w:rsid w:val="004916CB"/>
    <w:rsid w:val="004916CC"/>
    <w:rsid w:val="004916E8"/>
    <w:rsid w:val="0049174D"/>
    <w:rsid w:val="00491758"/>
    <w:rsid w:val="004917A1"/>
    <w:rsid w:val="004917A3"/>
    <w:rsid w:val="004917DF"/>
    <w:rsid w:val="00491829"/>
    <w:rsid w:val="00491896"/>
    <w:rsid w:val="0049189C"/>
    <w:rsid w:val="004918C3"/>
    <w:rsid w:val="004918C5"/>
    <w:rsid w:val="004918D0"/>
    <w:rsid w:val="00491904"/>
    <w:rsid w:val="004919B3"/>
    <w:rsid w:val="004919C4"/>
    <w:rsid w:val="004919E4"/>
    <w:rsid w:val="004919E5"/>
    <w:rsid w:val="00491A16"/>
    <w:rsid w:val="00491A2B"/>
    <w:rsid w:val="00491A5A"/>
    <w:rsid w:val="00491AA0"/>
    <w:rsid w:val="00491AE9"/>
    <w:rsid w:val="00491AF6"/>
    <w:rsid w:val="00491BA4"/>
    <w:rsid w:val="00491BAE"/>
    <w:rsid w:val="00491BBC"/>
    <w:rsid w:val="00491BDA"/>
    <w:rsid w:val="00491BF7"/>
    <w:rsid w:val="00491C12"/>
    <w:rsid w:val="00491C31"/>
    <w:rsid w:val="00491C56"/>
    <w:rsid w:val="00491C81"/>
    <w:rsid w:val="00491CF2"/>
    <w:rsid w:val="00491D33"/>
    <w:rsid w:val="00491D40"/>
    <w:rsid w:val="00491D55"/>
    <w:rsid w:val="00491D57"/>
    <w:rsid w:val="00491D91"/>
    <w:rsid w:val="00491DE1"/>
    <w:rsid w:val="00491E17"/>
    <w:rsid w:val="00491E2D"/>
    <w:rsid w:val="00491EAC"/>
    <w:rsid w:val="00491EE4"/>
    <w:rsid w:val="00491EFB"/>
    <w:rsid w:val="00491F1A"/>
    <w:rsid w:val="00491F35"/>
    <w:rsid w:val="00491F3F"/>
    <w:rsid w:val="00491F44"/>
    <w:rsid w:val="00491F68"/>
    <w:rsid w:val="00491F90"/>
    <w:rsid w:val="00491FA6"/>
    <w:rsid w:val="00491FB9"/>
    <w:rsid w:val="00491FC7"/>
    <w:rsid w:val="00491FF1"/>
    <w:rsid w:val="00491FFB"/>
    <w:rsid w:val="0049200F"/>
    <w:rsid w:val="00492022"/>
    <w:rsid w:val="00492024"/>
    <w:rsid w:val="0049202D"/>
    <w:rsid w:val="00492039"/>
    <w:rsid w:val="00492054"/>
    <w:rsid w:val="00492057"/>
    <w:rsid w:val="00492094"/>
    <w:rsid w:val="004920AE"/>
    <w:rsid w:val="004920CE"/>
    <w:rsid w:val="004920F4"/>
    <w:rsid w:val="004920F7"/>
    <w:rsid w:val="0049210E"/>
    <w:rsid w:val="00492121"/>
    <w:rsid w:val="00492161"/>
    <w:rsid w:val="0049217F"/>
    <w:rsid w:val="00492198"/>
    <w:rsid w:val="004921DA"/>
    <w:rsid w:val="00492236"/>
    <w:rsid w:val="00492244"/>
    <w:rsid w:val="0049224A"/>
    <w:rsid w:val="0049229A"/>
    <w:rsid w:val="004922BF"/>
    <w:rsid w:val="004922E4"/>
    <w:rsid w:val="004922FC"/>
    <w:rsid w:val="00492334"/>
    <w:rsid w:val="00492355"/>
    <w:rsid w:val="0049235F"/>
    <w:rsid w:val="00492364"/>
    <w:rsid w:val="0049238A"/>
    <w:rsid w:val="004923A9"/>
    <w:rsid w:val="004923AA"/>
    <w:rsid w:val="004923D7"/>
    <w:rsid w:val="00492433"/>
    <w:rsid w:val="00492439"/>
    <w:rsid w:val="00492445"/>
    <w:rsid w:val="00492494"/>
    <w:rsid w:val="004924A6"/>
    <w:rsid w:val="004924DE"/>
    <w:rsid w:val="00492509"/>
    <w:rsid w:val="00492511"/>
    <w:rsid w:val="0049256D"/>
    <w:rsid w:val="0049258A"/>
    <w:rsid w:val="004925A9"/>
    <w:rsid w:val="004925F2"/>
    <w:rsid w:val="0049260A"/>
    <w:rsid w:val="00492699"/>
    <w:rsid w:val="004926A0"/>
    <w:rsid w:val="004926EB"/>
    <w:rsid w:val="004926EC"/>
    <w:rsid w:val="00492728"/>
    <w:rsid w:val="0049274B"/>
    <w:rsid w:val="00492779"/>
    <w:rsid w:val="00492812"/>
    <w:rsid w:val="00492821"/>
    <w:rsid w:val="00492840"/>
    <w:rsid w:val="0049289F"/>
    <w:rsid w:val="004928A5"/>
    <w:rsid w:val="00492937"/>
    <w:rsid w:val="00492941"/>
    <w:rsid w:val="00492954"/>
    <w:rsid w:val="00492963"/>
    <w:rsid w:val="004929D0"/>
    <w:rsid w:val="004929DB"/>
    <w:rsid w:val="00492A0E"/>
    <w:rsid w:val="00492A1C"/>
    <w:rsid w:val="00492A4D"/>
    <w:rsid w:val="00492B47"/>
    <w:rsid w:val="00492B62"/>
    <w:rsid w:val="00492C45"/>
    <w:rsid w:val="00492C64"/>
    <w:rsid w:val="00492C96"/>
    <w:rsid w:val="00492CF1"/>
    <w:rsid w:val="00492D2F"/>
    <w:rsid w:val="00492D38"/>
    <w:rsid w:val="00492D46"/>
    <w:rsid w:val="00492D50"/>
    <w:rsid w:val="00492E59"/>
    <w:rsid w:val="00492E92"/>
    <w:rsid w:val="00492E99"/>
    <w:rsid w:val="00492E9E"/>
    <w:rsid w:val="00492EE1"/>
    <w:rsid w:val="00492EEE"/>
    <w:rsid w:val="00492EFE"/>
    <w:rsid w:val="00492F0A"/>
    <w:rsid w:val="00492F0F"/>
    <w:rsid w:val="00492F16"/>
    <w:rsid w:val="00492F20"/>
    <w:rsid w:val="00492F39"/>
    <w:rsid w:val="00492F3A"/>
    <w:rsid w:val="00492F69"/>
    <w:rsid w:val="00492FB3"/>
    <w:rsid w:val="00493016"/>
    <w:rsid w:val="00493040"/>
    <w:rsid w:val="0049304F"/>
    <w:rsid w:val="00493050"/>
    <w:rsid w:val="004930B8"/>
    <w:rsid w:val="004930E9"/>
    <w:rsid w:val="004930F6"/>
    <w:rsid w:val="00493117"/>
    <w:rsid w:val="00493128"/>
    <w:rsid w:val="00493145"/>
    <w:rsid w:val="00493169"/>
    <w:rsid w:val="004931DB"/>
    <w:rsid w:val="004931E0"/>
    <w:rsid w:val="004931E3"/>
    <w:rsid w:val="004931E6"/>
    <w:rsid w:val="004931FD"/>
    <w:rsid w:val="00493224"/>
    <w:rsid w:val="00493243"/>
    <w:rsid w:val="004932D2"/>
    <w:rsid w:val="004932DC"/>
    <w:rsid w:val="00493304"/>
    <w:rsid w:val="0049331C"/>
    <w:rsid w:val="0049331D"/>
    <w:rsid w:val="0049333D"/>
    <w:rsid w:val="0049339C"/>
    <w:rsid w:val="0049345B"/>
    <w:rsid w:val="004934C4"/>
    <w:rsid w:val="004934EF"/>
    <w:rsid w:val="004934F5"/>
    <w:rsid w:val="00493576"/>
    <w:rsid w:val="00493579"/>
    <w:rsid w:val="0049357E"/>
    <w:rsid w:val="00493635"/>
    <w:rsid w:val="004936AE"/>
    <w:rsid w:val="004936B4"/>
    <w:rsid w:val="004936EB"/>
    <w:rsid w:val="00493705"/>
    <w:rsid w:val="00493741"/>
    <w:rsid w:val="00493742"/>
    <w:rsid w:val="0049377B"/>
    <w:rsid w:val="00493794"/>
    <w:rsid w:val="004937CE"/>
    <w:rsid w:val="004937F6"/>
    <w:rsid w:val="00493811"/>
    <w:rsid w:val="0049382A"/>
    <w:rsid w:val="00493843"/>
    <w:rsid w:val="00493859"/>
    <w:rsid w:val="0049387E"/>
    <w:rsid w:val="0049390D"/>
    <w:rsid w:val="00493950"/>
    <w:rsid w:val="00493961"/>
    <w:rsid w:val="00493969"/>
    <w:rsid w:val="004939AB"/>
    <w:rsid w:val="004939C2"/>
    <w:rsid w:val="004939E9"/>
    <w:rsid w:val="00493A00"/>
    <w:rsid w:val="00493A21"/>
    <w:rsid w:val="00493A34"/>
    <w:rsid w:val="00493A67"/>
    <w:rsid w:val="00493AB4"/>
    <w:rsid w:val="00493B0A"/>
    <w:rsid w:val="00493B25"/>
    <w:rsid w:val="00493B9D"/>
    <w:rsid w:val="00493C03"/>
    <w:rsid w:val="00493C08"/>
    <w:rsid w:val="00493C4F"/>
    <w:rsid w:val="00493CBD"/>
    <w:rsid w:val="00493D0C"/>
    <w:rsid w:val="00493D0E"/>
    <w:rsid w:val="00493DBC"/>
    <w:rsid w:val="00493E6F"/>
    <w:rsid w:val="00493E70"/>
    <w:rsid w:val="00493E71"/>
    <w:rsid w:val="00493E99"/>
    <w:rsid w:val="00493F20"/>
    <w:rsid w:val="00493F98"/>
    <w:rsid w:val="00493FB8"/>
    <w:rsid w:val="00493FC5"/>
    <w:rsid w:val="00493FC8"/>
    <w:rsid w:val="00493FFD"/>
    <w:rsid w:val="00494042"/>
    <w:rsid w:val="0049407B"/>
    <w:rsid w:val="004940A5"/>
    <w:rsid w:val="004940BD"/>
    <w:rsid w:val="004940E3"/>
    <w:rsid w:val="0049412D"/>
    <w:rsid w:val="0049414A"/>
    <w:rsid w:val="00494164"/>
    <w:rsid w:val="004941B2"/>
    <w:rsid w:val="004941D7"/>
    <w:rsid w:val="004941F7"/>
    <w:rsid w:val="004942D6"/>
    <w:rsid w:val="0049433C"/>
    <w:rsid w:val="0049435B"/>
    <w:rsid w:val="004943A2"/>
    <w:rsid w:val="004943C8"/>
    <w:rsid w:val="004943E0"/>
    <w:rsid w:val="004943E4"/>
    <w:rsid w:val="0049440E"/>
    <w:rsid w:val="0049442D"/>
    <w:rsid w:val="00494442"/>
    <w:rsid w:val="00494474"/>
    <w:rsid w:val="00494482"/>
    <w:rsid w:val="004944A9"/>
    <w:rsid w:val="00494531"/>
    <w:rsid w:val="00494537"/>
    <w:rsid w:val="00494584"/>
    <w:rsid w:val="00494585"/>
    <w:rsid w:val="004945A4"/>
    <w:rsid w:val="004945B8"/>
    <w:rsid w:val="00494648"/>
    <w:rsid w:val="004946C9"/>
    <w:rsid w:val="004946DE"/>
    <w:rsid w:val="00494760"/>
    <w:rsid w:val="0049478E"/>
    <w:rsid w:val="00494796"/>
    <w:rsid w:val="004947E7"/>
    <w:rsid w:val="0049481C"/>
    <w:rsid w:val="00494823"/>
    <w:rsid w:val="0049488A"/>
    <w:rsid w:val="004948B9"/>
    <w:rsid w:val="004948BE"/>
    <w:rsid w:val="004948CE"/>
    <w:rsid w:val="004948D0"/>
    <w:rsid w:val="004948D6"/>
    <w:rsid w:val="004948E6"/>
    <w:rsid w:val="004948F1"/>
    <w:rsid w:val="0049490C"/>
    <w:rsid w:val="00494981"/>
    <w:rsid w:val="004949CE"/>
    <w:rsid w:val="004949E7"/>
    <w:rsid w:val="004949E8"/>
    <w:rsid w:val="00494A02"/>
    <w:rsid w:val="00494A1D"/>
    <w:rsid w:val="00494A21"/>
    <w:rsid w:val="00494A31"/>
    <w:rsid w:val="00494A32"/>
    <w:rsid w:val="00494A50"/>
    <w:rsid w:val="00494A5E"/>
    <w:rsid w:val="00494A8D"/>
    <w:rsid w:val="00494AA5"/>
    <w:rsid w:val="00494AAC"/>
    <w:rsid w:val="00494AD5"/>
    <w:rsid w:val="00494B27"/>
    <w:rsid w:val="00494B57"/>
    <w:rsid w:val="00494B7A"/>
    <w:rsid w:val="00494B7D"/>
    <w:rsid w:val="00494B8D"/>
    <w:rsid w:val="00494C54"/>
    <w:rsid w:val="00494C82"/>
    <w:rsid w:val="00494CAA"/>
    <w:rsid w:val="00494CEF"/>
    <w:rsid w:val="00494D2C"/>
    <w:rsid w:val="00494D4A"/>
    <w:rsid w:val="00494D67"/>
    <w:rsid w:val="00494D7F"/>
    <w:rsid w:val="00494E16"/>
    <w:rsid w:val="00494E2A"/>
    <w:rsid w:val="00494E2E"/>
    <w:rsid w:val="00494E3F"/>
    <w:rsid w:val="00494E8C"/>
    <w:rsid w:val="00494EA3"/>
    <w:rsid w:val="00494EB2"/>
    <w:rsid w:val="00494EF3"/>
    <w:rsid w:val="00494F14"/>
    <w:rsid w:val="00494F2F"/>
    <w:rsid w:val="00494F57"/>
    <w:rsid w:val="00494F74"/>
    <w:rsid w:val="00494FEC"/>
    <w:rsid w:val="0049502B"/>
    <w:rsid w:val="00495050"/>
    <w:rsid w:val="004950C8"/>
    <w:rsid w:val="00495112"/>
    <w:rsid w:val="00495170"/>
    <w:rsid w:val="0049517B"/>
    <w:rsid w:val="004951E3"/>
    <w:rsid w:val="0049525A"/>
    <w:rsid w:val="00495260"/>
    <w:rsid w:val="0049526E"/>
    <w:rsid w:val="00495286"/>
    <w:rsid w:val="004952AA"/>
    <w:rsid w:val="004952B7"/>
    <w:rsid w:val="004952E1"/>
    <w:rsid w:val="004952E3"/>
    <w:rsid w:val="00495300"/>
    <w:rsid w:val="00495319"/>
    <w:rsid w:val="00495361"/>
    <w:rsid w:val="004953ED"/>
    <w:rsid w:val="00495430"/>
    <w:rsid w:val="00495466"/>
    <w:rsid w:val="00495538"/>
    <w:rsid w:val="00495569"/>
    <w:rsid w:val="0049556C"/>
    <w:rsid w:val="00495593"/>
    <w:rsid w:val="00495599"/>
    <w:rsid w:val="004955AA"/>
    <w:rsid w:val="004955C2"/>
    <w:rsid w:val="004955EB"/>
    <w:rsid w:val="004955F2"/>
    <w:rsid w:val="00495669"/>
    <w:rsid w:val="0049566E"/>
    <w:rsid w:val="00495678"/>
    <w:rsid w:val="0049569B"/>
    <w:rsid w:val="004956D4"/>
    <w:rsid w:val="00495736"/>
    <w:rsid w:val="0049573A"/>
    <w:rsid w:val="00495788"/>
    <w:rsid w:val="004957D7"/>
    <w:rsid w:val="00495801"/>
    <w:rsid w:val="0049590A"/>
    <w:rsid w:val="00495940"/>
    <w:rsid w:val="0049596B"/>
    <w:rsid w:val="00495974"/>
    <w:rsid w:val="0049598D"/>
    <w:rsid w:val="004959EC"/>
    <w:rsid w:val="00495ACC"/>
    <w:rsid w:val="00495B06"/>
    <w:rsid w:val="00495BA4"/>
    <w:rsid w:val="00495BC3"/>
    <w:rsid w:val="00495BEA"/>
    <w:rsid w:val="00495C14"/>
    <w:rsid w:val="00495C24"/>
    <w:rsid w:val="00495C42"/>
    <w:rsid w:val="00495C4F"/>
    <w:rsid w:val="00495C58"/>
    <w:rsid w:val="00495C87"/>
    <w:rsid w:val="00495C99"/>
    <w:rsid w:val="00495C9E"/>
    <w:rsid w:val="00495CF9"/>
    <w:rsid w:val="00495D18"/>
    <w:rsid w:val="00495D3A"/>
    <w:rsid w:val="00495D5C"/>
    <w:rsid w:val="00495D9F"/>
    <w:rsid w:val="00495E03"/>
    <w:rsid w:val="00495E5E"/>
    <w:rsid w:val="00495E7E"/>
    <w:rsid w:val="00495E8D"/>
    <w:rsid w:val="00495EA2"/>
    <w:rsid w:val="00495ED0"/>
    <w:rsid w:val="00495EF8"/>
    <w:rsid w:val="00495F39"/>
    <w:rsid w:val="00495FCC"/>
    <w:rsid w:val="00495FD3"/>
    <w:rsid w:val="00495FD6"/>
    <w:rsid w:val="00496053"/>
    <w:rsid w:val="0049606E"/>
    <w:rsid w:val="004960A0"/>
    <w:rsid w:val="004960A2"/>
    <w:rsid w:val="004960A6"/>
    <w:rsid w:val="004960B8"/>
    <w:rsid w:val="0049615E"/>
    <w:rsid w:val="00496171"/>
    <w:rsid w:val="00496191"/>
    <w:rsid w:val="004961E4"/>
    <w:rsid w:val="004961EF"/>
    <w:rsid w:val="00496224"/>
    <w:rsid w:val="0049622A"/>
    <w:rsid w:val="00496265"/>
    <w:rsid w:val="0049626F"/>
    <w:rsid w:val="0049628C"/>
    <w:rsid w:val="004962B7"/>
    <w:rsid w:val="004962BE"/>
    <w:rsid w:val="004962C9"/>
    <w:rsid w:val="0049636E"/>
    <w:rsid w:val="00496386"/>
    <w:rsid w:val="0049638D"/>
    <w:rsid w:val="00496424"/>
    <w:rsid w:val="00496440"/>
    <w:rsid w:val="00496468"/>
    <w:rsid w:val="004964BB"/>
    <w:rsid w:val="00496576"/>
    <w:rsid w:val="004965A3"/>
    <w:rsid w:val="004965D0"/>
    <w:rsid w:val="00496605"/>
    <w:rsid w:val="0049660E"/>
    <w:rsid w:val="0049662C"/>
    <w:rsid w:val="00496631"/>
    <w:rsid w:val="0049666D"/>
    <w:rsid w:val="004966C9"/>
    <w:rsid w:val="00496708"/>
    <w:rsid w:val="00496725"/>
    <w:rsid w:val="00496751"/>
    <w:rsid w:val="00496761"/>
    <w:rsid w:val="00496795"/>
    <w:rsid w:val="004967AB"/>
    <w:rsid w:val="004967D3"/>
    <w:rsid w:val="004967E8"/>
    <w:rsid w:val="004967F1"/>
    <w:rsid w:val="00496807"/>
    <w:rsid w:val="00496840"/>
    <w:rsid w:val="0049687A"/>
    <w:rsid w:val="00496933"/>
    <w:rsid w:val="0049694D"/>
    <w:rsid w:val="00496990"/>
    <w:rsid w:val="004969AA"/>
    <w:rsid w:val="004969F2"/>
    <w:rsid w:val="00496AC2"/>
    <w:rsid w:val="00496AFC"/>
    <w:rsid w:val="00496B1E"/>
    <w:rsid w:val="00496B86"/>
    <w:rsid w:val="00496B8E"/>
    <w:rsid w:val="00496B92"/>
    <w:rsid w:val="00496BC8"/>
    <w:rsid w:val="00496C1C"/>
    <w:rsid w:val="00496C50"/>
    <w:rsid w:val="00496C68"/>
    <w:rsid w:val="00496C6E"/>
    <w:rsid w:val="00496CAC"/>
    <w:rsid w:val="00496CDD"/>
    <w:rsid w:val="00496D1F"/>
    <w:rsid w:val="00496D35"/>
    <w:rsid w:val="00496D41"/>
    <w:rsid w:val="00496D43"/>
    <w:rsid w:val="00496D76"/>
    <w:rsid w:val="00496E33"/>
    <w:rsid w:val="00496E63"/>
    <w:rsid w:val="00496E68"/>
    <w:rsid w:val="00496E6C"/>
    <w:rsid w:val="00496E75"/>
    <w:rsid w:val="00496ECE"/>
    <w:rsid w:val="00496EFB"/>
    <w:rsid w:val="00496F19"/>
    <w:rsid w:val="00496F40"/>
    <w:rsid w:val="00496FB4"/>
    <w:rsid w:val="00497004"/>
    <w:rsid w:val="00497066"/>
    <w:rsid w:val="00497089"/>
    <w:rsid w:val="004970A7"/>
    <w:rsid w:val="004970A9"/>
    <w:rsid w:val="004970C9"/>
    <w:rsid w:val="0049710F"/>
    <w:rsid w:val="00497139"/>
    <w:rsid w:val="0049713F"/>
    <w:rsid w:val="00497140"/>
    <w:rsid w:val="0049716B"/>
    <w:rsid w:val="004971CB"/>
    <w:rsid w:val="0049721C"/>
    <w:rsid w:val="0049725B"/>
    <w:rsid w:val="004973A2"/>
    <w:rsid w:val="004973D5"/>
    <w:rsid w:val="00497400"/>
    <w:rsid w:val="00497468"/>
    <w:rsid w:val="004974C0"/>
    <w:rsid w:val="0049753D"/>
    <w:rsid w:val="004975B1"/>
    <w:rsid w:val="004975B7"/>
    <w:rsid w:val="004975E1"/>
    <w:rsid w:val="00497654"/>
    <w:rsid w:val="0049765C"/>
    <w:rsid w:val="004976CE"/>
    <w:rsid w:val="0049770F"/>
    <w:rsid w:val="00497714"/>
    <w:rsid w:val="00497719"/>
    <w:rsid w:val="00497787"/>
    <w:rsid w:val="00497815"/>
    <w:rsid w:val="004978E2"/>
    <w:rsid w:val="004978E7"/>
    <w:rsid w:val="00497901"/>
    <w:rsid w:val="0049794D"/>
    <w:rsid w:val="00497992"/>
    <w:rsid w:val="004979C0"/>
    <w:rsid w:val="004979E6"/>
    <w:rsid w:val="00497A18"/>
    <w:rsid w:val="00497A48"/>
    <w:rsid w:val="00497A6D"/>
    <w:rsid w:val="00497AA4"/>
    <w:rsid w:val="00497AE1"/>
    <w:rsid w:val="00497AFC"/>
    <w:rsid w:val="00497B18"/>
    <w:rsid w:val="00497BCB"/>
    <w:rsid w:val="00497BCD"/>
    <w:rsid w:val="00497C29"/>
    <w:rsid w:val="00497C54"/>
    <w:rsid w:val="00497C7D"/>
    <w:rsid w:val="00497CB3"/>
    <w:rsid w:val="00497D0E"/>
    <w:rsid w:val="00497D28"/>
    <w:rsid w:val="00497D40"/>
    <w:rsid w:val="00497D42"/>
    <w:rsid w:val="00497D4D"/>
    <w:rsid w:val="00497D4F"/>
    <w:rsid w:val="00497D5C"/>
    <w:rsid w:val="00497D6D"/>
    <w:rsid w:val="00497E40"/>
    <w:rsid w:val="00497E42"/>
    <w:rsid w:val="00497E46"/>
    <w:rsid w:val="00497E4F"/>
    <w:rsid w:val="00497E6B"/>
    <w:rsid w:val="00497E99"/>
    <w:rsid w:val="00497EAC"/>
    <w:rsid w:val="00497EDF"/>
    <w:rsid w:val="00497F70"/>
    <w:rsid w:val="00497F97"/>
    <w:rsid w:val="00497FAE"/>
    <w:rsid w:val="00497FB8"/>
    <w:rsid w:val="00497FBA"/>
    <w:rsid w:val="00497FCB"/>
    <w:rsid w:val="00497FE7"/>
    <w:rsid w:val="004A0038"/>
    <w:rsid w:val="004A00B2"/>
    <w:rsid w:val="004A010E"/>
    <w:rsid w:val="004A0141"/>
    <w:rsid w:val="004A0145"/>
    <w:rsid w:val="004A016B"/>
    <w:rsid w:val="004A0170"/>
    <w:rsid w:val="004A01B0"/>
    <w:rsid w:val="004A01DC"/>
    <w:rsid w:val="004A021D"/>
    <w:rsid w:val="004A0255"/>
    <w:rsid w:val="004A0271"/>
    <w:rsid w:val="004A02EE"/>
    <w:rsid w:val="004A02FE"/>
    <w:rsid w:val="004A0309"/>
    <w:rsid w:val="004A0366"/>
    <w:rsid w:val="004A0375"/>
    <w:rsid w:val="004A03AF"/>
    <w:rsid w:val="004A03BB"/>
    <w:rsid w:val="004A03C3"/>
    <w:rsid w:val="004A03E2"/>
    <w:rsid w:val="004A03EA"/>
    <w:rsid w:val="004A0410"/>
    <w:rsid w:val="004A0414"/>
    <w:rsid w:val="004A0419"/>
    <w:rsid w:val="004A0425"/>
    <w:rsid w:val="004A0434"/>
    <w:rsid w:val="004A0456"/>
    <w:rsid w:val="004A045A"/>
    <w:rsid w:val="004A0479"/>
    <w:rsid w:val="004A04C9"/>
    <w:rsid w:val="004A04E5"/>
    <w:rsid w:val="004A04F7"/>
    <w:rsid w:val="004A0539"/>
    <w:rsid w:val="004A0541"/>
    <w:rsid w:val="004A0581"/>
    <w:rsid w:val="004A05A5"/>
    <w:rsid w:val="004A05AD"/>
    <w:rsid w:val="004A05E2"/>
    <w:rsid w:val="004A05EA"/>
    <w:rsid w:val="004A0601"/>
    <w:rsid w:val="004A061C"/>
    <w:rsid w:val="004A063A"/>
    <w:rsid w:val="004A0671"/>
    <w:rsid w:val="004A06BE"/>
    <w:rsid w:val="004A06D0"/>
    <w:rsid w:val="004A0707"/>
    <w:rsid w:val="004A071C"/>
    <w:rsid w:val="004A075B"/>
    <w:rsid w:val="004A07BE"/>
    <w:rsid w:val="004A085C"/>
    <w:rsid w:val="004A089B"/>
    <w:rsid w:val="004A0924"/>
    <w:rsid w:val="004A0925"/>
    <w:rsid w:val="004A093E"/>
    <w:rsid w:val="004A09C7"/>
    <w:rsid w:val="004A09D3"/>
    <w:rsid w:val="004A0A02"/>
    <w:rsid w:val="004A0A08"/>
    <w:rsid w:val="004A0A19"/>
    <w:rsid w:val="004A0A26"/>
    <w:rsid w:val="004A0A81"/>
    <w:rsid w:val="004A0ABF"/>
    <w:rsid w:val="004A0B01"/>
    <w:rsid w:val="004A0B11"/>
    <w:rsid w:val="004A0B22"/>
    <w:rsid w:val="004A0B2C"/>
    <w:rsid w:val="004A0B30"/>
    <w:rsid w:val="004A0B32"/>
    <w:rsid w:val="004A0B57"/>
    <w:rsid w:val="004A0B5C"/>
    <w:rsid w:val="004A0B76"/>
    <w:rsid w:val="004A0BAB"/>
    <w:rsid w:val="004A0C17"/>
    <w:rsid w:val="004A0C3F"/>
    <w:rsid w:val="004A0C69"/>
    <w:rsid w:val="004A0C98"/>
    <w:rsid w:val="004A0C99"/>
    <w:rsid w:val="004A0CAA"/>
    <w:rsid w:val="004A0CC3"/>
    <w:rsid w:val="004A0CCF"/>
    <w:rsid w:val="004A0CE5"/>
    <w:rsid w:val="004A0D02"/>
    <w:rsid w:val="004A0D7E"/>
    <w:rsid w:val="004A0DC0"/>
    <w:rsid w:val="004A0DDE"/>
    <w:rsid w:val="004A0E09"/>
    <w:rsid w:val="004A0E15"/>
    <w:rsid w:val="004A0E27"/>
    <w:rsid w:val="004A0E86"/>
    <w:rsid w:val="004A0E95"/>
    <w:rsid w:val="004A0EF9"/>
    <w:rsid w:val="004A0F26"/>
    <w:rsid w:val="004A0F30"/>
    <w:rsid w:val="004A0F3C"/>
    <w:rsid w:val="004A0F64"/>
    <w:rsid w:val="004A0FB2"/>
    <w:rsid w:val="004A1011"/>
    <w:rsid w:val="004A1022"/>
    <w:rsid w:val="004A103F"/>
    <w:rsid w:val="004A1067"/>
    <w:rsid w:val="004A10ED"/>
    <w:rsid w:val="004A10F4"/>
    <w:rsid w:val="004A1127"/>
    <w:rsid w:val="004A1132"/>
    <w:rsid w:val="004A11CB"/>
    <w:rsid w:val="004A11ED"/>
    <w:rsid w:val="004A1223"/>
    <w:rsid w:val="004A1233"/>
    <w:rsid w:val="004A1263"/>
    <w:rsid w:val="004A1273"/>
    <w:rsid w:val="004A12AD"/>
    <w:rsid w:val="004A1307"/>
    <w:rsid w:val="004A1350"/>
    <w:rsid w:val="004A137A"/>
    <w:rsid w:val="004A1393"/>
    <w:rsid w:val="004A1426"/>
    <w:rsid w:val="004A1431"/>
    <w:rsid w:val="004A143E"/>
    <w:rsid w:val="004A1474"/>
    <w:rsid w:val="004A147B"/>
    <w:rsid w:val="004A14BD"/>
    <w:rsid w:val="004A14FC"/>
    <w:rsid w:val="004A1533"/>
    <w:rsid w:val="004A1536"/>
    <w:rsid w:val="004A1563"/>
    <w:rsid w:val="004A1585"/>
    <w:rsid w:val="004A1592"/>
    <w:rsid w:val="004A160C"/>
    <w:rsid w:val="004A1652"/>
    <w:rsid w:val="004A165A"/>
    <w:rsid w:val="004A1663"/>
    <w:rsid w:val="004A166E"/>
    <w:rsid w:val="004A16A7"/>
    <w:rsid w:val="004A16AC"/>
    <w:rsid w:val="004A1734"/>
    <w:rsid w:val="004A174E"/>
    <w:rsid w:val="004A175D"/>
    <w:rsid w:val="004A17B1"/>
    <w:rsid w:val="004A17D8"/>
    <w:rsid w:val="004A1803"/>
    <w:rsid w:val="004A1806"/>
    <w:rsid w:val="004A1860"/>
    <w:rsid w:val="004A18A1"/>
    <w:rsid w:val="004A18B1"/>
    <w:rsid w:val="004A1937"/>
    <w:rsid w:val="004A1965"/>
    <w:rsid w:val="004A198F"/>
    <w:rsid w:val="004A1999"/>
    <w:rsid w:val="004A19B3"/>
    <w:rsid w:val="004A19CB"/>
    <w:rsid w:val="004A1A15"/>
    <w:rsid w:val="004A1A2C"/>
    <w:rsid w:val="004A1A85"/>
    <w:rsid w:val="004A1A9C"/>
    <w:rsid w:val="004A1AAE"/>
    <w:rsid w:val="004A1ABF"/>
    <w:rsid w:val="004A1AC9"/>
    <w:rsid w:val="004A1ACB"/>
    <w:rsid w:val="004A1ADF"/>
    <w:rsid w:val="004A1BCF"/>
    <w:rsid w:val="004A1BF2"/>
    <w:rsid w:val="004A1BF3"/>
    <w:rsid w:val="004A1C00"/>
    <w:rsid w:val="004A1C2B"/>
    <w:rsid w:val="004A1C2C"/>
    <w:rsid w:val="004A1C33"/>
    <w:rsid w:val="004A1C6C"/>
    <w:rsid w:val="004A1C72"/>
    <w:rsid w:val="004A1C77"/>
    <w:rsid w:val="004A1CA1"/>
    <w:rsid w:val="004A1CCE"/>
    <w:rsid w:val="004A1CE8"/>
    <w:rsid w:val="004A1CFC"/>
    <w:rsid w:val="004A1DB2"/>
    <w:rsid w:val="004A1E56"/>
    <w:rsid w:val="004A1E5A"/>
    <w:rsid w:val="004A1E82"/>
    <w:rsid w:val="004A1E99"/>
    <w:rsid w:val="004A1EC0"/>
    <w:rsid w:val="004A1EF6"/>
    <w:rsid w:val="004A1F42"/>
    <w:rsid w:val="004A1F45"/>
    <w:rsid w:val="004A1F54"/>
    <w:rsid w:val="004A1F77"/>
    <w:rsid w:val="004A1FD2"/>
    <w:rsid w:val="004A2016"/>
    <w:rsid w:val="004A207E"/>
    <w:rsid w:val="004A2087"/>
    <w:rsid w:val="004A209F"/>
    <w:rsid w:val="004A2143"/>
    <w:rsid w:val="004A2163"/>
    <w:rsid w:val="004A2167"/>
    <w:rsid w:val="004A2195"/>
    <w:rsid w:val="004A21AA"/>
    <w:rsid w:val="004A2250"/>
    <w:rsid w:val="004A2285"/>
    <w:rsid w:val="004A22AB"/>
    <w:rsid w:val="004A239A"/>
    <w:rsid w:val="004A23A8"/>
    <w:rsid w:val="004A23F2"/>
    <w:rsid w:val="004A240A"/>
    <w:rsid w:val="004A240C"/>
    <w:rsid w:val="004A2430"/>
    <w:rsid w:val="004A2437"/>
    <w:rsid w:val="004A2439"/>
    <w:rsid w:val="004A2445"/>
    <w:rsid w:val="004A2468"/>
    <w:rsid w:val="004A2493"/>
    <w:rsid w:val="004A24A9"/>
    <w:rsid w:val="004A24BD"/>
    <w:rsid w:val="004A24F6"/>
    <w:rsid w:val="004A24F7"/>
    <w:rsid w:val="004A256F"/>
    <w:rsid w:val="004A2572"/>
    <w:rsid w:val="004A25E0"/>
    <w:rsid w:val="004A25EC"/>
    <w:rsid w:val="004A26DE"/>
    <w:rsid w:val="004A26E8"/>
    <w:rsid w:val="004A2771"/>
    <w:rsid w:val="004A2780"/>
    <w:rsid w:val="004A278D"/>
    <w:rsid w:val="004A27D9"/>
    <w:rsid w:val="004A27F9"/>
    <w:rsid w:val="004A285C"/>
    <w:rsid w:val="004A285F"/>
    <w:rsid w:val="004A289B"/>
    <w:rsid w:val="004A28B6"/>
    <w:rsid w:val="004A2933"/>
    <w:rsid w:val="004A294C"/>
    <w:rsid w:val="004A29BB"/>
    <w:rsid w:val="004A2A04"/>
    <w:rsid w:val="004A2A54"/>
    <w:rsid w:val="004A2A58"/>
    <w:rsid w:val="004A2A8E"/>
    <w:rsid w:val="004A2AF1"/>
    <w:rsid w:val="004A2AF4"/>
    <w:rsid w:val="004A2B20"/>
    <w:rsid w:val="004A2B88"/>
    <w:rsid w:val="004A2B94"/>
    <w:rsid w:val="004A2B9A"/>
    <w:rsid w:val="004A2BDD"/>
    <w:rsid w:val="004A2C19"/>
    <w:rsid w:val="004A2C28"/>
    <w:rsid w:val="004A2C4D"/>
    <w:rsid w:val="004A2C62"/>
    <w:rsid w:val="004A2C64"/>
    <w:rsid w:val="004A2CB5"/>
    <w:rsid w:val="004A2CD1"/>
    <w:rsid w:val="004A2CE5"/>
    <w:rsid w:val="004A2D2F"/>
    <w:rsid w:val="004A2D39"/>
    <w:rsid w:val="004A2D5B"/>
    <w:rsid w:val="004A2E15"/>
    <w:rsid w:val="004A2E21"/>
    <w:rsid w:val="004A2E25"/>
    <w:rsid w:val="004A2E44"/>
    <w:rsid w:val="004A2E56"/>
    <w:rsid w:val="004A2EBD"/>
    <w:rsid w:val="004A2F22"/>
    <w:rsid w:val="004A2F9E"/>
    <w:rsid w:val="004A2FB6"/>
    <w:rsid w:val="004A2FC4"/>
    <w:rsid w:val="004A3072"/>
    <w:rsid w:val="004A3077"/>
    <w:rsid w:val="004A30A3"/>
    <w:rsid w:val="004A30AD"/>
    <w:rsid w:val="004A30C8"/>
    <w:rsid w:val="004A30C9"/>
    <w:rsid w:val="004A30EC"/>
    <w:rsid w:val="004A30ED"/>
    <w:rsid w:val="004A310A"/>
    <w:rsid w:val="004A312F"/>
    <w:rsid w:val="004A3145"/>
    <w:rsid w:val="004A3192"/>
    <w:rsid w:val="004A31B1"/>
    <w:rsid w:val="004A31C1"/>
    <w:rsid w:val="004A3212"/>
    <w:rsid w:val="004A3240"/>
    <w:rsid w:val="004A325E"/>
    <w:rsid w:val="004A3290"/>
    <w:rsid w:val="004A3292"/>
    <w:rsid w:val="004A32A2"/>
    <w:rsid w:val="004A32F4"/>
    <w:rsid w:val="004A332C"/>
    <w:rsid w:val="004A334C"/>
    <w:rsid w:val="004A337D"/>
    <w:rsid w:val="004A33FB"/>
    <w:rsid w:val="004A3427"/>
    <w:rsid w:val="004A342C"/>
    <w:rsid w:val="004A3464"/>
    <w:rsid w:val="004A34BB"/>
    <w:rsid w:val="004A34C8"/>
    <w:rsid w:val="004A34F9"/>
    <w:rsid w:val="004A3526"/>
    <w:rsid w:val="004A353E"/>
    <w:rsid w:val="004A355D"/>
    <w:rsid w:val="004A35F8"/>
    <w:rsid w:val="004A3606"/>
    <w:rsid w:val="004A361A"/>
    <w:rsid w:val="004A3626"/>
    <w:rsid w:val="004A36F1"/>
    <w:rsid w:val="004A3723"/>
    <w:rsid w:val="004A3743"/>
    <w:rsid w:val="004A3767"/>
    <w:rsid w:val="004A3799"/>
    <w:rsid w:val="004A37BB"/>
    <w:rsid w:val="004A37DD"/>
    <w:rsid w:val="004A3887"/>
    <w:rsid w:val="004A388D"/>
    <w:rsid w:val="004A38A8"/>
    <w:rsid w:val="004A38D8"/>
    <w:rsid w:val="004A3914"/>
    <w:rsid w:val="004A3915"/>
    <w:rsid w:val="004A395D"/>
    <w:rsid w:val="004A3962"/>
    <w:rsid w:val="004A396D"/>
    <w:rsid w:val="004A3991"/>
    <w:rsid w:val="004A39D2"/>
    <w:rsid w:val="004A39FF"/>
    <w:rsid w:val="004A3A82"/>
    <w:rsid w:val="004A3A9E"/>
    <w:rsid w:val="004A3AA2"/>
    <w:rsid w:val="004A3AA7"/>
    <w:rsid w:val="004A3ACE"/>
    <w:rsid w:val="004A3B10"/>
    <w:rsid w:val="004A3B32"/>
    <w:rsid w:val="004A3B40"/>
    <w:rsid w:val="004A3B41"/>
    <w:rsid w:val="004A3B75"/>
    <w:rsid w:val="004A3B79"/>
    <w:rsid w:val="004A3B7F"/>
    <w:rsid w:val="004A3BBC"/>
    <w:rsid w:val="004A3BC4"/>
    <w:rsid w:val="004A3C5D"/>
    <w:rsid w:val="004A3C75"/>
    <w:rsid w:val="004A3C82"/>
    <w:rsid w:val="004A3CA2"/>
    <w:rsid w:val="004A3CC4"/>
    <w:rsid w:val="004A3CDC"/>
    <w:rsid w:val="004A3D32"/>
    <w:rsid w:val="004A3D33"/>
    <w:rsid w:val="004A3D9A"/>
    <w:rsid w:val="004A3E04"/>
    <w:rsid w:val="004A3E27"/>
    <w:rsid w:val="004A3E2B"/>
    <w:rsid w:val="004A3E64"/>
    <w:rsid w:val="004A3E77"/>
    <w:rsid w:val="004A3E7C"/>
    <w:rsid w:val="004A3EEE"/>
    <w:rsid w:val="004A3F04"/>
    <w:rsid w:val="004A3F2D"/>
    <w:rsid w:val="004A3F64"/>
    <w:rsid w:val="004A3F7B"/>
    <w:rsid w:val="004A3F8A"/>
    <w:rsid w:val="004A3FD8"/>
    <w:rsid w:val="004A3FED"/>
    <w:rsid w:val="004A3FF7"/>
    <w:rsid w:val="004A4018"/>
    <w:rsid w:val="004A403D"/>
    <w:rsid w:val="004A4086"/>
    <w:rsid w:val="004A40FE"/>
    <w:rsid w:val="004A4107"/>
    <w:rsid w:val="004A4155"/>
    <w:rsid w:val="004A419B"/>
    <w:rsid w:val="004A41EF"/>
    <w:rsid w:val="004A4215"/>
    <w:rsid w:val="004A4223"/>
    <w:rsid w:val="004A422F"/>
    <w:rsid w:val="004A4306"/>
    <w:rsid w:val="004A432A"/>
    <w:rsid w:val="004A433B"/>
    <w:rsid w:val="004A4371"/>
    <w:rsid w:val="004A438F"/>
    <w:rsid w:val="004A4398"/>
    <w:rsid w:val="004A43C3"/>
    <w:rsid w:val="004A4429"/>
    <w:rsid w:val="004A4435"/>
    <w:rsid w:val="004A4453"/>
    <w:rsid w:val="004A4473"/>
    <w:rsid w:val="004A448B"/>
    <w:rsid w:val="004A4491"/>
    <w:rsid w:val="004A4496"/>
    <w:rsid w:val="004A44B2"/>
    <w:rsid w:val="004A44BA"/>
    <w:rsid w:val="004A4572"/>
    <w:rsid w:val="004A45C0"/>
    <w:rsid w:val="004A45C2"/>
    <w:rsid w:val="004A45E4"/>
    <w:rsid w:val="004A463C"/>
    <w:rsid w:val="004A467F"/>
    <w:rsid w:val="004A46CC"/>
    <w:rsid w:val="004A46D1"/>
    <w:rsid w:val="004A46E6"/>
    <w:rsid w:val="004A46F8"/>
    <w:rsid w:val="004A4704"/>
    <w:rsid w:val="004A4716"/>
    <w:rsid w:val="004A475C"/>
    <w:rsid w:val="004A4767"/>
    <w:rsid w:val="004A4768"/>
    <w:rsid w:val="004A4814"/>
    <w:rsid w:val="004A4893"/>
    <w:rsid w:val="004A48E0"/>
    <w:rsid w:val="004A48F6"/>
    <w:rsid w:val="004A4928"/>
    <w:rsid w:val="004A4964"/>
    <w:rsid w:val="004A49FF"/>
    <w:rsid w:val="004A4A04"/>
    <w:rsid w:val="004A4A3B"/>
    <w:rsid w:val="004A4A93"/>
    <w:rsid w:val="004A4AA2"/>
    <w:rsid w:val="004A4AF2"/>
    <w:rsid w:val="004A4B00"/>
    <w:rsid w:val="004A4B29"/>
    <w:rsid w:val="004A4B31"/>
    <w:rsid w:val="004A4B53"/>
    <w:rsid w:val="004A4B98"/>
    <w:rsid w:val="004A4B9F"/>
    <w:rsid w:val="004A4BCB"/>
    <w:rsid w:val="004A4C02"/>
    <w:rsid w:val="004A4C0F"/>
    <w:rsid w:val="004A4C30"/>
    <w:rsid w:val="004A4C4B"/>
    <w:rsid w:val="004A4C58"/>
    <w:rsid w:val="004A4CA7"/>
    <w:rsid w:val="004A4D86"/>
    <w:rsid w:val="004A4DDA"/>
    <w:rsid w:val="004A4E44"/>
    <w:rsid w:val="004A4E55"/>
    <w:rsid w:val="004A4EC0"/>
    <w:rsid w:val="004A4F06"/>
    <w:rsid w:val="004A4F30"/>
    <w:rsid w:val="004A4F42"/>
    <w:rsid w:val="004A4F46"/>
    <w:rsid w:val="004A4FA5"/>
    <w:rsid w:val="004A4FA8"/>
    <w:rsid w:val="004A4FCE"/>
    <w:rsid w:val="004A501D"/>
    <w:rsid w:val="004A5028"/>
    <w:rsid w:val="004A5032"/>
    <w:rsid w:val="004A5050"/>
    <w:rsid w:val="004A5066"/>
    <w:rsid w:val="004A509B"/>
    <w:rsid w:val="004A50E9"/>
    <w:rsid w:val="004A521F"/>
    <w:rsid w:val="004A5228"/>
    <w:rsid w:val="004A5232"/>
    <w:rsid w:val="004A5238"/>
    <w:rsid w:val="004A5243"/>
    <w:rsid w:val="004A5278"/>
    <w:rsid w:val="004A5300"/>
    <w:rsid w:val="004A530F"/>
    <w:rsid w:val="004A5335"/>
    <w:rsid w:val="004A538A"/>
    <w:rsid w:val="004A53A6"/>
    <w:rsid w:val="004A53BD"/>
    <w:rsid w:val="004A5477"/>
    <w:rsid w:val="004A5490"/>
    <w:rsid w:val="004A54A3"/>
    <w:rsid w:val="004A54B9"/>
    <w:rsid w:val="004A553F"/>
    <w:rsid w:val="004A554B"/>
    <w:rsid w:val="004A5551"/>
    <w:rsid w:val="004A55AF"/>
    <w:rsid w:val="004A55B3"/>
    <w:rsid w:val="004A5631"/>
    <w:rsid w:val="004A5648"/>
    <w:rsid w:val="004A5657"/>
    <w:rsid w:val="004A5659"/>
    <w:rsid w:val="004A567E"/>
    <w:rsid w:val="004A568C"/>
    <w:rsid w:val="004A569A"/>
    <w:rsid w:val="004A56B0"/>
    <w:rsid w:val="004A56C4"/>
    <w:rsid w:val="004A5733"/>
    <w:rsid w:val="004A573D"/>
    <w:rsid w:val="004A5766"/>
    <w:rsid w:val="004A57C0"/>
    <w:rsid w:val="004A57CA"/>
    <w:rsid w:val="004A57F6"/>
    <w:rsid w:val="004A5810"/>
    <w:rsid w:val="004A582B"/>
    <w:rsid w:val="004A585A"/>
    <w:rsid w:val="004A590A"/>
    <w:rsid w:val="004A595E"/>
    <w:rsid w:val="004A5978"/>
    <w:rsid w:val="004A597A"/>
    <w:rsid w:val="004A59D2"/>
    <w:rsid w:val="004A5A18"/>
    <w:rsid w:val="004A5A73"/>
    <w:rsid w:val="004A5A74"/>
    <w:rsid w:val="004A5A87"/>
    <w:rsid w:val="004A5AAE"/>
    <w:rsid w:val="004A5AB3"/>
    <w:rsid w:val="004A5ABA"/>
    <w:rsid w:val="004A5AC8"/>
    <w:rsid w:val="004A5AEC"/>
    <w:rsid w:val="004A5AFF"/>
    <w:rsid w:val="004A5BC0"/>
    <w:rsid w:val="004A5BCC"/>
    <w:rsid w:val="004A5BCD"/>
    <w:rsid w:val="004A5C6B"/>
    <w:rsid w:val="004A5C8D"/>
    <w:rsid w:val="004A5CAC"/>
    <w:rsid w:val="004A5CBB"/>
    <w:rsid w:val="004A5CD5"/>
    <w:rsid w:val="004A5CF6"/>
    <w:rsid w:val="004A5D39"/>
    <w:rsid w:val="004A5D45"/>
    <w:rsid w:val="004A5D74"/>
    <w:rsid w:val="004A5D80"/>
    <w:rsid w:val="004A5E17"/>
    <w:rsid w:val="004A5E24"/>
    <w:rsid w:val="004A5E27"/>
    <w:rsid w:val="004A5E2D"/>
    <w:rsid w:val="004A5E4D"/>
    <w:rsid w:val="004A5EB3"/>
    <w:rsid w:val="004A5EF4"/>
    <w:rsid w:val="004A5F4F"/>
    <w:rsid w:val="004A5F97"/>
    <w:rsid w:val="004A6032"/>
    <w:rsid w:val="004A6055"/>
    <w:rsid w:val="004A6072"/>
    <w:rsid w:val="004A6077"/>
    <w:rsid w:val="004A60CE"/>
    <w:rsid w:val="004A60E2"/>
    <w:rsid w:val="004A6169"/>
    <w:rsid w:val="004A6192"/>
    <w:rsid w:val="004A61BC"/>
    <w:rsid w:val="004A6201"/>
    <w:rsid w:val="004A628D"/>
    <w:rsid w:val="004A6292"/>
    <w:rsid w:val="004A62C6"/>
    <w:rsid w:val="004A62E2"/>
    <w:rsid w:val="004A63B0"/>
    <w:rsid w:val="004A63D9"/>
    <w:rsid w:val="004A63F3"/>
    <w:rsid w:val="004A647C"/>
    <w:rsid w:val="004A64FF"/>
    <w:rsid w:val="004A6522"/>
    <w:rsid w:val="004A6538"/>
    <w:rsid w:val="004A6556"/>
    <w:rsid w:val="004A6573"/>
    <w:rsid w:val="004A659C"/>
    <w:rsid w:val="004A65FA"/>
    <w:rsid w:val="004A6645"/>
    <w:rsid w:val="004A6652"/>
    <w:rsid w:val="004A6699"/>
    <w:rsid w:val="004A66B5"/>
    <w:rsid w:val="004A66B6"/>
    <w:rsid w:val="004A66C1"/>
    <w:rsid w:val="004A66E4"/>
    <w:rsid w:val="004A6713"/>
    <w:rsid w:val="004A674A"/>
    <w:rsid w:val="004A677A"/>
    <w:rsid w:val="004A67B9"/>
    <w:rsid w:val="004A67CA"/>
    <w:rsid w:val="004A6824"/>
    <w:rsid w:val="004A6834"/>
    <w:rsid w:val="004A6869"/>
    <w:rsid w:val="004A68CC"/>
    <w:rsid w:val="004A691F"/>
    <w:rsid w:val="004A6966"/>
    <w:rsid w:val="004A6981"/>
    <w:rsid w:val="004A6982"/>
    <w:rsid w:val="004A6997"/>
    <w:rsid w:val="004A69A9"/>
    <w:rsid w:val="004A69D5"/>
    <w:rsid w:val="004A69F1"/>
    <w:rsid w:val="004A6A27"/>
    <w:rsid w:val="004A6A79"/>
    <w:rsid w:val="004A6A96"/>
    <w:rsid w:val="004A6AA5"/>
    <w:rsid w:val="004A6AAA"/>
    <w:rsid w:val="004A6AF2"/>
    <w:rsid w:val="004A6B2F"/>
    <w:rsid w:val="004A6B30"/>
    <w:rsid w:val="004A6B31"/>
    <w:rsid w:val="004A6B3D"/>
    <w:rsid w:val="004A6B54"/>
    <w:rsid w:val="004A6BEC"/>
    <w:rsid w:val="004A6C27"/>
    <w:rsid w:val="004A6C3A"/>
    <w:rsid w:val="004A6C4B"/>
    <w:rsid w:val="004A6C7D"/>
    <w:rsid w:val="004A6CA3"/>
    <w:rsid w:val="004A6CC1"/>
    <w:rsid w:val="004A6CC5"/>
    <w:rsid w:val="004A6D10"/>
    <w:rsid w:val="004A6D5F"/>
    <w:rsid w:val="004A6D6C"/>
    <w:rsid w:val="004A6D97"/>
    <w:rsid w:val="004A6DD3"/>
    <w:rsid w:val="004A6DD5"/>
    <w:rsid w:val="004A6E2D"/>
    <w:rsid w:val="004A6E5D"/>
    <w:rsid w:val="004A6E62"/>
    <w:rsid w:val="004A6E65"/>
    <w:rsid w:val="004A6E66"/>
    <w:rsid w:val="004A6E75"/>
    <w:rsid w:val="004A6EAE"/>
    <w:rsid w:val="004A6EB9"/>
    <w:rsid w:val="004A6EE9"/>
    <w:rsid w:val="004A6FA4"/>
    <w:rsid w:val="004A6FC5"/>
    <w:rsid w:val="004A6FF2"/>
    <w:rsid w:val="004A7052"/>
    <w:rsid w:val="004A70AE"/>
    <w:rsid w:val="004A70CD"/>
    <w:rsid w:val="004A70D0"/>
    <w:rsid w:val="004A710D"/>
    <w:rsid w:val="004A713D"/>
    <w:rsid w:val="004A7148"/>
    <w:rsid w:val="004A714F"/>
    <w:rsid w:val="004A71A7"/>
    <w:rsid w:val="004A71D0"/>
    <w:rsid w:val="004A7223"/>
    <w:rsid w:val="004A722B"/>
    <w:rsid w:val="004A729B"/>
    <w:rsid w:val="004A729F"/>
    <w:rsid w:val="004A72A5"/>
    <w:rsid w:val="004A72AC"/>
    <w:rsid w:val="004A734C"/>
    <w:rsid w:val="004A7385"/>
    <w:rsid w:val="004A73B9"/>
    <w:rsid w:val="004A73BC"/>
    <w:rsid w:val="004A73BD"/>
    <w:rsid w:val="004A73CB"/>
    <w:rsid w:val="004A73D7"/>
    <w:rsid w:val="004A73E6"/>
    <w:rsid w:val="004A745B"/>
    <w:rsid w:val="004A74A1"/>
    <w:rsid w:val="004A74A7"/>
    <w:rsid w:val="004A74E0"/>
    <w:rsid w:val="004A74E3"/>
    <w:rsid w:val="004A74EE"/>
    <w:rsid w:val="004A7513"/>
    <w:rsid w:val="004A75A2"/>
    <w:rsid w:val="004A7601"/>
    <w:rsid w:val="004A7629"/>
    <w:rsid w:val="004A763A"/>
    <w:rsid w:val="004A7685"/>
    <w:rsid w:val="004A7692"/>
    <w:rsid w:val="004A769D"/>
    <w:rsid w:val="004A769F"/>
    <w:rsid w:val="004A76BB"/>
    <w:rsid w:val="004A7739"/>
    <w:rsid w:val="004A778D"/>
    <w:rsid w:val="004A779C"/>
    <w:rsid w:val="004A77A1"/>
    <w:rsid w:val="004A77C2"/>
    <w:rsid w:val="004A77CD"/>
    <w:rsid w:val="004A7815"/>
    <w:rsid w:val="004A783F"/>
    <w:rsid w:val="004A7878"/>
    <w:rsid w:val="004A787D"/>
    <w:rsid w:val="004A7895"/>
    <w:rsid w:val="004A78C0"/>
    <w:rsid w:val="004A78F9"/>
    <w:rsid w:val="004A7900"/>
    <w:rsid w:val="004A7918"/>
    <w:rsid w:val="004A79B7"/>
    <w:rsid w:val="004A79DD"/>
    <w:rsid w:val="004A79E9"/>
    <w:rsid w:val="004A7A22"/>
    <w:rsid w:val="004A7A2B"/>
    <w:rsid w:val="004A7A48"/>
    <w:rsid w:val="004A7A4D"/>
    <w:rsid w:val="004A7A54"/>
    <w:rsid w:val="004A7A6B"/>
    <w:rsid w:val="004A7A9B"/>
    <w:rsid w:val="004A7ABC"/>
    <w:rsid w:val="004A7ABE"/>
    <w:rsid w:val="004A7B18"/>
    <w:rsid w:val="004A7B2D"/>
    <w:rsid w:val="004A7B5E"/>
    <w:rsid w:val="004A7B79"/>
    <w:rsid w:val="004A7B9F"/>
    <w:rsid w:val="004A7BC6"/>
    <w:rsid w:val="004A7BF3"/>
    <w:rsid w:val="004A7C0F"/>
    <w:rsid w:val="004A7C24"/>
    <w:rsid w:val="004A7C29"/>
    <w:rsid w:val="004A7C3B"/>
    <w:rsid w:val="004A7C6F"/>
    <w:rsid w:val="004A7CD7"/>
    <w:rsid w:val="004A7CE9"/>
    <w:rsid w:val="004A7D0E"/>
    <w:rsid w:val="004A7D1C"/>
    <w:rsid w:val="004A7D3E"/>
    <w:rsid w:val="004A7D4D"/>
    <w:rsid w:val="004A7D73"/>
    <w:rsid w:val="004A7DB5"/>
    <w:rsid w:val="004A7E35"/>
    <w:rsid w:val="004A7E55"/>
    <w:rsid w:val="004A7E63"/>
    <w:rsid w:val="004A7F85"/>
    <w:rsid w:val="004A7FD7"/>
    <w:rsid w:val="004AE42B"/>
    <w:rsid w:val="004B0014"/>
    <w:rsid w:val="004B0031"/>
    <w:rsid w:val="004B0034"/>
    <w:rsid w:val="004B004D"/>
    <w:rsid w:val="004B0054"/>
    <w:rsid w:val="004B005E"/>
    <w:rsid w:val="004B00B7"/>
    <w:rsid w:val="004B00E7"/>
    <w:rsid w:val="004B0110"/>
    <w:rsid w:val="004B0120"/>
    <w:rsid w:val="004B0132"/>
    <w:rsid w:val="004B0175"/>
    <w:rsid w:val="004B01BE"/>
    <w:rsid w:val="004B0218"/>
    <w:rsid w:val="004B023B"/>
    <w:rsid w:val="004B02A2"/>
    <w:rsid w:val="004B02C9"/>
    <w:rsid w:val="004B02DE"/>
    <w:rsid w:val="004B02F2"/>
    <w:rsid w:val="004B0311"/>
    <w:rsid w:val="004B031C"/>
    <w:rsid w:val="004B033D"/>
    <w:rsid w:val="004B0351"/>
    <w:rsid w:val="004B0360"/>
    <w:rsid w:val="004B0378"/>
    <w:rsid w:val="004B0381"/>
    <w:rsid w:val="004B0390"/>
    <w:rsid w:val="004B0422"/>
    <w:rsid w:val="004B0439"/>
    <w:rsid w:val="004B043F"/>
    <w:rsid w:val="004B044D"/>
    <w:rsid w:val="004B0459"/>
    <w:rsid w:val="004B045B"/>
    <w:rsid w:val="004B04E8"/>
    <w:rsid w:val="004B04F4"/>
    <w:rsid w:val="004B051B"/>
    <w:rsid w:val="004B0549"/>
    <w:rsid w:val="004B059B"/>
    <w:rsid w:val="004B05BD"/>
    <w:rsid w:val="004B05CD"/>
    <w:rsid w:val="004B05DA"/>
    <w:rsid w:val="004B05F8"/>
    <w:rsid w:val="004B060B"/>
    <w:rsid w:val="004B060C"/>
    <w:rsid w:val="004B0612"/>
    <w:rsid w:val="004B0638"/>
    <w:rsid w:val="004B06A5"/>
    <w:rsid w:val="004B06C9"/>
    <w:rsid w:val="004B06E2"/>
    <w:rsid w:val="004B0706"/>
    <w:rsid w:val="004B0713"/>
    <w:rsid w:val="004B074C"/>
    <w:rsid w:val="004B07DD"/>
    <w:rsid w:val="004B07EC"/>
    <w:rsid w:val="004B0828"/>
    <w:rsid w:val="004B0863"/>
    <w:rsid w:val="004B0879"/>
    <w:rsid w:val="004B089D"/>
    <w:rsid w:val="004B08A6"/>
    <w:rsid w:val="004B08D3"/>
    <w:rsid w:val="004B08D6"/>
    <w:rsid w:val="004B08DE"/>
    <w:rsid w:val="004B098E"/>
    <w:rsid w:val="004B09B9"/>
    <w:rsid w:val="004B09CE"/>
    <w:rsid w:val="004B0A04"/>
    <w:rsid w:val="004B0A28"/>
    <w:rsid w:val="004B0A2F"/>
    <w:rsid w:val="004B0A45"/>
    <w:rsid w:val="004B0A6B"/>
    <w:rsid w:val="004B0A78"/>
    <w:rsid w:val="004B0ABD"/>
    <w:rsid w:val="004B0AC3"/>
    <w:rsid w:val="004B0AD8"/>
    <w:rsid w:val="004B0AF6"/>
    <w:rsid w:val="004B0B11"/>
    <w:rsid w:val="004B0B90"/>
    <w:rsid w:val="004B0BA6"/>
    <w:rsid w:val="004B0BB6"/>
    <w:rsid w:val="004B0BD7"/>
    <w:rsid w:val="004B0C02"/>
    <w:rsid w:val="004B0C07"/>
    <w:rsid w:val="004B0C48"/>
    <w:rsid w:val="004B0C99"/>
    <w:rsid w:val="004B0CC3"/>
    <w:rsid w:val="004B0CCA"/>
    <w:rsid w:val="004B0CE2"/>
    <w:rsid w:val="004B0CEF"/>
    <w:rsid w:val="004B0D23"/>
    <w:rsid w:val="004B0D2B"/>
    <w:rsid w:val="004B0D37"/>
    <w:rsid w:val="004B0D55"/>
    <w:rsid w:val="004B0DFE"/>
    <w:rsid w:val="004B0E59"/>
    <w:rsid w:val="004B0E96"/>
    <w:rsid w:val="004B0EA4"/>
    <w:rsid w:val="004B0EDB"/>
    <w:rsid w:val="004B0EE3"/>
    <w:rsid w:val="004B0F1B"/>
    <w:rsid w:val="004B0F1E"/>
    <w:rsid w:val="004B0F42"/>
    <w:rsid w:val="004B0F93"/>
    <w:rsid w:val="004B0FCC"/>
    <w:rsid w:val="004B0FEA"/>
    <w:rsid w:val="004B0FF3"/>
    <w:rsid w:val="004B0FF6"/>
    <w:rsid w:val="004B1009"/>
    <w:rsid w:val="004B1039"/>
    <w:rsid w:val="004B10E4"/>
    <w:rsid w:val="004B10EE"/>
    <w:rsid w:val="004B1112"/>
    <w:rsid w:val="004B1175"/>
    <w:rsid w:val="004B1191"/>
    <w:rsid w:val="004B11B3"/>
    <w:rsid w:val="004B1200"/>
    <w:rsid w:val="004B1220"/>
    <w:rsid w:val="004B1278"/>
    <w:rsid w:val="004B12A5"/>
    <w:rsid w:val="004B12BA"/>
    <w:rsid w:val="004B13BE"/>
    <w:rsid w:val="004B13C7"/>
    <w:rsid w:val="004B13C8"/>
    <w:rsid w:val="004B13F5"/>
    <w:rsid w:val="004B1427"/>
    <w:rsid w:val="004B142C"/>
    <w:rsid w:val="004B143F"/>
    <w:rsid w:val="004B1450"/>
    <w:rsid w:val="004B1512"/>
    <w:rsid w:val="004B152C"/>
    <w:rsid w:val="004B1591"/>
    <w:rsid w:val="004B15A0"/>
    <w:rsid w:val="004B15B5"/>
    <w:rsid w:val="004B16B7"/>
    <w:rsid w:val="004B16F6"/>
    <w:rsid w:val="004B16FD"/>
    <w:rsid w:val="004B1747"/>
    <w:rsid w:val="004B1752"/>
    <w:rsid w:val="004B17A0"/>
    <w:rsid w:val="004B17D7"/>
    <w:rsid w:val="004B1807"/>
    <w:rsid w:val="004B1845"/>
    <w:rsid w:val="004B18C0"/>
    <w:rsid w:val="004B1955"/>
    <w:rsid w:val="004B1963"/>
    <w:rsid w:val="004B196C"/>
    <w:rsid w:val="004B1A2E"/>
    <w:rsid w:val="004B1AEE"/>
    <w:rsid w:val="004B1B0A"/>
    <w:rsid w:val="004B1B37"/>
    <w:rsid w:val="004B1B63"/>
    <w:rsid w:val="004B1BA7"/>
    <w:rsid w:val="004B1BE2"/>
    <w:rsid w:val="004B1BFB"/>
    <w:rsid w:val="004B1C01"/>
    <w:rsid w:val="004B1C6B"/>
    <w:rsid w:val="004B1C73"/>
    <w:rsid w:val="004B1CB3"/>
    <w:rsid w:val="004B1D3D"/>
    <w:rsid w:val="004B1D77"/>
    <w:rsid w:val="004B1DC5"/>
    <w:rsid w:val="004B1DE3"/>
    <w:rsid w:val="004B1E22"/>
    <w:rsid w:val="004B1E28"/>
    <w:rsid w:val="004B1E4C"/>
    <w:rsid w:val="004B1ED8"/>
    <w:rsid w:val="004B1F05"/>
    <w:rsid w:val="004B1F11"/>
    <w:rsid w:val="004B1F16"/>
    <w:rsid w:val="004B1F28"/>
    <w:rsid w:val="004B1F46"/>
    <w:rsid w:val="004B1F70"/>
    <w:rsid w:val="004B1F88"/>
    <w:rsid w:val="004B1F93"/>
    <w:rsid w:val="004B1FE1"/>
    <w:rsid w:val="004B201A"/>
    <w:rsid w:val="004B206A"/>
    <w:rsid w:val="004B20C3"/>
    <w:rsid w:val="004B20C5"/>
    <w:rsid w:val="004B2107"/>
    <w:rsid w:val="004B2193"/>
    <w:rsid w:val="004B21DC"/>
    <w:rsid w:val="004B21DF"/>
    <w:rsid w:val="004B2224"/>
    <w:rsid w:val="004B222F"/>
    <w:rsid w:val="004B2269"/>
    <w:rsid w:val="004B226E"/>
    <w:rsid w:val="004B2272"/>
    <w:rsid w:val="004B2293"/>
    <w:rsid w:val="004B22A1"/>
    <w:rsid w:val="004B22A9"/>
    <w:rsid w:val="004B2305"/>
    <w:rsid w:val="004B2350"/>
    <w:rsid w:val="004B2391"/>
    <w:rsid w:val="004B23C4"/>
    <w:rsid w:val="004B240B"/>
    <w:rsid w:val="004B2434"/>
    <w:rsid w:val="004B2487"/>
    <w:rsid w:val="004B249F"/>
    <w:rsid w:val="004B24D5"/>
    <w:rsid w:val="004B24EA"/>
    <w:rsid w:val="004B24ED"/>
    <w:rsid w:val="004B2564"/>
    <w:rsid w:val="004B2598"/>
    <w:rsid w:val="004B25A6"/>
    <w:rsid w:val="004B25EB"/>
    <w:rsid w:val="004B2605"/>
    <w:rsid w:val="004B2629"/>
    <w:rsid w:val="004B2634"/>
    <w:rsid w:val="004B2645"/>
    <w:rsid w:val="004B267F"/>
    <w:rsid w:val="004B2684"/>
    <w:rsid w:val="004B26BC"/>
    <w:rsid w:val="004B26DB"/>
    <w:rsid w:val="004B26E2"/>
    <w:rsid w:val="004B26E9"/>
    <w:rsid w:val="004B2707"/>
    <w:rsid w:val="004B2765"/>
    <w:rsid w:val="004B2771"/>
    <w:rsid w:val="004B279C"/>
    <w:rsid w:val="004B281E"/>
    <w:rsid w:val="004B2852"/>
    <w:rsid w:val="004B2856"/>
    <w:rsid w:val="004B28A5"/>
    <w:rsid w:val="004B294B"/>
    <w:rsid w:val="004B295A"/>
    <w:rsid w:val="004B29A6"/>
    <w:rsid w:val="004B29BA"/>
    <w:rsid w:val="004B2A01"/>
    <w:rsid w:val="004B2A0F"/>
    <w:rsid w:val="004B2A6C"/>
    <w:rsid w:val="004B2AAA"/>
    <w:rsid w:val="004B2ADB"/>
    <w:rsid w:val="004B2ADF"/>
    <w:rsid w:val="004B2BD4"/>
    <w:rsid w:val="004B2C01"/>
    <w:rsid w:val="004B2C06"/>
    <w:rsid w:val="004B2C1D"/>
    <w:rsid w:val="004B2C39"/>
    <w:rsid w:val="004B2C61"/>
    <w:rsid w:val="004B2C6B"/>
    <w:rsid w:val="004B2C85"/>
    <w:rsid w:val="004B2C8A"/>
    <w:rsid w:val="004B2C97"/>
    <w:rsid w:val="004B2CBF"/>
    <w:rsid w:val="004B2D71"/>
    <w:rsid w:val="004B2D7D"/>
    <w:rsid w:val="004B2D91"/>
    <w:rsid w:val="004B2DA5"/>
    <w:rsid w:val="004B2DC1"/>
    <w:rsid w:val="004B2DCF"/>
    <w:rsid w:val="004B2E32"/>
    <w:rsid w:val="004B2E49"/>
    <w:rsid w:val="004B2E6A"/>
    <w:rsid w:val="004B2E75"/>
    <w:rsid w:val="004B2F06"/>
    <w:rsid w:val="004B2F12"/>
    <w:rsid w:val="004B2F1B"/>
    <w:rsid w:val="004B2FC0"/>
    <w:rsid w:val="004B2FFA"/>
    <w:rsid w:val="004B3026"/>
    <w:rsid w:val="004B3034"/>
    <w:rsid w:val="004B30A3"/>
    <w:rsid w:val="004B30BB"/>
    <w:rsid w:val="004B30C5"/>
    <w:rsid w:val="004B30DC"/>
    <w:rsid w:val="004B30E7"/>
    <w:rsid w:val="004B30F4"/>
    <w:rsid w:val="004B3163"/>
    <w:rsid w:val="004B317D"/>
    <w:rsid w:val="004B317F"/>
    <w:rsid w:val="004B319F"/>
    <w:rsid w:val="004B31A9"/>
    <w:rsid w:val="004B31CF"/>
    <w:rsid w:val="004B3268"/>
    <w:rsid w:val="004B327B"/>
    <w:rsid w:val="004B327D"/>
    <w:rsid w:val="004B3287"/>
    <w:rsid w:val="004B329E"/>
    <w:rsid w:val="004B32AE"/>
    <w:rsid w:val="004B32B8"/>
    <w:rsid w:val="004B32C1"/>
    <w:rsid w:val="004B3328"/>
    <w:rsid w:val="004B3365"/>
    <w:rsid w:val="004B3387"/>
    <w:rsid w:val="004B339D"/>
    <w:rsid w:val="004B33BC"/>
    <w:rsid w:val="004B33DB"/>
    <w:rsid w:val="004B33E0"/>
    <w:rsid w:val="004B33EF"/>
    <w:rsid w:val="004B340C"/>
    <w:rsid w:val="004B348D"/>
    <w:rsid w:val="004B34B3"/>
    <w:rsid w:val="004B3514"/>
    <w:rsid w:val="004B3518"/>
    <w:rsid w:val="004B3557"/>
    <w:rsid w:val="004B3569"/>
    <w:rsid w:val="004B3574"/>
    <w:rsid w:val="004B3590"/>
    <w:rsid w:val="004B3593"/>
    <w:rsid w:val="004B35B6"/>
    <w:rsid w:val="004B35BC"/>
    <w:rsid w:val="004B35C8"/>
    <w:rsid w:val="004B3610"/>
    <w:rsid w:val="004B3655"/>
    <w:rsid w:val="004B3674"/>
    <w:rsid w:val="004B3675"/>
    <w:rsid w:val="004B3692"/>
    <w:rsid w:val="004B369F"/>
    <w:rsid w:val="004B36A4"/>
    <w:rsid w:val="004B36BB"/>
    <w:rsid w:val="004B36C0"/>
    <w:rsid w:val="004B36D7"/>
    <w:rsid w:val="004B36F3"/>
    <w:rsid w:val="004B371E"/>
    <w:rsid w:val="004B37B6"/>
    <w:rsid w:val="004B37EE"/>
    <w:rsid w:val="004B3841"/>
    <w:rsid w:val="004B3852"/>
    <w:rsid w:val="004B385C"/>
    <w:rsid w:val="004B3891"/>
    <w:rsid w:val="004B3894"/>
    <w:rsid w:val="004B38B6"/>
    <w:rsid w:val="004B38B7"/>
    <w:rsid w:val="004B38D6"/>
    <w:rsid w:val="004B3909"/>
    <w:rsid w:val="004B3913"/>
    <w:rsid w:val="004B3926"/>
    <w:rsid w:val="004B392A"/>
    <w:rsid w:val="004B3933"/>
    <w:rsid w:val="004B394C"/>
    <w:rsid w:val="004B394D"/>
    <w:rsid w:val="004B394E"/>
    <w:rsid w:val="004B3993"/>
    <w:rsid w:val="004B39A9"/>
    <w:rsid w:val="004B39D8"/>
    <w:rsid w:val="004B3A30"/>
    <w:rsid w:val="004B3A4D"/>
    <w:rsid w:val="004B3AAE"/>
    <w:rsid w:val="004B3B43"/>
    <w:rsid w:val="004B3B66"/>
    <w:rsid w:val="004B3B7A"/>
    <w:rsid w:val="004B3B7F"/>
    <w:rsid w:val="004B3B81"/>
    <w:rsid w:val="004B3B92"/>
    <w:rsid w:val="004B3BBB"/>
    <w:rsid w:val="004B3BBE"/>
    <w:rsid w:val="004B3BFD"/>
    <w:rsid w:val="004B3C10"/>
    <w:rsid w:val="004B3C27"/>
    <w:rsid w:val="004B3C35"/>
    <w:rsid w:val="004B3C6F"/>
    <w:rsid w:val="004B3C96"/>
    <w:rsid w:val="004B3CCF"/>
    <w:rsid w:val="004B3CDE"/>
    <w:rsid w:val="004B3D46"/>
    <w:rsid w:val="004B3D60"/>
    <w:rsid w:val="004B3D75"/>
    <w:rsid w:val="004B3D76"/>
    <w:rsid w:val="004B3D81"/>
    <w:rsid w:val="004B3DE9"/>
    <w:rsid w:val="004B3E86"/>
    <w:rsid w:val="004B3E96"/>
    <w:rsid w:val="004B3EE5"/>
    <w:rsid w:val="004B3EE9"/>
    <w:rsid w:val="004B3F25"/>
    <w:rsid w:val="004B3F2E"/>
    <w:rsid w:val="004B3FBD"/>
    <w:rsid w:val="004B3FF5"/>
    <w:rsid w:val="004B4027"/>
    <w:rsid w:val="004B4046"/>
    <w:rsid w:val="004B407B"/>
    <w:rsid w:val="004B4084"/>
    <w:rsid w:val="004B40E0"/>
    <w:rsid w:val="004B4147"/>
    <w:rsid w:val="004B4194"/>
    <w:rsid w:val="004B419A"/>
    <w:rsid w:val="004B41C9"/>
    <w:rsid w:val="004B4285"/>
    <w:rsid w:val="004B42CB"/>
    <w:rsid w:val="004B42E3"/>
    <w:rsid w:val="004B4324"/>
    <w:rsid w:val="004B4333"/>
    <w:rsid w:val="004B4335"/>
    <w:rsid w:val="004B438A"/>
    <w:rsid w:val="004B439B"/>
    <w:rsid w:val="004B4404"/>
    <w:rsid w:val="004B4406"/>
    <w:rsid w:val="004B443A"/>
    <w:rsid w:val="004B4467"/>
    <w:rsid w:val="004B446A"/>
    <w:rsid w:val="004B4473"/>
    <w:rsid w:val="004B4497"/>
    <w:rsid w:val="004B44B4"/>
    <w:rsid w:val="004B450D"/>
    <w:rsid w:val="004B452B"/>
    <w:rsid w:val="004B4552"/>
    <w:rsid w:val="004B4557"/>
    <w:rsid w:val="004B455C"/>
    <w:rsid w:val="004B4566"/>
    <w:rsid w:val="004B45E5"/>
    <w:rsid w:val="004B45F3"/>
    <w:rsid w:val="004B45F4"/>
    <w:rsid w:val="004B45FE"/>
    <w:rsid w:val="004B4615"/>
    <w:rsid w:val="004B464D"/>
    <w:rsid w:val="004B4656"/>
    <w:rsid w:val="004B465A"/>
    <w:rsid w:val="004B4660"/>
    <w:rsid w:val="004B46B9"/>
    <w:rsid w:val="004B46CB"/>
    <w:rsid w:val="004B46F2"/>
    <w:rsid w:val="004B4774"/>
    <w:rsid w:val="004B47A4"/>
    <w:rsid w:val="004B47B7"/>
    <w:rsid w:val="004B47C6"/>
    <w:rsid w:val="004B47E3"/>
    <w:rsid w:val="004B47E6"/>
    <w:rsid w:val="004B48AD"/>
    <w:rsid w:val="004B4918"/>
    <w:rsid w:val="004B492D"/>
    <w:rsid w:val="004B49A4"/>
    <w:rsid w:val="004B49E5"/>
    <w:rsid w:val="004B49F5"/>
    <w:rsid w:val="004B4A41"/>
    <w:rsid w:val="004B4A88"/>
    <w:rsid w:val="004B4AA5"/>
    <w:rsid w:val="004B4AC0"/>
    <w:rsid w:val="004B4BC6"/>
    <w:rsid w:val="004B4BDB"/>
    <w:rsid w:val="004B4C8D"/>
    <w:rsid w:val="004B4C91"/>
    <w:rsid w:val="004B4C93"/>
    <w:rsid w:val="004B4CA2"/>
    <w:rsid w:val="004B4CA6"/>
    <w:rsid w:val="004B4CAD"/>
    <w:rsid w:val="004B4CAE"/>
    <w:rsid w:val="004B4CE1"/>
    <w:rsid w:val="004B4D26"/>
    <w:rsid w:val="004B4D34"/>
    <w:rsid w:val="004B4D3D"/>
    <w:rsid w:val="004B4D4A"/>
    <w:rsid w:val="004B4D55"/>
    <w:rsid w:val="004B4DED"/>
    <w:rsid w:val="004B4E21"/>
    <w:rsid w:val="004B4E2A"/>
    <w:rsid w:val="004B4E7F"/>
    <w:rsid w:val="004B4E9C"/>
    <w:rsid w:val="004B4F35"/>
    <w:rsid w:val="004B4F6A"/>
    <w:rsid w:val="004B4FA1"/>
    <w:rsid w:val="004B4FB5"/>
    <w:rsid w:val="004B503F"/>
    <w:rsid w:val="004B50E6"/>
    <w:rsid w:val="004B50E7"/>
    <w:rsid w:val="004B5106"/>
    <w:rsid w:val="004B5142"/>
    <w:rsid w:val="004B5147"/>
    <w:rsid w:val="004B5149"/>
    <w:rsid w:val="004B514E"/>
    <w:rsid w:val="004B5150"/>
    <w:rsid w:val="004B515D"/>
    <w:rsid w:val="004B5175"/>
    <w:rsid w:val="004B522F"/>
    <w:rsid w:val="004B528D"/>
    <w:rsid w:val="004B52A2"/>
    <w:rsid w:val="004B52B4"/>
    <w:rsid w:val="004B52F2"/>
    <w:rsid w:val="004B533F"/>
    <w:rsid w:val="004B537B"/>
    <w:rsid w:val="004B53A2"/>
    <w:rsid w:val="004B53D6"/>
    <w:rsid w:val="004B53D7"/>
    <w:rsid w:val="004B5416"/>
    <w:rsid w:val="004B5448"/>
    <w:rsid w:val="004B544E"/>
    <w:rsid w:val="004B546D"/>
    <w:rsid w:val="004B555C"/>
    <w:rsid w:val="004B5570"/>
    <w:rsid w:val="004B5588"/>
    <w:rsid w:val="004B55A0"/>
    <w:rsid w:val="004B55BA"/>
    <w:rsid w:val="004B55CA"/>
    <w:rsid w:val="004B55CD"/>
    <w:rsid w:val="004B561C"/>
    <w:rsid w:val="004B5675"/>
    <w:rsid w:val="004B567F"/>
    <w:rsid w:val="004B5689"/>
    <w:rsid w:val="004B5690"/>
    <w:rsid w:val="004B5698"/>
    <w:rsid w:val="004B56C1"/>
    <w:rsid w:val="004B56D2"/>
    <w:rsid w:val="004B56D3"/>
    <w:rsid w:val="004B56D4"/>
    <w:rsid w:val="004B56E2"/>
    <w:rsid w:val="004B56E9"/>
    <w:rsid w:val="004B574B"/>
    <w:rsid w:val="004B580E"/>
    <w:rsid w:val="004B5845"/>
    <w:rsid w:val="004B5887"/>
    <w:rsid w:val="004B5890"/>
    <w:rsid w:val="004B58F1"/>
    <w:rsid w:val="004B590E"/>
    <w:rsid w:val="004B5914"/>
    <w:rsid w:val="004B596C"/>
    <w:rsid w:val="004B5986"/>
    <w:rsid w:val="004B59C6"/>
    <w:rsid w:val="004B59CB"/>
    <w:rsid w:val="004B59D5"/>
    <w:rsid w:val="004B59FB"/>
    <w:rsid w:val="004B5A1F"/>
    <w:rsid w:val="004B5A3C"/>
    <w:rsid w:val="004B5A70"/>
    <w:rsid w:val="004B5A74"/>
    <w:rsid w:val="004B5B15"/>
    <w:rsid w:val="004B5B1D"/>
    <w:rsid w:val="004B5B31"/>
    <w:rsid w:val="004B5B45"/>
    <w:rsid w:val="004B5B57"/>
    <w:rsid w:val="004B5B5A"/>
    <w:rsid w:val="004B5B84"/>
    <w:rsid w:val="004B5BD0"/>
    <w:rsid w:val="004B5BF9"/>
    <w:rsid w:val="004B5C07"/>
    <w:rsid w:val="004B5C1A"/>
    <w:rsid w:val="004B5C2E"/>
    <w:rsid w:val="004B5C33"/>
    <w:rsid w:val="004B5C4E"/>
    <w:rsid w:val="004B5C56"/>
    <w:rsid w:val="004B5C64"/>
    <w:rsid w:val="004B5CA9"/>
    <w:rsid w:val="004B5CC2"/>
    <w:rsid w:val="004B5CD2"/>
    <w:rsid w:val="004B5D03"/>
    <w:rsid w:val="004B5D3D"/>
    <w:rsid w:val="004B5D44"/>
    <w:rsid w:val="004B5D81"/>
    <w:rsid w:val="004B5D91"/>
    <w:rsid w:val="004B5D9F"/>
    <w:rsid w:val="004B5DB6"/>
    <w:rsid w:val="004B5DD1"/>
    <w:rsid w:val="004B5DEF"/>
    <w:rsid w:val="004B5E60"/>
    <w:rsid w:val="004B5E78"/>
    <w:rsid w:val="004B5EB5"/>
    <w:rsid w:val="004B5EBD"/>
    <w:rsid w:val="004B5EDE"/>
    <w:rsid w:val="004B5F27"/>
    <w:rsid w:val="004B5F85"/>
    <w:rsid w:val="004B5F98"/>
    <w:rsid w:val="004B5F9D"/>
    <w:rsid w:val="004B5FAB"/>
    <w:rsid w:val="004B5FF4"/>
    <w:rsid w:val="004B6032"/>
    <w:rsid w:val="004B6077"/>
    <w:rsid w:val="004B6094"/>
    <w:rsid w:val="004B6096"/>
    <w:rsid w:val="004B60C9"/>
    <w:rsid w:val="004B60F2"/>
    <w:rsid w:val="004B6102"/>
    <w:rsid w:val="004B6163"/>
    <w:rsid w:val="004B6165"/>
    <w:rsid w:val="004B61F1"/>
    <w:rsid w:val="004B622A"/>
    <w:rsid w:val="004B6230"/>
    <w:rsid w:val="004B6235"/>
    <w:rsid w:val="004B6273"/>
    <w:rsid w:val="004B629C"/>
    <w:rsid w:val="004B62C7"/>
    <w:rsid w:val="004B62D2"/>
    <w:rsid w:val="004B62DF"/>
    <w:rsid w:val="004B62EF"/>
    <w:rsid w:val="004B62F7"/>
    <w:rsid w:val="004B630F"/>
    <w:rsid w:val="004B6320"/>
    <w:rsid w:val="004B637F"/>
    <w:rsid w:val="004B63C5"/>
    <w:rsid w:val="004B642E"/>
    <w:rsid w:val="004B6494"/>
    <w:rsid w:val="004B64D8"/>
    <w:rsid w:val="004B64ED"/>
    <w:rsid w:val="004B6510"/>
    <w:rsid w:val="004B652E"/>
    <w:rsid w:val="004B655B"/>
    <w:rsid w:val="004B657A"/>
    <w:rsid w:val="004B65DA"/>
    <w:rsid w:val="004B65F9"/>
    <w:rsid w:val="004B6630"/>
    <w:rsid w:val="004B663D"/>
    <w:rsid w:val="004B6661"/>
    <w:rsid w:val="004B6662"/>
    <w:rsid w:val="004B668B"/>
    <w:rsid w:val="004B66A1"/>
    <w:rsid w:val="004B66F5"/>
    <w:rsid w:val="004B670C"/>
    <w:rsid w:val="004B672F"/>
    <w:rsid w:val="004B6762"/>
    <w:rsid w:val="004B676A"/>
    <w:rsid w:val="004B67B1"/>
    <w:rsid w:val="004B6846"/>
    <w:rsid w:val="004B68B0"/>
    <w:rsid w:val="004B68B2"/>
    <w:rsid w:val="004B68FE"/>
    <w:rsid w:val="004B692E"/>
    <w:rsid w:val="004B6947"/>
    <w:rsid w:val="004B69B5"/>
    <w:rsid w:val="004B69D3"/>
    <w:rsid w:val="004B69DD"/>
    <w:rsid w:val="004B69EC"/>
    <w:rsid w:val="004B6A20"/>
    <w:rsid w:val="004B6A97"/>
    <w:rsid w:val="004B6B3A"/>
    <w:rsid w:val="004B6B85"/>
    <w:rsid w:val="004B6BB9"/>
    <w:rsid w:val="004B6BCB"/>
    <w:rsid w:val="004B6BF2"/>
    <w:rsid w:val="004B6C66"/>
    <w:rsid w:val="004B6C8B"/>
    <w:rsid w:val="004B6C94"/>
    <w:rsid w:val="004B6C9F"/>
    <w:rsid w:val="004B6CDC"/>
    <w:rsid w:val="004B6DC8"/>
    <w:rsid w:val="004B6DDD"/>
    <w:rsid w:val="004B6E49"/>
    <w:rsid w:val="004B6E60"/>
    <w:rsid w:val="004B6E6B"/>
    <w:rsid w:val="004B6EB1"/>
    <w:rsid w:val="004B6EC1"/>
    <w:rsid w:val="004B6ED8"/>
    <w:rsid w:val="004B6EF9"/>
    <w:rsid w:val="004B6F40"/>
    <w:rsid w:val="004B6F7F"/>
    <w:rsid w:val="004B6F82"/>
    <w:rsid w:val="004B6F9F"/>
    <w:rsid w:val="004B6FBC"/>
    <w:rsid w:val="004B6FFE"/>
    <w:rsid w:val="004B700F"/>
    <w:rsid w:val="004B706C"/>
    <w:rsid w:val="004B70E3"/>
    <w:rsid w:val="004B7106"/>
    <w:rsid w:val="004B7113"/>
    <w:rsid w:val="004B713E"/>
    <w:rsid w:val="004B717E"/>
    <w:rsid w:val="004B7193"/>
    <w:rsid w:val="004B71D2"/>
    <w:rsid w:val="004B7275"/>
    <w:rsid w:val="004B7298"/>
    <w:rsid w:val="004B72B9"/>
    <w:rsid w:val="004B737B"/>
    <w:rsid w:val="004B7381"/>
    <w:rsid w:val="004B73A2"/>
    <w:rsid w:val="004B73E7"/>
    <w:rsid w:val="004B7416"/>
    <w:rsid w:val="004B7457"/>
    <w:rsid w:val="004B7471"/>
    <w:rsid w:val="004B7479"/>
    <w:rsid w:val="004B74B5"/>
    <w:rsid w:val="004B74E8"/>
    <w:rsid w:val="004B7509"/>
    <w:rsid w:val="004B7524"/>
    <w:rsid w:val="004B7547"/>
    <w:rsid w:val="004B7571"/>
    <w:rsid w:val="004B7578"/>
    <w:rsid w:val="004B75C9"/>
    <w:rsid w:val="004B75EE"/>
    <w:rsid w:val="004B762E"/>
    <w:rsid w:val="004B76A7"/>
    <w:rsid w:val="004B7758"/>
    <w:rsid w:val="004B7772"/>
    <w:rsid w:val="004B777D"/>
    <w:rsid w:val="004B7791"/>
    <w:rsid w:val="004B7794"/>
    <w:rsid w:val="004B77B4"/>
    <w:rsid w:val="004B77DC"/>
    <w:rsid w:val="004B77E0"/>
    <w:rsid w:val="004B77E6"/>
    <w:rsid w:val="004B77F1"/>
    <w:rsid w:val="004B78B8"/>
    <w:rsid w:val="004B7912"/>
    <w:rsid w:val="004B7932"/>
    <w:rsid w:val="004B798C"/>
    <w:rsid w:val="004B7994"/>
    <w:rsid w:val="004B79A8"/>
    <w:rsid w:val="004B79D4"/>
    <w:rsid w:val="004B79EE"/>
    <w:rsid w:val="004B7A2A"/>
    <w:rsid w:val="004B7A37"/>
    <w:rsid w:val="004B7A47"/>
    <w:rsid w:val="004B7A98"/>
    <w:rsid w:val="004B7AA6"/>
    <w:rsid w:val="004B7AB9"/>
    <w:rsid w:val="004B7AE4"/>
    <w:rsid w:val="004B7AF6"/>
    <w:rsid w:val="004B7AF8"/>
    <w:rsid w:val="004B7B25"/>
    <w:rsid w:val="004B7B2E"/>
    <w:rsid w:val="004B7B64"/>
    <w:rsid w:val="004B7B7D"/>
    <w:rsid w:val="004B7B86"/>
    <w:rsid w:val="004B7B9C"/>
    <w:rsid w:val="004B7BC4"/>
    <w:rsid w:val="004B7BF9"/>
    <w:rsid w:val="004B7C01"/>
    <w:rsid w:val="004B7C47"/>
    <w:rsid w:val="004B7C52"/>
    <w:rsid w:val="004B7CA1"/>
    <w:rsid w:val="004B7CD0"/>
    <w:rsid w:val="004B7CE8"/>
    <w:rsid w:val="004B7D14"/>
    <w:rsid w:val="004B7D2B"/>
    <w:rsid w:val="004B7D6A"/>
    <w:rsid w:val="004B7D80"/>
    <w:rsid w:val="004B7DA5"/>
    <w:rsid w:val="004B7DA8"/>
    <w:rsid w:val="004B7DB9"/>
    <w:rsid w:val="004B7DC3"/>
    <w:rsid w:val="004B7DE3"/>
    <w:rsid w:val="004B7E10"/>
    <w:rsid w:val="004B7E4A"/>
    <w:rsid w:val="004B7E7E"/>
    <w:rsid w:val="004B7E9A"/>
    <w:rsid w:val="004B7EA8"/>
    <w:rsid w:val="004B7EE7"/>
    <w:rsid w:val="004B7F00"/>
    <w:rsid w:val="004B7F25"/>
    <w:rsid w:val="004B7F44"/>
    <w:rsid w:val="004B7FDE"/>
    <w:rsid w:val="004C0009"/>
    <w:rsid w:val="004C000B"/>
    <w:rsid w:val="004C0056"/>
    <w:rsid w:val="004C00A0"/>
    <w:rsid w:val="004C00A4"/>
    <w:rsid w:val="004C00BB"/>
    <w:rsid w:val="004C00C3"/>
    <w:rsid w:val="004C00F5"/>
    <w:rsid w:val="004C0109"/>
    <w:rsid w:val="004C01C4"/>
    <w:rsid w:val="004C01C5"/>
    <w:rsid w:val="004C01CC"/>
    <w:rsid w:val="004C01D5"/>
    <w:rsid w:val="004C0254"/>
    <w:rsid w:val="004C026C"/>
    <w:rsid w:val="004C02A9"/>
    <w:rsid w:val="004C02E7"/>
    <w:rsid w:val="004C0336"/>
    <w:rsid w:val="004C037D"/>
    <w:rsid w:val="004C03A5"/>
    <w:rsid w:val="004C03D5"/>
    <w:rsid w:val="004C03EB"/>
    <w:rsid w:val="004C03EC"/>
    <w:rsid w:val="004C048C"/>
    <w:rsid w:val="004C04DE"/>
    <w:rsid w:val="004C050C"/>
    <w:rsid w:val="004C0514"/>
    <w:rsid w:val="004C0592"/>
    <w:rsid w:val="004C059E"/>
    <w:rsid w:val="004C05B5"/>
    <w:rsid w:val="004C05FB"/>
    <w:rsid w:val="004C05FF"/>
    <w:rsid w:val="004C0618"/>
    <w:rsid w:val="004C0650"/>
    <w:rsid w:val="004C0688"/>
    <w:rsid w:val="004C06D7"/>
    <w:rsid w:val="004C06D9"/>
    <w:rsid w:val="004C06EA"/>
    <w:rsid w:val="004C0700"/>
    <w:rsid w:val="004C0741"/>
    <w:rsid w:val="004C076D"/>
    <w:rsid w:val="004C0780"/>
    <w:rsid w:val="004C07A4"/>
    <w:rsid w:val="004C081A"/>
    <w:rsid w:val="004C0876"/>
    <w:rsid w:val="004C08D5"/>
    <w:rsid w:val="004C095B"/>
    <w:rsid w:val="004C0975"/>
    <w:rsid w:val="004C0987"/>
    <w:rsid w:val="004C098E"/>
    <w:rsid w:val="004C09FF"/>
    <w:rsid w:val="004C0A3B"/>
    <w:rsid w:val="004C0A65"/>
    <w:rsid w:val="004C0A92"/>
    <w:rsid w:val="004C0AEC"/>
    <w:rsid w:val="004C0AFA"/>
    <w:rsid w:val="004C0B8C"/>
    <w:rsid w:val="004C0C08"/>
    <w:rsid w:val="004C0C0D"/>
    <w:rsid w:val="004C0D11"/>
    <w:rsid w:val="004C0DB7"/>
    <w:rsid w:val="004C0DD4"/>
    <w:rsid w:val="004C0E95"/>
    <w:rsid w:val="004C0ECE"/>
    <w:rsid w:val="004C0ED0"/>
    <w:rsid w:val="004C0EF0"/>
    <w:rsid w:val="004C0EF3"/>
    <w:rsid w:val="004C0EF8"/>
    <w:rsid w:val="004C0EFD"/>
    <w:rsid w:val="004C0F6B"/>
    <w:rsid w:val="004C0F74"/>
    <w:rsid w:val="004C0F81"/>
    <w:rsid w:val="004C0F97"/>
    <w:rsid w:val="004C0FE6"/>
    <w:rsid w:val="004C1003"/>
    <w:rsid w:val="004C100C"/>
    <w:rsid w:val="004C1037"/>
    <w:rsid w:val="004C1069"/>
    <w:rsid w:val="004C1084"/>
    <w:rsid w:val="004C1097"/>
    <w:rsid w:val="004C10FE"/>
    <w:rsid w:val="004C1109"/>
    <w:rsid w:val="004C1197"/>
    <w:rsid w:val="004C1223"/>
    <w:rsid w:val="004C1260"/>
    <w:rsid w:val="004C127B"/>
    <w:rsid w:val="004C1295"/>
    <w:rsid w:val="004C129D"/>
    <w:rsid w:val="004C12CC"/>
    <w:rsid w:val="004C12F8"/>
    <w:rsid w:val="004C1315"/>
    <w:rsid w:val="004C1381"/>
    <w:rsid w:val="004C1384"/>
    <w:rsid w:val="004C1386"/>
    <w:rsid w:val="004C13CA"/>
    <w:rsid w:val="004C1422"/>
    <w:rsid w:val="004C1429"/>
    <w:rsid w:val="004C1442"/>
    <w:rsid w:val="004C1447"/>
    <w:rsid w:val="004C14AE"/>
    <w:rsid w:val="004C14F4"/>
    <w:rsid w:val="004C1520"/>
    <w:rsid w:val="004C1529"/>
    <w:rsid w:val="004C1548"/>
    <w:rsid w:val="004C1590"/>
    <w:rsid w:val="004C15B9"/>
    <w:rsid w:val="004C15D2"/>
    <w:rsid w:val="004C15EF"/>
    <w:rsid w:val="004C15F9"/>
    <w:rsid w:val="004C164E"/>
    <w:rsid w:val="004C1655"/>
    <w:rsid w:val="004C1673"/>
    <w:rsid w:val="004C167D"/>
    <w:rsid w:val="004C1689"/>
    <w:rsid w:val="004C16CD"/>
    <w:rsid w:val="004C172E"/>
    <w:rsid w:val="004C1749"/>
    <w:rsid w:val="004C177E"/>
    <w:rsid w:val="004C177F"/>
    <w:rsid w:val="004C1786"/>
    <w:rsid w:val="004C17B2"/>
    <w:rsid w:val="004C1837"/>
    <w:rsid w:val="004C183A"/>
    <w:rsid w:val="004C1857"/>
    <w:rsid w:val="004C186B"/>
    <w:rsid w:val="004C186E"/>
    <w:rsid w:val="004C1882"/>
    <w:rsid w:val="004C1884"/>
    <w:rsid w:val="004C1897"/>
    <w:rsid w:val="004C18B3"/>
    <w:rsid w:val="004C18C7"/>
    <w:rsid w:val="004C18D6"/>
    <w:rsid w:val="004C18FA"/>
    <w:rsid w:val="004C19E6"/>
    <w:rsid w:val="004C19E8"/>
    <w:rsid w:val="004C19FE"/>
    <w:rsid w:val="004C1A0D"/>
    <w:rsid w:val="004C1A24"/>
    <w:rsid w:val="004C1A7B"/>
    <w:rsid w:val="004C1A7E"/>
    <w:rsid w:val="004C1A85"/>
    <w:rsid w:val="004C1AC4"/>
    <w:rsid w:val="004C1B24"/>
    <w:rsid w:val="004C1B2A"/>
    <w:rsid w:val="004C1B2E"/>
    <w:rsid w:val="004C1B6C"/>
    <w:rsid w:val="004C1B94"/>
    <w:rsid w:val="004C1BCB"/>
    <w:rsid w:val="004C1C07"/>
    <w:rsid w:val="004C1C2F"/>
    <w:rsid w:val="004C1C58"/>
    <w:rsid w:val="004C1C64"/>
    <w:rsid w:val="004C1C77"/>
    <w:rsid w:val="004C1C7D"/>
    <w:rsid w:val="004C1CA8"/>
    <w:rsid w:val="004C1CAE"/>
    <w:rsid w:val="004C1CE4"/>
    <w:rsid w:val="004C1D00"/>
    <w:rsid w:val="004C1D12"/>
    <w:rsid w:val="004C1D1D"/>
    <w:rsid w:val="004C1D63"/>
    <w:rsid w:val="004C1DA2"/>
    <w:rsid w:val="004C1DA9"/>
    <w:rsid w:val="004C1DB2"/>
    <w:rsid w:val="004C1DB7"/>
    <w:rsid w:val="004C1E36"/>
    <w:rsid w:val="004C1E58"/>
    <w:rsid w:val="004C1E60"/>
    <w:rsid w:val="004C1E95"/>
    <w:rsid w:val="004C1F47"/>
    <w:rsid w:val="004C1F53"/>
    <w:rsid w:val="004C1F5A"/>
    <w:rsid w:val="004C1F5B"/>
    <w:rsid w:val="004C1F64"/>
    <w:rsid w:val="004C1F88"/>
    <w:rsid w:val="004C1FA1"/>
    <w:rsid w:val="004C1FBC"/>
    <w:rsid w:val="004C1FE8"/>
    <w:rsid w:val="004C1FEA"/>
    <w:rsid w:val="004C203D"/>
    <w:rsid w:val="004C204B"/>
    <w:rsid w:val="004C204F"/>
    <w:rsid w:val="004C208D"/>
    <w:rsid w:val="004C20A5"/>
    <w:rsid w:val="004C20C2"/>
    <w:rsid w:val="004C20C4"/>
    <w:rsid w:val="004C20EC"/>
    <w:rsid w:val="004C2104"/>
    <w:rsid w:val="004C2109"/>
    <w:rsid w:val="004C210B"/>
    <w:rsid w:val="004C211F"/>
    <w:rsid w:val="004C21E9"/>
    <w:rsid w:val="004C220F"/>
    <w:rsid w:val="004C22A5"/>
    <w:rsid w:val="004C22EE"/>
    <w:rsid w:val="004C232C"/>
    <w:rsid w:val="004C235C"/>
    <w:rsid w:val="004C23EE"/>
    <w:rsid w:val="004C242B"/>
    <w:rsid w:val="004C24D7"/>
    <w:rsid w:val="004C24EB"/>
    <w:rsid w:val="004C251D"/>
    <w:rsid w:val="004C252B"/>
    <w:rsid w:val="004C2563"/>
    <w:rsid w:val="004C256B"/>
    <w:rsid w:val="004C25BC"/>
    <w:rsid w:val="004C25C9"/>
    <w:rsid w:val="004C25D6"/>
    <w:rsid w:val="004C25E8"/>
    <w:rsid w:val="004C260C"/>
    <w:rsid w:val="004C2610"/>
    <w:rsid w:val="004C2684"/>
    <w:rsid w:val="004C2693"/>
    <w:rsid w:val="004C26C4"/>
    <w:rsid w:val="004C2765"/>
    <w:rsid w:val="004C276E"/>
    <w:rsid w:val="004C2779"/>
    <w:rsid w:val="004C27C2"/>
    <w:rsid w:val="004C2855"/>
    <w:rsid w:val="004C28F1"/>
    <w:rsid w:val="004C2921"/>
    <w:rsid w:val="004C296A"/>
    <w:rsid w:val="004C29D7"/>
    <w:rsid w:val="004C29FD"/>
    <w:rsid w:val="004C2A05"/>
    <w:rsid w:val="004C2A1B"/>
    <w:rsid w:val="004C2A79"/>
    <w:rsid w:val="004C2AC5"/>
    <w:rsid w:val="004C2AC7"/>
    <w:rsid w:val="004C2AD9"/>
    <w:rsid w:val="004C2AEC"/>
    <w:rsid w:val="004C2AF1"/>
    <w:rsid w:val="004C2AF8"/>
    <w:rsid w:val="004C2AFF"/>
    <w:rsid w:val="004C2B17"/>
    <w:rsid w:val="004C2BC7"/>
    <w:rsid w:val="004C2BCE"/>
    <w:rsid w:val="004C2C7B"/>
    <w:rsid w:val="004C2CC3"/>
    <w:rsid w:val="004C2D81"/>
    <w:rsid w:val="004C2D96"/>
    <w:rsid w:val="004C2DBE"/>
    <w:rsid w:val="004C2E16"/>
    <w:rsid w:val="004C2E42"/>
    <w:rsid w:val="004C2E58"/>
    <w:rsid w:val="004C2E79"/>
    <w:rsid w:val="004C2EBB"/>
    <w:rsid w:val="004C2F01"/>
    <w:rsid w:val="004C2FAB"/>
    <w:rsid w:val="004C3071"/>
    <w:rsid w:val="004C3079"/>
    <w:rsid w:val="004C3092"/>
    <w:rsid w:val="004C30D5"/>
    <w:rsid w:val="004C311C"/>
    <w:rsid w:val="004C3135"/>
    <w:rsid w:val="004C3139"/>
    <w:rsid w:val="004C3150"/>
    <w:rsid w:val="004C3198"/>
    <w:rsid w:val="004C31E1"/>
    <w:rsid w:val="004C31E8"/>
    <w:rsid w:val="004C31F8"/>
    <w:rsid w:val="004C3238"/>
    <w:rsid w:val="004C3247"/>
    <w:rsid w:val="004C3262"/>
    <w:rsid w:val="004C3279"/>
    <w:rsid w:val="004C32A8"/>
    <w:rsid w:val="004C32C7"/>
    <w:rsid w:val="004C336B"/>
    <w:rsid w:val="004C3394"/>
    <w:rsid w:val="004C3395"/>
    <w:rsid w:val="004C33C3"/>
    <w:rsid w:val="004C33DB"/>
    <w:rsid w:val="004C3408"/>
    <w:rsid w:val="004C3411"/>
    <w:rsid w:val="004C342C"/>
    <w:rsid w:val="004C342D"/>
    <w:rsid w:val="004C3456"/>
    <w:rsid w:val="004C3459"/>
    <w:rsid w:val="004C34D1"/>
    <w:rsid w:val="004C34F2"/>
    <w:rsid w:val="004C34F4"/>
    <w:rsid w:val="004C3503"/>
    <w:rsid w:val="004C3543"/>
    <w:rsid w:val="004C354A"/>
    <w:rsid w:val="004C358B"/>
    <w:rsid w:val="004C3597"/>
    <w:rsid w:val="004C35B2"/>
    <w:rsid w:val="004C35E3"/>
    <w:rsid w:val="004C3627"/>
    <w:rsid w:val="004C3634"/>
    <w:rsid w:val="004C3636"/>
    <w:rsid w:val="004C3642"/>
    <w:rsid w:val="004C3650"/>
    <w:rsid w:val="004C3683"/>
    <w:rsid w:val="004C3699"/>
    <w:rsid w:val="004C377D"/>
    <w:rsid w:val="004C37B3"/>
    <w:rsid w:val="004C37FF"/>
    <w:rsid w:val="004C380E"/>
    <w:rsid w:val="004C3810"/>
    <w:rsid w:val="004C3858"/>
    <w:rsid w:val="004C38A9"/>
    <w:rsid w:val="004C38B7"/>
    <w:rsid w:val="004C38C5"/>
    <w:rsid w:val="004C38CA"/>
    <w:rsid w:val="004C38F1"/>
    <w:rsid w:val="004C38F5"/>
    <w:rsid w:val="004C391B"/>
    <w:rsid w:val="004C392B"/>
    <w:rsid w:val="004C398A"/>
    <w:rsid w:val="004C3993"/>
    <w:rsid w:val="004C399F"/>
    <w:rsid w:val="004C39C8"/>
    <w:rsid w:val="004C3A0C"/>
    <w:rsid w:val="004C3A3F"/>
    <w:rsid w:val="004C3A84"/>
    <w:rsid w:val="004C3A98"/>
    <w:rsid w:val="004C3B04"/>
    <w:rsid w:val="004C3B29"/>
    <w:rsid w:val="004C3B4A"/>
    <w:rsid w:val="004C3B5D"/>
    <w:rsid w:val="004C3B7F"/>
    <w:rsid w:val="004C3B9B"/>
    <w:rsid w:val="004C3BAC"/>
    <w:rsid w:val="004C3C26"/>
    <w:rsid w:val="004C3C30"/>
    <w:rsid w:val="004C3C3F"/>
    <w:rsid w:val="004C3C82"/>
    <w:rsid w:val="004C3C8C"/>
    <w:rsid w:val="004C3CB8"/>
    <w:rsid w:val="004C3CC6"/>
    <w:rsid w:val="004C3CD0"/>
    <w:rsid w:val="004C3CF8"/>
    <w:rsid w:val="004C3D09"/>
    <w:rsid w:val="004C3D1F"/>
    <w:rsid w:val="004C3D44"/>
    <w:rsid w:val="004C3D5B"/>
    <w:rsid w:val="004C3DDA"/>
    <w:rsid w:val="004C3DEC"/>
    <w:rsid w:val="004C3DFA"/>
    <w:rsid w:val="004C3E09"/>
    <w:rsid w:val="004C3E51"/>
    <w:rsid w:val="004C3E59"/>
    <w:rsid w:val="004C3EC5"/>
    <w:rsid w:val="004C3F1E"/>
    <w:rsid w:val="004C3F33"/>
    <w:rsid w:val="004C3FB9"/>
    <w:rsid w:val="004C3FD2"/>
    <w:rsid w:val="004C3FF9"/>
    <w:rsid w:val="004C40A8"/>
    <w:rsid w:val="004C40C3"/>
    <w:rsid w:val="004C40D1"/>
    <w:rsid w:val="004C4102"/>
    <w:rsid w:val="004C413A"/>
    <w:rsid w:val="004C4141"/>
    <w:rsid w:val="004C417D"/>
    <w:rsid w:val="004C41BF"/>
    <w:rsid w:val="004C422C"/>
    <w:rsid w:val="004C42C7"/>
    <w:rsid w:val="004C42F8"/>
    <w:rsid w:val="004C4309"/>
    <w:rsid w:val="004C430A"/>
    <w:rsid w:val="004C432C"/>
    <w:rsid w:val="004C4350"/>
    <w:rsid w:val="004C436E"/>
    <w:rsid w:val="004C4398"/>
    <w:rsid w:val="004C43B4"/>
    <w:rsid w:val="004C43F9"/>
    <w:rsid w:val="004C4400"/>
    <w:rsid w:val="004C444E"/>
    <w:rsid w:val="004C4483"/>
    <w:rsid w:val="004C44B8"/>
    <w:rsid w:val="004C44E2"/>
    <w:rsid w:val="004C44ED"/>
    <w:rsid w:val="004C44F2"/>
    <w:rsid w:val="004C44FF"/>
    <w:rsid w:val="004C4509"/>
    <w:rsid w:val="004C450E"/>
    <w:rsid w:val="004C4513"/>
    <w:rsid w:val="004C4519"/>
    <w:rsid w:val="004C4531"/>
    <w:rsid w:val="004C4542"/>
    <w:rsid w:val="004C4543"/>
    <w:rsid w:val="004C4557"/>
    <w:rsid w:val="004C455D"/>
    <w:rsid w:val="004C4581"/>
    <w:rsid w:val="004C4590"/>
    <w:rsid w:val="004C45A9"/>
    <w:rsid w:val="004C45BC"/>
    <w:rsid w:val="004C45C5"/>
    <w:rsid w:val="004C4615"/>
    <w:rsid w:val="004C4647"/>
    <w:rsid w:val="004C464F"/>
    <w:rsid w:val="004C467B"/>
    <w:rsid w:val="004C46AB"/>
    <w:rsid w:val="004C46B1"/>
    <w:rsid w:val="004C46D5"/>
    <w:rsid w:val="004C4706"/>
    <w:rsid w:val="004C470D"/>
    <w:rsid w:val="004C4727"/>
    <w:rsid w:val="004C474D"/>
    <w:rsid w:val="004C4780"/>
    <w:rsid w:val="004C47A4"/>
    <w:rsid w:val="004C47A9"/>
    <w:rsid w:val="004C4810"/>
    <w:rsid w:val="004C4856"/>
    <w:rsid w:val="004C4864"/>
    <w:rsid w:val="004C4875"/>
    <w:rsid w:val="004C487F"/>
    <w:rsid w:val="004C489A"/>
    <w:rsid w:val="004C48A2"/>
    <w:rsid w:val="004C4931"/>
    <w:rsid w:val="004C4960"/>
    <w:rsid w:val="004C4984"/>
    <w:rsid w:val="004C49CD"/>
    <w:rsid w:val="004C4A2C"/>
    <w:rsid w:val="004C4A2D"/>
    <w:rsid w:val="004C4A33"/>
    <w:rsid w:val="004C4A68"/>
    <w:rsid w:val="004C4AAD"/>
    <w:rsid w:val="004C4AD1"/>
    <w:rsid w:val="004C4AE6"/>
    <w:rsid w:val="004C4AEB"/>
    <w:rsid w:val="004C4AF0"/>
    <w:rsid w:val="004C4B0E"/>
    <w:rsid w:val="004C4B2A"/>
    <w:rsid w:val="004C4B63"/>
    <w:rsid w:val="004C4B9F"/>
    <w:rsid w:val="004C4BC6"/>
    <w:rsid w:val="004C4BDB"/>
    <w:rsid w:val="004C4BF5"/>
    <w:rsid w:val="004C4C2A"/>
    <w:rsid w:val="004C4C50"/>
    <w:rsid w:val="004C4C70"/>
    <w:rsid w:val="004C4CC5"/>
    <w:rsid w:val="004C4D4C"/>
    <w:rsid w:val="004C4DB2"/>
    <w:rsid w:val="004C4DDD"/>
    <w:rsid w:val="004C4DF2"/>
    <w:rsid w:val="004C4E08"/>
    <w:rsid w:val="004C4E1D"/>
    <w:rsid w:val="004C4E50"/>
    <w:rsid w:val="004C4E6E"/>
    <w:rsid w:val="004C4EB9"/>
    <w:rsid w:val="004C4EC6"/>
    <w:rsid w:val="004C4EE1"/>
    <w:rsid w:val="004C4F04"/>
    <w:rsid w:val="004C4F1A"/>
    <w:rsid w:val="004C4F33"/>
    <w:rsid w:val="004C4F38"/>
    <w:rsid w:val="004C4F48"/>
    <w:rsid w:val="004C4F68"/>
    <w:rsid w:val="004C5033"/>
    <w:rsid w:val="004C5051"/>
    <w:rsid w:val="004C5055"/>
    <w:rsid w:val="004C5097"/>
    <w:rsid w:val="004C50E0"/>
    <w:rsid w:val="004C50E6"/>
    <w:rsid w:val="004C5110"/>
    <w:rsid w:val="004C5129"/>
    <w:rsid w:val="004C51B1"/>
    <w:rsid w:val="004C51DD"/>
    <w:rsid w:val="004C520F"/>
    <w:rsid w:val="004C5258"/>
    <w:rsid w:val="004C527E"/>
    <w:rsid w:val="004C5298"/>
    <w:rsid w:val="004C52AD"/>
    <w:rsid w:val="004C52BE"/>
    <w:rsid w:val="004C52CA"/>
    <w:rsid w:val="004C532D"/>
    <w:rsid w:val="004C535D"/>
    <w:rsid w:val="004C537A"/>
    <w:rsid w:val="004C53B9"/>
    <w:rsid w:val="004C5404"/>
    <w:rsid w:val="004C547D"/>
    <w:rsid w:val="004C54A4"/>
    <w:rsid w:val="004C5502"/>
    <w:rsid w:val="004C5530"/>
    <w:rsid w:val="004C5533"/>
    <w:rsid w:val="004C5583"/>
    <w:rsid w:val="004C55CB"/>
    <w:rsid w:val="004C55DE"/>
    <w:rsid w:val="004C55FB"/>
    <w:rsid w:val="004C5617"/>
    <w:rsid w:val="004C561B"/>
    <w:rsid w:val="004C562A"/>
    <w:rsid w:val="004C56BC"/>
    <w:rsid w:val="004C56BF"/>
    <w:rsid w:val="004C573C"/>
    <w:rsid w:val="004C5788"/>
    <w:rsid w:val="004C57CD"/>
    <w:rsid w:val="004C5824"/>
    <w:rsid w:val="004C5840"/>
    <w:rsid w:val="004C5871"/>
    <w:rsid w:val="004C5879"/>
    <w:rsid w:val="004C58D8"/>
    <w:rsid w:val="004C58F7"/>
    <w:rsid w:val="004C5937"/>
    <w:rsid w:val="004C594A"/>
    <w:rsid w:val="004C59B2"/>
    <w:rsid w:val="004C59B6"/>
    <w:rsid w:val="004C59CA"/>
    <w:rsid w:val="004C59E5"/>
    <w:rsid w:val="004C5A03"/>
    <w:rsid w:val="004C5A04"/>
    <w:rsid w:val="004C5A3D"/>
    <w:rsid w:val="004C5A48"/>
    <w:rsid w:val="004C5A62"/>
    <w:rsid w:val="004C5AA5"/>
    <w:rsid w:val="004C5ABE"/>
    <w:rsid w:val="004C5ACE"/>
    <w:rsid w:val="004C5AE8"/>
    <w:rsid w:val="004C5B02"/>
    <w:rsid w:val="004C5B1F"/>
    <w:rsid w:val="004C5B2A"/>
    <w:rsid w:val="004C5B3F"/>
    <w:rsid w:val="004C5B40"/>
    <w:rsid w:val="004C5B48"/>
    <w:rsid w:val="004C5B89"/>
    <w:rsid w:val="004C5BA1"/>
    <w:rsid w:val="004C5BC4"/>
    <w:rsid w:val="004C5BFD"/>
    <w:rsid w:val="004C5C0A"/>
    <w:rsid w:val="004C5C68"/>
    <w:rsid w:val="004C5C91"/>
    <w:rsid w:val="004C5CB6"/>
    <w:rsid w:val="004C5D02"/>
    <w:rsid w:val="004C5D2D"/>
    <w:rsid w:val="004C5D45"/>
    <w:rsid w:val="004C5D53"/>
    <w:rsid w:val="004C5D60"/>
    <w:rsid w:val="004C5D81"/>
    <w:rsid w:val="004C5D85"/>
    <w:rsid w:val="004C5DB4"/>
    <w:rsid w:val="004C5DD8"/>
    <w:rsid w:val="004C5E34"/>
    <w:rsid w:val="004C5E4A"/>
    <w:rsid w:val="004C5E71"/>
    <w:rsid w:val="004C5EBF"/>
    <w:rsid w:val="004C5EFB"/>
    <w:rsid w:val="004C5F52"/>
    <w:rsid w:val="004C5F73"/>
    <w:rsid w:val="004C5F90"/>
    <w:rsid w:val="004C5FBE"/>
    <w:rsid w:val="004C5FC5"/>
    <w:rsid w:val="004C5FE8"/>
    <w:rsid w:val="004C602E"/>
    <w:rsid w:val="004C6075"/>
    <w:rsid w:val="004C6094"/>
    <w:rsid w:val="004C60BF"/>
    <w:rsid w:val="004C60D1"/>
    <w:rsid w:val="004C60D8"/>
    <w:rsid w:val="004C60E0"/>
    <w:rsid w:val="004C6152"/>
    <w:rsid w:val="004C615A"/>
    <w:rsid w:val="004C61AD"/>
    <w:rsid w:val="004C61EF"/>
    <w:rsid w:val="004C61F7"/>
    <w:rsid w:val="004C61FF"/>
    <w:rsid w:val="004C6219"/>
    <w:rsid w:val="004C626F"/>
    <w:rsid w:val="004C62AE"/>
    <w:rsid w:val="004C62DA"/>
    <w:rsid w:val="004C6333"/>
    <w:rsid w:val="004C6334"/>
    <w:rsid w:val="004C635B"/>
    <w:rsid w:val="004C63CD"/>
    <w:rsid w:val="004C6417"/>
    <w:rsid w:val="004C643E"/>
    <w:rsid w:val="004C645A"/>
    <w:rsid w:val="004C645E"/>
    <w:rsid w:val="004C6460"/>
    <w:rsid w:val="004C6475"/>
    <w:rsid w:val="004C64BA"/>
    <w:rsid w:val="004C64D0"/>
    <w:rsid w:val="004C6537"/>
    <w:rsid w:val="004C65C6"/>
    <w:rsid w:val="004C65DE"/>
    <w:rsid w:val="004C65EA"/>
    <w:rsid w:val="004C664C"/>
    <w:rsid w:val="004C666B"/>
    <w:rsid w:val="004C668E"/>
    <w:rsid w:val="004C66D8"/>
    <w:rsid w:val="004C66F9"/>
    <w:rsid w:val="004C6715"/>
    <w:rsid w:val="004C6744"/>
    <w:rsid w:val="004C678A"/>
    <w:rsid w:val="004C678D"/>
    <w:rsid w:val="004C6799"/>
    <w:rsid w:val="004C67A4"/>
    <w:rsid w:val="004C67C3"/>
    <w:rsid w:val="004C67E6"/>
    <w:rsid w:val="004C681A"/>
    <w:rsid w:val="004C6858"/>
    <w:rsid w:val="004C68DF"/>
    <w:rsid w:val="004C692A"/>
    <w:rsid w:val="004C6947"/>
    <w:rsid w:val="004C6973"/>
    <w:rsid w:val="004C69A0"/>
    <w:rsid w:val="004C69D3"/>
    <w:rsid w:val="004C69D7"/>
    <w:rsid w:val="004C69FE"/>
    <w:rsid w:val="004C6A01"/>
    <w:rsid w:val="004C6A27"/>
    <w:rsid w:val="004C6A35"/>
    <w:rsid w:val="004C6A44"/>
    <w:rsid w:val="004C6A69"/>
    <w:rsid w:val="004C6B10"/>
    <w:rsid w:val="004C6B3E"/>
    <w:rsid w:val="004C6B4A"/>
    <w:rsid w:val="004C6B56"/>
    <w:rsid w:val="004C6B90"/>
    <w:rsid w:val="004C6BBA"/>
    <w:rsid w:val="004C6BDA"/>
    <w:rsid w:val="004C6BFD"/>
    <w:rsid w:val="004C6C01"/>
    <w:rsid w:val="004C6C2F"/>
    <w:rsid w:val="004C6CD1"/>
    <w:rsid w:val="004C6D34"/>
    <w:rsid w:val="004C6D4A"/>
    <w:rsid w:val="004C6D8C"/>
    <w:rsid w:val="004C6DC5"/>
    <w:rsid w:val="004C6DCE"/>
    <w:rsid w:val="004C6E3C"/>
    <w:rsid w:val="004C6E6A"/>
    <w:rsid w:val="004C6E93"/>
    <w:rsid w:val="004C6EA1"/>
    <w:rsid w:val="004C6EDC"/>
    <w:rsid w:val="004C6EF2"/>
    <w:rsid w:val="004C6F28"/>
    <w:rsid w:val="004C6F6E"/>
    <w:rsid w:val="004C6F72"/>
    <w:rsid w:val="004C6F8E"/>
    <w:rsid w:val="004C6FA6"/>
    <w:rsid w:val="004C707D"/>
    <w:rsid w:val="004C70CD"/>
    <w:rsid w:val="004C70D4"/>
    <w:rsid w:val="004C711E"/>
    <w:rsid w:val="004C7133"/>
    <w:rsid w:val="004C7137"/>
    <w:rsid w:val="004C7147"/>
    <w:rsid w:val="004C7158"/>
    <w:rsid w:val="004C71C1"/>
    <w:rsid w:val="004C71C9"/>
    <w:rsid w:val="004C71E9"/>
    <w:rsid w:val="004C71ED"/>
    <w:rsid w:val="004C720C"/>
    <w:rsid w:val="004C732A"/>
    <w:rsid w:val="004C733D"/>
    <w:rsid w:val="004C7358"/>
    <w:rsid w:val="004C739C"/>
    <w:rsid w:val="004C73AE"/>
    <w:rsid w:val="004C73E0"/>
    <w:rsid w:val="004C7419"/>
    <w:rsid w:val="004C7436"/>
    <w:rsid w:val="004C743A"/>
    <w:rsid w:val="004C7442"/>
    <w:rsid w:val="004C7445"/>
    <w:rsid w:val="004C7494"/>
    <w:rsid w:val="004C7498"/>
    <w:rsid w:val="004C74C6"/>
    <w:rsid w:val="004C74CD"/>
    <w:rsid w:val="004C74D7"/>
    <w:rsid w:val="004C74DC"/>
    <w:rsid w:val="004C7555"/>
    <w:rsid w:val="004C7568"/>
    <w:rsid w:val="004C7582"/>
    <w:rsid w:val="004C7587"/>
    <w:rsid w:val="004C758A"/>
    <w:rsid w:val="004C75AC"/>
    <w:rsid w:val="004C75FA"/>
    <w:rsid w:val="004C761A"/>
    <w:rsid w:val="004C7641"/>
    <w:rsid w:val="004C7673"/>
    <w:rsid w:val="004C7719"/>
    <w:rsid w:val="004C771F"/>
    <w:rsid w:val="004C7750"/>
    <w:rsid w:val="004C7760"/>
    <w:rsid w:val="004C7773"/>
    <w:rsid w:val="004C778E"/>
    <w:rsid w:val="004C77DA"/>
    <w:rsid w:val="004C7811"/>
    <w:rsid w:val="004C7819"/>
    <w:rsid w:val="004C7822"/>
    <w:rsid w:val="004C786C"/>
    <w:rsid w:val="004C7871"/>
    <w:rsid w:val="004C78AF"/>
    <w:rsid w:val="004C78E1"/>
    <w:rsid w:val="004C7922"/>
    <w:rsid w:val="004C7929"/>
    <w:rsid w:val="004C7969"/>
    <w:rsid w:val="004C7970"/>
    <w:rsid w:val="004C79AF"/>
    <w:rsid w:val="004C79C8"/>
    <w:rsid w:val="004C7A5F"/>
    <w:rsid w:val="004C7A6F"/>
    <w:rsid w:val="004C7ACB"/>
    <w:rsid w:val="004C7AD9"/>
    <w:rsid w:val="004C7B11"/>
    <w:rsid w:val="004C7B2F"/>
    <w:rsid w:val="004C7B44"/>
    <w:rsid w:val="004C7B49"/>
    <w:rsid w:val="004C7B61"/>
    <w:rsid w:val="004C7B73"/>
    <w:rsid w:val="004C7C47"/>
    <w:rsid w:val="004C7C5E"/>
    <w:rsid w:val="004C7C9B"/>
    <w:rsid w:val="004C7C9F"/>
    <w:rsid w:val="004C7CBA"/>
    <w:rsid w:val="004C7CF8"/>
    <w:rsid w:val="004C7D0D"/>
    <w:rsid w:val="004C7D81"/>
    <w:rsid w:val="004C7D8D"/>
    <w:rsid w:val="004C7D94"/>
    <w:rsid w:val="004C7DEC"/>
    <w:rsid w:val="004C7DFA"/>
    <w:rsid w:val="004C7E87"/>
    <w:rsid w:val="004C7E95"/>
    <w:rsid w:val="004C7E97"/>
    <w:rsid w:val="004C7EA7"/>
    <w:rsid w:val="004C7EDB"/>
    <w:rsid w:val="004C7EE4"/>
    <w:rsid w:val="004C7F09"/>
    <w:rsid w:val="004C7F12"/>
    <w:rsid w:val="004C7F47"/>
    <w:rsid w:val="004C7FA9"/>
    <w:rsid w:val="004C7FE5"/>
    <w:rsid w:val="004C7FE8"/>
    <w:rsid w:val="004D0014"/>
    <w:rsid w:val="004D002B"/>
    <w:rsid w:val="004D0032"/>
    <w:rsid w:val="004D004F"/>
    <w:rsid w:val="004D006A"/>
    <w:rsid w:val="004D006B"/>
    <w:rsid w:val="004D0076"/>
    <w:rsid w:val="004D00A0"/>
    <w:rsid w:val="004D00B2"/>
    <w:rsid w:val="004D0110"/>
    <w:rsid w:val="004D011F"/>
    <w:rsid w:val="004D0137"/>
    <w:rsid w:val="004D0142"/>
    <w:rsid w:val="004D0173"/>
    <w:rsid w:val="004D017E"/>
    <w:rsid w:val="004D0196"/>
    <w:rsid w:val="004D01CC"/>
    <w:rsid w:val="004D01EF"/>
    <w:rsid w:val="004D0210"/>
    <w:rsid w:val="004D0215"/>
    <w:rsid w:val="004D0270"/>
    <w:rsid w:val="004D0295"/>
    <w:rsid w:val="004D02A0"/>
    <w:rsid w:val="004D02C4"/>
    <w:rsid w:val="004D0309"/>
    <w:rsid w:val="004D0327"/>
    <w:rsid w:val="004D0395"/>
    <w:rsid w:val="004D0432"/>
    <w:rsid w:val="004D048C"/>
    <w:rsid w:val="004D04BE"/>
    <w:rsid w:val="004D04F2"/>
    <w:rsid w:val="004D0513"/>
    <w:rsid w:val="004D055C"/>
    <w:rsid w:val="004D0567"/>
    <w:rsid w:val="004D0598"/>
    <w:rsid w:val="004D059D"/>
    <w:rsid w:val="004D05A0"/>
    <w:rsid w:val="004D05AC"/>
    <w:rsid w:val="004D05C8"/>
    <w:rsid w:val="004D05D9"/>
    <w:rsid w:val="004D0628"/>
    <w:rsid w:val="004D069A"/>
    <w:rsid w:val="004D0750"/>
    <w:rsid w:val="004D075F"/>
    <w:rsid w:val="004D076C"/>
    <w:rsid w:val="004D07C8"/>
    <w:rsid w:val="004D07E7"/>
    <w:rsid w:val="004D0808"/>
    <w:rsid w:val="004D080F"/>
    <w:rsid w:val="004D08FC"/>
    <w:rsid w:val="004D0948"/>
    <w:rsid w:val="004D0959"/>
    <w:rsid w:val="004D097E"/>
    <w:rsid w:val="004D0986"/>
    <w:rsid w:val="004D09BD"/>
    <w:rsid w:val="004D09C0"/>
    <w:rsid w:val="004D09C4"/>
    <w:rsid w:val="004D09E9"/>
    <w:rsid w:val="004D09EB"/>
    <w:rsid w:val="004D0A2D"/>
    <w:rsid w:val="004D0AC4"/>
    <w:rsid w:val="004D0AE1"/>
    <w:rsid w:val="004D0B77"/>
    <w:rsid w:val="004D0B79"/>
    <w:rsid w:val="004D0BA5"/>
    <w:rsid w:val="004D0BC3"/>
    <w:rsid w:val="004D0BF9"/>
    <w:rsid w:val="004D0C03"/>
    <w:rsid w:val="004D0C09"/>
    <w:rsid w:val="004D0C3E"/>
    <w:rsid w:val="004D0C45"/>
    <w:rsid w:val="004D0CA6"/>
    <w:rsid w:val="004D0CBE"/>
    <w:rsid w:val="004D0CD0"/>
    <w:rsid w:val="004D0CEF"/>
    <w:rsid w:val="004D0D1B"/>
    <w:rsid w:val="004D0D1F"/>
    <w:rsid w:val="004D0D95"/>
    <w:rsid w:val="004D0DA9"/>
    <w:rsid w:val="004D0E07"/>
    <w:rsid w:val="004D0E39"/>
    <w:rsid w:val="004D0E4D"/>
    <w:rsid w:val="004D0E59"/>
    <w:rsid w:val="004D0E6A"/>
    <w:rsid w:val="004D0E8A"/>
    <w:rsid w:val="004D0EDB"/>
    <w:rsid w:val="004D0F33"/>
    <w:rsid w:val="004D0F38"/>
    <w:rsid w:val="004D0F6A"/>
    <w:rsid w:val="004D0F77"/>
    <w:rsid w:val="004D0F92"/>
    <w:rsid w:val="004D0FC5"/>
    <w:rsid w:val="004D0FD1"/>
    <w:rsid w:val="004D0FEA"/>
    <w:rsid w:val="004D1038"/>
    <w:rsid w:val="004D1052"/>
    <w:rsid w:val="004D10A5"/>
    <w:rsid w:val="004D10AE"/>
    <w:rsid w:val="004D10F1"/>
    <w:rsid w:val="004D115C"/>
    <w:rsid w:val="004D1209"/>
    <w:rsid w:val="004D126D"/>
    <w:rsid w:val="004D1282"/>
    <w:rsid w:val="004D1350"/>
    <w:rsid w:val="004D1371"/>
    <w:rsid w:val="004D1397"/>
    <w:rsid w:val="004D13CC"/>
    <w:rsid w:val="004D13CF"/>
    <w:rsid w:val="004D13F4"/>
    <w:rsid w:val="004D1435"/>
    <w:rsid w:val="004D1467"/>
    <w:rsid w:val="004D14C0"/>
    <w:rsid w:val="004D14D1"/>
    <w:rsid w:val="004D1504"/>
    <w:rsid w:val="004D1507"/>
    <w:rsid w:val="004D1564"/>
    <w:rsid w:val="004D156C"/>
    <w:rsid w:val="004D15E7"/>
    <w:rsid w:val="004D1657"/>
    <w:rsid w:val="004D169B"/>
    <w:rsid w:val="004D16AA"/>
    <w:rsid w:val="004D16AC"/>
    <w:rsid w:val="004D1712"/>
    <w:rsid w:val="004D171A"/>
    <w:rsid w:val="004D1732"/>
    <w:rsid w:val="004D1744"/>
    <w:rsid w:val="004D175D"/>
    <w:rsid w:val="004D1782"/>
    <w:rsid w:val="004D1795"/>
    <w:rsid w:val="004D179D"/>
    <w:rsid w:val="004D17BB"/>
    <w:rsid w:val="004D17BF"/>
    <w:rsid w:val="004D17D0"/>
    <w:rsid w:val="004D1833"/>
    <w:rsid w:val="004D1836"/>
    <w:rsid w:val="004D184A"/>
    <w:rsid w:val="004D1871"/>
    <w:rsid w:val="004D18B4"/>
    <w:rsid w:val="004D18D6"/>
    <w:rsid w:val="004D18E2"/>
    <w:rsid w:val="004D1904"/>
    <w:rsid w:val="004D19B8"/>
    <w:rsid w:val="004D19E9"/>
    <w:rsid w:val="004D1A08"/>
    <w:rsid w:val="004D1A0F"/>
    <w:rsid w:val="004D1A22"/>
    <w:rsid w:val="004D1AA2"/>
    <w:rsid w:val="004D1AA4"/>
    <w:rsid w:val="004D1B2C"/>
    <w:rsid w:val="004D1B94"/>
    <w:rsid w:val="004D1BFD"/>
    <w:rsid w:val="004D1C07"/>
    <w:rsid w:val="004D1C30"/>
    <w:rsid w:val="004D1C73"/>
    <w:rsid w:val="004D1C96"/>
    <w:rsid w:val="004D1CA7"/>
    <w:rsid w:val="004D1CD2"/>
    <w:rsid w:val="004D1CD8"/>
    <w:rsid w:val="004D1CF7"/>
    <w:rsid w:val="004D1CFA"/>
    <w:rsid w:val="004D1D45"/>
    <w:rsid w:val="004D1D48"/>
    <w:rsid w:val="004D1D50"/>
    <w:rsid w:val="004D1D68"/>
    <w:rsid w:val="004D1D79"/>
    <w:rsid w:val="004D1DA2"/>
    <w:rsid w:val="004D1DF4"/>
    <w:rsid w:val="004D1E17"/>
    <w:rsid w:val="004D1E22"/>
    <w:rsid w:val="004D1EDA"/>
    <w:rsid w:val="004D1F42"/>
    <w:rsid w:val="004D1F6F"/>
    <w:rsid w:val="004D1FDA"/>
    <w:rsid w:val="004D2002"/>
    <w:rsid w:val="004D2021"/>
    <w:rsid w:val="004D2038"/>
    <w:rsid w:val="004D204C"/>
    <w:rsid w:val="004D2076"/>
    <w:rsid w:val="004D208F"/>
    <w:rsid w:val="004D20C5"/>
    <w:rsid w:val="004D20D0"/>
    <w:rsid w:val="004D20D5"/>
    <w:rsid w:val="004D20D6"/>
    <w:rsid w:val="004D20F3"/>
    <w:rsid w:val="004D214F"/>
    <w:rsid w:val="004D21B5"/>
    <w:rsid w:val="004D221E"/>
    <w:rsid w:val="004D2220"/>
    <w:rsid w:val="004D222A"/>
    <w:rsid w:val="004D22A3"/>
    <w:rsid w:val="004D22A5"/>
    <w:rsid w:val="004D22BB"/>
    <w:rsid w:val="004D22BC"/>
    <w:rsid w:val="004D22C7"/>
    <w:rsid w:val="004D22D1"/>
    <w:rsid w:val="004D22E9"/>
    <w:rsid w:val="004D2366"/>
    <w:rsid w:val="004D23A0"/>
    <w:rsid w:val="004D23AD"/>
    <w:rsid w:val="004D23CB"/>
    <w:rsid w:val="004D23CC"/>
    <w:rsid w:val="004D2406"/>
    <w:rsid w:val="004D24BE"/>
    <w:rsid w:val="004D24DC"/>
    <w:rsid w:val="004D251C"/>
    <w:rsid w:val="004D255A"/>
    <w:rsid w:val="004D257E"/>
    <w:rsid w:val="004D25B6"/>
    <w:rsid w:val="004D25B7"/>
    <w:rsid w:val="004D25BB"/>
    <w:rsid w:val="004D260F"/>
    <w:rsid w:val="004D265E"/>
    <w:rsid w:val="004D26F2"/>
    <w:rsid w:val="004D275D"/>
    <w:rsid w:val="004D2790"/>
    <w:rsid w:val="004D27B1"/>
    <w:rsid w:val="004D27C4"/>
    <w:rsid w:val="004D27C5"/>
    <w:rsid w:val="004D27D1"/>
    <w:rsid w:val="004D27F0"/>
    <w:rsid w:val="004D284A"/>
    <w:rsid w:val="004D2855"/>
    <w:rsid w:val="004D28A5"/>
    <w:rsid w:val="004D28C5"/>
    <w:rsid w:val="004D28C9"/>
    <w:rsid w:val="004D28EC"/>
    <w:rsid w:val="004D28EE"/>
    <w:rsid w:val="004D2901"/>
    <w:rsid w:val="004D2972"/>
    <w:rsid w:val="004D2991"/>
    <w:rsid w:val="004D29EC"/>
    <w:rsid w:val="004D2A18"/>
    <w:rsid w:val="004D2A2A"/>
    <w:rsid w:val="004D2A60"/>
    <w:rsid w:val="004D2A65"/>
    <w:rsid w:val="004D2A80"/>
    <w:rsid w:val="004D2AA4"/>
    <w:rsid w:val="004D2ADF"/>
    <w:rsid w:val="004D2B0A"/>
    <w:rsid w:val="004D2B8A"/>
    <w:rsid w:val="004D2B94"/>
    <w:rsid w:val="004D2BAE"/>
    <w:rsid w:val="004D2BDC"/>
    <w:rsid w:val="004D2C0D"/>
    <w:rsid w:val="004D2C9E"/>
    <w:rsid w:val="004D2CDA"/>
    <w:rsid w:val="004D2CDF"/>
    <w:rsid w:val="004D2D07"/>
    <w:rsid w:val="004D2D10"/>
    <w:rsid w:val="004D2D55"/>
    <w:rsid w:val="004D2DAC"/>
    <w:rsid w:val="004D2DC2"/>
    <w:rsid w:val="004D2DD5"/>
    <w:rsid w:val="004D2E05"/>
    <w:rsid w:val="004D2E0B"/>
    <w:rsid w:val="004D2E16"/>
    <w:rsid w:val="004D2E2D"/>
    <w:rsid w:val="004D2E95"/>
    <w:rsid w:val="004D2ECB"/>
    <w:rsid w:val="004D2EDA"/>
    <w:rsid w:val="004D2EDF"/>
    <w:rsid w:val="004D2F02"/>
    <w:rsid w:val="004D2F2B"/>
    <w:rsid w:val="004D2F48"/>
    <w:rsid w:val="004D2F99"/>
    <w:rsid w:val="004D2FB4"/>
    <w:rsid w:val="004D3019"/>
    <w:rsid w:val="004D30D7"/>
    <w:rsid w:val="004D3104"/>
    <w:rsid w:val="004D310C"/>
    <w:rsid w:val="004D3119"/>
    <w:rsid w:val="004D315D"/>
    <w:rsid w:val="004D3192"/>
    <w:rsid w:val="004D321A"/>
    <w:rsid w:val="004D321D"/>
    <w:rsid w:val="004D3233"/>
    <w:rsid w:val="004D3268"/>
    <w:rsid w:val="004D32C6"/>
    <w:rsid w:val="004D32D3"/>
    <w:rsid w:val="004D32E6"/>
    <w:rsid w:val="004D32FE"/>
    <w:rsid w:val="004D3319"/>
    <w:rsid w:val="004D3321"/>
    <w:rsid w:val="004D3367"/>
    <w:rsid w:val="004D338B"/>
    <w:rsid w:val="004D338D"/>
    <w:rsid w:val="004D346D"/>
    <w:rsid w:val="004D346E"/>
    <w:rsid w:val="004D3486"/>
    <w:rsid w:val="004D34AC"/>
    <w:rsid w:val="004D34DE"/>
    <w:rsid w:val="004D351B"/>
    <w:rsid w:val="004D352F"/>
    <w:rsid w:val="004D353B"/>
    <w:rsid w:val="004D3592"/>
    <w:rsid w:val="004D3593"/>
    <w:rsid w:val="004D35B2"/>
    <w:rsid w:val="004D35C8"/>
    <w:rsid w:val="004D35D0"/>
    <w:rsid w:val="004D35F2"/>
    <w:rsid w:val="004D361A"/>
    <w:rsid w:val="004D363C"/>
    <w:rsid w:val="004D3668"/>
    <w:rsid w:val="004D367B"/>
    <w:rsid w:val="004D3682"/>
    <w:rsid w:val="004D3683"/>
    <w:rsid w:val="004D3712"/>
    <w:rsid w:val="004D3716"/>
    <w:rsid w:val="004D3723"/>
    <w:rsid w:val="004D3724"/>
    <w:rsid w:val="004D3732"/>
    <w:rsid w:val="004D3758"/>
    <w:rsid w:val="004D3765"/>
    <w:rsid w:val="004D37D3"/>
    <w:rsid w:val="004D37EB"/>
    <w:rsid w:val="004D3817"/>
    <w:rsid w:val="004D381B"/>
    <w:rsid w:val="004D3822"/>
    <w:rsid w:val="004D384A"/>
    <w:rsid w:val="004D3888"/>
    <w:rsid w:val="004D38B8"/>
    <w:rsid w:val="004D38D4"/>
    <w:rsid w:val="004D38E6"/>
    <w:rsid w:val="004D3958"/>
    <w:rsid w:val="004D397E"/>
    <w:rsid w:val="004D399B"/>
    <w:rsid w:val="004D39A8"/>
    <w:rsid w:val="004D39D8"/>
    <w:rsid w:val="004D39DA"/>
    <w:rsid w:val="004D39DD"/>
    <w:rsid w:val="004D39EB"/>
    <w:rsid w:val="004D3A05"/>
    <w:rsid w:val="004D3A0E"/>
    <w:rsid w:val="004D3A32"/>
    <w:rsid w:val="004D3A3E"/>
    <w:rsid w:val="004D3A53"/>
    <w:rsid w:val="004D3A80"/>
    <w:rsid w:val="004D3A88"/>
    <w:rsid w:val="004D3AA1"/>
    <w:rsid w:val="004D3AA2"/>
    <w:rsid w:val="004D3AA6"/>
    <w:rsid w:val="004D3AB5"/>
    <w:rsid w:val="004D3ABD"/>
    <w:rsid w:val="004D3B3F"/>
    <w:rsid w:val="004D3B44"/>
    <w:rsid w:val="004D3B6C"/>
    <w:rsid w:val="004D3B7A"/>
    <w:rsid w:val="004D3B7F"/>
    <w:rsid w:val="004D3CAA"/>
    <w:rsid w:val="004D3CDF"/>
    <w:rsid w:val="004D3D14"/>
    <w:rsid w:val="004D3D4C"/>
    <w:rsid w:val="004D3D57"/>
    <w:rsid w:val="004D3D7A"/>
    <w:rsid w:val="004D3DC2"/>
    <w:rsid w:val="004D3DC7"/>
    <w:rsid w:val="004D3DD2"/>
    <w:rsid w:val="004D3DFF"/>
    <w:rsid w:val="004D3E25"/>
    <w:rsid w:val="004D3E33"/>
    <w:rsid w:val="004D3E64"/>
    <w:rsid w:val="004D3E6C"/>
    <w:rsid w:val="004D3E70"/>
    <w:rsid w:val="004D3E93"/>
    <w:rsid w:val="004D3E95"/>
    <w:rsid w:val="004D3ED3"/>
    <w:rsid w:val="004D3F78"/>
    <w:rsid w:val="004D3FA4"/>
    <w:rsid w:val="004D3FB8"/>
    <w:rsid w:val="004D406E"/>
    <w:rsid w:val="004D4076"/>
    <w:rsid w:val="004D408B"/>
    <w:rsid w:val="004D40AF"/>
    <w:rsid w:val="004D40BC"/>
    <w:rsid w:val="004D4166"/>
    <w:rsid w:val="004D4176"/>
    <w:rsid w:val="004D4184"/>
    <w:rsid w:val="004D41DB"/>
    <w:rsid w:val="004D41E6"/>
    <w:rsid w:val="004D41EC"/>
    <w:rsid w:val="004D426C"/>
    <w:rsid w:val="004D42B7"/>
    <w:rsid w:val="004D42BA"/>
    <w:rsid w:val="004D4305"/>
    <w:rsid w:val="004D437F"/>
    <w:rsid w:val="004D440A"/>
    <w:rsid w:val="004D4419"/>
    <w:rsid w:val="004D4441"/>
    <w:rsid w:val="004D446C"/>
    <w:rsid w:val="004D44B3"/>
    <w:rsid w:val="004D44C4"/>
    <w:rsid w:val="004D44D9"/>
    <w:rsid w:val="004D455A"/>
    <w:rsid w:val="004D4572"/>
    <w:rsid w:val="004D45E7"/>
    <w:rsid w:val="004D4657"/>
    <w:rsid w:val="004D4677"/>
    <w:rsid w:val="004D46C7"/>
    <w:rsid w:val="004D46D6"/>
    <w:rsid w:val="004D46DF"/>
    <w:rsid w:val="004D46E4"/>
    <w:rsid w:val="004D4712"/>
    <w:rsid w:val="004D4725"/>
    <w:rsid w:val="004D473A"/>
    <w:rsid w:val="004D4792"/>
    <w:rsid w:val="004D47B3"/>
    <w:rsid w:val="004D47D6"/>
    <w:rsid w:val="004D47E5"/>
    <w:rsid w:val="004D4825"/>
    <w:rsid w:val="004D482E"/>
    <w:rsid w:val="004D486C"/>
    <w:rsid w:val="004D488F"/>
    <w:rsid w:val="004D48A8"/>
    <w:rsid w:val="004D4917"/>
    <w:rsid w:val="004D4945"/>
    <w:rsid w:val="004D4967"/>
    <w:rsid w:val="004D499B"/>
    <w:rsid w:val="004D49CA"/>
    <w:rsid w:val="004D49E2"/>
    <w:rsid w:val="004D49E8"/>
    <w:rsid w:val="004D49F9"/>
    <w:rsid w:val="004D4A64"/>
    <w:rsid w:val="004D4AF8"/>
    <w:rsid w:val="004D4B20"/>
    <w:rsid w:val="004D4B23"/>
    <w:rsid w:val="004D4B4B"/>
    <w:rsid w:val="004D4B98"/>
    <w:rsid w:val="004D4BE7"/>
    <w:rsid w:val="004D4C3B"/>
    <w:rsid w:val="004D4C8E"/>
    <w:rsid w:val="004D4D35"/>
    <w:rsid w:val="004D4D5C"/>
    <w:rsid w:val="004D4D6D"/>
    <w:rsid w:val="004D4D76"/>
    <w:rsid w:val="004D4DB5"/>
    <w:rsid w:val="004D4DCF"/>
    <w:rsid w:val="004D4E2B"/>
    <w:rsid w:val="004D4E32"/>
    <w:rsid w:val="004D4EB6"/>
    <w:rsid w:val="004D4F06"/>
    <w:rsid w:val="004D4F21"/>
    <w:rsid w:val="004D4F62"/>
    <w:rsid w:val="004D4FB5"/>
    <w:rsid w:val="004D5002"/>
    <w:rsid w:val="004D501C"/>
    <w:rsid w:val="004D50C1"/>
    <w:rsid w:val="004D50DE"/>
    <w:rsid w:val="004D50EE"/>
    <w:rsid w:val="004D5142"/>
    <w:rsid w:val="004D5144"/>
    <w:rsid w:val="004D51BC"/>
    <w:rsid w:val="004D51DA"/>
    <w:rsid w:val="004D5299"/>
    <w:rsid w:val="004D52BA"/>
    <w:rsid w:val="004D52F1"/>
    <w:rsid w:val="004D544D"/>
    <w:rsid w:val="004D5452"/>
    <w:rsid w:val="004D5471"/>
    <w:rsid w:val="004D548C"/>
    <w:rsid w:val="004D549E"/>
    <w:rsid w:val="004D54A0"/>
    <w:rsid w:val="004D5519"/>
    <w:rsid w:val="004D5536"/>
    <w:rsid w:val="004D554D"/>
    <w:rsid w:val="004D5558"/>
    <w:rsid w:val="004D5576"/>
    <w:rsid w:val="004D5578"/>
    <w:rsid w:val="004D5579"/>
    <w:rsid w:val="004D55B7"/>
    <w:rsid w:val="004D55DC"/>
    <w:rsid w:val="004D566B"/>
    <w:rsid w:val="004D5678"/>
    <w:rsid w:val="004D56BA"/>
    <w:rsid w:val="004D56BF"/>
    <w:rsid w:val="004D56D9"/>
    <w:rsid w:val="004D56DB"/>
    <w:rsid w:val="004D56E7"/>
    <w:rsid w:val="004D56EF"/>
    <w:rsid w:val="004D571B"/>
    <w:rsid w:val="004D5732"/>
    <w:rsid w:val="004D5744"/>
    <w:rsid w:val="004D5783"/>
    <w:rsid w:val="004D57D4"/>
    <w:rsid w:val="004D57F1"/>
    <w:rsid w:val="004D585A"/>
    <w:rsid w:val="004D5860"/>
    <w:rsid w:val="004D5889"/>
    <w:rsid w:val="004D58B3"/>
    <w:rsid w:val="004D58D6"/>
    <w:rsid w:val="004D58F5"/>
    <w:rsid w:val="004D5904"/>
    <w:rsid w:val="004D590D"/>
    <w:rsid w:val="004D5912"/>
    <w:rsid w:val="004D593F"/>
    <w:rsid w:val="004D5973"/>
    <w:rsid w:val="004D59C3"/>
    <w:rsid w:val="004D59F3"/>
    <w:rsid w:val="004D59F9"/>
    <w:rsid w:val="004D5A89"/>
    <w:rsid w:val="004D5A8F"/>
    <w:rsid w:val="004D5ACD"/>
    <w:rsid w:val="004D5B3E"/>
    <w:rsid w:val="004D5B4E"/>
    <w:rsid w:val="004D5BC0"/>
    <w:rsid w:val="004D5BD7"/>
    <w:rsid w:val="004D5BED"/>
    <w:rsid w:val="004D5C11"/>
    <w:rsid w:val="004D5C47"/>
    <w:rsid w:val="004D5C77"/>
    <w:rsid w:val="004D5CA9"/>
    <w:rsid w:val="004D5CAA"/>
    <w:rsid w:val="004D5CF3"/>
    <w:rsid w:val="004D5CF4"/>
    <w:rsid w:val="004D5D15"/>
    <w:rsid w:val="004D5D19"/>
    <w:rsid w:val="004D5D6D"/>
    <w:rsid w:val="004D5D8C"/>
    <w:rsid w:val="004D5D9E"/>
    <w:rsid w:val="004D5DD6"/>
    <w:rsid w:val="004D5DD9"/>
    <w:rsid w:val="004D5DFF"/>
    <w:rsid w:val="004D5E01"/>
    <w:rsid w:val="004D5E7B"/>
    <w:rsid w:val="004D5E8A"/>
    <w:rsid w:val="004D5ED9"/>
    <w:rsid w:val="004D5EE4"/>
    <w:rsid w:val="004D5F11"/>
    <w:rsid w:val="004D5FAB"/>
    <w:rsid w:val="004D5FBA"/>
    <w:rsid w:val="004D5FDD"/>
    <w:rsid w:val="004D5FDE"/>
    <w:rsid w:val="004D6002"/>
    <w:rsid w:val="004D606B"/>
    <w:rsid w:val="004D607E"/>
    <w:rsid w:val="004D608E"/>
    <w:rsid w:val="004D60CE"/>
    <w:rsid w:val="004D60D8"/>
    <w:rsid w:val="004D60F5"/>
    <w:rsid w:val="004D61A9"/>
    <w:rsid w:val="004D61B6"/>
    <w:rsid w:val="004D61EB"/>
    <w:rsid w:val="004D6247"/>
    <w:rsid w:val="004D624B"/>
    <w:rsid w:val="004D6295"/>
    <w:rsid w:val="004D6314"/>
    <w:rsid w:val="004D632A"/>
    <w:rsid w:val="004D6360"/>
    <w:rsid w:val="004D6387"/>
    <w:rsid w:val="004D63A0"/>
    <w:rsid w:val="004D63BA"/>
    <w:rsid w:val="004D6434"/>
    <w:rsid w:val="004D6468"/>
    <w:rsid w:val="004D654A"/>
    <w:rsid w:val="004D6617"/>
    <w:rsid w:val="004D661C"/>
    <w:rsid w:val="004D669E"/>
    <w:rsid w:val="004D66B0"/>
    <w:rsid w:val="004D6708"/>
    <w:rsid w:val="004D671F"/>
    <w:rsid w:val="004D672B"/>
    <w:rsid w:val="004D6759"/>
    <w:rsid w:val="004D67B3"/>
    <w:rsid w:val="004D67CE"/>
    <w:rsid w:val="004D67DC"/>
    <w:rsid w:val="004D681E"/>
    <w:rsid w:val="004D692C"/>
    <w:rsid w:val="004D694F"/>
    <w:rsid w:val="004D69A5"/>
    <w:rsid w:val="004D69DC"/>
    <w:rsid w:val="004D6A05"/>
    <w:rsid w:val="004D6A3E"/>
    <w:rsid w:val="004D6A4F"/>
    <w:rsid w:val="004D6A7E"/>
    <w:rsid w:val="004D6A8E"/>
    <w:rsid w:val="004D6A99"/>
    <w:rsid w:val="004D6ABA"/>
    <w:rsid w:val="004D6ACD"/>
    <w:rsid w:val="004D6ADE"/>
    <w:rsid w:val="004D6BF4"/>
    <w:rsid w:val="004D6BFB"/>
    <w:rsid w:val="004D6C00"/>
    <w:rsid w:val="004D6C75"/>
    <w:rsid w:val="004D6C83"/>
    <w:rsid w:val="004D6C98"/>
    <w:rsid w:val="004D6CEC"/>
    <w:rsid w:val="004D6D08"/>
    <w:rsid w:val="004D6D8E"/>
    <w:rsid w:val="004D6DA8"/>
    <w:rsid w:val="004D6E1F"/>
    <w:rsid w:val="004D6E41"/>
    <w:rsid w:val="004D6E4B"/>
    <w:rsid w:val="004D6E58"/>
    <w:rsid w:val="004D6E6D"/>
    <w:rsid w:val="004D6E8F"/>
    <w:rsid w:val="004D6E92"/>
    <w:rsid w:val="004D6EC9"/>
    <w:rsid w:val="004D6F0E"/>
    <w:rsid w:val="004D6F48"/>
    <w:rsid w:val="004D6F62"/>
    <w:rsid w:val="004D6F6D"/>
    <w:rsid w:val="004D6F8E"/>
    <w:rsid w:val="004D7021"/>
    <w:rsid w:val="004D7038"/>
    <w:rsid w:val="004D709D"/>
    <w:rsid w:val="004D70B6"/>
    <w:rsid w:val="004D70C7"/>
    <w:rsid w:val="004D70F0"/>
    <w:rsid w:val="004D711E"/>
    <w:rsid w:val="004D7142"/>
    <w:rsid w:val="004D7178"/>
    <w:rsid w:val="004D718D"/>
    <w:rsid w:val="004D71E2"/>
    <w:rsid w:val="004D71F6"/>
    <w:rsid w:val="004D7214"/>
    <w:rsid w:val="004D7269"/>
    <w:rsid w:val="004D727F"/>
    <w:rsid w:val="004D72BC"/>
    <w:rsid w:val="004D7308"/>
    <w:rsid w:val="004D7346"/>
    <w:rsid w:val="004D734F"/>
    <w:rsid w:val="004D73A1"/>
    <w:rsid w:val="004D73C4"/>
    <w:rsid w:val="004D73DB"/>
    <w:rsid w:val="004D73F7"/>
    <w:rsid w:val="004D740E"/>
    <w:rsid w:val="004D740F"/>
    <w:rsid w:val="004D744B"/>
    <w:rsid w:val="004D74D6"/>
    <w:rsid w:val="004D7510"/>
    <w:rsid w:val="004D7551"/>
    <w:rsid w:val="004D756D"/>
    <w:rsid w:val="004D7599"/>
    <w:rsid w:val="004D75EB"/>
    <w:rsid w:val="004D7660"/>
    <w:rsid w:val="004D7682"/>
    <w:rsid w:val="004D768C"/>
    <w:rsid w:val="004D76E5"/>
    <w:rsid w:val="004D76EA"/>
    <w:rsid w:val="004D770B"/>
    <w:rsid w:val="004D77C7"/>
    <w:rsid w:val="004D7805"/>
    <w:rsid w:val="004D7828"/>
    <w:rsid w:val="004D783F"/>
    <w:rsid w:val="004D785E"/>
    <w:rsid w:val="004D78DF"/>
    <w:rsid w:val="004D78FC"/>
    <w:rsid w:val="004D791B"/>
    <w:rsid w:val="004D7945"/>
    <w:rsid w:val="004D7997"/>
    <w:rsid w:val="004D7999"/>
    <w:rsid w:val="004D79AE"/>
    <w:rsid w:val="004D79BE"/>
    <w:rsid w:val="004D7A3A"/>
    <w:rsid w:val="004D7A9D"/>
    <w:rsid w:val="004D7AAC"/>
    <w:rsid w:val="004D7AD6"/>
    <w:rsid w:val="004D7AE3"/>
    <w:rsid w:val="004D7AFE"/>
    <w:rsid w:val="004D7B13"/>
    <w:rsid w:val="004D7B2A"/>
    <w:rsid w:val="004D7BBF"/>
    <w:rsid w:val="004D7C27"/>
    <w:rsid w:val="004D7C4D"/>
    <w:rsid w:val="004D7C6E"/>
    <w:rsid w:val="004D7C82"/>
    <w:rsid w:val="004D7D4C"/>
    <w:rsid w:val="004D7D6E"/>
    <w:rsid w:val="004D7DBE"/>
    <w:rsid w:val="004D7DEB"/>
    <w:rsid w:val="004D7E2F"/>
    <w:rsid w:val="004D7E36"/>
    <w:rsid w:val="004D7E4B"/>
    <w:rsid w:val="004D7E54"/>
    <w:rsid w:val="004D7EBE"/>
    <w:rsid w:val="004D7F0B"/>
    <w:rsid w:val="004D7F62"/>
    <w:rsid w:val="004D7F8B"/>
    <w:rsid w:val="004D7FC7"/>
    <w:rsid w:val="004D7FDA"/>
    <w:rsid w:val="004E0031"/>
    <w:rsid w:val="004E0060"/>
    <w:rsid w:val="004E007B"/>
    <w:rsid w:val="004E00AC"/>
    <w:rsid w:val="004E00F2"/>
    <w:rsid w:val="004E00F7"/>
    <w:rsid w:val="004E0112"/>
    <w:rsid w:val="004E0128"/>
    <w:rsid w:val="004E0138"/>
    <w:rsid w:val="004E0157"/>
    <w:rsid w:val="004E0174"/>
    <w:rsid w:val="004E01FE"/>
    <w:rsid w:val="004E020B"/>
    <w:rsid w:val="004E024B"/>
    <w:rsid w:val="004E02F6"/>
    <w:rsid w:val="004E0386"/>
    <w:rsid w:val="004E0398"/>
    <w:rsid w:val="004E03BE"/>
    <w:rsid w:val="004E0413"/>
    <w:rsid w:val="004E041D"/>
    <w:rsid w:val="004E042A"/>
    <w:rsid w:val="004E0487"/>
    <w:rsid w:val="004E0490"/>
    <w:rsid w:val="004E049F"/>
    <w:rsid w:val="004E04A3"/>
    <w:rsid w:val="004E04C2"/>
    <w:rsid w:val="004E0526"/>
    <w:rsid w:val="004E052F"/>
    <w:rsid w:val="004E0548"/>
    <w:rsid w:val="004E0605"/>
    <w:rsid w:val="004E061B"/>
    <w:rsid w:val="004E062B"/>
    <w:rsid w:val="004E0684"/>
    <w:rsid w:val="004E0691"/>
    <w:rsid w:val="004E06BE"/>
    <w:rsid w:val="004E06E9"/>
    <w:rsid w:val="004E06F5"/>
    <w:rsid w:val="004E072B"/>
    <w:rsid w:val="004E072F"/>
    <w:rsid w:val="004E0749"/>
    <w:rsid w:val="004E0758"/>
    <w:rsid w:val="004E078C"/>
    <w:rsid w:val="004E07A6"/>
    <w:rsid w:val="004E07FD"/>
    <w:rsid w:val="004E0825"/>
    <w:rsid w:val="004E083C"/>
    <w:rsid w:val="004E0861"/>
    <w:rsid w:val="004E0876"/>
    <w:rsid w:val="004E087F"/>
    <w:rsid w:val="004E08AA"/>
    <w:rsid w:val="004E08D3"/>
    <w:rsid w:val="004E08E0"/>
    <w:rsid w:val="004E08E8"/>
    <w:rsid w:val="004E09C5"/>
    <w:rsid w:val="004E09D5"/>
    <w:rsid w:val="004E0A10"/>
    <w:rsid w:val="004E0A17"/>
    <w:rsid w:val="004E0A2F"/>
    <w:rsid w:val="004E0A5E"/>
    <w:rsid w:val="004E0A8A"/>
    <w:rsid w:val="004E0AAD"/>
    <w:rsid w:val="004E0AB2"/>
    <w:rsid w:val="004E0ACD"/>
    <w:rsid w:val="004E0AE7"/>
    <w:rsid w:val="004E0B0E"/>
    <w:rsid w:val="004E0B43"/>
    <w:rsid w:val="004E0B97"/>
    <w:rsid w:val="004E0BD0"/>
    <w:rsid w:val="004E0BF4"/>
    <w:rsid w:val="004E0C2A"/>
    <w:rsid w:val="004E0C58"/>
    <w:rsid w:val="004E0CA1"/>
    <w:rsid w:val="004E0CA4"/>
    <w:rsid w:val="004E0CB8"/>
    <w:rsid w:val="004E0CEC"/>
    <w:rsid w:val="004E0CF5"/>
    <w:rsid w:val="004E0D13"/>
    <w:rsid w:val="004E0D33"/>
    <w:rsid w:val="004E0D89"/>
    <w:rsid w:val="004E0DB3"/>
    <w:rsid w:val="004E0DC8"/>
    <w:rsid w:val="004E0DE0"/>
    <w:rsid w:val="004E0DE5"/>
    <w:rsid w:val="004E0E0A"/>
    <w:rsid w:val="004E0E2A"/>
    <w:rsid w:val="004E0E3A"/>
    <w:rsid w:val="004E0E51"/>
    <w:rsid w:val="004E0E65"/>
    <w:rsid w:val="004E0E67"/>
    <w:rsid w:val="004E0EE2"/>
    <w:rsid w:val="004E0EF3"/>
    <w:rsid w:val="004E0F12"/>
    <w:rsid w:val="004E0F4C"/>
    <w:rsid w:val="004E0F54"/>
    <w:rsid w:val="004E0F77"/>
    <w:rsid w:val="004E0F82"/>
    <w:rsid w:val="004E0F91"/>
    <w:rsid w:val="004E0FA6"/>
    <w:rsid w:val="004E0FBD"/>
    <w:rsid w:val="004E1019"/>
    <w:rsid w:val="004E103B"/>
    <w:rsid w:val="004E103E"/>
    <w:rsid w:val="004E1060"/>
    <w:rsid w:val="004E1077"/>
    <w:rsid w:val="004E108B"/>
    <w:rsid w:val="004E10C9"/>
    <w:rsid w:val="004E10D4"/>
    <w:rsid w:val="004E10DD"/>
    <w:rsid w:val="004E10F8"/>
    <w:rsid w:val="004E1130"/>
    <w:rsid w:val="004E1132"/>
    <w:rsid w:val="004E1140"/>
    <w:rsid w:val="004E11BB"/>
    <w:rsid w:val="004E11C5"/>
    <w:rsid w:val="004E11CD"/>
    <w:rsid w:val="004E11E9"/>
    <w:rsid w:val="004E126F"/>
    <w:rsid w:val="004E12FE"/>
    <w:rsid w:val="004E1303"/>
    <w:rsid w:val="004E133C"/>
    <w:rsid w:val="004E1353"/>
    <w:rsid w:val="004E1360"/>
    <w:rsid w:val="004E1395"/>
    <w:rsid w:val="004E1489"/>
    <w:rsid w:val="004E150B"/>
    <w:rsid w:val="004E1521"/>
    <w:rsid w:val="004E1543"/>
    <w:rsid w:val="004E1550"/>
    <w:rsid w:val="004E155B"/>
    <w:rsid w:val="004E1562"/>
    <w:rsid w:val="004E158D"/>
    <w:rsid w:val="004E15C5"/>
    <w:rsid w:val="004E1600"/>
    <w:rsid w:val="004E1651"/>
    <w:rsid w:val="004E16C1"/>
    <w:rsid w:val="004E1754"/>
    <w:rsid w:val="004E1756"/>
    <w:rsid w:val="004E177D"/>
    <w:rsid w:val="004E17B7"/>
    <w:rsid w:val="004E17CA"/>
    <w:rsid w:val="004E17F2"/>
    <w:rsid w:val="004E1814"/>
    <w:rsid w:val="004E1829"/>
    <w:rsid w:val="004E1830"/>
    <w:rsid w:val="004E1858"/>
    <w:rsid w:val="004E18A0"/>
    <w:rsid w:val="004E18A8"/>
    <w:rsid w:val="004E18D6"/>
    <w:rsid w:val="004E18DF"/>
    <w:rsid w:val="004E18F6"/>
    <w:rsid w:val="004E1916"/>
    <w:rsid w:val="004E1926"/>
    <w:rsid w:val="004E1957"/>
    <w:rsid w:val="004E19CC"/>
    <w:rsid w:val="004E19EA"/>
    <w:rsid w:val="004E19F3"/>
    <w:rsid w:val="004E1A22"/>
    <w:rsid w:val="004E1A45"/>
    <w:rsid w:val="004E1A4C"/>
    <w:rsid w:val="004E1A55"/>
    <w:rsid w:val="004E1A6C"/>
    <w:rsid w:val="004E1B31"/>
    <w:rsid w:val="004E1B3F"/>
    <w:rsid w:val="004E1BAD"/>
    <w:rsid w:val="004E1BD5"/>
    <w:rsid w:val="004E1BE8"/>
    <w:rsid w:val="004E1C3F"/>
    <w:rsid w:val="004E1C46"/>
    <w:rsid w:val="004E1CBC"/>
    <w:rsid w:val="004E1D5D"/>
    <w:rsid w:val="004E1D6C"/>
    <w:rsid w:val="004E1D92"/>
    <w:rsid w:val="004E1DC5"/>
    <w:rsid w:val="004E1E0A"/>
    <w:rsid w:val="004E1E1A"/>
    <w:rsid w:val="004E1E3B"/>
    <w:rsid w:val="004E1E93"/>
    <w:rsid w:val="004E1EC2"/>
    <w:rsid w:val="004E1EE0"/>
    <w:rsid w:val="004E1EFC"/>
    <w:rsid w:val="004E1F54"/>
    <w:rsid w:val="004E1F89"/>
    <w:rsid w:val="004E2067"/>
    <w:rsid w:val="004E2088"/>
    <w:rsid w:val="004E20BA"/>
    <w:rsid w:val="004E20BE"/>
    <w:rsid w:val="004E20DE"/>
    <w:rsid w:val="004E2148"/>
    <w:rsid w:val="004E2150"/>
    <w:rsid w:val="004E216E"/>
    <w:rsid w:val="004E2173"/>
    <w:rsid w:val="004E21B6"/>
    <w:rsid w:val="004E2219"/>
    <w:rsid w:val="004E2224"/>
    <w:rsid w:val="004E223C"/>
    <w:rsid w:val="004E224F"/>
    <w:rsid w:val="004E2298"/>
    <w:rsid w:val="004E22B0"/>
    <w:rsid w:val="004E22D1"/>
    <w:rsid w:val="004E22DD"/>
    <w:rsid w:val="004E22EF"/>
    <w:rsid w:val="004E2310"/>
    <w:rsid w:val="004E234C"/>
    <w:rsid w:val="004E2355"/>
    <w:rsid w:val="004E235F"/>
    <w:rsid w:val="004E237D"/>
    <w:rsid w:val="004E2385"/>
    <w:rsid w:val="004E239B"/>
    <w:rsid w:val="004E23AC"/>
    <w:rsid w:val="004E23F4"/>
    <w:rsid w:val="004E23FD"/>
    <w:rsid w:val="004E241B"/>
    <w:rsid w:val="004E244F"/>
    <w:rsid w:val="004E2454"/>
    <w:rsid w:val="004E24BF"/>
    <w:rsid w:val="004E24D6"/>
    <w:rsid w:val="004E2510"/>
    <w:rsid w:val="004E251A"/>
    <w:rsid w:val="004E2535"/>
    <w:rsid w:val="004E25E1"/>
    <w:rsid w:val="004E2604"/>
    <w:rsid w:val="004E2608"/>
    <w:rsid w:val="004E260F"/>
    <w:rsid w:val="004E2626"/>
    <w:rsid w:val="004E2644"/>
    <w:rsid w:val="004E265F"/>
    <w:rsid w:val="004E26DC"/>
    <w:rsid w:val="004E26E8"/>
    <w:rsid w:val="004E2711"/>
    <w:rsid w:val="004E2786"/>
    <w:rsid w:val="004E2789"/>
    <w:rsid w:val="004E27D0"/>
    <w:rsid w:val="004E283E"/>
    <w:rsid w:val="004E2852"/>
    <w:rsid w:val="004E286E"/>
    <w:rsid w:val="004E2885"/>
    <w:rsid w:val="004E289A"/>
    <w:rsid w:val="004E289B"/>
    <w:rsid w:val="004E289C"/>
    <w:rsid w:val="004E28A8"/>
    <w:rsid w:val="004E28B0"/>
    <w:rsid w:val="004E28F5"/>
    <w:rsid w:val="004E2920"/>
    <w:rsid w:val="004E2949"/>
    <w:rsid w:val="004E2969"/>
    <w:rsid w:val="004E296C"/>
    <w:rsid w:val="004E2A17"/>
    <w:rsid w:val="004E2A20"/>
    <w:rsid w:val="004E2AF3"/>
    <w:rsid w:val="004E2B0F"/>
    <w:rsid w:val="004E2B22"/>
    <w:rsid w:val="004E2B4A"/>
    <w:rsid w:val="004E2B5B"/>
    <w:rsid w:val="004E2B97"/>
    <w:rsid w:val="004E2C66"/>
    <w:rsid w:val="004E2CC5"/>
    <w:rsid w:val="004E2D08"/>
    <w:rsid w:val="004E2D70"/>
    <w:rsid w:val="004E2D9D"/>
    <w:rsid w:val="004E2DC2"/>
    <w:rsid w:val="004E2DF1"/>
    <w:rsid w:val="004E2DF8"/>
    <w:rsid w:val="004E2E09"/>
    <w:rsid w:val="004E2E0D"/>
    <w:rsid w:val="004E2E5A"/>
    <w:rsid w:val="004E2E62"/>
    <w:rsid w:val="004E2E94"/>
    <w:rsid w:val="004E2EC5"/>
    <w:rsid w:val="004E2EE0"/>
    <w:rsid w:val="004E2EE8"/>
    <w:rsid w:val="004E2EF3"/>
    <w:rsid w:val="004E2F2C"/>
    <w:rsid w:val="004E2F5B"/>
    <w:rsid w:val="004E2F5E"/>
    <w:rsid w:val="004E2F73"/>
    <w:rsid w:val="004E2F83"/>
    <w:rsid w:val="004E2F84"/>
    <w:rsid w:val="004E2F95"/>
    <w:rsid w:val="004E2FCF"/>
    <w:rsid w:val="004E2FDF"/>
    <w:rsid w:val="004E2FED"/>
    <w:rsid w:val="004E2FF4"/>
    <w:rsid w:val="004E3046"/>
    <w:rsid w:val="004E3048"/>
    <w:rsid w:val="004E3052"/>
    <w:rsid w:val="004E3064"/>
    <w:rsid w:val="004E3092"/>
    <w:rsid w:val="004E30CA"/>
    <w:rsid w:val="004E3101"/>
    <w:rsid w:val="004E3128"/>
    <w:rsid w:val="004E3131"/>
    <w:rsid w:val="004E3170"/>
    <w:rsid w:val="004E31DE"/>
    <w:rsid w:val="004E325C"/>
    <w:rsid w:val="004E3285"/>
    <w:rsid w:val="004E32BF"/>
    <w:rsid w:val="004E32CC"/>
    <w:rsid w:val="004E3311"/>
    <w:rsid w:val="004E334A"/>
    <w:rsid w:val="004E3368"/>
    <w:rsid w:val="004E3388"/>
    <w:rsid w:val="004E340C"/>
    <w:rsid w:val="004E342B"/>
    <w:rsid w:val="004E3437"/>
    <w:rsid w:val="004E344B"/>
    <w:rsid w:val="004E3472"/>
    <w:rsid w:val="004E34BA"/>
    <w:rsid w:val="004E350A"/>
    <w:rsid w:val="004E352E"/>
    <w:rsid w:val="004E3591"/>
    <w:rsid w:val="004E35C6"/>
    <w:rsid w:val="004E35E4"/>
    <w:rsid w:val="004E3606"/>
    <w:rsid w:val="004E3610"/>
    <w:rsid w:val="004E366B"/>
    <w:rsid w:val="004E3673"/>
    <w:rsid w:val="004E3693"/>
    <w:rsid w:val="004E36BD"/>
    <w:rsid w:val="004E36CE"/>
    <w:rsid w:val="004E3720"/>
    <w:rsid w:val="004E3735"/>
    <w:rsid w:val="004E3799"/>
    <w:rsid w:val="004E37C8"/>
    <w:rsid w:val="004E37FE"/>
    <w:rsid w:val="004E387F"/>
    <w:rsid w:val="004E38BF"/>
    <w:rsid w:val="004E38C1"/>
    <w:rsid w:val="004E38C7"/>
    <w:rsid w:val="004E38D4"/>
    <w:rsid w:val="004E38E5"/>
    <w:rsid w:val="004E3914"/>
    <w:rsid w:val="004E3929"/>
    <w:rsid w:val="004E3982"/>
    <w:rsid w:val="004E3999"/>
    <w:rsid w:val="004E3A17"/>
    <w:rsid w:val="004E3A1B"/>
    <w:rsid w:val="004E3A3C"/>
    <w:rsid w:val="004E3A45"/>
    <w:rsid w:val="004E3A5F"/>
    <w:rsid w:val="004E3A6B"/>
    <w:rsid w:val="004E3A7D"/>
    <w:rsid w:val="004E3A93"/>
    <w:rsid w:val="004E3A9D"/>
    <w:rsid w:val="004E3AB2"/>
    <w:rsid w:val="004E3AE2"/>
    <w:rsid w:val="004E3AE7"/>
    <w:rsid w:val="004E3B1C"/>
    <w:rsid w:val="004E3B25"/>
    <w:rsid w:val="004E3B4C"/>
    <w:rsid w:val="004E3B59"/>
    <w:rsid w:val="004E3B62"/>
    <w:rsid w:val="004E3B73"/>
    <w:rsid w:val="004E3B7A"/>
    <w:rsid w:val="004E3B7C"/>
    <w:rsid w:val="004E3B9F"/>
    <w:rsid w:val="004E3BAC"/>
    <w:rsid w:val="004E3BD0"/>
    <w:rsid w:val="004E3BE6"/>
    <w:rsid w:val="004E3C49"/>
    <w:rsid w:val="004E3C73"/>
    <w:rsid w:val="004E3CC2"/>
    <w:rsid w:val="004E3D1E"/>
    <w:rsid w:val="004E3DB4"/>
    <w:rsid w:val="004E3E18"/>
    <w:rsid w:val="004E3E59"/>
    <w:rsid w:val="004E3EE3"/>
    <w:rsid w:val="004E3F34"/>
    <w:rsid w:val="004E3F6B"/>
    <w:rsid w:val="004E3F76"/>
    <w:rsid w:val="004E401C"/>
    <w:rsid w:val="004E4035"/>
    <w:rsid w:val="004E4048"/>
    <w:rsid w:val="004E418D"/>
    <w:rsid w:val="004E424C"/>
    <w:rsid w:val="004E4259"/>
    <w:rsid w:val="004E429E"/>
    <w:rsid w:val="004E42A0"/>
    <w:rsid w:val="004E433D"/>
    <w:rsid w:val="004E4388"/>
    <w:rsid w:val="004E438A"/>
    <w:rsid w:val="004E4390"/>
    <w:rsid w:val="004E43C9"/>
    <w:rsid w:val="004E43CF"/>
    <w:rsid w:val="004E43F6"/>
    <w:rsid w:val="004E440B"/>
    <w:rsid w:val="004E440C"/>
    <w:rsid w:val="004E4450"/>
    <w:rsid w:val="004E4462"/>
    <w:rsid w:val="004E4495"/>
    <w:rsid w:val="004E44BB"/>
    <w:rsid w:val="004E4505"/>
    <w:rsid w:val="004E4604"/>
    <w:rsid w:val="004E461C"/>
    <w:rsid w:val="004E46C7"/>
    <w:rsid w:val="004E4705"/>
    <w:rsid w:val="004E473E"/>
    <w:rsid w:val="004E4766"/>
    <w:rsid w:val="004E4767"/>
    <w:rsid w:val="004E476E"/>
    <w:rsid w:val="004E4774"/>
    <w:rsid w:val="004E4787"/>
    <w:rsid w:val="004E478F"/>
    <w:rsid w:val="004E4795"/>
    <w:rsid w:val="004E47D4"/>
    <w:rsid w:val="004E4815"/>
    <w:rsid w:val="004E4830"/>
    <w:rsid w:val="004E4851"/>
    <w:rsid w:val="004E488F"/>
    <w:rsid w:val="004E48C5"/>
    <w:rsid w:val="004E4900"/>
    <w:rsid w:val="004E4939"/>
    <w:rsid w:val="004E4952"/>
    <w:rsid w:val="004E4993"/>
    <w:rsid w:val="004E49E3"/>
    <w:rsid w:val="004E49F6"/>
    <w:rsid w:val="004E4A00"/>
    <w:rsid w:val="004E4A20"/>
    <w:rsid w:val="004E4A29"/>
    <w:rsid w:val="004E4A3F"/>
    <w:rsid w:val="004E4A53"/>
    <w:rsid w:val="004E4A57"/>
    <w:rsid w:val="004E4A63"/>
    <w:rsid w:val="004E4A79"/>
    <w:rsid w:val="004E4A89"/>
    <w:rsid w:val="004E4AA0"/>
    <w:rsid w:val="004E4AA2"/>
    <w:rsid w:val="004E4AA8"/>
    <w:rsid w:val="004E4AC0"/>
    <w:rsid w:val="004E4AE5"/>
    <w:rsid w:val="004E4B44"/>
    <w:rsid w:val="004E4B87"/>
    <w:rsid w:val="004E4BAE"/>
    <w:rsid w:val="004E4BB4"/>
    <w:rsid w:val="004E4BC1"/>
    <w:rsid w:val="004E4BEA"/>
    <w:rsid w:val="004E4C36"/>
    <w:rsid w:val="004E4C63"/>
    <w:rsid w:val="004E4C91"/>
    <w:rsid w:val="004E4C92"/>
    <w:rsid w:val="004E4CAB"/>
    <w:rsid w:val="004E4CC4"/>
    <w:rsid w:val="004E4D38"/>
    <w:rsid w:val="004E4D93"/>
    <w:rsid w:val="004E4DA0"/>
    <w:rsid w:val="004E4DB6"/>
    <w:rsid w:val="004E4DD4"/>
    <w:rsid w:val="004E4DD6"/>
    <w:rsid w:val="004E4DDF"/>
    <w:rsid w:val="004E4DE7"/>
    <w:rsid w:val="004E4E14"/>
    <w:rsid w:val="004E4E21"/>
    <w:rsid w:val="004E4E33"/>
    <w:rsid w:val="004E4F05"/>
    <w:rsid w:val="004E4F3C"/>
    <w:rsid w:val="004E4FF4"/>
    <w:rsid w:val="004E5029"/>
    <w:rsid w:val="004E5049"/>
    <w:rsid w:val="004E505D"/>
    <w:rsid w:val="004E505E"/>
    <w:rsid w:val="004E5099"/>
    <w:rsid w:val="004E50FD"/>
    <w:rsid w:val="004E513A"/>
    <w:rsid w:val="004E515E"/>
    <w:rsid w:val="004E517C"/>
    <w:rsid w:val="004E518C"/>
    <w:rsid w:val="004E519A"/>
    <w:rsid w:val="004E520B"/>
    <w:rsid w:val="004E5214"/>
    <w:rsid w:val="004E5241"/>
    <w:rsid w:val="004E527B"/>
    <w:rsid w:val="004E5293"/>
    <w:rsid w:val="004E52DD"/>
    <w:rsid w:val="004E52EF"/>
    <w:rsid w:val="004E530C"/>
    <w:rsid w:val="004E5363"/>
    <w:rsid w:val="004E536A"/>
    <w:rsid w:val="004E536D"/>
    <w:rsid w:val="004E5372"/>
    <w:rsid w:val="004E5379"/>
    <w:rsid w:val="004E538B"/>
    <w:rsid w:val="004E538D"/>
    <w:rsid w:val="004E53B4"/>
    <w:rsid w:val="004E53F6"/>
    <w:rsid w:val="004E53F7"/>
    <w:rsid w:val="004E5402"/>
    <w:rsid w:val="004E541B"/>
    <w:rsid w:val="004E548A"/>
    <w:rsid w:val="004E5494"/>
    <w:rsid w:val="004E54A8"/>
    <w:rsid w:val="004E54AF"/>
    <w:rsid w:val="004E5556"/>
    <w:rsid w:val="004E555A"/>
    <w:rsid w:val="004E55CF"/>
    <w:rsid w:val="004E55F7"/>
    <w:rsid w:val="004E5668"/>
    <w:rsid w:val="004E5670"/>
    <w:rsid w:val="004E5687"/>
    <w:rsid w:val="004E5695"/>
    <w:rsid w:val="004E5698"/>
    <w:rsid w:val="004E56A8"/>
    <w:rsid w:val="004E56B4"/>
    <w:rsid w:val="004E56BC"/>
    <w:rsid w:val="004E5707"/>
    <w:rsid w:val="004E5709"/>
    <w:rsid w:val="004E5724"/>
    <w:rsid w:val="004E5736"/>
    <w:rsid w:val="004E573A"/>
    <w:rsid w:val="004E5750"/>
    <w:rsid w:val="004E575B"/>
    <w:rsid w:val="004E5784"/>
    <w:rsid w:val="004E578F"/>
    <w:rsid w:val="004E5790"/>
    <w:rsid w:val="004E57AA"/>
    <w:rsid w:val="004E57AB"/>
    <w:rsid w:val="004E57AD"/>
    <w:rsid w:val="004E57BB"/>
    <w:rsid w:val="004E5802"/>
    <w:rsid w:val="004E5804"/>
    <w:rsid w:val="004E580C"/>
    <w:rsid w:val="004E584A"/>
    <w:rsid w:val="004E587D"/>
    <w:rsid w:val="004E5881"/>
    <w:rsid w:val="004E58B6"/>
    <w:rsid w:val="004E58ED"/>
    <w:rsid w:val="004E5921"/>
    <w:rsid w:val="004E5960"/>
    <w:rsid w:val="004E5961"/>
    <w:rsid w:val="004E597C"/>
    <w:rsid w:val="004E59D4"/>
    <w:rsid w:val="004E5A1F"/>
    <w:rsid w:val="004E5A94"/>
    <w:rsid w:val="004E5A9E"/>
    <w:rsid w:val="004E5AA8"/>
    <w:rsid w:val="004E5AE5"/>
    <w:rsid w:val="004E5B3E"/>
    <w:rsid w:val="004E5B64"/>
    <w:rsid w:val="004E5BCE"/>
    <w:rsid w:val="004E5BD4"/>
    <w:rsid w:val="004E5C02"/>
    <w:rsid w:val="004E5C13"/>
    <w:rsid w:val="004E5C18"/>
    <w:rsid w:val="004E5C35"/>
    <w:rsid w:val="004E5C70"/>
    <w:rsid w:val="004E5C86"/>
    <w:rsid w:val="004E5CB1"/>
    <w:rsid w:val="004E5CD6"/>
    <w:rsid w:val="004E5CE7"/>
    <w:rsid w:val="004E5CF2"/>
    <w:rsid w:val="004E5D1A"/>
    <w:rsid w:val="004E5D68"/>
    <w:rsid w:val="004E5D91"/>
    <w:rsid w:val="004E5D94"/>
    <w:rsid w:val="004E5DB8"/>
    <w:rsid w:val="004E5DC3"/>
    <w:rsid w:val="004E5DE4"/>
    <w:rsid w:val="004E5E54"/>
    <w:rsid w:val="004E5E5C"/>
    <w:rsid w:val="004E5EF0"/>
    <w:rsid w:val="004E5EF1"/>
    <w:rsid w:val="004E5F0C"/>
    <w:rsid w:val="004E5F11"/>
    <w:rsid w:val="004E5F20"/>
    <w:rsid w:val="004E5FCE"/>
    <w:rsid w:val="004E6020"/>
    <w:rsid w:val="004E6030"/>
    <w:rsid w:val="004E604D"/>
    <w:rsid w:val="004E6071"/>
    <w:rsid w:val="004E60B9"/>
    <w:rsid w:val="004E60EB"/>
    <w:rsid w:val="004E6109"/>
    <w:rsid w:val="004E6129"/>
    <w:rsid w:val="004E6136"/>
    <w:rsid w:val="004E6138"/>
    <w:rsid w:val="004E6169"/>
    <w:rsid w:val="004E617D"/>
    <w:rsid w:val="004E61E2"/>
    <w:rsid w:val="004E61F1"/>
    <w:rsid w:val="004E624E"/>
    <w:rsid w:val="004E6262"/>
    <w:rsid w:val="004E626F"/>
    <w:rsid w:val="004E6287"/>
    <w:rsid w:val="004E6292"/>
    <w:rsid w:val="004E62A2"/>
    <w:rsid w:val="004E62D0"/>
    <w:rsid w:val="004E6366"/>
    <w:rsid w:val="004E6375"/>
    <w:rsid w:val="004E63A8"/>
    <w:rsid w:val="004E63B7"/>
    <w:rsid w:val="004E63E2"/>
    <w:rsid w:val="004E63F8"/>
    <w:rsid w:val="004E6410"/>
    <w:rsid w:val="004E64C9"/>
    <w:rsid w:val="004E64CA"/>
    <w:rsid w:val="004E64E4"/>
    <w:rsid w:val="004E6521"/>
    <w:rsid w:val="004E6572"/>
    <w:rsid w:val="004E65AF"/>
    <w:rsid w:val="004E65FD"/>
    <w:rsid w:val="004E6611"/>
    <w:rsid w:val="004E667A"/>
    <w:rsid w:val="004E667E"/>
    <w:rsid w:val="004E6685"/>
    <w:rsid w:val="004E668F"/>
    <w:rsid w:val="004E6737"/>
    <w:rsid w:val="004E6740"/>
    <w:rsid w:val="004E6776"/>
    <w:rsid w:val="004E6792"/>
    <w:rsid w:val="004E67AA"/>
    <w:rsid w:val="004E67AE"/>
    <w:rsid w:val="004E67BB"/>
    <w:rsid w:val="004E67C4"/>
    <w:rsid w:val="004E67DB"/>
    <w:rsid w:val="004E67F8"/>
    <w:rsid w:val="004E6801"/>
    <w:rsid w:val="004E6884"/>
    <w:rsid w:val="004E68A2"/>
    <w:rsid w:val="004E68AC"/>
    <w:rsid w:val="004E68BD"/>
    <w:rsid w:val="004E68FB"/>
    <w:rsid w:val="004E6912"/>
    <w:rsid w:val="004E697E"/>
    <w:rsid w:val="004E69B1"/>
    <w:rsid w:val="004E69C6"/>
    <w:rsid w:val="004E69FD"/>
    <w:rsid w:val="004E6A11"/>
    <w:rsid w:val="004E6A1B"/>
    <w:rsid w:val="004E6A84"/>
    <w:rsid w:val="004E6A99"/>
    <w:rsid w:val="004E6AA4"/>
    <w:rsid w:val="004E6AD5"/>
    <w:rsid w:val="004E6ADD"/>
    <w:rsid w:val="004E6AE9"/>
    <w:rsid w:val="004E6AFE"/>
    <w:rsid w:val="004E6B2D"/>
    <w:rsid w:val="004E6B47"/>
    <w:rsid w:val="004E6B79"/>
    <w:rsid w:val="004E6B84"/>
    <w:rsid w:val="004E6B92"/>
    <w:rsid w:val="004E6BFD"/>
    <w:rsid w:val="004E6C10"/>
    <w:rsid w:val="004E6C96"/>
    <w:rsid w:val="004E6CCC"/>
    <w:rsid w:val="004E6CD1"/>
    <w:rsid w:val="004E6CEA"/>
    <w:rsid w:val="004E6CF6"/>
    <w:rsid w:val="004E6D0F"/>
    <w:rsid w:val="004E6D11"/>
    <w:rsid w:val="004E6D16"/>
    <w:rsid w:val="004E6D61"/>
    <w:rsid w:val="004E6D9A"/>
    <w:rsid w:val="004E6DD4"/>
    <w:rsid w:val="004E6E3B"/>
    <w:rsid w:val="004E6E61"/>
    <w:rsid w:val="004E6E6A"/>
    <w:rsid w:val="004E6E6D"/>
    <w:rsid w:val="004E6E7A"/>
    <w:rsid w:val="004E6E9E"/>
    <w:rsid w:val="004E6F2C"/>
    <w:rsid w:val="004E6F44"/>
    <w:rsid w:val="004E6F89"/>
    <w:rsid w:val="004E6FAB"/>
    <w:rsid w:val="004E6FC6"/>
    <w:rsid w:val="004E6FC8"/>
    <w:rsid w:val="004E6FF1"/>
    <w:rsid w:val="004E700A"/>
    <w:rsid w:val="004E7029"/>
    <w:rsid w:val="004E7038"/>
    <w:rsid w:val="004E7060"/>
    <w:rsid w:val="004E7066"/>
    <w:rsid w:val="004E70E7"/>
    <w:rsid w:val="004E70F0"/>
    <w:rsid w:val="004E70F8"/>
    <w:rsid w:val="004E712A"/>
    <w:rsid w:val="004E71B4"/>
    <w:rsid w:val="004E7207"/>
    <w:rsid w:val="004E7275"/>
    <w:rsid w:val="004E7284"/>
    <w:rsid w:val="004E72E4"/>
    <w:rsid w:val="004E731A"/>
    <w:rsid w:val="004E732A"/>
    <w:rsid w:val="004E7349"/>
    <w:rsid w:val="004E735A"/>
    <w:rsid w:val="004E737A"/>
    <w:rsid w:val="004E7386"/>
    <w:rsid w:val="004E73BB"/>
    <w:rsid w:val="004E7423"/>
    <w:rsid w:val="004E7426"/>
    <w:rsid w:val="004E7434"/>
    <w:rsid w:val="004E74E2"/>
    <w:rsid w:val="004E74E6"/>
    <w:rsid w:val="004E752A"/>
    <w:rsid w:val="004E7555"/>
    <w:rsid w:val="004E7574"/>
    <w:rsid w:val="004E75DD"/>
    <w:rsid w:val="004E7607"/>
    <w:rsid w:val="004E7635"/>
    <w:rsid w:val="004E763B"/>
    <w:rsid w:val="004E7642"/>
    <w:rsid w:val="004E765E"/>
    <w:rsid w:val="004E7669"/>
    <w:rsid w:val="004E767D"/>
    <w:rsid w:val="004E769B"/>
    <w:rsid w:val="004E775A"/>
    <w:rsid w:val="004E7773"/>
    <w:rsid w:val="004E777F"/>
    <w:rsid w:val="004E77CE"/>
    <w:rsid w:val="004E77F0"/>
    <w:rsid w:val="004E780D"/>
    <w:rsid w:val="004E7812"/>
    <w:rsid w:val="004E786C"/>
    <w:rsid w:val="004E78DF"/>
    <w:rsid w:val="004E78ED"/>
    <w:rsid w:val="004E792B"/>
    <w:rsid w:val="004E7936"/>
    <w:rsid w:val="004E797B"/>
    <w:rsid w:val="004E79A5"/>
    <w:rsid w:val="004E7A35"/>
    <w:rsid w:val="004E7A43"/>
    <w:rsid w:val="004E7A73"/>
    <w:rsid w:val="004E7A91"/>
    <w:rsid w:val="004E7AB5"/>
    <w:rsid w:val="004E7B05"/>
    <w:rsid w:val="004E7B32"/>
    <w:rsid w:val="004E7B46"/>
    <w:rsid w:val="004E7B5D"/>
    <w:rsid w:val="004E7B6D"/>
    <w:rsid w:val="004E7BA5"/>
    <w:rsid w:val="004E7BFD"/>
    <w:rsid w:val="004E7C2C"/>
    <w:rsid w:val="004E7C71"/>
    <w:rsid w:val="004E7C8B"/>
    <w:rsid w:val="004E7CEE"/>
    <w:rsid w:val="004E7D14"/>
    <w:rsid w:val="004E7DA0"/>
    <w:rsid w:val="004E7DF6"/>
    <w:rsid w:val="004E7E45"/>
    <w:rsid w:val="004E7ED3"/>
    <w:rsid w:val="004E7F0A"/>
    <w:rsid w:val="004E7F23"/>
    <w:rsid w:val="004E7F2C"/>
    <w:rsid w:val="004E7F53"/>
    <w:rsid w:val="004E7F61"/>
    <w:rsid w:val="004E7FA1"/>
    <w:rsid w:val="004E7FC3"/>
    <w:rsid w:val="004E7FD9"/>
    <w:rsid w:val="004F000C"/>
    <w:rsid w:val="004F0068"/>
    <w:rsid w:val="004F0069"/>
    <w:rsid w:val="004F00F0"/>
    <w:rsid w:val="004F013A"/>
    <w:rsid w:val="004F013D"/>
    <w:rsid w:val="004F0155"/>
    <w:rsid w:val="004F0168"/>
    <w:rsid w:val="004F0171"/>
    <w:rsid w:val="004F01B5"/>
    <w:rsid w:val="004F0207"/>
    <w:rsid w:val="004F0224"/>
    <w:rsid w:val="004F023E"/>
    <w:rsid w:val="004F02C3"/>
    <w:rsid w:val="004F02D4"/>
    <w:rsid w:val="004F02E3"/>
    <w:rsid w:val="004F02EC"/>
    <w:rsid w:val="004F02FB"/>
    <w:rsid w:val="004F0316"/>
    <w:rsid w:val="004F0339"/>
    <w:rsid w:val="004F033A"/>
    <w:rsid w:val="004F034B"/>
    <w:rsid w:val="004F0398"/>
    <w:rsid w:val="004F03A8"/>
    <w:rsid w:val="004F03DC"/>
    <w:rsid w:val="004F03E2"/>
    <w:rsid w:val="004F03FC"/>
    <w:rsid w:val="004F0413"/>
    <w:rsid w:val="004F0416"/>
    <w:rsid w:val="004F043A"/>
    <w:rsid w:val="004F04E5"/>
    <w:rsid w:val="004F04EF"/>
    <w:rsid w:val="004F04FF"/>
    <w:rsid w:val="004F0518"/>
    <w:rsid w:val="004F0527"/>
    <w:rsid w:val="004F0547"/>
    <w:rsid w:val="004F05D3"/>
    <w:rsid w:val="004F0614"/>
    <w:rsid w:val="004F0644"/>
    <w:rsid w:val="004F0661"/>
    <w:rsid w:val="004F0665"/>
    <w:rsid w:val="004F069B"/>
    <w:rsid w:val="004F06F0"/>
    <w:rsid w:val="004F0717"/>
    <w:rsid w:val="004F072E"/>
    <w:rsid w:val="004F0746"/>
    <w:rsid w:val="004F0764"/>
    <w:rsid w:val="004F07E1"/>
    <w:rsid w:val="004F0837"/>
    <w:rsid w:val="004F08FF"/>
    <w:rsid w:val="004F091E"/>
    <w:rsid w:val="004F096B"/>
    <w:rsid w:val="004F09ED"/>
    <w:rsid w:val="004F0A2D"/>
    <w:rsid w:val="004F0A31"/>
    <w:rsid w:val="004F0A3A"/>
    <w:rsid w:val="004F0A5F"/>
    <w:rsid w:val="004F0A6E"/>
    <w:rsid w:val="004F0A8C"/>
    <w:rsid w:val="004F0A99"/>
    <w:rsid w:val="004F0AEF"/>
    <w:rsid w:val="004F0B02"/>
    <w:rsid w:val="004F0B3B"/>
    <w:rsid w:val="004F0B4F"/>
    <w:rsid w:val="004F0B78"/>
    <w:rsid w:val="004F0B7C"/>
    <w:rsid w:val="004F0BC1"/>
    <w:rsid w:val="004F0BD1"/>
    <w:rsid w:val="004F0C39"/>
    <w:rsid w:val="004F0CE8"/>
    <w:rsid w:val="004F0D35"/>
    <w:rsid w:val="004F0D41"/>
    <w:rsid w:val="004F0D7B"/>
    <w:rsid w:val="004F0D7C"/>
    <w:rsid w:val="004F0D9F"/>
    <w:rsid w:val="004F0DC7"/>
    <w:rsid w:val="004F0E69"/>
    <w:rsid w:val="004F0EBD"/>
    <w:rsid w:val="004F0ED0"/>
    <w:rsid w:val="004F0EE9"/>
    <w:rsid w:val="004F0F3E"/>
    <w:rsid w:val="004F0F56"/>
    <w:rsid w:val="004F0F6D"/>
    <w:rsid w:val="004F0F9B"/>
    <w:rsid w:val="004F0FAE"/>
    <w:rsid w:val="004F0FCD"/>
    <w:rsid w:val="004F1002"/>
    <w:rsid w:val="004F100C"/>
    <w:rsid w:val="004F1056"/>
    <w:rsid w:val="004F10F1"/>
    <w:rsid w:val="004F112C"/>
    <w:rsid w:val="004F1134"/>
    <w:rsid w:val="004F117F"/>
    <w:rsid w:val="004F1183"/>
    <w:rsid w:val="004F11A5"/>
    <w:rsid w:val="004F11C0"/>
    <w:rsid w:val="004F11CA"/>
    <w:rsid w:val="004F1265"/>
    <w:rsid w:val="004F126D"/>
    <w:rsid w:val="004F1273"/>
    <w:rsid w:val="004F12AC"/>
    <w:rsid w:val="004F12AD"/>
    <w:rsid w:val="004F12BB"/>
    <w:rsid w:val="004F1323"/>
    <w:rsid w:val="004F1342"/>
    <w:rsid w:val="004F1351"/>
    <w:rsid w:val="004F1370"/>
    <w:rsid w:val="004F13AC"/>
    <w:rsid w:val="004F13D3"/>
    <w:rsid w:val="004F13D5"/>
    <w:rsid w:val="004F1492"/>
    <w:rsid w:val="004F151B"/>
    <w:rsid w:val="004F153F"/>
    <w:rsid w:val="004F157F"/>
    <w:rsid w:val="004F160A"/>
    <w:rsid w:val="004F16B5"/>
    <w:rsid w:val="004F16C5"/>
    <w:rsid w:val="004F16D1"/>
    <w:rsid w:val="004F16EE"/>
    <w:rsid w:val="004F1708"/>
    <w:rsid w:val="004F1722"/>
    <w:rsid w:val="004F175C"/>
    <w:rsid w:val="004F1794"/>
    <w:rsid w:val="004F17AE"/>
    <w:rsid w:val="004F17B4"/>
    <w:rsid w:val="004F17E1"/>
    <w:rsid w:val="004F1804"/>
    <w:rsid w:val="004F181C"/>
    <w:rsid w:val="004F181D"/>
    <w:rsid w:val="004F1881"/>
    <w:rsid w:val="004F1887"/>
    <w:rsid w:val="004F1952"/>
    <w:rsid w:val="004F1979"/>
    <w:rsid w:val="004F198D"/>
    <w:rsid w:val="004F19AF"/>
    <w:rsid w:val="004F19D6"/>
    <w:rsid w:val="004F1A00"/>
    <w:rsid w:val="004F1A46"/>
    <w:rsid w:val="004F1A5E"/>
    <w:rsid w:val="004F1A87"/>
    <w:rsid w:val="004F1B33"/>
    <w:rsid w:val="004F1B85"/>
    <w:rsid w:val="004F1BBC"/>
    <w:rsid w:val="004F1BDF"/>
    <w:rsid w:val="004F1C1D"/>
    <w:rsid w:val="004F1C2E"/>
    <w:rsid w:val="004F1C46"/>
    <w:rsid w:val="004F1C7F"/>
    <w:rsid w:val="004F1C90"/>
    <w:rsid w:val="004F1CA6"/>
    <w:rsid w:val="004F1CB4"/>
    <w:rsid w:val="004F1D03"/>
    <w:rsid w:val="004F1D04"/>
    <w:rsid w:val="004F1D17"/>
    <w:rsid w:val="004F1D1E"/>
    <w:rsid w:val="004F1D4F"/>
    <w:rsid w:val="004F1DA7"/>
    <w:rsid w:val="004F1E21"/>
    <w:rsid w:val="004F1E62"/>
    <w:rsid w:val="004F1E6B"/>
    <w:rsid w:val="004F1F02"/>
    <w:rsid w:val="004F1F34"/>
    <w:rsid w:val="004F1F38"/>
    <w:rsid w:val="004F1F68"/>
    <w:rsid w:val="004F2033"/>
    <w:rsid w:val="004F203E"/>
    <w:rsid w:val="004F2042"/>
    <w:rsid w:val="004F2051"/>
    <w:rsid w:val="004F2085"/>
    <w:rsid w:val="004F20C6"/>
    <w:rsid w:val="004F20F9"/>
    <w:rsid w:val="004F212E"/>
    <w:rsid w:val="004F2134"/>
    <w:rsid w:val="004F214C"/>
    <w:rsid w:val="004F219E"/>
    <w:rsid w:val="004F21C3"/>
    <w:rsid w:val="004F21EE"/>
    <w:rsid w:val="004F21F5"/>
    <w:rsid w:val="004F22BA"/>
    <w:rsid w:val="004F22F2"/>
    <w:rsid w:val="004F22F5"/>
    <w:rsid w:val="004F22FB"/>
    <w:rsid w:val="004F2305"/>
    <w:rsid w:val="004F2317"/>
    <w:rsid w:val="004F2385"/>
    <w:rsid w:val="004F238E"/>
    <w:rsid w:val="004F2390"/>
    <w:rsid w:val="004F2398"/>
    <w:rsid w:val="004F23A9"/>
    <w:rsid w:val="004F23CE"/>
    <w:rsid w:val="004F23D8"/>
    <w:rsid w:val="004F23DB"/>
    <w:rsid w:val="004F23FA"/>
    <w:rsid w:val="004F2410"/>
    <w:rsid w:val="004F2478"/>
    <w:rsid w:val="004F248A"/>
    <w:rsid w:val="004F24A9"/>
    <w:rsid w:val="004F24BD"/>
    <w:rsid w:val="004F24C1"/>
    <w:rsid w:val="004F24CF"/>
    <w:rsid w:val="004F2504"/>
    <w:rsid w:val="004F2526"/>
    <w:rsid w:val="004F2533"/>
    <w:rsid w:val="004F2568"/>
    <w:rsid w:val="004F25CB"/>
    <w:rsid w:val="004F25D7"/>
    <w:rsid w:val="004F2620"/>
    <w:rsid w:val="004F2639"/>
    <w:rsid w:val="004F2663"/>
    <w:rsid w:val="004F271C"/>
    <w:rsid w:val="004F2740"/>
    <w:rsid w:val="004F277F"/>
    <w:rsid w:val="004F27D5"/>
    <w:rsid w:val="004F27E9"/>
    <w:rsid w:val="004F27F0"/>
    <w:rsid w:val="004F280A"/>
    <w:rsid w:val="004F2828"/>
    <w:rsid w:val="004F2843"/>
    <w:rsid w:val="004F2866"/>
    <w:rsid w:val="004F28A1"/>
    <w:rsid w:val="004F28A3"/>
    <w:rsid w:val="004F28C9"/>
    <w:rsid w:val="004F2924"/>
    <w:rsid w:val="004F2941"/>
    <w:rsid w:val="004F2968"/>
    <w:rsid w:val="004F2974"/>
    <w:rsid w:val="004F298D"/>
    <w:rsid w:val="004F2991"/>
    <w:rsid w:val="004F29C8"/>
    <w:rsid w:val="004F29DE"/>
    <w:rsid w:val="004F29E0"/>
    <w:rsid w:val="004F2A49"/>
    <w:rsid w:val="004F2A6D"/>
    <w:rsid w:val="004F2A71"/>
    <w:rsid w:val="004F2AF8"/>
    <w:rsid w:val="004F2AFF"/>
    <w:rsid w:val="004F2B3C"/>
    <w:rsid w:val="004F2B47"/>
    <w:rsid w:val="004F2B51"/>
    <w:rsid w:val="004F2B57"/>
    <w:rsid w:val="004F2B78"/>
    <w:rsid w:val="004F2C15"/>
    <w:rsid w:val="004F2C1C"/>
    <w:rsid w:val="004F2C1D"/>
    <w:rsid w:val="004F2C39"/>
    <w:rsid w:val="004F2C56"/>
    <w:rsid w:val="004F2C5B"/>
    <w:rsid w:val="004F2C69"/>
    <w:rsid w:val="004F2CB2"/>
    <w:rsid w:val="004F2CBD"/>
    <w:rsid w:val="004F2CC5"/>
    <w:rsid w:val="004F2CCD"/>
    <w:rsid w:val="004F2CE8"/>
    <w:rsid w:val="004F2D0B"/>
    <w:rsid w:val="004F2D1C"/>
    <w:rsid w:val="004F2D8F"/>
    <w:rsid w:val="004F2DA2"/>
    <w:rsid w:val="004F2E37"/>
    <w:rsid w:val="004F2E41"/>
    <w:rsid w:val="004F2E49"/>
    <w:rsid w:val="004F2E4F"/>
    <w:rsid w:val="004F2E6F"/>
    <w:rsid w:val="004F2EA0"/>
    <w:rsid w:val="004F2EB0"/>
    <w:rsid w:val="004F2EBB"/>
    <w:rsid w:val="004F2EC7"/>
    <w:rsid w:val="004F2EFF"/>
    <w:rsid w:val="004F2F1D"/>
    <w:rsid w:val="004F2F22"/>
    <w:rsid w:val="004F2F2B"/>
    <w:rsid w:val="004F2F3C"/>
    <w:rsid w:val="004F2F8B"/>
    <w:rsid w:val="004F2FB9"/>
    <w:rsid w:val="004F2FC2"/>
    <w:rsid w:val="004F2FC6"/>
    <w:rsid w:val="004F2FDE"/>
    <w:rsid w:val="004F3020"/>
    <w:rsid w:val="004F3038"/>
    <w:rsid w:val="004F3042"/>
    <w:rsid w:val="004F3047"/>
    <w:rsid w:val="004F30A1"/>
    <w:rsid w:val="004F30A3"/>
    <w:rsid w:val="004F30BA"/>
    <w:rsid w:val="004F30BD"/>
    <w:rsid w:val="004F30BF"/>
    <w:rsid w:val="004F30C6"/>
    <w:rsid w:val="004F30DE"/>
    <w:rsid w:val="004F3104"/>
    <w:rsid w:val="004F31D3"/>
    <w:rsid w:val="004F31E5"/>
    <w:rsid w:val="004F3227"/>
    <w:rsid w:val="004F3238"/>
    <w:rsid w:val="004F3251"/>
    <w:rsid w:val="004F3275"/>
    <w:rsid w:val="004F3295"/>
    <w:rsid w:val="004F32D9"/>
    <w:rsid w:val="004F3356"/>
    <w:rsid w:val="004F3391"/>
    <w:rsid w:val="004F33E3"/>
    <w:rsid w:val="004F33EA"/>
    <w:rsid w:val="004F33F1"/>
    <w:rsid w:val="004F3430"/>
    <w:rsid w:val="004F3445"/>
    <w:rsid w:val="004F3477"/>
    <w:rsid w:val="004F34C3"/>
    <w:rsid w:val="004F34E5"/>
    <w:rsid w:val="004F3548"/>
    <w:rsid w:val="004F3557"/>
    <w:rsid w:val="004F35A6"/>
    <w:rsid w:val="004F35B9"/>
    <w:rsid w:val="004F35C3"/>
    <w:rsid w:val="004F35EC"/>
    <w:rsid w:val="004F35F1"/>
    <w:rsid w:val="004F3623"/>
    <w:rsid w:val="004F363E"/>
    <w:rsid w:val="004F36F1"/>
    <w:rsid w:val="004F3704"/>
    <w:rsid w:val="004F3724"/>
    <w:rsid w:val="004F375D"/>
    <w:rsid w:val="004F378F"/>
    <w:rsid w:val="004F37CD"/>
    <w:rsid w:val="004F3818"/>
    <w:rsid w:val="004F385C"/>
    <w:rsid w:val="004F38C2"/>
    <w:rsid w:val="004F38D5"/>
    <w:rsid w:val="004F38E3"/>
    <w:rsid w:val="004F3918"/>
    <w:rsid w:val="004F395E"/>
    <w:rsid w:val="004F3990"/>
    <w:rsid w:val="004F39B5"/>
    <w:rsid w:val="004F39E3"/>
    <w:rsid w:val="004F39EC"/>
    <w:rsid w:val="004F3A13"/>
    <w:rsid w:val="004F3A33"/>
    <w:rsid w:val="004F3A39"/>
    <w:rsid w:val="004F3A67"/>
    <w:rsid w:val="004F3A91"/>
    <w:rsid w:val="004F3A93"/>
    <w:rsid w:val="004F3A94"/>
    <w:rsid w:val="004F3ADA"/>
    <w:rsid w:val="004F3AEF"/>
    <w:rsid w:val="004F3B16"/>
    <w:rsid w:val="004F3B5C"/>
    <w:rsid w:val="004F3B6A"/>
    <w:rsid w:val="004F3B6D"/>
    <w:rsid w:val="004F3B78"/>
    <w:rsid w:val="004F3B7D"/>
    <w:rsid w:val="004F3BBE"/>
    <w:rsid w:val="004F3BFA"/>
    <w:rsid w:val="004F3C75"/>
    <w:rsid w:val="004F3C83"/>
    <w:rsid w:val="004F3CAC"/>
    <w:rsid w:val="004F3CCE"/>
    <w:rsid w:val="004F3D27"/>
    <w:rsid w:val="004F3D42"/>
    <w:rsid w:val="004F3D57"/>
    <w:rsid w:val="004F3D5B"/>
    <w:rsid w:val="004F3D5C"/>
    <w:rsid w:val="004F3DAC"/>
    <w:rsid w:val="004F3DDB"/>
    <w:rsid w:val="004F3E35"/>
    <w:rsid w:val="004F3E49"/>
    <w:rsid w:val="004F3E6F"/>
    <w:rsid w:val="004F3EA4"/>
    <w:rsid w:val="004F3ED2"/>
    <w:rsid w:val="004F3F05"/>
    <w:rsid w:val="004F3F14"/>
    <w:rsid w:val="004F3F26"/>
    <w:rsid w:val="004F3F2B"/>
    <w:rsid w:val="004F3F9B"/>
    <w:rsid w:val="004F3FDE"/>
    <w:rsid w:val="004F4072"/>
    <w:rsid w:val="004F4088"/>
    <w:rsid w:val="004F408B"/>
    <w:rsid w:val="004F409B"/>
    <w:rsid w:val="004F40D5"/>
    <w:rsid w:val="004F40DF"/>
    <w:rsid w:val="004F411B"/>
    <w:rsid w:val="004F416E"/>
    <w:rsid w:val="004F4174"/>
    <w:rsid w:val="004F4193"/>
    <w:rsid w:val="004F41A5"/>
    <w:rsid w:val="004F420B"/>
    <w:rsid w:val="004F4308"/>
    <w:rsid w:val="004F4397"/>
    <w:rsid w:val="004F43A0"/>
    <w:rsid w:val="004F43B7"/>
    <w:rsid w:val="004F4451"/>
    <w:rsid w:val="004F44C4"/>
    <w:rsid w:val="004F44ED"/>
    <w:rsid w:val="004F44F9"/>
    <w:rsid w:val="004F4539"/>
    <w:rsid w:val="004F453D"/>
    <w:rsid w:val="004F454A"/>
    <w:rsid w:val="004F45B4"/>
    <w:rsid w:val="004F45BB"/>
    <w:rsid w:val="004F4691"/>
    <w:rsid w:val="004F46A3"/>
    <w:rsid w:val="004F46AD"/>
    <w:rsid w:val="004F46B2"/>
    <w:rsid w:val="004F46EB"/>
    <w:rsid w:val="004F4774"/>
    <w:rsid w:val="004F4791"/>
    <w:rsid w:val="004F4815"/>
    <w:rsid w:val="004F4831"/>
    <w:rsid w:val="004F4867"/>
    <w:rsid w:val="004F4869"/>
    <w:rsid w:val="004F4892"/>
    <w:rsid w:val="004F48A1"/>
    <w:rsid w:val="004F48B0"/>
    <w:rsid w:val="004F48CE"/>
    <w:rsid w:val="004F4929"/>
    <w:rsid w:val="004F4951"/>
    <w:rsid w:val="004F4977"/>
    <w:rsid w:val="004F499B"/>
    <w:rsid w:val="004F49BD"/>
    <w:rsid w:val="004F49DF"/>
    <w:rsid w:val="004F49E5"/>
    <w:rsid w:val="004F4A26"/>
    <w:rsid w:val="004F4A6E"/>
    <w:rsid w:val="004F4AA1"/>
    <w:rsid w:val="004F4AC2"/>
    <w:rsid w:val="004F4ADB"/>
    <w:rsid w:val="004F4AF5"/>
    <w:rsid w:val="004F4B03"/>
    <w:rsid w:val="004F4B1D"/>
    <w:rsid w:val="004F4B22"/>
    <w:rsid w:val="004F4B40"/>
    <w:rsid w:val="004F4B5F"/>
    <w:rsid w:val="004F4B7C"/>
    <w:rsid w:val="004F4C5D"/>
    <w:rsid w:val="004F4C69"/>
    <w:rsid w:val="004F4C85"/>
    <w:rsid w:val="004F4C94"/>
    <w:rsid w:val="004F4CBC"/>
    <w:rsid w:val="004F4CC5"/>
    <w:rsid w:val="004F4CDB"/>
    <w:rsid w:val="004F4D2F"/>
    <w:rsid w:val="004F4DB4"/>
    <w:rsid w:val="004F4E07"/>
    <w:rsid w:val="004F4E1E"/>
    <w:rsid w:val="004F4E6F"/>
    <w:rsid w:val="004F4E77"/>
    <w:rsid w:val="004F4E83"/>
    <w:rsid w:val="004F4E8F"/>
    <w:rsid w:val="004F4E9C"/>
    <w:rsid w:val="004F4EC7"/>
    <w:rsid w:val="004F4EF9"/>
    <w:rsid w:val="004F4F0A"/>
    <w:rsid w:val="004F4F25"/>
    <w:rsid w:val="004F4FA9"/>
    <w:rsid w:val="004F4FC7"/>
    <w:rsid w:val="004F4FD7"/>
    <w:rsid w:val="004F4FDA"/>
    <w:rsid w:val="004F501D"/>
    <w:rsid w:val="004F5050"/>
    <w:rsid w:val="004F5059"/>
    <w:rsid w:val="004F50FD"/>
    <w:rsid w:val="004F513F"/>
    <w:rsid w:val="004F5158"/>
    <w:rsid w:val="004F5178"/>
    <w:rsid w:val="004F519F"/>
    <w:rsid w:val="004F51B0"/>
    <w:rsid w:val="004F51B9"/>
    <w:rsid w:val="004F51E8"/>
    <w:rsid w:val="004F51F0"/>
    <w:rsid w:val="004F51FE"/>
    <w:rsid w:val="004F5212"/>
    <w:rsid w:val="004F5288"/>
    <w:rsid w:val="004F52CB"/>
    <w:rsid w:val="004F52EB"/>
    <w:rsid w:val="004F52F4"/>
    <w:rsid w:val="004F5317"/>
    <w:rsid w:val="004F5370"/>
    <w:rsid w:val="004F537E"/>
    <w:rsid w:val="004F537F"/>
    <w:rsid w:val="004F5397"/>
    <w:rsid w:val="004F53B7"/>
    <w:rsid w:val="004F53F7"/>
    <w:rsid w:val="004F5489"/>
    <w:rsid w:val="004F54EA"/>
    <w:rsid w:val="004F552F"/>
    <w:rsid w:val="004F5563"/>
    <w:rsid w:val="004F55AB"/>
    <w:rsid w:val="004F55CD"/>
    <w:rsid w:val="004F5665"/>
    <w:rsid w:val="004F5687"/>
    <w:rsid w:val="004F56E5"/>
    <w:rsid w:val="004F575C"/>
    <w:rsid w:val="004F5768"/>
    <w:rsid w:val="004F57A8"/>
    <w:rsid w:val="004F57D7"/>
    <w:rsid w:val="004F5800"/>
    <w:rsid w:val="004F5848"/>
    <w:rsid w:val="004F5883"/>
    <w:rsid w:val="004F58A3"/>
    <w:rsid w:val="004F58C9"/>
    <w:rsid w:val="004F58D8"/>
    <w:rsid w:val="004F58DE"/>
    <w:rsid w:val="004F59A5"/>
    <w:rsid w:val="004F59BF"/>
    <w:rsid w:val="004F59E7"/>
    <w:rsid w:val="004F5A12"/>
    <w:rsid w:val="004F5A1B"/>
    <w:rsid w:val="004F5A56"/>
    <w:rsid w:val="004F5A5B"/>
    <w:rsid w:val="004F5A62"/>
    <w:rsid w:val="004F5A7B"/>
    <w:rsid w:val="004F5ABD"/>
    <w:rsid w:val="004F5AF0"/>
    <w:rsid w:val="004F5B14"/>
    <w:rsid w:val="004F5B55"/>
    <w:rsid w:val="004F5B74"/>
    <w:rsid w:val="004F5BA3"/>
    <w:rsid w:val="004F5BF1"/>
    <w:rsid w:val="004F5BFC"/>
    <w:rsid w:val="004F5C1C"/>
    <w:rsid w:val="004F5CC5"/>
    <w:rsid w:val="004F5CC9"/>
    <w:rsid w:val="004F5CE0"/>
    <w:rsid w:val="004F5CE5"/>
    <w:rsid w:val="004F5CF2"/>
    <w:rsid w:val="004F5CF4"/>
    <w:rsid w:val="004F5D36"/>
    <w:rsid w:val="004F5D64"/>
    <w:rsid w:val="004F5DB8"/>
    <w:rsid w:val="004F5DC8"/>
    <w:rsid w:val="004F5E4F"/>
    <w:rsid w:val="004F5EA0"/>
    <w:rsid w:val="004F5EB3"/>
    <w:rsid w:val="004F5ED2"/>
    <w:rsid w:val="004F5EE9"/>
    <w:rsid w:val="004F5F0A"/>
    <w:rsid w:val="004F5F90"/>
    <w:rsid w:val="004F5F9C"/>
    <w:rsid w:val="004F5FB7"/>
    <w:rsid w:val="004F5FE0"/>
    <w:rsid w:val="004F600F"/>
    <w:rsid w:val="004F6079"/>
    <w:rsid w:val="004F6110"/>
    <w:rsid w:val="004F615A"/>
    <w:rsid w:val="004F6189"/>
    <w:rsid w:val="004F61AB"/>
    <w:rsid w:val="004F61BA"/>
    <w:rsid w:val="004F61D5"/>
    <w:rsid w:val="004F61E9"/>
    <w:rsid w:val="004F629F"/>
    <w:rsid w:val="004F62DC"/>
    <w:rsid w:val="004F6307"/>
    <w:rsid w:val="004F6312"/>
    <w:rsid w:val="004F6338"/>
    <w:rsid w:val="004F6350"/>
    <w:rsid w:val="004F6368"/>
    <w:rsid w:val="004F6417"/>
    <w:rsid w:val="004F6428"/>
    <w:rsid w:val="004F6496"/>
    <w:rsid w:val="004F64A5"/>
    <w:rsid w:val="004F64B2"/>
    <w:rsid w:val="004F64BC"/>
    <w:rsid w:val="004F64C9"/>
    <w:rsid w:val="004F64E0"/>
    <w:rsid w:val="004F64E5"/>
    <w:rsid w:val="004F64F9"/>
    <w:rsid w:val="004F6563"/>
    <w:rsid w:val="004F65F3"/>
    <w:rsid w:val="004F6630"/>
    <w:rsid w:val="004F663C"/>
    <w:rsid w:val="004F663F"/>
    <w:rsid w:val="004F6706"/>
    <w:rsid w:val="004F6741"/>
    <w:rsid w:val="004F6761"/>
    <w:rsid w:val="004F6780"/>
    <w:rsid w:val="004F67BA"/>
    <w:rsid w:val="004F685B"/>
    <w:rsid w:val="004F6870"/>
    <w:rsid w:val="004F68E7"/>
    <w:rsid w:val="004F6910"/>
    <w:rsid w:val="004F6936"/>
    <w:rsid w:val="004F6941"/>
    <w:rsid w:val="004F69B3"/>
    <w:rsid w:val="004F69B4"/>
    <w:rsid w:val="004F6AB2"/>
    <w:rsid w:val="004F6ACE"/>
    <w:rsid w:val="004F6B01"/>
    <w:rsid w:val="004F6B10"/>
    <w:rsid w:val="004F6B2B"/>
    <w:rsid w:val="004F6B2F"/>
    <w:rsid w:val="004F6B53"/>
    <w:rsid w:val="004F6B54"/>
    <w:rsid w:val="004F6B57"/>
    <w:rsid w:val="004F6B5D"/>
    <w:rsid w:val="004F6B99"/>
    <w:rsid w:val="004F6BA6"/>
    <w:rsid w:val="004F6BEC"/>
    <w:rsid w:val="004F6C5F"/>
    <w:rsid w:val="004F6CAB"/>
    <w:rsid w:val="004F6CF4"/>
    <w:rsid w:val="004F6D06"/>
    <w:rsid w:val="004F6D0F"/>
    <w:rsid w:val="004F6D3C"/>
    <w:rsid w:val="004F6D71"/>
    <w:rsid w:val="004F6DD5"/>
    <w:rsid w:val="004F6E25"/>
    <w:rsid w:val="004F6E79"/>
    <w:rsid w:val="004F6EC0"/>
    <w:rsid w:val="004F6EC4"/>
    <w:rsid w:val="004F6ED7"/>
    <w:rsid w:val="004F6EE3"/>
    <w:rsid w:val="004F6EED"/>
    <w:rsid w:val="004F6F4D"/>
    <w:rsid w:val="004F6F52"/>
    <w:rsid w:val="004F6F64"/>
    <w:rsid w:val="004F6FA2"/>
    <w:rsid w:val="004F6FED"/>
    <w:rsid w:val="004F7065"/>
    <w:rsid w:val="004F7081"/>
    <w:rsid w:val="004F7083"/>
    <w:rsid w:val="004F70B1"/>
    <w:rsid w:val="004F70D9"/>
    <w:rsid w:val="004F7104"/>
    <w:rsid w:val="004F7108"/>
    <w:rsid w:val="004F710C"/>
    <w:rsid w:val="004F7143"/>
    <w:rsid w:val="004F7153"/>
    <w:rsid w:val="004F7160"/>
    <w:rsid w:val="004F7165"/>
    <w:rsid w:val="004F71AE"/>
    <w:rsid w:val="004F71FC"/>
    <w:rsid w:val="004F7223"/>
    <w:rsid w:val="004F7253"/>
    <w:rsid w:val="004F72B2"/>
    <w:rsid w:val="004F72E4"/>
    <w:rsid w:val="004F735C"/>
    <w:rsid w:val="004F7394"/>
    <w:rsid w:val="004F73AE"/>
    <w:rsid w:val="004F73B2"/>
    <w:rsid w:val="004F73B8"/>
    <w:rsid w:val="004F73F0"/>
    <w:rsid w:val="004F7412"/>
    <w:rsid w:val="004F741F"/>
    <w:rsid w:val="004F745D"/>
    <w:rsid w:val="004F749F"/>
    <w:rsid w:val="004F74D2"/>
    <w:rsid w:val="004F7509"/>
    <w:rsid w:val="004F7519"/>
    <w:rsid w:val="004F751A"/>
    <w:rsid w:val="004F7523"/>
    <w:rsid w:val="004F755E"/>
    <w:rsid w:val="004F7574"/>
    <w:rsid w:val="004F757A"/>
    <w:rsid w:val="004F75A7"/>
    <w:rsid w:val="004F75EB"/>
    <w:rsid w:val="004F75FF"/>
    <w:rsid w:val="004F760A"/>
    <w:rsid w:val="004F763D"/>
    <w:rsid w:val="004F772F"/>
    <w:rsid w:val="004F7732"/>
    <w:rsid w:val="004F774D"/>
    <w:rsid w:val="004F7759"/>
    <w:rsid w:val="004F77C8"/>
    <w:rsid w:val="004F77E0"/>
    <w:rsid w:val="004F77E2"/>
    <w:rsid w:val="004F77E4"/>
    <w:rsid w:val="004F7807"/>
    <w:rsid w:val="004F780A"/>
    <w:rsid w:val="004F7829"/>
    <w:rsid w:val="004F7885"/>
    <w:rsid w:val="004F788F"/>
    <w:rsid w:val="004F78ED"/>
    <w:rsid w:val="004F7929"/>
    <w:rsid w:val="004F7942"/>
    <w:rsid w:val="004F797C"/>
    <w:rsid w:val="004F79BB"/>
    <w:rsid w:val="004F79E7"/>
    <w:rsid w:val="004F7A84"/>
    <w:rsid w:val="004F7AC5"/>
    <w:rsid w:val="004F7AE3"/>
    <w:rsid w:val="004F7B03"/>
    <w:rsid w:val="004F7B38"/>
    <w:rsid w:val="004F7BDA"/>
    <w:rsid w:val="004F7BFE"/>
    <w:rsid w:val="004F7C48"/>
    <w:rsid w:val="004F7C62"/>
    <w:rsid w:val="004F7C90"/>
    <w:rsid w:val="004F7CA7"/>
    <w:rsid w:val="004F7CBD"/>
    <w:rsid w:val="004F7CBF"/>
    <w:rsid w:val="004F7D18"/>
    <w:rsid w:val="004F7D25"/>
    <w:rsid w:val="004F7D5B"/>
    <w:rsid w:val="004F7D7A"/>
    <w:rsid w:val="004F7D91"/>
    <w:rsid w:val="004F7DD5"/>
    <w:rsid w:val="004F7E02"/>
    <w:rsid w:val="004F7E23"/>
    <w:rsid w:val="004F7E3F"/>
    <w:rsid w:val="004F7E5C"/>
    <w:rsid w:val="004F7E6B"/>
    <w:rsid w:val="004F7E89"/>
    <w:rsid w:val="004F7E90"/>
    <w:rsid w:val="004F7EE1"/>
    <w:rsid w:val="004F7EF7"/>
    <w:rsid w:val="004F7F55"/>
    <w:rsid w:val="004F7F5D"/>
    <w:rsid w:val="004F7F60"/>
    <w:rsid w:val="00500023"/>
    <w:rsid w:val="00500025"/>
    <w:rsid w:val="005000BB"/>
    <w:rsid w:val="005000D7"/>
    <w:rsid w:val="005000F5"/>
    <w:rsid w:val="00500104"/>
    <w:rsid w:val="0050014B"/>
    <w:rsid w:val="00500153"/>
    <w:rsid w:val="00500163"/>
    <w:rsid w:val="00500194"/>
    <w:rsid w:val="005001A8"/>
    <w:rsid w:val="005001B4"/>
    <w:rsid w:val="005001BD"/>
    <w:rsid w:val="005001C6"/>
    <w:rsid w:val="005001E2"/>
    <w:rsid w:val="00500218"/>
    <w:rsid w:val="0050025D"/>
    <w:rsid w:val="00500275"/>
    <w:rsid w:val="00500284"/>
    <w:rsid w:val="005002B2"/>
    <w:rsid w:val="005002B7"/>
    <w:rsid w:val="005002F1"/>
    <w:rsid w:val="00500301"/>
    <w:rsid w:val="0050030C"/>
    <w:rsid w:val="0050031D"/>
    <w:rsid w:val="0050032F"/>
    <w:rsid w:val="0050034E"/>
    <w:rsid w:val="0050036E"/>
    <w:rsid w:val="005003D7"/>
    <w:rsid w:val="00500439"/>
    <w:rsid w:val="00500460"/>
    <w:rsid w:val="00500491"/>
    <w:rsid w:val="00500494"/>
    <w:rsid w:val="005004C1"/>
    <w:rsid w:val="005004F4"/>
    <w:rsid w:val="005005F1"/>
    <w:rsid w:val="00500610"/>
    <w:rsid w:val="0050064A"/>
    <w:rsid w:val="00500666"/>
    <w:rsid w:val="00500683"/>
    <w:rsid w:val="00500695"/>
    <w:rsid w:val="005006A2"/>
    <w:rsid w:val="005006C8"/>
    <w:rsid w:val="00500738"/>
    <w:rsid w:val="00500757"/>
    <w:rsid w:val="00500777"/>
    <w:rsid w:val="0050079A"/>
    <w:rsid w:val="005007AA"/>
    <w:rsid w:val="005007BB"/>
    <w:rsid w:val="005007DB"/>
    <w:rsid w:val="005007E1"/>
    <w:rsid w:val="005007F6"/>
    <w:rsid w:val="0050082A"/>
    <w:rsid w:val="00500831"/>
    <w:rsid w:val="0050083A"/>
    <w:rsid w:val="0050083E"/>
    <w:rsid w:val="00500856"/>
    <w:rsid w:val="005008FB"/>
    <w:rsid w:val="00500919"/>
    <w:rsid w:val="00500924"/>
    <w:rsid w:val="00500927"/>
    <w:rsid w:val="00500938"/>
    <w:rsid w:val="00500958"/>
    <w:rsid w:val="005009A5"/>
    <w:rsid w:val="005009CB"/>
    <w:rsid w:val="005009E7"/>
    <w:rsid w:val="00500A22"/>
    <w:rsid w:val="00500A89"/>
    <w:rsid w:val="00500A8E"/>
    <w:rsid w:val="00500AC9"/>
    <w:rsid w:val="00500AFE"/>
    <w:rsid w:val="00500B55"/>
    <w:rsid w:val="00500C11"/>
    <w:rsid w:val="00500C19"/>
    <w:rsid w:val="00500C35"/>
    <w:rsid w:val="00500C36"/>
    <w:rsid w:val="00500CA0"/>
    <w:rsid w:val="00500CB5"/>
    <w:rsid w:val="00500CF4"/>
    <w:rsid w:val="00500D04"/>
    <w:rsid w:val="00500D3D"/>
    <w:rsid w:val="00500DF6"/>
    <w:rsid w:val="00500E0B"/>
    <w:rsid w:val="00500E36"/>
    <w:rsid w:val="00500E3C"/>
    <w:rsid w:val="00500ECB"/>
    <w:rsid w:val="00500EE5"/>
    <w:rsid w:val="00500EF4"/>
    <w:rsid w:val="00500F3B"/>
    <w:rsid w:val="00500F49"/>
    <w:rsid w:val="00500F89"/>
    <w:rsid w:val="00500FA1"/>
    <w:rsid w:val="00500FBE"/>
    <w:rsid w:val="00500FCE"/>
    <w:rsid w:val="00500FEF"/>
    <w:rsid w:val="00500FFD"/>
    <w:rsid w:val="00501014"/>
    <w:rsid w:val="00501022"/>
    <w:rsid w:val="00501086"/>
    <w:rsid w:val="005010A0"/>
    <w:rsid w:val="005010C5"/>
    <w:rsid w:val="005010CA"/>
    <w:rsid w:val="005010F2"/>
    <w:rsid w:val="005010FD"/>
    <w:rsid w:val="0050115C"/>
    <w:rsid w:val="0050116D"/>
    <w:rsid w:val="00501187"/>
    <w:rsid w:val="005011A5"/>
    <w:rsid w:val="005011E1"/>
    <w:rsid w:val="0050121B"/>
    <w:rsid w:val="00501240"/>
    <w:rsid w:val="00501286"/>
    <w:rsid w:val="0050138D"/>
    <w:rsid w:val="005013B0"/>
    <w:rsid w:val="005013CE"/>
    <w:rsid w:val="00501417"/>
    <w:rsid w:val="00501431"/>
    <w:rsid w:val="00501439"/>
    <w:rsid w:val="005014CC"/>
    <w:rsid w:val="005014EC"/>
    <w:rsid w:val="005014FF"/>
    <w:rsid w:val="0050150C"/>
    <w:rsid w:val="00501517"/>
    <w:rsid w:val="0050153D"/>
    <w:rsid w:val="00501552"/>
    <w:rsid w:val="00501591"/>
    <w:rsid w:val="005015BE"/>
    <w:rsid w:val="00501601"/>
    <w:rsid w:val="00501603"/>
    <w:rsid w:val="00501615"/>
    <w:rsid w:val="00501616"/>
    <w:rsid w:val="0050162A"/>
    <w:rsid w:val="00501699"/>
    <w:rsid w:val="005016EF"/>
    <w:rsid w:val="00501702"/>
    <w:rsid w:val="0050177A"/>
    <w:rsid w:val="005017B6"/>
    <w:rsid w:val="005017C9"/>
    <w:rsid w:val="005017D1"/>
    <w:rsid w:val="005017D9"/>
    <w:rsid w:val="00501815"/>
    <w:rsid w:val="0050188C"/>
    <w:rsid w:val="00501899"/>
    <w:rsid w:val="00501935"/>
    <w:rsid w:val="00501963"/>
    <w:rsid w:val="00501986"/>
    <w:rsid w:val="005019D8"/>
    <w:rsid w:val="005019E1"/>
    <w:rsid w:val="005019EF"/>
    <w:rsid w:val="005019F9"/>
    <w:rsid w:val="00501A05"/>
    <w:rsid w:val="00501A0A"/>
    <w:rsid w:val="00501A18"/>
    <w:rsid w:val="00501A4D"/>
    <w:rsid w:val="00501A6D"/>
    <w:rsid w:val="00501A7E"/>
    <w:rsid w:val="00501A81"/>
    <w:rsid w:val="00501A8B"/>
    <w:rsid w:val="00501AA5"/>
    <w:rsid w:val="00501AD9"/>
    <w:rsid w:val="00501B49"/>
    <w:rsid w:val="00501B7A"/>
    <w:rsid w:val="00501B7E"/>
    <w:rsid w:val="00501BD2"/>
    <w:rsid w:val="00501BF5"/>
    <w:rsid w:val="00501C27"/>
    <w:rsid w:val="00501C3D"/>
    <w:rsid w:val="00501C66"/>
    <w:rsid w:val="00501CA4"/>
    <w:rsid w:val="00501CE4"/>
    <w:rsid w:val="00501D01"/>
    <w:rsid w:val="00501D96"/>
    <w:rsid w:val="00501DB5"/>
    <w:rsid w:val="00501DEA"/>
    <w:rsid w:val="00501DF5"/>
    <w:rsid w:val="00501E0A"/>
    <w:rsid w:val="00501E6C"/>
    <w:rsid w:val="00501E88"/>
    <w:rsid w:val="00501E8C"/>
    <w:rsid w:val="00501EE3"/>
    <w:rsid w:val="00501EE4"/>
    <w:rsid w:val="00501F00"/>
    <w:rsid w:val="00501F0E"/>
    <w:rsid w:val="00501F8D"/>
    <w:rsid w:val="00501F90"/>
    <w:rsid w:val="0050200B"/>
    <w:rsid w:val="0050203E"/>
    <w:rsid w:val="0050205D"/>
    <w:rsid w:val="0050205E"/>
    <w:rsid w:val="0050206B"/>
    <w:rsid w:val="005020BA"/>
    <w:rsid w:val="00502101"/>
    <w:rsid w:val="00502122"/>
    <w:rsid w:val="0050213C"/>
    <w:rsid w:val="00502151"/>
    <w:rsid w:val="0050216C"/>
    <w:rsid w:val="0050217D"/>
    <w:rsid w:val="0050219B"/>
    <w:rsid w:val="005021B9"/>
    <w:rsid w:val="005021E6"/>
    <w:rsid w:val="00502244"/>
    <w:rsid w:val="00502261"/>
    <w:rsid w:val="0050228A"/>
    <w:rsid w:val="005022E4"/>
    <w:rsid w:val="00502316"/>
    <w:rsid w:val="00502323"/>
    <w:rsid w:val="00502369"/>
    <w:rsid w:val="0050236D"/>
    <w:rsid w:val="0050238E"/>
    <w:rsid w:val="005023A1"/>
    <w:rsid w:val="005023C0"/>
    <w:rsid w:val="005023EE"/>
    <w:rsid w:val="005023F8"/>
    <w:rsid w:val="005023FB"/>
    <w:rsid w:val="00502418"/>
    <w:rsid w:val="0050242D"/>
    <w:rsid w:val="00502465"/>
    <w:rsid w:val="0050248C"/>
    <w:rsid w:val="005024DC"/>
    <w:rsid w:val="00502530"/>
    <w:rsid w:val="00502536"/>
    <w:rsid w:val="00502582"/>
    <w:rsid w:val="005025B3"/>
    <w:rsid w:val="005025B4"/>
    <w:rsid w:val="005025B6"/>
    <w:rsid w:val="005025C9"/>
    <w:rsid w:val="005025D1"/>
    <w:rsid w:val="005025DC"/>
    <w:rsid w:val="0050265A"/>
    <w:rsid w:val="00502671"/>
    <w:rsid w:val="005026CD"/>
    <w:rsid w:val="00502706"/>
    <w:rsid w:val="00502746"/>
    <w:rsid w:val="00502764"/>
    <w:rsid w:val="00502779"/>
    <w:rsid w:val="005027DA"/>
    <w:rsid w:val="0050281B"/>
    <w:rsid w:val="00502829"/>
    <w:rsid w:val="0050283F"/>
    <w:rsid w:val="00502866"/>
    <w:rsid w:val="0050286C"/>
    <w:rsid w:val="0050286F"/>
    <w:rsid w:val="00502875"/>
    <w:rsid w:val="005028A8"/>
    <w:rsid w:val="0050290E"/>
    <w:rsid w:val="00502939"/>
    <w:rsid w:val="0050293A"/>
    <w:rsid w:val="00502958"/>
    <w:rsid w:val="0050297B"/>
    <w:rsid w:val="00502988"/>
    <w:rsid w:val="005029A7"/>
    <w:rsid w:val="005029F8"/>
    <w:rsid w:val="005029FE"/>
    <w:rsid w:val="00502A01"/>
    <w:rsid w:val="00502A65"/>
    <w:rsid w:val="00502A6D"/>
    <w:rsid w:val="00502A70"/>
    <w:rsid w:val="00502B16"/>
    <w:rsid w:val="00502BB1"/>
    <w:rsid w:val="00502CA9"/>
    <w:rsid w:val="00502CC6"/>
    <w:rsid w:val="00502CE2"/>
    <w:rsid w:val="00502D0D"/>
    <w:rsid w:val="00502D16"/>
    <w:rsid w:val="00502D84"/>
    <w:rsid w:val="00502D88"/>
    <w:rsid w:val="00502D95"/>
    <w:rsid w:val="00502DBE"/>
    <w:rsid w:val="00502DEF"/>
    <w:rsid w:val="00502E03"/>
    <w:rsid w:val="00502E1F"/>
    <w:rsid w:val="00502E30"/>
    <w:rsid w:val="00502E31"/>
    <w:rsid w:val="00502E8B"/>
    <w:rsid w:val="00502E9A"/>
    <w:rsid w:val="00502EE5"/>
    <w:rsid w:val="00502EEE"/>
    <w:rsid w:val="00502EF2"/>
    <w:rsid w:val="00502F49"/>
    <w:rsid w:val="00502F50"/>
    <w:rsid w:val="00502F9F"/>
    <w:rsid w:val="00502FB1"/>
    <w:rsid w:val="00502FD5"/>
    <w:rsid w:val="00502FD6"/>
    <w:rsid w:val="00503029"/>
    <w:rsid w:val="00503040"/>
    <w:rsid w:val="00503077"/>
    <w:rsid w:val="00503081"/>
    <w:rsid w:val="005030C2"/>
    <w:rsid w:val="005030C3"/>
    <w:rsid w:val="005030DD"/>
    <w:rsid w:val="005030FC"/>
    <w:rsid w:val="0050319E"/>
    <w:rsid w:val="0050322E"/>
    <w:rsid w:val="0050323F"/>
    <w:rsid w:val="0050324C"/>
    <w:rsid w:val="00503253"/>
    <w:rsid w:val="00503255"/>
    <w:rsid w:val="00503302"/>
    <w:rsid w:val="00503356"/>
    <w:rsid w:val="0050335C"/>
    <w:rsid w:val="0050338C"/>
    <w:rsid w:val="005033AE"/>
    <w:rsid w:val="005033B4"/>
    <w:rsid w:val="005033F2"/>
    <w:rsid w:val="00503415"/>
    <w:rsid w:val="0050341B"/>
    <w:rsid w:val="0050345E"/>
    <w:rsid w:val="00503477"/>
    <w:rsid w:val="00503523"/>
    <w:rsid w:val="0050355C"/>
    <w:rsid w:val="005035C8"/>
    <w:rsid w:val="005035E9"/>
    <w:rsid w:val="00503626"/>
    <w:rsid w:val="005036CE"/>
    <w:rsid w:val="005036D4"/>
    <w:rsid w:val="00503746"/>
    <w:rsid w:val="00503762"/>
    <w:rsid w:val="00503772"/>
    <w:rsid w:val="005037A8"/>
    <w:rsid w:val="005037AB"/>
    <w:rsid w:val="005037DF"/>
    <w:rsid w:val="00503830"/>
    <w:rsid w:val="00503899"/>
    <w:rsid w:val="005038C0"/>
    <w:rsid w:val="005038FB"/>
    <w:rsid w:val="00503930"/>
    <w:rsid w:val="0050393A"/>
    <w:rsid w:val="0050395B"/>
    <w:rsid w:val="0050397C"/>
    <w:rsid w:val="00503987"/>
    <w:rsid w:val="0050399A"/>
    <w:rsid w:val="005039C9"/>
    <w:rsid w:val="005039D4"/>
    <w:rsid w:val="005039DD"/>
    <w:rsid w:val="00503A14"/>
    <w:rsid w:val="00503A38"/>
    <w:rsid w:val="00503A7A"/>
    <w:rsid w:val="00503A93"/>
    <w:rsid w:val="00503AF8"/>
    <w:rsid w:val="00503B03"/>
    <w:rsid w:val="00503B58"/>
    <w:rsid w:val="00503BD2"/>
    <w:rsid w:val="00503BDC"/>
    <w:rsid w:val="00503BED"/>
    <w:rsid w:val="00503BEF"/>
    <w:rsid w:val="00503C60"/>
    <w:rsid w:val="00503C68"/>
    <w:rsid w:val="00503C8B"/>
    <w:rsid w:val="00503C8D"/>
    <w:rsid w:val="00503CA3"/>
    <w:rsid w:val="00503CAE"/>
    <w:rsid w:val="00503CEB"/>
    <w:rsid w:val="00503D08"/>
    <w:rsid w:val="00503D61"/>
    <w:rsid w:val="00503D63"/>
    <w:rsid w:val="00503D9F"/>
    <w:rsid w:val="00503DD6"/>
    <w:rsid w:val="00503E0D"/>
    <w:rsid w:val="00503E3C"/>
    <w:rsid w:val="00503E45"/>
    <w:rsid w:val="00503F09"/>
    <w:rsid w:val="00503F48"/>
    <w:rsid w:val="00503F83"/>
    <w:rsid w:val="00503FA4"/>
    <w:rsid w:val="00503FB4"/>
    <w:rsid w:val="00503FD9"/>
    <w:rsid w:val="00503FE5"/>
    <w:rsid w:val="00503FFE"/>
    <w:rsid w:val="00504023"/>
    <w:rsid w:val="0050403C"/>
    <w:rsid w:val="0050404E"/>
    <w:rsid w:val="00504061"/>
    <w:rsid w:val="005040C1"/>
    <w:rsid w:val="005040F5"/>
    <w:rsid w:val="00504122"/>
    <w:rsid w:val="00504129"/>
    <w:rsid w:val="0050413E"/>
    <w:rsid w:val="005041BD"/>
    <w:rsid w:val="005041D0"/>
    <w:rsid w:val="00504219"/>
    <w:rsid w:val="0050428E"/>
    <w:rsid w:val="005042E6"/>
    <w:rsid w:val="005042E9"/>
    <w:rsid w:val="00504304"/>
    <w:rsid w:val="00504308"/>
    <w:rsid w:val="00504367"/>
    <w:rsid w:val="0050436D"/>
    <w:rsid w:val="0050438D"/>
    <w:rsid w:val="005043B5"/>
    <w:rsid w:val="00504425"/>
    <w:rsid w:val="00504454"/>
    <w:rsid w:val="00504466"/>
    <w:rsid w:val="00504476"/>
    <w:rsid w:val="0050449C"/>
    <w:rsid w:val="0050455F"/>
    <w:rsid w:val="005045AA"/>
    <w:rsid w:val="005045D2"/>
    <w:rsid w:val="005045FD"/>
    <w:rsid w:val="00504628"/>
    <w:rsid w:val="00504719"/>
    <w:rsid w:val="00504720"/>
    <w:rsid w:val="00504729"/>
    <w:rsid w:val="00504735"/>
    <w:rsid w:val="00504752"/>
    <w:rsid w:val="00504761"/>
    <w:rsid w:val="00504780"/>
    <w:rsid w:val="00504837"/>
    <w:rsid w:val="0050484E"/>
    <w:rsid w:val="005048CE"/>
    <w:rsid w:val="005048E5"/>
    <w:rsid w:val="005048EC"/>
    <w:rsid w:val="00504924"/>
    <w:rsid w:val="00504947"/>
    <w:rsid w:val="00504963"/>
    <w:rsid w:val="00504968"/>
    <w:rsid w:val="00504A1D"/>
    <w:rsid w:val="00504A1F"/>
    <w:rsid w:val="00504A3B"/>
    <w:rsid w:val="00504A5B"/>
    <w:rsid w:val="00504B01"/>
    <w:rsid w:val="00504B05"/>
    <w:rsid w:val="00504B17"/>
    <w:rsid w:val="00504B58"/>
    <w:rsid w:val="00504B66"/>
    <w:rsid w:val="00504B7F"/>
    <w:rsid w:val="00504BD5"/>
    <w:rsid w:val="00504C07"/>
    <w:rsid w:val="00504C22"/>
    <w:rsid w:val="00504C36"/>
    <w:rsid w:val="00504C89"/>
    <w:rsid w:val="00504D54"/>
    <w:rsid w:val="00504DA9"/>
    <w:rsid w:val="00504DE6"/>
    <w:rsid w:val="00504DED"/>
    <w:rsid w:val="00504E3B"/>
    <w:rsid w:val="00504E41"/>
    <w:rsid w:val="00504E6E"/>
    <w:rsid w:val="00504F03"/>
    <w:rsid w:val="00504F9C"/>
    <w:rsid w:val="00504FBF"/>
    <w:rsid w:val="00504FEA"/>
    <w:rsid w:val="0050500E"/>
    <w:rsid w:val="00505026"/>
    <w:rsid w:val="00505031"/>
    <w:rsid w:val="00505032"/>
    <w:rsid w:val="0050508B"/>
    <w:rsid w:val="005050F6"/>
    <w:rsid w:val="0050510B"/>
    <w:rsid w:val="00505162"/>
    <w:rsid w:val="00505167"/>
    <w:rsid w:val="0050517B"/>
    <w:rsid w:val="00505182"/>
    <w:rsid w:val="005051CE"/>
    <w:rsid w:val="005051E0"/>
    <w:rsid w:val="0050525B"/>
    <w:rsid w:val="0050529E"/>
    <w:rsid w:val="005052EF"/>
    <w:rsid w:val="00505310"/>
    <w:rsid w:val="00505321"/>
    <w:rsid w:val="00505338"/>
    <w:rsid w:val="00505346"/>
    <w:rsid w:val="00505363"/>
    <w:rsid w:val="0050537A"/>
    <w:rsid w:val="005053B5"/>
    <w:rsid w:val="005053B6"/>
    <w:rsid w:val="005053CB"/>
    <w:rsid w:val="005053DB"/>
    <w:rsid w:val="00505406"/>
    <w:rsid w:val="00505423"/>
    <w:rsid w:val="00505437"/>
    <w:rsid w:val="00505464"/>
    <w:rsid w:val="0050549B"/>
    <w:rsid w:val="005054DD"/>
    <w:rsid w:val="005054E6"/>
    <w:rsid w:val="00505518"/>
    <w:rsid w:val="00505526"/>
    <w:rsid w:val="0050552C"/>
    <w:rsid w:val="00505564"/>
    <w:rsid w:val="0050556F"/>
    <w:rsid w:val="005055B8"/>
    <w:rsid w:val="005055C5"/>
    <w:rsid w:val="005055D6"/>
    <w:rsid w:val="005055F2"/>
    <w:rsid w:val="00505613"/>
    <w:rsid w:val="00505633"/>
    <w:rsid w:val="005056DC"/>
    <w:rsid w:val="005056E8"/>
    <w:rsid w:val="00505704"/>
    <w:rsid w:val="00505753"/>
    <w:rsid w:val="005057C2"/>
    <w:rsid w:val="005057C9"/>
    <w:rsid w:val="005057CD"/>
    <w:rsid w:val="00505819"/>
    <w:rsid w:val="00505835"/>
    <w:rsid w:val="005058A4"/>
    <w:rsid w:val="005058D6"/>
    <w:rsid w:val="005058DB"/>
    <w:rsid w:val="0050590A"/>
    <w:rsid w:val="00505918"/>
    <w:rsid w:val="0050591D"/>
    <w:rsid w:val="0050592F"/>
    <w:rsid w:val="00505932"/>
    <w:rsid w:val="00505949"/>
    <w:rsid w:val="00505950"/>
    <w:rsid w:val="0050596E"/>
    <w:rsid w:val="00505971"/>
    <w:rsid w:val="00505981"/>
    <w:rsid w:val="0050598D"/>
    <w:rsid w:val="005059B5"/>
    <w:rsid w:val="00505A09"/>
    <w:rsid w:val="00505A2B"/>
    <w:rsid w:val="00505A38"/>
    <w:rsid w:val="00505A6A"/>
    <w:rsid w:val="00505A94"/>
    <w:rsid w:val="00505AAC"/>
    <w:rsid w:val="00505B6F"/>
    <w:rsid w:val="00505B7F"/>
    <w:rsid w:val="00505BB2"/>
    <w:rsid w:val="00505BCF"/>
    <w:rsid w:val="00505BF4"/>
    <w:rsid w:val="00505C04"/>
    <w:rsid w:val="00505C22"/>
    <w:rsid w:val="00505C92"/>
    <w:rsid w:val="00505CB7"/>
    <w:rsid w:val="00505D24"/>
    <w:rsid w:val="00505D26"/>
    <w:rsid w:val="00505DDC"/>
    <w:rsid w:val="00505E26"/>
    <w:rsid w:val="00505E2B"/>
    <w:rsid w:val="00505E46"/>
    <w:rsid w:val="00505E66"/>
    <w:rsid w:val="00505E71"/>
    <w:rsid w:val="00505E7D"/>
    <w:rsid w:val="00505E88"/>
    <w:rsid w:val="00505EA2"/>
    <w:rsid w:val="00505EC7"/>
    <w:rsid w:val="00505ECB"/>
    <w:rsid w:val="00505F34"/>
    <w:rsid w:val="00505F3E"/>
    <w:rsid w:val="00505F93"/>
    <w:rsid w:val="00505FA7"/>
    <w:rsid w:val="00505FD9"/>
    <w:rsid w:val="00506043"/>
    <w:rsid w:val="00506056"/>
    <w:rsid w:val="0050606D"/>
    <w:rsid w:val="0050607A"/>
    <w:rsid w:val="00506083"/>
    <w:rsid w:val="005060FC"/>
    <w:rsid w:val="00506108"/>
    <w:rsid w:val="0050610D"/>
    <w:rsid w:val="0050611A"/>
    <w:rsid w:val="00506133"/>
    <w:rsid w:val="0050613F"/>
    <w:rsid w:val="0050619F"/>
    <w:rsid w:val="005061C5"/>
    <w:rsid w:val="005061F8"/>
    <w:rsid w:val="005061FE"/>
    <w:rsid w:val="005061FF"/>
    <w:rsid w:val="00506241"/>
    <w:rsid w:val="00506261"/>
    <w:rsid w:val="00506272"/>
    <w:rsid w:val="0050628C"/>
    <w:rsid w:val="00506296"/>
    <w:rsid w:val="005062B9"/>
    <w:rsid w:val="005062C1"/>
    <w:rsid w:val="005062D8"/>
    <w:rsid w:val="005062DA"/>
    <w:rsid w:val="005062E8"/>
    <w:rsid w:val="00506305"/>
    <w:rsid w:val="00506370"/>
    <w:rsid w:val="00506415"/>
    <w:rsid w:val="00506485"/>
    <w:rsid w:val="00506509"/>
    <w:rsid w:val="00506547"/>
    <w:rsid w:val="00506567"/>
    <w:rsid w:val="00506574"/>
    <w:rsid w:val="0050659B"/>
    <w:rsid w:val="005065D5"/>
    <w:rsid w:val="00506607"/>
    <w:rsid w:val="005066AF"/>
    <w:rsid w:val="005066B3"/>
    <w:rsid w:val="005066CA"/>
    <w:rsid w:val="0050677F"/>
    <w:rsid w:val="0050678D"/>
    <w:rsid w:val="00506790"/>
    <w:rsid w:val="005067CA"/>
    <w:rsid w:val="00506803"/>
    <w:rsid w:val="0050682C"/>
    <w:rsid w:val="0050683F"/>
    <w:rsid w:val="00506842"/>
    <w:rsid w:val="00506861"/>
    <w:rsid w:val="0050689E"/>
    <w:rsid w:val="005068AD"/>
    <w:rsid w:val="005068EE"/>
    <w:rsid w:val="005068FB"/>
    <w:rsid w:val="00506941"/>
    <w:rsid w:val="00506952"/>
    <w:rsid w:val="00506997"/>
    <w:rsid w:val="005069B7"/>
    <w:rsid w:val="00506A51"/>
    <w:rsid w:val="00506A5C"/>
    <w:rsid w:val="00506A63"/>
    <w:rsid w:val="00506A89"/>
    <w:rsid w:val="00506AE0"/>
    <w:rsid w:val="00506B0B"/>
    <w:rsid w:val="00506B54"/>
    <w:rsid w:val="00506B5D"/>
    <w:rsid w:val="00506B74"/>
    <w:rsid w:val="00506B8E"/>
    <w:rsid w:val="00506BD8"/>
    <w:rsid w:val="00506BFB"/>
    <w:rsid w:val="00506C1D"/>
    <w:rsid w:val="00506C5F"/>
    <w:rsid w:val="00506C62"/>
    <w:rsid w:val="00506C66"/>
    <w:rsid w:val="00506C7A"/>
    <w:rsid w:val="00506CA9"/>
    <w:rsid w:val="00506CBD"/>
    <w:rsid w:val="00506CFA"/>
    <w:rsid w:val="00506D24"/>
    <w:rsid w:val="00506D44"/>
    <w:rsid w:val="00506D5E"/>
    <w:rsid w:val="00506D60"/>
    <w:rsid w:val="00506D72"/>
    <w:rsid w:val="00506D77"/>
    <w:rsid w:val="00506DAF"/>
    <w:rsid w:val="00506DB0"/>
    <w:rsid w:val="00506DD9"/>
    <w:rsid w:val="00506E0C"/>
    <w:rsid w:val="00506E89"/>
    <w:rsid w:val="00506EBB"/>
    <w:rsid w:val="00506EC8"/>
    <w:rsid w:val="00506EE7"/>
    <w:rsid w:val="00506FA3"/>
    <w:rsid w:val="00506FBB"/>
    <w:rsid w:val="00506FEC"/>
    <w:rsid w:val="00506FF0"/>
    <w:rsid w:val="00507048"/>
    <w:rsid w:val="0050706D"/>
    <w:rsid w:val="00507089"/>
    <w:rsid w:val="005070E0"/>
    <w:rsid w:val="00507100"/>
    <w:rsid w:val="0050712D"/>
    <w:rsid w:val="00507137"/>
    <w:rsid w:val="00507169"/>
    <w:rsid w:val="0050718C"/>
    <w:rsid w:val="00507199"/>
    <w:rsid w:val="005071C6"/>
    <w:rsid w:val="005071C7"/>
    <w:rsid w:val="005071C8"/>
    <w:rsid w:val="00507200"/>
    <w:rsid w:val="00507238"/>
    <w:rsid w:val="00507256"/>
    <w:rsid w:val="005072A3"/>
    <w:rsid w:val="005072BF"/>
    <w:rsid w:val="005072CB"/>
    <w:rsid w:val="0050732F"/>
    <w:rsid w:val="00507374"/>
    <w:rsid w:val="00507379"/>
    <w:rsid w:val="00507392"/>
    <w:rsid w:val="005073BC"/>
    <w:rsid w:val="005073C8"/>
    <w:rsid w:val="005073CA"/>
    <w:rsid w:val="005073EA"/>
    <w:rsid w:val="005073F6"/>
    <w:rsid w:val="00507427"/>
    <w:rsid w:val="00507431"/>
    <w:rsid w:val="00507445"/>
    <w:rsid w:val="00507454"/>
    <w:rsid w:val="005074ED"/>
    <w:rsid w:val="0050750F"/>
    <w:rsid w:val="00507518"/>
    <w:rsid w:val="00507523"/>
    <w:rsid w:val="0050756B"/>
    <w:rsid w:val="00507575"/>
    <w:rsid w:val="005075AD"/>
    <w:rsid w:val="005075B8"/>
    <w:rsid w:val="005075D3"/>
    <w:rsid w:val="00507604"/>
    <w:rsid w:val="0050761B"/>
    <w:rsid w:val="00507629"/>
    <w:rsid w:val="00507637"/>
    <w:rsid w:val="0050767D"/>
    <w:rsid w:val="0050768D"/>
    <w:rsid w:val="005076DB"/>
    <w:rsid w:val="00507704"/>
    <w:rsid w:val="00507715"/>
    <w:rsid w:val="00507779"/>
    <w:rsid w:val="00507796"/>
    <w:rsid w:val="005077D4"/>
    <w:rsid w:val="005077D7"/>
    <w:rsid w:val="00507803"/>
    <w:rsid w:val="00507816"/>
    <w:rsid w:val="00507844"/>
    <w:rsid w:val="005078E2"/>
    <w:rsid w:val="005078E5"/>
    <w:rsid w:val="0050790E"/>
    <w:rsid w:val="00507926"/>
    <w:rsid w:val="0050792C"/>
    <w:rsid w:val="00507938"/>
    <w:rsid w:val="00507993"/>
    <w:rsid w:val="005079B3"/>
    <w:rsid w:val="005079B6"/>
    <w:rsid w:val="00507A21"/>
    <w:rsid w:val="00507A2F"/>
    <w:rsid w:val="00507A58"/>
    <w:rsid w:val="00507A6D"/>
    <w:rsid w:val="00507A7C"/>
    <w:rsid w:val="00507ACA"/>
    <w:rsid w:val="00507AF7"/>
    <w:rsid w:val="00507B02"/>
    <w:rsid w:val="00507B33"/>
    <w:rsid w:val="00507B45"/>
    <w:rsid w:val="00507B4F"/>
    <w:rsid w:val="00507BD5"/>
    <w:rsid w:val="00507C09"/>
    <w:rsid w:val="00507C3E"/>
    <w:rsid w:val="00507C50"/>
    <w:rsid w:val="00507D14"/>
    <w:rsid w:val="00507D3F"/>
    <w:rsid w:val="00507D4F"/>
    <w:rsid w:val="00507D5C"/>
    <w:rsid w:val="00507D76"/>
    <w:rsid w:val="00507D7D"/>
    <w:rsid w:val="00507DA7"/>
    <w:rsid w:val="00507DB6"/>
    <w:rsid w:val="00507DBC"/>
    <w:rsid w:val="00507E05"/>
    <w:rsid w:val="00507E2C"/>
    <w:rsid w:val="00507E5E"/>
    <w:rsid w:val="00507E81"/>
    <w:rsid w:val="00507EDF"/>
    <w:rsid w:val="00507F11"/>
    <w:rsid w:val="00507F62"/>
    <w:rsid w:val="00507F66"/>
    <w:rsid w:val="00507F7E"/>
    <w:rsid w:val="00507FBB"/>
    <w:rsid w:val="00507FCD"/>
    <w:rsid w:val="00510048"/>
    <w:rsid w:val="00510092"/>
    <w:rsid w:val="00510093"/>
    <w:rsid w:val="005100A0"/>
    <w:rsid w:val="005100C1"/>
    <w:rsid w:val="00510103"/>
    <w:rsid w:val="00510141"/>
    <w:rsid w:val="0051016A"/>
    <w:rsid w:val="0051016F"/>
    <w:rsid w:val="00510196"/>
    <w:rsid w:val="005101B2"/>
    <w:rsid w:val="0051021A"/>
    <w:rsid w:val="00510242"/>
    <w:rsid w:val="00510254"/>
    <w:rsid w:val="0051028C"/>
    <w:rsid w:val="005102B6"/>
    <w:rsid w:val="005102C0"/>
    <w:rsid w:val="00510305"/>
    <w:rsid w:val="005103BA"/>
    <w:rsid w:val="005103CC"/>
    <w:rsid w:val="005103EA"/>
    <w:rsid w:val="00510444"/>
    <w:rsid w:val="00510455"/>
    <w:rsid w:val="005104A6"/>
    <w:rsid w:val="00510529"/>
    <w:rsid w:val="0051052D"/>
    <w:rsid w:val="005105A8"/>
    <w:rsid w:val="00510605"/>
    <w:rsid w:val="0051060F"/>
    <w:rsid w:val="0051063E"/>
    <w:rsid w:val="005106C5"/>
    <w:rsid w:val="005106F3"/>
    <w:rsid w:val="00510702"/>
    <w:rsid w:val="00510703"/>
    <w:rsid w:val="00510750"/>
    <w:rsid w:val="00510751"/>
    <w:rsid w:val="00510766"/>
    <w:rsid w:val="0051076F"/>
    <w:rsid w:val="0051077E"/>
    <w:rsid w:val="00510785"/>
    <w:rsid w:val="005107D9"/>
    <w:rsid w:val="00510804"/>
    <w:rsid w:val="00510853"/>
    <w:rsid w:val="00510882"/>
    <w:rsid w:val="00510899"/>
    <w:rsid w:val="005108C5"/>
    <w:rsid w:val="005108CD"/>
    <w:rsid w:val="005108D4"/>
    <w:rsid w:val="005108DB"/>
    <w:rsid w:val="005108DD"/>
    <w:rsid w:val="005108F8"/>
    <w:rsid w:val="00510910"/>
    <w:rsid w:val="0051092B"/>
    <w:rsid w:val="0051098F"/>
    <w:rsid w:val="00510A02"/>
    <w:rsid w:val="00510A0D"/>
    <w:rsid w:val="00510A2F"/>
    <w:rsid w:val="00510A97"/>
    <w:rsid w:val="00510AAE"/>
    <w:rsid w:val="00510AD7"/>
    <w:rsid w:val="00510AFC"/>
    <w:rsid w:val="00510B07"/>
    <w:rsid w:val="00510B0E"/>
    <w:rsid w:val="00510B31"/>
    <w:rsid w:val="00510B79"/>
    <w:rsid w:val="00510B9A"/>
    <w:rsid w:val="00510BBD"/>
    <w:rsid w:val="00510C41"/>
    <w:rsid w:val="00510C71"/>
    <w:rsid w:val="00510CD6"/>
    <w:rsid w:val="00510D01"/>
    <w:rsid w:val="00510D04"/>
    <w:rsid w:val="00510D13"/>
    <w:rsid w:val="00510D2A"/>
    <w:rsid w:val="00510D35"/>
    <w:rsid w:val="00510D3F"/>
    <w:rsid w:val="00510D49"/>
    <w:rsid w:val="00510D54"/>
    <w:rsid w:val="00510D96"/>
    <w:rsid w:val="00510DAC"/>
    <w:rsid w:val="00510DD0"/>
    <w:rsid w:val="00510DF1"/>
    <w:rsid w:val="00510E6B"/>
    <w:rsid w:val="00510EA1"/>
    <w:rsid w:val="00510EAF"/>
    <w:rsid w:val="00510EB4"/>
    <w:rsid w:val="00510FDD"/>
    <w:rsid w:val="00510FE3"/>
    <w:rsid w:val="00510FF7"/>
    <w:rsid w:val="0051109B"/>
    <w:rsid w:val="0051112D"/>
    <w:rsid w:val="0051113F"/>
    <w:rsid w:val="0051119A"/>
    <w:rsid w:val="005111AD"/>
    <w:rsid w:val="005111CE"/>
    <w:rsid w:val="005111D4"/>
    <w:rsid w:val="00511208"/>
    <w:rsid w:val="00511214"/>
    <w:rsid w:val="00511235"/>
    <w:rsid w:val="0051123B"/>
    <w:rsid w:val="0051125E"/>
    <w:rsid w:val="00511297"/>
    <w:rsid w:val="00511299"/>
    <w:rsid w:val="0051129A"/>
    <w:rsid w:val="005112AE"/>
    <w:rsid w:val="005112B9"/>
    <w:rsid w:val="005112C3"/>
    <w:rsid w:val="0051134B"/>
    <w:rsid w:val="0051139E"/>
    <w:rsid w:val="005113C4"/>
    <w:rsid w:val="00511437"/>
    <w:rsid w:val="005114AA"/>
    <w:rsid w:val="0051152A"/>
    <w:rsid w:val="0051153C"/>
    <w:rsid w:val="00511571"/>
    <w:rsid w:val="0051159C"/>
    <w:rsid w:val="005115BE"/>
    <w:rsid w:val="005115E4"/>
    <w:rsid w:val="005115FF"/>
    <w:rsid w:val="0051161E"/>
    <w:rsid w:val="0051163B"/>
    <w:rsid w:val="00511640"/>
    <w:rsid w:val="00511659"/>
    <w:rsid w:val="00511674"/>
    <w:rsid w:val="0051167F"/>
    <w:rsid w:val="00511693"/>
    <w:rsid w:val="005116D2"/>
    <w:rsid w:val="00511702"/>
    <w:rsid w:val="00511707"/>
    <w:rsid w:val="00511740"/>
    <w:rsid w:val="00511741"/>
    <w:rsid w:val="00511761"/>
    <w:rsid w:val="0051179D"/>
    <w:rsid w:val="005117AA"/>
    <w:rsid w:val="005117AF"/>
    <w:rsid w:val="0051183B"/>
    <w:rsid w:val="0051189B"/>
    <w:rsid w:val="0051189F"/>
    <w:rsid w:val="005119F3"/>
    <w:rsid w:val="005119FF"/>
    <w:rsid w:val="00511A09"/>
    <w:rsid w:val="00511A18"/>
    <w:rsid w:val="00511A3F"/>
    <w:rsid w:val="00511A4A"/>
    <w:rsid w:val="00511A8B"/>
    <w:rsid w:val="00511AE6"/>
    <w:rsid w:val="00511AF7"/>
    <w:rsid w:val="00511B51"/>
    <w:rsid w:val="00511B89"/>
    <w:rsid w:val="00511B8D"/>
    <w:rsid w:val="00511BB7"/>
    <w:rsid w:val="00511C7D"/>
    <w:rsid w:val="00511C94"/>
    <w:rsid w:val="00511CD4"/>
    <w:rsid w:val="00511CDE"/>
    <w:rsid w:val="00511CEF"/>
    <w:rsid w:val="00511D3C"/>
    <w:rsid w:val="00511D70"/>
    <w:rsid w:val="00511E24"/>
    <w:rsid w:val="00511E66"/>
    <w:rsid w:val="00511E87"/>
    <w:rsid w:val="00511EAC"/>
    <w:rsid w:val="00511EF3"/>
    <w:rsid w:val="00511EFF"/>
    <w:rsid w:val="00511F30"/>
    <w:rsid w:val="00511F35"/>
    <w:rsid w:val="00511F3C"/>
    <w:rsid w:val="00511F59"/>
    <w:rsid w:val="00511F6F"/>
    <w:rsid w:val="00511FA2"/>
    <w:rsid w:val="00511FF9"/>
    <w:rsid w:val="00512033"/>
    <w:rsid w:val="0051203E"/>
    <w:rsid w:val="00512063"/>
    <w:rsid w:val="00512067"/>
    <w:rsid w:val="0051207C"/>
    <w:rsid w:val="00512089"/>
    <w:rsid w:val="0051209A"/>
    <w:rsid w:val="005120CC"/>
    <w:rsid w:val="0051211D"/>
    <w:rsid w:val="00512137"/>
    <w:rsid w:val="005121A9"/>
    <w:rsid w:val="0051224F"/>
    <w:rsid w:val="00512298"/>
    <w:rsid w:val="005122A6"/>
    <w:rsid w:val="005122B7"/>
    <w:rsid w:val="005122E4"/>
    <w:rsid w:val="00512327"/>
    <w:rsid w:val="00512340"/>
    <w:rsid w:val="00512362"/>
    <w:rsid w:val="005123A2"/>
    <w:rsid w:val="005123A7"/>
    <w:rsid w:val="005123C4"/>
    <w:rsid w:val="005123CB"/>
    <w:rsid w:val="005123D3"/>
    <w:rsid w:val="005123D4"/>
    <w:rsid w:val="005123D7"/>
    <w:rsid w:val="005123E0"/>
    <w:rsid w:val="0051240F"/>
    <w:rsid w:val="00512419"/>
    <w:rsid w:val="0051243D"/>
    <w:rsid w:val="00512459"/>
    <w:rsid w:val="0051249D"/>
    <w:rsid w:val="005124C8"/>
    <w:rsid w:val="005124EA"/>
    <w:rsid w:val="00512511"/>
    <w:rsid w:val="0051253F"/>
    <w:rsid w:val="005125A1"/>
    <w:rsid w:val="0051262C"/>
    <w:rsid w:val="0051266F"/>
    <w:rsid w:val="005126B3"/>
    <w:rsid w:val="00512776"/>
    <w:rsid w:val="005127DE"/>
    <w:rsid w:val="00512842"/>
    <w:rsid w:val="0051284F"/>
    <w:rsid w:val="00512856"/>
    <w:rsid w:val="0051288F"/>
    <w:rsid w:val="005128B0"/>
    <w:rsid w:val="005128F3"/>
    <w:rsid w:val="0051290A"/>
    <w:rsid w:val="0051292E"/>
    <w:rsid w:val="00512945"/>
    <w:rsid w:val="00512957"/>
    <w:rsid w:val="00512969"/>
    <w:rsid w:val="005129A0"/>
    <w:rsid w:val="00512A04"/>
    <w:rsid w:val="00512A4C"/>
    <w:rsid w:val="00512A52"/>
    <w:rsid w:val="00512A53"/>
    <w:rsid w:val="00512A8A"/>
    <w:rsid w:val="00512B12"/>
    <w:rsid w:val="00512B30"/>
    <w:rsid w:val="00512B37"/>
    <w:rsid w:val="00512B3E"/>
    <w:rsid w:val="00512B41"/>
    <w:rsid w:val="00512B5A"/>
    <w:rsid w:val="00512B6B"/>
    <w:rsid w:val="00512B71"/>
    <w:rsid w:val="00512B98"/>
    <w:rsid w:val="00512BD8"/>
    <w:rsid w:val="00512CC0"/>
    <w:rsid w:val="00512D55"/>
    <w:rsid w:val="00512DAB"/>
    <w:rsid w:val="00512DB6"/>
    <w:rsid w:val="00512DF6"/>
    <w:rsid w:val="00512DFD"/>
    <w:rsid w:val="00512E01"/>
    <w:rsid w:val="00512E15"/>
    <w:rsid w:val="00512E51"/>
    <w:rsid w:val="00512E9D"/>
    <w:rsid w:val="00512EC4"/>
    <w:rsid w:val="00512EE8"/>
    <w:rsid w:val="00512F1D"/>
    <w:rsid w:val="00512F46"/>
    <w:rsid w:val="00512F88"/>
    <w:rsid w:val="00512FA8"/>
    <w:rsid w:val="00512FF9"/>
    <w:rsid w:val="0051303E"/>
    <w:rsid w:val="0051306A"/>
    <w:rsid w:val="0051306C"/>
    <w:rsid w:val="005130AA"/>
    <w:rsid w:val="005130F8"/>
    <w:rsid w:val="00513124"/>
    <w:rsid w:val="00513146"/>
    <w:rsid w:val="0051314E"/>
    <w:rsid w:val="00513194"/>
    <w:rsid w:val="005131A5"/>
    <w:rsid w:val="005131A6"/>
    <w:rsid w:val="005131B6"/>
    <w:rsid w:val="005131EB"/>
    <w:rsid w:val="005131FD"/>
    <w:rsid w:val="00513200"/>
    <w:rsid w:val="0051322D"/>
    <w:rsid w:val="00513255"/>
    <w:rsid w:val="00513269"/>
    <w:rsid w:val="005132AE"/>
    <w:rsid w:val="005132C4"/>
    <w:rsid w:val="005132E4"/>
    <w:rsid w:val="00513300"/>
    <w:rsid w:val="0051334B"/>
    <w:rsid w:val="005133A9"/>
    <w:rsid w:val="005133AC"/>
    <w:rsid w:val="005133EC"/>
    <w:rsid w:val="00513419"/>
    <w:rsid w:val="00513421"/>
    <w:rsid w:val="0051342B"/>
    <w:rsid w:val="0051342D"/>
    <w:rsid w:val="00513457"/>
    <w:rsid w:val="00513467"/>
    <w:rsid w:val="005134BE"/>
    <w:rsid w:val="005134CD"/>
    <w:rsid w:val="005134E4"/>
    <w:rsid w:val="005134EB"/>
    <w:rsid w:val="00513538"/>
    <w:rsid w:val="00513595"/>
    <w:rsid w:val="0051359C"/>
    <w:rsid w:val="005135A3"/>
    <w:rsid w:val="00513603"/>
    <w:rsid w:val="00513609"/>
    <w:rsid w:val="00513653"/>
    <w:rsid w:val="005136AE"/>
    <w:rsid w:val="005136D9"/>
    <w:rsid w:val="0051370E"/>
    <w:rsid w:val="00513734"/>
    <w:rsid w:val="00513771"/>
    <w:rsid w:val="00513789"/>
    <w:rsid w:val="0051380F"/>
    <w:rsid w:val="00513849"/>
    <w:rsid w:val="005138CE"/>
    <w:rsid w:val="005138D6"/>
    <w:rsid w:val="005138F0"/>
    <w:rsid w:val="00513912"/>
    <w:rsid w:val="00513956"/>
    <w:rsid w:val="0051397C"/>
    <w:rsid w:val="005139A5"/>
    <w:rsid w:val="005139BA"/>
    <w:rsid w:val="00513A0C"/>
    <w:rsid w:val="00513AB0"/>
    <w:rsid w:val="00513ACA"/>
    <w:rsid w:val="00513ADD"/>
    <w:rsid w:val="00513ADE"/>
    <w:rsid w:val="00513B66"/>
    <w:rsid w:val="00513C1A"/>
    <w:rsid w:val="00513C1B"/>
    <w:rsid w:val="00513C40"/>
    <w:rsid w:val="00513C82"/>
    <w:rsid w:val="00513C9F"/>
    <w:rsid w:val="00513CB4"/>
    <w:rsid w:val="00513CBE"/>
    <w:rsid w:val="00513CD6"/>
    <w:rsid w:val="00513CDE"/>
    <w:rsid w:val="00513CED"/>
    <w:rsid w:val="00513D37"/>
    <w:rsid w:val="00513D77"/>
    <w:rsid w:val="00513D8D"/>
    <w:rsid w:val="00513D8E"/>
    <w:rsid w:val="00513DA4"/>
    <w:rsid w:val="00513DF3"/>
    <w:rsid w:val="00513E05"/>
    <w:rsid w:val="00513E1B"/>
    <w:rsid w:val="00513E64"/>
    <w:rsid w:val="00513EC0"/>
    <w:rsid w:val="00513F1A"/>
    <w:rsid w:val="00513F27"/>
    <w:rsid w:val="00513F60"/>
    <w:rsid w:val="00513F61"/>
    <w:rsid w:val="00513F76"/>
    <w:rsid w:val="00513F92"/>
    <w:rsid w:val="00513FCF"/>
    <w:rsid w:val="00513FDC"/>
    <w:rsid w:val="00513FDE"/>
    <w:rsid w:val="00513FED"/>
    <w:rsid w:val="00514040"/>
    <w:rsid w:val="00514061"/>
    <w:rsid w:val="0051406F"/>
    <w:rsid w:val="00514070"/>
    <w:rsid w:val="00514080"/>
    <w:rsid w:val="00514124"/>
    <w:rsid w:val="00514157"/>
    <w:rsid w:val="00514176"/>
    <w:rsid w:val="00514177"/>
    <w:rsid w:val="00514196"/>
    <w:rsid w:val="00514198"/>
    <w:rsid w:val="005141AA"/>
    <w:rsid w:val="005141CC"/>
    <w:rsid w:val="00514223"/>
    <w:rsid w:val="005142C8"/>
    <w:rsid w:val="00514343"/>
    <w:rsid w:val="00514350"/>
    <w:rsid w:val="005143C2"/>
    <w:rsid w:val="005143D0"/>
    <w:rsid w:val="00514468"/>
    <w:rsid w:val="0051447B"/>
    <w:rsid w:val="0051451A"/>
    <w:rsid w:val="00514564"/>
    <w:rsid w:val="00514569"/>
    <w:rsid w:val="005145D0"/>
    <w:rsid w:val="0051461D"/>
    <w:rsid w:val="005146D5"/>
    <w:rsid w:val="005146E0"/>
    <w:rsid w:val="005146F1"/>
    <w:rsid w:val="00514726"/>
    <w:rsid w:val="00514737"/>
    <w:rsid w:val="00514770"/>
    <w:rsid w:val="005147C2"/>
    <w:rsid w:val="00514815"/>
    <w:rsid w:val="00514886"/>
    <w:rsid w:val="005148A9"/>
    <w:rsid w:val="005148B7"/>
    <w:rsid w:val="005148D3"/>
    <w:rsid w:val="00514926"/>
    <w:rsid w:val="00514930"/>
    <w:rsid w:val="005149B9"/>
    <w:rsid w:val="00514A9B"/>
    <w:rsid w:val="00514AA2"/>
    <w:rsid w:val="00514AE6"/>
    <w:rsid w:val="00514B16"/>
    <w:rsid w:val="00514B36"/>
    <w:rsid w:val="00514B3E"/>
    <w:rsid w:val="00514B51"/>
    <w:rsid w:val="00514B70"/>
    <w:rsid w:val="00514B9E"/>
    <w:rsid w:val="00514BC2"/>
    <w:rsid w:val="00514BC4"/>
    <w:rsid w:val="00514BE0"/>
    <w:rsid w:val="00514BEA"/>
    <w:rsid w:val="00514BEB"/>
    <w:rsid w:val="00514C40"/>
    <w:rsid w:val="00514C45"/>
    <w:rsid w:val="00514C70"/>
    <w:rsid w:val="00514C8F"/>
    <w:rsid w:val="00514CB1"/>
    <w:rsid w:val="00514CC9"/>
    <w:rsid w:val="00514CD2"/>
    <w:rsid w:val="00514DAD"/>
    <w:rsid w:val="00514DB2"/>
    <w:rsid w:val="00514DCD"/>
    <w:rsid w:val="00514E1A"/>
    <w:rsid w:val="00514E3C"/>
    <w:rsid w:val="00514E81"/>
    <w:rsid w:val="00514EA2"/>
    <w:rsid w:val="00514ED4"/>
    <w:rsid w:val="00514ED8"/>
    <w:rsid w:val="00514EEB"/>
    <w:rsid w:val="00514EED"/>
    <w:rsid w:val="00514EF3"/>
    <w:rsid w:val="00514EFC"/>
    <w:rsid w:val="00514F0F"/>
    <w:rsid w:val="00514F1F"/>
    <w:rsid w:val="00514F32"/>
    <w:rsid w:val="00514FDF"/>
    <w:rsid w:val="0051501B"/>
    <w:rsid w:val="0051502C"/>
    <w:rsid w:val="005150B4"/>
    <w:rsid w:val="0051511A"/>
    <w:rsid w:val="00515181"/>
    <w:rsid w:val="0051519A"/>
    <w:rsid w:val="005151B0"/>
    <w:rsid w:val="005151C1"/>
    <w:rsid w:val="005151C4"/>
    <w:rsid w:val="005151E7"/>
    <w:rsid w:val="005151FF"/>
    <w:rsid w:val="00515234"/>
    <w:rsid w:val="00515243"/>
    <w:rsid w:val="0051527B"/>
    <w:rsid w:val="005152B5"/>
    <w:rsid w:val="005152BA"/>
    <w:rsid w:val="005152C3"/>
    <w:rsid w:val="00515317"/>
    <w:rsid w:val="00515322"/>
    <w:rsid w:val="0051532E"/>
    <w:rsid w:val="0051534F"/>
    <w:rsid w:val="00515359"/>
    <w:rsid w:val="00515382"/>
    <w:rsid w:val="005154B4"/>
    <w:rsid w:val="005154B8"/>
    <w:rsid w:val="005154D5"/>
    <w:rsid w:val="005154FB"/>
    <w:rsid w:val="005154FE"/>
    <w:rsid w:val="0051551A"/>
    <w:rsid w:val="0051551B"/>
    <w:rsid w:val="00515557"/>
    <w:rsid w:val="00515567"/>
    <w:rsid w:val="0051559B"/>
    <w:rsid w:val="005155F8"/>
    <w:rsid w:val="00515618"/>
    <w:rsid w:val="0051561A"/>
    <w:rsid w:val="0051564B"/>
    <w:rsid w:val="0051566F"/>
    <w:rsid w:val="00515676"/>
    <w:rsid w:val="00515689"/>
    <w:rsid w:val="0051569E"/>
    <w:rsid w:val="005156D6"/>
    <w:rsid w:val="00515715"/>
    <w:rsid w:val="0051571A"/>
    <w:rsid w:val="00515745"/>
    <w:rsid w:val="005157AF"/>
    <w:rsid w:val="005157EC"/>
    <w:rsid w:val="00515832"/>
    <w:rsid w:val="00515844"/>
    <w:rsid w:val="00515866"/>
    <w:rsid w:val="0051586C"/>
    <w:rsid w:val="005158A2"/>
    <w:rsid w:val="0051591C"/>
    <w:rsid w:val="00515990"/>
    <w:rsid w:val="005159AD"/>
    <w:rsid w:val="005159B9"/>
    <w:rsid w:val="005159CA"/>
    <w:rsid w:val="005159DF"/>
    <w:rsid w:val="00515A00"/>
    <w:rsid w:val="00515A02"/>
    <w:rsid w:val="00515A08"/>
    <w:rsid w:val="00515A10"/>
    <w:rsid w:val="00515A40"/>
    <w:rsid w:val="00515AB6"/>
    <w:rsid w:val="00515C12"/>
    <w:rsid w:val="00515C2E"/>
    <w:rsid w:val="00515C37"/>
    <w:rsid w:val="00515C52"/>
    <w:rsid w:val="00515C94"/>
    <w:rsid w:val="00515CDD"/>
    <w:rsid w:val="00515DA4"/>
    <w:rsid w:val="00515DB4"/>
    <w:rsid w:val="00515E3B"/>
    <w:rsid w:val="00515E89"/>
    <w:rsid w:val="00515E8D"/>
    <w:rsid w:val="00515E96"/>
    <w:rsid w:val="00515EEE"/>
    <w:rsid w:val="00515F8B"/>
    <w:rsid w:val="00515FA7"/>
    <w:rsid w:val="00515FEA"/>
    <w:rsid w:val="0051604B"/>
    <w:rsid w:val="005160C4"/>
    <w:rsid w:val="005160C8"/>
    <w:rsid w:val="005160CF"/>
    <w:rsid w:val="0051611C"/>
    <w:rsid w:val="00516121"/>
    <w:rsid w:val="00516126"/>
    <w:rsid w:val="0051613B"/>
    <w:rsid w:val="0051614D"/>
    <w:rsid w:val="0051619C"/>
    <w:rsid w:val="005161B0"/>
    <w:rsid w:val="005161CE"/>
    <w:rsid w:val="0051620D"/>
    <w:rsid w:val="00516237"/>
    <w:rsid w:val="00516238"/>
    <w:rsid w:val="0051626E"/>
    <w:rsid w:val="00516291"/>
    <w:rsid w:val="0051629D"/>
    <w:rsid w:val="00516305"/>
    <w:rsid w:val="00516391"/>
    <w:rsid w:val="00516393"/>
    <w:rsid w:val="0051644E"/>
    <w:rsid w:val="005164BB"/>
    <w:rsid w:val="00516515"/>
    <w:rsid w:val="0051652C"/>
    <w:rsid w:val="00516559"/>
    <w:rsid w:val="00516598"/>
    <w:rsid w:val="005165C9"/>
    <w:rsid w:val="0051664E"/>
    <w:rsid w:val="00516663"/>
    <w:rsid w:val="00516670"/>
    <w:rsid w:val="00516737"/>
    <w:rsid w:val="00516762"/>
    <w:rsid w:val="005167B3"/>
    <w:rsid w:val="005167C9"/>
    <w:rsid w:val="005167CA"/>
    <w:rsid w:val="005167F6"/>
    <w:rsid w:val="005167FC"/>
    <w:rsid w:val="00516830"/>
    <w:rsid w:val="00516877"/>
    <w:rsid w:val="005168EB"/>
    <w:rsid w:val="00516916"/>
    <w:rsid w:val="00516929"/>
    <w:rsid w:val="00516947"/>
    <w:rsid w:val="005169AA"/>
    <w:rsid w:val="005169B2"/>
    <w:rsid w:val="005169E1"/>
    <w:rsid w:val="005169E9"/>
    <w:rsid w:val="00516A6E"/>
    <w:rsid w:val="00516AD8"/>
    <w:rsid w:val="00516B0E"/>
    <w:rsid w:val="00516B20"/>
    <w:rsid w:val="00516B44"/>
    <w:rsid w:val="00516B54"/>
    <w:rsid w:val="00516B77"/>
    <w:rsid w:val="00516B78"/>
    <w:rsid w:val="00516BAE"/>
    <w:rsid w:val="00516BB8"/>
    <w:rsid w:val="00516BD0"/>
    <w:rsid w:val="00516BF2"/>
    <w:rsid w:val="00516BF4"/>
    <w:rsid w:val="00516C00"/>
    <w:rsid w:val="00516C04"/>
    <w:rsid w:val="00516C1F"/>
    <w:rsid w:val="00516C24"/>
    <w:rsid w:val="00516C4C"/>
    <w:rsid w:val="00516CE8"/>
    <w:rsid w:val="00516CEC"/>
    <w:rsid w:val="00516D1A"/>
    <w:rsid w:val="00516D30"/>
    <w:rsid w:val="00516DA2"/>
    <w:rsid w:val="00516DC1"/>
    <w:rsid w:val="00516DD0"/>
    <w:rsid w:val="00516DD2"/>
    <w:rsid w:val="00516DEC"/>
    <w:rsid w:val="00516DED"/>
    <w:rsid w:val="00516DF8"/>
    <w:rsid w:val="00516E6C"/>
    <w:rsid w:val="00516E77"/>
    <w:rsid w:val="00516E8E"/>
    <w:rsid w:val="00516E95"/>
    <w:rsid w:val="00516E96"/>
    <w:rsid w:val="00516E9E"/>
    <w:rsid w:val="00516EE5"/>
    <w:rsid w:val="00516F65"/>
    <w:rsid w:val="00516F6A"/>
    <w:rsid w:val="00516F84"/>
    <w:rsid w:val="00516FB2"/>
    <w:rsid w:val="00516FF3"/>
    <w:rsid w:val="0051700B"/>
    <w:rsid w:val="00517025"/>
    <w:rsid w:val="00517030"/>
    <w:rsid w:val="0051707D"/>
    <w:rsid w:val="0051708B"/>
    <w:rsid w:val="0051709F"/>
    <w:rsid w:val="005170A4"/>
    <w:rsid w:val="005170D4"/>
    <w:rsid w:val="00517109"/>
    <w:rsid w:val="0051710B"/>
    <w:rsid w:val="0051712E"/>
    <w:rsid w:val="00517144"/>
    <w:rsid w:val="00517163"/>
    <w:rsid w:val="005171A2"/>
    <w:rsid w:val="00517214"/>
    <w:rsid w:val="0051726C"/>
    <w:rsid w:val="00517272"/>
    <w:rsid w:val="00517282"/>
    <w:rsid w:val="00517291"/>
    <w:rsid w:val="005172F3"/>
    <w:rsid w:val="005172FC"/>
    <w:rsid w:val="00517301"/>
    <w:rsid w:val="00517333"/>
    <w:rsid w:val="00517364"/>
    <w:rsid w:val="0051737B"/>
    <w:rsid w:val="005173BA"/>
    <w:rsid w:val="005174C6"/>
    <w:rsid w:val="0051750F"/>
    <w:rsid w:val="00517547"/>
    <w:rsid w:val="005175A9"/>
    <w:rsid w:val="005175AC"/>
    <w:rsid w:val="005175CC"/>
    <w:rsid w:val="00517605"/>
    <w:rsid w:val="00517628"/>
    <w:rsid w:val="00517636"/>
    <w:rsid w:val="00517647"/>
    <w:rsid w:val="0051767C"/>
    <w:rsid w:val="005176FA"/>
    <w:rsid w:val="00517702"/>
    <w:rsid w:val="005177A8"/>
    <w:rsid w:val="005177B3"/>
    <w:rsid w:val="005177C1"/>
    <w:rsid w:val="005177CF"/>
    <w:rsid w:val="005177D5"/>
    <w:rsid w:val="00517846"/>
    <w:rsid w:val="0051784F"/>
    <w:rsid w:val="005178A7"/>
    <w:rsid w:val="005178B2"/>
    <w:rsid w:val="005178DA"/>
    <w:rsid w:val="005178F4"/>
    <w:rsid w:val="00517933"/>
    <w:rsid w:val="0051794D"/>
    <w:rsid w:val="0051797B"/>
    <w:rsid w:val="0051798D"/>
    <w:rsid w:val="005179B0"/>
    <w:rsid w:val="005179CE"/>
    <w:rsid w:val="005179E6"/>
    <w:rsid w:val="005179F0"/>
    <w:rsid w:val="00517A00"/>
    <w:rsid w:val="00517A3C"/>
    <w:rsid w:val="00517AAE"/>
    <w:rsid w:val="00517ACE"/>
    <w:rsid w:val="00517AD3"/>
    <w:rsid w:val="00517AD7"/>
    <w:rsid w:val="00517B13"/>
    <w:rsid w:val="00517B92"/>
    <w:rsid w:val="00517BB6"/>
    <w:rsid w:val="00517BD1"/>
    <w:rsid w:val="00517BFC"/>
    <w:rsid w:val="00517C02"/>
    <w:rsid w:val="00517C36"/>
    <w:rsid w:val="00517C71"/>
    <w:rsid w:val="00517CA4"/>
    <w:rsid w:val="00517CCB"/>
    <w:rsid w:val="00517CFC"/>
    <w:rsid w:val="00517D9E"/>
    <w:rsid w:val="00517DB8"/>
    <w:rsid w:val="00517DF5"/>
    <w:rsid w:val="00517E3E"/>
    <w:rsid w:val="00517E54"/>
    <w:rsid w:val="00517E90"/>
    <w:rsid w:val="00517E9C"/>
    <w:rsid w:val="00517EBB"/>
    <w:rsid w:val="00517EDE"/>
    <w:rsid w:val="00517EE2"/>
    <w:rsid w:val="00517EFD"/>
    <w:rsid w:val="00517F03"/>
    <w:rsid w:val="00517F14"/>
    <w:rsid w:val="00517F1F"/>
    <w:rsid w:val="00517F66"/>
    <w:rsid w:val="00517F9B"/>
    <w:rsid w:val="00517F9D"/>
    <w:rsid w:val="00517FBC"/>
    <w:rsid w:val="00517FCB"/>
    <w:rsid w:val="00517FD3"/>
    <w:rsid w:val="00517FE7"/>
    <w:rsid w:val="00520019"/>
    <w:rsid w:val="00520065"/>
    <w:rsid w:val="0052008D"/>
    <w:rsid w:val="00520108"/>
    <w:rsid w:val="00520136"/>
    <w:rsid w:val="00520146"/>
    <w:rsid w:val="00520149"/>
    <w:rsid w:val="0052019E"/>
    <w:rsid w:val="005201BF"/>
    <w:rsid w:val="005201C3"/>
    <w:rsid w:val="005201C4"/>
    <w:rsid w:val="005201D8"/>
    <w:rsid w:val="005201EB"/>
    <w:rsid w:val="005201F0"/>
    <w:rsid w:val="0052029A"/>
    <w:rsid w:val="005202BC"/>
    <w:rsid w:val="005202CD"/>
    <w:rsid w:val="00520302"/>
    <w:rsid w:val="0052031B"/>
    <w:rsid w:val="00520326"/>
    <w:rsid w:val="0052032C"/>
    <w:rsid w:val="00520338"/>
    <w:rsid w:val="00520372"/>
    <w:rsid w:val="00520375"/>
    <w:rsid w:val="0052037C"/>
    <w:rsid w:val="00520385"/>
    <w:rsid w:val="005203D1"/>
    <w:rsid w:val="005203D2"/>
    <w:rsid w:val="00520420"/>
    <w:rsid w:val="00520422"/>
    <w:rsid w:val="0052042E"/>
    <w:rsid w:val="00520451"/>
    <w:rsid w:val="0052046C"/>
    <w:rsid w:val="0052049C"/>
    <w:rsid w:val="00520515"/>
    <w:rsid w:val="00520527"/>
    <w:rsid w:val="00520553"/>
    <w:rsid w:val="0052055F"/>
    <w:rsid w:val="00520561"/>
    <w:rsid w:val="0052057D"/>
    <w:rsid w:val="00520590"/>
    <w:rsid w:val="00520592"/>
    <w:rsid w:val="005205C8"/>
    <w:rsid w:val="0052062C"/>
    <w:rsid w:val="0052069F"/>
    <w:rsid w:val="005206AC"/>
    <w:rsid w:val="005206B0"/>
    <w:rsid w:val="005206C1"/>
    <w:rsid w:val="005206F9"/>
    <w:rsid w:val="0052073B"/>
    <w:rsid w:val="00520758"/>
    <w:rsid w:val="00520761"/>
    <w:rsid w:val="005207A7"/>
    <w:rsid w:val="005207A8"/>
    <w:rsid w:val="005207C5"/>
    <w:rsid w:val="005207C7"/>
    <w:rsid w:val="00520820"/>
    <w:rsid w:val="00520862"/>
    <w:rsid w:val="0052086E"/>
    <w:rsid w:val="0052088E"/>
    <w:rsid w:val="005208A0"/>
    <w:rsid w:val="005208C3"/>
    <w:rsid w:val="005208FB"/>
    <w:rsid w:val="00520904"/>
    <w:rsid w:val="00520909"/>
    <w:rsid w:val="00520970"/>
    <w:rsid w:val="005209C5"/>
    <w:rsid w:val="005209C7"/>
    <w:rsid w:val="005209EC"/>
    <w:rsid w:val="00520A70"/>
    <w:rsid w:val="00520A78"/>
    <w:rsid w:val="00520A92"/>
    <w:rsid w:val="00520AA8"/>
    <w:rsid w:val="00520AB0"/>
    <w:rsid w:val="00520ACB"/>
    <w:rsid w:val="00520B28"/>
    <w:rsid w:val="00520B6F"/>
    <w:rsid w:val="00520B88"/>
    <w:rsid w:val="00520BAC"/>
    <w:rsid w:val="00520C53"/>
    <w:rsid w:val="00520C7A"/>
    <w:rsid w:val="00520CA9"/>
    <w:rsid w:val="00520D25"/>
    <w:rsid w:val="00520D5C"/>
    <w:rsid w:val="00520D88"/>
    <w:rsid w:val="00520DBB"/>
    <w:rsid w:val="00520E44"/>
    <w:rsid w:val="00520E51"/>
    <w:rsid w:val="00520E67"/>
    <w:rsid w:val="00520E68"/>
    <w:rsid w:val="00520E91"/>
    <w:rsid w:val="00520E9B"/>
    <w:rsid w:val="00520F52"/>
    <w:rsid w:val="00520F79"/>
    <w:rsid w:val="00520F7F"/>
    <w:rsid w:val="00520F91"/>
    <w:rsid w:val="00520FAE"/>
    <w:rsid w:val="00521066"/>
    <w:rsid w:val="00521084"/>
    <w:rsid w:val="005210C9"/>
    <w:rsid w:val="005210CA"/>
    <w:rsid w:val="00521182"/>
    <w:rsid w:val="005211F6"/>
    <w:rsid w:val="00521262"/>
    <w:rsid w:val="00521272"/>
    <w:rsid w:val="005212BF"/>
    <w:rsid w:val="005212E9"/>
    <w:rsid w:val="005212EF"/>
    <w:rsid w:val="00521301"/>
    <w:rsid w:val="0052131A"/>
    <w:rsid w:val="00521364"/>
    <w:rsid w:val="0052136B"/>
    <w:rsid w:val="005213C6"/>
    <w:rsid w:val="005213EF"/>
    <w:rsid w:val="00521447"/>
    <w:rsid w:val="0052144D"/>
    <w:rsid w:val="00521454"/>
    <w:rsid w:val="00521480"/>
    <w:rsid w:val="00521483"/>
    <w:rsid w:val="0052150D"/>
    <w:rsid w:val="00521530"/>
    <w:rsid w:val="00521533"/>
    <w:rsid w:val="005215BF"/>
    <w:rsid w:val="005215F3"/>
    <w:rsid w:val="005215F6"/>
    <w:rsid w:val="00521651"/>
    <w:rsid w:val="0052166B"/>
    <w:rsid w:val="00521689"/>
    <w:rsid w:val="0052168A"/>
    <w:rsid w:val="005216A2"/>
    <w:rsid w:val="005216B1"/>
    <w:rsid w:val="005216B5"/>
    <w:rsid w:val="005216DB"/>
    <w:rsid w:val="005216EF"/>
    <w:rsid w:val="0052170D"/>
    <w:rsid w:val="00521744"/>
    <w:rsid w:val="0052176E"/>
    <w:rsid w:val="0052177D"/>
    <w:rsid w:val="0052184B"/>
    <w:rsid w:val="00521893"/>
    <w:rsid w:val="00521944"/>
    <w:rsid w:val="0052194F"/>
    <w:rsid w:val="0052196D"/>
    <w:rsid w:val="005219C2"/>
    <w:rsid w:val="005219C7"/>
    <w:rsid w:val="00521A08"/>
    <w:rsid w:val="00521A0D"/>
    <w:rsid w:val="00521A17"/>
    <w:rsid w:val="00521A24"/>
    <w:rsid w:val="00521A36"/>
    <w:rsid w:val="00521A60"/>
    <w:rsid w:val="00521A9B"/>
    <w:rsid w:val="00521B0D"/>
    <w:rsid w:val="00521B1A"/>
    <w:rsid w:val="00521B1D"/>
    <w:rsid w:val="00521BAB"/>
    <w:rsid w:val="00521BB5"/>
    <w:rsid w:val="00521BB7"/>
    <w:rsid w:val="00521C37"/>
    <w:rsid w:val="00521C49"/>
    <w:rsid w:val="00521C91"/>
    <w:rsid w:val="00521CA5"/>
    <w:rsid w:val="00521D16"/>
    <w:rsid w:val="00521D43"/>
    <w:rsid w:val="00521D4D"/>
    <w:rsid w:val="00521D80"/>
    <w:rsid w:val="00521DE3"/>
    <w:rsid w:val="00521DEA"/>
    <w:rsid w:val="00521E21"/>
    <w:rsid w:val="00521EF4"/>
    <w:rsid w:val="00521F42"/>
    <w:rsid w:val="00521F65"/>
    <w:rsid w:val="00521F8E"/>
    <w:rsid w:val="00521F96"/>
    <w:rsid w:val="00522017"/>
    <w:rsid w:val="0052203D"/>
    <w:rsid w:val="0052206B"/>
    <w:rsid w:val="0052206C"/>
    <w:rsid w:val="00522098"/>
    <w:rsid w:val="00522107"/>
    <w:rsid w:val="005221B6"/>
    <w:rsid w:val="005221B7"/>
    <w:rsid w:val="005222A7"/>
    <w:rsid w:val="005222E9"/>
    <w:rsid w:val="005222F6"/>
    <w:rsid w:val="00522307"/>
    <w:rsid w:val="00522311"/>
    <w:rsid w:val="00522318"/>
    <w:rsid w:val="00522321"/>
    <w:rsid w:val="00522331"/>
    <w:rsid w:val="00522335"/>
    <w:rsid w:val="0052235D"/>
    <w:rsid w:val="00522370"/>
    <w:rsid w:val="005223DF"/>
    <w:rsid w:val="00522410"/>
    <w:rsid w:val="00522417"/>
    <w:rsid w:val="0052243A"/>
    <w:rsid w:val="0052247C"/>
    <w:rsid w:val="00522489"/>
    <w:rsid w:val="005224BC"/>
    <w:rsid w:val="005224C0"/>
    <w:rsid w:val="00522538"/>
    <w:rsid w:val="0052253A"/>
    <w:rsid w:val="005225AD"/>
    <w:rsid w:val="005225BE"/>
    <w:rsid w:val="0052260C"/>
    <w:rsid w:val="00522637"/>
    <w:rsid w:val="00522678"/>
    <w:rsid w:val="005226B6"/>
    <w:rsid w:val="005226D9"/>
    <w:rsid w:val="005226DD"/>
    <w:rsid w:val="005226E6"/>
    <w:rsid w:val="005226ED"/>
    <w:rsid w:val="00522731"/>
    <w:rsid w:val="00522790"/>
    <w:rsid w:val="005227A8"/>
    <w:rsid w:val="005227C2"/>
    <w:rsid w:val="00522801"/>
    <w:rsid w:val="00522811"/>
    <w:rsid w:val="00522874"/>
    <w:rsid w:val="005228A5"/>
    <w:rsid w:val="005228F9"/>
    <w:rsid w:val="00522996"/>
    <w:rsid w:val="00522A26"/>
    <w:rsid w:val="00522A3B"/>
    <w:rsid w:val="00522A72"/>
    <w:rsid w:val="00522B14"/>
    <w:rsid w:val="00522B15"/>
    <w:rsid w:val="00522C72"/>
    <w:rsid w:val="00522CB7"/>
    <w:rsid w:val="00522CCB"/>
    <w:rsid w:val="00522CDC"/>
    <w:rsid w:val="00522D0C"/>
    <w:rsid w:val="00522D13"/>
    <w:rsid w:val="00522D5E"/>
    <w:rsid w:val="00522D9B"/>
    <w:rsid w:val="00522DC0"/>
    <w:rsid w:val="00522DDC"/>
    <w:rsid w:val="00522E09"/>
    <w:rsid w:val="00522E38"/>
    <w:rsid w:val="00522E49"/>
    <w:rsid w:val="00522E59"/>
    <w:rsid w:val="00522E8E"/>
    <w:rsid w:val="00522EB0"/>
    <w:rsid w:val="00522EE6"/>
    <w:rsid w:val="00522EF1"/>
    <w:rsid w:val="00522F2A"/>
    <w:rsid w:val="00522F52"/>
    <w:rsid w:val="00522FA7"/>
    <w:rsid w:val="00523046"/>
    <w:rsid w:val="00523049"/>
    <w:rsid w:val="00523063"/>
    <w:rsid w:val="005230B7"/>
    <w:rsid w:val="005230C9"/>
    <w:rsid w:val="005230FB"/>
    <w:rsid w:val="005230FC"/>
    <w:rsid w:val="00523113"/>
    <w:rsid w:val="00523140"/>
    <w:rsid w:val="0052316E"/>
    <w:rsid w:val="005231EA"/>
    <w:rsid w:val="00523238"/>
    <w:rsid w:val="00523251"/>
    <w:rsid w:val="005232A3"/>
    <w:rsid w:val="005232B8"/>
    <w:rsid w:val="005232E8"/>
    <w:rsid w:val="0052334A"/>
    <w:rsid w:val="0052338A"/>
    <w:rsid w:val="005233A9"/>
    <w:rsid w:val="005233D1"/>
    <w:rsid w:val="005233E6"/>
    <w:rsid w:val="0052342F"/>
    <w:rsid w:val="0052344F"/>
    <w:rsid w:val="0052346D"/>
    <w:rsid w:val="0052349C"/>
    <w:rsid w:val="005234A6"/>
    <w:rsid w:val="005234CD"/>
    <w:rsid w:val="00523507"/>
    <w:rsid w:val="00523573"/>
    <w:rsid w:val="00523588"/>
    <w:rsid w:val="005235AC"/>
    <w:rsid w:val="005235C9"/>
    <w:rsid w:val="005235E1"/>
    <w:rsid w:val="00523603"/>
    <w:rsid w:val="00523604"/>
    <w:rsid w:val="0052361B"/>
    <w:rsid w:val="00523629"/>
    <w:rsid w:val="0052365E"/>
    <w:rsid w:val="00523662"/>
    <w:rsid w:val="00523682"/>
    <w:rsid w:val="005236B0"/>
    <w:rsid w:val="0052370E"/>
    <w:rsid w:val="00523734"/>
    <w:rsid w:val="0052373A"/>
    <w:rsid w:val="0052374F"/>
    <w:rsid w:val="0052375F"/>
    <w:rsid w:val="0052377E"/>
    <w:rsid w:val="00523792"/>
    <w:rsid w:val="005237B3"/>
    <w:rsid w:val="00523854"/>
    <w:rsid w:val="005238E0"/>
    <w:rsid w:val="00523925"/>
    <w:rsid w:val="0052392F"/>
    <w:rsid w:val="0052393D"/>
    <w:rsid w:val="0052395A"/>
    <w:rsid w:val="0052396D"/>
    <w:rsid w:val="005239AA"/>
    <w:rsid w:val="00523A39"/>
    <w:rsid w:val="00523A3D"/>
    <w:rsid w:val="00523A4B"/>
    <w:rsid w:val="00523A4F"/>
    <w:rsid w:val="00523A99"/>
    <w:rsid w:val="00523A9B"/>
    <w:rsid w:val="00523ACF"/>
    <w:rsid w:val="00523AEB"/>
    <w:rsid w:val="00523B4E"/>
    <w:rsid w:val="00523B83"/>
    <w:rsid w:val="00523B92"/>
    <w:rsid w:val="00523B93"/>
    <w:rsid w:val="00523C41"/>
    <w:rsid w:val="00523C6E"/>
    <w:rsid w:val="00523C93"/>
    <w:rsid w:val="00523D00"/>
    <w:rsid w:val="00523D37"/>
    <w:rsid w:val="00523DD2"/>
    <w:rsid w:val="00523DDE"/>
    <w:rsid w:val="00523E27"/>
    <w:rsid w:val="00523E53"/>
    <w:rsid w:val="00523F21"/>
    <w:rsid w:val="00523F43"/>
    <w:rsid w:val="00523F4A"/>
    <w:rsid w:val="00523F5E"/>
    <w:rsid w:val="00523F86"/>
    <w:rsid w:val="00523FA7"/>
    <w:rsid w:val="00523FEC"/>
    <w:rsid w:val="00524009"/>
    <w:rsid w:val="00524023"/>
    <w:rsid w:val="0052403B"/>
    <w:rsid w:val="0052407A"/>
    <w:rsid w:val="00524094"/>
    <w:rsid w:val="0052409B"/>
    <w:rsid w:val="005240E4"/>
    <w:rsid w:val="00524106"/>
    <w:rsid w:val="00524107"/>
    <w:rsid w:val="00524198"/>
    <w:rsid w:val="005241F0"/>
    <w:rsid w:val="005241F9"/>
    <w:rsid w:val="00524223"/>
    <w:rsid w:val="00524261"/>
    <w:rsid w:val="00524287"/>
    <w:rsid w:val="005242F7"/>
    <w:rsid w:val="0052435E"/>
    <w:rsid w:val="00524390"/>
    <w:rsid w:val="00524421"/>
    <w:rsid w:val="00524460"/>
    <w:rsid w:val="00524498"/>
    <w:rsid w:val="005244AE"/>
    <w:rsid w:val="005244D0"/>
    <w:rsid w:val="00524522"/>
    <w:rsid w:val="0052452F"/>
    <w:rsid w:val="00524554"/>
    <w:rsid w:val="00524561"/>
    <w:rsid w:val="00524596"/>
    <w:rsid w:val="0052459E"/>
    <w:rsid w:val="005245E0"/>
    <w:rsid w:val="00524636"/>
    <w:rsid w:val="00524643"/>
    <w:rsid w:val="00524705"/>
    <w:rsid w:val="0052474D"/>
    <w:rsid w:val="00524782"/>
    <w:rsid w:val="0052478B"/>
    <w:rsid w:val="005247A7"/>
    <w:rsid w:val="005247AC"/>
    <w:rsid w:val="005247C2"/>
    <w:rsid w:val="005247D5"/>
    <w:rsid w:val="005247F7"/>
    <w:rsid w:val="00524812"/>
    <w:rsid w:val="0052481A"/>
    <w:rsid w:val="005248AE"/>
    <w:rsid w:val="005248F6"/>
    <w:rsid w:val="00524928"/>
    <w:rsid w:val="0052496D"/>
    <w:rsid w:val="005249A0"/>
    <w:rsid w:val="005249D5"/>
    <w:rsid w:val="005249F9"/>
    <w:rsid w:val="00524A0F"/>
    <w:rsid w:val="00524A1D"/>
    <w:rsid w:val="00524A3C"/>
    <w:rsid w:val="00524A93"/>
    <w:rsid w:val="00524AA1"/>
    <w:rsid w:val="00524B11"/>
    <w:rsid w:val="00524B5C"/>
    <w:rsid w:val="00524B77"/>
    <w:rsid w:val="00524BBD"/>
    <w:rsid w:val="00524C19"/>
    <w:rsid w:val="00524C1E"/>
    <w:rsid w:val="00524C31"/>
    <w:rsid w:val="00524C6C"/>
    <w:rsid w:val="00524C6E"/>
    <w:rsid w:val="00524C76"/>
    <w:rsid w:val="00524CA1"/>
    <w:rsid w:val="00524D8E"/>
    <w:rsid w:val="00524DC5"/>
    <w:rsid w:val="00524DE0"/>
    <w:rsid w:val="00524DF2"/>
    <w:rsid w:val="00524E1E"/>
    <w:rsid w:val="00524E20"/>
    <w:rsid w:val="00524E24"/>
    <w:rsid w:val="00524E5E"/>
    <w:rsid w:val="00524EAD"/>
    <w:rsid w:val="00524EC1"/>
    <w:rsid w:val="00524EC3"/>
    <w:rsid w:val="00524ED2"/>
    <w:rsid w:val="00524EF3"/>
    <w:rsid w:val="00524F21"/>
    <w:rsid w:val="00524F46"/>
    <w:rsid w:val="00524F88"/>
    <w:rsid w:val="00524FF0"/>
    <w:rsid w:val="00524FF4"/>
    <w:rsid w:val="00524FF8"/>
    <w:rsid w:val="00524FFD"/>
    <w:rsid w:val="00525013"/>
    <w:rsid w:val="00525015"/>
    <w:rsid w:val="00525040"/>
    <w:rsid w:val="00525042"/>
    <w:rsid w:val="00525076"/>
    <w:rsid w:val="0052507A"/>
    <w:rsid w:val="005250C6"/>
    <w:rsid w:val="005250CF"/>
    <w:rsid w:val="005250FD"/>
    <w:rsid w:val="00525208"/>
    <w:rsid w:val="0052524C"/>
    <w:rsid w:val="005252AB"/>
    <w:rsid w:val="005252BD"/>
    <w:rsid w:val="005252D2"/>
    <w:rsid w:val="005252FE"/>
    <w:rsid w:val="00525326"/>
    <w:rsid w:val="0052538D"/>
    <w:rsid w:val="005253A2"/>
    <w:rsid w:val="005253BE"/>
    <w:rsid w:val="005253C4"/>
    <w:rsid w:val="005253EA"/>
    <w:rsid w:val="00525400"/>
    <w:rsid w:val="0052543A"/>
    <w:rsid w:val="0052549A"/>
    <w:rsid w:val="00525534"/>
    <w:rsid w:val="00525585"/>
    <w:rsid w:val="005255A6"/>
    <w:rsid w:val="005255D2"/>
    <w:rsid w:val="0052560D"/>
    <w:rsid w:val="00525685"/>
    <w:rsid w:val="005256AF"/>
    <w:rsid w:val="005256BB"/>
    <w:rsid w:val="005256C0"/>
    <w:rsid w:val="005256C9"/>
    <w:rsid w:val="005256D3"/>
    <w:rsid w:val="0052574F"/>
    <w:rsid w:val="00525766"/>
    <w:rsid w:val="0052577A"/>
    <w:rsid w:val="005257AD"/>
    <w:rsid w:val="005257DA"/>
    <w:rsid w:val="005257F5"/>
    <w:rsid w:val="00525871"/>
    <w:rsid w:val="00525915"/>
    <w:rsid w:val="0052595E"/>
    <w:rsid w:val="0052597C"/>
    <w:rsid w:val="005259B1"/>
    <w:rsid w:val="005259C8"/>
    <w:rsid w:val="00525A17"/>
    <w:rsid w:val="00525A2B"/>
    <w:rsid w:val="00525A45"/>
    <w:rsid w:val="00525A4A"/>
    <w:rsid w:val="00525A5B"/>
    <w:rsid w:val="00525A79"/>
    <w:rsid w:val="00525B42"/>
    <w:rsid w:val="00525B5A"/>
    <w:rsid w:val="00525B9F"/>
    <w:rsid w:val="00525BBF"/>
    <w:rsid w:val="00525C0C"/>
    <w:rsid w:val="00525C55"/>
    <w:rsid w:val="00525C5B"/>
    <w:rsid w:val="00525CAB"/>
    <w:rsid w:val="00525D19"/>
    <w:rsid w:val="00525D25"/>
    <w:rsid w:val="00525DA9"/>
    <w:rsid w:val="00525DB9"/>
    <w:rsid w:val="00525DF5"/>
    <w:rsid w:val="00525E70"/>
    <w:rsid w:val="00525ED7"/>
    <w:rsid w:val="00525EDC"/>
    <w:rsid w:val="00525F4A"/>
    <w:rsid w:val="00525F51"/>
    <w:rsid w:val="00525F96"/>
    <w:rsid w:val="00525FB5"/>
    <w:rsid w:val="00525FD2"/>
    <w:rsid w:val="00525FF1"/>
    <w:rsid w:val="00525FFF"/>
    <w:rsid w:val="00526081"/>
    <w:rsid w:val="005260C5"/>
    <w:rsid w:val="005260D2"/>
    <w:rsid w:val="00526101"/>
    <w:rsid w:val="00526111"/>
    <w:rsid w:val="00526132"/>
    <w:rsid w:val="00526173"/>
    <w:rsid w:val="005261AC"/>
    <w:rsid w:val="005261EF"/>
    <w:rsid w:val="00526217"/>
    <w:rsid w:val="0052622B"/>
    <w:rsid w:val="00526256"/>
    <w:rsid w:val="00526293"/>
    <w:rsid w:val="00526306"/>
    <w:rsid w:val="00526346"/>
    <w:rsid w:val="0052634A"/>
    <w:rsid w:val="0052636E"/>
    <w:rsid w:val="005263AB"/>
    <w:rsid w:val="005263CA"/>
    <w:rsid w:val="005263D2"/>
    <w:rsid w:val="005263E1"/>
    <w:rsid w:val="005263EF"/>
    <w:rsid w:val="00526440"/>
    <w:rsid w:val="00526504"/>
    <w:rsid w:val="00526564"/>
    <w:rsid w:val="005265D9"/>
    <w:rsid w:val="0052664B"/>
    <w:rsid w:val="0052664C"/>
    <w:rsid w:val="0052666E"/>
    <w:rsid w:val="00526677"/>
    <w:rsid w:val="00526683"/>
    <w:rsid w:val="0052669B"/>
    <w:rsid w:val="005266A5"/>
    <w:rsid w:val="005266B6"/>
    <w:rsid w:val="005266C7"/>
    <w:rsid w:val="005266DD"/>
    <w:rsid w:val="005266FE"/>
    <w:rsid w:val="0052673C"/>
    <w:rsid w:val="005267BE"/>
    <w:rsid w:val="005267C5"/>
    <w:rsid w:val="005267E2"/>
    <w:rsid w:val="00526833"/>
    <w:rsid w:val="00526867"/>
    <w:rsid w:val="0052687F"/>
    <w:rsid w:val="00526913"/>
    <w:rsid w:val="0052691A"/>
    <w:rsid w:val="00526955"/>
    <w:rsid w:val="005269BD"/>
    <w:rsid w:val="005269CD"/>
    <w:rsid w:val="005269CE"/>
    <w:rsid w:val="005269EB"/>
    <w:rsid w:val="00526A24"/>
    <w:rsid w:val="00526A30"/>
    <w:rsid w:val="00526A5E"/>
    <w:rsid w:val="00526A62"/>
    <w:rsid w:val="00526A66"/>
    <w:rsid w:val="00526AC5"/>
    <w:rsid w:val="00526B28"/>
    <w:rsid w:val="00526B5A"/>
    <w:rsid w:val="00526B6C"/>
    <w:rsid w:val="00526B79"/>
    <w:rsid w:val="00526BD1"/>
    <w:rsid w:val="00526BE5"/>
    <w:rsid w:val="00526C50"/>
    <w:rsid w:val="00526C58"/>
    <w:rsid w:val="00526CEE"/>
    <w:rsid w:val="00526D33"/>
    <w:rsid w:val="00526D71"/>
    <w:rsid w:val="00526DAC"/>
    <w:rsid w:val="00526DB5"/>
    <w:rsid w:val="00526EB1"/>
    <w:rsid w:val="00526EE0"/>
    <w:rsid w:val="00526EFA"/>
    <w:rsid w:val="00526F0B"/>
    <w:rsid w:val="00526F0D"/>
    <w:rsid w:val="00526F28"/>
    <w:rsid w:val="00526F7E"/>
    <w:rsid w:val="00526FD4"/>
    <w:rsid w:val="00526FE0"/>
    <w:rsid w:val="00526FFD"/>
    <w:rsid w:val="00527038"/>
    <w:rsid w:val="0052708B"/>
    <w:rsid w:val="005270CA"/>
    <w:rsid w:val="005270F3"/>
    <w:rsid w:val="00527106"/>
    <w:rsid w:val="00527110"/>
    <w:rsid w:val="00527119"/>
    <w:rsid w:val="00527120"/>
    <w:rsid w:val="00527132"/>
    <w:rsid w:val="00527137"/>
    <w:rsid w:val="005271A1"/>
    <w:rsid w:val="005271AE"/>
    <w:rsid w:val="00527204"/>
    <w:rsid w:val="0052727D"/>
    <w:rsid w:val="005272BF"/>
    <w:rsid w:val="005272CD"/>
    <w:rsid w:val="005272E4"/>
    <w:rsid w:val="005272E6"/>
    <w:rsid w:val="0052731B"/>
    <w:rsid w:val="005273B9"/>
    <w:rsid w:val="005273CC"/>
    <w:rsid w:val="005273D8"/>
    <w:rsid w:val="0052740D"/>
    <w:rsid w:val="0052745B"/>
    <w:rsid w:val="00527478"/>
    <w:rsid w:val="00527497"/>
    <w:rsid w:val="0052749A"/>
    <w:rsid w:val="005274A1"/>
    <w:rsid w:val="005274CE"/>
    <w:rsid w:val="0052756D"/>
    <w:rsid w:val="005275A9"/>
    <w:rsid w:val="005275B7"/>
    <w:rsid w:val="0052765A"/>
    <w:rsid w:val="00527669"/>
    <w:rsid w:val="00527670"/>
    <w:rsid w:val="00527684"/>
    <w:rsid w:val="0052769A"/>
    <w:rsid w:val="005276BD"/>
    <w:rsid w:val="005276E2"/>
    <w:rsid w:val="005276EC"/>
    <w:rsid w:val="0052773C"/>
    <w:rsid w:val="00527752"/>
    <w:rsid w:val="005278DA"/>
    <w:rsid w:val="005278EE"/>
    <w:rsid w:val="00527943"/>
    <w:rsid w:val="00527946"/>
    <w:rsid w:val="00527957"/>
    <w:rsid w:val="005279B8"/>
    <w:rsid w:val="005279E7"/>
    <w:rsid w:val="00527A0D"/>
    <w:rsid w:val="00527A79"/>
    <w:rsid w:val="00527B7D"/>
    <w:rsid w:val="00527B8D"/>
    <w:rsid w:val="00527BA2"/>
    <w:rsid w:val="00527BE2"/>
    <w:rsid w:val="00527CA7"/>
    <w:rsid w:val="00527CC2"/>
    <w:rsid w:val="00527D29"/>
    <w:rsid w:val="00527D39"/>
    <w:rsid w:val="00527D4A"/>
    <w:rsid w:val="00527D4E"/>
    <w:rsid w:val="00527D75"/>
    <w:rsid w:val="00527D7D"/>
    <w:rsid w:val="00527DA2"/>
    <w:rsid w:val="00527E11"/>
    <w:rsid w:val="00527E14"/>
    <w:rsid w:val="00527E3E"/>
    <w:rsid w:val="00527E59"/>
    <w:rsid w:val="00527E82"/>
    <w:rsid w:val="00527EC5"/>
    <w:rsid w:val="00527F09"/>
    <w:rsid w:val="00527F24"/>
    <w:rsid w:val="00527F2A"/>
    <w:rsid w:val="00527F3B"/>
    <w:rsid w:val="00527FAD"/>
    <w:rsid w:val="00527FFC"/>
    <w:rsid w:val="0052F0E0"/>
    <w:rsid w:val="00530014"/>
    <w:rsid w:val="0053001A"/>
    <w:rsid w:val="00530051"/>
    <w:rsid w:val="0053010A"/>
    <w:rsid w:val="00530112"/>
    <w:rsid w:val="0053017C"/>
    <w:rsid w:val="00530184"/>
    <w:rsid w:val="005301F7"/>
    <w:rsid w:val="005301FC"/>
    <w:rsid w:val="00530201"/>
    <w:rsid w:val="00530215"/>
    <w:rsid w:val="00530237"/>
    <w:rsid w:val="00530251"/>
    <w:rsid w:val="0053027E"/>
    <w:rsid w:val="005302CB"/>
    <w:rsid w:val="005302FC"/>
    <w:rsid w:val="00530318"/>
    <w:rsid w:val="0053034B"/>
    <w:rsid w:val="00530354"/>
    <w:rsid w:val="00530370"/>
    <w:rsid w:val="00530388"/>
    <w:rsid w:val="00530420"/>
    <w:rsid w:val="005304CF"/>
    <w:rsid w:val="005304D5"/>
    <w:rsid w:val="0053051D"/>
    <w:rsid w:val="00530529"/>
    <w:rsid w:val="00530549"/>
    <w:rsid w:val="0053054C"/>
    <w:rsid w:val="005305BD"/>
    <w:rsid w:val="00530621"/>
    <w:rsid w:val="0053066D"/>
    <w:rsid w:val="005306CD"/>
    <w:rsid w:val="005306E3"/>
    <w:rsid w:val="00530759"/>
    <w:rsid w:val="00530793"/>
    <w:rsid w:val="005307BB"/>
    <w:rsid w:val="0053081A"/>
    <w:rsid w:val="0053081C"/>
    <w:rsid w:val="00530848"/>
    <w:rsid w:val="00530865"/>
    <w:rsid w:val="005308EF"/>
    <w:rsid w:val="00530923"/>
    <w:rsid w:val="00530942"/>
    <w:rsid w:val="00530943"/>
    <w:rsid w:val="00530953"/>
    <w:rsid w:val="00530971"/>
    <w:rsid w:val="005309D5"/>
    <w:rsid w:val="005309E4"/>
    <w:rsid w:val="00530A4C"/>
    <w:rsid w:val="00530A57"/>
    <w:rsid w:val="00530A5A"/>
    <w:rsid w:val="00530AF7"/>
    <w:rsid w:val="00530B15"/>
    <w:rsid w:val="00530B29"/>
    <w:rsid w:val="00530B5D"/>
    <w:rsid w:val="00530B60"/>
    <w:rsid w:val="00530B92"/>
    <w:rsid w:val="00530BDE"/>
    <w:rsid w:val="00530C03"/>
    <w:rsid w:val="00530C68"/>
    <w:rsid w:val="00530CAC"/>
    <w:rsid w:val="00530CF6"/>
    <w:rsid w:val="00530D42"/>
    <w:rsid w:val="00530D47"/>
    <w:rsid w:val="00530D6D"/>
    <w:rsid w:val="00530D79"/>
    <w:rsid w:val="00530DBD"/>
    <w:rsid w:val="00530DED"/>
    <w:rsid w:val="00530DF8"/>
    <w:rsid w:val="00530E04"/>
    <w:rsid w:val="00530E1F"/>
    <w:rsid w:val="00530E4F"/>
    <w:rsid w:val="00530E67"/>
    <w:rsid w:val="00530E98"/>
    <w:rsid w:val="00530E9F"/>
    <w:rsid w:val="00530F04"/>
    <w:rsid w:val="00530F0C"/>
    <w:rsid w:val="00530F3D"/>
    <w:rsid w:val="00530F53"/>
    <w:rsid w:val="00530FAA"/>
    <w:rsid w:val="00530FAE"/>
    <w:rsid w:val="00530FDE"/>
    <w:rsid w:val="00530FF9"/>
    <w:rsid w:val="00531019"/>
    <w:rsid w:val="00531046"/>
    <w:rsid w:val="00531055"/>
    <w:rsid w:val="0053105C"/>
    <w:rsid w:val="00531066"/>
    <w:rsid w:val="00531074"/>
    <w:rsid w:val="00531080"/>
    <w:rsid w:val="00531084"/>
    <w:rsid w:val="005310CA"/>
    <w:rsid w:val="005310DF"/>
    <w:rsid w:val="005310E6"/>
    <w:rsid w:val="005310EE"/>
    <w:rsid w:val="00531127"/>
    <w:rsid w:val="00531133"/>
    <w:rsid w:val="0053122B"/>
    <w:rsid w:val="0053124E"/>
    <w:rsid w:val="00531258"/>
    <w:rsid w:val="00531272"/>
    <w:rsid w:val="005312A0"/>
    <w:rsid w:val="005312B7"/>
    <w:rsid w:val="005312F0"/>
    <w:rsid w:val="005312FD"/>
    <w:rsid w:val="00531302"/>
    <w:rsid w:val="00531309"/>
    <w:rsid w:val="00531330"/>
    <w:rsid w:val="005313A0"/>
    <w:rsid w:val="005313AB"/>
    <w:rsid w:val="00531418"/>
    <w:rsid w:val="0053142A"/>
    <w:rsid w:val="0053145F"/>
    <w:rsid w:val="00531495"/>
    <w:rsid w:val="005314D4"/>
    <w:rsid w:val="005314DF"/>
    <w:rsid w:val="00531544"/>
    <w:rsid w:val="005315E5"/>
    <w:rsid w:val="00531636"/>
    <w:rsid w:val="00531660"/>
    <w:rsid w:val="00531668"/>
    <w:rsid w:val="00531675"/>
    <w:rsid w:val="005316E3"/>
    <w:rsid w:val="0053174E"/>
    <w:rsid w:val="00531752"/>
    <w:rsid w:val="00531775"/>
    <w:rsid w:val="00531778"/>
    <w:rsid w:val="00531780"/>
    <w:rsid w:val="005317E8"/>
    <w:rsid w:val="0053181F"/>
    <w:rsid w:val="00531821"/>
    <w:rsid w:val="0053184A"/>
    <w:rsid w:val="0053185E"/>
    <w:rsid w:val="00531865"/>
    <w:rsid w:val="0053188A"/>
    <w:rsid w:val="00531927"/>
    <w:rsid w:val="0053194C"/>
    <w:rsid w:val="0053195E"/>
    <w:rsid w:val="00531960"/>
    <w:rsid w:val="005319A4"/>
    <w:rsid w:val="005319DC"/>
    <w:rsid w:val="005319E8"/>
    <w:rsid w:val="005319F4"/>
    <w:rsid w:val="00531A2B"/>
    <w:rsid w:val="00531A6C"/>
    <w:rsid w:val="00531A85"/>
    <w:rsid w:val="00531A92"/>
    <w:rsid w:val="00531A99"/>
    <w:rsid w:val="00531B0F"/>
    <w:rsid w:val="00531B1B"/>
    <w:rsid w:val="00531B20"/>
    <w:rsid w:val="00531B30"/>
    <w:rsid w:val="00531B6A"/>
    <w:rsid w:val="00531B83"/>
    <w:rsid w:val="00531BCE"/>
    <w:rsid w:val="00531BEA"/>
    <w:rsid w:val="00531BFF"/>
    <w:rsid w:val="00531C68"/>
    <w:rsid w:val="00531CB5"/>
    <w:rsid w:val="00531D08"/>
    <w:rsid w:val="00531D5C"/>
    <w:rsid w:val="00531D96"/>
    <w:rsid w:val="00531DB2"/>
    <w:rsid w:val="00531DB4"/>
    <w:rsid w:val="00531DF5"/>
    <w:rsid w:val="00531E06"/>
    <w:rsid w:val="00531E1C"/>
    <w:rsid w:val="00531E1D"/>
    <w:rsid w:val="00531E53"/>
    <w:rsid w:val="00531E59"/>
    <w:rsid w:val="00531ED0"/>
    <w:rsid w:val="00531FC2"/>
    <w:rsid w:val="00531FD1"/>
    <w:rsid w:val="00531FE2"/>
    <w:rsid w:val="00531FE6"/>
    <w:rsid w:val="00531FF0"/>
    <w:rsid w:val="00532049"/>
    <w:rsid w:val="0053206F"/>
    <w:rsid w:val="00532071"/>
    <w:rsid w:val="0053207B"/>
    <w:rsid w:val="00532080"/>
    <w:rsid w:val="005320D8"/>
    <w:rsid w:val="005320E2"/>
    <w:rsid w:val="005320E7"/>
    <w:rsid w:val="005320F3"/>
    <w:rsid w:val="00532137"/>
    <w:rsid w:val="0053213F"/>
    <w:rsid w:val="00532161"/>
    <w:rsid w:val="0053217C"/>
    <w:rsid w:val="0053217F"/>
    <w:rsid w:val="00532182"/>
    <w:rsid w:val="005321F6"/>
    <w:rsid w:val="005321FD"/>
    <w:rsid w:val="00532213"/>
    <w:rsid w:val="0053225B"/>
    <w:rsid w:val="00532299"/>
    <w:rsid w:val="005322D9"/>
    <w:rsid w:val="00532355"/>
    <w:rsid w:val="00532393"/>
    <w:rsid w:val="005323A5"/>
    <w:rsid w:val="005323D0"/>
    <w:rsid w:val="00532437"/>
    <w:rsid w:val="005324AB"/>
    <w:rsid w:val="005324B7"/>
    <w:rsid w:val="0053250B"/>
    <w:rsid w:val="0053254D"/>
    <w:rsid w:val="00532583"/>
    <w:rsid w:val="00532596"/>
    <w:rsid w:val="005325A9"/>
    <w:rsid w:val="005325CE"/>
    <w:rsid w:val="005325EA"/>
    <w:rsid w:val="00532612"/>
    <w:rsid w:val="0053262D"/>
    <w:rsid w:val="00532693"/>
    <w:rsid w:val="005326BC"/>
    <w:rsid w:val="005326D0"/>
    <w:rsid w:val="005326F6"/>
    <w:rsid w:val="0053271A"/>
    <w:rsid w:val="00532767"/>
    <w:rsid w:val="005327AD"/>
    <w:rsid w:val="005327D2"/>
    <w:rsid w:val="005327D9"/>
    <w:rsid w:val="005327E4"/>
    <w:rsid w:val="005327E6"/>
    <w:rsid w:val="005327E7"/>
    <w:rsid w:val="005327F1"/>
    <w:rsid w:val="00532800"/>
    <w:rsid w:val="00532838"/>
    <w:rsid w:val="00532851"/>
    <w:rsid w:val="00532881"/>
    <w:rsid w:val="0053288C"/>
    <w:rsid w:val="005328D1"/>
    <w:rsid w:val="005328E2"/>
    <w:rsid w:val="0053298A"/>
    <w:rsid w:val="00532A34"/>
    <w:rsid w:val="00532AA8"/>
    <w:rsid w:val="00532B37"/>
    <w:rsid w:val="00532B5A"/>
    <w:rsid w:val="00532B76"/>
    <w:rsid w:val="00532BB7"/>
    <w:rsid w:val="00532C1D"/>
    <w:rsid w:val="00532CC2"/>
    <w:rsid w:val="00532CE9"/>
    <w:rsid w:val="00532CEA"/>
    <w:rsid w:val="00532CFF"/>
    <w:rsid w:val="00532D16"/>
    <w:rsid w:val="00532D1A"/>
    <w:rsid w:val="00532D1B"/>
    <w:rsid w:val="00532D65"/>
    <w:rsid w:val="00532D9B"/>
    <w:rsid w:val="00532DC2"/>
    <w:rsid w:val="00532DC6"/>
    <w:rsid w:val="00532E57"/>
    <w:rsid w:val="00532E90"/>
    <w:rsid w:val="00532E9B"/>
    <w:rsid w:val="00532EBB"/>
    <w:rsid w:val="00532EC5"/>
    <w:rsid w:val="00532EDC"/>
    <w:rsid w:val="00532EF2"/>
    <w:rsid w:val="00532F6F"/>
    <w:rsid w:val="00532F9E"/>
    <w:rsid w:val="0053301F"/>
    <w:rsid w:val="00533022"/>
    <w:rsid w:val="0053304B"/>
    <w:rsid w:val="0053304D"/>
    <w:rsid w:val="00533068"/>
    <w:rsid w:val="005330A8"/>
    <w:rsid w:val="00533134"/>
    <w:rsid w:val="00533159"/>
    <w:rsid w:val="0053318A"/>
    <w:rsid w:val="005331AD"/>
    <w:rsid w:val="005331B6"/>
    <w:rsid w:val="00533221"/>
    <w:rsid w:val="00533296"/>
    <w:rsid w:val="005332BE"/>
    <w:rsid w:val="005332DC"/>
    <w:rsid w:val="0053332A"/>
    <w:rsid w:val="00533355"/>
    <w:rsid w:val="005333D6"/>
    <w:rsid w:val="005333F5"/>
    <w:rsid w:val="0053341E"/>
    <w:rsid w:val="0053346A"/>
    <w:rsid w:val="00533474"/>
    <w:rsid w:val="00533495"/>
    <w:rsid w:val="005334F1"/>
    <w:rsid w:val="00533502"/>
    <w:rsid w:val="00533566"/>
    <w:rsid w:val="00533569"/>
    <w:rsid w:val="0053357D"/>
    <w:rsid w:val="00533599"/>
    <w:rsid w:val="005335A7"/>
    <w:rsid w:val="005335AF"/>
    <w:rsid w:val="005335BC"/>
    <w:rsid w:val="005335E3"/>
    <w:rsid w:val="00533612"/>
    <w:rsid w:val="00533638"/>
    <w:rsid w:val="005336A3"/>
    <w:rsid w:val="005336A6"/>
    <w:rsid w:val="005336CC"/>
    <w:rsid w:val="005336FA"/>
    <w:rsid w:val="00533748"/>
    <w:rsid w:val="00533768"/>
    <w:rsid w:val="005337A6"/>
    <w:rsid w:val="005337B4"/>
    <w:rsid w:val="005337EE"/>
    <w:rsid w:val="005337FA"/>
    <w:rsid w:val="005337FB"/>
    <w:rsid w:val="0053385F"/>
    <w:rsid w:val="00533876"/>
    <w:rsid w:val="00533896"/>
    <w:rsid w:val="005338A1"/>
    <w:rsid w:val="005338B3"/>
    <w:rsid w:val="005339BC"/>
    <w:rsid w:val="005339C5"/>
    <w:rsid w:val="00533A4F"/>
    <w:rsid w:val="00533A77"/>
    <w:rsid w:val="00533AA1"/>
    <w:rsid w:val="00533AC3"/>
    <w:rsid w:val="00533AC7"/>
    <w:rsid w:val="00533AE5"/>
    <w:rsid w:val="00533B3C"/>
    <w:rsid w:val="00533B79"/>
    <w:rsid w:val="00533BBD"/>
    <w:rsid w:val="00533BD5"/>
    <w:rsid w:val="00533C08"/>
    <w:rsid w:val="00533C63"/>
    <w:rsid w:val="00533C78"/>
    <w:rsid w:val="00533CAC"/>
    <w:rsid w:val="00533CB7"/>
    <w:rsid w:val="00533CBB"/>
    <w:rsid w:val="00533CF3"/>
    <w:rsid w:val="00533D32"/>
    <w:rsid w:val="00533D46"/>
    <w:rsid w:val="00533D4F"/>
    <w:rsid w:val="00533D6C"/>
    <w:rsid w:val="00533D7A"/>
    <w:rsid w:val="00533D92"/>
    <w:rsid w:val="00533DB7"/>
    <w:rsid w:val="00533DB9"/>
    <w:rsid w:val="00533DBD"/>
    <w:rsid w:val="00533DF8"/>
    <w:rsid w:val="00533E54"/>
    <w:rsid w:val="00533E6A"/>
    <w:rsid w:val="00533E7F"/>
    <w:rsid w:val="00533E83"/>
    <w:rsid w:val="00533E9A"/>
    <w:rsid w:val="00533EEA"/>
    <w:rsid w:val="00533F02"/>
    <w:rsid w:val="00533F05"/>
    <w:rsid w:val="00533F68"/>
    <w:rsid w:val="00533F7B"/>
    <w:rsid w:val="00533F8D"/>
    <w:rsid w:val="00533F94"/>
    <w:rsid w:val="00533FB5"/>
    <w:rsid w:val="00534096"/>
    <w:rsid w:val="005340B3"/>
    <w:rsid w:val="005340BB"/>
    <w:rsid w:val="0053415F"/>
    <w:rsid w:val="00534177"/>
    <w:rsid w:val="005341A2"/>
    <w:rsid w:val="0053421A"/>
    <w:rsid w:val="0053422A"/>
    <w:rsid w:val="0053422C"/>
    <w:rsid w:val="00534266"/>
    <w:rsid w:val="005342B4"/>
    <w:rsid w:val="005342EA"/>
    <w:rsid w:val="00534317"/>
    <w:rsid w:val="00534393"/>
    <w:rsid w:val="0053439F"/>
    <w:rsid w:val="00534411"/>
    <w:rsid w:val="00534427"/>
    <w:rsid w:val="0053443A"/>
    <w:rsid w:val="00534443"/>
    <w:rsid w:val="0053447C"/>
    <w:rsid w:val="0053448A"/>
    <w:rsid w:val="0053449B"/>
    <w:rsid w:val="005344D1"/>
    <w:rsid w:val="005344D8"/>
    <w:rsid w:val="005344F1"/>
    <w:rsid w:val="00534524"/>
    <w:rsid w:val="00534561"/>
    <w:rsid w:val="00534585"/>
    <w:rsid w:val="005345F1"/>
    <w:rsid w:val="0053463A"/>
    <w:rsid w:val="00534640"/>
    <w:rsid w:val="00534695"/>
    <w:rsid w:val="0053469D"/>
    <w:rsid w:val="00534758"/>
    <w:rsid w:val="005347A5"/>
    <w:rsid w:val="005347C8"/>
    <w:rsid w:val="005347D4"/>
    <w:rsid w:val="005347E9"/>
    <w:rsid w:val="00534811"/>
    <w:rsid w:val="00534889"/>
    <w:rsid w:val="0053488D"/>
    <w:rsid w:val="005348AB"/>
    <w:rsid w:val="005348BD"/>
    <w:rsid w:val="005348CE"/>
    <w:rsid w:val="005348D5"/>
    <w:rsid w:val="005348DE"/>
    <w:rsid w:val="005348E2"/>
    <w:rsid w:val="005348E6"/>
    <w:rsid w:val="00534904"/>
    <w:rsid w:val="00534918"/>
    <w:rsid w:val="00534942"/>
    <w:rsid w:val="00534976"/>
    <w:rsid w:val="0053499B"/>
    <w:rsid w:val="005349C0"/>
    <w:rsid w:val="005349D0"/>
    <w:rsid w:val="005349E8"/>
    <w:rsid w:val="00534A5A"/>
    <w:rsid w:val="00534A8D"/>
    <w:rsid w:val="00534AB1"/>
    <w:rsid w:val="00534AE8"/>
    <w:rsid w:val="00534B26"/>
    <w:rsid w:val="00534B5F"/>
    <w:rsid w:val="00534B97"/>
    <w:rsid w:val="00534C25"/>
    <w:rsid w:val="00534C32"/>
    <w:rsid w:val="00534C6C"/>
    <w:rsid w:val="00534CDA"/>
    <w:rsid w:val="00534CE7"/>
    <w:rsid w:val="00534D28"/>
    <w:rsid w:val="00534D2C"/>
    <w:rsid w:val="00534D53"/>
    <w:rsid w:val="00534D58"/>
    <w:rsid w:val="00534DA1"/>
    <w:rsid w:val="00534DAA"/>
    <w:rsid w:val="00534DD0"/>
    <w:rsid w:val="00534DD6"/>
    <w:rsid w:val="00534DE9"/>
    <w:rsid w:val="00534E70"/>
    <w:rsid w:val="00534E9C"/>
    <w:rsid w:val="00534EAB"/>
    <w:rsid w:val="00534EE1"/>
    <w:rsid w:val="00534EF4"/>
    <w:rsid w:val="00534EFF"/>
    <w:rsid w:val="00534F0A"/>
    <w:rsid w:val="00534F57"/>
    <w:rsid w:val="00534FCB"/>
    <w:rsid w:val="00534FDE"/>
    <w:rsid w:val="00535003"/>
    <w:rsid w:val="00535015"/>
    <w:rsid w:val="00535035"/>
    <w:rsid w:val="0053504A"/>
    <w:rsid w:val="0053504F"/>
    <w:rsid w:val="00535063"/>
    <w:rsid w:val="005350A6"/>
    <w:rsid w:val="005350AD"/>
    <w:rsid w:val="005350F8"/>
    <w:rsid w:val="0053512A"/>
    <w:rsid w:val="00535150"/>
    <w:rsid w:val="00535180"/>
    <w:rsid w:val="00535190"/>
    <w:rsid w:val="005351A7"/>
    <w:rsid w:val="005351AF"/>
    <w:rsid w:val="0053521D"/>
    <w:rsid w:val="00535266"/>
    <w:rsid w:val="00535291"/>
    <w:rsid w:val="00535316"/>
    <w:rsid w:val="0053533E"/>
    <w:rsid w:val="0053534E"/>
    <w:rsid w:val="00535393"/>
    <w:rsid w:val="005353B7"/>
    <w:rsid w:val="005353E6"/>
    <w:rsid w:val="00535403"/>
    <w:rsid w:val="00535410"/>
    <w:rsid w:val="0053542C"/>
    <w:rsid w:val="00535472"/>
    <w:rsid w:val="005354B3"/>
    <w:rsid w:val="005354EC"/>
    <w:rsid w:val="00535528"/>
    <w:rsid w:val="0053553F"/>
    <w:rsid w:val="00535545"/>
    <w:rsid w:val="00535585"/>
    <w:rsid w:val="005355A3"/>
    <w:rsid w:val="005355C3"/>
    <w:rsid w:val="005355D6"/>
    <w:rsid w:val="005355FA"/>
    <w:rsid w:val="005356BD"/>
    <w:rsid w:val="005356CE"/>
    <w:rsid w:val="00535701"/>
    <w:rsid w:val="0053572F"/>
    <w:rsid w:val="00535736"/>
    <w:rsid w:val="00535748"/>
    <w:rsid w:val="0053575A"/>
    <w:rsid w:val="00535771"/>
    <w:rsid w:val="005357CE"/>
    <w:rsid w:val="00535826"/>
    <w:rsid w:val="00535866"/>
    <w:rsid w:val="0053586A"/>
    <w:rsid w:val="0053589B"/>
    <w:rsid w:val="0053594F"/>
    <w:rsid w:val="0053596A"/>
    <w:rsid w:val="0053597A"/>
    <w:rsid w:val="0053598C"/>
    <w:rsid w:val="005359AD"/>
    <w:rsid w:val="005359CE"/>
    <w:rsid w:val="005359D2"/>
    <w:rsid w:val="005359FA"/>
    <w:rsid w:val="005359FB"/>
    <w:rsid w:val="00535A34"/>
    <w:rsid w:val="00535A69"/>
    <w:rsid w:val="00535A7B"/>
    <w:rsid w:val="00535B15"/>
    <w:rsid w:val="00535B20"/>
    <w:rsid w:val="00535B55"/>
    <w:rsid w:val="00535BD2"/>
    <w:rsid w:val="00535BE1"/>
    <w:rsid w:val="00535C15"/>
    <w:rsid w:val="00535C99"/>
    <w:rsid w:val="00535C9D"/>
    <w:rsid w:val="00535CA2"/>
    <w:rsid w:val="00535CB6"/>
    <w:rsid w:val="00535D05"/>
    <w:rsid w:val="00535D52"/>
    <w:rsid w:val="00535D5B"/>
    <w:rsid w:val="00535DC5"/>
    <w:rsid w:val="00535DD8"/>
    <w:rsid w:val="00535EB0"/>
    <w:rsid w:val="00535EEA"/>
    <w:rsid w:val="00535F15"/>
    <w:rsid w:val="00535F17"/>
    <w:rsid w:val="00535F67"/>
    <w:rsid w:val="00535F85"/>
    <w:rsid w:val="00535FAF"/>
    <w:rsid w:val="00535FC6"/>
    <w:rsid w:val="00535FEE"/>
    <w:rsid w:val="00536011"/>
    <w:rsid w:val="00536015"/>
    <w:rsid w:val="0053605F"/>
    <w:rsid w:val="0053607F"/>
    <w:rsid w:val="005360A9"/>
    <w:rsid w:val="005360D1"/>
    <w:rsid w:val="005360DC"/>
    <w:rsid w:val="00536141"/>
    <w:rsid w:val="0053614D"/>
    <w:rsid w:val="0053615F"/>
    <w:rsid w:val="00536194"/>
    <w:rsid w:val="005361DF"/>
    <w:rsid w:val="005361F9"/>
    <w:rsid w:val="0053620E"/>
    <w:rsid w:val="00536277"/>
    <w:rsid w:val="00536296"/>
    <w:rsid w:val="005362C6"/>
    <w:rsid w:val="0053630A"/>
    <w:rsid w:val="00536314"/>
    <w:rsid w:val="0053635E"/>
    <w:rsid w:val="005363A0"/>
    <w:rsid w:val="005363CE"/>
    <w:rsid w:val="00536421"/>
    <w:rsid w:val="00536455"/>
    <w:rsid w:val="005364C2"/>
    <w:rsid w:val="005364F4"/>
    <w:rsid w:val="00536514"/>
    <w:rsid w:val="0053652C"/>
    <w:rsid w:val="0053656D"/>
    <w:rsid w:val="0053658A"/>
    <w:rsid w:val="005365A4"/>
    <w:rsid w:val="005365F6"/>
    <w:rsid w:val="00536647"/>
    <w:rsid w:val="005366A9"/>
    <w:rsid w:val="005366C9"/>
    <w:rsid w:val="00536717"/>
    <w:rsid w:val="00536750"/>
    <w:rsid w:val="0053677D"/>
    <w:rsid w:val="00536795"/>
    <w:rsid w:val="005367A6"/>
    <w:rsid w:val="005367BA"/>
    <w:rsid w:val="005367DC"/>
    <w:rsid w:val="005368C6"/>
    <w:rsid w:val="005368CB"/>
    <w:rsid w:val="005368E6"/>
    <w:rsid w:val="005368ED"/>
    <w:rsid w:val="005368FF"/>
    <w:rsid w:val="00536914"/>
    <w:rsid w:val="0053694D"/>
    <w:rsid w:val="00536953"/>
    <w:rsid w:val="00536961"/>
    <w:rsid w:val="00536991"/>
    <w:rsid w:val="005369A5"/>
    <w:rsid w:val="005369CA"/>
    <w:rsid w:val="005369E5"/>
    <w:rsid w:val="00536A38"/>
    <w:rsid w:val="00536A64"/>
    <w:rsid w:val="00536A73"/>
    <w:rsid w:val="00536A8D"/>
    <w:rsid w:val="00536AD0"/>
    <w:rsid w:val="00536ADC"/>
    <w:rsid w:val="00536AEB"/>
    <w:rsid w:val="00536AF8"/>
    <w:rsid w:val="00536AFF"/>
    <w:rsid w:val="00536B9F"/>
    <w:rsid w:val="00536BA2"/>
    <w:rsid w:val="00536BB2"/>
    <w:rsid w:val="00536BCC"/>
    <w:rsid w:val="00536BF7"/>
    <w:rsid w:val="00536C31"/>
    <w:rsid w:val="00536C4E"/>
    <w:rsid w:val="00536C55"/>
    <w:rsid w:val="00536CC5"/>
    <w:rsid w:val="00536D54"/>
    <w:rsid w:val="00536DAB"/>
    <w:rsid w:val="00536DD1"/>
    <w:rsid w:val="00536E0E"/>
    <w:rsid w:val="00536E42"/>
    <w:rsid w:val="00536EDA"/>
    <w:rsid w:val="00536EEF"/>
    <w:rsid w:val="00536EF0"/>
    <w:rsid w:val="00536F26"/>
    <w:rsid w:val="00536F37"/>
    <w:rsid w:val="00536F39"/>
    <w:rsid w:val="00536FB6"/>
    <w:rsid w:val="00536FF8"/>
    <w:rsid w:val="0053700D"/>
    <w:rsid w:val="0053707F"/>
    <w:rsid w:val="00537087"/>
    <w:rsid w:val="00537110"/>
    <w:rsid w:val="00537125"/>
    <w:rsid w:val="0053715D"/>
    <w:rsid w:val="0053716D"/>
    <w:rsid w:val="005371A2"/>
    <w:rsid w:val="005371B6"/>
    <w:rsid w:val="005371BD"/>
    <w:rsid w:val="005371D2"/>
    <w:rsid w:val="00537260"/>
    <w:rsid w:val="00537282"/>
    <w:rsid w:val="005372A6"/>
    <w:rsid w:val="005372B8"/>
    <w:rsid w:val="0053731C"/>
    <w:rsid w:val="00537339"/>
    <w:rsid w:val="0053736C"/>
    <w:rsid w:val="00537379"/>
    <w:rsid w:val="00537387"/>
    <w:rsid w:val="0053738F"/>
    <w:rsid w:val="005373A4"/>
    <w:rsid w:val="005373AF"/>
    <w:rsid w:val="005373C9"/>
    <w:rsid w:val="005373F0"/>
    <w:rsid w:val="00537407"/>
    <w:rsid w:val="0053740D"/>
    <w:rsid w:val="00537424"/>
    <w:rsid w:val="00537442"/>
    <w:rsid w:val="005374A4"/>
    <w:rsid w:val="00537526"/>
    <w:rsid w:val="0053752D"/>
    <w:rsid w:val="00537538"/>
    <w:rsid w:val="00537540"/>
    <w:rsid w:val="00537568"/>
    <w:rsid w:val="005375A5"/>
    <w:rsid w:val="005375D5"/>
    <w:rsid w:val="005375D8"/>
    <w:rsid w:val="005375E8"/>
    <w:rsid w:val="005376A9"/>
    <w:rsid w:val="005376AD"/>
    <w:rsid w:val="005376C4"/>
    <w:rsid w:val="00537707"/>
    <w:rsid w:val="00537721"/>
    <w:rsid w:val="0053772D"/>
    <w:rsid w:val="00537740"/>
    <w:rsid w:val="0053776C"/>
    <w:rsid w:val="0053777C"/>
    <w:rsid w:val="005377C3"/>
    <w:rsid w:val="005377D7"/>
    <w:rsid w:val="005377E1"/>
    <w:rsid w:val="00537806"/>
    <w:rsid w:val="00537846"/>
    <w:rsid w:val="00537896"/>
    <w:rsid w:val="005378C7"/>
    <w:rsid w:val="00537908"/>
    <w:rsid w:val="00537915"/>
    <w:rsid w:val="00537951"/>
    <w:rsid w:val="00537974"/>
    <w:rsid w:val="00537993"/>
    <w:rsid w:val="00537A14"/>
    <w:rsid w:val="00537A5C"/>
    <w:rsid w:val="00537A71"/>
    <w:rsid w:val="00537A72"/>
    <w:rsid w:val="00537A75"/>
    <w:rsid w:val="00537A97"/>
    <w:rsid w:val="00537AB6"/>
    <w:rsid w:val="00537AD0"/>
    <w:rsid w:val="00537AD2"/>
    <w:rsid w:val="00537AF1"/>
    <w:rsid w:val="00537B08"/>
    <w:rsid w:val="00537B42"/>
    <w:rsid w:val="00537B9D"/>
    <w:rsid w:val="00537C05"/>
    <w:rsid w:val="00537C60"/>
    <w:rsid w:val="00537CB6"/>
    <w:rsid w:val="00537CB9"/>
    <w:rsid w:val="00537CBF"/>
    <w:rsid w:val="00537CCA"/>
    <w:rsid w:val="00537CF2"/>
    <w:rsid w:val="00537D0D"/>
    <w:rsid w:val="00537D6F"/>
    <w:rsid w:val="00537D79"/>
    <w:rsid w:val="00537D99"/>
    <w:rsid w:val="00537DAE"/>
    <w:rsid w:val="00537DB1"/>
    <w:rsid w:val="00537DB3"/>
    <w:rsid w:val="00537DB4"/>
    <w:rsid w:val="00537DF6"/>
    <w:rsid w:val="00537E02"/>
    <w:rsid w:val="00537E13"/>
    <w:rsid w:val="00537E28"/>
    <w:rsid w:val="00537E42"/>
    <w:rsid w:val="00537E47"/>
    <w:rsid w:val="00537E4B"/>
    <w:rsid w:val="00537E57"/>
    <w:rsid w:val="00537E77"/>
    <w:rsid w:val="00537E7A"/>
    <w:rsid w:val="00537E86"/>
    <w:rsid w:val="00537EA6"/>
    <w:rsid w:val="00537EB3"/>
    <w:rsid w:val="00537F4F"/>
    <w:rsid w:val="00537F74"/>
    <w:rsid w:val="00537F85"/>
    <w:rsid w:val="00537FAB"/>
    <w:rsid w:val="00537FBD"/>
    <w:rsid w:val="00537FD0"/>
    <w:rsid w:val="00540006"/>
    <w:rsid w:val="0054000E"/>
    <w:rsid w:val="0054006E"/>
    <w:rsid w:val="005400F2"/>
    <w:rsid w:val="00540144"/>
    <w:rsid w:val="005401A7"/>
    <w:rsid w:val="005401AC"/>
    <w:rsid w:val="005401D8"/>
    <w:rsid w:val="005401DF"/>
    <w:rsid w:val="00540287"/>
    <w:rsid w:val="00540296"/>
    <w:rsid w:val="005402CF"/>
    <w:rsid w:val="005402EA"/>
    <w:rsid w:val="005402FC"/>
    <w:rsid w:val="00540315"/>
    <w:rsid w:val="0054032D"/>
    <w:rsid w:val="005403BC"/>
    <w:rsid w:val="005403D1"/>
    <w:rsid w:val="005403E3"/>
    <w:rsid w:val="00540437"/>
    <w:rsid w:val="00540457"/>
    <w:rsid w:val="005404BC"/>
    <w:rsid w:val="005404F1"/>
    <w:rsid w:val="005404FA"/>
    <w:rsid w:val="00540507"/>
    <w:rsid w:val="0054050D"/>
    <w:rsid w:val="0054053C"/>
    <w:rsid w:val="00540568"/>
    <w:rsid w:val="00540581"/>
    <w:rsid w:val="005405DA"/>
    <w:rsid w:val="005405F0"/>
    <w:rsid w:val="0054063C"/>
    <w:rsid w:val="00540652"/>
    <w:rsid w:val="00540685"/>
    <w:rsid w:val="005406A4"/>
    <w:rsid w:val="005406D5"/>
    <w:rsid w:val="005406F1"/>
    <w:rsid w:val="00540704"/>
    <w:rsid w:val="0054075A"/>
    <w:rsid w:val="00540761"/>
    <w:rsid w:val="00540798"/>
    <w:rsid w:val="0054079B"/>
    <w:rsid w:val="0054079E"/>
    <w:rsid w:val="005407D7"/>
    <w:rsid w:val="005407FA"/>
    <w:rsid w:val="00540809"/>
    <w:rsid w:val="0054080F"/>
    <w:rsid w:val="00540831"/>
    <w:rsid w:val="0054085E"/>
    <w:rsid w:val="0054086D"/>
    <w:rsid w:val="00540870"/>
    <w:rsid w:val="00540882"/>
    <w:rsid w:val="005408F8"/>
    <w:rsid w:val="00540904"/>
    <w:rsid w:val="00540924"/>
    <w:rsid w:val="00540962"/>
    <w:rsid w:val="00540965"/>
    <w:rsid w:val="005409B7"/>
    <w:rsid w:val="005409FF"/>
    <w:rsid w:val="00540A1D"/>
    <w:rsid w:val="00540A34"/>
    <w:rsid w:val="00540A7A"/>
    <w:rsid w:val="00540A82"/>
    <w:rsid w:val="00540A87"/>
    <w:rsid w:val="00540AA0"/>
    <w:rsid w:val="00540B1F"/>
    <w:rsid w:val="00540B5A"/>
    <w:rsid w:val="00540B95"/>
    <w:rsid w:val="00540B96"/>
    <w:rsid w:val="00540BDA"/>
    <w:rsid w:val="00540C0B"/>
    <w:rsid w:val="00540C42"/>
    <w:rsid w:val="00540CDB"/>
    <w:rsid w:val="00540D2E"/>
    <w:rsid w:val="00540D3E"/>
    <w:rsid w:val="00540D63"/>
    <w:rsid w:val="00540DA7"/>
    <w:rsid w:val="00540DE0"/>
    <w:rsid w:val="00540DF7"/>
    <w:rsid w:val="00540E3F"/>
    <w:rsid w:val="00540E82"/>
    <w:rsid w:val="00540E85"/>
    <w:rsid w:val="00540EAB"/>
    <w:rsid w:val="00540EAF"/>
    <w:rsid w:val="00540F0E"/>
    <w:rsid w:val="00540FA2"/>
    <w:rsid w:val="00540FB0"/>
    <w:rsid w:val="00540FE1"/>
    <w:rsid w:val="00541009"/>
    <w:rsid w:val="00541030"/>
    <w:rsid w:val="00541053"/>
    <w:rsid w:val="00541063"/>
    <w:rsid w:val="00541067"/>
    <w:rsid w:val="00541071"/>
    <w:rsid w:val="005410A5"/>
    <w:rsid w:val="005410AF"/>
    <w:rsid w:val="005410C5"/>
    <w:rsid w:val="005410F7"/>
    <w:rsid w:val="00541127"/>
    <w:rsid w:val="00541177"/>
    <w:rsid w:val="005411B4"/>
    <w:rsid w:val="005411BB"/>
    <w:rsid w:val="005411DF"/>
    <w:rsid w:val="0054125C"/>
    <w:rsid w:val="00541261"/>
    <w:rsid w:val="00541266"/>
    <w:rsid w:val="00541284"/>
    <w:rsid w:val="00541336"/>
    <w:rsid w:val="005413AF"/>
    <w:rsid w:val="005413B9"/>
    <w:rsid w:val="005413DA"/>
    <w:rsid w:val="00541420"/>
    <w:rsid w:val="0054142C"/>
    <w:rsid w:val="00541448"/>
    <w:rsid w:val="0054145A"/>
    <w:rsid w:val="00541476"/>
    <w:rsid w:val="0054149D"/>
    <w:rsid w:val="005414B2"/>
    <w:rsid w:val="005414EA"/>
    <w:rsid w:val="0054150A"/>
    <w:rsid w:val="00541515"/>
    <w:rsid w:val="005415CB"/>
    <w:rsid w:val="005415D6"/>
    <w:rsid w:val="005415F0"/>
    <w:rsid w:val="005415FE"/>
    <w:rsid w:val="0054161D"/>
    <w:rsid w:val="0054161E"/>
    <w:rsid w:val="0054161F"/>
    <w:rsid w:val="0054167A"/>
    <w:rsid w:val="00541734"/>
    <w:rsid w:val="00541775"/>
    <w:rsid w:val="00541808"/>
    <w:rsid w:val="00541834"/>
    <w:rsid w:val="0054187C"/>
    <w:rsid w:val="00541900"/>
    <w:rsid w:val="00541918"/>
    <w:rsid w:val="00541931"/>
    <w:rsid w:val="00541948"/>
    <w:rsid w:val="0054194B"/>
    <w:rsid w:val="00541991"/>
    <w:rsid w:val="0054199A"/>
    <w:rsid w:val="005419A2"/>
    <w:rsid w:val="005419EB"/>
    <w:rsid w:val="005419F3"/>
    <w:rsid w:val="005419F6"/>
    <w:rsid w:val="00541A05"/>
    <w:rsid w:val="00541A5B"/>
    <w:rsid w:val="00541ACC"/>
    <w:rsid w:val="00541AE2"/>
    <w:rsid w:val="00541B5C"/>
    <w:rsid w:val="00541B6F"/>
    <w:rsid w:val="00541B88"/>
    <w:rsid w:val="00541B8E"/>
    <w:rsid w:val="00541C00"/>
    <w:rsid w:val="00541C16"/>
    <w:rsid w:val="00541C20"/>
    <w:rsid w:val="00541C2F"/>
    <w:rsid w:val="00541C5C"/>
    <w:rsid w:val="00541C65"/>
    <w:rsid w:val="00541CA3"/>
    <w:rsid w:val="00541CBC"/>
    <w:rsid w:val="00541CE1"/>
    <w:rsid w:val="00541D34"/>
    <w:rsid w:val="00541D42"/>
    <w:rsid w:val="00541D5B"/>
    <w:rsid w:val="00541DA2"/>
    <w:rsid w:val="00541DE3"/>
    <w:rsid w:val="00541E21"/>
    <w:rsid w:val="00541E62"/>
    <w:rsid w:val="00541EBD"/>
    <w:rsid w:val="00541ED8"/>
    <w:rsid w:val="00541F01"/>
    <w:rsid w:val="00541F2A"/>
    <w:rsid w:val="00541F2B"/>
    <w:rsid w:val="00541F5F"/>
    <w:rsid w:val="00541F70"/>
    <w:rsid w:val="00541FA9"/>
    <w:rsid w:val="00541FAA"/>
    <w:rsid w:val="00541FC7"/>
    <w:rsid w:val="00541FF8"/>
    <w:rsid w:val="00542000"/>
    <w:rsid w:val="00542052"/>
    <w:rsid w:val="00542054"/>
    <w:rsid w:val="0054206F"/>
    <w:rsid w:val="005420D4"/>
    <w:rsid w:val="005420EF"/>
    <w:rsid w:val="005420F7"/>
    <w:rsid w:val="00542109"/>
    <w:rsid w:val="00542153"/>
    <w:rsid w:val="005421CC"/>
    <w:rsid w:val="005421E8"/>
    <w:rsid w:val="0054228C"/>
    <w:rsid w:val="005422A5"/>
    <w:rsid w:val="005422CB"/>
    <w:rsid w:val="00542328"/>
    <w:rsid w:val="00542352"/>
    <w:rsid w:val="0054235F"/>
    <w:rsid w:val="00542376"/>
    <w:rsid w:val="005423D1"/>
    <w:rsid w:val="0054246E"/>
    <w:rsid w:val="00542470"/>
    <w:rsid w:val="00542494"/>
    <w:rsid w:val="0054249E"/>
    <w:rsid w:val="005425A3"/>
    <w:rsid w:val="005425AA"/>
    <w:rsid w:val="005425B9"/>
    <w:rsid w:val="005425C8"/>
    <w:rsid w:val="00542618"/>
    <w:rsid w:val="00542624"/>
    <w:rsid w:val="0054269D"/>
    <w:rsid w:val="00542772"/>
    <w:rsid w:val="0054278C"/>
    <w:rsid w:val="0054279A"/>
    <w:rsid w:val="005427AE"/>
    <w:rsid w:val="005427B4"/>
    <w:rsid w:val="00542844"/>
    <w:rsid w:val="00542859"/>
    <w:rsid w:val="00542860"/>
    <w:rsid w:val="00542883"/>
    <w:rsid w:val="0054289F"/>
    <w:rsid w:val="005428A7"/>
    <w:rsid w:val="0054293C"/>
    <w:rsid w:val="0054293E"/>
    <w:rsid w:val="0054296A"/>
    <w:rsid w:val="00542989"/>
    <w:rsid w:val="0054299E"/>
    <w:rsid w:val="005429CC"/>
    <w:rsid w:val="005429E1"/>
    <w:rsid w:val="005429FE"/>
    <w:rsid w:val="00542A1F"/>
    <w:rsid w:val="00542A8A"/>
    <w:rsid w:val="00542ACE"/>
    <w:rsid w:val="00542B17"/>
    <w:rsid w:val="00542BBD"/>
    <w:rsid w:val="00542BFC"/>
    <w:rsid w:val="00542C20"/>
    <w:rsid w:val="00542C4F"/>
    <w:rsid w:val="00542C68"/>
    <w:rsid w:val="00542C6D"/>
    <w:rsid w:val="00542C92"/>
    <w:rsid w:val="00542CB0"/>
    <w:rsid w:val="00542CE1"/>
    <w:rsid w:val="00542CEC"/>
    <w:rsid w:val="00542D0E"/>
    <w:rsid w:val="00542D1E"/>
    <w:rsid w:val="00542D27"/>
    <w:rsid w:val="00542D50"/>
    <w:rsid w:val="00542D5F"/>
    <w:rsid w:val="00542D75"/>
    <w:rsid w:val="00542E0C"/>
    <w:rsid w:val="00542E2E"/>
    <w:rsid w:val="00542E48"/>
    <w:rsid w:val="00542EBD"/>
    <w:rsid w:val="00542ECB"/>
    <w:rsid w:val="00542ECC"/>
    <w:rsid w:val="00542ED8"/>
    <w:rsid w:val="00542F21"/>
    <w:rsid w:val="00542F3A"/>
    <w:rsid w:val="00542F5B"/>
    <w:rsid w:val="00542FF4"/>
    <w:rsid w:val="0054303A"/>
    <w:rsid w:val="005430C3"/>
    <w:rsid w:val="005430DF"/>
    <w:rsid w:val="00543151"/>
    <w:rsid w:val="005431B3"/>
    <w:rsid w:val="005431F3"/>
    <w:rsid w:val="00543209"/>
    <w:rsid w:val="00543241"/>
    <w:rsid w:val="005432FD"/>
    <w:rsid w:val="00543314"/>
    <w:rsid w:val="00543389"/>
    <w:rsid w:val="005433C9"/>
    <w:rsid w:val="00543400"/>
    <w:rsid w:val="00543441"/>
    <w:rsid w:val="00543464"/>
    <w:rsid w:val="00543487"/>
    <w:rsid w:val="005434F7"/>
    <w:rsid w:val="00543512"/>
    <w:rsid w:val="005435A3"/>
    <w:rsid w:val="00543608"/>
    <w:rsid w:val="00543629"/>
    <w:rsid w:val="0054362E"/>
    <w:rsid w:val="00543647"/>
    <w:rsid w:val="005436A8"/>
    <w:rsid w:val="005436AD"/>
    <w:rsid w:val="005436C9"/>
    <w:rsid w:val="005436D8"/>
    <w:rsid w:val="00543735"/>
    <w:rsid w:val="00543752"/>
    <w:rsid w:val="00543753"/>
    <w:rsid w:val="0054378D"/>
    <w:rsid w:val="005437C5"/>
    <w:rsid w:val="0054382D"/>
    <w:rsid w:val="00543855"/>
    <w:rsid w:val="0054386F"/>
    <w:rsid w:val="00543925"/>
    <w:rsid w:val="0054397A"/>
    <w:rsid w:val="005439C8"/>
    <w:rsid w:val="005439EA"/>
    <w:rsid w:val="00543A34"/>
    <w:rsid w:val="00543A5D"/>
    <w:rsid w:val="00543A8C"/>
    <w:rsid w:val="00543ADA"/>
    <w:rsid w:val="00543B04"/>
    <w:rsid w:val="00543B42"/>
    <w:rsid w:val="00543B55"/>
    <w:rsid w:val="00543B92"/>
    <w:rsid w:val="00543BA7"/>
    <w:rsid w:val="00543BB2"/>
    <w:rsid w:val="00543BB9"/>
    <w:rsid w:val="00543C72"/>
    <w:rsid w:val="00543CA6"/>
    <w:rsid w:val="00543CC5"/>
    <w:rsid w:val="00543D02"/>
    <w:rsid w:val="00543DA0"/>
    <w:rsid w:val="00543DFA"/>
    <w:rsid w:val="00543DFE"/>
    <w:rsid w:val="00543E01"/>
    <w:rsid w:val="00543E3E"/>
    <w:rsid w:val="00543E49"/>
    <w:rsid w:val="00543E4E"/>
    <w:rsid w:val="00543E5C"/>
    <w:rsid w:val="00543E73"/>
    <w:rsid w:val="00543E8E"/>
    <w:rsid w:val="00543E9E"/>
    <w:rsid w:val="00543EBF"/>
    <w:rsid w:val="00543F49"/>
    <w:rsid w:val="00543F5D"/>
    <w:rsid w:val="00543FD5"/>
    <w:rsid w:val="00543FD7"/>
    <w:rsid w:val="00543FF8"/>
    <w:rsid w:val="00543FFB"/>
    <w:rsid w:val="00543FFD"/>
    <w:rsid w:val="00544000"/>
    <w:rsid w:val="00544024"/>
    <w:rsid w:val="00544035"/>
    <w:rsid w:val="0054403F"/>
    <w:rsid w:val="00544054"/>
    <w:rsid w:val="0054405F"/>
    <w:rsid w:val="005440EC"/>
    <w:rsid w:val="005440F4"/>
    <w:rsid w:val="005440F5"/>
    <w:rsid w:val="00544153"/>
    <w:rsid w:val="00544154"/>
    <w:rsid w:val="005441F7"/>
    <w:rsid w:val="00544200"/>
    <w:rsid w:val="0054422B"/>
    <w:rsid w:val="0054423E"/>
    <w:rsid w:val="0054423F"/>
    <w:rsid w:val="00544244"/>
    <w:rsid w:val="0054424B"/>
    <w:rsid w:val="00544250"/>
    <w:rsid w:val="0054427C"/>
    <w:rsid w:val="00544288"/>
    <w:rsid w:val="00544297"/>
    <w:rsid w:val="005442E5"/>
    <w:rsid w:val="00544351"/>
    <w:rsid w:val="0054436A"/>
    <w:rsid w:val="00544379"/>
    <w:rsid w:val="0054440D"/>
    <w:rsid w:val="0054445E"/>
    <w:rsid w:val="00544472"/>
    <w:rsid w:val="0054447F"/>
    <w:rsid w:val="005444AB"/>
    <w:rsid w:val="005444C5"/>
    <w:rsid w:val="005444DD"/>
    <w:rsid w:val="005444F0"/>
    <w:rsid w:val="0054453B"/>
    <w:rsid w:val="00544557"/>
    <w:rsid w:val="0054455E"/>
    <w:rsid w:val="0054457D"/>
    <w:rsid w:val="005445B2"/>
    <w:rsid w:val="005445B4"/>
    <w:rsid w:val="005445D9"/>
    <w:rsid w:val="005445E9"/>
    <w:rsid w:val="005445EF"/>
    <w:rsid w:val="005445FA"/>
    <w:rsid w:val="0054462B"/>
    <w:rsid w:val="00544699"/>
    <w:rsid w:val="005446B6"/>
    <w:rsid w:val="005446BF"/>
    <w:rsid w:val="005446C6"/>
    <w:rsid w:val="005446FE"/>
    <w:rsid w:val="0054472A"/>
    <w:rsid w:val="00544751"/>
    <w:rsid w:val="005447F8"/>
    <w:rsid w:val="005447FF"/>
    <w:rsid w:val="00544809"/>
    <w:rsid w:val="0054482D"/>
    <w:rsid w:val="00544852"/>
    <w:rsid w:val="00544856"/>
    <w:rsid w:val="00544858"/>
    <w:rsid w:val="0054487B"/>
    <w:rsid w:val="00544899"/>
    <w:rsid w:val="005448FB"/>
    <w:rsid w:val="00544922"/>
    <w:rsid w:val="00544923"/>
    <w:rsid w:val="00544950"/>
    <w:rsid w:val="00544972"/>
    <w:rsid w:val="0054497F"/>
    <w:rsid w:val="00544983"/>
    <w:rsid w:val="00544991"/>
    <w:rsid w:val="00544992"/>
    <w:rsid w:val="005449B5"/>
    <w:rsid w:val="005449D3"/>
    <w:rsid w:val="005449DD"/>
    <w:rsid w:val="005449E0"/>
    <w:rsid w:val="005449FE"/>
    <w:rsid w:val="00544A16"/>
    <w:rsid w:val="00544A84"/>
    <w:rsid w:val="00544AB2"/>
    <w:rsid w:val="00544AB3"/>
    <w:rsid w:val="00544B09"/>
    <w:rsid w:val="00544B0E"/>
    <w:rsid w:val="00544B66"/>
    <w:rsid w:val="00544B9C"/>
    <w:rsid w:val="00544BD7"/>
    <w:rsid w:val="00544C09"/>
    <w:rsid w:val="00544C58"/>
    <w:rsid w:val="00544C7A"/>
    <w:rsid w:val="00544C91"/>
    <w:rsid w:val="00544D0D"/>
    <w:rsid w:val="00544D43"/>
    <w:rsid w:val="00544DA9"/>
    <w:rsid w:val="00544DC1"/>
    <w:rsid w:val="00544E04"/>
    <w:rsid w:val="00544E0F"/>
    <w:rsid w:val="00544E1D"/>
    <w:rsid w:val="00544E24"/>
    <w:rsid w:val="00544E59"/>
    <w:rsid w:val="00544E60"/>
    <w:rsid w:val="00544E64"/>
    <w:rsid w:val="00544E8D"/>
    <w:rsid w:val="00544EDE"/>
    <w:rsid w:val="00544EED"/>
    <w:rsid w:val="00544F0C"/>
    <w:rsid w:val="00544F16"/>
    <w:rsid w:val="00544F83"/>
    <w:rsid w:val="00544FAE"/>
    <w:rsid w:val="00544FBB"/>
    <w:rsid w:val="00544FD2"/>
    <w:rsid w:val="0054502D"/>
    <w:rsid w:val="005450A1"/>
    <w:rsid w:val="005450A6"/>
    <w:rsid w:val="005450CE"/>
    <w:rsid w:val="0054511D"/>
    <w:rsid w:val="00545129"/>
    <w:rsid w:val="0054512A"/>
    <w:rsid w:val="00545150"/>
    <w:rsid w:val="0054518F"/>
    <w:rsid w:val="005451C5"/>
    <w:rsid w:val="005451C7"/>
    <w:rsid w:val="005451D0"/>
    <w:rsid w:val="005451F3"/>
    <w:rsid w:val="0054526F"/>
    <w:rsid w:val="005452E8"/>
    <w:rsid w:val="00545337"/>
    <w:rsid w:val="005453A7"/>
    <w:rsid w:val="005453AF"/>
    <w:rsid w:val="00545432"/>
    <w:rsid w:val="0054543E"/>
    <w:rsid w:val="005454B2"/>
    <w:rsid w:val="005454F8"/>
    <w:rsid w:val="00545537"/>
    <w:rsid w:val="0054553F"/>
    <w:rsid w:val="0054559F"/>
    <w:rsid w:val="005455C1"/>
    <w:rsid w:val="005455EF"/>
    <w:rsid w:val="00545639"/>
    <w:rsid w:val="00545644"/>
    <w:rsid w:val="00545652"/>
    <w:rsid w:val="005456EE"/>
    <w:rsid w:val="00545704"/>
    <w:rsid w:val="0054571A"/>
    <w:rsid w:val="0054573E"/>
    <w:rsid w:val="0054575D"/>
    <w:rsid w:val="005457D5"/>
    <w:rsid w:val="005457EC"/>
    <w:rsid w:val="005457FB"/>
    <w:rsid w:val="005458D1"/>
    <w:rsid w:val="005458E2"/>
    <w:rsid w:val="005458EB"/>
    <w:rsid w:val="005459E7"/>
    <w:rsid w:val="00545A52"/>
    <w:rsid w:val="00545A91"/>
    <w:rsid w:val="00545A94"/>
    <w:rsid w:val="00545AC0"/>
    <w:rsid w:val="00545AD0"/>
    <w:rsid w:val="00545AD8"/>
    <w:rsid w:val="00545B1C"/>
    <w:rsid w:val="00545B65"/>
    <w:rsid w:val="00545B82"/>
    <w:rsid w:val="00545C5A"/>
    <w:rsid w:val="00545CC7"/>
    <w:rsid w:val="00545D38"/>
    <w:rsid w:val="00545D77"/>
    <w:rsid w:val="00545D9E"/>
    <w:rsid w:val="00545E0F"/>
    <w:rsid w:val="00545E5C"/>
    <w:rsid w:val="00545E9B"/>
    <w:rsid w:val="00545EBB"/>
    <w:rsid w:val="00545EF7"/>
    <w:rsid w:val="00545F2D"/>
    <w:rsid w:val="00545F6E"/>
    <w:rsid w:val="00545F75"/>
    <w:rsid w:val="00545F99"/>
    <w:rsid w:val="00545F9C"/>
    <w:rsid w:val="00545FB8"/>
    <w:rsid w:val="00545FC4"/>
    <w:rsid w:val="00546011"/>
    <w:rsid w:val="00546042"/>
    <w:rsid w:val="00546043"/>
    <w:rsid w:val="0054607F"/>
    <w:rsid w:val="0054609D"/>
    <w:rsid w:val="0054609F"/>
    <w:rsid w:val="005460F1"/>
    <w:rsid w:val="0054613A"/>
    <w:rsid w:val="0054618A"/>
    <w:rsid w:val="00546194"/>
    <w:rsid w:val="005461AB"/>
    <w:rsid w:val="005461C8"/>
    <w:rsid w:val="005461D4"/>
    <w:rsid w:val="005461E3"/>
    <w:rsid w:val="00546203"/>
    <w:rsid w:val="0054622D"/>
    <w:rsid w:val="0054624B"/>
    <w:rsid w:val="0054626C"/>
    <w:rsid w:val="005462E8"/>
    <w:rsid w:val="00546303"/>
    <w:rsid w:val="00546351"/>
    <w:rsid w:val="00546378"/>
    <w:rsid w:val="00546387"/>
    <w:rsid w:val="00546445"/>
    <w:rsid w:val="00546461"/>
    <w:rsid w:val="005464F0"/>
    <w:rsid w:val="0054651A"/>
    <w:rsid w:val="00546538"/>
    <w:rsid w:val="00546579"/>
    <w:rsid w:val="005465E6"/>
    <w:rsid w:val="00546621"/>
    <w:rsid w:val="00546655"/>
    <w:rsid w:val="00546659"/>
    <w:rsid w:val="00546681"/>
    <w:rsid w:val="005466B7"/>
    <w:rsid w:val="0054672A"/>
    <w:rsid w:val="00546815"/>
    <w:rsid w:val="0054683A"/>
    <w:rsid w:val="00546840"/>
    <w:rsid w:val="00546880"/>
    <w:rsid w:val="00546882"/>
    <w:rsid w:val="005468C3"/>
    <w:rsid w:val="005468F2"/>
    <w:rsid w:val="00546932"/>
    <w:rsid w:val="00546964"/>
    <w:rsid w:val="00546997"/>
    <w:rsid w:val="005469DF"/>
    <w:rsid w:val="005469F7"/>
    <w:rsid w:val="00546A10"/>
    <w:rsid w:val="00546A2B"/>
    <w:rsid w:val="00546A46"/>
    <w:rsid w:val="00546A58"/>
    <w:rsid w:val="00546A89"/>
    <w:rsid w:val="00546A8E"/>
    <w:rsid w:val="00546A90"/>
    <w:rsid w:val="00546AD7"/>
    <w:rsid w:val="00546AEB"/>
    <w:rsid w:val="00546B1D"/>
    <w:rsid w:val="00546B4D"/>
    <w:rsid w:val="00546C0C"/>
    <w:rsid w:val="00546C13"/>
    <w:rsid w:val="00546C39"/>
    <w:rsid w:val="00546C48"/>
    <w:rsid w:val="00546C65"/>
    <w:rsid w:val="00546C6D"/>
    <w:rsid w:val="00546CF1"/>
    <w:rsid w:val="00546D00"/>
    <w:rsid w:val="00546D0E"/>
    <w:rsid w:val="00546D10"/>
    <w:rsid w:val="00546D1F"/>
    <w:rsid w:val="00546D34"/>
    <w:rsid w:val="00546D5A"/>
    <w:rsid w:val="00546D96"/>
    <w:rsid w:val="00546DDE"/>
    <w:rsid w:val="00546E00"/>
    <w:rsid w:val="00546E07"/>
    <w:rsid w:val="00546E12"/>
    <w:rsid w:val="00546E18"/>
    <w:rsid w:val="00546E30"/>
    <w:rsid w:val="00546EB8"/>
    <w:rsid w:val="00546F07"/>
    <w:rsid w:val="00546F6D"/>
    <w:rsid w:val="00546F87"/>
    <w:rsid w:val="00546FA4"/>
    <w:rsid w:val="00546FB2"/>
    <w:rsid w:val="00546FCC"/>
    <w:rsid w:val="00546FEA"/>
    <w:rsid w:val="00546FF1"/>
    <w:rsid w:val="00546FFB"/>
    <w:rsid w:val="00547026"/>
    <w:rsid w:val="00547040"/>
    <w:rsid w:val="005470D7"/>
    <w:rsid w:val="00547129"/>
    <w:rsid w:val="0054712F"/>
    <w:rsid w:val="0054719A"/>
    <w:rsid w:val="005471C1"/>
    <w:rsid w:val="005471E5"/>
    <w:rsid w:val="00547210"/>
    <w:rsid w:val="00547217"/>
    <w:rsid w:val="0054721E"/>
    <w:rsid w:val="0054721F"/>
    <w:rsid w:val="00547259"/>
    <w:rsid w:val="005472CE"/>
    <w:rsid w:val="005472EA"/>
    <w:rsid w:val="005472F5"/>
    <w:rsid w:val="00547310"/>
    <w:rsid w:val="00547337"/>
    <w:rsid w:val="0054738D"/>
    <w:rsid w:val="005473B7"/>
    <w:rsid w:val="005473F7"/>
    <w:rsid w:val="005474E0"/>
    <w:rsid w:val="005474FF"/>
    <w:rsid w:val="00547513"/>
    <w:rsid w:val="00547542"/>
    <w:rsid w:val="005475E2"/>
    <w:rsid w:val="0054760F"/>
    <w:rsid w:val="00547622"/>
    <w:rsid w:val="0054762A"/>
    <w:rsid w:val="00547656"/>
    <w:rsid w:val="0054766C"/>
    <w:rsid w:val="0054768E"/>
    <w:rsid w:val="005476C2"/>
    <w:rsid w:val="00547727"/>
    <w:rsid w:val="0054774C"/>
    <w:rsid w:val="005477A1"/>
    <w:rsid w:val="00547802"/>
    <w:rsid w:val="00547880"/>
    <w:rsid w:val="005478A4"/>
    <w:rsid w:val="005478FF"/>
    <w:rsid w:val="00547937"/>
    <w:rsid w:val="00547964"/>
    <w:rsid w:val="00547971"/>
    <w:rsid w:val="005479E6"/>
    <w:rsid w:val="00547A46"/>
    <w:rsid w:val="00547A61"/>
    <w:rsid w:val="00547A97"/>
    <w:rsid w:val="00547B80"/>
    <w:rsid w:val="00547BBF"/>
    <w:rsid w:val="00547BEC"/>
    <w:rsid w:val="00547BFC"/>
    <w:rsid w:val="00547C72"/>
    <w:rsid w:val="00547C88"/>
    <w:rsid w:val="00547C97"/>
    <w:rsid w:val="00547CB0"/>
    <w:rsid w:val="00547CC7"/>
    <w:rsid w:val="00547CCB"/>
    <w:rsid w:val="00547CFC"/>
    <w:rsid w:val="00547D1D"/>
    <w:rsid w:val="00547D1F"/>
    <w:rsid w:val="00547D3F"/>
    <w:rsid w:val="00547D5F"/>
    <w:rsid w:val="00547D69"/>
    <w:rsid w:val="00547D92"/>
    <w:rsid w:val="00547D97"/>
    <w:rsid w:val="00547DF1"/>
    <w:rsid w:val="00547DF3"/>
    <w:rsid w:val="00547E0A"/>
    <w:rsid w:val="00547E20"/>
    <w:rsid w:val="00547E27"/>
    <w:rsid w:val="00547E6B"/>
    <w:rsid w:val="00547EF4"/>
    <w:rsid w:val="00547EF8"/>
    <w:rsid w:val="00547F1F"/>
    <w:rsid w:val="00547F2C"/>
    <w:rsid w:val="00547F49"/>
    <w:rsid w:val="00547F7E"/>
    <w:rsid w:val="00550038"/>
    <w:rsid w:val="0055006F"/>
    <w:rsid w:val="0055009F"/>
    <w:rsid w:val="005500A3"/>
    <w:rsid w:val="0055011A"/>
    <w:rsid w:val="0055011C"/>
    <w:rsid w:val="005501AD"/>
    <w:rsid w:val="005501F2"/>
    <w:rsid w:val="0055021B"/>
    <w:rsid w:val="005502C4"/>
    <w:rsid w:val="005502C9"/>
    <w:rsid w:val="0055030A"/>
    <w:rsid w:val="00550320"/>
    <w:rsid w:val="0055032D"/>
    <w:rsid w:val="0055036D"/>
    <w:rsid w:val="00550388"/>
    <w:rsid w:val="0055039F"/>
    <w:rsid w:val="005503D2"/>
    <w:rsid w:val="0055040D"/>
    <w:rsid w:val="005504BB"/>
    <w:rsid w:val="005504CB"/>
    <w:rsid w:val="005504EE"/>
    <w:rsid w:val="005504FC"/>
    <w:rsid w:val="00550509"/>
    <w:rsid w:val="00550517"/>
    <w:rsid w:val="00550532"/>
    <w:rsid w:val="0055053C"/>
    <w:rsid w:val="0055057D"/>
    <w:rsid w:val="005505D2"/>
    <w:rsid w:val="005505DB"/>
    <w:rsid w:val="00550656"/>
    <w:rsid w:val="00550659"/>
    <w:rsid w:val="00550691"/>
    <w:rsid w:val="005506AF"/>
    <w:rsid w:val="005506C9"/>
    <w:rsid w:val="00550704"/>
    <w:rsid w:val="00550716"/>
    <w:rsid w:val="00550745"/>
    <w:rsid w:val="00550748"/>
    <w:rsid w:val="0055074F"/>
    <w:rsid w:val="00550757"/>
    <w:rsid w:val="00550778"/>
    <w:rsid w:val="00550785"/>
    <w:rsid w:val="00550817"/>
    <w:rsid w:val="00550855"/>
    <w:rsid w:val="00550872"/>
    <w:rsid w:val="00550874"/>
    <w:rsid w:val="0055087E"/>
    <w:rsid w:val="0055088D"/>
    <w:rsid w:val="005508C6"/>
    <w:rsid w:val="005508EB"/>
    <w:rsid w:val="005508F7"/>
    <w:rsid w:val="0055090C"/>
    <w:rsid w:val="00550931"/>
    <w:rsid w:val="00550938"/>
    <w:rsid w:val="00550959"/>
    <w:rsid w:val="00550981"/>
    <w:rsid w:val="00550982"/>
    <w:rsid w:val="00550A6A"/>
    <w:rsid w:val="00550A6E"/>
    <w:rsid w:val="00550A7A"/>
    <w:rsid w:val="00550AB2"/>
    <w:rsid w:val="00550ABC"/>
    <w:rsid w:val="00550AE4"/>
    <w:rsid w:val="00550AEA"/>
    <w:rsid w:val="00550AEF"/>
    <w:rsid w:val="00550AFF"/>
    <w:rsid w:val="00550B40"/>
    <w:rsid w:val="00550B65"/>
    <w:rsid w:val="00550B69"/>
    <w:rsid w:val="00550BA3"/>
    <w:rsid w:val="00550BA7"/>
    <w:rsid w:val="00550BE6"/>
    <w:rsid w:val="00550C0E"/>
    <w:rsid w:val="00550C21"/>
    <w:rsid w:val="00550C2F"/>
    <w:rsid w:val="00550C7B"/>
    <w:rsid w:val="00550CBA"/>
    <w:rsid w:val="00550CC6"/>
    <w:rsid w:val="00550CE4"/>
    <w:rsid w:val="00550D16"/>
    <w:rsid w:val="00550D1E"/>
    <w:rsid w:val="00550D4C"/>
    <w:rsid w:val="00550D96"/>
    <w:rsid w:val="00550DB4"/>
    <w:rsid w:val="00550DC4"/>
    <w:rsid w:val="00550DEC"/>
    <w:rsid w:val="00550E07"/>
    <w:rsid w:val="00550E7F"/>
    <w:rsid w:val="00550E8C"/>
    <w:rsid w:val="00550F01"/>
    <w:rsid w:val="00550F4E"/>
    <w:rsid w:val="00550F77"/>
    <w:rsid w:val="00550F98"/>
    <w:rsid w:val="00551014"/>
    <w:rsid w:val="00551096"/>
    <w:rsid w:val="005510A9"/>
    <w:rsid w:val="005510CA"/>
    <w:rsid w:val="005511AC"/>
    <w:rsid w:val="005511DE"/>
    <w:rsid w:val="005511E5"/>
    <w:rsid w:val="0055127A"/>
    <w:rsid w:val="00551283"/>
    <w:rsid w:val="0055128F"/>
    <w:rsid w:val="005512B2"/>
    <w:rsid w:val="0055131E"/>
    <w:rsid w:val="00551370"/>
    <w:rsid w:val="00551381"/>
    <w:rsid w:val="00551390"/>
    <w:rsid w:val="005513A7"/>
    <w:rsid w:val="005513F9"/>
    <w:rsid w:val="00551467"/>
    <w:rsid w:val="005514BD"/>
    <w:rsid w:val="005514CF"/>
    <w:rsid w:val="0055150A"/>
    <w:rsid w:val="0055152F"/>
    <w:rsid w:val="00551536"/>
    <w:rsid w:val="00551563"/>
    <w:rsid w:val="0055156A"/>
    <w:rsid w:val="0055157A"/>
    <w:rsid w:val="00551594"/>
    <w:rsid w:val="005515E3"/>
    <w:rsid w:val="005515F5"/>
    <w:rsid w:val="005516B9"/>
    <w:rsid w:val="005516FB"/>
    <w:rsid w:val="0055170B"/>
    <w:rsid w:val="00551784"/>
    <w:rsid w:val="0055178B"/>
    <w:rsid w:val="0055178E"/>
    <w:rsid w:val="005517A0"/>
    <w:rsid w:val="005517A2"/>
    <w:rsid w:val="005517A3"/>
    <w:rsid w:val="005517C2"/>
    <w:rsid w:val="00551801"/>
    <w:rsid w:val="0055182A"/>
    <w:rsid w:val="0055183A"/>
    <w:rsid w:val="00551856"/>
    <w:rsid w:val="00551877"/>
    <w:rsid w:val="005518B4"/>
    <w:rsid w:val="005518D2"/>
    <w:rsid w:val="005518E0"/>
    <w:rsid w:val="005518FF"/>
    <w:rsid w:val="0055190D"/>
    <w:rsid w:val="0055192D"/>
    <w:rsid w:val="00551956"/>
    <w:rsid w:val="00551A15"/>
    <w:rsid w:val="00551A2F"/>
    <w:rsid w:val="00551B0B"/>
    <w:rsid w:val="00551B1A"/>
    <w:rsid w:val="00551B23"/>
    <w:rsid w:val="00551BD8"/>
    <w:rsid w:val="00551BF5"/>
    <w:rsid w:val="00551C2E"/>
    <w:rsid w:val="00551C38"/>
    <w:rsid w:val="00551C40"/>
    <w:rsid w:val="00551C60"/>
    <w:rsid w:val="00551D3A"/>
    <w:rsid w:val="00551D62"/>
    <w:rsid w:val="00551D9E"/>
    <w:rsid w:val="00551DB0"/>
    <w:rsid w:val="00551DD5"/>
    <w:rsid w:val="00551E45"/>
    <w:rsid w:val="00551E51"/>
    <w:rsid w:val="00551E6D"/>
    <w:rsid w:val="00551F38"/>
    <w:rsid w:val="00551F4D"/>
    <w:rsid w:val="00551F6C"/>
    <w:rsid w:val="00551FA3"/>
    <w:rsid w:val="00551FB8"/>
    <w:rsid w:val="00551FD1"/>
    <w:rsid w:val="00551FE9"/>
    <w:rsid w:val="00552029"/>
    <w:rsid w:val="00552038"/>
    <w:rsid w:val="0055204B"/>
    <w:rsid w:val="00552059"/>
    <w:rsid w:val="00552099"/>
    <w:rsid w:val="005520B9"/>
    <w:rsid w:val="005520FA"/>
    <w:rsid w:val="0055210B"/>
    <w:rsid w:val="0055212E"/>
    <w:rsid w:val="00552145"/>
    <w:rsid w:val="00552165"/>
    <w:rsid w:val="005521BD"/>
    <w:rsid w:val="005521C3"/>
    <w:rsid w:val="005521E4"/>
    <w:rsid w:val="00552208"/>
    <w:rsid w:val="00552230"/>
    <w:rsid w:val="00552284"/>
    <w:rsid w:val="00552288"/>
    <w:rsid w:val="005522C8"/>
    <w:rsid w:val="005522E1"/>
    <w:rsid w:val="0055230C"/>
    <w:rsid w:val="00552335"/>
    <w:rsid w:val="00552357"/>
    <w:rsid w:val="00552359"/>
    <w:rsid w:val="0055239A"/>
    <w:rsid w:val="005523A8"/>
    <w:rsid w:val="005523C9"/>
    <w:rsid w:val="00552405"/>
    <w:rsid w:val="00552437"/>
    <w:rsid w:val="0055244B"/>
    <w:rsid w:val="0055244F"/>
    <w:rsid w:val="005524E4"/>
    <w:rsid w:val="0055250F"/>
    <w:rsid w:val="00552518"/>
    <w:rsid w:val="00552528"/>
    <w:rsid w:val="005525AA"/>
    <w:rsid w:val="005525F8"/>
    <w:rsid w:val="005525FA"/>
    <w:rsid w:val="00552603"/>
    <w:rsid w:val="0055262A"/>
    <w:rsid w:val="00552661"/>
    <w:rsid w:val="00552695"/>
    <w:rsid w:val="005526AA"/>
    <w:rsid w:val="005526B6"/>
    <w:rsid w:val="005526E8"/>
    <w:rsid w:val="005527B6"/>
    <w:rsid w:val="005527BB"/>
    <w:rsid w:val="005527E1"/>
    <w:rsid w:val="005527F9"/>
    <w:rsid w:val="00552802"/>
    <w:rsid w:val="00552809"/>
    <w:rsid w:val="00552817"/>
    <w:rsid w:val="0055281B"/>
    <w:rsid w:val="00552863"/>
    <w:rsid w:val="0055289D"/>
    <w:rsid w:val="005528D1"/>
    <w:rsid w:val="005528D8"/>
    <w:rsid w:val="005528DC"/>
    <w:rsid w:val="00552919"/>
    <w:rsid w:val="0055291B"/>
    <w:rsid w:val="00552926"/>
    <w:rsid w:val="0055292D"/>
    <w:rsid w:val="0055293B"/>
    <w:rsid w:val="00552962"/>
    <w:rsid w:val="0055296B"/>
    <w:rsid w:val="005529C9"/>
    <w:rsid w:val="00552A15"/>
    <w:rsid w:val="00552A26"/>
    <w:rsid w:val="00552A3B"/>
    <w:rsid w:val="00552A60"/>
    <w:rsid w:val="00552A6A"/>
    <w:rsid w:val="00552A6B"/>
    <w:rsid w:val="00552A89"/>
    <w:rsid w:val="00552A8A"/>
    <w:rsid w:val="00552A94"/>
    <w:rsid w:val="00552AAE"/>
    <w:rsid w:val="00552AAF"/>
    <w:rsid w:val="00552B25"/>
    <w:rsid w:val="00552B33"/>
    <w:rsid w:val="00552B35"/>
    <w:rsid w:val="00552B3C"/>
    <w:rsid w:val="00552B3D"/>
    <w:rsid w:val="00552B82"/>
    <w:rsid w:val="00552B8A"/>
    <w:rsid w:val="00552B9C"/>
    <w:rsid w:val="00552C21"/>
    <w:rsid w:val="00552C39"/>
    <w:rsid w:val="00552CB2"/>
    <w:rsid w:val="00552CC9"/>
    <w:rsid w:val="00552CF4"/>
    <w:rsid w:val="00552CF8"/>
    <w:rsid w:val="00552D52"/>
    <w:rsid w:val="00552D5D"/>
    <w:rsid w:val="00552D88"/>
    <w:rsid w:val="00552D92"/>
    <w:rsid w:val="00552D93"/>
    <w:rsid w:val="00552D9C"/>
    <w:rsid w:val="00552DA2"/>
    <w:rsid w:val="00552E2C"/>
    <w:rsid w:val="00552E2E"/>
    <w:rsid w:val="00552E37"/>
    <w:rsid w:val="00552E77"/>
    <w:rsid w:val="00552E7C"/>
    <w:rsid w:val="00552EF8"/>
    <w:rsid w:val="00552F78"/>
    <w:rsid w:val="00552F7E"/>
    <w:rsid w:val="00552F89"/>
    <w:rsid w:val="00552FD6"/>
    <w:rsid w:val="0055301E"/>
    <w:rsid w:val="00553033"/>
    <w:rsid w:val="005530B2"/>
    <w:rsid w:val="00553139"/>
    <w:rsid w:val="0055315D"/>
    <w:rsid w:val="005531C6"/>
    <w:rsid w:val="005531C9"/>
    <w:rsid w:val="005531CB"/>
    <w:rsid w:val="005531E3"/>
    <w:rsid w:val="00553203"/>
    <w:rsid w:val="00553248"/>
    <w:rsid w:val="00553249"/>
    <w:rsid w:val="00553299"/>
    <w:rsid w:val="005532BC"/>
    <w:rsid w:val="005532E1"/>
    <w:rsid w:val="00553331"/>
    <w:rsid w:val="0055334C"/>
    <w:rsid w:val="00553377"/>
    <w:rsid w:val="0055337C"/>
    <w:rsid w:val="005533A2"/>
    <w:rsid w:val="005533AD"/>
    <w:rsid w:val="005533C4"/>
    <w:rsid w:val="00553431"/>
    <w:rsid w:val="00553443"/>
    <w:rsid w:val="0055344A"/>
    <w:rsid w:val="00553467"/>
    <w:rsid w:val="005534BA"/>
    <w:rsid w:val="00553528"/>
    <w:rsid w:val="0055353B"/>
    <w:rsid w:val="0055353D"/>
    <w:rsid w:val="00553549"/>
    <w:rsid w:val="005535BA"/>
    <w:rsid w:val="005535CD"/>
    <w:rsid w:val="005535D0"/>
    <w:rsid w:val="005535D4"/>
    <w:rsid w:val="005535F8"/>
    <w:rsid w:val="0055364A"/>
    <w:rsid w:val="0055364B"/>
    <w:rsid w:val="00553657"/>
    <w:rsid w:val="00553662"/>
    <w:rsid w:val="0055366F"/>
    <w:rsid w:val="005536D6"/>
    <w:rsid w:val="005536F1"/>
    <w:rsid w:val="00553717"/>
    <w:rsid w:val="005537A4"/>
    <w:rsid w:val="005537AA"/>
    <w:rsid w:val="005537F5"/>
    <w:rsid w:val="00553800"/>
    <w:rsid w:val="00553822"/>
    <w:rsid w:val="0055382D"/>
    <w:rsid w:val="0055384E"/>
    <w:rsid w:val="00553856"/>
    <w:rsid w:val="00553891"/>
    <w:rsid w:val="0055389E"/>
    <w:rsid w:val="005538D2"/>
    <w:rsid w:val="0055397B"/>
    <w:rsid w:val="005539BA"/>
    <w:rsid w:val="00553A80"/>
    <w:rsid w:val="00553AB9"/>
    <w:rsid w:val="00553ACB"/>
    <w:rsid w:val="00553ADA"/>
    <w:rsid w:val="00553B2A"/>
    <w:rsid w:val="00553B36"/>
    <w:rsid w:val="00553B74"/>
    <w:rsid w:val="00553B81"/>
    <w:rsid w:val="00553BD3"/>
    <w:rsid w:val="00553BE6"/>
    <w:rsid w:val="00553BFC"/>
    <w:rsid w:val="00553C0B"/>
    <w:rsid w:val="00553C64"/>
    <w:rsid w:val="00553C78"/>
    <w:rsid w:val="00553C83"/>
    <w:rsid w:val="00553C86"/>
    <w:rsid w:val="00553CC8"/>
    <w:rsid w:val="00553CED"/>
    <w:rsid w:val="00553CF3"/>
    <w:rsid w:val="00553D04"/>
    <w:rsid w:val="00553D58"/>
    <w:rsid w:val="00553D93"/>
    <w:rsid w:val="00553DA9"/>
    <w:rsid w:val="00553DAB"/>
    <w:rsid w:val="00553DB0"/>
    <w:rsid w:val="00553DE5"/>
    <w:rsid w:val="00553E0B"/>
    <w:rsid w:val="00553E55"/>
    <w:rsid w:val="00553EC2"/>
    <w:rsid w:val="00553ED9"/>
    <w:rsid w:val="00553F28"/>
    <w:rsid w:val="00553FA1"/>
    <w:rsid w:val="00553FB5"/>
    <w:rsid w:val="00553FDC"/>
    <w:rsid w:val="00553FF2"/>
    <w:rsid w:val="00553FFB"/>
    <w:rsid w:val="00554012"/>
    <w:rsid w:val="00554064"/>
    <w:rsid w:val="0055409D"/>
    <w:rsid w:val="005540A3"/>
    <w:rsid w:val="00554129"/>
    <w:rsid w:val="00554169"/>
    <w:rsid w:val="0055424C"/>
    <w:rsid w:val="00554268"/>
    <w:rsid w:val="005542E1"/>
    <w:rsid w:val="0055433A"/>
    <w:rsid w:val="00554429"/>
    <w:rsid w:val="0055443B"/>
    <w:rsid w:val="00554455"/>
    <w:rsid w:val="00554483"/>
    <w:rsid w:val="005544F5"/>
    <w:rsid w:val="0055450F"/>
    <w:rsid w:val="0055453A"/>
    <w:rsid w:val="0055454F"/>
    <w:rsid w:val="0055459F"/>
    <w:rsid w:val="005545C0"/>
    <w:rsid w:val="005545C3"/>
    <w:rsid w:val="005545DA"/>
    <w:rsid w:val="005545DD"/>
    <w:rsid w:val="00554654"/>
    <w:rsid w:val="00554685"/>
    <w:rsid w:val="00554774"/>
    <w:rsid w:val="005547D3"/>
    <w:rsid w:val="005547FC"/>
    <w:rsid w:val="0055484D"/>
    <w:rsid w:val="00554864"/>
    <w:rsid w:val="0055487A"/>
    <w:rsid w:val="00554881"/>
    <w:rsid w:val="005548D2"/>
    <w:rsid w:val="005548ED"/>
    <w:rsid w:val="005548FF"/>
    <w:rsid w:val="0055491D"/>
    <w:rsid w:val="00554941"/>
    <w:rsid w:val="0055495A"/>
    <w:rsid w:val="00554976"/>
    <w:rsid w:val="005549CC"/>
    <w:rsid w:val="005549EB"/>
    <w:rsid w:val="00554A2A"/>
    <w:rsid w:val="00554A4A"/>
    <w:rsid w:val="00554AB1"/>
    <w:rsid w:val="00554B21"/>
    <w:rsid w:val="00554B4A"/>
    <w:rsid w:val="00554B5F"/>
    <w:rsid w:val="00554B71"/>
    <w:rsid w:val="00554B7C"/>
    <w:rsid w:val="00554B8C"/>
    <w:rsid w:val="00554BB5"/>
    <w:rsid w:val="00554BB9"/>
    <w:rsid w:val="00554C01"/>
    <w:rsid w:val="00554C63"/>
    <w:rsid w:val="00554C77"/>
    <w:rsid w:val="00554CAF"/>
    <w:rsid w:val="00554CB3"/>
    <w:rsid w:val="00554CB4"/>
    <w:rsid w:val="00554CB5"/>
    <w:rsid w:val="00554CBB"/>
    <w:rsid w:val="00554CBE"/>
    <w:rsid w:val="00554CCE"/>
    <w:rsid w:val="00554CE7"/>
    <w:rsid w:val="00554CE8"/>
    <w:rsid w:val="00554CF1"/>
    <w:rsid w:val="00554D17"/>
    <w:rsid w:val="00554E43"/>
    <w:rsid w:val="00554E6D"/>
    <w:rsid w:val="00554E70"/>
    <w:rsid w:val="00554E84"/>
    <w:rsid w:val="00554E94"/>
    <w:rsid w:val="00554F4E"/>
    <w:rsid w:val="00554F56"/>
    <w:rsid w:val="00554F6C"/>
    <w:rsid w:val="00554F89"/>
    <w:rsid w:val="00554FA3"/>
    <w:rsid w:val="00554FAB"/>
    <w:rsid w:val="00554FD9"/>
    <w:rsid w:val="00554FE8"/>
    <w:rsid w:val="00555025"/>
    <w:rsid w:val="00555050"/>
    <w:rsid w:val="0055506B"/>
    <w:rsid w:val="0055507D"/>
    <w:rsid w:val="005550B8"/>
    <w:rsid w:val="00555100"/>
    <w:rsid w:val="0055510C"/>
    <w:rsid w:val="00555129"/>
    <w:rsid w:val="0055514F"/>
    <w:rsid w:val="00555187"/>
    <w:rsid w:val="005551D8"/>
    <w:rsid w:val="00555207"/>
    <w:rsid w:val="0055520E"/>
    <w:rsid w:val="00555222"/>
    <w:rsid w:val="00555240"/>
    <w:rsid w:val="00555326"/>
    <w:rsid w:val="0055535B"/>
    <w:rsid w:val="00555384"/>
    <w:rsid w:val="0055539F"/>
    <w:rsid w:val="005553AF"/>
    <w:rsid w:val="005553C0"/>
    <w:rsid w:val="00555465"/>
    <w:rsid w:val="0055549C"/>
    <w:rsid w:val="0055549D"/>
    <w:rsid w:val="005554DD"/>
    <w:rsid w:val="00555530"/>
    <w:rsid w:val="00555553"/>
    <w:rsid w:val="00555555"/>
    <w:rsid w:val="00555570"/>
    <w:rsid w:val="005555B5"/>
    <w:rsid w:val="005555BA"/>
    <w:rsid w:val="005555C8"/>
    <w:rsid w:val="00555623"/>
    <w:rsid w:val="0055562C"/>
    <w:rsid w:val="0055565A"/>
    <w:rsid w:val="00555667"/>
    <w:rsid w:val="00555673"/>
    <w:rsid w:val="0055567E"/>
    <w:rsid w:val="005556AC"/>
    <w:rsid w:val="0055572B"/>
    <w:rsid w:val="005557AE"/>
    <w:rsid w:val="0055588F"/>
    <w:rsid w:val="005558AE"/>
    <w:rsid w:val="005558B3"/>
    <w:rsid w:val="005558DA"/>
    <w:rsid w:val="00555916"/>
    <w:rsid w:val="0055594A"/>
    <w:rsid w:val="00555966"/>
    <w:rsid w:val="00555984"/>
    <w:rsid w:val="005559C7"/>
    <w:rsid w:val="005559DA"/>
    <w:rsid w:val="005559E1"/>
    <w:rsid w:val="00555A65"/>
    <w:rsid w:val="00555AAC"/>
    <w:rsid w:val="00555ACB"/>
    <w:rsid w:val="00555AD8"/>
    <w:rsid w:val="00555AEB"/>
    <w:rsid w:val="00555AFF"/>
    <w:rsid w:val="00555B02"/>
    <w:rsid w:val="00555B18"/>
    <w:rsid w:val="00555B27"/>
    <w:rsid w:val="00555B4F"/>
    <w:rsid w:val="00555B5C"/>
    <w:rsid w:val="00555BA1"/>
    <w:rsid w:val="00555BD2"/>
    <w:rsid w:val="00555BDC"/>
    <w:rsid w:val="00555CA7"/>
    <w:rsid w:val="00555CA8"/>
    <w:rsid w:val="00555CC0"/>
    <w:rsid w:val="00555CCC"/>
    <w:rsid w:val="00555CD9"/>
    <w:rsid w:val="00555CEC"/>
    <w:rsid w:val="00555D00"/>
    <w:rsid w:val="00555D0A"/>
    <w:rsid w:val="00555D34"/>
    <w:rsid w:val="00555D42"/>
    <w:rsid w:val="00555D84"/>
    <w:rsid w:val="00555D8C"/>
    <w:rsid w:val="00555DAA"/>
    <w:rsid w:val="00555E0C"/>
    <w:rsid w:val="00555E10"/>
    <w:rsid w:val="00555E21"/>
    <w:rsid w:val="00555E65"/>
    <w:rsid w:val="00555E7D"/>
    <w:rsid w:val="00555ECB"/>
    <w:rsid w:val="00555F03"/>
    <w:rsid w:val="00555F67"/>
    <w:rsid w:val="00555F76"/>
    <w:rsid w:val="00555F91"/>
    <w:rsid w:val="00555FC3"/>
    <w:rsid w:val="00556005"/>
    <w:rsid w:val="0055600E"/>
    <w:rsid w:val="00556042"/>
    <w:rsid w:val="0055605A"/>
    <w:rsid w:val="00556062"/>
    <w:rsid w:val="00556069"/>
    <w:rsid w:val="0055607B"/>
    <w:rsid w:val="005560D0"/>
    <w:rsid w:val="005560D3"/>
    <w:rsid w:val="00556139"/>
    <w:rsid w:val="005561A0"/>
    <w:rsid w:val="005561A9"/>
    <w:rsid w:val="005561EF"/>
    <w:rsid w:val="00556268"/>
    <w:rsid w:val="005562C7"/>
    <w:rsid w:val="005562D9"/>
    <w:rsid w:val="0055630B"/>
    <w:rsid w:val="0055631B"/>
    <w:rsid w:val="0055631E"/>
    <w:rsid w:val="00556379"/>
    <w:rsid w:val="00556397"/>
    <w:rsid w:val="005563AF"/>
    <w:rsid w:val="005563F2"/>
    <w:rsid w:val="00556533"/>
    <w:rsid w:val="0055657B"/>
    <w:rsid w:val="00556598"/>
    <w:rsid w:val="005565AA"/>
    <w:rsid w:val="005565B0"/>
    <w:rsid w:val="005565E5"/>
    <w:rsid w:val="00556663"/>
    <w:rsid w:val="0055669B"/>
    <w:rsid w:val="0055669D"/>
    <w:rsid w:val="005566A7"/>
    <w:rsid w:val="005566B9"/>
    <w:rsid w:val="005566D5"/>
    <w:rsid w:val="005566EC"/>
    <w:rsid w:val="00556702"/>
    <w:rsid w:val="00556716"/>
    <w:rsid w:val="00556739"/>
    <w:rsid w:val="00556774"/>
    <w:rsid w:val="005567D7"/>
    <w:rsid w:val="005567FF"/>
    <w:rsid w:val="00556826"/>
    <w:rsid w:val="0055685D"/>
    <w:rsid w:val="00556880"/>
    <w:rsid w:val="005568A8"/>
    <w:rsid w:val="005568AC"/>
    <w:rsid w:val="005568F0"/>
    <w:rsid w:val="0055691A"/>
    <w:rsid w:val="00556929"/>
    <w:rsid w:val="0055692D"/>
    <w:rsid w:val="0055693A"/>
    <w:rsid w:val="00556940"/>
    <w:rsid w:val="0055699C"/>
    <w:rsid w:val="005569DF"/>
    <w:rsid w:val="005569EE"/>
    <w:rsid w:val="00556A2A"/>
    <w:rsid w:val="00556A52"/>
    <w:rsid w:val="00556ABB"/>
    <w:rsid w:val="00556AE9"/>
    <w:rsid w:val="00556AF7"/>
    <w:rsid w:val="00556B25"/>
    <w:rsid w:val="00556B48"/>
    <w:rsid w:val="00556B68"/>
    <w:rsid w:val="00556BB0"/>
    <w:rsid w:val="00556BFA"/>
    <w:rsid w:val="00556C2D"/>
    <w:rsid w:val="00556C5D"/>
    <w:rsid w:val="00556CD9"/>
    <w:rsid w:val="00556CEA"/>
    <w:rsid w:val="00556CF4"/>
    <w:rsid w:val="00556D49"/>
    <w:rsid w:val="00556EFE"/>
    <w:rsid w:val="00556F18"/>
    <w:rsid w:val="00556F86"/>
    <w:rsid w:val="00556FA8"/>
    <w:rsid w:val="00556FC1"/>
    <w:rsid w:val="00556FFF"/>
    <w:rsid w:val="00557051"/>
    <w:rsid w:val="00557089"/>
    <w:rsid w:val="00557090"/>
    <w:rsid w:val="005570A0"/>
    <w:rsid w:val="005570AD"/>
    <w:rsid w:val="005570C3"/>
    <w:rsid w:val="0055717E"/>
    <w:rsid w:val="005571C0"/>
    <w:rsid w:val="005571C6"/>
    <w:rsid w:val="005571F7"/>
    <w:rsid w:val="00557264"/>
    <w:rsid w:val="00557269"/>
    <w:rsid w:val="0055726D"/>
    <w:rsid w:val="00557278"/>
    <w:rsid w:val="0055727C"/>
    <w:rsid w:val="005572A4"/>
    <w:rsid w:val="005572EA"/>
    <w:rsid w:val="005572FA"/>
    <w:rsid w:val="00557332"/>
    <w:rsid w:val="0055735A"/>
    <w:rsid w:val="00557371"/>
    <w:rsid w:val="0055737F"/>
    <w:rsid w:val="005573A1"/>
    <w:rsid w:val="0055742F"/>
    <w:rsid w:val="00557430"/>
    <w:rsid w:val="005574A1"/>
    <w:rsid w:val="005574B2"/>
    <w:rsid w:val="005574C4"/>
    <w:rsid w:val="005574F8"/>
    <w:rsid w:val="00557526"/>
    <w:rsid w:val="00557537"/>
    <w:rsid w:val="00557581"/>
    <w:rsid w:val="00557584"/>
    <w:rsid w:val="0055759C"/>
    <w:rsid w:val="005575E9"/>
    <w:rsid w:val="005575F6"/>
    <w:rsid w:val="00557617"/>
    <w:rsid w:val="00557640"/>
    <w:rsid w:val="00557663"/>
    <w:rsid w:val="0055769D"/>
    <w:rsid w:val="005576A4"/>
    <w:rsid w:val="005576B5"/>
    <w:rsid w:val="005576D5"/>
    <w:rsid w:val="0055770E"/>
    <w:rsid w:val="00557740"/>
    <w:rsid w:val="00557802"/>
    <w:rsid w:val="0055780E"/>
    <w:rsid w:val="0055783A"/>
    <w:rsid w:val="00557850"/>
    <w:rsid w:val="00557862"/>
    <w:rsid w:val="00557876"/>
    <w:rsid w:val="005578BC"/>
    <w:rsid w:val="005578CA"/>
    <w:rsid w:val="005578FA"/>
    <w:rsid w:val="005578FF"/>
    <w:rsid w:val="00557961"/>
    <w:rsid w:val="00557967"/>
    <w:rsid w:val="005579E4"/>
    <w:rsid w:val="005579F6"/>
    <w:rsid w:val="00557A04"/>
    <w:rsid w:val="00557A6E"/>
    <w:rsid w:val="00557A9F"/>
    <w:rsid w:val="00557ABB"/>
    <w:rsid w:val="00557ACF"/>
    <w:rsid w:val="00557AF9"/>
    <w:rsid w:val="00557B3F"/>
    <w:rsid w:val="00557B71"/>
    <w:rsid w:val="00557B7A"/>
    <w:rsid w:val="00557BCD"/>
    <w:rsid w:val="00557C01"/>
    <w:rsid w:val="00557C2B"/>
    <w:rsid w:val="00557C56"/>
    <w:rsid w:val="00557C6F"/>
    <w:rsid w:val="00557C82"/>
    <w:rsid w:val="00557CA1"/>
    <w:rsid w:val="00557CBB"/>
    <w:rsid w:val="00557CC9"/>
    <w:rsid w:val="00557CE8"/>
    <w:rsid w:val="00557D22"/>
    <w:rsid w:val="00557DAC"/>
    <w:rsid w:val="00557DC3"/>
    <w:rsid w:val="00557DC9"/>
    <w:rsid w:val="00557DE8"/>
    <w:rsid w:val="00557E0C"/>
    <w:rsid w:val="00557E47"/>
    <w:rsid w:val="00557E5E"/>
    <w:rsid w:val="00557E70"/>
    <w:rsid w:val="00557E74"/>
    <w:rsid w:val="00557E8F"/>
    <w:rsid w:val="00557ECB"/>
    <w:rsid w:val="00557ED1"/>
    <w:rsid w:val="00557EE6"/>
    <w:rsid w:val="00557F05"/>
    <w:rsid w:val="00557F35"/>
    <w:rsid w:val="00557F40"/>
    <w:rsid w:val="00557F5E"/>
    <w:rsid w:val="00557F7A"/>
    <w:rsid w:val="00557F8C"/>
    <w:rsid w:val="00557F93"/>
    <w:rsid w:val="00557FAD"/>
    <w:rsid w:val="00557FC3"/>
    <w:rsid w:val="00557FC4"/>
    <w:rsid w:val="00557FED"/>
    <w:rsid w:val="0055AA53"/>
    <w:rsid w:val="00560004"/>
    <w:rsid w:val="00560015"/>
    <w:rsid w:val="0056003B"/>
    <w:rsid w:val="00560040"/>
    <w:rsid w:val="00560091"/>
    <w:rsid w:val="005600E9"/>
    <w:rsid w:val="005600F0"/>
    <w:rsid w:val="00560125"/>
    <w:rsid w:val="0056012C"/>
    <w:rsid w:val="00560131"/>
    <w:rsid w:val="0056013A"/>
    <w:rsid w:val="0056013D"/>
    <w:rsid w:val="0056015E"/>
    <w:rsid w:val="00560161"/>
    <w:rsid w:val="005601A0"/>
    <w:rsid w:val="005601FD"/>
    <w:rsid w:val="0056023C"/>
    <w:rsid w:val="005602D1"/>
    <w:rsid w:val="00560329"/>
    <w:rsid w:val="0056038C"/>
    <w:rsid w:val="005603E6"/>
    <w:rsid w:val="005603FC"/>
    <w:rsid w:val="00560425"/>
    <w:rsid w:val="00560431"/>
    <w:rsid w:val="00560436"/>
    <w:rsid w:val="00560439"/>
    <w:rsid w:val="0056043C"/>
    <w:rsid w:val="00560478"/>
    <w:rsid w:val="00560495"/>
    <w:rsid w:val="005604F1"/>
    <w:rsid w:val="00560544"/>
    <w:rsid w:val="0056054D"/>
    <w:rsid w:val="005605A3"/>
    <w:rsid w:val="005605C5"/>
    <w:rsid w:val="00560637"/>
    <w:rsid w:val="0056066B"/>
    <w:rsid w:val="0056066F"/>
    <w:rsid w:val="005606DD"/>
    <w:rsid w:val="0056076D"/>
    <w:rsid w:val="00560779"/>
    <w:rsid w:val="00560785"/>
    <w:rsid w:val="005607A8"/>
    <w:rsid w:val="005607B5"/>
    <w:rsid w:val="005607CD"/>
    <w:rsid w:val="005607D4"/>
    <w:rsid w:val="005607ED"/>
    <w:rsid w:val="005607F6"/>
    <w:rsid w:val="00560811"/>
    <w:rsid w:val="00560847"/>
    <w:rsid w:val="00560855"/>
    <w:rsid w:val="0056087F"/>
    <w:rsid w:val="005608AE"/>
    <w:rsid w:val="00560905"/>
    <w:rsid w:val="00560909"/>
    <w:rsid w:val="00560920"/>
    <w:rsid w:val="0056092C"/>
    <w:rsid w:val="00560936"/>
    <w:rsid w:val="00560946"/>
    <w:rsid w:val="0056096B"/>
    <w:rsid w:val="0056098A"/>
    <w:rsid w:val="005609BB"/>
    <w:rsid w:val="005609D2"/>
    <w:rsid w:val="00560A19"/>
    <w:rsid w:val="00560A31"/>
    <w:rsid w:val="00560A44"/>
    <w:rsid w:val="00560A55"/>
    <w:rsid w:val="00560A83"/>
    <w:rsid w:val="00560AC8"/>
    <w:rsid w:val="00560B70"/>
    <w:rsid w:val="00560B7C"/>
    <w:rsid w:val="00560B86"/>
    <w:rsid w:val="00560BA8"/>
    <w:rsid w:val="00560BB8"/>
    <w:rsid w:val="00560C25"/>
    <w:rsid w:val="00560C3F"/>
    <w:rsid w:val="00560C69"/>
    <w:rsid w:val="00560C6D"/>
    <w:rsid w:val="00560C81"/>
    <w:rsid w:val="00560C98"/>
    <w:rsid w:val="00560CC2"/>
    <w:rsid w:val="00560D0E"/>
    <w:rsid w:val="00560D53"/>
    <w:rsid w:val="00560D56"/>
    <w:rsid w:val="00560D84"/>
    <w:rsid w:val="00560DA3"/>
    <w:rsid w:val="00560DBE"/>
    <w:rsid w:val="00560DCC"/>
    <w:rsid w:val="00560E2B"/>
    <w:rsid w:val="00560EAD"/>
    <w:rsid w:val="00560EB8"/>
    <w:rsid w:val="00560EB9"/>
    <w:rsid w:val="00560EC6"/>
    <w:rsid w:val="00560EE6"/>
    <w:rsid w:val="00560EE8"/>
    <w:rsid w:val="00560F10"/>
    <w:rsid w:val="00560F52"/>
    <w:rsid w:val="00560F87"/>
    <w:rsid w:val="00560FC3"/>
    <w:rsid w:val="00560FC7"/>
    <w:rsid w:val="00560FCB"/>
    <w:rsid w:val="00560FF8"/>
    <w:rsid w:val="00560FFB"/>
    <w:rsid w:val="00561033"/>
    <w:rsid w:val="00561083"/>
    <w:rsid w:val="0056108B"/>
    <w:rsid w:val="00561091"/>
    <w:rsid w:val="0056109E"/>
    <w:rsid w:val="005610C8"/>
    <w:rsid w:val="005610CE"/>
    <w:rsid w:val="00561120"/>
    <w:rsid w:val="0056113E"/>
    <w:rsid w:val="0056115A"/>
    <w:rsid w:val="0056116D"/>
    <w:rsid w:val="00561181"/>
    <w:rsid w:val="00561190"/>
    <w:rsid w:val="005611EA"/>
    <w:rsid w:val="00561270"/>
    <w:rsid w:val="00561285"/>
    <w:rsid w:val="0056129B"/>
    <w:rsid w:val="005612A3"/>
    <w:rsid w:val="005612E0"/>
    <w:rsid w:val="0056133B"/>
    <w:rsid w:val="00561355"/>
    <w:rsid w:val="00561364"/>
    <w:rsid w:val="005613EC"/>
    <w:rsid w:val="005613F2"/>
    <w:rsid w:val="00561403"/>
    <w:rsid w:val="00561435"/>
    <w:rsid w:val="00561437"/>
    <w:rsid w:val="0056143D"/>
    <w:rsid w:val="0056145E"/>
    <w:rsid w:val="00561498"/>
    <w:rsid w:val="0056149F"/>
    <w:rsid w:val="005614B3"/>
    <w:rsid w:val="005614BC"/>
    <w:rsid w:val="005614DC"/>
    <w:rsid w:val="005614DD"/>
    <w:rsid w:val="0056151A"/>
    <w:rsid w:val="00561521"/>
    <w:rsid w:val="00561562"/>
    <w:rsid w:val="0056156C"/>
    <w:rsid w:val="00561571"/>
    <w:rsid w:val="0056159F"/>
    <w:rsid w:val="005615C1"/>
    <w:rsid w:val="005615F5"/>
    <w:rsid w:val="0056168E"/>
    <w:rsid w:val="00561690"/>
    <w:rsid w:val="00561693"/>
    <w:rsid w:val="005616B6"/>
    <w:rsid w:val="005616E3"/>
    <w:rsid w:val="005616EC"/>
    <w:rsid w:val="0056174E"/>
    <w:rsid w:val="00561770"/>
    <w:rsid w:val="00561773"/>
    <w:rsid w:val="00561793"/>
    <w:rsid w:val="005617AD"/>
    <w:rsid w:val="005617C1"/>
    <w:rsid w:val="00561829"/>
    <w:rsid w:val="0056182A"/>
    <w:rsid w:val="0056183D"/>
    <w:rsid w:val="00561841"/>
    <w:rsid w:val="00561872"/>
    <w:rsid w:val="005618E9"/>
    <w:rsid w:val="0056190A"/>
    <w:rsid w:val="0056190B"/>
    <w:rsid w:val="0056192C"/>
    <w:rsid w:val="00561957"/>
    <w:rsid w:val="0056196C"/>
    <w:rsid w:val="00561978"/>
    <w:rsid w:val="005619E1"/>
    <w:rsid w:val="005619E2"/>
    <w:rsid w:val="00561A26"/>
    <w:rsid w:val="00561A27"/>
    <w:rsid w:val="00561A6D"/>
    <w:rsid w:val="00561AAA"/>
    <w:rsid w:val="00561AC5"/>
    <w:rsid w:val="00561ADD"/>
    <w:rsid w:val="00561AF1"/>
    <w:rsid w:val="00561AF4"/>
    <w:rsid w:val="00561AF7"/>
    <w:rsid w:val="00561B30"/>
    <w:rsid w:val="00561B5A"/>
    <w:rsid w:val="00561B7E"/>
    <w:rsid w:val="00561B9E"/>
    <w:rsid w:val="00561BC0"/>
    <w:rsid w:val="00561BDA"/>
    <w:rsid w:val="00561C2B"/>
    <w:rsid w:val="00561C2F"/>
    <w:rsid w:val="00561C55"/>
    <w:rsid w:val="00561CD8"/>
    <w:rsid w:val="00561D1D"/>
    <w:rsid w:val="00561D94"/>
    <w:rsid w:val="00561DC9"/>
    <w:rsid w:val="00561DDD"/>
    <w:rsid w:val="00561DE1"/>
    <w:rsid w:val="00561E14"/>
    <w:rsid w:val="00561E21"/>
    <w:rsid w:val="00561E30"/>
    <w:rsid w:val="00561E65"/>
    <w:rsid w:val="00561ED9"/>
    <w:rsid w:val="00561F0A"/>
    <w:rsid w:val="00561F93"/>
    <w:rsid w:val="00561F99"/>
    <w:rsid w:val="00561FC5"/>
    <w:rsid w:val="00561FD4"/>
    <w:rsid w:val="00561FDE"/>
    <w:rsid w:val="00562021"/>
    <w:rsid w:val="0056202E"/>
    <w:rsid w:val="005620BF"/>
    <w:rsid w:val="005620C7"/>
    <w:rsid w:val="005620E8"/>
    <w:rsid w:val="005620FC"/>
    <w:rsid w:val="00562106"/>
    <w:rsid w:val="00562142"/>
    <w:rsid w:val="0056214C"/>
    <w:rsid w:val="0056215B"/>
    <w:rsid w:val="00562164"/>
    <w:rsid w:val="00562188"/>
    <w:rsid w:val="0056218A"/>
    <w:rsid w:val="0056219D"/>
    <w:rsid w:val="005621BE"/>
    <w:rsid w:val="005621C4"/>
    <w:rsid w:val="005621F0"/>
    <w:rsid w:val="005621F2"/>
    <w:rsid w:val="005621F3"/>
    <w:rsid w:val="00562247"/>
    <w:rsid w:val="00562274"/>
    <w:rsid w:val="005622AC"/>
    <w:rsid w:val="00562345"/>
    <w:rsid w:val="005623AA"/>
    <w:rsid w:val="005623BA"/>
    <w:rsid w:val="00562414"/>
    <w:rsid w:val="0056242C"/>
    <w:rsid w:val="0056243B"/>
    <w:rsid w:val="0056244C"/>
    <w:rsid w:val="00562450"/>
    <w:rsid w:val="00562467"/>
    <w:rsid w:val="005624B0"/>
    <w:rsid w:val="005624B9"/>
    <w:rsid w:val="005624E2"/>
    <w:rsid w:val="005624EB"/>
    <w:rsid w:val="005624F8"/>
    <w:rsid w:val="0056251F"/>
    <w:rsid w:val="00562524"/>
    <w:rsid w:val="00562564"/>
    <w:rsid w:val="0056259A"/>
    <w:rsid w:val="005625B5"/>
    <w:rsid w:val="005625BF"/>
    <w:rsid w:val="00562604"/>
    <w:rsid w:val="00562638"/>
    <w:rsid w:val="00562689"/>
    <w:rsid w:val="005626A8"/>
    <w:rsid w:val="005626B7"/>
    <w:rsid w:val="005626D1"/>
    <w:rsid w:val="005626E4"/>
    <w:rsid w:val="005626E5"/>
    <w:rsid w:val="005626E9"/>
    <w:rsid w:val="00562723"/>
    <w:rsid w:val="00562742"/>
    <w:rsid w:val="00562743"/>
    <w:rsid w:val="00562747"/>
    <w:rsid w:val="00562750"/>
    <w:rsid w:val="00562753"/>
    <w:rsid w:val="0056276A"/>
    <w:rsid w:val="005627D2"/>
    <w:rsid w:val="005627DB"/>
    <w:rsid w:val="005627DF"/>
    <w:rsid w:val="00562811"/>
    <w:rsid w:val="00562813"/>
    <w:rsid w:val="00562881"/>
    <w:rsid w:val="005628AB"/>
    <w:rsid w:val="0056290A"/>
    <w:rsid w:val="0056299F"/>
    <w:rsid w:val="005629CA"/>
    <w:rsid w:val="005629ED"/>
    <w:rsid w:val="00562A1D"/>
    <w:rsid w:val="00562A20"/>
    <w:rsid w:val="00562A21"/>
    <w:rsid w:val="00562A4B"/>
    <w:rsid w:val="00562A56"/>
    <w:rsid w:val="00562A63"/>
    <w:rsid w:val="00562A78"/>
    <w:rsid w:val="00562A84"/>
    <w:rsid w:val="00562A97"/>
    <w:rsid w:val="00562AB7"/>
    <w:rsid w:val="00562ADB"/>
    <w:rsid w:val="00562B14"/>
    <w:rsid w:val="00562B51"/>
    <w:rsid w:val="00562B97"/>
    <w:rsid w:val="00562BC9"/>
    <w:rsid w:val="00562C42"/>
    <w:rsid w:val="00562C9B"/>
    <w:rsid w:val="00562CA6"/>
    <w:rsid w:val="00562CE7"/>
    <w:rsid w:val="00562D5D"/>
    <w:rsid w:val="00562DAD"/>
    <w:rsid w:val="00562DD7"/>
    <w:rsid w:val="00562E15"/>
    <w:rsid w:val="00562E6B"/>
    <w:rsid w:val="00562E6D"/>
    <w:rsid w:val="00562E86"/>
    <w:rsid w:val="00562EAF"/>
    <w:rsid w:val="00562EC7"/>
    <w:rsid w:val="00562ECC"/>
    <w:rsid w:val="00562F0D"/>
    <w:rsid w:val="00562F17"/>
    <w:rsid w:val="00562F49"/>
    <w:rsid w:val="00562F80"/>
    <w:rsid w:val="00562FBD"/>
    <w:rsid w:val="0056300C"/>
    <w:rsid w:val="0056309F"/>
    <w:rsid w:val="0056317A"/>
    <w:rsid w:val="00563190"/>
    <w:rsid w:val="005631B2"/>
    <w:rsid w:val="005631B7"/>
    <w:rsid w:val="00563212"/>
    <w:rsid w:val="0056321F"/>
    <w:rsid w:val="00563226"/>
    <w:rsid w:val="005632A9"/>
    <w:rsid w:val="005632BE"/>
    <w:rsid w:val="0056336A"/>
    <w:rsid w:val="0056339B"/>
    <w:rsid w:val="005633A8"/>
    <w:rsid w:val="005633CE"/>
    <w:rsid w:val="005633DE"/>
    <w:rsid w:val="005633E9"/>
    <w:rsid w:val="0056345F"/>
    <w:rsid w:val="005634AD"/>
    <w:rsid w:val="005634BE"/>
    <w:rsid w:val="00563508"/>
    <w:rsid w:val="00563519"/>
    <w:rsid w:val="0056351D"/>
    <w:rsid w:val="00563534"/>
    <w:rsid w:val="005635C8"/>
    <w:rsid w:val="0056363F"/>
    <w:rsid w:val="00563643"/>
    <w:rsid w:val="00563645"/>
    <w:rsid w:val="00563662"/>
    <w:rsid w:val="005636BC"/>
    <w:rsid w:val="005636E5"/>
    <w:rsid w:val="005636EE"/>
    <w:rsid w:val="00563737"/>
    <w:rsid w:val="00563739"/>
    <w:rsid w:val="0056373F"/>
    <w:rsid w:val="00563755"/>
    <w:rsid w:val="005637BC"/>
    <w:rsid w:val="00563871"/>
    <w:rsid w:val="00563896"/>
    <w:rsid w:val="005638D4"/>
    <w:rsid w:val="00563966"/>
    <w:rsid w:val="00563989"/>
    <w:rsid w:val="0056399A"/>
    <w:rsid w:val="0056399E"/>
    <w:rsid w:val="005639B0"/>
    <w:rsid w:val="00563A06"/>
    <w:rsid w:val="00563A70"/>
    <w:rsid w:val="00563A98"/>
    <w:rsid w:val="00563B0F"/>
    <w:rsid w:val="00563B34"/>
    <w:rsid w:val="00563B50"/>
    <w:rsid w:val="00563B65"/>
    <w:rsid w:val="00563B82"/>
    <w:rsid w:val="00563B8D"/>
    <w:rsid w:val="00563B8E"/>
    <w:rsid w:val="00563B98"/>
    <w:rsid w:val="00563C32"/>
    <w:rsid w:val="00563C51"/>
    <w:rsid w:val="00563C61"/>
    <w:rsid w:val="00563C6B"/>
    <w:rsid w:val="00563CCA"/>
    <w:rsid w:val="00563D0D"/>
    <w:rsid w:val="00563D0F"/>
    <w:rsid w:val="00563DAB"/>
    <w:rsid w:val="00563DC0"/>
    <w:rsid w:val="00563DC6"/>
    <w:rsid w:val="00563DD5"/>
    <w:rsid w:val="00563DDF"/>
    <w:rsid w:val="00563DF4"/>
    <w:rsid w:val="00563E00"/>
    <w:rsid w:val="00563E11"/>
    <w:rsid w:val="00563E63"/>
    <w:rsid w:val="00563EB5"/>
    <w:rsid w:val="00563F2A"/>
    <w:rsid w:val="00563F35"/>
    <w:rsid w:val="00563F39"/>
    <w:rsid w:val="00563FC9"/>
    <w:rsid w:val="00563FFB"/>
    <w:rsid w:val="00564007"/>
    <w:rsid w:val="00564013"/>
    <w:rsid w:val="0056403C"/>
    <w:rsid w:val="0056409E"/>
    <w:rsid w:val="005640A6"/>
    <w:rsid w:val="00564121"/>
    <w:rsid w:val="00564150"/>
    <w:rsid w:val="00564167"/>
    <w:rsid w:val="00564199"/>
    <w:rsid w:val="00564223"/>
    <w:rsid w:val="00564268"/>
    <w:rsid w:val="005642AE"/>
    <w:rsid w:val="00564309"/>
    <w:rsid w:val="005643D0"/>
    <w:rsid w:val="005643D5"/>
    <w:rsid w:val="0056440A"/>
    <w:rsid w:val="0056445A"/>
    <w:rsid w:val="00564462"/>
    <w:rsid w:val="0056446B"/>
    <w:rsid w:val="005644C6"/>
    <w:rsid w:val="005644D8"/>
    <w:rsid w:val="00564525"/>
    <w:rsid w:val="00564596"/>
    <w:rsid w:val="005645FC"/>
    <w:rsid w:val="0056460B"/>
    <w:rsid w:val="00564648"/>
    <w:rsid w:val="0056465F"/>
    <w:rsid w:val="005646A6"/>
    <w:rsid w:val="005646BC"/>
    <w:rsid w:val="005646CC"/>
    <w:rsid w:val="005646CF"/>
    <w:rsid w:val="005646E2"/>
    <w:rsid w:val="005646FD"/>
    <w:rsid w:val="00564713"/>
    <w:rsid w:val="0056479F"/>
    <w:rsid w:val="005647A5"/>
    <w:rsid w:val="005647A7"/>
    <w:rsid w:val="005647F7"/>
    <w:rsid w:val="00564816"/>
    <w:rsid w:val="00564864"/>
    <w:rsid w:val="0056486A"/>
    <w:rsid w:val="005648A4"/>
    <w:rsid w:val="005648C1"/>
    <w:rsid w:val="005648D0"/>
    <w:rsid w:val="00564932"/>
    <w:rsid w:val="00564961"/>
    <w:rsid w:val="0056497C"/>
    <w:rsid w:val="00564984"/>
    <w:rsid w:val="00564995"/>
    <w:rsid w:val="005649AF"/>
    <w:rsid w:val="00564A05"/>
    <w:rsid w:val="00564A14"/>
    <w:rsid w:val="00564A41"/>
    <w:rsid w:val="00564A4F"/>
    <w:rsid w:val="00564A84"/>
    <w:rsid w:val="00564A8C"/>
    <w:rsid w:val="00564AF8"/>
    <w:rsid w:val="00564B08"/>
    <w:rsid w:val="00564B39"/>
    <w:rsid w:val="00564B43"/>
    <w:rsid w:val="00564B48"/>
    <w:rsid w:val="00564B61"/>
    <w:rsid w:val="00564B78"/>
    <w:rsid w:val="00564B82"/>
    <w:rsid w:val="00564C09"/>
    <w:rsid w:val="00564C0D"/>
    <w:rsid w:val="00564C20"/>
    <w:rsid w:val="00564C66"/>
    <w:rsid w:val="00564C85"/>
    <w:rsid w:val="00564D17"/>
    <w:rsid w:val="00564D65"/>
    <w:rsid w:val="00564D67"/>
    <w:rsid w:val="00564D6B"/>
    <w:rsid w:val="00564DA9"/>
    <w:rsid w:val="00564E65"/>
    <w:rsid w:val="00564EA1"/>
    <w:rsid w:val="00564EB1"/>
    <w:rsid w:val="00564EB4"/>
    <w:rsid w:val="00564EBD"/>
    <w:rsid w:val="00564F33"/>
    <w:rsid w:val="00564FD0"/>
    <w:rsid w:val="00564FF3"/>
    <w:rsid w:val="00564FFA"/>
    <w:rsid w:val="00565054"/>
    <w:rsid w:val="00565060"/>
    <w:rsid w:val="005650BB"/>
    <w:rsid w:val="005650DA"/>
    <w:rsid w:val="005650FA"/>
    <w:rsid w:val="00565103"/>
    <w:rsid w:val="00565108"/>
    <w:rsid w:val="00565151"/>
    <w:rsid w:val="005651A2"/>
    <w:rsid w:val="005651B2"/>
    <w:rsid w:val="005651C3"/>
    <w:rsid w:val="005651FB"/>
    <w:rsid w:val="00565201"/>
    <w:rsid w:val="0056523E"/>
    <w:rsid w:val="0056526E"/>
    <w:rsid w:val="0056530C"/>
    <w:rsid w:val="00565310"/>
    <w:rsid w:val="0056534F"/>
    <w:rsid w:val="00565351"/>
    <w:rsid w:val="00565353"/>
    <w:rsid w:val="00565359"/>
    <w:rsid w:val="00565370"/>
    <w:rsid w:val="00565371"/>
    <w:rsid w:val="0056538D"/>
    <w:rsid w:val="00565393"/>
    <w:rsid w:val="0056539D"/>
    <w:rsid w:val="005653B6"/>
    <w:rsid w:val="005653E5"/>
    <w:rsid w:val="00565415"/>
    <w:rsid w:val="0056543F"/>
    <w:rsid w:val="00565474"/>
    <w:rsid w:val="00565476"/>
    <w:rsid w:val="0056550C"/>
    <w:rsid w:val="00565541"/>
    <w:rsid w:val="0056555E"/>
    <w:rsid w:val="0056557A"/>
    <w:rsid w:val="00565580"/>
    <w:rsid w:val="00565598"/>
    <w:rsid w:val="0056560E"/>
    <w:rsid w:val="00565620"/>
    <w:rsid w:val="00565635"/>
    <w:rsid w:val="00565658"/>
    <w:rsid w:val="0056565B"/>
    <w:rsid w:val="0056568E"/>
    <w:rsid w:val="005656BB"/>
    <w:rsid w:val="005656EF"/>
    <w:rsid w:val="00565702"/>
    <w:rsid w:val="00565707"/>
    <w:rsid w:val="0056571F"/>
    <w:rsid w:val="0056573F"/>
    <w:rsid w:val="0056574F"/>
    <w:rsid w:val="00565757"/>
    <w:rsid w:val="0056575A"/>
    <w:rsid w:val="0056577B"/>
    <w:rsid w:val="00565785"/>
    <w:rsid w:val="005657C6"/>
    <w:rsid w:val="005657CB"/>
    <w:rsid w:val="005657F2"/>
    <w:rsid w:val="00565800"/>
    <w:rsid w:val="00565812"/>
    <w:rsid w:val="00565830"/>
    <w:rsid w:val="00565832"/>
    <w:rsid w:val="0056585B"/>
    <w:rsid w:val="0056586D"/>
    <w:rsid w:val="00565881"/>
    <w:rsid w:val="0056588B"/>
    <w:rsid w:val="00565942"/>
    <w:rsid w:val="005659B7"/>
    <w:rsid w:val="005659BD"/>
    <w:rsid w:val="00565A0A"/>
    <w:rsid w:val="00565A0C"/>
    <w:rsid w:val="00565A12"/>
    <w:rsid w:val="00565A2D"/>
    <w:rsid w:val="00565A58"/>
    <w:rsid w:val="00565A71"/>
    <w:rsid w:val="00565B14"/>
    <w:rsid w:val="00565BB8"/>
    <w:rsid w:val="00565BD5"/>
    <w:rsid w:val="00565BF1"/>
    <w:rsid w:val="00565C12"/>
    <w:rsid w:val="00565C1D"/>
    <w:rsid w:val="00565C3F"/>
    <w:rsid w:val="00565C7D"/>
    <w:rsid w:val="00565CE1"/>
    <w:rsid w:val="00565CEC"/>
    <w:rsid w:val="00565D02"/>
    <w:rsid w:val="00565D13"/>
    <w:rsid w:val="00565D52"/>
    <w:rsid w:val="00565D8C"/>
    <w:rsid w:val="00565D8E"/>
    <w:rsid w:val="00565DAE"/>
    <w:rsid w:val="00565DC9"/>
    <w:rsid w:val="00565E44"/>
    <w:rsid w:val="00565ED2"/>
    <w:rsid w:val="00565EF6"/>
    <w:rsid w:val="00565EF8"/>
    <w:rsid w:val="00565F25"/>
    <w:rsid w:val="00565FA1"/>
    <w:rsid w:val="00565FB7"/>
    <w:rsid w:val="00565FFE"/>
    <w:rsid w:val="00566052"/>
    <w:rsid w:val="00566054"/>
    <w:rsid w:val="00566067"/>
    <w:rsid w:val="00566077"/>
    <w:rsid w:val="0056608F"/>
    <w:rsid w:val="005660A7"/>
    <w:rsid w:val="005660AB"/>
    <w:rsid w:val="0056611A"/>
    <w:rsid w:val="0056612B"/>
    <w:rsid w:val="005661C0"/>
    <w:rsid w:val="0056629D"/>
    <w:rsid w:val="005662A3"/>
    <w:rsid w:val="005662BD"/>
    <w:rsid w:val="005662D5"/>
    <w:rsid w:val="00566367"/>
    <w:rsid w:val="0056636A"/>
    <w:rsid w:val="005663A5"/>
    <w:rsid w:val="005663AA"/>
    <w:rsid w:val="005663AF"/>
    <w:rsid w:val="005663B3"/>
    <w:rsid w:val="005663BB"/>
    <w:rsid w:val="005663C5"/>
    <w:rsid w:val="005663D9"/>
    <w:rsid w:val="005663DD"/>
    <w:rsid w:val="005663ED"/>
    <w:rsid w:val="00566445"/>
    <w:rsid w:val="005664D0"/>
    <w:rsid w:val="00566520"/>
    <w:rsid w:val="00566543"/>
    <w:rsid w:val="0056654F"/>
    <w:rsid w:val="0056657A"/>
    <w:rsid w:val="005665BC"/>
    <w:rsid w:val="005665F7"/>
    <w:rsid w:val="005665FD"/>
    <w:rsid w:val="00566622"/>
    <w:rsid w:val="0056664A"/>
    <w:rsid w:val="00566652"/>
    <w:rsid w:val="0056668F"/>
    <w:rsid w:val="005666AB"/>
    <w:rsid w:val="005666C6"/>
    <w:rsid w:val="005666CA"/>
    <w:rsid w:val="005666F9"/>
    <w:rsid w:val="00566759"/>
    <w:rsid w:val="00566782"/>
    <w:rsid w:val="00566788"/>
    <w:rsid w:val="005667A4"/>
    <w:rsid w:val="005667A5"/>
    <w:rsid w:val="005667B6"/>
    <w:rsid w:val="0056684D"/>
    <w:rsid w:val="00566980"/>
    <w:rsid w:val="00566999"/>
    <w:rsid w:val="00566A47"/>
    <w:rsid w:val="00566A4B"/>
    <w:rsid w:val="00566A58"/>
    <w:rsid w:val="00566A62"/>
    <w:rsid w:val="00566A6E"/>
    <w:rsid w:val="00566A76"/>
    <w:rsid w:val="00566A85"/>
    <w:rsid w:val="00566AB6"/>
    <w:rsid w:val="00566AE2"/>
    <w:rsid w:val="00566B0F"/>
    <w:rsid w:val="00566B4C"/>
    <w:rsid w:val="00566B67"/>
    <w:rsid w:val="00566B75"/>
    <w:rsid w:val="00566B79"/>
    <w:rsid w:val="00566BB2"/>
    <w:rsid w:val="00566BFA"/>
    <w:rsid w:val="00566C7E"/>
    <w:rsid w:val="00566CB5"/>
    <w:rsid w:val="00566CC0"/>
    <w:rsid w:val="00566CC2"/>
    <w:rsid w:val="00566CD9"/>
    <w:rsid w:val="00566CE1"/>
    <w:rsid w:val="00566D40"/>
    <w:rsid w:val="00566D72"/>
    <w:rsid w:val="00566D91"/>
    <w:rsid w:val="00566DA0"/>
    <w:rsid w:val="00566DAF"/>
    <w:rsid w:val="00566DB0"/>
    <w:rsid w:val="00566DB6"/>
    <w:rsid w:val="00566E67"/>
    <w:rsid w:val="00566E68"/>
    <w:rsid w:val="00566E82"/>
    <w:rsid w:val="00566E8B"/>
    <w:rsid w:val="00566EA2"/>
    <w:rsid w:val="00566ECE"/>
    <w:rsid w:val="00566EDB"/>
    <w:rsid w:val="00566FA9"/>
    <w:rsid w:val="00566FE0"/>
    <w:rsid w:val="00567074"/>
    <w:rsid w:val="0056709C"/>
    <w:rsid w:val="005670AB"/>
    <w:rsid w:val="005670C9"/>
    <w:rsid w:val="00567110"/>
    <w:rsid w:val="00567118"/>
    <w:rsid w:val="00567136"/>
    <w:rsid w:val="00567138"/>
    <w:rsid w:val="0056715A"/>
    <w:rsid w:val="0056715F"/>
    <w:rsid w:val="0056718F"/>
    <w:rsid w:val="005671E0"/>
    <w:rsid w:val="005671F8"/>
    <w:rsid w:val="005671FD"/>
    <w:rsid w:val="00567212"/>
    <w:rsid w:val="0056721B"/>
    <w:rsid w:val="0056721C"/>
    <w:rsid w:val="00567303"/>
    <w:rsid w:val="00567354"/>
    <w:rsid w:val="0056738B"/>
    <w:rsid w:val="005673C6"/>
    <w:rsid w:val="00567444"/>
    <w:rsid w:val="0056744C"/>
    <w:rsid w:val="00567455"/>
    <w:rsid w:val="00567464"/>
    <w:rsid w:val="00567476"/>
    <w:rsid w:val="005674BF"/>
    <w:rsid w:val="005674F5"/>
    <w:rsid w:val="005675A1"/>
    <w:rsid w:val="005675D8"/>
    <w:rsid w:val="0056762B"/>
    <w:rsid w:val="00567647"/>
    <w:rsid w:val="00567660"/>
    <w:rsid w:val="00567663"/>
    <w:rsid w:val="00567669"/>
    <w:rsid w:val="00567688"/>
    <w:rsid w:val="00567692"/>
    <w:rsid w:val="00567693"/>
    <w:rsid w:val="005676A0"/>
    <w:rsid w:val="005676B9"/>
    <w:rsid w:val="005676C8"/>
    <w:rsid w:val="00567754"/>
    <w:rsid w:val="00567759"/>
    <w:rsid w:val="0056775E"/>
    <w:rsid w:val="005677CB"/>
    <w:rsid w:val="00567825"/>
    <w:rsid w:val="005678CF"/>
    <w:rsid w:val="00567945"/>
    <w:rsid w:val="00567959"/>
    <w:rsid w:val="00567980"/>
    <w:rsid w:val="0056798E"/>
    <w:rsid w:val="005679B5"/>
    <w:rsid w:val="005679EF"/>
    <w:rsid w:val="00567A03"/>
    <w:rsid w:val="00567A09"/>
    <w:rsid w:val="00567A8E"/>
    <w:rsid w:val="00567AA0"/>
    <w:rsid w:val="00567B0F"/>
    <w:rsid w:val="00567B45"/>
    <w:rsid w:val="00567B54"/>
    <w:rsid w:val="00567B67"/>
    <w:rsid w:val="00567B6C"/>
    <w:rsid w:val="00567BAF"/>
    <w:rsid w:val="00567BF7"/>
    <w:rsid w:val="00567C3F"/>
    <w:rsid w:val="00567C6E"/>
    <w:rsid w:val="00567C8E"/>
    <w:rsid w:val="00567CA8"/>
    <w:rsid w:val="00567CBC"/>
    <w:rsid w:val="00567CDD"/>
    <w:rsid w:val="00567D41"/>
    <w:rsid w:val="00567D51"/>
    <w:rsid w:val="00567D55"/>
    <w:rsid w:val="00567DB4"/>
    <w:rsid w:val="00567DFB"/>
    <w:rsid w:val="00567E5A"/>
    <w:rsid w:val="00567E66"/>
    <w:rsid w:val="00567E6C"/>
    <w:rsid w:val="00567ECC"/>
    <w:rsid w:val="00567F55"/>
    <w:rsid w:val="00567F72"/>
    <w:rsid w:val="00567F90"/>
    <w:rsid w:val="00567FAD"/>
    <w:rsid w:val="00567FB6"/>
    <w:rsid w:val="00567FE6"/>
    <w:rsid w:val="00567FE8"/>
    <w:rsid w:val="005699C6"/>
    <w:rsid w:val="00570008"/>
    <w:rsid w:val="0057004D"/>
    <w:rsid w:val="0057004E"/>
    <w:rsid w:val="00570053"/>
    <w:rsid w:val="0057006D"/>
    <w:rsid w:val="0057006E"/>
    <w:rsid w:val="0057007A"/>
    <w:rsid w:val="00570099"/>
    <w:rsid w:val="005700B0"/>
    <w:rsid w:val="005700FA"/>
    <w:rsid w:val="00570115"/>
    <w:rsid w:val="0057012B"/>
    <w:rsid w:val="00570174"/>
    <w:rsid w:val="0057017E"/>
    <w:rsid w:val="00570194"/>
    <w:rsid w:val="0057019D"/>
    <w:rsid w:val="005701A5"/>
    <w:rsid w:val="005701E5"/>
    <w:rsid w:val="00570255"/>
    <w:rsid w:val="0057027A"/>
    <w:rsid w:val="005702AB"/>
    <w:rsid w:val="005702B0"/>
    <w:rsid w:val="005702E3"/>
    <w:rsid w:val="005702F5"/>
    <w:rsid w:val="00570323"/>
    <w:rsid w:val="00570345"/>
    <w:rsid w:val="00570364"/>
    <w:rsid w:val="005703B7"/>
    <w:rsid w:val="005703CF"/>
    <w:rsid w:val="005703E6"/>
    <w:rsid w:val="005703EA"/>
    <w:rsid w:val="005703F0"/>
    <w:rsid w:val="005703F1"/>
    <w:rsid w:val="00570446"/>
    <w:rsid w:val="0057044A"/>
    <w:rsid w:val="00570452"/>
    <w:rsid w:val="00570458"/>
    <w:rsid w:val="0057047D"/>
    <w:rsid w:val="0057048B"/>
    <w:rsid w:val="005704AC"/>
    <w:rsid w:val="0057054B"/>
    <w:rsid w:val="00570598"/>
    <w:rsid w:val="005705B5"/>
    <w:rsid w:val="00570616"/>
    <w:rsid w:val="00570643"/>
    <w:rsid w:val="00570675"/>
    <w:rsid w:val="005706B5"/>
    <w:rsid w:val="005706C4"/>
    <w:rsid w:val="00570718"/>
    <w:rsid w:val="0057071A"/>
    <w:rsid w:val="00570720"/>
    <w:rsid w:val="00570737"/>
    <w:rsid w:val="00570762"/>
    <w:rsid w:val="00570774"/>
    <w:rsid w:val="005707A2"/>
    <w:rsid w:val="005707A3"/>
    <w:rsid w:val="005707A5"/>
    <w:rsid w:val="005707CD"/>
    <w:rsid w:val="005707CF"/>
    <w:rsid w:val="005707E7"/>
    <w:rsid w:val="0057081D"/>
    <w:rsid w:val="00570845"/>
    <w:rsid w:val="005708FD"/>
    <w:rsid w:val="00570954"/>
    <w:rsid w:val="0057096B"/>
    <w:rsid w:val="005709CA"/>
    <w:rsid w:val="005709E3"/>
    <w:rsid w:val="005709EC"/>
    <w:rsid w:val="00570A1C"/>
    <w:rsid w:val="00570A3F"/>
    <w:rsid w:val="00570A70"/>
    <w:rsid w:val="00570A75"/>
    <w:rsid w:val="00570A80"/>
    <w:rsid w:val="00570AB5"/>
    <w:rsid w:val="00570AD4"/>
    <w:rsid w:val="00570ADD"/>
    <w:rsid w:val="00570AEC"/>
    <w:rsid w:val="00570AFA"/>
    <w:rsid w:val="00570B29"/>
    <w:rsid w:val="00570B38"/>
    <w:rsid w:val="00570B8A"/>
    <w:rsid w:val="00570B9D"/>
    <w:rsid w:val="00570BC1"/>
    <w:rsid w:val="00570BE9"/>
    <w:rsid w:val="00570C37"/>
    <w:rsid w:val="00570C3E"/>
    <w:rsid w:val="00570C4B"/>
    <w:rsid w:val="00570C91"/>
    <w:rsid w:val="00570CAB"/>
    <w:rsid w:val="00570CCD"/>
    <w:rsid w:val="00570D2D"/>
    <w:rsid w:val="00570D8A"/>
    <w:rsid w:val="00570D8E"/>
    <w:rsid w:val="00570D9B"/>
    <w:rsid w:val="00570DA4"/>
    <w:rsid w:val="00570E29"/>
    <w:rsid w:val="00570E52"/>
    <w:rsid w:val="00570EAC"/>
    <w:rsid w:val="00570F77"/>
    <w:rsid w:val="00570F7E"/>
    <w:rsid w:val="00570FBF"/>
    <w:rsid w:val="00570FD9"/>
    <w:rsid w:val="00570FE3"/>
    <w:rsid w:val="00571037"/>
    <w:rsid w:val="00571042"/>
    <w:rsid w:val="00571063"/>
    <w:rsid w:val="00571096"/>
    <w:rsid w:val="0057109E"/>
    <w:rsid w:val="005710E8"/>
    <w:rsid w:val="005710F9"/>
    <w:rsid w:val="0057110B"/>
    <w:rsid w:val="00571123"/>
    <w:rsid w:val="00571184"/>
    <w:rsid w:val="005711C2"/>
    <w:rsid w:val="005711C4"/>
    <w:rsid w:val="005711CB"/>
    <w:rsid w:val="00571218"/>
    <w:rsid w:val="00571226"/>
    <w:rsid w:val="0057122A"/>
    <w:rsid w:val="0057122C"/>
    <w:rsid w:val="00571243"/>
    <w:rsid w:val="0057126D"/>
    <w:rsid w:val="0057128C"/>
    <w:rsid w:val="0057128D"/>
    <w:rsid w:val="005712A9"/>
    <w:rsid w:val="005712D7"/>
    <w:rsid w:val="0057134D"/>
    <w:rsid w:val="0057136E"/>
    <w:rsid w:val="0057137C"/>
    <w:rsid w:val="0057138E"/>
    <w:rsid w:val="005713A4"/>
    <w:rsid w:val="005713A8"/>
    <w:rsid w:val="005713F6"/>
    <w:rsid w:val="00571409"/>
    <w:rsid w:val="00571499"/>
    <w:rsid w:val="005714B9"/>
    <w:rsid w:val="005714DD"/>
    <w:rsid w:val="005714E7"/>
    <w:rsid w:val="00571514"/>
    <w:rsid w:val="00571570"/>
    <w:rsid w:val="00571581"/>
    <w:rsid w:val="005715BB"/>
    <w:rsid w:val="005715ED"/>
    <w:rsid w:val="0057162D"/>
    <w:rsid w:val="0057166A"/>
    <w:rsid w:val="00571679"/>
    <w:rsid w:val="0057168D"/>
    <w:rsid w:val="005716A3"/>
    <w:rsid w:val="005716C4"/>
    <w:rsid w:val="005716C8"/>
    <w:rsid w:val="005716FA"/>
    <w:rsid w:val="00571701"/>
    <w:rsid w:val="0057171F"/>
    <w:rsid w:val="00571742"/>
    <w:rsid w:val="00571744"/>
    <w:rsid w:val="005717C6"/>
    <w:rsid w:val="00571826"/>
    <w:rsid w:val="00571871"/>
    <w:rsid w:val="0057188F"/>
    <w:rsid w:val="00571898"/>
    <w:rsid w:val="005718DF"/>
    <w:rsid w:val="005718EE"/>
    <w:rsid w:val="00571914"/>
    <w:rsid w:val="00571958"/>
    <w:rsid w:val="00571984"/>
    <w:rsid w:val="00571989"/>
    <w:rsid w:val="005719A9"/>
    <w:rsid w:val="005719D1"/>
    <w:rsid w:val="005719FD"/>
    <w:rsid w:val="00571A01"/>
    <w:rsid w:val="00571A29"/>
    <w:rsid w:val="00571AB1"/>
    <w:rsid w:val="00571AC8"/>
    <w:rsid w:val="00571B02"/>
    <w:rsid w:val="00571BDE"/>
    <w:rsid w:val="00571BE3"/>
    <w:rsid w:val="00571BF0"/>
    <w:rsid w:val="00571BF6"/>
    <w:rsid w:val="00571C41"/>
    <w:rsid w:val="00571C56"/>
    <w:rsid w:val="00571C65"/>
    <w:rsid w:val="00571D63"/>
    <w:rsid w:val="00571DBA"/>
    <w:rsid w:val="00571E7A"/>
    <w:rsid w:val="00571EA0"/>
    <w:rsid w:val="00571ED0"/>
    <w:rsid w:val="00571F15"/>
    <w:rsid w:val="00571F3B"/>
    <w:rsid w:val="00571F55"/>
    <w:rsid w:val="00571F7A"/>
    <w:rsid w:val="00571F86"/>
    <w:rsid w:val="00571FBF"/>
    <w:rsid w:val="00572048"/>
    <w:rsid w:val="00572090"/>
    <w:rsid w:val="005720B6"/>
    <w:rsid w:val="005720CF"/>
    <w:rsid w:val="005720F4"/>
    <w:rsid w:val="0057212D"/>
    <w:rsid w:val="00572130"/>
    <w:rsid w:val="00572180"/>
    <w:rsid w:val="005721A8"/>
    <w:rsid w:val="005721E5"/>
    <w:rsid w:val="00572230"/>
    <w:rsid w:val="00572239"/>
    <w:rsid w:val="0057226F"/>
    <w:rsid w:val="00572271"/>
    <w:rsid w:val="00572279"/>
    <w:rsid w:val="005722A6"/>
    <w:rsid w:val="005722BB"/>
    <w:rsid w:val="005722CC"/>
    <w:rsid w:val="00572309"/>
    <w:rsid w:val="0057231F"/>
    <w:rsid w:val="0057233A"/>
    <w:rsid w:val="00572398"/>
    <w:rsid w:val="005723AA"/>
    <w:rsid w:val="005723C6"/>
    <w:rsid w:val="005723DD"/>
    <w:rsid w:val="005723EE"/>
    <w:rsid w:val="005723F3"/>
    <w:rsid w:val="005723FF"/>
    <w:rsid w:val="00572476"/>
    <w:rsid w:val="00572478"/>
    <w:rsid w:val="0057249A"/>
    <w:rsid w:val="005724A0"/>
    <w:rsid w:val="005724DC"/>
    <w:rsid w:val="00572517"/>
    <w:rsid w:val="00572522"/>
    <w:rsid w:val="00572546"/>
    <w:rsid w:val="00572567"/>
    <w:rsid w:val="00572588"/>
    <w:rsid w:val="005725AE"/>
    <w:rsid w:val="005725EE"/>
    <w:rsid w:val="005725FE"/>
    <w:rsid w:val="00572608"/>
    <w:rsid w:val="00572680"/>
    <w:rsid w:val="0057268D"/>
    <w:rsid w:val="00572725"/>
    <w:rsid w:val="00572729"/>
    <w:rsid w:val="0057272A"/>
    <w:rsid w:val="00572781"/>
    <w:rsid w:val="005727A3"/>
    <w:rsid w:val="00572805"/>
    <w:rsid w:val="0057284B"/>
    <w:rsid w:val="00572858"/>
    <w:rsid w:val="00572882"/>
    <w:rsid w:val="0057288E"/>
    <w:rsid w:val="005728FC"/>
    <w:rsid w:val="00572908"/>
    <w:rsid w:val="00572923"/>
    <w:rsid w:val="00572928"/>
    <w:rsid w:val="0057293E"/>
    <w:rsid w:val="00572945"/>
    <w:rsid w:val="0057295E"/>
    <w:rsid w:val="00572A2A"/>
    <w:rsid w:val="00572A50"/>
    <w:rsid w:val="00572A78"/>
    <w:rsid w:val="00572A85"/>
    <w:rsid w:val="00572A9A"/>
    <w:rsid w:val="00572B43"/>
    <w:rsid w:val="00572B5A"/>
    <w:rsid w:val="00572B90"/>
    <w:rsid w:val="00572BD9"/>
    <w:rsid w:val="00572BE8"/>
    <w:rsid w:val="00572C44"/>
    <w:rsid w:val="00572C4A"/>
    <w:rsid w:val="00572CAF"/>
    <w:rsid w:val="00572CC0"/>
    <w:rsid w:val="00572CED"/>
    <w:rsid w:val="00572D2B"/>
    <w:rsid w:val="00572D50"/>
    <w:rsid w:val="00572D6A"/>
    <w:rsid w:val="00572DE9"/>
    <w:rsid w:val="00572E0B"/>
    <w:rsid w:val="00572E2C"/>
    <w:rsid w:val="00572EB9"/>
    <w:rsid w:val="00572EDB"/>
    <w:rsid w:val="00572EF8"/>
    <w:rsid w:val="00572F16"/>
    <w:rsid w:val="00572F3A"/>
    <w:rsid w:val="00572F45"/>
    <w:rsid w:val="00572FAB"/>
    <w:rsid w:val="00572FAC"/>
    <w:rsid w:val="00572FD1"/>
    <w:rsid w:val="00572FEE"/>
    <w:rsid w:val="00573016"/>
    <w:rsid w:val="0057304D"/>
    <w:rsid w:val="0057305A"/>
    <w:rsid w:val="00573068"/>
    <w:rsid w:val="005730BA"/>
    <w:rsid w:val="00573111"/>
    <w:rsid w:val="0057313E"/>
    <w:rsid w:val="00573157"/>
    <w:rsid w:val="005731CE"/>
    <w:rsid w:val="00573228"/>
    <w:rsid w:val="0057322A"/>
    <w:rsid w:val="00573243"/>
    <w:rsid w:val="0057328D"/>
    <w:rsid w:val="0057328E"/>
    <w:rsid w:val="005732AB"/>
    <w:rsid w:val="005732B2"/>
    <w:rsid w:val="005732C5"/>
    <w:rsid w:val="005732ED"/>
    <w:rsid w:val="00573302"/>
    <w:rsid w:val="005733A0"/>
    <w:rsid w:val="005733F0"/>
    <w:rsid w:val="00573404"/>
    <w:rsid w:val="00573408"/>
    <w:rsid w:val="00573413"/>
    <w:rsid w:val="00573427"/>
    <w:rsid w:val="0057343D"/>
    <w:rsid w:val="00573469"/>
    <w:rsid w:val="005734CE"/>
    <w:rsid w:val="00573505"/>
    <w:rsid w:val="0057353B"/>
    <w:rsid w:val="0057355C"/>
    <w:rsid w:val="00573568"/>
    <w:rsid w:val="00573574"/>
    <w:rsid w:val="005735C2"/>
    <w:rsid w:val="005735DC"/>
    <w:rsid w:val="005735E1"/>
    <w:rsid w:val="005735FF"/>
    <w:rsid w:val="00573601"/>
    <w:rsid w:val="0057361E"/>
    <w:rsid w:val="00573650"/>
    <w:rsid w:val="0057365A"/>
    <w:rsid w:val="00573673"/>
    <w:rsid w:val="00573695"/>
    <w:rsid w:val="005736A9"/>
    <w:rsid w:val="005736C6"/>
    <w:rsid w:val="005736F4"/>
    <w:rsid w:val="0057374E"/>
    <w:rsid w:val="0057376D"/>
    <w:rsid w:val="005737A2"/>
    <w:rsid w:val="005737B8"/>
    <w:rsid w:val="005737BA"/>
    <w:rsid w:val="00573800"/>
    <w:rsid w:val="0057380C"/>
    <w:rsid w:val="00573837"/>
    <w:rsid w:val="0057385D"/>
    <w:rsid w:val="00573875"/>
    <w:rsid w:val="00573878"/>
    <w:rsid w:val="00573881"/>
    <w:rsid w:val="00573884"/>
    <w:rsid w:val="0057388B"/>
    <w:rsid w:val="005738AF"/>
    <w:rsid w:val="005738BA"/>
    <w:rsid w:val="005738CE"/>
    <w:rsid w:val="0057390A"/>
    <w:rsid w:val="0057392A"/>
    <w:rsid w:val="0057395F"/>
    <w:rsid w:val="00573974"/>
    <w:rsid w:val="005739BC"/>
    <w:rsid w:val="005739D6"/>
    <w:rsid w:val="00573A93"/>
    <w:rsid w:val="00573AC8"/>
    <w:rsid w:val="00573AF6"/>
    <w:rsid w:val="00573B23"/>
    <w:rsid w:val="00573B2F"/>
    <w:rsid w:val="00573BAB"/>
    <w:rsid w:val="00573C0C"/>
    <w:rsid w:val="00573C23"/>
    <w:rsid w:val="00573C24"/>
    <w:rsid w:val="00573C3E"/>
    <w:rsid w:val="00573C7B"/>
    <w:rsid w:val="00573D3A"/>
    <w:rsid w:val="00573D69"/>
    <w:rsid w:val="00573D99"/>
    <w:rsid w:val="00573DBE"/>
    <w:rsid w:val="00573DFC"/>
    <w:rsid w:val="00573EF1"/>
    <w:rsid w:val="00573F3A"/>
    <w:rsid w:val="00573F9E"/>
    <w:rsid w:val="0057404E"/>
    <w:rsid w:val="0057405F"/>
    <w:rsid w:val="00574073"/>
    <w:rsid w:val="00574079"/>
    <w:rsid w:val="005740CE"/>
    <w:rsid w:val="005740DE"/>
    <w:rsid w:val="0057412B"/>
    <w:rsid w:val="00574142"/>
    <w:rsid w:val="00574159"/>
    <w:rsid w:val="0057415B"/>
    <w:rsid w:val="005741A5"/>
    <w:rsid w:val="005741AF"/>
    <w:rsid w:val="005741D0"/>
    <w:rsid w:val="005741EE"/>
    <w:rsid w:val="005741F7"/>
    <w:rsid w:val="005741F9"/>
    <w:rsid w:val="00574286"/>
    <w:rsid w:val="005742C1"/>
    <w:rsid w:val="00574305"/>
    <w:rsid w:val="0057430B"/>
    <w:rsid w:val="00574313"/>
    <w:rsid w:val="00574387"/>
    <w:rsid w:val="0057438E"/>
    <w:rsid w:val="005743AB"/>
    <w:rsid w:val="005743ED"/>
    <w:rsid w:val="005743F2"/>
    <w:rsid w:val="00574402"/>
    <w:rsid w:val="00574405"/>
    <w:rsid w:val="00574409"/>
    <w:rsid w:val="00574471"/>
    <w:rsid w:val="005744D0"/>
    <w:rsid w:val="005744EB"/>
    <w:rsid w:val="005744FE"/>
    <w:rsid w:val="00574517"/>
    <w:rsid w:val="0057456C"/>
    <w:rsid w:val="00574594"/>
    <w:rsid w:val="005745BA"/>
    <w:rsid w:val="005745D4"/>
    <w:rsid w:val="005745E3"/>
    <w:rsid w:val="0057463A"/>
    <w:rsid w:val="0057466B"/>
    <w:rsid w:val="00574689"/>
    <w:rsid w:val="005746B1"/>
    <w:rsid w:val="005746D8"/>
    <w:rsid w:val="005746DD"/>
    <w:rsid w:val="005746EA"/>
    <w:rsid w:val="00574745"/>
    <w:rsid w:val="00574747"/>
    <w:rsid w:val="005747A6"/>
    <w:rsid w:val="00574813"/>
    <w:rsid w:val="005748A9"/>
    <w:rsid w:val="005748DD"/>
    <w:rsid w:val="005748E6"/>
    <w:rsid w:val="005748F0"/>
    <w:rsid w:val="00574958"/>
    <w:rsid w:val="0057497E"/>
    <w:rsid w:val="005749AB"/>
    <w:rsid w:val="005749BA"/>
    <w:rsid w:val="005749E3"/>
    <w:rsid w:val="00574A34"/>
    <w:rsid w:val="00574A40"/>
    <w:rsid w:val="00574A47"/>
    <w:rsid w:val="00574A56"/>
    <w:rsid w:val="00574A5B"/>
    <w:rsid w:val="00574AD1"/>
    <w:rsid w:val="00574B0E"/>
    <w:rsid w:val="00574B52"/>
    <w:rsid w:val="00574B9E"/>
    <w:rsid w:val="00574BAF"/>
    <w:rsid w:val="00574C0D"/>
    <w:rsid w:val="00574C2A"/>
    <w:rsid w:val="00574C6B"/>
    <w:rsid w:val="00574C84"/>
    <w:rsid w:val="00574C94"/>
    <w:rsid w:val="00574C9A"/>
    <w:rsid w:val="00574CBE"/>
    <w:rsid w:val="00574CC5"/>
    <w:rsid w:val="00574CE9"/>
    <w:rsid w:val="00574CEC"/>
    <w:rsid w:val="00574CED"/>
    <w:rsid w:val="00574D05"/>
    <w:rsid w:val="00574D3A"/>
    <w:rsid w:val="00574D8F"/>
    <w:rsid w:val="00574DA1"/>
    <w:rsid w:val="00574DA4"/>
    <w:rsid w:val="00574DA9"/>
    <w:rsid w:val="00574DC1"/>
    <w:rsid w:val="00574DE5"/>
    <w:rsid w:val="00574E2F"/>
    <w:rsid w:val="00574E37"/>
    <w:rsid w:val="00574E5D"/>
    <w:rsid w:val="00574EBD"/>
    <w:rsid w:val="00574EC7"/>
    <w:rsid w:val="00574EE9"/>
    <w:rsid w:val="00574EF1"/>
    <w:rsid w:val="00574F02"/>
    <w:rsid w:val="00574FD7"/>
    <w:rsid w:val="00574FE0"/>
    <w:rsid w:val="0057501F"/>
    <w:rsid w:val="0057503B"/>
    <w:rsid w:val="0057503C"/>
    <w:rsid w:val="00575071"/>
    <w:rsid w:val="00575072"/>
    <w:rsid w:val="005750B9"/>
    <w:rsid w:val="005750D8"/>
    <w:rsid w:val="00575145"/>
    <w:rsid w:val="0057514F"/>
    <w:rsid w:val="00575150"/>
    <w:rsid w:val="00575158"/>
    <w:rsid w:val="005751FD"/>
    <w:rsid w:val="00575203"/>
    <w:rsid w:val="00575206"/>
    <w:rsid w:val="0057520A"/>
    <w:rsid w:val="00575243"/>
    <w:rsid w:val="0057525B"/>
    <w:rsid w:val="0057526F"/>
    <w:rsid w:val="0057527B"/>
    <w:rsid w:val="005752F4"/>
    <w:rsid w:val="00575302"/>
    <w:rsid w:val="00575315"/>
    <w:rsid w:val="00575336"/>
    <w:rsid w:val="00575357"/>
    <w:rsid w:val="00575419"/>
    <w:rsid w:val="0057541D"/>
    <w:rsid w:val="0057544D"/>
    <w:rsid w:val="0057546C"/>
    <w:rsid w:val="0057547A"/>
    <w:rsid w:val="005754B1"/>
    <w:rsid w:val="005755A9"/>
    <w:rsid w:val="005755CC"/>
    <w:rsid w:val="005755E5"/>
    <w:rsid w:val="005755FE"/>
    <w:rsid w:val="00575632"/>
    <w:rsid w:val="005756F2"/>
    <w:rsid w:val="005756F9"/>
    <w:rsid w:val="00575719"/>
    <w:rsid w:val="00575754"/>
    <w:rsid w:val="0057576D"/>
    <w:rsid w:val="005757A4"/>
    <w:rsid w:val="005757AB"/>
    <w:rsid w:val="00575800"/>
    <w:rsid w:val="00575817"/>
    <w:rsid w:val="0057583E"/>
    <w:rsid w:val="00575845"/>
    <w:rsid w:val="00575868"/>
    <w:rsid w:val="00575870"/>
    <w:rsid w:val="0057587D"/>
    <w:rsid w:val="00575887"/>
    <w:rsid w:val="005758C5"/>
    <w:rsid w:val="00575909"/>
    <w:rsid w:val="0057591E"/>
    <w:rsid w:val="00575921"/>
    <w:rsid w:val="00575924"/>
    <w:rsid w:val="00575929"/>
    <w:rsid w:val="0057598F"/>
    <w:rsid w:val="00575994"/>
    <w:rsid w:val="0057599B"/>
    <w:rsid w:val="00575A13"/>
    <w:rsid w:val="00575A19"/>
    <w:rsid w:val="00575A63"/>
    <w:rsid w:val="00575B08"/>
    <w:rsid w:val="00575B99"/>
    <w:rsid w:val="00575C0C"/>
    <w:rsid w:val="00575C1A"/>
    <w:rsid w:val="00575C2E"/>
    <w:rsid w:val="00575C78"/>
    <w:rsid w:val="00575C8E"/>
    <w:rsid w:val="00575CAC"/>
    <w:rsid w:val="00575CBD"/>
    <w:rsid w:val="00575CBE"/>
    <w:rsid w:val="00575CEF"/>
    <w:rsid w:val="00575D0C"/>
    <w:rsid w:val="00575D7C"/>
    <w:rsid w:val="00575D85"/>
    <w:rsid w:val="00575D8E"/>
    <w:rsid w:val="00575DAB"/>
    <w:rsid w:val="00575DAC"/>
    <w:rsid w:val="00575DB7"/>
    <w:rsid w:val="00575DEF"/>
    <w:rsid w:val="00575E73"/>
    <w:rsid w:val="00575EC2"/>
    <w:rsid w:val="00575ED9"/>
    <w:rsid w:val="00575EDF"/>
    <w:rsid w:val="00575F3C"/>
    <w:rsid w:val="00575F3D"/>
    <w:rsid w:val="00575F8A"/>
    <w:rsid w:val="00575F8D"/>
    <w:rsid w:val="00575FA1"/>
    <w:rsid w:val="00576006"/>
    <w:rsid w:val="00576045"/>
    <w:rsid w:val="005760B7"/>
    <w:rsid w:val="005760B9"/>
    <w:rsid w:val="005760E5"/>
    <w:rsid w:val="00576107"/>
    <w:rsid w:val="0057612C"/>
    <w:rsid w:val="00576135"/>
    <w:rsid w:val="00576159"/>
    <w:rsid w:val="00576164"/>
    <w:rsid w:val="005761D8"/>
    <w:rsid w:val="005761EF"/>
    <w:rsid w:val="0057620D"/>
    <w:rsid w:val="00576226"/>
    <w:rsid w:val="005762A9"/>
    <w:rsid w:val="005762BE"/>
    <w:rsid w:val="005762F8"/>
    <w:rsid w:val="0057633D"/>
    <w:rsid w:val="00576355"/>
    <w:rsid w:val="0057636B"/>
    <w:rsid w:val="0057637A"/>
    <w:rsid w:val="0057637C"/>
    <w:rsid w:val="0057638D"/>
    <w:rsid w:val="00576394"/>
    <w:rsid w:val="005763DF"/>
    <w:rsid w:val="00576406"/>
    <w:rsid w:val="005764BB"/>
    <w:rsid w:val="005764E1"/>
    <w:rsid w:val="00576504"/>
    <w:rsid w:val="0057650D"/>
    <w:rsid w:val="00576510"/>
    <w:rsid w:val="00576516"/>
    <w:rsid w:val="00576547"/>
    <w:rsid w:val="0057655A"/>
    <w:rsid w:val="0057655F"/>
    <w:rsid w:val="00576591"/>
    <w:rsid w:val="005765C4"/>
    <w:rsid w:val="005765EE"/>
    <w:rsid w:val="00576627"/>
    <w:rsid w:val="00576633"/>
    <w:rsid w:val="00576672"/>
    <w:rsid w:val="0057669F"/>
    <w:rsid w:val="005766E1"/>
    <w:rsid w:val="005766FA"/>
    <w:rsid w:val="00576751"/>
    <w:rsid w:val="0057675E"/>
    <w:rsid w:val="005767AA"/>
    <w:rsid w:val="005767D5"/>
    <w:rsid w:val="00576826"/>
    <w:rsid w:val="0057682C"/>
    <w:rsid w:val="00576833"/>
    <w:rsid w:val="005768C4"/>
    <w:rsid w:val="005768CB"/>
    <w:rsid w:val="0057697C"/>
    <w:rsid w:val="005769CA"/>
    <w:rsid w:val="005769F1"/>
    <w:rsid w:val="00576A00"/>
    <w:rsid w:val="00576A07"/>
    <w:rsid w:val="00576A26"/>
    <w:rsid w:val="00576A3B"/>
    <w:rsid w:val="00576A43"/>
    <w:rsid w:val="00576A44"/>
    <w:rsid w:val="00576B03"/>
    <w:rsid w:val="00576B70"/>
    <w:rsid w:val="00576B7C"/>
    <w:rsid w:val="00576B80"/>
    <w:rsid w:val="00576B8D"/>
    <w:rsid w:val="00576BEF"/>
    <w:rsid w:val="00576BFB"/>
    <w:rsid w:val="00576C2C"/>
    <w:rsid w:val="00576C2E"/>
    <w:rsid w:val="00576C5E"/>
    <w:rsid w:val="00576CCB"/>
    <w:rsid w:val="00576CE2"/>
    <w:rsid w:val="00576D0E"/>
    <w:rsid w:val="00576D20"/>
    <w:rsid w:val="00576D30"/>
    <w:rsid w:val="00576D4F"/>
    <w:rsid w:val="00576D95"/>
    <w:rsid w:val="00576DA7"/>
    <w:rsid w:val="00576DF7"/>
    <w:rsid w:val="00576E02"/>
    <w:rsid w:val="00576E06"/>
    <w:rsid w:val="00576E14"/>
    <w:rsid w:val="00576E34"/>
    <w:rsid w:val="00576E68"/>
    <w:rsid w:val="00576E90"/>
    <w:rsid w:val="00576E9E"/>
    <w:rsid w:val="00576EB9"/>
    <w:rsid w:val="00576EC8"/>
    <w:rsid w:val="00576FF6"/>
    <w:rsid w:val="00577054"/>
    <w:rsid w:val="0057706C"/>
    <w:rsid w:val="00577077"/>
    <w:rsid w:val="005770B3"/>
    <w:rsid w:val="005770D6"/>
    <w:rsid w:val="00577106"/>
    <w:rsid w:val="00577119"/>
    <w:rsid w:val="00577123"/>
    <w:rsid w:val="00577151"/>
    <w:rsid w:val="00577171"/>
    <w:rsid w:val="005771B2"/>
    <w:rsid w:val="005771C6"/>
    <w:rsid w:val="005771C9"/>
    <w:rsid w:val="005771CA"/>
    <w:rsid w:val="005771D7"/>
    <w:rsid w:val="005771F5"/>
    <w:rsid w:val="005771F7"/>
    <w:rsid w:val="00577231"/>
    <w:rsid w:val="005772CC"/>
    <w:rsid w:val="00577311"/>
    <w:rsid w:val="00577320"/>
    <w:rsid w:val="0057732C"/>
    <w:rsid w:val="00577336"/>
    <w:rsid w:val="00577344"/>
    <w:rsid w:val="005773B9"/>
    <w:rsid w:val="005773DE"/>
    <w:rsid w:val="00577416"/>
    <w:rsid w:val="00577422"/>
    <w:rsid w:val="00577462"/>
    <w:rsid w:val="005774F8"/>
    <w:rsid w:val="00577544"/>
    <w:rsid w:val="0057754B"/>
    <w:rsid w:val="00577560"/>
    <w:rsid w:val="00577584"/>
    <w:rsid w:val="005775A7"/>
    <w:rsid w:val="005775C9"/>
    <w:rsid w:val="005775DD"/>
    <w:rsid w:val="005775FF"/>
    <w:rsid w:val="00577601"/>
    <w:rsid w:val="00577613"/>
    <w:rsid w:val="00577648"/>
    <w:rsid w:val="0057764F"/>
    <w:rsid w:val="00577664"/>
    <w:rsid w:val="00577666"/>
    <w:rsid w:val="005776DE"/>
    <w:rsid w:val="00577715"/>
    <w:rsid w:val="005777B8"/>
    <w:rsid w:val="005777F3"/>
    <w:rsid w:val="005777F7"/>
    <w:rsid w:val="00577836"/>
    <w:rsid w:val="0057785C"/>
    <w:rsid w:val="0057788B"/>
    <w:rsid w:val="00577894"/>
    <w:rsid w:val="005778CC"/>
    <w:rsid w:val="005778DB"/>
    <w:rsid w:val="005778EC"/>
    <w:rsid w:val="00577900"/>
    <w:rsid w:val="0057799E"/>
    <w:rsid w:val="005779F4"/>
    <w:rsid w:val="00577A1E"/>
    <w:rsid w:val="00577A76"/>
    <w:rsid w:val="00577A89"/>
    <w:rsid w:val="00577B06"/>
    <w:rsid w:val="00577B2A"/>
    <w:rsid w:val="00577B85"/>
    <w:rsid w:val="00577BB8"/>
    <w:rsid w:val="00577BBB"/>
    <w:rsid w:val="00577BE5"/>
    <w:rsid w:val="00577C14"/>
    <w:rsid w:val="00577C19"/>
    <w:rsid w:val="00577CA9"/>
    <w:rsid w:val="00577CBF"/>
    <w:rsid w:val="00577CC3"/>
    <w:rsid w:val="00577D41"/>
    <w:rsid w:val="00577D6A"/>
    <w:rsid w:val="00577DA9"/>
    <w:rsid w:val="00577DBD"/>
    <w:rsid w:val="00577DC4"/>
    <w:rsid w:val="00577DD6"/>
    <w:rsid w:val="00577DEF"/>
    <w:rsid w:val="00577DFE"/>
    <w:rsid w:val="00577E7E"/>
    <w:rsid w:val="00577EC8"/>
    <w:rsid w:val="00577F95"/>
    <w:rsid w:val="00577FA4"/>
    <w:rsid w:val="00577FAF"/>
    <w:rsid w:val="00580047"/>
    <w:rsid w:val="00580049"/>
    <w:rsid w:val="005800BB"/>
    <w:rsid w:val="005800D4"/>
    <w:rsid w:val="005800F9"/>
    <w:rsid w:val="0058010C"/>
    <w:rsid w:val="0058010F"/>
    <w:rsid w:val="00580271"/>
    <w:rsid w:val="00580272"/>
    <w:rsid w:val="005802A4"/>
    <w:rsid w:val="00580340"/>
    <w:rsid w:val="0058035F"/>
    <w:rsid w:val="00580367"/>
    <w:rsid w:val="0058039D"/>
    <w:rsid w:val="005803B8"/>
    <w:rsid w:val="00580419"/>
    <w:rsid w:val="0058045D"/>
    <w:rsid w:val="00580480"/>
    <w:rsid w:val="005804DD"/>
    <w:rsid w:val="00580533"/>
    <w:rsid w:val="00580561"/>
    <w:rsid w:val="00580573"/>
    <w:rsid w:val="005805CC"/>
    <w:rsid w:val="005805D6"/>
    <w:rsid w:val="005805DB"/>
    <w:rsid w:val="00580617"/>
    <w:rsid w:val="0058063C"/>
    <w:rsid w:val="0058063E"/>
    <w:rsid w:val="00580648"/>
    <w:rsid w:val="005806DD"/>
    <w:rsid w:val="00580732"/>
    <w:rsid w:val="0058073A"/>
    <w:rsid w:val="005807DC"/>
    <w:rsid w:val="0058082E"/>
    <w:rsid w:val="00580856"/>
    <w:rsid w:val="00580871"/>
    <w:rsid w:val="005808B6"/>
    <w:rsid w:val="005808D0"/>
    <w:rsid w:val="005808EA"/>
    <w:rsid w:val="0058090D"/>
    <w:rsid w:val="00580932"/>
    <w:rsid w:val="0058096F"/>
    <w:rsid w:val="005809DC"/>
    <w:rsid w:val="005809FB"/>
    <w:rsid w:val="00580A5C"/>
    <w:rsid w:val="00580A5D"/>
    <w:rsid w:val="00580B0C"/>
    <w:rsid w:val="00580B1C"/>
    <w:rsid w:val="00580B1D"/>
    <w:rsid w:val="00580B2B"/>
    <w:rsid w:val="00580B65"/>
    <w:rsid w:val="00580B77"/>
    <w:rsid w:val="00580BFE"/>
    <w:rsid w:val="00580C0D"/>
    <w:rsid w:val="00580C0F"/>
    <w:rsid w:val="00580C27"/>
    <w:rsid w:val="00580C71"/>
    <w:rsid w:val="00580CAA"/>
    <w:rsid w:val="00580CB9"/>
    <w:rsid w:val="00580CD7"/>
    <w:rsid w:val="00580D28"/>
    <w:rsid w:val="00580D6F"/>
    <w:rsid w:val="00580DC1"/>
    <w:rsid w:val="00580E5C"/>
    <w:rsid w:val="00580ED1"/>
    <w:rsid w:val="00580F18"/>
    <w:rsid w:val="00580F20"/>
    <w:rsid w:val="00580F39"/>
    <w:rsid w:val="00580F42"/>
    <w:rsid w:val="00580F69"/>
    <w:rsid w:val="00580FAB"/>
    <w:rsid w:val="0058100C"/>
    <w:rsid w:val="0058106F"/>
    <w:rsid w:val="00581093"/>
    <w:rsid w:val="00581131"/>
    <w:rsid w:val="0058117E"/>
    <w:rsid w:val="005811A2"/>
    <w:rsid w:val="005811A3"/>
    <w:rsid w:val="005811BB"/>
    <w:rsid w:val="005811F5"/>
    <w:rsid w:val="005811FF"/>
    <w:rsid w:val="00581212"/>
    <w:rsid w:val="00581261"/>
    <w:rsid w:val="00581281"/>
    <w:rsid w:val="005812CF"/>
    <w:rsid w:val="0058135C"/>
    <w:rsid w:val="00581370"/>
    <w:rsid w:val="00581388"/>
    <w:rsid w:val="005813A1"/>
    <w:rsid w:val="005813B1"/>
    <w:rsid w:val="0058141C"/>
    <w:rsid w:val="0058144F"/>
    <w:rsid w:val="0058148B"/>
    <w:rsid w:val="005814DF"/>
    <w:rsid w:val="005814E0"/>
    <w:rsid w:val="005814FB"/>
    <w:rsid w:val="00581518"/>
    <w:rsid w:val="00581519"/>
    <w:rsid w:val="00581524"/>
    <w:rsid w:val="00581538"/>
    <w:rsid w:val="00581569"/>
    <w:rsid w:val="00581598"/>
    <w:rsid w:val="005815EC"/>
    <w:rsid w:val="0058163B"/>
    <w:rsid w:val="00581653"/>
    <w:rsid w:val="00581664"/>
    <w:rsid w:val="00581674"/>
    <w:rsid w:val="00581690"/>
    <w:rsid w:val="005816A3"/>
    <w:rsid w:val="005816D5"/>
    <w:rsid w:val="005816E5"/>
    <w:rsid w:val="005816FD"/>
    <w:rsid w:val="00581715"/>
    <w:rsid w:val="0058171C"/>
    <w:rsid w:val="00581754"/>
    <w:rsid w:val="00581777"/>
    <w:rsid w:val="00581786"/>
    <w:rsid w:val="00581818"/>
    <w:rsid w:val="00581854"/>
    <w:rsid w:val="0058187C"/>
    <w:rsid w:val="005818F8"/>
    <w:rsid w:val="00581935"/>
    <w:rsid w:val="0058194E"/>
    <w:rsid w:val="005819A0"/>
    <w:rsid w:val="005819C5"/>
    <w:rsid w:val="005819D9"/>
    <w:rsid w:val="00581A16"/>
    <w:rsid w:val="00581A54"/>
    <w:rsid w:val="00581A69"/>
    <w:rsid w:val="00581A94"/>
    <w:rsid w:val="00581A9E"/>
    <w:rsid w:val="00581ACA"/>
    <w:rsid w:val="00581AF1"/>
    <w:rsid w:val="00581B2D"/>
    <w:rsid w:val="00581B79"/>
    <w:rsid w:val="00581B9C"/>
    <w:rsid w:val="00581BED"/>
    <w:rsid w:val="00581C22"/>
    <w:rsid w:val="00581C34"/>
    <w:rsid w:val="00581C3D"/>
    <w:rsid w:val="00581C46"/>
    <w:rsid w:val="00581C6F"/>
    <w:rsid w:val="00581C8E"/>
    <w:rsid w:val="00581C9D"/>
    <w:rsid w:val="00581D0D"/>
    <w:rsid w:val="00581D10"/>
    <w:rsid w:val="00581DAE"/>
    <w:rsid w:val="00581DB6"/>
    <w:rsid w:val="00581DB7"/>
    <w:rsid w:val="00581DC0"/>
    <w:rsid w:val="00581DCC"/>
    <w:rsid w:val="00581DDC"/>
    <w:rsid w:val="00581DF2"/>
    <w:rsid w:val="00581E24"/>
    <w:rsid w:val="00581E33"/>
    <w:rsid w:val="00581E40"/>
    <w:rsid w:val="00581E70"/>
    <w:rsid w:val="00581E82"/>
    <w:rsid w:val="00581F85"/>
    <w:rsid w:val="00581F86"/>
    <w:rsid w:val="00581FA8"/>
    <w:rsid w:val="00581FB6"/>
    <w:rsid w:val="0058206A"/>
    <w:rsid w:val="005820CA"/>
    <w:rsid w:val="005820CC"/>
    <w:rsid w:val="005820DF"/>
    <w:rsid w:val="005820EE"/>
    <w:rsid w:val="005820F1"/>
    <w:rsid w:val="005820FB"/>
    <w:rsid w:val="005821D0"/>
    <w:rsid w:val="005821FE"/>
    <w:rsid w:val="00582214"/>
    <w:rsid w:val="00582255"/>
    <w:rsid w:val="0058229A"/>
    <w:rsid w:val="00582329"/>
    <w:rsid w:val="0058233B"/>
    <w:rsid w:val="00582366"/>
    <w:rsid w:val="005823A4"/>
    <w:rsid w:val="005823AD"/>
    <w:rsid w:val="005823AF"/>
    <w:rsid w:val="005823CE"/>
    <w:rsid w:val="005823D7"/>
    <w:rsid w:val="005823ED"/>
    <w:rsid w:val="005823FA"/>
    <w:rsid w:val="00582404"/>
    <w:rsid w:val="0058241B"/>
    <w:rsid w:val="00582466"/>
    <w:rsid w:val="0058248D"/>
    <w:rsid w:val="005824AC"/>
    <w:rsid w:val="005824C0"/>
    <w:rsid w:val="005824C8"/>
    <w:rsid w:val="005824D6"/>
    <w:rsid w:val="005824E8"/>
    <w:rsid w:val="0058254F"/>
    <w:rsid w:val="005825CE"/>
    <w:rsid w:val="005825D7"/>
    <w:rsid w:val="00582615"/>
    <w:rsid w:val="0058265C"/>
    <w:rsid w:val="00582678"/>
    <w:rsid w:val="005826AC"/>
    <w:rsid w:val="005826D9"/>
    <w:rsid w:val="005826F5"/>
    <w:rsid w:val="005826FC"/>
    <w:rsid w:val="0058272C"/>
    <w:rsid w:val="0058273B"/>
    <w:rsid w:val="0058274D"/>
    <w:rsid w:val="00582763"/>
    <w:rsid w:val="00582770"/>
    <w:rsid w:val="0058277B"/>
    <w:rsid w:val="005827AE"/>
    <w:rsid w:val="005827BC"/>
    <w:rsid w:val="005827EB"/>
    <w:rsid w:val="00582809"/>
    <w:rsid w:val="0058283C"/>
    <w:rsid w:val="0058284C"/>
    <w:rsid w:val="00582871"/>
    <w:rsid w:val="0058288C"/>
    <w:rsid w:val="005828A2"/>
    <w:rsid w:val="005828A7"/>
    <w:rsid w:val="005828B3"/>
    <w:rsid w:val="005828D5"/>
    <w:rsid w:val="00582902"/>
    <w:rsid w:val="00582981"/>
    <w:rsid w:val="005829EB"/>
    <w:rsid w:val="00582A46"/>
    <w:rsid w:val="00582A72"/>
    <w:rsid w:val="00582A91"/>
    <w:rsid w:val="00582ACE"/>
    <w:rsid w:val="00582AD3"/>
    <w:rsid w:val="00582B2A"/>
    <w:rsid w:val="00582BD4"/>
    <w:rsid w:val="00582BDD"/>
    <w:rsid w:val="00582C02"/>
    <w:rsid w:val="00582C0F"/>
    <w:rsid w:val="00582C55"/>
    <w:rsid w:val="00582C5D"/>
    <w:rsid w:val="00582CB2"/>
    <w:rsid w:val="00582D0D"/>
    <w:rsid w:val="00582D16"/>
    <w:rsid w:val="00582D39"/>
    <w:rsid w:val="00582D5C"/>
    <w:rsid w:val="00582D67"/>
    <w:rsid w:val="00582D95"/>
    <w:rsid w:val="00582D98"/>
    <w:rsid w:val="00582DB1"/>
    <w:rsid w:val="00582DFD"/>
    <w:rsid w:val="00582E25"/>
    <w:rsid w:val="00582E3A"/>
    <w:rsid w:val="00582E43"/>
    <w:rsid w:val="00582E62"/>
    <w:rsid w:val="00582E8C"/>
    <w:rsid w:val="00582EBF"/>
    <w:rsid w:val="00582ED6"/>
    <w:rsid w:val="00582F0B"/>
    <w:rsid w:val="00582F34"/>
    <w:rsid w:val="00582F38"/>
    <w:rsid w:val="00582F48"/>
    <w:rsid w:val="00582F4B"/>
    <w:rsid w:val="00582FC6"/>
    <w:rsid w:val="00582FE0"/>
    <w:rsid w:val="00582FE4"/>
    <w:rsid w:val="00582FE7"/>
    <w:rsid w:val="0058300D"/>
    <w:rsid w:val="00583040"/>
    <w:rsid w:val="00583059"/>
    <w:rsid w:val="00583079"/>
    <w:rsid w:val="00583083"/>
    <w:rsid w:val="00583087"/>
    <w:rsid w:val="005830F7"/>
    <w:rsid w:val="005830FD"/>
    <w:rsid w:val="00583105"/>
    <w:rsid w:val="00583137"/>
    <w:rsid w:val="005831DA"/>
    <w:rsid w:val="00583216"/>
    <w:rsid w:val="00583221"/>
    <w:rsid w:val="00583271"/>
    <w:rsid w:val="00583291"/>
    <w:rsid w:val="005832B2"/>
    <w:rsid w:val="005832F9"/>
    <w:rsid w:val="0058330D"/>
    <w:rsid w:val="0058332A"/>
    <w:rsid w:val="0058332F"/>
    <w:rsid w:val="00583371"/>
    <w:rsid w:val="00583380"/>
    <w:rsid w:val="005833B7"/>
    <w:rsid w:val="00583450"/>
    <w:rsid w:val="00583483"/>
    <w:rsid w:val="005834C4"/>
    <w:rsid w:val="005834DF"/>
    <w:rsid w:val="0058351D"/>
    <w:rsid w:val="00583534"/>
    <w:rsid w:val="00583574"/>
    <w:rsid w:val="005835B0"/>
    <w:rsid w:val="005835F5"/>
    <w:rsid w:val="005835F7"/>
    <w:rsid w:val="0058360A"/>
    <w:rsid w:val="00583621"/>
    <w:rsid w:val="00583658"/>
    <w:rsid w:val="005836A0"/>
    <w:rsid w:val="005836BD"/>
    <w:rsid w:val="005836CF"/>
    <w:rsid w:val="005836F0"/>
    <w:rsid w:val="00583718"/>
    <w:rsid w:val="005837B9"/>
    <w:rsid w:val="005837F6"/>
    <w:rsid w:val="005837FF"/>
    <w:rsid w:val="00583817"/>
    <w:rsid w:val="00583844"/>
    <w:rsid w:val="00583845"/>
    <w:rsid w:val="0058388F"/>
    <w:rsid w:val="005838BE"/>
    <w:rsid w:val="005838EC"/>
    <w:rsid w:val="005838FC"/>
    <w:rsid w:val="00583988"/>
    <w:rsid w:val="0058399E"/>
    <w:rsid w:val="00583A12"/>
    <w:rsid w:val="00583A62"/>
    <w:rsid w:val="00583A64"/>
    <w:rsid w:val="00583ABD"/>
    <w:rsid w:val="00583B1E"/>
    <w:rsid w:val="00583BD6"/>
    <w:rsid w:val="00583BF3"/>
    <w:rsid w:val="00583CB4"/>
    <w:rsid w:val="00583CDE"/>
    <w:rsid w:val="00583D02"/>
    <w:rsid w:val="00583D2D"/>
    <w:rsid w:val="00583D63"/>
    <w:rsid w:val="00583D7E"/>
    <w:rsid w:val="00583EA8"/>
    <w:rsid w:val="00583EC5"/>
    <w:rsid w:val="00583EF0"/>
    <w:rsid w:val="00583F82"/>
    <w:rsid w:val="00583FCF"/>
    <w:rsid w:val="00584009"/>
    <w:rsid w:val="00584049"/>
    <w:rsid w:val="0058405A"/>
    <w:rsid w:val="0058405E"/>
    <w:rsid w:val="005840AB"/>
    <w:rsid w:val="005840CA"/>
    <w:rsid w:val="005840EA"/>
    <w:rsid w:val="00584101"/>
    <w:rsid w:val="0058413C"/>
    <w:rsid w:val="0058414C"/>
    <w:rsid w:val="0058417C"/>
    <w:rsid w:val="00584199"/>
    <w:rsid w:val="005841CA"/>
    <w:rsid w:val="005841E2"/>
    <w:rsid w:val="00584203"/>
    <w:rsid w:val="00584231"/>
    <w:rsid w:val="00584239"/>
    <w:rsid w:val="0058424F"/>
    <w:rsid w:val="00584295"/>
    <w:rsid w:val="005842A5"/>
    <w:rsid w:val="005842A6"/>
    <w:rsid w:val="005842D9"/>
    <w:rsid w:val="005842E0"/>
    <w:rsid w:val="00584339"/>
    <w:rsid w:val="00584343"/>
    <w:rsid w:val="0058438B"/>
    <w:rsid w:val="00584394"/>
    <w:rsid w:val="005843AB"/>
    <w:rsid w:val="005843FB"/>
    <w:rsid w:val="00584419"/>
    <w:rsid w:val="00584440"/>
    <w:rsid w:val="0058449C"/>
    <w:rsid w:val="0058452F"/>
    <w:rsid w:val="0058454B"/>
    <w:rsid w:val="00584576"/>
    <w:rsid w:val="00584584"/>
    <w:rsid w:val="005845CC"/>
    <w:rsid w:val="00584671"/>
    <w:rsid w:val="0058470F"/>
    <w:rsid w:val="0058476F"/>
    <w:rsid w:val="005847BC"/>
    <w:rsid w:val="005847C5"/>
    <w:rsid w:val="005847CD"/>
    <w:rsid w:val="005847EA"/>
    <w:rsid w:val="005847FD"/>
    <w:rsid w:val="005848A5"/>
    <w:rsid w:val="005848EA"/>
    <w:rsid w:val="00584962"/>
    <w:rsid w:val="0058497E"/>
    <w:rsid w:val="00584993"/>
    <w:rsid w:val="00584996"/>
    <w:rsid w:val="00584A27"/>
    <w:rsid w:val="00584AA5"/>
    <w:rsid w:val="00584AB0"/>
    <w:rsid w:val="00584AF2"/>
    <w:rsid w:val="00584AF8"/>
    <w:rsid w:val="00584B03"/>
    <w:rsid w:val="00584B17"/>
    <w:rsid w:val="00584B23"/>
    <w:rsid w:val="00584BB9"/>
    <w:rsid w:val="00584C1A"/>
    <w:rsid w:val="00584C21"/>
    <w:rsid w:val="00584C25"/>
    <w:rsid w:val="00584CD9"/>
    <w:rsid w:val="00584CDE"/>
    <w:rsid w:val="00584CF7"/>
    <w:rsid w:val="00584D2E"/>
    <w:rsid w:val="00584D5F"/>
    <w:rsid w:val="00584D62"/>
    <w:rsid w:val="00584D7E"/>
    <w:rsid w:val="00584DE8"/>
    <w:rsid w:val="00584DF3"/>
    <w:rsid w:val="00584E11"/>
    <w:rsid w:val="00584E14"/>
    <w:rsid w:val="00584E71"/>
    <w:rsid w:val="00584ED3"/>
    <w:rsid w:val="00584EED"/>
    <w:rsid w:val="00584EF2"/>
    <w:rsid w:val="00584F30"/>
    <w:rsid w:val="00584F49"/>
    <w:rsid w:val="00584F5D"/>
    <w:rsid w:val="00584F78"/>
    <w:rsid w:val="00585005"/>
    <w:rsid w:val="00585068"/>
    <w:rsid w:val="0058509F"/>
    <w:rsid w:val="005850AF"/>
    <w:rsid w:val="00585117"/>
    <w:rsid w:val="00585162"/>
    <w:rsid w:val="005851D0"/>
    <w:rsid w:val="005851D9"/>
    <w:rsid w:val="005851DC"/>
    <w:rsid w:val="005851E9"/>
    <w:rsid w:val="00585235"/>
    <w:rsid w:val="005852CE"/>
    <w:rsid w:val="005852DF"/>
    <w:rsid w:val="00585305"/>
    <w:rsid w:val="0058530D"/>
    <w:rsid w:val="00585313"/>
    <w:rsid w:val="00585344"/>
    <w:rsid w:val="0058544C"/>
    <w:rsid w:val="00585458"/>
    <w:rsid w:val="005854EE"/>
    <w:rsid w:val="00585534"/>
    <w:rsid w:val="00585561"/>
    <w:rsid w:val="00585574"/>
    <w:rsid w:val="005855C7"/>
    <w:rsid w:val="005855DF"/>
    <w:rsid w:val="005855ED"/>
    <w:rsid w:val="00585686"/>
    <w:rsid w:val="0058568F"/>
    <w:rsid w:val="0058569F"/>
    <w:rsid w:val="005856A8"/>
    <w:rsid w:val="005856D4"/>
    <w:rsid w:val="005856F4"/>
    <w:rsid w:val="0058570F"/>
    <w:rsid w:val="00585749"/>
    <w:rsid w:val="00585786"/>
    <w:rsid w:val="005857BF"/>
    <w:rsid w:val="005857C6"/>
    <w:rsid w:val="005857DD"/>
    <w:rsid w:val="00585803"/>
    <w:rsid w:val="0058580C"/>
    <w:rsid w:val="005858BA"/>
    <w:rsid w:val="005858DB"/>
    <w:rsid w:val="005858ED"/>
    <w:rsid w:val="0058590B"/>
    <w:rsid w:val="0058590F"/>
    <w:rsid w:val="005859B4"/>
    <w:rsid w:val="005859F6"/>
    <w:rsid w:val="00585A11"/>
    <w:rsid w:val="00585A5E"/>
    <w:rsid w:val="00585A73"/>
    <w:rsid w:val="00585A8D"/>
    <w:rsid w:val="00585A91"/>
    <w:rsid w:val="00585A97"/>
    <w:rsid w:val="00585AB5"/>
    <w:rsid w:val="00585AEC"/>
    <w:rsid w:val="00585B19"/>
    <w:rsid w:val="00585B59"/>
    <w:rsid w:val="00585BC2"/>
    <w:rsid w:val="00585C01"/>
    <w:rsid w:val="00585C31"/>
    <w:rsid w:val="00585C64"/>
    <w:rsid w:val="00585C8D"/>
    <w:rsid w:val="00585D14"/>
    <w:rsid w:val="00585D17"/>
    <w:rsid w:val="00585D54"/>
    <w:rsid w:val="00585D76"/>
    <w:rsid w:val="00585DD3"/>
    <w:rsid w:val="00585DF4"/>
    <w:rsid w:val="00585E50"/>
    <w:rsid w:val="00585E56"/>
    <w:rsid w:val="00585E6D"/>
    <w:rsid w:val="00585E88"/>
    <w:rsid w:val="00585E99"/>
    <w:rsid w:val="00585EA9"/>
    <w:rsid w:val="00585EBD"/>
    <w:rsid w:val="00585ED8"/>
    <w:rsid w:val="00585EE7"/>
    <w:rsid w:val="00585EE8"/>
    <w:rsid w:val="00585F2A"/>
    <w:rsid w:val="00585F7D"/>
    <w:rsid w:val="00585F8C"/>
    <w:rsid w:val="00585FA8"/>
    <w:rsid w:val="00585FB2"/>
    <w:rsid w:val="00585FEF"/>
    <w:rsid w:val="00586023"/>
    <w:rsid w:val="00586072"/>
    <w:rsid w:val="00586075"/>
    <w:rsid w:val="0058608B"/>
    <w:rsid w:val="005860AB"/>
    <w:rsid w:val="005860C9"/>
    <w:rsid w:val="005860D5"/>
    <w:rsid w:val="005860E8"/>
    <w:rsid w:val="0058614B"/>
    <w:rsid w:val="005861DA"/>
    <w:rsid w:val="005861DF"/>
    <w:rsid w:val="005861F4"/>
    <w:rsid w:val="00586227"/>
    <w:rsid w:val="00586237"/>
    <w:rsid w:val="00586260"/>
    <w:rsid w:val="00586291"/>
    <w:rsid w:val="005862AF"/>
    <w:rsid w:val="005862B5"/>
    <w:rsid w:val="005862B8"/>
    <w:rsid w:val="005862BA"/>
    <w:rsid w:val="0058630F"/>
    <w:rsid w:val="0058636D"/>
    <w:rsid w:val="00586438"/>
    <w:rsid w:val="00586455"/>
    <w:rsid w:val="0058645A"/>
    <w:rsid w:val="0058647F"/>
    <w:rsid w:val="0058651E"/>
    <w:rsid w:val="00586565"/>
    <w:rsid w:val="00586576"/>
    <w:rsid w:val="00586610"/>
    <w:rsid w:val="00586635"/>
    <w:rsid w:val="00586650"/>
    <w:rsid w:val="0058665C"/>
    <w:rsid w:val="005866AC"/>
    <w:rsid w:val="005866AD"/>
    <w:rsid w:val="005866C6"/>
    <w:rsid w:val="005866F8"/>
    <w:rsid w:val="005866FE"/>
    <w:rsid w:val="00586703"/>
    <w:rsid w:val="00586733"/>
    <w:rsid w:val="00586761"/>
    <w:rsid w:val="005867A0"/>
    <w:rsid w:val="005867D0"/>
    <w:rsid w:val="00586805"/>
    <w:rsid w:val="00586828"/>
    <w:rsid w:val="0058683B"/>
    <w:rsid w:val="00586868"/>
    <w:rsid w:val="00586879"/>
    <w:rsid w:val="005868A3"/>
    <w:rsid w:val="005868C9"/>
    <w:rsid w:val="005868DF"/>
    <w:rsid w:val="005868F2"/>
    <w:rsid w:val="00586901"/>
    <w:rsid w:val="00586924"/>
    <w:rsid w:val="00586992"/>
    <w:rsid w:val="005869B6"/>
    <w:rsid w:val="00586B1F"/>
    <w:rsid w:val="00586B2C"/>
    <w:rsid w:val="00586B2D"/>
    <w:rsid w:val="00586B4B"/>
    <w:rsid w:val="00586B52"/>
    <w:rsid w:val="00586B64"/>
    <w:rsid w:val="00586B96"/>
    <w:rsid w:val="00586BCE"/>
    <w:rsid w:val="00586BFB"/>
    <w:rsid w:val="00586C2B"/>
    <w:rsid w:val="00586C3F"/>
    <w:rsid w:val="00586C42"/>
    <w:rsid w:val="00586C47"/>
    <w:rsid w:val="00586C4C"/>
    <w:rsid w:val="00586C9C"/>
    <w:rsid w:val="00586CD4"/>
    <w:rsid w:val="00586D43"/>
    <w:rsid w:val="00586DBE"/>
    <w:rsid w:val="00586DEF"/>
    <w:rsid w:val="00586DF0"/>
    <w:rsid w:val="00586E03"/>
    <w:rsid w:val="00586E15"/>
    <w:rsid w:val="00586E2A"/>
    <w:rsid w:val="00586E53"/>
    <w:rsid w:val="00586E88"/>
    <w:rsid w:val="00586EDD"/>
    <w:rsid w:val="00586EE9"/>
    <w:rsid w:val="00586EF5"/>
    <w:rsid w:val="00586EFD"/>
    <w:rsid w:val="00586FA6"/>
    <w:rsid w:val="00586FE5"/>
    <w:rsid w:val="00587013"/>
    <w:rsid w:val="00587020"/>
    <w:rsid w:val="0058707F"/>
    <w:rsid w:val="005870A4"/>
    <w:rsid w:val="005870AD"/>
    <w:rsid w:val="00587121"/>
    <w:rsid w:val="00587134"/>
    <w:rsid w:val="00587159"/>
    <w:rsid w:val="00587198"/>
    <w:rsid w:val="005871B3"/>
    <w:rsid w:val="005871C1"/>
    <w:rsid w:val="005871CF"/>
    <w:rsid w:val="005871EC"/>
    <w:rsid w:val="00587218"/>
    <w:rsid w:val="00587268"/>
    <w:rsid w:val="005872C2"/>
    <w:rsid w:val="005872E6"/>
    <w:rsid w:val="005872EA"/>
    <w:rsid w:val="00587316"/>
    <w:rsid w:val="00587330"/>
    <w:rsid w:val="00587345"/>
    <w:rsid w:val="00587346"/>
    <w:rsid w:val="005873C4"/>
    <w:rsid w:val="005873E9"/>
    <w:rsid w:val="005873F1"/>
    <w:rsid w:val="005873F8"/>
    <w:rsid w:val="00587402"/>
    <w:rsid w:val="00587432"/>
    <w:rsid w:val="00587446"/>
    <w:rsid w:val="00587496"/>
    <w:rsid w:val="005874C0"/>
    <w:rsid w:val="005874D6"/>
    <w:rsid w:val="005874DC"/>
    <w:rsid w:val="00587523"/>
    <w:rsid w:val="00587531"/>
    <w:rsid w:val="0058754C"/>
    <w:rsid w:val="0058758B"/>
    <w:rsid w:val="00587599"/>
    <w:rsid w:val="0058760F"/>
    <w:rsid w:val="00587614"/>
    <w:rsid w:val="005876AF"/>
    <w:rsid w:val="00587702"/>
    <w:rsid w:val="0058775A"/>
    <w:rsid w:val="00587779"/>
    <w:rsid w:val="005877AD"/>
    <w:rsid w:val="005877B1"/>
    <w:rsid w:val="00587806"/>
    <w:rsid w:val="00587807"/>
    <w:rsid w:val="00587810"/>
    <w:rsid w:val="0058781A"/>
    <w:rsid w:val="0058785F"/>
    <w:rsid w:val="0058788A"/>
    <w:rsid w:val="005878AA"/>
    <w:rsid w:val="005878AC"/>
    <w:rsid w:val="005878BC"/>
    <w:rsid w:val="005878F5"/>
    <w:rsid w:val="005879B6"/>
    <w:rsid w:val="005879BC"/>
    <w:rsid w:val="005879E2"/>
    <w:rsid w:val="005879FA"/>
    <w:rsid w:val="00587B17"/>
    <w:rsid w:val="00587B21"/>
    <w:rsid w:val="00587BA1"/>
    <w:rsid w:val="00587C3E"/>
    <w:rsid w:val="00587C50"/>
    <w:rsid w:val="00587C86"/>
    <w:rsid w:val="00587CA4"/>
    <w:rsid w:val="00587CA7"/>
    <w:rsid w:val="00587D21"/>
    <w:rsid w:val="00587D3A"/>
    <w:rsid w:val="00587D5B"/>
    <w:rsid w:val="00587DC8"/>
    <w:rsid w:val="00587DE1"/>
    <w:rsid w:val="00587E0E"/>
    <w:rsid w:val="00587EB8"/>
    <w:rsid w:val="00587EE1"/>
    <w:rsid w:val="00587F03"/>
    <w:rsid w:val="00587F0B"/>
    <w:rsid w:val="00587F17"/>
    <w:rsid w:val="00587F5B"/>
    <w:rsid w:val="00587F76"/>
    <w:rsid w:val="00587FB5"/>
    <w:rsid w:val="00587FDA"/>
    <w:rsid w:val="00590025"/>
    <w:rsid w:val="005900C3"/>
    <w:rsid w:val="005900C7"/>
    <w:rsid w:val="005900C8"/>
    <w:rsid w:val="005900DE"/>
    <w:rsid w:val="00590105"/>
    <w:rsid w:val="00590112"/>
    <w:rsid w:val="00590114"/>
    <w:rsid w:val="0059011A"/>
    <w:rsid w:val="0059014B"/>
    <w:rsid w:val="00590159"/>
    <w:rsid w:val="0059017F"/>
    <w:rsid w:val="005901B9"/>
    <w:rsid w:val="005901CE"/>
    <w:rsid w:val="005901D0"/>
    <w:rsid w:val="005901D9"/>
    <w:rsid w:val="0059021B"/>
    <w:rsid w:val="00590274"/>
    <w:rsid w:val="005902EB"/>
    <w:rsid w:val="005902F1"/>
    <w:rsid w:val="005902F3"/>
    <w:rsid w:val="00590318"/>
    <w:rsid w:val="00590327"/>
    <w:rsid w:val="005903AC"/>
    <w:rsid w:val="005903F9"/>
    <w:rsid w:val="0059041D"/>
    <w:rsid w:val="00590441"/>
    <w:rsid w:val="00590459"/>
    <w:rsid w:val="00590468"/>
    <w:rsid w:val="00590483"/>
    <w:rsid w:val="0059049D"/>
    <w:rsid w:val="005904C4"/>
    <w:rsid w:val="0059057A"/>
    <w:rsid w:val="0059057B"/>
    <w:rsid w:val="00590597"/>
    <w:rsid w:val="00590599"/>
    <w:rsid w:val="005905A5"/>
    <w:rsid w:val="005905A6"/>
    <w:rsid w:val="005905AC"/>
    <w:rsid w:val="0059060C"/>
    <w:rsid w:val="0059065E"/>
    <w:rsid w:val="00590660"/>
    <w:rsid w:val="0059068A"/>
    <w:rsid w:val="0059070F"/>
    <w:rsid w:val="0059076B"/>
    <w:rsid w:val="0059076D"/>
    <w:rsid w:val="005907BF"/>
    <w:rsid w:val="005907DB"/>
    <w:rsid w:val="00590857"/>
    <w:rsid w:val="005908BA"/>
    <w:rsid w:val="005908C3"/>
    <w:rsid w:val="00590902"/>
    <w:rsid w:val="00590931"/>
    <w:rsid w:val="0059093F"/>
    <w:rsid w:val="00590942"/>
    <w:rsid w:val="005909C3"/>
    <w:rsid w:val="00590A1A"/>
    <w:rsid w:val="00590A61"/>
    <w:rsid w:val="00590A78"/>
    <w:rsid w:val="00590AF5"/>
    <w:rsid w:val="00590B2E"/>
    <w:rsid w:val="00590B2F"/>
    <w:rsid w:val="00590B58"/>
    <w:rsid w:val="00590B6E"/>
    <w:rsid w:val="00590BAE"/>
    <w:rsid w:val="00590BAF"/>
    <w:rsid w:val="00590BC9"/>
    <w:rsid w:val="00590BEE"/>
    <w:rsid w:val="00590CD4"/>
    <w:rsid w:val="00590CE1"/>
    <w:rsid w:val="00590D36"/>
    <w:rsid w:val="00590D54"/>
    <w:rsid w:val="00590D80"/>
    <w:rsid w:val="00590D94"/>
    <w:rsid w:val="00590D95"/>
    <w:rsid w:val="00590DC5"/>
    <w:rsid w:val="00590DEA"/>
    <w:rsid w:val="00590E48"/>
    <w:rsid w:val="00590F26"/>
    <w:rsid w:val="00590F2A"/>
    <w:rsid w:val="00590F7A"/>
    <w:rsid w:val="00590F7C"/>
    <w:rsid w:val="0059100B"/>
    <w:rsid w:val="0059102D"/>
    <w:rsid w:val="00591040"/>
    <w:rsid w:val="00591078"/>
    <w:rsid w:val="005910A3"/>
    <w:rsid w:val="005910DF"/>
    <w:rsid w:val="00591101"/>
    <w:rsid w:val="00591117"/>
    <w:rsid w:val="00591118"/>
    <w:rsid w:val="00591168"/>
    <w:rsid w:val="005911B1"/>
    <w:rsid w:val="005911E5"/>
    <w:rsid w:val="00591209"/>
    <w:rsid w:val="005912A8"/>
    <w:rsid w:val="005912BB"/>
    <w:rsid w:val="005912E3"/>
    <w:rsid w:val="00591357"/>
    <w:rsid w:val="00591389"/>
    <w:rsid w:val="005913AA"/>
    <w:rsid w:val="00591440"/>
    <w:rsid w:val="0059144C"/>
    <w:rsid w:val="00591454"/>
    <w:rsid w:val="0059149F"/>
    <w:rsid w:val="005914EE"/>
    <w:rsid w:val="005914F8"/>
    <w:rsid w:val="00591579"/>
    <w:rsid w:val="005915BC"/>
    <w:rsid w:val="00591612"/>
    <w:rsid w:val="00591671"/>
    <w:rsid w:val="0059168F"/>
    <w:rsid w:val="00591701"/>
    <w:rsid w:val="00591706"/>
    <w:rsid w:val="0059172C"/>
    <w:rsid w:val="0059178D"/>
    <w:rsid w:val="00591791"/>
    <w:rsid w:val="005917B9"/>
    <w:rsid w:val="005917EA"/>
    <w:rsid w:val="005917F5"/>
    <w:rsid w:val="00591804"/>
    <w:rsid w:val="00591820"/>
    <w:rsid w:val="005918A7"/>
    <w:rsid w:val="005918B7"/>
    <w:rsid w:val="005918F0"/>
    <w:rsid w:val="0059197E"/>
    <w:rsid w:val="005919F3"/>
    <w:rsid w:val="00591A15"/>
    <w:rsid w:val="00591A1C"/>
    <w:rsid w:val="00591AA5"/>
    <w:rsid w:val="00591AB1"/>
    <w:rsid w:val="00591AFF"/>
    <w:rsid w:val="00591B2D"/>
    <w:rsid w:val="00591B50"/>
    <w:rsid w:val="00591B64"/>
    <w:rsid w:val="00591B90"/>
    <w:rsid w:val="00591BD1"/>
    <w:rsid w:val="00591BFD"/>
    <w:rsid w:val="00591C42"/>
    <w:rsid w:val="00591C46"/>
    <w:rsid w:val="00591C4C"/>
    <w:rsid w:val="00591C83"/>
    <w:rsid w:val="00591C8C"/>
    <w:rsid w:val="00591C91"/>
    <w:rsid w:val="00591CC5"/>
    <w:rsid w:val="00591D30"/>
    <w:rsid w:val="00591D33"/>
    <w:rsid w:val="00591D84"/>
    <w:rsid w:val="00591D90"/>
    <w:rsid w:val="00591D92"/>
    <w:rsid w:val="00591DC4"/>
    <w:rsid w:val="00591DC6"/>
    <w:rsid w:val="00591DE0"/>
    <w:rsid w:val="00591DF7"/>
    <w:rsid w:val="00591E81"/>
    <w:rsid w:val="00591EB5"/>
    <w:rsid w:val="00591EC4"/>
    <w:rsid w:val="00591ECA"/>
    <w:rsid w:val="00591EDF"/>
    <w:rsid w:val="00591F51"/>
    <w:rsid w:val="00591F64"/>
    <w:rsid w:val="00591F65"/>
    <w:rsid w:val="00591FB0"/>
    <w:rsid w:val="00591FB6"/>
    <w:rsid w:val="00592003"/>
    <w:rsid w:val="00592032"/>
    <w:rsid w:val="00592047"/>
    <w:rsid w:val="0059204B"/>
    <w:rsid w:val="005920C8"/>
    <w:rsid w:val="005920FF"/>
    <w:rsid w:val="00592108"/>
    <w:rsid w:val="00592110"/>
    <w:rsid w:val="00592156"/>
    <w:rsid w:val="0059215C"/>
    <w:rsid w:val="0059217A"/>
    <w:rsid w:val="00592198"/>
    <w:rsid w:val="005921A9"/>
    <w:rsid w:val="005921AD"/>
    <w:rsid w:val="005921C5"/>
    <w:rsid w:val="00592241"/>
    <w:rsid w:val="00592270"/>
    <w:rsid w:val="00592274"/>
    <w:rsid w:val="00592277"/>
    <w:rsid w:val="005922A8"/>
    <w:rsid w:val="005922B5"/>
    <w:rsid w:val="005922D2"/>
    <w:rsid w:val="005922F5"/>
    <w:rsid w:val="005922F6"/>
    <w:rsid w:val="00592309"/>
    <w:rsid w:val="00592327"/>
    <w:rsid w:val="00592345"/>
    <w:rsid w:val="005923C2"/>
    <w:rsid w:val="005923C5"/>
    <w:rsid w:val="00592431"/>
    <w:rsid w:val="00592443"/>
    <w:rsid w:val="0059245A"/>
    <w:rsid w:val="005924D6"/>
    <w:rsid w:val="005924EC"/>
    <w:rsid w:val="00592514"/>
    <w:rsid w:val="00592524"/>
    <w:rsid w:val="00592528"/>
    <w:rsid w:val="00592548"/>
    <w:rsid w:val="00592555"/>
    <w:rsid w:val="00592597"/>
    <w:rsid w:val="005925DB"/>
    <w:rsid w:val="005925E5"/>
    <w:rsid w:val="00592627"/>
    <w:rsid w:val="0059263D"/>
    <w:rsid w:val="00592677"/>
    <w:rsid w:val="00592748"/>
    <w:rsid w:val="00592749"/>
    <w:rsid w:val="0059274D"/>
    <w:rsid w:val="00592777"/>
    <w:rsid w:val="005927E1"/>
    <w:rsid w:val="00592816"/>
    <w:rsid w:val="00592861"/>
    <w:rsid w:val="0059286E"/>
    <w:rsid w:val="00592895"/>
    <w:rsid w:val="0059289A"/>
    <w:rsid w:val="005928F0"/>
    <w:rsid w:val="005928F8"/>
    <w:rsid w:val="0059291C"/>
    <w:rsid w:val="00592954"/>
    <w:rsid w:val="005929C0"/>
    <w:rsid w:val="005929C3"/>
    <w:rsid w:val="00592A95"/>
    <w:rsid w:val="00592B1E"/>
    <w:rsid w:val="00592B30"/>
    <w:rsid w:val="00592B45"/>
    <w:rsid w:val="00592B79"/>
    <w:rsid w:val="00592BC6"/>
    <w:rsid w:val="00592C45"/>
    <w:rsid w:val="00592CE5"/>
    <w:rsid w:val="00592D43"/>
    <w:rsid w:val="00592D66"/>
    <w:rsid w:val="00592D83"/>
    <w:rsid w:val="00592D88"/>
    <w:rsid w:val="00592DBD"/>
    <w:rsid w:val="00592DC6"/>
    <w:rsid w:val="00592E01"/>
    <w:rsid w:val="00592E5F"/>
    <w:rsid w:val="00592E63"/>
    <w:rsid w:val="00592E73"/>
    <w:rsid w:val="00592E75"/>
    <w:rsid w:val="00592ECA"/>
    <w:rsid w:val="00592F19"/>
    <w:rsid w:val="00592F35"/>
    <w:rsid w:val="00592F3D"/>
    <w:rsid w:val="00592F60"/>
    <w:rsid w:val="00592F6A"/>
    <w:rsid w:val="00592F84"/>
    <w:rsid w:val="00592F94"/>
    <w:rsid w:val="00593009"/>
    <w:rsid w:val="00593097"/>
    <w:rsid w:val="005930BF"/>
    <w:rsid w:val="00593134"/>
    <w:rsid w:val="0059314F"/>
    <w:rsid w:val="005931DE"/>
    <w:rsid w:val="005931DF"/>
    <w:rsid w:val="0059320F"/>
    <w:rsid w:val="00593227"/>
    <w:rsid w:val="00593282"/>
    <w:rsid w:val="00593294"/>
    <w:rsid w:val="00593372"/>
    <w:rsid w:val="00593373"/>
    <w:rsid w:val="0059337A"/>
    <w:rsid w:val="0059338E"/>
    <w:rsid w:val="005933CE"/>
    <w:rsid w:val="005933EB"/>
    <w:rsid w:val="00593414"/>
    <w:rsid w:val="0059343F"/>
    <w:rsid w:val="0059347B"/>
    <w:rsid w:val="00593488"/>
    <w:rsid w:val="005934AB"/>
    <w:rsid w:val="005934EB"/>
    <w:rsid w:val="005934F1"/>
    <w:rsid w:val="005934F5"/>
    <w:rsid w:val="005934FA"/>
    <w:rsid w:val="00593545"/>
    <w:rsid w:val="005935B5"/>
    <w:rsid w:val="005935C8"/>
    <w:rsid w:val="0059360D"/>
    <w:rsid w:val="00593624"/>
    <w:rsid w:val="0059364B"/>
    <w:rsid w:val="00593677"/>
    <w:rsid w:val="005936B2"/>
    <w:rsid w:val="005936CF"/>
    <w:rsid w:val="005936F7"/>
    <w:rsid w:val="005936FA"/>
    <w:rsid w:val="005937AD"/>
    <w:rsid w:val="005937B2"/>
    <w:rsid w:val="005937B7"/>
    <w:rsid w:val="005937CC"/>
    <w:rsid w:val="005937DF"/>
    <w:rsid w:val="00593812"/>
    <w:rsid w:val="00593836"/>
    <w:rsid w:val="005938CF"/>
    <w:rsid w:val="005938E8"/>
    <w:rsid w:val="005938EA"/>
    <w:rsid w:val="005938EC"/>
    <w:rsid w:val="00593940"/>
    <w:rsid w:val="0059397A"/>
    <w:rsid w:val="005939A4"/>
    <w:rsid w:val="005939C2"/>
    <w:rsid w:val="005939D5"/>
    <w:rsid w:val="00593A0B"/>
    <w:rsid w:val="00593A15"/>
    <w:rsid w:val="00593A47"/>
    <w:rsid w:val="00593B5C"/>
    <w:rsid w:val="00593B8A"/>
    <w:rsid w:val="00593BA1"/>
    <w:rsid w:val="00593BA6"/>
    <w:rsid w:val="00593BC7"/>
    <w:rsid w:val="00593BE4"/>
    <w:rsid w:val="00593C0C"/>
    <w:rsid w:val="00593C19"/>
    <w:rsid w:val="00593C78"/>
    <w:rsid w:val="00593D7A"/>
    <w:rsid w:val="00593DC2"/>
    <w:rsid w:val="00593DDC"/>
    <w:rsid w:val="00593DE5"/>
    <w:rsid w:val="00593E10"/>
    <w:rsid w:val="00593E2D"/>
    <w:rsid w:val="00593E73"/>
    <w:rsid w:val="00593E80"/>
    <w:rsid w:val="00593E81"/>
    <w:rsid w:val="00593EB2"/>
    <w:rsid w:val="00593EDF"/>
    <w:rsid w:val="00593EF2"/>
    <w:rsid w:val="00593EF3"/>
    <w:rsid w:val="00594005"/>
    <w:rsid w:val="0059403C"/>
    <w:rsid w:val="0059404C"/>
    <w:rsid w:val="00594078"/>
    <w:rsid w:val="005940BC"/>
    <w:rsid w:val="005940D3"/>
    <w:rsid w:val="00594135"/>
    <w:rsid w:val="00594146"/>
    <w:rsid w:val="00594147"/>
    <w:rsid w:val="00594172"/>
    <w:rsid w:val="0059417F"/>
    <w:rsid w:val="00594182"/>
    <w:rsid w:val="00594191"/>
    <w:rsid w:val="005941C7"/>
    <w:rsid w:val="005941CF"/>
    <w:rsid w:val="005941DB"/>
    <w:rsid w:val="005941FB"/>
    <w:rsid w:val="00594201"/>
    <w:rsid w:val="00594253"/>
    <w:rsid w:val="005942C6"/>
    <w:rsid w:val="005942CA"/>
    <w:rsid w:val="005942CD"/>
    <w:rsid w:val="005942E9"/>
    <w:rsid w:val="005942EC"/>
    <w:rsid w:val="0059432C"/>
    <w:rsid w:val="00594361"/>
    <w:rsid w:val="005943B3"/>
    <w:rsid w:val="0059445A"/>
    <w:rsid w:val="00594464"/>
    <w:rsid w:val="005944B9"/>
    <w:rsid w:val="00594519"/>
    <w:rsid w:val="00594534"/>
    <w:rsid w:val="00594539"/>
    <w:rsid w:val="0059456C"/>
    <w:rsid w:val="0059458F"/>
    <w:rsid w:val="005945AB"/>
    <w:rsid w:val="005945C2"/>
    <w:rsid w:val="0059463E"/>
    <w:rsid w:val="00594673"/>
    <w:rsid w:val="0059467E"/>
    <w:rsid w:val="0059469E"/>
    <w:rsid w:val="005946A5"/>
    <w:rsid w:val="005946B5"/>
    <w:rsid w:val="005946C9"/>
    <w:rsid w:val="005946DA"/>
    <w:rsid w:val="005946DF"/>
    <w:rsid w:val="0059471F"/>
    <w:rsid w:val="00594745"/>
    <w:rsid w:val="0059475D"/>
    <w:rsid w:val="00594775"/>
    <w:rsid w:val="005947A2"/>
    <w:rsid w:val="005947B7"/>
    <w:rsid w:val="00594807"/>
    <w:rsid w:val="00594897"/>
    <w:rsid w:val="00594899"/>
    <w:rsid w:val="00594954"/>
    <w:rsid w:val="005949A3"/>
    <w:rsid w:val="005949AD"/>
    <w:rsid w:val="005949C8"/>
    <w:rsid w:val="00594A17"/>
    <w:rsid w:val="00594A44"/>
    <w:rsid w:val="00594A52"/>
    <w:rsid w:val="00594AAB"/>
    <w:rsid w:val="00594AD8"/>
    <w:rsid w:val="00594AF8"/>
    <w:rsid w:val="00594BD1"/>
    <w:rsid w:val="00594C2E"/>
    <w:rsid w:val="00594C38"/>
    <w:rsid w:val="00594C88"/>
    <w:rsid w:val="00594CC5"/>
    <w:rsid w:val="00594CF3"/>
    <w:rsid w:val="00594DD4"/>
    <w:rsid w:val="00594DDE"/>
    <w:rsid w:val="00594E1B"/>
    <w:rsid w:val="00594E27"/>
    <w:rsid w:val="00594E31"/>
    <w:rsid w:val="00594E3C"/>
    <w:rsid w:val="00594E80"/>
    <w:rsid w:val="00594E85"/>
    <w:rsid w:val="00594EB8"/>
    <w:rsid w:val="00594F07"/>
    <w:rsid w:val="00594F16"/>
    <w:rsid w:val="00594F21"/>
    <w:rsid w:val="00594F8E"/>
    <w:rsid w:val="00594FDF"/>
    <w:rsid w:val="0059501F"/>
    <w:rsid w:val="0059505A"/>
    <w:rsid w:val="00595060"/>
    <w:rsid w:val="0059507C"/>
    <w:rsid w:val="005950B7"/>
    <w:rsid w:val="005950F1"/>
    <w:rsid w:val="00595160"/>
    <w:rsid w:val="0059516C"/>
    <w:rsid w:val="005951B5"/>
    <w:rsid w:val="005951C9"/>
    <w:rsid w:val="005951D5"/>
    <w:rsid w:val="00595284"/>
    <w:rsid w:val="0059529F"/>
    <w:rsid w:val="005952B2"/>
    <w:rsid w:val="00595368"/>
    <w:rsid w:val="005953A3"/>
    <w:rsid w:val="005953E4"/>
    <w:rsid w:val="0059541D"/>
    <w:rsid w:val="00595438"/>
    <w:rsid w:val="00595452"/>
    <w:rsid w:val="0059545A"/>
    <w:rsid w:val="00595489"/>
    <w:rsid w:val="005954B1"/>
    <w:rsid w:val="005954B8"/>
    <w:rsid w:val="005954BC"/>
    <w:rsid w:val="005954C3"/>
    <w:rsid w:val="005954ED"/>
    <w:rsid w:val="005954F7"/>
    <w:rsid w:val="0059552D"/>
    <w:rsid w:val="0059556C"/>
    <w:rsid w:val="005955D0"/>
    <w:rsid w:val="00595603"/>
    <w:rsid w:val="0059560B"/>
    <w:rsid w:val="00595621"/>
    <w:rsid w:val="0059562C"/>
    <w:rsid w:val="00595642"/>
    <w:rsid w:val="00595674"/>
    <w:rsid w:val="005956BD"/>
    <w:rsid w:val="005956D6"/>
    <w:rsid w:val="005956F9"/>
    <w:rsid w:val="005956FC"/>
    <w:rsid w:val="005956FE"/>
    <w:rsid w:val="00595715"/>
    <w:rsid w:val="00595718"/>
    <w:rsid w:val="005957F2"/>
    <w:rsid w:val="005957F9"/>
    <w:rsid w:val="005957FB"/>
    <w:rsid w:val="00595804"/>
    <w:rsid w:val="00595869"/>
    <w:rsid w:val="00595877"/>
    <w:rsid w:val="00595887"/>
    <w:rsid w:val="00595896"/>
    <w:rsid w:val="00595898"/>
    <w:rsid w:val="005958C5"/>
    <w:rsid w:val="00595903"/>
    <w:rsid w:val="00595922"/>
    <w:rsid w:val="00595927"/>
    <w:rsid w:val="005959B9"/>
    <w:rsid w:val="005959CF"/>
    <w:rsid w:val="005959EE"/>
    <w:rsid w:val="00595A6B"/>
    <w:rsid w:val="00595B52"/>
    <w:rsid w:val="00595B78"/>
    <w:rsid w:val="00595BBF"/>
    <w:rsid w:val="00595BC0"/>
    <w:rsid w:val="00595C11"/>
    <w:rsid w:val="00595C14"/>
    <w:rsid w:val="00595C18"/>
    <w:rsid w:val="00595C20"/>
    <w:rsid w:val="00595C21"/>
    <w:rsid w:val="00595C39"/>
    <w:rsid w:val="00595C41"/>
    <w:rsid w:val="00595C47"/>
    <w:rsid w:val="00595C5C"/>
    <w:rsid w:val="00595C60"/>
    <w:rsid w:val="00595C7B"/>
    <w:rsid w:val="00595C86"/>
    <w:rsid w:val="00595C9A"/>
    <w:rsid w:val="00595D24"/>
    <w:rsid w:val="00595D37"/>
    <w:rsid w:val="00595D44"/>
    <w:rsid w:val="00595D95"/>
    <w:rsid w:val="00595DB1"/>
    <w:rsid w:val="00595E1E"/>
    <w:rsid w:val="00595E5B"/>
    <w:rsid w:val="00595E6E"/>
    <w:rsid w:val="00595EA1"/>
    <w:rsid w:val="00595EB7"/>
    <w:rsid w:val="00595EEC"/>
    <w:rsid w:val="00595EF9"/>
    <w:rsid w:val="00595F03"/>
    <w:rsid w:val="00595F6A"/>
    <w:rsid w:val="00595F9B"/>
    <w:rsid w:val="00595FA3"/>
    <w:rsid w:val="00595FBB"/>
    <w:rsid w:val="0059608B"/>
    <w:rsid w:val="00596095"/>
    <w:rsid w:val="005960AF"/>
    <w:rsid w:val="005960DB"/>
    <w:rsid w:val="005960E4"/>
    <w:rsid w:val="005960EB"/>
    <w:rsid w:val="005960EF"/>
    <w:rsid w:val="005960F4"/>
    <w:rsid w:val="0059610E"/>
    <w:rsid w:val="00596117"/>
    <w:rsid w:val="005961AB"/>
    <w:rsid w:val="005961F1"/>
    <w:rsid w:val="00596213"/>
    <w:rsid w:val="0059622A"/>
    <w:rsid w:val="0059628C"/>
    <w:rsid w:val="005962A4"/>
    <w:rsid w:val="005962BC"/>
    <w:rsid w:val="005962EC"/>
    <w:rsid w:val="00596354"/>
    <w:rsid w:val="00596356"/>
    <w:rsid w:val="00596365"/>
    <w:rsid w:val="00596391"/>
    <w:rsid w:val="005963DE"/>
    <w:rsid w:val="005963F1"/>
    <w:rsid w:val="00596433"/>
    <w:rsid w:val="00596466"/>
    <w:rsid w:val="00596474"/>
    <w:rsid w:val="005964A2"/>
    <w:rsid w:val="005964B4"/>
    <w:rsid w:val="0059650D"/>
    <w:rsid w:val="0059652A"/>
    <w:rsid w:val="0059652D"/>
    <w:rsid w:val="0059653D"/>
    <w:rsid w:val="005965BE"/>
    <w:rsid w:val="005965CB"/>
    <w:rsid w:val="00596613"/>
    <w:rsid w:val="0059664C"/>
    <w:rsid w:val="00596690"/>
    <w:rsid w:val="005966E0"/>
    <w:rsid w:val="005966E2"/>
    <w:rsid w:val="005966F2"/>
    <w:rsid w:val="00596720"/>
    <w:rsid w:val="00596733"/>
    <w:rsid w:val="0059674A"/>
    <w:rsid w:val="0059675E"/>
    <w:rsid w:val="0059676D"/>
    <w:rsid w:val="00596789"/>
    <w:rsid w:val="00596797"/>
    <w:rsid w:val="005967F3"/>
    <w:rsid w:val="0059691B"/>
    <w:rsid w:val="00596935"/>
    <w:rsid w:val="005969E0"/>
    <w:rsid w:val="00596A2D"/>
    <w:rsid w:val="00596A5C"/>
    <w:rsid w:val="00596A90"/>
    <w:rsid w:val="00596AC4"/>
    <w:rsid w:val="00596B0C"/>
    <w:rsid w:val="00596B2B"/>
    <w:rsid w:val="00596B82"/>
    <w:rsid w:val="00596BD8"/>
    <w:rsid w:val="00596BE4"/>
    <w:rsid w:val="00596C2E"/>
    <w:rsid w:val="00596C4B"/>
    <w:rsid w:val="00596CC9"/>
    <w:rsid w:val="00596CE6"/>
    <w:rsid w:val="00596D09"/>
    <w:rsid w:val="00596D4B"/>
    <w:rsid w:val="00596D65"/>
    <w:rsid w:val="00596D9A"/>
    <w:rsid w:val="00596DB0"/>
    <w:rsid w:val="00596DDD"/>
    <w:rsid w:val="00596DFA"/>
    <w:rsid w:val="00596DFB"/>
    <w:rsid w:val="00596E0A"/>
    <w:rsid w:val="00596E49"/>
    <w:rsid w:val="00596E8F"/>
    <w:rsid w:val="00596EA2"/>
    <w:rsid w:val="00596EBB"/>
    <w:rsid w:val="00596ED7"/>
    <w:rsid w:val="00596EFB"/>
    <w:rsid w:val="00596F44"/>
    <w:rsid w:val="00596FC6"/>
    <w:rsid w:val="00596FEF"/>
    <w:rsid w:val="00596FF5"/>
    <w:rsid w:val="0059702B"/>
    <w:rsid w:val="00597035"/>
    <w:rsid w:val="00597047"/>
    <w:rsid w:val="005970DC"/>
    <w:rsid w:val="00597125"/>
    <w:rsid w:val="00597139"/>
    <w:rsid w:val="00597159"/>
    <w:rsid w:val="0059723B"/>
    <w:rsid w:val="00597260"/>
    <w:rsid w:val="0059732A"/>
    <w:rsid w:val="0059733D"/>
    <w:rsid w:val="0059737A"/>
    <w:rsid w:val="00597392"/>
    <w:rsid w:val="0059739E"/>
    <w:rsid w:val="005973B9"/>
    <w:rsid w:val="005973D8"/>
    <w:rsid w:val="00597414"/>
    <w:rsid w:val="00597415"/>
    <w:rsid w:val="0059741C"/>
    <w:rsid w:val="00597437"/>
    <w:rsid w:val="005974AA"/>
    <w:rsid w:val="005974D0"/>
    <w:rsid w:val="005974E8"/>
    <w:rsid w:val="00597503"/>
    <w:rsid w:val="0059750B"/>
    <w:rsid w:val="0059754E"/>
    <w:rsid w:val="005975A5"/>
    <w:rsid w:val="00597615"/>
    <w:rsid w:val="0059761A"/>
    <w:rsid w:val="00597636"/>
    <w:rsid w:val="0059766E"/>
    <w:rsid w:val="0059767F"/>
    <w:rsid w:val="005976BB"/>
    <w:rsid w:val="005976E4"/>
    <w:rsid w:val="005976EF"/>
    <w:rsid w:val="00597732"/>
    <w:rsid w:val="005977D1"/>
    <w:rsid w:val="00597807"/>
    <w:rsid w:val="0059781D"/>
    <w:rsid w:val="00597837"/>
    <w:rsid w:val="0059785D"/>
    <w:rsid w:val="00597867"/>
    <w:rsid w:val="00597918"/>
    <w:rsid w:val="0059792E"/>
    <w:rsid w:val="00597935"/>
    <w:rsid w:val="005979AF"/>
    <w:rsid w:val="005979B2"/>
    <w:rsid w:val="005979B8"/>
    <w:rsid w:val="005979D9"/>
    <w:rsid w:val="00597A08"/>
    <w:rsid w:val="00597A0A"/>
    <w:rsid w:val="00597A2B"/>
    <w:rsid w:val="00597A53"/>
    <w:rsid w:val="00597A76"/>
    <w:rsid w:val="00597A7B"/>
    <w:rsid w:val="00597A7C"/>
    <w:rsid w:val="00597A84"/>
    <w:rsid w:val="00597B1A"/>
    <w:rsid w:val="00597B35"/>
    <w:rsid w:val="00597B4F"/>
    <w:rsid w:val="00597B87"/>
    <w:rsid w:val="00597BA8"/>
    <w:rsid w:val="00597BAF"/>
    <w:rsid w:val="00597BC4"/>
    <w:rsid w:val="00597BC8"/>
    <w:rsid w:val="00597C52"/>
    <w:rsid w:val="00597C86"/>
    <w:rsid w:val="00597C8B"/>
    <w:rsid w:val="00597CCC"/>
    <w:rsid w:val="00597CE2"/>
    <w:rsid w:val="00597CE5"/>
    <w:rsid w:val="00597CF0"/>
    <w:rsid w:val="00597D2F"/>
    <w:rsid w:val="00597D35"/>
    <w:rsid w:val="00597D3B"/>
    <w:rsid w:val="00597D51"/>
    <w:rsid w:val="00597DAA"/>
    <w:rsid w:val="00597DEF"/>
    <w:rsid w:val="00597E65"/>
    <w:rsid w:val="00597E93"/>
    <w:rsid w:val="00597E95"/>
    <w:rsid w:val="00597ECB"/>
    <w:rsid w:val="00597FDE"/>
    <w:rsid w:val="005A0003"/>
    <w:rsid w:val="005A0030"/>
    <w:rsid w:val="005A0085"/>
    <w:rsid w:val="005A00D0"/>
    <w:rsid w:val="005A00DE"/>
    <w:rsid w:val="005A00E6"/>
    <w:rsid w:val="005A0127"/>
    <w:rsid w:val="005A0139"/>
    <w:rsid w:val="005A0147"/>
    <w:rsid w:val="005A0160"/>
    <w:rsid w:val="005A0178"/>
    <w:rsid w:val="005A019D"/>
    <w:rsid w:val="005A01BD"/>
    <w:rsid w:val="005A01CF"/>
    <w:rsid w:val="005A01DD"/>
    <w:rsid w:val="005A01E5"/>
    <w:rsid w:val="005A01E8"/>
    <w:rsid w:val="005A01EC"/>
    <w:rsid w:val="005A022C"/>
    <w:rsid w:val="005A02E6"/>
    <w:rsid w:val="005A0364"/>
    <w:rsid w:val="005A0397"/>
    <w:rsid w:val="005A03B1"/>
    <w:rsid w:val="005A03DE"/>
    <w:rsid w:val="005A03E2"/>
    <w:rsid w:val="005A0401"/>
    <w:rsid w:val="005A0407"/>
    <w:rsid w:val="005A0433"/>
    <w:rsid w:val="005A047D"/>
    <w:rsid w:val="005A04D3"/>
    <w:rsid w:val="005A0515"/>
    <w:rsid w:val="005A0544"/>
    <w:rsid w:val="005A055C"/>
    <w:rsid w:val="005A056A"/>
    <w:rsid w:val="005A0575"/>
    <w:rsid w:val="005A0647"/>
    <w:rsid w:val="005A0740"/>
    <w:rsid w:val="005A0745"/>
    <w:rsid w:val="005A0756"/>
    <w:rsid w:val="005A0764"/>
    <w:rsid w:val="005A0773"/>
    <w:rsid w:val="005A078D"/>
    <w:rsid w:val="005A07E8"/>
    <w:rsid w:val="005A0802"/>
    <w:rsid w:val="005A087B"/>
    <w:rsid w:val="005A08BB"/>
    <w:rsid w:val="005A08FC"/>
    <w:rsid w:val="005A091D"/>
    <w:rsid w:val="005A0933"/>
    <w:rsid w:val="005A0939"/>
    <w:rsid w:val="005A0960"/>
    <w:rsid w:val="005A096A"/>
    <w:rsid w:val="005A099C"/>
    <w:rsid w:val="005A09B7"/>
    <w:rsid w:val="005A09BE"/>
    <w:rsid w:val="005A09C1"/>
    <w:rsid w:val="005A0A5F"/>
    <w:rsid w:val="005A0ACC"/>
    <w:rsid w:val="005A0AF6"/>
    <w:rsid w:val="005A0AFF"/>
    <w:rsid w:val="005A0B49"/>
    <w:rsid w:val="005A0B63"/>
    <w:rsid w:val="005A0BF1"/>
    <w:rsid w:val="005A0C74"/>
    <w:rsid w:val="005A0CC8"/>
    <w:rsid w:val="005A0CCB"/>
    <w:rsid w:val="005A0D05"/>
    <w:rsid w:val="005A0D0D"/>
    <w:rsid w:val="005A0D32"/>
    <w:rsid w:val="005A0D34"/>
    <w:rsid w:val="005A0D35"/>
    <w:rsid w:val="005A0D51"/>
    <w:rsid w:val="005A0D5C"/>
    <w:rsid w:val="005A0DA6"/>
    <w:rsid w:val="005A0DEA"/>
    <w:rsid w:val="005A0E01"/>
    <w:rsid w:val="005A0E05"/>
    <w:rsid w:val="005A0E18"/>
    <w:rsid w:val="005A0E63"/>
    <w:rsid w:val="005A0E69"/>
    <w:rsid w:val="005A0E6D"/>
    <w:rsid w:val="005A0E8E"/>
    <w:rsid w:val="005A0EC6"/>
    <w:rsid w:val="005A0EC7"/>
    <w:rsid w:val="005A0ECE"/>
    <w:rsid w:val="005A0EE5"/>
    <w:rsid w:val="005A0F2D"/>
    <w:rsid w:val="005A0F3F"/>
    <w:rsid w:val="005A0FF7"/>
    <w:rsid w:val="005A106D"/>
    <w:rsid w:val="005A10A8"/>
    <w:rsid w:val="005A10C1"/>
    <w:rsid w:val="005A1106"/>
    <w:rsid w:val="005A110F"/>
    <w:rsid w:val="005A1200"/>
    <w:rsid w:val="005A12B4"/>
    <w:rsid w:val="005A12CA"/>
    <w:rsid w:val="005A1302"/>
    <w:rsid w:val="005A1341"/>
    <w:rsid w:val="005A134A"/>
    <w:rsid w:val="005A1368"/>
    <w:rsid w:val="005A136F"/>
    <w:rsid w:val="005A13D9"/>
    <w:rsid w:val="005A1402"/>
    <w:rsid w:val="005A1432"/>
    <w:rsid w:val="005A1439"/>
    <w:rsid w:val="005A14C1"/>
    <w:rsid w:val="005A14CC"/>
    <w:rsid w:val="005A14D7"/>
    <w:rsid w:val="005A1510"/>
    <w:rsid w:val="005A153C"/>
    <w:rsid w:val="005A1590"/>
    <w:rsid w:val="005A15A5"/>
    <w:rsid w:val="005A15BC"/>
    <w:rsid w:val="005A15C4"/>
    <w:rsid w:val="005A15CA"/>
    <w:rsid w:val="005A15D4"/>
    <w:rsid w:val="005A160A"/>
    <w:rsid w:val="005A1649"/>
    <w:rsid w:val="005A164E"/>
    <w:rsid w:val="005A165A"/>
    <w:rsid w:val="005A168D"/>
    <w:rsid w:val="005A16C6"/>
    <w:rsid w:val="005A16E3"/>
    <w:rsid w:val="005A1784"/>
    <w:rsid w:val="005A17B0"/>
    <w:rsid w:val="005A17C1"/>
    <w:rsid w:val="005A17FC"/>
    <w:rsid w:val="005A1810"/>
    <w:rsid w:val="005A1820"/>
    <w:rsid w:val="005A1846"/>
    <w:rsid w:val="005A1896"/>
    <w:rsid w:val="005A18A7"/>
    <w:rsid w:val="005A18B0"/>
    <w:rsid w:val="005A18C9"/>
    <w:rsid w:val="005A1934"/>
    <w:rsid w:val="005A193E"/>
    <w:rsid w:val="005A1956"/>
    <w:rsid w:val="005A1965"/>
    <w:rsid w:val="005A19CA"/>
    <w:rsid w:val="005A19D0"/>
    <w:rsid w:val="005A19DD"/>
    <w:rsid w:val="005A1A5F"/>
    <w:rsid w:val="005A1AA6"/>
    <w:rsid w:val="005A1AE1"/>
    <w:rsid w:val="005A1B0C"/>
    <w:rsid w:val="005A1B13"/>
    <w:rsid w:val="005A1B1A"/>
    <w:rsid w:val="005A1B51"/>
    <w:rsid w:val="005A1B55"/>
    <w:rsid w:val="005A1B98"/>
    <w:rsid w:val="005A1BEB"/>
    <w:rsid w:val="005A1C24"/>
    <w:rsid w:val="005A1C3E"/>
    <w:rsid w:val="005A1C65"/>
    <w:rsid w:val="005A1C6F"/>
    <w:rsid w:val="005A1CA2"/>
    <w:rsid w:val="005A1CAB"/>
    <w:rsid w:val="005A1CB4"/>
    <w:rsid w:val="005A1CB7"/>
    <w:rsid w:val="005A1CC2"/>
    <w:rsid w:val="005A1CE4"/>
    <w:rsid w:val="005A1CEA"/>
    <w:rsid w:val="005A1D2C"/>
    <w:rsid w:val="005A1D60"/>
    <w:rsid w:val="005A1D90"/>
    <w:rsid w:val="005A1E17"/>
    <w:rsid w:val="005A1E39"/>
    <w:rsid w:val="005A1E4C"/>
    <w:rsid w:val="005A1EBD"/>
    <w:rsid w:val="005A1EDC"/>
    <w:rsid w:val="005A1EF0"/>
    <w:rsid w:val="005A1EF2"/>
    <w:rsid w:val="005A1F0F"/>
    <w:rsid w:val="005A1F53"/>
    <w:rsid w:val="005A1F66"/>
    <w:rsid w:val="005A1F80"/>
    <w:rsid w:val="005A1FAE"/>
    <w:rsid w:val="005A1FC5"/>
    <w:rsid w:val="005A1FD9"/>
    <w:rsid w:val="005A2001"/>
    <w:rsid w:val="005A2007"/>
    <w:rsid w:val="005A2054"/>
    <w:rsid w:val="005A2060"/>
    <w:rsid w:val="005A206E"/>
    <w:rsid w:val="005A2086"/>
    <w:rsid w:val="005A20CB"/>
    <w:rsid w:val="005A20D3"/>
    <w:rsid w:val="005A20E6"/>
    <w:rsid w:val="005A2141"/>
    <w:rsid w:val="005A2179"/>
    <w:rsid w:val="005A2191"/>
    <w:rsid w:val="005A21C3"/>
    <w:rsid w:val="005A21DC"/>
    <w:rsid w:val="005A2231"/>
    <w:rsid w:val="005A22A4"/>
    <w:rsid w:val="005A22BF"/>
    <w:rsid w:val="005A2333"/>
    <w:rsid w:val="005A2355"/>
    <w:rsid w:val="005A2377"/>
    <w:rsid w:val="005A237A"/>
    <w:rsid w:val="005A23C2"/>
    <w:rsid w:val="005A23E5"/>
    <w:rsid w:val="005A23FF"/>
    <w:rsid w:val="005A2419"/>
    <w:rsid w:val="005A2443"/>
    <w:rsid w:val="005A244F"/>
    <w:rsid w:val="005A2513"/>
    <w:rsid w:val="005A256A"/>
    <w:rsid w:val="005A257A"/>
    <w:rsid w:val="005A25CC"/>
    <w:rsid w:val="005A260A"/>
    <w:rsid w:val="005A2630"/>
    <w:rsid w:val="005A2656"/>
    <w:rsid w:val="005A265B"/>
    <w:rsid w:val="005A2679"/>
    <w:rsid w:val="005A267B"/>
    <w:rsid w:val="005A2682"/>
    <w:rsid w:val="005A26B4"/>
    <w:rsid w:val="005A26B8"/>
    <w:rsid w:val="005A26B9"/>
    <w:rsid w:val="005A26BD"/>
    <w:rsid w:val="005A26D7"/>
    <w:rsid w:val="005A2746"/>
    <w:rsid w:val="005A274D"/>
    <w:rsid w:val="005A2759"/>
    <w:rsid w:val="005A2771"/>
    <w:rsid w:val="005A27A2"/>
    <w:rsid w:val="005A27E1"/>
    <w:rsid w:val="005A282C"/>
    <w:rsid w:val="005A284C"/>
    <w:rsid w:val="005A2867"/>
    <w:rsid w:val="005A28A8"/>
    <w:rsid w:val="005A28B2"/>
    <w:rsid w:val="005A28BD"/>
    <w:rsid w:val="005A28DC"/>
    <w:rsid w:val="005A28E9"/>
    <w:rsid w:val="005A28F6"/>
    <w:rsid w:val="005A28FF"/>
    <w:rsid w:val="005A292E"/>
    <w:rsid w:val="005A29B2"/>
    <w:rsid w:val="005A29DA"/>
    <w:rsid w:val="005A29E3"/>
    <w:rsid w:val="005A2A59"/>
    <w:rsid w:val="005A2A73"/>
    <w:rsid w:val="005A2A75"/>
    <w:rsid w:val="005A2A9F"/>
    <w:rsid w:val="005A2AB9"/>
    <w:rsid w:val="005A2ABA"/>
    <w:rsid w:val="005A2AD0"/>
    <w:rsid w:val="005A2AEE"/>
    <w:rsid w:val="005A2AEF"/>
    <w:rsid w:val="005A2B04"/>
    <w:rsid w:val="005A2B51"/>
    <w:rsid w:val="005A2B58"/>
    <w:rsid w:val="005A2B92"/>
    <w:rsid w:val="005A2BED"/>
    <w:rsid w:val="005A2C02"/>
    <w:rsid w:val="005A2C1C"/>
    <w:rsid w:val="005A2C43"/>
    <w:rsid w:val="005A2C8F"/>
    <w:rsid w:val="005A2D0D"/>
    <w:rsid w:val="005A2D83"/>
    <w:rsid w:val="005A2D8D"/>
    <w:rsid w:val="005A2DAA"/>
    <w:rsid w:val="005A2E23"/>
    <w:rsid w:val="005A2E79"/>
    <w:rsid w:val="005A2F15"/>
    <w:rsid w:val="005A2F2C"/>
    <w:rsid w:val="005A2F35"/>
    <w:rsid w:val="005A2FB7"/>
    <w:rsid w:val="005A3012"/>
    <w:rsid w:val="005A3036"/>
    <w:rsid w:val="005A3078"/>
    <w:rsid w:val="005A308C"/>
    <w:rsid w:val="005A3098"/>
    <w:rsid w:val="005A30BD"/>
    <w:rsid w:val="005A30C5"/>
    <w:rsid w:val="005A30EB"/>
    <w:rsid w:val="005A30ED"/>
    <w:rsid w:val="005A30EF"/>
    <w:rsid w:val="005A312A"/>
    <w:rsid w:val="005A3169"/>
    <w:rsid w:val="005A31B4"/>
    <w:rsid w:val="005A31C4"/>
    <w:rsid w:val="005A31CB"/>
    <w:rsid w:val="005A31F0"/>
    <w:rsid w:val="005A3217"/>
    <w:rsid w:val="005A3222"/>
    <w:rsid w:val="005A3255"/>
    <w:rsid w:val="005A3263"/>
    <w:rsid w:val="005A3291"/>
    <w:rsid w:val="005A32A9"/>
    <w:rsid w:val="005A32EA"/>
    <w:rsid w:val="005A3302"/>
    <w:rsid w:val="005A330B"/>
    <w:rsid w:val="005A332C"/>
    <w:rsid w:val="005A3332"/>
    <w:rsid w:val="005A3338"/>
    <w:rsid w:val="005A3343"/>
    <w:rsid w:val="005A334B"/>
    <w:rsid w:val="005A3394"/>
    <w:rsid w:val="005A3398"/>
    <w:rsid w:val="005A33A4"/>
    <w:rsid w:val="005A33B2"/>
    <w:rsid w:val="005A33D1"/>
    <w:rsid w:val="005A33DA"/>
    <w:rsid w:val="005A340F"/>
    <w:rsid w:val="005A342A"/>
    <w:rsid w:val="005A342B"/>
    <w:rsid w:val="005A342F"/>
    <w:rsid w:val="005A34C4"/>
    <w:rsid w:val="005A3528"/>
    <w:rsid w:val="005A3563"/>
    <w:rsid w:val="005A356B"/>
    <w:rsid w:val="005A35B4"/>
    <w:rsid w:val="005A3685"/>
    <w:rsid w:val="005A368B"/>
    <w:rsid w:val="005A370C"/>
    <w:rsid w:val="005A3710"/>
    <w:rsid w:val="005A3729"/>
    <w:rsid w:val="005A3773"/>
    <w:rsid w:val="005A377F"/>
    <w:rsid w:val="005A3801"/>
    <w:rsid w:val="005A3863"/>
    <w:rsid w:val="005A387A"/>
    <w:rsid w:val="005A3955"/>
    <w:rsid w:val="005A3972"/>
    <w:rsid w:val="005A3993"/>
    <w:rsid w:val="005A39AA"/>
    <w:rsid w:val="005A39B6"/>
    <w:rsid w:val="005A39D7"/>
    <w:rsid w:val="005A39E6"/>
    <w:rsid w:val="005A3A28"/>
    <w:rsid w:val="005A3A67"/>
    <w:rsid w:val="005A3AAC"/>
    <w:rsid w:val="005A3AD4"/>
    <w:rsid w:val="005A3AEB"/>
    <w:rsid w:val="005A3B79"/>
    <w:rsid w:val="005A3BA1"/>
    <w:rsid w:val="005A3BFC"/>
    <w:rsid w:val="005A3C06"/>
    <w:rsid w:val="005A3C22"/>
    <w:rsid w:val="005A3C77"/>
    <w:rsid w:val="005A3C9E"/>
    <w:rsid w:val="005A3CBE"/>
    <w:rsid w:val="005A3CCA"/>
    <w:rsid w:val="005A3CE4"/>
    <w:rsid w:val="005A3CE5"/>
    <w:rsid w:val="005A3D07"/>
    <w:rsid w:val="005A3D09"/>
    <w:rsid w:val="005A3D11"/>
    <w:rsid w:val="005A3D1F"/>
    <w:rsid w:val="005A3D2B"/>
    <w:rsid w:val="005A3D67"/>
    <w:rsid w:val="005A3D75"/>
    <w:rsid w:val="005A3D98"/>
    <w:rsid w:val="005A3D9A"/>
    <w:rsid w:val="005A3DBA"/>
    <w:rsid w:val="005A3E31"/>
    <w:rsid w:val="005A3E3B"/>
    <w:rsid w:val="005A3E44"/>
    <w:rsid w:val="005A3ECA"/>
    <w:rsid w:val="005A3EDC"/>
    <w:rsid w:val="005A3EE9"/>
    <w:rsid w:val="005A3F87"/>
    <w:rsid w:val="005A403D"/>
    <w:rsid w:val="005A4054"/>
    <w:rsid w:val="005A405A"/>
    <w:rsid w:val="005A406C"/>
    <w:rsid w:val="005A4071"/>
    <w:rsid w:val="005A40EE"/>
    <w:rsid w:val="005A41A2"/>
    <w:rsid w:val="005A41CD"/>
    <w:rsid w:val="005A41FA"/>
    <w:rsid w:val="005A429F"/>
    <w:rsid w:val="005A42CC"/>
    <w:rsid w:val="005A42D4"/>
    <w:rsid w:val="005A4303"/>
    <w:rsid w:val="005A4320"/>
    <w:rsid w:val="005A4371"/>
    <w:rsid w:val="005A4377"/>
    <w:rsid w:val="005A437F"/>
    <w:rsid w:val="005A4389"/>
    <w:rsid w:val="005A43B8"/>
    <w:rsid w:val="005A43EB"/>
    <w:rsid w:val="005A4459"/>
    <w:rsid w:val="005A44B0"/>
    <w:rsid w:val="005A44CD"/>
    <w:rsid w:val="005A4529"/>
    <w:rsid w:val="005A4553"/>
    <w:rsid w:val="005A4593"/>
    <w:rsid w:val="005A45C7"/>
    <w:rsid w:val="005A461C"/>
    <w:rsid w:val="005A462E"/>
    <w:rsid w:val="005A4649"/>
    <w:rsid w:val="005A4663"/>
    <w:rsid w:val="005A46C4"/>
    <w:rsid w:val="005A46CC"/>
    <w:rsid w:val="005A470C"/>
    <w:rsid w:val="005A47A9"/>
    <w:rsid w:val="005A47EC"/>
    <w:rsid w:val="005A47F5"/>
    <w:rsid w:val="005A4844"/>
    <w:rsid w:val="005A48A0"/>
    <w:rsid w:val="005A48F7"/>
    <w:rsid w:val="005A4938"/>
    <w:rsid w:val="005A4967"/>
    <w:rsid w:val="005A497D"/>
    <w:rsid w:val="005A4989"/>
    <w:rsid w:val="005A49EF"/>
    <w:rsid w:val="005A4A74"/>
    <w:rsid w:val="005A4A9F"/>
    <w:rsid w:val="005A4AA6"/>
    <w:rsid w:val="005A4ACB"/>
    <w:rsid w:val="005A4AD0"/>
    <w:rsid w:val="005A4AD8"/>
    <w:rsid w:val="005A4B07"/>
    <w:rsid w:val="005A4B5E"/>
    <w:rsid w:val="005A4B80"/>
    <w:rsid w:val="005A4B90"/>
    <w:rsid w:val="005A4BBF"/>
    <w:rsid w:val="005A4BCA"/>
    <w:rsid w:val="005A4C10"/>
    <w:rsid w:val="005A4C58"/>
    <w:rsid w:val="005A4C5C"/>
    <w:rsid w:val="005A4C65"/>
    <w:rsid w:val="005A4C6F"/>
    <w:rsid w:val="005A4C8F"/>
    <w:rsid w:val="005A4CB4"/>
    <w:rsid w:val="005A4CB7"/>
    <w:rsid w:val="005A4CDB"/>
    <w:rsid w:val="005A4D0F"/>
    <w:rsid w:val="005A4D53"/>
    <w:rsid w:val="005A4D6B"/>
    <w:rsid w:val="005A4D6E"/>
    <w:rsid w:val="005A4DB5"/>
    <w:rsid w:val="005A4DF7"/>
    <w:rsid w:val="005A4DF8"/>
    <w:rsid w:val="005A4E8C"/>
    <w:rsid w:val="005A4E8E"/>
    <w:rsid w:val="005A4EA6"/>
    <w:rsid w:val="005A4EAC"/>
    <w:rsid w:val="005A4EB1"/>
    <w:rsid w:val="005A4EC1"/>
    <w:rsid w:val="005A4F1E"/>
    <w:rsid w:val="005A4F22"/>
    <w:rsid w:val="005A4F31"/>
    <w:rsid w:val="005A4F37"/>
    <w:rsid w:val="005A4F79"/>
    <w:rsid w:val="005A4FCA"/>
    <w:rsid w:val="005A50BC"/>
    <w:rsid w:val="005A50FE"/>
    <w:rsid w:val="005A5159"/>
    <w:rsid w:val="005A519C"/>
    <w:rsid w:val="005A51DC"/>
    <w:rsid w:val="005A524B"/>
    <w:rsid w:val="005A52A3"/>
    <w:rsid w:val="005A52D6"/>
    <w:rsid w:val="005A530B"/>
    <w:rsid w:val="005A5320"/>
    <w:rsid w:val="005A534F"/>
    <w:rsid w:val="005A5396"/>
    <w:rsid w:val="005A53D6"/>
    <w:rsid w:val="005A53EE"/>
    <w:rsid w:val="005A541C"/>
    <w:rsid w:val="005A5446"/>
    <w:rsid w:val="005A544E"/>
    <w:rsid w:val="005A54B0"/>
    <w:rsid w:val="005A54C0"/>
    <w:rsid w:val="005A54D7"/>
    <w:rsid w:val="005A54F7"/>
    <w:rsid w:val="005A5534"/>
    <w:rsid w:val="005A553F"/>
    <w:rsid w:val="005A5553"/>
    <w:rsid w:val="005A5558"/>
    <w:rsid w:val="005A5562"/>
    <w:rsid w:val="005A558F"/>
    <w:rsid w:val="005A5596"/>
    <w:rsid w:val="005A55AA"/>
    <w:rsid w:val="005A55ED"/>
    <w:rsid w:val="005A55F0"/>
    <w:rsid w:val="005A567C"/>
    <w:rsid w:val="005A56BD"/>
    <w:rsid w:val="005A56D1"/>
    <w:rsid w:val="005A56D9"/>
    <w:rsid w:val="005A56E6"/>
    <w:rsid w:val="005A56F2"/>
    <w:rsid w:val="005A5714"/>
    <w:rsid w:val="005A574A"/>
    <w:rsid w:val="005A57D2"/>
    <w:rsid w:val="005A57DF"/>
    <w:rsid w:val="005A57E8"/>
    <w:rsid w:val="005A57F7"/>
    <w:rsid w:val="005A57FA"/>
    <w:rsid w:val="005A581E"/>
    <w:rsid w:val="005A5825"/>
    <w:rsid w:val="005A5847"/>
    <w:rsid w:val="005A5851"/>
    <w:rsid w:val="005A587A"/>
    <w:rsid w:val="005A5890"/>
    <w:rsid w:val="005A58B5"/>
    <w:rsid w:val="005A58EA"/>
    <w:rsid w:val="005A5913"/>
    <w:rsid w:val="005A5933"/>
    <w:rsid w:val="005A5965"/>
    <w:rsid w:val="005A5A15"/>
    <w:rsid w:val="005A5A3F"/>
    <w:rsid w:val="005A5A60"/>
    <w:rsid w:val="005A5AB0"/>
    <w:rsid w:val="005A5AE6"/>
    <w:rsid w:val="005A5B59"/>
    <w:rsid w:val="005A5B7B"/>
    <w:rsid w:val="005A5BB5"/>
    <w:rsid w:val="005A5BC4"/>
    <w:rsid w:val="005A5BCE"/>
    <w:rsid w:val="005A5C2C"/>
    <w:rsid w:val="005A5C4D"/>
    <w:rsid w:val="005A5C7E"/>
    <w:rsid w:val="005A5D33"/>
    <w:rsid w:val="005A5DB8"/>
    <w:rsid w:val="005A5E09"/>
    <w:rsid w:val="005A5E20"/>
    <w:rsid w:val="005A5EA8"/>
    <w:rsid w:val="005A5EB0"/>
    <w:rsid w:val="005A5EB2"/>
    <w:rsid w:val="005A5F0F"/>
    <w:rsid w:val="005A604A"/>
    <w:rsid w:val="005A6081"/>
    <w:rsid w:val="005A60B2"/>
    <w:rsid w:val="005A60DD"/>
    <w:rsid w:val="005A60E9"/>
    <w:rsid w:val="005A60EF"/>
    <w:rsid w:val="005A611E"/>
    <w:rsid w:val="005A6175"/>
    <w:rsid w:val="005A61A5"/>
    <w:rsid w:val="005A61AF"/>
    <w:rsid w:val="005A61C9"/>
    <w:rsid w:val="005A61E4"/>
    <w:rsid w:val="005A61E8"/>
    <w:rsid w:val="005A62B6"/>
    <w:rsid w:val="005A631C"/>
    <w:rsid w:val="005A6326"/>
    <w:rsid w:val="005A632D"/>
    <w:rsid w:val="005A63BD"/>
    <w:rsid w:val="005A63E2"/>
    <w:rsid w:val="005A63E5"/>
    <w:rsid w:val="005A63FE"/>
    <w:rsid w:val="005A6489"/>
    <w:rsid w:val="005A64CB"/>
    <w:rsid w:val="005A6514"/>
    <w:rsid w:val="005A6535"/>
    <w:rsid w:val="005A653A"/>
    <w:rsid w:val="005A6567"/>
    <w:rsid w:val="005A6578"/>
    <w:rsid w:val="005A662B"/>
    <w:rsid w:val="005A6636"/>
    <w:rsid w:val="005A6689"/>
    <w:rsid w:val="005A66A4"/>
    <w:rsid w:val="005A66B9"/>
    <w:rsid w:val="005A66C8"/>
    <w:rsid w:val="005A66CF"/>
    <w:rsid w:val="005A671F"/>
    <w:rsid w:val="005A6735"/>
    <w:rsid w:val="005A6759"/>
    <w:rsid w:val="005A677A"/>
    <w:rsid w:val="005A6821"/>
    <w:rsid w:val="005A6863"/>
    <w:rsid w:val="005A6874"/>
    <w:rsid w:val="005A688A"/>
    <w:rsid w:val="005A68A6"/>
    <w:rsid w:val="005A68AD"/>
    <w:rsid w:val="005A6936"/>
    <w:rsid w:val="005A6942"/>
    <w:rsid w:val="005A6953"/>
    <w:rsid w:val="005A697F"/>
    <w:rsid w:val="005A6981"/>
    <w:rsid w:val="005A6992"/>
    <w:rsid w:val="005A69D5"/>
    <w:rsid w:val="005A69EE"/>
    <w:rsid w:val="005A6A07"/>
    <w:rsid w:val="005A6A1C"/>
    <w:rsid w:val="005A6A40"/>
    <w:rsid w:val="005A6A4B"/>
    <w:rsid w:val="005A6A70"/>
    <w:rsid w:val="005A6A7A"/>
    <w:rsid w:val="005A6AA0"/>
    <w:rsid w:val="005A6AE2"/>
    <w:rsid w:val="005A6B00"/>
    <w:rsid w:val="005A6B0A"/>
    <w:rsid w:val="005A6B0C"/>
    <w:rsid w:val="005A6B14"/>
    <w:rsid w:val="005A6B22"/>
    <w:rsid w:val="005A6B92"/>
    <w:rsid w:val="005A6BC6"/>
    <w:rsid w:val="005A6C71"/>
    <w:rsid w:val="005A6CE3"/>
    <w:rsid w:val="005A6D02"/>
    <w:rsid w:val="005A6D24"/>
    <w:rsid w:val="005A6D27"/>
    <w:rsid w:val="005A6D33"/>
    <w:rsid w:val="005A6D39"/>
    <w:rsid w:val="005A6D5D"/>
    <w:rsid w:val="005A6D9A"/>
    <w:rsid w:val="005A6DA1"/>
    <w:rsid w:val="005A6DBC"/>
    <w:rsid w:val="005A6DD1"/>
    <w:rsid w:val="005A6E13"/>
    <w:rsid w:val="005A6E39"/>
    <w:rsid w:val="005A6E6C"/>
    <w:rsid w:val="005A6E9F"/>
    <w:rsid w:val="005A6EBC"/>
    <w:rsid w:val="005A6EBD"/>
    <w:rsid w:val="005A6EDD"/>
    <w:rsid w:val="005A6F00"/>
    <w:rsid w:val="005A6F20"/>
    <w:rsid w:val="005A700D"/>
    <w:rsid w:val="005A7053"/>
    <w:rsid w:val="005A7067"/>
    <w:rsid w:val="005A70DC"/>
    <w:rsid w:val="005A719B"/>
    <w:rsid w:val="005A71A3"/>
    <w:rsid w:val="005A722F"/>
    <w:rsid w:val="005A723B"/>
    <w:rsid w:val="005A724B"/>
    <w:rsid w:val="005A7255"/>
    <w:rsid w:val="005A7263"/>
    <w:rsid w:val="005A729B"/>
    <w:rsid w:val="005A72CE"/>
    <w:rsid w:val="005A72E1"/>
    <w:rsid w:val="005A72EB"/>
    <w:rsid w:val="005A7321"/>
    <w:rsid w:val="005A732A"/>
    <w:rsid w:val="005A732C"/>
    <w:rsid w:val="005A7337"/>
    <w:rsid w:val="005A73A3"/>
    <w:rsid w:val="005A73E9"/>
    <w:rsid w:val="005A7408"/>
    <w:rsid w:val="005A7432"/>
    <w:rsid w:val="005A7454"/>
    <w:rsid w:val="005A7488"/>
    <w:rsid w:val="005A7514"/>
    <w:rsid w:val="005A7535"/>
    <w:rsid w:val="005A755B"/>
    <w:rsid w:val="005A75A7"/>
    <w:rsid w:val="005A75BE"/>
    <w:rsid w:val="005A75C4"/>
    <w:rsid w:val="005A75DE"/>
    <w:rsid w:val="005A7600"/>
    <w:rsid w:val="005A7627"/>
    <w:rsid w:val="005A7642"/>
    <w:rsid w:val="005A7679"/>
    <w:rsid w:val="005A767A"/>
    <w:rsid w:val="005A767F"/>
    <w:rsid w:val="005A7688"/>
    <w:rsid w:val="005A76DB"/>
    <w:rsid w:val="005A7736"/>
    <w:rsid w:val="005A776D"/>
    <w:rsid w:val="005A77BE"/>
    <w:rsid w:val="005A77BF"/>
    <w:rsid w:val="005A77C8"/>
    <w:rsid w:val="005A77E8"/>
    <w:rsid w:val="005A77E9"/>
    <w:rsid w:val="005A780B"/>
    <w:rsid w:val="005A7810"/>
    <w:rsid w:val="005A782B"/>
    <w:rsid w:val="005A7833"/>
    <w:rsid w:val="005A783F"/>
    <w:rsid w:val="005A786E"/>
    <w:rsid w:val="005A787A"/>
    <w:rsid w:val="005A7892"/>
    <w:rsid w:val="005A78A4"/>
    <w:rsid w:val="005A78AC"/>
    <w:rsid w:val="005A78E2"/>
    <w:rsid w:val="005A7902"/>
    <w:rsid w:val="005A7929"/>
    <w:rsid w:val="005A793E"/>
    <w:rsid w:val="005A796B"/>
    <w:rsid w:val="005A7975"/>
    <w:rsid w:val="005A79E5"/>
    <w:rsid w:val="005A7A0E"/>
    <w:rsid w:val="005A7A1C"/>
    <w:rsid w:val="005A7A36"/>
    <w:rsid w:val="005A7A4B"/>
    <w:rsid w:val="005A7A78"/>
    <w:rsid w:val="005A7AC9"/>
    <w:rsid w:val="005A7B2C"/>
    <w:rsid w:val="005A7B3E"/>
    <w:rsid w:val="005A7B5B"/>
    <w:rsid w:val="005A7BA7"/>
    <w:rsid w:val="005A7C06"/>
    <w:rsid w:val="005A7C13"/>
    <w:rsid w:val="005A7C38"/>
    <w:rsid w:val="005A7C44"/>
    <w:rsid w:val="005A7C4B"/>
    <w:rsid w:val="005A7C5D"/>
    <w:rsid w:val="005A7C66"/>
    <w:rsid w:val="005A7CEA"/>
    <w:rsid w:val="005A7D29"/>
    <w:rsid w:val="005A7D59"/>
    <w:rsid w:val="005A7D8A"/>
    <w:rsid w:val="005A7DAB"/>
    <w:rsid w:val="005A7DE5"/>
    <w:rsid w:val="005A7EC2"/>
    <w:rsid w:val="005A7EFC"/>
    <w:rsid w:val="005A7F04"/>
    <w:rsid w:val="005A7F68"/>
    <w:rsid w:val="005A7F8B"/>
    <w:rsid w:val="005A7FBD"/>
    <w:rsid w:val="005A7FCB"/>
    <w:rsid w:val="005A7FD3"/>
    <w:rsid w:val="005A7FE2"/>
    <w:rsid w:val="005A7FF4"/>
    <w:rsid w:val="005B0002"/>
    <w:rsid w:val="005B001F"/>
    <w:rsid w:val="005B0030"/>
    <w:rsid w:val="005B0081"/>
    <w:rsid w:val="005B009B"/>
    <w:rsid w:val="005B00A8"/>
    <w:rsid w:val="005B00B0"/>
    <w:rsid w:val="005B00F1"/>
    <w:rsid w:val="005B0104"/>
    <w:rsid w:val="005B0174"/>
    <w:rsid w:val="005B01A6"/>
    <w:rsid w:val="005B0245"/>
    <w:rsid w:val="005B02E1"/>
    <w:rsid w:val="005B02F5"/>
    <w:rsid w:val="005B0331"/>
    <w:rsid w:val="005B037D"/>
    <w:rsid w:val="005B03FB"/>
    <w:rsid w:val="005B040E"/>
    <w:rsid w:val="005B043F"/>
    <w:rsid w:val="005B046C"/>
    <w:rsid w:val="005B0474"/>
    <w:rsid w:val="005B04AC"/>
    <w:rsid w:val="005B04E2"/>
    <w:rsid w:val="005B0508"/>
    <w:rsid w:val="005B050A"/>
    <w:rsid w:val="005B0516"/>
    <w:rsid w:val="005B0558"/>
    <w:rsid w:val="005B05A6"/>
    <w:rsid w:val="005B0609"/>
    <w:rsid w:val="005B0614"/>
    <w:rsid w:val="005B061C"/>
    <w:rsid w:val="005B0631"/>
    <w:rsid w:val="005B064E"/>
    <w:rsid w:val="005B0671"/>
    <w:rsid w:val="005B0690"/>
    <w:rsid w:val="005B06D5"/>
    <w:rsid w:val="005B06D8"/>
    <w:rsid w:val="005B074A"/>
    <w:rsid w:val="005B0763"/>
    <w:rsid w:val="005B07B6"/>
    <w:rsid w:val="005B07F4"/>
    <w:rsid w:val="005B0808"/>
    <w:rsid w:val="005B084B"/>
    <w:rsid w:val="005B0865"/>
    <w:rsid w:val="005B088B"/>
    <w:rsid w:val="005B08C0"/>
    <w:rsid w:val="005B08D9"/>
    <w:rsid w:val="005B08E4"/>
    <w:rsid w:val="005B0918"/>
    <w:rsid w:val="005B0921"/>
    <w:rsid w:val="005B0963"/>
    <w:rsid w:val="005B097B"/>
    <w:rsid w:val="005B0987"/>
    <w:rsid w:val="005B09A6"/>
    <w:rsid w:val="005B09CC"/>
    <w:rsid w:val="005B0A0B"/>
    <w:rsid w:val="005B0A47"/>
    <w:rsid w:val="005B0A9B"/>
    <w:rsid w:val="005B0AF6"/>
    <w:rsid w:val="005B0B11"/>
    <w:rsid w:val="005B0B39"/>
    <w:rsid w:val="005B0B49"/>
    <w:rsid w:val="005B0B68"/>
    <w:rsid w:val="005B0B7A"/>
    <w:rsid w:val="005B0BB5"/>
    <w:rsid w:val="005B0BE7"/>
    <w:rsid w:val="005B0C28"/>
    <w:rsid w:val="005B0C72"/>
    <w:rsid w:val="005B0CB1"/>
    <w:rsid w:val="005B0CB6"/>
    <w:rsid w:val="005B0CCD"/>
    <w:rsid w:val="005B0CDD"/>
    <w:rsid w:val="005B0D4C"/>
    <w:rsid w:val="005B0D94"/>
    <w:rsid w:val="005B0DAE"/>
    <w:rsid w:val="005B0DB1"/>
    <w:rsid w:val="005B0DB3"/>
    <w:rsid w:val="005B0DCB"/>
    <w:rsid w:val="005B0DEB"/>
    <w:rsid w:val="005B0E17"/>
    <w:rsid w:val="005B0E45"/>
    <w:rsid w:val="005B0E87"/>
    <w:rsid w:val="005B0E94"/>
    <w:rsid w:val="005B0EB3"/>
    <w:rsid w:val="005B0EBE"/>
    <w:rsid w:val="005B0F42"/>
    <w:rsid w:val="005B0F71"/>
    <w:rsid w:val="005B0F7B"/>
    <w:rsid w:val="005B0FA9"/>
    <w:rsid w:val="005B0FF7"/>
    <w:rsid w:val="005B1016"/>
    <w:rsid w:val="005B102B"/>
    <w:rsid w:val="005B10D4"/>
    <w:rsid w:val="005B10FA"/>
    <w:rsid w:val="005B11DE"/>
    <w:rsid w:val="005B11E6"/>
    <w:rsid w:val="005B120E"/>
    <w:rsid w:val="005B1219"/>
    <w:rsid w:val="005B121D"/>
    <w:rsid w:val="005B1237"/>
    <w:rsid w:val="005B1265"/>
    <w:rsid w:val="005B126E"/>
    <w:rsid w:val="005B1275"/>
    <w:rsid w:val="005B1294"/>
    <w:rsid w:val="005B12EB"/>
    <w:rsid w:val="005B12F3"/>
    <w:rsid w:val="005B1321"/>
    <w:rsid w:val="005B1326"/>
    <w:rsid w:val="005B133F"/>
    <w:rsid w:val="005B1370"/>
    <w:rsid w:val="005B138D"/>
    <w:rsid w:val="005B13B4"/>
    <w:rsid w:val="005B13F5"/>
    <w:rsid w:val="005B13F9"/>
    <w:rsid w:val="005B1428"/>
    <w:rsid w:val="005B1435"/>
    <w:rsid w:val="005B1457"/>
    <w:rsid w:val="005B145E"/>
    <w:rsid w:val="005B1487"/>
    <w:rsid w:val="005B148F"/>
    <w:rsid w:val="005B14B2"/>
    <w:rsid w:val="005B1526"/>
    <w:rsid w:val="005B1563"/>
    <w:rsid w:val="005B15C0"/>
    <w:rsid w:val="005B15E3"/>
    <w:rsid w:val="005B1631"/>
    <w:rsid w:val="005B1651"/>
    <w:rsid w:val="005B1673"/>
    <w:rsid w:val="005B1694"/>
    <w:rsid w:val="005B16DD"/>
    <w:rsid w:val="005B16FA"/>
    <w:rsid w:val="005B1769"/>
    <w:rsid w:val="005B176A"/>
    <w:rsid w:val="005B177C"/>
    <w:rsid w:val="005B1798"/>
    <w:rsid w:val="005B1822"/>
    <w:rsid w:val="005B184B"/>
    <w:rsid w:val="005B18A2"/>
    <w:rsid w:val="005B1926"/>
    <w:rsid w:val="005B192D"/>
    <w:rsid w:val="005B194C"/>
    <w:rsid w:val="005B198F"/>
    <w:rsid w:val="005B19C0"/>
    <w:rsid w:val="005B19D6"/>
    <w:rsid w:val="005B19FE"/>
    <w:rsid w:val="005B1A27"/>
    <w:rsid w:val="005B1A63"/>
    <w:rsid w:val="005B1AB0"/>
    <w:rsid w:val="005B1B26"/>
    <w:rsid w:val="005B1B43"/>
    <w:rsid w:val="005B1B6F"/>
    <w:rsid w:val="005B1B98"/>
    <w:rsid w:val="005B1B9A"/>
    <w:rsid w:val="005B1BB5"/>
    <w:rsid w:val="005B1C4A"/>
    <w:rsid w:val="005B1C62"/>
    <w:rsid w:val="005B1C71"/>
    <w:rsid w:val="005B1CE9"/>
    <w:rsid w:val="005B1CEB"/>
    <w:rsid w:val="005B1D24"/>
    <w:rsid w:val="005B1D78"/>
    <w:rsid w:val="005B1D7D"/>
    <w:rsid w:val="005B1D9C"/>
    <w:rsid w:val="005B1DA5"/>
    <w:rsid w:val="005B1DDD"/>
    <w:rsid w:val="005B1DE4"/>
    <w:rsid w:val="005B1DF8"/>
    <w:rsid w:val="005B1DFF"/>
    <w:rsid w:val="005B1E49"/>
    <w:rsid w:val="005B1E85"/>
    <w:rsid w:val="005B1E9F"/>
    <w:rsid w:val="005B1EDC"/>
    <w:rsid w:val="005B1EE6"/>
    <w:rsid w:val="005B1F1F"/>
    <w:rsid w:val="005B1F42"/>
    <w:rsid w:val="005B2021"/>
    <w:rsid w:val="005B20C8"/>
    <w:rsid w:val="005B20E2"/>
    <w:rsid w:val="005B2102"/>
    <w:rsid w:val="005B2167"/>
    <w:rsid w:val="005B21F3"/>
    <w:rsid w:val="005B227E"/>
    <w:rsid w:val="005B228A"/>
    <w:rsid w:val="005B22DB"/>
    <w:rsid w:val="005B22DD"/>
    <w:rsid w:val="005B2318"/>
    <w:rsid w:val="005B2319"/>
    <w:rsid w:val="005B233A"/>
    <w:rsid w:val="005B2349"/>
    <w:rsid w:val="005B23B5"/>
    <w:rsid w:val="005B23B8"/>
    <w:rsid w:val="005B23FC"/>
    <w:rsid w:val="005B240C"/>
    <w:rsid w:val="005B2421"/>
    <w:rsid w:val="005B243C"/>
    <w:rsid w:val="005B2449"/>
    <w:rsid w:val="005B244D"/>
    <w:rsid w:val="005B244F"/>
    <w:rsid w:val="005B2498"/>
    <w:rsid w:val="005B24A3"/>
    <w:rsid w:val="005B24FD"/>
    <w:rsid w:val="005B25B2"/>
    <w:rsid w:val="005B25E2"/>
    <w:rsid w:val="005B25E9"/>
    <w:rsid w:val="005B25EE"/>
    <w:rsid w:val="005B25FF"/>
    <w:rsid w:val="005B2638"/>
    <w:rsid w:val="005B2662"/>
    <w:rsid w:val="005B26C3"/>
    <w:rsid w:val="005B2711"/>
    <w:rsid w:val="005B272E"/>
    <w:rsid w:val="005B276F"/>
    <w:rsid w:val="005B2777"/>
    <w:rsid w:val="005B2779"/>
    <w:rsid w:val="005B2785"/>
    <w:rsid w:val="005B278B"/>
    <w:rsid w:val="005B279B"/>
    <w:rsid w:val="005B27D7"/>
    <w:rsid w:val="005B27E3"/>
    <w:rsid w:val="005B27E5"/>
    <w:rsid w:val="005B283B"/>
    <w:rsid w:val="005B284C"/>
    <w:rsid w:val="005B2859"/>
    <w:rsid w:val="005B285F"/>
    <w:rsid w:val="005B28D1"/>
    <w:rsid w:val="005B28EC"/>
    <w:rsid w:val="005B2914"/>
    <w:rsid w:val="005B294A"/>
    <w:rsid w:val="005B29D8"/>
    <w:rsid w:val="005B29E5"/>
    <w:rsid w:val="005B2A04"/>
    <w:rsid w:val="005B2A0B"/>
    <w:rsid w:val="005B2A0E"/>
    <w:rsid w:val="005B2A15"/>
    <w:rsid w:val="005B2A4B"/>
    <w:rsid w:val="005B2A8C"/>
    <w:rsid w:val="005B2A94"/>
    <w:rsid w:val="005B2AA1"/>
    <w:rsid w:val="005B2AA2"/>
    <w:rsid w:val="005B2AB8"/>
    <w:rsid w:val="005B2AFA"/>
    <w:rsid w:val="005B2B01"/>
    <w:rsid w:val="005B2B0B"/>
    <w:rsid w:val="005B2B3B"/>
    <w:rsid w:val="005B2B4B"/>
    <w:rsid w:val="005B2B50"/>
    <w:rsid w:val="005B2B5E"/>
    <w:rsid w:val="005B2BED"/>
    <w:rsid w:val="005B2C16"/>
    <w:rsid w:val="005B2C5E"/>
    <w:rsid w:val="005B2C72"/>
    <w:rsid w:val="005B2C8E"/>
    <w:rsid w:val="005B2CC9"/>
    <w:rsid w:val="005B2D1C"/>
    <w:rsid w:val="005B2D63"/>
    <w:rsid w:val="005B2D6D"/>
    <w:rsid w:val="005B2D9E"/>
    <w:rsid w:val="005B2DD2"/>
    <w:rsid w:val="005B2DF6"/>
    <w:rsid w:val="005B2E0A"/>
    <w:rsid w:val="005B2E1C"/>
    <w:rsid w:val="005B2E20"/>
    <w:rsid w:val="005B2E8F"/>
    <w:rsid w:val="005B2EC6"/>
    <w:rsid w:val="005B2F2D"/>
    <w:rsid w:val="005B2F63"/>
    <w:rsid w:val="005B2F67"/>
    <w:rsid w:val="005B2FE6"/>
    <w:rsid w:val="005B2FE9"/>
    <w:rsid w:val="005B3008"/>
    <w:rsid w:val="005B3053"/>
    <w:rsid w:val="005B305B"/>
    <w:rsid w:val="005B305F"/>
    <w:rsid w:val="005B306B"/>
    <w:rsid w:val="005B306E"/>
    <w:rsid w:val="005B307C"/>
    <w:rsid w:val="005B3095"/>
    <w:rsid w:val="005B30B8"/>
    <w:rsid w:val="005B30C3"/>
    <w:rsid w:val="005B30D1"/>
    <w:rsid w:val="005B310C"/>
    <w:rsid w:val="005B3114"/>
    <w:rsid w:val="005B3124"/>
    <w:rsid w:val="005B316F"/>
    <w:rsid w:val="005B317D"/>
    <w:rsid w:val="005B31CC"/>
    <w:rsid w:val="005B31FA"/>
    <w:rsid w:val="005B3227"/>
    <w:rsid w:val="005B323F"/>
    <w:rsid w:val="005B32CC"/>
    <w:rsid w:val="005B32F5"/>
    <w:rsid w:val="005B32FB"/>
    <w:rsid w:val="005B32FF"/>
    <w:rsid w:val="005B332E"/>
    <w:rsid w:val="005B3369"/>
    <w:rsid w:val="005B3393"/>
    <w:rsid w:val="005B33D2"/>
    <w:rsid w:val="005B33F2"/>
    <w:rsid w:val="005B33F4"/>
    <w:rsid w:val="005B3407"/>
    <w:rsid w:val="005B342E"/>
    <w:rsid w:val="005B349F"/>
    <w:rsid w:val="005B34A7"/>
    <w:rsid w:val="005B34BD"/>
    <w:rsid w:val="005B34CE"/>
    <w:rsid w:val="005B34DE"/>
    <w:rsid w:val="005B3505"/>
    <w:rsid w:val="005B3522"/>
    <w:rsid w:val="005B3541"/>
    <w:rsid w:val="005B354E"/>
    <w:rsid w:val="005B356A"/>
    <w:rsid w:val="005B35A9"/>
    <w:rsid w:val="005B35B0"/>
    <w:rsid w:val="005B35D3"/>
    <w:rsid w:val="005B35E1"/>
    <w:rsid w:val="005B35E2"/>
    <w:rsid w:val="005B3656"/>
    <w:rsid w:val="005B36AA"/>
    <w:rsid w:val="005B36BE"/>
    <w:rsid w:val="005B36C5"/>
    <w:rsid w:val="005B36F4"/>
    <w:rsid w:val="005B36FC"/>
    <w:rsid w:val="005B3702"/>
    <w:rsid w:val="005B374D"/>
    <w:rsid w:val="005B3760"/>
    <w:rsid w:val="005B3765"/>
    <w:rsid w:val="005B3781"/>
    <w:rsid w:val="005B37AE"/>
    <w:rsid w:val="005B37B6"/>
    <w:rsid w:val="005B3808"/>
    <w:rsid w:val="005B3825"/>
    <w:rsid w:val="005B3841"/>
    <w:rsid w:val="005B3864"/>
    <w:rsid w:val="005B38F8"/>
    <w:rsid w:val="005B391F"/>
    <w:rsid w:val="005B3935"/>
    <w:rsid w:val="005B393A"/>
    <w:rsid w:val="005B39A6"/>
    <w:rsid w:val="005B39B0"/>
    <w:rsid w:val="005B39B6"/>
    <w:rsid w:val="005B39CC"/>
    <w:rsid w:val="005B3A30"/>
    <w:rsid w:val="005B3A6B"/>
    <w:rsid w:val="005B3AC9"/>
    <w:rsid w:val="005B3B02"/>
    <w:rsid w:val="005B3B1F"/>
    <w:rsid w:val="005B3B28"/>
    <w:rsid w:val="005B3B45"/>
    <w:rsid w:val="005B3B53"/>
    <w:rsid w:val="005B3B8C"/>
    <w:rsid w:val="005B3BAF"/>
    <w:rsid w:val="005B3BB3"/>
    <w:rsid w:val="005B3BBE"/>
    <w:rsid w:val="005B3BC6"/>
    <w:rsid w:val="005B3BF7"/>
    <w:rsid w:val="005B3C67"/>
    <w:rsid w:val="005B3C72"/>
    <w:rsid w:val="005B3CF3"/>
    <w:rsid w:val="005B3D70"/>
    <w:rsid w:val="005B3D8A"/>
    <w:rsid w:val="005B3DC7"/>
    <w:rsid w:val="005B3DF1"/>
    <w:rsid w:val="005B3E58"/>
    <w:rsid w:val="005B3E69"/>
    <w:rsid w:val="005B3E71"/>
    <w:rsid w:val="005B3EA2"/>
    <w:rsid w:val="005B3ED3"/>
    <w:rsid w:val="005B3F16"/>
    <w:rsid w:val="005B3F41"/>
    <w:rsid w:val="005B3F9C"/>
    <w:rsid w:val="005B3FF7"/>
    <w:rsid w:val="005B4047"/>
    <w:rsid w:val="005B4073"/>
    <w:rsid w:val="005B40C5"/>
    <w:rsid w:val="005B40CB"/>
    <w:rsid w:val="005B40F3"/>
    <w:rsid w:val="005B4147"/>
    <w:rsid w:val="005B41BF"/>
    <w:rsid w:val="005B4202"/>
    <w:rsid w:val="005B424E"/>
    <w:rsid w:val="005B4260"/>
    <w:rsid w:val="005B4265"/>
    <w:rsid w:val="005B4268"/>
    <w:rsid w:val="005B42CD"/>
    <w:rsid w:val="005B42DC"/>
    <w:rsid w:val="005B432D"/>
    <w:rsid w:val="005B434C"/>
    <w:rsid w:val="005B4386"/>
    <w:rsid w:val="005B43AE"/>
    <w:rsid w:val="005B43B3"/>
    <w:rsid w:val="005B43F0"/>
    <w:rsid w:val="005B43F1"/>
    <w:rsid w:val="005B4403"/>
    <w:rsid w:val="005B4404"/>
    <w:rsid w:val="005B440D"/>
    <w:rsid w:val="005B4410"/>
    <w:rsid w:val="005B4444"/>
    <w:rsid w:val="005B4473"/>
    <w:rsid w:val="005B4488"/>
    <w:rsid w:val="005B44BB"/>
    <w:rsid w:val="005B44F8"/>
    <w:rsid w:val="005B4511"/>
    <w:rsid w:val="005B4563"/>
    <w:rsid w:val="005B45B2"/>
    <w:rsid w:val="005B45FA"/>
    <w:rsid w:val="005B4611"/>
    <w:rsid w:val="005B46A2"/>
    <w:rsid w:val="005B46DA"/>
    <w:rsid w:val="005B46F9"/>
    <w:rsid w:val="005B4720"/>
    <w:rsid w:val="005B472D"/>
    <w:rsid w:val="005B47D9"/>
    <w:rsid w:val="005B4823"/>
    <w:rsid w:val="005B4858"/>
    <w:rsid w:val="005B49DF"/>
    <w:rsid w:val="005B4A45"/>
    <w:rsid w:val="005B4AB4"/>
    <w:rsid w:val="005B4B33"/>
    <w:rsid w:val="005B4B49"/>
    <w:rsid w:val="005B4BE4"/>
    <w:rsid w:val="005B4BFC"/>
    <w:rsid w:val="005B4C10"/>
    <w:rsid w:val="005B4C1E"/>
    <w:rsid w:val="005B4C2F"/>
    <w:rsid w:val="005B4C7C"/>
    <w:rsid w:val="005B4CA9"/>
    <w:rsid w:val="005B4CCB"/>
    <w:rsid w:val="005B4D04"/>
    <w:rsid w:val="005B4D26"/>
    <w:rsid w:val="005B4D6B"/>
    <w:rsid w:val="005B4DB6"/>
    <w:rsid w:val="005B4DBD"/>
    <w:rsid w:val="005B4DD0"/>
    <w:rsid w:val="005B4DFB"/>
    <w:rsid w:val="005B4E75"/>
    <w:rsid w:val="005B4ECC"/>
    <w:rsid w:val="005B4EEC"/>
    <w:rsid w:val="005B4F18"/>
    <w:rsid w:val="005B4F25"/>
    <w:rsid w:val="005B4F3D"/>
    <w:rsid w:val="005B4F54"/>
    <w:rsid w:val="005B4F56"/>
    <w:rsid w:val="005B4FA1"/>
    <w:rsid w:val="005B4FDB"/>
    <w:rsid w:val="005B4FDE"/>
    <w:rsid w:val="005B4FE8"/>
    <w:rsid w:val="005B5078"/>
    <w:rsid w:val="005B508B"/>
    <w:rsid w:val="005B508C"/>
    <w:rsid w:val="005B508D"/>
    <w:rsid w:val="005B50E2"/>
    <w:rsid w:val="005B50FC"/>
    <w:rsid w:val="005B5102"/>
    <w:rsid w:val="005B5111"/>
    <w:rsid w:val="005B5113"/>
    <w:rsid w:val="005B5119"/>
    <w:rsid w:val="005B5122"/>
    <w:rsid w:val="005B514C"/>
    <w:rsid w:val="005B516E"/>
    <w:rsid w:val="005B5193"/>
    <w:rsid w:val="005B51B4"/>
    <w:rsid w:val="005B5214"/>
    <w:rsid w:val="005B5236"/>
    <w:rsid w:val="005B5258"/>
    <w:rsid w:val="005B52BE"/>
    <w:rsid w:val="005B52D0"/>
    <w:rsid w:val="005B53E1"/>
    <w:rsid w:val="005B53F0"/>
    <w:rsid w:val="005B542B"/>
    <w:rsid w:val="005B544D"/>
    <w:rsid w:val="005B548D"/>
    <w:rsid w:val="005B54D6"/>
    <w:rsid w:val="005B54E7"/>
    <w:rsid w:val="005B54E9"/>
    <w:rsid w:val="005B550F"/>
    <w:rsid w:val="005B555B"/>
    <w:rsid w:val="005B55E1"/>
    <w:rsid w:val="005B55F9"/>
    <w:rsid w:val="005B560E"/>
    <w:rsid w:val="005B5650"/>
    <w:rsid w:val="005B5692"/>
    <w:rsid w:val="005B56C4"/>
    <w:rsid w:val="005B56EE"/>
    <w:rsid w:val="005B5771"/>
    <w:rsid w:val="005B5787"/>
    <w:rsid w:val="005B57F3"/>
    <w:rsid w:val="005B5852"/>
    <w:rsid w:val="005B586D"/>
    <w:rsid w:val="005B589F"/>
    <w:rsid w:val="005B58DC"/>
    <w:rsid w:val="005B58E0"/>
    <w:rsid w:val="005B5905"/>
    <w:rsid w:val="005B594B"/>
    <w:rsid w:val="005B597C"/>
    <w:rsid w:val="005B59BE"/>
    <w:rsid w:val="005B59E4"/>
    <w:rsid w:val="005B5A14"/>
    <w:rsid w:val="005B5A31"/>
    <w:rsid w:val="005B5A5B"/>
    <w:rsid w:val="005B5ADF"/>
    <w:rsid w:val="005B5B52"/>
    <w:rsid w:val="005B5B6A"/>
    <w:rsid w:val="005B5B78"/>
    <w:rsid w:val="005B5B9B"/>
    <w:rsid w:val="005B5BC6"/>
    <w:rsid w:val="005B5BE1"/>
    <w:rsid w:val="005B5BEA"/>
    <w:rsid w:val="005B5C83"/>
    <w:rsid w:val="005B5C88"/>
    <w:rsid w:val="005B5CBD"/>
    <w:rsid w:val="005B5CC0"/>
    <w:rsid w:val="005B5CEA"/>
    <w:rsid w:val="005B5CF1"/>
    <w:rsid w:val="005B5D00"/>
    <w:rsid w:val="005B5D5D"/>
    <w:rsid w:val="005B5D91"/>
    <w:rsid w:val="005B5DFA"/>
    <w:rsid w:val="005B5E1A"/>
    <w:rsid w:val="005B5E38"/>
    <w:rsid w:val="005B5E3A"/>
    <w:rsid w:val="005B5E4E"/>
    <w:rsid w:val="005B5EBF"/>
    <w:rsid w:val="005B5ED6"/>
    <w:rsid w:val="005B5EE4"/>
    <w:rsid w:val="005B5F04"/>
    <w:rsid w:val="005B5F1F"/>
    <w:rsid w:val="005B5F52"/>
    <w:rsid w:val="005B5F99"/>
    <w:rsid w:val="005B5FC3"/>
    <w:rsid w:val="005B5FFC"/>
    <w:rsid w:val="005B602A"/>
    <w:rsid w:val="005B603A"/>
    <w:rsid w:val="005B6053"/>
    <w:rsid w:val="005B6055"/>
    <w:rsid w:val="005B6061"/>
    <w:rsid w:val="005B6068"/>
    <w:rsid w:val="005B607C"/>
    <w:rsid w:val="005B6175"/>
    <w:rsid w:val="005B61BC"/>
    <w:rsid w:val="005B61E6"/>
    <w:rsid w:val="005B61FC"/>
    <w:rsid w:val="005B6219"/>
    <w:rsid w:val="005B6252"/>
    <w:rsid w:val="005B6253"/>
    <w:rsid w:val="005B6284"/>
    <w:rsid w:val="005B62B4"/>
    <w:rsid w:val="005B630E"/>
    <w:rsid w:val="005B632B"/>
    <w:rsid w:val="005B6354"/>
    <w:rsid w:val="005B6355"/>
    <w:rsid w:val="005B635C"/>
    <w:rsid w:val="005B6396"/>
    <w:rsid w:val="005B63EE"/>
    <w:rsid w:val="005B63FA"/>
    <w:rsid w:val="005B640D"/>
    <w:rsid w:val="005B6420"/>
    <w:rsid w:val="005B6495"/>
    <w:rsid w:val="005B64B7"/>
    <w:rsid w:val="005B64CC"/>
    <w:rsid w:val="005B64CD"/>
    <w:rsid w:val="005B651B"/>
    <w:rsid w:val="005B65C8"/>
    <w:rsid w:val="005B65EE"/>
    <w:rsid w:val="005B6641"/>
    <w:rsid w:val="005B66CA"/>
    <w:rsid w:val="005B672E"/>
    <w:rsid w:val="005B6757"/>
    <w:rsid w:val="005B6766"/>
    <w:rsid w:val="005B6774"/>
    <w:rsid w:val="005B679F"/>
    <w:rsid w:val="005B67CD"/>
    <w:rsid w:val="005B6815"/>
    <w:rsid w:val="005B687F"/>
    <w:rsid w:val="005B688B"/>
    <w:rsid w:val="005B68CD"/>
    <w:rsid w:val="005B68F0"/>
    <w:rsid w:val="005B6917"/>
    <w:rsid w:val="005B6936"/>
    <w:rsid w:val="005B6940"/>
    <w:rsid w:val="005B6943"/>
    <w:rsid w:val="005B69CE"/>
    <w:rsid w:val="005B69E1"/>
    <w:rsid w:val="005B6A2A"/>
    <w:rsid w:val="005B6A58"/>
    <w:rsid w:val="005B6A7C"/>
    <w:rsid w:val="005B6AA7"/>
    <w:rsid w:val="005B6AAD"/>
    <w:rsid w:val="005B6B46"/>
    <w:rsid w:val="005B6B4C"/>
    <w:rsid w:val="005B6B53"/>
    <w:rsid w:val="005B6B61"/>
    <w:rsid w:val="005B6BD1"/>
    <w:rsid w:val="005B6BEF"/>
    <w:rsid w:val="005B6C37"/>
    <w:rsid w:val="005B6C49"/>
    <w:rsid w:val="005B6CBC"/>
    <w:rsid w:val="005B6CE7"/>
    <w:rsid w:val="005B6CF6"/>
    <w:rsid w:val="005B6D03"/>
    <w:rsid w:val="005B6D25"/>
    <w:rsid w:val="005B6D54"/>
    <w:rsid w:val="005B6D5F"/>
    <w:rsid w:val="005B6D89"/>
    <w:rsid w:val="005B6D8F"/>
    <w:rsid w:val="005B6DE4"/>
    <w:rsid w:val="005B6DF8"/>
    <w:rsid w:val="005B6E5A"/>
    <w:rsid w:val="005B6E75"/>
    <w:rsid w:val="005B6E85"/>
    <w:rsid w:val="005B6E90"/>
    <w:rsid w:val="005B6EB1"/>
    <w:rsid w:val="005B6EC0"/>
    <w:rsid w:val="005B6F76"/>
    <w:rsid w:val="005B707E"/>
    <w:rsid w:val="005B7120"/>
    <w:rsid w:val="005B712C"/>
    <w:rsid w:val="005B7131"/>
    <w:rsid w:val="005B71B7"/>
    <w:rsid w:val="005B71BD"/>
    <w:rsid w:val="005B71E1"/>
    <w:rsid w:val="005B7240"/>
    <w:rsid w:val="005B7263"/>
    <w:rsid w:val="005B728D"/>
    <w:rsid w:val="005B72BD"/>
    <w:rsid w:val="005B7330"/>
    <w:rsid w:val="005B7381"/>
    <w:rsid w:val="005B7385"/>
    <w:rsid w:val="005B7392"/>
    <w:rsid w:val="005B73AC"/>
    <w:rsid w:val="005B73DE"/>
    <w:rsid w:val="005B73F5"/>
    <w:rsid w:val="005B7441"/>
    <w:rsid w:val="005B7454"/>
    <w:rsid w:val="005B745A"/>
    <w:rsid w:val="005B746B"/>
    <w:rsid w:val="005B746D"/>
    <w:rsid w:val="005B7483"/>
    <w:rsid w:val="005B74B5"/>
    <w:rsid w:val="005B753D"/>
    <w:rsid w:val="005B7549"/>
    <w:rsid w:val="005B758D"/>
    <w:rsid w:val="005B75A3"/>
    <w:rsid w:val="005B75E3"/>
    <w:rsid w:val="005B7603"/>
    <w:rsid w:val="005B7607"/>
    <w:rsid w:val="005B7640"/>
    <w:rsid w:val="005B7648"/>
    <w:rsid w:val="005B7653"/>
    <w:rsid w:val="005B76A8"/>
    <w:rsid w:val="005B76A9"/>
    <w:rsid w:val="005B7701"/>
    <w:rsid w:val="005B7708"/>
    <w:rsid w:val="005B770D"/>
    <w:rsid w:val="005B772E"/>
    <w:rsid w:val="005B775F"/>
    <w:rsid w:val="005B7775"/>
    <w:rsid w:val="005B7794"/>
    <w:rsid w:val="005B77A3"/>
    <w:rsid w:val="005B77B4"/>
    <w:rsid w:val="005B77D3"/>
    <w:rsid w:val="005B7833"/>
    <w:rsid w:val="005B7839"/>
    <w:rsid w:val="005B7859"/>
    <w:rsid w:val="005B78A8"/>
    <w:rsid w:val="005B78AE"/>
    <w:rsid w:val="005B796E"/>
    <w:rsid w:val="005B7970"/>
    <w:rsid w:val="005B79C8"/>
    <w:rsid w:val="005B79F9"/>
    <w:rsid w:val="005B7A3F"/>
    <w:rsid w:val="005B7A4A"/>
    <w:rsid w:val="005B7A67"/>
    <w:rsid w:val="005B7A8C"/>
    <w:rsid w:val="005B7AA7"/>
    <w:rsid w:val="005B7B2E"/>
    <w:rsid w:val="005B7BDE"/>
    <w:rsid w:val="005B7C03"/>
    <w:rsid w:val="005B7CB9"/>
    <w:rsid w:val="005B7CDF"/>
    <w:rsid w:val="005B7CFF"/>
    <w:rsid w:val="005B7D1A"/>
    <w:rsid w:val="005B7D79"/>
    <w:rsid w:val="005B7DA5"/>
    <w:rsid w:val="005B7DF5"/>
    <w:rsid w:val="005B7E15"/>
    <w:rsid w:val="005B7E46"/>
    <w:rsid w:val="005B7E69"/>
    <w:rsid w:val="005B7EB4"/>
    <w:rsid w:val="005B7EC9"/>
    <w:rsid w:val="005B7EEE"/>
    <w:rsid w:val="005B7F02"/>
    <w:rsid w:val="005B7F25"/>
    <w:rsid w:val="005B7F66"/>
    <w:rsid w:val="005B7F78"/>
    <w:rsid w:val="005B7F8F"/>
    <w:rsid w:val="005B7F9E"/>
    <w:rsid w:val="005C000B"/>
    <w:rsid w:val="005C001F"/>
    <w:rsid w:val="005C002F"/>
    <w:rsid w:val="005C0040"/>
    <w:rsid w:val="005C007E"/>
    <w:rsid w:val="005C008E"/>
    <w:rsid w:val="005C00B6"/>
    <w:rsid w:val="005C0182"/>
    <w:rsid w:val="005C0185"/>
    <w:rsid w:val="005C0187"/>
    <w:rsid w:val="005C0189"/>
    <w:rsid w:val="005C018F"/>
    <w:rsid w:val="005C01CD"/>
    <w:rsid w:val="005C01F0"/>
    <w:rsid w:val="005C0280"/>
    <w:rsid w:val="005C0288"/>
    <w:rsid w:val="005C0295"/>
    <w:rsid w:val="005C0345"/>
    <w:rsid w:val="005C034F"/>
    <w:rsid w:val="005C0352"/>
    <w:rsid w:val="005C03BB"/>
    <w:rsid w:val="005C0442"/>
    <w:rsid w:val="005C0485"/>
    <w:rsid w:val="005C04B2"/>
    <w:rsid w:val="005C0547"/>
    <w:rsid w:val="005C0571"/>
    <w:rsid w:val="005C05EB"/>
    <w:rsid w:val="005C0734"/>
    <w:rsid w:val="005C073B"/>
    <w:rsid w:val="005C0793"/>
    <w:rsid w:val="005C07C4"/>
    <w:rsid w:val="005C07F7"/>
    <w:rsid w:val="005C0810"/>
    <w:rsid w:val="005C0833"/>
    <w:rsid w:val="005C0845"/>
    <w:rsid w:val="005C084B"/>
    <w:rsid w:val="005C08CE"/>
    <w:rsid w:val="005C08E0"/>
    <w:rsid w:val="005C08F6"/>
    <w:rsid w:val="005C0904"/>
    <w:rsid w:val="005C090C"/>
    <w:rsid w:val="005C0911"/>
    <w:rsid w:val="005C097F"/>
    <w:rsid w:val="005C09AE"/>
    <w:rsid w:val="005C0A09"/>
    <w:rsid w:val="005C0A3A"/>
    <w:rsid w:val="005C0B2C"/>
    <w:rsid w:val="005C0B30"/>
    <w:rsid w:val="005C0B6D"/>
    <w:rsid w:val="005C0B96"/>
    <w:rsid w:val="005C0BA9"/>
    <w:rsid w:val="005C0BB4"/>
    <w:rsid w:val="005C0BFE"/>
    <w:rsid w:val="005C0C3C"/>
    <w:rsid w:val="005C0C70"/>
    <w:rsid w:val="005C0C71"/>
    <w:rsid w:val="005C0C98"/>
    <w:rsid w:val="005C0C99"/>
    <w:rsid w:val="005C0D08"/>
    <w:rsid w:val="005C0D96"/>
    <w:rsid w:val="005C0DA7"/>
    <w:rsid w:val="005C0E71"/>
    <w:rsid w:val="005C0E9D"/>
    <w:rsid w:val="005C0EB5"/>
    <w:rsid w:val="005C0EDF"/>
    <w:rsid w:val="005C0EFA"/>
    <w:rsid w:val="005C0F56"/>
    <w:rsid w:val="005C0F64"/>
    <w:rsid w:val="005C0FE0"/>
    <w:rsid w:val="005C0FEC"/>
    <w:rsid w:val="005C0FEE"/>
    <w:rsid w:val="005C1014"/>
    <w:rsid w:val="005C104C"/>
    <w:rsid w:val="005C1054"/>
    <w:rsid w:val="005C1074"/>
    <w:rsid w:val="005C10A3"/>
    <w:rsid w:val="005C10B8"/>
    <w:rsid w:val="005C10C6"/>
    <w:rsid w:val="005C10D6"/>
    <w:rsid w:val="005C112E"/>
    <w:rsid w:val="005C1175"/>
    <w:rsid w:val="005C119C"/>
    <w:rsid w:val="005C11E9"/>
    <w:rsid w:val="005C1200"/>
    <w:rsid w:val="005C1201"/>
    <w:rsid w:val="005C120B"/>
    <w:rsid w:val="005C1243"/>
    <w:rsid w:val="005C124C"/>
    <w:rsid w:val="005C128A"/>
    <w:rsid w:val="005C12A1"/>
    <w:rsid w:val="005C1327"/>
    <w:rsid w:val="005C13C0"/>
    <w:rsid w:val="005C13F8"/>
    <w:rsid w:val="005C13F9"/>
    <w:rsid w:val="005C13FB"/>
    <w:rsid w:val="005C13FD"/>
    <w:rsid w:val="005C1404"/>
    <w:rsid w:val="005C1419"/>
    <w:rsid w:val="005C1424"/>
    <w:rsid w:val="005C1435"/>
    <w:rsid w:val="005C143B"/>
    <w:rsid w:val="005C1489"/>
    <w:rsid w:val="005C14B6"/>
    <w:rsid w:val="005C14DA"/>
    <w:rsid w:val="005C14E1"/>
    <w:rsid w:val="005C1529"/>
    <w:rsid w:val="005C1535"/>
    <w:rsid w:val="005C1543"/>
    <w:rsid w:val="005C1548"/>
    <w:rsid w:val="005C157A"/>
    <w:rsid w:val="005C15B7"/>
    <w:rsid w:val="005C15D5"/>
    <w:rsid w:val="005C15E6"/>
    <w:rsid w:val="005C1618"/>
    <w:rsid w:val="005C1654"/>
    <w:rsid w:val="005C1661"/>
    <w:rsid w:val="005C1680"/>
    <w:rsid w:val="005C16A2"/>
    <w:rsid w:val="005C16EE"/>
    <w:rsid w:val="005C1755"/>
    <w:rsid w:val="005C1767"/>
    <w:rsid w:val="005C1781"/>
    <w:rsid w:val="005C178B"/>
    <w:rsid w:val="005C1791"/>
    <w:rsid w:val="005C17C0"/>
    <w:rsid w:val="005C183C"/>
    <w:rsid w:val="005C1860"/>
    <w:rsid w:val="005C18AA"/>
    <w:rsid w:val="005C18CF"/>
    <w:rsid w:val="005C18D1"/>
    <w:rsid w:val="005C1900"/>
    <w:rsid w:val="005C190F"/>
    <w:rsid w:val="005C1918"/>
    <w:rsid w:val="005C191A"/>
    <w:rsid w:val="005C196F"/>
    <w:rsid w:val="005C19B3"/>
    <w:rsid w:val="005C19C4"/>
    <w:rsid w:val="005C19F3"/>
    <w:rsid w:val="005C1A55"/>
    <w:rsid w:val="005C1A6C"/>
    <w:rsid w:val="005C1A88"/>
    <w:rsid w:val="005C1AA0"/>
    <w:rsid w:val="005C1B46"/>
    <w:rsid w:val="005C1B7A"/>
    <w:rsid w:val="005C1BAB"/>
    <w:rsid w:val="005C1BDB"/>
    <w:rsid w:val="005C1C21"/>
    <w:rsid w:val="005C1CA9"/>
    <w:rsid w:val="005C1CBC"/>
    <w:rsid w:val="005C1CDE"/>
    <w:rsid w:val="005C1CF4"/>
    <w:rsid w:val="005C1D06"/>
    <w:rsid w:val="005C1D27"/>
    <w:rsid w:val="005C1D49"/>
    <w:rsid w:val="005C1D6E"/>
    <w:rsid w:val="005C1D79"/>
    <w:rsid w:val="005C1E24"/>
    <w:rsid w:val="005C1E2D"/>
    <w:rsid w:val="005C1E83"/>
    <w:rsid w:val="005C1ED5"/>
    <w:rsid w:val="005C1ED9"/>
    <w:rsid w:val="005C1EF5"/>
    <w:rsid w:val="005C1EFD"/>
    <w:rsid w:val="005C1F6F"/>
    <w:rsid w:val="005C1F7A"/>
    <w:rsid w:val="005C2021"/>
    <w:rsid w:val="005C209B"/>
    <w:rsid w:val="005C209D"/>
    <w:rsid w:val="005C20E3"/>
    <w:rsid w:val="005C2134"/>
    <w:rsid w:val="005C2136"/>
    <w:rsid w:val="005C2167"/>
    <w:rsid w:val="005C2186"/>
    <w:rsid w:val="005C2226"/>
    <w:rsid w:val="005C2279"/>
    <w:rsid w:val="005C227A"/>
    <w:rsid w:val="005C22FD"/>
    <w:rsid w:val="005C2346"/>
    <w:rsid w:val="005C23BB"/>
    <w:rsid w:val="005C23FF"/>
    <w:rsid w:val="005C2475"/>
    <w:rsid w:val="005C2483"/>
    <w:rsid w:val="005C24B7"/>
    <w:rsid w:val="005C24DC"/>
    <w:rsid w:val="005C24E2"/>
    <w:rsid w:val="005C250B"/>
    <w:rsid w:val="005C253B"/>
    <w:rsid w:val="005C254F"/>
    <w:rsid w:val="005C257F"/>
    <w:rsid w:val="005C264D"/>
    <w:rsid w:val="005C2660"/>
    <w:rsid w:val="005C2670"/>
    <w:rsid w:val="005C26EC"/>
    <w:rsid w:val="005C2736"/>
    <w:rsid w:val="005C2762"/>
    <w:rsid w:val="005C27AA"/>
    <w:rsid w:val="005C27E0"/>
    <w:rsid w:val="005C2809"/>
    <w:rsid w:val="005C2821"/>
    <w:rsid w:val="005C2822"/>
    <w:rsid w:val="005C2825"/>
    <w:rsid w:val="005C2827"/>
    <w:rsid w:val="005C285F"/>
    <w:rsid w:val="005C2887"/>
    <w:rsid w:val="005C288A"/>
    <w:rsid w:val="005C28C5"/>
    <w:rsid w:val="005C28EC"/>
    <w:rsid w:val="005C290B"/>
    <w:rsid w:val="005C292F"/>
    <w:rsid w:val="005C2994"/>
    <w:rsid w:val="005C29A8"/>
    <w:rsid w:val="005C29CF"/>
    <w:rsid w:val="005C29D4"/>
    <w:rsid w:val="005C29EB"/>
    <w:rsid w:val="005C2A08"/>
    <w:rsid w:val="005C2A09"/>
    <w:rsid w:val="005C2A44"/>
    <w:rsid w:val="005C2A5A"/>
    <w:rsid w:val="005C2A64"/>
    <w:rsid w:val="005C2AB8"/>
    <w:rsid w:val="005C2ADC"/>
    <w:rsid w:val="005C2ADF"/>
    <w:rsid w:val="005C2B12"/>
    <w:rsid w:val="005C2B2A"/>
    <w:rsid w:val="005C2B2E"/>
    <w:rsid w:val="005C2B3D"/>
    <w:rsid w:val="005C2B45"/>
    <w:rsid w:val="005C2BC1"/>
    <w:rsid w:val="005C2BC9"/>
    <w:rsid w:val="005C2BDE"/>
    <w:rsid w:val="005C2BE1"/>
    <w:rsid w:val="005C2BF5"/>
    <w:rsid w:val="005C2C12"/>
    <w:rsid w:val="005C2C1A"/>
    <w:rsid w:val="005C2C26"/>
    <w:rsid w:val="005C2C9F"/>
    <w:rsid w:val="005C2CAC"/>
    <w:rsid w:val="005C2CFF"/>
    <w:rsid w:val="005C2D08"/>
    <w:rsid w:val="005C2DB3"/>
    <w:rsid w:val="005C2DD0"/>
    <w:rsid w:val="005C2DF9"/>
    <w:rsid w:val="005C2DFC"/>
    <w:rsid w:val="005C2E0E"/>
    <w:rsid w:val="005C2E65"/>
    <w:rsid w:val="005C2F2C"/>
    <w:rsid w:val="005C2F4A"/>
    <w:rsid w:val="005C2F52"/>
    <w:rsid w:val="005C2F75"/>
    <w:rsid w:val="005C2F77"/>
    <w:rsid w:val="005C2F92"/>
    <w:rsid w:val="005C2FA2"/>
    <w:rsid w:val="005C2FFB"/>
    <w:rsid w:val="005C3010"/>
    <w:rsid w:val="005C3014"/>
    <w:rsid w:val="005C3092"/>
    <w:rsid w:val="005C30D0"/>
    <w:rsid w:val="005C3156"/>
    <w:rsid w:val="005C315F"/>
    <w:rsid w:val="005C318A"/>
    <w:rsid w:val="005C31B3"/>
    <w:rsid w:val="005C31DA"/>
    <w:rsid w:val="005C321E"/>
    <w:rsid w:val="005C323D"/>
    <w:rsid w:val="005C32A7"/>
    <w:rsid w:val="005C32FA"/>
    <w:rsid w:val="005C332D"/>
    <w:rsid w:val="005C3376"/>
    <w:rsid w:val="005C337E"/>
    <w:rsid w:val="005C339A"/>
    <w:rsid w:val="005C33C6"/>
    <w:rsid w:val="005C33E6"/>
    <w:rsid w:val="005C3417"/>
    <w:rsid w:val="005C3419"/>
    <w:rsid w:val="005C3429"/>
    <w:rsid w:val="005C3440"/>
    <w:rsid w:val="005C3455"/>
    <w:rsid w:val="005C3488"/>
    <w:rsid w:val="005C34A9"/>
    <w:rsid w:val="005C34D3"/>
    <w:rsid w:val="005C352B"/>
    <w:rsid w:val="005C3565"/>
    <w:rsid w:val="005C35A1"/>
    <w:rsid w:val="005C35A9"/>
    <w:rsid w:val="005C35BF"/>
    <w:rsid w:val="005C366C"/>
    <w:rsid w:val="005C3692"/>
    <w:rsid w:val="005C369B"/>
    <w:rsid w:val="005C36DA"/>
    <w:rsid w:val="005C36DB"/>
    <w:rsid w:val="005C36E7"/>
    <w:rsid w:val="005C3709"/>
    <w:rsid w:val="005C3727"/>
    <w:rsid w:val="005C372B"/>
    <w:rsid w:val="005C3739"/>
    <w:rsid w:val="005C373F"/>
    <w:rsid w:val="005C3781"/>
    <w:rsid w:val="005C3793"/>
    <w:rsid w:val="005C37DC"/>
    <w:rsid w:val="005C37F6"/>
    <w:rsid w:val="005C381E"/>
    <w:rsid w:val="005C3826"/>
    <w:rsid w:val="005C38A3"/>
    <w:rsid w:val="005C38A4"/>
    <w:rsid w:val="005C390E"/>
    <w:rsid w:val="005C395B"/>
    <w:rsid w:val="005C3963"/>
    <w:rsid w:val="005C397B"/>
    <w:rsid w:val="005C3982"/>
    <w:rsid w:val="005C39C7"/>
    <w:rsid w:val="005C39CC"/>
    <w:rsid w:val="005C3A03"/>
    <w:rsid w:val="005C3A30"/>
    <w:rsid w:val="005C3AA9"/>
    <w:rsid w:val="005C3AAF"/>
    <w:rsid w:val="005C3AB8"/>
    <w:rsid w:val="005C3B4E"/>
    <w:rsid w:val="005C3B59"/>
    <w:rsid w:val="005C3B92"/>
    <w:rsid w:val="005C3BB0"/>
    <w:rsid w:val="005C3BB6"/>
    <w:rsid w:val="005C3BC5"/>
    <w:rsid w:val="005C3BFA"/>
    <w:rsid w:val="005C3BFD"/>
    <w:rsid w:val="005C3C20"/>
    <w:rsid w:val="005C3C5D"/>
    <w:rsid w:val="005C3C6F"/>
    <w:rsid w:val="005C3CA7"/>
    <w:rsid w:val="005C3CF4"/>
    <w:rsid w:val="005C3CFF"/>
    <w:rsid w:val="005C3D41"/>
    <w:rsid w:val="005C3D50"/>
    <w:rsid w:val="005C3D51"/>
    <w:rsid w:val="005C3D74"/>
    <w:rsid w:val="005C3D92"/>
    <w:rsid w:val="005C3DB0"/>
    <w:rsid w:val="005C3E1F"/>
    <w:rsid w:val="005C3E27"/>
    <w:rsid w:val="005C3E84"/>
    <w:rsid w:val="005C3EA8"/>
    <w:rsid w:val="005C3EDB"/>
    <w:rsid w:val="005C3F2A"/>
    <w:rsid w:val="005C3F37"/>
    <w:rsid w:val="005C3F43"/>
    <w:rsid w:val="005C3F61"/>
    <w:rsid w:val="005C3F90"/>
    <w:rsid w:val="005C3F92"/>
    <w:rsid w:val="005C3FA4"/>
    <w:rsid w:val="005C3FB3"/>
    <w:rsid w:val="005C3FBC"/>
    <w:rsid w:val="005C4055"/>
    <w:rsid w:val="005C4063"/>
    <w:rsid w:val="005C408F"/>
    <w:rsid w:val="005C40B3"/>
    <w:rsid w:val="005C40BF"/>
    <w:rsid w:val="005C40C3"/>
    <w:rsid w:val="005C416F"/>
    <w:rsid w:val="005C4170"/>
    <w:rsid w:val="005C41A8"/>
    <w:rsid w:val="005C41CE"/>
    <w:rsid w:val="005C4247"/>
    <w:rsid w:val="005C4249"/>
    <w:rsid w:val="005C4263"/>
    <w:rsid w:val="005C427A"/>
    <w:rsid w:val="005C428D"/>
    <w:rsid w:val="005C4299"/>
    <w:rsid w:val="005C42B3"/>
    <w:rsid w:val="005C42DA"/>
    <w:rsid w:val="005C433B"/>
    <w:rsid w:val="005C4366"/>
    <w:rsid w:val="005C4377"/>
    <w:rsid w:val="005C439C"/>
    <w:rsid w:val="005C43C5"/>
    <w:rsid w:val="005C443D"/>
    <w:rsid w:val="005C4444"/>
    <w:rsid w:val="005C446A"/>
    <w:rsid w:val="005C4482"/>
    <w:rsid w:val="005C4491"/>
    <w:rsid w:val="005C44AA"/>
    <w:rsid w:val="005C44E2"/>
    <w:rsid w:val="005C44FD"/>
    <w:rsid w:val="005C4556"/>
    <w:rsid w:val="005C4567"/>
    <w:rsid w:val="005C457E"/>
    <w:rsid w:val="005C4594"/>
    <w:rsid w:val="005C45BB"/>
    <w:rsid w:val="005C45D8"/>
    <w:rsid w:val="005C45FF"/>
    <w:rsid w:val="005C4660"/>
    <w:rsid w:val="005C469A"/>
    <w:rsid w:val="005C46E4"/>
    <w:rsid w:val="005C46F1"/>
    <w:rsid w:val="005C47CD"/>
    <w:rsid w:val="005C4830"/>
    <w:rsid w:val="005C48A3"/>
    <w:rsid w:val="005C48AB"/>
    <w:rsid w:val="005C48FA"/>
    <w:rsid w:val="005C4900"/>
    <w:rsid w:val="005C4922"/>
    <w:rsid w:val="005C4932"/>
    <w:rsid w:val="005C4947"/>
    <w:rsid w:val="005C494C"/>
    <w:rsid w:val="005C495D"/>
    <w:rsid w:val="005C4965"/>
    <w:rsid w:val="005C496A"/>
    <w:rsid w:val="005C49AB"/>
    <w:rsid w:val="005C49BC"/>
    <w:rsid w:val="005C49D8"/>
    <w:rsid w:val="005C49DC"/>
    <w:rsid w:val="005C4A1A"/>
    <w:rsid w:val="005C4A23"/>
    <w:rsid w:val="005C4A77"/>
    <w:rsid w:val="005C4AC5"/>
    <w:rsid w:val="005C4ADB"/>
    <w:rsid w:val="005C4B18"/>
    <w:rsid w:val="005C4B2F"/>
    <w:rsid w:val="005C4B44"/>
    <w:rsid w:val="005C4B89"/>
    <w:rsid w:val="005C4B99"/>
    <w:rsid w:val="005C4BAB"/>
    <w:rsid w:val="005C4BAD"/>
    <w:rsid w:val="005C4BBB"/>
    <w:rsid w:val="005C4BDD"/>
    <w:rsid w:val="005C4C2F"/>
    <w:rsid w:val="005C4C36"/>
    <w:rsid w:val="005C4C85"/>
    <w:rsid w:val="005C4CA7"/>
    <w:rsid w:val="005C4D2D"/>
    <w:rsid w:val="005C4D4B"/>
    <w:rsid w:val="005C4D71"/>
    <w:rsid w:val="005C4DB5"/>
    <w:rsid w:val="005C4DCC"/>
    <w:rsid w:val="005C4DD0"/>
    <w:rsid w:val="005C4E3C"/>
    <w:rsid w:val="005C4EAF"/>
    <w:rsid w:val="005C4EB3"/>
    <w:rsid w:val="005C4F37"/>
    <w:rsid w:val="005C4F6F"/>
    <w:rsid w:val="005C4FB9"/>
    <w:rsid w:val="005C504C"/>
    <w:rsid w:val="005C50B7"/>
    <w:rsid w:val="005C5109"/>
    <w:rsid w:val="005C5153"/>
    <w:rsid w:val="005C5169"/>
    <w:rsid w:val="005C516C"/>
    <w:rsid w:val="005C51A1"/>
    <w:rsid w:val="005C51CA"/>
    <w:rsid w:val="005C51DD"/>
    <w:rsid w:val="005C5202"/>
    <w:rsid w:val="005C5229"/>
    <w:rsid w:val="005C528E"/>
    <w:rsid w:val="005C52AF"/>
    <w:rsid w:val="005C52C1"/>
    <w:rsid w:val="005C52CE"/>
    <w:rsid w:val="005C532C"/>
    <w:rsid w:val="005C533F"/>
    <w:rsid w:val="005C5361"/>
    <w:rsid w:val="005C53F5"/>
    <w:rsid w:val="005C5427"/>
    <w:rsid w:val="005C54BB"/>
    <w:rsid w:val="005C54C1"/>
    <w:rsid w:val="005C5518"/>
    <w:rsid w:val="005C5521"/>
    <w:rsid w:val="005C5522"/>
    <w:rsid w:val="005C553D"/>
    <w:rsid w:val="005C5554"/>
    <w:rsid w:val="005C5555"/>
    <w:rsid w:val="005C557F"/>
    <w:rsid w:val="005C5580"/>
    <w:rsid w:val="005C5586"/>
    <w:rsid w:val="005C5588"/>
    <w:rsid w:val="005C5665"/>
    <w:rsid w:val="005C56C8"/>
    <w:rsid w:val="005C56D7"/>
    <w:rsid w:val="005C56DA"/>
    <w:rsid w:val="005C5705"/>
    <w:rsid w:val="005C5715"/>
    <w:rsid w:val="005C5746"/>
    <w:rsid w:val="005C5748"/>
    <w:rsid w:val="005C576F"/>
    <w:rsid w:val="005C578C"/>
    <w:rsid w:val="005C57A0"/>
    <w:rsid w:val="005C57A8"/>
    <w:rsid w:val="005C5826"/>
    <w:rsid w:val="005C582B"/>
    <w:rsid w:val="005C586D"/>
    <w:rsid w:val="005C58B9"/>
    <w:rsid w:val="005C58D1"/>
    <w:rsid w:val="005C590A"/>
    <w:rsid w:val="005C590D"/>
    <w:rsid w:val="005C5914"/>
    <w:rsid w:val="005C5928"/>
    <w:rsid w:val="005C592E"/>
    <w:rsid w:val="005C5936"/>
    <w:rsid w:val="005C5944"/>
    <w:rsid w:val="005C5947"/>
    <w:rsid w:val="005C5996"/>
    <w:rsid w:val="005C599C"/>
    <w:rsid w:val="005C59B2"/>
    <w:rsid w:val="005C59D3"/>
    <w:rsid w:val="005C5A03"/>
    <w:rsid w:val="005C5A40"/>
    <w:rsid w:val="005C5AB5"/>
    <w:rsid w:val="005C5ABA"/>
    <w:rsid w:val="005C5ADB"/>
    <w:rsid w:val="005C5AF5"/>
    <w:rsid w:val="005C5B95"/>
    <w:rsid w:val="005C5BB6"/>
    <w:rsid w:val="005C5C00"/>
    <w:rsid w:val="005C5C04"/>
    <w:rsid w:val="005C5C18"/>
    <w:rsid w:val="005C5C58"/>
    <w:rsid w:val="005C5CFC"/>
    <w:rsid w:val="005C5D26"/>
    <w:rsid w:val="005C5D35"/>
    <w:rsid w:val="005C5D4C"/>
    <w:rsid w:val="005C5D59"/>
    <w:rsid w:val="005C5D78"/>
    <w:rsid w:val="005C5D7B"/>
    <w:rsid w:val="005C5DAF"/>
    <w:rsid w:val="005C5DCB"/>
    <w:rsid w:val="005C5E36"/>
    <w:rsid w:val="005C5E76"/>
    <w:rsid w:val="005C5ECE"/>
    <w:rsid w:val="005C5F81"/>
    <w:rsid w:val="005C5FE9"/>
    <w:rsid w:val="005C5FED"/>
    <w:rsid w:val="005C605B"/>
    <w:rsid w:val="005C6073"/>
    <w:rsid w:val="005C6085"/>
    <w:rsid w:val="005C60C5"/>
    <w:rsid w:val="005C60CC"/>
    <w:rsid w:val="005C6107"/>
    <w:rsid w:val="005C6116"/>
    <w:rsid w:val="005C6128"/>
    <w:rsid w:val="005C612A"/>
    <w:rsid w:val="005C612F"/>
    <w:rsid w:val="005C617F"/>
    <w:rsid w:val="005C61AB"/>
    <w:rsid w:val="005C61AC"/>
    <w:rsid w:val="005C61E0"/>
    <w:rsid w:val="005C61EB"/>
    <w:rsid w:val="005C6202"/>
    <w:rsid w:val="005C620E"/>
    <w:rsid w:val="005C625A"/>
    <w:rsid w:val="005C626D"/>
    <w:rsid w:val="005C6283"/>
    <w:rsid w:val="005C62E2"/>
    <w:rsid w:val="005C62EA"/>
    <w:rsid w:val="005C631A"/>
    <w:rsid w:val="005C637A"/>
    <w:rsid w:val="005C63BB"/>
    <w:rsid w:val="005C63BE"/>
    <w:rsid w:val="005C63DA"/>
    <w:rsid w:val="005C63FF"/>
    <w:rsid w:val="005C6403"/>
    <w:rsid w:val="005C6420"/>
    <w:rsid w:val="005C643C"/>
    <w:rsid w:val="005C644A"/>
    <w:rsid w:val="005C645A"/>
    <w:rsid w:val="005C646A"/>
    <w:rsid w:val="005C64A9"/>
    <w:rsid w:val="005C64B4"/>
    <w:rsid w:val="005C651F"/>
    <w:rsid w:val="005C652E"/>
    <w:rsid w:val="005C6533"/>
    <w:rsid w:val="005C654A"/>
    <w:rsid w:val="005C6553"/>
    <w:rsid w:val="005C65BC"/>
    <w:rsid w:val="005C65F8"/>
    <w:rsid w:val="005C6609"/>
    <w:rsid w:val="005C661D"/>
    <w:rsid w:val="005C6631"/>
    <w:rsid w:val="005C665F"/>
    <w:rsid w:val="005C6674"/>
    <w:rsid w:val="005C66BE"/>
    <w:rsid w:val="005C66C3"/>
    <w:rsid w:val="005C6762"/>
    <w:rsid w:val="005C679B"/>
    <w:rsid w:val="005C67DC"/>
    <w:rsid w:val="005C6818"/>
    <w:rsid w:val="005C6833"/>
    <w:rsid w:val="005C6849"/>
    <w:rsid w:val="005C68CC"/>
    <w:rsid w:val="005C68DD"/>
    <w:rsid w:val="005C6944"/>
    <w:rsid w:val="005C694C"/>
    <w:rsid w:val="005C6950"/>
    <w:rsid w:val="005C6987"/>
    <w:rsid w:val="005C69F5"/>
    <w:rsid w:val="005C6A07"/>
    <w:rsid w:val="005C6A6E"/>
    <w:rsid w:val="005C6A8F"/>
    <w:rsid w:val="005C6ABF"/>
    <w:rsid w:val="005C6AD8"/>
    <w:rsid w:val="005C6AFF"/>
    <w:rsid w:val="005C6B21"/>
    <w:rsid w:val="005C6B25"/>
    <w:rsid w:val="005C6B71"/>
    <w:rsid w:val="005C6BA4"/>
    <w:rsid w:val="005C6BB7"/>
    <w:rsid w:val="005C6BC3"/>
    <w:rsid w:val="005C6BE6"/>
    <w:rsid w:val="005C6C28"/>
    <w:rsid w:val="005C6C31"/>
    <w:rsid w:val="005C6C87"/>
    <w:rsid w:val="005C6CF6"/>
    <w:rsid w:val="005C6D1D"/>
    <w:rsid w:val="005C6D34"/>
    <w:rsid w:val="005C6D78"/>
    <w:rsid w:val="005C6DA7"/>
    <w:rsid w:val="005C6E0C"/>
    <w:rsid w:val="005C6E1F"/>
    <w:rsid w:val="005C6E32"/>
    <w:rsid w:val="005C6E87"/>
    <w:rsid w:val="005C6EAB"/>
    <w:rsid w:val="005C6ED9"/>
    <w:rsid w:val="005C6EF4"/>
    <w:rsid w:val="005C6F31"/>
    <w:rsid w:val="005C6F35"/>
    <w:rsid w:val="005C6F3C"/>
    <w:rsid w:val="005C6F6D"/>
    <w:rsid w:val="005C6F84"/>
    <w:rsid w:val="005C6FF0"/>
    <w:rsid w:val="005C703F"/>
    <w:rsid w:val="005C7046"/>
    <w:rsid w:val="005C704A"/>
    <w:rsid w:val="005C705C"/>
    <w:rsid w:val="005C708D"/>
    <w:rsid w:val="005C708F"/>
    <w:rsid w:val="005C7094"/>
    <w:rsid w:val="005C70AF"/>
    <w:rsid w:val="005C70E1"/>
    <w:rsid w:val="005C70E7"/>
    <w:rsid w:val="005C7123"/>
    <w:rsid w:val="005C71A9"/>
    <w:rsid w:val="005C71BF"/>
    <w:rsid w:val="005C7250"/>
    <w:rsid w:val="005C72C5"/>
    <w:rsid w:val="005C72DC"/>
    <w:rsid w:val="005C72F0"/>
    <w:rsid w:val="005C72F3"/>
    <w:rsid w:val="005C731D"/>
    <w:rsid w:val="005C7368"/>
    <w:rsid w:val="005C7380"/>
    <w:rsid w:val="005C73A3"/>
    <w:rsid w:val="005C73D5"/>
    <w:rsid w:val="005C73EB"/>
    <w:rsid w:val="005C7405"/>
    <w:rsid w:val="005C740A"/>
    <w:rsid w:val="005C740D"/>
    <w:rsid w:val="005C7427"/>
    <w:rsid w:val="005C742B"/>
    <w:rsid w:val="005C74BB"/>
    <w:rsid w:val="005C7520"/>
    <w:rsid w:val="005C7582"/>
    <w:rsid w:val="005C7590"/>
    <w:rsid w:val="005C75BF"/>
    <w:rsid w:val="005C7604"/>
    <w:rsid w:val="005C7628"/>
    <w:rsid w:val="005C7635"/>
    <w:rsid w:val="005C768E"/>
    <w:rsid w:val="005C769B"/>
    <w:rsid w:val="005C76B8"/>
    <w:rsid w:val="005C76D3"/>
    <w:rsid w:val="005C76EC"/>
    <w:rsid w:val="005C76FF"/>
    <w:rsid w:val="005C77C0"/>
    <w:rsid w:val="005C780C"/>
    <w:rsid w:val="005C7855"/>
    <w:rsid w:val="005C7883"/>
    <w:rsid w:val="005C7892"/>
    <w:rsid w:val="005C78BA"/>
    <w:rsid w:val="005C7921"/>
    <w:rsid w:val="005C792D"/>
    <w:rsid w:val="005C794B"/>
    <w:rsid w:val="005C796E"/>
    <w:rsid w:val="005C7974"/>
    <w:rsid w:val="005C797E"/>
    <w:rsid w:val="005C7980"/>
    <w:rsid w:val="005C7981"/>
    <w:rsid w:val="005C79B7"/>
    <w:rsid w:val="005C79BC"/>
    <w:rsid w:val="005C79D2"/>
    <w:rsid w:val="005C7A39"/>
    <w:rsid w:val="005C7A99"/>
    <w:rsid w:val="005C7AFC"/>
    <w:rsid w:val="005C7B79"/>
    <w:rsid w:val="005C7BAA"/>
    <w:rsid w:val="005C7BB9"/>
    <w:rsid w:val="005C7C02"/>
    <w:rsid w:val="005C7C05"/>
    <w:rsid w:val="005C7C75"/>
    <w:rsid w:val="005C7C8A"/>
    <w:rsid w:val="005C7C8F"/>
    <w:rsid w:val="005C7CE8"/>
    <w:rsid w:val="005C7CF6"/>
    <w:rsid w:val="005C7DB1"/>
    <w:rsid w:val="005C7DC2"/>
    <w:rsid w:val="005C7DCD"/>
    <w:rsid w:val="005C7DDB"/>
    <w:rsid w:val="005C7DEC"/>
    <w:rsid w:val="005C7E0B"/>
    <w:rsid w:val="005C7E32"/>
    <w:rsid w:val="005C7E58"/>
    <w:rsid w:val="005C7E60"/>
    <w:rsid w:val="005C7EB0"/>
    <w:rsid w:val="005C7EE4"/>
    <w:rsid w:val="005C7F07"/>
    <w:rsid w:val="005C7F58"/>
    <w:rsid w:val="005C7FE4"/>
    <w:rsid w:val="005D0025"/>
    <w:rsid w:val="005D004B"/>
    <w:rsid w:val="005D00BF"/>
    <w:rsid w:val="005D00C8"/>
    <w:rsid w:val="005D00E4"/>
    <w:rsid w:val="005D00E5"/>
    <w:rsid w:val="005D00F8"/>
    <w:rsid w:val="005D0152"/>
    <w:rsid w:val="005D0199"/>
    <w:rsid w:val="005D01BE"/>
    <w:rsid w:val="005D01FB"/>
    <w:rsid w:val="005D022C"/>
    <w:rsid w:val="005D0259"/>
    <w:rsid w:val="005D029A"/>
    <w:rsid w:val="005D02BB"/>
    <w:rsid w:val="005D02D7"/>
    <w:rsid w:val="005D0303"/>
    <w:rsid w:val="005D034B"/>
    <w:rsid w:val="005D036B"/>
    <w:rsid w:val="005D0371"/>
    <w:rsid w:val="005D0433"/>
    <w:rsid w:val="005D0447"/>
    <w:rsid w:val="005D0469"/>
    <w:rsid w:val="005D046C"/>
    <w:rsid w:val="005D0495"/>
    <w:rsid w:val="005D0497"/>
    <w:rsid w:val="005D04AA"/>
    <w:rsid w:val="005D04DB"/>
    <w:rsid w:val="005D04E0"/>
    <w:rsid w:val="005D04FC"/>
    <w:rsid w:val="005D057E"/>
    <w:rsid w:val="005D05C1"/>
    <w:rsid w:val="005D05D1"/>
    <w:rsid w:val="005D05D3"/>
    <w:rsid w:val="005D05EB"/>
    <w:rsid w:val="005D062E"/>
    <w:rsid w:val="005D0641"/>
    <w:rsid w:val="005D0673"/>
    <w:rsid w:val="005D067B"/>
    <w:rsid w:val="005D0685"/>
    <w:rsid w:val="005D06F2"/>
    <w:rsid w:val="005D074E"/>
    <w:rsid w:val="005D0768"/>
    <w:rsid w:val="005D0786"/>
    <w:rsid w:val="005D078A"/>
    <w:rsid w:val="005D081A"/>
    <w:rsid w:val="005D081F"/>
    <w:rsid w:val="005D0852"/>
    <w:rsid w:val="005D08EE"/>
    <w:rsid w:val="005D08F6"/>
    <w:rsid w:val="005D0910"/>
    <w:rsid w:val="005D09D2"/>
    <w:rsid w:val="005D0A13"/>
    <w:rsid w:val="005D0A81"/>
    <w:rsid w:val="005D0AA0"/>
    <w:rsid w:val="005D0ABB"/>
    <w:rsid w:val="005D0ABC"/>
    <w:rsid w:val="005D0AC8"/>
    <w:rsid w:val="005D0B31"/>
    <w:rsid w:val="005D0B57"/>
    <w:rsid w:val="005D0B69"/>
    <w:rsid w:val="005D0B6B"/>
    <w:rsid w:val="005D0B72"/>
    <w:rsid w:val="005D0B8A"/>
    <w:rsid w:val="005D0BBF"/>
    <w:rsid w:val="005D0C74"/>
    <w:rsid w:val="005D0C97"/>
    <w:rsid w:val="005D0C98"/>
    <w:rsid w:val="005D0CDC"/>
    <w:rsid w:val="005D0D31"/>
    <w:rsid w:val="005D0D3C"/>
    <w:rsid w:val="005D0DA6"/>
    <w:rsid w:val="005D0DD1"/>
    <w:rsid w:val="005D0E29"/>
    <w:rsid w:val="005D0E2E"/>
    <w:rsid w:val="005D0E37"/>
    <w:rsid w:val="005D0E5A"/>
    <w:rsid w:val="005D0E5B"/>
    <w:rsid w:val="005D0EE6"/>
    <w:rsid w:val="005D0EF9"/>
    <w:rsid w:val="005D0F0D"/>
    <w:rsid w:val="005D0F36"/>
    <w:rsid w:val="005D0F4F"/>
    <w:rsid w:val="005D0F5F"/>
    <w:rsid w:val="005D0F6B"/>
    <w:rsid w:val="005D0F87"/>
    <w:rsid w:val="005D0FAD"/>
    <w:rsid w:val="005D1044"/>
    <w:rsid w:val="005D1047"/>
    <w:rsid w:val="005D1056"/>
    <w:rsid w:val="005D105B"/>
    <w:rsid w:val="005D1093"/>
    <w:rsid w:val="005D113B"/>
    <w:rsid w:val="005D116F"/>
    <w:rsid w:val="005D1176"/>
    <w:rsid w:val="005D1177"/>
    <w:rsid w:val="005D11D6"/>
    <w:rsid w:val="005D120A"/>
    <w:rsid w:val="005D124B"/>
    <w:rsid w:val="005D12DB"/>
    <w:rsid w:val="005D12F9"/>
    <w:rsid w:val="005D12FF"/>
    <w:rsid w:val="005D1302"/>
    <w:rsid w:val="005D132F"/>
    <w:rsid w:val="005D136E"/>
    <w:rsid w:val="005D138B"/>
    <w:rsid w:val="005D1393"/>
    <w:rsid w:val="005D13A4"/>
    <w:rsid w:val="005D13AA"/>
    <w:rsid w:val="005D13FA"/>
    <w:rsid w:val="005D1401"/>
    <w:rsid w:val="005D1436"/>
    <w:rsid w:val="005D1441"/>
    <w:rsid w:val="005D14CC"/>
    <w:rsid w:val="005D1533"/>
    <w:rsid w:val="005D158C"/>
    <w:rsid w:val="005D15AA"/>
    <w:rsid w:val="005D15B7"/>
    <w:rsid w:val="005D160F"/>
    <w:rsid w:val="005D163F"/>
    <w:rsid w:val="005D1690"/>
    <w:rsid w:val="005D16ED"/>
    <w:rsid w:val="005D1747"/>
    <w:rsid w:val="005D174E"/>
    <w:rsid w:val="005D176C"/>
    <w:rsid w:val="005D1790"/>
    <w:rsid w:val="005D1799"/>
    <w:rsid w:val="005D17EE"/>
    <w:rsid w:val="005D17F8"/>
    <w:rsid w:val="005D1846"/>
    <w:rsid w:val="005D186F"/>
    <w:rsid w:val="005D1887"/>
    <w:rsid w:val="005D18B9"/>
    <w:rsid w:val="005D18DA"/>
    <w:rsid w:val="005D18F1"/>
    <w:rsid w:val="005D1927"/>
    <w:rsid w:val="005D1931"/>
    <w:rsid w:val="005D19D9"/>
    <w:rsid w:val="005D19EF"/>
    <w:rsid w:val="005D19FB"/>
    <w:rsid w:val="005D1A07"/>
    <w:rsid w:val="005D1A52"/>
    <w:rsid w:val="005D1AA6"/>
    <w:rsid w:val="005D1AAA"/>
    <w:rsid w:val="005D1AF3"/>
    <w:rsid w:val="005D1B0B"/>
    <w:rsid w:val="005D1B10"/>
    <w:rsid w:val="005D1B5C"/>
    <w:rsid w:val="005D1B99"/>
    <w:rsid w:val="005D1BA8"/>
    <w:rsid w:val="005D1BAE"/>
    <w:rsid w:val="005D1BB0"/>
    <w:rsid w:val="005D1BD2"/>
    <w:rsid w:val="005D1BD8"/>
    <w:rsid w:val="005D1C09"/>
    <w:rsid w:val="005D1C26"/>
    <w:rsid w:val="005D1CA7"/>
    <w:rsid w:val="005D1CC6"/>
    <w:rsid w:val="005D1D1E"/>
    <w:rsid w:val="005D1D4D"/>
    <w:rsid w:val="005D1D81"/>
    <w:rsid w:val="005D1DB5"/>
    <w:rsid w:val="005D1DD0"/>
    <w:rsid w:val="005D1DFA"/>
    <w:rsid w:val="005D1E1D"/>
    <w:rsid w:val="005D1ED0"/>
    <w:rsid w:val="005D1EFB"/>
    <w:rsid w:val="005D1F2B"/>
    <w:rsid w:val="005D1F4B"/>
    <w:rsid w:val="005D1F50"/>
    <w:rsid w:val="005D1F61"/>
    <w:rsid w:val="005D1F76"/>
    <w:rsid w:val="005D1FA0"/>
    <w:rsid w:val="005D1FA1"/>
    <w:rsid w:val="005D2044"/>
    <w:rsid w:val="005D2070"/>
    <w:rsid w:val="005D2072"/>
    <w:rsid w:val="005D2085"/>
    <w:rsid w:val="005D20B3"/>
    <w:rsid w:val="005D210C"/>
    <w:rsid w:val="005D210F"/>
    <w:rsid w:val="005D213C"/>
    <w:rsid w:val="005D21D1"/>
    <w:rsid w:val="005D2210"/>
    <w:rsid w:val="005D223A"/>
    <w:rsid w:val="005D2254"/>
    <w:rsid w:val="005D225E"/>
    <w:rsid w:val="005D2282"/>
    <w:rsid w:val="005D2291"/>
    <w:rsid w:val="005D22BD"/>
    <w:rsid w:val="005D22F4"/>
    <w:rsid w:val="005D22F5"/>
    <w:rsid w:val="005D22FF"/>
    <w:rsid w:val="005D232F"/>
    <w:rsid w:val="005D233B"/>
    <w:rsid w:val="005D2340"/>
    <w:rsid w:val="005D2375"/>
    <w:rsid w:val="005D237A"/>
    <w:rsid w:val="005D23B2"/>
    <w:rsid w:val="005D23F5"/>
    <w:rsid w:val="005D241F"/>
    <w:rsid w:val="005D242A"/>
    <w:rsid w:val="005D2450"/>
    <w:rsid w:val="005D245C"/>
    <w:rsid w:val="005D246B"/>
    <w:rsid w:val="005D249F"/>
    <w:rsid w:val="005D24A9"/>
    <w:rsid w:val="005D24E2"/>
    <w:rsid w:val="005D2512"/>
    <w:rsid w:val="005D2538"/>
    <w:rsid w:val="005D254F"/>
    <w:rsid w:val="005D2553"/>
    <w:rsid w:val="005D2570"/>
    <w:rsid w:val="005D2599"/>
    <w:rsid w:val="005D25EC"/>
    <w:rsid w:val="005D25FA"/>
    <w:rsid w:val="005D2618"/>
    <w:rsid w:val="005D2623"/>
    <w:rsid w:val="005D2693"/>
    <w:rsid w:val="005D26B4"/>
    <w:rsid w:val="005D26C9"/>
    <w:rsid w:val="005D26F0"/>
    <w:rsid w:val="005D26F5"/>
    <w:rsid w:val="005D271C"/>
    <w:rsid w:val="005D2726"/>
    <w:rsid w:val="005D275A"/>
    <w:rsid w:val="005D275E"/>
    <w:rsid w:val="005D27AA"/>
    <w:rsid w:val="005D27D0"/>
    <w:rsid w:val="005D27D2"/>
    <w:rsid w:val="005D2800"/>
    <w:rsid w:val="005D281F"/>
    <w:rsid w:val="005D286C"/>
    <w:rsid w:val="005D2898"/>
    <w:rsid w:val="005D28A6"/>
    <w:rsid w:val="005D28EE"/>
    <w:rsid w:val="005D293B"/>
    <w:rsid w:val="005D2967"/>
    <w:rsid w:val="005D2996"/>
    <w:rsid w:val="005D29E2"/>
    <w:rsid w:val="005D2A86"/>
    <w:rsid w:val="005D2A87"/>
    <w:rsid w:val="005D2AA8"/>
    <w:rsid w:val="005D2AC3"/>
    <w:rsid w:val="005D2AE5"/>
    <w:rsid w:val="005D2B05"/>
    <w:rsid w:val="005D2B23"/>
    <w:rsid w:val="005D2B61"/>
    <w:rsid w:val="005D2BB9"/>
    <w:rsid w:val="005D2BF6"/>
    <w:rsid w:val="005D2C0E"/>
    <w:rsid w:val="005D2C2C"/>
    <w:rsid w:val="005D2C6A"/>
    <w:rsid w:val="005D2C9C"/>
    <w:rsid w:val="005D2CAA"/>
    <w:rsid w:val="005D2CDE"/>
    <w:rsid w:val="005D2D4F"/>
    <w:rsid w:val="005D2D68"/>
    <w:rsid w:val="005D2D6D"/>
    <w:rsid w:val="005D2D7F"/>
    <w:rsid w:val="005D2DBF"/>
    <w:rsid w:val="005D2DC1"/>
    <w:rsid w:val="005D2DE5"/>
    <w:rsid w:val="005D2E09"/>
    <w:rsid w:val="005D2E18"/>
    <w:rsid w:val="005D2E34"/>
    <w:rsid w:val="005D2E7B"/>
    <w:rsid w:val="005D2E98"/>
    <w:rsid w:val="005D2EB3"/>
    <w:rsid w:val="005D2EC4"/>
    <w:rsid w:val="005D2EC6"/>
    <w:rsid w:val="005D2F4F"/>
    <w:rsid w:val="005D2F5A"/>
    <w:rsid w:val="005D2F80"/>
    <w:rsid w:val="005D2FC6"/>
    <w:rsid w:val="005D305F"/>
    <w:rsid w:val="005D3085"/>
    <w:rsid w:val="005D308A"/>
    <w:rsid w:val="005D3096"/>
    <w:rsid w:val="005D30C7"/>
    <w:rsid w:val="005D30CE"/>
    <w:rsid w:val="005D30E7"/>
    <w:rsid w:val="005D30F8"/>
    <w:rsid w:val="005D3113"/>
    <w:rsid w:val="005D312A"/>
    <w:rsid w:val="005D3131"/>
    <w:rsid w:val="005D3171"/>
    <w:rsid w:val="005D3185"/>
    <w:rsid w:val="005D31C5"/>
    <w:rsid w:val="005D3207"/>
    <w:rsid w:val="005D3243"/>
    <w:rsid w:val="005D3253"/>
    <w:rsid w:val="005D3265"/>
    <w:rsid w:val="005D3266"/>
    <w:rsid w:val="005D3273"/>
    <w:rsid w:val="005D3274"/>
    <w:rsid w:val="005D327D"/>
    <w:rsid w:val="005D328D"/>
    <w:rsid w:val="005D32AD"/>
    <w:rsid w:val="005D32C0"/>
    <w:rsid w:val="005D32E8"/>
    <w:rsid w:val="005D3309"/>
    <w:rsid w:val="005D3312"/>
    <w:rsid w:val="005D3352"/>
    <w:rsid w:val="005D3375"/>
    <w:rsid w:val="005D33A3"/>
    <w:rsid w:val="005D33BC"/>
    <w:rsid w:val="005D33C3"/>
    <w:rsid w:val="005D33E7"/>
    <w:rsid w:val="005D3426"/>
    <w:rsid w:val="005D3489"/>
    <w:rsid w:val="005D3520"/>
    <w:rsid w:val="005D352E"/>
    <w:rsid w:val="005D355F"/>
    <w:rsid w:val="005D359A"/>
    <w:rsid w:val="005D3623"/>
    <w:rsid w:val="005D363D"/>
    <w:rsid w:val="005D364B"/>
    <w:rsid w:val="005D365C"/>
    <w:rsid w:val="005D3672"/>
    <w:rsid w:val="005D367A"/>
    <w:rsid w:val="005D36A2"/>
    <w:rsid w:val="005D36B4"/>
    <w:rsid w:val="005D36F3"/>
    <w:rsid w:val="005D3742"/>
    <w:rsid w:val="005D3749"/>
    <w:rsid w:val="005D374F"/>
    <w:rsid w:val="005D3773"/>
    <w:rsid w:val="005D37C7"/>
    <w:rsid w:val="005D37EA"/>
    <w:rsid w:val="005D3877"/>
    <w:rsid w:val="005D390F"/>
    <w:rsid w:val="005D3910"/>
    <w:rsid w:val="005D3931"/>
    <w:rsid w:val="005D399E"/>
    <w:rsid w:val="005D39D4"/>
    <w:rsid w:val="005D39E8"/>
    <w:rsid w:val="005D3A23"/>
    <w:rsid w:val="005D3A9E"/>
    <w:rsid w:val="005D3B2F"/>
    <w:rsid w:val="005D3BC1"/>
    <w:rsid w:val="005D3BC5"/>
    <w:rsid w:val="005D3C14"/>
    <w:rsid w:val="005D3C38"/>
    <w:rsid w:val="005D3C3C"/>
    <w:rsid w:val="005D3CA0"/>
    <w:rsid w:val="005D3D04"/>
    <w:rsid w:val="005D3D24"/>
    <w:rsid w:val="005D3D36"/>
    <w:rsid w:val="005D3D5C"/>
    <w:rsid w:val="005D3D7E"/>
    <w:rsid w:val="005D3DD6"/>
    <w:rsid w:val="005D3DD7"/>
    <w:rsid w:val="005D3E25"/>
    <w:rsid w:val="005D3E9D"/>
    <w:rsid w:val="005D3F20"/>
    <w:rsid w:val="005D3F7B"/>
    <w:rsid w:val="005D3FA5"/>
    <w:rsid w:val="005D3FB0"/>
    <w:rsid w:val="005D3FEA"/>
    <w:rsid w:val="005D4062"/>
    <w:rsid w:val="005D4086"/>
    <w:rsid w:val="005D4121"/>
    <w:rsid w:val="005D4145"/>
    <w:rsid w:val="005D4187"/>
    <w:rsid w:val="005D419D"/>
    <w:rsid w:val="005D4276"/>
    <w:rsid w:val="005D4289"/>
    <w:rsid w:val="005D42C9"/>
    <w:rsid w:val="005D42DC"/>
    <w:rsid w:val="005D42DE"/>
    <w:rsid w:val="005D4328"/>
    <w:rsid w:val="005D434C"/>
    <w:rsid w:val="005D4399"/>
    <w:rsid w:val="005D43F7"/>
    <w:rsid w:val="005D43FA"/>
    <w:rsid w:val="005D441E"/>
    <w:rsid w:val="005D4473"/>
    <w:rsid w:val="005D44E6"/>
    <w:rsid w:val="005D44F5"/>
    <w:rsid w:val="005D4502"/>
    <w:rsid w:val="005D4505"/>
    <w:rsid w:val="005D450E"/>
    <w:rsid w:val="005D4563"/>
    <w:rsid w:val="005D45A0"/>
    <w:rsid w:val="005D45BE"/>
    <w:rsid w:val="005D45CB"/>
    <w:rsid w:val="005D45DB"/>
    <w:rsid w:val="005D460E"/>
    <w:rsid w:val="005D4633"/>
    <w:rsid w:val="005D463F"/>
    <w:rsid w:val="005D4649"/>
    <w:rsid w:val="005D466A"/>
    <w:rsid w:val="005D467C"/>
    <w:rsid w:val="005D4691"/>
    <w:rsid w:val="005D46D4"/>
    <w:rsid w:val="005D46E0"/>
    <w:rsid w:val="005D46FA"/>
    <w:rsid w:val="005D46FC"/>
    <w:rsid w:val="005D470B"/>
    <w:rsid w:val="005D472B"/>
    <w:rsid w:val="005D473A"/>
    <w:rsid w:val="005D476B"/>
    <w:rsid w:val="005D4774"/>
    <w:rsid w:val="005D4776"/>
    <w:rsid w:val="005D4778"/>
    <w:rsid w:val="005D4780"/>
    <w:rsid w:val="005D47AA"/>
    <w:rsid w:val="005D47F0"/>
    <w:rsid w:val="005D4806"/>
    <w:rsid w:val="005D4848"/>
    <w:rsid w:val="005D485A"/>
    <w:rsid w:val="005D487D"/>
    <w:rsid w:val="005D48A8"/>
    <w:rsid w:val="005D48C0"/>
    <w:rsid w:val="005D48C2"/>
    <w:rsid w:val="005D4985"/>
    <w:rsid w:val="005D49C2"/>
    <w:rsid w:val="005D4A1C"/>
    <w:rsid w:val="005D4A5F"/>
    <w:rsid w:val="005D4A75"/>
    <w:rsid w:val="005D4A7A"/>
    <w:rsid w:val="005D4A83"/>
    <w:rsid w:val="005D4A93"/>
    <w:rsid w:val="005D4ABF"/>
    <w:rsid w:val="005D4AD3"/>
    <w:rsid w:val="005D4B3F"/>
    <w:rsid w:val="005D4B8E"/>
    <w:rsid w:val="005D4B91"/>
    <w:rsid w:val="005D4BAA"/>
    <w:rsid w:val="005D4BC5"/>
    <w:rsid w:val="005D4C05"/>
    <w:rsid w:val="005D4C0C"/>
    <w:rsid w:val="005D4C2A"/>
    <w:rsid w:val="005D4C50"/>
    <w:rsid w:val="005D4C5C"/>
    <w:rsid w:val="005D4C64"/>
    <w:rsid w:val="005D4C6C"/>
    <w:rsid w:val="005D4CCD"/>
    <w:rsid w:val="005D4D33"/>
    <w:rsid w:val="005D4D9C"/>
    <w:rsid w:val="005D4DC4"/>
    <w:rsid w:val="005D4E0C"/>
    <w:rsid w:val="005D4E19"/>
    <w:rsid w:val="005D4E33"/>
    <w:rsid w:val="005D4ED3"/>
    <w:rsid w:val="005D4ED9"/>
    <w:rsid w:val="005D4F7A"/>
    <w:rsid w:val="005D4F8F"/>
    <w:rsid w:val="005D5009"/>
    <w:rsid w:val="005D504B"/>
    <w:rsid w:val="005D5058"/>
    <w:rsid w:val="005D506C"/>
    <w:rsid w:val="005D508D"/>
    <w:rsid w:val="005D5090"/>
    <w:rsid w:val="005D50CB"/>
    <w:rsid w:val="005D51EB"/>
    <w:rsid w:val="005D520B"/>
    <w:rsid w:val="005D5226"/>
    <w:rsid w:val="005D5227"/>
    <w:rsid w:val="005D5238"/>
    <w:rsid w:val="005D5248"/>
    <w:rsid w:val="005D5277"/>
    <w:rsid w:val="005D5330"/>
    <w:rsid w:val="005D5364"/>
    <w:rsid w:val="005D53D9"/>
    <w:rsid w:val="005D53E8"/>
    <w:rsid w:val="005D5446"/>
    <w:rsid w:val="005D5494"/>
    <w:rsid w:val="005D54BA"/>
    <w:rsid w:val="005D54E8"/>
    <w:rsid w:val="005D5508"/>
    <w:rsid w:val="005D551E"/>
    <w:rsid w:val="005D5520"/>
    <w:rsid w:val="005D5521"/>
    <w:rsid w:val="005D55AE"/>
    <w:rsid w:val="005D55ED"/>
    <w:rsid w:val="005D55F3"/>
    <w:rsid w:val="005D5605"/>
    <w:rsid w:val="005D560F"/>
    <w:rsid w:val="005D561C"/>
    <w:rsid w:val="005D568F"/>
    <w:rsid w:val="005D56A4"/>
    <w:rsid w:val="005D56BF"/>
    <w:rsid w:val="005D5703"/>
    <w:rsid w:val="005D5728"/>
    <w:rsid w:val="005D577E"/>
    <w:rsid w:val="005D57B5"/>
    <w:rsid w:val="005D57C0"/>
    <w:rsid w:val="005D57D0"/>
    <w:rsid w:val="005D5805"/>
    <w:rsid w:val="005D5844"/>
    <w:rsid w:val="005D5853"/>
    <w:rsid w:val="005D589A"/>
    <w:rsid w:val="005D58F2"/>
    <w:rsid w:val="005D58F6"/>
    <w:rsid w:val="005D58FE"/>
    <w:rsid w:val="005D5908"/>
    <w:rsid w:val="005D5912"/>
    <w:rsid w:val="005D591A"/>
    <w:rsid w:val="005D5953"/>
    <w:rsid w:val="005D5977"/>
    <w:rsid w:val="005D59BE"/>
    <w:rsid w:val="005D59DE"/>
    <w:rsid w:val="005D59FF"/>
    <w:rsid w:val="005D5A6C"/>
    <w:rsid w:val="005D5A70"/>
    <w:rsid w:val="005D5ABC"/>
    <w:rsid w:val="005D5B21"/>
    <w:rsid w:val="005D5B50"/>
    <w:rsid w:val="005D5B57"/>
    <w:rsid w:val="005D5B61"/>
    <w:rsid w:val="005D5B7E"/>
    <w:rsid w:val="005D5BD8"/>
    <w:rsid w:val="005D5C18"/>
    <w:rsid w:val="005D5C4C"/>
    <w:rsid w:val="005D5C6C"/>
    <w:rsid w:val="005D5C7D"/>
    <w:rsid w:val="005D5C82"/>
    <w:rsid w:val="005D5CBF"/>
    <w:rsid w:val="005D5CC5"/>
    <w:rsid w:val="005D5CD5"/>
    <w:rsid w:val="005D5D24"/>
    <w:rsid w:val="005D5DA0"/>
    <w:rsid w:val="005D5DE0"/>
    <w:rsid w:val="005D5E17"/>
    <w:rsid w:val="005D5E25"/>
    <w:rsid w:val="005D5E56"/>
    <w:rsid w:val="005D5E77"/>
    <w:rsid w:val="005D5EC5"/>
    <w:rsid w:val="005D5EFD"/>
    <w:rsid w:val="005D5EFE"/>
    <w:rsid w:val="005D5F11"/>
    <w:rsid w:val="005D5F13"/>
    <w:rsid w:val="005D5F19"/>
    <w:rsid w:val="005D5F37"/>
    <w:rsid w:val="005D5F83"/>
    <w:rsid w:val="005D5F97"/>
    <w:rsid w:val="005D5FD4"/>
    <w:rsid w:val="005D5FF8"/>
    <w:rsid w:val="005D6077"/>
    <w:rsid w:val="005D6082"/>
    <w:rsid w:val="005D60D3"/>
    <w:rsid w:val="005D612B"/>
    <w:rsid w:val="005D619E"/>
    <w:rsid w:val="005D61BD"/>
    <w:rsid w:val="005D61C4"/>
    <w:rsid w:val="005D624B"/>
    <w:rsid w:val="005D6250"/>
    <w:rsid w:val="005D625F"/>
    <w:rsid w:val="005D6265"/>
    <w:rsid w:val="005D6269"/>
    <w:rsid w:val="005D626D"/>
    <w:rsid w:val="005D628B"/>
    <w:rsid w:val="005D62DB"/>
    <w:rsid w:val="005D632A"/>
    <w:rsid w:val="005D634E"/>
    <w:rsid w:val="005D636E"/>
    <w:rsid w:val="005D63F0"/>
    <w:rsid w:val="005D6462"/>
    <w:rsid w:val="005D6493"/>
    <w:rsid w:val="005D64F4"/>
    <w:rsid w:val="005D6568"/>
    <w:rsid w:val="005D6607"/>
    <w:rsid w:val="005D663E"/>
    <w:rsid w:val="005D6686"/>
    <w:rsid w:val="005D670D"/>
    <w:rsid w:val="005D674E"/>
    <w:rsid w:val="005D676A"/>
    <w:rsid w:val="005D67C0"/>
    <w:rsid w:val="005D67DB"/>
    <w:rsid w:val="005D67E2"/>
    <w:rsid w:val="005D6806"/>
    <w:rsid w:val="005D6812"/>
    <w:rsid w:val="005D6820"/>
    <w:rsid w:val="005D6868"/>
    <w:rsid w:val="005D6871"/>
    <w:rsid w:val="005D688B"/>
    <w:rsid w:val="005D68E2"/>
    <w:rsid w:val="005D68F4"/>
    <w:rsid w:val="005D6903"/>
    <w:rsid w:val="005D6927"/>
    <w:rsid w:val="005D6935"/>
    <w:rsid w:val="005D696B"/>
    <w:rsid w:val="005D69BD"/>
    <w:rsid w:val="005D69E5"/>
    <w:rsid w:val="005D69F1"/>
    <w:rsid w:val="005D6A2D"/>
    <w:rsid w:val="005D6A53"/>
    <w:rsid w:val="005D6ACB"/>
    <w:rsid w:val="005D6AD1"/>
    <w:rsid w:val="005D6ADD"/>
    <w:rsid w:val="005D6AE1"/>
    <w:rsid w:val="005D6AEB"/>
    <w:rsid w:val="005D6B3E"/>
    <w:rsid w:val="005D6B5E"/>
    <w:rsid w:val="005D6B65"/>
    <w:rsid w:val="005D6B8A"/>
    <w:rsid w:val="005D6B94"/>
    <w:rsid w:val="005D6B96"/>
    <w:rsid w:val="005D6BE1"/>
    <w:rsid w:val="005D6C24"/>
    <w:rsid w:val="005D6C27"/>
    <w:rsid w:val="005D6C94"/>
    <w:rsid w:val="005D6D16"/>
    <w:rsid w:val="005D6D1A"/>
    <w:rsid w:val="005D6D3C"/>
    <w:rsid w:val="005D6D85"/>
    <w:rsid w:val="005D6E99"/>
    <w:rsid w:val="005D6EA8"/>
    <w:rsid w:val="005D6EBC"/>
    <w:rsid w:val="005D6EE9"/>
    <w:rsid w:val="005D6EEB"/>
    <w:rsid w:val="005D6F5B"/>
    <w:rsid w:val="005D6F72"/>
    <w:rsid w:val="005D6FD7"/>
    <w:rsid w:val="005D7011"/>
    <w:rsid w:val="005D7039"/>
    <w:rsid w:val="005D7057"/>
    <w:rsid w:val="005D7062"/>
    <w:rsid w:val="005D7070"/>
    <w:rsid w:val="005D7099"/>
    <w:rsid w:val="005D70AB"/>
    <w:rsid w:val="005D70E2"/>
    <w:rsid w:val="005D70F1"/>
    <w:rsid w:val="005D7114"/>
    <w:rsid w:val="005D71D5"/>
    <w:rsid w:val="005D7208"/>
    <w:rsid w:val="005D721D"/>
    <w:rsid w:val="005D722B"/>
    <w:rsid w:val="005D723B"/>
    <w:rsid w:val="005D727E"/>
    <w:rsid w:val="005D72A8"/>
    <w:rsid w:val="005D72C0"/>
    <w:rsid w:val="005D72CD"/>
    <w:rsid w:val="005D72E6"/>
    <w:rsid w:val="005D72FC"/>
    <w:rsid w:val="005D733F"/>
    <w:rsid w:val="005D7364"/>
    <w:rsid w:val="005D7376"/>
    <w:rsid w:val="005D737D"/>
    <w:rsid w:val="005D73B3"/>
    <w:rsid w:val="005D73BF"/>
    <w:rsid w:val="005D73F4"/>
    <w:rsid w:val="005D740F"/>
    <w:rsid w:val="005D7447"/>
    <w:rsid w:val="005D7466"/>
    <w:rsid w:val="005D74A4"/>
    <w:rsid w:val="005D74F6"/>
    <w:rsid w:val="005D750B"/>
    <w:rsid w:val="005D751C"/>
    <w:rsid w:val="005D7574"/>
    <w:rsid w:val="005D75CD"/>
    <w:rsid w:val="005D75DA"/>
    <w:rsid w:val="005D761A"/>
    <w:rsid w:val="005D764F"/>
    <w:rsid w:val="005D765D"/>
    <w:rsid w:val="005D766C"/>
    <w:rsid w:val="005D7695"/>
    <w:rsid w:val="005D76D9"/>
    <w:rsid w:val="005D76E2"/>
    <w:rsid w:val="005D7760"/>
    <w:rsid w:val="005D779D"/>
    <w:rsid w:val="005D77D9"/>
    <w:rsid w:val="005D77F8"/>
    <w:rsid w:val="005D7866"/>
    <w:rsid w:val="005D78B5"/>
    <w:rsid w:val="005D78C5"/>
    <w:rsid w:val="005D78DA"/>
    <w:rsid w:val="005D78E3"/>
    <w:rsid w:val="005D78F0"/>
    <w:rsid w:val="005D792B"/>
    <w:rsid w:val="005D794C"/>
    <w:rsid w:val="005D794F"/>
    <w:rsid w:val="005D79EE"/>
    <w:rsid w:val="005D7A10"/>
    <w:rsid w:val="005D7A8E"/>
    <w:rsid w:val="005D7AAC"/>
    <w:rsid w:val="005D7B00"/>
    <w:rsid w:val="005D7B1E"/>
    <w:rsid w:val="005D7BB1"/>
    <w:rsid w:val="005D7BC4"/>
    <w:rsid w:val="005D7BCE"/>
    <w:rsid w:val="005D7C08"/>
    <w:rsid w:val="005D7C12"/>
    <w:rsid w:val="005D7C5B"/>
    <w:rsid w:val="005D7C63"/>
    <w:rsid w:val="005D7C66"/>
    <w:rsid w:val="005D7CCB"/>
    <w:rsid w:val="005D7CDA"/>
    <w:rsid w:val="005D7CEF"/>
    <w:rsid w:val="005D7D2D"/>
    <w:rsid w:val="005D7D58"/>
    <w:rsid w:val="005D7D75"/>
    <w:rsid w:val="005D7DBE"/>
    <w:rsid w:val="005D7DDD"/>
    <w:rsid w:val="005D7EA8"/>
    <w:rsid w:val="005D7EB0"/>
    <w:rsid w:val="005D7ED6"/>
    <w:rsid w:val="005D7F05"/>
    <w:rsid w:val="005D7FC0"/>
    <w:rsid w:val="005D7FC2"/>
    <w:rsid w:val="005E0019"/>
    <w:rsid w:val="005E0039"/>
    <w:rsid w:val="005E004A"/>
    <w:rsid w:val="005E0083"/>
    <w:rsid w:val="005E00C6"/>
    <w:rsid w:val="005E00CE"/>
    <w:rsid w:val="005E00D1"/>
    <w:rsid w:val="005E00F3"/>
    <w:rsid w:val="005E00F9"/>
    <w:rsid w:val="005E00FA"/>
    <w:rsid w:val="005E010F"/>
    <w:rsid w:val="005E0146"/>
    <w:rsid w:val="005E0186"/>
    <w:rsid w:val="005E01DA"/>
    <w:rsid w:val="005E01F5"/>
    <w:rsid w:val="005E020D"/>
    <w:rsid w:val="005E021E"/>
    <w:rsid w:val="005E0253"/>
    <w:rsid w:val="005E0255"/>
    <w:rsid w:val="005E027E"/>
    <w:rsid w:val="005E02BB"/>
    <w:rsid w:val="005E02CF"/>
    <w:rsid w:val="005E02DD"/>
    <w:rsid w:val="005E032A"/>
    <w:rsid w:val="005E032E"/>
    <w:rsid w:val="005E0368"/>
    <w:rsid w:val="005E037C"/>
    <w:rsid w:val="005E0398"/>
    <w:rsid w:val="005E039D"/>
    <w:rsid w:val="005E03B4"/>
    <w:rsid w:val="005E03EC"/>
    <w:rsid w:val="005E0415"/>
    <w:rsid w:val="005E0495"/>
    <w:rsid w:val="005E04FD"/>
    <w:rsid w:val="005E0505"/>
    <w:rsid w:val="005E0509"/>
    <w:rsid w:val="005E052A"/>
    <w:rsid w:val="005E0594"/>
    <w:rsid w:val="005E05E3"/>
    <w:rsid w:val="005E0623"/>
    <w:rsid w:val="005E068D"/>
    <w:rsid w:val="005E069D"/>
    <w:rsid w:val="005E06C5"/>
    <w:rsid w:val="005E06D6"/>
    <w:rsid w:val="005E06F8"/>
    <w:rsid w:val="005E073A"/>
    <w:rsid w:val="005E0765"/>
    <w:rsid w:val="005E0775"/>
    <w:rsid w:val="005E079A"/>
    <w:rsid w:val="005E07B6"/>
    <w:rsid w:val="005E07C6"/>
    <w:rsid w:val="005E0856"/>
    <w:rsid w:val="005E0862"/>
    <w:rsid w:val="005E087D"/>
    <w:rsid w:val="005E08F0"/>
    <w:rsid w:val="005E091B"/>
    <w:rsid w:val="005E0935"/>
    <w:rsid w:val="005E093E"/>
    <w:rsid w:val="005E094C"/>
    <w:rsid w:val="005E0983"/>
    <w:rsid w:val="005E0986"/>
    <w:rsid w:val="005E0A60"/>
    <w:rsid w:val="005E0A77"/>
    <w:rsid w:val="005E0AA9"/>
    <w:rsid w:val="005E0AAE"/>
    <w:rsid w:val="005E0B03"/>
    <w:rsid w:val="005E0B56"/>
    <w:rsid w:val="005E0B78"/>
    <w:rsid w:val="005E0B7C"/>
    <w:rsid w:val="005E0B97"/>
    <w:rsid w:val="005E0B9E"/>
    <w:rsid w:val="005E0BAA"/>
    <w:rsid w:val="005E0BF6"/>
    <w:rsid w:val="005E0C38"/>
    <w:rsid w:val="005E0C8B"/>
    <w:rsid w:val="005E0C9E"/>
    <w:rsid w:val="005E0CFE"/>
    <w:rsid w:val="005E0D23"/>
    <w:rsid w:val="005E0D35"/>
    <w:rsid w:val="005E0D60"/>
    <w:rsid w:val="005E0D6C"/>
    <w:rsid w:val="005E0D7D"/>
    <w:rsid w:val="005E0D83"/>
    <w:rsid w:val="005E0DD7"/>
    <w:rsid w:val="005E0E18"/>
    <w:rsid w:val="005E0E5E"/>
    <w:rsid w:val="005E0E7D"/>
    <w:rsid w:val="005E0EC1"/>
    <w:rsid w:val="005E0EDF"/>
    <w:rsid w:val="005E0F38"/>
    <w:rsid w:val="005E0F3F"/>
    <w:rsid w:val="005E0F5B"/>
    <w:rsid w:val="005E0F87"/>
    <w:rsid w:val="005E0FFD"/>
    <w:rsid w:val="005E1016"/>
    <w:rsid w:val="005E103A"/>
    <w:rsid w:val="005E1042"/>
    <w:rsid w:val="005E1059"/>
    <w:rsid w:val="005E1079"/>
    <w:rsid w:val="005E107E"/>
    <w:rsid w:val="005E109E"/>
    <w:rsid w:val="005E10E2"/>
    <w:rsid w:val="005E10F4"/>
    <w:rsid w:val="005E10FB"/>
    <w:rsid w:val="005E112B"/>
    <w:rsid w:val="005E1154"/>
    <w:rsid w:val="005E1193"/>
    <w:rsid w:val="005E1199"/>
    <w:rsid w:val="005E119B"/>
    <w:rsid w:val="005E11B6"/>
    <w:rsid w:val="005E11FC"/>
    <w:rsid w:val="005E120C"/>
    <w:rsid w:val="005E123D"/>
    <w:rsid w:val="005E124C"/>
    <w:rsid w:val="005E1281"/>
    <w:rsid w:val="005E1294"/>
    <w:rsid w:val="005E12A2"/>
    <w:rsid w:val="005E12CF"/>
    <w:rsid w:val="005E12EB"/>
    <w:rsid w:val="005E1367"/>
    <w:rsid w:val="005E137E"/>
    <w:rsid w:val="005E13F7"/>
    <w:rsid w:val="005E140C"/>
    <w:rsid w:val="005E1411"/>
    <w:rsid w:val="005E1481"/>
    <w:rsid w:val="005E1546"/>
    <w:rsid w:val="005E1548"/>
    <w:rsid w:val="005E154E"/>
    <w:rsid w:val="005E1554"/>
    <w:rsid w:val="005E156F"/>
    <w:rsid w:val="005E1607"/>
    <w:rsid w:val="005E163A"/>
    <w:rsid w:val="005E1650"/>
    <w:rsid w:val="005E165E"/>
    <w:rsid w:val="005E16AF"/>
    <w:rsid w:val="005E171A"/>
    <w:rsid w:val="005E171D"/>
    <w:rsid w:val="005E1720"/>
    <w:rsid w:val="005E1724"/>
    <w:rsid w:val="005E1770"/>
    <w:rsid w:val="005E17B5"/>
    <w:rsid w:val="005E1850"/>
    <w:rsid w:val="005E1861"/>
    <w:rsid w:val="005E188F"/>
    <w:rsid w:val="005E190B"/>
    <w:rsid w:val="005E1931"/>
    <w:rsid w:val="005E1976"/>
    <w:rsid w:val="005E199E"/>
    <w:rsid w:val="005E19BA"/>
    <w:rsid w:val="005E1A10"/>
    <w:rsid w:val="005E1A43"/>
    <w:rsid w:val="005E1A91"/>
    <w:rsid w:val="005E1AAF"/>
    <w:rsid w:val="005E1B18"/>
    <w:rsid w:val="005E1B3F"/>
    <w:rsid w:val="005E1B71"/>
    <w:rsid w:val="005E1B79"/>
    <w:rsid w:val="005E1B94"/>
    <w:rsid w:val="005E1B9D"/>
    <w:rsid w:val="005E1BA5"/>
    <w:rsid w:val="005E1C38"/>
    <w:rsid w:val="005E1CC7"/>
    <w:rsid w:val="005E1CE5"/>
    <w:rsid w:val="005E1CF8"/>
    <w:rsid w:val="005E1D0B"/>
    <w:rsid w:val="005E1D1D"/>
    <w:rsid w:val="005E1D1E"/>
    <w:rsid w:val="005E1D1F"/>
    <w:rsid w:val="005E1D20"/>
    <w:rsid w:val="005E1D4D"/>
    <w:rsid w:val="005E1E19"/>
    <w:rsid w:val="005E1E2F"/>
    <w:rsid w:val="005E1E57"/>
    <w:rsid w:val="005E1E62"/>
    <w:rsid w:val="005E1E75"/>
    <w:rsid w:val="005E1E7F"/>
    <w:rsid w:val="005E1E8A"/>
    <w:rsid w:val="005E1EDC"/>
    <w:rsid w:val="005E1EDF"/>
    <w:rsid w:val="005E1EF9"/>
    <w:rsid w:val="005E1FC1"/>
    <w:rsid w:val="005E1FC9"/>
    <w:rsid w:val="005E1FD8"/>
    <w:rsid w:val="005E1FF7"/>
    <w:rsid w:val="005E2026"/>
    <w:rsid w:val="005E2039"/>
    <w:rsid w:val="005E2056"/>
    <w:rsid w:val="005E205E"/>
    <w:rsid w:val="005E2075"/>
    <w:rsid w:val="005E2095"/>
    <w:rsid w:val="005E20AB"/>
    <w:rsid w:val="005E20CE"/>
    <w:rsid w:val="005E2150"/>
    <w:rsid w:val="005E216A"/>
    <w:rsid w:val="005E21A0"/>
    <w:rsid w:val="005E21CD"/>
    <w:rsid w:val="005E2216"/>
    <w:rsid w:val="005E22B1"/>
    <w:rsid w:val="005E22DA"/>
    <w:rsid w:val="005E22DE"/>
    <w:rsid w:val="005E22E0"/>
    <w:rsid w:val="005E2301"/>
    <w:rsid w:val="005E2324"/>
    <w:rsid w:val="005E2375"/>
    <w:rsid w:val="005E23BE"/>
    <w:rsid w:val="005E23C6"/>
    <w:rsid w:val="005E23CD"/>
    <w:rsid w:val="005E23DB"/>
    <w:rsid w:val="005E2438"/>
    <w:rsid w:val="005E2448"/>
    <w:rsid w:val="005E24A4"/>
    <w:rsid w:val="005E24B3"/>
    <w:rsid w:val="005E24E7"/>
    <w:rsid w:val="005E2509"/>
    <w:rsid w:val="005E2511"/>
    <w:rsid w:val="005E2512"/>
    <w:rsid w:val="005E2525"/>
    <w:rsid w:val="005E2550"/>
    <w:rsid w:val="005E2572"/>
    <w:rsid w:val="005E25E1"/>
    <w:rsid w:val="005E2633"/>
    <w:rsid w:val="005E266B"/>
    <w:rsid w:val="005E26B8"/>
    <w:rsid w:val="005E26BD"/>
    <w:rsid w:val="005E270B"/>
    <w:rsid w:val="005E274A"/>
    <w:rsid w:val="005E2760"/>
    <w:rsid w:val="005E2782"/>
    <w:rsid w:val="005E27F8"/>
    <w:rsid w:val="005E2806"/>
    <w:rsid w:val="005E2810"/>
    <w:rsid w:val="005E281F"/>
    <w:rsid w:val="005E2869"/>
    <w:rsid w:val="005E28B4"/>
    <w:rsid w:val="005E28BB"/>
    <w:rsid w:val="005E28C3"/>
    <w:rsid w:val="005E28D6"/>
    <w:rsid w:val="005E291E"/>
    <w:rsid w:val="005E295C"/>
    <w:rsid w:val="005E2986"/>
    <w:rsid w:val="005E29A8"/>
    <w:rsid w:val="005E29AF"/>
    <w:rsid w:val="005E29B3"/>
    <w:rsid w:val="005E2AA7"/>
    <w:rsid w:val="005E2AD3"/>
    <w:rsid w:val="005E2AE3"/>
    <w:rsid w:val="005E2B0B"/>
    <w:rsid w:val="005E2B44"/>
    <w:rsid w:val="005E2BF1"/>
    <w:rsid w:val="005E2C2B"/>
    <w:rsid w:val="005E2C2C"/>
    <w:rsid w:val="005E2C65"/>
    <w:rsid w:val="005E2C73"/>
    <w:rsid w:val="005E2C90"/>
    <w:rsid w:val="005E2CE2"/>
    <w:rsid w:val="005E2D2F"/>
    <w:rsid w:val="005E2D42"/>
    <w:rsid w:val="005E2D46"/>
    <w:rsid w:val="005E2D50"/>
    <w:rsid w:val="005E2DF6"/>
    <w:rsid w:val="005E2E8E"/>
    <w:rsid w:val="005E2E91"/>
    <w:rsid w:val="005E2E93"/>
    <w:rsid w:val="005E2E9B"/>
    <w:rsid w:val="005E2EC6"/>
    <w:rsid w:val="005E2ECB"/>
    <w:rsid w:val="005E2F2C"/>
    <w:rsid w:val="005E2F4D"/>
    <w:rsid w:val="005E2F68"/>
    <w:rsid w:val="005E2FC2"/>
    <w:rsid w:val="005E3004"/>
    <w:rsid w:val="005E303B"/>
    <w:rsid w:val="005E306A"/>
    <w:rsid w:val="005E3082"/>
    <w:rsid w:val="005E3096"/>
    <w:rsid w:val="005E30AF"/>
    <w:rsid w:val="005E30F6"/>
    <w:rsid w:val="005E3147"/>
    <w:rsid w:val="005E3172"/>
    <w:rsid w:val="005E3179"/>
    <w:rsid w:val="005E3186"/>
    <w:rsid w:val="005E31DF"/>
    <w:rsid w:val="005E32C3"/>
    <w:rsid w:val="005E335A"/>
    <w:rsid w:val="005E335D"/>
    <w:rsid w:val="005E33BD"/>
    <w:rsid w:val="005E33C1"/>
    <w:rsid w:val="005E33DD"/>
    <w:rsid w:val="005E33E2"/>
    <w:rsid w:val="005E3401"/>
    <w:rsid w:val="005E342D"/>
    <w:rsid w:val="005E343B"/>
    <w:rsid w:val="005E347A"/>
    <w:rsid w:val="005E3482"/>
    <w:rsid w:val="005E34DB"/>
    <w:rsid w:val="005E34E2"/>
    <w:rsid w:val="005E34F0"/>
    <w:rsid w:val="005E34FF"/>
    <w:rsid w:val="005E3517"/>
    <w:rsid w:val="005E3544"/>
    <w:rsid w:val="005E358C"/>
    <w:rsid w:val="005E35E3"/>
    <w:rsid w:val="005E362E"/>
    <w:rsid w:val="005E3640"/>
    <w:rsid w:val="005E366E"/>
    <w:rsid w:val="005E367F"/>
    <w:rsid w:val="005E36A9"/>
    <w:rsid w:val="005E36EA"/>
    <w:rsid w:val="005E3702"/>
    <w:rsid w:val="005E3705"/>
    <w:rsid w:val="005E371B"/>
    <w:rsid w:val="005E3734"/>
    <w:rsid w:val="005E379A"/>
    <w:rsid w:val="005E37B9"/>
    <w:rsid w:val="005E37C1"/>
    <w:rsid w:val="005E37F8"/>
    <w:rsid w:val="005E384E"/>
    <w:rsid w:val="005E3853"/>
    <w:rsid w:val="005E386B"/>
    <w:rsid w:val="005E3885"/>
    <w:rsid w:val="005E38B6"/>
    <w:rsid w:val="005E38CE"/>
    <w:rsid w:val="005E38D0"/>
    <w:rsid w:val="005E38DF"/>
    <w:rsid w:val="005E38E9"/>
    <w:rsid w:val="005E394C"/>
    <w:rsid w:val="005E3954"/>
    <w:rsid w:val="005E3962"/>
    <w:rsid w:val="005E397A"/>
    <w:rsid w:val="005E39B2"/>
    <w:rsid w:val="005E39C4"/>
    <w:rsid w:val="005E39C9"/>
    <w:rsid w:val="005E3A33"/>
    <w:rsid w:val="005E3A38"/>
    <w:rsid w:val="005E3A80"/>
    <w:rsid w:val="005E3A87"/>
    <w:rsid w:val="005E3B1A"/>
    <w:rsid w:val="005E3B34"/>
    <w:rsid w:val="005E3B47"/>
    <w:rsid w:val="005E3B4C"/>
    <w:rsid w:val="005E3B5D"/>
    <w:rsid w:val="005E3B93"/>
    <w:rsid w:val="005E3BB8"/>
    <w:rsid w:val="005E3BDA"/>
    <w:rsid w:val="005E3BDD"/>
    <w:rsid w:val="005E3C55"/>
    <w:rsid w:val="005E3C70"/>
    <w:rsid w:val="005E3C75"/>
    <w:rsid w:val="005E3C8C"/>
    <w:rsid w:val="005E3CBB"/>
    <w:rsid w:val="005E3D15"/>
    <w:rsid w:val="005E3D20"/>
    <w:rsid w:val="005E3D2A"/>
    <w:rsid w:val="005E3D5F"/>
    <w:rsid w:val="005E3D80"/>
    <w:rsid w:val="005E3DAE"/>
    <w:rsid w:val="005E3DC1"/>
    <w:rsid w:val="005E3DFF"/>
    <w:rsid w:val="005E3E08"/>
    <w:rsid w:val="005E3E15"/>
    <w:rsid w:val="005E3E56"/>
    <w:rsid w:val="005E3E64"/>
    <w:rsid w:val="005E3ED0"/>
    <w:rsid w:val="005E3F69"/>
    <w:rsid w:val="005E3FEB"/>
    <w:rsid w:val="005E3FF1"/>
    <w:rsid w:val="005E3FF6"/>
    <w:rsid w:val="005E4057"/>
    <w:rsid w:val="005E4078"/>
    <w:rsid w:val="005E4087"/>
    <w:rsid w:val="005E40D3"/>
    <w:rsid w:val="005E416E"/>
    <w:rsid w:val="005E41B1"/>
    <w:rsid w:val="005E42AA"/>
    <w:rsid w:val="005E42F9"/>
    <w:rsid w:val="005E430C"/>
    <w:rsid w:val="005E4388"/>
    <w:rsid w:val="005E438F"/>
    <w:rsid w:val="005E4399"/>
    <w:rsid w:val="005E43CC"/>
    <w:rsid w:val="005E43D3"/>
    <w:rsid w:val="005E43ED"/>
    <w:rsid w:val="005E4405"/>
    <w:rsid w:val="005E4417"/>
    <w:rsid w:val="005E4496"/>
    <w:rsid w:val="005E44AB"/>
    <w:rsid w:val="005E44B3"/>
    <w:rsid w:val="005E44C2"/>
    <w:rsid w:val="005E44C6"/>
    <w:rsid w:val="005E44DC"/>
    <w:rsid w:val="005E44EB"/>
    <w:rsid w:val="005E44F5"/>
    <w:rsid w:val="005E4508"/>
    <w:rsid w:val="005E4528"/>
    <w:rsid w:val="005E454C"/>
    <w:rsid w:val="005E45CF"/>
    <w:rsid w:val="005E4675"/>
    <w:rsid w:val="005E46C9"/>
    <w:rsid w:val="005E4701"/>
    <w:rsid w:val="005E4714"/>
    <w:rsid w:val="005E471F"/>
    <w:rsid w:val="005E4780"/>
    <w:rsid w:val="005E479C"/>
    <w:rsid w:val="005E47A1"/>
    <w:rsid w:val="005E47DF"/>
    <w:rsid w:val="005E4812"/>
    <w:rsid w:val="005E483D"/>
    <w:rsid w:val="005E4840"/>
    <w:rsid w:val="005E4850"/>
    <w:rsid w:val="005E4875"/>
    <w:rsid w:val="005E4897"/>
    <w:rsid w:val="005E48BA"/>
    <w:rsid w:val="005E496A"/>
    <w:rsid w:val="005E4970"/>
    <w:rsid w:val="005E499E"/>
    <w:rsid w:val="005E49EB"/>
    <w:rsid w:val="005E49F3"/>
    <w:rsid w:val="005E4A3F"/>
    <w:rsid w:val="005E4A8E"/>
    <w:rsid w:val="005E4B1E"/>
    <w:rsid w:val="005E4B4B"/>
    <w:rsid w:val="005E4B69"/>
    <w:rsid w:val="005E4B9E"/>
    <w:rsid w:val="005E4BB4"/>
    <w:rsid w:val="005E4BD1"/>
    <w:rsid w:val="005E4BEA"/>
    <w:rsid w:val="005E4C08"/>
    <w:rsid w:val="005E4C1A"/>
    <w:rsid w:val="005E4C28"/>
    <w:rsid w:val="005E4C3F"/>
    <w:rsid w:val="005E4CBE"/>
    <w:rsid w:val="005E4CC2"/>
    <w:rsid w:val="005E4CE9"/>
    <w:rsid w:val="005E4CED"/>
    <w:rsid w:val="005E4D3F"/>
    <w:rsid w:val="005E4D47"/>
    <w:rsid w:val="005E4D7E"/>
    <w:rsid w:val="005E4E4C"/>
    <w:rsid w:val="005E4E64"/>
    <w:rsid w:val="005E4E68"/>
    <w:rsid w:val="005E4E84"/>
    <w:rsid w:val="005E4E8C"/>
    <w:rsid w:val="005E4EA9"/>
    <w:rsid w:val="005E4EC0"/>
    <w:rsid w:val="005E4EDE"/>
    <w:rsid w:val="005E4F1C"/>
    <w:rsid w:val="005E4F68"/>
    <w:rsid w:val="005E4F6A"/>
    <w:rsid w:val="005E4F84"/>
    <w:rsid w:val="005E4FBA"/>
    <w:rsid w:val="005E4FDF"/>
    <w:rsid w:val="005E5004"/>
    <w:rsid w:val="005E500F"/>
    <w:rsid w:val="005E5011"/>
    <w:rsid w:val="005E505A"/>
    <w:rsid w:val="005E508D"/>
    <w:rsid w:val="005E516A"/>
    <w:rsid w:val="005E518A"/>
    <w:rsid w:val="005E5197"/>
    <w:rsid w:val="005E51C9"/>
    <w:rsid w:val="005E51DC"/>
    <w:rsid w:val="005E51E3"/>
    <w:rsid w:val="005E52A1"/>
    <w:rsid w:val="005E52AC"/>
    <w:rsid w:val="005E52D9"/>
    <w:rsid w:val="005E52F7"/>
    <w:rsid w:val="005E533B"/>
    <w:rsid w:val="005E5349"/>
    <w:rsid w:val="005E5393"/>
    <w:rsid w:val="005E53C0"/>
    <w:rsid w:val="005E53CC"/>
    <w:rsid w:val="005E53DC"/>
    <w:rsid w:val="005E540A"/>
    <w:rsid w:val="005E5420"/>
    <w:rsid w:val="005E5454"/>
    <w:rsid w:val="005E5457"/>
    <w:rsid w:val="005E54BA"/>
    <w:rsid w:val="005E54C6"/>
    <w:rsid w:val="005E54DD"/>
    <w:rsid w:val="005E5557"/>
    <w:rsid w:val="005E5558"/>
    <w:rsid w:val="005E556A"/>
    <w:rsid w:val="005E556F"/>
    <w:rsid w:val="005E55F7"/>
    <w:rsid w:val="005E55F9"/>
    <w:rsid w:val="005E5608"/>
    <w:rsid w:val="005E563C"/>
    <w:rsid w:val="005E568C"/>
    <w:rsid w:val="005E568D"/>
    <w:rsid w:val="005E56B5"/>
    <w:rsid w:val="005E56BE"/>
    <w:rsid w:val="005E56D3"/>
    <w:rsid w:val="005E570D"/>
    <w:rsid w:val="005E5711"/>
    <w:rsid w:val="005E5868"/>
    <w:rsid w:val="005E58A1"/>
    <w:rsid w:val="005E58D5"/>
    <w:rsid w:val="005E58FF"/>
    <w:rsid w:val="005E5904"/>
    <w:rsid w:val="005E5917"/>
    <w:rsid w:val="005E5919"/>
    <w:rsid w:val="005E5922"/>
    <w:rsid w:val="005E5969"/>
    <w:rsid w:val="005E59B9"/>
    <w:rsid w:val="005E59D6"/>
    <w:rsid w:val="005E59E5"/>
    <w:rsid w:val="005E5A0C"/>
    <w:rsid w:val="005E5A18"/>
    <w:rsid w:val="005E5A37"/>
    <w:rsid w:val="005E5AC7"/>
    <w:rsid w:val="005E5B23"/>
    <w:rsid w:val="005E5B30"/>
    <w:rsid w:val="005E5B39"/>
    <w:rsid w:val="005E5B3C"/>
    <w:rsid w:val="005E5B6C"/>
    <w:rsid w:val="005E5B77"/>
    <w:rsid w:val="005E5B91"/>
    <w:rsid w:val="005E5C7A"/>
    <w:rsid w:val="005E5C7B"/>
    <w:rsid w:val="005E5CF0"/>
    <w:rsid w:val="005E5D0A"/>
    <w:rsid w:val="005E5D4B"/>
    <w:rsid w:val="005E5D7D"/>
    <w:rsid w:val="005E5DF6"/>
    <w:rsid w:val="005E5DFD"/>
    <w:rsid w:val="005E5E05"/>
    <w:rsid w:val="005E5E37"/>
    <w:rsid w:val="005E5E4B"/>
    <w:rsid w:val="005E5E82"/>
    <w:rsid w:val="005E5ECF"/>
    <w:rsid w:val="005E5F15"/>
    <w:rsid w:val="005E5F30"/>
    <w:rsid w:val="005E5F6D"/>
    <w:rsid w:val="005E5FCF"/>
    <w:rsid w:val="005E6016"/>
    <w:rsid w:val="005E6019"/>
    <w:rsid w:val="005E6033"/>
    <w:rsid w:val="005E6046"/>
    <w:rsid w:val="005E60A6"/>
    <w:rsid w:val="005E60C0"/>
    <w:rsid w:val="005E60F8"/>
    <w:rsid w:val="005E611D"/>
    <w:rsid w:val="005E6128"/>
    <w:rsid w:val="005E612E"/>
    <w:rsid w:val="005E6135"/>
    <w:rsid w:val="005E6136"/>
    <w:rsid w:val="005E6156"/>
    <w:rsid w:val="005E617E"/>
    <w:rsid w:val="005E61E7"/>
    <w:rsid w:val="005E61EC"/>
    <w:rsid w:val="005E622F"/>
    <w:rsid w:val="005E6237"/>
    <w:rsid w:val="005E627B"/>
    <w:rsid w:val="005E6288"/>
    <w:rsid w:val="005E6291"/>
    <w:rsid w:val="005E62D5"/>
    <w:rsid w:val="005E62F9"/>
    <w:rsid w:val="005E6319"/>
    <w:rsid w:val="005E631D"/>
    <w:rsid w:val="005E6388"/>
    <w:rsid w:val="005E63D3"/>
    <w:rsid w:val="005E63E0"/>
    <w:rsid w:val="005E6439"/>
    <w:rsid w:val="005E643E"/>
    <w:rsid w:val="005E646B"/>
    <w:rsid w:val="005E6470"/>
    <w:rsid w:val="005E64B9"/>
    <w:rsid w:val="005E64C2"/>
    <w:rsid w:val="005E64F7"/>
    <w:rsid w:val="005E6507"/>
    <w:rsid w:val="005E656B"/>
    <w:rsid w:val="005E656D"/>
    <w:rsid w:val="005E65E5"/>
    <w:rsid w:val="005E6601"/>
    <w:rsid w:val="005E6675"/>
    <w:rsid w:val="005E667A"/>
    <w:rsid w:val="005E6681"/>
    <w:rsid w:val="005E6686"/>
    <w:rsid w:val="005E66BE"/>
    <w:rsid w:val="005E66DB"/>
    <w:rsid w:val="005E6702"/>
    <w:rsid w:val="005E6715"/>
    <w:rsid w:val="005E6748"/>
    <w:rsid w:val="005E6782"/>
    <w:rsid w:val="005E6788"/>
    <w:rsid w:val="005E67AA"/>
    <w:rsid w:val="005E67B2"/>
    <w:rsid w:val="005E67D4"/>
    <w:rsid w:val="005E67FD"/>
    <w:rsid w:val="005E682D"/>
    <w:rsid w:val="005E6837"/>
    <w:rsid w:val="005E6873"/>
    <w:rsid w:val="005E6895"/>
    <w:rsid w:val="005E68B1"/>
    <w:rsid w:val="005E68C3"/>
    <w:rsid w:val="005E68D8"/>
    <w:rsid w:val="005E693D"/>
    <w:rsid w:val="005E6944"/>
    <w:rsid w:val="005E6956"/>
    <w:rsid w:val="005E6959"/>
    <w:rsid w:val="005E6A0E"/>
    <w:rsid w:val="005E6A7B"/>
    <w:rsid w:val="005E6AA4"/>
    <w:rsid w:val="005E6AE9"/>
    <w:rsid w:val="005E6AF7"/>
    <w:rsid w:val="005E6B06"/>
    <w:rsid w:val="005E6B0F"/>
    <w:rsid w:val="005E6B59"/>
    <w:rsid w:val="005E6B81"/>
    <w:rsid w:val="005E6BA5"/>
    <w:rsid w:val="005E6BDA"/>
    <w:rsid w:val="005E6BE4"/>
    <w:rsid w:val="005E6BEF"/>
    <w:rsid w:val="005E6BFB"/>
    <w:rsid w:val="005E6C06"/>
    <w:rsid w:val="005E6C23"/>
    <w:rsid w:val="005E6C46"/>
    <w:rsid w:val="005E6C4C"/>
    <w:rsid w:val="005E6D7D"/>
    <w:rsid w:val="005E6D83"/>
    <w:rsid w:val="005E6DBB"/>
    <w:rsid w:val="005E6DC9"/>
    <w:rsid w:val="005E6DDF"/>
    <w:rsid w:val="005E6DE7"/>
    <w:rsid w:val="005E6E17"/>
    <w:rsid w:val="005E6E4D"/>
    <w:rsid w:val="005E6E54"/>
    <w:rsid w:val="005E6E5D"/>
    <w:rsid w:val="005E6EFA"/>
    <w:rsid w:val="005E6F2E"/>
    <w:rsid w:val="005E6F85"/>
    <w:rsid w:val="005E6FE6"/>
    <w:rsid w:val="005E7002"/>
    <w:rsid w:val="005E7045"/>
    <w:rsid w:val="005E7066"/>
    <w:rsid w:val="005E7079"/>
    <w:rsid w:val="005E7115"/>
    <w:rsid w:val="005E712E"/>
    <w:rsid w:val="005E7172"/>
    <w:rsid w:val="005E71A1"/>
    <w:rsid w:val="005E71B4"/>
    <w:rsid w:val="005E71BD"/>
    <w:rsid w:val="005E71C5"/>
    <w:rsid w:val="005E71DB"/>
    <w:rsid w:val="005E7246"/>
    <w:rsid w:val="005E727B"/>
    <w:rsid w:val="005E72CF"/>
    <w:rsid w:val="005E7301"/>
    <w:rsid w:val="005E737A"/>
    <w:rsid w:val="005E7381"/>
    <w:rsid w:val="005E73AA"/>
    <w:rsid w:val="005E741C"/>
    <w:rsid w:val="005E743B"/>
    <w:rsid w:val="005E744C"/>
    <w:rsid w:val="005E7481"/>
    <w:rsid w:val="005E7492"/>
    <w:rsid w:val="005E7527"/>
    <w:rsid w:val="005E7538"/>
    <w:rsid w:val="005E75C7"/>
    <w:rsid w:val="005E75F6"/>
    <w:rsid w:val="005E7654"/>
    <w:rsid w:val="005E7699"/>
    <w:rsid w:val="005E76A4"/>
    <w:rsid w:val="005E7710"/>
    <w:rsid w:val="005E771C"/>
    <w:rsid w:val="005E7735"/>
    <w:rsid w:val="005E7783"/>
    <w:rsid w:val="005E7789"/>
    <w:rsid w:val="005E77A0"/>
    <w:rsid w:val="005E77A4"/>
    <w:rsid w:val="005E77B0"/>
    <w:rsid w:val="005E77B1"/>
    <w:rsid w:val="005E77C7"/>
    <w:rsid w:val="005E77EB"/>
    <w:rsid w:val="005E780E"/>
    <w:rsid w:val="005E781A"/>
    <w:rsid w:val="005E782D"/>
    <w:rsid w:val="005E7833"/>
    <w:rsid w:val="005E7870"/>
    <w:rsid w:val="005E7890"/>
    <w:rsid w:val="005E7899"/>
    <w:rsid w:val="005E78A8"/>
    <w:rsid w:val="005E7915"/>
    <w:rsid w:val="005E79BF"/>
    <w:rsid w:val="005E79E3"/>
    <w:rsid w:val="005E79FE"/>
    <w:rsid w:val="005E7A94"/>
    <w:rsid w:val="005E7AA8"/>
    <w:rsid w:val="005E7ADF"/>
    <w:rsid w:val="005E7B02"/>
    <w:rsid w:val="005E7B06"/>
    <w:rsid w:val="005E7B61"/>
    <w:rsid w:val="005E7BA3"/>
    <w:rsid w:val="005E7BA6"/>
    <w:rsid w:val="005E7C2E"/>
    <w:rsid w:val="005E7C59"/>
    <w:rsid w:val="005E7C67"/>
    <w:rsid w:val="005E7C76"/>
    <w:rsid w:val="005E7CC8"/>
    <w:rsid w:val="005E7CCE"/>
    <w:rsid w:val="005E7CF8"/>
    <w:rsid w:val="005E7D19"/>
    <w:rsid w:val="005E7DD9"/>
    <w:rsid w:val="005E7DFC"/>
    <w:rsid w:val="005E7E07"/>
    <w:rsid w:val="005E7E84"/>
    <w:rsid w:val="005E7EB1"/>
    <w:rsid w:val="005E7EDF"/>
    <w:rsid w:val="005E7F11"/>
    <w:rsid w:val="005E7F15"/>
    <w:rsid w:val="005E7F46"/>
    <w:rsid w:val="005E7FBD"/>
    <w:rsid w:val="005EBF08"/>
    <w:rsid w:val="005F0068"/>
    <w:rsid w:val="005F00AF"/>
    <w:rsid w:val="005F00C1"/>
    <w:rsid w:val="005F00C6"/>
    <w:rsid w:val="005F00DC"/>
    <w:rsid w:val="005F00E4"/>
    <w:rsid w:val="005F0127"/>
    <w:rsid w:val="005F012D"/>
    <w:rsid w:val="005F012E"/>
    <w:rsid w:val="005F0159"/>
    <w:rsid w:val="005F0168"/>
    <w:rsid w:val="005F0180"/>
    <w:rsid w:val="005F0181"/>
    <w:rsid w:val="005F01BF"/>
    <w:rsid w:val="005F0200"/>
    <w:rsid w:val="005F0258"/>
    <w:rsid w:val="005F0264"/>
    <w:rsid w:val="005F0296"/>
    <w:rsid w:val="005F02E6"/>
    <w:rsid w:val="005F02E7"/>
    <w:rsid w:val="005F0307"/>
    <w:rsid w:val="005F034E"/>
    <w:rsid w:val="005F0369"/>
    <w:rsid w:val="005F03AD"/>
    <w:rsid w:val="005F03B7"/>
    <w:rsid w:val="005F03B8"/>
    <w:rsid w:val="005F03BD"/>
    <w:rsid w:val="005F042A"/>
    <w:rsid w:val="005F0449"/>
    <w:rsid w:val="005F044E"/>
    <w:rsid w:val="005F04D3"/>
    <w:rsid w:val="005F04E3"/>
    <w:rsid w:val="005F050A"/>
    <w:rsid w:val="005F0543"/>
    <w:rsid w:val="005F05C7"/>
    <w:rsid w:val="005F05CE"/>
    <w:rsid w:val="005F0604"/>
    <w:rsid w:val="005F0636"/>
    <w:rsid w:val="005F0772"/>
    <w:rsid w:val="005F0799"/>
    <w:rsid w:val="005F07A3"/>
    <w:rsid w:val="005F07A7"/>
    <w:rsid w:val="005F07CB"/>
    <w:rsid w:val="005F07D9"/>
    <w:rsid w:val="005F07E1"/>
    <w:rsid w:val="005F08C2"/>
    <w:rsid w:val="005F08E0"/>
    <w:rsid w:val="005F08F2"/>
    <w:rsid w:val="005F0905"/>
    <w:rsid w:val="005F0977"/>
    <w:rsid w:val="005F0980"/>
    <w:rsid w:val="005F09A4"/>
    <w:rsid w:val="005F09D3"/>
    <w:rsid w:val="005F0AD7"/>
    <w:rsid w:val="005F0AFF"/>
    <w:rsid w:val="005F0B3C"/>
    <w:rsid w:val="005F0BBE"/>
    <w:rsid w:val="005F0BCD"/>
    <w:rsid w:val="005F0BE6"/>
    <w:rsid w:val="005F0C08"/>
    <w:rsid w:val="005F0C27"/>
    <w:rsid w:val="005F0C45"/>
    <w:rsid w:val="005F0C7C"/>
    <w:rsid w:val="005F0D23"/>
    <w:rsid w:val="005F0D35"/>
    <w:rsid w:val="005F0D58"/>
    <w:rsid w:val="005F0D8C"/>
    <w:rsid w:val="005F0DDC"/>
    <w:rsid w:val="005F0DE5"/>
    <w:rsid w:val="005F0E0A"/>
    <w:rsid w:val="005F0E12"/>
    <w:rsid w:val="005F0E1F"/>
    <w:rsid w:val="005F0E4B"/>
    <w:rsid w:val="005F0E55"/>
    <w:rsid w:val="005F0E5F"/>
    <w:rsid w:val="005F0E91"/>
    <w:rsid w:val="005F0E9B"/>
    <w:rsid w:val="005F0EA4"/>
    <w:rsid w:val="005F0EB9"/>
    <w:rsid w:val="005F0F68"/>
    <w:rsid w:val="005F0FA2"/>
    <w:rsid w:val="005F0FC7"/>
    <w:rsid w:val="005F1027"/>
    <w:rsid w:val="005F1034"/>
    <w:rsid w:val="005F1048"/>
    <w:rsid w:val="005F105A"/>
    <w:rsid w:val="005F10CB"/>
    <w:rsid w:val="005F10DD"/>
    <w:rsid w:val="005F115B"/>
    <w:rsid w:val="005F1188"/>
    <w:rsid w:val="005F11C4"/>
    <w:rsid w:val="005F11D1"/>
    <w:rsid w:val="005F11F4"/>
    <w:rsid w:val="005F11F7"/>
    <w:rsid w:val="005F1227"/>
    <w:rsid w:val="005F123D"/>
    <w:rsid w:val="005F1253"/>
    <w:rsid w:val="005F1263"/>
    <w:rsid w:val="005F1287"/>
    <w:rsid w:val="005F1293"/>
    <w:rsid w:val="005F129F"/>
    <w:rsid w:val="005F12D5"/>
    <w:rsid w:val="005F1303"/>
    <w:rsid w:val="005F13CA"/>
    <w:rsid w:val="005F1439"/>
    <w:rsid w:val="005F144D"/>
    <w:rsid w:val="005F14E7"/>
    <w:rsid w:val="005F1516"/>
    <w:rsid w:val="005F153D"/>
    <w:rsid w:val="005F153E"/>
    <w:rsid w:val="005F1577"/>
    <w:rsid w:val="005F157B"/>
    <w:rsid w:val="005F158C"/>
    <w:rsid w:val="005F15AC"/>
    <w:rsid w:val="005F15BE"/>
    <w:rsid w:val="005F15E8"/>
    <w:rsid w:val="005F1627"/>
    <w:rsid w:val="005F163F"/>
    <w:rsid w:val="005F1648"/>
    <w:rsid w:val="005F16C8"/>
    <w:rsid w:val="005F16CB"/>
    <w:rsid w:val="005F1720"/>
    <w:rsid w:val="005F174C"/>
    <w:rsid w:val="005F17BC"/>
    <w:rsid w:val="005F17F3"/>
    <w:rsid w:val="005F1840"/>
    <w:rsid w:val="005F185D"/>
    <w:rsid w:val="005F189E"/>
    <w:rsid w:val="005F18E7"/>
    <w:rsid w:val="005F1915"/>
    <w:rsid w:val="005F1971"/>
    <w:rsid w:val="005F199B"/>
    <w:rsid w:val="005F19A1"/>
    <w:rsid w:val="005F1A13"/>
    <w:rsid w:val="005F1A97"/>
    <w:rsid w:val="005F1AA3"/>
    <w:rsid w:val="005F1B11"/>
    <w:rsid w:val="005F1B21"/>
    <w:rsid w:val="005F1B53"/>
    <w:rsid w:val="005F1B63"/>
    <w:rsid w:val="005F1B67"/>
    <w:rsid w:val="005F1B72"/>
    <w:rsid w:val="005F1B96"/>
    <w:rsid w:val="005F1BA9"/>
    <w:rsid w:val="005F1C26"/>
    <w:rsid w:val="005F1C62"/>
    <w:rsid w:val="005F1C92"/>
    <w:rsid w:val="005F1C94"/>
    <w:rsid w:val="005F1CAE"/>
    <w:rsid w:val="005F1CE0"/>
    <w:rsid w:val="005F1CE5"/>
    <w:rsid w:val="005F1D30"/>
    <w:rsid w:val="005F1DAB"/>
    <w:rsid w:val="005F1DB1"/>
    <w:rsid w:val="005F1DB4"/>
    <w:rsid w:val="005F1ED5"/>
    <w:rsid w:val="005F1F13"/>
    <w:rsid w:val="005F1F39"/>
    <w:rsid w:val="005F1F8B"/>
    <w:rsid w:val="005F1F9E"/>
    <w:rsid w:val="005F1FB2"/>
    <w:rsid w:val="005F1FBD"/>
    <w:rsid w:val="005F1FF6"/>
    <w:rsid w:val="005F202D"/>
    <w:rsid w:val="005F2044"/>
    <w:rsid w:val="005F2049"/>
    <w:rsid w:val="005F204E"/>
    <w:rsid w:val="005F2059"/>
    <w:rsid w:val="005F2070"/>
    <w:rsid w:val="005F20CB"/>
    <w:rsid w:val="005F2108"/>
    <w:rsid w:val="005F2143"/>
    <w:rsid w:val="005F2171"/>
    <w:rsid w:val="005F2231"/>
    <w:rsid w:val="005F2270"/>
    <w:rsid w:val="005F22E7"/>
    <w:rsid w:val="005F2303"/>
    <w:rsid w:val="005F230D"/>
    <w:rsid w:val="005F2321"/>
    <w:rsid w:val="005F2323"/>
    <w:rsid w:val="005F2335"/>
    <w:rsid w:val="005F233E"/>
    <w:rsid w:val="005F2355"/>
    <w:rsid w:val="005F23B1"/>
    <w:rsid w:val="005F23C5"/>
    <w:rsid w:val="005F23F1"/>
    <w:rsid w:val="005F2493"/>
    <w:rsid w:val="005F24A5"/>
    <w:rsid w:val="005F2501"/>
    <w:rsid w:val="005F2514"/>
    <w:rsid w:val="005F2518"/>
    <w:rsid w:val="005F2551"/>
    <w:rsid w:val="005F25FF"/>
    <w:rsid w:val="005F2633"/>
    <w:rsid w:val="005F263A"/>
    <w:rsid w:val="005F265B"/>
    <w:rsid w:val="005F269B"/>
    <w:rsid w:val="005F26BB"/>
    <w:rsid w:val="005F26F1"/>
    <w:rsid w:val="005F2717"/>
    <w:rsid w:val="005F2726"/>
    <w:rsid w:val="005F2767"/>
    <w:rsid w:val="005F27F2"/>
    <w:rsid w:val="005F2800"/>
    <w:rsid w:val="005F2835"/>
    <w:rsid w:val="005F284A"/>
    <w:rsid w:val="005F288F"/>
    <w:rsid w:val="005F2892"/>
    <w:rsid w:val="005F28DF"/>
    <w:rsid w:val="005F290C"/>
    <w:rsid w:val="005F2912"/>
    <w:rsid w:val="005F294F"/>
    <w:rsid w:val="005F29C6"/>
    <w:rsid w:val="005F29E7"/>
    <w:rsid w:val="005F29EC"/>
    <w:rsid w:val="005F2A25"/>
    <w:rsid w:val="005F2A52"/>
    <w:rsid w:val="005F2ACA"/>
    <w:rsid w:val="005F2AE8"/>
    <w:rsid w:val="005F2B5D"/>
    <w:rsid w:val="005F2B72"/>
    <w:rsid w:val="005F2B73"/>
    <w:rsid w:val="005F2B9A"/>
    <w:rsid w:val="005F2BC8"/>
    <w:rsid w:val="005F2C36"/>
    <w:rsid w:val="005F2C3B"/>
    <w:rsid w:val="005F2C71"/>
    <w:rsid w:val="005F2C77"/>
    <w:rsid w:val="005F2C97"/>
    <w:rsid w:val="005F2D17"/>
    <w:rsid w:val="005F2D1B"/>
    <w:rsid w:val="005F2D56"/>
    <w:rsid w:val="005F2D6D"/>
    <w:rsid w:val="005F2DBF"/>
    <w:rsid w:val="005F2DE9"/>
    <w:rsid w:val="005F2E0B"/>
    <w:rsid w:val="005F2E19"/>
    <w:rsid w:val="005F2E5A"/>
    <w:rsid w:val="005F2E94"/>
    <w:rsid w:val="005F2EA8"/>
    <w:rsid w:val="005F2EC7"/>
    <w:rsid w:val="005F2EED"/>
    <w:rsid w:val="005F2F75"/>
    <w:rsid w:val="005F2F98"/>
    <w:rsid w:val="005F2FAF"/>
    <w:rsid w:val="005F3016"/>
    <w:rsid w:val="005F3017"/>
    <w:rsid w:val="005F301C"/>
    <w:rsid w:val="005F307F"/>
    <w:rsid w:val="005F3091"/>
    <w:rsid w:val="005F3099"/>
    <w:rsid w:val="005F30AF"/>
    <w:rsid w:val="005F30DA"/>
    <w:rsid w:val="005F30EB"/>
    <w:rsid w:val="005F3190"/>
    <w:rsid w:val="005F3191"/>
    <w:rsid w:val="005F319E"/>
    <w:rsid w:val="005F31AD"/>
    <w:rsid w:val="005F3348"/>
    <w:rsid w:val="005F3363"/>
    <w:rsid w:val="005F3383"/>
    <w:rsid w:val="005F33B1"/>
    <w:rsid w:val="005F33B7"/>
    <w:rsid w:val="005F33C0"/>
    <w:rsid w:val="005F33CC"/>
    <w:rsid w:val="005F3428"/>
    <w:rsid w:val="005F343C"/>
    <w:rsid w:val="005F3457"/>
    <w:rsid w:val="005F347A"/>
    <w:rsid w:val="005F3491"/>
    <w:rsid w:val="005F34C9"/>
    <w:rsid w:val="005F34EE"/>
    <w:rsid w:val="005F34EF"/>
    <w:rsid w:val="005F3545"/>
    <w:rsid w:val="005F358D"/>
    <w:rsid w:val="005F3660"/>
    <w:rsid w:val="005F366F"/>
    <w:rsid w:val="005F3685"/>
    <w:rsid w:val="005F368A"/>
    <w:rsid w:val="005F3693"/>
    <w:rsid w:val="005F3694"/>
    <w:rsid w:val="005F369A"/>
    <w:rsid w:val="005F36C0"/>
    <w:rsid w:val="005F36F6"/>
    <w:rsid w:val="005F374D"/>
    <w:rsid w:val="005F37D2"/>
    <w:rsid w:val="005F37D9"/>
    <w:rsid w:val="005F37ED"/>
    <w:rsid w:val="005F37FD"/>
    <w:rsid w:val="005F3814"/>
    <w:rsid w:val="005F3860"/>
    <w:rsid w:val="005F3868"/>
    <w:rsid w:val="005F38DF"/>
    <w:rsid w:val="005F38EB"/>
    <w:rsid w:val="005F39CE"/>
    <w:rsid w:val="005F39DC"/>
    <w:rsid w:val="005F39DE"/>
    <w:rsid w:val="005F3A97"/>
    <w:rsid w:val="005F3AE6"/>
    <w:rsid w:val="005F3AF4"/>
    <w:rsid w:val="005F3B08"/>
    <w:rsid w:val="005F3B0A"/>
    <w:rsid w:val="005F3B1C"/>
    <w:rsid w:val="005F3B4B"/>
    <w:rsid w:val="005F3B8E"/>
    <w:rsid w:val="005F3B94"/>
    <w:rsid w:val="005F3BC6"/>
    <w:rsid w:val="005F3BEA"/>
    <w:rsid w:val="005F3C18"/>
    <w:rsid w:val="005F3C22"/>
    <w:rsid w:val="005F3C40"/>
    <w:rsid w:val="005F3C56"/>
    <w:rsid w:val="005F3C7A"/>
    <w:rsid w:val="005F3C9F"/>
    <w:rsid w:val="005F3CCE"/>
    <w:rsid w:val="005F3CD2"/>
    <w:rsid w:val="005F3CDA"/>
    <w:rsid w:val="005F3CFC"/>
    <w:rsid w:val="005F3D03"/>
    <w:rsid w:val="005F3D3E"/>
    <w:rsid w:val="005F3D4A"/>
    <w:rsid w:val="005F3D75"/>
    <w:rsid w:val="005F3D79"/>
    <w:rsid w:val="005F3DB8"/>
    <w:rsid w:val="005F3DCC"/>
    <w:rsid w:val="005F3DE2"/>
    <w:rsid w:val="005F3DF6"/>
    <w:rsid w:val="005F3E10"/>
    <w:rsid w:val="005F3E39"/>
    <w:rsid w:val="005F3E41"/>
    <w:rsid w:val="005F3E97"/>
    <w:rsid w:val="005F3EB1"/>
    <w:rsid w:val="005F3EDB"/>
    <w:rsid w:val="005F3EE4"/>
    <w:rsid w:val="005F3F57"/>
    <w:rsid w:val="005F3F62"/>
    <w:rsid w:val="005F3FCA"/>
    <w:rsid w:val="005F404B"/>
    <w:rsid w:val="005F406B"/>
    <w:rsid w:val="005F40B3"/>
    <w:rsid w:val="005F40CB"/>
    <w:rsid w:val="005F40F9"/>
    <w:rsid w:val="005F4192"/>
    <w:rsid w:val="005F419B"/>
    <w:rsid w:val="005F41CF"/>
    <w:rsid w:val="005F41DF"/>
    <w:rsid w:val="005F41E7"/>
    <w:rsid w:val="005F428A"/>
    <w:rsid w:val="005F4323"/>
    <w:rsid w:val="005F4337"/>
    <w:rsid w:val="005F433A"/>
    <w:rsid w:val="005F434B"/>
    <w:rsid w:val="005F4393"/>
    <w:rsid w:val="005F43ED"/>
    <w:rsid w:val="005F43FB"/>
    <w:rsid w:val="005F442E"/>
    <w:rsid w:val="005F4431"/>
    <w:rsid w:val="005F4452"/>
    <w:rsid w:val="005F44D4"/>
    <w:rsid w:val="005F451E"/>
    <w:rsid w:val="005F4562"/>
    <w:rsid w:val="005F4591"/>
    <w:rsid w:val="005F4603"/>
    <w:rsid w:val="005F4604"/>
    <w:rsid w:val="005F462B"/>
    <w:rsid w:val="005F4640"/>
    <w:rsid w:val="005F4653"/>
    <w:rsid w:val="005F4656"/>
    <w:rsid w:val="005F465B"/>
    <w:rsid w:val="005F468C"/>
    <w:rsid w:val="005F46A9"/>
    <w:rsid w:val="005F46E8"/>
    <w:rsid w:val="005F4703"/>
    <w:rsid w:val="005F4722"/>
    <w:rsid w:val="005F4759"/>
    <w:rsid w:val="005F476D"/>
    <w:rsid w:val="005F47AF"/>
    <w:rsid w:val="005F47F8"/>
    <w:rsid w:val="005F480D"/>
    <w:rsid w:val="005F4893"/>
    <w:rsid w:val="005F48C4"/>
    <w:rsid w:val="005F48CF"/>
    <w:rsid w:val="005F48D0"/>
    <w:rsid w:val="005F48F4"/>
    <w:rsid w:val="005F4930"/>
    <w:rsid w:val="005F4942"/>
    <w:rsid w:val="005F4944"/>
    <w:rsid w:val="005F4960"/>
    <w:rsid w:val="005F499F"/>
    <w:rsid w:val="005F49E8"/>
    <w:rsid w:val="005F4A50"/>
    <w:rsid w:val="005F4ACC"/>
    <w:rsid w:val="005F4B57"/>
    <w:rsid w:val="005F4B89"/>
    <w:rsid w:val="005F4B9B"/>
    <w:rsid w:val="005F4BD8"/>
    <w:rsid w:val="005F4BDB"/>
    <w:rsid w:val="005F4BF6"/>
    <w:rsid w:val="005F4C0D"/>
    <w:rsid w:val="005F4C44"/>
    <w:rsid w:val="005F4C55"/>
    <w:rsid w:val="005F4C6B"/>
    <w:rsid w:val="005F4C91"/>
    <w:rsid w:val="005F4CA8"/>
    <w:rsid w:val="005F4CE7"/>
    <w:rsid w:val="005F4D25"/>
    <w:rsid w:val="005F4D60"/>
    <w:rsid w:val="005F4D99"/>
    <w:rsid w:val="005F4DB6"/>
    <w:rsid w:val="005F4DC0"/>
    <w:rsid w:val="005F4DD5"/>
    <w:rsid w:val="005F4E26"/>
    <w:rsid w:val="005F4E58"/>
    <w:rsid w:val="005F4E6B"/>
    <w:rsid w:val="005F4E86"/>
    <w:rsid w:val="005F4EB8"/>
    <w:rsid w:val="005F4F0A"/>
    <w:rsid w:val="005F4F10"/>
    <w:rsid w:val="005F4F22"/>
    <w:rsid w:val="005F4F2A"/>
    <w:rsid w:val="005F4F2C"/>
    <w:rsid w:val="005F4F6A"/>
    <w:rsid w:val="005F50AE"/>
    <w:rsid w:val="005F50CA"/>
    <w:rsid w:val="005F50DB"/>
    <w:rsid w:val="005F50E8"/>
    <w:rsid w:val="005F50FF"/>
    <w:rsid w:val="005F5117"/>
    <w:rsid w:val="005F511A"/>
    <w:rsid w:val="005F5152"/>
    <w:rsid w:val="005F515E"/>
    <w:rsid w:val="005F5185"/>
    <w:rsid w:val="005F51BE"/>
    <w:rsid w:val="005F51D0"/>
    <w:rsid w:val="005F51F5"/>
    <w:rsid w:val="005F521A"/>
    <w:rsid w:val="005F5263"/>
    <w:rsid w:val="005F526B"/>
    <w:rsid w:val="005F5270"/>
    <w:rsid w:val="005F5288"/>
    <w:rsid w:val="005F52B0"/>
    <w:rsid w:val="005F52D6"/>
    <w:rsid w:val="005F52D7"/>
    <w:rsid w:val="005F52F9"/>
    <w:rsid w:val="005F5302"/>
    <w:rsid w:val="005F5386"/>
    <w:rsid w:val="005F5439"/>
    <w:rsid w:val="005F5448"/>
    <w:rsid w:val="005F544F"/>
    <w:rsid w:val="005F545D"/>
    <w:rsid w:val="005F54BE"/>
    <w:rsid w:val="005F54C0"/>
    <w:rsid w:val="005F550A"/>
    <w:rsid w:val="005F5517"/>
    <w:rsid w:val="005F5528"/>
    <w:rsid w:val="005F5537"/>
    <w:rsid w:val="005F557E"/>
    <w:rsid w:val="005F558D"/>
    <w:rsid w:val="005F55A0"/>
    <w:rsid w:val="005F55A5"/>
    <w:rsid w:val="005F55AA"/>
    <w:rsid w:val="005F55AB"/>
    <w:rsid w:val="005F55AF"/>
    <w:rsid w:val="005F55B7"/>
    <w:rsid w:val="005F55D7"/>
    <w:rsid w:val="005F55E9"/>
    <w:rsid w:val="005F55F6"/>
    <w:rsid w:val="005F5630"/>
    <w:rsid w:val="005F5659"/>
    <w:rsid w:val="005F56B1"/>
    <w:rsid w:val="005F56ED"/>
    <w:rsid w:val="005F56FE"/>
    <w:rsid w:val="005F5715"/>
    <w:rsid w:val="005F5757"/>
    <w:rsid w:val="005F577B"/>
    <w:rsid w:val="005F57DF"/>
    <w:rsid w:val="005F57EB"/>
    <w:rsid w:val="005F57F1"/>
    <w:rsid w:val="005F5832"/>
    <w:rsid w:val="005F5869"/>
    <w:rsid w:val="005F587D"/>
    <w:rsid w:val="005F58A0"/>
    <w:rsid w:val="005F5963"/>
    <w:rsid w:val="005F599B"/>
    <w:rsid w:val="005F59A2"/>
    <w:rsid w:val="005F59B0"/>
    <w:rsid w:val="005F59E3"/>
    <w:rsid w:val="005F5A36"/>
    <w:rsid w:val="005F5AB2"/>
    <w:rsid w:val="005F5ABD"/>
    <w:rsid w:val="005F5AC5"/>
    <w:rsid w:val="005F5AFB"/>
    <w:rsid w:val="005F5B85"/>
    <w:rsid w:val="005F5B97"/>
    <w:rsid w:val="005F5B9E"/>
    <w:rsid w:val="005F5BAD"/>
    <w:rsid w:val="005F5BC2"/>
    <w:rsid w:val="005F5BC9"/>
    <w:rsid w:val="005F5BCB"/>
    <w:rsid w:val="005F5C22"/>
    <w:rsid w:val="005F5C9B"/>
    <w:rsid w:val="005F5CA3"/>
    <w:rsid w:val="005F5CB9"/>
    <w:rsid w:val="005F5CCD"/>
    <w:rsid w:val="005F5CE5"/>
    <w:rsid w:val="005F5D32"/>
    <w:rsid w:val="005F5D5E"/>
    <w:rsid w:val="005F5D63"/>
    <w:rsid w:val="005F5DD2"/>
    <w:rsid w:val="005F5DEB"/>
    <w:rsid w:val="005F5E15"/>
    <w:rsid w:val="005F5E47"/>
    <w:rsid w:val="005F5E69"/>
    <w:rsid w:val="005F5EA9"/>
    <w:rsid w:val="005F5ECF"/>
    <w:rsid w:val="005F5ED9"/>
    <w:rsid w:val="005F5F5E"/>
    <w:rsid w:val="005F6027"/>
    <w:rsid w:val="005F6033"/>
    <w:rsid w:val="005F6056"/>
    <w:rsid w:val="005F6099"/>
    <w:rsid w:val="005F60A1"/>
    <w:rsid w:val="005F612C"/>
    <w:rsid w:val="005F6137"/>
    <w:rsid w:val="005F6147"/>
    <w:rsid w:val="005F614E"/>
    <w:rsid w:val="005F617D"/>
    <w:rsid w:val="005F6184"/>
    <w:rsid w:val="005F61EE"/>
    <w:rsid w:val="005F61FD"/>
    <w:rsid w:val="005F621F"/>
    <w:rsid w:val="005F62FD"/>
    <w:rsid w:val="005F633A"/>
    <w:rsid w:val="005F635F"/>
    <w:rsid w:val="005F6389"/>
    <w:rsid w:val="005F63A0"/>
    <w:rsid w:val="005F63AA"/>
    <w:rsid w:val="005F63AC"/>
    <w:rsid w:val="005F640A"/>
    <w:rsid w:val="005F6434"/>
    <w:rsid w:val="005F6441"/>
    <w:rsid w:val="005F6457"/>
    <w:rsid w:val="005F64AD"/>
    <w:rsid w:val="005F6544"/>
    <w:rsid w:val="005F6550"/>
    <w:rsid w:val="005F65C6"/>
    <w:rsid w:val="005F661C"/>
    <w:rsid w:val="005F663B"/>
    <w:rsid w:val="005F6648"/>
    <w:rsid w:val="005F6687"/>
    <w:rsid w:val="005F6690"/>
    <w:rsid w:val="005F6693"/>
    <w:rsid w:val="005F66B1"/>
    <w:rsid w:val="005F66B3"/>
    <w:rsid w:val="005F66C4"/>
    <w:rsid w:val="005F66D1"/>
    <w:rsid w:val="005F66D7"/>
    <w:rsid w:val="005F670E"/>
    <w:rsid w:val="005F6713"/>
    <w:rsid w:val="005F6733"/>
    <w:rsid w:val="005F675F"/>
    <w:rsid w:val="005F6829"/>
    <w:rsid w:val="005F68D4"/>
    <w:rsid w:val="005F68E0"/>
    <w:rsid w:val="005F6929"/>
    <w:rsid w:val="005F6933"/>
    <w:rsid w:val="005F6956"/>
    <w:rsid w:val="005F6976"/>
    <w:rsid w:val="005F698C"/>
    <w:rsid w:val="005F699D"/>
    <w:rsid w:val="005F69AC"/>
    <w:rsid w:val="005F6A07"/>
    <w:rsid w:val="005F6A0F"/>
    <w:rsid w:val="005F6A3B"/>
    <w:rsid w:val="005F6A50"/>
    <w:rsid w:val="005F6A90"/>
    <w:rsid w:val="005F6A94"/>
    <w:rsid w:val="005F6AAB"/>
    <w:rsid w:val="005F6AFD"/>
    <w:rsid w:val="005F6B4F"/>
    <w:rsid w:val="005F6B7D"/>
    <w:rsid w:val="005F6BF3"/>
    <w:rsid w:val="005F6C01"/>
    <w:rsid w:val="005F6C10"/>
    <w:rsid w:val="005F6C39"/>
    <w:rsid w:val="005F6C83"/>
    <w:rsid w:val="005F6D39"/>
    <w:rsid w:val="005F6D75"/>
    <w:rsid w:val="005F6D84"/>
    <w:rsid w:val="005F6D87"/>
    <w:rsid w:val="005F6D9B"/>
    <w:rsid w:val="005F6DEC"/>
    <w:rsid w:val="005F6E21"/>
    <w:rsid w:val="005F6E38"/>
    <w:rsid w:val="005F6E58"/>
    <w:rsid w:val="005F6EFA"/>
    <w:rsid w:val="005F6F1F"/>
    <w:rsid w:val="005F6F28"/>
    <w:rsid w:val="005F6F55"/>
    <w:rsid w:val="005F6F75"/>
    <w:rsid w:val="005F6F8B"/>
    <w:rsid w:val="005F6FA5"/>
    <w:rsid w:val="005F6FA6"/>
    <w:rsid w:val="005F6FBE"/>
    <w:rsid w:val="005F700F"/>
    <w:rsid w:val="005F703C"/>
    <w:rsid w:val="005F7047"/>
    <w:rsid w:val="005F7057"/>
    <w:rsid w:val="005F7074"/>
    <w:rsid w:val="005F70C8"/>
    <w:rsid w:val="005F70D6"/>
    <w:rsid w:val="005F70E0"/>
    <w:rsid w:val="005F7100"/>
    <w:rsid w:val="005F7131"/>
    <w:rsid w:val="005F722B"/>
    <w:rsid w:val="005F7277"/>
    <w:rsid w:val="005F7287"/>
    <w:rsid w:val="005F72C6"/>
    <w:rsid w:val="005F72CB"/>
    <w:rsid w:val="005F72CF"/>
    <w:rsid w:val="005F72E6"/>
    <w:rsid w:val="005F72E8"/>
    <w:rsid w:val="005F7346"/>
    <w:rsid w:val="005F7359"/>
    <w:rsid w:val="005F73C4"/>
    <w:rsid w:val="005F7439"/>
    <w:rsid w:val="005F743D"/>
    <w:rsid w:val="005F74B6"/>
    <w:rsid w:val="005F74D0"/>
    <w:rsid w:val="005F74D5"/>
    <w:rsid w:val="005F7515"/>
    <w:rsid w:val="005F7564"/>
    <w:rsid w:val="005F756A"/>
    <w:rsid w:val="005F7572"/>
    <w:rsid w:val="005F758B"/>
    <w:rsid w:val="005F75C6"/>
    <w:rsid w:val="005F75D0"/>
    <w:rsid w:val="005F75D2"/>
    <w:rsid w:val="005F75D4"/>
    <w:rsid w:val="005F7607"/>
    <w:rsid w:val="005F763C"/>
    <w:rsid w:val="005F7685"/>
    <w:rsid w:val="005F772D"/>
    <w:rsid w:val="005F7742"/>
    <w:rsid w:val="005F774E"/>
    <w:rsid w:val="005F7861"/>
    <w:rsid w:val="005F7862"/>
    <w:rsid w:val="005F786E"/>
    <w:rsid w:val="005F7883"/>
    <w:rsid w:val="005F7898"/>
    <w:rsid w:val="005F78C7"/>
    <w:rsid w:val="005F78DA"/>
    <w:rsid w:val="005F7903"/>
    <w:rsid w:val="005F7933"/>
    <w:rsid w:val="005F794C"/>
    <w:rsid w:val="005F799B"/>
    <w:rsid w:val="005F79BF"/>
    <w:rsid w:val="005F79C0"/>
    <w:rsid w:val="005F79CC"/>
    <w:rsid w:val="005F7A8A"/>
    <w:rsid w:val="005F7A9F"/>
    <w:rsid w:val="005F7AB6"/>
    <w:rsid w:val="005F7B2B"/>
    <w:rsid w:val="005F7B2F"/>
    <w:rsid w:val="005F7B63"/>
    <w:rsid w:val="005F7BC0"/>
    <w:rsid w:val="005F7BD0"/>
    <w:rsid w:val="005F7BE9"/>
    <w:rsid w:val="005F7BF2"/>
    <w:rsid w:val="005F7C00"/>
    <w:rsid w:val="005F7C24"/>
    <w:rsid w:val="005F7C2A"/>
    <w:rsid w:val="005F7C4F"/>
    <w:rsid w:val="005F7CB7"/>
    <w:rsid w:val="005F7CEE"/>
    <w:rsid w:val="005F7CFA"/>
    <w:rsid w:val="005F7D06"/>
    <w:rsid w:val="005F7D3C"/>
    <w:rsid w:val="005F7D73"/>
    <w:rsid w:val="005F7E0E"/>
    <w:rsid w:val="005F7E19"/>
    <w:rsid w:val="005F7E32"/>
    <w:rsid w:val="005F7E50"/>
    <w:rsid w:val="005F7E69"/>
    <w:rsid w:val="005F7E76"/>
    <w:rsid w:val="005F7E7F"/>
    <w:rsid w:val="005F7EA2"/>
    <w:rsid w:val="005F7EAC"/>
    <w:rsid w:val="005F7EAD"/>
    <w:rsid w:val="005F7F25"/>
    <w:rsid w:val="005F7F87"/>
    <w:rsid w:val="005F7F93"/>
    <w:rsid w:val="005F7FB1"/>
    <w:rsid w:val="005F7FC5"/>
    <w:rsid w:val="005F7FCA"/>
    <w:rsid w:val="00600008"/>
    <w:rsid w:val="00600023"/>
    <w:rsid w:val="00600049"/>
    <w:rsid w:val="006000CA"/>
    <w:rsid w:val="00600133"/>
    <w:rsid w:val="0060019E"/>
    <w:rsid w:val="006001BE"/>
    <w:rsid w:val="006001C2"/>
    <w:rsid w:val="00600240"/>
    <w:rsid w:val="0060027D"/>
    <w:rsid w:val="0060028F"/>
    <w:rsid w:val="006002A0"/>
    <w:rsid w:val="006002A5"/>
    <w:rsid w:val="006002CC"/>
    <w:rsid w:val="006002D0"/>
    <w:rsid w:val="006002F6"/>
    <w:rsid w:val="00600300"/>
    <w:rsid w:val="0060032C"/>
    <w:rsid w:val="00600364"/>
    <w:rsid w:val="0060036E"/>
    <w:rsid w:val="006003B1"/>
    <w:rsid w:val="006003F8"/>
    <w:rsid w:val="0060041C"/>
    <w:rsid w:val="00600435"/>
    <w:rsid w:val="0060043D"/>
    <w:rsid w:val="00600459"/>
    <w:rsid w:val="00600480"/>
    <w:rsid w:val="006004A1"/>
    <w:rsid w:val="00600528"/>
    <w:rsid w:val="00600539"/>
    <w:rsid w:val="0060056E"/>
    <w:rsid w:val="0060057B"/>
    <w:rsid w:val="0060058D"/>
    <w:rsid w:val="006005AE"/>
    <w:rsid w:val="006005E3"/>
    <w:rsid w:val="00600648"/>
    <w:rsid w:val="0060065A"/>
    <w:rsid w:val="00600683"/>
    <w:rsid w:val="00600690"/>
    <w:rsid w:val="00600696"/>
    <w:rsid w:val="00600701"/>
    <w:rsid w:val="0060070A"/>
    <w:rsid w:val="00600740"/>
    <w:rsid w:val="0060075B"/>
    <w:rsid w:val="0060082F"/>
    <w:rsid w:val="00600847"/>
    <w:rsid w:val="006008C3"/>
    <w:rsid w:val="006008EA"/>
    <w:rsid w:val="00600919"/>
    <w:rsid w:val="00600935"/>
    <w:rsid w:val="006009A7"/>
    <w:rsid w:val="006009E2"/>
    <w:rsid w:val="006009F8"/>
    <w:rsid w:val="00600A18"/>
    <w:rsid w:val="00600ACD"/>
    <w:rsid w:val="00600B10"/>
    <w:rsid w:val="00600B30"/>
    <w:rsid w:val="00600B3D"/>
    <w:rsid w:val="00600B6C"/>
    <w:rsid w:val="00600BBE"/>
    <w:rsid w:val="00600BCD"/>
    <w:rsid w:val="00600BFA"/>
    <w:rsid w:val="00600C55"/>
    <w:rsid w:val="00600C58"/>
    <w:rsid w:val="00600C8D"/>
    <w:rsid w:val="00600C91"/>
    <w:rsid w:val="00600D07"/>
    <w:rsid w:val="00600D29"/>
    <w:rsid w:val="00600D70"/>
    <w:rsid w:val="00600D99"/>
    <w:rsid w:val="00600DF9"/>
    <w:rsid w:val="00600DFE"/>
    <w:rsid w:val="00600E31"/>
    <w:rsid w:val="00600E56"/>
    <w:rsid w:val="00600E6C"/>
    <w:rsid w:val="00600E70"/>
    <w:rsid w:val="00600EB1"/>
    <w:rsid w:val="00600EF6"/>
    <w:rsid w:val="00600EF8"/>
    <w:rsid w:val="00600FD4"/>
    <w:rsid w:val="00600FE2"/>
    <w:rsid w:val="00600FE4"/>
    <w:rsid w:val="00600FFB"/>
    <w:rsid w:val="00601002"/>
    <w:rsid w:val="0060103B"/>
    <w:rsid w:val="0060105A"/>
    <w:rsid w:val="0060107E"/>
    <w:rsid w:val="0060108B"/>
    <w:rsid w:val="0060109B"/>
    <w:rsid w:val="006010D7"/>
    <w:rsid w:val="006010FA"/>
    <w:rsid w:val="006011A3"/>
    <w:rsid w:val="00601240"/>
    <w:rsid w:val="0060127A"/>
    <w:rsid w:val="006012A9"/>
    <w:rsid w:val="006012BD"/>
    <w:rsid w:val="006012F4"/>
    <w:rsid w:val="0060130B"/>
    <w:rsid w:val="0060130D"/>
    <w:rsid w:val="006013AB"/>
    <w:rsid w:val="00601402"/>
    <w:rsid w:val="0060140A"/>
    <w:rsid w:val="00601426"/>
    <w:rsid w:val="00601438"/>
    <w:rsid w:val="00601443"/>
    <w:rsid w:val="0060148A"/>
    <w:rsid w:val="00601509"/>
    <w:rsid w:val="00601567"/>
    <w:rsid w:val="00601583"/>
    <w:rsid w:val="006015CF"/>
    <w:rsid w:val="006015FE"/>
    <w:rsid w:val="00601606"/>
    <w:rsid w:val="0060164D"/>
    <w:rsid w:val="00601671"/>
    <w:rsid w:val="006016B8"/>
    <w:rsid w:val="006016FB"/>
    <w:rsid w:val="006017A8"/>
    <w:rsid w:val="006017C1"/>
    <w:rsid w:val="00601871"/>
    <w:rsid w:val="006018AA"/>
    <w:rsid w:val="006018AB"/>
    <w:rsid w:val="006018AC"/>
    <w:rsid w:val="006018BE"/>
    <w:rsid w:val="006018CD"/>
    <w:rsid w:val="006018D7"/>
    <w:rsid w:val="0060191E"/>
    <w:rsid w:val="0060196F"/>
    <w:rsid w:val="00601977"/>
    <w:rsid w:val="006019A9"/>
    <w:rsid w:val="006019C7"/>
    <w:rsid w:val="00601A20"/>
    <w:rsid w:val="00601A3F"/>
    <w:rsid w:val="00601A4F"/>
    <w:rsid w:val="00601A5A"/>
    <w:rsid w:val="00601A80"/>
    <w:rsid w:val="00601A92"/>
    <w:rsid w:val="00601AA4"/>
    <w:rsid w:val="00601AF3"/>
    <w:rsid w:val="00601AFA"/>
    <w:rsid w:val="00601B24"/>
    <w:rsid w:val="00601B30"/>
    <w:rsid w:val="00601B45"/>
    <w:rsid w:val="00601B74"/>
    <w:rsid w:val="00601B7A"/>
    <w:rsid w:val="00601B9E"/>
    <w:rsid w:val="00601BA8"/>
    <w:rsid w:val="00601BB7"/>
    <w:rsid w:val="00601C6E"/>
    <w:rsid w:val="00601C6F"/>
    <w:rsid w:val="00601C74"/>
    <w:rsid w:val="00601C79"/>
    <w:rsid w:val="00601C94"/>
    <w:rsid w:val="00601CA2"/>
    <w:rsid w:val="00601CCE"/>
    <w:rsid w:val="00601CCF"/>
    <w:rsid w:val="00601CD3"/>
    <w:rsid w:val="00601CDE"/>
    <w:rsid w:val="00601D06"/>
    <w:rsid w:val="00601D0E"/>
    <w:rsid w:val="00601D64"/>
    <w:rsid w:val="00601D94"/>
    <w:rsid w:val="00601DD1"/>
    <w:rsid w:val="00601DDA"/>
    <w:rsid w:val="00601E42"/>
    <w:rsid w:val="00601EB3"/>
    <w:rsid w:val="00601ECE"/>
    <w:rsid w:val="00601EEA"/>
    <w:rsid w:val="00601F3F"/>
    <w:rsid w:val="00602050"/>
    <w:rsid w:val="00602051"/>
    <w:rsid w:val="00602083"/>
    <w:rsid w:val="00602109"/>
    <w:rsid w:val="00602119"/>
    <w:rsid w:val="00602125"/>
    <w:rsid w:val="00602163"/>
    <w:rsid w:val="00602165"/>
    <w:rsid w:val="00602182"/>
    <w:rsid w:val="0060220E"/>
    <w:rsid w:val="00602218"/>
    <w:rsid w:val="00602262"/>
    <w:rsid w:val="00602265"/>
    <w:rsid w:val="006022A7"/>
    <w:rsid w:val="006022AB"/>
    <w:rsid w:val="006022B5"/>
    <w:rsid w:val="006022D0"/>
    <w:rsid w:val="00602318"/>
    <w:rsid w:val="0060233D"/>
    <w:rsid w:val="0060235E"/>
    <w:rsid w:val="00602397"/>
    <w:rsid w:val="006023B7"/>
    <w:rsid w:val="006023C5"/>
    <w:rsid w:val="0060241B"/>
    <w:rsid w:val="0060244F"/>
    <w:rsid w:val="00602450"/>
    <w:rsid w:val="0060245D"/>
    <w:rsid w:val="00602491"/>
    <w:rsid w:val="0060249F"/>
    <w:rsid w:val="006024A6"/>
    <w:rsid w:val="006024C6"/>
    <w:rsid w:val="006024C9"/>
    <w:rsid w:val="00602523"/>
    <w:rsid w:val="0060257A"/>
    <w:rsid w:val="00602582"/>
    <w:rsid w:val="006025B9"/>
    <w:rsid w:val="006025EF"/>
    <w:rsid w:val="0060260F"/>
    <w:rsid w:val="0060268B"/>
    <w:rsid w:val="00602698"/>
    <w:rsid w:val="00602699"/>
    <w:rsid w:val="006026A1"/>
    <w:rsid w:val="006026E9"/>
    <w:rsid w:val="006027DE"/>
    <w:rsid w:val="006027E1"/>
    <w:rsid w:val="00602862"/>
    <w:rsid w:val="00602879"/>
    <w:rsid w:val="006028AC"/>
    <w:rsid w:val="006028CC"/>
    <w:rsid w:val="006028E8"/>
    <w:rsid w:val="00602921"/>
    <w:rsid w:val="00602925"/>
    <w:rsid w:val="006029B3"/>
    <w:rsid w:val="00602A1C"/>
    <w:rsid w:val="00602A36"/>
    <w:rsid w:val="00602A51"/>
    <w:rsid w:val="00602A75"/>
    <w:rsid w:val="00602A8E"/>
    <w:rsid w:val="00602A96"/>
    <w:rsid w:val="00602AC3"/>
    <w:rsid w:val="00602ADB"/>
    <w:rsid w:val="00602AE5"/>
    <w:rsid w:val="00602BD1"/>
    <w:rsid w:val="00602BDA"/>
    <w:rsid w:val="00602BF3"/>
    <w:rsid w:val="00602BF6"/>
    <w:rsid w:val="00602BFD"/>
    <w:rsid w:val="00602C15"/>
    <w:rsid w:val="00602C2F"/>
    <w:rsid w:val="00602C7A"/>
    <w:rsid w:val="00602C9F"/>
    <w:rsid w:val="00602CAD"/>
    <w:rsid w:val="00602CC8"/>
    <w:rsid w:val="00602CE9"/>
    <w:rsid w:val="00602D2A"/>
    <w:rsid w:val="00602D76"/>
    <w:rsid w:val="00602D7C"/>
    <w:rsid w:val="00602DA8"/>
    <w:rsid w:val="00602DCB"/>
    <w:rsid w:val="00602DD1"/>
    <w:rsid w:val="00602E12"/>
    <w:rsid w:val="00602E40"/>
    <w:rsid w:val="00602E4E"/>
    <w:rsid w:val="00602E75"/>
    <w:rsid w:val="00602E7B"/>
    <w:rsid w:val="00602EB1"/>
    <w:rsid w:val="00602F5E"/>
    <w:rsid w:val="00602F6A"/>
    <w:rsid w:val="00602FB1"/>
    <w:rsid w:val="00602FD6"/>
    <w:rsid w:val="00602FDA"/>
    <w:rsid w:val="00603000"/>
    <w:rsid w:val="00603022"/>
    <w:rsid w:val="00603033"/>
    <w:rsid w:val="00603039"/>
    <w:rsid w:val="00603053"/>
    <w:rsid w:val="00603096"/>
    <w:rsid w:val="006030AF"/>
    <w:rsid w:val="006030F2"/>
    <w:rsid w:val="0060324D"/>
    <w:rsid w:val="0060326C"/>
    <w:rsid w:val="006032C7"/>
    <w:rsid w:val="00603309"/>
    <w:rsid w:val="00603409"/>
    <w:rsid w:val="00603432"/>
    <w:rsid w:val="0060346B"/>
    <w:rsid w:val="006034B7"/>
    <w:rsid w:val="00603506"/>
    <w:rsid w:val="0060351C"/>
    <w:rsid w:val="006035B1"/>
    <w:rsid w:val="00603638"/>
    <w:rsid w:val="00603680"/>
    <w:rsid w:val="006036C6"/>
    <w:rsid w:val="006036FA"/>
    <w:rsid w:val="00603712"/>
    <w:rsid w:val="00603721"/>
    <w:rsid w:val="00603740"/>
    <w:rsid w:val="00603761"/>
    <w:rsid w:val="006037A6"/>
    <w:rsid w:val="006037AA"/>
    <w:rsid w:val="00603804"/>
    <w:rsid w:val="00603811"/>
    <w:rsid w:val="00603825"/>
    <w:rsid w:val="006038BD"/>
    <w:rsid w:val="006038D3"/>
    <w:rsid w:val="0060391A"/>
    <w:rsid w:val="00603923"/>
    <w:rsid w:val="006039A5"/>
    <w:rsid w:val="006039AE"/>
    <w:rsid w:val="006039E2"/>
    <w:rsid w:val="00603A53"/>
    <w:rsid w:val="00603A5D"/>
    <w:rsid w:val="00603A66"/>
    <w:rsid w:val="00603A7B"/>
    <w:rsid w:val="00603AEF"/>
    <w:rsid w:val="00603B3D"/>
    <w:rsid w:val="00603B79"/>
    <w:rsid w:val="00603BA0"/>
    <w:rsid w:val="00603BC0"/>
    <w:rsid w:val="00603BC2"/>
    <w:rsid w:val="00603C06"/>
    <w:rsid w:val="00603C22"/>
    <w:rsid w:val="00603C95"/>
    <w:rsid w:val="00603D10"/>
    <w:rsid w:val="00603D46"/>
    <w:rsid w:val="00603DA0"/>
    <w:rsid w:val="00603DAD"/>
    <w:rsid w:val="00603DF7"/>
    <w:rsid w:val="00603E0C"/>
    <w:rsid w:val="00603E40"/>
    <w:rsid w:val="00603E41"/>
    <w:rsid w:val="00603E76"/>
    <w:rsid w:val="00603E8B"/>
    <w:rsid w:val="00603ECC"/>
    <w:rsid w:val="00603ED4"/>
    <w:rsid w:val="00603EF3"/>
    <w:rsid w:val="00603F89"/>
    <w:rsid w:val="00603F8A"/>
    <w:rsid w:val="00603F8C"/>
    <w:rsid w:val="00603FDB"/>
    <w:rsid w:val="00603FFD"/>
    <w:rsid w:val="0060402C"/>
    <w:rsid w:val="00604041"/>
    <w:rsid w:val="0060404F"/>
    <w:rsid w:val="0060407C"/>
    <w:rsid w:val="0060414E"/>
    <w:rsid w:val="00604191"/>
    <w:rsid w:val="006041A0"/>
    <w:rsid w:val="006041CB"/>
    <w:rsid w:val="006041D0"/>
    <w:rsid w:val="00604249"/>
    <w:rsid w:val="00604259"/>
    <w:rsid w:val="006042C6"/>
    <w:rsid w:val="006042EC"/>
    <w:rsid w:val="006042FC"/>
    <w:rsid w:val="00604300"/>
    <w:rsid w:val="0060430C"/>
    <w:rsid w:val="00604316"/>
    <w:rsid w:val="0060431B"/>
    <w:rsid w:val="00604345"/>
    <w:rsid w:val="0060435B"/>
    <w:rsid w:val="006043A5"/>
    <w:rsid w:val="006043CF"/>
    <w:rsid w:val="00604401"/>
    <w:rsid w:val="00604447"/>
    <w:rsid w:val="0060449C"/>
    <w:rsid w:val="006044A0"/>
    <w:rsid w:val="006044C3"/>
    <w:rsid w:val="006044CC"/>
    <w:rsid w:val="00604536"/>
    <w:rsid w:val="00604548"/>
    <w:rsid w:val="00604557"/>
    <w:rsid w:val="00604569"/>
    <w:rsid w:val="00604573"/>
    <w:rsid w:val="0060457F"/>
    <w:rsid w:val="006045E2"/>
    <w:rsid w:val="006045E9"/>
    <w:rsid w:val="00604611"/>
    <w:rsid w:val="0060461D"/>
    <w:rsid w:val="0060467D"/>
    <w:rsid w:val="00604688"/>
    <w:rsid w:val="0060468B"/>
    <w:rsid w:val="00604695"/>
    <w:rsid w:val="006046A8"/>
    <w:rsid w:val="0060475C"/>
    <w:rsid w:val="0060476B"/>
    <w:rsid w:val="0060477D"/>
    <w:rsid w:val="0060477F"/>
    <w:rsid w:val="00604843"/>
    <w:rsid w:val="00604854"/>
    <w:rsid w:val="0060486A"/>
    <w:rsid w:val="006048A4"/>
    <w:rsid w:val="006048AA"/>
    <w:rsid w:val="006048BD"/>
    <w:rsid w:val="006048D2"/>
    <w:rsid w:val="00604908"/>
    <w:rsid w:val="0060490E"/>
    <w:rsid w:val="00604915"/>
    <w:rsid w:val="0060493A"/>
    <w:rsid w:val="00604964"/>
    <w:rsid w:val="0060497E"/>
    <w:rsid w:val="00604996"/>
    <w:rsid w:val="006049B2"/>
    <w:rsid w:val="006049C8"/>
    <w:rsid w:val="00604A03"/>
    <w:rsid w:val="00604A37"/>
    <w:rsid w:val="00604A69"/>
    <w:rsid w:val="00604A7B"/>
    <w:rsid w:val="00604AA9"/>
    <w:rsid w:val="00604AB0"/>
    <w:rsid w:val="00604AE7"/>
    <w:rsid w:val="00604B84"/>
    <w:rsid w:val="00604BE6"/>
    <w:rsid w:val="00604BE9"/>
    <w:rsid w:val="00604C2F"/>
    <w:rsid w:val="00604C95"/>
    <w:rsid w:val="00604C9F"/>
    <w:rsid w:val="00604CB2"/>
    <w:rsid w:val="00604CBC"/>
    <w:rsid w:val="00604CD6"/>
    <w:rsid w:val="00604CE9"/>
    <w:rsid w:val="00604D00"/>
    <w:rsid w:val="00604D5B"/>
    <w:rsid w:val="00604D72"/>
    <w:rsid w:val="00604D7E"/>
    <w:rsid w:val="00604DAC"/>
    <w:rsid w:val="00604DEF"/>
    <w:rsid w:val="00604E1F"/>
    <w:rsid w:val="00604E3C"/>
    <w:rsid w:val="00604E3E"/>
    <w:rsid w:val="00604E8D"/>
    <w:rsid w:val="00604EB4"/>
    <w:rsid w:val="00604F01"/>
    <w:rsid w:val="00604F22"/>
    <w:rsid w:val="00604F6C"/>
    <w:rsid w:val="00604F7C"/>
    <w:rsid w:val="00604F91"/>
    <w:rsid w:val="00604FC8"/>
    <w:rsid w:val="00604FD5"/>
    <w:rsid w:val="00604FE8"/>
    <w:rsid w:val="00604FF9"/>
    <w:rsid w:val="00605015"/>
    <w:rsid w:val="006050C2"/>
    <w:rsid w:val="006050CD"/>
    <w:rsid w:val="006050D8"/>
    <w:rsid w:val="006050FC"/>
    <w:rsid w:val="00605101"/>
    <w:rsid w:val="00605185"/>
    <w:rsid w:val="006051A6"/>
    <w:rsid w:val="006051B9"/>
    <w:rsid w:val="006051C1"/>
    <w:rsid w:val="00605211"/>
    <w:rsid w:val="0060525F"/>
    <w:rsid w:val="006052C2"/>
    <w:rsid w:val="006052D2"/>
    <w:rsid w:val="006052E1"/>
    <w:rsid w:val="0060533D"/>
    <w:rsid w:val="00605350"/>
    <w:rsid w:val="006053C7"/>
    <w:rsid w:val="006053CB"/>
    <w:rsid w:val="006053D2"/>
    <w:rsid w:val="006053E5"/>
    <w:rsid w:val="006053F1"/>
    <w:rsid w:val="006053F4"/>
    <w:rsid w:val="00605455"/>
    <w:rsid w:val="00605497"/>
    <w:rsid w:val="006054B8"/>
    <w:rsid w:val="006054F0"/>
    <w:rsid w:val="006054F6"/>
    <w:rsid w:val="006054F9"/>
    <w:rsid w:val="00605596"/>
    <w:rsid w:val="0060559A"/>
    <w:rsid w:val="006055DF"/>
    <w:rsid w:val="00605600"/>
    <w:rsid w:val="00605620"/>
    <w:rsid w:val="0060563A"/>
    <w:rsid w:val="0060564A"/>
    <w:rsid w:val="006056D1"/>
    <w:rsid w:val="006056E2"/>
    <w:rsid w:val="006056F4"/>
    <w:rsid w:val="0060571C"/>
    <w:rsid w:val="00605767"/>
    <w:rsid w:val="00605792"/>
    <w:rsid w:val="006057A8"/>
    <w:rsid w:val="006057E7"/>
    <w:rsid w:val="006057EF"/>
    <w:rsid w:val="0060583E"/>
    <w:rsid w:val="00605895"/>
    <w:rsid w:val="006058B7"/>
    <w:rsid w:val="006058F1"/>
    <w:rsid w:val="006058FA"/>
    <w:rsid w:val="00605908"/>
    <w:rsid w:val="00605918"/>
    <w:rsid w:val="00605948"/>
    <w:rsid w:val="0060596A"/>
    <w:rsid w:val="0060596D"/>
    <w:rsid w:val="0060597D"/>
    <w:rsid w:val="0060599C"/>
    <w:rsid w:val="006059AA"/>
    <w:rsid w:val="006059AB"/>
    <w:rsid w:val="006059CC"/>
    <w:rsid w:val="006059E4"/>
    <w:rsid w:val="006059F9"/>
    <w:rsid w:val="00605A44"/>
    <w:rsid w:val="00605A51"/>
    <w:rsid w:val="00605A5D"/>
    <w:rsid w:val="00605A60"/>
    <w:rsid w:val="00605A7F"/>
    <w:rsid w:val="00605A83"/>
    <w:rsid w:val="00605A94"/>
    <w:rsid w:val="00605ACD"/>
    <w:rsid w:val="00605AEB"/>
    <w:rsid w:val="00605B02"/>
    <w:rsid w:val="00605B06"/>
    <w:rsid w:val="00605B62"/>
    <w:rsid w:val="00605B7E"/>
    <w:rsid w:val="00605B96"/>
    <w:rsid w:val="00605BA0"/>
    <w:rsid w:val="00605BB1"/>
    <w:rsid w:val="00605C15"/>
    <w:rsid w:val="00605CC2"/>
    <w:rsid w:val="00605CCD"/>
    <w:rsid w:val="00605CFD"/>
    <w:rsid w:val="00605CFE"/>
    <w:rsid w:val="00605D00"/>
    <w:rsid w:val="00605D12"/>
    <w:rsid w:val="00605D2B"/>
    <w:rsid w:val="00605D6C"/>
    <w:rsid w:val="00605DFF"/>
    <w:rsid w:val="00605E12"/>
    <w:rsid w:val="00605E46"/>
    <w:rsid w:val="00605E64"/>
    <w:rsid w:val="00605E6B"/>
    <w:rsid w:val="00605F1E"/>
    <w:rsid w:val="00605F32"/>
    <w:rsid w:val="00605F35"/>
    <w:rsid w:val="00605F4B"/>
    <w:rsid w:val="00605F5B"/>
    <w:rsid w:val="00605F80"/>
    <w:rsid w:val="00605FDE"/>
    <w:rsid w:val="0060601C"/>
    <w:rsid w:val="00606025"/>
    <w:rsid w:val="0060605B"/>
    <w:rsid w:val="006060A7"/>
    <w:rsid w:val="006060AE"/>
    <w:rsid w:val="006060E2"/>
    <w:rsid w:val="006060E6"/>
    <w:rsid w:val="00606179"/>
    <w:rsid w:val="00606198"/>
    <w:rsid w:val="006061A6"/>
    <w:rsid w:val="006061A8"/>
    <w:rsid w:val="006061AA"/>
    <w:rsid w:val="006061B4"/>
    <w:rsid w:val="006061CF"/>
    <w:rsid w:val="00606202"/>
    <w:rsid w:val="0060620D"/>
    <w:rsid w:val="00606295"/>
    <w:rsid w:val="006062B4"/>
    <w:rsid w:val="006062B8"/>
    <w:rsid w:val="006062C2"/>
    <w:rsid w:val="00606328"/>
    <w:rsid w:val="00606346"/>
    <w:rsid w:val="00606349"/>
    <w:rsid w:val="00606378"/>
    <w:rsid w:val="00606379"/>
    <w:rsid w:val="0060639A"/>
    <w:rsid w:val="006063A4"/>
    <w:rsid w:val="006063AF"/>
    <w:rsid w:val="006063B7"/>
    <w:rsid w:val="006063C0"/>
    <w:rsid w:val="0060640E"/>
    <w:rsid w:val="00606428"/>
    <w:rsid w:val="0060642B"/>
    <w:rsid w:val="00606444"/>
    <w:rsid w:val="00606466"/>
    <w:rsid w:val="00606487"/>
    <w:rsid w:val="006064F0"/>
    <w:rsid w:val="006065A3"/>
    <w:rsid w:val="0060661F"/>
    <w:rsid w:val="0060663E"/>
    <w:rsid w:val="00606650"/>
    <w:rsid w:val="0060666C"/>
    <w:rsid w:val="00606670"/>
    <w:rsid w:val="0060668D"/>
    <w:rsid w:val="00606737"/>
    <w:rsid w:val="0060674E"/>
    <w:rsid w:val="00606774"/>
    <w:rsid w:val="00606793"/>
    <w:rsid w:val="006067CA"/>
    <w:rsid w:val="006067D1"/>
    <w:rsid w:val="006067D2"/>
    <w:rsid w:val="006067D9"/>
    <w:rsid w:val="0060681B"/>
    <w:rsid w:val="00606846"/>
    <w:rsid w:val="00606870"/>
    <w:rsid w:val="0060689A"/>
    <w:rsid w:val="0060689E"/>
    <w:rsid w:val="006068BD"/>
    <w:rsid w:val="006068CB"/>
    <w:rsid w:val="006068F0"/>
    <w:rsid w:val="006068FF"/>
    <w:rsid w:val="00606900"/>
    <w:rsid w:val="00606910"/>
    <w:rsid w:val="0060693D"/>
    <w:rsid w:val="0060695D"/>
    <w:rsid w:val="00606966"/>
    <w:rsid w:val="006069A1"/>
    <w:rsid w:val="006069AD"/>
    <w:rsid w:val="006069F8"/>
    <w:rsid w:val="00606A04"/>
    <w:rsid w:val="00606A2B"/>
    <w:rsid w:val="00606A78"/>
    <w:rsid w:val="00606ABB"/>
    <w:rsid w:val="00606B05"/>
    <w:rsid w:val="00606B73"/>
    <w:rsid w:val="00606B7D"/>
    <w:rsid w:val="00606BBD"/>
    <w:rsid w:val="00606BC6"/>
    <w:rsid w:val="00606BEF"/>
    <w:rsid w:val="00606C05"/>
    <w:rsid w:val="00606C0D"/>
    <w:rsid w:val="00606C19"/>
    <w:rsid w:val="00606C2C"/>
    <w:rsid w:val="00606CA8"/>
    <w:rsid w:val="00606CBD"/>
    <w:rsid w:val="00606CF1"/>
    <w:rsid w:val="00606D29"/>
    <w:rsid w:val="00606D62"/>
    <w:rsid w:val="00606D95"/>
    <w:rsid w:val="00606DA7"/>
    <w:rsid w:val="00606DB8"/>
    <w:rsid w:val="00606DC4"/>
    <w:rsid w:val="00606DFC"/>
    <w:rsid w:val="00606E08"/>
    <w:rsid w:val="00606E40"/>
    <w:rsid w:val="00606E83"/>
    <w:rsid w:val="00606E95"/>
    <w:rsid w:val="00606EB5"/>
    <w:rsid w:val="00606F09"/>
    <w:rsid w:val="00606F28"/>
    <w:rsid w:val="00606FCD"/>
    <w:rsid w:val="00606FD3"/>
    <w:rsid w:val="00606FD9"/>
    <w:rsid w:val="00607003"/>
    <w:rsid w:val="00607092"/>
    <w:rsid w:val="0060709D"/>
    <w:rsid w:val="006070AF"/>
    <w:rsid w:val="006070B5"/>
    <w:rsid w:val="006070ED"/>
    <w:rsid w:val="00607144"/>
    <w:rsid w:val="00607155"/>
    <w:rsid w:val="0060717E"/>
    <w:rsid w:val="006071B9"/>
    <w:rsid w:val="00607214"/>
    <w:rsid w:val="00607248"/>
    <w:rsid w:val="00607252"/>
    <w:rsid w:val="0060726E"/>
    <w:rsid w:val="00607298"/>
    <w:rsid w:val="006072B6"/>
    <w:rsid w:val="006072FB"/>
    <w:rsid w:val="0060731A"/>
    <w:rsid w:val="00607365"/>
    <w:rsid w:val="0060736B"/>
    <w:rsid w:val="0060739A"/>
    <w:rsid w:val="006073EA"/>
    <w:rsid w:val="0060740B"/>
    <w:rsid w:val="00607410"/>
    <w:rsid w:val="00607455"/>
    <w:rsid w:val="00607469"/>
    <w:rsid w:val="0060748B"/>
    <w:rsid w:val="0060749A"/>
    <w:rsid w:val="0060749B"/>
    <w:rsid w:val="0060757D"/>
    <w:rsid w:val="006075AE"/>
    <w:rsid w:val="006075D8"/>
    <w:rsid w:val="0060761D"/>
    <w:rsid w:val="0060762F"/>
    <w:rsid w:val="00607658"/>
    <w:rsid w:val="0060767A"/>
    <w:rsid w:val="00607697"/>
    <w:rsid w:val="006076D0"/>
    <w:rsid w:val="00607739"/>
    <w:rsid w:val="00607795"/>
    <w:rsid w:val="006077AC"/>
    <w:rsid w:val="006077B1"/>
    <w:rsid w:val="006077C5"/>
    <w:rsid w:val="006077E6"/>
    <w:rsid w:val="006077FB"/>
    <w:rsid w:val="0060780F"/>
    <w:rsid w:val="0060783A"/>
    <w:rsid w:val="0060783D"/>
    <w:rsid w:val="006078A5"/>
    <w:rsid w:val="006078D9"/>
    <w:rsid w:val="006078F0"/>
    <w:rsid w:val="006078F9"/>
    <w:rsid w:val="00607913"/>
    <w:rsid w:val="00607965"/>
    <w:rsid w:val="0060798C"/>
    <w:rsid w:val="0060799C"/>
    <w:rsid w:val="006079EB"/>
    <w:rsid w:val="00607B39"/>
    <w:rsid w:val="00607B4E"/>
    <w:rsid w:val="00607B64"/>
    <w:rsid w:val="00607B6F"/>
    <w:rsid w:val="00607B75"/>
    <w:rsid w:val="00607B79"/>
    <w:rsid w:val="00607BDE"/>
    <w:rsid w:val="00607BE2"/>
    <w:rsid w:val="00607C1F"/>
    <w:rsid w:val="00607C40"/>
    <w:rsid w:val="00607C52"/>
    <w:rsid w:val="00607C91"/>
    <w:rsid w:val="00607C92"/>
    <w:rsid w:val="00607C94"/>
    <w:rsid w:val="00607CA9"/>
    <w:rsid w:val="00607CBB"/>
    <w:rsid w:val="00607CC5"/>
    <w:rsid w:val="00607D97"/>
    <w:rsid w:val="00607E14"/>
    <w:rsid w:val="00607E1B"/>
    <w:rsid w:val="00607E2C"/>
    <w:rsid w:val="00607E32"/>
    <w:rsid w:val="00607E80"/>
    <w:rsid w:val="00607E86"/>
    <w:rsid w:val="00607EA4"/>
    <w:rsid w:val="00607ECC"/>
    <w:rsid w:val="00607EF7"/>
    <w:rsid w:val="00607EFB"/>
    <w:rsid w:val="00607F49"/>
    <w:rsid w:val="00607F85"/>
    <w:rsid w:val="00607FBD"/>
    <w:rsid w:val="00607FD5"/>
    <w:rsid w:val="0061005A"/>
    <w:rsid w:val="0061006D"/>
    <w:rsid w:val="006100C4"/>
    <w:rsid w:val="00610128"/>
    <w:rsid w:val="00610162"/>
    <w:rsid w:val="00610168"/>
    <w:rsid w:val="00610188"/>
    <w:rsid w:val="0061019D"/>
    <w:rsid w:val="006101D3"/>
    <w:rsid w:val="006101E7"/>
    <w:rsid w:val="00610228"/>
    <w:rsid w:val="0061023B"/>
    <w:rsid w:val="0061025E"/>
    <w:rsid w:val="006102A7"/>
    <w:rsid w:val="006102F5"/>
    <w:rsid w:val="00610313"/>
    <w:rsid w:val="00610349"/>
    <w:rsid w:val="0061035E"/>
    <w:rsid w:val="00610361"/>
    <w:rsid w:val="0061041E"/>
    <w:rsid w:val="0061045C"/>
    <w:rsid w:val="00610463"/>
    <w:rsid w:val="006104B4"/>
    <w:rsid w:val="006104C5"/>
    <w:rsid w:val="006104D6"/>
    <w:rsid w:val="006104DC"/>
    <w:rsid w:val="006104E8"/>
    <w:rsid w:val="006104F3"/>
    <w:rsid w:val="00610501"/>
    <w:rsid w:val="0061050B"/>
    <w:rsid w:val="0061052B"/>
    <w:rsid w:val="00610570"/>
    <w:rsid w:val="00610599"/>
    <w:rsid w:val="006105AD"/>
    <w:rsid w:val="006105F2"/>
    <w:rsid w:val="0061060F"/>
    <w:rsid w:val="0061063F"/>
    <w:rsid w:val="0061065B"/>
    <w:rsid w:val="00610697"/>
    <w:rsid w:val="006106DD"/>
    <w:rsid w:val="00610705"/>
    <w:rsid w:val="0061070D"/>
    <w:rsid w:val="0061071E"/>
    <w:rsid w:val="00610755"/>
    <w:rsid w:val="0061079D"/>
    <w:rsid w:val="00610803"/>
    <w:rsid w:val="00610810"/>
    <w:rsid w:val="00610867"/>
    <w:rsid w:val="006108A7"/>
    <w:rsid w:val="006108CB"/>
    <w:rsid w:val="006108D5"/>
    <w:rsid w:val="00610913"/>
    <w:rsid w:val="0061095C"/>
    <w:rsid w:val="00610A14"/>
    <w:rsid w:val="00610A16"/>
    <w:rsid w:val="00610A47"/>
    <w:rsid w:val="00610A90"/>
    <w:rsid w:val="00610B06"/>
    <w:rsid w:val="00610B12"/>
    <w:rsid w:val="00610C3C"/>
    <w:rsid w:val="00610C74"/>
    <w:rsid w:val="00610C79"/>
    <w:rsid w:val="00610C81"/>
    <w:rsid w:val="00610CA2"/>
    <w:rsid w:val="00610CCB"/>
    <w:rsid w:val="00610CED"/>
    <w:rsid w:val="00610D02"/>
    <w:rsid w:val="00610D08"/>
    <w:rsid w:val="00610D85"/>
    <w:rsid w:val="00610DCF"/>
    <w:rsid w:val="00610DE9"/>
    <w:rsid w:val="00610DFC"/>
    <w:rsid w:val="00610E34"/>
    <w:rsid w:val="00610E54"/>
    <w:rsid w:val="00610E70"/>
    <w:rsid w:val="00610EAB"/>
    <w:rsid w:val="00610EE4"/>
    <w:rsid w:val="00610F38"/>
    <w:rsid w:val="00610F4C"/>
    <w:rsid w:val="00610F5C"/>
    <w:rsid w:val="00610F6F"/>
    <w:rsid w:val="00610F85"/>
    <w:rsid w:val="00610FD3"/>
    <w:rsid w:val="0061102D"/>
    <w:rsid w:val="0061104F"/>
    <w:rsid w:val="00611057"/>
    <w:rsid w:val="0061105E"/>
    <w:rsid w:val="00611099"/>
    <w:rsid w:val="006110C1"/>
    <w:rsid w:val="006110D9"/>
    <w:rsid w:val="0061111F"/>
    <w:rsid w:val="0061112D"/>
    <w:rsid w:val="0061115E"/>
    <w:rsid w:val="00611174"/>
    <w:rsid w:val="0061117D"/>
    <w:rsid w:val="00611181"/>
    <w:rsid w:val="0061119C"/>
    <w:rsid w:val="006111A8"/>
    <w:rsid w:val="006111B8"/>
    <w:rsid w:val="006111C2"/>
    <w:rsid w:val="006111CD"/>
    <w:rsid w:val="006111F4"/>
    <w:rsid w:val="0061122E"/>
    <w:rsid w:val="0061124F"/>
    <w:rsid w:val="0061127F"/>
    <w:rsid w:val="006112AA"/>
    <w:rsid w:val="006113EB"/>
    <w:rsid w:val="00611451"/>
    <w:rsid w:val="00611473"/>
    <w:rsid w:val="006114CB"/>
    <w:rsid w:val="006114DF"/>
    <w:rsid w:val="006114E4"/>
    <w:rsid w:val="006114F8"/>
    <w:rsid w:val="00611505"/>
    <w:rsid w:val="0061151F"/>
    <w:rsid w:val="0061152A"/>
    <w:rsid w:val="00611544"/>
    <w:rsid w:val="00611548"/>
    <w:rsid w:val="00611573"/>
    <w:rsid w:val="0061159F"/>
    <w:rsid w:val="006115CB"/>
    <w:rsid w:val="006115CE"/>
    <w:rsid w:val="006115E2"/>
    <w:rsid w:val="006115E9"/>
    <w:rsid w:val="0061162F"/>
    <w:rsid w:val="00611632"/>
    <w:rsid w:val="006116C4"/>
    <w:rsid w:val="006116FC"/>
    <w:rsid w:val="0061170A"/>
    <w:rsid w:val="00611723"/>
    <w:rsid w:val="0061173B"/>
    <w:rsid w:val="00611781"/>
    <w:rsid w:val="006117C5"/>
    <w:rsid w:val="006117E5"/>
    <w:rsid w:val="0061180A"/>
    <w:rsid w:val="00611821"/>
    <w:rsid w:val="00611840"/>
    <w:rsid w:val="0061184E"/>
    <w:rsid w:val="0061185A"/>
    <w:rsid w:val="0061187E"/>
    <w:rsid w:val="0061188C"/>
    <w:rsid w:val="006118B9"/>
    <w:rsid w:val="006118DF"/>
    <w:rsid w:val="0061191F"/>
    <w:rsid w:val="00611924"/>
    <w:rsid w:val="00611937"/>
    <w:rsid w:val="00611988"/>
    <w:rsid w:val="00611A17"/>
    <w:rsid w:val="00611A21"/>
    <w:rsid w:val="00611A90"/>
    <w:rsid w:val="00611AAA"/>
    <w:rsid w:val="00611AAE"/>
    <w:rsid w:val="00611AE1"/>
    <w:rsid w:val="00611B29"/>
    <w:rsid w:val="00611B50"/>
    <w:rsid w:val="00611B51"/>
    <w:rsid w:val="00611C26"/>
    <w:rsid w:val="00611C2E"/>
    <w:rsid w:val="00611C79"/>
    <w:rsid w:val="00611CAB"/>
    <w:rsid w:val="00611CB9"/>
    <w:rsid w:val="00611CD6"/>
    <w:rsid w:val="00611D09"/>
    <w:rsid w:val="00611D1A"/>
    <w:rsid w:val="00611D3B"/>
    <w:rsid w:val="00611D3D"/>
    <w:rsid w:val="00611DDC"/>
    <w:rsid w:val="00611DE1"/>
    <w:rsid w:val="00611DF1"/>
    <w:rsid w:val="00611DFD"/>
    <w:rsid w:val="00611E04"/>
    <w:rsid w:val="00611E72"/>
    <w:rsid w:val="00611E7F"/>
    <w:rsid w:val="00611F23"/>
    <w:rsid w:val="00611F65"/>
    <w:rsid w:val="00611F82"/>
    <w:rsid w:val="00611FC8"/>
    <w:rsid w:val="00611FDE"/>
    <w:rsid w:val="00611FE2"/>
    <w:rsid w:val="00611FFD"/>
    <w:rsid w:val="0061200E"/>
    <w:rsid w:val="006120C8"/>
    <w:rsid w:val="00612173"/>
    <w:rsid w:val="00612200"/>
    <w:rsid w:val="0061220C"/>
    <w:rsid w:val="00612223"/>
    <w:rsid w:val="006122A3"/>
    <w:rsid w:val="006122AA"/>
    <w:rsid w:val="006122AF"/>
    <w:rsid w:val="006122B2"/>
    <w:rsid w:val="006122EE"/>
    <w:rsid w:val="0061231C"/>
    <w:rsid w:val="00612361"/>
    <w:rsid w:val="00612381"/>
    <w:rsid w:val="006123AA"/>
    <w:rsid w:val="006123EE"/>
    <w:rsid w:val="006123FC"/>
    <w:rsid w:val="00612420"/>
    <w:rsid w:val="0061242A"/>
    <w:rsid w:val="00612479"/>
    <w:rsid w:val="0061248E"/>
    <w:rsid w:val="006124B9"/>
    <w:rsid w:val="006124EA"/>
    <w:rsid w:val="0061250C"/>
    <w:rsid w:val="00612517"/>
    <w:rsid w:val="0061253B"/>
    <w:rsid w:val="0061253F"/>
    <w:rsid w:val="006125ED"/>
    <w:rsid w:val="00612618"/>
    <w:rsid w:val="00612672"/>
    <w:rsid w:val="0061269A"/>
    <w:rsid w:val="006126B9"/>
    <w:rsid w:val="006126C8"/>
    <w:rsid w:val="0061272B"/>
    <w:rsid w:val="00612742"/>
    <w:rsid w:val="0061276F"/>
    <w:rsid w:val="006127A8"/>
    <w:rsid w:val="006127D9"/>
    <w:rsid w:val="006127E0"/>
    <w:rsid w:val="006127F9"/>
    <w:rsid w:val="00612808"/>
    <w:rsid w:val="00612849"/>
    <w:rsid w:val="006128B2"/>
    <w:rsid w:val="006128F6"/>
    <w:rsid w:val="00612915"/>
    <w:rsid w:val="00612925"/>
    <w:rsid w:val="00612928"/>
    <w:rsid w:val="00612941"/>
    <w:rsid w:val="0061294D"/>
    <w:rsid w:val="00612A56"/>
    <w:rsid w:val="00612A67"/>
    <w:rsid w:val="00612A7A"/>
    <w:rsid w:val="00612A8A"/>
    <w:rsid w:val="00612A9D"/>
    <w:rsid w:val="00612AD4"/>
    <w:rsid w:val="00612B1F"/>
    <w:rsid w:val="00612BDE"/>
    <w:rsid w:val="00612BF0"/>
    <w:rsid w:val="00612BF2"/>
    <w:rsid w:val="00612C09"/>
    <w:rsid w:val="00612C22"/>
    <w:rsid w:val="00612C30"/>
    <w:rsid w:val="00612C5F"/>
    <w:rsid w:val="00612D1E"/>
    <w:rsid w:val="00612D37"/>
    <w:rsid w:val="00612D4F"/>
    <w:rsid w:val="00612DA5"/>
    <w:rsid w:val="00612DD2"/>
    <w:rsid w:val="00612DFB"/>
    <w:rsid w:val="00612E04"/>
    <w:rsid w:val="00612E30"/>
    <w:rsid w:val="00612E6B"/>
    <w:rsid w:val="00612E82"/>
    <w:rsid w:val="00612EB3"/>
    <w:rsid w:val="00612EE1"/>
    <w:rsid w:val="00612F88"/>
    <w:rsid w:val="00612F90"/>
    <w:rsid w:val="00612FAF"/>
    <w:rsid w:val="00612FF3"/>
    <w:rsid w:val="00612FFD"/>
    <w:rsid w:val="00613056"/>
    <w:rsid w:val="00613067"/>
    <w:rsid w:val="0061307A"/>
    <w:rsid w:val="00613095"/>
    <w:rsid w:val="006130BB"/>
    <w:rsid w:val="0061312B"/>
    <w:rsid w:val="0061317D"/>
    <w:rsid w:val="00613180"/>
    <w:rsid w:val="0061319A"/>
    <w:rsid w:val="006131B2"/>
    <w:rsid w:val="0061320A"/>
    <w:rsid w:val="0061326A"/>
    <w:rsid w:val="00613297"/>
    <w:rsid w:val="006132E5"/>
    <w:rsid w:val="00613314"/>
    <w:rsid w:val="0061331D"/>
    <w:rsid w:val="00613360"/>
    <w:rsid w:val="00613375"/>
    <w:rsid w:val="006133CB"/>
    <w:rsid w:val="006133D6"/>
    <w:rsid w:val="00613430"/>
    <w:rsid w:val="00613444"/>
    <w:rsid w:val="006134A3"/>
    <w:rsid w:val="0061353E"/>
    <w:rsid w:val="00613552"/>
    <w:rsid w:val="0061357B"/>
    <w:rsid w:val="006135A4"/>
    <w:rsid w:val="006135AE"/>
    <w:rsid w:val="006135AF"/>
    <w:rsid w:val="006135CF"/>
    <w:rsid w:val="006135D1"/>
    <w:rsid w:val="00613607"/>
    <w:rsid w:val="0061361B"/>
    <w:rsid w:val="00613629"/>
    <w:rsid w:val="0061366A"/>
    <w:rsid w:val="00613671"/>
    <w:rsid w:val="006136F7"/>
    <w:rsid w:val="00613701"/>
    <w:rsid w:val="00613709"/>
    <w:rsid w:val="0061371C"/>
    <w:rsid w:val="00613746"/>
    <w:rsid w:val="0061374C"/>
    <w:rsid w:val="00613755"/>
    <w:rsid w:val="0061375C"/>
    <w:rsid w:val="00613769"/>
    <w:rsid w:val="00613775"/>
    <w:rsid w:val="00613779"/>
    <w:rsid w:val="006137C2"/>
    <w:rsid w:val="006137C6"/>
    <w:rsid w:val="006137E6"/>
    <w:rsid w:val="006137F0"/>
    <w:rsid w:val="0061381F"/>
    <w:rsid w:val="00613821"/>
    <w:rsid w:val="00613852"/>
    <w:rsid w:val="00613878"/>
    <w:rsid w:val="0061387F"/>
    <w:rsid w:val="00613897"/>
    <w:rsid w:val="006138F0"/>
    <w:rsid w:val="006138FA"/>
    <w:rsid w:val="006138FD"/>
    <w:rsid w:val="00613919"/>
    <w:rsid w:val="00613953"/>
    <w:rsid w:val="00613966"/>
    <w:rsid w:val="0061396C"/>
    <w:rsid w:val="0061398D"/>
    <w:rsid w:val="006139A3"/>
    <w:rsid w:val="006139BC"/>
    <w:rsid w:val="006139E6"/>
    <w:rsid w:val="006139F8"/>
    <w:rsid w:val="00613A49"/>
    <w:rsid w:val="00613A4F"/>
    <w:rsid w:val="00613A7B"/>
    <w:rsid w:val="00613AA4"/>
    <w:rsid w:val="00613B07"/>
    <w:rsid w:val="00613B41"/>
    <w:rsid w:val="00613B56"/>
    <w:rsid w:val="00613B7C"/>
    <w:rsid w:val="00613B8E"/>
    <w:rsid w:val="00613B95"/>
    <w:rsid w:val="00613BE3"/>
    <w:rsid w:val="00613BE5"/>
    <w:rsid w:val="00613C01"/>
    <w:rsid w:val="00613C05"/>
    <w:rsid w:val="00613C07"/>
    <w:rsid w:val="00613C10"/>
    <w:rsid w:val="00613C18"/>
    <w:rsid w:val="00613C81"/>
    <w:rsid w:val="00613C86"/>
    <w:rsid w:val="00613D12"/>
    <w:rsid w:val="00613D1F"/>
    <w:rsid w:val="00613D38"/>
    <w:rsid w:val="00613D69"/>
    <w:rsid w:val="00613D8D"/>
    <w:rsid w:val="00613DBE"/>
    <w:rsid w:val="00613DE2"/>
    <w:rsid w:val="00613E1A"/>
    <w:rsid w:val="00613E30"/>
    <w:rsid w:val="00613E85"/>
    <w:rsid w:val="00613EE8"/>
    <w:rsid w:val="00613F21"/>
    <w:rsid w:val="00613FAE"/>
    <w:rsid w:val="00613FE4"/>
    <w:rsid w:val="00614018"/>
    <w:rsid w:val="00614029"/>
    <w:rsid w:val="00614032"/>
    <w:rsid w:val="00614040"/>
    <w:rsid w:val="00614043"/>
    <w:rsid w:val="00614067"/>
    <w:rsid w:val="0061408F"/>
    <w:rsid w:val="00614092"/>
    <w:rsid w:val="006140AC"/>
    <w:rsid w:val="006140DF"/>
    <w:rsid w:val="00614130"/>
    <w:rsid w:val="0061413C"/>
    <w:rsid w:val="00614158"/>
    <w:rsid w:val="0061419F"/>
    <w:rsid w:val="006141A8"/>
    <w:rsid w:val="006141C9"/>
    <w:rsid w:val="006141F3"/>
    <w:rsid w:val="0061420A"/>
    <w:rsid w:val="00614258"/>
    <w:rsid w:val="00614268"/>
    <w:rsid w:val="00614284"/>
    <w:rsid w:val="0061428F"/>
    <w:rsid w:val="006142A8"/>
    <w:rsid w:val="006142AF"/>
    <w:rsid w:val="00614310"/>
    <w:rsid w:val="006143A4"/>
    <w:rsid w:val="006143AA"/>
    <w:rsid w:val="006143AE"/>
    <w:rsid w:val="006143B0"/>
    <w:rsid w:val="006143F7"/>
    <w:rsid w:val="0061440C"/>
    <w:rsid w:val="00614427"/>
    <w:rsid w:val="00614449"/>
    <w:rsid w:val="0061444E"/>
    <w:rsid w:val="006144C3"/>
    <w:rsid w:val="00614502"/>
    <w:rsid w:val="0061451A"/>
    <w:rsid w:val="0061454E"/>
    <w:rsid w:val="006145B2"/>
    <w:rsid w:val="006145C9"/>
    <w:rsid w:val="006145D5"/>
    <w:rsid w:val="006145E2"/>
    <w:rsid w:val="00614606"/>
    <w:rsid w:val="0061460B"/>
    <w:rsid w:val="0061461C"/>
    <w:rsid w:val="00614620"/>
    <w:rsid w:val="006146B0"/>
    <w:rsid w:val="006146BA"/>
    <w:rsid w:val="006146D2"/>
    <w:rsid w:val="006146DB"/>
    <w:rsid w:val="006146E0"/>
    <w:rsid w:val="006146E5"/>
    <w:rsid w:val="006146ED"/>
    <w:rsid w:val="0061470D"/>
    <w:rsid w:val="0061471E"/>
    <w:rsid w:val="0061473B"/>
    <w:rsid w:val="00614754"/>
    <w:rsid w:val="00614761"/>
    <w:rsid w:val="006147D6"/>
    <w:rsid w:val="00614876"/>
    <w:rsid w:val="00614883"/>
    <w:rsid w:val="00614893"/>
    <w:rsid w:val="006148B6"/>
    <w:rsid w:val="006148CF"/>
    <w:rsid w:val="0061492B"/>
    <w:rsid w:val="0061495E"/>
    <w:rsid w:val="00614981"/>
    <w:rsid w:val="0061499B"/>
    <w:rsid w:val="006149B2"/>
    <w:rsid w:val="006149B8"/>
    <w:rsid w:val="006149C9"/>
    <w:rsid w:val="006149F8"/>
    <w:rsid w:val="00614A66"/>
    <w:rsid w:val="00614A68"/>
    <w:rsid w:val="00614A72"/>
    <w:rsid w:val="00614AE6"/>
    <w:rsid w:val="00614B55"/>
    <w:rsid w:val="00614B65"/>
    <w:rsid w:val="00614B82"/>
    <w:rsid w:val="00614B9C"/>
    <w:rsid w:val="00614B9D"/>
    <w:rsid w:val="00614C25"/>
    <w:rsid w:val="00614C70"/>
    <w:rsid w:val="00614CBD"/>
    <w:rsid w:val="00614CD2"/>
    <w:rsid w:val="00614CD3"/>
    <w:rsid w:val="00614D05"/>
    <w:rsid w:val="00614DC0"/>
    <w:rsid w:val="00614E1F"/>
    <w:rsid w:val="00614E2C"/>
    <w:rsid w:val="00614E3F"/>
    <w:rsid w:val="00614E92"/>
    <w:rsid w:val="00614EA7"/>
    <w:rsid w:val="00614EF1"/>
    <w:rsid w:val="00614F02"/>
    <w:rsid w:val="00614F1E"/>
    <w:rsid w:val="00614F4F"/>
    <w:rsid w:val="00614FA7"/>
    <w:rsid w:val="00614FB1"/>
    <w:rsid w:val="00614FC5"/>
    <w:rsid w:val="00614FD7"/>
    <w:rsid w:val="00614FF0"/>
    <w:rsid w:val="00614FF4"/>
    <w:rsid w:val="0061501C"/>
    <w:rsid w:val="0061508F"/>
    <w:rsid w:val="006150B3"/>
    <w:rsid w:val="006150C1"/>
    <w:rsid w:val="006150FF"/>
    <w:rsid w:val="00615122"/>
    <w:rsid w:val="0061513B"/>
    <w:rsid w:val="0061513C"/>
    <w:rsid w:val="00615141"/>
    <w:rsid w:val="006151A3"/>
    <w:rsid w:val="00615205"/>
    <w:rsid w:val="0061523A"/>
    <w:rsid w:val="00615240"/>
    <w:rsid w:val="00615248"/>
    <w:rsid w:val="0061524B"/>
    <w:rsid w:val="0061525E"/>
    <w:rsid w:val="00615283"/>
    <w:rsid w:val="006152A8"/>
    <w:rsid w:val="006152B2"/>
    <w:rsid w:val="006152CB"/>
    <w:rsid w:val="0061532B"/>
    <w:rsid w:val="00615335"/>
    <w:rsid w:val="0061534F"/>
    <w:rsid w:val="00615363"/>
    <w:rsid w:val="00615392"/>
    <w:rsid w:val="0061539C"/>
    <w:rsid w:val="006153B1"/>
    <w:rsid w:val="006153BB"/>
    <w:rsid w:val="006153D4"/>
    <w:rsid w:val="006153F0"/>
    <w:rsid w:val="00615410"/>
    <w:rsid w:val="00615497"/>
    <w:rsid w:val="006154B4"/>
    <w:rsid w:val="006154D7"/>
    <w:rsid w:val="006154F4"/>
    <w:rsid w:val="006154F7"/>
    <w:rsid w:val="00615536"/>
    <w:rsid w:val="00615597"/>
    <w:rsid w:val="006155B6"/>
    <w:rsid w:val="006155F9"/>
    <w:rsid w:val="00615616"/>
    <w:rsid w:val="00615646"/>
    <w:rsid w:val="0061565B"/>
    <w:rsid w:val="00615660"/>
    <w:rsid w:val="00615693"/>
    <w:rsid w:val="006156C7"/>
    <w:rsid w:val="006156EA"/>
    <w:rsid w:val="00615757"/>
    <w:rsid w:val="00615789"/>
    <w:rsid w:val="0061578C"/>
    <w:rsid w:val="006157B4"/>
    <w:rsid w:val="006157BE"/>
    <w:rsid w:val="006157F9"/>
    <w:rsid w:val="00615822"/>
    <w:rsid w:val="0061587C"/>
    <w:rsid w:val="00615887"/>
    <w:rsid w:val="00615893"/>
    <w:rsid w:val="0061589F"/>
    <w:rsid w:val="006158A7"/>
    <w:rsid w:val="006158B0"/>
    <w:rsid w:val="006158D1"/>
    <w:rsid w:val="00615910"/>
    <w:rsid w:val="00615918"/>
    <w:rsid w:val="00615928"/>
    <w:rsid w:val="0061595B"/>
    <w:rsid w:val="00615979"/>
    <w:rsid w:val="00615983"/>
    <w:rsid w:val="006159A9"/>
    <w:rsid w:val="00615A19"/>
    <w:rsid w:val="00615A1E"/>
    <w:rsid w:val="00615A27"/>
    <w:rsid w:val="00615A36"/>
    <w:rsid w:val="00615A6A"/>
    <w:rsid w:val="00615A83"/>
    <w:rsid w:val="00615A88"/>
    <w:rsid w:val="00615AE4"/>
    <w:rsid w:val="00615B2D"/>
    <w:rsid w:val="00615B37"/>
    <w:rsid w:val="00615B6B"/>
    <w:rsid w:val="00615B7D"/>
    <w:rsid w:val="00615BCF"/>
    <w:rsid w:val="00615BDC"/>
    <w:rsid w:val="00615C0F"/>
    <w:rsid w:val="00615C2C"/>
    <w:rsid w:val="00615C60"/>
    <w:rsid w:val="00615CA1"/>
    <w:rsid w:val="00615CCD"/>
    <w:rsid w:val="00615D15"/>
    <w:rsid w:val="00615DCE"/>
    <w:rsid w:val="00615DE2"/>
    <w:rsid w:val="00615E4C"/>
    <w:rsid w:val="00615E90"/>
    <w:rsid w:val="00615ECD"/>
    <w:rsid w:val="00615F71"/>
    <w:rsid w:val="00615F86"/>
    <w:rsid w:val="00615FDE"/>
    <w:rsid w:val="00616084"/>
    <w:rsid w:val="00616098"/>
    <w:rsid w:val="006160B5"/>
    <w:rsid w:val="006160C2"/>
    <w:rsid w:val="006160C6"/>
    <w:rsid w:val="006160FF"/>
    <w:rsid w:val="00616112"/>
    <w:rsid w:val="00616127"/>
    <w:rsid w:val="00616132"/>
    <w:rsid w:val="00616146"/>
    <w:rsid w:val="0061614C"/>
    <w:rsid w:val="00616176"/>
    <w:rsid w:val="00616178"/>
    <w:rsid w:val="0061618A"/>
    <w:rsid w:val="00616192"/>
    <w:rsid w:val="006161E5"/>
    <w:rsid w:val="00616218"/>
    <w:rsid w:val="00616237"/>
    <w:rsid w:val="00616244"/>
    <w:rsid w:val="0061624F"/>
    <w:rsid w:val="00616299"/>
    <w:rsid w:val="006162D1"/>
    <w:rsid w:val="00616380"/>
    <w:rsid w:val="00616397"/>
    <w:rsid w:val="006163A8"/>
    <w:rsid w:val="006163BF"/>
    <w:rsid w:val="006163FF"/>
    <w:rsid w:val="00616413"/>
    <w:rsid w:val="0061642A"/>
    <w:rsid w:val="0061642F"/>
    <w:rsid w:val="0061644F"/>
    <w:rsid w:val="0061646D"/>
    <w:rsid w:val="0061646F"/>
    <w:rsid w:val="006164B9"/>
    <w:rsid w:val="006164D8"/>
    <w:rsid w:val="006164DD"/>
    <w:rsid w:val="00616582"/>
    <w:rsid w:val="006165AE"/>
    <w:rsid w:val="006165C6"/>
    <w:rsid w:val="006165EC"/>
    <w:rsid w:val="006165F2"/>
    <w:rsid w:val="00616622"/>
    <w:rsid w:val="00616687"/>
    <w:rsid w:val="006166FC"/>
    <w:rsid w:val="00616704"/>
    <w:rsid w:val="0061671B"/>
    <w:rsid w:val="00616741"/>
    <w:rsid w:val="00616748"/>
    <w:rsid w:val="00616790"/>
    <w:rsid w:val="00616791"/>
    <w:rsid w:val="006167CB"/>
    <w:rsid w:val="006167E7"/>
    <w:rsid w:val="0061682D"/>
    <w:rsid w:val="00616832"/>
    <w:rsid w:val="00616847"/>
    <w:rsid w:val="00616894"/>
    <w:rsid w:val="006168BF"/>
    <w:rsid w:val="006168ED"/>
    <w:rsid w:val="0061695D"/>
    <w:rsid w:val="0061696E"/>
    <w:rsid w:val="006169DF"/>
    <w:rsid w:val="006169FA"/>
    <w:rsid w:val="00616A0A"/>
    <w:rsid w:val="00616A38"/>
    <w:rsid w:val="00616A3D"/>
    <w:rsid w:val="00616A54"/>
    <w:rsid w:val="00616A60"/>
    <w:rsid w:val="00616A75"/>
    <w:rsid w:val="00616ACD"/>
    <w:rsid w:val="00616B16"/>
    <w:rsid w:val="00616B98"/>
    <w:rsid w:val="00616BB0"/>
    <w:rsid w:val="00616BCF"/>
    <w:rsid w:val="00616BEC"/>
    <w:rsid w:val="00616C30"/>
    <w:rsid w:val="00616C56"/>
    <w:rsid w:val="00616C63"/>
    <w:rsid w:val="00616CBB"/>
    <w:rsid w:val="00616D22"/>
    <w:rsid w:val="00616D4B"/>
    <w:rsid w:val="00616D6C"/>
    <w:rsid w:val="00616DBD"/>
    <w:rsid w:val="00616DC4"/>
    <w:rsid w:val="00616E23"/>
    <w:rsid w:val="00616E6A"/>
    <w:rsid w:val="00616E86"/>
    <w:rsid w:val="00616E9F"/>
    <w:rsid w:val="00616EA6"/>
    <w:rsid w:val="00616EDB"/>
    <w:rsid w:val="00616F57"/>
    <w:rsid w:val="00617060"/>
    <w:rsid w:val="00617093"/>
    <w:rsid w:val="00617165"/>
    <w:rsid w:val="00617174"/>
    <w:rsid w:val="006171C8"/>
    <w:rsid w:val="006171CF"/>
    <w:rsid w:val="006171EE"/>
    <w:rsid w:val="006171FE"/>
    <w:rsid w:val="00617236"/>
    <w:rsid w:val="00617242"/>
    <w:rsid w:val="00617278"/>
    <w:rsid w:val="0061728A"/>
    <w:rsid w:val="00617299"/>
    <w:rsid w:val="006172AA"/>
    <w:rsid w:val="006172CD"/>
    <w:rsid w:val="006172F4"/>
    <w:rsid w:val="00617320"/>
    <w:rsid w:val="0061732A"/>
    <w:rsid w:val="0061733C"/>
    <w:rsid w:val="00617354"/>
    <w:rsid w:val="00617362"/>
    <w:rsid w:val="00617379"/>
    <w:rsid w:val="0061739C"/>
    <w:rsid w:val="006173A5"/>
    <w:rsid w:val="006173B0"/>
    <w:rsid w:val="006173DD"/>
    <w:rsid w:val="006173EA"/>
    <w:rsid w:val="0061741D"/>
    <w:rsid w:val="00617483"/>
    <w:rsid w:val="006174C2"/>
    <w:rsid w:val="006174F2"/>
    <w:rsid w:val="0061752E"/>
    <w:rsid w:val="00617580"/>
    <w:rsid w:val="00617581"/>
    <w:rsid w:val="006175D1"/>
    <w:rsid w:val="0061762A"/>
    <w:rsid w:val="006176A5"/>
    <w:rsid w:val="006176B9"/>
    <w:rsid w:val="006176BC"/>
    <w:rsid w:val="006176F2"/>
    <w:rsid w:val="00617707"/>
    <w:rsid w:val="00617747"/>
    <w:rsid w:val="00617752"/>
    <w:rsid w:val="00617754"/>
    <w:rsid w:val="00617774"/>
    <w:rsid w:val="00617779"/>
    <w:rsid w:val="006177CB"/>
    <w:rsid w:val="006177CE"/>
    <w:rsid w:val="006177CF"/>
    <w:rsid w:val="006177D8"/>
    <w:rsid w:val="006177EB"/>
    <w:rsid w:val="00617835"/>
    <w:rsid w:val="00617849"/>
    <w:rsid w:val="0061786B"/>
    <w:rsid w:val="0061786C"/>
    <w:rsid w:val="0061786F"/>
    <w:rsid w:val="006178DA"/>
    <w:rsid w:val="006178DD"/>
    <w:rsid w:val="006178EB"/>
    <w:rsid w:val="00617912"/>
    <w:rsid w:val="00617922"/>
    <w:rsid w:val="00617953"/>
    <w:rsid w:val="00617958"/>
    <w:rsid w:val="006179C1"/>
    <w:rsid w:val="00617A18"/>
    <w:rsid w:val="00617A2A"/>
    <w:rsid w:val="00617A2E"/>
    <w:rsid w:val="00617A57"/>
    <w:rsid w:val="00617A5E"/>
    <w:rsid w:val="00617A8D"/>
    <w:rsid w:val="00617A94"/>
    <w:rsid w:val="00617AC0"/>
    <w:rsid w:val="00617AFA"/>
    <w:rsid w:val="00617AFF"/>
    <w:rsid w:val="00617B05"/>
    <w:rsid w:val="00617B1A"/>
    <w:rsid w:val="00617B2A"/>
    <w:rsid w:val="00617B56"/>
    <w:rsid w:val="00617B58"/>
    <w:rsid w:val="00617B8B"/>
    <w:rsid w:val="00617BD8"/>
    <w:rsid w:val="00617BEA"/>
    <w:rsid w:val="00617BF3"/>
    <w:rsid w:val="00617C1D"/>
    <w:rsid w:val="00617C50"/>
    <w:rsid w:val="00617C7D"/>
    <w:rsid w:val="00617CA6"/>
    <w:rsid w:val="00617CB5"/>
    <w:rsid w:val="00617CCE"/>
    <w:rsid w:val="00617CEC"/>
    <w:rsid w:val="00617D10"/>
    <w:rsid w:val="00617D55"/>
    <w:rsid w:val="00617DD0"/>
    <w:rsid w:val="00617DEC"/>
    <w:rsid w:val="00617E10"/>
    <w:rsid w:val="00617E12"/>
    <w:rsid w:val="00617E15"/>
    <w:rsid w:val="00617E39"/>
    <w:rsid w:val="00617E81"/>
    <w:rsid w:val="00617EAB"/>
    <w:rsid w:val="00617EDE"/>
    <w:rsid w:val="00617F21"/>
    <w:rsid w:val="00617F26"/>
    <w:rsid w:val="00617F70"/>
    <w:rsid w:val="00617FD2"/>
    <w:rsid w:val="00617FFA"/>
    <w:rsid w:val="0062002F"/>
    <w:rsid w:val="00620045"/>
    <w:rsid w:val="006200BF"/>
    <w:rsid w:val="0062010D"/>
    <w:rsid w:val="0062010E"/>
    <w:rsid w:val="00620116"/>
    <w:rsid w:val="0062012B"/>
    <w:rsid w:val="00620159"/>
    <w:rsid w:val="006201BA"/>
    <w:rsid w:val="006201CC"/>
    <w:rsid w:val="00620203"/>
    <w:rsid w:val="00620223"/>
    <w:rsid w:val="0062022E"/>
    <w:rsid w:val="0062025C"/>
    <w:rsid w:val="00620273"/>
    <w:rsid w:val="0062027A"/>
    <w:rsid w:val="0062029A"/>
    <w:rsid w:val="006202B6"/>
    <w:rsid w:val="0062031F"/>
    <w:rsid w:val="0062032F"/>
    <w:rsid w:val="00620350"/>
    <w:rsid w:val="00620382"/>
    <w:rsid w:val="00620392"/>
    <w:rsid w:val="0062039C"/>
    <w:rsid w:val="006203A7"/>
    <w:rsid w:val="006203AC"/>
    <w:rsid w:val="006203E5"/>
    <w:rsid w:val="006203F9"/>
    <w:rsid w:val="0062041C"/>
    <w:rsid w:val="00620460"/>
    <w:rsid w:val="006204B0"/>
    <w:rsid w:val="006204EF"/>
    <w:rsid w:val="006204FE"/>
    <w:rsid w:val="006204FF"/>
    <w:rsid w:val="00620567"/>
    <w:rsid w:val="006205E1"/>
    <w:rsid w:val="00620641"/>
    <w:rsid w:val="00620649"/>
    <w:rsid w:val="00620704"/>
    <w:rsid w:val="00620723"/>
    <w:rsid w:val="0062072D"/>
    <w:rsid w:val="0062073B"/>
    <w:rsid w:val="00620748"/>
    <w:rsid w:val="006207E5"/>
    <w:rsid w:val="00620846"/>
    <w:rsid w:val="00620861"/>
    <w:rsid w:val="00620864"/>
    <w:rsid w:val="00620899"/>
    <w:rsid w:val="006208A4"/>
    <w:rsid w:val="006208D0"/>
    <w:rsid w:val="006208E8"/>
    <w:rsid w:val="006208ED"/>
    <w:rsid w:val="0062093C"/>
    <w:rsid w:val="00620999"/>
    <w:rsid w:val="00620A05"/>
    <w:rsid w:val="00620A0B"/>
    <w:rsid w:val="00620A12"/>
    <w:rsid w:val="00620A14"/>
    <w:rsid w:val="00620A72"/>
    <w:rsid w:val="00620AB2"/>
    <w:rsid w:val="00620AC6"/>
    <w:rsid w:val="00620AE1"/>
    <w:rsid w:val="00620AE4"/>
    <w:rsid w:val="00620B1B"/>
    <w:rsid w:val="00620B20"/>
    <w:rsid w:val="00620B78"/>
    <w:rsid w:val="00620B7D"/>
    <w:rsid w:val="00620C0A"/>
    <w:rsid w:val="00620C0D"/>
    <w:rsid w:val="00620C5B"/>
    <w:rsid w:val="00620C7F"/>
    <w:rsid w:val="00620C8F"/>
    <w:rsid w:val="00620CD9"/>
    <w:rsid w:val="00620D0D"/>
    <w:rsid w:val="00620D3D"/>
    <w:rsid w:val="00620D67"/>
    <w:rsid w:val="00620D82"/>
    <w:rsid w:val="00620D83"/>
    <w:rsid w:val="00620D96"/>
    <w:rsid w:val="00620DB1"/>
    <w:rsid w:val="00620DB4"/>
    <w:rsid w:val="00620DF5"/>
    <w:rsid w:val="00620DF7"/>
    <w:rsid w:val="00620E45"/>
    <w:rsid w:val="00620E57"/>
    <w:rsid w:val="00620E62"/>
    <w:rsid w:val="00620E6E"/>
    <w:rsid w:val="00620E84"/>
    <w:rsid w:val="00620E9D"/>
    <w:rsid w:val="00620EA8"/>
    <w:rsid w:val="00620ED3"/>
    <w:rsid w:val="00620EE9"/>
    <w:rsid w:val="00620F76"/>
    <w:rsid w:val="00620F96"/>
    <w:rsid w:val="00620F9A"/>
    <w:rsid w:val="00620FEE"/>
    <w:rsid w:val="00621036"/>
    <w:rsid w:val="00621078"/>
    <w:rsid w:val="00621089"/>
    <w:rsid w:val="006210F9"/>
    <w:rsid w:val="006210FD"/>
    <w:rsid w:val="00621113"/>
    <w:rsid w:val="0062112C"/>
    <w:rsid w:val="0062112E"/>
    <w:rsid w:val="00621134"/>
    <w:rsid w:val="0062115F"/>
    <w:rsid w:val="00621176"/>
    <w:rsid w:val="00621179"/>
    <w:rsid w:val="00621188"/>
    <w:rsid w:val="006211DB"/>
    <w:rsid w:val="00621210"/>
    <w:rsid w:val="0062122A"/>
    <w:rsid w:val="0062122C"/>
    <w:rsid w:val="00621248"/>
    <w:rsid w:val="00621252"/>
    <w:rsid w:val="00621276"/>
    <w:rsid w:val="00621280"/>
    <w:rsid w:val="00621299"/>
    <w:rsid w:val="006212B3"/>
    <w:rsid w:val="006212C5"/>
    <w:rsid w:val="006212E5"/>
    <w:rsid w:val="00621312"/>
    <w:rsid w:val="0062131A"/>
    <w:rsid w:val="006213A3"/>
    <w:rsid w:val="006213FA"/>
    <w:rsid w:val="00621434"/>
    <w:rsid w:val="00621453"/>
    <w:rsid w:val="00621489"/>
    <w:rsid w:val="0062148B"/>
    <w:rsid w:val="0062149D"/>
    <w:rsid w:val="006214EA"/>
    <w:rsid w:val="00621539"/>
    <w:rsid w:val="00621565"/>
    <w:rsid w:val="00621585"/>
    <w:rsid w:val="0062159E"/>
    <w:rsid w:val="006215FD"/>
    <w:rsid w:val="00621619"/>
    <w:rsid w:val="00621643"/>
    <w:rsid w:val="006216CA"/>
    <w:rsid w:val="006216EB"/>
    <w:rsid w:val="00621729"/>
    <w:rsid w:val="00621733"/>
    <w:rsid w:val="0062175A"/>
    <w:rsid w:val="006217CE"/>
    <w:rsid w:val="006217FF"/>
    <w:rsid w:val="00621827"/>
    <w:rsid w:val="00621867"/>
    <w:rsid w:val="0062186E"/>
    <w:rsid w:val="00621875"/>
    <w:rsid w:val="0062188A"/>
    <w:rsid w:val="006218C1"/>
    <w:rsid w:val="006218C7"/>
    <w:rsid w:val="006218D0"/>
    <w:rsid w:val="006218E9"/>
    <w:rsid w:val="006218F6"/>
    <w:rsid w:val="00621932"/>
    <w:rsid w:val="0062194A"/>
    <w:rsid w:val="0062194D"/>
    <w:rsid w:val="0062195D"/>
    <w:rsid w:val="00621970"/>
    <w:rsid w:val="00621989"/>
    <w:rsid w:val="00621A0B"/>
    <w:rsid w:val="00621A11"/>
    <w:rsid w:val="00621A4F"/>
    <w:rsid w:val="00621A56"/>
    <w:rsid w:val="00621A75"/>
    <w:rsid w:val="00621A91"/>
    <w:rsid w:val="00621A94"/>
    <w:rsid w:val="00621AEF"/>
    <w:rsid w:val="00621AFB"/>
    <w:rsid w:val="00621B08"/>
    <w:rsid w:val="00621B4C"/>
    <w:rsid w:val="00621B6A"/>
    <w:rsid w:val="00621B7A"/>
    <w:rsid w:val="00621B80"/>
    <w:rsid w:val="00621B8E"/>
    <w:rsid w:val="00621BCB"/>
    <w:rsid w:val="00621BD4"/>
    <w:rsid w:val="00621BE1"/>
    <w:rsid w:val="00621BEB"/>
    <w:rsid w:val="00621C00"/>
    <w:rsid w:val="00621C02"/>
    <w:rsid w:val="00621C16"/>
    <w:rsid w:val="00621C8A"/>
    <w:rsid w:val="00621C93"/>
    <w:rsid w:val="00621CAD"/>
    <w:rsid w:val="00621CC7"/>
    <w:rsid w:val="00621CD4"/>
    <w:rsid w:val="00621CEC"/>
    <w:rsid w:val="00621D61"/>
    <w:rsid w:val="00621D8C"/>
    <w:rsid w:val="00621D98"/>
    <w:rsid w:val="00621DA0"/>
    <w:rsid w:val="00621DB7"/>
    <w:rsid w:val="00621DE3"/>
    <w:rsid w:val="00621E30"/>
    <w:rsid w:val="00621E32"/>
    <w:rsid w:val="00621E39"/>
    <w:rsid w:val="00621EA2"/>
    <w:rsid w:val="00621F9A"/>
    <w:rsid w:val="00621FDA"/>
    <w:rsid w:val="00621FFB"/>
    <w:rsid w:val="00622047"/>
    <w:rsid w:val="0062205A"/>
    <w:rsid w:val="00622067"/>
    <w:rsid w:val="00622097"/>
    <w:rsid w:val="006220A7"/>
    <w:rsid w:val="006220E5"/>
    <w:rsid w:val="006220F4"/>
    <w:rsid w:val="0062212A"/>
    <w:rsid w:val="006221C3"/>
    <w:rsid w:val="00622249"/>
    <w:rsid w:val="006222F4"/>
    <w:rsid w:val="0062230D"/>
    <w:rsid w:val="00622345"/>
    <w:rsid w:val="0062236A"/>
    <w:rsid w:val="0062237E"/>
    <w:rsid w:val="006223A1"/>
    <w:rsid w:val="006223A4"/>
    <w:rsid w:val="00622429"/>
    <w:rsid w:val="0062247F"/>
    <w:rsid w:val="00622492"/>
    <w:rsid w:val="006224E6"/>
    <w:rsid w:val="0062253C"/>
    <w:rsid w:val="00622574"/>
    <w:rsid w:val="00622583"/>
    <w:rsid w:val="00622588"/>
    <w:rsid w:val="00622591"/>
    <w:rsid w:val="006225A5"/>
    <w:rsid w:val="006225B7"/>
    <w:rsid w:val="006225CC"/>
    <w:rsid w:val="006225EC"/>
    <w:rsid w:val="00622607"/>
    <w:rsid w:val="0062260B"/>
    <w:rsid w:val="0062261D"/>
    <w:rsid w:val="0062261E"/>
    <w:rsid w:val="0062263F"/>
    <w:rsid w:val="00622677"/>
    <w:rsid w:val="0062269D"/>
    <w:rsid w:val="0062271C"/>
    <w:rsid w:val="0062271F"/>
    <w:rsid w:val="0062272D"/>
    <w:rsid w:val="00622749"/>
    <w:rsid w:val="00622758"/>
    <w:rsid w:val="00622791"/>
    <w:rsid w:val="006227B3"/>
    <w:rsid w:val="006227D9"/>
    <w:rsid w:val="006227E9"/>
    <w:rsid w:val="0062282E"/>
    <w:rsid w:val="0062283E"/>
    <w:rsid w:val="00622885"/>
    <w:rsid w:val="006228EC"/>
    <w:rsid w:val="006228EF"/>
    <w:rsid w:val="006228F1"/>
    <w:rsid w:val="0062291E"/>
    <w:rsid w:val="0062291F"/>
    <w:rsid w:val="00622920"/>
    <w:rsid w:val="0062295E"/>
    <w:rsid w:val="00622963"/>
    <w:rsid w:val="00622968"/>
    <w:rsid w:val="0062298B"/>
    <w:rsid w:val="006229BD"/>
    <w:rsid w:val="006229DE"/>
    <w:rsid w:val="006229EE"/>
    <w:rsid w:val="006229F4"/>
    <w:rsid w:val="00622A10"/>
    <w:rsid w:val="00622A3B"/>
    <w:rsid w:val="00622A89"/>
    <w:rsid w:val="00622A92"/>
    <w:rsid w:val="00622A95"/>
    <w:rsid w:val="00622AA9"/>
    <w:rsid w:val="00622AC6"/>
    <w:rsid w:val="00622AFD"/>
    <w:rsid w:val="00622B09"/>
    <w:rsid w:val="00622B40"/>
    <w:rsid w:val="00622B41"/>
    <w:rsid w:val="00622B97"/>
    <w:rsid w:val="00622BEC"/>
    <w:rsid w:val="00622C0E"/>
    <w:rsid w:val="00622C38"/>
    <w:rsid w:val="00622C5C"/>
    <w:rsid w:val="00622C70"/>
    <w:rsid w:val="00622C79"/>
    <w:rsid w:val="00622C8A"/>
    <w:rsid w:val="00622CAC"/>
    <w:rsid w:val="00622CAE"/>
    <w:rsid w:val="00622CD1"/>
    <w:rsid w:val="00622CEB"/>
    <w:rsid w:val="00622D25"/>
    <w:rsid w:val="00622D58"/>
    <w:rsid w:val="00622D9C"/>
    <w:rsid w:val="00622DEC"/>
    <w:rsid w:val="00622DEE"/>
    <w:rsid w:val="00622DF3"/>
    <w:rsid w:val="00622E2A"/>
    <w:rsid w:val="00622E56"/>
    <w:rsid w:val="00622E71"/>
    <w:rsid w:val="00622F14"/>
    <w:rsid w:val="00622F1A"/>
    <w:rsid w:val="00622F25"/>
    <w:rsid w:val="00622F35"/>
    <w:rsid w:val="00622F3C"/>
    <w:rsid w:val="00622F74"/>
    <w:rsid w:val="00622F88"/>
    <w:rsid w:val="00623002"/>
    <w:rsid w:val="0062302D"/>
    <w:rsid w:val="00623050"/>
    <w:rsid w:val="00623080"/>
    <w:rsid w:val="00623096"/>
    <w:rsid w:val="0062309D"/>
    <w:rsid w:val="006230D0"/>
    <w:rsid w:val="006230D3"/>
    <w:rsid w:val="0062311E"/>
    <w:rsid w:val="00623142"/>
    <w:rsid w:val="00623156"/>
    <w:rsid w:val="00623177"/>
    <w:rsid w:val="0062318E"/>
    <w:rsid w:val="006231AB"/>
    <w:rsid w:val="00623259"/>
    <w:rsid w:val="006232AD"/>
    <w:rsid w:val="0062333C"/>
    <w:rsid w:val="00623343"/>
    <w:rsid w:val="00623345"/>
    <w:rsid w:val="00623350"/>
    <w:rsid w:val="00623354"/>
    <w:rsid w:val="00623362"/>
    <w:rsid w:val="00623374"/>
    <w:rsid w:val="00623388"/>
    <w:rsid w:val="0062339C"/>
    <w:rsid w:val="0062344C"/>
    <w:rsid w:val="0062344E"/>
    <w:rsid w:val="006234E4"/>
    <w:rsid w:val="006234F7"/>
    <w:rsid w:val="00623500"/>
    <w:rsid w:val="0062350C"/>
    <w:rsid w:val="00623523"/>
    <w:rsid w:val="0062353D"/>
    <w:rsid w:val="0062356B"/>
    <w:rsid w:val="0062357B"/>
    <w:rsid w:val="00623590"/>
    <w:rsid w:val="006235EB"/>
    <w:rsid w:val="006235F2"/>
    <w:rsid w:val="00623619"/>
    <w:rsid w:val="0062362A"/>
    <w:rsid w:val="00623632"/>
    <w:rsid w:val="00623648"/>
    <w:rsid w:val="00623717"/>
    <w:rsid w:val="0062375A"/>
    <w:rsid w:val="00623769"/>
    <w:rsid w:val="006237A4"/>
    <w:rsid w:val="006237CD"/>
    <w:rsid w:val="006237FB"/>
    <w:rsid w:val="0062385B"/>
    <w:rsid w:val="00623863"/>
    <w:rsid w:val="006238AD"/>
    <w:rsid w:val="006238B3"/>
    <w:rsid w:val="006238FA"/>
    <w:rsid w:val="00623918"/>
    <w:rsid w:val="00623920"/>
    <w:rsid w:val="00623935"/>
    <w:rsid w:val="00623969"/>
    <w:rsid w:val="006239A6"/>
    <w:rsid w:val="006239BA"/>
    <w:rsid w:val="006239C2"/>
    <w:rsid w:val="006239C8"/>
    <w:rsid w:val="00623A00"/>
    <w:rsid w:val="00623A15"/>
    <w:rsid w:val="00623A1D"/>
    <w:rsid w:val="00623A2D"/>
    <w:rsid w:val="00623ACA"/>
    <w:rsid w:val="00623ACE"/>
    <w:rsid w:val="00623B02"/>
    <w:rsid w:val="00623B49"/>
    <w:rsid w:val="00623B53"/>
    <w:rsid w:val="00623B5D"/>
    <w:rsid w:val="00623B7C"/>
    <w:rsid w:val="00623B8D"/>
    <w:rsid w:val="00623BCA"/>
    <w:rsid w:val="00623BFF"/>
    <w:rsid w:val="00623C23"/>
    <w:rsid w:val="00623C47"/>
    <w:rsid w:val="00623CAE"/>
    <w:rsid w:val="00623CAF"/>
    <w:rsid w:val="00623CCD"/>
    <w:rsid w:val="00623D0B"/>
    <w:rsid w:val="00623D25"/>
    <w:rsid w:val="00623D5A"/>
    <w:rsid w:val="00623DAD"/>
    <w:rsid w:val="00623DF0"/>
    <w:rsid w:val="00623DF1"/>
    <w:rsid w:val="00623E00"/>
    <w:rsid w:val="00623E49"/>
    <w:rsid w:val="00623ECB"/>
    <w:rsid w:val="00623ECE"/>
    <w:rsid w:val="00623F33"/>
    <w:rsid w:val="00623FBE"/>
    <w:rsid w:val="00624001"/>
    <w:rsid w:val="00624004"/>
    <w:rsid w:val="0062402D"/>
    <w:rsid w:val="0062407F"/>
    <w:rsid w:val="00624094"/>
    <w:rsid w:val="00624095"/>
    <w:rsid w:val="00624098"/>
    <w:rsid w:val="006240C6"/>
    <w:rsid w:val="006240CB"/>
    <w:rsid w:val="006240DA"/>
    <w:rsid w:val="00624176"/>
    <w:rsid w:val="00624185"/>
    <w:rsid w:val="00624206"/>
    <w:rsid w:val="0062420E"/>
    <w:rsid w:val="00624240"/>
    <w:rsid w:val="00624290"/>
    <w:rsid w:val="006242AC"/>
    <w:rsid w:val="006242C0"/>
    <w:rsid w:val="006243A7"/>
    <w:rsid w:val="006243B4"/>
    <w:rsid w:val="006243C5"/>
    <w:rsid w:val="006243F1"/>
    <w:rsid w:val="00624404"/>
    <w:rsid w:val="0062442B"/>
    <w:rsid w:val="0062445E"/>
    <w:rsid w:val="006244E4"/>
    <w:rsid w:val="0062454F"/>
    <w:rsid w:val="00624587"/>
    <w:rsid w:val="00624595"/>
    <w:rsid w:val="00624622"/>
    <w:rsid w:val="00624625"/>
    <w:rsid w:val="00624634"/>
    <w:rsid w:val="0062466A"/>
    <w:rsid w:val="006246A1"/>
    <w:rsid w:val="006246A3"/>
    <w:rsid w:val="006246AC"/>
    <w:rsid w:val="006246D4"/>
    <w:rsid w:val="00624780"/>
    <w:rsid w:val="00624798"/>
    <w:rsid w:val="006247E2"/>
    <w:rsid w:val="0062481A"/>
    <w:rsid w:val="0062483E"/>
    <w:rsid w:val="00624842"/>
    <w:rsid w:val="0062485A"/>
    <w:rsid w:val="00624884"/>
    <w:rsid w:val="006248ED"/>
    <w:rsid w:val="006248FA"/>
    <w:rsid w:val="00624905"/>
    <w:rsid w:val="00624970"/>
    <w:rsid w:val="006249AB"/>
    <w:rsid w:val="006249DC"/>
    <w:rsid w:val="006249FC"/>
    <w:rsid w:val="006249FE"/>
    <w:rsid w:val="00624A1A"/>
    <w:rsid w:val="00624A4D"/>
    <w:rsid w:val="00624A8F"/>
    <w:rsid w:val="00624AA3"/>
    <w:rsid w:val="00624B2B"/>
    <w:rsid w:val="00624B9B"/>
    <w:rsid w:val="00624BB5"/>
    <w:rsid w:val="00624C4C"/>
    <w:rsid w:val="00624C4E"/>
    <w:rsid w:val="00624C69"/>
    <w:rsid w:val="00624C73"/>
    <w:rsid w:val="00624C9D"/>
    <w:rsid w:val="00624CE1"/>
    <w:rsid w:val="00624CF8"/>
    <w:rsid w:val="00624D15"/>
    <w:rsid w:val="00624D1F"/>
    <w:rsid w:val="00624D24"/>
    <w:rsid w:val="00624D2E"/>
    <w:rsid w:val="00624D75"/>
    <w:rsid w:val="00624D76"/>
    <w:rsid w:val="00624D86"/>
    <w:rsid w:val="00624D91"/>
    <w:rsid w:val="00624DC1"/>
    <w:rsid w:val="00624E1B"/>
    <w:rsid w:val="00624E1F"/>
    <w:rsid w:val="00624E26"/>
    <w:rsid w:val="00624EA3"/>
    <w:rsid w:val="00624EA4"/>
    <w:rsid w:val="00624EB1"/>
    <w:rsid w:val="00624EB8"/>
    <w:rsid w:val="00624ECF"/>
    <w:rsid w:val="00624ED9"/>
    <w:rsid w:val="00624F25"/>
    <w:rsid w:val="00624F78"/>
    <w:rsid w:val="00624FA9"/>
    <w:rsid w:val="00624FAA"/>
    <w:rsid w:val="00624FE3"/>
    <w:rsid w:val="00624FFD"/>
    <w:rsid w:val="0062502E"/>
    <w:rsid w:val="006250D8"/>
    <w:rsid w:val="006250E0"/>
    <w:rsid w:val="00625128"/>
    <w:rsid w:val="0062518F"/>
    <w:rsid w:val="006251B6"/>
    <w:rsid w:val="006251EB"/>
    <w:rsid w:val="006251F8"/>
    <w:rsid w:val="006251FF"/>
    <w:rsid w:val="00625218"/>
    <w:rsid w:val="00625268"/>
    <w:rsid w:val="0062529C"/>
    <w:rsid w:val="006252B9"/>
    <w:rsid w:val="006252E4"/>
    <w:rsid w:val="0062533B"/>
    <w:rsid w:val="00625344"/>
    <w:rsid w:val="0062537E"/>
    <w:rsid w:val="006253A8"/>
    <w:rsid w:val="00625429"/>
    <w:rsid w:val="006254CA"/>
    <w:rsid w:val="006254FA"/>
    <w:rsid w:val="006254FD"/>
    <w:rsid w:val="0062550F"/>
    <w:rsid w:val="0062551F"/>
    <w:rsid w:val="0062554E"/>
    <w:rsid w:val="0062554F"/>
    <w:rsid w:val="0062557C"/>
    <w:rsid w:val="006255A1"/>
    <w:rsid w:val="006255D0"/>
    <w:rsid w:val="006255F2"/>
    <w:rsid w:val="00625607"/>
    <w:rsid w:val="00625652"/>
    <w:rsid w:val="00625667"/>
    <w:rsid w:val="006256EA"/>
    <w:rsid w:val="006256ED"/>
    <w:rsid w:val="00625711"/>
    <w:rsid w:val="0062573C"/>
    <w:rsid w:val="00625769"/>
    <w:rsid w:val="00625793"/>
    <w:rsid w:val="0062579D"/>
    <w:rsid w:val="006257CA"/>
    <w:rsid w:val="006257E9"/>
    <w:rsid w:val="00625819"/>
    <w:rsid w:val="00625863"/>
    <w:rsid w:val="0062590F"/>
    <w:rsid w:val="00625931"/>
    <w:rsid w:val="00625986"/>
    <w:rsid w:val="00625990"/>
    <w:rsid w:val="006259B1"/>
    <w:rsid w:val="006259B8"/>
    <w:rsid w:val="006259C1"/>
    <w:rsid w:val="00625A17"/>
    <w:rsid w:val="00625A37"/>
    <w:rsid w:val="00625A60"/>
    <w:rsid w:val="00625B20"/>
    <w:rsid w:val="00625B21"/>
    <w:rsid w:val="00625B2F"/>
    <w:rsid w:val="00625B36"/>
    <w:rsid w:val="00625B57"/>
    <w:rsid w:val="00625B5B"/>
    <w:rsid w:val="00625B73"/>
    <w:rsid w:val="00625B75"/>
    <w:rsid w:val="00625B91"/>
    <w:rsid w:val="00625B93"/>
    <w:rsid w:val="00625BD6"/>
    <w:rsid w:val="00625C1B"/>
    <w:rsid w:val="00625C45"/>
    <w:rsid w:val="00625C4C"/>
    <w:rsid w:val="00625C63"/>
    <w:rsid w:val="00625C80"/>
    <w:rsid w:val="00625CBE"/>
    <w:rsid w:val="00625CE0"/>
    <w:rsid w:val="00625CF2"/>
    <w:rsid w:val="00625D0C"/>
    <w:rsid w:val="00625D2D"/>
    <w:rsid w:val="00625D33"/>
    <w:rsid w:val="00625DEA"/>
    <w:rsid w:val="00625DF9"/>
    <w:rsid w:val="00625E44"/>
    <w:rsid w:val="00625EF9"/>
    <w:rsid w:val="00625F57"/>
    <w:rsid w:val="00625F74"/>
    <w:rsid w:val="00625F86"/>
    <w:rsid w:val="00625F8A"/>
    <w:rsid w:val="00625F94"/>
    <w:rsid w:val="00625FCA"/>
    <w:rsid w:val="00626020"/>
    <w:rsid w:val="0062602B"/>
    <w:rsid w:val="0062603B"/>
    <w:rsid w:val="00626063"/>
    <w:rsid w:val="0062606C"/>
    <w:rsid w:val="006260CB"/>
    <w:rsid w:val="00626102"/>
    <w:rsid w:val="0062613F"/>
    <w:rsid w:val="00626141"/>
    <w:rsid w:val="0062615B"/>
    <w:rsid w:val="00626181"/>
    <w:rsid w:val="00626189"/>
    <w:rsid w:val="0062619E"/>
    <w:rsid w:val="00626251"/>
    <w:rsid w:val="00626255"/>
    <w:rsid w:val="00626274"/>
    <w:rsid w:val="0062629F"/>
    <w:rsid w:val="006262A3"/>
    <w:rsid w:val="006262E6"/>
    <w:rsid w:val="00626367"/>
    <w:rsid w:val="006263A0"/>
    <w:rsid w:val="006263AE"/>
    <w:rsid w:val="006263C7"/>
    <w:rsid w:val="006263C8"/>
    <w:rsid w:val="006263E1"/>
    <w:rsid w:val="00626474"/>
    <w:rsid w:val="00626479"/>
    <w:rsid w:val="0062647A"/>
    <w:rsid w:val="0062654D"/>
    <w:rsid w:val="0062655C"/>
    <w:rsid w:val="006265D7"/>
    <w:rsid w:val="00626603"/>
    <w:rsid w:val="00626633"/>
    <w:rsid w:val="0062664C"/>
    <w:rsid w:val="00626686"/>
    <w:rsid w:val="00626692"/>
    <w:rsid w:val="006266B1"/>
    <w:rsid w:val="0062671B"/>
    <w:rsid w:val="006267B8"/>
    <w:rsid w:val="006267DE"/>
    <w:rsid w:val="00626827"/>
    <w:rsid w:val="00626858"/>
    <w:rsid w:val="006268E0"/>
    <w:rsid w:val="0062696A"/>
    <w:rsid w:val="00626978"/>
    <w:rsid w:val="00626994"/>
    <w:rsid w:val="006269B3"/>
    <w:rsid w:val="006269B8"/>
    <w:rsid w:val="00626A26"/>
    <w:rsid w:val="00626A29"/>
    <w:rsid w:val="00626A77"/>
    <w:rsid w:val="00626A9A"/>
    <w:rsid w:val="00626B47"/>
    <w:rsid w:val="00626B4A"/>
    <w:rsid w:val="00626B57"/>
    <w:rsid w:val="00626B5D"/>
    <w:rsid w:val="00626B6D"/>
    <w:rsid w:val="00626B92"/>
    <w:rsid w:val="00626B94"/>
    <w:rsid w:val="00626BAC"/>
    <w:rsid w:val="00626BD9"/>
    <w:rsid w:val="00626C17"/>
    <w:rsid w:val="00626C19"/>
    <w:rsid w:val="00626C27"/>
    <w:rsid w:val="00626CA6"/>
    <w:rsid w:val="00626CA9"/>
    <w:rsid w:val="00626CB3"/>
    <w:rsid w:val="00626CB9"/>
    <w:rsid w:val="00626CF4"/>
    <w:rsid w:val="00626D53"/>
    <w:rsid w:val="00626D7B"/>
    <w:rsid w:val="00626DE6"/>
    <w:rsid w:val="00626E43"/>
    <w:rsid w:val="00626E47"/>
    <w:rsid w:val="00626E5E"/>
    <w:rsid w:val="00626EA3"/>
    <w:rsid w:val="00626EAB"/>
    <w:rsid w:val="00626ED5"/>
    <w:rsid w:val="00626EF9"/>
    <w:rsid w:val="00626F22"/>
    <w:rsid w:val="00627049"/>
    <w:rsid w:val="00627081"/>
    <w:rsid w:val="006270A8"/>
    <w:rsid w:val="006270BF"/>
    <w:rsid w:val="006270E7"/>
    <w:rsid w:val="006270EE"/>
    <w:rsid w:val="006270F7"/>
    <w:rsid w:val="00627112"/>
    <w:rsid w:val="0062711D"/>
    <w:rsid w:val="00627189"/>
    <w:rsid w:val="006271D8"/>
    <w:rsid w:val="006271E4"/>
    <w:rsid w:val="006271F3"/>
    <w:rsid w:val="0062721A"/>
    <w:rsid w:val="00627232"/>
    <w:rsid w:val="00627243"/>
    <w:rsid w:val="0062727C"/>
    <w:rsid w:val="0062730F"/>
    <w:rsid w:val="00627316"/>
    <w:rsid w:val="0062732A"/>
    <w:rsid w:val="00627367"/>
    <w:rsid w:val="00627388"/>
    <w:rsid w:val="00627395"/>
    <w:rsid w:val="00627405"/>
    <w:rsid w:val="00627437"/>
    <w:rsid w:val="00627438"/>
    <w:rsid w:val="0062744B"/>
    <w:rsid w:val="0062748C"/>
    <w:rsid w:val="00627494"/>
    <w:rsid w:val="006274C7"/>
    <w:rsid w:val="006274D8"/>
    <w:rsid w:val="006274E2"/>
    <w:rsid w:val="0062754C"/>
    <w:rsid w:val="00627567"/>
    <w:rsid w:val="00627570"/>
    <w:rsid w:val="00627584"/>
    <w:rsid w:val="006275B6"/>
    <w:rsid w:val="006275C7"/>
    <w:rsid w:val="00627624"/>
    <w:rsid w:val="00627653"/>
    <w:rsid w:val="006276B0"/>
    <w:rsid w:val="0062773D"/>
    <w:rsid w:val="0062776A"/>
    <w:rsid w:val="00627780"/>
    <w:rsid w:val="006277A7"/>
    <w:rsid w:val="006277C1"/>
    <w:rsid w:val="00627865"/>
    <w:rsid w:val="0062787B"/>
    <w:rsid w:val="00627894"/>
    <w:rsid w:val="006278B2"/>
    <w:rsid w:val="006278C6"/>
    <w:rsid w:val="006278DD"/>
    <w:rsid w:val="00627905"/>
    <w:rsid w:val="00627918"/>
    <w:rsid w:val="0062791A"/>
    <w:rsid w:val="00627928"/>
    <w:rsid w:val="0062795D"/>
    <w:rsid w:val="0062795E"/>
    <w:rsid w:val="00627976"/>
    <w:rsid w:val="00627983"/>
    <w:rsid w:val="00627987"/>
    <w:rsid w:val="006279A2"/>
    <w:rsid w:val="006279B8"/>
    <w:rsid w:val="00627A38"/>
    <w:rsid w:val="00627A72"/>
    <w:rsid w:val="00627AAC"/>
    <w:rsid w:val="00627B30"/>
    <w:rsid w:val="00627B54"/>
    <w:rsid w:val="00627B66"/>
    <w:rsid w:val="00627B73"/>
    <w:rsid w:val="00627B9A"/>
    <w:rsid w:val="00627BBC"/>
    <w:rsid w:val="00627BC7"/>
    <w:rsid w:val="00627BF1"/>
    <w:rsid w:val="00627C32"/>
    <w:rsid w:val="00627C74"/>
    <w:rsid w:val="00627C95"/>
    <w:rsid w:val="00627D17"/>
    <w:rsid w:val="00627D48"/>
    <w:rsid w:val="00627DC3"/>
    <w:rsid w:val="00627E09"/>
    <w:rsid w:val="00627E0A"/>
    <w:rsid w:val="00627EA3"/>
    <w:rsid w:val="00627EE2"/>
    <w:rsid w:val="00627F2A"/>
    <w:rsid w:val="00627F72"/>
    <w:rsid w:val="00627F8F"/>
    <w:rsid w:val="00627FB0"/>
    <w:rsid w:val="0063001C"/>
    <w:rsid w:val="00630025"/>
    <w:rsid w:val="0063004C"/>
    <w:rsid w:val="00630082"/>
    <w:rsid w:val="00630113"/>
    <w:rsid w:val="00630141"/>
    <w:rsid w:val="00630158"/>
    <w:rsid w:val="00630168"/>
    <w:rsid w:val="0063016C"/>
    <w:rsid w:val="0063017C"/>
    <w:rsid w:val="0063018A"/>
    <w:rsid w:val="0063021E"/>
    <w:rsid w:val="00630267"/>
    <w:rsid w:val="0063028D"/>
    <w:rsid w:val="006302B0"/>
    <w:rsid w:val="006302D8"/>
    <w:rsid w:val="006302D9"/>
    <w:rsid w:val="006302E7"/>
    <w:rsid w:val="0063033E"/>
    <w:rsid w:val="00630351"/>
    <w:rsid w:val="00630361"/>
    <w:rsid w:val="0063036A"/>
    <w:rsid w:val="00630376"/>
    <w:rsid w:val="00630392"/>
    <w:rsid w:val="00630396"/>
    <w:rsid w:val="006303A4"/>
    <w:rsid w:val="006303B6"/>
    <w:rsid w:val="00630489"/>
    <w:rsid w:val="006304B1"/>
    <w:rsid w:val="006304CB"/>
    <w:rsid w:val="006304E2"/>
    <w:rsid w:val="0063053F"/>
    <w:rsid w:val="00630543"/>
    <w:rsid w:val="0063058C"/>
    <w:rsid w:val="006305AB"/>
    <w:rsid w:val="006305F9"/>
    <w:rsid w:val="006305FC"/>
    <w:rsid w:val="0063061E"/>
    <w:rsid w:val="0063063D"/>
    <w:rsid w:val="0063065D"/>
    <w:rsid w:val="00630665"/>
    <w:rsid w:val="0063066D"/>
    <w:rsid w:val="0063068C"/>
    <w:rsid w:val="006306B6"/>
    <w:rsid w:val="006306D1"/>
    <w:rsid w:val="00630719"/>
    <w:rsid w:val="0063071A"/>
    <w:rsid w:val="0063073D"/>
    <w:rsid w:val="00630746"/>
    <w:rsid w:val="00630749"/>
    <w:rsid w:val="00630785"/>
    <w:rsid w:val="006307B7"/>
    <w:rsid w:val="00630812"/>
    <w:rsid w:val="0063084E"/>
    <w:rsid w:val="0063087C"/>
    <w:rsid w:val="00630883"/>
    <w:rsid w:val="00630900"/>
    <w:rsid w:val="00630907"/>
    <w:rsid w:val="00630952"/>
    <w:rsid w:val="00630967"/>
    <w:rsid w:val="00630971"/>
    <w:rsid w:val="006309EB"/>
    <w:rsid w:val="006309FD"/>
    <w:rsid w:val="00630A91"/>
    <w:rsid w:val="00630A9E"/>
    <w:rsid w:val="00630AB2"/>
    <w:rsid w:val="00630ABF"/>
    <w:rsid w:val="00630B1A"/>
    <w:rsid w:val="00630B38"/>
    <w:rsid w:val="00630B49"/>
    <w:rsid w:val="00630B6F"/>
    <w:rsid w:val="00630BD1"/>
    <w:rsid w:val="00630BDB"/>
    <w:rsid w:val="00630BFF"/>
    <w:rsid w:val="00630C38"/>
    <w:rsid w:val="00630C42"/>
    <w:rsid w:val="00630C8B"/>
    <w:rsid w:val="00630CCD"/>
    <w:rsid w:val="00630CD5"/>
    <w:rsid w:val="00630CFB"/>
    <w:rsid w:val="00630D0B"/>
    <w:rsid w:val="00630D28"/>
    <w:rsid w:val="00630D46"/>
    <w:rsid w:val="00630D6E"/>
    <w:rsid w:val="00630D74"/>
    <w:rsid w:val="00630DD2"/>
    <w:rsid w:val="00630DFE"/>
    <w:rsid w:val="00630E0D"/>
    <w:rsid w:val="00630E23"/>
    <w:rsid w:val="00630E27"/>
    <w:rsid w:val="00630E37"/>
    <w:rsid w:val="00630E90"/>
    <w:rsid w:val="00630EA0"/>
    <w:rsid w:val="00630EAB"/>
    <w:rsid w:val="00630EBB"/>
    <w:rsid w:val="00630EC8"/>
    <w:rsid w:val="00630F1E"/>
    <w:rsid w:val="00630F59"/>
    <w:rsid w:val="00630FD8"/>
    <w:rsid w:val="00631028"/>
    <w:rsid w:val="00631039"/>
    <w:rsid w:val="00631077"/>
    <w:rsid w:val="00631089"/>
    <w:rsid w:val="0063108F"/>
    <w:rsid w:val="0063110A"/>
    <w:rsid w:val="00631159"/>
    <w:rsid w:val="00631169"/>
    <w:rsid w:val="006311AA"/>
    <w:rsid w:val="006311D6"/>
    <w:rsid w:val="006311DC"/>
    <w:rsid w:val="0063124C"/>
    <w:rsid w:val="00631250"/>
    <w:rsid w:val="0063129D"/>
    <w:rsid w:val="006312CC"/>
    <w:rsid w:val="00631319"/>
    <w:rsid w:val="00631328"/>
    <w:rsid w:val="0063132D"/>
    <w:rsid w:val="0063133A"/>
    <w:rsid w:val="00631376"/>
    <w:rsid w:val="006313DE"/>
    <w:rsid w:val="006313F9"/>
    <w:rsid w:val="00631504"/>
    <w:rsid w:val="00631544"/>
    <w:rsid w:val="00631561"/>
    <w:rsid w:val="00631579"/>
    <w:rsid w:val="006315AD"/>
    <w:rsid w:val="006315B0"/>
    <w:rsid w:val="006315B2"/>
    <w:rsid w:val="00631601"/>
    <w:rsid w:val="00631634"/>
    <w:rsid w:val="00631641"/>
    <w:rsid w:val="00631673"/>
    <w:rsid w:val="006316A7"/>
    <w:rsid w:val="00631738"/>
    <w:rsid w:val="006317B3"/>
    <w:rsid w:val="006317E3"/>
    <w:rsid w:val="00631820"/>
    <w:rsid w:val="00631856"/>
    <w:rsid w:val="00631861"/>
    <w:rsid w:val="00631871"/>
    <w:rsid w:val="006318CC"/>
    <w:rsid w:val="006318F5"/>
    <w:rsid w:val="00631911"/>
    <w:rsid w:val="00631979"/>
    <w:rsid w:val="00631995"/>
    <w:rsid w:val="006319B6"/>
    <w:rsid w:val="006319C9"/>
    <w:rsid w:val="006319D8"/>
    <w:rsid w:val="00631A88"/>
    <w:rsid w:val="00631B09"/>
    <w:rsid w:val="00631BAE"/>
    <w:rsid w:val="00631BC1"/>
    <w:rsid w:val="00631BE7"/>
    <w:rsid w:val="00631C4E"/>
    <w:rsid w:val="00631C54"/>
    <w:rsid w:val="00631C58"/>
    <w:rsid w:val="00631C61"/>
    <w:rsid w:val="00631C81"/>
    <w:rsid w:val="00631CFE"/>
    <w:rsid w:val="00631D08"/>
    <w:rsid w:val="00631D3B"/>
    <w:rsid w:val="00631D48"/>
    <w:rsid w:val="00631D82"/>
    <w:rsid w:val="00631DB2"/>
    <w:rsid w:val="00631DD6"/>
    <w:rsid w:val="00631E05"/>
    <w:rsid w:val="00631E0C"/>
    <w:rsid w:val="00631E26"/>
    <w:rsid w:val="00631E47"/>
    <w:rsid w:val="00631E60"/>
    <w:rsid w:val="00631E9D"/>
    <w:rsid w:val="00631EC8"/>
    <w:rsid w:val="00631ECE"/>
    <w:rsid w:val="00631EF0"/>
    <w:rsid w:val="00631EF4"/>
    <w:rsid w:val="00631F3B"/>
    <w:rsid w:val="00631F76"/>
    <w:rsid w:val="00631FDA"/>
    <w:rsid w:val="00631FEA"/>
    <w:rsid w:val="00631FEE"/>
    <w:rsid w:val="00631FEF"/>
    <w:rsid w:val="00631FF8"/>
    <w:rsid w:val="00632059"/>
    <w:rsid w:val="0063205D"/>
    <w:rsid w:val="00632070"/>
    <w:rsid w:val="00632096"/>
    <w:rsid w:val="006320CB"/>
    <w:rsid w:val="00632113"/>
    <w:rsid w:val="00632148"/>
    <w:rsid w:val="00632152"/>
    <w:rsid w:val="006321DF"/>
    <w:rsid w:val="00632212"/>
    <w:rsid w:val="00632214"/>
    <w:rsid w:val="0063224D"/>
    <w:rsid w:val="0063225E"/>
    <w:rsid w:val="0063226B"/>
    <w:rsid w:val="00632298"/>
    <w:rsid w:val="006322C9"/>
    <w:rsid w:val="00632351"/>
    <w:rsid w:val="0063238F"/>
    <w:rsid w:val="006323A5"/>
    <w:rsid w:val="006323D7"/>
    <w:rsid w:val="006323FE"/>
    <w:rsid w:val="0063246A"/>
    <w:rsid w:val="00632478"/>
    <w:rsid w:val="006324D3"/>
    <w:rsid w:val="006324F1"/>
    <w:rsid w:val="00632511"/>
    <w:rsid w:val="0063251E"/>
    <w:rsid w:val="0063255C"/>
    <w:rsid w:val="0063256B"/>
    <w:rsid w:val="0063259E"/>
    <w:rsid w:val="0063263A"/>
    <w:rsid w:val="00632645"/>
    <w:rsid w:val="0063265F"/>
    <w:rsid w:val="00632693"/>
    <w:rsid w:val="0063269F"/>
    <w:rsid w:val="006326A8"/>
    <w:rsid w:val="0063270C"/>
    <w:rsid w:val="00632714"/>
    <w:rsid w:val="00632735"/>
    <w:rsid w:val="00632739"/>
    <w:rsid w:val="0063273B"/>
    <w:rsid w:val="00632740"/>
    <w:rsid w:val="00632754"/>
    <w:rsid w:val="0063276A"/>
    <w:rsid w:val="00632779"/>
    <w:rsid w:val="0063278B"/>
    <w:rsid w:val="006327F0"/>
    <w:rsid w:val="00632801"/>
    <w:rsid w:val="00632857"/>
    <w:rsid w:val="00632865"/>
    <w:rsid w:val="00632897"/>
    <w:rsid w:val="006328AF"/>
    <w:rsid w:val="00632934"/>
    <w:rsid w:val="00632946"/>
    <w:rsid w:val="00632957"/>
    <w:rsid w:val="006329C0"/>
    <w:rsid w:val="00632A33"/>
    <w:rsid w:val="00632A52"/>
    <w:rsid w:val="00632A99"/>
    <w:rsid w:val="00632B14"/>
    <w:rsid w:val="00632B15"/>
    <w:rsid w:val="00632B30"/>
    <w:rsid w:val="00632B48"/>
    <w:rsid w:val="00632B72"/>
    <w:rsid w:val="00632B76"/>
    <w:rsid w:val="00632BA0"/>
    <w:rsid w:val="00632BDE"/>
    <w:rsid w:val="00632C10"/>
    <w:rsid w:val="00632C19"/>
    <w:rsid w:val="00632C1B"/>
    <w:rsid w:val="00632CEA"/>
    <w:rsid w:val="00632D2F"/>
    <w:rsid w:val="00632D4A"/>
    <w:rsid w:val="00632DAF"/>
    <w:rsid w:val="00632DC0"/>
    <w:rsid w:val="00632DC3"/>
    <w:rsid w:val="00632DFD"/>
    <w:rsid w:val="00632E52"/>
    <w:rsid w:val="00632EB9"/>
    <w:rsid w:val="00632EEE"/>
    <w:rsid w:val="00632F02"/>
    <w:rsid w:val="00632F0D"/>
    <w:rsid w:val="00632F16"/>
    <w:rsid w:val="00632F83"/>
    <w:rsid w:val="00632FBE"/>
    <w:rsid w:val="0063300F"/>
    <w:rsid w:val="00633013"/>
    <w:rsid w:val="00633066"/>
    <w:rsid w:val="0063318B"/>
    <w:rsid w:val="00633192"/>
    <w:rsid w:val="00633197"/>
    <w:rsid w:val="006331BF"/>
    <w:rsid w:val="00633229"/>
    <w:rsid w:val="00633270"/>
    <w:rsid w:val="00633278"/>
    <w:rsid w:val="00633289"/>
    <w:rsid w:val="0063329D"/>
    <w:rsid w:val="006332BF"/>
    <w:rsid w:val="006332EE"/>
    <w:rsid w:val="006332F4"/>
    <w:rsid w:val="00633312"/>
    <w:rsid w:val="00633391"/>
    <w:rsid w:val="006333C6"/>
    <w:rsid w:val="006333D3"/>
    <w:rsid w:val="00633485"/>
    <w:rsid w:val="006334D2"/>
    <w:rsid w:val="006334F9"/>
    <w:rsid w:val="00633518"/>
    <w:rsid w:val="00633545"/>
    <w:rsid w:val="00633592"/>
    <w:rsid w:val="006335CF"/>
    <w:rsid w:val="006335D9"/>
    <w:rsid w:val="0063365A"/>
    <w:rsid w:val="0063372A"/>
    <w:rsid w:val="00633733"/>
    <w:rsid w:val="0063376A"/>
    <w:rsid w:val="006337BA"/>
    <w:rsid w:val="006337E7"/>
    <w:rsid w:val="00633817"/>
    <w:rsid w:val="00633818"/>
    <w:rsid w:val="00633875"/>
    <w:rsid w:val="006338B7"/>
    <w:rsid w:val="006338ED"/>
    <w:rsid w:val="00633902"/>
    <w:rsid w:val="0063394C"/>
    <w:rsid w:val="00633961"/>
    <w:rsid w:val="00633992"/>
    <w:rsid w:val="00633996"/>
    <w:rsid w:val="006339A3"/>
    <w:rsid w:val="00633A04"/>
    <w:rsid w:val="00633A19"/>
    <w:rsid w:val="00633A5B"/>
    <w:rsid w:val="00633AC6"/>
    <w:rsid w:val="00633ADC"/>
    <w:rsid w:val="00633B08"/>
    <w:rsid w:val="00633B4C"/>
    <w:rsid w:val="00633C30"/>
    <w:rsid w:val="00633C37"/>
    <w:rsid w:val="00633C3A"/>
    <w:rsid w:val="00633C43"/>
    <w:rsid w:val="00633C4B"/>
    <w:rsid w:val="00633C5E"/>
    <w:rsid w:val="00633C64"/>
    <w:rsid w:val="00633CAA"/>
    <w:rsid w:val="00633CB9"/>
    <w:rsid w:val="00633CCE"/>
    <w:rsid w:val="00633D0A"/>
    <w:rsid w:val="00633D4E"/>
    <w:rsid w:val="00633D73"/>
    <w:rsid w:val="00633D7B"/>
    <w:rsid w:val="00633DE7"/>
    <w:rsid w:val="00633E0A"/>
    <w:rsid w:val="00633E0E"/>
    <w:rsid w:val="00633E38"/>
    <w:rsid w:val="00633E4A"/>
    <w:rsid w:val="00633E4E"/>
    <w:rsid w:val="00633E57"/>
    <w:rsid w:val="00633E5A"/>
    <w:rsid w:val="00633EB3"/>
    <w:rsid w:val="00633EC7"/>
    <w:rsid w:val="00633EE7"/>
    <w:rsid w:val="00633EFC"/>
    <w:rsid w:val="00633F0D"/>
    <w:rsid w:val="00633F36"/>
    <w:rsid w:val="00633F3F"/>
    <w:rsid w:val="00633F86"/>
    <w:rsid w:val="00633FC2"/>
    <w:rsid w:val="00633FC8"/>
    <w:rsid w:val="00633FD4"/>
    <w:rsid w:val="00633FF3"/>
    <w:rsid w:val="00634038"/>
    <w:rsid w:val="00634048"/>
    <w:rsid w:val="0063407C"/>
    <w:rsid w:val="00634096"/>
    <w:rsid w:val="006340A7"/>
    <w:rsid w:val="006340DC"/>
    <w:rsid w:val="006340E3"/>
    <w:rsid w:val="006341B6"/>
    <w:rsid w:val="006341B8"/>
    <w:rsid w:val="006341CA"/>
    <w:rsid w:val="006341F6"/>
    <w:rsid w:val="006342CF"/>
    <w:rsid w:val="006342FF"/>
    <w:rsid w:val="00634322"/>
    <w:rsid w:val="00634323"/>
    <w:rsid w:val="006343DE"/>
    <w:rsid w:val="006343EE"/>
    <w:rsid w:val="00634427"/>
    <w:rsid w:val="00634468"/>
    <w:rsid w:val="0063446C"/>
    <w:rsid w:val="0063448F"/>
    <w:rsid w:val="00634490"/>
    <w:rsid w:val="0063449F"/>
    <w:rsid w:val="006344B7"/>
    <w:rsid w:val="006344E5"/>
    <w:rsid w:val="006344F3"/>
    <w:rsid w:val="00634529"/>
    <w:rsid w:val="0063452F"/>
    <w:rsid w:val="00634544"/>
    <w:rsid w:val="00634558"/>
    <w:rsid w:val="00634575"/>
    <w:rsid w:val="0063457E"/>
    <w:rsid w:val="0063459B"/>
    <w:rsid w:val="006345A4"/>
    <w:rsid w:val="006345D5"/>
    <w:rsid w:val="006345F9"/>
    <w:rsid w:val="00634615"/>
    <w:rsid w:val="0063463A"/>
    <w:rsid w:val="006346A0"/>
    <w:rsid w:val="006346A5"/>
    <w:rsid w:val="006346BD"/>
    <w:rsid w:val="006346F4"/>
    <w:rsid w:val="0063471D"/>
    <w:rsid w:val="00634794"/>
    <w:rsid w:val="0063480F"/>
    <w:rsid w:val="00634823"/>
    <w:rsid w:val="0063488B"/>
    <w:rsid w:val="006348FA"/>
    <w:rsid w:val="0063495C"/>
    <w:rsid w:val="00634983"/>
    <w:rsid w:val="00634996"/>
    <w:rsid w:val="0063499D"/>
    <w:rsid w:val="006349C1"/>
    <w:rsid w:val="00634AB8"/>
    <w:rsid w:val="00634AED"/>
    <w:rsid w:val="00634B11"/>
    <w:rsid w:val="00634B18"/>
    <w:rsid w:val="00634B2B"/>
    <w:rsid w:val="00634BA4"/>
    <w:rsid w:val="00634BBD"/>
    <w:rsid w:val="00634C26"/>
    <w:rsid w:val="00634C94"/>
    <w:rsid w:val="00634CE0"/>
    <w:rsid w:val="00634CF7"/>
    <w:rsid w:val="00634CFD"/>
    <w:rsid w:val="00634D10"/>
    <w:rsid w:val="00634D2A"/>
    <w:rsid w:val="00634D46"/>
    <w:rsid w:val="00634D93"/>
    <w:rsid w:val="00634DCE"/>
    <w:rsid w:val="00634DEC"/>
    <w:rsid w:val="00634E11"/>
    <w:rsid w:val="00634E1A"/>
    <w:rsid w:val="00634E39"/>
    <w:rsid w:val="00634E44"/>
    <w:rsid w:val="00634E4F"/>
    <w:rsid w:val="00634E8B"/>
    <w:rsid w:val="00634EC2"/>
    <w:rsid w:val="00634F2B"/>
    <w:rsid w:val="00634F3C"/>
    <w:rsid w:val="00634F3D"/>
    <w:rsid w:val="00634F52"/>
    <w:rsid w:val="00634F95"/>
    <w:rsid w:val="00634FBD"/>
    <w:rsid w:val="00634FBE"/>
    <w:rsid w:val="00634FCA"/>
    <w:rsid w:val="00634FE8"/>
    <w:rsid w:val="0063501E"/>
    <w:rsid w:val="00635044"/>
    <w:rsid w:val="006350B1"/>
    <w:rsid w:val="006350E6"/>
    <w:rsid w:val="0063510B"/>
    <w:rsid w:val="0063518C"/>
    <w:rsid w:val="006351B7"/>
    <w:rsid w:val="006351C4"/>
    <w:rsid w:val="0063520C"/>
    <w:rsid w:val="00635214"/>
    <w:rsid w:val="0063521C"/>
    <w:rsid w:val="0063522A"/>
    <w:rsid w:val="00635247"/>
    <w:rsid w:val="006352A3"/>
    <w:rsid w:val="006352AE"/>
    <w:rsid w:val="006352B5"/>
    <w:rsid w:val="00635317"/>
    <w:rsid w:val="00635325"/>
    <w:rsid w:val="00635360"/>
    <w:rsid w:val="006353E0"/>
    <w:rsid w:val="00635449"/>
    <w:rsid w:val="006354F7"/>
    <w:rsid w:val="0063551B"/>
    <w:rsid w:val="00635522"/>
    <w:rsid w:val="0063552C"/>
    <w:rsid w:val="00635536"/>
    <w:rsid w:val="0063556B"/>
    <w:rsid w:val="0063558B"/>
    <w:rsid w:val="006355A3"/>
    <w:rsid w:val="006355B4"/>
    <w:rsid w:val="006355B6"/>
    <w:rsid w:val="006355D2"/>
    <w:rsid w:val="006355F5"/>
    <w:rsid w:val="0063564B"/>
    <w:rsid w:val="00635659"/>
    <w:rsid w:val="0063565A"/>
    <w:rsid w:val="0063568F"/>
    <w:rsid w:val="0063569B"/>
    <w:rsid w:val="0063569F"/>
    <w:rsid w:val="006356D6"/>
    <w:rsid w:val="00635709"/>
    <w:rsid w:val="0063571E"/>
    <w:rsid w:val="0063575B"/>
    <w:rsid w:val="00635780"/>
    <w:rsid w:val="0063578C"/>
    <w:rsid w:val="006357C1"/>
    <w:rsid w:val="006357F2"/>
    <w:rsid w:val="0063580C"/>
    <w:rsid w:val="0063581A"/>
    <w:rsid w:val="00635820"/>
    <w:rsid w:val="0063582B"/>
    <w:rsid w:val="00635896"/>
    <w:rsid w:val="006358FA"/>
    <w:rsid w:val="0063592B"/>
    <w:rsid w:val="00635936"/>
    <w:rsid w:val="00635948"/>
    <w:rsid w:val="0063595A"/>
    <w:rsid w:val="00635979"/>
    <w:rsid w:val="00635986"/>
    <w:rsid w:val="006359DB"/>
    <w:rsid w:val="00635A0D"/>
    <w:rsid w:val="00635A5D"/>
    <w:rsid w:val="00635AE9"/>
    <w:rsid w:val="00635B10"/>
    <w:rsid w:val="00635BB7"/>
    <w:rsid w:val="00635C27"/>
    <w:rsid w:val="00635C63"/>
    <w:rsid w:val="00635C6B"/>
    <w:rsid w:val="00635CC7"/>
    <w:rsid w:val="00635CD2"/>
    <w:rsid w:val="00635CF7"/>
    <w:rsid w:val="00635CFA"/>
    <w:rsid w:val="00635E17"/>
    <w:rsid w:val="00635E1E"/>
    <w:rsid w:val="00635E7C"/>
    <w:rsid w:val="00635E84"/>
    <w:rsid w:val="00635F51"/>
    <w:rsid w:val="00635F98"/>
    <w:rsid w:val="00635FEC"/>
    <w:rsid w:val="00636004"/>
    <w:rsid w:val="00636068"/>
    <w:rsid w:val="00636091"/>
    <w:rsid w:val="0063609A"/>
    <w:rsid w:val="006360CA"/>
    <w:rsid w:val="006360CB"/>
    <w:rsid w:val="006360CC"/>
    <w:rsid w:val="00636102"/>
    <w:rsid w:val="00636138"/>
    <w:rsid w:val="0063613E"/>
    <w:rsid w:val="00636152"/>
    <w:rsid w:val="0063618D"/>
    <w:rsid w:val="0063618F"/>
    <w:rsid w:val="006361FC"/>
    <w:rsid w:val="0063621C"/>
    <w:rsid w:val="00636253"/>
    <w:rsid w:val="00636257"/>
    <w:rsid w:val="0063626C"/>
    <w:rsid w:val="0063627A"/>
    <w:rsid w:val="006362B2"/>
    <w:rsid w:val="006362C7"/>
    <w:rsid w:val="00636329"/>
    <w:rsid w:val="00636358"/>
    <w:rsid w:val="00636367"/>
    <w:rsid w:val="0063638B"/>
    <w:rsid w:val="00636392"/>
    <w:rsid w:val="006363BB"/>
    <w:rsid w:val="006363D1"/>
    <w:rsid w:val="00636405"/>
    <w:rsid w:val="0063641B"/>
    <w:rsid w:val="00636424"/>
    <w:rsid w:val="00636430"/>
    <w:rsid w:val="00636492"/>
    <w:rsid w:val="00636495"/>
    <w:rsid w:val="006364E2"/>
    <w:rsid w:val="00636575"/>
    <w:rsid w:val="00636585"/>
    <w:rsid w:val="006365FA"/>
    <w:rsid w:val="00636609"/>
    <w:rsid w:val="0063666C"/>
    <w:rsid w:val="00636690"/>
    <w:rsid w:val="006366AB"/>
    <w:rsid w:val="006366EF"/>
    <w:rsid w:val="00636704"/>
    <w:rsid w:val="00636727"/>
    <w:rsid w:val="00636741"/>
    <w:rsid w:val="00636809"/>
    <w:rsid w:val="00636814"/>
    <w:rsid w:val="0063682E"/>
    <w:rsid w:val="00636896"/>
    <w:rsid w:val="006368A3"/>
    <w:rsid w:val="00636913"/>
    <w:rsid w:val="0063691F"/>
    <w:rsid w:val="0063693F"/>
    <w:rsid w:val="00636940"/>
    <w:rsid w:val="0063694B"/>
    <w:rsid w:val="00636956"/>
    <w:rsid w:val="0063697D"/>
    <w:rsid w:val="006369D2"/>
    <w:rsid w:val="006369D9"/>
    <w:rsid w:val="00636AC6"/>
    <w:rsid w:val="00636AEA"/>
    <w:rsid w:val="00636B23"/>
    <w:rsid w:val="00636B47"/>
    <w:rsid w:val="00636B4B"/>
    <w:rsid w:val="00636B70"/>
    <w:rsid w:val="00636BA9"/>
    <w:rsid w:val="00636BB5"/>
    <w:rsid w:val="00636BFD"/>
    <w:rsid w:val="00636C05"/>
    <w:rsid w:val="00636C07"/>
    <w:rsid w:val="00636C13"/>
    <w:rsid w:val="00636C3D"/>
    <w:rsid w:val="00636C8C"/>
    <w:rsid w:val="00636CCD"/>
    <w:rsid w:val="00636CF0"/>
    <w:rsid w:val="00636D00"/>
    <w:rsid w:val="00636D2E"/>
    <w:rsid w:val="00636D30"/>
    <w:rsid w:val="00636D40"/>
    <w:rsid w:val="00636D53"/>
    <w:rsid w:val="00636DA5"/>
    <w:rsid w:val="00636DD9"/>
    <w:rsid w:val="00636DE1"/>
    <w:rsid w:val="00636E00"/>
    <w:rsid w:val="00636E17"/>
    <w:rsid w:val="00636E1F"/>
    <w:rsid w:val="00636E3F"/>
    <w:rsid w:val="00636E4B"/>
    <w:rsid w:val="00636EB4"/>
    <w:rsid w:val="00636ED2"/>
    <w:rsid w:val="00636ED3"/>
    <w:rsid w:val="00636F00"/>
    <w:rsid w:val="00636F33"/>
    <w:rsid w:val="00636F34"/>
    <w:rsid w:val="00636F40"/>
    <w:rsid w:val="00636F45"/>
    <w:rsid w:val="00636F71"/>
    <w:rsid w:val="00636FA9"/>
    <w:rsid w:val="00636FE8"/>
    <w:rsid w:val="0063704A"/>
    <w:rsid w:val="0063707E"/>
    <w:rsid w:val="006370A7"/>
    <w:rsid w:val="00637159"/>
    <w:rsid w:val="00637168"/>
    <w:rsid w:val="00637183"/>
    <w:rsid w:val="00637196"/>
    <w:rsid w:val="006371DB"/>
    <w:rsid w:val="006371F5"/>
    <w:rsid w:val="0063725C"/>
    <w:rsid w:val="006372C4"/>
    <w:rsid w:val="006372DA"/>
    <w:rsid w:val="006372E2"/>
    <w:rsid w:val="00637321"/>
    <w:rsid w:val="00637367"/>
    <w:rsid w:val="00637368"/>
    <w:rsid w:val="00637379"/>
    <w:rsid w:val="00637406"/>
    <w:rsid w:val="0063740F"/>
    <w:rsid w:val="0063741C"/>
    <w:rsid w:val="006374A2"/>
    <w:rsid w:val="006374EC"/>
    <w:rsid w:val="0063754F"/>
    <w:rsid w:val="0063759C"/>
    <w:rsid w:val="0063761C"/>
    <w:rsid w:val="00637633"/>
    <w:rsid w:val="00637687"/>
    <w:rsid w:val="006376A3"/>
    <w:rsid w:val="006376BD"/>
    <w:rsid w:val="006376F5"/>
    <w:rsid w:val="00637703"/>
    <w:rsid w:val="0063778B"/>
    <w:rsid w:val="00637797"/>
    <w:rsid w:val="006377CC"/>
    <w:rsid w:val="006377D3"/>
    <w:rsid w:val="00637829"/>
    <w:rsid w:val="00637874"/>
    <w:rsid w:val="006378EA"/>
    <w:rsid w:val="0063790A"/>
    <w:rsid w:val="0063793F"/>
    <w:rsid w:val="00637964"/>
    <w:rsid w:val="00637975"/>
    <w:rsid w:val="00637979"/>
    <w:rsid w:val="006379E7"/>
    <w:rsid w:val="006379FE"/>
    <w:rsid w:val="00637A30"/>
    <w:rsid w:val="00637A76"/>
    <w:rsid w:val="00637AF8"/>
    <w:rsid w:val="00637B51"/>
    <w:rsid w:val="00637B6F"/>
    <w:rsid w:val="00637B72"/>
    <w:rsid w:val="00637B8A"/>
    <w:rsid w:val="00637B9A"/>
    <w:rsid w:val="00637BFE"/>
    <w:rsid w:val="00637C11"/>
    <w:rsid w:val="00637C70"/>
    <w:rsid w:val="00637C72"/>
    <w:rsid w:val="00637C9F"/>
    <w:rsid w:val="00637CB8"/>
    <w:rsid w:val="00637CCB"/>
    <w:rsid w:val="00637D53"/>
    <w:rsid w:val="00637D66"/>
    <w:rsid w:val="00637D6B"/>
    <w:rsid w:val="00637D91"/>
    <w:rsid w:val="00637E4E"/>
    <w:rsid w:val="00637E66"/>
    <w:rsid w:val="00637EA6"/>
    <w:rsid w:val="00637EF5"/>
    <w:rsid w:val="00637F86"/>
    <w:rsid w:val="00637F9F"/>
    <w:rsid w:val="00640086"/>
    <w:rsid w:val="0064013A"/>
    <w:rsid w:val="00640179"/>
    <w:rsid w:val="00640193"/>
    <w:rsid w:val="006401E8"/>
    <w:rsid w:val="00640202"/>
    <w:rsid w:val="00640209"/>
    <w:rsid w:val="0064027D"/>
    <w:rsid w:val="006402C4"/>
    <w:rsid w:val="006402DB"/>
    <w:rsid w:val="00640306"/>
    <w:rsid w:val="00640316"/>
    <w:rsid w:val="00640330"/>
    <w:rsid w:val="00640388"/>
    <w:rsid w:val="006403C2"/>
    <w:rsid w:val="006403E0"/>
    <w:rsid w:val="00640400"/>
    <w:rsid w:val="00640439"/>
    <w:rsid w:val="00640478"/>
    <w:rsid w:val="0064048E"/>
    <w:rsid w:val="0064049D"/>
    <w:rsid w:val="006404D5"/>
    <w:rsid w:val="0064052D"/>
    <w:rsid w:val="00640554"/>
    <w:rsid w:val="00640592"/>
    <w:rsid w:val="0064060D"/>
    <w:rsid w:val="0064063F"/>
    <w:rsid w:val="0064066A"/>
    <w:rsid w:val="00640671"/>
    <w:rsid w:val="00640675"/>
    <w:rsid w:val="006406E8"/>
    <w:rsid w:val="006406F9"/>
    <w:rsid w:val="006406FC"/>
    <w:rsid w:val="00640768"/>
    <w:rsid w:val="0064079A"/>
    <w:rsid w:val="0064079D"/>
    <w:rsid w:val="006407B0"/>
    <w:rsid w:val="00640847"/>
    <w:rsid w:val="00640874"/>
    <w:rsid w:val="006408D1"/>
    <w:rsid w:val="0064091D"/>
    <w:rsid w:val="0064092B"/>
    <w:rsid w:val="006409B6"/>
    <w:rsid w:val="006409C6"/>
    <w:rsid w:val="006409CC"/>
    <w:rsid w:val="006409D3"/>
    <w:rsid w:val="006409E1"/>
    <w:rsid w:val="00640A0C"/>
    <w:rsid w:val="00640A1B"/>
    <w:rsid w:val="00640A61"/>
    <w:rsid w:val="00640A90"/>
    <w:rsid w:val="00640A99"/>
    <w:rsid w:val="00640AA7"/>
    <w:rsid w:val="00640ACB"/>
    <w:rsid w:val="00640B01"/>
    <w:rsid w:val="00640B27"/>
    <w:rsid w:val="00640BBE"/>
    <w:rsid w:val="00640BE7"/>
    <w:rsid w:val="00640C6B"/>
    <w:rsid w:val="00640C7E"/>
    <w:rsid w:val="00640CBC"/>
    <w:rsid w:val="00640CFF"/>
    <w:rsid w:val="00640D1D"/>
    <w:rsid w:val="00640D21"/>
    <w:rsid w:val="00640D55"/>
    <w:rsid w:val="00640D80"/>
    <w:rsid w:val="00640DCA"/>
    <w:rsid w:val="00640DEE"/>
    <w:rsid w:val="00640E09"/>
    <w:rsid w:val="00640E20"/>
    <w:rsid w:val="00640E46"/>
    <w:rsid w:val="00640E49"/>
    <w:rsid w:val="00640E67"/>
    <w:rsid w:val="00640E7F"/>
    <w:rsid w:val="00640E99"/>
    <w:rsid w:val="00640ED1"/>
    <w:rsid w:val="00640ED7"/>
    <w:rsid w:val="00640F37"/>
    <w:rsid w:val="00640F3A"/>
    <w:rsid w:val="00640F73"/>
    <w:rsid w:val="00640F8A"/>
    <w:rsid w:val="00640FCF"/>
    <w:rsid w:val="00640FD4"/>
    <w:rsid w:val="00640FEF"/>
    <w:rsid w:val="00641009"/>
    <w:rsid w:val="0064101F"/>
    <w:rsid w:val="0064108D"/>
    <w:rsid w:val="006410AE"/>
    <w:rsid w:val="00641168"/>
    <w:rsid w:val="006411AF"/>
    <w:rsid w:val="006411F2"/>
    <w:rsid w:val="006411F8"/>
    <w:rsid w:val="0064121F"/>
    <w:rsid w:val="00641254"/>
    <w:rsid w:val="00641256"/>
    <w:rsid w:val="006412C8"/>
    <w:rsid w:val="006412CF"/>
    <w:rsid w:val="00641306"/>
    <w:rsid w:val="00641339"/>
    <w:rsid w:val="0064135F"/>
    <w:rsid w:val="00641361"/>
    <w:rsid w:val="00641368"/>
    <w:rsid w:val="006413CF"/>
    <w:rsid w:val="00641447"/>
    <w:rsid w:val="0064144C"/>
    <w:rsid w:val="00641469"/>
    <w:rsid w:val="00641484"/>
    <w:rsid w:val="006414B6"/>
    <w:rsid w:val="006414BA"/>
    <w:rsid w:val="00641527"/>
    <w:rsid w:val="00641555"/>
    <w:rsid w:val="00641581"/>
    <w:rsid w:val="00641626"/>
    <w:rsid w:val="0064162D"/>
    <w:rsid w:val="00641643"/>
    <w:rsid w:val="00641652"/>
    <w:rsid w:val="006416C0"/>
    <w:rsid w:val="0064173B"/>
    <w:rsid w:val="00641782"/>
    <w:rsid w:val="00641784"/>
    <w:rsid w:val="00641789"/>
    <w:rsid w:val="0064178D"/>
    <w:rsid w:val="0064178F"/>
    <w:rsid w:val="006417E4"/>
    <w:rsid w:val="006417E9"/>
    <w:rsid w:val="006417FD"/>
    <w:rsid w:val="0064181C"/>
    <w:rsid w:val="00641842"/>
    <w:rsid w:val="00641860"/>
    <w:rsid w:val="0064186A"/>
    <w:rsid w:val="00641879"/>
    <w:rsid w:val="0064187B"/>
    <w:rsid w:val="006418A5"/>
    <w:rsid w:val="006418AB"/>
    <w:rsid w:val="006418B8"/>
    <w:rsid w:val="006418E4"/>
    <w:rsid w:val="006418E8"/>
    <w:rsid w:val="0064191A"/>
    <w:rsid w:val="00641953"/>
    <w:rsid w:val="0064195B"/>
    <w:rsid w:val="0064197D"/>
    <w:rsid w:val="00641983"/>
    <w:rsid w:val="0064199A"/>
    <w:rsid w:val="006419DF"/>
    <w:rsid w:val="006419EB"/>
    <w:rsid w:val="00641A64"/>
    <w:rsid w:val="00641A96"/>
    <w:rsid w:val="00641AA6"/>
    <w:rsid w:val="00641AC4"/>
    <w:rsid w:val="00641AC7"/>
    <w:rsid w:val="00641ACE"/>
    <w:rsid w:val="00641AD6"/>
    <w:rsid w:val="00641B0B"/>
    <w:rsid w:val="00641B25"/>
    <w:rsid w:val="00641B27"/>
    <w:rsid w:val="00641B87"/>
    <w:rsid w:val="00641B8F"/>
    <w:rsid w:val="00641BA9"/>
    <w:rsid w:val="00641BAC"/>
    <w:rsid w:val="00641BBA"/>
    <w:rsid w:val="00641BEA"/>
    <w:rsid w:val="00641C28"/>
    <w:rsid w:val="00641C2E"/>
    <w:rsid w:val="00641C35"/>
    <w:rsid w:val="00641C6C"/>
    <w:rsid w:val="00641C80"/>
    <w:rsid w:val="00641CCC"/>
    <w:rsid w:val="00641CE1"/>
    <w:rsid w:val="00641D1C"/>
    <w:rsid w:val="00641D21"/>
    <w:rsid w:val="00641D25"/>
    <w:rsid w:val="00641D4F"/>
    <w:rsid w:val="00641DCB"/>
    <w:rsid w:val="00641DD0"/>
    <w:rsid w:val="00641E09"/>
    <w:rsid w:val="00641EB1"/>
    <w:rsid w:val="00641F00"/>
    <w:rsid w:val="00641F73"/>
    <w:rsid w:val="00641F7D"/>
    <w:rsid w:val="00641FBB"/>
    <w:rsid w:val="00641FCE"/>
    <w:rsid w:val="00641FE3"/>
    <w:rsid w:val="00641FF2"/>
    <w:rsid w:val="0064205D"/>
    <w:rsid w:val="00642096"/>
    <w:rsid w:val="006420D6"/>
    <w:rsid w:val="00642136"/>
    <w:rsid w:val="0064213B"/>
    <w:rsid w:val="0064216B"/>
    <w:rsid w:val="00642191"/>
    <w:rsid w:val="006421A8"/>
    <w:rsid w:val="00642252"/>
    <w:rsid w:val="006422D2"/>
    <w:rsid w:val="0064232C"/>
    <w:rsid w:val="0064237A"/>
    <w:rsid w:val="0064239A"/>
    <w:rsid w:val="006423C1"/>
    <w:rsid w:val="006423DA"/>
    <w:rsid w:val="006423EB"/>
    <w:rsid w:val="00642410"/>
    <w:rsid w:val="0064242B"/>
    <w:rsid w:val="00642495"/>
    <w:rsid w:val="006424C8"/>
    <w:rsid w:val="006424D0"/>
    <w:rsid w:val="00642530"/>
    <w:rsid w:val="00642561"/>
    <w:rsid w:val="00642562"/>
    <w:rsid w:val="0064256C"/>
    <w:rsid w:val="00642576"/>
    <w:rsid w:val="006425AD"/>
    <w:rsid w:val="006425D6"/>
    <w:rsid w:val="006425DF"/>
    <w:rsid w:val="00642625"/>
    <w:rsid w:val="00642629"/>
    <w:rsid w:val="0064266D"/>
    <w:rsid w:val="0064267D"/>
    <w:rsid w:val="0064269C"/>
    <w:rsid w:val="006426DE"/>
    <w:rsid w:val="006426E8"/>
    <w:rsid w:val="006426ED"/>
    <w:rsid w:val="00642785"/>
    <w:rsid w:val="0064278F"/>
    <w:rsid w:val="006427C2"/>
    <w:rsid w:val="006427EE"/>
    <w:rsid w:val="00642848"/>
    <w:rsid w:val="0064299E"/>
    <w:rsid w:val="006429BF"/>
    <w:rsid w:val="00642A19"/>
    <w:rsid w:val="00642A1B"/>
    <w:rsid w:val="00642A2F"/>
    <w:rsid w:val="00642A61"/>
    <w:rsid w:val="00642A7A"/>
    <w:rsid w:val="00642AB6"/>
    <w:rsid w:val="00642B03"/>
    <w:rsid w:val="00642B0B"/>
    <w:rsid w:val="00642B11"/>
    <w:rsid w:val="00642B45"/>
    <w:rsid w:val="00642B93"/>
    <w:rsid w:val="00642BAA"/>
    <w:rsid w:val="00642BB9"/>
    <w:rsid w:val="00642C01"/>
    <w:rsid w:val="00642C57"/>
    <w:rsid w:val="00642C5D"/>
    <w:rsid w:val="00642C96"/>
    <w:rsid w:val="00642CA4"/>
    <w:rsid w:val="00642CB9"/>
    <w:rsid w:val="00642CF3"/>
    <w:rsid w:val="00642D46"/>
    <w:rsid w:val="00642D65"/>
    <w:rsid w:val="00642DF9"/>
    <w:rsid w:val="00642E30"/>
    <w:rsid w:val="00642E7E"/>
    <w:rsid w:val="00642E89"/>
    <w:rsid w:val="00642EA2"/>
    <w:rsid w:val="00642EAB"/>
    <w:rsid w:val="00642EC7"/>
    <w:rsid w:val="00642EFB"/>
    <w:rsid w:val="00642F2B"/>
    <w:rsid w:val="00642F57"/>
    <w:rsid w:val="00642F70"/>
    <w:rsid w:val="00642F95"/>
    <w:rsid w:val="00642FAF"/>
    <w:rsid w:val="00642FB5"/>
    <w:rsid w:val="00642FC5"/>
    <w:rsid w:val="00642FFD"/>
    <w:rsid w:val="0064300E"/>
    <w:rsid w:val="00643029"/>
    <w:rsid w:val="006430AC"/>
    <w:rsid w:val="006430AF"/>
    <w:rsid w:val="006430B1"/>
    <w:rsid w:val="0064311A"/>
    <w:rsid w:val="00643124"/>
    <w:rsid w:val="00643172"/>
    <w:rsid w:val="0064318C"/>
    <w:rsid w:val="006431DC"/>
    <w:rsid w:val="006431EA"/>
    <w:rsid w:val="00643202"/>
    <w:rsid w:val="00643203"/>
    <w:rsid w:val="0064322F"/>
    <w:rsid w:val="00643269"/>
    <w:rsid w:val="006432D8"/>
    <w:rsid w:val="006432E7"/>
    <w:rsid w:val="0064337D"/>
    <w:rsid w:val="006433B9"/>
    <w:rsid w:val="00643407"/>
    <w:rsid w:val="00643477"/>
    <w:rsid w:val="0064347B"/>
    <w:rsid w:val="006434B6"/>
    <w:rsid w:val="006434D7"/>
    <w:rsid w:val="0064350B"/>
    <w:rsid w:val="0064350C"/>
    <w:rsid w:val="00643541"/>
    <w:rsid w:val="00643556"/>
    <w:rsid w:val="00643559"/>
    <w:rsid w:val="0064358A"/>
    <w:rsid w:val="006435B8"/>
    <w:rsid w:val="006435BD"/>
    <w:rsid w:val="006435D1"/>
    <w:rsid w:val="006435DA"/>
    <w:rsid w:val="0064364C"/>
    <w:rsid w:val="0064364E"/>
    <w:rsid w:val="00643666"/>
    <w:rsid w:val="00643667"/>
    <w:rsid w:val="006436E5"/>
    <w:rsid w:val="006436E9"/>
    <w:rsid w:val="0064373D"/>
    <w:rsid w:val="006437DF"/>
    <w:rsid w:val="006437E9"/>
    <w:rsid w:val="00643812"/>
    <w:rsid w:val="00643918"/>
    <w:rsid w:val="0064397B"/>
    <w:rsid w:val="0064397D"/>
    <w:rsid w:val="006439B8"/>
    <w:rsid w:val="006439D2"/>
    <w:rsid w:val="006439E6"/>
    <w:rsid w:val="00643A06"/>
    <w:rsid w:val="00643A80"/>
    <w:rsid w:val="00643A81"/>
    <w:rsid w:val="00643A8A"/>
    <w:rsid w:val="00643B2E"/>
    <w:rsid w:val="00643B4E"/>
    <w:rsid w:val="00643B55"/>
    <w:rsid w:val="00643B5B"/>
    <w:rsid w:val="00643B6F"/>
    <w:rsid w:val="00643B81"/>
    <w:rsid w:val="00643BC6"/>
    <w:rsid w:val="00643BF1"/>
    <w:rsid w:val="00643C8C"/>
    <w:rsid w:val="00643C90"/>
    <w:rsid w:val="00643CA8"/>
    <w:rsid w:val="00643CCC"/>
    <w:rsid w:val="00643CFE"/>
    <w:rsid w:val="00643D06"/>
    <w:rsid w:val="00643D0E"/>
    <w:rsid w:val="00643D17"/>
    <w:rsid w:val="00643D1F"/>
    <w:rsid w:val="00643D21"/>
    <w:rsid w:val="00643DAE"/>
    <w:rsid w:val="00643DDF"/>
    <w:rsid w:val="00643E28"/>
    <w:rsid w:val="00643E46"/>
    <w:rsid w:val="00643F3A"/>
    <w:rsid w:val="00643F45"/>
    <w:rsid w:val="00643F57"/>
    <w:rsid w:val="00643F65"/>
    <w:rsid w:val="00643F67"/>
    <w:rsid w:val="00643F79"/>
    <w:rsid w:val="00643F81"/>
    <w:rsid w:val="00644022"/>
    <w:rsid w:val="00644028"/>
    <w:rsid w:val="006440E1"/>
    <w:rsid w:val="00644142"/>
    <w:rsid w:val="006441C8"/>
    <w:rsid w:val="006441E5"/>
    <w:rsid w:val="006441F7"/>
    <w:rsid w:val="00644207"/>
    <w:rsid w:val="0064422B"/>
    <w:rsid w:val="0064425B"/>
    <w:rsid w:val="00644265"/>
    <w:rsid w:val="006442C0"/>
    <w:rsid w:val="006442C9"/>
    <w:rsid w:val="006442F6"/>
    <w:rsid w:val="006442F8"/>
    <w:rsid w:val="00644312"/>
    <w:rsid w:val="00644356"/>
    <w:rsid w:val="00644374"/>
    <w:rsid w:val="0064437D"/>
    <w:rsid w:val="0064438C"/>
    <w:rsid w:val="006443A0"/>
    <w:rsid w:val="006443C1"/>
    <w:rsid w:val="006443C6"/>
    <w:rsid w:val="006443E1"/>
    <w:rsid w:val="0064441D"/>
    <w:rsid w:val="0064444B"/>
    <w:rsid w:val="00644452"/>
    <w:rsid w:val="00644469"/>
    <w:rsid w:val="006444F5"/>
    <w:rsid w:val="0064450A"/>
    <w:rsid w:val="00644542"/>
    <w:rsid w:val="00644548"/>
    <w:rsid w:val="0064459A"/>
    <w:rsid w:val="006445A3"/>
    <w:rsid w:val="006445BE"/>
    <w:rsid w:val="006445C4"/>
    <w:rsid w:val="00644603"/>
    <w:rsid w:val="00644614"/>
    <w:rsid w:val="00644650"/>
    <w:rsid w:val="00644655"/>
    <w:rsid w:val="00644664"/>
    <w:rsid w:val="00644696"/>
    <w:rsid w:val="006446A5"/>
    <w:rsid w:val="006446C5"/>
    <w:rsid w:val="006446E1"/>
    <w:rsid w:val="00644710"/>
    <w:rsid w:val="00644716"/>
    <w:rsid w:val="00644739"/>
    <w:rsid w:val="0064475E"/>
    <w:rsid w:val="006447AA"/>
    <w:rsid w:val="006447EB"/>
    <w:rsid w:val="00644806"/>
    <w:rsid w:val="0064480C"/>
    <w:rsid w:val="00644814"/>
    <w:rsid w:val="00644863"/>
    <w:rsid w:val="00644890"/>
    <w:rsid w:val="006448B1"/>
    <w:rsid w:val="006448EE"/>
    <w:rsid w:val="00644912"/>
    <w:rsid w:val="006449D5"/>
    <w:rsid w:val="00644A5C"/>
    <w:rsid w:val="00644A80"/>
    <w:rsid w:val="00644A9E"/>
    <w:rsid w:val="00644AA7"/>
    <w:rsid w:val="00644ABA"/>
    <w:rsid w:val="00644AD4"/>
    <w:rsid w:val="00644ADE"/>
    <w:rsid w:val="00644B8C"/>
    <w:rsid w:val="00644B95"/>
    <w:rsid w:val="00644BD7"/>
    <w:rsid w:val="00644BED"/>
    <w:rsid w:val="00644BEE"/>
    <w:rsid w:val="00644C59"/>
    <w:rsid w:val="00644C7A"/>
    <w:rsid w:val="00644C83"/>
    <w:rsid w:val="00644C84"/>
    <w:rsid w:val="00644CAD"/>
    <w:rsid w:val="00644CFE"/>
    <w:rsid w:val="00644D1B"/>
    <w:rsid w:val="00644D55"/>
    <w:rsid w:val="00644DC2"/>
    <w:rsid w:val="00644DE0"/>
    <w:rsid w:val="00644E96"/>
    <w:rsid w:val="00644EAD"/>
    <w:rsid w:val="00644EBF"/>
    <w:rsid w:val="00644EC4"/>
    <w:rsid w:val="00644EDB"/>
    <w:rsid w:val="00644EF7"/>
    <w:rsid w:val="00644EFF"/>
    <w:rsid w:val="00644F00"/>
    <w:rsid w:val="00644F4C"/>
    <w:rsid w:val="0064500D"/>
    <w:rsid w:val="00645061"/>
    <w:rsid w:val="0064507A"/>
    <w:rsid w:val="006450DE"/>
    <w:rsid w:val="006450EF"/>
    <w:rsid w:val="00645113"/>
    <w:rsid w:val="006451AB"/>
    <w:rsid w:val="00645298"/>
    <w:rsid w:val="006452A3"/>
    <w:rsid w:val="00645318"/>
    <w:rsid w:val="00645324"/>
    <w:rsid w:val="00645326"/>
    <w:rsid w:val="0064534E"/>
    <w:rsid w:val="0064534F"/>
    <w:rsid w:val="0064535F"/>
    <w:rsid w:val="0064538F"/>
    <w:rsid w:val="00645399"/>
    <w:rsid w:val="00645420"/>
    <w:rsid w:val="00645473"/>
    <w:rsid w:val="00645478"/>
    <w:rsid w:val="006454FA"/>
    <w:rsid w:val="0064551B"/>
    <w:rsid w:val="00645532"/>
    <w:rsid w:val="0064553F"/>
    <w:rsid w:val="00645570"/>
    <w:rsid w:val="00645591"/>
    <w:rsid w:val="006455B3"/>
    <w:rsid w:val="006455BE"/>
    <w:rsid w:val="006455F8"/>
    <w:rsid w:val="0064560C"/>
    <w:rsid w:val="00645724"/>
    <w:rsid w:val="0064573F"/>
    <w:rsid w:val="00645746"/>
    <w:rsid w:val="00645748"/>
    <w:rsid w:val="00645755"/>
    <w:rsid w:val="00645759"/>
    <w:rsid w:val="00645772"/>
    <w:rsid w:val="00645799"/>
    <w:rsid w:val="006457E5"/>
    <w:rsid w:val="00645864"/>
    <w:rsid w:val="00645874"/>
    <w:rsid w:val="006458C0"/>
    <w:rsid w:val="006458CB"/>
    <w:rsid w:val="00645939"/>
    <w:rsid w:val="00645946"/>
    <w:rsid w:val="00645967"/>
    <w:rsid w:val="00645A3D"/>
    <w:rsid w:val="00645A69"/>
    <w:rsid w:val="00645AD3"/>
    <w:rsid w:val="00645AE4"/>
    <w:rsid w:val="00645AFC"/>
    <w:rsid w:val="00645B42"/>
    <w:rsid w:val="00645BDE"/>
    <w:rsid w:val="00645C01"/>
    <w:rsid w:val="00645C2F"/>
    <w:rsid w:val="00645C38"/>
    <w:rsid w:val="00645C5B"/>
    <w:rsid w:val="00645D0B"/>
    <w:rsid w:val="00645D3F"/>
    <w:rsid w:val="00645D77"/>
    <w:rsid w:val="00645D79"/>
    <w:rsid w:val="00645D9A"/>
    <w:rsid w:val="00645DB5"/>
    <w:rsid w:val="00645E00"/>
    <w:rsid w:val="00645E1D"/>
    <w:rsid w:val="00645E58"/>
    <w:rsid w:val="00645E7D"/>
    <w:rsid w:val="00645E9C"/>
    <w:rsid w:val="00645E9D"/>
    <w:rsid w:val="00645EF2"/>
    <w:rsid w:val="0064609B"/>
    <w:rsid w:val="006460D5"/>
    <w:rsid w:val="006460D7"/>
    <w:rsid w:val="00646103"/>
    <w:rsid w:val="00646157"/>
    <w:rsid w:val="0064617B"/>
    <w:rsid w:val="00646183"/>
    <w:rsid w:val="006461BF"/>
    <w:rsid w:val="006461FA"/>
    <w:rsid w:val="0064621C"/>
    <w:rsid w:val="00646238"/>
    <w:rsid w:val="00646284"/>
    <w:rsid w:val="006462A0"/>
    <w:rsid w:val="006462EE"/>
    <w:rsid w:val="00646345"/>
    <w:rsid w:val="00646376"/>
    <w:rsid w:val="006463AC"/>
    <w:rsid w:val="006463B1"/>
    <w:rsid w:val="006463E6"/>
    <w:rsid w:val="006463F5"/>
    <w:rsid w:val="00646430"/>
    <w:rsid w:val="00646499"/>
    <w:rsid w:val="006464BD"/>
    <w:rsid w:val="006464D4"/>
    <w:rsid w:val="006464D7"/>
    <w:rsid w:val="006465A0"/>
    <w:rsid w:val="006465D0"/>
    <w:rsid w:val="006465E9"/>
    <w:rsid w:val="00646615"/>
    <w:rsid w:val="00646656"/>
    <w:rsid w:val="00646692"/>
    <w:rsid w:val="006466F1"/>
    <w:rsid w:val="00646712"/>
    <w:rsid w:val="0064674F"/>
    <w:rsid w:val="00646772"/>
    <w:rsid w:val="006467A8"/>
    <w:rsid w:val="00646822"/>
    <w:rsid w:val="00646855"/>
    <w:rsid w:val="00646860"/>
    <w:rsid w:val="00646863"/>
    <w:rsid w:val="00646898"/>
    <w:rsid w:val="00646928"/>
    <w:rsid w:val="0064694F"/>
    <w:rsid w:val="0064699B"/>
    <w:rsid w:val="006469AB"/>
    <w:rsid w:val="006469B0"/>
    <w:rsid w:val="006469B1"/>
    <w:rsid w:val="00646A0C"/>
    <w:rsid w:val="00646A47"/>
    <w:rsid w:val="00646AB1"/>
    <w:rsid w:val="00646B4D"/>
    <w:rsid w:val="00646B94"/>
    <w:rsid w:val="00646BEA"/>
    <w:rsid w:val="00646BEF"/>
    <w:rsid w:val="00646C00"/>
    <w:rsid w:val="00646C1B"/>
    <w:rsid w:val="00646C55"/>
    <w:rsid w:val="00646C57"/>
    <w:rsid w:val="00646C7C"/>
    <w:rsid w:val="00646CB4"/>
    <w:rsid w:val="00646CB8"/>
    <w:rsid w:val="00646CDD"/>
    <w:rsid w:val="00646CFA"/>
    <w:rsid w:val="00646D09"/>
    <w:rsid w:val="00646D10"/>
    <w:rsid w:val="00646D37"/>
    <w:rsid w:val="00646D46"/>
    <w:rsid w:val="00646D5D"/>
    <w:rsid w:val="00646D67"/>
    <w:rsid w:val="00646D7E"/>
    <w:rsid w:val="00646D93"/>
    <w:rsid w:val="00646D96"/>
    <w:rsid w:val="00646DAE"/>
    <w:rsid w:val="00646DC0"/>
    <w:rsid w:val="00646DE7"/>
    <w:rsid w:val="00646E15"/>
    <w:rsid w:val="00646E21"/>
    <w:rsid w:val="00646E4E"/>
    <w:rsid w:val="00646E5F"/>
    <w:rsid w:val="00646E8E"/>
    <w:rsid w:val="00646ED2"/>
    <w:rsid w:val="00646EE1"/>
    <w:rsid w:val="00646F4A"/>
    <w:rsid w:val="00646F73"/>
    <w:rsid w:val="00646F9C"/>
    <w:rsid w:val="00646FA3"/>
    <w:rsid w:val="00646FBB"/>
    <w:rsid w:val="00646FE7"/>
    <w:rsid w:val="00647024"/>
    <w:rsid w:val="00647053"/>
    <w:rsid w:val="0064705A"/>
    <w:rsid w:val="00647073"/>
    <w:rsid w:val="0064707B"/>
    <w:rsid w:val="0064708B"/>
    <w:rsid w:val="0064709C"/>
    <w:rsid w:val="00647129"/>
    <w:rsid w:val="00647136"/>
    <w:rsid w:val="0064716F"/>
    <w:rsid w:val="00647183"/>
    <w:rsid w:val="006471A6"/>
    <w:rsid w:val="006471AE"/>
    <w:rsid w:val="0064721C"/>
    <w:rsid w:val="00647235"/>
    <w:rsid w:val="0064725C"/>
    <w:rsid w:val="00647290"/>
    <w:rsid w:val="00647294"/>
    <w:rsid w:val="006472A3"/>
    <w:rsid w:val="00647309"/>
    <w:rsid w:val="0064730A"/>
    <w:rsid w:val="0064733D"/>
    <w:rsid w:val="00647391"/>
    <w:rsid w:val="006473DE"/>
    <w:rsid w:val="006473FD"/>
    <w:rsid w:val="00647401"/>
    <w:rsid w:val="0064743A"/>
    <w:rsid w:val="00647459"/>
    <w:rsid w:val="0064748F"/>
    <w:rsid w:val="006474D4"/>
    <w:rsid w:val="006474F9"/>
    <w:rsid w:val="00647574"/>
    <w:rsid w:val="00647597"/>
    <w:rsid w:val="00647599"/>
    <w:rsid w:val="006475F0"/>
    <w:rsid w:val="0064761D"/>
    <w:rsid w:val="00647667"/>
    <w:rsid w:val="00647669"/>
    <w:rsid w:val="006476B3"/>
    <w:rsid w:val="006476DC"/>
    <w:rsid w:val="00647711"/>
    <w:rsid w:val="00647752"/>
    <w:rsid w:val="00647779"/>
    <w:rsid w:val="006477C6"/>
    <w:rsid w:val="006477D9"/>
    <w:rsid w:val="00647806"/>
    <w:rsid w:val="00647813"/>
    <w:rsid w:val="006478A3"/>
    <w:rsid w:val="006478B0"/>
    <w:rsid w:val="006478C9"/>
    <w:rsid w:val="006478D3"/>
    <w:rsid w:val="00647900"/>
    <w:rsid w:val="00647913"/>
    <w:rsid w:val="00647921"/>
    <w:rsid w:val="00647984"/>
    <w:rsid w:val="00647988"/>
    <w:rsid w:val="00647994"/>
    <w:rsid w:val="006479B4"/>
    <w:rsid w:val="006479C6"/>
    <w:rsid w:val="006479E5"/>
    <w:rsid w:val="00647A4A"/>
    <w:rsid w:val="00647ADF"/>
    <w:rsid w:val="00647AE6"/>
    <w:rsid w:val="00647B33"/>
    <w:rsid w:val="00647B38"/>
    <w:rsid w:val="00647B44"/>
    <w:rsid w:val="00647B64"/>
    <w:rsid w:val="00647B70"/>
    <w:rsid w:val="00647B94"/>
    <w:rsid w:val="00647BAD"/>
    <w:rsid w:val="00647BC2"/>
    <w:rsid w:val="00647BDD"/>
    <w:rsid w:val="00647C0C"/>
    <w:rsid w:val="00647C0E"/>
    <w:rsid w:val="00647C7D"/>
    <w:rsid w:val="00647C95"/>
    <w:rsid w:val="00647CDD"/>
    <w:rsid w:val="00647D02"/>
    <w:rsid w:val="00647D05"/>
    <w:rsid w:val="00647D33"/>
    <w:rsid w:val="00647D4B"/>
    <w:rsid w:val="00647D99"/>
    <w:rsid w:val="00647DBE"/>
    <w:rsid w:val="00647DFE"/>
    <w:rsid w:val="00647E0B"/>
    <w:rsid w:val="00647E3B"/>
    <w:rsid w:val="00647E43"/>
    <w:rsid w:val="00647E73"/>
    <w:rsid w:val="00647EA4"/>
    <w:rsid w:val="00647EE3"/>
    <w:rsid w:val="00647EE7"/>
    <w:rsid w:val="00647F19"/>
    <w:rsid w:val="00647F83"/>
    <w:rsid w:val="00647FA6"/>
    <w:rsid w:val="00647FD5"/>
    <w:rsid w:val="00647FDD"/>
    <w:rsid w:val="00650021"/>
    <w:rsid w:val="0065007D"/>
    <w:rsid w:val="006500C8"/>
    <w:rsid w:val="00650129"/>
    <w:rsid w:val="0065015E"/>
    <w:rsid w:val="006501BE"/>
    <w:rsid w:val="006501CE"/>
    <w:rsid w:val="006501EB"/>
    <w:rsid w:val="006501ED"/>
    <w:rsid w:val="00650200"/>
    <w:rsid w:val="00650211"/>
    <w:rsid w:val="00650235"/>
    <w:rsid w:val="00650243"/>
    <w:rsid w:val="0065025E"/>
    <w:rsid w:val="0065028C"/>
    <w:rsid w:val="0065029A"/>
    <w:rsid w:val="006502D7"/>
    <w:rsid w:val="0065032F"/>
    <w:rsid w:val="0065036F"/>
    <w:rsid w:val="006503BE"/>
    <w:rsid w:val="006503DC"/>
    <w:rsid w:val="006503DE"/>
    <w:rsid w:val="00650421"/>
    <w:rsid w:val="00650488"/>
    <w:rsid w:val="006504C5"/>
    <w:rsid w:val="00650526"/>
    <w:rsid w:val="00650527"/>
    <w:rsid w:val="0065052E"/>
    <w:rsid w:val="00650583"/>
    <w:rsid w:val="006505F3"/>
    <w:rsid w:val="006505F8"/>
    <w:rsid w:val="00650633"/>
    <w:rsid w:val="006506A0"/>
    <w:rsid w:val="006506E8"/>
    <w:rsid w:val="00650714"/>
    <w:rsid w:val="00650715"/>
    <w:rsid w:val="00650761"/>
    <w:rsid w:val="0065076E"/>
    <w:rsid w:val="006507A4"/>
    <w:rsid w:val="006507DA"/>
    <w:rsid w:val="006507DE"/>
    <w:rsid w:val="00650813"/>
    <w:rsid w:val="00650824"/>
    <w:rsid w:val="00650839"/>
    <w:rsid w:val="00650894"/>
    <w:rsid w:val="00650895"/>
    <w:rsid w:val="006508AC"/>
    <w:rsid w:val="0065093F"/>
    <w:rsid w:val="00650959"/>
    <w:rsid w:val="00650A72"/>
    <w:rsid w:val="00650ADD"/>
    <w:rsid w:val="00650AE0"/>
    <w:rsid w:val="00650AF4"/>
    <w:rsid w:val="00650B50"/>
    <w:rsid w:val="00650B87"/>
    <w:rsid w:val="00650BB8"/>
    <w:rsid w:val="00650BDF"/>
    <w:rsid w:val="00650C26"/>
    <w:rsid w:val="00650C3A"/>
    <w:rsid w:val="00650CB7"/>
    <w:rsid w:val="00650CC2"/>
    <w:rsid w:val="00650CD1"/>
    <w:rsid w:val="00650CFF"/>
    <w:rsid w:val="00650D2B"/>
    <w:rsid w:val="00650D78"/>
    <w:rsid w:val="00650DA9"/>
    <w:rsid w:val="00650DF8"/>
    <w:rsid w:val="00650E00"/>
    <w:rsid w:val="00650E54"/>
    <w:rsid w:val="00650E86"/>
    <w:rsid w:val="00650E9E"/>
    <w:rsid w:val="00650F17"/>
    <w:rsid w:val="00650F29"/>
    <w:rsid w:val="00650F68"/>
    <w:rsid w:val="00650FA9"/>
    <w:rsid w:val="00651007"/>
    <w:rsid w:val="006510CF"/>
    <w:rsid w:val="006510D3"/>
    <w:rsid w:val="006510E6"/>
    <w:rsid w:val="00651147"/>
    <w:rsid w:val="00651173"/>
    <w:rsid w:val="006511B8"/>
    <w:rsid w:val="006511C5"/>
    <w:rsid w:val="00651207"/>
    <w:rsid w:val="00651236"/>
    <w:rsid w:val="0065125D"/>
    <w:rsid w:val="0065127B"/>
    <w:rsid w:val="006512AC"/>
    <w:rsid w:val="006512DA"/>
    <w:rsid w:val="0065130B"/>
    <w:rsid w:val="00651312"/>
    <w:rsid w:val="0065134F"/>
    <w:rsid w:val="006513A2"/>
    <w:rsid w:val="006513B2"/>
    <w:rsid w:val="006513C9"/>
    <w:rsid w:val="006513CD"/>
    <w:rsid w:val="006513DB"/>
    <w:rsid w:val="006513E6"/>
    <w:rsid w:val="00651479"/>
    <w:rsid w:val="0065147C"/>
    <w:rsid w:val="0065148D"/>
    <w:rsid w:val="006514A3"/>
    <w:rsid w:val="0065150C"/>
    <w:rsid w:val="00651515"/>
    <w:rsid w:val="0065151A"/>
    <w:rsid w:val="00651555"/>
    <w:rsid w:val="00651612"/>
    <w:rsid w:val="00651616"/>
    <w:rsid w:val="00651630"/>
    <w:rsid w:val="00651670"/>
    <w:rsid w:val="006516B9"/>
    <w:rsid w:val="006516BB"/>
    <w:rsid w:val="006516DC"/>
    <w:rsid w:val="00651719"/>
    <w:rsid w:val="00651730"/>
    <w:rsid w:val="0065176D"/>
    <w:rsid w:val="006517C5"/>
    <w:rsid w:val="00651803"/>
    <w:rsid w:val="00651814"/>
    <w:rsid w:val="006518C1"/>
    <w:rsid w:val="006518C9"/>
    <w:rsid w:val="006518E5"/>
    <w:rsid w:val="006518F6"/>
    <w:rsid w:val="00651915"/>
    <w:rsid w:val="0065196B"/>
    <w:rsid w:val="00651992"/>
    <w:rsid w:val="00651997"/>
    <w:rsid w:val="006519A8"/>
    <w:rsid w:val="006519E0"/>
    <w:rsid w:val="006519E7"/>
    <w:rsid w:val="006519E9"/>
    <w:rsid w:val="00651A5A"/>
    <w:rsid w:val="00651A63"/>
    <w:rsid w:val="00651AFB"/>
    <w:rsid w:val="00651B65"/>
    <w:rsid w:val="00651B75"/>
    <w:rsid w:val="00651BEA"/>
    <w:rsid w:val="00651C4D"/>
    <w:rsid w:val="00651C75"/>
    <w:rsid w:val="00651C81"/>
    <w:rsid w:val="00651C83"/>
    <w:rsid w:val="00651CBD"/>
    <w:rsid w:val="00651CCC"/>
    <w:rsid w:val="00651D2F"/>
    <w:rsid w:val="00651D3D"/>
    <w:rsid w:val="00651D78"/>
    <w:rsid w:val="00651DB1"/>
    <w:rsid w:val="00651DB5"/>
    <w:rsid w:val="00651DB8"/>
    <w:rsid w:val="00651DE2"/>
    <w:rsid w:val="00651EC3"/>
    <w:rsid w:val="00651F1B"/>
    <w:rsid w:val="00651F25"/>
    <w:rsid w:val="00651F3C"/>
    <w:rsid w:val="00651F7F"/>
    <w:rsid w:val="00651F90"/>
    <w:rsid w:val="00651FB2"/>
    <w:rsid w:val="00651FBB"/>
    <w:rsid w:val="00651FD6"/>
    <w:rsid w:val="00651FE7"/>
    <w:rsid w:val="00651FFD"/>
    <w:rsid w:val="00651FFE"/>
    <w:rsid w:val="0065201F"/>
    <w:rsid w:val="00652070"/>
    <w:rsid w:val="00652090"/>
    <w:rsid w:val="00652095"/>
    <w:rsid w:val="0065209D"/>
    <w:rsid w:val="006520C3"/>
    <w:rsid w:val="006520CD"/>
    <w:rsid w:val="006520D9"/>
    <w:rsid w:val="00652132"/>
    <w:rsid w:val="00652185"/>
    <w:rsid w:val="006521F0"/>
    <w:rsid w:val="00652237"/>
    <w:rsid w:val="006522A7"/>
    <w:rsid w:val="006522BA"/>
    <w:rsid w:val="006522CA"/>
    <w:rsid w:val="006522E4"/>
    <w:rsid w:val="006522FB"/>
    <w:rsid w:val="006522FF"/>
    <w:rsid w:val="00652315"/>
    <w:rsid w:val="00652321"/>
    <w:rsid w:val="00652376"/>
    <w:rsid w:val="0065237A"/>
    <w:rsid w:val="006523D7"/>
    <w:rsid w:val="006523E9"/>
    <w:rsid w:val="006523EC"/>
    <w:rsid w:val="0065240F"/>
    <w:rsid w:val="00652454"/>
    <w:rsid w:val="0065245C"/>
    <w:rsid w:val="0065245D"/>
    <w:rsid w:val="00652465"/>
    <w:rsid w:val="0065247D"/>
    <w:rsid w:val="006524AE"/>
    <w:rsid w:val="006524C8"/>
    <w:rsid w:val="00652515"/>
    <w:rsid w:val="0065251B"/>
    <w:rsid w:val="0065251C"/>
    <w:rsid w:val="0065256A"/>
    <w:rsid w:val="00652593"/>
    <w:rsid w:val="006525A8"/>
    <w:rsid w:val="006525BE"/>
    <w:rsid w:val="0065265D"/>
    <w:rsid w:val="00652665"/>
    <w:rsid w:val="00652678"/>
    <w:rsid w:val="0065268B"/>
    <w:rsid w:val="006526A1"/>
    <w:rsid w:val="006526BF"/>
    <w:rsid w:val="006526D8"/>
    <w:rsid w:val="00652742"/>
    <w:rsid w:val="0065279B"/>
    <w:rsid w:val="006527F0"/>
    <w:rsid w:val="00652800"/>
    <w:rsid w:val="00652853"/>
    <w:rsid w:val="006528A7"/>
    <w:rsid w:val="006528E8"/>
    <w:rsid w:val="006528EF"/>
    <w:rsid w:val="006528FF"/>
    <w:rsid w:val="0065294A"/>
    <w:rsid w:val="00652955"/>
    <w:rsid w:val="00652975"/>
    <w:rsid w:val="006529BF"/>
    <w:rsid w:val="006529CE"/>
    <w:rsid w:val="006529D0"/>
    <w:rsid w:val="006529E9"/>
    <w:rsid w:val="006529EE"/>
    <w:rsid w:val="006529FF"/>
    <w:rsid w:val="00652A0D"/>
    <w:rsid w:val="00652A14"/>
    <w:rsid w:val="00652A20"/>
    <w:rsid w:val="00652A60"/>
    <w:rsid w:val="00652A7C"/>
    <w:rsid w:val="00652A7F"/>
    <w:rsid w:val="00652A94"/>
    <w:rsid w:val="00652AD9"/>
    <w:rsid w:val="00652B98"/>
    <w:rsid w:val="00652B9A"/>
    <w:rsid w:val="00652B9B"/>
    <w:rsid w:val="00652BDA"/>
    <w:rsid w:val="00652C0B"/>
    <w:rsid w:val="00652C21"/>
    <w:rsid w:val="00652C45"/>
    <w:rsid w:val="00652C48"/>
    <w:rsid w:val="00652CA5"/>
    <w:rsid w:val="00652CB1"/>
    <w:rsid w:val="00652CC0"/>
    <w:rsid w:val="00652CC9"/>
    <w:rsid w:val="00652CD7"/>
    <w:rsid w:val="00652CE4"/>
    <w:rsid w:val="00652CFB"/>
    <w:rsid w:val="00652D0D"/>
    <w:rsid w:val="00652D17"/>
    <w:rsid w:val="00652D2A"/>
    <w:rsid w:val="00652D41"/>
    <w:rsid w:val="00652D42"/>
    <w:rsid w:val="00652E2F"/>
    <w:rsid w:val="00652E35"/>
    <w:rsid w:val="00652E4C"/>
    <w:rsid w:val="00652E71"/>
    <w:rsid w:val="00652E9D"/>
    <w:rsid w:val="00652EB1"/>
    <w:rsid w:val="00652EB6"/>
    <w:rsid w:val="00652F1D"/>
    <w:rsid w:val="00652F3B"/>
    <w:rsid w:val="00652F8B"/>
    <w:rsid w:val="00652FA6"/>
    <w:rsid w:val="00652FB6"/>
    <w:rsid w:val="00652FD7"/>
    <w:rsid w:val="00652FEC"/>
    <w:rsid w:val="00652FF4"/>
    <w:rsid w:val="00653087"/>
    <w:rsid w:val="006530EA"/>
    <w:rsid w:val="006530EF"/>
    <w:rsid w:val="00653102"/>
    <w:rsid w:val="00653145"/>
    <w:rsid w:val="006531B8"/>
    <w:rsid w:val="0065322F"/>
    <w:rsid w:val="0065323C"/>
    <w:rsid w:val="0065325D"/>
    <w:rsid w:val="0065326B"/>
    <w:rsid w:val="00653294"/>
    <w:rsid w:val="00653295"/>
    <w:rsid w:val="006532A2"/>
    <w:rsid w:val="006532FC"/>
    <w:rsid w:val="0065333D"/>
    <w:rsid w:val="0065334B"/>
    <w:rsid w:val="0065338E"/>
    <w:rsid w:val="006533C8"/>
    <w:rsid w:val="00653412"/>
    <w:rsid w:val="0065341F"/>
    <w:rsid w:val="0065342E"/>
    <w:rsid w:val="00653441"/>
    <w:rsid w:val="00653444"/>
    <w:rsid w:val="00653468"/>
    <w:rsid w:val="006534A9"/>
    <w:rsid w:val="006534D2"/>
    <w:rsid w:val="00653505"/>
    <w:rsid w:val="00653517"/>
    <w:rsid w:val="0065354D"/>
    <w:rsid w:val="00653570"/>
    <w:rsid w:val="006535B3"/>
    <w:rsid w:val="006535CE"/>
    <w:rsid w:val="0065360B"/>
    <w:rsid w:val="00653619"/>
    <w:rsid w:val="00653627"/>
    <w:rsid w:val="00653634"/>
    <w:rsid w:val="00653690"/>
    <w:rsid w:val="006536DF"/>
    <w:rsid w:val="006536EE"/>
    <w:rsid w:val="006536FA"/>
    <w:rsid w:val="00653748"/>
    <w:rsid w:val="0065374F"/>
    <w:rsid w:val="0065375A"/>
    <w:rsid w:val="00653780"/>
    <w:rsid w:val="0065378B"/>
    <w:rsid w:val="006537B2"/>
    <w:rsid w:val="006537B3"/>
    <w:rsid w:val="006537C4"/>
    <w:rsid w:val="00653850"/>
    <w:rsid w:val="0065389B"/>
    <w:rsid w:val="006538A9"/>
    <w:rsid w:val="006538B4"/>
    <w:rsid w:val="00653905"/>
    <w:rsid w:val="00653907"/>
    <w:rsid w:val="00653921"/>
    <w:rsid w:val="0065392A"/>
    <w:rsid w:val="00653990"/>
    <w:rsid w:val="006539AC"/>
    <w:rsid w:val="006539C1"/>
    <w:rsid w:val="00653A07"/>
    <w:rsid w:val="00653A30"/>
    <w:rsid w:val="00653A36"/>
    <w:rsid w:val="00653A87"/>
    <w:rsid w:val="00653AA8"/>
    <w:rsid w:val="00653AAF"/>
    <w:rsid w:val="00653AC4"/>
    <w:rsid w:val="00653AD4"/>
    <w:rsid w:val="00653AE9"/>
    <w:rsid w:val="00653B04"/>
    <w:rsid w:val="00653B3D"/>
    <w:rsid w:val="00653B46"/>
    <w:rsid w:val="00653B7B"/>
    <w:rsid w:val="00653C56"/>
    <w:rsid w:val="00653C5A"/>
    <w:rsid w:val="00653CBB"/>
    <w:rsid w:val="00653CBC"/>
    <w:rsid w:val="00653CCD"/>
    <w:rsid w:val="00653CE3"/>
    <w:rsid w:val="00653CF2"/>
    <w:rsid w:val="00653CF8"/>
    <w:rsid w:val="00653CFE"/>
    <w:rsid w:val="00653D23"/>
    <w:rsid w:val="00653D4C"/>
    <w:rsid w:val="00653D4F"/>
    <w:rsid w:val="00653DFB"/>
    <w:rsid w:val="00653E0D"/>
    <w:rsid w:val="00653E76"/>
    <w:rsid w:val="00653EB5"/>
    <w:rsid w:val="00653EF2"/>
    <w:rsid w:val="00653EF4"/>
    <w:rsid w:val="00653F94"/>
    <w:rsid w:val="00653F98"/>
    <w:rsid w:val="00653F9D"/>
    <w:rsid w:val="00654009"/>
    <w:rsid w:val="00654020"/>
    <w:rsid w:val="00654029"/>
    <w:rsid w:val="00654042"/>
    <w:rsid w:val="00654080"/>
    <w:rsid w:val="00654144"/>
    <w:rsid w:val="00654148"/>
    <w:rsid w:val="00654160"/>
    <w:rsid w:val="00654199"/>
    <w:rsid w:val="006541D4"/>
    <w:rsid w:val="00654270"/>
    <w:rsid w:val="006542AD"/>
    <w:rsid w:val="006543C0"/>
    <w:rsid w:val="006543EF"/>
    <w:rsid w:val="006543F0"/>
    <w:rsid w:val="006543F6"/>
    <w:rsid w:val="00654402"/>
    <w:rsid w:val="0065441E"/>
    <w:rsid w:val="0065444C"/>
    <w:rsid w:val="00654452"/>
    <w:rsid w:val="00654475"/>
    <w:rsid w:val="0065447C"/>
    <w:rsid w:val="00654487"/>
    <w:rsid w:val="006544C2"/>
    <w:rsid w:val="00654547"/>
    <w:rsid w:val="00654550"/>
    <w:rsid w:val="0065456A"/>
    <w:rsid w:val="006545B5"/>
    <w:rsid w:val="006545B8"/>
    <w:rsid w:val="006545D5"/>
    <w:rsid w:val="006545E5"/>
    <w:rsid w:val="006545FB"/>
    <w:rsid w:val="00654632"/>
    <w:rsid w:val="0065471E"/>
    <w:rsid w:val="00654792"/>
    <w:rsid w:val="006547EE"/>
    <w:rsid w:val="00654830"/>
    <w:rsid w:val="00654860"/>
    <w:rsid w:val="006548B6"/>
    <w:rsid w:val="006548F4"/>
    <w:rsid w:val="00654926"/>
    <w:rsid w:val="0065493F"/>
    <w:rsid w:val="00654944"/>
    <w:rsid w:val="00654971"/>
    <w:rsid w:val="00654977"/>
    <w:rsid w:val="006549C0"/>
    <w:rsid w:val="00654A0B"/>
    <w:rsid w:val="00654A21"/>
    <w:rsid w:val="00654A2D"/>
    <w:rsid w:val="00654A33"/>
    <w:rsid w:val="00654A3B"/>
    <w:rsid w:val="00654AAD"/>
    <w:rsid w:val="00654ABF"/>
    <w:rsid w:val="00654B00"/>
    <w:rsid w:val="00654B0C"/>
    <w:rsid w:val="00654B11"/>
    <w:rsid w:val="00654B14"/>
    <w:rsid w:val="00654B1B"/>
    <w:rsid w:val="00654B1D"/>
    <w:rsid w:val="00654B28"/>
    <w:rsid w:val="00654B34"/>
    <w:rsid w:val="00654BB8"/>
    <w:rsid w:val="00654C3C"/>
    <w:rsid w:val="00654C69"/>
    <w:rsid w:val="00654CCE"/>
    <w:rsid w:val="00654D5D"/>
    <w:rsid w:val="00654D75"/>
    <w:rsid w:val="00654DD8"/>
    <w:rsid w:val="00654E0A"/>
    <w:rsid w:val="00654E10"/>
    <w:rsid w:val="00654E11"/>
    <w:rsid w:val="00654E2A"/>
    <w:rsid w:val="00654E4F"/>
    <w:rsid w:val="00654E50"/>
    <w:rsid w:val="00654F12"/>
    <w:rsid w:val="00654F1A"/>
    <w:rsid w:val="00654F54"/>
    <w:rsid w:val="00654F7A"/>
    <w:rsid w:val="00654F87"/>
    <w:rsid w:val="00654FA2"/>
    <w:rsid w:val="00654FCD"/>
    <w:rsid w:val="00655022"/>
    <w:rsid w:val="00655025"/>
    <w:rsid w:val="00655084"/>
    <w:rsid w:val="0065508B"/>
    <w:rsid w:val="006550A1"/>
    <w:rsid w:val="006550A4"/>
    <w:rsid w:val="006550CD"/>
    <w:rsid w:val="00655149"/>
    <w:rsid w:val="0065514A"/>
    <w:rsid w:val="00655174"/>
    <w:rsid w:val="006551B2"/>
    <w:rsid w:val="006551B9"/>
    <w:rsid w:val="006551F3"/>
    <w:rsid w:val="006551F4"/>
    <w:rsid w:val="00655249"/>
    <w:rsid w:val="0065524C"/>
    <w:rsid w:val="00655251"/>
    <w:rsid w:val="00655270"/>
    <w:rsid w:val="00655279"/>
    <w:rsid w:val="006552E3"/>
    <w:rsid w:val="006552ED"/>
    <w:rsid w:val="0065531A"/>
    <w:rsid w:val="0065531F"/>
    <w:rsid w:val="00655372"/>
    <w:rsid w:val="006553AD"/>
    <w:rsid w:val="006553D7"/>
    <w:rsid w:val="006553DE"/>
    <w:rsid w:val="006553FB"/>
    <w:rsid w:val="0065541C"/>
    <w:rsid w:val="00655422"/>
    <w:rsid w:val="00655454"/>
    <w:rsid w:val="00655480"/>
    <w:rsid w:val="006554A4"/>
    <w:rsid w:val="006554B1"/>
    <w:rsid w:val="006554C1"/>
    <w:rsid w:val="006554CD"/>
    <w:rsid w:val="00655508"/>
    <w:rsid w:val="00655514"/>
    <w:rsid w:val="00655542"/>
    <w:rsid w:val="00655552"/>
    <w:rsid w:val="00655559"/>
    <w:rsid w:val="0065555A"/>
    <w:rsid w:val="00655569"/>
    <w:rsid w:val="0065560D"/>
    <w:rsid w:val="00655666"/>
    <w:rsid w:val="0065566A"/>
    <w:rsid w:val="00655686"/>
    <w:rsid w:val="006556AE"/>
    <w:rsid w:val="006556BA"/>
    <w:rsid w:val="006556DD"/>
    <w:rsid w:val="006556E9"/>
    <w:rsid w:val="00655715"/>
    <w:rsid w:val="00655759"/>
    <w:rsid w:val="00655769"/>
    <w:rsid w:val="006557EC"/>
    <w:rsid w:val="006557F2"/>
    <w:rsid w:val="00655800"/>
    <w:rsid w:val="00655802"/>
    <w:rsid w:val="00655808"/>
    <w:rsid w:val="00655841"/>
    <w:rsid w:val="0065585C"/>
    <w:rsid w:val="00655872"/>
    <w:rsid w:val="006558CE"/>
    <w:rsid w:val="006558DE"/>
    <w:rsid w:val="00655933"/>
    <w:rsid w:val="006559A8"/>
    <w:rsid w:val="006559F2"/>
    <w:rsid w:val="00655A6D"/>
    <w:rsid w:val="00655ACC"/>
    <w:rsid w:val="00655AD5"/>
    <w:rsid w:val="00655AF1"/>
    <w:rsid w:val="00655B5E"/>
    <w:rsid w:val="00655B81"/>
    <w:rsid w:val="00655B9E"/>
    <w:rsid w:val="00655BA0"/>
    <w:rsid w:val="00655BD7"/>
    <w:rsid w:val="00655C05"/>
    <w:rsid w:val="00655C37"/>
    <w:rsid w:val="00655C61"/>
    <w:rsid w:val="00655C62"/>
    <w:rsid w:val="00655C8B"/>
    <w:rsid w:val="00655CC3"/>
    <w:rsid w:val="00655CC4"/>
    <w:rsid w:val="00655D1F"/>
    <w:rsid w:val="00655D2B"/>
    <w:rsid w:val="00655D62"/>
    <w:rsid w:val="00655D9E"/>
    <w:rsid w:val="00655DBC"/>
    <w:rsid w:val="00655DC7"/>
    <w:rsid w:val="00655DD7"/>
    <w:rsid w:val="00655E01"/>
    <w:rsid w:val="00655E22"/>
    <w:rsid w:val="00655E61"/>
    <w:rsid w:val="00655EFF"/>
    <w:rsid w:val="00655F3C"/>
    <w:rsid w:val="00655F54"/>
    <w:rsid w:val="00655F6E"/>
    <w:rsid w:val="00655F95"/>
    <w:rsid w:val="00655FA7"/>
    <w:rsid w:val="00655FAE"/>
    <w:rsid w:val="00655FC0"/>
    <w:rsid w:val="00655FF5"/>
    <w:rsid w:val="00655FFD"/>
    <w:rsid w:val="0065603D"/>
    <w:rsid w:val="0065606B"/>
    <w:rsid w:val="0065607B"/>
    <w:rsid w:val="00656095"/>
    <w:rsid w:val="006560BC"/>
    <w:rsid w:val="006560DD"/>
    <w:rsid w:val="006560E5"/>
    <w:rsid w:val="00656102"/>
    <w:rsid w:val="00656159"/>
    <w:rsid w:val="00656160"/>
    <w:rsid w:val="0065619B"/>
    <w:rsid w:val="006561CA"/>
    <w:rsid w:val="006561FA"/>
    <w:rsid w:val="00656262"/>
    <w:rsid w:val="00656275"/>
    <w:rsid w:val="00656277"/>
    <w:rsid w:val="0065628E"/>
    <w:rsid w:val="006562A5"/>
    <w:rsid w:val="006562BD"/>
    <w:rsid w:val="006562E2"/>
    <w:rsid w:val="006562E9"/>
    <w:rsid w:val="006562EA"/>
    <w:rsid w:val="0065635C"/>
    <w:rsid w:val="00656362"/>
    <w:rsid w:val="00656399"/>
    <w:rsid w:val="006563CC"/>
    <w:rsid w:val="00656402"/>
    <w:rsid w:val="00656410"/>
    <w:rsid w:val="00656430"/>
    <w:rsid w:val="00656434"/>
    <w:rsid w:val="00656436"/>
    <w:rsid w:val="0065647A"/>
    <w:rsid w:val="006564AE"/>
    <w:rsid w:val="006564C3"/>
    <w:rsid w:val="006564D1"/>
    <w:rsid w:val="006564F7"/>
    <w:rsid w:val="00656500"/>
    <w:rsid w:val="0065651C"/>
    <w:rsid w:val="00656531"/>
    <w:rsid w:val="00656537"/>
    <w:rsid w:val="0065656E"/>
    <w:rsid w:val="00656574"/>
    <w:rsid w:val="006565B9"/>
    <w:rsid w:val="006565F6"/>
    <w:rsid w:val="00656619"/>
    <w:rsid w:val="0065663A"/>
    <w:rsid w:val="006566AA"/>
    <w:rsid w:val="006566CB"/>
    <w:rsid w:val="006566DE"/>
    <w:rsid w:val="00656721"/>
    <w:rsid w:val="00656735"/>
    <w:rsid w:val="0065677A"/>
    <w:rsid w:val="006567D4"/>
    <w:rsid w:val="006567F0"/>
    <w:rsid w:val="0065684F"/>
    <w:rsid w:val="00656853"/>
    <w:rsid w:val="0065688F"/>
    <w:rsid w:val="006569A8"/>
    <w:rsid w:val="006569ED"/>
    <w:rsid w:val="00656A05"/>
    <w:rsid w:val="00656A1A"/>
    <w:rsid w:val="00656A59"/>
    <w:rsid w:val="00656A99"/>
    <w:rsid w:val="00656AA7"/>
    <w:rsid w:val="00656B0B"/>
    <w:rsid w:val="00656B17"/>
    <w:rsid w:val="00656B3E"/>
    <w:rsid w:val="00656B70"/>
    <w:rsid w:val="00656B8C"/>
    <w:rsid w:val="00656BAC"/>
    <w:rsid w:val="00656BF8"/>
    <w:rsid w:val="00656C36"/>
    <w:rsid w:val="00656D24"/>
    <w:rsid w:val="00656D2B"/>
    <w:rsid w:val="00656DEB"/>
    <w:rsid w:val="00656DFD"/>
    <w:rsid w:val="00656E09"/>
    <w:rsid w:val="00656E27"/>
    <w:rsid w:val="00656E4D"/>
    <w:rsid w:val="00656E9D"/>
    <w:rsid w:val="00656EC2"/>
    <w:rsid w:val="00656EEB"/>
    <w:rsid w:val="00656F08"/>
    <w:rsid w:val="00656F29"/>
    <w:rsid w:val="00656F35"/>
    <w:rsid w:val="00656F3D"/>
    <w:rsid w:val="00656FB4"/>
    <w:rsid w:val="00656FC0"/>
    <w:rsid w:val="00657008"/>
    <w:rsid w:val="00657030"/>
    <w:rsid w:val="0065709A"/>
    <w:rsid w:val="00657117"/>
    <w:rsid w:val="00657118"/>
    <w:rsid w:val="00657141"/>
    <w:rsid w:val="006571A3"/>
    <w:rsid w:val="006571B1"/>
    <w:rsid w:val="006571B5"/>
    <w:rsid w:val="006571EB"/>
    <w:rsid w:val="00657202"/>
    <w:rsid w:val="0065722B"/>
    <w:rsid w:val="006572D5"/>
    <w:rsid w:val="006572EC"/>
    <w:rsid w:val="006572FD"/>
    <w:rsid w:val="00657330"/>
    <w:rsid w:val="00657333"/>
    <w:rsid w:val="00657383"/>
    <w:rsid w:val="0065742B"/>
    <w:rsid w:val="006574C8"/>
    <w:rsid w:val="006574E9"/>
    <w:rsid w:val="00657579"/>
    <w:rsid w:val="0065757E"/>
    <w:rsid w:val="00657586"/>
    <w:rsid w:val="006575C1"/>
    <w:rsid w:val="0065760E"/>
    <w:rsid w:val="0065763F"/>
    <w:rsid w:val="00657699"/>
    <w:rsid w:val="00657723"/>
    <w:rsid w:val="00657748"/>
    <w:rsid w:val="00657759"/>
    <w:rsid w:val="006577C3"/>
    <w:rsid w:val="006577D5"/>
    <w:rsid w:val="006577D6"/>
    <w:rsid w:val="006577EF"/>
    <w:rsid w:val="0065781F"/>
    <w:rsid w:val="00657853"/>
    <w:rsid w:val="00657888"/>
    <w:rsid w:val="0065788B"/>
    <w:rsid w:val="006578AC"/>
    <w:rsid w:val="0065794C"/>
    <w:rsid w:val="006579AE"/>
    <w:rsid w:val="006579E3"/>
    <w:rsid w:val="00657A30"/>
    <w:rsid w:val="00657A36"/>
    <w:rsid w:val="00657A49"/>
    <w:rsid w:val="00657A4B"/>
    <w:rsid w:val="00657A82"/>
    <w:rsid w:val="00657A97"/>
    <w:rsid w:val="00657AB3"/>
    <w:rsid w:val="00657AC2"/>
    <w:rsid w:val="00657AE9"/>
    <w:rsid w:val="00657B10"/>
    <w:rsid w:val="00657B26"/>
    <w:rsid w:val="00657B9E"/>
    <w:rsid w:val="00657C04"/>
    <w:rsid w:val="00657C46"/>
    <w:rsid w:val="00657C61"/>
    <w:rsid w:val="00657C66"/>
    <w:rsid w:val="00657C78"/>
    <w:rsid w:val="00657CE0"/>
    <w:rsid w:val="00657D00"/>
    <w:rsid w:val="00657D2A"/>
    <w:rsid w:val="00657D31"/>
    <w:rsid w:val="00657D33"/>
    <w:rsid w:val="00657D56"/>
    <w:rsid w:val="00657D64"/>
    <w:rsid w:val="00657DBC"/>
    <w:rsid w:val="00657DDD"/>
    <w:rsid w:val="00657E03"/>
    <w:rsid w:val="00657E8D"/>
    <w:rsid w:val="00657EAF"/>
    <w:rsid w:val="00657F48"/>
    <w:rsid w:val="00657F6D"/>
    <w:rsid w:val="00657F9D"/>
    <w:rsid w:val="00657FF5"/>
    <w:rsid w:val="00660019"/>
    <w:rsid w:val="0066006F"/>
    <w:rsid w:val="006600D4"/>
    <w:rsid w:val="006600F4"/>
    <w:rsid w:val="0066010E"/>
    <w:rsid w:val="00660157"/>
    <w:rsid w:val="00660161"/>
    <w:rsid w:val="0066016A"/>
    <w:rsid w:val="0066018C"/>
    <w:rsid w:val="006601C1"/>
    <w:rsid w:val="00660200"/>
    <w:rsid w:val="00660206"/>
    <w:rsid w:val="00660210"/>
    <w:rsid w:val="0066021B"/>
    <w:rsid w:val="00660228"/>
    <w:rsid w:val="0066023C"/>
    <w:rsid w:val="0066028B"/>
    <w:rsid w:val="00660330"/>
    <w:rsid w:val="00660371"/>
    <w:rsid w:val="006603AC"/>
    <w:rsid w:val="006603AF"/>
    <w:rsid w:val="006603C2"/>
    <w:rsid w:val="006603D1"/>
    <w:rsid w:val="0066040C"/>
    <w:rsid w:val="00660418"/>
    <w:rsid w:val="00660429"/>
    <w:rsid w:val="00660433"/>
    <w:rsid w:val="00660475"/>
    <w:rsid w:val="006604BD"/>
    <w:rsid w:val="0066054E"/>
    <w:rsid w:val="00660566"/>
    <w:rsid w:val="006605B8"/>
    <w:rsid w:val="006605D5"/>
    <w:rsid w:val="0066062E"/>
    <w:rsid w:val="0066064A"/>
    <w:rsid w:val="00660680"/>
    <w:rsid w:val="006606CE"/>
    <w:rsid w:val="00660744"/>
    <w:rsid w:val="00660752"/>
    <w:rsid w:val="00660779"/>
    <w:rsid w:val="006607A1"/>
    <w:rsid w:val="006607E2"/>
    <w:rsid w:val="0066083B"/>
    <w:rsid w:val="0066083D"/>
    <w:rsid w:val="0066084C"/>
    <w:rsid w:val="00660854"/>
    <w:rsid w:val="006608CF"/>
    <w:rsid w:val="006608D2"/>
    <w:rsid w:val="006608D4"/>
    <w:rsid w:val="00660902"/>
    <w:rsid w:val="0066094F"/>
    <w:rsid w:val="00660961"/>
    <w:rsid w:val="0066096A"/>
    <w:rsid w:val="006609A0"/>
    <w:rsid w:val="006609AB"/>
    <w:rsid w:val="006609B7"/>
    <w:rsid w:val="006609B9"/>
    <w:rsid w:val="006609C7"/>
    <w:rsid w:val="006609DA"/>
    <w:rsid w:val="006609F2"/>
    <w:rsid w:val="00660A0B"/>
    <w:rsid w:val="00660A18"/>
    <w:rsid w:val="00660A2B"/>
    <w:rsid w:val="00660A31"/>
    <w:rsid w:val="00660A32"/>
    <w:rsid w:val="00660A53"/>
    <w:rsid w:val="00660A66"/>
    <w:rsid w:val="00660AB3"/>
    <w:rsid w:val="00660ACD"/>
    <w:rsid w:val="00660AEF"/>
    <w:rsid w:val="00660B10"/>
    <w:rsid w:val="00660B24"/>
    <w:rsid w:val="00660B6E"/>
    <w:rsid w:val="00660B71"/>
    <w:rsid w:val="00660BD8"/>
    <w:rsid w:val="00660BF3"/>
    <w:rsid w:val="00660C03"/>
    <w:rsid w:val="00660C25"/>
    <w:rsid w:val="00660C6F"/>
    <w:rsid w:val="00660C79"/>
    <w:rsid w:val="00660C8B"/>
    <w:rsid w:val="00660CCB"/>
    <w:rsid w:val="00660D74"/>
    <w:rsid w:val="00660D82"/>
    <w:rsid w:val="00660DB5"/>
    <w:rsid w:val="00660DBE"/>
    <w:rsid w:val="00660E64"/>
    <w:rsid w:val="00660E78"/>
    <w:rsid w:val="00660EA2"/>
    <w:rsid w:val="00660F1B"/>
    <w:rsid w:val="00660F28"/>
    <w:rsid w:val="00660F4B"/>
    <w:rsid w:val="00660F59"/>
    <w:rsid w:val="00660F67"/>
    <w:rsid w:val="00660F99"/>
    <w:rsid w:val="00660FDF"/>
    <w:rsid w:val="00661024"/>
    <w:rsid w:val="00661072"/>
    <w:rsid w:val="0066109D"/>
    <w:rsid w:val="0066112C"/>
    <w:rsid w:val="00661133"/>
    <w:rsid w:val="0066114F"/>
    <w:rsid w:val="00661189"/>
    <w:rsid w:val="00661198"/>
    <w:rsid w:val="006611A6"/>
    <w:rsid w:val="006611E0"/>
    <w:rsid w:val="0066125A"/>
    <w:rsid w:val="00661286"/>
    <w:rsid w:val="0066129E"/>
    <w:rsid w:val="00661313"/>
    <w:rsid w:val="00661317"/>
    <w:rsid w:val="00661324"/>
    <w:rsid w:val="0066132E"/>
    <w:rsid w:val="006613F9"/>
    <w:rsid w:val="00661415"/>
    <w:rsid w:val="0066145B"/>
    <w:rsid w:val="0066146B"/>
    <w:rsid w:val="0066146D"/>
    <w:rsid w:val="0066147A"/>
    <w:rsid w:val="00661491"/>
    <w:rsid w:val="006614B1"/>
    <w:rsid w:val="006614F0"/>
    <w:rsid w:val="00661528"/>
    <w:rsid w:val="00661595"/>
    <w:rsid w:val="0066159A"/>
    <w:rsid w:val="006615A5"/>
    <w:rsid w:val="00661606"/>
    <w:rsid w:val="00661607"/>
    <w:rsid w:val="00661631"/>
    <w:rsid w:val="00661675"/>
    <w:rsid w:val="00661693"/>
    <w:rsid w:val="0066169A"/>
    <w:rsid w:val="006616BA"/>
    <w:rsid w:val="00661702"/>
    <w:rsid w:val="00661771"/>
    <w:rsid w:val="0066179F"/>
    <w:rsid w:val="006617FB"/>
    <w:rsid w:val="0066182D"/>
    <w:rsid w:val="00661857"/>
    <w:rsid w:val="00661870"/>
    <w:rsid w:val="00661882"/>
    <w:rsid w:val="006618F4"/>
    <w:rsid w:val="006618FB"/>
    <w:rsid w:val="00661905"/>
    <w:rsid w:val="00661981"/>
    <w:rsid w:val="006619B5"/>
    <w:rsid w:val="006619F2"/>
    <w:rsid w:val="00661A05"/>
    <w:rsid w:val="00661ABA"/>
    <w:rsid w:val="00661AC7"/>
    <w:rsid w:val="00661ACD"/>
    <w:rsid w:val="00661AD7"/>
    <w:rsid w:val="00661B0A"/>
    <w:rsid w:val="00661B14"/>
    <w:rsid w:val="00661B3F"/>
    <w:rsid w:val="00661B4C"/>
    <w:rsid w:val="00661B75"/>
    <w:rsid w:val="00661BB7"/>
    <w:rsid w:val="00661BCF"/>
    <w:rsid w:val="00661BDC"/>
    <w:rsid w:val="00661BF1"/>
    <w:rsid w:val="00661C04"/>
    <w:rsid w:val="00661C17"/>
    <w:rsid w:val="00661C1F"/>
    <w:rsid w:val="00661C2A"/>
    <w:rsid w:val="00661C3F"/>
    <w:rsid w:val="00661C62"/>
    <w:rsid w:val="00661C7F"/>
    <w:rsid w:val="00661CB4"/>
    <w:rsid w:val="00661CD5"/>
    <w:rsid w:val="00661D4C"/>
    <w:rsid w:val="00661D8E"/>
    <w:rsid w:val="00661DA1"/>
    <w:rsid w:val="00661DB5"/>
    <w:rsid w:val="00661E1C"/>
    <w:rsid w:val="00661E20"/>
    <w:rsid w:val="00661E9A"/>
    <w:rsid w:val="00661EA5"/>
    <w:rsid w:val="00661EDB"/>
    <w:rsid w:val="00661EE2"/>
    <w:rsid w:val="00661F32"/>
    <w:rsid w:val="00661F45"/>
    <w:rsid w:val="00661F67"/>
    <w:rsid w:val="00661F9B"/>
    <w:rsid w:val="00661FB8"/>
    <w:rsid w:val="00661FC9"/>
    <w:rsid w:val="00661FD4"/>
    <w:rsid w:val="00661FF6"/>
    <w:rsid w:val="00662016"/>
    <w:rsid w:val="00662031"/>
    <w:rsid w:val="00662051"/>
    <w:rsid w:val="00662098"/>
    <w:rsid w:val="006620AC"/>
    <w:rsid w:val="0066216D"/>
    <w:rsid w:val="006621EC"/>
    <w:rsid w:val="00662223"/>
    <w:rsid w:val="00662240"/>
    <w:rsid w:val="00662296"/>
    <w:rsid w:val="00662299"/>
    <w:rsid w:val="006622B2"/>
    <w:rsid w:val="006622F0"/>
    <w:rsid w:val="00662365"/>
    <w:rsid w:val="0066237E"/>
    <w:rsid w:val="006623B7"/>
    <w:rsid w:val="0066245B"/>
    <w:rsid w:val="00662498"/>
    <w:rsid w:val="006624B6"/>
    <w:rsid w:val="006624EB"/>
    <w:rsid w:val="006624FB"/>
    <w:rsid w:val="006625B2"/>
    <w:rsid w:val="006625B6"/>
    <w:rsid w:val="00662640"/>
    <w:rsid w:val="00662646"/>
    <w:rsid w:val="00662653"/>
    <w:rsid w:val="0066265C"/>
    <w:rsid w:val="00662699"/>
    <w:rsid w:val="006626B9"/>
    <w:rsid w:val="0066270A"/>
    <w:rsid w:val="00662797"/>
    <w:rsid w:val="006627A6"/>
    <w:rsid w:val="006627D5"/>
    <w:rsid w:val="00662817"/>
    <w:rsid w:val="0066281B"/>
    <w:rsid w:val="0066288D"/>
    <w:rsid w:val="006628C9"/>
    <w:rsid w:val="006628F7"/>
    <w:rsid w:val="00662926"/>
    <w:rsid w:val="0066292A"/>
    <w:rsid w:val="00662952"/>
    <w:rsid w:val="006629AB"/>
    <w:rsid w:val="006629B0"/>
    <w:rsid w:val="006629C2"/>
    <w:rsid w:val="006629D1"/>
    <w:rsid w:val="006629EB"/>
    <w:rsid w:val="00662A70"/>
    <w:rsid w:val="00662A89"/>
    <w:rsid w:val="00662AB9"/>
    <w:rsid w:val="00662AEC"/>
    <w:rsid w:val="00662B0D"/>
    <w:rsid w:val="00662B19"/>
    <w:rsid w:val="00662B82"/>
    <w:rsid w:val="00662B8C"/>
    <w:rsid w:val="00662BB6"/>
    <w:rsid w:val="00662BD3"/>
    <w:rsid w:val="00662BE3"/>
    <w:rsid w:val="00662BEA"/>
    <w:rsid w:val="00662C11"/>
    <w:rsid w:val="00662C19"/>
    <w:rsid w:val="00662C39"/>
    <w:rsid w:val="00662C54"/>
    <w:rsid w:val="00662CA4"/>
    <w:rsid w:val="00662CD1"/>
    <w:rsid w:val="00662CEF"/>
    <w:rsid w:val="00662D31"/>
    <w:rsid w:val="00662D43"/>
    <w:rsid w:val="00662D82"/>
    <w:rsid w:val="00662DB4"/>
    <w:rsid w:val="00662E18"/>
    <w:rsid w:val="00662E54"/>
    <w:rsid w:val="00662E60"/>
    <w:rsid w:val="00662E83"/>
    <w:rsid w:val="00662F19"/>
    <w:rsid w:val="00662F2D"/>
    <w:rsid w:val="00662F64"/>
    <w:rsid w:val="00662F93"/>
    <w:rsid w:val="00662FCB"/>
    <w:rsid w:val="00663020"/>
    <w:rsid w:val="00663042"/>
    <w:rsid w:val="00663082"/>
    <w:rsid w:val="006630B5"/>
    <w:rsid w:val="006630CA"/>
    <w:rsid w:val="006630D5"/>
    <w:rsid w:val="006630D6"/>
    <w:rsid w:val="006630E7"/>
    <w:rsid w:val="0066317E"/>
    <w:rsid w:val="006631C4"/>
    <w:rsid w:val="006631D3"/>
    <w:rsid w:val="006631D8"/>
    <w:rsid w:val="006631F1"/>
    <w:rsid w:val="006631F3"/>
    <w:rsid w:val="0066322F"/>
    <w:rsid w:val="00663269"/>
    <w:rsid w:val="00663280"/>
    <w:rsid w:val="00663344"/>
    <w:rsid w:val="0066337F"/>
    <w:rsid w:val="006633D3"/>
    <w:rsid w:val="006633E7"/>
    <w:rsid w:val="006633EC"/>
    <w:rsid w:val="00663466"/>
    <w:rsid w:val="0066346F"/>
    <w:rsid w:val="00663489"/>
    <w:rsid w:val="00663499"/>
    <w:rsid w:val="00663554"/>
    <w:rsid w:val="006635AD"/>
    <w:rsid w:val="006635CF"/>
    <w:rsid w:val="006635F3"/>
    <w:rsid w:val="00663610"/>
    <w:rsid w:val="00663629"/>
    <w:rsid w:val="00663646"/>
    <w:rsid w:val="00663669"/>
    <w:rsid w:val="0066367E"/>
    <w:rsid w:val="006636BB"/>
    <w:rsid w:val="006636F0"/>
    <w:rsid w:val="00663726"/>
    <w:rsid w:val="00663750"/>
    <w:rsid w:val="00663766"/>
    <w:rsid w:val="00663776"/>
    <w:rsid w:val="0066377D"/>
    <w:rsid w:val="006637B7"/>
    <w:rsid w:val="006637D6"/>
    <w:rsid w:val="006637DD"/>
    <w:rsid w:val="006637FC"/>
    <w:rsid w:val="006638A6"/>
    <w:rsid w:val="006638D1"/>
    <w:rsid w:val="006638DC"/>
    <w:rsid w:val="006638E1"/>
    <w:rsid w:val="0066398C"/>
    <w:rsid w:val="0066398F"/>
    <w:rsid w:val="00663998"/>
    <w:rsid w:val="00663A0C"/>
    <w:rsid w:val="00663A0E"/>
    <w:rsid w:val="00663A20"/>
    <w:rsid w:val="00663A26"/>
    <w:rsid w:val="00663A2D"/>
    <w:rsid w:val="00663A6B"/>
    <w:rsid w:val="00663AA4"/>
    <w:rsid w:val="00663AA8"/>
    <w:rsid w:val="00663ABD"/>
    <w:rsid w:val="00663AC8"/>
    <w:rsid w:val="00663AD6"/>
    <w:rsid w:val="00663AE0"/>
    <w:rsid w:val="00663B13"/>
    <w:rsid w:val="00663B39"/>
    <w:rsid w:val="00663B4E"/>
    <w:rsid w:val="00663B61"/>
    <w:rsid w:val="00663B62"/>
    <w:rsid w:val="00663BC1"/>
    <w:rsid w:val="00663BC7"/>
    <w:rsid w:val="00663BD2"/>
    <w:rsid w:val="00663BEE"/>
    <w:rsid w:val="00663BFF"/>
    <w:rsid w:val="00663C66"/>
    <w:rsid w:val="00663CB3"/>
    <w:rsid w:val="00663CC1"/>
    <w:rsid w:val="00663D32"/>
    <w:rsid w:val="00663D43"/>
    <w:rsid w:val="00663D5C"/>
    <w:rsid w:val="00663D6E"/>
    <w:rsid w:val="00663D91"/>
    <w:rsid w:val="00663DAA"/>
    <w:rsid w:val="00663DCF"/>
    <w:rsid w:val="00663E1A"/>
    <w:rsid w:val="00663E5F"/>
    <w:rsid w:val="00663E98"/>
    <w:rsid w:val="00663F08"/>
    <w:rsid w:val="00663F1E"/>
    <w:rsid w:val="00663F31"/>
    <w:rsid w:val="00663F3C"/>
    <w:rsid w:val="00663F46"/>
    <w:rsid w:val="00663FAD"/>
    <w:rsid w:val="00663FB6"/>
    <w:rsid w:val="00663FC4"/>
    <w:rsid w:val="00664060"/>
    <w:rsid w:val="00664061"/>
    <w:rsid w:val="00664092"/>
    <w:rsid w:val="006640A9"/>
    <w:rsid w:val="006640DB"/>
    <w:rsid w:val="0066414E"/>
    <w:rsid w:val="00664154"/>
    <w:rsid w:val="0066416F"/>
    <w:rsid w:val="00664180"/>
    <w:rsid w:val="00664188"/>
    <w:rsid w:val="0066418A"/>
    <w:rsid w:val="006641A3"/>
    <w:rsid w:val="0066420F"/>
    <w:rsid w:val="0066421D"/>
    <w:rsid w:val="00664228"/>
    <w:rsid w:val="00664273"/>
    <w:rsid w:val="00664289"/>
    <w:rsid w:val="00664299"/>
    <w:rsid w:val="006642AA"/>
    <w:rsid w:val="006642CF"/>
    <w:rsid w:val="006642DA"/>
    <w:rsid w:val="00664305"/>
    <w:rsid w:val="00664366"/>
    <w:rsid w:val="00664381"/>
    <w:rsid w:val="00664395"/>
    <w:rsid w:val="006643A7"/>
    <w:rsid w:val="006643B8"/>
    <w:rsid w:val="006643BC"/>
    <w:rsid w:val="00664442"/>
    <w:rsid w:val="00664447"/>
    <w:rsid w:val="0066444D"/>
    <w:rsid w:val="0066445F"/>
    <w:rsid w:val="006644BC"/>
    <w:rsid w:val="006644DB"/>
    <w:rsid w:val="00664502"/>
    <w:rsid w:val="00664514"/>
    <w:rsid w:val="0066452C"/>
    <w:rsid w:val="00664530"/>
    <w:rsid w:val="00664531"/>
    <w:rsid w:val="0066453A"/>
    <w:rsid w:val="0066458F"/>
    <w:rsid w:val="006645C3"/>
    <w:rsid w:val="006645EB"/>
    <w:rsid w:val="0066463C"/>
    <w:rsid w:val="00664648"/>
    <w:rsid w:val="0066466C"/>
    <w:rsid w:val="006646B7"/>
    <w:rsid w:val="006646E2"/>
    <w:rsid w:val="0066470F"/>
    <w:rsid w:val="00664711"/>
    <w:rsid w:val="0066472C"/>
    <w:rsid w:val="0066475C"/>
    <w:rsid w:val="00664773"/>
    <w:rsid w:val="0066478E"/>
    <w:rsid w:val="006647BD"/>
    <w:rsid w:val="006647FF"/>
    <w:rsid w:val="00664854"/>
    <w:rsid w:val="006648A1"/>
    <w:rsid w:val="006648D4"/>
    <w:rsid w:val="0066491F"/>
    <w:rsid w:val="00664929"/>
    <w:rsid w:val="00664979"/>
    <w:rsid w:val="0066498D"/>
    <w:rsid w:val="0066498E"/>
    <w:rsid w:val="006649A7"/>
    <w:rsid w:val="006649B9"/>
    <w:rsid w:val="006649D8"/>
    <w:rsid w:val="00664A23"/>
    <w:rsid w:val="00664A4E"/>
    <w:rsid w:val="00664A75"/>
    <w:rsid w:val="00664AA4"/>
    <w:rsid w:val="00664B1B"/>
    <w:rsid w:val="00664B2E"/>
    <w:rsid w:val="00664B37"/>
    <w:rsid w:val="00664B79"/>
    <w:rsid w:val="00664BE9"/>
    <w:rsid w:val="00664C16"/>
    <w:rsid w:val="00664C33"/>
    <w:rsid w:val="00664C41"/>
    <w:rsid w:val="00664C4D"/>
    <w:rsid w:val="00664C60"/>
    <w:rsid w:val="00664D34"/>
    <w:rsid w:val="00664D7F"/>
    <w:rsid w:val="00664DB8"/>
    <w:rsid w:val="00664DC7"/>
    <w:rsid w:val="00664DEC"/>
    <w:rsid w:val="00664DF4"/>
    <w:rsid w:val="00664E03"/>
    <w:rsid w:val="00664E0E"/>
    <w:rsid w:val="00664E31"/>
    <w:rsid w:val="00664E3F"/>
    <w:rsid w:val="00664E54"/>
    <w:rsid w:val="00664E75"/>
    <w:rsid w:val="00664E7C"/>
    <w:rsid w:val="00664E99"/>
    <w:rsid w:val="00664E9E"/>
    <w:rsid w:val="00664E9F"/>
    <w:rsid w:val="00664EAA"/>
    <w:rsid w:val="00664F22"/>
    <w:rsid w:val="00664F2C"/>
    <w:rsid w:val="00664F6B"/>
    <w:rsid w:val="0066509E"/>
    <w:rsid w:val="006650AB"/>
    <w:rsid w:val="006650AE"/>
    <w:rsid w:val="006650CA"/>
    <w:rsid w:val="006650D0"/>
    <w:rsid w:val="006650E2"/>
    <w:rsid w:val="0066512D"/>
    <w:rsid w:val="00665135"/>
    <w:rsid w:val="00665137"/>
    <w:rsid w:val="00665145"/>
    <w:rsid w:val="00665169"/>
    <w:rsid w:val="00665173"/>
    <w:rsid w:val="00665187"/>
    <w:rsid w:val="006651A3"/>
    <w:rsid w:val="006651E2"/>
    <w:rsid w:val="006651E4"/>
    <w:rsid w:val="006651FD"/>
    <w:rsid w:val="00665221"/>
    <w:rsid w:val="00665228"/>
    <w:rsid w:val="0066524C"/>
    <w:rsid w:val="0066526E"/>
    <w:rsid w:val="00665289"/>
    <w:rsid w:val="006652B4"/>
    <w:rsid w:val="006652E0"/>
    <w:rsid w:val="00665307"/>
    <w:rsid w:val="00665323"/>
    <w:rsid w:val="00665329"/>
    <w:rsid w:val="0066534E"/>
    <w:rsid w:val="00665354"/>
    <w:rsid w:val="0066537C"/>
    <w:rsid w:val="00665390"/>
    <w:rsid w:val="006653BA"/>
    <w:rsid w:val="00665421"/>
    <w:rsid w:val="00665425"/>
    <w:rsid w:val="006654A0"/>
    <w:rsid w:val="006654A5"/>
    <w:rsid w:val="006654AB"/>
    <w:rsid w:val="006654CA"/>
    <w:rsid w:val="00665551"/>
    <w:rsid w:val="006655EA"/>
    <w:rsid w:val="0066567D"/>
    <w:rsid w:val="006656E2"/>
    <w:rsid w:val="00665735"/>
    <w:rsid w:val="0066574D"/>
    <w:rsid w:val="006657D4"/>
    <w:rsid w:val="006657D9"/>
    <w:rsid w:val="00665804"/>
    <w:rsid w:val="00665849"/>
    <w:rsid w:val="00665886"/>
    <w:rsid w:val="0066591E"/>
    <w:rsid w:val="0066593A"/>
    <w:rsid w:val="00665967"/>
    <w:rsid w:val="0066598D"/>
    <w:rsid w:val="006659A1"/>
    <w:rsid w:val="006659A8"/>
    <w:rsid w:val="006659D3"/>
    <w:rsid w:val="00665A13"/>
    <w:rsid w:val="00665A28"/>
    <w:rsid w:val="00665A79"/>
    <w:rsid w:val="00665ADA"/>
    <w:rsid w:val="00665B9C"/>
    <w:rsid w:val="00665B9D"/>
    <w:rsid w:val="00665BA6"/>
    <w:rsid w:val="00665BE2"/>
    <w:rsid w:val="00665BEE"/>
    <w:rsid w:val="00665BF8"/>
    <w:rsid w:val="00665C24"/>
    <w:rsid w:val="00665C6F"/>
    <w:rsid w:val="00665C8A"/>
    <w:rsid w:val="00665CB4"/>
    <w:rsid w:val="00665CBA"/>
    <w:rsid w:val="00665CC4"/>
    <w:rsid w:val="00665CD2"/>
    <w:rsid w:val="00665CF3"/>
    <w:rsid w:val="00665D1B"/>
    <w:rsid w:val="00665D21"/>
    <w:rsid w:val="00665D2B"/>
    <w:rsid w:val="00665D31"/>
    <w:rsid w:val="00665D87"/>
    <w:rsid w:val="00665D8D"/>
    <w:rsid w:val="00665DD3"/>
    <w:rsid w:val="00665DFE"/>
    <w:rsid w:val="00665E2D"/>
    <w:rsid w:val="00665E3D"/>
    <w:rsid w:val="00665E45"/>
    <w:rsid w:val="00665E6F"/>
    <w:rsid w:val="00665EB2"/>
    <w:rsid w:val="00665EE4"/>
    <w:rsid w:val="00665F39"/>
    <w:rsid w:val="00665F58"/>
    <w:rsid w:val="00665F88"/>
    <w:rsid w:val="00665FB0"/>
    <w:rsid w:val="00665FB7"/>
    <w:rsid w:val="00666038"/>
    <w:rsid w:val="00666057"/>
    <w:rsid w:val="0066606F"/>
    <w:rsid w:val="00666084"/>
    <w:rsid w:val="006660AD"/>
    <w:rsid w:val="006660B8"/>
    <w:rsid w:val="006660B9"/>
    <w:rsid w:val="006660CD"/>
    <w:rsid w:val="006660D0"/>
    <w:rsid w:val="006660D9"/>
    <w:rsid w:val="006660E7"/>
    <w:rsid w:val="006660EB"/>
    <w:rsid w:val="00666105"/>
    <w:rsid w:val="0066610A"/>
    <w:rsid w:val="00666117"/>
    <w:rsid w:val="00666162"/>
    <w:rsid w:val="00666174"/>
    <w:rsid w:val="0066618A"/>
    <w:rsid w:val="006661A5"/>
    <w:rsid w:val="006661B1"/>
    <w:rsid w:val="006661B4"/>
    <w:rsid w:val="006661BB"/>
    <w:rsid w:val="006661CB"/>
    <w:rsid w:val="00666226"/>
    <w:rsid w:val="0066626C"/>
    <w:rsid w:val="006662A0"/>
    <w:rsid w:val="006662A3"/>
    <w:rsid w:val="006662D6"/>
    <w:rsid w:val="006662DC"/>
    <w:rsid w:val="006662E2"/>
    <w:rsid w:val="00666301"/>
    <w:rsid w:val="00666362"/>
    <w:rsid w:val="00666369"/>
    <w:rsid w:val="00666373"/>
    <w:rsid w:val="006663B2"/>
    <w:rsid w:val="006663BB"/>
    <w:rsid w:val="006663E3"/>
    <w:rsid w:val="00666400"/>
    <w:rsid w:val="0066642D"/>
    <w:rsid w:val="00666436"/>
    <w:rsid w:val="0066644E"/>
    <w:rsid w:val="0066646D"/>
    <w:rsid w:val="00666495"/>
    <w:rsid w:val="006664A4"/>
    <w:rsid w:val="006664A9"/>
    <w:rsid w:val="00666505"/>
    <w:rsid w:val="00666523"/>
    <w:rsid w:val="0066653A"/>
    <w:rsid w:val="00666552"/>
    <w:rsid w:val="006665AD"/>
    <w:rsid w:val="0066664A"/>
    <w:rsid w:val="00666695"/>
    <w:rsid w:val="00666699"/>
    <w:rsid w:val="006666B4"/>
    <w:rsid w:val="006666BE"/>
    <w:rsid w:val="00666783"/>
    <w:rsid w:val="006667AC"/>
    <w:rsid w:val="006667D6"/>
    <w:rsid w:val="0066681D"/>
    <w:rsid w:val="0066685C"/>
    <w:rsid w:val="006668A3"/>
    <w:rsid w:val="006668DB"/>
    <w:rsid w:val="006668E1"/>
    <w:rsid w:val="00666909"/>
    <w:rsid w:val="0066690F"/>
    <w:rsid w:val="00666947"/>
    <w:rsid w:val="0066697A"/>
    <w:rsid w:val="006669C7"/>
    <w:rsid w:val="006669D1"/>
    <w:rsid w:val="006669EE"/>
    <w:rsid w:val="006669F5"/>
    <w:rsid w:val="00666A28"/>
    <w:rsid w:val="00666A2D"/>
    <w:rsid w:val="00666A2E"/>
    <w:rsid w:val="00666A2F"/>
    <w:rsid w:val="00666A85"/>
    <w:rsid w:val="00666AB1"/>
    <w:rsid w:val="00666B29"/>
    <w:rsid w:val="00666B62"/>
    <w:rsid w:val="00666BA8"/>
    <w:rsid w:val="00666C23"/>
    <w:rsid w:val="00666C6B"/>
    <w:rsid w:val="00666C88"/>
    <w:rsid w:val="00666C9B"/>
    <w:rsid w:val="00666D01"/>
    <w:rsid w:val="00666D1D"/>
    <w:rsid w:val="00666D57"/>
    <w:rsid w:val="00666DDD"/>
    <w:rsid w:val="00666DF3"/>
    <w:rsid w:val="00666E29"/>
    <w:rsid w:val="00666E2C"/>
    <w:rsid w:val="00666EB6"/>
    <w:rsid w:val="00666EE7"/>
    <w:rsid w:val="00666EF4"/>
    <w:rsid w:val="00666F88"/>
    <w:rsid w:val="00666FBD"/>
    <w:rsid w:val="00666FEC"/>
    <w:rsid w:val="00667033"/>
    <w:rsid w:val="0066704D"/>
    <w:rsid w:val="0066704E"/>
    <w:rsid w:val="00667067"/>
    <w:rsid w:val="00667097"/>
    <w:rsid w:val="006670B3"/>
    <w:rsid w:val="006670D2"/>
    <w:rsid w:val="006670F8"/>
    <w:rsid w:val="0066712C"/>
    <w:rsid w:val="00667145"/>
    <w:rsid w:val="0066717E"/>
    <w:rsid w:val="00667181"/>
    <w:rsid w:val="00667196"/>
    <w:rsid w:val="006671B6"/>
    <w:rsid w:val="006671BB"/>
    <w:rsid w:val="006671CE"/>
    <w:rsid w:val="006671E0"/>
    <w:rsid w:val="0066721C"/>
    <w:rsid w:val="00667294"/>
    <w:rsid w:val="006672D0"/>
    <w:rsid w:val="006672D9"/>
    <w:rsid w:val="00667343"/>
    <w:rsid w:val="00667359"/>
    <w:rsid w:val="00667372"/>
    <w:rsid w:val="00667377"/>
    <w:rsid w:val="006673CE"/>
    <w:rsid w:val="006673D3"/>
    <w:rsid w:val="0066741F"/>
    <w:rsid w:val="00667420"/>
    <w:rsid w:val="00667424"/>
    <w:rsid w:val="006674A5"/>
    <w:rsid w:val="006674ED"/>
    <w:rsid w:val="00667512"/>
    <w:rsid w:val="00667549"/>
    <w:rsid w:val="0066754E"/>
    <w:rsid w:val="00667567"/>
    <w:rsid w:val="0066757B"/>
    <w:rsid w:val="006675DA"/>
    <w:rsid w:val="006675F1"/>
    <w:rsid w:val="006676B3"/>
    <w:rsid w:val="006676CC"/>
    <w:rsid w:val="00667706"/>
    <w:rsid w:val="00667787"/>
    <w:rsid w:val="0066779A"/>
    <w:rsid w:val="0066779E"/>
    <w:rsid w:val="0066779F"/>
    <w:rsid w:val="006677B2"/>
    <w:rsid w:val="006677D8"/>
    <w:rsid w:val="006677E2"/>
    <w:rsid w:val="00667828"/>
    <w:rsid w:val="0066788E"/>
    <w:rsid w:val="00667899"/>
    <w:rsid w:val="006678AB"/>
    <w:rsid w:val="006678AD"/>
    <w:rsid w:val="006678B5"/>
    <w:rsid w:val="00667921"/>
    <w:rsid w:val="00667964"/>
    <w:rsid w:val="0066798D"/>
    <w:rsid w:val="00667992"/>
    <w:rsid w:val="006679C9"/>
    <w:rsid w:val="006679DA"/>
    <w:rsid w:val="00667A1D"/>
    <w:rsid w:val="00667A36"/>
    <w:rsid w:val="00667A41"/>
    <w:rsid w:val="00667A82"/>
    <w:rsid w:val="00667AA3"/>
    <w:rsid w:val="00667B3B"/>
    <w:rsid w:val="00667B41"/>
    <w:rsid w:val="00667B7A"/>
    <w:rsid w:val="00667B86"/>
    <w:rsid w:val="00667B9E"/>
    <w:rsid w:val="00667BBA"/>
    <w:rsid w:val="00667BD9"/>
    <w:rsid w:val="00667BDC"/>
    <w:rsid w:val="00667BE8"/>
    <w:rsid w:val="00667BEB"/>
    <w:rsid w:val="00667BF8"/>
    <w:rsid w:val="00667C20"/>
    <w:rsid w:val="00667C5A"/>
    <w:rsid w:val="00667C5B"/>
    <w:rsid w:val="00667CD9"/>
    <w:rsid w:val="00667CE7"/>
    <w:rsid w:val="00667D67"/>
    <w:rsid w:val="00667D6C"/>
    <w:rsid w:val="00667DA8"/>
    <w:rsid w:val="00667DEB"/>
    <w:rsid w:val="00667E10"/>
    <w:rsid w:val="00667E36"/>
    <w:rsid w:val="00667E39"/>
    <w:rsid w:val="00667E5E"/>
    <w:rsid w:val="00667E9E"/>
    <w:rsid w:val="00667EE2"/>
    <w:rsid w:val="00667EE9"/>
    <w:rsid w:val="00667F07"/>
    <w:rsid w:val="00667F1E"/>
    <w:rsid w:val="00667F25"/>
    <w:rsid w:val="00667F3A"/>
    <w:rsid w:val="00667F4F"/>
    <w:rsid w:val="00667F74"/>
    <w:rsid w:val="00667F8C"/>
    <w:rsid w:val="00667F92"/>
    <w:rsid w:val="00667F94"/>
    <w:rsid w:val="00667FD7"/>
    <w:rsid w:val="00667FE6"/>
    <w:rsid w:val="006691C4"/>
    <w:rsid w:val="00670005"/>
    <w:rsid w:val="0067002F"/>
    <w:rsid w:val="00670053"/>
    <w:rsid w:val="00670162"/>
    <w:rsid w:val="00670182"/>
    <w:rsid w:val="0067018F"/>
    <w:rsid w:val="006701C0"/>
    <w:rsid w:val="00670224"/>
    <w:rsid w:val="00670225"/>
    <w:rsid w:val="0067022D"/>
    <w:rsid w:val="00670236"/>
    <w:rsid w:val="00670252"/>
    <w:rsid w:val="00670271"/>
    <w:rsid w:val="006702B9"/>
    <w:rsid w:val="00670328"/>
    <w:rsid w:val="0067034B"/>
    <w:rsid w:val="0067037B"/>
    <w:rsid w:val="0067037E"/>
    <w:rsid w:val="00670412"/>
    <w:rsid w:val="00670458"/>
    <w:rsid w:val="00670477"/>
    <w:rsid w:val="00670487"/>
    <w:rsid w:val="006704A0"/>
    <w:rsid w:val="006704C2"/>
    <w:rsid w:val="0067050E"/>
    <w:rsid w:val="00670523"/>
    <w:rsid w:val="00670587"/>
    <w:rsid w:val="006705EE"/>
    <w:rsid w:val="006705FE"/>
    <w:rsid w:val="0067060E"/>
    <w:rsid w:val="00670623"/>
    <w:rsid w:val="00670632"/>
    <w:rsid w:val="0067063E"/>
    <w:rsid w:val="00670686"/>
    <w:rsid w:val="006706F1"/>
    <w:rsid w:val="0067072A"/>
    <w:rsid w:val="0067075D"/>
    <w:rsid w:val="0067075F"/>
    <w:rsid w:val="006707E8"/>
    <w:rsid w:val="006707EF"/>
    <w:rsid w:val="00670809"/>
    <w:rsid w:val="0067080D"/>
    <w:rsid w:val="00670843"/>
    <w:rsid w:val="0067085C"/>
    <w:rsid w:val="00670872"/>
    <w:rsid w:val="00670924"/>
    <w:rsid w:val="0067092B"/>
    <w:rsid w:val="00670942"/>
    <w:rsid w:val="0067094E"/>
    <w:rsid w:val="0067097E"/>
    <w:rsid w:val="006709C6"/>
    <w:rsid w:val="006709D7"/>
    <w:rsid w:val="006709E7"/>
    <w:rsid w:val="006709EB"/>
    <w:rsid w:val="00670A0B"/>
    <w:rsid w:val="00670A16"/>
    <w:rsid w:val="00670A34"/>
    <w:rsid w:val="00670A4B"/>
    <w:rsid w:val="00670A57"/>
    <w:rsid w:val="00670ABE"/>
    <w:rsid w:val="00670B19"/>
    <w:rsid w:val="00670B4C"/>
    <w:rsid w:val="00670B95"/>
    <w:rsid w:val="00670B9F"/>
    <w:rsid w:val="00670BD2"/>
    <w:rsid w:val="00670BEB"/>
    <w:rsid w:val="00670BEC"/>
    <w:rsid w:val="00670C07"/>
    <w:rsid w:val="00670C83"/>
    <w:rsid w:val="00670C8B"/>
    <w:rsid w:val="00670CAF"/>
    <w:rsid w:val="00670CB5"/>
    <w:rsid w:val="00670CC7"/>
    <w:rsid w:val="00670CF1"/>
    <w:rsid w:val="00670DC2"/>
    <w:rsid w:val="00670DF5"/>
    <w:rsid w:val="00670E3A"/>
    <w:rsid w:val="00670E62"/>
    <w:rsid w:val="00670E82"/>
    <w:rsid w:val="00670E89"/>
    <w:rsid w:val="00670EB1"/>
    <w:rsid w:val="00670ED1"/>
    <w:rsid w:val="00670FAA"/>
    <w:rsid w:val="00670FB0"/>
    <w:rsid w:val="00670FC7"/>
    <w:rsid w:val="00670FEA"/>
    <w:rsid w:val="00671017"/>
    <w:rsid w:val="00671048"/>
    <w:rsid w:val="0067108D"/>
    <w:rsid w:val="006710D0"/>
    <w:rsid w:val="0067110E"/>
    <w:rsid w:val="00671120"/>
    <w:rsid w:val="00671154"/>
    <w:rsid w:val="00671157"/>
    <w:rsid w:val="0067119D"/>
    <w:rsid w:val="006711C8"/>
    <w:rsid w:val="006711D8"/>
    <w:rsid w:val="006711E2"/>
    <w:rsid w:val="00671275"/>
    <w:rsid w:val="00671285"/>
    <w:rsid w:val="0067128D"/>
    <w:rsid w:val="006712FF"/>
    <w:rsid w:val="00671388"/>
    <w:rsid w:val="006713F2"/>
    <w:rsid w:val="006713FD"/>
    <w:rsid w:val="00671426"/>
    <w:rsid w:val="00671430"/>
    <w:rsid w:val="00671470"/>
    <w:rsid w:val="00671482"/>
    <w:rsid w:val="0067148F"/>
    <w:rsid w:val="0067149E"/>
    <w:rsid w:val="006714CC"/>
    <w:rsid w:val="006714CD"/>
    <w:rsid w:val="00671525"/>
    <w:rsid w:val="00671569"/>
    <w:rsid w:val="0067158E"/>
    <w:rsid w:val="006715A1"/>
    <w:rsid w:val="006715AA"/>
    <w:rsid w:val="006715B1"/>
    <w:rsid w:val="006715C8"/>
    <w:rsid w:val="006715C9"/>
    <w:rsid w:val="0067163D"/>
    <w:rsid w:val="0067164A"/>
    <w:rsid w:val="00671656"/>
    <w:rsid w:val="00671686"/>
    <w:rsid w:val="006716C5"/>
    <w:rsid w:val="006716DE"/>
    <w:rsid w:val="006716E1"/>
    <w:rsid w:val="006716F0"/>
    <w:rsid w:val="0067171D"/>
    <w:rsid w:val="00671728"/>
    <w:rsid w:val="00671749"/>
    <w:rsid w:val="00671789"/>
    <w:rsid w:val="0067178F"/>
    <w:rsid w:val="006717AB"/>
    <w:rsid w:val="006717C5"/>
    <w:rsid w:val="00671827"/>
    <w:rsid w:val="006718A3"/>
    <w:rsid w:val="006718AA"/>
    <w:rsid w:val="006718BA"/>
    <w:rsid w:val="006718EF"/>
    <w:rsid w:val="00671914"/>
    <w:rsid w:val="0067195A"/>
    <w:rsid w:val="00671978"/>
    <w:rsid w:val="006719B7"/>
    <w:rsid w:val="00671A0B"/>
    <w:rsid w:val="00671A0F"/>
    <w:rsid w:val="00671A43"/>
    <w:rsid w:val="00671A6B"/>
    <w:rsid w:val="00671A6F"/>
    <w:rsid w:val="00671A8B"/>
    <w:rsid w:val="00671ADB"/>
    <w:rsid w:val="00671B01"/>
    <w:rsid w:val="00671BDE"/>
    <w:rsid w:val="00671C87"/>
    <w:rsid w:val="00671C98"/>
    <w:rsid w:val="00671C99"/>
    <w:rsid w:val="00671C9A"/>
    <w:rsid w:val="00671C9B"/>
    <w:rsid w:val="00671CAB"/>
    <w:rsid w:val="00671CE4"/>
    <w:rsid w:val="00671D66"/>
    <w:rsid w:val="00671DF9"/>
    <w:rsid w:val="00671E1C"/>
    <w:rsid w:val="00671E29"/>
    <w:rsid w:val="00671E61"/>
    <w:rsid w:val="00671E89"/>
    <w:rsid w:val="00671ECC"/>
    <w:rsid w:val="00671ED6"/>
    <w:rsid w:val="00671EDA"/>
    <w:rsid w:val="00671EF0"/>
    <w:rsid w:val="00671EF6"/>
    <w:rsid w:val="00671F08"/>
    <w:rsid w:val="00671F30"/>
    <w:rsid w:val="00671F3B"/>
    <w:rsid w:val="00671F65"/>
    <w:rsid w:val="00671F6A"/>
    <w:rsid w:val="00671F97"/>
    <w:rsid w:val="00671FA9"/>
    <w:rsid w:val="00671FF4"/>
    <w:rsid w:val="00672007"/>
    <w:rsid w:val="00672053"/>
    <w:rsid w:val="006720A1"/>
    <w:rsid w:val="006720B3"/>
    <w:rsid w:val="006720CD"/>
    <w:rsid w:val="006720E9"/>
    <w:rsid w:val="006720FA"/>
    <w:rsid w:val="00672149"/>
    <w:rsid w:val="0067215D"/>
    <w:rsid w:val="006721DF"/>
    <w:rsid w:val="006721F9"/>
    <w:rsid w:val="006721FD"/>
    <w:rsid w:val="00672277"/>
    <w:rsid w:val="00672285"/>
    <w:rsid w:val="0067228D"/>
    <w:rsid w:val="00672291"/>
    <w:rsid w:val="00672299"/>
    <w:rsid w:val="00672309"/>
    <w:rsid w:val="0067230F"/>
    <w:rsid w:val="00672348"/>
    <w:rsid w:val="006723AC"/>
    <w:rsid w:val="006723B0"/>
    <w:rsid w:val="006723C9"/>
    <w:rsid w:val="006723E6"/>
    <w:rsid w:val="00672463"/>
    <w:rsid w:val="006724BA"/>
    <w:rsid w:val="006724C4"/>
    <w:rsid w:val="0067256D"/>
    <w:rsid w:val="006725BC"/>
    <w:rsid w:val="006725C0"/>
    <w:rsid w:val="0067260D"/>
    <w:rsid w:val="00672668"/>
    <w:rsid w:val="0067268F"/>
    <w:rsid w:val="00672693"/>
    <w:rsid w:val="006726A1"/>
    <w:rsid w:val="006726CC"/>
    <w:rsid w:val="006726ED"/>
    <w:rsid w:val="006726EF"/>
    <w:rsid w:val="006726FD"/>
    <w:rsid w:val="00672714"/>
    <w:rsid w:val="00672727"/>
    <w:rsid w:val="0067274A"/>
    <w:rsid w:val="0067274E"/>
    <w:rsid w:val="006727E3"/>
    <w:rsid w:val="006727FA"/>
    <w:rsid w:val="00672802"/>
    <w:rsid w:val="0067289A"/>
    <w:rsid w:val="006728A0"/>
    <w:rsid w:val="006728A8"/>
    <w:rsid w:val="006728C4"/>
    <w:rsid w:val="006728DE"/>
    <w:rsid w:val="00672925"/>
    <w:rsid w:val="0067295D"/>
    <w:rsid w:val="0067297D"/>
    <w:rsid w:val="00672980"/>
    <w:rsid w:val="00672A15"/>
    <w:rsid w:val="00672A42"/>
    <w:rsid w:val="00672A63"/>
    <w:rsid w:val="00672A7E"/>
    <w:rsid w:val="00672AC2"/>
    <w:rsid w:val="00672AE6"/>
    <w:rsid w:val="00672B9E"/>
    <w:rsid w:val="00672BD1"/>
    <w:rsid w:val="00672C4D"/>
    <w:rsid w:val="00672C5C"/>
    <w:rsid w:val="00672C68"/>
    <w:rsid w:val="00672C86"/>
    <w:rsid w:val="00672C8A"/>
    <w:rsid w:val="00672CE6"/>
    <w:rsid w:val="00672CF0"/>
    <w:rsid w:val="00672D6F"/>
    <w:rsid w:val="00672D8F"/>
    <w:rsid w:val="00672DDE"/>
    <w:rsid w:val="00672DFF"/>
    <w:rsid w:val="00672E40"/>
    <w:rsid w:val="00672E64"/>
    <w:rsid w:val="00672E68"/>
    <w:rsid w:val="00672EDB"/>
    <w:rsid w:val="00672F73"/>
    <w:rsid w:val="00672F82"/>
    <w:rsid w:val="00672FDB"/>
    <w:rsid w:val="00672FF8"/>
    <w:rsid w:val="0067306E"/>
    <w:rsid w:val="006730C2"/>
    <w:rsid w:val="006730F7"/>
    <w:rsid w:val="006730FA"/>
    <w:rsid w:val="0067317C"/>
    <w:rsid w:val="0067317F"/>
    <w:rsid w:val="0067319D"/>
    <w:rsid w:val="006731FB"/>
    <w:rsid w:val="00673235"/>
    <w:rsid w:val="0067323A"/>
    <w:rsid w:val="00673253"/>
    <w:rsid w:val="006732FC"/>
    <w:rsid w:val="00673337"/>
    <w:rsid w:val="00673364"/>
    <w:rsid w:val="0067336D"/>
    <w:rsid w:val="0067339F"/>
    <w:rsid w:val="006733D2"/>
    <w:rsid w:val="00673405"/>
    <w:rsid w:val="00673413"/>
    <w:rsid w:val="0067344F"/>
    <w:rsid w:val="00673470"/>
    <w:rsid w:val="006734B5"/>
    <w:rsid w:val="006734C2"/>
    <w:rsid w:val="006734CE"/>
    <w:rsid w:val="006734F7"/>
    <w:rsid w:val="0067351B"/>
    <w:rsid w:val="00673531"/>
    <w:rsid w:val="00673546"/>
    <w:rsid w:val="0067354C"/>
    <w:rsid w:val="00673587"/>
    <w:rsid w:val="00673595"/>
    <w:rsid w:val="006735D5"/>
    <w:rsid w:val="006735F7"/>
    <w:rsid w:val="00673601"/>
    <w:rsid w:val="00673645"/>
    <w:rsid w:val="006736A2"/>
    <w:rsid w:val="006736C0"/>
    <w:rsid w:val="006736CB"/>
    <w:rsid w:val="006736CE"/>
    <w:rsid w:val="0067370F"/>
    <w:rsid w:val="00673728"/>
    <w:rsid w:val="00673781"/>
    <w:rsid w:val="00673794"/>
    <w:rsid w:val="006737ED"/>
    <w:rsid w:val="00673801"/>
    <w:rsid w:val="00673808"/>
    <w:rsid w:val="0067381A"/>
    <w:rsid w:val="0067382C"/>
    <w:rsid w:val="00673841"/>
    <w:rsid w:val="00673878"/>
    <w:rsid w:val="0067387A"/>
    <w:rsid w:val="00673897"/>
    <w:rsid w:val="006738B6"/>
    <w:rsid w:val="006738B9"/>
    <w:rsid w:val="006738C6"/>
    <w:rsid w:val="006738D4"/>
    <w:rsid w:val="006738FD"/>
    <w:rsid w:val="00673927"/>
    <w:rsid w:val="0067392D"/>
    <w:rsid w:val="0067393A"/>
    <w:rsid w:val="00673970"/>
    <w:rsid w:val="006739CC"/>
    <w:rsid w:val="006739D4"/>
    <w:rsid w:val="006739D8"/>
    <w:rsid w:val="006739FB"/>
    <w:rsid w:val="00673A76"/>
    <w:rsid w:val="00673A92"/>
    <w:rsid w:val="00673ABA"/>
    <w:rsid w:val="00673ACB"/>
    <w:rsid w:val="00673B19"/>
    <w:rsid w:val="00673B63"/>
    <w:rsid w:val="00673BB1"/>
    <w:rsid w:val="00673BF7"/>
    <w:rsid w:val="00673C4C"/>
    <w:rsid w:val="00673C67"/>
    <w:rsid w:val="00673C6F"/>
    <w:rsid w:val="00673C8F"/>
    <w:rsid w:val="00673CA8"/>
    <w:rsid w:val="00673CC0"/>
    <w:rsid w:val="00673CC5"/>
    <w:rsid w:val="00673CE2"/>
    <w:rsid w:val="00673CE7"/>
    <w:rsid w:val="00673CF2"/>
    <w:rsid w:val="00673D21"/>
    <w:rsid w:val="00673D52"/>
    <w:rsid w:val="00673D68"/>
    <w:rsid w:val="00673DA2"/>
    <w:rsid w:val="00673DAB"/>
    <w:rsid w:val="00673DB5"/>
    <w:rsid w:val="00673DC4"/>
    <w:rsid w:val="00673DC5"/>
    <w:rsid w:val="00673DFD"/>
    <w:rsid w:val="00673E17"/>
    <w:rsid w:val="00673E37"/>
    <w:rsid w:val="00673E6C"/>
    <w:rsid w:val="00673E6E"/>
    <w:rsid w:val="00673EE7"/>
    <w:rsid w:val="00673F01"/>
    <w:rsid w:val="00673F06"/>
    <w:rsid w:val="00673F6D"/>
    <w:rsid w:val="00673F76"/>
    <w:rsid w:val="00673F78"/>
    <w:rsid w:val="00673F92"/>
    <w:rsid w:val="00673FCB"/>
    <w:rsid w:val="00673FF3"/>
    <w:rsid w:val="0067401E"/>
    <w:rsid w:val="00674036"/>
    <w:rsid w:val="00674047"/>
    <w:rsid w:val="006740A1"/>
    <w:rsid w:val="0067412F"/>
    <w:rsid w:val="00674146"/>
    <w:rsid w:val="0067417C"/>
    <w:rsid w:val="006741C1"/>
    <w:rsid w:val="006741D4"/>
    <w:rsid w:val="006741D7"/>
    <w:rsid w:val="0067422B"/>
    <w:rsid w:val="0067429F"/>
    <w:rsid w:val="006742C3"/>
    <w:rsid w:val="00674310"/>
    <w:rsid w:val="00674314"/>
    <w:rsid w:val="00674320"/>
    <w:rsid w:val="0067432F"/>
    <w:rsid w:val="0067433A"/>
    <w:rsid w:val="00674365"/>
    <w:rsid w:val="00674372"/>
    <w:rsid w:val="006743B7"/>
    <w:rsid w:val="00674400"/>
    <w:rsid w:val="00674440"/>
    <w:rsid w:val="0067444C"/>
    <w:rsid w:val="00674461"/>
    <w:rsid w:val="00674486"/>
    <w:rsid w:val="006744A4"/>
    <w:rsid w:val="006744AB"/>
    <w:rsid w:val="006744FA"/>
    <w:rsid w:val="00674503"/>
    <w:rsid w:val="0067450B"/>
    <w:rsid w:val="0067452E"/>
    <w:rsid w:val="0067453E"/>
    <w:rsid w:val="00674555"/>
    <w:rsid w:val="0067459D"/>
    <w:rsid w:val="006745AC"/>
    <w:rsid w:val="006745B5"/>
    <w:rsid w:val="006745C4"/>
    <w:rsid w:val="00674652"/>
    <w:rsid w:val="00674655"/>
    <w:rsid w:val="00674671"/>
    <w:rsid w:val="006746AA"/>
    <w:rsid w:val="006746D1"/>
    <w:rsid w:val="006746EB"/>
    <w:rsid w:val="00674711"/>
    <w:rsid w:val="00674724"/>
    <w:rsid w:val="0067472B"/>
    <w:rsid w:val="006747B5"/>
    <w:rsid w:val="006747C4"/>
    <w:rsid w:val="006747C8"/>
    <w:rsid w:val="006747C9"/>
    <w:rsid w:val="0067484F"/>
    <w:rsid w:val="0067485A"/>
    <w:rsid w:val="0067485E"/>
    <w:rsid w:val="00674882"/>
    <w:rsid w:val="00674896"/>
    <w:rsid w:val="0067489C"/>
    <w:rsid w:val="006748AE"/>
    <w:rsid w:val="006748C2"/>
    <w:rsid w:val="006748DD"/>
    <w:rsid w:val="006748E8"/>
    <w:rsid w:val="0067490A"/>
    <w:rsid w:val="00674935"/>
    <w:rsid w:val="00674947"/>
    <w:rsid w:val="00674977"/>
    <w:rsid w:val="0067499C"/>
    <w:rsid w:val="006749B3"/>
    <w:rsid w:val="006749D6"/>
    <w:rsid w:val="006749EE"/>
    <w:rsid w:val="00674A48"/>
    <w:rsid w:val="00674ACC"/>
    <w:rsid w:val="00674AD3"/>
    <w:rsid w:val="00674B96"/>
    <w:rsid w:val="00674C1F"/>
    <w:rsid w:val="00674C33"/>
    <w:rsid w:val="00674CA6"/>
    <w:rsid w:val="00674CCE"/>
    <w:rsid w:val="00674CF7"/>
    <w:rsid w:val="00674D4C"/>
    <w:rsid w:val="00674D77"/>
    <w:rsid w:val="00674D7D"/>
    <w:rsid w:val="00674D9F"/>
    <w:rsid w:val="00674DA7"/>
    <w:rsid w:val="00674DC0"/>
    <w:rsid w:val="00674DF2"/>
    <w:rsid w:val="00674E12"/>
    <w:rsid w:val="00674E27"/>
    <w:rsid w:val="00674E47"/>
    <w:rsid w:val="00674E6A"/>
    <w:rsid w:val="00674EB1"/>
    <w:rsid w:val="00674EE9"/>
    <w:rsid w:val="00674F3A"/>
    <w:rsid w:val="00674F4F"/>
    <w:rsid w:val="00674F65"/>
    <w:rsid w:val="00674F67"/>
    <w:rsid w:val="00674FC0"/>
    <w:rsid w:val="00674FF7"/>
    <w:rsid w:val="00675028"/>
    <w:rsid w:val="0067504B"/>
    <w:rsid w:val="00675089"/>
    <w:rsid w:val="0067509A"/>
    <w:rsid w:val="006750A5"/>
    <w:rsid w:val="006750AD"/>
    <w:rsid w:val="006750C4"/>
    <w:rsid w:val="006750C8"/>
    <w:rsid w:val="00675160"/>
    <w:rsid w:val="006751A8"/>
    <w:rsid w:val="006751CE"/>
    <w:rsid w:val="006751E8"/>
    <w:rsid w:val="006751F6"/>
    <w:rsid w:val="006752DD"/>
    <w:rsid w:val="00675302"/>
    <w:rsid w:val="0067531E"/>
    <w:rsid w:val="00675348"/>
    <w:rsid w:val="006753AB"/>
    <w:rsid w:val="006753D2"/>
    <w:rsid w:val="006753DD"/>
    <w:rsid w:val="006753E0"/>
    <w:rsid w:val="0067544E"/>
    <w:rsid w:val="0067544F"/>
    <w:rsid w:val="006754AA"/>
    <w:rsid w:val="00675521"/>
    <w:rsid w:val="00675547"/>
    <w:rsid w:val="00675555"/>
    <w:rsid w:val="00675557"/>
    <w:rsid w:val="00675581"/>
    <w:rsid w:val="00675584"/>
    <w:rsid w:val="00675591"/>
    <w:rsid w:val="006755D3"/>
    <w:rsid w:val="006755EB"/>
    <w:rsid w:val="006755EF"/>
    <w:rsid w:val="00675623"/>
    <w:rsid w:val="0067562B"/>
    <w:rsid w:val="00675662"/>
    <w:rsid w:val="00675684"/>
    <w:rsid w:val="006756DB"/>
    <w:rsid w:val="006756FF"/>
    <w:rsid w:val="00675722"/>
    <w:rsid w:val="00675724"/>
    <w:rsid w:val="00675777"/>
    <w:rsid w:val="006757E8"/>
    <w:rsid w:val="00675829"/>
    <w:rsid w:val="00675856"/>
    <w:rsid w:val="0067585D"/>
    <w:rsid w:val="0067586D"/>
    <w:rsid w:val="006758A8"/>
    <w:rsid w:val="006758AD"/>
    <w:rsid w:val="006758BB"/>
    <w:rsid w:val="006758EF"/>
    <w:rsid w:val="00675929"/>
    <w:rsid w:val="0067595B"/>
    <w:rsid w:val="006759E8"/>
    <w:rsid w:val="00675A00"/>
    <w:rsid w:val="00675A0D"/>
    <w:rsid w:val="00675A54"/>
    <w:rsid w:val="00675A72"/>
    <w:rsid w:val="00675A80"/>
    <w:rsid w:val="00675A93"/>
    <w:rsid w:val="00675AA1"/>
    <w:rsid w:val="00675AC2"/>
    <w:rsid w:val="00675AF7"/>
    <w:rsid w:val="00675B4E"/>
    <w:rsid w:val="00675B5A"/>
    <w:rsid w:val="00675B5E"/>
    <w:rsid w:val="00675B9F"/>
    <w:rsid w:val="00675BAC"/>
    <w:rsid w:val="00675BB8"/>
    <w:rsid w:val="00675BFC"/>
    <w:rsid w:val="00675C67"/>
    <w:rsid w:val="00675CA7"/>
    <w:rsid w:val="00675CBD"/>
    <w:rsid w:val="00675D2C"/>
    <w:rsid w:val="00675D91"/>
    <w:rsid w:val="00675DA7"/>
    <w:rsid w:val="00675DBD"/>
    <w:rsid w:val="00675DC0"/>
    <w:rsid w:val="00675DCE"/>
    <w:rsid w:val="00675DD8"/>
    <w:rsid w:val="00675E04"/>
    <w:rsid w:val="00675E07"/>
    <w:rsid w:val="00675E55"/>
    <w:rsid w:val="00675E7E"/>
    <w:rsid w:val="00675E94"/>
    <w:rsid w:val="00675E98"/>
    <w:rsid w:val="00675EC0"/>
    <w:rsid w:val="00675EC1"/>
    <w:rsid w:val="00675EC5"/>
    <w:rsid w:val="00675EDC"/>
    <w:rsid w:val="00675EE8"/>
    <w:rsid w:val="00675F5B"/>
    <w:rsid w:val="00675F93"/>
    <w:rsid w:val="00675FF3"/>
    <w:rsid w:val="00676022"/>
    <w:rsid w:val="00676031"/>
    <w:rsid w:val="00676032"/>
    <w:rsid w:val="00676058"/>
    <w:rsid w:val="0067607E"/>
    <w:rsid w:val="006760AB"/>
    <w:rsid w:val="00676130"/>
    <w:rsid w:val="00676172"/>
    <w:rsid w:val="00676174"/>
    <w:rsid w:val="0067619E"/>
    <w:rsid w:val="006761A2"/>
    <w:rsid w:val="006761B4"/>
    <w:rsid w:val="006761D9"/>
    <w:rsid w:val="00676203"/>
    <w:rsid w:val="0067620F"/>
    <w:rsid w:val="0067627B"/>
    <w:rsid w:val="0067629F"/>
    <w:rsid w:val="006762AB"/>
    <w:rsid w:val="006762DD"/>
    <w:rsid w:val="006762E0"/>
    <w:rsid w:val="006762E7"/>
    <w:rsid w:val="006762EA"/>
    <w:rsid w:val="006762F9"/>
    <w:rsid w:val="00676303"/>
    <w:rsid w:val="00676311"/>
    <w:rsid w:val="00676329"/>
    <w:rsid w:val="0067633D"/>
    <w:rsid w:val="00676394"/>
    <w:rsid w:val="006763CB"/>
    <w:rsid w:val="006763FE"/>
    <w:rsid w:val="00676402"/>
    <w:rsid w:val="0067645E"/>
    <w:rsid w:val="00676496"/>
    <w:rsid w:val="00676498"/>
    <w:rsid w:val="006764D8"/>
    <w:rsid w:val="006764E2"/>
    <w:rsid w:val="006764F5"/>
    <w:rsid w:val="006764FC"/>
    <w:rsid w:val="006765B0"/>
    <w:rsid w:val="006765B4"/>
    <w:rsid w:val="006765C0"/>
    <w:rsid w:val="00676615"/>
    <w:rsid w:val="00676617"/>
    <w:rsid w:val="0067669E"/>
    <w:rsid w:val="006766B5"/>
    <w:rsid w:val="006766C2"/>
    <w:rsid w:val="006766C7"/>
    <w:rsid w:val="006766D2"/>
    <w:rsid w:val="006766DD"/>
    <w:rsid w:val="00676730"/>
    <w:rsid w:val="00676736"/>
    <w:rsid w:val="006767BC"/>
    <w:rsid w:val="006767CA"/>
    <w:rsid w:val="006767F5"/>
    <w:rsid w:val="00676802"/>
    <w:rsid w:val="00676806"/>
    <w:rsid w:val="00676817"/>
    <w:rsid w:val="00676820"/>
    <w:rsid w:val="00676865"/>
    <w:rsid w:val="00676870"/>
    <w:rsid w:val="006768C2"/>
    <w:rsid w:val="006768C5"/>
    <w:rsid w:val="006768EE"/>
    <w:rsid w:val="00676902"/>
    <w:rsid w:val="00676908"/>
    <w:rsid w:val="0067693F"/>
    <w:rsid w:val="006769B3"/>
    <w:rsid w:val="006769EB"/>
    <w:rsid w:val="006769FD"/>
    <w:rsid w:val="00676A06"/>
    <w:rsid w:val="00676A2D"/>
    <w:rsid w:val="00676A4F"/>
    <w:rsid w:val="00676A52"/>
    <w:rsid w:val="00676A82"/>
    <w:rsid w:val="00676A85"/>
    <w:rsid w:val="00676A86"/>
    <w:rsid w:val="00676AC3"/>
    <w:rsid w:val="00676B01"/>
    <w:rsid w:val="00676B04"/>
    <w:rsid w:val="00676B48"/>
    <w:rsid w:val="00676B51"/>
    <w:rsid w:val="00676B99"/>
    <w:rsid w:val="00676C74"/>
    <w:rsid w:val="00676C75"/>
    <w:rsid w:val="00676CC8"/>
    <w:rsid w:val="00676CCB"/>
    <w:rsid w:val="00676CF4"/>
    <w:rsid w:val="00676D34"/>
    <w:rsid w:val="00676D37"/>
    <w:rsid w:val="00676D69"/>
    <w:rsid w:val="00676D8F"/>
    <w:rsid w:val="00676DCB"/>
    <w:rsid w:val="00676DDD"/>
    <w:rsid w:val="00676E07"/>
    <w:rsid w:val="00676E60"/>
    <w:rsid w:val="00676E81"/>
    <w:rsid w:val="00676EB4"/>
    <w:rsid w:val="00676EC5"/>
    <w:rsid w:val="00676EEB"/>
    <w:rsid w:val="00676F56"/>
    <w:rsid w:val="00676F9D"/>
    <w:rsid w:val="00676FC6"/>
    <w:rsid w:val="00676FD9"/>
    <w:rsid w:val="00677015"/>
    <w:rsid w:val="00677043"/>
    <w:rsid w:val="0067707B"/>
    <w:rsid w:val="0067708D"/>
    <w:rsid w:val="0067708E"/>
    <w:rsid w:val="006770DB"/>
    <w:rsid w:val="00677111"/>
    <w:rsid w:val="00677119"/>
    <w:rsid w:val="00677145"/>
    <w:rsid w:val="00677182"/>
    <w:rsid w:val="006771AC"/>
    <w:rsid w:val="006771C1"/>
    <w:rsid w:val="006771EA"/>
    <w:rsid w:val="006771FA"/>
    <w:rsid w:val="00677202"/>
    <w:rsid w:val="00677280"/>
    <w:rsid w:val="006772AB"/>
    <w:rsid w:val="006772E4"/>
    <w:rsid w:val="0067732B"/>
    <w:rsid w:val="00677350"/>
    <w:rsid w:val="006773B2"/>
    <w:rsid w:val="006773B4"/>
    <w:rsid w:val="006773F0"/>
    <w:rsid w:val="0067741F"/>
    <w:rsid w:val="00677458"/>
    <w:rsid w:val="0067745B"/>
    <w:rsid w:val="00677464"/>
    <w:rsid w:val="0067746C"/>
    <w:rsid w:val="00677479"/>
    <w:rsid w:val="0067747B"/>
    <w:rsid w:val="0067748D"/>
    <w:rsid w:val="006774A8"/>
    <w:rsid w:val="006774CA"/>
    <w:rsid w:val="006774F7"/>
    <w:rsid w:val="0067750B"/>
    <w:rsid w:val="00677580"/>
    <w:rsid w:val="006775E8"/>
    <w:rsid w:val="006775E9"/>
    <w:rsid w:val="0067761E"/>
    <w:rsid w:val="00677668"/>
    <w:rsid w:val="00677675"/>
    <w:rsid w:val="006776B0"/>
    <w:rsid w:val="006776E9"/>
    <w:rsid w:val="00677702"/>
    <w:rsid w:val="00677703"/>
    <w:rsid w:val="00677711"/>
    <w:rsid w:val="00677725"/>
    <w:rsid w:val="00677784"/>
    <w:rsid w:val="006777A1"/>
    <w:rsid w:val="006777BC"/>
    <w:rsid w:val="006777DE"/>
    <w:rsid w:val="006777E4"/>
    <w:rsid w:val="006777E9"/>
    <w:rsid w:val="0067781C"/>
    <w:rsid w:val="00677841"/>
    <w:rsid w:val="00677842"/>
    <w:rsid w:val="006778D2"/>
    <w:rsid w:val="006778E8"/>
    <w:rsid w:val="0067798E"/>
    <w:rsid w:val="00677994"/>
    <w:rsid w:val="006779A1"/>
    <w:rsid w:val="006779B4"/>
    <w:rsid w:val="00677AB1"/>
    <w:rsid w:val="00677AC1"/>
    <w:rsid w:val="00677AC6"/>
    <w:rsid w:val="00677B1A"/>
    <w:rsid w:val="00677B94"/>
    <w:rsid w:val="00677BA9"/>
    <w:rsid w:val="00677BAB"/>
    <w:rsid w:val="00677BF3"/>
    <w:rsid w:val="00677C31"/>
    <w:rsid w:val="00677C5C"/>
    <w:rsid w:val="00677C96"/>
    <w:rsid w:val="00677D17"/>
    <w:rsid w:val="00677DBD"/>
    <w:rsid w:val="00677DE3"/>
    <w:rsid w:val="00677DFA"/>
    <w:rsid w:val="00677E18"/>
    <w:rsid w:val="00677E44"/>
    <w:rsid w:val="00677EA2"/>
    <w:rsid w:val="00677EAC"/>
    <w:rsid w:val="00677F31"/>
    <w:rsid w:val="00677F3A"/>
    <w:rsid w:val="00677F3E"/>
    <w:rsid w:val="00677F76"/>
    <w:rsid w:val="00677FB0"/>
    <w:rsid w:val="00677FB8"/>
    <w:rsid w:val="00680033"/>
    <w:rsid w:val="0068003A"/>
    <w:rsid w:val="006800A0"/>
    <w:rsid w:val="006800C5"/>
    <w:rsid w:val="006800CA"/>
    <w:rsid w:val="00680102"/>
    <w:rsid w:val="00680179"/>
    <w:rsid w:val="0068019A"/>
    <w:rsid w:val="006801A5"/>
    <w:rsid w:val="006801D5"/>
    <w:rsid w:val="006801F6"/>
    <w:rsid w:val="00680217"/>
    <w:rsid w:val="0068021D"/>
    <w:rsid w:val="00680243"/>
    <w:rsid w:val="0068024F"/>
    <w:rsid w:val="0068025A"/>
    <w:rsid w:val="0068026C"/>
    <w:rsid w:val="00680297"/>
    <w:rsid w:val="006802DA"/>
    <w:rsid w:val="0068035D"/>
    <w:rsid w:val="00680384"/>
    <w:rsid w:val="0068042C"/>
    <w:rsid w:val="00680466"/>
    <w:rsid w:val="00680475"/>
    <w:rsid w:val="00680477"/>
    <w:rsid w:val="00680488"/>
    <w:rsid w:val="006804DE"/>
    <w:rsid w:val="006804E0"/>
    <w:rsid w:val="0068050F"/>
    <w:rsid w:val="00680510"/>
    <w:rsid w:val="0068053D"/>
    <w:rsid w:val="00680547"/>
    <w:rsid w:val="0068054C"/>
    <w:rsid w:val="00680570"/>
    <w:rsid w:val="006805BF"/>
    <w:rsid w:val="006805CB"/>
    <w:rsid w:val="00680608"/>
    <w:rsid w:val="00680610"/>
    <w:rsid w:val="00680613"/>
    <w:rsid w:val="0068061C"/>
    <w:rsid w:val="00680650"/>
    <w:rsid w:val="00680684"/>
    <w:rsid w:val="006806A0"/>
    <w:rsid w:val="006806D7"/>
    <w:rsid w:val="00680733"/>
    <w:rsid w:val="00680735"/>
    <w:rsid w:val="00680749"/>
    <w:rsid w:val="00680770"/>
    <w:rsid w:val="00680784"/>
    <w:rsid w:val="006807C9"/>
    <w:rsid w:val="0068083B"/>
    <w:rsid w:val="00680858"/>
    <w:rsid w:val="0068087B"/>
    <w:rsid w:val="006808F1"/>
    <w:rsid w:val="00680974"/>
    <w:rsid w:val="0068097E"/>
    <w:rsid w:val="006809C3"/>
    <w:rsid w:val="00680A42"/>
    <w:rsid w:val="00680A5B"/>
    <w:rsid w:val="00680A6E"/>
    <w:rsid w:val="00680AC2"/>
    <w:rsid w:val="00680AFA"/>
    <w:rsid w:val="00680B6C"/>
    <w:rsid w:val="00680B73"/>
    <w:rsid w:val="00680BA7"/>
    <w:rsid w:val="00680BBB"/>
    <w:rsid w:val="00680BBD"/>
    <w:rsid w:val="00680BD7"/>
    <w:rsid w:val="00680BEB"/>
    <w:rsid w:val="00680BF6"/>
    <w:rsid w:val="00680C24"/>
    <w:rsid w:val="00680C4A"/>
    <w:rsid w:val="00680C55"/>
    <w:rsid w:val="00680C6E"/>
    <w:rsid w:val="00680CAD"/>
    <w:rsid w:val="00680CBA"/>
    <w:rsid w:val="00680CCD"/>
    <w:rsid w:val="00680CD3"/>
    <w:rsid w:val="00680CE5"/>
    <w:rsid w:val="00680CEA"/>
    <w:rsid w:val="00680CF6"/>
    <w:rsid w:val="00680D3E"/>
    <w:rsid w:val="00680DD1"/>
    <w:rsid w:val="00680E11"/>
    <w:rsid w:val="00680E2F"/>
    <w:rsid w:val="00680E3C"/>
    <w:rsid w:val="00680E49"/>
    <w:rsid w:val="00680E57"/>
    <w:rsid w:val="00680E9E"/>
    <w:rsid w:val="00680EFB"/>
    <w:rsid w:val="00680F03"/>
    <w:rsid w:val="00680F06"/>
    <w:rsid w:val="00680F42"/>
    <w:rsid w:val="00680FC5"/>
    <w:rsid w:val="00680FCB"/>
    <w:rsid w:val="00680FFE"/>
    <w:rsid w:val="00681008"/>
    <w:rsid w:val="0068103A"/>
    <w:rsid w:val="006810DD"/>
    <w:rsid w:val="00681131"/>
    <w:rsid w:val="00681159"/>
    <w:rsid w:val="00681173"/>
    <w:rsid w:val="006811A0"/>
    <w:rsid w:val="006811AA"/>
    <w:rsid w:val="006811E4"/>
    <w:rsid w:val="006811E9"/>
    <w:rsid w:val="006811ED"/>
    <w:rsid w:val="00681202"/>
    <w:rsid w:val="00681266"/>
    <w:rsid w:val="0068127D"/>
    <w:rsid w:val="0068128A"/>
    <w:rsid w:val="0068129F"/>
    <w:rsid w:val="006812A6"/>
    <w:rsid w:val="006812B5"/>
    <w:rsid w:val="0068138C"/>
    <w:rsid w:val="00681399"/>
    <w:rsid w:val="00681403"/>
    <w:rsid w:val="0068145A"/>
    <w:rsid w:val="0068149B"/>
    <w:rsid w:val="006814A8"/>
    <w:rsid w:val="006814D4"/>
    <w:rsid w:val="00681525"/>
    <w:rsid w:val="00681527"/>
    <w:rsid w:val="0068154C"/>
    <w:rsid w:val="0068155A"/>
    <w:rsid w:val="00681560"/>
    <w:rsid w:val="00681574"/>
    <w:rsid w:val="0068157C"/>
    <w:rsid w:val="006815CE"/>
    <w:rsid w:val="006815F8"/>
    <w:rsid w:val="00681624"/>
    <w:rsid w:val="0068162D"/>
    <w:rsid w:val="0068165C"/>
    <w:rsid w:val="0068165F"/>
    <w:rsid w:val="00681673"/>
    <w:rsid w:val="00681689"/>
    <w:rsid w:val="00681695"/>
    <w:rsid w:val="00681750"/>
    <w:rsid w:val="00681761"/>
    <w:rsid w:val="00681770"/>
    <w:rsid w:val="0068178E"/>
    <w:rsid w:val="006817A4"/>
    <w:rsid w:val="006817D1"/>
    <w:rsid w:val="006817EB"/>
    <w:rsid w:val="0068182B"/>
    <w:rsid w:val="00681834"/>
    <w:rsid w:val="0068184B"/>
    <w:rsid w:val="00681863"/>
    <w:rsid w:val="00681881"/>
    <w:rsid w:val="0068188D"/>
    <w:rsid w:val="00681890"/>
    <w:rsid w:val="006818D2"/>
    <w:rsid w:val="0068191D"/>
    <w:rsid w:val="00681923"/>
    <w:rsid w:val="00681963"/>
    <w:rsid w:val="0068197A"/>
    <w:rsid w:val="0068199D"/>
    <w:rsid w:val="006819C2"/>
    <w:rsid w:val="006819EA"/>
    <w:rsid w:val="00681A39"/>
    <w:rsid w:val="00681A65"/>
    <w:rsid w:val="00681B14"/>
    <w:rsid w:val="00681B41"/>
    <w:rsid w:val="00681B56"/>
    <w:rsid w:val="00681C05"/>
    <w:rsid w:val="00681C5C"/>
    <w:rsid w:val="00681C65"/>
    <w:rsid w:val="00681C79"/>
    <w:rsid w:val="00681CA3"/>
    <w:rsid w:val="00681CAB"/>
    <w:rsid w:val="00681CD9"/>
    <w:rsid w:val="00681D14"/>
    <w:rsid w:val="00681D3A"/>
    <w:rsid w:val="00681D43"/>
    <w:rsid w:val="00681D64"/>
    <w:rsid w:val="00681D6E"/>
    <w:rsid w:val="00681D8F"/>
    <w:rsid w:val="00681D96"/>
    <w:rsid w:val="00681DC8"/>
    <w:rsid w:val="00681DC9"/>
    <w:rsid w:val="00681DD1"/>
    <w:rsid w:val="00681E44"/>
    <w:rsid w:val="00681E95"/>
    <w:rsid w:val="00681F23"/>
    <w:rsid w:val="00681F30"/>
    <w:rsid w:val="00681F83"/>
    <w:rsid w:val="00681F8D"/>
    <w:rsid w:val="00681FAB"/>
    <w:rsid w:val="00681FD0"/>
    <w:rsid w:val="006820BB"/>
    <w:rsid w:val="0068219C"/>
    <w:rsid w:val="0068221D"/>
    <w:rsid w:val="0068224E"/>
    <w:rsid w:val="00682278"/>
    <w:rsid w:val="006822C4"/>
    <w:rsid w:val="006822FA"/>
    <w:rsid w:val="00682343"/>
    <w:rsid w:val="00682381"/>
    <w:rsid w:val="006823B8"/>
    <w:rsid w:val="006823C9"/>
    <w:rsid w:val="006823DF"/>
    <w:rsid w:val="006823EB"/>
    <w:rsid w:val="00682418"/>
    <w:rsid w:val="00682454"/>
    <w:rsid w:val="0068246E"/>
    <w:rsid w:val="00682481"/>
    <w:rsid w:val="006824B1"/>
    <w:rsid w:val="006824B5"/>
    <w:rsid w:val="006824B9"/>
    <w:rsid w:val="006824D9"/>
    <w:rsid w:val="00682532"/>
    <w:rsid w:val="0068253F"/>
    <w:rsid w:val="00682543"/>
    <w:rsid w:val="006825AF"/>
    <w:rsid w:val="006825C3"/>
    <w:rsid w:val="0068261F"/>
    <w:rsid w:val="0068263D"/>
    <w:rsid w:val="0068264F"/>
    <w:rsid w:val="006826AE"/>
    <w:rsid w:val="006826E7"/>
    <w:rsid w:val="006826FA"/>
    <w:rsid w:val="0068273E"/>
    <w:rsid w:val="0068276A"/>
    <w:rsid w:val="00682774"/>
    <w:rsid w:val="006827CA"/>
    <w:rsid w:val="006827ED"/>
    <w:rsid w:val="00682803"/>
    <w:rsid w:val="00682804"/>
    <w:rsid w:val="0068281F"/>
    <w:rsid w:val="0068282C"/>
    <w:rsid w:val="006828AA"/>
    <w:rsid w:val="006828B2"/>
    <w:rsid w:val="006828EB"/>
    <w:rsid w:val="00682927"/>
    <w:rsid w:val="00682964"/>
    <w:rsid w:val="0068297C"/>
    <w:rsid w:val="0068298B"/>
    <w:rsid w:val="006829A0"/>
    <w:rsid w:val="006829B7"/>
    <w:rsid w:val="006829CF"/>
    <w:rsid w:val="006829FA"/>
    <w:rsid w:val="00682A7A"/>
    <w:rsid w:val="00682AB9"/>
    <w:rsid w:val="00682ACA"/>
    <w:rsid w:val="00682B19"/>
    <w:rsid w:val="00682B2C"/>
    <w:rsid w:val="00682BBC"/>
    <w:rsid w:val="00682C16"/>
    <w:rsid w:val="00682C42"/>
    <w:rsid w:val="00682C72"/>
    <w:rsid w:val="00682CE5"/>
    <w:rsid w:val="00682D32"/>
    <w:rsid w:val="00682D35"/>
    <w:rsid w:val="00682D77"/>
    <w:rsid w:val="00682D99"/>
    <w:rsid w:val="00682D9B"/>
    <w:rsid w:val="00682DB7"/>
    <w:rsid w:val="00682DFE"/>
    <w:rsid w:val="00682E14"/>
    <w:rsid w:val="00682E76"/>
    <w:rsid w:val="00682E87"/>
    <w:rsid w:val="00682E98"/>
    <w:rsid w:val="00682EC2"/>
    <w:rsid w:val="00682EC9"/>
    <w:rsid w:val="00682ECB"/>
    <w:rsid w:val="00682ECF"/>
    <w:rsid w:val="00682F0B"/>
    <w:rsid w:val="00682F28"/>
    <w:rsid w:val="00682F70"/>
    <w:rsid w:val="00682F90"/>
    <w:rsid w:val="00682F99"/>
    <w:rsid w:val="00682FD7"/>
    <w:rsid w:val="00683050"/>
    <w:rsid w:val="006830A7"/>
    <w:rsid w:val="006830A8"/>
    <w:rsid w:val="006830B0"/>
    <w:rsid w:val="006830C1"/>
    <w:rsid w:val="00683108"/>
    <w:rsid w:val="0068315A"/>
    <w:rsid w:val="00683180"/>
    <w:rsid w:val="00683191"/>
    <w:rsid w:val="006831B5"/>
    <w:rsid w:val="006831DF"/>
    <w:rsid w:val="006831E4"/>
    <w:rsid w:val="0068324F"/>
    <w:rsid w:val="00683282"/>
    <w:rsid w:val="0068329C"/>
    <w:rsid w:val="00683309"/>
    <w:rsid w:val="00683324"/>
    <w:rsid w:val="0068332B"/>
    <w:rsid w:val="0068333F"/>
    <w:rsid w:val="00683341"/>
    <w:rsid w:val="006833BB"/>
    <w:rsid w:val="006833BE"/>
    <w:rsid w:val="0068342A"/>
    <w:rsid w:val="00683430"/>
    <w:rsid w:val="00683468"/>
    <w:rsid w:val="0068348F"/>
    <w:rsid w:val="006834A5"/>
    <w:rsid w:val="006834D3"/>
    <w:rsid w:val="006834D9"/>
    <w:rsid w:val="006834EB"/>
    <w:rsid w:val="0068356A"/>
    <w:rsid w:val="006835A3"/>
    <w:rsid w:val="006835EF"/>
    <w:rsid w:val="00683602"/>
    <w:rsid w:val="0068360B"/>
    <w:rsid w:val="00683629"/>
    <w:rsid w:val="00683638"/>
    <w:rsid w:val="00683642"/>
    <w:rsid w:val="0068364C"/>
    <w:rsid w:val="006836A2"/>
    <w:rsid w:val="006836A6"/>
    <w:rsid w:val="006836C9"/>
    <w:rsid w:val="00683733"/>
    <w:rsid w:val="0068373B"/>
    <w:rsid w:val="0068374D"/>
    <w:rsid w:val="00683762"/>
    <w:rsid w:val="00683779"/>
    <w:rsid w:val="006837BD"/>
    <w:rsid w:val="006837E9"/>
    <w:rsid w:val="0068383C"/>
    <w:rsid w:val="00683895"/>
    <w:rsid w:val="00683897"/>
    <w:rsid w:val="00683912"/>
    <w:rsid w:val="00683925"/>
    <w:rsid w:val="00683993"/>
    <w:rsid w:val="006839E4"/>
    <w:rsid w:val="006839FC"/>
    <w:rsid w:val="00683A0D"/>
    <w:rsid w:val="00683A11"/>
    <w:rsid w:val="00683A31"/>
    <w:rsid w:val="00683A5E"/>
    <w:rsid w:val="00683A69"/>
    <w:rsid w:val="00683A8E"/>
    <w:rsid w:val="00683A9C"/>
    <w:rsid w:val="00683AB8"/>
    <w:rsid w:val="00683ADF"/>
    <w:rsid w:val="00683AFE"/>
    <w:rsid w:val="00683B01"/>
    <w:rsid w:val="00683B50"/>
    <w:rsid w:val="00683B55"/>
    <w:rsid w:val="00683B62"/>
    <w:rsid w:val="00683B84"/>
    <w:rsid w:val="00683B98"/>
    <w:rsid w:val="00683BB3"/>
    <w:rsid w:val="00683BCF"/>
    <w:rsid w:val="00683BFC"/>
    <w:rsid w:val="00683C14"/>
    <w:rsid w:val="00683C43"/>
    <w:rsid w:val="00683C67"/>
    <w:rsid w:val="00683C8E"/>
    <w:rsid w:val="00683C92"/>
    <w:rsid w:val="00683CC1"/>
    <w:rsid w:val="00683CFD"/>
    <w:rsid w:val="00683D93"/>
    <w:rsid w:val="00683DE4"/>
    <w:rsid w:val="00683E26"/>
    <w:rsid w:val="00683E38"/>
    <w:rsid w:val="00683E4A"/>
    <w:rsid w:val="00683E71"/>
    <w:rsid w:val="00683E81"/>
    <w:rsid w:val="00683EA9"/>
    <w:rsid w:val="00683ED1"/>
    <w:rsid w:val="00683EF2"/>
    <w:rsid w:val="00683F5E"/>
    <w:rsid w:val="00683F6B"/>
    <w:rsid w:val="00683FE0"/>
    <w:rsid w:val="00683FF4"/>
    <w:rsid w:val="00684067"/>
    <w:rsid w:val="00684089"/>
    <w:rsid w:val="0068409C"/>
    <w:rsid w:val="006840A9"/>
    <w:rsid w:val="006840AD"/>
    <w:rsid w:val="006840C0"/>
    <w:rsid w:val="00684131"/>
    <w:rsid w:val="00684153"/>
    <w:rsid w:val="00684199"/>
    <w:rsid w:val="006841B7"/>
    <w:rsid w:val="006841F1"/>
    <w:rsid w:val="006841FD"/>
    <w:rsid w:val="00684211"/>
    <w:rsid w:val="00684232"/>
    <w:rsid w:val="00684285"/>
    <w:rsid w:val="006842B2"/>
    <w:rsid w:val="006842C4"/>
    <w:rsid w:val="006842FE"/>
    <w:rsid w:val="0068432A"/>
    <w:rsid w:val="0068432D"/>
    <w:rsid w:val="00684341"/>
    <w:rsid w:val="00684349"/>
    <w:rsid w:val="00684371"/>
    <w:rsid w:val="00684381"/>
    <w:rsid w:val="00684391"/>
    <w:rsid w:val="00684441"/>
    <w:rsid w:val="00684445"/>
    <w:rsid w:val="00684482"/>
    <w:rsid w:val="00684497"/>
    <w:rsid w:val="006844AC"/>
    <w:rsid w:val="006844E3"/>
    <w:rsid w:val="006844FF"/>
    <w:rsid w:val="0068450C"/>
    <w:rsid w:val="0068457A"/>
    <w:rsid w:val="006845DB"/>
    <w:rsid w:val="006845E6"/>
    <w:rsid w:val="0068460F"/>
    <w:rsid w:val="0068465D"/>
    <w:rsid w:val="006846DD"/>
    <w:rsid w:val="006846E0"/>
    <w:rsid w:val="006846E3"/>
    <w:rsid w:val="00684714"/>
    <w:rsid w:val="00684772"/>
    <w:rsid w:val="006847AF"/>
    <w:rsid w:val="006847C4"/>
    <w:rsid w:val="0068481C"/>
    <w:rsid w:val="0068488A"/>
    <w:rsid w:val="00684897"/>
    <w:rsid w:val="006848A3"/>
    <w:rsid w:val="00684951"/>
    <w:rsid w:val="0068496C"/>
    <w:rsid w:val="00684970"/>
    <w:rsid w:val="0068499B"/>
    <w:rsid w:val="006849D6"/>
    <w:rsid w:val="00684A1B"/>
    <w:rsid w:val="00684A24"/>
    <w:rsid w:val="00684A2F"/>
    <w:rsid w:val="00684A44"/>
    <w:rsid w:val="00684A84"/>
    <w:rsid w:val="00684AFC"/>
    <w:rsid w:val="00684B63"/>
    <w:rsid w:val="00684B72"/>
    <w:rsid w:val="00684B78"/>
    <w:rsid w:val="00684B94"/>
    <w:rsid w:val="00684BA9"/>
    <w:rsid w:val="00684BFD"/>
    <w:rsid w:val="00684C03"/>
    <w:rsid w:val="00684C1D"/>
    <w:rsid w:val="00684C53"/>
    <w:rsid w:val="00684C80"/>
    <w:rsid w:val="00684C92"/>
    <w:rsid w:val="00684CDD"/>
    <w:rsid w:val="00684D3B"/>
    <w:rsid w:val="00684D44"/>
    <w:rsid w:val="00684D63"/>
    <w:rsid w:val="00684E0C"/>
    <w:rsid w:val="00684E3C"/>
    <w:rsid w:val="00684EA0"/>
    <w:rsid w:val="00684EAD"/>
    <w:rsid w:val="00684EFA"/>
    <w:rsid w:val="00684F57"/>
    <w:rsid w:val="00684FC4"/>
    <w:rsid w:val="00684FCA"/>
    <w:rsid w:val="00684FDB"/>
    <w:rsid w:val="00685075"/>
    <w:rsid w:val="00685079"/>
    <w:rsid w:val="0068508E"/>
    <w:rsid w:val="006850C5"/>
    <w:rsid w:val="0068512A"/>
    <w:rsid w:val="0068513E"/>
    <w:rsid w:val="00685150"/>
    <w:rsid w:val="00685181"/>
    <w:rsid w:val="00685195"/>
    <w:rsid w:val="006851DA"/>
    <w:rsid w:val="006851F6"/>
    <w:rsid w:val="006851FB"/>
    <w:rsid w:val="00685240"/>
    <w:rsid w:val="00685282"/>
    <w:rsid w:val="006852B5"/>
    <w:rsid w:val="00685310"/>
    <w:rsid w:val="00685323"/>
    <w:rsid w:val="00685333"/>
    <w:rsid w:val="0068538B"/>
    <w:rsid w:val="006853A5"/>
    <w:rsid w:val="006853DC"/>
    <w:rsid w:val="006853E3"/>
    <w:rsid w:val="006853EC"/>
    <w:rsid w:val="00685428"/>
    <w:rsid w:val="0068543E"/>
    <w:rsid w:val="0068546C"/>
    <w:rsid w:val="00685496"/>
    <w:rsid w:val="006854CA"/>
    <w:rsid w:val="006854D1"/>
    <w:rsid w:val="006854E3"/>
    <w:rsid w:val="00685507"/>
    <w:rsid w:val="00685514"/>
    <w:rsid w:val="00685561"/>
    <w:rsid w:val="0068557C"/>
    <w:rsid w:val="00685583"/>
    <w:rsid w:val="006855F3"/>
    <w:rsid w:val="00685626"/>
    <w:rsid w:val="0068566B"/>
    <w:rsid w:val="00685698"/>
    <w:rsid w:val="006856A3"/>
    <w:rsid w:val="00685700"/>
    <w:rsid w:val="00685725"/>
    <w:rsid w:val="00685774"/>
    <w:rsid w:val="006857CE"/>
    <w:rsid w:val="00685823"/>
    <w:rsid w:val="00685839"/>
    <w:rsid w:val="0068584B"/>
    <w:rsid w:val="0068584F"/>
    <w:rsid w:val="0068585D"/>
    <w:rsid w:val="006858B3"/>
    <w:rsid w:val="006858C8"/>
    <w:rsid w:val="006858DF"/>
    <w:rsid w:val="00685A50"/>
    <w:rsid w:val="00685AA8"/>
    <w:rsid w:val="00685AAA"/>
    <w:rsid w:val="00685AC2"/>
    <w:rsid w:val="00685B53"/>
    <w:rsid w:val="00685B64"/>
    <w:rsid w:val="00685BC0"/>
    <w:rsid w:val="00685BCF"/>
    <w:rsid w:val="00685C04"/>
    <w:rsid w:val="00685C1D"/>
    <w:rsid w:val="00685C20"/>
    <w:rsid w:val="00685C65"/>
    <w:rsid w:val="00685C8D"/>
    <w:rsid w:val="00685CEB"/>
    <w:rsid w:val="00685D16"/>
    <w:rsid w:val="00685D1A"/>
    <w:rsid w:val="00685D72"/>
    <w:rsid w:val="00685D7E"/>
    <w:rsid w:val="00685DAA"/>
    <w:rsid w:val="00685DAD"/>
    <w:rsid w:val="00685EA8"/>
    <w:rsid w:val="00685EB4"/>
    <w:rsid w:val="00685EC0"/>
    <w:rsid w:val="00685EF4"/>
    <w:rsid w:val="00685F77"/>
    <w:rsid w:val="00685FB7"/>
    <w:rsid w:val="00685FD2"/>
    <w:rsid w:val="00685FDE"/>
    <w:rsid w:val="00686005"/>
    <w:rsid w:val="00686008"/>
    <w:rsid w:val="00686065"/>
    <w:rsid w:val="00686151"/>
    <w:rsid w:val="0068617E"/>
    <w:rsid w:val="0068618D"/>
    <w:rsid w:val="0068618E"/>
    <w:rsid w:val="006861C3"/>
    <w:rsid w:val="006861C8"/>
    <w:rsid w:val="006861DC"/>
    <w:rsid w:val="00686208"/>
    <w:rsid w:val="0068622E"/>
    <w:rsid w:val="0068628B"/>
    <w:rsid w:val="006862D3"/>
    <w:rsid w:val="006862F0"/>
    <w:rsid w:val="00686341"/>
    <w:rsid w:val="00686363"/>
    <w:rsid w:val="006863BF"/>
    <w:rsid w:val="006863DA"/>
    <w:rsid w:val="006863DF"/>
    <w:rsid w:val="006863FD"/>
    <w:rsid w:val="00686450"/>
    <w:rsid w:val="0068647F"/>
    <w:rsid w:val="006864CD"/>
    <w:rsid w:val="00686542"/>
    <w:rsid w:val="0068660B"/>
    <w:rsid w:val="00686632"/>
    <w:rsid w:val="00686739"/>
    <w:rsid w:val="0068673B"/>
    <w:rsid w:val="0068673D"/>
    <w:rsid w:val="00686740"/>
    <w:rsid w:val="0068676E"/>
    <w:rsid w:val="00686785"/>
    <w:rsid w:val="00686787"/>
    <w:rsid w:val="00686809"/>
    <w:rsid w:val="0068681B"/>
    <w:rsid w:val="0068682A"/>
    <w:rsid w:val="0068682D"/>
    <w:rsid w:val="00686855"/>
    <w:rsid w:val="0068688D"/>
    <w:rsid w:val="006868A3"/>
    <w:rsid w:val="006868CE"/>
    <w:rsid w:val="006868EA"/>
    <w:rsid w:val="006868F4"/>
    <w:rsid w:val="006868FD"/>
    <w:rsid w:val="0068697D"/>
    <w:rsid w:val="006869C0"/>
    <w:rsid w:val="00686A52"/>
    <w:rsid w:val="00686A71"/>
    <w:rsid w:val="00686A84"/>
    <w:rsid w:val="00686B00"/>
    <w:rsid w:val="00686B89"/>
    <w:rsid w:val="00686B8A"/>
    <w:rsid w:val="00686BAE"/>
    <w:rsid w:val="00686BC9"/>
    <w:rsid w:val="00686BDD"/>
    <w:rsid w:val="00686C14"/>
    <w:rsid w:val="00686C18"/>
    <w:rsid w:val="00686C54"/>
    <w:rsid w:val="00686C6E"/>
    <w:rsid w:val="00686CA1"/>
    <w:rsid w:val="00686CB3"/>
    <w:rsid w:val="00686CB6"/>
    <w:rsid w:val="00686CCB"/>
    <w:rsid w:val="00686CF2"/>
    <w:rsid w:val="00686D0A"/>
    <w:rsid w:val="00686D1A"/>
    <w:rsid w:val="00686D36"/>
    <w:rsid w:val="00686D3F"/>
    <w:rsid w:val="00686D65"/>
    <w:rsid w:val="00686D79"/>
    <w:rsid w:val="00686D91"/>
    <w:rsid w:val="00686DBE"/>
    <w:rsid w:val="00686DCE"/>
    <w:rsid w:val="00686E13"/>
    <w:rsid w:val="00686E6C"/>
    <w:rsid w:val="00686E7A"/>
    <w:rsid w:val="00686E81"/>
    <w:rsid w:val="00686ED1"/>
    <w:rsid w:val="00686EDC"/>
    <w:rsid w:val="00686EF2"/>
    <w:rsid w:val="00686F16"/>
    <w:rsid w:val="00686F1B"/>
    <w:rsid w:val="00686F42"/>
    <w:rsid w:val="00686F5F"/>
    <w:rsid w:val="00686F80"/>
    <w:rsid w:val="0068702F"/>
    <w:rsid w:val="00687030"/>
    <w:rsid w:val="00687041"/>
    <w:rsid w:val="00687046"/>
    <w:rsid w:val="00687055"/>
    <w:rsid w:val="00687079"/>
    <w:rsid w:val="006870C6"/>
    <w:rsid w:val="006870E6"/>
    <w:rsid w:val="006870F8"/>
    <w:rsid w:val="00687192"/>
    <w:rsid w:val="006871A0"/>
    <w:rsid w:val="006871FC"/>
    <w:rsid w:val="0068725A"/>
    <w:rsid w:val="00687269"/>
    <w:rsid w:val="0068727E"/>
    <w:rsid w:val="006872B0"/>
    <w:rsid w:val="006872B3"/>
    <w:rsid w:val="006872B5"/>
    <w:rsid w:val="006872E2"/>
    <w:rsid w:val="006872E8"/>
    <w:rsid w:val="00687313"/>
    <w:rsid w:val="00687351"/>
    <w:rsid w:val="00687375"/>
    <w:rsid w:val="00687381"/>
    <w:rsid w:val="00687384"/>
    <w:rsid w:val="006873C6"/>
    <w:rsid w:val="006873D0"/>
    <w:rsid w:val="006873DF"/>
    <w:rsid w:val="00687435"/>
    <w:rsid w:val="00687441"/>
    <w:rsid w:val="0068744D"/>
    <w:rsid w:val="0068747A"/>
    <w:rsid w:val="006874BE"/>
    <w:rsid w:val="00687525"/>
    <w:rsid w:val="00687541"/>
    <w:rsid w:val="0068756E"/>
    <w:rsid w:val="006875B6"/>
    <w:rsid w:val="00687613"/>
    <w:rsid w:val="00687638"/>
    <w:rsid w:val="00687657"/>
    <w:rsid w:val="00687672"/>
    <w:rsid w:val="00687698"/>
    <w:rsid w:val="00687700"/>
    <w:rsid w:val="0068770F"/>
    <w:rsid w:val="00687745"/>
    <w:rsid w:val="0068777A"/>
    <w:rsid w:val="0068777D"/>
    <w:rsid w:val="006877E5"/>
    <w:rsid w:val="0068783B"/>
    <w:rsid w:val="0068783D"/>
    <w:rsid w:val="00687842"/>
    <w:rsid w:val="0068785C"/>
    <w:rsid w:val="0068788D"/>
    <w:rsid w:val="006878A8"/>
    <w:rsid w:val="00687912"/>
    <w:rsid w:val="00687920"/>
    <w:rsid w:val="006879AE"/>
    <w:rsid w:val="00687A1D"/>
    <w:rsid w:val="00687A40"/>
    <w:rsid w:val="00687A44"/>
    <w:rsid w:val="00687A54"/>
    <w:rsid w:val="00687A66"/>
    <w:rsid w:val="00687AA8"/>
    <w:rsid w:val="00687B59"/>
    <w:rsid w:val="00687B77"/>
    <w:rsid w:val="00687B9F"/>
    <w:rsid w:val="00687C7C"/>
    <w:rsid w:val="00687C88"/>
    <w:rsid w:val="00687D41"/>
    <w:rsid w:val="00687D6F"/>
    <w:rsid w:val="00687D71"/>
    <w:rsid w:val="00687D7B"/>
    <w:rsid w:val="00687D8B"/>
    <w:rsid w:val="00687DB5"/>
    <w:rsid w:val="00687DD7"/>
    <w:rsid w:val="00687E11"/>
    <w:rsid w:val="00687E16"/>
    <w:rsid w:val="00687E61"/>
    <w:rsid w:val="00687EEC"/>
    <w:rsid w:val="00687EF0"/>
    <w:rsid w:val="00687F02"/>
    <w:rsid w:val="00687F6D"/>
    <w:rsid w:val="00687F73"/>
    <w:rsid w:val="00690031"/>
    <w:rsid w:val="00690038"/>
    <w:rsid w:val="0069003B"/>
    <w:rsid w:val="0069004C"/>
    <w:rsid w:val="00690078"/>
    <w:rsid w:val="006900A7"/>
    <w:rsid w:val="006900C2"/>
    <w:rsid w:val="006900D0"/>
    <w:rsid w:val="00690120"/>
    <w:rsid w:val="00690133"/>
    <w:rsid w:val="00690178"/>
    <w:rsid w:val="0069019F"/>
    <w:rsid w:val="006901CB"/>
    <w:rsid w:val="006901F6"/>
    <w:rsid w:val="00690207"/>
    <w:rsid w:val="0069024A"/>
    <w:rsid w:val="0069027B"/>
    <w:rsid w:val="00690282"/>
    <w:rsid w:val="006902C0"/>
    <w:rsid w:val="006902C6"/>
    <w:rsid w:val="006902FC"/>
    <w:rsid w:val="00690311"/>
    <w:rsid w:val="00690319"/>
    <w:rsid w:val="00690368"/>
    <w:rsid w:val="00690370"/>
    <w:rsid w:val="00690371"/>
    <w:rsid w:val="006903BA"/>
    <w:rsid w:val="006903D3"/>
    <w:rsid w:val="00690430"/>
    <w:rsid w:val="00690509"/>
    <w:rsid w:val="00690525"/>
    <w:rsid w:val="00690582"/>
    <w:rsid w:val="0069058F"/>
    <w:rsid w:val="006905A6"/>
    <w:rsid w:val="00690620"/>
    <w:rsid w:val="00690649"/>
    <w:rsid w:val="006906FB"/>
    <w:rsid w:val="00690700"/>
    <w:rsid w:val="00690707"/>
    <w:rsid w:val="00690729"/>
    <w:rsid w:val="00690753"/>
    <w:rsid w:val="006907F6"/>
    <w:rsid w:val="0069086D"/>
    <w:rsid w:val="0069089C"/>
    <w:rsid w:val="006908E5"/>
    <w:rsid w:val="00690930"/>
    <w:rsid w:val="00690961"/>
    <w:rsid w:val="006909C9"/>
    <w:rsid w:val="00690A07"/>
    <w:rsid w:val="00690A08"/>
    <w:rsid w:val="00690A4A"/>
    <w:rsid w:val="00690A4F"/>
    <w:rsid w:val="00690A7B"/>
    <w:rsid w:val="00690AA0"/>
    <w:rsid w:val="00690AD1"/>
    <w:rsid w:val="00690B4A"/>
    <w:rsid w:val="00690B5A"/>
    <w:rsid w:val="00690BBD"/>
    <w:rsid w:val="00690BF2"/>
    <w:rsid w:val="00690C44"/>
    <w:rsid w:val="00690C65"/>
    <w:rsid w:val="00690C79"/>
    <w:rsid w:val="00690C83"/>
    <w:rsid w:val="00690CB2"/>
    <w:rsid w:val="00690CC4"/>
    <w:rsid w:val="00690CD8"/>
    <w:rsid w:val="00690D25"/>
    <w:rsid w:val="00690D8F"/>
    <w:rsid w:val="00690D95"/>
    <w:rsid w:val="00690D99"/>
    <w:rsid w:val="00690D9D"/>
    <w:rsid w:val="00690DA7"/>
    <w:rsid w:val="00690DBC"/>
    <w:rsid w:val="00690DDC"/>
    <w:rsid w:val="00690DEB"/>
    <w:rsid w:val="00690E02"/>
    <w:rsid w:val="00690E0D"/>
    <w:rsid w:val="00690E1B"/>
    <w:rsid w:val="00690E2C"/>
    <w:rsid w:val="00690E30"/>
    <w:rsid w:val="00690EE8"/>
    <w:rsid w:val="00690F04"/>
    <w:rsid w:val="00690F3B"/>
    <w:rsid w:val="00690F66"/>
    <w:rsid w:val="00690F67"/>
    <w:rsid w:val="00690F74"/>
    <w:rsid w:val="00690FAC"/>
    <w:rsid w:val="00690FB2"/>
    <w:rsid w:val="00690FC8"/>
    <w:rsid w:val="00690FE0"/>
    <w:rsid w:val="0069102A"/>
    <w:rsid w:val="00691067"/>
    <w:rsid w:val="0069106C"/>
    <w:rsid w:val="00691078"/>
    <w:rsid w:val="006910DF"/>
    <w:rsid w:val="006910F9"/>
    <w:rsid w:val="00691116"/>
    <w:rsid w:val="0069114A"/>
    <w:rsid w:val="00691159"/>
    <w:rsid w:val="0069115D"/>
    <w:rsid w:val="0069116E"/>
    <w:rsid w:val="0069118D"/>
    <w:rsid w:val="0069119C"/>
    <w:rsid w:val="006911B3"/>
    <w:rsid w:val="006911B8"/>
    <w:rsid w:val="006911C5"/>
    <w:rsid w:val="006911DB"/>
    <w:rsid w:val="006911E9"/>
    <w:rsid w:val="00691207"/>
    <w:rsid w:val="00691283"/>
    <w:rsid w:val="00691288"/>
    <w:rsid w:val="006912AD"/>
    <w:rsid w:val="006912BC"/>
    <w:rsid w:val="006912E2"/>
    <w:rsid w:val="00691343"/>
    <w:rsid w:val="00691381"/>
    <w:rsid w:val="00691431"/>
    <w:rsid w:val="00691433"/>
    <w:rsid w:val="0069146E"/>
    <w:rsid w:val="0069147F"/>
    <w:rsid w:val="006914DD"/>
    <w:rsid w:val="00691503"/>
    <w:rsid w:val="00691585"/>
    <w:rsid w:val="006915E3"/>
    <w:rsid w:val="00691631"/>
    <w:rsid w:val="00691661"/>
    <w:rsid w:val="0069166A"/>
    <w:rsid w:val="006916C7"/>
    <w:rsid w:val="0069171B"/>
    <w:rsid w:val="0069174F"/>
    <w:rsid w:val="0069177C"/>
    <w:rsid w:val="0069178C"/>
    <w:rsid w:val="006917F8"/>
    <w:rsid w:val="0069180F"/>
    <w:rsid w:val="00691814"/>
    <w:rsid w:val="00691820"/>
    <w:rsid w:val="00691830"/>
    <w:rsid w:val="0069187C"/>
    <w:rsid w:val="006918CE"/>
    <w:rsid w:val="006918EC"/>
    <w:rsid w:val="0069192F"/>
    <w:rsid w:val="0069194E"/>
    <w:rsid w:val="00691964"/>
    <w:rsid w:val="00691994"/>
    <w:rsid w:val="006919A6"/>
    <w:rsid w:val="006919B7"/>
    <w:rsid w:val="00691A3D"/>
    <w:rsid w:val="00691A4E"/>
    <w:rsid w:val="00691A60"/>
    <w:rsid w:val="00691A79"/>
    <w:rsid w:val="00691A8F"/>
    <w:rsid w:val="00691AD6"/>
    <w:rsid w:val="00691B21"/>
    <w:rsid w:val="00691BC5"/>
    <w:rsid w:val="00691BD1"/>
    <w:rsid w:val="00691BFB"/>
    <w:rsid w:val="00691C25"/>
    <w:rsid w:val="00691C54"/>
    <w:rsid w:val="00691C5A"/>
    <w:rsid w:val="00691C60"/>
    <w:rsid w:val="00691C63"/>
    <w:rsid w:val="00691C75"/>
    <w:rsid w:val="00691C81"/>
    <w:rsid w:val="00691CA1"/>
    <w:rsid w:val="00691CA3"/>
    <w:rsid w:val="00691D5F"/>
    <w:rsid w:val="00691D67"/>
    <w:rsid w:val="00691D7A"/>
    <w:rsid w:val="00691D84"/>
    <w:rsid w:val="00691D86"/>
    <w:rsid w:val="00691D90"/>
    <w:rsid w:val="00691DED"/>
    <w:rsid w:val="00691E64"/>
    <w:rsid w:val="00691EAC"/>
    <w:rsid w:val="00691F18"/>
    <w:rsid w:val="00691F57"/>
    <w:rsid w:val="00691F7C"/>
    <w:rsid w:val="00691F84"/>
    <w:rsid w:val="00691F8C"/>
    <w:rsid w:val="00691FA7"/>
    <w:rsid w:val="00691FD4"/>
    <w:rsid w:val="00691FEB"/>
    <w:rsid w:val="0069200D"/>
    <w:rsid w:val="00692011"/>
    <w:rsid w:val="00692063"/>
    <w:rsid w:val="006920F0"/>
    <w:rsid w:val="00692119"/>
    <w:rsid w:val="0069218C"/>
    <w:rsid w:val="0069218D"/>
    <w:rsid w:val="006921B7"/>
    <w:rsid w:val="006921CE"/>
    <w:rsid w:val="0069220A"/>
    <w:rsid w:val="00692213"/>
    <w:rsid w:val="0069224C"/>
    <w:rsid w:val="00692266"/>
    <w:rsid w:val="006922F6"/>
    <w:rsid w:val="00692335"/>
    <w:rsid w:val="00692379"/>
    <w:rsid w:val="0069239F"/>
    <w:rsid w:val="0069240C"/>
    <w:rsid w:val="0069242C"/>
    <w:rsid w:val="00692458"/>
    <w:rsid w:val="006924C2"/>
    <w:rsid w:val="006924FC"/>
    <w:rsid w:val="00692520"/>
    <w:rsid w:val="0069254D"/>
    <w:rsid w:val="00692570"/>
    <w:rsid w:val="00692591"/>
    <w:rsid w:val="006925D3"/>
    <w:rsid w:val="0069262B"/>
    <w:rsid w:val="0069263B"/>
    <w:rsid w:val="0069264A"/>
    <w:rsid w:val="0069264C"/>
    <w:rsid w:val="00692665"/>
    <w:rsid w:val="006926D0"/>
    <w:rsid w:val="00692749"/>
    <w:rsid w:val="00692791"/>
    <w:rsid w:val="00692796"/>
    <w:rsid w:val="006927B2"/>
    <w:rsid w:val="00692802"/>
    <w:rsid w:val="00692820"/>
    <w:rsid w:val="0069282E"/>
    <w:rsid w:val="00692851"/>
    <w:rsid w:val="006928A8"/>
    <w:rsid w:val="006928D7"/>
    <w:rsid w:val="00692915"/>
    <w:rsid w:val="00692945"/>
    <w:rsid w:val="00692958"/>
    <w:rsid w:val="00692959"/>
    <w:rsid w:val="00692988"/>
    <w:rsid w:val="00692A0D"/>
    <w:rsid w:val="00692A8F"/>
    <w:rsid w:val="00692A94"/>
    <w:rsid w:val="00692AC5"/>
    <w:rsid w:val="00692AEF"/>
    <w:rsid w:val="00692B16"/>
    <w:rsid w:val="00692B17"/>
    <w:rsid w:val="00692B3A"/>
    <w:rsid w:val="00692B93"/>
    <w:rsid w:val="00692BD4"/>
    <w:rsid w:val="00692BD5"/>
    <w:rsid w:val="00692BD6"/>
    <w:rsid w:val="00692BDC"/>
    <w:rsid w:val="00692BE3"/>
    <w:rsid w:val="00692BE8"/>
    <w:rsid w:val="00692BF7"/>
    <w:rsid w:val="00692C40"/>
    <w:rsid w:val="00692C63"/>
    <w:rsid w:val="00692C79"/>
    <w:rsid w:val="00692C7F"/>
    <w:rsid w:val="00692C83"/>
    <w:rsid w:val="00692CD3"/>
    <w:rsid w:val="00692CED"/>
    <w:rsid w:val="00692CF4"/>
    <w:rsid w:val="00692D09"/>
    <w:rsid w:val="00692D15"/>
    <w:rsid w:val="00692D58"/>
    <w:rsid w:val="00692D61"/>
    <w:rsid w:val="00692D64"/>
    <w:rsid w:val="00692D81"/>
    <w:rsid w:val="00692DAF"/>
    <w:rsid w:val="00692DE6"/>
    <w:rsid w:val="00692DF2"/>
    <w:rsid w:val="00692DF7"/>
    <w:rsid w:val="00692E09"/>
    <w:rsid w:val="00692E13"/>
    <w:rsid w:val="00692E2B"/>
    <w:rsid w:val="00692E38"/>
    <w:rsid w:val="00692E89"/>
    <w:rsid w:val="00692E8C"/>
    <w:rsid w:val="00692E96"/>
    <w:rsid w:val="00692EA3"/>
    <w:rsid w:val="00692EAB"/>
    <w:rsid w:val="00692EB3"/>
    <w:rsid w:val="00692F77"/>
    <w:rsid w:val="00692FAA"/>
    <w:rsid w:val="00692FD5"/>
    <w:rsid w:val="00692FD6"/>
    <w:rsid w:val="00692FEB"/>
    <w:rsid w:val="00692FF5"/>
    <w:rsid w:val="0069301A"/>
    <w:rsid w:val="00693093"/>
    <w:rsid w:val="006930C8"/>
    <w:rsid w:val="006930E0"/>
    <w:rsid w:val="00693105"/>
    <w:rsid w:val="0069312F"/>
    <w:rsid w:val="00693159"/>
    <w:rsid w:val="006931E5"/>
    <w:rsid w:val="0069320C"/>
    <w:rsid w:val="00693342"/>
    <w:rsid w:val="0069339D"/>
    <w:rsid w:val="006933F7"/>
    <w:rsid w:val="006934C9"/>
    <w:rsid w:val="006934FD"/>
    <w:rsid w:val="00693523"/>
    <w:rsid w:val="00693550"/>
    <w:rsid w:val="00693580"/>
    <w:rsid w:val="00693596"/>
    <w:rsid w:val="00693597"/>
    <w:rsid w:val="006935D6"/>
    <w:rsid w:val="00693608"/>
    <w:rsid w:val="00693611"/>
    <w:rsid w:val="00693677"/>
    <w:rsid w:val="00693687"/>
    <w:rsid w:val="006936A9"/>
    <w:rsid w:val="006936DC"/>
    <w:rsid w:val="006936DD"/>
    <w:rsid w:val="006936EC"/>
    <w:rsid w:val="0069371C"/>
    <w:rsid w:val="00693720"/>
    <w:rsid w:val="00693723"/>
    <w:rsid w:val="00693747"/>
    <w:rsid w:val="00693753"/>
    <w:rsid w:val="00693784"/>
    <w:rsid w:val="006937C1"/>
    <w:rsid w:val="006937DE"/>
    <w:rsid w:val="00693824"/>
    <w:rsid w:val="0069388F"/>
    <w:rsid w:val="0069389F"/>
    <w:rsid w:val="006938AB"/>
    <w:rsid w:val="006938BD"/>
    <w:rsid w:val="006938DB"/>
    <w:rsid w:val="006938F3"/>
    <w:rsid w:val="00693918"/>
    <w:rsid w:val="0069393D"/>
    <w:rsid w:val="0069397F"/>
    <w:rsid w:val="0069398D"/>
    <w:rsid w:val="00693A29"/>
    <w:rsid w:val="00693A44"/>
    <w:rsid w:val="00693A69"/>
    <w:rsid w:val="00693A6C"/>
    <w:rsid w:val="00693A7B"/>
    <w:rsid w:val="00693AA5"/>
    <w:rsid w:val="00693AC0"/>
    <w:rsid w:val="00693ACE"/>
    <w:rsid w:val="00693AE4"/>
    <w:rsid w:val="00693B4B"/>
    <w:rsid w:val="00693B57"/>
    <w:rsid w:val="00693B8C"/>
    <w:rsid w:val="00693BA6"/>
    <w:rsid w:val="00693C11"/>
    <w:rsid w:val="00693C80"/>
    <w:rsid w:val="00693CF6"/>
    <w:rsid w:val="00693CFC"/>
    <w:rsid w:val="00693D05"/>
    <w:rsid w:val="00693D1E"/>
    <w:rsid w:val="00693D83"/>
    <w:rsid w:val="00693D9B"/>
    <w:rsid w:val="00693DD0"/>
    <w:rsid w:val="00693E05"/>
    <w:rsid w:val="00693E18"/>
    <w:rsid w:val="00693E4C"/>
    <w:rsid w:val="00693EA2"/>
    <w:rsid w:val="00693EB4"/>
    <w:rsid w:val="00693F00"/>
    <w:rsid w:val="00693F08"/>
    <w:rsid w:val="00693F0C"/>
    <w:rsid w:val="00693F3D"/>
    <w:rsid w:val="00693F99"/>
    <w:rsid w:val="00693FAD"/>
    <w:rsid w:val="006940C9"/>
    <w:rsid w:val="0069410A"/>
    <w:rsid w:val="0069414D"/>
    <w:rsid w:val="0069415B"/>
    <w:rsid w:val="006941E4"/>
    <w:rsid w:val="006941E7"/>
    <w:rsid w:val="00694262"/>
    <w:rsid w:val="0069426D"/>
    <w:rsid w:val="0069428E"/>
    <w:rsid w:val="006942BC"/>
    <w:rsid w:val="006942CC"/>
    <w:rsid w:val="006942DD"/>
    <w:rsid w:val="0069437A"/>
    <w:rsid w:val="006943AB"/>
    <w:rsid w:val="006943C8"/>
    <w:rsid w:val="00694403"/>
    <w:rsid w:val="00694409"/>
    <w:rsid w:val="00694420"/>
    <w:rsid w:val="00694430"/>
    <w:rsid w:val="006944A1"/>
    <w:rsid w:val="0069450C"/>
    <w:rsid w:val="0069450E"/>
    <w:rsid w:val="00694556"/>
    <w:rsid w:val="006945E2"/>
    <w:rsid w:val="006945F6"/>
    <w:rsid w:val="00694613"/>
    <w:rsid w:val="00694618"/>
    <w:rsid w:val="0069463D"/>
    <w:rsid w:val="006946B1"/>
    <w:rsid w:val="00694701"/>
    <w:rsid w:val="0069470B"/>
    <w:rsid w:val="00694724"/>
    <w:rsid w:val="0069472B"/>
    <w:rsid w:val="00694737"/>
    <w:rsid w:val="00694746"/>
    <w:rsid w:val="00694751"/>
    <w:rsid w:val="0069476C"/>
    <w:rsid w:val="00694778"/>
    <w:rsid w:val="0069478F"/>
    <w:rsid w:val="00694807"/>
    <w:rsid w:val="00694816"/>
    <w:rsid w:val="0069481E"/>
    <w:rsid w:val="0069485C"/>
    <w:rsid w:val="00694865"/>
    <w:rsid w:val="0069488B"/>
    <w:rsid w:val="006948AF"/>
    <w:rsid w:val="006948B9"/>
    <w:rsid w:val="006948D4"/>
    <w:rsid w:val="00694914"/>
    <w:rsid w:val="0069493E"/>
    <w:rsid w:val="00694959"/>
    <w:rsid w:val="0069498F"/>
    <w:rsid w:val="00694A07"/>
    <w:rsid w:val="00694A3E"/>
    <w:rsid w:val="00694A5C"/>
    <w:rsid w:val="00694A85"/>
    <w:rsid w:val="00694AAD"/>
    <w:rsid w:val="00694B16"/>
    <w:rsid w:val="00694B41"/>
    <w:rsid w:val="00694B45"/>
    <w:rsid w:val="00694BC2"/>
    <w:rsid w:val="00694C2C"/>
    <w:rsid w:val="00694C4C"/>
    <w:rsid w:val="00694C54"/>
    <w:rsid w:val="00694C76"/>
    <w:rsid w:val="00694CB1"/>
    <w:rsid w:val="00694CC2"/>
    <w:rsid w:val="00694D18"/>
    <w:rsid w:val="00694D22"/>
    <w:rsid w:val="00694DB9"/>
    <w:rsid w:val="00694DEF"/>
    <w:rsid w:val="00694DF5"/>
    <w:rsid w:val="00694E58"/>
    <w:rsid w:val="00694E64"/>
    <w:rsid w:val="00694EA2"/>
    <w:rsid w:val="00694EBC"/>
    <w:rsid w:val="00694ECA"/>
    <w:rsid w:val="00694ECC"/>
    <w:rsid w:val="00694EEC"/>
    <w:rsid w:val="00694F13"/>
    <w:rsid w:val="00694F2B"/>
    <w:rsid w:val="00694F46"/>
    <w:rsid w:val="00694F77"/>
    <w:rsid w:val="00695055"/>
    <w:rsid w:val="00695063"/>
    <w:rsid w:val="0069508F"/>
    <w:rsid w:val="006950E0"/>
    <w:rsid w:val="00695109"/>
    <w:rsid w:val="00695146"/>
    <w:rsid w:val="0069516C"/>
    <w:rsid w:val="00695183"/>
    <w:rsid w:val="0069518E"/>
    <w:rsid w:val="00695199"/>
    <w:rsid w:val="00695206"/>
    <w:rsid w:val="00695229"/>
    <w:rsid w:val="0069525D"/>
    <w:rsid w:val="00695298"/>
    <w:rsid w:val="006952D5"/>
    <w:rsid w:val="006952F0"/>
    <w:rsid w:val="006952F2"/>
    <w:rsid w:val="006952F3"/>
    <w:rsid w:val="00695366"/>
    <w:rsid w:val="00695380"/>
    <w:rsid w:val="00695382"/>
    <w:rsid w:val="00695385"/>
    <w:rsid w:val="0069539E"/>
    <w:rsid w:val="00695430"/>
    <w:rsid w:val="006954A5"/>
    <w:rsid w:val="006954AA"/>
    <w:rsid w:val="0069552D"/>
    <w:rsid w:val="00695554"/>
    <w:rsid w:val="00695571"/>
    <w:rsid w:val="006955C0"/>
    <w:rsid w:val="006955E5"/>
    <w:rsid w:val="006955F1"/>
    <w:rsid w:val="00695622"/>
    <w:rsid w:val="006956A3"/>
    <w:rsid w:val="006956BE"/>
    <w:rsid w:val="006956C4"/>
    <w:rsid w:val="006956D9"/>
    <w:rsid w:val="006956E9"/>
    <w:rsid w:val="006956F6"/>
    <w:rsid w:val="006956F8"/>
    <w:rsid w:val="00695730"/>
    <w:rsid w:val="00695735"/>
    <w:rsid w:val="006957C3"/>
    <w:rsid w:val="006957CC"/>
    <w:rsid w:val="00695823"/>
    <w:rsid w:val="0069584D"/>
    <w:rsid w:val="00695854"/>
    <w:rsid w:val="0069585F"/>
    <w:rsid w:val="0069587E"/>
    <w:rsid w:val="00695888"/>
    <w:rsid w:val="00695949"/>
    <w:rsid w:val="00695960"/>
    <w:rsid w:val="0069596A"/>
    <w:rsid w:val="00695987"/>
    <w:rsid w:val="00695994"/>
    <w:rsid w:val="006959B5"/>
    <w:rsid w:val="006959F7"/>
    <w:rsid w:val="00695A03"/>
    <w:rsid w:val="00695A10"/>
    <w:rsid w:val="00695A61"/>
    <w:rsid w:val="00695A99"/>
    <w:rsid w:val="00695AB6"/>
    <w:rsid w:val="00695AB9"/>
    <w:rsid w:val="00695AD4"/>
    <w:rsid w:val="00695AEA"/>
    <w:rsid w:val="00695B18"/>
    <w:rsid w:val="00695B33"/>
    <w:rsid w:val="00695B36"/>
    <w:rsid w:val="00695B3F"/>
    <w:rsid w:val="00695B68"/>
    <w:rsid w:val="00695B6B"/>
    <w:rsid w:val="00695B93"/>
    <w:rsid w:val="00695BA5"/>
    <w:rsid w:val="00695BFB"/>
    <w:rsid w:val="00695C0F"/>
    <w:rsid w:val="00695C21"/>
    <w:rsid w:val="00695C45"/>
    <w:rsid w:val="00695CE0"/>
    <w:rsid w:val="00695CF5"/>
    <w:rsid w:val="00695DBE"/>
    <w:rsid w:val="00695DC6"/>
    <w:rsid w:val="00695DCB"/>
    <w:rsid w:val="00695DE2"/>
    <w:rsid w:val="00695DFB"/>
    <w:rsid w:val="00695E22"/>
    <w:rsid w:val="00695E40"/>
    <w:rsid w:val="00695E5F"/>
    <w:rsid w:val="00695E73"/>
    <w:rsid w:val="00695ECB"/>
    <w:rsid w:val="00695EDD"/>
    <w:rsid w:val="00695F4E"/>
    <w:rsid w:val="00695F50"/>
    <w:rsid w:val="00695F86"/>
    <w:rsid w:val="00695F9F"/>
    <w:rsid w:val="00695FA0"/>
    <w:rsid w:val="00695FFD"/>
    <w:rsid w:val="0069606D"/>
    <w:rsid w:val="006960BA"/>
    <w:rsid w:val="006960C2"/>
    <w:rsid w:val="006961BE"/>
    <w:rsid w:val="006961FC"/>
    <w:rsid w:val="00696216"/>
    <w:rsid w:val="00696220"/>
    <w:rsid w:val="00696236"/>
    <w:rsid w:val="00696238"/>
    <w:rsid w:val="00696242"/>
    <w:rsid w:val="00696263"/>
    <w:rsid w:val="0069629A"/>
    <w:rsid w:val="0069629C"/>
    <w:rsid w:val="00696310"/>
    <w:rsid w:val="00696339"/>
    <w:rsid w:val="00696346"/>
    <w:rsid w:val="0069637C"/>
    <w:rsid w:val="006963B1"/>
    <w:rsid w:val="00696434"/>
    <w:rsid w:val="0069645F"/>
    <w:rsid w:val="00696488"/>
    <w:rsid w:val="006964F4"/>
    <w:rsid w:val="0069650A"/>
    <w:rsid w:val="0069652C"/>
    <w:rsid w:val="00696547"/>
    <w:rsid w:val="00696549"/>
    <w:rsid w:val="0069654D"/>
    <w:rsid w:val="006965B5"/>
    <w:rsid w:val="006965E9"/>
    <w:rsid w:val="00696680"/>
    <w:rsid w:val="006966ED"/>
    <w:rsid w:val="006966F4"/>
    <w:rsid w:val="0069671D"/>
    <w:rsid w:val="0069673D"/>
    <w:rsid w:val="00696763"/>
    <w:rsid w:val="006967D2"/>
    <w:rsid w:val="006967F2"/>
    <w:rsid w:val="00696847"/>
    <w:rsid w:val="00696856"/>
    <w:rsid w:val="00696876"/>
    <w:rsid w:val="00696886"/>
    <w:rsid w:val="006968B4"/>
    <w:rsid w:val="006968EC"/>
    <w:rsid w:val="00696915"/>
    <w:rsid w:val="0069692E"/>
    <w:rsid w:val="0069692F"/>
    <w:rsid w:val="0069694A"/>
    <w:rsid w:val="00696957"/>
    <w:rsid w:val="00696970"/>
    <w:rsid w:val="00696998"/>
    <w:rsid w:val="006969BD"/>
    <w:rsid w:val="00696A4A"/>
    <w:rsid w:val="00696AB9"/>
    <w:rsid w:val="00696AC5"/>
    <w:rsid w:val="00696B13"/>
    <w:rsid w:val="00696B1D"/>
    <w:rsid w:val="00696B3C"/>
    <w:rsid w:val="00696B59"/>
    <w:rsid w:val="00696B7E"/>
    <w:rsid w:val="00696BA0"/>
    <w:rsid w:val="00696BBD"/>
    <w:rsid w:val="00696BC9"/>
    <w:rsid w:val="00696BEF"/>
    <w:rsid w:val="00696C76"/>
    <w:rsid w:val="00696C92"/>
    <w:rsid w:val="00696CA6"/>
    <w:rsid w:val="00696CD2"/>
    <w:rsid w:val="00696CE8"/>
    <w:rsid w:val="00696CF3"/>
    <w:rsid w:val="00696D02"/>
    <w:rsid w:val="00696D2C"/>
    <w:rsid w:val="00696D38"/>
    <w:rsid w:val="00696D48"/>
    <w:rsid w:val="00696D53"/>
    <w:rsid w:val="00696D5B"/>
    <w:rsid w:val="00696D69"/>
    <w:rsid w:val="00696D98"/>
    <w:rsid w:val="00696DC2"/>
    <w:rsid w:val="00696DD5"/>
    <w:rsid w:val="00696DDC"/>
    <w:rsid w:val="00696DE4"/>
    <w:rsid w:val="00696DF8"/>
    <w:rsid w:val="00696E07"/>
    <w:rsid w:val="00696E13"/>
    <w:rsid w:val="00696E54"/>
    <w:rsid w:val="00696E63"/>
    <w:rsid w:val="00696E72"/>
    <w:rsid w:val="00696EAA"/>
    <w:rsid w:val="00696ED7"/>
    <w:rsid w:val="00696F9D"/>
    <w:rsid w:val="00696FC7"/>
    <w:rsid w:val="00696FE6"/>
    <w:rsid w:val="0069701B"/>
    <w:rsid w:val="00697030"/>
    <w:rsid w:val="00697041"/>
    <w:rsid w:val="00697044"/>
    <w:rsid w:val="006970AE"/>
    <w:rsid w:val="006970B6"/>
    <w:rsid w:val="006970BC"/>
    <w:rsid w:val="006970FF"/>
    <w:rsid w:val="00697142"/>
    <w:rsid w:val="00697162"/>
    <w:rsid w:val="00697178"/>
    <w:rsid w:val="00697188"/>
    <w:rsid w:val="00697201"/>
    <w:rsid w:val="00697235"/>
    <w:rsid w:val="00697319"/>
    <w:rsid w:val="0069731A"/>
    <w:rsid w:val="006973BD"/>
    <w:rsid w:val="00697441"/>
    <w:rsid w:val="00697452"/>
    <w:rsid w:val="0069746E"/>
    <w:rsid w:val="00697482"/>
    <w:rsid w:val="0069755E"/>
    <w:rsid w:val="00697587"/>
    <w:rsid w:val="006975E0"/>
    <w:rsid w:val="006975E2"/>
    <w:rsid w:val="006975E5"/>
    <w:rsid w:val="00697602"/>
    <w:rsid w:val="00697614"/>
    <w:rsid w:val="00697658"/>
    <w:rsid w:val="00697664"/>
    <w:rsid w:val="0069768D"/>
    <w:rsid w:val="006976AC"/>
    <w:rsid w:val="006976B1"/>
    <w:rsid w:val="006976E6"/>
    <w:rsid w:val="006976E9"/>
    <w:rsid w:val="006976FD"/>
    <w:rsid w:val="00697731"/>
    <w:rsid w:val="0069774A"/>
    <w:rsid w:val="00697790"/>
    <w:rsid w:val="006977E3"/>
    <w:rsid w:val="00697822"/>
    <w:rsid w:val="00697852"/>
    <w:rsid w:val="006978B2"/>
    <w:rsid w:val="006978B9"/>
    <w:rsid w:val="0069791D"/>
    <w:rsid w:val="0069793C"/>
    <w:rsid w:val="00697945"/>
    <w:rsid w:val="00697961"/>
    <w:rsid w:val="0069796E"/>
    <w:rsid w:val="006979AD"/>
    <w:rsid w:val="006979B2"/>
    <w:rsid w:val="006979BD"/>
    <w:rsid w:val="006979BF"/>
    <w:rsid w:val="00697A95"/>
    <w:rsid w:val="00697B12"/>
    <w:rsid w:val="00697B62"/>
    <w:rsid w:val="00697B7D"/>
    <w:rsid w:val="00697BAC"/>
    <w:rsid w:val="00697BDA"/>
    <w:rsid w:val="00697BED"/>
    <w:rsid w:val="00697C1E"/>
    <w:rsid w:val="00697C20"/>
    <w:rsid w:val="00697C38"/>
    <w:rsid w:val="00697C81"/>
    <w:rsid w:val="00697C9D"/>
    <w:rsid w:val="00697CC3"/>
    <w:rsid w:val="00697CE9"/>
    <w:rsid w:val="00697CF0"/>
    <w:rsid w:val="00697CF3"/>
    <w:rsid w:val="00697CF5"/>
    <w:rsid w:val="00697D2D"/>
    <w:rsid w:val="00697D3E"/>
    <w:rsid w:val="00697D6F"/>
    <w:rsid w:val="00697D90"/>
    <w:rsid w:val="00697DB9"/>
    <w:rsid w:val="00697DE8"/>
    <w:rsid w:val="00697DED"/>
    <w:rsid w:val="00697E12"/>
    <w:rsid w:val="00697E19"/>
    <w:rsid w:val="00697E50"/>
    <w:rsid w:val="00697E74"/>
    <w:rsid w:val="00697E78"/>
    <w:rsid w:val="00697E94"/>
    <w:rsid w:val="00697EA0"/>
    <w:rsid w:val="00697EAC"/>
    <w:rsid w:val="00697EAE"/>
    <w:rsid w:val="00697ED8"/>
    <w:rsid w:val="00697EE1"/>
    <w:rsid w:val="00697F0B"/>
    <w:rsid w:val="00697F55"/>
    <w:rsid w:val="00697F70"/>
    <w:rsid w:val="00697F8F"/>
    <w:rsid w:val="00697F9B"/>
    <w:rsid w:val="00697FAB"/>
    <w:rsid w:val="00697FEB"/>
    <w:rsid w:val="00697FFB"/>
    <w:rsid w:val="006A0066"/>
    <w:rsid w:val="006A00C2"/>
    <w:rsid w:val="006A00D1"/>
    <w:rsid w:val="006A00ED"/>
    <w:rsid w:val="006A0119"/>
    <w:rsid w:val="006A0144"/>
    <w:rsid w:val="006A0164"/>
    <w:rsid w:val="006A0196"/>
    <w:rsid w:val="006A01A1"/>
    <w:rsid w:val="006A01A5"/>
    <w:rsid w:val="006A01DF"/>
    <w:rsid w:val="006A01F4"/>
    <w:rsid w:val="006A0215"/>
    <w:rsid w:val="006A029B"/>
    <w:rsid w:val="006A02B9"/>
    <w:rsid w:val="006A0332"/>
    <w:rsid w:val="006A0343"/>
    <w:rsid w:val="006A0354"/>
    <w:rsid w:val="006A0384"/>
    <w:rsid w:val="006A038D"/>
    <w:rsid w:val="006A0393"/>
    <w:rsid w:val="006A039B"/>
    <w:rsid w:val="006A03FC"/>
    <w:rsid w:val="006A0419"/>
    <w:rsid w:val="006A041B"/>
    <w:rsid w:val="006A0428"/>
    <w:rsid w:val="006A0433"/>
    <w:rsid w:val="006A044D"/>
    <w:rsid w:val="006A0491"/>
    <w:rsid w:val="006A052E"/>
    <w:rsid w:val="006A0552"/>
    <w:rsid w:val="006A05DE"/>
    <w:rsid w:val="006A05EC"/>
    <w:rsid w:val="006A05FB"/>
    <w:rsid w:val="006A06B6"/>
    <w:rsid w:val="006A06F0"/>
    <w:rsid w:val="006A074F"/>
    <w:rsid w:val="006A076E"/>
    <w:rsid w:val="006A07B3"/>
    <w:rsid w:val="006A07FA"/>
    <w:rsid w:val="006A082B"/>
    <w:rsid w:val="006A085F"/>
    <w:rsid w:val="006A08DE"/>
    <w:rsid w:val="006A094D"/>
    <w:rsid w:val="006A098E"/>
    <w:rsid w:val="006A0995"/>
    <w:rsid w:val="006A09D5"/>
    <w:rsid w:val="006A0A5D"/>
    <w:rsid w:val="006A0A8C"/>
    <w:rsid w:val="006A0A99"/>
    <w:rsid w:val="006A0ACC"/>
    <w:rsid w:val="006A0AD6"/>
    <w:rsid w:val="006A0AEA"/>
    <w:rsid w:val="006A0B2F"/>
    <w:rsid w:val="006A0B47"/>
    <w:rsid w:val="006A0B57"/>
    <w:rsid w:val="006A0B6B"/>
    <w:rsid w:val="006A0B77"/>
    <w:rsid w:val="006A0B9E"/>
    <w:rsid w:val="006A0BAF"/>
    <w:rsid w:val="006A0BF9"/>
    <w:rsid w:val="006A0C32"/>
    <w:rsid w:val="006A0C48"/>
    <w:rsid w:val="006A0CA4"/>
    <w:rsid w:val="006A0CEF"/>
    <w:rsid w:val="006A0D00"/>
    <w:rsid w:val="006A0D04"/>
    <w:rsid w:val="006A0D18"/>
    <w:rsid w:val="006A0D2B"/>
    <w:rsid w:val="006A0D7E"/>
    <w:rsid w:val="006A0DD5"/>
    <w:rsid w:val="006A0E10"/>
    <w:rsid w:val="006A0E5D"/>
    <w:rsid w:val="006A0ECB"/>
    <w:rsid w:val="006A0EE4"/>
    <w:rsid w:val="006A0EE8"/>
    <w:rsid w:val="006A0F09"/>
    <w:rsid w:val="006A0F24"/>
    <w:rsid w:val="006A0F4C"/>
    <w:rsid w:val="006A0F5F"/>
    <w:rsid w:val="006A0F85"/>
    <w:rsid w:val="006A0FB0"/>
    <w:rsid w:val="006A0FD5"/>
    <w:rsid w:val="006A0FDB"/>
    <w:rsid w:val="006A0FE7"/>
    <w:rsid w:val="006A0FF2"/>
    <w:rsid w:val="006A1002"/>
    <w:rsid w:val="006A10F7"/>
    <w:rsid w:val="006A1153"/>
    <w:rsid w:val="006A1185"/>
    <w:rsid w:val="006A11F6"/>
    <w:rsid w:val="006A11F7"/>
    <w:rsid w:val="006A11FD"/>
    <w:rsid w:val="006A1201"/>
    <w:rsid w:val="006A1230"/>
    <w:rsid w:val="006A125B"/>
    <w:rsid w:val="006A1292"/>
    <w:rsid w:val="006A12DB"/>
    <w:rsid w:val="006A134F"/>
    <w:rsid w:val="006A1361"/>
    <w:rsid w:val="006A13B0"/>
    <w:rsid w:val="006A13B2"/>
    <w:rsid w:val="006A13C0"/>
    <w:rsid w:val="006A1437"/>
    <w:rsid w:val="006A1446"/>
    <w:rsid w:val="006A1451"/>
    <w:rsid w:val="006A1452"/>
    <w:rsid w:val="006A1467"/>
    <w:rsid w:val="006A1470"/>
    <w:rsid w:val="006A1479"/>
    <w:rsid w:val="006A1494"/>
    <w:rsid w:val="006A149C"/>
    <w:rsid w:val="006A14C6"/>
    <w:rsid w:val="006A1532"/>
    <w:rsid w:val="006A158F"/>
    <w:rsid w:val="006A1595"/>
    <w:rsid w:val="006A15DE"/>
    <w:rsid w:val="006A15F4"/>
    <w:rsid w:val="006A1606"/>
    <w:rsid w:val="006A165E"/>
    <w:rsid w:val="006A16D5"/>
    <w:rsid w:val="006A16DF"/>
    <w:rsid w:val="006A16E8"/>
    <w:rsid w:val="006A16F1"/>
    <w:rsid w:val="006A1728"/>
    <w:rsid w:val="006A173D"/>
    <w:rsid w:val="006A1776"/>
    <w:rsid w:val="006A178E"/>
    <w:rsid w:val="006A17D5"/>
    <w:rsid w:val="006A17FD"/>
    <w:rsid w:val="006A1822"/>
    <w:rsid w:val="006A1872"/>
    <w:rsid w:val="006A18A0"/>
    <w:rsid w:val="006A18A4"/>
    <w:rsid w:val="006A18E1"/>
    <w:rsid w:val="006A18F0"/>
    <w:rsid w:val="006A18F7"/>
    <w:rsid w:val="006A18FF"/>
    <w:rsid w:val="006A193A"/>
    <w:rsid w:val="006A1954"/>
    <w:rsid w:val="006A19A9"/>
    <w:rsid w:val="006A19C6"/>
    <w:rsid w:val="006A19CB"/>
    <w:rsid w:val="006A19EE"/>
    <w:rsid w:val="006A1A21"/>
    <w:rsid w:val="006A1A54"/>
    <w:rsid w:val="006A1A5A"/>
    <w:rsid w:val="006A1A81"/>
    <w:rsid w:val="006A1ACF"/>
    <w:rsid w:val="006A1AEF"/>
    <w:rsid w:val="006A1B2E"/>
    <w:rsid w:val="006A1B43"/>
    <w:rsid w:val="006A1B63"/>
    <w:rsid w:val="006A1B9D"/>
    <w:rsid w:val="006A1BED"/>
    <w:rsid w:val="006A1C09"/>
    <w:rsid w:val="006A1C19"/>
    <w:rsid w:val="006A1C1A"/>
    <w:rsid w:val="006A1C49"/>
    <w:rsid w:val="006A1C4F"/>
    <w:rsid w:val="006A1C60"/>
    <w:rsid w:val="006A1C66"/>
    <w:rsid w:val="006A1C84"/>
    <w:rsid w:val="006A1C94"/>
    <w:rsid w:val="006A1CC6"/>
    <w:rsid w:val="006A1CF7"/>
    <w:rsid w:val="006A1D37"/>
    <w:rsid w:val="006A1D69"/>
    <w:rsid w:val="006A1DB6"/>
    <w:rsid w:val="006A1DF7"/>
    <w:rsid w:val="006A1E0A"/>
    <w:rsid w:val="006A1E14"/>
    <w:rsid w:val="006A1E20"/>
    <w:rsid w:val="006A1E34"/>
    <w:rsid w:val="006A1E35"/>
    <w:rsid w:val="006A1EE6"/>
    <w:rsid w:val="006A1EF5"/>
    <w:rsid w:val="006A1EFB"/>
    <w:rsid w:val="006A1F13"/>
    <w:rsid w:val="006A1F15"/>
    <w:rsid w:val="006A1F17"/>
    <w:rsid w:val="006A1F25"/>
    <w:rsid w:val="006A1F48"/>
    <w:rsid w:val="006A1F8A"/>
    <w:rsid w:val="006A1FCC"/>
    <w:rsid w:val="006A2002"/>
    <w:rsid w:val="006A2033"/>
    <w:rsid w:val="006A2037"/>
    <w:rsid w:val="006A2074"/>
    <w:rsid w:val="006A2078"/>
    <w:rsid w:val="006A20B1"/>
    <w:rsid w:val="006A2119"/>
    <w:rsid w:val="006A2125"/>
    <w:rsid w:val="006A2132"/>
    <w:rsid w:val="006A213D"/>
    <w:rsid w:val="006A2145"/>
    <w:rsid w:val="006A214D"/>
    <w:rsid w:val="006A215F"/>
    <w:rsid w:val="006A2189"/>
    <w:rsid w:val="006A2199"/>
    <w:rsid w:val="006A21A2"/>
    <w:rsid w:val="006A21A8"/>
    <w:rsid w:val="006A21AA"/>
    <w:rsid w:val="006A21B9"/>
    <w:rsid w:val="006A21C8"/>
    <w:rsid w:val="006A21FB"/>
    <w:rsid w:val="006A223E"/>
    <w:rsid w:val="006A2247"/>
    <w:rsid w:val="006A2263"/>
    <w:rsid w:val="006A22E8"/>
    <w:rsid w:val="006A22EC"/>
    <w:rsid w:val="006A231A"/>
    <w:rsid w:val="006A232D"/>
    <w:rsid w:val="006A2350"/>
    <w:rsid w:val="006A23A1"/>
    <w:rsid w:val="006A23A9"/>
    <w:rsid w:val="006A23AB"/>
    <w:rsid w:val="006A23FF"/>
    <w:rsid w:val="006A241B"/>
    <w:rsid w:val="006A242E"/>
    <w:rsid w:val="006A2444"/>
    <w:rsid w:val="006A2476"/>
    <w:rsid w:val="006A247B"/>
    <w:rsid w:val="006A24AA"/>
    <w:rsid w:val="006A24C3"/>
    <w:rsid w:val="006A2529"/>
    <w:rsid w:val="006A2569"/>
    <w:rsid w:val="006A2580"/>
    <w:rsid w:val="006A25CA"/>
    <w:rsid w:val="006A25CB"/>
    <w:rsid w:val="006A2613"/>
    <w:rsid w:val="006A265C"/>
    <w:rsid w:val="006A2678"/>
    <w:rsid w:val="006A267D"/>
    <w:rsid w:val="006A26CF"/>
    <w:rsid w:val="006A26E4"/>
    <w:rsid w:val="006A2720"/>
    <w:rsid w:val="006A2783"/>
    <w:rsid w:val="006A27FC"/>
    <w:rsid w:val="006A2803"/>
    <w:rsid w:val="006A280A"/>
    <w:rsid w:val="006A2816"/>
    <w:rsid w:val="006A2817"/>
    <w:rsid w:val="006A2864"/>
    <w:rsid w:val="006A2870"/>
    <w:rsid w:val="006A2886"/>
    <w:rsid w:val="006A288E"/>
    <w:rsid w:val="006A289A"/>
    <w:rsid w:val="006A28CB"/>
    <w:rsid w:val="006A28E7"/>
    <w:rsid w:val="006A2909"/>
    <w:rsid w:val="006A2928"/>
    <w:rsid w:val="006A292F"/>
    <w:rsid w:val="006A293B"/>
    <w:rsid w:val="006A2954"/>
    <w:rsid w:val="006A295C"/>
    <w:rsid w:val="006A2967"/>
    <w:rsid w:val="006A29C2"/>
    <w:rsid w:val="006A29C5"/>
    <w:rsid w:val="006A2A0F"/>
    <w:rsid w:val="006A2A17"/>
    <w:rsid w:val="006A2A20"/>
    <w:rsid w:val="006A2A5E"/>
    <w:rsid w:val="006A2A7F"/>
    <w:rsid w:val="006A2A80"/>
    <w:rsid w:val="006A2A86"/>
    <w:rsid w:val="006A2AC6"/>
    <w:rsid w:val="006A2AE1"/>
    <w:rsid w:val="006A2B0B"/>
    <w:rsid w:val="006A2B2C"/>
    <w:rsid w:val="006A2B7E"/>
    <w:rsid w:val="006A2B9C"/>
    <w:rsid w:val="006A2BAC"/>
    <w:rsid w:val="006A2BB3"/>
    <w:rsid w:val="006A2BB8"/>
    <w:rsid w:val="006A2BC6"/>
    <w:rsid w:val="006A2BF1"/>
    <w:rsid w:val="006A2BF3"/>
    <w:rsid w:val="006A2C84"/>
    <w:rsid w:val="006A2C98"/>
    <w:rsid w:val="006A2C99"/>
    <w:rsid w:val="006A2CE2"/>
    <w:rsid w:val="006A2D02"/>
    <w:rsid w:val="006A2D0D"/>
    <w:rsid w:val="006A2D1F"/>
    <w:rsid w:val="006A2D55"/>
    <w:rsid w:val="006A2D85"/>
    <w:rsid w:val="006A2DB0"/>
    <w:rsid w:val="006A2DC5"/>
    <w:rsid w:val="006A2E80"/>
    <w:rsid w:val="006A2EB8"/>
    <w:rsid w:val="006A2FA0"/>
    <w:rsid w:val="006A2FD2"/>
    <w:rsid w:val="006A2FDF"/>
    <w:rsid w:val="006A2FE9"/>
    <w:rsid w:val="006A302A"/>
    <w:rsid w:val="006A3079"/>
    <w:rsid w:val="006A30CB"/>
    <w:rsid w:val="006A30F6"/>
    <w:rsid w:val="006A3100"/>
    <w:rsid w:val="006A3111"/>
    <w:rsid w:val="006A312D"/>
    <w:rsid w:val="006A313E"/>
    <w:rsid w:val="006A3198"/>
    <w:rsid w:val="006A31F8"/>
    <w:rsid w:val="006A3246"/>
    <w:rsid w:val="006A3248"/>
    <w:rsid w:val="006A3262"/>
    <w:rsid w:val="006A328C"/>
    <w:rsid w:val="006A3329"/>
    <w:rsid w:val="006A33A3"/>
    <w:rsid w:val="006A33B0"/>
    <w:rsid w:val="006A3422"/>
    <w:rsid w:val="006A3433"/>
    <w:rsid w:val="006A349E"/>
    <w:rsid w:val="006A34A1"/>
    <w:rsid w:val="006A34AB"/>
    <w:rsid w:val="006A352E"/>
    <w:rsid w:val="006A3557"/>
    <w:rsid w:val="006A3592"/>
    <w:rsid w:val="006A35D8"/>
    <w:rsid w:val="006A35F4"/>
    <w:rsid w:val="006A364F"/>
    <w:rsid w:val="006A3658"/>
    <w:rsid w:val="006A36F7"/>
    <w:rsid w:val="006A372F"/>
    <w:rsid w:val="006A375A"/>
    <w:rsid w:val="006A37D9"/>
    <w:rsid w:val="006A3855"/>
    <w:rsid w:val="006A387E"/>
    <w:rsid w:val="006A3894"/>
    <w:rsid w:val="006A3914"/>
    <w:rsid w:val="006A3932"/>
    <w:rsid w:val="006A3943"/>
    <w:rsid w:val="006A3965"/>
    <w:rsid w:val="006A39CA"/>
    <w:rsid w:val="006A39D7"/>
    <w:rsid w:val="006A3A08"/>
    <w:rsid w:val="006A3A31"/>
    <w:rsid w:val="006A3AE2"/>
    <w:rsid w:val="006A3AF4"/>
    <w:rsid w:val="006A3AF5"/>
    <w:rsid w:val="006A3B1C"/>
    <w:rsid w:val="006A3B1D"/>
    <w:rsid w:val="006A3B5A"/>
    <w:rsid w:val="006A3B7A"/>
    <w:rsid w:val="006A3C5A"/>
    <w:rsid w:val="006A3C74"/>
    <w:rsid w:val="006A3D21"/>
    <w:rsid w:val="006A3D94"/>
    <w:rsid w:val="006A3E09"/>
    <w:rsid w:val="006A3E4B"/>
    <w:rsid w:val="006A3E59"/>
    <w:rsid w:val="006A3E70"/>
    <w:rsid w:val="006A3EDC"/>
    <w:rsid w:val="006A3EF3"/>
    <w:rsid w:val="006A3F9D"/>
    <w:rsid w:val="006A3FBE"/>
    <w:rsid w:val="006A3FD3"/>
    <w:rsid w:val="006A3FD8"/>
    <w:rsid w:val="006A3FE3"/>
    <w:rsid w:val="006A4007"/>
    <w:rsid w:val="006A402F"/>
    <w:rsid w:val="006A4061"/>
    <w:rsid w:val="006A40B3"/>
    <w:rsid w:val="006A40CA"/>
    <w:rsid w:val="006A40E9"/>
    <w:rsid w:val="006A4107"/>
    <w:rsid w:val="006A4145"/>
    <w:rsid w:val="006A41A3"/>
    <w:rsid w:val="006A41AA"/>
    <w:rsid w:val="006A41B8"/>
    <w:rsid w:val="006A41C7"/>
    <w:rsid w:val="006A41E6"/>
    <w:rsid w:val="006A41FA"/>
    <w:rsid w:val="006A4204"/>
    <w:rsid w:val="006A422A"/>
    <w:rsid w:val="006A4262"/>
    <w:rsid w:val="006A427D"/>
    <w:rsid w:val="006A4284"/>
    <w:rsid w:val="006A4294"/>
    <w:rsid w:val="006A433F"/>
    <w:rsid w:val="006A437E"/>
    <w:rsid w:val="006A438B"/>
    <w:rsid w:val="006A4399"/>
    <w:rsid w:val="006A439B"/>
    <w:rsid w:val="006A43EB"/>
    <w:rsid w:val="006A446C"/>
    <w:rsid w:val="006A4494"/>
    <w:rsid w:val="006A44A0"/>
    <w:rsid w:val="006A44F6"/>
    <w:rsid w:val="006A4519"/>
    <w:rsid w:val="006A451E"/>
    <w:rsid w:val="006A4530"/>
    <w:rsid w:val="006A4537"/>
    <w:rsid w:val="006A4576"/>
    <w:rsid w:val="006A458E"/>
    <w:rsid w:val="006A45BA"/>
    <w:rsid w:val="006A45F1"/>
    <w:rsid w:val="006A45FC"/>
    <w:rsid w:val="006A45FF"/>
    <w:rsid w:val="006A4661"/>
    <w:rsid w:val="006A4662"/>
    <w:rsid w:val="006A4669"/>
    <w:rsid w:val="006A468D"/>
    <w:rsid w:val="006A4699"/>
    <w:rsid w:val="006A4700"/>
    <w:rsid w:val="006A4726"/>
    <w:rsid w:val="006A472F"/>
    <w:rsid w:val="006A4768"/>
    <w:rsid w:val="006A476F"/>
    <w:rsid w:val="006A47AF"/>
    <w:rsid w:val="006A47CE"/>
    <w:rsid w:val="006A47D4"/>
    <w:rsid w:val="006A47DF"/>
    <w:rsid w:val="006A4802"/>
    <w:rsid w:val="006A4805"/>
    <w:rsid w:val="006A4826"/>
    <w:rsid w:val="006A483F"/>
    <w:rsid w:val="006A4887"/>
    <w:rsid w:val="006A488B"/>
    <w:rsid w:val="006A48A3"/>
    <w:rsid w:val="006A48FA"/>
    <w:rsid w:val="006A48FF"/>
    <w:rsid w:val="006A4935"/>
    <w:rsid w:val="006A496E"/>
    <w:rsid w:val="006A4971"/>
    <w:rsid w:val="006A4983"/>
    <w:rsid w:val="006A49B1"/>
    <w:rsid w:val="006A49CD"/>
    <w:rsid w:val="006A4A16"/>
    <w:rsid w:val="006A4A20"/>
    <w:rsid w:val="006A4A2F"/>
    <w:rsid w:val="006A4A92"/>
    <w:rsid w:val="006A4AC0"/>
    <w:rsid w:val="006A4AFB"/>
    <w:rsid w:val="006A4B26"/>
    <w:rsid w:val="006A4B67"/>
    <w:rsid w:val="006A4BDA"/>
    <w:rsid w:val="006A4BE7"/>
    <w:rsid w:val="006A4C36"/>
    <w:rsid w:val="006A4C6A"/>
    <w:rsid w:val="006A4CA1"/>
    <w:rsid w:val="006A4CBC"/>
    <w:rsid w:val="006A4CDA"/>
    <w:rsid w:val="006A4CDE"/>
    <w:rsid w:val="006A4D3A"/>
    <w:rsid w:val="006A4DDC"/>
    <w:rsid w:val="006A4DE9"/>
    <w:rsid w:val="006A4DF3"/>
    <w:rsid w:val="006A4E1C"/>
    <w:rsid w:val="006A4E89"/>
    <w:rsid w:val="006A4EB4"/>
    <w:rsid w:val="006A4F12"/>
    <w:rsid w:val="006A4FAF"/>
    <w:rsid w:val="006A4FC2"/>
    <w:rsid w:val="006A4FC3"/>
    <w:rsid w:val="006A4FC8"/>
    <w:rsid w:val="006A4FFD"/>
    <w:rsid w:val="006A4FFF"/>
    <w:rsid w:val="006A5014"/>
    <w:rsid w:val="006A5035"/>
    <w:rsid w:val="006A5070"/>
    <w:rsid w:val="006A5089"/>
    <w:rsid w:val="006A50C4"/>
    <w:rsid w:val="006A50F9"/>
    <w:rsid w:val="006A5174"/>
    <w:rsid w:val="006A517A"/>
    <w:rsid w:val="006A5195"/>
    <w:rsid w:val="006A519A"/>
    <w:rsid w:val="006A519B"/>
    <w:rsid w:val="006A51B1"/>
    <w:rsid w:val="006A51BB"/>
    <w:rsid w:val="006A51D1"/>
    <w:rsid w:val="006A51DF"/>
    <w:rsid w:val="006A5232"/>
    <w:rsid w:val="006A52C3"/>
    <w:rsid w:val="006A52DF"/>
    <w:rsid w:val="006A52F2"/>
    <w:rsid w:val="006A533F"/>
    <w:rsid w:val="006A5356"/>
    <w:rsid w:val="006A536B"/>
    <w:rsid w:val="006A5389"/>
    <w:rsid w:val="006A53AC"/>
    <w:rsid w:val="006A53B0"/>
    <w:rsid w:val="006A53CC"/>
    <w:rsid w:val="006A53D9"/>
    <w:rsid w:val="006A54B1"/>
    <w:rsid w:val="006A54D6"/>
    <w:rsid w:val="006A54FE"/>
    <w:rsid w:val="006A5532"/>
    <w:rsid w:val="006A553D"/>
    <w:rsid w:val="006A5545"/>
    <w:rsid w:val="006A557E"/>
    <w:rsid w:val="006A55CD"/>
    <w:rsid w:val="006A5635"/>
    <w:rsid w:val="006A5643"/>
    <w:rsid w:val="006A565D"/>
    <w:rsid w:val="006A5671"/>
    <w:rsid w:val="006A5699"/>
    <w:rsid w:val="006A569C"/>
    <w:rsid w:val="006A56B5"/>
    <w:rsid w:val="006A56BE"/>
    <w:rsid w:val="006A56E7"/>
    <w:rsid w:val="006A56EA"/>
    <w:rsid w:val="006A56F5"/>
    <w:rsid w:val="006A56FB"/>
    <w:rsid w:val="006A571C"/>
    <w:rsid w:val="006A5753"/>
    <w:rsid w:val="006A5769"/>
    <w:rsid w:val="006A57C6"/>
    <w:rsid w:val="006A57E2"/>
    <w:rsid w:val="006A57FE"/>
    <w:rsid w:val="006A5815"/>
    <w:rsid w:val="006A5839"/>
    <w:rsid w:val="006A586A"/>
    <w:rsid w:val="006A589F"/>
    <w:rsid w:val="006A58E8"/>
    <w:rsid w:val="006A5996"/>
    <w:rsid w:val="006A59C8"/>
    <w:rsid w:val="006A5A43"/>
    <w:rsid w:val="006A5A78"/>
    <w:rsid w:val="006A5AF8"/>
    <w:rsid w:val="006A5B2A"/>
    <w:rsid w:val="006A5B7E"/>
    <w:rsid w:val="006A5B85"/>
    <w:rsid w:val="006A5BAB"/>
    <w:rsid w:val="006A5BE3"/>
    <w:rsid w:val="006A5C8E"/>
    <w:rsid w:val="006A5CE6"/>
    <w:rsid w:val="006A5D0B"/>
    <w:rsid w:val="006A5D54"/>
    <w:rsid w:val="006A5D6B"/>
    <w:rsid w:val="006A5D73"/>
    <w:rsid w:val="006A5DB7"/>
    <w:rsid w:val="006A5E2B"/>
    <w:rsid w:val="006A5E39"/>
    <w:rsid w:val="006A5E53"/>
    <w:rsid w:val="006A5E55"/>
    <w:rsid w:val="006A5E66"/>
    <w:rsid w:val="006A5E6F"/>
    <w:rsid w:val="006A5E99"/>
    <w:rsid w:val="006A5F0C"/>
    <w:rsid w:val="006A5F20"/>
    <w:rsid w:val="006A5F3D"/>
    <w:rsid w:val="006A5FDB"/>
    <w:rsid w:val="006A5FEA"/>
    <w:rsid w:val="006A60E2"/>
    <w:rsid w:val="006A60F8"/>
    <w:rsid w:val="006A6103"/>
    <w:rsid w:val="006A6141"/>
    <w:rsid w:val="006A618F"/>
    <w:rsid w:val="006A619C"/>
    <w:rsid w:val="006A61DB"/>
    <w:rsid w:val="006A61F1"/>
    <w:rsid w:val="006A61FD"/>
    <w:rsid w:val="006A622F"/>
    <w:rsid w:val="006A6278"/>
    <w:rsid w:val="006A62C6"/>
    <w:rsid w:val="006A6311"/>
    <w:rsid w:val="006A633B"/>
    <w:rsid w:val="006A6364"/>
    <w:rsid w:val="006A63A2"/>
    <w:rsid w:val="006A6418"/>
    <w:rsid w:val="006A642A"/>
    <w:rsid w:val="006A643A"/>
    <w:rsid w:val="006A6448"/>
    <w:rsid w:val="006A645E"/>
    <w:rsid w:val="006A646B"/>
    <w:rsid w:val="006A647F"/>
    <w:rsid w:val="006A649F"/>
    <w:rsid w:val="006A64DC"/>
    <w:rsid w:val="006A64E0"/>
    <w:rsid w:val="006A64E9"/>
    <w:rsid w:val="006A64F8"/>
    <w:rsid w:val="006A651B"/>
    <w:rsid w:val="006A6534"/>
    <w:rsid w:val="006A65C2"/>
    <w:rsid w:val="006A65CD"/>
    <w:rsid w:val="006A65D5"/>
    <w:rsid w:val="006A660D"/>
    <w:rsid w:val="006A6621"/>
    <w:rsid w:val="006A6644"/>
    <w:rsid w:val="006A6694"/>
    <w:rsid w:val="006A671A"/>
    <w:rsid w:val="006A6746"/>
    <w:rsid w:val="006A679F"/>
    <w:rsid w:val="006A67D2"/>
    <w:rsid w:val="006A6813"/>
    <w:rsid w:val="006A685B"/>
    <w:rsid w:val="006A6875"/>
    <w:rsid w:val="006A68EC"/>
    <w:rsid w:val="006A69F8"/>
    <w:rsid w:val="006A69FD"/>
    <w:rsid w:val="006A6A1C"/>
    <w:rsid w:val="006A6A5E"/>
    <w:rsid w:val="006A6A8D"/>
    <w:rsid w:val="006A6AA4"/>
    <w:rsid w:val="006A6AF4"/>
    <w:rsid w:val="006A6B09"/>
    <w:rsid w:val="006A6B0C"/>
    <w:rsid w:val="006A6B70"/>
    <w:rsid w:val="006A6B8E"/>
    <w:rsid w:val="006A6BAA"/>
    <w:rsid w:val="006A6BBA"/>
    <w:rsid w:val="006A6C40"/>
    <w:rsid w:val="006A6C43"/>
    <w:rsid w:val="006A6C47"/>
    <w:rsid w:val="006A6CB4"/>
    <w:rsid w:val="006A6D24"/>
    <w:rsid w:val="006A6D47"/>
    <w:rsid w:val="006A6D67"/>
    <w:rsid w:val="006A6D79"/>
    <w:rsid w:val="006A6D8A"/>
    <w:rsid w:val="006A6D95"/>
    <w:rsid w:val="006A6DAF"/>
    <w:rsid w:val="006A6DEF"/>
    <w:rsid w:val="006A6E00"/>
    <w:rsid w:val="006A6E0E"/>
    <w:rsid w:val="006A6E58"/>
    <w:rsid w:val="006A6E99"/>
    <w:rsid w:val="006A6EB3"/>
    <w:rsid w:val="006A6ED0"/>
    <w:rsid w:val="006A6EED"/>
    <w:rsid w:val="006A6F19"/>
    <w:rsid w:val="006A6F1F"/>
    <w:rsid w:val="006A6F6D"/>
    <w:rsid w:val="006A6F7E"/>
    <w:rsid w:val="006A6F80"/>
    <w:rsid w:val="006A6F94"/>
    <w:rsid w:val="006A6F96"/>
    <w:rsid w:val="006A6FDA"/>
    <w:rsid w:val="006A6FEF"/>
    <w:rsid w:val="006A7014"/>
    <w:rsid w:val="006A7027"/>
    <w:rsid w:val="006A7030"/>
    <w:rsid w:val="006A707E"/>
    <w:rsid w:val="006A713A"/>
    <w:rsid w:val="006A7187"/>
    <w:rsid w:val="006A71AC"/>
    <w:rsid w:val="006A72A5"/>
    <w:rsid w:val="006A72C4"/>
    <w:rsid w:val="006A72CC"/>
    <w:rsid w:val="006A7370"/>
    <w:rsid w:val="006A73A5"/>
    <w:rsid w:val="006A73BD"/>
    <w:rsid w:val="006A73C4"/>
    <w:rsid w:val="006A7405"/>
    <w:rsid w:val="006A7419"/>
    <w:rsid w:val="006A741B"/>
    <w:rsid w:val="006A7430"/>
    <w:rsid w:val="006A748D"/>
    <w:rsid w:val="006A74A3"/>
    <w:rsid w:val="006A74CA"/>
    <w:rsid w:val="006A74DF"/>
    <w:rsid w:val="006A7504"/>
    <w:rsid w:val="006A7527"/>
    <w:rsid w:val="006A7534"/>
    <w:rsid w:val="006A7583"/>
    <w:rsid w:val="006A758F"/>
    <w:rsid w:val="006A75CE"/>
    <w:rsid w:val="006A75FF"/>
    <w:rsid w:val="006A7656"/>
    <w:rsid w:val="006A7657"/>
    <w:rsid w:val="006A7684"/>
    <w:rsid w:val="006A768D"/>
    <w:rsid w:val="006A76F9"/>
    <w:rsid w:val="006A770B"/>
    <w:rsid w:val="006A775F"/>
    <w:rsid w:val="006A776B"/>
    <w:rsid w:val="006A776D"/>
    <w:rsid w:val="006A777D"/>
    <w:rsid w:val="006A77D5"/>
    <w:rsid w:val="006A7825"/>
    <w:rsid w:val="006A7836"/>
    <w:rsid w:val="006A783F"/>
    <w:rsid w:val="006A78C5"/>
    <w:rsid w:val="006A78CB"/>
    <w:rsid w:val="006A78D1"/>
    <w:rsid w:val="006A7909"/>
    <w:rsid w:val="006A7911"/>
    <w:rsid w:val="006A7941"/>
    <w:rsid w:val="006A7964"/>
    <w:rsid w:val="006A7A02"/>
    <w:rsid w:val="006A7A28"/>
    <w:rsid w:val="006A7A30"/>
    <w:rsid w:val="006A7A7A"/>
    <w:rsid w:val="006A7AC0"/>
    <w:rsid w:val="006A7B06"/>
    <w:rsid w:val="006A7B5A"/>
    <w:rsid w:val="006A7BED"/>
    <w:rsid w:val="006A7C0F"/>
    <w:rsid w:val="006A7C31"/>
    <w:rsid w:val="006A7C86"/>
    <w:rsid w:val="006A7C91"/>
    <w:rsid w:val="006A7CB1"/>
    <w:rsid w:val="006A7D75"/>
    <w:rsid w:val="006A7DC5"/>
    <w:rsid w:val="006A7DE8"/>
    <w:rsid w:val="006A7DEB"/>
    <w:rsid w:val="006A7E38"/>
    <w:rsid w:val="006A7E62"/>
    <w:rsid w:val="006A7E90"/>
    <w:rsid w:val="006A7E98"/>
    <w:rsid w:val="006A7EAD"/>
    <w:rsid w:val="006A7EB3"/>
    <w:rsid w:val="006A7F3D"/>
    <w:rsid w:val="006A7F4A"/>
    <w:rsid w:val="006A7F51"/>
    <w:rsid w:val="006A7F9B"/>
    <w:rsid w:val="006A7FDB"/>
    <w:rsid w:val="006B0004"/>
    <w:rsid w:val="006B000C"/>
    <w:rsid w:val="006B002D"/>
    <w:rsid w:val="006B0044"/>
    <w:rsid w:val="006B0073"/>
    <w:rsid w:val="006B008C"/>
    <w:rsid w:val="006B00B4"/>
    <w:rsid w:val="006B00B8"/>
    <w:rsid w:val="006B00BE"/>
    <w:rsid w:val="006B0107"/>
    <w:rsid w:val="006B010B"/>
    <w:rsid w:val="006B0168"/>
    <w:rsid w:val="006B016F"/>
    <w:rsid w:val="006B0175"/>
    <w:rsid w:val="006B01C9"/>
    <w:rsid w:val="006B01CD"/>
    <w:rsid w:val="006B01D6"/>
    <w:rsid w:val="006B01DC"/>
    <w:rsid w:val="006B01F1"/>
    <w:rsid w:val="006B020B"/>
    <w:rsid w:val="006B024B"/>
    <w:rsid w:val="006B028E"/>
    <w:rsid w:val="006B02A1"/>
    <w:rsid w:val="006B02AA"/>
    <w:rsid w:val="006B02C3"/>
    <w:rsid w:val="006B032F"/>
    <w:rsid w:val="006B0341"/>
    <w:rsid w:val="006B03C3"/>
    <w:rsid w:val="006B03EB"/>
    <w:rsid w:val="006B0420"/>
    <w:rsid w:val="006B0457"/>
    <w:rsid w:val="006B0474"/>
    <w:rsid w:val="006B04AF"/>
    <w:rsid w:val="006B04FA"/>
    <w:rsid w:val="006B052A"/>
    <w:rsid w:val="006B0548"/>
    <w:rsid w:val="006B054B"/>
    <w:rsid w:val="006B0559"/>
    <w:rsid w:val="006B0571"/>
    <w:rsid w:val="006B0591"/>
    <w:rsid w:val="006B05D5"/>
    <w:rsid w:val="006B05DF"/>
    <w:rsid w:val="006B0661"/>
    <w:rsid w:val="006B068B"/>
    <w:rsid w:val="006B06AD"/>
    <w:rsid w:val="006B06F2"/>
    <w:rsid w:val="006B074C"/>
    <w:rsid w:val="006B079E"/>
    <w:rsid w:val="006B07C0"/>
    <w:rsid w:val="006B07F1"/>
    <w:rsid w:val="006B080D"/>
    <w:rsid w:val="006B0829"/>
    <w:rsid w:val="006B082A"/>
    <w:rsid w:val="006B0869"/>
    <w:rsid w:val="006B087D"/>
    <w:rsid w:val="006B08A8"/>
    <w:rsid w:val="006B08D7"/>
    <w:rsid w:val="006B092D"/>
    <w:rsid w:val="006B096E"/>
    <w:rsid w:val="006B09D2"/>
    <w:rsid w:val="006B09E9"/>
    <w:rsid w:val="006B09EF"/>
    <w:rsid w:val="006B09FE"/>
    <w:rsid w:val="006B0A1C"/>
    <w:rsid w:val="006B0A37"/>
    <w:rsid w:val="006B0A54"/>
    <w:rsid w:val="006B0A8F"/>
    <w:rsid w:val="006B0A95"/>
    <w:rsid w:val="006B0AC1"/>
    <w:rsid w:val="006B0AF9"/>
    <w:rsid w:val="006B0AFF"/>
    <w:rsid w:val="006B0B08"/>
    <w:rsid w:val="006B0B0E"/>
    <w:rsid w:val="006B0B19"/>
    <w:rsid w:val="006B0B33"/>
    <w:rsid w:val="006B0BDA"/>
    <w:rsid w:val="006B0BEE"/>
    <w:rsid w:val="006B0C2E"/>
    <w:rsid w:val="006B0C8C"/>
    <w:rsid w:val="006B0C91"/>
    <w:rsid w:val="006B0C9E"/>
    <w:rsid w:val="006B0CAC"/>
    <w:rsid w:val="006B0D13"/>
    <w:rsid w:val="006B0D4D"/>
    <w:rsid w:val="006B0DDE"/>
    <w:rsid w:val="006B0DE6"/>
    <w:rsid w:val="006B0E1F"/>
    <w:rsid w:val="006B0E27"/>
    <w:rsid w:val="006B0E61"/>
    <w:rsid w:val="006B0E82"/>
    <w:rsid w:val="006B0EBC"/>
    <w:rsid w:val="006B0EDA"/>
    <w:rsid w:val="006B0EE4"/>
    <w:rsid w:val="006B0EF2"/>
    <w:rsid w:val="006B0F4A"/>
    <w:rsid w:val="006B0F69"/>
    <w:rsid w:val="006B0F6F"/>
    <w:rsid w:val="006B0F7A"/>
    <w:rsid w:val="006B0F8C"/>
    <w:rsid w:val="006B0FD6"/>
    <w:rsid w:val="006B0FD9"/>
    <w:rsid w:val="006B0FF8"/>
    <w:rsid w:val="006B1026"/>
    <w:rsid w:val="006B102A"/>
    <w:rsid w:val="006B10B0"/>
    <w:rsid w:val="006B10BB"/>
    <w:rsid w:val="006B1101"/>
    <w:rsid w:val="006B1153"/>
    <w:rsid w:val="006B11B3"/>
    <w:rsid w:val="006B11D9"/>
    <w:rsid w:val="006B11EB"/>
    <w:rsid w:val="006B1211"/>
    <w:rsid w:val="006B123E"/>
    <w:rsid w:val="006B1259"/>
    <w:rsid w:val="006B125F"/>
    <w:rsid w:val="006B1263"/>
    <w:rsid w:val="006B1265"/>
    <w:rsid w:val="006B129D"/>
    <w:rsid w:val="006B12B9"/>
    <w:rsid w:val="006B1334"/>
    <w:rsid w:val="006B1341"/>
    <w:rsid w:val="006B1358"/>
    <w:rsid w:val="006B1367"/>
    <w:rsid w:val="006B136E"/>
    <w:rsid w:val="006B139F"/>
    <w:rsid w:val="006B13BE"/>
    <w:rsid w:val="006B13C5"/>
    <w:rsid w:val="006B13F5"/>
    <w:rsid w:val="006B13F7"/>
    <w:rsid w:val="006B1423"/>
    <w:rsid w:val="006B143F"/>
    <w:rsid w:val="006B1465"/>
    <w:rsid w:val="006B1466"/>
    <w:rsid w:val="006B1496"/>
    <w:rsid w:val="006B14A7"/>
    <w:rsid w:val="006B15A3"/>
    <w:rsid w:val="006B15F5"/>
    <w:rsid w:val="006B1625"/>
    <w:rsid w:val="006B162B"/>
    <w:rsid w:val="006B1643"/>
    <w:rsid w:val="006B165E"/>
    <w:rsid w:val="006B1669"/>
    <w:rsid w:val="006B1684"/>
    <w:rsid w:val="006B1698"/>
    <w:rsid w:val="006B169E"/>
    <w:rsid w:val="006B16A8"/>
    <w:rsid w:val="006B16B2"/>
    <w:rsid w:val="006B17B4"/>
    <w:rsid w:val="006B188D"/>
    <w:rsid w:val="006B189E"/>
    <w:rsid w:val="006B18B8"/>
    <w:rsid w:val="006B18C0"/>
    <w:rsid w:val="006B18FA"/>
    <w:rsid w:val="006B1912"/>
    <w:rsid w:val="006B193B"/>
    <w:rsid w:val="006B197F"/>
    <w:rsid w:val="006B19AB"/>
    <w:rsid w:val="006B19B3"/>
    <w:rsid w:val="006B19C4"/>
    <w:rsid w:val="006B19CA"/>
    <w:rsid w:val="006B19D2"/>
    <w:rsid w:val="006B19E5"/>
    <w:rsid w:val="006B19F4"/>
    <w:rsid w:val="006B1A0C"/>
    <w:rsid w:val="006B1A30"/>
    <w:rsid w:val="006B1A3E"/>
    <w:rsid w:val="006B1ABD"/>
    <w:rsid w:val="006B1AFC"/>
    <w:rsid w:val="006B1B46"/>
    <w:rsid w:val="006B1B52"/>
    <w:rsid w:val="006B1B79"/>
    <w:rsid w:val="006B1B8D"/>
    <w:rsid w:val="006B1B92"/>
    <w:rsid w:val="006B1BF2"/>
    <w:rsid w:val="006B1C62"/>
    <w:rsid w:val="006B1C7E"/>
    <w:rsid w:val="006B1C86"/>
    <w:rsid w:val="006B1C95"/>
    <w:rsid w:val="006B1D87"/>
    <w:rsid w:val="006B1DB1"/>
    <w:rsid w:val="006B1DB7"/>
    <w:rsid w:val="006B1E88"/>
    <w:rsid w:val="006B1F28"/>
    <w:rsid w:val="006B1F82"/>
    <w:rsid w:val="006B1FD0"/>
    <w:rsid w:val="006B1FD6"/>
    <w:rsid w:val="006B2001"/>
    <w:rsid w:val="006B204F"/>
    <w:rsid w:val="006B206D"/>
    <w:rsid w:val="006B2107"/>
    <w:rsid w:val="006B2123"/>
    <w:rsid w:val="006B2168"/>
    <w:rsid w:val="006B217A"/>
    <w:rsid w:val="006B2235"/>
    <w:rsid w:val="006B2253"/>
    <w:rsid w:val="006B225F"/>
    <w:rsid w:val="006B2289"/>
    <w:rsid w:val="006B22B8"/>
    <w:rsid w:val="006B22E3"/>
    <w:rsid w:val="006B22F3"/>
    <w:rsid w:val="006B2335"/>
    <w:rsid w:val="006B233C"/>
    <w:rsid w:val="006B2356"/>
    <w:rsid w:val="006B235B"/>
    <w:rsid w:val="006B23A3"/>
    <w:rsid w:val="006B23AE"/>
    <w:rsid w:val="006B23B7"/>
    <w:rsid w:val="006B23D4"/>
    <w:rsid w:val="006B2403"/>
    <w:rsid w:val="006B244B"/>
    <w:rsid w:val="006B2454"/>
    <w:rsid w:val="006B2471"/>
    <w:rsid w:val="006B24B6"/>
    <w:rsid w:val="006B24BF"/>
    <w:rsid w:val="006B24C2"/>
    <w:rsid w:val="006B2504"/>
    <w:rsid w:val="006B2577"/>
    <w:rsid w:val="006B25D6"/>
    <w:rsid w:val="006B25E3"/>
    <w:rsid w:val="006B25F0"/>
    <w:rsid w:val="006B2635"/>
    <w:rsid w:val="006B26BF"/>
    <w:rsid w:val="006B26DB"/>
    <w:rsid w:val="006B26E7"/>
    <w:rsid w:val="006B26EB"/>
    <w:rsid w:val="006B2701"/>
    <w:rsid w:val="006B2749"/>
    <w:rsid w:val="006B2781"/>
    <w:rsid w:val="006B2788"/>
    <w:rsid w:val="006B2789"/>
    <w:rsid w:val="006B284B"/>
    <w:rsid w:val="006B2862"/>
    <w:rsid w:val="006B2893"/>
    <w:rsid w:val="006B289A"/>
    <w:rsid w:val="006B28C6"/>
    <w:rsid w:val="006B2939"/>
    <w:rsid w:val="006B2969"/>
    <w:rsid w:val="006B29E8"/>
    <w:rsid w:val="006B2AAF"/>
    <w:rsid w:val="006B2AD8"/>
    <w:rsid w:val="006B2B02"/>
    <w:rsid w:val="006B2B2D"/>
    <w:rsid w:val="006B2B4A"/>
    <w:rsid w:val="006B2B7E"/>
    <w:rsid w:val="006B2B8A"/>
    <w:rsid w:val="006B2C31"/>
    <w:rsid w:val="006B2C5D"/>
    <w:rsid w:val="006B2C96"/>
    <w:rsid w:val="006B2CDB"/>
    <w:rsid w:val="006B2CF6"/>
    <w:rsid w:val="006B2CF9"/>
    <w:rsid w:val="006B2D18"/>
    <w:rsid w:val="006B2D1D"/>
    <w:rsid w:val="006B2D2D"/>
    <w:rsid w:val="006B2D30"/>
    <w:rsid w:val="006B2D76"/>
    <w:rsid w:val="006B2DA6"/>
    <w:rsid w:val="006B2DA8"/>
    <w:rsid w:val="006B2DD5"/>
    <w:rsid w:val="006B2E27"/>
    <w:rsid w:val="006B2E37"/>
    <w:rsid w:val="006B2E3B"/>
    <w:rsid w:val="006B2EA3"/>
    <w:rsid w:val="006B2EF6"/>
    <w:rsid w:val="006B2F48"/>
    <w:rsid w:val="006B2F63"/>
    <w:rsid w:val="006B2F71"/>
    <w:rsid w:val="006B2F9B"/>
    <w:rsid w:val="006B2FBC"/>
    <w:rsid w:val="006B2FDE"/>
    <w:rsid w:val="006B301B"/>
    <w:rsid w:val="006B302E"/>
    <w:rsid w:val="006B303E"/>
    <w:rsid w:val="006B30BA"/>
    <w:rsid w:val="006B30C2"/>
    <w:rsid w:val="006B30F2"/>
    <w:rsid w:val="006B310F"/>
    <w:rsid w:val="006B3121"/>
    <w:rsid w:val="006B3164"/>
    <w:rsid w:val="006B31A8"/>
    <w:rsid w:val="006B31E7"/>
    <w:rsid w:val="006B3204"/>
    <w:rsid w:val="006B3210"/>
    <w:rsid w:val="006B3236"/>
    <w:rsid w:val="006B3260"/>
    <w:rsid w:val="006B3271"/>
    <w:rsid w:val="006B3285"/>
    <w:rsid w:val="006B32AF"/>
    <w:rsid w:val="006B32BB"/>
    <w:rsid w:val="006B32E4"/>
    <w:rsid w:val="006B32EA"/>
    <w:rsid w:val="006B3307"/>
    <w:rsid w:val="006B330C"/>
    <w:rsid w:val="006B332D"/>
    <w:rsid w:val="006B33B6"/>
    <w:rsid w:val="006B33C1"/>
    <w:rsid w:val="006B340C"/>
    <w:rsid w:val="006B3524"/>
    <w:rsid w:val="006B3599"/>
    <w:rsid w:val="006B35A2"/>
    <w:rsid w:val="006B35A9"/>
    <w:rsid w:val="006B35AD"/>
    <w:rsid w:val="006B35F0"/>
    <w:rsid w:val="006B363D"/>
    <w:rsid w:val="006B364A"/>
    <w:rsid w:val="006B3664"/>
    <w:rsid w:val="006B36A7"/>
    <w:rsid w:val="006B36B6"/>
    <w:rsid w:val="006B36C5"/>
    <w:rsid w:val="006B36D2"/>
    <w:rsid w:val="006B374E"/>
    <w:rsid w:val="006B3771"/>
    <w:rsid w:val="006B378F"/>
    <w:rsid w:val="006B37AD"/>
    <w:rsid w:val="006B37DC"/>
    <w:rsid w:val="006B37EB"/>
    <w:rsid w:val="006B384F"/>
    <w:rsid w:val="006B386D"/>
    <w:rsid w:val="006B388B"/>
    <w:rsid w:val="006B38C8"/>
    <w:rsid w:val="006B38EC"/>
    <w:rsid w:val="006B38FC"/>
    <w:rsid w:val="006B391F"/>
    <w:rsid w:val="006B3944"/>
    <w:rsid w:val="006B3957"/>
    <w:rsid w:val="006B3960"/>
    <w:rsid w:val="006B3987"/>
    <w:rsid w:val="006B39A8"/>
    <w:rsid w:val="006B39F3"/>
    <w:rsid w:val="006B3A02"/>
    <w:rsid w:val="006B3A35"/>
    <w:rsid w:val="006B3A43"/>
    <w:rsid w:val="006B3AA0"/>
    <w:rsid w:val="006B3AAA"/>
    <w:rsid w:val="006B3B47"/>
    <w:rsid w:val="006B3B4C"/>
    <w:rsid w:val="006B3B65"/>
    <w:rsid w:val="006B3B74"/>
    <w:rsid w:val="006B3B84"/>
    <w:rsid w:val="006B3BD2"/>
    <w:rsid w:val="006B3BF0"/>
    <w:rsid w:val="006B3C1C"/>
    <w:rsid w:val="006B3C57"/>
    <w:rsid w:val="006B3C8B"/>
    <w:rsid w:val="006B3CDC"/>
    <w:rsid w:val="006B3D88"/>
    <w:rsid w:val="006B3DAB"/>
    <w:rsid w:val="006B3DB6"/>
    <w:rsid w:val="006B3DBF"/>
    <w:rsid w:val="006B3DCA"/>
    <w:rsid w:val="006B3DD2"/>
    <w:rsid w:val="006B3E28"/>
    <w:rsid w:val="006B3E3B"/>
    <w:rsid w:val="006B3E8D"/>
    <w:rsid w:val="006B3E9D"/>
    <w:rsid w:val="006B3ECA"/>
    <w:rsid w:val="006B3EE9"/>
    <w:rsid w:val="006B3EEB"/>
    <w:rsid w:val="006B3EFE"/>
    <w:rsid w:val="006B3F4E"/>
    <w:rsid w:val="006B3F90"/>
    <w:rsid w:val="006B3FF6"/>
    <w:rsid w:val="006B3FFB"/>
    <w:rsid w:val="006B4024"/>
    <w:rsid w:val="006B402E"/>
    <w:rsid w:val="006B4082"/>
    <w:rsid w:val="006B40FA"/>
    <w:rsid w:val="006B411E"/>
    <w:rsid w:val="006B4147"/>
    <w:rsid w:val="006B415C"/>
    <w:rsid w:val="006B4170"/>
    <w:rsid w:val="006B417F"/>
    <w:rsid w:val="006B4184"/>
    <w:rsid w:val="006B418B"/>
    <w:rsid w:val="006B41FE"/>
    <w:rsid w:val="006B4203"/>
    <w:rsid w:val="006B4233"/>
    <w:rsid w:val="006B4246"/>
    <w:rsid w:val="006B42AA"/>
    <w:rsid w:val="006B42BC"/>
    <w:rsid w:val="006B42BF"/>
    <w:rsid w:val="006B42DC"/>
    <w:rsid w:val="006B4315"/>
    <w:rsid w:val="006B4442"/>
    <w:rsid w:val="006B444C"/>
    <w:rsid w:val="006B446F"/>
    <w:rsid w:val="006B448F"/>
    <w:rsid w:val="006B44C3"/>
    <w:rsid w:val="006B44D8"/>
    <w:rsid w:val="006B4577"/>
    <w:rsid w:val="006B462B"/>
    <w:rsid w:val="006B4673"/>
    <w:rsid w:val="006B4685"/>
    <w:rsid w:val="006B4698"/>
    <w:rsid w:val="006B46D4"/>
    <w:rsid w:val="006B46F4"/>
    <w:rsid w:val="006B4724"/>
    <w:rsid w:val="006B4726"/>
    <w:rsid w:val="006B474D"/>
    <w:rsid w:val="006B476D"/>
    <w:rsid w:val="006B4775"/>
    <w:rsid w:val="006B47C3"/>
    <w:rsid w:val="006B47DA"/>
    <w:rsid w:val="006B47E2"/>
    <w:rsid w:val="006B47EB"/>
    <w:rsid w:val="006B4826"/>
    <w:rsid w:val="006B484E"/>
    <w:rsid w:val="006B48C3"/>
    <w:rsid w:val="006B48F5"/>
    <w:rsid w:val="006B4917"/>
    <w:rsid w:val="006B4926"/>
    <w:rsid w:val="006B4943"/>
    <w:rsid w:val="006B4965"/>
    <w:rsid w:val="006B49FE"/>
    <w:rsid w:val="006B4A17"/>
    <w:rsid w:val="006B4A42"/>
    <w:rsid w:val="006B4B3B"/>
    <w:rsid w:val="006B4B82"/>
    <w:rsid w:val="006B4BA2"/>
    <w:rsid w:val="006B4BDD"/>
    <w:rsid w:val="006B4BFA"/>
    <w:rsid w:val="006B4C02"/>
    <w:rsid w:val="006B4D25"/>
    <w:rsid w:val="006B4DBC"/>
    <w:rsid w:val="006B4E6C"/>
    <w:rsid w:val="006B4ED0"/>
    <w:rsid w:val="006B4EF1"/>
    <w:rsid w:val="006B4F0C"/>
    <w:rsid w:val="006B4F56"/>
    <w:rsid w:val="006B4F6B"/>
    <w:rsid w:val="006B4FDA"/>
    <w:rsid w:val="006B5031"/>
    <w:rsid w:val="006B504D"/>
    <w:rsid w:val="006B5067"/>
    <w:rsid w:val="006B50DD"/>
    <w:rsid w:val="006B50F6"/>
    <w:rsid w:val="006B518C"/>
    <w:rsid w:val="006B51BD"/>
    <w:rsid w:val="006B51E8"/>
    <w:rsid w:val="006B52B5"/>
    <w:rsid w:val="006B52CF"/>
    <w:rsid w:val="006B52F8"/>
    <w:rsid w:val="006B52FD"/>
    <w:rsid w:val="006B5332"/>
    <w:rsid w:val="006B5347"/>
    <w:rsid w:val="006B535C"/>
    <w:rsid w:val="006B537F"/>
    <w:rsid w:val="006B5384"/>
    <w:rsid w:val="006B538E"/>
    <w:rsid w:val="006B53DD"/>
    <w:rsid w:val="006B5406"/>
    <w:rsid w:val="006B5455"/>
    <w:rsid w:val="006B545E"/>
    <w:rsid w:val="006B5477"/>
    <w:rsid w:val="006B54C3"/>
    <w:rsid w:val="006B54C6"/>
    <w:rsid w:val="006B54D0"/>
    <w:rsid w:val="006B5529"/>
    <w:rsid w:val="006B5552"/>
    <w:rsid w:val="006B5567"/>
    <w:rsid w:val="006B5568"/>
    <w:rsid w:val="006B559A"/>
    <w:rsid w:val="006B55A6"/>
    <w:rsid w:val="006B5616"/>
    <w:rsid w:val="006B5621"/>
    <w:rsid w:val="006B563A"/>
    <w:rsid w:val="006B56BC"/>
    <w:rsid w:val="006B56C4"/>
    <w:rsid w:val="006B5723"/>
    <w:rsid w:val="006B5759"/>
    <w:rsid w:val="006B5778"/>
    <w:rsid w:val="006B5786"/>
    <w:rsid w:val="006B57B5"/>
    <w:rsid w:val="006B57DF"/>
    <w:rsid w:val="006B583E"/>
    <w:rsid w:val="006B5846"/>
    <w:rsid w:val="006B5874"/>
    <w:rsid w:val="006B5895"/>
    <w:rsid w:val="006B58AF"/>
    <w:rsid w:val="006B5953"/>
    <w:rsid w:val="006B5956"/>
    <w:rsid w:val="006B5957"/>
    <w:rsid w:val="006B5992"/>
    <w:rsid w:val="006B59D8"/>
    <w:rsid w:val="006B59ED"/>
    <w:rsid w:val="006B5A37"/>
    <w:rsid w:val="006B5B2A"/>
    <w:rsid w:val="006B5B43"/>
    <w:rsid w:val="006B5B5D"/>
    <w:rsid w:val="006B5BBC"/>
    <w:rsid w:val="006B5BD6"/>
    <w:rsid w:val="006B5BF8"/>
    <w:rsid w:val="006B5C39"/>
    <w:rsid w:val="006B5C72"/>
    <w:rsid w:val="006B5CC6"/>
    <w:rsid w:val="006B5CDA"/>
    <w:rsid w:val="006B5D1B"/>
    <w:rsid w:val="006B5D2C"/>
    <w:rsid w:val="006B5D48"/>
    <w:rsid w:val="006B5D58"/>
    <w:rsid w:val="006B5D97"/>
    <w:rsid w:val="006B5D9F"/>
    <w:rsid w:val="006B5DB6"/>
    <w:rsid w:val="006B5DD0"/>
    <w:rsid w:val="006B5DE7"/>
    <w:rsid w:val="006B5E0F"/>
    <w:rsid w:val="006B5E27"/>
    <w:rsid w:val="006B5E53"/>
    <w:rsid w:val="006B5EBB"/>
    <w:rsid w:val="006B5F1C"/>
    <w:rsid w:val="006B5F57"/>
    <w:rsid w:val="006B5FBA"/>
    <w:rsid w:val="006B6001"/>
    <w:rsid w:val="006B6009"/>
    <w:rsid w:val="006B6013"/>
    <w:rsid w:val="006B6027"/>
    <w:rsid w:val="006B603A"/>
    <w:rsid w:val="006B6058"/>
    <w:rsid w:val="006B60E3"/>
    <w:rsid w:val="006B6135"/>
    <w:rsid w:val="006B6136"/>
    <w:rsid w:val="006B6149"/>
    <w:rsid w:val="006B6178"/>
    <w:rsid w:val="006B619D"/>
    <w:rsid w:val="006B61A8"/>
    <w:rsid w:val="006B61AC"/>
    <w:rsid w:val="006B61CE"/>
    <w:rsid w:val="006B61DC"/>
    <w:rsid w:val="006B61F0"/>
    <w:rsid w:val="006B621C"/>
    <w:rsid w:val="006B625E"/>
    <w:rsid w:val="006B6260"/>
    <w:rsid w:val="006B6266"/>
    <w:rsid w:val="006B62D4"/>
    <w:rsid w:val="006B62DD"/>
    <w:rsid w:val="006B62E2"/>
    <w:rsid w:val="006B6326"/>
    <w:rsid w:val="006B63A9"/>
    <w:rsid w:val="006B63BA"/>
    <w:rsid w:val="006B63EF"/>
    <w:rsid w:val="006B64C0"/>
    <w:rsid w:val="006B64C3"/>
    <w:rsid w:val="006B64EC"/>
    <w:rsid w:val="006B654F"/>
    <w:rsid w:val="006B655A"/>
    <w:rsid w:val="006B65BC"/>
    <w:rsid w:val="006B65E3"/>
    <w:rsid w:val="006B6680"/>
    <w:rsid w:val="006B6684"/>
    <w:rsid w:val="006B6694"/>
    <w:rsid w:val="006B66B8"/>
    <w:rsid w:val="006B6709"/>
    <w:rsid w:val="006B670E"/>
    <w:rsid w:val="006B671D"/>
    <w:rsid w:val="006B6739"/>
    <w:rsid w:val="006B6740"/>
    <w:rsid w:val="006B6787"/>
    <w:rsid w:val="006B6836"/>
    <w:rsid w:val="006B683E"/>
    <w:rsid w:val="006B68C0"/>
    <w:rsid w:val="006B68F7"/>
    <w:rsid w:val="006B693B"/>
    <w:rsid w:val="006B693E"/>
    <w:rsid w:val="006B6974"/>
    <w:rsid w:val="006B6985"/>
    <w:rsid w:val="006B69D1"/>
    <w:rsid w:val="006B69DA"/>
    <w:rsid w:val="006B69E9"/>
    <w:rsid w:val="006B69EE"/>
    <w:rsid w:val="006B6A0C"/>
    <w:rsid w:val="006B6A3F"/>
    <w:rsid w:val="006B6A41"/>
    <w:rsid w:val="006B6A43"/>
    <w:rsid w:val="006B6A4D"/>
    <w:rsid w:val="006B6A60"/>
    <w:rsid w:val="006B6AAA"/>
    <w:rsid w:val="006B6AFD"/>
    <w:rsid w:val="006B6B26"/>
    <w:rsid w:val="006B6B36"/>
    <w:rsid w:val="006B6B40"/>
    <w:rsid w:val="006B6B68"/>
    <w:rsid w:val="006B6BBB"/>
    <w:rsid w:val="006B6C3A"/>
    <w:rsid w:val="006B6C4B"/>
    <w:rsid w:val="006B6C77"/>
    <w:rsid w:val="006B6CAB"/>
    <w:rsid w:val="006B6CCF"/>
    <w:rsid w:val="006B6CFB"/>
    <w:rsid w:val="006B6D07"/>
    <w:rsid w:val="006B6D0D"/>
    <w:rsid w:val="006B6D74"/>
    <w:rsid w:val="006B6DC8"/>
    <w:rsid w:val="006B6DEA"/>
    <w:rsid w:val="006B6E0C"/>
    <w:rsid w:val="006B6E1B"/>
    <w:rsid w:val="006B6E77"/>
    <w:rsid w:val="006B6EC6"/>
    <w:rsid w:val="006B6F05"/>
    <w:rsid w:val="006B6F60"/>
    <w:rsid w:val="006B6FBC"/>
    <w:rsid w:val="006B6FCF"/>
    <w:rsid w:val="006B6FE2"/>
    <w:rsid w:val="006B7012"/>
    <w:rsid w:val="006B7066"/>
    <w:rsid w:val="006B7086"/>
    <w:rsid w:val="006B708D"/>
    <w:rsid w:val="006B70A6"/>
    <w:rsid w:val="006B70AE"/>
    <w:rsid w:val="006B70E7"/>
    <w:rsid w:val="006B70FB"/>
    <w:rsid w:val="006B7139"/>
    <w:rsid w:val="006B7190"/>
    <w:rsid w:val="006B71CB"/>
    <w:rsid w:val="006B71D0"/>
    <w:rsid w:val="006B71D1"/>
    <w:rsid w:val="006B71D3"/>
    <w:rsid w:val="006B71D6"/>
    <w:rsid w:val="006B71EC"/>
    <w:rsid w:val="006B7206"/>
    <w:rsid w:val="006B7303"/>
    <w:rsid w:val="006B73A2"/>
    <w:rsid w:val="006B73D2"/>
    <w:rsid w:val="006B73F9"/>
    <w:rsid w:val="006B74FD"/>
    <w:rsid w:val="006B750F"/>
    <w:rsid w:val="006B75C8"/>
    <w:rsid w:val="006B75CA"/>
    <w:rsid w:val="006B7641"/>
    <w:rsid w:val="006B765E"/>
    <w:rsid w:val="006B7660"/>
    <w:rsid w:val="006B7678"/>
    <w:rsid w:val="006B76CC"/>
    <w:rsid w:val="006B7722"/>
    <w:rsid w:val="006B7730"/>
    <w:rsid w:val="006B775D"/>
    <w:rsid w:val="006B775F"/>
    <w:rsid w:val="006B778A"/>
    <w:rsid w:val="006B77F8"/>
    <w:rsid w:val="006B783C"/>
    <w:rsid w:val="006B7875"/>
    <w:rsid w:val="006B7883"/>
    <w:rsid w:val="006B78B1"/>
    <w:rsid w:val="006B78C5"/>
    <w:rsid w:val="006B7904"/>
    <w:rsid w:val="006B7924"/>
    <w:rsid w:val="006B7936"/>
    <w:rsid w:val="006B7967"/>
    <w:rsid w:val="006B79C4"/>
    <w:rsid w:val="006B79CD"/>
    <w:rsid w:val="006B7A54"/>
    <w:rsid w:val="006B7A6C"/>
    <w:rsid w:val="006B7A93"/>
    <w:rsid w:val="006B7A9D"/>
    <w:rsid w:val="006B7B3E"/>
    <w:rsid w:val="006B7B68"/>
    <w:rsid w:val="006B7B8A"/>
    <w:rsid w:val="006B7BAF"/>
    <w:rsid w:val="006B7BB5"/>
    <w:rsid w:val="006B7BD3"/>
    <w:rsid w:val="006B7BF2"/>
    <w:rsid w:val="006B7C19"/>
    <w:rsid w:val="006B7C3E"/>
    <w:rsid w:val="006B7C92"/>
    <w:rsid w:val="006B7C95"/>
    <w:rsid w:val="006B7CB0"/>
    <w:rsid w:val="006B7CFA"/>
    <w:rsid w:val="006B7D31"/>
    <w:rsid w:val="006B7D5E"/>
    <w:rsid w:val="006B7D7C"/>
    <w:rsid w:val="006B7D88"/>
    <w:rsid w:val="006B7DA1"/>
    <w:rsid w:val="006B7E02"/>
    <w:rsid w:val="006B7E58"/>
    <w:rsid w:val="006B7E67"/>
    <w:rsid w:val="006B7EBF"/>
    <w:rsid w:val="006B7EDA"/>
    <w:rsid w:val="006B7F16"/>
    <w:rsid w:val="006B7F4D"/>
    <w:rsid w:val="006B7F79"/>
    <w:rsid w:val="006B7F7C"/>
    <w:rsid w:val="006B7FE9"/>
    <w:rsid w:val="006B7FF7"/>
    <w:rsid w:val="006BCBF2"/>
    <w:rsid w:val="006C0070"/>
    <w:rsid w:val="006C0084"/>
    <w:rsid w:val="006C00A4"/>
    <w:rsid w:val="006C00ED"/>
    <w:rsid w:val="006C01CC"/>
    <w:rsid w:val="006C01FC"/>
    <w:rsid w:val="006C0237"/>
    <w:rsid w:val="006C0254"/>
    <w:rsid w:val="006C02EC"/>
    <w:rsid w:val="006C02EF"/>
    <w:rsid w:val="006C0383"/>
    <w:rsid w:val="006C0384"/>
    <w:rsid w:val="006C03BB"/>
    <w:rsid w:val="006C03BE"/>
    <w:rsid w:val="006C03FF"/>
    <w:rsid w:val="006C0408"/>
    <w:rsid w:val="006C0414"/>
    <w:rsid w:val="006C0422"/>
    <w:rsid w:val="006C0454"/>
    <w:rsid w:val="006C04D5"/>
    <w:rsid w:val="006C0547"/>
    <w:rsid w:val="006C0587"/>
    <w:rsid w:val="006C05A2"/>
    <w:rsid w:val="006C062F"/>
    <w:rsid w:val="006C0632"/>
    <w:rsid w:val="006C0656"/>
    <w:rsid w:val="006C06D3"/>
    <w:rsid w:val="006C070F"/>
    <w:rsid w:val="006C0724"/>
    <w:rsid w:val="006C0737"/>
    <w:rsid w:val="006C0788"/>
    <w:rsid w:val="006C0796"/>
    <w:rsid w:val="006C07A4"/>
    <w:rsid w:val="006C07CA"/>
    <w:rsid w:val="006C083C"/>
    <w:rsid w:val="006C083D"/>
    <w:rsid w:val="006C089F"/>
    <w:rsid w:val="006C08D5"/>
    <w:rsid w:val="006C096D"/>
    <w:rsid w:val="006C09A5"/>
    <w:rsid w:val="006C09A9"/>
    <w:rsid w:val="006C09B4"/>
    <w:rsid w:val="006C09B7"/>
    <w:rsid w:val="006C09CF"/>
    <w:rsid w:val="006C09D4"/>
    <w:rsid w:val="006C0A11"/>
    <w:rsid w:val="006C0A64"/>
    <w:rsid w:val="006C0A98"/>
    <w:rsid w:val="006C0AC3"/>
    <w:rsid w:val="006C0AEF"/>
    <w:rsid w:val="006C0AF4"/>
    <w:rsid w:val="006C0AFF"/>
    <w:rsid w:val="006C0B10"/>
    <w:rsid w:val="006C0B2D"/>
    <w:rsid w:val="006C0B35"/>
    <w:rsid w:val="006C0BD8"/>
    <w:rsid w:val="006C0C32"/>
    <w:rsid w:val="006C0C9C"/>
    <w:rsid w:val="006C0CE1"/>
    <w:rsid w:val="006C0CF4"/>
    <w:rsid w:val="006C0D34"/>
    <w:rsid w:val="006C0D5F"/>
    <w:rsid w:val="006C0D6C"/>
    <w:rsid w:val="006C0D79"/>
    <w:rsid w:val="006C0E12"/>
    <w:rsid w:val="006C0E5F"/>
    <w:rsid w:val="006C0EA1"/>
    <w:rsid w:val="006C0EEB"/>
    <w:rsid w:val="006C0EEF"/>
    <w:rsid w:val="006C0EF6"/>
    <w:rsid w:val="006C0FB4"/>
    <w:rsid w:val="006C0FC4"/>
    <w:rsid w:val="006C0FCD"/>
    <w:rsid w:val="006C0FD4"/>
    <w:rsid w:val="006C0FFF"/>
    <w:rsid w:val="006C1008"/>
    <w:rsid w:val="006C1035"/>
    <w:rsid w:val="006C103D"/>
    <w:rsid w:val="006C104D"/>
    <w:rsid w:val="006C104E"/>
    <w:rsid w:val="006C105B"/>
    <w:rsid w:val="006C1082"/>
    <w:rsid w:val="006C1086"/>
    <w:rsid w:val="006C10A0"/>
    <w:rsid w:val="006C10FC"/>
    <w:rsid w:val="006C112D"/>
    <w:rsid w:val="006C1153"/>
    <w:rsid w:val="006C11C8"/>
    <w:rsid w:val="006C11E0"/>
    <w:rsid w:val="006C1206"/>
    <w:rsid w:val="006C1251"/>
    <w:rsid w:val="006C127E"/>
    <w:rsid w:val="006C12BB"/>
    <w:rsid w:val="006C12BD"/>
    <w:rsid w:val="006C12CE"/>
    <w:rsid w:val="006C12D9"/>
    <w:rsid w:val="006C12E8"/>
    <w:rsid w:val="006C12F2"/>
    <w:rsid w:val="006C1306"/>
    <w:rsid w:val="006C1339"/>
    <w:rsid w:val="006C133E"/>
    <w:rsid w:val="006C134C"/>
    <w:rsid w:val="006C134F"/>
    <w:rsid w:val="006C137E"/>
    <w:rsid w:val="006C1397"/>
    <w:rsid w:val="006C1398"/>
    <w:rsid w:val="006C13F1"/>
    <w:rsid w:val="006C141D"/>
    <w:rsid w:val="006C149C"/>
    <w:rsid w:val="006C14BA"/>
    <w:rsid w:val="006C14FB"/>
    <w:rsid w:val="006C151A"/>
    <w:rsid w:val="006C157C"/>
    <w:rsid w:val="006C1590"/>
    <w:rsid w:val="006C15F7"/>
    <w:rsid w:val="006C165F"/>
    <w:rsid w:val="006C167D"/>
    <w:rsid w:val="006C1680"/>
    <w:rsid w:val="006C16E6"/>
    <w:rsid w:val="006C1744"/>
    <w:rsid w:val="006C175F"/>
    <w:rsid w:val="006C1766"/>
    <w:rsid w:val="006C1792"/>
    <w:rsid w:val="006C1816"/>
    <w:rsid w:val="006C1839"/>
    <w:rsid w:val="006C1881"/>
    <w:rsid w:val="006C188C"/>
    <w:rsid w:val="006C18D6"/>
    <w:rsid w:val="006C18DB"/>
    <w:rsid w:val="006C18FE"/>
    <w:rsid w:val="006C1903"/>
    <w:rsid w:val="006C1955"/>
    <w:rsid w:val="006C195D"/>
    <w:rsid w:val="006C1960"/>
    <w:rsid w:val="006C1962"/>
    <w:rsid w:val="006C1984"/>
    <w:rsid w:val="006C19A2"/>
    <w:rsid w:val="006C19C6"/>
    <w:rsid w:val="006C1A15"/>
    <w:rsid w:val="006C1A23"/>
    <w:rsid w:val="006C1A27"/>
    <w:rsid w:val="006C1A6D"/>
    <w:rsid w:val="006C1A98"/>
    <w:rsid w:val="006C1AB1"/>
    <w:rsid w:val="006C1ACA"/>
    <w:rsid w:val="006C1B3D"/>
    <w:rsid w:val="006C1B55"/>
    <w:rsid w:val="006C1B58"/>
    <w:rsid w:val="006C1B5B"/>
    <w:rsid w:val="006C1B97"/>
    <w:rsid w:val="006C1BA7"/>
    <w:rsid w:val="006C1BE9"/>
    <w:rsid w:val="006C1BF9"/>
    <w:rsid w:val="006C1C16"/>
    <w:rsid w:val="006C1C2F"/>
    <w:rsid w:val="006C1C9B"/>
    <w:rsid w:val="006C1CE6"/>
    <w:rsid w:val="006C1CE7"/>
    <w:rsid w:val="006C1D02"/>
    <w:rsid w:val="006C1D3C"/>
    <w:rsid w:val="006C1D44"/>
    <w:rsid w:val="006C1D49"/>
    <w:rsid w:val="006C1DD9"/>
    <w:rsid w:val="006C1E08"/>
    <w:rsid w:val="006C1E0B"/>
    <w:rsid w:val="006C1E22"/>
    <w:rsid w:val="006C1E44"/>
    <w:rsid w:val="006C1E4B"/>
    <w:rsid w:val="006C1E8C"/>
    <w:rsid w:val="006C1E8E"/>
    <w:rsid w:val="006C1E91"/>
    <w:rsid w:val="006C1EF7"/>
    <w:rsid w:val="006C1F03"/>
    <w:rsid w:val="006C1F04"/>
    <w:rsid w:val="006C1F12"/>
    <w:rsid w:val="006C1F40"/>
    <w:rsid w:val="006C1F7F"/>
    <w:rsid w:val="006C1FE1"/>
    <w:rsid w:val="006C2051"/>
    <w:rsid w:val="006C208A"/>
    <w:rsid w:val="006C2108"/>
    <w:rsid w:val="006C2129"/>
    <w:rsid w:val="006C216D"/>
    <w:rsid w:val="006C21B2"/>
    <w:rsid w:val="006C224E"/>
    <w:rsid w:val="006C226F"/>
    <w:rsid w:val="006C2289"/>
    <w:rsid w:val="006C22AE"/>
    <w:rsid w:val="006C22B2"/>
    <w:rsid w:val="006C22D4"/>
    <w:rsid w:val="006C2301"/>
    <w:rsid w:val="006C2331"/>
    <w:rsid w:val="006C235C"/>
    <w:rsid w:val="006C236C"/>
    <w:rsid w:val="006C238A"/>
    <w:rsid w:val="006C2437"/>
    <w:rsid w:val="006C247A"/>
    <w:rsid w:val="006C249C"/>
    <w:rsid w:val="006C249E"/>
    <w:rsid w:val="006C24AB"/>
    <w:rsid w:val="006C24D4"/>
    <w:rsid w:val="006C24ED"/>
    <w:rsid w:val="006C251D"/>
    <w:rsid w:val="006C257F"/>
    <w:rsid w:val="006C25B0"/>
    <w:rsid w:val="006C264C"/>
    <w:rsid w:val="006C264F"/>
    <w:rsid w:val="006C265A"/>
    <w:rsid w:val="006C2660"/>
    <w:rsid w:val="006C2683"/>
    <w:rsid w:val="006C26D3"/>
    <w:rsid w:val="006C26ED"/>
    <w:rsid w:val="006C2712"/>
    <w:rsid w:val="006C2770"/>
    <w:rsid w:val="006C2771"/>
    <w:rsid w:val="006C27A1"/>
    <w:rsid w:val="006C27CE"/>
    <w:rsid w:val="006C280A"/>
    <w:rsid w:val="006C2840"/>
    <w:rsid w:val="006C2848"/>
    <w:rsid w:val="006C2851"/>
    <w:rsid w:val="006C2893"/>
    <w:rsid w:val="006C289F"/>
    <w:rsid w:val="006C28F6"/>
    <w:rsid w:val="006C2901"/>
    <w:rsid w:val="006C2960"/>
    <w:rsid w:val="006C2989"/>
    <w:rsid w:val="006C29B6"/>
    <w:rsid w:val="006C29CB"/>
    <w:rsid w:val="006C2A17"/>
    <w:rsid w:val="006C2A36"/>
    <w:rsid w:val="006C2A3B"/>
    <w:rsid w:val="006C2A53"/>
    <w:rsid w:val="006C2A5C"/>
    <w:rsid w:val="006C2A6A"/>
    <w:rsid w:val="006C2A97"/>
    <w:rsid w:val="006C2B0C"/>
    <w:rsid w:val="006C2B93"/>
    <w:rsid w:val="006C2B96"/>
    <w:rsid w:val="006C2BC5"/>
    <w:rsid w:val="006C2BCE"/>
    <w:rsid w:val="006C2C1D"/>
    <w:rsid w:val="006C2C84"/>
    <w:rsid w:val="006C2C98"/>
    <w:rsid w:val="006C2CD6"/>
    <w:rsid w:val="006C2CE7"/>
    <w:rsid w:val="006C2CF9"/>
    <w:rsid w:val="006C2D3C"/>
    <w:rsid w:val="006C2D4B"/>
    <w:rsid w:val="006C2D98"/>
    <w:rsid w:val="006C2DB5"/>
    <w:rsid w:val="006C2E09"/>
    <w:rsid w:val="006C2E33"/>
    <w:rsid w:val="006C2E63"/>
    <w:rsid w:val="006C2E81"/>
    <w:rsid w:val="006C2EB9"/>
    <w:rsid w:val="006C2EC6"/>
    <w:rsid w:val="006C2ECC"/>
    <w:rsid w:val="006C2EE8"/>
    <w:rsid w:val="006C2F31"/>
    <w:rsid w:val="006C2F65"/>
    <w:rsid w:val="006C2F8A"/>
    <w:rsid w:val="006C2FAE"/>
    <w:rsid w:val="006C3002"/>
    <w:rsid w:val="006C3017"/>
    <w:rsid w:val="006C3031"/>
    <w:rsid w:val="006C3049"/>
    <w:rsid w:val="006C3093"/>
    <w:rsid w:val="006C30BA"/>
    <w:rsid w:val="006C3116"/>
    <w:rsid w:val="006C3146"/>
    <w:rsid w:val="006C314B"/>
    <w:rsid w:val="006C3157"/>
    <w:rsid w:val="006C3191"/>
    <w:rsid w:val="006C31DF"/>
    <w:rsid w:val="006C31FC"/>
    <w:rsid w:val="006C3209"/>
    <w:rsid w:val="006C3217"/>
    <w:rsid w:val="006C326E"/>
    <w:rsid w:val="006C32CD"/>
    <w:rsid w:val="006C32DE"/>
    <w:rsid w:val="006C331B"/>
    <w:rsid w:val="006C3371"/>
    <w:rsid w:val="006C33A1"/>
    <w:rsid w:val="006C33CC"/>
    <w:rsid w:val="006C3430"/>
    <w:rsid w:val="006C348F"/>
    <w:rsid w:val="006C34BF"/>
    <w:rsid w:val="006C3558"/>
    <w:rsid w:val="006C356F"/>
    <w:rsid w:val="006C3578"/>
    <w:rsid w:val="006C357C"/>
    <w:rsid w:val="006C3582"/>
    <w:rsid w:val="006C35B0"/>
    <w:rsid w:val="006C35CA"/>
    <w:rsid w:val="006C365B"/>
    <w:rsid w:val="006C36A0"/>
    <w:rsid w:val="006C36AA"/>
    <w:rsid w:val="006C36B7"/>
    <w:rsid w:val="006C36CE"/>
    <w:rsid w:val="006C372A"/>
    <w:rsid w:val="006C37C3"/>
    <w:rsid w:val="006C3807"/>
    <w:rsid w:val="006C3856"/>
    <w:rsid w:val="006C388C"/>
    <w:rsid w:val="006C38A3"/>
    <w:rsid w:val="006C38C0"/>
    <w:rsid w:val="006C390F"/>
    <w:rsid w:val="006C3916"/>
    <w:rsid w:val="006C393F"/>
    <w:rsid w:val="006C3949"/>
    <w:rsid w:val="006C395D"/>
    <w:rsid w:val="006C3977"/>
    <w:rsid w:val="006C397D"/>
    <w:rsid w:val="006C397F"/>
    <w:rsid w:val="006C398C"/>
    <w:rsid w:val="006C39BB"/>
    <w:rsid w:val="006C39C8"/>
    <w:rsid w:val="006C3A2D"/>
    <w:rsid w:val="006C3A3A"/>
    <w:rsid w:val="006C3A74"/>
    <w:rsid w:val="006C3A99"/>
    <w:rsid w:val="006C3AD3"/>
    <w:rsid w:val="006C3B54"/>
    <w:rsid w:val="006C3B68"/>
    <w:rsid w:val="006C3B7E"/>
    <w:rsid w:val="006C3BA5"/>
    <w:rsid w:val="006C3BDC"/>
    <w:rsid w:val="006C3C0D"/>
    <w:rsid w:val="006C3C93"/>
    <w:rsid w:val="006C3C99"/>
    <w:rsid w:val="006C3CA3"/>
    <w:rsid w:val="006C3CB1"/>
    <w:rsid w:val="006C3CCF"/>
    <w:rsid w:val="006C3D64"/>
    <w:rsid w:val="006C3D87"/>
    <w:rsid w:val="006C3D8C"/>
    <w:rsid w:val="006C3DA1"/>
    <w:rsid w:val="006C3DF0"/>
    <w:rsid w:val="006C3E26"/>
    <w:rsid w:val="006C3E32"/>
    <w:rsid w:val="006C3E41"/>
    <w:rsid w:val="006C3E9D"/>
    <w:rsid w:val="006C3EBF"/>
    <w:rsid w:val="006C3F1E"/>
    <w:rsid w:val="006C3F29"/>
    <w:rsid w:val="006C3F3E"/>
    <w:rsid w:val="006C3F53"/>
    <w:rsid w:val="006C3FDF"/>
    <w:rsid w:val="006C4048"/>
    <w:rsid w:val="006C4082"/>
    <w:rsid w:val="006C40D4"/>
    <w:rsid w:val="006C40EA"/>
    <w:rsid w:val="006C40EB"/>
    <w:rsid w:val="006C412A"/>
    <w:rsid w:val="006C412B"/>
    <w:rsid w:val="006C4184"/>
    <w:rsid w:val="006C4191"/>
    <w:rsid w:val="006C41DF"/>
    <w:rsid w:val="006C4204"/>
    <w:rsid w:val="006C426C"/>
    <w:rsid w:val="006C428A"/>
    <w:rsid w:val="006C42BC"/>
    <w:rsid w:val="006C42C0"/>
    <w:rsid w:val="006C42EF"/>
    <w:rsid w:val="006C42FE"/>
    <w:rsid w:val="006C435E"/>
    <w:rsid w:val="006C436F"/>
    <w:rsid w:val="006C4394"/>
    <w:rsid w:val="006C43AA"/>
    <w:rsid w:val="006C43D2"/>
    <w:rsid w:val="006C43DC"/>
    <w:rsid w:val="006C4422"/>
    <w:rsid w:val="006C4424"/>
    <w:rsid w:val="006C4489"/>
    <w:rsid w:val="006C449C"/>
    <w:rsid w:val="006C44A5"/>
    <w:rsid w:val="006C44E8"/>
    <w:rsid w:val="006C44FB"/>
    <w:rsid w:val="006C453F"/>
    <w:rsid w:val="006C45CF"/>
    <w:rsid w:val="006C45EB"/>
    <w:rsid w:val="006C4641"/>
    <w:rsid w:val="006C4682"/>
    <w:rsid w:val="006C4695"/>
    <w:rsid w:val="006C46A1"/>
    <w:rsid w:val="006C46B0"/>
    <w:rsid w:val="006C46C4"/>
    <w:rsid w:val="006C47A7"/>
    <w:rsid w:val="006C4816"/>
    <w:rsid w:val="006C483A"/>
    <w:rsid w:val="006C487B"/>
    <w:rsid w:val="006C48D9"/>
    <w:rsid w:val="006C48DF"/>
    <w:rsid w:val="006C490D"/>
    <w:rsid w:val="006C4932"/>
    <w:rsid w:val="006C4957"/>
    <w:rsid w:val="006C4967"/>
    <w:rsid w:val="006C4980"/>
    <w:rsid w:val="006C4ACF"/>
    <w:rsid w:val="006C4B55"/>
    <w:rsid w:val="006C4B5A"/>
    <w:rsid w:val="006C4B93"/>
    <w:rsid w:val="006C4B9B"/>
    <w:rsid w:val="006C4BC1"/>
    <w:rsid w:val="006C4BE3"/>
    <w:rsid w:val="006C4BE4"/>
    <w:rsid w:val="006C4BE7"/>
    <w:rsid w:val="006C4C40"/>
    <w:rsid w:val="006C4C54"/>
    <w:rsid w:val="006C4CF0"/>
    <w:rsid w:val="006C4D1D"/>
    <w:rsid w:val="006C4D42"/>
    <w:rsid w:val="006C4D8B"/>
    <w:rsid w:val="006C4D8E"/>
    <w:rsid w:val="006C4DCF"/>
    <w:rsid w:val="006C4DFB"/>
    <w:rsid w:val="006C4E03"/>
    <w:rsid w:val="006C4E1A"/>
    <w:rsid w:val="006C4E3D"/>
    <w:rsid w:val="006C4E57"/>
    <w:rsid w:val="006C4E7A"/>
    <w:rsid w:val="006C4E93"/>
    <w:rsid w:val="006C4EA1"/>
    <w:rsid w:val="006C4F36"/>
    <w:rsid w:val="006C4F39"/>
    <w:rsid w:val="006C4F71"/>
    <w:rsid w:val="006C4FC8"/>
    <w:rsid w:val="006C4FDA"/>
    <w:rsid w:val="006C5078"/>
    <w:rsid w:val="006C5079"/>
    <w:rsid w:val="006C50B8"/>
    <w:rsid w:val="006C50EE"/>
    <w:rsid w:val="006C5154"/>
    <w:rsid w:val="006C5193"/>
    <w:rsid w:val="006C51CE"/>
    <w:rsid w:val="006C51D7"/>
    <w:rsid w:val="006C51DE"/>
    <w:rsid w:val="006C51F6"/>
    <w:rsid w:val="006C51FB"/>
    <w:rsid w:val="006C51FF"/>
    <w:rsid w:val="006C5224"/>
    <w:rsid w:val="006C5277"/>
    <w:rsid w:val="006C5288"/>
    <w:rsid w:val="006C529B"/>
    <w:rsid w:val="006C52A2"/>
    <w:rsid w:val="006C52B4"/>
    <w:rsid w:val="006C5311"/>
    <w:rsid w:val="006C5336"/>
    <w:rsid w:val="006C533B"/>
    <w:rsid w:val="006C5341"/>
    <w:rsid w:val="006C534E"/>
    <w:rsid w:val="006C536E"/>
    <w:rsid w:val="006C53B4"/>
    <w:rsid w:val="006C53D4"/>
    <w:rsid w:val="006C53E1"/>
    <w:rsid w:val="006C5409"/>
    <w:rsid w:val="006C540B"/>
    <w:rsid w:val="006C5428"/>
    <w:rsid w:val="006C542F"/>
    <w:rsid w:val="006C5436"/>
    <w:rsid w:val="006C543D"/>
    <w:rsid w:val="006C5455"/>
    <w:rsid w:val="006C5472"/>
    <w:rsid w:val="006C5493"/>
    <w:rsid w:val="006C54A5"/>
    <w:rsid w:val="006C5506"/>
    <w:rsid w:val="006C558C"/>
    <w:rsid w:val="006C55F4"/>
    <w:rsid w:val="006C55F8"/>
    <w:rsid w:val="006C560B"/>
    <w:rsid w:val="006C5620"/>
    <w:rsid w:val="006C5625"/>
    <w:rsid w:val="006C5629"/>
    <w:rsid w:val="006C5635"/>
    <w:rsid w:val="006C5716"/>
    <w:rsid w:val="006C5721"/>
    <w:rsid w:val="006C572B"/>
    <w:rsid w:val="006C5734"/>
    <w:rsid w:val="006C5777"/>
    <w:rsid w:val="006C57A6"/>
    <w:rsid w:val="006C57B4"/>
    <w:rsid w:val="006C57CB"/>
    <w:rsid w:val="006C57D3"/>
    <w:rsid w:val="006C5805"/>
    <w:rsid w:val="006C5813"/>
    <w:rsid w:val="006C5879"/>
    <w:rsid w:val="006C58CC"/>
    <w:rsid w:val="006C58CD"/>
    <w:rsid w:val="006C58DF"/>
    <w:rsid w:val="006C590E"/>
    <w:rsid w:val="006C590F"/>
    <w:rsid w:val="006C5933"/>
    <w:rsid w:val="006C59C3"/>
    <w:rsid w:val="006C59D2"/>
    <w:rsid w:val="006C59EB"/>
    <w:rsid w:val="006C59F7"/>
    <w:rsid w:val="006C59FD"/>
    <w:rsid w:val="006C5A64"/>
    <w:rsid w:val="006C5A6E"/>
    <w:rsid w:val="006C5A91"/>
    <w:rsid w:val="006C5A94"/>
    <w:rsid w:val="006C5A9A"/>
    <w:rsid w:val="006C5A9E"/>
    <w:rsid w:val="006C5AAF"/>
    <w:rsid w:val="006C5AB4"/>
    <w:rsid w:val="006C5AC0"/>
    <w:rsid w:val="006C5AE1"/>
    <w:rsid w:val="006C5AF3"/>
    <w:rsid w:val="006C5B6C"/>
    <w:rsid w:val="006C5BE5"/>
    <w:rsid w:val="006C5BE9"/>
    <w:rsid w:val="006C5BF7"/>
    <w:rsid w:val="006C5C15"/>
    <w:rsid w:val="006C5C8A"/>
    <w:rsid w:val="006C5CC7"/>
    <w:rsid w:val="006C5CDE"/>
    <w:rsid w:val="006C5CEE"/>
    <w:rsid w:val="006C5D16"/>
    <w:rsid w:val="006C5D49"/>
    <w:rsid w:val="006C5D9A"/>
    <w:rsid w:val="006C5DA4"/>
    <w:rsid w:val="006C5DC8"/>
    <w:rsid w:val="006C5E34"/>
    <w:rsid w:val="006C5E7F"/>
    <w:rsid w:val="006C5EC4"/>
    <w:rsid w:val="006C5F71"/>
    <w:rsid w:val="006C5F7E"/>
    <w:rsid w:val="006C5FC7"/>
    <w:rsid w:val="006C5FCA"/>
    <w:rsid w:val="006C5FED"/>
    <w:rsid w:val="006C5FEE"/>
    <w:rsid w:val="006C6037"/>
    <w:rsid w:val="006C603F"/>
    <w:rsid w:val="006C6086"/>
    <w:rsid w:val="006C60EA"/>
    <w:rsid w:val="006C613A"/>
    <w:rsid w:val="006C6146"/>
    <w:rsid w:val="006C6181"/>
    <w:rsid w:val="006C6198"/>
    <w:rsid w:val="006C61B4"/>
    <w:rsid w:val="006C61BE"/>
    <w:rsid w:val="006C61D7"/>
    <w:rsid w:val="006C6242"/>
    <w:rsid w:val="006C6248"/>
    <w:rsid w:val="006C6254"/>
    <w:rsid w:val="006C6261"/>
    <w:rsid w:val="006C62B3"/>
    <w:rsid w:val="006C62E1"/>
    <w:rsid w:val="006C62E9"/>
    <w:rsid w:val="006C6333"/>
    <w:rsid w:val="006C6336"/>
    <w:rsid w:val="006C634C"/>
    <w:rsid w:val="006C6352"/>
    <w:rsid w:val="006C63A4"/>
    <w:rsid w:val="006C63B6"/>
    <w:rsid w:val="006C6414"/>
    <w:rsid w:val="006C642B"/>
    <w:rsid w:val="006C6431"/>
    <w:rsid w:val="006C644D"/>
    <w:rsid w:val="006C6451"/>
    <w:rsid w:val="006C6466"/>
    <w:rsid w:val="006C64D8"/>
    <w:rsid w:val="006C64DC"/>
    <w:rsid w:val="006C651E"/>
    <w:rsid w:val="006C653B"/>
    <w:rsid w:val="006C654B"/>
    <w:rsid w:val="006C6551"/>
    <w:rsid w:val="006C6552"/>
    <w:rsid w:val="006C656B"/>
    <w:rsid w:val="006C657C"/>
    <w:rsid w:val="006C6586"/>
    <w:rsid w:val="006C65D1"/>
    <w:rsid w:val="006C663C"/>
    <w:rsid w:val="006C6688"/>
    <w:rsid w:val="006C6689"/>
    <w:rsid w:val="006C673D"/>
    <w:rsid w:val="006C67F6"/>
    <w:rsid w:val="006C682D"/>
    <w:rsid w:val="006C6841"/>
    <w:rsid w:val="006C6857"/>
    <w:rsid w:val="006C687B"/>
    <w:rsid w:val="006C68A4"/>
    <w:rsid w:val="006C68AA"/>
    <w:rsid w:val="006C6970"/>
    <w:rsid w:val="006C69C7"/>
    <w:rsid w:val="006C69F2"/>
    <w:rsid w:val="006C69F8"/>
    <w:rsid w:val="006C69F9"/>
    <w:rsid w:val="006C6A31"/>
    <w:rsid w:val="006C6A77"/>
    <w:rsid w:val="006C6ADA"/>
    <w:rsid w:val="006C6AF1"/>
    <w:rsid w:val="006C6B11"/>
    <w:rsid w:val="006C6B4B"/>
    <w:rsid w:val="006C6B90"/>
    <w:rsid w:val="006C6BBD"/>
    <w:rsid w:val="006C6BC1"/>
    <w:rsid w:val="006C6BD5"/>
    <w:rsid w:val="006C6BF9"/>
    <w:rsid w:val="006C6C2D"/>
    <w:rsid w:val="006C6C90"/>
    <w:rsid w:val="006C6D14"/>
    <w:rsid w:val="006C6D27"/>
    <w:rsid w:val="006C6D38"/>
    <w:rsid w:val="006C6D49"/>
    <w:rsid w:val="006C6D5F"/>
    <w:rsid w:val="006C6D6F"/>
    <w:rsid w:val="006C6DDD"/>
    <w:rsid w:val="006C6DEA"/>
    <w:rsid w:val="006C6E08"/>
    <w:rsid w:val="006C6E1E"/>
    <w:rsid w:val="006C6F24"/>
    <w:rsid w:val="006C6F28"/>
    <w:rsid w:val="006C6F2E"/>
    <w:rsid w:val="006C6F48"/>
    <w:rsid w:val="006C6F97"/>
    <w:rsid w:val="006C6FD2"/>
    <w:rsid w:val="006C6FD9"/>
    <w:rsid w:val="006C6FE8"/>
    <w:rsid w:val="006C6FF4"/>
    <w:rsid w:val="006C6FFC"/>
    <w:rsid w:val="006C700F"/>
    <w:rsid w:val="006C7035"/>
    <w:rsid w:val="006C7098"/>
    <w:rsid w:val="006C70A3"/>
    <w:rsid w:val="006C70A4"/>
    <w:rsid w:val="006C715F"/>
    <w:rsid w:val="006C7173"/>
    <w:rsid w:val="006C7174"/>
    <w:rsid w:val="006C71C6"/>
    <w:rsid w:val="006C71E3"/>
    <w:rsid w:val="006C721E"/>
    <w:rsid w:val="006C72A4"/>
    <w:rsid w:val="006C730B"/>
    <w:rsid w:val="006C7347"/>
    <w:rsid w:val="006C734E"/>
    <w:rsid w:val="006C7386"/>
    <w:rsid w:val="006C7389"/>
    <w:rsid w:val="006C7392"/>
    <w:rsid w:val="006C73BD"/>
    <w:rsid w:val="006C73DA"/>
    <w:rsid w:val="006C7432"/>
    <w:rsid w:val="006C74B5"/>
    <w:rsid w:val="006C750A"/>
    <w:rsid w:val="006C751C"/>
    <w:rsid w:val="006C7573"/>
    <w:rsid w:val="006C757D"/>
    <w:rsid w:val="006C75AC"/>
    <w:rsid w:val="006C75D0"/>
    <w:rsid w:val="006C7605"/>
    <w:rsid w:val="006C7676"/>
    <w:rsid w:val="006C7692"/>
    <w:rsid w:val="006C76C2"/>
    <w:rsid w:val="006C76E4"/>
    <w:rsid w:val="006C76FC"/>
    <w:rsid w:val="006C7704"/>
    <w:rsid w:val="006C7758"/>
    <w:rsid w:val="006C7767"/>
    <w:rsid w:val="006C777F"/>
    <w:rsid w:val="006C77ED"/>
    <w:rsid w:val="006C77F6"/>
    <w:rsid w:val="006C77FE"/>
    <w:rsid w:val="006C7878"/>
    <w:rsid w:val="006C78AB"/>
    <w:rsid w:val="006C78BB"/>
    <w:rsid w:val="006C78F5"/>
    <w:rsid w:val="006C7900"/>
    <w:rsid w:val="006C7904"/>
    <w:rsid w:val="006C790E"/>
    <w:rsid w:val="006C794B"/>
    <w:rsid w:val="006C79B9"/>
    <w:rsid w:val="006C7A87"/>
    <w:rsid w:val="006C7B3B"/>
    <w:rsid w:val="006C7B42"/>
    <w:rsid w:val="006C7B96"/>
    <w:rsid w:val="006C7BAB"/>
    <w:rsid w:val="006C7BAE"/>
    <w:rsid w:val="006C7BC0"/>
    <w:rsid w:val="006C7BE3"/>
    <w:rsid w:val="006C7C74"/>
    <w:rsid w:val="006C7C7F"/>
    <w:rsid w:val="006C7CBB"/>
    <w:rsid w:val="006C7D2E"/>
    <w:rsid w:val="006C7D52"/>
    <w:rsid w:val="006C7D5A"/>
    <w:rsid w:val="006C7D83"/>
    <w:rsid w:val="006C7D8E"/>
    <w:rsid w:val="006C7D92"/>
    <w:rsid w:val="006C7D95"/>
    <w:rsid w:val="006C7DA6"/>
    <w:rsid w:val="006C7E46"/>
    <w:rsid w:val="006C7E50"/>
    <w:rsid w:val="006C7E7E"/>
    <w:rsid w:val="006C7E82"/>
    <w:rsid w:val="006C7E92"/>
    <w:rsid w:val="006C7E9D"/>
    <w:rsid w:val="006C7EB0"/>
    <w:rsid w:val="006C7EBF"/>
    <w:rsid w:val="006C7ED1"/>
    <w:rsid w:val="006C7F02"/>
    <w:rsid w:val="006C7F0C"/>
    <w:rsid w:val="006C7F3A"/>
    <w:rsid w:val="006D001C"/>
    <w:rsid w:val="006D0066"/>
    <w:rsid w:val="006D0082"/>
    <w:rsid w:val="006D008E"/>
    <w:rsid w:val="006D0095"/>
    <w:rsid w:val="006D00A6"/>
    <w:rsid w:val="006D010E"/>
    <w:rsid w:val="006D016C"/>
    <w:rsid w:val="006D0170"/>
    <w:rsid w:val="006D0185"/>
    <w:rsid w:val="006D0186"/>
    <w:rsid w:val="006D0188"/>
    <w:rsid w:val="006D018B"/>
    <w:rsid w:val="006D01AD"/>
    <w:rsid w:val="006D01AF"/>
    <w:rsid w:val="006D01C0"/>
    <w:rsid w:val="006D0203"/>
    <w:rsid w:val="006D0220"/>
    <w:rsid w:val="006D022F"/>
    <w:rsid w:val="006D02C7"/>
    <w:rsid w:val="006D02CD"/>
    <w:rsid w:val="006D038F"/>
    <w:rsid w:val="006D03A2"/>
    <w:rsid w:val="006D03CF"/>
    <w:rsid w:val="006D03E4"/>
    <w:rsid w:val="006D03EE"/>
    <w:rsid w:val="006D042C"/>
    <w:rsid w:val="006D0435"/>
    <w:rsid w:val="006D0445"/>
    <w:rsid w:val="006D0452"/>
    <w:rsid w:val="006D04C6"/>
    <w:rsid w:val="006D050C"/>
    <w:rsid w:val="006D052E"/>
    <w:rsid w:val="006D055C"/>
    <w:rsid w:val="006D0579"/>
    <w:rsid w:val="006D05CE"/>
    <w:rsid w:val="006D05F5"/>
    <w:rsid w:val="006D05FE"/>
    <w:rsid w:val="006D0643"/>
    <w:rsid w:val="006D0655"/>
    <w:rsid w:val="006D06F0"/>
    <w:rsid w:val="006D06F1"/>
    <w:rsid w:val="006D077A"/>
    <w:rsid w:val="006D07AA"/>
    <w:rsid w:val="006D0811"/>
    <w:rsid w:val="006D0861"/>
    <w:rsid w:val="006D089A"/>
    <w:rsid w:val="006D08B4"/>
    <w:rsid w:val="006D0932"/>
    <w:rsid w:val="006D0949"/>
    <w:rsid w:val="006D0953"/>
    <w:rsid w:val="006D0973"/>
    <w:rsid w:val="006D098A"/>
    <w:rsid w:val="006D09F9"/>
    <w:rsid w:val="006D0A34"/>
    <w:rsid w:val="006D0A6F"/>
    <w:rsid w:val="006D0A88"/>
    <w:rsid w:val="006D0A94"/>
    <w:rsid w:val="006D0A97"/>
    <w:rsid w:val="006D0B90"/>
    <w:rsid w:val="006D0BB9"/>
    <w:rsid w:val="006D0BE4"/>
    <w:rsid w:val="006D0BFE"/>
    <w:rsid w:val="006D0C08"/>
    <w:rsid w:val="006D0C56"/>
    <w:rsid w:val="006D0C6D"/>
    <w:rsid w:val="006D0C7E"/>
    <w:rsid w:val="006D0C8A"/>
    <w:rsid w:val="006D0CC7"/>
    <w:rsid w:val="006D0CD1"/>
    <w:rsid w:val="006D0D29"/>
    <w:rsid w:val="006D0D8B"/>
    <w:rsid w:val="006D0DA4"/>
    <w:rsid w:val="006D0DCB"/>
    <w:rsid w:val="006D0DCC"/>
    <w:rsid w:val="006D0DDC"/>
    <w:rsid w:val="006D0DE1"/>
    <w:rsid w:val="006D0E32"/>
    <w:rsid w:val="006D0E5D"/>
    <w:rsid w:val="006D0E77"/>
    <w:rsid w:val="006D0E8B"/>
    <w:rsid w:val="006D0E92"/>
    <w:rsid w:val="006D0EAA"/>
    <w:rsid w:val="006D0EE9"/>
    <w:rsid w:val="006D0EEB"/>
    <w:rsid w:val="006D0F07"/>
    <w:rsid w:val="006D0F39"/>
    <w:rsid w:val="006D0F7B"/>
    <w:rsid w:val="006D0F9D"/>
    <w:rsid w:val="006D0FAA"/>
    <w:rsid w:val="006D0FB8"/>
    <w:rsid w:val="006D0FBF"/>
    <w:rsid w:val="006D1007"/>
    <w:rsid w:val="006D1030"/>
    <w:rsid w:val="006D106B"/>
    <w:rsid w:val="006D10F4"/>
    <w:rsid w:val="006D110C"/>
    <w:rsid w:val="006D1122"/>
    <w:rsid w:val="006D115D"/>
    <w:rsid w:val="006D119E"/>
    <w:rsid w:val="006D11D9"/>
    <w:rsid w:val="006D11F5"/>
    <w:rsid w:val="006D123B"/>
    <w:rsid w:val="006D1251"/>
    <w:rsid w:val="006D12B3"/>
    <w:rsid w:val="006D12BC"/>
    <w:rsid w:val="006D12D2"/>
    <w:rsid w:val="006D12DB"/>
    <w:rsid w:val="006D12EA"/>
    <w:rsid w:val="006D1330"/>
    <w:rsid w:val="006D1379"/>
    <w:rsid w:val="006D13DA"/>
    <w:rsid w:val="006D140A"/>
    <w:rsid w:val="006D142A"/>
    <w:rsid w:val="006D1442"/>
    <w:rsid w:val="006D1496"/>
    <w:rsid w:val="006D149A"/>
    <w:rsid w:val="006D14CC"/>
    <w:rsid w:val="006D15CE"/>
    <w:rsid w:val="006D15E8"/>
    <w:rsid w:val="006D1604"/>
    <w:rsid w:val="006D1685"/>
    <w:rsid w:val="006D16D0"/>
    <w:rsid w:val="006D1700"/>
    <w:rsid w:val="006D1708"/>
    <w:rsid w:val="006D17B7"/>
    <w:rsid w:val="006D1807"/>
    <w:rsid w:val="006D180C"/>
    <w:rsid w:val="006D187B"/>
    <w:rsid w:val="006D18DA"/>
    <w:rsid w:val="006D1918"/>
    <w:rsid w:val="006D1978"/>
    <w:rsid w:val="006D19AB"/>
    <w:rsid w:val="006D1A05"/>
    <w:rsid w:val="006D1A0B"/>
    <w:rsid w:val="006D1A16"/>
    <w:rsid w:val="006D1A56"/>
    <w:rsid w:val="006D1A5E"/>
    <w:rsid w:val="006D1A7C"/>
    <w:rsid w:val="006D1A93"/>
    <w:rsid w:val="006D1B1D"/>
    <w:rsid w:val="006D1B38"/>
    <w:rsid w:val="006D1B39"/>
    <w:rsid w:val="006D1B3A"/>
    <w:rsid w:val="006D1B42"/>
    <w:rsid w:val="006D1B6F"/>
    <w:rsid w:val="006D1B76"/>
    <w:rsid w:val="006D1BA1"/>
    <w:rsid w:val="006D1BE8"/>
    <w:rsid w:val="006D1C18"/>
    <w:rsid w:val="006D1C44"/>
    <w:rsid w:val="006D1C48"/>
    <w:rsid w:val="006D1C70"/>
    <w:rsid w:val="006D1D13"/>
    <w:rsid w:val="006D1D32"/>
    <w:rsid w:val="006D1D5D"/>
    <w:rsid w:val="006D1D79"/>
    <w:rsid w:val="006D1DA6"/>
    <w:rsid w:val="006D1DEF"/>
    <w:rsid w:val="006D1E1D"/>
    <w:rsid w:val="006D1E4B"/>
    <w:rsid w:val="006D1E8A"/>
    <w:rsid w:val="006D1EC5"/>
    <w:rsid w:val="006D1EF5"/>
    <w:rsid w:val="006D1F12"/>
    <w:rsid w:val="006D1F55"/>
    <w:rsid w:val="006D1F65"/>
    <w:rsid w:val="006D1F66"/>
    <w:rsid w:val="006D1F9D"/>
    <w:rsid w:val="006D1FB3"/>
    <w:rsid w:val="006D1FC3"/>
    <w:rsid w:val="006D1FF1"/>
    <w:rsid w:val="006D2062"/>
    <w:rsid w:val="006D2066"/>
    <w:rsid w:val="006D20C9"/>
    <w:rsid w:val="006D213F"/>
    <w:rsid w:val="006D214D"/>
    <w:rsid w:val="006D2157"/>
    <w:rsid w:val="006D2159"/>
    <w:rsid w:val="006D215E"/>
    <w:rsid w:val="006D2173"/>
    <w:rsid w:val="006D2190"/>
    <w:rsid w:val="006D21EC"/>
    <w:rsid w:val="006D2250"/>
    <w:rsid w:val="006D2278"/>
    <w:rsid w:val="006D22F9"/>
    <w:rsid w:val="006D233A"/>
    <w:rsid w:val="006D2348"/>
    <w:rsid w:val="006D2376"/>
    <w:rsid w:val="006D23BA"/>
    <w:rsid w:val="006D23C9"/>
    <w:rsid w:val="006D23D0"/>
    <w:rsid w:val="006D23E5"/>
    <w:rsid w:val="006D2404"/>
    <w:rsid w:val="006D2426"/>
    <w:rsid w:val="006D24FB"/>
    <w:rsid w:val="006D256E"/>
    <w:rsid w:val="006D2576"/>
    <w:rsid w:val="006D2591"/>
    <w:rsid w:val="006D259A"/>
    <w:rsid w:val="006D25C5"/>
    <w:rsid w:val="006D2673"/>
    <w:rsid w:val="006D2689"/>
    <w:rsid w:val="006D2690"/>
    <w:rsid w:val="006D26D6"/>
    <w:rsid w:val="006D26E9"/>
    <w:rsid w:val="006D2721"/>
    <w:rsid w:val="006D27FA"/>
    <w:rsid w:val="006D27FB"/>
    <w:rsid w:val="006D2801"/>
    <w:rsid w:val="006D2804"/>
    <w:rsid w:val="006D2842"/>
    <w:rsid w:val="006D2867"/>
    <w:rsid w:val="006D2878"/>
    <w:rsid w:val="006D28AB"/>
    <w:rsid w:val="006D28DC"/>
    <w:rsid w:val="006D291A"/>
    <w:rsid w:val="006D298F"/>
    <w:rsid w:val="006D29A2"/>
    <w:rsid w:val="006D29B9"/>
    <w:rsid w:val="006D29D0"/>
    <w:rsid w:val="006D29FE"/>
    <w:rsid w:val="006D2A17"/>
    <w:rsid w:val="006D2A30"/>
    <w:rsid w:val="006D2A34"/>
    <w:rsid w:val="006D2A43"/>
    <w:rsid w:val="006D2A60"/>
    <w:rsid w:val="006D2AFA"/>
    <w:rsid w:val="006D2B13"/>
    <w:rsid w:val="006D2B23"/>
    <w:rsid w:val="006D2BDD"/>
    <w:rsid w:val="006D2C0F"/>
    <w:rsid w:val="006D2C23"/>
    <w:rsid w:val="006D2C3F"/>
    <w:rsid w:val="006D2C88"/>
    <w:rsid w:val="006D2C95"/>
    <w:rsid w:val="006D2CA3"/>
    <w:rsid w:val="006D2CBF"/>
    <w:rsid w:val="006D2CD4"/>
    <w:rsid w:val="006D2CEE"/>
    <w:rsid w:val="006D2D46"/>
    <w:rsid w:val="006D2D54"/>
    <w:rsid w:val="006D2DBC"/>
    <w:rsid w:val="006D2DE9"/>
    <w:rsid w:val="006D2E00"/>
    <w:rsid w:val="006D2E50"/>
    <w:rsid w:val="006D2E8E"/>
    <w:rsid w:val="006D2EB1"/>
    <w:rsid w:val="006D2ECB"/>
    <w:rsid w:val="006D2EE7"/>
    <w:rsid w:val="006D2EE8"/>
    <w:rsid w:val="006D2EED"/>
    <w:rsid w:val="006D2FD6"/>
    <w:rsid w:val="006D3038"/>
    <w:rsid w:val="006D3047"/>
    <w:rsid w:val="006D30E4"/>
    <w:rsid w:val="006D30ED"/>
    <w:rsid w:val="006D3106"/>
    <w:rsid w:val="006D310B"/>
    <w:rsid w:val="006D3129"/>
    <w:rsid w:val="006D312F"/>
    <w:rsid w:val="006D31C7"/>
    <w:rsid w:val="006D31CE"/>
    <w:rsid w:val="006D325B"/>
    <w:rsid w:val="006D333C"/>
    <w:rsid w:val="006D33A3"/>
    <w:rsid w:val="006D33A8"/>
    <w:rsid w:val="006D343B"/>
    <w:rsid w:val="006D3495"/>
    <w:rsid w:val="006D34BE"/>
    <w:rsid w:val="006D350C"/>
    <w:rsid w:val="006D354D"/>
    <w:rsid w:val="006D3555"/>
    <w:rsid w:val="006D35AE"/>
    <w:rsid w:val="006D35DF"/>
    <w:rsid w:val="006D35E6"/>
    <w:rsid w:val="006D3627"/>
    <w:rsid w:val="006D3644"/>
    <w:rsid w:val="006D3656"/>
    <w:rsid w:val="006D3670"/>
    <w:rsid w:val="006D3678"/>
    <w:rsid w:val="006D36A6"/>
    <w:rsid w:val="006D36BE"/>
    <w:rsid w:val="006D36D1"/>
    <w:rsid w:val="006D36FC"/>
    <w:rsid w:val="006D36FD"/>
    <w:rsid w:val="006D37A3"/>
    <w:rsid w:val="006D37AE"/>
    <w:rsid w:val="006D37E4"/>
    <w:rsid w:val="006D37EB"/>
    <w:rsid w:val="006D37F5"/>
    <w:rsid w:val="006D3817"/>
    <w:rsid w:val="006D3831"/>
    <w:rsid w:val="006D383D"/>
    <w:rsid w:val="006D3867"/>
    <w:rsid w:val="006D3876"/>
    <w:rsid w:val="006D387C"/>
    <w:rsid w:val="006D38A0"/>
    <w:rsid w:val="006D38C3"/>
    <w:rsid w:val="006D38D0"/>
    <w:rsid w:val="006D3944"/>
    <w:rsid w:val="006D3A13"/>
    <w:rsid w:val="006D3A22"/>
    <w:rsid w:val="006D3A67"/>
    <w:rsid w:val="006D3A9F"/>
    <w:rsid w:val="006D3AA0"/>
    <w:rsid w:val="006D3ACB"/>
    <w:rsid w:val="006D3AE3"/>
    <w:rsid w:val="006D3B0E"/>
    <w:rsid w:val="006D3B26"/>
    <w:rsid w:val="006D3B53"/>
    <w:rsid w:val="006D3B8A"/>
    <w:rsid w:val="006D3BA0"/>
    <w:rsid w:val="006D3BCE"/>
    <w:rsid w:val="006D3C91"/>
    <w:rsid w:val="006D3CBD"/>
    <w:rsid w:val="006D3CF5"/>
    <w:rsid w:val="006D3D3B"/>
    <w:rsid w:val="006D3D52"/>
    <w:rsid w:val="006D3DA4"/>
    <w:rsid w:val="006D3DA5"/>
    <w:rsid w:val="006D3E0B"/>
    <w:rsid w:val="006D3E4F"/>
    <w:rsid w:val="006D3E5C"/>
    <w:rsid w:val="006D3E60"/>
    <w:rsid w:val="006D3E7B"/>
    <w:rsid w:val="006D3F15"/>
    <w:rsid w:val="006D3F3B"/>
    <w:rsid w:val="006D3F3C"/>
    <w:rsid w:val="006D3F68"/>
    <w:rsid w:val="006D3FA5"/>
    <w:rsid w:val="006D3FCF"/>
    <w:rsid w:val="006D3FE7"/>
    <w:rsid w:val="006D4010"/>
    <w:rsid w:val="006D4042"/>
    <w:rsid w:val="006D4065"/>
    <w:rsid w:val="006D411C"/>
    <w:rsid w:val="006D4166"/>
    <w:rsid w:val="006D4181"/>
    <w:rsid w:val="006D4184"/>
    <w:rsid w:val="006D41B6"/>
    <w:rsid w:val="006D41D0"/>
    <w:rsid w:val="006D4232"/>
    <w:rsid w:val="006D4282"/>
    <w:rsid w:val="006D4283"/>
    <w:rsid w:val="006D428A"/>
    <w:rsid w:val="006D4324"/>
    <w:rsid w:val="006D4336"/>
    <w:rsid w:val="006D433D"/>
    <w:rsid w:val="006D433E"/>
    <w:rsid w:val="006D4365"/>
    <w:rsid w:val="006D4379"/>
    <w:rsid w:val="006D43AC"/>
    <w:rsid w:val="006D43C7"/>
    <w:rsid w:val="006D4400"/>
    <w:rsid w:val="006D4415"/>
    <w:rsid w:val="006D4446"/>
    <w:rsid w:val="006D447C"/>
    <w:rsid w:val="006D44C7"/>
    <w:rsid w:val="006D44C8"/>
    <w:rsid w:val="006D44FF"/>
    <w:rsid w:val="006D4556"/>
    <w:rsid w:val="006D457D"/>
    <w:rsid w:val="006D4624"/>
    <w:rsid w:val="006D4687"/>
    <w:rsid w:val="006D46B2"/>
    <w:rsid w:val="006D46B4"/>
    <w:rsid w:val="006D46D8"/>
    <w:rsid w:val="006D4737"/>
    <w:rsid w:val="006D4739"/>
    <w:rsid w:val="006D4777"/>
    <w:rsid w:val="006D47A3"/>
    <w:rsid w:val="006D47B8"/>
    <w:rsid w:val="006D481E"/>
    <w:rsid w:val="006D4820"/>
    <w:rsid w:val="006D4884"/>
    <w:rsid w:val="006D4889"/>
    <w:rsid w:val="006D48EE"/>
    <w:rsid w:val="006D4907"/>
    <w:rsid w:val="006D49CF"/>
    <w:rsid w:val="006D49D7"/>
    <w:rsid w:val="006D4A94"/>
    <w:rsid w:val="006D4AAE"/>
    <w:rsid w:val="006D4AEF"/>
    <w:rsid w:val="006D4B5E"/>
    <w:rsid w:val="006D4B8A"/>
    <w:rsid w:val="006D4B93"/>
    <w:rsid w:val="006D4BA4"/>
    <w:rsid w:val="006D4BE6"/>
    <w:rsid w:val="006D4BFC"/>
    <w:rsid w:val="006D4C20"/>
    <w:rsid w:val="006D4C28"/>
    <w:rsid w:val="006D4C34"/>
    <w:rsid w:val="006D4C6B"/>
    <w:rsid w:val="006D4C7E"/>
    <w:rsid w:val="006D4C81"/>
    <w:rsid w:val="006D4D32"/>
    <w:rsid w:val="006D4D43"/>
    <w:rsid w:val="006D4D6B"/>
    <w:rsid w:val="006D4D70"/>
    <w:rsid w:val="006D4D7B"/>
    <w:rsid w:val="006D4DA7"/>
    <w:rsid w:val="006D4DBC"/>
    <w:rsid w:val="006D4E4F"/>
    <w:rsid w:val="006D4E91"/>
    <w:rsid w:val="006D4E9F"/>
    <w:rsid w:val="006D4EA8"/>
    <w:rsid w:val="006D4EAD"/>
    <w:rsid w:val="006D4F66"/>
    <w:rsid w:val="006D4FAD"/>
    <w:rsid w:val="006D4FCA"/>
    <w:rsid w:val="006D500D"/>
    <w:rsid w:val="006D506A"/>
    <w:rsid w:val="006D5104"/>
    <w:rsid w:val="006D514B"/>
    <w:rsid w:val="006D5184"/>
    <w:rsid w:val="006D5192"/>
    <w:rsid w:val="006D519C"/>
    <w:rsid w:val="006D51A8"/>
    <w:rsid w:val="006D51C1"/>
    <w:rsid w:val="006D5219"/>
    <w:rsid w:val="006D5226"/>
    <w:rsid w:val="006D5233"/>
    <w:rsid w:val="006D523E"/>
    <w:rsid w:val="006D524C"/>
    <w:rsid w:val="006D52B2"/>
    <w:rsid w:val="006D52BF"/>
    <w:rsid w:val="006D52C4"/>
    <w:rsid w:val="006D5302"/>
    <w:rsid w:val="006D539B"/>
    <w:rsid w:val="006D53C0"/>
    <w:rsid w:val="006D53DF"/>
    <w:rsid w:val="006D53F1"/>
    <w:rsid w:val="006D5424"/>
    <w:rsid w:val="006D545D"/>
    <w:rsid w:val="006D550B"/>
    <w:rsid w:val="006D5518"/>
    <w:rsid w:val="006D551D"/>
    <w:rsid w:val="006D5545"/>
    <w:rsid w:val="006D5547"/>
    <w:rsid w:val="006D557B"/>
    <w:rsid w:val="006D55A6"/>
    <w:rsid w:val="006D5628"/>
    <w:rsid w:val="006D5633"/>
    <w:rsid w:val="006D564E"/>
    <w:rsid w:val="006D5652"/>
    <w:rsid w:val="006D5698"/>
    <w:rsid w:val="006D570F"/>
    <w:rsid w:val="006D5724"/>
    <w:rsid w:val="006D57DA"/>
    <w:rsid w:val="006D57FD"/>
    <w:rsid w:val="006D586C"/>
    <w:rsid w:val="006D586D"/>
    <w:rsid w:val="006D589B"/>
    <w:rsid w:val="006D58B7"/>
    <w:rsid w:val="006D58C5"/>
    <w:rsid w:val="006D58CD"/>
    <w:rsid w:val="006D58D7"/>
    <w:rsid w:val="006D5927"/>
    <w:rsid w:val="006D5962"/>
    <w:rsid w:val="006D597A"/>
    <w:rsid w:val="006D5989"/>
    <w:rsid w:val="006D59C1"/>
    <w:rsid w:val="006D59DD"/>
    <w:rsid w:val="006D59E0"/>
    <w:rsid w:val="006D59E1"/>
    <w:rsid w:val="006D5A38"/>
    <w:rsid w:val="006D5A55"/>
    <w:rsid w:val="006D5A73"/>
    <w:rsid w:val="006D5A8A"/>
    <w:rsid w:val="006D5A99"/>
    <w:rsid w:val="006D5A9A"/>
    <w:rsid w:val="006D5AB9"/>
    <w:rsid w:val="006D5B3A"/>
    <w:rsid w:val="006D5B66"/>
    <w:rsid w:val="006D5B6A"/>
    <w:rsid w:val="006D5B79"/>
    <w:rsid w:val="006D5B99"/>
    <w:rsid w:val="006D5BA2"/>
    <w:rsid w:val="006D5BC0"/>
    <w:rsid w:val="006D5C02"/>
    <w:rsid w:val="006D5C0F"/>
    <w:rsid w:val="006D5C6A"/>
    <w:rsid w:val="006D5CB3"/>
    <w:rsid w:val="006D5CBB"/>
    <w:rsid w:val="006D5D1F"/>
    <w:rsid w:val="006D5D38"/>
    <w:rsid w:val="006D5D41"/>
    <w:rsid w:val="006D5D98"/>
    <w:rsid w:val="006D5DC7"/>
    <w:rsid w:val="006D5DCB"/>
    <w:rsid w:val="006D5E58"/>
    <w:rsid w:val="006D5E8A"/>
    <w:rsid w:val="006D5E8F"/>
    <w:rsid w:val="006D5F67"/>
    <w:rsid w:val="006D5F88"/>
    <w:rsid w:val="006D5FBC"/>
    <w:rsid w:val="006D5FE8"/>
    <w:rsid w:val="006D5FFE"/>
    <w:rsid w:val="006D604C"/>
    <w:rsid w:val="006D605C"/>
    <w:rsid w:val="006D60A1"/>
    <w:rsid w:val="006D60A4"/>
    <w:rsid w:val="006D60BD"/>
    <w:rsid w:val="006D60F8"/>
    <w:rsid w:val="006D610F"/>
    <w:rsid w:val="006D6157"/>
    <w:rsid w:val="006D6181"/>
    <w:rsid w:val="006D6196"/>
    <w:rsid w:val="006D61D4"/>
    <w:rsid w:val="006D61E9"/>
    <w:rsid w:val="006D6235"/>
    <w:rsid w:val="006D6243"/>
    <w:rsid w:val="006D626D"/>
    <w:rsid w:val="006D6271"/>
    <w:rsid w:val="006D628C"/>
    <w:rsid w:val="006D62A5"/>
    <w:rsid w:val="006D6303"/>
    <w:rsid w:val="006D6317"/>
    <w:rsid w:val="006D636E"/>
    <w:rsid w:val="006D63B7"/>
    <w:rsid w:val="006D63CE"/>
    <w:rsid w:val="006D63D7"/>
    <w:rsid w:val="006D6418"/>
    <w:rsid w:val="006D6443"/>
    <w:rsid w:val="006D650F"/>
    <w:rsid w:val="006D6521"/>
    <w:rsid w:val="006D657D"/>
    <w:rsid w:val="006D659A"/>
    <w:rsid w:val="006D6600"/>
    <w:rsid w:val="006D6611"/>
    <w:rsid w:val="006D664A"/>
    <w:rsid w:val="006D664D"/>
    <w:rsid w:val="006D6653"/>
    <w:rsid w:val="006D666F"/>
    <w:rsid w:val="006D66B3"/>
    <w:rsid w:val="006D66B8"/>
    <w:rsid w:val="006D673E"/>
    <w:rsid w:val="006D6744"/>
    <w:rsid w:val="006D67D4"/>
    <w:rsid w:val="006D67DB"/>
    <w:rsid w:val="006D67FF"/>
    <w:rsid w:val="006D683C"/>
    <w:rsid w:val="006D689C"/>
    <w:rsid w:val="006D6915"/>
    <w:rsid w:val="006D691A"/>
    <w:rsid w:val="006D694E"/>
    <w:rsid w:val="006D6972"/>
    <w:rsid w:val="006D6973"/>
    <w:rsid w:val="006D69D3"/>
    <w:rsid w:val="006D69F0"/>
    <w:rsid w:val="006D6A2D"/>
    <w:rsid w:val="006D6A6A"/>
    <w:rsid w:val="006D6AAB"/>
    <w:rsid w:val="006D6ACD"/>
    <w:rsid w:val="006D6AD5"/>
    <w:rsid w:val="006D6B04"/>
    <w:rsid w:val="006D6B5E"/>
    <w:rsid w:val="006D6B8A"/>
    <w:rsid w:val="006D6BA2"/>
    <w:rsid w:val="006D6BE5"/>
    <w:rsid w:val="006D6C0A"/>
    <w:rsid w:val="006D6C27"/>
    <w:rsid w:val="006D6C59"/>
    <w:rsid w:val="006D6C5F"/>
    <w:rsid w:val="006D6C6F"/>
    <w:rsid w:val="006D6C7E"/>
    <w:rsid w:val="006D6C9A"/>
    <w:rsid w:val="006D6CC8"/>
    <w:rsid w:val="006D6D6C"/>
    <w:rsid w:val="006D6D73"/>
    <w:rsid w:val="006D6D9F"/>
    <w:rsid w:val="006D6DB6"/>
    <w:rsid w:val="006D6DC2"/>
    <w:rsid w:val="006D6DC8"/>
    <w:rsid w:val="006D6E12"/>
    <w:rsid w:val="006D6E1F"/>
    <w:rsid w:val="006D6E26"/>
    <w:rsid w:val="006D6E2F"/>
    <w:rsid w:val="006D6E45"/>
    <w:rsid w:val="006D6E55"/>
    <w:rsid w:val="006D6E63"/>
    <w:rsid w:val="006D6E9A"/>
    <w:rsid w:val="006D6EA2"/>
    <w:rsid w:val="006D6EDE"/>
    <w:rsid w:val="006D6EE2"/>
    <w:rsid w:val="006D6F64"/>
    <w:rsid w:val="006D6F72"/>
    <w:rsid w:val="006D6F80"/>
    <w:rsid w:val="006D6FAB"/>
    <w:rsid w:val="006D6FFE"/>
    <w:rsid w:val="006D7038"/>
    <w:rsid w:val="006D705B"/>
    <w:rsid w:val="006D706C"/>
    <w:rsid w:val="006D70A3"/>
    <w:rsid w:val="006D70AB"/>
    <w:rsid w:val="006D7111"/>
    <w:rsid w:val="006D7153"/>
    <w:rsid w:val="006D7173"/>
    <w:rsid w:val="006D719E"/>
    <w:rsid w:val="006D71A4"/>
    <w:rsid w:val="006D71C5"/>
    <w:rsid w:val="006D71FD"/>
    <w:rsid w:val="006D7203"/>
    <w:rsid w:val="006D721C"/>
    <w:rsid w:val="006D7238"/>
    <w:rsid w:val="006D723E"/>
    <w:rsid w:val="006D7243"/>
    <w:rsid w:val="006D7265"/>
    <w:rsid w:val="006D7295"/>
    <w:rsid w:val="006D7298"/>
    <w:rsid w:val="006D729E"/>
    <w:rsid w:val="006D72D5"/>
    <w:rsid w:val="006D732C"/>
    <w:rsid w:val="006D733F"/>
    <w:rsid w:val="006D734C"/>
    <w:rsid w:val="006D738B"/>
    <w:rsid w:val="006D738F"/>
    <w:rsid w:val="006D73D8"/>
    <w:rsid w:val="006D73EF"/>
    <w:rsid w:val="006D740B"/>
    <w:rsid w:val="006D7426"/>
    <w:rsid w:val="006D7433"/>
    <w:rsid w:val="006D747A"/>
    <w:rsid w:val="006D74FF"/>
    <w:rsid w:val="006D7515"/>
    <w:rsid w:val="006D751E"/>
    <w:rsid w:val="006D7536"/>
    <w:rsid w:val="006D757F"/>
    <w:rsid w:val="006D75B9"/>
    <w:rsid w:val="006D75E9"/>
    <w:rsid w:val="006D766B"/>
    <w:rsid w:val="006D7673"/>
    <w:rsid w:val="006D76A3"/>
    <w:rsid w:val="006D76C1"/>
    <w:rsid w:val="006D76CA"/>
    <w:rsid w:val="006D76E8"/>
    <w:rsid w:val="006D76EA"/>
    <w:rsid w:val="006D76FE"/>
    <w:rsid w:val="006D7707"/>
    <w:rsid w:val="006D7718"/>
    <w:rsid w:val="006D7730"/>
    <w:rsid w:val="006D77B6"/>
    <w:rsid w:val="006D7821"/>
    <w:rsid w:val="006D7859"/>
    <w:rsid w:val="006D78BF"/>
    <w:rsid w:val="006D78CB"/>
    <w:rsid w:val="006D78D4"/>
    <w:rsid w:val="006D7920"/>
    <w:rsid w:val="006D7929"/>
    <w:rsid w:val="006D7957"/>
    <w:rsid w:val="006D796C"/>
    <w:rsid w:val="006D79B8"/>
    <w:rsid w:val="006D79DD"/>
    <w:rsid w:val="006D79E6"/>
    <w:rsid w:val="006D7A44"/>
    <w:rsid w:val="006D7A62"/>
    <w:rsid w:val="006D7A66"/>
    <w:rsid w:val="006D7B55"/>
    <w:rsid w:val="006D7C28"/>
    <w:rsid w:val="006D7C62"/>
    <w:rsid w:val="006D7C78"/>
    <w:rsid w:val="006D7C7B"/>
    <w:rsid w:val="006D7CBB"/>
    <w:rsid w:val="006D7CC6"/>
    <w:rsid w:val="006D7D39"/>
    <w:rsid w:val="006D7DA6"/>
    <w:rsid w:val="006D7E3B"/>
    <w:rsid w:val="006D7E57"/>
    <w:rsid w:val="006D7E69"/>
    <w:rsid w:val="006D7E8C"/>
    <w:rsid w:val="006D7EAE"/>
    <w:rsid w:val="006D7EE8"/>
    <w:rsid w:val="006D7F0B"/>
    <w:rsid w:val="006D7F3B"/>
    <w:rsid w:val="006D7FA9"/>
    <w:rsid w:val="006D7FD1"/>
    <w:rsid w:val="006D7FD6"/>
    <w:rsid w:val="006D7FD8"/>
    <w:rsid w:val="006DD6FE"/>
    <w:rsid w:val="006E000E"/>
    <w:rsid w:val="006E003C"/>
    <w:rsid w:val="006E0075"/>
    <w:rsid w:val="006E0096"/>
    <w:rsid w:val="006E00B3"/>
    <w:rsid w:val="006E00C6"/>
    <w:rsid w:val="006E013E"/>
    <w:rsid w:val="006E0149"/>
    <w:rsid w:val="006E0166"/>
    <w:rsid w:val="006E0170"/>
    <w:rsid w:val="006E018C"/>
    <w:rsid w:val="006E01CC"/>
    <w:rsid w:val="006E01DF"/>
    <w:rsid w:val="006E0210"/>
    <w:rsid w:val="006E02AB"/>
    <w:rsid w:val="006E02D1"/>
    <w:rsid w:val="006E02ED"/>
    <w:rsid w:val="006E0309"/>
    <w:rsid w:val="006E0344"/>
    <w:rsid w:val="006E0350"/>
    <w:rsid w:val="006E0377"/>
    <w:rsid w:val="006E0378"/>
    <w:rsid w:val="006E0380"/>
    <w:rsid w:val="006E0390"/>
    <w:rsid w:val="006E03F7"/>
    <w:rsid w:val="006E0416"/>
    <w:rsid w:val="006E041E"/>
    <w:rsid w:val="006E0445"/>
    <w:rsid w:val="006E0462"/>
    <w:rsid w:val="006E048F"/>
    <w:rsid w:val="006E04C8"/>
    <w:rsid w:val="006E04D2"/>
    <w:rsid w:val="006E04F6"/>
    <w:rsid w:val="006E0524"/>
    <w:rsid w:val="006E059E"/>
    <w:rsid w:val="006E05D4"/>
    <w:rsid w:val="006E05FD"/>
    <w:rsid w:val="006E060D"/>
    <w:rsid w:val="006E0624"/>
    <w:rsid w:val="006E0667"/>
    <w:rsid w:val="006E06FF"/>
    <w:rsid w:val="006E0757"/>
    <w:rsid w:val="006E0769"/>
    <w:rsid w:val="006E0773"/>
    <w:rsid w:val="006E079F"/>
    <w:rsid w:val="006E07C0"/>
    <w:rsid w:val="006E07E0"/>
    <w:rsid w:val="006E07FA"/>
    <w:rsid w:val="006E0804"/>
    <w:rsid w:val="006E0810"/>
    <w:rsid w:val="006E0827"/>
    <w:rsid w:val="006E0828"/>
    <w:rsid w:val="006E0858"/>
    <w:rsid w:val="006E085F"/>
    <w:rsid w:val="006E089D"/>
    <w:rsid w:val="006E08BC"/>
    <w:rsid w:val="006E08DB"/>
    <w:rsid w:val="006E090E"/>
    <w:rsid w:val="006E0922"/>
    <w:rsid w:val="006E092E"/>
    <w:rsid w:val="006E0936"/>
    <w:rsid w:val="006E099F"/>
    <w:rsid w:val="006E09EE"/>
    <w:rsid w:val="006E0A0E"/>
    <w:rsid w:val="006E0AB8"/>
    <w:rsid w:val="006E0AED"/>
    <w:rsid w:val="006E0AF2"/>
    <w:rsid w:val="006E0B47"/>
    <w:rsid w:val="006E0B54"/>
    <w:rsid w:val="006E0B74"/>
    <w:rsid w:val="006E0B8A"/>
    <w:rsid w:val="006E0BA9"/>
    <w:rsid w:val="006E0BCA"/>
    <w:rsid w:val="006E0C18"/>
    <w:rsid w:val="006E0C19"/>
    <w:rsid w:val="006E0C30"/>
    <w:rsid w:val="006E0CBB"/>
    <w:rsid w:val="006E0CC5"/>
    <w:rsid w:val="006E0CC9"/>
    <w:rsid w:val="006E0CFA"/>
    <w:rsid w:val="006E0D16"/>
    <w:rsid w:val="006E0D24"/>
    <w:rsid w:val="006E0D34"/>
    <w:rsid w:val="006E0D75"/>
    <w:rsid w:val="006E0DC2"/>
    <w:rsid w:val="006E0DF9"/>
    <w:rsid w:val="006E0E28"/>
    <w:rsid w:val="006E0E79"/>
    <w:rsid w:val="006E0EEF"/>
    <w:rsid w:val="006E0EF2"/>
    <w:rsid w:val="006E0F19"/>
    <w:rsid w:val="006E0F29"/>
    <w:rsid w:val="006E0F57"/>
    <w:rsid w:val="006E0FD7"/>
    <w:rsid w:val="006E0FF5"/>
    <w:rsid w:val="006E100C"/>
    <w:rsid w:val="006E103C"/>
    <w:rsid w:val="006E1043"/>
    <w:rsid w:val="006E105A"/>
    <w:rsid w:val="006E1067"/>
    <w:rsid w:val="006E108C"/>
    <w:rsid w:val="006E10AA"/>
    <w:rsid w:val="006E10F9"/>
    <w:rsid w:val="006E115E"/>
    <w:rsid w:val="006E1180"/>
    <w:rsid w:val="006E118A"/>
    <w:rsid w:val="006E1193"/>
    <w:rsid w:val="006E11A2"/>
    <w:rsid w:val="006E11AD"/>
    <w:rsid w:val="006E11CB"/>
    <w:rsid w:val="006E11DD"/>
    <w:rsid w:val="006E12B4"/>
    <w:rsid w:val="006E12D5"/>
    <w:rsid w:val="006E1321"/>
    <w:rsid w:val="006E1325"/>
    <w:rsid w:val="006E135B"/>
    <w:rsid w:val="006E136E"/>
    <w:rsid w:val="006E1392"/>
    <w:rsid w:val="006E13A7"/>
    <w:rsid w:val="006E13BB"/>
    <w:rsid w:val="006E13E6"/>
    <w:rsid w:val="006E13EB"/>
    <w:rsid w:val="006E13F8"/>
    <w:rsid w:val="006E1422"/>
    <w:rsid w:val="006E1425"/>
    <w:rsid w:val="006E1442"/>
    <w:rsid w:val="006E14B3"/>
    <w:rsid w:val="006E14DD"/>
    <w:rsid w:val="006E155F"/>
    <w:rsid w:val="006E15A5"/>
    <w:rsid w:val="006E15CD"/>
    <w:rsid w:val="006E15E2"/>
    <w:rsid w:val="006E161A"/>
    <w:rsid w:val="006E161F"/>
    <w:rsid w:val="006E1620"/>
    <w:rsid w:val="006E164C"/>
    <w:rsid w:val="006E1671"/>
    <w:rsid w:val="006E16A3"/>
    <w:rsid w:val="006E16B9"/>
    <w:rsid w:val="006E173E"/>
    <w:rsid w:val="006E1756"/>
    <w:rsid w:val="006E1764"/>
    <w:rsid w:val="006E177A"/>
    <w:rsid w:val="006E178A"/>
    <w:rsid w:val="006E1790"/>
    <w:rsid w:val="006E1793"/>
    <w:rsid w:val="006E1798"/>
    <w:rsid w:val="006E1799"/>
    <w:rsid w:val="006E1873"/>
    <w:rsid w:val="006E18A2"/>
    <w:rsid w:val="006E18BB"/>
    <w:rsid w:val="006E18F7"/>
    <w:rsid w:val="006E1922"/>
    <w:rsid w:val="006E1984"/>
    <w:rsid w:val="006E198C"/>
    <w:rsid w:val="006E19E5"/>
    <w:rsid w:val="006E1B35"/>
    <w:rsid w:val="006E1B44"/>
    <w:rsid w:val="006E1BC8"/>
    <w:rsid w:val="006E1BCD"/>
    <w:rsid w:val="006E1BDF"/>
    <w:rsid w:val="006E1C14"/>
    <w:rsid w:val="006E1C17"/>
    <w:rsid w:val="006E1C28"/>
    <w:rsid w:val="006E1C3B"/>
    <w:rsid w:val="006E1C5F"/>
    <w:rsid w:val="006E1C60"/>
    <w:rsid w:val="006E1C6F"/>
    <w:rsid w:val="006E1C9B"/>
    <w:rsid w:val="006E1CAC"/>
    <w:rsid w:val="006E1CEF"/>
    <w:rsid w:val="006E1D1B"/>
    <w:rsid w:val="006E1D1F"/>
    <w:rsid w:val="006E1D4E"/>
    <w:rsid w:val="006E1D8C"/>
    <w:rsid w:val="006E1E1F"/>
    <w:rsid w:val="006E1E3C"/>
    <w:rsid w:val="006E1EA8"/>
    <w:rsid w:val="006E1EDB"/>
    <w:rsid w:val="006E1EFE"/>
    <w:rsid w:val="006E1F5E"/>
    <w:rsid w:val="006E1F6F"/>
    <w:rsid w:val="006E1F88"/>
    <w:rsid w:val="006E1F93"/>
    <w:rsid w:val="006E1FA0"/>
    <w:rsid w:val="006E1FD7"/>
    <w:rsid w:val="006E206E"/>
    <w:rsid w:val="006E2074"/>
    <w:rsid w:val="006E2088"/>
    <w:rsid w:val="006E20A6"/>
    <w:rsid w:val="006E20CD"/>
    <w:rsid w:val="006E20ED"/>
    <w:rsid w:val="006E211F"/>
    <w:rsid w:val="006E212C"/>
    <w:rsid w:val="006E2148"/>
    <w:rsid w:val="006E217B"/>
    <w:rsid w:val="006E2195"/>
    <w:rsid w:val="006E219E"/>
    <w:rsid w:val="006E21FD"/>
    <w:rsid w:val="006E2219"/>
    <w:rsid w:val="006E2238"/>
    <w:rsid w:val="006E225D"/>
    <w:rsid w:val="006E2261"/>
    <w:rsid w:val="006E2272"/>
    <w:rsid w:val="006E2296"/>
    <w:rsid w:val="006E22C6"/>
    <w:rsid w:val="006E22F4"/>
    <w:rsid w:val="006E2305"/>
    <w:rsid w:val="006E2307"/>
    <w:rsid w:val="006E231B"/>
    <w:rsid w:val="006E2330"/>
    <w:rsid w:val="006E233A"/>
    <w:rsid w:val="006E236F"/>
    <w:rsid w:val="006E237A"/>
    <w:rsid w:val="006E23CD"/>
    <w:rsid w:val="006E23E4"/>
    <w:rsid w:val="006E241B"/>
    <w:rsid w:val="006E2447"/>
    <w:rsid w:val="006E244E"/>
    <w:rsid w:val="006E246E"/>
    <w:rsid w:val="006E249D"/>
    <w:rsid w:val="006E24CA"/>
    <w:rsid w:val="006E2510"/>
    <w:rsid w:val="006E2554"/>
    <w:rsid w:val="006E2558"/>
    <w:rsid w:val="006E25FA"/>
    <w:rsid w:val="006E260B"/>
    <w:rsid w:val="006E2612"/>
    <w:rsid w:val="006E2637"/>
    <w:rsid w:val="006E2645"/>
    <w:rsid w:val="006E273B"/>
    <w:rsid w:val="006E2777"/>
    <w:rsid w:val="006E27D9"/>
    <w:rsid w:val="006E27F4"/>
    <w:rsid w:val="006E27F8"/>
    <w:rsid w:val="006E27F9"/>
    <w:rsid w:val="006E2873"/>
    <w:rsid w:val="006E2886"/>
    <w:rsid w:val="006E28BF"/>
    <w:rsid w:val="006E292A"/>
    <w:rsid w:val="006E2975"/>
    <w:rsid w:val="006E2989"/>
    <w:rsid w:val="006E299A"/>
    <w:rsid w:val="006E29AE"/>
    <w:rsid w:val="006E29D0"/>
    <w:rsid w:val="006E29DD"/>
    <w:rsid w:val="006E2A92"/>
    <w:rsid w:val="006E2AC8"/>
    <w:rsid w:val="006E2AFA"/>
    <w:rsid w:val="006E2B42"/>
    <w:rsid w:val="006E2B9E"/>
    <w:rsid w:val="006E2BAB"/>
    <w:rsid w:val="006E2BBB"/>
    <w:rsid w:val="006E2BE0"/>
    <w:rsid w:val="006E2BFB"/>
    <w:rsid w:val="006E2C70"/>
    <w:rsid w:val="006E2C7E"/>
    <w:rsid w:val="006E2CB0"/>
    <w:rsid w:val="006E2CE9"/>
    <w:rsid w:val="006E2D1B"/>
    <w:rsid w:val="006E2D75"/>
    <w:rsid w:val="006E2D80"/>
    <w:rsid w:val="006E2DA1"/>
    <w:rsid w:val="006E2E0F"/>
    <w:rsid w:val="006E2E4D"/>
    <w:rsid w:val="006E2E62"/>
    <w:rsid w:val="006E2EAE"/>
    <w:rsid w:val="006E2EBA"/>
    <w:rsid w:val="006E2EBB"/>
    <w:rsid w:val="006E2EC2"/>
    <w:rsid w:val="006E2EC9"/>
    <w:rsid w:val="006E2EE0"/>
    <w:rsid w:val="006E2EE9"/>
    <w:rsid w:val="006E2F01"/>
    <w:rsid w:val="006E2F21"/>
    <w:rsid w:val="006E2F39"/>
    <w:rsid w:val="006E2F3A"/>
    <w:rsid w:val="006E2F6B"/>
    <w:rsid w:val="006E2F70"/>
    <w:rsid w:val="006E2F9E"/>
    <w:rsid w:val="006E2FA0"/>
    <w:rsid w:val="006E2FDC"/>
    <w:rsid w:val="006E2FF4"/>
    <w:rsid w:val="006E3070"/>
    <w:rsid w:val="006E3085"/>
    <w:rsid w:val="006E30C0"/>
    <w:rsid w:val="006E30D9"/>
    <w:rsid w:val="006E3126"/>
    <w:rsid w:val="006E3150"/>
    <w:rsid w:val="006E3156"/>
    <w:rsid w:val="006E319B"/>
    <w:rsid w:val="006E31A0"/>
    <w:rsid w:val="006E31D2"/>
    <w:rsid w:val="006E31D8"/>
    <w:rsid w:val="006E3210"/>
    <w:rsid w:val="006E3249"/>
    <w:rsid w:val="006E32A9"/>
    <w:rsid w:val="006E32B5"/>
    <w:rsid w:val="006E32DA"/>
    <w:rsid w:val="006E3318"/>
    <w:rsid w:val="006E3323"/>
    <w:rsid w:val="006E3346"/>
    <w:rsid w:val="006E334D"/>
    <w:rsid w:val="006E3358"/>
    <w:rsid w:val="006E3385"/>
    <w:rsid w:val="006E33A2"/>
    <w:rsid w:val="006E33C7"/>
    <w:rsid w:val="006E33CD"/>
    <w:rsid w:val="006E33E6"/>
    <w:rsid w:val="006E340B"/>
    <w:rsid w:val="006E345F"/>
    <w:rsid w:val="006E349E"/>
    <w:rsid w:val="006E34B4"/>
    <w:rsid w:val="006E350E"/>
    <w:rsid w:val="006E3522"/>
    <w:rsid w:val="006E3577"/>
    <w:rsid w:val="006E35A6"/>
    <w:rsid w:val="006E362F"/>
    <w:rsid w:val="006E3648"/>
    <w:rsid w:val="006E3682"/>
    <w:rsid w:val="006E36F2"/>
    <w:rsid w:val="006E370A"/>
    <w:rsid w:val="006E370B"/>
    <w:rsid w:val="006E3713"/>
    <w:rsid w:val="006E371C"/>
    <w:rsid w:val="006E3745"/>
    <w:rsid w:val="006E374C"/>
    <w:rsid w:val="006E3777"/>
    <w:rsid w:val="006E3798"/>
    <w:rsid w:val="006E37D2"/>
    <w:rsid w:val="006E37D6"/>
    <w:rsid w:val="006E37DA"/>
    <w:rsid w:val="006E37E0"/>
    <w:rsid w:val="006E3800"/>
    <w:rsid w:val="006E383C"/>
    <w:rsid w:val="006E3893"/>
    <w:rsid w:val="006E38DA"/>
    <w:rsid w:val="006E3914"/>
    <w:rsid w:val="006E397D"/>
    <w:rsid w:val="006E3993"/>
    <w:rsid w:val="006E3997"/>
    <w:rsid w:val="006E39F5"/>
    <w:rsid w:val="006E3A06"/>
    <w:rsid w:val="006E3A5F"/>
    <w:rsid w:val="006E3A7E"/>
    <w:rsid w:val="006E3ACC"/>
    <w:rsid w:val="006E3AD8"/>
    <w:rsid w:val="006E3B23"/>
    <w:rsid w:val="006E3B38"/>
    <w:rsid w:val="006E3B4F"/>
    <w:rsid w:val="006E3B63"/>
    <w:rsid w:val="006E3B70"/>
    <w:rsid w:val="006E3B82"/>
    <w:rsid w:val="006E3B87"/>
    <w:rsid w:val="006E3BBC"/>
    <w:rsid w:val="006E3BEA"/>
    <w:rsid w:val="006E3BEF"/>
    <w:rsid w:val="006E3C25"/>
    <w:rsid w:val="006E3C2F"/>
    <w:rsid w:val="006E3C55"/>
    <w:rsid w:val="006E3C65"/>
    <w:rsid w:val="006E3CA1"/>
    <w:rsid w:val="006E3CB1"/>
    <w:rsid w:val="006E3CB3"/>
    <w:rsid w:val="006E3CD9"/>
    <w:rsid w:val="006E3CE4"/>
    <w:rsid w:val="006E3CF7"/>
    <w:rsid w:val="006E3D26"/>
    <w:rsid w:val="006E3D32"/>
    <w:rsid w:val="006E3D43"/>
    <w:rsid w:val="006E3D66"/>
    <w:rsid w:val="006E3DDA"/>
    <w:rsid w:val="006E3DEF"/>
    <w:rsid w:val="006E3E0F"/>
    <w:rsid w:val="006E3E24"/>
    <w:rsid w:val="006E3E62"/>
    <w:rsid w:val="006E3E6F"/>
    <w:rsid w:val="006E3F23"/>
    <w:rsid w:val="006E3F2C"/>
    <w:rsid w:val="006E3F42"/>
    <w:rsid w:val="006E3F6D"/>
    <w:rsid w:val="006E3F80"/>
    <w:rsid w:val="006E3F81"/>
    <w:rsid w:val="006E3F9B"/>
    <w:rsid w:val="006E3FAD"/>
    <w:rsid w:val="006E4038"/>
    <w:rsid w:val="006E4040"/>
    <w:rsid w:val="006E404D"/>
    <w:rsid w:val="006E406D"/>
    <w:rsid w:val="006E4104"/>
    <w:rsid w:val="006E4146"/>
    <w:rsid w:val="006E4152"/>
    <w:rsid w:val="006E4153"/>
    <w:rsid w:val="006E4173"/>
    <w:rsid w:val="006E418C"/>
    <w:rsid w:val="006E4223"/>
    <w:rsid w:val="006E4225"/>
    <w:rsid w:val="006E423D"/>
    <w:rsid w:val="006E4253"/>
    <w:rsid w:val="006E4256"/>
    <w:rsid w:val="006E4276"/>
    <w:rsid w:val="006E42B7"/>
    <w:rsid w:val="006E42F0"/>
    <w:rsid w:val="006E4309"/>
    <w:rsid w:val="006E433D"/>
    <w:rsid w:val="006E4365"/>
    <w:rsid w:val="006E4371"/>
    <w:rsid w:val="006E43A3"/>
    <w:rsid w:val="006E43DC"/>
    <w:rsid w:val="006E43DD"/>
    <w:rsid w:val="006E441D"/>
    <w:rsid w:val="006E4454"/>
    <w:rsid w:val="006E4459"/>
    <w:rsid w:val="006E445B"/>
    <w:rsid w:val="006E448D"/>
    <w:rsid w:val="006E4504"/>
    <w:rsid w:val="006E4531"/>
    <w:rsid w:val="006E4587"/>
    <w:rsid w:val="006E45B9"/>
    <w:rsid w:val="006E45ED"/>
    <w:rsid w:val="006E466B"/>
    <w:rsid w:val="006E467F"/>
    <w:rsid w:val="006E468C"/>
    <w:rsid w:val="006E46C2"/>
    <w:rsid w:val="006E46C3"/>
    <w:rsid w:val="006E46CA"/>
    <w:rsid w:val="006E4705"/>
    <w:rsid w:val="006E471B"/>
    <w:rsid w:val="006E4773"/>
    <w:rsid w:val="006E47EA"/>
    <w:rsid w:val="006E4841"/>
    <w:rsid w:val="006E486B"/>
    <w:rsid w:val="006E4896"/>
    <w:rsid w:val="006E489E"/>
    <w:rsid w:val="006E48C5"/>
    <w:rsid w:val="006E48C9"/>
    <w:rsid w:val="006E48CE"/>
    <w:rsid w:val="006E48E2"/>
    <w:rsid w:val="006E4916"/>
    <w:rsid w:val="006E4931"/>
    <w:rsid w:val="006E4A1D"/>
    <w:rsid w:val="006E4A2D"/>
    <w:rsid w:val="006E4A2E"/>
    <w:rsid w:val="006E4A44"/>
    <w:rsid w:val="006E4A59"/>
    <w:rsid w:val="006E4A60"/>
    <w:rsid w:val="006E4A6D"/>
    <w:rsid w:val="006E4A74"/>
    <w:rsid w:val="006E4A80"/>
    <w:rsid w:val="006E4A98"/>
    <w:rsid w:val="006E4AD7"/>
    <w:rsid w:val="006E4AF9"/>
    <w:rsid w:val="006E4AFB"/>
    <w:rsid w:val="006E4B1A"/>
    <w:rsid w:val="006E4B1B"/>
    <w:rsid w:val="006E4B31"/>
    <w:rsid w:val="006E4B37"/>
    <w:rsid w:val="006E4BFE"/>
    <w:rsid w:val="006E4C02"/>
    <w:rsid w:val="006E4C07"/>
    <w:rsid w:val="006E4C18"/>
    <w:rsid w:val="006E4C2D"/>
    <w:rsid w:val="006E4CBF"/>
    <w:rsid w:val="006E4D4C"/>
    <w:rsid w:val="006E4D74"/>
    <w:rsid w:val="006E4D9C"/>
    <w:rsid w:val="006E4DE4"/>
    <w:rsid w:val="006E4DE9"/>
    <w:rsid w:val="006E4E16"/>
    <w:rsid w:val="006E4E42"/>
    <w:rsid w:val="006E4E5A"/>
    <w:rsid w:val="006E4EC4"/>
    <w:rsid w:val="006E4EE9"/>
    <w:rsid w:val="006E4F02"/>
    <w:rsid w:val="006E4F18"/>
    <w:rsid w:val="006E4F9C"/>
    <w:rsid w:val="006E4FB5"/>
    <w:rsid w:val="006E5051"/>
    <w:rsid w:val="006E5057"/>
    <w:rsid w:val="006E5066"/>
    <w:rsid w:val="006E50F9"/>
    <w:rsid w:val="006E512A"/>
    <w:rsid w:val="006E5137"/>
    <w:rsid w:val="006E51E4"/>
    <w:rsid w:val="006E521F"/>
    <w:rsid w:val="006E523A"/>
    <w:rsid w:val="006E5240"/>
    <w:rsid w:val="006E525D"/>
    <w:rsid w:val="006E525F"/>
    <w:rsid w:val="006E5297"/>
    <w:rsid w:val="006E52E2"/>
    <w:rsid w:val="006E52EA"/>
    <w:rsid w:val="006E530C"/>
    <w:rsid w:val="006E5312"/>
    <w:rsid w:val="006E5352"/>
    <w:rsid w:val="006E5369"/>
    <w:rsid w:val="006E5371"/>
    <w:rsid w:val="006E540A"/>
    <w:rsid w:val="006E5443"/>
    <w:rsid w:val="006E548F"/>
    <w:rsid w:val="006E54F0"/>
    <w:rsid w:val="006E54F5"/>
    <w:rsid w:val="006E5538"/>
    <w:rsid w:val="006E554B"/>
    <w:rsid w:val="006E55C5"/>
    <w:rsid w:val="006E55C9"/>
    <w:rsid w:val="006E55D3"/>
    <w:rsid w:val="006E55EB"/>
    <w:rsid w:val="006E5603"/>
    <w:rsid w:val="006E5605"/>
    <w:rsid w:val="006E56F1"/>
    <w:rsid w:val="006E56FC"/>
    <w:rsid w:val="006E5714"/>
    <w:rsid w:val="006E573D"/>
    <w:rsid w:val="006E576F"/>
    <w:rsid w:val="006E57D2"/>
    <w:rsid w:val="006E57D7"/>
    <w:rsid w:val="006E5806"/>
    <w:rsid w:val="006E587D"/>
    <w:rsid w:val="006E5897"/>
    <w:rsid w:val="006E58B1"/>
    <w:rsid w:val="006E58D5"/>
    <w:rsid w:val="006E595A"/>
    <w:rsid w:val="006E5986"/>
    <w:rsid w:val="006E59B4"/>
    <w:rsid w:val="006E5A07"/>
    <w:rsid w:val="006E5A4B"/>
    <w:rsid w:val="006E5A53"/>
    <w:rsid w:val="006E5A5D"/>
    <w:rsid w:val="006E5A64"/>
    <w:rsid w:val="006E5A77"/>
    <w:rsid w:val="006E5B4B"/>
    <w:rsid w:val="006E5B71"/>
    <w:rsid w:val="006E5C08"/>
    <w:rsid w:val="006E5C13"/>
    <w:rsid w:val="006E5CCE"/>
    <w:rsid w:val="006E5CD6"/>
    <w:rsid w:val="006E5D32"/>
    <w:rsid w:val="006E5D45"/>
    <w:rsid w:val="006E5D52"/>
    <w:rsid w:val="006E5D6C"/>
    <w:rsid w:val="006E5DB2"/>
    <w:rsid w:val="006E5DB8"/>
    <w:rsid w:val="006E5DE4"/>
    <w:rsid w:val="006E5E0C"/>
    <w:rsid w:val="006E5E1C"/>
    <w:rsid w:val="006E5E24"/>
    <w:rsid w:val="006E5E34"/>
    <w:rsid w:val="006E5E64"/>
    <w:rsid w:val="006E5E67"/>
    <w:rsid w:val="006E5EC7"/>
    <w:rsid w:val="006E5EF6"/>
    <w:rsid w:val="006E5F17"/>
    <w:rsid w:val="006E5F27"/>
    <w:rsid w:val="006E5F28"/>
    <w:rsid w:val="006E5F91"/>
    <w:rsid w:val="006E5F9D"/>
    <w:rsid w:val="006E5FB6"/>
    <w:rsid w:val="006E5FBB"/>
    <w:rsid w:val="006E5FDE"/>
    <w:rsid w:val="006E5FF1"/>
    <w:rsid w:val="006E6003"/>
    <w:rsid w:val="006E6041"/>
    <w:rsid w:val="006E6064"/>
    <w:rsid w:val="006E6066"/>
    <w:rsid w:val="006E60D6"/>
    <w:rsid w:val="006E60EF"/>
    <w:rsid w:val="006E60FD"/>
    <w:rsid w:val="006E6100"/>
    <w:rsid w:val="006E6120"/>
    <w:rsid w:val="006E612D"/>
    <w:rsid w:val="006E6134"/>
    <w:rsid w:val="006E616C"/>
    <w:rsid w:val="006E619A"/>
    <w:rsid w:val="006E6209"/>
    <w:rsid w:val="006E6234"/>
    <w:rsid w:val="006E623A"/>
    <w:rsid w:val="006E623C"/>
    <w:rsid w:val="006E6267"/>
    <w:rsid w:val="006E627F"/>
    <w:rsid w:val="006E6282"/>
    <w:rsid w:val="006E62B7"/>
    <w:rsid w:val="006E62D8"/>
    <w:rsid w:val="006E62E7"/>
    <w:rsid w:val="006E6348"/>
    <w:rsid w:val="006E637C"/>
    <w:rsid w:val="006E63A0"/>
    <w:rsid w:val="006E63B5"/>
    <w:rsid w:val="006E63F3"/>
    <w:rsid w:val="006E6424"/>
    <w:rsid w:val="006E64C7"/>
    <w:rsid w:val="006E64E8"/>
    <w:rsid w:val="006E6551"/>
    <w:rsid w:val="006E659A"/>
    <w:rsid w:val="006E65F9"/>
    <w:rsid w:val="006E6621"/>
    <w:rsid w:val="006E6687"/>
    <w:rsid w:val="006E6691"/>
    <w:rsid w:val="006E66A5"/>
    <w:rsid w:val="006E66E0"/>
    <w:rsid w:val="006E66F1"/>
    <w:rsid w:val="006E670C"/>
    <w:rsid w:val="006E675C"/>
    <w:rsid w:val="006E6796"/>
    <w:rsid w:val="006E67F6"/>
    <w:rsid w:val="006E6825"/>
    <w:rsid w:val="006E68F1"/>
    <w:rsid w:val="006E690A"/>
    <w:rsid w:val="006E692F"/>
    <w:rsid w:val="006E6948"/>
    <w:rsid w:val="006E69BF"/>
    <w:rsid w:val="006E6A23"/>
    <w:rsid w:val="006E6A88"/>
    <w:rsid w:val="006E6A9E"/>
    <w:rsid w:val="006E6B18"/>
    <w:rsid w:val="006E6B27"/>
    <w:rsid w:val="006E6B72"/>
    <w:rsid w:val="006E6B8F"/>
    <w:rsid w:val="006E6C11"/>
    <w:rsid w:val="006E6C2E"/>
    <w:rsid w:val="006E6C3E"/>
    <w:rsid w:val="006E6C45"/>
    <w:rsid w:val="006E6C71"/>
    <w:rsid w:val="006E6CAB"/>
    <w:rsid w:val="006E6CAE"/>
    <w:rsid w:val="006E6CC5"/>
    <w:rsid w:val="006E6CE2"/>
    <w:rsid w:val="006E6CFE"/>
    <w:rsid w:val="006E6D3C"/>
    <w:rsid w:val="006E6D6E"/>
    <w:rsid w:val="006E6DBD"/>
    <w:rsid w:val="006E6DFB"/>
    <w:rsid w:val="006E6E0E"/>
    <w:rsid w:val="006E6E52"/>
    <w:rsid w:val="006E6E93"/>
    <w:rsid w:val="006E6EED"/>
    <w:rsid w:val="006E6FA7"/>
    <w:rsid w:val="006E6FDC"/>
    <w:rsid w:val="006E700D"/>
    <w:rsid w:val="006E700F"/>
    <w:rsid w:val="006E702F"/>
    <w:rsid w:val="006E707D"/>
    <w:rsid w:val="006E70C3"/>
    <w:rsid w:val="006E70D7"/>
    <w:rsid w:val="006E70E9"/>
    <w:rsid w:val="006E7103"/>
    <w:rsid w:val="006E7131"/>
    <w:rsid w:val="006E7141"/>
    <w:rsid w:val="006E7142"/>
    <w:rsid w:val="006E714C"/>
    <w:rsid w:val="006E7187"/>
    <w:rsid w:val="006E7191"/>
    <w:rsid w:val="006E71CF"/>
    <w:rsid w:val="006E71F5"/>
    <w:rsid w:val="006E722D"/>
    <w:rsid w:val="006E7232"/>
    <w:rsid w:val="006E728B"/>
    <w:rsid w:val="006E72AC"/>
    <w:rsid w:val="006E72C3"/>
    <w:rsid w:val="006E72EA"/>
    <w:rsid w:val="006E7302"/>
    <w:rsid w:val="006E7336"/>
    <w:rsid w:val="006E7364"/>
    <w:rsid w:val="006E7369"/>
    <w:rsid w:val="006E7389"/>
    <w:rsid w:val="006E73A0"/>
    <w:rsid w:val="006E73DB"/>
    <w:rsid w:val="006E7411"/>
    <w:rsid w:val="006E7452"/>
    <w:rsid w:val="006E74DA"/>
    <w:rsid w:val="006E74F7"/>
    <w:rsid w:val="006E7507"/>
    <w:rsid w:val="006E7520"/>
    <w:rsid w:val="006E7545"/>
    <w:rsid w:val="006E756C"/>
    <w:rsid w:val="006E7579"/>
    <w:rsid w:val="006E758A"/>
    <w:rsid w:val="006E7599"/>
    <w:rsid w:val="006E75B4"/>
    <w:rsid w:val="006E75BD"/>
    <w:rsid w:val="006E75D0"/>
    <w:rsid w:val="006E75F4"/>
    <w:rsid w:val="006E7608"/>
    <w:rsid w:val="006E763C"/>
    <w:rsid w:val="006E7695"/>
    <w:rsid w:val="006E76F1"/>
    <w:rsid w:val="006E7730"/>
    <w:rsid w:val="006E7741"/>
    <w:rsid w:val="006E7751"/>
    <w:rsid w:val="006E7779"/>
    <w:rsid w:val="006E777E"/>
    <w:rsid w:val="006E7802"/>
    <w:rsid w:val="006E78A7"/>
    <w:rsid w:val="006E78D1"/>
    <w:rsid w:val="006E7953"/>
    <w:rsid w:val="006E796A"/>
    <w:rsid w:val="006E797D"/>
    <w:rsid w:val="006E79B7"/>
    <w:rsid w:val="006E79E3"/>
    <w:rsid w:val="006E7A25"/>
    <w:rsid w:val="006E7A64"/>
    <w:rsid w:val="006E7A83"/>
    <w:rsid w:val="006E7A96"/>
    <w:rsid w:val="006E7AD0"/>
    <w:rsid w:val="006E7B3C"/>
    <w:rsid w:val="006E7B6B"/>
    <w:rsid w:val="006E7B75"/>
    <w:rsid w:val="006E7BB3"/>
    <w:rsid w:val="006E7BC7"/>
    <w:rsid w:val="006E7C0D"/>
    <w:rsid w:val="006E7C33"/>
    <w:rsid w:val="006E7C4D"/>
    <w:rsid w:val="006E7CBC"/>
    <w:rsid w:val="006E7CE0"/>
    <w:rsid w:val="006E7D21"/>
    <w:rsid w:val="006E7D4B"/>
    <w:rsid w:val="006E7D68"/>
    <w:rsid w:val="006E7D72"/>
    <w:rsid w:val="006E7DD4"/>
    <w:rsid w:val="006E7DE4"/>
    <w:rsid w:val="006E7E75"/>
    <w:rsid w:val="006E7E80"/>
    <w:rsid w:val="006E7EA3"/>
    <w:rsid w:val="006E7ECF"/>
    <w:rsid w:val="006E7ED1"/>
    <w:rsid w:val="006E7EE2"/>
    <w:rsid w:val="006E7EEF"/>
    <w:rsid w:val="006E7F0F"/>
    <w:rsid w:val="006E7F12"/>
    <w:rsid w:val="006F0073"/>
    <w:rsid w:val="006F00DA"/>
    <w:rsid w:val="006F01E8"/>
    <w:rsid w:val="006F0219"/>
    <w:rsid w:val="006F0246"/>
    <w:rsid w:val="006F0254"/>
    <w:rsid w:val="006F0256"/>
    <w:rsid w:val="006F0298"/>
    <w:rsid w:val="006F02C8"/>
    <w:rsid w:val="006F0311"/>
    <w:rsid w:val="006F0336"/>
    <w:rsid w:val="006F0337"/>
    <w:rsid w:val="006F034D"/>
    <w:rsid w:val="006F03CE"/>
    <w:rsid w:val="006F03D0"/>
    <w:rsid w:val="006F03E6"/>
    <w:rsid w:val="006F040C"/>
    <w:rsid w:val="006F0427"/>
    <w:rsid w:val="006F043F"/>
    <w:rsid w:val="006F0444"/>
    <w:rsid w:val="006F0450"/>
    <w:rsid w:val="006F0498"/>
    <w:rsid w:val="006F049C"/>
    <w:rsid w:val="006F04A9"/>
    <w:rsid w:val="006F04C2"/>
    <w:rsid w:val="006F04C4"/>
    <w:rsid w:val="006F04CD"/>
    <w:rsid w:val="006F0510"/>
    <w:rsid w:val="006F055C"/>
    <w:rsid w:val="006F057C"/>
    <w:rsid w:val="006F0593"/>
    <w:rsid w:val="006F05D2"/>
    <w:rsid w:val="006F063B"/>
    <w:rsid w:val="006F0645"/>
    <w:rsid w:val="006F064E"/>
    <w:rsid w:val="006F06F3"/>
    <w:rsid w:val="006F0778"/>
    <w:rsid w:val="006F07BD"/>
    <w:rsid w:val="006F084D"/>
    <w:rsid w:val="006F084E"/>
    <w:rsid w:val="006F087D"/>
    <w:rsid w:val="006F08A5"/>
    <w:rsid w:val="006F08AE"/>
    <w:rsid w:val="006F08C3"/>
    <w:rsid w:val="006F0902"/>
    <w:rsid w:val="006F090C"/>
    <w:rsid w:val="006F0943"/>
    <w:rsid w:val="006F0972"/>
    <w:rsid w:val="006F0975"/>
    <w:rsid w:val="006F098A"/>
    <w:rsid w:val="006F098F"/>
    <w:rsid w:val="006F09E0"/>
    <w:rsid w:val="006F0A14"/>
    <w:rsid w:val="006F0A3E"/>
    <w:rsid w:val="006F0A5F"/>
    <w:rsid w:val="006F0A6B"/>
    <w:rsid w:val="006F0A92"/>
    <w:rsid w:val="006F0AD3"/>
    <w:rsid w:val="006F0AF9"/>
    <w:rsid w:val="006F0B08"/>
    <w:rsid w:val="006F0B16"/>
    <w:rsid w:val="006F0B1A"/>
    <w:rsid w:val="006F0B5F"/>
    <w:rsid w:val="006F0B66"/>
    <w:rsid w:val="006F0B8E"/>
    <w:rsid w:val="006F0BAD"/>
    <w:rsid w:val="006F0C31"/>
    <w:rsid w:val="006F0C3F"/>
    <w:rsid w:val="006F0C55"/>
    <w:rsid w:val="006F0C69"/>
    <w:rsid w:val="006F0C74"/>
    <w:rsid w:val="006F0C7A"/>
    <w:rsid w:val="006F0C7C"/>
    <w:rsid w:val="006F0CCA"/>
    <w:rsid w:val="006F0CD7"/>
    <w:rsid w:val="006F0D0E"/>
    <w:rsid w:val="006F0D60"/>
    <w:rsid w:val="006F0D79"/>
    <w:rsid w:val="006F0D9E"/>
    <w:rsid w:val="006F0E20"/>
    <w:rsid w:val="006F0E45"/>
    <w:rsid w:val="006F0E4D"/>
    <w:rsid w:val="006F0E8A"/>
    <w:rsid w:val="006F0F1C"/>
    <w:rsid w:val="006F0F36"/>
    <w:rsid w:val="006F0F4B"/>
    <w:rsid w:val="006F1000"/>
    <w:rsid w:val="006F1005"/>
    <w:rsid w:val="006F1017"/>
    <w:rsid w:val="006F1051"/>
    <w:rsid w:val="006F106E"/>
    <w:rsid w:val="006F108E"/>
    <w:rsid w:val="006F10CA"/>
    <w:rsid w:val="006F10EB"/>
    <w:rsid w:val="006F10F2"/>
    <w:rsid w:val="006F10FB"/>
    <w:rsid w:val="006F116B"/>
    <w:rsid w:val="006F11B8"/>
    <w:rsid w:val="006F1200"/>
    <w:rsid w:val="006F1280"/>
    <w:rsid w:val="006F1281"/>
    <w:rsid w:val="006F1287"/>
    <w:rsid w:val="006F12C8"/>
    <w:rsid w:val="006F12DA"/>
    <w:rsid w:val="006F12DE"/>
    <w:rsid w:val="006F12EB"/>
    <w:rsid w:val="006F1330"/>
    <w:rsid w:val="006F1335"/>
    <w:rsid w:val="006F135A"/>
    <w:rsid w:val="006F138B"/>
    <w:rsid w:val="006F139C"/>
    <w:rsid w:val="006F1429"/>
    <w:rsid w:val="006F146E"/>
    <w:rsid w:val="006F1480"/>
    <w:rsid w:val="006F14B0"/>
    <w:rsid w:val="006F14C3"/>
    <w:rsid w:val="006F1512"/>
    <w:rsid w:val="006F1513"/>
    <w:rsid w:val="006F156C"/>
    <w:rsid w:val="006F15E0"/>
    <w:rsid w:val="006F1611"/>
    <w:rsid w:val="006F1625"/>
    <w:rsid w:val="006F1662"/>
    <w:rsid w:val="006F16A9"/>
    <w:rsid w:val="006F172A"/>
    <w:rsid w:val="006F1741"/>
    <w:rsid w:val="006F1744"/>
    <w:rsid w:val="006F1746"/>
    <w:rsid w:val="006F17EA"/>
    <w:rsid w:val="006F1829"/>
    <w:rsid w:val="006F185C"/>
    <w:rsid w:val="006F189F"/>
    <w:rsid w:val="006F18A6"/>
    <w:rsid w:val="006F18C0"/>
    <w:rsid w:val="006F18D4"/>
    <w:rsid w:val="006F18E0"/>
    <w:rsid w:val="006F18FE"/>
    <w:rsid w:val="006F1926"/>
    <w:rsid w:val="006F195E"/>
    <w:rsid w:val="006F195F"/>
    <w:rsid w:val="006F1964"/>
    <w:rsid w:val="006F1983"/>
    <w:rsid w:val="006F19A7"/>
    <w:rsid w:val="006F19FF"/>
    <w:rsid w:val="006F1A02"/>
    <w:rsid w:val="006F1A0E"/>
    <w:rsid w:val="006F1A53"/>
    <w:rsid w:val="006F1A6C"/>
    <w:rsid w:val="006F1ACB"/>
    <w:rsid w:val="006F1AE0"/>
    <w:rsid w:val="006F1AE7"/>
    <w:rsid w:val="006F1AE8"/>
    <w:rsid w:val="006F1B03"/>
    <w:rsid w:val="006F1B1C"/>
    <w:rsid w:val="006F1B22"/>
    <w:rsid w:val="006F1B6B"/>
    <w:rsid w:val="006F1B6C"/>
    <w:rsid w:val="006F1B77"/>
    <w:rsid w:val="006F1BA8"/>
    <w:rsid w:val="006F1BE7"/>
    <w:rsid w:val="006F1C2D"/>
    <w:rsid w:val="006F1CDC"/>
    <w:rsid w:val="006F1D14"/>
    <w:rsid w:val="006F1D19"/>
    <w:rsid w:val="006F1D21"/>
    <w:rsid w:val="006F1D5A"/>
    <w:rsid w:val="006F1D84"/>
    <w:rsid w:val="006F1DCF"/>
    <w:rsid w:val="006F1DFC"/>
    <w:rsid w:val="006F1E30"/>
    <w:rsid w:val="006F1E33"/>
    <w:rsid w:val="006F1E73"/>
    <w:rsid w:val="006F1E8C"/>
    <w:rsid w:val="006F1EDC"/>
    <w:rsid w:val="006F1F01"/>
    <w:rsid w:val="006F1F1A"/>
    <w:rsid w:val="006F1F50"/>
    <w:rsid w:val="006F1F79"/>
    <w:rsid w:val="006F1F7F"/>
    <w:rsid w:val="006F2025"/>
    <w:rsid w:val="006F202C"/>
    <w:rsid w:val="006F203D"/>
    <w:rsid w:val="006F2069"/>
    <w:rsid w:val="006F2080"/>
    <w:rsid w:val="006F20B2"/>
    <w:rsid w:val="006F20BF"/>
    <w:rsid w:val="006F2117"/>
    <w:rsid w:val="006F212F"/>
    <w:rsid w:val="006F2144"/>
    <w:rsid w:val="006F2192"/>
    <w:rsid w:val="006F219F"/>
    <w:rsid w:val="006F21D1"/>
    <w:rsid w:val="006F21E1"/>
    <w:rsid w:val="006F2206"/>
    <w:rsid w:val="006F2217"/>
    <w:rsid w:val="006F2254"/>
    <w:rsid w:val="006F2277"/>
    <w:rsid w:val="006F22C7"/>
    <w:rsid w:val="006F22F1"/>
    <w:rsid w:val="006F234F"/>
    <w:rsid w:val="006F236C"/>
    <w:rsid w:val="006F2384"/>
    <w:rsid w:val="006F2389"/>
    <w:rsid w:val="006F23A1"/>
    <w:rsid w:val="006F23AE"/>
    <w:rsid w:val="006F23D3"/>
    <w:rsid w:val="006F2456"/>
    <w:rsid w:val="006F2497"/>
    <w:rsid w:val="006F24B7"/>
    <w:rsid w:val="006F24ED"/>
    <w:rsid w:val="006F24F2"/>
    <w:rsid w:val="006F2520"/>
    <w:rsid w:val="006F2531"/>
    <w:rsid w:val="006F2556"/>
    <w:rsid w:val="006F255D"/>
    <w:rsid w:val="006F2563"/>
    <w:rsid w:val="006F257F"/>
    <w:rsid w:val="006F258B"/>
    <w:rsid w:val="006F25A6"/>
    <w:rsid w:val="006F25C3"/>
    <w:rsid w:val="006F25FA"/>
    <w:rsid w:val="006F261C"/>
    <w:rsid w:val="006F2620"/>
    <w:rsid w:val="006F265B"/>
    <w:rsid w:val="006F26AC"/>
    <w:rsid w:val="006F26C5"/>
    <w:rsid w:val="006F26FA"/>
    <w:rsid w:val="006F2743"/>
    <w:rsid w:val="006F2750"/>
    <w:rsid w:val="006F2754"/>
    <w:rsid w:val="006F2764"/>
    <w:rsid w:val="006F27D3"/>
    <w:rsid w:val="006F27D5"/>
    <w:rsid w:val="006F27DF"/>
    <w:rsid w:val="006F281A"/>
    <w:rsid w:val="006F28AC"/>
    <w:rsid w:val="006F28DC"/>
    <w:rsid w:val="006F2907"/>
    <w:rsid w:val="006F2927"/>
    <w:rsid w:val="006F29BB"/>
    <w:rsid w:val="006F29DD"/>
    <w:rsid w:val="006F29FB"/>
    <w:rsid w:val="006F2A2A"/>
    <w:rsid w:val="006F2A49"/>
    <w:rsid w:val="006F2A62"/>
    <w:rsid w:val="006F2AA0"/>
    <w:rsid w:val="006F2AA6"/>
    <w:rsid w:val="006F2ACC"/>
    <w:rsid w:val="006F2AF2"/>
    <w:rsid w:val="006F2AFF"/>
    <w:rsid w:val="006F2B85"/>
    <w:rsid w:val="006F2BE1"/>
    <w:rsid w:val="006F2C02"/>
    <w:rsid w:val="006F2C27"/>
    <w:rsid w:val="006F2C3C"/>
    <w:rsid w:val="006F2CBA"/>
    <w:rsid w:val="006F2CCF"/>
    <w:rsid w:val="006F2D00"/>
    <w:rsid w:val="006F2D11"/>
    <w:rsid w:val="006F2E01"/>
    <w:rsid w:val="006F2E33"/>
    <w:rsid w:val="006F2E39"/>
    <w:rsid w:val="006F2E43"/>
    <w:rsid w:val="006F2E79"/>
    <w:rsid w:val="006F2F10"/>
    <w:rsid w:val="006F2F1E"/>
    <w:rsid w:val="006F2F9B"/>
    <w:rsid w:val="006F2FB2"/>
    <w:rsid w:val="006F2FCD"/>
    <w:rsid w:val="006F2FE9"/>
    <w:rsid w:val="006F2FFA"/>
    <w:rsid w:val="006F3000"/>
    <w:rsid w:val="006F30E0"/>
    <w:rsid w:val="006F30EB"/>
    <w:rsid w:val="006F3107"/>
    <w:rsid w:val="006F315D"/>
    <w:rsid w:val="006F316F"/>
    <w:rsid w:val="006F31C3"/>
    <w:rsid w:val="006F31FD"/>
    <w:rsid w:val="006F3227"/>
    <w:rsid w:val="006F328F"/>
    <w:rsid w:val="006F3293"/>
    <w:rsid w:val="006F3299"/>
    <w:rsid w:val="006F32D9"/>
    <w:rsid w:val="006F32E2"/>
    <w:rsid w:val="006F32EB"/>
    <w:rsid w:val="006F3300"/>
    <w:rsid w:val="006F333D"/>
    <w:rsid w:val="006F337E"/>
    <w:rsid w:val="006F3405"/>
    <w:rsid w:val="006F3434"/>
    <w:rsid w:val="006F3494"/>
    <w:rsid w:val="006F349F"/>
    <w:rsid w:val="006F354D"/>
    <w:rsid w:val="006F3566"/>
    <w:rsid w:val="006F35DA"/>
    <w:rsid w:val="006F35E1"/>
    <w:rsid w:val="006F3608"/>
    <w:rsid w:val="006F360B"/>
    <w:rsid w:val="006F363E"/>
    <w:rsid w:val="006F365A"/>
    <w:rsid w:val="006F366C"/>
    <w:rsid w:val="006F3680"/>
    <w:rsid w:val="006F3696"/>
    <w:rsid w:val="006F371A"/>
    <w:rsid w:val="006F3778"/>
    <w:rsid w:val="006F37E3"/>
    <w:rsid w:val="006F3816"/>
    <w:rsid w:val="006F3848"/>
    <w:rsid w:val="006F385A"/>
    <w:rsid w:val="006F3898"/>
    <w:rsid w:val="006F391F"/>
    <w:rsid w:val="006F3957"/>
    <w:rsid w:val="006F3960"/>
    <w:rsid w:val="006F39AC"/>
    <w:rsid w:val="006F39E4"/>
    <w:rsid w:val="006F3A31"/>
    <w:rsid w:val="006F3A33"/>
    <w:rsid w:val="006F3A40"/>
    <w:rsid w:val="006F3A43"/>
    <w:rsid w:val="006F3A61"/>
    <w:rsid w:val="006F3A63"/>
    <w:rsid w:val="006F3A9F"/>
    <w:rsid w:val="006F3AE0"/>
    <w:rsid w:val="006F3AF4"/>
    <w:rsid w:val="006F3B42"/>
    <w:rsid w:val="006F3B5D"/>
    <w:rsid w:val="006F3B93"/>
    <w:rsid w:val="006F3DA0"/>
    <w:rsid w:val="006F3DA5"/>
    <w:rsid w:val="006F3DA6"/>
    <w:rsid w:val="006F3DAA"/>
    <w:rsid w:val="006F3DB9"/>
    <w:rsid w:val="006F3E10"/>
    <w:rsid w:val="006F3E4B"/>
    <w:rsid w:val="006F3E51"/>
    <w:rsid w:val="006F3EAD"/>
    <w:rsid w:val="006F3F2C"/>
    <w:rsid w:val="006F3FAD"/>
    <w:rsid w:val="006F3FE2"/>
    <w:rsid w:val="006F3FE5"/>
    <w:rsid w:val="006F4008"/>
    <w:rsid w:val="006F4092"/>
    <w:rsid w:val="006F40CD"/>
    <w:rsid w:val="006F4168"/>
    <w:rsid w:val="006F417E"/>
    <w:rsid w:val="006F41BF"/>
    <w:rsid w:val="006F41F3"/>
    <w:rsid w:val="006F420B"/>
    <w:rsid w:val="006F4210"/>
    <w:rsid w:val="006F4221"/>
    <w:rsid w:val="006F42DF"/>
    <w:rsid w:val="006F42FA"/>
    <w:rsid w:val="006F4301"/>
    <w:rsid w:val="006F431F"/>
    <w:rsid w:val="006F4350"/>
    <w:rsid w:val="006F4361"/>
    <w:rsid w:val="006F439E"/>
    <w:rsid w:val="006F43D9"/>
    <w:rsid w:val="006F43EB"/>
    <w:rsid w:val="006F43FF"/>
    <w:rsid w:val="006F4402"/>
    <w:rsid w:val="006F4411"/>
    <w:rsid w:val="006F442F"/>
    <w:rsid w:val="006F449C"/>
    <w:rsid w:val="006F44FA"/>
    <w:rsid w:val="006F456D"/>
    <w:rsid w:val="006F4581"/>
    <w:rsid w:val="006F458A"/>
    <w:rsid w:val="006F45BE"/>
    <w:rsid w:val="006F45C2"/>
    <w:rsid w:val="006F45E5"/>
    <w:rsid w:val="006F460E"/>
    <w:rsid w:val="006F462D"/>
    <w:rsid w:val="006F4655"/>
    <w:rsid w:val="006F4681"/>
    <w:rsid w:val="006F4688"/>
    <w:rsid w:val="006F468A"/>
    <w:rsid w:val="006F46AB"/>
    <w:rsid w:val="006F46C9"/>
    <w:rsid w:val="006F46D0"/>
    <w:rsid w:val="006F46FB"/>
    <w:rsid w:val="006F47D4"/>
    <w:rsid w:val="006F4805"/>
    <w:rsid w:val="006F4809"/>
    <w:rsid w:val="006F480C"/>
    <w:rsid w:val="006F482D"/>
    <w:rsid w:val="006F4842"/>
    <w:rsid w:val="006F4864"/>
    <w:rsid w:val="006F4885"/>
    <w:rsid w:val="006F4899"/>
    <w:rsid w:val="006F48C5"/>
    <w:rsid w:val="006F48C9"/>
    <w:rsid w:val="006F48DE"/>
    <w:rsid w:val="006F48FD"/>
    <w:rsid w:val="006F496D"/>
    <w:rsid w:val="006F49C3"/>
    <w:rsid w:val="006F4A4A"/>
    <w:rsid w:val="006F4A97"/>
    <w:rsid w:val="006F4AA5"/>
    <w:rsid w:val="006F4AB0"/>
    <w:rsid w:val="006F4ADC"/>
    <w:rsid w:val="006F4BBF"/>
    <w:rsid w:val="006F4BD1"/>
    <w:rsid w:val="006F4BE8"/>
    <w:rsid w:val="006F4C3D"/>
    <w:rsid w:val="006F4C5A"/>
    <w:rsid w:val="006F4CC3"/>
    <w:rsid w:val="006F4D14"/>
    <w:rsid w:val="006F4D50"/>
    <w:rsid w:val="006F4D54"/>
    <w:rsid w:val="006F4D6D"/>
    <w:rsid w:val="006F4DD2"/>
    <w:rsid w:val="006F4DF9"/>
    <w:rsid w:val="006F4E2F"/>
    <w:rsid w:val="006F4E37"/>
    <w:rsid w:val="006F4E5B"/>
    <w:rsid w:val="006F4E71"/>
    <w:rsid w:val="006F4EB2"/>
    <w:rsid w:val="006F4EF8"/>
    <w:rsid w:val="006F4F18"/>
    <w:rsid w:val="006F4F1F"/>
    <w:rsid w:val="006F4F21"/>
    <w:rsid w:val="006F4F6C"/>
    <w:rsid w:val="006F4FCF"/>
    <w:rsid w:val="006F4FF0"/>
    <w:rsid w:val="006F501D"/>
    <w:rsid w:val="006F5026"/>
    <w:rsid w:val="006F5030"/>
    <w:rsid w:val="006F504A"/>
    <w:rsid w:val="006F509D"/>
    <w:rsid w:val="006F50AE"/>
    <w:rsid w:val="006F5179"/>
    <w:rsid w:val="006F51D0"/>
    <w:rsid w:val="006F5234"/>
    <w:rsid w:val="006F52AF"/>
    <w:rsid w:val="006F531D"/>
    <w:rsid w:val="006F5339"/>
    <w:rsid w:val="006F5384"/>
    <w:rsid w:val="006F5393"/>
    <w:rsid w:val="006F53D7"/>
    <w:rsid w:val="006F53F1"/>
    <w:rsid w:val="006F5405"/>
    <w:rsid w:val="006F5433"/>
    <w:rsid w:val="006F5438"/>
    <w:rsid w:val="006F543D"/>
    <w:rsid w:val="006F5499"/>
    <w:rsid w:val="006F54A0"/>
    <w:rsid w:val="006F54DC"/>
    <w:rsid w:val="006F54FB"/>
    <w:rsid w:val="006F5509"/>
    <w:rsid w:val="006F551F"/>
    <w:rsid w:val="006F5522"/>
    <w:rsid w:val="006F5542"/>
    <w:rsid w:val="006F5598"/>
    <w:rsid w:val="006F55AE"/>
    <w:rsid w:val="006F5604"/>
    <w:rsid w:val="006F5659"/>
    <w:rsid w:val="006F56D7"/>
    <w:rsid w:val="006F5704"/>
    <w:rsid w:val="006F570B"/>
    <w:rsid w:val="006F57DB"/>
    <w:rsid w:val="006F5807"/>
    <w:rsid w:val="006F5881"/>
    <w:rsid w:val="006F589D"/>
    <w:rsid w:val="006F58B1"/>
    <w:rsid w:val="006F5902"/>
    <w:rsid w:val="006F5994"/>
    <w:rsid w:val="006F5A1A"/>
    <w:rsid w:val="006F5A54"/>
    <w:rsid w:val="006F5AB5"/>
    <w:rsid w:val="006F5AB7"/>
    <w:rsid w:val="006F5AC6"/>
    <w:rsid w:val="006F5ACA"/>
    <w:rsid w:val="006F5ADA"/>
    <w:rsid w:val="006F5B20"/>
    <w:rsid w:val="006F5B48"/>
    <w:rsid w:val="006F5B4F"/>
    <w:rsid w:val="006F5BBF"/>
    <w:rsid w:val="006F5BC5"/>
    <w:rsid w:val="006F5C52"/>
    <w:rsid w:val="006F5C6D"/>
    <w:rsid w:val="006F5C8C"/>
    <w:rsid w:val="006F5CA9"/>
    <w:rsid w:val="006F5CDD"/>
    <w:rsid w:val="006F5D12"/>
    <w:rsid w:val="006F5D1B"/>
    <w:rsid w:val="006F5D92"/>
    <w:rsid w:val="006F5E06"/>
    <w:rsid w:val="006F5ECE"/>
    <w:rsid w:val="006F5ED9"/>
    <w:rsid w:val="006F5EE8"/>
    <w:rsid w:val="006F5F0B"/>
    <w:rsid w:val="006F5F1D"/>
    <w:rsid w:val="006F5F24"/>
    <w:rsid w:val="006F5F64"/>
    <w:rsid w:val="006F5F8A"/>
    <w:rsid w:val="006F5F93"/>
    <w:rsid w:val="006F5FC6"/>
    <w:rsid w:val="006F602A"/>
    <w:rsid w:val="006F610A"/>
    <w:rsid w:val="006F6156"/>
    <w:rsid w:val="006F615C"/>
    <w:rsid w:val="006F615E"/>
    <w:rsid w:val="006F6168"/>
    <w:rsid w:val="006F616F"/>
    <w:rsid w:val="006F6205"/>
    <w:rsid w:val="006F6222"/>
    <w:rsid w:val="006F625B"/>
    <w:rsid w:val="006F6280"/>
    <w:rsid w:val="006F629D"/>
    <w:rsid w:val="006F62B7"/>
    <w:rsid w:val="006F62DC"/>
    <w:rsid w:val="006F63DE"/>
    <w:rsid w:val="006F6410"/>
    <w:rsid w:val="006F6479"/>
    <w:rsid w:val="006F6483"/>
    <w:rsid w:val="006F64BE"/>
    <w:rsid w:val="006F6555"/>
    <w:rsid w:val="006F65DD"/>
    <w:rsid w:val="006F65EA"/>
    <w:rsid w:val="006F65FA"/>
    <w:rsid w:val="006F660B"/>
    <w:rsid w:val="006F6636"/>
    <w:rsid w:val="006F668D"/>
    <w:rsid w:val="006F6744"/>
    <w:rsid w:val="006F6748"/>
    <w:rsid w:val="006F6769"/>
    <w:rsid w:val="006F678C"/>
    <w:rsid w:val="006F67B2"/>
    <w:rsid w:val="006F67C2"/>
    <w:rsid w:val="006F67DF"/>
    <w:rsid w:val="006F67E3"/>
    <w:rsid w:val="006F67F7"/>
    <w:rsid w:val="006F680B"/>
    <w:rsid w:val="006F681C"/>
    <w:rsid w:val="006F682E"/>
    <w:rsid w:val="006F6848"/>
    <w:rsid w:val="006F6855"/>
    <w:rsid w:val="006F6882"/>
    <w:rsid w:val="006F6889"/>
    <w:rsid w:val="006F68CC"/>
    <w:rsid w:val="006F6944"/>
    <w:rsid w:val="006F6A01"/>
    <w:rsid w:val="006F6A16"/>
    <w:rsid w:val="006F6A3B"/>
    <w:rsid w:val="006F6A74"/>
    <w:rsid w:val="006F6ABA"/>
    <w:rsid w:val="006F6B7B"/>
    <w:rsid w:val="006F6BEE"/>
    <w:rsid w:val="006F6CA4"/>
    <w:rsid w:val="006F6CD8"/>
    <w:rsid w:val="006F6D5D"/>
    <w:rsid w:val="006F6DB8"/>
    <w:rsid w:val="006F6DFB"/>
    <w:rsid w:val="006F6E0E"/>
    <w:rsid w:val="006F6E1A"/>
    <w:rsid w:val="006F6E3F"/>
    <w:rsid w:val="006F6E47"/>
    <w:rsid w:val="006F6EA9"/>
    <w:rsid w:val="006F6EB9"/>
    <w:rsid w:val="006F6EBF"/>
    <w:rsid w:val="006F6EC5"/>
    <w:rsid w:val="006F6F18"/>
    <w:rsid w:val="006F6F29"/>
    <w:rsid w:val="006F6F35"/>
    <w:rsid w:val="006F6F86"/>
    <w:rsid w:val="006F6FF5"/>
    <w:rsid w:val="006F6FFF"/>
    <w:rsid w:val="006F7015"/>
    <w:rsid w:val="006F7036"/>
    <w:rsid w:val="006F704E"/>
    <w:rsid w:val="006F705E"/>
    <w:rsid w:val="006F708B"/>
    <w:rsid w:val="006F70DF"/>
    <w:rsid w:val="006F70E0"/>
    <w:rsid w:val="006F7130"/>
    <w:rsid w:val="006F7138"/>
    <w:rsid w:val="006F713D"/>
    <w:rsid w:val="006F715C"/>
    <w:rsid w:val="006F716D"/>
    <w:rsid w:val="006F71C8"/>
    <w:rsid w:val="006F71EF"/>
    <w:rsid w:val="006F71F7"/>
    <w:rsid w:val="006F7229"/>
    <w:rsid w:val="006F725E"/>
    <w:rsid w:val="006F7273"/>
    <w:rsid w:val="006F72D7"/>
    <w:rsid w:val="006F72DD"/>
    <w:rsid w:val="006F72DE"/>
    <w:rsid w:val="006F72F1"/>
    <w:rsid w:val="006F7301"/>
    <w:rsid w:val="006F7322"/>
    <w:rsid w:val="006F7364"/>
    <w:rsid w:val="006F73B5"/>
    <w:rsid w:val="006F73B7"/>
    <w:rsid w:val="006F73BC"/>
    <w:rsid w:val="006F7420"/>
    <w:rsid w:val="006F7453"/>
    <w:rsid w:val="006F748C"/>
    <w:rsid w:val="006F7502"/>
    <w:rsid w:val="006F7515"/>
    <w:rsid w:val="006F751A"/>
    <w:rsid w:val="006F7545"/>
    <w:rsid w:val="006F756A"/>
    <w:rsid w:val="006F7599"/>
    <w:rsid w:val="006F75D6"/>
    <w:rsid w:val="006F75D7"/>
    <w:rsid w:val="006F75E6"/>
    <w:rsid w:val="006F7611"/>
    <w:rsid w:val="006F7617"/>
    <w:rsid w:val="006F765A"/>
    <w:rsid w:val="006F7746"/>
    <w:rsid w:val="006F77A6"/>
    <w:rsid w:val="006F77F8"/>
    <w:rsid w:val="006F77FB"/>
    <w:rsid w:val="006F785F"/>
    <w:rsid w:val="006F788C"/>
    <w:rsid w:val="006F78F5"/>
    <w:rsid w:val="006F794C"/>
    <w:rsid w:val="006F7956"/>
    <w:rsid w:val="006F795E"/>
    <w:rsid w:val="006F7966"/>
    <w:rsid w:val="006F797D"/>
    <w:rsid w:val="006F7980"/>
    <w:rsid w:val="006F7996"/>
    <w:rsid w:val="006F7A06"/>
    <w:rsid w:val="006F7A09"/>
    <w:rsid w:val="006F7A0D"/>
    <w:rsid w:val="006F7A31"/>
    <w:rsid w:val="006F7A37"/>
    <w:rsid w:val="006F7A62"/>
    <w:rsid w:val="006F7A77"/>
    <w:rsid w:val="006F7A7D"/>
    <w:rsid w:val="006F7A7F"/>
    <w:rsid w:val="006F7AD7"/>
    <w:rsid w:val="006F7B31"/>
    <w:rsid w:val="006F7B88"/>
    <w:rsid w:val="006F7C36"/>
    <w:rsid w:val="006F7C4C"/>
    <w:rsid w:val="006F7C81"/>
    <w:rsid w:val="006F7C92"/>
    <w:rsid w:val="006F7C9F"/>
    <w:rsid w:val="006F7CAE"/>
    <w:rsid w:val="006F7CAF"/>
    <w:rsid w:val="006F7CEF"/>
    <w:rsid w:val="006F7CF1"/>
    <w:rsid w:val="006F7D4C"/>
    <w:rsid w:val="006F7D5C"/>
    <w:rsid w:val="006F7D9A"/>
    <w:rsid w:val="006F7DFD"/>
    <w:rsid w:val="006F7E3E"/>
    <w:rsid w:val="006F7E3F"/>
    <w:rsid w:val="006F7E53"/>
    <w:rsid w:val="006F7EF8"/>
    <w:rsid w:val="006F7F39"/>
    <w:rsid w:val="006F7F3F"/>
    <w:rsid w:val="006F7F5F"/>
    <w:rsid w:val="006F7FCF"/>
    <w:rsid w:val="00700002"/>
    <w:rsid w:val="00700053"/>
    <w:rsid w:val="00700083"/>
    <w:rsid w:val="007000CB"/>
    <w:rsid w:val="007000DE"/>
    <w:rsid w:val="00700101"/>
    <w:rsid w:val="00700155"/>
    <w:rsid w:val="0070015E"/>
    <w:rsid w:val="007001C1"/>
    <w:rsid w:val="007001DD"/>
    <w:rsid w:val="007001F8"/>
    <w:rsid w:val="00700213"/>
    <w:rsid w:val="0070024A"/>
    <w:rsid w:val="00700261"/>
    <w:rsid w:val="007002BE"/>
    <w:rsid w:val="0070030A"/>
    <w:rsid w:val="00700327"/>
    <w:rsid w:val="00700340"/>
    <w:rsid w:val="00700344"/>
    <w:rsid w:val="00700376"/>
    <w:rsid w:val="007003AC"/>
    <w:rsid w:val="007003BF"/>
    <w:rsid w:val="007003C4"/>
    <w:rsid w:val="007003D3"/>
    <w:rsid w:val="007003EA"/>
    <w:rsid w:val="00700441"/>
    <w:rsid w:val="00700497"/>
    <w:rsid w:val="0070049C"/>
    <w:rsid w:val="007004E2"/>
    <w:rsid w:val="007004E7"/>
    <w:rsid w:val="007004F0"/>
    <w:rsid w:val="0070050E"/>
    <w:rsid w:val="00700511"/>
    <w:rsid w:val="00700543"/>
    <w:rsid w:val="00700548"/>
    <w:rsid w:val="00700585"/>
    <w:rsid w:val="007005BF"/>
    <w:rsid w:val="007005C9"/>
    <w:rsid w:val="007005F0"/>
    <w:rsid w:val="00700603"/>
    <w:rsid w:val="00700618"/>
    <w:rsid w:val="00700625"/>
    <w:rsid w:val="00700645"/>
    <w:rsid w:val="00700661"/>
    <w:rsid w:val="00700694"/>
    <w:rsid w:val="007006AD"/>
    <w:rsid w:val="007006AE"/>
    <w:rsid w:val="007006B1"/>
    <w:rsid w:val="007006EA"/>
    <w:rsid w:val="007006EF"/>
    <w:rsid w:val="00700705"/>
    <w:rsid w:val="0070072A"/>
    <w:rsid w:val="0070073D"/>
    <w:rsid w:val="0070079C"/>
    <w:rsid w:val="007007D1"/>
    <w:rsid w:val="007007F8"/>
    <w:rsid w:val="00700802"/>
    <w:rsid w:val="0070080A"/>
    <w:rsid w:val="0070080B"/>
    <w:rsid w:val="0070084D"/>
    <w:rsid w:val="0070088F"/>
    <w:rsid w:val="007008C2"/>
    <w:rsid w:val="007008CA"/>
    <w:rsid w:val="007008D6"/>
    <w:rsid w:val="0070091B"/>
    <w:rsid w:val="00700926"/>
    <w:rsid w:val="00700937"/>
    <w:rsid w:val="00700942"/>
    <w:rsid w:val="00700988"/>
    <w:rsid w:val="007009BB"/>
    <w:rsid w:val="00700A25"/>
    <w:rsid w:val="00700A86"/>
    <w:rsid w:val="00700AC3"/>
    <w:rsid w:val="00700AFE"/>
    <w:rsid w:val="00700B07"/>
    <w:rsid w:val="00700B08"/>
    <w:rsid w:val="00700B26"/>
    <w:rsid w:val="00700B37"/>
    <w:rsid w:val="00700B42"/>
    <w:rsid w:val="00700B6C"/>
    <w:rsid w:val="00700BA9"/>
    <w:rsid w:val="00700BF6"/>
    <w:rsid w:val="00700C24"/>
    <w:rsid w:val="00700C29"/>
    <w:rsid w:val="00700CBC"/>
    <w:rsid w:val="00700CBD"/>
    <w:rsid w:val="00700CC4"/>
    <w:rsid w:val="00700D68"/>
    <w:rsid w:val="00700DA2"/>
    <w:rsid w:val="00700DCB"/>
    <w:rsid w:val="00700DDE"/>
    <w:rsid w:val="00700DF3"/>
    <w:rsid w:val="00700E2D"/>
    <w:rsid w:val="00700E49"/>
    <w:rsid w:val="00700F1B"/>
    <w:rsid w:val="00700F72"/>
    <w:rsid w:val="00700FB6"/>
    <w:rsid w:val="00700FF8"/>
    <w:rsid w:val="0070101F"/>
    <w:rsid w:val="0070103E"/>
    <w:rsid w:val="0070104C"/>
    <w:rsid w:val="00701054"/>
    <w:rsid w:val="00701094"/>
    <w:rsid w:val="007010D6"/>
    <w:rsid w:val="0070112B"/>
    <w:rsid w:val="007011C5"/>
    <w:rsid w:val="007011D3"/>
    <w:rsid w:val="007011F2"/>
    <w:rsid w:val="007011FB"/>
    <w:rsid w:val="0070121C"/>
    <w:rsid w:val="0070132F"/>
    <w:rsid w:val="0070134D"/>
    <w:rsid w:val="00701375"/>
    <w:rsid w:val="007013D2"/>
    <w:rsid w:val="007013EB"/>
    <w:rsid w:val="007013F0"/>
    <w:rsid w:val="00701403"/>
    <w:rsid w:val="00701406"/>
    <w:rsid w:val="0070148E"/>
    <w:rsid w:val="00701499"/>
    <w:rsid w:val="007014AC"/>
    <w:rsid w:val="007014C3"/>
    <w:rsid w:val="00701524"/>
    <w:rsid w:val="00701552"/>
    <w:rsid w:val="00701560"/>
    <w:rsid w:val="0070158A"/>
    <w:rsid w:val="007015D3"/>
    <w:rsid w:val="00701636"/>
    <w:rsid w:val="00701676"/>
    <w:rsid w:val="007016BC"/>
    <w:rsid w:val="007016BF"/>
    <w:rsid w:val="007016C6"/>
    <w:rsid w:val="007016DF"/>
    <w:rsid w:val="007016EB"/>
    <w:rsid w:val="007016F6"/>
    <w:rsid w:val="00701748"/>
    <w:rsid w:val="007017B9"/>
    <w:rsid w:val="007017E9"/>
    <w:rsid w:val="007017F5"/>
    <w:rsid w:val="0070184E"/>
    <w:rsid w:val="007018D6"/>
    <w:rsid w:val="0070194A"/>
    <w:rsid w:val="007019C0"/>
    <w:rsid w:val="007019EE"/>
    <w:rsid w:val="007019FD"/>
    <w:rsid w:val="00701A5E"/>
    <w:rsid w:val="00701A8B"/>
    <w:rsid w:val="00701B02"/>
    <w:rsid w:val="00701B06"/>
    <w:rsid w:val="00701B38"/>
    <w:rsid w:val="00701B3E"/>
    <w:rsid w:val="00701B3F"/>
    <w:rsid w:val="00701B47"/>
    <w:rsid w:val="00701B4A"/>
    <w:rsid w:val="00701B6B"/>
    <w:rsid w:val="00701B95"/>
    <w:rsid w:val="00701B9E"/>
    <w:rsid w:val="00701BC6"/>
    <w:rsid w:val="00701C32"/>
    <w:rsid w:val="00701C3F"/>
    <w:rsid w:val="00701C49"/>
    <w:rsid w:val="00701C51"/>
    <w:rsid w:val="00701C54"/>
    <w:rsid w:val="00701C79"/>
    <w:rsid w:val="00701C8D"/>
    <w:rsid w:val="00701CF0"/>
    <w:rsid w:val="00701CFF"/>
    <w:rsid w:val="00701D05"/>
    <w:rsid w:val="00701D0D"/>
    <w:rsid w:val="00701D50"/>
    <w:rsid w:val="00701D60"/>
    <w:rsid w:val="00701E0C"/>
    <w:rsid w:val="00701E54"/>
    <w:rsid w:val="00701E74"/>
    <w:rsid w:val="00701E7B"/>
    <w:rsid w:val="00701EA4"/>
    <w:rsid w:val="00701F51"/>
    <w:rsid w:val="00701F89"/>
    <w:rsid w:val="00701FB5"/>
    <w:rsid w:val="00701FBA"/>
    <w:rsid w:val="00702000"/>
    <w:rsid w:val="00702040"/>
    <w:rsid w:val="0070205A"/>
    <w:rsid w:val="00702062"/>
    <w:rsid w:val="00702065"/>
    <w:rsid w:val="0070208B"/>
    <w:rsid w:val="00702096"/>
    <w:rsid w:val="0070209A"/>
    <w:rsid w:val="0070209C"/>
    <w:rsid w:val="007020BF"/>
    <w:rsid w:val="007020FF"/>
    <w:rsid w:val="00702114"/>
    <w:rsid w:val="007021F1"/>
    <w:rsid w:val="00702216"/>
    <w:rsid w:val="0070225B"/>
    <w:rsid w:val="0070229E"/>
    <w:rsid w:val="0070232C"/>
    <w:rsid w:val="00702345"/>
    <w:rsid w:val="0070234B"/>
    <w:rsid w:val="0070239F"/>
    <w:rsid w:val="007023CC"/>
    <w:rsid w:val="007023E3"/>
    <w:rsid w:val="007023FF"/>
    <w:rsid w:val="00702453"/>
    <w:rsid w:val="00702474"/>
    <w:rsid w:val="0070247D"/>
    <w:rsid w:val="007024F2"/>
    <w:rsid w:val="007024FA"/>
    <w:rsid w:val="0070250D"/>
    <w:rsid w:val="00702515"/>
    <w:rsid w:val="0070251A"/>
    <w:rsid w:val="00702582"/>
    <w:rsid w:val="0070258F"/>
    <w:rsid w:val="007025AB"/>
    <w:rsid w:val="007025C2"/>
    <w:rsid w:val="007025CE"/>
    <w:rsid w:val="007025DE"/>
    <w:rsid w:val="00702608"/>
    <w:rsid w:val="00702661"/>
    <w:rsid w:val="00702663"/>
    <w:rsid w:val="00702668"/>
    <w:rsid w:val="0070269D"/>
    <w:rsid w:val="007026B8"/>
    <w:rsid w:val="007026EF"/>
    <w:rsid w:val="00702718"/>
    <w:rsid w:val="00702747"/>
    <w:rsid w:val="00702770"/>
    <w:rsid w:val="007027DF"/>
    <w:rsid w:val="00702807"/>
    <w:rsid w:val="0070281B"/>
    <w:rsid w:val="0070286D"/>
    <w:rsid w:val="00702875"/>
    <w:rsid w:val="00702898"/>
    <w:rsid w:val="007028BC"/>
    <w:rsid w:val="007028EB"/>
    <w:rsid w:val="007028FE"/>
    <w:rsid w:val="00702907"/>
    <w:rsid w:val="00702977"/>
    <w:rsid w:val="007029A9"/>
    <w:rsid w:val="007029BB"/>
    <w:rsid w:val="007029EC"/>
    <w:rsid w:val="00702A10"/>
    <w:rsid w:val="00702A6D"/>
    <w:rsid w:val="00702A7B"/>
    <w:rsid w:val="00702A7C"/>
    <w:rsid w:val="00702A84"/>
    <w:rsid w:val="00702AA9"/>
    <w:rsid w:val="00702AAE"/>
    <w:rsid w:val="00702ACC"/>
    <w:rsid w:val="00702ACE"/>
    <w:rsid w:val="00702AE8"/>
    <w:rsid w:val="00702AF5"/>
    <w:rsid w:val="00702B0E"/>
    <w:rsid w:val="00702B14"/>
    <w:rsid w:val="00702B2D"/>
    <w:rsid w:val="00702B48"/>
    <w:rsid w:val="00702BD3"/>
    <w:rsid w:val="00702C26"/>
    <w:rsid w:val="00702C7E"/>
    <w:rsid w:val="00702CCF"/>
    <w:rsid w:val="00702CFF"/>
    <w:rsid w:val="00702D21"/>
    <w:rsid w:val="00702DAA"/>
    <w:rsid w:val="00702DBF"/>
    <w:rsid w:val="00702DE7"/>
    <w:rsid w:val="00702E77"/>
    <w:rsid w:val="00702E8B"/>
    <w:rsid w:val="00702E94"/>
    <w:rsid w:val="00702FF1"/>
    <w:rsid w:val="00702FF2"/>
    <w:rsid w:val="0070300B"/>
    <w:rsid w:val="007030F9"/>
    <w:rsid w:val="0070310D"/>
    <w:rsid w:val="00703127"/>
    <w:rsid w:val="00703179"/>
    <w:rsid w:val="0070318A"/>
    <w:rsid w:val="00703192"/>
    <w:rsid w:val="0070319C"/>
    <w:rsid w:val="007031B6"/>
    <w:rsid w:val="007031C4"/>
    <w:rsid w:val="007031CC"/>
    <w:rsid w:val="007031D9"/>
    <w:rsid w:val="0070320F"/>
    <w:rsid w:val="00703290"/>
    <w:rsid w:val="007032A9"/>
    <w:rsid w:val="007032DA"/>
    <w:rsid w:val="007032F8"/>
    <w:rsid w:val="00703326"/>
    <w:rsid w:val="0070334A"/>
    <w:rsid w:val="00703357"/>
    <w:rsid w:val="00703364"/>
    <w:rsid w:val="00703370"/>
    <w:rsid w:val="00703399"/>
    <w:rsid w:val="007033AE"/>
    <w:rsid w:val="007033D8"/>
    <w:rsid w:val="00703510"/>
    <w:rsid w:val="00703518"/>
    <w:rsid w:val="00703541"/>
    <w:rsid w:val="0070355B"/>
    <w:rsid w:val="0070356E"/>
    <w:rsid w:val="007035CD"/>
    <w:rsid w:val="007035EC"/>
    <w:rsid w:val="00703606"/>
    <w:rsid w:val="00703610"/>
    <w:rsid w:val="0070362C"/>
    <w:rsid w:val="00703636"/>
    <w:rsid w:val="00703680"/>
    <w:rsid w:val="00703689"/>
    <w:rsid w:val="007036E0"/>
    <w:rsid w:val="007036F9"/>
    <w:rsid w:val="00703716"/>
    <w:rsid w:val="00703728"/>
    <w:rsid w:val="00703786"/>
    <w:rsid w:val="007037D4"/>
    <w:rsid w:val="00703821"/>
    <w:rsid w:val="00703837"/>
    <w:rsid w:val="0070384D"/>
    <w:rsid w:val="007038B0"/>
    <w:rsid w:val="007038E5"/>
    <w:rsid w:val="0070390D"/>
    <w:rsid w:val="0070391E"/>
    <w:rsid w:val="00703961"/>
    <w:rsid w:val="00703985"/>
    <w:rsid w:val="007039CE"/>
    <w:rsid w:val="007039EB"/>
    <w:rsid w:val="007039F8"/>
    <w:rsid w:val="00703A0B"/>
    <w:rsid w:val="00703A11"/>
    <w:rsid w:val="00703ADD"/>
    <w:rsid w:val="00703B23"/>
    <w:rsid w:val="00703B44"/>
    <w:rsid w:val="00703B5F"/>
    <w:rsid w:val="00703B7F"/>
    <w:rsid w:val="00703B85"/>
    <w:rsid w:val="00703B86"/>
    <w:rsid w:val="00703C0C"/>
    <w:rsid w:val="00703C54"/>
    <w:rsid w:val="00703C59"/>
    <w:rsid w:val="00703C70"/>
    <w:rsid w:val="00703C81"/>
    <w:rsid w:val="00703D3C"/>
    <w:rsid w:val="00703D5E"/>
    <w:rsid w:val="00703DA5"/>
    <w:rsid w:val="00703DC9"/>
    <w:rsid w:val="00703DD1"/>
    <w:rsid w:val="00703E0B"/>
    <w:rsid w:val="00703E37"/>
    <w:rsid w:val="00703E61"/>
    <w:rsid w:val="00703EC5"/>
    <w:rsid w:val="00703ED6"/>
    <w:rsid w:val="00703EDD"/>
    <w:rsid w:val="00703EDE"/>
    <w:rsid w:val="00703F05"/>
    <w:rsid w:val="00703F1C"/>
    <w:rsid w:val="00703F48"/>
    <w:rsid w:val="00703F49"/>
    <w:rsid w:val="00703F96"/>
    <w:rsid w:val="00703FCD"/>
    <w:rsid w:val="00703FD7"/>
    <w:rsid w:val="0070402E"/>
    <w:rsid w:val="0070403A"/>
    <w:rsid w:val="0070405E"/>
    <w:rsid w:val="00704090"/>
    <w:rsid w:val="007040E2"/>
    <w:rsid w:val="007040EE"/>
    <w:rsid w:val="00704119"/>
    <w:rsid w:val="0070415B"/>
    <w:rsid w:val="00704164"/>
    <w:rsid w:val="00704184"/>
    <w:rsid w:val="0070419B"/>
    <w:rsid w:val="007041ED"/>
    <w:rsid w:val="00704232"/>
    <w:rsid w:val="0070425D"/>
    <w:rsid w:val="00704266"/>
    <w:rsid w:val="00704296"/>
    <w:rsid w:val="0070429E"/>
    <w:rsid w:val="007042B7"/>
    <w:rsid w:val="00704313"/>
    <w:rsid w:val="0070432B"/>
    <w:rsid w:val="00704336"/>
    <w:rsid w:val="0070438C"/>
    <w:rsid w:val="007043B8"/>
    <w:rsid w:val="007043FB"/>
    <w:rsid w:val="0070441C"/>
    <w:rsid w:val="0070441F"/>
    <w:rsid w:val="0070445D"/>
    <w:rsid w:val="0070448C"/>
    <w:rsid w:val="007044C7"/>
    <w:rsid w:val="007044E2"/>
    <w:rsid w:val="00704505"/>
    <w:rsid w:val="00704519"/>
    <w:rsid w:val="00704575"/>
    <w:rsid w:val="0070459C"/>
    <w:rsid w:val="007045EA"/>
    <w:rsid w:val="00704653"/>
    <w:rsid w:val="00704665"/>
    <w:rsid w:val="0070468A"/>
    <w:rsid w:val="0070468D"/>
    <w:rsid w:val="007046CF"/>
    <w:rsid w:val="007046D0"/>
    <w:rsid w:val="00704747"/>
    <w:rsid w:val="00704751"/>
    <w:rsid w:val="00704769"/>
    <w:rsid w:val="00704793"/>
    <w:rsid w:val="007047A5"/>
    <w:rsid w:val="007047BD"/>
    <w:rsid w:val="007047C3"/>
    <w:rsid w:val="007047ED"/>
    <w:rsid w:val="007047FB"/>
    <w:rsid w:val="00704848"/>
    <w:rsid w:val="00704860"/>
    <w:rsid w:val="007048AA"/>
    <w:rsid w:val="0070493C"/>
    <w:rsid w:val="007049B1"/>
    <w:rsid w:val="007049B6"/>
    <w:rsid w:val="007049F5"/>
    <w:rsid w:val="00704A16"/>
    <w:rsid w:val="00704A8C"/>
    <w:rsid w:val="00704AEF"/>
    <w:rsid w:val="00704B0E"/>
    <w:rsid w:val="00704B4E"/>
    <w:rsid w:val="00704B57"/>
    <w:rsid w:val="00704B69"/>
    <w:rsid w:val="00704B7A"/>
    <w:rsid w:val="00704BCE"/>
    <w:rsid w:val="00704BF9"/>
    <w:rsid w:val="00704CAB"/>
    <w:rsid w:val="00704CB6"/>
    <w:rsid w:val="00704D05"/>
    <w:rsid w:val="00704D06"/>
    <w:rsid w:val="00704D34"/>
    <w:rsid w:val="00704D3F"/>
    <w:rsid w:val="00704D52"/>
    <w:rsid w:val="00704DFB"/>
    <w:rsid w:val="00704E6C"/>
    <w:rsid w:val="00704E7C"/>
    <w:rsid w:val="00704E84"/>
    <w:rsid w:val="00704E8E"/>
    <w:rsid w:val="00704EFD"/>
    <w:rsid w:val="00704F0B"/>
    <w:rsid w:val="00704F0F"/>
    <w:rsid w:val="00704F1E"/>
    <w:rsid w:val="00704F33"/>
    <w:rsid w:val="00704F49"/>
    <w:rsid w:val="00704F65"/>
    <w:rsid w:val="00705061"/>
    <w:rsid w:val="00705063"/>
    <w:rsid w:val="00705086"/>
    <w:rsid w:val="00705087"/>
    <w:rsid w:val="0070508B"/>
    <w:rsid w:val="00705092"/>
    <w:rsid w:val="00705099"/>
    <w:rsid w:val="007050BD"/>
    <w:rsid w:val="00705142"/>
    <w:rsid w:val="00705198"/>
    <w:rsid w:val="007051B3"/>
    <w:rsid w:val="007051CD"/>
    <w:rsid w:val="007051D0"/>
    <w:rsid w:val="00705266"/>
    <w:rsid w:val="00705273"/>
    <w:rsid w:val="00705275"/>
    <w:rsid w:val="00705295"/>
    <w:rsid w:val="007052AD"/>
    <w:rsid w:val="007052F7"/>
    <w:rsid w:val="00705335"/>
    <w:rsid w:val="00705342"/>
    <w:rsid w:val="00705376"/>
    <w:rsid w:val="0070538C"/>
    <w:rsid w:val="00705394"/>
    <w:rsid w:val="007053AB"/>
    <w:rsid w:val="007053DA"/>
    <w:rsid w:val="00705439"/>
    <w:rsid w:val="0070546E"/>
    <w:rsid w:val="0070547C"/>
    <w:rsid w:val="0070548B"/>
    <w:rsid w:val="00705492"/>
    <w:rsid w:val="00705494"/>
    <w:rsid w:val="00705495"/>
    <w:rsid w:val="007054E2"/>
    <w:rsid w:val="007054E4"/>
    <w:rsid w:val="00705508"/>
    <w:rsid w:val="0070550A"/>
    <w:rsid w:val="0070552E"/>
    <w:rsid w:val="00705531"/>
    <w:rsid w:val="00705564"/>
    <w:rsid w:val="00705569"/>
    <w:rsid w:val="00705595"/>
    <w:rsid w:val="007055BC"/>
    <w:rsid w:val="00705675"/>
    <w:rsid w:val="00705682"/>
    <w:rsid w:val="00705691"/>
    <w:rsid w:val="007056B8"/>
    <w:rsid w:val="007056CA"/>
    <w:rsid w:val="007056D2"/>
    <w:rsid w:val="007056FB"/>
    <w:rsid w:val="00705752"/>
    <w:rsid w:val="00705761"/>
    <w:rsid w:val="00705765"/>
    <w:rsid w:val="0070579E"/>
    <w:rsid w:val="00705811"/>
    <w:rsid w:val="00705829"/>
    <w:rsid w:val="00705935"/>
    <w:rsid w:val="007059CF"/>
    <w:rsid w:val="007059E6"/>
    <w:rsid w:val="00705A4B"/>
    <w:rsid w:val="00705AA9"/>
    <w:rsid w:val="00705AB2"/>
    <w:rsid w:val="00705ACB"/>
    <w:rsid w:val="00705B0D"/>
    <w:rsid w:val="00705B6B"/>
    <w:rsid w:val="00705B86"/>
    <w:rsid w:val="00705B93"/>
    <w:rsid w:val="00705BBA"/>
    <w:rsid w:val="00705BE1"/>
    <w:rsid w:val="00705BF4"/>
    <w:rsid w:val="00705C07"/>
    <w:rsid w:val="00705C37"/>
    <w:rsid w:val="00705C66"/>
    <w:rsid w:val="00705CEA"/>
    <w:rsid w:val="00705D44"/>
    <w:rsid w:val="00705DA1"/>
    <w:rsid w:val="00705DB7"/>
    <w:rsid w:val="00705DBE"/>
    <w:rsid w:val="00705DCE"/>
    <w:rsid w:val="00705DEF"/>
    <w:rsid w:val="00705E00"/>
    <w:rsid w:val="00705E32"/>
    <w:rsid w:val="00705F60"/>
    <w:rsid w:val="00705FD9"/>
    <w:rsid w:val="00705FF0"/>
    <w:rsid w:val="00706011"/>
    <w:rsid w:val="00706055"/>
    <w:rsid w:val="00706082"/>
    <w:rsid w:val="007060BE"/>
    <w:rsid w:val="007060C1"/>
    <w:rsid w:val="007060EA"/>
    <w:rsid w:val="007060ED"/>
    <w:rsid w:val="0070610E"/>
    <w:rsid w:val="00706160"/>
    <w:rsid w:val="00706169"/>
    <w:rsid w:val="0070616A"/>
    <w:rsid w:val="007061BB"/>
    <w:rsid w:val="00706222"/>
    <w:rsid w:val="0070622C"/>
    <w:rsid w:val="00706234"/>
    <w:rsid w:val="00706253"/>
    <w:rsid w:val="00706259"/>
    <w:rsid w:val="007062C0"/>
    <w:rsid w:val="007062D4"/>
    <w:rsid w:val="007062F6"/>
    <w:rsid w:val="00706342"/>
    <w:rsid w:val="0070638C"/>
    <w:rsid w:val="007063A5"/>
    <w:rsid w:val="007063C0"/>
    <w:rsid w:val="007063CC"/>
    <w:rsid w:val="00706405"/>
    <w:rsid w:val="00706437"/>
    <w:rsid w:val="0070646E"/>
    <w:rsid w:val="007064C0"/>
    <w:rsid w:val="007064C2"/>
    <w:rsid w:val="007064CA"/>
    <w:rsid w:val="007064E9"/>
    <w:rsid w:val="00706503"/>
    <w:rsid w:val="0070650B"/>
    <w:rsid w:val="00706521"/>
    <w:rsid w:val="0070655C"/>
    <w:rsid w:val="0070656C"/>
    <w:rsid w:val="007065B3"/>
    <w:rsid w:val="007065C1"/>
    <w:rsid w:val="007065C7"/>
    <w:rsid w:val="007065D2"/>
    <w:rsid w:val="00706606"/>
    <w:rsid w:val="00706608"/>
    <w:rsid w:val="0070663A"/>
    <w:rsid w:val="00706697"/>
    <w:rsid w:val="007066EC"/>
    <w:rsid w:val="007066EE"/>
    <w:rsid w:val="0070670A"/>
    <w:rsid w:val="00706725"/>
    <w:rsid w:val="00706730"/>
    <w:rsid w:val="0070675F"/>
    <w:rsid w:val="00706765"/>
    <w:rsid w:val="007067CB"/>
    <w:rsid w:val="0070682B"/>
    <w:rsid w:val="00706850"/>
    <w:rsid w:val="00706874"/>
    <w:rsid w:val="00706892"/>
    <w:rsid w:val="007068C5"/>
    <w:rsid w:val="007068E0"/>
    <w:rsid w:val="007068E6"/>
    <w:rsid w:val="007068F5"/>
    <w:rsid w:val="00706908"/>
    <w:rsid w:val="0070691D"/>
    <w:rsid w:val="0070699B"/>
    <w:rsid w:val="007069D8"/>
    <w:rsid w:val="007069E8"/>
    <w:rsid w:val="00706A85"/>
    <w:rsid w:val="00706ADD"/>
    <w:rsid w:val="00706BA6"/>
    <w:rsid w:val="00706BA7"/>
    <w:rsid w:val="00706BF4"/>
    <w:rsid w:val="00706BF8"/>
    <w:rsid w:val="00706C03"/>
    <w:rsid w:val="00706C14"/>
    <w:rsid w:val="00706C17"/>
    <w:rsid w:val="00706C27"/>
    <w:rsid w:val="00706C43"/>
    <w:rsid w:val="00706C97"/>
    <w:rsid w:val="00706CC6"/>
    <w:rsid w:val="00706CD9"/>
    <w:rsid w:val="00706D9F"/>
    <w:rsid w:val="00706DCD"/>
    <w:rsid w:val="00706DEB"/>
    <w:rsid w:val="00706E59"/>
    <w:rsid w:val="00706E60"/>
    <w:rsid w:val="00706EB4"/>
    <w:rsid w:val="00706EE1"/>
    <w:rsid w:val="00706F13"/>
    <w:rsid w:val="00706F67"/>
    <w:rsid w:val="00706F83"/>
    <w:rsid w:val="00706FA3"/>
    <w:rsid w:val="00706FB4"/>
    <w:rsid w:val="00706FFA"/>
    <w:rsid w:val="00707001"/>
    <w:rsid w:val="00707013"/>
    <w:rsid w:val="00707022"/>
    <w:rsid w:val="00707026"/>
    <w:rsid w:val="0070706D"/>
    <w:rsid w:val="00707131"/>
    <w:rsid w:val="0070713D"/>
    <w:rsid w:val="0070716B"/>
    <w:rsid w:val="00707180"/>
    <w:rsid w:val="0070718D"/>
    <w:rsid w:val="00707191"/>
    <w:rsid w:val="00707193"/>
    <w:rsid w:val="007071B6"/>
    <w:rsid w:val="00707207"/>
    <w:rsid w:val="00707267"/>
    <w:rsid w:val="0070726E"/>
    <w:rsid w:val="0070728F"/>
    <w:rsid w:val="0070729A"/>
    <w:rsid w:val="007072C9"/>
    <w:rsid w:val="007072E8"/>
    <w:rsid w:val="00707327"/>
    <w:rsid w:val="00707337"/>
    <w:rsid w:val="007073E0"/>
    <w:rsid w:val="007073E3"/>
    <w:rsid w:val="007073FD"/>
    <w:rsid w:val="0070743C"/>
    <w:rsid w:val="00707465"/>
    <w:rsid w:val="00707474"/>
    <w:rsid w:val="007074B1"/>
    <w:rsid w:val="007074BE"/>
    <w:rsid w:val="007074C1"/>
    <w:rsid w:val="007074CF"/>
    <w:rsid w:val="00707502"/>
    <w:rsid w:val="0070751D"/>
    <w:rsid w:val="00707521"/>
    <w:rsid w:val="00707529"/>
    <w:rsid w:val="00707565"/>
    <w:rsid w:val="00707593"/>
    <w:rsid w:val="007075DE"/>
    <w:rsid w:val="007075F5"/>
    <w:rsid w:val="0070769C"/>
    <w:rsid w:val="007076A1"/>
    <w:rsid w:val="007076D3"/>
    <w:rsid w:val="007076E3"/>
    <w:rsid w:val="00707720"/>
    <w:rsid w:val="007077BF"/>
    <w:rsid w:val="007077C6"/>
    <w:rsid w:val="0070780B"/>
    <w:rsid w:val="00707814"/>
    <w:rsid w:val="00707877"/>
    <w:rsid w:val="007078B0"/>
    <w:rsid w:val="007078C1"/>
    <w:rsid w:val="007078E5"/>
    <w:rsid w:val="007078EC"/>
    <w:rsid w:val="007078FD"/>
    <w:rsid w:val="00707929"/>
    <w:rsid w:val="0070792D"/>
    <w:rsid w:val="0070795A"/>
    <w:rsid w:val="007079A6"/>
    <w:rsid w:val="007079DA"/>
    <w:rsid w:val="007079F5"/>
    <w:rsid w:val="00707A04"/>
    <w:rsid w:val="00707A31"/>
    <w:rsid w:val="00707AC3"/>
    <w:rsid w:val="00707AC7"/>
    <w:rsid w:val="00707AE7"/>
    <w:rsid w:val="00707B30"/>
    <w:rsid w:val="00707B7E"/>
    <w:rsid w:val="00707C5B"/>
    <w:rsid w:val="00707C5F"/>
    <w:rsid w:val="00707D02"/>
    <w:rsid w:val="00707D1B"/>
    <w:rsid w:val="00707D24"/>
    <w:rsid w:val="00707D47"/>
    <w:rsid w:val="00707D73"/>
    <w:rsid w:val="00707D8E"/>
    <w:rsid w:val="00707D93"/>
    <w:rsid w:val="00707DA3"/>
    <w:rsid w:val="00707DA7"/>
    <w:rsid w:val="00707E33"/>
    <w:rsid w:val="00707E3C"/>
    <w:rsid w:val="00707E69"/>
    <w:rsid w:val="00707E78"/>
    <w:rsid w:val="00707E86"/>
    <w:rsid w:val="00707EB9"/>
    <w:rsid w:val="00707F08"/>
    <w:rsid w:val="00707F42"/>
    <w:rsid w:val="00707F43"/>
    <w:rsid w:val="00707F54"/>
    <w:rsid w:val="00707F61"/>
    <w:rsid w:val="00707F82"/>
    <w:rsid w:val="00707F99"/>
    <w:rsid w:val="00707FA3"/>
    <w:rsid w:val="00707FC9"/>
    <w:rsid w:val="0070DACE"/>
    <w:rsid w:val="00710027"/>
    <w:rsid w:val="0071004C"/>
    <w:rsid w:val="00710064"/>
    <w:rsid w:val="007100CB"/>
    <w:rsid w:val="007100F9"/>
    <w:rsid w:val="00710118"/>
    <w:rsid w:val="00710119"/>
    <w:rsid w:val="00710137"/>
    <w:rsid w:val="00710182"/>
    <w:rsid w:val="00710185"/>
    <w:rsid w:val="007101AD"/>
    <w:rsid w:val="00710227"/>
    <w:rsid w:val="00710229"/>
    <w:rsid w:val="00710276"/>
    <w:rsid w:val="00710286"/>
    <w:rsid w:val="007102A7"/>
    <w:rsid w:val="007102B7"/>
    <w:rsid w:val="007102E6"/>
    <w:rsid w:val="00710371"/>
    <w:rsid w:val="00710381"/>
    <w:rsid w:val="007103C7"/>
    <w:rsid w:val="007103D1"/>
    <w:rsid w:val="007103FA"/>
    <w:rsid w:val="007103FE"/>
    <w:rsid w:val="00710490"/>
    <w:rsid w:val="007104EC"/>
    <w:rsid w:val="007104F2"/>
    <w:rsid w:val="00710593"/>
    <w:rsid w:val="007105C8"/>
    <w:rsid w:val="00710626"/>
    <w:rsid w:val="0071062B"/>
    <w:rsid w:val="0071063E"/>
    <w:rsid w:val="00710680"/>
    <w:rsid w:val="0071069B"/>
    <w:rsid w:val="007106B1"/>
    <w:rsid w:val="007106BF"/>
    <w:rsid w:val="007106F1"/>
    <w:rsid w:val="0071070A"/>
    <w:rsid w:val="0071072F"/>
    <w:rsid w:val="00710730"/>
    <w:rsid w:val="0071084E"/>
    <w:rsid w:val="0071085E"/>
    <w:rsid w:val="007108A9"/>
    <w:rsid w:val="007108D6"/>
    <w:rsid w:val="007108E2"/>
    <w:rsid w:val="0071091B"/>
    <w:rsid w:val="00710948"/>
    <w:rsid w:val="0071094D"/>
    <w:rsid w:val="00710968"/>
    <w:rsid w:val="007109BF"/>
    <w:rsid w:val="007109D7"/>
    <w:rsid w:val="007109DB"/>
    <w:rsid w:val="007109F3"/>
    <w:rsid w:val="00710A1F"/>
    <w:rsid w:val="00710A53"/>
    <w:rsid w:val="00710A7D"/>
    <w:rsid w:val="00710B05"/>
    <w:rsid w:val="00710B5F"/>
    <w:rsid w:val="00710B60"/>
    <w:rsid w:val="00710BA4"/>
    <w:rsid w:val="00710BC3"/>
    <w:rsid w:val="00710BCC"/>
    <w:rsid w:val="00710BE7"/>
    <w:rsid w:val="00710BEE"/>
    <w:rsid w:val="00710C50"/>
    <w:rsid w:val="00710C79"/>
    <w:rsid w:val="00710C7D"/>
    <w:rsid w:val="00710C82"/>
    <w:rsid w:val="00710CAE"/>
    <w:rsid w:val="00710CD4"/>
    <w:rsid w:val="00710CE3"/>
    <w:rsid w:val="00710D34"/>
    <w:rsid w:val="00710D8E"/>
    <w:rsid w:val="00710E56"/>
    <w:rsid w:val="00710E81"/>
    <w:rsid w:val="00710E9B"/>
    <w:rsid w:val="00710EF4"/>
    <w:rsid w:val="00710F02"/>
    <w:rsid w:val="00710F0C"/>
    <w:rsid w:val="00710F13"/>
    <w:rsid w:val="00710F2A"/>
    <w:rsid w:val="00710F3E"/>
    <w:rsid w:val="00710F72"/>
    <w:rsid w:val="00710F7C"/>
    <w:rsid w:val="00710F8D"/>
    <w:rsid w:val="00711044"/>
    <w:rsid w:val="00711048"/>
    <w:rsid w:val="0071105F"/>
    <w:rsid w:val="00711064"/>
    <w:rsid w:val="00711090"/>
    <w:rsid w:val="0071109D"/>
    <w:rsid w:val="007110AA"/>
    <w:rsid w:val="007110FD"/>
    <w:rsid w:val="00711122"/>
    <w:rsid w:val="00711127"/>
    <w:rsid w:val="0071115F"/>
    <w:rsid w:val="0071117D"/>
    <w:rsid w:val="007111AC"/>
    <w:rsid w:val="007111C7"/>
    <w:rsid w:val="007111D8"/>
    <w:rsid w:val="007111F9"/>
    <w:rsid w:val="00711233"/>
    <w:rsid w:val="0071123A"/>
    <w:rsid w:val="00711253"/>
    <w:rsid w:val="00711288"/>
    <w:rsid w:val="007112D0"/>
    <w:rsid w:val="007112F9"/>
    <w:rsid w:val="0071134D"/>
    <w:rsid w:val="0071135D"/>
    <w:rsid w:val="0071139D"/>
    <w:rsid w:val="007113A1"/>
    <w:rsid w:val="007113FC"/>
    <w:rsid w:val="00711420"/>
    <w:rsid w:val="00711424"/>
    <w:rsid w:val="00711448"/>
    <w:rsid w:val="00711457"/>
    <w:rsid w:val="0071146D"/>
    <w:rsid w:val="0071149F"/>
    <w:rsid w:val="007114E0"/>
    <w:rsid w:val="0071150B"/>
    <w:rsid w:val="00711526"/>
    <w:rsid w:val="0071152A"/>
    <w:rsid w:val="0071154F"/>
    <w:rsid w:val="0071157D"/>
    <w:rsid w:val="00711627"/>
    <w:rsid w:val="0071164C"/>
    <w:rsid w:val="00711660"/>
    <w:rsid w:val="0071167A"/>
    <w:rsid w:val="0071169A"/>
    <w:rsid w:val="0071170F"/>
    <w:rsid w:val="00711766"/>
    <w:rsid w:val="00711775"/>
    <w:rsid w:val="007117A1"/>
    <w:rsid w:val="00711835"/>
    <w:rsid w:val="00711855"/>
    <w:rsid w:val="007118BA"/>
    <w:rsid w:val="00711900"/>
    <w:rsid w:val="00711958"/>
    <w:rsid w:val="007119A2"/>
    <w:rsid w:val="00711A8E"/>
    <w:rsid w:val="00711A91"/>
    <w:rsid w:val="00711AA3"/>
    <w:rsid w:val="00711ACD"/>
    <w:rsid w:val="00711ADD"/>
    <w:rsid w:val="00711B56"/>
    <w:rsid w:val="00711B5F"/>
    <w:rsid w:val="00711B69"/>
    <w:rsid w:val="00711B92"/>
    <w:rsid w:val="00711BB8"/>
    <w:rsid w:val="00711BBD"/>
    <w:rsid w:val="00711BDB"/>
    <w:rsid w:val="00711BE0"/>
    <w:rsid w:val="00711C0D"/>
    <w:rsid w:val="00711C9E"/>
    <w:rsid w:val="00711CA6"/>
    <w:rsid w:val="00711CDD"/>
    <w:rsid w:val="00711D23"/>
    <w:rsid w:val="00711D45"/>
    <w:rsid w:val="00711D5B"/>
    <w:rsid w:val="00711D70"/>
    <w:rsid w:val="00711D9F"/>
    <w:rsid w:val="00711DB3"/>
    <w:rsid w:val="00711DBB"/>
    <w:rsid w:val="00711E15"/>
    <w:rsid w:val="00711E5A"/>
    <w:rsid w:val="00711E6E"/>
    <w:rsid w:val="00711F68"/>
    <w:rsid w:val="00711FB0"/>
    <w:rsid w:val="00712001"/>
    <w:rsid w:val="00712022"/>
    <w:rsid w:val="0071202F"/>
    <w:rsid w:val="00712088"/>
    <w:rsid w:val="007120A3"/>
    <w:rsid w:val="007120E6"/>
    <w:rsid w:val="007120ED"/>
    <w:rsid w:val="00712150"/>
    <w:rsid w:val="00712189"/>
    <w:rsid w:val="0071218E"/>
    <w:rsid w:val="0071219B"/>
    <w:rsid w:val="007121C9"/>
    <w:rsid w:val="00712242"/>
    <w:rsid w:val="007122CE"/>
    <w:rsid w:val="007122D5"/>
    <w:rsid w:val="00712361"/>
    <w:rsid w:val="0071236B"/>
    <w:rsid w:val="00712377"/>
    <w:rsid w:val="00712383"/>
    <w:rsid w:val="0071238C"/>
    <w:rsid w:val="007123E0"/>
    <w:rsid w:val="007123E2"/>
    <w:rsid w:val="00712411"/>
    <w:rsid w:val="00712422"/>
    <w:rsid w:val="007124A9"/>
    <w:rsid w:val="00712549"/>
    <w:rsid w:val="00712572"/>
    <w:rsid w:val="00712595"/>
    <w:rsid w:val="007125B0"/>
    <w:rsid w:val="007125D4"/>
    <w:rsid w:val="007125FC"/>
    <w:rsid w:val="0071261D"/>
    <w:rsid w:val="007126FE"/>
    <w:rsid w:val="00712710"/>
    <w:rsid w:val="00712712"/>
    <w:rsid w:val="00712720"/>
    <w:rsid w:val="00712738"/>
    <w:rsid w:val="00712751"/>
    <w:rsid w:val="007127AF"/>
    <w:rsid w:val="007127DD"/>
    <w:rsid w:val="0071283F"/>
    <w:rsid w:val="00712896"/>
    <w:rsid w:val="0071289D"/>
    <w:rsid w:val="007128AA"/>
    <w:rsid w:val="00712950"/>
    <w:rsid w:val="0071295F"/>
    <w:rsid w:val="00712968"/>
    <w:rsid w:val="0071298A"/>
    <w:rsid w:val="0071299D"/>
    <w:rsid w:val="007129BE"/>
    <w:rsid w:val="007129D5"/>
    <w:rsid w:val="007129F4"/>
    <w:rsid w:val="00712A28"/>
    <w:rsid w:val="00712A30"/>
    <w:rsid w:val="00712A47"/>
    <w:rsid w:val="00712A78"/>
    <w:rsid w:val="00712A9C"/>
    <w:rsid w:val="00712AA5"/>
    <w:rsid w:val="00712AC6"/>
    <w:rsid w:val="00712AE2"/>
    <w:rsid w:val="00712B2F"/>
    <w:rsid w:val="00712B42"/>
    <w:rsid w:val="00712BA0"/>
    <w:rsid w:val="00712BAB"/>
    <w:rsid w:val="00712BE0"/>
    <w:rsid w:val="00712BFA"/>
    <w:rsid w:val="00712C1C"/>
    <w:rsid w:val="00712C85"/>
    <w:rsid w:val="00712C96"/>
    <w:rsid w:val="00712CDC"/>
    <w:rsid w:val="00712D19"/>
    <w:rsid w:val="00712D20"/>
    <w:rsid w:val="00712D2A"/>
    <w:rsid w:val="00712D78"/>
    <w:rsid w:val="00712DC4"/>
    <w:rsid w:val="00712DCF"/>
    <w:rsid w:val="00712E12"/>
    <w:rsid w:val="00712E5B"/>
    <w:rsid w:val="00712EA9"/>
    <w:rsid w:val="00712EB4"/>
    <w:rsid w:val="00712F10"/>
    <w:rsid w:val="00712F6F"/>
    <w:rsid w:val="00712F7C"/>
    <w:rsid w:val="00712FCD"/>
    <w:rsid w:val="0071301F"/>
    <w:rsid w:val="00713033"/>
    <w:rsid w:val="00713080"/>
    <w:rsid w:val="0071308B"/>
    <w:rsid w:val="007130A9"/>
    <w:rsid w:val="007130F2"/>
    <w:rsid w:val="00713179"/>
    <w:rsid w:val="0071318C"/>
    <w:rsid w:val="007131AD"/>
    <w:rsid w:val="00713244"/>
    <w:rsid w:val="0071326E"/>
    <w:rsid w:val="00713294"/>
    <w:rsid w:val="007132A0"/>
    <w:rsid w:val="007132AD"/>
    <w:rsid w:val="007132B7"/>
    <w:rsid w:val="007132CC"/>
    <w:rsid w:val="007132D2"/>
    <w:rsid w:val="007132E4"/>
    <w:rsid w:val="0071330E"/>
    <w:rsid w:val="00713320"/>
    <w:rsid w:val="00713326"/>
    <w:rsid w:val="00713381"/>
    <w:rsid w:val="007133AA"/>
    <w:rsid w:val="007133CC"/>
    <w:rsid w:val="00713417"/>
    <w:rsid w:val="0071342C"/>
    <w:rsid w:val="00713437"/>
    <w:rsid w:val="00713442"/>
    <w:rsid w:val="0071346F"/>
    <w:rsid w:val="00713491"/>
    <w:rsid w:val="0071349C"/>
    <w:rsid w:val="007134C2"/>
    <w:rsid w:val="007134CC"/>
    <w:rsid w:val="007134F8"/>
    <w:rsid w:val="00713545"/>
    <w:rsid w:val="007135E5"/>
    <w:rsid w:val="00713627"/>
    <w:rsid w:val="007136EB"/>
    <w:rsid w:val="00713753"/>
    <w:rsid w:val="00713768"/>
    <w:rsid w:val="0071376A"/>
    <w:rsid w:val="00713779"/>
    <w:rsid w:val="007137A4"/>
    <w:rsid w:val="007137B2"/>
    <w:rsid w:val="007137C5"/>
    <w:rsid w:val="007137D7"/>
    <w:rsid w:val="0071380E"/>
    <w:rsid w:val="00713840"/>
    <w:rsid w:val="00713870"/>
    <w:rsid w:val="007138AE"/>
    <w:rsid w:val="007138D5"/>
    <w:rsid w:val="00713908"/>
    <w:rsid w:val="00713910"/>
    <w:rsid w:val="00713934"/>
    <w:rsid w:val="00713996"/>
    <w:rsid w:val="007139C0"/>
    <w:rsid w:val="00713A13"/>
    <w:rsid w:val="00713AC4"/>
    <w:rsid w:val="00713ADB"/>
    <w:rsid w:val="00713B0D"/>
    <w:rsid w:val="00713B0F"/>
    <w:rsid w:val="00713B30"/>
    <w:rsid w:val="00713B65"/>
    <w:rsid w:val="00713B6D"/>
    <w:rsid w:val="00713B85"/>
    <w:rsid w:val="00713B9F"/>
    <w:rsid w:val="00713BE1"/>
    <w:rsid w:val="00713C4A"/>
    <w:rsid w:val="00713C64"/>
    <w:rsid w:val="00713C69"/>
    <w:rsid w:val="00713C6A"/>
    <w:rsid w:val="00713C9C"/>
    <w:rsid w:val="00713CBD"/>
    <w:rsid w:val="00713D14"/>
    <w:rsid w:val="00713DEC"/>
    <w:rsid w:val="00713E07"/>
    <w:rsid w:val="00713E4F"/>
    <w:rsid w:val="00713E56"/>
    <w:rsid w:val="00713E8C"/>
    <w:rsid w:val="00713E9C"/>
    <w:rsid w:val="00713F58"/>
    <w:rsid w:val="00713F7C"/>
    <w:rsid w:val="00713F7F"/>
    <w:rsid w:val="00713FE4"/>
    <w:rsid w:val="00713FF3"/>
    <w:rsid w:val="00714007"/>
    <w:rsid w:val="00714057"/>
    <w:rsid w:val="00714067"/>
    <w:rsid w:val="00714097"/>
    <w:rsid w:val="00714119"/>
    <w:rsid w:val="00714123"/>
    <w:rsid w:val="0071414F"/>
    <w:rsid w:val="0071417F"/>
    <w:rsid w:val="007141AB"/>
    <w:rsid w:val="007141B9"/>
    <w:rsid w:val="007141FD"/>
    <w:rsid w:val="00714230"/>
    <w:rsid w:val="0071424B"/>
    <w:rsid w:val="0071426D"/>
    <w:rsid w:val="00714291"/>
    <w:rsid w:val="00714295"/>
    <w:rsid w:val="007142A9"/>
    <w:rsid w:val="00714353"/>
    <w:rsid w:val="007143C1"/>
    <w:rsid w:val="007143C6"/>
    <w:rsid w:val="007143E3"/>
    <w:rsid w:val="00714420"/>
    <w:rsid w:val="0071448C"/>
    <w:rsid w:val="007144B3"/>
    <w:rsid w:val="007144B5"/>
    <w:rsid w:val="007144BC"/>
    <w:rsid w:val="0071450A"/>
    <w:rsid w:val="00714542"/>
    <w:rsid w:val="0071454B"/>
    <w:rsid w:val="0071455B"/>
    <w:rsid w:val="00714581"/>
    <w:rsid w:val="007145B8"/>
    <w:rsid w:val="0071460F"/>
    <w:rsid w:val="00714655"/>
    <w:rsid w:val="00714689"/>
    <w:rsid w:val="007146B8"/>
    <w:rsid w:val="007146B9"/>
    <w:rsid w:val="007146EF"/>
    <w:rsid w:val="00714709"/>
    <w:rsid w:val="0071473A"/>
    <w:rsid w:val="0071473D"/>
    <w:rsid w:val="0071474A"/>
    <w:rsid w:val="00714792"/>
    <w:rsid w:val="0071479C"/>
    <w:rsid w:val="007147A1"/>
    <w:rsid w:val="007147D3"/>
    <w:rsid w:val="007147DB"/>
    <w:rsid w:val="007147DC"/>
    <w:rsid w:val="00714834"/>
    <w:rsid w:val="0071483C"/>
    <w:rsid w:val="00714854"/>
    <w:rsid w:val="00714861"/>
    <w:rsid w:val="007148BB"/>
    <w:rsid w:val="007148C4"/>
    <w:rsid w:val="007148F9"/>
    <w:rsid w:val="0071494B"/>
    <w:rsid w:val="0071495A"/>
    <w:rsid w:val="00714965"/>
    <w:rsid w:val="00714988"/>
    <w:rsid w:val="00714993"/>
    <w:rsid w:val="007149A4"/>
    <w:rsid w:val="007149B3"/>
    <w:rsid w:val="007149B5"/>
    <w:rsid w:val="007149CD"/>
    <w:rsid w:val="007149D0"/>
    <w:rsid w:val="007149D1"/>
    <w:rsid w:val="007149F2"/>
    <w:rsid w:val="007149FA"/>
    <w:rsid w:val="00714A13"/>
    <w:rsid w:val="00714A25"/>
    <w:rsid w:val="00714A26"/>
    <w:rsid w:val="00714A2F"/>
    <w:rsid w:val="00714A80"/>
    <w:rsid w:val="00714ABC"/>
    <w:rsid w:val="00714AC1"/>
    <w:rsid w:val="00714ACA"/>
    <w:rsid w:val="00714B0D"/>
    <w:rsid w:val="00714B1A"/>
    <w:rsid w:val="00714B9C"/>
    <w:rsid w:val="00714BBD"/>
    <w:rsid w:val="00714C21"/>
    <w:rsid w:val="00714C80"/>
    <w:rsid w:val="00714D00"/>
    <w:rsid w:val="00714D49"/>
    <w:rsid w:val="00714D55"/>
    <w:rsid w:val="00714D98"/>
    <w:rsid w:val="00714DC8"/>
    <w:rsid w:val="00714E16"/>
    <w:rsid w:val="00714E20"/>
    <w:rsid w:val="00714E28"/>
    <w:rsid w:val="00714EB2"/>
    <w:rsid w:val="00714EC7"/>
    <w:rsid w:val="00714EDC"/>
    <w:rsid w:val="00714EE7"/>
    <w:rsid w:val="00714EED"/>
    <w:rsid w:val="00714F68"/>
    <w:rsid w:val="00714F72"/>
    <w:rsid w:val="00714F7D"/>
    <w:rsid w:val="00714FAD"/>
    <w:rsid w:val="00714FBA"/>
    <w:rsid w:val="00714FDC"/>
    <w:rsid w:val="00714FF2"/>
    <w:rsid w:val="0071505F"/>
    <w:rsid w:val="0071506D"/>
    <w:rsid w:val="007150A7"/>
    <w:rsid w:val="007150EB"/>
    <w:rsid w:val="0071511B"/>
    <w:rsid w:val="00715148"/>
    <w:rsid w:val="0071515B"/>
    <w:rsid w:val="007151D2"/>
    <w:rsid w:val="007151F4"/>
    <w:rsid w:val="00715203"/>
    <w:rsid w:val="00715211"/>
    <w:rsid w:val="0071526E"/>
    <w:rsid w:val="00715271"/>
    <w:rsid w:val="00715276"/>
    <w:rsid w:val="007152AC"/>
    <w:rsid w:val="007152C8"/>
    <w:rsid w:val="007152DF"/>
    <w:rsid w:val="00715313"/>
    <w:rsid w:val="00715314"/>
    <w:rsid w:val="0071533A"/>
    <w:rsid w:val="0071539C"/>
    <w:rsid w:val="0071539D"/>
    <w:rsid w:val="007153A7"/>
    <w:rsid w:val="007153FE"/>
    <w:rsid w:val="00715428"/>
    <w:rsid w:val="0071542E"/>
    <w:rsid w:val="00715432"/>
    <w:rsid w:val="00715442"/>
    <w:rsid w:val="0071549F"/>
    <w:rsid w:val="007154B2"/>
    <w:rsid w:val="007154FA"/>
    <w:rsid w:val="00715500"/>
    <w:rsid w:val="00715523"/>
    <w:rsid w:val="00715541"/>
    <w:rsid w:val="00715579"/>
    <w:rsid w:val="00715595"/>
    <w:rsid w:val="007155AF"/>
    <w:rsid w:val="007155C7"/>
    <w:rsid w:val="007155F2"/>
    <w:rsid w:val="007155F9"/>
    <w:rsid w:val="0071560E"/>
    <w:rsid w:val="00715627"/>
    <w:rsid w:val="00715678"/>
    <w:rsid w:val="007156B5"/>
    <w:rsid w:val="007156E9"/>
    <w:rsid w:val="007156EC"/>
    <w:rsid w:val="007156F0"/>
    <w:rsid w:val="0071571F"/>
    <w:rsid w:val="0071573D"/>
    <w:rsid w:val="0071576C"/>
    <w:rsid w:val="007157B9"/>
    <w:rsid w:val="007157CC"/>
    <w:rsid w:val="007157F1"/>
    <w:rsid w:val="007157F4"/>
    <w:rsid w:val="00715836"/>
    <w:rsid w:val="00715844"/>
    <w:rsid w:val="00715886"/>
    <w:rsid w:val="007158AE"/>
    <w:rsid w:val="007158EF"/>
    <w:rsid w:val="00715904"/>
    <w:rsid w:val="00715927"/>
    <w:rsid w:val="00715928"/>
    <w:rsid w:val="00715935"/>
    <w:rsid w:val="0071593C"/>
    <w:rsid w:val="0071594E"/>
    <w:rsid w:val="0071595C"/>
    <w:rsid w:val="0071595F"/>
    <w:rsid w:val="0071599E"/>
    <w:rsid w:val="007159EE"/>
    <w:rsid w:val="00715A09"/>
    <w:rsid w:val="00715A68"/>
    <w:rsid w:val="00715A88"/>
    <w:rsid w:val="00715A90"/>
    <w:rsid w:val="00715ADD"/>
    <w:rsid w:val="00715B41"/>
    <w:rsid w:val="00715B5F"/>
    <w:rsid w:val="00715BDA"/>
    <w:rsid w:val="00715BE7"/>
    <w:rsid w:val="00715C05"/>
    <w:rsid w:val="00715C08"/>
    <w:rsid w:val="00715C0D"/>
    <w:rsid w:val="00715C2A"/>
    <w:rsid w:val="00715C83"/>
    <w:rsid w:val="00715D39"/>
    <w:rsid w:val="00715D78"/>
    <w:rsid w:val="00715DBC"/>
    <w:rsid w:val="00715DD1"/>
    <w:rsid w:val="00715E01"/>
    <w:rsid w:val="00715E4E"/>
    <w:rsid w:val="00715E59"/>
    <w:rsid w:val="00715E67"/>
    <w:rsid w:val="00715F42"/>
    <w:rsid w:val="00715F7D"/>
    <w:rsid w:val="00715F81"/>
    <w:rsid w:val="00715FD2"/>
    <w:rsid w:val="00715FE0"/>
    <w:rsid w:val="00715FF6"/>
    <w:rsid w:val="00716004"/>
    <w:rsid w:val="00716075"/>
    <w:rsid w:val="00716090"/>
    <w:rsid w:val="00716097"/>
    <w:rsid w:val="007160DD"/>
    <w:rsid w:val="00716130"/>
    <w:rsid w:val="00716132"/>
    <w:rsid w:val="00716171"/>
    <w:rsid w:val="0071617F"/>
    <w:rsid w:val="007161BA"/>
    <w:rsid w:val="007161C3"/>
    <w:rsid w:val="007161DF"/>
    <w:rsid w:val="0071624C"/>
    <w:rsid w:val="0071629E"/>
    <w:rsid w:val="007162AF"/>
    <w:rsid w:val="007162E2"/>
    <w:rsid w:val="007162FD"/>
    <w:rsid w:val="0071632F"/>
    <w:rsid w:val="00716330"/>
    <w:rsid w:val="0071633A"/>
    <w:rsid w:val="00716356"/>
    <w:rsid w:val="0071637B"/>
    <w:rsid w:val="007163FA"/>
    <w:rsid w:val="00716418"/>
    <w:rsid w:val="0071645F"/>
    <w:rsid w:val="00716469"/>
    <w:rsid w:val="00716481"/>
    <w:rsid w:val="00716485"/>
    <w:rsid w:val="007164A5"/>
    <w:rsid w:val="007164B2"/>
    <w:rsid w:val="007164B8"/>
    <w:rsid w:val="007164D6"/>
    <w:rsid w:val="00716539"/>
    <w:rsid w:val="0071654D"/>
    <w:rsid w:val="0071658F"/>
    <w:rsid w:val="00716593"/>
    <w:rsid w:val="007165AD"/>
    <w:rsid w:val="007165CE"/>
    <w:rsid w:val="007165D3"/>
    <w:rsid w:val="00716646"/>
    <w:rsid w:val="00716654"/>
    <w:rsid w:val="0071666E"/>
    <w:rsid w:val="0071669F"/>
    <w:rsid w:val="007166FD"/>
    <w:rsid w:val="00716731"/>
    <w:rsid w:val="00716735"/>
    <w:rsid w:val="007167AD"/>
    <w:rsid w:val="007167C3"/>
    <w:rsid w:val="007167C4"/>
    <w:rsid w:val="007167FC"/>
    <w:rsid w:val="00716811"/>
    <w:rsid w:val="00716868"/>
    <w:rsid w:val="00716895"/>
    <w:rsid w:val="007168BB"/>
    <w:rsid w:val="007168EA"/>
    <w:rsid w:val="007168FA"/>
    <w:rsid w:val="00716900"/>
    <w:rsid w:val="0071693E"/>
    <w:rsid w:val="00716942"/>
    <w:rsid w:val="00716962"/>
    <w:rsid w:val="0071697A"/>
    <w:rsid w:val="007169A4"/>
    <w:rsid w:val="00716A41"/>
    <w:rsid w:val="00716A54"/>
    <w:rsid w:val="00716AAC"/>
    <w:rsid w:val="00716AFD"/>
    <w:rsid w:val="00716AFE"/>
    <w:rsid w:val="00716B39"/>
    <w:rsid w:val="00716B64"/>
    <w:rsid w:val="00716BB1"/>
    <w:rsid w:val="00716C37"/>
    <w:rsid w:val="00716C3C"/>
    <w:rsid w:val="00716C48"/>
    <w:rsid w:val="00716C70"/>
    <w:rsid w:val="00716CA0"/>
    <w:rsid w:val="00716CA7"/>
    <w:rsid w:val="00716CC4"/>
    <w:rsid w:val="00716CD2"/>
    <w:rsid w:val="00716CE6"/>
    <w:rsid w:val="00716D0B"/>
    <w:rsid w:val="00716D49"/>
    <w:rsid w:val="00716D4E"/>
    <w:rsid w:val="00716D9C"/>
    <w:rsid w:val="00716DC4"/>
    <w:rsid w:val="00716DC7"/>
    <w:rsid w:val="00716E4D"/>
    <w:rsid w:val="00716E7A"/>
    <w:rsid w:val="00716EC9"/>
    <w:rsid w:val="00716ECF"/>
    <w:rsid w:val="00716ED4"/>
    <w:rsid w:val="00716EFF"/>
    <w:rsid w:val="00716F22"/>
    <w:rsid w:val="00716F47"/>
    <w:rsid w:val="00716FAF"/>
    <w:rsid w:val="00716FD0"/>
    <w:rsid w:val="00716FF2"/>
    <w:rsid w:val="00717018"/>
    <w:rsid w:val="00717062"/>
    <w:rsid w:val="00717089"/>
    <w:rsid w:val="0071708E"/>
    <w:rsid w:val="007170AE"/>
    <w:rsid w:val="007170E3"/>
    <w:rsid w:val="007170EC"/>
    <w:rsid w:val="007170F0"/>
    <w:rsid w:val="00717136"/>
    <w:rsid w:val="0071715A"/>
    <w:rsid w:val="007171FD"/>
    <w:rsid w:val="007171FE"/>
    <w:rsid w:val="00717212"/>
    <w:rsid w:val="00717233"/>
    <w:rsid w:val="0071728D"/>
    <w:rsid w:val="007172D4"/>
    <w:rsid w:val="007172E5"/>
    <w:rsid w:val="00717305"/>
    <w:rsid w:val="00717309"/>
    <w:rsid w:val="00717318"/>
    <w:rsid w:val="00717348"/>
    <w:rsid w:val="00717388"/>
    <w:rsid w:val="00717399"/>
    <w:rsid w:val="007173CC"/>
    <w:rsid w:val="007173E9"/>
    <w:rsid w:val="007174AC"/>
    <w:rsid w:val="007174EF"/>
    <w:rsid w:val="0071751E"/>
    <w:rsid w:val="00717549"/>
    <w:rsid w:val="00717558"/>
    <w:rsid w:val="00717593"/>
    <w:rsid w:val="007175E4"/>
    <w:rsid w:val="007175FE"/>
    <w:rsid w:val="007175FF"/>
    <w:rsid w:val="00717650"/>
    <w:rsid w:val="00717653"/>
    <w:rsid w:val="0071766D"/>
    <w:rsid w:val="007176A8"/>
    <w:rsid w:val="007176C2"/>
    <w:rsid w:val="007176C6"/>
    <w:rsid w:val="007176FF"/>
    <w:rsid w:val="0071772B"/>
    <w:rsid w:val="007177E9"/>
    <w:rsid w:val="007177F6"/>
    <w:rsid w:val="0071785E"/>
    <w:rsid w:val="00717877"/>
    <w:rsid w:val="0071790E"/>
    <w:rsid w:val="0071794D"/>
    <w:rsid w:val="00717969"/>
    <w:rsid w:val="0071797E"/>
    <w:rsid w:val="00717996"/>
    <w:rsid w:val="0071799B"/>
    <w:rsid w:val="007179B0"/>
    <w:rsid w:val="007179EF"/>
    <w:rsid w:val="00717A02"/>
    <w:rsid w:val="00717A07"/>
    <w:rsid w:val="00717A1B"/>
    <w:rsid w:val="00717A99"/>
    <w:rsid w:val="00717AA3"/>
    <w:rsid w:val="00717ABD"/>
    <w:rsid w:val="00717AE9"/>
    <w:rsid w:val="00717AEA"/>
    <w:rsid w:val="00717AF1"/>
    <w:rsid w:val="00717B15"/>
    <w:rsid w:val="00717B91"/>
    <w:rsid w:val="00717B95"/>
    <w:rsid w:val="00717C19"/>
    <w:rsid w:val="00717C44"/>
    <w:rsid w:val="00717C77"/>
    <w:rsid w:val="00717C7E"/>
    <w:rsid w:val="00717C93"/>
    <w:rsid w:val="00717CF9"/>
    <w:rsid w:val="00717D36"/>
    <w:rsid w:val="00717D8D"/>
    <w:rsid w:val="00717D98"/>
    <w:rsid w:val="00717DA8"/>
    <w:rsid w:val="00717E38"/>
    <w:rsid w:val="00717E7F"/>
    <w:rsid w:val="00717E9D"/>
    <w:rsid w:val="00717EA7"/>
    <w:rsid w:val="00717EB8"/>
    <w:rsid w:val="00717ED5"/>
    <w:rsid w:val="00717EF1"/>
    <w:rsid w:val="00717F31"/>
    <w:rsid w:val="00717F39"/>
    <w:rsid w:val="00717F70"/>
    <w:rsid w:val="00717F9E"/>
    <w:rsid w:val="00717FB1"/>
    <w:rsid w:val="00720033"/>
    <w:rsid w:val="007200C1"/>
    <w:rsid w:val="007200CB"/>
    <w:rsid w:val="007200D0"/>
    <w:rsid w:val="007200ED"/>
    <w:rsid w:val="0072010A"/>
    <w:rsid w:val="0072010B"/>
    <w:rsid w:val="00720177"/>
    <w:rsid w:val="00720197"/>
    <w:rsid w:val="007201A4"/>
    <w:rsid w:val="007201D8"/>
    <w:rsid w:val="007201F8"/>
    <w:rsid w:val="0072027D"/>
    <w:rsid w:val="00720280"/>
    <w:rsid w:val="00720290"/>
    <w:rsid w:val="007202AD"/>
    <w:rsid w:val="007202B6"/>
    <w:rsid w:val="007202DD"/>
    <w:rsid w:val="007202E8"/>
    <w:rsid w:val="0072031D"/>
    <w:rsid w:val="007203CB"/>
    <w:rsid w:val="007203E9"/>
    <w:rsid w:val="0072043C"/>
    <w:rsid w:val="0072046B"/>
    <w:rsid w:val="00720492"/>
    <w:rsid w:val="007204B5"/>
    <w:rsid w:val="007204F2"/>
    <w:rsid w:val="00720532"/>
    <w:rsid w:val="00720561"/>
    <w:rsid w:val="007205A5"/>
    <w:rsid w:val="007205B1"/>
    <w:rsid w:val="007205D1"/>
    <w:rsid w:val="00720697"/>
    <w:rsid w:val="007206A7"/>
    <w:rsid w:val="007206BB"/>
    <w:rsid w:val="007206D5"/>
    <w:rsid w:val="007206E2"/>
    <w:rsid w:val="007206E6"/>
    <w:rsid w:val="007206EC"/>
    <w:rsid w:val="00720743"/>
    <w:rsid w:val="00720750"/>
    <w:rsid w:val="0072078D"/>
    <w:rsid w:val="007207BB"/>
    <w:rsid w:val="007207F0"/>
    <w:rsid w:val="00720830"/>
    <w:rsid w:val="00720832"/>
    <w:rsid w:val="0072087B"/>
    <w:rsid w:val="007208A1"/>
    <w:rsid w:val="007208DD"/>
    <w:rsid w:val="00720924"/>
    <w:rsid w:val="0072093A"/>
    <w:rsid w:val="0072094E"/>
    <w:rsid w:val="00720968"/>
    <w:rsid w:val="00720978"/>
    <w:rsid w:val="0072098E"/>
    <w:rsid w:val="00720A6F"/>
    <w:rsid w:val="00720AA5"/>
    <w:rsid w:val="00720AF1"/>
    <w:rsid w:val="00720AF7"/>
    <w:rsid w:val="00720B02"/>
    <w:rsid w:val="00720B51"/>
    <w:rsid w:val="00720B72"/>
    <w:rsid w:val="00720BCC"/>
    <w:rsid w:val="00720BCF"/>
    <w:rsid w:val="00720C12"/>
    <w:rsid w:val="00720C16"/>
    <w:rsid w:val="00720C7A"/>
    <w:rsid w:val="00720C85"/>
    <w:rsid w:val="00720CEA"/>
    <w:rsid w:val="00720CF5"/>
    <w:rsid w:val="00720D45"/>
    <w:rsid w:val="00720DAA"/>
    <w:rsid w:val="00720DC1"/>
    <w:rsid w:val="00720DDC"/>
    <w:rsid w:val="00720DF6"/>
    <w:rsid w:val="00720E25"/>
    <w:rsid w:val="00720E73"/>
    <w:rsid w:val="00720E95"/>
    <w:rsid w:val="00720F22"/>
    <w:rsid w:val="00720F3B"/>
    <w:rsid w:val="00720F5A"/>
    <w:rsid w:val="00720F8E"/>
    <w:rsid w:val="00720FA4"/>
    <w:rsid w:val="00720FA7"/>
    <w:rsid w:val="00720FC0"/>
    <w:rsid w:val="00720FEE"/>
    <w:rsid w:val="007210B2"/>
    <w:rsid w:val="007210BD"/>
    <w:rsid w:val="007210DB"/>
    <w:rsid w:val="007210FC"/>
    <w:rsid w:val="00721104"/>
    <w:rsid w:val="0072113B"/>
    <w:rsid w:val="007211DE"/>
    <w:rsid w:val="007211E1"/>
    <w:rsid w:val="0072123A"/>
    <w:rsid w:val="0072123E"/>
    <w:rsid w:val="0072127D"/>
    <w:rsid w:val="007212AA"/>
    <w:rsid w:val="007212B3"/>
    <w:rsid w:val="00721319"/>
    <w:rsid w:val="00721367"/>
    <w:rsid w:val="0072136E"/>
    <w:rsid w:val="00721384"/>
    <w:rsid w:val="007213DA"/>
    <w:rsid w:val="007213F7"/>
    <w:rsid w:val="00721474"/>
    <w:rsid w:val="007214DE"/>
    <w:rsid w:val="007214EA"/>
    <w:rsid w:val="007214F1"/>
    <w:rsid w:val="007214FD"/>
    <w:rsid w:val="0072157A"/>
    <w:rsid w:val="007215AC"/>
    <w:rsid w:val="007215D4"/>
    <w:rsid w:val="0072162B"/>
    <w:rsid w:val="00721633"/>
    <w:rsid w:val="0072167E"/>
    <w:rsid w:val="007216A0"/>
    <w:rsid w:val="007216AE"/>
    <w:rsid w:val="007216B5"/>
    <w:rsid w:val="007216B8"/>
    <w:rsid w:val="007216D9"/>
    <w:rsid w:val="00721705"/>
    <w:rsid w:val="007217A3"/>
    <w:rsid w:val="007217F1"/>
    <w:rsid w:val="00721816"/>
    <w:rsid w:val="00721864"/>
    <w:rsid w:val="00721887"/>
    <w:rsid w:val="00721896"/>
    <w:rsid w:val="007218A5"/>
    <w:rsid w:val="007218CE"/>
    <w:rsid w:val="00721967"/>
    <w:rsid w:val="00721974"/>
    <w:rsid w:val="0072199B"/>
    <w:rsid w:val="007219BD"/>
    <w:rsid w:val="007219DB"/>
    <w:rsid w:val="007219FC"/>
    <w:rsid w:val="00721A15"/>
    <w:rsid w:val="00721A7B"/>
    <w:rsid w:val="00721A92"/>
    <w:rsid w:val="00721AE7"/>
    <w:rsid w:val="00721AFD"/>
    <w:rsid w:val="00721B0A"/>
    <w:rsid w:val="00721B64"/>
    <w:rsid w:val="00721BA5"/>
    <w:rsid w:val="00721BE1"/>
    <w:rsid w:val="00721BEF"/>
    <w:rsid w:val="00721BF8"/>
    <w:rsid w:val="00721C39"/>
    <w:rsid w:val="00721C57"/>
    <w:rsid w:val="00721C65"/>
    <w:rsid w:val="00721CDA"/>
    <w:rsid w:val="00721D14"/>
    <w:rsid w:val="00721D2B"/>
    <w:rsid w:val="00721D6C"/>
    <w:rsid w:val="00721D7D"/>
    <w:rsid w:val="00721D80"/>
    <w:rsid w:val="00721DE9"/>
    <w:rsid w:val="00721DFD"/>
    <w:rsid w:val="00721E38"/>
    <w:rsid w:val="00721E3E"/>
    <w:rsid w:val="00721E57"/>
    <w:rsid w:val="00721E74"/>
    <w:rsid w:val="00721EBB"/>
    <w:rsid w:val="00721EBC"/>
    <w:rsid w:val="00721ED8"/>
    <w:rsid w:val="00721F13"/>
    <w:rsid w:val="00721F21"/>
    <w:rsid w:val="00721FA6"/>
    <w:rsid w:val="00721FCD"/>
    <w:rsid w:val="00721FD9"/>
    <w:rsid w:val="00722044"/>
    <w:rsid w:val="00722089"/>
    <w:rsid w:val="007220BB"/>
    <w:rsid w:val="007220D5"/>
    <w:rsid w:val="007220F3"/>
    <w:rsid w:val="0072213A"/>
    <w:rsid w:val="00722162"/>
    <w:rsid w:val="0072217E"/>
    <w:rsid w:val="007221A6"/>
    <w:rsid w:val="007221B1"/>
    <w:rsid w:val="0072224F"/>
    <w:rsid w:val="00722281"/>
    <w:rsid w:val="00722296"/>
    <w:rsid w:val="007222D5"/>
    <w:rsid w:val="007222F3"/>
    <w:rsid w:val="007222F7"/>
    <w:rsid w:val="0072231D"/>
    <w:rsid w:val="00722339"/>
    <w:rsid w:val="0072233F"/>
    <w:rsid w:val="00722342"/>
    <w:rsid w:val="00722346"/>
    <w:rsid w:val="0072235C"/>
    <w:rsid w:val="0072235D"/>
    <w:rsid w:val="0072237D"/>
    <w:rsid w:val="0072238E"/>
    <w:rsid w:val="007223B8"/>
    <w:rsid w:val="007223D3"/>
    <w:rsid w:val="0072244F"/>
    <w:rsid w:val="00722464"/>
    <w:rsid w:val="007224C9"/>
    <w:rsid w:val="007224E8"/>
    <w:rsid w:val="00722510"/>
    <w:rsid w:val="007225FD"/>
    <w:rsid w:val="00722621"/>
    <w:rsid w:val="00722631"/>
    <w:rsid w:val="00722644"/>
    <w:rsid w:val="007226AA"/>
    <w:rsid w:val="007226D6"/>
    <w:rsid w:val="007226F9"/>
    <w:rsid w:val="0072271C"/>
    <w:rsid w:val="00722729"/>
    <w:rsid w:val="0072278B"/>
    <w:rsid w:val="007227B5"/>
    <w:rsid w:val="007227EC"/>
    <w:rsid w:val="007227ED"/>
    <w:rsid w:val="0072285C"/>
    <w:rsid w:val="007228B0"/>
    <w:rsid w:val="007228C8"/>
    <w:rsid w:val="007228CD"/>
    <w:rsid w:val="00722900"/>
    <w:rsid w:val="00722910"/>
    <w:rsid w:val="0072294A"/>
    <w:rsid w:val="00722957"/>
    <w:rsid w:val="0072295A"/>
    <w:rsid w:val="00722994"/>
    <w:rsid w:val="007229AF"/>
    <w:rsid w:val="007229BC"/>
    <w:rsid w:val="007229FD"/>
    <w:rsid w:val="00722A00"/>
    <w:rsid w:val="00722A05"/>
    <w:rsid w:val="00722A1D"/>
    <w:rsid w:val="00722A36"/>
    <w:rsid w:val="00722A3C"/>
    <w:rsid w:val="00722A97"/>
    <w:rsid w:val="00722AFB"/>
    <w:rsid w:val="00722B2B"/>
    <w:rsid w:val="00722B44"/>
    <w:rsid w:val="00722B56"/>
    <w:rsid w:val="00722B84"/>
    <w:rsid w:val="00722B88"/>
    <w:rsid w:val="00722BD2"/>
    <w:rsid w:val="00722BD6"/>
    <w:rsid w:val="00722BE3"/>
    <w:rsid w:val="00722BFC"/>
    <w:rsid w:val="00722C21"/>
    <w:rsid w:val="00722C72"/>
    <w:rsid w:val="00722CDE"/>
    <w:rsid w:val="00722CEF"/>
    <w:rsid w:val="00722D2F"/>
    <w:rsid w:val="00722D66"/>
    <w:rsid w:val="00722D79"/>
    <w:rsid w:val="00722D9A"/>
    <w:rsid w:val="00722DB5"/>
    <w:rsid w:val="00722DBF"/>
    <w:rsid w:val="00722DF4"/>
    <w:rsid w:val="00722E5E"/>
    <w:rsid w:val="00722E64"/>
    <w:rsid w:val="00722E86"/>
    <w:rsid w:val="00722EFE"/>
    <w:rsid w:val="00722F17"/>
    <w:rsid w:val="00722F52"/>
    <w:rsid w:val="00722F66"/>
    <w:rsid w:val="00722FA7"/>
    <w:rsid w:val="00722FE3"/>
    <w:rsid w:val="00723014"/>
    <w:rsid w:val="0072306D"/>
    <w:rsid w:val="00723090"/>
    <w:rsid w:val="007230AF"/>
    <w:rsid w:val="007230D6"/>
    <w:rsid w:val="007231C3"/>
    <w:rsid w:val="00723245"/>
    <w:rsid w:val="0072329D"/>
    <w:rsid w:val="007232BE"/>
    <w:rsid w:val="007232D5"/>
    <w:rsid w:val="007232DF"/>
    <w:rsid w:val="007232E2"/>
    <w:rsid w:val="0072331D"/>
    <w:rsid w:val="00723326"/>
    <w:rsid w:val="0072332A"/>
    <w:rsid w:val="0072334E"/>
    <w:rsid w:val="00723378"/>
    <w:rsid w:val="00723387"/>
    <w:rsid w:val="0072339D"/>
    <w:rsid w:val="007233B2"/>
    <w:rsid w:val="007233C7"/>
    <w:rsid w:val="007233EC"/>
    <w:rsid w:val="0072342D"/>
    <w:rsid w:val="0072344E"/>
    <w:rsid w:val="0072346F"/>
    <w:rsid w:val="00723499"/>
    <w:rsid w:val="007234A6"/>
    <w:rsid w:val="007234AE"/>
    <w:rsid w:val="007234C1"/>
    <w:rsid w:val="007234EA"/>
    <w:rsid w:val="007234F0"/>
    <w:rsid w:val="007234F3"/>
    <w:rsid w:val="00723518"/>
    <w:rsid w:val="00723542"/>
    <w:rsid w:val="00723599"/>
    <w:rsid w:val="0072359F"/>
    <w:rsid w:val="007235DA"/>
    <w:rsid w:val="007235DB"/>
    <w:rsid w:val="007235FF"/>
    <w:rsid w:val="00723643"/>
    <w:rsid w:val="007236C1"/>
    <w:rsid w:val="007236E3"/>
    <w:rsid w:val="007236E6"/>
    <w:rsid w:val="007236EA"/>
    <w:rsid w:val="00723747"/>
    <w:rsid w:val="00723792"/>
    <w:rsid w:val="00723850"/>
    <w:rsid w:val="00723853"/>
    <w:rsid w:val="00723856"/>
    <w:rsid w:val="00723862"/>
    <w:rsid w:val="00723887"/>
    <w:rsid w:val="007238F9"/>
    <w:rsid w:val="00723930"/>
    <w:rsid w:val="00723982"/>
    <w:rsid w:val="00723992"/>
    <w:rsid w:val="007239B3"/>
    <w:rsid w:val="00723A45"/>
    <w:rsid w:val="00723B25"/>
    <w:rsid w:val="00723BB1"/>
    <w:rsid w:val="00723BB4"/>
    <w:rsid w:val="00723BB5"/>
    <w:rsid w:val="00723BEA"/>
    <w:rsid w:val="00723BED"/>
    <w:rsid w:val="00723C3A"/>
    <w:rsid w:val="00723C4B"/>
    <w:rsid w:val="00723D02"/>
    <w:rsid w:val="00723D0F"/>
    <w:rsid w:val="00723D2E"/>
    <w:rsid w:val="00723D45"/>
    <w:rsid w:val="00723D50"/>
    <w:rsid w:val="00723D5F"/>
    <w:rsid w:val="00723D69"/>
    <w:rsid w:val="00723DE0"/>
    <w:rsid w:val="00723DF2"/>
    <w:rsid w:val="00723E1E"/>
    <w:rsid w:val="00723E38"/>
    <w:rsid w:val="00723E5B"/>
    <w:rsid w:val="00723EAD"/>
    <w:rsid w:val="00723EBA"/>
    <w:rsid w:val="00723EBF"/>
    <w:rsid w:val="00723ED4"/>
    <w:rsid w:val="00723F1D"/>
    <w:rsid w:val="00723F39"/>
    <w:rsid w:val="00723F6A"/>
    <w:rsid w:val="00723FB0"/>
    <w:rsid w:val="00723FF0"/>
    <w:rsid w:val="00723FFD"/>
    <w:rsid w:val="00724003"/>
    <w:rsid w:val="0072402E"/>
    <w:rsid w:val="00724069"/>
    <w:rsid w:val="00724081"/>
    <w:rsid w:val="007240BC"/>
    <w:rsid w:val="007240DE"/>
    <w:rsid w:val="007240EC"/>
    <w:rsid w:val="00724106"/>
    <w:rsid w:val="0072413F"/>
    <w:rsid w:val="00724171"/>
    <w:rsid w:val="0072419B"/>
    <w:rsid w:val="007241A4"/>
    <w:rsid w:val="00724219"/>
    <w:rsid w:val="0072425B"/>
    <w:rsid w:val="00724296"/>
    <w:rsid w:val="00724297"/>
    <w:rsid w:val="007242A6"/>
    <w:rsid w:val="007242F3"/>
    <w:rsid w:val="00724302"/>
    <w:rsid w:val="00724375"/>
    <w:rsid w:val="00724386"/>
    <w:rsid w:val="00724463"/>
    <w:rsid w:val="00724499"/>
    <w:rsid w:val="007244CA"/>
    <w:rsid w:val="007244CB"/>
    <w:rsid w:val="007244CF"/>
    <w:rsid w:val="007244E9"/>
    <w:rsid w:val="007244EC"/>
    <w:rsid w:val="0072450F"/>
    <w:rsid w:val="00724578"/>
    <w:rsid w:val="007245A6"/>
    <w:rsid w:val="00724618"/>
    <w:rsid w:val="0072462C"/>
    <w:rsid w:val="00724691"/>
    <w:rsid w:val="007246BA"/>
    <w:rsid w:val="007246D6"/>
    <w:rsid w:val="007246DE"/>
    <w:rsid w:val="0072470D"/>
    <w:rsid w:val="00724713"/>
    <w:rsid w:val="0072479B"/>
    <w:rsid w:val="007247EA"/>
    <w:rsid w:val="007247F6"/>
    <w:rsid w:val="0072482D"/>
    <w:rsid w:val="0072484F"/>
    <w:rsid w:val="0072494E"/>
    <w:rsid w:val="0072495B"/>
    <w:rsid w:val="00724979"/>
    <w:rsid w:val="007249DE"/>
    <w:rsid w:val="007249E5"/>
    <w:rsid w:val="00724A06"/>
    <w:rsid w:val="00724A13"/>
    <w:rsid w:val="00724A55"/>
    <w:rsid w:val="00724A6A"/>
    <w:rsid w:val="00724AE1"/>
    <w:rsid w:val="00724AF1"/>
    <w:rsid w:val="00724B0F"/>
    <w:rsid w:val="00724B87"/>
    <w:rsid w:val="00724BAE"/>
    <w:rsid w:val="00724BB9"/>
    <w:rsid w:val="00724BDF"/>
    <w:rsid w:val="00724C24"/>
    <w:rsid w:val="00724C73"/>
    <w:rsid w:val="00724C88"/>
    <w:rsid w:val="00724CA1"/>
    <w:rsid w:val="00724CA5"/>
    <w:rsid w:val="00724CCB"/>
    <w:rsid w:val="00724CE7"/>
    <w:rsid w:val="00724D27"/>
    <w:rsid w:val="00724D38"/>
    <w:rsid w:val="00724D5A"/>
    <w:rsid w:val="00724D82"/>
    <w:rsid w:val="00724DD8"/>
    <w:rsid w:val="00724DEB"/>
    <w:rsid w:val="00724E0B"/>
    <w:rsid w:val="00724E20"/>
    <w:rsid w:val="00724E36"/>
    <w:rsid w:val="00724E4A"/>
    <w:rsid w:val="00724E6D"/>
    <w:rsid w:val="00724E90"/>
    <w:rsid w:val="00724E91"/>
    <w:rsid w:val="00724E9E"/>
    <w:rsid w:val="00724F0D"/>
    <w:rsid w:val="00724F24"/>
    <w:rsid w:val="00724F33"/>
    <w:rsid w:val="00724F4B"/>
    <w:rsid w:val="00724F4C"/>
    <w:rsid w:val="00724F60"/>
    <w:rsid w:val="00724FE1"/>
    <w:rsid w:val="0072502A"/>
    <w:rsid w:val="00725042"/>
    <w:rsid w:val="007250BE"/>
    <w:rsid w:val="007250C5"/>
    <w:rsid w:val="007250E5"/>
    <w:rsid w:val="0072511A"/>
    <w:rsid w:val="00725140"/>
    <w:rsid w:val="00725156"/>
    <w:rsid w:val="007251C4"/>
    <w:rsid w:val="007251E3"/>
    <w:rsid w:val="00725203"/>
    <w:rsid w:val="00725208"/>
    <w:rsid w:val="00725226"/>
    <w:rsid w:val="0072523C"/>
    <w:rsid w:val="00725245"/>
    <w:rsid w:val="0072524E"/>
    <w:rsid w:val="0072525F"/>
    <w:rsid w:val="007252A0"/>
    <w:rsid w:val="007252C3"/>
    <w:rsid w:val="007252FB"/>
    <w:rsid w:val="007252FF"/>
    <w:rsid w:val="00725326"/>
    <w:rsid w:val="007253D4"/>
    <w:rsid w:val="007253ED"/>
    <w:rsid w:val="00725404"/>
    <w:rsid w:val="00725415"/>
    <w:rsid w:val="00725431"/>
    <w:rsid w:val="0072545C"/>
    <w:rsid w:val="0072547A"/>
    <w:rsid w:val="007254C7"/>
    <w:rsid w:val="007254C8"/>
    <w:rsid w:val="00725532"/>
    <w:rsid w:val="00725556"/>
    <w:rsid w:val="007255C1"/>
    <w:rsid w:val="007255C5"/>
    <w:rsid w:val="007255E4"/>
    <w:rsid w:val="00725613"/>
    <w:rsid w:val="00725631"/>
    <w:rsid w:val="00725635"/>
    <w:rsid w:val="007256A5"/>
    <w:rsid w:val="00725782"/>
    <w:rsid w:val="007257B0"/>
    <w:rsid w:val="007257CF"/>
    <w:rsid w:val="00725807"/>
    <w:rsid w:val="00725828"/>
    <w:rsid w:val="00725893"/>
    <w:rsid w:val="00725894"/>
    <w:rsid w:val="007258C1"/>
    <w:rsid w:val="007258E1"/>
    <w:rsid w:val="00725918"/>
    <w:rsid w:val="0072591B"/>
    <w:rsid w:val="00725922"/>
    <w:rsid w:val="00725965"/>
    <w:rsid w:val="007259A4"/>
    <w:rsid w:val="007259F5"/>
    <w:rsid w:val="00725A73"/>
    <w:rsid w:val="00725ACC"/>
    <w:rsid w:val="00725AF3"/>
    <w:rsid w:val="00725B0F"/>
    <w:rsid w:val="00725B47"/>
    <w:rsid w:val="00725B48"/>
    <w:rsid w:val="00725B5D"/>
    <w:rsid w:val="00725B85"/>
    <w:rsid w:val="00725B9A"/>
    <w:rsid w:val="00725BB0"/>
    <w:rsid w:val="00725BC8"/>
    <w:rsid w:val="00725BE1"/>
    <w:rsid w:val="00725BE9"/>
    <w:rsid w:val="00725BFF"/>
    <w:rsid w:val="00725C52"/>
    <w:rsid w:val="00725C56"/>
    <w:rsid w:val="00725C60"/>
    <w:rsid w:val="00725C80"/>
    <w:rsid w:val="00725CC8"/>
    <w:rsid w:val="00725D1D"/>
    <w:rsid w:val="00725D34"/>
    <w:rsid w:val="00725D5F"/>
    <w:rsid w:val="00725D76"/>
    <w:rsid w:val="00725DA6"/>
    <w:rsid w:val="00725DBC"/>
    <w:rsid w:val="00725DD7"/>
    <w:rsid w:val="00725DDF"/>
    <w:rsid w:val="00725E3A"/>
    <w:rsid w:val="00725E3D"/>
    <w:rsid w:val="00725E42"/>
    <w:rsid w:val="00725E5E"/>
    <w:rsid w:val="00725E62"/>
    <w:rsid w:val="00725E8C"/>
    <w:rsid w:val="00725EC4"/>
    <w:rsid w:val="00725F0B"/>
    <w:rsid w:val="00725F33"/>
    <w:rsid w:val="00725FD6"/>
    <w:rsid w:val="0072606B"/>
    <w:rsid w:val="00726129"/>
    <w:rsid w:val="00726137"/>
    <w:rsid w:val="0072615C"/>
    <w:rsid w:val="007261A4"/>
    <w:rsid w:val="007261BE"/>
    <w:rsid w:val="007261CA"/>
    <w:rsid w:val="0072624D"/>
    <w:rsid w:val="00726289"/>
    <w:rsid w:val="007262E6"/>
    <w:rsid w:val="00726304"/>
    <w:rsid w:val="00726353"/>
    <w:rsid w:val="00726380"/>
    <w:rsid w:val="00726422"/>
    <w:rsid w:val="0072642A"/>
    <w:rsid w:val="00726494"/>
    <w:rsid w:val="0072649A"/>
    <w:rsid w:val="007264C8"/>
    <w:rsid w:val="00726502"/>
    <w:rsid w:val="00726503"/>
    <w:rsid w:val="00726559"/>
    <w:rsid w:val="0072655D"/>
    <w:rsid w:val="0072658E"/>
    <w:rsid w:val="007265C5"/>
    <w:rsid w:val="007265E1"/>
    <w:rsid w:val="0072661E"/>
    <w:rsid w:val="00726627"/>
    <w:rsid w:val="00726698"/>
    <w:rsid w:val="007266E5"/>
    <w:rsid w:val="007266FD"/>
    <w:rsid w:val="00726723"/>
    <w:rsid w:val="00726728"/>
    <w:rsid w:val="0072675E"/>
    <w:rsid w:val="00726765"/>
    <w:rsid w:val="00726782"/>
    <w:rsid w:val="007267BF"/>
    <w:rsid w:val="00726831"/>
    <w:rsid w:val="00726837"/>
    <w:rsid w:val="0072683C"/>
    <w:rsid w:val="0072684C"/>
    <w:rsid w:val="00726921"/>
    <w:rsid w:val="0072692B"/>
    <w:rsid w:val="0072693F"/>
    <w:rsid w:val="00726943"/>
    <w:rsid w:val="00726968"/>
    <w:rsid w:val="007269A1"/>
    <w:rsid w:val="007269AF"/>
    <w:rsid w:val="007269D0"/>
    <w:rsid w:val="00726A38"/>
    <w:rsid w:val="00726A46"/>
    <w:rsid w:val="00726A94"/>
    <w:rsid w:val="00726AE0"/>
    <w:rsid w:val="00726AEC"/>
    <w:rsid w:val="00726B7B"/>
    <w:rsid w:val="00726B99"/>
    <w:rsid w:val="00726BA5"/>
    <w:rsid w:val="00726C0C"/>
    <w:rsid w:val="00726C27"/>
    <w:rsid w:val="00726C2B"/>
    <w:rsid w:val="00726C3D"/>
    <w:rsid w:val="00726C56"/>
    <w:rsid w:val="00726C77"/>
    <w:rsid w:val="00726C7F"/>
    <w:rsid w:val="00726CAE"/>
    <w:rsid w:val="00726CC4"/>
    <w:rsid w:val="00726D2F"/>
    <w:rsid w:val="00726D3B"/>
    <w:rsid w:val="00726D4D"/>
    <w:rsid w:val="00726DD3"/>
    <w:rsid w:val="00726E4F"/>
    <w:rsid w:val="00726EA4"/>
    <w:rsid w:val="00726EF1"/>
    <w:rsid w:val="00726F99"/>
    <w:rsid w:val="00726FDD"/>
    <w:rsid w:val="00727028"/>
    <w:rsid w:val="00727063"/>
    <w:rsid w:val="0072706D"/>
    <w:rsid w:val="007270B8"/>
    <w:rsid w:val="007270CA"/>
    <w:rsid w:val="007270E3"/>
    <w:rsid w:val="007270EA"/>
    <w:rsid w:val="00727168"/>
    <w:rsid w:val="00727233"/>
    <w:rsid w:val="00727263"/>
    <w:rsid w:val="0072727A"/>
    <w:rsid w:val="00727298"/>
    <w:rsid w:val="007272A4"/>
    <w:rsid w:val="007272C5"/>
    <w:rsid w:val="007272D1"/>
    <w:rsid w:val="007272D6"/>
    <w:rsid w:val="00727304"/>
    <w:rsid w:val="00727328"/>
    <w:rsid w:val="00727357"/>
    <w:rsid w:val="00727361"/>
    <w:rsid w:val="007273B0"/>
    <w:rsid w:val="007273C2"/>
    <w:rsid w:val="007273E7"/>
    <w:rsid w:val="007273FA"/>
    <w:rsid w:val="00727414"/>
    <w:rsid w:val="00727421"/>
    <w:rsid w:val="00727435"/>
    <w:rsid w:val="0072744F"/>
    <w:rsid w:val="00727464"/>
    <w:rsid w:val="0072748E"/>
    <w:rsid w:val="007274A2"/>
    <w:rsid w:val="007274A9"/>
    <w:rsid w:val="00727511"/>
    <w:rsid w:val="00727546"/>
    <w:rsid w:val="0072755C"/>
    <w:rsid w:val="007275B2"/>
    <w:rsid w:val="007275B9"/>
    <w:rsid w:val="0072760E"/>
    <w:rsid w:val="00727618"/>
    <w:rsid w:val="0072761E"/>
    <w:rsid w:val="0072764E"/>
    <w:rsid w:val="00727661"/>
    <w:rsid w:val="00727681"/>
    <w:rsid w:val="0072769D"/>
    <w:rsid w:val="007276F2"/>
    <w:rsid w:val="0072770D"/>
    <w:rsid w:val="00727724"/>
    <w:rsid w:val="00727727"/>
    <w:rsid w:val="0072774C"/>
    <w:rsid w:val="00727760"/>
    <w:rsid w:val="0072777B"/>
    <w:rsid w:val="00727788"/>
    <w:rsid w:val="007277B1"/>
    <w:rsid w:val="007277D1"/>
    <w:rsid w:val="007277E2"/>
    <w:rsid w:val="007277ED"/>
    <w:rsid w:val="007278BF"/>
    <w:rsid w:val="00727934"/>
    <w:rsid w:val="00727989"/>
    <w:rsid w:val="007279E9"/>
    <w:rsid w:val="00727A08"/>
    <w:rsid w:val="00727A23"/>
    <w:rsid w:val="00727A4A"/>
    <w:rsid w:val="00727A56"/>
    <w:rsid w:val="00727A83"/>
    <w:rsid w:val="00727A94"/>
    <w:rsid w:val="00727AD0"/>
    <w:rsid w:val="00727AE9"/>
    <w:rsid w:val="00727B70"/>
    <w:rsid w:val="00727B75"/>
    <w:rsid w:val="00727B7A"/>
    <w:rsid w:val="00727B93"/>
    <w:rsid w:val="00727BA7"/>
    <w:rsid w:val="00727BAC"/>
    <w:rsid w:val="00727BB5"/>
    <w:rsid w:val="00727BB7"/>
    <w:rsid w:val="00727BE6"/>
    <w:rsid w:val="00727C04"/>
    <w:rsid w:val="00727CC1"/>
    <w:rsid w:val="00727CEB"/>
    <w:rsid w:val="00727CF5"/>
    <w:rsid w:val="00727D07"/>
    <w:rsid w:val="00727D4F"/>
    <w:rsid w:val="00727D66"/>
    <w:rsid w:val="00727D74"/>
    <w:rsid w:val="00727DAF"/>
    <w:rsid w:val="00727DC1"/>
    <w:rsid w:val="00727DC7"/>
    <w:rsid w:val="00727DE5"/>
    <w:rsid w:val="00727E02"/>
    <w:rsid w:val="00727E03"/>
    <w:rsid w:val="00727E0A"/>
    <w:rsid w:val="00727EB7"/>
    <w:rsid w:val="00727EB8"/>
    <w:rsid w:val="00727F53"/>
    <w:rsid w:val="00727F57"/>
    <w:rsid w:val="00727F77"/>
    <w:rsid w:val="00727FAC"/>
    <w:rsid w:val="00727FE3"/>
    <w:rsid w:val="00730022"/>
    <w:rsid w:val="0073006F"/>
    <w:rsid w:val="00730084"/>
    <w:rsid w:val="007300A7"/>
    <w:rsid w:val="007300B9"/>
    <w:rsid w:val="007300DC"/>
    <w:rsid w:val="007300E5"/>
    <w:rsid w:val="00730138"/>
    <w:rsid w:val="0073018A"/>
    <w:rsid w:val="007301A1"/>
    <w:rsid w:val="0073024A"/>
    <w:rsid w:val="0073025A"/>
    <w:rsid w:val="0073025D"/>
    <w:rsid w:val="00730265"/>
    <w:rsid w:val="007302DC"/>
    <w:rsid w:val="007302DD"/>
    <w:rsid w:val="007302F5"/>
    <w:rsid w:val="0073038F"/>
    <w:rsid w:val="007303BF"/>
    <w:rsid w:val="007303DF"/>
    <w:rsid w:val="00730406"/>
    <w:rsid w:val="0073046A"/>
    <w:rsid w:val="007304C7"/>
    <w:rsid w:val="007304CE"/>
    <w:rsid w:val="00730506"/>
    <w:rsid w:val="00730512"/>
    <w:rsid w:val="00730524"/>
    <w:rsid w:val="0073052F"/>
    <w:rsid w:val="00730544"/>
    <w:rsid w:val="00730558"/>
    <w:rsid w:val="007305BA"/>
    <w:rsid w:val="00730608"/>
    <w:rsid w:val="0073061E"/>
    <w:rsid w:val="0073068C"/>
    <w:rsid w:val="007306EA"/>
    <w:rsid w:val="007306EE"/>
    <w:rsid w:val="00730738"/>
    <w:rsid w:val="0073073B"/>
    <w:rsid w:val="00730785"/>
    <w:rsid w:val="0073085F"/>
    <w:rsid w:val="007308DC"/>
    <w:rsid w:val="007308DE"/>
    <w:rsid w:val="007308FB"/>
    <w:rsid w:val="00730922"/>
    <w:rsid w:val="0073092D"/>
    <w:rsid w:val="007309A0"/>
    <w:rsid w:val="007309B9"/>
    <w:rsid w:val="007309DC"/>
    <w:rsid w:val="00730A2E"/>
    <w:rsid w:val="00730A3D"/>
    <w:rsid w:val="00730A65"/>
    <w:rsid w:val="00730ABD"/>
    <w:rsid w:val="00730B1E"/>
    <w:rsid w:val="00730B71"/>
    <w:rsid w:val="00730C1D"/>
    <w:rsid w:val="00730C25"/>
    <w:rsid w:val="00730C73"/>
    <w:rsid w:val="00730C84"/>
    <w:rsid w:val="00730C88"/>
    <w:rsid w:val="00730CCF"/>
    <w:rsid w:val="00730CF2"/>
    <w:rsid w:val="00730CF5"/>
    <w:rsid w:val="00730D09"/>
    <w:rsid w:val="00730D8C"/>
    <w:rsid w:val="00730DB7"/>
    <w:rsid w:val="00730E01"/>
    <w:rsid w:val="00730E25"/>
    <w:rsid w:val="00730E80"/>
    <w:rsid w:val="00730EA7"/>
    <w:rsid w:val="00730F99"/>
    <w:rsid w:val="00730FA2"/>
    <w:rsid w:val="00731015"/>
    <w:rsid w:val="007310A6"/>
    <w:rsid w:val="007310C2"/>
    <w:rsid w:val="00731114"/>
    <w:rsid w:val="0073113A"/>
    <w:rsid w:val="007311DD"/>
    <w:rsid w:val="007311F3"/>
    <w:rsid w:val="0073120E"/>
    <w:rsid w:val="0073125D"/>
    <w:rsid w:val="00731295"/>
    <w:rsid w:val="00731371"/>
    <w:rsid w:val="0073137E"/>
    <w:rsid w:val="00731390"/>
    <w:rsid w:val="00731396"/>
    <w:rsid w:val="0073139B"/>
    <w:rsid w:val="007313A4"/>
    <w:rsid w:val="007313AE"/>
    <w:rsid w:val="007313CA"/>
    <w:rsid w:val="007313D5"/>
    <w:rsid w:val="007313DE"/>
    <w:rsid w:val="007313FA"/>
    <w:rsid w:val="00731426"/>
    <w:rsid w:val="00731435"/>
    <w:rsid w:val="00731478"/>
    <w:rsid w:val="007314A3"/>
    <w:rsid w:val="00731521"/>
    <w:rsid w:val="00731538"/>
    <w:rsid w:val="00731552"/>
    <w:rsid w:val="00731557"/>
    <w:rsid w:val="00731598"/>
    <w:rsid w:val="007315ED"/>
    <w:rsid w:val="007315FC"/>
    <w:rsid w:val="00731600"/>
    <w:rsid w:val="00731608"/>
    <w:rsid w:val="00731618"/>
    <w:rsid w:val="007316FC"/>
    <w:rsid w:val="00731742"/>
    <w:rsid w:val="00731744"/>
    <w:rsid w:val="00731781"/>
    <w:rsid w:val="007317B1"/>
    <w:rsid w:val="007317C7"/>
    <w:rsid w:val="007317CF"/>
    <w:rsid w:val="007317D0"/>
    <w:rsid w:val="00731870"/>
    <w:rsid w:val="00731874"/>
    <w:rsid w:val="00731889"/>
    <w:rsid w:val="007318A4"/>
    <w:rsid w:val="007318BC"/>
    <w:rsid w:val="007318F3"/>
    <w:rsid w:val="007318F5"/>
    <w:rsid w:val="00731904"/>
    <w:rsid w:val="0073195C"/>
    <w:rsid w:val="0073197C"/>
    <w:rsid w:val="0073198D"/>
    <w:rsid w:val="007319A8"/>
    <w:rsid w:val="00731A03"/>
    <w:rsid w:val="00731A33"/>
    <w:rsid w:val="00731A63"/>
    <w:rsid w:val="00731A8A"/>
    <w:rsid w:val="00731A92"/>
    <w:rsid w:val="00731A9B"/>
    <w:rsid w:val="00731AA2"/>
    <w:rsid w:val="00731AC2"/>
    <w:rsid w:val="00731ACC"/>
    <w:rsid w:val="00731AF6"/>
    <w:rsid w:val="00731B08"/>
    <w:rsid w:val="00731B63"/>
    <w:rsid w:val="00731B74"/>
    <w:rsid w:val="00731B8A"/>
    <w:rsid w:val="00731BB2"/>
    <w:rsid w:val="00731BF9"/>
    <w:rsid w:val="00731C2A"/>
    <w:rsid w:val="00731C58"/>
    <w:rsid w:val="00731C8F"/>
    <w:rsid w:val="00731CF1"/>
    <w:rsid w:val="00731CF5"/>
    <w:rsid w:val="00731D2D"/>
    <w:rsid w:val="00731D30"/>
    <w:rsid w:val="00731D3A"/>
    <w:rsid w:val="00731D7F"/>
    <w:rsid w:val="00731D8D"/>
    <w:rsid w:val="00731D8E"/>
    <w:rsid w:val="00731DA6"/>
    <w:rsid w:val="00731DA8"/>
    <w:rsid w:val="00731DCD"/>
    <w:rsid w:val="00731DE1"/>
    <w:rsid w:val="00731E1D"/>
    <w:rsid w:val="00731E2C"/>
    <w:rsid w:val="00731E50"/>
    <w:rsid w:val="00731EE3"/>
    <w:rsid w:val="00731F05"/>
    <w:rsid w:val="00731F07"/>
    <w:rsid w:val="00731F13"/>
    <w:rsid w:val="00731F64"/>
    <w:rsid w:val="00731F78"/>
    <w:rsid w:val="00731F9E"/>
    <w:rsid w:val="00731FC6"/>
    <w:rsid w:val="00731FD2"/>
    <w:rsid w:val="00732096"/>
    <w:rsid w:val="007320A3"/>
    <w:rsid w:val="007320BD"/>
    <w:rsid w:val="007320E3"/>
    <w:rsid w:val="007320E5"/>
    <w:rsid w:val="0073211A"/>
    <w:rsid w:val="0073218C"/>
    <w:rsid w:val="00732232"/>
    <w:rsid w:val="00732236"/>
    <w:rsid w:val="00732242"/>
    <w:rsid w:val="007322AB"/>
    <w:rsid w:val="007322AE"/>
    <w:rsid w:val="007322B6"/>
    <w:rsid w:val="007322BB"/>
    <w:rsid w:val="007322CD"/>
    <w:rsid w:val="007322CE"/>
    <w:rsid w:val="007322F1"/>
    <w:rsid w:val="00732302"/>
    <w:rsid w:val="00732348"/>
    <w:rsid w:val="00732436"/>
    <w:rsid w:val="00732461"/>
    <w:rsid w:val="0073246D"/>
    <w:rsid w:val="007324B9"/>
    <w:rsid w:val="00732502"/>
    <w:rsid w:val="0073251F"/>
    <w:rsid w:val="00732527"/>
    <w:rsid w:val="00732529"/>
    <w:rsid w:val="0073254D"/>
    <w:rsid w:val="0073257D"/>
    <w:rsid w:val="0073257F"/>
    <w:rsid w:val="00732586"/>
    <w:rsid w:val="007325C7"/>
    <w:rsid w:val="007325CC"/>
    <w:rsid w:val="0073261F"/>
    <w:rsid w:val="00732646"/>
    <w:rsid w:val="0073267D"/>
    <w:rsid w:val="007326AA"/>
    <w:rsid w:val="007326B6"/>
    <w:rsid w:val="007326D9"/>
    <w:rsid w:val="007326E3"/>
    <w:rsid w:val="007326EE"/>
    <w:rsid w:val="0073271B"/>
    <w:rsid w:val="0073275D"/>
    <w:rsid w:val="00732771"/>
    <w:rsid w:val="007327A5"/>
    <w:rsid w:val="007327AE"/>
    <w:rsid w:val="007327E9"/>
    <w:rsid w:val="007327ED"/>
    <w:rsid w:val="00732811"/>
    <w:rsid w:val="00732896"/>
    <w:rsid w:val="0073289B"/>
    <w:rsid w:val="0073293D"/>
    <w:rsid w:val="0073293F"/>
    <w:rsid w:val="00732975"/>
    <w:rsid w:val="0073298D"/>
    <w:rsid w:val="007329CA"/>
    <w:rsid w:val="007329FF"/>
    <w:rsid w:val="00732AB7"/>
    <w:rsid w:val="00732AC1"/>
    <w:rsid w:val="00732ACC"/>
    <w:rsid w:val="00732B0D"/>
    <w:rsid w:val="00732B1F"/>
    <w:rsid w:val="00732B23"/>
    <w:rsid w:val="00732B49"/>
    <w:rsid w:val="00732B5E"/>
    <w:rsid w:val="00732BBB"/>
    <w:rsid w:val="00732BFA"/>
    <w:rsid w:val="00732C43"/>
    <w:rsid w:val="00732CCA"/>
    <w:rsid w:val="00732CE7"/>
    <w:rsid w:val="00732CFD"/>
    <w:rsid w:val="00732CFF"/>
    <w:rsid w:val="00732D01"/>
    <w:rsid w:val="00732D18"/>
    <w:rsid w:val="00732D20"/>
    <w:rsid w:val="00732D4A"/>
    <w:rsid w:val="00732D56"/>
    <w:rsid w:val="00732D68"/>
    <w:rsid w:val="00732D76"/>
    <w:rsid w:val="00732D7F"/>
    <w:rsid w:val="00732D9C"/>
    <w:rsid w:val="00732DDE"/>
    <w:rsid w:val="00732E0C"/>
    <w:rsid w:val="00732E16"/>
    <w:rsid w:val="00732E5B"/>
    <w:rsid w:val="00732E6B"/>
    <w:rsid w:val="00732E71"/>
    <w:rsid w:val="00732F4F"/>
    <w:rsid w:val="00732FB1"/>
    <w:rsid w:val="00732FC6"/>
    <w:rsid w:val="00732FD0"/>
    <w:rsid w:val="00732FF9"/>
    <w:rsid w:val="0073300F"/>
    <w:rsid w:val="0073304B"/>
    <w:rsid w:val="0073306F"/>
    <w:rsid w:val="00733072"/>
    <w:rsid w:val="0073307E"/>
    <w:rsid w:val="00733084"/>
    <w:rsid w:val="00733097"/>
    <w:rsid w:val="007330B6"/>
    <w:rsid w:val="007330B8"/>
    <w:rsid w:val="007330C7"/>
    <w:rsid w:val="007330CA"/>
    <w:rsid w:val="007330E2"/>
    <w:rsid w:val="0073314B"/>
    <w:rsid w:val="007331B7"/>
    <w:rsid w:val="007331EF"/>
    <w:rsid w:val="0073327A"/>
    <w:rsid w:val="007332DD"/>
    <w:rsid w:val="00733313"/>
    <w:rsid w:val="00733336"/>
    <w:rsid w:val="007333B2"/>
    <w:rsid w:val="007333CF"/>
    <w:rsid w:val="007333F2"/>
    <w:rsid w:val="00733460"/>
    <w:rsid w:val="00733480"/>
    <w:rsid w:val="00733499"/>
    <w:rsid w:val="007334E1"/>
    <w:rsid w:val="00733527"/>
    <w:rsid w:val="00733554"/>
    <w:rsid w:val="00733578"/>
    <w:rsid w:val="00733587"/>
    <w:rsid w:val="007335B1"/>
    <w:rsid w:val="00733626"/>
    <w:rsid w:val="00733658"/>
    <w:rsid w:val="007336B2"/>
    <w:rsid w:val="007336BF"/>
    <w:rsid w:val="007336E8"/>
    <w:rsid w:val="00733732"/>
    <w:rsid w:val="00733780"/>
    <w:rsid w:val="0073378E"/>
    <w:rsid w:val="007337AF"/>
    <w:rsid w:val="007337E5"/>
    <w:rsid w:val="00733826"/>
    <w:rsid w:val="0073383A"/>
    <w:rsid w:val="00733866"/>
    <w:rsid w:val="0073388B"/>
    <w:rsid w:val="0073389F"/>
    <w:rsid w:val="0073391A"/>
    <w:rsid w:val="0073391B"/>
    <w:rsid w:val="0073394E"/>
    <w:rsid w:val="0073396F"/>
    <w:rsid w:val="007339B4"/>
    <w:rsid w:val="00733AAC"/>
    <w:rsid w:val="00733AEF"/>
    <w:rsid w:val="00733AFC"/>
    <w:rsid w:val="00733AFE"/>
    <w:rsid w:val="00733B01"/>
    <w:rsid w:val="00733B3A"/>
    <w:rsid w:val="00733C0C"/>
    <w:rsid w:val="00733C45"/>
    <w:rsid w:val="00733C75"/>
    <w:rsid w:val="00733C8A"/>
    <w:rsid w:val="00733CA1"/>
    <w:rsid w:val="00733CCF"/>
    <w:rsid w:val="00733CE3"/>
    <w:rsid w:val="00733CEC"/>
    <w:rsid w:val="00733D58"/>
    <w:rsid w:val="00733D5E"/>
    <w:rsid w:val="00733D81"/>
    <w:rsid w:val="00733E3A"/>
    <w:rsid w:val="00733E57"/>
    <w:rsid w:val="00733E71"/>
    <w:rsid w:val="00733EED"/>
    <w:rsid w:val="00733EF9"/>
    <w:rsid w:val="00733F01"/>
    <w:rsid w:val="00733F5C"/>
    <w:rsid w:val="00733F6C"/>
    <w:rsid w:val="00733F7D"/>
    <w:rsid w:val="00733F97"/>
    <w:rsid w:val="00733FBD"/>
    <w:rsid w:val="00733FF5"/>
    <w:rsid w:val="00734014"/>
    <w:rsid w:val="00734022"/>
    <w:rsid w:val="0073403F"/>
    <w:rsid w:val="0073408F"/>
    <w:rsid w:val="00734125"/>
    <w:rsid w:val="0073412E"/>
    <w:rsid w:val="00734151"/>
    <w:rsid w:val="007341AC"/>
    <w:rsid w:val="007341E7"/>
    <w:rsid w:val="007342A7"/>
    <w:rsid w:val="007342BA"/>
    <w:rsid w:val="007342C7"/>
    <w:rsid w:val="007342D1"/>
    <w:rsid w:val="007342DB"/>
    <w:rsid w:val="00734300"/>
    <w:rsid w:val="0073432A"/>
    <w:rsid w:val="00734363"/>
    <w:rsid w:val="0073439F"/>
    <w:rsid w:val="007343F2"/>
    <w:rsid w:val="00734430"/>
    <w:rsid w:val="00734451"/>
    <w:rsid w:val="0073447C"/>
    <w:rsid w:val="007344C3"/>
    <w:rsid w:val="007344E7"/>
    <w:rsid w:val="0073452F"/>
    <w:rsid w:val="007345AE"/>
    <w:rsid w:val="007345BE"/>
    <w:rsid w:val="007345CC"/>
    <w:rsid w:val="007345E7"/>
    <w:rsid w:val="0073460A"/>
    <w:rsid w:val="00734614"/>
    <w:rsid w:val="0073461B"/>
    <w:rsid w:val="00734622"/>
    <w:rsid w:val="00734632"/>
    <w:rsid w:val="0073466D"/>
    <w:rsid w:val="007346B1"/>
    <w:rsid w:val="007346E2"/>
    <w:rsid w:val="00734708"/>
    <w:rsid w:val="00734735"/>
    <w:rsid w:val="00734737"/>
    <w:rsid w:val="00734752"/>
    <w:rsid w:val="0073476C"/>
    <w:rsid w:val="00734785"/>
    <w:rsid w:val="00734793"/>
    <w:rsid w:val="007347D0"/>
    <w:rsid w:val="00734827"/>
    <w:rsid w:val="00734840"/>
    <w:rsid w:val="00734843"/>
    <w:rsid w:val="007348E3"/>
    <w:rsid w:val="007348E4"/>
    <w:rsid w:val="007348FC"/>
    <w:rsid w:val="007348FE"/>
    <w:rsid w:val="00734958"/>
    <w:rsid w:val="00734985"/>
    <w:rsid w:val="0073498B"/>
    <w:rsid w:val="007349B9"/>
    <w:rsid w:val="007349DF"/>
    <w:rsid w:val="00734A2E"/>
    <w:rsid w:val="00734B32"/>
    <w:rsid w:val="00734B58"/>
    <w:rsid w:val="00734B82"/>
    <w:rsid w:val="00734B85"/>
    <w:rsid w:val="00734B94"/>
    <w:rsid w:val="00734BD6"/>
    <w:rsid w:val="00734C3D"/>
    <w:rsid w:val="00734CB0"/>
    <w:rsid w:val="00734CBE"/>
    <w:rsid w:val="00734D47"/>
    <w:rsid w:val="00734D98"/>
    <w:rsid w:val="00734DA9"/>
    <w:rsid w:val="00734E04"/>
    <w:rsid w:val="00734E1D"/>
    <w:rsid w:val="00734E48"/>
    <w:rsid w:val="00734E94"/>
    <w:rsid w:val="00734EB4"/>
    <w:rsid w:val="00734ECD"/>
    <w:rsid w:val="00734F8D"/>
    <w:rsid w:val="00734F97"/>
    <w:rsid w:val="00734F98"/>
    <w:rsid w:val="00734FF9"/>
    <w:rsid w:val="00735017"/>
    <w:rsid w:val="00735055"/>
    <w:rsid w:val="007350A4"/>
    <w:rsid w:val="007350BF"/>
    <w:rsid w:val="007350FF"/>
    <w:rsid w:val="00735120"/>
    <w:rsid w:val="00735124"/>
    <w:rsid w:val="00735128"/>
    <w:rsid w:val="00735142"/>
    <w:rsid w:val="00735146"/>
    <w:rsid w:val="0073518B"/>
    <w:rsid w:val="0073518F"/>
    <w:rsid w:val="007352AC"/>
    <w:rsid w:val="007352D0"/>
    <w:rsid w:val="007352E1"/>
    <w:rsid w:val="007352EF"/>
    <w:rsid w:val="00735304"/>
    <w:rsid w:val="0073530F"/>
    <w:rsid w:val="00735315"/>
    <w:rsid w:val="0073533C"/>
    <w:rsid w:val="0073533F"/>
    <w:rsid w:val="0073539F"/>
    <w:rsid w:val="007353A0"/>
    <w:rsid w:val="007353CB"/>
    <w:rsid w:val="0073540C"/>
    <w:rsid w:val="0073541C"/>
    <w:rsid w:val="00735439"/>
    <w:rsid w:val="0073547F"/>
    <w:rsid w:val="007354A4"/>
    <w:rsid w:val="007354CE"/>
    <w:rsid w:val="007354D0"/>
    <w:rsid w:val="00735506"/>
    <w:rsid w:val="00735516"/>
    <w:rsid w:val="0073551E"/>
    <w:rsid w:val="0073559B"/>
    <w:rsid w:val="00735629"/>
    <w:rsid w:val="0073567C"/>
    <w:rsid w:val="007356C2"/>
    <w:rsid w:val="007356DA"/>
    <w:rsid w:val="007356F0"/>
    <w:rsid w:val="007356FA"/>
    <w:rsid w:val="0073577F"/>
    <w:rsid w:val="0073578B"/>
    <w:rsid w:val="00735797"/>
    <w:rsid w:val="0073579C"/>
    <w:rsid w:val="00735837"/>
    <w:rsid w:val="007358B9"/>
    <w:rsid w:val="007358BC"/>
    <w:rsid w:val="007358C7"/>
    <w:rsid w:val="007358F7"/>
    <w:rsid w:val="007358FF"/>
    <w:rsid w:val="00735904"/>
    <w:rsid w:val="00735910"/>
    <w:rsid w:val="00735985"/>
    <w:rsid w:val="0073599F"/>
    <w:rsid w:val="007359F5"/>
    <w:rsid w:val="00735A19"/>
    <w:rsid w:val="00735A35"/>
    <w:rsid w:val="00735A37"/>
    <w:rsid w:val="00735ABB"/>
    <w:rsid w:val="00735AF5"/>
    <w:rsid w:val="00735B2B"/>
    <w:rsid w:val="00735B39"/>
    <w:rsid w:val="00735B4B"/>
    <w:rsid w:val="00735B4C"/>
    <w:rsid w:val="00735B9F"/>
    <w:rsid w:val="00735BA1"/>
    <w:rsid w:val="00735BA8"/>
    <w:rsid w:val="00735BBC"/>
    <w:rsid w:val="00735C50"/>
    <w:rsid w:val="00735C70"/>
    <w:rsid w:val="00735C8A"/>
    <w:rsid w:val="00735CA0"/>
    <w:rsid w:val="00735CC1"/>
    <w:rsid w:val="00735D08"/>
    <w:rsid w:val="00735D10"/>
    <w:rsid w:val="00735D1F"/>
    <w:rsid w:val="00735D3C"/>
    <w:rsid w:val="00735D4D"/>
    <w:rsid w:val="00735D6F"/>
    <w:rsid w:val="00735E16"/>
    <w:rsid w:val="00735E62"/>
    <w:rsid w:val="00735E7E"/>
    <w:rsid w:val="00735E8D"/>
    <w:rsid w:val="00735E98"/>
    <w:rsid w:val="00735EB1"/>
    <w:rsid w:val="00735F22"/>
    <w:rsid w:val="00735F29"/>
    <w:rsid w:val="00735F82"/>
    <w:rsid w:val="00735F9D"/>
    <w:rsid w:val="00735FA1"/>
    <w:rsid w:val="00735FAF"/>
    <w:rsid w:val="00735FD4"/>
    <w:rsid w:val="00735FF5"/>
    <w:rsid w:val="00736033"/>
    <w:rsid w:val="00736047"/>
    <w:rsid w:val="0073609D"/>
    <w:rsid w:val="007360C3"/>
    <w:rsid w:val="007360F4"/>
    <w:rsid w:val="00736111"/>
    <w:rsid w:val="00736114"/>
    <w:rsid w:val="0073611C"/>
    <w:rsid w:val="0073613C"/>
    <w:rsid w:val="00736145"/>
    <w:rsid w:val="00736158"/>
    <w:rsid w:val="00736166"/>
    <w:rsid w:val="0073616A"/>
    <w:rsid w:val="007361A8"/>
    <w:rsid w:val="00736263"/>
    <w:rsid w:val="00736271"/>
    <w:rsid w:val="0073629F"/>
    <w:rsid w:val="0073631A"/>
    <w:rsid w:val="0073633B"/>
    <w:rsid w:val="00736374"/>
    <w:rsid w:val="007363AB"/>
    <w:rsid w:val="007363DD"/>
    <w:rsid w:val="007363DE"/>
    <w:rsid w:val="00736424"/>
    <w:rsid w:val="00736425"/>
    <w:rsid w:val="007364F3"/>
    <w:rsid w:val="00736516"/>
    <w:rsid w:val="0073652B"/>
    <w:rsid w:val="0073654D"/>
    <w:rsid w:val="00736561"/>
    <w:rsid w:val="0073657A"/>
    <w:rsid w:val="007365AA"/>
    <w:rsid w:val="007365FF"/>
    <w:rsid w:val="0073662A"/>
    <w:rsid w:val="00736692"/>
    <w:rsid w:val="00736695"/>
    <w:rsid w:val="00736697"/>
    <w:rsid w:val="007366EB"/>
    <w:rsid w:val="00736721"/>
    <w:rsid w:val="00736750"/>
    <w:rsid w:val="00736751"/>
    <w:rsid w:val="0073675D"/>
    <w:rsid w:val="00736764"/>
    <w:rsid w:val="0073677E"/>
    <w:rsid w:val="007367AF"/>
    <w:rsid w:val="00736872"/>
    <w:rsid w:val="007368B0"/>
    <w:rsid w:val="007368DA"/>
    <w:rsid w:val="007368ED"/>
    <w:rsid w:val="0073690E"/>
    <w:rsid w:val="0073692C"/>
    <w:rsid w:val="0073692E"/>
    <w:rsid w:val="00736958"/>
    <w:rsid w:val="0073695B"/>
    <w:rsid w:val="00736977"/>
    <w:rsid w:val="0073697A"/>
    <w:rsid w:val="0073698D"/>
    <w:rsid w:val="007369B0"/>
    <w:rsid w:val="007369B4"/>
    <w:rsid w:val="00736A29"/>
    <w:rsid w:val="00736A57"/>
    <w:rsid w:val="00736A58"/>
    <w:rsid w:val="00736A5E"/>
    <w:rsid w:val="00736A6E"/>
    <w:rsid w:val="00736A94"/>
    <w:rsid w:val="00736AE8"/>
    <w:rsid w:val="00736AFF"/>
    <w:rsid w:val="00736B02"/>
    <w:rsid w:val="00736B18"/>
    <w:rsid w:val="00736B4B"/>
    <w:rsid w:val="00736B7D"/>
    <w:rsid w:val="00736BEA"/>
    <w:rsid w:val="00736C6E"/>
    <w:rsid w:val="00736CA8"/>
    <w:rsid w:val="00736CB7"/>
    <w:rsid w:val="00736CCA"/>
    <w:rsid w:val="00736CD7"/>
    <w:rsid w:val="00736CFB"/>
    <w:rsid w:val="00736D23"/>
    <w:rsid w:val="00736D77"/>
    <w:rsid w:val="00736DD3"/>
    <w:rsid w:val="00736DF5"/>
    <w:rsid w:val="00736E4F"/>
    <w:rsid w:val="00736ED9"/>
    <w:rsid w:val="00736F26"/>
    <w:rsid w:val="00736F66"/>
    <w:rsid w:val="00736F84"/>
    <w:rsid w:val="00736F9D"/>
    <w:rsid w:val="00736FAC"/>
    <w:rsid w:val="00736FBA"/>
    <w:rsid w:val="00736FE2"/>
    <w:rsid w:val="00736FED"/>
    <w:rsid w:val="00736FEE"/>
    <w:rsid w:val="00737046"/>
    <w:rsid w:val="0073704A"/>
    <w:rsid w:val="007370E2"/>
    <w:rsid w:val="007370E4"/>
    <w:rsid w:val="00737103"/>
    <w:rsid w:val="00737114"/>
    <w:rsid w:val="00737147"/>
    <w:rsid w:val="0073714E"/>
    <w:rsid w:val="007371BE"/>
    <w:rsid w:val="007371DA"/>
    <w:rsid w:val="007371E7"/>
    <w:rsid w:val="007371F1"/>
    <w:rsid w:val="0073721A"/>
    <w:rsid w:val="0073722C"/>
    <w:rsid w:val="00737251"/>
    <w:rsid w:val="0073725A"/>
    <w:rsid w:val="00737265"/>
    <w:rsid w:val="00737270"/>
    <w:rsid w:val="00737272"/>
    <w:rsid w:val="007372EB"/>
    <w:rsid w:val="00737323"/>
    <w:rsid w:val="00737333"/>
    <w:rsid w:val="00737336"/>
    <w:rsid w:val="00737360"/>
    <w:rsid w:val="007373FA"/>
    <w:rsid w:val="00737431"/>
    <w:rsid w:val="0073743B"/>
    <w:rsid w:val="0073746F"/>
    <w:rsid w:val="00737491"/>
    <w:rsid w:val="007374EE"/>
    <w:rsid w:val="00737503"/>
    <w:rsid w:val="0073750C"/>
    <w:rsid w:val="0073750D"/>
    <w:rsid w:val="0073751D"/>
    <w:rsid w:val="00737528"/>
    <w:rsid w:val="00737552"/>
    <w:rsid w:val="0073758D"/>
    <w:rsid w:val="007375A6"/>
    <w:rsid w:val="007375D4"/>
    <w:rsid w:val="007375DA"/>
    <w:rsid w:val="007375F2"/>
    <w:rsid w:val="007375F3"/>
    <w:rsid w:val="0073760A"/>
    <w:rsid w:val="00737638"/>
    <w:rsid w:val="007376CB"/>
    <w:rsid w:val="007376CD"/>
    <w:rsid w:val="0073770B"/>
    <w:rsid w:val="00737710"/>
    <w:rsid w:val="0073774A"/>
    <w:rsid w:val="00737754"/>
    <w:rsid w:val="00737761"/>
    <w:rsid w:val="00737777"/>
    <w:rsid w:val="00737797"/>
    <w:rsid w:val="007377A2"/>
    <w:rsid w:val="007377A3"/>
    <w:rsid w:val="007377BC"/>
    <w:rsid w:val="007377DB"/>
    <w:rsid w:val="007377EC"/>
    <w:rsid w:val="00737820"/>
    <w:rsid w:val="00737852"/>
    <w:rsid w:val="0073785B"/>
    <w:rsid w:val="00737875"/>
    <w:rsid w:val="0073788F"/>
    <w:rsid w:val="007378BF"/>
    <w:rsid w:val="007378DF"/>
    <w:rsid w:val="00737963"/>
    <w:rsid w:val="0073796B"/>
    <w:rsid w:val="0073796F"/>
    <w:rsid w:val="007379C3"/>
    <w:rsid w:val="007379C9"/>
    <w:rsid w:val="007379EA"/>
    <w:rsid w:val="007379F5"/>
    <w:rsid w:val="00737A02"/>
    <w:rsid w:val="00737A8B"/>
    <w:rsid w:val="00737A8D"/>
    <w:rsid w:val="00737AA2"/>
    <w:rsid w:val="00737AC3"/>
    <w:rsid w:val="00737AD8"/>
    <w:rsid w:val="00737B54"/>
    <w:rsid w:val="00737B6B"/>
    <w:rsid w:val="00737C5F"/>
    <w:rsid w:val="00737C81"/>
    <w:rsid w:val="00737CB0"/>
    <w:rsid w:val="00737CBF"/>
    <w:rsid w:val="00737CE9"/>
    <w:rsid w:val="00737D66"/>
    <w:rsid w:val="00737DC3"/>
    <w:rsid w:val="00737DC8"/>
    <w:rsid w:val="00737DEE"/>
    <w:rsid w:val="00737E2D"/>
    <w:rsid w:val="00737E47"/>
    <w:rsid w:val="00737E81"/>
    <w:rsid w:val="00737E83"/>
    <w:rsid w:val="00737F54"/>
    <w:rsid w:val="00737F74"/>
    <w:rsid w:val="00737F9C"/>
    <w:rsid w:val="00737FC5"/>
    <w:rsid w:val="00737FD7"/>
    <w:rsid w:val="00737FDE"/>
    <w:rsid w:val="00737FE6"/>
    <w:rsid w:val="00737FFB"/>
    <w:rsid w:val="00740063"/>
    <w:rsid w:val="00740071"/>
    <w:rsid w:val="00740083"/>
    <w:rsid w:val="007400B8"/>
    <w:rsid w:val="007400BA"/>
    <w:rsid w:val="00740138"/>
    <w:rsid w:val="0074013E"/>
    <w:rsid w:val="0074014C"/>
    <w:rsid w:val="0074018F"/>
    <w:rsid w:val="0074019A"/>
    <w:rsid w:val="007401A9"/>
    <w:rsid w:val="007401CD"/>
    <w:rsid w:val="007401CE"/>
    <w:rsid w:val="007401FF"/>
    <w:rsid w:val="00740208"/>
    <w:rsid w:val="0074020B"/>
    <w:rsid w:val="0074021F"/>
    <w:rsid w:val="007402D3"/>
    <w:rsid w:val="007402F5"/>
    <w:rsid w:val="0074030B"/>
    <w:rsid w:val="0074031B"/>
    <w:rsid w:val="00740326"/>
    <w:rsid w:val="00740347"/>
    <w:rsid w:val="00740372"/>
    <w:rsid w:val="0074037F"/>
    <w:rsid w:val="007403A4"/>
    <w:rsid w:val="007403D6"/>
    <w:rsid w:val="0074042D"/>
    <w:rsid w:val="00740431"/>
    <w:rsid w:val="00740477"/>
    <w:rsid w:val="007404BB"/>
    <w:rsid w:val="007404CC"/>
    <w:rsid w:val="007404FF"/>
    <w:rsid w:val="00740542"/>
    <w:rsid w:val="00740566"/>
    <w:rsid w:val="0074056E"/>
    <w:rsid w:val="00740570"/>
    <w:rsid w:val="0074059A"/>
    <w:rsid w:val="0074059B"/>
    <w:rsid w:val="007405B7"/>
    <w:rsid w:val="007405F4"/>
    <w:rsid w:val="007405FB"/>
    <w:rsid w:val="00740687"/>
    <w:rsid w:val="007406B8"/>
    <w:rsid w:val="007406C2"/>
    <w:rsid w:val="007406FC"/>
    <w:rsid w:val="00740701"/>
    <w:rsid w:val="00740708"/>
    <w:rsid w:val="00740709"/>
    <w:rsid w:val="0074072E"/>
    <w:rsid w:val="00740732"/>
    <w:rsid w:val="00740762"/>
    <w:rsid w:val="00740780"/>
    <w:rsid w:val="007407F0"/>
    <w:rsid w:val="00740841"/>
    <w:rsid w:val="007408B5"/>
    <w:rsid w:val="007408C6"/>
    <w:rsid w:val="007408CB"/>
    <w:rsid w:val="007408D7"/>
    <w:rsid w:val="007408DA"/>
    <w:rsid w:val="007408E2"/>
    <w:rsid w:val="007408E9"/>
    <w:rsid w:val="00740904"/>
    <w:rsid w:val="00740910"/>
    <w:rsid w:val="00740954"/>
    <w:rsid w:val="0074098E"/>
    <w:rsid w:val="007409A8"/>
    <w:rsid w:val="007409BB"/>
    <w:rsid w:val="007409CB"/>
    <w:rsid w:val="00740A4A"/>
    <w:rsid w:val="00740A68"/>
    <w:rsid w:val="00740A77"/>
    <w:rsid w:val="00740AC1"/>
    <w:rsid w:val="00740ACF"/>
    <w:rsid w:val="00740AEC"/>
    <w:rsid w:val="00740B18"/>
    <w:rsid w:val="00740B34"/>
    <w:rsid w:val="00740B3A"/>
    <w:rsid w:val="00740B81"/>
    <w:rsid w:val="00740BC3"/>
    <w:rsid w:val="00740BC7"/>
    <w:rsid w:val="00740BD2"/>
    <w:rsid w:val="00740C3F"/>
    <w:rsid w:val="00740C6E"/>
    <w:rsid w:val="00740C78"/>
    <w:rsid w:val="00740CDC"/>
    <w:rsid w:val="00740CE9"/>
    <w:rsid w:val="00740D19"/>
    <w:rsid w:val="00740D54"/>
    <w:rsid w:val="00740D55"/>
    <w:rsid w:val="00740D7C"/>
    <w:rsid w:val="00740DA6"/>
    <w:rsid w:val="00740DE6"/>
    <w:rsid w:val="00740E1D"/>
    <w:rsid w:val="00740E38"/>
    <w:rsid w:val="00740E69"/>
    <w:rsid w:val="00740EB8"/>
    <w:rsid w:val="00740EC0"/>
    <w:rsid w:val="00740F0B"/>
    <w:rsid w:val="00740F16"/>
    <w:rsid w:val="00740F70"/>
    <w:rsid w:val="00740FD4"/>
    <w:rsid w:val="00741000"/>
    <w:rsid w:val="00741008"/>
    <w:rsid w:val="0074101C"/>
    <w:rsid w:val="0074105E"/>
    <w:rsid w:val="00741060"/>
    <w:rsid w:val="0074106D"/>
    <w:rsid w:val="0074106E"/>
    <w:rsid w:val="007410C0"/>
    <w:rsid w:val="007410F7"/>
    <w:rsid w:val="0074111E"/>
    <w:rsid w:val="00741150"/>
    <w:rsid w:val="00741179"/>
    <w:rsid w:val="007411A2"/>
    <w:rsid w:val="007411A5"/>
    <w:rsid w:val="007411BD"/>
    <w:rsid w:val="007411C5"/>
    <w:rsid w:val="007411DD"/>
    <w:rsid w:val="007411E5"/>
    <w:rsid w:val="007411EE"/>
    <w:rsid w:val="00741215"/>
    <w:rsid w:val="0074122B"/>
    <w:rsid w:val="00741241"/>
    <w:rsid w:val="0074127D"/>
    <w:rsid w:val="007412A4"/>
    <w:rsid w:val="007412EC"/>
    <w:rsid w:val="007412FD"/>
    <w:rsid w:val="0074132D"/>
    <w:rsid w:val="0074135D"/>
    <w:rsid w:val="007413B7"/>
    <w:rsid w:val="007413CF"/>
    <w:rsid w:val="007413F2"/>
    <w:rsid w:val="00741404"/>
    <w:rsid w:val="0074141A"/>
    <w:rsid w:val="00741441"/>
    <w:rsid w:val="0074146D"/>
    <w:rsid w:val="00741480"/>
    <w:rsid w:val="0074150F"/>
    <w:rsid w:val="00741536"/>
    <w:rsid w:val="007415A2"/>
    <w:rsid w:val="007415D8"/>
    <w:rsid w:val="007415DD"/>
    <w:rsid w:val="007415ED"/>
    <w:rsid w:val="007415F7"/>
    <w:rsid w:val="00741624"/>
    <w:rsid w:val="0074162B"/>
    <w:rsid w:val="0074167B"/>
    <w:rsid w:val="00741698"/>
    <w:rsid w:val="007416CB"/>
    <w:rsid w:val="007416EA"/>
    <w:rsid w:val="007416F3"/>
    <w:rsid w:val="007416FA"/>
    <w:rsid w:val="0074172F"/>
    <w:rsid w:val="0074173B"/>
    <w:rsid w:val="00741794"/>
    <w:rsid w:val="007417A2"/>
    <w:rsid w:val="00741823"/>
    <w:rsid w:val="00741875"/>
    <w:rsid w:val="00741883"/>
    <w:rsid w:val="00741917"/>
    <w:rsid w:val="00741A1B"/>
    <w:rsid w:val="00741A4A"/>
    <w:rsid w:val="00741A72"/>
    <w:rsid w:val="00741A9A"/>
    <w:rsid w:val="00741AE1"/>
    <w:rsid w:val="00741B26"/>
    <w:rsid w:val="00741B47"/>
    <w:rsid w:val="00741B79"/>
    <w:rsid w:val="00741B83"/>
    <w:rsid w:val="00741BAA"/>
    <w:rsid w:val="00741BD3"/>
    <w:rsid w:val="00741BD9"/>
    <w:rsid w:val="00741C37"/>
    <w:rsid w:val="00741C94"/>
    <w:rsid w:val="00741CA9"/>
    <w:rsid w:val="00741CE6"/>
    <w:rsid w:val="00741CEC"/>
    <w:rsid w:val="00741D05"/>
    <w:rsid w:val="00741D30"/>
    <w:rsid w:val="00741D3E"/>
    <w:rsid w:val="00741D55"/>
    <w:rsid w:val="00741DA3"/>
    <w:rsid w:val="00741DAC"/>
    <w:rsid w:val="00741DD7"/>
    <w:rsid w:val="00741DEE"/>
    <w:rsid w:val="00741E03"/>
    <w:rsid w:val="00741E93"/>
    <w:rsid w:val="00741F11"/>
    <w:rsid w:val="00741F15"/>
    <w:rsid w:val="00741F1A"/>
    <w:rsid w:val="00741F59"/>
    <w:rsid w:val="00741F5D"/>
    <w:rsid w:val="00741F96"/>
    <w:rsid w:val="00741FBD"/>
    <w:rsid w:val="00742003"/>
    <w:rsid w:val="00742042"/>
    <w:rsid w:val="00742069"/>
    <w:rsid w:val="0074206C"/>
    <w:rsid w:val="007420AC"/>
    <w:rsid w:val="007420B4"/>
    <w:rsid w:val="007420C8"/>
    <w:rsid w:val="00742113"/>
    <w:rsid w:val="0074217C"/>
    <w:rsid w:val="0074219A"/>
    <w:rsid w:val="007421BE"/>
    <w:rsid w:val="007421C7"/>
    <w:rsid w:val="00742219"/>
    <w:rsid w:val="007422B9"/>
    <w:rsid w:val="007422D3"/>
    <w:rsid w:val="007422F8"/>
    <w:rsid w:val="007422FD"/>
    <w:rsid w:val="00742310"/>
    <w:rsid w:val="0074231F"/>
    <w:rsid w:val="0074235D"/>
    <w:rsid w:val="0074236B"/>
    <w:rsid w:val="007423D5"/>
    <w:rsid w:val="0074241D"/>
    <w:rsid w:val="0074242C"/>
    <w:rsid w:val="00742433"/>
    <w:rsid w:val="00742486"/>
    <w:rsid w:val="007424AD"/>
    <w:rsid w:val="007424B3"/>
    <w:rsid w:val="007424B4"/>
    <w:rsid w:val="0074250D"/>
    <w:rsid w:val="00742530"/>
    <w:rsid w:val="00742550"/>
    <w:rsid w:val="00742565"/>
    <w:rsid w:val="007425C0"/>
    <w:rsid w:val="00742619"/>
    <w:rsid w:val="00742681"/>
    <w:rsid w:val="00742697"/>
    <w:rsid w:val="007426C9"/>
    <w:rsid w:val="007426E1"/>
    <w:rsid w:val="00742764"/>
    <w:rsid w:val="0074276C"/>
    <w:rsid w:val="0074279D"/>
    <w:rsid w:val="007427A9"/>
    <w:rsid w:val="007427FB"/>
    <w:rsid w:val="0074282A"/>
    <w:rsid w:val="0074283B"/>
    <w:rsid w:val="0074284D"/>
    <w:rsid w:val="00742894"/>
    <w:rsid w:val="007428CA"/>
    <w:rsid w:val="00742915"/>
    <w:rsid w:val="00742927"/>
    <w:rsid w:val="00742967"/>
    <w:rsid w:val="00742976"/>
    <w:rsid w:val="00742981"/>
    <w:rsid w:val="0074299B"/>
    <w:rsid w:val="007429A6"/>
    <w:rsid w:val="007429A8"/>
    <w:rsid w:val="007429B0"/>
    <w:rsid w:val="00742ABC"/>
    <w:rsid w:val="00742ACF"/>
    <w:rsid w:val="00742AE8"/>
    <w:rsid w:val="00742AF9"/>
    <w:rsid w:val="00742B05"/>
    <w:rsid w:val="00742B39"/>
    <w:rsid w:val="00742B54"/>
    <w:rsid w:val="00742B7B"/>
    <w:rsid w:val="00742B86"/>
    <w:rsid w:val="00742BBD"/>
    <w:rsid w:val="00742BC1"/>
    <w:rsid w:val="00742BD6"/>
    <w:rsid w:val="00742BDA"/>
    <w:rsid w:val="00742BF5"/>
    <w:rsid w:val="00742C06"/>
    <w:rsid w:val="00742C0B"/>
    <w:rsid w:val="00742C28"/>
    <w:rsid w:val="00742C4E"/>
    <w:rsid w:val="00742C59"/>
    <w:rsid w:val="00742C75"/>
    <w:rsid w:val="00742C8A"/>
    <w:rsid w:val="00742CBE"/>
    <w:rsid w:val="00742D0E"/>
    <w:rsid w:val="00742D39"/>
    <w:rsid w:val="00742D4A"/>
    <w:rsid w:val="00742D54"/>
    <w:rsid w:val="00742DB0"/>
    <w:rsid w:val="00742DE9"/>
    <w:rsid w:val="00742DF9"/>
    <w:rsid w:val="00742DFD"/>
    <w:rsid w:val="00742E01"/>
    <w:rsid w:val="00742E1E"/>
    <w:rsid w:val="00742E56"/>
    <w:rsid w:val="00742E65"/>
    <w:rsid w:val="00742EAB"/>
    <w:rsid w:val="00742EB4"/>
    <w:rsid w:val="00742EB5"/>
    <w:rsid w:val="00742F03"/>
    <w:rsid w:val="00742F27"/>
    <w:rsid w:val="00742F51"/>
    <w:rsid w:val="00742F5E"/>
    <w:rsid w:val="00742FB5"/>
    <w:rsid w:val="00742FB9"/>
    <w:rsid w:val="00742FC3"/>
    <w:rsid w:val="00742FE5"/>
    <w:rsid w:val="00743071"/>
    <w:rsid w:val="007430F4"/>
    <w:rsid w:val="0074314C"/>
    <w:rsid w:val="00743155"/>
    <w:rsid w:val="007431A9"/>
    <w:rsid w:val="007431B2"/>
    <w:rsid w:val="00743232"/>
    <w:rsid w:val="00743237"/>
    <w:rsid w:val="0074327B"/>
    <w:rsid w:val="0074329E"/>
    <w:rsid w:val="007432B1"/>
    <w:rsid w:val="007432B9"/>
    <w:rsid w:val="007432E4"/>
    <w:rsid w:val="00743322"/>
    <w:rsid w:val="007433B6"/>
    <w:rsid w:val="007433BF"/>
    <w:rsid w:val="007433C4"/>
    <w:rsid w:val="007433FB"/>
    <w:rsid w:val="00743463"/>
    <w:rsid w:val="007434BB"/>
    <w:rsid w:val="007434BF"/>
    <w:rsid w:val="00743504"/>
    <w:rsid w:val="00743524"/>
    <w:rsid w:val="00743546"/>
    <w:rsid w:val="0074357B"/>
    <w:rsid w:val="00743593"/>
    <w:rsid w:val="00743595"/>
    <w:rsid w:val="0074363A"/>
    <w:rsid w:val="00743644"/>
    <w:rsid w:val="00743651"/>
    <w:rsid w:val="007436CC"/>
    <w:rsid w:val="007436D8"/>
    <w:rsid w:val="00743701"/>
    <w:rsid w:val="00743754"/>
    <w:rsid w:val="00743755"/>
    <w:rsid w:val="00743790"/>
    <w:rsid w:val="00743796"/>
    <w:rsid w:val="007437D8"/>
    <w:rsid w:val="007437F2"/>
    <w:rsid w:val="00743849"/>
    <w:rsid w:val="00743883"/>
    <w:rsid w:val="00743893"/>
    <w:rsid w:val="007438EB"/>
    <w:rsid w:val="00743912"/>
    <w:rsid w:val="00743920"/>
    <w:rsid w:val="0074394E"/>
    <w:rsid w:val="00743954"/>
    <w:rsid w:val="0074397E"/>
    <w:rsid w:val="007439CE"/>
    <w:rsid w:val="007439EA"/>
    <w:rsid w:val="00743A04"/>
    <w:rsid w:val="00743A16"/>
    <w:rsid w:val="00743A32"/>
    <w:rsid w:val="00743A4C"/>
    <w:rsid w:val="00743A6B"/>
    <w:rsid w:val="00743AB5"/>
    <w:rsid w:val="00743B33"/>
    <w:rsid w:val="00743B6F"/>
    <w:rsid w:val="00743C1C"/>
    <w:rsid w:val="00743C70"/>
    <w:rsid w:val="00743C75"/>
    <w:rsid w:val="00743CBA"/>
    <w:rsid w:val="00743D8A"/>
    <w:rsid w:val="00743DC4"/>
    <w:rsid w:val="00743E25"/>
    <w:rsid w:val="00743E3A"/>
    <w:rsid w:val="00743E87"/>
    <w:rsid w:val="00743EE8"/>
    <w:rsid w:val="00743EF3"/>
    <w:rsid w:val="00743F05"/>
    <w:rsid w:val="00743F5A"/>
    <w:rsid w:val="00743F8B"/>
    <w:rsid w:val="00743FC8"/>
    <w:rsid w:val="00743FF6"/>
    <w:rsid w:val="00744060"/>
    <w:rsid w:val="00744064"/>
    <w:rsid w:val="0074408E"/>
    <w:rsid w:val="007440B5"/>
    <w:rsid w:val="007440EC"/>
    <w:rsid w:val="00744101"/>
    <w:rsid w:val="00744147"/>
    <w:rsid w:val="0074416C"/>
    <w:rsid w:val="0074418B"/>
    <w:rsid w:val="0074418F"/>
    <w:rsid w:val="0074420D"/>
    <w:rsid w:val="0074424A"/>
    <w:rsid w:val="00744270"/>
    <w:rsid w:val="00744273"/>
    <w:rsid w:val="007442F6"/>
    <w:rsid w:val="0074436B"/>
    <w:rsid w:val="00744376"/>
    <w:rsid w:val="007443B0"/>
    <w:rsid w:val="007443E6"/>
    <w:rsid w:val="00744400"/>
    <w:rsid w:val="00744450"/>
    <w:rsid w:val="0074445B"/>
    <w:rsid w:val="0074445E"/>
    <w:rsid w:val="0074446A"/>
    <w:rsid w:val="0074449E"/>
    <w:rsid w:val="007444E8"/>
    <w:rsid w:val="00744548"/>
    <w:rsid w:val="0074457F"/>
    <w:rsid w:val="00744594"/>
    <w:rsid w:val="00744654"/>
    <w:rsid w:val="0074469A"/>
    <w:rsid w:val="007446C4"/>
    <w:rsid w:val="00744713"/>
    <w:rsid w:val="007447B1"/>
    <w:rsid w:val="007447C2"/>
    <w:rsid w:val="007447C8"/>
    <w:rsid w:val="007447D3"/>
    <w:rsid w:val="007447EE"/>
    <w:rsid w:val="0074482A"/>
    <w:rsid w:val="0074483D"/>
    <w:rsid w:val="00744877"/>
    <w:rsid w:val="00744887"/>
    <w:rsid w:val="007448A4"/>
    <w:rsid w:val="0074490E"/>
    <w:rsid w:val="0074493F"/>
    <w:rsid w:val="00744966"/>
    <w:rsid w:val="0074499B"/>
    <w:rsid w:val="007449A6"/>
    <w:rsid w:val="007449C0"/>
    <w:rsid w:val="007449D5"/>
    <w:rsid w:val="00744A6E"/>
    <w:rsid w:val="00744ACF"/>
    <w:rsid w:val="00744ADD"/>
    <w:rsid w:val="00744B02"/>
    <w:rsid w:val="00744B11"/>
    <w:rsid w:val="00744B47"/>
    <w:rsid w:val="00744B62"/>
    <w:rsid w:val="00744B7A"/>
    <w:rsid w:val="00744BAD"/>
    <w:rsid w:val="00744BC0"/>
    <w:rsid w:val="00744BCC"/>
    <w:rsid w:val="00744C04"/>
    <w:rsid w:val="00744C17"/>
    <w:rsid w:val="00744C33"/>
    <w:rsid w:val="00744C45"/>
    <w:rsid w:val="00744C5F"/>
    <w:rsid w:val="00744C7E"/>
    <w:rsid w:val="00744CAC"/>
    <w:rsid w:val="00744CC6"/>
    <w:rsid w:val="00744CE3"/>
    <w:rsid w:val="00744CEF"/>
    <w:rsid w:val="00744D13"/>
    <w:rsid w:val="00744D27"/>
    <w:rsid w:val="00744D72"/>
    <w:rsid w:val="00744DE2"/>
    <w:rsid w:val="00744E09"/>
    <w:rsid w:val="00744E14"/>
    <w:rsid w:val="00744E26"/>
    <w:rsid w:val="00744E73"/>
    <w:rsid w:val="00744E92"/>
    <w:rsid w:val="00744EDA"/>
    <w:rsid w:val="00744EEC"/>
    <w:rsid w:val="00744EFD"/>
    <w:rsid w:val="00744F00"/>
    <w:rsid w:val="00744F6C"/>
    <w:rsid w:val="00744F80"/>
    <w:rsid w:val="00744FB9"/>
    <w:rsid w:val="00744FC6"/>
    <w:rsid w:val="00744FDD"/>
    <w:rsid w:val="00744FF0"/>
    <w:rsid w:val="00744FFE"/>
    <w:rsid w:val="0074502B"/>
    <w:rsid w:val="0074508D"/>
    <w:rsid w:val="007450FB"/>
    <w:rsid w:val="00745133"/>
    <w:rsid w:val="00745171"/>
    <w:rsid w:val="0074517A"/>
    <w:rsid w:val="0074518B"/>
    <w:rsid w:val="007451A8"/>
    <w:rsid w:val="007451B5"/>
    <w:rsid w:val="007451F3"/>
    <w:rsid w:val="00745241"/>
    <w:rsid w:val="00745252"/>
    <w:rsid w:val="00745259"/>
    <w:rsid w:val="0074527A"/>
    <w:rsid w:val="0074527B"/>
    <w:rsid w:val="0074527E"/>
    <w:rsid w:val="00745282"/>
    <w:rsid w:val="007452C3"/>
    <w:rsid w:val="007452DC"/>
    <w:rsid w:val="007452F7"/>
    <w:rsid w:val="007452FC"/>
    <w:rsid w:val="0074530A"/>
    <w:rsid w:val="00745378"/>
    <w:rsid w:val="00745379"/>
    <w:rsid w:val="007453A3"/>
    <w:rsid w:val="007453B0"/>
    <w:rsid w:val="007453EA"/>
    <w:rsid w:val="007453F5"/>
    <w:rsid w:val="0074549B"/>
    <w:rsid w:val="007454A9"/>
    <w:rsid w:val="007454B2"/>
    <w:rsid w:val="007454B9"/>
    <w:rsid w:val="0074554A"/>
    <w:rsid w:val="00745565"/>
    <w:rsid w:val="00745579"/>
    <w:rsid w:val="0074558B"/>
    <w:rsid w:val="0074558C"/>
    <w:rsid w:val="00745591"/>
    <w:rsid w:val="0074559E"/>
    <w:rsid w:val="007455B9"/>
    <w:rsid w:val="007455C3"/>
    <w:rsid w:val="0074561F"/>
    <w:rsid w:val="0074564A"/>
    <w:rsid w:val="0074564D"/>
    <w:rsid w:val="00745672"/>
    <w:rsid w:val="0074568B"/>
    <w:rsid w:val="00745693"/>
    <w:rsid w:val="00745734"/>
    <w:rsid w:val="00745744"/>
    <w:rsid w:val="00745750"/>
    <w:rsid w:val="00745760"/>
    <w:rsid w:val="00745771"/>
    <w:rsid w:val="007457A2"/>
    <w:rsid w:val="00745811"/>
    <w:rsid w:val="0074581F"/>
    <w:rsid w:val="0074587A"/>
    <w:rsid w:val="007458A5"/>
    <w:rsid w:val="007458B7"/>
    <w:rsid w:val="00745952"/>
    <w:rsid w:val="00745957"/>
    <w:rsid w:val="007459B4"/>
    <w:rsid w:val="007459CA"/>
    <w:rsid w:val="007459E3"/>
    <w:rsid w:val="00745A94"/>
    <w:rsid w:val="00745ACA"/>
    <w:rsid w:val="00745B04"/>
    <w:rsid w:val="00745B84"/>
    <w:rsid w:val="00745BD8"/>
    <w:rsid w:val="00745C06"/>
    <w:rsid w:val="00745C0B"/>
    <w:rsid w:val="00745C10"/>
    <w:rsid w:val="00745C19"/>
    <w:rsid w:val="00745C36"/>
    <w:rsid w:val="00745CEF"/>
    <w:rsid w:val="00745CF5"/>
    <w:rsid w:val="00745D31"/>
    <w:rsid w:val="00745D4F"/>
    <w:rsid w:val="00745D77"/>
    <w:rsid w:val="00745DB1"/>
    <w:rsid w:val="00745DDD"/>
    <w:rsid w:val="00745DEF"/>
    <w:rsid w:val="00745E17"/>
    <w:rsid w:val="00745E2A"/>
    <w:rsid w:val="00745E2C"/>
    <w:rsid w:val="00745E38"/>
    <w:rsid w:val="00745E61"/>
    <w:rsid w:val="00745E69"/>
    <w:rsid w:val="00745E81"/>
    <w:rsid w:val="00745F36"/>
    <w:rsid w:val="00745FA9"/>
    <w:rsid w:val="00745FB7"/>
    <w:rsid w:val="00745FEB"/>
    <w:rsid w:val="00746001"/>
    <w:rsid w:val="0074600C"/>
    <w:rsid w:val="00746069"/>
    <w:rsid w:val="0074607D"/>
    <w:rsid w:val="007460AA"/>
    <w:rsid w:val="007460E2"/>
    <w:rsid w:val="007460F6"/>
    <w:rsid w:val="0074613E"/>
    <w:rsid w:val="00746252"/>
    <w:rsid w:val="0074626D"/>
    <w:rsid w:val="00746278"/>
    <w:rsid w:val="007462C4"/>
    <w:rsid w:val="007462D3"/>
    <w:rsid w:val="007462F3"/>
    <w:rsid w:val="00746313"/>
    <w:rsid w:val="00746389"/>
    <w:rsid w:val="007463AB"/>
    <w:rsid w:val="007463AD"/>
    <w:rsid w:val="007463B2"/>
    <w:rsid w:val="007463B7"/>
    <w:rsid w:val="007463E6"/>
    <w:rsid w:val="007463EF"/>
    <w:rsid w:val="00746403"/>
    <w:rsid w:val="00746414"/>
    <w:rsid w:val="00746449"/>
    <w:rsid w:val="0074648A"/>
    <w:rsid w:val="007464E6"/>
    <w:rsid w:val="007464FE"/>
    <w:rsid w:val="0074650D"/>
    <w:rsid w:val="00746518"/>
    <w:rsid w:val="0074653C"/>
    <w:rsid w:val="0074654A"/>
    <w:rsid w:val="00746550"/>
    <w:rsid w:val="00746575"/>
    <w:rsid w:val="007465D8"/>
    <w:rsid w:val="00746627"/>
    <w:rsid w:val="0074664B"/>
    <w:rsid w:val="00746651"/>
    <w:rsid w:val="00746655"/>
    <w:rsid w:val="00746678"/>
    <w:rsid w:val="0074668D"/>
    <w:rsid w:val="00746703"/>
    <w:rsid w:val="00746711"/>
    <w:rsid w:val="00746748"/>
    <w:rsid w:val="0074675A"/>
    <w:rsid w:val="00746776"/>
    <w:rsid w:val="00746790"/>
    <w:rsid w:val="007467C3"/>
    <w:rsid w:val="00746829"/>
    <w:rsid w:val="00746838"/>
    <w:rsid w:val="0074685E"/>
    <w:rsid w:val="00746888"/>
    <w:rsid w:val="007468A6"/>
    <w:rsid w:val="007468AE"/>
    <w:rsid w:val="007468D5"/>
    <w:rsid w:val="007468ED"/>
    <w:rsid w:val="0074690D"/>
    <w:rsid w:val="00746959"/>
    <w:rsid w:val="00746974"/>
    <w:rsid w:val="00746995"/>
    <w:rsid w:val="007469FE"/>
    <w:rsid w:val="00746A1D"/>
    <w:rsid w:val="00746A47"/>
    <w:rsid w:val="00746A4B"/>
    <w:rsid w:val="00746A52"/>
    <w:rsid w:val="00746A59"/>
    <w:rsid w:val="00746A5A"/>
    <w:rsid w:val="00746A60"/>
    <w:rsid w:val="00746A6C"/>
    <w:rsid w:val="00746A85"/>
    <w:rsid w:val="00746A92"/>
    <w:rsid w:val="00746B11"/>
    <w:rsid w:val="00746B23"/>
    <w:rsid w:val="00746B57"/>
    <w:rsid w:val="00746B7B"/>
    <w:rsid w:val="00746B8B"/>
    <w:rsid w:val="00746BA0"/>
    <w:rsid w:val="00746BB8"/>
    <w:rsid w:val="00746C4E"/>
    <w:rsid w:val="00746C69"/>
    <w:rsid w:val="00746C7C"/>
    <w:rsid w:val="00746CD9"/>
    <w:rsid w:val="00746D59"/>
    <w:rsid w:val="00746D9A"/>
    <w:rsid w:val="00746DB6"/>
    <w:rsid w:val="00746DE6"/>
    <w:rsid w:val="00746E4E"/>
    <w:rsid w:val="00746E9A"/>
    <w:rsid w:val="00746ED5"/>
    <w:rsid w:val="00746EF1"/>
    <w:rsid w:val="00746F00"/>
    <w:rsid w:val="00746F98"/>
    <w:rsid w:val="00746FAB"/>
    <w:rsid w:val="00746FE8"/>
    <w:rsid w:val="00746FEA"/>
    <w:rsid w:val="00747003"/>
    <w:rsid w:val="00747019"/>
    <w:rsid w:val="007470CD"/>
    <w:rsid w:val="007470DE"/>
    <w:rsid w:val="00747108"/>
    <w:rsid w:val="0074712E"/>
    <w:rsid w:val="0074714D"/>
    <w:rsid w:val="00747178"/>
    <w:rsid w:val="00747190"/>
    <w:rsid w:val="007471F3"/>
    <w:rsid w:val="0074728D"/>
    <w:rsid w:val="007472A0"/>
    <w:rsid w:val="007472BE"/>
    <w:rsid w:val="007472CC"/>
    <w:rsid w:val="007472D6"/>
    <w:rsid w:val="007472F3"/>
    <w:rsid w:val="00747317"/>
    <w:rsid w:val="00747367"/>
    <w:rsid w:val="00747395"/>
    <w:rsid w:val="00747402"/>
    <w:rsid w:val="0074740F"/>
    <w:rsid w:val="0074743B"/>
    <w:rsid w:val="00747449"/>
    <w:rsid w:val="0074746A"/>
    <w:rsid w:val="00747489"/>
    <w:rsid w:val="0074748B"/>
    <w:rsid w:val="007474A5"/>
    <w:rsid w:val="007474F5"/>
    <w:rsid w:val="00747502"/>
    <w:rsid w:val="0074759E"/>
    <w:rsid w:val="007475E3"/>
    <w:rsid w:val="007475E4"/>
    <w:rsid w:val="007475E6"/>
    <w:rsid w:val="0074761B"/>
    <w:rsid w:val="00747674"/>
    <w:rsid w:val="0074767E"/>
    <w:rsid w:val="0074768E"/>
    <w:rsid w:val="007476C4"/>
    <w:rsid w:val="00747735"/>
    <w:rsid w:val="00747740"/>
    <w:rsid w:val="0074775B"/>
    <w:rsid w:val="00747775"/>
    <w:rsid w:val="007477E4"/>
    <w:rsid w:val="0074781A"/>
    <w:rsid w:val="0074785B"/>
    <w:rsid w:val="00747883"/>
    <w:rsid w:val="00747886"/>
    <w:rsid w:val="00747916"/>
    <w:rsid w:val="00747926"/>
    <w:rsid w:val="0074799F"/>
    <w:rsid w:val="007479BE"/>
    <w:rsid w:val="007479C9"/>
    <w:rsid w:val="007479CA"/>
    <w:rsid w:val="00747A0A"/>
    <w:rsid w:val="00747A0B"/>
    <w:rsid w:val="00747A4B"/>
    <w:rsid w:val="00747A69"/>
    <w:rsid w:val="00747A6B"/>
    <w:rsid w:val="00747AA1"/>
    <w:rsid w:val="00747ABE"/>
    <w:rsid w:val="00747AC4"/>
    <w:rsid w:val="00747AD7"/>
    <w:rsid w:val="00747B12"/>
    <w:rsid w:val="00747B62"/>
    <w:rsid w:val="00747B71"/>
    <w:rsid w:val="00747B74"/>
    <w:rsid w:val="00747B8E"/>
    <w:rsid w:val="00747BF3"/>
    <w:rsid w:val="00747C14"/>
    <w:rsid w:val="00747C97"/>
    <w:rsid w:val="00747CEA"/>
    <w:rsid w:val="00747D12"/>
    <w:rsid w:val="00747D43"/>
    <w:rsid w:val="00747D54"/>
    <w:rsid w:val="00747E13"/>
    <w:rsid w:val="00747E27"/>
    <w:rsid w:val="00747E2C"/>
    <w:rsid w:val="00747E31"/>
    <w:rsid w:val="00747E4B"/>
    <w:rsid w:val="00747E7B"/>
    <w:rsid w:val="00747EA4"/>
    <w:rsid w:val="00747EB8"/>
    <w:rsid w:val="00747F09"/>
    <w:rsid w:val="00747F19"/>
    <w:rsid w:val="00747F20"/>
    <w:rsid w:val="00747F4D"/>
    <w:rsid w:val="00747FB5"/>
    <w:rsid w:val="00747FD2"/>
    <w:rsid w:val="00747FE2"/>
    <w:rsid w:val="00747FE3"/>
    <w:rsid w:val="00750015"/>
    <w:rsid w:val="0075003D"/>
    <w:rsid w:val="00750042"/>
    <w:rsid w:val="00750058"/>
    <w:rsid w:val="00750074"/>
    <w:rsid w:val="00750078"/>
    <w:rsid w:val="007500B5"/>
    <w:rsid w:val="007500D4"/>
    <w:rsid w:val="007500E2"/>
    <w:rsid w:val="0075013C"/>
    <w:rsid w:val="00750169"/>
    <w:rsid w:val="007501F7"/>
    <w:rsid w:val="00750225"/>
    <w:rsid w:val="00750276"/>
    <w:rsid w:val="007502D3"/>
    <w:rsid w:val="007502D8"/>
    <w:rsid w:val="00750358"/>
    <w:rsid w:val="007503C9"/>
    <w:rsid w:val="007503CF"/>
    <w:rsid w:val="00750405"/>
    <w:rsid w:val="00750435"/>
    <w:rsid w:val="0075046C"/>
    <w:rsid w:val="00750480"/>
    <w:rsid w:val="007504B4"/>
    <w:rsid w:val="00750533"/>
    <w:rsid w:val="0075055D"/>
    <w:rsid w:val="00750572"/>
    <w:rsid w:val="0075059A"/>
    <w:rsid w:val="007505B2"/>
    <w:rsid w:val="007505C5"/>
    <w:rsid w:val="007505E2"/>
    <w:rsid w:val="00750665"/>
    <w:rsid w:val="00750672"/>
    <w:rsid w:val="007506AE"/>
    <w:rsid w:val="007506BE"/>
    <w:rsid w:val="007506E2"/>
    <w:rsid w:val="007506EF"/>
    <w:rsid w:val="0075071A"/>
    <w:rsid w:val="00750721"/>
    <w:rsid w:val="00750736"/>
    <w:rsid w:val="0075076F"/>
    <w:rsid w:val="007507DF"/>
    <w:rsid w:val="007507FE"/>
    <w:rsid w:val="0075080B"/>
    <w:rsid w:val="00750841"/>
    <w:rsid w:val="00750872"/>
    <w:rsid w:val="0075087A"/>
    <w:rsid w:val="007508D6"/>
    <w:rsid w:val="00750913"/>
    <w:rsid w:val="0075091F"/>
    <w:rsid w:val="00750991"/>
    <w:rsid w:val="007509AC"/>
    <w:rsid w:val="00750A34"/>
    <w:rsid w:val="00750A45"/>
    <w:rsid w:val="00750ABC"/>
    <w:rsid w:val="00750AD2"/>
    <w:rsid w:val="00750B54"/>
    <w:rsid w:val="00750B5A"/>
    <w:rsid w:val="00750B5F"/>
    <w:rsid w:val="00750B7B"/>
    <w:rsid w:val="00750B7C"/>
    <w:rsid w:val="00750BC1"/>
    <w:rsid w:val="00750BED"/>
    <w:rsid w:val="00750BF6"/>
    <w:rsid w:val="00750C19"/>
    <w:rsid w:val="00750C27"/>
    <w:rsid w:val="00750CC1"/>
    <w:rsid w:val="00750D46"/>
    <w:rsid w:val="00750D57"/>
    <w:rsid w:val="00750D88"/>
    <w:rsid w:val="00750DF1"/>
    <w:rsid w:val="00750E03"/>
    <w:rsid w:val="00750E0D"/>
    <w:rsid w:val="00750E22"/>
    <w:rsid w:val="00750E4E"/>
    <w:rsid w:val="00750E89"/>
    <w:rsid w:val="00750EF9"/>
    <w:rsid w:val="00750F68"/>
    <w:rsid w:val="00750F69"/>
    <w:rsid w:val="0075102F"/>
    <w:rsid w:val="00751063"/>
    <w:rsid w:val="007511AD"/>
    <w:rsid w:val="007511F5"/>
    <w:rsid w:val="0075125F"/>
    <w:rsid w:val="00751265"/>
    <w:rsid w:val="007512F2"/>
    <w:rsid w:val="007512F7"/>
    <w:rsid w:val="00751322"/>
    <w:rsid w:val="00751331"/>
    <w:rsid w:val="007513BC"/>
    <w:rsid w:val="007513EC"/>
    <w:rsid w:val="007513FB"/>
    <w:rsid w:val="0075142B"/>
    <w:rsid w:val="0075144A"/>
    <w:rsid w:val="00751465"/>
    <w:rsid w:val="00751468"/>
    <w:rsid w:val="007514D3"/>
    <w:rsid w:val="007514E7"/>
    <w:rsid w:val="0075153F"/>
    <w:rsid w:val="0075154E"/>
    <w:rsid w:val="00751587"/>
    <w:rsid w:val="0075158E"/>
    <w:rsid w:val="00751606"/>
    <w:rsid w:val="00751611"/>
    <w:rsid w:val="0075162C"/>
    <w:rsid w:val="00751630"/>
    <w:rsid w:val="0075163B"/>
    <w:rsid w:val="0075163D"/>
    <w:rsid w:val="00751649"/>
    <w:rsid w:val="00751664"/>
    <w:rsid w:val="007516D4"/>
    <w:rsid w:val="0075173D"/>
    <w:rsid w:val="0075174A"/>
    <w:rsid w:val="0075178E"/>
    <w:rsid w:val="00751792"/>
    <w:rsid w:val="007517B2"/>
    <w:rsid w:val="007517CA"/>
    <w:rsid w:val="007517D2"/>
    <w:rsid w:val="00751895"/>
    <w:rsid w:val="007518A8"/>
    <w:rsid w:val="007518B9"/>
    <w:rsid w:val="0075193C"/>
    <w:rsid w:val="00751983"/>
    <w:rsid w:val="007519B1"/>
    <w:rsid w:val="007519BA"/>
    <w:rsid w:val="007519BD"/>
    <w:rsid w:val="007519D7"/>
    <w:rsid w:val="007519FA"/>
    <w:rsid w:val="00751A06"/>
    <w:rsid w:val="00751A0F"/>
    <w:rsid w:val="00751A20"/>
    <w:rsid w:val="00751A31"/>
    <w:rsid w:val="00751A71"/>
    <w:rsid w:val="00751AB6"/>
    <w:rsid w:val="00751AE1"/>
    <w:rsid w:val="00751B2A"/>
    <w:rsid w:val="00751BC8"/>
    <w:rsid w:val="00751BD8"/>
    <w:rsid w:val="00751BF2"/>
    <w:rsid w:val="00751C0C"/>
    <w:rsid w:val="00751C39"/>
    <w:rsid w:val="00751C62"/>
    <w:rsid w:val="00751C91"/>
    <w:rsid w:val="00751CA4"/>
    <w:rsid w:val="00751CBB"/>
    <w:rsid w:val="00751CFA"/>
    <w:rsid w:val="00751CFD"/>
    <w:rsid w:val="00751D12"/>
    <w:rsid w:val="00751D3E"/>
    <w:rsid w:val="00751D62"/>
    <w:rsid w:val="00751D9A"/>
    <w:rsid w:val="00751E03"/>
    <w:rsid w:val="00751E60"/>
    <w:rsid w:val="00751E7A"/>
    <w:rsid w:val="00751E9B"/>
    <w:rsid w:val="00751ED6"/>
    <w:rsid w:val="00751EFC"/>
    <w:rsid w:val="00751F05"/>
    <w:rsid w:val="00751F1D"/>
    <w:rsid w:val="00751F24"/>
    <w:rsid w:val="00751F5A"/>
    <w:rsid w:val="00751F9A"/>
    <w:rsid w:val="00751FC4"/>
    <w:rsid w:val="00751FE7"/>
    <w:rsid w:val="00751FED"/>
    <w:rsid w:val="00751FFF"/>
    <w:rsid w:val="0075204E"/>
    <w:rsid w:val="0075209A"/>
    <w:rsid w:val="007520D0"/>
    <w:rsid w:val="007520E9"/>
    <w:rsid w:val="00752119"/>
    <w:rsid w:val="00752150"/>
    <w:rsid w:val="0075215D"/>
    <w:rsid w:val="0075221B"/>
    <w:rsid w:val="0075222F"/>
    <w:rsid w:val="0075224D"/>
    <w:rsid w:val="00752253"/>
    <w:rsid w:val="00752256"/>
    <w:rsid w:val="00752306"/>
    <w:rsid w:val="0075230F"/>
    <w:rsid w:val="00752364"/>
    <w:rsid w:val="00752393"/>
    <w:rsid w:val="007523B4"/>
    <w:rsid w:val="007523CD"/>
    <w:rsid w:val="007523CE"/>
    <w:rsid w:val="00752430"/>
    <w:rsid w:val="00752488"/>
    <w:rsid w:val="0075248E"/>
    <w:rsid w:val="007524E0"/>
    <w:rsid w:val="00752521"/>
    <w:rsid w:val="00752540"/>
    <w:rsid w:val="00752569"/>
    <w:rsid w:val="0075256A"/>
    <w:rsid w:val="00752577"/>
    <w:rsid w:val="00752589"/>
    <w:rsid w:val="0075258C"/>
    <w:rsid w:val="0075259D"/>
    <w:rsid w:val="0075259E"/>
    <w:rsid w:val="007525AD"/>
    <w:rsid w:val="007525D0"/>
    <w:rsid w:val="007525DB"/>
    <w:rsid w:val="007525E9"/>
    <w:rsid w:val="007525F7"/>
    <w:rsid w:val="00752620"/>
    <w:rsid w:val="00752672"/>
    <w:rsid w:val="0075269E"/>
    <w:rsid w:val="007526CB"/>
    <w:rsid w:val="007526DD"/>
    <w:rsid w:val="00752700"/>
    <w:rsid w:val="0075270C"/>
    <w:rsid w:val="00752727"/>
    <w:rsid w:val="0075279F"/>
    <w:rsid w:val="007527AA"/>
    <w:rsid w:val="007527C1"/>
    <w:rsid w:val="00752801"/>
    <w:rsid w:val="0075280C"/>
    <w:rsid w:val="00752811"/>
    <w:rsid w:val="0075282B"/>
    <w:rsid w:val="007528B6"/>
    <w:rsid w:val="0075290F"/>
    <w:rsid w:val="00752918"/>
    <w:rsid w:val="0075293C"/>
    <w:rsid w:val="00752977"/>
    <w:rsid w:val="00752978"/>
    <w:rsid w:val="007529E3"/>
    <w:rsid w:val="007529E6"/>
    <w:rsid w:val="007529F6"/>
    <w:rsid w:val="007529F8"/>
    <w:rsid w:val="00752A0A"/>
    <w:rsid w:val="00752A0E"/>
    <w:rsid w:val="00752A22"/>
    <w:rsid w:val="00752A27"/>
    <w:rsid w:val="00752AA6"/>
    <w:rsid w:val="00752AB8"/>
    <w:rsid w:val="00752AF1"/>
    <w:rsid w:val="00752AF9"/>
    <w:rsid w:val="00752B1E"/>
    <w:rsid w:val="00752B3E"/>
    <w:rsid w:val="00752B66"/>
    <w:rsid w:val="00752B7F"/>
    <w:rsid w:val="00752B8A"/>
    <w:rsid w:val="00752BFA"/>
    <w:rsid w:val="00752BFC"/>
    <w:rsid w:val="00752C3F"/>
    <w:rsid w:val="00752C77"/>
    <w:rsid w:val="00752C9C"/>
    <w:rsid w:val="00752CAB"/>
    <w:rsid w:val="00752CD7"/>
    <w:rsid w:val="00752CD9"/>
    <w:rsid w:val="00752D1F"/>
    <w:rsid w:val="00752D3F"/>
    <w:rsid w:val="00752D8C"/>
    <w:rsid w:val="00752D99"/>
    <w:rsid w:val="00752E37"/>
    <w:rsid w:val="00752E46"/>
    <w:rsid w:val="00752E74"/>
    <w:rsid w:val="00752E8E"/>
    <w:rsid w:val="00752E97"/>
    <w:rsid w:val="00752E9E"/>
    <w:rsid w:val="00752F38"/>
    <w:rsid w:val="00752F6C"/>
    <w:rsid w:val="00752F7D"/>
    <w:rsid w:val="00752FAD"/>
    <w:rsid w:val="00752FB4"/>
    <w:rsid w:val="00752FCE"/>
    <w:rsid w:val="00752FDE"/>
    <w:rsid w:val="00752FE1"/>
    <w:rsid w:val="0075302E"/>
    <w:rsid w:val="00753047"/>
    <w:rsid w:val="00753064"/>
    <w:rsid w:val="00753067"/>
    <w:rsid w:val="0075309C"/>
    <w:rsid w:val="00753105"/>
    <w:rsid w:val="00753152"/>
    <w:rsid w:val="00753165"/>
    <w:rsid w:val="007531A3"/>
    <w:rsid w:val="007531BB"/>
    <w:rsid w:val="007531C8"/>
    <w:rsid w:val="007531CB"/>
    <w:rsid w:val="007531FE"/>
    <w:rsid w:val="007531FF"/>
    <w:rsid w:val="00753261"/>
    <w:rsid w:val="0075329B"/>
    <w:rsid w:val="007532AD"/>
    <w:rsid w:val="007532D3"/>
    <w:rsid w:val="00753302"/>
    <w:rsid w:val="0075330E"/>
    <w:rsid w:val="00753310"/>
    <w:rsid w:val="0075331E"/>
    <w:rsid w:val="00753371"/>
    <w:rsid w:val="00753375"/>
    <w:rsid w:val="0075338D"/>
    <w:rsid w:val="007533A8"/>
    <w:rsid w:val="0075346A"/>
    <w:rsid w:val="0075346B"/>
    <w:rsid w:val="0075346D"/>
    <w:rsid w:val="007534B9"/>
    <w:rsid w:val="0075355B"/>
    <w:rsid w:val="007535D3"/>
    <w:rsid w:val="007535F9"/>
    <w:rsid w:val="007535FE"/>
    <w:rsid w:val="00753606"/>
    <w:rsid w:val="0075366A"/>
    <w:rsid w:val="007536CA"/>
    <w:rsid w:val="007536E6"/>
    <w:rsid w:val="007536E7"/>
    <w:rsid w:val="007536EA"/>
    <w:rsid w:val="0075373F"/>
    <w:rsid w:val="007537A3"/>
    <w:rsid w:val="007537BB"/>
    <w:rsid w:val="007537CD"/>
    <w:rsid w:val="007537DC"/>
    <w:rsid w:val="007537DF"/>
    <w:rsid w:val="007537E2"/>
    <w:rsid w:val="007537E3"/>
    <w:rsid w:val="00753899"/>
    <w:rsid w:val="007538E8"/>
    <w:rsid w:val="00753923"/>
    <w:rsid w:val="0075396D"/>
    <w:rsid w:val="007539A7"/>
    <w:rsid w:val="007539E8"/>
    <w:rsid w:val="00753A11"/>
    <w:rsid w:val="00753A2C"/>
    <w:rsid w:val="00753A2F"/>
    <w:rsid w:val="00753A32"/>
    <w:rsid w:val="00753A5A"/>
    <w:rsid w:val="00753AA0"/>
    <w:rsid w:val="00753AA4"/>
    <w:rsid w:val="00753ABC"/>
    <w:rsid w:val="00753AC4"/>
    <w:rsid w:val="00753B35"/>
    <w:rsid w:val="00753B59"/>
    <w:rsid w:val="00753B8C"/>
    <w:rsid w:val="00753B99"/>
    <w:rsid w:val="00753BF1"/>
    <w:rsid w:val="00753BF2"/>
    <w:rsid w:val="00753C5C"/>
    <w:rsid w:val="00753C92"/>
    <w:rsid w:val="00753D89"/>
    <w:rsid w:val="00753D8C"/>
    <w:rsid w:val="00753DC9"/>
    <w:rsid w:val="00753DDE"/>
    <w:rsid w:val="00753E18"/>
    <w:rsid w:val="00753E5E"/>
    <w:rsid w:val="00753E6C"/>
    <w:rsid w:val="00753EC9"/>
    <w:rsid w:val="00753EFF"/>
    <w:rsid w:val="00753F0A"/>
    <w:rsid w:val="00753F3B"/>
    <w:rsid w:val="00753F85"/>
    <w:rsid w:val="00753FCF"/>
    <w:rsid w:val="00754019"/>
    <w:rsid w:val="00754035"/>
    <w:rsid w:val="00754086"/>
    <w:rsid w:val="007540AD"/>
    <w:rsid w:val="007540F9"/>
    <w:rsid w:val="007540FA"/>
    <w:rsid w:val="00754102"/>
    <w:rsid w:val="00754136"/>
    <w:rsid w:val="00754173"/>
    <w:rsid w:val="00754193"/>
    <w:rsid w:val="0075419B"/>
    <w:rsid w:val="007541A6"/>
    <w:rsid w:val="007541B2"/>
    <w:rsid w:val="00754208"/>
    <w:rsid w:val="00754303"/>
    <w:rsid w:val="00754312"/>
    <w:rsid w:val="00754323"/>
    <w:rsid w:val="00754363"/>
    <w:rsid w:val="00754369"/>
    <w:rsid w:val="007543AD"/>
    <w:rsid w:val="007543FF"/>
    <w:rsid w:val="00754445"/>
    <w:rsid w:val="00754466"/>
    <w:rsid w:val="00754470"/>
    <w:rsid w:val="007544FA"/>
    <w:rsid w:val="00754518"/>
    <w:rsid w:val="00754569"/>
    <w:rsid w:val="0075456A"/>
    <w:rsid w:val="007545E6"/>
    <w:rsid w:val="007545FC"/>
    <w:rsid w:val="00754624"/>
    <w:rsid w:val="0075463D"/>
    <w:rsid w:val="0075463E"/>
    <w:rsid w:val="00754653"/>
    <w:rsid w:val="00754662"/>
    <w:rsid w:val="00754664"/>
    <w:rsid w:val="00754696"/>
    <w:rsid w:val="007546BA"/>
    <w:rsid w:val="007546C7"/>
    <w:rsid w:val="00754714"/>
    <w:rsid w:val="0075472F"/>
    <w:rsid w:val="00754750"/>
    <w:rsid w:val="00754760"/>
    <w:rsid w:val="00754768"/>
    <w:rsid w:val="00754777"/>
    <w:rsid w:val="00754788"/>
    <w:rsid w:val="007547BC"/>
    <w:rsid w:val="007547CA"/>
    <w:rsid w:val="007547CC"/>
    <w:rsid w:val="007547E7"/>
    <w:rsid w:val="0075484A"/>
    <w:rsid w:val="0075484E"/>
    <w:rsid w:val="0075486D"/>
    <w:rsid w:val="0075489B"/>
    <w:rsid w:val="007548A6"/>
    <w:rsid w:val="007548AA"/>
    <w:rsid w:val="007548D6"/>
    <w:rsid w:val="00754950"/>
    <w:rsid w:val="00754959"/>
    <w:rsid w:val="00754972"/>
    <w:rsid w:val="00754999"/>
    <w:rsid w:val="007549A5"/>
    <w:rsid w:val="007549B7"/>
    <w:rsid w:val="007549F0"/>
    <w:rsid w:val="00754A41"/>
    <w:rsid w:val="00754A4A"/>
    <w:rsid w:val="00754A92"/>
    <w:rsid w:val="00754AC0"/>
    <w:rsid w:val="00754B17"/>
    <w:rsid w:val="00754B43"/>
    <w:rsid w:val="00754BBA"/>
    <w:rsid w:val="00754BD7"/>
    <w:rsid w:val="00754C2C"/>
    <w:rsid w:val="00754CA5"/>
    <w:rsid w:val="00754CC2"/>
    <w:rsid w:val="00754CEB"/>
    <w:rsid w:val="00754D17"/>
    <w:rsid w:val="00754D88"/>
    <w:rsid w:val="00754D8E"/>
    <w:rsid w:val="00754DC0"/>
    <w:rsid w:val="00754DDD"/>
    <w:rsid w:val="00754E04"/>
    <w:rsid w:val="00754E35"/>
    <w:rsid w:val="00754E62"/>
    <w:rsid w:val="00754EA6"/>
    <w:rsid w:val="00754F46"/>
    <w:rsid w:val="00754F82"/>
    <w:rsid w:val="00754FBD"/>
    <w:rsid w:val="00754FE5"/>
    <w:rsid w:val="00754FEB"/>
    <w:rsid w:val="00755038"/>
    <w:rsid w:val="007550A4"/>
    <w:rsid w:val="007550BF"/>
    <w:rsid w:val="007550C6"/>
    <w:rsid w:val="007550C9"/>
    <w:rsid w:val="007550E8"/>
    <w:rsid w:val="007551AB"/>
    <w:rsid w:val="007551D4"/>
    <w:rsid w:val="0075524D"/>
    <w:rsid w:val="00755283"/>
    <w:rsid w:val="00755297"/>
    <w:rsid w:val="0075529A"/>
    <w:rsid w:val="0075529F"/>
    <w:rsid w:val="007552B1"/>
    <w:rsid w:val="007552FE"/>
    <w:rsid w:val="00755331"/>
    <w:rsid w:val="00755351"/>
    <w:rsid w:val="00755400"/>
    <w:rsid w:val="00755425"/>
    <w:rsid w:val="0075543D"/>
    <w:rsid w:val="00755441"/>
    <w:rsid w:val="00755473"/>
    <w:rsid w:val="007554C9"/>
    <w:rsid w:val="0075553E"/>
    <w:rsid w:val="00755590"/>
    <w:rsid w:val="0075559D"/>
    <w:rsid w:val="007555C6"/>
    <w:rsid w:val="007555D3"/>
    <w:rsid w:val="007555D5"/>
    <w:rsid w:val="00755620"/>
    <w:rsid w:val="007556DD"/>
    <w:rsid w:val="0075571A"/>
    <w:rsid w:val="00755725"/>
    <w:rsid w:val="0075574C"/>
    <w:rsid w:val="0075574F"/>
    <w:rsid w:val="007557B0"/>
    <w:rsid w:val="007557C2"/>
    <w:rsid w:val="007557C5"/>
    <w:rsid w:val="007557EC"/>
    <w:rsid w:val="007557F1"/>
    <w:rsid w:val="00755867"/>
    <w:rsid w:val="00755876"/>
    <w:rsid w:val="0075587C"/>
    <w:rsid w:val="0075589D"/>
    <w:rsid w:val="007558EE"/>
    <w:rsid w:val="0075590F"/>
    <w:rsid w:val="00755937"/>
    <w:rsid w:val="00755976"/>
    <w:rsid w:val="0075597E"/>
    <w:rsid w:val="007559AF"/>
    <w:rsid w:val="00755A0A"/>
    <w:rsid w:val="00755A7C"/>
    <w:rsid w:val="00755ACB"/>
    <w:rsid w:val="00755B45"/>
    <w:rsid w:val="00755B76"/>
    <w:rsid w:val="00755B9F"/>
    <w:rsid w:val="00755BB9"/>
    <w:rsid w:val="00755C10"/>
    <w:rsid w:val="00755C8A"/>
    <w:rsid w:val="00755CC4"/>
    <w:rsid w:val="00755CDE"/>
    <w:rsid w:val="00755D29"/>
    <w:rsid w:val="00755D5D"/>
    <w:rsid w:val="00755D69"/>
    <w:rsid w:val="00755DB9"/>
    <w:rsid w:val="00755DCA"/>
    <w:rsid w:val="00755E0D"/>
    <w:rsid w:val="00755E2B"/>
    <w:rsid w:val="00755E65"/>
    <w:rsid w:val="00755EB9"/>
    <w:rsid w:val="00755EBE"/>
    <w:rsid w:val="00755ED5"/>
    <w:rsid w:val="00755ED6"/>
    <w:rsid w:val="00755EDD"/>
    <w:rsid w:val="00755EE3"/>
    <w:rsid w:val="00755EE9"/>
    <w:rsid w:val="00755F12"/>
    <w:rsid w:val="00755F16"/>
    <w:rsid w:val="00755F21"/>
    <w:rsid w:val="00755FA7"/>
    <w:rsid w:val="00755FC3"/>
    <w:rsid w:val="00755FD6"/>
    <w:rsid w:val="00755FE9"/>
    <w:rsid w:val="0075601E"/>
    <w:rsid w:val="00756044"/>
    <w:rsid w:val="007560E6"/>
    <w:rsid w:val="0075617E"/>
    <w:rsid w:val="007561E3"/>
    <w:rsid w:val="007561F6"/>
    <w:rsid w:val="0075620D"/>
    <w:rsid w:val="00756269"/>
    <w:rsid w:val="007562E5"/>
    <w:rsid w:val="007562FC"/>
    <w:rsid w:val="00756346"/>
    <w:rsid w:val="00756389"/>
    <w:rsid w:val="007563C4"/>
    <w:rsid w:val="007563E3"/>
    <w:rsid w:val="0075641C"/>
    <w:rsid w:val="0075644C"/>
    <w:rsid w:val="00756477"/>
    <w:rsid w:val="007564C6"/>
    <w:rsid w:val="007564F4"/>
    <w:rsid w:val="00756539"/>
    <w:rsid w:val="00756549"/>
    <w:rsid w:val="00756568"/>
    <w:rsid w:val="00756570"/>
    <w:rsid w:val="00756574"/>
    <w:rsid w:val="007565EB"/>
    <w:rsid w:val="007565ED"/>
    <w:rsid w:val="0075663B"/>
    <w:rsid w:val="00756671"/>
    <w:rsid w:val="0075668B"/>
    <w:rsid w:val="00756696"/>
    <w:rsid w:val="0075669C"/>
    <w:rsid w:val="007566A2"/>
    <w:rsid w:val="007566A7"/>
    <w:rsid w:val="0075670C"/>
    <w:rsid w:val="00756718"/>
    <w:rsid w:val="00756740"/>
    <w:rsid w:val="0075677F"/>
    <w:rsid w:val="00756782"/>
    <w:rsid w:val="007567CB"/>
    <w:rsid w:val="0075681C"/>
    <w:rsid w:val="00756833"/>
    <w:rsid w:val="0075685D"/>
    <w:rsid w:val="0075685E"/>
    <w:rsid w:val="0075685F"/>
    <w:rsid w:val="00756897"/>
    <w:rsid w:val="0075689A"/>
    <w:rsid w:val="0075689B"/>
    <w:rsid w:val="007568CB"/>
    <w:rsid w:val="007568E7"/>
    <w:rsid w:val="00756901"/>
    <w:rsid w:val="0075694C"/>
    <w:rsid w:val="0075696E"/>
    <w:rsid w:val="007569C7"/>
    <w:rsid w:val="007569CB"/>
    <w:rsid w:val="007569F0"/>
    <w:rsid w:val="00756A65"/>
    <w:rsid w:val="00756A75"/>
    <w:rsid w:val="00756A86"/>
    <w:rsid w:val="00756A8B"/>
    <w:rsid w:val="00756AB1"/>
    <w:rsid w:val="00756ACB"/>
    <w:rsid w:val="00756AD2"/>
    <w:rsid w:val="00756ADB"/>
    <w:rsid w:val="00756B0E"/>
    <w:rsid w:val="00756B67"/>
    <w:rsid w:val="00756BAF"/>
    <w:rsid w:val="00756BB6"/>
    <w:rsid w:val="00756BBE"/>
    <w:rsid w:val="00756C43"/>
    <w:rsid w:val="00756C6D"/>
    <w:rsid w:val="00756D04"/>
    <w:rsid w:val="00756D50"/>
    <w:rsid w:val="00756DD6"/>
    <w:rsid w:val="00756E0C"/>
    <w:rsid w:val="00756E4A"/>
    <w:rsid w:val="00756E62"/>
    <w:rsid w:val="00756E84"/>
    <w:rsid w:val="00756EA2"/>
    <w:rsid w:val="00756EA7"/>
    <w:rsid w:val="00756EA9"/>
    <w:rsid w:val="00756EDA"/>
    <w:rsid w:val="00756EEC"/>
    <w:rsid w:val="00756F15"/>
    <w:rsid w:val="00756F1D"/>
    <w:rsid w:val="00756F37"/>
    <w:rsid w:val="00756F5A"/>
    <w:rsid w:val="00756FB2"/>
    <w:rsid w:val="00756FE1"/>
    <w:rsid w:val="00757008"/>
    <w:rsid w:val="0075701D"/>
    <w:rsid w:val="00757044"/>
    <w:rsid w:val="0075705A"/>
    <w:rsid w:val="007570C9"/>
    <w:rsid w:val="0075716A"/>
    <w:rsid w:val="00757177"/>
    <w:rsid w:val="00757184"/>
    <w:rsid w:val="007571AE"/>
    <w:rsid w:val="007571D8"/>
    <w:rsid w:val="007571FC"/>
    <w:rsid w:val="0075723F"/>
    <w:rsid w:val="00757280"/>
    <w:rsid w:val="007572A4"/>
    <w:rsid w:val="007572E5"/>
    <w:rsid w:val="00757321"/>
    <w:rsid w:val="00757323"/>
    <w:rsid w:val="00757361"/>
    <w:rsid w:val="00757367"/>
    <w:rsid w:val="00757378"/>
    <w:rsid w:val="007573C1"/>
    <w:rsid w:val="007573D5"/>
    <w:rsid w:val="00757473"/>
    <w:rsid w:val="007574BC"/>
    <w:rsid w:val="00757530"/>
    <w:rsid w:val="00757543"/>
    <w:rsid w:val="00757544"/>
    <w:rsid w:val="00757590"/>
    <w:rsid w:val="0075761F"/>
    <w:rsid w:val="00757653"/>
    <w:rsid w:val="0075769A"/>
    <w:rsid w:val="0075769D"/>
    <w:rsid w:val="007576C7"/>
    <w:rsid w:val="007576D7"/>
    <w:rsid w:val="007576DB"/>
    <w:rsid w:val="0075770C"/>
    <w:rsid w:val="00757718"/>
    <w:rsid w:val="0075771E"/>
    <w:rsid w:val="0075774A"/>
    <w:rsid w:val="00757789"/>
    <w:rsid w:val="0075778F"/>
    <w:rsid w:val="007577A2"/>
    <w:rsid w:val="007577D7"/>
    <w:rsid w:val="007577DD"/>
    <w:rsid w:val="007577E1"/>
    <w:rsid w:val="007577FA"/>
    <w:rsid w:val="0075780D"/>
    <w:rsid w:val="00757829"/>
    <w:rsid w:val="007578A9"/>
    <w:rsid w:val="007578B0"/>
    <w:rsid w:val="007578BD"/>
    <w:rsid w:val="00757900"/>
    <w:rsid w:val="00757929"/>
    <w:rsid w:val="00757933"/>
    <w:rsid w:val="0075794F"/>
    <w:rsid w:val="00757956"/>
    <w:rsid w:val="00757959"/>
    <w:rsid w:val="00757987"/>
    <w:rsid w:val="007579B5"/>
    <w:rsid w:val="007579F8"/>
    <w:rsid w:val="00757A15"/>
    <w:rsid w:val="00757A21"/>
    <w:rsid w:val="00757A72"/>
    <w:rsid w:val="00757ABB"/>
    <w:rsid w:val="00757B89"/>
    <w:rsid w:val="00757B91"/>
    <w:rsid w:val="00757B9B"/>
    <w:rsid w:val="00757BD6"/>
    <w:rsid w:val="00757C14"/>
    <w:rsid w:val="00757C4D"/>
    <w:rsid w:val="00757C53"/>
    <w:rsid w:val="00757CD0"/>
    <w:rsid w:val="00757D18"/>
    <w:rsid w:val="00757D86"/>
    <w:rsid w:val="00757DB2"/>
    <w:rsid w:val="00757E0E"/>
    <w:rsid w:val="00757E2A"/>
    <w:rsid w:val="00757E7C"/>
    <w:rsid w:val="00757E98"/>
    <w:rsid w:val="00757EA4"/>
    <w:rsid w:val="00757EC4"/>
    <w:rsid w:val="00757EC8"/>
    <w:rsid w:val="00757EDA"/>
    <w:rsid w:val="00757F09"/>
    <w:rsid w:val="00757F7D"/>
    <w:rsid w:val="00757F99"/>
    <w:rsid w:val="00760013"/>
    <w:rsid w:val="00760017"/>
    <w:rsid w:val="00760026"/>
    <w:rsid w:val="0076007E"/>
    <w:rsid w:val="007600A5"/>
    <w:rsid w:val="007600F6"/>
    <w:rsid w:val="0076010D"/>
    <w:rsid w:val="0076011D"/>
    <w:rsid w:val="007601BA"/>
    <w:rsid w:val="007601DD"/>
    <w:rsid w:val="00760255"/>
    <w:rsid w:val="0076025F"/>
    <w:rsid w:val="00760284"/>
    <w:rsid w:val="00760297"/>
    <w:rsid w:val="007602C8"/>
    <w:rsid w:val="007602EB"/>
    <w:rsid w:val="00760344"/>
    <w:rsid w:val="0076036B"/>
    <w:rsid w:val="007603EB"/>
    <w:rsid w:val="007603EF"/>
    <w:rsid w:val="00760454"/>
    <w:rsid w:val="0076049A"/>
    <w:rsid w:val="0076051E"/>
    <w:rsid w:val="0076055B"/>
    <w:rsid w:val="007605A2"/>
    <w:rsid w:val="007605CC"/>
    <w:rsid w:val="007605F2"/>
    <w:rsid w:val="00760622"/>
    <w:rsid w:val="007606DB"/>
    <w:rsid w:val="00760706"/>
    <w:rsid w:val="0076071C"/>
    <w:rsid w:val="0076072D"/>
    <w:rsid w:val="007607A5"/>
    <w:rsid w:val="007607AF"/>
    <w:rsid w:val="007607E1"/>
    <w:rsid w:val="007607FE"/>
    <w:rsid w:val="00760807"/>
    <w:rsid w:val="0076081C"/>
    <w:rsid w:val="0076081E"/>
    <w:rsid w:val="0076087C"/>
    <w:rsid w:val="007608FA"/>
    <w:rsid w:val="0076093E"/>
    <w:rsid w:val="00760950"/>
    <w:rsid w:val="0076099D"/>
    <w:rsid w:val="007609BA"/>
    <w:rsid w:val="007609D4"/>
    <w:rsid w:val="007609EF"/>
    <w:rsid w:val="00760A16"/>
    <w:rsid w:val="00760A5E"/>
    <w:rsid w:val="00760A67"/>
    <w:rsid w:val="00760AB8"/>
    <w:rsid w:val="00760ADA"/>
    <w:rsid w:val="00760B11"/>
    <w:rsid w:val="00760B66"/>
    <w:rsid w:val="00760B74"/>
    <w:rsid w:val="00760B94"/>
    <w:rsid w:val="00760C1F"/>
    <w:rsid w:val="00760C65"/>
    <w:rsid w:val="00760C6C"/>
    <w:rsid w:val="00760C78"/>
    <w:rsid w:val="00760CC3"/>
    <w:rsid w:val="00760D0C"/>
    <w:rsid w:val="00760D23"/>
    <w:rsid w:val="00760D2D"/>
    <w:rsid w:val="00760DD8"/>
    <w:rsid w:val="00760DE4"/>
    <w:rsid w:val="00760DEA"/>
    <w:rsid w:val="00760DED"/>
    <w:rsid w:val="00760DF2"/>
    <w:rsid w:val="00760E18"/>
    <w:rsid w:val="00760E3F"/>
    <w:rsid w:val="00760EAB"/>
    <w:rsid w:val="00760ECA"/>
    <w:rsid w:val="00760F0E"/>
    <w:rsid w:val="00760F15"/>
    <w:rsid w:val="00760F9E"/>
    <w:rsid w:val="00761002"/>
    <w:rsid w:val="00761013"/>
    <w:rsid w:val="00761049"/>
    <w:rsid w:val="0076105C"/>
    <w:rsid w:val="00761065"/>
    <w:rsid w:val="007610B4"/>
    <w:rsid w:val="007610F8"/>
    <w:rsid w:val="00761135"/>
    <w:rsid w:val="00761170"/>
    <w:rsid w:val="00761174"/>
    <w:rsid w:val="0076118E"/>
    <w:rsid w:val="00761241"/>
    <w:rsid w:val="0076125E"/>
    <w:rsid w:val="0076126B"/>
    <w:rsid w:val="00761274"/>
    <w:rsid w:val="007612B8"/>
    <w:rsid w:val="007612CA"/>
    <w:rsid w:val="0076136B"/>
    <w:rsid w:val="00761397"/>
    <w:rsid w:val="00761399"/>
    <w:rsid w:val="007613C0"/>
    <w:rsid w:val="007613CC"/>
    <w:rsid w:val="007613F1"/>
    <w:rsid w:val="00761477"/>
    <w:rsid w:val="00761481"/>
    <w:rsid w:val="00761537"/>
    <w:rsid w:val="00761538"/>
    <w:rsid w:val="00761546"/>
    <w:rsid w:val="00761562"/>
    <w:rsid w:val="0076157E"/>
    <w:rsid w:val="00761587"/>
    <w:rsid w:val="0076159A"/>
    <w:rsid w:val="007615DB"/>
    <w:rsid w:val="007615EA"/>
    <w:rsid w:val="00761602"/>
    <w:rsid w:val="0076160E"/>
    <w:rsid w:val="00761664"/>
    <w:rsid w:val="0076167F"/>
    <w:rsid w:val="007616BA"/>
    <w:rsid w:val="007616BB"/>
    <w:rsid w:val="0076176E"/>
    <w:rsid w:val="007617C1"/>
    <w:rsid w:val="007617EB"/>
    <w:rsid w:val="007617F1"/>
    <w:rsid w:val="00761828"/>
    <w:rsid w:val="0076182B"/>
    <w:rsid w:val="00761851"/>
    <w:rsid w:val="007618B9"/>
    <w:rsid w:val="007618C5"/>
    <w:rsid w:val="007618D4"/>
    <w:rsid w:val="00761956"/>
    <w:rsid w:val="00761970"/>
    <w:rsid w:val="007619BC"/>
    <w:rsid w:val="007619C4"/>
    <w:rsid w:val="007619DC"/>
    <w:rsid w:val="007619F1"/>
    <w:rsid w:val="00761A1E"/>
    <w:rsid w:val="00761A8D"/>
    <w:rsid w:val="00761ABF"/>
    <w:rsid w:val="00761B23"/>
    <w:rsid w:val="00761B83"/>
    <w:rsid w:val="00761BE6"/>
    <w:rsid w:val="00761C14"/>
    <w:rsid w:val="00761C71"/>
    <w:rsid w:val="00761C75"/>
    <w:rsid w:val="00761CC8"/>
    <w:rsid w:val="00761D7B"/>
    <w:rsid w:val="00761D8F"/>
    <w:rsid w:val="00761DC1"/>
    <w:rsid w:val="00761DE6"/>
    <w:rsid w:val="00761E08"/>
    <w:rsid w:val="00761E15"/>
    <w:rsid w:val="00761E22"/>
    <w:rsid w:val="00761E2A"/>
    <w:rsid w:val="00761E2D"/>
    <w:rsid w:val="00761E37"/>
    <w:rsid w:val="00761E56"/>
    <w:rsid w:val="00761E80"/>
    <w:rsid w:val="00761EDA"/>
    <w:rsid w:val="00761EF2"/>
    <w:rsid w:val="00761F6C"/>
    <w:rsid w:val="00761FCA"/>
    <w:rsid w:val="00762088"/>
    <w:rsid w:val="0076208E"/>
    <w:rsid w:val="007620AD"/>
    <w:rsid w:val="00762120"/>
    <w:rsid w:val="00762178"/>
    <w:rsid w:val="00762195"/>
    <w:rsid w:val="007621A6"/>
    <w:rsid w:val="007621D3"/>
    <w:rsid w:val="007621F3"/>
    <w:rsid w:val="0076220A"/>
    <w:rsid w:val="0076220B"/>
    <w:rsid w:val="00762295"/>
    <w:rsid w:val="007622BC"/>
    <w:rsid w:val="007622F5"/>
    <w:rsid w:val="00762300"/>
    <w:rsid w:val="0076230D"/>
    <w:rsid w:val="00762336"/>
    <w:rsid w:val="00762339"/>
    <w:rsid w:val="0076235B"/>
    <w:rsid w:val="0076236D"/>
    <w:rsid w:val="007623B8"/>
    <w:rsid w:val="007623D4"/>
    <w:rsid w:val="007623EC"/>
    <w:rsid w:val="0076243B"/>
    <w:rsid w:val="00762449"/>
    <w:rsid w:val="00762451"/>
    <w:rsid w:val="0076246C"/>
    <w:rsid w:val="007624B3"/>
    <w:rsid w:val="007624C9"/>
    <w:rsid w:val="007624E1"/>
    <w:rsid w:val="00762509"/>
    <w:rsid w:val="00762538"/>
    <w:rsid w:val="00762539"/>
    <w:rsid w:val="00762541"/>
    <w:rsid w:val="00762560"/>
    <w:rsid w:val="00762563"/>
    <w:rsid w:val="00762575"/>
    <w:rsid w:val="007625C5"/>
    <w:rsid w:val="00762609"/>
    <w:rsid w:val="00762612"/>
    <w:rsid w:val="00762627"/>
    <w:rsid w:val="00762677"/>
    <w:rsid w:val="00762688"/>
    <w:rsid w:val="00762708"/>
    <w:rsid w:val="0076275E"/>
    <w:rsid w:val="0076277C"/>
    <w:rsid w:val="00762789"/>
    <w:rsid w:val="0076278F"/>
    <w:rsid w:val="00762793"/>
    <w:rsid w:val="00762891"/>
    <w:rsid w:val="007628FB"/>
    <w:rsid w:val="00762929"/>
    <w:rsid w:val="0076292B"/>
    <w:rsid w:val="007629A7"/>
    <w:rsid w:val="007629AE"/>
    <w:rsid w:val="007629BD"/>
    <w:rsid w:val="007629FE"/>
    <w:rsid w:val="00762A61"/>
    <w:rsid w:val="00762A69"/>
    <w:rsid w:val="00762A6E"/>
    <w:rsid w:val="00762A84"/>
    <w:rsid w:val="00762A93"/>
    <w:rsid w:val="00762AB1"/>
    <w:rsid w:val="00762AEF"/>
    <w:rsid w:val="00762B02"/>
    <w:rsid w:val="00762B1F"/>
    <w:rsid w:val="00762B45"/>
    <w:rsid w:val="00762B50"/>
    <w:rsid w:val="00762B8D"/>
    <w:rsid w:val="00762B94"/>
    <w:rsid w:val="00762B9B"/>
    <w:rsid w:val="00762B9D"/>
    <w:rsid w:val="00762BA6"/>
    <w:rsid w:val="00762BEC"/>
    <w:rsid w:val="00762BF4"/>
    <w:rsid w:val="00762BF8"/>
    <w:rsid w:val="00762C48"/>
    <w:rsid w:val="00762C75"/>
    <w:rsid w:val="00762C78"/>
    <w:rsid w:val="00762C88"/>
    <w:rsid w:val="00762C93"/>
    <w:rsid w:val="00762CDB"/>
    <w:rsid w:val="00762CEC"/>
    <w:rsid w:val="00762CF1"/>
    <w:rsid w:val="00762CF4"/>
    <w:rsid w:val="00762D13"/>
    <w:rsid w:val="00762D24"/>
    <w:rsid w:val="00762D38"/>
    <w:rsid w:val="00762DB2"/>
    <w:rsid w:val="00762E12"/>
    <w:rsid w:val="00762E14"/>
    <w:rsid w:val="00762E2B"/>
    <w:rsid w:val="00762E35"/>
    <w:rsid w:val="00762E58"/>
    <w:rsid w:val="00762E6D"/>
    <w:rsid w:val="00762E86"/>
    <w:rsid w:val="00762EA8"/>
    <w:rsid w:val="00762EBB"/>
    <w:rsid w:val="00762EE5"/>
    <w:rsid w:val="00762EE6"/>
    <w:rsid w:val="00762EEB"/>
    <w:rsid w:val="00762EF3"/>
    <w:rsid w:val="00762F3F"/>
    <w:rsid w:val="00762F44"/>
    <w:rsid w:val="00762F8B"/>
    <w:rsid w:val="00762FB3"/>
    <w:rsid w:val="00763035"/>
    <w:rsid w:val="00763066"/>
    <w:rsid w:val="0076307F"/>
    <w:rsid w:val="007630B6"/>
    <w:rsid w:val="007630DB"/>
    <w:rsid w:val="00763153"/>
    <w:rsid w:val="00763157"/>
    <w:rsid w:val="0076318C"/>
    <w:rsid w:val="007631B3"/>
    <w:rsid w:val="007631DC"/>
    <w:rsid w:val="0076324D"/>
    <w:rsid w:val="0076326F"/>
    <w:rsid w:val="0076328A"/>
    <w:rsid w:val="007632A2"/>
    <w:rsid w:val="007632AD"/>
    <w:rsid w:val="007632C7"/>
    <w:rsid w:val="007632E0"/>
    <w:rsid w:val="00763305"/>
    <w:rsid w:val="0076330C"/>
    <w:rsid w:val="00763328"/>
    <w:rsid w:val="00763387"/>
    <w:rsid w:val="007633BA"/>
    <w:rsid w:val="007633BC"/>
    <w:rsid w:val="0076340B"/>
    <w:rsid w:val="00763435"/>
    <w:rsid w:val="00763461"/>
    <w:rsid w:val="00763476"/>
    <w:rsid w:val="00763485"/>
    <w:rsid w:val="00763509"/>
    <w:rsid w:val="007635B0"/>
    <w:rsid w:val="007635F6"/>
    <w:rsid w:val="00763656"/>
    <w:rsid w:val="00763672"/>
    <w:rsid w:val="007636D0"/>
    <w:rsid w:val="007636E3"/>
    <w:rsid w:val="007636FB"/>
    <w:rsid w:val="00763705"/>
    <w:rsid w:val="00763746"/>
    <w:rsid w:val="00763753"/>
    <w:rsid w:val="00763773"/>
    <w:rsid w:val="0076377D"/>
    <w:rsid w:val="00763781"/>
    <w:rsid w:val="007637D0"/>
    <w:rsid w:val="00763863"/>
    <w:rsid w:val="00763877"/>
    <w:rsid w:val="00763893"/>
    <w:rsid w:val="007638E2"/>
    <w:rsid w:val="007638EE"/>
    <w:rsid w:val="007638F4"/>
    <w:rsid w:val="00763981"/>
    <w:rsid w:val="0076398F"/>
    <w:rsid w:val="007639BD"/>
    <w:rsid w:val="007639D1"/>
    <w:rsid w:val="007639E1"/>
    <w:rsid w:val="007639F2"/>
    <w:rsid w:val="00763A2B"/>
    <w:rsid w:val="00763A71"/>
    <w:rsid w:val="00763AD0"/>
    <w:rsid w:val="00763AEA"/>
    <w:rsid w:val="00763AF5"/>
    <w:rsid w:val="00763B53"/>
    <w:rsid w:val="00763B9D"/>
    <w:rsid w:val="00763BA6"/>
    <w:rsid w:val="00763C07"/>
    <w:rsid w:val="00763C27"/>
    <w:rsid w:val="00763C2D"/>
    <w:rsid w:val="00763C4C"/>
    <w:rsid w:val="00763C4E"/>
    <w:rsid w:val="00763C72"/>
    <w:rsid w:val="00763C74"/>
    <w:rsid w:val="00763C8F"/>
    <w:rsid w:val="00763D31"/>
    <w:rsid w:val="00763D60"/>
    <w:rsid w:val="00763DAC"/>
    <w:rsid w:val="00763DDF"/>
    <w:rsid w:val="00763DF0"/>
    <w:rsid w:val="00763E16"/>
    <w:rsid w:val="00763E42"/>
    <w:rsid w:val="00763E4C"/>
    <w:rsid w:val="00763E4D"/>
    <w:rsid w:val="00763E61"/>
    <w:rsid w:val="00763EB7"/>
    <w:rsid w:val="00763F3C"/>
    <w:rsid w:val="00763F3D"/>
    <w:rsid w:val="00763F4E"/>
    <w:rsid w:val="00763F51"/>
    <w:rsid w:val="00763F97"/>
    <w:rsid w:val="00763FDB"/>
    <w:rsid w:val="00764005"/>
    <w:rsid w:val="0076400E"/>
    <w:rsid w:val="0076403F"/>
    <w:rsid w:val="00764050"/>
    <w:rsid w:val="00764097"/>
    <w:rsid w:val="007640B5"/>
    <w:rsid w:val="00764130"/>
    <w:rsid w:val="00764154"/>
    <w:rsid w:val="00764164"/>
    <w:rsid w:val="0076416E"/>
    <w:rsid w:val="007641D2"/>
    <w:rsid w:val="007641FF"/>
    <w:rsid w:val="0076420E"/>
    <w:rsid w:val="00764228"/>
    <w:rsid w:val="00764263"/>
    <w:rsid w:val="007642E6"/>
    <w:rsid w:val="0076437D"/>
    <w:rsid w:val="007643A2"/>
    <w:rsid w:val="007643BA"/>
    <w:rsid w:val="007643D7"/>
    <w:rsid w:val="007643D8"/>
    <w:rsid w:val="007643EE"/>
    <w:rsid w:val="00764403"/>
    <w:rsid w:val="0076442F"/>
    <w:rsid w:val="00764454"/>
    <w:rsid w:val="00764473"/>
    <w:rsid w:val="00764487"/>
    <w:rsid w:val="007644AA"/>
    <w:rsid w:val="007644B2"/>
    <w:rsid w:val="007644E5"/>
    <w:rsid w:val="0076450E"/>
    <w:rsid w:val="00764511"/>
    <w:rsid w:val="00764536"/>
    <w:rsid w:val="0076453E"/>
    <w:rsid w:val="00764553"/>
    <w:rsid w:val="007645A7"/>
    <w:rsid w:val="007645C8"/>
    <w:rsid w:val="00764644"/>
    <w:rsid w:val="0076467D"/>
    <w:rsid w:val="0076467E"/>
    <w:rsid w:val="007646C9"/>
    <w:rsid w:val="007646E0"/>
    <w:rsid w:val="00764726"/>
    <w:rsid w:val="00764781"/>
    <w:rsid w:val="00764821"/>
    <w:rsid w:val="0076485B"/>
    <w:rsid w:val="007648BF"/>
    <w:rsid w:val="007648C7"/>
    <w:rsid w:val="007648C8"/>
    <w:rsid w:val="007648D5"/>
    <w:rsid w:val="007648DF"/>
    <w:rsid w:val="00764905"/>
    <w:rsid w:val="00764910"/>
    <w:rsid w:val="0076491E"/>
    <w:rsid w:val="0076493E"/>
    <w:rsid w:val="0076496C"/>
    <w:rsid w:val="00764972"/>
    <w:rsid w:val="007649C0"/>
    <w:rsid w:val="007649C5"/>
    <w:rsid w:val="007649E1"/>
    <w:rsid w:val="00764A6E"/>
    <w:rsid w:val="00764A9C"/>
    <w:rsid w:val="00764AA0"/>
    <w:rsid w:val="00764AE6"/>
    <w:rsid w:val="00764B17"/>
    <w:rsid w:val="00764B59"/>
    <w:rsid w:val="00764B79"/>
    <w:rsid w:val="00764B87"/>
    <w:rsid w:val="00764B9F"/>
    <w:rsid w:val="00764BDC"/>
    <w:rsid w:val="00764BF2"/>
    <w:rsid w:val="00764C37"/>
    <w:rsid w:val="00764C3C"/>
    <w:rsid w:val="00764C4A"/>
    <w:rsid w:val="00764CCB"/>
    <w:rsid w:val="00764CCC"/>
    <w:rsid w:val="00764D31"/>
    <w:rsid w:val="00764D48"/>
    <w:rsid w:val="00764D4C"/>
    <w:rsid w:val="00764D86"/>
    <w:rsid w:val="00764DA0"/>
    <w:rsid w:val="00764DFA"/>
    <w:rsid w:val="00764E27"/>
    <w:rsid w:val="00764E29"/>
    <w:rsid w:val="00764E98"/>
    <w:rsid w:val="00764EA4"/>
    <w:rsid w:val="00764EFE"/>
    <w:rsid w:val="00764F0A"/>
    <w:rsid w:val="00764F1B"/>
    <w:rsid w:val="00764F76"/>
    <w:rsid w:val="00764F8B"/>
    <w:rsid w:val="00764F97"/>
    <w:rsid w:val="00764FB8"/>
    <w:rsid w:val="00764FCE"/>
    <w:rsid w:val="00765000"/>
    <w:rsid w:val="0076500C"/>
    <w:rsid w:val="00765039"/>
    <w:rsid w:val="00765060"/>
    <w:rsid w:val="00765085"/>
    <w:rsid w:val="00765113"/>
    <w:rsid w:val="00765122"/>
    <w:rsid w:val="0076513B"/>
    <w:rsid w:val="0076513D"/>
    <w:rsid w:val="0076514E"/>
    <w:rsid w:val="00765172"/>
    <w:rsid w:val="007651F2"/>
    <w:rsid w:val="00765272"/>
    <w:rsid w:val="007652BB"/>
    <w:rsid w:val="007652D4"/>
    <w:rsid w:val="00765398"/>
    <w:rsid w:val="007653AA"/>
    <w:rsid w:val="0076542B"/>
    <w:rsid w:val="00765453"/>
    <w:rsid w:val="00765465"/>
    <w:rsid w:val="00765468"/>
    <w:rsid w:val="0076548A"/>
    <w:rsid w:val="007654AC"/>
    <w:rsid w:val="0076553C"/>
    <w:rsid w:val="007655F5"/>
    <w:rsid w:val="0076560A"/>
    <w:rsid w:val="00765616"/>
    <w:rsid w:val="0076561A"/>
    <w:rsid w:val="0076568F"/>
    <w:rsid w:val="0076577B"/>
    <w:rsid w:val="00765781"/>
    <w:rsid w:val="007657A5"/>
    <w:rsid w:val="007657B5"/>
    <w:rsid w:val="007657CE"/>
    <w:rsid w:val="007657F5"/>
    <w:rsid w:val="00765812"/>
    <w:rsid w:val="0076581E"/>
    <w:rsid w:val="00765843"/>
    <w:rsid w:val="0076584B"/>
    <w:rsid w:val="00765866"/>
    <w:rsid w:val="00765886"/>
    <w:rsid w:val="007658AD"/>
    <w:rsid w:val="007658BF"/>
    <w:rsid w:val="007658CC"/>
    <w:rsid w:val="00765914"/>
    <w:rsid w:val="00765915"/>
    <w:rsid w:val="00765916"/>
    <w:rsid w:val="00765946"/>
    <w:rsid w:val="00765990"/>
    <w:rsid w:val="00765992"/>
    <w:rsid w:val="007659C2"/>
    <w:rsid w:val="007659E2"/>
    <w:rsid w:val="00765A26"/>
    <w:rsid w:val="00765A49"/>
    <w:rsid w:val="00765A85"/>
    <w:rsid w:val="00765B5F"/>
    <w:rsid w:val="00765B89"/>
    <w:rsid w:val="00765B90"/>
    <w:rsid w:val="00765BB8"/>
    <w:rsid w:val="00765C0B"/>
    <w:rsid w:val="00765C41"/>
    <w:rsid w:val="00765C48"/>
    <w:rsid w:val="00765C8C"/>
    <w:rsid w:val="00765CC0"/>
    <w:rsid w:val="00765CE1"/>
    <w:rsid w:val="00765D23"/>
    <w:rsid w:val="00765D32"/>
    <w:rsid w:val="00765DE0"/>
    <w:rsid w:val="00765DE3"/>
    <w:rsid w:val="00765E1B"/>
    <w:rsid w:val="00765E1E"/>
    <w:rsid w:val="00765E57"/>
    <w:rsid w:val="00765E71"/>
    <w:rsid w:val="00765E88"/>
    <w:rsid w:val="00765EBF"/>
    <w:rsid w:val="00765EC5"/>
    <w:rsid w:val="00765ECA"/>
    <w:rsid w:val="00765F0D"/>
    <w:rsid w:val="00765F28"/>
    <w:rsid w:val="00765F4F"/>
    <w:rsid w:val="00765F9C"/>
    <w:rsid w:val="00765FA2"/>
    <w:rsid w:val="00765FBF"/>
    <w:rsid w:val="00765FDC"/>
    <w:rsid w:val="00765FDD"/>
    <w:rsid w:val="00766004"/>
    <w:rsid w:val="00766011"/>
    <w:rsid w:val="0076607B"/>
    <w:rsid w:val="007660D7"/>
    <w:rsid w:val="007660F6"/>
    <w:rsid w:val="00766112"/>
    <w:rsid w:val="0076611A"/>
    <w:rsid w:val="00766122"/>
    <w:rsid w:val="00766167"/>
    <w:rsid w:val="00766173"/>
    <w:rsid w:val="00766201"/>
    <w:rsid w:val="00766220"/>
    <w:rsid w:val="00766223"/>
    <w:rsid w:val="00766235"/>
    <w:rsid w:val="0076628E"/>
    <w:rsid w:val="007662B1"/>
    <w:rsid w:val="007662EF"/>
    <w:rsid w:val="00766363"/>
    <w:rsid w:val="00766389"/>
    <w:rsid w:val="007663A7"/>
    <w:rsid w:val="007663C2"/>
    <w:rsid w:val="007663E8"/>
    <w:rsid w:val="00766402"/>
    <w:rsid w:val="00766412"/>
    <w:rsid w:val="0076641F"/>
    <w:rsid w:val="0076645D"/>
    <w:rsid w:val="0076648B"/>
    <w:rsid w:val="0076648D"/>
    <w:rsid w:val="007664CC"/>
    <w:rsid w:val="007664DA"/>
    <w:rsid w:val="00766506"/>
    <w:rsid w:val="0076650E"/>
    <w:rsid w:val="00766542"/>
    <w:rsid w:val="0076656C"/>
    <w:rsid w:val="00766571"/>
    <w:rsid w:val="007665A7"/>
    <w:rsid w:val="007665CD"/>
    <w:rsid w:val="007665D5"/>
    <w:rsid w:val="007665FD"/>
    <w:rsid w:val="0076662F"/>
    <w:rsid w:val="0076667A"/>
    <w:rsid w:val="007666F5"/>
    <w:rsid w:val="00766700"/>
    <w:rsid w:val="00766727"/>
    <w:rsid w:val="00766735"/>
    <w:rsid w:val="00766739"/>
    <w:rsid w:val="00766752"/>
    <w:rsid w:val="00766769"/>
    <w:rsid w:val="00766782"/>
    <w:rsid w:val="007667AC"/>
    <w:rsid w:val="007667AD"/>
    <w:rsid w:val="007667E8"/>
    <w:rsid w:val="00766832"/>
    <w:rsid w:val="0076683D"/>
    <w:rsid w:val="0076685C"/>
    <w:rsid w:val="00766865"/>
    <w:rsid w:val="007668F4"/>
    <w:rsid w:val="0076691D"/>
    <w:rsid w:val="00766978"/>
    <w:rsid w:val="00766982"/>
    <w:rsid w:val="00766999"/>
    <w:rsid w:val="007669B3"/>
    <w:rsid w:val="00766A32"/>
    <w:rsid w:val="00766A57"/>
    <w:rsid w:val="00766A61"/>
    <w:rsid w:val="00766ADA"/>
    <w:rsid w:val="00766B15"/>
    <w:rsid w:val="00766B70"/>
    <w:rsid w:val="00766B8A"/>
    <w:rsid w:val="00766BAF"/>
    <w:rsid w:val="00766BDB"/>
    <w:rsid w:val="00766BE5"/>
    <w:rsid w:val="00766BEB"/>
    <w:rsid w:val="00766BFE"/>
    <w:rsid w:val="00766C1B"/>
    <w:rsid w:val="00766C2C"/>
    <w:rsid w:val="00766C6A"/>
    <w:rsid w:val="00766C83"/>
    <w:rsid w:val="00766CC3"/>
    <w:rsid w:val="00766D21"/>
    <w:rsid w:val="00766D3F"/>
    <w:rsid w:val="00766D5C"/>
    <w:rsid w:val="00766D73"/>
    <w:rsid w:val="00766D80"/>
    <w:rsid w:val="00766D96"/>
    <w:rsid w:val="00766DAF"/>
    <w:rsid w:val="00766DE0"/>
    <w:rsid w:val="00766E3D"/>
    <w:rsid w:val="00766E43"/>
    <w:rsid w:val="00766EB4"/>
    <w:rsid w:val="00766EC7"/>
    <w:rsid w:val="00766F9D"/>
    <w:rsid w:val="00766FA3"/>
    <w:rsid w:val="00766FA6"/>
    <w:rsid w:val="00766FB5"/>
    <w:rsid w:val="00766FB6"/>
    <w:rsid w:val="00766FD5"/>
    <w:rsid w:val="00766FDA"/>
    <w:rsid w:val="00766FE3"/>
    <w:rsid w:val="00766FF6"/>
    <w:rsid w:val="00767052"/>
    <w:rsid w:val="00767054"/>
    <w:rsid w:val="00767058"/>
    <w:rsid w:val="0076706A"/>
    <w:rsid w:val="0076706F"/>
    <w:rsid w:val="007670A5"/>
    <w:rsid w:val="007670C7"/>
    <w:rsid w:val="007670DF"/>
    <w:rsid w:val="007670F7"/>
    <w:rsid w:val="0076713A"/>
    <w:rsid w:val="00767144"/>
    <w:rsid w:val="0076714F"/>
    <w:rsid w:val="007671C1"/>
    <w:rsid w:val="00767237"/>
    <w:rsid w:val="00767255"/>
    <w:rsid w:val="00767267"/>
    <w:rsid w:val="00767272"/>
    <w:rsid w:val="0076728C"/>
    <w:rsid w:val="007672A3"/>
    <w:rsid w:val="007672AF"/>
    <w:rsid w:val="007672B9"/>
    <w:rsid w:val="007672CA"/>
    <w:rsid w:val="007672D0"/>
    <w:rsid w:val="007672D1"/>
    <w:rsid w:val="007672D2"/>
    <w:rsid w:val="007672D8"/>
    <w:rsid w:val="007672E9"/>
    <w:rsid w:val="0076731A"/>
    <w:rsid w:val="0076731F"/>
    <w:rsid w:val="0076734F"/>
    <w:rsid w:val="0076736D"/>
    <w:rsid w:val="007673E9"/>
    <w:rsid w:val="007673FA"/>
    <w:rsid w:val="00767408"/>
    <w:rsid w:val="0076740B"/>
    <w:rsid w:val="00767416"/>
    <w:rsid w:val="0076748F"/>
    <w:rsid w:val="007674A1"/>
    <w:rsid w:val="007674FE"/>
    <w:rsid w:val="007674FF"/>
    <w:rsid w:val="00767520"/>
    <w:rsid w:val="00767540"/>
    <w:rsid w:val="00767551"/>
    <w:rsid w:val="00767570"/>
    <w:rsid w:val="0076758B"/>
    <w:rsid w:val="007675AB"/>
    <w:rsid w:val="007675E2"/>
    <w:rsid w:val="007675F8"/>
    <w:rsid w:val="0076766C"/>
    <w:rsid w:val="00767675"/>
    <w:rsid w:val="0076767D"/>
    <w:rsid w:val="0076770E"/>
    <w:rsid w:val="00767714"/>
    <w:rsid w:val="00767717"/>
    <w:rsid w:val="00767740"/>
    <w:rsid w:val="00767753"/>
    <w:rsid w:val="007677B1"/>
    <w:rsid w:val="007677C8"/>
    <w:rsid w:val="007677D3"/>
    <w:rsid w:val="007677D4"/>
    <w:rsid w:val="007677EE"/>
    <w:rsid w:val="00767812"/>
    <w:rsid w:val="0076784E"/>
    <w:rsid w:val="00767852"/>
    <w:rsid w:val="00767855"/>
    <w:rsid w:val="0076787D"/>
    <w:rsid w:val="00767889"/>
    <w:rsid w:val="007678D3"/>
    <w:rsid w:val="007678F6"/>
    <w:rsid w:val="00767941"/>
    <w:rsid w:val="007679A8"/>
    <w:rsid w:val="007679E8"/>
    <w:rsid w:val="007679F5"/>
    <w:rsid w:val="00767A28"/>
    <w:rsid w:val="00767B09"/>
    <w:rsid w:val="00767B50"/>
    <w:rsid w:val="00767B56"/>
    <w:rsid w:val="00767B6E"/>
    <w:rsid w:val="00767B7C"/>
    <w:rsid w:val="00767BE2"/>
    <w:rsid w:val="00767C06"/>
    <w:rsid w:val="00767D0D"/>
    <w:rsid w:val="00767D48"/>
    <w:rsid w:val="00767D52"/>
    <w:rsid w:val="00767D94"/>
    <w:rsid w:val="00767DD5"/>
    <w:rsid w:val="00767E11"/>
    <w:rsid w:val="00767E42"/>
    <w:rsid w:val="00767EB9"/>
    <w:rsid w:val="00767EDE"/>
    <w:rsid w:val="00767F2B"/>
    <w:rsid w:val="00767F30"/>
    <w:rsid w:val="00767F4D"/>
    <w:rsid w:val="00767F73"/>
    <w:rsid w:val="00767F74"/>
    <w:rsid w:val="00767F9A"/>
    <w:rsid w:val="00767FA9"/>
    <w:rsid w:val="00767FD7"/>
    <w:rsid w:val="00770008"/>
    <w:rsid w:val="0077017F"/>
    <w:rsid w:val="00770185"/>
    <w:rsid w:val="007701B6"/>
    <w:rsid w:val="007701D6"/>
    <w:rsid w:val="0077021D"/>
    <w:rsid w:val="0077024C"/>
    <w:rsid w:val="0077025A"/>
    <w:rsid w:val="0077027D"/>
    <w:rsid w:val="007702B9"/>
    <w:rsid w:val="007702C3"/>
    <w:rsid w:val="007702FB"/>
    <w:rsid w:val="0077032A"/>
    <w:rsid w:val="0077032C"/>
    <w:rsid w:val="00770378"/>
    <w:rsid w:val="007703A5"/>
    <w:rsid w:val="007703C2"/>
    <w:rsid w:val="007704C9"/>
    <w:rsid w:val="00770509"/>
    <w:rsid w:val="00770533"/>
    <w:rsid w:val="0077056E"/>
    <w:rsid w:val="00770599"/>
    <w:rsid w:val="007705AA"/>
    <w:rsid w:val="007705BA"/>
    <w:rsid w:val="007705E5"/>
    <w:rsid w:val="00770609"/>
    <w:rsid w:val="007706D7"/>
    <w:rsid w:val="007706F5"/>
    <w:rsid w:val="00770708"/>
    <w:rsid w:val="007707EC"/>
    <w:rsid w:val="007707FA"/>
    <w:rsid w:val="00770880"/>
    <w:rsid w:val="00770922"/>
    <w:rsid w:val="00770954"/>
    <w:rsid w:val="0077096E"/>
    <w:rsid w:val="007709B7"/>
    <w:rsid w:val="007709C2"/>
    <w:rsid w:val="00770A4B"/>
    <w:rsid w:val="00770A52"/>
    <w:rsid w:val="00770AC4"/>
    <w:rsid w:val="00770AC9"/>
    <w:rsid w:val="00770B1C"/>
    <w:rsid w:val="00770B27"/>
    <w:rsid w:val="00770B42"/>
    <w:rsid w:val="00770B4F"/>
    <w:rsid w:val="00770BE6"/>
    <w:rsid w:val="00770C05"/>
    <w:rsid w:val="00770C0C"/>
    <w:rsid w:val="00770C3B"/>
    <w:rsid w:val="00770C44"/>
    <w:rsid w:val="00770C55"/>
    <w:rsid w:val="00770C81"/>
    <w:rsid w:val="00770C91"/>
    <w:rsid w:val="00770CAF"/>
    <w:rsid w:val="00770CD3"/>
    <w:rsid w:val="00770CF5"/>
    <w:rsid w:val="00770D15"/>
    <w:rsid w:val="00770D4C"/>
    <w:rsid w:val="00770D52"/>
    <w:rsid w:val="00770D6F"/>
    <w:rsid w:val="00770D85"/>
    <w:rsid w:val="00770D9B"/>
    <w:rsid w:val="00770DAA"/>
    <w:rsid w:val="00770DD3"/>
    <w:rsid w:val="00770DD4"/>
    <w:rsid w:val="00770DFD"/>
    <w:rsid w:val="00770DFE"/>
    <w:rsid w:val="00770E24"/>
    <w:rsid w:val="00770E57"/>
    <w:rsid w:val="00770E78"/>
    <w:rsid w:val="00770E94"/>
    <w:rsid w:val="00770E99"/>
    <w:rsid w:val="00770EF3"/>
    <w:rsid w:val="00770F49"/>
    <w:rsid w:val="00770F4B"/>
    <w:rsid w:val="00770F95"/>
    <w:rsid w:val="00770FA7"/>
    <w:rsid w:val="00770FB4"/>
    <w:rsid w:val="00770FE0"/>
    <w:rsid w:val="00770FFA"/>
    <w:rsid w:val="0077102C"/>
    <w:rsid w:val="00771086"/>
    <w:rsid w:val="0077108F"/>
    <w:rsid w:val="00771092"/>
    <w:rsid w:val="0077109D"/>
    <w:rsid w:val="007710F5"/>
    <w:rsid w:val="00771122"/>
    <w:rsid w:val="00771187"/>
    <w:rsid w:val="0077118B"/>
    <w:rsid w:val="007711E9"/>
    <w:rsid w:val="00771218"/>
    <w:rsid w:val="00771252"/>
    <w:rsid w:val="00771342"/>
    <w:rsid w:val="00771350"/>
    <w:rsid w:val="00771380"/>
    <w:rsid w:val="0077138D"/>
    <w:rsid w:val="00771391"/>
    <w:rsid w:val="00771398"/>
    <w:rsid w:val="007713C5"/>
    <w:rsid w:val="007713F3"/>
    <w:rsid w:val="0077147F"/>
    <w:rsid w:val="007714B3"/>
    <w:rsid w:val="007714F4"/>
    <w:rsid w:val="0077150C"/>
    <w:rsid w:val="00771546"/>
    <w:rsid w:val="00771555"/>
    <w:rsid w:val="0077156B"/>
    <w:rsid w:val="00771576"/>
    <w:rsid w:val="0077157A"/>
    <w:rsid w:val="00771607"/>
    <w:rsid w:val="00771631"/>
    <w:rsid w:val="00771644"/>
    <w:rsid w:val="00771677"/>
    <w:rsid w:val="00771695"/>
    <w:rsid w:val="007716D6"/>
    <w:rsid w:val="0077170E"/>
    <w:rsid w:val="00771745"/>
    <w:rsid w:val="00771751"/>
    <w:rsid w:val="00771765"/>
    <w:rsid w:val="00771777"/>
    <w:rsid w:val="007717B1"/>
    <w:rsid w:val="00771812"/>
    <w:rsid w:val="00771917"/>
    <w:rsid w:val="0077194A"/>
    <w:rsid w:val="00771951"/>
    <w:rsid w:val="00771971"/>
    <w:rsid w:val="00771975"/>
    <w:rsid w:val="0077199B"/>
    <w:rsid w:val="007719AF"/>
    <w:rsid w:val="007719CF"/>
    <w:rsid w:val="007719F2"/>
    <w:rsid w:val="007719FD"/>
    <w:rsid w:val="00771A74"/>
    <w:rsid w:val="00771AF9"/>
    <w:rsid w:val="00771B46"/>
    <w:rsid w:val="00771B54"/>
    <w:rsid w:val="00771B75"/>
    <w:rsid w:val="00771B8A"/>
    <w:rsid w:val="00771B92"/>
    <w:rsid w:val="00771BF7"/>
    <w:rsid w:val="00771C59"/>
    <w:rsid w:val="00771C7B"/>
    <w:rsid w:val="00771C83"/>
    <w:rsid w:val="00771CB5"/>
    <w:rsid w:val="00771D01"/>
    <w:rsid w:val="00771D1D"/>
    <w:rsid w:val="00771D1F"/>
    <w:rsid w:val="00771D49"/>
    <w:rsid w:val="00771D51"/>
    <w:rsid w:val="00771D87"/>
    <w:rsid w:val="00771DAF"/>
    <w:rsid w:val="00771DB7"/>
    <w:rsid w:val="00771DE2"/>
    <w:rsid w:val="00771E2C"/>
    <w:rsid w:val="00771E5F"/>
    <w:rsid w:val="00771EEC"/>
    <w:rsid w:val="00771F1B"/>
    <w:rsid w:val="00771F69"/>
    <w:rsid w:val="00771F74"/>
    <w:rsid w:val="00771F9B"/>
    <w:rsid w:val="00771FEA"/>
    <w:rsid w:val="00772042"/>
    <w:rsid w:val="00772096"/>
    <w:rsid w:val="007720A4"/>
    <w:rsid w:val="007720D5"/>
    <w:rsid w:val="007720FC"/>
    <w:rsid w:val="00772133"/>
    <w:rsid w:val="00772147"/>
    <w:rsid w:val="0077219B"/>
    <w:rsid w:val="007721B9"/>
    <w:rsid w:val="007721F2"/>
    <w:rsid w:val="0077224E"/>
    <w:rsid w:val="00772282"/>
    <w:rsid w:val="007722BF"/>
    <w:rsid w:val="00772323"/>
    <w:rsid w:val="00772350"/>
    <w:rsid w:val="00772354"/>
    <w:rsid w:val="0077236C"/>
    <w:rsid w:val="00772370"/>
    <w:rsid w:val="007723D1"/>
    <w:rsid w:val="007723D9"/>
    <w:rsid w:val="007723F8"/>
    <w:rsid w:val="00772432"/>
    <w:rsid w:val="0077244F"/>
    <w:rsid w:val="00772474"/>
    <w:rsid w:val="0077247D"/>
    <w:rsid w:val="00772485"/>
    <w:rsid w:val="007724AF"/>
    <w:rsid w:val="007724C6"/>
    <w:rsid w:val="0077251D"/>
    <w:rsid w:val="0077258C"/>
    <w:rsid w:val="007725B4"/>
    <w:rsid w:val="00772605"/>
    <w:rsid w:val="00772618"/>
    <w:rsid w:val="00772665"/>
    <w:rsid w:val="00772693"/>
    <w:rsid w:val="00772714"/>
    <w:rsid w:val="0077272E"/>
    <w:rsid w:val="00772762"/>
    <w:rsid w:val="0077278A"/>
    <w:rsid w:val="007727AC"/>
    <w:rsid w:val="007727CA"/>
    <w:rsid w:val="007727CB"/>
    <w:rsid w:val="007727D6"/>
    <w:rsid w:val="007727ED"/>
    <w:rsid w:val="00772821"/>
    <w:rsid w:val="0077286C"/>
    <w:rsid w:val="00772894"/>
    <w:rsid w:val="00772898"/>
    <w:rsid w:val="00772899"/>
    <w:rsid w:val="007728CC"/>
    <w:rsid w:val="007728F7"/>
    <w:rsid w:val="00772900"/>
    <w:rsid w:val="00772907"/>
    <w:rsid w:val="0077290E"/>
    <w:rsid w:val="007729CD"/>
    <w:rsid w:val="00772A02"/>
    <w:rsid w:val="00772ABB"/>
    <w:rsid w:val="00772AC8"/>
    <w:rsid w:val="00772B0B"/>
    <w:rsid w:val="00772B6A"/>
    <w:rsid w:val="00772B75"/>
    <w:rsid w:val="00772B90"/>
    <w:rsid w:val="00772BC9"/>
    <w:rsid w:val="00772C18"/>
    <w:rsid w:val="00772C4A"/>
    <w:rsid w:val="00772C64"/>
    <w:rsid w:val="00772C6C"/>
    <w:rsid w:val="00772CDA"/>
    <w:rsid w:val="00772CF1"/>
    <w:rsid w:val="00772CFC"/>
    <w:rsid w:val="00772D29"/>
    <w:rsid w:val="00772D8C"/>
    <w:rsid w:val="00772DBF"/>
    <w:rsid w:val="00772DC3"/>
    <w:rsid w:val="00772DF0"/>
    <w:rsid w:val="00772E25"/>
    <w:rsid w:val="00772E62"/>
    <w:rsid w:val="00772E6E"/>
    <w:rsid w:val="00772E73"/>
    <w:rsid w:val="00772EC5"/>
    <w:rsid w:val="00772F21"/>
    <w:rsid w:val="00772F48"/>
    <w:rsid w:val="00772F56"/>
    <w:rsid w:val="00772FC9"/>
    <w:rsid w:val="0077301A"/>
    <w:rsid w:val="00773035"/>
    <w:rsid w:val="007730DF"/>
    <w:rsid w:val="00773114"/>
    <w:rsid w:val="007731AC"/>
    <w:rsid w:val="007731D6"/>
    <w:rsid w:val="0077321F"/>
    <w:rsid w:val="00773245"/>
    <w:rsid w:val="00773250"/>
    <w:rsid w:val="00773256"/>
    <w:rsid w:val="0077326B"/>
    <w:rsid w:val="007732E4"/>
    <w:rsid w:val="007732EC"/>
    <w:rsid w:val="00773355"/>
    <w:rsid w:val="0077337B"/>
    <w:rsid w:val="007733A4"/>
    <w:rsid w:val="007733C1"/>
    <w:rsid w:val="007733DA"/>
    <w:rsid w:val="00773441"/>
    <w:rsid w:val="00773442"/>
    <w:rsid w:val="00773459"/>
    <w:rsid w:val="0077348C"/>
    <w:rsid w:val="00773495"/>
    <w:rsid w:val="007734B7"/>
    <w:rsid w:val="007734E0"/>
    <w:rsid w:val="00773509"/>
    <w:rsid w:val="0077351B"/>
    <w:rsid w:val="00773531"/>
    <w:rsid w:val="0077358C"/>
    <w:rsid w:val="007735AB"/>
    <w:rsid w:val="007735CD"/>
    <w:rsid w:val="007735D6"/>
    <w:rsid w:val="007735D8"/>
    <w:rsid w:val="007735EF"/>
    <w:rsid w:val="00773605"/>
    <w:rsid w:val="00773613"/>
    <w:rsid w:val="00773684"/>
    <w:rsid w:val="00773689"/>
    <w:rsid w:val="00773695"/>
    <w:rsid w:val="007736A4"/>
    <w:rsid w:val="007736A7"/>
    <w:rsid w:val="007736D4"/>
    <w:rsid w:val="007736FD"/>
    <w:rsid w:val="0077372C"/>
    <w:rsid w:val="00773762"/>
    <w:rsid w:val="00773765"/>
    <w:rsid w:val="0077379B"/>
    <w:rsid w:val="007737A7"/>
    <w:rsid w:val="007737F1"/>
    <w:rsid w:val="0077385F"/>
    <w:rsid w:val="007738E2"/>
    <w:rsid w:val="007738EA"/>
    <w:rsid w:val="007738FF"/>
    <w:rsid w:val="0077391A"/>
    <w:rsid w:val="0077392E"/>
    <w:rsid w:val="0077394E"/>
    <w:rsid w:val="0077394F"/>
    <w:rsid w:val="00773952"/>
    <w:rsid w:val="0077397A"/>
    <w:rsid w:val="007739ED"/>
    <w:rsid w:val="007739F8"/>
    <w:rsid w:val="00773A55"/>
    <w:rsid w:val="00773A68"/>
    <w:rsid w:val="00773A76"/>
    <w:rsid w:val="00773AE1"/>
    <w:rsid w:val="00773AEC"/>
    <w:rsid w:val="00773B0E"/>
    <w:rsid w:val="00773B2A"/>
    <w:rsid w:val="00773BAD"/>
    <w:rsid w:val="00773BC8"/>
    <w:rsid w:val="00773BE2"/>
    <w:rsid w:val="00773BE9"/>
    <w:rsid w:val="00773BF6"/>
    <w:rsid w:val="00773C04"/>
    <w:rsid w:val="00773C64"/>
    <w:rsid w:val="00773C7D"/>
    <w:rsid w:val="00773C7E"/>
    <w:rsid w:val="00773CBD"/>
    <w:rsid w:val="00773CD3"/>
    <w:rsid w:val="00773CE4"/>
    <w:rsid w:val="00773D46"/>
    <w:rsid w:val="00773DA7"/>
    <w:rsid w:val="00773DDC"/>
    <w:rsid w:val="00773E02"/>
    <w:rsid w:val="00773E2C"/>
    <w:rsid w:val="00773E7F"/>
    <w:rsid w:val="00773EA7"/>
    <w:rsid w:val="00773F55"/>
    <w:rsid w:val="00773F98"/>
    <w:rsid w:val="00773FB9"/>
    <w:rsid w:val="00773FE9"/>
    <w:rsid w:val="00773FFB"/>
    <w:rsid w:val="00774054"/>
    <w:rsid w:val="0077409C"/>
    <w:rsid w:val="007740F9"/>
    <w:rsid w:val="0077411E"/>
    <w:rsid w:val="00774124"/>
    <w:rsid w:val="00774134"/>
    <w:rsid w:val="007741B2"/>
    <w:rsid w:val="007741CD"/>
    <w:rsid w:val="00774220"/>
    <w:rsid w:val="00774291"/>
    <w:rsid w:val="007742B3"/>
    <w:rsid w:val="007742E5"/>
    <w:rsid w:val="00774316"/>
    <w:rsid w:val="0077433B"/>
    <w:rsid w:val="00774349"/>
    <w:rsid w:val="0077435B"/>
    <w:rsid w:val="007743B3"/>
    <w:rsid w:val="007743B8"/>
    <w:rsid w:val="00774424"/>
    <w:rsid w:val="00774474"/>
    <w:rsid w:val="007744A0"/>
    <w:rsid w:val="007744F5"/>
    <w:rsid w:val="007745B2"/>
    <w:rsid w:val="007745BC"/>
    <w:rsid w:val="007745F3"/>
    <w:rsid w:val="007745F8"/>
    <w:rsid w:val="00774670"/>
    <w:rsid w:val="0077467A"/>
    <w:rsid w:val="0077467C"/>
    <w:rsid w:val="0077469C"/>
    <w:rsid w:val="007746C4"/>
    <w:rsid w:val="007746F9"/>
    <w:rsid w:val="00774763"/>
    <w:rsid w:val="0077479C"/>
    <w:rsid w:val="007747B7"/>
    <w:rsid w:val="00774802"/>
    <w:rsid w:val="0077480C"/>
    <w:rsid w:val="0077484A"/>
    <w:rsid w:val="00774851"/>
    <w:rsid w:val="00774882"/>
    <w:rsid w:val="0077488D"/>
    <w:rsid w:val="007748C4"/>
    <w:rsid w:val="007748D9"/>
    <w:rsid w:val="0077490B"/>
    <w:rsid w:val="0077490D"/>
    <w:rsid w:val="0077491C"/>
    <w:rsid w:val="0077492F"/>
    <w:rsid w:val="00774961"/>
    <w:rsid w:val="00774962"/>
    <w:rsid w:val="0077497E"/>
    <w:rsid w:val="007749BC"/>
    <w:rsid w:val="007749BE"/>
    <w:rsid w:val="00774A23"/>
    <w:rsid w:val="00774A3A"/>
    <w:rsid w:val="00774A4F"/>
    <w:rsid w:val="00774A55"/>
    <w:rsid w:val="00774A9E"/>
    <w:rsid w:val="00774AC5"/>
    <w:rsid w:val="00774AC9"/>
    <w:rsid w:val="00774B0F"/>
    <w:rsid w:val="00774B14"/>
    <w:rsid w:val="00774B29"/>
    <w:rsid w:val="00774B62"/>
    <w:rsid w:val="00774B6A"/>
    <w:rsid w:val="00774B6B"/>
    <w:rsid w:val="00774B9C"/>
    <w:rsid w:val="00774BC1"/>
    <w:rsid w:val="00774BED"/>
    <w:rsid w:val="00774BF7"/>
    <w:rsid w:val="00774C3A"/>
    <w:rsid w:val="00774DAE"/>
    <w:rsid w:val="00774DC7"/>
    <w:rsid w:val="00774DCE"/>
    <w:rsid w:val="00774E06"/>
    <w:rsid w:val="00774E1E"/>
    <w:rsid w:val="00774E84"/>
    <w:rsid w:val="00774E93"/>
    <w:rsid w:val="00774EB5"/>
    <w:rsid w:val="00774ECE"/>
    <w:rsid w:val="00774EDE"/>
    <w:rsid w:val="00774F35"/>
    <w:rsid w:val="00774F51"/>
    <w:rsid w:val="00774F56"/>
    <w:rsid w:val="00774F6F"/>
    <w:rsid w:val="00774F7F"/>
    <w:rsid w:val="00774FC4"/>
    <w:rsid w:val="00774FCD"/>
    <w:rsid w:val="00774FFB"/>
    <w:rsid w:val="0077501C"/>
    <w:rsid w:val="007750A7"/>
    <w:rsid w:val="00775134"/>
    <w:rsid w:val="00775143"/>
    <w:rsid w:val="00775147"/>
    <w:rsid w:val="00775190"/>
    <w:rsid w:val="00775194"/>
    <w:rsid w:val="007751A2"/>
    <w:rsid w:val="007751A5"/>
    <w:rsid w:val="007751F9"/>
    <w:rsid w:val="00775221"/>
    <w:rsid w:val="00775287"/>
    <w:rsid w:val="007752D1"/>
    <w:rsid w:val="007752E6"/>
    <w:rsid w:val="007752E9"/>
    <w:rsid w:val="0077535B"/>
    <w:rsid w:val="0077538C"/>
    <w:rsid w:val="007753A5"/>
    <w:rsid w:val="007753AC"/>
    <w:rsid w:val="007753B8"/>
    <w:rsid w:val="007753BE"/>
    <w:rsid w:val="007753D5"/>
    <w:rsid w:val="007753E4"/>
    <w:rsid w:val="007753F3"/>
    <w:rsid w:val="007753FF"/>
    <w:rsid w:val="00775417"/>
    <w:rsid w:val="007754C6"/>
    <w:rsid w:val="007754C7"/>
    <w:rsid w:val="00775529"/>
    <w:rsid w:val="00775548"/>
    <w:rsid w:val="00775560"/>
    <w:rsid w:val="00775563"/>
    <w:rsid w:val="0077556A"/>
    <w:rsid w:val="0077557F"/>
    <w:rsid w:val="007755C6"/>
    <w:rsid w:val="007755DD"/>
    <w:rsid w:val="007755EC"/>
    <w:rsid w:val="007755F5"/>
    <w:rsid w:val="00775620"/>
    <w:rsid w:val="00775621"/>
    <w:rsid w:val="00775622"/>
    <w:rsid w:val="00775665"/>
    <w:rsid w:val="00775698"/>
    <w:rsid w:val="007756B9"/>
    <w:rsid w:val="007756F2"/>
    <w:rsid w:val="007756F6"/>
    <w:rsid w:val="007756FD"/>
    <w:rsid w:val="0077573B"/>
    <w:rsid w:val="0077574E"/>
    <w:rsid w:val="007757C1"/>
    <w:rsid w:val="00775821"/>
    <w:rsid w:val="00775866"/>
    <w:rsid w:val="007758C5"/>
    <w:rsid w:val="007758E3"/>
    <w:rsid w:val="007758FB"/>
    <w:rsid w:val="00775902"/>
    <w:rsid w:val="0077590D"/>
    <w:rsid w:val="0077591A"/>
    <w:rsid w:val="00775928"/>
    <w:rsid w:val="00775941"/>
    <w:rsid w:val="00775953"/>
    <w:rsid w:val="00775978"/>
    <w:rsid w:val="0077598E"/>
    <w:rsid w:val="007759EC"/>
    <w:rsid w:val="007759F4"/>
    <w:rsid w:val="007759FA"/>
    <w:rsid w:val="00775A5D"/>
    <w:rsid w:val="00775ABD"/>
    <w:rsid w:val="00775AD3"/>
    <w:rsid w:val="00775AE3"/>
    <w:rsid w:val="00775AFD"/>
    <w:rsid w:val="00775B01"/>
    <w:rsid w:val="00775B6A"/>
    <w:rsid w:val="00775B70"/>
    <w:rsid w:val="00775BBE"/>
    <w:rsid w:val="00775BE0"/>
    <w:rsid w:val="00775BF7"/>
    <w:rsid w:val="00775C21"/>
    <w:rsid w:val="00775C90"/>
    <w:rsid w:val="00775CE7"/>
    <w:rsid w:val="00775D28"/>
    <w:rsid w:val="00775D29"/>
    <w:rsid w:val="00775D48"/>
    <w:rsid w:val="00775D4D"/>
    <w:rsid w:val="00775D9D"/>
    <w:rsid w:val="00775DB6"/>
    <w:rsid w:val="00775DF2"/>
    <w:rsid w:val="00775E13"/>
    <w:rsid w:val="00775E6F"/>
    <w:rsid w:val="00775E78"/>
    <w:rsid w:val="00775E85"/>
    <w:rsid w:val="00775EB9"/>
    <w:rsid w:val="00775F45"/>
    <w:rsid w:val="00775F59"/>
    <w:rsid w:val="00775F5D"/>
    <w:rsid w:val="00775FBD"/>
    <w:rsid w:val="00775FCD"/>
    <w:rsid w:val="00775FD1"/>
    <w:rsid w:val="00775FFA"/>
    <w:rsid w:val="00775FFC"/>
    <w:rsid w:val="00776001"/>
    <w:rsid w:val="00776004"/>
    <w:rsid w:val="00776020"/>
    <w:rsid w:val="00776073"/>
    <w:rsid w:val="007760D6"/>
    <w:rsid w:val="007760F1"/>
    <w:rsid w:val="0077611B"/>
    <w:rsid w:val="00776190"/>
    <w:rsid w:val="007761A9"/>
    <w:rsid w:val="00776298"/>
    <w:rsid w:val="0077629D"/>
    <w:rsid w:val="007762DC"/>
    <w:rsid w:val="00776335"/>
    <w:rsid w:val="0077636B"/>
    <w:rsid w:val="007763DA"/>
    <w:rsid w:val="00776421"/>
    <w:rsid w:val="007764BD"/>
    <w:rsid w:val="00776509"/>
    <w:rsid w:val="0077652B"/>
    <w:rsid w:val="00776532"/>
    <w:rsid w:val="00776587"/>
    <w:rsid w:val="007765C0"/>
    <w:rsid w:val="007765C4"/>
    <w:rsid w:val="007765DF"/>
    <w:rsid w:val="00776616"/>
    <w:rsid w:val="0077664F"/>
    <w:rsid w:val="007766C5"/>
    <w:rsid w:val="007766C6"/>
    <w:rsid w:val="007766DE"/>
    <w:rsid w:val="007766F4"/>
    <w:rsid w:val="00776716"/>
    <w:rsid w:val="00776750"/>
    <w:rsid w:val="00776761"/>
    <w:rsid w:val="007767E2"/>
    <w:rsid w:val="007767EA"/>
    <w:rsid w:val="007767EF"/>
    <w:rsid w:val="00776804"/>
    <w:rsid w:val="0077681C"/>
    <w:rsid w:val="0077686F"/>
    <w:rsid w:val="00776878"/>
    <w:rsid w:val="00776886"/>
    <w:rsid w:val="007768A2"/>
    <w:rsid w:val="007768AF"/>
    <w:rsid w:val="007768C1"/>
    <w:rsid w:val="00776956"/>
    <w:rsid w:val="0077698A"/>
    <w:rsid w:val="007769BC"/>
    <w:rsid w:val="00776A5B"/>
    <w:rsid w:val="00776A9D"/>
    <w:rsid w:val="00776B0E"/>
    <w:rsid w:val="00776BAF"/>
    <w:rsid w:val="00776BDD"/>
    <w:rsid w:val="00776BE0"/>
    <w:rsid w:val="00776C17"/>
    <w:rsid w:val="00776C37"/>
    <w:rsid w:val="00776CA0"/>
    <w:rsid w:val="00776CE5"/>
    <w:rsid w:val="00776CF4"/>
    <w:rsid w:val="00776D2D"/>
    <w:rsid w:val="00776DBE"/>
    <w:rsid w:val="00776E02"/>
    <w:rsid w:val="00776E05"/>
    <w:rsid w:val="00776E9D"/>
    <w:rsid w:val="00776EDB"/>
    <w:rsid w:val="00776F34"/>
    <w:rsid w:val="00776F38"/>
    <w:rsid w:val="00776F5C"/>
    <w:rsid w:val="00776FC7"/>
    <w:rsid w:val="00777005"/>
    <w:rsid w:val="00777036"/>
    <w:rsid w:val="00777098"/>
    <w:rsid w:val="007770C2"/>
    <w:rsid w:val="007770F3"/>
    <w:rsid w:val="00777124"/>
    <w:rsid w:val="0077713C"/>
    <w:rsid w:val="0077715E"/>
    <w:rsid w:val="00777166"/>
    <w:rsid w:val="007771A1"/>
    <w:rsid w:val="007771BB"/>
    <w:rsid w:val="007771C1"/>
    <w:rsid w:val="00777290"/>
    <w:rsid w:val="007772A6"/>
    <w:rsid w:val="007772C4"/>
    <w:rsid w:val="00777311"/>
    <w:rsid w:val="0077731F"/>
    <w:rsid w:val="00777338"/>
    <w:rsid w:val="0077734C"/>
    <w:rsid w:val="007773A1"/>
    <w:rsid w:val="007773ED"/>
    <w:rsid w:val="00777430"/>
    <w:rsid w:val="00777446"/>
    <w:rsid w:val="00777455"/>
    <w:rsid w:val="00777464"/>
    <w:rsid w:val="00777491"/>
    <w:rsid w:val="007774BB"/>
    <w:rsid w:val="007774E0"/>
    <w:rsid w:val="0077751E"/>
    <w:rsid w:val="0077759E"/>
    <w:rsid w:val="0077760D"/>
    <w:rsid w:val="00777611"/>
    <w:rsid w:val="0077763D"/>
    <w:rsid w:val="0077767B"/>
    <w:rsid w:val="00777686"/>
    <w:rsid w:val="007776AA"/>
    <w:rsid w:val="007776C9"/>
    <w:rsid w:val="007776FE"/>
    <w:rsid w:val="0077774E"/>
    <w:rsid w:val="00777764"/>
    <w:rsid w:val="00777784"/>
    <w:rsid w:val="007777B4"/>
    <w:rsid w:val="007777C2"/>
    <w:rsid w:val="00777854"/>
    <w:rsid w:val="00777866"/>
    <w:rsid w:val="00777875"/>
    <w:rsid w:val="00777877"/>
    <w:rsid w:val="0077788B"/>
    <w:rsid w:val="007778AB"/>
    <w:rsid w:val="00777925"/>
    <w:rsid w:val="00777949"/>
    <w:rsid w:val="0077795B"/>
    <w:rsid w:val="0077798E"/>
    <w:rsid w:val="00777A3A"/>
    <w:rsid w:val="00777A51"/>
    <w:rsid w:val="00777A71"/>
    <w:rsid w:val="00777A92"/>
    <w:rsid w:val="00777AA5"/>
    <w:rsid w:val="00777AC3"/>
    <w:rsid w:val="00777AFF"/>
    <w:rsid w:val="00777B19"/>
    <w:rsid w:val="00777B43"/>
    <w:rsid w:val="00777B8A"/>
    <w:rsid w:val="00777BA1"/>
    <w:rsid w:val="00777BAF"/>
    <w:rsid w:val="00777C03"/>
    <w:rsid w:val="00777C06"/>
    <w:rsid w:val="00777C47"/>
    <w:rsid w:val="00777C8A"/>
    <w:rsid w:val="00777CE1"/>
    <w:rsid w:val="00777D03"/>
    <w:rsid w:val="00777D3C"/>
    <w:rsid w:val="00777D46"/>
    <w:rsid w:val="00777D90"/>
    <w:rsid w:val="00777D98"/>
    <w:rsid w:val="00777DC7"/>
    <w:rsid w:val="00777E38"/>
    <w:rsid w:val="00777E53"/>
    <w:rsid w:val="00777E82"/>
    <w:rsid w:val="00777EA0"/>
    <w:rsid w:val="00777EE1"/>
    <w:rsid w:val="00777EF9"/>
    <w:rsid w:val="00777F01"/>
    <w:rsid w:val="00777F0D"/>
    <w:rsid w:val="00777F48"/>
    <w:rsid w:val="00777FB5"/>
    <w:rsid w:val="00777FD8"/>
    <w:rsid w:val="00777FF8"/>
    <w:rsid w:val="00777FFA"/>
    <w:rsid w:val="007792D1"/>
    <w:rsid w:val="00780005"/>
    <w:rsid w:val="0078001D"/>
    <w:rsid w:val="0078002F"/>
    <w:rsid w:val="007800BE"/>
    <w:rsid w:val="0078010C"/>
    <w:rsid w:val="007801A2"/>
    <w:rsid w:val="007801C4"/>
    <w:rsid w:val="007801CC"/>
    <w:rsid w:val="007801DD"/>
    <w:rsid w:val="0078021C"/>
    <w:rsid w:val="00780259"/>
    <w:rsid w:val="0078027C"/>
    <w:rsid w:val="007802AA"/>
    <w:rsid w:val="007802D1"/>
    <w:rsid w:val="007802DE"/>
    <w:rsid w:val="007802ED"/>
    <w:rsid w:val="00780313"/>
    <w:rsid w:val="00780325"/>
    <w:rsid w:val="00780359"/>
    <w:rsid w:val="007803AB"/>
    <w:rsid w:val="007803EF"/>
    <w:rsid w:val="00780429"/>
    <w:rsid w:val="00780463"/>
    <w:rsid w:val="00780479"/>
    <w:rsid w:val="0078056E"/>
    <w:rsid w:val="00780618"/>
    <w:rsid w:val="00780629"/>
    <w:rsid w:val="00780677"/>
    <w:rsid w:val="0078067E"/>
    <w:rsid w:val="0078072A"/>
    <w:rsid w:val="00780745"/>
    <w:rsid w:val="00780754"/>
    <w:rsid w:val="007807C3"/>
    <w:rsid w:val="00780868"/>
    <w:rsid w:val="00780872"/>
    <w:rsid w:val="0078088B"/>
    <w:rsid w:val="00780896"/>
    <w:rsid w:val="0078092A"/>
    <w:rsid w:val="00780974"/>
    <w:rsid w:val="00780996"/>
    <w:rsid w:val="007809AD"/>
    <w:rsid w:val="007809B1"/>
    <w:rsid w:val="00780A29"/>
    <w:rsid w:val="00780AB7"/>
    <w:rsid w:val="00780AC8"/>
    <w:rsid w:val="00780AD8"/>
    <w:rsid w:val="00780AEB"/>
    <w:rsid w:val="00780B17"/>
    <w:rsid w:val="00780BBC"/>
    <w:rsid w:val="00780BEC"/>
    <w:rsid w:val="00780BED"/>
    <w:rsid w:val="00780BFF"/>
    <w:rsid w:val="00780C18"/>
    <w:rsid w:val="00780C24"/>
    <w:rsid w:val="00780C3B"/>
    <w:rsid w:val="00780C58"/>
    <w:rsid w:val="00780C59"/>
    <w:rsid w:val="00780C6F"/>
    <w:rsid w:val="00780CBA"/>
    <w:rsid w:val="00780CE0"/>
    <w:rsid w:val="00780CE8"/>
    <w:rsid w:val="00780CF7"/>
    <w:rsid w:val="00780D3E"/>
    <w:rsid w:val="00780DAA"/>
    <w:rsid w:val="00780DB4"/>
    <w:rsid w:val="00780DF7"/>
    <w:rsid w:val="00780E3D"/>
    <w:rsid w:val="00780E60"/>
    <w:rsid w:val="00780E8E"/>
    <w:rsid w:val="00780EE8"/>
    <w:rsid w:val="00780EED"/>
    <w:rsid w:val="00780F33"/>
    <w:rsid w:val="00780F3F"/>
    <w:rsid w:val="00780F5D"/>
    <w:rsid w:val="00780F79"/>
    <w:rsid w:val="00780FC3"/>
    <w:rsid w:val="0078103B"/>
    <w:rsid w:val="0078103E"/>
    <w:rsid w:val="00781069"/>
    <w:rsid w:val="00781088"/>
    <w:rsid w:val="0078108C"/>
    <w:rsid w:val="0078113B"/>
    <w:rsid w:val="0078114C"/>
    <w:rsid w:val="00781155"/>
    <w:rsid w:val="00781183"/>
    <w:rsid w:val="00781247"/>
    <w:rsid w:val="00781369"/>
    <w:rsid w:val="007813B8"/>
    <w:rsid w:val="007813CF"/>
    <w:rsid w:val="007813FF"/>
    <w:rsid w:val="00781422"/>
    <w:rsid w:val="0078142F"/>
    <w:rsid w:val="00781433"/>
    <w:rsid w:val="00781453"/>
    <w:rsid w:val="0078146E"/>
    <w:rsid w:val="00781486"/>
    <w:rsid w:val="007814C7"/>
    <w:rsid w:val="00781507"/>
    <w:rsid w:val="0078155C"/>
    <w:rsid w:val="007815F6"/>
    <w:rsid w:val="00781603"/>
    <w:rsid w:val="00781658"/>
    <w:rsid w:val="00781661"/>
    <w:rsid w:val="00781679"/>
    <w:rsid w:val="007816FA"/>
    <w:rsid w:val="007816FD"/>
    <w:rsid w:val="00781711"/>
    <w:rsid w:val="0078176F"/>
    <w:rsid w:val="0078177C"/>
    <w:rsid w:val="007817A2"/>
    <w:rsid w:val="007817A3"/>
    <w:rsid w:val="007817B4"/>
    <w:rsid w:val="007817C5"/>
    <w:rsid w:val="0078181A"/>
    <w:rsid w:val="0078191E"/>
    <w:rsid w:val="00781926"/>
    <w:rsid w:val="0078197C"/>
    <w:rsid w:val="00781989"/>
    <w:rsid w:val="007819CB"/>
    <w:rsid w:val="007819EE"/>
    <w:rsid w:val="007819FE"/>
    <w:rsid w:val="00781A19"/>
    <w:rsid w:val="00781A32"/>
    <w:rsid w:val="00781A4C"/>
    <w:rsid w:val="00781A57"/>
    <w:rsid w:val="00781A5B"/>
    <w:rsid w:val="00781AB6"/>
    <w:rsid w:val="00781AC6"/>
    <w:rsid w:val="00781B1C"/>
    <w:rsid w:val="00781B5E"/>
    <w:rsid w:val="00781B75"/>
    <w:rsid w:val="00781BA5"/>
    <w:rsid w:val="00781C00"/>
    <w:rsid w:val="00781C17"/>
    <w:rsid w:val="00781C2B"/>
    <w:rsid w:val="00781C38"/>
    <w:rsid w:val="00781C68"/>
    <w:rsid w:val="00781CC1"/>
    <w:rsid w:val="00781CF8"/>
    <w:rsid w:val="00781D2B"/>
    <w:rsid w:val="00781D3F"/>
    <w:rsid w:val="00781DA0"/>
    <w:rsid w:val="00781DDC"/>
    <w:rsid w:val="00781DDF"/>
    <w:rsid w:val="00781E2A"/>
    <w:rsid w:val="00781E78"/>
    <w:rsid w:val="00781E7F"/>
    <w:rsid w:val="00781E88"/>
    <w:rsid w:val="00781EA2"/>
    <w:rsid w:val="00781F55"/>
    <w:rsid w:val="00781F95"/>
    <w:rsid w:val="00781FC7"/>
    <w:rsid w:val="0078201E"/>
    <w:rsid w:val="00782067"/>
    <w:rsid w:val="007820BF"/>
    <w:rsid w:val="007820C4"/>
    <w:rsid w:val="007820FB"/>
    <w:rsid w:val="00782101"/>
    <w:rsid w:val="00782138"/>
    <w:rsid w:val="0078217C"/>
    <w:rsid w:val="0078219F"/>
    <w:rsid w:val="007821BB"/>
    <w:rsid w:val="007821D7"/>
    <w:rsid w:val="0078220C"/>
    <w:rsid w:val="00782215"/>
    <w:rsid w:val="00782227"/>
    <w:rsid w:val="00782284"/>
    <w:rsid w:val="007822B3"/>
    <w:rsid w:val="007822EF"/>
    <w:rsid w:val="007822F4"/>
    <w:rsid w:val="00782366"/>
    <w:rsid w:val="00782367"/>
    <w:rsid w:val="0078236F"/>
    <w:rsid w:val="007823F7"/>
    <w:rsid w:val="00782408"/>
    <w:rsid w:val="0078245A"/>
    <w:rsid w:val="0078246F"/>
    <w:rsid w:val="007824A5"/>
    <w:rsid w:val="007824B5"/>
    <w:rsid w:val="007824E4"/>
    <w:rsid w:val="00782599"/>
    <w:rsid w:val="007825DB"/>
    <w:rsid w:val="0078263C"/>
    <w:rsid w:val="0078268A"/>
    <w:rsid w:val="007826D9"/>
    <w:rsid w:val="007826DA"/>
    <w:rsid w:val="0078273B"/>
    <w:rsid w:val="00782749"/>
    <w:rsid w:val="00782781"/>
    <w:rsid w:val="007827C8"/>
    <w:rsid w:val="0078281F"/>
    <w:rsid w:val="00782873"/>
    <w:rsid w:val="00782894"/>
    <w:rsid w:val="007828F3"/>
    <w:rsid w:val="00782923"/>
    <w:rsid w:val="00782975"/>
    <w:rsid w:val="00782995"/>
    <w:rsid w:val="007829B5"/>
    <w:rsid w:val="007829D1"/>
    <w:rsid w:val="007829EA"/>
    <w:rsid w:val="00782A8B"/>
    <w:rsid w:val="00782AE2"/>
    <w:rsid w:val="00782AEE"/>
    <w:rsid w:val="00782B16"/>
    <w:rsid w:val="00782C0E"/>
    <w:rsid w:val="00782C9E"/>
    <w:rsid w:val="00782CA4"/>
    <w:rsid w:val="00782D47"/>
    <w:rsid w:val="00782D48"/>
    <w:rsid w:val="00782D54"/>
    <w:rsid w:val="00782D6E"/>
    <w:rsid w:val="00782DFC"/>
    <w:rsid w:val="00782E04"/>
    <w:rsid w:val="00782E63"/>
    <w:rsid w:val="00782E65"/>
    <w:rsid w:val="00782ED2"/>
    <w:rsid w:val="00782EED"/>
    <w:rsid w:val="00782F19"/>
    <w:rsid w:val="00782F61"/>
    <w:rsid w:val="00782F69"/>
    <w:rsid w:val="00782F95"/>
    <w:rsid w:val="00782F9C"/>
    <w:rsid w:val="00783013"/>
    <w:rsid w:val="00783018"/>
    <w:rsid w:val="0078305C"/>
    <w:rsid w:val="007830FF"/>
    <w:rsid w:val="0078311A"/>
    <w:rsid w:val="00783180"/>
    <w:rsid w:val="00783193"/>
    <w:rsid w:val="00783199"/>
    <w:rsid w:val="007832C0"/>
    <w:rsid w:val="007832F4"/>
    <w:rsid w:val="00783307"/>
    <w:rsid w:val="0078330A"/>
    <w:rsid w:val="00783361"/>
    <w:rsid w:val="00783363"/>
    <w:rsid w:val="00783384"/>
    <w:rsid w:val="00783391"/>
    <w:rsid w:val="00783395"/>
    <w:rsid w:val="007833E1"/>
    <w:rsid w:val="00783408"/>
    <w:rsid w:val="0078345A"/>
    <w:rsid w:val="00783490"/>
    <w:rsid w:val="007834CD"/>
    <w:rsid w:val="007834E5"/>
    <w:rsid w:val="00783502"/>
    <w:rsid w:val="0078350E"/>
    <w:rsid w:val="0078351B"/>
    <w:rsid w:val="00783538"/>
    <w:rsid w:val="00783572"/>
    <w:rsid w:val="00783585"/>
    <w:rsid w:val="007835CF"/>
    <w:rsid w:val="007835E1"/>
    <w:rsid w:val="007835EE"/>
    <w:rsid w:val="00783611"/>
    <w:rsid w:val="00783646"/>
    <w:rsid w:val="0078364C"/>
    <w:rsid w:val="00783656"/>
    <w:rsid w:val="00783658"/>
    <w:rsid w:val="007836BD"/>
    <w:rsid w:val="007836C3"/>
    <w:rsid w:val="007836CE"/>
    <w:rsid w:val="007836FC"/>
    <w:rsid w:val="0078370E"/>
    <w:rsid w:val="00783716"/>
    <w:rsid w:val="00783733"/>
    <w:rsid w:val="00783753"/>
    <w:rsid w:val="00783774"/>
    <w:rsid w:val="0078378A"/>
    <w:rsid w:val="007837DE"/>
    <w:rsid w:val="00783817"/>
    <w:rsid w:val="0078384A"/>
    <w:rsid w:val="0078385E"/>
    <w:rsid w:val="007838C8"/>
    <w:rsid w:val="00783901"/>
    <w:rsid w:val="0078392D"/>
    <w:rsid w:val="00783986"/>
    <w:rsid w:val="007839A7"/>
    <w:rsid w:val="007839CF"/>
    <w:rsid w:val="007839DC"/>
    <w:rsid w:val="007839F9"/>
    <w:rsid w:val="00783A02"/>
    <w:rsid w:val="00783A7B"/>
    <w:rsid w:val="00783A7F"/>
    <w:rsid w:val="00783AD1"/>
    <w:rsid w:val="00783B05"/>
    <w:rsid w:val="00783B15"/>
    <w:rsid w:val="00783B8E"/>
    <w:rsid w:val="00783BC8"/>
    <w:rsid w:val="00783C03"/>
    <w:rsid w:val="00783C31"/>
    <w:rsid w:val="00783C34"/>
    <w:rsid w:val="00783C3C"/>
    <w:rsid w:val="00783C82"/>
    <w:rsid w:val="00783C93"/>
    <w:rsid w:val="00783D2F"/>
    <w:rsid w:val="00783D35"/>
    <w:rsid w:val="00783D59"/>
    <w:rsid w:val="00783DAA"/>
    <w:rsid w:val="00783DC1"/>
    <w:rsid w:val="00783DCD"/>
    <w:rsid w:val="00783DFE"/>
    <w:rsid w:val="00783E0B"/>
    <w:rsid w:val="00783E14"/>
    <w:rsid w:val="00783E22"/>
    <w:rsid w:val="00783E52"/>
    <w:rsid w:val="00783E6E"/>
    <w:rsid w:val="00783E8B"/>
    <w:rsid w:val="00783E91"/>
    <w:rsid w:val="00783E9A"/>
    <w:rsid w:val="00783F13"/>
    <w:rsid w:val="00783F29"/>
    <w:rsid w:val="00783F2E"/>
    <w:rsid w:val="00783F5C"/>
    <w:rsid w:val="00783F64"/>
    <w:rsid w:val="00783F78"/>
    <w:rsid w:val="00783FDD"/>
    <w:rsid w:val="00783FF8"/>
    <w:rsid w:val="00784002"/>
    <w:rsid w:val="00784039"/>
    <w:rsid w:val="00784069"/>
    <w:rsid w:val="00784084"/>
    <w:rsid w:val="007840A3"/>
    <w:rsid w:val="007840B3"/>
    <w:rsid w:val="007840CD"/>
    <w:rsid w:val="007840CF"/>
    <w:rsid w:val="007840D8"/>
    <w:rsid w:val="00784152"/>
    <w:rsid w:val="0078415B"/>
    <w:rsid w:val="00784167"/>
    <w:rsid w:val="00784178"/>
    <w:rsid w:val="00784179"/>
    <w:rsid w:val="00784182"/>
    <w:rsid w:val="00784189"/>
    <w:rsid w:val="00784193"/>
    <w:rsid w:val="007841A3"/>
    <w:rsid w:val="007841D5"/>
    <w:rsid w:val="00784230"/>
    <w:rsid w:val="00784248"/>
    <w:rsid w:val="007842D1"/>
    <w:rsid w:val="00784309"/>
    <w:rsid w:val="0078432D"/>
    <w:rsid w:val="00784334"/>
    <w:rsid w:val="00784335"/>
    <w:rsid w:val="0078435F"/>
    <w:rsid w:val="00784375"/>
    <w:rsid w:val="007843E2"/>
    <w:rsid w:val="007843E5"/>
    <w:rsid w:val="0078440B"/>
    <w:rsid w:val="00784417"/>
    <w:rsid w:val="00784429"/>
    <w:rsid w:val="00784438"/>
    <w:rsid w:val="007844C9"/>
    <w:rsid w:val="007844EF"/>
    <w:rsid w:val="007844F2"/>
    <w:rsid w:val="00784500"/>
    <w:rsid w:val="0078451D"/>
    <w:rsid w:val="00784550"/>
    <w:rsid w:val="00784551"/>
    <w:rsid w:val="00784555"/>
    <w:rsid w:val="0078456E"/>
    <w:rsid w:val="0078459A"/>
    <w:rsid w:val="007845AD"/>
    <w:rsid w:val="00784606"/>
    <w:rsid w:val="00784656"/>
    <w:rsid w:val="0078465C"/>
    <w:rsid w:val="007846DE"/>
    <w:rsid w:val="00784767"/>
    <w:rsid w:val="00784768"/>
    <w:rsid w:val="007847AC"/>
    <w:rsid w:val="007847B0"/>
    <w:rsid w:val="007847BC"/>
    <w:rsid w:val="007847BF"/>
    <w:rsid w:val="007847D7"/>
    <w:rsid w:val="00784822"/>
    <w:rsid w:val="0078483F"/>
    <w:rsid w:val="00784842"/>
    <w:rsid w:val="0078486B"/>
    <w:rsid w:val="00784880"/>
    <w:rsid w:val="00784886"/>
    <w:rsid w:val="007848ED"/>
    <w:rsid w:val="00784953"/>
    <w:rsid w:val="00784961"/>
    <w:rsid w:val="00784985"/>
    <w:rsid w:val="00784986"/>
    <w:rsid w:val="0078498F"/>
    <w:rsid w:val="0078499C"/>
    <w:rsid w:val="007849F1"/>
    <w:rsid w:val="00784A3F"/>
    <w:rsid w:val="00784A7E"/>
    <w:rsid w:val="00784A93"/>
    <w:rsid w:val="00784AE3"/>
    <w:rsid w:val="00784AE9"/>
    <w:rsid w:val="00784B01"/>
    <w:rsid w:val="00784B83"/>
    <w:rsid w:val="00784B9D"/>
    <w:rsid w:val="00784BB1"/>
    <w:rsid w:val="00784BBE"/>
    <w:rsid w:val="00784C67"/>
    <w:rsid w:val="00784D04"/>
    <w:rsid w:val="00784D0F"/>
    <w:rsid w:val="00784D11"/>
    <w:rsid w:val="00784D20"/>
    <w:rsid w:val="00784D2A"/>
    <w:rsid w:val="00784DB2"/>
    <w:rsid w:val="00784DF0"/>
    <w:rsid w:val="00784E30"/>
    <w:rsid w:val="00784E5A"/>
    <w:rsid w:val="00784EB1"/>
    <w:rsid w:val="00784EB7"/>
    <w:rsid w:val="00784ED6"/>
    <w:rsid w:val="00784EE8"/>
    <w:rsid w:val="00784F2A"/>
    <w:rsid w:val="00784FA6"/>
    <w:rsid w:val="00784FBE"/>
    <w:rsid w:val="00784FCE"/>
    <w:rsid w:val="00784FD5"/>
    <w:rsid w:val="00784FD6"/>
    <w:rsid w:val="00784FDA"/>
    <w:rsid w:val="00784FE0"/>
    <w:rsid w:val="00785003"/>
    <w:rsid w:val="00785008"/>
    <w:rsid w:val="00785046"/>
    <w:rsid w:val="00785054"/>
    <w:rsid w:val="0078509C"/>
    <w:rsid w:val="007850CF"/>
    <w:rsid w:val="00785103"/>
    <w:rsid w:val="00785124"/>
    <w:rsid w:val="00785141"/>
    <w:rsid w:val="0078514A"/>
    <w:rsid w:val="00785151"/>
    <w:rsid w:val="00785189"/>
    <w:rsid w:val="0078518A"/>
    <w:rsid w:val="00785190"/>
    <w:rsid w:val="00785192"/>
    <w:rsid w:val="007851B6"/>
    <w:rsid w:val="00785204"/>
    <w:rsid w:val="00785208"/>
    <w:rsid w:val="0078521C"/>
    <w:rsid w:val="00785251"/>
    <w:rsid w:val="00785304"/>
    <w:rsid w:val="00785316"/>
    <w:rsid w:val="00785335"/>
    <w:rsid w:val="007853A7"/>
    <w:rsid w:val="007853CE"/>
    <w:rsid w:val="00785456"/>
    <w:rsid w:val="0078545B"/>
    <w:rsid w:val="0078545D"/>
    <w:rsid w:val="00785471"/>
    <w:rsid w:val="007854E4"/>
    <w:rsid w:val="00785517"/>
    <w:rsid w:val="00785545"/>
    <w:rsid w:val="00785555"/>
    <w:rsid w:val="007855D5"/>
    <w:rsid w:val="007855D9"/>
    <w:rsid w:val="00785606"/>
    <w:rsid w:val="00785610"/>
    <w:rsid w:val="00785635"/>
    <w:rsid w:val="00785644"/>
    <w:rsid w:val="0078564A"/>
    <w:rsid w:val="00785690"/>
    <w:rsid w:val="0078569A"/>
    <w:rsid w:val="007856AB"/>
    <w:rsid w:val="007856E8"/>
    <w:rsid w:val="00785735"/>
    <w:rsid w:val="0078576F"/>
    <w:rsid w:val="00785777"/>
    <w:rsid w:val="00785784"/>
    <w:rsid w:val="007857B4"/>
    <w:rsid w:val="007857E9"/>
    <w:rsid w:val="007857FE"/>
    <w:rsid w:val="00785865"/>
    <w:rsid w:val="00785903"/>
    <w:rsid w:val="00785919"/>
    <w:rsid w:val="00785931"/>
    <w:rsid w:val="0078598C"/>
    <w:rsid w:val="007859A0"/>
    <w:rsid w:val="007859AB"/>
    <w:rsid w:val="007859F1"/>
    <w:rsid w:val="00785A1E"/>
    <w:rsid w:val="00785A70"/>
    <w:rsid w:val="00785ACD"/>
    <w:rsid w:val="00785B25"/>
    <w:rsid w:val="00785B8C"/>
    <w:rsid w:val="00785BCE"/>
    <w:rsid w:val="00785BE2"/>
    <w:rsid w:val="00785BFD"/>
    <w:rsid w:val="00785C22"/>
    <w:rsid w:val="00785C38"/>
    <w:rsid w:val="00785CAA"/>
    <w:rsid w:val="00785CAC"/>
    <w:rsid w:val="00785CE5"/>
    <w:rsid w:val="00785CFC"/>
    <w:rsid w:val="00785D41"/>
    <w:rsid w:val="00785D8E"/>
    <w:rsid w:val="00785E5B"/>
    <w:rsid w:val="00785E9C"/>
    <w:rsid w:val="00785EDE"/>
    <w:rsid w:val="00785F36"/>
    <w:rsid w:val="00785F38"/>
    <w:rsid w:val="00785F72"/>
    <w:rsid w:val="00785F8D"/>
    <w:rsid w:val="00785F90"/>
    <w:rsid w:val="00785FC8"/>
    <w:rsid w:val="0078606B"/>
    <w:rsid w:val="00786095"/>
    <w:rsid w:val="0078609D"/>
    <w:rsid w:val="007860E3"/>
    <w:rsid w:val="00786101"/>
    <w:rsid w:val="00786134"/>
    <w:rsid w:val="0078617C"/>
    <w:rsid w:val="0078619D"/>
    <w:rsid w:val="007861A4"/>
    <w:rsid w:val="007861E3"/>
    <w:rsid w:val="007861EC"/>
    <w:rsid w:val="00786202"/>
    <w:rsid w:val="00786207"/>
    <w:rsid w:val="00786211"/>
    <w:rsid w:val="00786216"/>
    <w:rsid w:val="0078627B"/>
    <w:rsid w:val="007862CA"/>
    <w:rsid w:val="00786306"/>
    <w:rsid w:val="00786384"/>
    <w:rsid w:val="007863ED"/>
    <w:rsid w:val="0078642D"/>
    <w:rsid w:val="0078645C"/>
    <w:rsid w:val="007864A8"/>
    <w:rsid w:val="007864D3"/>
    <w:rsid w:val="0078650C"/>
    <w:rsid w:val="00786510"/>
    <w:rsid w:val="0078651B"/>
    <w:rsid w:val="0078652A"/>
    <w:rsid w:val="00786609"/>
    <w:rsid w:val="0078660B"/>
    <w:rsid w:val="00786640"/>
    <w:rsid w:val="007866CC"/>
    <w:rsid w:val="007866E5"/>
    <w:rsid w:val="00786797"/>
    <w:rsid w:val="007867D2"/>
    <w:rsid w:val="007867F1"/>
    <w:rsid w:val="00786841"/>
    <w:rsid w:val="0078685C"/>
    <w:rsid w:val="00786872"/>
    <w:rsid w:val="0078687E"/>
    <w:rsid w:val="007868C5"/>
    <w:rsid w:val="007868D6"/>
    <w:rsid w:val="007868ED"/>
    <w:rsid w:val="007868F1"/>
    <w:rsid w:val="00786908"/>
    <w:rsid w:val="00786925"/>
    <w:rsid w:val="00786958"/>
    <w:rsid w:val="007869FD"/>
    <w:rsid w:val="00786A5A"/>
    <w:rsid w:val="00786A7D"/>
    <w:rsid w:val="00786AA7"/>
    <w:rsid w:val="00786AB2"/>
    <w:rsid w:val="00786B0D"/>
    <w:rsid w:val="00786B14"/>
    <w:rsid w:val="00786B73"/>
    <w:rsid w:val="00786C02"/>
    <w:rsid w:val="00786C21"/>
    <w:rsid w:val="00786C23"/>
    <w:rsid w:val="00786C7D"/>
    <w:rsid w:val="00786C8C"/>
    <w:rsid w:val="00786C9A"/>
    <w:rsid w:val="00786CA6"/>
    <w:rsid w:val="00786CA7"/>
    <w:rsid w:val="00786CB1"/>
    <w:rsid w:val="00786CBE"/>
    <w:rsid w:val="00786D14"/>
    <w:rsid w:val="00786D23"/>
    <w:rsid w:val="00786D6E"/>
    <w:rsid w:val="00786D92"/>
    <w:rsid w:val="00786DA3"/>
    <w:rsid w:val="00786E08"/>
    <w:rsid w:val="00786E0D"/>
    <w:rsid w:val="00786E18"/>
    <w:rsid w:val="00786E23"/>
    <w:rsid w:val="00786E3B"/>
    <w:rsid w:val="00786E53"/>
    <w:rsid w:val="00786E5D"/>
    <w:rsid w:val="00786EC8"/>
    <w:rsid w:val="00786EFC"/>
    <w:rsid w:val="00786F6B"/>
    <w:rsid w:val="00786FA2"/>
    <w:rsid w:val="00786FBC"/>
    <w:rsid w:val="00787027"/>
    <w:rsid w:val="0078703A"/>
    <w:rsid w:val="00787081"/>
    <w:rsid w:val="007870C6"/>
    <w:rsid w:val="007870E9"/>
    <w:rsid w:val="007870FB"/>
    <w:rsid w:val="00787130"/>
    <w:rsid w:val="00787134"/>
    <w:rsid w:val="00787156"/>
    <w:rsid w:val="00787159"/>
    <w:rsid w:val="00787171"/>
    <w:rsid w:val="0078717D"/>
    <w:rsid w:val="00787195"/>
    <w:rsid w:val="007871A8"/>
    <w:rsid w:val="007871CA"/>
    <w:rsid w:val="007871E4"/>
    <w:rsid w:val="007872DC"/>
    <w:rsid w:val="0078734F"/>
    <w:rsid w:val="0078737E"/>
    <w:rsid w:val="00787386"/>
    <w:rsid w:val="0078739B"/>
    <w:rsid w:val="007873A8"/>
    <w:rsid w:val="007873A9"/>
    <w:rsid w:val="007873D7"/>
    <w:rsid w:val="00787434"/>
    <w:rsid w:val="0078743B"/>
    <w:rsid w:val="00787448"/>
    <w:rsid w:val="00787469"/>
    <w:rsid w:val="00787483"/>
    <w:rsid w:val="007874BD"/>
    <w:rsid w:val="007874BF"/>
    <w:rsid w:val="007874E8"/>
    <w:rsid w:val="007874EB"/>
    <w:rsid w:val="0078752B"/>
    <w:rsid w:val="0078752D"/>
    <w:rsid w:val="00787546"/>
    <w:rsid w:val="00787570"/>
    <w:rsid w:val="00787587"/>
    <w:rsid w:val="007875A5"/>
    <w:rsid w:val="007875BC"/>
    <w:rsid w:val="007875DA"/>
    <w:rsid w:val="007875E9"/>
    <w:rsid w:val="007875F5"/>
    <w:rsid w:val="007875FF"/>
    <w:rsid w:val="00787623"/>
    <w:rsid w:val="0078763F"/>
    <w:rsid w:val="0078768E"/>
    <w:rsid w:val="007876A6"/>
    <w:rsid w:val="007876B9"/>
    <w:rsid w:val="007876F8"/>
    <w:rsid w:val="00787730"/>
    <w:rsid w:val="0078774B"/>
    <w:rsid w:val="0078779D"/>
    <w:rsid w:val="007877DE"/>
    <w:rsid w:val="007877E6"/>
    <w:rsid w:val="007877EA"/>
    <w:rsid w:val="007877ED"/>
    <w:rsid w:val="007877F1"/>
    <w:rsid w:val="00787812"/>
    <w:rsid w:val="00787835"/>
    <w:rsid w:val="00787838"/>
    <w:rsid w:val="0078783C"/>
    <w:rsid w:val="0078783F"/>
    <w:rsid w:val="0078788E"/>
    <w:rsid w:val="00787944"/>
    <w:rsid w:val="00787997"/>
    <w:rsid w:val="007879A8"/>
    <w:rsid w:val="007879B2"/>
    <w:rsid w:val="007879DA"/>
    <w:rsid w:val="007879DD"/>
    <w:rsid w:val="00787A09"/>
    <w:rsid w:val="00787A19"/>
    <w:rsid w:val="00787AE7"/>
    <w:rsid w:val="00787B2F"/>
    <w:rsid w:val="00787B3E"/>
    <w:rsid w:val="00787B67"/>
    <w:rsid w:val="00787BBC"/>
    <w:rsid w:val="00787BF1"/>
    <w:rsid w:val="00787C26"/>
    <w:rsid w:val="00787C2E"/>
    <w:rsid w:val="00787C47"/>
    <w:rsid w:val="00787CA3"/>
    <w:rsid w:val="00787CDB"/>
    <w:rsid w:val="00787CF2"/>
    <w:rsid w:val="00787D5D"/>
    <w:rsid w:val="00787D79"/>
    <w:rsid w:val="00787DFD"/>
    <w:rsid w:val="00787E12"/>
    <w:rsid w:val="00787E6B"/>
    <w:rsid w:val="00787E73"/>
    <w:rsid w:val="00787EB2"/>
    <w:rsid w:val="00787EBA"/>
    <w:rsid w:val="00787EBD"/>
    <w:rsid w:val="00787ECA"/>
    <w:rsid w:val="00787F28"/>
    <w:rsid w:val="00787F7A"/>
    <w:rsid w:val="00787F94"/>
    <w:rsid w:val="00787FB9"/>
    <w:rsid w:val="00787FC0"/>
    <w:rsid w:val="00787FE0"/>
    <w:rsid w:val="00787FF5"/>
    <w:rsid w:val="0079002A"/>
    <w:rsid w:val="0079004B"/>
    <w:rsid w:val="00790060"/>
    <w:rsid w:val="00790138"/>
    <w:rsid w:val="0079015F"/>
    <w:rsid w:val="0079019D"/>
    <w:rsid w:val="007901B4"/>
    <w:rsid w:val="00790244"/>
    <w:rsid w:val="007902B1"/>
    <w:rsid w:val="007902E3"/>
    <w:rsid w:val="0079031B"/>
    <w:rsid w:val="0079031F"/>
    <w:rsid w:val="0079036D"/>
    <w:rsid w:val="00790388"/>
    <w:rsid w:val="0079038D"/>
    <w:rsid w:val="007903B5"/>
    <w:rsid w:val="007903CE"/>
    <w:rsid w:val="00790406"/>
    <w:rsid w:val="00790436"/>
    <w:rsid w:val="00790462"/>
    <w:rsid w:val="00790486"/>
    <w:rsid w:val="00790490"/>
    <w:rsid w:val="00790494"/>
    <w:rsid w:val="007904CA"/>
    <w:rsid w:val="007904CF"/>
    <w:rsid w:val="00790533"/>
    <w:rsid w:val="00790567"/>
    <w:rsid w:val="007905B5"/>
    <w:rsid w:val="00790635"/>
    <w:rsid w:val="0079064F"/>
    <w:rsid w:val="007906B8"/>
    <w:rsid w:val="00790716"/>
    <w:rsid w:val="0079072A"/>
    <w:rsid w:val="00790781"/>
    <w:rsid w:val="007907BB"/>
    <w:rsid w:val="00790831"/>
    <w:rsid w:val="0079085E"/>
    <w:rsid w:val="00790897"/>
    <w:rsid w:val="007908C5"/>
    <w:rsid w:val="0079091F"/>
    <w:rsid w:val="00790957"/>
    <w:rsid w:val="00790969"/>
    <w:rsid w:val="0079096B"/>
    <w:rsid w:val="007909DF"/>
    <w:rsid w:val="00790A0D"/>
    <w:rsid w:val="00790A50"/>
    <w:rsid w:val="00790A9C"/>
    <w:rsid w:val="00790ABE"/>
    <w:rsid w:val="00790AD6"/>
    <w:rsid w:val="00790AFD"/>
    <w:rsid w:val="00790B62"/>
    <w:rsid w:val="00790B74"/>
    <w:rsid w:val="00790BB5"/>
    <w:rsid w:val="00790BC3"/>
    <w:rsid w:val="00790C48"/>
    <w:rsid w:val="00790C69"/>
    <w:rsid w:val="00790C71"/>
    <w:rsid w:val="00790C81"/>
    <w:rsid w:val="00790C8D"/>
    <w:rsid w:val="00790CAC"/>
    <w:rsid w:val="00790CFC"/>
    <w:rsid w:val="00790D13"/>
    <w:rsid w:val="00790D45"/>
    <w:rsid w:val="00790D4D"/>
    <w:rsid w:val="00790D66"/>
    <w:rsid w:val="00790D6E"/>
    <w:rsid w:val="00790DCB"/>
    <w:rsid w:val="00790DD8"/>
    <w:rsid w:val="00790DF5"/>
    <w:rsid w:val="00790E20"/>
    <w:rsid w:val="00790E29"/>
    <w:rsid w:val="00790E31"/>
    <w:rsid w:val="00790E54"/>
    <w:rsid w:val="00790EBA"/>
    <w:rsid w:val="00790F4A"/>
    <w:rsid w:val="00790F50"/>
    <w:rsid w:val="00790F71"/>
    <w:rsid w:val="00790F9F"/>
    <w:rsid w:val="00790FCB"/>
    <w:rsid w:val="00790FF6"/>
    <w:rsid w:val="00791078"/>
    <w:rsid w:val="007910A9"/>
    <w:rsid w:val="007910D2"/>
    <w:rsid w:val="00791134"/>
    <w:rsid w:val="00791148"/>
    <w:rsid w:val="00791155"/>
    <w:rsid w:val="00791156"/>
    <w:rsid w:val="0079116D"/>
    <w:rsid w:val="007911B7"/>
    <w:rsid w:val="007911BB"/>
    <w:rsid w:val="007911C6"/>
    <w:rsid w:val="00791205"/>
    <w:rsid w:val="0079120F"/>
    <w:rsid w:val="00791252"/>
    <w:rsid w:val="00791269"/>
    <w:rsid w:val="007912C5"/>
    <w:rsid w:val="007912D0"/>
    <w:rsid w:val="00791363"/>
    <w:rsid w:val="007913AD"/>
    <w:rsid w:val="007913E4"/>
    <w:rsid w:val="007913F6"/>
    <w:rsid w:val="0079146E"/>
    <w:rsid w:val="00791481"/>
    <w:rsid w:val="007914A6"/>
    <w:rsid w:val="007914AE"/>
    <w:rsid w:val="007914FB"/>
    <w:rsid w:val="00791511"/>
    <w:rsid w:val="0079153C"/>
    <w:rsid w:val="007915FE"/>
    <w:rsid w:val="0079163F"/>
    <w:rsid w:val="00791642"/>
    <w:rsid w:val="00791644"/>
    <w:rsid w:val="0079164F"/>
    <w:rsid w:val="00791651"/>
    <w:rsid w:val="0079167D"/>
    <w:rsid w:val="00791687"/>
    <w:rsid w:val="007916AB"/>
    <w:rsid w:val="007916B4"/>
    <w:rsid w:val="007916F4"/>
    <w:rsid w:val="00791702"/>
    <w:rsid w:val="00791757"/>
    <w:rsid w:val="0079176A"/>
    <w:rsid w:val="0079177D"/>
    <w:rsid w:val="00791783"/>
    <w:rsid w:val="007917BF"/>
    <w:rsid w:val="0079181B"/>
    <w:rsid w:val="00791845"/>
    <w:rsid w:val="00791862"/>
    <w:rsid w:val="00791872"/>
    <w:rsid w:val="0079189F"/>
    <w:rsid w:val="007918D7"/>
    <w:rsid w:val="007918FB"/>
    <w:rsid w:val="00791925"/>
    <w:rsid w:val="00791944"/>
    <w:rsid w:val="00791967"/>
    <w:rsid w:val="007919BA"/>
    <w:rsid w:val="007919C5"/>
    <w:rsid w:val="00791A2F"/>
    <w:rsid w:val="00791A78"/>
    <w:rsid w:val="00791AA2"/>
    <w:rsid w:val="00791AA8"/>
    <w:rsid w:val="00791ACC"/>
    <w:rsid w:val="00791ADB"/>
    <w:rsid w:val="00791AFF"/>
    <w:rsid w:val="00791B1F"/>
    <w:rsid w:val="00791B24"/>
    <w:rsid w:val="00791B42"/>
    <w:rsid w:val="00791B55"/>
    <w:rsid w:val="00791B82"/>
    <w:rsid w:val="00791BDC"/>
    <w:rsid w:val="00791BDE"/>
    <w:rsid w:val="00791C21"/>
    <w:rsid w:val="00791C30"/>
    <w:rsid w:val="00791C5D"/>
    <w:rsid w:val="00791CC8"/>
    <w:rsid w:val="00791CD7"/>
    <w:rsid w:val="00791D0F"/>
    <w:rsid w:val="00791D11"/>
    <w:rsid w:val="00791D5A"/>
    <w:rsid w:val="00791D5B"/>
    <w:rsid w:val="00791DB3"/>
    <w:rsid w:val="00791E4B"/>
    <w:rsid w:val="00791E63"/>
    <w:rsid w:val="00791EAF"/>
    <w:rsid w:val="00791EE0"/>
    <w:rsid w:val="00791EEB"/>
    <w:rsid w:val="00791F07"/>
    <w:rsid w:val="00791F41"/>
    <w:rsid w:val="00791F48"/>
    <w:rsid w:val="00791F80"/>
    <w:rsid w:val="00791FC6"/>
    <w:rsid w:val="00792028"/>
    <w:rsid w:val="00792036"/>
    <w:rsid w:val="00792041"/>
    <w:rsid w:val="00792044"/>
    <w:rsid w:val="0079204A"/>
    <w:rsid w:val="00792065"/>
    <w:rsid w:val="00792073"/>
    <w:rsid w:val="0079207E"/>
    <w:rsid w:val="00792081"/>
    <w:rsid w:val="00792099"/>
    <w:rsid w:val="007920B6"/>
    <w:rsid w:val="00792124"/>
    <w:rsid w:val="0079212B"/>
    <w:rsid w:val="007921EB"/>
    <w:rsid w:val="007921F8"/>
    <w:rsid w:val="00792220"/>
    <w:rsid w:val="0079225D"/>
    <w:rsid w:val="00792270"/>
    <w:rsid w:val="00792284"/>
    <w:rsid w:val="007922B8"/>
    <w:rsid w:val="007922D4"/>
    <w:rsid w:val="007922EE"/>
    <w:rsid w:val="0079232F"/>
    <w:rsid w:val="0079233D"/>
    <w:rsid w:val="0079237D"/>
    <w:rsid w:val="00792388"/>
    <w:rsid w:val="007923C1"/>
    <w:rsid w:val="007923C3"/>
    <w:rsid w:val="007923CA"/>
    <w:rsid w:val="00792424"/>
    <w:rsid w:val="00792440"/>
    <w:rsid w:val="0079244D"/>
    <w:rsid w:val="0079247A"/>
    <w:rsid w:val="00792488"/>
    <w:rsid w:val="0079249B"/>
    <w:rsid w:val="007924BC"/>
    <w:rsid w:val="00792528"/>
    <w:rsid w:val="00792537"/>
    <w:rsid w:val="0079253B"/>
    <w:rsid w:val="00792573"/>
    <w:rsid w:val="0079257C"/>
    <w:rsid w:val="007925D5"/>
    <w:rsid w:val="007925D6"/>
    <w:rsid w:val="00792650"/>
    <w:rsid w:val="00792660"/>
    <w:rsid w:val="0079266B"/>
    <w:rsid w:val="0079268B"/>
    <w:rsid w:val="0079277A"/>
    <w:rsid w:val="00792783"/>
    <w:rsid w:val="0079279C"/>
    <w:rsid w:val="007927A3"/>
    <w:rsid w:val="007927D7"/>
    <w:rsid w:val="007927EB"/>
    <w:rsid w:val="00792816"/>
    <w:rsid w:val="00792850"/>
    <w:rsid w:val="00792862"/>
    <w:rsid w:val="00792877"/>
    <w:rsid w:val="0079287A"/>
    <w:rsid w:val="0079288A"/>
    <w:rsid w:val="007928C7"/>
    <w:rsid w:val="007928DA"/>
    <w:rsid w:val="0079290F"/>
    <w:rsid w:val="00792949"/>
    <w:rsid w:val="00792972"/>
    <w:rsid w:val="00792A17"/>
    <w:rsid w:val="00792A30"/>
    <w:rsid w:val="00792AB4"/>
    <w:rsid w:val="00792B0C"/>
    <w:rsid w:val="00792B14"/>
    <w:rsid w:val="00792B1C"/>
    <w:rsid w:val="00792B5C"/>
    <w:rsid w:val="00792B63"/>
    <w:rsid w:val="00792B77"/>
    <w:rsid w:val="00792B86"/>
    <w:rsid w:val="00792B8A"/>
    <w:rsid w:val="00792BCD"/>
    <w:rsid w:val="00792BEA"/>
    <w:rsid w:val="00792BF0"/>
    <w:rsid w:val="00792C0D"/>
    <w:rsid w:val="00792C0E"/>
    <w:rsid w:val="00792C15"/>
    <w:rsid w:val="00792CA0"/>
    <w:rsid w:val="00792CD0"/>
    <w:rsid w:val="00792CE3"/>
    <w:rsid w:val="00792CEF"/>
    <w:rsid w:val="00792D3C"/>
    <w:rsid w:val="00792D42"/>
    <w:rsid w:val="00792D55"/>
    <w:rsid w:val="00792D62"/>
    <w:rsid w:val="00792D6F"/>
    <w:rsid w:val="00792DAB"/>
    <w:rsid w:val="00792DC1"/>
    <w:rsid w:val="00792E46"/>
    <w:rsid w:val="00792E86"/>
    <w:rsid w:val="00792ED7"/>
    <w:rsid w:val="00792F1C"/>
    <w:rsid w:val="00792F1F"/>
    <w:rsid w:val="00792F26"/>
    <w:rsid w:val="00792F5B"/>
    <w:rsid w:val="00792F6F"/>
    <w:rsid w:val="00792F75"/>
    <w:rsid w:val="00792FA7"/>
    <w:rsid w:val="00792FCA"/>
    <w:rsid w:val="0079300A"/>
    <w:rsid w:val="0079300E"/>
    <w:rsid w:val="00793031"/>
    <w:rsid w:val="00793073"/>
    <w:rsid w:val="007930C4"/>
    <w:rsid w:val="007930E9"/>
    <w:rsid w:val="007930ED"/>
    <w:rsid w:val="007930EE"/>
    <w:rsid w:val="007930F9"/>
    <w:rsid w:val="0079311F"/>
    <w:rsid w:val="00793170"/>
    <w:rsid w:val="00793172"/>
    <w:rsid w:val="00793192"/>
    <w:rsid w:val="0079319E"/>
    <w:rsid w:val="007931A4"/>
    <w:rsid w:val="007931C2"/>
    <w:rsid w:val="007931EF"/>
    <w:rsid w:val="00793247"/>
    <w:rsid w:val="0079326A"/>
    <w:rsid w:val="0079326D"/>
    <w:rsid w:val="00793288"/>
    <w:rsid w:val="00793299"/>
    <w:rsid w:val="007932A3"/>
    <w:rsid w:val="007932C1"/>
    <w:rsid w:val="007932D8"/>
    <w:rsid w:val="00793303"/>
    <w:rsid w:val="00793323"/>
    <w:rsid w:val="0079333B"/>
    <w:rsid w:val="00793389"/>
    <w:rsid w:val="0079339F"/>
    <w:rsid w:val="007933A5"/>
    <w:rsid w:val="007933B7"/>
    <w:rsid w:val="007933D5"/>
    <w:rsid w:val="00793407"/>
    <w:rsid w:val="00793417"/>
    <w:rsid w:val="00793439"/>
    <w:rsid w:val="007934D7"/>
    <w:rsid w:val="007934DA"/>
    <w:rsid w:val="00793504"/>
    <w:rsid w:val="0079350E"/>
    <w:rsid w:val="00793514"/>
    <w:rsid w:val="0079352A"/>
    <w:rsid w:val="00793553"/>
    <w:rsid w:val="00793598"/>
    <w:rsid w:val="007935AA"/>
    <w:rsid w:val="00793611"/>
    <w:rsid w:val="00793649"/>
    <w:rsid w:val="007936AC"/>
    <w:rsid w:val="007936C2"/>
    <w:rsid w:val="007936ED"/>
    <w:rsid w:val="00793718"/>
    <w:rsid w:val="00793728"/>
    <w:rsid w:val="0079379D"/>
    <w:rsid w:val="007937AE"/>
    <w:rsid w:val="00793866"/>
    <w:rsid w:val="00793876"/>
    <w:rsid w:val="007938A0"/>
    <w:rsid w:val="00793919"/>
    <w:rsid w:val="00793946"/>
    <w:rsid w:val="00793953"/>
    <w:rsid w:val="00793970"/>
    <w:rsid w:val="007939C3"/>
    <w:rsid w:val="00793A07"/>
    <w:rsid w:val="00793A12"/>
    <w:rsid w:val="00793A1A"/>
    <w:rsid w:val="00793A56"/>
    <w:rsid w:val="00793A6E"/>
    <w:rsid w:val="00793A92"/>
    <w:rsid w:val="00793B00"/>
    <w:rsid w:val="00793B32"/>
    <w:rsid w:val="00793B5F"/>
    <w:rsid w:val="00793BB0"/>
    <w:rsid w:val="00793BD6"/>
    <w:rsid w:val="00793BEC"/>
    <w:rsid w:val="00793BF6"/>
    <w:rsid w:val="00793C37"/>
    <w:rsid w:val="00793C60"/>
    <w:rsid w:val="00793C66"/>
    <w:rsid w:val="00793C7E"/>
    <w:rsid w:val="00793CFD"/>
    <w:rsid w:val="00793D0A"/>
    <w:rsid w:val="00793D55"/>
    <w:rsid w:val="00793D90"/>
    <w:rsid w:val="00793D9D"/>
    <w:rsid w:val="00793DFF"/>
    <w:rsid w:val="00793E04"/>
    <w:rsid w:val="00793E18"/>
    <w:rsid w:val="00793ECE"/>
    <w:rsid w:val="00793EE0"/>
    <w:rsid w:val="00793EEC"/>
    <w:rsid w:val="00793F4E"/>
    <w:rsid w:val="00793F74"/>
    <w:rsid w:val="00793F78"/>
    <w:rsid w:val="00793F8A"/>
    <w:rsid w:val="00793FD8"/>
    <w:rsid w:val="00793FEC"/>
    <w:rsid w:val="00794011"/>
    <w:rsid w:val="00794084"/>
    <w:rsid w:val="007940B6"/>
    <w:rsid w:val="007940BE"/>
    <w:rsid w:val="0079414C"/>
    <w:rsid w:val="007941CC"/>
    <w:rsid w:val="007941F7"/>
    <w:rsid w:val="00794229"/>
    <w:rsid w:val="0079427B"/>
    <w:rsid w:val="00794298"/>
    <w:rsid w:val="007942C2"/>
    <w:rsid w:val="007942C7"/>
    <w:rsid w:val="007942F9"/>
    <w:rsid w:val="00794303"/>
    <w:rsid w:val="0079435C"/>
    <w:rsid w:val="0079438D"/>
    <w:rsid w:val="00794395"/>
    <w:rsid w:val="00794438"/>
    <w:rsid w:val="007944C0"/>
    <w:rsid w:val="007944F6"/>
    <w:rsid w:val="00794580"/>
    <w:rsid w:val="00794587"/>
    <w:rsid w:val="0079458A"/>
    <w:rsid w:val="0079459E"/>
    <w:rsid w:val="00794673"/>
    <w:rsid w:val="007946A0"/>
    <w:rsid w:val="007946A3"/>
    <w:rsid w:val="007946A4"/>
    <w:rsid w:val="007946AF"/>
    <w:rsid w:val="007946B4"/>
    <w:rsid w:val="007946B9"/>
    <w:rsid w:val="007946C7"/>
    <w:rsid w:val="007946D2"/>
    <w:rsid w:val="007946DC"/>
    <w:rsid w:val="007946E3"/>
    <w:rsid w:val="00794706"/>
    <w:rsid w:val="00794740"/>
    <w:rsid w:val="007947CC"/>
    <w:rsid w:val="007947DC"/>
    <w:rsid w:val="007947EF"/>
    <w:rsid w:val="00794816"/>
    <w:rsid w:val="00794829"/>
    <w:rsid w:val="007948E9"/>
    <w:rsid w:val="007948ED"/>
    <w:rsid w:val="00794932"/>
    <w:rsid w:val="00794942"/>
    <w:rsid w:val="00794996"/>
    <w:rsid w:val="007949DF"/>
    <w:rsid w:val="007949F2"/>
    <w:rsid w:val="007949FC"/>
    <w:rsid w:val="00794A04"/>
    <w:rsid w:val="00794A10"/>
    <w:rsid w:val="00794A4E"/>
    <w:rsid w:val="00794B03"/>
    <w:rsid w:val="00794BBE"/>
    <w:rsid w:val="00794BD4"/>
    <w:rsid w:val="00794C2A"/>
    <w:rsid w:val="00794C4E"/>
    <w:rsid w:val="00794C9D"/>
    <w:rsid w:val="00794CAC"/>
    <w:rsid w:val="00794CB8"/>
    <w:rsid w:val="00794CCC"/>
    <w:rsid w:val="00794CDF"/>
    <w:rsid w:val="00794D13"/>
    <w:rsid w:val="00794D24"/>
    <w:rsid w:val="00794D39"/>
    <w:rsid w:val="00794D3D"/>
    <w:rsid w:val="00794D9E"/>
    <w:rsid w:val="00794DA5"/>
    <w:rsid w:val="00794DC2"/>
    <w:rsid w:val="00794DCE"/>
    <w:rsid w:val="00794E45"/>
    <w:rsid w:val="00794E5B"/>
    <w:rsid w:val="00794E5F"/>
    <w:rsid w:val="00794E95"/>
    <w:rsid w:val="00794F66"/>
    <w:rsid w:val="0079500F"/>
    <w:rsid w:val="00795027"/>
    <w:rsid w:val="00795040"/>
    <w:rsid w:val="0079505A"/>
    <w:rsid w:val="00795074"/>
    <w:rsid w:val="007950BD"/>
    <w:rsid w:val="007950E8"/>
    <w:rsid w:val="00795120"/>
    <w:rsid w:val="007951CB"/>
    <w:rsid w:val="007952B0"/>
    <w:rsid w:val="007952B2"/>
    <w:rsid w:val="007952FB"/>
    <w:rsid w:val="0079533C"/>
    <w:rsid w:val="0079538A"/>
    <w:rsid w:val="00795390"/>
    <w:rsid w:val="007953C2"/>
    <w:rsid w:val="007953F9"/>
    <w:rsid w:val="0079544F"/>
    <w:rsid w:val="00795470"/>
    <w:rsid w:val="00795493"/>
    <w:rsid w:val="007954BB"/>
    <w:rsid w:val="007954BC"/>
    <w:rsid w:val="007954F3"/>
    <w:rsid w:val="00795525"/>
    <w:rsid w:val="007955BC"/>
    <w:rsid w:val="007955CC"/>
    <w:rsid w:val="007955EA"/>
    <w:rsid w:val="007955F3"/>
    <w:rsid w:val="00795647"/>
    <w:rsid w:val="0079566B"/>
    <w:rsid w:val="007956B8"/>
    <w:rsid w:val="007956CF"/>
    <w:rsid w:val="00795702"/>
    <w:rsid w:val="0079571D"/>
    <w:rsid w:val="0079579C"/>
    <w:rsid w:val="007957A5"/>
    <w:rsid w:val="007957C5"/>
    <w:rsid w:val="00795813"/>
    <w:rsid w:val="0079583D"/>
    <w:rsid w:val="0079585E"/>
    <w:rsid w:val="00795869"/>
    <w:rsid w:val="00795886"/>
    <w:rsid w:val="0079588D"/>
    <w:rsid w:val="00795890"/>
    <w:rsid w:val="007958D2"/>
    <w:rsid w:val="0079593A"/>
    <w:rsid w:val="00795952"/>
    <w:rsid w:val="007959A2"/>
    <w:rsid w:val="007959A4"/>
    <w:rsid w:val="007959EF"/>
    <w:rsid w:val="007959FF"/>
    <w:rsid w:val="00795A08"/>
    <w:rsid w:val="00795A60"/>
    <w:rsid w:val="00795A6E"/>
    <w:rsid w:val="00795A74"/>
    <w:rsid w:val="00795A82"/>
    <w:rsid w:val="00795AF9"/>
    <w:rsid w:val="00795B1E"/>
    <w:rsid w:val="00795B23"/>
    <w:rsid w:val="00795B6F"/>
    <w:rsid w:val="00795B80"/>
    <w:rsid w:val="00795BD2"/>
    <w:rsid w:val="00795BF3"/>
    <w:rsid w:val="00795BFA"/>
    <w:rsid w:val="00795C1E"/>
    <w:rsid w:val="00795C87"/>
    <w:rsid w:val="00795CCB"/>
    <w:rsid w:val="00795D02"/>
    <w:rsid w:val="00795D0A"/>
    <w:rsid w:val="00795D39"/>
    <w:rsid w:val="00795D4F"/>
    <w:rsid w:val="00795D5E"/>
    <w:rsid w:val="00795D5F"/>
    <w:rsid w:val="00795DE7"/>
    <w:rsid w:val="00795E3C"/>
    <w:rsid w:val="00795E42"/>
    <w:rsid w:val="00795E79"/>
    <w:rsid w:val="00795E91"/>
    <w:rsid w:val="00795F09"/>
    <w:rsid w:val="00795F2A"/>
    <w:rsid w:val="00795F44"/>
    <w:rsid w:val="00795F78"/>
    <w:rsid w:val="00795F7A"/>
    <w:rsid w:val="00795FC4"/>
    <w:rsid w:val="00795FEA"/>
    <w:rsid w:val="00795FF4"/>
    <w:rsid w:val="0079603D"/>
    <w:rsid w:val="0079605F"/>
    <w:rsid w:val="00796083"/>
    <w:rsid w:val="0079610D"/>
    <w:rsid w:val="00796110"/>
    <w:rsid w:val="00796152"/>
    <w:rsid w:val="00796170"/>
    <w:rsid w:val="007961CC"/>
    <w:rsid w:val="00796200"/>
    <w:rsid w:val="00796226"/>
    <w:rsid w:val="0079623B"/>
    <w:rsid w:val="0079623E"/>
    <w:rsid w:val="0079628B"/>
    <w:rsid w:val="00796294"/>
    <w:rsid w:val="0079629A"/>
    <w:rsid w:val="007962F4"/>
    <w:rsid w:val="007962FF"/>
    <w:rsid w:val="0079632D"/>
    <w:rsid w:val="0079639A"/>
    <w:rsid w:val="007963A6"/>
    <w:rsid w:val="00796414"/>
    <w:rsid w:val="00796445"/>
    <w:rsid w:val="00796449"/>
    <w:rsid w:val="00796466"/>
    <w:rsid w:val="00796487"/>
    <w:rsid w:val="00796496"/>
    <w:rsid w:val="0079649E"/>
    <w:rsid w:val="007964B0"/>
    <w:rsid w:val="0079656D"/>
    <w:rsid w:val="00796575"/>
    <w:rsid w:val="0079657C"/>
    <w:rsid w:val="0079658B"/>
    <w:rsid w:val="0079658F"/>
    <w:rsid w:val="007965E4"/>
    <w:rsid w:val="00796601"/>
    <w:rsid w:val="00796663"/>
    <w:rsid w:val="00796670"/>
    <w:rsid w:val="00796682"/>
    <w:rsid w:val="007966C8"/>
    <w:rsid w:val="00796706"/>
    <w:rsid w:val="00796721"/>
    <w:rsid w:val="00796751"/>
    <w:rsid w:val="00796797"/>
    <w:rsid w:val="007967E3"/>
    <w:rsid w:val="0079681B"/>
    <w:rsid w:val="0079682F"/>
    <w:rsid w:val="0079684A"/>
    <w:rsid w:val="007968A6"/>
    <w:rsid w:val="007968C2"/>
    <w:rsid w:val="007968C8"/>
    <w:rsid w:val="007968E3"/>
    <w:rsid w:val="00796977"/>
    <w:rsid w:val="007969A7"/>
    <w:rsid w:val="007969DA"/>
    <w:rsid w:val="00796A7F"/>
    <w:rsid w:val="00796B96"/>
    <w:rsid w:val="00796BB0"/>
    <w:rsid w:val="00796BB2"/>
    <w:rsid w:val="00796BC3"/>
    <w:rsid w:val="00796C15"/>
    <w:rsid w:val="00796C17"/>
    <w:rsid w:val="00796C22"/>
    <w:rsid w:val="00796C67"/>
    <w:rsid w:val="00796C68"/>
    <w:rsid w:val="00796C9B"/>
    <w:rsid w:val="00796C9C"/>
    <w:rsid w:val="00796CB3"/>
    <w:rsid w:val="00796D11"/>
    <w:rsid w:val="00796D5F"/>
    <w:rsid w:val="00796DAF"/>
    <w:rsid w:val="00796E77"/>
    <w:rsid w:val="00796EA5"/>
    <w:rsid w:val="00796EC9"/>
    <w:rsid w:val="00796EDE"/>
    <w:rsid w:val="00796EFA"/>
    <w:rsid w:val="00796F13"/>
    <w:rsid w:val="00796F30"/>
    <w:rsid w:val="00796F3C"/>
    <w:rsid w:val="00796F60"/>
    <w:rsid w:val="00796FC7"/>
    <w:rsid w:val="00796FCF"/>
    <w:rsid w:val="00797004"/>
    <w:rsid w:val="00797028"/>
    <w:rsid w:val="0079707C"/>
    <w:rsid w:val="00797093"/>
    <w:rsid w:val="007970C3"/>
    <w:rsid w:val="007970F3"/>
    <w:rsid w:val="00797122"/>
    <w:rsid w:val="00797161"/>
    <w:rsid w:val="00797165"/>
    <w:rsid w:val="0079716F"/>
    <w:rsid w:val="00797170"/>
    <w:rsid w:val="00797175"/>
    <w:rsid w:val="00797176"/>
    <w:rsid w:val="00797186"/>
    <w:rsid w:val="007971A4"/>
    <w:rsid w:val="007971C2"/>
    <w:rsid w:val="00797209"/>
    <w:rsid w:val="00797220"/>
    <w:rsid w:val="00797267"/>
    <w:rsid w:val="0079726A"/>
    <w:rsid w:val="007972CC"/>
    <w:rsid w:val="007972D0"/>
    <w:rsid w:val="007972E4"/>
    <w:rsid w:val="00797354"/>
    <w:rsid w:val="007973A7"/>
    <w:rsid w:val="007973BA"/>
    <w:rsid w:val="007973F3"/>
    <w:rsid w:val="00797413"/>
    <w:rsid w:val="00797415"/>
    <w:rsid w:val="0079742F"/>
    <w:rsid w:val="007974E1"/>
    <w:rsid w:val="007975A9"/>
    <w:rsid w:val="007975B1"/>
    <w:rsid w:val="007975F5"/>
    <w:rsid w:val="007976D2"/>
    <w:rsid w:val="007976E5"/>
    <w:rsid w:val="007976F3"/>
    <w:rsid w:val="007976F6"/>
    <w:rsid w:val="00797700"/>
    <w:rsid w:val="00797702"/>
    <w:rsid w:val="00797743"/>
    <w:rsid w:val="0079775F"/>
    <w:rsid w:val="00797799"/>
    <w:rsid w:val="0079779F"/>
    <w:rsid w:val="007977DB"/>
    <w:rsid w:val="007977F6"/>
    <w:rsid w:val="00797800"/>
    <w:rsid w:val="0079783D"/>
    <w:rsid w:val="0079791F"/>
    <w:rsid w:val="00797920"/>
    <w:rsid w:val="00797921"/>
    <w:rsid w:val="0079792B"/>
    <w:rsid w:val="00797939"/>
    <w:rsid w:val="007979B6"/>
    <w:rsid w:val="007979D7"/>
    <w:rsid w:val="007979D9"/>
    <w:rsid w:val="007979F6"/>
    <w:rsid w:val="00797A55"/>
    <w:rsid w:val="00797BD3"/>
    <w:rsid w:val="00797BD7"/>
    <w:rsid w:val="00797C5F"/>
    <w:rsid w:val="00797D4F"/>
    <w:rsid w:val="00797D53"/>
    <w:rsid w:val="00797D6E"/>
    <w:rsid w:val="00797DC8"/>
    <w:rsid w:val="00797E05"/>
    <w:rsid w:val="00797E1C"/>
    <w:rsid w:val="00797E40"/>
    <w:rsid w:val="00797E50"/>
    <w:rsid w:val="00797E95"/>
    <w:rsid w:val="00797EDA"/>
    <w:rsid w:val="00797F30"/>
    <w:rsid w:val="00797F60"/>
    <w:rsid w:val="00797FA9"/>
    <w:rsid w:val="00797FD8"/>
    <w:rsid w:val="00797FE7"/>
    <w:rsid w:val="007A0002"/>
    <w:rsid w:val="007A002F"/>
    <w:rsid w:val="007A0071"/>
    <w:rsid w:val="007A008E"/>
    <w:rsid w:val="007A00CC"/>
    <w:rsid w:val="007A00DC"/>
    <w:rsid w:val="007A0125"/>
    <w:rsid w:val="007A0155"/>
    <w:rsid w:val="007A0193"/>
    <w:rsid w:val="007A019A"/>
    <w:rsid w:val="007A028E"/>
    <w:rsid w:val="007A02C8"/>
    <w:rsid w:val="007A02F7"/>
    <w:rsid w:val="007A033B"/>
    <w:rsid w:val="007A0343"/>
    <w:rsid w:val="007A0360"/>
    <w:rsid w:val="007A0385"/>
    <w:rsid w:val="007A0392"/>
    <w:rsid w:val="007A0419"/>
    <w:rsid w:val="007A0428"/>
    <w:rsid w:val="007A044C"/>
    <w:rsid w:val="007A0452"/>
    <w:rsid w:val="007A0465"/>
    <w:rsid w:val="007A0490"/>
    <w:rsid w:val="007A04E2"/>
    <w:rsid w:val="007A04E9"/>
    <w:rsid w:val="007A0504"/>
    <w:rsid w:val="007A052D"/>
    <w:rsid w:val="007A05ED"/>
    <w:rsid w:val="007A05FB"/>
    <w:rsid w:val="007A062C"/>
    <w:rsid w:val="007A06B4"/>
    <w:rsid w:val="007A0754"/>
    <w:rsid w:val="007A076A"/>
    <w:rsid w:val="007A0818"/>
    <w:rsid w:val="007A081E"/>
    <w:rsid w:val="007A0867"/>
    <w:rsid w:val="007A0886"/>
    <w:rsid w:val="007A08AF"/>
    <w:rsid w:val="007A08B9"/>
    <w:rsid w:val="007A08DB"/>
    <w:rsid w:val="007A08E0"/>
    <w:rsid w:val="007A08E6"/>
    <w:rsid w:val="007A08E8"/>
    <w:rsid w:val="007A0969"/>
    <w:rsid w:val="007A099F"/>
    <w:rsid w:val="007A09E6"/>
    <w:rsid w:val="007A0A53"/>
    <w:rsid w:val="007A0A6D"/>
    <w:rsid w:val="007A0A87"/>
    <w:rsid w:val="007A0AE7"/>
    <w:rsid w:val="007A0AEE"/>
    <w:rsid w:val="007A0B06"/>
    <w:rsid w:val="007A0B4F"/>
    <w:rsid w:val="007A0B6A"/>
    <w:rsid w:val="007A0B82"/>
    <w:rsid w:val="007A0BAC"/>
    <w:rsid w:val="007A0BBE"/>
    <w:rsid w:val="007A0BC6"/>
    <w:rsid w:val="007A0C25"/>
    <w:rsid w:val="007A0C27"/>
    <w:rsid w:val="007A0C5B"/>
    <w:rsid w:val="007A0C65"/>
    <w:rsid w:val="007A0C77"/>
    <w:rsid w:val="007A0C8C"/>
    <w:rsid w:val="007A0C9E"/>
    <w:rsid w:val="007A0CA5"/>
    <w:rsid w:val="007A0CC6"/>
    <w:rsid w:val="007A0CD7"/>
    <w:rsid w:val="007A0D14"/>
    <w:rsid w:val="007A0D1C"/>
    <w:rsid w:val="007A0D56"/>
    <w:rsid w:val="007A0D7F"/>
    <w:rsid w:val="007A0D9B"/>
    <w:rsid w:val="007A0DD8"/>
    <w:rsid w:val="007A0E11"/>
    <w:rsid w:val="007A0E2B"/>
    <w:rsid w:val="007A0EE4"/>
    <w:rsid w:val="007A0EE7"/>
    <w:rsid w:val="007A0EF2"/>
    <w:rsid w:val="007A0F1C"/>
    <w:rsid w:val="007A0F24"/>
    <w:rsid w:val="007A0F27"/>
    <w:rsid w:val="007A0F47"/>
    <w:rsid w:val="007A0F83"/>
    <w:rsid w:val="007A0F84"/>
    <w:rsid w:val="007A0FAC"/>
    <w:rsid w:val="007A0FF5"/>
    <w:rsid w:val="007A1021"/>
    <w:rsid w:val="007A103E"/>
    <w:rsid w:val="007A1064"/>
    <w:rsid w:val="007A1072"/>
    <w:rsid w:val="007A107F"/>
    <w:rsid w:val="007A1122"/>
    <w:rsid w:val="007A1126"/>
    <w:rsid w:val="007A1137"/>
    <w:rsid w:val="007A1196"/>
    <w:rsid w:val="007A11E9"/>
    <w:rsid w:val="007A11FF"/>
    <w:rsid w:val="007A1220"/>
    <w:rsid w:val="007A1224"/>
    <w:rsid w:val="007A1248"/>
    <w:rsid w:val="007A1259"/>
    <w:rsid w:val="007A125F"/>
    <w:rsid w:val="007A1261"/>
    <w:rsid w:val="007A127D"/>
    <w:rsid w:val="007A12EE"/>
    <w:rsid w:val="007A130F"/>
    <w:rsid w:val="007A1390"/>
    <w:rsid w:val="007A1393"/>
    <w:rsid w:val="007A1397"/>
    <w:rsid w:val="007A13B2"/>
    <w:rsid w:val="007A140C"/>
    <w:rsid w:val="007A143A"/>
    <w:rsid w:val="007A1462"/>
    <w:rsid w:val="007A1527"/>
    <w:rsid w:val="007A155C"/>
    <w:rsid w:val="007A155E"/>
    <w:rsid w:val="007A1590"/>
    <w:rsid w:val="007A15B2"/>
    <w:rsid w:val="007A15F1"/>
    <w:rsid w:val="007A1634"/>
    <w:rsid w:val="007A166B"/>
    <w:rsid w:val="007A166D"/>
    <w:rsid w:val="007A1677"/>
    <w:rsid w:val="007A167F"/>
    <w:rsid w:val="007A16FC"/>
    <w:rsid w:val="007A1701"/>
    <w:rsid w:val="007A1750"/>
    <w:rsid w:val="007A17AE"/>
    <w:rsid w:val="007A17B7"/>
    <w:rsid w:val="007A17BA"/>
    <w:rsid w:val="007A17D2"/>
    <w:rsid w:val="007A17FC"/>
    <w:rsid w:val="007A1815"/>
    <w:rsid w:val="007A183D"/>
    <w:rsid w:val="007A1869"/>
    <w:rsid w:val="007A18F2"/>
    <w:rsid w:val="007A18FF"/>
    <w:rsid w:val="007A192E"/>
    <w:rsid w:val="007A193B"/>
    <w:rsid w:val="007A1942"/>
    <w:rsid w:val="007A1960"/>
    <w:rsid w:val="007A199E"/>
    <w:rsid w:val="007A19B7"/>
    <w:rsid w:val="007A19D2"/>
    <w:rsid w:val="007A19F9"/>
    <w:rsid w:val="007A1A37"/>
    <w:rsid w:val="007A1A80"/>
    <w:rsid w:val="007A1AAF"/>
    <w:rsid w:val="007A1AC1"/>
    <w:rsid w:val="007A1B17"/>
    <w:rsid w:val="007A1B41"/>
    <w:rsid w:val="007A1BD9"/>
    <w:rsid w:val="007A1BDB"/>
    <w:rsid w:val="007A1BF8"/>
    <w:rsid w:val="007A1C06"/>
    <w:rsid w:val="007A1C1D"/>
    <w:rsid w:val="007A1C26"/>
    <w:rsid w:val="007A1C80"/>
    <w:rsid w:val="007A1CAE"/>
    <w:rsid w:val="007A1D1C"/>
    <w:rsid w:val="007A1D23"/>
    <w:rsid w:val="007A1D42"/>
    <w:rsid w:val="007A1D57"/>
    <w:rsid w:val="007A1D78"/>
    <w:rsid w:val="007A1DA2"/>
    <w:rsid w:val="007A1DC7"/>
    <w:rsid w:val="007A1DE8"/>
    <w:rsid w:val="007A1DED"/>
    <w:rsid w:val="007A1E1D"/>
    <w:rsid w:val="007A1E28"/>
    <w:rsid w:val="007A1EC0"/>
    <w:rsid w:val="007A1F19"/>
    <w:rsid w:val="007A1F39"/>
    <w:rsid w:val="007A1F8B"/>
    <w:rsid w:val="007A1FB4"/>
    <w:rsid w:val="007A1FC7"/>
    <w:rsid w:val="007A2017"/>
    <w:rsid w:val="007A2054"/>
    <w:rsid w:val="007A20B9"/>
    <w:rsid w:val="007A20D8"/>
    <w:rsid w:val="007A2103"/>
    <w:rsid w:val="007A2128"/>
    <w:rsid w:val="007A2136"/>
    <w:rsid w:val="007A213D"/>
    <w:rsid w:val="007A222E"/>
    <w:rsid w:val="007A228A"/>
    <w:rsid w:val="007A22A1"/>
    <w:rsid w:val="007A230F"/>
    <w:rsid w:val="007A2311"/>
    <w:rsid w:val="007A235A"/>
    <w:rsid w:val="007A235C"/>
    <w:rsid w:val="007A2363"/>
    <w:rsid w:val="007A236F"/>
    <w:rsid w:val="007A2376"/>
    <w:rsid w:val="007A2399"/>
    <w:rsid w:val="007A23D7"/>
    <w:rsid w:val="007A23DE"/>
    <w:rsid w:val="007A23F9"/>
    <w:rsid w:val="007A240F"/>
    <w:rsid w:val="007A247C"/>
    <w:rsid w:val="007A248A"/>
    <w:rsid w:val="007A2491"/>
    <w:rsid w:val="007A2534"/>
    <w:rsid w:val="007A259D"/>
    <w:rsid w:val="007A25E2"/>
    <w:rsid w:val="007A25EB"/>
    <w:rsid w:val="007A25F6"/>
    <w:rsid w:val="007A260D"/>
    <w:rsid w:val="007A262F"/>
    <w:rsid w:val="007A2631"/>
    <w:rsid w:val="007A2683"/>
    <w:rsid w:val="007A269D"/>
    <w:rsid w:val="007A2738"/>
    <w:rsid w:val="007A277D"/>
    <w:rsid w:val="007A27AC"/>
    <w:rsid w:val="007A2803"/>
    <w:rsid w:val="007A2835"/>
    <w:rsid w:val="007A2836"/>
    <w:rsid w:val="007A284B"/>
    <w:rsid w:val="007A286B"/>
    <w:rsid w:val="007A2872"/>
    <w:rsid w:val="007A2892"/>
    <w:rsid w:val="007A289F"/>
    <w:rsid w:val="007A28B8"/>
    <w:rsid w:val="007A28E6"/>
    <w:rsid w:val="007A2918"/>
    <w:rsid w:val="007A2957"/>
    <w:rsid w:val="007A2959"/>
    <w:rsid w:val="007A2969"/>
    <w:rsid w:val="007A2971"/>
    <w:rsid w:val="007A2983"/>
    <w:rsid w:val="007A29BD"/>
    <w:rsid w:val="007A29D9"/>
    <w:rsid w:val="007A29FA"/>
    <w:rsid w:val="007A2A41"/>
    <w:rsid w:val="007A2A4A"/>
    <w:rsid w:val="007A2A5F"/>
    <w:rsid w:val="007A2AB9"/>
    <w:rsid w:val="007A2AC1"/>
    <w:rsid w:val="007A2AD0"/>
    <w:rsid w:val="007A2AE0"/>
    <w:rsid w:val="007A2B18"/>
    <w:rsid w:val="007A2B38"/>
    <w:rsid w:val="007A2B44"/>
    <w:rsid w:val="007A2B50"/>
    <w:rsid w:val="007A2B56"/>
    <w:rsid w:val="007A2B64"/>
    <w:rsid w:val="007A2B67"/>
    <w:rsid w:val="007A2B7C"/>
    <w:rsid w:val="007A2B81"/>
    <w:rsid w:val="007A2B8A"/>
    <w:rsid w:val="007A2B8C"/>
    <w:rsid w:val="007A2BD6"/>
    <w:rsid w:val="007A2BE3"/>
    <w:rsid w:val="007A2BF4"/>
    <w:rsid w:val="007A2C0D"/>
    <w:rsid w:val="007A2C22"/>
    <w:rsid w:val="007A2C4D"/>
    <w:rsid w:val="007A2C8A"/>
    <w:rsid w:val="007A2CE8"/>
    <w:rsid w:val="007A2D4C"/>
    <w:rsid w:val="007A2D54"/>
    <w:rsid w:val="007A2DA0"/>
    <w:rsid w:val="007A2DB6"/>
    <w:rsid w:val="007A2DBE"/>
    <w:rsid w:val="007A2DFD"/>
    <w:rsid w:val="007A2E03"/>
    <w:rsid w:val="007A2E3A"/>
    <w:rsid w:val="007A2E5A"/>
    <w:rsid w:val="007A2E78"/>
    <w:rsid w:val="007A2F23"/>
    <w:rsid w:val="007A2F29"/>
    <w:rsid w:val="007A2F39"/>
    <w:rsid w:val="007A2F4A"/>
    <w:rsid w:val="007A2F71"/>
    <w:rsid w:val="007A2F78"/>
    <w:rsid w:val="007A2F7A"/>
    <w:rsid w:val="007A2F9E"/>
    <w:rsid w:val="007A2FB7"/>
    <w:rsid w:val="007A305F"/>
    <w:rsid w:val="007A30B7"/>
    <w:rsid w:val="007A30DC"/>
    <w:rsid w:val="007A3115"/>
    <w:rsid w:val="007A3129"/>
    <w:rsid w:val="007A3176"/>
    <w:rsid w:val="007A3188"/>
    <w:rsid w:val="007A319F"/>
    <w:rsid w:val="007A31AA"/>
    <w:rsid w:val="007A31AD"/>
    <w:rsid w:val="007A31B0"/>
    <w:rsid w:val="007A31D4"/>
    <w:rsid w:val="007A31E4"/>
    <w:rsid w:val="007A31E9"/>
    <w:rsid w:val="007A3226"/>
    <w:rsid w:val="007A3240"/>
    <w:rsid w:val="007A3244"/>
    <w:rsid w:val="007A3279"/>
    <w:rsid w:val="007A32A2"/>
    <w:rsid w:val="007A3303"/>
    <w:rsid w:val="007A334B"/>
    <w:rsid w:val="007A3357"/>
    <w:rsid w:val="007A335C"/>
    <w:rsid w:val="007A33AA"/>
    <w:rsid w:val="007A33CD"/>
    <w:rsid w:val="007A33F0"/>
    <w:rsid w:val="007A343F"/>
    <w:rsid w:val="007A3454"/>
    <w:rsid w:val="007A3481"/>
    <w:rsid w:val="007A34BD"/>
    <w:rsid w:val="007A34E3"/>
    <w:rsid w:val="007A350D"/>
    <w:rsid w:val="007A358C"/>
    <w:rsid w:val="007A35AB"/>
    <w:rsid w:val="007A3633"/>
    <w:rsid w:val="007A3656"/>
    <w:rsid w:val="007A369A"/>
    <w:rsid w:val="007A36B9"/>
    <w:rsid w:val="007A36EA"/>
    <w:rsid w:val="007A36F8"/>
    <w:rsid w:val="007A3719"/>
    <w:rsid w:val="007A3748"/>
    <w:rsid w:val="007A3798"/>
    <w:rsid w:val="007A37C0"/>
    <w:rsid w:val="007A37C8"/>
    <w:rsid w:val="007A37D5"/>
    <w:rsid w:val="007A37D7"/>
    <w:rsid w:val="007A37E5"/>
    <w:rsid w:val="007A37E6"/>
    <w:rsid w:val="007A37FC"/>
    <w:rsid w:val="007A3813"/>
    <w:rsid w:val="007A3819"/>
    <w:rsid w:val="007A387C"/>
    <w:rsid w:val="007A3890"/>
    <w:rsid w:val="007A38B0"/>
    <w:rsid w:val="007A38C2"/>
    <w:rsid w:val="007A38E1"/>
    <w:rsid w:val="007A3922"/>
    <w:rsid w:val="007A3923"/>
    <w:rsid w:val="007A3925"/>
    <w:rsid w:val="007A398D"/>
    <w:rsid w:val="007A3992"/>
    <w:rsid w:val="007A399B"/>
    <w:rsid w:val="007A39EB"/>
    <w:rsid w:val="007A39F8"/>
    <w:rsid w:val="007A3A69"/>
    <w:rsid w:val="007A3A8B"/>
    <w:rsid w:val="007A3AA4"/>
    <w:rsid w:val="007A3AB5"/>
    <w:rsid w:val="007A3AC0"/>
    <w:rsid w:val="007A3AE9"/>
    <w:rsid w:val="007A3B00"/>
    <w:rsid w:val="007A3B47"/>
    <w:rsid w:val="007A3B4D"/>
    <w:rsid w:val="007A3BC7"/>
    <w:rsid w:val="007A3BDF"/>
    <w:rsid w:val="007A3BF6"/>
    <w:rsid w:val="007A3C2C"/>
    <w:rsid w:val="007A3C90"/>
    <w:rsid w:val="007A3C98"/>
    <w:rsid w:val="007A3CB4"/>
    <w:rsid w:val="007A3CBA"/>
    <w:rsid w:val="007A3CCD"/>
    <w:rsid w:val="007A3D29"/>
    <w:rsid w:val="007A3D56"/>
    <w:rsid w:val="007A3D9E"/>
    <w:rsid w:val="007A3DE0"/>
    <w:rsid w:val="007A3DF8"/>
    <w:rsid w:val="007A3EB6"/>
    <w:rsid w:val="007A3F48"/>
    <w:rsid w:val="007A3FE4"/>
    <w:rsid w:val="007A403C"/>
    <w:rsid w:val="007A403D"/>
    <w:rsid w:val="007A405C"/>
    <w:rsid w:val="007A411C"/>
    <w:rsid w:val="007A4131"/>
    <w:rsid w:val="007A414E"/>
    <w:rsid w:val="007A4150"/>
    <w:rsid w:val="007A41B3"/>
    <w:rsid w:val="007A4259"/>
    <w:rsid w:val="007A42B7"/>
    <w:rsid w:val="007A42D1"/>
    <w:rsid w:val="007A4312"/>
    <w:rsid w:val="007A4346"/>
    <w:rsid w:val="007A4351"/>
    <w:rsid w:val="007A43DC"/>
    <w:rsid w:val="007A43F7"/>
    <w:rsid w:val="007A4403"/>
    <w:rsid w:val="007A441B"/>
    <w:rsid w:val="007A4425"/>
    <w:rsid w:val="007A445A"/>
    <w:rsid w:val="007A4487"/>
    <w:rsid w:val="007A44A7"/>
    <w:rsid w:val="007A44AF"/>
    <w:rsid w:val="007A44D9"/>
    <w:rsid w:val="007A44E3"/>
    <w:rsid w:val="007A4564"/>
    <w:rsid w:val="007A4577"/>
    <w:rsid w:val="007A4592"/>
    <w:rsid w:val="007A45A9"/>
    <w:rsid w:val="007A45AC"/>
    <w:rsid w:val="007A45B3"/>
    <w:rsid w:val="007A45ED"/>
    <w:rsid w:val="007A4634"/>
    <w:rsid w:val="007A4638"/>
    <w:rsid w:val="007A4709"/>
    <w:rsid w:val="007A4718"/>
    <w:rsid w:val="007A472C"/>
    <w:rsid w:val="007A4766"/>
    <w:rsid w:val="007A4782"/>
    <w:rsid w:val="007A47BA"/>
    <w:rsid w:val="007A480C"/>
    <w:rsid w:val="007A488C"/>
    <w:rsid w:val="007A48AF"/>
    <w:rsid w:val="007A48C5"/>
    <w:rsid w:val="007A49EA"/>
    <w:rsid w:val="007A4A00"/>
    <w:rsid w:val="007A4A0D"/>
    <w:rsid w:val="007A4A3B"/>
    <w:rsid w:val="007A4A46"/>
    <w:rsid w:val="007A4AA5"/>
    <w:rsid w:val="007A4AF3"/>
    <w:rsid w:val="007A4AFC"/>
    <w:rsid w:val="007A4B09"/>
    <w:rsid w:val="007A4B1D"/>
    <w:rsid w:val="007A4B5F"/>
    <w:rsid w:val="007A4B8B"/>
    <w:rsid w:val="007A4B9B"/>
    <w:rsid w:val="007A4C03"/>
    <w:rsid w:val="007A4C40"/>
    <w:rsid w:val="007A4C6E"/>
    <w:rsid w:val="007A4C8F"/>
    <w:rsid w:val="007A4CCF"/>
    <w:rsid w:val="007A4D3B"/>
    <w:rsid w:val="007A4D95"/>
    <w:rsid w:val="007A4DB9"/>
    <w:rsid w:val="007A4DCD"/>
    <w:rsid w:val="007A4E1D"/>
    <w:rsid w:val="007A4E27"/>
    <w:rsid w:val="007A4E60"/>
    <w:rsid w:val="007A4E6E"/>
    <w:rsid w:val="007A4E89"/>
    <w:rsid w:val="007A4EA6"/>
    <w:rsid w:val="007A4ED8"/>
    <w:rsid w:val="007A4F74"/>
    <w:rsid w:val="007A4F94"/>
    <w:rsid w:val="007A4FC2"/>
    <w:rsid w:val="007A4FF4"/>
    <w:rsid w:val="007A5008"/>
    <w:rsid w:val="007A500B"/>
    <w:rsid w:val="007A5015"/>
    <w:rsid w:val="007A50A9"/>
    <w:rsid w:val="007A50F7"/>
    <w:rsid w:val="007A511E"/>
    <w:rsid w:val="007A512A"/>
    <w:rsid w:val="007A5149"/>
    <w:rsid w:val="007A5163"/>
    <w:rsid w:val="007A5186"/>
    <w:rsid w:val="007A519C"/>
    <w:rsid w:val="007A5203"/>
    <w:rsid w:val="007A523F"/>
    <w:rsid w:val="007A5251"/>
    <w:rsid w:val="007A525C"/>
    <w:rsid w:val="007A5260"/>
    <w:rsid w:val="007A527D"/>
    <w:rsid w:val="007A5286"/>
    <w:rsid w:val="007A528B"/>
    <w:rsid w:val="007A52A5"/>
    <w:rsid w:val="007A52B4"/>
    <w:rsid w:val="007A52B9"/>
    <w:rsid w:val="007A52F9"/>
    <w:rsid w:val="007A531B"/>
    <w:rsid w:val="007A53A0"/>
    <w:rsid w:val="007A53C8"/>
    <w:rsid w:val="007A5416"/>
    <w:rsid w:val="007A542B"/>
    <w:rsid w:val="007A5473"/>
    <w:rsid w:val="007A547B"/>
    <w:rsid w:val="007A5484"/>
    <w:rsid w:val="007A5489"/>
    <w:rsid w:val="007A5495"/>
    <w:rsid w:val="007A5497"/>
    <w:rsid w:val="007A5504"/>
    <w:rsid w:val="007A5506"/>
    <w:rsid w:val="007A5571"/>
    <w:rsid w:val="007A5595"/>
    <w:rsid w:val="007A55C2"/>
    <w:rsid w:val="007A5634"/>
    <w:rsid w:val="007A5693"/>
    <w:rsid w:val="007A5705"/>
    <w:rsid w:val="007A574A"/>
    <w:rsid w:val="007A5755"/>
    <w:rsid w:val="007A57BA"/>
    <w:rsid w:val="007A57C8"/>
    <w:rsid w:val="007A57C9"/>
    <w:rsid w:val="007A57D4"/>
    <w:rsid w:val="007A57E5"/>
    <w:rsid w:val="007A57F2"/>
    <w:rsid w:val="007A5804"/>
    <w:rsid w:val="007A5815"/>
    <w:rsid w:val="007A581B"/>
    <w:rsid w:val="007A583A"/>
    <w:rsid w:val="007A5857"/>
    <w:rsid w:val="007A586C"/>
    <w:rsid w:val="007A5882"/>
    <w:rsid w:val="007A589A"/>
    <w:rsid w:val="007A58D4"/>
    <w:rsid w:val="007A5900"/>
    <w:rsid w:val="007A5950"/>
    <w:rsid w:val="007A599F"/>
    <w:rsid w:val="007A59F0"/>
    <w:rsid w:val="007A5A67"/>
    <w:rsid w:val="007A5A70"/>
    <w:rsid w:val="007A5A88"/>
    <w:rsid w:val="007A5A89"/>
    <w:rsid w:val="007A5AAC"/>
    <w:rsid w:val="007A5AAE"/>
    <w:rsid w:val="007A5ABB"/>
    <w:rsid w:val="007A5AE5"/>
    <w:rsid w:val="007A5AF5"/>
    <w:rsid w:val="007A5B66"/>
    <w:rsid w:val="007A5B74"/>
    <w:rsid w:val="007A5B90"/>
    <w:rsid w:val="007A5BC4"/>
    <w:rsid w:val="007A5BDB"/>
    <w:rsid w:val="007A5C06"/>
    <w:rsid w:val="007A5C1A"/>
    <w:rsid w:val="007A5C54"/>
    <w:rsid w:val="007A5C61"/>
    <w:rsid w:val="007A5CA5"/>
    <w:rsid w:val="007A5CAC"/>
    <w:rsid w:val="007A5CE7"/>
    <w:rsid w:val="007A5CEA"/>
    <w:rsid w:val="007A5D1F"/>
    <w:rsid w:val="007A5D33"/>
    <w:rsid w:val="007A5D5C"/>
    <w:rsid w:val="007A5D5D"/>
    <w:rsid w:val="007A5D8C"/>
    <w:rsid w:val="007A5DEC"/>
    <w:rsid w:val="007A5DFC"/>
    <w:rsid w:val="007A5E53"/>
    <w:rsid w:val="007A5E5F"/>
    <w:rsid w:val="007A5E66"/>
    <w:rsid w:val="007A5E7A"/>
    <w:rsid w:val="007A5E8C"/>
    <w:rsid w:val="007A5EB5"/>
    <w:rsid w:val="007A5ED8"/>
    <w:rsid w:val="007A5F17"/>
    <w:rsid w:val="007A5F42"/>
    <w:rsid w:val="007A5FA4"/>
    <w:rsid w:val="007A5FB1"/>
    <w:rsid w:val="007A5FD6"/>
    <w:rsid w:val="007A6013"/>
    <w:rsid w:val="007A602B"/>
    <w:rsid w:val="007A6065"/>
    <w:rsid w:val="007A607D"/>
    <w:rsid w:val="007A60CA"/>
    <w:rsid w:val="007A60DC"/>
    <w:rsid w:val="007A6162"/>
    <w:rsid w:val="007A620E"/>
    <w:rsid w:val="007A6222"/>
    <w:rsid w:val="007A6252"/>
    <w:rsid w:val="007A62A6"/>
    <w:rsid w:val="007A62AE"/>
    <w:rsid w:val="007A62D5"/>
    <w:rsid w:val="007A62ED"/>
    <w:rsid w:val="007A6315"/>
    <w:rsid w:val="007A6359"/>
    <w:rsid w:val="007A6367"/>
    <w:rsid w:val="007A637A"/>
    <w:rsid w:val="007A6406"/>
    <w:rsid w:val="007A6441"/>
    <w:rsid w:val="007A650B"/>
    <w:rsid w:val="007A6559"/>
    <w:rsid w:val="007A6585"/>
    <w:rsid w:val="007A65C2"/>
    <w:rsid w:val="007A65D7"/>
    <w:rsid w:val="007A6607"/>
    <w:rsid w:val="007A6617"/>
    <w:rsid w:val="007A664C"/>
    <w:rsid w:val="007A6667"/>
    <w:rsid w:val="007A66BC"/>
    <w:rsid w:val="007A66F8"/>
    <w:rsid w:val="007A6729"/>
    <w:rsid w:val="007A674B"/>
    <w:rsid w:val="007A6785"/>
    <w:rsid w:val="007A6810"/>
    <w:rsid w:val="007A683F"/>
    <w:rsid w:val="007A6863"/>
    <w:rsid w:val="007A69A2"/>
    <w:rsid w:val="007A69AE"/>
    <w:rsid w:val="007A69BC"/>
    <w:rsid w:val="007A69D5"/>
    <w:rsid w:val="007A6A03"/>
    <w:rsid w:val="007A6A14"/>
    <w:rsid w:val="007A6A49"/>
    <w:rsid w:val="007A6A55"/>
    <w:rsid w:val="007A6A7F"/>
    <w:rsid w:val="007A6A8B"/>
    <w:rsid w:val="007A6A9B"/>
    <w:rsid w:val="007A6AB2"/>
    <w:rsid w:val="007A6AC7"/>
    <w:rsid w:val="007A6ACD"/>
    <w:rsid w:val="007A6B47"/>
    <w:rsid w:val="007A6BC1"/>
    <w:rsid w:val="007A6BD7"/>
    <w:rsid w:val="007A6C34"/>
    <w:rsid w:val="007A6C85"/>
    <w:rsid w:val="007A6C8C"/>
    <w:rsid w:val="007A6CA4"/>
    <w:rsid w:val="007A6D2E"/>
    <w:rsid w:val="007A6D45"/>
    <w:rsid w:val="007A6D4F"/>
    <w:rsid w:val="007A6D67"/>
    <w:rsid w:val="007A6D6B"/>
    <w:rsid w:val="007A6DA5"/>
    <w:rsid w:val="007A6DC5"/>
    <w:rsid w:val="007A6DCE"/>
    <w:rsid w:val="007A6DFA"/>
    <w:rsid w:val="007A6E1F"/>
    <w:rsid w:val="007A6E5D"/>
    <w:rsid w:val="007A6EAE"/>
    <w:rsid w:val="007A6EDC"/>
    <w:rsid w:val="007A6F3A"/>
    <w:rsid w:val="007A6F7B"/>
    <w:rsid w:val="007A6F9C"/>
    <w:rsid w:val="007A6FA3"/>
    <w:rsid w:val="007A6FE3"/>
    <w:rsid w:val="007A7018"/>
    <w:rsid w:val="007A7048"/>
    <w:rsid w:val="007A7049"/>
    <w:rsid w:val="007A704F"/>
    <w:rsid w:val="007A7052"/>
    <w:rsid w:val="007A7066"/>
    <w:rsid w:val="007A7071"/>
    <w:rsid w:val="007A7083"/>
    <w:rsid w:val="007A7090"/>
    <w:rsid w:val="007A70BA"/>
    <w:rsid w:val="007A70D0"/>
    <w:rsid w:val="007A70DF"/>
    <w:rsid w:val="007A7118"/>
    <w:rsid w:val="007A715A"/>
    <w:rsid w:val="007A7166"/>
    <w:rsid w:val="007A717A"/>
    <w:rsid w:val="007A7183"/>
    <w:rsid w:val="007A7187"/>
    <w:rsid w:val="007A71A0"/>
    <w:rsid w:val="007A71AA"/>
    <w:rsid w:val="007A71BB"/>
    <w:rsid w:val="007A71BF"/>
    <w:rsid w:val="007A71F3"/>
    <w:rsid w:val="007A71FB"/>
    <w:rsid w:val="007A7269"/>
    <w:rsid w:val="007A7272"/>
    <w:rsid w:val="007A72B4"/>
    <w:rsid w:val="007A7332"/>
    <w:rsid w:val="007A7340"/>
    <w:rsid w:val="007A7345"/>
    <w:rsid w:val="007A737A"/>
    <w:rsid w:val="007A73EB"/>
    <w:rsid w:val="007A7420"/>
    <w:rsid w:val="007A7429"/>
    <w:rsid w:val="007A744B"/>
    <w:rsid w:val="007A749E"/>
    <w:rsid w:val="007A750E"/>
    <w:rsid w:val="007A7531"/>
    <w:rsid w:val="007A7534"/>
    <w:rsid w:val="007A7558"/>
    <w:rsid w:val="007A756F"/>
    <w:rsid w:val="007A75D5"/>
    <w:rsid w:val="007A75EA"/>
    <w:rsid w:val="007A7694"/>
    <w:rsid w:val="007A7697"/>
    <w:rsid w:val="007A76A7"/>
    <w:rsid w:val="007A76C9"/>
    <w:rsid w:val="007A76D6"/>
    <w:rsid w:val="007A76E8"/>
    <w:rsid w:val="007A7703"/>
    <w:rsid w:val="007A7781"/>
    <w:rsid w:val="007A7790"/>
    <w:rsid w:val="007A77C2"/>
    <w:rsid w:val="007A784C"/>
    <w:rsid w:val="007A786E"/>
    <w:rsid w:val="007A7879"/>
    <w:rsid w:val="007A787E"/>
    <w:rsid w:val="007A7884"/>
    <w:rsid w:val="007A7918"/>
    <w:rsid w:val="007A794C"/>
    <w:rsid w:val="007A7963"/>
    <w:rsid w:val="007A796A"/>
    <w:rsid w:val="007A7A0E"/>
    <w:rsid w:val="007A7A42"/>
    <w:rsid w:val="007A7A56"/>
    <w:rsid w:val="007A7A96"/>
    <w:rsid w:val="007A7A97"/>
    <w:rsid w:val="007A7ACB"/>
    <w:rsid w:val="007A7AD8"/>
    <w:rsid w:val="007A7AE6"/>
    <w:rsid w:val="007A7B00"/>
    <w:rsid w:val="007A7B46"/>
    <w:rsid w:val="007A7B5A"/>
    <w:rsid w:val="007A7B92"/>
    <w:rsid w:val="007A7BAC"/>
    <w:rsid w:val="007A7BDC"/>
    <w:rsid w:val="007A7BEB"/>
    <w:rsid w:val="007A7BF4"/>
    <w:rsid w:val="007A7C0F"/>
    <w:rsid w:val="007A7CA6"/>
    <w:rsid w:val="007A7CC6"/>
    <w:rsid w:val="007A7CD4"/>
    <w:rsid w:val="007A7D10"/>
    <w:rsid w:val="007A7D27"/>
    <w:rsid w:val="007A7D2F"/>
    <w:rsid w:val="007A7D8F"/>
    <w:rsid w:val="007A7DB8"/>
    <w:rsid w:val="007A7DC2"/>
    <w:rsid w:val="007A7DE0"/>
    <w:rsid w:val="007A7E08"/>
    <w:rsid w:val="007A7E15"/>
    <w:rsid w:val="007A7E92"/>
    <w:rsid w:val="007A7EA1"/>
    <w:rsid w:val="007A7EB7"/>
    <w:rsid w:val="007A7EBB"/>
    <w:rsid w:val="007A7EE9"/>
    <w:rsid w:val="007A7EF7"/>
    <w:rsid w:val="007A7EFE"/>
    <w:rsid w:val="007A7F0D"/>
    <w:rsid w:val="007A7F90"/>
    <w:rsid w:val="007A7FBB"/>
    <w:rsid w:val="007A7FCE"/>
    <w:rsid w:val="007A7FF1"/>
    <w:rsid w:val="007A7FFD"/>
    <w:rsid w:val="007AA16F"/>
    <w:rsid w:val="007B0004"/>
    <w:rsid w:val="007B002C"/>
    <w:rsid w:val="007B0069"/>
    <w:rsid w:val="007B0076"/>
    <w:rsid w:val="007B0087"/>
    <w:rsid w:val="007B0090"/>
    <w:rsid w:val="007B0091"/>
    <w:rsid w:val="007B00C6"/>
    <w:rsid w:val="007B00CA"/>
    <w:rsid w:val="007B00D6"/>
    <w:rsid w:val="007B0105"/>
    <w:rsid w:val="007B0110"/>
    <w:rsid w:val="007B0143"/>
    <w:rsid w:val="007B015F"/>
    <w:rsid w:val="007B0167"/>
    <w:rsid w:val="007B0179"/>
    <w:rsid w:val="007B019B"/>
    <w:rsid w:val="007B01B5"/>
    <w:rsid w:val="007B0212"/>
    <w:rsid w:val="007B0224"/>
    <w:rsid w:val="007B0258"/>
    <w:rsid w:val="007B027E"/>
    <w:rsid w:val="007B029D"/>
    <w:rsid w:val="007B02AB"/>
    <w:rsid w:val="007B02C4"/>
    <w:rsid w:val="007B02D9"/>
    <w:rsid w:val="007B0316"/>
    <w:rsid w:val="007B033D"/>
    <w:rsid w:val="007B03CF"/>
    <w:rsid w:val="007B03DA"/>
    <w:rsid w:val="007B040A"/>
    <w:rsid w:val="007B0450"/>
    <w:rsid w:val="007B0556"/>
    <w:rsid w:val="007B055C"/>
    <w:rsid w:val="007B0591"/>
    <w:rsid w:val="007B05E4"/>
    <w:rsid w:val="007B05EB"/>
    <w:rsid w:val="007B068A"/>
    <w:rsid w:val="007B068F"/>
    <w:rsid w:val="007B06E9"/>
    <w:rsid w:val="007B06FC"/>
    <w:rsid w:val="007B0705"/>
    <w:rsid w:val="007B0707"/>
    <w:rsid w:val="007B0718"/>
    <w:rsid w:val="007B0741"/>
    <w:rsid w:val="007B0820"/>
    <w:rsid w:val="007B0821"/>
    <w:rsid w:val="007B0849"/>
    <w:rsid w:val="007B0872"/>
    <w:rsid w:val="007B08AB"/>
    <w:rsid w:val="007B08ED"/>
    <w:rsid w:val="007B091E"/>
    <w:rsid w:val="007B0922"/>
    <w:rsid w:val="007B092A"/>
    <w:rsid w:val="007B0951"/>
    <w:rsid w:val="007B09C3"/>
    <w:rsid w:val="007B09F7"/>
    <w:rsid w:val="007B09FB"/>
    <w:rsid w:val="007B09FC"/>
    <w:rsid w:val="007B0A19"/>
    <w:rsid w:val="007B0A9F"/>
    <w:rsid w:val="007B0AC3"/>
    <w:rsid w:val="007B0ACB"/>
    <w:rsid w:val="007B0B1F"/>
    <w:rsid w:val="007B0B5E"/>
    <w:rsid w:val="007B0B78"/>
    <w:rsid w:val="007B0C2E"/>
    <w:rsid w:val="007B0C87"/>
    <w:rsid w:val="007B0CA8"/>
    <w:rsid w:val="007B0CD8"/>
    <w:rsid w:val="007B0CF3"/>
    <w:rsid w:val="007B0D08"/>
    <w:rsid w:val="007B0D0E"/>
    <w:rsid w:val="007B0D12"/>
    <w:rsid w:val="007B0D21"/>
    <w:rsid w:val="007B0D22"/>
    <w:rsid w:val="007B0D33"/>
    <w:rsid w:val="007B0D45"/>
    <w:rsid w:val="007B0D74"/>
    <w:rsid w:val="007B0DB4"/>
    <w:rsid w:val="007B0DDC"/>
    <w:rsid w:val="007B0E0E"/>
    <w:rsid w:val="007B0E1E"/>
    <w:rsid w:val="007B0E21"/>
    <w:rsid w:val="007B0E28"/>
    <w:rsid w:val="007B0E31"/>
    <w:rsid w:val="007B0E3D"/>
    <w:rsid w:val="007B0E51"/>
    <w:rsid w:val="007B0E59"/>
    <w:rsid w:val="007B0E88"/>
    <w:rsid w:val="007B0E8C"/>
    <w:rsid w:val="007B0E95"/>
    <w:rsid w:val="007B0E9A"/>
    <w:rsid w:val="007B0EAD"/>
    <w:rsid w:val="007B0EDA"/>
    <w:rsid w:val="007B0F2C"/>
    <w:rsid w:val="007B0F3C"/>
    <w:rsid w:val="007B0F77"/>
    <w:rsid w:val="007B0F84"/>
    <w:rsid w:val="007B0FA6"/>
    <w:rsid w:val="007B0FAA"/>
    <w:rsid w:val="007B1001"/>
    <w:rsid w:val="007B1016"/>
    <w:rsid w:val="007B104A"/>
    <w:rsid w:val="007B10D9"/>
    <w:rsid w:val="007B10DC"/>
    <w:rsid w:val="007B10E9"/>
    <w:rsid w:val="007B1110"/>
    <w:rsid w:val="007B1187"/>
    <w:rsid w:val="007B120B"/>
    <w:rsid w:val="007B1232"/>
    <w:rsid w:val="007B1249"/>
    <w:rsid w:val="007B12AD"/>
    <w:rsid w:val="007B12EF"/>
    <w:rsid w:val="007B133A"/>
    <w:rsid w:val="007B1358"/>
    <w:rsid w:val="007B1366"/>
    <w:rsid w:val="007B1392"/>
    <w:rsid w:val="007B13D0"/>
    <w:rsid w:val="007B13F7"/>
    <w:rsid w:val="007B1443"/>
    <w:rsid w:val="007B1476"/>
    <w:rsid w:val="007B14AC"/>
    <w:rsid w:val="007B14CA"/>
    <w:rsid w:val="007B1536"/>
    <w:rsid w:val="007B1578"/>
    <w:rsid w:val="007B158B"/>
    <w:rsid w:val="007B15A1"/>
    <w:rsid w:val="007B15D6"/>
    <w:rsid w:val="007B15EA"/>
    <w:rsid w:val="007B1607"/>
    <w:rsid w:val="007B1627"/>
    <w:rsid w:val="007B1631"/>
    <w:rsid w:val="007B1680"/>
    <w:rsid w:val="007B16CF"/>
    <w:rsid w:val="007B16D4"/>
    <w:rsid w:val="007B1719"/>
    <w:rsid w:val="007B1758"/>
    <w:rsid w:val="007B177F"/>
    <w:rsid w:val="007B178B"/>
    <w:rsid w:val="007B17CD"/>
    <w:rsid w:val="007B17E8"/>
    <w:rsid w:val="007B1808"/>
    <w:rsid w:val="007B181E"/>
    <w:rsid w:val="007B1841"/>
    <w:rsid w:val="007B18E4"/>
    <w:rsid w:val="007B1940"/>
    <w:rsid w:val="007B194F"/>
    <w:rsid w:val="007B19DE"/>
    <w:rsid w:val="007B1A68"/>
    <w:rsid w:val="007B1A7A"/>
    <w:rsid w:val="007B1B26"/>
    <w:rsid w:val="007B1B63"/>
    <w:rsid w:val="007B1B91"/>
    <w:rsid w:val="007B1BB0"/>
    <w:rsid w:val="007B1BC0"/>
    <w:rsid w:val="007B1BFA"/>
    <w:rsid w:val="007B1C2D"/>
    <w:rsid w:val="007B1C52"/>
    <w:rsid w:val="007B1C55"/>
    <w:rsid w:val="007B1C73"/>
    <w:rsid w:val="007B1C76"/>
    <w:rsid w:val="007B1CC5"/>
    <w:rsid w:val="007B1CE6"/>
    <w:rsid w:val="007B1D44"/>
    <w:rsid w:val="007B1D4A"/>
    <w:rsid w:val="007B1D53"/>
    <w:rsid w:val="007B1D88"/>
    <w:rsid w:val="007B1D93"/>
    <w:rsid w:val="007B1DBA"/>
    <w:rsid w:val="007B1DDE"/>
    <w:rsid w:val="007B1DF5"/>
    <w:rsid w:val="007B1E0C"/>
    <w:rsid w:val="007B1E4D"/>
    <w:rsid w:val="007B1E7C"/>
    <w:rsid w:val="007B1E98"/>
    <w:rsid w:val="007B1EBC"/>
    <w:rsid w:val="007B1F4E"/>
    <w:rsid w:val="007B1F75"/>
    <w:rsid w:val="007B1F98"/>
    <w:rsid w:val="007B1FAE"/>
    <w:rsid w:val="007B1FF4"/>
    <w:rsid w:val="007B201A"/>
    <w:rsid w:val="007B2034"/>
    <w:rsid w:val="007B203C"/>
    <w:rsid w:val="007B2041"/>
    <w:rsid w:val="007B2081"/>
    <w:rsid w:val="007B2087"/>
    <w:rsid w:val="007B2093"/>
    <w:rsid w:val="007B20CE"/>
    <w:rsid w:val="007B2119"/>
    <w:rsid w:val="007B219A"/>
    <w:rsid w:val="007B21CA"/>
    <w:rsid w:val="007B220D"/>
    <w:rsid w:val="007B2239"/>
    <w:rsid w:val="007B2327"/>
    <w:rsid w:val="007B2338"/>
    <w:rsid w:val="007B234B"/>
    <w:rsid w:val="007B234F"/>
    <w:rsid w:val="007B2393"/>
    <w:rsid w:val="007B23A3"/>
    <w:rsid w:val="007B23A7"/>
    <w:rsid w:val="007B23AE"/>
    <w:rsid w:val="007B23B8"/>
    <w:rsid w:val="007B2404"/>
    <w:rsid w:val="007B2472"/>
    <w:rsid w:val="007B24B9"/>
    <w:rsid w:val="007B24D7"/>
    <w:rsid w:val="007B24E7"/>
    <w:rsid w:val="007B2502"/>
    <w:rsid w:val="007B253E"/>
    <w:rsid w:val="007B2583"/>
    <w:rsid w:val="007B2596"/>
    <w:rsid w:val="007B2605"/>
    <w:rsid w:val="007B263C"/>
    <w:rsid w:val="007B2680"/>
    <w:rsid w:val="007B2708"/>
    <w:rsid w:val="007B272F"/>
    <w:rsid w:val="007B2738"/>
    <w:rsid w:val="007B2749"/>
    <w:rsid w:val="007B2778"/>
    <w:rsid w:val="007B27C0"/>
    <w:rsid w:val="007B27C1"/>
    <w:rsid w:val="007B2807"/>
    <w:rsid w:val="007B2809"/>
    <w:rsid w:val="007B2862"/>
    <w:rsid w:val="007B2877"/>
    <w:rsid w:val="007B2899"/>
    <w:rsid w:val="007B289D"/>
    <w:rsid w:val="007B28B6"/>
    <w:rsid w:val="007B28DC"/>
    <w:rsid w:val="007B28E7"/>
    <w:rsid w:val="007B2916"/>
    <w:rsid w:val="007B2922"/>
    <w:rsid w:val="007B2953"/>
    <w:rsid w:val="007B2960"/>
    <w:rsid w:val="007B2971"/>
    <w:rsid w:val="007B298B"/>
    <w:rsid w:val="007B2997"/>
    <w:rsid w:val="007B2A1F"/>
    <w:rsid w:val="007B2ABA"/>
    <w:rsid w:val="007B2B15"/>
    <w:rsid w:val="007B2B28"/>
    <w:rsid w:val="007B2B7D"/>
    <w:rsid w:val="007B2BD1"/>
    <w:rsid w:val="007B2BF1"/>
    <w:rsid w:val="007B2BFC"/>
    <w:rsid w:val="007B2C09"/>
    <w:rsid w:val="007B2C33"/>
    <w:rsid w:val="007B2C3D"/>
    <w:rsid w:val="007B2C7A"/>
    <w:rsid w:val="007B2C98"/>
    <w:rsid w:val="007B2CB2"/>
    <w:rsid w:val="007B2CE1"/>
    <w:rsid w:val="007B2D4F"/>
    <w:rsid w:val="007B2D60"/>
    <w:rsid w:val="007B2D70"/>
    <w:rsid w:val="007B2D8C"/>
    <w:rsid w:val="007B2DAC"/>
    <w:rsid w:val="007B2DCD"/>
    <w:rsid w:val="007B2DF8"/>
    <w:rsid w:val="007B2E71"/>
    <w:rsid w:val="007B2EA6"/>
    <w:rsid w:val="007B2EAA"/>
    <w:rsid w:val="007B2EF9"/>
    <w:rsid w:val="007B2F3C"/>
    <w:rsid w:val="007B2F9D"/>
    <w:rsid w:val="007B2FA1"/>
    <w:rsid w:val="007B2FC1"/>
    <w:rsid w:val="007B2FF3"/>
    <w:rsid w:val="007B2FF8"/>
    <w:rsid w:val="007B300F"/>
    <w:rsid w:val="007B3073"/>
    <w:rsid w:val="007B3181"/>
    <w:rsid w:val="007B31CE"/>
    <w:rsid w:val="007B31DB"/>
    <w:rsid w:val="007B31DD"/>
    <w:rsid w:val="007B31E2"/>
    <w:rsid w:val="007B3202"/>
    <w:rsid w:val="007B3219"/>
    <w:rsid w:val="007B3241"/>
    <w:rsid w:val="007B3259"/>
    <w:rsid w:val="007B3299"/>
    <w:rsid w:val="007B32DE"/>
    <w:rsid w:val="007B32F9"/>
    <w:rsid w:val="007B336D"/>
    <w:rsid w:val="007B3373"/>
    <w:rsid w:val="007B33BF"/>
    <w:rsid w:val="007B33C0"/>
    <w:rsid w:val="007B33D5"/>
    <w:rsid w:val="007B33F5"/>
    <w:rsid w:val="007B3409"/>
    <w:rsid w:val="007B3471"/>
    <w:rsid w:val="007B34A5"/>
    <w:rsid w:val="007B34D5"/>
    <w:rsid w:val="007B34D9"/>
    <w:rsid w:val="007B3510"/>
    <w:rsid w:val="007B3570"/>
    <w:rsid w:val="007B3576"/>
    <w:rsid w:val="007B35DC"/>
    <w:rsid w:val="007B363F"/>
    <w:rsid w:val="007B3649"/>
    <w:rsid w:val="007B3697"/>
    <w:rsid w:val="007B36A4"/>
    <w:rsid w:val="007B36AB"/>
    <w:rsid w:val="007B375B"/>
    <w:rsid w:val="007B377A"/>
    <w:rsid w:val="007B37F9"/>
    <w:rsid w:val="007B37FD"/>
    <w:rsid w:val="007B3805"/>
    <w:rsid w:val="007B381D"/>
    <w:rsid w:val="007B383E"/>
    <w:rsid w:val="007B384E"/>
    <w:rsid w:val="007B3871"/>
    <w:rsid w:val="007B3892"/>
    <w:rsid w:val="007B3906"/>
    <w:rsid w:val="007B390C"/>
    <w:rsid w:val="007B3A0D"/>
    <w:rsid w:val="007B3A23"/>
    <w:rsid w:val="007B3A33"/>
    <w:rsid w:val="007B3A44"/>
    <w:rsid w:val="007B3A69"/>
    <w:rsid w:val="007B3A99"/>
    <w:rsid w:val="007B3AB1"/>
    <w:rsid w:val="007B3B1C"/>
    <w:rsid w:val="007B3B26"/>
    <w:rsid w:val="007B3C3A"/>
    <w:rsid w:val="007B3C48"/>
    <w:rsid w:val="007B3C81"/>
    <w:rsid w:val="007B3CAD"/>
    <w:rsid w:val="007B3CB3"/>
    <w:rsid w:val="007B3D2A"/>
    <w:rsid w:val="007B3D65"/>
    <w:rsid w:val="007B3D79"/>
    <w:rsid w:val="007B3D7D"/>
    <w:rsid w:val="007B3DBB"/>
    <w:rsid w:val="007B3DFC"/>
    <w:rsid w:val="007B3E13"/>
    <w:rsid w:val="007B3E21"/>
    <w:rsid w:val="007B3E9F"/>
    <w:rsid w:val="007B3EB3"/>
    <w:rsid w:val="007B3EDD"/>
    <w:rsid w:val="007B3EF4"/>
    <w:rsid w:val="007B3EFC"/>
    <w:rsid w:val="007B3F3F"/>
    <w:rsid w:val="007B3F53"/>
    <w:rsid w:val="007B3F56"/>
    <w:rsid w:val="007B3F85"/>
    <w:rsid w:val="007B3F9C"/>
    <w:rsid w:val="007B407A"/>
    <w:rsid w:val="007B408D"/>
    <w:rsid w:val="007B4097"/>
    <w:rsid w:val="007B40AC"/>
    <w:rsid w:val="007B4100"/>
    <w:rsid w:val="007B4137"/>
    <w:rsid w:val="007B41AB"/>
    <w:rsid w:val="007B41D9"/>
    <w:rsid w:val="007B41F9"/>
    <w:rsid w:val="007B4211"/>
    <w:rsid w:val="007B4230"/>
    <w:rsid w:val="007B425F"/>
    <w:rsid w:val="007B428A"/>
    <w:rsid w:val="007B4306"/>
    <w:rsid w:val="007B4315"/>
    <w:rsid w:val="007B4326"/>
    <w:rsid w:val="007B434C"/>
    <w:rsid w:val="007B4467"/>
    <w:rsid w:val="007B446C"/>
    <w:rsid w:val="007B447C"/>
    <w:rsid w:val="007B4482"/>
    <w:rsid w:val="007B4485"/>
    <w:rsid w:val="007B44A0"/>
    <w:rsid w:val="007B44C2"/>
    <w:rsid w:val="007B4504"/>
    <w:rsid w:val="007B4556"/>
    <w:rsid w:val="007B4562"/>
    <w:rsid w:val="007B4592"/>
    <w:rsid w:val="007B45D1"/>
    <w:rsid w:val="007B45FD"/>
    <w:rsid w:val="007B4694"/>
    <w:rsid w:val="007B46E2"/>
    <w:rsid w:val="007B477F"/>
    <w:rsid w:val="007B47E9"/>
    <w:rsid w:val="007B4802"/>
    <w:rsid w:val="007B4871"/>
    <w:rsid w:val="007B48B8"/>
    <w:rsid w:val="007B48CD"/>
    <w:rsid w:val="007B4941"/>
    <w:rsid w:val="007B494D"/>
    <w:rsid w:val="007B4975"/>
    <w:rsid w:val="007B49AC"/>
    <w:rsid w:val="007B49CF"/>
    <w:rsid w:val="007B49D9"/>
    <w:rsid w:val="007B49E2"/>
    <w:rsid w:val="007B49E5"/>
    <w:rsid w:val="007B4A19"/>
    <w:rsid w:val="007B4A28"/>
    <w:rsid w:val="007B4A31"/>
    <w:rsid w:val="007B4A37"/>
    <w:rsid w:val="007B4A5F"/>
    <w:rsid w:val="007B4A7F"/>
    <w:rsid w:val="007B4A94"/>
    <w:rsid w:val="007B4AA8"/>
    <w:rsid w:val="007B4AA9"/>
    <w:rsid w:val="007B4AAC"/>
    <w:rsid w:val="007B4AAF"/>
    <w:rsid w:val="007B4AB2"/>
    <w:rsid w:val="007B4ABC"/>
    <w:rsid w:val="007B4B11"/>
    <w:rsid w:val="007B4B56"/>
    <w:rsid w:val="007B4B87"/>
    <w:rsid w:val="007B4BA6"/>
    <w:rsid w:val="007B4BFC"/>
    <w:rsid w:val="007B4C04"/>
    <w:rsid w:val="007B4C40"/>
    <w:rsid w:val="007B4C65"/>
    <w:rsid w:val="007B4C71"/>
    <w:rsid w:val="007B4C8A"/>
    <w:rsid w:val="007B4CB1"/>
    <w:rsid w:val="007B4CBA"/>
    <w:rsid w:val="007B4D04"/>
    <w:rsid w:val="007B4D2B"/>
    <w:rsid w:val="007B4D57"/>
    <w:rsid w:val="007B4DB6"/>
    <w:rsid w:val="007B4DFA"/>
    <w:rsid w:val="007B4E04"/>
    <w:rsid w:val="007B4E11"/>
    <w:rsid w:val="007B4E25"/>
    <w:rsid w:val="007B4E29"/>
    <w:rsid w:val="007B4EA3"/>
    <w:rsid w:val="007B4EAB"/>
    <w:rsid w:val="007B4F08"/>
    <w:rsid w:val="007B4F18"/>
    <w:rsid w:val="007B4FA6"/>
    <w:rsid w:val="007B500C"/>
    <w:rsid w:val="007B5016"/>
    <w:rsid w:val="007B5043"/>
    <w:rsid w:val="007B506B"/>
    <w:rsid w:val="007B5158"/>
    <w:rsid w:val="007B515E"/>
    <w:rsid w:val="007B5176"/>
    <w:rsid w:val="007B5220"/>
    <w:rsid w:val="007B5243"/>
    <w:rsid w:val="007B5265"/>
    <w:rsid w:val="007B52BD"/>
    <w:rsid w:val="007B533A"/>
    <w:rsid w:val="007B535D"/>
    <w:rsid w:val="007B535E"/>
    <w:rsid w:val="007B536A"/>
    <w:rsid w:val="007B5371"/>
    <w:rsid w:val="007B5381"/>
    <w:rsid w:val="007B5396"/>
    <w:rsid w:val="007B53F6"/>
    <w:rsid w:val="007B54A8"/>
    <w:rsid w:val="007B54D2"/>
    <w:rsid w:val="007B54D9"/>
    <w:rsid w:val="007B555A"/>
    <w:rsid w:val="007B5595"/>
    <w:rsid w:val="007B55A0"/>
    <w:rsid w:val="007B55A6"/>
    <w:rsid w:val="007B55AA"/>
    <w:rsid w:val="007B55B0"/>
    <w:rsid w:val="007B55FF"/>
    <w:rsid w:val="007B5635"/>
    <w:rsid w:val="007B563E"/>
    <w:rsid w:val="007B5643"/>
    <w:rsid w:val="007B564A"/>
    <w:rsid w:val="007B567A"/>
    <w:rsid w:val="007B569D"/>
    <w:rsid w:val="007B56C2"/>
    <w:rsid w:val="007B56C6"/>
    <w:rsid w:val="007B56C7"/>
    <w:rsid w:val="007B5738"/>
    <w:rsid w:val="007B5792"/>
    <w:rsid w:val="007B5794"/>
    <w:rsid w:val="007B57A7"/>
    <w:rsid w:val="007B57E9"/>
    <w:rsid w:val="007B5812"/>
    <w:rsid w:val="007B5822"/>
    <w:rsid w:val="007B5829"/>
    <w:rsid w:val="007B5851"/>
    <w:rsid w:val="007B5877"/>
    <w:rsid w:val="007B5899"/>
    <w:rsid w:val="007B589B"/>
    <w:rsid w:val="007B58B1"/>
    <w:rsid w:val="007B58C0"/>
    <w:rsid w:val="007B5919"/>
    <w:rsid w:val="007B591A"/>
    <w:rsid w:val="007B5941"/>
    <w:rsid w:val="007B595B"/>
    <w:rsid w:val="007B59BA"/>
    <w:rsid w:val="007B59CE"/>
    <w:rsid w:val="007B59D1"/>
    <w:rsid w:val="007B59F8"/>
    <w:rsid w:val="007B59FA"/>
    <w:rsid w:val="007B59FE"/>
    <w:rsid w:val="007B5A0E"/>
    <w:rsid w:val="007B5A71"/>
    <w:rsid w:val="007B5A79"/>
    <w:rsid w:val="007B5A8F"/>
    <w:rsid w:val="007B5A95"/>
    <w:rsid w:val="007B5ACC"/>
    <w:rsid w:val="007B5AD5"/>
    <w:rsid w:val="007B5AD7"/>
    <w:rsid w:val="007B5AE7"/>
    <w:rsid w:val="007B5AF2"/>
    <w:rsid w:val="007B5B0A"/>
    <w:rsid w:val="007B5B31"/>
    <w:rsid w:val="007B5B70"/>
    <w:rsid w:val="007B5BA4"/>
    <w:rsid w:val="007B5BA5"/>
    <w:rsid w:val="007B5BD1"/>
    <w:rsid w:val="007B5BFA"/>
    <w:rsid w:val="007B5C02"/>
    <w:rsid w:val="007B5C48"/>
    <w:rsid w:val="007B5C5C"/>
    <w:rsid w:val="007B5C8A"/>
    <w:rsid w:val="007B5C96"/>
    <w:rsid w:val="007B5CDD"/>
    <w:rsid w:val="007B5D76"/>
    <w:rsid w:val="007B5D7F"/>
    <w:rsid w:val="007B5DA8"/>
    <w:rsid w:val="007B5DFC"/>
    <w:rsid w:val="007B5E31"/>
    <w:rsid w:val="007B5E52"/>
    <w:rsid w:val="007B5E7A"/>
    <w:rsid w:val="007B5EA1"/>
    <w:rsid w:val="007B5EAF"/>
    <w:rsid w:val="007B5EEC"/>
    <w:rsid w:val="007B5EF1"/>
    <w:rsid w:val="007B5F0B"/>
    <w:rsid w:val="007B5F83"/>
    <w:rsid w:val="007B5FF8"/>
    <w:rsid w:val="007B601C"/>
    <w:rsid w:val="007B6048"/>
    <w:rsid w:val="007B6121"/>
    <w:rsid w:val="007B6133"/>
    <w:rsid w:val="007B617A"/>
    <w:rsid w:val="007B61AB"/>
    <w:rsid w:val="007B61C7"/>
    <w:rsid w:val="007B626C"/>
    <w:rsid w:val="007B6272"/>
    <w:rsid w:val="007B6284"/>
    <w:rsid w:val="007B633F"/>
    <w:rsid w:val="007B6351"/>
    <w:rsid w:val="007B638E"/>
    <w:rsid w:val="007B63AF"/>
    <w:rsid w:val="007B644D"/>
    <w:rsid w:val="007B6456"/>
    <w:rsid w:val="007B646E"/>
    <w:rsid w:val="007B6487"/>
    <w:rsid w:val="007B64A3"/>
    <w:rsid w:val="007B64F0"/>
    <w:rsid w:val="007B6509"/>
    <w:rsid w:val="007B6516"/>
    <w:rsid w:val="007B654B"/>
    <w:rsid w:val="007B657C"/>
    <w:rsid w:val="007B65A2"/>
    <w:rsid w:val="007B65B9"/>
    <w:rsid w:val="007B65C4"/>
    <w:rsid w:val="007B65D2"/>
    <w:rsid w:val="007B660B"/>
    <w:rsid w:val="007B6652"/>
    <w:rsid w:val="007B666B"/>
    <w:rsid w:val="007B666F"/>
    <w:rsid w:val="007B6782"/>
    <w:rsid w:val="007B67B0"/>
    <w:rsid w:val="007B67EB"/>
    <w:rsid w:val="007B67F3"/>
    <w:rsid w:val="007B6819"/>
    <w:rsid w:val="007B6835"/>
    <w:rsid w:val="007B6839"/>
    <w:rsid w:val="007B6847"/>
    <w:rsid w:val="007B6878"/>
    <w:rsid w:val="007B6889"/>
    <w:rsid w:val="007B68DB"/>
    <w:rsid w:val="007B68DC"/>
    <w:rsid w:val="007B6920"/>
    <w:rsid w:val="007B6935"/>
    <w:rsid w:val="007B6940"/>
    <w:rsid w:val="007B69E2"/>
    <w:rsid w:val="007B69F6"/>
    <w:rsid w:val="007B6A2C"/>
    <w:rsid w:val="007B6A2E"/>
    <w:rsid w:val="007B6A34"/>
    <w:rsid w:val="007B6A58"/>
    <w:rsid w:val="007B6A65"/>
    <w:rsid w:val="007B6A6D"/>
    <w:rsid w:val="007B6A8B"/>
    <w:rsid w:val="007B6AF8"/>
    <w:rsid w:val="007B6B29"/>
    <w:rsid w:val="007B6B2D"/>
    <w:rsid w:val="007B6B5F"/>
    <w:rsid w:val="007B6BA0"/>
    <w:rsid w:val="007B6C24"/>
    <w:rsid w:val="007B6C3B"/>
    <w:rsid w:val="007B6C76"/>
    <w:rsid w:val="007B6C8E"/>
    <w:rsid w:val="007B6CA2"/>
    <w:rsid w:val="007B6CCD"/>
    <w:rsid w:val="007B6CCE"/>
    <w:rsid w:val="007B6CD2"/>
    <w:rsid w:val="007B6CFA"/>
    <w:rsid w:val="007B6D54"/>
    <w:rsid w:val="007B6D71"/>
    <w:rsid w:val="007B6D89"/>
    <w:rsid w:val="007B6DA2"/>
    <w:rsid w:val="007B6DAC"/>
    <w:rsid w:val="007B6DC8"/>
    <w:rsid w:val="007B6DE4"/>
    <w:rsid w:val="007B6DED"/>
    <w:rsid w:val="007B6E0D"/>
    <w:rsid w:val="007B6E84"/>
    <w:rsid w:val="007B6EA7"/>
    <w:rsid w:val="007B6EBA"/>
    <w:rsid w:val="007B6F0D"/>
    <w:rsid w:val="007B6F7C"/>
    <w:rsid w:val="007B6F9C"/>
    <w:rsid w:val="007B6FA5"/>
    <w:rsid w:val="007B6FBB"/>
    <w:rsid w:val="007B6FE1"/>
    <w:rsid w:val="007B6FF1"/>
    <w:rsid w:val="007B7020"/>
    <w:rsid w:val="007B7023"/>
    <w:rsid w:val="007B70FD"/>
    <w:rsid w:val="007B7120"/>
    <w:rsid w:val="007B712B"/>
    <w:rsid w:val="007B716E"/>
    <w:rsid w:val="007B716F"/>
    <w:rsid w:val="007B717C"/>
    <w:rsid w:val="007B71C0"/>
    <w:rsid w:val="007B71D0"/>
    <w:rsid w:val="007B71DE"/>
    <w:rsid w:val="007B71FC"/>
    <w:rsid w:val="007B722A"/>
    <w:rsid w:val="007B7248"/>
    <w:rsid w:val="007B725D"/>
    <w:rsid w:val="007B7289"/>
    <w:rsid w:val="007B72A2"/>
    <w:rsid w:val="007B730D"/>
    <w:rsid w:val="007B7390"/>
    <w:rsid w:val="007B739D"/>
    <w:rsid w:val="007B739F"/>
    <w:rsid w:val="007B743F"/>
    <w:rsid w:val="007B744A"/>
    <w:rsid w:val="007B744B"/>
    <w:rsid w:val="007B746F"/>
    <w:rsid w:val="007B74C1"/>
    <w:rsid w:val="007B74D4"/>
    <w:rsid w:val="007B752D"/>
    <w:rsid w:val="007B7530"/>
    <w:rsid w:val="007B756D"/>
    <w:rsid w:val="007B7595"/>
    <w:rsid w:val="007B75A3"/>
    <w:rsid w:val="007B75DF"/>
    <w:rsid w:val="007B7627"/>
    <w:rsid w:val="007B7665"/>
    <w:rsid w:val="007B7680"/>
    <w:rsid w:val="007B7696"/>
    <w:rsid w:val="007B76DA"/>
    <w:rsid w:val="007B76DE"/>
    <w:rsid w:val="007B770A"/>
    <w:rsid w:val="007B771E"/>
    <w:rsid w:val="007B7749"/>
    <w:rsid w:val="007B774C"/>
    <w:rsid w:val="007B7757"/>
    <w:rsid w:val="007B7770"/>
    <w:rsid w:val="007B7780"/>
    <w:rsid w:val="007B7844"/>
    <w:rsid w:val="007B78CA"/>
    <w:rsid w:val="007B78CD"/>
    <w:rsid w:val="007B7912"/>
    <w:rsid w:val="007B791C"/>
    <w:rsid w:val="007B793A"/>
    <w:rsid w:val="007B7946"/>
    <w:rsid w:val="007B7958"/>
    <w:rsid w:val="007B7968"/>
    <w:rsid w:val="007B79A7"/>
    <w:rsid w:val="007B79B0"/>
    <w:rsid w:val="007B79C0"/>
    <w:rsid w:val="007B7A16"/>
    <w:rsid w:val="007B7A43"/>
    <w:rsid w:val="007B7A68"/>
    <w:rsid w:val="007B7A76"/>
    <w:rsid w:val="007B7AB6"/>
    <w:rsid w:val="007B7AC4"/>
    <w:rsid w:val="007B7ACE"/>
    <w:rsid w:val="007B7AE1"/>
    <w:rsid w:val="007B7AEB"/>
    <w:rsid w:val="007B7B05"/>
    <w:rsid w:val="007B7B10"/>
    <w:rsid w:val="007B7B77"/>
    <w:rsid w:val="007B7BD7"/>
    <w:rsid w:val="007B7BD9"/>
    <w:rsid w:val="007B7BF8"/>
    <w:rsid w:val="007B7C01"/>
    <w:rsid w:val="007B7C19"/>
    <w:rsid w:val="007B7C2E"/>
    <w:rsid w:val="007B7C6D"/>
    <w:rsid w:val="007B7C71"/>
    <w:rsid w:val="007B7C7D"/>
    <w:rsid w:val="007B7C8F"/>
    <w:rsid w:val="007B7CD4"/>
    <w:rsid w:val="007B7CEE"/>
    <w:rsid w:val="007B7D97"/>
    <w:rsid w:val="007B7D9B"/>
    <w:rsid w:val="007B7DC3"/>
    <w:rsid w:val="007B7DE0"/>
    <w:rsid w:val="007B7E01"/>
    <w:rsid w:val="007B7E31"/>
    <w:rsid w:val="007B7E39"/>
    <w:rsid w:val="007B7E3C"/>
    <w:rsid w:val="007B7E44"/>
    <w:rsid w:val="007B7E6C"/>
    <w:rsid w:val="007B7E74"/>
    <w:rsid w:val="007B7EC9"/>
    <w:rsid w:val="007B7F16"/>
    <w:rsid w:val="007B7F42"/>
    <w:rsid w:val="007B7F8A"/>
    <w:rsid w:val="007B7FBC"/>
    <w:rsid w:val="007B7FFC"/>
    <w:rsid w:val="007C0029"/>
    <w:rsid w:val="007C0066"/>
    <w:rsid w:val="007C007B"/>
    <w:rsid w:val="007C007F"/>
    <w:rsid w:val="007C00AD"/>
    <w:rsid w:val="007C00B7"/>
    <w:rsid w:val="007C00BB"/>
    <w:rsid w:val="007C00C4"/>
    <w:rsid w:val="007C0100"/>
    <w:rsid w:val="007C010E"/>
    <w:rsid w:val="007C0120"/>
    <w:rsid w:val="007C0134"/>
    <w:rsid w:val="007C0155"/>
    <w:rsid w:val="007C0190"/>
    <w:rsid w:val="007C019C"/>
    <w:rsid w:val="007C01A4"/>
    <w:rsid w:val="007C01D3"/>
    <w:rsid w:val="007C025D"/>
    <w:rsid w:val="007C0265"/>
    <w:rsid w:val="007C0297"/>
    <w:rsid w:val="007C02E8"/>
    <w:rsid w:val="007C02FF"/>
    <w:rsid w:val="007C0304"/>
    <w:rsid w:val="007C0308"/>
    <w:rsid w:val="007C030D"/>
    <w:rsid w:val="007C033E"/>
    <w:rsid w:val="007C0362"/>
    <w:rsid w:val="007C037B"/>
    <w:rsid w:val="007C039D"/>
    <w:rsid w:val="007C0405"/>
    <w:rsid w:val="007C0437"/>
    <w:rsid w:val="007C0457"/>
    <w:rsid w:val="007C045B"/>
    <w:rsid w:val="007C045D"/>
    <w:rsid w:val="007C04A2"/>
    <w:rsid w:val="007C04C7"/>
    <w:rsid w:val="007C051C"/>
    <w:rsid w:val="007C0535"/>
    <w:rsid w:val="007C0567"/>
    <w:rsid w:val="007C05C4"/>
    <w:rsid w:val="007C05CD"/>
    <w:rsid w:val="007C05DE"/>
    <w:rsid w:val="007C05EA"/>
    <w:rsid w:val="007C061F"/>
    <w:rsid w:val="007C0651"/>
    <w:rsid w:val="007C0693"/>
    <w:rsid w:val="007C0696"/>
    <w:rsid w:val="007C06AB"/>
    <w:rsid w:val="007C06C5"/>
    <w:rsid w:val="007C06D8"/>
    <w:rsid w:val="007C06DD"/>
    <w:rsid w:val="007C06E4"/>
    <w:rsid w:val="007C0712"/>
    <w:rsid w:val="007C0744"/>
    <w:rsid w:val="007C07AE"/>
    <w:rsid w:val="007C07D8"/>
    <w:rsid w:val="007C0801"/>
    <w:rsid w:val="007C0833"/>
    <w:rsid w:val="007C0840"/>
    <w:rsid w:val="007C0862"/>
    <w:rsid w:val="007C08AB"/>
    <w:rsid w:val="007C08AF"/>
    <w:rsid w:val="007C08C6"/>
    <w:rsid w:val="007C08CF"/>
    <w:rsid w:val="007C0948"/>
    <w:rsid w:val="007C0976"/>
    <w:rsid w:val="007C09E2"/>
    <w:rsid w:val="007C0A5A"/>
    <w:rsid w:val="007C0A69"/>
    <w:rsid w:val="007C0A70"/>
    <w:rsid w:val="007C0ABD"/>
    <w:rsid w:val="007C0AC5"/>
    <w:rsid w:val="007C0AED"/>
    <w:rsid w:val="007C0AF1"/>
    <w:rsid w:val="007C0B18"/>
    <w:rsid w:val="007C0B1C"/>
    <w:rsid w:val="007C0B4E"/>
    <w:rsid w:val="007C0B52"/>
    <w:rsid w:val="007C0B7D"/>
    <w:rsid w:val="007C0B8F"/>
    <w:rsid w:val="007C0BB7"/>
    <w:rsid w:val="007C0BDF"/>
    <w:rsid w:val="007C0BEE"/>
    <w:rsid w:val="007C0BFB"/>
    <w:rsid w:val="007C0C21"/>
    <w:rsid w:val="007C0CA8"/>
    <w:rsid w:val="007C0CF9"/>
    <w:rsid w:val="007C0D07"/>
    <w:rsid w:val="007C0D1D"/>
    <w:rsid w:val="007C0D54"/>
    <w:rsid w:val="007C0D9D"/>
    <w:rsid w:val="007C0DB9"/>
    <w:rsid w:val="007C0DDD"/>
    <w:rsid w:val="007C0E1A"/>
    <w:rsid w:val="007C0E82"/>
    <w:rsid w:val="007C0EAB"/>
    <w:rsid w:val="007C0EDF"/>
    <w:rsid w:val="007C0EE5"/>
    <w:rsid w:val="007C0EF9"/>
    <w:rsid w:val="007C0F49"/>
    <w:rsid w:val="007C0F64"/>
    <w:rsid w:val="007C0FBF"/>
    <w:rsid w:val="007C1009"/>
    <w:rsid w:val="007C101D"/>
    <w:rsid w:val="007C1065"/>
    <w:rsid w:val="007C108F"/>
    <w:rsid w:val="007C10CB"/>
    <w:rsid w:val="007C1100"/>
    <w:rsid w:val="007C1104"/>
    <w:rsid w:val="007C1191"/>
    <w:rsid w:val="007C1197"/>
    <w:rsid w:val="007C11EA"/>
    <w:rsid w:val="007C1219"/>
    <w:rsid w:val="007C122B"/>
    <w:rsid w:val="007C1298"/>
    <w:rsid w:val="007C12BB"/>
    <w:rsid w:val="007C12C2"/>
    <w:rsid w:val="007C12E3"/>
    <w:rsid w:val="007C131D"/>
    <w:rsid w:val="007C134E"/>
    <w:rsid w:val="007C1353"/>
    <w:rsid w:val="007C1381"/>
    <w:rsid w:val="007C139C"/>
    <w:rsid w:val="007C13C3"/>
    <w:rsid w:val="007C1415"/>
    <w:rsid w:val="007C1443"/>
    <w:rsid w:val="007C145A"/>
    <w:rsid w:val="007C14FC"/>
    <w:rsid w:val="007C150B"/>
    <w:rsid w:val="007C151E"/>
    <w:rsid w:val="007C151F"/>
    <w:rsid w:val="007C1525"/>
    <w:rsid w:val="007C1581"/>
    <w:rsid w:val="007C15AE"/>
    <w:rsid w:val="007C15B3"/>
    <w:rsid w:val="007C15F8"/>
    <w:rsid w:val="007C1605"/>
    <w:rsid w:val="007C163C"/>
    <w:rsid w:val="007C165A"/>
    <w:rsid w:val="007C167C"/>
    <w:rsid w:val="007C16A3"/>
    <w:rsid w:val="007C16B1"/>
    <w:rsid w:val="007C16DC"/>
    <w:rsid w:val="007C1711"/>
    <w:rsid w:val="007C171B"/>
    <w:rsid w:val="007C1755"/>
    <w:rsid w:val="007C1757"/>
    <w:rsid w:val="007C1761"/>
    <w:rsid w:val="007C1884"/>
    <w:rsid w:val="007C1886"/>
    <w:rsid w:val="007C188A"/>
    <w:rsid w:val="007C190E"/>
    <w:rsid w:val="007C1920"/>
    <w:rsid w:val="007C19CF"/>
    <w:rsid w:val="007C1A38"/>
    <w:rsid w:val="007C1A4E"/>
    <w:rsid w:val="007C1A85"/>
    <w:rsid w:val="007C1A9D"/>
    <w:rsid w:val="007C1AB5"/>
    <w:rsid w:val="007C1ACC"/>
    <w:rsid w:val="007C1AD0"/>
    <w:rsid w:val="007C1AD1"/>
    <w:rsid w:val="007C1B10"/>
    <w:rsid w:val="007C1B86"/>
    <w:rsid w:val="007C1BBC"/>
    <w:rsid w:val="007C1BD4"/>
    <w:rsid w:val="007C1BE9"/>
    <w:rsid w:val="007C1C18"/>
    <w:rsid w:val="007C1C1A"/>
    <w:rsid w:val="007C1C23"/>
    <w:rsid w:val="007C1C6A"/>
    <w:rsid w:val="007C1C79"/>
    <w:rsid w:val="007C1C9F"/>
    <w:rsid w:val="007C1CC3"/>
    <w:rsid w:val="007C1CD2"/>
    <w:rsid w:val="007C1D1A"/>
    <w:rsid w:val="007C1D32"/>
    <w:rsid w:val="007C1D47"/>
    <w:rsid w:val="007C1D89"/>
    <w:rsid w:val="007C1D8C"/>
    <w:rsid w:val="007C1DB6"/>
    <w:rsid w:val="007C1E22"/>
    <w:rsid w:val="007C1EB2"/>
    <w:rsid w:val="007C1ED1"/>
    <w:rsid w:val="007C1F0A"/>
    <w:rsid w:val="007C1F15"/>
    <w:rsid w:val="007C1F1D"/>
    <w:rsid w:val="007C1FB6"/>
    <w:rsid w:val="007C202A"/>
    <w:rsid w:val="007C204F"/>
    <w:rsid w:val="007C2082"/>
    <w:rsid w:val="007C2086"/>
    <w:rsid w:val="007C208B"/>
    <w:rsid w:val="007C2094"/>
    <w:rsid w:val="007C20B0"/>
    <w:rsid w:val="007C20D3"/>
    <w:rsid w:val="007C20DA"/>
    <w:rsid w:val="007C20FB"/>
    <w:rsid w:val="007C211E"/>
    <w:rsid w:val="007C2122"/>
    <w:rsid w:val="007C2126"/>
    <w:rsid w:val="007C2180"/>
    <w:rsid w:val="007C2196"/>
    <w:rsid w:val="007C21DD"/>
    <w:rsid w:val="007C222C"/>
    <w:rsid w:val="007C225D"/>
    <w:rsid w:val="007C229E"/>
    <w:rsid w:val="007C229F"/>
    <w:rsid w:val="007C22C6"/>
    <w:rsid w:val="007C22CC"/>
    <w:rsid w:val="007C2326"/>
    <w:rsid w:val="007C23EE"/>
    <w:rsid w:val="007C2452"/>
    <w:rsid w:val="007C2469"/>
    <w:rsid w:val="007C2476"/>
    <w:rsid w:val="007C2477"/>
    <w:rsid w:val="007C24AC"/>
    <w:rsid w:val="007C24B3"/>
    <w:rsid w:val="007C24C0"/>
    <w:rsid w:val="007C2556"/>
    <w:rsid w:val="007C2598"/>
    <w:rsid w:val="007C25AE"/>
    <w:rsid w:val="007C25B2"/>
    <w:rsid w:val="007C2605"/>
    <w:rsid w:val="007C2640"/>
    <w:rsid w:val="007C2641"/>
    <w:rsid w:val="007C267A"/>
    <w:rsid w:val="007C269F"/>
    <w:rsid w:val="007C26B1"/>
    <w:rsid w:val="007C26D8"/>
    <w:rsid w:val="007C2702"/>
    <w:rsid w:val="007C2764"/>
    <w:rsid w:val="007C277D"/>
    <w:rsid w:val="007C2790"/>
    <w:rsid w:val="007C27CC"/>
    <w:rsid w:val="007C285B"/>
    <w:rsid w:val="007C2868"/>
    <w:rsid w:val="007C287D"/>
    <w:rsid w:val="007C28A8"/>
    <w:rsid w:val="007C28B0"/>
    <w:rsid w:val="007C28EF"/>
    <w:rsid w:val="007C291A"/>
    <w:rsid w:val="007C291F"/>
    <w:rsid w:val="007C2930"/>
    <w:rsid w:val="007C2933"/>
    <w:rsid w:val="007C2944"/>
    <w:rsid w:val="007C29AC"/>
    <w:rsid w:val="007C2A04"/>
    <w:rsid w:val="007C2A09"/>
    <w:rsid w:val="007C2A32"/>
    <w:rsid w:val="007C2A58"/>
    <w:rsid w:val="007C2A66"/>
    <w:rsid w:val="007C2AA8"/>
    <w:rsid w:val="007C2B1D"/>
    <w:rsid w:val="007C2B31"/>
    <w:rsid w:val="007C2B56"/>
    <w:rsid w:val="007C2BA9"/>
    <w:rsid w:val="007C2BE4"/>
    <w:rsid w:val="007C2BE5"/>
    <w:rsid w:val="007C2C05"/>
    <w:rsid w:val="007C2C0B"/>
    <w:rsid w:val="007C2C18"/>
    <w:rsid w:val="007C2C20"/>
    <w:rsid w:val="007C2C4D"/>
    <w:rsid w:val="007C2CAE"/>
    <w:rsid w:val="007C2CD4"/>
    <w:rsid w:val="007C2CDE"/>
    <w:rsid w:val="007C2D20"/>
    <w:rsid w:val="007C2D57"/>
    <w:rsid w:val="007C2D65"/>
    <w:rsid w:val="007C2DD4"/>
    <w:rsid w:val="007C2E12"/>
    <w:rsid w:val="007C2E17"/>
    <w:rsid w:val="007C2E44"/>
    <w:rsid w:val="007C2E4F"/>
    <w:rsid w:val="007C2E5C"/>
    <w:rsid w:val="007C2EB0"/>
    <w:rsid w:val="007C2F10"/>
    <w:rsid w:val="007C2F55"/>
    <w:rsid w:val="007C2F58"/>
    <w:rsid w:val="007C2F8E"/>
    <w:rsid w:val="007C2FAF"/>
    <w:rsid w:val="007C301A"/>
    <w:rsid w:val="007C30EC"/>
    <w:rsid w:val="007C3119"/>
    <w:rsid w:val="007C3164"/>
    <w:rsid w:val="007C3167"/>
    <w:rsid w:val="007C3190"/>
    <w:rsid w:val="007C3193"/>
    <w:rsid w:val="007C31A9"/>
    <w:rsid w:val="007C31BE"/>
    <w:rsid w:val="007C31D8"/>
    <w:rsid w:val="007C31DF"/>
    <w:rsid w:val="007C3200"/>
    <w:rsid w:val="007C321A"/>
    <w:rsid w:val="007C322F"/>
    <w:rsid w:val="007C326C"/>
    <w:rsid w:val="007C3282"/>
    <w:rsid w:val="007C3297"/>
    <w:rsid w:val="007C32A0"/>
    <w:rsid w:val="007C32D8"/>
    <w:rsid w:val="007C3350"/>
    <w:rsid w:val="007C3359"/>
    <w:rsid w:val="007C3377"/>
    <w:rsid w:val="007C3381"/>
    <w:rsid w:val="007C33A1"/>
    <w:rsid w:val="007C33BE"/>
    <w:rsid w:val="007C33D7"/>
    <w:rsid w:val="007C33E1"/>
    <w:rsid w:val="007C3421"/>
    <w:rsid w:val="007C343B"/>
    <w:rsid w:val="007C3480"/>
    <w:rsid w:val="007C3487"/>
    <w:rsid w:val="007C34DA"/>
    <w:rsid w:val="007C3502"/>
    <w:rsid w:val="007C350A"/>
    <w:rsid w:val="007C3551"/>
    <w:rsid w:val="007C355D"/>
    <w:rsid w:val="007C359E"/>
    <w:rsid w:val="007C35EA"/>
    <w:rsid w:val="007C3619"/>
    <w:rsid w:val="007C3637"/>
    <w:rsid w:val="007C366C"/>
    <w:rsid w:val="007C367A"/>
    <w:rsid w:val="007C367F"/>
    <w:rsid w:val="007C36BC"/>
    <w:rsid w:val="007C3767"/>
    <w:rsid w:val="007C3780"/>
    <w:rsid w:val="007C3799"/>
    <w:rsid w:val="007C37B3"/>
    <w:rsid w:val="007C37B4"/>
    <w:rsid w:val="007C383B"/>
    <w:rsid w:val="007C3869"/>
    <w:rsid w:val="007C3875"/>
    <w:rsid w:val="007C38F9"/>
    <w:rsid w:val="007C390C"/>
    <w:rsid w:val="007C3952"/>
    <w:rsid w:val="007C396B"/>
    <w:rsid w:val="007C3994"/>
    <w:rsid w:val="007C39B4"/>
    <w:rsid w:val="007C39C0"/>
    <w:rsid w:val="007C39CC"/>
    <w:rsid w:val="007C39D5"/>
    <w:rsid w:val="007C39ED"/>
    <w:rsid w:val="007C3A0A"/>
    <w:rsid w:val="007C3A39"/>
    <w:rsid w:val="007C3A42"/>
    <w:rsid w:val="007C3A50"/>
    <w:rsid w:val="007C3A51"/>
    <w:rsid w:val="007C3A54"/>
    <w:rsid w:val="007C3A5D"/>
    <w:rsid w:val="007C3AB5"/>
    <w:rsid w:val="007C3AF9"/>
    <w:rsid w:val="007C3B3D"/>
    <w:rsid w:val="007C3B5F"/>
    <w:rsid w:val="007C3B6A"/>
    <w:rsid w:val="007C3B7F"/>
    <w:rsid w:val="007C3B9C"/>
    <w:rsid w:val="007C3BB0"/>
    <w:rsid w:val="007C3BBF"/>
    <w:rsid w:val="007C3BC5"/>
    <w:rsid w:val="007C3BED"/>
    <w:rsid w:val="007C3C04"/>
    <w:rsid w:val="007C3C29"/>
    <w:rsid w:val="007C3C33"/>
    <w:rsid w:val="007C3C7D"/>
    <w:rsid w:val="007C3C93"/>
    <w:rsid w:val="007C3CA4"/>
    <w:rsid w:val="007C3CE6"/>
    <w:rsid w:val="007C3D26"/>
    <w:rsid w:val="007C3DFD"/>
    <w:rsid w:val="007C3E03"/>
    <w:rsid w:val="007C3E54"/>
    <w:rsid w:val="007C3E68"/>
    <w:rsid w:val="007C3E86"/>
    <w:rsid w:val="007C3E97"/>
    <w:rsid w:val="007C3EAB"/>
    <w:rsid w:val="007C3EE2"/>
    <w:rsid w:val="007C3F58"/>
    <w:rsid w:val="007C3F76"/>
    <w:rsid w:val="007C3FB6"/>
    <w:rsid w:val="007C3FC1"/>
    <w:rsid w:val="007C3FEB"/>
    <w:rsid w:val="007C4081"/>
    <w:rsid w:val="007C40AE"/>
    <w:rsid w:val="007C40C5"/>
    <w:rsid w:val="007C411A"/>
    <w:rsid w:val="007C412A"/>
    <w:rsid w:val="007C416C"/>
    <w:rsid w:val="007C4209"/>
    <w:rsid w:val="007C428E"/>
    <w:rsid w:val="007C4297"/>
    <w:rsid w:val="007C42C4"/>
    <w:rsid w:val="007C42C9"/>
    <w:rsid w:val="007C432A"/>
    <w:rsid w:val="007C4336"/>
    <w:rsid w:val="007C4371"/>
    <w:rsid w:val="007C43F3"/>
    <w:rsid w:val="007C442A"/>
    <w:rsid w:val="007C446D"/>
    <w:rsid w:val="007C447E"/>
    <w:rsid w:val="007C4534"/>
    <w:rsid w:val="007C453C"/>
    <w:rsid w:val="007C4563"/>
    <w:rsid w:val="007C456E"/>
    <w:rsid w:val="007C4572"/>
    <w:rsid w:val="007C4595"/>
    <w:rsid w:val="007C45AC"/>
    <w:rsid w:val="007C45FD"/>
    <w:rsid w:val="007C463B"/>
    <w:rsid w:val="007C463C"/>
    <w:rsid w:val="007C46AA"/>
    <w:rsid w:val="007C46C9"/>
    <w:rsid w:val="007C471D"/>
    <w:rsid w:val="007C4721"/>
    <w:rsid w:val="007C4741"/>
    <w:rsid w:val="007C4745"/>
    <w:rsid w:val="007C4746"/>
    <w:rsid w:val="007C475C"/>
    <w:rsid w:val="007C4773"/>
    <w:rsid w:val="007C4798"/>
    <w:rsid w:val="007C47A6"/>
    <w:rsid w:val="007C47C3"/>
    <w:rsid w:val="007C47D5"/>
    <w:rsid w:val="007C47EA"/>
    <w:rsid w:val="007C481D"/>
    <w:rsid w:val="007C4829"/>
    <w:rsid w:val="007C4845"/>
    <w:rsid w:val="007C4848"/>
    <w:rsid w:val="007C4860"/>
    <w:rsid w:val="007C487A"/>
    <w:rsid w:val="007C48A7"/>
    <w:rsid w:val="007C48CA"/>
    <w:rsid w:val="007C4936"/>
    <w:rsid w:val="007C4937"/>
    <w:rsid w:val="007C4952"/>
    <w:rsid w:val="007C4977"/>
    <w:rsid w:val="007C497F"/>
    <w:rsid w:val="007C4982"/>
    <w:rsid w:val="007C4990"/>
    <w:rsid w:val="007C4A0A"/>
    <w:rsid w:val="007C4A56"/>
    <w:rsid w:val="007C4A88"/>
    <w:rsid w:val="007C4AAA"/>
    <w:rsid w:val="007C4AD2"/>
    <w:rsid w:val="007C4AD5"/>
    <w:rsid w:val="007C4B23"/>
    <w:rsid w:val="007C4B24"/>
    <w:rsid w:val="007C4B2F"/>
    <w:rsid w:val="007C4B4E"/>
    <w:rsid w:val="007C4B73"/>
    <w:rsid w:val="007C4BC9"/>
    <w:rsid w:val="007C4C1D"/>
    <w:rsid w:val="007C4C20"/>
    <w:rsid w:val="007C4C28"/>
    <w:rsid w:val="007C4CB8"/>
    <w:rsid w:val="007C4D66"/>
    <w:rsid w:val="007C4D69"/>
    <w:rsid w:val="007C4D6C"/>
    <w:rsid w:val="007C4D7B"/>
    <w:rsid w:val="007C4DC7"/>
    <w:rsid w:val="007C4E0F"/>
    <w:rsid w:val="007C4E1A"/>
    <w:rsid w:val="007C4E61"/>
    <w:rsid w:val="007C4ECF"/>
    <w:rsid w:val="007C4EF5"/>
    <w:rsid w:val="007C4EFA"/>
    <w:rsid w:val="007C4F1E"/>
    <w:rsid w:val="007C4F52"/>
    <w:rsid w:val="007C4F93"/>
    <w:rsid w:val="007C4FA2"/>
    <w:rsid w:val="007C4FAE"/>
    <w:rsid w:val="007C4FCF"/>
    <w:rsid w:val="007C4FE2"/>
    <w:rsid w:val="007C4FEC"/>
    <w:rsid w:val="007C4FF9"/>
    <w:rsid w:val="007C5025"/>
    <w:rsid w:val="007C5037"/>
    <w:rsid w:val="007C507F"/>
    <w:rsid w:val="007C5081"/>
    <w:rsid w:val="007C508B"/>
    <w:rsid w:val="007C509A"/>
    <w:rsid w:val="007C50A7"/>
    <w:rsid w:val="007C50A9"/>
    <w:rsid w:val="007C50BA"/>
    <w:rsid w:val="007C50DC"/>
    <w:rsid w:val="007C50F6"/>
    <w:rsid w:val="007C511F"/>
    <w:rsid w:val="007C512B"/>
    <w:rsid w:val="007C512C"/>
    <w:rsid w:val="007C5145"/>
    <w:rsid w:val="007C514A"/>
    <w:rsid w:val="007C516B"/>
    <w:rsid w:val="007C5198"/>
    <w:rsid w:val="007C51AE"/>
    <w:rsid w:val="007C51DE"/>
    <w:rsid w:val="007C524F"/>
    <w:rsid w:val="007C5265"/>
    <w:rsid w:val="007C5268"/>
    <w:rsid w:val="007C5270"/>
    <w:rsid w:val="007C52BE"/>
    <w:rsid w:val="007C52C3"/>
    <w:rsid w:val="007C52FA"/>
    <w:rsid w:val="007C535F"/>
    <w:rsid w:val="007C5367"/>
    <w:rsid w:val="007C537D"/>
    <w:rsid w:val="007C53CF"/>
    <w:rsid w:val="007C53DD"/>
    <w:rsid w:val="007C53FA"/>
    <w:rsid w:val="007C546B"/>
    <w:rsid w:val="007C54AA"/>
    <w:rsid w:val="007C5515"/>
    <w:rsid w:val="007C553F"/>
    <w:rsid w:val="007C559D"/>
    <w:rsid w:val="007C562A"/>
    <w:rsid w:val="007C5758"/>
    <w:rsid w:val="007C5760"/>
    <w:rsid w:val="007C576B"/>
    <w:rsid w:val="007C58B4"/>
    <w:rsid w:val="007C58C1"/>
    <w:rsid w:val="007C58E3"/>
    <w:rsid w:val="007C5944"/>
    <w:rsid w:val="007C5948"/>
    <w:rsid w:val="007C5957"/>
    <w:rsid w:val="007C5964"/>
    <w:rsid w:val="007C596A"/>
    <w:rsid w:val="007C596C"/>
    <w:rsid w:val="007C59E0"/>
    <w:rsid w:val="007C59FF"/>
    <w:rsid w:val="007C5A18"/>
    <w:rsid w:val="007C5A64"/>
    <w:rsid w:val="007C5A90"/>
    <w:rsid w:val="007C5AC0"/>
    <w:rsid w:val="007C5AD6"/>
    <w:rsid w:val="007C5B40"/>
    <w:rsid w:val="007C5B5A"/>
    <w:rsid w:val="007C5BD3"/>
    <w:rsid w:val="007C5C09"/>
    <w:rsid w:val="007C5C75"/>
    <w:rsid w:val="007C5CA0"/>
    <w:rsid w:val="007C5CBB"/>
    <w:rsid w:val="007C5D13"/>
    <w:rsid w:val="007C5D3D"/>
    <w:rsid w:val="007C5DB9"/>
    <w:rsid w:val="007C5DE6"/>
    <w:rsid w:val="007C5E64"/>
    <w:rsid w:val="007C5E6E"/>
    <w:rsid w:val="007C5EA0"/>
    <w:rsid w:val="007C5EB0"/>
    <w:rsid w:val="007C5ED2"/>
    <w:rsid w:val="007C5EE8"/>
    <w:rsid w:val="007C5F6C"/>
    <w:rsid w:val="007C5F88"/>
    <w:rsid w:val="007C5FCC"/>
    <w:rsid w:val="007C6006"/>
    <w:rsid w:val="007C6020"/>
    <w:rsid w:val="007C6021"/>
    <w:rsid w:val="007C604A"/>
    <w:rsid w:val="007C6073"/>
    <w:rsid w:val="007C6094"/>
    <w:rsid w:val="007C60A2"/>
    <w:rsid w:val="007C60AB"/>
    <w:rsid w:val="007C60AD"/>
    <w:rsid w:val="007C60BA"/>
    <w:rsid w:val="007C60D4"/>
    <w:rsid w:val="007C60E5"/>
    <w:rsid w:val="007C6113"/>
    <w:rsid w:val="007C6127"/>
    <w:rsid w:val="007C6154"/>
    <w:rsid w:val="007C6163"/>
    <w:rsid w:val="007C6186"/>
    <w:rsid w:val="007C6198"/>
    <w:rsid w:val="007C619C"/>
    <w:rsid w:val="007C61A3"/>
    <w:rsid w:val="007C61B3"/>
    <w:rsid w:val="007C61D3"/>
    <w:rsid w:val="007C62D8"/>
    <w:rsid w:val="007C62E0"/>
    <w:rsid w:val="007C632F"/>
    <w:rsid w:val="007C6342"/>
    <w:rsid w:val="007C6350"/>
    <w:rsid w:val="007C636A"/>
    <w:rsid w:val="007C6382"/>
    <w:rsid w:val="007C6385"/>
    <w:rsid w:val="007C63A1"/>
    <w:rsid w:val="007C63B7"/>
    <w:rsid w:val="007C644E"/>
    <w:rsid w:val="007C645C"/>
    <w:rsid w:val="007C6496"/>
    <w:rsid w:val="007C64D2"/>
    <w:rsid w:val="007C650A"/>
    <w:rsid w:val="007C6526"/>
    <w:rsid w:val="007C65A0"/>
    <w:rsid w:val="007C65A8"/>
    <w:rsid w:val="007C65B6"/>
    <w:rsid w:val="007C65FF"/>
    <w:rsid w:val="007C6610"/>
    <w:rsid w:val="007C665A"/>
    <w:rsid w:val="007C665E"/>
    <w:rsid w:val="007C6660"/>
    <w:rsid w:val="007C6686"/>
    <w:rsid w:val="007C66F3"/>
    <w:rsid w:val="007C6765"/>
    <w:rsid w:val="007C6770"/>
    <w:rsid w:val="007C679F"/>
    <w:rsid w:val="007C67AE"/>
    <w:rsid w:val="007C6801"/>
    <w:rsid w:val="007C682D"/>
    <w:rsid w:val="007C6859"/>
    <w:rsid w:val="007C688A"/>
    <w:rsid w:val="007C688C"/>
    <w:rsid w:val="007C6897"/>
    <w:rsid w:val="007C68CF"/>
    <w:rsid w:val="007C68D9"/>
    <w:rsid w:val="007C68E5"/>
    <w:rsid w:val="007C694B"/>
    <w:rsid w:val="007C69AB"/>
    <w:rsid w:val="007C69AE"/>
    <w:rsid w:val="007C6A0A"/>
    <w:rsid w:val="007C6AA0"/>
    <w:rsid w:val="007C6ADF"/>
    <w:rsid w:val="007C6AF9"/>
    <w:rsid w:val="007C6B4A"/>
    <w:rsid w:val="007C6B6A"/>
    <w:rsid w:val="007C6B79"/>
    <w:rsid w:val="007C6B8D"/>
    <w:rsid w:val="007C6BA9"/>
    <w:rsid w:val="007C6C09"/>
    <w:rsid w:val="007C6C28"/>
    <w:rsid w:val="007C6C5F"/>
    <w:rsid w:val="007C6C92"/>
    <w:rsid w:val="007C6CCA"/>
    <w:rsid w:val="007C6D1B"/>
    <w:rsid w:val="007C6D28"/>
    <w:rsid w:val="007C6D4F"/>
    <w:rsid w:val="007C6D60"/>
    <w:rsid w:val="007C6D93"/>
    <w:rsid w:val="007C6E08"/>
    <w:rsid w:val="007C6E2C"/>
    <w:rsid w:val="007C6E4F"/>
    <w:rsid w:val="007C6E53"/>
    <w:rsid w:val="007C6E92"/>
    <w:rsid w:val="007C6E93"/>
    <w:rsid w:val="007C6F06"/>
    <w:rsid w:val="007C6F0B"/>
    <w:rsid w:val="007C6F50"/>
    <w:rsid w:val="007C6F51"/>
    <w:rsid w:val="007C6F59"/>
    <w:rsid w:val="007C6F77"/>
    <w:rsid w:val="007C6FB8"/>
    <w:rsid w:val="007C6FCB"/>
    <w:rsid w:val="007C7040"/>
    <w:rsid w:val="007C7056"/>
    <w:rsid w:val="007C7063"/>
    <w:rsid w:val="007C70B6"/>
    <w:rsid w:val="007C7185"/>
    <w:rsid w:val="007C71CC"/>
    <w:rsid w:val="007C723C"/>
    <w:rsid w:val="007C726F"/>
    <w:rsid w:val="007C7297"/>
    <w:rsid w:val="007C72CA"/>
    <w:rsid w:val="007C72F1"/>
    <w:rsid w:val="007C7306"/>
    <w:rsid w:val="007C7338"/>
    <w:rsid w:val="007C7378"/>
    <w:rsid w:val="007C7379"/>
    <w:rsid w:val="007C73EC"/>
    <w:rsid w:val="007C7432"/>
    <w:rsid w:val="007C7441"/>
    <w:rsid w:val="007C7463"/>
    <w:rsid w:val="007C749A"/>
    <w:rsid w:val="007C74F1"/>
    <w:rsid w:val="007C7502"/>
    <w:rsid w:val="007C761F"/>
    <w:rsid w:val="007C76AA"/>
    <w:rsid w:val="007C76DD"/>
    <w:rsid w:val="007C76DE"/>
    <w:rsid w:val="007C76E7"/>
    <w:rsid w:val="007C777E"/>
    <w:rsid w:val="007C77B2"/>
    <w:rsid w:val="007C77DC"/>
    <w:rsid w:val="007C77F4"/>
    <w:rsid w:val="007C790C"/>
    <w:rsid w:val="007C790E"/>
    <w:rsid w:val="007C7974"/>
    <w:rsid w:val="007C79A0"/>
    <w:rsid w:val="007C79A4"/>
    <w:rsid w:val="007C79BB"/>
    <w:rsid w:val="007C79DB"/>
    <w:rsid w:val="007C79FB"/>
    <w:rsid w:val="007C7A31"/>
    <w:rsid w:val="007C7A37"/>
    <w:rsid w:val="007C7A5E"/>
    <w:rsid w:val="007C7A76"/>
    <w:rsid w:val="007C7AA2"/>
    <w:rsid w:val="007C7AC5"/>
    <w:rsid w:val="007C7ACE"/>
    <w:rsid w:val="007C7B03"/>
    <w:rsid w:val="007C7B28"/>
    <w:rsid w:val="007C7B77"/>
    <w:rsid w:val="007C7B95"/>
    <w:rsid w:val="007C7BA4"/>
    <w:rsid w:val="007C7BBC"/>
    <w:rsid w:val="007C7C54"/>
    <w:rsid w:val="007C7C5F"/>
    <w:rsid w:val="007C7CA2"/>
    <w:rsid w:val="007C7CAF"/>
    <w:rsid w:val="007C7CE2"/>
    <w:rsid w:val="007C7D58"/>
    <w:rsid w:val="007C7D91"/>
    <w:rsid w:val="007C7DEE"/>
    <w:rsid w:val="007C7DF9"/>
    <w:rsid w:val="007C7E0C"/>
    <w:rsid w:val="007C7E64"/>
    <w:rsid w:val="007C7E81"/>
    <w:rsid w:val="007C7E8C"/>
    <w:rsid w:val="007C7EFA"/>
    <w:rsid w:val="007C7F00"/>
    <w:rsid w:val="007C7F3A"/>
    <w:rsid w:val="007C7F97"/>
    <w:rsid w:val="007C7FCA"/>
    <w:rsid w:val="007C7FDC"/>
    <w:rsid w:val="007C7FE3"/>
    <w:rsid w:val="007CF040"/>
    <w:rsid w:val="007D000C"/>
    <w:rsid w:val="007D002B"/>
    <w:rsid w:val="007D0031"/>
    <w:rsid w:val="007D0032"/>
    <w:rsid w:val="007D00DC"/>
    <w:rsid w:val="007D0155"/>
    <w:rsid w:val="007D015C"/>
    <w:rsid w:val="007D016B"/>
    <w:rsid w:val="007D01A6"/>
    <w:rsid w:val="007D01AD"/>
    <w:rsid w:val="007D01D3"/>
    <w:rsid w:val="007D01E8"/>
    <w:rsid w:val="007D020B"/>
    <w:rsid w:val="007D0213"/>
    <w:rsid w:val="007D0220"/>
    <w:rsid w:val="007D0230"/>
    <w:rsid w:val="007D0240"/>
    <w:rsid w:val="007D026D"/>
    <w:rsid w:val="007D028A"/>
    <w:rsid w:val="007D029E"/>
    <w:rsid w:val="007D02A4"/>
    <w:rsid w:val="007D02AF"/>
    <w:rsid w:val="007D02CA"/>
    <w:rsid w:val="007D0321"/>
    <w:rsid w:val="007D0369"/>
    <w:rsid w:val="007D037F"/>
    <w:rsid w:val="007D0381"/>
    <w:rsid w:val="007D0389"/>
    <w:rsid w:val="007D03A3"/>
    <w:rsid w:val="007D03CB"/>
    <w:rsid w:val="007D03FA"/>
    <w:rsid w:val="007D043F"/>
    <w:rsid w:val="007D0451"/>
    <w:rsid w:val="007D04A0"/>
    <w:rsid w:val="007D0516"/>
    <w:rsid w:val="007D0517"/>
    <w:rsid w:val="007D0521"/>
    <w:rsid w:val="007D0529"/>
    <w:rsid w:val="007D0535"/>
    <w:rsid w:val="007D0545"/>
    <w:rsid w:val="007D0553"/>
    <w:rsid w:val="007D0556"/>
    <w:rsid w:val="007D056C"/>
    <w:rsid w:val="007D056D"/>
    <w:rsid w:val="007D0596"/>
    <w:rsid w:val="007D0627"/>
    <w:rsid w:val="007D067F"/>
    <w:rsid w:val="007D0681"/>
    <w:rsid w:val="007D069A"/>
    <w:rsid w:val="007D06B0"/>
    <w:rsid w:val="007D06C0"/>
    <w:rsid w:val="007D06F8"/>
    <w:rsid w:val="007D0747"/>
    <w:rsid w:val="007D07CF"/>
    <w:rsid w:val="007D0805"/>
    <w:rsid w:val="007D0862"/>
    <w:rsid w:val="007D08CF"/>
    <w:rsid w:val="007D08DF"/>
    <w:rsid w:val="007D08FB"/>
    <w:rsid w:val="007D0908"/>
    <w:rsid w:val="007D0912"/>
    <w:rsid w:val="007D092C"/>
    <w:rsid w:val="007D0937"/>
    <w:rsid w:val="007D0956"/>
    <w:rsid w:val="007D0998"/>
    <w:rsid w:val="007D09AA"/>
    <w:rsid w:val="007D09B6"/>
    <w:rsid w:val="007D09D7"/>
    <w:rsid w:val="007D09FF"/>
    <w:rsid w:val="007D0A15"/>
    <w:rsid w:val="007D0A1D"/>
    <w:rsid w:val="007D0A23"/>
    <w:rsid w:val="007D0A8F"/>
    <w:rsid w:val="007D0A99"/>
    <w:rsid w:val="007D0B49"/>
    <w:rsid w:val="007D0BA4"/>
    <w:rsid w:val="007D0BF8"/>
    <w:rsid w:val="007D0CDA"/>
    <w:rsid w:val="007D0D03"/>
    <w:rsid w:val="007D0D28"/>
    <w:rsid w:val="007D0D47"/>
    <w:rsid w:val="007D0DC9"/>
    <w:rsid w:val="007D0DDF"/>
    <w:rsid w:val="007D0E1F"/>
    <w:rsid w:val="007D0E80"/>
    <w:rsid w:val="007D0EB8"/>
    <w:rsid w:val="007D0ED7"/>
    <w:rsid w:val="007D0EE9"/>
    <w:rsid w:val="007D0EEF"/>
    <w:rsid w:val="007D0EF3"/>
    <w:rsid w:val="007D0FCB"/>
    <w:rsid w:val="007D0FF1"/>
    <w:rsid w:val="007D0FFA"/>
    <w:rsid w:val="007D1005"/>
    <w:rsid w:val="007D100B"/>
    <w:rsid w:val="007D102D"/>
    <w:rsid w:val="007D1063"/>
    <w:rsid w:val="007D1064"/>
    <w:rsid w:val="007D1082"/>
    <w:rsid w:val="007D109E"/>
    <w:rsid w:val="007D10AD"/>
    <w:rsid w:val="007D10D8"/>
    <w:rsid w:val="007D10F3"/>
    <w:rsid w:val="007D1100"/>
    <w:rsid w:val="007D1102"/>
    <w:rsid w:val="007D110C"/>
    <w:rsid w:val="007D111D"/>
    <w:rsid w:val="007D1163"/>
    <w:rsid w:val="007D1178"/>
    <w:rsid w:val="007D119C"/>
    <w:rsid w:val="007D11A1"/>
    <w:rsid w:val="007D11B6"/>
    <w:rsid w:val="007D11B7"/>
    <w:rsid w:val="007D120A"/>
    <w:rsid w:val="007D121D"/>
    <w:rsid w:val="007D121E"/>
    <w:rsid w:val="007D1242"/>
    <w:rsid w:val="007D1256"/>
    <w:rsid w:val="007D12A0"/>
    <w:rsid w:val="007D1376"/>
    <w:rsid w:val="007D138E"/>
    <w:rsid w:val="007D1398"/>
    <w:rsid w:val="007D13E8"/>
    <w:rsid w:val="007D13EA"/>
    <w:rsid w:val="007D13F4"/>
    <w:rsid w:val="007D141D"/>
    <w:rsid w:val="007D1421"/>
    <w:rsid w:val="007D1442"/>
    <w:rsid w:val="007D1470"/>
    <w:rsid w:val="007D147D"/>
    <w:rsid w:val="007D14D2"/>
    <w:rsid w:val="007D1570"/>
    <w:rsid w:val="007D15D2"/>
    <w:rsid w:val="007D15EF"/>
    <w:rsid w:val="007D1642"/>
    <w:rsid w:val="007D1669"/>
    <w:rsid w:val="007D166A"/>
    <w:rsid w:val="007D1695"/>
    <w:rsid w:val="007D16F9"/>
    <w:rsid w:val="007D1743"/>
    <w:rsid w:val="007D174E"/>
    <w:rsid w:val="007D1756"/>
    <w:rsid w:val="007D176E"/>
    <w:rsid w:val="007D17D1"/>
    <w:rsid w:val="007D17D9"/>
    <w:rsid w:val="007D17DB"/>
    <w:rsid w:val="007D17DC"/>
    <w:rsid w:val="007D17DD"/>
    <w:rsid w:val="007D1841"/>
    <w:rsid w:val="007D186D"/>
    <w:rsid w:val="007D1875"/>
    <w:rsid w:val="007D18C5"/>
    <w:rsid w:val="007D18CB"/>
    <w:rsid w:val="007D18DC"/>
    <w:rsid w:val="007D18FB"/>
    <w:rsid w:val="007D191E"/>
    <w:rsid w:val="007D1973"/>
    <w:rsid w:val="007D1993"/>
    <w:rsid w:val="007D19A2"/>
    <w:rsid w:val="007D19BC"/>
    <w:rsid w:val="007D1A19"/>
    <w:rsid w:val="007D1A49"/>
    <w:rsid w:val="007D1A79"/>
    <w:rsid w:val="007D1A92"/>
    <w:rsid w:val="007D1ABA"/>
    <w:rsid w:val="007D1AC5"/>
    <w:rsid w:val="007D1ACE"/>
    <w:rsid w:val="007D1AD0"/>
    <w:rsid w:val="007D1B14"/>
    <w:rsid w:val="007D1BA5"/>
    <w:rsid w:val="007D1BFF"/>
    <w:rsid w:val="007D1C05"/>
    <w:rsid w:val="007D1C19"/>
    <w:rsid w:val="007D1C1C"/>
    <w:rsid w:val="007D1C26"/>
    <w:rsid w:val="007D1C2E"/>
    <w:rsid w:val="007D1C66"/>
    <w:rsid w:val="007D1C8A"/>
    <w:rsid w:val="007D1D06"/>
    <w:rsid w:val="007D1D0D"/>
    <w:rsid w:val="007D1D15"/>
    <w:rsid w:val="007D1D19"/>
    <w:rsid w:val="007D1D23"/>
    <w:rsid w:val="007D1D28"/>
    <w:rsid w:val="007D1D63"/>
    <w:rsid w:val="007D1D6E"/>
    <w:rsid w:val="007D1DB5"/>
    <w:rsid w:val="007D1DFC"/>
    <w:rsid w:val="007D1E27"/>
    <w:rsid w:val="007D1E31"/>
    <w:rsid w:val="007D1E33"/>
    <w:rsid w:val="007D1E35"/>
    <w:rsid w:val="007D1E40"/>
    <w:rsid w:val="007D1E74"/>
    <w:rsid w:val="007D1E80"/>
    <w:rsid w:val="007D1F55"/>
    <w:rsid w:val="007D1F81"/>
    <w:rsid w:val="007D1F86"/>
    <w:rsid w:val="007D1FC7"/>
    <w:rsid w:val="007D2069"/>
    <w:rsid w:val="007D20EF"/>
    <w:rsid w:val="007D20FC"/>
    <w:rsid w:val="007D20FD"/>
    <w:rsid w:val="007D2150"/>
    <w:rsid w:val="007D215F"/>
    <w:rsid w:val="007D21F2"/>
    <w:rsid w:val="007D21FF"/>
    <w:rsid w:val="007D2210"/>
    <w:rsid w:val="007D222D"/>
    <w:rsid w:val="007D2252"/>
    <w:rsid w:val="007D226A"/>
    <w:rsid w:val="007D22DF"/>
    <w:rsid w:val="007D22E6"/>
    <w:rsid w:val="007D235A"/>
    <w:rsid w:val="007D2372"/>
    <w:rsid w:val="007D23DA"/>
    <w:rsid w:val="007D23F0"/>
    <w:rsid w:val="007D2472"/>
    <w:rsid w:val="007D2474"/>
    <w:rsid w:val="007D2490"/>
    <w:rsid w:val="007D24A5"/>
    <w:rsid w:val="007D24AB"/>
    <w:rsid w:val="007D24E4"/>
    <w:rsid w:val="007D255C"/>
    <w:rsid w:val="007D2567"/>
    <w:rsid w:val="007D25DB"/>
    <w:rsid w:val="007D2626"/>
    <w:rsid w:val="007D266B"/>
    <w:rsid w:val="007D2695"/>
    <w:rsid w:val="007D2706"/>
    <w:rsid w:val="007D271F"/>
    <w:rsid w:val="007D272E"/>
    <w:rsid w:val="007D2738"/>
    <w:rsid w:val="007D274D"/>
    <w:rsid w:val="007D2772"/>
    <w:rsid w:val="007D277A"/>
    <w:rsid w:val="007D2837"/>
    <w:rsid w:val="007D2868"/>
    <w:rsid w:val="007D28C9"/>
    <w:rsid w:val="007D28DD"/>
    <w:rsid w:val="007D2906"/>
    <w:rsid w:val="007D2934"/>
    <w:rsid w:val="007D295A"/>
    <w:rsid w:val="007D298A"/>
    <w:rsid w:val="007D29D3"/>
    <w:rsid w:val="007D2A2F"/>
    <w:rsid w:val="007D2A77"/>
    <w:rsid w:val="007D2A9E"/>
    <w:rsid w:val="007D2AD4"/>
    <w:rsid w:val="007D2B29"/>
    <w:rsid w:val="007D2B41"/>
    <w:rsid w:val="007D2B59"/>
    <w:rsid w:val="007D2BB0"/>
    <w:rsid w:val="007D2BB4"/>
    <w:rsid w:val="007D2C02"/>
    <w:rsid w:val="007D2C07"/>
    <w:rsid w:val="007D2C25"/>
    <w:rsid w:val="007D2C7B"/>
    <w:rsid w:val="007D2CAB"/>
    <w:rsid w:val="007D2CAE"/>
    <w:rsid w:val="007D2CBE"/>
    <w:rsid w:val="007D2CDF"/>
    <w:rsid w:val="007D2CEB"/>
    <w:rsid w:val="007D2CFA"/>
    <w:rsid w:val="007D2DC6"/>
    <w:rsid w:val="007D2E23"/>
    <w:rsid w:val="007D2E24"/>
    <w:rsid w:val="007D2E82"/>
    <w:rsid w:val="007D2E91"/>
    <w:rsid w:val="007D2EB5"/>
    <w:rsid w:val="007D2EC5"/>
    <w:rsid w:val="007D2ECD"/>
    <w:rsid w:val="007D2F38"/>
    <w:rsid w:val="007D2F83"/>
    <w:rsid w:val="007D2F93"/>
    <w:rsid w:val="007D2FB3"/>
    <w:rsid w:val="007D2FC9"/>
    <w:rsid w:val="007D301E"/>
    <w:rsid w:val="007D304A"/>
    <w:rsid w:val="007D3086"/>
    <w:rsid w:val="007D3089"/>
    <w:rsid w:val="007D3097"/>
    <w:rsid w:val="007D314C"/>
    <w:rsid w:val="007D316D"/>
    <w:rsid w:val="007D3199"/>
    <w:rsid w:val="007D31AE"/>
    <w:rsid w:val="007D31F7"/>
    <w:rsid w:val="007D3268"/>
    <w:rsid w:val="007D328A"/>
    <w:rsid w:val="007D32AE"/>
    <w:rsid w:val="007D32B6"/>
    <w:rsid w:val="007D32CF"/>
    <w:rsid w:val="007D32D5"/>
    <w:rsid w:val="007D32E5"/>
    <w:rsid w:val="007D32FF"/>
    <w:rsid w:val="007D3340"/>
    <w:rsid w:val="007D335E"/>
    <w:rsid w:val="007D336A"/>
    <w:rsid w:val="007D33A5"/>
    <w:rsid w:val="007D33C1"/>
    <w:rsid w:val="007D33EC"/>
    <w:rsid w:val="007D3467"/>
    <w:rsid w:val="007D3474"/>
    <w:rsid w:val="007D3498"/>
    <w:rsid w:val="007D34C0"/>
    <w:rsid w:val="007D34F9"/>
    <w:rsid w:val="007D350D"/>
    <w:rsid w:val="007D3540"/>
    <w:rsid w:val="007D3572"/>
    <w:rsid w:val="007D35C7"/>
    <w:rsid w:val="007D35D5"/>
    <w:rsid w:val="007D35DF"/>
    <w:rsid w:val="007D3611"/>
    <w:rsid w:val="007D3681"/>
    <w:rsid w:val="007D3693"/>
    <w:rsid w:val="007D36BA"/>
    <w:rsid w:val="007D36BB"/>
    <w:rsid w:val="007D36DC"/>
    <w:rsid w:val="007D3717"/>
    <w:rsid w:val="007D371D"/>
    <w:rsid w:val="007D3728"/>
    <w:rsid w:val="007D372B"/>
    <w:rsid w:val="007D3740"/>
    <w:rsid w:val="007D3751"/>
    <w:rsid w:val="007D376E"/>
    <w:rsid w:val="007D377F"/>
    <w:rsid w:val="007D37E8"/>
    <w:rsid w:val="007D3864"/>
    <w:rsid w:val="007D3894"/>
    <w:rsid w:val="007D38F9"/>
    <w:rsid w:val="007D39A5"/>
    <w:rsid w:val="007D39AA"/>
    <w:rsid w:val="007D39D0"/>
    <w:rsid w:val="007D39D9"/>
    <w:rsid w:val="007D3A11"/>
    <w:rsid w:val="007D3A18"/>
    <w:rsid w:val="007D3A1C"/>
    <w:rsid w:val="007D3A2F"/>
    <w:rsid w:val="007D3A65"/>
    <w:rsid w:val="007D3AA5"/>
    <w:rsid w:val="007D3ABD"/>
    <w:rsid w:val="007D3ACC"/>
    <w:rsid w:val="007D3AEA"/>
    <w:rsid w:val="007D3B05"/>
    <w:rsid w:val="007D3B3F"/>
    <w:rsid w:val="007D3B46"/>
    <w:rsid w:val="007D3B6C"/>
    <w:rsid w:val="007D3BC1"/>
    <w:rsid w:val="007D3BC2"/>
    <w:rsid w:val="007D3BC8"/>
    <w:rsid w:val="007D3BD6"/>
    <w:rsid w:val="007D3C0D"/>
    <w:rsid w:val="007D3C46"/>
    <w:rsid w:val="007D3CB2"/>
    <w:rsid w:val="007D3D0B"/>
    <w:rsid w:val="007D3D23"/>
    <w:rsid w:val="007D3D42"/>
    <w:rsid w:val="007D3D91"/>
    <w:rsid w:val="007D3DA7"/>
    <w:rsid w:val="007D3DB2"/>
    <w:rsid w:val="007D3DEF"/>
    <w:rsid w:val="007D3E23"/>
    <w:rsid w:val="007D3E44"/>
    <w:rsid w:val="007D3E4E"/>
    <w:rsid w:val="007D3E68"/>
    <w:rsid w:val="007D3E9B"/>
    <w:rsid w:val="007D3EBC"/>
    <w:rsid w:val="007D3EC2"/>
    <w:rsid w:val="007D3EFF"/>
    <w:rsid w:val="007D3F20"/>
    <w:rsid w:val="007D3F36"/>
    <w:rsid w:val="007D3F84"/>
    <w:rsid w:val="007D3F8C"/>
    <w:rsid w:val="007D3FBE"/>
    <w:rsid w:val="007D3FD9"/>
    <w:rsid w:val="007D3FE2"/>
    <w:rsid w:val="007D4001"/>
    <w:rsid w:val="007D4013"/>
    <w:rsid w:val="007D401E"/>
    <w:rsid w:val="007D40A1"/>
    <w:rsid w:val="007D40D2"/>
    <w:rsid w:val="007D40E7"/>
    <w:rsid w:val="007D4104"/>
    <w:rsid w:val="007D414E"/>
    <w:rsid w:val="007D4156"/>
    <w:rsid w:val="007D41F7"/>
    <w:rsid w:val="007D41FA"/>
    <w:rsid w:val="007D42B2"/>
    <w:rsid w:val="007D4300"/>
    <w:rsid w:val="007D430D"/>
    <w:rsid w:val="007D431D"/>
    <w:rsid w:val="007D433E"/>
    <w:rsid w:val="007D436C"/>
    <w:rsid w:val="007D436D"/>
    <w:rsid w:val="007D438E"/>
    <w:rsid w:val="007D4394"/>
    <w:rsid w:val="007D4404"/>
    <w:rsid w:val="007D443C"/>
    <w:rsid w:val="007D443F"/>
    <w:rsid w:val="007D446E"/>
    <w:rsid w:val="007D44AD"/>
    <w:rsid w:val="007D44F4"/>
    <w:rsid w:val="007D4509"/>
    <w:rsid w:val="007D450C"/>
    <w:rsid w:val="007D4550"/>
    <w:rsid w:val="007D455E"/>
    <w:rsid w:val="007D455F"/>
    <w:rsid w:val="007D4593"/>
    <w:rsid w:val="007D45C2"/>
    <w:rsid w:val="007D45C5"/>
    <w:rsid w:val="007D45F6"/>
    <w:rsid w:val="007D461E"/>
    <w:rsid w:val="007D4666"/>
    <w:rsid w:val="007D4689"/>
    <w:rsid w:val="007D46B9"/>
    <w:rsid w:val="007D46D3"/>
    <w:rsid w:val="007D46EB"/>
    <w:rsid w:val="007D46F4"/>
    <w:rsid w:val="007D46F9"/>
    <w:rsid w:val="007D472B"/>
    <w:rsid w:val="007D474C"/>
    <w:rsid w:val="007D475D"/>
    <w:rsid w:val="007D47CB"/>
    <w:rsid w:val="007D47CE"/>
    <w:rsid w:val="007D47E5"/>
    <w:rsid w:val="007D47F3"/>
    <w:rsid w:val="007D480D"/>
    <w:rsid w:val="007D486C"/>
    <w:rsid w:val="007D4878"/>
    <w:rsid w:val="007D4885"/>
    <w:rsid w:val="007D4895"/>
    <w:rsid w:val="007D48F5"/>
    <w:rsid w:val="007D4982"/>
    <w:rsid w:val="007D49C4"/>
    <w:rsid w:val="007D49EF"/>
    <w:rsid w:val="007D4A35"/>
    <w:rsid w:val="007D4A51"/>
    <w:rsid w:val="007D4A5A"/>
    <w:rsid w:val="007D4A76"/>
    <w:rsid w:val="007D4A77"/>
    <w:rsid w:val="007D4AA2"/>
    <w:rsid w:val="007D4AC4"/>
    <w:rsid w:val="007D4AD8"/>
    <w:rsid w:val="007D4AE3"/>
    <w:rsid w:val="007D4B0E"/>
    <w:rsid w:val="007D4B31"/>
    <w:rsid w:val="007D4B38"/>
    <w:rsid w:val="007D4B3C"/>
    <w:rsid w:val="007D4B3E"/>
    <w:rsid w:val="007D4B41"/>
    <w:rsid w:val="007D4B65"/>
    <w:rsid w:val="007D4BCD"/>
    <w:rsid w:val="007D4BEF"/>
    <w:rsid w:val="007D4C5D"/>
    <w:rsid w:val="007D4C85"/>
    <w:rsid w:val="007D4C98"/>
    <w:rsid w:val="007D4CCB"/>
    <w:rsid w:val="007D4CD1"/>
    <w:rsid w:val="007D4CD8"/>
    <w:rsid w:val="007D4CDB"/>
    <w:rsid w:val="007D4CE8"/>
    <w:rsid w:val="007D4D5E"/>
    <w:rsid w:val="007D4D5F"/>
    <w:rsid w:val="007D4D6C"/>
    <w:rsid w:val="007D4DF0"/>
    <w:rsid w:val="007D4E18"/>
    <w:rsid w:val="007D4E1E"/>
    <w:rsid w:val="007D4E58"/>
    <w:rsid w:val="007D4E84"/>
    <w:rsid w:val="007D4E87"/>
    <w:rsid w:val="007D4EA4"/>
    <w:rsid w:val="007D4EA6"/>
    <w:rsid w:val="007D4EF4"/>
    <w:rsid w:val="007D4F1C"/>
    <w:rsid w:val="007D4F28"/>
    <w:rsid w:val="007D4F7A"/>
    <w:rsid w:val="007D4F94"/>
    <w:rsid w:val="007D4FD9"/>
    <w:rsid w:val="007D4FFE"/>
    <w:rsid w:val="007D5028"/>
    <w:rsid w:val="007D5056"/>
    <w:rsid w:val="007D506E"/>
    <w:rsid w:val="007D50C0"/>
    <w:rsid w:val="007D513D"/>
    <w:rsid w:val="007D5159"/>
    <w:rsid w:val="007D515A"/>
    <w:rsid w:val="007D519D"/>
    <w:rsid w:val="007D51A2"/>
    <w:rsid w:val="007D51B4"/>
    <w:rsid w:val="007D51C0"/>
    <w:rsid w:val="007D51E9"/>
    <w:rsid w:val="007D520B"/>
    <w:rsid w:val="007D523F"/>
    <w:rsid w:val="007D5256"/>
    <w:rsid w:val="007D5357"/>
    <w:rsid w:val="007D5371"/>
    <w:rsid w:val="007D53A2"/>
    <w:rsid w:val="007D53B8"/>
    <w:rsid w:val="007D53C0"/>
    <w:rsid w:val="007D5412"/>
    <w:rsid w:val="007D541B"/>
    <w:rsid w:val="007D543C"/>
    <w:rsid w:val="007D5445"/>
    <w:rsid w:val="007D5467"/>
    <w:rsid w:val="007D5479"/>
    <w:rsid w:val="007D554F"/>
    <w:rsid w:val="007D5592"/>
    <w:rsid w:val="007D55AB"/>
    <w:rsid w:val="007D55B8"/>
    <w:rsid w:val="007D55B9"/>
    <w:rsid w:val="007D55C4"/>
    <w:rsid w:val="007D5628"/>
    <w:rsid w:val="007D562B"/>
    <w:rsid w:val="007D564A"/>
    <w:rsid w:val="007D5676"/>
    <w:rsid w:val="007D5689"/>
    <w:rsid w:val="007D56BF"/>
    <w:rsid w:val="007D56D5"/>
    <w:rsid w:val="007D56F1"/>
    <w:rsid w:val="007D5719"/>
    <w:rsid w:val="007D572A"/>
    <w:rsid w:val="007D572C"/>
    <w:rsid w:val="007D573F"/>
    <w:rsid w:val="007D5763"/>
    <w:rsid w:val="007D579A"/>
    <w:rsid w:val="007D57BD"/>
    <w:rsid w:val="007D5800"/>
    <w:rsid w:val="007D580B"/>
    <w:rsid w:val="007D5832"/>
    <w:rsid w:val="007D5867"/>
    <w:rsid w:val="007D589B"/>
    <w:rsid w:val="007D58C5"/>
    <w:rsid w:val="007D58ED"/>
    <w:rsid w:val="007D58F4"/>
    <w:rsid w:val="007D5909"/>
    <w:rsid w:val="007D59F5"/>
    <w:rsid w:val="007D5A31"/>
    <w:rsid w:val="007D5A9E"/>
    <w:rsid w:val="007D5ABA"/>
    <w:rsid w:val="007D5ADA"/>
    <w:rsid w:val="007D5ADE"/>
    <w:rsid w:val="007D5AFA"/>
    <w:rsid w:val="007D5B3F"/>
    <w:rsid w:val="007D5B42"/>
    <w:rsid w:val="007D5B57"/>
    <w:rsid w:val="007D5B75"/>
    <w:rsid w:val="007D5B7E"/>
    <w:rsid w:val="007D5BC4"/>
    <w:rsid w:val="007D5BE1"/>
    <w:rsid w:val="007D5C58"/>
    <w:rsid w:val="007D5C77"/>
    <w:rsid w:val="007D5CC7"/>
    <w:rsid w:val="007D5CF7"/>
    <w:rsid w:val="007D5DAE"/>
    <w:rsid w:val="007D5DB5"/>
    <w:rsid w:val="007D5DC4"/>
    <w:rsid w:val="007D5DD7"/>
    <w:rsid w:val="007D5DDC"/>
    <w:rsid w:val="007D5DE1"/>
    <w:rsid w:val="007D5E5D"/>
    <w:rsid w:val="007D5E5E"/>
    <w:rsid w:val="007D5E8A"/>
    <w:rsid w:val="007D5EE1"/>
    <w:rsid w:val="007D5EFD"/>
    <w:rsid w:val="007D5EFF"/>
    <w:rsid w:val="007D5F95"/>
    <w:rsid w:val="007D5FAD"/>
    <w:rsid w:val="007D6011"/>
    <w:rsid w:val="007D601E"/>
    <w:rsid w:val="007D6054"/>
    <w:rsid w:val="007D6074"/>
    <w:rsid w:val="007D608C"/>
    <w:rsid w:val="007D6098"/>
    <w:rsid w:val="007D60EF"/>
    <w:rsid w:val="007D60FF"/>
    <w:rsid w:val="007D6160"/>
    <w:rsid w:val="007D6176"/>
    <w:rsid w:val="007D61B0"/>
    <w:rsid w:val="007D61B2"/>
    <w:rsid w:val="007D61D1"/>
    <w:rsid w:val="007D61D5"/>
    <w:rsid w:val="007D61DA"/>
    <w:rsid w:val="007D61ED"/>
    <w:rsid w:val="007D621D"/>
    <w:rsid w:val="007D624E"/>
    <w:rsid w:val="007D62EB"/>
    <w:rsid w:val="007D6309"/>
    <w:rsid w:val="007D631F"/>
    <w:rsid w:val="007D6345"/>
    <w:rsid w:val="007D6386"/>
    <w:rsid w:val="007D63D5"/>
    <w:rsid w:val="007D6464"/>
    <w:rsid w:val="007D6466"/>
    <w:rsid w:val="007D64A1"/>
    <w:rsid w:val="007D64F8"/>
    <w:rsid w:val="007D6540"/>
    <w:rsid w:val="007D659C"/>
    <w:rsid w:val="007D6609"/>
    <w:rsid w:val="007D660B"/>
    <w:rsid w:val="007D6629"/>
    <w:rsid w:val="007D6655"/>
    <w:rsid w:val="007D6677"/>
    <w:rsid w:val="007D6689"/>
    <w:rsid w:val="007D6695"/>
    <w:rsid w:val="007D67A6"/>
    <w:rsid w:val="007D6815"/>
    <w:rsid w:val="007D6865"/>
    <w:rsid w:val="007D68A2"/>
    <w:rsid w:val="007D694A"/>
    <w:rsid w:val="007D6972"/>
    <w:rsid w:val="007D6989"/>
    <w:rsid w:val="007D6A04"/>
    <w:rsid w:val="007D6A33"/>
    <w:rsid w:val="007D6A4C"/>
    <w:rsid w:val="007D6A9E"/>
    <w:rsid w:val="007D6B0C"/>
    <w:rsid w:val="007D6B12"/>
    <w:rsid w:val="007D6B18"/>
    <w:rsid w:val="007D6B5F"/>
    <w:rsid w:val="007D6B81"/>
    <w:rsid w:val="007D6B92"/>
    <w:rsid w:val="007D6B96"/>
    <w:rsid w:val="007D6BAC"/>
    <w:rsid w:val="007D6BB8"/>
    <w:rsid w:val="007D6BBA"/>
    <w:rsid w:val="007D6BC8"/>
    <w:rsid w:val="007D6BED"/>
    <w:rsid w:val="007D6BEE"/>
    <w:rsid w:val="007D6BF3"/>
    <w:rsid w:val="007D6C09"/>
    <w:rsid w:val="007D6C34"/>
    <w:rsid w:val="007D6C4B"/>
    <w:rsid w:val="007D6C51"/>
    <w:rsid w:val="007D6C7D"/>
    <w:rsid w:val="007D6CAB"/>
    <w:rsid w:val="007D6CC9"/>
    <w:rsid w:val="007D6CE1"/>
    <w:rsid w:val="007D6D0C"/>
    <w:rsid w:val="007D6D15"/>
    <w:rsid w:val="007D6D29"/>
    <w:rsid w:val="007D6D38"/>
    <w:rsid w:val="007D6D3D"/>
    <w:rsid w:val="007D6D4F"/>
    <w:rsid w:val="007D6D6E"/>
    <w:rsid w:val="007D6DC0"/>
    <w:rsid w:val="007D6DE1"/>
    <w:rsid w:val="007D6E1C"/>
    <w:rsid w:val="007D6E1D"/>
    <w:rsid w:val="007D6E23"/>
    <w:rsid w:val="007D6E2B"/>
    <w:rsid w:val="007D6E31"/>
    <w:rsid w:val="007D6E90"/>
    <w:rsid w:val="007D6E91"/>
    <w:rsid w:val="007D6EAE"/>
    <w:rsid w:val="007D6EB7"/>
    <w:rsid w:val="007D6EF2"/>
    <w:rsid w:val="007D6F65"/>
    <w:rsid w:val="007D6FC0"/>
    <w:rsid w:val="007D6FD6"/>
    <w:rsid w:val="007D701A"/>
    <w:rsid w:val="007D7039"/>
    <w:rsid w:val="007D7061"/>
    <w:rsid w:val="007D7065"/>
    <w:rsid w:val="007D7069"/>
    <w:rsid w:val="007D7173"/>
    <w:rsid w:val="007D717D"/>
    <w:rsid w:val="007D7184"/>
    <w:rsid w:val="007D722F"/>
    <w:rsid w:val="007D72D6"/>
    <w:rsid w:val="007D7334"/>
    <w:rsid w:val="007D734D"/>
    <w:rsid w:val="007D7371"/>
    <w:rsid w:val="007D739B"/>
    <w:rsid w:val="007D73FA"/>
    <w:rsid w:val="007D7456"/>
    <w:rsid w:val="007D7476"/>
    <w:rsid w:val="007D747E"/>
    <w:rsid w:val="007D7497"/>
    <w:rsid w:val="007D74DC"/>
    <w:rsid w:val="007D74F0"/>
    <w:rsid w:val="007D7573"/>
    <w:rsid w:val="007D757B"/>
    <w:rsid w:val="007D75C9"/>
    <w:rsid w:val="007D7607"/>
    <w:rsid w:val="007D762E"/>
    <w:rsid w:val="007D766A"/>
    <w:rsid w:val="007D768E"/>
    <w:rsid w:val="007D769F"/>
    <w:rsid w:val="007D76AA"/>
    <w:rsid w:val="007D76E1"/>
    <w:rsid w:val="007D76F2"/>
    <w:rsid w:val="007D7732"/>
    <w:rsid w:val="007D773D"/>
    <w:rsid w:val="007D774C"/>
    <w:rsid w:val="007D77EC"/>
    <w:rsid w:val="007D77FC"/>
    <w:rsid w:val="007D7850"/>
    <w:rsid w:val="007D7856"/>
    <w:rsid w:val="007D786A"/>
    <w:rsid w:val="007D7890"/>
    <w:rsid w:val="007D78D3"/>
    <w:rsid w:val="007D7906"/>
    <w:rsid w:val="007D7939"/>
    <w:rsid w:val="007D793F"/>
    <w:rsid w:val="007D7953"/>
    <w:rsid w:val="007D7976"/>
    <w:rsid w:val="007D7993"/>
    <w:rsid w:val="007D7A50"/>
    <w:rsid w:val="007D7A6E"/>
    <w:rsid w:val="007D7AD3"/>
    <w:rsid w:val="007D7AD9"/>
    <w:rsid w:val="007D7B13"/>
    <w:rsid w:val="007D7B34"/>
    <w:rsid w:val="007D7B3B"/>
    <w:rsid w:val="007D7B45"/>
    <w:rsid w:val="007D7B5B"/>
    <w:rsid w:val="007D7B79"/>
    <w:rsid w:val="007D7B9D"/>
    <w:rsid w:val="007D7BA9"/>
    <w:rsid w:val="007D7BCB"/>
    <w:rsid w:val="007D7BE8"/>
    <w:rsid w:val="007D7BE9"/>
    <w:rsid w:val="007D7C74"/>
    <w:rsid w:val="007D7C8C"/>
    <w:rsid w:val="007D7CB8"/>
    <w:rsid w:val="007D7D0A"/>
    <w:rsid w:val="007D7D70"/>
    <w:rsid w:val="007D7DAC"/>
    <w:rsid w:val="007D7DBF"/>
    <w:rsid w:val="007D7E38"/>
    <w:rsid w:val="007D7E68"/>
    <w:rsid w:val="007D7E70"/>
    <w:rsid w:val="007D7EF6"/>
    <w:rsid w:val="007D7F68"/>
    <w:rsid w:val="007D7F8E"/>
    <w:rsid w:val="007D7FAD"/>
    <w:rsid w:val="007D7FB9"/>
    <w:rsid w:val="007D7FD5"/>
    <w:rsid w:val="007D7FF0"/>
    <w:rsid w:val="007E000A"/>
    <w:rsid w:val="007E00A6"/>
    <w:rsid w:val="007E00DE"/>
    <w:rsid w:val="007E0124"/>
    <w:rsid w:val="007E015F"/>
    <w:rsid w:val="007E01F0"/>
    <w:rsid w:val="007E024C"/>
    <w:rsid w:val="007E0260"/>
    <w:rsid w:val="007E0279"/>
    <w:rsid w:val="007E02B4"/>
    <w:rsid w:val="007E02EE"/>
    <w:rsid w:val="007E02F1"/>
    <w:rsid w:val="007E02FF"/>
    <w:rsid w:val="007E0317"/>
    <w:rsid w:val="007E0356"/>
    <w:rsid w:val="007E0358"/>
    <w:rsid w:val="007E03A5"/>
    <w:rsid w:val="007E03C1"/>
    <w:rsid w:val="007E03D4"/>
    <w:rsid w:val="007E0411"/>
    <w:rsid w:val="007E044A"/>
    <w:rsid w:val="007E04C7"/>
    <w:rsid w:val="007E051D"/>
    <w:rsid w:val="007E0548"/>
    <w:rsid w:val="007E0568"/>
    <w:rsid w:val="007E05B3"/>
    <w:rsid w:val="007E05C3"/>
    <w:rsid w:val="007E05D8"/>
    <w:rsid w:val="007E05E3"/>
    <w:rsid w:val="007E05EF"/>
    <w:rsid w:val="007E0626"/>
    <w:rsid w:val="007E068C"/>
    <w:rsid w:val="007E06A9"/>
    <w:rsid w:val="007E06BE"/>
    <w:rsid w:val="007E06C3"/>
    <w:rsid w:val="007E075B"/>
    <w:rsid w:val="007E07F9"/>
    <w:rsid w:val="007E0872"/>
    <w:rsid w:val="007E08A4"/>
    <w:rsid w:val="007E08A5"/>
    <w:rsid w:val="007E08B5"/>
    <w:rsid w:val="007E08CA"/>
    <w:rsid w:val="007E08E8"/>
    <w:rsid w:val="007E08F0"/>
    <w:rsid w:val="007E0916"/>
    <w:rsid w:val="007E091B"/>
    <w:rsid w:val="007E0927"/>
    <w:rsid w:val="007E0953"/>
    <w:rsid w:val="007E0957"/>
    <w:rsid w:val="007E0967"/>
    <w:rsid w:val="007E09E6"/>
    <w:rsid w:val="007E0A03"/>
    <w:rsid w:val="007E0A10"/>
    <w:rsid w:val="007E0A64"/>
    <w:rsid w:val="007E0AFD"/>
    <w:rsid w:val="007E0B28"/>
    <w:rsid w:val="007E0B32"/>
    <w:rsid w:val="007E0B42"/>
    <w:rsid w:val="007E0B48"/>
    <w:rsid w:val="007E0B75"/>
    <w:rsid w:val="007E0B80"/>
    <w:rsid w:val="007E0BB8"/>
    <w:rsid w:val="007E0C51"/>
    <w:rsid w:val="007E0C99"/>
    <w:rsid w:val="007E0CAA"/>
    <w:rsid w:val="007E0CB9"/>
    <w:rsid w:val="007E0CC3"/>
    <w:rsid w:val="007E0D0A"/>
    <w:rsid w:val="007E0D0C"/>
    <w:rsid w:val="007E0D33"/>
    <w:rsid w:val="007E0D43"/>
    <w:rsid w:val="007E0D5C"/>
    <w:rsid w:val="007E0DA8"/>
    <w:rsid w:val="007E0DB2"/>
    <w:rsid w:val="007E0DCE"/>
    <w:rsid w:val="007E0DF2"/>
    <w:rsid w:val="007E0E1B"/>
    <w:rsid w:val="007E0E38"/>
    <w:rsid w:val="007E0E5A"/>
    <w:rsid w:val="007E0E5F"/>
    <w:rsid w:val="007E0E67"/>
    <w:rsid w:val="007E0E77"/>
    <w:rsid w:val="007E0E9F"/>
    <w:rsid w:val="007E0EB1"/>
    <w:rsid w:val="007E0EC6"/>
    <w:rsid w:val="007E0EEF"/>
    <w:rsid w:val="007E0F29"/>
    <w:rsid w:val="007E0F2F"/>
    <w:rsid w:val="007E0F52"/>
    <w:rsid w:val="007E0F89"/>
    <w:rsid w:val="007E0F8A"/>
    <w:rsid w:val="007E0F97"/>
    <w:rsid w:val="007E0FAD"/>
    <w:rsid w:val="007E0FEA"/>
    <w:rsid w:val="007E1013"/>
    <w:rsid w:val="007E103A"/>
    <w:rsid w:val="007E1070"/>
    <w:rsid w:val="007E1073"/>
    <w:rsid w:val="007E107B"/>
    <w:rsid w:val="007E108D"/>
    <w:rsid w:val="007E10C7"/>
    <w:rsid w:val="007E1106"/>
    <w:rsid w:val="007E11A6"/>
    <w:rsid w:val="007E122C"/>
    <w:rsid w:val="007E1261"/>
    <w:rsid w:val="007E12E2"/>
    <w:rsid w:val="007E1333"/>
    <w:rsid w:val="007E135F"/>
    <w:rsid w:val="007E1372"/>
    <w:rsid w:val="007E137E"/>
    <w:rsid w:val="007E1397"/>
    <w:rsid w:val="007E13E8"/>
    <w:rsid w:val="007E1449"/>
    <w:rsid w:val="007E1479"/>
    <w:rsid w:val="007E14BE"/>
    <w:rsid w:val="007E1511"/>
    <w:rsid w:val="007E1520"/>
    <w:rsid w:val="007E1534"/>
    <w:rsid w:val="007E154F"/>
    <w:rsid w:val="007E1554"/>
    <w:rsid w:val="007E1587"/>
    <w:rsid w:val="007E15BA"/>
    <w:rsid w:val="007E15E3"/>
    <w:rsid w:val="007E15EC"/>
    <w:rsid w:val="007E167C"/>
    <w:rsid w:val="007E16A6"/>
    <w:rsid w:val="007E16A7"/>
    <w:rsid w:val="007E16B7"/>
    <w:rsid w:val="007E16E5"/>
    <w:rsid w:val="007E16F8"/>
    <w:rsid w:val="007E172A"/>
    <w:rsid w:val="007E17B6"/>
    <w:rsid w:val="007E17B9"/>
    <w:rsid w:val="007E17DE"/>
    <w:rsid w:val="007E17F2"/>
    <w:rsid w:val="007E180A"/>
    <w:rsid w:val="007E1816"/>
    <w:rsid w:val="007E181F"/>
    <w:rsid w:val="007E182D"/>
    <w:rsid w:val="007E183C"/>
    <w:rsid w:val="007E1898"/>
    <w:rsid w:val="007E189E"/>
    <w:rsid w:val="007E18C7"/>
    <w:rsid w:val="007E18F6"/>
    <w:rsid w:val="007E1963"/>
    <w:rsid w:val="007E1969"/>
    <w:rsid w:val="007E1985"/>
    <w:rsid w:val="007E19DE"/>
    <w:rsid w:val="007E1A04"/>
    <w:rsid w:val="007E1A0B"/>
    <w:rsid w:val="007E1A3A"/>
    <w:rsid w:val="007E1A3B"/>
    <w:rsid w:val="007E1A4A"/>
    <w:rsid w:val="007E1A6B"/>
    <w:rsid w:val="007E1A92"/>
    <w:rsid w:val="007E1AB6"/>
    <w:rsid w:val="007E1AC0"/>
    <w:rsid w:val="007E1AC9"/>
    <w:rsid w:val="007E1B38"/>
    <w:rsid w:val="007E1B4A"/>
    <w:rsid w:val="007E1BB1"/>
    <w:rsid w:val="007E1BD1"/>
    <w:rsid w:val="007E1C06"/>
    <w:rsid w:val="007E1C9B"/>
    <w:rsid w:val="007E1D48"/>
    <w:rsid w:val="007E1D4D"/>
    <w:rsid w:val="007E1D86"/>
    <w:rsid w:val="007E1D94"/>
    <w:rsid w:val="007E1DA4"/>
    <w:rsid w:val="007E1DC2"/>
    <w:rsid w:val="007E1DC7"/>
    <w:rsid w:val="007E1E0B"/>
    <w:rsid w:val="007E1E3E"/>
    <w:rsid w:val="007E1E49"/>
    <w:rsid w:val="007E1E52"/>
    <w:rsid w:val="007E1E9C"/>
    <w:rsid w:val="007E1EB0"/>
    <w:rsid w:val="007E1F39"/>
    <w:rsid w:val="007E1F3A"/>
    <w:rsid w:val="007E1F79"/>
    <w:rsid w:val="007E1F97"/>
    <w:rsid w:val="007E1F98"/>
    <w:rsid w:val="007E1FE6"/>
    <w:rsid w:val="007E1FFB"/>
    <w:rsid w:val="007E2026"/>
    <w:rsid w:val="007E2033"/>
    <w:rsid w:val="007E2050"/>
    <w:rsid w:val="007E2058"/>
    <w:rsid w:val="007E20B6"/>
    <w:rsid w:val="007E20BB"/>
    <w:rsid w:val="007E2109"/>
    <w:rsid w:val="007E214D"/>
    <w:rsid w:val="007E2172"/>
    <w:rsid w:val="007E21CA"/>
    <w:rsid w:val="007E2208"/>
    <w:rsid w:val="007E225B"/>
    <w:rsid w:val="007E22EC"/>
    <w:rsid w:val="007E2309"/>
    <w:rsid w:val="007E2313"/>
    <w:rsid w:val="007E2336"/>
    <w:rsid w:val="007E23EB"/>
    <w:rsid w:val="007E23FA"/>
    <w:rsid w:val="007E241F"/>
    <w:rsid w:val="007E2492"/>
    <w:rsid w:val="007E24A5"/>
    <w:rsid w:val="007E24A6"/>
    <w:rsid w:val="007E24B4"/>
    <w:rsid w:val="007E250B"/>
    <w:rsid w:val="007E252B"/>
    <w:rsid w:val="007E254A"/>
    <w:rsid w:val="007E2588"/>
    <w:rsid w:val="007E25AA"/>
    <w:rsid w:val="007E25DD"/>
    <w:rsid w:val="007E25EC"/>
    <w:rsid w:val="007E264E"/>
    <w:rsid w:val="007E269A"/>
    <w:rsid w:val="007E2702"/>
    <w:rsid w:val="007E272E"/>
    <w:rsid w:val="007E2778"/>
    <w:rsid w:val="007E27DD"/>
    <w:rsid w:val="007E280E"/>
    <w:rsid w:val="007E2819"/>
    <w:rsid w:val="007E2841"/>
    <w:rsid w:val="007E28B9"/>
    <w:rsid w:val="007E28D5"/>
    <w:rsid w:val="007E28E4"/>
    <w:rsid w:val="007E28EE"/>
    <w:rsid w:val="007E2908"/>
    <w:rsid w:val="007E292B"/>
    <w:rsid w:val="007E29DF"/>
    <w:rsid w:val="007E29E1"/>
    <w:rsid w:val="007E2A2B"/>
    <w:rsid w:val="007E2A5D"/>
    <w:rsid w:val="007E2ACE"/>
    <w:rsid w:val="007E2AD6"/>
    <w:rsid w:val="007E2ADC"/>
    <w:rsid w:val="007E2AE2"/>
    <w:rsid w:val="007E2B74"/>
    <w:rsid w:val="007E2B83"/>
    <w:rsid w:val="007E2BE1"/>
    <w:rsid w:val="007E2C04"/>
    <w:rsid w:val="007E2C38"/>
    <w:rsid w:val="007E2C4C"/>
    <w:rsid w:val="007E2C67"/>
    <w:rsid w:val="007E2C89"/>
    <w:rsid w:val="007E2CAD"/>
    <w:rsid w:val="007E2CBB"/>
    <w:rsid w:val="007E2CCE"/>
    <w:rsid w:val="007E2D2F"/>
    <w:rsid w:val="007E2D39"/>
    <w:rsid w:val="007E2D3A"/>
    <w:rsid w:val="007E2D5B"/>
    <w:rsid w:val="007E2DDA"/>
    <w:rsid w:val="007E2E0A"/>
    <w:rsid w:val="007E2E0F"/>
    <w:rsid w:val="007E2E1D"/>
    <w:rsid w:val="007E2E2C"/>
    <w:rsid w:val="007E2E78"/>
    <w:rsid w:val="007E2EB7"/>
    <w:rsid w:val="007E2EB8"/>
    <w:rsid w:val="007E2EF5"/>
    <w:rsid w:val="007E2F0D"/>
    <w:rsid w:val="007E2F21"/>
    <w:rsid w:val="007E2F24"/>
    <w:rsid w:val="007E2FB0"/>
    <w:rsid w:val="007E2FE7"/>
    <w:rsid w:val="007E301E"/>
    <w:rsid w:val="007E303E"/>
    <w:rsid w:val="007E3057"/>
    <w:rsid w:val="007E3098"/>
    <w:rsid w:val="007E30BE"/>
    <w:rsid w:val="007E30DE"/>
    <w:rsid w:val="007E3188"/>
    <w:rsid w:val="007E31BE"/>
    <w:rsid w:val="007E31C4"/>
    <w:rsid w:val="007E31DD"/>
    <w:rsid w:val="007E31FF"/>
    <w:rsid w:val="007E320A"/>
    <w:rsid w:val="007E320C"/>
    <w:rsid w:val="007E32AC"/>
    <w:rsid w:val="007E32D6"/>
    <w:rsid w:val="007E32F3"/>
    <w:rsid w:val="007E3300"/>
    <w:rsid w:val="007E3321"/>
    <w:rsid w:val="007E3329"/>
    <w:rsid w:val="007E3354"/>
    <w:rsid w:val="007E3365"/>
    <w:rsid w:val="007E3369"/>
    <w:rsid w:val="007E33CF"/>
    <w:rsid w:val="007E33D0"/>
    <w:rsid w:val="007E3400"/>
    <w:rsid w:val="007E3414"/>
    <w:rsid w:val="007E341E"/>
    <w:rsid w:val="007E3468"/>
    <w:rsid w:val="007E3485"/>
    <w:rsid w:val="007E34C5"/>
    <w:rsid w:val="007E34F6"/>
    <w:rsid w:val="007E35C5"/>
    <w:rsid w:val="007E35C6"/>
    <w:rsid w:val="007E35D4"/>
    <w:rsid w:val="007E35FD"/>
    <w:rsid w:val="007E3657"/>
    <w:rsid w:val="007E3662"/>
    <w:rsid w:val="007E366A"/>
    <w:rsid w:val="007E369D"/>
    <w:rsid w:val="007E36C4"/>
    <w:rsid w:val="007E36EF"/>
    <w:rsid w:val="007E36F7"/>
    <w:rsid w:val="007E36FC"/>
    <w:rsid w:val="007E3719"/>
    <w:rsid w:val="007E3777"/>
    <w:rsid w:val="007E37C4"/>
    <w:rsid w:val="007E37EE"/>
    <w:rsid w:val="007E37FC"/>
    <w:rsid w:val="007E381F"/>
    <w:rsid w:val="007E3826"/>
    <w:rsid w:val="007E38A6"/>
    <w:rsid w:val="007E3900"/>
    <w:rsid w:val="007E3975"/>
    <w:rsid w:val="007E39A3"/>
    <w:rsid w:val="007E39B1"/>
    <w:rsid w:val="007E39D5"/>
    <w:rsid w:val="007E3A28"/>
    <w:rsid w:val="007E3A4A"/>
    <w:rsid w:val="007E3A4C"/>
    <w:rsid w:val="007E3A84"/>
    <w:rsid w:val="007E3A9D"/>
    <w:rsid w:val="007E3AA7"/>
    <w:rsid w:val="007E3AC7"/>
    <w:rsid w:val="007E3AE1"/>
    <w:rsid w:val="007E3AFF"/>
    <w:rsid w:val="007E3B05"/>
    <w:rsid w:val="007E3B58"/>
    <w:rsid w:val="007E3B61"/>
    <w:rsid w:val="007E3B75"/>
    <w:rsid w:val="007E3B7E"/>
    <w:rsid w:val="007E3B9F"/>
    <w:rsid w:val="007E3BA8"/>
    <w:rsid w:val="007E3BAF"/>
    <w:rsid w:val="007E3BB3"/>
    <w:rsid w:val="007E3C6B"/>
    <w:rsid w:val="007E3C78"/>
    <w:rsid w:val="007E3CB9"/>
    <w:rsid w:val="007E3CBA"/>
    <w:rsid w:val="007E3CF1"/>
    <w:rsid w:val="007E3D18"/>
    <w:rsid w:val="007E3D47"/>
    <w:rsid w:val="007E3D64"/>
    <w:rsid w:val="007E3DF5"/>
    <w:rsid w:val="007E3E73"/>
    <w:rsid w:val="007E3E8A"/>
    <w:rsid w:val="007E3E92"/>
    <w:rsid w:val="007E3EB5"/>
    <w:rsid w:val="007E3EBA"/>
    <w:rsid w:val="007E3F28"/>
    <w:rsid w:val="007E3FE3"/>
    <w:rsid w:val="007E4011"/>
    <w:rsid w:val="007E4074"/>
    <w:rsid w:val="007E407A"/>
    <w:rsid w:val="007E40A4"/>
    <w:rsid w:val="007E40ED"/>
    <w:rsid w:val="007E40F7"/>
    <w:rsid w:val="007E4100"/>
    <w:rsid w:val="007E416C"/>
    <w:rsid w:val="007E4196"/>
    <w:rsid w:val="007E41F3"/>
    <w:rsid w:val="007E41F5"/>
    <w:rsid w:val="007E424F"/>
    <w:rsid w:val="007E4288"/>
    <w:rsid w:val="007E42E5"/>
    <w:rsid w:val="007E42FA"/>
    <w:rsid w:val="007E4318"/>
    <w:rsid w:val="007E4346"/>
    <w:rsid w:val="007E43BF"/>
    <w:rsid w:val="007E4414"/>
    <w:rsid w:val="007E44AD"/>
    <w:rsid w:val="007E4568"/>
    <w:rsid w:val="007E45F7"/>
    <w:rsid w:val="007E4629"/>
    <w:rsid w:val="007E4632"/>
    <w:rsid w:val="007E463D"/>
    <w:rsid w:val="007E469D"/>
    <w:rsid w:val="007E46EE"/>
    <w:rsid w:val="007E4739"/>
    <w:rsid w:val="007E4747"/>
    <w:rsid w:val="007E47B1"/>
    <w:rsid w:val="007E47B3"/>
    <w:rsid w:val="007E47CD"/>
    <w:rsid w:val="007E47E4"/>
    <w:rsid w:val="007E481B"/>
    <w:rsid w:val="007E482A"/>
    <w:rsid w:val="007E483D"/>
    <w:rsid w:val="007E4847"/>
    <w:rsid w:val="007E486C"/>
    <w:rsid w:val="007E4871"/>
    <w:rsid w:val="007E48CD"/>
    <w:rsid w:val="007E48DE"/>
    <w:rsid w:val="007E48EB"/>
    <w:rsid w:val="007E4901"/>
    <w:rsid w:val="007E4973"/>
    <w:rsid w:val="007E4978"/>
    <w:rsid w:val="007E4994"/>
    <w:rsid w:val="007E49DA"/>
    <w:rsid w:val="007E4A18"/>
    <w:rsid w:val="007E4A3B"/>
    <w:rsid w:val="007E4A76"/>
    <w:rsid w:val="007E4AA4"/>
    <w:rsid w:val="007E4AE7"/>
    <w:rsid w:val="007E4B10"/>
    <w:rsid w:val="007E4B36"/>
    <w:rsid w:val="007E4B52"/>
    <w:rsid w:val="007E4B7B"/>
    <w:rsid w:val="007E4B9C"/>
    <w:rsid w:val="007E4BAA"/>
    <w:rsid w:val="007E4BF3"/>
    <w:rsid w:val="007E4C27"/>
    <w:rsid w:val="007E4C32"/>
    <w:rsid w:val="007E4C76"/>
    <w:rsid w:val="007E4C7D"/>
    <w:rsid w:val="007E4CB7"/>
    <w:rsid w:val="007E4CCF"/>
    <w:rsid w:val="007E4CE8"/>
    <w:rsid w:val="007E4D4E"/>
    <w:rsid w:val="007E4D7C"/>
    <w:rsid w:val="007E4DB8"/>
    <w:rsid w:val="007E4DCB"/>
    <w:rsid w:val="007E4DE3"/>
    <w:rsid w:val="007E4DF8"/>
    <w:rsid w:val="007E4E23"/>
    <w:rsid w:val="007E4E26"/>
    <w:rsid w:val="007E4E81"/>
    <w:rsid w:val="007E4EBF"/>
    <w:rsid w:val="007E4EC5"/>
    <w:rsid w:val="007E4EF9"/>
    <w:rsid w:val="007E4F0D"/>
    <w:rsid w:val="007E4F2B"/>
    <w:rsid w:val="007E4F45"/>
    <w:rsid w:val="007E4F48"/>
    <w:rsid w:val="007E4F7B"/>
    <w:rsid w:val="007E4F87"/>
    <w:rsid w:val="007E4FEB"/>
    <w:rsid w:val="007E5016"/>
    <w:rsid w:val="007E502C"/>
    <w:rsid w:val="007E503E"/>
    <w:rsid w:val="007E507E"/>
    <w:rsid w:val="007E50C8"/>
    <w:rsid w:val="007E50D3"/>
    <w:rsid w:val="007E5121"/>
    <w:rsid w:val="007E5149"/>
    <w:rsid w:val="007E5160"/>
    <w:rsid w:val="007E5165"/>
    <w:rsid w:val="007E5179"/>
    <w:rsid w:val="007E5190"/>
    <w:rsid w:val="007E519B"/>
    <w:rsid w:val="007E5285"/>
    <w:rsid w:val="007E52AB"/>
    <w:rsid w:val="007E52C5"/>
    <w:rsid w:val="007E52E7"/>
    <w:rsid w:val="007E5304"/>
    <w:rsid w:val="007E5307"/>
    <w:rsid w:val="007E532A"/>
    <w:rsid w:val="007E533E"/>
    <w:rsid w:val="007E5340"/>
    <w:rsid w:val="007E53B7"/>
    <w:rsid w:val="007E53DA"/>
    <w:rsid w:val="007E541D"/>
    <w:rsid w:val="007E541E"/>
    <w:rsid w:val="007E547C"/>
    <w:rsid w:val="007E54ED"/>
    <w:rsid w:val="007E5516"/>
    <w:rsid w:val="007E5518"/>
    <w:rsid w:val="007E5554"/>
    <w:rsid w:val="007E5562"/>
    <w:rsid w:val="007E55DB"/>
    <w:rsid w:val="007E563C"/>
    <w:rsid w:val="007E5653"/>
    <w:rsid w:val="007E5672"/>
    <w:rsid w:val="007E569F"/>
    <w:rsid w:val="007E56B8"/>
    <w:rsid w:val="007E56E9"/>
    <w:rsid w:val="007E5732"/>
    <w:rsid w:val="007E5758"/>
    <w:rsid w:val="007E577B"/>
    <w:rsid w:val="007E5782"/>
    <w:rsid w:val="007E57A7"/>
    <w:rsid w:val="007E57AF"/>
    <w:rsid w:val="007E57B6"/>
    <w:rsid w:val="007E57CF"/>
    <w:rsid w:val="007E58C7"/>
    <w:rsid w:val="007E593D"/>
    <w:rsid w:val="007E595B"/>
    <w:rsid w:val="007E595D"/>
    <w:rsid w:val="007E596A"/>
    <w:rsid w:val="007E59A7"/>
    <w:rsid w:val="007E59B9"/>
    <w:rsid w:val="007E59C9"/>
    <w:rsid w:val="007E59F4"/>
    <w:rsid w:val="007E59FB"/>
    <w:rsid w:val="007E5A94"/>
    <w:rsid w:val="007E5AF0"/>
    <w:rsid w:val="007E5AFF"/>
    <w:rsid w:val="007E5B60"/>
    <w:rsid w:val="007E5BB0"/>
    <w:rsid w:val="007E5BC4"/>
    <w:rsid w:val="007E5C26"/>
    <w:rsid w:val="007E5C34"/>
    <w:rsid w:val="007E5C68"/>
    <w:rsid w:val="007E5C74"/>
    <w:rsid w:val="007E5C8A"/>
    <w:rsid w:val="007E5C96"/>
    <w:rsid w:val="007E5CF4"/>
    <w:rsid w:val="007E5D0D"/>
    <w:rsid w:val="007E5D29"/>
    <w:rsid w:val="007E5D2E"/>
    <w:rsid w:val="007E5D3A"/>
    <w:rsid w:val="007E5D64"/>
    <w:rsid w:val="007E5D76"/>
    <w:rsid w:val="007E5DBD"/>
    <w:rsid w:val="007E5DCF"/>
    <w:rsid w:val="007E5DE5"/>
    <w:rsid w:val="007E5E23"/>
    <w:rsid w:val="007E5E2F"/>
    <w:rsid w:val="007E5E40"/>
    <w:rsid w:val="007E5EE8"/>
    <w:rsid w:val="007E5F51"/>
    <w:rsid w:val="007E5F5C"/>
    <w:rsid w:val="007E5F6E"/>
    <w:rsid w:val="007E5F98"/>
    <w:rsid w:val="007E5FCA"/>
    <w:rsid w:val="007E5FF0"/>
    <w:rsid w:val="007E6013"/>
    <w:rsid w:val="007E60A0"/>
    <w:rsid w:val="007E60A1"/>
    <w:rsid w:val="007E60DB"/>
    <w:rsid w:val="007E60E1"/>
    <w:rsid w:val="007E60EB"/>
    <w:rsid w:val="007E6103"/>
    <w:rsid w:val="007E6124"/>
    <w:rsid w:val="007E6167"/>
    <w:rsid w:val="007E61E5"/>
    <w:rsid w:val="007E61ED"/>
    <w:rsid w:val="007E6229"/>
    <w:rsid w:val="007E6230"/>
    <w:rsid w:val="007E6289"/>
    <w:rsid w:val="007E628D"/>
    <w:rsid w:val="007E62C0"/>
    <w:rsid w:val="007E630E"/>
    <w:rsid w:val="007E6398"/>
    <w:rsid w:val="007E63E1"/>
    <w:rsid w:val="007E6403"/>
    <w:rsid w:val="007E642B"/>
    <w:rsid w:val="007E6461"/>
    <w:rsid w:val="007E6486"/>
    <w:rsid w:val="007E64EA"/>
    <w:rsid w:val="007E655D"/>
    <w:rsid w:val="007E663A"/>
    <w:rsid w:val="007E664C"/>
    <w:rsid w:val="007E664E"/>
    <w:rsid w:val="007E665C"/>
    <w:rsid w:val="007E6681"/>
    <w:rsid w:val="007E6697"/>
    <w:rsid w:val="007E66BE"/>
    <w:rsid w:val="007E6706"/>
    <w:rsid w:val="007E671C"/>
    <w:rsid w:val="007E6721"/>
    <w:rsid w:val="007E675F"/>
    <w:rsid w:val="007E6776"/>
    <w:rsid w:val="007E67E1"/>
    <w:rsid w:val="007E6809"/>
    <w:rsid w:val="007E6823"/>
    <w:rsid w:val="007E682C"/>
    <w:rsid w:val="007E683A"/>
    <w:rsid w:val="007E683E"/>
    <w:rsid w:val="007E685D"/>
    <w:rsid w:val="007E6889"/>
    <w:rsid w:val="007E68C4"/>
    <w:rsid w:val="007E6931"/>
    <w:rsid w:val="007E6935"/>
    <w:rsid w:val="007E695A"/>
    <w:rsid w:val="007E6963"/>
    <w:rsid w:val="007E6965"/>
    <w:rsid w:val="007E6976"/>
    <w:rsid w:val="007E69C1"/>
    <w:rsid w:val="007E6A60"/>
    <w:rsid w:val="007E6A64"/>
    <w:rsid w:val="007E6AA4"/>
    <w:rsid w:val="007E6AAF"/>
    <w:rsid w:val="007E6AC0"/>
    <w:rsid w:val="007E6AC6"/>
    <w:rsid w:val="007E6ACE"/>
    <w:rsid w:val="007E6AEB"/>
    <w:rsid w:val="007E6B07"/>
    <w:rsid w:val="007E6B09"/>
    <w:rsid w:val="007E6B2F"/>
    <w:rsid w:val="007E6B3F"/>
    <w:rsid w:val="007E6B99"/>
    <w:rsid w:val="007E6BD3"/>
    <w:rsid w:val="007E6BD4"/>
    <w:rsid w:val="007E6C5B"/>
    <w:rsid w:val="007E6C6B"/>
    <w:rsid w:val="007E6C82"/>
    <w:rsid w:val="007E6CDE"/>
    <w:rsid w:val="007E6D14"/>
    <w:rsid w:val="007E6D40"/>
    <w:rsid w:val="007E6D66"/>
    <w:rsid w:val="007E6D69"/>
    <w:rsid w:val="007E6D76"/>
    <w:rsid w:val="007E6D7F"/>
    <w:rsid w:val="007E6DB4"/>
    <w:rsid w:val="007E6DEC"/>
    <w:rsid w:val="007E6DF7"/>
    <w:rsid w:val="007E6E28"/>
    <w:rsid w:val="007E6E68"/>
    <w:rsid w:val="007E6E8D"/>
    <w:rsid w:val="007E6E91"/>
    <w:rsid w:val="007E6E92"/>
    <w:rsid w:val="007E6EC9"/>
    <w:rsid w:val="007E6EE7"/>
    <w:rsid w:val="007E6F41"/>
    <w:rsid w:val="007E6F58"/>
    <w:rsid w:val="007E6F59"/>
    <w:rsid w:val="007E6F5E"/>
    <w:rsid w:val="007E6F76"/>
    <w:rsid w:val="007E6F85"/>
    <w:rsid w:val="007E6F9C"/>
    <w:rsid w:val="007E6F9F"/>
    <w:rsid w:val="007E6FA9"/>
    <w:rsid w:val="007E6FF9"/>
    <w:rsid w:val="007E7000"/>
    <w:rsid w:val="007E7041"/>
    <w:rsid w:val="007E704F"/>
    <w:rsid w:val="007E705B"/>
    <w:rsid w:val="007E709C"/>
    <w:rsid w:val="007E7137"/>
    <w:rsid w:val="007E7156"/>
    <w:rsid w:val="007E7163"/>
    <w:rsid w:val="007E71D3"/>
    <w:rsid w:val="007E7203"/>
    <w:rsid w:val="007E7207"/>
    <w:rsid w:val="007E7222"/>
    <w:rsid w:val="007E7241"/>
    <w:rsid w:val="007E725E"/>
    <w:rsid w:val="007E7293"/>
    <w:rsid w:val="007E7299"/>
    <w:rsid w:val="007E72AE"/>
    <w:rsid w:val="007E72EE"/>
    <w:rsid w:val="007E732B"/>
    <w:rsid w:val="007E733B"/>
    <w:rsid w:val="007E736A"/>
    <w:rsid w:val="007E736B"/>
    <w:rsid w:val="007E736C"/>
    <w:rsid w:val="007E73B7"/>
    <w:rsid w:val="007E73E4"/>
    <w:rsid w:val="007E73FA"/>
    <w:rsid w:val="007E73FC"/>
    <w:rsid w:val="007E743D"/>
    <w:rsid w:val="007E7457"/>
    <w:rsid w:val="007E745B"/>
    <w:rsid w:val="007E7473"/>
    <w:rsid w:val="007E7496"/>
    <w:rsid w:val="007E74CF"/>
    <w:rsid w:val="007E74D7"/>
    <w:rsid w:val="007E74DC"/>
    <w:rsid w:val="007E74E8"/>
    <w:rsid w:val="007E75C4"/>
    <w:rsid w:val="007E75CA"/>
    <w:rsid w:val="007E75F7"/>
    <w:rsid w:val="007E762E"/>
    <w:rsid w:val="007E7636"/>
    <w:rsid w:val="007E764E"/>
    <w:rsid w:val="007E766E"/>
    <w:rsid w:val="007E768A"/>
    <w:rsid w:val="007E7691"/>
    <w:rsid w:val="007E76BC"/>
    <w:rsid w:val="007E76D9"/>
    <w:rsid w:val="007E76E0"/>
    <w:rsid w:val="007E76F2"/>
    <w:rsid w:val="007E771C"/>
    <w:rsid w:val="007E774A"/>
    <w:rsid w:val="007E7783"/>
    <w:rsid w:val="007E778C"/>
    <w:rsid w:val="007E77C7"/>
    <w:rsid w:val="007E77E4"/>
    <w:rsid w:val="007E77ED"/>
    <w:rsid w:val="007E7850"/>
    <w:rsid w:val="007E78C1"/>
    <w:rsid w:val="007E78F7"/>
    <w:rsid w:val="007E795D"/>
    <w:rsid w:val="007E795E"/>
    <w:rsid w:val="007E796E"/>
    <w:rsid w:val="007E7973"/>
    <w:rsid w:val="007E7989"/>
    <w:rsid w:val="007E799B"/>
    <w:rsid w:val="007E79BF"/>
    <w:rsid w:val="007E79D0"/>
    <w:rsid w:val="007E7A1A"/>
    <w:rsid w:val="007E7A55"/>
    <w:rsid w:val="007E7A69"/>
    <w:rsid w:val="007E7A83"/>
    <w:rsid w:val="007E7AA6"/>
    <w:rsid w:val="007E7AEE"/>
    <w:rsid w:val="007E7AFC"/>
    <w:rsid w:val="007E7B06"/>
    <w:rsid w:val="007E7B0E"/>
    <w:rsid w:val="007E7B49"/>
    <w:rsid w:val="007E7B50"/>
    <w:rsid w:val="007E7B69"/>
    <w:rsid w:val="007E7B6A"/>
    <w:rsid w:val="007E7B7B"/>
    <w:rsid w:val="007E7BA0"/>
    <w:rsid w:val="007E7BB1"/>
    <w:rsid w:val="007E7BC9"/>
    <w:rsid w:val="007E7C08"/>
    <w:rsid w:val="007E7C17"/>
    <w:rsid w:val="007E7C28"/>
    <w:rsid w:val="007E7C39"/>
    <w:rsid w:val="007E7C53"/>
    <w:rsid w:val="007E7C55"/>
    <w:rsid w:val="007E7C65"/>
    <w:rsid w:val="007E7C78"/>
    <w:rsid w:val="007E7C7E"/>
    <w:rsid w:val="007E7C9C"/>
    <w:rsid w:val="007E7D07"/>
    <w:rsid w:val="007E7D8D"/>
    <w:rsid w:val="007E7DDD"/>
    <w:rsid w:val="007E7E2B"/>
    <w:rsid w:val="007E7E4E"/>
    <w:rsid w:val="007E7E81"/>
    <w:rsid w:val="007E7EEA"/>
    <w:rsid w:val="007E7F26"/>
    <w:rsid w:val="007E7FF4"/>
    <w:rsid w:val="007F0041"/>
    <w:rsid w:val="007F0057"/>
    <w:rsid w:val="007F0061"/>
    <w:rsid w:val="007F00B6"/>
    <w:rsid w:val="007F00B9"/>
    <w:rsid w:val="007F00E5"/>
    <w:rsid w:val="007F0105"/>
    <w:rsid w:val="007F0130"/>
    <w:rsid w:val="007F015E"/>
    <w:rsid w:val="007F01CC"/>
    <w:rsid w:val="007F01CE"/>
    <w:rsid w:val="007F01FF"/>
    <w:rsid w:val="007F0236"/>
    <w:rsid w:val="007F025F"/>
    <w:rsid w:val="007F0269"/>
    <w:rsid w:val="007F0270"/>
    <w:rsid w:val="007F027E"/>
    <w:rsid w:val="007F0289"/>
    <w:rsid w:val="007F02A3"/>
    <w:rsid w:val="007F02A9"/>
    <w:rsid w:val="007F02AD"/>
    <w:rsid w:val="007F02CF"/>
    <w:rsid w:val="007F030F"/>
    <w:rsid w:val="007F0344"/>
    <w:rsid w:val="007F034A"/>
    <w:rsid w:val="007F0366"/>
    <w:rsid w:val="007F036C"/>
    <w:rsid w:val="007F03F7"/>
    <w:rsid w:val="007F0419"/>
    <w:rsid w:val="007F041B"/>
    <w:rsid w:val="007F0422"/>
    <w:rsid w:val="007F0423"/>
    <w:rsid w:val="007F043F"/>
    <w:rsid w:val="007F0488"/>
    <w:rsid w:val="007F0496"/>
    <w:rsid w:val="007F051D"/>
    <w:rsid w:val="007F0548"/>
    <w:rsid w:val="007F054E"/>
    <w:rsid w:val="007F058A"/>
    <w:rsid w:val="007F05F6"/>
    <w:rsid w:val="007F060B"/>
    <w:rsid w:val="007F0613"/>
    <w:rsid w:val="007F0649"/>
    <w:rsid w:val="007F0691"/>
    <w:rsid w:val="007F069B"/>
    <w:rsid w:val="007F06B3"/>
    <w:rsid w:val="007F06CF"/>
    <w:rsid w:val="007F06D7"/>
    <w:rsid w:val="007F06DC"/>
    <w:rsid w:val="007F070C"/>
    <w:rsid w:val="007F0777"/>
    <w:rsid w:val="007F079E"/>
    <w:rsid w:val="007F0800"/>
    <w:rsid w:val="007F080E"/>
    <w:rsid w:val="007F0816"/>
    <w:rsid w:val="007F0849"/>
    <w:rsid w:val="007F0856"/>
    <w:rsid w:val="007F088C"/>
    <w:rsid w:val="007F08D3"/>
    <w:rsid w:val="007F08ED"/>
    <w:rsid w:val="007F0951"/>
    <w:rsid w:val="007F096A"/>
    <w:rsid w:val="007F098D"/>
    <w:rsid w:val="007F0A00"/>
    <w:rsid w:val="007F0A1D"/>
    <w:rsid w:val="007F0A47"/>
    <w:rsid w:val="007F0A49"/>
    <w:rsid w:val="007F0A6C"/>
    <w:rsid w:val="007F0A7A"/>
    <w:rsid w:val="007F0A82"/>
    <w:rsid w:val="007F0A96"/>
    <w:rsid w:val="007F0A9E"/>
    <w:rsid w:val="007F0AB4"/>
    <w:rsid w:val="007F0AF9"/>
    <w:rsid w:val="007F0AFB"/>
    <w:rsid w:val="007F0B1D"/>
    <w:rsid w:val="007F0B4F"/>
    <w:rsid w:val="007F0BB2"/>
    <w:rsid w:val="007F0BBE"/>
    <w:rsid w:val="007F0BC6"/>
    <w:rsid w:val="007F0C51"/>
    <w:rsid w:val="007F0CC3"/>
    <w:rsid w:val="007F0CD0"/>
    <w:rsid w:val="007F0CE2"/>
    <w:rsid w:val="007F0CF1"/>
    <w:rsid w:val="007F0D0F"/>
    <w:rsid w:val="007F0D1C"/>
    <w:rsid w:val="007F0D2E"/>
    <w:rsid w:val="007F0D30"/>
    <w:rsid w:val="007F0D31"/>
    <w:rsid w:val="007F0D6A"/>
    <w:rsid w:val="007F0D9E"/>
    <w:rsid w:val="007F0DA8"/>
    <w:rsid w:val="007F0DD0"/>
    <w:rsid w:val="007F0DD7"/>
    <w:rsid w:val="007F0E1B"/>
    <w:rsid w:val="007F0E34"/>
    <w:rsid w:val="007F0E52"/>
    <w:rsid w:val="007F0E86"/>
    <w:rsid w:val="007F0EC6"/>
    <w:rsid w:val="007F0EDB"/>
    <w:rsid w:val="007F0EDC"/>
    <w:rsid w:val="007F0EEE"/>
    <w:rsid w:val="007F0F2B"/>
    <w:rsid w:val="007F0F38"/>
    <w:rsid w:val="007F0F42"/>
    <w:rsid w:val="007F0F75"/>
    <w:rsid w:val="007F0FE1"/>
    <w:rsid w:val="007F1018"/>
    <w:rsid w:val="007F1079"/>
    <w:rsid w:val="007F109D"/>
    <w:rsid w:val="007F10AD"/>
    <w:rsid w:val="007F10E6"/>
    <w:rsid w:val="007F10EA"/>
    <w:rsid w:val="007F1129"/>
    <w:rsid w:val="007F114C"/>
    <w:rsid w:val="007F1170"/>
    <w:rsid w:val="007F1195"/>
    <w:rsid w:val="007F11AF"/>
    <w:rsid w:val="007F11BA"/>
    <w:rsid w:val="007F11CA"/>
    <w:rsid w:val="007F1262"/>
    <w:rsid w:val="007F12A7"/>
    <w:rsid w:val="007F12E6"/>
    <w:rsid w:val="007F1322"/>
    <w:rsid w:val="007F13E1"/>
    <w:rsid w:val="007F1421"/>
    <w:rsid w:val="007F1422"/>
    <w:rsid w:val="007F1424"/>
    <w:rsid w:val="007F1429"/>
    <w:rsid w:val="007F151E"/>
    <w:rsid w:val="007F1580"/>
    <w:rsid w:val="007F15BC"/>
    <w:rsid w:val="007F1641"/>
    <w:rsid w:val="007F16AB"/>
    <w:rsid w:val="007F16C5"/>
    <w:rsid w:val="007F16FC"/>
    <w:rsid w:val="007F1724"/>
    <w:rsid w:val="007F1742"/>
    <w:rsid w:val="007F1769"/>
    <w:rsid w:val="007F179D"/>
    <w:rsid w:val="007F17C9"/>
    <w:rsid w:val="007F17D8"/>
    <w:rsid w:val="007F1802"/>
    <w:rsid w:val="007F181E"/>
    <w:rsid w:val="007F1841"/>
    <w:rsid w:val="007F1844"/>
    <w:rsid w:val="007F1895"/>
    <w:rsid w:val="007F18A9"/>
    <w:rsid w:val="007F18AD"/>
    <w:rsid w:val="007F18D8"/>
    <w:rsid w:val="007F18F3"/>
    <w:rsid w:val="007F1942"/>
    <w:rsid w:val="007F1950"/>
    <w:rsid w:val="007F1952"/>
    <w:rsid w:val="007F1977"/>
    <w:rsid w:val="007F1984"/>
    <w:rsid w:val="007F19EA"/>
    <w:rsid w:val="007F19F9"/>
    <w:rsid w:val="007F1A11"/>
    <w:rsid w:val="007F1A1D"/>
    <w:rsid w:val="007F1A21"/>
    <w:rsid w:val="007F1A5B"/>
    <w:rsid w:val="007F1A6F"/>
    <w:rsid w:val="007F1A99"/>
    <w:rsid w:val="007F1ABD"/>
    <w:rsid w:val="007F1ACE"/>
    <w:rsid w:val="007F1AF3"/>
    <w:rsid w:val="007F1B0E"/>
    <w:rsid w:val="007F1B0F"/>
    <w:rsid w:val="007F1B48"/>
    <w:rsid w:val="007F1C62"/>
    <w:rsid w:val="007F1C86"/>
    <w:rsid w:val="007F1C8D"/>
    <w:rsid w:val="007F1C92"/>
    <w:rsid w:val="007F1C9B"/>
    <w:rsid w:val="007F1CB8"/>
    <w:rsid w:val="007F1CCB"/>
    <w:rsid w:val="007F1CF1"/>
    <w:rsid w:val="007F1D04"/>
    <w:rsid w:val="007F1D1D"/>
    <w:rsid w:val="007F1DCE"/>
    <w:rsid w:val="007F1E2E"/>
    <w:rsid w:val="007F1E40"/>
    <w:rsid w:val="007F1E57"/>
    <w:rsid w:val="007F1E65"/>
    <w:rsid w:val="007F1EBF"/>
    <w:rsid w:val="007F1EEA"/>
    <w:rsid w:val="007F1EF5"/>
    <w:rsid w:val="007F1FD7"/>
    <w:rsid w:val="007F2007"/>
    <w:rsid w:val="007F2030"/>
    <w:rsid w:val="007F204D"/>
    <w:rsid w:val="007F2067"/>
    <w:rsid w:val="007F209E"/>
    <w:rsid w:val="007F20D0"/>
    <w:rsid w:val="007F20D8"/>
    <w:rsid w:val="007F20EB"/>
    <w:rsid w:val="007F20F6"/>
    <w:rsid w:val="007F213B"/>
    <w:rsid w:val="007F216F"/>
    <w:rsid w:val="007F2197"/>
    <w:rsid w:val="007F21A3"/>
    <w:rsid w:val="007F220B"/>
    <w:rsid w:val="007F2215"/>
    <w:rsid w:val="007F2222"/>
    <w:rsid w:val="007F2290"/>
    <w:rsid w:val="007F22CD"/>
    <w:rsid w:val="007F22E5"/>
    <w:rsid w:val="007F22FD"/>
    <w:rsid w:val="007F2304"/>
    <w:rsid w:val="007F2342"/>
    <w:rsid w:val="007F23BB"/>
    <w:rsid w:val="007F23FF"/>
    <w:rsid w:val="007F2425"/>
    <w:rsid w:val="007F242A"/>
    <w:rsid w:val="007F2448"/>
    <w:rsid w:val="007F2459"/>
    <w:rsid w:val="007F245F"/>
    <w:rsid w:val="007F246C"/>
    <w:rsid w:val="007F2496"/>
    <w:rsid w:val="007F249B"/>
    <w:rsid w:val="007F24A3"/>
    <w:rsid w:val="007F24BE"/>
    <w:rsid w:val="007F24D1"/>
    <w:rsid w:val="007F24DD"/>
    <w:rsid w:val="007F24FD"/>
    <w:rsid w:val="007F2501"/>
    <w:rsid w:val="007F2532"/>
    <w:rsid w:val="007F2543"/>
    <w:rsid w:val="007F254C"/>
    <w:rsid w:val="007F2558"/>
    <w:rsid w:val="007F25DD"/>
    <w:rsid w:val="007F25E4"/>
    <w:rsid w:val="007F25E7"/>
    <w:rsid w:val="007F262C"/>
    <w:rsid w:val="007F263F"/>
    <w:rsid w:val="007F2646"/>
    <w:rsid w:val="007F264B"/>
    <w:rsid w:val="007F2650"/>
    <w:rsid w:val="007F2655"/>
    <w:rsid w:val="007F2711"/>
    <w:rsid w:val="007F276C"/>
    <w:rsid w:val="007F277C"/>
    <w:rsid w:val="007F2781"/>
    <w:rsid w:val="007F2795"/>
    <w:rsid w:val="007F279D"/>
    <w:rsid w:val="007F27FA"/>
    <w:rsid w:val="007F2854"/>
    <w:rsid w:val="007F2855"/>
    <w:rsid w:val="007F2870"/>
    <w:rsid w:val="007F289F"/>
    <w:rsid w:val="007F28A0"/>
    <w:rsid w:val="007F28AD"/>
    <w:rsid w:val="007F28BA"/>
    <w:rsid w:val="007F28E0"/>
    <w:rsid w:val="007F2929"/>
    <w:rsid w:val="007F295B"/>
    <w:rsid w:val="007F2967"/>
    <w:rsid w:val="007F296E"/>
    <w:rsid w:val="007F296F"/>
    <w:rsid w:val="007F29D8"/>
    <w:rsid w:val="007F2A18"/>
    <w:rsid w:val="007F2A96"/>
    <w:rsid w:val="007F2AA3"/>
    <w:rsid w:val="007F2AC8"/>
    <w:rsid w:val="007F2AC9"/>
    <w:rsid w:val="007F2AF0"/>
    <w:rsid w:val="007F2AF1"/>
    <w:rsid w:val="007F2B00"/>
    <w:rsid w:val="007F2B22"/>
    <w:rsid w:val="007F2B93"/>
    <w:rsid w:val="007F2BB2"/>
    <w:rsid w:val="007F2C47"/>
    <w:rsid w:val="007F2C77"/>
    <w:rsid w:val="007F2C82"/>
    <w:rsid w:val="007F2CE9"/>
    <w:rsid w:val="007F2D0E"/>
    <w:rsid w:val="007F2D6A"/>
    <w:rsid w:val="007F2DA5"/>
    <w:rsid w:val="007F2DAD"/>
    <w:rsid w:val="007F2DCD"/>
    <w:rsid w:val="007F2E04"/>
    <w:rsid w:val="007F2E86"/>
    <w:rsid w:val="007F2EA0"/>
    <w:rsid w:val="007F2EC1"/>
    <w:rsid w:val="007F2F6C"/>
    <w:rsid w:val="007F2FB6"/>
    <w:rsid w:val="007F301A"/>
    <w:rsid w:val="007F3092"/>
    <w:rsid w:val="007F30E8"/>
    <w:rsid w:val="007F3129"/>
    <w:rsid w:val="007F312C"/>
    <w:rsid w:val="007F3133"/>
    <w:rsid w:val="007F31B2"/>
    <w:rsid w:val="007F31F6"/>
    <w:rsid w:val="007F3213"/>
    <w:rsid w:val="007F3225"/>
    <w:rsid w:val="007F3297"/>
    <w:rsid w:val="007F32A5"/>
    <w:rsid w:val="007F32AE"/>
    <w:rsid w:val="007F32D4"/>
    <w:rsid w:val="007F3323"/>
    <w:rsid w:val="007F336E"/>
    <w:rsid w:val="007F33C7"/>
    <w:rsid w:val="007F33DA"/>
    <w:rsid w:val="007F33F0"/>
    <w:rsid w:val="007F33F1"/>
    <w:rsid w:val="007F347D"/>
    <w:rsid w:val="007F3481"/>
    <w:rsid w:val="007F3496"/>
    <w:rsid w:val="007F34A2"/>
    <w:rsid w:val="007F3569"/>
    <w:rsid w:val="007F3598"/>
    <w:rsid w:val="007F35C3"/>
    <w:rsid w:val="007F35E1"/>
    <w:rsid w:val="007F360C"/>
    <w:rsid w:val="007F3657"/>
    <w:rsid w:val="007F366F"/>
    <w:rsid w:val="007F371E"/>
    <w:rsid w:val="007F374F"/>
    <w:rsid w:val="007F376C"/>
    <w:rsid w:val="007F3793"/>
    <w:rsid w:val="007F37C9"/>
    <w:rsid w:val="007F37E3"/>
    <w:rsid w:val="007F37FD"/>
    <w:rsid w:val="007F3836"/>
    <w:rsid w:val="007F3838"/>
    <w:rsid w:val="007F383A"/>
    <w:rsid w:val="007F386F"/>
    <w:rsid w:val="007F3924"/>
    <w:rsid w:val="007F3927"/>
    <w:rsid w:val="007F392D"/>
    <w:rsid w:val="007F3939"/>
    <w:rsid w:val="007F3951"/>
    <w:rsid w:val="007F398D"/>
    <w:rsid w:val="007F39C4"/>
    <w:rsid w:val="007F39EA"/>
    <w:rsid w:val="007F3A0C"/>
    <w:rsid w:val="007F3A9F"/>
    <w:rsid w:val="007F3AFE"/>
    <w:rsid w:val="007F3B17"/>
    <w:rsid w:val="007F3B9B"/>
    <w:rsid w:val="007F3BB8"/>
    <w:rsid w:val="007F3BC8"/>
    <w:rsid w:val="007F3C0A"/>
    <w:rsid w:val="007F3C4E"/>
    <w:rsid w:val="007F3C62"/>
    <w:rsid w:val="007F3C6B"/>
    <w:rsid w:val="007F3CBF"/>
    <w:rsid w:val="007F3D1C"/>
    <w:rsid w:val="007F3D4E"/>
    <w:rsid w:val="007F3D57"/>
    <w:rsid w:val="007F3D7A"/>
    <w:rsid w:val="007F3D81"/>
    <w:rsid w:val="007F3DBE"/>
    <w:rsid w:val="007F3DE1"/>
    <w:rsid w:val="007F3E05"/>
    <w:rsid w:val="007F3E1E"/>
    <w:rsid w:val="007F3E4C"/>
    <w:rsid w:val="007F3E6E"/>
    <w:rsid w:val="007F3EC6"/>
    <w:rsid w:val="007F3F43"/>
    <w:rsid w:val="007F3F51"/>
    <w:rsid w:val="007F3F6E"/>
    <w:rsid w:val="007F3F70"/>
    <w:rsid w:val="007F3FD8"/>
    <w:rsid w:val="007F3FF2"/>
    <w:rsid w:val="007F4010"/>
    <w:rsid w:val="007F405E"/>
    <w:rsid w:val="007F40CD"/>
    <w:rsid w:val="007F40D1"/>
    <w:rsid w:val="007F4179"/>
    <w:rsid w:val="007F4185"/>
    <w:rsid w:val="007F4203"/>
    <w:rsid w:val="007F420A"/>
    <w:rsid w:val="007F4234"/>
    <w:rsid w:val="007F423A"/>
    <w:rsid w:val="007F4256"/>
    <w:rsid w:val="007F42C4"/>
    <w:rsid w:val="007F4322"/>
    <w:rsid w:val="007F4338"/>
    <w:rsid w:val="007F4343"/>
    <w:rsid w:val="007F4357"/>
    <w:rsid w:val="007F437B"/>
    <w:rsid w:val="007F438E"/>
    <w:rsid w:val="007F445E"/>
    <w:rsid w:val="007F4475"/>
    <w:rsid w:val="007F4484"/>
    <w:rsid w:val="007F44DD"/>
    <w:rsid w:val="007F450E"/>
    <w:rsid w:val="007F454E"/>
    <w:rsid w:val="007F4561"/>
    <w:rsid w:val="007F4563"/>
    <w:rsid w:val="007F45B1"/>
    <w:rsid w:val="007F45B6"/>
    <w:rsid w:val="007F45C7"/>
    <w:rsid w:val="007F4624"/>
    <w:rsid w:val="007F464B"/>
    <w:rsid w:val="007F466E"/>
    <w:rsid w:val="007F469B"/>
    <w:rsid w:val="007F46BD"/>
    <w:rsid w:val="007F47FD"/>
    <w:rsid w:val="007F4811"/>
    <w:rsid w:val="007F4824"/>
    <w:rsid w:val="007F4835"/>
    <w:rsid w:val="007F4861"/>
    <w:rsid w:val="007F4875"/>
    <w:rsid w:val="007F4892"/>
    <w:rsid w:val="007F4896"/>
    <w:rsid w:val="007F489E"/>
    <w:rsid w:val="007F48A5"/>
    <w:rsid w:val="007F48B0"/>
    <w:rsid w:val="007F48FE"/>
    <w:rsid w:val="007F490D"/>
    <w:rsid w:val="007F4972"/>
    <w:rsid w:val="007F4999"/>
    <w:rsid w:val="007F499C"/>
    <w:rsid w:val="007F49DE"/>
    <w:rsid w:val="007F4A0E"/>
    <w:rsid w:val="007F4A26"/>
    <w:rsid w:val="007F4A29"/>
    <w:rsid w:val="007F4A58"/>
    <w:rsid w:val="007F4A76"/>
    <w:rsid w:val="007F4ABC"/>
    <w:rsid w:val="007F4ADC"/>
    <w:rsid w:val="007F4AEE"/>
    <w:rsid w:val="007F4B31"/>
    <w:rsid w:val="007F4B49"/>
    <w:rsid w:val="007F4B93"/>
    <w:rsid w:val="007F4B9D"/>
    <w:rsid w:val="007F4BC4"/>
    <w:rsid w:val="007F4BC9"/>
    <w:rsid w:val="007F4C00"/>
    <w:rsid w:val="007F4C6F"/>
    <w:rsid w:val="007F4CB0"/>
    <w:rsid w:val="007F4D29"/>
    <w:rsid w:val="007F4D64"/>
    <w:rsid w:val="007F4D8A"/>
    <w:rsid w:val="007F4DAC"/>
    <w:rsid w:val="007F4E51"/>
    <w:rsid w:val="007F4E68"/>
    <w:rsid w:val="007F4E6D"/>
    <w:rsid w:val="007F4E7A"/>
    <w:rsid w:val="007F4E93"/>
    <w:rsid w:val="007F4EA0"/>
    <w:rsid w:val="007F4EA7"/>
    <w:rsid w:val="007F4EB3"/>
    <w:rsid w:val="007F4EF5"/>
    <w:rsid w:val="007F4F06"/>
    <w:rsid w:val="007F4F35"/>
    <w:rsid w:val="007F4F63"/>
    <w:rsid w:val="007F4F78"/>
    <w:rsid w:val="007F4F79"/>
    <w:rsid w:val="007F4FA8"/>
    <w:rsid w:val="007F4FF7"/>
    <w:rsid w:val="007F5042"/>
    <w:rsid w:val="007F50A5"/>
    <w:rsid w:val="007F50D5"/>
    <w:rsid w:val="007F50F8"/>
    <w:rsid w:val="007F510F"/>
    <w:rsid w:val="007F5113"/>
    <w:rsid w:val="007F5166"/>
    <w:rsid w:val="007F51D9"/>
    <w:rsid w:val="007F5211"/>
    <w:rsid w:val="007F5219"/>
    <w:rsid w:val="007F523A"/>
    <w:rsid w:val="007F531C"/>
    <w:rsid w:val="007F531F"/>
    <w:rsid w:val="007F53AB"/>
    <w:rsid w:val="007F53B2"/>
    <w:rsid w:val="007F53B3"/>
    <w:rsid w:val="007F53BD"/>
    <w:rsid w:val="007F53C7"/>
    <w:rsid w:val="007F53D5"/>
    <w:rsid w:val="007F5427"/>
    <w:rsid w:val="007F54D1"/>
    <w:rsid w:val="007F54DC"/>
    <w:rsid w:val="007F551E"/>
    <w:rsid w:val="007F5520"/>
    <w:rsid w:val="007F5523"/>
    <w:rsid w:val="007F555F"/>
    <w:rsid w:val="007F55A1"/>
    <w:rsid w:val="007F5617"/>
    <w:rsid w:val="007F562F"/>
    <w:rsid w:val="007F5639"/>
    <w:rsid w:val="007F5657"/>
    <w:rsid w:val="007F5697"/>
    <w:rsid w:val="007F56BE"/>
    <w:rsid w:val="007F571B"/>
    <w:rsid w:val="007F5721"/>
    <w:rsid w:val="007F5727"/>
    <w:rsid w:val="007F573B"/>
    <w:rsid w:val="007F577B"/>
    <w:rsid w:val="007F57EF"/>
    <w:rsid w:val="007F585E"/>
    <w:rsid w:val="007F58BA"/>
    <w:rsid w:val="007F58C8"/>
    <w:rsid w:val="007F595E"/>
    <w:rsid w:val="007F5960"/>
    <w:rsid w:val="007F596C"/>
    <w:rsid w:val="007F599A"/>
    <w:rsid w:val="007F5A4D"/>
    <w:rsid w:val="007F5A54"/>
    <w:rsid w:val="007F5A9F"/>
    <w:rsid w:val="007F5AEA"/>
    <w:rsid w:val="007F5AEB"/>
    <w:rsid w:val="007F5B21"/>
    <w:rsid w:val="007F5B43"/>
    <w:rsid w:val="007F5B46"/>
    <w:rsid w:val="007F5B4C"/>
    <w:rsid w:val="007F5B94"/>
    <w:rsid w:val="007F5B9B"/>
    <w:rsid w:val="007F5BB1"/>
    <w:rsid w:val="007F5BBB"/>
    <w:rsid w:val="007F5BC2"/>
    <w:rsid w:val="007F5BF1"/>
    <w:rsid w:val="007F5C1B"/>
    <w:rsid w:val="007F5C1E"/>
    <w:rsid w:val="007F5C38"/>
    <w:rsid w:val="007F5C47"/>
    <w:rsid w:val="007F5C65"/>
    <w:rsid w:val="007F5C71"/>
    <w:rsid w:val="007F5CEB"/>
    <w:rsid w:val="007F5CEC"/>
    <w:rsid w:val="007F5CF2"/>
    <w:rsid w:val="007F5CF8"/>
    <w:rsid w:val="007F5D22"/>
    <w:rsid w:val="007F5DB3"/>
    <w:rsid w:val="007F5DC7"/>
    <w:rsid w:val="007F5E2D"/>
    <w:rsid w:val="007F5E3B"/>
    <w:rsid w:val="007F5E7F"/>
    <w:rsid w:val="007F5E99"/>
    <w:rsid w:val="007F5EC4"/>
    <w:rsid w:val="007F5EEA"/>
    <w:rsid w:val="007F5EFD"/>
    <w:rsid w:val="007F5EFE"/>
    <w:rsid w:val="007F5FA0"/>
    <w:rsid w:val="007F5FBC"/>
    <w:rsid w:val="007F5FE9"/>
    <w:rsid w:val="007F601B"/>
    <w:rsid w:val="007F605E"/>
    <w:rsid w:val="007F6092"/>
    <w:rsid w:val="007F60B2"/>
    <w:rsid w:val="007F6147"/>
    <w:rsid w:val="007F6164"/>
    <w:rsid w:val="007F6174"/>
    <w:rsid w:val="007F6185"/>
    <w:rsid w:val="007F6196"/>
    <w:rsid w:val="007F61B7"/>
    <w:rsid w:val="007F61EF"/>
    <w:rsid w:val="007F6226"/>
    <w:rsid w:val="007F6250"/>
    <w:rsid w:val="007F625A"/>
    <w:rsid w:val="007F62A3"/>
    <w:rsid w:val="007F6309"/>
    <w:rsid w:val="007F6316"/>
    <w:rsid w:val="007F6321"/>
    <w:rsid w:val="007F637D"/>
    <w:rsid w:val="007F63A7"/>
    <w:rsid w:val="007F63C8"/>
    <w:rsid w:val="007F6409"/>
    <w:rsid w:val="007F641C"/>
    <w:rsid w:val="007F64E1"/>
    <w:rsid w:val="007F64EE"/>
    <w:rsid w:val="007F653F"/>
    <w:rsid w:val="007F6550"/>
    <w:rsid w:val="007F6556"/>
    <w:rsid w:val="007F65A4"/>
    <w:rsid w:val="007F65E6"/>
    <w:rsid w:val="007F65EE"/>
    <w:rsid w:val="007F6603"/>
    <w:rsid w:val="007F6608"/>
    <w:rsid w:val="007F6636"/>
    <w:rsid w:val="007F6686"/>
    <w:rsid w:val="007F66AA"/>
    <w:rsid w:val="007F66BA"/>
    <w:rsid w:val="007F66C3"/>
    <w:rsid w:val="007F66D9"/>
    <w:rsid w:val="007F6757"/>
    <w:rsid w:val="007F675F"/>
    <w:rsid w:val="007F67E9"/>
    <w:rsid w:val="007F6822"/>
    <w:rsid w:val="007F6833"/>
    <w:rsid w:val="007F6848"/>
    <w:rsid w:val="007F6854"/>
    <w:rsid w:val="007F6865"/>
    <w:rsid w:val="007F6872"/>
    <w:rsid w:val="007F68D8"/>
    <w:rsid w:val="007F6990"/>
    <w:rsid w:val="007F69C1"/>
    <w:rsid w:val="007F6A26"/>
    <w:rsid w:val="007F6A54"/>
    <w:rsid w:val="007F6A59"/>
    <w:rsid w:val="007F6A71"/>
    <w:rsid w:val="007F6A81"/>
    <w:rsid w:val="007F6AB0"/>
    <w:rsid w:val="007F6AB5"/>
    <w:rsid w:val="007F6AC2"/>
    <w:rsid w:val="007F6AF2"/>
    <w:rsid w:val="007F6B11"/>
    <w:rsid w:val="007F6B1A"/>
    <w:rsid w:val="007F6B70"/>
    <w:rsid w:val="007F6C08"/>
    <w:rsid w:val="007F6C63"/>
    <w:rsid w:val="007F6C6F"/>
    <w:rsid w:val="007F6C7A"/>
    <w:rsid w:val="007F6C8A"/>
    <w:rsid w:val="007F6CAA"/>
    <w:rsid w:val="007F6CAC"/>
    <w:rsid w:val="007F6CAF"/>
    <w:rsid w:val="007F6CF5"/>
    <w:rsid w:val="007F6DFF"/>
    <w:rsid w:val="007F6E78"/>
    <w:rsid w:val="007F6E91"/>
    <w:rsid w:val="007F6EA1"/>
    <w:rsid w:val="007F6EFE"/>
    <w:rsid w:val="007F6F06"/>
    <w:rsid w:val="007F6F1B"/>
    <w:rsid w:val="007F6F44"/>
    <w:rsid w:val="007F6F52"/>
    <w:rsid w:val="007F6F76"/>
    <w:rsid w:val="007F6F9E"/>
    <w:rsid w:val="007F6FD1"/>
    <w:rsid w:val="007F6FF5"/>
    <w:rsid w:val="007F6FFA"/>
    <w:rsid w:val="007F7038"/>
    <w:rsid w:val="007F7074"/>
    <w:rsid w:val="007F70A9"/>
    <w:rsid w:val="007F70EB"/>
    <w:rsid w:val="007F714E"/>
    <w:rsid w:val="007F71DA"/>
    <w:rsid w:val="007F71F6"/>
    <w:rsid w:val="007F720C"/>
    <w:rsid w:val="007F7217"/>
    <w:rsid w:val="007F72D9"/>
    <w:rsid w:val="007F72F3"/>
    <w:rsid w:val="007F7304"/>
    <w:rsid w:val="007F7322"/>
    <w:rsid w:val="007F7343"/>
    <w:rsid w:val="007F735F"/>
    <w:rsid w:val="007F7368"/>
    <w:rsid w:val="007F7378"/>
    <w:rsid w:val="007F7380"/>
    <w:rsid w:val="007F73A5"/>
    <w:rsid w:val="007F73D4"/>
    <w:rsid w:val="007F73E8"/>
    <w:rsid w:val="007F7412"/>
    <w:rsid w:val="007F74B8"/>
    <w:rsid w:val="007F74DA"/>
    <w:rsid w:val="007F74ED"/>
    <w:rsid w:val="007F74FB"/>
    <w:rsid w:val="007F7508"/>
    <w:rsid w:val="007F7511"/>
    <w:rsid w:val="007F7589"/>
    <w:rsid w:val="007F75AA"/>
    <w:rsid w:val="007F75E8"/>
    <w:rsid w:val="007F75EB"/>
    <w:rsid w:val="007F75ED"/>
    <w:rsid w:val="007F7602"/>
    <w:rsid w:val="007F762B"/>
    <w:rsid w:val="007F766E"/>
    <w:rsid w:val="007F766F"/>
    <w:rsid w:val="007F76EC"/>
    <w:rsid w:val="007F76F9"/>
    <w:rsid w:val="007F76FB"/>
    <w:rsid w:val="007F7754"/>
    <w:rsid w:val="007F7775"/>
    <w:rsid w:val="007F77B7"/>
    <w:rsid w:val="007F77D7"/>
    <w:rsid w:val="007F7876"/>
    <w:rsid w:val="007F7883"/>
    <w:rsid w:val="007F794A"/>
    <w:rsid w:val="007F7952"/>
    <w:rsid w:val="007F7990"/>
    <w:rsid w:val="007F7A22"/>
    <w:rsid w:val="007F7A58"/>
    <w:rsid w:val="007F7A59"/>
    <w:rsid w:val="007F7A5B"/>
    <w:rsid w:val="007F7AC4"/>
    <w:rsid w:val="007F7AE2"/>
    <w:rsid w:val="007F7AFB"/>
    <w:rsid w:val="007F7AFE"/>
    <w:rsid w:val="007F7B13"/>
    <w:rsid w:val="007F7BF5"/>
    <w:rsid w:val="007F7C2A"/>
    <w:rsid w:val="007F7C2E"/>
    <w:rsid w:val="007F7C31"/>
    <w:rsid w:val="007F7C33"/>
    <w:rsid w:val="007F7C53"/>
    <w:rsid w:val="007F7C90"/>
    <w:rsid w:val="007F7CB5"/>
    <w:rsid w:val="007F7D3A"/>
    <w:rsid w:val="007F7D69"/>
    <w:rsid w:val="007F7D76"/>
    <w:rsid w:val="007F7D96"/>
    <w:rsid w:val="007F7DB8"/>
    <w:rsid w:val="007F7E16"/>
    <w:rsid w:val="007F7E83"/>
    <w:rsid w:val="007F7E84"/>
    <w:rsid w:val="007F7EC7"/>
    <w:rsid w:val="007F7EE3"/>
    <w:rsid w:val="007F7EEA"/>
    <w:rsid w:val="007F7EEF"/>
    <w:rsid w:val="007F7F35"/>
    <w:rsid w:val="007F7F48"/>
    <w:rsid w:val="007F7F69"/>
    <w:rsid w:val="007F7F6D"/>
    <w:rsid w:val="007F7F99"/>
    <w:rsid w:val="007F7FCF"/>
    <w:rsid w:val="007F7FFA"/>
    <w:rsid w:val="007F7FFE"/>
    <w:rsid w:val="00800065"/>
    <w:rsid w:val="00800079"/>
    <w:rsid w:val="00800088"/>
    <w:rsid w:val="0080009F"/>
    <w:rsid w:val="008000B2"/>
    <w:rsid w:val="008000D6"/>
    <w:rsid w:val="0080010C"/>
    <w:rsid w:val="00800169"/>
    <w:rsid w:val="0080018A"/>
    <w:rsid w:val="008001CB"/>
    <w:rsid w:val="008001F8"/>
    <w:rsid w:val="00800205"/>
    <w:rsid w:val="00800243"/>
    <w:rsid w:val="0080027F"/>
    <w:rsid w:val="00800285"/>
    <w:rsid w:val="0080028E"/>
    <w:rsid w:val="00800296"/>
    <w:rsid w:val="008002A6"/>
    <w:rsid w:val="008002E1"/>
    <w:rsid w:val="0080032D"/>
    <w:rsid w:val="0080034E"/>
    <w:rsid w:val="00800358"/>
    <w:rsid w:val="0080037D"/>
    <w:rsid w:val="008003C1"/>
    <w:rsid w:val="00800419"/>
    <w:rsid w:val="008004C3"/>
    <w:rsid w:val="008004E6"/>
    <w:rsid w:val="008004F6"/>
    <w:rsid w:val="00800522"/>
    <w:rsid w:val="00800538"/>
    <w:rsid w:val="0080053B"/>
    <w:rsid w:val="0080057B"/>
    <w:rsid w:val="00800587"/>
    <w:rsid w:val="00800590"/>
    <w:rsid w:val="008005C3"/>
    <w:rsid w:val="0080060A"/>
    <w:rsid w:val="00800616"/>
    <w:rsid w:val="0080061E"/>
    <w:rsid w:val="0080062B"/>
    <w:rsid w:val="0080066D"/>
    <w:rsid w:val="0080067B"/>
    <w:rsid w:val="00800683"/>
    <w:rsid w:val="008006AD"/>
    <w:rsid w:val="008006C3"/>
    <w:rsid w:val="008006C5"/>
    <w:rsid w:val="008006F6"/>
    <w:rsid w:val="0080072F"/>
    <w:rsid w:val="00800785"/>
    <w:rsid w:val="008007AF"/>
    <w:rsid w:val="00800811"/>
    <w:rsid w:val="00800859"/>
    <w:rsid w:val="00800889"/>
    <w:rsid w:val="008008A6"/>
    <w:rsid w:val="008008C7"/>
    <w:rsid w:val="008008D3"/>
    <w:rsid w:val="008008D9"/>
    <w:rsid w:val="008008E4"/>
    <w:rsid w:val="00800952"/>
    <w:rsid w:val="008009E2"/>
    <w:rsid w:val="00800A25"/>
    <w:rsid w:val="00800A33"/>
    <w:rsid w:val="00800A56"/>
    <w:rsid w:val="00800A57"/>
    <w:rsid w:val="00800A69"/>
    <w:rsid w:val="00800A87"/>
    <w:rsid w:val="00800A8E"/>
    <w:rsid w:val="00800AC0"/>
    <w:rsid w:val="00800B50"/>
    <w:rsid w:val="00800B69"/>
    <w:rsid w:val="00800B93"/>
    <w:rsid w:val="00800BDE"/>
    <w:rsid w:val="00800C0C"/>
    <w:rsid w:val="00800C23"/>
    <w:rsid w:val="00800CB3"/>
    <w:rsid w:val="00800CC0"/>
    <w:rsid w:val="00800CC5"/>
    <w:rsid w:val="00800CF2"/>
    <w:rsid w:val="00800D15"/>
    <w:rsid w:val="00800D7B"/>
    <w:rsid w:val="00800D83"/>
    <w:rsid w:val="00800D84"/>
    <w:rsid w:val="00800DA3"/>
    <w:rsid w:val="00800DB0"/>
    <w:rsid w:val="00800E10"/>
    <w:rsid w:val="00800E49"/>
    <w:rsid w:val="00800E6A"/>
    <w:rsid w:val="00800E9F"/>
    <w:rsid w:val="00800EBD"/>
    <w:rsid w:val="00800EC0"/>
    <w:rsid w:val="00800F29"/>
    <w:rsid w:val="00800F55"/>
    <w:rsid w:val="00800F69"/>
    <w:rsid w:val="00800FBC"/>
    <w:rsid w:val="0080101F"/>
    <w:rsid w:val="00801023"/>
    <w:rsid w:val="00801061"/>
    <w:rsid w:val="0080106F"/>
    <w:rsid w:val="008010DB"/>
    <w:rsid w:val="00801107"/>
    <w:rsid w:val="0080114B"/>
    <w:rsid w:val="00801181"/>
    <w:rsid w:val="0080118A"/>
    <w:rsid w:val="00801228"/>
    <w:rsid w:val="00801252"/>
    <w:rsid w:val="008012B8"/>
    <w:rsid w:val="00801303"/>
    <w:rsid w:val="0080132C"/>
    <w:rsid w:val="00801367"/>
    <w:rsid w:val="00801417"/>
    <w:rsid w:val="0080142B"/>
    <w:rsid w:val="00801486"/>
    <w:rsid w:val="008014BA"/>
    <w:rsid w:val="008014C2"/>
    <w:rsid w:val="008014C4"/>
    <w:rsid w:val="008014CF"/>
    <w:rsid w:val="008014E7"/>
    <w:rsid w:val="008014F3"/>
    <w:rsid w:val="00801527"/>
    <w:rsid w:val="0080153E"/>
    <w:rsid w:val="00801552"/>
    <w:rsid w:val="00801561"/>
    <w:rsid w:val="00801563"/>
    <w:rsid w:val="008015B3"/>
    <w:rsid w:val="0080163B"/>
    <w:rsid w:val="00801649"/>
    <w:rsid w:val="00801691"/>
    <w:rsid w:val="00801720"/>
    <w:rsid w:val="00801746"/>
    <w:rsid w:val="00801772"/>
    <w:rsid w:val="00801777"/>
    <w:rsid w:val="0080177A"/>
    <w:rsid w:val="0080178C"/>
    <w:rsid w:val="008017D6"/>
    <w:rsid w:val="008017E8"/>
    <w:rsid w:val="008017EE"/>
    <w:rsid w:val="00801805"/>
    <w:rsid w:val="0080181E"/>
    <w:rsid w:val="00801827"/>
    <w:rsid w:val="00801886"/>
    <w:rsid w:val="0080189E"/>
    <w:rsid w:val="008018B3"/>
    <w:rsid w:val="008018C2"/>
    <w:rsid w:val="00801904"/>
    <w:rsid w:val="00801938"/>
    <w:rsid w:val="0080194E"/>
    <w:rsid w:val="0080199E"/>
    <w:rsid w:val="008019C8"/>
    <w:rsid w:val="008019FF"/>
    <w:rsid w:val="00801A2B"/>
    <w:rsid w:val="00801A2C"/>
    <w:rsid w:val="00801A77"/>
    <w:rsid w:val="00801A82"/>
    <w:rsid w:val="00801AC3"/>
    <w:rsid w:val="00801B11"/>
    <w:rsid w:val="00801B30"/>
    <w:rsid w:val="00801B37"/>
    <w:rsid w:val="00801B4C"/>
    <w:rsid w:val="00801B58"/>
    <w:rsid w:val="00801B8E"/>
    <w:rsid w:val="00801BD2"/>
    <w:rsid w:val="00801BF0"/>
    <w:rsid w:val="00801C11"/>
    <w:rsid w:val="00801C16"/>
    <w:rsid w:val="00801C2E"/>
    <w:rsid w:val="00801CCA"/>
    <w:rsid w:val="00801CEB"/>
    <w:rsid w:val="00801CEC"/>
    <w:rsid w:val="00801CEE"/>
    <w:rsid w:val="00801D81"/>
    <w:rsid w:val="00801D9D"/>
    <w:rsid w:val="00801DB1"/>
    <w:rsid w:val="00801DD0"/>
    <w:rsid w:val="00801DF9"/>
    <w:rsid w:val="00801E21"/>
    <w:rsid w:val="00801E48"/>
    <w:rsid w:val="00801E56"/>
    <w:rsid w:val="00801E59"/>
    <w:rsid w:val="00801E76"/>
    <w:rsid w:val="00801ED1"/>
    <w:rsid w:val="00801FBA"/>
    <w:rsid w:val="00801FFB"/>
    <w:rsid w:val="00802013"/>
    <w:rsid w:val="008020A4"/>
    <w:rsid w:val="00802140"/>
    <w:rsid w:val="00802178"/>
    <w:rsid w:val="00802183"/>
    <w:rsid w:val="008021C4"/>
    <w:rsid w:val="008021F3"/>
    <w:rsid w:val="008021FA"/>
    <w:rsid w:val="0080225F"/>
    <w:rsid w:val="0080226E"/>
    <w:rsid w:val="00802276"/>
    <w:rsid w:val="008022BC"/>
    <w:rsid w:val="008022C5"/>
    <w:rsid w:val="008022EC"/>
    <w:rsid w:val="0080230C"/>
    <w:rsid w:val="00802322"/>
    <w:rsid w:val="00802338"/>
    <w:rsid w:val="0080234D"/>
    <w:rsid w:val="00802408"/>
    <w:rsid w:val="0080240C"/>
    <w:rsid w:val="00802416"/>
    <w:rsid w:val="00802471"/>
    <w:rsid w:val="008024B8"/>
    <w:rsid w:val="00802585"/>
    <w:rsid w:val="008025C5"/>
    <w:rsid w:val="008025D1"/>
    <w:rsid w:val="008025D3"/>
    <w:rsid w:val="00802659"/>
    <w:rsid w:val="00802689"/>
    <w:rsid w:val="008026BB"/>
    <w:rsid w:val="00802702"/>
    <w:rsid w:val="00802749"/>
    <w:rsid w:val="0080274C"/>
    <w:rsid w:val="0080275D"/>
    <w:rsid w:val="0080276D"/>
    <w:rsid w:val="0080277D"/>
    <w:rsid w:val="008027A1"/>
    <w:rsid w:val="008027B7"/>
    <w:rsid w:val="008027FD"/>
    <w:rsid w:val="00802829"/>
    <w:rsid w:val="00802873"/>
    <w:rsid w:val="00802886"/>
    <w:rsid w:val="008028DA"/>
    <w:rsid w:val="00802933"/>
    <w:rsid w:val="00802946"/>
    <w:rsid w:val="008029D3"/>
    <w:rsid w:val="00802A0B"/>
    <w:rsid w:val="00802A82"/>
    <w:rsid w:val="00802AEB"/>
    <w:rsid w:val="00802AFC"/>
    <w:rsid w:val="00802B14"/>
    <w:rsid w:val="00802B3F"/>
    <w:rsid w:val="00802B7C"/>
    <w:rsid w:val="00802BB9"/>
    <w:rsid w:val="00802BC1"/>
    <w:rsid w:val="00802BD3"/>
    <w:rsid w:val="00802C6D"/>
    <w:rsid w:val="00802CC7"/>
    <w:rsid w:val="00802CCB"/>
    <w:rsid w:val="00802CD3"/>
    <w:rsid w:val="00802CEC"/>
    <w:rsid w:val="00802D42"/>
    <w:rsid w:val="00802D7C"/>
    <w:rsid w:val="00802D83"/>
    <w:rsid w:val="00802D8B"/>
    <w:rsid w:val="00802D9D"/>
    <w:rsid w:val="00802DAD"/>
    <w:rsid w:val="00802DD5"/>
    <w:rsid w:val="00802DFB"/>
    <w:rsid w:val="00802E55"/>
    <w:rsid w:val="00802E91"/>
    <w:rsid w:val="00802ED1"/>
    <w:rsid w:val="00802F0D"/>
    <w:rsid w:val="00802F33"/>
    <w:rsid w:val="00802F80"/>
    <w:rsid w:val="00802FA6"/>
    <w:rsid w:val="00802FB2"/>
    <w:rsid w:val="00803078"/>
    <w:rsid w:val="008030CC"/>
    <w:rsid w:val="008030D3"/>
    <w:rsid w:val="008030EC"/>
    <w:rsid w:val="008030F4"/>
    <w:rsid w:val="0080311A"/>
    <w:rsid w:val="00803121"/>
    <w:rsid w:val="0080314C"/>
    <w:rsid w:val="0080316F"/>
    <w:rsid w:val="008031A4"/>
    <w:rsid w:val="008031C1"/>
    <w:rsid w:val="008031F2"/>
    <w:rsid w:val="008031F6"/>
    <w:rsid w:val="00803207"/>
    <w:rsid w:val="00803213"/>
    <w:rsid w:val="00803234"/>
    <w:rsid w:val="00803258"/>
    <w:rsid w:val="008032A4"/>
    <w:rsid w:val="008032B1"/>
    <w:rsid w:val="008032B7"/>
    <w:rsid w:val="008032DA"/>
    <w:rsid w:val="008032E8"/>
    <w:rsid w:val="008032FB"/>
    <w:rsid w:val="00803357"/>
    <w:rsid w:val="00803389"/>
    <w:rsid w:val="00803390"/>
    <w:rsid w:val="00803395"/>
    <w:rsid w:val="008033A2"/>
    <w:rsid w:val="008033AB"/>
    <w:rsid w:val="008033B8"/>
    <w:rsid w:val="008033D8"/>
    <w:rsid w:val="00803413"/>
    <w:rsid w:val="00803416"/>
    <w:rsid w:val="00803439"/>
    <w:rsid w:val="008034D2"/>
    <w:rsid w:val="008034DD"/>
    <w:rsid w:val="0080353B"/>
    <w:rsid w:val="00803565"/>
    <w:rsid w:val="008035A3"/>
    <w:rsid w:val="00803658"/>
    <w:rsid w:val="00803664"/>
    <w:rsid w:val="00803670"/>
    <w:rsid w:val="008036AC"/>
    <w:rsid w:val="008036B7"/>
    <w:rsid w:val="008036CC"/>
    <w:rsid w:val="008036E6"/>
    <w:rsid w:val="008036ED"/>
    <w:rsid w:val="008036F8"/>
    <w:rsid w:val="0080374E"/>
    <w:rsid w:val="0080375D"/>
    <w:rsid w:val="00803765"/>
    <w:rsid w:val="00803790"/>
    <w:rsid w:val="008037D1"/>
    <w:rsid w:val="008037D4"/>
    <w:rsid w:val="00803858"/>
    <w:rsid w:val="00803889"/>
    <w:rsid w:val="008038EA"/>
    <w:rsid w:val="00803902"/>
    <w:rsid w:val="00803959"/>
    <w:rsid w:val="0080396B"/>
    <w:rsid w:val="0080399D"/>
    <w:rsid w:val="008039B1"/>
    <w:rsid w:val="008039D2"/>
    <w:rsid w:val="008039DD"/>
    <w:rsid w:val="008039EF"/>
    <w:rsid w:val="00803A18"/>
    <w:rsid w:val="00803A63"/>
    <w:rsid w:val="00803ACE"/>
    <w:rsid w:val="00803B0F"/>
    <w:rsid w:val="00803B23"/>
    <w:rsid w:val="00803C02"/>
    <w:rsid w:val="00803C0B"/>
    <w:rsid w:val="00803C1F"/>
    <w:rsid w:val="00803C36"/>
    <w:rsid w:val="00803C6C"/>
    <w:rsid w:val="00803CA3"/>
    <w:rsid w:val="00803CA7"/>
    <w:rsid w:val="00803D03"/>
    <w:rsid w:val="00803D35"/>
    <w:rsid w:val="00803D3A"/>
    <w:rsid w:val="00803D58"/>
    <w:rsid w:val="00803D6D"/>
    <w:rsid w:val="00803DEA"/>
    <w:rsid w:val="00803E04"/>
    <w:rsid w:val="00803E71"/>
    <w:rsid w:val="00803ED9"/>
    <w:rsid w:val="00803F12"/>
    <w:rsid w:val="00803F2D"/>
    <w:rsid w:val="00803F31"/>
    <w:rsid w:val="00803F3B"/>
    <w:rsid w:val="00803F73"/>
    <w:rsid w:val="00803F98"/>
    <w:rsid w:val="00803FC4"/>
    <w:rsid w:val="00803FD5"/>
    <w:rsid w:val="00803FFA"/>
    <w:rsid w:val="00804003"/>
    <w:rsid w:val="00804052"/>
    <w:rsid w:val="00804071"/>
    <w:rsid w:val="00804074"/>
    <w:rsid w:val="00804077"/>
    <w:rsid w:val="00804089"/>
    <w:rsid w:val="008040A2"/>
    <w:rsid w:val="008040F6"/>
    <w:rsid w:val="00804170"/>
    <w:rsid w:val="008041A8"/>
    <w:rsid w:val="008041CE"/>
    <w:rsid w:val="008041FD"/>
    <w:rsid w:val="00804206"/>
    <w:rsid w:val="00804231"/>
    <w:rsid w:val="0080424A"/>
    <w:rsid w:val="00804268"/>
    <w:rsid w:val="008042C6"/>
    <w:rsid w:val="0080437A"/>
    <w:rsid w:val="0080438B"/>
    <w:rsid w:val="0080438F"/>
    <w:rsid w:val="008043BD"/>
    <w:rsid w:val="008043BF"/>
    <w:rsid w:val="008043F1"/>
    <w:rsid w:val="0080442F"/>
    <w:rsid w:val="00804482"/>
    <w:rsid w:val="00804549"/>
    <w:rsid w:val="00804559"/>
    <w:rsid w:val="008045B6"/>
    <w:rsid w:val="008045F4"/>
    <w:rsid w:val="008045F7"/>
    <w:rsid w:val="00804606"/>
    <w:rsid w:val="0080464C"/>
    <w:rsid w:val="00804661"/>
    <w:rsid w:val="0080469A"/>
    <w:rsid w:val="008046C9"/>
    <w:rsid w:val="008046DA"/>
    <w:rsid w:val="008046EF"/>
    <w:rsid w:val="008046FF"/>
    <w:rsid w:val="00804739"/>
    <w:rsid w:val="00804746"/>
    <w:rsid w:val="0080479C"/>
    <w:rsid w:val="0080479E"/>
    <w:rsid w:val="008047B4"/>
    <w:rsid w:val="00804802"/>
    <w:rsid w:val="0080481B"/>
    <w:rsid w:val="00804884"/>
    <w:rsid w:val="0080489B"/>
    <w:rsid w:val="008048DA"/>
    <w:rsid w:val="008048DB"/>
    <w:rsid w:val="008048EE"/>
    <w:rsid w:val="00804905"/>
    <w:rsid w:val="00804914"/>
    <w:rsid w:val="0080492F"/>
    <w:rsid w:val="00804932"/>
    <w:rsid w:val="00804963"/>
    <w:rsid w:val="0080497D"/>
    <w:rsid w:val="008049D7"/>
    <w:rsid w:val="008049E8"/>
    <w:rsid w:val="00804A59"/>
    <w:rsid w:val="00804AD5"/>
    <w:rsid w:val="00804B01"/>
    <w:rsid w:val="00804B0C"/>
    <w:rsid w:val="00804B29"/>
    <w:rsid w:val="00804B30"/>
    <w:rsid w:val="00804B42"/>
    <w:rsid w:val="00804B68"/>
    <w:rsid w:val="00804B72"/>
    <w:rsid w:val="00804B78"/>
    <w:rsid w:val="00804B8C"/>
    <w:rsid w:val="00804B90"/>
    <w:rsid w:val="00804BC4"/>
    <w:rsid w:val="00804BE4"/>
    <w:rsid w:val="00804C41"/>
    <w:rsid w:val="00804CC7"/>
    <w:rsid w:val="00804D09"/>
    <w:rsid w:val="00804D2A"/>
    <w:rsid w:val="00804D42"/>
    <w:rsid w:val="00804D63"/>
    <w:rsid w:val="00804D96"/>
    <w:rsid w:val="00804D98"/>
    <w:rsid w:val="00804DD5"/>
    <w:rsid w:val="00804DDE"/>
    <w:rsid w:val="00804E29"/>
    <w:rsid w:val="00804E4D"/>
    <w:rsid w:val="00804E59"/>
    <w:rsid w:val="00804E81"/>
    <w:rsid w:val="00804E8F"/>
    <w:rsid w:val="00804EA2"/>
    <w:rsid w:val="00804F18"/>
    <w:rsid w:val="00804F48"/>
    <w:rsid w:val="00804F4C"/>
    <w:rsid w:val="00805023"/>
    <w:rsid w:val="008050A5"/>
    <w:rsid w:val="008050A7"/>
    <w:rsid w:val="008050B5"/>
    <w:rsid w:val="008050CA"/>
    <w:rsid w:val="008050D2"/>
    <w:rsid w:val="00805134"/>
    <w:rsid w:val="0080513C"/>
    <w:rsid w:val="00805184"/>
    <w:rsid w:val="008051C8"/>
    <w:rsid w:val="0080521C"/>
    <w:rsid w:val="00805276"/>
    <w:rsid w:val="0080529D"/>
    <w:rsid w:val="008052BD"/>
    <w:rsid w:val="008052DD"/>
    <w:rsid w:val="0080531D"/>
    <w:rsid w:val="0080531F"/>
    <w:rsid w:val="00805322"/>
    <w:rsid w:val="0080539D"/>
    <w:rsid w:val="008053B0"/>
    <w:rsid w:val="008053BC"/>
    <w:rsid w:val="008053C1"/>
    <w:rsid w:val="008053E1"/>
    <w:rsid w:val="00805438"/>
    <w:rsid w:val="0080544B"/>
    <w:rsid w:val="0080548C"/>
    <w:rsid w:val="008054F4"/>
    <w:rsid w:val="008054FA"/>
    <w:rsid w:val="00805525"/>
    <w:rsid w:val="0080555C"/>
    <w:rsid w:val="00805569"/>
    <w:rsid w:val="00805572"/>
    <w:rsid w:val="0080558C"/>
    <w:rsid w:val="008055A9"/>
    <w:rsid w:val="008055BA"/>
    <w:rsid w:val="008055CC"/>
    <w:rsid w:val="008055D3"/>
    <w:rsid w:val="008055D4"/>
    <w:rsid w:val="008055DE"/>
    <w:rsid w:val="0080561E"/>
    <w:rsid w:val="00805629"/>
    <w:rsid w:val="0080565C"/>
    <w:rsid w:val="00805675"/>
    <w:rsid w:val="00805676"/>
    <w:rsid w:val="00805689"/>
    <w:rsid w:val="008056AF"/>
    <w:rsid w:val="00805712"/>
    <w:rsid w:val="0080576F"/>
    <w:rsid w:val="00805799"/>
    <w:rsid w:val="008057B0"/>
    <w:rsid w:val="008057E5"/>
    <w:rsid w:val="008057EF"/>
    <w:rsid w:val="00805813"/>
    <w:rsid w:val="0080581A"/>
    <w:rsid w:val="00805840"/>
    <w:rsid w:val="00805849"/>
    <w:rsid w:val="00805864"/>
    <w:rsid w:val="008058C7"/>
    <w:rsid w:val="008058D1"/>
    <w:rsid w:val="00805924"/>
    <w:rsid w:val="00805945"/>
    <w:rsid w:val="0080594B"/>
    <w:rsid w:val="0080598E"/>
    <w:rsid w:val="00805990"/>
    <w:rsid w:val="008059DC"/>
    <w:rsid w:val="008059E8"/>
    <w:rsid w:val="008059F4"/>
    <w:rsid w:val="00805A44"/>
    <w:rsid w:val="00805A90"/>
    <w:rsid w:val="00805ABF"/>
    <w:rsid w:val="00805ACB"/>
    <w:rsid w:val="00805AEE"/>
    <w:rsid w:val="00805B2E"/>
    <w:rsid w:val="00805B49"/>
    <w:rsid w:val="00805B98"/>
    <w:rsid w:val="00805C1F"/>
    <w:rsid w:val="00805C2E"/>
    <w:rsid w:val="00805C34"/>
    <w:rsid w:val="00805C64"/>
    <w:rsid w:val="00805C8E"/>
    <w:rsid w:val="00805CBC"/>
    <w:rsid w:val="00805D0D"/>
    <w:rsid w:val="00805D2F"/>
    <w:rsid w:val="00805D47"/>
    <w:rsid w:val="00805D4F"/>
    <w:rsid w:val="00805D9E"/>
    <w:rsid w:val="00805DAF"/>
    <w:rsid w:val="00805DCB"/>
    <w:rsid w:val="00805DD6"/>
    <w:rsid w:val="00805DD7"/>
    <w:rsid w:val="00805DD8"/>
    <w:rsid w:val="00805DE1"/>
    <w:rsid w:val="00805E00"/>
    <w:rsid w:val="00805E65"/>
    <w:rsid w:val="00805E8A"/>
    <w:rsid w:val="00805E92"/>
    <w:rsid w:val="00805EAB"/>
    <w:rsid w:val="00805EB7"/>
    <w:rsid w:val="00805EC3"/>
    <w:rsid w:val="00805F29"/>
    <w:rsid w:val="00805F2C"/>
    <w:rsid w:val="00805F7F"/>
    <w:rsid w:val="00805F8B"/>
    <w:rsid w:val="00805F99"/>
    <w:rsid w:val="00806009"/>
    <w:rsid w:val="0080600C"/>
    <w:rsid w:val="0080604A"/>
    <w:rsid w:val="0080608E"/>
    <w:rsid w:val="008060FA"/>
    <w:rsid w:val="0080611B"/>
    <w:rsid w:val="00806162"/>
    <w:rsid w:val="0080616A"/>
    <w:rsid w:val="008061E2"/>
    <w:rsid w:val="008061F5"/>
    <w:rsid w:val="00806205"/>
    <w:rsid w:val="0080620F"/>
    <w:rsid w:val="0080622E"/>
    <w:rsid w:val="00806239"/>
    <w:rsid w:val="00806247"/>
    <w:rsid w:val="008062B9"/>
    <w:rsid w:val="008062C7"/>
    <w:rsid w:val="0080633A"/>
    <w:rsid w:val="0080633E"/>
    <w:rsid w:val="00806343"/>
    <w:rsid w:val="0080635F"/>
    <w:rsid w:val="0080637C"/>
    <w:rsid w:val="00806392"/>
    <w:rsid w:val="008063D2"/>
    <w:rsid w:val="0080644C"/>
    <w:rsid w:val="00806483"/>
    <w:rsid w:val="00806497"/>
    <w:rsid w:val="008064B9"/>
    <w:rsid w:val="008064E7"/>
    <w:rsid w:val="00806516"/>
    <w:rsid w:val="0080651B"/>
    <w:rsid w:val="0080653E"/>
    <w:rsid w:val="00806564"/>
    <w:rsid w:val="0080657B"/>
    <w:rsid w:val="008065A6"/>
    <w:rsid w:val="008065B2"/>
    <w:rsid w:val="008065CD"/>
    <w:rsid w:val="008065DD"/>
    <w:rsid w:val="008065E6"/>
    <w:rsid w:val="008065EA"/>
    <w:rsid w:val="00806654"/>
    <w:rsid w:val="00806670"/>
    <w:rsid w:val="00806676"/>
    <w:rsid w:val="0080669D"/>
    <w:rsid w:val="008066B1"/>
    <w:rsid w:val="008066BB"/>
    <w:rsid w:val="008066DB"/>
    <w:rsid w:val="008066DD"/>
    <w:rsid w:val="00806708"/>
    <w:rsid w:val="00806721"/>
    <w:rsid w:val="0080673C"/>
    <w:rsid w:val="00806792"/>
    <w:rsid w:val="008067C8"/>
    <w:rsid w:val="008067D0"/>
    <w:rsid w:val="008067DF"/>
    <w:rsid w:val="0080685B"/>
    <w:rsid w:val="008068E8"/>
    <w:rsid w:val="0080696C"/>
    <w:rsid w:val="0080699B"/>
    <w:rsid w:val="00806A3F"/>
    <w:rsid w:val="00806A81"/>
    <w:rsid w:val="00806A95"/>
    <w:rsid w:val="00806AE3"/>
    <w:rsid w:val="00806AEA"/>
    <w:rsid w:val="00806B05"/>
    <w:rsid w:val="00806B0C"/>
    <w:rsid w:val="00806B56"/>
    <w:rsid w:val="00806B73"/>
    <w:rsid w:val="00806B89"/>
    <w:rsid w:val="00806BC5"/>
    <w:rsid w:val="00806BED"/>
    <w:rsid w:val="00806BFD"/>
    <w:rsid w:val="00806C17"/>
    <w:rsid w:val="00806C56"/>
    <w:rsid w:val="00806C62"/>
    <w:rsid w:val="00806C98"/>
    <w:rsid w:val="00806CA8"/>
    <w:rsid w:val="00806CCB"/>
    <w:rsid w:val="00806CCF"/>
    <w:rsid w:val="00806D00"/>
    <w:rsid w:val="00806D09"/>
    <w:rsid w:val="00806D24"/>
    <w:rsid w:val="00806D44"/>
    <w:rsid w:val="00806D58"/>
    <w:rsid w:val="00806D6D"/>
    <w:rsid w:val="00806D87"/>
    <w:rsid w:val="00806D8E"/>
    <w:rsid w:val="00806D96"/>
    <w:rsid w:val="00806E07"/>
    <w:rsid w:val="00806E17"/>
    <w:rsid w:val="00806E5A"/>
    <w:rsid w:val="00806E99"/>
    <w:rsid w:val="00806EAB"/>
    <w:rsid w:val="00806EC0"/>
    <w:rsid w:val="00806EC4"/>
    <w:rsid w:val="00806F0F"/>
    <w:rsid w:val="00806F8C"/>
    <w:rsid w:val="00806F9D"/>
    <w:rsid w:val="00806FCD"/>
    <w:rsid w:val="00806FE6"/>
    <w:rsid w:val="0080701C"/>
    <w:rsid w:val="00807040"/>
    <w:rsid w:val="0080705D"/>
    <w:rsid w:val="00807067"/>
    <w:rsid w:val="00807086"/>
    <w:rsid w:val="00807094"/>
    <w:rsid w:val="008070AD"/>
    <w:rsid w:val="00807140"/>
    <w:rsid w:val="0080714A"/>
    <w:rsid w:val="00807172"/>
    <w:rsid w:val="00807179"/>
    <w:rsid w:val="008071C5"/>
    <w:rsid w:val="008071D2"/>
    <w:rsid w:val="00807225"/>
    <w:rsid w:val="00807280"/>
    <w:rsid w:val="00807298"/>
    <w:rsid w:val="008072A4"/>
    <w:rsid w:val="008072E8"/>
    <w:rsid w:val="008072F5"/>
    <w:rsid w:val="008072FF"/>
    <w:rsid w:val="0080731D"/>
    <w:rsid w:val="00807363"/>
    <w:rsid w:val="00807369"/>
    <w:rsid w:val="00807375"/>
    <w:rsid w:val="008073D9"/>
    <w:rsid w:val="008073E6"/>
    <w:rsid w:val="008073EC"/>
    <w:rsid w:val="0080745E"/>
    <w:rsid w:val="00807500"/>
    <w:rsid w:val="00807519"/>
    <w:rsid w:val="0080752F"/>
    <w:rsid w:val="0080756A"/>
    <w:rsid w:val="008075A5"/>
    <w:rsid w:val="008075CC"/>
    <w:rsid w:val="008075DF"/>
    <w:rsid w:val="008075E8"/>
    <w:rsid w:val="008075ED"/>
    <w:rsid w:val="008075EF"/>
    <w:rsid w:val="0080762C"/>
    <w:rsid w:val="0080762E"/>
    <w:rsid w:val="00807644"/>
    <w:rsid w:val="008076A5"/>
    <w:rsid w:val="008076CC"/>
    <w:rsid w:val="008077A1"/>
    <w:rsid w:val="00807830"/>
    <w:rsid w:val="00807840"/>
    <w:rsid w:val="008078A6"/>
    <w:rsid w:val="008078B0"/>
    <w:rsid w:val="008078C6"/>
    <w:rsid w:val="008078D2"/>
    <w:rsid w:val="0080790F"/>
    <w:rsid w:val="0080791E"/>
    <w:rsid w:val="00807925"/>
    <w:rsid w:val="00807927"/>
    <w:rsid w:val="00807948"/>
    <w:rsid w:val="0080797D"/>
    <w:rsid w:val="00807994"/>
    <w:rsid w:val="008079A0"/>
    <w:rsid w:val="008079D1"/>
    <w:rsid w:val="00807A2A"/>
    <w:rsid w:val="00807A43"/>
    <w:rsid w:val="00807A58"/>
    <w:rsid w:val="00807A74"/>
    <w:rsid w:val="00807A7C"/>
    <w:rsid w:val="00807A8D"/>
    <w:rsid w:val="00807A95"/>
    <w:rsid w:val="00807B1F"/>
    <w:rsid w:val="00807B2F"/>
    <w:rsid w:val="00807B59"/>
    <w:rsid w:val="00807B61"/>
    <w:rsid w:val="00807BB5"/>
    <w:rsid w:val="00807BC3"/>
    <w:rsid w:val="00807BE5"/>
    <w:rsid w:val="00807C37"/>
    <w:rsid w:val="00807C38"/>
    <w:rsid w:val="00807C6C"/>
    <w:rsid w:val="00807CBD"/>
    <w:rsid w:val="00807CBF"/>
    <w:rsid w:val="00807CF3"/>
    <w:rsid w:val="00807D04"/>
    <w:rsid w:val="00807D83"/>
    <w:rsid w:val="00807D91"/>
    <w:rsid w:val="00807D98"/>
    <w:rsid w:val="00807DE1"/>
    <w:rsid w:val="00807DFB"/>
    <w:rsid w:val="00807E66"/>
    <w:rsid w:val="00807EAE"/>
    <w:rsid w:val="00807EE3"/>
    <w:rsid w:val="00807F2E"/>
    <w:rsid w:val="00807FB7"/>
    <w:rsid w:val="00807FCB"/>
    <w:rsid w:val="00810031"/>
    <w:rsid w:val="00810095"/>
    <w:rsid w:val="008100A6"/>
    <w:rsid w:val="00810180"/>
    <w:rsid w:val="00810184"/>
    <w:rsid w:val="00810192"/>
    <w:rsid w:val="008101B2"/>
    <w:rsid w:val="008101E4"/>
    <w:rsid w:val="00810210"/>
    <w:rsid w:val="0081021E"/>
    <w:rsid w:val="00810239"/>
    <w:rsid w:val="00810256"/>
    <w:rsid w:val="0081027B"/>
    <w:rsid w:val="00810292"/>
    <w:rsid w:val="008102B0"/>
    <w:rsid w:val="008102C4"/>
    <w:rsid w:val="0081030E"/>
    <w:rsid w:val="00810328"/>
    <w:rsid w:val="0081038E"/>
    <w:rsid w:val="00810393"/>
    <w:rsid w:val="008103A1"/>
    <w:rsid w:val="008103C8"/>
    <w:rsid w:val="008103EB"/>
    <w:rsid w:val="008103FD"/>
    <w:rsid w:val="0081044A"/>
    <w:rsid w:val="008104DF"/>
    <w:rsid w:val="00810528"/>
    <w:rsid w:val="0081054F"/>
    <w:rsid w:val="00810584"/>
    <w:rsid w:val="008105BE"/>
    <w:rsid w:val="00810601"/>
    <w:rsid w:val="00810621"/>
    <w:rsid w:val="00810662"/>
    <w:rsid w:val="0081069F"/>
    <w:rsid w:val="008106A8"/>
    <w:rsid w:val="008106FB"/>
    <w:rsid w:val="00810713"/>
    <w:rsid w:val="00810774"/>
    <w:rsid w:val="0081079B"/>
    <w:rsid w:val="0081079E"/>
    <w:rsid w:val="008107EB"/>
    <w:rsid w:val="00810836"/>
    <w:rsid w:val="0081084F"/>
    <w:rsid w:val="008108A7"/>
    <w:rsid w:val="008108B5"/>
    <w:rsid w:val="008108C9"/>
    <w:rsid w:val="0081090F"/>
    <w:rsid w:val="00810911"/>
    <w:rsid w:val="00810965"/>
    <w:rsid w:val="008109B8"/>
    <w:rsid w:val="008109BC"/>
    <w:rsid w:val="008109CA"/>
    <w:rsid w:val="008109D6"/>
    <w:rsid w:val="00810A47"/>
    <w:rsid w:val="00810A92"/>
    <w:rsid w:val="00810ABF"/>
    <w:rsid w:val="00810AF2"/>
    <w:rsid w:val="00810B02"/>
    <w:rsid w:val="00810B2B"/>
    <w:rsid w:val="00810B3B"/>
    <w:rsid w:val="00810B40"/>
    <w:rsid w:val="00810B5B"/>
    <w:rsid w:val="00810B66"/>
    <w:rsid w:val="00810B6D"/>
    <w:rsid w:val="00810B76"/>
    <w:rsid w:val="00810B81"/>
    <w:rsid w:val="00810BC5"/>
    <w:rsid w:val="00810BC8"/>
    <w:rsid w:val="00810BD2"/>
    <w:rsid w:val="00810BE3"/>
    <w:rsid w:val="00810C09"/>
    <w:rsid w:val="00810C6D"/>
    <w:rsid w:val="00810C72"/>
    <w:rsid w:val="00810CE6"/>
    <w:rsid w:val="00810D22"/>
    <w:rsid w:val="00810D79"/>
    <w:rsid w:val="00810D8B"/>
    <w:rsid w:val="00810D99"/>
    <w:rsid w:val="00810DC0"/>
    <w:rsid w:val="00810DF5"/>
    <w:rsid w:val="00810DFC"/>
    <w:rsid w:val="00810E63"/>
    <w:rsid w:val="00810EA1"/>
    <w:rsid w:val="00810EAC"/>
    <w:rsid w:val="00810EBA"/>
    <w:rsid w:val="00810EBE"/>
    <w:rsid w:val="00810F7E"/>
    <w:rsid w:val="00810FD4"/>
    <w:rsid w:val="0081102F"/>
    <w:rsid w:val="0081103C"/>
    <w:rsid w:val="00811073"/>
    <w:rsid w:val="008110A3"/>
    <w:rsid w:val="00811120"/>
    <w:rsid w:val="008111BA"/>
    <w:rsid w:val="008111C5"/>
    <w:rsid w:val="008111D0"/>
    <w:rsid w:val="00811201"/>
    <w:rsid w:val="0081121E"/>
    <w:rsid w:val="00811291"/>
    <w:rsid w:val="008112A5"/>
    <w:rsid w:val="008112B3"/>
    <w:rsid w:val="00811356"/>
    <w:rsid w:val="008113CD"/>
    <w:rsid w:val="008113D0"/>
    <w:rsid w:val="008113F0"/>
    <w:rsid w:val="008114A0"/>
    <w:rsid w:val="008114C0"/>
    <w:rsid w:val="008114F5"/>
    <w:rsid w:val="00811545"/>
    <w:rsid w:val="00811563"/>
    <w:rsid w:val="00811581"/>
    <w:rsid w:val="008115C7"/>
    <w:rsid w:val="00811612"/>
    <w:rsid w:val="00811664"/>
    <w:rsid w:val="0081168D"/>
    <w:rsid w:val="00811695"/>
    <w:rsid w:val="008116AE"/>
    <w:rsid w:val="008116CE"/>
    <w:rsid w:val="008116FB"/>
    <w:rsid w:val="00811709"/>
    <w:rsid w:val="00811721"/>
    <w:rsid w:val="0081177A"/>
    <w:rsid w:val="0081179C"/>
    <w:rsid w:val="008117B9"/>
    <w:rsid w:val="00811861"/>
    <w:rsid w:val="00811899"/>
    <w:rsid w:val="00811918"/>
    <w:rsid w:val="00811964"/>
    <w:rsid w:val="00811971"/>
    <w:rsid w:val="0081198D"/>
    <w:rsid w:val="008119E6"/>
    <w:rsid w:val="00811A90"/>
    <w:rsid w:val="00811A91"/>
    <w:rsid w:val="00811AA0"/>
    <w:rsid w:val="00811AD6"/>
    <w:rsid w:val="00811ADD"/>
    <w:rsid w:val="00811AE8"/>
    <w:rsid w:val="00811AEB"/>
    <w:rsid w:val="00811AFD"/>
    <w:rsid w:val="00811B42"/>
    <w:rsid w:val="00811BB1"/>
    <w:rsid w:val="00811BDD"/>
    <w:rsid w:val="00811C03"/>
    <w:rsid w:val="00811C4E"/>
    <w:rsid w:val="00811C8D"/>
    <w:rsid w:val="00811C93"/>
    <w:rsid w:val="00811CA7"/>
    <w:rsid w:val="00811CE2"/>
    <w:rsid w:val="00811CF9"/>
    <w:rsid w:val="00811D14"/>
    <w:rsid w:val="00811D2F"/>
    <w:rsid w:val="00811D36"/>
    <w:rsid w:val="00811D3F"/>
    <w:rsid w:val="00811DC5"/>
    <w:rsid w:val="00811DCB"/>
    <w:rsid w:val="00811DDE"/>
    <w:rsid w:val="00811DFF"/>
    <w:rsid w:val="00811E0E"/>
    <w:rsid w:val="00811E29"/>
    <w:rsid w:val="00811E43"/>
    <w:rsid w:val="00811E8F"/>
    <w:rsid w:val="00811ED6"/>
    <w:rsid w:val="00811F1F"/>
    <w:rsid w:val="00811F20"/>
    <w:rsid w:val="00811F44"/>
    <w:rsid w:val="00811F66"/>
    <w:rsid w:val="00811F96"/>
    <w:rsid w:val="00811FA9"/>
    <w:rsid w:val="00811FAC"/>
    <w:rsid w:val="00811FCF"/>
    <w:rsid w:val="00811FE0"/>
    <w:rsid w:val="0081201F"/>
    <w:rsid w:val="0081207B"/>
    <w:rsid w:val="00812084"/>
    <w:rsid w:val="00812094"/>
    <w:rsid w:val="008120F4"/>
    <w:rsid w:val="0081210D"/>
    <w:rsid w:val="00812134"/>
    <w:rsid w:val="00812139"/>
    <w:rsid w:val="00812211"/>
    <w:rsid w:val="00812295"/>
    <w:rsid w:val="008122A7"/>
    <w:rsid w:val="008122CA"/>
    <w:rsid w:val="008122CC"/>
    <w:rsid w:val="008122E9"/>
    <w:rsid w:val="008123A1"/>
    <w:rsid w:val="008123C3"/>
    <w:rsid w:val="008123C8"/>
    <w:rsid w:val="008123CA"/>
    <w:rsid w:val="008123E3"/>
    <w:rsid w:val="008123E7"/>
    <w:rsid w:val="00812406"/>
    <w:rsid w:val="0081240E"/>
    <w:rsid w:val="00812415"/>
    <w:rsid w:val="0081244B"/>
    <w:rsid w:val="00812465"/>
    <w:rsid w:val="0081248D"/>
    <w:rsid w:val="0081248E"/>
    <w:rsid w:val="008124ED"/>
    <w:rsid w:val="00812529"/>
    <w:rsid w:val="00812530"/>
    <w:rsid w:val="0081259A"/>
    <w:rsid w:val="008125E7"/>
    <w:rsid w:val="00812639"/>
    <w:rsid w:val="00812667"/>
    <w:rsid w:val="0081267F"/>
    <w:rsid w:val="00812690"/>
    <w:rsid w:val="00812697"/>
    <w:rsid w:val="008126C2"/>
    <w:rsid w:val="008126F9"/>
    <w:rsid w:val="00812728"/>
    <w:rsid w:val="00812730"/>
    <w:rsid w:val="0081279C"/>
    <w:rsid w:val="008127B8"/>
    <w:rsid w:val="00812809"/>
    <w:rsid w:val="00812811"/>
    <w:rsid w:val="00812814"/>
    <w:rsid w:val="00812836"/>
    <w:rsid w:val="00812842"/>
    <w:rsid w:val="00812970"/>
    <w:rsid w:val="0081298D"/>
    <w:rsid w:val="008129C3"/>
    <w:rsid w:val="008129CA"/>
    <w:rsid w:val="008129CD"/>
    <w:rsid w:val="00812A02"/>
    <w:rsid w:val="00812A11"/>
    <w:rsid w:val="00812A7B"/>
    <w:rsid w:val="00812A99"/>
    <w:rsid w:val="00812B06"/>
    <w:rsid w:val="00812B2A"/>
    <w:rsid w:val="00812B7D"/>
    <w:rsid w:val="00812BA3"/>
    <w:rsid w:val="00812BDB"/>
    <w:rsid w:val="00812BDE"/>
    <w:rsid w:val="00812C0D"/>
    <w:rsid w:val="00812C16"/>
    <w:rsid w:val="00812C5B"/>
    <w:rsid w:val="00812C68"/>
    <w:rsid w:val="00812CD1"/>
    <w:rsid w:val="00812D05"/>
    <w:rsid w:val="00812D1E"/>
    <w:rsid w:val="00812D3A"/>
    <w:rsid w:val="00812D78"/>
    <w:rsid w:val="00812D7B"/>
    <w:rsid w:val="00812D8B"/>
    <w:rsid w:val="00812DA3"/>
    <w:rsid w:val="00812DBD"/>
    <w:rsid w:val="00812DC4"/>
    <w:rsid w:val="00812DD4"/>
    <w:rsid w:val="00812E11"/>
    <w:rsid w:val="00812E48"/>
    <w:rsid w:val="00812E66"/>
    <w:rsid w:val="00812E6C"/>
    <w:rsid w:val="00812EDF"/>
    <w:rsid w:val="00812EE8"/>
    <w:rsid w:val="00812F4C"/>
    <w:rsid w:val="00812F56"/>
    <w:rsid w:val="00812FD3"/>
    <w:rsid w:val="00813041"/>
    <w:rsid w:val="0081304B"/>
    <w:rsid w:val="0081304D"/>
    <w:rsid w:val="00813065"/>
    <w:rsid w:val="00813094"/>
    <w:rsid w:val="008130C2"/>
    <w:rsid w:val="008130C8"/>
    <w:rsid w:val="008130D6"/>
    <w:rsid w:val="00813112"/>
    <w:rsid w:val="00813126"/>
    <w:rsid w:val="0081316A"/>
    <w:rsid w:val="0081317D"/>
    <w:rsid w:val="008131B1"/>
    <w:rsid w:val="008131BF"/>
    <w:rsid w:val="008131D2"/>
    <w:rsid w:val="008131F7"/>
    <w:rsid w:val="00813297"/>
    <w:rsid w:val="008132D9"/>
    <w:rsid w:val="00813426"/>
    <w:rsid w:val="00813452"/>
    <w:rsid w:val="00813469"/>
    <w:rsid w:val="008134B9"/>
    <w:rsid w:val="0081350A"/>
    <w:rsid w:val="00813514"/>
    <w:rsid w:val="00813517"/>
    <w:rsid w:val="0081352A"/>
    <w:rsid w:val="00813548"/>
    <w:rsid w:val="008135BE"/>
    <w:rsid w:val="0081360E"/>
    <w:rsid w:val="008136C9"/>
    <w:rsid w:val="008136CC"/>
    <w:rsid w:val="008136D2"/>
    <w:rsid w:val="0081370E"/>
    <w:rsid w:val="0081376A"/>
    <w:rsid w:val="008137C5"/>
    <w:rsid w:val="008138D5"/>
    <w:rsid w:val="008138E3"/>
    <w:rsid w:val="00813910"/>
    <w:rsid w:val="0081391F"/>
    <w:rsid w:val="00813936"/>
    <w:rsid w:val="0081395B"/>
    <w:rsid w:val="00813979"/>
    <w:rsid w:val="008139A9"/>
    <w:rsid w:val="00813A3D"/>
    <w:rsid w:val="00813A49"/>
    <w:rsid w:val="00813A54"/>
    <w:rsid w:val="00813A99"/>
    <w:rsid w:val="00813ABE"/>
    <w:rsid w:val="00813AC3"/>
    <w:rsid w:val="00813B11"/>
    <w:rsid w:val="00813B55"/>
    <w:rsid w:val="00813B68"/>
    <w:rsid w:val="00813B97"/>
    <w:rsid w:val="00813BB2"/>
    <w:rsid w:val="00813BD0"/>
    <w:rsid w:val="00813BD8"/>
    <w:rsid w:val="00813BDF"/>
    <w:rsid w:val="00813BEE"/>
    <w:rsid w:val="00813BF4"/>
    <w:rsid w:val="00813C37"/>
    <w:rsid w:val="00813C5B"/>
    <w:rsid w:val="00813C6F"/>
    <w:rsid w:val="00813C75"/>
    <w:rsid w:val="00813CC1"/>
    <w:rsid w:val="00813CE8"/>
    <w:rsid w:val="00813CF7"/>
    <w:rsid w:val="00813D72"/>
    <w:rsid w:val="00813D74"/>
    <w:rsid w:val="00813D92"/>
    <w:rsid w:val="00813D94"/>
    <w:rsid w:val="00813E4E"/>
    <w:rsid w:val="00813E6C"/>
    <w:rsid w:val="00813E97"/>
    <w:rsid w:val="00813EA6"/>
    <w:rsid w:val="00813EB4"/>
    <w:rsid w:val="00813EB9"/>
    <w:rsid w:val="00813F2C"/>
    <w:rsid w:val="00813F5A"/>
    <w:rsid w:val="00813F64"/>
    <w:rsid w:val="00813F76"/>
    <w:rsid w:val="00813F96"/>
    <w:rsid w:val="00813FB9"/>
    <w:rsid w:val="0081401E"/>
    <w:rsid w:val="0081402C"/>
    <w:rsid w:val="00814037"/>
    <w:rsid w:val="0081405D"/>
    <w:rsid w:val="0081407D"/>
    <w:rsid w:val="0081408B"/>
    <w:rsid w:val="0081409F"/>
    <w:rsid w:val="008140C5"/>
    <w:rsid w:val="0081413A"/>
    <w:rsid w:val="0081413C"/>
    <w:rsid w:val="0081415C"/>
    <w:rsid w:val="00814184"/>
    <w:rsid w:val="0081418F"/>
    <w:rsid w:val="008141BA"/>
    <w:rsid w:val="008141BE"/>
    <w:rsid w:val="008141D3"/>
    <w:rsid w:val="008141DD"/>
    <w:rsid w:val="008141EC"/>
    <w:rsid w:val="008141F3"/>
    <w:rsid w:val="0081420E"/>
    <w:rsid w:val="00814232"/>
    <w:rsid w:val="00814244"/>
    <w:rsid w:val="0081424C"/>
    <w:rsid w:val="00814257"/>
    <w:rsid w:val="00814298"/>
    <w:rsid w:val="00814345"/>
    <w:rsid w:val="0081436F"/>
    <w:rsid w:val="0081439F"/>
    <w:rsid w:val="00814411"/>
    <w:rsid w:val="0081443C"/>
    <w:rsid w:val="00814448"/>
    <w:rsid w:val="00814471"/>
    <w:rsid w:val="008144BE"/>
    <w:rsid w:val="008144CE"/>
    <w:rsid w:val="00814505"/>
    <w:rsid w:val="00814552"/>
    <w:rsid w:val="0081456A"/>
    <w:rsid w:val="0081457C"/>
    <w:rsid w:val="008145AD"/>
    <w:rsid w:val="00814633"/>
    <w:rsid w:val="00814642"/>
    <w:rsid w:val="00814728"/>
    <w:rsid w:val="00814753"/>
    <w:rsid w:val="00814777"/>
    <w:rsid w:val="0081478F"/>
    <w:rsid w:val="008147BB"/>
    <w:rsid w:val="0081484B"/>
    <w:rsid w:val="00814860"/>
    <w:rsid w:val="00814865"/>
    <w:rsid w:val="0081488E"/>
    <w:rsid w:val="0081489B"/>
    <w:rsid w:val="008148C1"/>
    <w:rsid w:val="008148CC"/>
    <w:rsid w:val="008148FB"/>
    <w:rsid w:val="00814919"/>
    <w:rsid w:val="00814947"/>
    <w:rsid w:val="00814983"/>
    <w:rsid w:val="008149AA"/>
    <w:rsid w:val="00814A18"/>
    <w:rsid w:val="00814A23"/>
    <w:rsid w:val="00814A43"/>
    <w:rsid w:val="00814A59"/>
    <w:rsid w:val="00814A72"/>
    <w:rsid w:val="00814A7D"/>
    <w:rsid w:val="00814AFC"/>
    <w:rsid w:val="00814B0F"/>
    <w:rsid w:val="00814B3E"/>
    <w:rsid w:val="00814B44"/>
    <w:rsid w:val="00814B4C"/>
    <w:rsid w:val="00814B71"/>
    <w:rsid w:val="00814BAA"/>
    <w:rsid w:val="00814BC9"/>
    <w:rsid w:val="00814BDB"/>
    <w:rsid w:val="00814C20"/>
    <w:rsid w:val="00814C2C"/>
    <w:rsid w:val="00814C7C"/>
    <w:rsid w:val="00814C9A"/>
    <w:rsid w:val="00814D9A"/>
    <w:rsid w:val="00814DA2"/>
    <w:rsid w:val="00814DA6"/>
    <w:rsid w:val="00814DC7"/>
    <w:rsid w:val="00814DD7"/>
    <w:rsid w:val="00814DF8"/>
    <w:rsid w:val="00814E2D"/>
    <w:rsid w:val="00814EA4"/>
    <w:rsid w:val="00814EC6"/>
    <w:rsid w:val="00814EE1"/>
    <w:rsid w:val="00814F32"/>
    <w:rsid w:val="00814F3A"/>
    <w:rsid w:val="00814F3B"/>
    <w:rsid w:val="00814F43"/>
    <w:rsid w:val="00814F57"/>
    <w:rsid w:val="00814F5F"/>
    <w:rsid w:val="00814F80"/>
    <w:rsid w:val="00814FE7"/>
    <w:rsid w:val="00815025"/>
    <w:rsid w:val="00815038"/>
    <w:rsid w:val="00815054"/>
    <w:rsid w:val="008150B9"/>
    <w:rsid w:val="008150D4"/>
    <w:rsid w:val="008150E9"/>
    <w:rsid w:val="008150FE"/>
    <w:rsid w:val="0081512F"/>
    <w:rsid w:val="00815143"/>
    <w:rsid w:val="00815160"/>
    <w:rsid w:val="00815161"/>
    <w:rsid w:val="0081516A"/>
    <w:rsid w:val="0081518E"/>
    <w:rsid w:val="008151EF"/>
    <w:rsid w:val="00815205"/>
    <w:rsid w:val="0081521B"/>
    <w:rsid w:val="00815230"/>
    <w:rsid w:val="00815236"/>
    <w:rsid w:val="00815249"/>
    <w:rsid w:val="00815289"/>
    <w:rsid w:val="00815296"/>
    <w:rsid w:val="008152B1"/>
    <w:rsid w:val="008152FF"/>
    <w:rsid w:val="0081531C"/>
    <w:rsid w:val="00815341"/>
    <w:rsid w:val="00815342"/>
    <w:rsid w:val="00815380"/>
    <w:rsid w:val="0081539C"/>
    <w:rsid w:val="008153D0"/>
    <w:rsid w:val="008153FC"/>
    <w:rsid w:val="0081542B"/>
    <w:rsid w:val="008154C2"/>
    <w:rsid w:val="00815538"/>
    <w:rsid w:val="00815565"/>
    <w:rsid w:val="00815585"/>
    <w:rsid w:val="008155B4"/>
    <w:rsid w:val="008155B8"/>
    <w:rsid w:val="008155EC"/>
    <w:rsid w:val="0081560F"/>
    <w:rsid w:val="0081564D"/>
    <w:rsid w:val="00815669"/>
    <w:rsid w:val="00815677"/>
    <w:rsid w:val="008156BC"/>
    <w:rsid w:val="008156D7"/>
    <w:rsid w:val="008156F8"/>
    <w:rsid w:val="008156FC"/>
    <w:rsid w:val="00815719"/>
    <w:rsid w:val="00815752"/>
    <w:rsid w:val="008157B0"/>
    <w:rsid w:val="008157D0"/>
    <w:rsid w:val="0081582C"/>
    <w:rsid w:val="0081589C"/>
    <w:rsid w:val="008158AD"/>
    <w:rsid w:val="008158B4"/>
    <w:rsid w:val="008158CD"/>
    <w:rsid w:val="008158CF"/>
    <w:rsid w:val="008158E6"/>
    <w:rsid w:val="00815917"/>
    <w:rsid w:val="0081591A"/>
    <w:rsid w:val="0081591B"/>
    <w:rsid w:val="00815966"/>
    <w:rsid w:val="008159E7"/>
    <w:rsid w:val="00815A45"/>
    <w:rsid w:val="00815A56"/>
    <w:rsid w:val="00815A92"/>
    <w:rsid w:val="00815AC1"/>
    <w:rsid w:val="00815B26"/>
    <w:rsid w:val="00815B56"/>
    <w:rsid w:val="00815B62"/>
    <w:rsid w:val="00815B94"/>
    <w:rsid w:val="00815BA6"/>
    <w:rsid w:val="00815BAE"/>
    <w:rsid w:val="00815BBD"/>
    <w:rsid w:val="00815BEF"/>
    <w:rsid w:val="00815C15"/>
    <w:rsid w:val="00815C5F"/>
    <w:rsid w:val="00815C74"/>
    <w:rsid w:val="00815C98"/>
    <w:rsid w:val="00815CDD"/>
    <w:rsid w:val="00815D00"/>
    <w:rsid w:val="00815D06"/>
    <w:rsid w:val="00815D2D"/>
    <w:rsid w:val="00815D31"/>
    <w:rsid w:val="00815D34"/>
    <w:rsid w:val="00815D56"/>
    <w:rsid w:val="00815D59"/>
    <w:rsid w:val="00815DA6"/>
    <w:rsid w:val="00815DC3"/>
    <w:rsid w:val="00815DF9"/>
    <w:rsid w:val="00815DFE"/>
    <w:rsid w:val="00815E1A"/>
    <w:rsid w:val="00815E3E"/>
    <w:rsid w:val="00815E84"/>
    <w:rsid w:val="00815E86"/>
    <w:rsid w:val="00815ED6"/>
    <w:rsid w:val="00815EF0"/>
    <w:rsid w:val="00815F0F"/>
    <w:rsid w:val="00815FCC"/>
    <w:rsid w:val="00815FD6"/>
    <w:rsid w:val="00815FF1"/>
    <w:rsid w:val="00816029"/>
    <w:rsid w:val="0081606F"/>
    <w:rsid w:val="0081607B"/>
    <w:rsid w:val="008160DD"/>
    <w:rsid w:val="008160FB"/>
    <w:rsid w:val="00816189"/>
    <w:rsid w:val="0081619F"/>
    <w:rsid w:val="008161BB"/>
    <w:rsid w:val="008161F6"/>
    <w:rsid w:val="0081622B"/>
    <w:rsid w:val="00816247"/>
    <w:rsid w:val="00816262"/>
    <w:rsid w:val="008162A4"/>
    <w:rsid w:val="008162D7"/>
    <w:rsid w:val="00816308"/>
    <w:rsid w:val="0081631A"/>
    <w:rsid w:val="0081635A"/>
    <w:rsid w:val="00816397"/>
    <w:rsid w:val="008163A5"/>
    <w:rsid w:val="00816416"/>
    <w:rsid w:val="00816423"/>
    <w:rsid w:val="0081651C"/>
    <w:rsid w:val="00816555"/>
    <w:rsid w:val="00816557"/>
    <w:rsid w:val="00816579"/>
    <w:rsid w:val="0081658D"/>
    <w:rsid w:val="00816594"/>
    <w:rsid w:val="008165D3"/>
    <w:rsid w:val="008165DB"/>
    <w:rsid w:val="008165DD"/>
    <w:rsid w:val="00816629"/>
    <w:rsid w:val="00816649"/>
    <w:rsid w:val="00816658"/>
    <w:rsid w:val="00816661"/>
    <w:rsid w:val="00816666"/>
    <w:rsid w:val="00816688"/>
    <w:rsid w:val="008166A6"/>
    <w:rsid w:val="008166B6"/>
    <w:rsid w:val="0081672E"/>
    <w:rsid w:val="00816763"/>
    <w:rsid w:val="0081676B"/>
    <w:rsid w:val="00816795"/>
    <w:rsid w:val="008167B8"/>
    <w:rsid w:val="008167DC"/>
    <w:rsid w:val="008167FB"/>
    <w:rsid w:val="0081680F"/>
    <w:rsid w:val="00816867"/>
    <w:rsid w:val="0081688A"/>
    <w:rsid w:val="00816890"/>
    <w:rsid w:val="008168FC"/>
    <w:rsid w:val="0081691C"/>
    <w:rsid w:val="00816924"/>
    <w:rsid w:val="008169B6"/>
    <w:rsid w:val="008169E5"/>
    <w:rsid w:val="008169F3"/>
    <w:rsid w:val="00816A31"/>
    <w:rsid w:val="00816A58"/>
    <w:rsid w:val="00816AEB"/>
    <w:rsid w:val="00816AF1"/>
    <w:rsid w:val="00816B4D"/>
    <w:rsid w:val="00816B90"/>
    <w:rsid w:val="00816BD4"/>
    <w:rsid w:val="00816C62"/>
    <w:rsid w:val="00816CA6"/>
    <w:rsid w:val="00816CC6"/>
    <w:rsid w:val="00816CDB"/>
    <w:rsid w:val="00816D47"/>
    <w:rsid w:val="00816D8B"/>
    <w:rsid w:val="00816D9E"/>
    <w:rsid w:val="00816DA4"/>
    <w:rsid w:val="00816DD1"/>
    <w:rsid w:val="00816E01"/>
    <w:rsid w:val="00816E19"/>
    <w:rsid w:val="00816E22"/>
    <w:rsid w:val="00816E24"/>
    <w:rsid w:val="00816F27"/>
    <w:rsid w:val="00816F36"/>
    <w:rsid w:val="00816F4B"/>
    <w:rsid w:val="00816FCB"/>
    <w:rsid w:val="00816FD2"/>
    <w:rsid w:val="00817088"/>
    <w:rsid w:val="008170EC"/>
    <w:rsid w:val="00817115"/>
    <w:rsid w:val="00817119"/>
    <w:rsid w:val="00817192"/>
    <w:rsid w:val="008171BE"/>
    <w:rsid w:val="008171FC"/>
    <w:rsid w:val="00817208"/>
    <w:rsid w:val="00817219"/>
    <w:rsid w:val="0081729C"/>
    <w:rsid w:val="008172BF"/>
    <w:rsid w:val="0081730A"/>
    <w:rsid w:val="00817313"/>
    <w:rsid w:val="00817359"/>
    <w:rsid w:val="0081735F"/>
    <w:rsid w:val="0081738E"/>
    <w:rsid w:val="008173DA"/>
    <w:rsid w:val="008173F0"/>
    <w:rsid w:val="00817441"/>
    <w:rsid w:val="0081745B"/>
    <w:rsid w:val="0081748B"/>
    <w:rsid w:val="0081749A"/>
    <w:rsid w:val="008174A6"/>
    <w:rsid w:val="008174C7"/>
    <w:rsid w:val="0081751A"/>
    <w:rsid w:val="0081756E"/>
    <w:rsid w:val="00817618"/>
    <w:rsid w:val="00817631"/>
    <w:rsid w:val="0081763F"/>
    <w:rsid w:val="0081766A"/>
    <w:rsid w:val="008176BA"/>
    <w:rsid w:val="008176DA"/>
    <w:rsid w:val="008176F5"/>
    <w:rsid w:val="00817723"/>
    <w:rsid w:val="0081775B"/>
    <w:rsid w:val="0081776E"/>
    <w:rsid w:val="008177B3"/>
    <w:rsid w:val="008177D1"/>
    <w:rsid w:val="008177DF"/>
    <w:rsid w:val="0081784A"/>
    <w:rsid w:val="00817872"/>
    <w:rsid w:val="00817894"/>
    <w:rsid w:val="008178B2"/>
    <w:rsid w:val="008178B5"/>
    <w:rsid w:val="0081791C"/>
    <w:rsid w:val="00817933"/>
    <w:rsid w:val="00817936"/>
    <w:rsid w:val="00817942"/>
    <w:rsid w:val="00817958"/>
    <w:rsid w:val="0081798C"/>
    <w:rsid w:val="0081799B"/>
    <w:rsid w:val="00817A65"/>
    <w:rsid w:val="00817ACE"/>
    <w:rsid w:val="00817B3C"/>
    <w:rsid w:val="00817B62"/>
    <w:rsid w:val="00817BD8"/>
    <w:rsid w:val="00817BFB"/>
    <w:rsid w:val="00817C0C"/>
    <w:rsid w:val="00817C22"/>
    <w:rsid w:val="00817C47"/>
    <w:rsid w:val="00817C58"/>
    <w:rsid w:val="00817C59"/>
    <w:rsid w:val="00817C73"/>
    <w:rsid w:val="00817C75"/>
    <w:rsid w:val="00817CB6"/>
    <w:rsid w:val="00817CBE"/>
    <w:rsid w:val="00817CCB"/>
    <w:rsid w:val="00817CD1"/>
    <w:rsid w:val="00817CF5"/>
    <w:rsid w:val="00817CFC"/>
    <w:rsid w:val="00817D01"/>
    <w:rsid w:val="00817D28"/>
    <w:rsid w:val="00817D4B"/>
    <w:rsid w:val="00817D51"/>
    <w:rsid w:val="00817D8A"/>
    <w:rsid w:val="00817D91"/>
    <w:rsid w:val="00817D9D"/>
    <w:rsid w:val="00817DDA"/>
    <w:rsid w:val="00817E01"/>
    <w:rsid w:val="00817E07"/>
    <w:rsid w:val="00817E30"/>
    <w:rsid w:val="00817E4B"/>
    <w:rsid w:val="00817EAD"/>
    <w:rsid w:val="00817ECE"/>
    <w:rsid w:val="00817F08"/>
    <w:rsid w:val="00817F3F"/>
    <w:rsid w:val="00817F43"/>
    <w:rsid w:val="00817F5D"/>
    <w:rsid w:val="00817F63"/>
    <w:rsid w:val="00817F9D"/>
    <w:rsid w:val="00818655"/>
    <w:rsid w:val="00820064"/>
    <w:rsid w:val="00820099"/>
    <w:rsid w:val="008200A7"/>
    <w:rsid w:val="008200AF"/>
    <w:rsid w:val="008200F3"/>
    <w:rsid w:val="00820110"/>
    <w:rsid w:val="00820121"/>
    <w:rsid w:val="00820134"/>
    <w:rsid w:val="0082013A"/>
    <w:rsid w:val="00820142"/>
    <w:rsid w:val="00820175"/>
    <w:rsid w:val="00820231"/>
    <w:rsid w:val="00820242"/>
    <w:rsid w:val="00820256"/>
    <w:rsid w:val="0082025E"/>
    <w:rsid w:val="00820281"/>
    <w:rsid w:val="008202DC"/>
    <w:rsid w:val="00820300"/>
    <w:rsid w:val="0082032A"/>
    <w:rsid w:val="00820396"/>
    <w:rsid w:val="008203E2"/>
    <w:rsid w:val="00820418"/>
    <w:rsid w:val="00820447"/>
    <w:rsid w:val="0082044A"/>
    <w:rsid w:val="008204D0"/>
    <w:rsid w:val="008204D6"/>
    <w:rsid w:val="008204EC"/>
    <w:rsid w:val="00820545"/>
    <w:rsid w:val="00820564"/>
    <w:rsid w:val="00820567"/>
    <w:rsid w:val="00820583"/>
    <w:rsid w:val="008205AD"/>
    <w:rsid w:val="0082062B"/>
    <w:rsid w:val="0082064E"/>
    <w:rsid w:val="008206D5"/>
    <w:rsid w:val="008206DD"/>
    <w:rsid w:val="00820748"/>
    <w:rsid w:val="0082074C"/>
    <w:rsid w:val="00820794"/>
    <w:rsid w:val="008207B9"/>
    <w:rsid w:val="008207C2"/>
    <w:rsid w:val="008207F2"/>
    <w:rsid w:val="00820830"/>
    <w:rsid w:val="00820864"/>
    <w:rsid w:val="00820874"/>
    <w:rsid w:val="008208B7"/>
    <w:rsid w:val="008208BE"/>
    <w:rsid w:val="008208FB"/>
    <w:rsid w:val="00820916"/>
    <w:rsid w:val="0082093F"/>
    <w:rsid w:val="00820967"/>
    <w:rsid w:val="00820968"/>
    <w:rsid w:val="0082097C"/>
    <w:rsid w:val="00820982"/>
    <w:rsid w:val="008209EB"/>
    <w:rsid w:val="00820A09"/>
    <w:rsid w:val="00820A24"/>
    <w:rsid w:val="00820A97"/>
    <w:rsid w:val="00820AA1"/>
    <w:rsid w:val="00820AE2"/>
    <w:rsid w:val="00820AF8"/>
    <w:rsid w:val="00820B0A"/>
    <w:rsid w:val="00820B0E"/>
    <w:rsid w:val="00820B4D"/>
    <w:rsid w:val="00820B57"/>
    <w:rsid w:val="00820B5F"/>
    <w:rsid w:val="00820B68"/>
    <w:rsid w:val="00820B6C"/>
    <w:rsid w:val="00820C00"/>
    <w:rsid w:val="00820C46"/>
    <w:rsid w:val="00820C5C"/>
    <w:rsid w:val="00820C93"/>
    <w:rsid w:val="00820CA3"/>
    <w:rsid w:val="00820CD2"/>
    <w:rsid w:val="00820CE6"/>
    <w:rsid w:val="00820D03"/>
    <w:rsid w:val="00820D15"/>
    <w:rsid w:val="00820D1B"/>
    <w:rsid w:val="00820D29"/>
    <w:rsid w:val="00820D2B"/>
    <w:rsid w:val="00820D73"/>
    <w:rsid w:val="00820DEC"/>
    <w:rsid w:val="00820DF5"/>
    <w:rsid w:val="00820E36"/>
    <w:rsid w:val="00820E4A"/>
    <w:rsid w:val="00820E57"/>
    <w:rsid w:val="00820E73"/>
    <w:rsid w:val="00820E99"/>
    <w:rsid w:val="00820EBD"/>
    <w:rsid w:val="00820EC0"/>
    <w:rsid w:val="00820EE7"/>
    <w:rsid w:val="00820EF5"/>
    <w:rsid w:val="00820F14"/>
    <w:rsid w:val="00820F15"/>
    <w:rsid w:val="00820F25"/>
    <w:rsid w:val="00820FB3"/>
    <w:rsid w:val="00820FBE"/>
    <w:rsid w:val="00820FC5"/>
    <w:rsid w:val="00820FDD"/>
    <w:rsid w:val="00821014"/>
    <w:rsid w:val="0082101F"/>
    <w:rsid w:val="0082104F"/>
    <w:rsid w:val="0082106E"/>
    <w:rsid w:val="00821085"/>
    <w:rsid w:val="0082109B"/>
    <w:rsid w:val="008210A1"/>
    <w:rsid w:val="008210C2"/>
    <w:rsid w:val="00821120"/>
    <w:rsid w:val="00821167"/>
    <w:rsid w:val="008211B7"/>
    <w:rsid w:val="00821201"/>
    <w:rsid w:val="0082122B"/>
    <w:rsid w:val="00821236"/>
    <w:rsid w:val="00821266"/>
    <w:rsid w:val="00821284"/>
    <w:rsid w:val="008212D5"/>
    <w:rsid w:val="0082132D"/>
    <w:rsid w:val="0082132E"/>
    <w:rsid w:val="00821372"/>
    <w:rsid w:val="00821375"/>
    <w:rsid w:val="008213CE"/>
    <w:rsid w:val="0082141F"/>
    <w:rsid w:val="00821446"/>
    <w:rsid w:val="00821450"/>
    <w:rsid w:val="00821494"/>
    <w:rsid w:val="008214A3"/>
    <w:rsid w:val="008214A9"/>
    <w:rsid w:val="008214C6"/>
    <w:rsid w:val="0082159D"/>
    <w:rsid w:val="008215AE"/>
    <w:rsid w:val="008215BD"/>
    <w:rsid w:val="008215BF"/>
    <w:rsid w:val="00821622"/>
    <w:rsid w:val="00821662"/>
    <w:rsid w:val="00821692"/>
    <w:rsid w:val="00821695"/>
    <w:rsid w:val="008216BC"/>
    <w:rsid w:val="008216C1"/>
    <w:rsid w:val="008216F3"/>
    <w:rsid w:val="00821795"/>
    <w:rsid w:val="008217BD"/>
    <w:rsid w:val="008217FE"/>
    <w:rsid w:val="00821841"/>
    <w:rsid w:val="00821843"/>
    <w:rsid w:val="0082185C"/>
    <w:rsid w:val="00821874"/>
    <w:rsid w:val="00821883"/>
    <w:rsid w:val="00821896"/>
    <w:rsid w:val="008218D6"/>
    <w:rsid w:val="008218DD"/>
    <w:rsid w:val="00821927"/>
    <w:rsid w:val="0082193A"/>
    <w:rsid w:val="00821964"/>
    <w:rsid w:val="008219A2"/>
    <w:rsid w:val="008219AA"/>
    <w:rsid w:val="008219D0"/>
    <w:rsid w:val="008219F6"/>
    <w:rsid w:val="00821A14"/>
    <w:rsid w:val="00821A5D"/>
    <w:rsid w:val="00821AA9"/>
    <w:rsid w:val="00821AFF"/>
    <w:rsid w:val="00821B33"/>
    <w:rsid w:val="00821B3D"/>
    <w:rsid w:val="00821B6A"/>
    <w:rsid w:val="00821B9F"/>
    <w:rsid w:val="00821BCF"/>
    <w:rsid w:val="00821C01"/>
    <w:rsid w:val="00821C2D"/>
    <w:rsid w:val="00821C38"/>
    <w:rsid w:val="00821C41"/>
    <w:rsid w:val="00821C60"/>
    <w:rsid w:val="00821CA7"/>
    <w:rsid w:val="00821CA9"/>
    <w:rsid w:val="00821CE6"/>
    <w:rsid w:val="00821CE9"/>
    <w:rsid w:val="00821CFC"/>
    <w:rsid w:val="00821D0E"/>
    <w:rsid w:val="00821D39"/>
    <w:rsid w:val="00821D6F"/>
    <w:rsid w:val="00821D73"/>
    <w:rsid w:val="00821DB6"/>
    <w:rsid w:val="00821DF6"/>
    <w:rsid w:val="00821E31"/>
    <w:rsid w:val="00821E40"/>
    <w:rsid w:val="00821E5D"/>
    <w:rsid w:val="00821E8B"/>
    <w:rsid w:val="00821EB4"/>
    <w:rsid w:val="00821F2C"/>
    <w:rsid w:val="00821F2D"/>
    <w:rsid w:val="00821F5A"/>
    <w:rsid w:val="00821F77"/>
    <w:rsid w:val="00821F8E"/>
    <w:rsid w:val="0082204A"/>
    <w:rsid w:val="00822052"/>
    <w:rsid w:val="00822065"/>
    <w:rsid w:val="00822069"/>
    <w:rsid w:val="00822084"/>
    <w:rsid w:val="0082209C"/>
    <w:rsid w:val="008220F7"/>
    <w:rsid w:val="00822119"/>
    <w:rsid w:val="0082217E"/>
    <w:rsid w:val="008221F6"/>
    <w:rsid w:val="0082220E"/>
    <w:rsid w:val="00822240"/>
    <w:rsid w:val="00822254"/>
    <w:rsid w:val="008222A7"/>
    <w:rsid w:val="008222B1"/>
    <w:rsid w:val="008222F7"/>
    <w:rsid w:val="008222FC"/>
    <w:rsid w:val="008222FF"/>
    <w:rsid w:val="00822399"/>
    <w:rsid w:val="008223FC"/>
    <w:rsid w:val="00822400"/>
    <w:rsid w:val="00822416"/>
    <w:rsid w:val="00822436"/>
    <w:rsid w:val="00822497"/>
    <w:rsid w:val="008224A2"/>
    <w:rsid w:val="008224B9"/>
    <w:rsid w:val="00822510"/>
    <w:rsid w:val="0082252A"/>
    <w:rsid w:val="0082253C"/>
    <w:rsid w:val="008225AE"/>
    <w:rsid w:val="00822635"/>
    <w:rsid w:val="00822649"/>
    <w:rsid w:val="00822652"/>
    <w:rsid w:val="00822683"/>
    <w:rsid w:val="00822728"/>
    <w:rsid w:val="0082273B"/>
    <w:rsid w:val="00822745"/>
    <w:rsid w:val="00822768"/>
    <w:rsid w:val="0082276F"/>
    <w:rsid w:val="0082278F"/>
    <w:rsid w:val="008227C7"/>
    <w:rsid w:val="008227CC"/>
    <w:rsid w:val="008227ED"/>
    <w:rsid w:val="0082281B"/>
    <w:rsid w:val="00822857"/>
    <w:rsid w:val="00822897"/>
    <w:rsid w:val="00822924"/>
    <w:rsid w:val="00822928"/>
    <w:rsid w:val="008229D5"/>
    <w:rsid w:val="008229D7"/>
    <w:rsid w:val="008229F4"/>
    <w:rsid w:val="008229FE"/>
    <w:rsid w:val="00822A91"/>
    <w:rsid w:val="00822ABA"/>
    <w:rsid w:val="00822AC0"/>
    <w:rsid w:val="00822AC6"/>
    <w:rsid w:val="00822ADC"/>
    <w:rsid w:val="00822AFC"/>
    <w:rsid w:val="00822B38"/>
    <w:rsid w:val="00822B7E"/>
    <w:rsid w:val="00822BAA"/>
    <w:rsid w:val="00822BCA"/>
    <w:rsid w:val="00822BCC"/>
    <w:rsid w:val="00822C6E"/>
    <w:rsid w:val="00822CBA"/>
    <w:rsid w:val="00822D03"/>
    <w:rsid w:val="00822D19"/>
    <w:rsid w:val="00822D27"/>
    <w:rsid w:val="00822D94"/>
    <w:rsid w:val="00822DD8"/>
    <w:rsid w:val="00822DFB"/>
    <w:rsid w:val="00822E51"/>
    <w:rsid w:val="00822E5F"/>
    <w:rsid w:val="00822E67"/>
    <w:rsid w:val="00822E9B"/>
    <w:rsid w:val="00822EC8"/>
    <w:rsid w:val="00822F0E"/>
    <w:rsid w:val="00822F28"/>
    <w:rsid w:val="00822F34"/>
    <w:rsid w:val="00823027"/>
    <w:rsid w:val="00823099"/>
    <w:rsid w:val="008230B2"/>
    <w:rsid w:val="008230DF"/>
    <w:rsid w:val="008230EF"/>
    <w:rsid w:val="008230F8"/>
    <w:rsid w:val="00823137"/>
    <w:rsid w:val="00823145"/>
    <w:rsid w:val="0082315B"/>
    <w:rsid w:val="0082316D"/>
    <w:rsid w:val="0082316E"/>
    <w:rsid w:val="008231A1"/>
    <w:rsid w:val="008231E7"/>
    <w:rsid w:val="008231EB"/>
    <w:rsid w:val="00823224"/>
    <w:rsid w:val="0082322B"/>
    <w:rsid w:val="00823235"/>
    <w:rsid w:val="00823261"/>
    <w:rsid w:val="00823281"/>
    <w:rsid w:val="0082328A"/>
    <w:rsid w:val="0082328B"/>
    <w:rsid w:val="008232CD"/>
    <w:rsid w:val="0082331B"/>
    <w:rsid w:val="0082333E"/>
    <w:rsid w:val="008233AC"/>
    <w:rsid w:val="008233CF"/>
    <w:rsid w:val="00823414"/>
    <w:rsid w:val="0082342E"/>
    <w:rsid w:val="0082348D"/>
    <w:rsid w:val="008234A4"/>
    <w:rsid w:val="008234A8"/>
    <w:rsid w:val="008234C0"/>
    <w:rsid w:val="008234C4"/>
    <w:rsid w:val="0082357B"/>
    <w:rsid w:val="00823598"/>
    <w:rsid w:val="00823645"/>
    <w:rsid w:val="0082364C"/>
    <w:rsid w:val="0082366E"/>
    <w:rsid w:val="008236AF"/>
    <w:rsid w:val="008236C8"/>
    <w:rsid w:val="008236CD"/>
    <w:rsid w:val="008236DF"/>
    <w:rsid w:val="0082373F"/>
    <w:rsid w:val="0082377E"/>
    <w:rsid w:val="00823789"/>
    <w:rsid w:val="0082378C"/>
    <w:rsid w:val="008237B4"/>
    <w:rsid w:val="008237B5"/>
    <w:rsid w:val="008237F5"/>
    <w:rsid w:val="0082382A"/>
    <w:rsid w:val="00823866"/>
    <w:rsid w:val="00823948"/>
    <w:rsid w:val="0082398D"/>
    <w:rsid w:val="00823A6B"/>
    <w:rsid w:val="00823A7D"/>
    <w:rsid w:val="00823A97"/>
    <w:rsid w:val="00823AFD"/>
    <w:rsid w:val="00823B4C"/>
    <w:rsid w:val="00823B4F"/>
    <w:rsid w:val="00823B7A"/>
    <w:rsid w:val="00823B7B"/>
    <w:rsid w:val="00823B92"/>
    <w:rsid w:val="00823BF1"/>
    <w:rsid w:val="00823BF5"/>
    <w:rsid w:val="00823BF7"/>
    <w:rsid w:val="00823C14"/>
    <w:rsid w:val="00823C2B"/>
    <w:rsid w:val="00823C37"/>
    <w:rsid w:val="00823C6A"/>
    <w:rsid w:val="00823C71"/>
    <w:rsid w:val="00823C73"/>
    <w:rsid w:val="00823D0A"/>
    <w:rsid w:val="00823D19"/>
    <w:rsid w:val="00823D9B"/>
    <w:rsid w:val="00823DA6"/>
    <w:rsid w:val="00823DDC"/>
    <w:rsid w:val="00823DEE"/>
    <w:rsid w:val="00823EC9"/>
    <w:rsid w:val="00823ECE"/>
    <w:rsid w:val="00823ED2"/>
    <w:rsid w:val="00823EF6"/>
    <w:rsid w:val="00823F29"/>
    <w:rsid w:val="00823F3E"/>
    <w:rsid w:val="00823F4A"/>
    <w:rsid w:val="00823F54"/>
    <w:rsid w:val="00823F58"/>
    <w:rsid w:val="00823F80"/>
    <w:rsid w:val="00823F8A"/>
    <w:rsid w:val="00823FED"/>
    <w:rsid w:val="00824055"/>
    <w:rsid w:val="00824094"/>
    <w:rsid w:val="0082409E"/>
    <w:rsid w:val="008240A1"/>
    <w:rsid w:val="008240B3"/>
    <w:rsid w:val="008240D7"/>
    <w:rsid w:val="00824159"/>
    <w:rsid w:val="0082419B"/>
    <w:rsid w:val="008241A4"/>
    <w:rsid w:val="0082420F"/>
    <w:rsid w:val="00824231"/>
    <w:rsid w:val="00824242"/>
    <w:rsid w:val="00824268"/>
    <w:rsid w:val="008242B9"/>
    <w:rsid w:val="008242D5"/>
    <w:rsid w:val="00824324"/>
    <w:rsid w:val="00824329"/>
    <w:rsid w:val="00824332"/>
    <w:rsid w:val="00824349"/>
    <w:rsid w:val="00824353"/>
    <w:rsid w:val="00824358"/>
    <w:rsid w:val="0082435C"/>
    <w:rsid w:val="008243BD"/>
    <w:rsid w:val="008243E7"/>
    <w:rsid w:val="0082440C"/>
    <w:rsid w:val="0082440D"/>
    <w:rsid w:val="0082440F"/>
    <w:rsid w:val="00824420"/>
    <w:rsid w:val="00824434"/>
    <w:rsid w:val="0082447B"/>
    <w:rsid w:val="008245A4"/>
    <w:rsid w:val="008245D8"/>
    <w:rsid w:val="00824648"/>
    <w:rsid w:val="00824698"/>
    <w:rsid w:val="008246E1"/>
    <w:rsid w:val="008246E4"/>
    <w:rsid w:val="00824703"/>
    <w:rsid w:val="00824710"/>
    <w:rsid w:val="00824774"/>
    <w:rsid w:val="0082479B"/>
    <w:rsid w:val="008247CD"/>
    <w:rsid w:val="008247F1"/>
    <w:rsid w:val="008247FE"/>
    <w:rsid w:val="0082481E"/>
    <w:rsid w:val="00824825"/>
    <w:rsid w:val="00824828"/>
    <w:rsid w:val="008248A0"/>
    <w:rsid w:val="008248A3"/>
    <w:rsid w:val="008248C1"/>
    <w:rsid w:val="00824939"/>
    <w:rsid w:val="00824959"/>
    <w:rsid w:val="008249B1"/>
    <w:rsid w:val="008249F0"/>
    <w:rsid w:val="00824A47"/>
    <w:rsid w:val="00824B09"/>
    <w:rsid w:val="00824B22"/>
    <w:rsid w:val="00824B46"/>
    <w:rsid w:val="00824B4F"/>
    <w:rsid w:val="00824B80"/>
    <w:rsid w:val="00824BAF"/>
    <w:rsid w:val="00824C0F"/>
    <w:rsid w:val="00824C23"/>
    <w:rsid w:val="00824C41"/>
    <w:rsid w:val="00824C56"/>
    <w:rsid w:val="00824C5E"/>
    <w:rsid w:val="00824C63"/>
    <w:rsid w:val="00824C76"/>
    <w:rsid w:val="00824C7B"/>
    <w:rsid w:val="00824D0F"/>
    <w:rsid w:val="00824D18"/>
    <w:rsid w:val="00824D21"/>
    <w:rsid w:val="00824D70"/>
    <w:rsid w:val="00824D9C"/>
    <w:rsid w:val="00824D9D"/>
    <w:rsid w:val="00824DC1"/>
    <w:rsid w:val="00824E28"/>
    <w:rsid w:val="00824E35"/>
    <w:rsid w:val="00824E46"/>
    <w:rsid w:val="00824E53"/>
    <w:rsid w:val="00824E82"/>
    <w:rsid w:val="00824EC4"/>
    <w:rsid w:val="00824F80"/>
    <w:rsid w:val="00824F96"/>
    <w:rsid w:val="00824FE4"/>
    <w:rsid w:val="00824FEC"/>
    <w:rsid w:val="00825021"/>
    <w:rsid w:val="0082502E"/>
    <w:rsid w:val="00825065"/>
    <w:rsid w:val="0082506A"/>
    <w:rsid w:val="0082506B"/>
    <w:rsid w:val="00825079"/>
    <w:rsid w:val="008250C2"/>
    <w:rsid w:val="008250C5"/>
    <w:rsid w:val="008250EE"/>
    <w:rsid w:val="00825122"/>
    <w:rsid w:val="00825129"/>
    <w:rsid w:val="0082518C"/>
    <w:rsid w:val="008251B5"/>
    <w:rsid w:val="008251E8"/>
    <w:rsid w:val="00825244"/>
    <w:rsid w:val="008252BF"/>
    <w:rsid w:val="008252D2"/>
    <w:rsid w:val="008252E5"/>
    <w:rsid w:val="0082533A"/>
    <w:rsid w:val="008253A7"/>
    <w:rsid w:val="008253AA"/>
    <w:rsid w:val="008253BC"/>
    <w:rsid w:val="008253C3"/>
    <w:rsid w:val="008253C5"/>
    <w:rsid w:val="008253E6"/>
    <w:rsid w:val="008253FB"/>
    <w:rsid w:val="00825407"/>
    <w:rsid w:val="00825435"/>
    <w:rsid w:val="00825454"/>
    <w:rsid w:val="0082548C"/>
    <w:rsid w:val="008254C3"/>
    <w:rsid w:val="00825538"/>
    <w:rsid w:val="0082553C"/>
    <w:rsid w:val="00825543"/>
    <w:rsid w:val="0082555E"/>
    <w:rsid w:val="00825566"/>
    <w:rsid w:val="00825570"/>
    <w:rsid w:val="008255D7"/>
    <w:rsid w:val="00825623"/>
    <w:rsid w:val="0082563B"/>
    <w:rsid w:val="00825640"/>
    <w:rsid w:val="0082567D"/>
    <w:rsid w:val="008257A0"/>
    <w:rsid w:val="008257A6"/>
    <w:rsid w:val="008257CC"/>
    <w:rsid w:val="008257E9"/>
    <w:rsid w:val="00825821"/>
    <w:rsid w:val="0082584D"/>
    <w:rsid w:val="00825889"/>
    <w:rsid w:val="00825894"/>
    <w:rsid w:val="008258A5"/>
    <w:rsid w:val="008258E0"/>
    <w:rsid w:val="008258EF"/>
    <w:rsid w:val="008258FA"/>
    <w:rsid w:val="00825933"/>
    <w:rsid w:val="00825947"/>
    <w:rsid w:val="00825976"/>
    <w:rsid w:val="008259D9"/>
    <w:rsid w:val="00825A3A"/>
    <w:rsid w:val="00825A52"/>
    <w:rsid w:val="00825A68"/>
    <w:rsid w:val="00825A69"/>
    <w:rsid w:val="00825A82"/>
    <w:rsid w:val="00825ADB"/>
    <w:rsid w:val="00825B1E"/>
    <w:rsid w:val="00825B29"/>
    <w:rsid w:val="00825B79"/>
    <w:rsid w:val="00825B9A"/>
    <w:rsid w:val="00825BD7"/>
    <w:rsid w:val="00825C06"/>
    <w:rsid w:val="00825C36"/>
    <w:rsid w:val="00825C54"/>
    <w:rsid w:val="00825CAE"/>
    <w:rsid w:val="00825CFF"/>
    <w:rsid w:val="00825D2C"/>
    <w:rsid w:val="00825D6C"/>
    <w:rsid w:val="00825D70"/>
    <w:rsid w:val="00825DC0"/>
    <w:rsid w:val="00825DF5"/>
    <w:rsid w:val="00825E2A"/>
    <w:rsid w:val="00825E5C"/>
    <w:rsid w:val="00825EA2"/>
    <w:rsid w:val="00825F0A"/>
    <w:rsid w:val="00825F53"/>
    <w:rsid w:val="00825F5D"/>
    <w:rsid w:val="00825F5F"/>
    <w:rsid w:val="00825F9D"/>
    <w:rsid w:val="00825FC5"/>
    <w:rsid w:val="00826024"/>
    <w:rsid w:val="008260E3"/>
    <w:rsid w:val="0082613E"/>
    <w:rsid w:val="00826165"/>
    <w:rsid w:val="0082621D"/>
    <w:rsid w:val="00826222"/>
    <w:rsid w:val="008262C0"/>
    <w:rsid w:val="008262E1"/>
    <w:rsid w:val="0082635C"/>
    <w:rsid w:val="0082638E"/>
    <w:rsid w:val="008263ED"/>
    <w:rsid w:val="008263FC"/>
    <w:rsid w:val="00826407"/>
    <w:rsid w:val="0082641A"/>
    <w:rsid w:val="00826423"/>
    <w:rsid w:val="00826466"/>
    <w:rsid w:val="00826479"/>
    <w:rsid w:val="008264B5"/>
    <w:rsid w:val="008264BD"/>
    <w:rsid w:val="00826500"/>
    <w:rsid w:val="00826542"/>
    <w:rsid w:val="00826556"/>
    <w:rsid w:val="00826587"/>
    <w:rsid w:val="00826630"/>
    <w:rsid w:val="0082666E"/>
    <w:rsid w:val="008266B6"/>
    <w:rsid w:val="008266F1"/>
    <w:rsid w:val="00826760"/>
    <w:rsid w:val="00826786"/>
    <w:rsid w:val="00826792"/>
    <w:rsid w:val="008267B3"/>
    <w:rsid w:val="008267E9"/>
    <w:rsid w:val="00826802"/>
    <w:rsid w:val="0082682A"/>
    <w:rsid w:val="0082689D"/>
    <w:rsid w:val="008268DE"/>
    <w:rsid w:val="008268E2"/>
    <w:rsid w:val="00826954"/>
    <w:rsid w:val="00826956"/>
    <w:rsid w:val="0082698C"/>
    <w:rsid w:val="008269A4"/>
    <w:rsid w:val="008269D3"/>
    <w:rsid w:val="00826A17"/>
    <w:rsid w:val="00826A1E"/>
    <w:rsid w:val="00826AD9"/>
    <w:rsid w:val="00826ADB"/>
    <w:rsid w:val="00826B09"/>
    <w:rsid w:val="00826B1E"/>
    <w:rsid w:val="00826B7D"/>
    <w:rsid w:val="00826BBA"/>
    <w:rsid w:val="00826BD2"/>
    <w:rsid w:val="00826C90"/>
    <w:rsid w:val="00826CDC"/>
    <w:rsid w:val="00826D29"/>
    <w:rsid w:val="00826D40"/>
    <w:rsid w:val="00826D4C"/>
    <w:rsid w:val="00826D7A"/>
    <w:rsid w:val="00826D82"/>
    <w:rsid w:val="00826D86"/>
    <w:rsid w:val="00826DD0"/>
    <w:rsid w:val="00826DEF"/>
    <w:rsid w:val="00826E50"/>
    <w:rsid w:val="00826E5C"/>
    <w:rsid w:val="00826E87"/>
    <w:rsid w:val="00826E9C"/>
    <w:rsid w:val="00826EC9"/>
    <w:rsid w:val="00826EED"/>
    <w:rsid w:val="00826F52"/>
    <w:rsid w:val="00826F8F"/>
    <w:rsid w:val="00826F98"/>
    <w:rsid w:val="00826FA2"/>
    <w:rsid w:val="00826FE9"/>
    <w:rsid w:val="00827031"/>
    <w:rsid w:val="0082704E"/>
    <w:rsid w:val="008270C9"/>
    <w:rsid w:val="0082712D"/>
    <w:rsid w:val="00827142"/>
    <w:rsid w:val="00827164"/>
    <w:rsid w:val="008271C9"/>
    <w:rsid w:val="008271EA"/>
    <w:rsid w:val="008271FF"/>
    <w:rsid w:val="0082725B"/>
    <w:rsid w:val="00827271"/>
    <w:rsid w:val="008272B6"/>
    <w:rsid w:val="008272EC"/>
    <w:rsid w:val="0082734D"/>
    <w:rsid w:val="00827354"/>
    <w:rsid w:val="008273BC"/>
    <w:rsid w:val="0082742E"/>
    <w:rsid w:val="00827452"/>
    <w:rsid w:val="0082745C"/>
    <w:rsid w:val="00827490"/>
    <w:rsid w:val="00827499"/>
    <w:rsid w:val="008274B1"/>
    <w:rsid w:val="008274DF"/>
    <w:rsid w:val="008274EB"/>
    <w:rsid w:val="008274F0"/>
    <w:rsid w:val="00827504"/>
    <w:rsid w:val="00827519"/>
    <w:rsid w:val="0082751D"/>
    <w:rsid w:val="00827578"/>
    <w:rsid w:val="008275C6"/>
    <w:rsid w:val="008275D3"/>
    <w:rsid w:val="008275FE"/>
    <w:rsid w:val="0082761F"/>
    <w:rsid w:val="0082762F"/>
    <w:rsid w:val="00827647"/>
    <w:rsid w:val="0082764A"/>
    <w:rsid w:val="008276A1"/>
    <w:rsid w:val="008276C6"/>
    <w:rsid w:val="008276CC"/>
    <w:rsid w:val="008276FC"/>
    <w:rsid w:val="00827752"/>
    <w:rsid w:val="008277B3"/>
    <w:rsid w:val="008277DF"/>
    <w:rsid w:val="00827806"/>
    <w:rsid w:val="00827808"/>
    <w:rsid w:val="00827837"/>
    <w:rsid w:val="00827848"/>
    <w:rsid w:val="0082787E"/>
    <w:rsid w:val="0082789D"/>
    <w:rsid w:val="008278A0"/>
    <w:rsid w:val="008278A9"/>
    <w:rsid w:val="008278B3"/>
    <w:rsid w:val="0082793A"/>
    <w:rsid w:val="008279D4"/>
    <w:rsid w:val="008279F0"/>
    <w:rsid w:val="008279F1"/>
    <w:rsid w:val="00827A3D"/>
    <w:rsid w:val="00827A70"/>
    <w:rsid w:val="00827AE4"/>
    <w:rsid w:val="00827AFD"/>
    <w:rsid w:val="00827B32"/>
    <w:rsid w:val="00827B8B"/>
    <w:rsid w:val="00827BC9"/>
    <w:rsid w:val="00827C96"/>
    <w:rsid w:val="00827C9C"/>
    <w:rsid w:val="00827CBD"/>
    <w:rsid w:val="00827D1C"/>
    <w:rsid w:val="00827D3B"/>
    <w:rsid w:val="00827DAC"/>
    <w:rsid w:val="00827DF6"/>
    <w:rsid w:val="00827E0C"/>
    <w:rsid w:val="00827E16"/>
    <w:rsid w:val="00827E33"/>
    <w:rsid w:val="00827E71"/>
    <w:rsid w:val="00827EA8"/>
    <w:rsid w:val="00827EFC"/>
    <w:rsid w:val="00827F87"/>
    <w:rsid w:val="00827FFA"/>
    <w:rsid w:val="0083001B"/>
    <w:rsid w:val="00830045"/>
    <w:rsid w:val="00830046"/>
    <w:rsid w:val="008300A4"/>
    <w:rsid w:val="008300F4"/>
    <w:rsid w:val="00830143"/>
    <w:rsid w:val="00830163"/>
    <w:rsid w:val="00830168"/>
    <w:rsid w:val="00830185"/>
    <w:rsid w:val="0083019F"/>
    <w:rsid w:val="008301C1"/>
    <w:rsid w:val="008301CF"/>
    <w:rsid w:val="008301E1"/>
    <w:rsid w:val="00830214"/>
    <w:rsid w:val="00830253"/>
    <w:rsid w:val="0083025A"/>
    <w:rsid w:val="0083025E"/>
    <w:rsid w:val="0083027E"/>
    <w:rsid w:val="0083029C"/>
    <w:rsid w:val="008302C4"/>
    <w:rsid w:val="008302D0"/>
    <w:rsid w:val="008302F3"/>
    <w:rsid w:val="00830314"/>
    <w:rsid w:val="0083031C"/>
    <w:rsid w:val="0083035A"/>
    <w:rsid w:val="00830374"/>
    <w:rsid w:val="0083039D"/>
    <w:rsid w:val="008303BA"/>
    <w:rsid w:val="008303D2"/>
    <w:rsid w:val="00830412"/>
    <w:rsid w:val="00830419"/>
    <w:rsid w:val="00830421"/>
    <w:rsid w:val="00830458"/>
    <w:rsid w:val="00830474"/>
    <w:rsid w:val="0083047A"/>
    <w:rsid w:val="008304A4"/>
    <w:rsid w:val="008304CF"/>
    <w:rsid w:val="008304D7"/>
    <w:rsid w:val="00830534"/>
    <w:rsid w:val="00830545"/>
    <w:rsid w:val="00830572"/>
    <w:rsid w:val="00830586"/>
    <w:rsid w:val="008305A7"/>
    <w:rsid w:val="008305C6"/>
    <w:rsid w:val="008305D7"/>
    <w:rsid w:val="00830604"/>
    <w:rsid w:val="0083060F"/>
    <w:rsid w:val="00830610"/>
    <w:rsid w:val="00830611"/>
    <w:rsid w:val="00830626"/>
    <w:rsid w:val="00830628"/>
    <w:rsid w:val="00830629"/>
    <w:rsid w:val="0083065E"/>
    <w:rsid w:val="00830668"/>
    <w:rsid w:val="0083067B"/>
    <w:rsid w:val="0083068D"/>
    <w:rsid w:val="008306AE"/>
    <w:rsid w:val="008306BE"/>
    <w:rsid w:val="00830720"/>
    <w:rsid w:val="00830778"/>
    <w:rsid w:val="0083079B"/>
    <w:rsid w:val="0083079D"/>
    <w:rsid w:val="008307B1"/>
    <w:rsid w:val="008307E3"/>
    <w:rsid w:val="008307FA"/>
    <w:rsid w:val="0083082E"/>
    <w:rsid w:val="0083088D"/>
    <w:rsid w:val="008308B5"/>
    <w:rsid w:val="008308BB"/>
    <w:rsid w:val="008308BD"/>
    <w:rsid w:val="008308CE"/>
    <w:rsid w:val="008308D8"/>
    <w:rsid w:val="008308F8"/>
    <w:rsid w:val="008309B4"/>
    <w:rsid w:val="00830A19"/>
    <w:rsid w:val="00830A61"/>
    <w:rsid w:val="00830AD6"/>
    <w:rsid w:val="00830ADE"/>
    <w:rsid w:val="00830B02"/>
    <w:rsid w:val="00830B0B"/>
    <w:rsid w:val="00830B1D"/>
    <w:rsid w:val="00830B2A"/>
    <w:rsid w:val="00830B38"/>
    <w:rsid w:val="00830BE9"/>
    <w:rsid w:val="00830BF8"/>
    <w:rsid w:val="00830BFB"/>
    <w:rsid w:val="00830C3E"/>
    <w:rsid w:val="00830C55"/>
    <w:rsid w:val="00830C57"/>
    <w:rsid w:val="00830C72"/>
    <w:rsid w:val="00830CA5"/>
    <w:rsid w:val="00830CC7"/>
    <w:rsid w:val="00830CDE"/>
    <w:rsid w:val="00830CEB"/>
    <w:rsid w:val="00830D08"/>
    <w:rsid w:val="00830D10"/>
    <w:rsid w:val="00830DA2"/>
    <w:rsid w:val="00830DE3"/>
    <w:rsid w:val="00830DF9"/>
    <w:rsid w:val="00830E4F"/>
    <w:rsid w:val="00830E5D"/>
    <w:rsid w:val="00830EA1"/>
    <w:rsid w:val="00830F1D"/>
    <w:rsid w:val="00830F3A"/>
    <w:rsid w:val="00830F8E"/>
    <w:rsid w:val="00830F97"/>
    <w:rsid w:val="00830FC4"/>
    <w:rsid w:val="0083106A"/>
    <w:rsid w:val="0083108F"/>
    <w:rsid w:val="008310C3"/>
    <w:rsid w:val="0083110C"/>
    <w:rsid w:val="00831156"/>
    <w:rsid w:val="00831165"/>
    <w:rsid w:val="0083116C"/>
    <w:rsid w:val="008311CC"/>
    <w:rsid w:val="008311ED"/>
    <w:rsid w:val="00831224"/>
    <w:rsid w:val="00831279"/>
    <w:rsid w:val="008312AC"/>
    <w:rsid w:val="008312C0"/>
    <w:rsid w:val="008312FD"/>
    <w:rsid w:val="00831304"/>
    <w:rsid w:val="00831309"/>
    <w:rsid w:val="00831364"/>
    <w:rsid w:val="00831367"/>
    <w:rsid w:val="0083138A"/>
    <w:rsid w:val="00831398"/>
    <w:rsid w:val="0083139C"/>
    <w:rsid w:val="008313D2"/>
    <w:rsid w:val="008313F7"/>
    <w:rsid w:val="00831458"/>
    <w:rsid w:val="00831485"/>
    <w:rsid w:val="008314B1"/>
    <w:rsid w:val="008314FF"/>
    <w:rsid w:val="0083158F"/>
    <w:rsid w:val="008315A2"/>
    <w:rsid w:val="008315E9"/>
    <w:rsid w:val="00831670"/>
    <w:rsid w:val="00831681"/>
    <w:rsid w:val="008316BA"/>
    <w:rsid w:val="008316DD"/>
    <w:rsid w:val="008316E8"/>
    <w:rsid w:val="00831719"/>
    <w:rsid w:val="00831799"/>
    <w:rsid w:val="008317AF"/>
    <w:rsid w:val="008317C2"/>
    <w:rsid w:val="0083186C"/>
    <w:rsid w:val="008318A5"/>
    <w:rsid w:val="008318C3"/>
    <w:rsid w:val="008318D5"/>
    <w:rsid w:val="008318D8"/>
    <w:rsid w:val="008318F2"/>
    <w:rsid w:val="0083190C"/>
    <w:rsid w:val="00831931"/>
    <w:rsid w:val="00831938"/>
    <w:rsid w:val="0083194F"/>
    <w:rsid w:val="00831950"/>
    <w:rsid w:val="0083198B"/>
    <w:rsid w:val="00831A05"/>
    <w:rsid w:val="00831A42"/>
    <w:rsid w:val="00831A4A"/>
    <w:rsid w:val="00831A6B"/>
    <w:rsid w:val="00831AF0"/>
    <w:rsid w:val="00831B28"/>
    <w:rsid w:val="00831B96"/>
    <w:rsid w:val="00831BB7"/>
    <w:rsid w:val="00831BD0"/>
    <w:rsid w:val="00831C33"/>
    <w:rsid w:val="00831C41"/>
    <w:rsid w:val="00831C7E"/>
    <w:rsid w:val="00831C9F"/>
    <w:rsid w:val="00831CB3"/>
    <w:rsid w:val="00831CBF"/>
    <w:rsid w:val="00831CEA"/>
    <w:rsid w:val="00831CF5"/>
    <w:rsid w:val="00831D4D"/>
    <w:rsid w:val="00831D59"/>
    <w:rsid w:val="00831D8E"/>
    <w:rsid w:val="00831DBA"/>
    <w:rsid w:val="00831DC5"/>
    <w:rsid w:val="00831E3C"/>
    <w:rsid w:val="00831E5E"/>
    <w:rsid w:val="00831E61"/>
    <w:rsid w:val="00831E8E"/>
    <w:rsid w:val="00831EEE"/>
    <w:rsid w:val="00831F35"/>
    <w:rsid w:val="00831F4F"/>
    <w:rsid w:val="00831FE2"/>
    <w:rsid w:val="00831FF3"/>
    <w:rsid w:val="00832016"/>
    <w:rsid w:val="0083201C"/>
    <w:rsid w:val="00832021"/>
    <w:rsid w:val="00832040"/>
    <w:rsid w:val="00832083"/>
    <w:rsid w:val="00832108"/>
    <w:rsid w:val="00832120"/>
    <w:rsid w:val="0083218F"/>
    <w:rsid w:val="008321A0"/>
    <w:rsid w:val="008321B9"/>
    <w:rsid w:val="0083223A"/>
    <w:rsid w:val="00832290"/>
    <w:rsid w:val="008322B8"/>
    <w:rsid w:val="008322D8"/>
    <w:rsid w:val="00832312"/>
    <w:rsid w:val="00832326"/>
    <w:rsid w:val="0083232F"/>
    <w:rsid w:val="00832386"/>
    <w:rsid w:val="0083238B"/>
    <w:rsid w:val="008323E2"/>
    <w:rsid w:val="008323FA"/>
    <w:rsid w:val="00832440"/>
    <w:rsid w:val="008324C3"/>
    <w:rsid w:val="008324D9"/>
    <w:rsid w:val="00832548"/>
    <w:rsid w:val="00832560"/>
    <w:rsid w:val="0083256B"/>
    <w:rsid w:val="0083259B"/>
    <w:rsid w:val="008325CA"/>
    <w:rsid w:val="00832629"/>
    <w:rsid w:val="00832634"/>
    <w:rsid w:val="0083263A"/>
    <w:rsid w:val="0083266F"/>
    <w:rsid w:val="00832675"/>
    <w:rsid w:val="0083267D"/>
    <w:rsid w:val="008326B1"/>
    <w:rsid w:val="008327D9"/>
    <w:rsid w:val="008327DC"/>
    <w:rsid w:val="00832838"/>
    <w:rsid w:val="00832857"/>
    <w:rsid w:val="00832859"/>
    <w:rsid w:val="00832920"/>
    <w:rsid w:val="00832928"/>
    <w:rsid w:val="008329A4"/>
    <w:rsid w:val="008329D7"/>
    <w:rsid w:val="00832A3A"/>
    <w:rsid w:val="00832A7A"/>
    <w:rsid w:val="00832AED"/>
    <w:rsid w:val="00832B45"/>
    <w:rsid w:val="00832B64"/>
    <w:rsid w:val="00832B83"/>
    <w:rsid w:val="00832B94"/>
    <w:rsid w:val="00832BAB"/>
    <w:rsid w:val="00832BB0"/>
    <w:rsid w:val="00832C06"/>
    <w:rsid w:val="00832C08"/>
    <w:rsid w:val="00832C11"/>
    <w:rsid w:val="00832C5F"/>
    <w:rsid w:val="00832C61"/>
    <w:rsid w:val="00832C70"/>
    <w:rsid w:val="00832C72"/>
    <w:rsid w:val="00832C73"/>
    <w:rsid w:val="00832CB4"/>
    <w:rsid w:val="00832D41"/>
    <w:rsid w:val="00832D76"/>
    <w:rsid w:val="00832D88"/>
    <w:rsid w:val="00832DE8"/>
    <w:rsid w:val="00832DEC"/>
    <w:rsid w:val="00832DF7"/>
    <w:rsid w:val="00832E55"/>
    <w:rsid w:val="00832E5F"/>
    <w:rsid w:val="00832E9B"/>
    <w:rsid w:val="00832E9E"/>
    <w:rsid w:val="00832EB5"/>
    <w:rsid w:val="00832EC2"/>
    <w:rsid w:val="00832F11"/>
    <w:rsid w:val="00832F30"/>
    <w:rsid w:val="00832F4A"/>
    <w:rsid w:val="00832F61"/>
    <w:rsid w:val="00832F6D"/>
    <w:rsid w:val="00832F9D"/>
    <w:rsid w:val="00832FB7"/>
    <w:rsid w:val="00832FB8"/>
    <w:rsid w:val="00832FD5"/>
    <w:rsid w:val="00832FE5"/>
    <w:rsid w:val="00832FE8"/>
    <w:rsid w:val="00832FFD"/>
    <w:rsid w:val="00833039"/>
    <w:rsid w:val="00833043"/>
    <w:rsid w:val="008330A2"/>
    <w:rsid w:val="00833172"/>
    <w:rsid w:val="008331C3"/>
    <w:rsid w:val="008331D5"/>
    <w:rsid w:val="008331F1"/>
    <w:rsid w:val="0083329C"/>
    <w:rsid w:val="008332BF"/>
    <w:rsid w:val="008332C3"/>
    <w:rsid w:val="008332D5"/>
    <w:rsid w:val="008332E6"/>
    <w:rsid w:val="00833319"/>
    <w:rsid w:val="0083333C"/>
    <w:rsid w:val="00833379"/>
    <w:rsid w:val="00833396"/>
    <w:rsid w:val="008333B3"/>
    <w:rsid w:val="008333F0"/>
    <w:rsid w:val="0083340C"/>
    <w:rsid w:val="0083341F"/>
    <w:rsid w:val="0083345F"/>
    <w:rsid w:val="008334B5"/>
    <w:rsid w:val="008334C1"/>
    <w:rsid w:val="008334FD"/>
    <w:rsid w:val="0083353C"/>
    <w:rsid w:val="00833597"/>
    <w:rsid w:val="00833658"/>
    <w:rsid w:val="00833693"/>
    <w:rsid w:val="008336BC"/>
    <w:rsid w:val="008336E6"/>
    <w:rsid w:val="008336EA"/>
    <w:rsid w:val="00833739"/>
    <w:rsid w:val="0083374F"/>
    <w:rsid w:val="00833784"/>
    <w:rsid w:val="008337A8"/>
    <w:rsid w:val="008337D6"/>
    <w:rsid w:val="008337D7"/>
    <w:rsid w:val="008337DF"/>
    <w:rsid w:val="00833853"/>
    <w:rsid w:val="0083386F"/>
    <w:rsid w:val="00833883"/>
    <w:rsid w:val="00833899"/>
    <w:rsid w:val="008338C6"/>
    <w:rsid w:val="008338F6"/>
    <w:rsid w:val="00833925"/>
    <w:rsid w:val="0083392F"/>
    <w:rsid w:val="00833938"/>
    <w:rsid w:val="00833985"/>
    <w:rsid w:val="008339AA"/>
    <w:rsid w:val="008339AC"/>
    <w:rsid w:val="008339BB"/>
    <w:rsid w:val="008339C6"/>
    <w:rsid w:val="008339D4"/>
    <w:rsid w:val="008339F1"/>
    <w:rsid w:val="00833A21"/>
    <w:rsid w:val="00833A37"/>
    <w:rsid w:val="00833A9C"/>
    <w:rsid w:val="00833AA0"/>
    <w:rsid w:val="00833AC2"/>
    <w:rsid w:val="00833ADF"/>
    <w:rsid w:val="00833AEB"/>
    <w:rsid w:val="00833B04"/>
    <w:rsid w:val="00833B2E"/>
    <w:rsid w:val="00833B6B"/>
    <w:rsid w:val="00833B7A"/>
    <w:rsid w:val="00833BBB"/>
    <w:rsid w:val="00833BF6"/>
    <w:rsid w:val="00833C13"/>
    <w:rsid w:val="00833C43"/>
    <w:rsid w:val="00833CCA"/>
    <w:rsid w:val="00833CD8"/>
    <w:rsid w:val="00833CE0"/>
    <w:rsid w:val="00833D1A"/>
    <w:rsid w:val="00833D27"/>
    <w:rsid w:val="00833D36"/>
    <w:rsid w:val="00833D44"/>
    <w:rsid w:val="00833D5E"/>
    <w:rsid w:val="00833D83"/>
    <w:rsid w:val="00833DC5"/>
    <w:rsid w:val="00833DD6"/>
    <w:rsid w:val="00833DE4"/>
    <w:rsid w:val="00833E7D"/>
    <w:rsid w:val="00833E8A"/>
    <w:rsid w:val="00833F4E"/>
    <w:rsid w:val="00833F5B"/>
    <w:rsid w:val="00833F6C"/>
    <w:rsid w:val="00833F8F"/>
    <w:rsid w:val="00833FB2"/>
    <w:rsid w:val="00833FBE"/>
    <w:rsid w:val="00834008"/>
    <w:rsid w:val="00834024"/>
    <w:rsid w:val="0083402F"/>
    <w:rsid w:val="00834068"/>
    <w:rsid w:val="0083406C"/>
    <w:rsid w:val="00834081"/>
    <w:rsid w:val="00834085"/>
    <w:rsid w:val="0083408B"/>
    <w:rsid w:val="008340C5"/>
    <w:rsid w:val="008340C9"/>
    <w:rsid w:val="008340DD"/>
    <w:rsid w:val="00834187"/>
    <w:rsid w:val="0083419C"/>
    <w:rsid w:val="008341AA"/>
    <w:rsid w:val="008341AC"/>
    <w:rsid w:val="008341F5"/>
    <w:rsid w:val="00834203"/>
    <w:rsid w:val="00834255"/>
    <w:rsid w:val="00834270"/>
    <w:rsid w:val="00834284"/>
    <w:rsid w:val="008342AB"/>
    <w:rsid w:val="008342E5"/>
    <w:rsid w:val="00834309"/>
    <w:rsid w:val="0083430D"/>
    <w:rsid w:val="00834318"/>
    <w:rsid w:val="0083434A"/>
    <w:rsid w:val="00834352"/>
    <w:rsid w:val="00834390"/>
    <w:rsid w:val="008343BB"/>
    <w:rsid w:val="00834426"/>
    <w:rsid w:val="0083445E"/>
    <w:rsid w:val="0083447C"/>
    <w:rsid w:val="00834490"/>
    <w:rsid w:val="008344A8"/>
    <w:rsid w:val="00834511"/>
    <w:rsid w:val="0083454F"/>
    <w:rsid w:val="00834553"/>
    <w:rsid w:val="008345D7"/>
    <w:rsid w:val="0083461D"/>
    <w:rsid w:val="0083464D"/>
    <w:rsid w:val="00834682"/>
    <w:rsid w:val="008346BF"/>
    <w:rsid w:val="0083470B"/>
    <w:rsid w:val="00834745"/>
    <w:rsid w:val="00834751"/>
    <w:rsid w:val="00834772"/>
    <w:rsid w:val="00834775"/>
    <w:rsid w:val="00834794"/>
    <w:rsid w:val="008347AD"/>
    <w:rsid w:val="008347B5"/>
    <w:rsid w:val="0083480E"/>
    <w:rsid w:val="00834814"/>
    <w:rsid w:val="00834890"/>
    <w:rsid w:val="008348E3"/>
    <w:rsid w:val="008348EF"/>
    <w:rsid w:val="00834996"/>
    <w:rsid w:val="008349B9"/>
    <w:rsid w:val="00834A50"/>
    <w:rsid w:val="00834A89"/>
    <w:rsid w:val="00834B0D"/>
    <w:rsid w:val="00834B25"/>
    <w:rsid w:val="00834B29"/>
    <w:rsid w:val="00834B58"/>
    <w:rsid w:val="00834B5B"/>
    <w:rsid w:val="00834B76"/>
    <w:rsid w:val="00834B81"/>
    <w:rsid w:val="00834B84"/>
    <w:rsid w:val="00834BE0"/>
    <w:rsid w:val="00834C12"/>
    <w:rsid w:val="00834C13"/>
    <w:rsid w:val="00834C4F"/>
    <w:rsid w:val="00834C61"/>
    <w:rsid w:val="00834CAA"/>
    <w:rsid w:val="00834CBE"/>
    <w:rsid w:val="00834CE4"/>
    <w:rsid w:val="00834CE8"/>
    <w:rsid w:val="00834D1A"/>
    <w:rsid w:val="00834D28"/>
    <w:rsid w:val="00834D2E"/>
    <w:rsid w:val="00834D6C"/>
    <w:rsid w:val="00834DC3"/>
    <w:rsid w:val="00834E3C"/>
    <w:rsid w:val="00834E69"/>
    <w:rsid w:val="00834E6F"/>
    <w:rsid w:val="00834E82"/>
    <w:rsid w:val="00834EA0"/>
    <w:rsid w:val="00834EDF"/>
    <w:rsid w:val="00834EF6"/>
    <w:rsid w:val="00834F63"/>
    <w:rsid w:val="00834F65"/>
    <w:rsid w:val="00834F8F"/>
    <w:rsid w:val="00834FD0"/>
    <w:rsid w:val="00834FD2"/>
    <w:rsid w:val="0083500A"/>
    <w:rsid w:val="00835035"/>
    <w:rsid w:val="00835062"/>
    <w:rsid w:val="0083507A"/>
    <w:rsid w:val="0083508F"/>
    <w:rsid w:val="0083509B"/>
    <w:rsid w:val="0083517F"/>
    <w:rsid w:val="008351FD"/>
    <w:rsid w:val="0083520F"/>
    <w:rsid w:val="00835227"/>
    <w:rsid w:val="00835251"/>
    <w:rsid w:val="00835259"/>
    <w:rsid w:val="008352A0"/>
    <w:rsid w:val="008352CC"/>
    <w:rsid w:val="008352DB"/>
    <w:rsid w:val="00835321"/>
    <w:rsid w:val="008353BB"/>
    <w:rsid w:val="008353E1"/>
    <w:rsid w:val="0083540B"/>
    <w:rsid w:val="00835423"/>
    <w:rsid w:val="0083545C"/>
    <w:rsid w:val="008354AC"/>
    <w:rsid w:val="008354DF"/>
    <w:rsid w:val="008354FD"/>
    <w:rsid w:val="0083554B"/>
    <w:rsid w:val="0083556F"/>
    <w:rsid w:val="00835574"/>
    <w:rsid w:val="00835582"/>
    <w:rsid w:val="008355A1"/>
    <w:rsid w:val="008355B1"/>
    <w:rsid w:val="008355D8"/>
    <w:rsid w:val="00835601"/>
    <w:rsid w:val="0083564F"/>
    <w:rsid w:val="0083568A"/>
    <w:rsid w:val="008356AE"/>
    <w:rsid w:val="008356C7"/>
    <w:rsid w:val="00835716"/>
    <w:rsid w:val="00835724"/>
    <w:rsid w:val="00835796"/>
    <w:rsid w:val="008357AA"/>
    <w:rsid w:val="00835809"/>
    <w:rsid w:val="00835851"/>
    <w:rsid w:val="0083597B"/>
    <w:rsid w:val="0083598B"/>
    <w:rsid w:val="008359B8"/>
    <w:rsid w:val="008359DE"/>
    <w:rsid w:val="008359FF"/>
    <w:rsid w:val="00835A1D"/>
    <w:rsid w:val="00835A4C"/>
    <w:rsid w:val="00835A63"/>
    <w:rsid w:val="00835A6F"/>
    <w:rsid w:val="00835A72"/>
    <w:rsid w:val="00835A82"/>
    <w:rsid w:val="00835A8D"/>
    <w:rsid w:val="00835A9B"/>
    <w:rsid w:val="00835B03"/>
    <w:rsid w:val="00835B83"/>
    <w:rsid w:val="00835B87"/>
    <w:rsid w:val="00835B8C"/>
    <w:rsid w:val="00835BD7"/>
    <w:rsid w:val="00835BE7"/>
    <w:rsid w:val="00835C25"/>
    <w:rsid w:val="00835C2B"/>
    <w:rsid w:val="00835C3E"/>
    <w:rsid w:val="00835D0D"/>
    <w:rsid w:val="00835D21"/>
    <w:rsid w:val="00835D90"/>
    <w:rsid w:val="00835DA0"/>
    <w:rsid w:val="00835DB2"/>
    <w:rsid w:val="00835DBB"/>
    <w:rsid w:val="00835DC9"/>
    <w:rsid w:val="00835E22"/>
    <w:rsid w:val="00835E43"/>
    <w:rsid w:val="00835EEB"/>
    <w:rsid w:val="00835EFE"/>
    <w:rsid w:val="00835F01"/>
    <w:rsid w:val="00835F2A"/>
    <w:rsid w:val="00835F67"/>
    <w:rsid w:val="00835F79"/>
    <w:rsid w:val="00836012"/>
    <w:rsid w:val="00836031"/>
    <w:rsid w:val="00836034"/>
    <w:rsid w:val="008360B0"/>
    <w:rsid w:val="008360B4"/>
    <w:rsid w:val="00836125"/>
    <w:rsid w:val="0083613C"/>
    <w:rsid w:val="00836151"/>
    <w:rsid w:val="00836156"/>
    <w:rsid w:val="00836196"/>
    <w:rsid w:val="008361B1"/>
    <w:rsid w:val="008361DC"/>
    <w:rsid w:val="00836221"/>
    <w:rsid w:val="00836229"/>
    <w:rsid w:val="00836255"/>
    <w:rsid w:val="00836274"/>
    <w:rsid w:val="008362AE"/>
    <w:rsid w:val="008362B3"/>
    <w:rsid w:val="008362DD"/>
    <w:rsid w:val="008362FB"/>
    <w:rsid w:val="0083631C"/>
    <w:rsid w:val="00836333"/>
    <w:rsid w:val="008363B5"/>
    <w:rsid w:val="008363D2"/>
    <w:rsid w:val="0083643C"/>
    <w:rsid w:val="0083645F"/>
    <w:rsid w:val="0083646F"/>
    <w:rsid w:val="0083648A"/>
    <w:rsid w:val="008364AE"/>
    <w:rsid w:val="0083650A"/>
    <w:rsid w:val="00836512"/>
    <w:rsid w:val="0083651B"/>
    <w:rsid w:val="00836531"/>
    <w:rsid w:val="0083654C"/>
    <w:rsid w:val="00836561"/>
    <w:rsid w:val="008365E1"/>
    <w:rsid w:val="008365E8"/>
    <w:rsid w:val="0083661F"/>
    <w:rsid w:val="0083662A"/>
    <w:rsid w:val="00836693"/>
    <w:rsid w:val="0083669F"/>
    <w:rsid w:val="008366BD"/>
    <w:rsid w:val="008366BF"/>
    <w:rsid w:val="008366C9"/>
    <w:rsid w:val="008366E0"/>
    <w:rsid w:val="0083674D"/>
    <w:rsid w:val="0083675A"/>
    <w:rsid w:val="00836763"/>
    <w:rsid w:val="008367C5"/>
    <w:rsid w:val="008367F5"/>
    <w:rsid w:val="00836802"/>
    <w:rsid w:val="0083680B"/>
    <w:rsid w:val="00836813"/>
    <w:rsid w:val="00836848"/>
    <w:rsid w:val="00836892"/>
    <w:rsid w:val="008368BA"/>
    <w:rsid w:val="008368D4"/>
    <w:rsid w:val="00836926"/>
    <w:rsid w:val="00836950"/>
    <w:rsid w:val="008369B7"/>
    <w:rsid w:val="00836A1F"/>
    <w:rsid w:val="00836A28"/>
    <w:rsid w:val="00836A64"/>
    <w:rsid w:val="00836A92"/>
    <w:rsid w:val="00836B2D"/>
    <w:rsid w:val="00836B7F"/>
    <w:rsid w:val="00836B83"/>
    <w:rsid w:val="00836B8D"/>
    <w:rsid w:val="00836BA1"/>
    <w:rsid w:val="00836BAB"/>
    <w:rsid w:val="00836BCF"/>
    <w:rsid w:val="00836C22"/>
    <w:rsid w:val="00836C52"/>
    <w:rsid w:val="00836C6D"/>
    <w:rsid w:val="00836C96"/>
    <w:rsid w:val="00836CDD"/>
    <w:rsid w:val="00836CEA"/>
    <w:rsid w:val="00836D45"/>
    <w:rsid w:val="00836D7E"/>
    <w:rsid w:val="00836DAA"/>
    <w:rsid w:val="00836E18"/>
    <w:rsid w:val="00836E40"/>
    <w:rsid w:val="00836E50"/>
    <w:rsid w:val="00836E5C"/>
    <w:rsid w:val="00836EB4"/>
    <w:rsid w:val="00836EEA"/>
    <w:rsid w:val="00836EF7"/>
    <w:rsid w:val="00836F0B"/>
    <w:rsid w:val="00837062"/>
    <w:rsid w:val="00837081"/>
    <w:rsid w:val="008370C9"/>
    <w:rsid w:val="008370CF"/>
    <w:rsid w:val="008371B0"/>
    <w:rsid w:val="00837267"/>
    <w:rsid w:val="00837269"/>
    <w:rsid w:val="008372B7"/>
    <w:rsid w:val="008372C0"/>
    <w:rsid w:val="0083736B"/>
    <w:rsid w:val="00837395"/>
    <w:rsid w:val="008373B0"/>
    <w:rsid w:val="008373ED"/>
    <w:rsid w:val="00837404"/>
    <w:rsid w:val="00837459"/>
    <w:rsid w:val="008374C8"/>
    <w:rsid w:val="008374E0"/>
    <w:rsid w:val="00837521"/>
    <w:rsid w:val="00837588"/>
    <w:rsid w:val="008375E0"/>
    <w:rsid w:val="008375E5"/>
    <w:rsid w:val="00837677"/>
    <w:rsid w:val="008376A7"/>
    <w:rsid w:val="008376C9"/>
    <w:rsid w:val="008376D4"/>
    <w:rsid w:val="00837708"/>
    <w:rsid w:val="00837724"/>
    <w:rsid w:val="00837725"/>
    <w:rsid w:val="00837747"/>
    <w:rsid w:val="0083775B"/>
    <w:rsid w:val="00837777"/>
    <w:rsid w:val="0083779D"/>
    <w:rsid w:val="008377C8"/>
    <w:rsid w:val="008377F2"/>
    <w:rsid w:val="00837801"/>
    <w:rsid w:val="00837817"/>
    <w:rsid w:val="008378DC"/>
    <w:rsid w:val="0083790B"/>
    <w:rsid w:val="0083792B"/>
    <w:rsid w:val="00837933"/>
    <w:rsid w:val="00837946"/>
    <w:rsid w:val="00837947"/>
    <w:rsid w:val="0083797C"/>
    <w:rsid w:val="00837994"/>
    <w:rsid w:val="008379B8"/>
    <w:rsid w:val="00837A03"/>
    <w:rsid w:val="00837A4E"/>
    <w:rsid w:val="00837AAD"/>
    <w:rsid w:val="00837AB2"/>
    <w:rsid w:val="00837AB8"/>
    <w:rsid w:val="00837AFD"/>
    <w:rsid w:val="00837B37"/>
    <w:rsid w:val="00837B42"/>
    <w:rsid w:val="00837B57"/>
    <w:rsid w:val="00837B60"/>
    <w:rsid w:val="00837B91"/>
    <w:rsid w:val="00837BAC"/>
    <w:rsid w:val="00837BD6"/>
    <w:rsid w:val="00837BF9"/>
    <w:rsid w:val="00837C26"/>
    <w:rsid w:val="00837C42"/>
    <w:rsid w:val="00837C72"/>
    <w:rsid w:val="00837CA9"/>
    <w:rsid w:val="00837CD5"/>
    <w:rsid w:val="00837CEF"/>
    <w:rsid w:val="00837D22"/>
    <w:rsid w:val="00837D3D"/>
    <w:rsid w:val="00837D71"/>
    <w:rsid w:val="00837D9F"/>
    <w:rsid w:val="00837DA2"/>
    <w:rsid w:val="00837DB4"/>
    <w:rsid w:val="00837DD8"/>
    <w:rsid w:val="00837E43"/>
    <w:rsid w:val="00837E47"/>
    <w:rsid w:val="00837E81"/>
    <w:rsid w:val="00837E90"/>
    <w:rsid w:val="00837EBD"/>
    <w:rsid w:val="00837EBE"/>
    <w:rsid w:val="00837EF0"/>
    <w:rsid w:val="00837EFD"/>
    <w:rsid w:val="00837F20"/>
    <w:rsid w:val="00837F4F"/>
    <w:rsid w:val="00837F77"/>
    <w:rsid w:val="00837F8E"/>
    <w:rsid w:val="00837F98"/>
    <w:rsid w:val="00840085"/>
    <w:rsid w:val="00840094"/>
    <w:rsid w:val="00840096"/>
    <w:rsid w:val="008400AB"/>
    <w:rsid w:val="00840142"/>
    <w:rsid w:val="008401B8"/>
    <w:rsid w:val="0084023E"/>
    <w:rsid w:val="00840242"/>
    <w:rsid w:val="0084024B"/>
    <w:rsid w:val="00840269"/>
    <w:rsid w:val="008402B5"/>
    <w:rsid w:val="008402D1"/>
    <w:rsid w:val="008402D5"/>
    <w:rsid w:val="008402E0"/>
    <w:rsid w:val="00840300"/>
    <w:rsid w:val="00840318"/>
    <w:rsid w:val="0084033A"/>
    <w:rsid w:val="00840377"/>
    <w:rsid w:val="0084037E"/>
    <w:rsid w:val="00840380"/>
    <w:rsid w:val="008403A8"/>
    <w:rsid w:val="008403A9"/>
    <w:rsid w:val="008403C8"/>
    <w:rsid w:val="008403C9"/>
    <w:rsid w:val="008403D7"/>
    <w:rsid w:val="008403F4"/>
    <w:rsid w:val="00840438"/>
    <w:rsid w:val="00840480"/>
    <w:rsid w:val="00840503"/>
    <w:rsid w:val="00840569"/>
    <w:rsid w:val="008405A0"/>
    <w:rsid w:val="008405A5"/>
    <w:rsid w:val="0084060B"/>
    <w:rsid w:val="0084064C"/>
    <w:rsid w:val="00840677"/>
    <w:rsid w:val="00840697"/>
    <w:rsid w:val="008406C3"/>
    <w:rsid w:val="00840755"/>
    <w:rsid w:val="0084078F"/>
    <w:rsid w:val="008407B2"/>
    <w:rsid w:val="008407B8"/>
    <w:rsid w:val="00840873"/>
    <w:rsid w:val="0084088A"/>
    <w:rsid w:val="008408C9"/>
    <w:rsid w:val="008408DF"/>
    <w:rsid w:val="008408F4"/>
    <w:rsid w:val="00840905"/>
    <w:rsid w:val="0084090A"/>
    <w:rsid w:val="0084090C"/>
    <w:rsid w:val="0084093C"/>
    <w:rsid w:val="0084098C"/>
    <w:rsid w:val="0084098D"/>
    <w:rsid w:val="008409D1"/>
    <w:rsid w:val="008409DC"/>
    <w:rsid w:val="008409F6"/>
    <w:rsid w:val="00840A11"/>
    <w:rsid w:val="00840AAD"/>
    <w:rsid w:val="00840AE5"/>
    <w:rsid w:val="00840AEA"/>
    <w:rsid w:val="00840B1A"/>
    <w:rsid w:val="00840B22"/>
    <w:rsid w:val="00840B29"/>
    <w:rsid w:val="00840B2A"/>
    <w:rsid w:val="00840B2F"/>
    <w:rsid w:val="00840B38"/>
    <w:rsid w:val="00840B80"/>
    <w:rsid w:val="00840B82"/>
    <w:rsid w:val="00840BC5"/>
    <w:rsid w:val="00840BD2"/>
    <w:rsid w:val="00840C0E"/>
    <w:rsid w:val="00840C3C"/>
    <w:rsid w:val="00840C5D"/>
    <w:rsid w:val="00840CC7"/>
    <w:rsid w:val="00840D00"/>
    <w:rsid w:val="00840D1D"/>
    <w:rsid w:val="00840D9A"/>
    <w:rsid w:val="00840DAB"/>
    <w:rsid w:val="00840DB3"/>
    <w:rsid w:val="00840DDF"/>
    <w:rsid w:val="00840DE1"/>
    <w:rsid w:val="00840E04"/>
    <w:rsid w:val="00840EE1"/>
    <w:rsid w:val="00840EFC"/>
    <w:rsid w:val="00840F2D"/>
    <w:rsid w:val="00840F45"/>
    <w:rsid w:val="00840F71"/>
    <w:rsid w:val="00840F91"/>
    <w:rsid w:val="00840FAC"/>
    <w:rsid w:val="00840FD7"/>
    <w:rsid w:val="00840FDE"/>
    <w:rsid w:val="00840FE5"/>
    <w:rsid w:val="0084101E"/>
    <w:rsid w:val="00841029"/>
    <w:rsid w:val="0084102B"/>
    <w:rsid w:val="00841083"/>
    <w:rsid w:val="0084111F"/>
    <w:rsid w:val="00841185"/>
    <w:rsid w:val="008411A0"/>
    <w:rsid w:val="008411F6"/>
    <w:rsid w:val="00841233"/>
    <w:rsid w:val="0084123B"/>
    <w:rsid w:val="00841264"/>
    <w:rsid w:val="00841285"/>
    <w:rsid w:val="00841293"/>
    <w:rsid w:val="00841296"/>
    <w:rsid w:val="008412D8"/>
    <w:rsid w:val="0084130F"/>
    <w:rsid w:val="0084131F"/>
    <w:rsid w:val="00841324"/>
    <w:rsid w:val="00841350"/>
    <w:rsid w:val="0084135F"/>
    <w:rsid w:val="0084136F"/>
    <w:rsid w:val="0084139F"/>
    <w:rsid w:val="008413A5"/>
    <w:rsid w:val="008413A8"/>
    <w:rsid w:val="0084143B"/>
    <w:rsid w:val="00841484"/>
    <w:rsid w:val="008414C0"/>
    <w:rsid w:val="008414D5"/>
    <w:rsid w:val="008414E0"/>
    <w:rsid w:val="00841527"/>
    <w:rsid w:val="0084153E"/>
    <w:rsid w:val="00841564"/>
    <w:rsid w:val="0084159D"/>
    <w:rsid w:val="008415E2"/>
    <w:rsid w:val="008415E7"/>
    <w:rsid w:val="008415F7"/>
    <w:rsid w:val="008415FA"/>
    <w:rsid w:val="0084160B"/>
    <w:rsid w:val="00841619"/>
    <w:rsid w:val="0084162E"/>
    <w:rsid w:val="00841637"/>
    <w:rsid w:val="00841646"/>
    <w:rsid w:val="00841647"/>
    <w:rsid w:val="00841685"/>
    <w:rsid w:val="008416BC"/>
    <w:rsid w:val="008416CA"/>
    <w:rsid w:val="00841741"/>
    <w:rsid w:val="008417D5"/>
    <w:rsid w:val="008417F4"/>
    <w:rsid w:val="008417F5"/>
    <w:rsid w:val="008417FE"/>
    <w:rsid w:val="00841837"/>
    <w:rsid w:val="008418E4"/>
    <w:rsid w:val="008418E5"/>
    <w:rsid w:val="008418F5"/>
    <w:rsid w:val="00841924"/>
    <w:rsid w:val="00841978"/>
    <w:rsid w:val="008419A8"/>
    <w:rsid w:val="008419BA"/>
    <w:rsid w:val="008419C2"/>
    <w:rsid w:val="008419C6"/>
    <w:rsid w:val="008419CB"/>
    <w:rsid w:val="00841A56"/>
    <w:rsid w:val="00841A65"/>
    <w:rsid w:val="00841A86"/>
    <w:rsid w:val="00841AA4"/>
    <w:rsid w:val="00841AC9"/>
    <w:rsid w:val="00841AFC"/>
    <w:rsid w:val="00841B1D"/>
    <w:rsid w:val="00841B64"/>
    <w:rsid w:val="00841B8C"/>
    <w:rsid w:val="00841BAA"/>
    <w:rsid w:val="00841BC6"/>
    <w:rsid w:val="00841BCF"/>
    <w:rsid w:val="00841C57"/>
    <w:rsid w:val="00841C77"/>
    <w:rsid w:val="00841CC2"/>
    <w:rsid w:val="00841CFD"/>
    <w:rsid w:val="00841D16"/>
    <w:rsid w:val="00841D76"/>
    <w:rsid w:val="00841D95"/>
    <w:rsid w:val="00841D9C"/>
    <w:rsid w:val="00841D9E"/>
    <w:rsid w:val="00841DCD"/>
    <w:rsid w:val="00841DDB"/>
    <w:rsid w:val="00841DE7"/>
    <w:rsid w:val="00841E1D"/>
    <w:rsid w:val="00841E1F"/>
    <w:rsid w:val="00841E33"/>
    <w:rsid w:val="00841E3A"/>
    <w:rsid w:val="00841E46"/>
    <w:rsid w:val="00841E89"/>
    <w:rsid w:val="00841F20"/>
    <w:rsid w:val="00841F4E"/>
    <w:rsid w:val="00841F9E"/>
    <w:rsid w:val="00841FAF"/>
    <w:rsid w:val="00841FB0"/>
    <w:rsid w:val="00841FDC"/>
    <w:rsid w:val="00841FFF"/>
    <w:rsid w:val="00842006"/>
    <w:rsid w:val="00842012"/>
    <w:rsid w:val="00842046"/>
    <w:rsid w:val="00842062"/>
    <w:rsid w:val="0084206A"/>
    <w:rsid w:val="00842090"/>
    <w:rsid w:val="0084209D"/>
    <w:rsid w:val="008420A7"/>
    <w:rsid w:val="008420AE"/>
    <w:rsid w:val="008420B2"/>
    <w:rsid w:val="008420F5"/>
    <w:rsid w:val="00842121"/>
    <w:rsid w:val="00842124"/>
    <w:rsid w:val="0084213D"/>
    <w:rsid w:val="0084213F"/>
    <w:rsid w:val="0084214C"/>
    <w:rsid w:val="0084216E"/>
    <w:rsid w:val="00842194"/>
    <w:rsid w:val="008421BF"/>
    <w:rsid w:val="008421C0"/>
    <w:rsid w:val="008421F6"/>
    <w:rsid w:val="00842210"/>
    <w:rsid w:val="00842213"/>
    <w:rsid w:val="0084221A"/>
    <w:rsid w:val="0084222E"/>
    <w:rsid w:val="008422E6"/>
    <w:rsid w:val="00842315"/>
    <w:rsid w:val="0084233D"/>
    <w:rsid w:val="00842364"/>
    <w:rsid w:val="008423A5"/>
    <w:rsid w:val="008423E1"/>
    <w:rsid w:val="008423E2"/>
    <w:rsid w:val="00842421"/>
    <w:rsid w:val="0084242F"/>
    <w:rsid w:val="00842439"/>
    <w:rsid w:val="00842453"/>
    <w:rsid w:val="00842457"/>
    <w:rsid w:val="00842470"/>
    <w:rsid w:val="008424B5"/>
    <w:rsid w:val="008424E5"/>
    <w:rsid w:val="008424F3"/>
    <w:rsid w:val="0084251C"/>
    <w:rsid w:val="0084252D"/>
    <w:rsid w:val="0084253B"/>
    <w:rsid w:val="0084258C"/>
    <w:rsid w:val="008425A0"/>
    <w:rsid w:val="008425B5"/>
    <w:rsid w:val="00842666"/>
    <w:rsid w:val="0084268C"/>
    <w:rsid w:val="0084268D"/>
    <w:rsid w:val="008426AB"/>
    <w:rsid w:val="008426E3"/>
    <w:rsid w:val="0084271F"/>
    <w:rsid w:val="00842724"/>
    <w:rsid w:val="0084272E"/>
    <w:rsid w:val="00842749"/>
    <w:rsid w:val="00842787"/>
    <w:rsid w:val="008427B2"/>
    <w:rsid w:val="008427CA"/>
    <w:rsid w:val="008427CD"/>
    <w:rsid w:val="00842834"/>
    <w:rsid w:val="0084283B"/>
    <w:rsid w:val="0084286F"/>
    <w:rsid w:val="008428CB"/>
    <w:rsid w:val="008428D5"/>
    <w:rsid w:val="00842920"/>
    <w:rsid w:val="0084292D"/>
    <w:rsid w:val="00842971"/>
    <w:rsid w:val="00842982"/>
    <w:rsid w:val="00842A14"/>
    <w:rsid w:val="00842A2D"/>
    <w:rsid w:val="00842A61"/>
    <w:rsid w:val="00842A75"/>
    <w:rsid w:val="00842ABF"/>
    <w:rsid w:val="00842ACD"/>
    <w:rsid w:val="00842ADE"/>
    <w:rsid w:val="00842AEC"/>
    <w:rsid w:val="00842AF4"/>
    <w:rsid w:val="00842B6B"/>
    <w:rsid w:val="00842B8E"/>
    <w:rsid w:val="00842B9A"/>
    <w:rsid w:val="00842BA1"/>
    <w:rsid w:val="00842BC9"/>
    <w:rsid w:val="00842C4A"/>
    <w:rsid w:val="00842C6A"/>
    <w:rsid w:val="00842C82"/>
    <w:rsid w:val="00842C85"/>
    <w:rsid w:val="00842CA0"/>
    <w:rsid w:val="00842CC9"/>
    <w:rsid w:val="00842CD7"/>
    <w:rsid w:val="00842D24"/>
    <w:rsid w:val="00842D38"/>
    <w:rsid w:val="00842D89"/>
    <w:rsid w:val="00842DB8"/>
    <w:rsid w:val="00842DD3"/>
    <w:rsid w:val="00842DE6"/>
    <w:rsid w:val="00842DEF"/>
    <w:rsid w:val="00842E09"/>
    <w:rsid w:val="00842E43"/>
    <w:rsid w:val="00842E56"/>
    <w:rsid w:val="00842E58"/>
    <w:rsid w:val="00842E94"/>
    <w:rsid w:val="00842EA8"/>
    <w:rsid w:val="00842EB5"/>
    <w:rsid w:val="00842F92"/>
    <w:rsid w:val="0084300F"/>
    <w:rsid w:val="00843010"/>
    <w:rsid w:val="00843033"/>
    <w:rsid w:val="00843043"/>
    <w:rsid w:val="00843054"/>
    <w:rsid w:val="00843093"/>
    <w:rsid w:val="008430E9"/>
    <w:rsid w:val="00843101"/>
    <w:rsid w:val="00843156"/>
    <w:rsid w:val="00843171"/>
    <w:rsid w:val="008431C7"/>
    <w:rsid w:val="008431D2"/>
    <w:rsid w:val="008431E6"/>
    <w:rsid w:val="00843205"/>
    <w:rsid w:val="008432C7"/>
    <w:rsid w:val="008432D0"/>
    <w:rsid w:val="0084333C"/>
    <w:rsid w:val="0084335F"/>
    <w:rsid w:val="00843361"/>
    <w:rsid w:val="00843385"/>
    <w:rsid w:val="008433B2"/>
    <w:rsid w:val="008433C2"/>
    <w:rsid w:val="008433F3"/>
    <w:rsid w:val="00843412"/>
    <w:rsid w:val="0084349B"/>
    <w:rsid w:val="0084349F"/>
    <w:rsid w:val="008434BD"/>
    <w:rsid w:val="00843533"/>
    <w:rsid w:val="00843538"/>
    <w:rsid w:val="0084353A"/>
    <w:rsid w:val="0084358C"/>
    <w:rsid w:val="008435EE"/>
    <w:rsid w:val="00843612"/>
    <w:rsid w:val="0084368D"/>
    <w:rsid w:val="008436B3"/>
    <w:rsid w:val="008436B9"/>
    <w:rsid w:val="008436C8"/>
    <w:rsid w:val="008436D8"/>
    <w:rsid w:val="008436E7"/>
    <w:rsid w:val="008436EF"/>
    <w:rsid w:val="00843706"/>
    <w:rsid w:val="00843736"/>
    <w:rsid w:val="0084374E"/>
    <w:rsid w:val="00843751"/>
    <w:rsid w:val="0084376B"/>
    <w:rsid w:val="00843791"/>
    <w:rsid w:val="008437AB"/>
    <w:rsid w:val="008437B6"/>
    <w:rsid w:val="008437DA"/>
    <w:rsid w:val="008437E5"/>
    <w:rsid w:val="0084382A"/>
    <w:rsid w:val="0084384D"/>
    <w:rsid w:val="008438AA"/>
    <w:rsid w:val="008438E5"/>
    <w:rsid w:val="0084392B"/>
    <w:rsid w:val="00843997"/>
    <w:rsid w:val="008439AB"/>
    <w:rsid w:val="008439B3"/>
    <w:rsid w:val="00843A1F"/>
    <w:rsid w:val="00843A34"/>
    <w:rsid w:val="00843A47"/>
    <w:rsid w:val="00843A4B"/>
    <w:rsid w:val="00843A6E"/>
    <w:rsid w:val="00843A8F"/>
    <w:rsid w:val="00843A94"/>
    <w:rsid w:val="00843AA8"/>
    <w:rsid w:val="00843AAD"/>
    <w:rsid w:val="00843AE6"/>
    <w:rsid w:val="00843AF1"/>
    <w:rsid w:val="00843B24"/>
    <w:rsid w:val="00843B40"/>
    <w:rsid w:val="00843BE9"/>
    <w:rsid w:val="00843BF7"/>
    <w:rsid w:val="00843C13"/>
    <w:rsid w:val="00843C30"/>
    <w:rsid w:val="00843C3E"/>
    <w:rsid w:val="00843C78"/>
    <w:rsid w:val="00843CE7"/>
    <w:rsid w:val="00843D4C"/>
    <w:rsid w:val="00843D6C"/>
    <w:rsid w:val="00843D7F"/>
    <w:rsid w:val="00843DF6"/>
    <w:rsid w:val="00843E8D"/>
    <w:rsid w:val="00843EB1"/>
    <w:rsid w:val="00843EB2"/>
    <w:rsid w:val="00843ED3"/>
    <w:rsid w:val="00843F10"/>
    <w:rsid w:val="00843F73"/>
    <w:rsid w:val="00843F7B"/>
    <w:rsid w:val="00843F7E"/>
    <w:rsid w:val="00843F8F"/>
    <w:rsid w:val="00843F93"/>
    <w:rsid w:val="00843F9A"/>
    <w:rsid w:val="00843FAE"/>
    <w:rsid w:val="0084406C"/>
    <w:rsid w:val="008440CE"/>
    <w:rsid w:val="008440F5"/>
    <w:rsid w:val="008440F6"/>
    <w:rsid w:val="008440FA"/>
    <w:rsid w:val="00844106"/>
    <w:rsid w:val="00844108"/>
    <w:rsid w:val="0084415D"/>
    <w:rsid w:val="00844189"/>
    <w:rsid w:val="008441F5"/>
    <w:rsid w:val="00844239"/>
    <w:rsid w:val="0084428E"/>
    <w:rsid w:val="008442D4"/>
    <w:rsid w:val="008442DE"/>
    <w:rsid w:val="008442EA"/>
    <w:rsid w:val="0084431B"/>
    <w:rsid w:val="0084433C"/>
    <w:rsid w:val="00844352"/>
    <w:rsid w:val="00844386"/>
    <w:rsid w:val="00844387"/>
    <w:rsid w:val="008443A9"/>
    <w:rsid w:val="00844400"/>
    <w:rsid w:val="0084440E"/>
    <w:rsid w:val="00844429"/>
    <w:rsid w:val="0084442A"/>
    <w:rsid w:val="008444AA"/>
    <w:rsid w:val="008445B9"/>
    <w:rsid w:val="008445CD"/>
    <w:rsid w:val="00844664"/>
    <w:rsid w:val="00844686"/>
    <w:rsid w:val="00844693"/>
    <w:rsid w:val="008446CC"/>
    <w:rsid w:val="0084471C"/>
    <w:rsid w:val="00844754"/>
    <w:rsid w:val="008447C2"/>
    <w:rsid w:val="00844808"/>
    <w:rsid w:val="00844817"/>
    <w:rsid w:val="00844821"/>
    <w:rsid w:val="00844847"/>
    <w:rsid w:val="00844858"/>
    <w:rsid w:val="008448BD"/>
    <w:rsid w:val="008448C9"/>
    <w:rsid w:val="008448D0"/>
    <w:rsid w:val="008449C1"/>
    <w:rsid w:val="008449E4"/>
    <w:rsid w:val="008449EB"/>
    <w:rsid w:val="008449FD"/>
    <w:rsid w:val="00844A14"/>
    <w:rsid w:val="00844A8A"/>
    <w:rsid w:val="00844A9E"/>
    <w:rsid w:val="00844AA0"/>
    <w:rsid w:val="00844AA9"/>
    <w:rsid w:val="00844AE1"/>
    <w:rsid w:val="00844AE2"/>
    <w:rsid w:val="00844B19"/>
    <w:rsid w:val="00844B47"/>
    <w:rsid w:val="00844B71"/>
    <w:rsid w:val="00844B7B"/>
    <w:rsid w:val="00844B9D"/>
    <w:rsid w:val="00844BA6"/>
    <w:rsid w:val="00844BB5"/>
    <w:rsid w:val="00844BCF"/>
    <w:rsid w:val="00844BE7"/>
    <w:rsid w:val="00844C04"/>
    <w:rsid w:val="00844C7F"/>
    <w:rsid w:val="00844C89"/>
    <w:rsid w:val="00844C9B"/>
    <w:rsid w:val="00844CA9"/>
    <w:rsid w:val="00844CD4"/>
    <w:rsid w:val="00844D1D"/>
    <w:rsid w:val="00844D41"/>
    <w:rsid w:val="00844D6D"/>
    <w:rsid w:val="00844D89"/>
    <w:rsid w:val="00844DA8"/>
    <w:rsid w:val="00844DB4"/>
    <w:rsid w:val="00844DCF"/>
    <w:rsid w:val="00844E5B"/>
    <w:rsid w:val="00844E5C"/>
    <w:rsid w:val="00844EA4"/>
    <w:rsid w:val="00844EC6"/>
    <w:rsid w:val="00844F17"/>
    <w:rsid w:val="00844F7D"/>
    <w:rsid w:val="00844F8B"/>
    <w:rsid w:val="00844FA5"/>
    <w:rsid w:val="00844FAD"/>
    <w:rsid w:val="00844FBB"/>
    <w:rsid w:val="00845055"/>
    <w:rsid w:val="0084507C"/>
    <w:rsid w:val="00845083"/>
    <w:rsid w:val="008450CA"/>
    <w:rsid w:val="008450D6"/>
    <w:rsid w:val="008450DF"/>
    <w:rsid w:val="00845104"/>
    <w:rsid w:val="00845117"/>
    <w:rsid w:val="00845137"/>
    <w:rsid w:val="00845149"/>
    <w:rsid w:val="0084516E"/>
    <w:rsid w:val="00845185"/>
    <w:rsid w:val="0084518C"/>
    <w:rsid w:val="008451AA"/>
    <w:rsid w:val="008451FD"/>
    <w:rsid w:val="00845259"/>
    <w:rsid w:val="00845296"/>
    <w:rsid w:val="008452AD"/>
    <w:rsid w:val="008452C3"/>
    <w:rsid w:val="0084531E"/>
    <w:rsid w:val="0084532B"/>
    <w:rsid w:val="00845365"/>
    <w:rsid w:val="00845368"/>
    <w:rsid w:val="00845401"/>
    <w:rsid w:val="00845408"/>
    <w:rsid w:val="0084542E"/>
    <w:rsid w:val="00845451"/>
    <w:rsid w:val="008454B5"/>
    <w:rsid w:val="008454B7"/>
    <w:rsid w:val="008454DA"/>
    <w:rsid w:val="00845503"/>
    <w:rsid w:val="00845524"/>
    <w:rsid w:val="0084553C"/>
    <w:rsid w:val="008455B3"/>
    <w:rsid w:val="00845635"/>
    <w:rsid w:val="0084563E"/>
    <w:rsid w:val="00845673"/>
    <w:rsid w:val="00845691"/>
    <w:rsid w:val="008456AC"/>
    <w:rsid w:val="008456AE"/>
    <w:rsid w:val="008456C5"/>
    <w:rsid w:val="00845706"/>
    <w:rsid w:val="00845722"/>
    <w:rsid w:val="00845743"/>
    <w:rsid w:val="0084576C"/>
    <w:rsid w:val="00845771"/>
    <w:rsid w:val="00845779"/>
    <w:rsid w:val="008457E8"/>
    <w:rsid w:val="00845856"/>
    <w:rsid w:val="00845888"/>
    <w:rsid w:val="0084589A"/>
    <w:rsid w:val="0084598A"/>
    <w:rsid w:val="008459AA"/>
    <w:rsid w:val="008459F1"/>
    <w:rsid w:val="00845A20"/>
    <w:rsid w:val="00845A23"/>
    <w:rsid w:val="00845B27"/>
    <w:rsid w:val="00845B46"/>
    <w:rsid w:val="00845BC3"/>
    <w:rsid w:val="00845BF0"/>
    <w:rsid w:val="00845BF2"/>
    <w:rsid w:val="00845C4E"/>
    <w:rsid w:val="00845C72"/>
    <w:rsid w:val="00845C83"/>
    <w:rsid w:val="00845CE7"/>
    <w:rsid w:val="00845D12"/>
    <w:rsid w:val="00845D19"/>
    <w:rsid w:val="00845D21"/>
    <w:rsid w:val="00845D38"/>
    <w:rsid w:val="00845DCC"/>
    <w:rsid w:val="00845ED2"/>
    <w:rsid w:val="00845F0F"/>
    <w:rsid w:val="00845F41"/>
    <w:rsid w:val="00846002"/>
    <w:rsid w:val="0084602C"/>
    <w:rsid w:val="00846041"/>
    <w:rsid w:val="00846054"/>
    <w:rsid w:val="0084606C"/>
    <w:rsid w:val="0084607A"/>
    <w:rsid w:val="0084607F"/>
    <w:rsid w:val="00846094"/>
    <w:rsid w:val="008460C4"/>
    <w:rsid w:val="008460E4"/>
    <w:rsid w:val="008460F1"/>
    <w:rsid w:val="0084610B"/>
    <w:rsid w:val="0084613A"/>
    <w:rsid w:val="00846172"/>
    <w:rsid w:val="008461FB"/>
    <w:rsid w:val="00846206"/>
    <w:rsid w:val="0084624F"/>
    <w:rsid w:val="0084628F"/>
    <w:rsid w:val="008462F1"/>
    <w:rsid w:val="0084631A"/>
    <w:rsid w:val="00846349"/>
    <w:rsid w:val="0084636D"/>
    <w:rsid w:val="0084639E"/>
    <w:rsid w:val="008463C0"/>
    <w:rsid w:val="008463FB"/>
    <w:rsid w:val="0084643C"/>
    <w:rsid w:val="00846452"/>
    <w:rsid w:val="00846461"/>
    <w:rsid w:val="008464AD"/>
    <w:rsid w:val="008464B1"/>
    <w:rsid w:val="008464BA"/>
    <w:rsid w:val="008464DC"/>
    <w:rsid w:val="00846501"/>
    <w:rsid w:val="0084653B"/>
    <w:rsid w:val="00846566"/>
    <w:rsid w:val="00846590"/>
    <w:rsid w:val="008465E5"/>
    <w:rsid w:val="00846603"/>
    <w:rsid w:val="00846636"/>
    <w:rsid w:val="00846660"/>
    <w:rsid w:val="0084669C"/>
    <w:rsid w:val="00846719"/>
    <w:rsid w:val="0084672F"/>
    <w:rsid w:val="0084675A"/>
    <w:rsid w:val="00846781"/>
    <w:rsid w:val="00846786"/>
    <w:rsid w:val="008467BC"/>
    <w:rsid w:val="008467C1"/>
    <w:rsid w:val="008467E1"/>
    <w:rsid w:val="0084682C"/>
    <w:rsid w:val="0084683A"/>
    <w:rsid w:val="00846841"/>
    <w:rsid w:val="0084684B"/>
    <w:rsid w:val="00846854"/>
    <w:rsid w:val="00846856"/>
    <w:rsid w:val="0084685B"/>
    <w:rsid w:val="0084689C"/>
    <w:rsid w:val="008468AE"/>
    <w:rsid w:val="008468CE"/>
    <w:rsid w:val="008468D2"/>
    <w:rsid w:val="008468F8"/>
    <w:rsid w:val="00846901"/>
    <w:rsid w:val="00846946"/>
    <w:rsid w:val="00846947"/>
    <w:rsid w:val="00846983"/>
    <w:rsid w:val="0084698B"/>
    <w:rsid w:val="008469CE"/>
    <w:rsid w:val="00846A35"/>
    <w:rsid w:val="00846A3D"/>
    <w:rsid w:val="00846A74"/>
    <w:rsid w:val="00846AE0"/>
    <w:rsid w:val="00846B08"/>
    <w:rsid w:val="00846B28"/>
    <w:rsid w:val="00846B63"/>
    <w:rsid w:val="00846BB1"/>
    <w:rsid w:val="00846C31"/>
    <w:rsid w:val="00846C4B"/>
    <w:rsid w:val="00846C6E"/>
    <w:rsid w:val="00846C9F"/>
    <w:rsid w:val="00846D2D"/>
    <w:rsid w:val="00846D3D"/>
    <w:rsid w:val="00846D48"/>
    <w:rsid w:val="00846D55"/>
    <w:rsid w:val="00846D5C"/>
    <w:rsid w:val="00846D6B"/>
    <w:rsid w:val="00846D87"/>
    <w:rsid w:val="00846D9C"/>
    <w:rsid w:val="00846E09"/>
    <w:rsid w:val="00846E17"/>
    <w:rsid w:val="00846E34"/>
    <w:rsid w:val="00846E6E"/>
    <w:rsid w:val="00846E7E"/>
    <w:rsid w:val="00846E7F"/>
    <w:rsid w:val="00846E99"/>
    <w:rsid w:val="00846EB9"/>
    <w:rsid w:val="00846EC0"/>
    <w:rsid w:val="00846ECB"/>
    <w:rsid w:val="00846ED7"/>
    <w:rsid w:val="00846F40"/>
    <w:rsid w:val="00846F63"/>
    <w:rsid w:val="00846F6B"/>
    <w:rsid w:val="00846FB8"/>
    <w:rsid w:val="00846FBC"/>
    <w:rsid w:val="00846FCC"/>
    <w:rsid w:val="00846FD5"/>
    <w:rsid w:val="00847019"/>
    <w:rsid w:val="0084701C"/>
    <w:rsid w:val="0084701D"/>
    <w:rsid w:val="00847067"/>
    <w:rsid w:val="008470B4"/>
    <w:rsid w:val="008470C0"/>
    <w:rsid w:val="008470CA"/>
    <w:rsid w:val="008470CC"/>
    <w:rsid w:val="008470E9"/>
    <w:rsid w:val="008470FD"/>
    <w:rsid w:val="008471B0"/>
    <w:rsid w:val="008471C5"/>
    <w:rsid w:val="0084720D"/>
    <w:rsid w:val="00847236"/>
    <w:rsid w:val="00847255"/>
    <w:rsid w:val="0084728B"/>
    <w:rsid w:val="008472B1"/>
    <w:rsid w:val="008472C1"/>
    <w:rsid w:val="008472D6"/>
    <w:rsid w:val="0084731A"/>
    <w:rsid w:val="0084731F"/>
    <w:rsid w:val="00847350"/>
    <w:rsid w:val="0084737C"/>
    <w:rsid w:val="0084738A"/>
    <w:rsid w:val="008473D3"/>
    <w:rsid w:val="00847403"/>
    <w:rsid w:val="00847419"/>
    <w:rsid w:val="0084742A"/>
    <w:rsid w:val="00847465"/>
    <w:rsid w:val="00847490"/>
    <w:rsid w:val="00847524"/>
    <w:rsid w:val="00847533"/>
    <w:rsid w:val="00847565"/>
    <w:rsid w:val="00847568"/>
    <w:rsid w:val="00847587"/>
    <w:rsid w:val="008475A7"/>
    <w:rsid w:val="008475C9"/>
    <w:rsid w:val="008476D6"/>
    <w:rsid w:val="0084770C"/>
    <w:rsid w:val="0084770D"/>
    <w:rsid w:val="0084776C"/>
    <w:rsid w:val="008477A1"/>
    <w:rsid w:val="008477A9"/>
    <w:rsid w:val="008477E5"/>
    <w:rsid w:val="008477F1"/>
    <w:rsid w:val="00847843"/>
    <w:rsid w:val="00847888"/>
    <w:rsid w:val="008478CC"/>
    <w:rsid w:val="00847917"/>
    <w:rsid w:val="0084794C"/>
    <w:rsid w:val="00847969"/>
    <w:rsid w:val="00847988"/>
    <w:rsid w:val="008479A9"/>
    <w:rsid w:val="008479DB"/>
    <w:rsid w:val="008479FC"/>
    <w:rsid w:val="00847A0E"/>
    <w:rsid w:val="00847A88"/>
    <w:rsid w:val="00847A8B"/>
    <w:rsid w:val="00847AA2"/>
    <w:rsid w:val="00847AD3"/>
    <w:rsid w:val="00847AD5"/>
    <w:rsid w:val="00847AE3"/>
    <w:rsid w:val="00847AE6"/>
    <w:rsid w:val="00847B14"/>
    <w:rsid w:val="00847BC5"/>
    <w:rsid w:val="00847BD2"/>
    <w:rsid w:val="00847C24"/>
    <w:rsid w:val="00847C2F"/>
    <w:rsid w:val="00847C4E"/>
    <w:rsid w:val="00847C52"/>
    <w:rsid w:val="00847C91"/>
    <w:rsid w:val="00847C95"/>
    <w:rsid w:val="00847D07"/>
    <w:rsid w:val="00847D0E"/>
    <w:rsid w:val="00847D7F"/>
    <w:rsid w:val="00847D8A"/>
    <w:rsid w:val="00847DA7"/>
    <w:rsid w:val="00847DBC"/>
    <w:rsid w:val="00847DC4"/>
    <w:rsid w:val="00847DCD"/>
    <w:rsid w:val="00847DFC"/>
    <w:rsid w:val="00847E44"/>
    <w:rsid w:val="00847E65"/>
    <w:rsid w:val="00847E73"/>
    <w:rsid w:val="00847ED6"/>
    <w:rsid w:val="00847F36"/>
    <w:rsid w:val="00847F64"/>
    <w:rsid w:val="0085003D"/>
    <w:rsid w:val="0085004B"/>
    <w:rsid w:val="00850096"/>
    <w:rsid w:val="008500DD"/>
    <w:rsid w:val="008500EB"/>
    <w:rsid w:val="0085011A"/>
    <w:rsid w:val="008501AC"/>
    <w:rsid w:val="008501B8"/>
    <w:rsid w:val="008501CB"/>
    <w:rsid w:val="008501E3"/>
    <w:rsid w:val="0085024B"/>
    <w:rsid w:val="0085025D"/>
    <w:rsid w:val="008502D5"/>
    <w:rsid w:val="00850303"/>
    <w:rsid w:val="0085030E"/>
    <w:rsid w:val="00850321"/>
    <w:rsid w:val="00850324"/>
    <w:rsid w:val="0085034A"/>
    <w:rsid w:val="00850351"/>
    <w:rsid w:val="008503E3"/>
    <w:rsid w:val="0085042E"/>
    <w:rsid w:val="0085044E"/>
    <w:rsid w:val="00850478"/>
    <w:rsid w:val="008504A6"/>
    <w:rsid w:val="00850502"/>
    <w:rsid w:val="0085051D"/>
    <w:rsid w:val="00850549"/>
    <w:rsid w:val="008505E5"/>
    <w:rsid w:val="0085063C"/>
    <w:rsid w:val="0085069A"/>
    <w:rsid w:val="0085071B"/>
    <w:rsid w:val="0085073B"/>
    <w:rsid w:val="00850745"/>
    <w:rsid w:val="008507BB"/>
    <w:rsid w:val="008507CB"/>
    <w:rsid w:val="008507FC"/>
    <w:rsid w:val="0085080A"/>
    <w:rsid w:val="0085081A"/>
    <w:rsid w:val="00850868"/>
    <w:rsid w:val="00850869"/>
    <w:rsid w:val="008508C9"/>
    <w:rsid w:val="008508DC"/>
    <w:rsid w:val="008508EB"/>
    <w:rsid w:val="008508F9"/>
    <w:rsid w:val="0085097B"/>
    <w:rsid w:val="008509A2"/>
    <w:rsid w:val="008509B8"/>
    <w:rsid w:val="008509BD"/>
    <w:rsid w:val="00850A39"/>
    <w:rsid w:val="00850A4D"/>
    <w:rsid w:val="00850A58"/>
    <w:rsid w:val="00850AB0"/>
    <w:rsid w:val="00850B1A"/>
    <w:rsid w:val="00850B74"/>
    <w:rsid w:val="00850B90"/>
    <w:rsid w:val="00850BC6"/>
    <w:rsid w:val="00850BEC"/>
    <w:rsid w:val="00850C15"/>
    <w:rsid w:val="00850C17"/>
    <w:rsid w:val="00850C7C"/>
    <w:rsid w:val="00850C9A"/>
    <w:rsid w:val="00850CB6"/>
    <w:rsid w:val="00850CD3"/>
    <w:rsid w:val="00850CF6"/>
    <w:rsid w:val="00850D40"/>
    <w:rsid w:val="00850DEC"/>
    <w:rsid w:val="00850E19"/>
    <w:rsid w:val="00850E32"/>
    <w:rsid w:val="00850E4F"/>
    <w:rsid w:val="00850EA0"/>
    <w:rsid w:val="00850EBA"/>
    <w:rsid w:val="00850F20"/>
    <w:rsid w:val="00850F3F"/>
    <w:rsid w:val="00850F51"/>
    <w:rsid w:val="00850F62"/>
    <w:rsid w:val="00850F73"/>
    <w:rsid w:val="00850FA3"/>
    <w:rsid w:val="00850FB1"/>
    <w:rsid w:val="00850FC6"/>
    <w:rsid w:val="00850FE2"/>
    <w:rsid w:val="0085102A"/>
    <w:rsid w:val="0085105B"/>
    <w:rsid w:val="0085105D"/>
    <w:rsid w:val="00851076"/>
    <w:rsid w:val="008510D7"/>
    <w:rsid w:val="008510E3"/>
    <w:rsid w:val="0085112F"/>
    <w:rsid w:val="0085114B"/>
    <w:rsid w:val="008511F6"/>
    <w:rsid w:val="00851219"/>
    <w:rsid w:val="0085122E"/>
    <w:rsid w:val="00851372"/>
    <w:rsid w:val="00851390"/>
    <w:rsid w:val="008513C9"/>
    <w:rsid w:val="008513DF"/>
    <w:rsid w:val="0085142A"/>
    <w:rsid w:val="0085145D"/>
    <w:rsid w:val="00851470"/>
    <w:rsid w:val="0085148E"/>
    <w:rsid w:val="008514AA"/>
    <w:rsid w:val="008514D3"/>
    <w:rsid w:val="008514F9"/>
    <w:rsid w:val="00851517"/>
    <w:rsid w:val="00851532"/>
    <w:rsid w:val="00851581"/>
    <w:rsid w:val="00851598"/>
    <w:rsid w:val="00851613"/>
    <w:rsid w:val="00851643"/>
    <w:rsid w:val="008516A0"/>
    <w:rsid w:val="008516C3"/>
    <w:rsid w:val="008516C5"/>
    <w:rsid w:val="008516ED"/>
    <w:rsid w:val="008516FA"/>
    <w:rsid w:val="0085171F"/>
    <w:rsid w:val="00851733"/>
    <w:rsid w:val="00851736"/>
    <w:rsid w:val="00851743"/>
    <w:rsid w:val="0085178E"/>
    <w:rsid w:val="008517A4"/>
    <w:rsid w:val="008517C5"/>
    <w:rsid w:val="0085183B"/>
    <w:rsid w:val="00851854"/>
    <w:rsid w:val="00851877"/>
    <w:rsid w:val="008518B1"/>
    <w:rsid w:val="008518BC"/>
    <w:rsid w:val="00851902"/>
    <w:rsid w:val="00851934"/>
    <w:rsid w:val="00851963"/>
    <w:rsid w:val="008519F9"/>
    <w:rsid w:val="008519FE"/>
    <w:rsid w:val="00851A22"/>
    <w:rsid w:val="00851A4E"/>
    <w:rsid w:val="00851A5B"/>
    <w:rsid w:val="00851A5E"/>
    <w:rsid w:val="00851A7E"/>
    <w:rsid w:val="00851AB2"/>
    <w:rsid w:val="00851AF7"/>
    <w:rsid w:val="00851B17"/>
    <w:rsid w:val="00851B2D"/>
    <w:rsid w:val="00851B30"/>
    <w:rsid w:val="00851B9F"/>
    <w:rsid w:val="00851BB7"/>
    <w:rsid w:val="00851BC1"/>
    <w:rsid w:val="00851BFC"/>
    <w:rsid w:val="00851C2F"/>
    <w:rsid w:val="00851CA3"/>
    <w:rsid w:val="00851CB9"/>
    <w:rsid w:val="00851CCA"/>
    <w:rsid w:val="00851CD5"/>
    <w:rsid w:val="00851D11"/>
    <w:rsid w:val="00851D46"/>
    <w:rsid w:val="00851D7A"/>
    <w:rsid w:val="00851DE0"/>
    <w:rsid w:val="00851E53"/>
    <w:rsid w:val="00851E6D"/>
    <w:rsid w:val="00851EE9"/>
    <w:rsid w:val="00851EEF"/>
    <w:rsid w:val="00851FE8"/>
    <w:rsid w:val="00851FF0"/>
    <w:rsid w:val="00852022"/>
    <w:rsid w:val="0085208C"/>
    <w:rsid w:val="008520C8"/>
    <w:rsid w:val="008520D4"/>
    <w:rsid w:val="008520D6"/>
    <w:rsid w:val="008520E6"/>
    <w:rsid w:val="00852107"/>
    <w:rsid w:val="00852186"/>
    <w:rsid w:val="0085218A"/>
    <w:rsid w:val="008521BF"/>
    <w:rsid w:val="008521C4"/>
    <w:rsid w:val="008521C6"/>
    <w:rsid w:val="008521D4"/>
    <w:rsid w:val="00852242"/>
    <w:rsid w:val="0085224E"/>
    <w:rsid w:val="0085225A"/>
    <w:rsid w:val="0085225E"/>
    <w:rsid w:val="0085226A"/>
    <w:rsid w:val="00852295"/>
    <w:rsid w:val="008522A7"/>
    <w:rsid w:val="008522B8"/>
    <w:rsid w:val="008522C0"/>
    <w:rsid w:val="008522FD"/>
    <w:rsid w:val="0085230F"/>
    <w:rsid w:val="00852361"/>
    <w:rsid w:val="0085237D"/>
    <w:rsid w:val="008523F8"/>
    <w:rsid w:val="00852454"/>
    <w:rsid w:val="00852477"/>
    <w:rsid w:val="0085248A"/>
    <w:rsid w:val="0085249D"/>
    <w:rsid w:val="008524EF"/>
    <w:rsid w:val="0085254D"/>
    <w:rsid w:val="00852554"/>
    <w:rsid w:val="00852568"/>
    <w:rsid w:val="00852592"/>
    <w:rsid w:val="008525BD"/>
    <w:rsid w:val="008525EC"/>
    <w:rsid w:val="008525EE"/>
    <w:rsid w:val="00852667"/>
    <w:rsid w:val="0085268C"/>
    <w:rsid w:val="0085269F"/>
    <w:rsid w:val="008526D7"/>
    <w:rsid w:val="008526E0"/>
    <w:rsid w:val="008526EA"/>
    <w:rsid w:val="00852763"/>
    <w:rsid w:val="008527FC"/>
    <w:rsid w:val="00852822"/>
    <w:rsid w:val="00852836"/>
    <w:rsid w:val="00852895"/>
    <w:rsid w:val="0085292C"/>
    <w:rsid w:val="0085294B"/>
    <w:rsid w:val="00852978"/>
    <w:rsid w:val="00852998"/>
    <w:rsid w:val="00852A00"/>
    <w:rsid w:val="00852A2D"/>
    <w:rsid w:val="00852A76"/>
    <w:rsid w:val="00852A8E"/>
    <w:rsid w:val="00852B06"/>
    <w:rsid w:val="00852B0F"/>
    <w:rsid w:val="00852B36"/>
    <w:rsid w:val="00852B79"/>
    <w:rsid w:val="00852B92"/>
    <w:rsid w:val="00852C06"/>
    <w:rsid w:val="00852C7E"/>
    <w:rsid w:val="00852C87"/>
    <w:rsid w:val="00852C9F"/>
    <w:rsid w:val="00852CA9"/>
    <w:rsid w:val="00852CAD"/>
    <w:rsid w:val="00852D3A"/>
    <w:rsid w:val="00852D46"/>
    <w:rsid w:val="00852D60"/>
    <w:rsid w:val="00852D74"/>
    <w:rsid w:val="00852D83"/>
    <w:rsid w:val="00852DC1"/>
    <w:rsid w:val="00852E2E"/>
    <w:rsid w:val="00852E37"/>
    <w:rsid w:val="00852E3F"/>
    <w:rsid w:val="00852E44"/>
    <w:rsid w:val="00852E6A"/>
    <w:rsid w:val="00852E6C"/>
    <w:rsid w:val="00852ED2"/>
    <w:rsid w:val="00852EEF"/>
    <w:rsid w:val="00852EFB"/>
    <w:rsid w:val="00852F76"/>
    <w:rsid w:val="00852FA0"/>
    <w:rsid w:val="00852FB1"/>
    <w:rsid w:val="00852FC7"/>
    <w:rsid w:val="00853067"/>
    <w:rsid w:val="00853080"/>
    <w:rsid w:val="008530DE"/>
    <w:rsid w:val="008530EC"/>
    <w:rsid w:val="008530FA"/>
    <w:rsid w:val="00853127"/>
    <w:rsid w:val="00853129"/>
    <w:rsid w:val="008531C1"/>
    <w:rsid w:val="00853200"/>
    <w:rsid w:val="00853208"/>
    <w:rsid w:val="00853255"/>
    <w:rsid w:val="0085325D"/>
    <w:rsid w:val="00853268"/>
    <w:rsid w:val="00853291"/>
    <w:rsid w:val="008532C2"/>
    <w:rsid w:val="008532FB"/>
    <w:rsid w:val="0085334F"/>
    <w:rsid w:val="008533E2"/>
    <w:rsid w:val="00853410"/>
    <w:rsid w:val="00853434"/>
    <w:rsid w:val="0085344B"/>
    <w:rsid w:val="00853468"/>
    <w:rsid w:val="00853497"/>
    <w:rsid w:val="008534AC"/>
    <w:rsid w:val="008534BD"/>
    <w:rsid w:val="008534E3"/>
    <w:rsid w:val="008534FB"/>
    <w:rsid w:val="00853507"/>
    <w:rsid w:val="00853523"/>
    <w:rsid w:val="0085352D"/>
    <w:rsid w:val="0085360F"/>
    <w:rsid w:val="00853673"/>
    <w:rsid w:val="0085368E"/>
    <w:rsid w:val="00853700"/>
    <w:rsid w:val="00853726"/>
    <w:rsid w:val="00853749"/>
    <w:rsid w:val="0085378E"/>
    <w:rsid w:val="0085380E"/>
    <w:rsid w:val="00853846"/>
    <w:rsid w:val="00853862"/>
    <w:rsid w:val="00853871"/>
    <w:rsid w:val="0085392C"/>
    <w:rsid w:val="00853933"/>
    <w:rsid w:val="00853956"/>
    <w:rsid w:val="008539B1"/>
    <w:rsid w:val="00853A0F"/>
    <w:rsid w:val="00853A20"/>
    <w:rsid w:val="00853A3A"/>
    <w:rsid w:val="00853A76"/>
    <w:rsid w:val="00853A9E"/>
    <w:rsid w:val="00853AB3"/>
    <w:rsid w:val="00853ABF"/>
    <w:rsid w:val="00853B0F"/>
    <w:rsid w:val="00853BA3"/>
    <w:rsid w:val="00853BB2"/>
    <w:rsid w:val="00853BBE"/>
    <w:rsid w:val="00853BE1"/>
    <w:rsid w:val="00853C09"/>
    <w:rsid w:val="00853C21"/>
    <w:rsid w:val="00853C39"/>
    <w:rsid w:val="00853C89"/>
    <w:rsid w:val="00853D56"/>
    <w:rsid w:val="00853D68"/>
    <w:rsid w:val="00853E8B"/>
    <w:rsid w:val="00853EF4"/>
    <w:rsid w:val="00853F5F"/>
    <w:rsid w:val="00853F8B"/>
    <w:rsid w:val="00853FB8"/>
    <w:rsid w:val="00853FBC"/>
    <w:rsid w:val="00853FD3"/>
    <w:rsid w:val="0085408E"/>
    <w:rsid w:val="008540A8"/>
    <w:rsid w:val="008540CD"/>
    <w:rsid w:val="0085412E"/>
    <w:rsid w:val="0085413D"/>
    <w:rsid w:val="0085415B"/>
    <w:rsid w:val="00854197"/>
    <w:rsid w:val="008541AC"/>
    <w:rsid w:val="00854203"/>
    <w:rsid w:val="00854208"/>
    <w:rsid w:val="00854255"/>
    <w:rsid w:val="00854258"/>
    <w:rsid w:val="00854261"/>
    <w:rsid w:val="0085426B"/>
    <w:rsid w:val="008542E0"/>
    <w:rsid w:val="00854302"/>
    <w:rsid w:val="0085431C"/>
    <w:rsid w:val="0085433D"/>
    <w:rsid w:val="0085434C"/>
    <w:rsid w:val="00854372"/>
    <w:rsid w:val="00854379"/>
    <w:rsid w:val="00854400"/>
    <w:rsid w:val="0085442F"/>
    <w:rsid w:val="0085444F"/>
    <w:rsid w:val="0085445E"/>
    <w:rsid w:val="0085447D"/>
    <w:rsid w:val="008544B4"/>
    <w:rsid w:val="008544EF"/>
    <w:rsid w:val="00854507"/>
    <w:rsid w:val="0085454C"/>
    <w:rsid w:val="00854581"/>
    <w:rsid w:val="00854583"/>
    <w:rsid w:val="0085459E"/>
    <w:rsid w:val="008545BD"/>
    <w:rsid w:val="008545D1"/>
    <w:rsid w:val="008545DC"/>
    <w:rsid w:val="008545F2"/>
    <w:rsid w:val="00854612"/>
    <w:rsid w:val="00854647"/>
    <w:rsid w:val="0085464D"/>
    <w:rsid w:val="0085465A"/>
    <w:rsid w:val="008546E8"/>
    <w:rsid w:val="008546F6"/>
    <w:rsid w:val="0085471C"/>
    <w:rsid w:val="00854737"/>
    <w:rsid w:val="0085473E"/>
    <w:rsid w:val="00854777"/>
    <w:rsid w:val="008547B7"/>
    <w:rsid w:val="00854811"/>
    <w:rsid w:val="0085486F"/>
    <w:rsid w:val="008548C7"/>
    <w:rsid w:val="008548DA"/>
    <w:rsid w:val="008548FE"/>
    <w:rsid w:val="00854973"/>
    <w:rsid w:val="008549A2"/>
    <w:rsid w:val="008549E3"/>
    <w:rsid w:val="008549ED"/>
    <w:rsid w:val="008549FE"/>
    <w:rsid w:val="00854A04"/>
    <w:rsid w:val="00854A26"/>
    <w:rsid w:val="00854A46"/>
    <w:rsid w:val="00854A75"/>
    <w:rsid w:val="00854AA3"/>
    <w:rsid w:val="00854ABD"/>
    <w:rsid w:val="00854AC5"/>
    <w:rsid w:val="00854AD4"/>
    <w:rsid w:val="00854B75"/>
    <w:rsid w:val="00854B7B"/>
    <w:rsid w:val="00854B96"/>
    <w:rsid w:val="00854BA5"/>
    <w:rsid w:val="00854BAB"/>
    <w:rsid w:val="00854C18"/>
    <w:rsid w:val="00854C52"/>
    <w:rsid w:val="00854CD7"/>
    <w:rsid w:val="00854D14"/>
    <w:rsid w:val="00854D1D"/>
    <w:rsid w:val="00854D23"/>
    <w:rsid w:val="00854D34"/>
    <w:rsid w:val="00854D5C"/>
    <w:rsid w:val="00854DC6"/>
    <w:rsid w:val="00854E43"/>
    <w:rsid w:val="00854E89"/>
    <w:rsid w:val="00854F17"/>
    <w:rsid w:val="00854F28"/>
    <w:rsid w:val="00854F4F"/>
    <w:rsid w:val="00854F53"/>
    <w:rsid w:val="00854FCF"/>
    <w:rsid w:val="00854FE1"/>
    <w:rsid w:val="00855041"/>
    <w:rsid w:val="0085504B"/>
    <w:rsid w:val="00855051"/>
    <w:rsid w:val="00855065"/>
    <w:rsid w:val="008550D2"/>
    <w:rsid w:val="0085512C"/>
    <w:rsid w:val="0085513B"/>
    <w:rsid w:val="0085515A"/>
    <w:rsid w:val="008551F9"/>
    <w:rsid w:val="00855265"/>
    <w:rsid w:val="0085527A"/>
    <w:rsid w:val="0085527B"/>
    <w:rsid w:val="00855295"/>
    <w:rsid w:val="008552F7"/>
    <w:rsid w:val="00855354"/>
    <w:rsid w:val="008553D6"/>
    <w:rsid w:val="0085541F"/>
    <w:rsid w:val="00855471"/>
    <w:rsid w:val="0085548C"/>
    <w:rsid w:val="0085549A"/>
    <w:rsid w:val="008554A4"/>
    <w:rsid w:val="008554A9"/>
    <w:rsid w:val="008554F2"/>
    <w:rsid w:val="00855538"/>
    <w:rsid w:val="00855542"/>
    <w:rsid w:val="008555AA"/>
    <w:rsid w:val="008555CB"/>
    <w:rsid w:val="008555D8"/>
    <w:rsid w:val="008555E3"/>
    <w:rsid w:val="00855621"/>
    <w:rsid w:val="0085569A"/>
    <w:rsid w:val="008556B0"/>
    <w:rsid w:val="008556B3"/>
    <w:rsid w:val="008556C8"/>
    <w:rsid w:val="008556CC"/>
    <w:rsid w:val="0085576B"/>
    <w:rsid w:val="0085578F"/>
    <w:rsid w:val="00855790"/>
    <w:rsid w:val="00855796"/>
    <w:rsid w:val="008557D7"/>
    <w:rsid w:val="00855858"/>
    <w:rsid w:val="0085592B"/>
    <w:rsid w:val="0085593B"/>
    <w:rsid w:val="0085593C"/>
    <w:rsid w:val="00855956"/>
    <w:rsid w:val="0085595A"/>
    <w:rsid w:val="0085595B"/>
    <w:rsid w:val="00855970"/>
    <w:rsid w:val="008559D4"/>
    <w:rsid w:val="00855A0E"/>
    <w:rsid w:val="00855A13"/>
    <w:rsid w:val="00855A44"/>
    <w:rsid w:val="00855A4F"/>
    <w:rsid w:val="00855A6E"/>
    <w:rsid w:val="00855ABA"/>
    <w:rsid w:val="00855AF2"/>
    <w:rsid w:val="00855B4B"/>
    <w:rsid w:val="00855B60"/>
    <w:rsid w:val="00855B75"/>
    <w:rsid w:val="00855B7C"/>
    <w:rsid w:val="00855B84"/>
    <w:rsid w:val="00855B93"/>
    <w:rsid w:val="00855BA0"/>
    <w:rsid w:val="00855BF8"/>
    <w:rsid w:val="00855C09"/>
    <w:rsid w:val="00855C0B"/>
    <w:rsid w:val="00855C63"/>
    <w:rsid w:val="00855C73"/>
    <w:rsid w:val="00855CD3"/>
    <w:rsid w:val="00855D36"/>
    <w:rsid w:val="00855DB5"/>
    <w:rsid w:val="00855DC0"/>
    <w:rsid w:val="00855DE3"/>
    <w:rsid w:val="00855E3F"/>
    <w:rsid w:val="00855E6D"/>
    <w:rsid w:val="00855EC8"/>
    <w:rsid w:val="00855EEE"/>
    <w:rsid w:val="00855F3A"/>
    <w:rsid w:val="00855F83"/>
    <w:rsid w:val="00855F97"/>
    <w:rsid w:val="00855F9A"/>
    <w:rsid w:val="00855FDC"/>
    <w:rsid w:val="00855FEF"/>
    <w:rsid w:val="0085602C"/>
    <w:rsid w:val="008560A1"/>
    <w:rsid w:val="0085615F"/>
    <w:rsid w:val="0085617C"/>
    <w:rsid w:val="00856189"/>
    <w:rsid w:val="0085619F"/>
    <w:rsid w:val="008561B4"/>
    <w:rsid w:val="00856204"/>
    <w:rsid w:val="0085623A"/>
    <w:rsid w:val="00856264"/>
    <w:rsid w:val="0085626E"/>
    <w:rsid w:val="0085628D"/>
    <w:rsid w:val="008562C4"/>
    <w:rsid w:val="008562C8"/>
    <w:rsid w:val="008562F0"/>
    <w:rsid w:val="00856333"/>
    <w:rsid w:val="00856336"/>
    <w:rsid w:val="00856341"/>
    <w:rsid w:val="008563A5"/>
    <w:rsid w:val="008563B2"/>
    <w:rsid w:val="008563B3"/>
    <w:rsid w:val="008563D5"/>
    <w:rsid w:val="00856446"/>
    <w:rsid w:val="008564C1"/>
    <w:rsid w:val="0085655E"/>
    <w:rsid w:val="00856560"/>
    <w:rsid w:val="00856578"/>
    <w:rsid w:val="0085661E"/>
    <w:rsid w:val="008566A8"/>
    <w:rsid w:val="008566AD"/>
    <w:rsid w:val="00856735"/>
    <w:rsid w:val="0085674E"/>
    <w:rsid w:val="0085679A"/>
    <w:rsid w:val="0085684C"/>
    <w:rsid w:val="00856851"/>
    <w:rsid w:val="0085688D"/>
    <w:rsid w:val="008568BA"/>
    <w:rsid w:val="008569BB"/>
    <w:rsid w:val="008569E9"/>
    <w:rsid w:val="008569FD"/>
    <w:rsid w:val="00856A2C"/>
    <w:rsid w:val="00856A39"/>
    <w:rsid w:val="00856A3A"/>
    <w:rsid w:val="00856AA9"/>
    <w:rsid w:val="00856AAD"/>
    <w:rsid w:val="00856AB7"/>
    <w:rsid w:val="00856B03"/>
    <w:rsid w:val="00856B05"/>
    <w:rsid w:val="00856B8C"/>
    <w:rsid w:val="00856BA4"/>
    <w:rsid w:val="00856C18"/>
    <w:rsid w:val="00856C2A"/>
    <w:rsid w:val="00856C4D"/>
    <w:rsid w:val="00856C65"/>
    <w:rsid w:val="00856CA6"/>
    <w:rsid w:val="00856CAD"/>
    <w:rsid w:val="00856CD5"/>
    <w:rsid w:val="00856CE5"/>
    <w:rsid w:val="00856CF2"/>
    <w:rsid w:val="00856D08"/>
    <w:rsid w:val="00856D40"/>
    <w:rsid w:val="00856D99"/>
    <w:rsid w:val="00856DC0"/>
    <w:rsid w:val="00856E24"/>
    <w:rsid w:val="00856E4A"/>
    <w:rsid w:val="00856E51"/>
    <w:rsid w:val="00856E59"/>
    <w:rsid w:val="00856E70"/>
    <w:rsid w:val="00856ED0"/>
    <w:rsid w:val="00856FBF"/>
    <w:rsid w:val="0085707C"/>
    <w:rsid w:val="00857140"/>
    <w:rsid w:val="00857141"/>
    <w:rsid w:val="0085719E"/>
    <w:rsid w:val="008571A0"/>
    <w:rsid w:val="008571CA"/>
    <w:rsid w:val="008571F5"/>
    <w:rsid w:val="00857232"/>
    <w:rsid w:val="00857264"/>
    <w:rsid w:val="00857278"/>
    <w:rsid w:val="00857280"/>
    <w:rsid w:val="0085728A"/>
    <w:rsid w:val="008572A3"/>
    <w:rsid w:val="008572C3"/>
    <w:rsid w:val="008572F5"/>
    <w:rsid w:val="008572F7"/>
    <w:rsid w:val="00857327"/>
    <w:rsid w:val="00857333"/>
    <w:rsid w:val="00857346"/>
    <w:rsid w:val="0085734D"/>
    <w:rsid w:val="00857351"/>
    <w:rsid w:val="00857352"/>
    <w:rsid w:val="00857382"/>
    <w:rsid w:val="00857393"/>
    <w:rsid w:val="00857420"/>
    <w:rsid w:val="00857451"/>
    <w:rsid w:val="008574BE"/>
    <w:rsid w:val="008574C0"/>
    <w:rsid w:val="008574FC"/>
    <w:rsid w:val="00857522"/>
    <w:rsid w:val="00857539"/>
    <w:rsid w:val="0085753F"/>
    <w:rsid w:val="00857573"/>
    <w:rsid w:val="0085757F"/>
    <w:rsid w:val="008575AC"/>
    <w:rsid w:val="008575F5"/>
    <w:rsid w:val="0085761D"/>
    <w:rsid w:val="00857644"/>
    <w:rsid w:val="00857645"/>
    <w:rsid w:val="0085764F"/>
    <w:rsid w:val="00857664"/>
    <w:rsid w:val="008576F2"/>
    <w:rsid w:val="00857703"/>
    <w:rsid w:val="0085772E"/>
    <w:rsid w:val="00857758"/>
    <w:rsid w:val="0085776B"/>
    <w:rsid w:val="00857786"/>
    <w:rsid w:val="008577A8"/>
    <w:rsid w:val="008577E6"/>
    <w:rsid w:val="00857803"/>
    <w:rsid w:val="0085786E"/>
    <w:rsid w:val="00857880"/>
    <w:rsid w:val="008578D1"/>
    <w:rsid w:val="00857917"/>
    <w:rsid w:val="00857922"/>
    <w:rsid w:val="00857976"/>
    <w:rsid w:val="00857991"/>
    <w:rsid w:val="008579A3"/>
    <w:rsid w:val="00857A01"/>
    <w:rsid w:val="00857A19"/>
    <w:rsid w:val="00857A33"/>
    <w:rsid w:val="00857A3A"/>
    <w:rsid w:val="00857A46"/>
    <w:rsid w:val="00857A56"/>
    <w:rsid w:val="00857A76"/>
    <w:rsid w:val="00857A94"/>
    <w:rsid w:val="00857ACF"/>
    <w:rsid w:val="00857B1A"/>
    <w:rsid w:val="00857B1B"/>
    <w:rsid w:val="00857B52"/>
    <w:rsid w:val="00857B7F"/>
    <w:rsid w:val="00857C07"/>
    <w:rsid w:val="00857C0D"/>
    <w:rsid w:val="00857C1E"/>
    <w:rsid w:val="00857C21"/>
    <w:rsid w:val="00857C54"/>
    <w:rsid w:val="00857C5C"/>
    <w:rsid w:val="00857CBC"/>
    <w:rsid w:val="00857D1E"/>
    <w:rsid w:val="00857D39"/>
    <w:rsid w:val="00857D54"/>
    <w:rsid w:val="00857DD4"/>
    <w:rsid w:val="00857E00"/>
    <w:rsid w:val="00857E4B"/>
    <w:rsid w:val="00857E86"/>
    <w:rsid w:val="00857EB1"/>
    <w:rsid w:val="00857F0A"/>
    <w:rsid w:val="00857F66"/>
    <w:rsid w:val="00857FC1"/>
    <w:rsid w:val="00857FEE"/>
    <w:rsid w:val="0086002D"/>
    <w:rsid w:val="00860041"/>
    <w:rsid w:val="00860044"/>
    <w:rsid w:val="00860052"/>
    <w:rsid w:val="008600D2"/>
    <w:rsid w:val="008600DC"/>
    <w:rsid w:val="008600E7"/>
    <w:rsid w:val="008600ED"/>
    <w:rsid w:val="008600FB"/>
    <w:rsid w:val="00860134"/>
    <w:rsid w:val="00860141"/>
    <w:rsid w:val="00860179"/>
    <w:rsid w:val="0086017A"/>
    <w:rsid w:val="0086019B"/>
    <w:rsid w:val="008601D7"/>
    <w:rsid w:val="00860217"/>
    <w:rsid w:val="0086021B"/>
    <w:rsid w:val="0086021D"/>
    <w:rsid w:val="00860273"/>
    <w:rsid w:val="008602B3"/>
    <w:rsid w:val="008602CB"/>
    <w:rsid w:val="008602E4"/>
    <w:rsid w:val="0086030D"/>
    <w:rsid w:val="008603B0"/>
    <w:rsid w:val="00860405"/>
    <w:rsid w:val="0086043E"/>
    <w:rsid w:val="0086045B"/>
    <w:rsid w:val="00860469"/>
    <w:rsid w:val="008604B6"/>
    <w:rsid w:val="008604D7"/>
    <w:rsid w:val="0086050B"/>
    <w:rsid w:val="00860516"/>
    <w:rsid w:val="00860518"/>
    <w:rsid w:val="00860529"/>
    <w:rsid w:val="00860571"/>
    <w:rsid w:val="008605C9"/>
    <w:rsid w:val="008605E0"/>
    <w:rsid w:val="008605F8"/>
    <w:rsid w:val="0086062F"/>
    <w:rsid w:val="00860658"/>
    <w:rsid w:val="0086065B"/>
    <w:rsid w:val="00860686"/>
    <w:rsid w:val="008606C1"/>
    <w:rsid w:val="008606D7"/>
    <w:rsid w:val="00860724"/>
    <w:rsid w:val="00860744"/>
    <w:rsid w:val="008607E3"/>
    <w:rsid w:val="008607EA"/>
    <w:rsid w:val="008607F5"/>
    <w:rsid w:val="008607FC"/>
    <w:rsid w:val="0086080D"/>
    <w:rsid w:val="00860834"/>
    <w:rsid w:val="00860862"/>
    <w:rsid w:val="00860882"/>
    <w:rsid w:val="00860895"/>
    <w:rsid w:val="008608D1"/>
    <w:rsid w:val="008608DA"/>
    <w:rsid w:val="008608E4"/>
    <w:rsid w:val="0086093F"/>
    <w:rsid w:val="00860952"/>
    <w:rsid w:val="00860981"/>
    <w:rsid w:val="008609AD"/>
    <w:rsid w:val="008609BC"/>
    <w:rsid w:val="00860A17"/>
    <w:rsid w:val="00860A2A"/>
    <w:rsid w:val="00860B21"/>
    <w:rsid w:val="00860B5F"/>
    <w:rsid w:val="00860B6E"/>
    <w:rsid w:val="00860BAC"/>
    <w:rsid w:val="00860BBC"/>
    <w:rsid w:val="00860BF7"/>
    <w:rsid w:val="00860C6F"/>
    <w:rsid w:val="00860C8D"/>
    <w:rsid w:val="00860CA5"/>
    <w:rsid w:val="00860CB5"/>
    <w:rsid w:val="00860D14"/>
    <w:rsid w:val="00860D2F"/>
    <w:rsid w:val="00860D38"/>
    <w:rsid w:val="00860D72"/>
    <w:rsid w:val="00860D7C"/>
    <w:rsid w:val="00860DB0"/>
    <w:rsid w:val="00860DE2"/>
    <w:rsid w:val="00860DE8"/>
    <w:rsid w:val="00860E49"/>
    <w:rsid w:val="00860E7F"/>
    <w:rsid w:val="00860E8D"/>
    <w:rsid w:val="00860ECE"/>
    <w:rsid w:val="00860EDD"/>
    <w:rsid w:val="00860FC5"/>
    <w:rsid w:val="00861020"/>
    <w:rsid w:val="00861026"/>
    <w:rsid w:val="00861035"/>
    <w:rsid w:val="00861047"/>
    <w:rsid w:val="00861098"/>
    <w:rsid w:val="00861099"/>
    <w:rsid w:val="008610A9"/>
    <w:rsid w:val="008610D1"/>
    <w:rsid w:val="008610D5"/>
    <w:rsid w:val="008610E5"/>
    <w:rsid w:val="0086110C"/>
    <w:rsid w:val="00861159"/>
    <w:rsid w:val="00861172"/>
    <w:rsid w:val="00861220"/>
    <w:rsid w:val="00861252"/>
    <w:rsid w:val="0086126D"/>
    <w:rsid w:val="00861291"/>
    <w:rsid w:val="008612E6"/>
    <w:rsid w:val="008612E7"/>
    <w:rsid w:val="0086131D"/>
    <w:rsid w:val="00861374"/>
    <w:rsid w:val="008613BD"/>
    <w:rsid w:val="00861445"/>
    <w:rsid w:val="0086148E"/>
    <w:rsid w:val="00861496"/>
    <w:rsid w:val="0086149A"/>
    <w:rsid w:val="008614E1"/>
    <w:rsid w:val="0086151A"/>
    <w:rsid w:val="0086151E"/>
    <w:rsid w:val="00861563"/>
    <w:rsid w:val="008615AD"/>
    <w:rsid w:val="008615B6"/>
    <w:rsid w:val="008615C5"/>
    <w:rsid w:val="00861610"/>
    <w:rsid w:val="00861652"/>
    <w:rsid w:val="0086167C"/>
    <w:rsid w:val="00861684"/>
    <w:rsid w:val="0086168B"/>
    <w:rsid w:val="008616B0"/>
    <w:rsid w:val="008616DD"/>
    <w:rsid w:val="008616E8"/>
    <w:rsid w:val="008616FE"/>
    <w:rsid w:val="00861700"/>
    <w:rsid w:val="00861717"/>
    <w:rsid w:val="0086172E"/>
    <w:rsid w:val="0086175C"/>
    <w:rsid w:val="00861777"/>
    <w:rsid w:val="00861789"/>
    <w:rsid w:val="00861809"/>
    <w:rsid w:val="00861822"/>
    <w:rsid w:val="00861858"/>
    <w:rsid w:val="00861862"/>
    <w:rsid w:val="00861863"/>
    <w:rsid w:val="00861875"/>
    <w:rsid w:val="008618B8"/>
    <w:rsid w:val="008618CD"/>
    <w:rsid w:val="00861918"/>
    <w:rsid w:val="0086191A"/>
    <w:rsid w:val="0086192D"/>
    <w:rsid w:val="0086199B"/>
    <w:rsid w:val="008619FF"/>
    <w:rsid w:val="00861A23"/>
    <w:rsid w:val="00861AF9"/>
    <w:rsid w:val="00861B3E"/>
    <w:rsid w:val="00861B46"/>
    <w:rsid w:val="00861B72"/>
    <w:rsid w:val="00861BB8"/>
    <w:rsid w:val="00861BE3"/>
    <w:rsid w:val="00861C2C"/>
    <w:rsid w:val="00861C6A"/>
    <w:rsid w:val="00861CBB"/>
    <w:rsid w:val="00861CC6"/>
    <w:rsid w:val="00861CCC"/>
    <w:rsid w:val="00861D07"/>
    <w:rsid w:val="00861D40"/>
    <w:rsid w:val="00861D71"/>
    <w:rsid w:val="00861D79"/>
    <w:rsid w:val="00861DA5"/>
    <w:rsid w:val="00861DA6"/>
    <w:rsid w:val="00861DBE"/>
    <w:rsid w:val="00861DC4"/>
    <w:rsid w:val="00861DC6"/>
    <w:rsid w:val="00861DFC"/>
    <w:rsid w:val="00861E10"/>
    <w:rsid w:val="00861E6A"/>
    <w:rsid w:val="00861E7E"/>
    <w:rsid w:val="00861EE1"/>
    <w:rsid w:val="00861F14"/>
    <w:rsid w:val="00861F2A"/>
    <w:rsid w:val="00861F3B"/>
    <w:rsid w:val="00861F40"/>
    <w:rsid w:val="00861F5F"/>
    <w:rsid w:val="00861F81"/>
    <w:rsid w:val="00861FFD"/>
    <w:rsid w:val="00862057"/>
    <w:rsid w:val="00862059"/>
    <w:rsid w:val="00862079"/>
    <w:rsid w:val="0086207F"/>
    <w:rsid w:val="008620A9"/>
    <w:rsid w:val="008620B5"/>
    <w:rsid w:val="008620C8"/>
    <w:rsid w:val="008620D4"/>
    <w:rsid w:val="008620D9"/>
    <w:rsid w:val="0086216F"/>
    <w:rsid w:val="00862170"/>
    <w:rsid w:val="00862174"/>
    <w:rsid w:val="0086217C"/>
    <w:rsid w:val="008621BE"/>
    <w:rsid w:val="00862234"/>
    <w:rsid w:val="00862289"/>
    <w:rsid w:val="00862295"/>
    <w:rsid w:val="008622B5"/>
    <w:rsid w:val="008622F2"/>
    <w:rsid w:val="0086230C"/>
    <w:rsid w:val="00862327"/>
    <w:rsid w:val="008623A7"/>
    <w:rsid w:val="008623CF"/>
    <w:rsid w:val="008623D2"/>
    <w:rsid w:val="008623F2"/>
    <w:rsid w:val="008623F8"/>
    <w:rsid w:val="00862423"/>
    <w:rsid w:val="00862467"/>
    <w:rsid w:val="00862481"/>
    <w:rsid w:val="0086248B"/>
    <w:rsid w:val="00862493"/>
    <w:rsid w:val="008624A4"/>
    <w:rsid w:val="008624AF"/>
    <w:rsid w:val="008624DA"/>
    <w:rsid w:val="008624FA"/>
    <w:rsid w:val="0086251D"/>
    <w:rsid w:val="00862525"/>
    <w:rsid w:val="0086252E"/>
    <w:rsid w:val="00862545"/>
    <w:rsid w:val="00862553"/>
    <w:rsid w:val="00862560"/>
    <w:rsid w:val="00862569"/>
    <w:rsid w:val="00862595"/>
    <w:rsid w:val="008625AF"/>
    <w:rsid w:val="008625F8"/>
    <w:rsid w:val="0086260F"/>
    <w:rsid w:val="0086261F"/>
    <w:rsid w:val="00862648"/>
    <w:rsid w:val="00862687"/>
    <w:rsid w:val="00862697"/>
    <w:rsid w:val="008626C1"/>
    <w:rsid w:val="008626DA"/>
    <w:rsid w:val="00862739"/>
    <w:rsid w:val="00862759"/>
    <w:rsid w:val="00862770"/>
    <w:rsid w:val="0086277D"/>
    <w:rsid w:val="00862794"/>
    <w:rsid w:val="008627E7"/>
    <w:rsid w:val="00862819"/>
    <w:rsid w:val="0086283F"/>
    <w:rsid w:val="0086285E"/>
    <w:rsid w:val="00862874"/>
    <w:rsid w:val="0086297A"/>
    <w:rsid w:val="00862980"/>
    <w:rsid w:val="00862988"/>
    <w:rsid w:val="008629A7"/>
    <w:rsid w:val="008629E7"/>
    <w:rsid w:val="008629FC"/>
    <w:rsid w:val="00862A19"/>
    <w:rsid w:val="00862A4C"/>
    <w:rsid w:val="00862A85"/>
    <w:rsid w:val="00862AE8"/>
    <w:rsid w:val="00862AF8"/>
    <w:rsid w:val="00862B0E"/>
    <w:rsid w:val="00862B9C"/>
    <w:rsid w:val="00862BA3"/>
    <w:rsid w:val="00862BB4"/>
    <w:rsid w:val="00862C11"/>
    <w:rsid w:val="00862C1F"/>
    <w:rsid w:val="00862C26"/>
    <w:rsid w:val="00862C9A"/>
    <w:rsid w:val="00862CA2"/>
    <w:rsid w:val="00862CBF"/>
    <w:rsid w:val="00862D0F"/>
    <w:rsid w:val="00862D1E"/>
    <w:rsid w:val="00862D61"/>
    <w:rsid w:val="00862D87"/>
    <w:rsid w:val="00862DB7"/>
    <w:rsid w:val="00862DB9"/>
    <w:rsid w:val="00862DD3"/>
    <w:rsid w:val="00862DF6"/>
    <w:rsid w:val="00862DF9"/>
    <w:rsid w:val="00862E05"/>
    <w:rsid w:val="00862E61"/>
    <w:rsid w:val="00862E6D"/>
    <w:rsid w:val="00862EA0"/>
    <w:rsid w:val="00862F04"/>
    <w:rsid w:val="00862FC3"/>
    <w:rsid w:val="00862FDC"/>
    <w:rsid w:val="00863024"/>
    <w:rsid w:val="00863066"/>
    <w:rsid w:val="00863067"/>
    <w:rsid w:val="0086308F"/>
    <w:rsid w:val="0086313C"/>
    <w:rsid w:val="008631A3"/>
    <w:rsid w:val="008631F6"/>
    <w:rsid w:val="008631FC"/>
    <w:rsid w:val="008632D1"/>
    <w:rsid w:val="008632F5"/>
    <w:rsid w:val="008632F9"/>
    <w:rsid w:val="0086333D"/>
    <w:rsid w:val="0086333E"/>
    <w:rsid w:val="008634B8"/>
    <w:rsid w:val="008634D4"/>
    <w:rsid w:val="0086350D"/>
    <w:rsid w:val="00863565"/>
    <w:rsid w:val="008635A4"/>
    <w:rsid w:val="008635AE"/>
    <w:rsid w:val="008635B5"/>
    <w:rsid w:val="008635CA"/>
    <w:rsid w:val="00863601"/>
    <w:rsid w:val="0086361F"/>
    <w:rsid w:val="00863620"/>
    <w:rsid w:val="00863683"/>
    <w:rsid w:val="00863690"/>
    <w:rsid w:val="008636B8"/>
    <w:rsid w:val="008636B9"/>
    <w:rsid w:val="008637BD"/>
    <w:rsid w:val="008637D7"/>
    <w:rsid w:val="008637D8"/>
    <w:rsid w:val="0086383F"/>
    <w:rsid w:val="00863857"/>
    <w:rsid w:val="0086386D"/>
    <w:rsid w:val="00863886"/>
    <w:rsid w:val="0086389F"/>
    <w:rsid w:val="008638A1"/>
    <w:rsid w:val="008638B0"/>
    <w:rsid w:val="008638D8"/>
    <w:rsid w:val="00863917"/>
    <w:rsid w:val="0086391A"/>
    <w:rsid w:val="00863961"/>
    <w:rsid w:val="00863986"/>
    <w:rsid w:val="00863A45"/>
    <w:rsid w:val="00863A77"/>
    <w:rsid w:val="00863A8D"/>
    <w:rsid w:val="00863B00"/>
    <w:rsid w:val="00863B64"/>
    <w:rsid w:val="00863B71"/>
    <w:rsid w:val="00863B8E"/>
    <w:rsid w:val="00863BF7"/>
    <w:rsid w:val="00863C04"/>
    <w:rsid w:val="00863C12"/>
    <w:rsid w:val="00863C4F"/>
    <w:rsid w:val="00863C61"/>
    <w:rsid w:val="00863CCE"/>
    <w:rsid w:val="00863CEC"/>
    <w:rsid w:val="00863D44"/>
    <w:rsid w:val="00863D50"/>
    <w:rsid w:val="00863D69"/>
    <w:rsid w:val="00863D82"/>
    <w:rsid w:val="00863DA0"/>
    <w:rsid w:val="00863DA1"/>
    <w:rsid w:val="00863DA3"/>
    <w:rsid w:val="00863DE0"/>
    <w:rsid w:val="00863DEE"/>
    <w:rsid w:val="00863E65"/>
    <w:rsid w:val="00863E72"/>
    <w:rsid w:val="00863EAA"/>
    <w:rsid w:val="00863ED4"/>
    <w:rsid w:val="00863EE9"/>
    <w:rsid w:val="00863EF9"/>
    <w:rsid w:val="00863F3A"/>
    <w:rsid w:val="00863F73"/>
    <w:rsid w:val="00864010"/>
    <w:rsid w:val="00864092"/>
    <w:rsid w:val="008640BE"/>
    <w:rsid w:val="008640D9"/>
    <w:rsid w:val="00864161"/>
    <w:rsid w:val="00864170"/>
    <w:rsid w:val="00864177"/>
    <w:rsid w:val="00864182"/>
    <w:rsid w:val="0086418D"/>
    <w:rsid w:val="008641A7"/>
    <w:rsid w:val="008641D0"/>
    <w:rsid w:val="008641D2"/>
    <w:rsid w:val="008641FC"/>
    <w:rsid w:val="0086422F"/>
    <w:rsid w:val="00864246"/>
    <w:rsid w:val="0086424A"/>
    <w:rsid w:val="0086430A"/>
    <w:rsid w:val="00864325"/>
    <w:rsid w:val="0086440C"/>
    <w:rsid w:val="00864420"/>
    <w:rsid w:val="00864427"/>
    <w:rsid w:val="00864432"/>
    <w:rsid w:val="0086445D"/>
    <w:rsid w:val="00864470"/>
    <w:rsid w:val="008644B7"/>
    <w:rsid w:val="008644E5"/>
    <w:rsid w:val="008644E9"/>
    <w:rsid w:val="008644FE"/>
    <w:rsid w:val="0086451A"/>
    <w:rsid w:val="008645B4"/>
    <w:rsid w:val="008645C4"/>
    <w:rsid w:val="008645F9"/>
    <w:rsid w:val="0086460F"/>
    <w:rsid w:val="00864612"/>
    <w:rsid w:val="00864635"/>
    <w:rsid w:val="0086463C"/>
    <w:rsid w:val="00864653"/>
    <w:rsid w:val="00864658"/>
    <w:rsid w:val="00864697"/>
    <w:rsid w:val="008646B1"/>
    <w:rsid w:val="0086470E"/>
    <w:rsid w:val="0086475F"/>
    <w:rsid w:val="0086478E"/>
    <w:rsid w:val="00864793"/>
    <w:rsid w:val="008647C3"/>
    <w:rsid w:val="008647DD"/>
    <w:rsid w:val="008647E9"/>
    <w:rsid w:val="008647F7"/>
    <w:rsid w:val="008647FD"/>
    <w:rsid w:val="00864838"/>
    <w:rsid w:val="00864846"/>
    <w:rsid w:val="00864875"/>
    <w:rsid w:val="0086487A"/>
    <w:rsid w:val="00864896"/>
    <w:rsid w:val="0086489D"/>
    <w:rsid w:val="008648A6"/>
    <w:rsid w:val="008648B4"/>
    <w:rsid w:val="008648C4"/>
    <w:rsid w:val="008648E0"/>
    <w:rsid w:val="0086492D"/>
    <w:rsid w:val="0086494E"/>
    <w:rsid w:val="00864976"/>
    <w:rsid w:val="008649B6"/>
    <w:rsid w:val="008649FD"/>
    <w:rsid w:val="00864A29"/>
    <w:rsid w:val="00864AB4"/>
    <w:rsid w:val="00864AF6"/>
    <w:rsid w:val="00864B00"/>
    <w:rsid w:val="00864B23"/>
    <w:rsid w:val="00864B42"/>
    <w:rsid w:val="00864B73"/>
    <w:rsid w:val="00864C22"/>
    <w:rsid w:val="00864C49"/>
    <w:rsid w:val="00864C4E"/>
    <w:rsid w:val="00864C7C"/>
    <w:rsid w:val="00864CA2"/>
    <w:rsid w:val="00864CB6"/>
    <w:rsid w:val="00864CCF"/>
    <w:rsid w:val="00864D05"/>
    <w:rsid w:val="00864D08"/>
    <w:rsid w:val="00864D0A"/>
    <w:rsid w:val="00864D0C"/>
    <w:rsid w:val="00864D9D"/>
    <w:rsid w:val="00864DC9"/>
    <w:rsid w:val="00864E7C"/>
    <w:rsid w:val="00864EB6"/>
    <w:rsid w:val="00864EBF"/>
    <w:rsid w:val="00864ED1"/>
    <w:rsid w:val="00864EF6"/>
    <w:rsid w:val="00864EFC"/>
    <w:rsid w:val="00864F13"/>
    <w:rsid w:val="00864F6D"/>
    <w:rsid w:val="00864F8F"/>
    <w:rsid w:val="00864FCF"/>
    <w:rsid w:val="00864FFC"/>
    <w:rsid w:val="00865042"/>
    <w:rsid w:val="00865051"/>
    <w:rsid w:val="00865059"/>
    <w:rsid w:val="0086505C"/>
    <w:rsid w:val="00865067"/>
    <w:rsid w:val="0086508B"/>
    <w:rsid w:val="008650EF"/>
    <w:rsid w:val="00865123"/>
    <w:rsid w:val="0086512B"/>
    <w:rsid w:val="0086513C"/>
    <w:rsid w:val="0086515B"/>
    <w:rsid w:val="0086515C"/>
    <w:rsid w:val="008651E0"/>
    <w:rsid w:val="00865200"/>
    <w:rsid w:val="00865238"/>
    <w:rsid w:val="00865240"/>
    <w:rsid w:val="0086524E"/>
    <w:rsid w:val="0086525B"/>
    <w:rsid w:val="00865287"/>
    <w:rsid w:val="00865296"/>
    <w:rsid w:val="008652CD"/>
    <w:rsid w:val="008652E3"/>
    <w:rsid w:val="008652F5"/>
    <w:rsid w:val="00865319"/>
    <w:rsid w:val="00865375"/>
    <w:rsid w:val="00865463"/>
    <w:rsid w:val="00865468"/>
    <w:rsid w:val="0086547F"/>
    <w:rsid w:val="008654CD"/>
    <w:rsid w:val="008654FE"/>
    <w:rsid w:val="00865506"/>
    <w:rsid w:val="00865548"/>
    <w:rsid w:val="008655B3"/>
    <w:rsid w:val="008655B4"/>
    <w:rsid w:val="008655BE"/>
    <w:rsid w:val="008655E5"/>
    <w:rsid w:val="00865643"/>
    <w:rsid w:val="008656D5"/>
    <w:rsid w:val="008656D7"/>
    <w:rsid w:val="00865733"/>
    <w:rsid w:val="0086579A"/>
    <w:rsid w:val="008657A3"/>
    <w:rsid w:val="008657B7"/>
    <w:rsid w:val="008657D2"/>
    <w:rsid w:val="00865864"/>
    <w:rsid w:val="008658B0"/>
    <w:rsid w:val="00865923"/>
    <w:rsid w:val="00865944"/>
    <w:rsid w:val="00865959"/>
    <w:rsid w:val="008659AD"/>
    <w:rsid w:val="00865A34"/>
    <w:rsid w:val="00865A43"/>
    <w:rsid w:val="00865A4B"/>
    <w:rsid w:val="00865A90"/>
    <w:rsid w:val="00865A95"/>
    <w:rsid w:val="00865AA7"/>
    <w:rsid w:val="00865AB4"/>
    <w:rsid w:val="00865AEC"/>
    <w:rsid w:val="00865B5B"/>
    <w:rsid w:val="00865B5E"/>
    <w:rsid w:val="00865B7E"/>
    <w:rsid w:val="00865BDA"/>
    <w:rsid w:val="00865C2B"/>
    <w:rsid w:val="00865C35"/>
    <w:rsid w:val="00865C54"/>
    <w:rsid w:val="00865C75"/>
    <w:rsid w:val="00865C92"/>
    <w:rsid w:val="00865CC0"/>
    <w:rsid w:val="00865CC7"/>
    <w:rsid w:val="00865CDE"/>
    <w:rsid w:val="00865D3B"/>
    <w:rsid w:val="00865D98"/>
    <w:rsid w:val="00865E4A"/>
    <w:rsid w:val="00865E82"/>
    <w:rsid w:val="00865EE9"/>
    <w:rsid w:val="00865EF0"/>
    <w:rsid w:val="00865F20"/>
    <w:rsid w:val="00866008"/>
    <w:rsid w:val="0086609C"/>
    <w:rsid w:val="0086610A"/>
    <w:rsid w:val="0086611B"/>
    <w:rsid w:val="0086614B"/>
    <w:rsid w:val="00866184"/>
    <w:rsid w:val="008661EE"/>
    <w:rsid w:val="00866233"/>
    <w:rsid w:val="00866262"/>
    <w:rsid w:val="008662D9"/>
    <w:rsid w:val="008662DE"/>
    <w:rsid w:val="008662FC"/>
    <w:rsid w:val="00866314"/>
    <w:rsid w:val="0086632C"/>
    <w:rsid w:val="0086633F"/>
    <w:rsid w:val="008663E0"/>
    <w:rsid w:val="0086646F"/>
    <w:rsid w:val="00866474"/>
    <w:rsid w:val="00866490"/>
    <w:rsid w:val="008664A1"/>
    <w:rsid w:val="008664A7"/>
    <w:rsid w:val="008664D5"/>
    <w:rsid w:val="00866504"/>
    <w:rsid w:val="0086650A"/>
    <w:rsid w:val="0086654A"/>
    <w:rsid w:val="0086657A"/>
    <w:rsid w:val="008665A4"/>
    <w:rsid w:val="008665D8"/>
    <w:rsid w:val="00866622"/>
    <w:rsid w:val="00866642"/>
    <w:rsid w:val="00866656"/>
    <w:rsid w:val="008666A4"/>
    <w:rsid w:val="008666C7"/>
    <w:rsid w:val="008666CA"/>
    <w:rsid w:val="008666D4"/>
    <w:rsid w:val="008666E5"/>
    <w:rsid w:val="00866717"/>
    <w:rsid w:val="0086671F"/>
    <w:rsid w:val="00866726"/>
    <w:rsid w:val="00866781"/>
    <w:rsid w:val="008667B4"/>
    <w:rsid w:val="00866822"/>
    <w:rsid w:val="00866824"/>
    <w:rsid w:val="0086683B"/>
    <w:rsid w:val="00866888"/>
    <w:rsid w:val="0086689C"/>
    <w:rsid w:val="00866904"/>
    <w:rsid w:val="0086690D"/>
    <w:rsid w:val="00866956"/>
    <w:rsid w:val="008669B2"/>
    <w:rsid w:val="008669CF"/>
    <w:rsid w:val="008669F2"/>
    <w:rsid w:val="008669F5"/>
    <w:rsid w:val="00866A10"/>
    <w:rsid w:val="00866A19"/>
    <w:rsid w:val="00866A74"/>
    <w:rsid w:val="00866A98"/>
    <w:rsid w:val="00866AD8"/>
    <w:rsid w:val="00866B22"/>
    <w:rsid w:val="00866B31"/>
    <w:rsid w:val="00866B3A"/>
    <w:rsid w:val="00866B40"/>
    <w:rsid w:val="00866B49"/>
    <w:rsid w:val="00866B55"/>
    <w:rsid w:val="00866B61"/>
    <w:rsid w:val="00866B83"/>
    <w:rsid w:val="00866B8D"/>
    <w:rsid w:val="00866BA6"/>
    <w:rsid w:val="00866BA7"/>
    <w:rsid w:val="00866CA2"/>
    <w:rsid w:val="00866CC5"/>
    <w:rsid w:val="00866D17"/>
    <w:rsid w:val="00866D50"/>
    <w:rsid w:val="00866D81"/>
    <w:rsid w:val="00866DD1"/>
    <w:rsid w:val="00866DF2"/>
    <w:rsid w:val="00866E55"/>
    <w:rsid w:val="00866E5C"/>
    <w:rsid w:val="00866E70"/>
    <w:rsid w:val="00866E7E"/>
    <w:rsid w:val="00866ECE"/>
    <w:rsid w:val="00866ED9"/>
    <w:rsid w:val="00866EED"/>
    <w:rsid w:val="00866F0E"/>
    <w:rsid w:val="00866F24"/>
    <w:rsid w:val="00866F64"/>
    <w:rsid w:val="00866F7B"/>
    <w:rsid w:val="00866F7F"/>
    <w:rsid w:val="00866FAF"/>
    <w:rsid w:val="00866FF7"/>
    <w:rsid w:val="00867029"/>
    <w:rsid w:val="0086706E"/>
    <w:rsid w:val="0086708C"/>
    <w:rsid w:val="008670FB"/>
    <w:rsid w:val="00867107"/>
    <w:rsid w:val="00867118"/>
    <w:rsid w:val="0086712E"/>
    <w:rsid w:val="00867140"/>
    <w:rsid w:val="00867191"/>
    <w:rsid w:val="008671A4"/>
    <w:rsid w:val="008671BE"/>
    <w:rsid w:val="008671D6"/>
    <w:rsid w:val="008671E5"/>
    <w:rsid w:val="008671EC"/>
    <w:rsid w:val="00867211"/>
    <w:rsid w:val="008672B3"/>
    <w:rsid w:val="00867310"/>
    <w:rsid w:val="00867350"/>
    <w:rsid w:val="00867367"/>
    <w:rsid w:val="00867385"/>
    <w:rsid w:val="0086738C"/>
    <w:rsid w:val="008673AD"/>
    <w:rsid w:val="0086741C"/>
    <w:rsid w:val="0086746A"/>
    <w:rsid w:val="0086747B"/>
    <w:rsid w:val="008674D4"/>
    <w:rsid w:val="008674DB"/>
    <w:rsid w:val="0086754F"/>
    <w:rsid w:val="00867568"/>
    <w:rsid w:val="00867589"/>
    <w:rsid w:val="008675A3"/>
    <w:rsid w:val="008675D9"/>
    <w:rsid w:val="008675F0"/>
    <w:rsid w:val="008675F7"/>
    <w:rsid w:val="00867648"/>
    <w:rsid w:val="00867662"/>
    <w:rsid w:val="00867670"/>
    <w:rsid w:val="0086770C"/>
    <w:rsid w:val="00867735"/>
    <w:rsid w:val="0086775C"/>
    <w:rsid w:val="008677CF"/>
    <w:rsid w:val="0086781C"/>
    <w:rsid w:val="0086787E"/>
    <w:rsid w:val="008678A6"/>
    <w:rsid w:val="00867955"/>
    <w:rsid w:val="0086797E"/>
    <w:rsid w:val="00867A29"/>
    <w:rsid w:val="00867A71"/>
    <w:rsid w:val="00867AB3"/>
    <w:rsid w:val="00867AF1"/>
    <w:rsid w:val="00867B07"/>
    <w:rsid w:val="00867B32"/>
    <w:rsid w:val="00867B5E"/>
    <w:rsid w:val="00867B84"/>
    <w:rsid w:val="00867BA0"/>
    <w:rsid w:val="00867BC2"/>
    <w:rsid w:val="00867C7E"/>
    <w:rsid w:val="00867CDF"/>
    <w:rsid w:val="00867CFB"/>
    <w:rsid w:val="00867D55"/>
    <w:rsid w:val="00867DC8"/>
    <w:rsid w:val="00867E1D"/>
    <w:rsid w:val="00867E1F"/>
    <w:rsid w:val="00867E84"/>
    <w:rsid w:val="00867E86"/>
    <w:rsid w:val="00867EB0"/>
    <w:rsid w:val="00867EC6"/>
    <w:rsid w:val="00867ECE"/>
    <w:rsid w:val="00867F9A"/>
    <w:rsid w:val="00867FB4"/>
    <w:rsid w:val="00867FD6"/>
    <w:rsid w:val="0087002B"/>
    <w:rsid w:val="00870032"/>
    <w:rsid w:val="00870043"/>
    <w:rsid w:val="0087005F"/>
    <w:rsid w:val="00870066"/>
    <w:rsid w:val="0087006F"/>
    <w:rsid w:val="00870092"/>
    <w:rsid w:val="008700B0"/>
    <w:rsid w:val="008700C9"/>
    <w:rsid w:val="0087014B"/>
    <w:rsid w:val="0087014C"/>
    <w:rsid w:val="0087015A"/>
    <w:rsid w:val="00870162"/>
    <w:rsid w:val="00870185"/>
    <w:rsid w:val="0087018F"/>
    <w:rsid w:val="008701B2"/>
    <w:rsid w:val="008701CE"/>
    <w:rsid w:val="00870271"/>
    <w:rsid w:val="0087028C"/>
    <w:rsid w:val="0087028E"/>
    <w:rsid w:val="0087033A"/>
    <w:rsid w:val="0087037D"/>
    <w:rsid w:val="0087038D"/>
    <w:rsid w:val="008703E7"/>
    <w:rsid w:val="008703EA"/>
    <w:rsid w:val="0087040C"/>
    <w:rsid w:val="00870452"/>
    <w:rsid w:val="0087049D"/>
    <w:rsid w:val="00870513"/>
    <w:rsid w:val="00870521"/>
    <w:rsid w:val="008705D2"/>
    <w:rsid w:val="008705F5"/>
    <w:rsid w:val="00870616"/>
    <w:rsid w:val="0087062B"/>
    <w:rsid w:val="0087063A"/>
    <w:rsid w:val="00870688"/>
    <w:rsid w:val="0087069E"/>
    <w:rsid w:val="008706A9"/>
    <w:rsid w:val="008706DC"/>
    <w:rsid w:val="008706EC"/>
    <w:rsid w:val="00870764"/>
    <w:rsid w:val="0087078B"/>
    <w:rsid w:val="0087079A"/>
    <w:rsid w:val="008707C2"/>
    <w:rsid w:val="008707E8"/>
    <w:rsid w:val="008707F3"/>
    <w:rsid w:val="00870802"/>
    <w:rsid w:val="00870859"/>
    <w:rsid w:val="0087087F"/>
    <w:rsid w:val="0087089F"/>
    <w:rsid w:val="008708D4"/>
    <w:rsid w:val="008708E0"/>
    <w:rsid w:val="0087092D"/>
    <w:rsid w:val="00870949"/>
    <w:rsid w:val="00870998"/>
    <w:rsid w:val="008709E0"/>
    <w:rsid w:val="008709E5"/>
    <w:rsid w:val="00870A6A"/>
    <w:rsid w:val="00870A95"/>
    <w:rsid w:val="00870AAB"/>
    <w:rsid w:val="00870AB8"/>
    <w:rsid w:val="00870AEC"/>
    <w:rsid w:val="00870B00"/>
    <w:rsid w:val="00870B95"/>
    <w:rsid w:val="00870BB8"/>
    <w:rsid w:val="00870BBD"/>
    <w:rsid w:val="00870BE4"/>
    <w:rsid w:val="00870BFD"/>
    <w:rsid w:val="00870C2A"/>
    <w:rsid w:val="00870C2B"/>
    <w:rsid w:val="00870C36"/>
    <w:rsid w:val="00870C3D"/>
    <w:rsid w:val="00870C4C"/>
    <w:rsid w:val="00870D66"/>
    <w:rsid w:val="00870DE8"/>
    <w:rsid w:val="00870E09"/>
    <w:rsid w:val="00870E2A"/>
    <w:rsid w:val="00870E71"/>
    <w:rsid w:val="00870E78"/>
    <w:rsid w:val="00870E83"/>
    <w:rsid w:val="00870EA6"/>
    <w:rsid w:val="00870ED0"/>
    <w:rsid w:val="00870EDB"/>
    <w:rsid w:val="00870EF3"/>
    <w:rsid w:val="00870F23"/>
    <w:rsid w:val="00870F3E"/>
    <w:rsid w:val="00870F81"/>
    <w:rsid w:val="00870FAE"/>
    <w:rsid w:val="00871017"/>
    <w:rsid w:val="00871030"/>
    <w:rsid w:val="0087103B"/>
    <w:rsid w:val="0087103D"/>
    <w:rsid w:val="00871040"/>
    <w:rsid w:val="00871092"/>
    <w:rsid w:val="008710A7"/>
    <w:rsid w:val="00871111"/>
    <w:rsid w:val="00871151"/>
    <w:rsid w:val="00871178"/>
    <w:rsid w:val="0087117E"/>
    <w:rsid w:val="008711F4"/>
    <w:rsid w:val="008711F9"/>
    <w:rsid w:val="0087125A"/>
    <w:rsid w:val="0087127B"/>
    <w:rsid w:val="008712BE"/>
    <w:rsid w:val="008712E4"/>
    <w:rsid w:val="00871372"/>
    <w:rsid w:val="00871396"/>
    <w:rsid w:val="008713BA"/>
    <w:rsid w:val="0087140F"/>
    <w:rsid w:val="00871425"/>
    <w:rsid w:val="0087142B"/>
    <w:rsid w:val="00871479"/>
    <w:rsid w:val="00871492"/>
    <w:rsid w:val="008714B7"/>
    <w:rsid w:val="008714E3"/>
    <w:rsid w:val="008714F8"/>
    <w:rsid w:val="00871526"/>
    <w:rsid w:val="00871551"/>
    <w:rsid w:val="0087155A"/>
    <w:rsid w:val="00871564"/>
    <w:rsid w:val="00871597"/>
    <w:rsid w:val="008715D7"/>
    <w:rsid w:val="008715ED"/>
    <w:rsid w:val="00871620"/>
    <w:rsid w:val="00871638"/>
    <w:rsid w:val="0087163D"/>
    <w:rsid w:val="00871658"/>
    <w:rsid w:val="008716A9"/>
    <w:rsid w:val="008716BF"/>
    <w:rsid w:val="008716C2"/>
    <w:rsid w:val="008716DB"/>
    <w:rsid w:val="008716EF"/>
    <w:rsid w:val="008716F4"/>
    <w:rsid w:val="0087177A"/>
    <w:rsid w:val="00871781"/>
    <w:rsid w:val="00871784"/>
    <w:rsid w:val="008717D0"/>
    <w:rsid w:val="008717E4"/>
    <w:rsid w:val="0087180A"/>
    <w:rsid w:val="00871813"/>
    <w:rsid w:val="0087181E"/>
    <w:rsid w:val="0087185F"/>
    <w:rsid w:val="00871879"/>
    <w:rsid w:val="00871883"/>
    <w:rsid w:val="008718D5"/>
    <w:rsid w:val="008718F9"/>
    <w:rsid w:val="00871948"/>
    <w:rsid w:val="0087195C"/>
    <w:rsid w:val="00871998"/>
    <w:rsid w:val="00871A15"/>
    <w:rsid w:val="00871A1C"/>
    <w:rsid w:val="00871A73"/>
    <w:rsid w:val="00871A92"/>
    <w:rsid w:val="00871ABD"/>
    <w:rsid w:val="00871AD9"/>
    <w:rsid w:val="00871B2C"/>
    <w:rsid w:val="00871B46"/>
    <w:rsid w:val="00871B69"/>
    <w:rsid w:val="00871B88"/>
    <w:rsid w:val="00871B9F"/>
    <w:rsid w:val="00871BB7"/>
    <w:rsid w:val="00871C2C"/>
    <w:rsid w:val="00871D21"/>
    <w:rsid w:val="00871D76"/>
    <w:rsid w:val="00871DBA"/>
    <w:rsid w:val="00871DCB"/>
    <w:rsid w:val="00871DDC"/>
    <w:rsid w:val="00871DFB"/>
    <w:rsid w:val="00871E02"/>
    <w:rsid w:val="00871E12"/>
    <w:rsid w:val="00871E19"/>
    <w:rsid w:val="00871E32"/>
    <w:rsid w:val="00871E44"/>
    <w:rsid w:val="00871E67"/>
    <w:rsid w:val="00871E9F"/>
    <w:rsid w:val="00871EA6"/>
    <w:rsid w:val="00871ECF"/>
    <w:rsid w:val="00871EE3"/>
    <w:rsid w:val="00871EFF"/>
    <w:rsid w:val="00871F39"/>
    <w:rsid w:val="00871F3D"/>
    <w:rsid w:val="00871F53"/>
    <w:rsid w:val="00871F5B"/>
    <w:rsid w:val="00871FC1"/>
    <w:rsid w:val="00871FDC"/>
    <w:rsid w:val="00871FF8"/>
    <w:rsid w:val="00872021"/>
    <w:rsid w:val="0087203E"/>
    <w:rsid w:val="00872056"/>
    <w:rsid w:val="00872057"/>
    <w:rsid w:val="00872063"/>
    <w:rsid w:val="0087206E"/>
    <w:rsid w:val="008720A2"/>
    <w:rsid w:val="008720E6"/>
    <w:rsid w:val="008720FF"/>
    <w:rsid w:val="00872115"/>
    <w:rsid w:val="00872178"/>
    <w:rsid w:val="0087217A"/>
    <w:rsid w:val="008721F5"/>
    <w:rsid w:val="008721FD"/>
    <w:rsid w:val="00872232"/>
    <w:rsid w:val="00872250"/>
    <w:rsid w:val="00872260"/>
    <w:rsid w:val="00872296"/>
    <w:rsid w:val="008722AC"/>
    <w:rsid w:val="00872318"/>
    <w:rsid w:val="00872357"/>
    <w:rsid w:val="008723A2"/>
    <w:rsid w:val="008723BE"/>
    <w:rsid w:val="008723DE"/>
    <w:rsid w:val="0087242A"/>
    <w:rsid w:val="00872466"/>
    <w:rsid w:val="008724C7"/>
    <w:rsid w:val="00872504"/>
    <w:rsid w:val="00872515"/>
    <w:rsid w:val="00872556"/>
    <w:rsid w:val="00872586"/>
    <w:rsid w:val="00872596"/>
    <w:rsid w:val="008725F3"/>
    <w:rsid w:val="008725FF"/>
    <w:rsid w:val="00872614"/>
    <w:rsid w:val="008726C6"/>
    <w:rsid w:val="0087274A"/>
    <w:rsid w:val="0087277B"/>
    <w:rsid w:val="008727D0"/>
    <w:rsid w:val="00872846"/>
    <w:rsid w:val="00872888"/>
    <w:rsid w:val="0087289B"/>
    <w:rsid w:val="008728B1"/>
    <w:rsid w:val="008728D9"/>
    <w:rsid w:val="008728F2"/>
    <w:rsid w:val="0087290C"/>
    <w:rsid w:val="00872911"/>
    <w:rsid w:val="00872919"/>
    <w:rsid w:val="00872944"/>
    <w:rsid w:val="00872962"/>
    <w:rsid w:val="00872A31"/>
    <w:rsid w:val="00872A66"/>
    <w:rsid w:val="00872AAA"/>
    <w:rsid w:val="00872ADD"/>
    <w:rsid w:val="00872AE5"/>
    <w:rsid w:val="00872AE8"/>
    <w:rsid w:val="00872B21"/>
    <w:rsid w:val="00872B4B"/>
    <w:rsid w:val="00872B72"/>
    <w:rsid w:val="00872B82"/>
    <w:rsid w:val="00872B89"/>
    <w:rsid w:val="00872BC1"/>
    <w:rsid w:val="00872BC9"/>
    <w:rsid w:val="00872BE4"/>
    <w:rsid w:val="00872C25"/>
    <w:rsid w:val="00872D6D"/>
    <w:rsid w:val="00872D72"/>
    <w:rsid w:val="00872DC9"/>
    <w:rsid w:val="00872DF3"/>
    <w:rsid w:val="00872DF9"/>
    <w:rsid w:val="00872E4F"/>
    <w:rsid w:val="00872E56"/>
    <w:rsid w:val="00872E61"/>
    <w:rsid w:val="00872E73"/>
    <w:rsid w:val="00872E92"/>
    <w:rsid w:val="00872EAB"/>
    <w:rsid w:val="00872ECA"/>
    <w:rsid w:val="00872F06"/>
    <w:rsid w:val="00872F23"/>
    <w:rsid w:val="00872F3D"/>
    <w:rsid w:val="00872F76"/>
    <w:rsid w:val="00872F7F"/>
    <w:rsid w:val="00872FE2"/>
    <w:rsid w:val="00872FFB"/>
    <w:rsid w:val="00873013"/>
    <w:rsid w:val="0087301E"/>
    <w:rsid w:val="0087302B"/>
    <w:rsid w:val="00873030"/>
    <w:rsid w:val="008730B0"/>
    <w:rsid w:val="008730BD"/>
    <w:rsid w:val="008730D9"/>
    <w:rsid w:val="0087310A"/>
    <w:rsid w:val="00873117"/>
    <w:rsid w:val="00873233"/>
    <w:rsid w:val="0087323C"/>
    <w:rsid w:val="0087324D"/>
    <w:rsid w:val="008732A4"/>
    <w:rsid w:val="008732B0"/>
    <w:rsid w:val="008732FC"/>
    <w:rsid w:val="0087331B"/>
    <w:rsid w:val="00873342"/>
    <w:rsid w:val="00873403"/>
    <w:rsid w:val="00873411"/>
    <w:rsid w:val="0087342E"/>
    <w:rsid w:val="0087344F"/>
    <w:rsid w:val="0087346A"/>
    <w:rsid w:val="0087346D"/>
    <w:rsid w:val="008734F6"/>
    <w:rsid w:val="008734F9"/>
    <w:rsid w:val="00873505"/>
    <w:rsid w:val="00873554"/>
    <w:rsid w:val="008735EA"/>
    <w:rsid w:val="00873633"/>
    <w:rsid w:val="00873645"/>
    <w:rsid w:val="008736CF"/>
    <w:rsid w:val="008736E7"/>
    <w:rsid w:val="00873718"/>
    <w:rsid w:val="00873743"/>
    <w:rsid w:val="0087376F"/>
    <w:rsid w:val="008737D9"/>
    <w:rsid w:val="0087382E"/>
    <w:rsid w:val="0087383A"/>
    <w:rsid w:val="00873905"/>
    <w:rsid w:val="00873924"/>
    <w:rsid w:val="0087393B"/>
    <w:rsid w:val="0087394C"/>
    <w:rsid w:val="008739B3"/>
    <w:rsid w:val="008739B9"/>
    <w:rsid w:val="008739D7"/>
    <w:rsid w:val="008739DE"/>
    <w:rsid w:val="00873A1B"/>
    <w:rsid w:val="00873A5C"/>
    <w:rsid w:val="00873A5F"/>
    <w:rsid w:val="00873A71"/>
    <w:rsid w:val="00873A9F"/>
    <w:rsid w:val="00873AB8"/>
    <w:rsid w:val="00873AC4"/>
    <w:rsid w:val="00873B13"/>
    <w:rsid w:val="00873B1E"/>
    <w:rsid w:val="00873B55"/>
    <w:rsid w:val="00873B71"/>
    <w:rsid w:val="00873BC2"/>
    <w:rsid w:val="00873BC6"/>
    <w:rsid w:val="00873BCB"/>
    <w:rsid w:val="00873C40"/>
    <w:rsid w:val="00873CCE"/>
    <w:rsid w:val="00873D16"/>
    <w:rsid w:val="00873D24"/>
    <w:rsid w:val="00873D34"/>
    <w:rsid w:val="00873D35"/>
    <w:rsid w:val="00873D64"/>
    <w:rsid w:val="00873D8A"/>
    <w:rsid w:val="00873DD2"/>
    <w:rsid w:val="00873E25"/>
    <w:rsid w:val="00873E3B"/>
    <w:rsid w:val="00873E4E"/>
    <w:rsid w:val="00873E53"/>
    <w:rsid w:val="00873E7C"/>
    <w:rsid w:val="00873ED1"/>
    <w:rsid w:val="00873ED5"/>
    <w:rsid w:val="00873EDB"/>
    <w:rsid w:val="00873F42"/>
    <w:rsid w:val="00873F48"/>
    <w:rsid w:val="00873F8F"/>
    <w:rsid w:val="00873FA1"/>
    <w:rsid w:val="00873FF7"/>
    <w:rsid w:val="00873FFD"/>
    <w:rsid w:val="00874056"/>
    <w:rsid w:val="0087406A"/>
    <w:rsid w:val="00874093"/>
    <w:rsid w:val="0087409E"/>
    <w:rsid w:val="008740AC"/>
    <w:rsid w:val="00874120"/>
    <w:rsid w:val="008741A0"/>
    <w:rsid w:val="008741AF"/>
    <w:rsid w:val="00874227"/>
    <w:rsid w:val="00874266"/>
    <w:rsid w:val="0087426B"/>
    <w:rsid w:val="00874282"/>
    <w:rsid w:val="008742BA"/>
    <w:rsid w:val="008742FE"/>
    <w:rsid w:val="00874358"/>
    <w:rsid w:val="0087436A"/>
    <w:rsid w:val="0087437E"/>
    <w:rsid w:val="00874385"/>
    <w:rsid w:val="008743C3"/>
    <w:rsid w:val="00874400"/>
    <w:rsid w:val="0087440A"/>
    <w:rsid w:val="0087441B"/>
    <w:rsid w:val="00874424"/>
    <w:rsid w:val="00874474"/>
    <w:rsid w:val="00874491"/>
    <w:rsid w:val="008744DF"/>
    <w:rsid w:val="0087457C"/>
    <w:rsid w:val="00874582"/>
    <w:rsid w:val="00874586"/>
    <w:rsid w:val="00874592"/>
    <w:rsid w:val="008745FB"/>
    <w:rsid w:val="00874628"/>
    <w:rsid w:val="00874690"/>
    <w:rsid w:val="00874691"/>
    <w:rsid w:val="008746BF"/>
    <w:rsid w:val="0087470C"/>
    <w:rsid w:val="0087476B"/>
    <w:rsid w:val="0087476E"/>
    <w:rsid w:val="00874772"/>
    <w:rsid w:val="0087478D"/>
    <w:rsid w:val="00874798"/>
    <w:rsid w:val="00874859"/>
    <w:rsid w:val="008748CC"/>
    <w:rsid w:val="008748D2"/>
    <w:rsid w:val="008748F7"/>
    <w:rsid w:val="00874904"/>
    <w:rsid w:val="00874945"/>
    <w:rsid w:val="00874975"/>
    <w:rsid w:val="008749A0"/>
    <w:rsid w:val="008749E6"/>
    <w:rsid w:val="008749FD"/>
    <w:rsid w:val="00874A15"/>
    <w:rsid w:val="00874A37"/>
    <w:rsid w:val="00874A4B"/>
    <w:rsid w:val="00874A94"/>
    <w:rsid w:val="00874AD0"/>
    <w:rsid w:val="00874AE5"/>
    <w:rsid w:val="00874B80"/>
    <w:rsid w:val="00874B8D"/>
    <w:rsid w:val="00874B8F"/>
    <w:rsid w:val="00874BC6"/>
    <w:rsid w:val="00874BF5"/>
    <w:rsid w:val="00874C3E"/>
    <w:rsid w:val="00874CB2"/>
    <w:rsid w:val="00874D3C"/>
    <w:rsid w:val="00874D71"/>
    <w:rsid w:val="00874DBB"/>
    <w:rsid w:val="00874DE0"/>
    <w:rsid w:val="00874E29"/>
    <w:rsid w:val="00874E78"/>
    <w:rsid w:val="00874EC0"/>
    <w:rsid w:val="00874EE8"/>
    <w:rsid w:val="00874F1A"/>
    <w:rsid w:val="00874F4E"/>
    <w:rsid w:val="00874F6E"/>
    <w:rsid w:val="00874F92"/>
    <w:rsid w:val="00874F9E"/>
    <w:rsid w:val="00874FB7"/>
    <w:rsid w:val="00874FBC"/>
    <w:rsid w:val="00874FE8"/>
    <w:rsid w:val="00875037"/>
    <w:rsid w:val="008750A5"/>
    <w:rsid w:val="00875145"/>
    <w:rsid w:val="00875173"/>
    <w:rsid w:val="008751A7"/>
    <w:rsid w:val="008751EA"/>
    <w:rsid w:val="00875219"/>
    <w:rsid w:val="0087523E"/>
    <w:rsid w:val="00875256"/>
    <w:rsid w:val="00875290"/>
    <w:rsid w:val="0087532B"/>
    <w:rsid w:val="00875368"/>
    <w:rsid w:val="0087536F"/>
    <w:rsid w:val="0087539F"/>
    <w:rsid w:val="008753AD"/>
    <w:rsid w:val="008753D9"/>
    <w:rsid w:val="008753FF"/>
    <w:rsid w:val="00875433"/>
    <w:rsid w:val="0087544E"/>
    <w:rsid w:val="00875454"/>
    <w:rsid w:val="008754D1"/>
    <w:rsid w:val="00875542"/>
    <w:rsid w:val="0087556B"/>
    <w:rsid w:val="00875575"/>
    <w:rsid w:val="00875599"/>
    <w:rsid w:val="00875679"/>
    <w:rsid w:val="00875680"/>
    <w:rsid w:val="008756C4"/>
    <w:rsid w:val="008756E3"/>
    <w:rsid w:val="008756ED"/>
    <w:rsid w:val="00875706"/>
    <w:rsid w:val="0087571F"/>
    <w:rsid w:val="00875773"/>
    <w:rsid w:val="0087577B"/>
    <w:rsid w:val="008757B1"/>
    <w:rsid w:val="008757EA"/>
    <w:rsid w:val="008758A4"/>
    <w:rsid w:val="008758C2"/>
    <w:rsid w:val="008758C9"/>
    <w:rsid w:val="008758DB"/>
    <w:rsid w:val="008758F0"/>
    <w:rsid w:val="0087590F"/>
    <w:rsid w:val="00875916"/>
    <w:rsid w:val="00875935"/>
    <w:rsid w:val="00875948"/>
    <w:rsid w:val="008759C4"/>
    <w:rsid w:val="008759E1"/>
    <w:rsid w:val="008759EE"/>
    <w:rsid w:val="008759F2"/>
    <w:rsid w:val="00875A11"/>
    <w:rsid w:val="00875A30"/>
    <w:rsid w:val="00875A86"/>
    <w:rsid w:val="00875AE1"/>
    <w:rsid w:val="00875AF5"/>
    <w:rsid w:val="00875B20"/>
    <w:rsid w:val="00875B7B"/>
    <w:rsid w:val="00875B7F"/>
    <w:rsid w:val="00875B9C"/>
    <w:rsid w:val="00875BA2"/>
    <w:rsid w:val="00875BA4"/>
    <w:rsid w:val="00875BAA"/>
    <w:rsid w:val="00875BCA"/>
    <w:rsid w:val="00875BDE"/>
    <w:rsid w:val="00875C1F"/>
    <w:rsid w:val="00875C27"/>
    <w:rsid w:val="00875C2B"/>
    <w:rsid w:val="00875C53"/>
    <w:rsid w:val="00875C63"/>
    <w:rsid w:val="00875C95"/>
    <w:rsid w:val="00875D08"/>
    <w:rsid w:val="00875D13"/>
    <w:rsid w:val="00875D15"/>
    <w:rsid w:val="00875D3A"/>
    <w:rsid w:val="00875D3E"/>
    <w:rsid w:val="00875D52"/>
    <w:rsid w:val="00875D56"/>
    <w:rsid w:val="00875D5F"/>
    <w:rsid w:val="00875D60"/>
    <w:rsid w:val="00875D7B"/>
    <w:rsid w:val="00875DDC"/>
    <w:rsid w:val="00875DFA"/>
    <w:rsid w:val="00875E00"/>
    <w:rsid w:val="00875E5A"/>
    <w:rsid w:val="00875E9F"/>
    <w:rsid w:val="00875EC1"/>
    <w:rsid w:val="00875ECD"/>
    <w:rsid w:val="00875ED9"/>
    <w:rsid w:val="00875EF3"/>
    <w:rsid w:val="00875F25"/>
    <w:rsid w:val="00875F26"/>
    <w:rsid w:val="00875FA7"/>
    <w:rsid w:val="00875FCA"/>
    <w:rsid w:val="00876006"/>
    <w:rsid w:val="00876015"/>
    <w:rsid w:val="00876061"/>
    <w:rsid w:val="00876069"/>
    <w:rsid w:val="00876094"/>
    <w:rsid w:val="008760AD"/>
    <w:rsid w:val="008760B6"/>
    <w:rsid w:val="008760DE"/>
    <w:rsid w:val="0087610E"/>
    <w:rsid w:val="00876122"/>
    <w:rsid w:val="00876144"/>
    <w:rsid w:val="00876176"/>
    <w:rsid w:val="0087617B"/>
    <w:rsid w:val="008761C2"/>
    <w:rsid w:val="00876220"/>
    <w:rsid w:val="0087622A"/>
    <w:rsid w:val="00876232"/>
    <w:rsid w:val="008762AE"/>
    <w:rsid w:val="008762DE"/>
    <w:rsid w:val="00876334"/>
    <w:rsid w:val="0087637E"/>
    <w:rsid w:val="008763BE"/>
    <w:rsid w:val="008764F9"/>
    <w:rsid w:val="00876505"/>
    <w:rsid w:val="0087652A"/>
    <w:rsid w:val="0087652B"/>
    <w:rsid w:val="00876542"/>
    <w:rsid w:val="00876562"/>
    <w:rsid w:val="00876583"/>
    <w:rsid w:val="00876592"/>
    <w:rsid w:val="0087659F"/>
    <w:rsid w:val="008765BC"/>
    <w:rsid w:val="008765C1"/>
    <w:rsid w:val="00876671"/>
    <w:rsid w:val="00876689"/>
    <w:rsid w:val="008766B6"/>
    <w:rsid w:val="008766E7"/>
    <w:rsid w:val="00876795"/>
    <w:rsid w:val="008767E2"/>
    <w:rsid w:val="0087680B"/>
    <w:rsid w:val="0087686F"/>
    <w:rsid w:val="00876888"/>
    <w:rsid w:val="00876893"/>
    <w:rsid w:val="00876894"/>
    <w:rsid w:val="008768AF"/>
    <w:rsid w:val="008768DC"/>
    <w:rsid w:val="0087693E"/>
    <w:rsid w:val="008769B6"/>
    <w:rsid w:val="008769E9"/>
    <w:rsid w:val="00876A51"/>
    <w:rsid w:val="00876A77"/>
    <w:rsid w:val="00876A7E"/>
    <w:rsid w:val="00876AD5"/>
    <w:rsid w:val="00876B0A"/>
    <w:rsid w:val="00876B30"/>
    <w:rsid w:val="00876B5F"/>
    <w:rsid w:val="00876B6C"/>
    <w:rsid w:val="00876B99"/>
    <w:rsid w:val="00876BA1"/>
    <w:rsid w:val="00876C1D"/>
    <w:rsid w:val="00876C8D"/>
    <w:rsid w:val="00876CB7"/>
    <w:rsid w:val="00876CCA"/>
    <w:rsid w:val="00876CD0"/>
    <w:rsid w:val="00876CEB"/>
    <w:rsid w:val="00876D39"/>
    <w:rsid w:val="00876D3E"/>
    <w:rsid w:val="00876D56"/>
    <w:rsid w:val="00876D8C"/>
    <w:rsid w:val="00876DB6"/>
    <w:rsid w:val="00876DE4"/>
    <w:rsid w:val="00876E22"/>
    <w:rsid w:val="00876E3C"/>
    <w:rsid w:val="00876E97"/>
    <w:rsid w:val="00876F06"/>
    <w:rsid w:val="00876F1A"/>
    <w:rsid w:val="00876F90"/>
    <w:rsid w:val="00876FA7"/>
    <w:rsid w:val="00876FD6"/>
    <w:rsid w:val="00877079"/>
    <w:rsid w:val="0087709E"/>
    <w:rsid w:val="0087709F"/>
    <w:rsid w:val="008770E2"/>
    <w:rsid w:val="008770F1"/>
    <w:rsid w:val="00877127"/>
    <w:rsid w:val="00877201"/>
    <w:rsid w:val="0087720D"/>
    <w:rsid w:val="0087723D"/>
    <w:rsid w:val="00877287"/>
    <w:rsid w:val="0087729F"/>
    <w:rsid w:val="0087732F"/>
    <w:rsid w:val="00877377"/>
    <w:rsid w:val="00877378"/>
    <w:rsid w:val="00877453"/>
    <w:rsid w:val="00877459"/>
    <w:rsid w:val="0087749E"/>
    <w:rsid w:val="008774AC"/>
    <w:rsid w:val="00877502"/>
    <w:rsid w:val="0087752F"/>
    <w:rsid w:val="0087753F"/>
    <w:rsid w:val="008775BB"/>
    <w:rsid w:val="008775E1"/>
    <w:rsid w:val="008775E7"/>
    <w:rsid w:val="00877604"/>
    <w:rsid w:val="00877635"/>
    <w:rsid w:val="00877638"/>
    <w:rsid w:val="0087764A"/>
    <w:rsid w:val="008776AA"/>
    <w:rsid w:val="008776DB"/>
    <w:rsid w:val="008776FA"/>
    <w:rsid w:val="00877707"/>
    <w:rsid w:val="0087772B"/>
    <w:rsid w:val="00877742"/>
    <w:rsid w:val="00877754"/>
    <w:rsid w:val="00877755"/>
    <w:rsid w:val="00877791"/>
    <w:rsid w:val="008777C5"/>
    <w:rsid w:val="008777C7"/>
    <w:rsid w:val="00877803"/>
    <w:rsid w:val="00877852"/>
    <w:rsid w:val="0087787E"/>
    <w:rsid w:val="008778AD"/>
    <w:rsid w:val="0087793F"/>
    <w:rsid w:val="00877962"/>
    <w:rsid w:val="00877967"/>
    <w:rsid w:val="0087796E"/>
    <w:rsid w:val="0087797C"/>
    <w:rsid w:val="00877A47"/>
    <w:rsid w:val="00877A73"/>
    <w:rsid w:val="00877A8B"/>
    <w:rsid w:val="00877AC9"/>
    <w:rsid w:val="00877B2F"/>
    <w:rsid w:val="00877B3E"/>
    <w:rsid w:val="00877B4A"/>
    <w:rsid w:val="00877BD8"/>
    <w:rsid w:val="00877BDC"/>
    <w:rsid w:val="00877BFD"/>
    <w:rsid w:val="00877C1E"/>
    <w:rsid w:val="00877C80"/>
    <w:rsid w:val="00877CAE"/>
    <w:rsid w:val="00877CF7"/>
    <w:rsid w:val="00877D0E"/>
    <w:rsid w:val="00877D9C"/>
    <w:rsid w:val="00877DA7"/>
    <w:rsid w:val="00877DAB"/>
    <w:rsid w:val="00877DB6"/>
    <w:rsid w:val="00877DC9"/>
    <w:rsid w:val="00877DEA"/>
    <w:rsid w:val="00877EA6"/>
    <w:rsid w:val="00877EB1"/>
    <w:rsid w:val="00877EB8"/>
    <w:rsid w:val="00877EBB"/>
    <w:rsid w:val="00877F49"/>
    <w:rsid w:val="00877F67"/>
    <w:rsid w:val="00877FD6"/>
    <w:rsid w:val="00877FDB"/>
    <w:rsid w:val="00877FE0"/>
    <w:rsid w:val="0088004A"/>
    <w:rsid w:val="008801BD"/>
    <w:rsid w:val="008801DB"/>
    <w:rsid w:val="00880238"/>
    <w:rsid w:val="00880245"/>
    <w:rsid w:val="008802AF"/>
    <w:rsid w:val="008802E3"/>
    <w:rsid w:val="008802F4"/>
    <w:rsid w:val="00880352"/>
    <w:rsid w:val="0088035B"/>
    <w:rsid w:val="00880363"/>
    <w:rsid w:val="00880385"/>
    <w:rsid w:val="00880397"/>
    <w:rsid w:val="008803C3"/>
    <w:rsid w:val="008803D0"/>
    <w:rsid w:val="008803F4"/>
    <w:rsid w:val="00880411"/>
    <w:rsid w:val="0088045B"/>
    <w:rsid w:val="00880461"/>
    <w:rsid w:val="00880479"/>
    <w:rsid w:val="0088048B"/>
    <w:rsid w:val="008804B1"/>
    <w:rsid w:val="008804BF"/>
    <w:rsid w:val="008804D4"/>
    <w:rsid w:val="00880503"/>
    <w:rsid w:val="0088052D"/>
    <w:rsid w:val="00880556"/>
    <w:rsid w:val="00880573"/>
    <w:rsid w:val="00880574"/>
    <w:rsid w:val="0088057A"/>
    <w:rsid w:val="008805C2"/>
    <w:rsid w:val="008805C8"/>
    <w:rsid w:val="008805D4"/>
    <w:rsid w:val="008805DD"/>
    <w:rsid w:val="008805FB"/>
    <w:rsid w:val="00880642"/>
    <w:rsid w:val="00880656"/>
    <w:rsid w:val="0088065A"/>
    <w:rsid w:val="00880664"/>
    <w:rsid w:val="0088068C"/>
    <w:rsid w:val="008806BE"/>
    <w:rsid w:val="008806CC"/>
    <w:rsid w:val="008806D3"/>
    <w:rsid w:val="008806DC"/>
    <w:rsid w:val="00880702"/>
    <w:rsid w:val="0088075E"/>
    <w:rsid w:val="008807BE"/>
    <w:rsid w:val="008807E5"/>
    <w:rsid w:val="008807EA"/>
    <w:rsid w:val="008807ED"/>
    <w:rsid w:val="00880806"/>
    <w:rsid w:val="0088080A"/>
    <w:rsid w:val="00880846"/>
    <w:rsid w:val="0088084F"/>
    <w:rsid w:val="008808B9"/>
    <w:rsid w:val="00880966"/>
    <w:rsid w:val="008809B1"/>
    <w:rsid w:val="008809B7"/>
    <w:rsid w:val="008809E0"/>
    <w:rsid w:val="00880A19"/>
    <w:rsid w:val="00880A72"/>
    <w:rsid w:val="00880A8E"/>
    <w:rsid w:val="00880AF0"/>
    <w:rsid w:val="00880B09"/>
    <w:rsid w:val="00880B9B"/>
    <w:rsid w:val="00880B9E"/>
    <w:rsid w:val="00880BD8"/>
    <w:rsid w:val="00880C12"/>
    <w:rsid w:val="00880C2A"/>
    <w:rsid w:val="00880C35"/>
    <w:rsid w:val="00880C37"/>
    <w:rsid w:val="00880C47"/>
    <w:rsid w:val="00880C49"/>
    <w:rsid w:val="00880C97"/>
    <w:rsid w:val="00880CAA"/>
    <w:rsid w:val="00880CC8"/>
    <w:rsid w:val="00880D14"/>
    <w:rsid w:val="00880DAE"/>
    <w:rsid w:val="00880DBD"/>
    <w:rsid w:val="00880DC4"/>
    <w:rsid w:val="00880DF0"/>
    <w:rsid w:val="00880E00"/>
    <w:rsid w:val="00880E20"/>
    <w:rsid w:val="00880E53"/>
    <w:rsid w:val="00880E55"/>
    <w:rsid w:val="00880E85"/>
    <w:rsid w:val="00880EA7"/>
    <w:rsid w:val="00880F06"/>
    <w:rsid w:val="00880F86"/>
    <w:rsid w:val="00880F94"/>
    <w:rsid w:val="00880FA7"/>
    <w:rsid w:val="00880FB4"/>
    <w:rsid w:val="00880FB5"/>
    <w:rsid w:val="00880FB7"/>
    <w:rsid w:val="00880FC1"/>
    <w:rsid w:val="00880FF4"/>
    <w:rsid w:val="00880FFE"/>
    <w:rsid w:val="00881012"/>
    <w:rsid w:val="00881022"/>
    <w:rsid w:val="00881026"/>
    <w:rsid w:val="0088102B"/>
    <w:rsid w:val="008810A2"/>
    <w:rsid w:val="008810A3"/>
    <w:rsid w:val="008810A5"/>
    <w:rsid w:val="00881104"/>
    <w:rsid w:val="0088113F"/>
    <w:rsid w:val="0088114F"/>
    <w:rsid w:val="0088118A"/>
    <w:rsid w:val="0088118C"/>
    <w:rsid w:val="00881199"/>
    <w:rsid w:val="0088119B"/>
    <w:rsid w:val="008811D9"/>
    <w:rsid w:val="00881251"/>
    <w:rsid w:val="0088129B"/>
    <w:rsid w:val="008812E1"/>
    <w:rsid w:val="00881305"/>
    <w:rsid w:val="0088130E"/>
    <w:rsid w:val="00881327"/>
    <w:rsid w:val="00881386"/>
    <w:rsid w:val="00881388"/>
    <w:rsid w:val="008813C6"/>
    <w:rsid w:val="008813DE"/>
    <w:rsid w:val="008813F0"/>
    <w:rsid w:val="00881401"/>
    <w:rsid w:val="0088141B"/>
    <w:rsid w:val="0088142C"/>
    <w:rsid w:val="008814BF"/>
    <w:rsid w:val="008814D4"/>
    <w:rsid w:val="0088156C"/>
    <w:rsid w:val="00881583"/>
    <w:rsid w:val="00881597"/>
    <w:rsid w:val="008815A2"/>
    <w:rsid w:val="008815C1"/>
    <w:rsid w:val="00881601"/>
    <w:rsid w:val="0088160A"/>
    <w:rsid w:val="0088163C"/>
    <w:rsid w:val="008816A8"/>
    <w:rsid w:val="008816CD"/>
    <w:rsid w:val="008816E2"/>
    <w:rsid w:val="008816E9"/>
    <w:rsid w:val="00881729"/>
    <w:rsid w:val="00881759"/>
    <w:rsid w:val="00881761"/>
    <w:rsid w:val="008817A3"/>
    <w:rsid w:val="008817FF"/>
    <w:rsid w:val="0088181D"/>
    <w:rsid w:val="00881849"/>
    <w:rsid w:val="00881879"/>
    <w:rsid w:val="00881880"/>
    <w:rsid w:val="00881881"/>
    <w:rsid w:val="008818E8"/>
    <w:rsid w:val="00881920"/>
    <w:rsid w:val="00881981"/>
    <w:rsid w:val="0088199B"/>
    <w:rsid w:val="008819A2"/>
    <w:rsid w:val="008819A8"/>
    <w:rsid w:val="008819D0"/>
    <w:rsid w:val="008819F0"/>
    <w:rsid w:val="00881A19"/>
    <w:rsid w:val="00881A46"/>
    <w:rsid w:val="00881A61"/>
    <w:rsid w:val="00881B0F"/>
    <w:rsid w:val="00881B3E"/>
    <w:rsid w:val="00881B58"/>
    <w:rsid w:val="00881B5E"/>
    <w:rsid w:val="00881B61"/>
    <w:rsid w:val="00881B9E"/>
    <w:rsid w:val="00881BA6"/>
    <w:rsid w:val="00881BD6"/>
    <w:rsid w:val="00881C00"/>
    <w:rsid w:val="00881C64"/>
    <w:rsid w:val="00881C69"/>
    <w:rsid w:val="00881C75"/>
    <w:rsid w:val="00881CDF"/>
    <w:rsid w:val="00881CE2"/>
    <w:rsid w:val="00881D0E"/>
    <w:rsid w:val="00881D33"/>
    <w:rsid w:val="00881D34"/>
    <w:rsid w:val="00881D8F"/>
    <w:rsid w:val="00881DAD"/>
    <w:rsid w:val="00881DE0"/>
    <w:rsid w:val="00881DF6"/>
    <w:rsid w:val="00881DFD"/>
    <w:rsid w:val="00881E38"/>
    <w:rsid w:val="00881E84"/>
    <w:rsid w:val="00881E96"/>
    <w:rsid w:val="00881EC5"/>
    <w:rsid w:val="00881ED1"/>
    <w:rsid w:val="00881EF7"/>
    <w:rsid w:val="00881F16"/>
    <w:rsid w:val="00881F78"/>
    <w:rsid w:val="00881F95"/>
    <w:rsid w:val="00881FCB"/>
    <w:rsid w:val="00881FCF"/>
    <w:rsid w:val="0088205D"/>
    <w:rsid w:val="00882088"/>
    <w:rsid w:val="008820EA"/>
    <w:rsid w:val="008820F6"/>
    <w:rsid w:val="008821C8"/>
    <w:rsid w:val="008821E0"/>
    <w:rsid w:val="00882210"/>
    <w:rsid w:val="00882236"/>
    <w:rsid w:val="00882246"/>
    <w:rsid w:val="00882260"/>
    <w:rsid w:val="0088228D"/>
    <w:rsid w:val="00882293"/>
    <w:rsid w:val="008822F2"/>
    <w:rsid w:val="00882302"/>
    <w:rsid w:val="0088230C"/>
    <w:rsid w:val="00882310"/>
    <w:rsid w:val="00882319"/>
    <w:rsid w:val="00882330"/>
    <w:rsid w:val="0088239A"/>
    <w:rsid w:val="008823B6"/>
    <w:rsid w:val="008823BA"/>
    <w:rsid w:val="008823C2"/>
    <w:rsid w:val="00882406"/>
    <w:rsid w:val="0088242E"/>
    <w:rsid w:val="00882439"/>
    <w:rsid w:val="00882447"/>
    <w:rsid w:val="0088244E"/>
    <w:rsid w:val="0088244F"/>
    <w:rsid w:val="00882454"/>
    <w:rsid w:val="00882506"/>
    <w:rsid w:val="00882514"/>
    <w:rsid w:val="0088252E"/>
    <w:rsid w:val="00882537"/>
    <w:rsid w:val="008825A6"/>
    <w:rsid w:val="00882660"/>
    <w:rsid w:val="00882681"/>
    <w:rsid w:val="00882688"/>
    <w:rsid w:val="0088269E"/>
    <w:rsid w:val="008826E1"/>
    <w:rsid w:val="008826EC"/>
    <w:rsid w:val="00882700"/>
    <w:rsid w:val="00882749"/>
    <w:rsid w:val="0088276C"/>
    <w:rsid w:val="00882779"/>
    <w:rsid w:val="0088277A"/>
    <w:rsid w:val="008827BB"/>
    <w:rsid w:val="008827FB"/>
    <w:rsid w:val="008827FD"/>
    <w:rsid w:val="00882824"/>
    <w:rsid w:val="00882835"/>
    <w:rsid w:val="00882868"/>
    <w:rsid w:val="00882914"/>
    <w:rsid w:val="00882969"/>
    <w:rsid w:val="00882996"/>
    <w:rsid w:val="008829B4"/>
    <w:rsid w:val="008829C9"/>
    <w:rsid w:val="008829D7"/>
    <w:rsid w:val="00882A8F"/>
    <w:rsid w:val="00882A9D"/>
    <w:rsid w:val="00882AA7"/>
    <w:rsid w:val="00882AD7"/>
    <w:rsid w:val="00882B4F"/>
    <w:rsid w:val="00882B69"/>
    <w:rsid w:val="00882BC9"/>
    <w:rsid w:val="00882BE3"/>
    <w:rsid w:val="00882BFF"/>
    <w:rsid w:val="00882C2E"/>
    <w:rsid w:val="00882C49"/>
    <w:rsid w:val="00882C80"/>
    <w:rsid w:val="00882CD7"/>
    <w:rsid w:val="00882CE2"/>
    <w:rsid w:val="00882CF9"/>
    <w:rsid w:val="00882D21"/>
    <w:rsid w:val="00882D44"/>
    <w:rsid w:val="00882D50"/>
    <w:rsid w:val="00882D63"/>
    <w:rsid w:val="00882DB2"/>
    <w:rsid w:val="00882DF6"/>
    <w:rsid w:val="00882E2A"/>
    <w:rsid w:val="00882E54"/>
    <w:rsid w:val="00882E73"/>
    <w:rsid w:val="00882E7B"/>
    <w:rsid w:val="00882EC5"/>
    <w:rsid w:val="00882ECD"/>
    <w:rsid w:val="00882F11"/>
    <w:rsid w:val="00882F2C"/>
    <w:rsid w:val="00882F5E"/>
    <w:rsid w:val="00882F69"/>
    <w:rsid w:val="00882FC4"/>
    <w:rsid w:val="00882FF9"/>
    <w:rsid w:val="0088301E"/>
    <w:rsid w:val="0088305D"/>
    <w:rsid w:val="0088307F"/>
    <w:rsid w:val="00883084"/>
    <w:rsid w:val="008830E5"/>
    <w:rsid w:val="0088310F"/>
    <w:rsid w:val="00883163"/>
    <w:rsid w:val="0088317F"/>
    <w:rsid w:val="008831D4"/>
    <w:rsid w:val="00883226"/>
    <w:rsid w:val="008832C0"/>
    <w:rsid w:val="008832ED"/>
    <w:rsid w:val="008832FE"/>
    <w:rsid w:val="00883359"/>
    <w:rsid w:val="00883378"/>
    <w:rsid w:val="0088338A"/>
    <w:rsid w:val="008833B2"/>
    <w:rsid w:val="00883421"/>
    <w:rsid w:val="00883486"/>
    <w:rsid w:val="0088351E"/>
    <w:rsid w:val="00883528"/>
    <w:rsid w:val="00883531"/>
    <w:rsid w:val="00883557"/>
    <w:rsid w:val="00883575"/>
    <w:rsid w:val="0088358B"/>
    <w:rsid w:val="008835CD"/>
    <w:rsid w:val="0088367B"/>
    <w:rsid w:val="008836E7"/>
    <w:rsid w:val="00883726"/>
    <w:rsid w:val="0088376A"/>
    <w:rsid w:val="0088379A"/>
    <w:rsid w:val="00883800"/>
    <w:rsid w:val="0088385E"/>
    <w:rsid w:val="00883888"/>
    <w:rsid w:val="008838A4"/>
    <w:rsid w:val="008838B3"/>
    <w:rsid w:val="008838E6"/>
    <w:rsid w:val="00883914"/>
    <w:rsid w:val="0088391F"/>
    <w:rsid w:val="008839DE"/>
    <w:rsid w:val="00883AB5"/>
    <w:rsid w:val="00883AD1"/>
    <w:rsid w:val="00883AD3"/>
    <w:rsid w:val="00883AD7"/>
    <w:rsid w:val="00883AF1"/>
    <w:rsid w:val="00883AF2"/>
    <w:rsid w:val="00883B3D"/>
    <w:rsid w:val="00883B5A"/>
    <w:rsid w:val="00883B8E"/>
    <w:rsid w:val="00883BA7"/>
    <w:rsid w:val="00883BFD"/>
    <w:rsid w:val="00883C01"/>
    <w:rsid w:val="00883C05"/>
    <w:rsid w:val="00883C32"/>
    <w:rsid w:val="00883C72"/>
    <w:rsid w:val="00883C9D"/>
    <w:rsid w:val="00883CA4"/>
    <w:rsid w:val="00883CB1"/>
    <w:rsid w:val="00883CEE"/>
    <w:rsid w:val="00883CEF"/>
    <w:rsid w:val="00883D0E"/>
    <w:rsid w:val="00883D13"/>
    <w:rsid w:val="00883D30"/>
    <w:rsid w:val="00883D6D"/>
    <w:rsid w:val="00883DB0"/>
    <w:rsid w:val="00883E09"/>
    <w:rsid w:val="00883E24"/>
    <w:rsid w:val="00883E52"/>
    <w:rsid w:val="00883E6F"/>
    <w:rsid w:val="00883EAF"/>
    <w:rsid w:val="00883EC2"/>
    <w:rsid w:val="00883EED"/>
    <w:rsid w:val="00883F08"/>
    <w:rsid w:val="00883F60"/>
    <w:rsid w:val="00883F75"/>
    <w:rsid w:val="00883F93"/>
    <w:rsid w:val="00883FC1"/>
    <w:rsid w:val="00883FC9"/>
    <w:rsid w:val="00884042"/>
    <w:rsid w:val="0088407F"/>
    <w:rsid w:val="00884089"/>
    <w:rsid w:val="008840AB"/>
    <w:rsid w:val="008840BF"/>
    <w:rsid w:val="0088412F"/>
    <w:rsid w:val="0088415C"/>
    <w:rsid w:val="0088416E"/>
    <w:rsid w:val="00884171"/>
    <w:rsid w:val="00884176"/>
    <w:rsid w:val="008841A3"/>
    <w:rsid w:val="008841D2"/>
    <w:rsid w:val="00884217"/>
    <w:rsid w:val="0088423B"/>
    <w:rsid w:val="00884250"/>
    <w:rsid w:val="00884294"/>
    <w:rsid w:val="008842CD"/>
    <w:rsid w:val="008842E7"/>
    <w:rsid w:val="008842FE"/>
    <w:rsid w:val="0088430B"/>
    <w:rsid w:val="0088433D"/>
    <w:rsid w:val="00884380"/>
    <w:rsid w:val="00884382"/>
    <w:rsid w:val="008843A2"/>
    <w:rsid w:val="008843CD"/>
    <w:rsid w:val="008843DE"/>
    <w:rsid w:val="0088448F"/>
    <w:rsid w:val="0088449B"/>
    <w:rsid w:val="008844C3"/>
    <w:rsid w:val="0088450D"/>
    <w:rsid w:val="0088453A"/>
    <w:rsid w:val="00884583"/>
    <w:rsid w:val="008845B4"/>
    <w:rsid w:val="008845B9"/>
    <w:rsid w:val="008845E3"/>
    <w:rsid w:val="00884689"/>
    <w:rsid w:val="008846BF"/>
    <w:rsid w:val="00884728"/>
    <w:rsid w:val="00884738"/>
    <w:rsid w:val="00884778"/>
    <w:rsid w:val="0088478E"/>
    <w:rsid w:val="008847B1"/>
    <w:rsid w:val="008847B2"/>
    <w:rsid w:val="008847D1"/>
    <w:rsid w:val="008847E7"/>
    <w:rsid w:val="00884815"/>
    <w:rsid w:val="008848BB"/>
    <w:rsid w:val="008848EC"/>
    <w:rsid w:val="008848F3"/>
    <w:rsid w:val="008848FE"/>
    <w:rsid w:val="0088491A"/>
    <w:rsid w:val="00884945"/>
    <w:rsid w:val="00884969"/>
    <w:rsid w:val="00884982"/>
    <w:rsid w:val="0088498A"/>
    <w:rsid w:val="008849D8"/>
    <w:rsid w:val="00884A0D"/>
    <w:rsid w:val="00884A0F"/>
    <w:rsid w:val="00884A19"/>
    <w:rsid w:val="00884A38"/>
    <w:rsid w:val="00884A3C"/>
    <w:rsid w:val="00884A48"/>
    <w:rsid w:val="00884A69"/>
    <w:rsid w:val="00884A77"/>
    <w:rsid w:val="00884A9D"/>
    <w:rsid w:val="00884B0E"/>
    <w:rsid w:val="00884B4C"/>
    <w:rsid w:val="00884B4E"/>
    <w:rsid w:val="00884B5C"/>
    <w:rsid w:val="00884B76"/>
    <w:rsid w:val="00884B78"/>
    <w:rsid w:val="00884B81"/>
    <w:rsid w:val="00884BDC"/>
    <w:rsid w:val="00884C00"/>
    <w:rsid w:val="00884C83"/>
    <w:rsid w:val="00884C86"/>
    <w:rsid w:val="00884CA7"/>
    <w:rsid w:val="00884CBD"/>
    <w:rsid w:val="00884CC1"/>
    <w:rsid w:val="00884CC5"/>
    <w:rsid w:val="00884CFC"/>
    <w:rsid w:val="00884D2D"/>
    <w:rsid w:val="00884D55"/>
    <w:rsid w:val="00884D5E"/>
    <w:rsid w:val="00884E37"/>
    <w:rsid w:val="00884EB0"/>
    <w:rsid w:val="00884EBB"/>
    <w:rsid w:val="00884F1E"/>
    <w:rsid w:val="00884F68"/>
    <w:rsid w:val="00884F9C"/>
    <w:rsid w:val="00884FA5"/>
    <w:rsid w:val="00884FC3"/>
    <w:rsid w:val="00884FD9"/>
    <w:rsid w:val="00884FDA"/>
    <w:rsid w:val="0088503E"/>
    <w:rsid w:val="0088506F"/>
    <w:rsid w:val="0088507D"/>
    <w:rsid w:val="0088508B"/>
    <w:rsid w:val="00885098"/>
    <w:rsid w:val="00885133"/>
    <w:rsid w:val="00885155"/>
    <w:rsid w:val="008851A3"/>
    <w:rsid w:val="008852AB"/>
    <w:rsid w:val="008852E2"/>
    <w:rsid w:val="0088536E"/>
    <w:rsid w:val="0088538D"/>
    <w:rsid w:val="0088539A"/>
    <w:rsid w:val="008853D8"/>
    <w:rsid w:val="008853E8"/>
    <w:rsid w:val="0088544B"/>
    <w:rsid w:val="0088552B"/>
    <w:rsid w:val="008855B6"/>
    <w:rsid w:val="008855C1"/>
    <w:rsid w:val="00885601"/>
    <w:rsid w:val="0088561C"/>
    <w:rsid w:val="00885685"/>
    <w:rsid w:val="008856B7"/>
    <w:rsid w:val="008856C5"/>
    <w:rsid w:val="008856F6"/>
    <w:rsid w:val="008856F8"/>
    <w:rsid w:val="00885702"/>
    <w:rsid w:val="0088572B"/>
    <w:rsid w:val="00885745"/>
    <w:rsid w:val="00885754"/>
    <w:rsid w:val="0088575B"/>
    <w:rsid w:val="0088575E"/>
    <w:rsid w:val="008857C4"/>
    <w:rsid w:val="00885848"/>
    <w:rsid w:val="0088584E"/>
    <w:rsid w:val="00885887"/>
    <w:rsid w:val="008858D1"/>
    <w:rsid w:val="008858E8"/>
    <w:rsid w:val="00885903"/>
    <w:rsid w:val="00885904"/>
    <w:rsid w:val="00885919"/>
    <w:rsid w:val="0088595B"/>
    <w:rsid w:val="0088598A"/>
    <w:rsid w:val="008859A5"/>
    <w:rsid w:val="008859B0"/>
    <w:rsid w:val="008859F3"/>
    <w:rsid w:val="00885A47"/>
    <w:rsid w:val="00885A58"/>
    <w:rsid w:val="00885A88"/>
    <w:rsid w:val="00885AB1"/>
    <w:rsid w:val="00885AF6"/>
    <w:rsid w:val="00885AF8"/>
    <w:rsid w:val="00885B09"/>
    <w:rsid w:val="00885B1F"/>
    <w:rsid w:val="00885B39"/>
    <w:rsid w:val="00885B3F"/>
    <w:rsid w:val="00885B49"/>
    <w:rsid w:val="00885B4D"/>
    <w:rsid w:val="00885BBE"/>
    <w:rsid w:val="00885BC3"/>
    <w:rsid w:val="00885BF5"/>
    <w:rsid w:val="00885C09"/>
    <w:rsid w:val="00885C2C"/>
    <w:rsid w:val="00885C72"/>
    <w:rsid w:val="00885C76"/>
    <w:rsid w:val="00885D34"/>
    <w:rsid w:val="00885D41"/>
    <w:rsid w:val="00885D44"/>
    <w:rsid w:val="00885D4C"/>
    <w:rsid w:val="00885D81"/>
    <w:rsid w:val="00885DC1"/>
    <w:rsid w:val="00885E22"/>
    <w:rsid w:val="00885E3D"/>
    <w:rsid w:val="00885E95"/>
    <w:rsid w:val="00885EB9"/>
    <w:rsid w:val="00885F36"/>
    <w:rsid w:val="00885F39"/>
    <w:rsid w:val="00885FA0"/>
    <w:rsid w:val="00885FA7"/>
    <w:rsid w:val="00885FC4"/>
    <w:rsid w:val="00885FD9"/>
    <w:rsid w:val="00886023"/>
    <w:rsid w:val="008860A0"/>
    <w:rsid w:val="008860BA"/>
    <w:rsid w:val="008860C0"/>
    <w:rsid w:val="008860D1"/>
    <w:rsid w:val="008860DE"/>
    <w:rsid w:val="008860FE"/>
    <w:rsid w:val="00886104"/>
    <w:rsid w:val="00886113"/>
    <w:rsid w:val="0088612F"/>
    <w:rsid w:val="00886144"/>
    <w:rsid w:val="0088615A"/>
    <w:rsid w:val="0088619F"/>
    <w:rsid w:val="008861C2"/>
    <w:rsid w:val="008861DA"/>
    <w:rsid w:val="00886230"/>
    <w:rsid w:val="00886253"/>
    <w:rsid w:val="00886273"/>
    <w:rsid w:val="008862D0"/>
    <w:rsid w:val="00886334"/>
    <w:rsid w:val="008863C4"/>
    <w:rsid w:val="008863DE"/>
    <w:rsid w:val="00886431"/>
    <w:rsid w:val="0088645C"/>
    <w:rsid w:val="00886491"/>
    <w:rsid w:val="008864F6"/>
    <w:rsid w:val="0088653F"/>
    <w:rsid w:val="0088654B"/>
    <w:rsid w:val="0088655C"/>
    <w:rsid w:val="00886587"/>
    <w:rsid w:val="0088659C"/>
    <w:rsid w:val="008865A8"/>
    <w:rsid w:val="008865B4"/>
    <w:rsid w:val="008865C5"/>
    <w:rsid w:val="008865CD"/>
    <w:rsid w:val="00886603"/>
    <w:rsid w:val="00886605"/>
    <w:rsid w:val="00886610"/>
    <w:rsid w:val="0088662D"/>
    <w:rsid w:val="00886640"/>
    <w:rsid w:val="0088666F"/>
    <w:rsid w:val="00886681"/>
    <w:rsid w:val="0088668D"/>
    <w:rsid w:val="008866A1"/>
    <w:rsid w:val="008866D4"/>
    <w:rsid w:val="008866E9"/>
    <w:rsid w:val="00886744"/>
    <w:rsid w:val="00886746"/>
    <w:rsid w:val="00886766"/>
    <w:rsid w:val="00886782"/>
    <w:rsid w:val="00886788"/>
    <w:rsid w:val="00886848"/>
    <w:rsid w:val="00886856"/>
    <w:rsid w:val="00886876"/>
    <w:rsid w:val="0088689A"/>
    <w:rsid w:val="008868DD"/>
    <w:rsid w:val="008868EC"/>
    <w:rsid w:val="008868F0"/>
    <w:rsid w:val="00886941"/>
    <w:rsid w:val="00886947"/>
    <w:rsid w:val="008869B0"/>
    <w:rsid w:val="008869B8"/>
    <w:rsid w:val="008869C6"/>
    <w:rsid w:val="008869E1"/>
    <w:rsid w:val="00886AA3"/>
    <w:rsid w:val="00886AC9"/>
    <w:rsid w:val="00886AEE"/>
    <w:rsid w:val="00886B4F"/>
    <w:rsid w:val="00886B86"/>
    <w:rsid w:val="00886B96"/>
    <w:rsid w:val="00886BA7"/>
    <w:rsid w:val="00886BBD"/>
    <w:rsid w:val="00886BE4"/>
    <w:rsid w:val="00886BEA"/>
    <w:rsid w:val="00886BFA"/>
    <w:rsid w:val="00886CEB"/>
    <w:rsid w:val="00886D7F"/>
    <w:rsid w:val="00886D99"/>
    <w:rsid w:val="00886DB2"/>
    <w:rsid w:val="00886DBD"/>
    <w:rsid w:val="00886DC2"/>
    <w:rsid w:val="00886DEF"/>
    <w:rsid w:val="00886DFB"/>
    <w:rsid w:val="00886E18"/>
    <w:rsid w:val="00886E19"/>
    <w:rsid w:val="00886E3E"/>
    <w:rsid w:val="00886E56"/>
    <w:rsid w:val="00886E9B"/>
    <w:rsid w:val="00886EAD"/>
    <w:rsid w:val="00886F0F"/>
    <w:rsid w:val="00886F8C"/>
    <w:rsid w:val="00886F8E"/>
    <w:rsid w:val="00886FAF"/>
    <w:rsid w:val="00886FDD"/>
    <w:rsid w:val="00887014"/>
    <w:rsid w:val="00887031"/>
    <w:rsid w:val="0088709D"/>
    <w:rsid w:val="008870BE"/>
    <w:rsid w:val="008870F3"/>
    <w:rsid w:val="008870F4"/>
    <w:rsid w:val="0088715A"/>
    <w:rsid w:val="0088719F"/>
    <w:rsid w:val="008871BE"/>
    <w:rsid w:val="008871C0"/>
    <w:rsid w:val="008871D6"/>
    <w:rsid w:val="008871E8"/>
    <w:rsid w:val="0088726D"/>
    <w:rsid w:val="0088728A"/>
    <w:rsid w:val="008872CC"/>
    <w:rsid w:val="008872D7"/>
    <w:rsid w:val="00887357"/>
    <w:rsid w:val="0088739E"/>
    <w:rsid w:val="008873BC"/>
    <w:rsid w:val="008873D2"/>
    <w:rsid w:val="008874C1"/>
    <w:rsid w:val="008874C4"/>
    <w:rsid w:val="0088758A"/>
    <w:rsid w:val="00887593"/>
    <w:rsid w:val="008875DB"/>
    <w:rsid w:val="008875F8"/>
    <w:rsid w:val="0088766E"/>
    <w:rsid w:val="008876B0"/>
    <w:rsid w:val="008876F7"/>
    <w:rsid w:val="0088770C"/>
    <w:rsid w:val="008877A0"/>
    <w:rsid w:val="008877A4"/>
    <w:rsid w:val="008877AB"/>
    <w:rsid w:val="008877B1"/>
    <w:rsid w:val="008877D1"/>
    <w:rsid w:val="008877EE"/>
    <w:rsid w:val="00887825"/>
    <w:rsid w:val="00887834"/>
    <w:rsid w:val="00887864"/>
    <w:rsid w:val="0088787D"/>
    <w:rsid w:val="008878B5"/>
    <w:rsid w:val="00887942"/>
    <w:rsid w:val="008879AD"/>
    <w:rsid w:val="008879AF"/>
    <w:rsid w:val="008879B2"/>
    <w:rsid w:val="008879D2"/>
    <w:rsid w:val="00887A80"/>
    <w:rsid w:val="00887A83"/>
    <w:rsid w:val="00887AAA"/>
    <w:rsid w:val="00887B1C"/>
    <w:rsid w:val="00887B60"/>
    <w:rsid w:val="00887BCD"/>
    <w:rsid w:val="00887BD7"/>
    <w:rsid w:val="00887BD9"/>
    <w:rsid w:val="00887C17"/>
    <w:rsid w:val="00887C2F"/>
    <w:rsid w:val="00887C4C"/>
    <w:rsid w:val="00887C50"/>
    <w:rsid w:val="00887CC6"/>
    <w:rsid w:val="00887CE1"/>
    <w:rsid w:val="00887D37"/>
    <w:rsid w:val="00887D4F"/>
    <w:rsid w:val="00887DB8"/>
    <w:rsid w:val="00887DD8"/>
    <w:rsid w:val="00887DED"/>
    <w:rsid w:val="00887E2B"/>
    <w:rsid w:val="00887E39"/>
    <w:rsid w:val="00887E6C"/>
    <w:rsid w:val="00887EA5"/>
    <w:rsid w:val="00887ED6"/>
    <w:rsid w:val="00887EE1"/>
    <w:rsid w:val="00887EFA"/>
    <w:rsid w:val="00887F0D"/>
    <w:rsid w:val="00887F1D"/>
    <w:rsid w:val="00887F49"/>
    <w:rsid w:val="00887FC8"/>
    <w:rsid w:val="00887FF4"/>
    <w:rsid w:val="00890016"/>
    <w:rsid w:val="0089001F"/>
    <w:rsid w:val="00890021"/>
    <w:rsid w:val="00890086"/>
    <w:rsid w:val="008900EB"/>
    <w:rsid w:val="0089010F"/>
    <w:rsid w:val="0089011E"/>
    <w:rsid w:val="00890146"/>
    <w:rsid w:val="0089014A"/>
    <w:rsid w:val="00890171"/>
    <w:rsid w:val="00890176"/>
    <w:rsid w:val="00890192"/>
    <w:rsid w:val="008901BA"/>
    <w:rsid w:val="008901C2"/>
    <w:rsid w:val="0089022F"/>
    <w:rsid w:val="00890288"/>
    <w:rsid w:val="00890290"/>
    <w:rsid w:val="008902AC"/>
    <w:rsid w:val="008902BD"/>
    <w:rsid w:val="008902F9"/>
    <w:rsid w:val="00890315"/>
    <w:rsid w:val="0089035C"/>
    <w:rsid w:val="008903C2"/>
    <w:rsid w:val="008903CF"/>
    <w:rsid w:val="0089042C"/>
    <w:rsid w:val="00890498"/>
    <w:rsid w:val="008904CF"/>
    <w:rsid w:val="008904DB"/>
    <w:rsid w:val="008904F3"/>
    <w:rsid w:val="0089053C"/>
    <w:rsid w:val="00890588"/>
    <w:rsid w:val="008905B9"/>
    <w:rsid w:val="008905C5"/>
    <w:rsid w:val="0089065E"/>
    <w:rsid w:val="00890667"/>
    <w:rsid w:val="00890696"/>
    <w:rsid w:val="008906DE"/>
    <w:rsid w:val="008906E9"/>
    <w:rsid w:val="00890706"/>
    <w:rsid w:val="0089071C"/>
    <w:rsid w:val="0089071F"/>
    <w:rsid w:val="00890749"/>
    <w:rsid w:val="0089074E"/>
    <w:rsid w:val="00890755"/>
    <w:rsid w:val="0089075A"/>
    <w:rsid w:val="00890760"/>
    <w:rsid w:val="0089078E"/>
    <w:rsid w:val="008907A2"/>
    <w:rsid w:val="008907B8"/>
    <w:rsid w:val="008907CF"/>
    <w:rsid w:val="00890831"/>
    <w:rsid w:val="00890860"/>
    <w:rsid w:val="00890896"/>
    <w:rsid w:val="00890917"/>
    <w:rsid w:val="0089093D"/>
    <w:rsid w:val="00890945"/>
    <w:rsid w:val="008909EC"/>
    <w:rsid w:val="00890A13"/>
    <w:rsid w:val="00890A92"/>
    <w:rsid w:val="00890AD7"/>
    <w:rsid w:val="00890AD9"/>
    <w:rsid w:val="00890B12"/>
    <w:rsid w:val="00890B14"/>
    <w:rsid w:val="00890B2F"/>
    <w:rsid w:val="00890B54"/>
    <w:rsid w:val="00890BD6"/>
    <w:rsid w:val="00890BEE"/>
    <w:rsid w:val="00890C10"/>
    <w:rsid w:val="00890C11"/>
    <w:rsid w:val="00890C8F"/>
    <w:rsid w:val="00890CAA"/>
    <w:rsid w:val="00890CB2"/>
    <w:rsid w:val="00890CEB"/>
    <w:rsid w:val="00890D61"/>
    <w:rsid w:val="00890D92"/>
    <w:rsid w:val="00890DB6"/>
    <w:rsid w:val="00890DE8"/>
    <w:rsid w:val="00890E15"/>
    <w:rsid w:val="00890EDA"/>
    <w:rsid w:val="00890F03"/>
    <w:rsid w:val="00890F2E"/>
    <w:rsid w:val="00890F5E"/>
    <w:rsid w:val="00890F61"/>
    <w:rsid w:val="00890F78"/>
    <w:rsid w:val="00890F9E"/>
    <w:rsid w:val="0089100A"/>
    <w:rsid w:val="00891015"/>
    <w:rsid w:val="00891023"/>
    <w:rsid w:val="0089104E"/>
    <w:rsid w:val="00891060"/>
    <w:rsid w:val="008910CA"/>
    <w:rsid w:val="00891122"/>
    <w:rsid w:val="00891155"/>
    <w:rsid w:val="00891173"/>
    <w:rsid w:val="0089118F"/>
    <w:rsid w:val="008912D8"/>
    <w:rsid w:val="008912D9"/>
    <w:rsid w:val="008912FE"/>
    <w:rsid w:val="00891312"/>
    <w:rsid w:val="00891344"/>
    <w:rsid w:val="00891351"/>
    <w:rsid w:val="00891387"/>
    <w:rsid w:val="008913DF"/>
    <w:rsid w:val="00891401"/>
    <w:rsid w:val="00891406"/>
    <w:rsid w:val="00891408"/>
    <w:rsid w:val="0089145E"/>
    <w:rsid w:val="00891469"/>
    <w:rsid w:val="00891472"/>
    <w:rsid w:val="00891505"/>
    <w:rsid w:val="00891506"/>
    <w:rsid w:val="0089150C"/>
    <w:rsid w:val="0089150D"/>
    <w:rsid w:val="00891558"/>
    <w:rsid w:val="00891578"/>
    <w:rsid w:val="0089157A"/>
    <w:rsid w:val="00891580"/>
    <w:rsid w:val="0089159F"/>
    <w:rsid w:val="008915A2"/>
    <w:rsid w:val="008915B4"/>
    <w:rsid w:val="008915D9"/>
    <w:rsid w:val="008915E5"/>
    <w:rsid w:val="008915FC"/>
    <w:rsid w:val="00891600"/>
    <w:rsid w:val="00891601"/>
    <w:rsid w:val="0089161B"/>
    <w:rsid w:val="00891628"/>
    <w:rsid w:val="00891686"/>
    <w:rsid w:val="008916A0"/>
    <w:rsid w:val="008916CD"/>
    <w:rsid w:val="008916EA"/>
    <w:rsid w:val="008916F2"/>
    <w:rsid w:val="008916FC"/>
    <w:rsid w:val="00891719"/>
    <w:rsid w:val="0089173C"/>
    <w:rsid w:val="0089176B"/>
    <w:rsid w:val="00891780"/>
    <w:rsid w:val="0089178C"/>
    <w:rsid w:val="0089178F"/>
    <w:rsid w:val="008917CA"/>
    <w:rsid w:val="008917D1"/>
    <w:rsid w:val="008917EF"/>
    <w:rsid w:val="00891830"/>
    <w:rsid w:val="00891836"/>
    <w:rsid w:val="00891861"/>
    <w:rsid w:val="00891872"/>
    <w:rsid w:val="00891893"/>
    <w:rsid w:val="008918A3"/>
    <w:rsid w:val="008918B5"/>
    <w:rsid w:val="008918C3"/>
    <w:rsid w:val="008918DB"/>
    <w:rsid w:val="008918E2"/>
    <w:rsid w:val="00891950"/>
    <w:rsid w:val="00891966"/>
    <w:rsid w:val="00891996"/>
    <w:rsid w:val="008919BF"/>
    <w:rsid w:val="008919F6"/>
    <w:rsid w:val="00891A42"/>
    <w:rsid w:val="00891A65"/>
    <w:rsid w:val="00891AF3"/>
    <w:rsid w:val="00891B01"/>
    <w:rsid w:val="00891B17"/>
    <w:rsid w:val="00891B4D"/>
    <w:rsid w:val="00891B51"/>
    <w:rsid w:val="00891B61"/>
    <w:rsid w:val="00891B7D"/>
    <w:rsid w:val="00891B8B"/>
    <w:rsid w:val="00891BA5"/>
    <w:rsid w:val="00891BBB"/>
    <w:rsid w:val="00891BF2"/>
    <w:rsid w:val="00891BF5"/>
    <w:rsid w:val="00891C07"/>
    <w:rsid w:val="00891C57"/>
    <w:rsid w:val="00891C65"/>
    <w:rsid w:val="00891C67"/>
    <w:rsid w:val="00891CC2"/>
    <w:rsid w:val="00891D6C"/>
    <w:rsid w:val="00891DA1"/>
    <w:rsid w:val="00891E23"/>
    <w:rsid w:val="00891E42"/>
    <w:rsid w:val="00891E43"/>
    <w:rsid w:val="00891E55"/>
    <w:rsid w:val="00891E5D"/>
    <w:rsid w:val="00891E93"/>
    <w:rsid w:val="00891E97"/>
    <w:rsid w:val="00891F0B"/>
    <w:rsid w:val="00891F66"/>
    <w:rsid w:val="00891FDB"/>
    <w:rsid w:val="00891FDE"/>
    <w:rsid w:val="00891FE0"/>
    <w:rsid w:val="00891FF7"/>
    <w:rsid w:val="00892014"/>
    <w:rsid w:val="00892043"/>
    <w:rsid w:val="008920D3"/>
    <w:rsid w:val="0089210E"/>
    <w:rsid w:val="00892140"/>
    <w:rsid w:val="0089214A"/>
    <w:rsid w:val="008921A3"/>
    <w:rsid w:val="008921E6"/>
    <w:rsid w:val="00892242"/>
    <w:rsid w:val="0089224E"/>
    <w:rsid w:val="00892252"/>
    <w:rsid w:val="00892253"/>
    <w:rsid w:val="00892299"/>
    <w:rsid w:val="008922E3"/>
    <w:rsid w:val="00892387"/>
    <w:rsid w:val="008923CC"/>
    <w:rsid w:val="008923DD"/>
    <w:rsid w:val="008923E8"/>
    <w:rsid w:val="008923EE"/>
    <w:rsid w:val="00892448"/>
    <w:rsid w:val="0089245A"/>
    <w:rsid w:val="0089247E"/>
    <w:rsid w:val="008924AC"/>
    <w:rsid w:val="008924D6"/>
    <w:rsid w:val="008924DE"/>
    <w:rsid w:val="0089251D"/>
    <w:rsid w:val="00892558"/>
    <w:rsid w:val="008925D9"/>
    <w:rsid w:val="008925F8"/>
    <w:rsid w:val="00892600"/>
    <w:rsid w:val="00892675"/>
    <w:rsid w:val="008926AD"/>
    <w:rsid w:val="008926B5"/>
    <w:rsid w:val="00892705"/>
    <w:rsid w:val="00892761"/>
    <w:rsid w:val="00892766"/>
    <w:rsid w:val="008927F8"/>
    <w:rsid w:val="00892802"/>
    <w:rsid w:val="008928D3"/>
    <w:rsid w:val="0089293D"/>
    <w:rsid w:val="00892A08"/>
    <w:rsid w:val="00892A0B"/>
    <w:rsid w:val="00892A78"/>
    <w:rsid w:val="00892A88"/>
    <w:rsid w:val="00892A8F"/>
    <w:rsid w:val="00892A9F"/>
    <w:rsid w:val="00892AE5"/>
    <w:rsid w:val="00892B23"/>
    <w:rsid w:val="00892B57"/>
    <w:rsid w:val="00892B5C"/>
    <w:rsid w:val="00892B6C"/>
    <w:rsid w:val="00892B81"/>
    <w:rsid w:val="00892BAB"/>
    <w:rsid w:val="00892BD9"/>
    <w:rsid w:val="00892BE8"/>
    <w:rsid w:val="00892BEC"/>
    <w:rsid w:val="00892C1B"/>
    <w:rsid w:val="00892C41"/>
    <w:rsid w:val="00892C64"/>
    <w:rsid w:val="00892CAD"/>
    <w:rsid w:val="00892CCD"/>
    <w:rsid w:val="00892D46"/>
    <w:rsid w:val="00892D5D"/>
    <w:rsid w:val="00892D7F"/>
    <w:rsid w:val="00892DC5"/>
    <w:rsid w:val="00892DCA"/>
    <w:rsid w:val="00892E29"/>
    <w:rsid w:val="00892ECB"/>
    <w:rsid w:val="00892ED7"/>
    <w:rsid w:val="00892EDF"/>
    <w:rsid w:val="00892F0F"/>
    <w:rsid w:val="00892FAD"/>
    <w:rsid w:val="00892FC0"/>
    <w:rsid w:val="00892FC2"/>
    <w:rsid w:val="00893007"/>
    <w:rsid w:val="0089301C"/>
    <w:rsid w:val="0089304B"/>
    <w:rsid w:val="008930A1"/>
    <w:rsid w:val="008930F7"/>
    <w:rsid w:val="00893112"/>
    <w:rsid w:val="00893124"/>
    <w:rsid w:val="0089312F"/>
    <w:rsid w:val="0089321C"/>
    <w:rsid w:val="00893244"/>
    <w:rsid w:val="0089325C"/>
    <w:rsid w:val="00893265"/>
    <w:rsid w:val="0089326D"/>
    <w:rsid w:val="00893290"/>
    <w:rsid w:val="008932D2"/>
    <w:rsid w:val="008932DB"/>
    <w:rsid w:val="008932EE"/>
    <w:rsid w:val="008932FA"/>
    <w:rsid w:val="00893310"/>
    <w:rsid w:val="00893360"/>
    <w:rsid w:val="00893361"/>
    <w:rsid w:val="00893380"/>
    <w:rsid w:val="00893428"/>
    <w:rsid w:val="00893447"/>
    <w:rsid w:val="0089348C"/>
    <w:rsid w:val="008934B8"/>
    <w:rsid w:val="008934D4"/>
    <w:rsid w:val="008934DB"/>
    <w:rsid w:val="008934DE"/>
    <w:rsid w:val="0089351A"/>
    <w:rsid w:val="0089351F"/>
    <w:rsid w:val="00893545"/>
    <w:rsid w:val="00893559"/>
    <w:rsid w:val="008935B2"/>
    <w:rsid w:val="008936A0"/>
    <w:rsid w:val="008936C6"/>
    <w:rsid w:val="008936CD"/>
    <w:rsid w:val="0089370B"/>
    <w:rsid w:val="0089371A"/>
    <w:rsid w:val="0089371E"/>
    <w:rsid w:val="00893735"/>
    <w:rsid w:val="0089374C"/>
    <w:rsid w:val="008938B8"/>
    <w:rsid w:val="008938EC"/>
    <w:rsid w:val="00893922"/>
    <w:rsid w:val="00893925"/>
    <w:rsid w:val="008939C8"/>
    <w:rsid w:val="008939F9"/>
    <w:rsid w:val="00893A33"/>
    <w:rsid w:val="00893A98"/>
    <w:rsid w:val="00893ADD"/>
    <w:rsid w:val="00893AE0"/>
    <w:rsid w:val="00893B18"/>
    <w:rsid w:val="00893B19"/>
    <w:rsid w:val="00893B2B"/>
    <w:rsid w:val="00893BB4"/>
    <w:rsid w:val="00893BC2"/>
    <w:rsid w:val="00893BD6"/>
    <w:rsid w:val="00893C46"/>
    <w:rsid w:val="00893C8C"/>
    <w:rsid w:val="00893CA3"/>
    <w:rsid w:val="00893D04"/>
    <w:rsid w:val="00893D1D"/>
    <w:rsid w:val="00893D2E"/>
    <w:rsid w:val="00893D4F"/>
    <w:rsid w:val="00893DA8"/>
    <w:rsid w:val="00893DFB"/>
    <w:rsid w:val="00893DFC"/>
    <w:rsid w:val="00893E10"/>
    <w:rsid w:val="00893E53"/>
    <w:rsid w:val="00893EA2"/>
    <w:rsid w:val="00893EAA"/>
    <w:rsid w:val="00893EAE"/>
    <w:rsid w:val="00893ECA"/>
    <w:rsid w:val="00893ED4"/>
    <w:rsid w:val="00893EF0"/>
    <w:rsid w:val="00893EFA"/>
    <w:rsid w:val="00893EFE"/>
    <w:rsid w:val="00893F1F"/>
    <w:rsid w:val="00893F40"/>
    <w:rsid w:val="00893F4D"/>
    <w:rsid w:val="00893F4E"/>
    <w:rsid w:val="00893F5A"/>
    <w:rsid w:val="00893F60"/>
    <w:rsid w:val="00893F82"/>
    <w:rsid w:val="00893FE7"/>
    <w:rsid w:val="00894007"/>
    <w:rsid w:val="008940A6"/>
    <w:rsid w:val="008940A7"/>
    <w:rsid w:val="008940FC"/>
    <w:rsid w:val="0089410E"/>
    <w:rsid w:val="00894134"/>
    <w:rsid w:val="00894161"/>
    <w:rsid w:val="00894197"/>
    <w:rsid w:val="008941A9"/>
    <w:rsid w:val="008941C9"/>
    <w:rsid w:val="008941D5"/>
    <w:rsid w:val="008941F9"/>
    <w:rsid w:val="00894264"/>
    <w:rsid w:val="00894283"/>
    <w:rsid w:val="0089429B"/>
    <w:rsid w:val="00894303"/>
    <w:rsid w:val="00894324"/>
    <w:rsid w:val="00894356"/>
    <w:rsid w:val="00894381"/>
    <w:rsid w:val="00894384"/>
    <w:rsid w:val="008943B5"/>
    <w:rsid w:val="008943C0"/>
    <w:rsid w:val="008943CC"/>
    <w:rsid w:val="008943E2"/>
    <w:rsid w:val="0089443A"/>
    <w:rsid w:val="0089443F"/>
    <w:rsid w:val="0089444B"/>
    <w:rsid w:val="0089444F"/>
    <w:rsid w:val="0089445F"/>
    <w:rsid w:val="0089446B"/>
    <w:rsid w:val="00894474"/>
    <w:rsid w:val="008944CA"/>
    <w:rsid w:val="008944DD"/>
    <w:rsid w:val="008944F3"/>
    <w:rsid w:val="0089456A"/>
    <w:rsid w:val="0089458E"/>
    <w:rsid w:val="00894595"/>
    <w:rsid w:val="008945AC"/>
    <w:rsid w:val="008945C0"/>
    <w:rsid w:val="008945EA"/>
    <w:rsid w:val="008945FD"/>
    <w:rsid w:val="0089460F"/>
    <w:rsid w:val="00894691"/>
    <w:rsid w:val="008946E3"/>
    <w:rsid w:val="008946FE"/>
    <w:rsid w:val="0089474B"/>
    <w:rsid w:val="00894761"/>
    <w:rsid w:val="008947C1"/>
    <w:rsid w:val="008947C6"/>
    <w:rsid w:val="008947CC"/>
    <w:rsid w:val="008947FD"/>
    <w:rsid w:val="0089480D"/>
    <w:rsid w:val="0089480E"/>
    <w:rsid w:val="0089481E"/>
    <w:rsid w:val="00894837"/>
    <w:rsid w:val="00894887"/>
    <w:rsid w:val="0089495F"/>
    <w:rsid w:val="00894968"/>
    <w:rsid w:val="008949C4"/>
    <w:rsid w:val="00894A1A"/>
    <w:rsid w:val="00894AB2"/>
    <w:rsid w:val="00894AD5"/>
    <w:rsid w:val="00894B12"/>
    <w:rsid w:val="00894B35"/>
    <w:rsid w:val="00894B44"/>
    <w:rsid w:val="00894B45"/>
    <w:rsid w:val="00894B49"/>
    <w:rsid w:val="00894BAD"/>
    <w:rsid w:val="00894C27"/>
    <w:rsid w:val="00894C29"/>
    <w:rsid w:val="00894C36"/>
    <w:rsid w:val="00894C4D"/>
    <w:rsid w:val="00894C58"/>
    <w:rsid w:val="00894CC9"/>
    <w:rsid w:val="00894D8A"/>
    <w:rsid w:val="00894DA1"/>
    <w:rsid w:val="00894DA9"/>
    <w:rsid w:val="00894DDE"/>
    <w:rsid w:val="00894DE3"/>
    <w:rsid w:val="00894E11"/>
    <w:rsid w:val="00894E16"/>
    <w:rsid w:val="00894E34"/>
    <w:rsid w:val="00894E50"/>
    <w:rsid w:val="00894EBD"/>
    <w:rsid w:val="00894EE3"/>
    <w:rsid w:val="00894EE6"/>
    <w:rsid w:val="00894EF6"/>
    <w:rsid w:val="00894F2F"/>
    <w:rsid w:val="00894F59"/>
    <w:rsid w:val="00894F77"/>
    <w:rsid w:val="00894FCE"/>
    <w:rsid w:val="00894FFA"/>
    <w:rsid w:val="00895039"/>
    <w:rsid w:val="00895176"/>
    <w:rsid w:val="008951BC"/>
    <w:rsid w:val="008951F9"/>
    <w:rsid w:val="0089525E"/>
    <w:rsid w:val="00895279"/>
    <w:rsid w:val="00895288"/>
    <w:rsid w:val="00895293"/>
    <w:rsid w:val="0089530F"/>
    <w:rsid w:val="0089532E"/>
    <w:rsid w:val="0089533C"/>
    <w:rsid w:val="00895359"/>
    <w:rsid w:val="0089535B"/>
    <w:rsid w:val="0089535C"/>
    <w:rsid w:val="008953C3"/>
    <w:rsid w:val="008953F8"/>
    <w:rsid w:val="00895435"/>
    <w:rsid w:val="00895472"/>
    <w:rsid w:val="0089547B"/>
    <w:rsid w:val="0089549D"/>
    <w:rsid w:val="008954B0"/>
    <w:rsid w:val="008954C6"/>
    <w:rsid w:val="008954F3"/>
    <w:rsid w:val="00895521"/>
    <w:rsid w:val="0089553C"/>
    <w:rsid w:val="008955E6"/>
    <w:rsid w:val="00895601"/>
    <w:rsid w:val="00895647"/>
    <w:rsid w:val="008956AF"/>
    <w:rsid w:val="00895712"/>
    <w:rsid w:val="008957C5"/>
    <w:rsid w:val="008957E2"/>
    <w:rsid w:val="008957EC"/>
    <w:rsid w:val="008957FD"/>
    <w:rsid w:val="0089583D"/>
    <w:rsid w:val="00895847"/>
    <w:rsid w:val="008958AD"/>
    <w:rsid w:val="008958B3"/>
    <w:rsid w:val="008958E9"/>
    <w:rsid w:val="0089593F"/>
    <w:rsid w:val="00895945"/>
    <w:rsid w:val="008959BA"/>
    <w:rsid w:val="008959C9"/>
    <w:rsid w:val="008959D6"/>
    <w:rsid w:val="008959E1"/>
    <w:rsid w:val="008959F0"/>
    <w:rsid w:val="008959F2"/>
    <w:rsid w:val="008959F9"/>
    <w:rsid w:val="00895A55"/>
    <w:rsid w:val="00895A78"/>
    <w:rsid w:val="00895AA7"/>
    <w:rsid w:val="00895AAF"/>
    <w:rsid w:val="00895AC6"/>
    <w:rsid w:val="00895ACB"/>
    <w:rsid w:val="00895AF6"/>
    <w:rsid w:val="00895B01"/>
    <w:rsid w:val="00895B0B"/>
    <w:rsid w:val="00895B38"/>
    <w:rsid w:val="00895B3B"/>
    <w:rsid w:val="00895B89"/>
    <w:rsid w:val="00895BA4"/>
    <w:rsid w:val="00895BA9"/>
    <w:rsid w:val="00895BAD"/>
    <w:rsid w:val="00895C3C"/>
    <w:rsid w:val="00895C4C"/>
    <w:rsid w:val="00895CAF"/>
    <w:rsid w:val="00895CB0"/>
    <w:rsid w:val="00895D5F"/>
    <w:rsid w:val="00895D93"/>
    <w:rsid w:val="00895D94"/>
    <w:rsid w:val="00895D9B"/>
    <w:rsid w:val="00895DCE"/>
    <w:rsid w:val="00895DEF"/>
    <w:rsid w:val="00895DF9"/>
    <w:rsid w:val="00895E4B"/>
    <w:rsid w:val="00895E8E"/>
    <w:rsid w:val="00895EA8"/>
    <w:rsid w:val="00895EEA"/>
    <w:rsid w:val="00895F75"/>
    <w:rsid w:val="00895FA6"/>
    <w:rsid w:val="00895FC7"/>
    <w:rsid w:val="00896034"/>
    <w:rsid w:val="00896044"/>
    <w:rsid w:val="0089604F"/>
    <w:rsid w:val="00896085"/>
    <w:rsid w:val="008960A7"/>
    <w:rsid w:val="008960AF"/>
    <w:rsid w:val="008960D0"/>
    <w:rsid w:val="008960F6"/>
    <w:rsid w:val="00896104"/>
    <w:rsid w:val="00896165"/>
    <w:rsid w:val="00896175"/>
    <w:rsid w:val="008961C3"/>
    <w:rsid w:val="00896223"/>
    <w:rsid w:val="0089625B"/>
    <w:rsid w:val="0089626D"/>
    <w:rsid w:val="008962F5"/>
    <w:rsid w:val="00896318"/>
    <w:rsid w:val="00896324"/>
    <w:rsid w:val="00896365"/>
    <w:rsid w:val="00896367"/>
    <w:rsid w:val="0089636D"/>
    <w:rsid w:val="008963B9"/>
    <w:rsid w:val="008963E8"/>
    <w:rsid w:val="0089645C"/>
    <w:rsid w:val="0089649E"/>
    <w:rsid w:val="00896522"/>
    <w:rsid w:val="00896525"/>
    <w:rsid w:val="0089658C"/>
    <w:rsid w:val="008965EA"/>
    <w:rsid w:val="008965EE"/>
    <w:rsid w:val="008965FF"/>
    <w:rsid w:val="00896623"/>
    <w:rsid w:val="00896663"/>
    <w:rsid w:val="00896688"/>
    <w:rsid w:val="008966BE"/>
    <w:rsid w:val="008966CC"/>
    <w:rsid w:val="00896745"/>
    <w:rsid w:val="0089675C"/>
    <w:rsid w:val="0089677F"/>
    <w:rsid w:val="008967A8"/>
    <w:rsid w:val="008967CA"/>
    <w:rsid w:val="008967E3"/>
    <w:rsid w:val="0089680E"/>
    <w:rsid w:val="00896810"/>
    <w:rsid w:val="00896835"/>
    <w:rsid w:val="00896841"/>
    <w:rsid w:val="008968C7"/>
    <w:rsid w:val="008968D0"/>
    <w:rsid w:val="00896935"/>
    <w:rsid w:val="00896981"/>
    <w:rsid w:val="008969B3"/>
    <w:rsid w:val="008969E4"/>
    <w:rsid w:val="00896A14"/>
    <w:rsid w:val="00896A19"/>
    <w:rsid w:val="00896A6D"/>
    <w:rsid w:val="00896AA4"/>
    <w:rsid w:val="00896AD3"/>
    <w:rsid w:val="00896ADC"/>
    <w:rsid w:val="00896AE9"/>
    <w:rsid w:val="00896AEC"/>
    <w:rsid w:val="00896AF7"/>
    <w:rsid w:val="00896B06"/>
    <w:rsid w:val="00896B21"/>
    <w:rsid w:val="00896B3D"/>
    <w:rsid w:val="00896B4D"/>
    <w:rsid w:val="00896B4E"/>
    <w:rsid w:val="00896B81"/>
    <w:rsid w:val="00896B8B"/>
    <w:rsid w:val="00896BF0"/>
    <w:rsid w:val="00896C01"/>
    <w:rsid w:val="00896C26"/>
    <w:rsid w:val="00896C34"/>
    <w:rsid w:val="00896C6E"/>
    <w:rsid w:val="00896C88"/>
    <w:rsid w:val="00896C9B"/>
    <w:rsid w:val="00896D0B"/>
    <w:rsid w:val="00896D19"/>
    <w:rsid w:val="00896D2C"/>
    <w:rsid w:val="00896D60"/>
    <w:rsid w:val="00896D7D"/>
    <w:rsid w:val="00896D92"/>
    <w:rsid w:val="00896DD9"/>
    <w:rsid w:val="00896E66"/>
    <w:rsid w:val="00896E6C"/>
    <w:rsid w:val="00896ED9"/>
    <w:rsid w:val="00896F38"/>
    <w:rsid w:val="00896F69"/>
    <w:rsid w:val="00896F8D"/>
    <w:rsid w:val="00896F96"/>
    <w:rsid w:val="00896FB6"/>
    <w:rsid w:val="00896FDD"/>
    <w:rsid w:val="00897017"/>
    <w:rsid w:val="00897029"/>
    <w:rsid w:val="0089703E"/>
    <w:rsid w:val="00897070"/>
    <w:rsid w:val="0089707E"/>
    <w:rsid w:val="00897092"/>
    <w:rsid w:val="008970C6"/>
    <w:rsid w:val="008970C7"/>
    <w:rsid w:val="0089710C"/>
    <w:rsid w:val="00897117"/>
    <w:rsid w:val="0089712C"/>
    <w:rsid w:val="00897134"/>
    <w:rsid w:val="0089718A"/>
    <w:rsid w:val="008971E6"/>
    <w:rsid w:val="00897214"/>
    <w:rsid w:val="00897223"/>
    <w:rsid w:val="008972EA"/>
    <w:rsid w:val="008972FD"/>
    <w:rsid w:val="00897320"/>
    <w:rsid w:val="00897329"/>
    <w:rsid w:val="00897364"/>
    <w:rsid w:val="00897385"/>
    <w:rsid w:val="0089738D"/>
    <w:rsid w:val="008973AA"/>
    <w:rsid w:val="008973CD"/>
    <w:rsid w:val="008973F4"/>
    <w:rsid w:val="008973FF"/>
    <w:rsid w:val="00897440"/>
    <w:rsid w:val="00897446"/>
    <w:rsid w:val="00897457"/>
    <w:rsid w:val="008974A5"/>
    <w:rsid w:val="008974C1"/>
    <w:rsid w:val="008974C7"/>
    <w:rsid w:val="008974DF"/>
    <w:rsid w:val="0089754B"/>
    <w:rsid w:val="00897566"/>
    <w:rsid w:val="00897589"/>
    <w:rsid w:val="00897599"/>
    <w:rsid w:val="0089764A"/>
    <w:rsid w:val="008976F5"/>
    <w:rsid w:val="00897701"/>
    <w:rsid w:val="00897714"/>
    <w:rsid w:val="0089771D"/>
    <w:rsid w:val="00897745"/>
    <w:rsid w:val="00897759"/>
    <w:rsid w:val="0089775E"/>
    <w:rsid w:val="0089776A"/>
    <w:rsid w:val="008977B2"/>
    <w:rsid w:val="00897810"/>
    <w:rsid w:val="0089782F"/>
    <w:rsid w:val="00897842"/>
    <w:rsid w:val="0089784E"/>
    <w:rsid w:val="008978D5"/>
    <w:rsid w:val="008978F4"/>
    <w:rsid w:val="008978FA"/>
    <w:rsid w:val="008978FB"/>
    <w:rsid w:val="00897939"/>
    <w:rsid w:val="00897949"/>
    <w:rsid w:val="008979B6"/>
    <w:rsid w:val="008979D1"/>
    <w:rsid w:val="008979D9"/>
    <w:rsid w:val="008979DD"/>
    <w:rsid w:val="008979DE"/>
    <w:rsid w:val="00897A2F"/>
    <w:rsid w:val="00897A4D"/>
    <w:rsid w:val="00897AA4"/>
    <w:rsid w:val="00897AA5"/>
    <w:rsid w:val="00897AA9"/>
    <w:rsid w:val="00897B72"/>
    <w:rsid w:val="00897B84"/>
    <w:rsid w:val="00897BAF"/>
    <w:rsid w:val="00897C00"/>
    <w:rsid w:val="00897C0B"/>
    <w:rsid w:val="00897C34"/>
    <w:rsid w:val="00897C3B"/>
    <w:rsid w:val="00897C6F"/>
    <w:rsid w:val="00897CD7"/>
    <w:rsid w:val="00897CDC"/>
    <w:rsid w:val="00897CE1"/>
    <w:rsid w:val="00897CFE"/>
    <w:rsid w:val="00897DC7"/>
    <w:rsid w:val="00897DD3"/>
    <w:rsid w:val="00897DF5"/>
    <w:rsid w:val="00897DFF"/>
    <w:rsid w:val="00897E02"/>
    <w:rsid w:val="00897E0C"/>
    <w:rsid w:val="00897E40"/>
    <w:rsid w:val="00897E6B"/>
    <w:rsid w:val="00897E76"/>
    <w:rsid w:val="00897E80"/>
    <w:rsid w:val="00897ED7"/>
    <w:rsid w:val="00897ED9"/>
    <w:rsid w:val="00897EDE"/>
    <w:rsid w:val="00897EF1"/>
    <w:rsid w:val="00897F15"/>
    <w:rsid w:val="00897F4C"/>
    <w:rsid w:val="00897F5B"/>
    <w:rsid w:val="008A0034"/>
    <w:rsid w:val="008A0066"/>
    <w:rsid w:val="008A006D"/>
    <w:rsid w:val="008A0072"/>
    <w:rsid w:val="008A0080"/>
    <w:rsid w:val="008A00B6"/>
    <w:rsid w:val="008A00CA"/>
    <w:rsid w:val="008A00D9"/>
    <w:rsid w:val="008A010D"/>
    <w:rsid w:val="008A011F"/>
    <w:rsid w:val="008A0151"/>
    <w:rsid w:val="008A01EB"/>
    <w:rsid w:val="008A0233"/>
    <w:rsid w:val="008A024A"/>
    <w:rsid w:val="008A0282"/>
    <w:rsid w:val="008A0308"/>
    <w:rsid w:val="008A030B"/>
    <w:rsid w:val="008A031B"/>
    <w:rsid w:val="008A0338"/>
    <w:rsid w:val="008A036C"/>
    <w:rsid w:val="008A0381"/>
    <w:rsid w:val="008A038D"/>
    <w:rsid w:val="008A03B6"/>
    <w:rsid w:val="008A03D4"/>
    <w:rsid w:val="008A0418"/>
    <w:rsid w:val="008A0423"/>
    <w:rsid w:val="008A042D"/>
    <w:rsid w:val="008A046D"/>
    <w:rsid w:val="008A0479"/>
    <w:rsid w:val="008A049B"/>
    <w:rsid w:val="008A04AF"/>
    <w:rsid w:val="008A0501"/>
    <w:rsid w:val="008A052B"/>
    <w:rsid w:val="008A052D"/>
    <w:rsid w:val="008A05E7"/>
    <w:rsid w:val="008A05F5"/>
    <w:rsid w:val="008A05FE"/>
    <w:rsid w:val="008A0600"/>
    <w:rsid w:val="008A07BA"/>
    <w:rsid w:val="008A0803"/>
    <w:rsid w:val="008A0833"/>
    <w:rsid w:val="008A083A"/>
    <w:rsid w:val="008A0856"/>
    <w:rsid w:val="008A0883"/>
    <w:rsid w:val="008A08B5"/>
    <w:rsid w:val="008A08E0"/>
    <w:rsid w:val="008A08EB"/>
    <w:rsid w:val="008A08FE"/>
    <w:rsid w:val="008A091C"/>
    <w:rsid w:val="008A0940"/>
    <w:rsid w:val="008A098A"/>
    <w:rsid w:val="008A0A19"/>
    <w:rsid w:val="008A0A1B"/>
    <w:rsid w:val="008A0A61"/>
    <w:rsid w:val="008A0A77"/>
    <w:rsid w:val="008A0A9D"/>
    <w:rsid w:val="008A0ADC"/>
    <w:rsid w:val="008A0B09"/>
    <w:rsid w:val="008A0B6B"/>
    <w:rsid w:val="008A0B9F"/>
    <w:rsid w:val="008A0BED"/>
    <w:rsid w:val="008A0BF3"/>
    <w:rsid w:val="008A0C43"/>
    <w:rsid w:val="008A0C71"/>
    <w:rsid w:val="008A0C7A"/>
    <w:rsid w:val="008A0CA7"/>
    <w:rsid w:val="008A0CDB"/>
    <w:rsid w:val="008A0D08"/>
    <w:rsid w:val="008A0D0C"/>
    <w:rsid w:val="008A0DA2"/>
    <w:rsid w:val="008A0DDE"/>
    <w:rsid w:val="008A0E04"/>
    <w:rsid w:val="008A0E2A"/>
    <w:rsid w:val="008A0E3D"/>
    <w:rsid w:val="008A0EF9"/>
    <w:rsid w:val="008A0F43"/>
    <w:rsid w:val="008A0F67"/>
    <w:rsid w:val="008A0F7E"/>
    <w:rsid w:val="008A0F93"/>
    <w:rsid w:val="008A0FE5"/>
    <w:rsid w:val="008A10AF"/>
    <w:rsid w:val="008A10F8"/>
    <w:rsid w:val="008A1190"/>
    <w:rsid w:val="008A11E9"/>
    <w:rsid w:val="008A125F"/>
    <w:rsid w:val="008A1288"/>
    <w:rsid w:val="008A12BD"/>
    <w:rsid w:val="008A12D6"/>
    <w:rsid w:val="008A12DE"/>
    <w:rsid w:val="008A12FB"/>
    <w:rsid w:val="008A130D"/>
    <w:rsid w:val="008A1322"/>
    <w:rsid w:val="008A133D"/>
    <w:rsid w:val="008A1355"/>
    <w:rsid w:val="008A135B"/>
    <w:rsid w:val="008A137C"/>
    <w:rsid w:val="008A1396"/>
    <w:rsid w:val="008A13B4"/>
    <w:rsid w:val="008A13BF"/>
    <w:rsid w:val="008A13CB"/>
    <w:rsid w:val="008A140C"/>
    <w:rsid w:val="008A1460"/>
    <w:rsid w:val="008A1479"/>
    <w:rsid w:val="008A148A"/>
    <w:rsid w:val="008A14DB"/>
    <w:rsid w:val="008A1523"/>
    <w:rsid w:val="008A1525"/>
    <w:rsid w:val="008A1530"/>
    <w:rsid w:val="008A15BA"/>
    <w:rsid w:val="008A15D8"/>
    <w:rsid w:val="008A15F0"/>
    <w:rsid w:val="008A162F"/>
    <w:rsid w:val="008A1645"/>
    <w:rsid w:val="008A164D"/>
    <w:rsid w:val="008A1677"/>
    <w:rsid w:val="008A169E"/>
    <w:rsid w:val="008A16CA"/>
    <w:rsid w:val="008A1793"/>
    <w:rsid w:val="008A17DA"/>
    <w:rsid w:val="008A17E7"/>
    <w:rsid w:val="008A17E9"/>
    <w:rsid w:val="008A17F2"/>
    <w:rsid w:val="008A17FA"/>
    <w:rsid w:val="008A1815"/>
    <w:rsid w:val="008A1818"/>
    <w:rsid w:val="008A1853"/>
    <w:rsid w:val="008A1856"/>
    <w:rsid w:val="008A186B"/>
    <w:rsid w:val="008A1892"/>
    <w:rsid w:val="008A18A6"/>
    <w:rsid w:val="008A18AC"/>
    <w:rsid w:val="008A18D1"/>
    <w:rsid w:val="008A18E2"/>
    <w:rsid w:val="008A1922"/>
    <w:rsid w:val="008A1967"/>
    <w:rsid w:val="008A1970"/>
    <w:rsid w:val="008A198B"/>
    <w:rsid w:val="008A199F"/>
    <w:rsid w:val="008A19B6"/>
    <w:rsid w:val="008A1A4F"/>
    <w:rsid w:val="008A1A69"/>
    <w:rsid w:val="008A1A80"/>
    <w:rsid w:val="008A1A92"/>
    <w:rsid w:val="008A1AAA"/>
    <w:rsid w:val="008A1AE0"/>
    <w:rsid w:val="008A1B01"/>
    <w:rsid w:val="008A1B0C"/>
    <w:rsid w:val="008A1B5E"/>
    <w:rsid w:val="008A1BBD"/>
    <w:rsid w:val="008A1BEF"/>
    <w:rsid w:val="008A1C74"/>
    <w:rsid w:val="008A1CC1"/>
    <w:rsid w:val="008A1CD0"/>
    <w:rsid w:val="008A1CD8"/>
    <w:rsid w:val="008A1D17"/>
    <w:rsid w:val="008A1DC7"/>
    <w:rsid w:val="008A1DE9"/>
    <w:rsid w:val="008A1DF3"/>
    <w:rsid w:val="008A1DFF"/>
    <w:rsid w:val="008A1E07"/>
    <w:rsid w:val="008A1E19"/>
    <w:rsid w:val="008A1E60"/>
    <w:rsid w:val="008A1E68"/>
    <w:rsid w:val="008A1E7F"/>
    <w:rsid w:val="008A1EAF"/>
    <w:rsid w:val="008A1EF1"/>
    <w:rsid w:val="008A1F03"/>
    <w:rsid w:val="008A1F5D"/>
    <w:rsid w:val="008A1FB2"/>
    <w:rsid w:val="008A207C"/>
    <w:rsid w:val="008A2080"/>
    <w:rsid w:val="008A2084"/>
    <w:rsid w:val="008A20A1"/>
    <w:rsid w:val="008A20DE"/>
    <w:rsid w:val="008A211F"/>
    <w:rsid w:val="008A2156"/>
    <w:rsid w:val="008A21D1"/>
    <w:rsid w:val="008A2215"/>
    <w:rsid w:val="008A227B"/>
    <w:rsid w:val="008A227E"/>
    <w:rsid w:val="008A22CD"/>
    <w:rsid w:val="008A2300"/>
    <w:rsid w:val="008A238C"/>
    <w:rsid w:val="008A23B8"/>
    <w:rsid w:val="008A23DB"/>
    <w:rsid w:val="008A2404"/>
    <w:rsid w:val="008A2415"/>
    <w:rsid w:val="008A242A"/>
    <w:rsid w:val="008A243E"/>
    <w:rsid w:val="008A2447"/>
    <w:rsid w:val="008A2471"/>
    <w:rsid w:val="008A24AD"/>
    <w:rsid w:val="008A24AF"/>
    <w:rsid w:val="008A24D3"/>
    <w:rsid w:val="008A2593"/>
    <w:rsid w:val="008A25B2"/>
    <w:rsid w:val="008A25E6"/>
    <w:rsid w:val="008A25E9"/>
    <w:rsid w:val="008A2649"/>
    <w:rsid w:val="008A264C"/>
    <w:rsid w:val="008A2671"/>
    <w:rsid w:val="008A268E"/>
    <w:rsid w:val="008A26BE"/>
    <w:rsid w:val="008A26C7"/>
    <w:rsid w:val="008A26D0"/>
    <w:rsid w:val="008A26E9"/>
    <w:rsid w:val="008A26FE"/>
    <w:rsid w:val="008A26FF"/>
    <w:rsid w:val="008A272D"/>
    <w:rsid w:val="008A2752"/>
    <w:rsid w:val="008A2783"/>
    <w:rsid w:val="008A27B8"/>
    <w:rsid w:val="008A281D"/>
    <w:rsid w:val="008A2829"/>
    <w:rsid w:val="008A28C5"/>
    <w:rsid w:val="008A28D1"/>
    <w:rsid w:val="008A28FA"/>
    <w:rsid w:val="008A28FC"/>
    <w:rsid w:val="008A290B"/>
    <w:rsid w:val="008A2965"/>
    <w:rsid w:val="008A29B9"/>
    <w:rsid w:val="008A29ED"/>
    <w:rsid w:val="008A2A10"/>
    <w:rsid w:val="008A2A32"/>
    <w:rsid w:val="008A2A72"/>
    <w:rsid w:val="008A2A97"/>
    <w:rsid w:val="008A2ABB"/>
    <w:rsid w:val="008A2ACA"/>
    <w:rsid w:val="008A2AD3"/>
    <w:rsid w:val="008A2AD7"/>
    <w:rsid w:val="008A2AFA"/>
    <w:rsid w:val="008A2B47"/>
    <w:rsid w:val="008A2B8E"/>
    <w:rsid w:val="008A2BC7"/>
    <w:rsid w:val="008A2BF6"/>
    <w:rsid w:val="008A2C3E"/>
    <w:rsid w:val="008A2C72"/>
    <w:rsid w:val="008A2C79"/>
    <w:rsid w:val="008A2C85"/>
    <w:rsid w:val="008A2D2C"/>
    <w:rsid w:val="008A2D2E"/>
    <w:rsid w:val="008A2D39"/>
    <w:rsid w:val="008A2D62"/>
    <w:rsid w:val="008A2D65"/>
    <w:rsid w:val="008A2D6E"/>
    <w:rsid w:val="008A2D91"/>
    <w:rsid w:val="008A2DA3"/>
    <w:rsid w:val="008A2DC8"/>
    <w:rsid w:val="008A2DFF"/>
    <w:rsid w:val="008A2E7C"/>
    <w:rsid w:val="008A2EC1"/>
    <w:rsid w:val="008A2EE5"/>
    <w:rsid w:val="008A2EFB"/>
    <w:rsid w:val="008A2F1E"/>
    <w:rsid w:val="008A2F45"/>
    <w:rsid w:val="008A2F5F"/>
    <w:rsid w:val="008A2F69"/>
    <w:rsid w:val="008A2FAD"/>
    <w:rsid w:val="008A2FD1"/>
    <w:rsid w:val="008A301C"/>
    <w:rsid w:val="008A3023"/>
    <w:rsid w:val="008A302F"/>
    <w:rsid w:val="008A3030"/>
    <w:rsid w:val="008A306B"/>
    <w:rsid w:val="008A307B"/>
    <w:rsid w:val="008A3086"/>
    <w:rsid w:val="008A30B0"/>
    <w:rsid w:val="008A30D5"/>
    <w:rsid w:val="008A30FD"/>
    <w:rsid w:val="008A31E1"/>
    <w:rsid w:val="008A31E3"/>
    <w:rsid w:val="008A31EF"/>
    <w:rsid w:val="008A320D"/>
    <w:rsid w:val="008A3287"/>
    <w:rsid w:val="008A32B7"/>
    <w:rsid w:val="008A32C2"/>
    <w:rsid w:val="008A32C8"/>
    <w:rsid w:val="008A3333"/>
    <w:rsid w:val="008A3348"/>
    <w:rsid w:val="008A339D"/>
    <w:rsid w:val="008A33E3"/>
    <w:rsid w:val="008A3476"/>
    <w:rsid w:val="008A347A"/>
    <w:rsid w:val="008A347C"/>
    <w:rsid w:val="008A34B5"/>
    <w:rsid w:val="008A34BE"/>
    <w:rsid w:val="008A351B"/>
    <w:rsid w:val="008A355A"/>
    <w:rsid w:val="008A3563"/>
    <w:rsid w:val="008A3594"/>
    <w:rsid w:val="008A35A6"/>
    <w:rsid w:val="008A35BB"/>
    <w:rsid w:val="008A35CE"/>
    <w:rsid w:val="008A35DF"/>
    <w:rsid w:val="008A3607"/>
    <w:rsid w:val="008A3646"/>
    <w:rsid w:val="008A372B"/>
    <w:rsid w:val="008A374B"/>
    <w:rsid w:val="008A3767"/>
    <w:rsid w:val="008A376C"/>
    <w:rsid w:val="008A376D"/>
    <w:rsid w:val="008A3794"/>
    <w:rsid w:val="008A379A"/>
    <w:rsid w:val="008A37D3"/>
    <w:rsid w:val="008A3852"/>
    <w:rsid w:val="008A386E"/>
    <w:rsid w:val="008A3893"/>
    <w:rsid w:val="008A38A8"/>
    <w:rsid w:val="008A38DE"/>
    <w:rsid w:val="008A3910"/>
    <w:rsid w:val="008A395B"/>
    <w:rsid w:val="008A39B7"/>
    <w:rsid w:val="008A3A1C"/>
    <w:rsid w:val="008A3A3E"/>
    <w:rsid w:val="008A3A94"/>
    <w:rsid w:val="008A3B2B"/>
    <w:rsid w:val="008A3B48"/>
    <w:rsid w:val="008A3B50"/>
    <w:rsid w:val="008A3B71"/>
    <w:rsid w:val="008A3BB0"/>
    <w:rsid w:val="008A3BBD"/>
    <w:rsid w:val="008A3C36"/>
    <w:rsid w:val="008A3C5D"/>
    <w:rsid w:val="008A3C8D"/>
    <w:rsid w:val="008A3CCD"/>
    <w:rsid w:val="008A3CDD"/>
    <w:rsid w:val="008A3D6F"/>
    <w:rsid w:val="008A3DF5"/>
    <w:rsid w:val="008A3DFD"/>
    <w:rsid w:val="008A3E24"/>
    <w:rsid w:val="008A3E2E"/>
    <w:rsid w:val="008A3E8B"/>
    <w:rsid w:val="008A3EF8"/>
    <w:rsid w:val="008A3F2A"/>
    <w:rsid w:val="008A3F58"/>
    <w:rsid w:val="008A3FB7"/>
    <w:rsid w:val="008A3FE6"/>
    <w:rsid w:val="008A3FF1"/>
    <w:rsid w:val="008A405C"/>
    <w:rsid w:val="008A4089"/>
    <w:rsid w:val="008A4094"/>
    <w:rsid w:val="008A40E8"/>
    <w:rsid w:val="008A40F6"/>
    <w:rsid w:val="008A40F8"/>
    <w:rsid w:val="008A4122"/>
    <w:rsid w:val="008A4162"/>
    <w:rsid w:val="008A4177"/>
    <w:rsid w:val="008A4215"/>
    <w:rsid w:val="008A425B"/>
    <w:rsid w:val="008A426F"/>
    <w:rsid w:val="008A42E8"/>
    <w:rsid w:val="008A4329"/>
    <w:rsid w:val="008A435C"/>
    <w:rsid w:val="008A4379"/>
    <w:rsid w:val="008A4389"/>
    <w:rsid w:val="008A4418"/>
    <w:rsid w:val="008A4419"/>
    <w:rsid w:val="008A4459"/>
    <w:rsid w:val="008A44C3"/>
    <w:rsid w:val="008A44D7"/>
    <w:rsid w:val="008A44E1"/>
    <w:rsid w:val="008A44F5"/>
    <w:rsid w:val="008A44F8"/>
    <w:rsid w:val="008A4538"/>
    <w:rsid w:val="008A457D"/>
    <w:rsid w:val="008A4592"/>
    <w:rsid w:val="008A45BB"/>
    <w:rsid w:val="008A45CE"/>
    <w:rsid w:val="008A45D3"/>
    <w:rsid w:val="008A463F"/>
    <w:rsid w:val="008A46D0"/>
    <w:rsid w:val="008A46F4"/>
    <w:rsid w:val="008A474C"/>
    <w:rsid w:val="008A4752"/>
    <w:rsid w:val="008A47AA"/>
    <w:rsid w:val="008A4822"/>
    <w:rsid w:val="008A4834"/>
    <w:rsid w:val="008A4840"/>
    <w:rsid w:val="008A4856"/>
    <w:rsid w:val="008A48D1"/>
    <w:rsid w:val="008A48D3"/>
    <w:rsid w:val="008A48F5"/>
    <w:rsid w:val="008A4933"/>
    <w:rsid w:val="008A4980"/>
    <w:rsid w:val="008A49E1"/>
    <w:rsid w:val="008A4A18"/>
    <w:rsid w:val="008A4A46"/>
    <w:rsid w:val="008A4A4C"/>
    <w:rsid w:val="008A4A5C"/>
    <w:rsid w:val="008A4A60"/>
    <w:rsid w:val="008A4A63"/>
    <w:rsid w:val="008A4A7A"/>
    <w:rsid w:val="008A4A88"/>
    <w:rsid w:val="008A4AA3"/>
    <w:rsid w:val="008A4AA7"/>
    <w:rsid w:val="008A4AC8"/>
    <w:rsid w:val="008A4AD8"/>
    <w:rsid w:val="008A4AEB"/>
    <w:rsid w:val="008A4B48"/>
    <w:rsid w:val="008A4B60"/>
    <w:rsid w:val="008A4B6F"/>
    <w:rsid w:val="008A4B8F"/>
    <w:rsid w:val="008A4BAC"/>
    <w:rsid w:val="008A4BDD"/>
    <w:rsid w:val="008A4C02"/>
    <w:rsid w:val="008A4C2B"/>
    <w:rsid w:val="008A4C45"/>
    <w:rsid w:val="008A4CC7"/>
    <w:rsid w:val="008A4CD6"/>
    <w:rsid w:val="008A4CEB"/>
    <w:rsid w:val="008A4CFA"/>
    <w:rsid w:val="008A4D36"/>
    <w:rsid w:val="008A4D3D"/>
    <w:rsid w:val="008A4D69"/>
    <w:rsid w:val="008A4D82"/>
    <w:rsid w:val="008A4DC6"/>
    <w:rsid w:val="008A4DD7"/>
    <w:rsid w:val="008A4DE2"/>
    <w:rsid w:val="008A4DE3"/>
    <w:rsid w:val="008A4DF9"/>
    <w:rsid w:val="008A4E04"/>
    <w:rsid w:val="008A4E3E"/>
    <w:rsid w:val="008A4E68"/>
    <w:rsid w:val="008A4E69"/>
    <w:rsid w:val="008A4E94"/>
    <w:rsid w:val="008A4EF1"/>
    <w:rsid w:val="008A4F6F"/>
    <w:rsid w:val="008A4F8B"/>
    <w:rsid w:val="008A4FD1"/>
    <w:rsid w:val="008A4FE2"/>
    <w:rsid w:val="008A4FF9"/>
    <w:rsid w:val="008A501C"/>
    <w:rsid w:val="008A5021"/>
    <w:rsid w:val="008A5061"/>
    <w:rsid w:val="008A509B"/>
    <w:rsid w:val="008A50AA"/>
    <w:rsid w:val="008A50B1"/>
    <w:rsid w:val="008A50F5"/>
    <w:rsid w:val="008A516D"/>
    <w:rsid w:val="008A516E"/>
    <w:rsid w:val="008A5186"/>
    <w:rsid w:val="008A519C"/>
    <w:rsid w:val="008A519F"/>
    <w:rsid w:val="008A51A7"/>
    <w:rsid w:val="008A5233"/>
    <w:rsid w:val="008A5295"/>
    <w:rsid w:val="008A52D6"/>
    <w:rsid w:val="008A52F4"/>
    <w:rsid w:val="008A5340"/>
    <w:rsid w:val="008A538F"/>
    <w:rsid w:val="008A5463"/>
    <w:rsid w:val="008A5481"/>
    <w:rsid w:val="008A5492"/>
    <w:rsid w:val="008A5495"/>
    <w:rsid w:val="008A54C9"/>
    <w:rsid w:val="008A5562"/>
    <w:rsid w:val="008A5571"/>
    <w:rsid w:val="008A55C1"/>
    <w:rsid w:val="008A55E4"/>
    <w:rsid w:val="008A56A3"/>
    <w:rsid w:val="008A572E"/>
    <w:rsid w:val="008A5737"/>
    <w:rsid w:val="008A575C"/>
    <w:rsid w:val="008A57F6"/>
    <w:rsid w:val="008A57FD"/>
    <w:rsid w:val="008A5838"/>
    <w:rsid w:val="008A5839"/>
    <w:rsid w:val="008A583C"/>
    <w:rsid w:val="008A5846"/>
    <w:rsid w:val="008A5877"/>
    <w:rsid w:val="008A5890"/>
    <w:rsid w:val="008A589F"/>
    <w:rsid w:val="008A58A6"/>
    <w:rsid w:val="008A58C0"/>
    <w:rsid w:val="008A58C4"/>
    <w:rsid w:val="008A58DC"/>
    <w:rsid w:val="008A58E8"/>
    <w:rsid w:val="008A58FF"/>
    <w:rsid w:val="008A5917"/>
    <w:rsid w:val="008A593A"/>
    <w:rsid w:val="008A59A9"/>
    <w:rsid w:val="008A59D9"/>
    <w:rsid w:val="008A5A2E"/>
    <w:rsid w:val="008A5A37"/>
    <w:rsid w:val="008A5A82"/>
    <w:rsid w:val="008A5AB2"/>
    <w:rsid w:val="008A5AB8"/>
    <w:rsid w:val="008A5ACF"/>
    <w:rsid w:val="008A5AFD"/>
    <w:rsid w:val="008A5B0F"/>
    <w:rsid w:val="008A5B1F"/>
    <w:rsid w:val="008A5B37"/>
    <w:rsid w:val="008A5B71"/>
    <w:rsid w:val="008A5B80"/>
    <w:rsid w:val="008A5BC0"/>
    <w:rsid w:val="008A5BC8"/>
    <w:rsid w:val="008A5C49"/>
    <w:rsid w:val="008A5CE3"/>
    <w:rsid w:val="008A5CFE"/>
    <w:rsid w:val="008A5D07"/>
    <w:rsid w:val="008A5D34"/>
    <w:rsid w:val="008A5D56"/>
    <w:rsid w:val="008A5D7B"/>
    <w:rsid w:val="008A5D93"/>
    <w:rsid w:val="008A5D99"/>
    <w:rsid w:val="008A5DBB"/>
    <w:rsid w:val="008A5DDB"/>
    <w:rsid w:val="008A5DF8"/>
    <w:rsid w:val="008A5E23"/>
    <w:rsid w:val="008A5E34"/>
    <w:rsid w:val="008A5E6D"/>
    <w:rsid w:val="008A5E8C"/>
    <w:rsid w:val="008A5E95"/>
    <w:rsid w:val="008A5ECF"/>
    <w:rsid w:val="008A5F38"/>
    <w:rsid w:val="008A5FA6"/>
    <w:rsid w:val="008A5FB3"/>
    <w:rsid w:val="008A5FBF"/>
    <w:rsid w:val="008A5FF7"/>
    <w:rsid w:val="008A6001"/>
    <w:rsid w:val="008A6039"/>
    <w:rsid w:val="008A606F"/>
    <w:rsid w:val="008A608B"/>
    <w:rsid w:val="008A60BA"/>
    <w:rsid w:val="008A60F8"/>
    <w:rsid w:val="008A610F"/>
    <w:rsid w:val="008A619F"/>
    <w:rsid w:val="008A61E0"/>
    <w:rsid w:val="008A621A"/>
    <w:rsid w:val="008A622F"/>
    <w:rsid w:val="008A623C"/>
    <w:rsid w:val="008A624E"/>
    <w:rsid w:val="008A6258"/>
    <w:rsid w:val="008A628A"/>
    <w:rsid w:val="008A6296"/>
    <w:rsid w:val="008A62DF"/>
    <w:rsid w:val="008A637B"/>
    <w:rsid w:val="008A6438"/>
    <w:rsid w:val="008A644A"/>
    <w:rsid w:val="008A646B"/>
    <w:rsid w:val="008A647B"/>
    <w:rsid w:val="008A64DC"/>
    <w:rsid w:val="008A64EE"/>
    <w:rsid w:val="008A6548"/>
    <w:rsid w:val="008A654C"/>
    <w:rsid w:val="008A656E"/>
    <w:rsid w:val="008A657B"/>
    <w:rsid w:val="008A658E"/>
    <w:rsid w:val="008A6635"/>
    <w:rsid w:val="008A6669"/>
    <w:rsid w:val="008A666B"/>
    <w:rsid w:val="008A666F"/>
    <w:rsid w:val="008A667A"/>
    <w:rsid w:val="008A66B2"/>
    <w:rsid w:val="008A679A"/>
    <w:rsid w:val="008A679E"/>
    <w:rsid w:val="008A67B5"/>
    <w:rsid w:val="008A682E"/>
    <w:rsid w:val="008A683A"/>
    <w:rsid w:val="008A6870"/>
    <w:rsid w:val="008A687D"/>
    <w:rsid w:val="008A68BF"/>
    <w:rsid w:val="008A68D6"/>
    <w:rsid w:val="008A68D8"/>
    <w:rsid w:val="008A6933"/>
    <w:rsid w:val="008A6966"/>
    <w:rsid w:val="008A6984"/>
    <w:rsid w:val="008A69DF"/>
    <w:rsid w:val="008A6A0D"/>
    <w:rsid w:val="008A6A49"/>
    <w:rsid w:val="008A6AA6"/>
    <w:rsid w:val="008A6AAF"/>
    <w:rsid w:val="008A6AD3"/>
    <w:rsid w:val="008A6ADD"/>
    <w:rsid w:val="008A6AE8"/>
    <w:rsid w:val="008A6AFF"/>
    <w:rsid w:val="008A6B54"/>
    <w:rsid w:val="008A6B7E"/>
    <w:rsid w:val="008A6B93"/>
    <w:rsid w:val="008A6BA8"/>
    <w:rsid w:val="008A6BB1"/>
    <w:rsid w:val="008A6BBA"/>
    <w:rsid w:val="008A6C02"/>
    <w:rsid w:val="008A6C2A"/>
    <w:rsid w:val="008A6C4C"/>
    <w:rsid w:val="008A6CA4"/>
    <w:rsid w:val="008A6CC9"/>
    <w:rsid w:val="008A6D07"/>
    <w:rsid w:val="008A6D12"/>
    <w:rsid w:val="008A6D8A"/>
    <w:rsid w:val="008A6DA0"/>
    <w:rsid w:val="008A6DC8"/>
    <w:rsid w:val="008A6E08"/>
    <w:rsid w:val="008A6E1C"/>
    <w:rsid w:val="008A6E58"/>
    <w:rsid w:val="008A6EB9"/>
    <w:rsid w:val="008A6EE5"/>
    <w:rsid w:val="008A6EF6"/>
    <w:rsid w:val="008A6F65"/>
    <w:rsid w:val="008A6F68"/>
    <w:rsid w:val="008A6F6E"/>
    <w:rsid w:val="008A6F92"/>
    <w:rsid w:val="008A6F9F"/>
    <w:rsid w:val="008A6FA3"/>
    <w:rsid w:val="008A6FE2"/>
    <w:rsid w:val="008A708C"/>
    <w:rsid w:val="008A715C"/>
    <w:rsid w:val="008A7169"/>
    <w:rsid w:val="008A719F"/>
    <w:rsid w:val="008A71B1"/>
    <w:rsid w:val="008A7209"/>
    <w:rsid w:val="008A7234"/>
    <w:rsid w:val="008A7269"/>
    <w:rsid w:val="008A7284"/>
    <w:rsid w:val="008A7286"/>
    <w:rsid w:val="008A729E"/>
    <w:rsid w:val="008A72E4"/>
    <w:rsid w:val="008A7322"/>
    <w:rsid w:val="008A732B"/>
    <w:rsid w:val="008A73B5"/>
    <w:rsid w:val="008A73E7"/>
    <w:rsid w:val="008A7402"/>
    <w:rsid w:val="008A7406"/>
    <w:rsid w:val="008A741D"/>
    <w:rsid w:val="008A743A"/>
    <w:rsid w:val="008A746E"/>
    <w:rsid w:val="008A7476"/>
    <w:rsid w:val="008A747C"/>
    <w:rsid w:val="008A74BE"/>
    <w:rsid w:val="008A7542"/>
    <w:rsid w:val="008A7580"/>
    <w:rsid w:val="008A7581"/>
    <w:rsid w:val="008A759B"/>
    <w:rsid w:val="008A75BB"/>
    <w:rsid w:val="008A75FD"/>
    <w:rsid w:val="008A7632"/>
    <w:rsid w:val="008A763F"/>
    <w:rsid w:val="008A7642"/>
    <w:rsid w:val="008A765A"/>
    <w:rsid w:val="008A765B"/>
    <w:rsid w:val="008A7697"/>
    <w:rsid w:val="008A76A3"/>
    <w:rsid w:val="008A76D6"/>
    <w:rsid w:val="008A76E5"/>
    <w:rsid w:val="008A774C"/>
    <w:rsid w:val="008A7778"/>
    <w:rsid w:val="008A778A"/>
    <w:rsid w:val="008A779A"/>
    <w:rsid w:val="008A77A0"/>
    <w:rsid w:val="008A77C3"/>
    <w:rsid w:val="008A7805"/>
    <w:rsid w:val="008A785E"/>
    <w:rsid w:val="008A7882"/>
    <w:rsid w:val="008A7890"/>
    <w:rsid w:val="008A78B1"/>
    <w:rsid w:val="008A78EE"/>
    <w:rsid w:val="008A78F0"/>
    <w:rsid w:val="008A78FD"/>
    <w:rsid w:val="008A7939"/>
    <w:rsid w:val="008A7A1A"/>
    <w:rsid w:val="008A7A35"/>
    <w:rsid w:val="008A7A56"/>
    <w:rsid w:val="008A7AE7"/>
    <w:rsid w:val="008A7B6F"/>
    <w:rsid w:val="008A7BA1"/>
    <w:rsid w:val="008A7C09"/>
    <w:rsid w:val="008A7C4B"/>
    <w:rsid w:val="008A7C4F"/>
    <w:rsid w:val="008A7C7B"/>
    <w:rsid w:val="008A7CAE"/>
    <w:rsid w:val="008A7CBF"/>
    <w:rsid w:val="008A7D2D"/>
    <w:rsid w:val="008A7D47"/>
    <w:rsid w:val="008A7D76"/>
    <w:rsid w:val="008A7D82"/>
    <w:rsid w:val="008A7DB1"/>
    <w:rsid w:val="008A7DC3"/>
    <w:rsid w:val="008A7DC4"/>
    <w:rsid w:val="008A7DDC"/>
    <w:rsid w:val="008A7DF4"/>
    <w:rsid w:val="008A7E3C"/>
    <w:rsid w:val="008A7E4D"/>
    <w:rsid w:val="008A7E67"/>
    <w:rsid w:val="008A7E89"/>
    <w:rsid w:val="008A7EEA"/>
    <w:rsid w:val="008A7F07"/>
    <w:rsid w:val="008A7F22"/>
    <w:rsid w:val="008A7F2A"/>
    <w:rsid w:val="008A7F5E"/>
    <w:rsid w:val="008A7F98"/>
    <w:rsid w:val="008A7FC6"/>
    <w:rsid w:val="008A7FDD"/>
    <w:rsid w:val="008B0011"/>
    <w:rsid w:val="008B00C4"/>
    <w:rsid w:val="008B00E8"/>
    <w:rsid w:val="008B00EF"/>
    <w:rsid w:val="008B010A"/>
    <w:rsid w:val="008B0128"/>
    <w:rsid w:val="008B0130"/>
    <w:rsid w:val="008B013F"/>
    <w:rsid w:val="008B0144"/>
    <w:rsid w:val="008B0174"/>
    <w:rsid w:val="008B0185"/>
    <w:rsid w:val="008B01EF"/>
    <w:rsid w:val="008B020B"/>
    <w:rsid w:val="008B021D"/>
    <w:rsid w:val="008B0252"/>
    <w:rsid w:val="008B02BE"/>
    <w:rsid w:val="008B02EC"/>
    <w:rsid w:val="008B0340"/>
    <w:rsid w:val="008B0351"/>
    <w:rsid w:val="008B0358"/>
    <w:rsid w:val="008B03BB"/>
    <w:rsid w:val="008B03BD"/>
    <w:rsid w:val="008B03DF"/>
    <w:rsid w:val="008B0401"/>
    <w:rsid w:val="008B0444"/>
    <w:rsid w:val="008B047D"/>
    <w:rsid w:val="008B0492"/>
    <w:rsid w:val="008B0497"/>
    <w:rsid w:val="008B04A9"/>
    <w:rsid w:val="008B04F3"/>
    <w:rsid w:val="008B0554"/>
    <w:rsid w:val="008B05AD"/>
    <w:rsid w:val="008B05FA"/>
    <w:rsid w:val="008B0629"/>
    <w:rsid w:val="008B0630"/>
    <w:rsid w:val="008B0635"/>
    <w:rsid w:val="008B0669"/>
    <w:rsid w:val="008B06A7"/>
    <w:rsid w:val="008B071B"/>
    <w:rsid w:val="008B072E"/>
    <w:rsid w:val="008B0738"/>
    <w:rsid w:val="008B0759"/>
    <w:rsid w:val="008B0780"/>
    <w:rsid w:val="008B0782"/>
    <w:rsid w:val="008B0837"/>
    <w:rsid w:val="008B0896"/>
    <w:rsid w:val="008B08B7"/>
    <w:rsid w:val="008B08D3"/>
    <w:rsid w:val="008B08E6"/>
    <w:rsid w:val="008B08F5"/>
    <w:rsid w:val="008B0929"/>
    <w:rsid w:val="008B092E"/>
    <w:rsid w:val="008B093F"/>
    <w:rsid w:val="008B0A0A"/>
    <w:rsid w:val="008B0A11"/>
    <w:rsid w:val="008B0A35"/>
    <w:rsid w:val="008B0A3D"/>
    <w:rsid w:val="008B0A76"/>
    <w:rsid w:val="008B0A78"/>
    <w:rsid w:val="008B0A7D"/>
    <w:rsid w:val="008B0B23"/>
    <w:rsid w:val="008B0B33"/>
    <w:rsid w:val="008B0B4D"/>
    <w:rsid w:val="008B0BC6"/>
    <w:rsid w:val="008B0C1A"/>
    <w:rsid w:val="008B0C77"/>
    <w:rsid w:val="008B0D01"/>
    <w:rsid w:val="008B0D1A"/>
    <w:rsid w:val="008B0D3A"/>
    <w:rsid w:val="008B0D88"/>
    <w:rsid w:val="008B0D93"/>
    <w:rsid w:val="008B0DCB"/>
    <w:rsid w:val="008B0E08"/>
    <w:rsid w:val="008B0E77"/>
    <w:rsid w:val="008B0EFE"/>
    <w:rsid w:val="008B0F0E"/>
    <w:rsid w:val="008B0F60"/>
    <w:rsid w:val="008B0F64"/>
    <w:rsid w:val="008B0F6B"/>
    <w:rsid w:val="008B0FA8"/>
    <w:rsid w:val="008B1027"/>
    <w:rsid w:val="008B103D"/>
    <w:rsid w:val="008B106A"/>
    <w:rsid w:val="008B106C"/>
    <w:rsid w:val="008B1085"/>
    <w:rsid w:val="008B10B4"/>
    <w:rsid w:val="008B10F7"/>
    <w:rsid w:val="008B10FB"/>
    <w:rsid w:val="008B1117"/>
    <w:rsid w:val="008B112B"/>
    <w:rsid w:val="008B116C"/>
    <w:rsid w:val="008B1171"/>
    <w:rsid w:val="008B118E"/>
    <w:rsid w:val="008B11DD"/>
    <w:rsid w:val="008B11E6"/>
    <w:rsid w:val="008B11FA"/>
    <w:rsid w:val="008B120C"/>
    <w:rsid w:val="008B120E"/>
    <w:rsid w:val="008B1256"/>
    <w:rsid w:val="008B1269"/>
    <w:rsid w:val="008B12B9"/>
    <w:rsid w:val="008B131E"/>
    <w:rsid w:val="008B1324"/>
    <w:rsid w:val="008B1358"/>
    <w:rsid w:val="008B136A"/>
    <w:rsid w:val="008B138B"/>
    <w:rsid w:val="008B141A"/>
    <w:rsid w:val="008B1422"/>
    <w:rsid w:val="008B1441"/>
    <w:rsid w:val="008B144C"/>
    <w:rsid w:val="008B14A4"/>
    <w:rsid w:val="008B14A8"/>
    <w:rsid w:val="008B14AC"/>
    <w:rsid w:val="008B14BB"/>
    <w:rsid w:val="008B14D6"/>
    <w:rsid w:val="008B14FB"/>
    <w:rsid w:val="008B1536"/>
    <w:rsid w:val="008B1565"/>
    <w:rsid w:val="008B158D"/>
    <w:rsid w:val="008B16DB"/>
    <w:rsid w:val="008B1786"/>
    <w:rsid w:val="008B17FA"/>
    <w:rsid w:val="008B1813"/>
    <w:rsid w:val="008B184D"/>
    <w:rsid w:val="008B187B"/>
    <w:rsid w:val="008B18DF"/>
    <w:rsid w:val="008B18E9"/>
    <w:rsid w:val="008B1940"/>
    <w:rsid w:val="008B1993"/>
    <w:rsid w:val="008B1994"/>
    <w:rsid w:val="008B19CD"/>
    <w:rsid w:val="008B19EA"/>
    <w:rsid w:val="008B1A02"/>
    <w:rsid w:val="008B1A28"/>
    <w:rsid w:val="008B1A3F"/>
    <w:rsid w:val="008B1A40"/>
    <w:rsid w:val="008B1A90"/>
    <w:rsid w:val="008B1A9C"/>
    <w:rsid w:val="008B1AA4"/>
    <w:rsid w:val="008B1AB4"/>
    <w:rsid w:val="008B1AC0"/>
    <w:rsid w:val="008B1ACB"/>
    <w:rsid w:val="008B1B18"/>
    <w:rsid w:val="008B1BA7"/>
    <w:rsid w:val="008B1BFA"/>
    <w:rsid w:val="008B1BFC"/>
    <w:rsid w:val="008B1C19"/>
    <w:rsid w:val="008B1C67"/>
    <w:rsid w:val="008B1C7A"/>
    <w:rsid w:val="008B1C7C"/>
    <w:rsid w:val="008B1C97"/>
    <w:rsid w:val="008B1CD2"/>
    <w:rsid w:val="008B1CD4"/>
    <w:rsid w:val="008B1CD8"/>
    <w:rsid w:val="008B1CEC"/>
    <w:rsid w:val="008B1D2E"/>
    <w:rsid w:val="008B1D2F"/>
    <w:rsid w:val="008B1D43"/>
    <w:rsid w:val="008B1D5E"/>
    <w:rsid w:val="008B1D6B"/>
    <w:rsid w:val="008B1D75"/>
    <w:rsid w:val="008B1D87"/>
    <w:rsid w:val="008B1D99"/>
    <w:rsid w:val="008B1D9B"/>
    <w:rsid w:val="008B1DF0"/>
    <w:rsid w:val="008B1E2A"/>
    <w:rsid w:val="008B1E30"/>
    <w:rsid w:val="008B1E56"/>
    <w:rsid w:val="008B1EB7"/>
    <w:rsid w:val="008B1EFA"/>
    <w:rsid w:val="008B1EFB"/>
    <w:rsid w:val="008B1F1B"/>
    <w:rsid w:val="008B1F66"/>
    <w:rsid w:val="008B1F81"/>
    <w:rsid w:val="008B1FB5"/>
    <w:rsid w:val="008B1FD3"/>
    <w:rsid w:val="008B2009"/>
    <w:rsid w:val="008B2032"/>
    <w:rsid w:val="008B2087"/>
    <w:rsid w:val="008B208A"/>
    <w:rsid w:val="008B20AE"/>
    <w:rsid w:val="008B20C9"/>
    <w:rsid w:val="008B2106"/>
    <w:rsid w:val="008B2133"/>
    <w:rsid w:val="008B2142"/>
    <w:rsid w:val="008B2157"/>
    <w:rsid w:val="008B215E"/>
    <w:rsid w:val="008B2178"/>
    <w:rsid w:val="008B218B"/>
    <w:rsid w:val="008B2190"/>
    <w:rsid w:val="008B2197"/>
    <w:rsid w:val="008B21A9"/>
    <w:rsid w:val="008B21F5"/>
    <w:rsid w:val="008B22CA"/>
    <w:rsid w:val="008B2344"/>
    <w:rsid w:val="008B23E1"/>
    <w:rsid w:val="008B23EC"/>
    <w:rsid w:val="008B23ED"/>
    <w:rsid w:val="008B2407"/>
    <w:rsid w:val="008B2445"/>
    <w:rsid w:val="008B2448"/>
    <w:rsid w:val="008B2474"/>
    <w:rsid w:val="008B24A6"/>
    <w:rsid w:val="008B24BD"/>
    <w:rsid w:val="008B256E"/>
    <w:rsid w:val="008B2570"/>
    <w:rsid w:val="008B2573"/>
    <w:rsid w:val="008B2577"/>
    <w:rsid w:val="008B2598"/>
    <w:rsid w:val="008B259A"/>
    <w:rsid w:val="008B25D8"/>
    <w:rsid w:val="008B2623"/>
    <w:rsid w:val="008B2624"/>
    <w:rsid w:val="008B265F"/>
    <w:rsid w:val="008B26EB"/>
    <w:rsid w:val="008B2711"/>
    <w:rsid w:val="008B2780"/>
    <w:rsid w:val="008B27D5"/>
    <w:rsid w:val="008B27D9"/>
    <w:rsid w:val="008B27F2"/>
    <w:rsid w:val="008B284E"/>
    <w:rsid w:val="008B2853"/>
    <w:rsid w:val="008B2855"/>
    <w:rsid w:val="008B288F"/>
    <w:rsid w:val="008B28A6"/>
    <w:rsid w:val="008B28B7"/>
    <w:rsid w:val="008B28BE"/>
    <w:rsid w:val="008B28EC"/>
    <w:rsid w:val="008B2968"/>
    <w:rsid w:val="008B29D8"/>
    <w:rsid w:val="008B2A2F"/>
    <w:rsid w:val="008B2A35"/>
    <w:rsid w:val="008B2A5D"/>
    <w:rsid w:val="008B2A97"/>
    <w:rsid w:val="008B2ADA"/>
    <w:rsid w:val="008B2B5F"/>
    <w:rsid w:val="008B2B8B"/>
    <w:rsid w:val="008B2C00"/>
    <w:rsid w:val="008B2C1D"/>
    <w:rsid w:val="008B2C21"/>
    <w:rsid w:val="008B2C94"/>
    <w:rsid w:val="008B2C98"/>
    <w:rsid w:val="008B2CB9"/>
    <w:rsid w:val="008B2CC1"/>
    <w:rsid w:val="008B2D2E"/>
    <w:rsid w:val="008B2D5C"/>
    <w:rsid w:val="008B2D74"/>
    <w:rsid w:val="008B2D7A"/>
    <w:rsid w:val="008B2D80"/>
    <w:rsid w:val="008B2D8B"/>
    <w:rsid w:val="008B2D9B"/>
    <w:rsid w:val="008B2DA3"/>
    <w:rsid w:val="008B2DBE"/>
    <w:rsid w:val="008B2DC6"/>
    <w:rsid w:val="008B2E07"/>
    <w:rsid w:val="008B2E1C"/>
    <w:rsid w:val="008B2E38"/>
    <w:rsid w:val="008B2E72"/>
    <w:rsid w:val="008B2E81"/>
    <w:rsid w:val="008B2EA0"/>
    <w:rsid w:val="008B2EBC"/>
    <w:rsid w:val="008B2ED0"/>
    <w:rsid w:val="008B2EE0"/>
    <w:rsid w:val="008B2EF0"/>
    <w:rsid w:val="008B2F1A"/>
    <w:rsid w:val="008B2F4B"/>
    <w:rsid w:val="008B2F53"/>
    <w:rsid w:val="008B2F78"/>
    <w:rsid w:val="008B2FB0"/>
    <w:rsid w:val="008B2FDD"/>
    <w:rsid w:val="008B2FE0"/>
    <w:rsid w:val="008B2FF5"/>
    <w:rsid w:val="008B2FF7"/>
    <w:rsid w:val="008B3005"/>
    <w:rsid w:val="008B3038"/>
    <w:rsid w:val="008B3056"/>
    <w:rsid w:val="008B3066"/>
    <w:rsid w:val="008B3089"/>
    <w:rsid w:val="008B308E"/>
    <w:rsid w:val="008B3094"/>
    <w:rsid w:val="008B30C0"/>
    <w:rsid w:val="008B30DF"/>
    <w:rsid w:val="008B3110"/>
    <w:rsid w:val="008B311B"/>
    <w:rsid w:val="008B3181"/>
    <w:rsid w:val="008B3196"/>
    <w:rsid w:val="008B31A7"/>
    <w:rsid w:val="008B31E5"/>
    <w:rsid w:val="008B322A"/>
    <w:rsid w:val="008B32A5"/>
    <w:rsid w:val="008B3346"/>
    <w:rsid w:val="008B3353"/>
    <w:rsid w:val="008B3392"/>
    <w:rsid w:val="008B341F"/>
    <w:rsid w:val="008B343D"/>
    <w:rsid w:val="008B3471"/>
    <w:rsid w:val="008B3478"/>
    <w:rsid w:val="008B34CC"/>
    <w:rsid w:val="008B3527"/>
    <w:rsid w:val="008B354E"/>
    <w:rsid w:val="008B3558"/>
    <w:rsid w:val="008B359D"/>
    <w:rsid w:val="008B35C2"/>
    <w:rsid w:val="008B35C8"/>
    <w:rsid w:val="008B35E7"/>
    <w:rsid w:val="008B35FB"/>
    <w:rsid w:val="008B363A"/>
    <w:rsid w:val="008B3652"/>
    <w:rsid w:val="008B367D"/>
    <w:rsid w:val="008B3683"/>
    <w:rsid w:val="008B368B"/>
    <w:rsid w:val="008B368D"/>
    <w:rsid w:val="008B36D6"/>
    <w:rsid w:val="008B36E9"/>
    <w:rsid w:val="008B36FC"/>
    <w:rsid w:val="008B3758"/>
    <w:rsid w:val="008B375D"/>
    <w:rsid w:val="008B3792"/>
    <w:rsid w:val="008B3799"/>
    <w:rsid w:val="008B37FB"/>
    <w:rsid w:val="008B3804"/>
    <w:rsid w:val="008B3869"/>
    <w:rsid w:val="008B3882"/>
    <w:rsid w:val="008B388E"/>
    <w:rsid w:val="008B38E3"/>
    <w:rsid w:val="008B3902"/>
    <w:rsid w:val="008B39B8"/>
    <w:rsid w:val="008B39DC"/>
    <w:rsid w:val="008B39F1"/>
    <w:rsid w:val="008B3A21"/>
    <w:rsid w:val="008B3A3C"/>
    <w:rsid w:val="008B3A44"/>
    <w:rsid w:val="008B3A76"/>
    <w:rsid w:val="008B3AAA"/>
    <w:rsid w:val="008B3ADC"/>
    <w:rsid w:val="008B3AF8"/>
    <w:rsid w:val="008B3B10"/>
    <w:rsid w:val="008B3B5C"/>
    <w:rsid w:val="008B3BBC"/>
    <w:rsid w:val="008B3C00"/>
    <w:rsid w:val="008B3C41"/>
    <w:rsid w:val="008B3C58"/>
    <w:rsid w:val="008B3CB4"/>
    <w:rsid w:val="008B3CB6"/>
    <w:rsid w:val="008B3CCD"/>
    <w:rsid w:val="008B3CDD"/>
    <w:rsid w:val="008B3D21"/>
    <w:rsid w:val="008B3D36"/>
    <w:rsid w:val="008B3D38"/>
    <w:rsid w:val="008B3D66"/>
    <w:rsid w:val="008B3DD6"/>
    <w:rsid w:val="008B3DE4"/>
    <w:rsid w:val="008B3DEF"/>
    <w:rsid w:val="008B3DF9"/>
    <w:rsid w:val="008B3E08"/>
    <w:rsid w:val="008B3E21"/>
    <w:rsid w:val="008B3E57"/>
    <w:rsid w:val="008B3EE4"/>
    <w:rsid w:val="008B3EFC"/>
    <w:rsid w:val="008B3F04"/>
    <w:rsid w:val="008B3F8A"/>
    <w:rsid w:val="008B3F93"/>
    <w:rsid w:val="008B3FF9"/>
    <w:rsid w:val="008B400E"/>
    <w:rsid w:val="008B4053"/>
    <w:rsid w:val="008B405C"/>
    <w:rsid w:val="008B409F"/>
    <w:rsid w:val="008B40B1"/>
    <w:rsid w:val="008B40E7"/>
    <w:rsid w:val="008B40EE"/>
    <w:rsid w:val="008B4141"/>
    <w:rsid w:val="008B4154"/>
    <w:rsid w:val="008B4186"/>
    <w:rsid w:val="008B4204"/>
    <w:rsid w:val="008B428A"/>
    <w:rsid w:val="008B435D"/>
    <w:rsid w:val="008B43E6"/>
    <w:rsid w:val="008B4403"/>
    <w:rsid w:val="008B4421"/>
    <w:rsid w:val="008B447D"/>
    <w:rsid w:val="008B44D5"/>
    <w:rsid w:val="008B4569"/>
    <w:rsid w:val="008B45A7"/>
    <w:rsid w:val="008B461E"/>
    <w:rsid w:val="008B4634"/>
    <w:rsid w:val="008B4699"/>
    <w:rsid w:val="008B46AA"/>
    <w:rsid w:val="008B46D7"/>
    <w:rsid w:val="008B46EF"/>
    <w:rsid w:val="008B4728"/>
    <w:rsid w:val="008B4733"/>
    <w:rsid w:val="008B4756"/>
    <w:rsid w:val="008B4771"/>
    <w:rsid w:val="008B4798"/>
    <w:rsid w:val="008B479F"/>
    <w:rsid w:val="008B47B1"/>
    <w:rsid w:val="008B47B3"/>
    <w:rsid w:val="008B47B6"/>
    <w:rsid w:val="008B480E"/>
    <w:rsid w:val="008B483E"/>
    <w:rsid w:val="008B4883"/>
    <w:rsid w:val="008B4892"/>
    <w:rsid w:val="008B4893"/>
    <w:rsid w:val="008B48B9"/>
    <w:rsid w:val="008B48FA"/>
    <w:rsid w:val="008B4965"/>
    <w:rsid w:val="008B4978"/>
    <w:rsid w:val="008B49B7"/>
    <w:rsid w:val="008B4A5A"/>
    <w:rsid w:val="008B4AEC"/>
    <w:rsid w:val="008B4B22"/>
    <w:rsid w:val="008B4B4F"/>
    <w:rsid w:val="008B4C01"/>
    <w:rsid w:val="008B4C1F"/>
    <w:rsid w:val="008B4C42"/>
    <w:rsid w:val="008B4C43"/>
    <w:rsid w:val="008B4C65"/>
    <w:rsid w:val="008B4CB7"/>
    <w:rsid w:val="008B4CBE"/>
    <w:rsid w:val="008B4CDC"/>
    <w:rsid w:val="008B4CED"/>
    <w:rsid w:val="008B4D27"/>
    <w:rsid w:val="008B4D40"/>
    <w:rsid w:val="008B4DC1"/>
    <w:rsid w:val="008B4E11"/>
    <w:rsid w:val="008B4E3A"/>
    <w:rsid w:val="008B4E97"/>
    <w:rsid w:val="008B4EC4"/>
    <w:rsid w:val="008B4F3E"/>
    <w:rsid w:val="008B4F4C"/>
    <w:rsid w:val="008B4F7E"/>
    <w:rsid w:val="008B4FCA"/>
    <w:rsid w:val="008B4FCD"/>
    <w:rsid w:val="008B5065"/>
    <w:rsid w:val="008B511B"/>
    <w:rsid w:val="008B514C"/>
    <w:rsid w:val="008B5153"/>
    <w:rsid w:val="008B516B"/>
    <w:rsid w:val="008B517A"/>
    <w:rsid w:val="008B51A6"/>
    <w:rsid w:val="008B51AE"/>
    <w:rsid w:val="008B529D"/>
    <w:rsid w:val="008B52AD"/>
    <w:rsid w:val="008B52C5"/>
    <w:rsid w:val="008B532E"/>
    <w:rsid w:val="008B5336"/>
    <w:rsid w:val="008B5374"/>
    <w:rsid w:val="008B5380"/>
    <w:rsid w:val="008B53FE"/>
    <w:rsid w:val="008B543D"/>
    <w:rsid w:val="008B5453"/>
    <w:rsid w:val="008B5480"/>
    <w:rsid w:val="008B54F9"/>
    <w:rsid w:val="008B550E"/>
    <w:rsid w:val="008B5518"/>
    <w:rsid w:val="008B555F"/>
    <w:rsid w:val="008B5568"/>
    <w:rsid w:val="008B5586"/>
    <w:rsid w:val="008B562B"/>
    <w:rsid w:val="008B5680"/>
    <w:rsid w:val="008B568A"/>
    <w:rsid w:val="008B56C2"/>
    <w:rsid w:val="008B5774"/>
    <w:rsid w:val="008B5775"/>
    <w:rsid w:val="008B5779"/>
    <w:rsid w:val="008B57A5"/>
    <w:rsid w:val="008B57BF"/>
    <w:rsid w:val="008B57C3"/>
    <w:rsid w:val="008B57C9"/>
    <w:rsid w:val="008B57D5"/>
    <w:rsid w:val="008B57D6"/>
    <w:rsid w:val="008B580C"/>
    <w:rsid w:val="008B583F"/>
    <w:rsid w:val="008B5852"/>
    <w:rsid w:val="008B58C1"/>
    <w:rsid w:val="008B593A"/>
    <w:rsid w:val="008B5993"/>
    <w:rsid w:val="008B59E9"/>
    <w:rsid w:val="008B59F0"/>
    <w:rsid w:val="008B59FE"/>
    <w:rsid w:val="008B5A10"/>
    <w:rsid w:val="008B5A83"/>
    <w:rsid w:val="008B5A86"/>
    <w:rsid w:val="008B5A8C"/>
    <w:rsid w:val="008B5A91"/>
    <w:rsid w:val="008B5AB2"/>
    <w:rsid w:val="008B5ACA"/>
    <w:rsid w:val="008B5B54"/>
    <w:rsid w:val="008B5B5A"/>
    <w:rsid w:val="008B5B7C"/>
    <w:rsid w:val="008B5BC0"/>
    <w:rsid w:val="008B5BD3"/>
    <w:rsid w:val="008B5BF1"/>
    <w:rsid w:val="008B5C2F"/>
    <w:rsid w:val="008B5C48"/>
    <w:rsid w:val="008B5C4D"/>
    <w:rsid w:val="008B5C5B"/>
    <w:rsid w:val="008B5C7B"/>
    <w:rsid w:val="008B5C7C"/>
    <w:rsid w:val="008B5C84"/>
    <w:rsid w:val="008B5CAC"/>
    <w:rsid w:val="008B5CEC"/>
    <w:rsid w:val="008B5D08"/>
    <w:rsid w:val="008B5D1E"/>
    <w:rsid w:val="008B5D6A"/>
    <w:rsid w:val="008B5DA4"/>
    <w:rsid w:val="008B5DB6"/>
    <w:rsid w:val="008B5DB9"/>
    <w:rsid w:val="008B5E11"/>
    <w:rsid w:val="008B5E4C"/>
    <w:rsid w:val="008B5E53"/>
    <w:rsid w:val="008B5E70"/>
    <w:rsid w:val="008B5E77"/>
    <w:rsid w:val="008B5E86"/>
    <w:rsid w:val="008B5ECF"/>
    <w:rsid w:val="008B5F1E"/>
    <w:rsid w:val="008B5F21"/>
    <w:rsid w:val="008B5F3B"/>
    <w:rsid w:val="008B5F97"/>
    <w:rsid w:val="008B5FB8"/>
    <w:rsid w:val="008B5FCE"/>
    <w:rsid w:val="008B601D"/>
    <w:rsid w:val="008B60A8"/>
    <w:rsid w:val="008B6129"/>
    <w:rsid w:val="008B6182"/>
    <w:rsid w:val="008B6189"/>
    <w:rsid w:val="008B61DC"/>
    <w:rsid w:val="008B6202"/>
    <w:rsid w:val="008B6216"/>
    <w:rsid w:val="008B622D"/>
    <w:rsid w:val="008B6256"/>
    <w:rsid w:val="008B62C1"/>
    <w:rsid w:val="008B633B"/>
    <w:rsid w:val="008B6358"/>
    <w:rsid w:val="008B635C"/>
    <w:rsid w:val="008B6386"/>
    <w:rsid w:val="008B63A9"/>
    <w:rsid w:val="008B6460"/>
    <w:rsid w:val="008B64B9"/>
    <w:rsid w:val="008B64C7"/>
    <w:rsid w:val="008B64DF"/>
    <w:rsid w:val="008B6502"/>
    <w:rsid w:val="008B6559"/>
    <w:rsid w:val="008B658B"/>
    <w:rsid w:val="008B6594"/>
    <w:rsid w:val="008B6596"/>
    <w:rsid w:val="008B6672"/>
    <w:rsid w:val="008B66B8"/>
    <w:rsid w:val="008B6770"/>
    <w:rsid w:val="008B678B"/>
    <w:rsid w:val="008B6792"/>
    <w:rsid w:val="008B6796"/>
    <w:rsid w:val="008B67CA"/>
    <w:rsid w:val="008B67E5"/>
    <w:rsid w:val="008B6838"/>
    <w:rsid w:val="008B697E"/>
    <w:rsid w:val="008B69B4"/>
    <w:rsid w:val="008B6A03"/>
    <w:rsid w:val="008B6A28"/>
    <w:rsid w:val="008B6A7D"/>
    <w:rsid w:val="008B6A91"/>
    <w:rsid w:val="008B6B09"/>
    <w:rsid w:val="008B6B0B"/>
    <w:rsid w:val="008B6B17"/>
    <w:rsid w:val="008B6B3B"/>
    <w:rsid w:val="008B6B40"/>
    <w:rsid w:val="008B6B62"/>
    <w:rsid w:val="008B6B89"/>
    <w:rsid w:val="008B6B90"/>
    <w:rsid w:val="008B6C0A"/>
    <w:rsid w:val="008B6C65"/>
    <w:rsid w:val="008B6C9A"/>
    <w:rsid w:val="008B6CAE"/>
    <w:rsid w:val="008B6CE5"/>
    <w:rsid w:val="008B6D14"/>
    <w:rsid w:val="008B6D43"/>
    <w:rsid w:val="008B6D87"/>
    <w:rsid w:val="008B6D9F"/>
    <w:rsid w:val="008B6DB1"/>
    <w:rsid w:val="008B6DBE"/>
    <w:rsid w:val="008B6DF8"/>
    <w:rsid w:val="008B6E54"/>
    <w:rsid w:val="008B6E62"/>
    <w:rsid w:val="008B6E78"/>
    <w:rsid w:val="008B6E7B"/>
    <w:rsid w:val="008B6E89"/>
    <w:rsid w:val="008B6E8C"/>
    <w:rsid w:val="008B6EBC"/>
    <w:rsid w:val="008B6EFA"/>
    <w:rsid w:val="008B6F40"/>
    <w:rsid w:val="008B6F87"/>
    <w:rsid w:val="008B6F9C"/>
    <w:rsid w:val="008B6FC7"/>
    <w:rsid w:val="008B7001"/>
    <w:rsid w:val="008B7054"/>
    <w:rsid w:val="008B7080"/>
    <w:rsid w:val="008B70AF"/>
    <w:rsid w:val="008B70C8"/>
    <w:rsid w:val="008B7120"/>
    <w:rsid w:val="008B7164"/>
    <w:rsid w:val="008B717B"/>
    <w:rsid w:val="008B7180"/>
    <w:rsid w:val="008B7183"/>
    <w:rsid w:val="008B71B0"/>
    <w:rsid w:val="008B71BD"/>
    <w:rsid w:val="008B71D8"/>
    <w:rsid w:val="008B723C"/>
    <w:rsid w:val="008B7248"/>
    <w:rsid w:val="008B7258"/>
    <w:rsid w:val="008B729E"/>
    <w:rsid w:val="008B72A6"/>
    <w:rsid w:val="008B72F7"/>
    <w:rsid w:val="008B7320"/>
    <w:rsid w:val="008B7359"/>
    <w:rsid w:val="008B7360"/>
    <w:rsid w:val="008B736C"/>
    <w:rsid w:val="008B738F"/>
    <w:rsid w:val="008B73C0"/>
    <w:rsid w:val="008B7432"/>
    <w:rsid w:val="008B744C"/>
    <w:rsid w:val="008B746B"/>
    <w:rsid w:val="008B74CC"/>
    <w:rsid w:val="008B74D3"/>
    <w:rsid w:val="008B752B"/>
    <w:rsid w:val="008B754D"/>
    <w:rsid w:val="008B7557"/>
    <w:rsid w:val="008B7574"/>
    <w:rsid w:val="008B759F"/>
    <w:rsid w:val="008B75C4"/>
    <w:rsid w:val="008B7673"/>
    <w:rsid w:val="008B76A1"/>
    <w:rsid w:val="008B76B5"/>
    <w:rsid w:val="008B7700"/>
    <w:rsid w:val="008B7715"/>
    <w:rsid w:val="008B7717"/>
    <w:rsid w:val="008B773A"/>
    <w:rsid w:val="008B7777"/>
    <w:rsid w:val="008B77F5"/>
    <w:rsid w:val="008B7813"/>
    <w:rsid w:val="008B7862"/>
    <w:rsid w:val="008B7894"/>
    <w:rsid w:val="008B7936"/>
    <w:rsid w:val="008B7981"/>
    <w:rsid w:val="008B79C9"/>
    <w:rsid w:val="008B7A2E"/>
    <w:rsid w:val="008B7A36"/>
    <w:rsid w:val="008B7A38"/>
    <w:rsid w:val="008B7A8A"/>
    <w:rsid w:val="008B7AB8"/>
    <w:rsid w:val="008B7AC0"/>
    <w:rsid w:val="008B7AF6"/>
    <w:rsid w:val="008B7B0A"/>
    <w:rsid w:val="008B7B16"/>
    <w:rsid w:val="008B7B19"/>
    <w:rsid w:val="008B7BA9"/>
    <w:rsid w:val="008B7BE2"/>
    <w:rsid w:val="008B7C1D"/>
    <w:rsid w:val="008B7C30"/>
    <w:rsid w:val="008B7C37"/>
    <w:rsid w:val="008B7C7B"/>
    <w:rsid w:val="008B7CA7"/>
    <w:rsid w:val="008B7CDF"/>
    <w:rsid w:val="008B7CE4"/>
    <w:rsid w:val="008B7CE8"/>
    <w:rsid w:val="008B7CF6"/>
    <w:rsid w:val="008B7D37"/>
    <w:rsid w:val="008B7D3C"/>
    <w:rsid w:val="008B7D55"/>
    <w:rsid w:val="008B7D75"/>
    <w:rsid w:val="008B7DB2"/>
    <w:rsid w:val="008B7DCE"/>
    <w:rsid w:val="008B7DDA"/>
    <w:rsid w:val="008B7E48"/>
    <w:rsid w:val="008B7E72"/>
    <w:rsid w:val="008B7E79"/>
    <w:rsid w:val="008B7EC3"/>
    <w:rsid w:val="008B7ECD"/>
    <w:rsid w:val="008B7F1D"/>
    <w:rsid w:val="008B7F60"/>
    <w:rsid w:val="008B7FA0"/>
    <w:rsid w:val="008BA896"/>
    <w:rsid w:val="008C0003"/>
    <w:rsid w:val="008C0042"/>
    <w:rsid w:val="008C00B5"/>
    <w:rsid w:val="008C00BE"/>
    <w:rsid w:val="008C00C2"/>
    <w:rsid w:val="008C00C8"/>
    <w:rsid w:val="008C00DF"/>
    <w:rsid w:val="008C00ED"/>
    <w:rsid w:val="008C015D"/>
    <w:rsid w:val="008C017F"/>
    <w:rsid w:val="008C018D"/>
    <w:rsid w:val="008C01B5"/>
    <w:rsid w:val="008C01D0"/>
    <w:rsid w:val="008C01F9"/>
    <w:rsid w:val="008C024E"/>
    <w:rsid w:val="008C024F"/>
    <w:rsid w:val="008C02B7"/>
    <w:rsid w:val="008C02BF"/>
    <w:rsid w:val="008C02DC"/>
    <w:rsid w:val="008C02E5"/>
    <w:rsid w:val="008C02E7"/>
    <w:rsid w:val="008C02F8"/>
    <w:rsid w:val="008C0307"/>
    <w:rsid w:val="008C0383"/>
    <w:rsid w:val="008C03C3"/>
    <w:rsid w:val="008C03FE"/>
    <w:rsid w:val="008C0408"/>
    <w:rsid w:val="008C0416"/>
    <w:rsid w:val="008C041C"/>
    <w:rsid w:val="008C043E"/>
    <w:rsid w:val="008C0443"/>
    <w:rsid w:val="008C047C"/>
    <w:rsid w:val="008C048C"/>
    <w:rsid w:val="008C0509"/>
    <w:rsid w:val="008C0554"/>
    <w:rsid w:val="008C0573"/>
    <w:rsid w:val="008C057A"/>
    <w:rsid w:val="008C0586"/>
    <w:rsid w:val="008C059D"/>
    <w:rsid w:val="008C05AA"/>
    <w:rsid w:val="008C0608"/>
    <w:rsid w:val="008C0618"/>
    <w:rsid w:val="008C0623"/>
    <w:rsid w:val="008C0650"/>
    <w:rsid w:val="008C069F"/>
    <w:rsid w:val="008C06B7"/>
    <w:rsid w:val="008C06D1"/>
    <w:rsid w:val="008C0736"/>
    <w:rsid w:val="008C0775"/>
    <w:rsid w:val="008C0787"/>
    <w:rsid w:val="008C0793"/>
    <w:rsid w:val="008C079F"/>
    <w:rsid w:val="008C07B8"/>
    <w:rsid w:val="008C0819"/>
    <w:rsid w:val="008C0824"/>
    <w:rsid w:val="008C0855"/>
    <w:rsid w:val="008C08A3"/>
    <w:rsid w:val="008C08DE"/>
    <w:rsid w:val="008C08E2"/>
    <w:rsid w:val="008C08E4"/>
    <w:rsid w:val="008C08EA"/>
    <w:rsid w:val="008C0962"/>
    <w:rsid w:val="008C0996"/>
    <w:rsid w:val="008C0999"/>
    <w:rsid w:val="008C09CD"/>
    <w:rsid w:val="008C0A3F"/>
    <w:rsid w:val="008C0AA9"/>
    <w:rsid w:val="008C0AD2"/>
    <w:rsid w:val="008C0B28"/>
    <w:rsid w:val="008C0B37"/>
    <w:rsid w:val="008C0B7C"/>
    <w:rsid w:val="008C0B89"/>
    <w:rsid w:val="008C0B8C"/>
    <w:rsid w:val="008C0BB9"/>
    <w:rsid w:val="008C0BDB"/>
    <w:rsid w:val="008C0BE1"/>
    <w:rsid w:val="008C0C20"/>
    <w:rsid w:val="008C0C37"/>
    <w:rsid w:val="008C0C69"/>
    <w:rsid w:val="008C0C8B"/>
    <w:rsid w:val="008C0CA2"/>
    <w:rsid w:val="008C0CAB"/>
    <w:rsid w:val="008C0CB8"/>
    <w:rsid w:val="008C0CE7"/>
    <w:rsid w:val="008C0D8D"/>
    <w:rsid w:val="008C0DA0"/>
    <w:rsid w:val="008C0E20"/>
    <w:rsid w:val="008C0E34"/>
    <w:rsid w:val="008C0E60"/>
    <w:rsid w:val="008C0E8B"/>
    <w:rsid w:val="008C0E99"/>
    <w:rsid w:val="008C0EAC"/>
    <w:rsid w:val="008C0EFE"/>
    <w:rsid w:val="008C0F25"/>
    <w:rsid w:val="008C0F2F"/>
    <w:rsid w:val="008C0F37"/>
    <w:rsid w:val="008C0F6E"/>
    <w:rsid w:val="008C0F86"/>
    <w:rsid w:val="008C0F89"/>
    <w:rsid w:val="008C0FD4"/>
    <w:rsid w:val="008C0FE1"/>
    <w:rsid w:val="008C0FE7"/>
    <w:rsid w:val="008C1011"/>
    <w:rsid w:val="008C1040"/>
    <w:rsid w:val="008C10BA"/>
    <w:rsid w:val="008C10E1"/>
    <w:rsid w:val="008C10F0"/>
    <w:rsid w:val="008C10F5"/>
    <w:rsid w:val="008C1101"/>
    <w:rsid w:val="008C1121"/>
    <w:rsid w:val="008C1153"/>
    <w:rsid w:val="008C1179"/>
    <w:rsid w:val="008C1186"/>
    <w:rsid w:val="008C118A"/>
    <w:rsid w:val="008C11B3"/>
    <w:rsid w:val="008C11E8"/>
    <w:rsid w:val="008C1209"/>
    <w:rsid w:val="008C12BC"/>
    <w:rsid w:val="008C1319"/>
    <w:rsid w:val="008C1329"/>
    <w:rsid w:val="008C136C"/>
    <w:rsid w:val="008C136E"/>
    <w:rsid w:val="008C1382"/>
    <w:rsid w:val="008C13B2"/>
    <w:rsid w:val="008C13C6"/>
    <w:rsid w:val="008C13D3"/>
    <w:rsid w:val="008C1426"/>
    <w:rsid w:val="008C143E"/>
    <w:rsid w:val="008C1443"/>
    <w:rsid w:val="008C1462"/>
    <w:rsid w:val="008C1495"/>
    <w:rsid w:val="008C151F"/>
    <w:rsid w:val="008C1591"/>
    <w:rsid w:val="008C15D1"/>
    <w:rsid w:val="008C15DF"/>
    <w:rsid w:val="008C160A"/>
    <w:rsid w:val="008C1627"/>
    <w:rsid w:val="008C1662"/>
    <w:rsid w:val="008C169D"/>
    <w:rsid w:val="008C16C6"/>
    <w:rsid w:val="008C16F1"/>
    <w:rsid w:val="008C1716"/>
    <w:rsid w:val="008C174A"/>
    <w:rsid w:val="008C1839"/>
    <w:rsid w:val="008C1884"/>
    <w:rsid w:val="008C18B2"/>
    <w:rsid w:val="008C18DC"/>
    <w:rsid w:val="008C1917"/>
    <w:rsid w:val="008C191D"/>
    <w:rsid w:val="008C192D"/>
    <w:rsid w:val="008C1946"/>
    <w:rsid w:val="008C1964"/>
    <w:rsid w:val="008C198D"/>
    <w:rsid w:val="008C19A6"/>
    <w:rsid w:val="008C19F5"/>
    <w:rsid w:val="008C19FE"/>
    <w:rsid w:val="008C1A3E"/>
    <w:rsid w:val="008C1A98"/>
    <w:rsid w:val="008C1AD5"/>
    <w:rsid w:val="008C1B36"/>
    <w:rsid w:val="008C1B84"/>
    <w:rsid w:val="008C1BBF"/>
    <w:rsid w:val="008C1BD8"/>
    <w:rsid w:val="008C1C41"/>
    <w:rsid w:val="008C1CAE"/>
    <w:rsid w:val="008C1CBB"/>
    <w:rsid w:val="008C1D04"/>
    <w:rsid w:val="008C1D1C"/>
    <w:rsid w:val="008C1D50"/>
    <w:rsid w:val="008C1DC6"/>
    <w:rsid w:val="008C1DC7"/>
    <w:rsid w:val="008C1DE3"/>
    <w:rsid w:val="008C1DE8"/>
    <w:rsid w:val="008C1DFB"/>
    <w:rsid w:val="008C1E0E"/>
    <w:rsid w:val="008C1E2F"/>
    <w:rsid w:val="008C1E62"/>
    <w:rsid w:val="008C1EC2"/>
    <w:rsid w:val="008C1F38"/>
    <w:rsid w:val="008C1F7F"/>
    <w:rsid w:val="008C1F96"/>
    <w:rsid w:val="008C1FDF"/>
    <w:rsid w:val="008C1FE1"/>
    <w:rsid w:val="008C1FF9"/>
    <w:rsid w:val="008C2011"/>
    <w:rsid w:val="008C2030"/>
    <w:rsid w:val="008C2052"/>
    <w:rsid w:val="008C206E"/>
    <w:rsid w:val="008C2078"/>
    <w:rsid w:val="008C207B"/>
    <w:rsid w:val="008C207E"/>
    <w:rsid w:val="008C20B5"/>
    <w:rsid w:val="008C20B6"/>
    <w:rsid w:val="008C2122"/>
    <w:rsid w:val="008C212D"/>
    <w:rsid w:val="008C2183"/>
    <w:rsid w:val="008C21A5"/>
    <w:rsid w:val="008C21C3"/>
    <w:rsid w:val="008C21EB"/>
    <w:rsid w:val="008C2225"/>
    <w:rsid w:val="008C2278"/>
    <w:rsid w:val="008C22B5"/>
    <w:rsid w:val="008C22F0"/>
    <w:rsid w:val="008C235E"/>
    <w:rsid w:val="008C2381"/>
    <w:rsid w:val="008C23B2"/>
    <w:rsid w:val="008C23E3"/>
    <w:rsid w:val="008C242A"/>
    <w:rsid w:val="008C243F"/>
    <w:rsid w:val="008C2466"/>
    <w:rsid w:val="008C24B9"/>
    <w:rsid w:val="008C24BA"/>
    <w:rsid w:val="008C24F2"/>
    <w:rsid w:val="008C2515"/>
    <w:rsid w:val="008C251A"/>
    <w:rsid w:val="008C2588"/>
    <w:rsid w:val="008C259A"/>
    <w:rsid w:val="008C25B5"/>
    <w:rsid w:val="008C25EE"/>
    <w:rsid w:val="008C2665"/>
    <w:rsid w:val="008C2672"/>
    <w:rsid w:val="008C26A5"/>
    <w:rsid w:val="008C26D4"/>
    <w:rsid w:val="008C270B"/>
    <w:rsid w:val="008C2756"/>
    <w:rsid w:val="008C2779"/>
    <w:rsid w:val="008C2786"/>
    <w:rsid w:val="008C27EA"/>
    <w:rsid w:val="008C27FE"/>
    <w:rsid w:val="008C2816"/>
    <w:rsid w:val="008C2820"/>
    <w:rsid w:val="008C2874"/>
    <w:rsid w:val="008C288F"/>
    <w:rsid w:val="008C28B2"/>
    <w:rsid w:val="008C29D8"/>
    <w:rsid w:val="008C29F0"/>
    <w:rsid w:val="008C2A0F"/>
    <w:rsid w:val="008C2A9C"/>
    <w:rsid w:val="008C2AA8"/>
    <w:rsid w:val="008C2AE9"/>
    <w:rsid w:val="008C2B11"/>
    <w:rsid w:val="008C2B41"/>
    <w:rsid w:val="008C2B58"/>
    <w:rsid w:val="008C2BFA"/>
    <w:rsid w:val="008C2C38"/>
    <w:rsid w:val="008C2C43"/>
    <w:rsid w:val="008C2C8A"/>
    <w:rsid w:val="008C2C99"/>
    <w:rsid w:val="008C2CD3"/>
    <w:rsid w:val="008C2CD9"/>
    <w:rsid w:val="008C2CE7"/>
    <w:rsid w:val="008C2D13"/>
    <w:rsid w:val="008C2D3C"/>
    <w:rsid w:val="008C2D77"/>
    <w:rsid w:val="008C2D85"/>
    <w:rsid w:val="008C2DB8"/>
    <w:rsid w:val="008C2E2A"/>
    <w:rsid w:val="008C2E85"/>
    <w:rsid w:val="008C2E86"/>
    <w:rsid w:val="008C2EA7"/>
    <w:rsid w:val="008C2EAE"/>
    <w:rsid w:val="008C2F12"/>
    <w:rsid w:val="008C2F1D"/>
    <w:rsid w:val="008C2F36"/>
    <w:rsid w:val="008C2F6B"/>
    <w:rsid w:val="008C2FB3"/>
    <w:rsid w:val="008C2FCB"/>
    <w:rsid w:val="008C301D"/>
    <w:rsid w:val="008C30BA"/>
    <w:rsid w:val="008C3151"/>
    <w:rsid w:val="008C3152"/>
    <w:rsid w:val="008C3159"/>
    <w:rsid w:val="008C3192"/>
    <w:rsid w:val="008C31D8"/>
    <w:rsid w:val="008C31F1"/>
    <w:rsid w:val="008C3205"/>
    <w:rsid w:val="008C3249"/>
    <w:rsid w:val="008C3272"/>
    <w:rsid w:val="008C32A3"/>
    <w:rsid w:val="008C32BB"/>
    <w:rsid w:val="008C3367"/>
    <w:rsid w:val="008C3386"/>
    <w:rsid w:val="008C33B1"/>
    <w:rsid w:val="008C33FB"/>
    <w:rsid w:val="008C3405"/>
    <w:rsid w:val="008C342A"/>
    <w:rsid w:val="008C342E"/>
    <w:rsid w:val="008C3443"/>
    <w:rsid w:val="008C3471"/>
    <w:rsid w:val="008C34C5"/>
    <w:rsid w:val="008C3548"/>
    <w:rsid w:val="008C3562"/>
    <w:rsid w:val="008C357B"/>
    <w:rsid w:val="008C358A"/>
    <w:rsid w:val="008C3606"/>
    <w:rsid w:val="008C361C"/>
    <w:rsid w:val="008C365B"/>
    <w:rsid w:val="008C3680"/>
    <w:rsid w:val="008C368E"/>
    <w:rsid w:val="008C36A4"/>
    <w:rsid w:val="008C36F2"/>
    <w:rsid w:val="008C3708"/>
    <w:rsid w:val="008C373F"/>
    <w:rsid w:val="008C3763"/>
    <w:rsid w:val="008C37F1"/>
    <w:rsid w:val="008C3810"/>
    <w:rsid w:val="008C3880"/>
    <w:rsid w:val="008C38AB"/>
    <w:rsid w:val="008C38EE"/>
    <w:rsid w:val="008C3910"/>
    <w:rsid w:val="008C392A"/>
    <w:rsid w:val="008C393F"/>
    <w:rsid w:val="008C394D"/>
    <w:rsid w:val="008C3964"/>
    <w:rsid w:val="008C39FA"/>
    <w:rsid w:val="008C3A02"/>
    <w:rsid w:val="008C3A74"/>
    <w:rsid w:val="008C3AC1"/>
    <w:rsid w:val="008C3ADB"/>
    <w:rsid w:val="008C3AE0"/>
    <w:rsid w:val="008C3AEE"/>
    <w:rsid w:val="008C3AEF"/>
    <w:rsid w:val="008C3B7B"/>
    <w:rsid w:val="008C3BA0"/>
    <w:rsid w:val="008C3BC3"/>
    <w:rsid w:val="008C3BE6"/>
    <w:rsid w:val="008C3BF6"/>
    <w:rsid w:val="008C3C22"/>
    <w:rsid w:val="008C3C46"/>
    <w:rsid w:val="008C3C75"/>
    <w:rsid w:val="008C3CAD"/>
    <w:rsid w:val="008C3CDD"/>
    <w:rsid w:val="008C3D33"/>
    <w:rsid w:val="008C3D75"/>
    <w:rsid w:val="008C3DCB"/>
    <w:rsid w:val="008C3E1D"/>
    <w:rsid w:val="008C3E83"/>
    <w:rsid w:val="008C3EB2"/>
    <w:rsid w:val="008C3EB4"/>
    <w:rsid w:val="008C3EBE"/>
    <w:rsid w:val="008C3EC6"/>
    <w:rsid w:val="008C3F14"/>
    <w:rsid w:val="008C3F9C"/>
    <w:rsid w:val="008C3FB0"/>
    <w:rsid w:val="008C3FEA"/>
    <w:rsid w:val="008C4002"/>
    <w:rsid w:val="008C403D"/>
    <w:rsid w:val="008C407E"/>
    <w:rsid w:val="008C40BA"/>
    <w:rsid w:val="008C40C4"/>
    <w:rsid w:val="008C40CC"/>
    <w:rsid w:val="008C4164"/>
    <w:rsid w:val="008C41C3"/>
    <w:rsid w:val="008C41FC"/>
    <w:rsid w:val="008C4209"/>
    <w:rsid w:val="008C420D"/>
    <w:rsid w:val="008C420F"/>
    <w:rsid w:val="008C42A8"/>
    <w:rsid w:val="008C42C9"/>
    <w:rsid w:val="008C42CC"/>
    <w:rsid w:val="008C42D4"/>
    <w:rsid w:val="008C42EF"/>
    <w:rsid w:val="008C430C"/>
    <w:rsid w:val="008C4376"/>
    <w:rsid w:val="008C4379"/>
    <w:rsid w:val="008C4387"/>
    <w:rsid w:val="008C43D6"/>
    <w:rsid w:val="008C4417"/>
    <w:rsid w:val="008C4462"/>
    <w:rsid w:val="008C4486"/>
    <w:rsid w:val="008C44D6"/>
    <w:rsid w:val="008C44F2"/>
    <w:rsid w:val="008C4553"/>
    <w:rsid w:val="008C45AE"/>
    <w:rsid w:val="008C4632"/>
    <w:rsid w:val="008C463C"/>
    <w:rsid w:val="008C4677"/>
    <w:rsid w:val="008C4693"/>
    <w:rsid w:val="008C4698"/>
    <w:rsid w:val="008C471B"/>
    <w:rsid w:val="008C4741"/>
    <w:rsid w:val="008C478C"/>
    <w:rsid w:val="008C47B0"/>
    <w:rsid w:val="008C47F1"/>
    <w:rsid w:val="008C47F3"/>
    <w:rsid w:val="008C47F5"/>
    <w:rsid w:val="008C480B"/>
    <w:rsid w:val="008C4852"/>
    <w:rsid w:val="008C487A"/>
    <w:rsid w:val="008C488D"/>
    <w:rsid w:val="008C48CC"/>
    <w:rsid w:val="008C48E9"/>
    <w:rsid w:val="008C48F6"/>
    <w:rsid w:val="008C49BB"/>
    <w:rsid w:val="008C49C6"/>
    <w:rsid w:val="008C4A8D"/>
    <w:rsid w:val="008C4ABC"/>
    <w:rsid w:val="008C4AD2"/>
    <w:rsid w:val="008C4AD9"/>
    <w:rsid w:val="008C4B11"/>
    <w:rsid w:val="008C4B22"/>
    <w:rsid w:val="008C4BD6"/>
    <w:rsid w:val="008C4BFB"/>
    <w:rsid w:val="008C4C00"/>
    <w:rsid w:val="008C4C4B"/>
    <w:rsid w:val="008C4C5C"/>
    <w:rsid w:val="008C4D07"/>
    <w:rsid w:val="008C4D29"/>
    <w:rsid w:val="008C4D87"/>
    <w:rsid w:val="008C4DAB"/>
    <w:rsid w:val="008C4DE1"/>
    <w:rsid w:val="008C4DE9"/>
    <w:rsid w:val="008C4DEA"/>
    <w:rsid w:val="008C4DF7"/>
    <w:rsid w:val="008C4E0C"/>
    <w:rsid w:val="008C4E16"/>
    <w:rsid w:val="008C4E3E"/>
    <w:rsid w:val="008C4E5D"/>
    <w:rsid w:val="008C4E86"/>
    <w:rsid w:val="008C4EE3"/>
    <w:rsid w:val="008C4EE5"/>
    <w:rsid w:val="008C4F2A"/>
    <w:rsid w:val="008C4F2C"/>
    <w:rsid w:val="008C4F33"/>
    <w:rsid w:val="008C4FA6"/>
    <w:rsid w:val="008C4FEB"/>
    <w:rsid w:val="008C4FFE"/>
    <w:rsid w:val="008C5000"/>
    <w:rsid w:val="008C5013"/>
    <w:rsid w:val="008C501F"/>
    <w:rsid w:val="008C5030"/>
    <w:rsid w:val="008C5039"/>
    <w:rsid w:val="008C5064"/>
    <w:rsid w:val="008C507A"/>
    <w:rsid w:val="008C50D8"/>
    <w:rsid w:val="008C50DF"/>
    <w:rsid w:val="008C50E6"/>
    <w:rsid w:val="008C50ED"/>
    <w:rsid w:val="008C512A"/>
    <w:rsid w:val="008C5174"/>
    <w:rsid w:val="008C51A4"/>
    <w:rsid w:val="008C51AB"/>
    <w:rsid w:val="008C51AF"/>
    <w:rsid w:val="008C51D5"/>
    <w:rsid w:val="008C51ED"/>
    <w:rsid w:val="008C5242"/>
    <w:rsid w:val="008C52AE"/>
    <w:rsid w:val="008C52E8"/>
    <w:rsid w:val="008C52F7"/>
    <w:rsid w:val="008C534C"/>
    <w:rsid w:val="008C535F"/>
    <w:rsid w:val="008C53A3"/>
    <w:rsid w:val="008C542E"/>
    <w:rsid w:val="008C545D"/>
    <w:rsid w:val="008C5529"/>
    <w:rsid w:val="008C5562"/>
    <w:rsid w:val="008C55A6"/>
    <w:rsid w:val="008C5623"/>
    <w:rsid w:val="008C5632"/>
    <w:rsid w:val="008C563F"/>
    <w:rsid w:val="008C5658"/>
    <w:rsid w:val="008C565E"/>
    <w:rsid w:val="008C5669"/>
    <w:rsid w:val="008C5673"/>
    <w:rsid w:val="008C5705"/>
    <w:rsid w:val="008C5718"/>
    <w:rsid w:val="008C573D"/>
    <w:rsid w:val="008C5754"/>
    <w:rsid w:val="008C57FF"/>
    <w:rsid w:val="008C5860"/>
    <w:rsid w:val="008C5871"/>
    <w:rsid w:val="008C58A0"/>
    <w:rsid w:val="008C58F4"/>
    <w:rsid w:val="008C5926"/>
    <w:rsid w:val="008C59BB"/>
    <w:rsid w:val="008C59D5"/>
    <w:rsid w:val="008C59D8"/>
    <w:rsid w:val="008C5A3D"/>
    <w:rsid w:val="008C5A60"/>
    <w:rsid w:val="008C5A9A"/>
    <w:rsid w:val="008C5ACA"/>
    <w:rsid w:val="008C5BF9"/>
    <w:rsid w:val="008C5C01"/>
    <w:rsid w:val="008C5C3E"/>
    <w:rsid w:val="008C5C67"/>
    <w:rsid w:val="008C5C87"/>
    <w:rsid w:val="008C5C8A"/>
    <w:rsid w:val="008C5C8F"/>
    <w:rsid w:val="008C5C90"/>
    <w:rsid w:val="008C5D20"/>
    <w:rsid w:val="008C5D25"/>
    <w:rsid w:val="008C5D4A"/>
    <w:rsid w:val="008C5DF0"/>
    <w:rsid w:val="008C5E22"/>
    <w:rsid w:val="008C5E36"/>
    <w:rsid w:val="008C5E72"/>
    <w:rsid w:val="008C5E91"/>
    <w:rsid w:val="008C5EA7"/>
    <w:rsid w:val="008C5F27"/>
    <w:rsid w:val="008C5F2D"/>
    <w:rsid w:val="008C5F46"/>
    <w:rsid w:val="008C5F7F"/>
    <w:rsid w:val="008C5F98"/>
    <w:rsid w:val="008C5FB5"/>
    <w:rsid w:val="008C6034"/>
    <w:rsid w:val="008C6076"/>
    <w:rsid w:val="008C6099"/>
    <w:rsid w:val="008C6180"/>
    <w:rsid w:val="008C6187"/>
    <w:rsid w:val="008C6188"/>
    <w:rsid w:val="008C61CD"/>
    <w:rsid w:val="008C61F6"/>
    <w:rsid w:val="008C623D"/>
    <w:rsid w:val="008C627D"/>
    <w:rsid w:val="008C6284"/>
    <w:rsid w:val="008C62AE"/>
    <w:rsid w:val="008C62DC"/>
    <w:rsid w:val="008C62EC"/>
    <w:rsid w:val="008C62F7"/>
    <w:rsid w:val="008C6345"/>
    <w:rsid w:val="008C6350"/>
    <w:rsid w:val="008C6355"/>
    <w:rsid w:val="008C636D"/>
    <w:rsid w:val="008C6386"/>
    <w:rsid w:val="008C63D2"/>
    <w:rsid w:val="008C63DA"/>
    <w:rsid w:val="008C63E0"/>
    <w:rsid w:val="008C63F5"/>
    <w:rsid w:val="008C63FD"/>
    <w:rsid w:val="008C6406"/>
    <w:rsid w:val="008C64A3"/>
    <w:rsid w:val="008C64FA"/>
    <w:rsid w:val="008C6519"/>
    <w:rsid w:val="008C654F"/>
    <w:rsid w:val="008C6576"/>
    <w:rsid w:val="008C65EB"/>
    <w:rsid w:val="008C6609"/>
    <w:rsid w:val="008C6637"/>
    <w:rsid w:val="008C6655"/>
    <w:rsid w:val="008C6664"/>
    <w:rsid w:val="008C669E"/>
    <w:rsid w:val="008C66AC"/>
    <w:rsid w:val="008C66CA"/>
    <w:rsid w:val="008C66E1"/>
    <w:rsid w:val="008C670E"/>
    <w:rsid w:val="008C671B"/>
    <w:rsid w:val="008C675E"/>
    <w:rsid w:val="008C679F"/>
    <w:rsid w:val="008C6809"/>
    <w:rsid w:val="008C680D"/>
    <w:rsid w:val="008C682C"/>
    <w:rsid w:val="008C683B"/>
    <w:rsid w:val="008C6899"/>
    <w:rsid w:val="008C68DD"/>
    <w:rsid w:val="008C68F7"/>
    <w:rsid w:val="008C6994"/>
    <w:rsid w:val="008C69C6"/>
    <w:rsid w:val="008C69D3"/>
    <w:rsid w:val="008C6A06"/>
    <w:rsid w:val="008C6A4D"/>
    <w:rsid w:val="008C6A5B"/>
    <w:rsid w:val="008C6A69"/>
    <w:rsid w:val="008C6B0E"/>
    <w:rsid w:val="008C6B24"/>
    <w:rsid w:val="008C6B37"/>
    <w:rsid w:val="008C6B4D"/>
    <w:rsid w:val="008C6B93"/>
    <w:rsid w:val="008C6BEC"/>
    <w:rsid w:val="008C6C00"/>
    <w:rsid w:val="008C6C09"/>
    <w:rsid w:val="008C6C20"/>
    <w:rsid w:val="008C6C4C"/>
    <w:rsid w:val="008C6C79"/>
    <w:rsid w:val="008C6DA0"/>
    <w:rsid w:val="008C6DA2"/>
    <w:rsid w:val="008C6DBD"/>
    <w:rsid w:val="008C6DFD"/>
    <w:rsid w:val="008C6E81"/>
    <w:rsid w:val="008C6F1D"/>
    <w:rsid w:val="008C6F23"/>
    <w:rsid w:val="008C6F46"/>
    <w:rsid w:val="008C6F7B"/>
    <w:rsid w:val="008C6FEE"/>
    <w:rsid w:val="008C7073"/>
    <w:rsid w:val="008C7078"/>
    <w:rsid w:val="008C7092"/>
    <w:rsid w:val="008C70A7"/>
    <w:rsid w:val="008C7158"/>
    <w:rsid w:val="008C71E7"/>
    <w:rsid w:val="008C720A"/>
    <w:rsid w:val="008C7252"/>
    <w:rsid w:val="008C72BA"/>
    <w:rsid w:val="008C72CD"/>
    <w:rsid w:val="008C72E7"/>
    <w:rsid w:val="008C7315"/>
    <w:rsid w:val="008C7316"/>
    <w:rsid w:val="008C7329"/>
    <w:rsid w:val="008C7358"/>
    <w:rsid w:val="008C737A"/>
    <w:rsid w:val="008C73E2"/>
    <w:rsid w:val="008C73E8"/>
    <w:rsid w:val="008C74DF"/>
    <w:rsid w:val="008C74E9"/>
    <w:rsid w:val="008C74EA"/>
    <w:rsid w:val="008C7556"/>
    <w:rsid w:val="008C75D1"/>
    <w:rsid w:val="008C7601"/>
    <w:rsid w:val="008C760C"/>
    <w:rsid w:val="008C763C"/>
    <w:rsid w:val="008C7662"/>
    <w:rsid w:val="008C766B"/>
    <w:rsid w:val="008C76C0"/>
    <w:rsid w:val="008C7750"/>
    <w:rsid w:val="008C7768"/>
    <w:rsid w:val="008C7795"/>
    <w:rsid w:val="008C77BA"/>
    <w:rsid w:val="008C77BC"/>
    <w:rsid w:val="008C77FD"/>
    <w:rsid w:val="008C784F"/>
    <w:rsid w:val="008C7853"/>
    <w:rsid w:val="008C78A9"/>
    <w:rsid w:val="008C78FA"/>
    <w:rsid w:val="008C78FE"/>
    <w:rsid w:val="008C796A"/>
    <w:rsid w:val="008C797D"/>
    <w:rsid w:val="008C798D"/>
    <w:rsid w:val="008C79AA"/>
    <w:rsid w:val="008C79AF"/>
    <w:rsid w:val="008C79DF"/>
    <w:rsid w:val="008C7A0B"/>
    <w:rsid w:val="008C7A51"/>
    <w:rsid w:val="008C7A59"/>
    <w:rsid w:val="008C7ADE"/>
    <w:rsid w:val="008C7AEF"/>
    <w:rsid w:val="008C7B0B"/>
    <w:rsid w:val="008C7B10"/>
    <w:rsid w:val="008C7B16"/>
    <w:rsid w:val="008C7BB4"/>
    <w:rsid w:val="008C7BEF"/>
    <w:rsid w:val="008C7C1C"/>
    <w:rsid w:val="008C7C21"/>
    <w:rsid w:val="008C7C4E"/>
    <w:rsid w:val="008C7C62"/>
    <w:rsid w:val="008C7CA8"/>
    <w:rsid w:val="008C7CB1"/>
    <w:rsid w:val="008C7D40"/>
    <w:rsid w:val="008C7D48"/>
    <w:rsid w:val="008C7D8E"/>
    <w:rsid w:val="008C7DA1"/>
    <w:rsid w:val="008C7DB2"/>
    <w:rsid w:val="008C7DE9"/>
    <w:rsid w:val="008C7E1F"/>
    <w:rsid w:val="008C7E58"/>
    <w:rsid w:val="008C7EC1"/>
    <w:rsid w:val="008C7EE4"/>
    <w:rsid w:val="008C7F87"/>
    <w:rsid w:val="008C7FDD"/>
    <w:rsid w:val="008D0046"/>
    <w:rsid w:val="008D0047"/>
    <w:rsid w:val="008D0087"/>
    <w:rsid w:val="008D009F"/>
    <w:rsid w:val="008D00B5"/>
    <w:rsid w:val="008D00F8"/>
    <w:rsid w:val="008D00FC"/>
    <w:rsid w:val="008D0122"/>
    <w:rsid w:val="008D0135"/>
    <w:rsid w:val="008D0167"/>
    <w:rsid w:val="008D01AF"/>
    <w:rsid w:val="008D0201"/>
    <w:rsid w:val="008D0250"/>
    <w:rsid w:val="008D0339"/>
    <w:rsid w:val="008D0391"/>
    <w:rsid w:val="008D03A1"/>
    <w:rsid w:val="008D03AD"/>
    <w:rsid w:val="008D03CD"/>
    <w:rsid w:val="008D03F1"/>
    <w:rsid w:val="008D0427"/>
    <w:rsid w:val="008D0428"/>
    <w:rsid w:val="008D0453"/>
    <w:rsid w:val="008D0465"/>
    <w:rsid w:val="008D0475"/>
    <w:rsid w:val="008D04E8"/>
    <w:rsid w:val="008D04F7"/>
    <w:rsid w:val="008D04FA"/>
    <w:rsid w:val="008D050E"/>
    <w:rsid w:val="008D0524"/>
    <w:rsid w:val="008D05C1"/>
    <w:rsid w:val="008D05DA"/>
    <w:rsid w:val="008D060B"/>
    <w:rsid w:val="008D063E"/>
    <w:rsid w:val="008D0643"/>
    <w:rsid w:val="008D0651"/>
    <w:rsid w:val="008D0660"/>
    <w:rsid w:val="008D0667"/>
    <w:rsid w:val="008D066B"/>
    <w:rsid w:val="008D0687"/>
    <w:rsid w:val="008D0697"/>
    <w:rsid w:val="008D069F"/>
    <w:rsid w:val="008D06A3"/>
    <w:rsid w:val="008D06A6"/>
    <w:rsid w:val="008D06D1"/>
    <w:rsid w:val="008D077A"/>
    <w:rsid w:val="008D07A5"/>
    <w:rsid w:val="008D07CC"/>
    <w:rsid w:val="008D07FB"/>
    <w:rsid w:val="008D0802"/>
    <w:rsid w:val="008D081F"/>
    <w:rsid w:val="008D089D"/>
    <w:rsid w:val="008D0913"/>
    <w:rsid w:val="008D093C"/>
    <w:rsid w:val="008D0961"/>
    <w:rsid w:val="008D0963"/>
    <w:rsid w:val="008D0984"/>
    <w:rsid w:val="008D0990"/>
    <w:rsid w:val="008D0A3E"/>
    <w:rsid w:val="008D0AE4"/>
    <w:rsid w:val="008D0B23"/>
    <w:rsid w:val="008D0B3B"/>
    <w:rsid w:val="008D0B48"/>
    <w:rsid w:val="008D0C00"/>
    <w:rsid w:val="008D0C02"/>
    <w:rsid w:val="008D0C21"/>
    <w:rsid w:val="008D0C3A"/>
    <w:rsid w:val="008D0C3B"/>
    <w:rsid w:val="008D0C4F"/>
    <w:rsid w:val="008D0C5D"/>
    <w:rsid w:val="008D0C62"/>
    <w:rsid w:val="008D0C86"/>
    <w:rsid w:val="008D0CAC"/>
    <w:rsid w:val="008D0CE0"/>
    <w:rsid w:val="008D0D01"/>
    <w:rsid w:val="008D0D59"/>
    <w:rsid w:val="008D0DAA"/>
    <w:rsid w:val="008D0DAC"/>
    <w:rsid w:val="008D0DB4"/>
    <w:rsid w:val="008D0DDE"/>
    <w:rsid w:val="008D0DFF"/>
    <w:rsid w:val="008D0E0B"/>
    <w:rsid w:val="008D0E2B"/>
    <w:rsid w:val="008D0E3F"/>
    <w:rsid w:val="008D0E72"/>
    <w:rsid w:val="008D0E77"/>
    <w:rsid w:val="008D0EAB"/>
    <w:rsid w:val="008D0EC1"/>
    <w:rsid w:val="008D0EC4"/>
    <w:rsid w:val="008D0F15"/>
    <w:rsid w:val="008D0F1C"/>
    <w:rsid w:val="008D0F84"/>
    <w:rsid w:val="008D0F8B"/>
    <w:rsid w:val="008D0F94"/>
    <w:rsid w:val="008D1040"/>
    <w:rsid w:val="008D1045"/>
    <w:rsid w:val="008D10E3"/>
    <w:rsid w:val="008D1146"/>
    <w:rsid w:val="008D114A"/>
    <w:rsid w:val="008D114E"/>
    <w:rsid w:val="008D1197"/>
    <w:rsid w:val="008D11CC"/>
    <w:rsid w:val="008D11CE"/>
    <w:rsid w:val="008D11ED"/>
    <w:rsid w:val="008D11FC"/>
    <w:rsid w:val="008D1225"/>
    <w:rsid w:val="008D123C"/>
    <w:rsid w:val="008D12C3"/>
    <w:rsid w:val="008D12E4"/>
    <w:rsid w:val="008D1336"/>
    <w:rsid w:val="008D139C"/>
    <w:rsid w:val="008D1428"/>
    <w:rsid w:val="008D1446"/>
    <w:rsid w:val="008D146D"/>
    <w:rsid w:val="008D1475"/>
    <w:rsid w:val="008D1480"/>
    <w:rsid w:val="008D14F8"/>
    <w:rsid w:val="008D150E"/>
    <w:rsid w:val="008D152B"/>
    <w:rsid w:val="008D1539"/>
    <w:rsid w:val="008D1567"/>
    <w:rsid w:val="008D157A"/>
    <w:rsid w:val="008D1591"/>
    <w:rsid w:val="008D15A3"/>
    <w:rsid w:val="008D15B1"/>
    <w:rsid w:val="008D15FF"/>
    <w:rsid w:val="008D1600"/>
    <w:rsid w:val="008D1630"/>
    <w:rsid w:val="008D1636"/>
    <w:rsid w:val="008D16EE"/>
    <w:rsid w:val="008D16F6"/>
    <w:rsid w:val="008D1719"/>
    <w:rsid w:val="008D1775"/>
    <w:rsid w:val="008D1804"/>
    <w:rsid w:val="008D181E"/>
    <w:rsid w:val="008D1875"/>
    <w:rsid w:val="008D1893"/>
    <w:rsid w:val="008D18A9"/>
    <w:rsid w:val="008D18AF"/>
    <w:rsid w:val="008D1912"/>
    <w:rsid w:val="008D191E"/>
    <w:rsid w:val="008D1980"/>
    <w:rsid w:val="008D198A"/>
    <w:rsid w:val="008D1995"/>
    <w:rsid w:val="008D1A0E"/>
    <w:rsid w:val="008D1A36"/>
    <w:rsid w:val="008D1A46"/>
    <w:rsid w:val="008D1AFF"/>
    <w:rsid w:val="008D1B65"/>
    <w:rsid w:val="008D1B8B"/>
    <w:rsid w:val="008D1BC8"/>
    <w:rsid w:val="008D1BE3"/>
    <w:rsid w:val="008D1BEB"/>
    <w:rsid w:val="008D1C50"/>
    <w:rsid w:val="008D1C94"/>
    <w:rsid w:val="008D1CAB"/>
    <w:rsid w:val="008D1CCD"/>
    <w:rsid w:val="008D1CF3"/>
    <w:rsid w:val="008D1DB0"/>
    <w:rsid w:val="008D1DCD"/>
    <w:rsid w:val="008D1DDF"/>
    <w:rsid w:val="008D1DE7"/>
    <w:rsid w:val="008D1E2E"/>
    <w:rsid w:val="008D1E32"/>
    <w:rsid w:val="008D1E3F"/>
    <w:rsid w:val="008D1EB2"/>
    <w:rsid w:val="008D1EB5"/>
    <w:rsid w:val="008D1EFC"/>
    <w:rsid w:val="008D1F07"/>
    <w:rsid w:val="008D1F3D"/>
    <w:rsid w:val="008D1F3E"/>
    <w:rsid w:val="008D1F62"/>
    <w:rsid w:val="008D1F63"/>
    <w:rsid w:val="008D1F79"/>
    <w:rsid w:val="008D1FAE"/>
    <w:rsid w:val="008D1FCA"/>
    <w:rsid w:val="008D1FCF"/>
    <w:rsid w:val="008D2005"/>
    <w:rsid w:val="008D2028"/>
    <w:rsid w:val="008D2062"/>
    <w:rsid w:val="008D2082"/>
    <w:rsid w:val="008D20BD"/>
    <w:rsid w:val="008D20C2"/>
    <w:rsid w:val="008D20E1"/>
    <w:rsid w:val="008D211B"/>
    <w:rsid w:val="008D2140"/>
    <w:rsid w:val="008D215F"/>
    <w:rsid w:val="008D221D"/>
    <w:rsid w:val="008D22B1"/>
    <w:rsid w:val="008D22B4"/>
    <w:rsid w:val="008D22C1"/>
    <w:rsid w:val="008D22C4"/>
    <w:rsid w:val="008D232B"/>
    <w:rsid w:val="008D2338"/>
    <w:rsid w:val="008D2395"/>
    <w:rsid w:val="008D23A6"/>
    <w:rsid w:val="008D2407"/>
    <w:rsid w:val="008D2410"/>
    <w:rsid w:val="008D2443"/>
    <w:rsid w:val="008D2460"/>
    <w:rsid w:val="008D2461"/>
    <w:rsid w:val="008D2470"/>
    <w:rsid w:val="008D2476"/>
    <w:rsid w:val="008D2479"/>
    <w:rsid w:val="008D2494"/>
    <w:rsid w:val="008D24E0"/>
    <w:rsid w:val="008D24E2"/>
    <w:rsid w:val="008D2563"/>
    <w:rsid w:val="008D256C"/>
    <w:rsid w:val="008D25B8"/>
    <w:rsid w:val="008D25C3"/>
    <w:rsid w:val="008D2601"/>
    <w:rsid w:val="008D269F"/>
    <w:rsid w:val="008D26B5"/>
    <w:rsid w:val="008D26C1"/>
    <w:rsid w:val="008D26C5"/>
    <w:rsid w:val="008D26CA"/>
    <w:rsid w:val="008D26E2"/>
    <w:rsid w:val="008D26EE"/>
    <w:rsid w:val="008D26FE"/>
    <w:rsid w:val="008D2707"/>
    <w:rsid w:val="008D2761"/>
    <w:rsid w:val="008D2765"/>
    <w:rsid w:val="008D2787"/>
    <w:rsid w:val="008D27B1"/>
    <w:rsid w:val="008D27B6"/>
    <w:rsid w:val="008D27E7"/>
    <w:rsid w:val="008D27FF"/>
    <w:rsid w:val="008D2805"/>
    <w:rsid w:val="008D2815"/>
    <w:rsid w:val="008D2841"/>
    <w:rsid w:val="008D2877"/>
    <w:rsid w:val="008D289D"/>
    <w:rsid w:val="008D28A9"/>
    <w:rsid w:val="008D28B8"/>
    <w:rsid w:val="008D2914"/>
    <w:rsid w:val="008D29C5"/>
    <w:rsid w:val="008D29DD"/>
    <w:rsid w:val="008D29E3"/>
    <w:rsid w:val="008D29E7"/>
    <w:rsid w:val="008D29F3"/>
    <w:rsid w:val="008D29F7"/>
    <w:rsid w:val="008D2A43"/>
    <w:rsid w:val="008D2A87"/>
    <w:rsid w:val="008D2AB5"/>
    <w:rsid w:val="008D2B0A"/>
    <w:rsid w:val="008D2B19"/>
    <w:rsid w:val="008D2B88"/>
    <w:rsid w:val="008D2B9F"/>
    <w:rsid w:val="008D2BD5"/>
    <w:rsid w:val="008D2BE6"/>
    <w:rsid w:val="008D2C2A"/>
    <w:rsid w:val="008D2C33"/>
    <w:rsid w:val="008D2C43"/>
    <w:rsid w:val="008D2C57"/>
    <w:rsid w:val="008D2D39"/>
    <w:rsid w:val="008D2D3E"/>
    <w:rsid w:val="008D2D4A"/>
    <w:rsid w:val="008D2D56"/>
    <w:rsid w:val="008D2D7C"/>
    <w:rsid w:val="008D2D89"/>
    <w:rsid w:val="008D2D8A"/>
    <w:rsid w:val="008D2DA6"/>
    <w:rsid w:val="008D2DB2"/>
    <w:rsid w:val="008D2DEA"/>
    <w:rsid w:val="008D2E4C"/>
    <w:rsid w:val="008D2E79"/>
    <w:rsid w:val="008D2EA0"/>
    <w:rsid w:val="008D2EF6"/>
    <w:rsid w:val="008D2F12"/>
    <w:rsid w:val="008D2FE0"/>
    <w:rsid w:val="008D3045"/>
    <w:rsid w:val="008D3072"/>
    <w:rsid w:val="008D30C3"/>
    <w:rsid w:val="008D3114"/>
    <w:rsid w:val="008D3130"/>
    <w:rsid w:val="008D3174"/>
    <w:rsid w:val="008D317E"/>
    <w:rsid w:val="008D318E"/>
    <w:rsid w:val="008D3276"/>
    <w:rsid w:val="008D32BB"/>
    <w:rsid w:val="008D32D9"/>
    <w:rsid w:val="008D331F"/>
    <w:rsid w:val="008D3341"/>
    <w:rsid w:val="008D334B"/>
    <w:rsid w:val="008D3390"/>
    <w:rsid w:val="008D33B0"/>
    <w:rsid w:val="008D3409"/>
    <w:rsid w:val="008D341F"/>
    <w:rsid w:val="008D343C"/>
    <w:rsid w:val="008D3455"/>
    <w:rsid w:val="008D345C"/>
    <w:rsid w:val="008D3472"/>
    <w:rsid w:val="008D347F"/>
    <w:rsid w:val="008D348F"/>
    <w:rsid w:val="008D3594"/>
    <w:rsid w:val="008D35AA"/>
    <w:rsid w:val="008D35CE"/>
    <w:rsid w:val="008D35CF"/>
    <w:rsid w:val="008D35EE"/>
    <w:rsid w:val="008D3668"/>
    <w:rsid w:val="008D36C9"/>
    <w:rsid w:val="008D3704"/>
    <w:rsid w:val="008D370E"/>
    <w:rsid w:val="008D374D"/>
    <w:rsid w:val="008D3756"/>
    <w:rsid w:val="008D376B"/>
    <w:rsid w:val="008D379E"/>
    <w:rsid w:val="008D38AC"/>
    <w:rsid w:val="008D3941"/>
    <w:rsid w:val="008D395D"/>
    <w:rsid w:val="008D3973"/>
    <w:rsid w:val="008D39A3"/>
    <w:rsid w:val="008D39F6"/>
    <w:rsid w:val="008D3AB0"/>
    <w:rsid w:val="008D3B01"/>
    <w:rsid w:val="008D3B06"/>
    <w:rsid w:val="008D3B7A"/>
    <w:rsid w:val="008D3BAE"/>
    <w:rsid w:val="008D3BB5"/>
    <w:rsid w:val="008D3BF0"/>
    <w:rsid w:val="008D3C26"/>
    <w:rsid w:val="008D3C49"/>
    <w:rsid w:val="008D3C54"/>
    <w:rsid w:val="008D3C72"/>
    <w:rsid w:val="008D3CBF"/>
    <w:rsid w:val="008D3CCF"/>
    <w:rsid w:val="008D3CD2"/>
    <w:rsid w:val="008D3CE7"/>
    <w:rsid w:val="008D3D82"/>
    <w:rsid w:val="008D3DB4"/>
    <w:rsid w:val="008D3DC1"/>
    <w:rsid w:val="008D3DF0"/>
    <w:rsid w:val="008D3E1C"/>
    <w:rsid w:val="008D3E60"/>
    <w:rsid w:val="008D3EFA"/>
    <w:rsid w:val="008D3F73"/>
    <w:rsid w:val="008D3F83"/>
    <w:rsid w:val="008D3F8B"/>
    <w:rsid w:val="008D3FB2"/>
    <w:rsid w:val="008D406B"/>
    <w:rsid w:val="008D4095"/>
    <w:rsid w:val="008D40B3"/>
    <w:rsid w:val="008D40EB"/>
    <w:rsid w:val="008D4113"/>
    <w:rsid w:val="008D4158"/>
    <w:rsid w:val="008D4186"/>
    <w:rsid w:val="008D419E"/>
    <w:rsid w:val="008D41B6"/>
    <w:rsid w:val="008D41CA"/>
    <w:rsid w:val="008D4238"/>
    <w:rsid w:val="008D4242"/>
    <w:rsid w:val="008D4260"/>
    <w:rsid w:val="008D42A6"/>
    <w:rsid w:val="008D42D4"/>
    <w:rsid w:val="008D42DC"/>
    <w:rsid w:val="008D42F0"/>
    <w:rsid w:val="008D4300"/>
    <w:rsid w:val="008D438D"/>
    <w:rsid w:val="008D43A5"/>
    <w:rsid w:val="008D43E2"/>
    <w:rsid w:val="008D43E6"/>
    <w:rsid w:val="008D4410"/>
    <w:rsid w:val="008D442D"/>
    <w:rsid w:val="008D4464"/>
    <w:rsid w:val="008D448D"/>
    <w:rsid w:val="008D44DF"/>
    <w:rsid w:val="008D44E4"/>
    <w:rsid w:val="008D44FD"/>
    <w:rsid w:val="008D4518"/>
    <w:rsid w:val="008D4531"/>
    <w:rsid w:val="008D4586"/>
    <w:rsid w:val="008D45C4"/>
    <w:rsid w:val="008D4635"/>
    <w:rsid w:val="008D4656"/>
    <w:rsid w:val="008D4658"/>
    <w:rsid w:val="008D4675"/>
    <w:rsid w:val="008D46CD"/>
    <w:rsid w:val="008D4711"/>
    <w:rsid w:val="008D4727"/>
    <w:rsid w:val="008D4745"/>
    <w:rsid w:val="008D4755"/>
    <w:rsid w:val="008D47A5"/>
    <w:rsid w:val="008D47BA"/>
    <w:rsid w:val="008D47C7"/>
    <w:rsid w:val="008D47D5"/>
    <w:rsid w:val="008D47F8"/>
    <w:rsid w:val="008D4856"/>
    <w:rsid w:val="008D486D"/>
    <w:rsid w:val="008D4877"/>
    <w:rsid w:val="008D488D"/>
    <w:rsid w:val="008D48C0"/>
    <w:rsid w:val="008D48D5"/>
    <w:rsid w:val="008D491F"/>
    <w:rsid w:val="008D497D"/>
    <w:rsid w:val="008D49A6"/>
    <w:rsid w:val="008D49C6"/>
    <w:rsid w:val="008D4AAF"/>
    <w:rsid w:val="008D4ADC"/>
    <w:rsid w:val="008D4B10"/>
    <w:rsid w:val="008D4B4B"/>
    <w:rsid w:val="008D4B4D"/>
    <w:rsid w:val="008D4B52"/>
    <w:rsid w:val="008D4B57"/>
    <w:rsid w:val="008D4BA8"/>
    <w:rsid w:val="008D4BCC"/>
    <w:rsid w:val="008D4C7F"/>
    <w:rsid w:val="008D4CF9"/>
    <w:rsid w:val="008D4D0F"/>
    <w:rsid w:val="008D4D21"/>
    <w:rsid w:val="008D4D3A"/>
    <w:rsid w:val="008D4D4B"/>
    <w:rsid w:val="008D4D6C"/>
    <w:rsid w:val="008D4DC4"/>
    <w:rsid w:val="008D4DCE"/>
    <w:rsid w:val="008D4DD4"/>
    <w:rsid w:val="008D4E13"/>
    <w:rsid w:val="008D4E3D"/>
    <w:rsid w:val="008D4E3E"/>
    <w:rsid w:val="008D4EA7"/>
    <w:rsid w:val="008D4EA8"/>
    <w:rsid w:val="008D4EAF"/>
    <w:rsid w:val="008D4EB2"/>
    <w:rsid w:val="008D4EC8"/>
    <w:rsid w:val="008D4EE5"/>
    <w:rsid w:val="008D4EEB"/>
    <w:rsid w:val="008D4F3F"/>
    <w:rsid w:val="008D4F5C"/>
    <w:rsid w:val="008D4FB7"/>
    <w:rsid w:val="008D4FC9"/>
    <w:rsid w:val="008D4FD4"/>
    <w:rsid w:val="008D4FE0"/>
    <w:rsid w:val="008D4FE9"/>
    <w:rsid w:val="008D4FF4"/>
    <w:rsid w:val="008D50C5"/>
    <w:rsid w:val="008D50E3"/>
    <w:rsid w:val="008D50F8"/>
    <w:rsid w:val="008D5128"/>
    <w:rsid w:val="008D5132"/>
    <w:rsid w:val="008D5147"/>
    <w:rsid w:val="008D5150"/>
    <w:rsid w:val="008D5161"/>
    <w:rsid w:val="008D516F"/>
    <w:rsid w:val="008D51A3"/>
    <w:rsid w:val="008D520B"/>
    <w:rsid w:val="008D5272"/>
    <w:rsid w:val="008D5344"/>
    <w:rsid w:val="008D534C"/>
    <w:rsid w:val="008D536A"/>
    <w:rsid w:val="008D5411"/>
    <w:rsid w:val="008D5419"/>
    <w:rsid w:val="008D541E"/>
    <w:rsid w:val="008D5435"/>
    <w:rsid w:val="008D5491"/>
    <w:rsid w:val="008D54BC"/>
    <w:rsid w:val="008D54BD"/>
    <w:rsid w:val="008D5575"/>
    <w:rsid w:val="008D5656"/>
    <w:rsid w:val="008D565B"/>
    <w:rsid w:val="008D5664"/>
    <w:rsid w:val="008D566A"/>
    <w:rsid w:val="008D567B"/>
    <w:rsid w:val="008D5686"/>
    <w:rsid w:val="008D568F"/>
    <w:rsid w:val="008D56C0"/>
    <w:rsid w:val="008D576B"/>
    <w:rsid w:val="008D5773"/>
    <w:rsid w:val="008D5794"/>
    <w:rsid w:val="008D579E"/>
    <w:rsid w:val="008D57DB"/>
    <w:rsid w:val="008D57DD"/>
    <w:rsid w:val="008D57E3"/>
    <w:rsid w:val="008D5838"/>
    <w:rsid w:val="008D5844"/>
    <w:rsid w:val="008D5850"/>
    <w:rsid w:val="008D5858"/>
    <w:rsid w:val="008D585A"/>
    <w:rsid w:val="008D5865"/>
    <w:rsid w:val="008D5884"/>
    <w:rsid w:val="008D58BB"/>
    <w:rsid w:val="008D58DD"/>
    <w:rsid w:val="008D58E3"/>
    <w:rsid w:val="008D58ED"/>
    <w:rsid w:val="008D5901"/>
    <w:rsid w:val="008D592E"/>
    <w:rsid w:val="008D599D"/>
    <w:rsid w:val="008D59CB"/>
    <w:rsid w:val="008D59F9"/>
    <w:rsid w:val="008D5A2D"/>
    <w:rsid w:val="008D5A59"/>
    <w:rsid w:val="008D5AB0"/>
    <w:rsid w:val="008D5AB7"/>
    <w:rsid w:val="008D5AD4"/>
    <w:rsid w:val="008D5B1B"/>
    <w:rsid w:val="008D5B27"/>
    <w:rsid w:val="008D5B7F"/>
    <w:rsid w:val="008D5BE5"/>
    <w:rsid w:val="008D5BED"/>
    <w:rsid w:val="008D5C08"/>
    <w:rsid w:val="008D5C0D"/>
    <w:rsid w:val="008D5C29"/>
    <w:rsid w:val="008D5C53"/>
    <w:rsid w:val="008D5C66"/>
    <w:rsid w:val="008D5CAA"/>
    <w:rsid w:val="008D5CE7"/>
    <w:rsid w:val="008D5D13"/>
    <w:rsid w:val="008D5D4D"/>
    <w:rsid w:val="008D5DCB"/>
    <w:rsid w:val="008D5E28"/>
    <w:rsid w:val="008D5E4E"/>
    <w:rsid w:val="008D5E55"/>
    <w:rsid w:val="008D5EE5"/>
    <w:rsid w:val="008D5EED"/>
    <w:rsid w:val="008D5F21"/>
    <w:rsid w:val="008D5F6E"/>
    <w:rsid w:val="008D5FEA"/>
    <w:rsid w:val="008D6014"/>
    <w:rsid w:val="008D6015"/>
    <w:rsid w:val="008D601A"/>
    <w:rsid w:val="008D6047"/>
    <w:rsid w:val="008D6051"/>
    <w:rsid w:val="008D6088"/>
    <w:rsid w:val="008D6091"/>
    <w:rsid w:val="008D60E3"/>
    <w:rsid w:val="008D60E6"/>
    <w:rsid w:val="008D6119"/>
    <w:rsid w:val="008D6190"/>
    <w:rsid w:val="008D6191"/>
    <w:rsid w:val="008D61B1"/>
    <w:rsid w:val="008D61BD"/>
    <w:rsid w:val="008D61D1"/>
    <w:rsid w:val="008D61E0"/>
    <w:rsid w:val="008D6200"/>
    <w:rsid w:val="008D6221"/>
    <w:rsid w:val="008D6236"/>
    <w:rsid w:val="008D6242"/>
    <w:rsid w:val="008D6256"/>
    <w:rsid w:val="008D6266"/>
    <w:rsid w:val="008D6286"/>
    <w:rsid w:val="008D6289"/>
    <w:rsid w:val="008D628A"/>
    <w:rsid w:val="008D6296"/>
    <w:rsid w:val="008D62F9"/>
    <w:rsid w:val="008D6307"/>
    <w:rsid w:val="008D630A"/>
    <w:rsid w:val="008D634C"/>
    <w:rsid w:val="008D6372"/>
    <w:rsid w:val="008D6384"/>
    <w:rsid w:val="008D63A8"/>
    <w:rsid w:val="008D63FE"/>
    <w:rsid w:val="008D6444"/>
    <w:rsid w:val="008D6486"/>
    <w:rsid w:val="008D64D5"/>
    <w:rsid w:val="008D64EC"/>
    <w:rsid w:val="008D6573"/>
    <w:rsid w:val="008D659B"/>
    <w:rsid w:val="008D65A6"/>
    <w:rsid w:val="008D6614"/>
    <w:rsid w:val="008D6670"/>
    <w:rsid w:val="008D66CB"/>
    <w:rsid w:val="008D6720"/>
    <w:rsid w:val="008D6756"/>
    <w:rsid w:val="008D6762"/>
    <w:rsid w:val="008D676D"/>
    <w:rsid w:val="008D67B2"/>
    <w:rsid w:val="008D67F5"/>
    <w:rsid w:val="008D682C"/>
    <w:rsid w:val="008D6841"/>
    <w:rsid w:val="008D6859"/>
    <w:rsid w:val="008D68A4"/>
    <w:rsid w:val="008D68D5"/>
    <w:rsid w:val="008D691E"/>
    <w:rsid w:val="008D697B"/>
    <w:rsid w:val="008D69B0"/>
    <w:rsid w:val="008D69DE"/>
    <w:rsid w:val="008D69ED"/>
    <w:rsid w:val="008D69F1"/>
    <w:rsid w:val="008D6A0E"/>
    <w:rsid w:val="008D6A1B"/>
    <w:rsid w:val="008D6A21"/>
    <w:rsid w:val="008D6A71"/>
    <w:rsid w:val="008D6A7C"/>
    <w:rsid w:val="008D6A95"/>
    <w:rsid w:val="008D6A99"/>
    <w:rsid w:val="008D6AC4"/>
    <w:rsid w:val="008D6AD1"/>
    <w:rsid w:val="008D6B0C"/>
    <w:rsid w:val="008D6B37"/>
    <w:rsid w:val="008D6B8C"/>
    <w:rsid w:val="008D6B9A"/>
    <w:rsid w:val="008D6BB5"/>
    <w:rsid w:val="008D6C2F"/>
    <w:rsid w:val="008D6C8D"/>
    <w:rsid w:val="008D6CFE"/>
    <w:rsid w:val="008D6D11"/>
    <w:rsid w:val="008D6D1F"/>
    <w:rsid w:val="008D6D48"/>
    <w:rsid w:val="008D6D79"/>
    <w:rsid w:val="008D6D82"/>
    <w:rsid w:val="008D6D99"/>
    <w:rsid w:val="008D6DA1"/>
    <w:rsid w:val="008D6DA2"/>
    <w:rsid w:val="008D6DD3"/>
    <w:rsid w:val="008D6DD9"/>
    <w:rsid w:val="008D6E2A"/>
    <w:rsid w:val="008D6E62"/>
    <w:rsid w:val="008D6EA5"/>
    <w:rsid w:val="008D6EC0"/>
    <w:rsid w:val="008D6ECD"/>
    <w:rsid w:val="008D6ED0"/>
    <w:rsid w:val="008D6EF9"/>
    <w:rsid w:val="008D6F2B"/>
    <w:rsid w:val="008D6F82"/>
    <w:rsid w:val="008D6FCF"/>
    <w:rsid w:val="008D6FD8"/>
    <w:rsid w:val="008D6FDC"/>
    <w:rsid w:val="008D7003"/>
    <w:rsid w:val="008D707C"/>
    <w:rsid w:val="008D7098"/>
    <w:rsid w:val="008D70F7"/>
    <w:rsid w:val="008D70FC"/>
    <w:rsid w:val="008D717A"/>
    <w:rsid w:val="008D71B0"/>
    <w:rsid w:val="008D7201"/>
    <w:rsid w:val="008D7274"/>
    <w:rsid w:val="008D7280"/>
    <w:rsid w:val="008D729F"/>
    <w:rsid w:val="008D72A7"/>
    <w:rsid w:val="008D72C7"/>
    <w:rsid w:val="008D72EC"/>
    <w:rsid w:val="008D7318"/>
    <w:rsid w:val="008D7320"/>
    <w:rsid w:val="008D7334"/>
    <w:rsid w:val="008D735D"/>
    <w:rsid w:val="008D73AB"/>
    <w:rsid w:val="008D73BA"/>
    <w:rsid w:val="008D73E7"/>
    <w:rsid w:val="008D740D"/>
    <w:rsid w:val="008D7445"/>
    <w:rsid w:val="008D7447"/>
    <w:rsid w:val="008D745C"/>
    <w:rsid w:val="008D74B0"/>
    <w:rsid w:val="008D74BC"/>
    <w:rsid w:val="008D74C6"/>
    <w:rsid w:val="008D7505"/>
    <w:rsid w:val="008D750B"/>
    <w:rsid w:val="008D7548"/>
    <w:rsid w:val="008D75BE"/>
    <w:rsid w:val="008D75F5"/>
    <w:rsid w:val="008D7602"/>
    <w:rsid w:val="008D7628"/>
    <w:rsid w:val="008D7634"/>
    <w:rsid w:val="008D7716"/>
    <w:rsid w:val="008D774D"/>
    <w:rsid w:val="008D778B"/>
    <w:rsid w:val="008D778C"/>
    <w:rsid w:val="008D7797"/>
    <w:rsid w:val="008D7798"/>
    <w:rsid w:val="008D77A9"/>
    <w:rsid w:val="008D77F4"/>
    <w:rsid w:val="008D7812"/>
    <w:rsid w:val="008D789F"/>
    <w:rsid w:val="008D78FB"/>
    <w:rsid w:val="008D7929"/>
    <w:rsid w:val="008D7941"/>
    <w:rsid w:val="008D7946"/>
    <w:rsid w:val="008D7951"/>
    <w:rsid w:val="008D795E"/>
    <w:rsid w:val="008D7990"/>
    <w:rsid w:val="008D799A"/>
    <w:rsid w:val="008D7A24"/>
    <w:rsid w:val="008D7A86"/>
    <w:rsid w:val="008D7A96"/>
    <w:rsid w:val="008D7AF6"/>
    <w:rsid w:val="008D7B63"/>
    <w:rsid w:val="008D7B6F"/>
    <w:rsid w:val="008D7B77"/>
    <w:rsid w:val="008D7B83"/>
    <w:rsid w:val="008D7BC1"/>
    <w:rsid w:val="008D7C5C"/>
    <w:rsid w:val="008D7C85"/>
    <w:rsid w:val="008D7C9F"/>
    <w:rsid w:val="008D7CE4"/>
    <w:rsid w:val="008D7CE7"/>
    <w:rsid w:val="008D7CF0"/>
    <w:rsid w:val="008D7D00"/>
    <w:rsid w:val="008D7E17"/>
    <w:rsid w:val="008D7E21"/>
    <w:rsid w:val="008D7E26"/>
    <w:rsid w:val="008D7E5B"/>
    <w:rsid w:val="008D7E7E"/>
    <w:rsid w:val="008D7E80"/>
    <w:rsid w:val="008D7E91"/>
    <w:rsid w:val="008D7EEA"/>
    <w:rsid w:val="008D7F05"/>
    <w:rsid w:val="008D7F0C"/>
    <w:rsid w:val="008D7F2B"/>
    <w:rsid w:val="008D7F55"/>
    <w:rsid w:val="008D7F6C"/>
    <w:rsid w:val="008D7F80"/>
    <w:rsid w:val="008D7FC2"/>
    <w:rsid w:val="008D7FDD"/>
    <w:rsid w:val="008D7FE1"/>
    <w:rsid w:val="008E0001"/>
    <w:rsid w:val="008E0003"/>
    <w:rsid w:val="008E0010"/>
    <w:rsid w:val="008E0076"/>
    <w:rsid w:val="008E0088"/>
    <w:rsid w:val="008E00DA"/>
    <w:rsid w:val="008E00DD"/>
    <w:rsid w:val="008E014F"/>
    <w:rsid w:val="008E0186"/>
    <w:rsid w:val="008E018D"/>
    <w:rsid w:val="008E01CB"/>
    <w:rsid w:val="008E01E3"/>
    <w:rsid w:val="008E0201"/>
    <w:rsid w:val="008E0202"/>
    <w:rsid w:val="008E02DD"/>
    <w:rsid w:val="008E0300"/>
    <w:rsid w:val="008E035F"/>
    <w:rsid w:val="008E0376"/>
    <w:rsid w:val="008E0381"/>
    <w:rsid w:val="008E03C0"/>
    <w:rsid w:val="008E03F7"/>
    <w:rsid w:val="008E0490"/>
    <w:rsid w:val="008E04B4"/>
    <w:rsid w:val="008E04D5"/>
    <w:rsid w:val="008E04DA"/>
    <w:rsid w:val="008E04E9"/>
    <w:rsid w:val="008E04EB"/>
    <w:rsid w:val="008E051D"/>
    <w:rsid w:val="008E0538"/>
    <w:rsid w:val="008E0561"/>
    <w:rsid w:val="008E0587"/>
    <w:rsid w:val="008E05AC"/>
    <w:rsid w:val="008E05B7"/>
    <w:rsid w:val="008E05C0"/>
    <w:rsid w:val="008E05C9"/>
    <w:rsid w:val="008E0655"/>
    <w:rsid w:val="008E06B3"/>
    <w:rsid w:val="008E06D0"/>
    <w:rsid w:val="008E076D"/>
    <w:rsid w:val="008E07DE"/>
    <w:rsid w:val="008E07FD"/>
    <w:rsid w:val="008E080C"/>
    <w:rsid w:val="008E083B"/>
    <w:rsid w:val="008E086C"/>
    <w:rsid w:val="008E087B"/>
    <w:rsid w:val="008E08E7"/>
    <w:rsid w:val="008E08F3"/>
    <w:rsid w:val="008E091A"/>
    <w:rsid w:val="008E0975"/>
    <w:rsid w:val="008E09CC"/>
    <w:rsid w:val="008E09E2"/>
    <w:rsid w:val="008E0A3B"/>
    <w:rsid w:val="008E0A61"/>
    <w:rsid w:val="008E0A6D"/>
    <w:rsid w:val="008E0AC6"/>
    <w:rsid w:val="008E0ADD"/>
    <w:rsid w:val="008E0B16"/>
    <w:rsid w:val="008E0B28"/>
    <w:rsid w:val="008E0B2D"/>
    <w:rsid w:val="008E0B6C"/>
    <w:rsid w:val="008E0B72"/>
    <w:rsid w:val="008E0B93"/>
    <w:rsid w:val="008E0BCC"/>
    <w:rsid w:val="008E0BF0"/>
    <w:rsid w:val="008E0BF1"/>
    <w:rsid w:val="008E0C23"/>
    <w:rsid w:val="008E0CD2"/>
    <w:rsid w:val="008E0CD6"/>
    <w:rsid w:val="008E0CEC"/>
    <w:rsid w:val="008E0D58"/>
    <w:rsid w:val="008E0D6F"/>
    <w:rsid w:val="008E0DA0"/>
    <w:rsid w:val="008E0DAC"/>
    <w:rsid w:val="008E0E22"/>
    <w:rsid w:val="008E0E8D"/>
    <w:rsid w:val="008E0EF6"/>
    <w:rsid w:val="008E0F52"/>
    <w:rsid w:val="008E0F85"/>
    <w:rsid w:val="008E0FAA"/>
    <w:rsid w:val="008E0FB3"/>
    <w:rsid w:val="008E0FD4"/>
    <w:rsid w:val="008E100A"/>
    <w:rsid w:val="008E1024"/>
    <w:rsid w:val="008E1050"/>
    <w:rsid w:val="008E106C"/>
    <w:rsid w:val="008E1076"/>
    <w:rsid w:val="008E1091"/>
    <w:rsid w:val="008E10A9"/>
    <w:rsid w:val="008E10AD"/>
    <w:rsid w:val="008E10AE"/>
    <w:rsid w:val="008E10E7"/>
    <w:rsid w:val="008E1125"/>
    <w:rsid w:val="008E112E"/>
    <w:rsid w:val="008E113D"/>
    <w:rsid w:val="008E1180"/>
    <w:rsid w:val="008E1182"/>
    <w:rsid w:val="008E11BE"/>
    <w:rsid w:val="008E11D2"/>
    <w:rsid w:val="008E1201"/>
    <w:rsid w:val="008E120F"/>
    <w:rsid w:val="008E121E"/>
    <w:rsid w:val="008E1220"/>
    <w:rsid w:val="008E1235"/>
    <w:rsid w:val="008E123A"/>
    <w:rsid w:val="008E129A"/>
    <w:rsid w:val="008E1338"/>
    <w:rsid w:val="008E1354"/>
    <w:rsid w:val="008E136D"/>
    <w:rsid w:val="008E1372"/>
    <w:rsid w:val="008E137F"/>
    <w:rsid w:val="008E1440"/>
    <w:rsid w:val="008E145A"/>
    <w:rsid w:val="008E14B8"/>
    <w:rsid w:val="008E14C6"/>
    <w:rsid w:val="008E14E7"/>
    <w:rsid w:val="008E1527"/>
    <w:rsid w:val="008E1545"/>
    <w:rsid w:val="008E1577"/>
    <w:rsid w:val="008E15CB"/>
    <w:rsid w:val="008E15E9"/>
    <w:rsid w:val="008E1600"/>
    <w:rsid w:val="008E1619"/>
    <w:rsid w:val="008E1641"/>
    <w:rsid w:val="008E1649"/>
    <w:rsid w:val="008E1692"/>
    <w:rsid w:val="008E1693"/>
    <w:rsid w:val="008E16A0"/>
    <w:rsid w:val="008E16FC"/>
    <w:rsid w:val="008E1706"/>
    <w:rsid w:val="008E1763"/>
    <w:rsid w:val="008E1768"/>
    <w:rsid w:val="008E1780"/>
    <w:rsid w:val="008E178F"/>
    <w:rsid w:val="008E180C"/>
    <w:rsid w:val="008E184F"/>
    <w:rsid w:val="008E1936"/>
    <w:rsid w:val="008E1994"/>
    <w:rsid w:val="008E19AF"/>
    <w:rsid w:val="008E19BE"/>
    <w:rsid w:val="008E1A1A"/>
    <w:rsid w:val="008E1A75"/>
    <w:rsid w:val="008E1A7D"/>
    <w:rsid w:val="008E1A82"/>
    <w:rsid w:val="008E1A8B"/>
    <w:rsid w:val="008E1AA5"/>
    <w:rsid w:val="008E1AC0"/>
    <w:rsid w:val="008E1ADD"/>
    <w:rsid w:val="008E1AF2"/>
    <w:rsid w:val="008E1B10"/>
    <w:rsid w:val="008E1B1A"/>
    <w:rsid w:val="008E1BB5"/>
    <w:rsid w:val="008E1BB7"/>
    <w:rsid w:val="008E1BCF"/>
    <w:rsid w:val="008E1BEA"/>
    <w:rsid w:val="008E1C1D"/>
    <w:rsid w:val="008E1C37"/>
    <w:rsid w:val="008E1CC8"/>
    <w:rsid w:val="008E1CC9"/>
    <w:rsid w:val="008E1CE2"/>
    <w:rsid w:val="008E1D01"/>
    <w:rsid w:val="008E1D63"/>
    <w:rsid w:val="008E1DB8"/>
    <w:rsid w:val="008E1E0F"/>
    <w:rsid w:val="008E1E27"/>
    <w:rsid w:val="008E1E29"/>
    <w:rsid w:val="008E1E60"/>
    <w:rsid w:val="008E1F72"/>
    <w:rsid w:val="008E1FBA"/>
    <w:rsid w:val="008E1FCF"/>
    <w:rsid w:val="008E1FD4"/>
    <w:rsid w:val="008E1FF9"/>
    <w:rsid w:val="008E201F"/>
    <w:rsid w:val="008E20D6"/>
    <w:rsid w:val="008E20E9"/>
    <w:rsid w:val="008E2101"/>
    <w:rsid w:val="008E2103"/>
    <w:rsid w:val="008E2113"/>
    <w:rsid w:val="008E2121"/>
    <w:rsid w:val="008E2136"/>
    <w:rsid w:val="008E2159"/>
    <w:rsid w:val="008E2170"/>
    <w:rsid w:val="008E21A7"/>
    <w:rsid w:val="008E21AC"/>
    <w:rsid w:val="008E21CE"/>
    <w:rsid w:val="008E2211"/>
    <w:rsid w:val="008E2224"/>
    <w:rsid w:val="008E2238"/>
    <w:rsid w:val="008E224F"/>
    <w:rsid w:val="008E225B"/>
    <w:rsid w:val="008E230A"/>
    <w:rsid w:val="008E23A1"/>
    <w:rsid w:val="008E23A8"/>
    <w:rsid w:val="008E23BF"/>
    <w:rsid w:val="008E23EB"/>
    <w:rsid w:val="008E23FD"/>
    <w:rsid w:val="008E2402"/>
    <w:rsid w:val="008E240F"/>
    <w:rsid w:val="008E248B"/>
    <w:rsid w:val="008E2490"/>
    <w:rsid w:val="008E24AD"/>
    <w:rsid w:val="008E24E2"/>
    <w:rsid w:val="008E24FF"/>
    <w:rsid w:val="008E250B"/>
    <w:rsid w:val="008E250C"/>
    <w:rsid w:val="008E2547"/>
    <w:rsid w:val="008E2549"/>
    <w:rsid w:val="008E255B"/>
    <w:rsid w:val="008E2598"/>
    <w:rsid w:val="008E25D3"/>
    <w:rsid w:val="008E25DB"/>
    <w:rsid w:val="008E25DC"/>
    <w:rsid w:val="008E2660"/>
    <w:rsid w:val="008E267F"/>
    <w:rsid w:val="008E269F"/>
    <w:rsid w:val="008E26CF"/>
    <w:rsid w:val="008E26E4"/>
    <w:rsid w:val="008E2767"/>
    <w:rsid w:val="008E2777"/>
    <w:rsid w:val="008E27BA"/>
    <w:rsid w:val="008E27C2"/>
    <w:rsid w:val="008E27E5"/>
    <w:rsid w:val="008E280D"/>
    <w:rsid w:val="008E2818"/>
    <w:rsid w:val="008E2831"/>
    <w:rsid w:val="008E2842"/>
    <w:rsid w:val="008E2874"/>
    <w:rsid w:val="008E28E0"/>
    <w:rsid w:val="008E28F1"/>
    <w:rsid w:val="008E292C"/>
    <w:rsid w:val="008E293A"/>
    <w:rsid w:val="008E2972"/>
    <w:rsid w:val="008E298E"/>
    <w:rsid w:val="008E29EB"/>
    <w:rsid w:val="008E2A13"/>
    <w:rsid w:val="008E2A5B"/>
    <w:rsid w:val="008E2A6A"/>
    <w:rsid w:val="008E2A6B"/>
    <w:rsid w:val="008E2A73"/>
    <w:rsid w:val="008E2A94"/>
    <w:rsid w:val="008E2AC0"/>
    <w:rsid w:val="008E2AE8"/>
    <w:rsid w:val="008E2BA5"/>
    <w:rsid w:val="008E2BD8"/>
    <w:rsid w:val="008E2C0F"/>
    <w:rsid w:val="008E2C43"/>
    <w:rsid w:val="008E2C59"/>
    <w:rsid w:val="008E2C64"/>
    <w:rsid w:val="008E2CA2"/>
    <w:rsid w:val="008E2CFC"/>
    <w:rsid w:val="008E2D4A"/>
    <w:rsid w:val="008E2D5D"/>
    <w:rsid w:val="008E2D60"/>
    <w:rsid w:val="008E2D95"/>
    <w:rsid w:val="008E2DA8"/>
    <w:rsid w:val="008E2DDD"/>
    <w:rsid w:val="008E2DEC"/>
    <w:rsid w:val="008E2E0E"/>
    <w:rsid w:val="008E2E47"/>
    <w:rsid w:val="008E2F00"/>
    <w:rsid w:val="008E2F60"/>
    <w:rsid w:val="008E2F65"/>
    <w:rsid w:val="008E2F8C"/>
    <w:rsid w:val="008E2FBE"/>
    <w:rsid w:val="008E3059"/>
    <w:rsid w:val="008E3062"/>
    <w:rsid w:val="008E3064"/>
    <w:rsid w:val="008E3096"/>
    <w:rsid w:val="008E310B"/>
    <w:rsid w:val="008E31CA"/>
    <w:rsid w:val="008E31D6"/>
    <w:rsid w:val="008E31F1"/>
    <w:rsid w:val="008E31F9"/>
    <w:rsid w:val="008E3240"/>
    <w:rsid w:val="008E3278"/>
    <w:rsid w:val="008E330E"/>
    <w:rsid w:val="008E330F"/>
    <w:rsid w:val="008E3325"/>
    <w:rsid w:val="008E3384"/>
    <w:rsid w:val="008E33A1"/>
    <w:rsid w:val="008E33DF"/>
    <w:rsid w:val="008E340B"/>
    <w:rsid w:val="008E3458"/>
    <w:rsid w:val="008E3469"/>
    <w:rsid w:val="008E34E9"/>
    <w:rsid w:val="008E3534"/>
    <w:rsid w:val="008E3573"/>
    <w:rsid w:val="008E35AF"/>
    <w:rsid w:val="008E35B4"/>
    <w:rsid w:val="008E35E0"/>
    <w:rsid w:val="008E35F2"/>
    <w:rsid w:val="008E35FF"/>
    <w:rsid w:val="008E3680"/>
    <w:rsid w:val="008E3711"/>
    <w:rsid w:val="008E3733"/>
    <w:rsid w:val="008E37BC"/>
    <w:rsid w:val="008E3818"/>
    <w:rsid w:val="008E382A"/>
    <w:rsid w:val="008E384C"/>
    <w:rsid w:val="008E38AE"/>
    <w:rsid w:val="008E38B3"/>
    <w:rsid w:val="008E38CE"/>
    <w:rsid w:val="008E3926"/>
    <w:rsid w:val="008E3938"/>
    <w:rsid w:val="008E394E"/>
    <w:rsid w:val="008E3959"/>
    <w:rsid w:val="008E395A"/>
    <w:rsid w:val="008E3969"/>
    <w:rsid w:val="008E39E4"/>
    <w:rsid w:val="008E3A1D"/>
    <w:rsid w:val="008E3A26"/>
    <w:rsid w:val="008E3A97"/>
    <w:rsid w:val="008E3A9F"/>
    <w:rsid w:val="008E3AD5"/>
    <w:rsid w:val="008E3B0A"/>
    <w:rsid w:val="008E3B83"/>
    <w:rsid w:val="008E3B9B"/>
    <w:rsid w:val="008E3BF1"/>
    <w:rsid w:val="008E3C68"/>
    <w:rsid w:val="008E3C83"/>
    <w:rsid w:val="008E3C8C"/>
    <w:rsid w:val="008E3CA2"/>
    <w:rsid w:val="008E3CAC"/>
    <w:rsid w:val="008E3D0E"/>
    <w:rsid w:val="008E3DE4"/>
    <w:rsid w:val="008E3E20"/>
    <w:rsid w:val="008E3E47"/>
    <w:rsid w:val="008E3E52"/>
    <w:rsid w:val="008E3E61"/>
    <w:rsid w:val="008E3EB6"/>
    <w:rsid w:val="008E3F0A"/>
    <w:rsid w:val="008E3F17"/>
    <w:rsid w:val="008E3F31"/>
    <w:rsid w:val="008E3F97"/>
    <w:rsid w:val="008E3F9F"/>
    <w:rsid w:val="008E4001"/>
    <w:rsid w:val="008E4006"/>
    <w:rsid w:val="008E4009"/>
    <w:rsid w:val="008E402B"/>
    <w:rsid w:val="008E4056"/>
    <w:rsid w:val="008E4083"/>
    <w:rsid w:val="008E40E6"/>
    <w:rsid w:val="008E411C"/>
    <w:rsid w:val="008E4163"/>
    <w:rsid w:val="008E4192"/>
    <w:rsid w:val="008E41A5"/>
    <w:rsid w:val="008E41AF"/>
    <w:rsid w:val="008E41C3"/>
    <w:rsid w:val="008E41ED"/>
    <w:rsid w:val="008E41F3"/>
    <w:rsid w:val="008E41FE"/>
    <w:rsid w:val="008E4208"/>
    <w:rsid w:val="008E4226"/>
    <w:rsid w:val="008E4269"/>
    <w:rsid w:val="008E4283"/>
    <w:rsid w:val="008E4287"/>
    <w:rsid w:val="008E4289"/>
    <w:rsid w:val="008E4290"/>
    <w:rsid w:val="008E4307"/>
    <w:rsid w:val="008E4349"/>
    <w:rsid w:val="008E4371"/>
    <w:rsid w:val="008E43A8"/>
    <w:rsid w:val="008E43AC"/>
    <w:rsid w:val="008E443D"/>
    <w:rsid w:val="008E4481"/>
    <w:rsid w:val="008E4521"/>
    <w:rsid w:val="008E452B"/>
    <w:rsid w:val="008E452D"/>
    <w:rsid w:val="008E453A"/>
    <w:rsid w:val="008E454E"/>
    <w:rsid w:val="008E45B3"/>
    <w:rsid w:val="008E45B5"/>
    <w:rsid w:val="008E45F3"/>
    <w:rsid w:val="008E45F4"/>
    <w:rsid w:val="008E4602"/>
    <w:rsid w:val="008E4610"/>
    <w:rsid w:val="008E466B"/>
    <w:rsid w:val="008E467D"/>
    <w:rsid w:val="008E46D6"/>
    <w:rsid w:val="008E4748"/>
    <w:rsid w:val="008E4763"/>
    <w:rsid w:val="008E47B4"/>
    <w:rsid w:val="008E47BA"/>
    <w:rsid w:val="008E4838"/>
    <w:rsid w:val="008E4885"/>
    <w:rsid w:val="008E48B1"/>
    <w:rsid w:val="008E48DE"/>
    <w:rsid w:val="008E48E1"/>
    <w:rsid w:val="008E490A"/>
    <w:rsid w:val="008E4929"/>
    <w:rsid w:val="008E4987"/>
    <w:rsid w:val="008E499E"/>
    <w:rsid w:val="008E49CC"/>
    <w:rsid w:val="008E49F4"/>
    <w:rsid w:val="008E4A35"/>
    <w:rsid w:val="008E4A43"/>
    <w:rsid w:val="008E4A60"/>
    <w:rsid w:val="008E4A95"/>
    <w:rsid w:val="008E4AC2"/>
    <w:rsid w:val="008E4AC9"/>
    <w:rsid w:val="008E4AE7"/>
    <w:rsid w:val="008E4B1C"/>
    <w:rsid w:val="008E4B2A"/>
    <w:rsid w:val="008E4B5C"/>
    <w:rsid w:val="008E4B75"/>
    <w:rsid w:val="008E4B84"/>
    <w:rsid w:val="008E4B93"/>
    <w:rsid w:val="008E4BC4"/>
    <w:rsid w:val="008E4BDD"/>
    <w:rsid w:val="008E4BDE"/>
    <w:rsid w:val="008E4BEE"/>
    <w:rsid w:val="008E4C35"/>
    <w:rsid w:val="008E4C6A"/>
    <w:rsid w:val="008E4C7B"/>
    <w:rsid w:val="008E4CBE"/>
    <w:rsid w:val="008E4CBF"/>
    <w:rsid w:val="008E4D1E"/>
    <w:rsid w:val="008E4D25"/>
    <w:rsid w:val="008E4D52"/>
    <w:rsid w:val="008E4D5B"/>
    <w:rsid w:val="008E4D60"/>
    <w:rsid w:val="008E4D6B"/>
    <w:rsid w:val="008E4D91"/>
    <w:rsid w:val="008E4DC9"/>
    <w:rsid w:val="008E4DDE"/>
    <w:rsid w:val="008E4E4F"/>
    <w:rsid w:val="008E4E7F"/>
    <w:rsid w:val="008E4E8A"/>
    <w:rsid w:val="008E4E9F"/>
    <w:rsid w:val="008E4EAA"/>
    <w:rsid w:val="008E4EB4"/>
    <w:rsid w:val="008E4F4F"/>
    <w:rsid w:val="008E4F8A"/>
    <w:rsid w:val="008E4FAA"/>
    <w:rsid w:val="008E4FB4"/>
    <w:rsid w:val="008E4FC9"/>
    <w:rsid w:val="008E4FCC"/>
    <w:rsid w:val="008E4FEA"/>
    <w:rsid w:val="008E5025"/>
    <w:rsid w:val="008E50DF"/>
    <w:rsid w:val="008E50E2"/>
    <w:rsid w:val="008E5113"/>
    <w:rsid w:val="008E5150"/>
    <w:rsid w:val="008E515B"/>
    <w:rsid w:val="008E5171"/>
    <w:rsid w:val="008E5188"/>
    <w:rsid w:val="008E51E4"/>
    <w:rsid w:val="008E51F2"/>
    <w:rsid w:val="008E5260"/>
    <w:rsid w:val="008E5265"/>
    <w:rsid w:val="008E527D"/>
    <w:rsid w:val="008E528B"/>
    <w:rsid w:val="008E530D"/>
    <w:rsid w:val="008E530F"/>
    <w:rsid w:val="008E5351"/>
    <w:rsid w:val="008E536A"/>
    <w:rsid w:val="008E539B"/>
    <w:rsid w:val="008E53B7"/>
    <w:rsid w:val="008E5407"/>
    <w:rsid w:val="008E5425"/>
    <w:rsid w:val="008E5498"/>
    <w:rsid w:val="008E54A5"/>
    <w:rsid w:val="008E54E2"/>
    <w:rsid w:val="008E550E"/>
    <w:rsid w:val="008E554D"/>
    <w:rsid w:val="008E5561"/>
    <w:rsid w:val="008E55FE"/>
    <w:rsid w:val="008E5606"/>
    <w:rsid w:val="008E5657"/>
    <w:rsid w:val="008E5667"/>
    <w:rsid w:val="008E568D"/>
    <w:rsid w:val="008E56D7"/>
    <w:rsid w:val="008E56E7"/>
    <w:rsid w:val="008E56FD"/>
    <w:rsid w:val="008E572F"/>
    <w:rsid w:val="008E5734"/>
    <w:rsid w:val="008E578C"/>
    <w:rsid w:val="008E5834"/>
    <w:rsid w:val="008E58A4"/>
    <w:rsid w:val="008E58BC"/>
    <w:rsid w:val="008E58BE"/>
    <w:rsid w:val="008E5900"/>
    <w:rsid w:val="008E594A"/>
    <w:rsid w:val="008E5954"/>
    <w:rsid w:val="008E5976"/>
    <w:rsid w:val="008E599D"/>
    <w:rsid w:val="008E59A1"/>
    <w:rsid w:val="008E59CB"/>
    <w:rsid w:val="008E59FE"/>
    <w:rsid w:val="008E5A14"/>
    <w:rsid w:val="008E5A69"/>
    <w:rsid w:val="008E5A9C"/>
    <w:rsid w:val="008E5AAC"/>
    <w:rsid w:val="008E5B07"/>
    <w:rsid w:val="008E5B7C"/>
    <w:rsid w:val="008E5B8A"/>
    <w:rsid w:val="008E5BA5"/>
    <w:rsid w:val="008E5BA7"/>
    <w:rsid w:val="008E5BFB"/>
    <w:rsid w:val="008E5C50"/>
    <w:rsid w:val="008E5C5F"/>
    <w:rsid w:val="008E5C9B"/>
    <w:rsid w:val="008E5CAD"/>
    <w:rsid w:val="008E5CB0"/>
    <w:rsid w:val="008E5CCA"/>
    <w:rsid w:val="008E5D00"/>
    <w:rsid w:val="008E5D1A"/>
    <w:rsid w:val="008E5D5A"/>
    <w:rsid w:val="008E5D79"/>
    <w:rsid w:val="008E5D86"/>
    <w:rsid w:val="008E5DCC"/>
    <w:rsid w:val="008E5E5F"/>
    <w:rsid w:val="008E5E8A"/>
    <w:rsid w:val="008E5E94"/>
    <w:rsid w:val="008E5EC4"/>
    <w:rsid w:val="008E5EF0"/>
    <w:rsid w:val="008E5F13"/>
    <w:rsid w:val="008E5F1B"/>
    <w:rsid w:val="008E5F1E"/>
    <w:rsid w:val="008E5F31"/>
    <w:rsid w:val="008E5F54"/>
    <w:rsid w:val="008E5F90"/>
    <w:rsid w:val="008E5F99"/>
    <w:rsid w:val="008E5FA0"/>
    <w:rsid w:val="008E5FE2"/>
    <w:rsid w:val="008E6022"/>
    <w:rsid w:val="008E6043"/>
    <w:rsid w:val="008E6086"/>
    <w:rsid w:val="008E60A8"/>
    <w:rsid w:val="008E6109"/>
    <w:rsid w:val="008E6157"/>
    <w:rsid w:val="008E6186"/>
    <w:rsid w:val="008E61D2"/>
    <w:rsid w:val="008E61E4"/>
    <w:rsid w:val="008E621B"/>
    <w:rsid w:val="008E6227"/>
    <w:rsid w:val="008E6277"/>
    <w:rsid w:val="008E6291"/>
    <w:rsid w:val="008E62AE"/>
    <w:rsid w:val="008E630A"/>
    <w:rsid w:val="008E6314"/>
    <w:rsid w:val="008E632E"/>
    <w:rsid w:val="008E634A"/>
    <w:rsid w:val="008E6392"/>
    <w:rsid w:val="008E6399"/>
    <w:rsid w:val="008E6407"/>
    <w:rsid w:val="008E6440"/>
    <w:rsid w:val="008E6488"/>
    <w:rsid w:val="008E64CD"/>
    <w:rsid w:val="008E64E2"/>
    <w:rsid w:val="008E64F9"/>
    <w:rsid w:val="008E653C"/>
    <w:rsid w:val="008E6558"/>
    <w:rsid w:val="008E65BB"/>
    <w:rsid w:val="008E65C2"/>
    <w:rsid w:val="008E65FF"/>
    <w:rsid w:val="008E6618"/>
    <w:rsid w:val="008E6627"/>
    <w:rsid w:val="008E6637"/>
    <w:rsid w:val="008E665E"/>
    <w:rsid w:val="008E6671"/>
    <w:rsid w:val="008E6753"/>
    <w:rsid w:val="008E67AA"/>
    <w:rsid w:val="008E67C1"/>
    <w:rsid w:val="008E67E0"/>
    <w:rsid w:val="008E67FB"/>
    <w:rsid w:val="008E6855"/>
    <w:rsid w:val="008E6876"/>
    <w:rsid w:val="008E687D"/>
    <w:rsid w:val="008E688D"/>
    <w:rsid w:val="008E689B"/>
    <w:rsid w:val="008E68BB"/>
    <w:rsid w:val="008E68C5"/>
    <w:rsid w:val="008E68D1"/>
    <w:rsid w:val="008E68DB"/>
    <w:rsid w:val="008E68F1"/>
    <w:rsid w:val="008E692B"/>
    <w:rsid w:val="008E6951"/>
    <w:rsid w:val="008E6964"/>
    <w:rsid w:val="008E697C"/>
    <w:rsid w:val="008E6994"/>
    <w:rsid w:val="008E69BC"/>
    <w:rsid w:val="008E69C4"/>
    <w:rsid w:val="008E6A1F"/>
    <w:rsid w:val="008E6A29"/>
    <w:rsid w:val="008E6A2E"/>
    <w:rsid w:val="008E6A5B"/>
    <w:rsid w:val="008E6A5D"/>
    <w:rsid w:val="008E6A80"/>
    <w:rsid w:val="008E6AA2"/>
    <w:rsid w:val="008E6AB7"/>
    <w:rsid w:val="008E6AD2"/>
    <w:rsid w:val="008E6ADF"/>
    <w:rsid w:val="008E6AE6"/>
    <w:rsid w:val="008E6AEA"/>
    <w:rsid w:val="008E6AF7"/>
    <w:rsid w:val="008E6AFD"/>
    <w:rsid w:val="008E6B02"/>
    <w:rsid w:val="008E6B1D"/>
    <w:rsid w:val="008E6B4D"/>
    <w:rsid w:val="008E6BA3"/>
    <w:rsid w:val="008E6BD2"/>
    <w:rsid w:val="008E6BD3"/>
    <w:rsid w:val="008E6C02"/>
    <w:rsid w:val="008E6C0F"/>
    <w:rsid w:val="008E6C2F"/>
    <w:rsid w:val="008E6C94"/>
    <w:rsid w:val="008E6CCF"/>
    <w:rsid w:val="008E6CFE"/>
    <w:rsid w:val="008E6D09"/>
    <w:rsid w:val="008E6D6F"/>
    <w:rsid w:val="008E6D96"/>
    <w:rsid w:val="008E6E1E"/>
    <w:rsid w:val="008E6E3F"/>
    <w:rsid w:val="008E6E64"/>
    <w:rsid w:val="008E6EB4"/>
    <w:rsid w:val="008E6EB7"/>
    <w:rsid w:val="008E6F09"/>
    <w:rsid w:val="008E6F2E"/>
    <w:rsid w:val="008E6FE8"/>
    <w:rsid w:val="008E6FEF"/>
    <w:rsid w:val="008E6FF4"/>
    <w:rsid w:val="008E6FF9"/>
    <w:rsid w:val="008E6FFE"/>
    <w:rsid w:val="008E701C"/>
    <w:rsid w:val="008E703B"/>
    <w:rsid w:val="008E708A"/>
    <w:rsid w:val="008E7095"/>
    <w:rsid w:val="008E709F"/>
    <w:rsid w:val="008E70A1"/>
    <w:rsid w:val="008E70A7"/>
    <w:rsid w:val="008E70B4"/>
    <w:rsid w:val="008E70C9"/>
    <w:rsid w:val="008E70D7"/>
    <w:rsid w:val="008E7114"/>
    <w:rsid w:val="008E7164"/>
    <w:rsid w:val="008E7189"/>
    <w:rsid w:val="008E718B"/>
    <w:rsid w:val="008E71B1"/>
    <w:rsid w:val="008E71E1"/>
    <w:rsid w:val="008E7228"/>
    <w:rsid w:val="008E7234"/>
    <w:rsid w:val="008E725E"/>
    <w:rsid w:val="008E7297"/>
    <w:rsid w:val="008E72FA"/>
    <w:rsid w:val="008E733D"/>
    <w:rsid w:val="008E73B9"/>
    <w:rsid w:val="008E73FA"/>
    <w:rsid w:val="008E7424"/>
    <w:rsid w:val="008E7446"/>
    <w:rsid w:val="008E7451"/>
    <w:rsid w:val="008E7470"/>
    <w:rsid w:val="008E7490"/>
    <w:rsid w:val="008E74B0"/>
    <w:rsid w:val="008E74F8"/>
    <w:rsid w:val="008E751A"/>
    <w:rsid w:val="008E751B"/>
    <w:rsid w:val="008E7529"/>
    <w:rsid w:val="008E7562"/>
    <w:rsid w:val="008E75B3"/>
    <w:rsid w:val="008E761B"/>
    <w:rsid w:val="008E7646"/>
    <w:rsid w:val="008E766F"/>
    <w:rsid w:val="008E7698"/>
    <w:rsid w:val="008E76A9"/>
    <w:rsid w:val="008E76C0"/>
    <w:rsid w:val="008E76C6"/>
    <w:rsid w:val="008E777E"/>
    <w:rsid w:val="008E7790"/>
    <w:rsid w:val="008E7795"/>
    <w:rsid w:val="008E77AF"/>
    <w:rsid w:val="008E77DE"/>
    <w:rsid w:val="008E77E5"/>
    <w:rsid w:val="008E78DA"/>
    <w:rsid w:val="008E792C"/>
    <w:rsid w:val="008E793A"/>
    <w:rsid w:val="008E794D"/>
    <w:rsid w:val="008E797D"/>
    <w:rsid w:val="008E79C2"/>
    <w:rsid w:val="008E79C9"/>
    <w:rsid w:val="008E7A30"/>
    <w:rsid w:val="008E7A64"/>
    <w:rsid w:val="008E7AAA"/>
    <w:rsid w:val="008E7ABF"/>
    <w:rsid w:val="008E7ADE"/>
    <w:rsid w:val="008E7B20"/>
    <w:rsid w:val="008E7B86"/>
    <w:rsid w:val="008E7BAB"/>
    <w:rsid w:val="008E7BBA"/>
    <w:rsid w:val="008E7BC8"/>
    <w:rsid w:val="008E7C10"/>
    <w:rsid w:val="008E7C53"/>
    <w:rsid w:val="008E7D30"/>
    <w:rsid w:val="008E7DB2"/>
    <w:rsid w:val="008E7DCB"/>
    <w:rsid w:val="008E7DD3"/>
    <w:rsid w:val="008E7DE8"/>
    <w:rsid w:val="008E7DEE"/>
    <w:rsid w:val="008E7E0D"/>
    <w:rsid w:val="008E7E27"/>
    <w:rsid w:val="008E7E2A"/>
    <w:rsid w:val="008E7E33"/>
    <w:rsid w:val="008E7E4B"/>
    <w:rsid w:val="008E7E5A"/>
    <w:rsid w:val="008E7E64"/>
    <w:rsid w:val="008E7E72"/>
    <w:rsid w:val="008E7E73"/>
    <w:rsid w:val="008E7E79"/>
    <w:rsid w:val="008E7E89"/>
    <w:rsid w:val="008E7E8D"/>
    <w:rsid w:val="008E7EB6"/>
    <w:rsid w:val="008E7EBA"/>
    <w:rsid w:val="008E7F71"/>
    <w:rsid w:val="008E7FA3"/>
    <w:rsid w:val="008E7FBE"/>
    <w:rsid w:val="008E7FD5"/>
    <w:rsid w:val="008F0050"/>
    <w:rsid w:val="008F007F"/>
    <w:rsid w:val="008F00A0"/>
    <w:rsid w:val="008F0101"/>
    <w:rsid w:val="008F014C"/>
    <w:rsid w:val="008F0169"/>
    <w:rsid w:val="008F0172"/>
    <w:rsid w:val="008F017D"/>
    <w:rsid w:val="008F01F3"/>
    <w:rsid w:val="008F01FB"/>
    <w:rsid w:val="008F0246"/>
    <w:rsid w:val="008F02B6"/>
    <w:rsid w:val="008F02C6"/>
    <w:rsid w:val="008F02D8"/>
    <w:rsid w:val="008F030A"/>
    <w:rsid w:val="008F033D"/>
    <w:rsid w:val="008F034A"/>
    <w:rsid w:val="008F0378"/>
    <w:rsid w:val="008F038D"/>
    <w:rsid w:val="008F03D6"/>
    <w:rsid w:val="008F03ED"/>
    <w:rsid w:val="008F03EF"/>
    <w:rsid w:val="008F0401"/>
    <w:rsid w:val="008F0463"/>
    <w:rsid w:val="008F0482"/>
    <w:rsid w:val="008F048B"/>
    <w:rsid w:val="008F04E9"/>
    <w:rsid w:val="008F055F"/>
    <w:rsid w:val="008F05E1"/>
    <w:rsid w:val="008F05E6"/>
    <w:rsid w:val="008F05EA"/>
    <w:rsid w:val="008F060D"/>
    <w:rsid w:val="008F0659"/>
    <w:rsid w:val="008F067F"/>
    <w:rsid w:val="008F0695"/>
    <w:rsid w:val="008F06EF"/>
    <w:rsid w:val="008F06F1"/>
    <w:rsid w:val="008F06FF"/>
    <w:rsid w:val="008F0705"/>
    <w:rsid w:val="008F074B"/>
    <w:rsid w:val="008F0789"/>
    <w:rsid w:val="008F07BB"/>
    <w:rsid w:val="008F07BE"/>
    <w:rsid w:val="008F08AA"/>
    <w:rsid w:val="008F0910"/>
    <w:rsid w:val="008F0911"/>
    <w:rsid w:val="008F0919"/>
    <w:rsid w:val="008F092A"/>
    <w:rsid w:val="008F095B"/>
    <w:rsid w:val="008F0970"/>
    <w:rsid w:val="008F09BB"/>
    <w:rsid w:val="008F09C4"/>
    <w:rsid w:val="008F09DF"/>
    <w:rsid w:val="008F0A0F"/>
    <w:rsid w:val="008F0A30"/>
    <w:rsid w:val="008F0B0B"/>
    <w:rsid w:val="008F0B19"/>
    <w:rsid w:val="008F0B3B"/>
    <w:rsid w:val="008F0B9F"/>
    <w:rsid w:val="008F0BA9"/>
    <w:rsid w:val="008F0BBA"/>
    <w:rsid w:val="008F0CA5"/>
    <w:rsid w:val="008F0CA6"/>
    <w:rsid w:val="008F0CDA"/>
    <w:rsid w:val="008F0D16"/>
    <w:rsid w:val="008F0D62"/>
    <w:rsid w:val="008F0D98"/>
    <w:rsid w:val="008F0D9D"/>
    <w:rsid w:val="008F0DBC"/>
    <w:rsid w:val="008F0DD1"/>
    <w:rsid w:val="008F0DF9"/>
    <w:rsid w:val="008F0E1C"/>
    <w:rsid w:val="008F0E34"/>
    <w:rsid w:val="008F0EA0"/>
    <w:rsid w:val="008F0FA5"/>
    <w:rsid w:val="008F103A"/>
    <w:rsid w:val="008F1079"/>
    <w:rsid w:val="008F10A3"/>
    <w:rsid w:val="008F10BB"/>
    <w:rsid w:val="008F1151"/>
    <w:rsid w:val="008F116C"/>
    <w:rsid w:val="008F11A5"/>
    <w:rsid w:val="008F11CB"/>
    <w:rsid w:val="008F11D2"/>
    <w:rsid w:val="008F11E0"/>
    <w:rsid w:val="008F1201"/>
    <w:rsid w:val="008F124E"/>
    <w:rsid w:val="008F126D"/>
    <w:rsid w:val="008F1330"/>
    <w:rsid w:val="008F13F1"/>
    <w:rsid w:val="008F1432"/>
    <w:rsid w:val="008F146E"/>
    <w:rsid w:val="008F1485"/>
    <w:rsid w:val="008F14F5"/>
    <w:rsid w:val="008F1511"/>
    <w:rsid w:val="008F1533"/>
    <w:rsid w:val="008F1574"/>
    <w:rsid w:val="008F1596"/>
    <w:rsid w:val="008F15DB"/>
    <w:rsid w:val="008F1608"/>
    <w:rsid w:val="008F164D"/>
    <w:rsid w:val="008F1684"/>
    <w:rsid w:val="008F16DB"/>
    <w:rsid w:val="008F16FE"/>
    <w:rsid w:val="008F170F"/>
    <w:rsid w:val="008F1722"/>
    <w:rsid w:val="008F179F"/>
    <w:rsid w:val="008F17E9"/>
    <w:rsid w:val="008F1806"/>
    <w:rsid w:val="008F1811"/>
    <w:rsid w:val="008F182A"/>
    <w:rsid w:val="008F1838"/>
    <w:rsid w:val="008F185A"/>
    <w:rsid w:val="008F188F"/>
    <w:rsid w:val="008F189C"/>
    <w:rsid w:val="008F18D7"/>
    <w:rsid w:val="008F18F3"/>
    <w:rsid w:val="008F192E"/>
    <w:rsid w:val="008F1944"/>
    <w:rsid w:val="008F1957"/>
    <w:rsid w:val="008F196C"/>
    <w:rsid w:val="008F197C"/>
    <w:rsid w:val="008F1992"/>
    <w:rsid w:val="008F1A07"/>
    <w:rsid w:val="008F1AA7"/>
    <w:rsid w:val="008F1AAC"/>
    <w:rsid w:val="008F1ACF"/>
    <w:rsid w:val="008F1B55"/>
    <w:rsid w:val="008F1B81"/>
    <w:rsid w:val="008F1BBA"/>
    <w:rsid w:val="008F1BCB"/>
    <w:rsid w:val="008F1C30"/>
    <w:rsid w:val="008F1C69"/>
    <w:rsid w:val="008F1C7F"/>
    <w:rsid w:val="008F1CAD"/>
    <w:rsid w:val="008F1CC6"/>
    <w:rsid w:val="008F1CD0"/>
    <w:rsid w:val="008F1CFA"/>
    <w:rsid w:val="008F1CFF"/>
    <w:rsid w:val="008F1D03"/>
    <w:rsid w:val="008F1D2A"/>
    <w:rsid w:val="008F1D34"/>
    <w:rsid w:val="008F1D68"/>
    <w:rsid w:val="008F1D7B"/>
    <w:rsid w:val="008F1D86"/>
    <w:rsid w:val="008F1DA1"/>
    <w:rsid w:val="008F1E4B"/>
    <w:rsid w:val="008F1E63"/>
    <w:rsid w:val="008F1E7E"/>
    <w:rsid w:val="008F1EA9"/>
    <w:rsid w:val="008F1EAC"/>
    <w:rsid w:val="008F1EC6"/>
    <w:rsid w:val="008F1EFB"/>
    <w:rsid w:val="008F1EFF"/>
    <w:rsid w:val="008F1F2D"/>
    <w:rsid w:val="008F1F43"/>
    <w:rsid w:val="008F1F80"/>
    <w:rsid w:val="008F1FD6"/>
    <w:rsid w:val="008F1FE9"/>
    <w:rsid w:val="008F207C"/>
    <w:rsid w:val="008F2090"/>
    <w:rsid w:val="008F20B0"/>
    <w:rsid w:val="008F20CD"/>
    <w:rsid w:val="008F20F2"/>
    <w:rsid w:val="008F210F"/>
    <w:rsid w:val="008F2150"/>
    <w:rsid w:val="008F217B"/>
    <w:rsid w:val="008F21F5"/>
    <w:rsid w:val="008F21F7"/>
    <w:rsid w:val="008F223C"/>
    <w:rsid w:val="008F224B"/>
    <w:rsid w:val="008F224D"/>
    <w:rsid w:val="008F2268"/>
    <w:rsid w:val="008F226E"/>
    <w:rsid w:val="008F22E0"/>
    <w:rsid w:val="008F2339"/>
    <w:rsid w:val="008F234A"/>
    <w:rsid w:val="008F236A"/>
    <w:rsid w:val="008F23AE"/>
    <w:rsid w:val="008F23C4"/>
    <w:rsid w:val="008F2407"/>
    <w:rsid w:val="008F2432"/>
    <w:rsid w:val="008F2502"/>
    <w:rsid w:val="008F250A"/>
    <w:rsid w:val="008F252A"/>
    <w:rsid w:val="008F25A6"/>
    <w:rsid w:val="008F25C3"/>
    <w:rsid w:val="008F25C8"/>
    <w:rsid w:val="008F269F"/>
    <w:rsid w:val="008F26AB"/>
    <w:rsid w:val="008F26D2"/>
    <w:rsid w:val="008F26E3"/>
    <w:rsid w:val="008F2724"/>
    <w:rsid w:val="008F277A"/>
    <w:rsid w:val="008F27B8"/>
    <w:rsid w:val="008F27EB"/>
    <w:rsid w:val="008F27F1"/>
    <w:rsid w:val="008F27F2"/>
    <w:rsid w:val="008F2829"/>
    <w:rsid w:val="008F282C"/>
    <w:rsid w:val="008F28AD"/>
    <w:rsid w:val="008F28FD"/>
    <w:rsid w:val="008F293A"/>
    <w:rsid w:val="008F294D"/>
    <w:rsid w:val="008F2962"/>
    <w:rsid w:val="008F2991"/>
    <w:rsid w:val="008F29A2"/>
    <w:rsid w:val="008F29D9"/>
    <w:rsid w:val="008F2A08"/>
    <w:rsid w:val="008F2A80"/>
    <w:rsid w:val="008F2AE9"/>
    <w:rsid w:val="008F2B13"/>
    <w:rsid w:val="008F2B17"/>
    <w:rsid w:val="008F2B58"/>
    <w:rsid w:val="008F2B6E"/>
    <w:rsid w:val="008F2B85"/>
    <w:rsid w:val="008F2BA4"/>
    <w:rsid w:val="008F2BC6"/>
    <w:rsid w:val="008F2C0E"/>
    <w:rsid w:val="008F2CF9"/>
    <w:rsid w:val="008F2D2F"/>
    <w:rsid w:val="008F2D7F"/>
    <w:rsid w:val="008F2D91"/>
    <w:rsid w:val="008F2DB3"/>
    <w:rsid w:val="008F2DF2"/>
    <w:rsid w:val="008F2DFD"/>
    <w:rsid w:val="008F2E59"/>
    <w:rsid w:val="008F2EBE"/>
    <w:rsid w:val="008F2EF6"/>
    <w:rsid w:val="008F2F03"/>
    <w:rsid w:val="008F2F14"/>
    <w:rsid w:val="008F2F57"/>
    <w:rsid w:val="008F2F5E"/>
    <w:rsid w:val="008F2F61"/>
    <w:rsid w:val="008F2F85"/>
    <w:rsid w:val="008F2FE8"/>
    <w:rsid w:val="008F3030"/>
    <w:rsid w:val="008F3032"/>
    <w:rsid w:val="008F3040"/>
    <w:rsid w:val="008F305B"/>
    <w:rsid w:val="008F3097"/>
    <w:rsid w:val="008F314D"/>
    <w:rsid w:val="008F3152"/>
    <w:rsid w:val="008F3167"/>
    <w:rsid w:val="008F31EE"/>
    <w:rsid w:val="008F3211"/>
    <w:rsid w:val="008F3212"/>
    <w:rsid w:val="008F3240"/>
    <w:rsid w:val="008F326A"/>
    <w:rsid w:val="008F32F8"/>
    <w:rsid w:val="008F3392"/>
    <w:rsid w:val="008F33D3"/>
    <w:rsid w:val="008F3416"/>
    <w:rsid w:val="008F344B"/>
    <w:rsid w:val="008F346C"/>
    <w:rsid w:val="008F346F"/>
    <w:rsid w:val="008F34A1"/>
    <w:rsid w:val="008F34AC"/>
    <w:rsid w:val="008F34CF"/>
    <w:rsid w:val="008F34DC"/>
    <w:rsid w:val="008F34F4"/>
    <w:rsid w:val="008F3510"/>
    <w:rsid w:val="008F3575"/>
    <w:rsid w:val="008F35B3"/>
    <w:rsid w:val="008F35BA"/>
    <w:rsid w:val="008F35C1"/>
    <w:rsid w:val="008F35D6"/>
    <w:rsid w:val="008F360E"/>
    <w:rsid w:val="008F360F"/>
    <w:rsid w:val="008F36A3"/>
    <w:rsid w:val="008F36C5"/>
    <w:rsid w:val="008F36E3"/>
    <w:rsid w:val="008F36ED"/>
    <w:rsid w:val="008F3711"/>
    <w:rsid w:val="008F3732"/>
    <w:rsid w:val="008F3788"/>
    <w:rsid w:val="008F3798"/>
    <w:rsid w:val="008F37B7"/>
    <w:rsid w:val="008F37CB"/>
    <w:rsid w:val="008F383E"/>
    <w:rsid w:val="008F389F"/>
    <w:rsid w:val="008F38B5"/>
    <w:rsid w:val="008F39B9"/>
    <w:rsid w:val="008F3A95"/>
    <w:rsid w:val="008F3AE3"/>
    <w:rsid w:val="008F3B3A"/>
    <w:rsid w:val="008F3B48"/>
    <w:rsid w:val="008F3B49"/>
    <w:rsid w:val="008F3B62"/>
    <w:rsid w:val="008F3B78"/>
    <w:rsid w:val="008F3B8C"/>
    <w:rsid w:val="008F3BD8"/>
    <w:rsid w:val="008F3BEC"/>
    <w:rsid w:val="008F3C1D"/>
    <w:rsid w:val="008F3C90"/>
    <w:rsid w:val="008F3CDE"/>
    <w:rsid w:val="008F3CE0"/>
    <w:rsid w:val="008F3CEB"/>
    <w:rsid w:val="008F3D09"/>
    <w:rsid w:val="008F3D0C"/>
    <w:rsid w:val="008F3D26"/>
    <w:rsid w:val="008F3D78"/>
    <w:rsid w:val="008F3D9A"/>
    <w:rsid w:val="008F3DF4"/>
    <w:rsid w:val="008F3E30"/>
    <w:rsid w:val="008F3E42"/>
    <w:rsid w:val="008F3E6F"/>
    <w:rsid w:val="008F3E9F"/>
    <w:rsid w:val="008F3EF3"/>
    <w:rsid w:val="008F3EFB"/>
    <w:rsid w:val="008F3F4E"/>
    <w:rsid w:val="008F3F97"/>
    <w:rsid w:val="008F4012"/>
    <w:rsid w:val="008F401E"/>
    <w:rsid w:val="008F4076"/>
    <w:rsid w:val="008F4078"/>
    <w:rsid w:val="008F40AF"/>
    <w:rsid w:val="008F40F4"/>
    <w:rsid w:val="008F41BF"/>
    <w:rsid w:val="008F41EA"/>
    <w:rsid w:val="008F4205"/>
    <w:rsid w:val="008F420A"/>
    <w:rsid w:val="008F421D"/>
    <w:rsid w:val="008F4244"/>
    <w:rsid w:val="008F42E5"/>
    <w:rsid w:val="008F4304"/>
    <w:rsid w:val="008F431C"/>
    <w:rsid w:val="008F4322"/>
    <w:rsid w:val="008F435E"/>
    <w:rsid w:val="008F43DB"/>
    <w:rsid w:val="008F43E9"/>
    <w:rsid w:val="008F4411"/>
    <w:rsid w:val="008F444A"/>
    <w:rsid w:val="008F448B"/>
    <w:rsid w:val="008F44A9"/>
    <w:rsid w:val="008F4534"/>
    <w:rsid w:val="008F4552"/>
    <w:rsid w:val="008F4553"/>
    <w:rsid w:val="008F4555"/>
    <w:rsid w:val="008F455E"/>
    <w:rsid w:val="008F456F"/>
    <w:rsid w:val="008F4577"/>
    <w:rsid w:val="008F4596"/>
    <w:rsid w:val="008F45AB"/>
    <w:rsid w:val="008F45B7"/>
    <w:rsid w:val="008F45BE"/>
    <w:rsid w:val="008F45C7"/>
    <w:rsid w:val="008F45FD"/>
    <w:rsid w:val="008F4608"/>
    <w:rsid w:val="008F463D"/>
    <w:rsid w:val="008F46C7"/>
    <w:rsid w:val="008F4703"/>
    <w:rsid w:val="008F471A"/>
    <w:rsid w:val="008F4730"/>
    <w:rsid w:val="008F4757"/>
    <w:rsid w:val="008F47B5"/>
    <w:rsid w:val="008F47D2"/>
    <w:rsid w:val="008F47D4"/>
    <w:rsid w:val="008F47E4"/>
    <w:rsid w:val="008F4804"/>
    <w:rsid w:val="008F4808"/>
    <w:rsid w:val="008F4838"/>
    <w:rsid w:val="008F4894"/>
    <w:rsid w:val="008F48A4"/>
    <w:rsid w:val="008F48C2"/>
    <w:rsid w:val="008F48C5"/>
    <w:rsid w:val="008F48CD"/>
    <w:rsid w:val="008F48FD"/>
    <w:rsid w:val="008F4920"/>
    <w:rsid w:val="008F4977"/>
    <w:rsid w:val="008F4994"/>
    <w:rsid w:val="008F49B5"/>
    <w:rsid w:val="008F49CE"/>
    <w:rsid w:val="008F4A33"/>
    <w:rsid w:val="008F4A46"/>
    <w:rsid w:val="008F4A92"/>
    <w:rsid w:val="008F4A9F"/>
    <w:rsid w:val="008F4B2B"/>
    <w:rsid w:val="008F4B48"/>
    <w:rsid w:val="008F4B68"/>
    <w:rsid w:val="008F4B81"/>
    <w:rsid w:val="008F4B91"/>
    <w:rsid w:val="008F4CB6"/>
    <w:rsid w:val="008F4CC5"/>
    <w:rsid w:val="008F4CC9"/>
    <w:rsid w:val="008F4CDE"/>
    <w:rsid w:val="008F4D2D"/>
    <w:rsid w:val="008F4D3A"/>
    <w:rsid w:val="008F4D73"/>
    <w:rsid w:val="008F4D79"/>
    <w:rsid w:val="008F4D86"/>
    <w:rsid w:val="008F4D9F"/>
    <w:rsid w:val="008F4DC4"/>
    <w:rsid w:val="008F4DD3"/>
    <w:rsid w:val="008F4DD4"/>
    <w:rsid w:val="008F4DE1"/>
    <w:rsid w:val="008F4DF8"/>
    <w:rsid w:val="008F4DFA"/>
    <w:rsid w:val="008F4DFD"/>
    <w:rsid w:val="008F4E3D"/>
    <w:rsid w:val="008F4E42"/>
    <w:rsid w:val="008F4E97"/>
    <w:rsid w:val="008F4EF8"/>
    <w:rsid w:val="008F4EFA"/>
    <w:rsid w:val="008F4F17"/>
    <w:rsid w:val="008F4F27"/>
    <w:rsid w:val="008F4F68"/>
    <w:rsid w:val="008F4FAE"/>
    <w:rsid w:val="008F4FB3"/>
    <w:rsid w:val="008F4FBA"/>
    <w:rsid w:val="008F4FE9"/>
    <w:rsid w:val="008F4FEF"/>
    <w:rsid w:val="008F5029"/>
    <w:rsid w:val="008F502B"/>
    <w:rsid w:val="008F506F"/>
    <w:rsid w:val="008F508F"/>
    <w:rsid w:val="008F50B6"/>
    <w:rsid w:val="008F512C"/>
    <w:rsid w:val="008F5134"/>
    <w:rsid w:val="008F515A"/>
    <w:rsid w:val="008F51FA"/>
    <w:rsid w:val="008F5210"/>
    <w:rsid w:val="008F5229"/>
    <w:rsid w:val="008F522C"/>
    <w:rsid w:val="008F5299"/>
    <w:rsid w:val="008F52B7"/>
    <w:rsid w:val="008F5315"/>
    <w:rsid w:val="008F537D"/>
    <w:rsid w:val="008F5399"/>
    <w:rsid w:val="008F53AF"/>
    <w:rsid w:val="008F541F"/>
    <w:rsid w:val="008F547E"/>
    <w:rsid w:val="008F54B6"/>
    <w:rsid w:val="008F54D9"/>
    <w:rsid w:val="008F5501"/>
    <w:rsid w:val="008F5548"/>
    <w:rsid w:val="008F5551"/>
    <w:rsid w:val="008F5558"/>
    <w:rsid w:val="008F55A9"/>
    <w:rsid w:val="008F55CF"/>
    <w:rsid w:val="008F55F0"/>
    <w:rsid w:val="008F5615"/>
    <w:rsid w:val="008F5633"/>
    <w:rsid w:val="008F5639"/>
    <w:rsid w:val="008F564A"/>
    <w:rsid w:val="008F5669"/>
    <w:rsid w:val="008F566C"/>
    <w:rsid w:val="008F56C7"/>
    <w:rsid w:val="008F56D5"/>
    <w:rsid w:val="008F56ED"/>
    <w:rsid w:val="008F5704"/>
    <w:rsid w:val="008F5723"/>
    <w:rsid w:val="008F5737"/>
    <w:rsid w:val="008F5753"/>
    <w:rsid w:val="008F575A"/>
    <w:rsid w:val="008F5811"/>
    <w:rsid w:val="008F5824"/>
    <w:rsid w:val="008F5833"/>
    <w:rsid w:val="008F5864"/>
    <w:rsid w:val="008F5873"/>
    <w:rsid w:val="008F58A7"/>
    <w:rsid w:val="008F58BD"/>
    <w:rsid w:val="008F58CC"/>
    <w:rsid w:val="008F5A36"/>
    <w:rsid w:val="008F5A72"/>
    <w:rsid w:val="008F5A95"/>
    <w:rsid w:val="008F5AD8"/>
    <w:rsid w:val="008F5AE6"/>
    <w:rsid w:val="008F5AF0"/>
    <w:rsid w:val="008F5B36"/>
    <w:rsid w:val="008F5B49"/>
    <w:rsid w:val="008F5B68"/>
    <w:rsid w:val="008F5B70"/>
    <w:rsid w:val="008F5B71"/>
    <w:rsid w:val="008F5B77"/>
    <w:rsid w:val="008F5BF4"/>
    <w:rsid w:val="008F5C06"/>
    <w:rsid w:val="008F5C18"/>
    <w:rsid w:val="008F5C4D"/>
    <w:rsid w:val="008F5C66"/>
    <w:rsid w:val="008F5C75"/>
    <w:rsid w:val="008F5C85"/>
    <w:rsid w:val="008F5CA8"/>
    <w:rsid w:val="008F5CFB"/>
    <w:rsid w:val="008F5D0D"/>
    <w:rsid w:val="008F5D12"/>
    <w:rsid w:val="008F5D26"/>
    <w:rsid w:val="008F5D5A"/>
    <w:rsid w:val="008F5DA8"/>
    <w:rsid w:val="008F5DCA"/>
    <w:rsid w:val="008F5DE3"/>
    <w:rsid w:val="008F5DEF"/>
    <w:rsid w:val="008F5DF2"/>
    <w:rsid w:val="008F5E07"/>
    <w:rsid w:val="008F5E20"/>
    <w:rsid w:val="008F5E22"/>
    <w:rsid w:val="008F5E2D"/>
    <w:rsid w:val="008F5E4C"/>
    <w:rsid w:val="008F5E57"/>
    <w:rsid w:val="008F5E5C"/>
    <w:rsid w:val="008F5E65"/>
    <w:rsid w:val="008F5E82"/>
    <w:rsid w:val="008F5EA2"/>
    <w:rsid w:val="008F5EC8"/>
    <w:rsid w:val="008F5EDB"/>
    <w:rsid w:val="008F5F21"/>
    <w:rsid w:val="008F5F54"/>
    <w:rsid w:val="008F5F66"/>
    <w:rsid w:val="008F5F69"/>
    <w:rsid w:val="008F5F84"/>
    <w:rsid w:val="008F5F8E"/>
    <w:rsid w:val="008F5F98"/>
    <w:rsid w:val="008F5FC1"/>
    <w:rsid w:val="008F5FE0"/>
    <w:rsid w:val="008F5FEA"/>
    <w:rsid w:val="008F6019"/>
    <w:rsid w:val="008F6044"/>
    <w:rsid w:val="008F604D"/>
    <w:rsid w:val="008F6090"/>
    <w:rsid w:val="008F60DC"/>
    <w:rsid w:val="008F6132"/>
    <w:rsid w:val="008F6139"/>
    <w:rsid w:val="008F6158"/>
    <w:rsid w:val="008F61AC"/>
    <w:rsid w:val="008F61F9"/>
    <w:rsid w:val="008F61FF"/>
    <w:rsid w:val="008F6248"/>
    <w:rsid w:val="008F62FB"/>
    <w:rsid w:val="008F6311"/>
    <w:rsid w:val="008F6313"/>
    <w:rsid w:val="008F6365"/>
    <w:rsid w:val="008F6402"/>
    <w:rsid w:val="008F640D"/>
    <w:rsid w:val="008F642B"/>
    <w:rsid w:val="008F645B"/>
    <w:rsid w:val="008F6473"/>
    <w:rsid w:val="008F647D"/>
    <w:rsid w:val="008F6480"/>
    <w:rsid w:val="008F649B"/>
    <w:rsid w:val="008F64D8"/>
    <w:rsid w:val="008F650C"/>
    <w:rsid w:val="008F65A9"/>
    <w:rsid w:val="008F65CB"/>
    <w:rsid w:val="008F65EE"/>
    <w:rsid w:val="008F6615"/>
    <w:rsid w:val="008F6629"/>
    <w:rsid w:val="008F664C"/>
    <w:rsid w:val="008F669D"/>
    <w:rsid w:val="008F66A1"/>
    <w:rsid w:val="008F66AF"/>
    <w:rsid w:val="008F66EE"/>
    <w:rsid w:val="008F66F2"/>
    <w:rsid w:val="008F673B"/>
    <w:rsid w:val="008F6849"/>
    <w:rsid w:val="008F6866"/>
    <w:rsid w:val="008F68C8"/>
    <w:rsid w:val="008F68CD"/>
    <w:rsid w:val="008F68D1"/>
    <w:rsid w:val="008F6902"/>
    <w:rsid w:val="008F690C"/>
    <w:rsid w:val="008F694E"/>
    <w:rsid w:val="008F6966"/>
    <w:rsid w:val="008F69CF"/>
    <w:rsid w:val="008F6A0D"/>
    <w:rsid w:val="008F6A48"/>
    <w:rsid w:val="008F6B03"/>
    <w:rsid w:val="008F6B41"/>
    <w:rsid w:val="008F6B6F"/>
    <w:rsid w:val="008F6B9D"/>
    <w:rsid w:val="008F6BCB"/>
    <w:rsid w:val="008F6BD4"/>
    <w:rsid w:val="008F6C60"/>
    <w:rsid w:val="008F6C92"/>
    <w:rsid w:val="008F6D12"/>
    <w:rsid w:val="008F6D4E"/>
    <w:rsid w:val="008F6D86"/>
    <w:rsid w:val="008F6E3A"/>
    <w:rsid w:val="008F6E83"/>
    <w:rsid w:val="008F6E9E"/>
    <w:rsid w:val="008F6EEB"/>
    <w:rsid w:val="008F6F01"/>
    <w:rsid w:val="008F6F03"/>
    <w:rsid w:val="008F6F7A"/>
    <w:rsid w:val="008F6FB0"/>
    <w:rsid w:val="008F6FCF"/>
    <w:rsid w:val="008F6FD9"/>
    <w:rsid w:val="008F6FEF"/>
    <w:rsid w:val="008F700F"/>
    <w:rsid w:val="008F7020"/>
    <w:rsid w:val="008F702A"/>
    <w:rsid w:val="008F7098"/>
    <w:rsid w:val="008F70D2"/>
    <w:rsid w:val="008F70DD"/>
    <w:rsid w:val="008F7110"/>
    <w:rsid w:val="008F711E"/>
    <w:rsid w:val="008F713F"/>
    <w:rsid w:val="008F718F"/>
    <w:rsid w:val="008F71C9"/>
    <w:rsid w:val="008F71D7"/>
    <w:rsid w:val="008F7200"/>
    <w:rsid w:val="008F7201"/>
    <w:rsid w:val="008F722C"/>
    <w:rsid w:val="008F723F"/>
    <w:rsid w:val="008F728C"/>
    <w:rsid w:val="008F72C1"/>
    <w:rsid w:val="008F72CF"/>
    <w:rsid w:val="008F7390"/>
    <w:rsid w:val="008F742F"/>
    <w:rsid w:val="008F747E"/>
    <w:rsid w:val="008F7488"/>
    <w:rsid w:val="008F749D"/>
    <w:rsid w:val="008F74A3"/>
    <w:rsid w:val="008F74F0"/>
    <w:rsid w:val="008F7518"/>
    <w:rsid w:val="008F751F"/>
    <w:rsid w:val="008F75E7"/>
    <w:rsid w:val="008F7641"/>
    <w:rsid w:val="008F764D"/>
    <w:rsid w:val="008F768B"/>
    <w:rsid w:val="008F7693"/>
    <w:rsid w:val="008F76AA"/>
    <w:rsid w:val="008F770B"/>
    <w:rsid w:val="008F770E"/>
    <w:rsid w:val="008F7730"/>
    <w:rsid w:val="008F7747"/>
    <w:rsid w:val="008F7749"/>
    <w:rsid w:val="008F7751"/>
    <w:rsid w:val="008F77B6"/>
    <w:rsid w:val="008F77DB"/>
    <w:rsid w:val="008F77DE"/>
    <w:rsid w:val="008F7825"/>
    <w:rsid w:val="008F7832"/>
    <w:rsid w:val="008F78C6"/>
    <w:rsid w:val="008F78D4"/>
    <w:rsid w:val="008F78E8"/>
    <w:rsid w:val="008F7904"/>
    <w:rsid w:val="008F7912"/>
    <w:rsid w:val="008F79AF"/>
    <w:rsid w:val="008F7A55"/>
    <w:rsid w:val="008F7A65"/>
    <w:rsid w:val="008F7A97"/>
    <w:rsid w:val="008F7B04"/>
    <w:rsid w:val="008F7B23"/>
    <w:rsid w:val="008F7B9E"/>
    <w:rsid w:val="008F7BB7"/>
    <w:rsid w:val="008F7BEA"/>
    <w:rsid w:val="008F7C67"/>
    <w:rsid w:val="008F7C6A"/>
    <w:rsid w:val="008F7C9F"/>
    <w:rsid w:val="008F7CB6"/>
    <w:rsid w:val="008F7D6F"/>
    <w:rsid w:val="008F7D82"/>
    <w:rsid w:val="008F7D88"/>
    <w:rsid w:val="008F7D99"/>
    <w:rsid w:val="008F7DFA"/>
    <w:rsid w:val="008F7E3F"/>
    <w:rsid w:val="008F7E4E"/>
    <w:rsid w:val="008F7E79"/>
    <w:rsid w:val="008F7EA8"/>
    <w:rsid w:val="008F7F14"/>
    <w:rsid w:val="008F7F3A"/>
    <w:rsid w:val="008F7F79"/>
    <w:rsid w:val="008F7F99"/>
    <w:rsid w:val="008F7FC7"/>
    <w:rsid w:val="0090001C"/>
    <w:rsid w:val="00900034"/>
    <w:rsid w:val="00900065"/>
    <w:rsid w:val="00900077"/>
    <w:rsid w:val="0090008C"/>
    <w:rsid w:val="009000C7"/>
    <w:rsid w:val="009000CA"/>
    <w:rsid w:val="009000D3"/>
    <w:rsid w:val="00900128"/>
    <w:rsid w:val="00900163"/>
    <w:rsid w:val="0090017F"/>
    <w:rsid w:val="00900183"/>
    <w:rsid w:val="00900195"/>
    <w:rsid w:val="009001A7"/>
    <w:rsid w:val="009001AA"/>
    <w:rsid w:val="009001D8"/>
    <w:rsid w:val="009001ED"/>
    <w:rsid w:val="0090023E"/>
    <w:rsid w:val="00900245"/>
    <w:rsid w:val="0090029F"/>
    <w:rsid w:val="009002AD"/>
    <w:rsid w:val="009002E8"/>
    <w:rsid w:val="00900313"/>
    <w:rsid w:val="0090034F"/>
    <w:rsid w:val="00900361"/>
    <w:rsid w:val="00900389"/>
    <w:rsid w:val="00900392"/>
    <w:rsid w:val="009003B8"/>
    <w:rsid w:val="009003D3"/>
    <w:rsid w:val="009003EF"/>
    <w:rsid w:val="0090041C"/>
    <w:rsid w:val="00900450"/>
    <w:rsid w:val="00900459"/>
    <w:rsid w:val="009004AC"/>
    <w:rsid w:val="009004EE"/>
    <w:rsid w:val="009004F2"/>
    <w:rsid w:val="00900531"/>
    <w:rsid w:val="0090053C"/>
    <w:rsid w:val="0090055A"/>
    <w:rsid w:val="009005A2"/>
    <w:rsid w:val="009005D4"/>
    <w:rsid w:val="009005F7"/>
    <w:rsid w:val="009005F9"/>
    <w:rsid w:val="00900659"/>
    <w:rsid w:val="00900681"/>
    <w:rsid w:val="009006C5"/>
    <w:rsid w:val="009006E1"/>
    <w:rsid w:val="00900718"/>
    <w:rsid w:val="0090075F"/>
    <w:rsid w:val="0090078D"/>
    <w:rsid w:val="009007C7"/>
    <w:rsid w:val="009007CB"/>
    <w:rsid w:val="009007E2"/>
    <w:rsid w:val="009007E4"/>
    <w:rsid w:val="009007ED"/>
    <w:rsid w:val="0090086C"/>
    <w:rsid w:val="00900915"/>
    <w:rsid w:val="0090092E"/>
    <w:rsid w:val="00900950"/>
    <w:rsid w:val="0090099E"/>
    <w:rsid w:val="009009C7"/>
    <w:rsid w:val="009009FF"/>
    <w:rsid w:val="00900A0C"/>
    <w:rsid w:val="00900A35"/>
    <w:rsid w:val="00900A89"/>
    <w:rsid w:val="00900AA5"/>
    <w:rsid w:val="00900AAB"/>
    <w:rsid w:val="00900ACC"/>
    <w:rsid w:val="00900AFC"/>
    <w:rsid w:val="00900B19"/>
    <w:rsid w:val="00900B68"/>
    <w:rsid w:val="00900B6E"/>
    <w:rsid w:val="00900B7B"/>
    <w:rsid w:val="00900C05"/>
    <w:rsid w:val="00900C2A"/>
    <w:rsid w:val="00900C34"/>
    <w:rsid w:val="00900C45"/>
    <w:rsid w:val="00900C94"/>
    <w:rsid w:val="00900CC7"/>
    <w:rsid w:val="00900CF0"/>
    <w:rsid w:val="00900DAB"/>
    <w:rsid w:val="00900DF0"/>
    <w:rsid w:val="00900E3B"/>
    <w:rsid w:val="00900E5C"/>
    <w:rsid w:val="00900EFF"/>
    <w:rsid w:val="00900F46"/>
    <w:rsid w:val="00900F73"/>
    <w:rsid w:val="00900F78"/>
    <w:rsid w:val="00900FE3"/>
    <w:rsid w:val="0090104D"/>
    <w:rsid w:val="009010B5"/>
    <w:rsid w:val="00901122"/>
    <w:rsid w:val="00901162"/>
    <w:rsid w:val="0090119C"/>
    <w:rsid w:val="009011AF"/>
    <w:rsid w:val="009011D2"/>
    <w:rsid w:val="009011D5"/>
    <w:rsid w:val="009011F2"/>
    <w:rsid w:val="0090124D"/>
    <w:rsid w:val="00901252"/>
    <w:rsid w:val="009012A3"/>
    <w:rsid w:val="009012A8"/>
    <w:rsid w:val="009012ED"/>
    <w:rsid w:val="0090134C"/>
    <w:rsid w:val="00901375"/>
    <w:rsid w:val="00901409"/>
    <w:rsid w:val="0090140C"/>
    <w:rsid w:val="0090141E"/>
    <w:rsid w:val="00901436"/>
    <w:rsid w:val="0090143C"/>
    <w:rsid w:val="009014A1"/>
    <w:rsid w:val="009014E5"/>
    <w:rsid w:val="00901533"/>
    <w:rsid w:val="0090153F"/>
    <w:rsid w:val="0090154E"/>
    <w:rsid w:val="00901567"/>
    <w:rsid w:val="009015A7"/>
    <w:rsid w:val="009015B0"/>
    <w:rsid w:val="009015B1"/>
    <w:rsid w:val="0090161A"/>
    <w:rsid w:val="00901625"/>
    <w:rsid w:val="0090166B"/>
    <w:rsid w:val="009016B4"/>
    <w:rsid w:val="009016D7"/>
    <w:rsid w:val="00901720"/>
    <w:rsid w:val="0090176A"/>
    <w:rsid w:val="00901790"/>
    <w:rsid w:val="009017D3"/>
    <w:rsid w:val="009017EC"/>
    <w:rsid w:val="009017ED"/>
    <w:rsid w:val="00901802"/>
    <w:rsid w:val="0090180C"/>
    <w:rsid w:val="00901875"/>
    <w:rsid w:val="00901880"/>
    <w:rsid w:val="009018DE"/>
    <w:rsid w:val="009018F9"/>
    <w:rsid w:val="00901906"/>
    <w:rsid w:val="00901937"/>
    <w:rsid w:val="00901976"/>
    <w:rsid w:val="009019A6"/>
    <w:rsid w:val="00901A0D"/>
    <w:rsid w:val="00901A1E"/>
    <w:rsid w:val="00901A38"/>
    <w:rsid w:val="00901A44"/>
    <w:rsid w:val="00901A62"/>
    <w:rsid w:val="00901AB5"/>
    <w:rsid w:val="00901AD1"/>
    <w:rsid w:val="00901B29"/>
    <w:rsid w:val="00901B37"/>
    <w:rsid w:val="00901B50"/>
    <w:rsid w:val="00901B93"/>
    <w:rsid w:val="00901B9B"/>
    <w:rsid w:val="00901BAC"/>
    <w:rsid w:val="00901BB5"/>
    <w:rsid w:val="00901BED"/>
    <w:rsid w:val="00901C2F"/>
    <w:rsid w:val="00901C36"/>
    <w:rsid w:val="00901C5F"/>
    <w:rsid w:val="00901C75"/>
    <w:rsid w:val="00901C7F"/>
    <w:rsid w:val="00901CAF"/>
    <w:rsid w:val="00901D0E"/>
    <w:rsid w:val="00901D1A"/>
    <w:rsid w:val="00901D22"/>
    <w:rsid w:val="00901D39"/>
    <w:rsid w:val="00901D42"/>
    <w:rsid w:val="00901D9D"/>
    <w:rsid w:val="00901DB3"/>
    <w:rsid w:val="00901DCF"/>
    <w:rsid w:val="00901DD0"/>
    <w:rsid w:val="00901E1F"/>
    <w:rsid w:val="00901E33"/>
    <w:rsid w:val="00901E4D"/>
    <w:rsid w:val="00901E59"/>
    <w:rsid w:val="00901F55"/>
    <w:rsid w:val="00901FAA"/>
    <w:rsid w:val="00901FB3"/>
    <w:rsid w:val="00901FC9"/>
    <w:rsid w:val="00901FCC"/>
    <w:rsid w:val="00901FFB"/>
    <w:rsid w:val="009020C3"/>
    <w:rsid w:val="00902106"/>
    <w:rsid w:val="009021CE"/>
    <w:rsid w:val="009021D3"/>
    <w:rsid w:val="009021FF"/>
    <w:rsid w:val="00902257"/>
    <w:rsid w:val="0090225C"/>
    <w:rsid w:val="0090225D"/>
    <w:rsid w:val="00902275"/>
    <w:rsid w:val="0090229D"/>
    <w:rsid w:val="009022EF"/>
    <w:rsid w:val="0090230C"/>
    <w:rsid w:val="00902323"/>
    <w:rsid w:val="0090238F"/>
    <w:rsid w:val="00902422"/>
    <w:rsid w:val="00902446"/>
    <w:rsid w:val="009024C5"/>
    <w:rsid w:val="009024C7"/>
    <w:rsid w:val="009024DB"/>
    <w:rsid w:val="009024E8"/>
    <w:rsid w:val="00902531"/>
    <w:rsid w:val="00902584"/>
    <w:rsid w:val="0090258F"/>
    <w:rsid w:val="009025FE"/>
    <w:rsid w:val="00902615"/>
    <w:rsid w:val="00902638"/>
    <w:rsid w:val="009026A3"/>
    <w:rsid w:val="00902712"/>
    <w:rsid w:val="0090272C"/>
    <w:rsid w:val="00902763"/>
    <w:rsid w:val="009027DC"/>
    <w:rsid w:val="00902848"/>
    <w:rsid w:val="00902849"/>
    <w:rsid w:val="00902866"/>
    <w:rsid w:val="0090288C"/>
    <w:rsid w:val="009028B0"/>
    <w:rsid w:val="009028C1"/>
    <w:rsid w:val="009028F6"/>
    <w:rsid w:val="009029B9"/>
    <w:rsid w:val="00902A2C"/>
    <w:rsid w:val="00902A5B"/>
    <w:rsid w:val="00902A7E"/>
    <w:rsid w:val="00902A96"/>
    <w:rsid w:val="00902AA7"/>
    <w:rsid w:val="00902ABF"/>
    <w:rsid w:val="00902AD7"/>
    <w:rsid w:val="00902B1F"/>
    <w:rsid w:val="00902B35"/>
    <w:rsid w:val="00902B3D"/>
    <w:rsid w:val="00902B46"/>
    <w:rsid w:val="00902BC6"/>
    <w:rsid w:val="00902BE6"/>
    <w:rsid w:val="00902C25"/>
    <w:rsid w:val="00902C51"/>
    <w:rsid w:val="00902C97"/>
    <w:rsid w:val="00902CFD"/>
    <w:rsid w:val="00902D07"/>
    <w:rsid w:val="00902D48"/>
    <w:rsid w:val="00902D90"/>
    <w:rsid w:val="00902DB7"/>
    <w:rsid w:val="00902DC6"/>
    <w:rsid w:val="00902E05"/>
    <w:rsid w:val="00902E14"/>
    <w:rsid w:val="00902E1B"/>
    <w:rsid w:val="00902E1E"/>
    <w:rsid w:val="00902E2F"/>
    <w:rsid w:val="00902E58"/>
    <w:rsid w:val="00902EC5"/>
    <w:rsid w:val="00902F54"/>
    <w:rsid w:val="00902FA9"/>
    <w:rsid w:val="00902FD6"/>
    <w:rsid w:val="00902FFA"/>
    <w:rsid w:val="00903010"/>
    <w:rsid w:val="00903028"/>
    <w:rsid w:val="00903048"/>
    <w:rsid w:val="00903062"/>
    <w:rsid w:val="009030CD"/>
    <w:rsid w:val="00903177"/>
    <w:rsid w:val="009031A1"/>
    <w:rsid w:val="009031A7"/>
    <w:rsid w:val="009031AC"/>
    <w:rsid w:val="009031BA"/>
    <w:rsid w:val="009031D5"/>
    <w:rsid w:val="00903224"/>
    <w:rsid w:val="00903276"/>
    <w:rsid w:val="00903294"/>
    <w:rsid w:val="009032AF"/>
    <w:rsid w:val="00903333"/>
    <w:rsid w:val="00903382"/>
    <w:rsid w:val="009033CA"/>
    <w:rsid w:val="009033EC"/>
    <w:rsid w:val="009033F2"/>
    <w:rsid w:val="00903443"/>
    <w:rsid w:val="00903455"/>
    <w:rsid w:val="0090345A"/>
    <w:rsid w:val="00903468"/>
    <w:rsid w:val="00903487"/>
    <w:rsid w:val="00903495"/>
    <w:rsid w:val="00903498"/>
    <w:rsid w:val="009034AB"/>
    <w:rsid w:val="009034C4"/>
    <w:rsid w:val="009034D0"/>
    <w:rsid w:val="00903508"/>
    <w:rsid w:val="00903559"/>
    <w:rsid w:val="0090359C"/>
    <w:rsid w:val="0090359E"/>
    <w:rsid w:val="009035CD"/>
    <w:rsid w:val="009035DF"/>
    <w:rsid w:val="00903610"/>
    <w:rsid w:val="0090363D"/>
    <w:rsid w:val="0090364D"/>
    <w:rsid w:val="0090369B"/>
    <w:rsid w:val="009036FD"/>
    <w:rsid w:val="00903722"/>
    <w:rsid w:val="00903737"/>
    <w:rsid w:val="00903752"/>
    <w:rsid w:val="00903757"/>
    <w:rsid w:val="00903765"/>
    <w:rsid w:val="009037EB"/>
    <w:rsid w:val="00903812"/>
    <w:rsid w:val="00903842"/>
    <w:rsid w:val="009038A3"/>
    <w:rsid w:val="009038AD"/>
    <w:rsid w:val="009038C2"/>
    <w:rsid w:val="0090391F"/>
    <w:rsid w:val="00903978"/>
    <w:rsid w:val="0090397F"/>
    <w:rsid w:val="009039EA"/>
    <w:rsid w:val="00903A00"/>
    <w:rsid w:val="00903A01"/>
    <w:rsid w:val="00903A58"/>
    <w:rsid w:val="00903A61"/>
    <w:rsid w:val="00903A66"/>
    <w:rsid w:val="00903AAA"/>
    <w:rsid w:val="00903AB4"/>
    <w:rsid w:val="00903AD1"/>
    <w:rsid w:val="00903B25"/>
    <w:rsid w:val="00903B50"/>
    <w:rsid w:val="00903B71"/>
    <w:rsid w:val="00903B73"/>
    <w:rsid w:val="00903CD5"/>
    <w:rsid w:val="00903D27"/>
    <w:rsid w:val="00903D50"/>
    <w:rsid w:val="00903D71"/>
    <w:rsid w:val="00903E8C"/>
    <w:rsid w:val="00903EB0"/>
    <w:rsid w:val="00903F28"/>
    <w:rsid w:val="00903F2A"/>
    <w:rsid w:val="00903F5D"/>
    <w:rsid w:val="00903F7D"/>
    <w:rsid w:val="00903F87"/>
    <w:rsid w:val="00903FBA"/>
    <w:rsid w:val="00903FF5"/>
    <w:rsid w:val="0090401F"/>
    <w:rsid w:val="009040BB"/>
    <w:rsid w:val="009040C3"/>
    <w:rsid w:val="009040F8"/>
    <w:rsid w:val="009040FA"/>
    <w:rsid w:val="00904161"/>
    <w:rsid w:val="00904181"/>
    <w:rsid w:val="00904222"/>
    <w:rsid w:val="0090423E"/>
    <w:rsid w:val="00904261"/>
    <w:rsid w:val="00904265"/>
    <w:rsid w:val="00904267"/>
    <w:rsid w:val="00904271"/>
    <w:rsid w:val="00904299"/>
    <w:rsid w:val="00904343"/>
    <w:rsid w:val="0090434C"/>
    <w:rsid w:val="00904368"/>
    <w:rsid w:val="0090438A"/>
    <w:rsid w:val="009043D1"/>
    <w:rsid w:val="00904423"/>
    <w:rsid w:val="00904442"/>
    <w:rsid w:val="0090447E"/>
    <w:rsid w:val="009044DA"/>
    <w:rsid w:val="00904505"/>
    <w:rsid w:val="00904524"/>
    <w:rsid w:val="00904529"/>
    <w:rsid w:val="00904597"/>
    <w:rsid w:val="00904598"/>
    <w:rsid w:val="0090459F"/>
    <w:rsid w:val="009045E2"/>
    <w:rsid w:val="009045F3"/>
    <w:rsid w:val="00904608"/>
    <w:rsid w:val="0090461E"/>
    <w:rsid w:val="00904641"/>
    <w:rsid w:val="00904650"/>
    <w:rsid w:val="009046D0"/>
    <w:rsid w:val="009046D9"/>
    <w:rsid w:val="0090476C"/>
    <w:rsid w:val="00904791"/>
    <w:rsid w:val="009047A8"/>
    <w:rsid w:val="009047D2"/>
    <w:rsid w:val="00904821"/>
    <w:rsid w:val="00904831"/>
    <w:rsid w:val="00904840"/>
    <w:rsid w:val="00904869"/>
    <w:rsid w:val="0090488E"/>
    <w:rsid w:val="009048A1"/>
    <w:rsid w:val="009048C2"/>
    <w:rsid w:val="009048D0"/>
    <w:rsid w:val="00904944"/>
    <w:rsid w:val="00904962"/>
    <w:rsid w:val="009049B6"/>
    <w:rsid w:val="009049D3"/>
    <w:rsid w:val="00904A52"/>
    <w:rsid w:val="00904A62"/>
    <w:rsid w:val="00904A7A"/>
    <w:rsid w:val="00904A9A"/>
    <w:rsid w:val="00904AB1"/>
    <w:rsid w:val="00904ADE"/>
    <w:rsid w:val="00904AF4"/>
    <w:rsid w:val="00904B14"/>
    <w:rsid w:val="00904B20"/>
    <w:rsid w:val="00904B26"/>
    <w:rsid w:val="00904B35"/>
    <w:rsid w:val="00904B7E"/>
    <w:rsid w:val="00904B94"/>
    <w:rsid w:val="00904BB9"/>
    <w:rsid w:val="00904BF7"/>
    <w:rsid w:val="00904C00"/>
    <w:rsid w:val="00904C39"/>
    <w:rsid w:val="00904C42"/>
    <w:rsid w:val="00904C69"/>
    <w:rsid w:val="00904CB6"/>
    <w:rsid w:val="00904CE9"/>
    <w:rsid w:val="00904CFB"/>
    <w:rsid w:val="00904D42"/>
    <w:rsid w:val="00904D5B"/>
    <w:rsid w:val="00904D66"/>
    <w:rsid w:val="00904D87"/>
    <w:rsid w:val="00904D8A"/>
    <w:rsid w:val="00904D9E"/>
    <w:rsid w:val="00904DA4"/>
    <w:rsid w:val="00904DBA"/>
    <w:rsid w:val="00904DC1"/>
    <w:rsid w:val="00904DCD"/>
    <w:rsid w:val="00904DFA"/>
    <w:rsid w:val="00904E3B"/>
    <w:rsid w:val="00904E85"/>
    <w:rsid w:val="00904EC3"/>
    <w:rsid w:val="00904EE6"/>
    <w:rsid w:val="00904EF9"/>
    <w:rsid w:val="00904EFE"/>
    <w:rsid w:val="00904EFF"/>
    <w:rsid w:val="00904F67"/>
    <w:rsid w:val="00904FCB"/>
    <w:rsid w:val="00904FE5"/>
    <w:rsid w:val="00905015"/>
    <w:rsid w:val="00905023"/>
    <w:rsid w:val="00905141"/>
    <w:rsid w:val="00905166"/>
    <w:rsid w:val="009051B4"/>
    <w:rsid w:val="009051F6"/>
    <w:rsid w:val="00905207"/>
    <w:rsid w:val="0090524A"/>
    <w:rsid w:val="00905266"/>
    <w:rsid w:val="00905271"/>
    <w:rsid w:val="00905277"/>
    <w:rsid w:val="009052BB"/>
    <w:rsid w:val="009052BE"/>
    <w:rsid w:val="0090530F"/>
    <w:rsid w:val="0090531B"/>
    <w:rsid w:val="009053D6"/>
    <w:rsid w:val="0090544E"/>
    <w:rsid w:val="0090548F"/>
    <w:rsid w:val="00905497"/>
    <w:rsid w:val="009054C2"/>
    <w:rsid w:val="009054E2"/>
    <w:rsid w:val="009054EB"/>
    <w:rsid w:val="009054FD"/>
    <w:rsid w:val="00905503"/>
    <w:rsid w:val="00905531"/>
    <w:rsid w:val="00905566"/>
    <w:rsid w:val="00905587"/>
    <w:rsid w:val="0090558B"/>
    <w:rsid w:val="009055B3"/>
    <w:rsid w:val="009055D8"/>
    <w:rsid w:val="009055E6"/>
    <w:rsid w:val="00905617"/>
    <w:rsid w:val="00905659"/>
    <w:rsid w:val="0090567D"/>
    <w:rsid w:val="009056EB"/>
    <w:rsid w:val="009056ED"/>
    <w:rsid w:val="009056F4"/>
    <w:rsid w:val="00905715"/>
    <w:rsid w:val="00905726"/>
    <w:rsid w:val="00905730"/>
    <w:rsid w:val="00905772"/>
    <w:rsid w:val="00905774"/>
    <w:rsid w:val="00905797"/>
    <w:rsid w:val="009057AA"/>
    <w:rsid w:val="009057AE"/>
    <w:rsid w:val="009057AF"/>
    <w:rsid w:val="009057D9"/>
    <w:rsid w:val="0090581F"/>
    <w:rsid w:val="00905864"/>
    <w:rsid w:val="00905891"/>
    <w:rsid w:val="009058BF"/>
    <w:rsid w:val="009058C2"/>
    <w:rsid w:val="009058E7"/>
    <w:rsid w:val="009058F7"/>
    <w:rsid w:val="00905904"/>
    <w:rsid w:val="00905910"/>
    <w:rsid w:val="00905925"/>
    <w:rsid w:val="0090592B"/>
    <w:rsid w:val="0090592C"/>
    <w:rsid w:val="00905946"/>
    <w:rsid w:val="00905999"/>
    <w:rsid w:val="0090599A"/>
    <w:rsid w:val="009059C7"/>
    <w:rsid w:val="00905A1A"/>
    <w:rsid w:val="00905A25"/>
    <w:rsid w:val="00905AB3"/>
    <w:rsid w:val="00905B0F"/>
    <w:rsid w:val="00905B14"/>
    <w:rsid w:val="00905B30"/>
    <w:rsid w:val="00905B4A"/>
    <w:rsid w:val="00905B5B"/>
    <w:rsid w:val="00905B94"/>
    <w:rsid w:val="00905B9F"/>
    <w:rsid w:val="00905BAA"/>
    <w:rsid w:val="00905BC4"/>
    <w:rsid w:val="00905BC5"/>
    <w:rsid w:val="00905BDA"/>
    <w:rsid w:val="00905C57"/>
    <w:rsid w:val="00905C5E"/>
    <w:rsid w:val="00905C72"/>
    <w:rsid w:val="00905C99"/>
    <w:rsid w:val="00905CF4"/>
    <w:rsid w:val="00905D56"/>
    <w:rsid w:val="00905DC4"/>
    <w:rsid w:val="00905E37"/>
    <w:rsid w:val="00905E7A"/>
    <w:rsid w:val="00905ED6"/>
    <w:rsid w:val="00905F17"/>
    <w:rsid w:val="00905F62"/>
    <w:rsid w:val="00906070"/>
    <w:rsid w:val="0090608A"/>
    <w:rsid w:val="009060D8"/>
    <w:rsid w:val="009060DB"/>
    <w:rsid w:val="009060E4"/>
    <w:rsid w:val="009060E9"/>
    <w:rsid w:val="00906167"/>
    <w:rsid w:val="009061D6"/>
    <w:rsid w:val="009061FE"/>
    <w:rsid w:val="0090620B"/>
    <w:rsid w:val="0090620E"/>
    <w:rsid w:val="00906251"/>
    <w:rsid w:val="009062A6"/>
    <w:rsid w:val="009062D0"/>
    <w:rsid w:val="0090630E"/>
    <w:rsid w:val="00906350"/>
    <w:rsid w:val="00906357"/>
    <w:rsid w:val="0090637D"/>
    <w:rsid w:val="009063E5"/>
    <w:rsid w:val="009063E7"/>
    <w:rsid w:val="009063FE"/>
    <w:rsid w:val="00906424"/>
    <w:rsid w:val="00906427"/>
    <w:rsid w:val="0090643D"/>
    <w:rsid w:val="0090644D"/>
    <w:rsid w:val="009064DD"/>
    <w:rsid w:val="00906522"/>
    <w:rsid w:val="00906567"/>
    <w:rsid w:val="0090656E"/>
    <w:rsid w:val="009065D0"/>
    <w:rsid w:val="009065D8"/>
    <w:rsid w:val="009065E6"/>
    <w:rsid w:val="00906662"/>
    <w:rsid w:val="00906671"/>
    <w:rsid w:val="00906679"/>
    <w:rsid w:val="00906688"/>
    <w:rsid w:val="009066A5"/>
    <w:rsid w:val="009066FE"/>
    <w:rsid w:val="00906709"/>
    <w:rsid w:val="0090674E"/>
    <w:rsid w:val="00906756"/>
    <w:rsid w:val="009067D7"/>
    <w:rsid w:val="00906886"/>
    <w:rsid w:val="009068A2"/>
    <w:rsid w:val="009068B5"/>
    <w:rsid w:val="009068F0"/>
    <w:rsid w:val="009068F3"/>
    <w:rsid w:val="0090693E"/>
    <w:rsid w:val="00906946"/>
    <w:rsid w:val="00906959"/>
    <w:rsid w:val="0090698C"/>
    <w:rsid w:val="009069C7"/>
    <w:rsid w:val="009069E2"/>
    <w:rsid w:val="009069EC"/>
    <w:rsid w:val="009069FE"/>
    <w:rsid w:val="00906A14"/>
    <w:rsid w:val="00906A38"/>
    <w:rsid w:val="00906ACB"/>
    <w:rsid w:val="00906AE4"/>
    <w:rsid w:val="00906B22"/>
    <w:rsid w:val="00906B27"/>
    <w:rsid w:val="00906B2C"/>
    <w:rsid w:val="00906B44"/>
    <w:rsid w:val="00906B63"/>
    <w:rsid w:val="00906B6B"/>
    <w:rsid w:val="00906B7E"/>
    <w:rsid w:val="00906B8F"/>
    <w:rsid w:val="00906BA2"/>
    <w:rsid w:val="00906BA8"/>
    <w:rsid w:val="00906BB6"/>
    <w:rsid w:val="00906BCA"/>
    <w:rsid w:val="00906C24"/>
    <w:rsid w:val="00906C61"/>
    <w:rsid w:val="00906C83"/>
    <w:rsid w:val="00906D10"/>
    <w:rsid w:val="00906D12"/>
    <w:rsid w:val="00906D2C"/>
    <w:rsid w:val="00906D4D"/>
    <w:rsid w:val="00906D83"/>
    <w:rsid w:val="00906DB9"/>
    <w:rsid w:val="00906E13"/>
    <w:rsid w:val="00906E14"/>
    <w:rsid w:val="00906E30"/>
    <w:rsid w:val="00906ED2"/>
    <w:rsid w:val="00906EE5"/>
    <w:rsid w:val="00906F00"/>
    <w:rsid w:val="00906F4A"/>
    <w:rsid w:val="00906F76"/>
    <w:rsid w:val="00906F7D"/>
    <w:rsid w:val="00906F96"/>
    <w:rsid w:val="00906FCE"/>
    <w:rsid w:val="00907039"/>
    <w:rsid w:val="00907048"/>
    <w:rsid w:val="00907059"/>
    <w:rsid w:val="00907076"/>
    <w:rsid w:val="009070B6"/>
    <w:rsid w:val="009070BE"/>
    <w:rsid w:val="009070BF"/>
    <w:rsid w:val="009070D0"/>
    <w:rsid w:val="009071A2"/>
    <w:rsid w:val="00907223"/>
    <w:rsid w:val="00907246"/>
    <w:rsid w:val="0090727B"/>
    <w:rsid w:val="00907288"/>
    <w:rsid w:val="0090729B"/>
    <w:rsid w:val="0090729E"/>
    <w:rsid w:val="009072CC"/>
    <w:rsid w:val="009072E1"/>
    <w:rsid w:val="00907305"/>
    <w:rsid w:val="00907308"/>
    <w:rsid w:val="00907310"/>
    <w:rsid w:val="00907314"/>
    <w:rsid w:val="0090733B"/>
    <w:rsid w:val="0090736D"/>
    <w:rsid w:val="009073AB"/>
    <w:rsid w:val="009073B0"/>
    <w:rsid w:val="009073C7"/>
    <w:rsid w:val="009073F6"/>
    <w:rsid w:val="009073FC"/>
    <w:rsid w:val="00907405"/>
    <w:rsid w:val="0090743E"/>
    <w:rsid w:val="00907444"/>
    <w:rsid w:val="00907476"/>
    <w:rsid w:val="00907517"/>
    <w:rsid w:val="0090751F"/>
    <w:rsid w:val="00907528"/>
    <w:rsid w:val="009075A6"/>
    <w:rsid w:val="009075B5"/>
    <w:rsid w:val="009075FD"/>
    <w:rsid w:val="00907603"/>
    <w:rsid w:val="00907629"/>
    <w:rsid w:val="00907636"/>
    <w:rsid w:val="00907663"/>
    <w:rsid w:val="0090766E"/>
    <w:rsid w:val="00907677"/>
    <w:rsid w:val="009076AC"/>
    <w:rsid w:val="009076D6"/>
    <w:rsid w:val="009076E6"/>
    <w:rsid w:val="009076F0"/>
    <w:rsid w:val="0090774D"/>
    <w:rsid w:val="0090776E"/>
    <w:rsid w:val="0090777C"/>
    <w:rsid w:val="0090778A"/>
    <w:rsid w:val="00907826"/>
    <w:rsid w:val="0090785F"/>
    <w:rsid w:val="0090787B"/>
    <w:rsid w:val="00907889"/>
    <w:rsid w:val="00907895"/>
    <w:rsid w:val="00907948"/>
    <w:rsid w:val="00907976"/>
    <w:rsid w:val="00907998"/>
    <w:rsid w:val="009079DA"/>
    <w:rsid w:val="00907A3F"/>
    <w:rsid w:val="00907A42"/>
    <w:rsid w:val="00907A4D"/>
    <w:rsid w:val="00907A68"/>
    <w:rsid w:val="00907AB3"/>
    <w:rsid w:val="00907ABF"/>
    <w:rsid w:val="00907AC8"/>
    <w:rsid w:val="00907B11"/>
    <w:rsid w:val="00907B7B"/>
    <w:rsid w:val="00907B97"/>
    <w:rsid w:val="00907BBF"/>
    <w:rsid w:val="00907BF5"/>
    <w:rsid w:val="00907C3B"/>
    <w:rsid w:val="00907C4E"/>
    <w:rsid w:val="00907CB2"/>
    <w:rsid w:val="00907D0A"/>
    <w:rsid w:val="00907DBD"/>
    <w:rsid w:val="00907DC1"/>
    <w:rsid w:val="00907DE4"/>
    <w:rsid w:val="00907E4C"/>
    <w:rsid w:val="00907EB6"/>
    <w:rsid w:val="00907EF4"/>
    <w:rsid w:val="00907F2E"/>
    <w:rsid w:val="00907F98"/>
    <w:rsid w:val="00907FCE"/>
    <w:rsid w:val="00907FD5"/>
    <w:rsid w:val="00907FE2"/>
    <w:rsid w:val="0091005E"/>
    <w:rsid w:val="00910096"/>
    <w:rsid w:val="009100A8"/>
    <w:rsid w:val="009100B2"/>
    <w:rsid w:val="009100FD"/>
    <w:rsid w:val="009100FF"/>
    <w:rsid w:val="0091012F"/>
    <w:rsid w:val="0091018D"/>
    <w:rsid w:val="009101E6"/>
    <w:rsid w:val="009101FC"/>
    <w:rsid w:val="0091025C"/>
    <w:rsid w:val="00910262"/>
    <w:rsid w:val="0091026B"/>
    <w:rsid w:val="009102F5"/>
    <w:rsid w:val="00910346"/>
    <w:rsid w:val="0091034B"/>
    <w:rsid w:val="0091037A"/>
    <w:rsid w:val="00910412"/>
    <w:rsid w:val="00910416"/>
    <w:rsid w:val="00910476"/>
    <w:rsid w:val="0091047B"/>
    <w:rsid w:val="00910495"/>
    <w:rsid w:val="009104EB"/>
    <w:rsid w:val="00910502"/>
    <w:rsid w:val="00910521"/>
    <w:rsid w:val="0091052D"/>
    <w:rsid w:val="00910548"/>
    <w:rsid w:val="00910564"/>
    <w:rsid w:val="0091062F"/>
    <w:rsid w:val="00910635"/>
    <w:rsid w:val="0091063D"/>
    <w:rsid w:val="0091066B"/>
    <w:rsid w:val="009106AD"/>
    <w:rsid w:val="009106B5"/>
    <w:rsid w:val="009106B7"/>
    <w:rsid w:val="009106E1"/>
    <w:rsid w:val="009106FF"/>
    <w:rsid w:val="0091070C"/>
    <w:rsid w:val="00910760"/>
    <w:rsid w:val="0091076D"/>
    <w:rsid w:val="00910786"/>
    <w:rsid w:val="009107BA"/>
    <w:rsid w:val="00910849"/>
    <w:rsid w:val="00910850"/>
    <w:rsid w:val="00910865"/>
    <w:rsid w:val="009108CA"/>
    <w:rsid w:val="009108D7"/>
    <w:rsid w:val="009108E1"/>
    <w:rsid w:val="009108E8"/>
    <w:rsid w:val="00910938"/>
    <w:rsid w:val="00910952"/>
    <w:rsid w:val="00910991"/>
    <w:rsid w:val="009109C4"/>
    <w:rsid w:val="009109CA"/>
    <w:rsid w:val="009109EE"/>
    <w:rsid w:val="00910A04"/>
    <w:rsid w:val="00910A0A"/>
    <w:rsid w:val="00910A3E"/>
    <w:rsid w:val="00910A48"/>
    <w:rsid w:val="00910A6B"/>
    <w:rsid w:val="00910A74"/>
    <w:rsid w:val="00910A82"/>
    <w:rsid w:val="00910ABF"/>
    <w:rsid w:val="00910B07"/>
    <w:rsid w:val="00910B1C"/>
    <w:rsid w:val="00910B23"/>
    <w:rsid w:val="00910B47"/>
    <w:rsid w:val="00910B83"/>
    <w:rsid w:val="00910BB6"/>
    <w:rsid w:val="00910C12"/>
    <w:rsid w:val="00910C55"/>
    <w:rsid w:val="00910C75"/>
    <w:rsid w:val="00910C94"/>
    <w:rsid w:val="00910CAA"/>
    <w:rsid w:val="00910CAB"/>
    <w:rsid w:val="00910CD0"/>
    <w:rsid w:val="00910CE2"/>
    <w:rsid w:val="00910D0F"/>
    <w:rsid w:val="00910D25"/>
    <w:rsid w:val="00910D4A"/>
    <w:rsid w:val="00910D59"/>
    <w:rsid w:val="00910D66"/>
    <w:rsid w:val="00910DAD"/>
    <w:rsid w:val="00910DAF"/>
    <w:rsid w:val="00910DD1"/>
    <w:rsid w:val="00910EF6"/>
    <w:rsid w:val="00910F63"/>
    <w:rsid w:val="00910F6C"/>
    <w:rsid w:val="00910F7D"/>
    <w:rsid w:val="00910FB1"/>
    <w:rsid w:val="00910FDD"/>
    <w:rsid w:val="00910FE5"/>
    <w:rsid w:val="00911011"/>
    <w:rsid w:val="00911050"/>
    <w:rsid w:val="00911065"/>
    <w:rsid w:val="00911079"/>
    <w:rsid w:val="0091108E"/>
    <w:rsid w:val="00911093"/>
    <w:rsid w:val="009110B1"/>
    <w:rsid w:val="009110B9"/>
    <w:rsid w:val="0091115B"/>
    <w:rsid w:val="00911165"/>
    <w:rsid w:val="00911166"/>
    <w:rsid w:val="009111A2"/>
    <w:rsid w:val="009111FC"/>
    <w:rsid w:val="00911249"/>
    <w:rsid w:val="0091125D"/>
    <w:rsid w:val="009112B3"/>
    <w:rsid w:val="009112FA"/>
    <w:rsid w:val="00911393"/>
    <w:rsid w:val="009113AB"/>
    <w:rsid w:val="009113B5"/>
    <w:rsid w:val="00911425"/>
    <w:rsid w:val="00911445"/>
    <w:rsid w:val="00911492"/>
    <w:rsid w:val="00911493"/>
    <w:rsid w:val="009114AF"/>
    <w:rsid w:val="009114CF"/>
    <w:rsid w:val="009114E5"/>
    <w:rsid w:val="00911558"/>
    <w:rsid w:val="0091156B"/>
    <w:rsid w:val="00911572"/>
    <w:rsid w:val="009115DB"/>
    <w:rsid w:val="009115F9"/>
    <w:rsid w:val="00911612"/>
    <w:rsid w:val="0091161E"/>
    <w:rsid w:val="0091161F"/>
    <w:rsid w:val="0091163F"/>
    <w:rsid w:val="0091164D"/>
    <w:rsid w:val="00911659"/>
    <w:rsid w:val="009116B7"/>
    <w:rsid w:val="009116F6"/>
    <w:rsid w:val="00911712"/>
    <w:rsid w:val="0091173C"/>
    <w:rsid w:val="00911740"/>
    <w:rsid w:val="00911781"/>
    <w:rsid w:val="009117C2"/>
    <w:rsid w:val="009117DB"/>
    <w:rsid w:val="009117F5"/>
    <w:rsid w:val="0091182A"/>
    <w:rsid w:val="009118BD"/>
    <w:rsid w:val="009118D9"/>
    <w:rsid w:val="009118DC"/>
    <w:rsid w:val="00911909"/>
    <w:rsid w:val="0091193C"/>
    <w:rsid w:val="00911953"/>
    <w:rsid w:val="009119BA"/>
    <w:rsid w:val="009119CA"/>
    <w:rsid w:val="009119D9"/>
    <w:rsid w:val="009119FB"/>
    <w:rsid w:val="00911A18"/>
    <w:rsid w:val="00911A2F"/>
    <w:rsid w:val="00911A38"/>
    <w:rsid w:val="00911A42"/>
    <w:rsid w:val="00911A59"/>
    <w:rsid w:val="00911A5F"/>
    <w:rsid w:val="00911A7D"/>
    <w:rsid w:val="00911AB1"/>
    <w:rsid w:val="00911ACF"/>
    <w:rsid w:val="00911AD2"/>
    <w:rsid w:val="00911AFE"/>
    <w:rsid w:val="00911B4F"/>
    <w:rsid w:val="00911BB5"/>
    <w:rsid w:val="00911BC0"/>
    <w:rsid w:val="00911C14"/>
    <w:rsid w:val="00911C5D"/>
    <w:rsid w:val="00911C69"/>
    <w:rsid w:val="00911CE0"/>
    <w:rsid w:val="00911D28"/>
    <w:rsid w:val="00911D5D"/>
    <w:rsid w:val="00911D65"/>
    <w:rsid w:val="00911D6B"/>
    <w:rsid w:val="00911D80"/>
    <w:rsid w:val="00911D85"/>
    <w:rsid w:val="00911DBB"/>
    <w:rsid w:val="00911DF7"/>
    <w:rsid w:val="00911E24"/>
    <w:rsid w:val="00911E2F"/>
    <w:rsid w:val="00911E5E"/>
    <w:rsid w:val="00911E82"/>
    <w:rsid w:val="00911EE0"/>
    <w:rsid w:val="00911F1D"/>
    <w:rsid w:val="00911F2A"/>
    <w:rsid w:val="00911F37"/>
    <w:rsid w:val="00911F8E"/>
    <w:rsid w:val="00911FAD"/>
    <w:rsid w:val="00911FEB"/>
    <w:rsid w:val="00911FFD"/>
    <w:rsid w:val="00912074"/>
    <w:rsid w:val="0091207F"/>
    <w:rsid w:val="009120A6"/>
    <w:rsid w:val="00912139"/>
    <w:rsid w:val="0091214C"/>
    <w:rsid w:val="00912172"/>
    <w:rsid w:val="0091217B"/>
    <w:rsid w:val="009121CB"/>
    <w:rsid w:val="00912247"/>
    <w:rsid w:val="0091225B"/>
    <w:rsid w:val="00912272"/>
    <w:rsid w:val="009122BF"/>
    <w:rsid w:val="0091235A"/>
    <w:rsid w:val="009123AC"/>
    <w:rsid w:val="009123C0"/>
    <w:rsid w:val="009124CA"/>
    <w:rsid w:val="009124D1"/>
    <w:rsid w:val="00912506"/>
    <w:rsid w:val="0091252F"/>
    <w:rsid w:val="00912564"/>
    <w:rsid w:val="00912580"/>
    <w:rsid w:val="0091258F"/>
    <w:rsid w:val="009125A0"/>
    <w:rsid w:val="009125D0"/>
    <w:rsid w:val="009125E0"/>
    <w:rsid w:val="009125E3"/>
    <w:rsid w:val="009125EF"/>
    <w:rsid w:val="00912601"/>
    <w:rsid w:val="0091260F"/>
    <w:rsid w:val="00912632"/>
    <w:rsid w:val="00912670"/>
    <w:rsid w:val="009126A1"/>
    <w:rsid w:val="009126E5"/>
    <w:rsid w:val="00912728"/>
    <w:rsid w:val="0091272F"/>
    <w:rsid w:val="00912749"/>
    <w:rsid w:val="0091276C"/>
    <w:rsid w:val="0091278B"/>
    <w:rsid w:val="0091278F"/>
    <w:rsid w:val="009127CB"/>
    <w:rsid w:val="009127D2"/>
    <w:rsid w:val="009127EB"/>
    <w:rsid w:val="009127ED"/>
    <w:rsid w:val="009127FC"/>
    <w:rsid w:val="009127FD"/>
    <w:rsid w:val="0091282F"/>
    <w:rsid w:val="009128A2"/>
    <w:rsid w:val="009128F5"/>
    <w:rsid w:val="0091290B"/>
    <w:rsid w:val="00912924"/>
    <w:rsid w:val="0091294B"/>
    <w:rsid w:val="0091295E"/>
    <w:rsid w:val="0091296E"/>
    <w:rsid w:val="0091297F"/>
    <w:rsid w:val="009129D2"/>
    <w:rsid w:val="00912A0C"/>
    <w:rsid w:val="00912A10"/>
    <w:rsid w:val="00912A15"/>
    <w:rsid w:val="00912A19"/>
    <w:rsid w:val="00912A24"/>
    <w:rsid w:val="00912A40"/>
    <w:rsid w:val="00912A53"/>
    <w:rsid w:val="00912A66"/>
    <w:rsid w:val="00912A73"/>
    <w:rsid w:val="00912A87"/>
    <w:rsid w:val="00912ACF"/>
    <w:rsid w:val="00912B29"/>
    <w:rsid w:val="00912BCE"/>
    <w:rsid w:val="00912BDE"/>
    <w:rsid w:val="00912C0C"/>
    <w:rsid w:val="00912CA1"/>
    <w:rsid w:val="00912CA2"/>
    <w:rsid w:val="00912D4F"/>
    <w:rsid w:val="00912D55"/>
    <w:rsid w:val="00912DA7"/>
    <w:rsid w:val="00912DAB"/>
    <w:rsid w:val="00912DAD"/>
    <w:rsid w:val="00912E14"/>
    <w:rsid w:val="00912E1D"/>
    <w:rsid w:val="00912E3C"/>
    <w:rsid w:val="00912E4C"/>
    <w:rsid w:val="00912ED9"/>
    <w:rsid w:val="00912EE6"/>
    <w:rsid w:val="00912EF3"/>
    <w:rsid w:val="00912F22"/>
    <w:rsid w:val="00912F77"/>
    <w:rsid w:val="00912F8C"/>
    <w:rsid w:val="00913032"/>
    <w:rsid w:val="0091309F"/>
    <w:rsid w:val="009130AA"/>
    <w:rsid w:val="009130F1"/>
    <w:rsid w:val="0091310D"/>
    <w:rsid w:val="0091312F"/>
    <w:rsid w:val="00913196"/>
    <w:rsid w:val="00913198"/>
    <w:rsid w:val="009131A0"/>
    <w:rsid w:val="009131AC"/>
    <w:rsid w:val="009131F4"/>
    <w:rsid w:val="00913248"/>
    <w:rsid w:val="0091326C"/>
    <w:rsid w:val="009132AE"/>
    <w:rsid w:val="009132B1"/>
    <w:rsid w:val="00913312"/>
    <w:rsid w:val="0091334D"/>
    <w:rsid w:val="0091335C"/>
    <w:rsid w:val="00913371"/>
    <w:rsid w:val="009133A7"/>
    <w:rsid w:val="00913408"/>
    <w:rsid w:val="0091340A"/>
    <w:rsid w:val="0091343A"/>
    <w:rsid w:val="00913477"/>
    <w:rsid w:val="009134A9"/>
    <w:rsid w:val="009134BE"/>
    <w:rsid w:val="009134BF"/>
    <w:rsid w:val="009134CB"/>
    <w:rsid w:val="009134F7"/>
    <w:rsid w:val="00913507"/>
    <w:rsid w:val="00913511"/>
    <w:rsid w:val="0091353D"/>
    <w:rsid w:val="00913565"/>
    <w:rsid w:val="00913594"/>
    <w:rsid w:val="009135E8"/>
    <w:rsid w:val="0091361D"/>
    <w:rsid w:val="00913625"/>
    <w:rsid w:val="00913628"/>
    <w:rsid w:val="00913698"/>
    <w:rsid w:val="009136BE"/>
    <w:rsid w:val="009136E6"/>
    <w:rsid w:val="009136FF"/>
    <w:rsid w:val="0091371A"/>
    <w:rsid w:val="0091372B"/>
    <w:rsid w:val="0091376B"/>
    <w:rsid w:val="00913782"/>
    <w:rsid w:val="009137E7"/>
    <w:rsid w:val="00913810"/>
    <w:rsid w:val="009138C3"/>
    <w:rsid w:val="009138CE"/>
    <w:rsid w:val="009138DA"/>
    <w:rsid w:val="009138E1"/>
    <w:rsid w:val="009138E9"/>
    <w:rsid w:val="009138F1"/>
    <w:rsid w:val="0091393D"/>
    <w:rsid w:val="0091398F"/>
    <w:rsid w:val="00913A12"/>
    <w:rsid w:val="00913A13"/>
    <w:rsid w:val="00913A2B"/>
    <w:rsid w:val="00913A40"/>
    <w:rsid w:val="00913A73"/>
    <w:rsid w:val="00913ACF"/>
    <w:rsid w:val="00913AED"/>
    <w:rsid w:val="00913B72"/>
    <w:rsid w:val="00913B86"/>
    <w:rsid w:val="00913C63"/>
    <w:rsid w:val="00913C8E"/>
    <w:rsid w:val="00913CDC"/>
    <w:rsid w:val="00913D05"/>
    <w:rsid w:val="00913D1E"/>
    <w:rsid w:val="00913D52"/>
    <w:rsid w:val="00913D9C"/>
    <w:rsid w:val="00913DC6"/>
    <w:rsid w:val="00913DFF"/>
    <w:rsid w:val="00913E9F"/>
    <w:rsid w:val="00913ED3"/>
    <w:rsid w:val="00913F12"/>
    <w:rsid w:val="00913F2B"/>
    <w:rsid w:val="00913F47"/>
    <w:rsid w:val="00913FA7"/>
    <w:rsid w:val="00913FE1"/>
    <w:rsid w:val="0091402B"/>
    <w:rsid w:val="00914037"/>
    <w:rsid w:val="00914088"/>
    <w:rsid w:val="00914090"/>
    <w:rsid w:val="00914095"/>
    <w:rsid w:val="009140BF"/>
    <w:rsid w:val="009140E1"/>
    <w:rsid w:val="0091411F"/>
    <w:rsid w:val="00914131"/>
    <w:rsid w:val="00914133"/>
    <w:rsid w:val="0091413C"/>
    <w:rsid w:val="0091419A"/>
    <w:rsid w:val="009141D2"/>
    <w:rsid w:val="009141ED"/>
    <w:rsid w:val="0091423B"/>
    <w:rsid w:val="0091424E"/>
    <w:rsid w:val="00914274"/>
    <w:rsid w:val="009142B8"/>
    <w:rsid w:val="009142D6"/>
    <w:rsid w:val="009142EA"/>
    <w:rsid w:val="009142F4"/>
    <w:rsid w:val="00914339"/>
    <w:rsid w:val="009143DE"/>
    <w:rsid w:val="009143E6"/>
    <w:rsid w:val="009143E9"/>
    <w:rsid w:val="00914404"/>
    <w:rsid w:val="0091441B"/>
    <w:rsid w:val="00914420"/>
    <w:rsid w:val="00914438"/>
    <w:rsid w:val="0091446C"/>
    <w:rsid w:val="00914471"/>
    <w:rsid w:val="0091448B"/>
    <w:rsid w:val="009144A8"/>
    <w:rsid w:val="009144C3"/>
    <w:rsid w:val="0091453B"/>
    <w:rsid w:val="00914549"/>
    <w:rsid w:val="00914563"/>
    <w:rsid w:val="0091457B"/>
    <w:rsid w:val="009145A6"/>
    <w:rsid w:val="009145C5"/>
    <w:rsid w:val="009145C7"/>
    <w:rsid w:val="009145CF"/>
    <w:rsid w:val="00914650"/>
    <w:rsid w:val="0091468E"/>
    <w:rsid w:val="0091469F"/>
    <w:rsid w:val="009146AB"/>
    <w:rsid w:val="009146AD"/>
    <w:rsid w:val="00914717"/>
    <w:rsid w:val="00914723"/>
    <w:rsid w:val="0091472A"/>
    <w:rsid w:val="00914761"/>
    <w:rsid w:val="00914780"/>
    <w:rsid w:val="00914790"/>
    <w:rsid w:val="009147B7"/>
    <w:rsid w:val="009147BE"/>
    <w:rsid w:val="009147E7"/>
    <w:rsid w:val="00914811"/>
    <w:rsid w:val="0091486C"/>
    <w:rsid w:val="0091486F"/>
    <w:rsid w:val="0091488C"/>
    <w:rsid w:val="009148BF"/>
    <w:rsid w:val="009148E1"/>
    <w:rsid w:val="0091494D"/>
    <w:rsid w:val="009149DE"/>
    <w:rsid w:val="00914A18"/>
    <w:rsid w:val="00914A73"/>
    <w:rsid w:val="00914AA3"/>
    <w:rsid w:val="00914AB5"/>
    <w:rsid w:val="00914ABF"/>
    <w:rsid w:val="00914AEA"/>
    <w:rsid w:val="00914B64"/>
    <w:rsid w:val="00914B7D"/>
    <w:rsid w:val="00914B9E"/>
    <w:rsid w:val="00914BE6"/>
    <w:rsid w:val="00914BF8"/>
    <w:rsid w:val="00914C41"/>
    <w:rsid w:val="00914C57"/>
    <w:rsid w:val="00914C58"/>
    <w:rsid w:val="00914C75"/>
    <w:rsid w:val="00914CA4"/>
    <w:rsid w:val="00914D04"/>
    <w:rsid w:val="00914D06"/>
    <w:rsid w:val="00914D32"/>
    <w:rsid w:val="00914D4D"/>
    <w:rsid w:val="00914D71"/>
    <w:rsid w:val="00914DC3"/>
    <w:rsid w:val="00914DE9"/>
    <w:rsid w:val="00914DF4"/>
    <w:rsid w:val="00914DFF"/>
    <w:rsid w:val="00914E13"/>
    <w:rsid w:val="00914E20"/>
    <w:rsid w:val="00914E6A"/>
    <w:rsid w:val="00914E6E"/>
    <w:rsid w:val="00914E78"/>
    <w:rsid w:val="00914E81"/>
    <w:rsid w:val="00914E89"/>
    <w:rsid w:val="00914E92"/>
    <w:rsid w:val="00914F98"/>
    <w:rsid w:val="00915024"/>
    <w:rsid w:val="00915066"/>
    <w:rsid w:val="00915072"/>
    <w:rsid w:val="00915077"/>
    <w:rsid w:val="00915086"/>
    <w:rsid w:val="009150BD"/>
    <w:rsid w:val="009150CC"/>
    <w:rsid w:val="009150F3"/>
    <w:rsid w:val="0091511F"/>
    <w:rsid w:val="00915142"/>
    <w:rsid w:val="00915148"/>
    <w:rsid w:val="00915152"/>
    <w:rsid w:val="0091517C"/>
    <w:rsid w:val="009151F6"/>
    <w:rsid w:val="00915283"/>
    <w:rsid w:val="009152B6"/>
    <w:rsid w:val="009152D5"/>
    <w:rsid w:val="009152E0"/>
    <w:rsid w:val="0091539B"/>
    <w:rsid w:val="00915416"/>
    <w:rsid w:val="0091541D"/>
    <w:rsid w:val="00915471"/>
    <w:rsid w:val="0091547A"/>
    <w:rsid w:val="009154A4"/>
    <w:rsid w:val="009154AB"/>
    <w:rsid w:val="009154B5"/>
    <w:rsid w:val="00915505"/>
    <w:rsid w:val="00915528"/>
    <w:rsid w:val="00915561"/>
    <w:rsid w:val="0091556D"/>
    <w:rsid w:val="0091559D"/>
    <w:rsid w:val="0091559F"/>
    <w:rsid w:val="00915603"/>
    <w:rsid w:val="00915610"/>
    <w:rsid w:val="00915667"/>
    <w:rsid w:val="00915690"/>
    <w:rsid w:val="0091569D"/>
    <w:rsid w:val="0091570A"/>
    <w:rsid w:val="00915732"/>
    <w:rsid w:val="0091577D"/>
    <w:rsid w:val="0091579E"/>
    <w:rsid w:val="009157BE"/>
    <w:rsid w:val="009157E2"/>
    <w:rsid w:val="009157FE"/>
    <w:rsid w:val="0091583A"/>
    <w:rsid w:val="00915845"/>
    <w:rsid w:val="0091584C"/>
    <w:rsid w:val="00915853"/>
    <w:rsid w:val="00915889"/>
    <w:rsid w:val="00915895"/>
    <w:rsid w:val="009158C9"/>
    <w:rsid w:val="0091592D"/>
    <w:rsid w:val="00915952"/>
    <w:rsid w:val="00915954"/>
    <w:rsid w:val="00915967"/>
    <w:rsid w:val="009159D3"/>
    <w:rsid w:val="00915A07"/>
    <w:rsid w:val="00915A20"/>
    <w:rsid w:val="00915A4B"/>
    <w:rsid w:val="00915A55"/>
    <w:rsid w:val="00915A98"/>
    <w:rsid w:val="00915AA9"/>
    <w:rsid w:val="00915AB7"/>
    <w:rsid w:val="00915AEC"/>
    <w:rsid w:val="00915B06"/>
    <w:rsid w:val="00915B36"/>
    <w:rsid w:val="00915B46"/>
    <w:rsid w:val="00915B8B"/>
    <w:rsid w:val="00915C39"/>
    <w:rsid w:val="00915C56"/>
    <w:rsid w:val="00915C5B"/>
    <w:rsid w:val="00915CA5"/>
    <w:rsid w:val="00915CCB"/>
    <w:rsid w:val="00915CCD"/>
    <w:rsid w:val="00915D18"/>
    <w:rsid w:val="00915D88"/>
    <w:rsid w:val="00915D8E"/>
    <w:rsid w:val="00915D98"/>
    <w:rsid w:val="00915DC0"/>
    <w:rsid w:val="00915E22"/>
    <w:rsid w:val="00915E6B"/>
    <w:rsid w:val="00915EB2"/>
    <w:rsid w:val="00915FE6"/>
    <w:rsid w:val="00915FFD"/>
    <w:rsid w:val="00916032"/>
    <w:rsid w:val="0091604B"/>
    <w:rsid w:val="00916051"/>
    <w:rsid w:val="0091607A"/>
    <w:rsid w:val="00916107"/>
    <w:rsid w:val="00916112"/>
    <w:rsid w:val="00916116"/>
    <w:rsid w:val="00916149"/>
    <w:rsid w:val="00916152"/>
    <w:rsid w:val="00916172"/>
    <w:rsid w:val="009161BA"/>
    <w:rsid w:val="009161E1"/>
    <w:rsid w:val="00916242"/>
    <w:rsid w:val="00916269"/>
    <w:rsid w:val="009162AF"/>
    <w:rsid w:val="009162FD"/>
    <w:rsid w:val="00916300"/>
    <w:rsid w:val="00916321"/>
    <w:rsid w:val="00916334"/>
    <w:rsid w:val="0091635F"/>
    <w:rsid w:val="0091636C"/>
    <w:rsid w:val="009163A9"/>
    <w:rsid w:val="009163C6"/>
    <w:rsid w:val="009163E2"/>
    <w:rsid w:val="009163EF"/>
    <w:rsid w:val="009163F4"/>
    <w:rsid w:val="00916411"/>
    <w:rsid w:val="0091646E"/>
    <w:rsid w:val="0091647F"/>
    <w:rsid w:val="009164AC"/>
    <w:rsid w:val="009164D3"/>
    <w:rsid w:val="009164E1"/>
    <w:rsid w:val="009164FB"/>
    <w:rsid w:val="00916551"/>
    <w:rsid w:val="0091656D"/>
    <w:rsid w:val="009165EC"/>
    <w:rsid w:val="009165FC"/>
    <w:rsid w:val="00916600"/>
    <w:rsid w:val="00916638"/>
    <w:rsid w:val="0091663B"/>
    <w:rsid w:val="00916643"/>
    <w:rsid w:val="00916654"/>
    <w:rsid w:val="00916701"/>
    <w:rsid w:val="00916704"/>
    <w:rsid w:val="00916709"/>
    <w:rsid w:val="0091670B"/>
    <w:rsid w:val="0091676A"/>
    <w:rsid w:val="0091676B"/>
    <w:rsid w:val="00916827"/>
    <w:rsid w:val="00916832"/>
    <w:rsid w:val="0091684C"/>
    <w:rsid w:val="0091688A"/>
    <w:rsid w:val="00916897"/>
    <w:rsid w:val="009168FD"/>
    <w:rsid w:val="0091693B"/>
    <w:rsid w:val="0091694F"/>
    <w:rsid w:val="00916960"/>
    <w:rsid w:val="00916961"/>
    <w:rsid w:val="0091696E"/>
    <w:rsid w:val="0091698C"/>
    <w:rsid w:val="009169B5"/>
    <w:rsid w:val="009169BB"/>
    <w:rsid w:val="009169D5"/>
    <w:rsid w:val="009169E3"/>
    <w:rsid w:val="00916AB2"/>
    <w:rsid w:val="00916B14"/>
    <w:rsid w:val="00916B19"/>
    <w:rsid w:val="00916B40"/>
    <w:rsid w:val="00916B41"/>
    <w:rsid w:val="00916B44"/>
    <w:rsid w:val="00916B69"/>
    <w:rsid w:val="00916BD8"/>
    <w:rsid w:val="00916C55"/>
    <w:rsid w:val="00916C80"/>
    <w:rsid w:val="00916CA9"/>
    <w:rsid w:val="00916CFB"/>
    <w:rsid w:val="00916D08"/>
    <w:rsid w:val="00916D29"/>
    <w:rsid w:val="00916D58"/>
    <w:rsid w:val="00916D98"/>
    <w:rsid w:val="00916DFC"/>
    <w:rsid w:val="00916E4E"/>
    <w:rsid w:val="00916E9B"/>
    <w:rsid w:val="00916F18"/>
    <w:rsid w:val="00916F28"/>
    <w:rsid w:val="00916F2D"/>
    <w:rsid w:val="00916F3C"/>
    <w:rsid w:val="00916F47"/>
    <w:rsid w:val="00916F49"/>
    <w:rsid w:val="00916F4C"/>
    <w:rsid w:val="00916F51"/>
    <w:rsid w:val="00916F81"/>
    <w:rsid w:val="00916FA3"/>
    <w:rsid w:val="00916FD0"/>
    <w:rsid w:val="00916FE5"/>
    <w:rsid w:val="0091703D"/>
    <w:rsid w:val="0091703F"/>
    <w:rsid w:val="00917070"/>
    <w:rsid w:val="0091708F"/>
    <w:rsid w:val="009170EA"/>
    <w:rsid w:val="009170F5"/>
    <w:rsid w:val="009171F1"/>
    <w:rsid w:val="009171FB"/>
    <w:rsid w:val="00917206"/>
    <w:rsid w:val="0091722F"/>
    <w:rsid w:val="009172C0"/>
    <w:rsid w:val="009172F1"/>
    <w:rsid w:val="0091730B"/>
    <w:rsid w:val="00917316"/>
    <w:rsid w:val="00917351"/>
    <w:rsid w:val="00917392"/>
    <w:rsid w:val="009173BE"/>
    <w:rsid w:val="00917420"/>
    <w:rsid w:val="00917493"/>
    <w:rsid w:val="009174A1"/>
    <w:rsid w:val="009174B4"/>
    <w:rsid w:val="009174D0"/>
    <w:rsid w:val="009174F8"/>
    <w:rsid w:val="0091754F"/>
    <w:rsid w:val="0091755F"/>
    <w:rsid w:val="00917560"/>
    <w:rsid w:val="009175B2"/>
    <w:rsid w:val="00917600"/>
    <w:rsid w:val="00917630"/>
    <w:rsid w:val="0091765B"/>
    <w:rsid w:val="009176A3"/>
    <w:rsid w:val="0091771C"/>
    <w:rsid w:val="0091773E"/>
    <w:rsid w:val="0091774F"/>
    <w:rsid w:val="009177ED"/>
    <w:rsid w:val="00917823"/>
    <w:rsid w:val="00917856"/>
    <w:rsid w:val="00917859"/>
    <w:rsid w:val="00917866"/>
    <w:rsid w:val="00917870"/>
    <w:rsid w:val="009178A8"/>
    <w:rsid w:val="009178AF"/>
    <w:rsid w:val="00917928"/>
    <w:rsid w:val="0091792F"/>
    <w:rsid w:val="00917944"/>
    <w:rsid w:val="009179DC"/>
    <w:rsid w:val="009179E0"/>
    <w:rsid w:val="009179E7"/>
    <w:rsid w:val="009179F4"/>
    <w:rsid w:val="009179FB"/>
    <w:rsid w:val="00917A03"/>
    <w:rsid w:val="00917A86"/>
    <w:rsid w:val="00917B3A"/>
    <w:rsid w:val="00917B3B"/>
    <w:rsid w:val="00917BBC"/>
    <w:rsid w:val="00917BD0"/>
    <w:rsid w:val="00917BF1"/>
    <w:rsid w:val="00917C06"/>
    <w:rsid w:val="00917C25"/>
    <w:rsid w:val="00917CAD"/>
    <w:rsid w:val="00917D12"/>
    <w:rsid w:val="00917D76"/>
    <w:rsid w:val="00917D90"/>
    <w:rsid w:val="00917DBC"/>
    <w:rsid w:val="00917DC4"/>
    <w:rsid w:val="00917DF9"/>
    <w:rsid w:val="00917DFD"/>
    <w:rsid w:val="00917E27"/>
    <w:rsid w:val="00917E8F"/>
    <w:rsid w:val="00917EAA"/>
    <w:rsid w:val="00917ED3"/>
    <w:rsid w:val="00917EDF"/>
    <w:rsid w:val="00917EF0"/>
    <w:rsid w:val="00917EF9"/>
    <w:rsid w:val="00917F31"/>
    <w:rsid w:val="00917F43"/>
    <w:rsid w:val="00917F74"/>
    <w:rsid w:val="00917F92"/>
    <w:rsid w:val="00917FC1"/>
    <w:rsid w:val="00917FC4"/>
    <w:rsid w:val="0092002B"/>
    <w:rsid w:val="00920070"/>
    <w:rsid w:val="0092008C"/>
    <w:rsid w:val="009200D1"/>
    <w:rsid w:val="00920154"/>
    <w:rsid w:val="0092018C"/>
    <w:rsid w:val="009201A7"/>
    <w:rsid w:val="009201F0"/>
    <w:rsid w:val="00920229"/>
    <w:rsid w:val="0092022D"/>
    <w:rsid w:val="00920325"/>
    <w:rsid w:val="0092032C"/>
    <w:rsid w:val="009203BD"/>
    <w:rsid w:val="0092041D"/>
    <w:rsid w:val="00920443"/>
    <w:rsid w:val="00920488"/>
    <w:rsid w:val="00920494"/>
    <w:rsid w:val="009204A9"/>
    <w:rsid w:val="0092050F"/>
    <w:rsid w:val="00920579"/>
    <w:rsid w:val="00920585"/>
    <w:rsid w:val="00920597"/>
    <w:rsid w:val="009205AE"/>
    <w:rsid w:val="00920669"/>
    <w:rsid w:val="0092066D"/>
    <w:rsid w:val="009206AB"/>
    <w:rsid w:val="009206C7"/>
    <w:rsid w:val="009206FF"/>
    <w:rsid w:val="0092073D"/>
    <w:rsid w:val="00920746"/>
    <w:rsid w:val="0092076D"/>
    <w:rsid w:val="0092076E"/>
    <w:rsid w:val="009207A0"/>
    <w:rsid w:val="009207CC"/>
    <w:rsid w:val="009207F7"/>
    <w:rsid w:val="00920837"/>
    <w:rsid w:val="00920844"/>
    <w:rsid w:val="0092084A"/>
    <w:rsid w:val="0092085C"/>
    <w:rsid w:val="009208CA"/>
    <w:rsid w:val="0092091E"/>
    <w:rsid w:val="009209B9"/>
    <w:rsid w:val="009209CA"/>
    <w:rsid w:val="009209E8"/>
    <w:rsid w:val="00920A23"/>
    <w:rsid w:val="00920A2B"/>
    <w:rsid w:val="00920A62"/>
    <w:rsid w:val="00920A71"/>
    <w:rsid w:val="00920AA0"/>
    <w:rsid w:val="00920B08"/>
    <w:rsid w:val="00920B26"/>
    <w:rsid w:val="00920B33"/>
    <w:rsid w:val="00920B48"/>
    <w:rsid w:val="00920BCA"/>
    <w:rsid w:val="00920BDA"/>
    <w:rsid w:val="00920BEE"/>
    <w:rsid w:val="00920C50"/>
    <w:rsid w:val="00920C91"/>
    <w:rsid w:val="00920C92"/>
    <w:rsid w:val="00920CAC"/>
    <w:rsid w:val="00920CDE"/>
    <w:rsid w:val="00920D1E"/>
    <w:rsid w:val="00920D29"/>
    <w:rsid w:val="00920D4C"/>
    <w:rsid w:val="00920D7A"/>
    <w:rsid w:val="00920D8B"/>
    <w:rsid w:val="00920D93"/>
    <w:rsid w:val="00920D96"/>
    <w:rsid w:val="00920DAD"/>
    <w:rsid w:val="00920DB0"/>
    <w:rsid w:val="00920DFB"/>
    <w:rsid w:val="00920E2B"/>
    <w:rsid w:val="00920E90"/>
    <w:rsid w:val="00920E95"/>
    <w:rsid w:val="00920F0E"/>
    <w:rsid w:val="00920F1D"/>
    <w:rsid w:val="00920F50"/>
    <w:rsid w:val="00920F54"/>
    <w:rsid w:val="00920F8B"/>
    <w:rsid w:val="00920FDC"/>
    <w:rsid w:val="00921015"/>
    <w:rsid w:val="0092105B"/>
    <w:rsid w:val="0092107D"/>
    <w:rsid w:val="009210BF"/>
    <w:rsid w:val="00921116"/>
    <w:rsid w:val="009211C4"/>
    <w:rsid w:val="009211D0"/>
    <w:rsid w:val="009211E6"/>
    <w:rsid w:val="009211F9"/>
    <w:rsid w:val="009211FF"/>
    <w:rsid w:val="00921211"/>
    <w:rsid w:val="0092121F"/>
    <w:rsid w:val="00921223"/>
    <w:rsid w:val="0092122B"/>
    <w:rsid w:val="00921235"/>
    <w:rsid w:val="00921240"/>
    <w:rsid w:val="00921247"/>
    <w:rsid w:val="0092125F"/>
    <w:rsid w:val="009212C8"/>
    <w:rsid w:val="009212DD"/>
    <w:rsid w:val="009212F0"/>
    <w:rsid w:val="00921313"/>
    <w:rsid w:val="00921338"/>
    <w:rsid w:val="00921347"/>
    <w:rsid w:val="009213DE"/>
    <w:rsid w:val="009213FC"/>
    <w:rsid w:val="009214CE"/>
    <w:rsid w:val="009214E0"/>
    <w:rsid w:val="009214F8"/>
    <w:rsid w:val="00921550"/>
    <w:rsid w:val="0092156D"/>
    <w:rsid w:val="009215C8"/>
    <w:rsid w:val="009215E5"/>
    <w:rsid w:val="009215EB"/>
    <w:rsid w:val="009215F8"/>
    <w:rsid w:val="009215FB"/>
    <w:rsid w:val="0092163E"/>
    <w:rsid w:val="0092163F"/>
    <w:rsid w:val="009216DC"/>
    <w:rsid w:val="00921710"/>
    <w:rsid w:val="00921728"/>
    <w:rsid w:val="009217B4"/>
    <w:rsid w:val="009217F2"/>
    <w:rsid w:val="00921826"/>
    <w:rsid w:val="00921876"/>
    <w:rsid w:val="00921887"/>
    <w:rsid w:val="009218AE"/>
    <w:rsid w:val="009218C3"/>
    <w:rsid w:val="00921919"/>
    <w:rsid w:val="0092196F"/>
    <w:rsid w:val="00921987"/>
    <w:rsid w:val="00921998"/>
    <w:rsid w:val="009219AA"/>
    <w:rsid w:val="009219AC"/>
    <w:rsid w:val="009219F1"/>
    <w:rsid w:val="009219F8"/>
    <w:rsid w:val="00921A06"/>
    <w:rsid w:val="00921A3A"/>
    <w:rsid w:val="00921A47"/>
    <w:rsid w:val="00921A60"/>
    <w:rsid w:val="00921A8B"/>
    <w:rsid w:val="00921B05"/>
    <w:rsid w:val="00921B16"/>
    <w:rsid w:val="00921B37"/>
    <w:rsid w:val="00921B54"/>
    <w:rsid w:val="00921C45"/>
    <w:rsid w:val="00921C71"/>
    <w:rsid w:val="00921C96"/>
    <w:rsid w:val="00921CA4"/>
    <w:rsid w:val="00921CE2"/>
    <w:rsid w:val="00921D13"/>
    <w:rsid w:val="00921D2A"/>
    <w:rsid w:val="00921D40"/>
    <w:rsid w:val="00921D4B"/>
    <w:rsid w:val="00921D56"/>
    <w:rsid w:val="00921D6F"/>
    <w:rsid w:val="00921DA7"/>
    <w:rsid w:val="00921DAF"/>
    <w:rsid w:val="00921DC3"/>
    <w:rsid w:val="00921DDE"/>
    <w:rsid w:val="00921DE8"/>
    <w:rsid w:val="00921ED3"/>
    <w:rsid w:val="00921EE8"/>
    <w:rsid w:val="00921F05"/>
    <w:rsid w:val="00921F1F"/>
    <w:rsid w:val="00921F36"/>
    <w:rsid w:val="00921FA9"/>
    <w:rsid w:val="0092200F"/>
    <w:rsid w:val="00922021"/>
    <w:rsid w:val="00922023"/>
    <w:rsid w:val="00922032"/>
    <w:rsid w:val="00922037"/>
    <w:rsid w:val="009220BC"/>
    <w:rsid w:val="009220C1"/>
    <w:rsid w:val="009220E1"/>
    <w:rsid w:val="0092213A"/>
    <w:rsid w:val="00922158"/>
    <w:rsid w:val="0092215B"/>
    <w:rsid w:val="009221C5"/>
    <w:rsid w:val="009221D4"/>
    <w:rsid w:val="0092224A"/>
    <w:rsid w:val="00922251"/>
    <w:rsid w:val="00922296"/>
    <w:rsid w:val="009222BE"/>
    <w:rsid w:val="009222CD"/>
    <w:rsid w:val="009222EC"/>
    <w:rsid w:val="009222F4"/>
    <w:rsid w:val="0092231E"/>
    <w:rsid w:val="00922346"/>
    <w:rsid w:val="00922361"/>
    <w:rsid w:val="009223CD"/>
    <w:rsid w:val="0092248D"/>
    <w:rsid w:val="009224AB"/>
    <w:rsid w:val="009224AF"/>
    <w:rsid w:val="009224B0"/>
    <w:rsid w:val="009224E0"/>
    <w:rsid w:val="009224F1"/>
    <w:rsid w:val="009224F4"/>
    <w:rsid w:val="00922516"/>
    <w:rsid w:val="00922598"/>
    <w:rsid w:val="009225B7"/>
    <w:rsid w:val="009225D1"/>
    <w:rsid w:val="009225EA"/>
    <w:rsid w:val="009226D9"/>
    <w:rsid w:val="00922733"/>
    <w:rsid w:val="0092274B"/>
    <w:rsid w:val="009227A4"/>
    <w:rsid w:val="009227A5"/>
    <w:rsid w:val="009227DD"/>
    <w:rsid w:val="009227E4"/>
    <w:rsid w:val="009227EA"/>
    <w:rsid w:val="009227ED"/>
    <w:rsid w:val="00922858"/>
    <w:rsid w:val="0092288F"/>
    <w:rsid w:val="009228C2"/>
    <w:rsid w:val="009228C7"/>
    <w:rsid w:val="009228D3"/>
    <w:rsid w:val="009228DA"/>
    <w:rsid w:val="009228F3"/>
    <w:rsid w:val="00922916"/>
    <w:rsid w:val="00922947"/>
    <w:rsid w:val="00922951"/>
    <w:rsid w:val="009229E9"/>
    <w:rsid w:val="00922A27"/>
    <w:rsid w:val="00922A44"/>
    <w:rsid w:val="00922A51"/>
    <w:rsid w:val="00922A77"/>
    <w:rsid w:val="00922AA8"/>
    <w:rsid w:val="00922AF4"/>
    <w:rsid w:val="00922B1C"/>
    <w:rsid w:val="00922B4A"/>
    <w:rsid w:val="00922B4E"/>
    <w:rsid w:val="00922B5D"/>
    <w:rsid w:val="00922B7C"/>
    <w:rsid w:val="00922B81"/>
    <w:rsid w:val="00922BB2"/>
    <w:rsid w:val="00922C53"/>
    <w:rsid w:val="00922C54"/>
    <w:rsid w:val="00922C79"/>
    <w:rsid w:val="00922D0D"/>
    <w:rsid w:val="00922D46"/>
    <w:rsid w:val="00922D4C"/>
    <w:rsid w:val="00922D5B"/>
    <w:rsid w:val="00922D61"/>
    <w:rsid w:val="00922DA2"/>
    <w:rsid w:val="00922DAD"/>
    <w:rsid w:val="00922DCA"/>
    <w:rsid w:val="00922DD7"/>
    <w:rsid w:val="00922E18"/>
    <w:rsid w:val="00922E88"/>
    <w:rsid w:val="00922EC6"/>
    <w:rsid w:val="00922F18"/>
    <w:rsid w:val="00922F1C"/>
    <w:rsid w:val="00922F31"/>
    <w:rsid w:val="00922F44"/>
    <w:rsid w:val="00922F62"/>
    <w:rsid w:val="00922F6B"/>
    <w:rsid w:val="00922F73"/>
    <w:rsid w:val="00922F89"/>
    <w:rsid w:val="00922F94"/>
    <w:rsid w:val="00922FA5"/>
    <w:rsid w:val="00922FC0"/>
    <w:rsid w:val="00922FE8"/>
    <w:rsid w:val="00923044"/>
    <w:rsid w:val="00923053"/>
    <w:rsid w:val="00923065"/>
    <w:rsid w:val="0092306A"/>
    <w:rsid w:val="009230EE"/>
    <w:rsid w:val="00923146"/>
    <w:rsid w:val="009231E0"/>
    <w:rsid w:val="00923208"/>
    <w:rsid w:val="0092320C"/>
    <w:rsid w:val="00923262"/>
    <w:rsid w:val="00923285"/>
    <w:rsid w:val="009232A0"/>
    <w:rsid w:val="00923301"/>
    <w:rsid w:val="0092331A"/>
    <w:rsid w:val="00923323"/>
    <w:rsid w:val="0092336C"/>
    <w:rsid w:val="00923379"/>
    <w:rsid w:val="00923396"/>
    <w:rsid w:val="0092339C"/>
    <w:rsid w:val="009233DA"/>
    <w:rsid w:val="009233EC"/>
    <w:rsid w:val="00923447"/>
    <w:rsid w:val="009234B0"/>
    <w:rsid w:val="009234F1"/>
    <w:rsid w:val="0092350E"/>
    <w:rsid w:val="00923570"/>
    <w:rsid w:val="00923580"/>
    <w:rsid w:val="009235DE"/>
    <w:rsid w:val="009235E5"/>
    <w:rsid w:val="00923650"/>
    <w:rsid w:val="0092368B"/>
    <w:rsid w:val="00923693"/>
    <w:rsid w:val="00923710"/>
    <w:rsid w:val="00923720"/>
    <w:rsid w:val="00923721"/>
    <w:rsid w:val="0092379E"/>
    <w:rsid w:val="009237DB"/>
    <w:rsid w:val="00923817"/>
    <w:rsid w:val="0092385E"/>
    <w:rsid w:val="00923866"/>
    <w:rsid w:val="009238E3"/>
    <w:rsid w:val="009238EB"/>
    <w:rsid w:val="0092390B"/>
    <w:rsid w:val="0092390D"/>
    <w:rsid w:val="00923921"/>
    <w:rsid w:val="00923924"/>
    <w:rsid w:val="00923961"/>
    <w:rsid w:val="0092396E"/>
    <w:rsid w:val="0092398E"/>
    <w:rsid w:val="00923993"/>
    <w:rsid w:val="00923A04"/>
    <w:rsid w:val="00923A07"/>
    <w:rsid w:val="00923A51"/>
    <w:rsid w:val="00923A54"/>
    <w:rsid w:val="00923A82"/>
    <w:rsid w:val="00923A8E"/>
    <w:rsid w:val="00923A90"/>
    <w:rsid w:val="00923A94"/>
    <w:rsid w:val="00923B11"/>
    <w:rsid w:val="00923B32"/>
    <w:rsid w:val="00923B59"/>
    <w:rsid w:val="00923B84"/>
    <w:rsid w:val="00923BCD"/>
    <w:rsid w:val="00923C42"/>
    <w:rsid w:val="00923C4F"/>
    <w:rsid w:val="00923C5B"/>
    <w:rsid w:val="00923C73"/>
    <w:rsid w:val="00923C8A"/>
    <w:rsid w:val="00923D78"/>
    <w:rsid w:val="00923DB4"/>
    <w:rsid w:val="00923DCD"/>
    <w:rsid w:val="00923DF6"/>
    <w:rsid w:val="00923E17"/>
    <w:rsid w:val="00923E6B"/>
    <w:rsid w:val="00923E93"/>
    <w:rsid w:val="00923EE0"/>
    <w:rsid w:val="00923EED"/>
    <w:rsid w:val="00923F6C"/>
    <w:rsid w:val="00923F96"/>
    <w:rsid w:val="00923FA9"/>
    <w:rsid w:val="00923FAA"/>
    <w:rsid w:val="00923FE1"/>
    <w:rsid w:val="0092406A"/>
    <w:rsid w:val="00924086"/>
    <w:rsid w:val="009240BC"/>
    <w:rsid w:val="0092412B"/>
    <w:rsid w:val="0092414F"/>
    <w:rsid w:val="00924174"/>
    <w:rsid w:val="009241A9"/>
    <w:rsid w:val="009241E2"/>
    <w:rsid w:val="0092421D"/>
    <w:rsid w:val="00924232"/>
    <w:rsid w:val="0092424F"/>
    <w:rsid w:val="00924348"/>
    <w:rsid w:val="00924370"/>
    <w:rsid w:val="009243AD"/>
    <w:rsid w:val="009243DD"/>
    <w:rsid w:val="009243E0"/>
    <w:rsid w:val="009243E9"/>
    <w:rsid w:val="00924432"/>
    <w:rsid w:val="0092445A"/>
    <w:rsid w:val="00924467"/>
    <w:rsid w:val="009244A9"/>
    <w:rsid w:val="009244C4"/>
    <w:rsid w:val="0092452C"/>
    <w:rsid w:val="0092453B"/>
    <w:rsid w:val="009245D6"/>
    <w:rsid w:val="00924641"/>
    <w:rsid w:val="00924665"/>
    <w:rsid w:val="009246A5"/>
    <w:rsid w:val="00924705"/>
    <w:rsid w:val="00924707"/>
    <w:rsid w:val="00924763"/>
    <w:rsid w:val="0092477F"/>
    <w:rsid w:val="00924786"/>
    <w:rsid w:val="009247AC"/>
    <w:rsid w:val="009247BB"/>
    <w:rsid w:val="009247EC"/>
    <w:rsid w:val="009247ED"/>
    <w:rsid w:val="009247FD"/>
    <w:rsid w:val="00924819"/>
    <w:rsid w:val="00924835"/>
    <w:rsid w:val="00924873"/>
    <w:rsid w:val="009248B6"/>
    <w:rsid w:val="00924928"/>
    <w:rsid w:val="0092493E"/>
    <w:rsid w:val="0092496B"/>
    <w:rsid w:val="0092497E"/>
    <w:rsid w:val="009249B0"/>
    <w:rsid w:val="009249B4"/>
    <w:rsid w:val="009249C9"/>
    <w:rsid w:val="00924A18"/>
    <w:rsid w:val="00924A1F"/>
    <w:rsid w:val="00924A58"/>
    <w:rsid w:val="00924AC4"/>
    <w:rsid w:val="00924AE9"/>
    <w:rsid w:val="00924B6E"/>
    <w:rsid w:val="00924B89"/>
    <w:rsid w:val="00924BA1"/>
    <w:rsid w:val="00924BAC"/>
    <w:rsid w:val="00924BDA"/>
    <w:rsid w:val="00924BEF"/>
    <w:rsid w:val="00924CE4"/>
    <w:rsid w:val="00924D1D"/>
    <w:rsid w:val="00924D34"/>
    <w:rsid w:val="00924D6C"/>
    <w:rsid w:val="00924DA2"/>
    <w:rsid w:val="00924DB6"/>
    <w:rsid w:val="00924DCC"/>
    <w:rsid w:val="00924DE2"/>
    <w:rsid w:val="00924E43"/>
    <w:rsid w:val="00924E7D"/>
    <w:rsid w:val="00924E99"/>
    <w:rsid w:val="00924EC3"/>
    <w:rsid w:val="00924ED0"/>
    <w:rsid w:val="00924EEF"/>
    <w:rsid w:val="00924F44"/>
    <w:rsid w:val="00924F6E"/>
    <w:rsid w:val="00924F6F"/>
    <w:rsid w:val="00924F71"/>
    <w:rsid w:val="00924F79"/>
    <w:rsid w:val="00924F94"/>
    <w:rsid w:val="00924FBA"/>
    <w:rsid w:val="00924FEA"/>
    <w:rsid w:val="00925017"/>
    <w:rsid w:val="00925038"/>
    <w:rsid w:val="00925055"/>
    <w:rsid w:val="00925066"/>
    <w:rsid w:val="0092506E"/>
    <w:rsid w:val="009250A9"/>
    <w:rsid w:val="009250FC"/>
    <w:rsid w:val="00925109"/>
    <w:rsid w:val="00925129"/>
    <w:rsid w:val="0092514A"/>
    <w:rsid w:val="0092516A"/>
    <w:rsid w:val="009251BF"/>
    <w:rsid w:val="009251C9"/>
    <w:rsid w:val="009252A9"/>
    <w:rsid w:val="009252AD"/>
    <w:rsid w:val="009252CA"/>
    <w:rsid w:val="009252CC"/>
    <w:rsid w:val="00925313"/>
    <w:rsid w:val="00925377"/>
    <w:rsid w:val="0092537C"/>
    <w:rsid w:val="0092538E"/>
    <w:rsid w:val="009253CB"/>
    <w:rsid w:val="009253F6"/>
    <w:rsid w:val="00925413"/>
    <w:rsid w:val="00925419"/>
    <w:rsid w:val="00925451"/>
    <w:rsid w:val="00925461"/>
    <w:rsid w:val="0092548F"/>
    <w:rsid w:val="009254AF"/>
    <w:rsid w:val="0092553B"/>
    <w:rsid w:val="00925549"/>
    <w:rsid w:val="00925568"/>
    <w:rsid w:val="00925577"/>
    <w:rsid w:val="009255EA"/>
    <w:rsid w:val="00925610"/>
    <w:rsid w:val="00925658"/>
    <w:rsid w:val="00925666"/>
    <w:rsid w:val="0092568E"/>
    <w:rsid w:val="009256B2"/>
    <w:rsid w:val="009256BB"/>
    <w:rsid w:val="009256D3"/>
    <w:rsid w:val="009256DB"/>
    <w:rsid w:val="009256FD"/>
    <w:rsid w:val="00925700"/>
    <w:rsid w:val="00925736"/>
    <w:rsid w:val="0092575C"/>
    <w:rsid w:val="00925768"/>
    <w:rsid w:val="0092579A"/>
    <w:rsid w:val="009257BC"/>
    <w:rsid w:val="00925840"/>
    <w:rsid w:val="0092587B"/>
    <w:rsid w:val="00925893"/>
    <w:rsid w:val="009258A1"/>
    <w:rsid w:val="009258B7"/>
    <w:rsid w:val="009258FC"/>
    <w:rsid w:val="0092596C"/>
    <w:rsid w:val="00925998"/>
    <w:rsid w:val="009259AF"/>
    <w:rsid w:val="009259D4"/>
    <w:rsid w:val="009259D8"/>
    <w:rsid w:val="00925A9E"/>
    <w:rsid w:val="00925AE5"/>
    <w:rsid w:val="00925AFF"/>
    <w:rsid w:val="00925BCB"/>
    <w:rsid w:val="00925BED"/>
    <w:rsid w:val="00925BF2"/>
    <w:rsid w:val="00925BF4"/>
    <w:rsid w:val="00925C13"/>
    <w:rsid w:val="00925C18"/>
    <w:rsid w:val="00925C43"/>
    <w:rsid w:val="00925C55"/>
    <w:rsid w:val="00925C83"/>
    <w:rsid w:val="00925CA0"/>
    <w:rsid w:val="00925CA4"/>
    <w:rsid w:val="00925CBE"/>
    <w:rsid w:val="00925CE2"/>
    <w:rsid w:val="00925CE3"/>
    <w:rsid w:val="00925CF9"/>
    <w:rsid w:val="00925D22"/>
    <w:rsid w:val="00925D2D"/>
    <w:rsid w:val="00925D67"/>
    <w:rsid w:val="00925D73"/>
    <w:rsid w:val="00925D94"/>
    <w:rsid w:val="00925DB9"/>
    <w:rsid w:val="00925DC2"/>
    <w:rsid w:val="00925E5F"/>
    <w:rsid w:val="00925E76"/>
    <w:rsid w:val="00925ECC"/>
    <w:rsid w:val="00925ED0"/>
    <w:rsid w:val="00925ED1"/>
    <w:rsid w:val="00925EFF"/>
    <w:rsid w:val="00925F1B"/>
    <w:rsid w:val="00925F50"/>
    <w:rsid w:val="00926011"/>
    <w:rsid w:val="00926028"/>
    <w:rsid w:val="00926037"/>
    <w:rsid w:val="00926089"/>
    <w:rsid w:val="0092611C"/>
    <w:rsid w:val="00926126"/>
    <w:rsid w:val="00926128"/>
    <w:rsid w:val="0092615A"/>
    <w:rsid w:val="0092616D"/>
    <w:rsid w:val="00926175"/>
    <w:rsid w:val="0092617B"/>
    <w:rsid w:val="00926244"/>
    <w:rsid w:val="00926263"/>
    <w:rsid w:val="009262A9"/>
    <w:rsid w:val="00926321"/>
    <w:rsid w:val="00926325"/>
    <w:rsid w:val="00926337"/>
    <w:rsid w:val="00926342"/>
    <w:rsid w:val="0092634A"/>
    <w:rsid w:val="0092637F"/>
    <w:rsid w:val="00926386"/>
    <w:rsid w:val="009263A0"/>
    <w:rsid w:val="009263AA"/>
    <w:rsid w:val="009263F8"/>
    <w:rsid w:val="00926440"/>
    <w:rsid w:val="00926463"/>
    <w:rsid w:val="00926483"/>
    <w:rsid w:val="009264CD"/>
    <w:rsid w:val="009264D5"/>
    <w:rsid w:val="009264E4"/>
    <w:rsid w:val="0092652F"/>
    <w:rsid w:val="00926546"/>
    <w:rsid w:val="00926590"/>
    <w:rsid w:val="00926598"/>
    <w:rsid w:val="009265A1"/>
    <w:rsid w:val="009265E1"/>
    <w:rsid w:val="009265E4"/>
    <w:rsid w:val="009265F2"/>
    <w:rsid w:val="00926603"/>
    <w:rsid w:val="00926622"/>
    <w:rsid w:val="00926698"/>
    <w:rsid w:val="009266A7"/>
    <w:rsid w:val="009266F1"/>
    <w:rsid w:val="0092670F"/>
    <w:rsid w:val="00926739"/>
    <w:rsid w:val="0092674D"/>
    <w:rsid w:val="0092677C"/>
    <w:rsid w:val="00926792"/>
    <w:rsid w:val="00926796"/>
    <w:rsid w:val="00926870"/>
    <w:rsid w:val="00926888"/>
    <w:rsid w:val="0092688B"/>
    <w:rsid w:val="0092689E"/>
    <w:rsid w:val="009268A3"/>
    <w:rsid w:val="009268E3"/>
    <w:rsid w:val="009268ED"/>
    <w:rsid w:val="00926921"/>
    <w:rsid w:val="00926939"/>
    <w:rsid w:val="00926951"/>
    <w:rsid w:val="009269A7"/>
    <w:rsid w:val="00926A11"/>
    <w:rsid w:val="00926A2D"/>
    <w:rsid w:val="00926A35"/>
    <w:rsid w:val="00926A45"/>
    <w:rsid w:val="00926AC5"/>
    <w:rsid w:val="00926AFA"/>
    <w:rsid w:val="00926B30"/>
    <w:rsid w:val="00926B63"/>
    <w:rsid w:val="00926B78"/>
    <w:rsid w:val="00926B7F"/>
    <w:rsid w:val="00926B80"/>
    <w:rsid w:val="00926B83"/>
    <w:rsid w:val="00926B8A"/>
    <w:rsid w:val="00926BA8"/>
    <w:rsid w:val="00926BF3"/>
    <w:rsid w:val="00926BFA"/>
    <w:rsid w:val="00926BFE"/>
    <w:rsid w:val="00926CA1"/>
    <w:rsid w:val="00926CBD"/>
    <w:rsid w:val="00926D07"/>
    <w:rsid w:val="00926D20"/>
    <w:rsid w:val="00926D51"/>
    <w:rsid w:val="00926D78"/>
    <w:rsid w:val="00926DA9"/>
    <w:rsid w:val="00926DC5"/>
    <w:rsid w:val="00926DE1"/>
    <w:rsid w:val="00926DF8"/>
    <w:rsid w:val="00926E1B"/>
    <w:rsid w:val="00926E4D"/>
    <w:rsid w:val="00926E6A"/>
    <w:rsid w:val="00926EB0"/>
    <w:rsid w:val="00926EE9"/>
    <w:rsid w:val="0092701C"/>
    <w:rsid w:val="0092703C"/>
    <w:rsid w:val="0092704E"/>
    <w:rsid w:val="00927057"/>
    <w:rsid w:val="00927083"/>
    <w:rsid w:val="009270A5"/>
    <w:rsid w:val="009270AE"/>
    <w:rsid w:val="009270D6"/>
    <w:rsid w:val="009270E5"/>
    <w:rsid w:val="009270F7"/>
    <w:rsid w:val="00927139"/>
    <w:rsid w:val="00927145"/>
    <w:rsid w:val="0092715E"/>
    <w:rsid w:val="009271D1"/>
    <w:rsid w:val="009271DE"/>
    <w:rsid w:val="0092723C"/>
    <w:rsid w:val="00927242"/>
    <w:rsid w:val="00927245"/>
    <w:rsid w:val="00927253"/>
    <w:rsid w:val="0092727C"/>
    <w:rsid w:val="009272A8"/>
    <w:rsid w:val="009272B7"/>
    <w:rsid w:val="009272DA"/>
    <w:rsid w:val="009273CE"/>
    <w:rsid w:val="009273EB"/>
    <w:rsid w:val="009273FC"/>
    <w:rsid w:val="0092742C"/>
    <w:rsid w:val="0092747C"/>
    <w:rsid w:val="0092749F"/>
    <w:rsid w:val="009274BE"/>
    <w:rsid w:val="009274C8"/>
    <w:rsid w:val="009274D5"/>
    <w:rsid w:val="00927545"/>
    <w:rsid w:val="00927557"/>
    <w:rsid w:val="00927566"/>
    <w:rsid w:val="009275BD"/>
    <w:rsid w:val="009275CF"/>
    <w:rsid w:val="009275F7"/>
    <w:rsid w:val="00927601"/>
    <w:rsid w:val="009276F6"/>
    <w:rsid w:val="00927709"/>
    <w:rsid w:val="0092772F"/>
    <w:rsid w:val="0092776A"/>
    <w:rsid w:val="009277D1"/>
    <w:rsid w:val="009277D7"/>
    <w:rsid w:val="009277E1"/>
    <w:rsid w:val="00927802"/>
    <w:rsid w:val="00927857"/>
    <w:rsid w:val="00927923"/>
    <w:rsid w:val="00927943"/>
    <w:rsid w:val="00927974"/>
    <w:rsid w:val="009279A6"/>
    <w:rsid w:val="00927A02"/>
    <w:rsid w:val="00927A21"/>
    <w:rsid w:val="00927A34"/>
    <w:rsid w:val="00927A4F"/>
    <w:rsid w:val="00927A74"/>
    <w:rsid w:val="00927A87"/>
    <w:rsid w:val="00927A95"/>
    <w:rsid w:val="00927AA7"/>
    <w:rsid w:val="00927AAE"/>
    <w:rsid w:val="00927AC0"/>
    <w:rsid w:val="00927AE9"/>
    <w:rsid w:val="00927AF4"/>
    <w:rsid w:val="00927B00"/>
    <w:rsid w:val="00927B4F"/>
    <w:rsid w:val="00927B70"/>
    <w:rsid w:val="00927B78"/>
    <w:rsid w:val="00927B7C"/>
    <w:rsid w:val="00927B94"/>
    <w:rsid w:val="00927C40"/>
    <w:rsid w:val="00927C4A"/>
    <w:rsid w:val="00927CAB"/>
    <w:rsid w:val="00927CFF"/>
    <w:rsid w:val="00927DB3"/>
    <w:rsid w:val="00927DB5"/>
    <w:rsid w:val="00927DD0"/>
    <w:rsid w:val="00927E1C"/>
    <w:rsid w:val="00927E24"/>
    <w:rsid w:val="00927E26"/>
    <w:rsid w:val="00927E30"/>
    <w:rsid w:val="00927E4B"/>
    <w:rsid w:val="00927E5F"/>
    <w:rsid w:val="00927E61"/>
    <w:rsid w:val="00927E69"/>
    <w:rsid w:val="00927EBA"/>
    <w:rsid w:val="00927F34"/>
    <w:rsid w:val="00927F36"/>
    <w:rsid w:val="00927F75"/>
    <w:rsid w:val="00927F87"/>
    <w:rsid w:val="00927F95"/>
    <w:rsid w:val="00927F96"/>
    <w:rsid w:val="00927FDA"/>
    <w:rsid w:val="00927FDD"/>
    <w:rsid w:val="00927FFB"/>
    <w:rsid w:val="00927FFC"/>
    <w:rsid w:val="00930016"/>
    <w:rsid w:val="00930036"/>
    <w:rsid w:val="00930045"/>
    <w:rsid w:val="00930059"/>
    <w:rsid w:val="009300CC"/>
    <w:rsid w:val="00930105"/>
    <w:rsid w:val="00930148"/>
    <w:rsid w:val="0093017B"/>
    <w:rsid w:val="0093019D"/>
    <w:rsid w:val="009301BD"/>
    <w:rsid w:val="009301CB"/>
    <w:rsid w:val="009301FE"/>
    <w:rsid w:val="00930227"/>
    <w:rsid w:val="00930236"/>
    <w:rsid w:val="00930268"/>
    <w:rsid w:val="00930282"/>
    <w:rsid w:val="009302A6"/>
    <w:rsid w:val="009302C9"/>
    <w:rsid w:val="009302E6"/>
    <w:rsid w:val="00930302"/>
    <w:rsid w:val="00930317"/>
    <w:rsid w:val="00930381"/>
    <w:rsid w:val="00930383"/>
    <w:rsid w:val="0093039E"/>
    <w:rsid w:val="009303A9"/>
    <w:rsid w:val="009303D8"/>
    <w:rsid w:val="0093042C"/>
    <w:rsid w:val="00930435"/>
    <w:rsid w:val="0093043B"/>
    <w:rsid w:val="00930478"/>
    <w:rsid w:val="00930489"/>
    <w:rsid w:val="00930494"/>
    <w:rsid w:val="0093051C"/>
    <w:rsid w:val="00930552"/>
    <w:rsid w:val="00930587"/>
    <w:rsid w:val="00930618"/>
    <w:rsid w:val="009306DC"/>
    <w:rsid w:val="0093070B"/>
    <w:rsid w:val="0093073F"/>
    <w:rsid w:val="009307E7"/>
    <w:rsid w:val="0093082C"/>
    <w:rsid w:val="00930836"/>
    <w:rsid w:val="0093085E"/>
    <w:rsid w:val="009308BE"/>
    <w:rsid w:val="009308CC"/>
    <w:rsid w:val="00930966"/>
    <w:rsid w:val="009309D3"/>
    <w:rsid w:val="00930A18"/>
    <w:rsid w:val="00930A24"/>
    <w:rsid w:val="00930A41"/>
    <w:rsid w:val="00930A4B"/>
    <w:rsid w:val="00930A52"/>
    <w:rsid w:val="00930A5D"/>
    <w:rsid w:val="00930A79"/>
    <w:rsid w:val="00930A80"/>
    <w:rsid w:val="00930ADB"/>
    <w:rsid w:val="00930AE8"/>
    <w:rsid w:val="00930B1F"/>
    <w:rsid w:val="00930B67"/>
    <w:rsid w:val="00930BC4"/>
    <w:rsid w:val="00930C17"/>
    <w:rsid w:val="00930C1F"/>
    <w:rsid w:val="00930C21"/>
    <w:rsid w:val="00930C50"/>
    <w:rsid w:val="00930C6A"/>
    <w:rsid w:val="00930C8C"/>
    <w:rsid w:val="00930CC6"/>
    <w:rsid w:val="00930CE2"/>
    <w:rsid w:val="00930CFB"/>
    <w:rsid w:val="00930D04"/>
    <w:rsid w:val="00930D3E"/>
    <w:rsid w:val="00930D7B"/>
    <w:rsid w:val="00930D81"/>
    <w:rsid w:val="00930D9F"/>
    <w:rsid w:val="00930DEF"/>
    <w:rsid w:val="00930E3A"/>
    <w:rsid w:val="00930E7D"/>
    <w:rsid w:val="00930ECC"/>
    <w:rsid w:val="00930EF7"/>
    <w:rsid w:val="00930F04"/>
    <w:rsid w:val="00930F08"/>
    <w:rsid w:val="00930F0D"/>
    <w:rsid w:val="00930F3F"/>
    <w:rsid w:val="00930FED"/>
    <w:rsid w:val="00930FFD"/>
    <w:rsid w:val="0093102D"/>
    <w:rsid w:val="00931030"/>
    <w:rsid w:val="00931078"/>
    <w:rsid w:val="0093107D"/>
    <w:rsid w:val="0093107F"/>
    <w:rsid w:val="00931099"/>
    <w:rsid w:val="009310E7"/>
    <w:rsid w:val="009310FB"/>
    <w:rsid w:val="0093110C"/>
    <w:rsid w:val="00931117"/>
    <w:rsid w:val="00931118"/>
    <w:rsid w:val="0093111F"/>
    <w:rsid w:val="0093112E"/>
    <w:rsid w:val="00931135"/>
    <w:rsid w:val="0093114F"/>
    <w:rsid w:val="00931180"/>
    <w:rsid w:val="00931197"/>
    <w:rsid w:val="009311B0"/>
    <w:rsid w:val="009311E8"/>
    <w:rsid w:val="00931206"/>
    <w:rsid w:val="00931227"/>
    <w:rsid w:val="00931257"/>
    <w:rsid w:val="00931267"/>
    <w:rsid w:val="009312FF"/>
    <w:rsid w:val="00931318"/>
    <w:rsid w:val="00931319"/>
    <w:rsid w:val="00931331"/>
    <w:rsid w:val="00931343"/>
    <w:rsid w:val="0093134C"/>
    <w:rsid w:val="0093134E"/>
    <w:rsid w:val="00931377"/>
    <w:rsid w:val="0093137D"/>
    <w:rsid w:val="00931383"/>
    <w:rsid w:val="00931387"/>
    <w:rsid w:val="00931398"/>
    <w:rsid w:val="009313A7"/>
    <w:rsid w:val="009313C5"/>
    <w:rsid w:val="009313E1"/>
    <w:rsid w:val="009313F0"/>
    <w:rsid w:val="009313FF"/>
    <w:rsid w:val="00931471"/>
    <w:rsid w:val="00931490"/>
    <w:rsid w:val="009314BB"/>
    <w:rsid w:val="009314DC"/>
    <w:rsid w:val="009314E1"/>
    <w:rsid w:val="00931528"/>
    <w:rsid w:val="00931532"/>
    <w:rsid w:val="00931555"/>
    <w:rsid w:val="00931579"/>
    <w:rsid w:val="0093159B"/>
    <w:rsid w:val="009315B7"/>
    <w:rsid w:val="00931611"/>
    <w:rsid w:val="00931705"/>
    <w:rsid w:val="0093171A"/>
    <w:rsid w:val="009317B8"/>
    <w:rsid w:val="00931819"/>
    <w:rsid w:val="00931826"/>
    <w:rsid w:val="00931840"/>
    <w:rsid w:val="00931863"/>
    <w:rsid w:val="009318D7"/>
    <w:rsid w:val="009318EB"/>
    <w:rsid w:val="00931907"/>
    <w:rsid w:val="0093191C"/>
    <w:rsid w:val="00931986"/>
    <w:rsid w:val="009319C7"/>
    <w:rsid w:val="009319D2"/>
    <w:rsid w:val="009319D7"/>
    <w:rsid w:val="009319EE"/>
    <w:rsid w:val="009319F1"/>
    <w:rsid w:val="00931A29"/>
    <w:rsid w:val="00931A2F"/>
    <w:rsid w:val="00931A75"/>
    <w:rsid w:val="00931A7F"/>
    <w:rsid w:val="00931A83"/>
    <w:rsid w:val="00931A8A"/>
    <w:rsid w:val="00931A9D"/>
    <w:rsid w:val="00931AAA"/>
    <w:rsid w:val="00931ACF"/>
    <w:rsid w:val="00931B55"/>
    <w:rsid w:val="00931B84"/>
    <w:rsid w:val="00931B85"/>
    <w:rsid w:val="00931BAA"/>
    <w:rsid w:val="00931BEE"/>
    <w:rsid w:val="00931C21"/>
    <w:rsid w:val="00931C33"/>
    <w:rsid w:val="00931C4E"/>
    <w:rsid w:val="00931C66"/>
    <w:rsid w:val="00931C75"/>
    <w:rsid w:val="00931CB7"/>
    <w:rsid w:val="00931CE5"/>
    <w:rsid w:val="00931D0A"/>
    <w:rsid w:val="00931D20"/>
    <w:rsid w:val="00931D8A"/>
    <w:rsid w:val="00931DAE"/>
    <w:rsid w:val="00931DEF"/>
    <w:rsid w:val="00931E19"/>
    <w:rsid w:val="00931E2B"/>
    <w:rsid w:val="00931E37"/>
    <w:rsid w:val="00931E60"/>
    <w:rsid w:val="00931E75"/>
    <w:rsid w:val="00931E7B"/>
    <w:rsid w:val="00931EAC"/>
    <w:rsid w:val="00931EEE"/>
    <w:rsid w:val="00931F33"/>
    <w:rsid w:val="00931F67"/>
    <w:rsid w:val="00931F83"/>
    <w:rsid w:val="00931F9F"/>
    <w:rsid w:val="00931FB0"/>
    <w:rsid w:val="00931FC2"/>
    <w:rsid w:val="00931FE0"/>
    <w:rsid w:val="00931FF5"/>
    <w:rsid w:val="0093200D"/>
    <w:rsid w:val="0093201B"/>
    <w:rsid w:val="00932043"/>
    <w:rsid w:val="0093206F"/>
    <w:rsid w:val="00932087"/>
    <w:rsid w:val="009320AA"/>
    <w:rsid w:val="009320C1"/>
    <w:rsid w:val="00932100"/>
    <w:rsid w:val="00932138"/>
    <w:rsid w:val="0093213F"/>
    <w:rsid w:val="00932173"/>
    <w:rsid w:val="009321E2"/>
    <w:rsid w:val="009321E5"/>
    <w:rsid w:val="00932217"/>
    <w:rsid w:val="0093226C"/>
    <w:rsid w:val="009322BC"/>
    <w:rsid w:val="00932313"/>
    <w:rsid w:val="00932319"/>
    <w:rsid w:val="00932334"/>
    <w:rsid w:val="0093234C"/>
    <w:rsid w:val="00932378"/>
    <w:rsid w:val="00932386"/>
    <w:rsid w:val="009323A7"/>
    <w:rsid w:val="009323B1"/>
    <w:rsid w:val="009323B4"/>
    <w:rsid w:val="009323F6"/>
    <w:rsid w:val="00932428"/>
    <w:rsid w:val="0093242B"/>
    <w:rsid w:val="0093249D"/>
    <w:rsid w:val="009324A1"/>
    <w:rsid w:val="009324D7"/>
    <w:rsid w:val="00932504"/>
    <w:rsid w:val="00932530"/>
    <w:rsid w:val="00932585"/>
    <w:rsid w:val="009325FF"/>
    <w:rsid w:val="00932623"/>
    <w:rsid w:val="00932626"/>
    <w:rsid w:val="00932663"/>
    <w:rsid w:val="0093266C"/>
    <w:rsid w:val="009326B1"/>
    <w:rsid w:val="009326C9"/>
    <w:rsid w:val="009326DA"/>
    <w:rsid w:val="009326DE"/>
    <w:rsid w:val="00932722"/>
    <w:rsid w:val="00932748"/>
    <w:rsid w:val="0093274B"/>
    <w:rsid w:val="0093278B"/>
    <w:rsid w:val="009327C2"/>
    <w:rsid w:val="009327DA"/>
    <w:rsid w:val="00932814"/>
    <w:rsid w:val="00932863"/>
    <w:rsid w:val="00932900"/>
    <w:rsid w:val="00932903"/>
    <w:rsid w:val="0093290F"/>
    <w:rsid w:val="0093292F"/>
    <w:rsid w:val="00932934"/>
    <w:rsid w:val="00932952"/>
    <w:rsid w:val="00932954"/>
    <w:rsid w:val="009329B8"/>
    <w:rsid w:val="00932A7D"/>
    <w:rsid w:val="00932A8A"/>
    <w:rsid w:val="00932A94"/>
    <w:rsid w:val="00932AAF"/>
    <w:rsid w:val="00932ACB"/>
    <w:rsid w:val="00932B3B"/>
    <w:rsid w:val="00932B5B"/>
    <w:rsid w:val="00932B75"/>
    <w:rsid w:val="00932BC1"/>
    <w:rsid w:val="00932C05"/>
    <w:rsid w:val="00932C0A"/>
    <w:rsid w:val="00932C2B"/>
    <w:rsid w:val="00932C6E"/>
    <w:rsid w:val="00932C7B"/>
    <w:rsid w:val="00932C81"/>
    <w:rsid w:val="00932CA4"/>
    <w:rsid w:val="00932CB8"/>
    <w:rsid w:val="00932CBB"/>
    <w:rsid w:val="00932CBD"/>
    <w:rsid w:val="00932CF9"/>
    <w:rsid w:val="00932D2A"/>
    <w:rsid w:val="00932D55"/>
    <w:rsid w:val="00932E0B"/>
    <w:rsid w:val="00932E2A"/>
    <w:rsid w:val="00932E9B"/>
    <w:rsid w:val="00932E9D"/>
    <w:rsid w:val="00932EA1"/>
    <w:rsid w:val="00932ED6"/>
    <w:rsid w:val="00932ED8"/>
    <w:rsid w:val="00932F06"/>
    <w:rsid w:val="00932F1C"/>
    <w:rsid w:val="00932F3E"/>
    <w:rsid w:val="00932F5B"/>
    <w:rsid w:val="00932FD4"/>
    <w:rsid w:val="0093308B"/>
    <w:rsid w:val="009330BB"/>
    <w:rsid w:val="009330FD"/>
    <w:rsid w:val="00933114"/>
    <w:rsid w:val="0093314C"/>
    <w:rsid w:val="0093318B"/>
    <w:rsid w:val="009331B0"/>
    <w:rsid w:val="009331DB"/>
    <w:rsid w:val="009331E7"/>
    <w:rsid w:val="009331ED"/>
    <w:rsid w:val="00933232"/>
    <w:rsid w:val="00933239"/>
    <w:rsid w:val="0093326F"/>
    <w:rsid w:val="009332BD"/>
    <w:rsid w:val="009332CF"/>
    <w:rsid w:val="009332D6"/>
    <w:rsid w:val="009332F6"/>
    <w:rsid w:val="00933344"/>
    <w:rsid w:val="009333CB"/>
    <w:rsid w:val="009333E1"/>
    <w:rsid w:val="0093343E"/>
    <w:rsid w:val="0093345E"/>
    <w:rsid w:val="00933473"/>
    <w:rsid w:val="00933488"/>
    <w:rsid w:val="0093351A"/>
    <w:rsid w:val="00933527"/>
    <w:rsid w:val="0093354D"/>
    <w:rsid w:val="00933555"/>
    <w:rsid w:val="00933568"/>
    <w:rsid w:val="009335C1"/>
    <w:rsid w:val="009335CF"/>
    <w:rsid w:val="009335EB"/>
    <w:rsid w:val="00933604"/>
    <w:rsid w:val="00933661"/>
    <w:rsid w:val="00933676"/>
    <w:rsid w:val="0093370A"/>
    <w:rsid w:val="0093371C"/>
    <w:rsid w:val="00933757"/>
    <w:rsid w:val="00933783"/>
    <w:rsid w:val="009337E0"/>
    <w:rsid w:val="00933830"/>
    <w:rsid w:val="00933855"/>
    <w:rsid w:val="009338EC"/>
    <w:rsid w:val="00933983"/>
    <w:rsid w:val="0093398D"/>
    <w:rsid w:val="009339CC"/>
    <w:rsid w:val="00933A10"/>
    <w:rsid w:val="00933A32"/>
    <w:rsid w:val="00933A42"/>
    <w:rsid w:val="00933A79"/>
    <w:rsid w:val="00933A99"/>
    <w:rsid w:val="00933B1B"/>
    <w:rsid w:val="00933B60"/>
    <w:rsid w:val="00933BB4"/>
    <w:rsid w:val="00933BBE"/>
    <w:rsid w:val="00933C78"/>
    <w:rsid w:val="00933C7E"/>
    <w:rsid w:val="00933C99"/>
    <w:rsid w:val="00933CA3"/>
    <w:rsid w:val="00933CE5"/>
    <w:rsid w:val="00933D1D"/>
    <w:rsid w:val="00933D3F"/>
    <w:rsid w:val="00933D47"/>
    <w:rsid w:val="00933D92"/>
    <w:rsid w:val="00933DB4"/>
    <w:rsid w:val="00933E43"/>
    <w:rsid w:val="00933E4E"/>
    <w:rsid w:val="00933E53"/>
    <w:rsid w:val="00933E91"/>
    <w:rsid w:val="00933EEC"/>
    <w:rsid w:val="00933F4D"/>
    <w:rsid w:val="00933F65"/>
    <w:rsid w:val="00933F7E"/>
    <w:rsid w:val="00933FBA"/>
    <w:rsid w:val="00933FD4"/>
    <w:rsid w:val="0093401F"/>
    <w:rsid w:val="00934027"/>
    <w:rsid w:val="00934083"/>
    <w:rsid w:val="00934088"/>
    <w:rsid w:val="00934091"/>
    <w:rsid w:val="0093409F"/>
    <w:rsid w:val="009340DF"/>
    <w:rsid w:val="00934106"/>
    <w:rsid w:val="0093410B"/>
    <w:rsid w:val="0093414C"/>
    <w:rsid w:val="009341A4"/>
    <w:rsid w:val="009341BB"/>
    <w:rsid w:val="00934212"/>
    <w:rsid w:val="0093421B"/>
    <w:rsid w:val="00934240"/>
    <w:rsid w:val="00934262"/>
    <w:rsid w:val="00934273"/>
    <w:rsid w:val="009342A3"/>
    <w:rsid w:val="009342B3"/>
    <w:rsid w:val="009342ED"/>
    <w:rsid w:val="0093430B"/>
    <w:rsid w:val="0093432F"/>
    <w:rsid w:val="00934378"/>
    <w:rsid w:val="009343EB"/>
    <w:rsid w:val="009343FB"/>
    <w:rsid w:val="0093440D"/>
    <w:rsid w:val="00934473"/>
    <w:rsid w:val="00934480"/>
    <w:rsid w:val="00934489"/>
    <w:rsid w:val="009344D5"/>
    <w:rsid w:val="009345AD"/>
    <w:rsid w:val="009345B8"/>
    <w:rsid w:val="009345EC"/>
    <w:rsid w:val="0093466D"/>
    <w:rsid w:val="00934691"/>
    <w:rsid w:val="00934693"/>
    <w:rsid w:val="009346FD"/>
    <w:rsid w:val="0093470B"/>
    <w:rsid w:val="00934753"/>
    <w:rsid w:val="009347A6"/>
    <w:rsid w:val="009347C0"/>
    <w:rsid w:val="009347DC"/>
    <w:rsid w:val="009347FE"/>
    <w:rsid w:val="0093482B"/>
    <w:rsid w:val="00934839"/>
    <w:rsid w:val="0093483D"/>
    <w:rsid w:val="0093484A"/>
    <w:rsid w:val="0093485A"/>
    <w:rsid w:val="0093487A"/>
    <w:rsid w:val="009348B8"/>
    <w:rsid w:val="009348B9"/>
    <w:rsid w:val="009348C9"/>
    <w:rsid w:val="00934960"/>
    <w:rsid w:val="00934970"/>
    <w:rsid w:val="00934980"/>
    <w:rsid w:val="0093499F"/>
    <w:rsid w:val="009349BA"/>
    <w:rsid w:val="009349CC"/>
    <w:rsid w:val="00934A2C"/>
    <w:rsid w:val="00934A40"/>
    <w:rsid w:val="00934A60"/>
    <w:rsid w:val="00934A6A"/>
    <w:rsid w:val="00934B11"/>
    <w:rsid w:val="00934B68"/>
    <w:rsid w:val="00934B8D"/>
    <w:rsid w:val="00934BC0"/>
    <w:rsid w:val="00934C5D"/>
    <w:rsid w:val="00934CE2"/>
    <w:rsid w:val="00934D22"/>
    <w:rsid w:val="00934D24"/>
    <w:rsid w:val="00934D54"/>
    <w:rsid w:val="00934D77"/>
    <w:rsid w:val="00934D8A"/>
    <w:rsid w:val="00934D96"/>
    <w:rsid w:val="00934DAC"/>
    <w:rsid w:val="00934DB6"/>
    <w:rsid w:val="00934DD9"/>
    <w:rsid w:val="00934E20"/>
    <w:rsid w:val="00934E65"/>
    <w:rsid w:val="00934E86"/>
    <w:rsid w:val="00934EC5"/>
    <w:rsid w:val="00934ED2"/>
    <w:rsid w:val="00934ED5"/>
    <w:rsid w:val="00934ED7"/>
    <w:rsid w:val="00934EFE"/>
    <w:rsid w:val="00934F4D"/>
    <w:rsid w:val="00934F8B"/>
    <w:rsid w:val="00934FA4"/>
    <w:rsid w:val="00934FF0"/>
    <w:rsid w:val="00934FF1"/>
    <w:rsid w:val="00935001"/>
    <w:rsid w:val="00935024"/>
    <w:rsid w:val="0093507D"/>
    <w:rsid w:val="009350B7"/>
    <w:rsid w:val="009350C3"/>
    <w:rsid w:val="0093510C"/>
    <w:rsid w:val="00935129"/>
    <w:rsid w:val="00935147"/>
    <w:rsid w:val="0093517B"/>
    <w:rsid w:val="00935198"/>
    <w:rsid w:val="00935210"/>
    <w:rsid w:val="00935283"/>
    <w:rsid w:val="00935284"/>
    <w:rsid w:val="0093529F"/>
    <w:rsid w:val="009352BA"/>
    <w:rsid w:val="009352DE"/>
    <w:rsid w:val="009352FC"/>
    <w:rsid w:val="00935309"/>
    <w:rsid w:val="00935360"/>
    <w:rsid w:val="0093536C"/>
    <w:rsid w:val="00935408"/>
    <w:rsid w:val="00935410"/>
    <w:rsid w:val="00935427"/>
    <w:rsid w:val="00935434"/>
    <w:rsid w:val="00935460"/>
    <w:rsid w:val="00935461"/>
    <w:rsid w:val="00935462"/>
    <w:rsid w:val="0093546F"/>
    <w:rsid w:val="00935471"/>
    <w:rsid w:val="009354A7"/>
    <w:rsid w:val="00935516"/>
    <w:rsid w:val="0093551B"/>
    <w:rsid w:val="00935552"/>
    <w:rsid w:val="0093555E"/>
    <w:rsid w:val="00935577"/>
    <w:rsid w:val="0093557C"/>
    <w:rsid w:val="009355AE"/>
    <w:rsid w:val="009355ED"/>
    <w:rsid w:val="009355F7"/>
    <w:rsid w:val="0093560C"/>
    <w:rsid w:val="00935628"/>
    <w:rsid w:val="00935654"/>
    <w:rsid w:val="009356C0"/>
    <w:rsid w:val="009356E4"/>
    <w:rsid w:val="0093578E"/>
    <w:rsid w:val="009357B5"/>
    <w:rsid w:val="0093588A"/>
    <w:rsid w:val="009358EB"/>
    <w:rsid w:val="009358F5"/>
    <w:rsid w:val="0093590E"/>
    <w:rsid w:val="0093596F"/>
    <w:rsid w:val="009359AC"/>
    <w:rsid w:val="009359D5"/>
    <w:rsid w:val="009359E5"/>
    <w:rsid w:val="00935A75"/>
    <w:rsid w:val="00935A81"/>
    <w:rsid w:val="00935B87"/>
    <w:rsid w:val="00935B8C"/>
    <w:rsid w:val="00935BA5"/>
    <w:rsid w:val="00935C08"/>
    <w:rsid w:val="00935C0B"/>
    <w:rsid w:val="00935C62"/>
    <w:rsid w:val="00935C9D"/>
    <w:rsid w:val="00935CDF"/>
    <w:rsid w:val="00935D0B"/>
    <w:rsid w:val="00935D21"/>
    <w:rsid w:val="00935DB5"/>
    <w:rsid w:val="00935DCD"/>
    <w:rsid w:val="00935DE1"/>
    <w:rsid w:val="00935E16"/>
    <w:rsid w:val="00935E57"/>
    <w:rsid w:val="00935E80"/>
    <w:rsid w:val="00935E81"/>
    <w:rsid w:val="00935EAB"/>
    <w:rsid w:val="00935ED9"/>
    <w:rsid w:val="00935EE5"/>
    <w:rsid w:val="00935F22"/>
    <w:rsid w:val="00935F2D"/>
    <w:rsid w:val="00935F5A"/>
    <w:rsid w:val="00935F9D"/>
    <w:rsid w:val="00935FAB"/>
    <w:rsid w:val="00935FCF"/>
    <w:rsid w:val="00936017"/>
    <w:rsid w:val="00936025"/>
    <w:rsid w:val="00936078"/>
    <w:rsid w:val="009360C2"/>
    <w:rsid w:val="00936246"/>
    <w:rsid w:val="009362BF"/>
    <w:rsid w:val="00936314"/>
    <w:rsid w:val="00936317"/>
    <w:rsid w:val="0093634C"/>
    <w:rsid w:val="009363A4"/>
    <w:rsid w:val="009363C5"/>
    <w:rsid w:val="009363E8"/>
    <w:rsid w:val="0093641F"/>
    <w:rsid w:val="00936426"/>
    <w:rsid w:val="00936496"/>
    <w:rsid w:val="009364B7"/>
    <w:rsid w:val="009364FA"/>
    <w:rsid w:val="00936529"/>
    <w:rsid w:val="0093657D"/>
    <w:rsid w:val="0093657F"/>
    <w:rsid w:val="009365BE"/>
    <w:rsid w:val="009365CA"/>
    <w:rsid w:val="0093661F"/>
    <w:rsid w:val="0093666E"/>
    <w:rsid w:val="0093667E"/>
    <w:rsid w:val="0093668B"/>
    <w:rsid w:val="009366A5"/>
    <w:rsid w:val="009366CE"/>
    <w:rsid w:val="009366DA"/>
    <w:rsid w:val="009366EF"/>
    <w:rsid w:val="0093672B"/>
    <w:rsid w:val="00936763"/>
    <w:rsid w:val="0093676C"/>
    <w:rsid w:val="00936778"/>
    <w:rsid w:val="009367BB"/>
    <w:rsid w:val="009367D8"/>
    <w:rsid w:val="009367E9"/>
    <w:rsid w:val="00936806"/>
    <w:rsid w:val="0093680D"/>
    <w:rsid w:val="00936821"/>
    <w:rsid w:val="009368C6"/>
    <w:rsid w:val="0093697C"/>
    <w:rsid w:val="009369CA"/>
    <w:rsid w:val="00936A16"/>
    <w:rsid w:val="00936A6E"/>
    <w:rsid w:val="00936AA5"/>
    <w:rsid w:val="00936B35"/>
    <w:rsid w:val="00936B4E"/>
    <w:rsid w:val="00936B75"/>
    <w:rsid w:val="00936B7F"/>
    <w:rsid w:val="00936B9E"/>
    <w:rsid w:val="00936BA0"/>
    <w:rsid w:val="00936BCE"/>
    <w:rsid w:val="00936BD0"/>
    <w:rsid w:val="00936C2A"/>
    <w:rsid w:val="00936C3B"/>
    <w:rsid w:val="00936C54"/>
    <w:rsid w:val="00936C87"/>
    <w:rsid w:val="00936CF7"/>
    <w:rsid w:val="00936D53"/>
    <w:rsid w:val="00936D6C"/>
    <w:rsid w:val="00936D7E"/>
    <w:rsid w:val="00936D82"/>
    <w:rsid w:val="00936D8C"/>
    <w:rsid w:val="00936DAF"/>
    <w:rsid w:val="00936DC6"/>
    <w:rsid w:val="00936DE9"/>
    <w:rsid w:val="00936DEE"/>
    <w:rsid w:val="00936DF1"/>
    <w:rsid w:val="00936E3B"/>
    <w:rsid w:val="00936E72"/>
    <w:rsid w:val="00936EE7"/>
    <w:rsid w:val="00936EFF"/>
    <w:rsid w:val="00936FBF"/>
    <w:rsid w:val="00936FC7"/>
    <w:rsid w:val="0093703B"/>
    <w:rsid w:val="0093703F"/>
    <w:rsid w:val="00937049"/>
    <w:rsid w:val="00937073"/>
    <w:rsid w:val="0093712C"/>
    <w:rsid w:val="00937170"/>
    <w:rsid w:val="0093717C"/>
    <w:rsid w:val="009371E7"/>
    <w:rsid w:val="009371F5"/>
    <w:rsid w:val="00937214"/>
    <w:rsid w:val="00937270"/>
    <w:rsid w:val="009372C3"/>
    <w:rsid w:val="00937302"/>
    <w:rsid w:val="00937322"/>
    <w:rsid w:val="0093733D"/>
    <w:rsid w:val="00937342"/>
    <w:rsid w:val="00937361"/>
    <w:rsid w:val="0093737A"/>
    <w:rsid w:val="009373DD"/>
    <w:rsid w:val="00937426"/>
    <w:rsid w:val="00937434"/>
    <w:rsid w:val="0093744A"/>
    <w:rsid w:val="00937468"/>
    <w:rsid w:val="0093747C"/>
    <w:rsid w:val="009374B3"/>
    <w:rsid w:val="00937542"/>
    <w:rsid w:val="00937549"/>
    <w:rsid w:val="0093754F"/>
    <w:rsid w:val="009375A9"/>
    <w:rsid w:val="0093763E"/>
    <w:rsid w:val="0093764B"/>
    <w:rsid w:val="00937651"/>
    <w:rsid w:val="00937662"/>
    <w:rsid w:val="009376A9"/>
    <w:rsid w:val="009376AB"/>
    <w:rsid w:val="009376EA"/>
    <w:rsid w:val="009376EF"/>
    <w:rsid w:val="009376F0"/>
    <w:rsid w:val="00937709"/>
    <w:rsid w:val="00937738"/>
    <w:rsid w:val="0093779C"/>
    <w:rsid w:val="009377C8"/>
    <w:rsid w:val="009377F5"/>
    <w:rsid w:val="00937843"/>
    <w:rsid w:val="0093789A"/>
    <w:rsid w:val="009378A7"/>
    <w:rsid w:val="0093795C"/>
    <w:rsid w:val="009379AC"/>
    <w:rsid w:val="009379C0"/>
    <w:rsid w:val="009379C7"/>
    <w:rsid w:val="009379D5"/>
    <w:rsid w:val="009379EF"/>
    <w:rsid w:val="00937A6C"/>
    <w:rsid w:val="00937AC1"/>
    <w:rsid w:val="00937AC8"/>
    <w:rsid w:val="00937B60"/>
    <w:rsid w:val="00937B71"/>
    <w:rsid w:val="00937B78"/>
    <w:rsid w:val="00937BB0"/>
    <w:rsid w:val="00937BB4"/>
    <w:rsid w:val="00937BD5"/>
    <w:rsid w:val="00937C31"/>
    <w:rsid w:val="00937C92"/>
    <w:rsid w:val="00937C97"/>
    <w:rsid w:val="00937D2D"/>
    <w:rsid w:val="00937D95"/>
    <w:rsid w:val="00937DE4"/>
    <w:rsid w:val="00937DEE"/>
    <w:rsid w:val="00937DF1"/>
    <w:rsid w:val="00937DF2"/>
    <w:rsid w:val="00937E04"/>
    <w:rsid w:val="00937E35"/>
    <w:rsid w:val="00937E40"/>
    <w:rsid w:val="00937E45"/>
    <w:rsid w:val="00937E48"/>
    <w:rsid w:val="00937E97"/>
    <w:rsid w:val="00937F0C"/>
    <w:rsid w:val="00937F41"/>
    <w:rsid w:val="00937F6D"/>
    <w:rsid w:val="00937F70"/>
    <w:rsid w:val="00937F7F"/>
    <w:rsid w:val="00937F9F"/>
    <w:rsid w:val="00937FDD"/>
    <w:rsid w:val="00937FE7"/>
    <w:rsid w:val="00937FEE"/>
    <w:rsid w:val="00937FF8"/>
    <w:rsid w:val="0094001E"/>
    <w:rsid w:val="0094007B"/>
    <w:rsid w:val="0094008F"/>
    <w:rsid w:val="00940099"/>
    <w:rsid w:val="0094009F"/>
    <w:rsid w:val="009400A1"/>
    <w:rsid w:val="009400A4"/>
    <w:rsid w:val="009400CA"/>
    <w:rsid w:val="009400E3"/>
    <w:rsid w:val="009400F4"/>
    <w:rsid w:val="00940110"/>
    <w:rsid w:val="00940117"/>
    <w:rsid w:val="00940119"/>
    <w:rsid w:val="0094015C"/>
    <w:rsid w:val="00940191"/>
    <w:rsid w:val="00940193"/>
    <w:rsid w:val="0094019F"/>
    <w:rsid w:val="009401DA"/>
    <w:rsid w:val="009401EB"/>
    <w:rsid w:val="00940256"/>
    <w:rsid w:val="0094028D"/>
    <w:rsid w:val="00940295"/>
    <w:rsid w:val="00940317"/>
    <w:rsid w:val="009403DE"/>
    <w:rsid w:val="009403FA"/>
    <w:rsid w:val="0094042B"/>
    <w:rsid w:val="00940472"/>
    <w:rsid w:val="00940481"/>
    <w:rsid w:val="0094049B"/>
    <w:rsid w:val="009404B8"/>
    <w:rsid w:val="009404F6"/>
    <w:rsid w:val="009404FC"/>
    <w:rsid w:val="00940514"/>
    <w:rsid w:val="00940531"/>
    <w:rsid w:val="009405B1"/>
    <w:rsid w:val="009405DF"/>
    <w:rsid w:val="009405F8"/>
    <w:rsid w:val="00940602"/>
    <w:rsid w:val="00940613"/>
    <w:rsid w:val="009406FA"/>
    <w:rsid w:val="00940719"/>
    <w:rsid w:val="00940734"/>
    <w:rsid w:val="00940799"/>
    <w:rsid w:val="0094087A"/>
    <w:rsid w:val="009408A8"/>
    <w:rsid w:val="009408B4"/>
    <w:rsid w:val="00940937"/>
    <w:rsid w:val="00940942"/>
    <w:rsid w:val="009409A6"/>
    <w:rsid w:val="009409AB"/>
    <w:rsid w:val="009409D0"/>
    <w:rsid w:val="00940A39"/>
    <w:rsid w:val="00940A5F"/>
    <w:rsid w:val="00940AA0"/>
    <w:rsid w:val="00940AB2"/>
    <w:rsid w:val="00940AB9"/>
    <w:rsid w:val="00940ABA"/>
    <w:rsid w:val="00940AE7"/>
    <w:rsid w:val="00940B26"/>
    <w:rsid w:val="00940B41"/>
    <w:rsid w:val="00940B48"/>
    <w:rsid w:val="00940B5B"/>
    <w:rsid w:val="00940B86"/>
    <w:rsid w:val="00940B9B"/>
    <w:rsid w:val="00940BD3"/>
    <w:rsid w:val="00940BEC"/>
    <w:rsid w:val="00940C73"/>
    <w:rsid w:val="00940C98"/>
    <w:rsid w:val="00940CF2"/>
    <w:rsid w:val="00940D0A"/>
    <w:rsid w:val="00940D81"/>
    <w:rsid w:val="00940D90"/>
    <w:rsid w:val="00940DB4"/>
    <w:rsid w:val="00940DB9"/>
    <w:rsid w:val="00940E22"/>
    <w:rsid w:val="00940E3B"/>
    <w:rsid w:val="00940E51"/>
    <w:rsid w:val="00940E75"/>
    <w:rsid w:val="00940F9B"/>
    <w:rsid w:val="00940FCE"/>
    <w:rsid w:val="00941003"/>
    <w:rsid w:val="0094102B"/>
    <w:rsid w:val="0094102C"/>
    <w:rsid w:val="0094105A"/>
    <w:rsid w:val="00941070"/>
    <w:rsid w:val="009410A3"/>
    <w:rsid w:val="009410DF"/>
    <w:rsid w:val="0094110D"/>
    <w:rsid w:val="009411BB"/>
    <w:rsid w:val="009411C9"/>
    <w:rsid w:val="009411D1"/>
    <w:rsid w:val="009411D6"/>
    <w:rsid w:val="009411F8"/>
    <w:rsid w:val="0094120B"/>
    <w:rsid w:val="00941233"/>
    <w:rsid w:val="0094123F"/>
    <w:rsid w:val="00941267"/>
    <w:rsid w:val="009412C9"/>
    <w:rsid w:val="00941303"/>
    <w:rsid w:val="00941305"/>
    <w:rsid w:val="00941314"/>
    <w:rsid w:val="00941319"/>
    <w:rsid w:val="00941324"/>
    <w:rsid w:val="00941327"/>
    <w:rsid w:val="00941349"/>
    <w:rsid w:val="009413C6"/>
    <w:rsid w:val="009413C8"/>
    <w:rsid w:val="0094140C"/>
    <w:rsid w:val="00941415"/>
    <w:rsid w:val="009414A0"/>
    <w:rsid w:val="009414CD"/>
    <w:rsid w:val="009414FB"/>
    <w:rsid w:val="00941513"/>
    <w:rsid w:val="0094151F"/>
    <w:rsid w:val="0094154F"/>
    <w:rsid w:val="0094159A"/>
    <w:rsid w:val="009415CA"/>
    <w:rsid w:val="009415D8"/>
    <w:rsid w:val="009415E0"/>
    <w:rsid w:val="009415E6"/>
    <w:rsid w:val="0094163B"/>
    <w:rsid w:val="0094166B"/>
    <w:rsid w:val="009416B0"/>
    <w:rsid w:val="009416F0"/>
    <w:rsid w:val="009416FA"/>
    <w:rsid w:val="0094171D"/>
    <w:rsid w:val="00941770"/>
    <w:rsid w:val="009417D4"/>
    <w:rsid w:val="009417E9"/>
    <w:rsid w:val="009417EA"/>
    <w:rsid w:val="00941858"/>
    <w:rsid w:val="0094186C"/>
    <w:rsid w:val="009418CA"/>
    <w:rsid w:val="009418EA"/>
    <w:rsid w:val="0094194F"/>
    <w:rsid w:val="00941957"/>
    <w:rsid w:val="0094196C"/>
    <w:rsid w:val="009419BF"/>
    <w:rsid w:val="00941A29"/>
    <w:rsid w:val="00941A5A"/>
    <w:rsid w:val="00941A7E"/>
    <w:rsid w:val="00941A88"/>
    <w:rsid w:val="00941AC1"/>
    <w:rsid w:val="00941B0E"/>
    <w:rsid w:val="00941B17"/>
    <w:rsid w:val="00941B2C"/>
    <w:rsid w:val="00941B45"/>
    <w:rsid w:val="00941B67"/>
    <w:rsid w:val="00941B94"/>
    <w:rsid w:val="00941BB3"/>
    <w:rsid w:val="00941BB7"/>
    <w:rsid w:val="00941BEF"/>
    <w:rsid w:val="00941C18"/>
    <w:rsid w:val="00941C38"/>
    <w:rsid w:val="00941C39"/>
    <w:rsid w:val="00941C55"/>
    <w:rsid w:val="00941C57"/>
    <w:rsid w:val="00941C83"/>
    <w:rsid w:val="00941C97"/>
    <w:rsid w:val="00941CB8"/>
    <w:rsid w:val="00941CF5"/>
    <w:rsid w:val="00941CF8"/>
    <w:rsid w:val="00941D17"/>
    <w:rsid w:val="00941D36"/>
    <w:rsid w:val="00941D8D"/>
    <w:rsid w:val="00941DAC"/>
    <w:rsid w:val="00941E19"/>
    <w:rsid w:val="00941E28"/>
    <w:rsid w:val="00941E3A"/>
    <w:rsid w:val="00941E8A"/>
    <w:rsid w:val="00941EA0"/>
    <w:rsid w:val="00941EA4"/>
    <w:rsid w:val="00941EB5"/>
    <w:rsid w:val="00941EB6"/>
    <w:rsid w:val="00941ED8"/>
    <w:rsid w:val="00941EE1"/>
    <w:rsid w:val="00941EFF"/>
    <w:rsid w:val="00941F06"/>
    <w:rsid w:val="00941F2A"/>
    <w:rsid w:val="00941F6E"/>
    <w:rsid w:val="00941F9C"/>
    <w:rsid w:val="00941FC2"/>
    <w:rsid w:val="0094200F"/>
    <w:rsid w:val="009420CD"/>
    <w:rsid w:val="009420DF"/>
    <w:rsid w:val="0094213E"/>
    <w:rsid w:val="00942155"/>
    <w:rsid w:val="00942199"/>
    <w:rsid w:val="0094220D"/>
    <w:rsid w:val="00942235"/>
    <w:rsid w:val="00942286"/>
    <w:rsid w:val="00942287"/>
    <w:rsid w:val="00942310"/>
    <w:rsid w:val="0094236D"/>
    <w:rsid w:val="00942386"/>
    <w:rsid w:val="00942396"/>
    <w:rsid w:val="0094239D"/>
    <w:rsid w:val="009423AD"/>
    <w:rsid w:val="009423D4"/>
    <w:rsid w:val="009423EC"/>
    <w:rsid w:val="00942447"/>
    <w:rsid w:val="00942476"/>
    <w:rsid w:val="009424A5"/>
    <w:rsid w:val="009424E1"/>
    <w:rsid w:val="009424F5"/>
    <w:rsid w:val="00942544"/>
    <w:rsid w:val="00942569"/>
    <w:rsid w:val="00942576"/>
    <w:rsid w:val="0094257C"/>
    <w:rsid w:val="0094257D"/>
    <w:rsid w:val="00942632"/>
    <w:rsid w:val="0094264E"/>
    <w:rsid w:val="0094269A"/>
    <w:rsid w:val="009426A8"/>
    <w:rsid w:val="009426D9"/>
    <w:rsid w:val="00942705"/>
    <w:rsid w:val="00942738"/>
    <w:rsid w:val="0094273E"/>
    <w:rsid w:val="00942760"/>
    <w:rsid w:val="009427DD"/>
    <w:rsid w:val="00942854"/>
    <w:rsid w:val="00942872"/>
    <w:rsid w:val="009428B2"/>
    <w:rsid w:val="009428E6"/>
    <w:rsid w:val="00942904"/>
    <w:rsid w:val="0094290F"/>
    <w:rsid w:val="0094291C"/>
    <w:rsid w:val="00942922"/>
    <w:rsid w:val="00942931"/>
    <w:rsid w:val="0094296F"/>
    <w:rsid w:val="00942990"/>
    <w:rsid w:val="009429A1"/>
    <w:rsid w:val="009429E0"/>
    <w:rsid w:val="009429EA"/>
    <w:rsid w:val="009429F6"/>
    <w:rsid w:val="00942A11"/>
    <w:rsid w:val="00942A34"/>
    <w:rsid w:val="00942A4D"/>
    <w:rsid w:val="00942A55"/>
    <w:rsid w:val="00942AA9"/>
    <w:rsid w:val="00942B4F"/>
    <w:rsid w:val="00942B54"/>
    <w:rsid w:val="00942BD0"/>
    <w:rsid w:val="00942BFB"/>
    <w:rsid w:val="00942C2C"/>
    <w:rsid w:val="00942C68"/>
    <w:rsid w:val="00942C7E"/>
    <w:rsid w:val="00942CBA"/>
    <w:rsid w:val="00942CC8"/>
    <w:rsid w:val="00942CCD"/>
    <w:rsid w:val="00942CEC"/>
    <w:rsid w:val="00942CF1"/>
    <w:rsid w:val="00942CF2"/>
    <w:rsid w:val="00942D0D"/>
    <w:rsid w:val="00942D3D"/>
    <w:rsid w:val="00942D9C"/>
    <w:rsid w:val="00942D9E"/>
    <w:rsid w:val="00942DAC"/>
    <w:rsid w:val="00942E0A"/>
    <w:rsid w:val="00942E9D"/>
    <w:rsid w:val="00942E9F"/>
    <w:rsid w:val="00942EAB"/>
    <w:rsid w:val="00942F20"/>
    <w:rsid w:val="00942F6A"/>
    <w:rsid w:val="00942F93"/>
    <w:rsid w:val="00942F9A"/>
    <w:rsid w:val="00942FB8"/>
    <w:rsid w:val="00942FDE"/>
    <w:rsid w:val="00943022"/>
    <w:rsid w:val="00943085"/>
    <w:rsid w:val="009430A5"/>
    <w:rsid w:val="009430E1"/>
    <w:rsid w:val="009430F4"/>
    <w:rsid w:val="0094310B"/>
    <w:rsid w:val="00943111"/>
    <w:rsid w:val="0094311A"/>
    <w:rsid w:val="00943149"/>
    <w:rsid w:val="0094318C"/>
    <w:rsid w:val="009431E5"/>
    <w:rsid w:val="009431ED"/>
    <w:rsid w:val="00943236"/>
    <w:rsid w:val="00943244"/>
    <w:rsid w:val="00943253"/>
    <w:rsid w:val="00943255"/>
    <w:rsid w:val="009432CB"/>
    <w:rsid w:val="009432DF"/>
    <w:rsid w:val="00943303"/>
    <w:rsid w:val="00943337"/>
    <w:rsid w:val="00943361"/>
    <w:rsid w:val="0094337B"/>
    <w:rsid w:val="009433A6"/>
    <w:rsid w:val="009433AE"/>
    <w:rsid w:val="009433DE"/>
    <w:rsid w:val="009433F0"/>
    <w:rsid w:val="00943419"/>
    <w:rsid w:val="00943427"/>
    <w:rsid w:val="0094343A"/>
    <w:rsid w:val="00943461"/>
    <w:rsid w:val="00943462"/>
    <w:rsid w:val="0094347D"/>
    <w:rsid w:val="009434F9"/>
    <w:rsid w:val="00943533"/>
    <w:rsid w:val="0094353D"/>
    <w:rsid w:val="00943554"/>
    <w:rsid w:val="0094360B"/>
    <w:rsid w:val="00943623"/>
    <w:rsid w:val="0094363C"/>
    <w:rsid w:val="00943643"/>
    <w:rsid w:val="00943670"/>
    <w:rsid w:val="00943679"/>
    <w:rsid w:val="00943696"/>
    <w:rsid w:val="009436AD"/>
    <w:rsid w:val="009436BC"/>
    <w:rsid w:val="009436BE"/>
    <w:rsid w:val="009436FC"/>
    <w:rsid w:val="00943766"/>
    <w:rsid w:val="009437BD"/>
    <w:rsid w:val="009437C1"/>
    <w:rsid w:val="00943856"/>
    <w:rsid w:val="0094385E"/>
    <w:rsid w:val="00943877"/>
    <w:rsid w:val="009438B9"/>
    <w:rsid w:val="009438C8"/>
    <w:rsid w:val="009438FB"/>
    <w:rsid w:val="009438FD"/>
    <w:rsid w:val="00943962"/>
    <w:rsid w:val="0094398B"/>
    <w:rsid w:val="0094399F"/>
    <w:rsid w:val="009439C1"/>
    <w:rsid w:val="009439D6"/>
    <w:rsid w:val="009439ED"/>
    <w:rsid w:val="00943A02"/>
    <w:rsid w:val="00943A0F"/>
    <w:rsid w:val="00943A56"/>
    <w:rsid w:val="00943A5C"/>
    <w:rsid w:val="00943A89"/>
    <w:rsid w:val="00943ACA"/>
    <w:rsid w:val="00943AE9"/>
    <w:rsid w:val="00943AF4"/>
    <w:rsid w:val="00943AFB"/>
    <w:rsid w:val="00943B54"/>
    <w:rsid w:val="00943B63"/>
    <w:rsid w:val="00943B69"/>
    <w:rsid w:val="00943B6D"/>
    <w:rsid w:val="00943B70"/>
    <w:rsid w:val="00943C53"/>
    <w:rsid w:val="00943C60"/>
    <w:rsid w:val="00943C98"/>
    <w:rsid w:val="00943CC2"/>
    <w:rsid w:val="00943CE3"/>
    <w:rsid w:val="00943D36"/>
    <w:rsid w:val="00943D4D"/>
    <w:rsid w:val="00943D67"/>
    <w:rsid w:val="00943D9D"/>
    <w:rsid w:val="00943DC5"/>
    <w:rsid w:val="00943DDF"/>
    <w:rsid w:val="00943E17"/>
    <w:rsid w:val="00943E18"/>
    <w:rsid w:val="00943E4D"/>
    <w:rsid w:val="00943E79"/>
    <w:rsid w:val="00943E8A"/>
    <w:rsid w:val="00943EC4"/>
    <w:rsid w:val="00943EDF"/>
    <w:rsid w:val="00943F2D"/>
    <w:rsid w:val="00943F3B"/>
    <w:rsid w:val="00943F4A"/>
    <w:rsid w:val="00944015"/>
    <w:rsid w:val="00944023"/>
    <w:rsid w:val="00944047"/>
    <w:rsid w:val="0094406F"/>
    <w:rsid w:val="009440D8"/>
    <w:rsid w:val="0094411E"/>
    <w:rsid w:val="0094417F"/>
    <w:rsid w:val="00944180"/>
    <w:rsid w:val="00944192"/>
    <w:rsid w:val="009441C0"/>
    <w:rsid w:val="009441CE"/>
    <w:rsid w:val="009441F2"/>
    <w:rsid w:val="00944229"/>
    <w:rsid w:val="009442AC"/>
    <w:rsid w:val="009442F9"/>
    <w:rsid w:val="009442FF"/>
    <w:rsid w:val="00944354"/>
    <w:rsid w:val="00944398"/>
    <w:rsid w:val="0094439C"/>
    <w:rsid w:val="009443A4"/>
    <w:rsid w:val="009443DA"/>
    <w:rsid w:val="0094441F"/>
    <w:rsid w:val="00944431"/>
    <w:rsid w:val="0094444D"/>
    <w:rsid w:val="00944452"/>
    <w:rsid w:val="0094446D"/>
    <w:rsid w:val="00944475"/>
    <w:rsid w:val="00944486"/>
    <w:rsid w:val="009444A2"/>
    <w:rsid w:val="00944597"/>
    <w:rsid w:val="009445F8"/>
    <w:rsid w:val="0094461B"/>
    <w:rsid w:val="00944693"/>
    <w:rsid w:val="009446CC"/>
    <w:rsid w:val="009446D0"/>
    <w:rsid w:val="00944705"/>
    <w:rsid w:val="0094472B"/>
    <w:rsid w:val="009447A1"/>
    <w:rsid w:val="009447AC"/>
    <w:rsid w:val="009447D1"/>
    <w:rsid w:val="00944855"/>
    <w:rsid w:val="00944857"/>
    <w:rsid w:val="009448A3"/>
    <w:rsid w:val="009448C8"/>
    <w:rsid w:val="0094491D"/>
    <w:rsid w:val="00944924"/>
    <w:rsid w:val="0094492D"/>
    <w:rsid w:val="00944952"/>
    <w:rsid w:val="009449D5"/>
    <w:rsid w:val="00944A4C"/>
    <w:rsid w:val="00944A68"/>
    <w:rsid w:val="00944A84"/>
    <w:rsid w:val="00944AEB"/>
    <w:rsid w:val="00944B00"/>
    <w:rsid w:val="00944B02"/>
    <w:rsid w:val="00944B68"/>
    <w:rsid w:val="00944BC6"/>
    <w:rsid w:val="00944BF3"/>
    <w:rsid w:val="00944C02"/>
    <w:rsid w:val="00944C0E"/>
    <w:rsid w:val="00944C10"/>
    <w:rsid w:val="00944C30"/>
    <w:rsid w:val="00944C62"/>
    <w:rsid w:val="00944C6F"/>
    <w:rsid w:val="00944C74"/>
    <w:rsid w:val="00944C7A"/>
    <w:rsid w:val="00944C7B"/>
    <w:rsid w:val="00944C96"/>
    <w:rsid w:val="00944CA7"/>
    <w:rsid w:val="00944CFA"/>
    <w:rsid w:val="00944DE0"/>
    <w:rsid w:val="00944DE4"/>
    <w:rsid w:val="00944DEF"/>
    <w:rsid w:val="00944E09"/>
    <w:rsid w:val="00944E1D"/>
    <w:rsid w:val="00944E49"/>
    <w:rsid w:val="00944E4E"/>
    <w:rsid w:val="00944EB3"/>
    <w:rsid w:val="00944EC8"/>
    <w:rsid w:val="00944ED8"/>
    <w:rsid w:val="00944F50"/>
    <w:rsid w:val="00944F70"/>
    <w:rsid w:val="00944F95"/>
    <w:rsid w:val="00944FBD"/>
    <w:rsid w:val="00944FD6"/>
    <w:rsid w:val="00944FF9"/>
    <w:rsid w:val="00945003"/>
    <w:rsid w:val="0094500F"/>
    <w:rsid w:val="0094502A"/>
    <w:rsid w:val="00945044"/>
    <w:rsid w:val="0094504F"/>
    <w:rsid w:val="00945065"/>
    <w:rsid w:val="0094506A"/>
    <w:rsid w:val="00945071"/>
    <w:rsid w:val="009450CC"/>
    <w:rsid w:val="009450E5"/>
    <w:rsid w:val="009450EE"/>
    <w:rsid w:val="0094511B"/>
    <w:rsid w:val="00945126"/>
    <w:rsid w:val="00945167"/>
    <w:rsid w:val="0094518D"/>
    <w:rsid w:val="0094519C"/>
    <w:rsid w:val="009451BC"/>
    <w:rsid w:val="00945238"/>
    <w:rsid w:val="0094527F"/>
    <w:rsid w:val="0094528A"/>
    <w:rsid w:val="0094528E"/>
    <w:rsid w:val="009452C5"/>
    <w:rsid w:val="0094533E"/>
    <w:rsid w:val="0094536F"/>
    <w:rsid w:val="00945396"/>
    <w:rsid w:val="009453A3"/>
    <w:rsid w:val="009453D1"/>
    <w:rsid w:val="009453D7"/>
    <w:rsid w:val="009453FD"/>
    <w:rsid w:val="00945446"/>
    <w:rsid w:val="009454BF"/>
    <w:rsid w:val="009454DE"/>
    <w:rsid w:val="009454E9"/>
    <w:rsid w:val="00945508"/>
    <w:rsid w:val="00945523"/>
    <w:rsid w:val="00945543"/>
    <w:rsid w:val="0094556B"/>
    <w:rsid w:val="009455A7"/>
    <w:rsid w:val="009455B7"/>
    <w:rsid w:val="00945606"/>
    <w:rsid w:val="00945663"/>
    <w:rsid w:val="00945672"/>
    <w:rsid w:val="00945674"/>
    <w:rsid w:val="009456C7"/>
    <w:rsid w:val="0094571A"/>
    <w:rsid w:val="00945737"/>
    <w:rsid w:val="00945758"/>
    <w:rsid w:val="009457CB"/>
    <w:rsid w:val="009457E8"/>
    <w:rsid w:val="009457F9"/>
    <w:rsid w:val="0094580D"/>
    <w:rsid w:val="0094580E"/>
    <w:rsid w:val="00945836"/>
    <w:rsid w:val="00945851"/>
    <w:rsid w:val="0094585A"/>
    <w:rsid w:val="0094588B"/>
    <w:rsid w:val="00945895"/>
    <w:rsid w:val="009458C2"/>
    <w:rsid w:val="009458EB"/>
    <w:rsid w:val="00945956"/>
    <w:rsid w:val="00945984"/>
    <w:rsid w:val="0094598C"/>
    <w:rsid w:val="009459B9"/>
    <w:rsid w:val="009459F2"/>
    <w:rsid w:val="00945A72"/>
    <w:rsid w:val="00945A7E"/>
    <w:rsid w:val="00945A81"/>
    <w:rsid w:val="00945AB0"/>
    <w:rsid w:val="00945B16"/>
    <w:rsid w:val="00945B2A"/>
    <w:rsid w:val="00945BCE"/>
    <w:rsid w:val="00945BEF"/>
    <w:rsid w:val="00945C71"/>
    <w:rsid w:val="00945C99"/>
    <w:rsid w:val="00945D11"/>
    <w:rsid w:val="00945D12"/>
    <w:rsid w:val="00945D30"/>
    <w:rsid w:val="00945D59"/>
    <w:rsid w:val="00945D6D"/>
    <w:rsid w:val="00945DA3"/>
    <w:rsid w:val="00945DDE"/>
    <w:rsid w:val="00945DF3"/>
    <w:rsid w:val="00945E1B"/>
    <w:rsid w:val="00945E35"/>
    <w:rsid w:val="00945E36"/>
    <w:rsid w:val="00945E64"/>
    <w:rsid w:val="00945EAE"/>
    <w:rsid w:val="00945ECF"/>
    <w:rsid w:val="00945EEA"/>
    <w:rsid w:val="00945F22"/>
    <w:rsid w:val="00945F24"/>
    <w:rsid w:val="00945F9F"/>
    <w:rsid w:val="00945FA8"/>
    <w:rsid w:val="00946015"/>
    <w:rsid w:val="0094604F"/>
    <w:rsid w:val="00946081"/>
    <w:rsid w:val="009460D9"/>
    <w:rsid w:val="00946164"/>
    <w:rsid w:val="00946177"/>
    <w:rsid w:val="00946194"/>
    <w:rsid w:val="00946196"/>
    <w:rsid w:val="009461DB"/>
    <w:rsid w:val="0094621C"/>
    <w:rsid w:val="00946235"/>
    <w:rsid w:val="00946287"/>
    <w:rsid w:val="00946298"/>
    <w:rsid w:val="009462CA"/>
    <w:rsid w:val="00946307"/>
    <w:rsid w:val="0094633C"/>
    <w:rsid w:val="009463B9"/>
    <w:rsid w:val="009463D1"/>
    <w:rsid w:val="00946420"/>
    <w:rsid w:val="00946499"/>
    <w:rsid w:val="009464B9"/>
    <w:rsid w:val="009464C3"/>
    <w:rsid w:val="00946505"/>
    <w:rsid w:val="00946536"/>
    <w:rsid w:val="00946537"/>
    <w:rsid w:val="0094653A"/>
    <w:rsid w:val="00946560"/>
    <w:rsid w:val="0094656E"/>
    <w:rsid w:val="00946614"/>
    <w:rsid w:val="0094662E"/>
    <w:rsid w:val="00946678"/>
    <w:rsid w:val="0094668C"/>
    <w:rsid w:val="00946693"/>
    <w:rsid w:val="009466C4"/>
    <w:rsid w:val="00946703"/>
    <w:rsid w:val="0094670A"/>
    <w:rsid w:val="00946714"/>
    <w:rsid w:val="0094671C"/>
    <w:rsid w:val="0094673F"/>
    <w:rsid w:val="00946774"/>
    <w:rsid w:val="0094679D"/>
    <w:rsid w:val="00946822"/>
    <w:rsid w:val="0094689E"/>
    <w:rsid w:val="009468A7"/>
    <w:rsid w:val="009468B0"/>
    <w:rsid w:val="009468DB"/>
    <w:rsid w:val="009468DC"/>
    <w:rsid w:val="009468E1"/>
    <w:rsid w:val="009468E7"/>
    <w:rsid w:val="009468F6"/>
    <w:rsid w:val="00946911"/>
    <w:rsid w:val="009469A8"/>
    <w:rsid w:val="009469AC"/>
    <w:rsid w:val="009469E9"/>
    <w:rsid w:val="00946A04"/>
    <w:rsid w:val="00946A28"/>
    <w:rsid w:val="00946AB7"/>
    <w:rsid w:val="00946AFB"/>
    <w:rsid w:val="00946B48"/>
    <w:rsid w:val="00946B8F"/>
    <w:rsid w:val="00946BAC"/>
    <w:rsid w:val="00946BF6"/>
    <w:rsid w:val="00946C4C"/>
    <w:rsid w:val="00946CA6"/>
    <w:rsid w:val="00946D15"/>
    <w:rsid w:val="00946D2A"/>
    <w:rsid w:val="00946D77"/>
    <w:rsid w:val="00946DB3"/>
    <w:rsid w:val="00946E1E"/>
    <w:rsid w:val="00946E23"/>
    <w:rsid w:val="00946E59"/>
    <w:rsid w:val="00946E61"/>
    <w:rsid w:val="00946E69"/>
    <w:rsid w:val="00946E9E"/>
    <w:rsid w:val="00946EDE"/>
    <w:rsid w:val="00946F22"/>
    <w:rsid w:val="00946F38"/>
    <w:rsid w:val="00946FA0"/>
    <w:rsid w:val="00946FDA"/>
    <w:rsid w:val="00946FFF"/>
    <w:rsid w:val="00947044"/>
    <w:rsid w:val="009470E1"/>
    <w:rsid w:val="0094713B"/>
    <w:rsid w:val="0094716C"/>
    <w:rsid w:val="00947194"/>
    <w:rsid w:val="0094719D"/>
    <w:rsid w:val="009471A1"/>
    <w:rsid w:val="009471BD"/>
    <w:rsid w:val="009471DC"/>
    <w:rsid w:val="009471DF"/>
    <w:rsid w:val="0094726C"/>
    <w:rsid w:val="00947298"/>
    <w:rsid w:val="009472DD"/>
    <w:rsid w:val="0094731F"/>
    <w:rsid w:val="0094732E"/>
    <w:rsid w:val="00947399"/>
    <w:rsid w:val="009473CB"/>
    <w:rsid w:val="009473F0"/>
    <w:rsid w:val="0094747D"/>
    <w:rsid w:val="009474B1"/>
    <w:rsid w:val="009474CE"/>
    <w:rsid w:val="009474F6"/>
    <w:rsid w:val="00947554"/>
    <w:rsid w:val="0094756B"/>
    <w:rsid w:val="00947596"/>
    <w:rsid w:val="009475B8"/>
    <w:rsid w:val="009475C6"/>
    <w:rsid w:val="00947636"/>
    <w:rsid w:val="00947665"/>
    <w:rsid w:val="0094766C"/>
    <w:rsid w:val="00947685"/>
    <w:rsid w:val="0094768A"/>
    <w:rsid w:val="009476A6"/>
    <w:rsid w:val="009476B5"/>
    <w:rsid w:val="009476E5"/>
    <w:rsid w:val="009476FE"/>
    <w:rsid w:val="0094772F"/>
    <w:rsid w:val="009477AB"/>
    <w:rsid w:val="009477C6"/>
    <w:rsid w:val="009477E3"/>
    <w:rsid w:val="0094780F"/>
    <w:rsid w:val="00947878"/>
    <w:rsid w:val="0094787F"/>
    <w:rsid w:val="0094789A"/>
    <w:rsid w:val="009478BC"/>
    <w:rsid w:val="009478FB"/>
    <w:rsid w:val="0094792E"/>
    <w:rsid w:val="00947945"/>
    <w:rsid w:val="00947966"/>
    <w:rsid w:val="00947967"/>
    <w:rsid w:val="009479A5"/>
    <w:rsid w:val="009479F8"/>
    <w:rsid w:val="00947A14"/>
    <w:rsid w:val="00947A1C"/>
    <w:rsid w:val="00947A1F"/>
    <w:rsid w:val="00947A7B"/>
    <w:rsid w:val="00947A99"/>
    <w:rsid w:val="00947AD7"/>
    <w:rsid w:val="00947B12"/>
    <w:rsid w:val="00947B33"/>
    <w:rsid w:val="00947B85"/>
    <w:rsid w:val="00947B96"/>
    <w:rsid w:val="00947BE0"/>
    <w:rsid w:val="00947BED"/>
    <w:rsid w:val="00947BF8"/>
    <w:rsid w:val="00947C01"/>
    <w:rsid w:val="00947C55"/>
    <w:rsid w:val="00947C6B"/>
    <w:rsid w:val="00947C76"/>
    <w:rsid w:val="00947CF2"/>
    <w:rsid w:val="00947D14"/>
    <w:rsid w:val="00947D6F"/>
    <w:rsid w:val="00947DEC"/>
    <w:rsid w:val="00947E08"/>
    <w:rsid w:val="00947E44"/>
    <w:rsid w:val="00947E4A"/>
    <w:rsid w:val="00947E64"/>
    <w:rsid w:val="00947E69"/>
    <w:rsid w:val="00947EAE"/>
    <w:rsid w:val="00947ED3"/>
    <w:rsid w:val="00947FC0"/>
    <w:rsid w:val="0094A59B"/>
    <w:rsid w:val="00950012"/>
    <w:rsid w:val="0095005D"/>
    <w:rsid w:val="00950068"/>
    <w:rsid w:val="009500C2"/>
    <w:rsid w:val="009500C3"/>
    <w:rsid w:val="009500D6"/>
    <w:rsid w:val="009500E6"/>
    <w:rsid w:val="009500F0"/>
    <w:rsid w:val="0095015E"/>
    <w:rsid w:val="0095016E"/>
    <w:rsid w:val="00950189"/>
    <w:rsid w:val="009501D7"/>
    <w:rsid w:val="00950200"/>
    <w:rsid w:val="0095027D"/>
    <w:rsid w:val="009502C4"/>
    <w:rsid w:val="009502C6"/>
    <w:rsid w:val="00950302"/>
    <w:rsid w:val="00950308"/>
    <w:rsid w:val="00950316"/>
    <w:rsid w:val="00950346"/>
    <w:rsid w:val="009503A0"/>
    <w:rsid w:val="009503A1"/>
    <w:rsid w:val="009503A3"/>
    <w:rsid w:val="009503C1"/>
    <w:rsid w:val="00950411"/>
    <w:rsid w:val="0095042D"/>
    <w:rsid w:val="0095042E"/>
    <w:rsid w:val="0095043D"/>
    <w:rsid w:val="00950448"/>
    <w:rsid w:val="00950449"/>
    <w:rsid w:val="00950460"/>
    <w:rsid w:val="00950465"/>
    <w:rsid w:val="00950471"/>
    <w:rsid w:val="0095047E"/>
    <w:rsid w:val="009504CE"/>
    <w:rsid w:val="009504E3"/>
    <w:rsid w:val="009504FC"/>
    <w:rsid w:val="00950500"/>
    <w:rsid w:val="0095051B"/>
    <w:rsid w:val="00950539"/>
    <w:rsid w:val="0095054F"/>
    <w:rsid w:val="00950573"/>
    <w:rsid w:val="00950579"/>
    <w:rsid w:val="009505A2"/>
    <w:rsid w:val="009505D3"/>
    <w:rsid w:val="00950607"/>
    <w:rsid w:val="00950615"/>
    <w:rsid w:val="0095061E"/>
    <w:rsid w:val="0095061F"/>
    <w:rsid w:val="00950649"/>
    <w:rsid w:val="00950658"/>
    <w:rsid w:val="0095065C"/>
    <w:rsid w:val="0095066C"/>
    <w:rsid w:val="00950670"/>
    <w:rsid w:val="00950699"/>
    <w:rsid w:val="0095072F"/>
    <w:rsid w:val="0095076B"/>
    <w:rsid w:val="0095076C"/>
    <w:rsid w:val="009507B4"/>
    <w:rsid w:val="009507B5"/>
    <w:rsid w:val="009507D2"/>
    <w:rsid w:val="009507DB"/>
    <w:rsid w:val="009507F2"/>
    <w:rsid w:val="00950813"/>
    <w:rsid w:val="00950823"/>
    <w:rsid w:val="00950866"/>
    <w:rsid w:val="00950869"/>
    <w:rsid w:val="00950885"/>
    <w:rsid w:val="009508A6"/>
    <w:rsid w:val="009508C7"/>
    <w:rsid w:val="00950949"/>
    <w:rsid w:val="009509AE"/>
    <w:rsid w:val="009509D0"/>
    <w:rsid w:val="00950A07"/>
    <w:rsid w:val="00950A12"/>
    <w:rsid w:val="00950A36"/>
    <w:rsid w:val="00950A4C"/>
    <w:rsid w:val="00950A92"/>
    <w:rsid w:val="00950A9E"/>
    <w:rsid w:val="00950AA0"/>
    <w:rsid w:val="00950AB4"/>
    <w:rsid w:val="00950AC1"/>
    <w:rsid w:val="00950ACA"/>
    <w:rsid w:val="00950B5E"/>
    <w:rsid w:val="00950BD2"/>
    <w:rsid w:val="00950C2D"/>
    <w:rsid w:val="00950C65"/>
    <w:rsid w:val="00950C69"/>
    <w:rsid w:val="00950CBC"/>
    <w:rsid w:val="00950CC5"/>
    <w:rsid w:val="00950CE5"/>
    <w:rsid w:val="00950CED"/>
    <w:rsid w:val="00950D04"/>
    <w:rsid w:val="00950D0D"/>
    <w:rsid w:val="00950D34"/>
    <w:rsid w:val="00950D9F"/>
    <w:rsid w:val="00950DAF"/>
    <w:rsid w:val="00950DE2"/>
    <w:rsid w:val="00950DE7"/>
    <w:rsid w:val="00950DF3"/>
    <w:rsid w:val="00950E27"/>
    <w:rsid w:val="00950E30"/>
    <w:rsid w:val="00950E8B"/>
    <w:rsid w:val="00950ED9"/>
    <w:rsid w:val="00950F0B"/>
    <w:rsid w:val="00950F0F"/>
    <w:rsid w:val="00950F40"/>
    <w:rsid w:val="00950F44"/>
    <w:rsid w:val="00950F54"/>
    <w:rsid w:val="00950F65"/>
    <w:rsid w:val="00950F76"/>
    <w:rsid w:val="00950FB5"/>
    <w:rsid w:val="00950FE8"/>
    <w:rsid w:val="00951016"/>
    <w:rsid w:val="00951098"/>
    <w:rsid w:val="009510BA"/>
    <w:rsid w:val="009510C3"/>
    <w:rsid w:val="00951112"/>
    <w:rsid w:val="00951145"/>
    <w:rsid w:val="00951147"/>
    <w:rsid w:val="0095116E"/>
    <w:rsid w:val="00951185"/>
    <w:rsid w:val="00951186"/>
    <w:rsid w:val="009511AF"/>
    <w:rsid w:val="009511C2"/>
    <w:rsid w:val="00951242"/>
    <w:rsid w:val="0095127A"/>
    <w:rsid w:val="00951291"/>
    <w:rsid w:val="009512B3"/>
    <w:rsid w:val="009512C8"/>
    <w:rsid w:val="00951365"/>
    <w:rsid w:val="0095138D"/>
    <w:rsid w:val="0095138E"/>
    <w:rsid w:val="00951397"/>
    <w:rsid w:val="009513A1"/>
    <w:rsid w:val="009513C4"/>
    <w:rsid w:val="009513F5"/>
    <w:rsid w:val="0095140C"/>
    <w:rsid w:val="0095142D"/>
    <w:rsid w:val="00951467"/>
    <w:rsid w:val="00951470"/>
    <w:rsid w:val="00951472"/>
    <w:rsid w:val="00951495"/>
    <w:rsid w:val="009514A8"/>
    <w:rsid w:val="009514CB"/>
    <w:rsid w:val="009514F1"/>
    <w:rsid w:val="0095152D"/>
    <w:rsid w:val="00951551"/>
    <w:rsid w:val="0095168C"/>
    <w:rsid w:val="009516E6"/>
    <w:rsid w:val="00951709"/>
    <w:rsid w:val="00951713"/>
    <w:rsid w:val="00951772"/>
    <w:rsid w:val="009517CB"/>
    <w:rsid w:val="009517DB"/>
    <w:rsid w:val="00951810"/>
    <w:rsid w:val="0095181D"/>
    <w:rsid w:val="00951835"/>
    <w:rsid w:val="00951853"/>
    <w:rsid w:val="009518FA"/>
    <w:rsid w:val="009519B4"/>
    <w:rsid w:val="00951A23"/>
    <w:rsid w:val="00951A4D"/>
    <w:rsid w:val="00951A82"/>
    <w:rsid w:val="00951ABB"/>
    <w:rsid w:val="00951AC5"/>
    <w:rsid w:val="00951B22"/>
    <w:rsid w:val="00951B3B"/>
    <w:rsid w:val="00951B80"/>
    <w:rsid w:val="00951B85"/>
    <w:rsid w:val="00951BA3"/>
    <w:rsid w:val="00951BE1"/>
    <w:rsid w:val="00951BEB"/>
    <w:rsid w:val="00951BF2"/>
    <w:rsid w:val="00951C86"/>
    <w:rsid w:val="00951CE9"/>
    <w:rsid w:val="00951D05"/>
    <w:rsid w:val="00951D18"/>
    <w:rsid w:val="00951D5C"/>
    <w:rsid w:val="00951D7C"/>
    <w:rsid w:val="00951DBF"/>
    <w:rsid w:val="00951E2C"/>
    <w:rsid w:val="00951E4D"/>
    <w:rsid w:val="00951E51"/>
    <w:rsid w:val="00951E8D"/>
    <w:rsid w:val="00951E9C"/>
    <w:rsid w:val="00951EBB"/>
    <w:rsid w:val="00951EE8"/>
    <w:rsid w:val="00951F20"/>
    <w:rsid w:val="00951F45"/>
    <w:rsid w:val="00951FD3"/>
    <w:rsid w:val="00952009"/>
    <w:rsid w:val="00952040"/>
    <w:rsid w:val="0095205E"/>
    <w:rsid w:val="00952069"/>
    <w:rsid w:val="00952075"/>
    <w:rsid w:val="00952077"/>
    <w:rsid w:val="00952080"/>
    <w:rsid w:val="00952086"/>
    <w:rsid w:val="00952091"/>
    <w:rsid w:val="009520B6"/>
    <w:rsid w:val="00952249"/>
    <w:rsid w:val="00952250"/>
    <w:rsid w:val="00952252"/>
    <w:rsid w:val="00952276"/>
    <w:rsid w:val="0095229F"/>
    <w:rsid w:val="009522EF"/>
    <w:rsid w:val="0095234D"/>
    <w:rsid w:val="00952365"/>
    <w:rsid w:val="00952382"/>
    <w:rsid w:val="00952385"/>
    <w:rsid w:val="00952388"/>
    <w:rsid w:val="00952396"/>
    <w:rsid w:val="0095239A"/>
    <w:rsid w:val="009523BB"/>
    <w:rsid w:val="009523E0"/>
    <w:rsid w:val="0095243A"/>
    <w:rsid w:val="0095248B"/>
    <w:rsid w:val="009524B4"/>
    <w:rsid w:val="009524EA"/>
    <w:rsid w:val="00952513"/>
    <w:rsid w:val="0095254D"/>
    <w:rsid w:val="0095256B"/>
    <w:rsid w:val="0095257A"/>
    <w:rsid w:val="00952587"/>
    <w:rsid w:val="009525A7"/>
    <w:rsid w:val="009525E7"/>
    <w:rsid w:val="009525F2"/>
    <w:rsid w:val="00952669"/>
    <w:rsid w:val="00952679"/>
    <w:rsid w:val="00952688"/>
    <w:rsid w:val="00952694"/>
    <w:rsid w:val="0095269C"/>
    <w:rsid w:val="009526AE"/>
    <w:rsid w:val="00952795"/>
    <w:rsid w:val="009527C3"/>
    <w:rsid w:val="009527C8"/>
    <w:rsid w:val="009527FD"/>
    <w:rsid w:val="00952800"/>
    <w:rsid w:val="0095281D"/>
    <w:rsid w:val="009528F0"/>
    <w:rsid w:val="00952902"/>
    <w:rsid w:val="00952925"/>
    <w:rsid w:val="0095292C"/>
    <w:rsid w:val="009529DD"/>
    <w:rsid w:val="009529E8"/>
    <w:rsid w:val="00952A0A"/>
    <w:rsid w:val="00952A0B"/>
    <w:rsid w:val="00952A16"/>
    <w:rsid w:val="00952A31"/>
    <w:rsid w:val="00952A3E"/>
    <w:rsid w:val="00952A8A"/>
    <w:rsid w:val="00952ACF"/>
    <w:rsid w:val="00952B08"/>
    <w:rsid w:val="00952B91"/>
    <w:rsid w:val="00952BA3"/>
    <w:rsid w:val="00952BCB"/>
    <w:rsid w:val="00952C0B"/>
    <w:rsid w:val="00952C66"/>
    <w:rsid w:val="00952CB4"/>
    <w:rsid w:val="00952CE1"/>
    <w:rsid w:val="00952CF1"/>
    <w:rsid w:val="00952D20"/>
    <w:rsid w:val="00952D3F"/>
    <w:rsid w:val="00952D59"/>
    <w:rsid w:val="00952E07"/>
    <w:rsid w:val="00952E10"/>
    <w:rsid w:val="00952E17"/>
    <w:rsid w:val="00952E22"/>
    <w:rsid w:val="00952E3D"/>
    <w:rsid w:val="00952E77"/>
    <w:rsid w:val="00952EAD"/>
    <w:rsid w:val="00952EBF"/>
    <w:rsid w:val="00952EC1"/>
    <w:rsid w:val="00952EE4"/>
    <w:rsid w:val="00952EF2"/>
    <w:rsid w:val="00952F1E"/>
    <w:rsid w:val="00952F75"/>
    <w:rsid w:val="00952FB0"/>
    <w:rsid w:val="00953017"/>
    <w:rsid w:val="0095309B"/>
    <w:rsid w:val="009530F9"/>
    <w:rsid w:val="009530FB"/>
    <w:rsid w:val="00953126"/>
    <w:rsid w:val="00953168"/>
    <w:rsid w:val="0095319D"/>
    <w:rsid w:val="009531D1"/>
    <w:rsid w:val="009531FF"/>
    <w:rsid w:val="00953282"/>
    <w:rsid w:val="0095328E"/>
    <w:rsid w:val="009532B4"/>
    <w:rsid w:val="00953307"/>
    <w:rsid w:val="0095330B"/>
    <w:rsid w:val="00953346"/>
    <w:rsid w:val="009533CE"/>
    <w:rsid w:val="009533D9"/>
    <w:rsid w:val="0095344F"/>
    <w:rsid w:val="0095345F"/>
    <w:rsid w:val="0095348E"/>
    <w:rsid w:val="00953498"/>
    <w:rsid w:val="009534BE"/>
    <w:rsid w:val="009534D5"/>
    <w:rsid w:val="0095354C"/>
    <w:rsid w:val="00953591"/>
    <w:rsid w:val="00953594"/>
    <w:rsid w:val="009535D8"/>
    <w:rsid w:val="00953616"/>
    <w:rsid w:val="0095361A"/>
    <w:rsid w:val="0095364F"/>
    <w:rsid w:val="0095365E"/>
    <w:rsid w:val="0095369E"/>
    <w:rsid w:val="009536A4"/>
    <w:rsid w:val="009536A7"/>
    <w:rsid w:val="009536AB"/>
    <w:rsid w:val="009536E5"/>
    <w:rsid w:val="009536E8"/>
    <w:rsid w:val="00953759"/>
    <w:rsid w:val="009537A0"/>
    <w:rsid w:val="00953823"/>
    <w:rsid w:val="00953849"/>
    <w:rsid w:val="0095384F"/>
    <w:rsid w:val="00953853"/>
    <w:rsid w:val="00953861"/>
    <w:rsid w:val="00953863"/>
    <w:rsid w:val="00953879"/>
    <w:rsid w:val="009538A4"/>
    <w:rsid w:val="009538AE"/>
    <w:rsid w:val="009538B7"/>
    <w:rsid w:val="009538B8"/>
    <w:rsid w:val="009538BC"/>
    <w:rsid w:val="009538E4"/>
    <w:rsid w:val="0095390B"/>
    <w:rsid w:val="0095392C"/>
    <w:rsid w:val="00953956"/>
    <w:rsid w:val="00953A33"/>
    <w:rsid w:val="00953A4F"/>
    <w:rsid w:val="00953A95"/>
    <w:rsid w:val="00953ABD"/>
    <w:rsid w:val="00953AC5"/>
    <w:rsid w:val="00953B19"/>
    <w:rsid w:val="00953B1E"/>
    <w:rsid w:val="00953B34"/>
    <w:rsid w:val="00953B4F"/>
    <w:rsid w:val="00953B63"/>
    <w:rsid w:val="00953B6D"/>
    <w:rsid w:val="00953B82"/>
    <w:rsid w:val="00953B83"/>
    <w:rsid w:val="00953B93"/>
    <w:rsid w:val="00953B9A"/>
    <w:rsid w:val="00953BA9"/>
    <w:rsid w:val="00953CB0"/>
    <w:rsid w:val="00953CD0"/>
    <w:rsid w:val="00953CED"/>
    <w:rsid w:val="00953D3E"/>
    <w:rsid w:val="00953D67"/>
    <w:rsid w:val="00953DBE"/>
    <w:rsid w:val="00953DC3"/>
    <w:rsid w:val="00953DD0"/>
    <w:rsid w:val="00953DF8"/>
    <w:rsid w:val="00953E14"/>
    <w:rsid w:val="00953EAA"/>
    <w:rsid w:val="00953F06"/>
    <w:rsid w:val="00953F17"/>
    <w:rsid w:val="00953F51"/>
    <w:rsid w:val="00953F7D"/>
    <w:rsid w:val="00953FAC"/>
    <w:rsid w:val="00953FFA"/>
    <w:rsid w:val="00954075"/>
    <w:rsid w:val="00954078"/>
    <w:rsid w:val="009540A6"/>
    <w:rsid w:val="009540EB"/>
    <w:rsid w:val="009540F1"/>
    <w:rsid w:val="00954184"/>
    <w:rsid w:val="009541BA"/>
    <w:rsid w:val="009541D6"/>
    <w:rsid w:val="009541D7"/>
    <w:rsid w:val="00954200"/>
    <w:rsid w:val="0095426C"/>
    <w:rsid w:val="00954292"/>
    <w:rsid w:val="009542CA"/>
    <w:rsid w:val="009542D2"/>
    <w:rsid w:val="009542FB"/>
    <w:rsid w:val="00954328"/>
    <w:rsid w:val="00954340"/>
    <w:rsid w:val="009543C2"/>
    <w:rsid w:val="00954466"/>
    <w:rsid w:val="009544CF"/>
    <w:rsid w:val="00954541"/>
    <w:rsid w:val="0095454A"/>
    <w:rsid w:val="009545DC"/>
    <w:rsid w:val="009545DD"/>
    <w:rsid w:val="00954621"/>
    <w:rsid w:val="00954629"/>
    <w:rsid w:val="00954680"/>
    <w:rsid w:val="00954696"/>
    <w:rsid w:val="009546A9"/>
    <w:rsid w:val="00954734"/>
    <w:rsid w:val="0095474E"/>
    <w:rsid w:val="00954778"/>
    <w:rsid w:val="00954794"/>
    <w:rsid w:val="009547C9"/>
    <w:rsid w:val="0095481B"/>
    <w:rsid w:val="0095481D"/>
    <w:rsid w:val="00954858"/>
    <w:rsid w:val="0095487E"/>
    <w:rsid w:val="009548A2"/>
    <w:rsid w:val="009548CD"/>
    <w:rsid w:val="009548CF"/>
    <w:rsid w:val="009548DE"/>
    <w:rsid w:val="009548F9"/>
    <w:rsid w:val="0095490D"/>
    <w:rsid w:val="00954937"/>
    <w:rsid w:val="00954979"/>
    <w:rsid w:val="0095497E"/>
    <w:rsid w:val="00954981"/>
    <w:rsid w:val="00954987"/>
    <w:rsid w:val="009549C4"/>
    <w:rsid w:val="009549DD"/>
    <w:rsid w:val="009549EC"/>
    <w:rsid w:val="009549F3"/>
    <w:rsid w:val="00954A01"/>
    <w:rsid w:val="00954A06"/>
    <w:rsid w:val="00954A23"/>
    <w:rsid w:val="00954ACC"/>
    <w:rsid w:val="00954B15"/>
    <w:rsid w:val="00954B57"/>
    <w:rsid w:val="00954B5A"/>
    <w:rsid w:val="00954B80"/>
    <w:rsid w:val="00954BEF"/>
    <w:rsid w:val="00954C25"/>
    <w:rsid w:val="00954C3F"/>
    <w:rsid w:val="00954D14"/>
    <w:rsid w:val="00954D46"/>
    <w:rsid w:val="00954D4B"/>
    <w:rsid w:val="00954D82"/>
    <w:rsid w:val="00954D9C"/>
    <w:rsid w:val="00954DE7"/>
    <w:rsid w:val="00954E0A"/>
    <w:rsid w:val="00954E24"/>
    <w:rsid w:val="00954E2C"/>
    <w:rsid w:val="00954EB8"/>
    <w:rsid w:val="00954ED6"/>
    <w:rsid w:val="00954EDD"/>
    <w:rsid w:val="00954F51"/>
    <w:rsid w:val="00954F55"/>
    <w:rsid w:val="00954F6A"/>
    <w:rsid w:val="00954F8E"/>
    <w:rsid w:val="00954F92"/>
    <w:rsid w:val="00954FA0"/>
    <w:rsid w:val="00954FA8"/>
    <w:rsid w:val="00955054"/>
    <w:rsid w:val="009550D7"/>
    <w:rsid w:val="009550D8"/>
    <w:rsid w:val="00955108"/>
    <w:rsid w:val="0095511A"/>
    <w:rsid w:val="0095514E"/>
    <w:rsid w:val="00955156"/>
    <w:rsid w:val="009551AE"/>
    <w:rsid w:val="009551B6"/>
    <w:rsid w:val="00955207"/>
    <w:rsid w:val="0095526E"/>
    <w:rsid w:val="0095526F"/>
    <w:rsid w:val="0095527B"/>
    <w:rsid w:val="0095528C"/>
    <w:rsid w:val="00955292"/>
    <w:rsid w:val="00955298"/>
    <w:rsid w:val="009552A5"/>
    <w:rsid w:val="009552B2"/>
    <w:rsid w:val="009552BB"/>
    <w:rsid w:val="009552C1"/>
    <w:rsid w:val="009552DC"/>
    <w:rsid w:val="009552E8"/>
    <w:rsid w:val="00955383"/>
    <w:rsid w:val="00955396"/>
    <w:rsid w:val="00955397"/>
    <w:rsid w:val="00955438"/>
    <w:rsid w:val="00955463"/>
    <w:rsid w:val="00955473"/>
    <w:rsid w:val="0095548E"/>
    <w:rsid w:val="009554DD"/>
    <w:rsid w:val="0095551E"/>
    <w:rsid w:val="0095552D"/>
    <w:rsid w:val="00955569"/>
    <w:rsid w:val="00955596"/>
    <w:rsid w:val="009555C7"/>
    <w:rsid w:val="009555D8"/>
    <w:rsid w:val="00955687"/>
    <w:rsid w:val="009556A8"/>
    <w:rsid w:val="009556CC"/>
    <w:rsid w:val="0095571A"/>
    <w:rsid w:val="00955721"/>
    <w:rsid w:val="009557A2"/>
    <w:rsid w:val="009557CF"/>
    <w:rsid w:val="009557D1"/>
    <w:rsid w:val="00955819"/>
    <w:rsid w:val="0095584D"/>
    <w:rsid w:val="00955863"/>
    <w:rsid w:val="00955883"/>
    <w:rsid w:val="009558AE"/>
    <w:rsid w:val="009558FF"/>
    <w:rsid w:val="00955945"/>
    <w:rsid w:val="0095595D"/>
    <w:rsid w:val="009559AC"/>
    <w:rsid w:val="009559C9"/>
    <w:rsid w:val="009559E8"/>
    <w:rsid w:val="00955A1A"/>
    <w:rsid w:val="00955A28"/>
    <w:rsid w:val="00955A3B"/>
    <w:rsid w:val="00955A63"/>
    <w:rsid w:val="00955AF9"/>
    <w:rsid w:val="00955AFA"/>
    <w:rsid w:val="00955B22"/>
    <w:rsid w:val="00955BA5"/>
    <w:rsid w:val="00955BE8"/>
    <w:rsid w:val="00955C1E"/>
    <w:rsid w:val="00955C2C"/>
    <w:rsid w:val="00955C59"/>
    <w:rsid w:val="00955C5C"/>
    <w:rsid w:val="00955CFD"/>
    <w:rsid w:val="00955CFE"/>
    <w:rsid w:val="00955D1E"/>
    <w:rsid w:val="00955D51"/>
    <w:rsid w:val="00955D5F"/>
    <w:rsid w:val="00955D8F"/>
    <w:rsid w:val="00955DB7"/>
    <w:rsid w:val="00955DC0"/>
    <w:rsid w:val="00955DDA"/>
    <w:rsid w:val="00955DFD"/>
    <w:rsid w:val="00955E1A"/>
    <w:rsid w:val="00955E6D"/>
    <w:rsid w:val="00955EE0"/>
    <w:rsid w:val="00955F12"/>
    <w:rsid w:val="00955FB9"/>
    <w:rsid w:val="00956065"/>
    <w:rsid w:val="00956114"/>
    <w:rsid w:val="0095612F"/>
    <w:rsid w:val="00956141"/>
    <w:rsid w:val="0095616D"/>
    <w:rsid w:val="00956170"/>
    <w:rsid w:val="0095617D"/>
    <w:rsid w:val="00956187"/>
    <w:rsid w:val="009561B5"/>
    <w:rsid w:val="009561FD"/>
    <w:rsid w:val="00956208"/>
    <w:rsid w:val="0095620E"/>
    <w:rsid w:val="0095628D"/>
    <w:rsid w:val="0095637E"/>
    <w:rsid w:val="0095642A"/>
    <w:rsid w:val="00956447"/>
    <w:rsid w:val="009564AD"/>
    <w:rsid w:val="009564C6"/>
    <w:rsid w:val="00956530"/>
    <w:rsid w:val="0095653F"/>
    <w:rsid w:val="00956598"/>
    <w:rsid w:val="0095659E"/>
    <w:rsid w:val="009565C3"/>
    <w:rsid w:val="00956602"/>
    <w:rsid w:val="0095661C"/>
    <w:rsid w:val="0095663B"/>
    <w:rsid w:val="00956650"/>
    <w:rsid w:val="00956685"/>
    <w:rsid w:val="0095669E"/>
    <w:rsid w:val="009566A9"/>
    <w:rsid w:val="0095676C"/>
    <w:rsid w:val="00956783"/>
    <w:rsid w:val="00956799"/>
    <w:rsid w:val="009567C8"/>
    <w:rsid w:val="00956830"/>
    <w:rsid w:val="0095685D"/>
    <w:rsid w:val="0095688D"/>
    <w:rsid w:val="009568C4"/>
    <w:rsid w:val="00956934"/>
    <w:rsid w:val="00956935"/>
    <w:rsid w:val="0095693C"/>
    <w:rsid w:val="00956941"/>
    <w:rsid w:val="00956962"/>
    <w:rsid w:val="009569C6"/>
    <w:rsid w:val="00956A2B"/>
    <w:rsid w:val="00956A2D"/>
    <w:rsid w:val="00956A65"/>
    <w:rsid w:val="00956A7B"/>
    <w:rsid w:val="00956AFB"/>
    <w:rsid w:val="00956B01"/>
    <w:rsid w:val="00956B9C"/>
    <w:rsid w:val="00956BAC"/>
    <w:rsid w:val="00956BAF"/>
    <w:rsid w:val="00956BD2"/>
    <w:rsid w:val="00956BE9"/>
    <w:rsid w:val="00956C90"/>
    <w:rsid w:val="00956CBC"/>
    <w:rsid w:val="00956CDA"/>
    <w:rsid w:val="00956CE0"/>
    <w:rsid w:val="00956D25"/>
    <w:rsid w:val="00956D9C"/>
    <w:rsid w:val="00956DAB"/>
    <w:rsid w:val="00956DDA"/>
    <w:rsid w:val="00956DF2"/>
    <w:rsid w:val="00956E14"/>
    <w:rsid w:val="00956E1E"/>
    <w:rsid w:val="00956E34"/>
    <w:rsid w:val="00956E45"/>
    <w:rsid w:val="00956E88"/>
    <w:rsid w:val="00956EAE"/>
    <w:rsid w:val="00956ECA"/>
    <w:rsid w:val="00956EFE"/>
    <w:rsid w:val="00956F07"/>
    <w:rsid w:val="00956F54"/>
    <w:rsid w:val="00956F77"/>
    <w:rsid w:val="00956F79"/>
    <w:rsid w:val="00956F7D"/>
    <w:rsid w:val="00956F81"/>
    <w:rsid w:val="00956FBD"/>
    <w:rsid w:val="00957004"/>
    <w:rsid w:val="0095704F"/>
    <w:rsid w:val="00957053"/>
    <w:rsid w:val="0095706B"/>
    <w:rsid w:val="00957084"/>
    <w:rsid w:val="009570AC"/>
    <w:rsid w:val="009570BC"/>
    <w:rsid w:val="009570D3"/>
    <w:rsid w:val="00957154"/>
    <w:rsid w:val="00957169"/>
    <w:rsid w:val="0095717B"/>
    <w:rsid w:val="0095717D"/>
    <w:rsid w:val="009571AD"/>
    <w:rsid w:val="009571BC"/>
    <w:rsid w:val="0095722E"/>
    <w:rsid w:val="0095725E"/>
    <w:rsid w:val="009572A2"/>
    <w:rsid w:val="00957313"/>
    <w:rsid w:val="00957344"/>
    <w:rsid w:val="0095735C"/>
    <w:rsid w:val="009573AD"/>
    <w:rsid w:val="00957410"/>
    <w:rsid w:val="0095746C"/>
    <w:rsid w:val="009574BF"/>
    <w:rsid w:val="009574D8"/>
    <w:rsid w:val="009574DC"/>
    <w:rsid w:val="009574EA"/>
    <w:rsid w:val="00957514"/>
    <w:rsid w:val="00957529"/>
    <w:rsid w:val="009575B2"/>
    <w:rsid w:val="00957630"/>
    <w:rsid w:val="00957631"/>
    <w:rsid w:val="0095765D"/>
    <w:rsid w:val="00957690"/>
    <w:rsid w:val="009576AC"/>
    <w:rsid w:val="009576C9"/>
    <w:rsid w:val="009576FF"/>
    <w:rsid w:val="00957705"/>
    <w:rsid w:val="00957727"/>
    <w:rsid w:val="00957731"/>
    <w:rsid w:val="0095779D"/>
    <w:rsid w:val="009577B3"/>
    <w:rsid w:val="009577B5"/>
    <w:rsid w:val="009577BF"/>
    <w:rsid w:val="00957823"/>
    <w:rsid w:val="00957899"/>
    <w:rsid w:val="009578D4"/>
    <w:rsid w:val="009578D6"/>
    <w:rsid w:val="009578EC"/>
    <w:rsid w:val="00957927"/>
    <w:rsid w:val="00957941"/>
    <w:rsid w:val="00957974"/>
    <w:rsid w:val="0095798E"/>
    <w:rsid w:val="00957A18"/>
    <w:rsid w:val="00957A36"/>
    <w:rsid w:val="00957A5D"/>
    <w:rsid w:val="00957A90"/>
    <w:rsid w:val="00957A92"/>
    <w:rsid w:val="00957AE2"/>
    <w:rsid w:val="00957AE6"/>
    <w:rsid w:val="00957B25"/>
    <w:rsid w:val="00957B37"/>
    <w:rsid w:val="00957B39"/>
    <w:rsid w:val="00957B5B"/>
    <w:rsid w:val="00957BA9"/>
    <w:rsid w:val="00957BC6"/>
    <w:rsid w:val="00957C06"/>
    <w:rsid w:val="00957C1E"/>
    <w:rsid w:val="00957C35"/>
    <w:rsid w:val="00957C50"/>
    <w:rsid w:val="00957C5E"/>
    <w:rsid w:val="00957C78"/>
    <w:rsid w:val="00957CF2"/>
    <w:rsid w:val="00957D30"/>
    <w:rsid w:val="00957D34"/>
    <w:rsid w:val="00957D35"/>
    <w:rsid w:val="00957D38"/>
    <w:rsid w:val="00957DBC"/>
    <w:rsid w:val="00957DE6"/>
    <w:rsid w:val="00957E0C"/>
    <w:rsid w:val="00957E1A"/>
    <w:rsid w:val="00957E1E"/>
    <w:rsid w:val="00957E31"/>
    <w:rsid w:val="00957E97"/>
    <w:rsid w:val="00957E9C"/>
    <w:rsid w:val="00957EA9"/>
    <w:rsid w:val="00957EC4"/>
    <w:rsid w:val="00957EE7"/>
    <w:rsid w:val="00957F0A"/>
    <w:rsid w:val="00957F32"/>
    <w:rsid w:val="00957F6B"/>
    <w:rsid w:val="00957F8B"/>
    <w:rsid w:val="00957FA5"/>
    <w:rsid w:val="00957FB3"/>
    <w:rsid w:val="00957FFB"/>
    <w:rsid w:val="0095D822"/>
    <w:rsid w:val="00960004"/>
    <w:rsid w:val="00960034"/>
    <w:rsid w:val="0096006A"/>
    <w:rsid w:val="009600A6"/>
    <w:rsid w:val="009600DC"/>
    <w:rsid w:val="00960182"/>
    <w:rsid w:val="009601A2"/>
    <w:rsid w:val="009601A5"/>
    <w:rsid w:val="0096020C"/>
    <w:rsid w:val="0096021A"/>
    <w:rsid w:val="00960233"/>
    <w:rsid w:val="0096027C"/>
    <w:rsid w:val="0096027D"/>
    <w:rsid w:val="0096029C"/>
    <w:rsid w:val="009602DE"/>
    <w:rsid w:val="009602F9"/>
    <w:rsid w:val="0096038D"/>
    <w:rsid w:val="00960390"/>
    <w:rsid w:val="009603D3"/>
    <w:rsid w:val="009603D5"/>
    <w:rsid w:val="009604BE"/>
    <w:rsid w:val="009604C9"/>
    <w:rsid w:val="00960509"/>
    <w:rsid w:val="00960535"/>
    <w:rsid w:val="0096053A"/>
    <w:rsid w:val="00960560"/>
    <w:rsid w:val="009605E9"/>
    <w:rsid w:val="00960632"/>
    <w:rsid w:val="00960638"/>
    <w:rsid w:val="00960692"/>
    <w:rsid w:val="009606AE"/>
    <w:rsid w:val="009606FD"/>
    <w:rsid w:val="00960711"/>
    <w:rsid w:val="0096071D"/>
    <w:rsid w:val="00960743"/>
    <w:rsid w:val="00960772"/>
    <w:rsid w:val="009607AE"/>
    <w:rsid w:val="009607CE"/>
    <w:rsid w:val="009607D5"/>
    <w:rsid w:val="00960806"/>
    <w:rsid w:val="0096080F"/>
    <w:rsid w:val="0096082C"/>
    <w:rsid w:val="0096083C"/>
    <w:rsid w:val="0096084C"/>
    <w:rsid w:val="00960879"/>
    <w:rsid w:val="009608B7"/>
    <w:rsid w:val="009608BD"/>
    <w:rsid w:val="009608F0"/>
    <w:rsid w:val="009608F5"/>
    <w:rsid w:val="0096093B"/>
    <w:rsid w:val="0096097A"/>
    <w:rsid w:val="00960997"/>
    <w:rsid w:val="009609B2"/>
    <w:rsid w:val="009609D1"/>
    <w:rsid w:val="00960A20"/>
    <w:rsid w:val="00960A41"/>
    <w:rsid w:val="00960A46"/>
    <w:rsid w:val="00960A80"/>
    <w:rsid w:val="00960A85"/>
    <w:rsid w:val="00960A98"/>
    <w:rsid w:val="00960AA0"/>
    <w:rsid w:val="00960AEE"/>
    <w:rsid w:val="00960B93"/>
    <w:rsid w:val="00960BC3"/>
    <w:rsid w:val="00960BC9"/>
    <w:rsid w:val="00960BD4"/>
    <w:rsid w:val="00960BE3"/>
    <w:rsid w:val="00960C07"/>
    <w:rsid w:val="00960C17"/>
    <w:rsid w:val="00960C24"/>
    <w:rsid w:val="00960CB7"/>
    <w:rsid w:val="00960CBB"/>
    <w:rsid w:val="00960CC8"/>
    <w:rsid w:val="00960CED"/>
    <w:rsid w:val="00960CFD"/>
    <w:rsid w:val="00960D03"/>
    <w:rsid w:val="00960D14"/>
    <w:rsid w:val="00960D7C"/>
    <w:rsid w:val="00960DC0"/>
    <w:rsid w:val="00960E28"/>
    <w:rsid w:val="00960E2B"/>
    <w:rsid w:val="00960E6D"/>
    <w:rsid w:val="00960E70"/>
    <w:rsid w:val="00960ED2"/>
    <w:rsid w:val="00960F16"/>
    <w:rsid w:val="00960F38"/>
    <w:rsid w:val="00960F4F"/>
    <w:rsid w:val="00960F85"/>
    <w:rsid w:val="00960F9A"/>
    <w:rsid w:val="00960FB5"/>
    <w:rsid w:val="00960FCC"/>
    <w:rsid w:val="00960FD5"/>
    <w:rsid w:val="00960FDA"/>
    <w:rsid w:val="0096102D"/>
    <w:rsid w:val="0096102F"/>
    <w:rsid w:val="0096105B"/>
    <w:rsid w:val="0096105E"/>
    <w:rsid w:val="0096106D"/>
    <w:rsid w:val="009610C8"/>
    <w:rsid w:val="0096110F"/>
    <w:rsid w:val="00961138"/>
    <w:rsid w:val="00961140"/>
    <w:rsid w:val="00961190"/>
    <w:rsid w:val="009611B8"/>
    <w:rsid w:val="009611CD"/>
    <w:rsid w:val="009611CE"/>
    <w:rsid w:val="009611FF"/>
    <w:rsid w:val="00961223"/>
    <w:rsid w:val="0096122F"/>
    <w:rsid w:val="0096124E"/>
    <w:rsid w:val="00961270"/>
    <w:rsid w:val="00961284"/>
    <w:rsid w:val="00961297"/>
    <w:rsid w:val="0096137A"/>
    <w:rsid w:val="0096138F"/>
    <w:rsid w:val="009613A2"/>
    <w:rsid w:val="009613A3"/>
    <w:rsid w:val="0096140D"/>
    <w:rsid w:val="00961415"/>
    <w:rsid w:val="009614A9"/>
    <w:rsid w:val="009614C3"/>
    <w:rsid w:val="009614CB"/>
    <w:rsid w:val="009614E4"/>
    <w:rsid w:val="0096150D"/>
    <w:rsid w:val="00961596"/>
    <w:rsid w:val="009615E7"/>
    <w:rsid w:val="00961673"/>
    <w:rsid w:val="00961677"/>
    <w:rsid w:val="0096168F"/>
    <w:rsid w:val="009616D8"/>
    <w:rsid w:val="00961739"/>
    <w:rsid w:val="009617B4"/>
    <w:rsid w:val="009617BD"/>
    <w:rsid w:val="00961836"/>
    <w:rsid w:val="00961866"/>
    <w:rsid w:val="00961886"/>
    <w:rsid w:val="0096190D"/>
    <w:rsid w:val="0096192B"/>
    <w:rsid w:val="0096199D"/>
    <w:rsid w:val="009619B5"/>
    <w:rsid w:val="00961A59"/>
    <w:rsid w:val="00961A9F"/>
    <w:rsid w:val="00961AB5"/>
    <w:rsid w:val="00961AE3"/>
    <w:rsid w:val="00961B1C"/>
    <w:rsid w:val="00961B58"/>
    <w:rsid w:val="00961B69"/>
    <w:rsid w:val="00961BB7"/>
    <w:rsid w:val="00961BCD"/>
    <w:rsid w:val="00961BF9"/>
    <w:rsid w:val="00961C24"/>
    <w:rsid w:val="00961C2C"/>
    <w:rsid w:val="00961C3B"/>
    <w:rsid w:val="00961C49"/>
    <w:rsid w:val="00961C6D"/>
    <w:rsid w:val="00961C7E"/>
    <w:rsid w:val="00961CB6"/>
    <w:rsid w:val="00961CED"/>
    <w:rsid w:val="00961D1D"/>
    <w:rsid w:val="00961D2B"/>
    <w:rsid w:val="00961D44"/>
    <w:rsid w:val="00961D75"/>
    <w:rsid w:val="00961D90"/>
    <w:rsid w:val="00961DB7"/>
    <w:rsid w:val="00961DD0"/>
    <w:rsid w:val="00961DEE"/>
    <w:rsid w:val="00961E06"/>
    <w:rsid w:val="00961E15"/>
    <w:rsid w:val="00961E2A"/>
    <w:rsid w:val="00961E39"/>
    <w:rsid w:val="00961E75"/>
    <w:rsid w:val="00961EFE"/>
    <w:rsid w:val="00961F07"/>
    <w:rsid w:val="00961F8F"/>
    <w:rsid w:val="00961F95"/>
    <w:rsid w:val="00961FCF"/>
    <w:rsid w:val="00961FDD"/>
    <w:rsid w:val="00962086"/>
    <w:rsid w:val="00962087"/>
    <w:rsid w:val="009620B9"/>
    <w:rsid w:val="009620CD"/>
    <w:rsid w:val="009620D5"/>
    <w:rsid w:val="009620DF"/>
    <w:rsid w:val="009620E5"/>
    <w:rsid w:val="0096210B"/>
    <w:rsid w:val="0096212F"/>
    <w:rsid w:val="00962144"/>
    <w:rsid w:val="0096216D"/>
    <w:rsid w:val="00962187"/>
    <w:rsid w:val="00962195"/>
    <w:rsid w:val="009621C4"/>
    <w:rsid w:val="009621C7"/>
    <w:rsid w:val="00962201"/>
    <w:rsid w:val="00962256"/>
    <w:rsid w:val="00962260"/>
    <w:rsid w:val="00962314"/>
    <w:rsid w:val="0096233D"/>
    <w:rsid w:val="0096236F"/>
    <w:rsid w:val="0096237F"/>
    <w:rsid w:val="00962385"/>
    <w:rsid w:val="009623B1"/>
    <w:rsid w:val="009623B5"/>
    <w:rsid w:val="009623DB"/>
    <w:rsid w:val="009623F1"/>
    <w:rsid w:val="0096240D"/>
    <w:rsid w:val="0096242C"/>
    <w:rsid w:val="00962440"/>
    <w:rsid w:val="00962448"/>
    <w:rsid w:val="00962450"/>
    <w:rsid w:val="0096247C"/>
    <w:rsid w:val="00962485"/>
    <w:rsid w:val="009624C2"/>
    <w:rsid w:val="009624DD"/>
    <w:rsid w:val="0096254A"/>
    <w:rsid w:val="009625A7"/>
    <w:rsid w:val="009625D8"/>
    <w:rsid w:val="009625EE"/>
    <w:rsid w:val="009625F4"/>
    <w:rsid w:val="00962638"/>
    <w:rsid w:val="00962673"/>
    <w:rsid w:val="0096267E"/>
    <w:rsid w:val="009626AC"/>
    <w:rsid w:val="009626B1"/>
    <w:rsid w:val="0096279C"/>
    <w:rsid w:val="009627CA"/>
    <w:rsid w:val="009627DA"/>
    <w:rsid w:val="009627E1"/>
    <w:rsid w:val="0096280D"/>
    <w:rsid w:val="0096281D"/>
    <w:rsid w:val="0096287C"/>
    <w:rsid w:val="00962893"/>
    <w:rsid w:val="009628A9"/>
    <w:rsid w:val="009628BC"/>
    <w:rsid w:val="009628DF"/>
    <w:rsid w:val="009628EC"/>
    <w:rsid w:val="00962943"/>
    <w:rsid w:val="00962971"/>
    <w:rsid w:val="00962A3C"/>
    <w:rsid w:val="00962A4C"/>
    <w:rsid w:val="00962A9D"/>
    <w:rsid w:val="00962AA9"/>
    <w:rsid w:val="00962B60"/>
    <w:rsid w:val="00962B86"/>
    <w:rsid w:val="00962BA2"/>
    <w:rsid w:val="00962BF3"/>
    <w:rsid w:val="00962C3C"/>
    <w:rsid w:val="00962C3F"/>
    <w:rsid w:val="00962C64"/>
    <w:rsid w:val="00962C6B"/>
    <w:rsid w:val="00962D23"/>
    <w:rsid w:val="00962DA6"/>
    <w:rsid w:val="00962DA7"/>
    <w:rsid w:val="00962DF9"/>
    <w:rsid w:val="00962E11"/>
    <w:rsid w:val="00962E45"/>
    <w:rsid w:val="00962EB0"/>
    <w:rsid w:val="00962EB9"/>
    <w:rsid w:val="00962EBB"/>
    <w:rsid w:val="00962EBD"/>
    <w:rsid w:val="00962F23"/>
    <w:rsid w:val="00962F29"/>
    <w:rsid w:val="00962F2A"/>
    <w:rsid w:val="00962F3E"/>
    <w:rsid w:val="00962F43"/>
    <w:rsid w:val="00962F83"/>
    <w:rsid w:val="00962F90"/>
    <w:rsid w:val="00962FC0"/>
    <w:rsid w:val="00962FD6"/>
    <w:rsid w:val="00962FE0"/>
    <w:rsid w:val="00962FE9"/>
    <w:rsid w:val="00962FFE"/>
    <w:rsid w:val="0096302E"/>
    <w:rsid w:val="00963044"/>
    <w:rsid w:val="009630BD"/>
    <w:rsid w:val="009630D3"/>
    <w:rsid w:val="00963110"/>
    <w:rsid w:val="00963189"/>
    <w:rsid w:val="00963224"/>
    <w:rsid w:val="009632AC"/>
    <w:rsid w:val="0096330B"/>
    <w:rsid w:val="00963333"/>
    <w:rsid w:val="00963356"/>
    <w:rsid w:val="0096339B"/>
    <w:rsid w:val="009633A9"/>
    <w:rsid w:val="00963443"/>
    <w:rsid w:val="00963458"/>
    <w:rsid w:val="009634A1"/>
    <w:rsid w:val="009634A5"/>
    <w:rsid w:val="0096351A"/>
    <w:rsid w:val="00963528"/>
    <w:rsid w:val="009635A1"/>
    <w:rsid w:val="009635C4"/>
    <w:rsid w:val="0096360B"/>
    <w:rsid w:val="00963617"/>
    <w:rsid w:val="0096361E"/>
    <w:rsid w:val="0096361F"/>
    <w:rsid w:val="00963628"/>
    <w:rsid w:val="0096365E"/>
    <w:rsid w:val="0096369C"/>
    <w:rsid w:val="009636D1"/>
    <w:rsid w:val="009636FD"/>
    <w:rsid w:val="0096371C"/>
    <w:rsid w:val="00963730"/>
    <w:rsid w:val="00963748"/>
    <w:rsid w:val="009637BD"/>
    <w:rsid w:val="009637F0"/>
    <w:rsid w:val="0096384A"/>
    <w:rsid w:val="009638A5"/>
    <w:rsid w:val="0096390D"/>
    <w:rsid w:val="0096395D"/>
    <w:rsid w:val="009639AD"/>
    <w:rsid w:val="009639B9"/>
    <w:rsid w:val="009639CF"/>
    <w:rsid w:val="00963A02"/>
    <w:rsid w:val="00963A36"/>
    <w:rsid w:val="00963A5B"/>
    <w:rsid w:val="00963A6F"/>
    <w:rsid w:val="00963A9F"/>
    <w:rsid w:val="00963AC8"/>
    <w:rsid w:val="00963B38"/>
    <w:rsid w:val="00963B3D"/>
    <w:rsid w:val="00963B50"/>
    <w:rsid w:val="00963B6E"/>
    <w:rsid w:val="00963B70"/>
    <w:rsid w:val="00963B8C"/>
    <w:rsid w:val="00963BC5"/>
    <w:rsid w:val="00963BD5"/>
    <w:rsid w:val="00963BEC"/>
    <w:rsid w:val="00963C09"/>
    <w:rsid w:val="00963C13"/>
    <w:rsid w:val="00963C1E"/>
    <w:rsid w:val="00963C51"/>
    <w:rsid w:val="00963D1C"/>
    <w:rsid w:val="00963D22"/>
    <w:rsid w:val="00963D30"/>
    <w:rsid w:val="00963D31"/>
    <w:rsid w:val="00963D4B"/>
    <w:rsid w:val="00963D88"/>
    <w:rsid w:val="00963DA2"/>
    <w:rsid w:val="00963DCB"/>
    <w:rsid w:val="00963DD9"/>
    <w:rsid w:val="00963DEE"/>
    <w:rsid w:val="00963E1A"/>
    <w:rsid w:val="00963E2D"/>
    <w:rsid w:val="00963E70"/>
    <w:rsid w:val="00963E97"/>
    <w:rsid w:val="00963EB7"/>
    <w:rsid w:val="00963ECB"/>
    <w:rsid w:val="00963ED2"/>
    <w:rsid w:val="00963F21"/>
    <w:rsid w:val="00963F2A"/>
    <w:rsid w:val="00963F33"/>
    <w:rsid w:val="00963F37"/>
    <w:rsid w:val="00963FAE"/>
    <w:rsid w:val="00963FCA"/>
    <w:rsid w:val="00964032"/>
    <w:rsid w:val="00964040"/>
    <w:rsid w:val="00964045"/>
    <w:rsid w:val="0096405F"/>
    <w:rsid w:val="009641A3"/>
    <w:rsid w:val="009641EE"/>
    <w:rsid w:val="0096422A"/>
    <w:rsid w:val="00964232"/>
    <w:rsid w:val="00964244"/>
    <w:rsid w:val="00964278"/>
    <w:rsid w:val="009642D0"/>
    <w:rsid w:val="00964315"/>
    <w:rsid w:val="0096432E"/>
    <w:rsid w:val="00964332"/>
    <w:rsid w:val="0096435F"/>
    <w:rsid w:val="00964391"/>
    <w:rsid w:val="009643E2"/>
    <w:rsid w:val="0096440C"/>
    <w:rsid w:val="0096441D"/>
    <w:rsid w:val="0096444C"/>
    <w:rsid w:val="00964468"/>
    <w:rsid w:val="009644AB"/>
    <w:rsid w:val="009644C3"/>
    <w:rsid w:val="009644D5"/>
    <w:rsid w:val="009644FB"/>
    <w:rsid w:val="00964514"/>
    <w:rsid w:val="00964528"/>
    <w:rsid w:val="0096453A"/>
    <w:rsid w:val="0096457B"/>
    <w:rsid w:val="009645A2"/>
    <w:rsid w:val="00964637"/>
    <w:rsid w:val="00964650"/>
    <w:rsid w:val="0096467F"/>
    <w:rsid w:val="00964689"/>
    <w:rsid w:val="009646BA"/>
    <w:rsid w:val="009646DA"/>
    <w:rsid w:val="0096473B"/>
    <w:rsid w:val="0096477F"/>
    <w:rsid w:val="00964780"/>
    <w:rsid w:val="00964794"/>
    <w:rsid w:val="00964799"/>
    <w:rsid w:val="009647A3"/>
    <w:rsid w:val="009647A4"/>
    <w:rsid w:val="009647B2"/>
    <w:rsid w:val="00964825"/>
    <w:rsid w:val="00964856"/>
    <w:rsid w:val="0096485C"/>
    <w:rsid w:val="00964890"/>
    <w:rsid w:val="00964894"/>
    <w:rsid w:val="0096489A"/>
    <w:rsid w:val="0096489F"/>
    <w:rsid w:val="009648D7"/>
    <w:rsid w:val="009648F6"/>
    <w:rsid w:val="009648FD"/>
    <w:rsid w:val="00964909"/>
    <w:rsid w:val="00964920"/>
    <w:rsid w:val="00964935"/>
    <w:rsid w:val="0096493F"/>
    <w:rsid w:val="0096494B"/>
    <w:rsid w:val="00964968"/>
    <w:rsid w:val="00964988"/>
    <w:rsid w:val="009649BC"/>
    <w:rsid w:val="009649D7"/>
    <w:rsid w:val="009649FD"/>
    <w:rsid w:val="00964A23"/>
    <w:rsid w:val="00964A36"/>
    <w:rsid w:val="00964A4A"/>
    <w:rsid w:val="00964A50"/>
    <w:rsid w:val="00964A78"/>
    <w:rsid w:val="00964AB4"/>
    <w:rsid w:val="00964AC6"/>
    <w:rsid w:val="00964AE7"/>
    <w:rsid w:val="00964B4F"/>
    <w:rsid w:val="00964B68"/>
    <w:rsid w:val="00964B89"/>
    <w:rsid w:val="00964BE5"/>
    <w:rsid w:val="00964BF0"/>
    <w:rsid w:val="00964C46"/>
    <w:rsid w:val="00964C56"/>
    <w:rsid w:val="00964C67"/>
    <w:rsid w:val="00964C6B"/>
    <w:rsid w:val="00964C86"/>
    <w:rsid w:val="00964C93"/>
    <w:rsid w:val="00964CBF"/>
    <w:rsid w:val="00964CE6"/>
    <w:rsid w:val="00964CF5"/>
    <w:rsid w:val="00964CFE"/>
    <w:rsid w:val="00964D09"/>
    <w:rsid w:val="00964D32"/>
    <w:rsid w:val="00964D68"/>
    <w:rsid w:val="00964DB3"/>
    <w:rsid w:val="00964DC8"/>
    <w:rsid w:val="00964DD1"/>
    <w:rsid w:val="00964E0E"/>
    <w:rsid w:val="00964E68"/>
    <w:rsid w:val="00964E8E"/>
    <w:rsid w:val="00964F1A"/>
    <w:rsid w:val="00964F1B"/>
    <w:rsid w:val="00964F52"/>
    <w:rsid w:val="00964F58"/>
    <w:rsid w:val="00964F5A"/>
    <w:rsid w:val="00964F75"/>
    <w:rsid w:val="00964FF7"/>
    <w:rsid w:val="00965013"/>
    <w:rsid w:val="00965019"/>
    <w:rsid w:val="00965029"/>
    <w:rsid w:val="0096508D"/>
    <w:rsid w:val="009650A1"/>
    <w:rsid w:val="009650C8"/>
    <w:rsid w:val="009650FC"/>
    <w:rsid w:val="0096511C"/>
    <w:rsid w:val="00965153"/>
    <w:rsid w:val="0096516A"/>
    <w:rsid w:val="009651F6"/>
    <w:rsid w:val="009651F8"/>
    <w:rsid w:val="0096521A"/>
    <w:rsid w:val="00965269"/>
    <w:rsid w:val="00965289"/>
    <w:rsid w:val="009652AB"/>
    <w:rsid w:val="009652B2"/>
    <w:rsid w:val="009652EA"/>
    <w:rsid w:val="00965301"/>
    <w:rsid w:val="00965314"/>
    <w:rsid w:val="0096534B"/>
    <w:rsid w:val="00965379"/>
    <w:rsid w:val="009653A9"/>
    <w:rsid w:val="009653B6"/>
    <w:rsid w:val="009653C3"/>
    <w:rsid w:val="009653EC"/>
    <w:rsid w:val="00965413"/>
    <w:rsid w:val="00965458"/>
    <w:rsid w:val="0096545B"/>
    <w:rsid w:val="009654BB"/>
    <w:rsid w:val="009654F6"/>
    <w:rsid w:val="0096551A"/>
    <w:rsid w:val="00965526"/>
    <w:rsid w:val="009655F8"/>
    <w:rsid w:val="0096562C"/>
    <w:rsid w:val="009656EE"/>
    <w:rsid w:val="00965708"/>
    <w:rsid w:val="0096570D"/>
    <w:rsid w:val="00965731"/>
    <w:rsid w:val="0096579E"/>
    <w:rsid w:val="009657B2"/>
    <w:rsid w:val="009657CF"/>
    <w:rsid w:val="0096580D"/>
    <w:rsid w:val="0096581A"/>
    <w:rsid w:val="00965821"/>
    <w:rsid w:val="00965878"/>
    <w:rsid w:val="009658BA"/>
    <w:rsid w:val="00965903"/>
    <w:rsid w:val="0096590C"/>
    <w:rsid w:val="0096591D"/>
    <w:rsid w:val="0096598C"/>
    <w:rsid w:val="009659D7"/>
    <w:rsid w:val="00965A67"/>
    <w:rsid w:val="00965B00"/>
    <w:rsid w:val="00965B36"/>
    <w:rsid w:val="00965B4C"/>
    <w:rsid w:val="00965B89"/>
    <w:rsid w:val="00965B8D"/>
    <w:rsid w:val="00965BEF"/>
    <w:rsid w:val="00965BF3"/>
    <w:rsid w:val="00965BF8"/>
    <w:rsid w:val="00965C13"/>
    <w:rsid w:val="00965C7B"/>
    <w:rsid w:val="00965CC4"/>
    <w:rsid w:val="00965D0F"/>
    <w:rsid w:val="00965D2B"/>
    <w:rsid w:val="00965D4D"/>
    <w:rsid w:val="00965D54"/>
    <w:rsid w:val="00965D6D"/>
    <w:rsid w:val="00965DF3"/>
    <w:rsid w:val="00965E6B"/>
    <w:rsid w:val="00965E6C"/>
    <w:rsid w:val="00965ED4"/>
    <w:rsid w:val="00965F24"/>
    <w:rsid w:val="00965F2D"/>
    <w:rsid w:val="00965F60"/>
    <w:rsid w:val="00965F93"/>
    <w:rsid w:val="00965FA8"/>
    <w:rsid w:val="00965FAE"/>
    <w:rsid w:val="00966016"/>
    <w:rsid w:val="0096603F"/>
    <w:rsid w:val="00966065"/>
    <w:rsid w:val="009660B9"/>
    <w:rsid w:val="0096613A"/>
    <w:rsid w:val="0096614D"/>
    <w:rsid w:val="009661DE"/>
    <w:rsid w:val="00966203"/>
    <w:rsid w:val="0096629D"/>
    <w:rsid w:val="009662A7"/>
    <w:rsid w:val="00966372"/>
    <w:rsid w:val="00966387"/>
    <w:rsid w:val="0096639E"/>
    <w:rsid w:val="009663BE"/>
    <w:rsid w:val="009663C5"/>
    <w:rsid w:val="009664B6"/>
    <w:rsid w:val="009664DE"/>
    <w:rsid w:val="00966530"/>
    <w:rsid w:val="00966540"/>
    <w:rsid w:val="0096659C"/>
    <w:rsid w:val="009665D5"/>
    <w:rsid w:val="009665EA"/>
    <w:rsid w:val="00966617"/>
    <w:rsid w:val="00966618"/>
    <w:rsid w:val="00966635"/>
    <w:rsid w:val="00966650"/>
    <w:rsid w:val="0096666C"/>
    <w:rsid w:val="0096667E"/>
    <w:rsid w:val="009666AD"/>
    <w:rsid w:val="009666CA"/>
    <w:rsid w:val="00966701"/>
    <w:rsid w:val="00966726"/>
    <w:rsid w:val="00966753"/>
    <w:rsid w:val="009667EE"/>
    <w:rsid w:val="00966806"/>
    <w:rsid w:val="0096683B"/>
    <w:rsid w:val="0096686A"/>
    <w:rsid w:val="009668B6"/>
    <w:rsid w:val="00966904"/>
    <w:rsid w:val="0096690A"/>
    <w:rsid w:val="00966963"/>
    <w:rsid w:val="00966999"/>
    <w:rsid w:val="00966A73"/>
    <w:rsid w:val="00966A92"/>
    <w:rsid w:val="00966AF6"/>
    <w:rsid w:val="00966BCD"/>
    <w:rsid w:val="00966BFB"/>
    <w:rsid w:val="00966C43"/>
    <w:rsid w:val="00966CA0"/>
    <w:rsid w:val="00966CF3"/>
    <w:rsid w:val="00966D45"/>
    <w:rsid w:val="00966D64"/>
    <w:rsid w:val="00966D71"/>
    <w:rsid w:val="00966D80"/>
    <w:rsid w:val="00966D91"/>
    <w:rsid w:val="00966DA6"/>
    <w:rsid w:val="00966DE9"/>
    <w:rsid w:val="00966E00"/>
    <w:rsid w:val="00966E06"/>
    <w:rsid w:val="00966E54"/>
    <w:rsid w:val="00966E69"/>
    <w:rsid w:val="00966EF1"/>
    <w:rsid w:val="00966F0A"/>
    <w:rsid w:val="00966F31"/>
    <w:rsid w:val="00966F58"/>
    <w:rsid w:val="00966FAF"/>
    <w:rsid w:val="00966FEC"/>
    <w:rsid w:val="00966FF0"/>
    <w:rsid w:val="00967048"/>
    <w:rsid w:val="009670B2"/>
    <w:rsid w:val="009670BB"/>
    <w:rsid w:val="009670CC"/>
    <w:rsid w:val="009670E0"/>
    <w:rsid w:val="0096711D"/>
    <w:rsid w:val="009671E5"/>
    <w:rsid w:val="00967216"/>
    <w:rsid w:val="009672AC"/>
    <w:rsid w:val="009672D2"/>
    <w:rsid w:val="009672FB"/>
    <w:rsid w:val="00967317"/>
    <w:rsid w:val="0096736E"/>
    <w:rsid w:val="00967384"/>
    <w:rsid w:val="009673B8"/>
    <w:rsid w:val="009673BF"/>
    <w:rsid w:val="009673D0"/>
    <w:rsid w:val="0096741E"/>
    <w:rsid w:val="0096742D"/>
    <w:rsid w:val="00967470"/>
    <w:rsid w:val="00967478"/>
    <w:rsid w:val="0096747F"/>
    <w:rsid w:val="009674AB"/>
    <w:rsid w:val="009674F0"/>
    <w:rsid w:val="009674F7"/>
    <w:rsid w:val="00967541"/>
    <w:rsid w:val="00967583"/>
    <w:rsid w:val="0096758D"/>
    <w:rsid w:val="00967593"/>
    <w:rsid w:val="0096759E"/>
    <w:rsid w:val="009675A9"/>
    <w:rsid w:val="009675AA"/>
    <w:rsid w:val="00967608"/>
    <w:rsid w:val="00967617"/>
    <w:rsid w:val="0096765B"/>
    <w:rsid w:val="00967686"/>
    <w:rsid w:val="00967692"/>
    <w:rsid w:val="00967721"/>
    <w:rsid w:val="0096772C"/>
    <w:rsid w:val="00967733"/>
    <w:rsid w:val="00967759"/>
    <w:rsid w:val="0096775B"/>
    <w:rsid w:val="00967761"/>
    <w:rsid w:val="00967784"/>
    <w:rsid w:val="00967797"/>
    <w:rsid w:val="00967798"/>
    <w:rsid w:val="009677D1"/>
    <w:rsid w:val="00967862"/>
    <w:rsid w:val="0096786A"/>
    <w:rsid w:val="00967870"/>
    <w:rsid w:val="00967874"/>
    <w:rsid w:val="009678AD"/>
    <w:rsid w:val="00967969"/>
    <w:rsid w:val="00967980"/>
    <w:rsid w:val="00967997"/>
    <w:rsid w:val="00967A0F"/>
    <w:rsid w:val="00967AB1"/>
    <w:rsid w:val="00967ADA"/>
    <w:rsid w:val="00967B03"/>
    <w:rsid w:val="00967B1D"/>
    <w:rsid w:val="00967B42"/>
    <w:rsid w:val="00967B47"/>
    <w:rsid w:val="00967B4B"/>
    <w:rsid w:val="00967B5E"/>
    <w:rsid w:val="00967B5F"/>
    <w:rsid w:val="00967B77"/>
    <w:rsid w:val="00967B89"/>
    <w:rsid w:val="00967B8A"/>
    <w:rsid w:val="00967BC5"/>
    <w:rsid w:val="00967BE7"/>
    <w:rsid w:val="00967BED"/>
    <w:rsid w:val="00967C1F"/>
    <w:rsid w:val="00967C6A"/>
    <w:rsid w:val="00967CA8"/>
    <w:rsid w:val="00967CE6"/>
    <w:rsid w:val="00967D18"/>
    <w:rsid w:val="00967D37"/>
    <w:rsid w:val="00967D51"/>
    <w:rsid w:val="00967D74"/>
    <w:rsid w:val="00967D82"/>
    <w:rsid w:val="00967E3D"/>
    <w:rsid w:val="00967E49"/>
    <w:rsid w:val="00967E61"/>
    <w:rsid w:val="00967EAB"/>
    <w:rsid w:val="00967F19"/>
    <w:rsid w:val="00967F8B"/>
    <w:rsid w:val="00968F3A"/>
    <w:rsid w:val="0097000E"/>
    <w:rsid w:val="0097001E"/>
    <w:rsid w:val="00970092"/>
    <w:rsid w:val="009700D4"/>
    <w:rsid w:val="009700D6"/>
    <w:rsid w:val="00970115"/>
    <w:rsid w:val="0097012E"/>
    <w:rsid w:val="00970178"/>
    <w:rsid w:val="0097018A"/>
    <w:rsid w:val="009701AB"/>
    <w:rsid w:val="009701CB"/>
    <w:rsid w:val="009701E7"/>
    <w:rsid w:val="0097025A"/>
    <w:rsid w:val="0097026B"/>
    <w:rsid w:val="0097026E"/>
    <w:rsid w:val="0097026F"/>
    <w:rsid w:val="00970285"/>
    <w:rsid w:val="009702DE"/>
    <w:rsid w:val="009702FD"/>
    <w:rsid w:val="00970311"/>
    <w:rsid w:val="00970315"/>
    <w:rsid w:val="00970344"/>
    <w:rsid w:val="0097034D"/>
    <w:rsid w:val="0097034E"/>
    <w:rsid w:val="00970372"/>
    <w:rsid w:val="00970388"/>
    <w:rsid w:val="00970392"/>
    <w:rsid w:val="009703AC"/>
    <w:rsid w:val="009703C5"/>
    <w:rsid w:val="009703F3"/>
    <w:rsid w:val="009703FE"/>
    <w:rsid w:val="00970403"/>
    <w:rsid w:val="00970496"/>
    <w:rsid w:val="0097049A"/>
    <w:rsid w:val="009704A7"/>
    <w:rsid w:val="009704C0"/>
    <w:rsid w:val="009704CD"/>
    <w:rsid w:val="009704F1"/>
    <w:rsid w:val="00970530"/>
    <w:rsid w:val="00970547"/>
    <w:rsid w:val="00970620"/>
    <w:rsid w:val="00970644"/>
    <w:rsid w:val="00970663"/>
    <w:rsid w:val="00970694"/>
    <w:rsid w:val="00970698"/>
    <w:rsid w:val="009706BB"/>
    <w:rsid w:val="00970713"/>
    <w:rsid w:val="00970764"/>
    <w:rsid w:val="00970767"/>
    <w:rsid w:val="009707D0"/>
    <w:rsid w:val="009707E0"/>
    <w:rsid w:val="00970828"/>
    <w:rsid w:val="00970891"/>
    <w:rsid w:val="009708D8"/>
    <w:rsid w:val="00970910"/>
    <w:rsid w:val="00970917"/>
    <w:rsid w:val="00970930"/>
    <w:rsid w:val="0097095F"/>
    <w:rsid w:val="009709C5"/>
    <w:rsid w:val="00970A01"/>
    <w:rsid w:val="00970A1D"/>
    <w:rsid w:val="00970A99"/>
    <w:rsid w:val="00970ADD"/>
    <w:rsid w:val="00970AE6"/>
    <w:rsid w:val="00970B30"/>
    <w:rsid w:val="00970B3C"/>
    <w:rsid w:val="00970B9A"/>
    <w:rsid w:val="00970BA9"/>
    <w:rsid w:val="00970BBD"/>
    <w:rsid w:val="00970BFA"/>
    <w:rsid w:val="00970C0E"/>
    <w:rsid w:val="00970C40"/>
    <w:rsid w:val="00970C5E"/>
    <w:rsid w:val="00970CCA"/>
    <w:rsid w:val="00970CD2"/>
    <w:rsid w:val="00970CD6"/>
    <w:rsid w:val="00970CF2"/>
    <w:rsid w:val="00970D1F"/>
    <w:rsid w:val="00970DAF"/>
    <w:rsid w:val="00970DB5"/>
    <w:rsid w:val="00970E5E"/>
    <w:rsid w:val="00970E70"/>
    <w:rsid w:val="00970E92"/>
    <w:rsid w:val="00970EDD"/>
    <w:rsid w:val="00970EE7"/>
    <w:rsid w:val="00970EED"/>
    <w:rsid w:val="00970F2D"/>
    <w:rsid w:val="00970F32"/>
    <w:rsid w:val="00970F3A"/>
    <w:rsid w:val="00970F48"/>
    <w:rsid w:val="00970F4A"/>
    <w:rsid w:val="00970F7F"/>
    <w:rsid w:val="00970F82"/>
    <w:rsid w:val="00970FA8"/>
    <w:rsid w:val="00970FCA"/>
    <w:rsid w:val="00970FEA"/>
    <w:rsid w:val="0097109A"/>
    <w:rsid w:val="009710B0"/>
    <w:rsid w:val="009710D0"/>
    <w:rsid w:val="009710E3"/>
    <w:rsid w:val="009710EB"/>
    <w:rsid w:val="00971103"/>
    <w:rsid w:val="00971131"/>
    <w:rsid w:val="0097114C"/>
    <w:rsid w:val="0097117A"/>
    <w:rsid w:val="009711E9"/>
    <w:rsid w:val="0097120A"/>
    <w:rsid w:val="00971218"/>
    <w:rsid w:val="0097127F"/>
    <w:rsid w:val="0097128E"/>
    <w:rsid w:val="009712DE"/>
    <w:rsid w:val="00971331"/>
    <w:rsid w:val="00971335"/>
    <w:rsid w:val="00971381"/>
    <w:rsid w:val="00971397"/>
    <w:rsid w:val="009713A1"/>
    <w:rsid w:val="009713AD"/>
    <w:rsid w:val="009713DB"/>
    <w:rsid w:val="0097148E"/>
    <w:rsid w:val="0097149E"/>
    <w:rsid w:val="0097149F"/>
    <w:rsid w:val="009714AE"/>
    <w:rsid w:val="009714C8"/>
    <w:rsid w:val="009715E7"/>
    <w:rsid w:val="009715ED"/>
    <w:rsid w:val="009715F0"/>
    <w:rsid w:val="00971611"/>
    <w:rsid w:val="00971692"/>
    <w:rsid w:val="009716BB"/>
    <w:rsid w:val="009716EB"/>
    <w:rsid w:val="00971740"/>
    <w:rsid w:val="009717A1"/>
    <w:rsid w:val="009717E4"/>
    <w:rsid w:val="00971832"/>
    <w:rsid w:val="00971841"/>
    <w:rsid w:val="009718BB"/>
    <w:rsid w:val="00971934"/>
    <w:rsid w:val="00971944"/>
    <w:rsid w:val="00971949"/>
    <w:rsid w:val="00971954"/>
    <w:rsid w:val="00971978"/>
    <w:rsid w:val="009719C1"/>
    <w:rsid w:val="009719DC"/>
    <w:rsid w:val="009719E7"/>
    <w:rsid w:val="00971A1C"/>
    <w:rsid w:val="00971A57"/>
    <w:rsid w:val="00971A61"/>
    <w:rsid w:val="00971A67"/>
    <w:rsid w:val="00971A7D"/>
    <w:rsid w:val="00971A96"/>
    <w:rsid w:val="00971ABA"/>
    <w:rsid w:val="00971ABB"/>
    <w:rsid w:val="00971AFF"/>
    <w:rsid w:val="00971B2F"/>
    <w:rsid w:val="00971B56"/>
    <w:rsid w:val="00971B95"/>
    <w:rsid w:val="00971BA2"/>
    <w:rsid w:val="00971BE8"/>
    <w:rsid w:val="00971C1F"/>
    <w:rsid w:val="00971C3B"/>
    <w:rsid w:val="00971C3C"/>
    <w:rsid w:val="00971C80"/>
    <w:rsid w:val="00971C83"/>
    <w:rsid w:val="00971CA4"/>
    <w:rsid w:val="00971CBE"/>
    <w:rsid w:val="00971CE8"/>
    <w:rsid w:val="00971CF4"/>
    <w:rsid w:val="00971D11"/>
    <w:rsid w:val="00971D32"/>
    <w:rsid w:val="00971D56"/>
    <w:rsid w:val="00971D5D"/>
    <w:rsid w:val="00971D67"/>
    <w:rsid w:val="00971DAC"/>
    <w:rsid w:val="00971DEA"/>
    <w:rsid w:val="00971DEC"/>
    <w:rsid w:val="00971DFE"/>
    <w:rsid w:val="00971E3A"/>
    <w:rsid w:val="00971E72"/>
    <w:rsid w:val="00971EFE"/>
    <w:rsid w:val="00971F16"/>
    <w:rsid w:val="00971F3E"/>
    <w:rsid w:val="00971F82"/>
    <w:rsid w:val="00971FBB"/>
    <w:rsid w:val="00971FC2"/>
    <w:rsid w:val="009720CE"/>
    <w:rsid w:val="009720D2"/>
    <w:rsid w:val="009720E4"/>
    <w:rsid w:val="00972123"/>
    <w:rsid w:val="00972140"/>
    <w:rsid w:val="0097214C"/>
    <w:rsid w:val="00972159"/>
    <w:rsid w:val="00972187"/>
    <w:rsid w:val="0097219C"/>
    <w:rsid w:val="009721E1"/>
    <w:rsid w:val="0097220D"/>
    <w:rsid w:val="00972266"/>
    <w:rsid w:val="0097228C"/>
    <w:rsid w:val="009722D8"/>
    <w:rsid w:val="009722F1"/>
    <w:rsid w:val="00972324"/>
    <w:rsid w:val="00972331"/>
    <w:rsid w:val="00972349"/>
    <w:rsid w:val="00972353"/>
    <w:rsid w:val="0097235E"/>
    <w:rsid w:val="00972384"/>
    <w:rsid w:val="00972433"/>
    <w:rsid w:val="0097244E"/>
    <w:rsid w:val="00972469"/>
    <w:rsid w:val="00972496"/>
    <w:rsid w:val="009724B2"/>
    <w:rsid w:val="009724BD"/>
    <w:rsid w:val="009724D4"/>
    <w:rsid w:val="009724FD"/>
    <w:rsid w:val="0097255D"/>
    <w:rsid w:val="00972597"/>
    <w:rsid w:val="0097259B"/>
    <w:rsid w:val="009725D9"/>
    <w:rsid w:val="0097260D"/>
    <w:rsid w:val="0097263C"/>
    <w:rsid w:val="00972658"/>
    <w:rsid w:val="00972679"/>
    <w:rsid w:val="009726E7"/>
    <w:rsid w:val="00972716"/>
    <w:rsid w:val="00972748"/>
    <w:rsid w:val="0097275F"/>
    <w:rsid w:val="00972762"/>
    <w:rsid w:val="0097279E"/>
    <w:rsid w:val="009727AB"/>
    <w:rsid w:val="009727B1"/>
    <w:rsid w:val="009727FD"/>
    <w:rsid w:val="00972836"/>
    <w:rsid w:val="00972837"/>
    <w:rsid w:val="00972862"/>
    <w:rsid w:val="0097286D"/>
    <w:rsid w:val="009728BC"/>
    <w:rsid w:val="009728D8"/>
    <w:rsid w:val="009728F1"/>
    <w:rsid w:val="00972947"/>
    <w:rsid w:val="00972956"/>
    <w:rsid w:val="009729B8"/>
    <w:rsid w:val="009729CE"/>
    <w:rsid w:val="009729D8"/>
    <w:rsid w:val="00972A0C"/>
    <w:rsid w:val="00972A3C"/>
    <w:rsid w:val="00972A5A"/>
    <w:rsid w:val="00972A6F"/>
    <w:rsid w:val="00972A7F"/>
    <w:rsid w:val="00972A87"/>
    <w:rsid w:val="00972AF8"/>
    <w:rsid w:val="00972B2C"/>
    <w:rsid w:val="00972B4B"/>
    <w:rsid w:val="00972B78"/>
    <w:rsid w:val="00972BB1"/>
    <w:rsid w:val="00972C66"/>
    <w:rsid w:val="00972C74"/>
    <w:rsid w:val="00972CA2"/>
    <w:rsid w:val="00972CB7"/>
    <w:rsid w:val="00972CB8"/>
    <w:rsid w:val="00972CBC"/>
    <w:rsid w:val="00972CCF"/>
    <w:rsid w:val="00972D21"/>
    <w:rsid w:val="00972D47"/>
    <w:rsid w:val="00972D66"/>
    <w:rsid w:val="00972D6A"/>
    <w:rsid w:val="00972DB4"/>
    <w:rsid w:val="00972E32"/>
    <w:rsid w:val="00972F15"/>
    <w:rsid w:val="00972F22"/>
    <w:rsid w:val="00972F36"/>
    <w:rsid w:val="00972F7F"/>
    <w:rsid w:val="00972F80"/>
    <w:rsid w:val="00972F82"/>
    <w:rsid w:val="00972FA2"/>
    <w:rsid w:val="00972FB6"/>
    <w:rsid w:val="00972FF6"/>
    <w:rsid w:val="00973028"/>
    <w:rsid w:val="00973050"/>
    <w:rsid w:val="0097307A"/>
    <w:rsid w:val="0097307B"/>
    <w:rsid w:val="009730AF"/>
    <w:rsid w:val="009730D7"/>
    <w:rsid w:val="009730DB"/>
    <w:rsid w:val="009730E1"/>
    <w:rsid w:val="0097312D"/>
    <w:rsid w:val="00973140"/>
    <w:rsid w:val="00973168"/>
    <w:rsid w:val="00973181"/>
    <w:rsid w:val="00973192"/>
    <w:rsid w:val="009731AC"/>
    <w:rsid w:val="009731D1"/>
    <w:rsid w:val="009731FC"/>
    <w:rsid w:val="009731FE"/>
    <w:rsid w:val="00973227"/>
    <w:rsid w:val="0097322E"/>
    <w:rsid w:val="00973259"/>
    <w:rsid w:val="00973272"/>
    <w:rsid w:val="009732CF"/>
    <w:rsid w:val="009732D3"/>
    <w:rsid w:val="009732D4"/>
    <w:rsid w:val="009732D7"/>
    <w:rsid w:val="00973308"/>
    <w:rsid w:val="00973317"/>
    <w:rsid w:val="00973333"/>
    <w:rsid w:val="00973336"/>
    <w:rsid w:val="00973355"/>
    <w:rsid w:val="0097337E"/>
    <w:rsid w:val="0097338A"/>
    <w:rsid w:val="009733E6"/>
    <w:rsid w:val="0097344E"/>
    <w:rsid w:val="00973464"/>
    <w:rsid w:val="009734B5"/>
    <w:rsid w:val="009734CA"/>
    <w:rsid w:val="0097355F"/>
    <w:rsid w:val="00973561"/>
    <w:rsid w:val="00973586"/>
    <w:rsid w:val="009735D2"/>
    <w:rsid w:val="009735D8"/>
    <w:rsid w:val="0097366F"/>
    <w:rsid w:val="00973687"/>
    <w:rsid w:val="00973696"/>
    <w:rsid w:val="009736B8"/>
    <w:rsid w:val="009736E9"/>
    <w:rsid w:val="0097370B"/>
    <w:rsid w:val="00973736"/>
    <w:rsid w:val="0097379E"/>
    <w:rsid w:val="009737A8"/>
    <w:rsid w:val="009737BB"/>
    <w:rsid w:val="009737C8"/>
    <w:rsid w:val="00973809"/>
    <w:rsid w:val="0097380D"/>
    <w:rsid w:val="0097381F"/>
    <w:rsid w:val="00973829"/>
    <w:rsid w:val="00973832"/>
    <w:rsid w:val="0097385B"/>
    <w:rsid w:val="00973875"/>
    <w:rsid w:val="009738D3"/>
    <w:rsid w:val="00973973"/>
    <w:rsid w:val="009739CD"/>
    <w:rsid w:val="00973A11"/>
    <w:rsid w:val="00973A27"/>
    <w:rsid w:val="00973A57"/>
    <w:rsid w:val="00973A5D"/>
    <w:rsid w:val="00973A82"/>
    <w:rsid w:val="00973A93"/>
    <w:rsid w:val="00973ACF"/>
    <w:rsid w:val="00973AFF"/>
    <w:rsid w:val="00973B2A"/>
    <w:rsid w:val="00973B2C"/>
    <w:rsid w:val="00973B72"/>
    <w:rsid w:val="00973B7A"/>
    <w:rsid w:val="00973B8C"/>
    <w:rsid w:val="00973BD4"/>
    <w:rsid w:val="00973BF7"/>
    <w:rsid w:val="00973C1F"/>
    <w:rsid w:val="00973C26"/>
    <w:rsid w:val="00973C2E"/>
    <w:rsid w:val="00973C95"/>
    <w:rsid w:val="00973CA6"/>
    <w:rsid w:val="00973CC1"/>
    <w:rsid w:val="00973CD6"/>
    <w:rsid w:val="00973D18"/>
    <w:rsid w:val="00973D4C"/>
    <w:rsid w:val="00973D53"/>
    <w:rsid w:val="00973D68"/>
    <w:rsid w:val="00973DB7"/>
    <w:rsid w:val="00973E23"/>
    <w:rsid w:val="00973E27"/>
    <w:rsid w:val="00973E3F"/>
    <w:rsid w:val="00973E46"/>
    <w:rsid w:val="00973E5B"/>
    <w:rsid w:val="00973EC7"/>
    <w:rsid w:val="00973F2F"/>
    <w:rsid w:val="00973F62"/>
    <w:rsid w:val="00973F8E"/>
    <w:rsid w:val="00973FE6"/>
    <w:rsid w:val="00974010"/>
    <w:rsid w:val="0097401D"/>
    <w:rsid w:val="0097406C"/>
    <w:rsid w:val="009740BD"/>
    <w:rsid w:val="0097414E"/>
    <w:rsid w:val="0097414F"/>
    <w:rsid w:val="00974151"/>
    <w:rsid w:val="0097418F"/>
    <w:rsid w:val="009741B2"/>
    <w:rsid w:val="009741B7"/>
    <w:rsid w:val="009741C2"/>
    <w:rsid w:val="00974215"/>
    <w:rsid w:val="00974232"/>
    <w:rsid w:val="00974236"/>
    <w:rsid w:val="0097424A"/>
    <w:rsid w:val="009742C5"/>
    <w:rsid w:val="009742D3"/>
    <w:rsid w:val="0097432C"/>
    <w:rsid w:val="00974354"/>
    <w:rsid w:val="009743EF"/>
    <w:rsid w:val="0097440A"/>
    <w:rsid w:val="0097440C"/>
    <w:rsid w:val="0097443D"/>
    <w:rsid w:val="00974477"/>
    <w:rsid w:val="00974482"/>
    <w:rsid w:val="00974492"/>
    <w:rsid w:val="009744A4"/>
    <w:rsid w:val="009744BE"/>
    <w:rsid w:val="00974528"/>
    <w:rsid w:val="0097453D"/>
    <w:rsid w:val="009745C7"/>
    <w:rsid w:val="009745D2"/>
    <w:rsid w:val="009745E3"/>
    <w:rsid w:val="0097467B"/>
    <w:rsid w:val="00974686"/>
    <w:rsid w:val="009746C3"/>
    <w:rsid w:val="009746D2"/>
    <w:rsid w:val="009746E1"/>
    <w:rsid w:val="009746FD"/>
    <w:rsid w:val="00974788"/>
    <w:rsid w:val="009747A5"/>
    <w:rsid w:val="009747B8"/>
    <w:rsid w:val="00974802"/>
    <w:rsid w:val="00974808"/>
    <w:rsid w:val="00974823"/>
    <w:rsid w:val="00974827"/>
    <w:rsid w:val="00974864"/>
    <w:rsid w:val="00974884"/>
    <w:rsid w:val="009748A3"/>
    <w:rsid w:val="009748BC"/>
    <w:rsid w:val="009748C6"/>
    <w:rsid w:val="009748C7"/>
    <w:rsid w:val="009748D2"/>
    <w:rsid w:val="009748E6"/>
    <w:rsid w:val="00974971"/>
    <w:rsid w:val="00974977"/>
    <w:rsid w:val="00974991"/>
    <w:rsid w:val="009749F2"/>
    <w:rsid w:val="009749F9"/>
    <w:rsid w:val="009749FC"/>
    <w:rsid w:val="00974A7C"/>
    <w:rsid w:val="00974A8E"/>
    <w:rsid w:val="00974B0C"/>
    <w:rsid w:val="00974B91"/>
    <w:rsid w:val="00974B93"/>
    <w:rsid w:val="00974BBB"/>
    <w:rsid w:val="00974BBC"/>
    <w:rsid w:val="00974C45"/>
    <w:rsid w:val="00974C53"/>
    <w:rsid w:val="00974C60"/>
    <w:rsid w:val="00974C8D"/>
    <w:rsid w:val="00974CB7"/>
    <w:rsid w:val="00974CE6"/>
    <w:rsid w:val="00974D15"/>
    <w:rsid w:val="00974D1F"/>
    <w:rsid w:val="00974D57"/>
    <w:rsid w:val="00974DB0"/>
    <w:rsid w:val="00974DBA"/>
    <w:rsid w:val="00974DC4"/>
    <w:rsid w:val="00974E29"/>
    <w:rsid w:val="00974E42"/>
    <w:rsid w:val="00974E7C"/>
    <w:rsid w:val="00974E7F"/>
    <w:rsid w:val="00974E85"/>
    <w:rsid w:val="00974EE1"/>
    <w:rsid w:val="00974EF7"/>
    <w:rsid w:val="00974F6F"/>
    <w:rsid w:val="00974FA1"/>
    <w:rsid w:val="00975008"/>
    <w:rsid w:val="0097502F"/>
    <w:rsid w:val="00975034"/>
    <w:rsid w:val="00975069"/>
    <w:rsid w:val="0097506A"/>
    <w:rsid w:val="00975079"/>
    <w:rsid w:val="009750F1"/>
    <w:rsid w:val="00975100"/>
    <w:rsid w:val="00975123"/>
    <w:rsid w:val="00975155"/>
    <w:rsid w:val="00975194"/>
    <w:rsid w:val="009751A0"/>
    <w:rsid w:val="009751F7"/>
    <w:rsid w:val="009752C4"/>
    <w:rsid w:val="009752E2"/>
    <w:rsid w:val="00975347"/>
    <w:rsid w:val="00975384"/>
    <w:rsid w:val="00975389"/>
    <w:rsid w:val="0097538B"/>
    <w:rsid w:val="00975390"/>
    <w:rsid w:val="0097545E"/>
    <w:rsid w:val="00975483"/>
    <w:rsid w:val="009754DC"/>
    <w:rsid w:val="009754E1"/>
    <w:rsid w:val="009754FA"/>
    <w:rsid w:val="00975500"/>
    <w:rsid w:val="0097550D"/>
    <w:rsid w:val="0097551C"/>
    <w:rsid w:val="00975579"/>
    <w:rsid w:val="00975599"/>
    <w:rsid w:val="009755AA"/>
    <w:rsid w:val="009755B2"/>
    <w:rsid w:val="009755E3"/>
    <w:rsid w:val="009755FC"/>
    <w:rsid w:val="00975680"/>
    <w:rsid w:val="0097568B"/>
    <w:rsid w:val="009756EB"/>
    <w:rsid w:val="00975715"/>
    <w:rsid w:val="00975775"/>
    <w:rsid w:val="0097579D"/>
    <w:rsid w:val="009757BB"/>
    <w:rsid w:val="009757C9"/>
    <w:rsid w:val="00975807"/>
    <w:rsid w:val="0097581D"/>
    <w:rsid w:val="0097588E"/>
    <w:rsid w:val="009758BC"/>
    <w:rsid w:val="009758BE"/>
    <w:rsid w:val="009758CE"/>
    <w:rsid w:val="009758F4"/>
    <w:rsid w:val="009758FF"/>
    <w:rsid w:val="00975950"/>
    <w:rsid w:val="00975951"/>
    <w:rsid w:val="0097595F"/>
    <w:rsid w:val="009759AE"/>
    <w:rsid w:val="009759C0"/>
    <w:rsid w:val="00975A9D"/>
    <w:rsid w:val="00975B28"/>
    <w:rsid w:val="00975B37"/>
    <w:rsid w:val="00975B44"/>
    <w:rsid w:val="00975B6F"/>
    <w:rsid w:val="00975B75"/>
    <w:rsid w:val="00975B82"/>
    <w:rsid w:val="00975BE5"/>
    <w:rsid w:val="00975BF5"/>
    <w:rsid w:val="00975BFC"/>
    <w:rsid w:val="00975C0E"/>
    <w:rsid w:val="00975C33"/>
    <w:rsid w:val="00975C49"/>
    <w:rsid w:val="00975C77"/>
    <w:rsid w:val="00975C97"/>
    <w:rsid w:val="00975CA7"/>
    <w:rsid w:val="00975CB6"/>
    <w:rsid w:val="00975DB8"/>
    <w:rsid w:val="00975DBF"/>
    <w:rsid w:val="00975DDF"/>
    <w:rsid w:val="00975DFB"/>
    <w:rsid w:val="00975E4C"/>
    <w:rsid w:val="00975E55"/>
    <w:rsid w:val="00975E62"/>
    <w:rsid w:val="00975E9C"/>
    <w:rsid w:val="00975F2E"/>
    <w:rsid w:val="00975F5E"/>
    <w:rsid w:val="00975F82"/>
    <w:rsid w:val="00975F88"/>
    <w:rsid w:val="00975FBD"/>
    <w:rsid w:val="0097603F"/>
    <w:rsid w:val="009760AD"/>
    <w:rsid w:val="009760DA"/>
    <w:rsid w:val="009760DE"/>
    <w:rsid w:val="00976157"/>
    <w:rsid w:val="00976199"/>
    <w:rsid w:val="00976218"/>
    <w:rsid w:val="00976226"/>
    <w:rsid w:val="00976255"/>
    <w:rsid w:val="00976294"/>
    <w:rsid w:val="009762B9"/>
    <w:rsid w:val="009762D0"/>
    <w:rsid w:val="009762D4"/>
    <w:rsid w:val="009762D9"/>
    <w:rsid w:val="009762EC"/>
    <w:rsid w:val="009762FD"/>
    <w:rsid w:val="0097634C"/>
    <w:rsid w:val="009763D4"/>
    <w:rsid w:val="009763DA"/>
    <w:rsid w:val="00976413"/>
    <w:rsid w:val="0097644F"/>
    <w:rsid w:val="009764C5"/>
    <w:rsid w:val="009764F0"/>
    <w:rsid w:val="00976525"/>
    <w:rsid w:val="00976526"/>
    <w:rsid w:val="0097652A"/>
    <w:rsid w:val="00976542"/>
    <w:rsid w:val="00976547"/>
    <w:rsid w:val="00976594"/>
    <w:rsid w:val="00976598"/>
    <w:rsid w:val="009765DF"/>
    <w:rsid w:val="009765EE"/>
    <w:rsid w:val="0097660F"/>
    <w:rsid w:val="009766EE"/>
    <w:rsid w:val="009766F5"/>
    <w:rsid w:val="00976741"/>
    <w:rsid w:val="009767DD"/>
    <w:rsid w:val="00976827"/>
    <w:rsid w:val="00976847"/>
    <w:rsid w:val="00976862"/>
    <w:rsid w:val="00976910"/>
    <w:rsid w:val="0097699A"/>
    <w:rsid w:val="00976A03"/>
    <w:rsid w:val="00976A47"/>
    <w:rsid w:val="00976A50"/>
    <w:rsid w:val="00976AB2"/>
    <w:rsid w:val="00976AC6"/>
    <w:rsid w:val="00976B10"/>
    <w:rsid w:val="00976B36"/>
    <w:rsid w:val="00976B3B"/>
    <w:rsid w:val="00976B66"/>
    <w:rsid w:val="00976B68"/>
    <w:rsid w:val="00976C25"/>
    <w:rsid w:val="00976C36"/>
    <w:rsid w:val="00976C95"/>
    <w:rsid w:val="00976CEB"/>
    <w:rsid w:val="00976D06"/>
    <w:rsid w:val="00976D3A"/>
    <w:rsid w:val="00976E55"/>
    <w:rsid w:val="00976E5E"/>
    <w:rsid w:val="00976EE3"/>
    <w:rsid w:val="00976F05"/>
    <w:rsid w:val="00976F68"/>
    <w:rsid w:val="00976F7E"/>
    <w:rsid w:val="00976F97"/>
    <w:rsid w:val="00976FCC"/>
    <w:rsid w:val="00976FD5"/>
    <w:rsid w:val="00977011"/>
    <w:rsid w:val="00977018"/>
    <w:rsid w:val="00977028"/>
    <w:rsid w:val="00977049"/>
    <w:rsid w:val="00977060"/>
    <w:rsid w:val="00977062"/>
    <w:rsid w:val="00977083"/>
    <w:rsid w:val="009770BA"/>
    <w:rsid w:val="00977117"/>
    <w:rsid w:val="00977122"/>
    <w:rsid w:val="00977128"/>
    <w:rsid w:val="00977157"/>
    <w:rsid w:val="0097717F"/>
    <w:rsid w:val="0097720B"/>
    <w:rsid w:val="00977268"/>
    <w:rsid w:val="00977273"/>
    <w:rsid w:val="0097727E"/>
    <w:rsid w:val="00977290"/>
    <w:rsid w:val="009772BE"/>
    <w:rsid w:val="00977428"/>
    <w:rsid w:val="00977452"/>
    <w:rsid w:val="0097748D"/>
    <w:rsid w:val="009774A0"/>
    <w:rsid w:val="0097751A"/>
    <w:rsid w:val="00977527"/>
    <w:rsid w:val="0097752D"/>
    <w:rsid w:val="009775D6"/>
    <w:rsid w:val="009775E3"/>
    <w:rsid w:val="00977619"/>
    <w:rsid w:val="009776A5"/>
    <w:rsid w:val="009776CC"/>
    <w:rsid w:val="0097773C"/>
    <w:rsid w:val="00977763"/>
    <w:rsid w:val="00977771"/>
    <w:rsid w:val="0097781E"/>
    <w:rsid w:val="00977848"/>
    <w:rsid w:val="00977856"/>
    <w:rsid w:val="0097785E"/>
    <w:rsid w:val="0097787B"/>
    <w:rsid w:val="009778FE"/>
    <w:rsid w:val="00977907"/>
    <w:rsid w:val="00977916"/>
    <w:rsid w:val="0097791F"/>
    <w:rsid w:val="00977972"/>
    <w:rsid w:val="00977977"/>
    <w:rsid w:val="0097797C"/>
    <w:rsid w:val="00977998"/>
    <w:rsid w:val="009779BF"/>
    <w:rsid w:val="009779D7"/>
    <w:rsid w:val="009779E3"/>
    <w:rsid w:val="00977A23"/>
    <w:rsid w:val="00977A4B"/>
    <w:rsid w:val="00977A5F"/>
    <w:rsid w:val="00977AB2"/>
    <w:rsid w:val="00977AE2"/>
    <w:rsid w:val="00977B25"/>
    <w:rsid w:val="00977B28"/>
    <w:rsid w:val="00977B86"/>
    <w:rsid w:val="00977BB7"/>
    <w:rsid w:val="00977BE1"/>
    <w:rsid w:val="00977BF2"/>
    <w:rsid w:val="00977C24"/>
    <w:rsid w:val="00977C50"/>
    <w:rsid w:val="00977C56"/>
    <w:rsid w:val="00977CA3"/>
    <w:rsid w:val="00977D4F"/>
    <w:rsid w:val="00977D85"/>
    <w:rsid w:val="00977D9F"/>
    <w:rsid w:val="00977DB9"/>
    <w:rsid w:val="00977E24"/>
    <w:rsid w:val="00977E67"/>
    <w:rsid w:val="00977EB5"/>
    <w:rsid w:val="00977EC9"/>
    <w:rsid w:val="00977F15"/>
    <w:rsid w:val="00977F95"/>
    <w:rsid w:val="00977FAD"/>
    <w:rsid w:val="00977FB8"/>
    <w:rsid w:val="00977FFA"/>
    <w:rsid w:val="00980001"/>
    <w:rsid w:val="0098001B"/>
    <w:rsid w:val="00980029"/>
    <w:rsid w:val="0098005C"/>
    <w:rsid w:val="00980069"/>
    <w:rsid w:val="009800E8"/>
    <w:rsid w:val="00980105"/>
    <w:rsid w:val="00980127"/>
    <w:rsid w:val="00980161"/>
    <w:rsid w:val="009801EC"/>
    <w:rsid w:val="00980292"/>
    <w:rsid w:val="00980331"/>
    <w:rsid w:val="00980353"/>
    <w:rsid w:val="0098036F"/>
    <w:rsid w:val="009803A8"/>
    <w:rsid w:val="0098041A"/>
    <w:rsid w:val="00980434"/>
    <w:rsid w:val="00980437"/>
    <w:rsid w:val="009804C2"/>
    <w:rsid w:val="009804D7"/>
    <w:rsid w:val="00980536"/>
    <w:rsid w:val="00980537"/>
    <w:rsid w:val="00980546"/>
    <w:rsid w:val="00980547"/>
    <w:rsid w:val="00980563"/>
    <w:rsid w:val="009805CF"/>
    <w:rsid w:val="009805ED"/>
    <w:rsid w:val="00980658"/>
    <w:rsid w:val="009806CF"/>
    <w:rsid w:val="00980761"/>
    <w:rsid w:val="0098076B"/>
    <w:rsid w:val="00980779"/>
    <w:rsid w:val="0098079E"/>
    <w:rsid w:val="009807EC"/>
    <w:rsid w:val="00980808"/>
    <w:rsid w:val="00980829"/>
    <w:rsid w:val="0098082B"/>
    <w:rsid w:val="0098082E"/>
    <w:rsid w:val="0098084F"/>
    <w:rsid w:val="0098085C"/>
    <w:rsid w:val="009808C0"/>
    <w:rsid w:val="009808D5"/>
    <w:rsid w:val="0098090C"/>
    <w:rsid w:val="0098092D"/>
    <w:rsid w:val="00980960"/>
    <w:rsid w:val="00980A08"/>
    <w:rsid w:val="00980A11"/>
    <w:rsid w:val="00980A38"/>
    <w:rsid w:val="00980AF2"/>
    <w:rsid w:val="00980AF4"/>
    <w:rsid w:val="00980B04"/>
    <w:rsid w:val="00980B2F"/>
    <w:rsid w:val="00980B32"/>
    <w:rsid w:val="00980B86"/>
    <w:rsid w:val="00980BB3"/>
    <w:rsid w:val="00980BF2"/>
    <w:rsid w:val="00980C41"/>
    <w:rsid w:val="00980C44"/>
    <w:rsid w:val="00980C45"/>
    <w:rsid w:val="00980C56"/>
    <w:rsid w:val="00980C6D"/>
    <w:rsid w:val="00980D19"/>
    <w:rsid w:val="00980D4A"/>
    <w:rsid w:val="00980D4C"/>
    <w:rsid w:val="00980D70"/>
    <w:rsid w:val="00980DA5"/>
    <w:rsid w:val="00980DB9"/>
    <w:rsid w:val="00980DCA"/>
    <w:rsid w:val="00980DE0"/>
    <w:rsid w:val="00980E13"/>
    <w:rsid w:val="00980E72"/>
    <w:rsid w:val="00980E79"/>
    <w:rsid w:val="00980EB4"/>
    <w:rsid w:val="00980EEB"/>
    <w:rsid w:val="00980F37"/>
    <w:rsid w:val="00980F78"/>
    <w:rsid w:val="00980FB7"/>
    <w:rsid w:val="00980FDA"/>
    <w:rsid w:val="0098103A"/>
    <w:rsid w:val="00981092"/>
    <w:rsid w:val="009810E7"/>
    <w:rsid w:val="009810F1"/>
    <w:rsid w:val="00981154"/>
    <w:rsid w:val="00981181"/>
    <w:rsid w:val="009811BF"/>
    <w:rsid w:val="009812C4"/>
    <w:rsid w:val="009812E0"/>
    <w:rsid w:val="0098131C"/>
    <w:rsid w:val="0098131E"/>
    <w:rsid w:val="0098132A"/>
    <w:rsid w:val="009813DC"/>
    <w:rsid w:val="0098144D"/>
    <w:rsid w:val="00981454"/>
    <w:rsid w:val="00981490"/>
    <w:rsid w:val="009814B7"/>
    <w:rsid w:val="009814C1"/>
    <w:rsid w:val="009814C6"/>
    <w:rsid w:val="009814D7"/>
    <w:rsid w:val="00981603"/>
    <w:rsid w:val="00981616"/>
    <w:rsid w:val="00981639"/>
    <w:rsid w:val="00981664"/>
    <w:rsid w:val="0098169A"/>
    <w:rsid w:val="009816EA"/>
    <w:rsid w:val="009816F3"/>
    <w:rsid w:val="00981715"/>
    <w:rsid w:val="00981721"/>
    <w:rsid w:val="00981768"/>
    <w:rsid w:val="009817A2"/>
    <w:rsid w:val="009817D1"/>
    <w:rsid w:val="0098181B"/>
    <w:rsid w:val="0098181F"/>
    <w:rsid w:val="0098185F"/>
    <w:rsid w:val="00981867"/>
    <w:rsid w:val="00981869"/>
    <w:rsid w:val="009818CE"/>
    <w:rsid w:val="00981938"/>
    <w:rsid w:val="00981941"/>
    <w:rsid w:val="00981949"/>
    <w:rsid w:val="0098195C"/>
    <w:rsid w:val="00981969"/>
    <w:rsid w:val="0098197B"/>
    <w:rsid w:val="00981997"/>
    <w:rsid w:val="0098199D"/>
    <w:rsid w:val="009819C2"/>
    <w:rsid w:val="009819DF"/>
    <w:rsid w:val="00981A1A"/>
    <w:rsid w:val="00981A2C"/>
    <w:rsid w:val="00981A4A"/>
    <w:rsid w:val="00981A4E"/>
    <w:rsid w:val="00981A77"/>
    <w:rsid w:val="00981A82"/>
    <w:rsid w:val="00981A8F"/>
    <w:rsid w:val="00981AA8"/>
    <w:rsid w:val="00981AEA"/>
    <w:rsid w:val="00981B80"/>
    <w:rsid w:val="00981BA4"/>
    <w:rsid w:val="00981BA9"/>
    <w:rsid w:val="00981BDB"/>
    <w:rsid w:val="00981C46"/>
    <w:rsid w:val="00981CFF"/>
    <w:rsid w:val="00981D5A"/>
    <w:rsid w:val="00981D75"/>
    <w:rsid w:val="00981D78"/>
    <w:rsid w:val="00981D81"/>
    <w:rsid w:val="00981DC1"/>
    <w:rsid w:val="00981DC8"/>
    <w:rsid w:val="00981DDA"/>
    <w:rsid w:val="00981DF0"/>
    <w:rsid w:val="00981E86"/>
    <w:rsid w:val="00981E93"/>
    <w:rsid w:val="00981EA6"/>
    <w:rsid w:val="00981EA9"/>
    <w:rsid w:val="00981ED2"/>
    <w:rsid w:val="00981F78"/>
    <w:rsid w:val="00981F9F"/>
    <w:rsid w:val="0098200F"/>
    <w:rsid w:val="0098202D"/>
    <w:rsid w:val="0098203F"/>
    <w:rsid w:val="0098204A"/>
    <w:rsid w:val="00982096"/>
    <w:rsid w:val="009820DA"/>
    <w:rsid w:val="00982101"/>
    <w:rsid w:val="00982167"/>
    <w:rsid w:val="00982201"/>
    <w:rsid w:val="00982250"/>
    <w:rsid w:val="00982287"/>
    <w:rsid w:val="0098230C"/>
    <w:rsid w:val="0098230D"/>
    <w:rsid w:val="00982317"/>
    <w:rsid w:val="0098233A"/>
    <w:rsid w:val="00982374"/>
    <w:rsid w:val="0098237B"/>
    <w:rsid w:val="009823BC"/>
    <w:rsid w:val="009823FA"/>
    <w:rsid w:val="00982423"/>
    <w:rsid w:val="00982430"/>
    <w:rsid w:val="009824AC"/>
    <w:rsid w:val="009824D1"/>
    <w:rsid w:val="009824F4"/>
    <w:rsid w:val="009824F7"/>
    <w:rsid w:val="00982520"/>
    <w:rsid w:val="00982565"/>
    <w:rsid w:val="00982611"/>
    <w:rsid w:val="0098263D"/>
    <w:rsid w:val="00982651"/>
    <w:rsid w:val="00982671"/>
    <w:rsid w:val="00982695"/>
    <w:rsid w:val="009826AD"/>
    <w:rsid w:val="009826DC"/>
    <w:rsid w:val="00982716"/>
    <w:rsid w:val="00982758"/>
    <w:rsid w:val="00982772"/>
    <w:rsid w:val="009827C0"/>
    <w:rsid w:val="009827C1"/>
    <w:rsid w:val="009827C3"/>
    <w:rsid w:val="009827E3"/>
    <w:rsid w:val="0098284F"/>
    <w:rsid w:val="00982864"/>
    <w:rsid w:val="009828E6"/>
    <w:rsid w:val="00982918"/>
    <w:rsid w:val="00982921"/>
    <w:rsid w:val="009829B8"/>
    <w:rsid w:val="009829CA"/>
    <w:rsid w:val="009829DA"/>
    <w:rsid w:val="009829E0"/>
    <w:rsid w:val="009829F9"/>
    <w:rsid w:val="00982A74"/>
    <w:rsid w:val="00982A84"/>
    <w:rsid w:val="00982AAC"/>
    <w:rsid w:val="00982ADF"/>
    <w:rsid w:val="00982B3E"/>
    <w:rsid w:val="00982B5D"/>
    <w:rsid w:val="00982B80"/>
    <w:rsid w:val="00982BA9"/>
    <w:rsid w:val="00982BD0"/>
    <w:rsid w:val="00982BEC"/>
    <w:rsid w:val="00982BF5"/>
    <w:rsid w:val="00982BFF"/>
    <w:rsid w:val="00982C08"/>
    <w:rsid w:val="00982C52"/>
    <w:rsid w:val="00982C9E"/>
    <w:rsid w:val="00982D1A"/>
    <w:rsid w:val="00982D33"/>
    <w:rsid w:val="00982D3A"/>
    <w:rsid w:val="00982D6B"/>
    <w:rsid w:val="00982E1B"/>
    <w:rsid w:val="00982E78"/>
    <w:rsid w:val="00982E7F"/>
    <w:rsid w:val="00982E82"/>
    <w:rsid w:val="00982E93"/>
    <w:rsid w:val="00982E9F"/>
    <w:rsid w:val="00982EDB"/>
    <w:rsid w:val="00982EE3"/>
    <w:rsid w:val="00982EEB"/>
    <w:rsid w:val="00982FA6"/>
    <w:rsid w:val="00982FB7"/>
    <w:rsid w:val="00982FBE"/>
    <w:rsid w:val="00982FD4"/>
    <w:rsid w:val="00983009"/>
    <w:rsid w:val="00983027"/>
    <w:rsid w:val="00983032"/>
    <w:rsid w:val="0098303B"/>
    <w:rsid w:val="00983068"/>
    <w:rsid w:val="009830CC"/>
    <w:rsid w:val="009830D0"/>
    <w:rsid w:val="009830E3"/>
    <w:rsid w:val="00983115"/>
    <w:rsid w:val="00983142"/>
    <w:rsid w:val="00983156"/>
    <w:rsid w:val="009831AE"/>
    <w:rsid w:val="009831D6"/>
    <w:rsid w:val="009831D9"/>
    <w:rsid w:val="009831E4"/>
    <w:rsid w:val="0098324A"/>
    <w:rsid w:val="0098324E"/>
    <w:rsid w:val="00983265"/>
    <w:rsid w:val="00983273"/>
    <w:rsid w:val="00983288"/>
    <w:rsid w:val="00983297"/>
    <w:rsid w:val="009832B8"/>
    <w:rsid w:val="009832C7"/>
    <w:rsid w:val="009832E9"/>
    <w:rsid w:val="0098331B"/>
    <w:rsid w:val="0098331F"/>
    <w:rsid w:val="0098332C"/>
    <w:rsid w:val="0098333D"/>
    <w:rsid w:val="00983349"/>
    <w:rsid w:val="0098335B"/>
    <w:rsid w:val="00983378"/>
    <w:rsid w:val="00983419"/>
    <w:rsid w:val="0098342C"/>
    <w:rsid w:val="00983488"/>
    <w:rsid w:val="0098348A"/>
    <w:rsid w:val="0098348D"/>
    <w:rsid w:val="009834B5"/>
    <w:rsid w:val="00983561"/>
    <w:rsid w:val="00983563"/>
    <w:rsid w:val="00983566"/>
    <w:rsid w:val="00983575"/>
    <w:rsid w:val="0098361D"/>
    <w:rsid w:val="0098366B"/>
    <w:rsid w:val="009836A7"/>
    <w:rsid w:val="009836DA"/>
    <w:rsid w:val="009836E3"/>
    <w:rsid w:val="009836FA"/>
    <w:rsid w:val="00983723"/>
    <w:rsid w:val="0098375B"/>
    <w:rsid w:val="0098376C"/>
    <w:rsid w:val="0098377E"/>
    <w:rsid w:val="009837D9"/>
    <w:rsid w:val="009837E8"/>
    <w:rsid w:val="009838EA"/>
    <w:rsid w:val="00983916"/>
    <w:rsid w:val="00983957"/>
    <w:rsid w:val="00983961"/>
    <w:rsid w:val="0098396D"/>
    <w:rsid w:val="009839A3"/>
    <w:rsid w:val="009839A7"/>
    <w:rsid w:val="009839AC"/>
    <w:rsid w:val="009839B1"/>
    <w:rsid w:val="009839CE"/>
    <w:rsid w:val="009839E0"/>
    <w:rsid w:val="00983A5D"/>
    <w:rsid w:val="00983A94"/>
    <w:rsid w:val="00983AA5"/>
    <w:rsid w:val="00983AD4"/>
    <w:rsid w:val="00983B05"/>
    <w:rsid w:val="00983B16"/>
    <w:rsid w:val="00983B30"/>
    <w:rsid w:val="00983B31"/>
    <w:rsid w:val="00983B35"/>
    <w:rsid w:val="00983B58"/>
    <w:rsid w:val="00983BD9"/>
    <w:rsid w:val="00983BF3"/>
    <w:rsid w:val="00983C40"/>
    <w:rsid w:val="00983C5D"/>
    <w:rsid w:val="00983CA9"/>
    <w:rsid w:val="00983CCD"/>
    <w:rsid w:val="00983CED"/>
    <w:rsid w:val="00983CFC"/>
    <w:rsid w:val="00983D2D"/>
    <w:rsid w:val="00983D65"/>
    <w:rsid w:val="00983D72"/>
    <w:rsid w:val="00983E6F"/>
    <w:rsid w:val="00983E77"/>
    <w:rsid w:val="00983EB6"/>
    <w:rsid w:val="00983F19"/>
    <w:rsid w:val="00983F48"/>
    <w:rsid w:val="00983F67"/>
    <w:rsid w:val="00983F86"/>
    <w:rsid w:val="00983FBC"/>
    <w:rsid w:val="00984009"/>
    <w:rsid w:val="00984015"/>
    <w:rsid w:val="0098402B"/>
    <w:rsid w:val="009840CF"/>
    <w:rsid w:val="009840EE"/>
    <w:rsid w:val="009840F2"/>
    <w:rsid w:val="00984149"/>
    <w:rsid w:val="00984151"/>
    <w:rsid w:val="009841B0"/>
    <w:rsid w:val="009841D7"/>
    <w:rsid w:val="009841F9"/>
    <w:rsid w:val="00984228"/>
    <w:rsid w:val="009842B4"/>
    <w:rsid w:val="009842C2"/>
    <w:rsid w:val="009842C8"/>
    <w:rsid w:val="009842EE"/>
    <w:rsid w:val="00984320"/>
    <w:rsid w:val="00984346"/>
    <w:rsid w:val="00984354"/>
    <w:rsid w:val="00984364"/>
    <w:rsid w:val="00984367"/>
    <w:rsid w:val="00984381"/>
    <w:rsid w:val="00984389"/>
    <w:rsid w:val="009843A6"/>
    <w:rsid w:val="009843C3"/>
    <w:rsid w:val="009843E3"/>
    <w:rsid w:val="009843E8"/>
    <w:rsid w:val="00984447"/>
    <w:rsid w:val="00984464"/>
    <w:rsid w:val="0098447A"/>
    <w:rsid w:val="00984490"/>
    <w:rsid w:val="009844E7"/>
    <w:rsid w:val="0098450E"/>
    <w:rsid w:val="00984512"/>
    <w:rsid w:val="0098453A"/>
    <w:rsid w:val="0098456A"/>
    <w:rsid w:val="009845B6"/>
    <w:rsid w:val="009845EC"/>
    <w:rsid w:val="00984645"/>
    <w:rsid w:val="009846A4"/>
    <w:rsid w:val="009846B3"/>
    <w:rsid w:val="009846CB"/>
    <w:rsid w:val="00984725"/>
    <w:rsid w:val="0098478C"/>
    <w:rsid w:val="009847CD"/>
    <w:rsid w:val="0098485E"/>
    <w:rsid w:val="0098486D"/>
    <w:rsid w:val="009848C9"/>
    <w:rsid w:val="009848DB"/>
    <w:rsid w:val="009848DC"/>
    <w:rsid w:val="00984912"/>
    <w:rsid w:val="0098491C"/>
    <w:rsid w:val="009849AD"/>
    <w:rsid w:val="009849FE"/>
    <w:rsid w:val="00984A1F"/>
    <w:rsid w:val="00984A26"/>
    <w:rsid w:val="00984A69"/>
    <w:rsid w:val="00984A82"/>
    <w:rsid w:val="00984ACD"/>
    <w:rsid w:val="00984AD3"/>
    <w:rsid w:val="00984ADA"/>
    <w:rsid w:val="00984AEA"/>
    <w:rsid w:val="00984C26"/>
    <w:rsid w:val="00984C32"/>
    <w:rsid w:val="00984C7C"/>
    <w:rsid w:val="00984CA7"/>
    <w:rsid w:val="00984CFE"/>
    <w:rsid w:val="00984D0C"/>
    <w:rsid w:val="00984D0E"/>
    <w:rsid w:val="00984D39"/>
    <w:rsid w:val="00984DAA"/>
    <w:rsid w:val="00984DC4"/>
    <w:rsid w:val="00984E3E"/>
    <w:rsid w:val="00984E6B"/>
    <w:rsid w:val="00984E83"/>
    <w:rsid w:val="00984E8D"/>
    <w:rsid w:val="00984ED0"/>
    <w:rsid w:val="00984ED6"/>
    <w:rsid w:val="00984F03"/>
    <w:rsid w:val="00984F93"/>
    <w:rsid w:val="00984F9E"/>
    <w:rsid w:val="00984FA7"/>
    <w:rsid w:val="00984FF8"/>
    <w:rsid w:val="00985036"/>
    <w:rsid w:val="00985041"/>
    <w:rsid w:val="00985067"/>
    <w:rsid w:val="0098508B"/>
    <w:rsid w:val="009850A3"/>
    <w:rsid w:val="009850B0"/>
    <w:rsid w:val="0098512A"/>
    <w:rsid w:val="00985134"/>
    <w:rsid w:val="00985139"/>
    <w:rsid w:val="0098515B"/>
    <w:rsid w:val="00985161"/>
    <w:rsid w:val="00985194"/>
    <w:rsid w:val="009851B1"/>
    <w:rsid w:val="009851BA"/>
    <w:rsid w:val="009851BF"/>
    <w:rsid w:val="009851D5"/>
    <w:rsid w:val="009851F1"/>
    <w:rsid w:val="00985208"/>
    <w:rsid w:val="00985228"/>
    <w:rsid w:val="00985294"/>
    <w:rsid w:val="009852BD"/>
    <w:rsid w:val="009852CC"/>
    <w:rsid w:val="00985306"/>
    <w:rsid w:val="0098532E"/>
    <w:rsid w:val="0098533A"/>
    <w:rsid w:val="009853D5"/>
    <w:rsid w:val="009853F0"/>
    <w:rsid w:val="009853F7"/>
    <w:rsid w:val="0098540A"/>
    <w:rsid w:val="00985411"/>
    <w:rsid w:val="0098541A"/>
    <w:rsid w:val="00985446"/>
    <w:rsid w:val="0098548D"/>
    <w:rsid w:val="00985492"/>
    <w:rsid w:val="009854BA"/>
    <w:rsid w:val="009854DE"/>
    <w:rsid w:val="009854F0"/>
    <w:rsid w:val="00985503"/>
    <w:rsid w:val="00985512"/>
    <w:rsid w:val="00985577"/>
    <w:rsid w:val="009855A1"/>
    <w:rsid w:val="009855A7"/>
    <w:rsid w:val="009855B0"/>
    <w:rsid w:val="009855DC"/>
    <w:rsid w:val="009855DE"/>
    <w:rsid w:val="009856C9"/>
    <w:rsid w:val="009856D0"/>
    <w:rsid w:val="009856E9"/>
    <w:rsid w:val="00985758"/>
    <w:rsid w:val="00985797"/>
    <w:rsid w:val="0098579D"/>
    <w:rsid w:val="009857E5"/>
    <w:rsid w:val="00985881"/>
    <w:rsid w:val="009858D2"/>
    <w:rsid w:val="009858D7"/>
    <w:rsid w:val="009858E3"/>
    <w:rsid w:val="009858F4"/>
    <w:rsid w:val="0098598D"/>
    <w:rsid w:val="0098599A"/>
    <w:rsid w:val="009859CE"/>
    <w:rsid w:val="009859DC"/>
    <w:rsid w:val="009859DE"/>
    <w:rsid w:val="00985A1D"/>
    <w:rsid w:val="00985A7B"/>
    <w:rsid w:val="00985AB7"/>
    <w:rsid w:val="00985AFB"/>
    <w:rsid w:val="00985AFC"/>
    <w:rsid w:val="00985B69"/>
    <w:rsid w:val="00985B96"/>
    <w:rsid w:val="00985BCA"/>
    <w:rsid w:val="00985BCF"/>
    <w:rsid w:val="00985C59"/>
    <w:rsid w:val="00985C8D"/>
    <w:rsid w:val="00985CAC"/>
    <w:rsid w:val="00985CBF"/>
    <w:rsid w:val="00985CCF"/>
    <w:rsid w:val="00985CDF"/>
    <w:rsid w:val="00985CF3"/>
    <w:rsid w:val="00985D10"/>
    <w:rsid w:val="00985D2D"/>
    <w:rsid w:val="00985D45"/>
    <w:rsid w:val="00985D70"/>
    <w:rsid w:val="00985D9B"/>
    <w:rsid w:val="00985E7D"/>
    <w:rsid w:val="00985E93"/>
    <w:rsid w:val="00985E94"/>
    <w:rsid w:val="00985E9D"/>
    <w:rsid w:val="00985EB0"/>
    <w:rsid w:val="00985EB2"/>
    <w:rsid w:val="00985EB9"/>
    <w:rsid w:val="00985EBE"/>
    <w:rsid w:val="00985ED6"/>
    <w:rsid w:val="00985F40"/>
    <w:rsid w:val="00985F6C"/>
    <w:rsid w:val="00985FA2"/>
    <w:rsid w:val="00985FEA"/>
    <w:rsid w:val="0098600B"/>
    <w:rsid w:val="00986086"/>
    <w:rsid w:val="009860B8"/>
    <w:rsid w:val="00986174"/>
    <w:rsid w:val="009861C0"/>
    <w:rsid w:val="00986205"/>
    <w:rsid w:val="00986258"/>
    <w:rsid w:val="0098625D"/>
    <w:rsid w:val="009862BA"/>
    <w:rsid w:val="00986335"/>
    <w:rsid w:val="0098634C"/>
    <w:rsid w:val="00986385"/>
    <w:rsid w:val="009863C2"/>
    <w:rsid w:val="009863E1"/>
    <w:rsid w:val="009863E5"/>
    <w:rsid w:val="009864B5"/>
    <w:rsid w:val="009864CB"/>
    <w:rsid w:val="0098651B"/>
    <w:rsid w:val="00986525"/>
    <w:rsid w:val="00986546"/>
    <w:rsid w:val="00986573"/>
    <w:rsid w:val="0098657C"/>
    <w:rsid w:val="0098658B"/>
    <w:rsid w:val="009865B0"/>
    <w:rsid w:val="009865BB"/>
    <w:rsid w:val="009865C0"/>
    <w:rsid w:val="009865E2"/>
    <w:rsid w:val="0098660D"/>
    <w:rsid w:val="00986617"/>
    <w:rsid w:val="00986678"/>
    <w:rsid w:val="009866AD"/>
    <w:rsid w:val="009866C4"/>
    <w:rsid w:val="0098671C"/>
    <w:rsid w:val="0098676C"/>
    <w:rsid w:val="0098678A"/>
    <w:rsid w:val="00986796"/>
    <w:rsid w:val="009867AF"/>
    <w:rsid w:val="009867FF"/>
    <w:rsid w:val="0098683C"/>
    <w:rsid w:val="0098683E"/>
    <w:rsid w:val="0098684F"/>
    <w:rsid w:val="00986889"/>
    <w:rsid w:val="009868A3"/>
    <w:rsid w:val="009868D9"/>
    <w:rsid w:val="00986930"/>
    <w:rsid w:val="00986948"/>
    <w:rsid w:val="009869B7"/>
    <w:rsid w:val="009869D2"/>
    <w:rsid w:val="009869D6"/>
    <w:rsid w:val="00986A16"/>
    <w:rsid w:val="00986A17"/>
    <w:rsid w:val="00986A2B"/>
    <w:rsid w:val="00986A33"/>
    <w:rsid w:val="00986A41"/>
    <w:rsid w:val="00986AA0"/>
    <w:rsid w:val="00986AC7"/>
    <w:rsid w:val="00986AE6"/>
    <w:rsid w:val="00986AFB"/>
    <w:rsid w:val="00986B62"/>
    <w:rsid w:val="00986B70"/>
    <w:rsid w:val="00986BFB"/>
    <w:rsid w:val="00986C01"/>
    <w:rsid w:val="00986C90"/>
    <w:rsid w:val="00986CC6"/>
    <w:rsid w:val="00986CD6"/>
    <w:rsid w:val="00986CE3"/>
    <w:rsid w:val="00986DC2"/>
    <w:rsid w:val="00986DC6"/>
    <w:rsid w:val="00986DFC"/>
    <w:rsid w:val="00986E16"/>
    <w:rsid w:val="00986E20"/>
    <w:rsid w:val="00986E26"/>
    <w:rsid w:val="00986E33"/>
    <w:rsid w:val="00986E57"/>
    <w:rsid w:val="00986E69"/>
    <w:rsid w:val="00986EAF"/>
    <w:rsid w:val="00986ED9"/>
    <w:rsid w:val="00986F33"/>
    <w:rsid w:val="00986F54"/>
    <w:rsid w:val="00986FA8"/>
    <w:rsid w:val="0098704E"/>
    <w:rsid w:val="00987069"/>
    <w:rsid w:val="009870CB"/>
    <w:rsid w:val="009870D3"/>
    <w:rsid w:val="0098713B"/>
    <w:rsid w:val="00987183"/>
    <w:rsid w:val="009871C2"/>
    <w:rsid w:val="009871E5"/>
    <w:rsid w:val="00987203"/>
    <w:rsid w:val="00987218"/>
    <w:rsid w:val="0098722B"/>
    <w:rsid w:val="0098723A"/>
    <w:rsid w:val="0098726C"/>
    <w:rsid w:val="0098729C"/>
    <w:rsid w:val="0098729F"/>
    <w:rsid w:val="0098736A"/>
    <w:rsid w:val="00987387"/>
    <w:rsid w:val="009873C4"/>
    <w:rsid w:val="0098741D"/>
    <w:rsid w:val="0098748D"/>
    <w:rsid w:val="009874BA"/>
    <w:rsid w:val="009874BE"/>
    <w:rsid w:val="009874E8"/>
    <w:rsid w:val="00987538"/>
    <w:rsid w:val="00987539"/>
    <w:rsid w:val="00987541"/>
    <w:rsid w:val="00987565"/>
    <w:rsid w:val="00987584"/>
    <w:rsid w:val="00987596"/>
    <w:rsid w:val="009875A1"/>
    <w:rsid w:val="009875FE"/>
    <w:rsid w:val="00987605"/>
    <w:rsid w:val="00987609"/>
    <w:rsid w:val="0098767B"/>
    <w:rsid w:val="00987681"/>
    <w:rsid w:val="009876A6"/>
    <w:rsid w:val="009876BB"/>
    <w:rsid w:val="00987732"/>
    <w:rsid w:val="0098774E"/>
    <w:rsid w:val="0098776B"/>
    <w:rsid w:val="00987791"/>
    <w:rsid w:val="009877E9"/>
    <w:rsid w:val="00987818"/>
    <w:rsid w:val="0098786E"/>
    <w:rsid w:val="009878BD"/>
    <w:rsid w:val="009878DE"/>
    <w:rsid w:val="009878E0"/>
    <w:rsid w:val="0098795F"/>
    <w:rsid w:val="0098798D"/>
    <w:rsid w:val="009879E5"/>
    <w:rsid w:val="009879FA"/>
    <w:rsid w:val="00987A29"/>
    <w:rsid w:val="00987A57"/>
    <w:rsid w:val="00987ABE"/>
    <w:rsid w:val="00987AE5"/>
    <w:rsid w:val="00987B4D"/>
    <w:rsid w:val="00987B78"/>
    <w:rsid w:val="00987BA3"/>
    <w:rsid w:val="00987C42"/>
    <w:rsid w:val="00987C57"/>
    <w:rsid w:val="00987C74"/>
    <w:rsid w:val="00987C82"/>
    <w:rsid w:val="00987CAC"/>
    <w:rsid w:val="00987CB7"/>
    <w:rsid w:val="00987CCA"/>
    <w:rsid w:val="00987CD8"/>
    <w:rsid w:val="00987CF1"/>
    <w:rsid w:val="00987CF7"/>
    <w:rsid w:val="00987D0D"/>
    <w:rsid w:val="00987D4E"/>
    <w:rsid w:val="00987D67"/>
    <w:rsid w:val="00987D69"/>
    <w:rsid w:val="00987DAA"/>
    <w:rsid w:val="00987DB0"/>
    <w:rsid w:val="00987E04"/>
    <w:rsid w:val="00987E40"/>
    <w:rsid w:val="00987E76"/>
    <w:rsid w:val="00987E8E"/>
    <w:rsid w:val="00987EA0"/>
    <w:rsid w:val="00987EBE"/>
    <w:rsid w:val="00987EDA"/>
    <w:rsid w:val="00987FDE"/>
    <w:rsid w:val="0099001A"/>
    <w:rsid w:val="0099002B"/>
    <w:rsid w:val="00990038"/>
    <w:rsid w:val="009900EF"/>
    <w:rsid w:val="009900F9"/>
    <w:rsid w:val="00990101"/>
    <w:rsid w:val="00990174"/>
    <w:rsid w:val="009901A8"/>
    <w:rsid w:val="009901D3"/>
    <w:rsid w:val="009901D5"/>
    <w:rsid w:val="009901E1"/>
    <w:rsid w:val="009901FC"/>
    <w:rsid w:val="00990208"/>
    <w:rsid w:val="00990217"/>
    <w:rsid w:val="0099022E"/>
    <w:rsid w:val="00990285"/>
    <w:rsid w:val="009902AF"/>
    <w:rsid w:val="009902B7"/>
    <w:rsid w:val="009902CB"/>
    <w:rsid w:val="00990302"/>
    <w:rsid w:val="00990340"/>
    <w:rsid w:val="0099036E"/>
    <w:rsid w:val="00990380"/>
    <w:rsid w:val="00990393"/>
    <w:rsid w:val="009903C9"/>
    <w:rsid w:val="009903D4"/>
    <w:rsid w:val="009903E8"/>
    <w:rsid w:val="009903F4"/>
    <w:rsid w:val="00990426"/>
    <w:rsid w:val="0099042E"/>
    <w:rsid w:val="00990482"/>
    <w:rsid w:val="009904B7"/>
    <w:rsid w:val="009904F7"/>
    <w:rsid w:val="0099054B"/>
    <w:rsid w:val="0099056D"/>
    <w:rsid w:val="009905E8"/>
    <w:rsid w:val="009905F7"/>
    <w:rsid w:val="00990622"/>
    <w:rsid w:val="00990623"/>
    <w:rsid w:val="00990646"/>
    <w:rsid w:val="00990680"/>
    <w:rsid w:val="009906A4"/>
    <w:rsid w:val="009906C0"/>
    <w:rsid w:val="009906DA"/>
    <w:rsid w:val="009906DB"/>
    <w:rsid w:val="009906DE"/>
    <w:rsid w:val="009906F2"/>
    <w:rsid w:val="0099070C"/>
    <w:rsid w:val="00990730"/>
    <w:rsid w:val="0099078A"/>
    <w:rsid w:val="009907F2"/>
    <w:rsid w:val="009907FA"/>
    <w:rsid w:val="00990841"/>
    <w:rsid w:val="00990842"/>
    <w:rsid w:val="00990851"/>
    <w:rsid w:val="0099086B"/>
    <w:rsid w:val="00990895"/>
    <w:rsid w:val="0099089D"/>
    <w:rsid w:val="009908BB"/>
    <w:rsid w:val="009908C8"/>
    <w:rsid w:val="009908DB"/>
    <w:rsid w:val="00990941"/>
    <w:rsid w:val="00990959"/>
    <w:rsid w:val="009909C3"/>
    <w:rsid w:val="009909E2"/>
    <w:rsid w:val="009909F6"/>
    <w:rsid w:val="009909FD"/>
    <w:rsid w:val="00990A1A"/>
    <w:rsid w:val="00990A4A"/>
    <w:rsid w:val="00990A76"/>
    <w:rsid w:val="00990B41"/>
    <w:rsid w:val="00990B73"/>
    <w:rsid w:val="00990B8A"/>
    <w:rsid w:val="00990BA1"/>
    <w:rsid w:val="00990BA5"/>
    <w:rsid w:val="00990C08"/>
    <w:rsid w:val="00990C5A"/>
    <w:rsid w:val="00990C9F"/>
    <w:rsid w:val="00990CA5"/>
    <w:rsid w:val="00990CC3"/>
    <w:rsid w:val="00990D17"/>
    <w:rsid w:val="00990D80"/>
    <w:rsid w:val="00990DA1"/>
    <w:rsid w:val="00990DD9"/>
    <w:rsid w:val="00990DED"/>
    <w:rsid w:val="00990DF0"/>
    <w:rsid w:val="00990E05"/>
    <w:rsid w:val="00990E08"/>
    <w:rsid w:val="00990E5F"/>
    <w:rsid w:val="00990E78"/>
    <w:rsid w:val="00990E9F"/>
    <w:rsid w:val="00990EE5"/>
    <w:rsid w:val="00990F07"/>
    <w:rsid w:val="00990F11"/>
    <w:rsid w:val="00990F38"/>
    <w:rsid w:val="00990F3A"/>
    <w:rsid w:val="00990F49"/>
    <w:rsid w:val="00990F53"/>
    <w:rsid w:val="00990FFE"/>
    <w:rsid w:val="00991026"/>
    <w:rsid w:val="00991032"/>
    <w:rsid w:val="009910AA"/>
    <w:rsid w:val="009910AB"/>
    <w:rsid w:val="009910EE"/>
    <w:rsid w:val="0099111A"/>
    <w:rsid w:val="0099112B"/>
    <w:rsid w:val="00991157"/>
    <w:rsid w:val="00991175"/>
    <w:rsid w:val="00991182"/>
    <w:rsid w:val="00991192"/>
    <w:rsid w:val="0099119F"/>
    <w:rsid w:val="00991229"/>
    <w:rsid w:val="0099124F"/>
    <w:rsid w:val="00991269"/>
    <w:rsid w:val="009912D7"/>
    <w:rsid w:val="009912E5"/>
    <w:rsid w:val="009912EE"/>
    <w:rsid w:val="00991302"/>
    <w:rsid w:val="009913A9"/>
    <w:rsid w:val="009913AD"/>
    <w:rsid w:val="00991426"/>
    <w:rsid w:val="00991449"/>
    <w:rsid w:val="00991482"/>
    <w:rsid w:val="009914A8"/>
    <w:rsid w:val="009914D3"/>
    <w:rsid w:val="009914F0"/>
    <w:rsid w:val="00991532"/>
    <w:rsid w:val="00991544"/>
    <w:rsid w:val="00991581"/>
    <w:rsid w:val="00991591"/>
    <w:rsid w:val="009915B8"/>
    <w:rsid w:val="00991604"/>
    <w:rsid w:val="00991605"/>
    <w:rsid w:val="00991618"/>
    <w:rsid w:val="00991648"/>
    <w:rsid w:val="0099164B"/>
    <w:rsid w:val="0099164D"/>
    <w:rsid w:val="0099165B"/>
    <w:rsid w:val="00991666"/>
    <w:rsid w:val="009916A5"/>
    <w:rsid w:val="009916B5"/>
    <w:rsid w:val="009916BD"/>
    <w:rsid w:val="009916E4"/>
    <w:rsid w:val="00991705"/>
    <w:rsid w:val="0099170C"/>
    <w:rsid w:val="0099177C"/>
    <w:rsid w:val="00991786"/>
    <w:rsid w:val="009917BB"/>
    <w:rsid w:val="00991835"/>
    <w:rsid w:val="00991849"/>
    <w:rsid w:val="00991863"/>
    <w:rsid w:val="009918A9"/>
    <w:rsid w:val="009918BC"/>
    <w:rsid w:val="00991915"/>
    <w:rsid w:val="0099191E"/>
    <w:rsid w:val="0099195F"/>
    <w:rsid w:val="0099198C"/>
    <w:rsid w:val="009919D4"/>
    <w:rsid w:val="009919F9"/>
    <w:rsid w:val="009919FB"/>
    <w:rsid w:val="00991A11"/>
    <w:rsid w:val="00991A12"/>
    <w:rsid w:val="00991A30"/>
    <w:rsid w:val="00991AB2"/>
    <w:rsid w:val="00991AB3"/>
    <w:rsid w:val="00991AB8"/>
    <w:rsid w:val="00991AD7"/>
    <w:rsid w:val="00991AF2"/>
    <w:rsid w:val="00991AFB"/>
    <w:rsid w:val="00991B05"/>
    <w:rsid w:val="00991B23"/>
    <w:rsid w:val="00991B46"/>
    <w:rsid w:val="00991B90"/>
    <w:rsid w:val="00991BD4"/>
    <w:rsid w:val="00991BEA"/>
    <w:rsid w:val="00991BF7"/>
    <w:rsid w:val="00991C32"/>
    <w:rsid w:val="00991C4D"/>
    <w:rsid w:val="00991CC6"/>
    <w:rsid w:val="00991D43"/>
    <w:rsid w:val="00991D5C"/>
    <w:rsid w:val="00991D8B"/>
    <w:rsid w:val="00991DB0"/>
    <w:rsid w:val="00991E19"/>
    <w:rsid w:val="00991E30"/>
    <w:rsid w:val="00991E61"/>
    <w:rsid w:val="00991EA9"/>
    <w:rsid w:val="00991EAD"/>
    <w:rsid w:val="00991F27"/>
    <w:rsid w:val="00991F40"/>
    <w:rsid w:val="00991F4E"/>
    <w:rsid w:val="00991F79"/>
    <w:rsid w:val="00991F97"/>
    <w:rsid w:val="00991F9F"/>
    <w:rsid w:val="00991FF8"/>
    <w:rsid w:val="0099200E"/>
    <w:rsid w:val="00992020"/>
    <w:rsid w:val="00992042"/>
    <w:rsid w:val="0099204E"/>
    <w:rsid w:val="00992061"/>
    <w:rsid w:val="00992091"/>
    <w:rsid w:val="009920C7"/>
    <w:rsid w:val="009920D7"/>
    <w:rsid w:val="009920E5"/>
    <w:rsid w:val="009920F5"/>
    <w:rsid w:val="00992134"/>
    <w:rsid w:val="0099214F"/>
    <w:rsid w:val="00992173"/>
    <w:rsid w:val="009921A7"/>
    <w:rsid w:val="009921E9"/>
    <w:rsid w:val="0099220D"/>
    <w:rsid w:val="0099220E"/>
    <w:rsid w:val="00992224"/>
    <w:rsid w:val="009922A2"/>
    <w:rsid w:val="009922BB"/>
    <w:rsid w:val="009922C6"/>
    <w:rsid w:val="00992305"/>
    <w:rsid w:val="00992330"/>
    <w:rsid w:val="0099233F"/>
    <w:rsid w:val="00992357"/>
    <w:rsid w:val="0099238E"/>
    <w:rsid w:val="00992474"/>
    <w:rsid w:val="0099249F"/>
    <w:rsid w:val="009924B8"/>
    <w:rsid w:val="0099250D"/>
    <w:rsid w:val="00992524"/>
    <w:rsid w:val="0099253C"/>
    <w:rsid w:val="009925B1"/>
    <w:rsid w:val="009925D3"/>
    <w:rsid w:val="009925DE"/>
    <w:rsid w:val="00992688"/>
    <w:rsid w:val="009926A4"/>
    <w:rsid w:val="009926D1"/>
    <w:rsid w:val="009926EF"/>
    <w:rsid w:val="009926F0"/>
    <w:rsid w:val="009926FE"/>
    <w:rsid w:val="00992798"/>
    <w:rsid w:val="009927BE"/>
    <w:rsid w:val="009927C1"/>
    <w:rsid w:val="009927FA"/>
    <w:rsid w:val="00992803"/>
    <w:rsid w:val="0099282C"/>
    <w:rsid w:val="00992852"/>
    <w:rsid w:val="00992886"/>
    <w:rsid w:val="0099288E"/>
    <w:rsid w:val="009928DD"/>
    <w:rsid w:val="009928DE"/>
    <w:rsid w:val="009928E6"/>
    <w:rsid w:val="009928FF"/>
    <w:rsid w:val="00992901"/>
    <w:rsid w:val="0099299D"/>
    <w:rsid w:val="009929AE"/>
    <w:rsid w:val="009929D5"/>
    <w:rsid w:val="009929E7"/>
    <w:rsid w:val="00992A48"/>
    <w:rsid w:val="00992A75"/>
    <w:rsid w:val="00992AB8"/>
    <w:rsid w:val="00992AD0"/>
    <w:rsid w:val="00992B73"/>
    <w:rsid w:val="00992B9F"/>
    <w:rsid w:val="00992BAB"/>
    <w:rsid w:val="00992BAF"/>
    <w:rsid w:val="00992BC4"/>
    <w:rsid w:val="00992BEC"/>
    <w:rsid w:val="00992C4C"/>
    <w:rsid w:val="00992C5B"/>
    <w:rsid w:val="00992C89"/>
    <w:rsid w:val="00992C93"/>
    <w:rsid w:val="00992CD5"/>
    <w:rsid w:val="00992CFA"/>
    <w:rsid w:val="00992CFB"/>
    <w:rsid w:val="00992D1C"/>
    <w:rsid w:val="00992D44"/>
    <w:rsid w:val="00992D53"/>
    <w:rsid w:val="00992D8F"/>
    <w:rsid w:val="00992D90"/>
    <w:rsid w:val="00992DCF"/>
    <w:rsid w:val="00992DD1"/>
    <w:rsid w:val="00992DFA"/>
    <w:rsid w:val="00992DFE"/>
    <w:rsid w:val="00992E15"/>
    <w:rsid w:val="00992E36"/>
    <w:rsid w:val="00992E69"/>
    <w:rsid w:val="00992EA8"/>
    <w:rsid w:val="00992EA9"/>
    <w:rsid w:val="00992EE9"/>
    <w:rsid w:val="00992EEF"/>
    <w:rsid w:val="00992F12"/>
    <w:rsid w:val="00992F2B"/>
    <w:rsid w:val="00992F34"/>
    <w:rsid w:val="00992F44"/>
    <w:rsid w:val="00992F65"/>
    <w:rsid w:val="00992F7A"/>
    <w:rsid w:val="00992FF2"/>
    <w:rsid w:val="00993000"/>
    <w:rsid w:val="0099302C"/>
    <w:rsid w:val="00993166"/>
    <w:rsid w:val="009931C5"/>
    <w:rsid w:val="009932B1"/>
    <w:rsid w:val="0099332F"/>
    <w:rsid w:val="0099333C"/>
    <w:rsid w:val="0099337F"/>
    <w:rsid w:val="009933B2"/>
    <w:rsid w:val="009933CF"/>
    <w:rsid w:val="009933E9"/>
    <w:rsid w:val="0099342E"/>
    <w:rsid w:val="00993469"/>
    <w:rsid w:val="0099348C"/>
    <w:rsid w:val="009934C9"/>
    <w:rsid w:val="009934D0"/>
    <w:rsid w:val="009934F7"/>
    <w:rsid w:val="009934F8"/>
    <w:rsid w:val="00993504"/>
    <w:rsid w:val="00993532"/>
    <w:rsid w:val="00993536"/>
    <w:rsid w:val="00993587"/>
    <w:rsid w:val="009935E2"/>
    <w:rsid w:val="00993605"/>
    <w:rsid w:val="00993622"/>
    <w:rsid w:val="00993623"/>
    <w:rsid w:val="00993637"/>
    <w:rsid w:val="00993667"/>
    <w:rsid w:val="009936BC"/>
    <w:rsid w:val="0099370A"/>
    <w:rsid w:val="00993732"/>
    <w:rsid w:val="0099376F"/>
    <w:rsid w:val="009937AD"/>
    <w:rsid w:val="009937BB"/>
    <w:rsid w:val="009937C0"/>
    <w:rsid w:val="00993808"/>
    <w:rsid w:val="0099380B"/>
    <w:rsid w:val="00993810"/>
    <w:rsid w:val="0099382D"/>
    <w:rsid w:val="00993835"/>
    <w:rsid w:val="0099386E"/>
    <w:rsid w:val="009938DA"/>
    <w:rsid w:val="00993907"/>
    <w:rsid w:val="00993909"/>
    <w:rsid w:val="009939A4"/>
    <w:rsid w:val="009939E3"/>
    <w:rsid w:val="00993A1D"/>
    <w:rsid w:val="00993A26"/>
    <w:rsid w:val="00993A2A"/>
    <w:rsid w:val="00993A62"/>
    <w:rsid w:val="00993A80"/>
    <w:rsid w:val="00993A81"/>
    <w:rsid w:val="00993A92"/>
    <w:rsid w:val="00993A96"/>
    <w:rsid w:val="00993ACC"/>
    <w:rsid w:val="00993ADD"/>
    <w:rsid w:val="00993AE6"/>
    <w:rsid w:val="00993B72"/>
    <w:rsid w:val="00993BCB"/>
    <w:rsid w:val="00993C13"/>
    <w:rsid w:val="00993C3A"/>
    <w:rsid w:val="00993C4A"/>
    <w:rsid w:val="00993C6A"/>
    <w:rsid w:val="00993C81"/>
    <w:rsid w:val="00993C9D"/>
    <w:rsid w:val="00993CC1"/>
    <w:rsid w:val="00993CD2"/>
    <w:rsid w:val="00993CEC"/>
    <w:rsid w:val="00993CF6"/>
    <w:rsid w:val="00993D0E"/>
    <w:rsid w:val="00993D30"/>
    <w:rsid w:val="00993D44"/>
    <w:rsid w:val="00993D47"/>
    <w:rsid w:val="00993E60"/>
    <w:rsid w:val="00993EEC"/>
    <w:rsid w:val="00993F35"/>
    <w:rsid w:val="00993F95"/>
    <w:rsid w:val="00993FAC"/>
    <w:rsid w:val="00993FAE"/>
    <w:rsid w:val="00994079"/>
    <w:rsid w:val="009940A7"/>
    <w:rsid w:val="009940F9"/>
    <w:rsid w:val="00994100"/>
    <w:rsid w:val="0099413B"/>
    <w:rsid w:val="00994151"/>
    <w:rsid w:val="00994192"/>
    <w:rsid w:val="009941D1"/>
    <w:rsid w:val="00994247"/>
    <w:rsid w:val="0099424C"/>
    <w:rsid w:val="00994292"/>
    <w:rsid w:val="009942BF"/>
    <w:rsid w:val="009942F4"/>
    <w:rsid w:val="0099433A"/>
    <w:rsid w:val="00994347"/>
    <w:rsid w:val="00994354"/>
    <w:rsid w:val="0099435F"/>
    <w:rsid w:val="00994388"/>
    <w:rsid w:val="009943E0"/>
    <w:rsid w:val="009943FB"/>
    <w:rsid w:val="00994449"/>
    <w:rsid w:val="009944A1"/>
    <w:rsid w:val="009944E4"/>
    <w:rsid w:val="00994537"/>
    <w:rsid w:val="00994548"/>
    <w:rsid w:val="009945A6"/>
    <w:rsid w:val="009945B6"/>
    <w:rsid w:val="009945B9"/>
    <w:rsid w:val="009945C3"/>
    <w:rsid w:val="009945CB"/>
    <w:rsid w:val="009945EB"/>
    <w:rsid w:val="00994626"/>
    <w:rsid w:val="00994662"/>
    <w:rsid w:val="00994664"/>
    <w:rsid w:val="00994678"/>
    <w:rsid w:val="00994690"/>
    <w:rsid w:val="009946AD"/>
    <w:rsid w:val="009946D0"/>
    <w:rsid w:val="009946DE"/>
    <w:rsid w:val="009946ED"/>
    <w:rsid w:val="00994774"/>
    <w:rsid w:val="00994778"/>
    <w:rsid w:val="009947D2"/>
    <w:rsid w:val="009947E0"/>
    <w:rsid w:val="009947F3"/>
    <w:rsid w:val="009947FE"/>
    <w:rsid w:val="00994809"/>
    <w:rsid w:val="00994833"/>
    <w:rsid w:val="0099485B"/>
    <w:rsid w:val="00994871"/>
    <w:rsid w:val="00994881"/>
    <w:rsid w:val="009948EA"/>
    <w:rsid w:val="00994911"/>
    <w:rsid w:val="0099491D"/>
    <w:rsid w:val="00994939"/>
    <w:rsid w:val="00994949"/>
    <w:rsid w:val="00994959"/>
    <w:rsid w:val="009949A6"/>
    <w:rsid w:val="009949CC"/>
    <w:rsid w:val="009949D1"/>
    <w:rsid w:val="009949DA"/>
    <w:rsid w:val="00994A41"/>
    <w:rsid w:val="00994A55"/>
    <w:rsid w:val="00994A5D"/>
    <w:rsid w:val="00994A63"/>
    <w:rsid w:val="00994B00"/>
    <w:rsid w:val="00994BCD"/>
    <w:rsid w:val="00994C13"/>
    <w:rsid w:val="00994C74"/>
    <w:rsid w:val="00994C75"/>
    <w:rsid w:val="00994C8C"/>
    <w:rsid w:val="00994D10"/>
    <w:rsid w:val="00994D6D"/>
    <w:rsid w:val="00994DB1"/>
    <w:rsid w:val="00994DBF"/>
    <w:rsid w:val="00994E0E"/>
    <w:rsid w:val="00994E17"/>
    <w:rsid w:val="00994E24"/>
    <w:rsid w:val="00994E35"/>
    <w:rsid w:val="00994E72"/>
    <w:rsid w:val="00994E8C"/>
    <w:rsid w:val="00994EAF"/>
    <w:rsid w:val="00994EBA"/>
    <w:rsid w:val="00994F38"/>
    <w:rsid w:val="00994F67"/>
    <w:rsid w:val="00994F6D"/>
    <w:rsid w:val="00994F8B"/>
    <w:rsid w:val="00994FA2"/>
    <w:rsid w:val="00994FD9"/>
    <w:rsid w:val="00994FEC"/>
    <w:rsid w:val="00995006"/>
    <w:rsid w:val="00995047"/>
    <w:rsid w:val="0099508B"/>
    <w:rsid w:val="00995092"/>
    <w:rsid w:val="009950D8"/>
    <w:rsid w:val="009950DE"/>
    <w:rsid w:val="009950E4"/>
    <w:rsid w:val="00995105"/>
    <w:rsid w:val="00995182"/>
    <w:rsid w:val="00995187"/>
    <w:rsid w:val="0099519F"/>
    <w:rsid w:val="009951C8"/>
    <w:rsid w:val="009951EB"/>
    <w:rsid w:val="009951FF"/>
    <w:rsid w:val="00995238"/>
    <w:rsid w:val="0099526A"/>
    <w:rsid w:val="0099527D"/>
    <w:rsid w:val="009952BB"/>
    <w:rsid w:val="009952C1"/>
    <w:rsid w:val="00995303"/>
    <w:rsid w:val="009953BE"/>
    <w:rsid w:val="009953D6"/>
    <w:rsid w:val="009953E6"/>
    <w:rsid w:val="00995424"/>
    <w:rsid w:val="0099542E"/>
    <w:rsid w:val="0099545D"/>
    <w:rsid w:val="0099546C"/>
    <w:rsid w:val="00995486"/>
    <w:rsid w:val="009954AC"/>
    <w:rsid w:val="009954B3"/>
    <w:rsid w:val="009954B8"/>
    <w:rsid w:val="009954BF"/>
    <w:rsid w:val="009954C5"/>
    <w:rsid w:val="009954D6"/>
    <w:rsid w:val="00995529"/>
    <w:rsid w:val="00995559"/>
    <w:rsid w:val="009955AB"/>
    <w:rsid w:val="009955B7"/>
    <w:rsid w:val="0099560A"/>
    <w:rsid w:val="0099566A"/>
    <w:rsid w:val="0099566D"/>
    <w:rsid w:val="0099567B"/>
    <w:rsid w:val="009956A5"/>
    <w:rsid w:val="009956BE"/>
    <w:rsid w:val="009956ED"/>
    <w:rsid w:val="009956F4"/>
    <w:rsid w:val="00995718"/>
    <w:rsid w:val="00995735"/>
    <w:rsid w:val="00995748"/>
    <w:rsid w:val="009957A5"/>
    <w:rsid w:val="0099580E"/>
    <w:rsid w:val="0099584E"/>
    <w:rsid w:val="00995885"/>
    <w:rsid w:val="009958B1"/>
    <w:rsid w:val="009958CA"/>
    <w:rsid w:val="00995944"/>
    <w:rsid w:val="0099597B"/>
    <w:rsid w:val="0099597E"/>
    <w:rsid w:val="009959B5"/>
    <w:rsid w:val="009959C5"/>
    <w:rsid w:val="009959DE"/>
    <w:rsid w:val="009959EE"/>
    <w:rsid w:val="00995A56"/>
    <w:rsid w:val="00995A86"/>
    <w:rsid w:val="00995AAB"/>
    <w:rsid w:val="00995AD0"/>
    <w:rsid w:val="00995AD7"/>
    <w:rsid w:val="00995AEE"/>
    <w:rsid w:val="00995AF4"/>
    <w:rsid w:val="00995AF8"/>
    <w:rsid w:val="00995B0D"/>
    <w:rsid w:val="00995B1B"/>
    <w:rsid w:val="00995B1E"/>
    <w:rsid w:val="00995B21"/>
    <w:rsid w:val="00995B45"/>
    <w:rsid w:val="00995B87"/>
    <w:rsid w:val="00995B89"/>
    <w:rsid w:val="00995BA2"/>
    <w:rsid w:val="00995C01"/>
    <w:rsid w:val="00995C25"/>
    <w:rsid w:val="00995C6F"/>
    <w:rsid w:val="00995CC9"/>
    <w:rsid w:val="00995CCE"/>
    <w:rsid w:val="00995CFD"/>
    <w:rsid w:val="00995D38"/>
    <w:rsid w:val="00995D47"/>
    <w:rsid w:val="00995D7A"/>
    <w:rsid w:val="00995D81"/>
    <w:rsid w:val="00995D98"/>
    <w:rsid w:val="00995DB3"/>
    <w:rsid w:val="00995DF1"/>
    <w:rsid w:val="00995E1B"/>
    <w:rsid w:val="00995E3F"/>
    <w:rsid w:val="00995E5F"/>
    <w:rsid w:val="00995E87"/>
    <w:rsid w:val="00995F0F"/>
    <w:rsid w:val="00995F78"/>
    <w:rsid w:val="00995F89"/>
    <w:rsid w:val="00995FCF"/>
    <w:rsid w:val="00995FD6"/>
    <w:rsid w:val="00995FE8"/>
    <w:rsid w:val="00995FF7"/>
    <w:rsid w:val="0099601B"/>
    <w:rsid w:val="0099601C"/>
    <w:rsid w:val="00996021"/>
    <w:rsid w:val="0099603C"/>
    <w:rsid w:val="00996067"/>
    <w:rsid w:val="00996096"/>
    <w:rsid w:val="009960A6"/>
    <w:rsid w:val="0099611B"/>
    <w:rsid w:val="00996168"/>
    <w:rsid w:val="009961AE"/>
    <w:rsid w:val="009961CB"/>
    <w:rsid w:val="009961DE"/>
    <w:rsid w:val="009961E1"/>
    <w:rsid w:val="00996240"/>
    <w:rsid w:val="0099626A"/>
    <w:rsid w:val="00996272"/>
    <w:rsid w:val="009962CA"/>
    <w:rsid w:val="0099631E"/>
    <w:rsid w:val="0099636D"/>
    <w:rsid w:val="0099646A"/>
    <w:rsid w:val="0099647C"/>
    <w:rsid w:val="00996578"/>
    <w:rsid w:val="009965A3"/>
    <w:rsid w:val="009965C2"/>
    <w:rsid w:val="00996660"/>
    <w:rsid w:val="00996684"/>
    <w:rsid w:val="0099668F"/>
    <w:rsid w:val="0099669B"/>
    <w:rsid w:val="009966B8"/>
    <w:rsid w:val="009966F5"/>
    <w:rsid w:val="0099672C"/>
    <w:rsid w:val="0099675A"/>
    <w:rsid w:val="009967AD"/>
    <w:rsid w:val="009967D4"/>
    <w:rsid w:val="009967FE"/>
    <w:rsid w:val="00996830"/>
    <w:rsid w:val="00996831"/>
    <w:rsid w:val="00996863"/>
    <w:rsid w:val="00996887"/>
    <w:rsid w:val="0099688A"/>
    <w:rsid w:val="00996898"/>
    <w:rsid w:val="009968BA"/>
    <w:rsid w:val="009968C8"/>
    <w:rsid w:val="00996914"/>
    <w:rsid w:val="00996915"/>
    <w:rsid w:val="00996930"/>
    <w:rsid w:val="00996988"/>
    <w:rsid w:val="00996992"/>
    <w:rsid w:val="009969BD"/>
    <w:rsid w:val="009969F9"/>
    <w:rsid w:val="00996A05"/>
    <w:rsid w:val="00996ACD"/>
    <w:rsid w:val="00996B54"/>
    <w:rsid w:val="00996B6B"/>
    <w:rsid w:val="00996B7A"/>
    <w:rsid w:val="00996C47"/>
    <w:rsid w:val="00996C8A"/>
    <w:rsid w:val="00996D27"/>
    <w:rsid w:val="00996D73"/>
    <w:rsid w:val="00996D9E"/>
    <w:rsid w:val="00996DA9"/>
    <w:rsid w:val="00996DF8"/>
    <w:rsid w:val="00996E12"/>
    <w:rsid w:val="00996E20"/>
    <w:rsid w:val="00996E3F"/>
    <w:rsid w:val="00996E60"/>
    <w:rsid w:val="00996E80"/>
    <w:rsid w:val="00996EDE"/>
    <w:rsid w:val="00996EE6"/>
    <w:rsid w:val="00996F52"/>
    <w:rsid w:val="00996F67"/>
    <w:rsid w:val="00996FBF"/>
    <w:rsid w:val="00996FC2"/>
    <w:rsid w:val="00996FDB"/>
    <w:rsid w:val="00996FE0"/>
    <w:rsid w:val="0099700A"/>
    <w:rsid w:val="00997029"/>
    <w:rsid w:val="00997069"/>
    <w:rsid w:val="0099708E"/>
    <w:rsid w:val="0099709D"/>
    <w:rsid w:val="009970A5"/>
    <w:rsid w:val="009970D6"/>
    <w:rsid w:val="00997104"/>
    <w:rsid w:val="00997107"/>
    <w:rsid w:val="0099711E"/>
    <w:rsid w:val="00997137"/>
    <w:rsid w:val="0099716B"/>
    <w:rsid w:val="00997179"/>
    <w:rsid w:val="00997186"/>
    <w:rsid w:val="009971A0"/>
    <w:rsid w:val="009971B0"/>
    <w:rsid w:val="009971C0"/>
    <w:rsid w:val="00997256"/>
    <w:rsid w:val="0099727D"/>
    <w:rsid w:val="00997288"/>
    <w:rsid w:val="0099728E"/>
    <w:rsid w:val="009972DE"/>
    <w:rsid w:val="00997343"/>
    <w:rsid w:val="0099737B"/>
    <w:rsid w:val="00997389"/>
    <w:rsid w:val="00997393"/>
    <w:rsid w:val="009973C2"/>
    <w:rsid w:val="009973C7"/>
    <w:rsid w:val="009973EE"/>
    <w:rsid w:val="00997415"/>
    <w:rsid w:val="00997435"/>
    <w:rsid w:val="0099744C"/>
    <w:rsid w:val="00997457"/>
    <w:rsid w:val="00997495"/>
    <w:rsid w:val="009974AA"/>
    <w:rsid w:val="009974AB"/>
    <w:rsid w:val="009974DA"/>
    <w:rsid w:val="009974E5"/>
    <w:rsid w:val="00997510"/>
    <w:rsid w:val="00997580"/>
    <w:rsid w:val="0099758C"/>
    <w:rsid w:val="009975F9"/>
    <w:rsid w:val="009975FE"/>
    <w:rsid w:val="00997608"/>
    <w:rsid w:val="00997611"/>
    <w:rsid w:val="00997627"/>
    <w:rsid w:val="0099762D"/>
    <w:rsid w:val="00997630"/>
    <w:rsid w:val="009976C2"/>
    <w:rsid w:val="009976CC"/>
    <w:rsid w:val="0099773A"/>
    <w:rsid w:val="00997743"/>
    <w:rsid w:val="00997759"/>
    <w:rsid w:val="0099776D"/>
    <w:rsid w:val="009977D9"/>
    <w:rsid w:val="009977E6"/>
    <w:rsid w:val="00997802"/>
    <w:rsid w:val="00997854"/>
    <w:rsid w:val="0099787A"/>
    <w:rsid w:val="0099787B"/>
    <w:rsid w:val="0099789B"/>
    <w:rsid w:val="009978BE"/>
    <w:rsid w:val="009978D3"/>
    <w:rsid w:val="009978ED"/>
    <w:rsid w:val="0099790B"/>
    <w:rsid w:val="0099794E"/>
    <w:rsid w:val="00997971"/>
    <w:rsid w:val="009979AA"/>
    <w:rsid w:val="009979D4"/>
    <w:rsid w:val="009979D6"/>
    <w:rsid w:val="009979F6"/>
    <w:rsid w:val="00997A23"/>
    <w:rsid w:val="00997A38"/>
    <w:rsid w:val="00997A89"/>
    <w:rsid w:val="00997A91"/>
    <w:rsid w:val="00997ADA"/>
    <w:rsid w:val="00997B14"/>
    <w:rsid w:val="00997BBA"/>
    <w:rsid w:val="00997BD0"/>
    <w:rsid w:val="00997BE3"/>
    <w:rsid w:val="00997BF3"/>
    <w:rsid w:val="00997C0E"/>
    <w:rsid w:val="00997C10"/>
    <w:rsid w:val="00997C3E"/>
    <w:rsid w:val="00997C4D"/>
    <w:rsid w:val="00997CC0"/>
    <w:rsid w:val="00997CEB"/>
    <w:rsid w:val="00997D41"/>
    <w:rsid w:val="00997D91"/>
    <w:rsid w:val="00997D99"/>
    <w:rsid w:val="00997DC6"/>
    <w:rsid w:val="00997DEE"/>
    <w:rsid w:val="00997DF2"/>
    <w:rsid w:val="00997E2F"/>
    <w:rsid w:val="00997E56"/>
    <w:rsid w:val="00997E68"/>
    <w:rsid w:val="00997E92"/>
    <w:rsid w:val="00997EA5"/>
    <w:rsid w:val="00997EE6"/>
    <w:rsid w:val="00997F22"/>
    <w:rsid w:val="00997F48"/>
    <w:rsid w:val="00997FD8"/>
    <w:rsid w:val="00997FE5"/>
    <w:rsid w:val="009A001D"/>
    <w:rsid w:val="009A0041"/>
    <w:rsid w:val="009A0091"/>
    <w:rsid w:val="009A00C4"/>
    <w:rsid w:val="009A00CE"/>
    <w:rsid w:val="009A00EB"/>
    <w:rsid w:val="009A00F2"/>
    <w:rsid w:val="009A0109"/>
    <w:rsid w:val="009A0148"/>
    <w:rsid w:val="009A015E"/>
    <w:rsid w:val="009A01DF"/>
    <w:rsid w:val="009A01E3"/>
    <w:rsid w:val="009A01ED"/>
    <w:rsid w:val="009A01EF"/>
    <w:rsid w:val="009A020D"/>
    <w:rsid w:val="009A02AF"/>
    <w:rsid w:val="009A02DA"/>
    <w:rsid w:val="009A0304"/>
    <w:rsid w:val="009A031A"/>
    <w:rsid w:val="009A0334"/>
    <w:rsid w:val="009A0336"/>
    <w:rsid w:val="009A034F"/>
    <w:rsid w:val="009A0396"/>
    <w:rsid w:val="009A03D7"/>
    <w:rsid w:val="009A0461"/>
    <w:rsid w:val="009A0486"/>
    <w:rsid w:val="009A04DA"/>
    <w:rsid w:val="009A0516"/>
    <w:rsid w:val="009A0517"/>
    <w:rsid w:val="009A0553"/>
    <w:rsid w:val="009A0587"/>
    <w:rsid w:val="009A05A5"/>
    <w:rsid w:val="009A05CE"/>
    <w:rsid w:val="009A0625"/>
    <w:rsid w:val="009A0632"/>
    <w:rsid w:val="009A0684"/>
    <w:rsid w:val="009A06C8"/>
    <w:rsid w:val="009A0721"/>
    <w:rsid w:val="009A0743"/>
    <w:rsid w:val="009A0759"/>
    <w:rsid w:val="009A07CD"/>
    <w:rsid w:val="009A0824"/>
    <w:rsid w:val="009A096A"/>
    <w:rsid w:val="009A096B"/>
    <w:rsid w:val="009A09AA"/>
    <w:rsid w:val="009A09BA"/>
    <w:rsid w:val="009A09ED"/>
    <w:rsid w:val="009A0A51"/>
    <w:rsid w:val="009A0A65"/>
    <w:rsid w:val="009A0A78"/>
    <w:rsid w:val="009A0A86"/>
    <w:rsid w:val="009A0A8F"/>
    <w:rsid w:val="009A0AA6"/>
    <w:rsid w:val="009A0AAC"/>
    <w:rsid w:val="009A0AB3"/>
    <w:rsid w:val="009A0B22"/>
    <w:rsid w:val="009A0B26"/>
    <w:rsid w:val="009A0B40"/>
    <w:rsid w:val="009A0BA0"/>
    <w:rsid w:val="009A0BA8"/>
    <w:rsid w:val="009A0BAE"/>
    <w:rsid w:val="009A0BDA"/>
    <w:rsid w:val="009A0C68"/>
    <w:rsid w:val="009A0CBB"/>
    <w:rsid w:val="009A0D11"/>
    <w:rsid w:val="009A0D1D"/>
    <w:rsid w:val="009A0D4B"/>
    <w:rsid w:val="009A0D78"/>
    <w:rsid w:val="009A0DA5"/>
    <w:rsid w:val="009A0DBF"/>
    <w:rsid w:val="009A0DED"/>
    <w:rsid w:val="009A0E08"/>
    <w:rsid w:val="009A0E0B"/>
    <w:rsid w:val="009A0E22"/>
    <w:rsid w:val="009A0E99"/>
    <w:rsid w:val="009A0EFF"/>
    <w:rsid w:val="009A0F20"/>
    <w:rsid w:val="009A0F94"/>
    <w:rsid w:val="009A101A"/>
    <w:rsid w:val="009A101E"/>
    <w:rsid w:val="009A1052"/>
    <w:rsid w:val="009A1083"/>
    <w:rsid w:val="009A109C"/>
    <w:rsid w:val="009A10AF"/>
    <w:rsid w:val="009A10D5"/>
    <w:rsid w:val="009A10D8"/>
    <w:rsid w:val="009A10F7"/>
    <w:rsid w:val="009A10F9"/>
    <w:rsid w:val="009A10FC"/>
    <w:rsid w:val="009A114E"/>
    <w:rsid w:val="009A118E"/>
    <w:rsid w:val="009A119D"/>
    <w:rsid w:val="009A11B9"/>
    <w:rsid w:val="009A11DF"/>
    <w:rsid w:val="009A11E0"/>
    <w:rsid w:val="009A11E7"/>
    <w:rsid w:val="009A1270"/>
    <w:rsid w:val="009A1290"/>
    <w:rsid w:val="009A1304"/>
    <w:rsid w:val="009A1353"/>
    <w:rsid w:val="009A136C"/>
    <w:rsid w:val="009A1383"/>
    <w:rsid w:val="009A13AD"/>
    <w:rsid w:val="009A1437"/>
    <w:rsid w:val="009A1472"/>
    <w:rsid w:val="009A1477"/>
    <w:rsid w:val="009A14AB"/>
    <w:rsid w:val="009A1511"/>
    <w:rsid w:val="009A1516"/>
    <w:rsid w:val="009A1532"/>
    <w:rsid w:val="009A154B"/>
    <w:rsid w:val="009A158E"/>
    <w:rsid w:val="009A158F"/>
    <w:rsid w:val="009A15CE"/>
    <w:rsid w:val="009A15DD"/>
    <w:rsid w:val="009A1655"/>
    <w:rsid w:val="009A16BA"/>
    <w:rsid w:val="009A16D7"/>
    <w:rsid w:val="009A16FB"/>
    <w:rsid w:val="009A1703"/>
    <w:rsid w:val="009A172F"/>
    <w:rsid w:val="009A1772"/>
    <w:rsid w:val="009A1789"/>
    <w:rsid w:val="009A17ED"/>
    <w:rsid w:val="009A1801"/>
    <w:rsid w:val="009A1802"/>
    <w:rsid w:val="009A1828"/>
    <w:rsid w:val="009A1836"/>
    <w:rsid w:val="009A18D5"/>
    <w:rsid w:val="009A18E6"/>
    <w:rsid w:val="009A1906"/>
    <w:rsid w:val="009A191E"/>
    <w:rsid w:val="009A1926"/>
    <w:rsid w:val="009A1994"/>
    <w:rsid w:val="009A19A4"/>
    <w:rsid w:val="009A19AF"/>
    <w:rsid w:val="009A19CB"/>
    <w:rsid w:val="009A19D7"/>
    <w:rsid w:val="009A1A15"/>
    <w:rsid w:val="009A1A23"/>
    <w:rsid w:val="009A1A84"/>
    <w:rsid w:val="009A1A9D"/>
    <w:rsid w:val="009A1AD2"/>
    <w:rsid w:val="009A1B13"/>
    <w:rsid w:val="009A1B1E"/>
    <w:rsid w:val="009A1B24"/>
    <w:rsid w:val="009A1B59"/>
    <w:rsid w:val="009A1B7F"/>
    <w:rsid w:val="009A1BB7"/>
    <w:rsid w:val="009A1BCA"/>
    <w:rsid w:val="009A1BEA"/>
    <w:rsid w:val="009A1BF0"/>
    <w:rsid w:val="009A1C3C"/>
    <w:rsid w:val="009A1CA8"/>
    <w:rsid w:val="009A1CDC"/>
    <w:rsid w:val="009A1CE8"/>
    <w:rsid w:val="009A1CFC"/>
    <w:rsid w:val="009A1D0D"/>
    <w:rsid w:val="009A1DDD"/>
    <w:rsid w:val="009A1E38"/>
    <w:rsid w:val="009A1EAA"/>
    <w:rsid w:val="009A1ECC"/>
    <w:rsid w:val="009A1F36"/>
    <w:rsid w:val="009A1F75"/>
    <w:rsid w:val="009A1F8D"/>
    <w:rsid w:val="009A1F8F"/>
    <w:rsid w:val="009A1F90"/>
    <w:rsid w:val="009A1FB7"/>
    <w:rsid w:val="009A1FC2"/>
    <w:rsid w:val="009A1FD2"/>
    <w:rsid w:val="009A1FD9"/>
    <w:rsid w:val="009A1FEC"/>
    <w:rsid w:val="009A1FF9"/>
    <w:rsid w:val="009A2021"/>
    <w:rsid w:val="009A205C"/>
    <w:rsid w:val="009A2064"/>
    <w:rsid w:val="009A2077"/>
    <w:rsid w:val="009A209F"/>
    <w:rsid w:val="009A20BF"/>
    <w:rsid w:val="009A20C9"/>
    <w:rsid w:val="009A20D5"/>
    <w:rsid w:val="009A2104"/>
    <w:rsid w:val="009A2120"/>
    <w:rsid w:val="009A2174"/>
    <w:rsid w:val="009A21D2"/>
    <w:rsid w:val="009A21DF"/>
    <w:rsid w:val="009A220A"/>
    <w:rsid w:val="009A220D"/>
    <w:rsid w:val="009A2253"/>
    <w:rsid w:val="009A227A"/>
    <w:rsid w:val="009A2286"/>
    <w:rsid w:val="009A22C4"/>
    <w:rsid w:val="009A230E"/>
    <w:rsid w:val="009A2311"/>
    <w:rsid w:val="009A2325"/>
    <w:rsid w:val="009A233B"/>
    <w:rsid w:val="009A235C"/>
    <w:rsid w:val="009A237D"/>
    <w:rsid w:val="009A23A5"/>
    <w:rsid w:val="009A23B0"/>
    <w:rsid w:val="009A23DF"/>
    <w:rsid w:val="009A23FC"/>
    <w:rsid w:val="009A24C6"/>
    <w:rsid w:val="009A24D0"/>
    <w:rsid w:val="009A24FE"/>
    <w:rsid w:val="009A251B"/>
    <w:rsid w:val="009A254C"/>
    <w:rsid w:val="009A2556"/>
    <w:rsid w:val="009A2596"/>
    <w:rsid w:val="009A25E8"/>
    <w:rsid w:val="009A25F0"/>
    <w:rsid w:val="009A266F"/>
    <w:rsid w:val="009A2675"/>
    <w:rsid w:val="009A267D"/>
    <w:rsid w:val="009A2684"/>
    <w:rsid w:val="009A268D"/>
    <w:rsid w:val="009A2695"/>
    <w:rsid w:val="009A26E6"/>
    <w:rsid w:val="009A2706"/>
    <w:rsid w:val="009A273C"/>
    <w:rsid w:val="009A2780"/>
    <w:rsid w:val="009A27B0"/>
    <w:rsid w:val="009A27B1"/>
    <w:rsid w:val="009A27C2"/>
    <w:rsid w:val="009A27E3"/>
    <w:rsid w:val="009A27F5"/>
    <w:rsid w:val="009A27FF"/>
    <w:rsid w:val="009A280B"/>
    <w:rsid w:val="009A2840"/>
    <w:rsid w:val="009A287A"/>
    <w:rsid w:val="009A2886"/>
    <w:rsid w:val="009A2896"/>
    <w:rsid w:val="009A28C9"/>
    <w:rsid w:val="009A28CE"/>
    <w:rsid w:val="009A2909"/>
    <w:rsid w:val="009A292E"/>
    <w:rsid w:val="009A2955"/>
    <w:rsid w:val="009A2961"/>
    <w:rsid w:val="009A29D9"/>
    <w:rsid w:val="009A29E9"/>
    <w:rsid w:val="009A2A1F"/>
    <w:rsid w:val="009A2A3A"/>
    <w:rsid w:val="009A2A3E"/>
    <w:rsid w:val="009A2A46"/>
    <w:rsid w:val="009A2A7F"/>
    <w:rsid w:val="009A2A86"/>
    <w:rsid w:val="009A2AB3"/>
    <w:rsid w:val="009A2AE6"/>
    <w:rsid w:val="009A2B20"/>
    <w:rsid w:val="009A2BAD"/>
    <w:rsid w:val="009A2BB9"/>
    <w:rsid w:val="009A2C36"/>
    <w:rsid w:val="009A2C3B"/>
    <w:rsid w:val="009A2C52"/>
    <w:rsid w:val="009A2C6A"/>
    <w:rsid w:val="009A2CAA"/>
    <w:rsid w:val="009A2CB1"/>
    <w:rsid w:val="009A2CFA"/>
    <w:rsid w:val="009A2D7E"/>
    <w:rsid w:val="009A2DA6"/>
    <w:rsid w:val="009A2DD7"/>
    <w:rsid w:val="009A2E36"/>
    <w:rsid w:val="009A2E3A"/>
    <w:rsid w:val="009A2E6C"/>
    <w:rsid w:val="009A2E82"/>
    <w:rsid w:val="009A2EC5"/>
    <w:rsid w:val="009A2F24"/>
    <w:rsid w:val="009A2F8C"/>
    <w:rsid w:val="009A2F99"/>
    <w:rsid w:val="009A2FA5"/>
    <w:rsid w:val="009A2FFB"/>
    <w:rsid w:val="009A300F"/>
    <w:rsid w:val="009A3015"/>
    <w:rsid w:val="009A301C"/>
    <w:rsid w:val="009A301F"/>
    <w:rsid w:val="009A3023"/>
    <w:rsid w:val="009A3026"/>
    <w:rsid w:val="009A302A"/>
    <w:rsid w:val="009A3083"/>
    <w:rsid w:val="009A308C"/>
    <w:rsid w:val="009A30E3"/>
    <w:rsid w:val="009A311B"/>
    <w:rsid w:val="009A3145"/>
    <w:rsid w:val="009A316C"/>
    <w:rsid w:val="009A31C6"/>
    <w:rsid w:val="009A3215"/>
    <w:rsid w:val="009A321A"/>
    <w:rsid w:val="009A3243"/>
    <w:rsid w:val="009A32AF"/>
    <w:rsid w:val="009A32CD"/>
    <w:rsid w:val="009A3358"/>
    <w:rsid w:val="009A33A5"/>
    <w:rsid w:val="009A3408"/>
    <w:rsid w:val="009A3433"/>
    <w:rsid w:val="009A348E"/>
    <w:rsid w:val="009A349D"/>
    <w:rsid w:val="009A34B1"/>
    <w:rsid w:val="009A34B9"/>
    <w:rsid w:val="009A34F9"/>
    <w:rsid w:val="009A3525"/>
    <w:rsid w:val="009A3528"/>
    <w:rsid w:val="009A354B"/>
    <w:rsid w:val="009A3553"/>
    <w:rsid w:val="009A35AB"/>
    <w:rsid w:val="009A35E0"/>
    <w:rsid w:val="009A368C"/>
    <w:rsid w:val="009A3695"/>
    <w:rsid w:val="009A36B0"/>
    <w:rsid w:val="009A36B6"/>
    <w:rsid w:val="009A36C3"/>
    <w:rsid w:val="009A36EC"/>
    <w:rsid w:val="009A373B"/>
    <w:rsid w:val="009A3742"/>
    <w:rsid w:val="009A3757"/>
    <w:rsid w:val="009A37E2"/>
    <w:rsid w:val="009A3826"/>
    <w:rsid w:val="009A3859"/>
    <w:rsid w:val="009A3860"/>
    <w:rsid w:val="009A3864"/>
    <w:rsid w:val="009A38E8"/>
    <w:rsid w:val="009A38F2"/>
    <w:rsid w:val="009A392C"/>
    <w:rsid w:val="009A3992"/>
    <w:rsid w:val="009A39A0"/>
    <w:rsid w:val="009A39C4"/>
    <w:rsid w:val="009A39D2"/>
    <w:rsid w:val="009A3A2A"/>
    <w:rsid w:val="009A3A64"/>
    <w:rsid w:val="009A3A7C"/>
    <w:rsid w:val="009A3A82"/>
    <w:rsid w:val="009A3A9A"/>
    <w:rsid w:val="009A3B21"/>
    <w:rsid w:val="009A3B31"/>
    <w:rsid w:val="009A3B36"/>
    <w:rsid w:val="009A3B39"/>
    <w:rsid w:val="009A3B41"/>
    <w:rsid w:val="009A3B47"/>
    <w:rsid w:val="009A3B73"/>
    <w:rsid w:val="009A3BC8"/>
    <w:rsid w:val="009A3C2B"/>
    <w:rsid w:val="009A3C40"/>
    <w:rsid w:val="009A3C42"/>
    <w:rsid w:val="009A3CD0"/>
    <w:rsid w:val="009A3D3C"/>
    <w:rsid w:val="009A3D4E"/>
    <w:rsid w:val="009A3DB4"/>
    <w:rsid w:val="009A3DD7"/>
    <w:rsid w:val="009A3EBE"/>
    <w:rsid w:val="009A3EEB"/>
    <w:rsid w:val="009A3F6F"/>
    <w:rsid w:val="009A3F71"/>
    <w:rsid w:val="009A3FBC"/>
    <w:rsid w:val="009A3FE0"/>
    <w:rsid w:val="009A3FF0"/>
    <w:rsid w:val="009A400A"/>
    <w:rsid w:val="009A400F"/>
    <w:rsid w:val="009A4011"/>
    <w:rsid w:val="009A405B"/>
    <w:rsid w:val="009A4075"/>
    <w:rsid w:val="009A40DF"/>
    <w:rsid w:val="009A4134"/>
    <w:rsid w:val="009A415B"/>
    <w:rsid w:val="009A422D"/>
    <w:rsid w:val="009A425C"/>
    <w:rsid w:val="009A42AE"/>
    <w:rsid w:val="009A431B"/>
    <w:rsid w:val="009A433D"/>
    <w:rsid w:val="009A434E"/>
    <w:rsid w:val="009A436D"/>
    <w:rsid w:val="009A4371"/>
    <w:rsid w:val="009A4384"/>
    <w:rsid w:val="009A43B8"/>
    <w:rsid w:val="009A4408"/>
    <w:rsid w:val="009A4436"/>
    <w:rsid w:val="009A443E"/>
    <w:rsid w:val="009A446A"/>
    <w:rsid w:val="009A44A9"/>
    <w:rsid w:val="009A44EF"/>
    <w:rsid w:val="009A44FE"/>
    <w:rsid w:val="009A4518"/>
    <w:rsid w:val="009A4563"/>
    <w:rsid w:val="009A4568"/>
    <w:rsid w:val="009A4598"/>
    <w:rsid w:val="009A45D6"/>
    <w:rsid w:val="009A4663"/>
    <w:rsid w:val="009A46D7"/>
    <w:rsid w:val="009A4702"/>
    <w:rsid w:val="009A473E"/>
    <w:rsid w:val="009A4790"/>
    <w:rsid w:val="009A479A"/>
    <w:rsid w:val="009A47A2"/>
    <w:rsid w:val="009A47B4"/>
    <w:rsid w:val="009A47C5"/>
    <w:rsid w:val="009A47C6"/>
    <w:rsid w:val="009A47CE"/>
    <w:rsid w:val="009A47CF"/>
    <w:rsid w:val="009A47F4"/>
    <w:rsid w:val="009A4808"/>
    <w:rsid w:val="009A4818"/>
    <w:rsid w:val="009A48D3"/>
    <w:rsid w:val="009A48E5"/>
    <w:rsid w:val="009A4927"/>
    <w:rsid w:val="009A492D"/>
    <w:rsid w:val="009A49C4"/>
    <w:rsid w:val="009A49E0"/>
    <w:rsid w:val="009A4A20"/>
    <w:rsid w:val="009A4A26"/>
    <w:rsid w:val="009A4A7B"/>
    <w:rsid w:val="009A4AEF"/>
    <w:rsid w:val="009A4B0B"/>
    <w:rsid w:val="009A4B57"/>
    <w:rsid w:val="009A4B68"/>
    <w:rsid w:val="009A4B8B"/>
    <w:rsid w:val="009A4BA0"/>
    <w:rsid w:val="009A4BA8"/>
    <w:rsid w:val="009A4BBD"/>
    <w:rsid w:val="009A4BEF"/>
    <w:rsid w:val="009A4C1D"/>
    <w:rsid w:val="009A4C44"/>
    <w:rsid w:val="009A4C68"/>
    <w:rsid w:val="009A4CC2"/>
    <w:rsid w:val="009A4CC3"/>
    <w:rsid w:val="009A4CD3"/>
    <w:rsid w:val="009A4CDB"/>
    <w:rsid w:val="009A4D4C"/>
    <w:rsid w:val="009A4D9D"/>
    <w:rsid w:val="009A4DAB"/>
    <w:rsid w:val="009A4DBE"/>
    <w:rsid w:val="009A4DCD"/>
    <w:rsid w:val="009A4DD6"/>
    <w:rsid w:val="009A4DD9"/>
    <w:rsid w:val="009A4E37"/>
    <w:rsid w:val="009A4EDD"/>
    <w:rsid w:val="009A4EE6"/>
    <w:rsid w:val="009A4F68"/>
    <w:rsid w:val="009A4F6C"/>
    <w:rsid w:val="009A4F74"/>
    <w:rsid w:val="009A4F7A"/>
    <w:rsid w:val="009A4F8A"/>
    <w:rsid w:val="009A4FD4"/>
    <w:rsid w:val="009A5087"/>
    <w:rsid w:val="009A508B"/>
    <w:rsid w:val="009A50A8"/>
    <w:rsid w:val="009A5119"/>
    <w:rsid w:val="009A5127"/>
    <w:rsid w:val="009A5129"/>
    <w:rsid w:val="009A512E"/>
    <w:rsid w:val="009A5192"/>
    <w:rsid w:val="009A5216"/>
    <w:rsid w:val="009A521A"/>
    <w:rsid w:val="009A5258"/>
    <w:rsid w:val="009A5261"/>
    <w:rsid w:val="009A52C8"/>
    <w:rsid w:val="009A534B"/>
    <w:rsid w:val="009A537E"/>
    <w:rsid w:val="009A5381"/>
    <w:rsid w:val="009A53DD"/>
    <w:rsid w:val="009A53F8"/>
    <w:rsid w:val="009A53FF"/>
    <w:rsid w:val="009A542F"/>
    <w:rsid w:val="009A5460"/>
    <w:rsid w:val="009A5499"/>
    <w:rsid w:val="009A54A1"/>
    <w:rsid w:val="009A54B7"/>
    <w:rsid w:val="009A54C3"/>
    <w:rsid w:val="009A54CE"/>
    <w:rsid w:val="009A54ED"/>
    <w:rsid w:val="009A5503"/>
    <w:rsid w:val="009A5521"/>
    <w:rsid w:val="009A5523"/>
    <w:rsid w:val="009A557A"/>
    <w:rsid w:val="009A55FB"/>
    <w:rsid w:val="009A5605"/>
    <w:rsid w:val="009A562E"/>
    <w:rsid w:val="009A565A"/>
    <w:rsid w:val="009A565B"/>
    <w:rsid w:val="009A566F"/>
    <w:rsid w:val="009A56E3"/>
    <w:rsid w:val="009A575C"/>
    <w:rsid w:val="009A5782"/>
    <w:rsid w:val="009A5818"/>
    <w:rsid w:val="009A582D"/>
    <w:rsid w:val="009A5844"/>
    <w:rsid w:val="009A5858"/>
    <w:rsid w:val="009A5874"/>
    <w:rsid w:val="009A5892"/>
    <w:rsid w:val="009A58A2"/>
    <w:rsid w:val="009A58B5"/>
    <w:rsid w:val="009A58CC"/>
    <w:rsid w:val="009A58EA"/>
    <w:rsid w:val="009A58FF"/>
    <w:rsid w:val="009A594C"/>
    <w:rsid w:val="009A594E"/>
    <w:rsid w:val="009A59A6"/>
    <w:rsid w:val="009A59B2"/>
    <w:rsid w:val="009A59B8"/>
    <w:rsid w:val="009A59C1"/>
    <w:rsid w:val="009A59DE"/>
    <w:rsid w:val="009A59EF"/>
    <w:rsid w:val="009A5AC4"/>
    <w:rsid w:val="009A5B40"/>
    <w:rsid w:val="009A5B69"/>
    <w:rsid w:val="009A5BA2"/>
    <w:rsid w:val="009A5C44"/>
    <w:rsid w:val="009A5C8F"/>
    <w:rsid w:val="009A5C91"/>
    <w:rsid w:val="009A5C94"/>
    <w:rsid w:val="009A5CDE"/>
    <w:rsid w:val="009A5D27"/>
    <w:rsid w:val="009A5D2B"/>
    <w:rsid w:val="009A5D87"/>
    <w:rsid w:val="009A5DF8"/>
    <w:rsid w:val="009A5E38"/>
    <w:rsid w:val="009A5E59"/>
    <w:rsid w:val="009A5E94"/>
    <w:rsid w:val="009A5F03"/>
    <w:rsid w:val="009A5F0B"/>
    <w:rsid w:val="009A5F1B"/>
    <w:rsid w:val="009A5F45"/>
    <w:rsid w:val="009A5F4D"/>
    <w:rsid w:val="009A5F56"/>
    <w:rsid w:val="009A5F6C"/>
    <w:rsid w:val="009A5F8A"/>
    <w:rsid w:val="009A5FC9"/>
    <w:rsid w:val="009A5FE3"/>
    <w:rsid w:val="009A6008"/>
    <w:rsid w:val="009A604B"/>
    <w:rsid w:val="009A6058"/>
    <w:rsid w:val="009A605B"/>
    <w:rsid w:val="009A6062"/>
    <w:rsid w:val="009A6080"/>
    <w:rsid w:val="009A608D"/>
    <w:rsid w:val="009A60C7"/>
    <w:rsid w:val="009A6120"/>
    <w:rsid w:val="009A6145"/>
    <w:rsid w:val="009A614A"/>
    <w:rsid w:val="009A616E"/>
    <w:rsid w:val="009A61B6"/>
    <w:rsid w:val="009A6224"/>
    <w:rsid w:val="009A623E"/>
    <w:rsid w:val="009A627B"/>
    <w:rsid w:val="009A6286"/>
    <w:rsid w:val="009A629D"/>
    <w:rsid w:val="009A62A1"/>
    <w:rsid w:val="009A62C6"/>
    <w:rsid w:val="009A62D2"/>
    <w:rsid w:val="009A6309"/>
    <w:rsid w:val="009A6318"/>
    <w:rsid w:val="009A633A"/>
    <w:rsid w:val="009A6394"/>
    <w:rsid w:val="009A6428"/>
    <w:rsid w:val="009A6467"/>
    <w:rsid w:val="009A64B5"/>
    <w:rsid w:val="009A64CE"/>
    <w:rsid w:val="009A6544"/>
    <w:rsid w:val="009A6574"/>
    <w:rsid w:val="009A6580"/>
    <w:rsid w:val="009A65B1"/>
    <w:rsid w:val="009A65B9"/>
    <w:rsid w:val="009A65CE"/>
    <w:rsid w:val="009A65F9"/>
    <w:rsid w:val="009A6607"/>
    <w:rsid w:val="009A663B"/>
    <w:rsid w:val="009A6686"/>
    <w:rsid w:val="009A66A2"/>
    <w:rsid w:val="009A66F0"/>
    <w:rsid w:val="009A66FD"/>
    <w:rsid w:val="009A6731"/>
    <w:rsid w:val="009A6771"/>
    <w:rsid w:val="009A6794"/>
    <w:rsid w:val="009A67CA"/>
    <w:rsid w:val="009A6839"/>
    <w:rsid w:val="009A68F5"/>
    <w:rsid w:val="009A690A"/>
    <w:rsid w:val="009A6927"/>
    <w:rsid w:val="009A6947"/>
    <w:rsid w:val="009A6951"/>
    <w:rsid w:val="009A6956"/>
    <w:rsid w:val="009A6A52"/>
    <w:rsid w:val="009A6A54"/>
    <w:rsid w:val="009A6AF6"/>
    <w:rsid w:val="009A6B16"/>
    <w:rsid w:val="009A6B5E"/>
    <w:rsid w:val="009A6B63"/>
    <w:rsid w:val="009A6BE5"/>
    <w:rsid w:val="009A6BF5"/>
    <w:rsid w:val="009A6C66"/>
    <w:rsid w:val="009A6CBB"/>
    <w:rsid w:val="009A6CCC"/>
    <w:rsid w:val="009A6CF3"/>
    <w:rsid w:val="009A6D01"/>
    <w:rsid w:val="009A6D28"/>
    <w:rsid w:val="009A6D29"/>
    <w:rsid w:val="009A6D96"/>
    <w:rsid w:val="009A6E6A"/>
    <w:rsid w:val="009A6E7B"/>
    <w:rsid w:val="009A6E7F"/>
    <w:rsid w:val="009A6EAB"/>
    <w:rsid w:val="009A6F57"/>
    <w:rsid w:val="009A6FC3"/>
    <w:rsid w:val="009A6FE1"/>
    <w:rsid w:val="009A7057"/>
    <w:rsid w:val="009A7080"/>
    <w:rsid w:val="009A708F"/>
    <w:rsid w:val="009A70A2"/>
    <w:rsid w:val="009A70B5"/>
    <w:rsid w:val="009A70C5"/>
    <w:rsid w:val="009A70DC"/>
    <w:rsid w:val="009A7105"/>
    <w:rsid w:val="009A712F"/>
    <w:rsid w:val="009A7137"/>
    <w:rsid w:val="009A716D"/>
    <w:rsid w:val="009A71FE"/>
    <w:rsid w:val="009A7203"/>
    <w:rsid w:val="009A720D"/>
    <w:rsid w:val="009A725A"/>
    <w:rsid w:val="009A7275"/>
    <w:rsid w:val="009A7283"/>
    <w:rsid w:val="009A7292"/>
    <w:rsid w:val="009A72A0"/>
    <w:rsid w:val="009A72B7"/>
    <w:rsid w:val="009A72BC"/>
    <w:rsid w:val="009A72C9"/>
    <w:rsid w:val="009A733E"/>
    <w:rsid w:val="009A73C6"/>
    <w:rsid w:val="009A73F3"/>
    <w:rsid w:val="009A743A"/>
    <w:rsid w:val="009A7441"/>
    <w:rsid w:val="009A7464"/>
    <w:rsid w:val="009A7478"/>
    <w:rsid w:val="009A7488"/>
    <w:rsid w:val="009A7499"/>
    <w:rsid w:val="009A74CE"/>
    <w:rsid w:val="009A74FC"/>
    <w:rsid w:val="009A7528"/>
    <w:rsid w:val="009A75AD"/>
    <w:rsid w:val="009A75DE"/>
    <w:rsid w:val="009A7631"/>
    <w:rsid w:val="009A7650"/>
    <w:rsid w:val="009A7685"/>
    <w:rsid w:val="009A76B8"/>
    <w:rsid w:val="009A76C9"/>
    <w:rsid w:val="009A76FA"/>
    <w:rsid w:val="009A76FF"/>
    <w:rsid w:val="009A772C"/>
    <w:rsid w:val="009A7740"/>
    <w:rsid w:val="009A774D"/>
    <w:rsid w:val="009A7769"/>
    <w:rsid w:val="009A777F"/>
    <w:rsid w:val="009A7796"/>
    <w:rsid w:val="009A77B9"/>
    <w:rsid w:val="009A7824"/>
    <w:rsid w:val="009A7870"/>
    <w:rsid w:val="009A7888"/>
    <w:rsid w:val="009A78C1"/>
    <w:rsid w:val="009A78D4"/>
    <w:rsid w:val="009A791D"/>
    <w:rsid w:val="009A793C"/>
    <w:rsid w:val="009A79D7"/>
    <w:rsid w:val="009A7A54"/>
    <w:rsid w:val="009A7A55"/>
    <w:rsid w:val="009A7A73"/>
    <w:rsid w:val="009A7A7A"/>
    <w:rsid w:val="009A7A89"/>
    <w:rsid w:val="009A7ACE"/>
    <w:rsid w:val="009A7AD7"/>
    <w:rsid w:val="009A7ADF"/>
    <w:rsid w:val="009A7AE2"/>
    <w:rsid w:val="009A7B1E"/>
    <w:rsid w:val="009A7B4B"/>
    <w:rsid w:val="009A7B87"/>
    <w:rsid w:val="009A7C2A"/>
    <w:rsid w:val="009A7C3D"/>
    <w:rsid w:val="009A7C61"/>
    <w:rsid w:val="009A7C84"/>
    <w:rsid w:val="009A7CB2"/>
    <w:rsid w:val="009A7CC3"/>
    <w:rsid w:val="009A7CD2"/>
    <w:rsid w:val="009A7D02"/>
    <w:rsid w:val="009A7D15"/>
    <w:rsid w:val="009A7D26"/>
    <w:rsid w:val="009A7D45"/>
    <w:rsid w:val="009A7DF7"/>
    <w:rsid w:val="009A7E3E"/>
    <w:rsid w:val="009A7E51"/>
    <w:rsid w:val="009A7E69"/>
    <w:rsid w:val="009A7E7E"/>
    <w:rsid w:val="009A7EB3"/>
    <w:rsid w:val="009A7EF5"/>
    <w:rsid w:val="009A7F46"/>
    <w:rsid w:val="009A7F56"/>
    <w:rsid w:val="009A7F5B"/>
    <w:rsid w:val="009A7FB0"/>
    <w:rsid w:val="009B0015"/>
    <w:rsid w:val="009B0027"/>
    <w:rsid w:val="009B00AE"/>
    <w:rsid w:val="009B00B1"/>
    <w:rsid w:val="009B00B7"/>
    <w:rsid w:val="009B00C4"/>
    <w:rsid w:val="009B00CD"/>
    <w:rsid w:val="009B0115"/>
    <w:rsid w:val="009B018A"/>
    <w:rsid w:val="009B01A0"/>
    <w:rsid w:val="009B01CD"/>
    <w:rsid w:val="009B022D"/>
    <w:rsid w:val="009B026F"/>
    <w:rsid w:val="009B02C5"/>
    <w:rsid w:val="009B02F0"/>
    <w:rsid w:val="009B0308"/>
    <w:rsid w:val="009B034C"/>
    <w:rsid w:val="009B0378"/>
    <w:rsid w:val="009B0393"/>
    <w:rsid w:val="009B03E1"/>
    <w:rsid w:val="009B03E5"/>
    <w:rsid w:val="009B03F3"/>
    <w:rsid w:val="009B03F8"/>
    <w:rsid w:val="009B0421"/>
    <w:rsid w:val="009B0436"/>
    <w:rsid w:val="009B0441"/>
    <w:rsid w:val="009B0470"/>
    <w:rsid w:val="009B04FC"/>
    <w:rsid w:val="009B056C"/>
    <w:rsid w:val="009B058D"/>
    <w:rsid w:val="009B05A6"/>
    <w:rsid w:val="009B05AD"/>
    <w:rsid w:val="009B0608"/>
    <w:rsid w:val="009B0684"/>
    <w:rsid w:val="009B06EB"/>
    <w:rsid w:val="009B072A"/>
    <w:rsid w:val="009B0756"/>
    <w:rsid w:val="009B07BC"/>
    <w:rsid w:val="009B08CE"/>
    <w:rsid w:val="009B08D8"/>
    <w:rsid w:val="009B0968"/>
    <w:rsid w:val="009B09A6"/>
    <w:rsid w:val="009B09D7"/>
    <w:rsid w:val="009B09F6"/>
    <w:rsid w:val="009B0A06"/>
    <w:rsid w:val="009B0A26"/>
    <w:rsid w:val="009B0A59"/>
    <w:rsid w:val="009B0A65"/>
    <w:rsid w:val="009B0ADB"/>
    <w:rsid w:val="009B0ADC"/>
    <w:rsid w:val="009B0AED"/>
    <w:rsid w:val="009B0AF5"/>
    <w:rsid w:val="009B0B00"/>
    <w:rsid w:val="009B0B1C"/>
    <w:rsid w:val="009B0B48"/>
    <w:rsid w:val="009B0BB2"/>
    <w:rsid w:val="009B0C54"/>
    <w:rsid w:val="009B0C5A"/>
    <w:rsid w:val="009B0C68"/>
    <w:rsid w:val="009B0C90"/>
    <w:rsid w:val="009B0C9D"/>
    <w:rsid w:val="009B0CB4"/>
    <w:rsid w:val="009B0CD8"/>
    <w:rsid w:val="009B0CED"/>
    <w:rsid w:val="009B0CFB"/>
    <w:rsid w:val="009B0D01"/>
    <w:rsid w:val="009B0D02"/>
    <w:rsid w:val="009B0D0D"/>
    <w:rsid w:val="009B0D6C"/>
    <w:rsid w:val="009B0D7C"/>
    <w:rsid w:val="009B0D99"/>
    <w:rsid w:val="009B0E10"/>
    <w:rsid w:val="009B0E11"/>
    <w:rsid w:val="009B0E19"/>
    <w:rsid w:val="009B0E52"/>
    <w:rsid w:val="009B0E7E"/>
    <w:rsid w:val="009B0E96"/>
    <w:rsid w:val="009B0EBE"/>
    <w:rsid w:val="009B0F4B"/>
    <w:rsid w:val="009B0F5E"/>
    <w:rsid w:val="009B0F92"/>
    <w:rsid w:val="009B0FAB"/>
    <w:rsid w:val="009B0FB6"/>
    <w:rsid w:val="009B0FCF"/>
    <w:rsid w:val="009B0FE3"/>
    <w:rsid w:val="009B1048"/>
    <w:rsid w:val="009B1080"/>
    <w:rsid w:val="009B10B2"/>
    <w:rsid w:val="009B10D3"/>
    <w:rsid w:val="009B11C5"/>
    <w:rsid w:val="009B11CA"/>
    <w:rsid w:val="009B11D7"/>
    <w:rsid w:val="009B11E9"/>
    <w:rsid w:val="009B11ED"/>
    <w:rsid w:val="009B11F2"/>
    <w:rsid w:val="009B1206"/>
    <w:rsid w:val="009B120A"/>
    <w:rsid w:val="009B126B"/>
    <w:rsid w:val="009B12A2"/>
    <w:rsid w:val="009B12A4"/>
    <w:rsid w:val="009B12A7"/>
    <w:rsid w:val="009B12AB"/>
    <w:rsid w:val="009B12DC"/>
    <w:rsid w:val="009B12DF"/>
    <w:rsid w:val="009B1328"/>
    <w:rsid w:val="009B1387"/>
    <w:rsid w:val="009B1392"/>
    <w:rsid w:val="009B1419"/>
    <w:rsid w:val="009B1427"/>
    <w:rsid w:val="009B1434"/>
    <w:rsid w:val="009B143F"/>
    <w:rsid w:val="009B14A1"/>
    <w:rsid w:val="009B14E5"/>
    <w:rsid w:val="009B152B"/>
    <w:rsid w:val="009B1555"/>
    <w:rsid w:val="009B15A6"/>
    <w:rsid w:val="009B15D2"/>
    <w:rsid w:val="009B160C"/>
    <w:rsid w:val="009B161D"/>
    <w:rsid w:val="009B1626"/>
    <w:rsid w:val="009B1682"/>
    <w:rsid w:val="009B1688"/>
    <w:rsid w:val="009B17AE"/>
    <w:rsid w:val="009B17B9"/>
    <w:rsid w:val="009B180B"/>
    <w:rsid w:val="009B1813"/>
    <w:rsid w:val="009B1827"/>
    <w:rsid w:val="009B1843"/>
    <w:rsid w:val="009B1852"/>
    <w:rsid w:val="009B18BE"/>
    <w:rsid w:val="009B192A"/>
    <w:rsid w:val="009B1934"/>
    <w:rsid w:val="009B1947"/>
    <w:rsid w:val="009B1961"/>
    <w:rsid w:val="009B1979"/>
    <w:rsid w:val="009B19C7"/>
    <w:rsid w:val="009B19E0"/>
    <w:rsid w:val="009B19E8"/>
    <w:rsid w:val="009B19F5"/>
    <w:rsid w:val="009B1A33"/>
    <w:rsid w:val="009B1A3A"/>
    <w:rsid w:val="009B1A41"/>
    <w:rsid w:val="009B1AEE"/>
    <w:rsid w:val="009B1AF5"/>
    <w:rsid w:val="009B1AFD"/>
    <w:rsid w:val="009B1B42"/>
    <w:rsid w:val="009B1B4C"/>
    <w:rsid w:val="009B1B4E"/>
    <w:rsid w:val="009B1BB0"/>
    <w:rsid w:val="009B1BCA"/>
    <w:rsid w:val="009B1BD4"/>
    <w:rsid w:val="009B1BEE"/>
    <w:rsid w:val="009B1C32"/>
    <w:rsid w:val="009B1C3C"/>
    <w:rsid w:val="009B1C60"/>
    <w:rsid w:val="009B1C84"/>
    <w:rsid w:val="009B1C86"/>
    <w:rsid w:val="009B1C9B"/>
    <w:rsid w:val="009B1CD3"/>
    <w:rsid w:val="009B1CF1"/>
    <w:rsid w:val="009B1D09"/>
    <w:rsid w:val="009B1D88"/>
    <w:rsid w:val="009B1D94"/>
    <w:rsid w:val="009B1DD3"/>
    <w:rsid w:val="009B1E08"/>
    <w:rsid w:val="009B1E8C"/>
    <w:rsid w:val="009B1E9D"/>
    <w:rsid w:val="009B1EAD"/>
    <w:rsid w:val="009B1F33"/>
    <w:rsid w:val="009B1F45"/>
    <w:rsid w:val="009B1F5F"/>
    <w:rsid w:val="009B1F61"/>
    <w:rsid w:val="009B1FD1"/>
    <w:rsid w:val="009B2001"/>
    <w:rsid w:val="009B2056"/>
    <w:rsid w:val="009B208F"/>
    <w:rsid w:val="009B20B1"/>
    <w:rsid w:val="009B20BE"/>
    <w:rsid w:val="009B211A"/>
    <w:rsid w:val="009B211B"/>
    <w:rsid w:val="009B214E"/>
    <w:rsid w:val="009B21A4"/>
    <w:rsid w:val="009B21B7"/>
    <w:rsid w:val="009B21BF"/>
    <w:rsid w:val="009B21C0"/>
    <w:rsid w:val="009B21C7"/>
    <w:rsid w:val="009B21F0"/>
    <w:rsid w:val="009B21F4"/>
    <w:rsid w:val="009B21FD"/>
    <w:rsid w:val="009B2207"/>
    <w:rsid w:val="009B224C"/>
    <w:rsid w:val="009B2264"/>
    <w:rsid w:val="009B2274"/>
    <w:rsid w:val="009B2288"/>
    <w:rsid w:val="009B229C"/>
    <w:rsid w:val="009B22AF"/>
    <w:rsid w:val="009B22D2"/>
    <w:rsid w:val="009B2316"/>
    <w:rsid w:val="009B232C"/>
    <w:rsid w:val="009B2399"/>
    <w:rsid w:val="009B23A6"/>
    <w:rsid w:val="009B23BC"/>
    <w:rsid w:val="009B23BD"/>
    <w:rsid w:val="009B240A"/>
    <w:rsid w:val="009B242C"/>
    <w:rsid w:val="009B2430"/>
    <w:rsid w:val="009B2457"/>
    <w:rsid w:val="009B245D"/>
    <w:rsid w:val="009B2480"/>
    <w:rsid w:val="009B2483"/>
    <w:rsid w:val="009B24EB"/>
    <w:rsid w:val="009B24F2"/>
    <w:rsid w:val="009B24FE"/>
    <w:rsid w:val="009B2509"/>
    <w:rsid w:val="009B257F"/>
    <w:rsid w:val="009B25A2"/>
    <w:rsid w:val="009B25B1"/>
    <w:rsid w:val="009B2647"/>
    <w:rsid w:val="009B264C"/>
    <w:rsid w:val="009B2661"/>
    <w:rsid w:val="009B2693"/>
    <w:rsid w:val="009B269D"/>
    <w:rsid w:val="009B26DD"/>
    <w:rsid w:val="009B26EB"/>
    <w:rsid w:val="009B26F9"/>
    <w:rsid w:val="009B2702"/>
    <w:rsid w:val="009B2710"/>
    <w:rsid w:val="009B2722"/>
    <w:rsid w:val="009B2778"/>
    <w:rsid w:val="009B2816"/>
    <w:rsid w:val="009B2847"/>
    <w:rsid w:val="009B286B"/>
    <w:rsid w:val="009B2899"/>
    <w:rsid w:val="009B28D8"/>
    <w:rsid w:val="009B28EF"/>
    <w:rsid w:val="009B2930"/>
    <w:rsid w:val="009B2932"/>
    <w:rsid w:val="009B2942"/>
    <w:rsid w:val="009B294F"/>
    <w:rsid w:val="009B299C"/>
    <w:rsid w:val="009B29B7"/>
    <w:rsid w:val="009B29BC"/>
    <w:rsid w:val="009B29D5"/>
    <w:rsid w:val="009B29F0"/>
    <w:rsid w:val="009B29FF"/>
    <w:rsid w:val="009B2A3C"/>
    <w:rsid w:val="009B2A7B"/>
    <w:rsid w:val="009B2AD4"/>
    <w:rsid w:val="009B2AE2"/>
    <w:rsid w:val="009B2B26"/>
    <w:rsid w:val="009B2B42"/>
    <w:rsid w:val="009B2BC5"/>
    <w:rsid w:val="009B2BCE"/>
    <w:rsid w:val="009B2BF2"/>
    <w:rsid w:val="009B2C07"/>
    <w:rsid w:val="009B2C15"/>
    <w:rsid w:val="009B2C1B"/>
    <w:rsid w:val="009B2C4F"/>
    <w:rsid w:val="009B2C5E"/>
    <w:rsid w:val="009B2C64"/>
    <w:rsid w:val="009B2C6F"/>
    <w:rsid w:val="009B2C7A"/>
    <w:rsid w:val="009B2C9C"/>
    <w:rsid w:val="009B2CAE"/>
    <w:rsid w:val="009B2D2B"/>
    <w:rsid w:val="009B2DB5"/>
    <w:rsid w:val="009B2DBB"/>
    <w:rsid w:val="009B2E39"/>
    <w:rsid w:val="009B2EED"/>
    <w:rsid w:val="009B2EF9"/>
    <w:rsid w:val="009B2EFE"/>
    <w:rsid w:val="009B2F4A"/>
    <w:rsid w:val="009B2F57"/>
    <w:rsid w:val="009B2F68"/>
    <w:rsid w:val="009B2F79"/>
    <w:rsid w:val="009B2F85"/>
    <w:rsid w:val="009B2F8C"/>
    <w:rsid w:val="009B2F91"/>
    <w:rsid w:val="009B2F93"/>
    <w:rsid w:val="009B2FAC"/>
    <w:rsid w:val="009B2FAD"/>
    <w:rsid w:val="009B2FB5"/>
    <w:rsid w:val="009B2FC6"/>
    <w:rsid w:val="009B2FE2"/>
    <w:rsid w:val="009B2FE5"/>
    <w:rsid w:val="009B3006"/>
    <w:rsid w:val="009B3036"/>
    <w:rsid w:val="009B3041"/>
    <w:rsid w:val="009B30CB"/>
    <w:rsid w:val="009B30FC"/>
    <w:rsid w:val="009B30FD"/>
    <w:rsid w:val="009B3117"/>
    <w:rsid w:val="009B3166"/>
    <w:rsid w:val="009B319C"/>
    <w:rsid w:val="009B31C9"/>
    <w:rsid w:val="009B31EC"/>
    <w:rsid w:val="009B3208"/>
    <w:rsid w:val="009B3221"/>
    <w:rsid w:val="009B3223"/>
    <w:rsid w:val="009B322A"/>
    <w:rsid w:val="009B3242"/>
    <w:rsid w:val="009B3263"/>
    <w:rsid w:val="009B326D"/>
    <w:rsid w:val="009B32D6"/>
    <w:rsid w:val="009B32E8"/>
    <w:rsid w:val="009B330F"/>
    <w:rsid w:val="009B3316"/>
    <w:rsid w:val="009B331C"/>
    <w:rsid w:val="009B3339"/>
    <w:rsid w:val="009B3343"/>
    <w:rsid w:val="009B33D7"/>
    <w:rsid w:val="009B33DD"/>
    <w:rsid w:val="009B340C"/>
    <w:rsid w:val="009B340D"/>
    <w:rsid w:val="009B3484"/>
    <w:rsid w:val="009B350D"/>
    <w:rsid w:val="009B352A"/>
    <w:rsid w:val="009B3568"/>
    <w:rsid w:val="009B359E"/>
    <w:rsid w:val="009B35E8"/>
    <w:rsid w:val="009B35EF"/>
    <w:rsid w:val="009B3613"/>
    <w:rsid w:val="009B3643"/>
    <w:rsid w:val="009B3662"/>
    <w:rsid w:val="009B3687"/>
    <w:rsid w:val="009B36E1"/>
    <w:rsid w:val="009B36E4"/>
    <w:rsid w:val="009B36F0"/>
    <w:rsid w:val="009B370C"/>
    <w:rsid w:val="009B373E"/>
    <w:rsid w:val="009B37A3"/>
    <w:rsid w:val="009B37CF"/>
    <w:rsid w:val="009B37EF"/>
    <w:rsid w:val="009B3814"/>
    <w:rsid w:val="009B38B7"/>
    <w:rsid w:val="009B3904"/>
    <w:rsid w:val="009B396D"/>
    <w:rsid w:val="009B3999"/>
    <w:rsid w:val="009B39CA"/>
    <w:rsid w:val="009B39CC"/>
    <w:rsid w:val="009B3A20"/>
    <w:rsid w:val="009B3A29"/>
    <w:rsid w:val="009B3A6A"/>
    <w:rsid w:val="009B3A6D"/>
    <w:rsid w:val="009B3A77"/>
    <w:rsid w:val="009B3ABF"/>
    <w:rsid w:val="009B3AEE"/>
    <w:rsid w:val="009B3B68"/>
    <w:rsid w:val="009B3BB8"/>
    <w:rsid w:val="009B3BD4"/>
    <w:rsid w:val="009B3BE5"/>
    <w:rsid w:val="009B3C02"/>
    <w:rsid w:val="009B3C15"/>
    <w:rsid w:val="009B3C19"/>
    <w:rsid w:val="009B3C20"/>
    <w:rsid w:val="009B3C2F"/>
    <w:rsid w:val="009B3C56"/>
    <w:rsid w:val="009B3D07"/>
    <w:rsid w:val="009B3D26"/>
    <w:rsid w:val="009B3D31"/>
    <w:rsid w:val="009B3DC5"/>
    <w:rsid w:val="009B3DF9"/>
    <w:rsid w:val="009B3DFB"/>
    <w:rsid w:val="009B3E30"/>
    <w:rsid w:val="009B3E74"/>
    <w:rsid w:val="009B3E88"/>
    <w:rsid w:val="009B3EC6"/>
    <w:rsid w:val="009B3EEE"/>
    <w:rsid w:val="009B3F26"/>
    <w:rsid w:val="009B3F3B"/>
    <w:rsid w:val="009B3F5E"/>
    <w:rsid w:val="009B3FA0"/>
    <w:rsid w:val="009B3FDD"/>
    <w:rsid w:val="009B408A"/>
    <w:rsid w:val="009B40A5"/>
    <w:rsid w:val="009B4103"/>
    <w:rsid w:val="009B4108"/>
    <w:rsid w:val="009B4138"/>
    <w:rsid w:val="009B41C7"/>
    <w:rsid w:val="009B4248"/>
    <w:rsid w:val="009B4266"/>
    <w:rsid w:val="009B4278"/>
    <w:rsid w:val="009B4282"/>
    <w:rsid w:val="009B428C"/>
    <w:rsid w:val="009B42CC"/>
    <w:rsid w:val="009B42E2"/>
    <w:rsid w:val="009B42EA"/>
    <w:rsid w:val="009B430C"/>
    <w:rsid w:val="009B4335"/>
    <w:rsid w:val="009B4372"/>
    <w:rsid w:val="009B4399"/>
    <w:rsid w:val="009B4416"/>
    <w:rsid w:val="009B441A"/>
    <w:rsid w:val="009B4436"/>
    <w:rsid w:val="009B444B"/>
    <w:rsid w:val="009B446C"/>
    <w:rsid w:val="009B4486"/>
    <w:rsid w:val="009B44AB"/>
    <w:rsid w:val="009B4542"/>
    <w:rsid w:val="009B4587"/>
    <w:rsid w:val="009B45D9"/>
    <w:rsid w:val="009B45FD"/>
    <w:rsid w:val="009B461D"/>
    <w:rsid w:val="009B4630"/>
    <w:rsid w:val="009B46B4"/>
    <w:rsid w:val="009B46D9"/>
    <w:rsid w:val="009B46EC"/>
    <w:rsid w:val="009B46ED"/>
    <w:rsid w:val="009B4710"/>
    <w:rsid w:val="009B4715"/>
    <w:rsid w:val="009B473A"/>
    <w:rsid w:val="009B473C"/>
    <w:rsid w:val="009B474A"/>
    <w:rsid w:val="009B4763"/>
    <w:rsid w:val="009B4787"/>
    <w:rsid w:val="009B478E"/>
    <w:rsid w:val="009B47C3"/>
    <w:rsid w:val="009B47D0"/>
    <w:rsid w:val="009B47D1"/>
    <w:rsid w:val="009B47E3"/>
    <w:rsid w:val="009B47EC"/>
    <w:rsid w:val="009B47F8"/>
    <w:rsid w:val="009B4806"/>
    <w:rsid w:val="009B482A"/>
    <w:rsid w:val="009B485A"/>
    <w:rsid w:val="009B486D"/>
    <w:rsid w:val="009B48A5"/>
    <w:rsid w:val="009B48E7"/>
    <w:rsid w:val="009B4900"/>
    <w:rsid w:val="009B492D"/>
    <w:rsid w:val="009B4978"/>
    <w:rsid w:val="009B49EE"/>
    <w:rsid w:val="009B49EF"/>
    <w:rsid w:val="009B4A02"/>
    <w:rsid w:val="009B4A29"/>
    <w:rsid w:val="009B4A50"/>
    <w:rsid w:val="009B4A65"/>
    <w:rsid w:val="009B4A6C"/>
    <w:rsid w:val="009B4A7D"/>
    <w:rsid w:val="009B4B37"/>
    <w:rsid w:val="009B4B6F"/>
    <w:rsid w:val="009B4B7B"/>
    <w:rsid w:val="009B4B84"/>
    <w:rsid w:val="009B4B8C"/>
    <w:rsid w:val="009B4BA6"/>
    <w:rsid w:val="009B4BE2"/>
    <w:rsid w:val="009B4BE7"/>
    <w:rsid w:val="009B4BED"/>
    <w:rsid w:val="009B4C31"/>
    <w:rsid w:val="009B4C40"/>
    <w:rsid w:val="009B4C8C"/>
    <w:rsid w:val="009B4C8D"/>
    <w:rsid w:val="009B4D1B"/>
    <w:rsid w:val="009B4D55"/>
    <w:rsid w:val="009B4D5F"/>
    <w:rsid w:val="009B4D7C"/>
    <w:rsid w:val="009B4D7E"/>
    <w:rsid w:val="009B4D8B"/>
    <w:rsid w:val="009B4DAD"/>
    <w:rsid w:val="009B4DB6"/>
    <w:rsid w:val="009B4E10"/>
    <w:rsid w:val="009B4E63"/>
    <w:rsid w:val="009B4E6E"/>
    <w:rsid w:val="009B4EF5"/>
    <w:rsid w:val="009B4F87"/>
    <w:rsid w:val="009B4FD3"/>
    <w:rsid w:val="009B5084"/>
    <w:rsid w:val="009B50AC"/>
    <w:rsid w:val="009B50D7"/>
    <w:rsid w:val="009B5120"/>
    <w:rsid w:val="009B5127"/>
    <w:rsid w:val="009B5136"/>
    <w:rsid w:val="009B515F"/>
    <w:rsid w:val="009B5163"/>
    <w:rsid w:val="009B519A"/>
    <w:rsid w:val="009B51AC"/>
    <w:rsid w:val="009B51C0"/>
    <w:rsid w:val="009B51C9"/>
    <w:rsid w:val="009B51CD"/>
    <w:rsid w:val="009B5252"/>
    <w:rsid w:val="009B527F"/>
    <w:rsid w:val="009B52BD"/>
    <w:rsid w:val="009B536D"/>
    <w:rsid w:val="009B5374"/>
    <w:rsid w:val="009B5377"/>
    <w:rsid w:val="009B537A"/>
    <w:rsid w:val="009B53C8"/>
    <w:rsid w:val="009B53D0"/>
    <w:rsid w:val="009B53E0"/>
    <w:rsid w:val="009B53E9"/>
    <w:rsid w:val="009B5431"/>
    <w:rsid w:val="009B5451"/>
    <w:rsid w:val="009B5453"/>
    <w:rsid w:val="009B5459"/>
    <w:rsid w:val="009B54D5"/>
    <w:rsid w:val="009B54D8"/>
    <w:rsid w:val="009B54E0"/>
    <w:rsid w:val="009B555C"/>
    <w:rsid w:val="009B557B"/>
    <w:rsid w:val="009B5620"/>
    <w:rsid w:val="009B5638"/>
    <w:rsid w:val="009B5640"/>
    <w:rsid w:val="009B5657"/>
    <w:rsid w:val="009B565A"/>
    <w:rsid w:val="009B56E7"/>
    <w:rsid w:val="009B570A"/>
    <w:rsid w:val="009B571E"/>
    <w:rsid w:val="009B575C"/>
    <w:rsid w:val="009B5768"/>
    <w:rsid w:val="009B579B"/>
    <w:rsid w:val="009B57DA"/>
    <w:rsid w:val="009B57E6"/>
    <w:rsid w:val="009B5801"/>
    <w:rsid w:val="009B581F"/>
    <w:rsid w:val="009B5856"/>
    <w:rsid w:val="009B58C0"/>
    <w:rsid w:val="009B5910"/>
    <w:rsid w:val="009B591E"/>
    <w:rsid w:val="009B5928"/>
    <w:rsid w:val="009B594D"/>
    <w:rsid w:val="009B596E"/>
    <w:rsid w:val="009B59CE"/>
    <w:rsid w:val="009B59DB"/>
    <w:rsid w:val="009B59F1"/>
    <w:rsid w:val="009B59FC"/>
    <w:rsid w:val="009B5A75"/>
    <w:rsid w:val="009B5A7D"/>
    <w:rsid w:val="009B5A8A"/>
    <w:rsid w:val="009B5AA4"/>
    <w:rsid w:val="009B5ABD"/>
    <w:rsid w:val="009B5AD6"/>
    <w:rsid w:val="009B5AEB"/>
    <w:rsid w:val="009B5AF1"/>
    <w:rsid w:val="009B5B0D"/>
    <w:rsid w:val="009B5B31"/>
    <w:rsid w:val="009B5B5D"/>
    <w:rsid w:val="009B5B8B"/>
    <w:rsid w:val="009B5B9A"/>
    <w:rsid w:val="009B5B9C"/>
    <w:rsid w:val="009B5BA4"/>
    <w:rsid w:val="009B5C20"/>
    <w:rsid w:val="009B5C30"/>
    <w:rsid w:val="009B5C31"/>
    <w:rsid w:val="009B5C35"/>
    <w:rsid w:val="009B5C3C"/>
    <w:rsid w:val="009B5C71"/>
    <w:rsid w:val="009B5CD6"/>
    <w:rsid w:val="009B5CE1"/>
    <w:rsid w:val="009B5CE7"/>
    <w:rsid w:val="009B5CF5"/>
    <w:rsid w:val="009B5D29"/>
    <w:rsid w:val="009B5D33"/>
    <w:rsid w:val="009B5D3E"/>
    <w:rsid w:val="009B5D48"/>
    <w:rsid w:val="009B5D75"/>
    <w:rsid w:val="009B5D86"/>
    <w:rsid w:val="009B5DC5"/>
    <w:rsid w:val="009B5DF4"/>
    <w:rsid w:val="009B5E18"/>
    <w:rsid w:val="009B5E22"/>
    <w:rsid w:val="009B5EDB"/>
    <w:rsid w:val="009B5F58"/>
    <w:rsid w:val="009B5F67"/>
    <w:rsid w:val="009B5F69"/>
    <w:rsid w:val="009B5FC6"/>
    <w:rsid w:val="009B6015"/>
    <w:rsid w:val="009B6040"/>
    <w:rsid w:val="009B6054"/>
    <w:rsid w:val="009B6113"/>
    <w:rsid w:val="009B6114"/>
    <w:rsid w:val="009B6126"/>
    <w:rsid w:val="009B617F"/>
    <w:rsid w:val="009B61F2"/>
    <w:rsid w:val="009B622A"/>
    <w:rsid w:val="009B6240"/>
    <w:rsid w:val="009B629A"/>
    <w:rsid w:val="009B62B9"/>
    <w:rsid w:val="009B62C6"/>
    <w:rsid w:val="009B62E4"/>
    <w:rsid w:val="009B62F8"/>
    <w:rsid w:val="009B62FF"/>
    <w:rsid w:val="009B632E"/>
    <w:rsid w:val="009B634A"/>
    <w:rsid w:val="009B6365"/>
    <w:rsid w:val="009B63D8"/>
    <w:rsid w:val="009B63FF"/>
    <w:rsid w:val="009B641B"/>
    <w:rsid w:val="009B6447"/>
    <w:rsid w:val="009B6462"/>
    <w:rsid w:val="009B6494"/>
    <w:rsid w:val="009B64AE"/>
    <w:rsid w:val="009B64DD"/>
    <w:rsid w:val="009B6518"/>
    <w:rsid w:val="009B6554"/>
    <w:rsid w:val="009B6562"/>
    <w:rsid w:val="009B65A4"/>
    <w:rsid w:val="009B65AB"/>
    <w:rsid w:val="009B65BC"/>
    <w:rsid w:val="009B65D8"/>
    <w:rsid w:val="009B65F7"/>
    <w:rsid w:val="009B65FA"/>
    <w:rsid w:val="009B6669"/>
    <w:rsid w:val="009B666B"/>
    <w:rsid w:val="009B6680"/>
    <w:rsid w:val="009B66B6"/>
    <w:rsid w:val="009B66D3"/>
    <w:rsid w:val="009B6792"/>
    <w:rsid w:val="009B67A0"/>
    <w:rsid w:val="009B682F"/>
    <w:rsid w:val="009B68F6"/>
    <w:rsid w:val="009B6906"/>
    <w:rsid w:val="009B690C"/>
    <w:rsid w:val="009B6957"/>
    <w:rsid w:val="009B696C"/>
    <w:rsid w:val="009B697B"/>
    <w:rsid w:val="009B69AC"/>
    <w:rsid w:val="009B69B3"/>
    <w:rsid w:val="009B69C2"/>
    <w:rsid w:val="009B69C7"/>
    <w:rsid w:val="009B69E1"/>
    <w:rsid w:val="009B6A00"/>
    <w:rsid w:val="009B6A17"/>
    <w:rsid w:val="009B6A63"/>
    <w:rsid w:val="009B6A6A"/>
    <w:rsid w:val="009B6A6B"/>
    <w:rsid w:val="009B6A86"/>
    <w:rsid w:val="009B6ABA"/>
    <w:rsid w:val="009B6AE2"/>
    <w:rsid w:val="009B6B04"/>
    <w:rsid w:val="009B6B08"/>
    <w:rsid w:val="009B6B0B"/>
    <w:rsid w:val="009B6B15"/>
    <w:rsid w:val="009B6B34"/>
    <w:rsid w:val="009B6B5A"/>
    <w:rsid w:val="009B6B6C"/>
    <w:rsid w:val="009B6BA4"/>
    <w:rsid w:val="009B6BDA"/>
    <w:rsid w:val="009B6C53"/>
    <w:rsid w:val="009B6C6A"/>
    <w:rsid w:val="009B6CAB"/>
    <w:rsid w:val="009B6D0C"/>
    <w:rsid w:val="009B6D21"/>
    <w:rsid w:val="009B6D22"/>
    <w:rsid w:val="009B6D38"/>
    <w:rsid w:val="009B6D6E"/>
    <w:rsid w:val="009B6D77"/>
    <w:rsid w:val="009B6DFE"/>
    <w:rsid w:val="009B6E14"/>
    <w:rsid w:val="009B6E17"/>
    <w:rsid w:val="009B6E5A"/>
    <w:rsid w:val="009B6EC8"/>
    <w:rsid w:val="009B6EE2"/>
    <w:rsid w:val="009B7056"/>
    <w:rsid w:val="009B7094"/>
    <w:rsid w:val="009B70F3"/>
    <w:rsid w:val="009B710B"/>
    <w:rsid w:val="009B7114"/>
    <w:rsid w:val="009B7126"/>
    <w:rsid w:val="009B7212"/>
    <w:rsid w:val="009B723C"/>
    <w:rsid w:val="009B7281"/>
    <w:rsid w:val="009B72C0"/>
    <w:rsid w:val="009B72EA"/>
    <w:rsid w:val="009B7309"/>
    <w:rsid w:val="009B733C"/>
    <w:rsid w:val="009B7347"/>
    <w:rsid w:val="009B736A"/>
    <w:rsid w:val="009B7389"/>
    <w:rsid w:val="009B73B3"/>
    <w:rsid w:val="009B73E7"/>
    <w:rsid w:val="009B7434"/>
    <w:rsid w:val="009B7437"/>
    <w:rsid w:val="009B7498"/>
    <w:rsid w:val="009B749D"/>
    <w:rsid w:val="009B74A1"/>
    <w:rsid w:val="009B74B5"/>
    <w:rsid w:val="009B74C0"/>
    <w:rsid w:val="009B7502"/>
    <w:rsid w:val="009B7508"/>
    <w:rsid w:val="009B7519"/>
    <w:rsid w:val="009B7530"/>
    <w:rsid w:val="009B7548"/>
    <w:rsid w:val="009B7586"/>
    <w:rsid w:val="009B7598"/>
    <w:rsid w:val="009B7599"/>
    <w:rsid w:val="009B759D"/>
    <w:rsid w:val="009B75C7"/>
    <w:rsid w:val="009B7614"/>
    <w:rsid w:val="009B7651"/>
    <w:rsid w:val="009B7658"/>
    <w:rsid w:val="009B76A9"/>
    <w:rsid w:val="009B76AF"/>
    <w:rsid w:val="009B76D5"/>
    <w:rsid w:val="009B76E4"/>
    <w:rsid w:val="009B7732"/>
    <w:rsid w:val="009B7774"/>
    <w:rsid w:val="009B7779"/>
    <w:rsid w:val="009B77B0"/>
    <w:rsid w:val="009B77D4"/>
    <w:rsid w:val="009B77DF"/>
    <w:rsid w:val="009B7851"/>
    <w:rsid w:val="009B785D"/>
    <w:rsid w:val="009B7875"/>
    <w:rsid w:val="009B78C3"/>
    <w:rsid w:val="009B78FD"/>
    <w:rsid w:val="009B79BB"/>
    <w:rsid w:val="009B79E7"/>
    <w:rsid w:val="009B7A32"/>
    <w:rsid w:val="009B7A65"/>
    <w:rsid w:val="009B7A67"/>
    <w:rsid w:val="009B7AC0"/>
    <w:rsid w:val="009B7ACC"/>
    <w:rsid w:val="009B7AD9"/>
    <w:rsid w:val="009B7ADA"/>
    <w:rsid w:val="009B7B06"/>
    <w:rsid w:val="009B7B33"/>
    <w:rsid w:val="009B7B3C"/>
    <w:rsid w:val="009B7B47"/>
    <w:rsid w:val="009B7B66"/>
    <w:rsid w:val="009B7BB9"/>
    <w:rsid w:val="009B7C26"/>
    <w:rsid w:val="009B7C5D"/>
    <w:rsid w:val="009B7C69"/>
    <w:rsid w:val="009B7C82"/>
    <w:rsid w:val="009B7CE6"/>
    <w:rsid w:val="009B7D07"/>
    <w:rsid w:val="009B7D0F"/>
    <w:rsid w:val="009B7D16"/>
    <w:rsid w:val="009B7D87"/>
    <w:rsid w:val="009B7D9E"/>
    <w:rsid w:val="009B7DA9"/>
    <w:rsid w:val="009B7DAC"/>
    <w:rsid w:val="009B7DD3"/>
    <w:rsid w:val="009B7E22"/>
    <w:rsid w:val="009B7EB1"/>
    <w:rsid w:val="009B7EDC"/>
    <w:rsid w:val="009B7EF3"/>
    <w:rsid w:val="009B7F1E"/>
    <w:rsid w:val="009B7F80"/>
    <w:rsid w:val="009B7FF0"/>
    <w:rsid w:val="009C001B"/>
    <w:rsid w:val="009C003A"/>
    <w:rsid w:val="009C0067"/>
    <w:rsid w:val="009C0084"/>
    <w:rsid w:val="009C0088"/>
    <w:rsid w:val="009C00D6"/>
    <w:rsid w:val="009C00E9"/>
    <w:rsid w:val="009C0113"/>
    <w:rsid w:val="009C01A4"/>
    <w:rsid w:val="009C0212"/>
    <w:rsid w:val="009C0216"/>
    <w:rsid w:val="009C0240"/>
    <w:rsid w:val="009C0244"/>
    <w:rsid w:val="009C0265"/>
    <w:rsid w:val="009C0267"/>
    <w:rsid w:val="009C0288"/>
    <w:rsid w:val="009C02B8"/>
    <w:rsid w:val="009C02C1"/>
    <w:rsid w:val="009C02EF"/>
    <w:rsid w:val="009C0333"/>
    <w:rsid w:val="009C0351"/>
    <w:rsid w:val="009C036F"/>
    <w:rsid w:val="009C0390"/>
    <w:rsid w:val="009C039D"/>
    <w:rsid w:val="009C03BF"/>
    <w:rsid w:val="009C03DF"/>
    <w:rsid w:val="009C0446"/>
    <w:rsid w:val="009C04AE"/>
    <w:rsid w:val="009C04B3"/>
    <w:rsid w:val="009C04DA"/>
    <w:rsid w:val="009C0559"/>
    <w:rsid w:val="009C0590"/>
    <w:rsid w:val="009C05DE"/>
    <w:rsid w:val="009C05FE"/>
    <w:rsid w:val="009C0612"/>
    <w:rsid w:val="009C0632"/>
    <w:rsid w:val="009C0694"/>
    <w:rsid w:val="009C06AD"/>
    <w:rsid w:val="009C06C0"/>
    <w:rsid w:val="009C06FB"/>
    <w:rsid w:val="009C0713"/>
    <w:rsid w:val="009C0723"/>
    <w:rsid w:val="009C072E"/>
    <w:rsid w:val="009C0734"/>
    <w:rsid w:val="009C0739"/>
    <w:rsid w:val="009C0759"/>
    <w:rsid w:val="009C07A4"/>
    <w:rsid w:val="009C0802"/>
    <w:rsid w:val="009C0814"/>
    <w:rsid w:val="009C0896"/>
    <w:rsid w:val="009C08C4"/>
    <w:rsid w:val="009C08E3"/>
    <w:rsid w:val="009C08FF"/>
    <w:rsid w:val="009C0967"/>
    <w:rsid w:val="009C0979"/>
    <w:rsid w:val="009C09CC"/>
    <w:rsid w:val="009C0A66"/>
    <w:rsid w:val="009C0A86"/>
    <w:rsid w:val="009C0ABD"/>
    <w:rsid w:val="009C0AEB"/>
    <w:rsid w:val="009C0AF5"/>
    <w:rsid w:val="009C0B04"/>
    <w:rsid w:val="009C0B5D"/>
    <w:rsid w:val="009C0B68"/>
    <w:rsid w:val="009C0BB8"/>
    <w:rsid w:val="009C0BCC"/>
    <w:rsid w:val="009C0BD6"/>
    <w:rsid w:val="009C0C12"/>
    <w:rsid w:val="009C0C51"/>
    <w:rsid w:val="009C0CA7"/>
    <w:rsid w:val="009C0CC7"/>
    <w:rsid w:val="009C0CD8"/>
    <w:rsid w:val="009C0CED"/>
    <w:rsid w:val="009C0D09"/>
    <w:rsid w:val="009C0D4B"/>
    <w:rsid w:val="009C0D96"/>
    <w:rsid w:val="009C0DDC"/>
    <w:rsid w:val="009C0DE5"/>
    <w:rsid w:val="009C0E47"/>
    <w:rsid w:val="009C0E65"/>
    <w:rsid w:val="009C0E7E"/>
    <w:rsid w:val="009C0EFD"/>
    <w:rsid w:val="009C0F00"/>
    <w:rsid w:val="009C0F60"/>
    <w:rsid w:val="009C0FB2"/>
    <w:rsid w:val="009C0FBE"/>
    <w:rsid w:val="009C0FC5"/>
    <w:rsid w:val="009C0FCE"/>
    <w:rsid w:val="009C0FDC"/>
    <w:rsid w:val="009C105E"/>
    <w:rsid w:val="009C1075"/>
    <w:rsid w:val="009C108B"/>
    <w:rsid w:val="009C1091"/>
    <w:rsid w:val="009C1099"/>
    <w:rsid w:val="009C10A3"/>
    <w:rsid w:val="009C10B2"/>
    <w:rsid w:val="009C10B9"/>
    <w:rsid w:val="009C10C9"/>
    <w:rsid w:val="009C10CA"/>
    <w:rsid w:val="009C10DD"/>
    <w:rsid w:val="009C11D3"/>
    <w:rsid w:val="009C11D4"/>
    <w:rsid w:val="009C11E3"/>
    <w:rsid w:val="009C1223"/>
    <w:rsid w:val="009C1304"/>
    <w:rsid w:val="009C1313"/>
    <w:rsid w:val="009C1327"/>
    <w:rsid w:val="009C133B"/>
    <w:rsid w:val="009C135A"/>
    <w:rsid w:val="009C135E"/>
    <w:rsid w:val="009C1397"/>
    <w:rsid w:val="009C13A4"/>
    <w:rsid w:val="009C13EF"/>
    <w:rsid w:val="009C1411"/>
    <w:rsid w:val="009C1414"/>
    <w:rsid w:val="009C144F"/>
    <w:rsid w:val="009C145C"/>
    <w:rsid w:val="009C1497"/>
    <w:rsid w:val="009C14A9"/>
    <w:rsid w:val="009C14BC"/>
    <w:rsid w:val="009C155B"/>
    <w:rsid w:val="009C157E"/>
    <w:rsid w:val="009C1590"/>
    <w:rsid w:val="009C15B6"/>
    <w:rsid w:val="009C15DC"/>
    <w:rsid w:val="009C15EA"/>
    <w:rsid w:val="009C161E"/>
    <w:rsid w:val="009C1628"/>
    <w:rsid w:val="009C1630"/>
    <w:rsid w:val="009C1674"/>
    <w:rsid w:val="009C168C"/>
    <w:rsid w:val="009C16CA"/>
    <w:rsid w:val="009C16D6"/>
    <w:rsid w:val="009C16EC"/>
    <w:rsid w:val="009C16F1"/>
    <w:rsid w:val="009C174C"/>
    <w:rsid w:val="009C1774"/>
    <w:rsid w:val="009C17CD"/>
    <w:rsid w:val="009C183C"/>
    <w:rsid w:val="009C183D"/>
    <w:rsid w:val="009C1854"/>
    <w:rsid w:val="009C1877"/>
    <w:rsid w:val="009C193E"/>
    <w:rsid w:val="009C1947"/>
    <w:rsid w:val="009C1961"/>
    <w:rsid w:val="009C19A0"/>
    <w:rsid w:val="009C19C0"/>
    <w:rsid w:val="009C19DD"/>
    <w:rsid w:val="009C1A1D"/>
    <w:rsid w:val="009C1A3D"/>
    <w:rsid w:val="009C1A5D"/>
    <w:rsid w:val="009C1A8B"/>
    <w:rsid w:val="009C1A96"/>
    <w:rsid w:val="009C1AAB"/>
    <w:rsid w:val="009C1B1B"/>
    <w:rsid w:val="009C1B3F"/>
    <w:rsid w:val="009C1B46"/>
    <w:rsid w:val="009C1BBE"/>
    <w:rsid w:val="009C1BC0"/>
    <w:rsid w:val="009C1BE2"/>
    <w:rsid w:val="009C1C13"/>
    <w:rsid w:val="009C1C26"/>
    <w:rsid w:val="009C1D23"/>
    <w:rsid w:val="009C1D36"/>
    <w:rsid w:val="009C1D3F"/>
    <w:rsid w:val="009C1DB9"/>
    <w:rsid w:val="009C1DFB"/>
    <w:rsid w:val="009C1E0C"/>
    <w:rsid w:val="009C1E2F"/>
    <w:rsid w:val="009C1EB7"/>
    <w:rsid w:val="009C1ED4"/>
    <w:rsid w:val="009C1EDF"/>
    <w:rsid w:val="009C1EEF"/>
    <w:rsid w:val="009C1F23"/>
    <w:rsid w:val="009C1F4A"/>
    <w:rsid w:val="009C1F92"/>
    <w:rsid w:val="009C1FDD"/>
    <w:rsid w:val="009C1FF6"/>
    <w:rsid w:val="009C201D"/>
    <w:rsid w:val="009C20B1"/>
    <w:rsid w:val="009C20C7"/>
    <w:rsid w:val="009C20D7"/>
    <w:rsid w:val="009C20E2"/>
    <w:rsid w:val="009C2105"/>
    <w:rsid w:val="009C2119"/>
    <w:rsid w:val="009C215B"/>
    <w:rsid w:val="009C21B2"/>
    <w:rsid w:val="009C21B9"/>
    <w:rsid w:val="009C21CA"/>
    <w:rsid w:val="009C221F"/>
    <w:rsid w:val="009C222C"/>
    <w:rsid w:val="009C2240"/>
    <w:rsid w:val="009C2245"/>
    <w:rsid w:val="009C2266"/>
    <w:rsid w:val="009C226D"/>
    <w:rsid w:val="009C2278"/>
    <w:rsid w:val="009C227F"/>
    <w:rsid w:val="009C229B"/>
    <w:rsid w:val="009C22D2"/>
    <w:rsid w:val="009C22E5"/>
    <w:rsid w:val="009C2310"/>
    <w:rsid w:val="009C231F"/>
    <w:rsid w:val="009C2344"/>
    <w:rsid w:val="009C23A6"/>
    <w:rsid w:val="009C23D2"/>
    <w:rsid w:val="009C23D3"/>
    <w:rsid w:val="009C23F3"/>
    <w:rsid w:val="009C2401"/>
    <w:rsid w:val="009C24C3"/>
    <w:rsid w:val="009C24C6"/>
    <w:rsid w:val="009C24C9"/>
    <w:rsid w:val="009C251A"/>
    <w:rsid w:val="009C251D"/>
    <w:rsid w:val="009C2564"/>
    <w:rsid w:val="009C25A5"/>
    <w:rsid w:val="009C25C8"/>
    <w:rsid w:val="009C261D"/>
    <w:rsid w:val="009C2647"/>
    <w:rsid w:val="009C264E"/>
    <w:rsid w:val="009C2697"/>
    <w:rsid w:val="009C26B5"/>
    <w:rsid w:val="009C26F1"/>
    <w:rsid w:val="009C2714"/>
    <w:rsid w:val="009C2752"/>
    <w:rsid w:val="009C27E5"/>
    <w:rsid w:val="009C2807"/>
    <w:rsid w:val="009C283D"/>
    <w:rsid w:val="009C2899"/>
    <w:rsid w:val="009C28BC"/>
    <w:rsid w:val="009C28C7"/>
    <w:rsid w:val="009C28EC"/>
    <w:rsid w:val="009C290D"/>
    <w:rsid w:val="009C2936"/>
    <w:rsid w:val="009C2943"/>
    <w:rsid w:val="009C29AA"/>
    <w:rsid w:val="009C29D8"/>
    <w:rsid w:val="009C29EB"/>
    <w:rsid w:val="009C29F5"/>
    <w:rsid w:val="009C2A2B"/>
    <w:rsid w:val="009C2A64"/>
    <w:rsid w:val="009C2A73"/>
    <w:rsid w:val="009C2AA7"/>
    <w:rsid w:val="009C2AD1"/>
    <w:rsid w:val="009C2AEE"/>
    <w:rsid w:val="009C2B02"/>
    <w:rsid w:val="009C2B09"/>
    <w:rsid w:val="009C2B22"/>
    <w:rsid w:val="009C2B27"/>
    <w:rsid w:val="009C2B3F"/>
    <w:rsid w:val="009C2B49"/>
    <w:rsid w:val="009C2B82"/>
    <w:rsid w:val="009C2B92"/>
    <w:rsid w:val="009C2BA9"/>
    <w:rsid w:val="009C2BAB"/>
    <w:rsid w:val="009C2BCC"/>
    <w:rsid w:val="009C2BEA"/>
    <w:rsid w:val="009C2C14"/>
    <w:rsid w:val="009C2C1D"/>
    <w:rsid w:val="009C2C79"/>
    <w:rsid w:val="009C2D8B"/>
    <w:rsid w:val="009C2DD4"/>
    <w:rsid w:val="009C2DF9"/>
    <w:rsid w:val="009C2DFC"/>
    <w:rsid w:val="009C2E3B"/>
    <w:rsid w:val="009C2EA4"/>
    <w:rsid w:val="009C2EAD"/>
    <w:rsid w:val="009C2EC1"/>
    <w:rsid w:val="009C2EDA"/>
    <w:rsid w:val="009C2EDD"/>
    <w:rsid w:val="009C2EE7"/>
    <w:rsid w:val="009C2EF4"/>
    <w:rsid w:val="009C2F0F"/>
    <w:rsid w:val="009C2F26"/>
    <w:rsid w:val="009C2F28"/>
    <w:rsid w:val="009C2F31"/>
    <w:rsid w:val="009C2F90"/>
    <w:rsid w:val="009C2FC0"/>
    <w:rsid w:val="009C2FDA"/>
    <w:rsid w:val="009C3027"/>
    <w:rsid w:val="009C3054"/>
    <w:rsid w:val="009C305C"/>
    <w:rsid w:val="009C306F"/>
    <w:rsid w:val="009C3077"/>
    <w:rsid w:val="009C30E1"/>
    <w:rsid w:val="009C3146"/>
    <w:rsid w:val="009C316A"/>
    <w:rsid w:val="009C31EF"/>
    <w:rsid w:val="009C31F4"/>
    <w:rsid w:val="009C3212"/>
    <w:rsid w:val="009C325B"/>
    <w:rsid w:val="009C32C4"/>
    <w:rsid w:val="009C32E8"/>
    <w:rsid w:val="009C3310"/>
    <w:rsid w:val="009C3339"/>
    <w:rsid w:val="009C337B"/>
    <w:rsid w:val="009C33C3"/>
    <w:rsid w:val="009C33CA"/>
    <w:rsid w:val="009C33FA"/>
    <w:rsid w:val="009C3409"/>
    <w:rsid w:val="009C342A"/>
    <w:rsid w:val="009C342D"/>
    <w:rsid w:val="009C346D"/>
    <w:rsid w:val="009C3481"/>
    <w:rsid w:val="009C348C"/>
    <w:rsid w:val="009C348E"/>
    <w:rsid w:val="009C351F"/>
    <w:rsid w:val="009C3590"/>
    <w:rsid w:val="009C35C7"/>
    <w:rsid w:val="009C35CA"/>
    <w:rsid w:val="009C35F9"/>
    <w:rsid w:val="009C3618"/>
    <w:rsid w:val="009C3620"/>
    <w:rsid w:val="009C3634"/>
    <w:rsid w:val="009C36D7"/>
    <w:rsid w:val="009C3710"/>
    <w:rsid w:val="009C3729"/>
    <w:rsid w:val="009C3785"/>
    <w:rsid w:val="009C3789"/>
    <w:rsid w:val="009C37B9"/>
    <w:rsid w:val="009C37D7"/>
    <w:rsid w:val="009C37ED"/>
    <w:rsid w:val="009C381C"/>
    <w:rsid w:val="009C3820"/>
    <w:rsid w:val="009C382E"/>
    <w:rsid w:val="009C3847"/>
    <w:rsid w:val="009C3852"/>
    <w:rsid w:val="009C3854"/>
    <w:rsid w:val="009C389D"/>
    <w:rsid w:val="009C38B0"/>
    <w:rsid w:val="009C38BE"/>
    <w:rsid w:val="009C38E6"/>
    <w:rsid w:val="009C3910"/>
    <w:rsid w:val="009C3982"/>
    <w:rsid w:val="009C39B2"/>
    <w:rsid w:val="009C39E2"/>
    <w:rsid w:val="009C39E5"/>
    <w:rsid w:val="009C3A0B"/>
    <w:rsid w:val="009C3A6B"/>
    <w:rsid w:val="009C3AAA"/>
    <w:rsid w:val="009C3AB9"/>
    <w:rsid w:val="009C3B18"/>
    <w:rsid w:val="009C3B27"/>
    <w:rsid w:val="009C3B50"/>
    <w:rsid w:val="009C3B58"/>
    <w:rsid w:val="009C3B6D"/>
    <w:rsid w:val="009C3B9A"/>
    <w:rsid w:val="009C3B9B"/>
    <w:rsid w:val="009C3BC0"/>
    <w:rsid w:val="009C3BD5"/>
    <w:rsid w:val="009C3BDE"/>
    <w:rsid w:val="009C3BED"/>
    <w:rsid w:val="009C3C17"/>
    <w:rsid w:val="009C3C33"/>
    <w:rsid w:val="009C3C3A"/>
    <w:rsid w:val="009C3C40"/>
    <w:rsid w:val="009C3C8C"/>
    <w:rsid w:val="009C3CAE"/>
    <w:rsid w:val="009C3CCB"/>
    <w:rsid w:val="009C3CD0"/>
    <w:rsid w:val="009C3D2B"/>
    <w:rsid w:val="009C3D3D"/>
    <w:rsid w:val="009C3D54"/>
    <w:rsid w:val="009C3D76"/>
    <w:rsid w:val="009C3D83"/>
    <w:rsid w:val="009C3D8A"/>
    <w:rsid w:val="009C3DD5"/>
    <w:rsid w:val="009C3DEE"/>
    <w:rsid w:val="009C3E1C"/>
    <w:rsid w:val="009C3E21"/>
    <w:rsid w:val="009C3E54"/>
    <w:rsid w:val="009C3E6B"/>
    <w:rsid w:val="009C3EBB"/>
    <w:rsid w:val="009C3EE3"/>
    <w:rsid w:val="009C3EF3"/>
    <w:rsid w:val="009C3F04"/>
    <w:rsid w:val="009C3F0B"/>
    <w:rsid w:val="009C3F0D"/>
    <w:rsid w:val="009C3F21"/>
    <w:rsid w:val="009C3F2D"/>
    <w:rsid w:val="009C3F2F"/>
    <w:rsid w:val="009C3F32"/>
    <w:rsid w:val="009C3F56"/>
    <w:rsid w:val="009C3F68"/>
    <w:rsid w:val="009C4006"/>
    <w:rsid w:val="009C401E"/>
    <w:rsid w:val="009C4025"/>
    <w:rsid w:val="009C4088"/>
    <w:rsid w:val="009C40E9"/>
    <w:rsid w:val="009C4132"/>
    <w:rsid w:val="009C413B"/>
    <w:rsid w:val="009C4155"/>
    <w:rsid w:val="009C418C"/>
    <w:rsid w:val="009C41B0"/>
    <w:rsid w:val="009C4200"/>
    <w:rsid w:val="009C422E"/>
    <w:rsid w:val="009C426F"/>
    <w:rsid w:val="009C4276"/>
    <w:rsid w:val="009C430A"/>
    <w:rsid w:val="009C434F"/>
    <w:rsid w:val="009C437F"/>
    <w:rsid w:val="009C43A0"/>
    <w:rsid w:val="009C43BD"/>
    <w:rsid w:val="009C4424"/>
    <w:rsid w:val="009C443B"/>
    <w:rsid w:val="009C4442"/>
    <w:rsid w:val="009C4446"/>
    <w:rsid w:val="009C4487"/>
    <w:rsid w:val="009C4490"/>
    <w:rsid w:val="009C4494"/>
    <w:rsid w:val="009C44A9"/>
    <w:rsid w:val="009C44B2"/>
    <w:rsid w:val="009C44CA"/>
    <w:rsid w:val="009C44E4"/>
    <w:rsid w:val="009C44E7"/>
    <w:rsid w:val="009C4502"/>
    <w:rsid w:val="009C453A"/>
    <w:rsid w:val="009C4541"/>
    <w:rsid w:val="009C4542"/>
    <w:rsid w:val="009C4568"/>
    <w:rsid w:val="009C457A"/>
    <w:rsid w:val="009C45E8"/>
    <w:rsid w:val="009C45F2"/>
    <w:rsid w:val="009C4614"/>
    <w:rsid w:val="009C4662"/>
    <w:rsid w:val="009C46C6"/>
    <w:rsid w:val="009C46E8"/>
    <w:rsid w:val="009C4734"/>
    <w:rsid w:val="009C4742"/>
    <w:rsid w:val="009C474F"/>
    <w:rsid w:val="009C4768"/>
    <w:rsid w:val="009C4788"/>
    <w:rsid w:val="009C47AA"/>
    <w:rsid w:val="009C4801"/>
    <w:rsid w:val="009C4807"/>
    <w:rsid w:val="009C488C"/>
    <w:rsid w:val="009C48B7"/>
    <w:rsid w:val="009C48CD"/>
    <w:rsid w:val="009C48DB"/>
    <w:rsid w:val="009C4909"/>
    <w:rsid w:val="009C4933"/>
    <w:rsid w:val="009C4956"/>
    <w:rsid w:val="009C499B"/>
    <w:rsid w:val="009C4A21"/>
    <w:rsid w:val="009C4A26"/>
    <w:rsid w:val="009C4A3C"/>
    <w:rsid w:val="009C4A9F"/>
    <w:rsid w:val="009C4AA1"/>
    <w:rsid w:val="009C4AB8"/>
    <w:rsid w:val="009C4AE1"/>
    <w:rsid w:val="009C4AEE"/>
    <w:rsid w:val="009C4B0C"/>
    <w:rsid w:val="009C4B21"/>
    <w:rsid w:val="009C4B35"/>
    <w:rsid w:val="009C4B43"/>
    <w:rsid w:val="009C4B54"/>
    <w:rsid w:val="009C4B75"/>
    <w:rsid w:val="009C4B78"/>
    <w:rsid w:val="009C4B7A"/>
    <w:rsid w:val="009C4BB1"/>
    <w:rsid w:val="009C4BE3"/>
    <w:rsid w:val="009C4C37"/>
    <w:rsid w:val="009C4C42"/>
    <w:rsid w:val="009C4C75"/>
    <w:rsid w:val="009C4D27"/>
    <w:rsid w:val="009C4D4F"/>
    <w:rsid w:val="009C4DB8"/>
    <w:rsid w:val="009C4E0A"/>
    <w:rsid w:val="009C4E1A"/>
    <w:rsid w:val="009C4EB7"/>
    <w:rsid w:val="009C4EFD"/>
    <w:rsid w:val="009C4F1A"/>
    <w:rsid w:val="009C4F1D"/>
    <w:rsid w:val="009C4F54"/>
    <w:rsid w:val="009C4F63"/>
    <w:rsid w:val="009C4F8D"/>
    <w:rsid w:val="009C4FBA"/>
    <w:rsid w:val="009C4FFF"/>
    <w:rsid w:val="009C5035"/>
    <w:rsid w:val="009C506A"/>
    <w:rsid w:val="009C50FA"/>
    <w:rsid w:val="009C5127"/>
    <w:rsid w:val="009C5134"/>
    <w:rsid w:val="009C5183"/>
    <w:rsid w:val="009C519B"/>
    <w:rsid w:val="009C51BD"/>
    <w:rsid w:val="009C5276"/>
    <w:rsid w:val="009C527B"/>
    <w:rsid w:val="009C5281"/>
    <w:rsid w:val="009C528F"/>
    <w:rsid w:val="009C52E7"/>
    <w:rsid w:val="009C52FD"/>
    <w:rsid w:val="009C5300"/>
    <w:rsid w:val="009C5317"/>
    <w:rsid w:val="009C5342"/>
    <w:rsid w:val="009C5346"/>
    <w:rsid w:val="009C535E"/>
    <w:rsid w:val="009C537B"/>
    <w:rsid w:val="009C537F"/>
    <w:rsid w:val="009C53A9"/>
    <w:rsid w:val="009C53C3"/>
    <w:rsid w:val="009C540A"/>
    <w:rsid w:val="009C541F"/>
    <w:rsid w:val="009C542B"/>
    <w:rsid w:val="009C5432"/>
    <w:rsid w:val="009C5462"/>
    <w:rsid w:val="009C5502"/>
    <w:rsid w:val="009C550A"/>
    <w:rsid w:val="009C550E"/>
    <w:rsid w:val="009C553D"/>
    <w:rsid w:val="009C553E"/>
    <w:rsid w:val="009C5596"/>
    <w:rsid w:val="009C55A7"/>
    <w:rsid w:val="009C55B3"/>
    <w:rsid w:val="009C5603"/>
    <w:rsid w:val="009C5617"/>
    <w:rsid w:val="009C5625"/>
    <w:rsid w:val="009C5651"/>
    <w:rsid w:val="009C56B5"/>
    <w:rsid w:val="009C56BA"/>
    <w:rsid w:val="009C56C5"/>
    <w:rsid w:val="009C56DF"/>
    <w:rsid w:val="009C56FC"/>
    <w:rsid w:val="009C5757"/>
    <w:rsid w:val="009C5793"/>
    <w:rsid w:val="009C57CB"/>
    <w:rsid w:val="009C57DF"/>
    <w:rsid w:val="009C57EA"/>
    <w:rsid w:val="009C57F3"/>
    <w:rsid w:val="009C57FB"/>
    <w:rsid w:val="009C5863"/>
    <w:rsid w:val="009C5879"/>
    <w:rsid w:val="009C587A"/>
    <w:rsid w:val="009C58C9"/>
    <w:rsid w:val="009C58D4"/>
    <w:rsid w:val="009C5908"/>
    <w:rsid w:val="009C5913"/>
    <w:rsid w:val="009C5938"/>
    <w:rsid w:val="009C5963"/>
    <w:rsid w:val="009C59A5"/>
    <w:rsid w:val="009C59E7"/>
    <w:rsid w:val="009C5A11"/>
    <w:rsid w:val="009C5A98"/>
    <w:rsid w:val="009C5AD9"/>
    <w:rsid w:val="009C5B00"/>
    <w:rsid w:val="009C5BB4"/>
    <w:rsid w:val="009C5C4D"/>
    <w:rsid w:val="009C5C5C"/>
    <w:rsid w:val="009C5C63"/>
    <w:rsid w:val="009C5C81"/>
    <w:rsid w:val="009C5C9F"/>
    <w:rsid w:val="009C5CB9"/>
    <w:rsid w:val="009C5CD1"/>
    <w:rsid w:val="009C5D10"/>
    <w:rsid w:val="009C5D3C"/>
    <w:rsid w:val="009C5D85"/>
    <w:rsid w:val="009C5DD3"/>
    <w:rsid w:val="009C5DE5"/>
    <w:rsid w:val="009C5E0C"/>
    <w:rsid w:val="009C5E19"/>
    <w:rsid w:val="009C5E1C"/>
    <w:rsid w:val="009C5E40"/>
    <w:rsid w:val="009C5E46"/>
    <w:rsid w:val="009C5E95"/>
    <w:rsid w:val="009C5F5B"/>
    <w:rsid w:val="009C5F70"/>
    <w:rsid w:val="009C5F9B"/>
    <w:rsid w:val="009C5FA5"/>
    <w:rsid w:val="009C605B"/>
    <w:rsid w:val="009C6079"/>
    <w:rsid w:val="009C6089"/>
    <w:rsid w:val="009C60B4"/>
    <w:rsid w:val="009C60C5"/>
    <w:rsid w:val="009C60DC"/>
    <w:rsid w:val="009C60F2"/>
    <w:rsid w:val="009C6100"/>
    <w:rsid w:val="009C6125"/>
    <w:rsid w:val="009C613A"/>
    <w:rsid w:val="009C617A"/>
    <w:rsid w:val="009C618C"/>
    <w:rsid w:val="009C61AC"/>
    <w:rsid w:val="009C61DA"/>
    <w:rsid w:val="009C6214"/>
    <w:rsid w:val="009C621C"/>
    <w:rsid w:val="009C625E"/>
    <w:rsid w:val="009C629C"/>
    <w:rsid w:val="009C62E5"/>
    <w:rsid w:val="009C62F6"/>
    <w:rsid w:val="009C630A"/>
    <w:rsid w:val="009C635A"/>
    <w:rsid w:val="009C637C"/>
    <w:rsid w:val="009C6386"/>
    <w:rsid w:val="009C63F3"/>
    <w:rsid w:val="009C640D"/>
    <w:rsid w:val="009C6435"/>
    <w:rsid w:val="009C648E"/>
    <w:rsid w:val="009C6496"/>
    <w:rsid w:val="009C6499"/>
    <w:rsid w:val="009C64B7"/>
    <w:rsid w:val="009C64DF"/>
    <w:rsid w:val="009C6591"/>
    <w:rsid w:val="009C6623"/>
    <w:rsid w:val="009C662C"/>
    <w:rsid w:val="009C668F"/>
    <w:rsid w:val="009C6693"/>
    <w:rsid w:val="009C66AA"/>
    <w:rsid w:val="009C66CC"/>
    <w:rsid w:val="009C66E8"/>
    <w:rsid w:val="009C6726"/>
    <w:rsid w:val="009C674F"/>
    <w:rsid w:val="009C67A4"/>
    <w:rsid w:val="009C67C7"/>
    <w:rsid w:val="009C67CC"/>
    <w:rsid w:val="009C682E"/>
    <w:rsid w:val="009C683E"/>
    <w:rsid w:val="009C686A"/>
    <w:rsid w:val="009C687C"/>
    <w:rsid w:val="009C68A7"/>
    <w:rsid w:val="009C68CF"/>
    <w:rsid w:val="009C68F0"/>
    <w:rsid w:val="009C6915"/>
    <w:rsid w:val="009C6941"/>
    <w:rsid w:val="009C6942"/>
    <w:rsid w:val="009C6952"/>
    <w:rsid w:val="009C6956"/>
    <w:rsid w:val="009C6958"/>
    <w:rsid w:val="009C695D"/>
    <w:rsid w:val="009C696A"/>
    <w:rsid w:val="009C6998"/>
    <w:rsid w:val="009C69A7"/>
    <w:rsid w:val="009C69A9"/>
    <w:rsid w:val="009C6A0D"/>
    <w:rsid w:val="009C6A36"/>
    <w:rsid w:val="009C6A43"/>
    <w:rsid w:val="009C6A8E"/>
    <w:rsid w:val="009C6AEC"/>
    <w:rsid w:val="009C6AF6"/>
    <w:rsid w:val="009C6B17"/>
    <w:rsid w:val="009C6B4B"/>
    <w:rsid w:val="009C6B6B"/>
    <w:rsid w:val="009C6B90"/>
    <w:rsid w:val="009C6BE6"/>
    <w:rsid w:val="009C6BFC"/>
    <w:rsid w:val="009C6C0B"/>
    <w:rsid w:val="009C6C7F"/>
    <w:rsid w:val="009C6C89"/>
    <w:rsid w:val="009C6C94"/>
    <w:rsid w:val="009C6C9A"/>
    <w:rsid w:val="009C6CBE"/>
    <w:rsid w:val="009C6CCD"/>
    <w:rsid w:val="009C6D11"/>
    <w:rsid w:val="009C6D70"/>
    <w:rsid w:val="009C6D89"/>
    <w:rsid w:val="009C6DB6"/>
    <w:rsid w:val="009C6E3C"/>
    <w:rsid w:val="009C6EA5"/>
    <w:rsid w:val="009C6EAE"/>
    <w:rsid w:val="009C6EBC"/>
    <w:rsid w:val="009C6EE3"/>
    <w:rsid w:val="009C6F0E"/>
    <w:rsid w:val="009C6F67"/>
    <w:rsid w:val="009C6FA1"/>
    <w:rsid w:val="009C6FD1"/>
    <w:rsid w:val="009C6FDF"/>
    <w:rsid w:val="009C7030"/>
    <w:rsid w:val="009C7060"/>
    <w:rsid w:val="009C70C3"/>
    <w:rsid w:val="009C70DD"/>
    <w:rsid w:val="009C714A"/>
    <w:rsid w:val="009C7189"/>
    <w:rsid w:val="009C7218"/>
    <w:rsid w:val="009C7219"/>
    <w:rsid w:val="009C7226"/>
    <w:rsid w:val="009C722B"/>
    <w:rsid w:val="009C725E"/>
    <w:rsid w:val="009C7266"/>
    <w:rsid w:val="009C7292"/>
    <w:rsid w:val="009C7297"/>
    <w:rsid w:val="009C7310"/>
    <w:rsid w:val="009C7313"/>
    <w:rsid w:val="009C731A"/>
    <w:rsid w:val="009C7351"/>
    <w:rsid w:val="009C735D"/>
    <w:rsid w:val="009C7379"/>
    <w:rsid w:val="009C738C"/>
    <w:rsid w:val="009C742B"/>
    <w:rsid w:val="009C7446"/>
    <w:rsid w:val="009C7489"/>
    <w:rsid w:val="009C74A0"/>
    <w:rsid w:val="009C74B5"/>
    <w:rsid w:val="009C74D8"/>
    <w:rsid w:val="009C7513"/>
    <w:rsid w:val="009C752A"/>
    <w:rsid w:val="009C75A5"/>
    <w:rsid w:val="009C75B3"/>
    <w:rsid w:val="009C75C3"/>
    <w:rsid w:val="009C7622"/>
    <w:rsid w:val="009C7678"/>
    <w:rsid w:val="009C76D0"/>
    <w:rsid w:val="009C76DE"/>
    <w:rsid w:val="009C76E6"/>
    <w:rsid w:val="009C779A"/>
    <w:rsid w:val="009C77AF"/>
    <w:rsid w:val="009C77CD"/>
    <w:rsid w:val="009C77EF"/>
    <w:rsid w:val="009C781E"/>
    <w:rsid w:val="009C7850"/>
    <w:rsid w:val="009C7880"/>
    <w:rsid w:val="009C7929"/>
    <w:rsid w:val="009C7A10"/>
    <w:rsid w:val="009C7A4C"/>
    <w:rsid w:val="009C7A56"/>
    <w:rsid w:val="009C7A80"/>
    <w:rsid w:val="009C7A9E"/>
    <w:rsid w:val="009C7AAA"/>
    <w:rsid w:val="009C7AE8"/>
    <w:rsid w:val="009C7B23"/>
    <w:rsid w:val="009C7B54"/>
    <w:rsid w:val="009C7B6F"/>
    <w:rsid w:val="009C7BA6"/>
    <w:rsid w:val="009C7BFB"/>
    <w:rsid w:val="009C7C1C"/>
    <w:rsid w:val="009C7C37"/>
    <w:rsid w:val="009C7CE1"/>
    <w:rsid w:val="009C7CFC"/>
    <w:rsid w:val="009C7D16"/>
    <w:rsid w:val="009C7D93"/>
    <w:rsid w:val="009C7DAB"/>
    <w:rsid w:val="009C7DD1"/>
    <w:rsid w:val="009C7DE5"/>
    <w:rsid w:val="009C7E33"/>
    <w:rsid w:val="009C7E40"/>
    <w:rsid w:val="009C7E45"/>
    <w:rsid w:val="009C7E5B"/>
    <w:rsid w:val="009C7E7E"/>
    <w:rsid w:val="009C7E91"/>
    <w:rsid w:val="009C7EA2"/>
    <w:rsid w:val="009C7EDF"/>
    <w:rsid w:val="009C7F33"/>
    <w:rsid w:val="009C7F40"/>
    <w:rsid w:val="009C7F77"/>
    <w:rsid w:val="009C7FAD"/>
    <w:rsid w:val="009C7FB5"/>
    <w:rsid w:val="009D0070"/>
    <w:rsid w:val="009D0078"/>
    <w:rsid w:val="009D00D9"/>
    <w:rsid w:val="009D00E6"/>
    <w:rsid w:val="009D00E9"/>
    <w:rsid w:val="009D00F1"/>
    <w:rsid w:val="009D0112"/>
    <w:rsid w:val="009D0142"/>
    <w:rsid w:val="009D0167"/>
    <w:rsid w:val="009D0199"/>
    <w:rsid w:val="009D01BF"/>
    <w:rsid w:val="009D01E4"/>
    <w:rsid w:val="009D024D"/>
    <w:rsid w:val="009D0262"/>
    <w:rsid w:val="009D02C2"/>
    <w:rsid w:val="009D0304"/>
    <w:rsid w:val="009D0316"/>
    <w:rsid w:val="009D0329"/>
    <w:rsid w:val="009D034E"/>
    <w:rsid w:val="009D0359"/>
    <w:rsid w:val="009D035F"/>
    <w:rsid w:val="009D0365"/>
    <w:rsid w:val="009D036E"/>
    <w:rsid w:val="009D0389"/>
    <w:rsid w:val="009D03CD"/>
    <w:rsid w:val="009D03DC"/>
    <w:rsid w:val="009D03E9"/>
    <w:rsid w:val="009D03F6"/>
    <w:rsid w:val="009D0407"/>
    <w:rsid w:val="009D0430"/>
    <w:rsid w:val="009D0488"/>
    <w:rsid w:val="009D0496"/>
    <w:rsid w:val="009D04CC"/>
    <w:rsid w:val="009D04D2"/>
    <w:rsid w:val="009D04DC"/>
    <w:rsid w:val="009D04E0"/>
    <w:rsid w:val="009D05EA"/>
    <w:rsid w:val="009D05EF"/>
    <w:rsid w:val="009D05F4"/>
    <w:rsid w:val="009D0677"/>
    <w:rsid w:val="009D0683"/>
    <w:rsid w:val="009D06DC"/>
    <w:rsid w:val="009D0761"/>
    <w:rsid w:val="009D076A"/>
    <w:rsid w:val="009D076E"/>
    <w:rsid w:val="009D079A"/>
    <w:rsid w:val="009D07A0"/>
    <w:rsid w:val="009D07B3"/>
    <w:rsid w:val="009D07C4"/>
    <w:rsid w:val="009D07EA"/>
    <w:rsid w:val="009D0813"/>
    <w:rsid w:val="009D083D"/>
    <w:rsid w:val="009D087E"/>
    <w:rsid w:val="009D0881"/>
    <w:rsid w:val="009D089D"/>
    <w:rsid w:val="009D08B2"/>
    <w:rsid w:val="009D08F6"/>
    <w:rsid w:val="009D092A"/>
    <w:rsid w:val="009D0949"/>
    <w:rsid w:val="009D0974"/>
    <w:rsid w:val="009D0995"/>
    <w:rsid w:val="009D099A"/>
    <w:rsid w:val="009D0A1F"/>
    <w:rsid w:val="009D0A70"/>
    <w:rsid w:val="009D0ADE"/>
    <w:rsid w:val="009D0AEC"/>
    <w:rsid w:val="009D0B20"/>
    <w:rsid w:val="009D0B52"/>
    <w:rsid w:val="009D0B68"/>
    <w:rsid w:val="009D0B6A"/>
    <w:rsid w:val="009D0B89"/>
    <w:rsid w:val="009D0B9E"/>
    <w:rsid w:val="009D0C41"/>
    <w:rsid w:val="009D0C82"/>
    <w:rsid w:val="009D0CF0"/>
    <w:rsid w:val="009D0D38"/>
    <w:rsid w:val="009D0D84"/>
    <w:rsid w:val="009D0DE6"/>
    <w:rsid w:val="009D0E22"/>
    <w:rsid w:val="009D0E5A"/>
    <w:rsid w:val="009D0E6B"/>
    <w:rsid w:val="009D0E7D"/>
    <w:rsid w:val="009D0E8A"/>
    <w:rsid w:val="009D0EB6"/>
    <w:rsid w:val="009D0ED7"/>
    <w:rsid w:val="009D0EED"/>
    <w:rsid w:val="009D0EF5"/>
    <w:rsid w:val="009D0EFD"/>
    <w:rsid w:val="009D0F21"/>
    <w:rsid w:val="009D0F27"/>
    <w:rsid w:val="009D0F39"/>
    <w:rsid w:val="009D0F3F"/>
    <w:rsid w:val="009D0F6D"/>
    <w:rsid w:val="009D0F79"/>
    <w:rsid w:val="009D0F7F"/>
    <w:rsid w:val="009D0F9D"/>
    <w:rsid w:val="009D0FEA"/>
    <w:rsid w:val="009D100C"/>
    <w:rsid w:val="009D1015"/>
    <w:rsid w:val="009D104D"/>
    <w:rsid w:val="009D10A4"/>
    <w:rsid w:val="009D10EF"/>
    <w:rsid w:val="009D10FE"/>
    <w:rsid w:val="009D113B"/>
    <w:rsid w:val="009D119E"/>
    <w:rsid w:val="009D11AF"/>
    <w:rsid w:val="009D11CC"/>
    <w:rsid w:val="009D1204"/>
    <w:rsid w:val="009D121D"/>
    <w:rsid w:val="009D124A"/>
    <w:rsid w:val="009D124F"/>
    <w:rsid w:val="009D1264"/>
    <w:rsid w:val="009D127B"/>
    <w:rsid w:val="009D130E"/>
    <w:rsid w:val="009D144E"/>
    <w:rsid w:val="009D145C"/>
    <w:rsid w:val="009D1464"/>
    <w:rsid w:val="009D146B"/>
    <w:rsid w:val="009D1498"/>
    <w:rsid w:val="009D14BF"/>
    <w:rsid w:val="009D1501"/>
    <w:rsid w:val="009D151E"/>
    <w:rsid w:val="009D152D"/>
    <w:rsid w:val="009D1537"/>
    <w:rsid w:val="009D154E"/>
    <w:rsid w:val="009D155C"/>
    <w:rsid w:val="009D156F"/>
    <w:rsid w:val="009D1589"/>
    <w:rsid w:val="009D1599"/>
    <w:rsid w:val="009D15B9"/>
    <w:rsid w:val="009D1625"/>
    <w:rsid w:val="009D1644"/>
    <w:rsid w:val="009D16A2"/>
    <w:rsid w:val="009D1704"/>
    <w:rsid w:val="009D1741"/>
    <w:rsid w:val="009D174F"/>
    <w:rsid w:val="009D1778"/>
    <w:rsid w:val="009D17A5"/>
    <w:rsid w:val="009D17BB"/>
    <w:rsid w:val="009D17D0"/>
    <w:rsid w:val="009D17ED"/>
    <w:rsid w:val="009D1826"/>
    <w:rsid w:val="009D185D"/>
    <w:rsid w:val="009D185E"/>
    <w:rsid w:val="009D186A"/>
    <w:rsid w:val="009D1911"/>
    <w:rsid w:val="009D191D"/>
    <w:rsid w:val="009D1942"/>
    <w:rsid w:val="009D194E"/>
    <w:rsid w:val="009D196F"/>
    <w:rsid w:val="009D19F0"/>
    <w:rsid w:val="009D1A13"/>
    <w:rsid w:val="009D1A23"/>
    <w:rsid w:val="009D1A60"/>
    <w:rsid w:val="009D1ABC"/>
    <w:rsid w:val="009D1AE8"/>
    <w:rsid w:val="009D1B87"/>
    <w:rsid w:val="009D1BB1"/>
    <w:rsid w:val="009D1BCF"/>
    <w:rsid w:val="009D1BD4"/>
    <w:rsid w:val="009D1C26"/>
    <w:rsid w:val="009D1C33"/>
    <w:rsid w:val="009D1C4C"/>
    <w:rsid w:val="009D1C7B"/>
    <w:rsid w:val="009D1C85"/>
    <w:rsid w:val="009D1CA9"/>
    <w:rsid w:val="009D1CC6"/>
    <w:rsid w:val="009D1CE7"/>
    <w:rsid w:val="009D1D01"/>
    <w:rsid w:val="009D1D12"/>
    <w:rsid w:val="009D1D37"/>
    <w:rsid w:val="009D1D44"/>
    <w:rsid w:val="009D1E22"/>
    <w:rsid w:val="009D1E26"/>
    <w:rsid w:val="009D1E87"/>
    <w:rsid w:val="009D1EC1"/>
    <w:rsid w:val="009D1ECF"/>
    <w:rsid w:val="009D1ED7"/>
    <w:rsid w:val="009D1EEF"/>
    <w:rsid w:val="009D1EFB"/>
    <w:rsid w:val="009D1F08"/>
    <w:rsid w:val="009D1F12"/>
    <w:rsid w:val="009D1F2E"/>
    <w:rsid w:val="009D1F33"/>
    <w:rsid w:val="009D1F41"/>
    <w:rsid w:val="009D1F5A"/>
    <w:rsid w:val="009D1F5B"/>
    <w:rsid w:val="009D1F79"/>
    <w:rsid w:val="009D1F8B"/>
    <w:rsid w:val="009D1FE6"/>
    <w:rsid w:val="009D1FF1"/>
    <w:rsid w:val="009D1FFC"/>
    <w:rsid w:val="009D2028"/>
    <w:rsid w:val="009D2048"/>
    <w:rsid w:val="009D2058"/>
    <w:rsid w:val="009D2062"/>
    <w:rsid w:val="009D2079"/>
    <w:rsid w:val="009D208D"/>
    <w:rsid w:val="009D20D8"/>
    <w:rsid w:val="009D20E5"/>
    <w:rsid w:val="009D20F5"/>
    <w:rsid w:val="009D2106"/>
    <w:rsid w:val="009D211A"/>
    <w:rsid w:val="009D2152"/>
    <w:rsid w:val="009D2178"/>
    <w:rsid w:val="009D21E7"/>
    <w:rsid w:val="009D2218"/>
    <w:rsid w:val="009D2219"/>
    <w:rsid w:val="009D2267"/>
    <w:rsid w:val="009D227B"/>
    <w:rsid w:val="009D2285"/>
    <w:rsid w:val="009D236E"/>
    <w:rsid w:val="009D2380"/>
    <w:rsid w:val="009D2396"/>
    <w:rsid w:val="009D23BB"/>
    <w:rsid w:val="009D23C9"/>
    <w:rsid w:val="009D23F3"/>
    <w:rsid w:val="009D2504"/>
    <w:rsid w:val="009D255C"/>
    <w:rsid w:val="009D255F"/>
    <w:rsid w:val="009D256E"/>
    <w:rsid w:val="009D2581"/>
    <w:rsid w:val="009D259B"/>
    <w:rsid w:val="009D259F"/>
    <w:rsid w:val="009D261C"/>
    <w:rsid w:val="009D2622"/>
    <w:rsid w:val="009D2660"/>
    <w:rsid w:val="009D2665"/>
    <w:rsid w:val="009D267D"/>
    <w:rsid w:val="009D2715"/>
    <w:rsid w:val="009D27CC"/>
    <w:rsid w:val="009D27DB"/>
    <w:rsid w:val="009D27E2"/>
    <w:rsid w:val="009D284F"/>
    <w:rsid w:val="009D286F"/>
    <w:rsid w:val="009D2887"/>
    <w:rsid w:val="009D288C"/>
    <w:rsid w:val="009D2896"/>
    <w:rsid w:val="009D28AF"/>
    <w:rsid w:val="009D2946"/>
    <w:rsid w:val="009D2951"/>
    <w:rsid w:val="009D298E"/>
    <w:rsid w:val="009D29DB"/>
    <w:rsid w:val="009D29F2"/>
    <w:rsid w:val="009D2A24"/>
    <w:rsid w:val="009D2A3F"/>
    <w:rsid w:val="009D2A43"/>
    <w:rsid w:val="009D2A98"/>
    <w:rsid w:val="009D2A9D"/>
    <w:rsid w:val="009D2A9E"/>
    <w:rsid w:val="009D2AA1"/>
    <w:rsid w:val="009D2ACF"/>
    <w:rsid w:val="009D2AED"/>
    <w:rsid w:val="009D2B38"/>
    <w:rsid w:val="009D2B7A"/>
    <w:rsid w:val="009D2C09"/>
    <w:rsid w:val="009D2C76"/>
    <w:rsid w:val="009D2CE0"/>
    <w:rsid w:val="009D2D0B"/>
    <w:rsid w:val="009D2D0F"/>
    <w:rsid w:val="009D2D4F"/>
    <w:rsid w:val="009D2D8F"/>
    <w:rsid w:val="009D2DB3"/>
    <w:rsid w:val="009D2DED"/>
    <w:rsid w:val="009D2E28"/>
    <w:rsid w:val="009D2EA3"/>
    <w:rsid w:val="009D2EB3"/>
    <w:rsid w:val="009D2EFD"/>
    <w:rsid w:val="009D2F32"/>
    <w:rsid w:val="009D2F38"/>
    <w:rsid w:val="009D2F9B"/>
    <w:rsid w:val="009D2FC4"/>
    <w:rsid w:val="009D2FD9"/>
    <w:rsid w:val="009D2FE0"/>
    <w:rsid w:val="009D2FEC"/>
    <w:rsid w:val="009D2FF4"/>
    <w:rsid w:val="009D300F"/>
    <w:rsid w:val="009D3017"/>
    <w:rsid w:val="009D3031"/>
    <w:rsid w:val="009D303E"/>
    <w:rsid w:val="009D30D3"/>
    <w:rsid w:val="009D3121"/>
    <w:rsid w:val="009D313B"/>
    <w:rsid w:val="009D3171"/>
    <w:rsid w:val="009D3187"/>
    <w:rsid w:val="009D318B"/>
    <w:rsid w:val="009D3191"/>
    <w:rsid w:val="009D31AB"/>
    <w:rsid w:val="009D31AC"/>
    <w:rsid w:val="009D31C0"/>
    <w:rsid w:val="009D3226"/>
    <w:rsid w:val="009D3269"/>
    <w:rsid w:val="009D3302"/>
    <w:rsid w:val="009D3330"/>
    <w:rsid w:val="009D3362"/>
    <w:rsid w:val="009D336B"/>
    <w:rsid w:val="009D3372"/>
    <w:rsid w:val="009D33D0"/>
    <w:rsid w:val="009D33E7"/>
    <w:rsid w:val="009D33F2"/>
    <w:rsid w:val="009D33F7"/>
    <w:rsid w:val="009D33FB"/>
    <w:rsid w:val="009D3403"/>
    <w:rsid w:val="009D3405"/>
    <w:rsid w:val="009D341F"/>
    <w:rsid w:val="009D3445"/>
    <w:rsid w:val="009D3467"/>
    <w:rsid w:val="009D349F"/>
    <w:rsid w:val="009D34C9"/>
    <w:rsid w:val="009D34F1"/>
    <w:rsid w:val="009D3509"/>
    <w:rsid w:val="009D3529"/>
    <w:rsid w:val="009D3574"/>
    <w:rsid w:val="009D357C"/>
    <w:rsid w:val="009D35CB"/>
    <w:rsid w:val="009D35D8"/>
    <w:rsid w:val="009D35E8"/>
    <w:rsid w:val="009D35F0"/>
    <w:rsid w:val="009D35F3"/>
    <w:rsid w:val="009D3654"/>
    <w:rsid w:val="009D3677"/>
    <w:rsid w:val="009D36E9"/>
    <w:rsid w:val="009D36FE"/>
    <w:rsid w:val="009D3716"/>
    <w:rsid w:val="009D375A"/>
    <w:rsid w:val="009D3791"/>
    <w:rsid w:val="009D379E"/>
    <w:rsid w:val="009D37AD"/>
    <w:rsid w:val="009D3806"/>
    <w:rsid w:val="009D3815"/>
    <w:rsid w:val="009D3819"/>
    <w:rsid w:val="009D381F"/>
    <w:rsid w:val="009D3830"/>
    <w:rsid w:val="009D384A"/>
    <w:rsid w:val="009D388E"/>
    <w:rsid w:val="009D38EB"/>
    <w:rsid w:val="009D38F9"/>
    <w:rsid w:val="009D3958"/>
    <w:rsid w:val="009D3992"/>
    <w:rsid w:val="009D3996"/>
    <w:rsid w:val="009D399B"/>
    <w:rsid w:val="009D39A6"/>
    <w:rsid w:val="009D39AF"/>
    <w:rsid w:val="009D39D7"/>
    <w:rsid w:val="009D39DB"/>
    <w:rsid w:val="009D3A13"/>
    <w:rsid w:val="009D3A3B"/>
    <w:rsid w:val="009D3AB6"/>
    <w:rsid w:val="009D3AD7"/>
    <w:rsid w:val="009D3AD8"/>
    <w:rsid w:val="009D3B06"/>
    <w:rsid w:val="009D3B59"/>
    <w:rsid w:val="009D3B6E"/>
    <w:rsid w:val="009D3B70"/>
    <w:rsid w:val="009D3BA2"/>
    <w:rsid w:val="009D3BA5"/>
    <w:rsid w:val="009D3C01"/>
    <w:rsid w:val="009D3C4E"/>
    <w:rsid w:val="009D3C67"/>
    <w:rsid w:val="009D3C8A"/>
    <w:rsid w:val="009D3CCE"/>
    <w:rsid w:val="009D3D15"/>
    <w:rsid w:val="009D3D31"/>
    <w:rsid w:val="009D3D6A"/>
    <w:rsid w:val="009D3DB7"/>
    <w:rsid w:val="009D3DBF"/>
    <w:rsid w:val="009D3DC9"/>
    <w:rsid w:val="009D3DD3"/>
    <w:rsid w:val="009D3DFF"/>
    <w:rsid w:val="009D3E02"/>
    <w:rsid w:val="009D3E03"/>
    <w:rsid w:val="009D3E15"/>
    <w:rsid w:val="009D3E56"/>
    <w:rsid w:val="009D3E62"/>
    <w:rsid w:val="009D3E8B"/>
    <w:rsid w:val="009D3EA5"/>
    <w:rsid w:val="009D3EE0"/>
    <w:rsid w:val="009D3F4E"/>
    <w:rsid w:val="009D3F52"/>
    <w:rsid w:val="009D3F77"/>
    <w:rsid w:val="009D3F96"/>
    <w:rsid w:val="009D3FD9"/>
    <w:rsid w:val="009D3FE4"/>
    <w:rsid w:val="009D3FEC"/>
    <w:rsid w:val="009D4007"/>
    <w:rsid w:val="009D4015"/>
    <w:rsid w:val="009D4027"/>
    <w:rsid w:val="009D4064"/>
    <w:rsid w:val="009D407A"/>
    <w:rsid w:val="009D407C"/>
    <w:rsid w:val="009D40A3"/>
    <w:rsid w:val="009D40B8"/>
    <w:rsid w:val="009D410F"/>
    <w:rsid w:val="009D4116"/>
    <w:rsid w:val="009D4158"/>
    <w:rsid w:val="009D41ED"/>
    <w:rsid w:val="009D424B"/>
    <w:rsid w:val="009D427A"/>
    <w:rsid w:val="009D4286"/>
    <w:rsid w:val="009D42E5"/>
    <w:rsid w:val="009D431A"/>
    <w:rsid w:val="009D4338"/>
    <w:rsid w:val="009D4454"/>
    <w:rsid w:val="009D4460"/>
    <w:rsid w:val="009D4478"/>
    <w:rsid w:val="009D4484"/>
    <w:rsid w:val="009D44A0"/>
    <w:rsid w:val="009D44A9"/>
    <w:rsid w:val="009D44E6"/>
    <w:rsid w:val="009D452A"/>
    <w:rsid w:val="009D4535"/>
    <w:rsid w:val="009D4550"/>
    <w:rsid w:val="009D4558"/>
    <w:rsid w:val="009D45A5"/>
    <w:rsid w:val="009D45E1"/>
    <w:rsid w:val="009D4606"/>
    <w:rsid w:val="009D461A"/>
    <w:rsid w:val="009D46B7"/>
    <w:rsid w:val="009D46F3"/>
    <w:rsid w:val="009D46FB"/>
    <w:rsid w:val="009D4703"/>
    <w:rsid w:val="009D4721"/>
    <w:rsid w:val="009D4761"/>
    <w:rsid w:val="009D4771"/>
    <w:rsid w:val="009D4776"/>
    <w:rsid w:val="009D47B1"/>
    <w:rsid w:val="009D47EE"/>
    <w:rsid w:val="009D4803"/>
    <w:rsid w:val="009D4849"/>
    <w:rsid w:val="009D4973"/>
    <w:rsid w:val="009D4984"/>
    <w:rsid w:val="009D49A7"/>
    <w:rsid w:val="009D49AA"/>
    <w:rsid w:val="009D49B9"/>
    <w:rsid w:val="009D49BD"/>
    <w:rsid w:val="009D49CF"/>
    <w:rsid w:val="009D49E2"/>
    <w:rsid w:val="009D49E5"/>
    <w:rsid w:val="009D4A17"/>
    <w:rsid w:val="009D4A1C"/>
    <w:rsid w:val="009D4A35"/>
    <w:rsid w:val="009D4A96"/>
    <w:rsid w:val="009D4B23"/>
    <w:rsid w:val="009D4B50"/>
    <w:rsid w:val="009D4B99"/>
    <w:rsid w:val="009D4BAD"/>
    <w:rsid w:val="009D4BDB"/>
    <w:rsid w:val="009D4BF0"/>
    <w:rsid w:val="009D4C4E"/>
    <w:rsid w:val="009D4C92"/>
    <w:rsid w:val="009D4CDB"/>
    <w:rsid w:val="009D4CEC"/>
    <w:rsid w:val="009D4D07"/>
    <w:rsid w:val="009D4D54"/>
    <w:rsid w:val="009D4D8E"/>
    <w:rsid w:val="009D4D94"/>
    <w:rsid w:val="009D4DB8"/>
    <w:rsid w:val="009D4DC7"/>
    <w:rsid w:val="009D4E6D"/>
    <w:rsid w:val="009D4EB8"/>
    <w:rsid w:val="009D4EC4"/>
    <w:rsid w:val="009D4EE2"/>
    <w:rsid w:val="009D4F07"/>
    <w:rsid w:val="009D4F08"/>
    <w:rsid w:val="009D4F10"/>
    <w:rsid w:val="009D4F34"/>
    <w:rsid w:val="009D4F3C"/>
    <w:rsid w:val="009D4F42"/>
    <w:rsid w:val="009D4F4E"/>
    <w:rsid w:val="009D4F5E"/>
    <w:rsid w:val="009D4F8B"/>
    <w:rsid w:val="009D4FA1"/>
    <w:rsid w:val="009D5014"/>
    <w:rsid w:val="009D501E"/>
    <w:rsid w:val="009D503B"/>
    <w:rsid w:val="009D5056"/>
    <w:rsid w:val="009D50C5"/>
    <w:rsid w:val="009D50D5"/>
    <w:rsid w:val="009D50DC"/>
    <w:rsid w:val="009D50EC"/>
    <w:rsid w:val="009D5122"/>
    <w:rsid w:val="009D5158"/>
    <w:rsid w:val="009D528A"/>
    <w:rsid w:val="009D52A8"/>
    <w:rsid w:val="009D52C0"/>
    <w:rsid w:val="009D52D7"/>
    <w:rsid w:val="009D52F1"/>
    <w:rsid w:val="009D5310"/>
    <w:rsid w:val="009D531B"/>
    <w:rsid w:val="009D5320"/>
    <w:rsid w:val="009D5348"/>
    <w:rsid w:val="009D5371"/>
    <w:rsid w:val="009D53E5"/>
    <w:rsid w:val="009D5410"/>
    <w:rsid w:val="009D5486"/>
    <w:rsid w:val="009D54AB"/>
    <w:rsid w:val="009D54B4"/>
    <w:rsid w:val="009D54C1"/>
    <w:rsid w:val="009D5503"/>
    <w:rsid w:val="009D5510"/>
    <w:rsid w:val="009D5528"/>
    <w:rsid w:val="009D5545"/>
    <w:rsid w:val="009D5571"/>
    <w:rsid w:val="009D5577"/>
    <w:rsid w:val="009D55BE"/>
    <w:rsid w:val="009D55CC"/>
    <w:rsid w:val="009D55D7"/>
    <w:rsid w:val="009D55FA"/>
    <w:rsid w:val="009D5650"/>
    <w:rsid w:val="009D5655"/>
    <w:rsid w:val="009D5656"/>
    <w:rsid w:val="009D56C4"/>
    <w:rsid w:val="009D56C6"/>
    <w:rsid w:val="009D56FE"/>
    <w:rsid w:val="009D571C"/>
    <w:rsid w:val="009D5785"/>
    <w:rsid w:val="009D57C3"/>
    <w:rsid w:val="009D580B"/>
    <w:rsid w:val="009D5819"/>
    <w:rsid w:val="009D582C"/>
    <w:rsid w:val="009D5871"/>
    <w:rsid w:val="009D5893"/>
    <w:rsid w:val="009D58A2"/>
    <w:rsid w:val="009D58AE"/>
    <w:rsid w:val="009D58CA"/>
    <w:rsid w:val="009D58E9"/>
    <w:rsid w:val="009D59D7"/>
    <w:rsid w:val="009D5A09"/>
    <w:rsid w:val="009D5A2A"/>
    <w:rsid w:val="009D5A34"/>
    <w:rsid w:val="009D5A52"/>
    <w:rsid w:val="009D5A53"/>
    <w:rsid w:val="009D5A64"/>
    <w:rsid w:val="009D5AAA"/>
    <w:rsid w:val="009D5AAD"/>
    <w:rsid w:val="009D5AD9"/>
    <w:rsid w:val="009D5AFD"/>
    <w:rsid w:val="009D5B19"/>
    <w:rsid w:val="009D5B2B"/>
    <w:rsid w:val="009D5B2F"/>
    <w:rsid w:val="009D5B54"/>
    <w:rsid w:val="009D5B8E"/>
    <w:rsid w:val="009D5BDC"/>
    <w:rsid w:val="009D5C2C"/>
    <w:rsid w:val="009D5C64"/>
    <w:rsid w:val="009D5D39"/>
    <w:rsid w:val="009D5D93"/>
    <w:rsid w:val="009D5DA0"/>
    <w:rsid w:val="009D5DF7"/>
    <w:rsid w:val="009D5E1C"/>
    <w:rsid w:val="009D5E22"/>
    <w:rsid w:val="009D5E36"/>
    <w:rsid w:val="009D5E84"/>
    <w:rsid w:val="009D5E9B"/>
    <w:rsid w:val="009D5EAD"/>
    <w:rsid w:val="009D5EB6"/>
    <w:rsid w:val="009D5EC6"/>
    <w:rsid w:val="009D5EEB"/>
    <w:rsid w:val="009D5F22"/>
    <w:rsid w:val="009D5F40"/>
    <w:rsid w:val="009D5F60"/>
    <w:rsid w:val="009D5F8F"/>
    <w:rsid w:val="009D5F97"/>
    <w:rsid w:val="009D5F98"/>
    <w:rsid w:val="009D5FC0"/>
    <w:rsid w:val="009D5FE1"/>
    <w:rsid w:val="009D5FE6"/>
    <w:rsid w:val="009D6021"/>
    <w:rsid w:val="009D6063"/>
    <w:rsid w:val="009D609D"/>
    <w:rsid w:val="009D60D6"/>
    <w:rsid w:val="009D610D"/>
    <w:rsid w:val="009D612F"/>
    <w:rsid w:val="009D6199"/>
    <w:rsid w:val="009D61A1"/>
    <w:rsid w:val="009D61ED"/>
    <w:rsid w:val="009D625D"/>
    <w:rsid w:val="009D629E"/>
    <w:rsid w:val="009D62C3"/>
    <w:rsid w:val="009D62C9"/>
    <w:rsid w:val="009D6340"/>
    <w:rsid w:val="009D63B2"/>
    <w:rsid w:val="009D63C0"/>
    <w:rsid w:val="009D63E7"/>
    <w:rsid w:val="009D643C"/>
    <w:rsid w:val="009D644B"/>
    <w:rsid w:val="009D648C"/>
    <w:rsid w:val="009D64AD"/>
    <w:rsid w:val="009D64BB"/>
    <w:rsid w:val="009D64C3"/>
    <w:rsid w:val="009D651D"/>
    <w:rsid w:val="009D6538"/>
    <w:rsid w:val="009D6575"/>
    <w:rsid w:val="009D657E"/>
    <w:rsid w:val="009D65F1"/>
    <w:rsid w:val="009D6603"/>
    <w:rsid w:val="009D6629"/>
    <w:rsid w:val="009D6684"/>
    <w:rsid w:val="009D6687"/>
    <w:rsid w:val="009D66C3"/>
    <w:rsid w:val="009D66DA"/>
    <w:rsid w:val="009D66F2"/>
    <w:rsid w:val="009D66FB"/>
    <w:rsid w:val="009D673F"/>
    <w:rsid w:val="009D6746"/>
    <w:rsid w:val="009D6758"/>
    <w:rsid w:val="009D6780"/>
    <w:rsid w:val="009D6789"/>
    <w:rsid w:val="009D678B"/>
    <w:rsid w:val="009D67C2"/>
    <w:rsid w:val="009D67D8"/>
    <w:rsid w:val="009D67E0"/>
    <w:rsid w:val="009D6847"/>
    <w:rsid w:val="009D6853"/>
    <w:rsid w:val="009D686C"/>
    <w:rsid w:val="009D68CC"/>
    <w:rsid w:val="009D68D2"/>
    <w:rsid w:val="009D6925"/>
    <w:rsid w:val="009D6945"/>
    <w:rsid w:val="009D6979"/>
    <w:rsid w:val="009D69D5"/>
    <w:rsid w:val="009D6A26"/>
    <w:rsid w:val="009D6AE7"/>
    <w:rsid w:val="009D6AEB"/>
    <w:rsid w:val="009D6AF1"/>
    <w:rsid w:val="009D6AFA"/>
    <w:rsid w:val="009D6B13"/>
    <w:rsid w:val="009D6B88"/>
    <w:rsid w:val="009D6B98"/>
    <w:rsid w:val="009D6BBF"/>
    <w:rsid w:val="009D6BCA"/>
    <w:rsid w:val="009D6C1C"/>
    <w:rsid w:val="009D6C2F"/>
    <w:rsid w:val="009D6C31"/>
    <w:rsid w:val="009D6C42"/>
    <w:rsid w:val="009D6C9D"/>
    <w:rsid w:val="009D6CA3"/>
    <w:rsid w:val="009D6CEA"/>
    <w:rsid w:val="009D6D0F"/>
    <w:rsid w:val="009D6D5B"/>
    <w:rsid w:val="009D6D9E"/>
    <w:rsid w:val="009D6DAF"/>
    <w:rsid w:val="009D6DCC"/>
    <w:rsid w:val="009D6DF6"/>
    <w:rsid w:val="009D6E01"/>
    <w:rsid w:val="009D6E3D"/>
    <w:rsid w:val="009D6E66"/>
    <w:rsid w:val="009D6E6C"/>
    <w:rsid w:val="009D6E9D"/>
    <w:rsid w:val="009D6EB7"/>
    <w:rsid w:val="009D6EF3"/>
    <w:rsid w:val="009D6EF5"/>
    <w:rsid w:val="009D6F2B"/>
    <w:rsid w:val="009D6F40"/>
    <w:rsid w:val="009D6F6E"/>
    <w:rsid w:val="009D6F91"/>
    <w:rsid w:val="009D6FAB"/>
    <w:rsid w:val="009D7019"/>
    <w:rsid w:val="009D705B"/>
    <w:rsid w:val="009D708F"/>
    <w:rsid w:val="009D70A3"/>
    <w:rsid w:val="009D70AC"/>
    <w:rsid w:val="009D70CE"/>
    <w:rsid w:val="009D7115"/>
    <w:rsid w:val="009D711E"/>
    <w:rsid w:val="009D714A"/>
    <w:rsid w:val="009D715C"/>
    <w:rsid w:val="009D7168"/>
    <w:rsid w:val="009D717B"/>
    <w:rsid w:val="009D718E"/>
    <w:rsid w:val="009D7191"/>
    <w:rsid w:val="009D7198"/>
    <w:rsid w:val="009D71E8"/>
    <w:rsid w:val="009D7212"/>
    <w:rsid w:val="009D7214"/>
    <w:rsid w:val="009D7224"/>
    <w:rsid w:val="009D7238"/>
    <w:rsid w:val="009D7242"/>
    <w:rsid w:val="009D7277"/>
    <w:rsid w:val="009D7282"/>
    <w:rsid w:val="009D7316"/>
    <w:rsid w:val="009D732F"/>
    <w:rsid w:val="009D736E"/>
    <w:rsid w:val="009D7376"/>
    <w:rsid w:val="009D7384"/>
    <w:rsid w:val="009D7389"/>
    <w:rsid w:val="009D738C"/>
    <w:rsid w:val="009D73B4"/>
    <w:rsid w:val="009D73D3"/>
    <w:rsid w:val="009D741E"/>
    <w:rsid w:val="009D742C"/>
    <w:rsid w:val="009D7466"/>
    <w:rsid w:val="009D7482"/>
    <w:rsid w:val="009D7494"/>
    <w:rsid w:val="009D74F0"/>
    <w:rsid w:val="009D74F3"/>
    <w:rsid w:val="009D7504"/>
    <w:rsid w:val="009D7546"/>
    <w:rsid w:val="009D755B"/>
    <w:rsid w:val="009D7578"/>
    <w:rsid w:val="009D7586"/>
    <w:rsid w:val="009D7587"/>
    <w:rsid w:val="009D759B"/>
    <w:rsid w:val="009D75AD"/>
    <w:rsid w:val="009D75AE"/>
    <w:rsid w:val="009D75D7"/>
    <w:rsid w:val="009D75DC"/>
    <w:rsid w:val="009D75E0"/>
    <w:rsid w:val="009D7608"/>
    <w:rsid w:val="009D7620"/>
    <w:rsid w:val="009D7639"/>
    <w:rsid w:val="009D764E"/>
    <w:rsid w:val="009D7652"/>
    <w:rsid w:val="009D769B"/>
    <w:rsid w:val="009D76CC"/>
    <w:rsid w:val="009D7704"/>
    <w:rsid w:val="009D7754"/>
    <w:rsid w:val="009D77DD"/>
    <w:rsid w:val="009D77E9"/>
    <w:rsid w:val="009D7851"/>
    <w:rsid w:val="009D7878"/>
    <w:rsid w:val="009D7892"/>
    <w:rsid w:val="009D78CD"/>
    <w:rsid w:val="009D78DC"/>
    <w:rsid w:val="009D78E4"/>
    <w:rsid w:val="009D78EF"/>
    <w:rsid w:val="009D7901"/>
    <w:rsid w:val="009D7907"/>
    <w:rsid w:val="009D7912"/>
    <w:rsid w:val="009D795C"/>
    <w:rsid w:val="009D79AE"/>
    <w:rsid w:val="009D7A37"/>
    <w:rsid w:val="009D7A52"/>
    <w:rsid w:val="009D7AA5"/>
    <w:rsid w:val="009D7AF9"/>
    <w:rsid w:val="009D7B64"/>
    <w:rsid w:val="009D7B9E"/>
    <w:rsid w:val="009D7BE3"/>
    <w:rsid w:val="009D7BE7"/>
    <w:rsid w:val="009D7C32"/>
    <w:rsid w:val="009D7C5A"/>
    <w:rsid w:val="009D7C5C"/>
    <w:rsid w:val="009D7C78"/>
    <w:rsid w:val="009D7C7F"/>
    <w:rsid w:val="009D7C9D"/>
    <w:rsid w:val="009D7CF0"/>
    <w:rsid w:val="009D7D31"/>
    <w:rsid w:val="009D7D7D"/>
    <w:rsid w:val="009D7D91"/>
    <w:rsid w:val="009D7DA2"/>
    <w:rsid w:val="009D7DBF"/>
    <w:rsid w:val="009D7DC7"/>
    <w:rsid w:val="009D7E67"/>
    <w:rsid w:val="009D7EA9"/>
    <w:rsid w:val="009D7EB6"/>
    <w:rsid w:val="009D7EE4"/>
    <w:rsid w:val="009D7F03"/>
    <w:rsid w:val="009D7FB9"/>
    <w:rsid w:val="009D7FCC"/>
    <w:rsid w:val="009E0012"/>
    <w:rsid w:val="009E003A"/>
    <w:rsid w:val="009E003E"/>
    <w:rsid w:val="009E0060"/>
    <w:rsid w:val="009E0065"/>
    <w:rsid w:val="009E00A2"/>
    <w:rsid w:val="009E00AB"/>
    <w:rsid w:val="009E00BA"/>
    <w:rsid w:val="009E00C6"/>
    <w:rsid w:val="009E00D4"/>
    <w:rsid w:val="009E0110"/>
    <w:rsid w:val="009E0149"/>
    <w:rsid w:val="009E017C"/>
    <w:rsid w:val="009E01BE"/>
    <w:rsid w:val="009E01D1"/>
    <w:rsid w:val="009E01F2"/>
    <w:rsid w:val="009E0224"/>
    <w:rsid w:val="009E02B3"/>
    <w:rsid w:val="009E02B8"/>
    <w:rsid w:val="009E02D1"/>
    <w:rsid w:val="009E02F2"/>
    <w:rsid w:val="009E0366"/>
    <w:rsid w:val="009E03BE"/>
    <w:rsid w:val="009E03C2"/>
    <w:rsid w:val="009E0402"/>
    <w:rsid w:val="009E0437"/>
    <w:rsid w:val="009E0444"/>
    <w:rsid w:val="009E047E"/>
    <w:rsid w:val="009E048E"/>
    <w:rsid w:val="009E04DE"/>
    <w:rsid w:val="009E04E3"/>
    <w:rsid w:val="009E0515"/>
    <w:rsid w:val="009E059F"/>
    <w:rsid w:val="009E05E7"/>
    <w:rsid w:val="009E05FD"/>
    <w:rsid w:val="009E0613"/>
    <w:rsid w:val="009E0621"/>
    <w:rsid w:val="009E0623"/>
    <w:rsid w:val="009E064B"/>
    <w:rsid w:val="009E0661"/>
    <w:rsid w:val="009E06B0"/>
    <w:rsid w:val="009E06B3"/>
    <w:rsid w:val="009E06EB"/>
    <w:rsid w:val="009E0709"/>
    <w:rsid w:val="009E078B"/>
    <w:rsid w:val="009E079A"/>
    <w:rsid w:val="009E079F"/>
    <w:rsid w:val="009E07CD"/>
    <w:rsid w:val="009E089D"/>
    <w:rsid w:val="009E08A5"/>
    <w:rsid w:val="009E092D"/>
    <w:rsid w:val="009E0A68"/>
    <w:rsid w:val="009E0A99"/>
    <w:rsid w:val="009E0AD6"/>
    <w:rsid w:val="009E0AE4"/>
    <w:rsid w:val="009E0AEA"/>
    <w:rsid w:val="009E0B4C"/>
    <w:rsid w:val="009E0B9D"/>
    <w:rsid w:val="009E0BB9"/>
    <w:rsid w:val="009E0BCA"/>
    <w:rsid w:val="009E0BE2"/>
    <w:rsid w:val="009E0C36"/>
    <w:rsid w:val="009E0C4C"/>
    <w:rsid w:val="009E0C54"/>
    <w:rsid w:val="009E0CBA"/>
    <w:rsid w:val="009E0CF6"/>
    <w:rsid w:val="009E0D54"/>
    <w:rsid w:val="009E0D92"/>
    <w:rsid w:val="009E0E15"/>
    <w:rsid w:val="009E0E44"/>
    <w:rsid w:val="009E0E4E"/>
    <w:rsid w:val="009E0E4F"/>
    <w:rsid w:val="009E0E83"/>
    <w:rsid w:val="009E0E87"/>
    <w:rsid w:val="009E0EBA"/>
    <w:rsid w:val="009E0EDF"/>
    <w:rsid w:val="009E0F15"/>
    <w:rsid w:val="009E0F3D"/>
    <w:rsid w:val="009E101F"/>
    <w:rsid w:val="009E1022"/>
    <w:rsid w:val="009E102B"/>
    <w:rsid w:val="009E1037"/>
    <w:rsid w:val="009E106B"/>
    <w:rsid w:val="009E106D"/>
    <w:rsid w:val="009E108D"/>
    <w:rsid w:val="009E1096"/>
    <w:rsid w:val="009E1097"/>
    <w:rsid w:val="009E10B6"/>
    <w:rsid w:val="009E10D0"/>
    <w:rsid w:val="009E1136"/>
    <w:rsid w:val="009E1140"/>
    <w:rsid w:val="009E1143"/>
    <w:rsid w:val="009E1160"/>
    <w:rsid w:val="009E1169"/>
    <w:rsid w:val="009E1177"/>
    <w:rsid w:val="009E11B7"/>
    <w:rsid w:val="009E1256"/>
    <w:rsid w:val="009E1263"/>
    <w:rsid w:val="009E128A"/>
    <w:rsid w:val="009E12C6"/>
    <w:rsid w:val="009E12CC"/>
    <w:rsid w:val="009E134F"/>
    <w:rsid w:val="009E136E"/>
    <w:rsid w:val="009E13F6"/>
    <w:rsid w:val="009E13FC"/>
    <w:rsid w:val="009E140D"/>
    <w:rsid w:val="009E140E"/>
    <w:rsid w:val="009E142B"/>
    <w:rsid w:val="009E1454"/>
    <w:rsid w:val="009E145C"/>
    <w:rsid w:val="009E1496"/>
    <w:rsid w:val="009E149A"/>
    <w:rsid w:val="009E14C4"/>
    <w:rsid w:val="009E1501"/>
    <w:rsid w:val="009E1539"/>
    <w:rsid w:val="009E155D"/>
    <w:rsid w:val="009E1579"/>
    <w:rsid w:val="009E15B8"/>
    <w:rsid w:val="009E15C2"/>
    <w:rsid w:val="009E15DB"/>
    <w:rsid w:val="009E161E"/>
    <w:rsid w:val="009E1679"/>
    <w:rsid w:val="009E170F"/>
    <w:rsid w:val="009E172C"/>
    <w:rsid w:val="009E173B"/>
    <w:rsid w:val="009E1767"/>
    <w:rsid w:val="009E17CA"/>
    <w:rsid w:val="009E17E9"/>
    <w:rsid w:val="009E17FC"/>
    <w:rsid w:val="009E183D"/>
    <w:rsid w:val="009E1848"/>
    <w:rsid w:val="009E1861"/>
    <w:rsid w:val="009E18C4"/>
    <w:rsid w:val="009E18D7"/>
    <w:rsid w:val="009E1921"/>
    <w:rsid w:val="009E192A"/>
    <w:rsid w:val="009E1949"/>
    <w:rsid w:val="009E1974"/>
    <w:rsid w:val="009E19B2"/>
    <w:rsid w:val="009E19D2"/>
    <w:rsid w:val="009E19D6"/>
    <w:rsid w:val="009E19DB"/>
    <w:rsid w:val="009E1A0D"/>
    <w:rsid w:val="009E1A2C"/>
    <w:rsid w:val="009E1A92"/>
    <w:rsid w:val="009E1AAD"/>
    <w:rsid w:val="009E1ADC"/>
    <w:rsid w:val="009E1B12"/>
    <w:rsid w:val="009E1B3D"/>
    <w:rsid w:val="009E1B5A"/>
    <w:rsid w:val="009E1B69"/>
    <w:rsid w:val="009E1B73"/>
    <w:rsid w:val="009E1C00"/>
    <w:rsid w:val="009E1C19"/>
    <w:rsid w:val="009E1C3A"/>
    <w:rsid w:val="009E1C7A"/>
    <w:rsid w:val="009E1C8E"/>
    <w:rsid w:val="009E1CD8"/>
    <w:rsid w:val="009E1CF9"/>
    <w:rsid w:val="009E1D0A"/>
    <w:rsid w:val="009E1D18"/>
    <w:rsid w:val="009E1D35"/>
    <w:rsid w:val="009E1D72"/>
    <w:rsid w:val="009E1D8A"/>
    <w:rsid w:val="009E1DA3"/>
    <w:rsid w:val="009E1DF4"/>
    <w:rsid w:val="009E1E11"/>
    <w:rsid w:val="009E1E34"/>
    <w:rsid w:val="009E1E7D"/>
    <w:rsid w:val="009E1E86"/>
    <w:rsid w:val="009E1E8D"/>
    <w:rsid w:val="009E1F9B"/>
    <w:rsid w:val="009E1FA7"/>
    <w:rsid w:val="009E1FD1"/>
    <w:rsid w:val="009E2028"/>
    <w:rsid w:val="009E2071"/>
    <w:rsid w:val="009E2089"/>
    <w:rsid w:val="009E208F"/>
    <w:rsid w:val="009E20CA"/>
    <w:rsid w:val="009E20D2"/>
    <w:rsid w:val="009E213A"/>
    <w:rsid w:val="009E2154"/>
    <w:rsid w:val="009E215A"/>
    <w:rsid w:val="009E2168"/>
    <w:rsid w:val="009E21C7"/>
    <w:rsid w:val="009E2222"/>
    <w:rsid w:val="009E2235"/>
    <w:rsid w:val="009E2256"/>
    <w:rsid w:val="009E2276"/>
    <w:rsid w:val="009E228B"/>
    <w:rsid w:val="009E22AE"/>
    <w:rsid w:val="009E2313"/>
    <w:rsid w:val="009E2318"/>
    <w:rsid w:val="009E2344"/>
    <w:rsid w:val="009E2351"/>
    <w:rsid w:val="009E2357"/>
    <w:rsid w:val="009E2376"/>
    <w:rsid w:val="009E237A"/>
    <w:rsid w:val="009E237D"/>
    <w:rsid w:val="009E23AA"/>
    <w:rsid w:val="009E2456"/>
    <w:rsid w:val="009E2468"/>
    <w:rsid w:val="009E24C6"/>
    <w:rsid w:val="009E24CA"/>
    <w:rsid w:val="009E24F1"/>
    <w:rsid w:val="009E24F2"/>
    <w:rsid w:val="009E24F8"/>
    <w:rsid w:val="009E2521"/>
    <w:rsid w:val="009E252C"/>
    <w:rsid w:val="009E2537"/>
    <w:rsid w:val="009E2567"/>
    <w:rsid w:val="009E258A"/>
    <w:rsid w:val="009E2608"/>
    <w:rsid w:val="009E260C"/>
    <w:rsid w:val="009E263E"/>
    <w:rsid w:val="009E2654"/>
    <w:rsid w:val="009E2672"/>
    <w:rsid w:val="009E267A"/>
    <w:rsid w:val="009E26AC"/>
    <w:rsid w:val="009E26C9"/>
    <w:rsid w:val="009E26EB"/>
    <w:rsid w:val="009E26EF"/>
    <w:rsid w:val="009E270C"/>
    <w:rsid w:val="009E276E"/>
    <w:rsid w:val="009E27EA"/>
    <w:rsid w:val="009E2812"/>
    <w:rsid w:val="009E288F"/>
    <w:rsid w:val="009E28B8"/>
    <w:rsid w:val="009E28C1"/>
    <w:rsid w:val="009E294A"/>
    <w:rsid w:val="009E2975"/>
    <w:rsid w:val="009E29B5"/>
    <w:rsid w:val="009E29BB"/>
    <w:rsid w:val="009E2A50"/>
    <w:rsid w:val="009E2A68"/>
    <w:rsid w:val="009E2A73"/>
    <w:rsid w:val="009E2ACD"/>
    <w:rsid w:val="009E2AFF"/>
    <w:rsid w:val="009E2B1B"/>
    <w:rsid w:val="009E2B4B"/>
    <w:rsid w:val="009E2B6A"/>
    <w:rsid w:val="009E2BA8"/>
    <w:rsid w:val="009E2BEB"/>
    <w:rsid w:val="009E2BF2"/>
    <w:rsid w:val="009E2C45"/>
    <w:rsid w:val="009E2CD8"/>
    <w:rsid w:val="009E2CDB"/>
    <w:rsid w:val="009E2CEA"/>
    <w:rsid w:val="009E2D36"/>
    <w:rsid w:val="009E2D61"/>
    <w:rsid w:val="009E2D7B"/>
    <w:rsid w:val="009E2DAF"/>
    <w:rsid w:val="009E2DE5"/>
    <w:rsid w:val="009E2E5F"/>
    <w:rsid w:val="009E2E92"/>
    <w:rsid w:val="009E2EA0"/>
    <w:rsid w:val="009E2EA8"/>
    <w:rsid w:val="009E2F34"/>
    <w:rsid w:val="009E2F82"/>
    <w:rsid w:val="009E2F96"/>
    <w:rsid w:val="009E2FA0"/>
    <w:rsid w:val="009E2FC1"/>
    <w:rsid w:val="009E2FC4"/>
    <w:rsid w:val="009E2FF6"/>
    <w:rsid w:val="009E3011"/>
    <w:rsid w:val="009E3082"/>
    <w:rsid w:val="009E30A1"/>
    <w:rsid w:val="009E30A7"/>
    <w:rsid w:val="009E30AA"/>
    <w:rsid w:val="009E30D6"/>
    <w:rsid w:val="009E3110"/>
    <w:rsid w:val="009E3137"/>
    <w:rsid w:val="009E3173"/>
    <w:rsid w:val="009E3183"/>
    <w:rsid w:val="009E31EC"/>
    <w:rsid w:val="009E31FA"/>
    <w:rsid w:val="009E322B"/>
    <w:rsid w:val="009E323E"/>
    <w:rsid w:val="009E325E"/>
    <w:rsid w:val="009E3267"/>
    <w:rsid w:val="009E3275"/>
    <w:rsid w:val="009E3293"/>
    <w:rsid w:val="009E32C9"/>
    <w:rsid w:val="009E32FF"/>
    <w:rsid w:val="009E3301"/>
    <w:rsid w:val="009E331C"/>
    <w:rsid w:val="009E33A4"/>
    <w:rsid w:val="009E33D6"/>
    <w:rsid w:val="009E33EB"/>
    <w:rsid w:val="009E33F1"/>
    <w:rsid w:val="009E34C5"/>
    <w:rsid w:val="009E34F7"/>
    <w:rsid w:val="009E3500"/>
    <w:rsid w:val="009E350F"/>
    <w:rsid w:val="009E3579"/>
    <w:rsid w:val="009E359B"/>
    <w:rsid w:val="009E35AB"/>
    <w:rsid w:val="009E35C9"/>
    <w:rsid w:val="009E35DD"/>
    <w:rsid w:val="009E360A"/>
    <w:rsid w:val="009E3612"/>
    <w:rsid w:val="009E362C"/>
    <w:rsid w:val="009E3645"/>
    <w:rsid w:val="009E368A"/>
    <w:rsid w:val="009E36A0"/>
    <w:rsid w:val="009E36B7"/>
    <w:rsid w:val="009E36C2"/>
    <w:rsid w:val="009E36F7"/>
    <w:rsid w:val="009E371D"/>
    <w:rsid w:val="009E372A"/>
    <w:rsid w:val="009E375F"/>
    <w:rsid w:val="009E3768"/>
    <w:rsid w:val="009E3770"/>
    <w:rsid w:val="009E377E"/>
    <w:rsid w:val="009E3782"/>
    <w:rsid w:val="009E37D0"/>
    <w:rsid w:val="009E37E0"/>
    <w:rsid w:val="009E37F5"/>
    <w:rsid w:val="009E381D"/>
    <w:rsid w:val="009E3830"/>
    <w:rsid w:val="009E3832"/>
    <w:rsid w:val="009E3867"/>
    <w:rsid w:val="009E38A4"/>
    <w:rsid w:val="009E38C8"/>
    <w:rsid w:val="009E38FA"/>
    <w:rsid w:val="009E3903"/>
    <w:rsid w:val="009E3910"/>
    <w:rsid w:val="009E394D"/>
    <w:rsid w:val="009E39AE"/>
    <w:rsid w:val="009E39FC"/>
    <w:rsid w:val="009E3A0A"/>
    <w:rsid w:val="009E3A32"/>
    <w:rsid w:val="009E3A92"/>
    <w:rsid w:val="009E3AA7"/>
    <w:rsid w:val="009E3AA9"/>
    <w:rsid w:val="009E3AB6"/>
    <w:rsid w:val="009E3ABA"/>
    <w:rsid w:val="009E3ACC"/>
    <w:rsid w:val="009E3B01"/>
    <w:rsid w:val="009E3B12"/>
    <w:rsid w:val="009E3B45"/>
    <w:rsid w:val="009E3B54"/>
    <w:rsid w:val="009E3BA7"/>
    <w:rsid w:val="009E3BC1"/>
    <w:rsid w:val="009E3BE5"/>
    <w:rsid w:val="009E3C2B"/>
    <w:rsid w:val="009E3C4B"/>
    <w:rsid w:val="009E3C85"/>
    <w:rsid w:val="009E3CCC"/>
    <w:rsid w:val="009E3CE0"/>
    <w:rsid w:val="009E3CF9"/>
    <w:rsid w:val="009E3D59"/>
    <w:rsid w:val="009E3D98"/>
    <w:rsid w:val="009E3DB7"/>
    <w:rsid w:val="009E3DF6"/>
    <w:rsid w:val="009E3E02"/>
    <w:rsid w:val="009E3E0D"/>
    <w:rsid w:val="009E3E94"/>
    <w:rsid w:val="009E3EA5"/>
    <w:rsid w:val="009E3EB9"/>
    <w:rsid w:val="009E3EC5"/>
    <w:rsid w:val="009E3F3C"/>
    <w:rsid w:val="009E3FFD"/>
    <w:rsid w:val="009E4057"/>
    <w:rsid w:val="009E406E"/>
    <w:rsid w:val="009E40AB"/>
    <w:rsid w:val="009E4152"/>
    <w:rsid w:val="009E4153"/>
    <w:rsid w:val="009E4183"/>
    <w:rsid w:val="009E4196"/>
    <w:rsid w:val="009E41D0"/>
    <w:rsid w:val="009E420A"/>
    <w:rsid w:val="009E4212"/>
    <w:rsid w:val="009E4234"/>
    <w:rsid w:val="009E426F"/>
    <w:rsid w:val="009E4279"/>
    <w:rsid w:val="009E42C4"/>
    <w:rsid w:val="009E42E5"/>
    <w:rsid w:val="009E430A"/>
    <w:rsid w:val="009E4333"/>
    <w:rsid w:val="009E433E"/>
    <w:rsid w:val="009E43C0"/>
    <w:rsid w:val="009E4446"/>
    <w:rsid w:val="009E4484"/>
    <w:rsid w:val="009E44D0"/>
    <w:rsid w:val="009E451B"/>
    <w:rsid w:val="009E4569"/>
    <w:rsid w:val="009E457F"/>
    <w:rsid w:val="009E458F"/>
    <w:rsid w:val="009E45BE"/>
    <w:rsid w:val="009E45E4"/>
    <w:rsid w:val="009E4635"/>
    <w:rsid w:val="009E4650"/>
    <w:rsid w:val="009E4660"/>
    <w:rsid w:val="009E46A4"/>
    <w:rsid w:val="009E46E8"/>
    <w:rsid w:val="009E4730"/>
    <w:rsid w:val="009E474D"/>
    <w:rsid w:val="009E4751"/>
    <w:rsid w:val="009E479C"/>
    <w:rsid w:val="009E47F3"/>
    <w:rsid w:val="009E4810"/>
    <w:rsid w:val="009E48A0"/>
    <w:rsid w:val="009E48C8"/>
    <w:rsid w:val="009E48F6"/>
    <w:rsid w:val="009E48F7"/>
    <w:rsid w:val="009E498D"/>
    <w:rsid w:val="009E49B3"/>
    <w:rsid w:val="009E49B4"/>
    <w:rsid w:val="009E49E2"/>
    <w:rsid w:val="009E49F4"/>
    <w:rsid w:val="009E49F6"/>
    <w:rsid w:val="009E4A17"/>
    <w:rsid w:val="009E4A7C"/>
    <w:rsid w:val="009E4A87"/>
    <w:rsid w:val="009E4A98"/>
    <w:rsid w:val="009E4B16"/>
    <w:rsid w:val="009E4B21"/>
    <w:rsid w:val="009E4B88"/>
    <w:rsid w:val="009E4BF1"/>
    <w:rsid w:val="009E4C0F"/>
    <w:rsid w:val="009E4C4A"/>
    <w:rsid w:val="009E4C6F"/>
    <w:rsid w:val="009E4C87"/>
    <w:rsid w:val="009E4CA8"/>
    <w:rsid w:val="009E4D1C"/>
    <w:rsid w:val="009E4D33"/>
    <w:rsid w:val="009E4D56"/>
    <w:rsid w:val="009E4DA4"/>
    <w:rsid w:val="009E4DDF"/>
    <w:rsid w:val="009E4DE2"/>
    <w:rsid w:val="009E4E08"/>
    <w:rsid w:val="009E4E1B"/>
    <w:rsid w:val="009E4E22"/>
    <w:rsid w:val="009E4E5B"/>
    <w:rsid w:val="009E4E8E"/>
    <w:rsid w:val="009E4E95"/>
    <w:rsid w:val="009E4E9D"/>
    <w:rsid w:val="009E4EF4"/>
    <w:rsid w:val="009E4EFB"/>
    <w:rsid w:val="009E4F0E"/>
    <w:rsid w:val="009E4F10"/>
    <w:rsid w:val="009E4F5F"/>
    <w:rsid w:val="009E4FCA"/>
    <w:rsid w:val="009E5013"/>
    <w:rsid w:val="009E5024"/>
    <w:rsid w:val="009E50DB"/>
    <w:rsid w:val="009E50E4"/>
    <w:rsid w:val="009E50EA"/>
    <w:rsid w:val="009E5110"/>
    <w:rsid w:val="009E5116"/>
    <w:rsid w:val="009E511B"/>
    <w:rsid w:val="009E511D"/>
    <w:rsid w:val="009E5132"/>
    <w:rsid w:val="009E513B"/>
    <w:rsid w:val="009E5167"/>
    <w:rsid w:val="009E5196"/>
    <w:rsid w:val="009E51DF"/>
    <w:rsid w:val="009E523F"/>
    <w:rsid w:val="009E5260"/>
    <w:rsid w:val="009E5277"/>
    <w:rsid w:val="009E529E"/>
    <w:rsid w:val="009E52EF"/>
    <w:rsid w:val="009E5372"/>
    <w:rsid w:val="009E53C6"/>
    <w:rsid w:val="009E53E6"/>
    <w:rsid w:val="009E5428"/>
    <w:rsid w:val="009E5461"/>
    <w:rsid w:val="009E5490"/>
    <w:rsid w:val="009E54A5"/>
    <w:rsid w:val="009E553C"/>
    <w:rsid w:val="009E5544"/>
    <w:rsid w:val="009E555A"/>
    <w:rsid w:val="009E55BB"/>
    <w:rsid w:val="009E55EC"/>
    <w:rsid w:val="009E55ED"/>
    <w:rsid w:val="009E55EE"/>
    <w:rsid w:val="009E56E7"/>
    <w:rsid w:val="009E56F1"/>
    <w:rsid w:val="009E5724"/>
    <w:rsid w:val="009E5736"/>
    <w:rsid w:val="009E5794"/>
    <w:rsid w:val="009E57B2"/>
    <w:rsid w:val="009E57C0"/>
    <w:rsid w:val="009E57D2"/>
    <w:rsid w:val="009E5839"/>
    <w:rsid w:val="009E583F"/>
    <w:rsid w:val="009E5849"/>
    <w:rsid w:val="009E5889"/>
    <w:rsid w:val="009E58AA"/>
    <w:rsid w:val="009E58B3"/>
    <w:rsid w:val="009E58F9"/>
    <w:rsid w:val="009E590C"/>
    <w:rsid w:val="009E591C"/>
    <w:rsid w:val="009E593B"/>
    <w:rsid w:val="009E5940"/>
    <w:rsid w:val="009E5944"/>
    <w:rsid w:val="009E5990"/>
    <w:rsid w:val="009E59F6"/>
    <w:rsid w:val="009E5AA4"/>
    <w:rsid w:val="009E5B1E"/>
    <w:rsid w:val="009E5B89"/>
    <w:rsid w:val="009E5BA8"/>
    <w:rsid w:val="009E5BBA"/>
    <w:rsid w:val="009E5BBC"/>
    <w:rsid w:val="009E5C0C"/>
    <w:rsid w:val="009E5C1E"/>
    <w:rsid w:val="009E5C47"/>
    <w:rsid w:val="009E5C94"/>
    <w:rsid w:val="009E5D1E"/>
    <w:rsid w:val="009E5D91"/>
    <w:rsid w:val="009E5DD1"/>
    <w:rsid w:val="009E5E3E"/>
    <w:rsid w:val="009E5E50"/>
    <w:rsid w:val="009E5E9D"/>
    <w:rsid w:val="009E5EAA"/>
    <w:rsid w:val="009E5EB0"/>
    <w:rsid w:val="009E5EBE"/>
    <w:rsid w:val="009E5EFB"/>
    <w:rsid w:val="009E5F2D"/>
    <w:rsid w:val="009E5F3D"/>
    <w:rsid w:val="009E5F5B"/>
    <w:rsid w:val="009E5FB7"/>
    <w:rsid w:val="009E6006"/>
    <w:rsid w:val="009E6017"/>
    <w:rsid w:val="009E605F"/>
    <w:rsid w:val="009E6093"/>
    <w:rsid w:val="009E60BC"/>
    <w:rsid w:val="009E6149"/>
    <w:rsid w:val="009E6154"/>
    <w:rsid w:val="009E6192"/>
    <w:rsid w:val="009E6196"/>
    <w:rsid w:val="009E61DA"/>
    <w:rsid w:val="009E61E0"/>
    <w:rsid w:val="009E6204"/>
    <w:rsid w:val="009E6281"/>
    <w:rsid w:val="009E629B"/>
    <w:rsid w:val="009E6333"/>
    <w:rsid w:val="009E633E"/>
    <w:rsid w:val="009E63A6"/>
    <w:rsid w:val="009E63C6"/>
    <w:rsid w:val="009E63CE"/>
    <w:rsid w:val="009E6415"/>
    <w:rsid w:val="009E642C"/>
    <w:rsid w:val="009E6437"/>
    <w:rsid w:val="009E6443"/>
    <w:rsid w:val="009E6461"/>
    <w:rsid w:val="009E6479"/>
    <w:rsid w:val="009E647D"/>
    <w:rsid w:val="009E64A1"/>
    <w:rsid w:val="009E64A5"/>
    <w:rsid w:val="009E64BB"/>
    <w:rsid w:val="009E6520"/>
    <w:rsid w:val="009E6532"/>
    <w:rsid w:val="009E6563"/>
    <w:rsid w:val="009E6585"/>
    <w:rsid w:val="009E658D"/>
    <w:rsid w:val="009E658E"/>
    <w:rsid w:val="009E659C"/>
    <w:rsid w:val="009E65B4"/>
    <w:rsid w:val="009E65C6"/>
    <w:rsid w:val="009E660C"/>
    <w:rsid w:val="009E6626"/>
    <w:rsid w:val="009E6633"/>
    <w:rsid w:val="009E6662"/>
    <w:rsid w:val="009E6691"/>
    <w:rsid w:val="009E66A8"/>
    <w:rsid w:val="009E66C3"/>
    <w:rsid w:val="009E6722"/>
    <w:rsid w:val="009E6748"/>
    <w:rsid w:val="009E675F"/>
    <w:rsid w:val="009E678D"/>
    <w:rsid w:val="009E67C7"/>
    <w:rsid w:val="009E67CE"/>
    <w:rsid w:val="009E6822"/>
    <w:rsid w:val="009E6861"/>
    <w:rsid w:val="009E686A"/>
    <w:rsid w:val="009E6878"/>
    <w:rsid w:val="009E687D"/>
    <w:rsid w:val="009E689A"/>
    <w:rsid w:val="009E68D9"/>
    <w:rsid w:val="009E68EA"/>
    <w:rsid w:val="009E6942"/>
    <w:rsid w:val="009E6955"/>
    <w:rsid w:val="009E69D2"/>
    <w:rsid w:val="009E69E2"/>
    <w:rsid w:val="009E69E5"/>
    <w:rsid w:val="009E69F6"/>
    <w:rsid w:val="009E6A3F"/>
    <w:rsid w:val="009E6A69"/>
    <w:rsid w:val="009E6A83"/>
    <w:rsid w:val="009E6A87"/>
    <w:rsid w:val="009E6A98"/>
    <w:rsid w:val="009E6ABB"/>
    <w:rsid w:val="009E6AE2"/>
    <w:rsid w:val="009E6B01"/>
    <w:rsid w:val="009E6B42"/>
    <w:rsid w:val="009E6B8B"/>
    <w:rsid w:val="009E6BDC"/>
    <w:rsid w:val="009E6BEA"/>
    <w:rsid w:val="009E6C3A"/>
    <w:rsid w:val="009E6C56"/>
    <w:rsid w:val="009E6C61"/>
    <w:rsid w:val="009E6CBE"/>
    <w:rsid w:val="009E6CC2"/>
    <w:rsid w:val="009E6D05"/>
    <w:rsid w:val="009E6D17"/>
    <w:rsid w:val="009E6D1B"/>
    <w:rsid w:val="009E6D9B"/>
    <w:rsid w:val="009E6DC1"/>
    <w:rsid w:val="009E6E05"/>
    <w:rsid w:val="009E6E0A"/>
    <w:rsid w:val="009E6E2F"/>
    <w:rsid w:val="009E6E3F"/>
    <w:rsid w:val="009E6E50"/>
    <w:rsid w:val="009E6EA8"/>
    <w:rsid w:val="009E6EEE"/>
    <w:rsid w:val="009E6F23"/>
    <w:rsid w:val="009E6F2E"/>
    <w:rsid w:val="009E6F7A"/>
    <w:rsid w:val="009E6FBF"/>
    <w:rsid w:val="009E6FC8"/>
    <w:rsid w:val="009E6FFB"/>
    <w:rsid w:val="009E700A"/>
    <w:rsid w:val="009E700D"/>
    <w:rsid w:val="009E703E"/>
    <w:rsid w:val="009E7052"/>
    <w:rsid w:val="009E70EF"/>
    <w:rsid w:val="009E712B"/>
    <w:rsid w:val="009E7179"/>
    <w:rsid w:val="009E7207"/>
    <w:rsid w:val="009E722C"/>
    <w:rsid w:val="009E7237"/>
    <w:rsid w:val="009E725B"/>
    <w:rsid w:val="009E726B"/>
    <w:rsid w:val="009E7294"/>
    <w:rsid w:val="009E72A7"/>
    <w:rsid w:val="009E72CE"/>
    <w:rsid w:val="009E72E8"/>
    <w:rsid w:val="009E72E9"/>
    <w:rsid w:val="009E731E"/>
    <w:rsid w:val="009E73A4"/>
    <w:rsid w:val="009E73AD"/>
    <w:rsid w:val="009E73B2"/>
    <w:rsid w:val="009E73B3"/>
    <w:rsid w:val="009E73D4"/>
    <w:rsid w:val="009E73DD"/>
    <w:rsid w:val="009E73E4"/>
    <w:rsid w:val="009E7416"/>
    <w:rsid w:val="009E7418"/>
    <w:rsid w:val="009E741F"/>
    <w:rsid w:val="009E743A"/>
    <w:rsid w:val="009E7447"/>
    <w:rsid w:val="009E749D"/>
    <w:rsid w:val="009E74A3"/>
    <w:rsid w:val="009E751B"/>
    <w:rsid w:val="009E756A"/>
    <w:rsid w:val="009E75DE"/>
    <w:rsid w:val="009E761A"/>
    <w:rsid w:val="009E7635"/>
    <w:rsid w:val="009E7652"/>
    <w:rsid w:val="009E76A0"/>
    <w:rsid w:val="009E76A8"/>
    <w:rsid w:val="009E76C3"/>
    <w:rsid w:val="009E76F9"/>
    <w:rsid w:val="009E7710"/>
    <w:rsid w:val="009E772C"/>
    <w:rsid w:val="009E7735"/>
    <w:rsid w:val="009E7765"/>
    <w:rsid w:val="009E7784"/>
    <w:rsid w:val="009E77BC"/>
    <w:rsid w:val="009E7825"/>
    <w:rsid w:val="009E7826"/>
    <w:rsid w:val="009E7941"/>
    <w:rsid w:val="009E7943"/>
    <w:rsid w:val="009E79E9"/>
    <w:rsid w:val="009E7A82"/>
    <w:rsid w:val="009E7AD3"/>
    <w:rsid w:val="009E7B22"/>
    <w:rsid w:val="009E7B38"/>
    <w:rsid w:val="009E7B3C"/>
    <w:rsid w:val="009E7B56"/>
    <w:rsid w:val="009E7B93"/>
    <w:rsid w:val="009E7BA2"/>
    <w:rsid w:val="009E7BB7"/>
    <w:rsid w:val="009E7BBC"/>
    <w:rsid w:val="009E7BC3"/>
    <w:rsid w:val="009E7BD2"/>
    <w:rsid w:val="009E7BDE"/>
    <w:rsid w:val="009E7C24"/>
    <w:rsid w:val="009E7C32"/>
    <w:rsid w:val="009E7C60"/>
    <w:rsid w:val="009E7C8D"/>
    <w:rsid w:val="009E7C9D"/>
    <w:rsid w:val="009E7CA9"/>
    <w:rsid w:val="009E7CBB"/>
    <w:rsid w:val="009E7D38"/>
    <w:rsid w:val="009E7D51"/>
    <w:rsid w:val="009E7D9F"/>
    <w:rsid w:val="009E7DB9"/>
    <w:rsid w:val="009E7DBF"/>
    <w:rsid w:val="009E7DC9"/>
    <w:rsid w:val="009E7DF7"/>
    <w:rsid w:val="009E7E1B"/>
    <w:rsid w:val="009E7E47"/>
    <w:rsid w:val="009E7E4E"/>
    <w:rsid w:val="009E7E94"/>
    <w:rsid w:val="009E7EDD"/>
    <w:rsid w:val="009E7EEE"/>
    <w:rsid w:val="009E7EF3"/>
    <w:rsid w:val="009E7F29"/>
    <w:rsid w:val="009E7F81"/>
    <w:rsid w:val="009E7FA2"/>
    <w:rsid w:val="009E7FCC"/>
    <w:rsid w:val="009E7FD0"/>
    <w:rsid w:val="009F0059"/>
    <w:rsid w:val="009F0063"/>
    <w:rsid w:val="009F0083"/>
    <w:rsid w:val="009F009C"/>
    <w:rsid w:val="009F0101"/>
    <w:rsid w:val="009F0108"/>
    <w:rsid w:val="009F0134"/>
    <w:rsid w:val="009F017B"/>
    <w:rsid w:val="009F018E"/>
    <w:rsid w:val="009F0190"/>
    <w:rsid w:val="009F01CF"/>
    <w:rsid w:val="009F01E5"/>
    <w:rsid w:val="009F0236"/>
    <w:rsid w:val="009F024C"/>
    <w:rsid w:val="009F026A"/>
    <w:rsid w:val="009F0276"/>
    <w:rsid w:val="009F0290"/>
    <w:rsid w:val="009F0292"/>
    <w:rsid w:val="009F02A1"/>
    <w:rsid w:val="009F02BD"/>
    <w:rsid w:val="009F035E"/>
    <w:rsid w:val="009F0399"/>
    <w:rsid w:val="009F042E"/>
    <w:rsid w:val="009F0430"/>
    <w:rsid w:val="009F0432"/>
    <w:rsid w:val="009F045C"/>
    <w:rsid w:val="009F0494"/>
    <w:rsid w:val="009F04A2"/>
    <w:rsid w:val="009F04B7"/>
    <w:rsid w:val="009F04C5"/>
    <w:rsid w:val="009F051B"/>
    <w:rsid w:val="009F0567"/>
    <w:rsid w:val="009F058C"/>
    <w:rsid w:val="009F059E"/>
    <w:rsid w:val="009F05DC"/>
    <w:rsid w:val="009F05EB"/>
    <w:rsid w:val="009F0623"/>
    <w:rsid w:val="009F066E"/>
    <w:rsid w:val="009F06A5"/>
    <w:rsid w:val="009F06C7"/>
    <w:rsid w:val="009F06D0"/>
    <w:rsid w:val="009F06D4"/>
    <w:rsid w:val="009F0722"/>
    <w:rsid w:val="009F076E"/>
    <w:rsid w:val="009F079E"/>
    <w:rsid w:val="009F07D2"/>
    <w:rsid w:val="009F07DB"/>
    <w:rsid w:val="009F0826"/>
    <w:rsid w:val="009F089A"/>
    <w:rsid w:val="009F08A0"/>
    <w:rsid w:val="009F08E5"/>
    <w:rsid w:val="009F09B5"/>
    <w:rsid w:val="009F09B6"/>
    <w:rsid w:val="009F0A39"/>
    <w:rsid w:val="009F0A6F"/>
    <w:rsid w:val="009F0A9F"/>
    <w:rsid w:val="009F0AB5"/>
    <w:rsid w:val="009F0ABC"/>
    <w:rsid w:val="009F0ACC"/>
    <w:rsid w:val="009F0ADA"/>
    <w:rsid w:val="009F0AEA"/>
    <w:rsid w:val="009F0AEC"/>
    <w:rsid w:val="009F0B17"/>
    <w:rsid w:val="009F0B2D"/>
    <w:rsid w:val="009F0B58"/>
    <w:rsid w:val="009F0BA8"/>
    <w:rsid w:val="009F0BC2"/>
    <w:rsid w:val="009F0BD2"/>
    <w:rsid w:val="009F0BE6"/>
    <w:rsid w:val="009F0BFE"/>
    <w:rsid w:val="009F0C0B"/>
    <w:rsid w:val="009F0C48"/>
    <w:rsid w:val="009F0C8C"/>
    <w:rsid w:val="009F0CDD"/>
    <w:rsid w:val="009F0D42"/>
    <w:rsid w:val="009F0D85"/>
    <w:rsid w:val="009F0DD5"/>
    <w:rsid w:val="009F0DF8"/>
    <w:rsid w:val="009F0E87"/>
    <w:rsid w:val="009F0E94"/>
    <w:rsid w:val="009F0E99"/>
    <w:rsid w:val="009F0EA2"/>
    <w:rsid w:val="009F0EB6"/>
    <w:rsid w:val="009F0ECC"/>
    <w:rsid w:val="009F0EF9"/>
    <w:rsid w:val="009F0F13"/>
    <w:rsid w:val="009F0F33"/>
    <w:rsid w:val="009F0F6E"/>
    <w:rsid w:val="009F0F8F"/>
    <w:rsid w:val="009F0FC2"/>
    <w:rsid w:val="009F1000"/>
    <w:rsid w:val="009F1021"/>
    <w:rsid w:val="009F1051"/>
    <w:rsid w:val="009F106E"/>
    <w:rsid w:val="009F108E"/>
    <w:rsid w:val="009F10FD"/>
    <w:rsid w:val="009F112C"/>
    <w:rsid w:val="009F1145"/>
    <w:rsid w:val="009F1152"/>
    <w:rsid w:val="009F1172"/>
    <w:rsid w:val="009F1173"/>
    <w:rsid w:val="009F122E"/>
    <w:rsid w:val="009F1238"/>
    <w:rsid w:val="009F1253"/>
    <w:rsid w:val="009F1266"/>
    <w:rsid w:val="009F12B7"/>
    <w:rsid w:val="009F12BC"/>
    <w:rsid w:val="009F12CB"/>
    <w:rsid w:val="009F12E5"/>
    <w:rsid w:val="009F1319"/>
    <w:rsid w:val="009F132E"/>
    <w:rsid w:val="009F137B"/>
    <w:rsid w:val="009F13B3"/>
    <w:rsid w:val="009F13C8"/>
    <w:rsid w:val="009F13D6"/>
    <w:rsid w:val="009F143E"/>
    <w:rsid w:val="009F145F"/>
    <w:rsid w:val="009F14AB"/>
    <w:rsid w:val="009F14B9"/>
    <w:rsid w:val="009F14E5"/>
    <w:rsid w:val="009F14F1"/>
    <w:rsid w:val="009F14F6"/>
    <w:rsid w:val="009F1508"/>
    <w:rsid w:val="009F1527"/>
    <w:rsid w:val="009F1545"/>
    <w:rsid w:val="009F1584"/>
    <w:rsid w:val="009F15C8"/>
    <w:rsid w:val="009F15D3"/>
    <w:rsid w:val="009F15FC"/>
    <w:rsid w:val="009F1680"/>
    <w:rsid w:val="009F16A0"/>
    <w:rsid w:val="009F16B6"/>
    <w:rsid w:val="009F16BD"/>
    <w:rsid w:val="009F1708"/>
    <w:rsid w:val="009F1743"/>
    <w:rsid w:val="009F1754"/>
    <w:rsid w:val="009F17DA"/>
    <w:rsid w:val="009F1818"/>
    <w:rsid w:val="009F182D"/>
    <w:rsid w:val="009F1833"/>
    <w:rsid w:val="009F1844"/>
    <w:rsid w:val="009F1877"/>
    <w:rsid w:val="009F188A"/>
    <w:rsid w:val="009F18AC"/>
    <w:rsid w:val="009F18FE"/>
    <w:rsid w:val="009F1925"/>
    <w:rsid w:val="009F194B"/>
    <w:rsid w:val="009F196E"/>
    <w:rsid w:val="009F19A7"/>
    <w:rsid w:val="009F19D3"/>
    <w:rsid w:val="009F19EF"/>
    <w:rsid w:val="009F19F6"/>
    <w:rsid w:val="009F1A0B"/>
    <w:rsid w:val="009F1A5E"/>
    <w:rsid w:val="009F1A75"/>
    <w:rsid w:val="009F1A7D"/>
    <w:rsid w:val="009F1A82"/>
    <w:rsid w:val="009F1A9C"/>
    <w:rsid w:val="009F1AAD"/>
    <w:rsid w:val="009F1AB8"/>
    <w:rsid w:val="009F1AF7"/>
    <w:rsid w:val="009F1B3E"/>
    <w:rsid w:val="009F1B6B"/>
    <w:rsid w:val="009F1B86"/>
    <w:rsid w:val="009F1BE0"/>
    <w:rsid w:val="009F1BEC"/>
    <w:rsid w:val="009F1C1C"/>
    <w:rsid w:val="009F1C76"/>
    <w:rsid w:val="009F1CAD"/>
    <w:rsid w:val="009F1CC7"/>
    <w:rsid w:val="009F1D09"/>
    <w:rsid w:val="009F1D14"/>
    <w:rsid w:val="009F1D15"/>
    <w:rsid w:val="009F1D2A"/>
    <w:rsid w:val="009F1D5C"/>
    <w:rsid w:val="009F1DA7"/>
    <w:rsid w:val="009F1DAC"/>
    <w:rsid w:val="009F1DBB"/>
    <w:rsid w:val="009F1E8E"/>
    <w:rsid w:val="009F1EE8"/>
    <w:rsid w:val="009F1EEE"/>
    <w:rsid w:val="009F1F2E"/>
    <w:rsid w:val="009F1F54"/>
    <w:rsid w:val="009F1F7F"/>
    <w:rsid w:val="009F1FAC"/>
    <w:rsid w:val="009F1FB9"/>
    <w:rsid w:val="009F1FBD"/>
    <w:rsid w:val="009F1FD6"/>
    <w:rsid w:val="009F1FEE"/>
    <w:rsid w:val="009F2026"/>
    <w:rsid w:val="009F2032"/>
    <w:rsid w:val="009F204B"/>
    <w:rsid w:val="009F2069"/>
    <w:rsid w:val="009F2092"/>
    <w:rsid w:val="009F2095"/>
    <w:rsid w:val="009F20B3"/>
    <w:rsid w:val="009F20B5"/>
    <w:rsid w:val="009F20C9"/>
    <w:rsid w:val="009F20CF"/>
    <w:rsid w:val="009F20EF"/>
    <w:rsid w:val="009F20F5"/>
    <w:rsid w:val="009F2100"/>
    <w:rsid w:val="009F211A"/>
    <w:rsid w:val="009F21AE"/>
    <w:rsid w:val="009F21BC"/>
    <w:rsid w:val="009F2232"/>
    <w:rsid w:val="009F2233"/>
    <w:rsid w:val="009F2248"/>
    <w:rsid w:val="009F2271"/>
    <w:rsid w:val="009F2273"/>
    <w:rsid w:val="009F22EB"/>
    <w:rsid w:val="009F231C"/>
    <w:rsid w:val="009F231F"/>
    <w:rsid w:val="009F233D"/>
    <w:rsid w:val="009F2359"/>
    <w:rsid w:val="009F2383"/>
    <w:rsid w:val="009F23FF"/>
    <w:rsid w:val="009F2426"/>
    <w:rsid w:val="009F2458"/>
    <w:rsid w:val="009F24AA"/>
    <w:rsid w:val="009F24C3"/>
    <w:rsid w:val="009F2541"/>
    <w:rsid w:val="009F2547"/>
    <w:rsid w:val="009F2571"/>
    <w:rsid w:val="009F25C2"/>
    <w:rsid w:val="009F268B"/>
    <w:rsid w:val="009F26A7"/>
    <w:rsid w:val="009F26B5"/>
    <w:rsid w:val="009F26BA"/>
    <w:rsid w:val="009F26BC"/>
    <w:rsid w:val="009F26C8"/>
    <w:rsid w:val="009F26EF"/>
    <w:rsid w:val="009F276A"/>
    <w:rsid w:val="009F27DC"/>
    <w:rsid w:val="009F2839"/>
    <w:rsid w:val="009F2868"/>
    <w:rsid w:val="009F2874"/>
    <w:rsid w:val="009F2886"/>
    <w:rsid w:val="009F2923"/>
    <w:rsid w:val="009F2951"/>
    <w:rsid w:val="009F2967"/>
    <w:rsid w:val="009F29DE"/>
    <w:rsid w:val="009F29FB"/>
    <w:rsid w:val="009F2A3C"/>
    <w:rsid w:val="009F2A52"/>
    <w:rsid w:val="009F2A5A"/>
    <w:rsid w:val="009F2A9C"/>
    <w:rsid w:val="009F2AAD"/>
    <w:rsid w:val="009F2AF8"/>
    <w:rsid w:val="009F2B01"/>
    <w:rsid w:val="009F2B0C"/>
    <w:rsid w:val="009F2B2A"/>
    <w:rsid w:val="009F2B3F"/>
    <w:rsid w:val="009F2B66"/>
    <w:rsid w:val="009F2B84"/>
    <w:rsid w:val="009F2B8C"/>
    <w:rsid w:val="009F2BA0"/>
    <w:rsid w:val="009F2BA2"/>
    <w:rsid w:val="009F2BAE"/>
    <w:rsid w:val="009F2BF5"/>
    <w:rsid w:val="009F2C01"/>
    <w:rsid w:val="009F2C1F"/>
    <w:rsid w:val="009F2CF1"/>
    <w:rsid w:val="009F2D27"/>
    <w:rsid w:val="009F2D78"/>
    <w:rsid w:val="009F2DBD"/>
    <w:rsid w:val="009F2E17"/>
    <w:rsid w:val="009F2E43"/>
    <w:rsid w:val="009F2E8A"/>
    <w:rsid w:val="009F2EED"/>
    <w:rsid w:val="009F2F0C"/>
    <w:rsid w:val="009F2F1D"/>
    <w:rsid w:val="009F2F34"/>
    <w:rsid w:val="009F2F3B"/>
    <w:rsid w:val="009F2F85"/>
    <w:rsid w:val="009F2FAE"/>
    <w:rsid w:val="009F2FB3"/>
    <w:rsid w:val="009F2FC6"/>
    <w:rsid w:val="009F2FD7"/>
    <w:rsid w:val="009F3013"/>
    <w:rsid w:val="009F303D"/>
    <w:rsid w:val="009F3048"/>
    <w:rsid w:val="009F304C"/>
    <w:rsid w:val="009F30A4"/>
    <w:rsid w:val="009F30C1"/>
    <w:rsid w:val="009F30C2"/>
    <w:rsid w:val="009F310E"/>
    <w:rsid w:val="009F312C"/>
    <w:rsid w:val="009F3173"/>
    <w:rsid w:val="009F3193"/>
    <w:rsid w:val="009F31C3"/>
    <w:rsid w:val="009F31CC"/>
    <w:rsid w:val="009F31E4"/>
    <w:rsid w:val="009F3229"/>
    <w:rsid w:val="009F3271"/>
    <w:rsid w:val="009F32D3"/>
    <w:rsid w:val="009F330C"/>
    <w:rsid w:val="009F332C"/>
    <w:rsid w:val="009F3336"/>
    <w:rsid w:val="009F333C"/>
    <w:rsid w:val="009F334A"/>
    <w:rsid w:val="009F337B"/>
    <w:rsid w:val="009F338E"/>
    <w:rsid w:val="009F33B3"/>
    <w:rsid w:val="009F33BC"/>
    <w:rsid w:val="009F33C5"/>
    <w:rsid w:val="009F34A8"/>
    <w:rsid w:val="009F34C8"/>
    <w:rsid w:val="009F34CB"/>
    <w:rsid w:val="009F3505"/>
    <w:rsid w:val="009F3550"/>
    <w:rsid w:val="009F3561"/>
    <w:rsid w:val="009F3572"/>
    <w:rsid w:val="009F35DC"/>
    <w:rsid w:val="009F3611"/>
    <w:rsid w:val="009F369F"/>
    <w:rsid w:val="009F36AC"/>
    <w:rsid w:val="009F36CC"/>
    <w:rsid w:val="009F3704"/>
    <w:rsid w:val="009F3707"/>
    <w:rsid w:val="009F3713"/>
    <w:rsid w:val="009F371F"/>
    <w:rsid w:val="009F3752"/>
    <w:rsid w:val="009F376A"/>
    <w:rsid w:val="009F3772"/>
    <w:rsid w:val="009F37A0"/>
    <w:rsid w:val="009F37E4"/>
    <w:rsid w:val="009F37F8"/>
    <w:rsid w:val="009F381A"/>
    <w:rsid w:val="009F38AE"/>
    <w:rsid w:val="009F38C3"/>
    <w:rsid w:val="009F38CC"/>
    <w:rsid w:val="009F38DE"/>
    <w:rsid w:val="009F38F5"/>
    <w:rsid w:val="009F3906"/>
    <w:rsid w:val="009F3907"/>
    <w:rsid w:val="009F392F"/>
    <w:rsid w:val="009F3936"/>
    <w:rsid w:val="009F3942"/>
    <w:rsid w:val="009F39A0"/>
    <w:rsid w:val="009F39CD"/>
    <w:rsid w:val="009F39E4"/>
    <w:rsid w:val="009F39EB"/>
    <w:rsid w:val="009F3A3A"/>
    <w:rsid w:val="009F3A3B"/>
    <w:rsid w:val="009F3A5B"/>
    <w:rsid w:val="009F3B18"/>
    <w:rsid w:val="009F3B40"/>
    <w:rsid w:val="009F3B46"/>
    <w:rsid w:val="009F3B5E"/>
    <w:rsid w:val="009F3B87"/>
    <w:rsid w:val="009F3B98"/>
    <w:rsid w:val="009F3B9B"/>
    <w:rsid w:val="009F3BB5"/>
    <w:rsid w:val="009F3C40"/>
    <w:rsid w:val="009F3C49"/>
    <w:rsid w:val="009F3C6F"/>
    <w:rsid w:val="009F3C95"/>
    <w:rsid w:val="009F3CAD"/>
    <w:rsid w:val="009F3CBD"/>
    <w:rsid w:val="009F3CD9"/>
    <w:rsid w:val="009F3D27"/>
    <w:rsid w:val="009F3D55"/>
    <w:rsid w:val="009F3D6C"/>
    <w:rsid w:val="009F3D88"/>
    <w:rsid w:val="009F3DF9"/>
    <w:rsid w:val="009F3E62"/>
    <w:rsid w:val="009F3E7A"/>
    <w:rsid w:val="009F3F02"/>
    <w:rsid w:val="009F3F04"/>
    <w:rsid w:val="009F3F2D"/>
    <w:rsid w:val="009F3F63"/>
    <w:rsid w:val="009F3FCD"/>
    <w:rsid w:val="009F3FE7"/>
    <w:rsid w:val="009F3FE8"/>
    <w:rsid w:val="009F3FFA"/>
    <w:rsid w:val="009F404E"/>
    <w:rsid w:val="009F4054"/>
    <w:rsid w:val="009F409C"/>
    <w:rsid w:val="009F40B0"/>
    <w:rsid w:val="009F40BB"/>
    <w:rsid w:val="009F4135"/>
    <w:rsid w:val="009F414E"/>
    <w:rsid w:val="009F4184"/>
    <w:rsid w:val="009F419D"/>
    <w:rsid w:val="009F41CD"/>
    <w:rsid w:val="009F41D3"/>
    <w:rsid w:val="009F4207"/>
    <w:rsid w:val="009F421A"/>
    <w:rsid w:val="009F42A9"/>
    <w:rsid w:val="009F42B0"/>
    <w:rsid w:val="009F42FD"/>
    <w:rsid w:val="009F4309"/>
    <w:rsid w:val="009F435F"/>
    <w:rsid w:val="009F4360"/>
    <w:rsid w:val="009F4364"/>
    <w:rsid w:val="009F4374"/>
    <w:rsid w:val="009F4382"/>
    <w:rsid w:val="009F438D"/>
    <w:rsid w:val="009F440B"/>
    <w:rsid w:val="009F4464"/>
    <w:rsid w:val="009F44AC"/>
    <w:rsid w:val="009F44B2"/>
    <w:rsid w:val="009F44B7"/>
    <w:rsid w:val="009F44C0"/>
    <w:rsid w:val="009F44C1"/>
    <w:rsid w:val="009F4574"/>
    <w:rsid w:val="009F4591"/>
    <w:rsid w:val="009F45AB"/>
    <w:rsid w:val="009F45D9"/>
    <w:rsid w:val="009F45F2"/>
    <w:rsid w:val="009F4601"/>
    <w:rsid w:val="009F462C"/>
    <w:rsid w:val="009F4642"/>
    <w:rsid w:val="009F468F"/>
    <w:rsid w:val="009F46A3"/>
    <w:rsid w:val="009F46CB"/>
    <w:rsid w:val="009F4722"/>
    <w:rsid w:val="009F4743"/>
    <w:rsid w:val="009F4758"/>
    <w:rsid w:val="009F4779"/>
    <w:rsid w:val="009F4786"/>
    <w:rsid w:val="009F47AF"/>
    <w:rsid w:val="009F47BD"/>
    <w:rsid w:val="009F47C4"/>
    <w:rsid w:val="009F47EE"/>
    <w:rsid w:val="009F4824"/>
    <w:rsid w:val="009F486B"/>
    <w:rsid w:val="009F488A"/>
    <w:rsid w:val="009F4895"/>
    <w:rsid w:val="009F48B2"/>
    <w:rsid w:val="009F491D"/>
    <w:rsid w:val="009F4951"/>
    <w:rsid w:val="009F4981"/>
    <w:rsid w:val="009F4992"/>
    <w:rsid w:val="009F4999"/>
    <w:rsid w:val="009F49E5"/>
    <w:rsid w:val="009F49E9"/>
    <w:rsid w:val="009F4A0D"/>
    <w:rsid w:val="009F4A62"/>
    <w:rsid w:val="009F4ACB"/>
    <w:rsid w:val="009F4AE1"/>
    <w:rsid w:val="009F4B12"/>
    <w:rsid w:val="009F4B46"/>
    <w:rsid w:val="009F4B5A"/>
    <w:rsid w:val="009F4B9C"/>
    <w:rsid w:val="009F4BA6"/>
    <w:rsid w:val="009F4BC1"/>
    <w:rsid w:val="009F4BF3"/>
    <w:rsid w:val="009F4C60"/>
    <w:rsid w:val="009F4C80"/>
    <w:rsid w:val="009F4C88"/>
    <w:rsid w:val="009F4D48"/>
    <w:rsid w:val="009F4D7F"/>
    <w:rsid w:val="009F4D85"/>
    <w:rsid w:val="009F4DB3"/>
    <w:rsid w:val="009F4DE6"/>
    <w:rsid w:val="009F4E6D"/>
    <w:rsid w:val="009F4E74"/>
    <w:rsid w:val="009F4E92"/>
    <w:rsid w:val="009F4E9A"/>
    <w:rsid w:val="009F4ED1"/>
    <w:rsid w:val="009F4F10"/>
    <w:rsid w:val="009F4F29"/>
    <w:rsid w:val="009F4F30"/>
    <w:rsid w:val="009F4F32"/>
    <w:rsid w:val="009F4F3A"/>
    <w:rsid w:val="009F4F59"/>
    <w:rsid w:val="009F4F7C"/>
    <w:rsid w:val="009F4FFF"/>
    <w:rsid w:val="009F500F"/>
    <w:rsid w:val="009F5016"/>
    <w:rsid w:val="009F5020"/>
    <w:rsid w:val="009F50A1"/>
    <w:rsid w:val="009F50A5"/>
    <w:rsid w:val="009F50A7"/>
    <w:rsid w:val="009F50D4"/>
    <w:rsid w:val="009F50DA"/>
    <w:rsid w:val="009F5128"/>
    <w:rsid w:val="009F512F"/>
    <w:rsid w:val="009F519F"/>
    <w:rsid w:val="009F51FB"/>
    <w:rsid w:val="009F521E"/>
    <w:rsid w:val="009F5230"/>
    <w:rsid w:val="009F5439"/>
    <w:rsid w:val="009F5464"/>
    <w:rsid w:val="009F5470"/>
    <w:rsid w:val="009F5477"/>
    <w:rsid w:val="009F54B0"/>
    <w:rsid w:val="009F54C2"/>
    <w:rsid w:val="009F54DE"/>
    <w:rsid w:val="009F5512"/>
    <w:rsid w:val="009F5583"/>
    <w:rsid w:val="009F559A"/>
    <w:rsid w:val="009F5608"/>
    <w:rsid w:val="009F5613"/>
    <w:rsid w:val="009F5646"/>
    <w:rsid w:val="009F5656"/>
    <w:rsid w:val="009F569F"/>
    <w:rsid w:val="009F56AF"/>
    <w:rsid w:val="009F5764"/>
    <w:rsid w:val="009F5780"/>
    <w:rsid w:val="009F57F7"/>
    <w:rsid w:val="009F5808"/>
    <w:rsid w:val="009F585E"/>
    <w:rsid w:val="009F586B"/>
    <w:rsid w:val="009F5884"/>
    <w:rsid w:val="009F5885"/>
    <w:rsid w:val="009F588F"/>
    <w:rsid w:val="009F5890"/>
    <w:rsid w:val="009F58E0"/>
    <w:rsid w:val="009F590B"/>
    <w:rsid w:val="009F5958"/>
    <w:rsid w:val="009F5982"/>
    <w:rsid w:val="009F5994"/>
    <w:rsid w:val="009F59A2"/>
    <w:rsid w:val="009F59A4"/>
    <w:rsid w:val="009F59AE"/>
    <w:rsid w:val="009F59B0"/>
    <w:rsid w:val="009F59B2"/>
    <w:rsid w:val="009F59E9"/>
    <w:rsid w:val="009F59FE"/>
    <w:rsid w:val="009F5A6D"/>
    <w:rsid w:val="009F5AA3"/>
    <w:rsid w:val="009F5AB0"/>
    <w:rsid w:val="009F5AC7"/>
    <w:rsid w:val="009F5B07"/>
    <w:rsid w:val="009F5B16"/>
    <w:rsid w:val="009F5B63"/>
    <w:rsid w:val="009F5B72"/>
    <w:rsid w:val="009F5B82"/>
    <w:rsid w:val="009F5BFF"/>
    <w:rsid w:val="009F5C82"/>
    <w:rsid w:val="009F5C8D"/>
    <w:rsid w:val="009F5C92"/>
    <w:rsid w:val="009F5CDE"/>
    <w:rsid w:val="009F5D17"/>
    <w:rsid w:val="009F5D47"/>
    <w:rsid w:val="009F5D69"/>
    <w:rsid w:val="009F5D81"/>
    <w:rsid w:val="009F5DB1"/>
    <w:rsid w:val="009F5DB6"/>
    <w:rsid w:val="009F5DDE"/>
    <w:rsid w:val="009F5DF0"/>
    <w:rsid w:val="009F5E7E"/>
    <w:rsid w:val="009F5ED3"/>
    <w:rsid w:val="009F5EFF"/>
    <w:rsid w:val="009F5F4F"/>
    <w:rsid w:val="009F5F79"/>
    <w:rsid w:val="009F5FBE"/>
    <w:rsid w:val="009F6012"/>
    <w:rsid w:val="009F6046"/>
    <w:rsid w:val="009F6056"/>
    <w:rsid w:val="009F6071"/>
    <w:rsid w:val="009F6083"/>
    <w:rsid w:val="009F608B"/>
    <w:rsid w:val="009F60B6"/>
    <w:rsid w:val="009F60EC"/>
    <w:rsid w:val="009F611D"/>
    <w:rsid w:val="009F6120"/>
    <w:rsid w:val="009F6137"/>
    <w:rsid w:val="009F6144"/>
    <w:rsid w:val="009F6149"/>
    <w:rsid w:val="009F6151"/>
    <w:rsid w:val="009F6158"/>
    <w:rsid w:val="009F6191"/>
    <w:rsid w:val="009F61DE"/>
    <w:rsid w:val="009F61E3"/>
    <w:rsid w:val="009F6246"/>
    <w:rsid w:val="009F6252"/>
    <w:rsid w:val="009F6278"/>
    <w:rsid w:val="009F6279"/>
    <w:rsid w:val="009F62A6"/>
    <w:rsid w:val="009F62BF"/>
    <w:rsid w:val="009F62C3"/>
    <w:rsid w:val="009F62E6"/>
    <w:rsid w:val="009F62FB"/>
    <w:rsid w:val="009F6364"/>
    <w:rsid w:val="009F637E"/>
    <w:rsid w:val="009F63A6"/>
    <w:rsid w:val="009F63C5"/>
    <w:rsid w:val="009F63FA"/>
    <w:rsid w:val="009F63FE"/>
    <w:rsid w:val="009F6401"/>
    <w:rsid w:val="009F6407"/>
    <w:rsid w:val="009F647A"/>
    <w:rsid w:val="009F6489"/>
    <w:rsid w:val="009F648A"/>
    <w:rsid w:val="009F64AE"/>
    <w:rsid w:val="009F64BC"/>
    <w:rsid w:val="009F652A"/>
    <w:rsid w:val="009F6558"/>
    <w:rsid w:val="009F65C9"/>
    <w:rsid w:val="009F65CA"/>
    <w:rsid w:val="009F6639"/>
    <w:rsid w:val="009F664D"/>
    <w:rsid w:val="009F6683"/>
    <w:rsid w:val="009F6698"/>
    <w:rsid w:val="009F66AE"/>
    <w:rsid w:val="009F66E0"/>
    <w:rsid w:val="009F66F0"/>
    <w:rsid w:val="009F6788"/>
    <w:rsid w:val="009F6796"/>
    <w:rsid w:val="009F67A0"/>
    <w:rsid w:val="009F67FC"/>
    <w:rsid w:val="009F6812"/>
    <w:rsid w:val="009F6828"/>
    <w:rsid w:val="009F684A"/>
    <w:rsid w:val="009F68A1"/>
    <w:rsid w:val="009F68AD"/>
    <w:rsid w:val="009F68D7"/>
    <w:rsid w:val="009F68E2"/>
    <w:rsid w:val="009F6908"/>
    <w:rsid w:val="009F6926"/>
    <w:rsid w:val="009F6971"/>
    <w:rsid w:val="009F6981"/>
    <w:rsid w:val="009F6A40"/>
    <w:rsid w:val="009F6A49"/>
    <w:rsid w:val="009F6A7A"/>
    <w:rsid w:val="009F6ABE"/>
    <w:rsid w:val="009F6AD3"/>
    <w:rsid w:val="009F6AE0"/>
    <w:rsid w:val="009F6B33"/>
    <w:rsid w:val="009F6B70"/>
    <w:rsid w:val="009F6BAB"/>
    <w:rsid w:val="009F6C29"/>
    <w:rsid w:val="009F6C41"/>
    <w:rsid w:val="009F6C49"/>
    <w:rsid w:val="009F6C8C"/>
    <w:rsid w:val="009F6CAC"/>
    <w:rsid w:val="009F6D1E"/>
    <w:rsid w:val="009F6D3B"/>
    <w:rsid w:val="009F6D98"/>
    <w:rsid w:val="009F6DCC"/>
    <w:rsid w:val="009F6DD4"/>
    <w:rsid w:val="009F6E23"/>
    <w:rsid w:val="009F6E3C"/>
    <w:rsid w:val="009F6E41"/>
    <w:rsid w:val="009F6EEA"/>
    <w:rsid w:val="009F6F44"/>
    <w:rsid w:val="009F6F70"/>
    <w:rsid w:val="009F6F7F"/>
    <w:rsid w:val="009F6F95"/>
    <w:rsid w:val="009F6FA6"/>
    <w:rsid w:val="009F6FA9"/>
    <w:rsid w:val="009F6FBE"/>
    <w:rsid w:val="009F703B"/>
    <w:rsid w:val="009F706E"/>
    <w:rsid w:val="009F7076"/>
    <w:rsid w:val="009F7088"/>
    <w:rsid w:val="009F70A7"/>
    <w:rsid w:val="009F70E4"/>
    <w:rsid w:val="009F70F4"/>
    <w:rsid w:val="009F710F"/>
    <w:rsid w:val="009F7176"/>
    <w:rsid w:val="009F7182"/>
    <w:rsid w:val="009F71B7"/>
    <w:rsid w:val="009F71C8"/>
    <w:rsid w:val="009F7245"/>
    <w:rsid w:val="009F7262"/>
    <w:rsid w:val="009F7264"/>
    <w:rsid w:val="009F727E"/>
    <w:rsid w:val="009F72F0"/>
    <w:rsid w:val="009F730D"/>
    <w:rsid w:val="009F7316"/>
    <w:rsid w:val="009F732C"/>
    <w:rsid w:val="009F734D"/>
    <w:rsid w:val="009F738A"/>
    <w:rsid w:val="009F7429"/>
    <w:rsid w:val="009F7450"/>
    <w:rsid w:val="009F7480"/>
    <w:rsid w:val="009F74D6"/>
    <w:rsid w:val="009F74EB"/>
    <w:rsid w:val="009F74F0"/>
    <w:rsid w:val="009F74F3"/>
    <w:rsid w:val="009F751A"/>
    <w:rsid w:val="009F755D"/>
    <w:rsid w:val="009F757E"/>
    <w:rsid w:val="009F7582"/>
    <w:rsid w:val="009F758F"/>
    <w:rsid w:val="009F7594"/>
    <w:rsid w:val="009F75EC"/>
    <w:rsid w:val="009F75FE"/>
    <w:rsid w:val="009F7601"/>
    <w:rsid w:val="009F763A"/>
    <w:rsid w:val="009F7692"/>
    <w:rsid w:val="009F76DF"/>
    <w:rsid w:val="009F7761"/>
    <w:rsid w:val="009F77A1"/>
    <w:rsid w:val="009F77C0"/>
    <w:rsid w:val="009F77C1"/>
    <w:rsid w:val="009F77D7"/>
    <w:rsid w:val="009F77DF"/>
    <w:rsid w:val="009F784D"/>
    <w:rsid w:val="009F78D5"/>
    <w:rsid w:val="009F79AA"/>
    <w:rsid w:val="009F79C7"/>
    <w:rsid w:val="009F79EF"/>
    <w:rsid w:val="009F7A29"/>
    <w:rsid w:val="009F7A36"/>
    <w:rsid w:val="009F7A58"/>
    <w:rsid w:val="009F7A5B"/>
    <w:rsid w:val="009F7A9A"/>
    <w:rsid w:val="009F7ABB"/>
    <w:rsid w:val="009F7B24"/>
    <w:rsid w:val="009F7B45"/>
    <w:rsid w:val="009F7B4E"/>
    <w:rsid w:val="009F7B57"/>
    <w:rsid w:val="009F7B6E"/>
    <w:rsid w:val="009F7B7E"/>
    <w:rsid w:val="009F7B99"/>
    <w:rsid w:val="009F7BAB"/>
    <w:rsid w:val="009F7BDE"/>
    <w:rsid w:val="009F7C2E"/>
    <w:rsid w:val="009F7CA2"/>
    <w:rsid w:val="009F7CCF"/>
    <w:rsid w:val="009F7CD2"/>
    <w:rsid w:val="009F7D06"/>
    <w:rsid w:val="009F7D07"/>
    <w:rsid w:val="009F7D0E"/>
    <w:rsid w:val="009F7D20"/>
    <w:rsid w:val="009F7D76"/>
    <w:rsid w:val="009F7D77"/>
    <w:rsid w:val="009F7D7E"/>
    <w:rsid w:val="009F7DF5"/>
    <w:rsid w:val="009F7E10"/>
    <w:rsid w:val="009F7E2D"/>
    <w:rsid w:val="009F7E61"/>
    <w:rsid w:val="009F7E6D"/>
    <w:rsid w:val="009F7EA1"/>
    <w:rsid w:val="009F7EC4"/>
    <w:rsid w:val="009F7EE8"/>
    <w:rsid w:val="009F7EFD"/>
    <w:rsid w:val="009F7F08"/>
    <w:rsid w:val="009F7F42"/>
    <w:rsid w:val="009F7F87"/>
    <w:rsid w:val="009F7F9B"/>
    <w:rsid w:val="009F7FAE"/>
    <w:rsid w:val="00A00005"/>
    <w:rsid w:val="00A00077"/>
    <w:rsid w:val="00A00099"/>
    <w:rsid w:val="00A0009F"/>
    <w:rsid w:val="00A000F9"/>
    <w:rsid w:val="00A0012E"/>
    <w:rsid w:val="00A00171"/>
    <w:rsid w:val="00A00186"/>
    <w:rsid w:val="00A0018F"/>
    <w:rsid w:val="00A0019A"/>
    <w:rsid w:val="00A001A5"/>
    <w:rsid w:val="00A001DD"/>
    <w:rsid w:val="00A001F6"/>
    <w:rsid w:val="00A0025C"/>
    <w:rsid w:val="00A00271"/>
    <w:rsid w:val="00A002C9"/>
    <w:rsid w:val="00A00363"/>
    <w:rsid w:val="00A00366"/>
    <w:rsid w:val="00A003D4"/>
    <w:rsid w:val="00A0044A"/>
    <w:rsid w:val="00A0044D"/>
    <w:rsid w:val="00A0046F"/>
    <w:rsid w:val="00A00479"/>
    <w:rsid w:val="00A0048C"/>
    <w:rsid w:val="00A004A5"/>
    <w:rsid w:val="00A004AE"/>
    <w:rsid w:val="00A00504"/>
    <w:rsid w:val="00A00508"/>
    <w:rsid w:val="00A00560"/>
    <w:rsid w:val="00A00595"/>
    <w:rsid w:val="00A005A6"/>
    <w:rsid w:val="00A00646"/>
    <w:rsid w:val="00A0065B"/>
    <w:rsid w:val="00A0065F"/>
    <w:rsid w:val="00A0069F"/>
    <w:rsid w:val="00A006FE"/>
    <w:rsid w:val="00A00751"/>
    <w:rsid w:val="00A0077B"/>
    <w:rsid w:val="00A00789"/>
    <w:rsid w:val="00A007FC"/>
    <w:rsid w:val="00A0080A"/>
    <w:rsid w:val="00A00811"/>
    <w:rsid w:val="00A00849"/>
    <w:rsid w:val="00A008C8"/>
    <w:rsid w:val="00A008DC"/>
    <w:rsid w:val="00A008DE"/>
    <w:rsid w:val="00A0090B"/>
    <w:rsid w:val="00A0092A"/>
    <w:rsid w:val="00A0095E"/>
    <w:rsid w:val="00A00961"/>
    <w:rsid w:val="00A00991"/>
    <w:rsid w:val="00A00993"/>
    <w:rsid w:val="00A00A06"/>
    <w:rsid w:val="00A00A26"/>
    <w:rsid w:val="00A00A33"/>
    <w:rsid w:val="00A00A7A"/>
    <w:rsid w:val="00A00ACC"/>
    <w:rsid w:val="00A00ACD"/>
    <w:rsid w:val="00A00AEE"/>
    <w:rsid w:val="00A00AF1"/>
    <w:rsid w:val="00A00B23"/>
    <w:rsid w:val="00A00B39"/>
    <w:rsid w:val="00A00B3A"/>
    <w:rsid w:val="00A00B6D"/>
    <w:rsid w:val="00A00B78"/>
    <w:rsid w:val="00A00C09"/>
    <w:rsid w:val="00A00C2F"/>
    <w:rsid w:val="00A00C39"/>
    <w:rsid w:val="00A00C70"/>
    <w:rsid w:val="00A00CA5"/>
    <w:rsid w:val="00A00CCA"/>
    <w:rsid w:val="00A00CEA"/>
    <w:rsid w:val="00A00D07"/>
    <w:rsid w:val="00A00D6E"/>
    <w:rsid w:val="00A00D79"/>
    <w:rsid w:val="00A00D9D"/>
    <w:rsid w:val="00A00E79"/>
    <w:rsid w:val="00A00E9B"/>
    <w:rsid w:val="00A00EA5"/>
    <w:rsid w:val="00A00F07"/>
    <w:rsid w:val="00A00F0E"/>
    <w:rsid w:val="00A00F7C"/>
    <w:rsid w:val="00A00F7F"/>
    <w:rsid w:val="00A00F9A"/>
    <w:rsid w:val="00A01043"/>
    <w:rsid w:val="00A01089"/>
    <w:rsid w:val="00A0108B"/>
    <w:rsid w:val="00A01162"/>
    <w:rsid w:val="00A01199"/>
    <w:rsid w:val="00A0119A"/>
    <w:rsid w:val="00A011B6"/>
    <w:rsid w:val="00A01303"/>
    <w:rsid w:val="00A0136E"/>
    <w:rsid w:val="00A01388"/>
    <w:rsid w:val="00A0139F"/>
    <w:rsid w:val="00A013B4"/>
    <w:rsid w:val="00A013D8"/>
    <w:rsid w:val="00A013EB"/>
    <w:rsid w:val="00A013F8"/>
    <w:rsid w:val="00A0141A"/>
    <w:rsid w:val="00A01424"/>
    <w:rsid w:val="00A01437"/>
    <w:rsid w:val="00A01439"/>
    <w:rsid w:val="00A014AE"/>
    <w:rsid w:val="00A014EE"/>
    <w:rsid w:val="00A014F5"/>
    <w:rsid w:val="00A01530"/>
    <w:rsid w:val="00A01532"/>
    <w:rsid w:val="00A0155D"/>
    <w:rsid w:val="00A015A2"/>
    <w:rsid w:val="00A015C5"/>
    <w:rsid w:val="00A015EA"/>
    <w:rsid w:val="00A01610"/>
    <w:rsid w:val="00A01627"/>
    <w:rsid w:val="00A01650"/>
    <w:rsid w:val="00A01676"/>
    <w:rsid w:val="00A01681"/>
    <w:rsid w:val="00A016AE"/>
    <w:rsid w:val="00A016CE"/>
    <w:rsid w:val="00A01708"/>
    <w:rsid w:val="00A0170C"/>
    <w:rsid w:val="00A01727"/>
    <w:rsid w:val="00A01770"/>
    <w:rsid w:val="00A017DD"/>
    <w:rsid w:val="00A017ED"/>
    <w:rsid w:val="00A0187D"/>
    <w:rsid w:val="00A01883"/>
    <w:rsid w:val="00A01887"/>
    <w:rsid w:val="00A018BA"/>
    <w:rsid w:val="00A018BE"/>
    <w:rsid w:val="00A0196C"/>
    <w:rsid w:val="00A01A35"/>
    <w:rsid w:val="00A01A3D"/>
    <w:rsid w:val="00A01A8A"/>
    <w:rsid w:val="00A01AE7"/>
    <w:rsid w:val="00A01B62"/>
    <w:rsid w:val="00A01B69"/>
    <w:rsid w:val="00A01BBE"/>
    <w:rsid w:val="00A01C13"/>
    <w:rsid w:val="00A01C3B"/>
    <w:rsid w:val="00A01C4E"/>
    <w:rsid w:val="00A01C59"/>
    <w:rsid w:val="00A01C65"/>
    <w:rsid w:val="00A01CA9"/>
    <w:rsid w:val="00A01CD8"/>
    <w:rsid w:val="00A01D63"/>
    <w:rsid w:val="00A01D7C"/>
    <w:rsid w:val="00A01E73"/>
    <w:rsid w:val="00A01E7D"/>
    <w:rsid w:val="00A01E88"/>
    <w:rsid w:val="00A01E8E"/>
    <w:rsid w:val="00A01EA4"/>
    <w:rsid w:val="00A01EE5"/>
    <w:rsid w:val="00A01EFA"/>
    <w:rsid w:val="00A01F3B"/>
    <w:rsid w:val="00A01F3C"/>
    <w:rsid w:val="00A01F60"/>
    <w:rsid w:val="00A01FA9"/>
    <w:rsid w:val="00A01FBC"/>
    <w:rsid w:val="00A02000"/>
    <w:rsid w:val="00A02004"/>
    <w:rsid w:val="00A02036"/>
    <w:rsid w:val="00A0203D"/>
    <w:rsid w:val="00A0208A"/>
    <w:rsid w:val="00A020CB"/>
    <w:rsid w:val="00A020D2"/>
    <w:rsid w:val="00A020F0"/>
    <w:rsid w:val="00A0214B"/>
    <w:rsid w:val="00A0216C"/>
    <w:rsid w:val="00A021ED"/>
    <w:rsid w:val="00A0220D"/>
    <w:rsid w:val="00A022E9"/>
    <w:rsid w:val="00A0230A"/>
    <w:rsid w:val="00A02312"/>
    <w:rsid w:val="00A0231E"/>
    <w:rsid w:val="00A0232D"/>
    <w:rsid w:val="00A0234D"/>
    <w:rsid w:val="00A02350"/>
    <w:rsid w:val="00A02373"/>
    <w:rsid w:val="00A023AA"/>
    <w:rsid w:val="00A0240C"/>
    <w:rsid w:val="00A02418"/>
    <w:rsid w:val="00A0244F"/>
    <w:rsid w:val="00A02497"/>
    <w:rsid w:val="00A0249A"/>
    <w:rsid w:val="00A024C1"/>
    <w:rsid w:val="00A024C2"/>
    <w:rsid w:val="00A024E5"/>
    <w:rsid w:val="00A024FE"/>
    <w:rsid w:val="00A02560"/>
    <w:rsid w:val="00A025CD"/>
    <w:rsid w:val="00A0262E"/>
    <w:rsid w:val="00A02632"/>
    <w:rsid w:val="00A02647"/>
    <w:rsid w:val="00A0265F"/>
    <w:rsid w:val="00A0268D"/>
    <w:rsid w:val="00A0269E"/>
    <w:rsid w:val="00A026D3"/>
    <w:rsid w:val="00A026DE"/>
    <w:rsid w:val="00A02760"/>
    <w:rsid w:val="00A02777"/>
    <w:rsid w:val="00A027B3"/>
    <w:rsid w:val="00A027E3"/>
    <w:rsid w:val="00A02826"/>
    <w:rsid w:val="00A02883"/>
    <w:rsid w:val="00A028A0"/>
    <w:rsid w:val="00A028A8"/>
    <w:rsid w:val="00A028E3"/>
    <w:rsid w:val="00A0292D"/>
    <w:rsid w:val="00A02939"/>
    <w:rsid w:val="00A02995"/>
    <w:rsid w:val="00A029E9"/>
    <w:rsid w:val="00A02A28"/>
    <w:rsid w:val="00A02A33"/>
    <w:rsid w:val="00A02A4B"/>
    <w:rsid w:val="00A02A75"/>
    <w:rsid w:val="00A02AC2"/>
    <w:rsid w:val="00A02AE0"/>
    <w:rsid w:val="00A02B01"/>
    <w:rsid w:val="00A02B02"/>
    <w:rsid w:val="00A02B30"/>
    <w:rsid w:val="00A02B5E"/>
    <w:rsid w:val="00A02B9F"/>
    <w:rsid w:val="00A02C13"/>
    <w:rsid w:val="00A02C1C"/>
    <w:rsid w:val="00A02C8A"/>
    <w:rsid w:val="00A02DA2"/>
    <w:rsid w:val="00A02DAF"/>
    <w:rsid w:val="00A02DBE"/>
    <w:rsid w:val="00A02DC9"/>
    <w:rsid w:val="00A02E2B"/>
    <w:rsid w:val="00A02E2C"/>
    <w:rsid w:val="00A02E34"/>
    <w:rsid w:val="00A02E68"/>
    <w:rsid w:val="00A02E74"/>
    <w:rsid w:val="00A02E80"/>
    <w:rsid w:val="00A02E82"/>
    <w:rsid w:val="00A02F00"/>
    <w:rsid w:val="00A02F83"/>
    <w:rsid w:val="00A02FC8"/>
    <w:rsid w:val="00A03043"/>
    <w:rsid w:val="00A0305F"/>
    <w:rsid w:val="00A030FF"/>
    <w:rsid w:val="00A03119"/>
    <w:rsid w:val="00A0311E"/>
    <w:rsid w:val="00A03170"/>
    <w:rsid w:val="00A0317F"/>
    <w:rsid w:val="00A0319E"/>
    <w:rsid w:val="00A031B0"/>
    <w:rsid w:val="00A031EE"/>
    <w:rsid w:val="00A0321B"/>
    <w:rsid w:val="00A03244"/>
    <w:rsid w:val="00A0326C"/>
    <w:rsid w:val="00A0329E"/>
    <w:rsid w:val="00A032BC"/>
    <w:rsid w:val="00A032C4"/>
    <w:rsid w:val="00A032DC"/>
    <w:rsid w:val="00A0331F"/>
    <w:rsid w:val="00A0336B"/>
    <w:rsid w:val="00A0338F"/>
    <w:rsid w:val="00A033A0"/>
    <w:rsid w:val="00A033DD"/>
    <w:rsid w:val="00A033EE"/>
    <w:rsid w:val="00A033F9"/>
    <w:rsid w:val="00A03407"/>
    <w:rsid w:val="00A0340D"/>
    <w:rsid w:val="00A03430"/>
    <w:rsid w:val="00A03473"/>
    <w:rsid w:val="00A03484"/>
    <w:rsid w:val="00A034C6"/>
    <w:rsid w:val="00A034C8"/>
    <w:rsid w:val="00A034E9"/>
    <w:rsid w:val="00A034EB"/>
    <w:rsid w:val="00A034FC"/>
    <w:rsid w:val="00A0350E"/>
    <w:rsid w:val="00A0350F"/>
    <w:rsid w:val="00A0353C"/>
    <w:rsid w:val="00A03582"/>
    <w:rsid w:val="00A03596"/>
    <w:rsid w:val="00A035A7"/>
    <w:rsid w:val="00A0362D"/>
    <w:rsid w:val="00A036D1"/>
    <w:rsid w:val="00A036FE"/>
    <w:rsid w:val="00A03754"/>
    <w:rsid w:val="00A03797"/>
    <w:rsid w:val="00A03798"/>
    <w:rsid w:val="00A037BB"/>
    <w:rsid w:val="00A037DE"/>
    <w:rsid w:val="00A037DF"/>
    <w:rsid w:val="00A03843"/>
    <w:rsid w:val="00A03885"/>
    <w:rsid w:val="00A038B7"/>
    <w:rsid w:val="00A038C8"/>
    <w:rsid w:val="00A038F0"/>
    <w:rsid w:val="00A038FB"/>
    <w:rsid w:val="00A0391E"/>
    <w:rsid w:val="00A03994"/>
    <w:rsid w:val="00A039D6"/>
    <w:rsid w:val="00A03A45"/>
    <w:rsid w:val="00A03A49"/>
    <w:rsid w:val="00A03AE6"/>
    <w:rsid w:val="00A03AFD"/>
    <w:rsid w:val="00A03B3A"/>
    <w:rsid w:val="00A03B48"/>
    <w:rsid w:val="00A03B49"/>
    <w:rsid w:val="00A03B4B"/>
    <w:rsid w:val="00A03B67"/>
    <w:rsid w:val="00A03B6B"/>
    <w:rsid w:val="00A03B74"/>
    <w:rsid w:val="00A03B8D"/>
    <w:rsid w:val="00A03BA5"/>
    <w:rsid w:val="00A03BAF"/>
    <w:rsid w:val="00A03BEC"/>
    <w:rsid w:val="00A03C12"/>
    <w:rsid w:val="00A03C3E"/>
    <w:rsid w:val="00A03C82"/>
    <w:rsid w:val="00A03CA2"/>
    <w:rsid w:val="00A03CAD"/>
    <w:rsid w:val="00A03CBB"/>
    <w:rsid w:val="00A03D49"/>
    <w:rsid w:val="00A03D8D"/>
    <w:rsid w:val="00A03DA3"/>
    <w:rsid w:val="00A03DE2"/>
    <w:rsid w:val="00A03E01"/>
    <w:rsid w:val="00A03E08"/>
    <w:rsid w:val="00A03E25"/>
    <w:rsid w:val="00A03E30"/>
    <w:rsid w:val="00A03E4B"/>
    <w:rsid w:val="00A03E58"/>
    <w:rsid w:val="00A03E62"/>
    <w:rsid w:val="00A03E75"/>
    <w:rsid w:val="00A03E84"/>
    <w:rsid w:val="00A03F5E"/>
    <w:rsid w:val="00A03FBB"/>
    <w:rsid w:val="00A03FCD"/>
    <w:rsid w:val="00A04026"/>
    <w:rsid w:val="00A04028"/>
    <w:rsid w:val="00A04046"/>
    <w:rsid w:val="00A04061"/>
    <w:rsid w:val="00A04074"/>
    <w:rsid w:val="00A0407D"/>
    <w:rsid w:val="00A040B0"/>
    <w:rsid w:val="00A040B9"/>
    <w:rsid w:val="00A040C7"/>
    <w:rsid w:val="00A04154"/>
    <w:rsid w:val="00A0415C"/>
    <w:rsid w:val="00A041AD"/>
    <w:rsid w:val="00A041B2"/>
    <w:rsid w:val="00A041BD"/>
    <w:rsid w:val="00A041E2"/>
    <w:rsid w:val="00A04273"/>
    <w:rsid w:val="00A0428A"/>
    <w:rsid w:val="00A042B4"/>
    <w:rsid w:val="00A042B7"/>
    <w:rsid w:val="00A042E0"/>
    <w:rsid w:val="00A042EE"/>
    <w:rsid w:val="00A04328"/>
    <w:rsid w:val="00A04338"/>
    <w:rsid w:val="00A0435D"/>
    <w:rsid w:val="00A0438E"/>
    <w:rsid w:val="00A0439F"/>
    <w:rsid w:val="00A043D3"/>
    <w:rsid w:val="00A04402"/>
    <w:rsid w:val="00A044EA"/>
    <w:rsid w:val="00A04504"/>
    <w:rsid w:val="00A04524"/>
    <w:rsid w:val="00A0453B"/>
    <w:rsid w:val="00A045E9"/>
    <w:rsid w:val="00A045FC"/>
    <w:rsid w:val="00A0460C"/>
    <w:rsid w:val="00A04618"/>
    <w:rsid w:val="00A0464A"/>
    <w:rsid w:val="00A0465B"/>
    <w:rsid w:val="00A0467A"/>
    <w:rsid w:val="00A04693"/>
    <w:rsid w:val="00A046CC"/>
    <w:rsid w:val="00A04738"/>
    <w:rsid w:val="00A0473E"/>
    <w:rsid w:val="00A04786"/>
    <w:rsid w:val="00A04792"/>
    <w:rsid w:val="00A047B8"/>
    <w:rsid w:val="00A047D1"/>
    <w:rsid w:val="00A047D6"/>
    <w:rsid w:val="00A04823"/>
    <w:rsid w:val="00A04842"/>
    <w:rsid w:val="00A04875"/>
    <w:rsid w:val="00A048C6"/>
    <w:rsid w:val="00A048EB"/>
    <w:rsid w:val="00A048F5"/>
    <w:rsid w:val="00A04907"/>
    <w:rsid w:val="00A0490E"/>
    <w:rsid w:val="00A04979"/>
    <w:rsid w:val="00A049A7"/>
    <w:rsid w:val="00A049C1"/>
    <w:rsid w:val="00A04A01"/>
    <w:rsid w:val="00A04A32"/>
    <w:rsid w:val="00A04A60"/>
    <w:rsid w:val="00A04A7F"/>
    <w:rsid w:val="00A04A9A"/>
    <w:rsid w:val="00A04ABD"/>
    <w:rsid w:val="00A04ABF"/>
    <w:rsid w:val="00A04ACA"/>
    <w:rsid w:val="00A04B84"/>
    <w:rsid w:val="00A04BC1"/>
    <w:rsid w:val="00A04BE3"/>
    <w:rsid w:val="00A04BF3"/>
    <w:rsid w:val="00A04BF8"/>
    <w:rsid w:val="00A04C08"/>
    <w:rsid w:val="00A04C14"/>
    <w:rsid w:val="00A04C61"/>
    <w:rsid w:val="00A04C6C"/>
    <w:rsid w:val="00A04C9F"/>
    <w:rsid w:val="00A04CE5"/>
    <w:rsid w:val="00A04D1C"/>
    <w:rsid w:val="00A04D21"/>
    <w:rsid w:val="00A04D24"/>
    <w:rsid w:val="00A04D57"/>
    <w:rsid w:val="00A04D6D"/>
    <w:rsid w:val="00A04DC0"/>
    <w:rsid w:val="00A04DC3"/>
    <w:rsid w:val="00A04E55"/>
    <w:rsid w:val="00A04E74"/>
    <w:rsid w:val="00A04ED5"/>
    <w:rsid w:val="00A04F1D"/>
    <w:rsid w:val="00A04F6C"/>
    <w:rsid w:val="00A04F7C"/>
    <w:rsid w:val="00A04F9F"/>
    <w:rsid w:val="00A04FAC"/>
    <w:rsid w:val="00A04FF0"/>
    <w:rsid w:val="00A04FF1"/>
    <w:rsid w:val="00A05001"/>
    <w:rsid w:val="00A050A6"/>
    <w:rsid w:val="00A050B9"/>
    <w:rsid w:val="00A0512B"/>
    <w:rsid w:val="00A0513C"/>
    <w:rsid w:val="00A0514D"/>
    <w:rsid w:val="00A05185"/>
    <w:rsid w:val="00A05188"/>
    <w:rsid w:val="00A0519A"/>
    <w:rsid w:val="00A051B1"/>
    <w:rsid w:val="00A051F5"/>
    <w:rsid w:val="00A05205"/>
    <w:rsid w:val="00A05232"/>
    <w:rsid w:val="00A05239"/>
    <w:rsid w:val="00A05245"/>
    <w:rsid w:val="00A0524B"/>
    <w:rsid w:val="00A05271"/>
    <w:rsid w:val="00A05298"/>
    <w:rsid w:val="00A0529C"/>
    <w:rsid w:val="00A052BD"/>
    <w:rsid w:val="00A052F8"/>
    <w:rsid w:val="00A05330"/>
    <w:rsid w:val="00A05332"/>
    <w:rsid w:val="00A0533F"/>
    <w:rsid w:val="00A05350"/>
    <w:rsid w:val="00A0536A"/>
    <w:rsid w:val="00A05373"/>
    <w:rsid w:val="00A05396"/>
    <w:rsid w:val="00A053D8"/>
    <w:rsid w:val="00A053DC"/>
    <w:rsid w:val="00A053E9"/>
    <w:rsid w:val="00A053FB"/>
    <w:rsid w:val="00A05446"/>
    <w:rsid w:val="00A0544C"/>
    <w:rsid w:val="00A0547F"/>
    <w:rsid w:val="00A0549D"/>
    <w:rsid w:val="00A054BD"/>
    <w:rsid w:val="00A054F8"/>
    <w:rsid w:val="00A05507"/>
    <w:rsid w:val="00A05509"/>
    <w:rsid w:val="00A05557"/>
    <w:rsid w:val="00A05582"/>
    <w:rsid w:val="00A0558C"/>
    <w:rsid w:val="00A055BA"/>
    <w:rsid w:val="00A055D3"/>
    <w:rsid w:val="00A055EC"/>
    <w:rsid w:val="00A05658"/>
    <w:rsid w:val="00A05674"/>
    <w:rsid w:val="00A056B3"/>
    <w:rsid w:val="00A05711"/>
    <w:rsid w:val="00A05717"/>
    <w:rsid w:val="00A05731"/>
    <w:rsid w:val="00A05734"/>
    <w:rsid w:val="00A05774"/>
    <w:rsid w:val="00A05784"/>
    <w:rsid w:val="00A057D4"/>
    <w:rsid w:val="00A0591D"/>
    <w:rsid w:val="00A05945"/>
    <w:rsid w:val="00A05969"/>
    <w:rsid w:val="00A0596C"/>
    <w:rsid w:val="00A059AC"/>
    <w:rsid w:val="00A059AD"/>
    <w:rsid w:val="00A05A1B"/>
    <w:rsid w:val="00A05A4A"/>
    <w:rsid w:val="00A05A78"/>
    <w:rsid w:val="00A05AA7"/>
    <w:rsid w:val="00A05AAC"/>
    <w:rsid w:val="00A05AD9"/>
    <w:rsid w:val="00A05B49"/>
    <w:rsid w:val="00A05B5C"/>
    <w:rsid w:val="00A05B8D"/>
    <w:rsid w:val="00A05C48"/>
    <w:rsid w:val="00A05C56"/>
    <w:rsid w:val="00A05C5F"/>
    <w:rsid w:val="00A05CBC"/>
    <w:rsid w:val="00A05CFA"/>
    <w:rsid w:val="00A05D17"/>
    <w:rsid w:val="00A05D1C"/>
    <w:rsid w:val="00A05D67"/>
    <w:rsid w:val="00A05D6C"/>
    <w:rsid w:val="00A05DA3"/>
    <w:rsid w:val="00A05E22"/>
    <w:rsid w:val="00A05E63"/>
    <w:rsid w:val="00A05EAF"/>
    <w:rsid w:val="00A05EB9"/>
    <w:rsid w:val="00A05EBF"/>
    <w:rsid w:val="00A05ED5"/>
    <w:rsid w:val="00A05F51"/>
    <w:rsid w:val="00A06014"/>
    <w:rsid w:val="00A0602B"/>
    <w:rsid w:val="00A0603D"/>
    <w:rsid w:val="00A0608A"/>
    <w:rsid w:val="00A0608C"/>
    <w:rsid w:val="00A060B7"/>
    <w:rsid w:val="00A060C1"/>
    <w:rsid w:val="00A060DF"/>
    <w:rsid w:val="00A0610B"/>
    <w:rsid w:val="00A06135"/>
    <w:rsid w:val="00A06151"/>
    <w:rsid w:val="00A06156"/>
    <w:rsid w:val="00A0615C"/>
    <w:rsid w:val="00A06177"/>
    <w:rsid w:val="00A06182"/>
    <w:rsid w:val="00A061CF"/>
    <w:rsid w:val="00A06230"/>
    <w:rsid w:val="00A06239"/>
    <w:rsid w:val="00A06244"/>
    <w:rsid w:val="00A06245"/>
    <w:rsid w:val="00A0628F"/>
    <w:rsid w:val="00A062DA"/>
    <w:rsid w:val="00A06351"/>
    <w:rsid w:val="00A063BC"/>
    <w:rsid w:val="00A063D4"/>
    <w:rsid w:val="00A063E3"/>
    <w:rsid w:val="00A06493"/>
    <w:rsid w:val="00A0649A"/>
    <w:rsid w:val="00A064A0"/>
    <w:rsid w:val="00A064BB"/>
    <w:rsid w:val="00A064DE"/>
    <w:rsid w:val="00A06563"/>
    <w:rsid w:val="00A065B0"/>
    <w:rsid w:val="00A065B2"/>
    <w:rsid w:val="00A065CF"/>
    <w:rsid w:val="00A065D5"/>
    <w:rsid w:val="00A06610"/>
    <w:rsid w:val="00A06618"/>
    <w:rsid w:val="00A0664C"/>
    <w:rsid w:val="00A06650"/>
    <w:rsid w:val="00A06683"/>
    <w:rsid w:val="00A066A1"/>
    <w:rsid w:val="00A066D2"/>
    <w:rsid w:val="00A066F7"/>
    <w:rsid w:val="00A06720"/>
    <w:rsid w:val="00A06749"/>
    <w:rsid w:val="00A06760"/>
    <w:rsid w:val="00A0676A"/>
    <w:rsid w:val="00A067F8"/>
    <w:rsid w:val="00A06836"/>
    <w:rsid w:val="00A06860"/>
    <w:rsid w:val="00A06872"/>
    <w:rsid w:val="00A0688C"/>
    <w:rsid w:val="00A0690A"/>
    <w:rsid w:val="00A0690B"/>
    <w:rsid w:val="00A0690C"/>
    <w:rsid w:val="00A0694D"/>
    <w:rsid w:val="00A069C2"/>
    <w:rsid w:val="00A06A9B"/>
    <w:rsid w:val="00A06AA0"/>
    <w:rsid w:val="00A06B3A"/>
    <w:rsid w:val="00A06B4C"/>
    <w:rsid w:val="00A06B50"/>
    <w:rsid w:val="00A06B55"/>
    <w:rsid w:val="00A06B71"/>
    <w:rsid w:val="00A06B72"/>
    <w:rsid w:val="00A06B7D"/>
    <w:rsid w:val="00A06B8D"/>
    <w:rsid w:val="00A06BC1"/>
    <w:rsid w:val="00A06C0A"/>
    <w:rsid w:val="00A06C5B"/>
    <w:rsid w:val="00A06C6A"/>
    <w:rsid w:val="00A06C84"/>
    <w:rsid w:val="00A06CAE"/>
    <w:rsid w:val="00A06CDD"/>
    <w:rsid w:val="00A06CF6"/>
    <w:rsid w:val="00A06D15"/>
    <w:rsid w:val="00A06D40"/>
    <w:rsid w:val="00A06D44"/>
    <w:rsid w:val="00A06D91"/>
    <w:rsid w:val="00A06E0E"/>
    <w:rsid w:val="00A06E3C"/>
    <w:rsid w:val="00A06E4A"/>
    <w:rsid w:val="00A06EC4"/>
    <w:rsid w:val="00A06EC8"/>
    <w:rsid w:val="00A06EEC"/>
    <w:rsid w:val="00A06F73"/>
    <w:rsid w:val="00A06FBA"/>
    <w:rsid w:val="00A06FCA"/>
    <w:rsid w:val="00A06FEC"/>
    <w:rsid w:val="00A06FEE"/>
    <w:rsid w:val="00A07012"/>
    <w:rsid w:val="00A07016"/>
    <w:rsid w:val="00A0701A"/>
    <w:rsid w:val="00A07052"/>
    <w:rsid w:val="00A070D4"/>
    <w:rsid w:val="00A070EB"/>
    <w:rsid w:val="00A07128"/>
    <w:rsid w:val="00A0712C"/>
    <w:rsid w:val="00A07148"/>
    <w:rsid w:val="00A07180"/>
    <w:rsid w:val="00A07188"/>
    <w:rsid w:val="00A071D5"/>
    <w:rsid w:val="00A07229"/>
    <w:rsid w:val="00A0723C"/>
    <w:rsid w:val="00A0725E"/>
    <w:rsid w:val="00A07260"/>
    <w:rsid w:val="00A07298"/>
    <w:rsid w:val="00A072AA"/>
    <w:rsid w:val="00A072B1"/>
    <w:rsid w:val="00A072B6"/>
    <w:rsid w:val="00A072ED"/>
    <w:rsid w:val="00A0731E"/>
    <w:rsid w:val="00A073DC"/>
    <w:rsid w:val="00A073ED"/>
    <w:rsid w:val="00A073F4"/>
    <w:rsid w:val="00A0740F"/>
    <w:rsid w:val="00A07470"/>
    <w:rsid w:val="00A074D2"/>
    <w:rsid w:val="00A0750A"/>
    <w:rsid w:val="00A0759B"/>
    <w:rsid w:val="00A075C7"/>
    <w:rsid w:val="00A07602"/>
    <w:rsid w:val="00A07670"/>
    <w:rsid w:val="00A076A8"/>
    <w:rsid w:val="00A076B2"/>
    <w:rsid w:val="00A076D3"/>
    <w:rsid w:val="00A0771F"/>
    <w:rsid w:val="00A0778D"/>
    <w:rsid w:val="00A0779D"/>
    <w:rsid w:val="00A0779E"/>
    <w:rsid w:val="00A077B6"/>
    <w:rsid w:val="00A077BF"/>
    <w:rsid w:val="00A077D5"/>
    <w:rsid w:val="00A0781A"/>
    <w:rsid w:val="00A078A9"/>
    <w:rsid w:val="00A078CD"/>
    <w:rsid w:val="00A078D7"/>
    <w:rsid w:val="00A078FD"/>
    <w:rsid w:val="00A0790D"/>
    <w:rsid w:val="00A0792A"/>
    <w:rsid w:val="00A079B6"/>
    <w:rsid w:val="00A07A02"/>
    <w:rsid w:val="00A07A4B"/>
    <w:rsid w:val="00A07A4E"/>
    <w:rsid w:val="00A07AD2"/>
    <w:rsid w:val="00A07ADF"/>
    <w:rsid w:val="00A07AF7"/>
    <w:rsid w:val="00A07B00"/>
    <w:rsid w:val="00A07B04"/>
    <w:rsid w:val="00A07B26"/>
    <w:rsid w:val="00A07B2E"/>
    <w:rsid w:val="00A07B66"/>
    <w:rsid w:val="00A07BAA"/>
    <w:rsid w:val="00A07BC0"/>
    <w:rsid w:val="00A07BDA"/>
    <w:rsid w:val="00A07BF7"/>
    <w:rsid w:val="00A07C11"/>
    <w:rsid w:val="00A07C66"/>
    <w:rsid w:val="00A07C6C"/>
    <w:rsid w:val="00A07CD1"/>
    <w:rsid w:val="00A07CE5"/>
    <w:rsid w:val="00A07D33"/>
    <w:rsid w:val="00A07D7A"/>
    <w:rsid w:val="00A07DA2"/>
    <w:rsid w:val="00A07DEB"/>
    <w:rsid w:val="00A07DFE"/>
    <w:rsid w:val="00A07E0F"/>
    <w:rsid w:val="00A07E10"/>
    <w:rsid w:val="00A07E51"/>
    <w:rsid w:val="00A07EA1"/>
    <w:rsid w:val="00A07EA4"/>
    <w:rsid w:val="00A07EA7"/>
    <w:rsid w:val="00A07F10"/>
    <w:rsid w:val="00A07F14"/>
    <w:rsid w:val="00A07F40"/>
    <w:rsid w:val="00A07F5E"/>
    <w:rsid w:val="00A07F5F"/>
    <w:rsid w:val="00A07F6A"/>
    <w:rsid w:val="00A07F87"/>
    <w:rsid w:val="00A07F8B"/>
    <w:rsid w:val="00A07FB5"/>
    <w:rsid w:val="00A1000E"/>
    <w:rsid w:val="00A10016"/>
    <w:rsid w:val="00A10030"/>
    <w:rsid w:val="00A100CE"/>
    <w:rsid w:val="00A1013D"/>
    <w:rsid w:val="00A10147"/>
    <w:rsid w:val="00A101E0"/>
    <w:rsid w:val="00A101E6"/>
    <w:rsid w:val="00A1024A"/>
    <w:rsid w:val="00A10276"/>
    <w:rsid w:val="00A1027C"/>
    <w:rsid w:val="00A1027F"/>
    <w:rsid w:val="00A1030A"/>
    <w:rsid w:val="00A1032A"/>
    <w:rsid w:val="00A10336"/>
    <w:rsid w:val="00A10404"/>
    <w:rsid w:val="00A10416"/>
    <w:rsid w:val="00A10458"/>
    <w:rsid w:val="00A10474"/>
    <w:rsid w:val="00A104B1"/>
    <w:rsid w:val="00A10514"/>
    <w:rsid w:val="00A1056A"/>
    <w:rsid w:val="00A1057F"/>
    <w:rsid w:val="00A1059D"/>
    <w:rsid w:val="00A105C7"/>
    <w:rsid w:val="00A105D2"/>
    <w:rsid w:val="00A105FE"/>
    <w:rsid w:val="00A10608"/>
    <w:rsid w:val="00A10620"/>
    <w:rsid w:val="00A10669"/>
    <w:rsid w:val="00A10676"/>
    <w:rsid w:val="00A106B0"/>
    <w:rsid w:val="00A106D4"/>
    <w:rsid w:val="00A106D8"/>
    <w:rsid w:val="00A10713"/>
    <w:rsid w:val="00A107BA"/>
    <w:rsid w:val="00A107F8"/>
    <w:rsid w:val="00A10807"/>
    <w:rsid w:val="00A10837"/>
    <w:rsid w:val="00A10896"/>
    <w:rsid w:val="00A108B8"/>
    <w:rsid w:val="00A108F5"/>
    <w:rsid w:val="00A1091F"/>
    <w:rsid w:val="00A10920"/>
    <w:rsid w:val="00A1093A"/>
    <w:rsid w:val="00A109A6"/>
    <w:rsid w:val="00A109CE"/>
    <w:rsid w:val="00A10A42"/>
    <w:rsid w:val="00A10A64"/>
    <w:rsid w:val="00A10A86"/>
    <w:rsid w:val="00A10A9F"/>
    <w:rsid w:val="00A10AD5"/>
    <w:rsid w:val="00A10B55"/>
    <w:rsid w:val="00A10B69"/>
    <w:rsid w:val="00A10BA8"/>
    <w:rsid w:val="00A10BC6"/>
    <w:rsid w:val="00A10C05"/>
    <w:rsid w:val="00A10C22"/>
    <w:rsid w:val="00A10C27"/>
    <w:rsid w:val="00A10C57"/>
    <w:rsid w:val="00A10CD7"/>
    <w:rsid w:val="00A10D04"/>
    <w:rsid w:val="00A10D26"/>
    <w:rsid w:val="00A10D34"/>
    <w:rsid w:val="00A10D45"/>
    <w:rsid w:val="00A10D68"/>
    <w:rsid w:val="00A10D83"/>
    <w:rsid w:val="00A10DAD"/>
    <w:rsid w:val="00A10DBB"/>
    <w:rsid w:val="00A10DC4"/>
    <w:rsid w:val="00A10DC8"/>
    <w:rsid w:val="00A10E46"/>
    <w:rsid w:val="00A10ED8"/>
    <w:rsid w:val="00A10F03"/>
    <w:rsid w:val="00A10F7D"/>
    <w:rsid w:val="00A10FE3"/>
    <w:rsid w:val="00A11020"/>
    <w:rsid w:val="00A11022"/>
    <w:rsid w:val="00A11029"/>
    <w:rsid w:val="00A1103C"/>
    <w:rsid w:val="00A11058"/>
    <w:rsid w:val="00A11062"/>
    <w:rsid w:val="00A11064"/>
    <w:rsid w:val="00A11157"/>
    <w:rsid w:val="00A111DC"/>
    <w:rsid w:val="00A11271"/>
    <w:rsid w:val="00A112BA"/>
    <w:rsid w:val="00A112D7"/>
    <w:rsid w:val="00A112E1"/>
    <w:rsid w:val="00A112EE"/>
    <w:rsid w:val="00A11318"/>
    <w:rsid w:val="00A1132D"/>
    <w:rsid w:val="00A11367"/>
    <w:rsid w:val="00A1137A"/>
    <w:rsid w:val="00A113A8"/>
    <w:rsid w:val="00A1142A"/>
    <w:rsid w:val="00A114BA"/>
    <w:rsid w:val="00A114DF"/>
    <w:rsid w:val="00A11501"/>
    <w:rsid w:val="00A1157E"/>
    <w:rsid w:val="00A115BA"/>
    <w:rsid w:val="00A115BC"/>
    <w:rsid w:val="00A115D1"/>
    <w:rsid w:val="00A11605"/>
    <w:rsid w:val="00A1162F"/>
    <w:rsid w:val="00A1163E"/>
    <w:rsid w:val="00A11686"/>
    <w:rsid w:val="00A116BF"/>
    <w:rsid w:val="00A1171C"/>
    <w:rsid w:val="00A1178A"/>
    <w:rsid w:val="00A11796"/>
    <w:rsid w:val="00A1179B"/>
    <w:rsid w:val="00A117B2"/>
    <w:rsid w:val="00A117DA"/>
    <w:rsid w:val="00A117DD"/>
    <w:rsid w:val="00A117E3"/>
    <w:rsid w:val="00A117FE"/>
    <w:rsid w:val="00A11815"/>
    <w:rsid w:val="00A11819"/>
    <w:rsid w:val="00A1184E"/>
    <w:rsid w:val="00A11867"/>
    <w:rsid w:val="00A1187F"/>
    <w:rsid w:val="00A118AD"/>
    <w:rsid w:val="00A118FC"/>
    <w:rsid w:val="00A11903"/>
    <w:rsid w:val="00A11908"/>
    <w:rsid w:val="00A11918"/>
    <w:rsid w:val="00A11939"/>
    <w:rsid w:val="00A1195D"/>
    <w:rsid w:val="00A11961"/>
    <w:rsid w:val="00A119AA"/>
    <w:rsid w:val="00A11A36"/>
    <w:rsid w:val="00A11A44"/>
    <w:rsid w:val="00A11A4E"/>
    <w:rsid w:val="00A11A73"/>
    <w:rsid w:val="00A11ABA"/>
    <w:rsid w:val="00A11B68"/>
    <w:rsid w:val="00A11B6D"/>
    <w:rsid w:val="00A11B8D"/>
    <w:rsid w:val="00A11BA0"/>
    <w:rsid w:val="00A11BDA"/>
    <w:rsid w:val="00A11C1A"/>
    <w:rsid w:val="00A11C1B"/>
    <w:rsid w:val="00A11C2A"/>
    <w:rsid w:val="00A11C79"/>
    <w:rsid w:val="00A11CE0"/>
    <w:rsid w:val="00A11CF5"/>
    <w:rsid w:val="00A11D11"/>
    <w:rsid w:val="00A11D20"/>
    <w:rsid w:val="00A11D8E"/>
    <w:rsid w:val="00A11DD9"/>
    <w:rsid w:val="00A11DEB"/>
    <w:rsid w:val="00A11E0E"/>
    <w:rsid w:val="00A11E1E"/>
    <w:rsid w:val="00A11EAB"/>
    <w:rsid w:val="00A11EDE"/>
    <w:rsid w:val="00A11F2E"/>
    <w:rsid w:val="00A11F48"/>
    <w:rsid w:val="00A11F9C"/>
    <w:rsid w:val="00A11FB1"/>
    <w:rsid w:val="00A11FEA"/>
    <w:rsid w:val="00A11FFA"/>
    <w:rsid w:val="00A12026"/>
    <w:rsid w:val="00A12033"/>
    <w:rsid w:val="00A12064"/>
    <w:rsid w:val="00A120C3"/>
    <w:rsid w:val="00A1212F"/>
    <w:rsid w:val="00A1213F"/>
    <w:rsid w:val="00A12185"/>
    <w:rsid w:val="00A1218B"/>
    <w:rsid w:val="00A121CC"/>
    <w:rsid w:val="00A12206"/>
    <w:rsid w:val="00A1221E"/>
    <w:rsid w:val="00A12228"/>
    <w:rsid w:val="00A1225E"/>
    <w:rsid w:val="00A12281"/>
    <w:rsid w:val="00A122D2"/>
    <w:rsid w:val="00A12357"/>
    <w:rsid w:val="00A12371"/>
    <w:rsid w:val="00A12381"/>
    <w:rsid w:val="00A123B7"/>
    <w:rsid w:val="00A12418"/>
    <w:rsid w:val="00A12465"/>
    <w:rsid w:val="00A12576"/>
    <w:rsid w:val="00A1259B"/>
    <w:rsid w:val="00A125D1"/>
    <w:rsid w:val="00A125D2"/>
    <w:rsid w:val="00A125F5"/>
    <w:rsid w:val="00A1261C"/>
    <w:rsid w:val="00A1263B"/>
    <w:rsid w:val="00A1264C"/>
    <w:rsid w:val="00A1265D"/>
    <w:rsid w:val="00A126B7"/>
    <w:rsid w:val="00A126EE"/>
    <w:rsid w:val="00A126F1"/>
    <w:rsid w:val="00A126F3"/>
    <w:rsid w:val="00A12742"/>
    <w:rsid w:val="00A12767"/>
    <w:rsid w:val="00A127DE"/>
    <w:rsid w:val="00A127ED"/>
    <w:rsid w:val="00A127FA"/>
    <w:rsid w:val="00A1282F"/>
    <w:rsid w:val="00A12887"/>
    <w:rsid w:val="00A128B6"/>
    <w:rsid w:val="00A128D2"/>
    <w:rsid w:val="00A1292A"/>
    <w:rsid w:val="00A12933"/>
    <w:rsid w:val="00A129A1"/>
    <w:rsid w:val="00A129A3"/>
    <w:rsid w:val="00A129EE"/>
    <w:rsid w:val="00A12A33"/>
    <w:rsid w:val="00A12A93"/>
    <w:rsid w:val="00A12B1F"/>
    <w:rsid w:val="00A12B38"/>
    <w:rsid w:val="00A12B4A"/>
    <w:rsid w:val="00A12B77"/>
    <w:rsid w:val="00A12B99"/>
    <w:rsid w:val="00A12BB0"/>
    <w:rsid w:val="00A12BE4"/>
    <w:rsid w:val="00A12BE9"/>
    <w:rsid w:val="00A12C08"/>
    <w:rsid w:val="00A12C2D"/>
    <w:rsid w:val="00A12C53"/>
    <w:rsid w:val="00A12C70"/>
    <w:rsid w:val="00A12C78"/>
    <w:rsid w:val="00A12C7B"/>
    <w:rsid w:val="00A12CC3"/>
    <w:rsid w:val="00A12CFB"/>
    <w:rsid w:val="00A12D11"/>
    <w:rsid w:val="00A12D22"/>
    <w:rsid w:val="00A12D46"/>
    <w:rsid w:val="00A12DED"/>
    <w:rsid w:val="00A12E17"/>
    <w:rsid w:val="00A12E23"/>
    <w:rsid w:val="00A12E3C"/>
    <w:rsid w:val="00A12E41"/>
    <w:rsid w:val="00A12E4F"/>
    <w:rsid w:val="00A12E5F"/>
    <w:rsid w:val="00A12E72"/>
    <w:rsid w:val="00A12EC4"/>
    <w:rsid w:val="00A12EFC"/>
    <w:rsid w:val="00A12F27"/>
    <w:rsid w:val="00A12F75"/>
    <w:rsid w:val="00A12FAD"/>
    <w:rsid w:val="00A13010"/>
    <w:rsid w:val="00A13024"/>
    <w:rsid w:val="00A13051"/>
    <w:rsid w:val="00A130AB"/>
    <w:rsid w:val="00A130CE"/>
    <w:rsid w:val="00A130D1"/>
    <w:rsid w:val="00A13126"/>
    <w:rsid w:val="00A13135"/>
    <w:rsid w:val="00A13152"/>
    <w:rsid w:val="00A131EA"/>
    <w:rsid w:val="00A13209"/>
    <w:rsid w:val="00A13212"/>
    <w:rsid w:val="00A13227"/>
    <w:rsid w:val="00A1324D"/>
    <w:rsid w:val="00A1327C"/>
    <w:rsid w:val="00A13294"/>
    <w:rsid w:val="00A132BF"/>
    <w:rsid w:val="00A132CE"/>
    <w:rsid w:val="00A13331"/>
    <w:rsid w:val="00A13351"/>
    <w:rsid w:val="00A1336B"/>
    <w:rsid w:val="00A1337D"/>
    <w:rsid w:val="00A13403"/>
    <w:rsid w:val="00A13441"/>
    <w:rsid w:val="00A13459"/>
    <w:rsid w:val="00A1345F"/>
    <w:rsid w:val="00A13470"/>
    <w:rsid w:val="00A134DF"/>
    <w:rsid w:val="00A1351A"/>
    <w:rsid w:val="00A13521"/>
    <w:rsid w:val="00A13579"/>
    <w:rsid w:val="00A1358C"/>
    <w:rsid w:val="00A135A9"/>
    <w:rsid w:val="00A135AC"/>
    <w:rsid w:val="00A135BD"/>
    <w:rsid w:val="00A135C1"/>
    <w:rsid w:val="00A135C5"/>
    <w:rsid w:val="00A135D2"/>
    <w:rsid w:val="00A13615"/>
    <w:rsid w:val="00A13670"/>
    <w:rsid w:val="00A136A0"/>
    <w:rsid w:val="00A13760"/>
    <w:rsid w:val="00A13774"/>
    <w:rsid w:val="00A137D6"/>
    <w:rsid w:val="00A1380D"/>
    <w:rsid w:val="00A13810"/>
    <w:rsid w:val="00A13823"/>
    <w:rsid w:val="00A13895"/>
    <w:rsid w:val="00A138B4"/>
    <w:rsid w:val="00A138D1"/>
    <w:rsid w:val="00A13908"/>
    <w:rsid w:val="00A13929"/>
    <w:rsid w:val="00A13949"/>
    <w:rsid w:val="00A139A0"/>
    <w:rsid w:val="00A139F0"/>
    <w:rsid w:val="00A13A38"/>
    <w:rsid w:val="00A13A67"/>
    <w:rsid w:val="00A13A8E"/>
    <w:rsid w:val="00A13AED"/>
    <w:rsid w:val="00A13AF2"/>
    <w:rsid w:val="00A13AF8"/>
    <w:rsid w:val="00A13B16"/>
    <w:rsid w:val="00A13B34"/>
    <w:rsid w:val="00A13BCD"/>
    <w:rsid w:val="00A13C20"/>
    <w:rsid w:val="00A13C35"/>
    <w:rsid w:val="00A13C41"/>
    <w:rsid w:val="00A13CD4"/>
    <w:rsid w:val="00A13D13"/>
    <w:rsid w:val="00A13E12"/>
    <w:rsid w:val="00A13E39"/>
    <w:rsid w:val="00A13E5C"/>
    <w:rsid w:val="00A13E89"/>
    <w:rsid w:val="00A13EA8"/>
    <w:rsid w:val="00A13EC6"/>
    <w:rsid w:val="00A13EDC"/>
    <w:rsid w:val="00A13F15"/>
    <w:rsid w:val="00A13F51"/>
    <w:rsid w:val="00A13F67"/>
    <w:rsid w:val="00A1401E"/>
    <w:rsid w:val="00A14027"/>
    <w:rsid w:val="00A14070"/>
    <w:rsid w:val="00A140D8"/>
    <w:rsid w:val="00A140E7"/>
    <w:rsid w:val="00A14119"/>
    <w:rsid w:val="00A1411D"/>
    <w:rsid w:val="00A141BF"/>
    <w:rsid w:val="00A141CA"/>
    <w:rsid w:val="00A141D9"/>
    <w:rsid w:val="00A141E5"/>
    <w:rsid w:val="00A14258"/>
    <w:rsid w:val="00A14275"/>
    <w:rsid w:val="00A142B5"/>
    <w:rsid w:val="00A1430F"/>
    <w:rsid w:val="00A14312"/>
    <w:rsid w:val="00A14326"/>
    <w:rsid w:val="00A1435C"/>
    <w:rsid w:val="00A14398"/>
    <w:rsid w:val="00A143E2"/>
    <w:rsid w:val="00A1440E"/>
    <w:rsid w:val="00A144AD"/>
    <w:rsid w:val="00A144E6"/>
    <w:rsid w:val="00A1450B"/>
    <w:rsid w:val="00A1450F"/>
    <w:rsid w:val="00A14529"/>
    <w:rsid w:val="00A1453B"/>
    <w:rsid w:val="00A1458B"/>
    <w:rsid w:val="00A145AC"/>
    <w:rsid w:val="00A14603"/>
    <w:rsid w:val="00A14606"/>
    <w:rsid w:val="00A14613"/>
    <w:rsid w:val="00A1464E"/>
    <w:rsid w:val="00A14652"/>
    <w:rsid w:val="00A1465A"/>
    <w:rsid w:val="00A14681"/>
    <w:rsid w:val="00A1468C"/>
    <w:rsid w:val="00A1469C"/>
    <w:rsid w:val="00A146DF"/>
    <w:rsid w:val="00A147CF"/>
    <w:rsid w:val="00A1484B"/>
    <w:rsid w:val="00A148AC"/>
    <w:rsid w:val="00A148C4"/>
    <w:rsid w:val="00A148D4"/>
    <w:rsid w:val="00A14958"/>
    <w:rsid w:val="00A14965"/>
    <w:rsid w:val="00A14976"/>
    <w:rsid w:val="00A14983"/>
    <w:rsid w:val="00A14A11"/>
    <w:rsid w:val="00A14A6E"/>
    <w:rsid w:val="00A14A99"/>
    <w:rsid w:val="00A14ACF"/>
    <w:rsid w:val="00A14AE0"/>
    <w:rsid w:val="00A14B2A"/>
    <w:rsid w:val="00A14B63"/>
    <w:rsid w:val="00A14B85"/>
    <w:rsid w:val="00A14B95"/>
    <w:rsid w:val="00A14BA7"/>
    <w:rsid w:val="00A14C12"/>
    <w:rsid w:val="00A14C47"/>
    <w:rsid w:val="00A14CCC"/>
    <w:rsid w:val="00A14D02"/>
    <w:rsid w:val="00A14D0E"/>
    <w:rsid w:val="00A14D54"/>
    <w:rsid w:val="00A14D63"/>
    <w:rsid w:val="00A14DF2"/>
    <w:rsid w:val="00A14DF7"/>
    <w:rsid w:val="00A14E06"/>
    <w:rsid w:val="00A14E5A"/>
    <w:rsid w:val="00A14EBD"/>
    <w:rsid w:val="00A14EC4"/>
    <w:rsid w:val="00A14EEF"/>
    <w:rsid w:val="00A14F5B"/>
    <w:rsid w:val="00A14F62"/>
    <w:rsid w:val="00A14FC2"/>
    <w:rsid w:val="00A14FC8"/>
    <w:rsid w:val="00A15015"/>
    <w:rsid w:val="00A15024"/>
    <w:rsid w:val="00A15033"/>
    <w:rsid w:val="00A150CD"/>
    <w:rsid w:val="00A150E4"/>
    <w:rsid w:val="00A150E8"/>
    <w:rsid w:val="00A15170"/>
    <w:rsid w:val="00A151DA"/>
    <w:rsid w:val="00A15226"/>
    <w:rsid w:val="00A1522B"/>
    <w:rsid w:val="00A15237"/>
    <w:rsid w:val="00A15248"/>
    <w:rsid w:val="00A1527E"/>
    <w:rsid w:val="00A152B7"/>
    <w:rsid w:val="00A152D2"/>
    <w:rsid w:val="00A1530A"/>
    <w:rsid w:val="00A15326"/>
    <w:rsid w:val="00A1534A"/>
    <w:rsid w:val="00A15368"/>
    <w:rsid w:val="00A15386"/>
    <w:rsid w:val="00A15399"/>
    <w:rsid w:val="00A1539E"/>
    <w:rsid w:val="00A153F5"/>
    <w:rsid w:val="00A153FE"/>
    <w:rsid w:val="00A15421"/>
    <w:rsid w:val="00A15430"/>
    <w:rsid w:val="00A154A1"/>
    <w:rsid w:val="00A154F9"/>
    <w:rsid w:val="00A154FE"/>
    <w:rsid w:val="00A154FF"/>
    <w:rsid w:val="00A15555"/>
    <w:rsid w:val="00A1557B"/>
    <w:rsid w:val="00A1557D"/>
    <w:rsid w:val="00A15598"/>
    <w:rsid w:val="00A155A4"/>
    <w:rsid w:val="00A155B0"/>
    <w:rsid w:val="00A1560E"/>
    <w:rsid w:val="00A15642"/>
    <w:rsid w:val="00A15651"/>
    <w:rsid w:val="00A1567C"/>
    <w:rsid w:val="00A1569F"/>
    <w:rsid w:val="00A156CF"/>
    <w:rsid w:val="00A156F4"/>
    <w:rsid w:val="00A15733"/>
    <w:rsid w:val="00A157E2"/>
    <w:rsid w:val="00A1581B"/>
    <w:rsid w:val="00A15851"/>
    <w:rsid w:val="00A1587E"/>
    <w:rsid w:val="00A158A1"/>
    <w:rsid w:val="00A158A8"/>
    <w:rsid w:val="00A158AF"/>
    <w:rsid w:val="00A158B5"/>
    <w:rsid w:val="00A1590B"/>
    <w:rsid w:val="00A15995"/>
    <w:rsid w:val="00A15A20"/>
    <w:rsid w:val="00A15A5D"/>
    <w:rsid w:val="00A15A72"/>
    <w:rsid w:val="00A15AD9"/>
    <w:rsid w:val="00A15ADC"/>
    <w:rsid w:val="00A15AE3"/>
    <w:rsid w:val="00A15BA8"/>
    <w:rsid w:val="00A15C24"/>
    <w:rsid w:val="00A15C4E"/>
    <w:rsid w:val="00A15CDA"/>
    <w:rsid w:val="00A15CF3"/>
    <w:rsid w:val="00A15D11"/>
    <w:rsid w:val="00A15D89"/>
    <w:rsid w:val="00A15DFB"/>
    <w:rsid w:val="00A15E00"/>
    <w:rsid w:val="00A15E05"/>
    <w:rsid w:val="00A15E11"/>
    <w:rsid w:val="00A15E2B"/>
    <w:rsid w:val="00A15E81"/>
    <w:rsid w:val="00A15E9D"/>
    <w:rsid w:val="00A15EAD"/>
    <w:rsid w:val="00A15ED3"/>
    <w:rsid w:val="00A15EFF"/>
    <w:rsid w:val="00A15F24"/>
    <w:rsid w:val="00A15F6A"/>
    <w:rsid w:val="00A15F7B"/>
    <w:rsid w:val="00A15F99"/>
    <w:rsid w:val="00A15FB6"/>
    <w:rsid w:val="00A15FE9"/>
    <w:rsid w:val="00A16037"/>
    <w:rsid w:val="00A1604E"/>
    <w:rsid w:val="00A16068"/>
    <w:rsid w:val="00A1607D"/>
    <w:rsid w:val="00A16087"/>
    <w:rsid w:val="00A160AC"/>
    <w:rsid w:val="00A160F4"/>
    <w:rsid w:val="00A160FD"/>
    <w:rsid w:val="00A1613C"/>
    <w:rsid w:val="00A1617C"/>
    <w:rsid w:val="00A16184"/>
    <w:rsid w:val="00A16191"/>
    <w:rsid w:val="00A1627A"/>
    <w:rsid w:val="00A162A6"/>
    <w:rsid w:val="00A162E2"/>
    <w:rsid w:val="00A162F6"/>
    <w:rsid w:val="00A16316"/>
    <w:rsid w:val="00A1633C"/>
    <w:rsid w:val="00A16341"/>
    <w:rsid w:val="00A1634F"/>
    <w:rsid w:val="00A1636C"/>
    <w:rsid w:val="00A16370"/>
    <w:rsid w:val="00A16381"/>
    <w:rsid w:val="00A1639B"/>
    <w:rsid w:val="00A163AA"/>
    <w:rsid w:val="00A16435"/>
    <w:rsid w:val="00A1645C"/>
    <w:rsid w:val="00A16549"/>
    <w:rsid w:val="00A165B8"/>
    <w:rsid w:val="00A165FD"/>
    <w:rsid w:val="00A16652"/>
    <w:rsid w:val="00A1668F"/>
    <w:rsid w:val="00A16698"/>
    <w:rsid w:val="00A1669F"/>
    <w:rsid w:val="00A16723"/>
    <w:rsid w:val="00A1672D"/>
    <w:rsid w:val="00A1678C"/>
    <w:rsid w:val="00A1678E"/>
    <w:rsid w:val="00A16790"/>
    <w:rsid w:val="00A16794"/>
    <w:rsid w:val="00A16798"/>
    <w:rsid w:val="00A167B0"/>
    <w:rsid w:val="00A167BA"/>
    <w:rsid w:val="00A167F3"/>
    <w:rsid w:val="00A16816"/>
    <w:rsid w:val="00A16837"/>
    <w:rsid w:val="00A1684A"/>
    <w:rsid w:val="00A16870"/>
    <w:rsid w:val="00A16890"/>
    <w:rsid w:val="00A16896"/>
    <w:rsid w:val="00A168A1"/>
    <w:rsid w:val="00A16916"/>
    <w:rsid w:val="00A1694B"/>
    <w:rsid w:val="00A16987"/>
    <w:rsid w:val="00A169C2"/>
    <w:rsid w:val="00A16A0E"/>
    <w:rsid w:val="00A16A39"/>
    <w:rsid w:val="00A16A5A"/>
    <w:rsid w:val="00A16A84"/>
    <w:rsid w:val="00A16A99"/>
    <w:rsid w:val="00A16B0F"/>
    <w:rsid w:val="00A16B3C"/>
    <w:rsid w:val="00A16BC8"/>
    <w:rsid w:val="00A16BF9"/>
    <w:rsid w:val="00A16C17"/>
    <w:rsid w:val="00A16C81"/>
    <w:rsid w:val="00A16CA3"/>
    <w:rsid w:val="00A16CB3"/>
    <w:rsid w:val="00A16D06"/>
    <w:rsid w:val="00A16D16"/>
    <w:rsid w:val="00A16D49"/>
    <w:rsid w:val="00A16D64"/>
    <w:rsid w:val="00A16DD5"/>
    <w:rsid w:val="00A16DF1"/>
    <w:rsid w:val="00A16E09"/>
    <w:rsid w:val="00A16E0F"/>
    <w:rsid w:val="00A16E7E"/>
    <w:rsid w:val="00A16EAC"/>
    <w:rsid w:val="00A16EEF"/>
    <w:rsid w:val="00A16F00"/>
    <w:rsid w:val="00A16F28"/>
    <w:rsid w:val="00A16F39"/>
    <w:rsid w:val="00A16F5E"/>
    <w:rsid w:val="00A16FB7"/>
    <w:rsid w:val="00A16FC5"/>
    <w:rsid w:val="00A17008"/>
    <w:rsid w:val="00A1701F"/>
    <w:rsid w:val="00A17071"/>
    <w:rsid w:val="00A17074"/>
    <w:rsid w:val="00A17089"/>
    <w:rsid w:val="00A170D5"/>
    <w:rsid w:val="00A170E0"/>
    <w:rsid w:val="00A171D9"/>
    <w:rsid w:val="00A17235"/>
    <w:rsid w:val="00A1727A"/>
    <w:rsid w:val="00A172D1"/>
    <w:rsid w:val="00A1730E"/>
    <w:rsid w:val="00A17334"/>
    <w:rsid w:val="00A17338"/>
    <w:rsid w:val="00A17347"/>
    <w:rsid w:val="00A17416"/>
    <w:rsid w:val="00A1753C"/>
    <w:rsid w:val="00A175D3"/>
    <w:rsid w:val="00A1761C"/>
    <w:rsid w:val="00A17648"/>
    <w:rsid w:val="00A17649"/>
    <w:rsid w:val="00A176C1"/>
    <w:rsid w:val="00A176EA"/>
    <w:rsid w:val="00A1771E"/>
    <w:rsid w:val="00A17720"/>
    <w:rsid w:val="00A17740"/>
    <w:rsid w:val="00A17767"/>
    <w:rsid w:val="00A17768"/>
    <w:rsid w:val="00A1776E"/>
    <w:rsid w:val="00A177A5"/>
    <w:rsid w:val="00A177CB"/>
    <w:rsid w:val="00A17802"/>
    <w:rsid w:val="00A17805"/>
    <w:rsid w:val="00A1780D"/>
    <w:rsid w:val="00A17821"/>
    <w:rsid w:val="00A1782B"/>
    <w:rsid w:val="00A17857"/>
    <w:rsid w:val="00A178E2"/>
    <w:rsid w:val="00A17949"/>
    <w:rsid w:val="00A1797C"/>
    <w:rsid w:val="00A17991"/>
    <w:rsid w:val="00A179C5"/>
    <w:rsid w:val="00A17A1F"/>
    <w:rsid w:val="00A17A22"/>
    <w:rsid w:val="00A17A38"/>
    <w:rsid w:val="00A17A46"/>
    <w:rsid w:val="00A17A4D"/>
    <w:rsid w:val="00A17A65"/>
    <w:rsid w:val="00A17AE9"/>
    <w:rsid w:val="00A17B02"/>
    <w:rsid w:val="00A17BA8"/>
    <w:rsid w:val="00A17BF4"/>
    <w:rsid w:val="00A17C1C"/>
    <w:rsid w:val="00A17C9A"/>
    <w:rsid w:val="00A17CAD"/>
    <w:rsid w:val="00A17CE8"/>
    <w:rsid w:val="00A17CED"/>
    <w:rsid w:val="00A17D26"/>
    <w:rsid w:val="00A17D58"/>
    <w:rsid w:val="00A17DA2"/>
    <w:rsid w:val="00A17DCC"/>
    <w:rsid w:val="00A17DFA"/>
    <w:rsid w:val="00A17E01"/>
    <w:rsid w:val="00A17E16"/>
    <w:rsid w:val="00A17E1C"/>
    <w:rsid w:val="00A17E31"/>
    <w:rsid w:val="00A17E34"/>
    <w:rsid w:val="00A17E5A"/>
    <w:rsid w:val="00A17EAE"/>
    <w:rsid w:val="00A17F26"/>
    <w:rsid w:val="00A17F63"/>
    <w:rsid w:val="00A17FB3"/>
    <w:rsid w:val="00A20009"/>
    <w:rsid w:val="00A20050"/>
    <w:rsid w:val="00A20087"/>
    <w:rsid w:val="00A200C4"/>
    <w:rsid w:val="00A200D9"/>
    <w:rsid w:val="00A200DA"/>
    <w:rsid w:val="00A200DC"/>
    <w:rsid w:val="00A2010E"/>
    <w:rsid w:val="00A20270"/>
    <w:rsid w:val="00A202D9"/>
    <w:rsid w:val="00A202DB"/>
    <w:rsid w:val="00A20301"/>
    <w:rsid w:val="00A20311"/>
    <w:rsid w:val="00A2037D"/>
    <w:rsid w:val="00A203B0"/>
    <w:rsid w:val="00A203D5"/>
    <w:rsid w:val="00A203E4"/>
    <w:rsid w:val="00A203ED"/>
    <w:rsid w:val="00A2042E"/>
    <w:rsid w:val="00A2045C"/>
    <w:rsid w:val="00A20465"/>
    <w:rsid w:val="00A20468"/>
    <w:rsid w:val="00A20491"/>
    <w:rsid w:val="00A204B2"/>
    <w:rsid w:val="00A204C6"/>
    <w:rsid w:val="00A20551"/>
    <w:rsid w:val="00A2055C"/>
    <w:rsid w:val="00A20598"/>
    <w:rsid w:val="00A2059C"/>
    <w:rsid w:val="00A205A4"/>
    <w:rsid w:val="00A205AE"/>
    <w:rsid w:val="00A205B0"/>
    <w:rsid w:val="00A205C8"/>
    <w:rsid w:val="00A205D1"/>
    <w:rsid w:val="00A205E2"/>
    <w:rsid w:val="00A20624"/>
    <w:rsid w:val="00A2066C"/>
    <w:rsid w:val="00A20772"/>
    <w:rsid w:val="00A2077C"/>
    <w:rsid w:val="00A20798"/>
    <w:rsid w:val="00A207C1"/>
    <w:rsid w:val="00A2080D"/>
    <w:rsid w:val="00A20816"/>
    <w:rsid w:val="00A20850"/>
    <w:rsid w:val="00A20856"/>
    <w:rsid w:val="00A208EC"/>
    <w:rsid w:val="00A20943"/>
    <w:rsid w:val="00A20970"/>
    <w:rsid w:val="00A20985"/>
    <w:rsid w:val="00A2099A"/>
    <w:rsid w:val="00A209BA"/>
    <w:rsid w:val="00A209C9"/>
    <w:rsid w:val="00A20A9A"/>
    <w:rsid w:val="00A20A9E"/>
    <w:rsid w:val="00A20AC7"/>
    <w:rsid w:val="00A20B73"/>
    <w:rsid w:val="00A20B7F"/>
    <w:rsid w:val="00A20BA0"/>
    <w:rsid w:val="00A20BB6"/>
    <w:rsid w:val="00A20C05"/>
    <w:rsid w:val="00A20C25"/>
    <w:rsid w:val="00A20C3B"/>
    <w:rsid w:val="00A20C40"/>
    <w:rsid w:val="00A20C5A"/>
    <w:rsid w:val="00A20C89"/>
    <w:rsid w:val="00A20C8B"/>
    <w:rsid w:val="00A20D3B"/>
    <w:rsid w:val="00A20D59"/>
    <w:rsid w:val="00A20D99"/>
    <w:rsid w:val="00A20DA1"/>
    <w:rsid w:val="00A20DDC"/>
    <w:rsid w:val="00A20E2B"/>
    <w:rsid w:val="00A20E65"/>
    <w:rsid w:val="00A20E84"/>
    <w:rsid w:val="00A20E85"/>
    <w:rsid w:val="00A20EA8"/>
    <w:rsid w:val="00A20F0E"/>
    <w:rsid w:val="00A20F2B"/>
    <w:rsid w:val="00A20F48"/>
    <w:rsid w:val="00A20FD8"/>
    <w:rsid w:val="00A20FDE"/>
    <w:rsid w:val="00A20FE9"/>
    <w:rsid w:val="00A20FF4"/>
    <w:rsid w:val="00A21067"/>
    <w:rsid w:val="00A21099"/>
    <w:rsid w:val="00A2114F"/>
    <w:rsid w:val="00A21150"/>
    <w:rsid w:val="00A21163"/>
    <w:rsid w:val="00A211A5"/>
    <w:rsid w:val="00A21228"/>
    <w:rsid w:val="00A21238"/>
    <w:rsid w:val="00A2123A"/>
    <w:rsid w:val="00A21240"/>
    <w:rsid w:val="00A2124D"/>
    <w:rsid w:val="00A212A8"/>
    <w:rsid w:val="00A2134A"/>
    <w:rsid w:val="00A213A3"/>
    <w:rsid w:val="00A213B4"/>
    <w:rsid w:val="00A213D6"/>
    <w:rsid w:val="00A21413"/>
    <w:rsid w:val="00A2141E"/>
    <w:rsid w:val="00A21457"/>
    <w:rsid w:val="00A2148B"/>
    <w:rsid w:val="00A214AE"/>
    <w:rsid w:val="00A214B0"/>
    <w:rsid w:val="00A214C9"/>
    <w:rsid w:val="00A2157B"/>
    <w:rsid w:val="00A21586"/>
    <w:rsid w:val="00A215AB"/>
    <w:rsid w:val="00A2160A"/>
    <w:rsid w:val="00A2161C"/>
    <w:rsid w:val="00A21626"/>
    <w:rsid w:val="00A21665"/>
    <w:rsid w:val="00A21696"/>
    <w:rsid w:val="00A216B4"/>
    <w:rsid w:val="00A216FE"/>
    <w:rsid w:val="00A217A8"/>
    <w:rsid w:val="00A217CE"/>
    <w:rsid w:val="00A217EA"/>
    <w:rsid w:val="00A217F1"/>
    <w:rsid w:val="00A2180C"/>
    <w:rsid w:val="00A2182F"/>
    <w:rsid w:val="00A2188B"/>
    <w:rsid w:val="00A218F5"/>
    <w:rsid w:val="00A2190C"/>
    <w:rsid w:val="00A21945"/>
    <w:rsid w:val="00A21961"/>
    <w:rsid w:val="00A219AF"/>
    <w:rsid w:val="00A219B2"/>
    <w:rsid w:val="00A219B9"/>
    <w:rsid w:val="00A219C4"/>
    <w:rsid w:val="00A219D8"/>
    <w:rsid w:val="00A219E0"/>
    <w:rsid w:val="00A21A4E"/>
    <w:rsid w:val="00A21A73"/>
    <w:rsid w:val="00A21AA2"/>
    <w:rsid w:val="00A21ADB"/>
    <w:rsid w:val="00A21B0E"/>
    <w:rsid w:val="00A21B1C"/>
    <w:rsid w:val="00A21B1F"/>
    <w:rsid w:val="00A21B2C"/>
    <w:rsid w:val="00A21B5B"/>
    <w:rsid w:val="00A21B80"/>
    <w:rsid w:val="00A21BCD"/>
    <w:rsid w:val="00A21BDC"/>
    <w:rsid w:val="00A21BE7"/>
    <w:rsid w:val="00A21BFF"/>
    <w:rsid w:val="00A21C29"/>
    <w:rsid w:val="00A21C6A"/>
    <w:rsid w:val="00A21C87"/>
    <w:rsid w:val="00A21CBD"/>
    <w:rsid w:val="00A21CD5"/>
    <w:rsid w:val="00A21CF6"/>
    <w:rsid w:val="00A21D18"/>
    <w:rsid w:val="00A21D70"/>
    <w:rsid w:val="00A21DD1"/>
    <w:rsid w:val="00A21E13"/>
    <w:rsid w:val="00A21E73"/>
    <w:rsid w:val="00A21E9E"/>
    <w:rsid w:val="00A21EA6"/>
    <w:rsid w:val="00A21EAF"/>
    <w:rsid w:val="00A21EB2"/>
    <w:rsid w:val="00A21F2C"/>
    <w:rsid w:val="00A21F62"/>
    <w:rsid w:val="00A21FA4"/>
    <w:rsid w:val="00A21FB5"/>
    <w:rsid w:val="00A21FF4"/>
    <w:rsid w:val="00A22019"/>
    <w:rsid w:val="00A22023"/>
    <w:rsid w:val="00A2204D"/>
    <w:rsid w:val="00A22073"/>
    <w:rsid w:val="00A22091"/>
    <w:rsid w:val="00A220ED"/>
    <w:rsid w:val="00A22103"/>
    <w:rsid w:val="00A22117"/>
    <w:rsid w:val="00A22142"/>
    <w:rsid w:val="00A22144"/>
    <w:rsid w:val="00A22151"/>
    <w:rsid w:val="00A221A1"/>
    <w:rsid w:val="00A221C4"/>
    <w:rsid w:val="00A221CB"/>
    <w:rsid w:val="00A22204"/>
    <w:rsid w:val="00A2222F"/>
    <w:rsid w:val="00A22275"/>
    <w:rsid w:val="00A22285"/>
    <w:rsid w:val="00A2229B"/>
    <w:rsid w:val="00A222FA"/>
    <w:rsid w:val="00A22304"/>
    <w:rsid w:val="00A2231B"/>
    <w:rsid w:val="00A2232A"/>
    <w:rsid w:val="00A2236A"/>
    <w:rsid w:val="00A2239D"/>
    <w:rsid w:val="00A223A2"/>
    <w:rsid w:val="00A223DD"/>
    <w:rsid w:val="00A223E3"/>
    <w:rsid w:val="00A223E5"/>
    <w:rsid w:val="00A224C1"/>
    <w:rsid w:val="00A224DC"/>
    <w:rsid w:val="00A224F4"/>
    <w:rsid w:val="00A2253C"/>
    <w:rsid w:val="00A225BA"/>
    <w:rsid w:val="00A225F3"/>
    <w:rsid w:val="00A22683"/>
    <w:rsid w:val="00A226A7"/>
    <w:rsid w:val="00A226B8"/>
    <w:rsid w:val="00A2272B"/>
    <w:rsid w:val="00A2272D"/>
    <w:rsid w:val="00A2275E"/>
    <w:rsid w:val="00A2276B"/>
    <w:rsid w:val="00A2276C"/>
    <w:rsid w:val="00A227C0"/>
    <w:rsid w:val="00A227EF"/>
    <w:rsid w:val="00A227FE"/>
    <w:rsid w:val="00A22803"/>
    <w:rsid w:val="00A2282F"/>
    <w:rsid w:val="00A22846"/>
    <w:rsid w:val="00A22947"/>
    <w:rsid w:val="00A2298D"/>
    <w:rsid w:val="00A22992"/>
    <w:rsid w:val="00A229EC"/>
    <w:rsid w:val="00A22A40"/>
    <w:rsid w:val="00A22A7B"/>
    <w:rsid w:val="00A22A9D"/>
    <w:rsid w:val="00A22AB5"/>
    <w:rsid w:val="00A22AD5"/>
    <w:rsid w:val="00A22AE0"/>
    <w:rsid w:val="00A22AE8"/>
    <w:rsid w:val="00A22B4E"/>
    <w:rsid w:val="00A22B61"/>
    <w:rsid w:val="00A22B84"/>
    <w:rsid w:val="00A22BBC"/>
    <w:rsid w:val="00A22BED"/>
    <w:rsid w:val="00A22C47"/>
    <w:rsid w:val="00A22C5F"/>
    <w:rsid w:val="00A22C78"/>
    <w:rsid w:val="00A22C7F"/>
    <w:rsid w:val="00A22CBD"/>
    <w:rsid w:val="00A22CE7"/>
    <w:rsid w:val="00A22D15"/>
    <w:rsid w:val="00A22D33"/>
    <w:rsid w:val="00A22D37"/>
    <w:rsid w:val="00A22D5A"/>
    <w:rsid w:val="00A22D6B"/>
    <w:rsid w:val="00A22D86"/>
    <w:rsid w:val="00A22DA1"/>
    <w:rsid w:val="00A22DA9"/>
    <w:rsid w:val="00A22DE9"/>
    <w:rsid w:val="00A22E30"/>
    <w:rsid w:val="00A22E46"/>
    <w:rsid w:val="00A22EDC"/>
    <w:rsid w:val="00A22EE0"/>
    <w:rsid w:val="00A22EE1"/>
    <w:rsid w:val="00A22F97"/>
    <w:rsid w:val="00A22FB3"/>
    <w:rsid w:val="00A22FE4"/>
    <w:rsid w:val="00A22FEC"/>
    <w:rsid w:val="00A2301C"/>
    <w:rsid w:val="00A23035"/>
    <w:rsid w:val="00A23069"/>
    <w:rsid w:val="00A230B7"/>
    <w:rsid w:val="00A230CA"/>
    <w:rsid w:val="00A230FA"/>
    <w:rsid w:val="00A23125"/>
    <w:rsid w:val="00A23150"/>
    <w:rsid w:val="00A2318B"/>
    <w:rsid w:val="00A231F1"/>
    <w:rsid w:val="00A23209"/>
    <w:rsid w:val="00A23222"/>
    <w:rsid w:val="00A2322C"/>
    <w:rsid w:val="00A2325A"/>
    <w:rsid w:val="00A2327D"/>
    <w:rsid w:val="00A232E0"/>
    <w:rsid w:val="00A232F3"/>
    <w:rsid w:val="00A2334A"/>
    <w:rsid w:val="00A23355"/>
    <w:rsid w:val="00A23376"/>
    <w:rsid w:val="00A23388"/>
    <w:rsid w:val="00A2338B"/>
    <w:rsid w:val="00A233C1"/>
    <w:rsid w:val="00A233D7"/>
    <w:rsid w:val="00A233DF"/>
    <w:rsid w:val="00A23430"/>
    <w:rsid w:val="00A2343A"/>
    <w:rsid w:val="00A2344B"/>
    <w:rsid w:val="00A2346B"/>
    <w:rsid w:val="00A234CF"/>
    <w:rsid w:val="00A234D4"/>
    <w:rsid w:val="00A2358D"/>
    <w:rsid w:val="00A235B0"/>
    <w:rsid w:val="00A235C0"/>
    <w:rsid w:val="00A235F6"/>
    <w:rsid w:val="00A23613"/>
    <w:rsid w:val="00A23616"/>
    <w:rsid w:val="00A2361D"/>
    <w:rsid w:val="00A2362F"/>
    <w:rsid w:val="00A23642"/>
    <w:rsid w:val="00A2365C"/>
    <w:rsid w:val="00A2368C"/>
    <w:rsid w:val="00A236D2"/>
    <w:rsid w:val="00A23715"/>
    <w:rsid w:val="00A23736"/>
    <w:rsid w:val="00A2375D"/>
    <w:rsid w:val="00A2377C"/>
    <w:rsid w:val="00A237FE"/>
    <w:rsid w:val="00A23814"/>
    <w:rsid w:val="00A23840"/>
    <w:rsid w:val="00A23841"/>
    <w:rsid w:val="00A2386C"/>
    <w:rsid w:val="00A23880"/>
    <w:rsid w:val="00A23890"/>
    <w:rsid w:val="00A23897"/>
    <w:rsid w:val="00A238E3"/>
    <w:rsid w:val="00A2391B"/>
    <w:rsid w:val="00A2396E"/>
    <w:rsid w:val="00A239A7"/>
    <w:rsid w:val="00A239D9"/>
    <w:rsid w:val="00A239E3"/>
    <w:rsid w:val="00A23A27"/>
    <w:rsid w:val="00A23A93"/>
    <w:rsid w:val="00A23A96"/>
    <w:rsid w:val="00A23AA4"/>
    <w:rsid w:val="00A23AAA"/>
    <w:rsid w:val="00A23AD4"/>
    <w:rsid w:val="00A23BB9"/>
    <w:rsid w:val="00A23BD8"/>
    <w:rsid w:val="00A23BE3"/>
    <w:rsid w:val="00A23C04"/>
    <w:rsid w:val="00A23C06"/>
    <w:rsid w:val="00A23C0F"/>
    <w:rsid w:val="00A23C3A"/>
    <w:rsid w:val="00A23C3E"/>
    <w:rsid w:val="00A23C6E"/>
    <w:rsid w:val="00A23C7F"/>
    <w:rsid w:val="00A23CF0"/>
    <w:rsid w:val="00A23D03"/>
    <w:rsid w:val="00A23D69"/>
    <w:rsid w:val="00A23D6F"/>
    <w:rsid w:val="00A23D8B"/>
    <w:rsid w:val="00A23DC3"/>
    <w:rsid w:val="00A23E69"/>
    <w:rsid w:val="00A23EA2"/>
    <w:rsid w:val="00A23EBB"/>
    <w:rsid w:val="00A23EC9"/>
    <w:rsid w:val="00A23ECD"/>
    <w:rsid w:val="00A23F56"/>
    <w:rsid w:val="00A23F6B"/>
    <w:rsid w:val="00A23FB5"/>
    <w:rsid w:val="00A24010"/>
    <w:rsid w:val="00A24015"/>
    <w:rsid w:val="00A2402E"/>
    <w:rsid w:val="00A2406C"/>
    <w:rsid w:val="00A2408E"/>
    <w:rsid w:val="00A2411C"/>
    <w:rsid w:val="00A24136"/>
    <w:rsid w:val="00A2413B"/>
    <w:rsid w:val="00A2414A"/>
    <w:rsid w:val="00A2416A"/>
    <w:rsid w:val="00A24181"/>
    <w:rsid w:val="00A24194"/>
    <w:rsid w:val="00A241A0"/>
    <w:rsid w:val="00A241AE"/>
    <w:rsid w:val="00A241BA"/>
    <w:rsid w:val="00A241D0"/>
    <w:rsid w:val="00A24246"/>
    <w:rsid w:val="00A24296"/>
    <w:rsid w:val="00A242BD"/>
    <w:rsid w:val="00A242CA"/>
    <w:rsid w:val="00A24304"/>
    <w:rsid w:val="00A24306"/>
    <w:rsid w:val="00A24321"/>
    <w:rsid w:val="00A2434B"/>
    <w:rsid w:val="00A24366"/>
    <w:rsid w:val="00A2436A"/>
    <w:rsid w:val="00A24376"/>
    <w:rsid w:val="00A24387"/>
    <w:rsid w:val="00A24390"/>
    <w:rsid w:val="00A243A0"/>
    <w:rsid w:val="00A243A4"/>
    <w:rsid w:val="00A243B1"/>
    <w:rsid w:val="00A243D4"/>
    <w:rsid w:val="00A24426"/>
    <w:rsid w:val="00A2443C"/>
    <w:rsid w:val="00A2445E"/>
    <w:rsid w:val="00A244A8"/>
    <w:rsid w:val="00A244C4"/>
    <w:rsid w:val="00A24516"/>
    <w:rsid w:val="00A24535"/>
    <w:rsid w:val="00A2453D"/>
    <w:rsid w:val="00A24559"/>
    <w:rsid w:val="00A2457A"/>
    <w:rsid w:val="00A2458B"/>
    <w:rsid w:val="00A2459D"/>
    <w:rsid w:val="00A245CD"/>
    <w:rsid w:val="00A245ED"/>
    <w:rsid w:val="00A2461E"/>
    <w:rsid w:val="00A2462A"/>
    <w:rsid w:val="00A24646"/>
    <w:rsid w:val="00A2464A"/>
    <w:rsid w:val="00A24653"/>
    <w:rsid w:val="00A246BD"/>
    <w:rsid w:val="00A246E4"/>
    <w:rsid w:val="00A246F4"/>
    <w:rsid w:val="00A2472D"/>
    <w:rsid w:val="00A2474F"/>
    <w:rsid w:val="00A24782"/>
    <w:rsid w:val="00A24788"/>
    <w:rsid w:val="00A2478C"/>
    <w:rsid w:val="00A247A1"/>
    <w:rsid w:val="00A247B7"/>
    <w:rsid w:val="00A247F0"/>
    <w:rsid w:val="00A2485E"/>
    <w:rsid w:val="00A248E0"/>
    <w:rsid w:val="00A24986"/>
    <w:rsid w:val="00A2498B"/>
    <w:rsid w:val="00A249B2"/>
    <w:rsid w:val="00A249C9"/>
    <w:rsid w:val="00A249DC"/>
    <w:rsid w:val="00A249FD"/>
    <w:rsid w:val="00A24A04"/>
    <w:rsid w:val="00A24A41"/>
    <w:rsid w:val="00A24A92"/>
    <w:rsid w:val="00A24AE1"/>
    <w:rsid w:val="00A24B49"/>
    <w:rsid w:val="00A24B73"/>
    <w:rsid w:val="00A24B88"/>
    <w:rsid w:val="00A24B9B"/>
    <w:rsid w:val="00A24BA6"/>
    <w:rsid w:val="00A24BFB"/>
    <w:rsid w:val="00A24C07"/>
    <w:rsid w:val="00A24C5B"/>
    <w:rsid w:val="00A24C6F"/>
    <w:rsid w:val="00A24C75"/>
    <w:rsid w:val="00A24C95"/>
    <w:rsid w:val="00A24C9C"/>
    <w:rsid w:val="00A24CA4"/>
    <w:rsid w:val="00A24CA9"/>
    <w:rsid w:val="00A24CF5"/>
    <w:rsid w:val="00A24D00"/>
    <w:rsid w:val="00A24D23"/>
    <w:rsid w:val="00A24D42"/>
    <w:rsid w:val="00A24D72"/>
    <w:rsid w:val="00A24D9B"/>
    <w:rsid w:val="00A24DB2"/>
    <w:rsid w:val="00A24E06"/>
    <w:rsid w:val="00A24E61"/>
    <w:rsid w:val="00A24EB9"/>
    <w:rsid w:val="00A24EC1"/>
    <w:rsid w:val="00A24EEC"/>
    <w:rsid w:val="00A24F01"/>
    <w:rsid w:val="00A24F44"/>
    <w:rsid w:val="00A2502E"/>
    <w:rsid w:val="00A25043"/>
    <w:rsid w:val="00A25076"/>
    <w:rsid w:val="00A25078"/>
    <w:rsid w:val="00A250AF"/>
    <w:rsid w:val="00A250DE"/>
    <w:rsid w:val="00A25107"/>
    <w:rsid w:val="00A25132"/>
    <w:rsid w:val="00A25139"/>
    <w:rsid w:val="00A25147"/>
    <w:rsid w:val="00A25160"/>
    <w:rsid w:val="00A25167"/>
    <w:rsid w:val="00A25172"/>
    <w:rsid w:val="00A251B6"/>
    <w:rsid w:val="00A25207"/>
    <w:rsid w:val="00A25212"/>
    <w:rsid w:val="00A2524E"/>
    <w:rsid w:val="00A252E0"/>
    <w:rsid w:val="00A252EA"/>
    <w:rsid w:val="00A25343"/>
    <w:rsid w:val="00A2537D"/>
    <w:rsid w:val="00A25432"/>
    <w:rsid w:val="00A2543E"/>
    <w:rsid w:val="00A25466"/>
    <w:rsid w:val="00A2546A"/>
    <w:rsid w:val="00A254B0"/>
    <w:rsid w:val="00A25515"/>
    <w:rsid w:val="00A25528"/>
    <w:rsid w:val="00A2553F"/>
    <w:rsid w:val="00A2559F"/>
    <w:rsid w:val="00A255DD"/>
    <w:rsid w:val="00A255FF"/>
    <w:rsid w:val="00A25621"/>
    <w:rsid w:val="00A25662"/>
    <w:rsid w:val="00A2566F"/>
    <w:rsid w:val="00A25674"/>
    <w:rsid w:val="00A25677"/>
    <w:rsid w:val="00A256C1"/>
    <w:rsid w:val="00A256FD"/>
    <w:rsid w:val="00A25762"/>
    <w:rsid w:val="00A25798"/>
    <w:rsid w:val="00A257BA"/>
    <w:rsid w:val="00A25821"/>
    <w:rsid w:val="00A25839"/>
    <w:rsid w:val="00A25842"/>
    <w:rsid w:val="00A2584F"/>
    <w:rsid w:val="00A2589C"/>
    <w:rsid w:val="00A258D9"/>
    <w:rsid w:val="00A25974"/>
    <w:rsid w:val="00A259EA"/>
    <w:rsid w:val="00A25A97"/>
    <w:rsid w:val="00A25A98"/>
    <w:rsid w:val="00A25A9A"/>
    <w:rsid w:val="00A25AA3"/>
    <w:rsid w:val="00A25AC5"/>
    <w:rsid w:val="00A25ACA"/>
    <w:rsid w:val="00A25ADA"/>
    <w:rsid w:val="00A25AE5"/>
    <w:rsid w:val="00A25AE9"/>
    <w:rsid w:val="00A25B3F"/>
    <w:rsid w:val="00A25B6D"/>
    <w:rsid w:val="00A25BA8"/>
    <w:rsid w:val="00A25BBB"/>
    <w:rsid w:val="00A25C27"/>
    <w:rsid w:val="00A25C6B"/>
    <w:rsid w:val="00A25D19"/>
    <w:rsid w:val="00A25D2A"/>
    <w:rsid w:val="00A25D3A"/>
    <w:rsid w:val="00A25D6A"/>
    <w:rsid w:val="00A25DAE"/>
    <w:rsid w:val="00A25DB0"/>
    <w:rsid w:val="00A25DF5"/>
    <w:rsid w:val="00A25E33"/>
    <w:rsid w:val="00A25E67"/>
    <w:rsid w:val="00A25E82"/>
    <w:rsid w:val="00A25EA2"/>
    <w:rsid w:val="00A25EA6"/>
    <w:rsid w:val="00A25EC2"/>
    <w:rsid w:val="00A25F11"/>
    <w:rsid w:val="00A25F3C"/>
    <w:rsid w:val="00A25F57"/>
    <w:rsid w:val="00A25FB7"/>
    <w:rsid w:val="00A2607A"/>
    <w:rsid w:val="00A26096"/>
    <w:rsid w:val="00A260BF"/>
    <w:rsid w:val="00A260D8"/>
    <w:rsid w:val="00A260D9"/>
    <w:rsid w:val="00A260F7"/>
    <w:rsid w:val="00A260F9"/>
    <w:rsid w:val="00A2614F"/>
    <w:rsid w:val="00A2618E"/>
    <w:rsid w:val="00A26190"/>
    <w:rsid w:val="00A261AF"/>
    <w:rsid w:val="00A261D8"/>
    <w:rsid w:val="00A261E4"/>
    <w:rsid w:val="00A261EE"/>
    <w:rsid w:val="00A26215"/>
    <w:rsid w:val="00A262A5"/>
    <w:rsid w:val="00A262AA"/>
    <w:rsid w:val="00A26306"/>
    <w:rsid w:val="00A26384"/>
    <w:rsid w:val="00A2638F"/>
    <w:rsid w:val="00A263BC"/>
    <w:rsid w:val="00A2646A"/>
    <w:rsid w:val="00A26493"/>
    <w:rsid w:val="00A26497"/>
    <w:rsid w:val="00A264B1"/>
    <w:rsid w:val="00A264CE"/>
    <w:rsid w:val="00A264FE"/>
    <w:rsid w:val="00A26530"/>
    <w:rsid w:val="00A2653D"/>
    <w:rsid w:val="00A26577"/>
    <w:rsid w:val="00A2657E"/>
    <w:rsid w:val="00A2662C"/>
    <w:rsid w:val="00A26652"/>
    <w:rsid w:val="00A266BA"/>
    <w:rsid w:val="00A26758"/>
    <w:rsid w:val="00A2676E"/>
    <w:rsid w:val="00A267AF"/>
    <w:rsid w:val="00A26812"/>
    <w:rsid w:val="00A26838"/>
    <w:rsid w:val="00A268AA"/>
    <w:rsid w:val="00A268EA"/>
    <w:rsid w:val="00A2692C"/>
    <w:rsid w:val="00A2697A"/>
    <w:rsid w:val="00A2699A"/>
    <w:rsid w:val="00A269C0"/>
    <w:rsid w:val="00A269C1"/>
    <w:rsid w:val="00A269CD"/>
    <w:rsid w:val="00A26A09"/>
    <w:rsid w:val="00A26A4A"/>
    <w:rsid w:val="00A26A6F"/>
    <w:rsid w:val="00A26AE1"/>
    <w:rsid w:val="00A26B12"/>
    <w:rsid w:val="00A26B3D"/>
    <w:rsid w:val="00A26B49"/>
    <w:rsid w:val="00A26B4C"/>
    <w:rsid w:val="00A26B54"/>
    <w:rsid w:val="00A26B5B"/>
    <w:rsid w:val="00A26B61"/>
    <w:rsid w:val="00A26BA9"/>
    <w:rsid w:val="00A26BB9"/>
    <w:rsid w:val="00A26BBB"/>
    <w:rsid w:val="00A26BDD"/>
    <w:rsid w:val="00A26BE6"/>
    <w:rsid w:val="00A26BFB"/>
    <w:rsid w:val="00A26C25"/>
    <w:rsid w:val="00A26C42"/>
    <w:rsid w:val="00A26C92"/>
    <w:rsid w:val="00A26CB9"/>
    <w:rsid w:val="00A26CD4"/>
    <w:rsid w:val="00A26CEF"/>
    <w:rsid w:val="00A26D14"/>
    <w:rsid w:val="00A26D28"/>
    <w:rsid w:val="00A26D4F"/>
    <w:rsid w:val="00A26D52"/>
    <w:rsid w:val="00A26D8E"/>
    <w:rsid w:val="00A26DBA"/>
    <w:rsid w:val="00A26DF3"/>
    <w:rsid w:val="00A26DFF"/>
    <w:rsid w:val="00A26E0E"/>
    <w:rsid w:val="00A26E74"/>
    <w:rsid w:val="00A26EB9"/>
    <w:rsid w:val="00A26EC3"/>
    <w:rsid w:val="00A26F2D"/>
    <w:rsid w:val="00A26F78"/>
    <w:rsid w:val="00A26FBD"/>
    <w:rsid w:val="00A26FCD"/>
    <w:rsid w:val="00A27027"/>
    <w:rsid w:val="00A2709C"/>
    <w:rsid w:val="00A270F9"/>
    <w:rsid w:val="00A270FF"/>
    <w:rsid w:val="00A2712E"/>
    <w:rsid w:val="00A2719C"/>
    <w:rsid w:val="00A271E1"/>
    <w:rsid w:val="00A271F6"/>
    <w:rsid w:val="00A27209"/>
    <w:rsid w:val="00A27233"/>
    <w:rsid w:val="00A2727C"/>
    <w:rsid w:val="00A272BD"/>
    <w:rsid w:val="00A272DC"/>
    <w:rsid w:val="00A2734C"/>
    <w:rsid w:val="00A2736F"/>
    <w:rsid w:val="00A2739E"/>
    <w:rsid w:val="00A273C3"/>
    <w:rsid w:val="00A2741D"/>
    <w:rsid w:val="00A27423"/>
    <w:rsid w:val="00A27432"/>
    <w:rsid w:val="00A2743E"/>
    <w:rsid w:val="00A27468"/>
    <w:rsid w:val="00A2747F"/>
    <w:rsid w:val="00A274C5"/>
    <w:rsid w:val="00A27568"/>
    <w:rsid w:val="00A27570"/>
    <w:rsid w:val="00A2757C"/>
    <w:rsid w:val="00A27585"/>
    <w:rsid w:val="00A275BF"/>
    <w:rsid w:val="00A275E6"/>
    <w:rsid w:val="00A275E8"/>
    <w:rsid w:val="00A275E9"/>
    <w:rsid w:val="00A275F5"/>
    <w:rsid w:val="00A275FE"/>
    <w:rsid w:val="00A2761D"/>
    <w:rsid w:val="00A27636"/>
    <w:rsid w:val="00A27646"/>
    <w:rsid w:val="00A2764F"/>
    <w:rsid w:val="00A2775A"/>
    <w:rsid w:val="00A2778C"/>
    <w:rsid w:val="00A277C7"/>
    <w:rsid w:val="00A277EA"/>
    <w:rsid w:val="00A2789B"/>
    <w:rsid w:val="00A27950"/>
    <w:rsid w:val="00A2796B"/>
    <w:rsid w:val="00A27982"/>
    <w:rsid w:val="00A27989"/>
    <w:rsid w:val="00A27A07"/>
    <w:rsid w:val="00A27A1E"/>
    <w:rsid w:val="00A27A1F"/>
    <w:rsid w:val="00A27A2B"/>
    <w:rsid w:val="00A27A2D"/>
    <w:rsid w:val="00A27A3A"/>
    <w:rsid w:val="00A27AD5"/>
    <w:rsid w:val="00A27AF6"/>
    <w:rsid w:val="00A27B08"/>
    <w:rsid w:val="00A27B78"/>
    <w:rsid w:val="00A27BA5"/>
    <w:rsid w:val="00A27BB2"/>
    <w:rsid w:val="00A27C4D"/>
    <w:rsid w:val="00A27C6F"/>
    <w:rsid w:val="00A27C88"/>
    <w:rsid w:val="00A27C8A"/>
    <w:rsid w:val="00A27CBF"/>
    <w:rsid w:val="00A27CC1"/>
    <w:rsid w:val="00A27CEE"/>
    <w:rsid w:val="00A27D5D"/>
    <w:rsid w:val="00A27D75"/>
    <w:rsid w:val="00A27D79"/>
    <w:rsid w:val="00A27DAE"/>
    <w:rsid w:val="00A27DC3"/>
    <w:rsid w:val="00A27E6A"/>
    <w:rsid w:val="00A27E86"/>
    <w:rsid w:val="00A27EC9"/>
    <w:rsid w:val="00A27ECF"/>
    <w:rsid w:val="00A27EE4"/>
    <w:rsid w:val="00A27EFE"/>
    <w:rsid w:val="00A27F0A"/>
    <w:rsid w:val="00A27F1B"/>
    <w:rsid w:val="00A27F6B"/>
    <w:rsid w:val="00A27F76"/>
    <w:rsid w:val="00A27F77"/>
    <w:rsid w:val="00A27F84"/>
    <w:rsid w:val="00A27F86"/>
    <w:rsid w:val="00A27FBA"/>
    <w:rsid w:val="00A27FC5"/>
    <w:rsid w:val="00A27FF2"/>
    <w:rsid w:val="00A30031"/>
    <w:rsid w:val="00A3006B"/>
    <w:rsid w:val="00A3008F"/>
    <w:rsid w:val="00A300CE"/>
    <w:rsid w:val="00A300E1"/>
    <w:rsid w:val="00A30115"/>
    <w:rsid w:val="00A30126"/>
    <w:rsid w:val="00A30128"/>
    <w:rsid w:val="00A3015E"/>
    <w:rsid w:val="00A30186"/>
    <w:rsid w:val="00A30199"/>
    <w:rsid w:val="00A301B7"/>
    <w:rsid w:val="00A301D3"/>
    <w:rsid w:val="00A301D4"/>
    <w:rsid w:val="00A3021F"/>
    <w:rsid w:val="00A30243"/>
    <w:rsid w:val="00A30265"/>
    <w:rsid w:val="00A3027B"/>
    <w:rsid w:val="00A302A0"/>
    <w:rsid w:val="00A302AB"/>
    <w:rsid w:val="00A3034C"/>
    <w:rsid w:val="00A303B8"/>
    <w:rsid w:val="00A303C7"/>
    <w:rsid w:val="00A30413"/>
    <w:rsid w:val="00A304AA"/>
    <w:rsid w:val="00A304B6"/>
    <w:rsid w:val="00A304DC"/>
    <w:rsid w:val="00A304E9"/>
    <w:rsid w:val="00A30513"/>
    <w:rsid w:val="00A30568"/>
    <w:rsid w:val="00A305A1"/>
    <w:rsid w:val="00A305C5"/>
    <w:rsid w:val="00A305D8"/>
    <w:rsid w:val="00A305F6"/>
    <w:rsid w:val="00A30621"/>
    <w:rsid w:val="00A30667"/>
    <w:rsid w:val="00A306F6"/>
    <w:rsid w:val="00A3073E"/>
    <w:rsid w:val="00A307A2"/>
    <w:rsid w:val="00A307DD"/>
    <w:rsid w:val="00A3081C"/>
    <w:rsid w:val="00A30825"/>
    <w:rsid w:val="00A30834"/>
    <w:rsid w:val="00A308C0"/>
    <w:rsid w:val="00A30927"/>
    <w:rsid w:val="00A3094B"/>
    <w:rsid w:val="00A30953"/>
    <w:rsid w:val="00A30965"/>
    <w:rsid w:val="00A30982"/>
    <w:rsid w:val="00A30987"/>
    <w:rsid w:val="00A309A4"/>
    <w:rsid w:val="00A309B6"/>
    <w:rsid w:val="00A309D2"/>
    <w:rsid w:val="00A309F2"/>
    <w:rsid w:val="00A30A29"/>
    <w:rsid w:val="00A30A31"/>
    <w:rsid w:val="00A30A55"/>
    <w:rsid w:val="00A30A6B"/>
    <w:rsid w:val="00A30A73"/>
    <w:rsid w:val="00A30A7A"/>
    <w:rsid w:val="00A30B2A"/>
    <w:rsid w:val="00A30B89"/>
    <w:rsid w:val="00A30B9D"/>
    <w:rsid w:val="00A30BDE"/>
    <w:rsid w:val="00A30BE8"/>
    <w:rsid w:val="00A30BFB"/>
    <w:rsid w:val="00A30C25"/>
    <w:rsid w:val="00A30C34"/>
    <w:rsid w:val="00A30C56"/>
    <w:rsid w:val="00A30CBC"/>
    <w:rsid w:val="00A30CFD"/>
    <w:rsid w:val="00A30D83"/>
    <w:rsid w:val="00A30DFD"/>
    <w:rsid w:val="00A30E68"/>
    <w:rsid w:val="00A30E8A"/>
    <w:rsid w:val="00A30E8D"/>
    <w:rsid w:val="00A30EB2"/>
    <w:rsid w:val="00A30ECA"/>
    <w:rsid w:val="00A30EFC"/>
    <w:rsid w:val="00A30F10"/>
    <w:rsid w:val="00A30F53"/>
    <w:rsid w:val="00A30F5A"/>
    <w:rsid w:val="00A30F7D"/>
    <w:rsid w:val="00A30F89"/>
    <w:rsid w:val="00A30F98"/>
    <w:rsid w:val="00A30FBA"/>
    <w:rsid w:val="00A30FE5"/>
    <w:rsid w:val="00A3104D"/>
    <w:rsid w:val="00A31063"/>
    <w:rsid w:val="00A31067"/>
    <w:rsid w:val="00A31098"/>
    <w:rsid w:val="00A310AF"/>
    <w:rsid w:val="00A310D4"/>
    <w:rsid w:val="00A310E3"/>
    <w:rsid w:val="00A310ED"/>
    <w:rsid w:val="00A310F3"/>
    <w:rsid w:val="00A31107"/>
    <w:rsid w:val="00A3116B"/>
    <w:rsid w:val="00A31232"/>
    <w:rsid w:val="00A3124C"/>
    <w:rsid w:val="00A3126B"/>
    <w:rsid w:val="00A3127D"/>
    <w:rsid w:val="00A3129E"/>
    <w:rsid w:val="00A312C5"/>
    <w:rsid w:val="00A312E9"/>
    <w:rsid w:val="00A31304"/>
    <w:rsid w:val="00A31318"/>
    <w:rsid w:val="00A31359"/>
    <w:rsid w:val="00A3141A"/>
    <w:rsid w:val="00A31461"/>
    <w:rsid w:val="00A314A3"/>
    <w:rsid w:val="00A314C3"/>
    <w:rsid w:val="00A3153F"/>
    <w:rsid w:val="00A31564"/>
    <w:rsid w:val="00A3156B"/>
    <w:rsid w:val="00A31575"/>
    <w:rsid w:val="00A3157C"/>
    <w:rsid w:val="00A31588"/>
    <w:rsid w:val="00A3159A"/>
    <w:rsid w:val="00A315A0"/>
    <w:rsid w:val="00A315D1"/>
    <w:rsid w:val="00A315EB"/>
    <w:rsid w:val="00A315FB"/>
    <w:rsid w:val="00A31611"/>
    <w:rsid w:val="00A3164F"/>
    <w:rsid w:val="00A31693"/>
    <w:rsid w:val="00A31713"/>
    <w:rsid w:val="00A3177A"/>
    <w:rsid w:val="00A31789"/>
    <w:rsid w:val="00A3178C"/>
    <w:rsid w:val="00A31796"/>
    <w:rsid w:val="00A317A3"/>
    <w:rsid w:val="00A317DF"/>
    <w:rsid w:val="00A31823"/>
    <w:rsid w:val="00A31896"/>
    <w:rsid w:val="00A318E4"/>
    <w:rsid w:val="00A318FE"/>
    <w:rsid w:val="00A31914"/>
    <w:rsid w:val="00A31915"/>
    <w:rsid w:val="00A3199C"/>
    <w:rsid w:val="00A319A8"/>
    <w:rsid w:val="00A319CE"/>
    <w:rsid w:val="00A319EE"/>
    <w:rsid w:val="00A31A53"/>
    <w:rsid w:val="00A31A7C"/>
    <w:rsid w:val="00A31B08"/>
    <w:rsid w:val="00A31B0F"/>
    <w:rsid w:val="00A31B52"/>
    <w:rsid w:val="00A31B60"/>
    <w:rsid w:val="00A31B84"/>
    <w:rsid w:val="00A31BD7"/>
    <w:rsid w:val="00A31BDA"/>
    <w:rsid w:val="00A31C10"/>
    <w:rsid w:val="00A31C3B"/>
    <w:rsid w:val="00A31C63"/>
    <w:rsid w:val="00A31CCD"/>
    <w:rsid w:val="00A31CD6"/>
    <w:rsid w:val="00A31CD7"/>
    <w:rsid w:val="00A31D0F"/>
    <w:rsid w:val="00A31D1E"/>
    <w:rsid w:val="00A31D4A"/>
    <w:rsid w:val="00A31DAC"/>
    <w:rsid w:val="00A31E55"/>
    <w:rsid w:val="00A31E7E"/>
    <w:rsid w:val="00A31E9E"/>
    <w:rsid w:val="00A31EE0"/>
    <w:rsid w:val="00A31EF2"/>
    <w:rsid w:val="00A31EFE"/>
    <w:rsid w:val="00A31F0D"/>
    <w:rsid w:val="00A31F81"/>
    <w:rsid w:val="00A32061"/>
    <w:rsid w:val="00A32067"/>
    <w:rsid w:val="00A3208C"/>
    <w:rsid w:val="00A320A2"/>
    <w:rsid w:val="00A32114"/>
    <w:rsid w:val="00A32138"/>
    <w:rsid w:val="00A32174"/>
    <w:rsid w:val="00A32192"/>
    <w:rsid w:val="00A321C8"/>
    <w:rsid w:val="00A32252"/>
    <w:rsid w:val="00A32264"/>
    <w:rsid w:val="00A322FE"/>
    <w:rsid w:val="00A32359"/>
    <w:rsid w:val="00A3235A"/>
    <w:rsid w:val="00A32397"/>
    <w:rsid w:val="00A32449"/>
    <w:rsid w:val="00A32469"/>
    <w:rsid w:val="00A324CF"/>
    <w:rsid w:val="00A32504"/>
    <w:rsid w:val="00A32509"/>
    <w:rsid w:val="00A3251B"/>
    <w:rsid w:val="00A32542"/>
    <w:rsid w:val="00A32545"/>
    <w:rsid w:val="00A32554"/>
    <w:rsid w:val="00A3256A"/>
    <w:rsid w:val="00A32572"/>
    <w:rsid w:val="00A32579"/>
    <w:rsid w:val="00A3257A"/>
    <w:rsid w:val="00A325A2"/>
    <w:rsid w:val="00A325A3"/>
    <w:rsid w:val="00A325C3"/>
    <w:rsid w:val="00A325C8"/>
    <w:rsid w:val="00A326C3"/>
    <w:rsid w:val="00A32713"/>
    <w:rsid w:val="00A327AE"/>
    <w:rsid w:val="00A3281E"/>
    <w:rsid w:val="00A32831"/>
    <w:rsid w:val="00A32873"/>
    <w:rsid w:val="00A3287D"/>
    <w:rsid w:val="00A328A9"/>
    <w:rsid w:val="00A328AD"/>
    <w:rsid w:val="00A328DF"/>
    <w:rsid w:val="00A32958"/>
    <w:rsid w:val="00A329F9"/>
    <w:rsid w:val="00A32A0A"/>
    <w:rsid w:val="00A32A0C"/>
    <w:rsid w:val="00A32A1D"/>
    <w:rsid w:val="00A32A56"/>
    <w:rsid w:val="00A32A6C"/>
    <w:rsid w:val="00A32A9A"/>
    <w:rsid w:val="00A32AAF"/>
    <w:rsid w:val="00A32AC9"/>
    <w:rsid w:val="00A32ACC"/>
    <w:rsid w:val="00A32B51"/>
    <w:rsid w:val="00A32B91"/>
    <w:rsid w:val="00A32BC0"/>
    <w:rsid w:val="00A32C06"/>
    <w:rsid w:val="00A32C07"/>
    <w:rsid w:val="00A32C40"/>
    <w:rsid w:val="00A32C59"/>
    <w:rsid w:val="00A32C81"/>
    <w:rsid w:val="00A32C87"/>
    <w:rsid w:val="00A32CA8"/>
    <w:rsid w:val="00A32CBC"/>
    <w:rsid w:val="00A32D70"/>
    <w:rsid w:val="00A32DB8"/>
    <w:rsid w:val="00A32DC8"/>
    <w:rsid w:val="00A32DEC"/>
    <w:rsid w:val="00A32EC8"/>
    <w:rsid w:val="00A32F0B"/>
    <w:rsid w:val="00A32F0D"/>
    <w:rsid w:val="00A32F3D"/>
    <w:rsid w:val="00A32F6E"/>
    <w:rsid w:val="00A32F7D"/>
    <w:rsid w:val="00A32F8C"/>
    <w:rsid w:val="00A32FAE"/>
    <w:rsid w:val="00A32FB2"/>
    <w:rsid w:val="00A33007"/>
    <w:rsid w:val="00A3301C"/>
    <w:rsid w:val="00A3301E"/>
    <w:rsid w:val="00A3303B"/>
    <w:rsid w:val="00A3304C"/>
    <w:rsid w:val="00A330B6"/>
    <w:rsid w:val="00A330E0"/>
    <w:rsid w:val="00A3318A"/>
    <w:rsid w:val="00A33194"/>
    <w:rsid w:val="00A33230"/>
    <w:rsid w:val="00A3324A"/>
    <w:rsid w:val="00A3327B"/>
    <w:rsid w:val="00A332C9"/>
    <w:rsid w:val="00A332F7"/>
    <w:rsid w:val="00A332FE"/>
    <w:rsid w:val="00A33360"/>
    <w:rsid w:val="00A3338D"/>
    <w:rsid w:val="00A333AB"/>
    <w:rsid w:val="00A333BA"/>
    <w:rsid w:val="00A3341F"/>
    <w:rsid w:val="00A33433"/>
    <w:rsid w:val="00A33445"/>
    <w:rsid w:val="00A33461"/>
    <w:rsid w:val="00A334AA"/>
    <w:rsid w:val="00A334E6"/>
    <w:rsid w:val="00A334F0"/>
    <w:rsid w:val="00A33571"/>
    <w:rsid w:val="00A33583"/>
    <w:rsid w:val="00A335D0"/>
    <w:rsid w:val="00A33655"/>
    <w:rsid w:val="00A33681"/>
    <w:rsid w:val="00A3368B"/>
    <w:rsid w:val="00A336D0"/>
    <w:rsid w:val="00A33721"/>
    <w:rsid w:val="00A3372B"/>
    <w:rsid w:val="00A3374C"/>
    <w:rsid w:val="00A33755"/>
    <w:rsid w:val="00A337D3"/>
    <w:rsid w:val="00A337D5"/>
    <w:rsid w:val="00A337E0"/>
    <w:rsid w:val="00A337FA"/>
    <w:rsid w:val="00A3383C"/>
    <w:rsid w:val="00A33875"/>
    <w:rsid w:val="00A338B9"/>
    <w:rsid w:val="00A338C9"/>
    <w:rsid w:val="00A338CF"/>
    <w:rsid w:val="00A338D2"/>
    <w:rsid w:val="00A3392D"/>
    <w:rsid w:val="00A33944"/>
    <w:rsid w:val="00A33954"/>
    <w:rsid w:val="00A33960"/>
    <w:rsid w:val="00A339A5"/>
    <w:rsid w:val="00A33A1F"/>
    <w:rsid w:val="00A33A29"/>
    <w:rsid w:val="00A33AB7"/>
    <w:rsid w:val="00A33ADB"/>
    <w:rsid w:val="00A33B0F"/>
    <w:rsid w:val="00A33B43"/>
    <w:rsid w:val="00A33B4F"/>
    <w:rsid w:val="00A33B7F"/>
    <w:rsid w:val="00A33B8D"/>
    <w:rsid w:val="00A33BAC"/>
    <w:rsid w:val="00A33BB8"/>
    <w:rsid w:val="00A33BF8"/>
    <w:rsid w:val="00A33C71"/>
    <w:rsid w:val="00A33D01"/>
    <w:rsid w:val="00A33D15"/>
    <w:rsid w:val="00A33D52"/>
    <w:rsid w:val="00A33D91"/>
    <w:rsid w:val="00A33DA2"/>
    <w:rsid w:val="00A33DB3"/>
    <w:rsid w:val="00A33DC3"/>
    <w:rsid w:val="00A33DD2"/>
    <w:rsid w:val="00A33E5A"/>
    <w:rsid w:val="00A33EA8"/>
    <w:rsid w:val="00A33EAD"/>
    <w:rsid w:val="00A33EF6"/>
    <w:rsid w:val="00A33EFD"/>
    <w:rsid w:val="00A33F31"/>
    <w:rsid w:val="00A33F47"/>
    <w:rsid w:val="00A33FCE"/>
    <w:rsid w:val="00A33FDB"/>
    <w:rsid w:val="00A33FDD"/>
    <w:rsid w:val="00A34006"/>
    <w:rsid w:val="00A34035"/>
    <w:rsid w:val="00A34077"/>
    <w:rsid w:val="00A34095"/>
    <w:rsid w:val="00A34175"/>
    <w:rsid w:val="00A3424A"/>
    <w:rsid w:val="00A3425A"/>
    <w:rsid w:val="00A34282"/>
    <w:rsid w:val="00A34290"/>
    <w:rsid w:val="00A342AD"/>
    <w:rsid w:val="00A342D7"/>
    <w:rsid w:val="00A342EA"/>
    <w:rsid w:val="00A3431C"/>
    <w:rsid w:val="00A34342"/>
    <w:rsid w:val="00A343A5"/>
    <w:rsid w:val="00A343DE"/>
    <w:rsid w:val="00A343EF"/>
    <w:rsid w:val="00A34430"/>
    <w:rsid w:val="00A34481"/>
    <w:rsid w:val="00A344AB"/>
    <w:rsid w:val="00A344E5"/>
    <w:rsid w:val="00A34527"/>
    <w:rsid w:val="00A34556"/>
    <w:rsid w:val="00A34574"/>
    <w:rsid w:val="00A345B0"/>
    <w:rsid w:val="00A345CB"/>
    <w:rsid w:val="00A34611"/>
    <w:rsid w:val="00A346C6"/>
    <w:rsid w:val="00A34731"/>
    <w:rsid w:val="00A34737"/>
    <w:rsid w:val="00A34773"/>
    <w:rsid w:val="00A347AD"/>
    <w:rsid w:val="00A347E2"/>
    <w:rsid w:val="00A347F2"/>
    <w:rsid w:val="00A3481B"/>
    <w:rsid w:val="00A3486A"/>
    <w:rsid w:val="00A3487A"/>
    <w:rsid w:val="00A34883"/>
    <w:rsid w:val="00A348BF"/>
    <w:rsid w:val="00A348FD"/>
    <w:rsid w:val="00A3490F"/>
    <w:rsid w:val="00A34932"/>
    <w:rsid w:val="00A3497C"/>
    <w:rsid w:val="00A34993"/>
    <w:rsid w:val="00A349F0"/>
    <w:rsid w:val="00A34A35"/>
    <w:rsid w:val="00A34A4F"/>
    <w:rsid w:val="00A34A53"/>
    <w:rsid w:val="00A34AEE"/>
    <w:rsid w:val="00A34B5C"/>
    <w:rsid w:val="00A34B73"/>
    <w:rsid w:val="00A34C40"/>
    <w:rsid w:val="00A34C68"/>
    <w:rsid w:val="00A34CD3"/>
    <w:rsid w:val="00A34CFC"/>
    <w:rsid w:val="00A34D2B"/>
    <w:rsid w:val="00A34D3C"/>
    <w:rsid w:val="00A34D49"/>
    <w:rsid w:val="00A34D63"/>
    <w:rsid w:val="00A34D79"/>
    <w:rsid w:val="00A34E02"/>
    <w:rsid w:val="00A34E32"/>
    <w:rsid w:val="00A34E34"/>
    <w:rsid w:val="00A34E4A"/>
    <w:rsid w:val="00A34ED8"/>
    <w:rsid w:val="00A34F4A"/>
    <w:rsid w:val="00A34FAA"/>
    <w:rsid w:val="00A35022"/>
    <w:rsid w:val="00A35024"/>
    <w:rsid w:val="00A35059"/>
    <w:rsid w:val="00A3507F"/>
    <w:rsid w:val="00A350A1"/>
    <w:rsid w:val="00A350AB"/>
    <w:rsid w:val="00A35167"/>
    <w:rsid w:val="00A35174"/>
    <w:rsid w:val="00A35181"/>
    <w:rsid w:val="00A35192"/>
    <w:rsid w:val="00A351BE"/>
    <w:rsid w:val="00A35219"/>
    <w:rsid w:val="00A3524A"/>
    <w:rsid w:val="00A35258"/>
    <w:rsid w:val="00A35263"/>
    <w:rsid w:val="00A35270"/>
    <w:rsid w:val="00A352B5"/>
    <w:rsid w:val="00A352C2"/>
    <w:rsid w:val="00A352F7"/>
    <w:rsid w:val="00A3532C"/>
    <w:rsid w:val="00A35342"/>
    <w:rsid w:val="00A35351"/>
    <w:rsid w:val="00A353A0"/>
    <w:rsid w:val="00A353A5"/>
    <w:rsid w:val="00A353C9"/>
    <w:rsid w:val="00A353CA"/>
    <w:rsid w:val="00A353F8"/>
    <w:rsid w:val="00A353FA"/>
    <w:rsid w:val="00A3541B"/>
    <w:rsid w:val="00A3547A"/>
    <w:rsid w:val="00A354A5"/>
    <w:rsid w:val="00A354F1"/>
    <w:rsid w:val="00A3555C"/>
    <w:rsid w:val="00A35587"/>
    <w:rsid w:val="00A355BB"/>
    <w:rsid w:val="00A355F4"/>
    <w:rsid w:val="00A3560A"/>
    <w:rsid w:val="00A35619"/>
    <w:rsid w:val="00A35641"/>
    <w:rsid w:val="00A35662"/>
    <w:rsid w:val="00A35681"/>
    <w:rsid w:val="00A35691"/>
    <w:rsid w:val="00A356B9"/>
    <w:rsid w:val="00A356C3"/>
    <w:rsid w:val="00A356C9"/>
    <w:rsid w:val="00A356F2"/>
    <w:rsid w:val="00A3570D"/>
    <w:rsid w:val="00A35719"/>
    <w:rsid w:val="00A35755"/>
    <w:rsid w:val="00A35762"/>
    <w:rsid w:val="00A35771"/>
    <w:rsid w:val="00A3577E"/>
    <w:rsid w:val="00A357D6"/>
    <w:rsid w:val="00A357DA"/>
    <w:rsid w:val="00A3580A"/>
    <w:rsid w:val="00A35816"/>
    <w:rsid w:val="00A35857"/>
    <w:rsid w:val="00A35885"/>
    <w:rsid w:val="00A35887"/>
    <w:rsid w:val="00A35893"/>
    <w:rsid w:val="00A358A5"/>
    <w:rsid w:val="00A358C4"/>
    <w:rsid w:val="00A358E3"/>
    <w:rsid w:val="00A3590D"/>
    <w:rsid w:val="00A35914"/>
    <w:rsid w:val="00A3591F"/>
    <w:rsid w:val="00A3593A"/>
    <w:rsid w:val="00A35940"/>
    <w:rsid w:val="00A35961"/>
    <w:rsid w:val="00A359ED"/>
    <w:rsid w:val="00A35A5A"/>
    <w:rsid w:val="00A35A5E"/>
    <w:rsid w:val="00A35A76"/>
    <w:rsid w:val="00A35A8F"/>
    <w:rsid w:val="00A35ABE"/>
    <w:rsid w:val="00A35AC7"/>
    <w:rsid w:val="00A35B8F"/>
    <w:rsid w:val="00A35BAD"/>
    <w:rsid w:val="00A35BF0"/>
    <w:rsid w:val="00A35BFB"/>
    <w:rsid w:val="00A35C3D"/>
    <w:rsid w:val="00A35C77"/>
    <w:rsid w:val="00A35CB4"/>
    <w:rsid w:val="00A35D0B"/>
    <w:rsid w:val="00A35D53"/>
    <w:rsid w:val="00A35D7A"/>
    <w:rsid w:val="00A35D84"/>
    <w:rsid w:val="00A35D8C"/>
    <w:rsid w:val="00A35D99"/>
    <w:rsid w:val="00A35DB8"/>
    <w:rsid w:val="00A35DD4"/>
    <w:rsid w:val="00A35E47"/>
    <w:rsid w:val="00A35EAA"/>
    <w:rsid w:val="00A35EAE"/>
    <w:rsid w:val="00A35ECE"/>
    <w:rsid w:val="00A35FB6"/>
    <w:rsid w:val="00A35FC2"/>
    <w:rsid w:val="00A35FC7"/>
    <w:rsid w:val="00A35FE5"/>
    <w:rsid w:val="00A36007"/>
    <w:rsid w:val="00A36040"/>
    <w:rsid w:val="00A360A6"/>
    <w:rsid w:val="00A360BE"/>
    <w:rsid w:val="00A360C1"/>
    <w:rsid w:val="00A36171"/>
    <w:rsid w:val="00A3617D"/>
    <w:rsid w:val="00A36189"/>
    <w:rsid w:val="00A3619C"/>
    <w:rsid w:val="00A361C3"/>
    <w:rsid w:val="00A36260"/>
    <w:rsid w:val="00A362B9"/>
    <w:rsid w:val="00A362CF"/>
    <w:rsid w:val="00A362DA"/>
    <w:rsid w:val="00A3630F"/>
    <w:rsid w:val="00A36329"/>
    <w:rsid w:val="00A36342"/>
    <w:rsid w:val="00A36344"/>
    <w:rsid w:val="00A36345"/>
    <w:rsid w:val="00A3637C"/>
    <w:rsid w:val="00A36389"/>
    <w:rsid w:val="00A36425"/>
    <w:rsid w:val="00A3642B"/>
    <w:rsid w:val="00A36486"/>
    <w:rsid w:val="00A364D0"/>
    <w:rsid w:val="00A364DB"/>
    <w:rsid w:val="00A364E4"/>
    <w:rsid w:val="00A36549"/>
    <w:rsid w:val="00A36572"/>
    <w:rsid w:val="00A3657A"/>
    <w:rsid w:val="00A365B6"/>
    <w:rsid w:val="00A365D2"/>
    <w:rsid w:val="00A365E9"/>
    <w:rsid w:val="00A365FC"/>
    <w:rsid w:val="00A36652"/>
    <w:rsid w:val="00A366AD"/>
    <w:rsid w:val="00A366C7"/>
    <w:rsid w:val="00A366E6"/>
    <w:rsid w:val="00A36741"/>
    <w:rsid w:val="00A36756"/>
    <w:rsid w:val="00A36782"/>
    <w:rsid w:val="00A36791"/>
    <w:rsid w:val="00A367AF"/>
    <w:rsid w:val="00A367D8"/>
    <w:rsid w:val="00A36800"/>
    <w:rsid w:val="00A3681D"/>
    <w:rsid w:val="00A3682E"/>
    <w:rsid w:val="00A36839"/>
    <w:rsid w:val="00A36878"/>
    <w:rsid w:val="00A368AF"/>
    <w:rsid w:val="00A368C3"/>
    <w:rsid w:val="00A368F4"/>
    <w:rsid w:val="00A36901"/>
    <w:rsid w:val="00A36930"/>
    <w:rsid w:val="00A3695C"/>
    <w:rsid w:val="00A3697B"/>
    <w:rsid w:val="00A369C2"/>
    <w:rsid w:val="00A36A2D"/>
    <w:rsid w:val="00A36A59"/>
    <w:rsid w:val="00A36A87"/>
    <w:rsid w:val="00A36A91"/>
    <w:rsid w:val="00A36AC0"/>
    <w:rsid w:val="00A36AC1"/>
    <w:rsid w:val="00A36AF8"/>
    <w:rsid w:val="00A36B63"/>
    <w:rsid w:val="00A36B73"/>
    <w:rsid w:val="00A36BB3"/>
    <w:rsid w:val="00A36BE8"/>
    <w:rsid w:val="00A36C2C"/>
    <w:rsid w:val="00A36CF8"/>
    <w:rsid w:val="00A36D4D"/>
    <w:rsid w:val="00A36DA5"/>
    <w:rsid w:val="00A36DD6"/>
    <w:rsid w:val="00A36DF0"/>
    <w:rsid w:val="00A36DF7"/>
    <w:rsid w:val="00A36E09"/>
    <w:rsid w:val="00A36E64"/>
    <w:rsid w:val="00A36E79"/>
    <w:rsid w:val="00A36EAA"/>
    <w:rsid w:val="00A36EFD"/>
    <w:rsid w:val="00A36F4E"/>
    <w:rsid w:val="00A36F59"/>
    <w:rsid w:val="00A36F79"/>
    <w:rsid w:val="00A36FAB"/>
    <w:rsid w:val="00A37034"/>
    <w:rsid w:val="00A3709F"/>
    <w:rsid w:val="00A370B1"/>
    <w:rsid w:val="00A37102"/>
    <w:rsid w:val="00A3714A"/>
    <w:rsid w:val="00A37181"/>
    <w:rsid w:val="00A371A1"/>
    <w:rsid w:val="00A3720B"/>
    <w:rsid w:val="00A3720F"/>
    <w:rsid w:val="00A37214"/>
    <w:rsid w:val="00A37237"/>
    <w:rsid w:val="00A372AB"/>
    <w:rsid w:val="00A372BA"/>
    <w:rsid w:val="00A37307"/>
    <w:rsid w:val="00A37346"/>
    <w:rsid w:val="00A373E6"/>
    <w:rsid w:val="00A3741E"/>
    <w:rsid w:val="00A3744D"/>
    <w:rsid w:val="00A37478"/>
    <w:rsid w:val="00A374DF"/>
    <w:rsid w:val="00A37501"/>
    <w:rsid w:val="00A3750F"/>
    <w:rsid w:val="00A3757D"/>
    <w:rsid w:val="00A375B7"/>
    <w:rsid w:val="00A375EA"/>
    <w:rsid w:val="00A375F8"/>
    <w:rsid w:val="00A37682"/>
    <w:rsid w:val="00A376A1"/>
    <w:rsid w:val="00A376AD"/>
    <w:rsid w:val="00A376D0"/>
    <w:rsid w:val="00A37712"/>
    <w:rsid w:val="00A37766"/>
    <w:rsid w:val="00A37783"/>
    <w:rsid w:val="00A377A5"/>
    <w:rsid w:val="00A377D0"/>
    <w:rsid w:val="00A377EF"/>
    <w:rsid w:val="00A37827"/>
    <w:rsid w:val="00A3782D"/>
    <w:rsid w:val="00A37837"/>
    <w:rsid w:val="00A37862"/>
    <w:rsid w:val="00A3786A"/>
    <w:rsid w:val="00A3787E"/>
    <w:rsid w:val="00A37889"/>
    <w:rsid w:val="00A378A1"/>
    <w:rsid w:val="00A37913"/>
    <w:rsid w:val="00A37922"/>
    <w:rsid w:val="00A379DF"/>
    <w:rsid w:val="00A379E0"/>
    <w:rsid w:val="00A379FC"/>
    <w:rsid w:val="00A37A03"/>
    <w:rsid w:val="00A37A16"/>
    <w:rsid w:val="00A37A26"/>
    <w:rsid w:val="00A37A32"/>
    <w:rsid w:val="00A37A3C"/>
    <w:rsid w:val="00A37A3D"/>
    <w:rsid w:val="00A37A6A"/>
    <w:rsid w:val="00A37A73"/>
    <w:rsid w:val="00A37A81"/>
    <w:rsid w:val="00A37AE3"/>
    <w:rsid w:val="00A37AF8"/>
    <w:rsid w:val="00A37AFA"/>
    <w:rsid w:val="00A37B1E"/>
    <w:rsid w:val="00A37B4F"/>
    <w:rsid w:val="00A37B68"/>
    <w:rsid w:val="00A37B74"/>
    <w:rsid w:val="00A37B93"/>
    <w:rsid w:val="00A37BA2"/>
    <w:rsid w:val="00A37BA5"/>
    <w:rsid w:val="00A37BF0"/>
    <w:rsid w:val="00A37C06"/>
    <w:rsid w:val="00A37C25"/>
    <w:rsid w:val="00A37C80"/>
    <w:rsid w:val="00A37C8C"/>
    <w:rsid w:val="00A37CA3"/>
    <w:rsid w:val="00A37CA9"/>
    <w:rsid w:val="00A37CD4"/>
    <w:rsid w:val="00A37D0C"/>
    <w:rsid w:val="00A37D0E"/>
    <w:rsid w:val="00A37D1E"/>
    <w:rsid w:val="00A37D2C"/>
    <w:rsid w:val="00A37D34"/>
    <w:rsid w:val="00A37D3A"/>
    <w:rsid w:val="00A37DB6"/>
    <w:rsid w:val="00A37E58"/>
    <w:rsid w:val="00A37EFC"/>
    <w:rsid w:val="00A37EFD"/>
    <w:rsid w:val="00A37F01"/>
    <w:rsid w:val="00A37F7F"/>
    <w:rsid w:val="00A37F87"/>
    <w:rsid w:val="00A37F8C"/>
    <w:rsid w:val="00A37FD5"/>
    <w:rsid w:val="00A37FDF"/>
    <w:rsid w:val="00A37FE9"/>
    <w:rsid w:val="00A40033"/>
    <w:rsid w:val="00A40055"/>
    <w:rsid w:val="00A40076"/>
    <w:rsid w:val="00A4007E"/>
    <w:rsid w:val="00A400A5"/>
    <w:rsid w:val="00A400BA"/>
    <w:rsid w:val="00A400C3"/>
    <w:rsid w:val="00A400DF"/>
    <w:rsid w:val="00A4013C"/>
    <w:rsid w:val="00A4013D"/>
    <w:rsid w:val="00A40184"/>
    <w:rsid w:val="00A401C3"/>
    <w:rsid w:val="00A401E7"/>
    <w:rsid w:val="00A401F5"/>
    <w:rsid w:val="00A40218"/>
    <w:rsid w:val="00A40224"/>
    <w:rsid w:val="00A40226"/>
    <w:rsid w:val="00A40263"/>
    <w:rsid w:val="00A40268"/>
    <w:rsid w:val="00A40292"/>
    <w:rsid w:val="00A402A6"/>
    <w:rsid w:val="00A402D3"/>
    <w:rsid w:val="00A402EA"/>
    <w:rsid w:val="00A40308"/>
    <w:rsid w:val="00A4031D"/>
    <w:rsid w:val="00A4039A"/>
    <w:rsid w:val="00A403BE"/>
    <w:rsid w:val="00A403F9"/>
    <w:rsid w:val="00A4048F"/>
    <w:rsid w:val="00A40496"/>
    <w:rsid w:val="00A404A5"/>
    <w:rsid w:val="00A404B9"/>
    <w:rsid w:val="00A404CD"/>
    <w:rsid w:val="00A40587"/>
    <w:rsid w:val="00A40598"/>
    <w:rsid w:val="00A40599"/>
    <w:rsid w:val="00A405E4"/>
    <w:rsid w:val="00A40631"/>
    <w:rsid w:val="00A406C9"/>
    <w:rsid w:val="00A406CA"/>
    <w:rsid w:val="00A406F8"/>
    <w:rsid w:val="00A4071C"/>
    <w:rsid w:val="00A40723"/>
    <w:rsid w:val="00A4073F"/>
    <w:rsid w:val="00A40741"/>
    <w:rsid w:val="00A40776"/>
    <w:rsid w:val="00A40782"/>
    <w:rsid w:val="00A40799"/>
    <w:rsid w:val="00A407B6"/>
    <w:rsid w:val="00A407BD"/>
    <w:rsid w:val="00A407F9"/>
    <w:rsid w:val="00A40843"/>
    <w:rsid w:val="00A4084A"/>
    <w:rsid w:val="00A4084F"/>
    <w:rsid w:val="00A408C8"/>
    <w:rsid w:val="00A4092C"/>
    <w:rsid w:val="00A40998"/>
    <w:rsid w:val="00A409D0"/>
    <w:rsid w:val="00A409F3"/>
    <w:rsid w:val="00A40A69"/>
    <w:rsid w:val="00A40A8B"/>
    <w:rsid w:val="00A40AE8"/>
    <w:rsid w:val="00A40AEA"/>
    <w:rsid w:val="00A40B33"/>
    <w:rsid w:val="00A40B4A"/>
    <w:rsid w:val="00A40BA2"/>
    <w:rsid w:val="00A40BE6"/>
    <w:rsid w:val="00A40C76"/>
    <w:rsid w:val="00A40C79"/>
    <w:rsid w:val="00A40C90"/>
    <w:rsid w:val="00A40C9C"/>
    <w:rsid w:val="00A40CD1"/>
    <w:rsid w:val="00A40CD9"/>
    <w:rsid w:val="00A40D1F"/>
    <w:rsid w:val="00A40D2B"/>
    <w:rsid w:val="00A40D64"/>
    <w:rsid w:val="00A40D79"/>
    <w:rsid w:val="00A40D88"/>
    <w:rsid w:val="00A40D9F"/>
    <w:rsid w:val="00A40DB4"/>
    <w:rsid w:val="00A40DD9"/>
    <w:rsid w:val="00A40DFB"/>
    <w:rsid w:val="00A40E06"/>
    <w:rsid w:val="00A40E25"/>
    <w:rsid w:val="00A40E2D"/>
    <w:rsid w:val="00A40E6D"/>
    <w:rsid w:val="00A40E7D"/>
    <w:rsid w:val="00A40E8E"/>
    <w:rsid w:val="00A40ED5"/>
    <w:rsid w:val="00A40EE1"/>
    <w:rsid w:val="00A40F23"/>
    <w:rsid w:val="00A40F24"/>
    <w:rsid w:val="00A40F2F"/>
    <w:rsid w:val="00A40F5B"/>
    <w:rsid w:val="00A40F5E"/>
    <w:rsid w:val="00A40F9A"/>
    <w:rsid w:val="00A40FB9"/>
    <w:rsid w:val="00A41002"/>
    <w:rsid w:val="00A4103F"/>
    <w:rsid w:val="00A410E0"/>
    <w:rsid w:val="00A4111D"/>
    <w:rsid w:val="00A41130"/>
    <w:rsid w:val="00A41135"/>
    <w:rsid w:val="00A41137"/>
    <w:rsid w:val="00A4113C"/>
    <w:rsid w:val="00A41165"/>
    <w:rsid w:val="00A41177"/>
    <w:rsid w:val="00A41185"/>
    <w:rsid w:val="00A411AF"/>
    <w:rsid w:val="00A411CF"/>
    <w:rsid w:val="00A411D8"/>
    <w:rsid w:val="00A41218"/>
    <w:rsid w:val="00A4121D"/>
    <w:rsid w:val="00A41241"/>
    <w:rsid w:val="00A41294"/>
    <w:rsid w:val="00A412A1"/>
    <w:rsid w:val="00A412E3"/>
    <w:rsid w:val="00A41341"/>
    <w:rsid w:val="00A413A8"/>
    <w:rsid w:val="00A413C5"/>
    <w:rsid w:val="00A413D3"/>
    <w:rsid w:val="00A4141B"/>
    <w:rsid w:val="00A41424"/>
    <w:rsid w:val="00A41447"/>
    <w:rsid w:val="00A41449"/>
    <w:rsid w:val="00A41461"/>
    <w:rsid w:val="00A41477"/>
    <w:rsid w:val="00A414D9"/>
    <w:rsid w:val="00A414DC"/>
    <w:rsid w:val="00A41514"/>
    <w:rsid w:val="00A4152F"/>
    <w:rsid w:val="00A41547"/>
    <w:rsid w:val="00A41558"/>
    <w:rsid w:val="00A4158C"/>
    <w:rsid w:val="00A4165A"/>
    <w:rsid w:val="00A4166F"/>
    <w:rsid w:val="00A41670"/>
    <w:rsid w:val="00A41679"/>
    <w:rsid w:val="00A4167C"/>
    <w:rsid w:val="00A41693"/>
    <w:rsid w:val="00A41696"/>
    <w:rsid w:val="00A416B2"/>
    <w:rsid w:val="00A416F1"/>
    <w:rsid w:val="00A41708"/>
    <w:rsid w:val="00A4170A"/>
    <w:rsid w:val="00A4171E"/>
    <w:rsid w:val="00A4173D"/>
    <w:rsid w:val="00A41746"/>
    <w:rsid w:val="00A41772"/>
    <w:rsid w:val="00A41788"/>
    <w:rsid w:val="00A417DF"/>
    <w:rsid w:val="00A41801"/>
    <w:rsid w:val="00A4180A"/>
    <w:rsid w:val="00A41815"/>
    <w:rsid w:val="00A41819"/>
    <w:rsid w:val="00A41827"/>
    <w:rsid w:val="00A4185C"/>
    <w:rsid w:val="00A4188F"/>
    <w:rsid w:val="00A41890"/>
    <w:rsid w:val="00A4189F"/>
    <w:rsid w:val="00A418DC"/>
    <w:rsid w:val="00A41911"/>
    <w:rsid w:val="00A4193C"/>
    <w:rsid w:val="00A41966"/>
    <w:rsid w:val="00A419A9"/>
    <w:rsid w:val="00A419EF"/>
    <w:rsid w:val="00A419FB"/>
    <w:rsid w:val="00A41A0D"/>
    <w:rsid w:val="00A41A1E"/>
    <w:rsid w:val="00A41A51"/>
    <w:rsid w:val="00A41A6E"/>
    <w:rsid w:val="00A41A7A"/>
    <w:rsid w:val="00A41A85"/>
    <w:rsid w:val="00A41B01"/>
    <w:rsid w:val="00A41B07"/>
    <w:rsid w:val="00A41B84"/>
    <w:rsid w:val="00A41B87"/>
    <w:rsid w:val="00A41B9E"/>
    <w:rsid w:val="00A41BB8"/>
    <w:rsid w:val="00A41BC3"/>
    <w:rsid w:val="00A41BCE"/>
    <w:rsid w:val="00A41BFB"/>
    <w:rsid w:val="00A41BFF"/>
    <w:rsid w:val="00A41C0E"/>
    <w:rsid w:val="00A41C9F"/>
    <w:rsid w:val="00A41D2E"/>
    <w:rsid w:val="00A41D38"/>
    <w:rsid w:val="00A41D8B"/>
    <w:rsid w:val="00A41DB0"/>
    <w:rsid w:val="00A41DB1"/>
    <w:rsid w:val="00A41DE2"/>
    <w:rsid w:val="00A41E98"/>
    <w:rsid w:val="00A41F1B"/>
    <w:rsid w:val="00A41F81"/>
    <w:rsid w:val="00A41FAE"/>
    <w:rsid w:val="00A41FBE"/>
    <w:rsid w:val="00A41FD2"/>
    <w:rsid w:val="00A42046"/>
    <w:rsid w:val="00A4207A"/>
    <w:rsid w:val="00A420B2"/>
    <w:rsid w:val="00A420B6"/>
    <w:rsid w:val="00A420D8"/>
    <w:rsid w:val="00A4210A"/>
    <w:rsid w:val="00A4210B"/>
    <w:rsid w:val="00A42129"/>
    <w:rsid w:val="00A42145"/>
    <w:rsid w:val="00A4214C"/>
    <w:rsid w:val="00A4216C"/>
    <w:rsid w:val="00A42172"/>
    <w:rsid w:val="00A421DC"/>
    <w:rsid w:val="00A42210"/>
    <w:rsid w:val="00A42214"/>
    <w:rsid w:val="00A4224B"/>
    <w:rsid w:val="00A4225C"/>
    <w:rsid w:val="00A422C0"/>
    <w:rsid w:val="00A422CF"/>
    <w:rsid w:val="00A4236D"/>
    <w:rsid w:val="00A4239E"/>
    <w:rsid w:val="00A423C0"/>
    <w:rsid w:val="00A423D3"/>
    <w:rsid w:val="00A42437"/>
    <w:rsid w:val="00A4249C"/>
    <w:rsid w:val="00A424C0"/>
    <w:rsid w:val="00A424CF"/>
    <w:rsid w:val="00A424F3"/>
    <w:rsid w:val="00A42512"/>
    <w:rsid w:val="00A42532"/>
    <w:rsid w:val="00A42583"/>
    <w:rsid w:val="00A425A2"/>
    <w:rsid w:val="00A425F8"/>
    <w:rsid w:val="00A42616"/>
    <w:rsid w:val="00A42677"/>
    <w:rsid w:val="00A42680"/>
    <w:rsid w:val="00A426CE"/>
    <w:rsid w:val="00A426D8"/>
    <w:rsid w:val="00A426E6"/>
    <w:rsid w:val="00A42702"/>
    <w:rsid w:val="00A4270B"/>
    <w:rsid w:val="00A4272F"/>
    <w:rsid w:val="00A42793"/>
    <w:rsid w:val="00A427CF"/>
    <w:rsid w:val="00A427DB"/>
    <w:rsid w:val="00A42810"/>
    <w:rsid w:val="00A428DE"/>
    <w:rsid w:val="00A428EC"/>
    <w:rsid w:val="00A4291F"/>
    <w:rsid w:val="00A42937"/>
    <w:rsid w:val="00A42938"/>
    <w:rsid w:val="00A429A4"/>
    <w:rsid w:val="00A429E5"/>
    <w:rsid w:val="00A42A5B"/>
    <w:rsid w:val="00A42A68"/>
    <w:rsid w:val="00A42AB4"/>
    <w:rsid w:val="00A42B32"/>
    <w:rsid w:val="00A42B4C"/>
    <w:rsid w:val="00A42B5A"/>
    <w:rsid w:val="00A42B6F"/>
    <w:rsid w:val="00A42B78"/>
    <w:rsid w:val="00A42B7C"/>
    <w:rsid w:val="00A42BF2"/>
    <w:rsid w:val="00A42C3A"/>
    <w:rsid w:val="00A42C55"/>
    <w:rsid w:val="00A42C5E"/>
    <w:rsid w:val="00A42C8D"/>
    <w:rsid w:val="00A42CAE"/>
    <w:rsid w:val="00A42CB4"/>
    <w:rsid w:val="00A42CE2"/>
    <w:rsid w:val="00A42D56"/>
    <w:rsid w:val="00A42D97"/>
    <w:rsid w:val="00A42DCF"/>
    <w:rsid w:val="00A42DDE"/>
    <w:rsid w:val="00A42E5E"/>
    <w:rsid w:val="00A42E6C"/>
    <w:rsid w:val="00A42EC9"/>
    <w:rsid w:val="00A42EDE"/>
    <w:rsid w:val="00A42F18"/>
    <w:rsid w:val="00A42F36"/>
    <w:rsid w:val="00A42F92"/>
    <w:rsid w:val="00A42F93"/>
    <w:rsid w:val="00A42FB5"/>
    <w:rsid w:val="00A43046"/>
    <w:rsid w:val="00A4304B"/>
    <w:rsid w:val="00A43060"/>
    <w:rsid w:val="00A4309A"/>
    <w:rsid w:val="00A430B0"/>
    <w:rsid w:val="00A430BF"/>
    <w:rsid w:val="00A430E4"/>
    <w:rsid w:val="00A4312F"/>
    <w:rsid w:val="00A43132"/>
    <w:rsid w:val="00A43159"/>
    <w:rsid w:val="00A4316F"/>
    <w:rsid w:val="00A431C1"/>
    <w:rsid w:val="00A431F0"/>
    <w:rsid w:val="00A4328A"/>
    <w:rsid w:val="00A4329C"/>
    <w:rsid w:val="00A432AA"/>
    <w:rsid w:val="00A432B6"/>
    <w:rsid w:val="00A432CB"/>
    <w:rsid w:val="00A432FE"/>
    <w:rsid w:val="00A4332F"/>
    <w:rsid w:val="00A4335E"/>
    <w:rsid w:val="00A433A2"/>
    <w:rsid w:val="00A433CB"/>
    <w:rsid w:val="00A43402"/>
    <w:rsid w:val="00A43433"/>
    <w:rsid w:val="00A4349F"/>
    <w:rsid w:val="00A434A9"/>
    <w:rsid w:val="00A434C5"/>
    <w:rsid w:val="00A434DA"/>
    <w:rsid w:val="00A434ED"/>
    <w:rsid w:val="00A434F6"/>
    <w:rsid w:val="00A43523"/>
    <w:rsid w:val="00A4353A"/>
    <w:rsid w:val="00A43567"/>
    <w:rsid w:val="00A4358B"/>
    <w:rsid w:val="00A43592"/>
    <w:rsid w:val="00A435A2"/>
    <w:rsid w:val="00A435FC"/>
    <w:rsid w:val="00A4361B"/>
    <w:rsid w:val="00A436F5"/>
    <w:rsid w:val="00A4372C"/>
    <w:rsid w:val="00A43760"/>
    <w:rsid w:val="00A43761"/>
    <w:rsid w:val="00A43772"/>
    <w:rsid w:val="00A43795"/>
    <w:rsid w:val="00A437C3"/>
    <w:rsid w:val="00A43802"/>
    <w:rsid w:val="00A43886"/>
    <w:rsid w:val="00A4388D"/>
    <w:rsid w:val="00A438C1"/>
    <w:rsid w:val="00A438C4"/>
    <w:rsid w:val="00A438C5"/>
    <w:rsid w:val="00A438ED"/>
    <w:rsid w:val="00A43909"/>
    <w:rsid w:val="00A43945"/>
    <w:rsid w:val="00A4394F"/>
    <w:rsid w:val="00A439A3"/>
    <w:rsid w:val="00A439F3"/>
    <w:rsid w:val="00A43A04"/>
    <w:rsid w:val="00A43A0D"/>
    <w:rsid w:val="00A43A8D"/>
    <w:rsid w:val="00A43AE1"/>
    <w:rsid w:val="00A43B28"/>
    <w:rsid w:val="00A43B44"/>
    <w:rsid w:val="00A43B66"/>
    <w:rsid w:val="00A43B67"/>
    <w:rsid w:val="00A43B99"/>
    <w:rsid w:val="00A43BB1"/>
    <w:rsid w:val="00A43BC1"/>
    <w:rsid w:val="00A43BF9"/>
    <w:rsid w:val="00A43C01"/>
    <w:rsid w:val="00A43C03"/>
    <w:rsid w:val="00A43CD7"/>
    <w:rsid w:val="00A43CF7"/>
    <w:rsid w:val="00A43D01"/>
    <w:rsid w:val="00A43D0E"/>
    <w:rsid w:val="00A43D38"/>
    <w:rsid w:val="00A43D94"/>
    <w:rsid w:val="00A43E0D"/>
    <w:rsid w:val="00A43E29"/>
    <w:rsid w:val="00A43E41"/>
    <w:rsid w:val="00A43E4F"/>
    <w:rsid w:val="00A43EAF"/>
    <w:rsid w:val="00A43EE4"/>
    <w:rsid w:val="00A43F50"/>
    <w:rsid w:val="00A43F79"/>
    <w:rsid w:val="00A43F8E"/>
    <w:rsid w:val="00A43FFE"/>
    <w:rsid w:val="00A4400D"/>
    <w:rsid w:val="00A440A9"/>
    <w:rsid w:val="00A440C9"/>
    <w:rsid w:val="00A440F2"/>
    <w:rsid w:val="00A4411D"/>
    <w:rsid w:val="00A44147"/>
    <w:rsid w:val="00A44173"/>
    <w:rsid w:val="00A441A5"/>
    <w:rsid w:val="00A441BB"/>
    <w:rsid w:val="00A441FB"/>
    <w:rsid w:val="00A4420E"/>
    <w:rsid w:val="00A44260"/>
    <w:rsid w:val="00A442A2"/>
    <w:rsid w:val="00A442D1"/>
    <w:rsid w:val="00A442E7"/>
    <w:rsid w:val="00A44306"/>
    <w:rsid w:val="00A44338"/>
    <w:rsid w:val="00A4434B"/>
    <w:rsid w:val="00A4435E"/>
    <w:rsid w:val="00A4437F"/>
    <w:rsid w:val="00A443B7"/>
    <w:rsid w:val="00A443E2"/>
    <w:rsid w:val="00A4441A"/>
    <w:rsid w:val="00A44452"/>
    <w:rsid w:val="00A4448A"/>
    <w:rsid w:val="00A4452D"/>
    <w:rsid w:val="00A44538"/>
    <w:rsid w:val="00A44568"/>
    <w:rsid w:val="00A4458C"/>
    <w:rsid w:val="00A445C5"/>
    <w:rsid w:val="00A445E4"/>
    <w:rsid w:val="00A445ED"/>
    <w:rsid w:val="00A445EE"/>
    <w:rsid w:val="00A4460A"/>
    <w:rsid w:val="00A44625"/>
    <w:rsid w:val="00A4462D"/>
    <w:rsid w:val="00A44636"/>
    <w:rsid w:val="00A446A6"/>
    <w:rsid w:val="00A446CB"/>
    <w:rsid w:val="00A446CC"/>
    <w:rsid w:val="00A446EB"/>
    <w:rsid w:val="00A44762"/>
    <w:rsid w:val="00A44768"/>
    <w:rsid w:val="00A44769"/>
    <w:rsid w:val="00A44784"/>
    <w:rsid w:val="00A447BF"/>
    <w:rsid w:val="00A447E6"/>
    <w:rsid w:val="00A4481E"/>
    <w:rsid w:val="00A44834"/>
    <w:rsid w:val="00A44843"/>
    <w:rsid w:val="00A44860"/>
    <w:rsid w:val="00A44887"/>
    <w:rsid w:val="00A448A2"/>
    <w:rsid w:val="00A448C3"/>
    <w:rsid w:val="00A448D2"/>
    <w:rsid w:val="00A448F6"/>
    <w:rsid w:val="00A44920"/>
    <w:rsid w:val="00A4492A"/>
    <w:rsid w:val="00A44942"/>
    <w:rsid w:val="00A4499C"/>
    <w:rsid w:val="00A449CC"/>
    <w:rsid w:val="00A449F7"/>
    <w:rsid w:val="00A44A33"/>
    <w:rsid w:val="00A44A9A"/>
    <w:rsid w:val="00A44AA6"/>
    <w:rsid w:val="00A44AAA"/>
    <w:rsid w:val="00A44AD0"/>
    <w:rsid w:val="00A44AFF"/>
    <w:rsid w:val="00A44B62"/>
    <w:rsid w:val="00A44B82"/>
    <w:rsid w:val="00A44BA9"/>
    <w:rsid w:val="00A44BC5"/>
    <w:rsid w:val="00A44BDC"/>
    <w:rsid w:val="00A44BE1"/>
    <w:rsid w:val="00A44C07"/>
    <w:rsid w:val="00A44C32"/>
    <w:rsid w:val="00A44C67"/>
    <w:rsid w:val="00A44C6E"/>
    <w:rsid w:val="00A44C96"/>
    <w:rsid w:val="00A44D0F"/>
    <w:rsid w:val="00A44D1F"/>
    <w:rsid w:val="00A44D28"/>
    <w:rsid w:val="00A44D30"/>
    <w:rsid w:val="00A44D8B"/>
    <w:rsid w:val="00A44DC9"/>
    <w:rsid w:val="00A44DE8"/>
    <w:rsid w:val="00A44E69"/>
    <w:rsid w:val="00A44E9C"/>
    <w:rsid w:val="00A44EB1"/>
    <w:rsid w:val="00A44EF3"/>
    <w:rsid w:val="00A44F40"/>
    <w:rsid w:val="00A44F53"/>
    <w:rsid w:val="00A44F5E"/>
    <w:rsid w:val="00A44F68"/>
    <w:rsid w:val="00A44F7E"/>
    <w:rsid w:val="00A44FD2"/>
    <w:rsid w:val="00A44FD4"/>
    <w:rsid w:val="00A44FE9"/>
    <w:rsid w:val="00A45046"/>
    <w:rsid w:val="00A4505D"/>
    <w:rsid w:val="00A45081"/>
    <w:rsid w:val="00A450B5"/>
    <w:rsid w:val="00A450CA"/>
    <w:rsid w:val="00A450CB"/>
    <w:rsid w:val="00A45148"/>
    <w:rsid w:val="00A45158"/>
    <w:rsid w:val="00A4515B"/>
    <w:rsid w:val="00A45167"/>
    <w:rsid w:val="00A45182"/>
    <w:rsid w:val="00A45198"/>
    <w:rsid w:val="00A451B3"/>
    <w:rsid w:val="00A451D2"/>
    <w:rsid w:val="00A451DE"/>
    <w:rsid w:val="00A451FC"/>
    <w:rsid w:val="00A4521A"/>
    <w:rsid w:val="00A45269"/>
    <w:rsid w:val="00A4528D"/>
    <w:rsid w:val="00A452AB"/>
    <w:rsid w:val="00A452DE"/>
    <w:rsid w:val="00A452F3"/>
    <w:rsid w:val="00A45305"/>
    <w:rsid w:val="00A4531D"/>
    <w:rsid w:val="00A453A2"/>
    <w:rsid w:val="00A453AC"/>
    <w:rsid w:val="00A453B0"/>
    <w:rsid w:val="00A453BA"/>
    <w:rsid w:val="00A453CC"/>
    <w:rsid w:val="00A4541D"/>
    <w:rsid w:val="00A4548D"/>
    <w:rsid w:val="00A454A0"/>
    <w:rsid w:val="00A454A9"/>
    <w:rsid w:val="00A454BE"/>
    <w:rsid w:val="00A4552B"/>
    <w:rsid w:val="00A4552E"/>
    <w:rsid w:val="00A45547"/>
    <w:rsid w:val="00A4554C"/>
    <w:rsid w:val="00A45583"/>
    <w:rsid w:val="00A45596"/>
    <w:rsid w:val="00A4559C"/>
    <w:rsid w:val="00A455B1"/>
    <w:rsid w:val="00A455BB"/>
    <w:rsid w:val="00A455BD"/>
    <w:rsid w:val="00A455E6"/>
    <w:rsid w:val="00A4563F"/>
    <w:rsid w:val="00A45640"/>
    <w:rsid w:val="00A4567A"/>
    <w:rsid w:val="00A456B9"/>
    <w:rsid w:val="00A456CB"/>
    <w:rsid w:val="00A456F4"/>
    <w:rsid w:val="00A4570E"/>
    <w:rsid w:val="00A4576B"/>
    <w:rsid w:val="00A45778"/>
    <w:rsid w:val="00A4577B"/>
    <w:rsid w:val="00A45781"/>
    <w:rsid w:val="00A45802"/>
    <w:rsid w:val="00A45814"/>
    <w:rsid w:val="00A45818"/>
    <w:rsid w:val="00A45872"/>
    <w:rsid w:val="00A45889"/>
    <w:rsid w:val="00A458AB"/>
    <w:rsid w:val="00A458CA"/>
    <w:rsid w:val="00A458FF"/>
    <w:rsid w:val="00A45931"/>
    <w:rsid w:val="00A45941"/>
    <w:rsid w:val="00A45956"/>
    <w:rsid w:val="00A45965"/>
    <w:rsid w:val="00A45976"/>
    <w:rsid w:val="00A45977"/>
    <w:rsid w:val="00A4598A"/>
    <w:rsid w:val="00A459EA"/>
    <w:rsid w:val="00A45A0B"/>
    <w:rsid w:val="00A45A31"/>
    <w:rsid w:val="00A45A79"/>
    <w:rsid w:val="00A45A82"/>
    <w:rsid w:val="00A45ABB"/>
    <w:rsid w:val="00A45AC9"/>
    <w:rsid w:val="00A45AD4"/>
    <w:rsid w:val="00A45ADD"/>
    <w:rsid w:val="00A45B15"/>
    <w:rsid w:val="00A45BA8"/>
    <w:rsid w:val="00A45BC6"/>
    <w:rsid w:val="00A45BD7"/>
    <w:rsid w:val="00A45BED"/>
    <w:rsid w:val="00A45C0D"/>
    <w:rsid w:val="00A45C38"/>
    <w:rsid w:val="00A45C3F"/>
    <w:rsid w:val="00A45C86"/>
    <w:rsid w:val="00A45C9E"/>
    <w:rsid w:val="00A45D18"/>
    <w:rsid w:val="00A45D1B"/>
    <w:rsid w:val="00A45D41"/>
    <w:rsid w:val="00A45DAC"/>
    <w:rsid w:val="00A45DBE"/>
    <w:rsid w:val="00A45DE4"/>
    <w:rsid w:val="00A45E45"/>
    <w:rsid w:val="00A45E61"/>
    <w:rsid w:val="00A45E9F"/>
    <w:rsid w:val="00A45EC8"/>
    <w:rsid w:val="00A45EE7"/>
    <w:rsid w:val="00A45EED"/>
    <w:rsid w:val="00A45F0B"/>
    <w:rsid w:val="00A45F2A"/>
    <w:rsid w:val="00A45F71"/>
    <w:rsid w:val="00A45FA4"/>
    <w:rsid w:val="00A46023"/>
    <w:rsid w:val="00A460A1"/>
    <w:rsid w:val="00A460BA"/>
    <w:rsid w:val="00A460F6"/>
    <w:rsid w:val="00A4612F"/>
    <w:rsid w:val="00A46177"/>
    <w:rsid w:val="00A461A0"/>
    <w:rsid w:val="00A461B8"/>
    <w:rsid w:val="00A461BB"/>
    <w:rsid w:val="00A461C1"/>
    <w:rsid w:val="00A46226"/>
    <w:rsid w:val="00A4622F"/>
    <w:rsid w:val="00A46230"/>
    <w:rsid w:val="00A46261"/>
    <w:rsid w:val="00A46287"/>
    <w:rsid w:val="00A46298"/>
    <w:rsid w:val="00A462C7"/>
    <w:rsid w:val="00A462F7"/>
    <w:rsid w:val="00A462FC"/>
    <w:rsid w:val="00A46319"/>
    <w:rsid w:val="00A463C6"/>
    <w:rsid w:val="00A4641E"/>
    <w:rsid w:val="00A4645B"/>
    <w:rsid w:val="00A46529"/>
    <w:rsid w:val="00A46570"/>
    <w:rsid w:val="00A46581"/>
    <w:rsid w:val="00A46594"/>
    <w:rsid w:val="00A465EF"/>
    <w:rsid w:val="00A465F0"/>
    <w:rsid w:val="00A4660D"/>
    <w:rsid w:val="00A46631"/>
    <w:rsid w:val="00A46646"/>
    <w:rsid w:val="00A4665D"/>
    <w:rsid w:val="00A4665F"/>
    <w:rsid w:val="00A46666"/>
    <w:rsid w:val="00A46702"/>
    <w:rsid w:val="00A4673D"/>
    <w:rsid w:val="00A46789"/>
    <w:rsid w:val="00A46807"/>
    <w:rsid w:val="00A4680E"/>
    <w:rsid w:val="00A46863"/>
    <w:rsid w:val="00A468B9"/>
    <w:rsid w:val="00A468D7"/>
    <w:rsid w:val="00A46922"/>
    <w:rsid w:val="00A46929"/>
    <w:rsid w:val="00A46966"/>
    <w:rsid w:val="00A46986"/>
    <w:rsid w:val="00A4698A"/>
    <w:rsid w:val="00A46A16"/>
    <w:rsid w:val="00A46A39"/>
    <w:rsid w:val="00A46A3E"/>
    <w:rsid w:val="00A46A58"/>
    <w:rsid w:val="00A46ABE"/>
    <w:rsid w:val="00A46AC5"/>
    <w:rsid w:val="00A46AD4"/>
    <w:rsid w:val="00A46AFB"/>
    <w:rsid w:val="00A46B39"/>
    <w:rsid w:val="00A46B3B"/>
    <w:rsid w:val="00A46B4D"/>
    <w:rsid w:val="00A46B52"/>
    <w:rsid w:val="00A46BC4"/>
    <w:rsid w:val="00A46C7E"/>
    <w:rsid w:val="00A46C8A"/>
    <w:rsid w:val="00A46CE8"/>
    <w:rsid w:val="00A46D26"/>
    <w:rsid w:val="00A46D36"/>
    <w:rsid w:val="00A46D65"/>
    <w:rsid w:val="00A46DDA"/>
    <w:rsid w:val="00A46E38"/>
    <w:rsid w:val="00A46E39"/>
    <w:rsid w:val="00A46E40"/>
    <w:rsid w:val="00A46E43"/>
    <w:rsid w:val="00A46EC2"/>
    <w:rsid w:val="00A46F51"/>
    <w:rsid w:val="00A46F6B"/>
    <w:rsid w:val="00A46FB0"/>
    <w:rsid w:val="00A46FF1"/>
    <w:rsid w:val="00A47018"/>
    <w:rsid w:val="00A47036"/>
    <w:rsid w:val="00A47052"/>
    <w:rsid w:val="00A470DA"/>
    <w:rsid w:val="00A47141"/>
    <w:rsid w:val="00A4714A"/>
    <w:rsid w:val="00A47174"/>
    <w:rsid w:val="00A47197"/>
    <w:rsid w:val="00A471AD"/>
    <w:rsid w:val="00A471D2"/>
    <w:rsid w:val="00A471F1"/>
    <w:rsid w:val="00A47205"/>
    <w:rsid w:val="00A47210"/>
    <w:rsid w:val="00A47236"/>
    <w:rsid w:val="00A47240"/>
    <w:rsid w:val="00A47258"/>
    <w:rsid w:val="00A47267"/>
    <w:rsid w:val="00A472F4"/>
    <w:rsid w:val="00A47319"/>
    <w:rsid w:val="00A47332"/>
    <w:rsid w:val="00A4738B"/>
    <w:rsid w:val="00A4738F"/>
    <w:rsid w:val="00A47393"/>
    <w:rsid w:val="00A473A1"/>
    <w:rsid w:val="00A473B5"/>
    <w:rsid w:val="00A47408"/>
    <w:rsid w:val="00A47423"/>
    <w:rsid w:val="00A474A2"/>
    <w:rsid w:val="00A4751B"/>
    <w:rsid w:val="00A47538"/>
    <w:rsid w:val="00A4756E"/>
    <w:rsid w:val="00A4758B"/>
    <w:rsid w:val="00A475EB"/>
    <w:rsid w:val="00A47617"/>
    <w:rsid w:val="00A4762C"/>
    <w:rsid w:val="00A47632"/>
    <w:rsid w:val="00A4763D"/>
    <w:rsid w:val="00A47694"/>
    <w:rsid w:val="00A476D9"/>
    <w:rsid w:val="00A476DD"/>
    <w:rsid w:val="00A476E9"/>
    <w:rsid w:val="00A476F7"/>
    <w:rsid w:val="00A4771C"/>
    <w:rsid w:val="00A47734"/>
    <w:rsid w:val="00A4776A"/>
    <w:rsid w:val="00A477CF"/>
    <w:rsid w:val="00A4780C"/>
    <w:rsid w:val="00A47820"/>
    <w:rsid w:val="00A4783E"/>
    <w:rsid w:val="00A4785B"/>
    <w:rsid w:val="00A478B3"/>
    <w:rsid w:val="00A478E0"/>
    <w:rsid w:val="00A47915"/>
    <w:rsid w:val="00A47977"/>
    <w:rsid w:val="00A479A5"/>
    <w:rsid w:val="00A479C8"/>
    <w:rsid w:val="00A479EB"/>
    <w:rsid w:val="00A47A26"/>
    <w:rsid w:val="00A47A31"/>
    <w:rsid w:val="00A47A78"/>
    <w:rsid w:val="00A47A88"/>
    <w:rsid w:val="00A47AC3"/>
    <w:rsid w:val="00A47ADD"/>
    <w:rsid w:val="00A47B19"/>
    <w:rsid w:val="00A47B29"/>
    <w:rsid w:val="00A47B2E"/>
    <w:rsid w:val="00A47B6D"/>
    <w:rsid w:val="00A47B9C"/>
    <w:rsid w:val="00A47BD2"/>
    <w:rsid w:val="00A47BE2"/>
    <w:rsid w:val="00A47C2D"/>
    <w:rsid w:val="00A47C48"/>
    <w:rsid w:val="00A47C64"/>
    <w:rsid w:val="00A47D37"/>
    <w:rsid w:val="00A47D47"/>
    <w:rsid w:val="00A47D64"/>
    <w:rsid w:val="00A47E7F"/>
    <w:rsid w:val="00A47EB8"/>
    <w:rsid w:val="00A47ECA"/>
    <w:rsid w:val="00A47F02"/>
    <w:rsid w:val="00A47F11"/>
    <w:rsid w:val="00A47F98"/>
    <w:rsid w:val="00A47F9B"/>
    <w:rsid w:val="00A47F9E"/>
    <w:rsid w:val="00A47FB3"/>
    <w:rsid w:val="00A50048"/>
    <w:rsid w:val="00A50087"/>
    <w:rsid w:val="00A50092"/>
    <w:rsid w:val="00A501FD"/>
    <w:rsid w:val="00A5022F"/>
    <w:rsid w:val="00A5033E"/>
    <w:rsid w:val="00A503CD"/>
    <w:rsid w:val="00A503FD"/>
    <w:rsid w:val="00A5045C"/>
    <w:rsid w:val="00A50471"/>
    <w:rsid w:val="00A504C9"/>
    <w:rsid w:val="00A504F1"/>
    <w:rsid w:val="00A5052D"/>
    <w:rsid w:val="00A50563"/>
    <w:rsid w:val="00A50595"/>
    <w:rsid w:val="00A50613"/>
    <w:rsid w:val="00A5061A"/>
    <w:rsid w:val="00A50633"/>
    <w:rsid w:val="00A506A2"/>
    <w:rsid w:val="00A506DE"/>
    <w:rsid w:val="00A506F3"/>
    <w:rsid w:val="00A5071E"/>
    <w:rsid w:val="00A50738"/>
    <w:rsid w:val="00A50743"/>
    <w:rsid w:val="00A50748"/>
    <w:rsid w:val="00A50806"/>
    <w:rsid w:val="00A5081B"/>
    <w:rsid w:val="00A5085A"/>
    <w:rsid w:val="00A5085F"/>
    <w:rsid w:val="00A50860"/>
    <w:rsid w:val="00A50863"/>
    <w:rsid w:val="00A508CC"/>
    <w:rsid w:val="00A50964"/>
    <w:rsid w:val="00A5096A"/>
    <w:rsid w:val="00A5096F"/>
    <w:rsid w:val="00A509C9"/>
    <w:rsid w:val="00A509F6"/>
    <w:rsid w:val="00A50A64"/>
    <w:rsid w:val="00A50A73"/>
    <w:rsid w:val="00A50A7B"/>
    <w:rsid w:val="00A50AB9"/>
    <w:rsid w:val="00A50AC9"/>
    <w:rsid w:val="00A50ADB"/>
    <w:rsid w:val="00A50B6D"/>
    <w:rsid w:val="00A50B73"/>
    <w:rsid w:val="00A50B79"/>
    <w:rsid w:val="00A50B99"/>
    <w:rsid w:val="00A50BA5"/>
    <w:rsid w:val="00A50BB3"/>
    <w:rsid w:val="00A50C1C"/>
    <w:rsid w:val="00A50C3E"/>
    <w:rsid w:val="00A50C64"/>
    <w:rsid w:val="00A50C79"/>
    <w:rsid w:val="00A50C9F"/>
    <w:rsid w:val="00A50CC5"/>
    <w:rsid w:val="00A50CEA"/>
    <w:rsid w:val="00A50D03"/>
    <w:rsid w:val="00A50D0F"/>
    <w:rsid w:val="00A50D3B"/>
    <w:rsid w:val="00A50D4A"/>
    <w:rsid w:val="00A50DC4"/>
    <w:rsid w:val="00A50DFC"/>
    <w:rsid w:val="00A50E20"/>
    <w:rsid w:val="00A50E90"/>
    <w:rsid w:val="00A50ED4"/>
    <w:rsid w:val="00A50F05"/>
    <w:rsid w:val="00A50F0D"/>
    <w:rsid w:val="00A50F25"/>
    <w:rsid w:val="00A50F42"/>
    <w:rsid w:val="00A50F43"/>
    <w:rsid w:val="00A50F48"/>
    <w:rsid w:val="00A51043"/>
    <w:rsid w:val="00A5104A"/>
    <w:rsid w:val="00A51057"/>
    <w:rsid w:val="00A51091"/>
    <w:rsid w:val="00A510A4"/>
    <w:rsid w:val="00A510D4"/>
    <w:rsid w:val="00A510DA"/>
    <w:rsid w:val="00A510EF"/>
    <w:rsid w:val="00A5110D"/>
    <w:rsid w:val="00A51161"/>
    <w:rsid w:val="00A51171"/>
    <w:rsid w:val="00A51197"/>
    <w:rsid w:val="00A51198"/>
    <w:rsid w:val="00A511BC"/>
    <w:rsid w:val="00A511C4"/>
    <w:rsid w:val="00A511D2"/>
    <w:rsid w:val="00A511F8"/>
    <w:rsid w:val="00A51220"/>
    <w:rsid w:val="00A51251"/>
    <w:rsid w:val="00A5125C"/>
    <w:rsid w:val="00A5128C"/>
    <w:rsid w:val="00A512B4"/>
    <w:rsid w:val="00A512BD"/>
    <w:rsid w:val="00A512F4"/>
    <w:rsid w:val="00A512F9"/>
    <w:rsid w:val="00A51339"/>
    <w:rsid w:val="00A513A6"/>
    <w:rsid w:val="00A513C1"/>
    <w:rsid w:val="00A5141B"/>
    <w:rsid w:val="00A51446"/>
    <w:rsid w:val="00A5144D"/>
    <w:rsid w:val="00A51497"/>
    <w:rsid w:val="00A514CF"/>
    <w:rsid w:val="00A514EF"/>
    <w:rsid w:val="00A515E6"/>
    <w:rsid w:val="00A51648"/>
    <w:rsid w:val="00A51649"/>
    <w:rsid w:val="00A5166F"/>
    <w:rsid w:val="00A5170B"/>
    <w:rsid w:val="00A5172C"/>
    <w:rsid w:val="00A51746"/>
    <w:rsid w:val="00A51767"/>
    <w:rsid w:val="00A5179E"/>
    <w:rsid w:val="00A517BD"/>
    <w:rsid w:val="00A517DB"/>
    <w:rsid w:val="00A51811"/>
    <w:rsid w:val="00A51830"/>
    <w:rsid w:val="00A518B4"/>
    <w:rsid w:val="00A51911"/>
    <w:rsid w:val="00A5195E"/>
    <w:rsid w:val="00A51971"/>
    <w:rsid w:val="00A51989"/>
    <w:rsid w:val="00A519A7"/>
    <w:rsid w:val="00A519E1"/>
    <w:rsid w:val="00A51A3E"/>
    <w:rsid w:val="00A51A81"/>
    <w:rsid w:val="00A51AC2"/>
    <w:rsid w:val="00A51AFD"/>
    <w:rsid w:val="00A51B80"/>
    <w:rsid w:val="00A51B89"/>
    <w:rsid w:val="00A51BAD"/>
    <w:rsid w:val="00A51BB9"/>
    <w:rsid w:val="00A51BE4"/>
    <w:rsid w:val="00A51C40"/>
    <w:rsid w:val="00A51C80"/>
    <w:rsid w:val="00A51C82"/>
    <w:rsid w:val="00A51C91"/>
    <w:rsid w:val="00A51C95"/>
    <w:rsid w:val="00A51CAD"/>
    <w:rsid w:val="00A51CED"/>
    <w:rsid w:val="00A51CF4"/>
    <w:rsid w:val="00A51D04"/>
    <w:rsid w:val="00A51D32"/>
    <w:rsid w:val="00A51DE5"/>
    <w:rsid w:val="00A51E8C"/>
    <w:rsid w:val="00A51EAC"/>
    <w:rsid w:val="00A51EC8"/>
    <w:rsid w:val="00A51F1F"/>
    <w:rsid w:val="00A51F33"/>
    <w:rsid w:val="00A51F35"/>
    <w:rsid w:val="00A51F66"/>
    <w:rsid w:val="00A51F9B"/>
    <w:rsid w:val="00A51FE3"/>
    <w:rsid w:val="00A51FF7"/>
    <w:rsid w:val="00A52013"/>
    <w:rsid w:val="00A520AA"/>
    <w:rsid w:val="00A520FA"/>
    <w:rsid w:val="00A520FB"/>
    <w:rsid w:val="00A52114"/>
    <w:rsid w:val="00A52145"/>
    <w:rsid w:val="00A52154"/>
    <w:rsid w:val="00A52191"/>
    <w:rsid w:val="00A521EA"/>
    <w:rsid w:val="00A52206"/>
    <w:rsid w:val="00A52208"/>
    <w:rsid w:val="00A52243"/>
    <w:rsid w:val="00A52247"/>
    <w:rsid w:val="00A5227B"/>
    <w:rsid w:val="00A522AA"/>
    <w:rsid w:val="00A522DC"/>
    <w:rsid w:val="00A52319"/>
    <w:rsid w:val="00A52358"/>
    <w:rsid w:val="00A5238B"/>
    <w:rsid w:val="00A52459"/>
    <w:rsid w:val="00A5248C"/>
    <w:rsid w:val="00A524E1"/>
    <w:rsid w:val="00A524F1"/>
    <w:rsid w:val="00A5250B"/>
    <w:rsid w:val="00A5253C"/>
    <w:rsid w:val="00A52567"/>
    <w:rsid w:val="00A5257D"/>
    <w:rsid w:val="00A52580"/>
    <w:rsid w:val="00A52606"/>
    <w:rsid w:val="00A52622"/>
    <w:rsid w:val="00A52633"/>
    <w:rsid w:val="00A5263A"/>
    <w:rsid w:val="00A52686"/>
    <w:rsid w:val="00A526F4"/>
    <w:rsid w:val="00A52729"/>
    <w:rsid w:val="00A5272C"/>
    <w:rsid w:val="00A52771"/>
    <w:rsid w:val="00A527C3"/>
    <w:rsid w:val="00A5281F"/>
    <w:rsid w:val="00A52853"/>
    <w:rsid w:val="00A52869"/>
    <w:rsid w:val="00A5289D"/>
    <w:rsid w:val="00A528A2"/>
    <w:rsid w:val="00A528AC"/>
    <w:rsid w:val="00A528AD"/>
    <w:rsid w:val="00A528D9"/>
    <w:rsid w:val="00A528E1"/>
    <w:rsid w:val="00A52915"/>
    <w:rsid w:val="00A52919"/>
    <w:rsid w:val="00A52931"/>
    <w:rsid w:val="00A52944"/>
    <w:rsid w:val="00A52951"/>
    <w:rsid w:val="00A52955"/>
    <w:rsid w:val="00A52A5D"/>
    <w:rsid w:val="00A52A60"/>
    <w:rsid w:val="00A52A9F"/>
    <w:rsid w:val="00A52B97"/>
    <w:rsid w:val="00A52B9A"/>
    <w:rsid w:val="00A52BA1"/>
    <w:rsid w:val="00A52BAB"/>
    <w:rsid w:val="00A52BCA"/>
    <w:rsid w:val="00A52C55"/>
    <w:rsid w:val="00A52C70"/>
    <w:rsid w:val="00A52D48"/>
    <w:rsid w:val="00A52DC4"/>
    <w:rsid w:val="00A52DE3"/>
    <w:rsid w:val="00A52E18"/>
    <w:rsid w:val="00A52E1F"/>
    <w:rsid w:val="00A52E22"/>
    <w:rsid w:val="00A52E45"/>
    <w:rsid w:val="00A52E54"/>
    <w:rsid w:val="00A52E92"/>
    <w:rsid w:val="00A52EDE"/>
    <w:rsid w:val="00A52EE5"/>
    <w:rsid w:val="00A52EEF"/>
    <w:rsid w:val="00A52F00"/>
    <w:rsid w:val="00A52F47"/>
    <w:rsid w:val="00A52F7B"/>
    <w:rsid w:val="00A52F8F"/>
    <w:rsid w:val="00A52F9B"/>
    <w:rsid w:val="00A52FC8"/>
    <w:rsid w:val="00A53034"/>
    <w:rsid w:val="00A53042"/>
    <w:rsid w:val="00A5304E"/>
    <w:rsid w:val="00A53071"/>
    <w:rsid w:val="00A53073"/>
    <w:rsid w:val="00A530A7"/>
    <w:rsid w:val="00A530C6"/>
    <w:rsid w:val="00A5313E"/>
    <w:rsid w:val="00A5314A"/>
    <w:rsid w:val="00A53151"/>
    <w:rsid w:val="00A53157"/>
    <w:rsid w:val="00A5318B"/>
    <w:rsid w:val="00A5319D"/>
    <w:rsid w:val="00A531AA"/>
    <w:rsid w:val="00A531EC"/>
    <w:rsid w:val="00A53219"/>
    <w:rsid w:val="00A53240"/>
    <w:rsid w:val="00A532A6"/>
    <w:rsid w:val="00A532D2"/>
    <w:rsid w:val="00A532F5"/>
    <w:rsid w:val="00A53346"/>
    <w:rsid w:val="00A5336F"/>
    <w:rsid w:val="00A53458"/>
    <w:rsid w:val="00A53466"/>
    <w:rsid w:val="00A534A5"/>
    <w:rsid w:val="00A534B3"/>
    <w:rsid w:val="00A534F4"/>
    <w:rsid w:val="00A53547"/>
    <w:rsid w:val="00A53550"/>
    <w:rsid w:val="00A5355B"/>
    <w:rsid w:val="00A5355F"/>
    <w:rsid w:val="00A53587"/>
    <w:rsid w:val="00A53588"/>
    <w:rsid w:val="00A535AD"/>
    <w:rsid w:val="00A535DE"/>
    <w:rsid w:val="00A535FF"/>
    <w:rsid w:val="00A5360F"/>
    <w:rsid w:val="00A53629"/>
    <w:rsid w:val="00A53653"/>
    <w:rsid w:val="00A536A7"/>
    <w:rsid w:val="00A536D3"/>
    <w:rsid w:val="00A536F4"/>
    <w:rsid w:val="00A53715"/>
    <w:rsid w:val="00A537AD"/>
    <w:rsid w:val="00A537F9"/>
    <w:rsid w:val="00A53820"/>
    <w:rsid w:val="00A53845"/>
    <w:rsid w:val="00A53862"/>
    <w:rsid w:val="00A538F0"/>
    <w:rsid w:val="00A538F3"/>
    <w:rsid w:val="00A53904"/>
    <w:rsid w:val="00A53950"/>
    <w:rsid w:val="00A5395C"/>
    <w:rsid w:val="00A53961"/>
    <w:rsid w:val="00A5396B"/>
    <w:rsid w:val="00A539AF"/>
    <w:rsid w:val="00A539B1"/>
    <w:rsid w:val="00A539DA"/>
    <w:rsid w:val="00A539FB"/>
    <w:rsid w:val="00A53A16"/>
    <w:rsid w:val="00A53A4C"/>
    <w:rsid w:val="00A53A7A"/>
    <w:rsid w:val="00A53AFC"/>
    <w:rsid w:val="00A53B32"/>
    <w:rsid w:val="00A53B5E"/>
    <w:rsid w:val="00A53B8D"/>
    <w:rsid w:val="00A53BA4"/>
    <w:rsid w:val="00A53BAC"/>
    <w:rsid w:val="00A53BFE"/>
    <w:rsid w:val="00A53C57"/>
    <w:rsid w:val="00A53C78"/>
    <w:rsid w:val="00A53C91"/>
    <w:rsid w:val="00A53CA7"/>
    <w:rsid w:val="00A53CA8"/>
    <w:rsid w:val="00A53CC7"/>
    <w:rsid w:val="00A53CE8"/>
    <w:rsid w:val="00A53CFB"/>
    <w:rsid w:val="00A53D23"/>
    <w:rsid w:val="00A53D28"/>
    <w:rsid w:val="00A53D5C"/>
    <w:rsid w:val="00A53DAB"/>
    <w:rsid w:val="00A53DB2"/>
    <w:rsid w:val="00A53DD1"/>
    <w:rsid w:val="00A53DE7"/>
    <w:rsid w:val="00A53E0E"/>
    <w:rsid w:val="00A53E14"/>
    <w:rsid w:val="00A53E4C"/>
    <w:rsid w:val="00A53E58"/>
    <w:rsid w:val="00A53EB9"/>
    <w:rsid w:val="00A53F02"/>
    <w:rsid w:val="00A53F43"/>
    <w:rsid w:val="00A53FAB"/>
    <w:rsid w:val="00A53FBB"/>
    <w:rsid w:val="00A53FC0"/>
    <w:rsid w:val="00A53FC1"/>
    <w:rsid w:val="00A54003"/>
    <w:rsid w:val="00A5405D"/>
    <w:rsid w:val="00A54086"/>
    <w:rsid w:val="00A54117"/>
    <w:rsid w:val="00A54144"/>
    <w:rsid w:val="00A54157"/>
    <w:rsid w:val="00A5415A"/>
    <w:rsid w:val="00A54161"/>
    <w:rsid w:val="00A541DD"/>
    <w:rsid w:val="00A5421D"/>
    <w:rsid w:val="00A5421F"/>
    <w:rsid w:val="00A5426F"/>
    <w:rsid w:val="00A542DB"/>
    <w:rsid w:val="00A54354"/>
    <w:rsid w:val="00A54361"/>
    <w:rsid w:val="00A5436E"/>
    <w:rsid w:val="00A54376"/>
    <w:rsid w:val="00A543A0"/>
    <w:rsid w:val="00A543B2"/>
    <w:rsid w:val="00A543C8"/>
    <w:rsid w:val="00A54403"/>
    <w:rsid w:val="00A5443E"/>
    <w:rsid w:val="00A54474"/>
    <w:rsid w:val="00A54477"/>
    <w:rsid w:val="00A544BA"/>
    <w:rsid w:val="00A544BE"/>
    <w:rsid w:val="00A544F8"/>
    <w:rsid w:val="00A54537"/>
    <w:rsid w:val="00A5456D"/>
    <w:rsid w:val="00A545CA"/>
    <w:rsid w:val="00A545D0"/>
    <w:rsid w:val="00A54676"/>
    <w:rsid w:val="00A546A5"/>
    <w:rsid w:val="00A546A8"/>
    <w:rsid w:val="00A5472B"/>
    <w:rsid w:val="00A54755"/>
    <w:rsid w:val="00A54772"/>
    <w:rsid w:val="00A547A7"/>
    <w:rsid w:val="00A547DD"/>
    <w:rsid w:val="00A547DF"/>
    <w:rsid w:val="00A547E2"/>
    <w:rsid w:val="00A5483D"/>
    <w:rsid w:val="00A548A7"/>
    <w:rsid w:val="00A5491F"/>
    <w:rsid w:val="00A54931"/>
    <w:rsid w:val="00A5493F"/>
    <w:rsid w:val="00A54942"/>
    <w:rsid w:val="00A54958"/>
    <w:rsid w:val="00A54981"/>
    <w:rsid w:val="00A549B4"/>
    <w:rsid w:val="00A549D3"/>
    <w:rsid w:val="00A549E7"/>
    <w:rsid w:val="00A54A3B"/>
    <w:rsid w:val="00A54AEF"/>
    <w:rsid w:val="00A54B0E"/>
    <w:rsid w:val="00A54B19"/>
    <w:rsid w:val="00A54B8C"/>
    <w:rsid w:val="00A54C3A"/>
    <w:rsid w:val="00A54C8A"/>
    <w:rsid w:val="00A54C96"/>
    <w:rsid w:val="00A54CB2"/>
    <w:rsid w:val="00A54CBA"/>
    <w:rsid w:val="00A54CD7"/>
    <w:rsid w:val="00A54CE4"/>
    <w:rsid w:val="00A54CF6"/>
    <w:rsid w:val="00A54CFF"/>
    <w:rsid w:val="00A54D13"/>
    <w:rsid w:val="00A54D49"/>
    <w:rsid w:val="00A54D75"/>
    <w:rsid w:val="00A54DB8"/>
    <w:rsid w:val="00A54DC0"/>
    <w:rsid w:val="00A54E15"/>
    <w:rsid w:val="00A54E5A"/>
    <w:rsid w:val="00A54ECF"/>
    <w:rsid w:val="00A54ED9"/>
    <w:rsid w:val="00A54F06"/>
    <w:rsid w:val="00A54F75"/>
    <w:rsid w:val="00A54FEF"/>
    <w:rsid w:val="00A55035"/>
    <w:rsid w:val="00A550A6"/>
    <w:rsid w:val="00A550C6"/>
    <w:rsid w:val="00A550CF"/>
    <w:rsid w:val="00A5512F"/>
    <w:rsid w:val="00A551CB"/>
    <w:rsid w:val="00A55210"/>
    <w:rsid w:val="00A55271"/>
    <w:rsid w:val="00A5527E"/>
    <w:rsid w:val="00A552A6"/>
    <w:rsid w:val="00A5530C"/>
    <w:rsid w:val="00A5531F"/>
    <w:rsid w:val="00A5534E"/>
    <w:rsid w:val="00A55351"/>
    <w:rsid w:val="00A55358"/>
    <w:rsid w:val="00A5543F"/>
    <w:rsid w:val="00A5544A"/>
    <w:rsid w:val="00A55460"/>
    <w:rsid w:val="00A554BB"/>
    <w:rsid w:val="00A554CA"/>
    <w:rsid w:val="00A5557E"/>
    <w:rsid w:val="00A55589"/>
    <w:rsid w:val="00A5559B"/>
    <w:rsid w:val="00A5559C"/>
    <w:rsid w:val="00A555AA"/>
    <w:rsid w:val="00A555BD"/>
    <w:rsid w:val="00A55617"/>
    <w:rsid w:val="00A5563D"/>
    <w:rsid w:val="00A55693"/>
    <w:rsid w:val="00A55731"/>
    <w:rsid w:val="00A55744"/>
    <w:rsid w:val="00A55765"/>
    <w:rsid w:val="00A557CB"/>
    <w:rsid w:val="00A55891"/>
    <w:rsid w:val="00A558CB"/>
    <w:rsid w:val="00A558E3"/>
    <w:rsid w:val="00A559AC"/>
    <w:rsid w:val="00A559BE"/>
    <w:rsid w:val="00A559BF"/>
    <w:rsid w:val="00A559F0"/>
    <w:rsid w:val="00A55A2D"/>
    <w:rsid w:val="00A55A38"/>
    <w:rsid w:val="00A55A49"/>
    <w:rsid w:val="00A55A4D"/>
    <w:rsid w:val="00A55A51"/>
    <w:rsid w:val="00A55AD6"/>
    <w:rsid w:val="00A55B07"/>
    <w:rsid w:val="00A55B0A"/>
    <w:rsid w:val="00A55B8C"/>
    <w:rsid w:val="00A55B99"/>
    <w:rsid w:val="00A55BD6"/>
    <w:rsid w:val="00A55CA9"/>
    <w:rsid w:val="00A55CCD"/>
    <w:rsid w:val="00A55CE5"/>
    <w:rsid w:val="00A55CF1"/>
    <w:rsid w:val="00A55D09"/>
    <w:rsid w:val="00A55D22"/>
    <w:rsid w:val="00A55D27"/>
    <w:rsid w:val="00A55D52"/>
    <w:rsid w:val="00A55D69"/>
    <w:rsid w:val="00A55D81"/>
    <w:rsid w:val="00A55DA5"/>
    <w:rsid w:val="00A55DCF"/>
    <w:rsid w:val="00A55E47"/>
    <w:rsid w:val="00A55EBE"/>
    <w:rsid w:val="00A55ECD"/>
    <w:rsid w:val="00A55ED0"/>
    <w:rsid w:val="00A55EDA"/>
    <w:rsid w:val="00A55F53"/>
    <w:rsid w:val="00A55F56"/>
    <w:rsid w:val="00A55FA8"/>
    <w:rsid w:val="00A55FD7"/>
    <w:rsid w:val="00A55FDB"/>
    <w:rsid w:val="00A55FE2"/>
    <w:rsid w:val="00A5601C"/>
    <w:rsid w:val="00A5602A"/>
    <w:rsid w:val="00A5604B"/>
    <w:rsid w:val="00A5604E"/>
    <w:rsid w:val="00A56079"/>
    <w:rsid w:val="00A5607C"/>
    <w:rsid w:val="00A560C7"/>
    <w:rsid w:val="00A560C9"/>
    <w:rsid w:val="00A560D8"/>
    <w:rsid w:val="00A56140"/>
    <w:rsid w:val="00A56162"/>
    <w:rsid w:val="00A561B4"/>
    <w:rsid w:val="00A561DE"/>
    <w:rsid w:val="00A561E8"/>
    <w:rsid w:val="00A561EB"/>
    <w:rsid w:val="00A56218"/>
    <w:rsid w:val="00A56229"/>
    <w:rsid w:val="00A56244"/>
    <w:rsid w:val="00A5624E"/>
    <w:rsid w:val="00A562C4"/>
    <w:rsid w:val="00A5630A"/>
    <w:rsid w:val="00A5632C"/>
    <w:rsid w:val="00A5632E"/>
    <w:rsid w:val="00A5636C"/>
    <w:rsid w:val="00A5637C"/>
    <w:rsid w:val="00A563A0"/>
    <w:rsid w:val="00A563B0"/>
    <w:rsid w:val="00A563C7"/>
    <w:rsid w:val="00A563D3"/>
    <w:rsid w:val="00A563E5"/>
    <w:rsid w:val="00A563EE"/>
    <w:rsid w:val="00A56412"/>
    <w:rsid w:val="00A564A3"/>
    <w:rsid w:val="00A564C2"/>
    <w:rsid w:val="00A564DB"/>
    <w:rsid w:val="00A564DF"/>
    <w:rsid w:val="00A564F9"/>
    <w:rsid w:val="00A56517"/>
    <w:rsid w:val="00A5651C"/>
    <w:rsid w:val="00A5653B"/>
    <w:rsid w:val="00A5659A"/>
    <w:rsid w:val="00A565F8"/>
    <w:rsid w:val="00A56639"/>
    <w:rsid w:val="00A56651"/>
    <w:rsid w:val="00A5666A"/>
    <w:rsid w:val="00A5666B"/>
    <w:rsid w:val="00A56685"/>
    <w:rsid w:val="00A5668E"/>
    <w:rsid w:val="00A566CE"/>
    <w:rsid w:val="00A566D6"/>
    <w:rsid w:val="00A566F5"/>
    <w:rsid w:val="00A5670B"/>
    <w:rsid w:val="00A5673C"/>
    <w:rsid w:val="00A5677D"/>
    <w:rsid w:val="00A56792"/>
    <w:rsid w:val="00A567BF"/>
    <w:rsid w:val="00A568B3"/>
    <w:rsid w:val="00A56927"/>
    <w:rsid w:val="00A56961"/>
    <w:rsid w:val="00A56965"/>
    <w:rsid w:val="00A569A3"/>
    <w:rsid w:val="00A56A01"/>
    <w:rsid w:val="00A56AB4"/>
    <w:rsid w:val="00A56AFB"/>
    <w:rsid w:val="00A56B43"/>
    <w:rsid w:val="00A56B97"/>
    <w:rsid w:val="00A56BA0"/>
    <w:rsid w:val="00A56BE3"/>
    <w:rsid w:val="00A56C06"/>
    <w:rsid w:val="00A56C8B"/>
    <w:rsid w:val="00A56CEB"/>
    <w:rsid w:val="00A56D3D"/>
    <w:rsid w:val="00A56D55"/>
    <w:rsid w:val="00A56DE8"/>
    <w:rsid w:val="00A56DF6"/>
    <w:rsid w:val="00A56DF7"/>
    <w:rsid w:val="00A56E0D"/>
    <w:rsid w:val="00A56E4C"/>
    <w:rsid w:val="00A56E5D"/>
    <w:rsid w:val="00A56E63"/>
    <w:rsid w:val="00A56E90"/>
    <w:rsid w:val="00A56EE5"/>
    <w:rsid w:val="00A56EEF"/>
    <w:rsid w:val="00A56F8D"/>
    <w:rsid w:val="00A56FBD"/>
    <w:rsid w:val="00A56FCE"/>
    <w:rsid w:val="00A5704F"/>
    <w:rsid w:val="00A5707C"/>
    <w:rsid w:val="00A570CA"/>
    <w:rsid w:val="00A57155"/>
    <w:rsid w:val="00A57167"/>
    <w:rsid w:val="00A57177"/>
    <w:rsid w:val="00A57183"/>
    <w:rsid w:val="00A5718C"/>
    <w:rsid w:val="00A57197"/>
    <w:rsid w:val="00A571B0"/>
    <w:rsid w:val="00A571DC"/>
    <w:rsid w:val="00A57255"/>
    <w:rsid w:val="00A5725E"/>
    <w:rsid w:val="00A57262"/>
    <w:rsid w:val="00A57287"/>
    <w:rsid w:val="00A572A2"/>
    <w:rsid w:val="00A57301"/>
    <w:rsid w:val="00A57392"/>
    <w:rsid w:val="00A5739B"/>
    <w:rsid w:val="00A573AD"/>
    <w:rsid w:val="00A573E8"/>
    <w:rsid w:val="00A57405"/>
    <w:rsid w:val="00A57425"/>
    <w:rsid w:val="00A57434"/>
    <w:rsid w:val="00A5743B"/>
    <w:rsid w:val="00A57472"/>
    <w:rsid w:val="00A57492"/>
    <w:rsid w:val="00A57495"/>
    <w:rsid w:val="00A57506"/>
    <w:rsid w:val="00A57560"/>
    <w:rsid w:val="00A5758C"/>
    <w:rsid w:val="00A575BA"/>
    <w:rsid w:val="00A575E0"/>
    <w:rsid w:val="00A575F7"/>
    <w:rsid w:val="00A57662"/>
    <w:rsid w:val="00A576AB"/>
    <w:rsid w:val="00A576FA"/>
    <w:rsid w:val="00A576FF"/>
    <w:rsid w:val="00A57720"/>
    <w:rsid w:val="00A57736"/>
    <w:rsid w:val="00A57750"/>
    <w:rsid w:val="00A5779C"/>
    <w:rsid w:val="00A577C5"/>
    <w:rsid w:val="00A5781F"/>
    <w:rsid w:val="00A57847"/>
    <w:rsid w:val="00A57899"/>
    <w:rsid w:val="00A578A3"/>
    <w:rsid w:val="00A578D6"/>
    <w:rsid w:val="00A57929"/>
    <w:rsid w:val="00A57931"/>
    <w:rsid w:val="00A57959"/>
    <w:rsid w:val="00A579B2"/>
    <w:rsid w:val="00A579DB"/>
    <w:rsid w:val="00A579ED"/>
    <w:rsid w:val="00A579EF"/>
    <w:rsid w:val="00A57A0B"/>
    <w:rsid w:val="00A57A0E"/>
    <w:rsid w:val="00A57A65"/>
    <w:rsid w:val="00A57A6A"/>
    <w:rsid w:val="00A57A6D"/>
    <w:rsid w:val="00A57A75"/>
    <w:rsid w:val="00A57A78"/>
    <w:rsid w:val="00A57AFA"/>
    <w:rsid w:val="00A57B27"/>
    <w:rsid w:val="00A57B40"/>
    <w:rsid w:val="00A57B51"/>
    <w:rsid w:val="00A57B58"/>
    <w:rsid w:val="00A57B7F"/>
    <w:rsid w:val="00A57B93"/>
    <w:rsid w:val="00A57B98"/>
    <w:rsid w:val="00A57BF5"/>
    <w:rsid w:val="00A57C10"/>
    <w:rsid w:val="00A57C2C"/>
    <w:rsid w:val="00A57C3A"/>
    <w:rsid w:val="00A57C4C"/>
    <w:rsid w:val="00A57C71"/>
    <w:rsid w:val="00A57C87"/>
    <w:rsid w:val="00A57C8D"/>
    <w:rsid w:val="00A57CA8"/>
    <w:rsid w:val="00A57CE2"/>
    <w:rsid w:val="00A57CFC"/>
    <w:rsid w:val="00A57D0F"/>
    <w:rsid w:val="00A57D18"/>
    <w:rsid w:val="00A57D65"/>
    <w:rsid w:val="00A57D71"/>
    <w:rsid w:val="00A57D81"/>
    <w:rsid w:val="00A57D9E"/>
    <w:rsid w:val="00A57DDA"/>
    <w:rsid w:val="00A57E75"/>
    <w:rsid w:val="00A57EAD"/>
    <w:rsid w:val="00A57EDA"/>
    <w:rsid w:val="00A57FE0"/>
    <w:rsid w:val="00A6000C"/>
    <w:rsid w:val="00A60020"/>
    <w:rsid w:val="00A6002F"/>
    <w:rsid w:val="00A6008D"/>
    <w:rsid w:val="00A6013F"/>
    <w:rsid w:val="00A60149"/>
    <w:rsid w:val="00A6014B"/>
    <w:rsid w:val="00A60180"/>
    <w:rsid w:val="00A60190"/>
    <w:rsid w:val="00A601D1"/>
    <w:rsid w:val="00A601EB"/>
    <w:rsid w:val="00A60201"/>
    <w:rsid w:val="00A60204"/>
    <w:rsid w:val="00A6020A"/>
    <w:rsid w:val="00A6022F"/>
    <w:rsid w:val="00A602AE"/>
    <w:rsid w:val="00A602CA"/>
    <w:rsid w:val="00A602D6"/>
    <w:rsid w:val="00A602D8"/>
    <w:rsid w:val="00A602DA"/>
    <w:rsid w:val="00A60355"/>
    <w:rsid w:val="00A6035D"/>
    <w:rsid w:val="00A6037B"/>
    <w:rsid w:val="00A603BD"/>
    <w:rsid w:val="00A603C8"/>
    <w:rsid w:val="00A603E3"/>
    <w:rsid w:val="00A60454"/>
    <w:rsid w:val="00A60466"/>
    <w:rsid w:val="00A604A6"/>
    <w:rsid w:val="00A604B4"/>
    <w:rsid w:val="00A604F2"/>
    <w:rsid w:val="00A604FC"/>
    <w:rsid w:val="00A6054A"/>
    <w:rsid w:val="00A60555"/>
    <w:rsid w:val="00A6057F"/>
    <w:rsid w:val="00A605CE"/>
    <w:rsid w:val="00A60602"/>
    <w:rsid w:val="00A60637"/>
    <w:rsid w:val="00A60665"/>
    <w:rsid w:val="00A60668"/>
    <w:rsid w:val="00A60689"/>
    <w:rsid w:val="00A60696"/>
    <w:rsid w:val="00A60716"/>
    <w:rsid w:val="00A60728"/>
    <w:rsid w:val="00A6077C"/>
    <w:rsid w:val="00A607BB"/>
    <w:rsid w:val="00A607E0"/>
    <w:rsid w:val="00A60804"/>
    <w:rsid w:val="00A608AA"/>
    <w:rsid w:val="00A608DD"/>
    <w:rsid w:val="00A6092A"/>
    <w:rsid w:val="00A6092E"/>
    <w:rsid w:val="00A609E4"/>
    <w:rsid w:val="00A60A00"/>
    <w:rsid w:val="00A60A1A"/>
    <w:rsid w:val="00A60A1C"/>
    <w:rsid w:val="00A60A48"/>
    <w:rsid w:val="00A60A94"/>
    <w:rsid w:val="00A60AAA"/>
    <w:rsid w:val="00A60B30"/>
    <w:rsid w:val="00A60B7B"/>
    <w:rsid w:val="00A60B92"/>
    <w:rsid w:val="00A60B9F"/>
    <w:rsid w:val="00A60BD2"/>
    <w:rsid w:val="00A60BE0"/>
    <w:rsid w:val="00A60C2F"/>
    <w:rsid w:val="00A60C65"/>
    <w:rsid w:val="00A60C6D"/>
    <w:rsid w:val="00A60C8A"/>
    <w:rsid w:val="00A60C96"/>
    <w:rsid w:val="00A60C9D"/>
    <w:rsid w:val="00A60CD5"/>
    <w:rsid w:val="00A60D09"/>
    <w:rsid w:val="00A60D3A"/>
    <w:rsid w:val="00A60D3F"/>
    <w:rsid w:val="00A60D6C"/>
    <w:rsid w:val="00A60D93"/>
    <w:rsid w:val="00A60DE9"/>
    <w:rsid w:val="00A60E1B"/>
    <w:rsid w:val="00A60E28"/>
    <w:rsid w:val="00A60E7F"/>
    <w:rsid w:val="00A60E83"/>
    <w:rsid w:val="00A60ED5"/>
    <w:rsid w:val="00A60EE6"/>
    <w:rsid w:val="00A60F23"/>
    <w:rsid w:val="00A60F42"/>
    <w:rsid w:val="00A60FD1"/>
    <w:rsid w:val="00A61001"/>
    <w:rsid w:val="00A61016"/>
    <w:rsid w:val="00A61018"/>
    <w:rsid w:val="00A6104F"/>
    <w:rsid w:val="00A6105A"/>
    <w:rsid w:val="00A610B9"/>
    <w:rsid w:val="00A610EC"/>
    <w:rsid w:val="00A610F2"/>
    <w:rsid w:val="00A6113C"/>
    <w:rsid w:val="00A611AC"/>
    <w:rsid w:val="00A611E0"/>
    <w:rsid w:val="00A611FF"/>
    <w:rsid w:val="00A61273"/>
    <w:rsid w:val="00A61292"/>
    <w:rsid w:val="00A61389"/>
    <w:rsid w:val="00A61395"/>
    <w:rsid w:val="00A613A2"/>
    <w:rsid w:val="00A613C8"/>
    <w:rsid w:val="00A613CA"/>
    <w:rsid w:val="00A61408"/>
    <w:rsid w:val="00A61413"/>
    <w:rsid w:val="00A61430"/>
    <w:rsid w:val="00A61495"/>
    <w:rsid w:val="00A614C3"/>
    <w:rsid w:val="00A61524"/>
    <w:rsid w:val="00A6153B"/>
    <w:rsid w:val="00A6154F"/>
    <w:rsid w:val="00A615B7"/>
    <w:rsid w:val="00A615BD"/>
    <w:rsid w:val="00A61612"/>
    <w:rsid w:val="00A61627"/>
    <w:rsid w:val="00A6163B"/>
    <w:rsid w:val="00A6165F"/>
    <w:rsid w:val="00A616B6"/>
    <w:rsid w:val="00A6171B"/>
    <w:rsid w:val="00A61753"/>
    <w:rsid w:val="00A61758"/>
    <w:rsid w:val="00A6178A"/>
    <w:rsid w:val="00A617B5"/>
    <w:rsid w:val="00A61829"/>
    <w:rsid w:val="00A61838"/>
    <w:rsid w:val="00A61862"/>
    <w:rsid w:val="00A61865"/>
    <w:rsid w:val="00A618F0"/>
    <w:rsid w:val="00A61992"/>
    <w:rsid w:val="00A61994"/>
    <w:rsid w:val="00A619EA"/>
    <w:rsid w:val="00A619F3"/>
    <w:rsid w:val="00A61A19"/>
    <w:rsid w:val="00A61A1E"/>
    <w:rsid w:val="00A61A75"/>
    <w:rsid w:val="00A61A84"/>
    <w:rsid w:val="00A61AA8"/>
    <w:rsid w:val="00A61AAC"/>
    <w:rsid w:val="00A61ABC"/>
    <w:rsid w:val="00A61AC2"/>
    <w:rsid w:val="00A61B1D"/>
    <w:rsid w:val="00A61B38"/>
    <w:rsid w:val="00A61B66"/>
    <w:rsid w:val="00A61BC0"/>
    <w:rsid w:val="00A61D2A"/>
    <w:rsid w:val="00A61D37"/>
    <w:rsid w:val="00A61D5F"/>
    <w:rsid w:val="00A61DBC"/>
    <w:rsid w:val="00A61DDC"/>
    <w:rsid w:val="00A61E08"/>
    <w:rsid w:val="00A61E15"/>
    <w:rsid w:val="00A61E27"/>
    <w:rsid w:val="00A61E30"/>
    <w:rsid w:val="00A61E46"/>
    <w:rsid w:val="00A61E59"/>
    <w:rsid w:val="00A61E6E"/>
    <w:rsid w:val="00A61E70"/>
    <w:rsid w:val="00A61E75"/>
    <w:rsid w:val="00A61E92"/>
    <w:rsid w:val="00A61EAB"/>
    <w:rsid w:val="00A61EED"/>
    <w:rsid w:val="00A61F79"/>
    <w:rsid w:val="00A61FC8"/>
    <w:rsid w:val="00A61FE6"/>
    <w:rsid w:val="00A6200E"/>
    <w:rsid w:val="00A62032"/>
    <w:rsid w:val="00A62035"/>
    <w:rsid w:val="00A62044"/>
    <w:rsid w:val="00A62049"/>
    <w:rsid w:val="00A6204D"/>
    <w:rsid w:val="00A62067"/>
    <w:rsid w:val="00A6208B"/>
    <w:rsid w:val="00A620B5"/>
    <w:rsid w:val="00A620EA"/>
    <w:rsid w:val="00A620F6"/>
    <w:rsid w:val="00A620F7"/>
    <w:rsid w:val="00A6210C"/>
    <w:rsid w:val="00A62116"/>
    <w:rsid w:val="00A62141"/>
    <w:rsid w:val="00A62144"/>
    <w:rsid w:val="00A62147"/>
    <w:rsid w:val="00A6215A"/>
    <w:rsid w:val="00A621C2"/>
    <w:rsid w:val="00A621CD"/>
    <w:rsid w:val="00A621EB"/>
    <w:rsid w:val="00A62212"/>
    <w:rsid w:val="00A62259"/>
    <w:rsid w:val="00A6225C"/>
    <w:rsid w:val="00A6226A"/>
    <w:rsid w:val="00A6226D"/>
    <w:rsid w:val="00A6228A"/>
    <w:rsid w:val="00A62300"/>
    <w:rsid w:val="00A62310"/>
    <w:rsid w:val="00A62346"/>
    <w:rsid w:val="00A62368"/>
    <w:rsid w:val="00A62380"/>
    <w:rsid w:val="00A623B9"/>
    <w:rsid w:val="00A623DB"/>
    <w:rsid w:val="00A623F8"/>
    <w:rsid w:val="00A62435"/>
    <w:rsid w:val="00A6243A"/>
    <w:rsid w:val="00A624EA"/>
    <w:rsid w:val="00A624F3"/>
    <w:rsid w:val="00A624F8"/>
    <w:rsid w:val="00A624FB"/>
    <w:rsid w:val="00A62590"/>
    <w:rsid w:val="00A625A4"/>
    <w:rsid w:val="00A625AF"/>
    <w:rsid w:val="00A625D4"/>
    <w:rsid w:val="00A625ED"/>
    <w:rsid w:val="00A625F5"/>
    <w:rsid w:val="00A62629"/>
    <w:rsid w:val="00A6262E"/>
    <w:rsid w:val="00A62632"/>
    <w:rsid w:val="00A62652"/>
    <w:rsid w:val="00A62661"/>
    <w:rsid w:val="00A62663"/>
    <w:rsid w:val="00A62689"/>
    <w:rsid w:val="00A626D6"/>
    <w:rsid w:val="00A627C3"/>
    <w:rsid w:val="00A62811"/>
    <w:rsid w:val="00A6285F"/>
    <w:rsid w:val="00A62873"/>
    <w:rsid w:val="00A62888"/>
    <w:rsid w:val="00A628C9"/>
    <w:rsid w:val="00A628CA"/>
    <w:rsid w:val="00A628CD"/>
    <w:rsid w:val="00A628DB"/>
    <w:rsid w:val="00A6299E"/>
    <w:rsid w:val="00A629BE"/>
    <w:rsid w:val="00A62A6D"/>
    <w:rsid w:val="00A62ABF"/>
    <w:rsid w:val="00A62ACF"/>
    <w:rsid w:val="00A62B4B"/>
    <w:rsid w:val="00A62B5F"/>
    <w:rsid w:val="00A62BCB"/>
    <w:rsid w:val="00A62BDB"/>
    <w:rsid w:val="00A62BF5"/>
    <w:rsid w:val="00A62C42"/>
    <w:rsid w:val="00A62C44"/>
    <w:rsid w:val="00A62CE2"/>
    <w:rsid w:val="00A62CEB"/>
    <w:rsid w:val="00A62D08"/>
    <w:rsid w:val="00A62D3D"/>
    <w:rsid w:val="00A62D96"/>
    <w:rsid w:val="00A62DD9"/>
    <w:rsid w:val="00A62E2E"/>
    <w:rsid w:val="00A62E55"/>
    <w:rsid w:val="00A62E64"/>
    <w:rsid w:val="00A62E6A"/>
    <w:rsid w:val="00A62E6E"/>
    <w:rsid w:val="00A62E72"/>
    <w:rsid w:val="00A62E86"/>
    <w:rsid w:val="00A62E95"/>
    <w:rsid w:val="00A62EBD"/>
    <w:rsid w:val="00A62EC0"/>
    <w:rsid w:val="00A62F5B"/>
    <w:rsid w:val="00A62F8A"/>
    <w:rsid w:val="00A62F94"/>
    <w:rsid w:val="00A62FC0"/>
    <w:rsid w:val="00A62FC9"/>
    <w:rsid w:val="00A63009"/>
    <w:rsid w:val="00A6302A"/>
    <w:rsid w:val="00A6303C"/>
    <w:rsid w:val="00A63044"/>
    <w:rsid w:val="00A63072"/>
    <w:rsid w:val="00A63084"/>
    <w:rsid w:val="00A63089"/>
    <w:rsid w:val="00A630C8"/>
    <w:rsid w:val="00A630F0"/>
    <w:rsid w:val="00A6310B"/>
    <w:rsid w:val="00A6311A"/>
    <w:rsid w:val="00A6313B"/>
    <w:rsid w:val="00A631A2"/>
    <w:rsid w:val="00A631CF"/>
    <w:rsid w:val="00A631F7"/>
    <w:rsid w:val="00A63224"/>
    <w:rsid w:val="00A6322D"/>
    <w:rsid w:val="00A63244"/>
    <w:rsid w:val="00A63260"/>
    <w:rsid w:val="00A63268"/>
    <w:rsid w:val="00A63271"/>
    <w:rsid w:val="00A63295"/>
    <w:rsid w:val="00A632BC"/>
    <w:rsid w:val="00A63311"/>
    <w:rsid w:val="00A633D7"/>
    <w:rsid w:val="00A6343D"/>
    <w:rsid w:val="00A63440"/>
    <w:rsid w:val="00A63460"/>
    <w:rsid w:val="00A6346A"/>
    <w:rsid w:val="00A6347D"/>
    <w:rsid w:val="00A634D0"/>
    <w:rsid w:val="00A634E0"/>
    <w:rsid w:val="00A634F2"/>
    <w:rsid w:val="00A634F8"/>
    <w:rsid w:val="00A6355A"/>
    <w:rsid w:val="00A63562"/>
    <w:rsid w:val="00A63584"/>
    <w:rsid w:val="00A635D6"/>
    <w:rsid w:val="00A635E7"/>
    <w:rsid w:val="00A63629"/>
    <w:rsid w:val="00A63661"/>
    <w:rsid w:val="00A636D5"/>
    <w:rsid w:val="00A636F5"/>
    <w:rsid w:val="00A636F7"/>
    <w:rsid w:val="00A63733"/>
    <w:rsid w:val="00A63734"/>
    <w:rsid w:val="00A6375E"/>
    <w:rsid w:val="00A63783"/>
    <w:rsid w:val="00A637CA"/>
    <w:rsid w:val="00A637DC"/>
    <w:rsid w:val="00A63806"/>
    <w:rsid w:val="00A63866"/>
    <w:rsid w:val="00A6386F"/>
    <w:rsid w:val="00A63894"/>
    <w:rsid w:val="00A638A2"/>
    <w:rsid w:val="00A638B4"/>
    <w:rsid w:val="00A638EA"/>
    <w:rsid w:val="00A6391B"/>
    <w:rsid w:val="00A6391F"/>
    <w:rsid w:val="00A63959"/>
    <w:rsid w:val="00A63978"/>
    <w:rsid w:val="00A639F9"/>
    <w:rsid w:val="00A63A23"/>
    <w:rsid w:val="00A63A6F"/>
    <w:rsid w:val="00A63A78"/>
    <w:rsid w:val="00A63A87"/>
    <w:rsid w:val="00A63ACB"/>
    <w:rsid w:val="00A63ADA"/>
    <w:rsid w:val="00A63AF0"/>
    <w:rsid w:val="00A63B0A"/>
    <w:rsid w:val="00A63B56"/>
    <w:rsid w:val="00A63BBD"/>
    <w:rsid w:val="00A63C15"/>
    <w:rsid w:val="00A63C34"/>
    <w:rsid w:val="00A63C70"/>
    <w:rsid w:val="00A63C8F"/>
    <w:rsid w:val="00A63D50"/>
    <w:rsid w:val="00A63D88"/>
    <w:rsid w:val="00A63DBC"/>
    <w:rsid w:val="00A63E14"/>
    <w:rsid w:val="00A63E51"/>
    <w:rsid w:val="00A63E70"/>
    <w:rsid w:val="00A63E82"/>
    <w:rsid w:val="00A63E8E"/>
    <w:rsid w:val="00A63E91"/>
    <w:rsid w:val="00A63E98"/>
    <w:rsid w:val="00A63F1B"/>
    <w:rsid w:val="00A63F27"/>
    <w:rsid w:val="00A63F48"/>
    <w:rsid w:val="00A63FA0"/>
    <w:rsid w:val="00A63FA1"/>
    <w:rsid w:val="00A63FC1"/>
    <w:rsid w:val="00A63FE4"/>
    <w:rsid w:val="00A63FE9"/>
    <w:rsid w:val="00A6406E"/>
    <w:rsid w:val="00A6407F"/>
    <w:rsid w:val="00A64085"/>
    <w:rsid w:val="00A64089"/>
    <w:rsid w:val="00A640A1"/>
    <w:rsid w:val="00A640BD"/>
    <w:rsid w:val="00A64121"/>
    <w:rsid w:val="00A64126"/>
    <w:rsid w:val="00A64176"/>
    <w:rsid w:val="00A641BE"/>
    <w:rsid w:val="00A641D1"/>
    <w:rsid w:val="00A64205"/>
    <w:rsid w:val="00A64234"/>
    <w:rsid w:val="00A6426B"/>
    <w:rsid w:val="00A642D1"/>
    <w:rsid w:val="00A642DC"/>
    <w:rsid w:val="00A64348"/>
    <w:rsid w:val="00A643AE"/>
    <w:rsid w:val="00A643B4"/>
    <w:rsid w:val="00A643B7"/>
    <w:rsid w:val="00A643F7"/>
    <w:rsid w:val="00A64402"/>
    <w:rsid w:val="00A64403"/>
    <w:rsid w:val="00A64414"/>
    <w:rsid w:val="00A64496"/>
    <w:rsid w:val="00A64554"/>
    <w:rsid w:val="00A6459D"/>
    <w:rsid w:val="00A64613"/>
    <w:rsid w:val="00A6463C"/>
    <w:rsid w:val="00A64677"/>
    <w:rsid w:val="00A646A0"/>
    <w:rsid w:val="00A64710"/>
    <w:rsid w:val="00A64743"/>
    <w:rsid w:val="00A6475B"/>
    <w:rsid w:val="00A64786"/>
    <w:rsid w:val="00A647B5"/>
    <w:rsid w:val="00A647C4"/>
    <w:rsid w:val="00A6486E"/>
    <w:rsid w:val="00A64892"/>
    <w:rsid w:val="00A6493C"/>
    <w:rsid w:val="00A6496F"/>
    <w:rsid w:val="00A64978"/>
    <w:rsid w:val="00A6499E"/>
    <w:rsid w:val="00A649B7"/>
    <w:rsid w:val="00A649C1"/>
    <w:rsid w:val="00A649C9"/>
    <w:rsid w:val="00A649DD"/>
    <w:rsid w:val="00A649E8"/>
    <w:rsid w:val="00A649EC"/>
    <w:rsid w:val="00A649F3"/>
    <w:rsid w:val="00A64A21"/>
    <w:rsid w:val="00A64A3F"/>
    <w:rsid w:val="00A64A5B"/>
    <w:rsid w:val="00A64AC9"/>
    <w:rsid w:val="00A64ADB"/>
    <w:rsid w:val="00A64AF7"/>
    <w:rsid w:val="00A64B7D"/>
    <w:rsid w:val="00A64C00"/>
    <w:rsid w:val="00A64C08"/>
    <w:rsid w:val="00A64C28"/>
    <w:rsid w:val="00A64C5C"/>
    <w:rsid w:val="00A64D1D"/>
    <w:rsid w:val="00A64D4B"/>
    <w:rsid w:val="00A64D64"/>
    <w:rsid w:val="00A64DC9"/>
    <w:rsid w:val="00A64E04"/>
    <w:rsid w:val="00A64E38"/>
    <w:rsid w:val="00A64E58"/>
    <w:rsid w:val="00A64E61"/>
    <w:rsid w:val="00A64E68"/>
    <w:rsid w:val="00A64E71"/>
    <w:rsid w:val="00A64E77"/>
    <w:rsid w:val="00A64E7C"/>
    <w:rsid w:val="00A64E94"/>
    <w:rsid w:val="00A64EBD"/>
    <w:rsid w:val="00A64ED3"/>
    <w:rsid w:val="00A64F38"/>
    <w:rsid w:val="00A64F3F"/>
    <w:rsid w:val="00A64F4B"/>
    <w:rsid w:val="00A64F68"/>
    <w:rsid w:val="00A64F88"/>
    <w:rsid w:val="00A64F9C"/>
    <w:rsid w:val="00A64FE1"/>
    <w:rsid w:val="00A64FF5"/>
    <w:rsid w:val="00A650AF"/>
    <w:rsid w:val="00A65119"/>
    <w:rsid w:val="00A65148"/>
    <w:rsid w:val="00A6514F"/>
    <w:rsid w:val="00A65151"/>
    <w:rsid w:val="00A6516B"/>
    <w:rsid w:val="00A65191"/>
    <w:rsid w:val="00A651B6"/>
    <w:rsid w:val="00A651EC"/>
    <w:rsid w:val="00A651F1"/>
    <w:rsid w:val="00A651FF"/>
    <w:rsid w:val="00A65241"/>
    <w:rsid w:val="00A6525B"/>
    <w:rsid w:val="00A6525E"/>
    <w:rsid w:val="00A6535A"/>
    <w:rsid w:val="00A65361"/>
    <w:rsid w:val="00A6539C"/>
    <w:rsid w:val="00A653DD"/>
    <w:rsid w:val="00A6549A"/>
    <w:rsid w:val="00A654D0"/>
    <w:rsid w:val="00A654FA"/>
    <w:rsid w:val="00A6558D"/>
    <w:rsid w:val="00A655AF"/>
    <w:rsid w:val="00A655B1"/>
    <w:rsid w:val="00A655D7"/>
    <w:rsid w:val="00A655E0"/>
    <w:rsid w:val="00A65617"/>
    <w:rsid w:val="00A65623"/>
    <w:rsid w:val="00A6565A"/>
    <w:rsid w:val="00A656D4"/>
    <w:rsid w:val="00A65783"/>
    <w:rsid w:val="00A657FB"/>
    <w:rsid w:val="00A65817"/>
    <w:rsid w:val="00A65833"/>
    <w:rsid w:val="00A65845"/>
    <w:rsid w:val="00A6584D"/>
    <w:rsid w:val="00A65857"/>
    <w:rsid w:val="00A65870"/>
    <w:rsid w:val="00A658CC"/>
    <w:rsid w:val="00A658DD"/>
    <w:rsid w:val="00A6591F"/>
    <w:rsid w:val="00A65988"/>
    <w:rsid w:val="00A6598C"/>
    <w:rsid w:val="00A659B4"/>
    <w:rsid w:val="00A659F3"/>
    <w:rsid w:val="00A65A49"/>
    <w:rsid w:val="00A65A7D"/>
    <w:rsid w:val="00A65AA4"/>
    <w:rsid w:val="00A65ACF"/>
    <w:rsid w:val="00A65AE0"/>
    <w:rsid w:val="00A65AEE"/>
    <w:rsid w:val="00A65AFF"/>
    <w:rsid w:val="00A65B2E"/>
    <w:rsid w:val="00A65B38"/>
    <w:rsid w:val="00A65B7C"/>
    <w:rsid w:val="00A65BE9"/>
    <w:rsid w:val="00A65BEB"/>
    <w:rsid w:val="00A65C43"/>
    <w:rsid w:val="00A65C53"/>
    <w:rsid w:val="00A65C7D"/>
    <w:rsid w:val="00A65CB5"/>
    <w:rsid w:val="00A65CD3"/>
    <w:rsid w:val="00A65CDB"/>
    <w:rsid w:val="00A65D55"/>
    <w:rsid w:val="00A65DE5"/>
    <w:rsid w:val="00A65E22"/>
    <w:rsid w:val="00A65E2A"/>
    <w:rsid w:val="00A65E2E"/>
    <w:rsid w:val="00A65E85"/>
    <w:rsid w:val="00A65EF0"/>
    <w:rsid w:val="00A65F52"/>
    <w:rsid w:val="00A65F56"/>
    <w:rsid w:val="00A65F70"/>
    <w:rsid w:val="00A65FC9"/>
    <w:rsid w:val="00A66016"/>
    <w:rsid w:val="00A6601B"/>
    <w:rsid w:val="00A66038"/>
    <w:rsid w:val="00A6604B"/>
    <w:rsid w:val="00A66077"/>
    <w:rsid w:val="00A66080"/>
    <w:rsid w:val="00A660B8"/>
    <w:rsid w:val="00A660E9"/>
    <w:rsid w:val="00A66103"/>
    <w:rsid w:val="00A66136"/>
    <w:rsid w:val="00A66155"/>
    <w:rsid w:val="00A6616C"/>
    <w:rsid w:val="00A661CA"/>
    <w:rsid w:val="00A66215"/>
    <w:rsid w:val="00A6625F"/>
    <w:rsid w:val="00A662A7"/>
    <w:rsid w:val="00A662BE"/>
    <w:rsid w:val="00A66381"/>
    <w:rsid w:val="00A66388"/>
    <w:rsid w:val="00A66409"/>
    <w:rsid w:val="00A66442"/>
    <w:rsid w:val="00A66485"/>
    <w:rsid w:val="00A664F8"/>
    <w:rsid w:val="00A6650A"/>
    <w:rsid w:val="00A6650E"/>
    <w:rsid w:val="00A66518"/>
    <w:rsid w:val="00A66528"/>
    <w:rsid w:val="00A6659C"/>
    <w:rsid w:val="00A665AC"/>
    <w:rsid w:val="00A665DB"/>
    <w:rsid w:val="00A66614"/>
    <w:rsid w:val="00A66616"/>
    <w:rsid w:val="00A66673"/>
    <w:rsid w:val="00A666B9"/>
    <w:rsid w:val="00A666BE"/>
    <w:rsid w:val="00A666C7"/>
    <w:rsid w:val="00A666E3"/>
    <w:rsid w:val="00A666F4"/>
    <w:rsid w:val="00A6670C"/>
    <w:rsid w:val="00A66726"/>
    <w:rsid w:val="00A6675D"/>
    <w:rsid w:val="00A66787"/>
    <w:rsid w:val="00A667B0"/>
    <w:rsid w:val="00A667E0"/>
    <w:rsid w:val="00A66806"/>
    <w:rsid w:val="00A6680D"/>
    <w:rsid w:val="00A66820"/>
    <w:rsid w:val="00A66859"/>
    <w:rsid w:val="00A6688A"/>
    <w:rsid w:val="00A668EA"/>
    <w:rsid w:val="00A668EE"/>
    <w:rsid w:val="00A66934"/>
    <w:rsid w:val="00A6696A"/>
    <w:rsid w:val="00A6697B"/>
    <w:rsid w:val="00A669AB"/>
    <w:rsid w:val="00A669C3"/>
    <w:rsid w:val="00A66A13"/>
    <w:rsid w:val="00A66A2A"/>
    <w:rsid w:val="00A66A32"/>
    <w:rsid w:val="00A66A42"/>
    <w:rsid w:val="00A66A64"/>
    <w:rsid w:val="00A66A74"/>
    <w:rsid w:val="00A66A9D"/>
    <w:rsid w:val="00A66AD3"/>
    <w:rsid w:val="00A66B05"/>
    <w:rsid w:val="00A66B1B"/>
    <w:rsid w:val="00A66BE4"/>
    <w:rsid w:val="00A66C11"/>
    <w:rsid w:val="00A66C12"/>
    <w:rsid w:val="00A66C29"/>
    <w:rsid w:val="00A66C48"/>
    <w:rsid w:val="00A66C64"/>
    <w:rsid w:val="00A66CDF"/>
    <w:rsid w:val="00A66CE1"/>
    <w:rsid w:val="00A66CEB"/>
    <w:rsid w:val="00A66D8C"/>
    <w:rsid w:val="00A66DAB"/>
    <w:rsid w:val="00A66DCE"/>
    <w:rsid w:val="00A66DD6"/>
    <w:rsid w:val="00A66E1B"/>
    <w:rsid w:val="00A66E94"/>
    <w:rsid w:val="00A66EAF"/>
    <w:rsid w:val="00A66EC0"/>
    <w:rsid w:val="00A66EC3"/>
    <w:rsid w:val="00A66ECA"/>
    <w:rsid w:val="00A66F00"/>
    <w:rsid w:val="00A66FC3"/>
    <w:rsid w:val="00A67071"/>
    <w:rsid w:val="00A670D0"/>
    <w:rsid w:val="00A670D3"/>
    <w:rsid w:val="00A670F7"/>
    <w:rsid w:val="00A67125"/>
    <w:rsid w:val="00A6712A"/>
    <w:rsid w:val="00A6715F"/>
    <w:rsid w:val="00A67161"/>
    <w:rsid w:val="00A6716E"/>
    <w:rsid w:val="00A671A4"/>
    <w:rsid w:val="00A671A5"/>
    <w:rsid w:val="00A671CC"/>
    <w:rsid w:val="00A671EE"/>
    <w:rsid w:val="00A67209"/>
    <w:rsid w:val="00A67259"/>
    <w:rsid w:val="00A672AD"/>
    <w:rsid w:val="00A672B9"/>
    <w:rsid w:val="00A672BE"/>
    <w:rsid w:val="00A6733B"/>
    <w:rsid w:val="00A6734B"/>
    <w:rsid w:val="00A67382"/>
    <w:rsid w:val="00A673A4"/>
    <w:rsid w:val="00A673D3"/>
    <w:rsid w:val="00A673FD"/>
    <w:rsid w:val="00A6743B"/>
    <w:rsid w:val="00A674BA"/>
    <w:rsid w:val="00A674D5"/>
    <w:rsid w:val="00A67539"/>
    <w:rsid w:val="00A67592"/>
    <w:rsid w:val="00A675AE"/>
    <w:rsid w:val="00A675E4"/>
    <w:rsid w:val="00A675FA"/>
    <w:rsid w:val="00A67602"/>
    <w:rsid w:val="00A67665"/>
    <w:rsid w:val="00A6766C"/>
    <w:rsid w:val="00A676D5"/>
    <w:rsid w:val="00A676F6"/>
    <w:rsid w:val="00A6773B"/>
    <w:rsid w:val="00A67740"/>
    <w:rsid w:val="00A67798"/>
    <w:rsid w:val="00A677E3"/>
    <w:rsid w:val="00A67826"/>
    <w:rsid w:val="00A6783B"/>
    <w:rsid w:val="00A6786E"/>
    <w:rsid w:val="00A67879"/>
    <w:rsid w:val="00A67899"/>
    <w:rsid w:val="00A678FD"/>
    <w:rsid w:val="00A67903"/>
    <w:rsid w:val="00A67912"/>
    <w:rsid w:val="00A6791C"/>
    <w:rsid w:val="00A6792A"/>
    <w:rsid w:val="00A67954"/>
    <w:rsid w:val="00A67964"/>
    <w:rsid w:val="00A6797F"/>
    <w:rsid w:val="00A67999"/>
    <w:rsid w:val="00A679C4"/>
    <w:rsid w:val="00A679F6"/>
    <w:rsid w:val="00A67A54"/>
    <w:rsid w:val="00A67A7D"/>
    <w:rsid w:val="00A67A80"/>
    <w:rsid w:val="00A67AA2"/>
    <w:rsid w:val="00A67AA8"/>
    <w:rsid w:val="00A67AD1"/>
    <w:rsid w:val="00A67ADF"/>
    <w:rsid w:val="00A67B0F"/>
    <w:rsid w:val="00A67B1E"/>
    <w:rsid w:val="00A67B22"/>
    <w:rsid w:val="00A67B2A"/>
    <w:rsid w:val="00A67B38"/>
    <w:rsid w:val="00A67B61"/>
    <w:rsid w:val="00A67B6D"/>
    <w:rsid w:val="00A67B87"/>
    <w:rsid w:val="00A67BB5"/>
    <w:rsid w:val="00A67BE3"/>
    <w:rsid w:val="00A67BF2"/>
    <w:rsid w:val="00A67C34"/>
    <w:rsid w:val="00A67C35"/>
    <w:rsid w:val="00A67C40"/>
    <w:rsid w:val="00A67C42"/>
    <w:rsid w:val="00A67C60"/>
    <w:rsid w:val="00A67C72"/>
    <w:rsid w:val="00A67C9A"/>
    <w:rsid w:val="00A67C9F"/>
    <w:rsid w:val="00A67D2B"/>
    <w:rsid w:val="00A67D45"/>
    <w:rsid w:val="00A67D53"/>
    <w:rsid w:val="00A67D5E"/>
    <w:rsid w:val="00A67D78"/>
    <w:rsid w:val="00A67DCB"/>
    <w:rsid w:val="00A67E07"/>
    <w:rsid w:val="00A67E0E"/>
    <w:rsid w:val="00A67E17"/>
    <w:rsid w:val="00A67E8E"/>
    <w:rsid w:val="00A67EB5"/>
    <w:rsid w:val="00A67EBD"/>
    <w:rsid w:val="00A67EC4"/>
    <w:rsid w:val="00A67EC7"/>
    <w:rsid w:val="00A67F12"/>
    <w:rsid w:val="00A67F2F"/>
    <w:rsid w:val="00A67FA2"/>
    <w:rsid w:val="00A67FFD"/>
    <w:rsid w:val="00A70006"/>
    <w:rsid w:val="00A70041"/>
    <w:rsid w:val="00A7004D"/>
    <w:rsid w:val="00A7010B"/>
    <w:rsid w:val="00A70186"/>
    <w:rsid w:val="00A70198"/>
    <w:rsid w:val="00A7019C"/>
    <w:rsid w:val="00A701D8"/>
    <w:rsid w:val="00A701E2"/>
    <w:rsid w:val="00A70225"/>
    <w:rsid w:val="00A702AE"/>
    <w:rsid w:val="00A702BF"/>
    <w:rsid w:val="00A702C3"/>
    <w:rsid w:val="00A702FB"/>
    <w:rsid w:val="00A70308"/>
    <w:rsid w:val="00A7030A"/>
    <w:rsid w:val="00A70340"/>
    <w:rsid w:val="00A7034C"/>
    <w:rsid w:val="00A70371"/>
    <w:rsid w:val="00A703C6"/>
    <w:rsid w:val="00A70400"/>
    <w:rsid w:val="00A70430"/>
    <w:rsid w:val="00A70449"/>
    <w:rsid w:val="00A70460"/>
    <w:rsid w:val="00A7047C"/>
    <w:rsid w:val="00A7048B"/>
    <w:rsid w:val="00A704BC"/>
    <w:rsid w:val="00A70514"/>
    <w:rsid w:val="00A7051E"/>
    <w:rsid w:val="00A70542"/>
    <w:rsid w:val="00A70544"/>
    <w:rsid w:val="00A7058C"/>
    <w:rsid w:val="00A7060B"/>
    <w:rsid w:val="00A70630"/>
    <w:rsid w:val="00A7063D"/>
    <w:rsid w:val="00A7067C"/>
    <w:rsid w:val="00A7068C"/>
    <w:rsid w:val="00A706A8"/>
    <w:rsid w:val="00A706B6"/>
    <w:rsid w:val="00A706C4"/>
    <w:rsid w:val="00A706E7"/>
    <w:rsid w:val="00A706E8"/>
    <w:rsid w:val="00A706F5"/>
    <w:rsid w:val="00A70713"/>
    <w:rsid w:val="00A70761"/>
    <w:rsid w:val="00A70764"/>
    <w:rsid w:val="00A7080E"/>
    <w:rsid w:val="00A70863"/>
    <w:rsid w:val="00A708D4"/>
    <w:rsid w:val="00A70900"/>
    <w:rsid w:val="00A709C6"/>
    <w:rsid w:val="00A70A59"/>
    <w:rsid w:val="00A70AB0"/>
    <w:rsid w:val="00A70AC3"/>
    <w:rsid w:val="00A70ACA"/>
    <w:rsid w:val="00A70B55"/>
    <w:rsid w:val="00A70B8A"/>
    <w:rsid w:val="00A70BC8"/>
    <w:rsid w:val="00A70BE3"/>
    <w:rsid w:val="00A70C24"/>
    <w:rsid w:val="00A70C51"/>
    <w:rsid w:val="00A70CA3"/>
    <w:rsid w:val="00A70CC4"/>
    <w:rsid w:val="00A70D23"/>
    <w:rsid w:val="00A70D24"/>
    <w:rsid w:val="00A70D51"/>
    <w:rsid w:val="00A70D5E"/>
    <w:rsid w:val="00A70D79"/>
    <w:rsid w:val="00A70DB9"/>
    <w:rsid w:val="00A70E60"/>
    <w:rsid w:val="00A70F09"/>
    <w:rsid w:val="00A70F0A"/>
    <w:rsid w:val="00A70F1D"/>
    <w:rsid w:val="00A70F44"/>
    <w:rsid w:val="00A70F49"/>
    <w:rsid w:val="00A70F6F"/>
    <w:rsid w:val="00A70F82"/>
    <w:rsid w:val="00A70F9E"/>
    <w:rsid w:val="00A70FA6"/>
    <w:rsid w:val="00A70FB8"/>
    <w:rsid w:val="00A70FBE"/>
    <w:rsid w:val="00A70FF6"/>
    <w:rsid w:val="00A71001"/>
    <w:rsid w:val="00A71036"/>
    <w:rsid w:val="00A7103B"/>
    <w:rsid w:val="00A71046"/>
    <w:rsid w:val="00A71076"/>
    <w:rsid w:val="00A71077"/>
    <w:rsid w:val="00A7108B"/>
    <w:rsid w:val="00A710E7"/>
    <w:rsid w:val="00A71104"/>
    <w:rsid w:val="00A71106"/>
    <w:rsid w:val="00A71114"/>
    <w:rsid w:val="00A71173"/>
    <w:rsid w:val="00A711C9"/>
    <w:rsid w:val="00A711EB"/>
    <w:rsid w:val="00A711F0"/>
    <w:rsid w:val="00A71232"/>
    <w:rsid w:val="00A7124D"/>
    <w:rsid w:val="00A71292"/>
    <w:rsid w:val="00A712D4"/>
    <w:rsid w:val="00A712E3"/>
    <w:rsid w:val="00A712F0"/>
    <w:rsid w:val="00A7130E"/>
    <w:rsid w:val="00A71312"/>
    <w:rsid w:val="00A71383"/>
    <w:rsid w:val="00A713DD"/>
    <w:rsid w:val="00A713E5"/>
    <w:rsid w:val="00A71403"/>
    <w:rsid w:val="00A71410"/>
    <w:rsid w:val="00A71412"/>
    <w:rsid w:val="00A71417"/>
    <w:rsid w:val="00A71450"/>
    <w:rsid w:val="00A714C1"/>
    <w:rsid w:val="00A714E2"/>
    <w:rsid w:val="00A71577"/>
    <w:rsid w:val="00A71591"/>
    <w:rsid w:val="00A715AD"/>
    <w:rsid w:val="00A715FA"/>
    <w:rsid w:val="00A7160B"/>
    <w:rsid w:val="00A71666"/>
    <w:rsid w:val="00A7166A"/>
    <w:rsid w:val="00A7167C"/>
    <w:rsid w:val="00A716A6"/>
    <w:rsid w:val="00A716C9"/>
    <w:rsid w:val="00A7170C"/>
    <w:rsid w:val="00A71742"/>
    <w:rsid w:val="00A71746"/>
    <w:rsid w:val="00A7175A"/>
    <w:rsid w:val="00A7177F"/>
    <w:rsid w:val="00A7178D"/>
    <w:rsid w:val="00A717A6"/>
    <w:rsid w:val="00A717C6"/>
    <w:rsid w:val="00A7182E"/>
    <w:rsid w:val="00A71864"/>
    <w:rsid w:val="00A7186C"/>
    <w:rsid w:val="00A71888"/>
    <w:rsid w:val="00A71890"/>
    <w:rsid w:val="00A718A6"/>
    <w:rsid w:val="00A718B2"/>
    <w:rsid w:val="00A718B7"/>
    <w:rsid w:val="00A7190F"/>
    <w:rsid w:val="00A71961"/>
    <w:rsid w:val="00A719C5"/>
    <w:rsid w:val="00A71A05"/>
    <w:rsid w:val="00A71A7A"/>
    <w:rsid w:val="00A71AA6"/>
    <w:rsid w:val="00A71B2F"/>
    <w:rsid w:val="00A71B3B"/>
    <w:rsid w:val="00A71B91"/>
    <w:rsid w:val="00A71BAB"/>
    <w:rsid w:val="00A71BD3"/>
    <w:rsid w:val="00A71BD9"/>
    <w:rsid w:val="00A71BE4"/>
    <w:rsid w:val="00A71C29"/>
    <w:rsid w:val="00A71C5B"/>
    <w:rsid w:val="00A71CBD"/>
    <w:rsid w:val="00A71CD7"/>
    <w:rsid w:val="00A71D48"/>
    <w:rsid w:val="00A71D80"/>
    <w:rsid w:val="00A71DA5"/>
    <w:rsid w:val="00A71DAD"/>
    <w:rsid w:val="00A71DB5"/>
    <w:rsid w:val="00A71DC0"/>
    <w:rsid w:val="00A71DCD"/>
    <w:rsid w:val="00A71DE9"/>
    <w:rsid w:val="00A71E0E"/>
    <w:rsid w:val="00A71E1D"/>
    <w:rsid w:val="00A71E81"/>
    <w:rsid w:val="00A71E8E"/>
    <w:rsid w:val="00A71EC5"/>
    <w:rsid w:val="00A71F3A"/>
    <w:rsid w:val="00A71F5B"/>
    <w:rsid w:val="00A71F7D"/>
    <w:rsid w:val="00A71F7F"/>
    <w:rsid w:val="00A71FF5"/>
    <w:rsid w:val="00A720A4"/>
    <w:rsid w:val="00A720B9"/>
    <w:rsid w:val="00A721C7"/>
    <w:rsid w:val="00A721CC"/>
    <w:rsid w:val="00A721EC"/>
    <w:rsid w:val="00A72298"/>
    <w:rsid w:val="00A7229B"/>
    <w:rsid w:val="00A722B1"/>
    <w:rsid w:val="00A722E1"/>
    <w:rsid w:val="00A722F2"/>
    <w:rsid w:val="00A72324"/>
    <w:rsid w:val="00A72359"/>
    <w:rsid w:val="00A72380"/>
    <w:rsid w:val="00A723F1"/>
    <w:rsid w:val="00A72410"/>
    <w:rsid w:val="00A7243B"/>
    <w:rsid w:val="00A72446"/>
    <w:rsid w:val="00A7245B"/>
    <w:rsid w:val="00A7245D"/>
    <w:rsid w:val="00A72463"/>
    <w:rsid w:val="00A724AB"/>
    <w:rsid w:val="00A724C6"/>
    <w:rsid w:val="00A724CF"/>
    <w:rsid w:val="00A7254B"/>
    <w:rsid w:val="00A72554"/>
    <w:rsid w:val="00A7255F"/>
    <w:rsid w:val="00A725A3"/>
    <w:rsid w:val="00A7269D"/>
    <w:rsid w:val="00A726B5"/>
    <w:rsid w:val="00A726D2"/>
    <w:rsid w:val="00A72718"/>
    <w:rsid w:val="00A7271E"/>
    <w:rsid w:val="00A72750"/>
    <w:rsid w:val="00A72751"/>
    <w:rsid w:val="00A72755"/>
    <w:rsid w:val="00A727C4"/>
    <w:rsid w:val="00A727EF"/>
    <w:rsid w:val="00A72862"/>
    <w:rsid w:val="00A728AA"/>
    <w:rsid w:val="00A728F2"/>
    <w:rsid w:val="00A728F4"/>
    <w:rsid w:val="00A7295B"/>
    <w:rsid w:val="00A7299A"/>
    <w:rsid w:val="00A729EA"/>
    <w:rsid w:val="00A72A05"/>
    <w:rsid w:val="00A72A2A"/>
    <w:rsid w:val="00A72A5E"/>
    <w:rsid w:val="00A72A86"/>
    <w:rsid w:val="00A72AA8"/>
    <w:rsid w:val="00A72AD8"/>
    <w:rsid w:val="00A72AEA"/>
    <w:rsid w:val="00A72AEC"/>
    <w:rsid w:val="00A72B02"/>
    <w:rsid w:val="00A72B1C"/>
    <w:rsid w:val="00A72B2F"/>
    <w:rsid w:val="00A72B39"/>
    <w:rsid w:val="00A72BD9"/>
    <w:rsid w:val="00A72BEC"/>
    <w:rsid w:val="00A72C1F"/>
    <w:rsid w:val="00A72C39"/>
    <w:rsid w:val="00A72C3F"/>
    <w:rsid w:val="00A72C41"/>
    <w:rsid w:val="00A72C57"/>
    <w:rsid w:val="00A72C86"/>
    <w:rsid w:val="00A72C8F"/>
    <w:rsid w:val="00A72CD1"/>
    <w:rsid w:val="00A72CFC"/>
    <w:rsid w:val="00A72D38"/>
    <w:rsid w:val="00A72DBB"/>
    <w:rsid w:val="00A72DDE"/>
    <w:rsid w:val="00A72DED"/>
    <w:rsid w:val="00A72E02"/>
    <w:rsid w:val="00A72E06"/>
    <w:rsid w:val="00A72E0A"/>
    <w:rsid w:val="00A72E31"/>
    <w:rsid w:val="00A72E52"/>
    <w:rsid w:val="00A72E60"/>
    <w:rsid w:val="00A72F62"/>
    <w:rsid w:val="00A72FA8"/>
    <w:rsid w:val="00A73050"/>
    <w:rsid w:val="00A7306D"/>
    <w:rsid w:val="00A730A2"/>
    <w:rsid w:val="00A73112"/>
    <w:rsid w:val="00A7312C"/>
    <w:rsid w:val="00A7317D"/>
    <w:rsid w:val="00A7319E"/>
    <w:rsid w:val="00A731D8"/>
    <w:rsid w:val="00A7320E"/>
    <w:rsid w:val="00A73226"/>
    <w:rsid w:val="00A732EC"/>
    <w:rsid w:val="00A7330E"/>
    <w:rsid w:val="00A7334C"/>
    <w:rsid w:val="00A73372"/>
    <w:rsid w:val="00A733EF"/>
    <w:rsid w:val="00A73412"/>
    <w:rsid w:val="00A7342C"/>
    <w:rsid w:val="00A7345A"/>
    <w:rsid w:val="00A73490"/>
    <w:rsid w:val="00A734E6"/>
    <w:rsid w:val="00A734F4"/>
    <w:rsid w:val="00A73527"/>
    <w:rsid w:val="00A73572"/>
    <w:rsid w:val="00A7358C"/>
    <w:rsid w:val="00A735B9"/>
    <w:rsid w:val="00A735C1"/>
    <w:rsid w:val="00A735DF"/>
    <w:rsid w:val="00A735FD"/>
    <w:rsid w:val="00A73617"/>
    <w:rsid w:val="00A73695"/>
    <w:rsid w:val="00A736C6"/>
    <w:rsid w:val="00A736E7"/>
    <w:rsid w:val="00A73745"/>
    <w:rsid w:val="00A7375E"/>
    <w:rsid w:val="00A7376F"/>
    <w:rsid w:val="00A73782"/>
    <w:rsid w:val="00A737A8"/>
    <w:rsid w:val="00A737B6"/>
    <w:rsid w:val="00A737C2"/>
    <w:rsid w:val="00A737CA"/>
    <w:rsid w:val="00A73851"/>
    <w:rsid w:val="00A7386B"/>
    <w:rsid w:val="00A73878"/>
    <w:rsid w:val="00A73891"/>
    <w:rsid w:val="00A738B0"/>
    <w:rsid w:val="00A73910"/>
    <w:rsid w:val="00A73939"/>
    <w:rsid w:val="00A73984"/>
    <w:rsid w:val="00A73990"/>
    <w:rsid w:val="00A739B7"/>
    <w:rsid w:val="00A739BD"/>
    <w:rsid w:val="00A739D9"/>
    <w:rsid w:val="00A73A22"/>
    <w:rsid w:val="00A73A41"/>
    <w:rsid w:val="00A73A85"/>
    <w:rsid w:val="00A73A88"/>
    <w:rsid w:val="00A73AB4"/>
    <w:rsid w:val="00A73B4A"/>
    <w:rsid w:val="00A73B8B"/>
    <w:rsid w:val="00A73BEF"/>
    <w:rsid w:val="00A73BF7"/>
    <w:rsid w:val="00A73BFB"/>
    <w:rsid w:val="00A73C11"/>
    <w:rsid w:val="00A73C41"/>
    <w:rsid w:val="00A73D2B"/>
    <w:rsid w:val="00A73D3E"/>
    <w:rsid w:val="00A73D9E"/>
    <w:rsid w:val="00A73DB9"/>
    <w:rsid w:val="00A73DC9"/>
    <w:rsid w:val="00A73DF7"/>
    <w:rsid w:val="00A73E14"/>
    <w:rsid w:val="00A73E3B"/>
    <w:rsid w:val="00A73E65"/>
    <w:rsid w:val="00A73E66"/>
    <w:rsid w:val="00A73E9C"/>
    <w:rsid w:val="00A73EAC"/>
    <w:rsid w:val="00A73EBB"/>
    <w:rsid w:val="00A73F17"/>
    <w:rsid w:val="00A73F7A"/>
    <w:rsid w:val="00A73FDE"/>
    <w:rsid w:val="00A74013"/>
    <w:rsid w:val="00A74034"/>
    <w:rsid w:val="00A74049"/>
    <w:rsid w:val="00A74087"/>
    <w:rsid w:val="00A740F6"/>
    <w:rsid w:val="00A740FF"/>
    <w:rsid w:val="00A74137"/>
    <w:rsid w:val="00A74144"/>
    <w:rsid w:val="00A7421B"/>
    <w:rsid w:val="00A7423B"/>
    <w:rsid w:val="00A74268"/>
    <w:rsid w:val="00A742A4"/>
    <w:rsid w:val="00A742AA"/>
    <w:rsid w:val="00A742D0"/>
    <w:rsid w:val="00A742E3"/>
    <w:rsid w:val="00A742E8"/>
    <w:rsid w:val="00A74320"/>
    <w:rsid w:val="00A74382"/>
    <w:rsid w:val="00A743CC"/>
    <w:rsid w:val="00A743E8"/>
    <w:rsid w:val="00A74430"/>
    <w:rsid w:val="00A7445C"/>
    <w:rsid w:val="00A74490"/>
    <w:rsid w:val="00A744B3"/>
    <w:rsid w:val="00A744B9"/>
    <w:rsid w:val="00A744C2"/>
    <w:rsid w:val="00A744C6"/>
    <w:rsid w:val="00A7451C"/>
    <w:rsid w:val="00A74524"/>
    <w:rsid w:val="00A74531"/>
    <w:rsid w:val="00A7458F"/>
    <w:rsid w:val="00A7459C"/>
    <w:rsid w:val="00A745AF"/>
    <w:rsid w:val="00A745C0"/>
    <w:rsid w:val="00A745C8"/>
    <w:rsid w:val="00A745E3"/>
    <w:rsid w:val="00A745FE"/>
    <w:rsid w:val="00A74659"/>
    <w:rsid w:val="00A7468F"/>
    <w:rsid w:val="00A746D7"/>
    <w:rsid w:val="00A746F1"/>
    <w:rsid w:val="00A746F4"/>
    <w:rsid w:val="00A74751"/>
    <w:rsid w:val="00A7476F"/>
    <w:rsid w:val="00A74791"/>
    <w:rsid w:val="00A747A5"/>
    <w:rsid w:val="00A7486F"/>
    <w:rsid w:val="00A74896"/>
    <w:rsid w:val="00A748BA"/>
    <w:rsid w:val="00A748CF"/>
    <w:rsid w:val="00A74944"/>
    <w:rsid w:val="00A7496F"/>
    <w:rsid w:val="00A749A7"/>
    <w:rsid w:val="00A749B3"/>
    <w:rsid w:val="00A749B8"/>
    <w:rsid w:val="00A749B9"/>
    <w:rsid w:val="00A749BE"/>
    <w:rsid w:val="00A74A26"/>
    <w:rsid w:val="00A74A62"/>
    <w:rsid w:val="00A74A96"/>
    <w:rsid w:val="00A74AA1"/>
    <w:rsid w:val="00A74AE6"/>
    <w:rsid w:val="00A74B0D"/>
    <w:rsid w:val="00A74B42"/>
    <w:rsid w:val="00A74B92"/>
    <w:rsid w:val="00A74BDE"/>
    <w:rsid w:val="00A74C38"/>
    <w:rsid w:val="00A74C3E"/>
    <w:rsid w:val="00A74C6E"/>
    <w:rsid w:val="00A74CCD"/>
    <w:rsid w:val="00A74CF3"/>
    <w:rsid w:val="00A74D2E"/>
    <w:rsid w:val="00A74DF2"/>
    <w:rsid w:val="00A74E2F"/>
    <w:rsid w:val="00A74E42"/>
    <w:rsid w:val="00A74E4D"/>
    <w:rsid w:val="00A74E73"/>
    <w:rsid w:val="00A74EAC"/>
    <w:rsid w:val="00A74EE0"/>
    <w:rsid w:val="00A74F2C"/>
    <w:rsid w:val="00A74F8C"/>
    <w:rsid w:val="00A74F8F"/>
    <w:rsid w:val="00A74F91"/>
    <w:rsid w:val="00A74FB4"/>
    <w:rsid w:val="00A74FE2"/>
    <w:rsid w:val="00A74FF1"/>
    <w:rsid w:val="00A75017"/>
    <w:rsid w:val="00A75026"/>
    <w:rsid w:val="00A75041"/>
    <w:rsid w:val="00A75049"/>
    <w:rsid w:val="00A7504E"/>
    <w:rsid w:val="00A75106"/>
    <w:rsid w:val="00A75107"/>
    <w:rsid w:val="00A75117"/>
    <w:rsid w:val="00A75128"/>
    <w:rsid w:val="00A75132"/>
    <w:rsid w:val="00A75133"/>
    <w:rsid w:val="00A75185"/>
    <w:rsid w:val="00A751A6"/>
    <w:rsid w:val="00A751C1"/>
    <w:rsid w:val="00A75218"/>
    <w:rsid w:val="00A75245"/>
    <w:rsid w:val="00A7528A"/>
    <w:rsid w:val="00A7528B"/>
    <w:rsid w:val="00A7529A"/>
    <w:rsid w:val="00A752D9"/>
    <w:rsid w:val="00A75302"/>
    <w:rsid w:val="00A7530E"/>
    <w:rsid w:val="00A75340"/>
    <w:rsid w:val="00A75372"/>
    <w:rsid w:val="00A75376"/>
    <w:rsid w:val="00A7537C"/>
    <w:rsid w:val="00A75384"/>
    <w:rsid w:val="00A75385"/>
    <w:rsid w:val="00A75388"/>
    <w:rsid w:val="00A7538B"/>
    <w:rsid w:val="00A753CA"/>
    <w:rsid w:val="00A753CD"/>
    <w:rsid w:val="00A753FD"/>
    <w:rsid w:val="00A75401"/>
    <w:rsid w:val="00A75437"/>
    <w:rsid w:val="00A7544A"/>
    <w:rsid w:val="00A75451"/>
    <w:rsid w:val="00A754EA"/>
    <w:rsid w:val="00A7550F"/>
    <w:rsid w:val="00A75580"/>
    <w:rsid w:val="00A75581"/>
    <w:rsid w:val="00A75584"/>
    <w:rsid w:val="00A7561B"/>
    <w:rsid w:val="00A75626"/>
    <w:rsid w:val="00A75642"/>
    <w:rsid w:val="00A75652"/>
    <w:rsid w:val="00A75663"/>
    <w:rsid w:val="00A75672"/>
    <w:rsid w:val="00A75712"/>
    <w:rsid w:val="00A75726"/>
    <w:rsid w:val="00A7573C"/>
    <w:rsid w:val="00A757CC"/>
    <w:rsid w:val="00A757F9"/>
    <w:rsid w:val="00A7585D"/>
    <w:rsid w:val="00A75874"/>
    <w:rsid w:val="00A75890"/>
    <w:rsid w:val="00A758ED"/>
    <w:rsid w:val="00A7591A"/>
    <w:rsid w:val="00A7595E"/>
    <w:rsid w:val="00A75960"/>
    <w:rsid w:val="00A7596A"/>
    <w:rsid w:val="00A759A2"/>
    <w:rsid w:val="00A759E7"/>
    <w:rsid w:val="00A75A00"/>
    <w:rsid w:val="00A75AAA"/>
    <w:rsid w:val="00A75ABE"/>
    <w:rsid w:val="00A75AC4"/>
    <w:rsid w:val="00A75AEB"/>
    <w:rsid w:val="00A75B0F"/>
    <w:rsid w:val="00A75B14"/>
    <w:rsid w:val="00A75B44"/>
    <w:rsid w:val="00A75B52"/>
    <w:rsid w:val="00A75B61"/>
    <w:rsid w:val="00A75B72"/>
    <w:rsid w:val="00A75BC8"/>
    <w:rsid w:val="00A75BD4"/>
    <w:rsid w:val="00A75BE3"/>
    <w:rsid w:val="00A75C48"/>
    <w:rsid w:val="00A75C71"/>
    <w:rsid w:val="00A75C93"/>
    <w:rsid w:val="00A75CA8"/>
    <w:rsid w:val="00A75CAE"/>
    <w:rsid w:val="00A75D10"/>
    <w:rsid w:val="00A75D24"/>
    <w:rsid w:val="00A75D41"/>
    <w:rsid w:val="00A75D47"/>
    <w:rsid w:val="00A75DB3"/>
    <w:rsid w:val="00A75DCE"/>
    <w:rsid w:val="00A75DDE"/>
    <w:rsid w:val="00A75DF4"/>
    <w:rsid w:val="00A75DF9"/>
    <w:rsid w:val="00A75E18"/>
    <w:rsid w:val="00A75E1D"/>
    <w:rsid w:val="00A75E58"/>
    <w:rsid w:val="00A75E7E"/>
    <w:rsid w:val="00A75E83"/>
    <w:rsid w:val="00A75E9C"/>
    <w:rsid w:val="00A75EAD"/>
    <w:rsid w:val="00A75EEB"/>
    <w:rsid w:val="00A75F6D"/>
    <w:rsid w:val="00A75F8D"/>
    <w:rsid w:val="00A75FB1"/>
    <w:rsid w:val="00A75FC2"/>
    <w:rsid w:val="00A76062"/>
    <w:rsid w:val="00A760A6"/>
    <w:rsid w:val="00A760C2"/>
    <w:rsid w:val="00A7612B"/>
    <w:rsid w:val="00A76166"/>
    <w:rsid w:val="00A76189"/>
    <w:rsid w:val="00A76196"/>
    <w:rsid w:val="00A7619A"/>
    <w:rsid w:val="00A761D2"/>
    <w:rsid w:val="00A7622A"/>
    <w:rsid w:val="00A7624E"/>
    <w:rsid w:val="00A76291"/>
    <w:rsid w:val="00A76293"/>
    <w:rsid w:val="00A762AD"/>
    <w:rsid w:val="00A762B6"/>
    <w:rsid w:val="00A762E8"/>
    <w:rsid w:val="00A762EF"/>
    <w:rsid w:val="00A7631A"/>
    <w:rsid w:val="00A76334"/>
    <w:rsid w:val="00A76378"/>
    <w:rsid w:val="00A763EE"/>
    <w:rsid w:val="00A7643F"/>
    <w:rsid w:val="00A76482"/>
    <w:rsid w:val="00A76491"/>
    <w:rsid w:val="00A764B9"/>
    <w:rsid w:val="00A764BA"/>
    <w:rsid w:val="00A764EC"/>
    <w:rsid w:val="00A76506"/>
    <w:rsid w:val="00A7650F"/>
    <w:rsid w:val="00A76518"/>
    <w:rsid w:val="00A7652F"/>
    <w:rsid w:val="00A7655E"/>
    <w:rsid w:val="00A76575"/>
    <w:rsid w:val="00A76591"/>
    <w:rsid w:val="00A76593"/>
    <w:rsid w:val="00A765B1"/>
    <w:rsid w:val="00A765B5"/>
    <w:rsid w:val="00A765CF"/>
    <w:rsid w:val="00A765D2"/>
    <w:rsid w:val="00A765D5"/>
    <w:rsid w:val="00A765E4"/>
    <w:rsid w:val="00A76626"/>
    <w:rsid w:val="00A7662C"/>
    <w:rsid w:val="00A7663B"/>
    <w:rsid w:val="00A7668A"/>
    <w:rsid w:val="00A7669E"/>
    <w:rsid w:val="00A76725"/>
    <w:rsid w:val="00A76783"/>
    <w:rsid w:val="00A76795"/>
    <w:rsid w:val="00A767D5"/>
    <w:rsid w:val="00A767E0"/>
    <w:rsid w:val="00A767FB"/>
    <w:rsid w:val="00A767FE"/>
    <w:rsid w:val="00A76835"/>
    <w:rsid w:val="00A7685A"/>
    <w:rsid w:val="00A7686D"/>
    <w:rsid w:val="00A76894"/>
    <w:rsid w:val="00A7693F"/>
    <w:rsid w:val="00A76947"/>
    <w:rsid w:val="00A769CE"/>
    <w:rsid w:val="00A769ED"/>
    <w:rsid w:val="00A76A1B"/>
    <w:rsid w:val="00A76A45"/>
    <w:rsid w:val="00A76A47"/>
    <w:rsid w:val="00A76A5D"/>
    <w:rsid w:val="00A76A6B"/>
    <w:rsid w:val="00A76A77"/>
    <w:rsid w:val="00A76A97"/>
    <w:rsid w:val="00A76AA2"/>
    <w:rsid w:val="00A76AA6"/>
    <w:rsid w:val="00A76AAF"/>
    <w:rsid w:val="00A76AB5"/>
    <w:rsid w:val="00A76AB7"/>
    <w:rsid w:val="00A76ABC"/>
    <w:rsid w:val="00A76AD7"/>
    <w:rsid w:val="00A76AE8"/>
    <w:rsid w:val="00A76AEE"/>
    <w:rsid w:val="00A76B1B"/>
    <w:rsid w:val="00A76B5F"/>
    <w:rsid w:val="00A76B65"/>
    <w:rsid w:val="00A76BE2"/>
    <w:rsid w:val="00A76BF8"/>
    <w:rsid w:val="00A76BFE"/>
    <w:rsid w:val="00A76C2B"/>
    <w:rsid w:val="00A76C36"/>
    <w:rsid w:val="00A76C40"/>
    <w:rsid w:val="00A76C48"/>
    <w:rsid w:val="00A76C6B"/>
    <w:rsid w:val="00A76C79"/>
    <w:rsid w:val="00A76CBD"/>
    <w:rsid w:val="00A76CC2"/>
    <w:rsid w:val="00A76CED"/>
    <w:rsid w:val="00A76D5A"/>
    <w:rsid w:val="00A76D70"/>
    <w:rsid w:val="00A76DE4"/>
    <w:rsid w:val="00A76E3D"/>
    <w:rsid w:val="00A76E69"/>
    <w:rsid w:val="00A76E80"/>
    <w:rsid w:val="00A76F04"/>
    <w:rsid w:val="00A76F0E"/>
    <w:rsid w:val="00A76F1C"/>
    <w:rsid w:val="00A76F1E"/>
    <w:rsid w:val="00A76F44"/>
    <w:rsid w:val="00A76F69"/>
    <w:rsid w:val="00A76F9E"/>
    <w:rsid w:val="00A76FA5"/>
    <w:rsid w:val="00A76FB2"/>
    <w:rsid w:val="00A76FC1"/>
    <w:rsid w:val="00A76FC9"/>
    <w:rsid w:val="00A76FEC"/>
    <w:rsid w:val="00A77005"/>
    <w:rsid w:val="00A7704C"/>
    <w:rsid w:val="00A77098"/>
    <w:rsid w:val="00A770DF"/>
    <w:rsid w:val="00A7711B"/>
    <w:rsid w:val="00A7717C"/>
    <w:rsid w:val="00A7717E"/>
    <w:rsid w:val="00A771A1"/>
    <w:rsid w:val="00A771AC"/>
    <w:rsid w:val="00A771E2"/>
    <w:rsid w:val="00A77235"/>
    <w:rsid w:val="00A77252"/>
    <w:rsid w:val="00A77280"/>
    <w:rsid w:val="00A77281"/>
    <w:rsid w:val="00A772D3"/>
    <w:rsid w:val="00A77309"/>
    <w:rsid w:val="00A77325"/>
    <w:rsid w:val="00A77330"/>
    <w:rsid w:val="00A77336"/>
    <w:rsid w:val="00A77378"/>
    <w:rsid w:val="00A7737E"/>
    <w:rsid w:val="00A7738B"/>
    <w:rsid w:val="00A773A4"/>
    <w:rsid w:val="00A773B7"/>
    <w:rsid w:val="00A773D7"/>
    <w:rsid w:val="00A773EE"/>
    <w:rsid w:val="00A77410"/>
    <w:rsid w:val="00A77416"/>
    <w:rsid w:val="00A77417"/>
    <w:rsid w:val="00A7742D"/>
    <w:rsid w:val="00A77465"/>
    <w:rsid w:val="00A774D0"/>
    <w:rsid w:val="00A774D9"/>
    <w:rsid w:val="00A774E8"/>
    <w:rsid w:val="00A77503"/>
    <w:rsid w:val="00A7755B"/>
    <w:rsid w:val="00A77565"/>
    <w:rsid w:val="00A775A8"/>
    <w:rsid w:val="00A775B1"/>
    <w:rsid w:val="00A775B2"/>
    <w:rsid w:val="00A775C3"/>
    <w:rsid w:val="00A7766C"/>
    <w:rsid w:val="00A77671"/>
    <w:rsid w:val="00A7768F"/>
    <w:rsid w:val="00A776A9"/>
    <w:rsid w:val="00A77779"/>
    <w:rsid w:val="00A7778A"/>
    <w:rsid w:val="00A777D8"/>
    <w:rsid w:val="00A777EC"/>
    <w:rsid w:val="00A777F1"/>
    <w:rsid w:val="00A77830"/>
    <w:rsid w:val="00A77870"/>
    <w:rsid w:val="00A778B2"/>
    <w:rsid w:val="00A7790E"/>
    <w:rsid w:val="00A779C9"/>
    <w:rsid w:val="00A779F0"/>
    <w:rsid w:val="00A77A48"/>
    <w:rsid w:val="00A77A9C"/>
    <w:rsid w:val="00A77ADB"/>
    <w:rsid w:val="00A77AE5"/>
    <w:rsid w:val="00A77B04"/>
    <w:rsid w:val="00A77B8F"/>
    <w:rsid w:val="00A77BCC"/>
    <w:rsid w:val="00A77BE0"/>
    <w:rsid w:val="00A77C07"/>
    <w:rsid w:val="00A77C1D"/>
    <w:rsid w:val="00A77C5B"/>
    <w:rsid w:val="00A77C9B"/>
    <w:rsid w:val="00A77CC3"/>
    <w:rsid w:val="00A77CF8"/>
    <w:rsid w:val="00A77CFC"/>
    <w:rsid w:val="00A77D97"/>
    <w:rsid w:val="00A77DAE"/>
    <w:rsid w:val="00A77E09"/>
    <w:rsid w:val="00A77E69"/>
    <w:rsid w:val="00A77EE7"/>
    <w:rsid w:val="00A77F0B"/>
    <w:rsid w:val="00A77F5C"/>
    <w:rsid w:val="00A77F62"/>
    <w:rsid w:val="00A77F9F"/>
    <w:rsid w:val="00A77FA8"/>
    <w:rsid w:val="00A77FAB"/>
    <w:rsid w:val="00A77FAC"/>
    <w:rsid w:val="00A77FE9"/>
    <w:rsid w:val="00A7CCE0"/>
    <w:rsid w:val="00A80011"/>
    <w:rsid w:val="00A8001F"/>
    <w:rsid w:val="00A8005C"/>
    <w:rsid w:val="00A8008A"/>
    <w:rsid w:val="00A80094"/>
    <w:rsid w:val="00A800C8"/>
    <w:rsid w:val="00A800D6"/>
    <w:rsid w:val="00A800D7"/>
    <w:rsid w:val="00A8011F"/>
    <w:rsid w:val="00A8012A"/>
    <w:rsid w:val="00A80190"/>
    <w:rsid w:val="00A801AB"/>
    <w:rsid w:val="00A801F1"/>
    <w:rsid w:val="00A8022F"/>
    <w:rsid w:val="00A802AE"/>
    <w:rsid w:val="00A802F5"/>
    <w:rsid w:val="00A8032F"/>
    <w:rsid w:val="00A8035D"/>
    <w:rsid w:val="00A8037B"/>
    <w:rsid w:val="00A80380"/>
    <w:rsid w:val="00A80384"/>
    <w:rsid w:val="00A8038E"/>
    <w:rsid w:val="00A803A7"/>
    <w:rsid w:val="00A803E0"/>
    <w:rsid w:val="00A803E1"/>
    <w:rsid w:val="00A80409"/>
    <w:rsid w:val="00A80415"/>
    <w:rsid w:val="00A8044B"/>
    <w:rsid w:val="00A80495"/>
    <w:rsid w:val="00A804B6"/>
    <w:rsid w:val="00A804E3"/>
    <w:rsid w:val="00A804F6"/>
    <w:rsid w:val="00A8054D"/>
    <w:rsid w:val="00A80550"/>
    <w:rsid w:val="00A8059B"/>
    <w:rsid w:val="00A805F3"/>
    <w:rsid w:val="00A80653"/>
    <w:rsid w:val="00A80655"/>
    <w:rsid w:val="00A80667"/>
    <w:rsid w:val="00A80676"/>
    <w:rsid w:val="00A8068C"/>
    <w:rsid w:val="00A8069F"/>
    <w:rsid w:val="00A806C8"/>
    <w:rsid w:val="00A806E1"/>
    <w:rsid w:val="00A80774"/>
    <w:rsid w:val="00A8079A"/>
    <w:rsid w:val="00A807A2"/>
    <w:rsid w:val="00A807D5"/>
    <w:rsid w:val="00A807E9"/>
    <w:rsid w:val="00A80810"/>
    <w:rsid w:val="00A80846"/>
    <w:rsid w:val="00A8085B"/>
    <w:rsid w:val="00A80880"/>
    <w:rsid w:val="00A808AA"/>
    <w:rsid w:val="00A808E9"/>
    <w:rsid w:val="00A808FE"/>
    <w:rsid w:val="00A80902"/>
    <w:rsid w:val="00A8092F"/>
    <w:rsid w:val="00A80939"/>
    <w:rsid w:val="00A8094E"/>
    <w:rsid w:val="00A8095A"/>
    <w:rsid w:val="00A809D7"/>
    <w:rsid w:val="00A809D9"/>
    <w:rsid w:val="00A809DA"/>
    <w:rsid w:val="00A809FD"/>
    <w:rsid w:val="00A80A00"/>
    <w:rsid w:val="00A80A18"/>
    <w:rsid w:val="00A80A44"/>
    <w:rsid w:val="00A80AC2"/>
    <w:rsid w:val="00A80B2E"/>
    <w:rsid w:val="00A80B61"/>
    <w:rsid w:val="00A80B8F"/>
    <w:rsid w:val="00A80BF2"/>
    <w:rsid w:val="00A80BF4"/>
    <w:rsid w:val="00A80C04"/>
    <w:rsid w:val="00A80C1D"/>
    <w:rsid w:val="00A80C4E"/>
    <w:rsid w:val="00A80C58"/>
    <w:rsid w:val="00A80C6F"/>
    <w:rsid w:val="00A80C71"/>
    <w:rsid w:val="00A80C7D"/>
    <w:rsid w:val="00A80CFC"/>
    <w:rsid w:val="00A80D52"/>
    <w:rsid w:val="00A80DF9"/>
    <w:rsid w:val="00A80E18"/>
    <w:rsid w:val="00A80E29"/>
    <w:rsid w:val="00A80E2A"/>
    <w:rsid w:val="00A80EE7"/>
    <w:rsid w:val="00A80EFB"/>
    <w:rsid w:val="00A80EFD"/>
    <w:rsid w:val="00A80F49"/>
    <w:rsid w:val="00A80F4B"/>
    <w:rsid w:val="00A80F5D"/>
    <w:rsid w:val="00A80F92"/>
    <w:rsid w:val="00A80F95"/>
    <w:rsid w:val="00A80FC6"/>
    <w:rsid w:val="00A8100D"/>
    <w:rsid w:val="00A81020"/>
    <w:rsid w:val="00A81058"/>
    <w:rsid w:val="00A8108A"/>
    <w:rsid w:val="00A810E0"/>
    <w:rsid w:val="00A810EE"/>
    <w:rsid w:val="00A8111C"/>
    <w:rsid w:val="00A81126"/>
    <w:rsid w:val="00A811A0"/>
    <w:rsid w:val="00A811ED"/>
    <w:rsid w:val="00A8121B"/>
    <w:rsid w:val="00A81224"/>
    <w:rsid w:val="00A8122C"/>
    <w:rsid w:val="00A8127D"/>
    <w:rsid w:val="00A81283"/>
    <w:rsid w:val="00A81366"/>
    <w:rsid w:val="00A8136E"/>
    <w:rsid w:val="00A81374"/>
    <w:rsid w:val="00A81376"/>
    <w:rsid w:val="00A813BD"/>
    <w:rsid w:val="00A81414"/>
    <w:rsid w:val="00A81430"/>
    <w:rsid w:val="00A81457"/>
    <w:rsid w:val="00A81458"/>
    <w:rsid w:val="00A81464"/>
    <w:rsid w:val="00A8146B"/>
    <w:rsid w:val="00A81493"/>
    <w:rsid w:val="00A814B8"/>
    <w:rsid w:val="00A814D4"/>
    <w:rsid w:val="00A814D9"/>
    <w:rsid w:val="00A81539"/>
    <w:rsid w:val="00A815C7"/>
    <w:rsid w:val="00A81611"/>
    <w:rsid w:val="00A81622"/>
    <w:rsid w:val="00A8169A"/>
    <w:rsid w:val="00A81716"/>
    <w:rsid w:val="00A81727"/>
    <w:rsid w:val="00A81753"/>
    <w:rsid w:val="00A81760"/>
    <w:rsid w:val="00A817A8"/>
    <w:rsid w:val="00A817AE"/>
    <w:rsid w:val="00A81826"/>
    <w:rsid w:val="00A818CA"/>
    <w:rsid w:val="00A8191A"/>
    <w:rsid w:val="00A81921"/>
    <w:rsid w:val="00A8193F"/>
    <w:rsid w:val="00A8196F"/>
    <w:rsid w:val="00A81976"/>
    <w:rsid w:val="00A81993"/>
    <w:rsid w:val="00A81997"/>
    <w:rsid w:val="00A8199A"/>
    <w:rsid w:val="00A819D8"/>
    <w:rsid w:val="00A819DB"/>
    <w:rsid w:val="00A819E1"/>
    <w:rsid w:val="00A819F7"/>
    <w:rsid w:val="00A81A03"/>
    <w:rsid w:val="00A81A52"/>
    <w:rsid w:val="00A81A60"/>
    <w:rsid w:val="00A81A69"/>
    <w:rsid w:val="00A81A6F"/>
    <w:rsid w:val="00A81AD4"/>
    <w:rsid w:val="00A81AD5"/>
    <w:rsid w:val="00A81B0A"/>
    <w:rsid w:val="00A81B32"/>
    <w:rsid w:val="00A81B53"/>
    <w:rsid w:val="00A81B83"/>
    <w:rsid w:val="00A81BA0"/>
    <w:rsid w:val="00A81BBD"/>
    <w:rsid w:val="00A81C1C"/>
    <w:rsid w:val="00A81C5D"/>
    <w:rsid w:val="00A81C70"/>
    <w:rsid w:val="00A81C99"/>
    <w:rsid w:val="00A81C9A"/>
    <w:rsid w:val="00A81CD9"/>
    <w:rsid w:val="00A81D0E"/>
    <w:rsid w:val="00A81D1C"/>
    <w:rsid w:val="00A81D44"/>
    <w:rsid w:val="00A81D59"/>
    <w:rsid w:val="00A81D67"/>
    <w:rsid w:val="00A81D96"/>
    <w:rsid w:val="00A81DF1"/>
    <w:rsid w:val="00A81E17"/>
    <w:rsid w:val="00A81E35"/>
    <w:rsid w:val="00A81E38"/>
    <w:rsid w:val="00A81E9C"/>
    <w:rsid w:val="00A81EA1"/>
    <w:rsid w:val="00A81EA9"/>
    <w:rsid w:val="00A81F09"/>
    <w:rsid w:val="00A81F55"/>
    <w:rsid w:val="00A81F80"/>
    <w:rsid w:val="00A81FA3"/>
    <w:rsid w:val="00A81FF1"/>
    <w:rsid w:val="00A81FFE"/>
    <w:rsid w:val="00A820B2"/>
    <w:rsid w:val="00A820C4"/>
    <w:rsid w:val="00A820CB"/>
    <w:rsid w:val="00A82126"/>
    <w:rsid w:val="00A82157"/>
    <w:rsid w:val="00A821E9"/>
    <w:rsid w:val="00A82292"/>
    <w:rsid w:val="00A822A8"/>
    <w:rsid w:val="00A822C2"/>
    <w:rsid w:val="00A82356"/>
    <w:rsid w:val="00A823A9"/>
    <w:rsid w:val="00A823E1"/>
    <w:rsid w:val="00A824D4"/>
    <w:rsid w:val="00A824D5"/>
    <w:rsid w:val="00A8254E"/>
    <w:rsid w:val="00A82552"/>
    <w:rsid w:val="00A82554"/>
    <w:rsid w:val="00A8256E"/>
    <w:rsid w:val="00A82577"/>
    <w:rsid w:val="00A825B6"/>
    <w:rsid w:val="00A825BA"/>
    <w:rsid w:val="00A82619"/>
    <w:rsid w:val="00A82644"/>
    <w:rsid w:val="00A82653"/>
    <w:rsid w:val="00A826B2"/>
    <w:rsid w:val="00A826BF"/>
    <w:rsid w:val="00A826D3"/>
    <w:rsid w:val="00A826DE"/>
    <w:rsid w:val="00A826F1"/>
    <w:rsid w:val="00A82719"/>
    <w:rsid w:val="00A82722"/>
    <w:rsid w:val="00A8275E"/>
    <w:rsid w:val="00A827C8"/>
    <w:rsid w:val="00A827D6"/>
    <w:rsid w:val="00A82800"/>
    <w:rsid w:val="00A8284E"/>
    <w:rsid w:val="00A82886"/>
    <w:rsid w:val="00A828A0"/>
    <w:rsid w:val="00A828B6"/>
    <w:rsid w:val="00A828C5"/>
    <w:rsid w:val="00A82910"/>
    <w:rsid w:val="00A829AA"/>
    <w:rsid w:val="00A829B8"/>
    <w:rsid w:val="00A82A35"/>
    <w:rsid w:val="00A82A60"/>
    <w:rsid w:val="00A82AE3"/>
    <w:rsid w:val="00A82AF5"/>
    <w:rsid w:val="00A82B6A"/>
    <w:rsid w:val="00A82B81"/>
    <w:rsid w:val="00A82B8C"/>
    <w:rsid w:val="00A82BCD"/>
    <w:rsid w:val="00A82C4D"/>
    <w:rsid w:val="00A82CBF"/>
    <w:rsid w:val="00A82CCF"/>
    <w:rsid w:val="00A82CEF"/>
    <w:rsid w:val="00A82CF4"/>
    <w:rsid w:val="00A82D10"/>
    <w:rsid w:val="00A82D52"/>
    <w:rsid w:val="00A82D69"/>
    <w:rsid w:val="00A82D76"/>
    <w:rsid w:val="00A82D89"/>
    <w:rsid w:val="00A82DF7"/>
    <w:rsid w:val="00A82E0A"/>
    <w:rsid w:val="00A82EB2"/>
    <w:rsid w:val="00A82EBC"/>
    <w:rsid w:val="00A82ECB"/>
    <w:rsid w:val="00A82EED"/>
    <w:rsid w:val="00A82EF1"/>
    <w:rsid w:val="00A82F13"/>
    <w:rsid w:val="00A82F48"/>
    <w:rsid w:val="00A82F5B"/>
    <w:rsid w:val="00A82F6E"/>
    <w:rsid w:val="00A82F94"/>
    <w:rsid w:val="00A82F9F"/>
    <w:rsid w:val="00A83090"/>
    <w:rsid w:val="00A8309B"/>
    <w:rsid w:val="00A830AE"/>
    <w:rsid w:val="00A830B8"/>
    <w:rsid w:val="00A830D8"/>
    <w:rsid w:val="00A8315B"/>
    <w:rsid w:val="00A831C7"/>
    <w:rsid w:val="00A8323F"/>
    <w:rsid w:val="00A8324D"/>
    <w:rsid w:val="00A83294"/>
    <w:rsid w:val="00A832C3"/>
    <w:rsid w:val="00A832D5"/>
    <w:rsid w:val="00A8330C"/>
    <w:rsid w:val="00A83348"/>
    <w:rsid w:val="00A83350"/>
    <w:rsid w:val="00A8336A"/>
    <w:rsid w:val="00A83394"/>
    <w:rsid w:val="00A833AA"/>
    <w:rsid w:val="00A83427"/>
    <w:rsid w:val="00A83437"/>
    <w:rsid w:val="00A834D2"/>
    <w:rsid w:val="00A8354A"/>
    <w:rsid w:val="00A83575"/>
    <w:rsid w:val="00A83578"/>
    <w:rsid w:val="00A83584"/>
    <w:rsid w:val="00A83596"/>
    <w:rsid w:val="00A835F7"/>
    <w:rsid w:val="00A83648"/>
    <w:rsid w:val="00A8366D"/>
    <w:rsid w:val="00A836AF"/>
    <w:rsid w:val="00A836BC"/>
    <w:rsid w:val="00A836CF"/>
    <w:rsid w:val="00A836DE"/>
    <w:rsid w:val="00A83717"/>
    <w:rsid w:val="00A8371F"/>
    <w:rsid w:val="00A8374C"/>
    <w:rsid w:val="00A83799"/>
    <w:rsid w:val="00A837DD"/>
    <w:rsid w:val="00A837F7"/>
    <w:rsid w:val="00A83818"/>
    <w:rsid w:val="00A83835"/>
    <w:rsid w:val="00A83836"/>
    <w:rsid w:val="00A838E3"/>
    <w:rsid w:val="00A838F1"/>
    <w:rsid w:val="00A83990"/>
    <w:rsid w:val="00A839A9"/>
    <w:rsid w:val="00A839B0"/>
    <w:rsid w:val="00A839BF"/>
    <w:rsid w:val="00A83A03"/>
    <w:rsid w:val="00A83A1A"/>
    <w:rsid w:val="00A83A29"/>
    <w:rsid w:val="00A83A2D"/>
    <w:rsid w:val="00A83A36"/>
    <w:rsid w:val="00A83A42"/>
    <w:rsid w:val="00A83A45"/>
    <w:rsid w:val="00A83A4C"/>
    <w:rsid w:val="00A83A5C"/>
    <w:rsid w:val="00A83A6B"/>
    <w:rsid w:val="00A83A8E"/>
    <w:rsid w:val="00A83AD2"/>
    <w:rsid w:val="00A83B62"/>
    <w:rsid w:val="00A83B93"/>
    <w:rsid w:val="00A83BB2"/>
    <w:rsid w:val="00A83BB4"/>
    <w:rsid w:val="00A83BC0"/>
    <w:rsid w:val="00A83BE5"/>
    <w:rsid w:val="00A83BF5"/>
    <w:rsid w:val="00A83C08"/>
    <w:rsid w:val="00A83C14"/>
    <w:rsid w:val="00A83C53"/>
    <w:rsid w:val="00A83C5E"/>
    <w:rsid w:val="00A83CC7"/>
    <w:rsid w:val="00A83D2A"/>
    <w:rsid w:val="00A83D6A"/>
    <w:rsid w:val="00A83D88"/>
    <w:rsid w:val="00A83DB1"/>
    <w:rsid w:val="00A83E01"/>
    <w:rsid w:val="00A83E14"/>
    <w:rsid w:val="00A83E27"/>
    <w:rsid w:val="00A83E33"/>
    <w:rsid w:val="00A83E5E"/>
    <w:rsid w:val="00A83E70"/>
    <w:rsid w:val="00A83EF8"/>
    <w:rsid w:val="00A83FAD"/>
    <w:rsid w:val="00A83FDC"/>
    <w:rsid w:val="00A83FE2"/>
    <w:rsid w:val="00A8400C"/>
    <w:rsid w:val="00A8402C"/>
    <w:rsid w:val="00A8403A"/>
    <w:rsid w:val="00A8406B"/>
    <w:rsid w:val="00A840BC"/>
    <w:rsid w:val="00A840D7"/>
    <w:rsid w:val="00A84107"/>
    <w:rsid w:val="00A8411D"/>
    <w:rsid w:val="00A84124"/>
    <w:rsid w:val="00A8413A"/>
    <w:rsid w:val="00A8413E"/>
    <w:rsid w:val="00A84298"/>
    <w:rsid w:val="00A842F6"/>
    <w:rsid w:val="00A843AB"/>
    <w:rsid w:val="00A84459"/>
    <w:rsid w:val="00A84480"/>
    <w:rsid w:val="00A84502"/>
    <w:rsid w:val="00A84562"/>
    <w:rsid w:val="00A8457C"/>
    <w:rsid w:val="00A8462B"/>
    <w:rsid w:val="00A8463F"/>
    <w:rsid w:val="00A84662"/>
    <w:rsid w:val="00A84701"/>
    <w:rsid w:val="00A84727"/>
    <w:rsid w:val="00A8478C"/>
    <w:rsid w:val="00A847B4"/>
    <w:rsid w:val="00A84819"/>
    <w:rsid w:val="00A84824"/>
    <w:rsid w:val="00A84831"/>
    <w:rsid w:val="00A84834"/>
    <w:rsid w:val="00A84839"/>
    <w:rsid w:val="00A84846"/>
    <w:rsid w:val="00A8487C"/>
    <w:rsid w:val="00A848C4"/>
    <w:rsid w:val="00A848CA"/>
    <w:rsid w:val="00A848CC"/>
    <w:rsid w:val="00A848F7"/>
    <w:rsid w:val="00A848FD"/>
    <w:rsid w:val="00A84927"/>
    <w:rsid w:val="00A8493B"/>
    <w:rsid w:val="00A8498C"/>
    <w:rsid w:val="00A8498D"/>
    <w:rsid w:val="00A849C4"/>
    <w:rsid w:val="00A849F1"/>
    <w:rsid w:val="00A849F2"/>
    <w:rsid w:val="00A849FB"/>
    <w:rsid w:val="00A84A9D"/>
    <w:rsid w:val="00A84AD1"/>
    <w:rsid w:val="00A84AD3"/>
    <w:rsid w:val="00A84AE3"/>
    <w:rsid w:val="00A84B10"/>
    <w:rsid w:val="00A84BB2"/>
    <w:rsid w:val="00A84BCF"/>
    <w:rsid w:val="00A84BD4"/>
    <w:rsid w:val="00A84C4B"/>
    <w:rsid w:val="00A84C7F"/>
    <w:rsid w:val="00A84CC6"/>
    <w:rsid w:val="00A84CC9"/>
    <w:rsid w:val="00A84CF7"/>
    <w:rsid w:val="00A84D1C"/>
    <w:rsid w:val="00A84D8F"/>
    <w:rsid w:val="00A84D90"/>
    <w:rsid w:val="00A84DBC"/>
    <w:rsid w:val="00A84DDA"/>
    <w:rsid w:val="00A84E16"/>
    <w:rsid w:val="00A84E18"/>
    <w:rsid w:val="00A84E19"/>
    <w:rsid w:val="00A84E70"/>
    <w:rsid w:val="00A84E73"/>
    <w:rsid w:val="00A84E81"/>
    <w:rsid w:val="00A84EF5"/>
    <w:rsid w:val="00A84F06"/>
    <w:rsid w:val="00A84F5F"/>
    <w:rsid w:val="00A84F73"/>
    <w:rsid w:val="00A84FBB"/>
    <w:rsid w:val="00A85029"/>
    <w:rsid w:val="00A8505A"/>
    <w:rsid w:val="00A8507C"/>
    <w:rsid w:val="00A85088"/>
    <w:rsid w:val="00A8508E"/>
    <w:rsid w:val="00A850BC"/>
    <w:rsid w:val="00A850E6"/>
    <w:rsid w:val="00A8511E"/>
    <w:rsid w:val="00A85135"/>
    <w:rsid w:val="00A85151"/>
    <w:rsid w:val="00A8518E"/>
    <w:rsid w:val="00A851DC"/>
    <w:rsid w:val="00A851EC"/>
    <w:rsid w:val="00A851EE"/>
    <w:rsid w:val="00A851EF"/>
    <w:rsid w:val="00A85212"/>
    <w:rsid w:val="00A85229"/>
    <w:rsid w:val="00A8522C"/>
    <w:rsid w:val="00A85262"/>
    <w:rsid w:val="00A852A4"/>
    <w:rsid w:val="00A852E2"/>
    <w:rsid w:val="00A8535B"/>
    <w:rsid w:val="00A85424"/>
    <w:rsid w:val="00A85469"/>
    <w:rsid w:val="00A854E9"/>
    <w:rsid w:val="00A8550F"/>
    <w:rsid w:val="00A85520"/>
    <w:rsid w:val="00A855B8"/>
    <w:rsid w:val="00A855D8"/>
    <w:rsid w:val="00A8561C"/>
    <w:rsid w:val="00A8563A"/>
    <w:rsid w:val="00A8565B"/>
    <w:rsid w:val="00A856DF"/>
    <w:rsid w:val="00A85709"/>
    <w:rsid w:val="00A8571E"/>
    <w:rsid w:val="00A85759"/>
    <w:rsid w:val="00A85775"/>
    <w:rsid w:val="00A857A0"/>
    <w:rsid w:val="00A857A1"/>
    <w:rsid w:val="00A857E1"/>
    <w:rsid w:val="00A857EF"/>
    <w:rsid w:val="00A85852"/>
    <w:rsid w:val="00A858AE"/>
    <w:rsid w:val="00A85962"/>
    <w:rsid w:val="00A85989"/>
    <w:rsid w:val="00A85990"/>
    <w:rsid w:val="00A859DC"/>
    <w:rsid w:val="00A859E9"/>
    <w:rsid w:val="00A859EB"/>
    <w:rsid w:val="00A85A1A"/>
    <w:rsid w:val="00A85A3B"/>
    <w:rsid w:val="00A85A6B"/>
    <w:rsid w:val="00A85A6D"/>
    <w:rsid w:val="00A85AC0"/>
    <w:rsid w:val="00A85ACB"/>
    <w:rsid w:val="00A85AE7"/>
    <w:rsid w:val="00A85AF0"/>
    <w:rsid w:val="00A85B53"/>
    <w:rsid w:val="00A85BA1"/>
    <w:rsid w:val="00A85BA5"/>
    <w:rsid w:val="00A85BA7"/>
    <w:rsid w:val="00A85BB5"/>
    <w:rsid w:val="00A85BB8"/>
    <w:rsid w:val="00A85C4A"/>
    <w:rsid w:val="00A85C56"/>
    <w:rsid w:val="00A85C92"/>
    <w:rsid w:val="00A85C9C"/>
    <w:rsid w:val="00A85CB8"/>
    <w:rsid w:val="00A85CFB"/>
    <w:rsid w:val="00A85D29"/>
    <w:rsid w:val="00A85D2E"/>
    <w:rsid w:val="00A85D37"/>
    <w:rsid w:val="00A85DC5"/>
    <w:rsid w:val="00A85DDB"/>
    <w:rsid w:val="00A85E87"/>
    <w:rsid w:val="00A85E97"/>
    <w:rsid w:val="00A85E9C"/>
    <w:rsid w:val="00A85EA8"/>
    <w:rsid w:val="00A85EB5"/>
    <w:rsid w:val="00A85EC9"/>
    <w:rsid w:val="00A85F6F"/>
    <w:rsid w:val="00A85F77"/>
    <w:rsid w:val="00A85F8A"/>
    <w:rsid w:val="00A85FD0"/>
    <w:rsid w:val="00A85FE8"/>
    <w:rsid w:val="00A85FFD"/>
    <w:rsid w:val="00A86009"/>
    <w:rsid w:val="00A8602A"/>
    <w:rsid w:val="00A8603B"/>
    <w:rsid w:val="00A86069"/>
    <w:rsid w:val="00A860AA"/>
    <w:rsid w:val="00A860AB"/>
    <w:rsid w:val="00A860DF"/>
    <w:rsid w:val="00A86102"/>
    <w:rsid w:val="00A86111"/>
    <w:rsid w:val="00A86124"/>
    <w:rsid w:val="00A86199"/>
    <w:rsid w:val="00A861BA"/>
    <w:rsid w:val="00A861D3"/>
    <w:rsid w:val="00A861F0"/>
    <w:rsid w:val="00A86216"/>
    <w:rsid w:val="00A8621A"/>
    <w:rsid w:val="00A8622D"/>
    <w:rsid w:val="00A86230"/>
    <w:rsid w:val="00A86235"/>
    <w:rsid w:val="00A86236"/>
    <w:rsid w:val="00A862B0"/>
    <w:rsid w:val="00A862BC"/>
    <w:rsid w:val="00A862E4"/>
    <w:rsid w:val="00A86312"/>
    <w:rsid w:val="00A86314"/>
    <w:rsid w:val="00A8632A"/>
    <w:rsid w:val="00A8633C"/>
    <w:rsid w:val="00A86358"/>
    <w:rsid w:val="00A86397"/>
    <w:rsid w:val="00A86421"/>
    <w:rsid w:val="00A8644D"/>
    <w:rsid w:val="00A86464"/>
    <w:rsid w:val="00A8648C"/>
    <w:rsid w:val="00A86491"/>
    <w:rsid w:val="00A86509"/>
    <w:rsid w:val="00A8652B"/>
    <w:rsid w:val="00A8654C"/>
    <w:rsid w:val="00A86555"/>
    <w:rsid w:val="00A86565"/>
    <w:rsid w:val="00A865CB"/>
    <w:rsid w:val="00A8663B"/>
    <w:rsid w:val="00A86642"/>
    <w:rsid w:val="00A86651"/>
    <w:rsid w:val="00A866D0"/>
    <w:rsid w:val="00A866E9"/>
    <w:rsid w:val="00A866ED"/>
    <w:rsid w:val="00A866F7"/>
    <w:rsid w:val="00A8671D"/>
    <w:rsid w:val="00A8676F"/>
    <w:rsid w:val="00A86776"/>
    <w:rsid w:val="00A8686A"/>
    <w:rsid w:val="00A868C0"/>
    <w:rsid w:val="00A868F8"/>
    <w:rsid w:val="00A8691F"/>
    <w:rsid w:val="00A86935"/>
    <w:rsid w:val="00A86945"/>
    <w:rsid w:val="00A86965"/>
    <w:rsid w:val="00A869EB"/>
    <w:rsid w:val="00A869F1"/>
    <w:rsid w:val="00A86A0C"/>
    <w:rsid w:val="00A86A2C"/>
    <w:rsid w:val="00A86A69"/>
    <w:rsid w:val="00A86AC9"/>
    <w:rsid w:val="00A86AD5"/>
    <w:rsid w:val="00A86B03"/>
    <w:rsid w:val="00A86B18"/>
    <w:rsid w:val="00A86B26"/>
    <w:rsid w:val="00A86B71"/>
    <w:rsid w:val="00A86BBC"/>
    <w:rsid w:val="00A86BD7"/>
    <w:rsid w:val="00A86BFD"/>
    <w:rsid w:val="00A86C07"/>
    <w:rsid w:val="00A86C08"/>
    <w:rsid w:val="00A86C1F"/>
    <w:rsid w:val="00A86C2B"/>
    <w:rsid w:val="00A86C37"/>
    <w:rsid w:val="00A86C5A"/>
    <w:rsid w:val="00A86C74"/>
    <w:rsid w:val="00A86C7E"/>
    <w:rsid w:val="00A86CA7"/>
    <w:rsid w:val="00A86CBF"/>
    <w:rsid w:val="00A86CE1"/>
    <w:rsid w:val="00A86CFB"/>
    <w:rsid w:val="00A86D4A"/>
    <w:rsid w:val="00A86D4F"/>
    <w:rsid w:val="00A86D63"/>
    <w:rsid w:val="00A86D92"/>
    <w:rsid w:val="00A86DFB"/>
    <w:rsid w:val="00A86E0E"/>
    <w:rsid w:val="00A86E20"/>
    <w:rsid w:val="00A86E71"/>
    <w:rsid w:val="00A86E90"/>
    <w:rsid w:val="00A86EE6"/>
    <w:rsid w:val="00A86F0E"/>
    <w:rsid w:val="00A86F14"/>
    <w:rsid w:val="00A86F18"/>
    <w:rsid w:val="00A86F20"/>
    <w:rsid w:val="00A86F67"/>
    <w:rsid w:val="00A86F94"/>
    <w:rsid w:val="00A86F9D"/>
    <w:rsid w:val="00A86FB9"/>
    <w:rsid w:val="00A86FCC"/>
    <w:rsid w:val="00A8700D"/>
    <w:rsid w:val="00A8706F"/>
    <w:rsid w:val="00A870C2"/>
    <w:rsid w:val="00A870CD"/>
    <w:rsid w:val="00A870E2"/>
    <w:rsid w:val="00A870E8"/>
    <w:rsid w:val="00A8711C"/>
    <w:rsid w:val="00A87173"/>
    <w:rsid w:val="00A87198"/>
    <w:rsid w:val="00A871B3"/>
    <w:rsid w:val="00A871CC"/>
    <w:rsid w:val="00A871FD"/>
    <w:rsid w:val="00A87223"/>
    <w:rsid w:val="00A8726F"/>
    <w:rsid w:val="00A87281"/>
    <w:rsid w:val="00A872D0"/>
    <w:rsid w:val="00A872DF"/>
    <w:rsid w:val="00A8730A"/>
    <w:rsid w:val="00A87359"/>
    <w:rsid w:val="00A8735F"/>
    <w:rsid w:val="00A8736D"/>
    <w:rsid w:val="00A87376"/>
    <w:rsid w:val="00A87386"/>
    <w:rsid w:val="00A87392"/>
    <w:rsid w:val="00A87396"/>
    <w:rsid w:val="00A873A3"/>
    <w:rsid w:val="00A873BA"/>
    <w:rsid w:val="00A87414"/>
    <w:rsid w:val="00A87446"/>
    <w:rsid w:val="00A87448"/>
    <w:rsid w:val="00A87467"/>
    <w:rsid w:val="00A874AB"/>
    <w:rsid w:val="00A874C2"/>
    <w:rsid w:val="00A874C6"/>
    <w:rsid w:val="00A87516"/>
    <w:rsid w:val="00A8758F"/>
    <w:rsid w:val="00A875EE"/>
    <w:rsid w:val="00A87649"/>
    <w:rsid w:val="00A87680"/>
    <w:rsid w:val="00A8769D"/>
    <w:rsid w:val="00A87730"/>
    <w:rsid w:val="00A8774E"/>
    <w:rsid w:val="00A8775E"/>
    <w:rsid w:val="00A87766"/>
    <w:rsid w:val="00A87795"/>
    <w:rsid w:val="00A87825"/>
    <w:rsid w:val="00A87851"/>
    <w:rsid w:val="00A87853"/>
    <w:rsid w:val="00A87862"/>
    <w:rsid w:val="00A8787E"/>
    <w:rsid w:val="00A87884"/>
    <w:rsid w:val="00A878CC"/>
    <w:rsid w:val="00A878E7"/>
    <w:rsid w:val="00A87934"/>
    <w:rsid w:val="00A87972"/>
    <w:rsid w:val="00A879C7"/>
    <w:rsid w:val="00A879D9"/>
    <w:rsid w:val="00A879DB"/>
    <w:rsid w:val="00A879F1"/>
    <w:rsid w:val="00A87A0A"/>
    <w:rsid w:val="00A87A26"/>
    <w:rsid w:val="00A87A39"/>
    <w:rsid w:val="00A87A5A"/>
    <w:rsid w:val="00A87AAD"/>
    <w:rsid w:val="00A87AC9"/>
    <w:rsid w:val="00A87ACA"/>
    <w:rsid w:val="00A87B96"/>
    <w:rsid w:val="00A87BE0"/>
    <w:rsid w:val="00A87BF7"/>
    <w:rsid w:val="00A87C02"/>
    <w:rsid w:val="00A87C0F"/>
    <w:rsid w:val="00A87C7E"/>
    <w:rsid w:val="00A87C8F"/>
    <w:rsid w:val="00A87CEE"/>
    <w:rsid w:val="00A87CF6"/>
    <w:rsid w:val="00A87D19"/>
    <w:rsid w:val="00A87DB1"/>
    <w:rsid w:val="00A87E05"/>
    <w:rsid w:val="00A87E25"/>
    <w:rsid w:val="00A87E70"/>
    <w:rsid w:val="00A87E8A"/>
    <w:rsid w:val="00A87E94"/>
    <w:rsid w:val="00A87ECE"/>
    <w:rsid w:val="00A87EE1"/>
    <w:rsid w:val="00A87F14"/>
    <w:rsid w:val="00A87F2A"/>
    <w:rsid w:val="00A87F5E"/>
    <w:rsid w:val="00A87F63"/>
    <w:rsid w:val="00A87F64"/>
    <w:rsid w:val="00A9003F"/>
    <w:rsid w:val="00A90074"/>
    <w:rsid w:val="00A900B0"/>
    <w:rsid w:val="00A900EA"/>
    <w:rsid w:val="00A90152"/>
    <w:rsid w:val="00A90171"/>
    <w:rsid w:val="00A90179"/>
    <w:rsid w:val="00A901A8"/>
    <w:rsid w:val="00A901E0"/>
    <w:rsid w:val="00A901F3"/>
    <w:rsid w:val="00A90209"/>
    <w:rsid w:val="00A90245"/>
    <w:rsid w:val="00A90286"/>
    <w:rsid w:val="00A902D6"/>
    <w:rsid w:val="00A90303"/>
    <w:rsid w:val="00A90355"/>
    <w:rsid w:val="00A90366"/>
    <w:rsid w:val="00A90395"/>
    <w:rsid w:val="00A903AB"/>
    <w:rsid w:val="00A90422"/>
    <w:rsid w:val="00A90429"/>
    <w:rsid w:val="00A9042C"/>
    <w:rsid w:val="00A904A9"/>
    <w:rsid w:val="00A904B1"/>
    <w:rsid w:val="00A904F1"/>
    <w:rsid w:val="00A90508"/>
    <w:rsid w:val="00A90516"/>
    <w:rsid w:val="00A90518"/>
    <w:rsid w:val="00A90538"/>
    <w:rsid w:val="00A9055F"/>
    <w:rsid w:val="00A905D3"/>
    <w:rsid w:val="00A90634"/>
    <w:rsid w:val="00A90649"/>
    <w:rsid w:val="00A90653"/>
    <w:rsid w:val="00A90687"/>
    <w:rsid w:val="00A90695"/>
    <w:rsid w:val="00A9069B"/>
    <w:rsid w:val="00A906DC"/>
    <w:rsid w:val="00A906E4"/>
    <w:rsid w:val="00A90708"/>
    <w:rsid w:val="00A9072A"/>
    <w:rsid w:val="00A90730"/>
    <w:rsid w:val="00A9073C"/>
    <w:rsid w:val="00A90776"/>
    <w:rsid w:val="00A907ED"/>
    <w:rsid w:val="00A9085F"/>
    <w:rsid w:val="00A90884"/>
    <w:rsid w:val="00A908B4"/>
    <w:rsid w:val="00A908FD"/>
    <w:rsid w:val="00A90908"/>
    <w:rsid w:val="00A909B4"/>
    <w:rsid w:val="00A90A0C"/>
    <w:rsid w:val="00A90A22"/>
    <w:rsid w:val="00A90A97"/>
    <w:rsid w:val="00A90AAA"/>
    <w:rsid w:val="00A90AED"/>
    <w:rsid w:val="00A90B4D"/>
    <w:rsid w:val="00A90B61"/>
    <w:rsid w:val="00A90B83"/>
    <w:rsid w:val="00A90B99"/>
    <w:rsid w:val="00A90BA2"/>
    <w:rsid w:val="00A90BDC"/>
    <w:rsid w:val="00A90BDF"/>
    <w:rsid w:val="00A90C01"/>
    <w:rsid w:val="00A90C61"/>
    <w:rsid w:val="00A90C81"/>
    <w:rsid w:val="00A90CEB"/>
    <w:rsid w:val="00A90D19"/>
    <w:rsid w:val="00A90D26"/>
    <w:rsid w:val="00A90D2C"/>
    <w:rsid w:val="00A90D30"/>
    <w:rsid w:val="00A90D8F"/>
    <w:rsid w:val="00A90D9F"/>
    <w:rsid w:val="00A90E46"/>
    <w:rsid w:val="00A90E52"/>
    <w:rsid w:val="00A90E76"/>
    <w:rsid w:val="00A90E7C"/>
    <w:rsid w:val="00A90E86"/>
    <w:rsid w:val="00A90E98"/>
    <w:rsid w:val="00A90EAF"/>
    <w:rsid w:val="00A90EFC"/>
    <w:rsid w:val="00A90F03"/>
    <w:rsid w:val="00A90F0E"/>
    <w:rsid w:val="00A90F2F"/>
    <w:rsid w:val="00A90F8C"/>
    <w:rsid w:val="00A91042"/>
    <w:rsid w:val="00A9109F"/>
    <w:rsid w:val="00A910DB"/>
    <w:rsid w:val="00A91106"/>
    <w:rsid w:val="00A91139"/>
    <w:rsid w:val="00A9115B"/>
    <w:rsid w:val="00A9116C"/>
    <w:rsid w:val="00A911EB"/>
    <w:rsid w:val="00A91224"/>
    <w:rsid w:val="00A91225"/>
    <w:rsid w:val="00A91299"/>
    <w:rsid w:val="00A912DE"/>
    <w:rsid w:val="00A912FB"/>
    <w:rsid w:val="00A9133F"/>
    <w:rsid w:val="00A9135D"/>
    <w:rsid w:val="00A9137C"/>
    <w:rsid w:val="00A913A9"/>
    <w:rsid w:val="00A913D9"/>
    <w:rsid w:val="00A913EC"/>
    <w:rsid w:val="00A91414"/>
    <w:rsid w:val="00A9141B"/>
    <w:rsid w:val="00A9143D"/>
    <w:rsid w:val="00A91452"/>
    <w:rsid w:val="00A91472"/>
    <w:rsid w:val="00A914D5"/>
    <w:rsid w:val="00A91511"/>
    <w:rsid w:val="00A91513"/>
    <w:rsid w:val="00A91581"/>
    <w:rsid w:val="00A915A3"/>
    <w:rsid w:val="00A915B9"/>
    <w:rsid w:val="00A915E6"/>
    <w:rsid w:val="00A91617"/>
    <w:rsid w:val="00A91648"/>
    <w:rsid w:val="00A9164A"/>
    <w:rsid w:val="00A9165D"/>
    <w:rsid w:val="00A9169D"/>
    <w:rsid w:val="00A916A0"/>
    <w:rsid w:val="00A916B5"/>
    <w:rsid w:val="00A916FA"/>
    <w:rsid w:val="00A91706"/>
    <w:rsid w:val="00A91785"/>
    <w:rsid w:val="00A9179F"/>
    <w:rsid w:val="00A917A6"/>
    <w:rsid w:val="00A917B5"/>
    <w:rsid w:val="00A917BD"/>
    <w:rsid w:val="00A91827"/>
    <w:rsid w:val="00A91872"/>
    <w:rsid w:val="00A9187A"/>
    <w:rsid w:val="00A918A9"/>
    <w:rsid w:val="00A918E2"/>
    <w:rsid w:val="00A91979"/>
    <w:rsid w:val="00A9199A"/>
    <w:rsid w:val="00A919AE"/>
    <w:rsid w:val="00A919BD"/>
    <w:rsid w:val="00A919C8"/>
    <w:rsid w:val="00A91A2F"/>
    <w:rsid w:val="00A91A42"/>
    <w:rsid w:val="00A91A54"/>
    <w:rsid w:val="00A91AA9"/>
    <w:rsid w:val="00A91AC0"/>
    <w:rsid w:val="00A91B2D"/>
    <w:rsid w:val="00A91BAD"/>
    <w:rsid w:val="00A91BAE"/>
    <w:rsid w:val="00A91BB6"/>
    <w:rsid w:val="00A91C15"/>
    <w:rsid w:val="00A91C62"/>
    <w:rsid w:val="00A91C9C"/>
    <w:rsid w:val="00A91CA7"/>
    <w:rsid w:val="00A91CB0"/>
    <w:rsid w:val="00A91CBB"/>
    <w:rsid w:val="00A91CBF"/>
    <w:rsid w:val="00A91D0A"/>
    <w:rsid w:val="00A91D3E"/>
    <w:rsid w:val="00A91D87"/>
    <w:rsid w:val="00A91DEE"/>
    <w:rsid w:val="00A91E32"/>
    <w:rsid w:val="00A91E51"/>
    <w:rsid w:val="00A91E5C"/>
    <w:rsid w:val="00A91E5E"/>
    <w:rsid w:val="00A91EB8"/>
    <w:rsid w:val="00A91EBD"/>
    <w:rsid w:val="00A91F05"/>
    <w:rsid w:val="00A91F96"/>
    <w:rsid w:val="00A91FB9"/>
    <w:rsid w:val="00A91FC1"/>
    <w:rsid w:val="00A92023"/>
    <w:rsid w:val="00A92046"/>
    <w:rsid w:val="00A92054"/>
    <w:rsid w:val="00A92071"/>
    <w:rsid w:val="00A9209F"/>
    <w:rsid w:val="00A920AC"/>
    <w:rsid w:val="00A920E7"/>
    <w:rsid w:val="00A9214C"/>
    <w:rsid w:val="00A9215C"/>
    <w:rsid w:val="00A92171"/>
    <w:rsid w:val="00A9218F"/>
    <w:rsid w:val="00A921A9"/>
    <w:rsid w:val="00A921B4"/>
    <w:rsid w:val="00A921EF"/>
    <w:rsid w:val="00A921F7"/>
    <w:rsid w:val="00A92203"/>
    <w:rsid w:val="00A9221C"/>
    <w:rsid w:val="00A92257"/>
    <w:rsid w:val="00A92264"/>
    <w:rsid w:val="00A92279"/>
    <w:rsid w:val="00A9228F"/>
    <w:rsid w:val="00A92296"/>
    <w:rsid w:val="00A922D7"/>
    <w:rsid w:val="00A9231A"/>
    <w:rsid w:val="00A9231E"/>
    <w:rsid w:val="00A9234C"/>
    <w:rsid w:val="00A923E9"/>
    <w:rsid w:val="00A92423"/>
    <w:rsid w:val="00A9247D"/>
    <w:rsid w:val="00A9249A"/>
    <w:rsid w:val="00A924D4"/>
    <w:rsid w:val="00A924DC"/>
    <w:rsid w:val="00A9251B"/>
    <w:rsid w:val="00A92538"/>
    <w:rsid w:val="00A92599"/>
    <w:rsid w:val="00A925AB"/>
    <w:rsid w:val="00A92616"/>
    <w:rsid w:val="00A9266F"/>
    <w:rsid w:val="00A9267B"/>
    <w:rsid w:val="00A9268E"/>
    <w:rsid w:val="00A92694"/>
    <w:rsid w:val="00A9269E"/>
    <w:rsid w:val="00A926A7"/>
    <w:rsid w:val="00A926FE"/>
    <w:rsid w:val="00A92705"/>
    <w:rsid w:val="00A92726"/>
    <w:rsid w:val="00A9272B"/>
    <w:rsid w:val="00A9276C"/>
    <w:rsid w:val="00A927A0"/>
    <w:rsid w:val="00A927D4"/>
    <w:rsid w:val="00A92842"/>
    <w:rsid w:val="00A9288C"/>
    <w:rsid w:val="00A9289F"/>
    <w:rsid w:val="00A928BD"/>
    <w:rsid w:val="00A928D5"/>
    <w:rsid w:val="00A928DB"/>
    <w:rsid w:val="00A92902"/>
    <w:rsid w:val="00A92917"/>
    <w:rsid w:val="00A9291A"/>
    <w:rsid w:val="00A9292D"/>
    <w:rsid w:val="00A9293B"/>
    <w:rsid w:val="00A9295D"/>
    <w:rsid w:val="00A92960"/>
    <w:rsid w:val="00A92963"/>
    <w:rsid w:val="00A92994"/>
    <w:rsid w:val="00A92998"/>
    <w:rsid w:val="00A929E3"/>
    <w:rsid w:val="00A92A04"/>
    <w:rsid w:val="00A92A15"/>
    <w:rsid w:val="00A92A2A"/>
    <w:rsid w:val="00A92A95"/>
    <w:rsid w:val="00A92A99"/>
    <w:rsid w:val="00A92AB4"/>
    <w:rsid w:val="00A92AD8"/>
    <w:rsid w:val="00A92ADE"/>
    <w:rsid w:val="00A92AEE"/>
    <w:rsid w:val="00A92B05"/>
    <w:rsid w:val="00A92B24"/>
    <w:rsid w:val="00A92B53"/>
    <w:rsid w:val="00A92B6E"/>
    <w:rsid w:val="00A92B80"/>
    <w:rsid w:val="00A92B87"/>
    <w:rsid w:val="00A92BA8"/>
    <w:rsid w:val="00A92C0B"/>
    <w:rsid w:val="00A92C0E"/>
    <w:rsid w:val="00A92C29"/>
    <w:rsid w:val="00A92C8C"/>
    <w:rsid w:val="00A92C92"/>
    <w:rsid w:val="00A92CB7"/>
    <w:rsid w:val="00A92CE7"/>
    <w:rsid w:val="00A92CF8"/>
    <w:rsid w:val="00A92D48"/>
    <w:rsid w:val="00A92D74"/>
    <w:rsid w:val="00A92DA2"/>
    <w:rsid w:val="00A92DB4"/>
    <w:rsid w:val="00A92DDD"/>
    <w:rsid w:val="00A92DE2"/>
    <w:rsid w:val="00A92DF1"/>
    <w:rsid w:val="00A92E9F"/>
    <w:rsid w:val="00A92EAC"/>
    <w:rsid w:val="00A92EBC"/>
    <w:rsid w:val="00A92EDC"/>
    <w:rsid w:val="00A92EEB"/>
    <w:rsid w:val="00A92F71"/>
    <w:rsid w:val="00A92F82"/>
    <w:rsid w:val="00A92FA9"/>
    <w:rsid w:val="00A92FE2"/>
    <w:rsid w:val="00A9308C"/>
    <w:rsid w:val="00A930A5"/>
    <w:rsid w:val="00A93133"/>
    <w:rsid w:val="00A9317A"/>
    <w:rsid w:val="00A9318B"/>
    <w:rsid w:val="00A931C2"/>
    <w:rsid w:val="00A9320A"/>
    <w:rsid w:val="00A93248"/>
    <w:rsid w:val="00A93250"/>
    <w:rsid w:val="00A932A9"/>
    <w:rsid w:val="00A932B4"/>
    <w:rsid w:val="00A932D6"/>
    <w:rsid w:val="00A932F4"/>
    <w:rsid w:val="00A932F9"/>
    <w:rsid w:val="00A9331F"/>
    <w:rsid w:val="00A9336D"/>
    <w:rsid w:val="00A93371"/>
    <w:rsid w:val="00A93374"/>
    <w:rsid w:val="00A93391"/>
    <w:rsid w:val="00A933AB"/>
    <w:rsid w:val="00A933C3"/>
    <w:rsid w:val="00A933C8"/>
    <w:rsid w:val="00A93463"/>
    <w:rsid w:val="00A934BF"/>
    <w:rsid w:val="00A934FD"/>
    <w:rsid w:val="00A93500"/>
    <w:rsid w:val="00A93508"/>
    <w:rsid w:val="00A9350A"/>
    <w:rsid w:val="00A93533"/>
    <w:rsid w:val="00A93543"/>
    <w:rsid w:val="00A93549"/>
    <w:rsid w:val="00A935B5"/>
    <w:rsid w:val="00A935EE"/>
    <w:rsid w:val="00A93606"/>
    <w:rsid w:val="00A9362F"/>
    <w:rsid w:val="00A9366E"/>
    <w:rsid w:val="00A93674"/>
    <w:rsid w:val="00A936B8"/>
    <w:rsid w:val="00A936CB"/>
    <w:rsid w:val="00A936D7"/>
    <w:rsid w:val="00A936DA"/>
    <w:rsid w:val="00A936EB"/>
    <w:rsid w:val="00A93723"/>
    <w:rsid w:val="00A9377D"/>
    <w:rsid w:val="00A93796"/>
    <w:rsid w:val="00A937D3"/>
    <w:rsid w:val="00A9380F"/>
    <w:rsid w:val="00A9384E"/>
    <w:rsid w:val="00A93860"/>
    <w:rsid w:val="00A9388A"/>
    <w:rsid w:val="00A938A8"/>
    <w:rsid w:val="00A938BB"/>
    <w:rsid w:val="00A93905"/>
    <w:rsid w:val="00A93A09"/>
    <w:rsid w:val="00A93A42"/>
    <w:rsid w:val="00A93A63"/>
    <w:rsid w:val="00A93A90"/>
    <w:rsid w:val="00A93A9B"/>
    <w:rsid w:val="00A93ACA"/>
    <w:rsid w:val="00A93AF9"/>
    <w:rsid w:val="00A93B46"/>
    <w:rsid w:val="00A93B52"/>
    <w:rsid w:val="00A93B63"/>
    <w:rsid w:val="00A93B97"/>
    <w:rsid w:val="00A93B98"/>
    <w:rsid w:val="00A93BA3"/>
    <w:rsid w:val="00A93BEA"/>
    <w:rsid w:val="00A93BFC"/>
    <w:rsid w:val="00A93C08"/>
    <w:rsid w:val="00A93C1B"/>
    <w:rsid w:val="00A93C57"/>
    <w:rsid w:val="00A93CA2"/>
    <w:rsid w:val="00A93CB2"/>
    <w:rsid w:val="00A93CD1"/>
    <w:rsid w:val="00A93D40"/>
    <w:rsid w:val="00A93D66"/>
    <w:rsid w:val="00A93DAB"/>
    <w:rsid w:val="00A93DB3"/>
    <w:rsid w:val="00A93DC9"/>
    <w:rsid w:val="00A93E07"/>
    <w:rsid w:val="00A93E29"/>
    <w:rsid w:val="00A93E33"/>
    <w:rsid w:val="00A93E94"/>
    <w:rsid w:val="00A93ECB"/>
    <w:rsid w:val="00A93ED7"/>
    <w:rsid w:val="00A93F76"/>
    <w:rsid w:val="00A93FDF"/>
    <w:rsid w:val="00A93FF4"/>
    <w:rsid w:val="00A94055"/>
    <w:rsid w:val="00A940C3"/>
    <w:rsid w:val="00A940E2"/>
    <w:rsid w:val="00A940F1"/>
    <w:rsid w:val="00A94138"/>
    <w:rsid w:val="00A94174"/>
    <w:rsid w:val="00A941A0"/>
    <w:rsid w:val="00A941BE"/>
    <w:rsid w:val="00A9421E"/>
    <w:rsid w:val="00A94234"/>
    <w:rsid w:val="00A9423C"/>
    <w:rsid w:val="00A9427C"/>
    <w:rsid w:val="00A94285"/>
    <w:rsid w:val="00A94299"/>
    <w:rsid w:val="00A943BC"/>
    <w:rsid w:val="00A943BF"/>
    <w:rsid w:val="00A943DA"/>
    <w:rsid w:val="00A9444E"/>
    <w:rsid w:val="00A94463"/>
    <w:rsid w:val="00A94519"/>
    <w:rsid w:val="00A94529"/>
    <w:rsid w:val="00A94572"/>
    <w:rsid w:val="00A945A4"/>
    <w:rsid w:val="00A945C0"/>
    <w:rsid w:val="00A945C3"/>
    <w:rsid w:val="00A9461B"/>
    <w:rsid w:val="00A9461E"/>
    <w:rsid w:val="00A94649"/>
    <w:rsid w:val="00A94670"/>
    <w:rsid w:val="00A946B8"/>
    <w:rsid w:val="00A946FC"/>
    <w:rsid w:val="00A947A8"/>
    <w:rsid w:val="00A947C2"/>
    <w:rsid w:val="00A947F5"/>
    <w:rsid w:val="00A94836"/>
    <w:rsid w:val="00A9487A"/>
    <w:rsid w:val="00A948A9"/>
    <w:rsid w:val="00A948AF"/>
    <w:rsid w:val="00A948BB"/>
    <w:rsid w:val="00A948FC"/>
    <w:rsid w:val="00A94916"/>
    <w:rsid w:val="00A9492F"/>
    <w:rsid w:val="00A94933"/>
    <w:rsid w:val="00A94951"/>
    <w:rsid w:val="00A94953"/>
    <w:rsid w:val="00A94955"/>
    <w:rsid w:val="00A949D1"/>
    <w:rsid w:val="00A949FC"/>
    <w:rsid w:val="00A94A19"/>
    <w:rsid w:val="00A94A30"/>
    <w:rsid w:val="00A94A3B"/>
    <w:rsid w:val="00A94A7D"/>
    <w:rsid w:val="00A94A7F"/>
    <w:rsid w:val="00A94A9A"/>
    <w:rsid w:val="00A94AD0"/>
    <w:rsid w:val="00A94AD3"/>
    <w:rsid w:val="00A94AD6"/>
    <w:rsid w:val="00A94B54"/>
    <w:rsid w:val="00A94B6C"/>
    <w:rsid w:val="00A94B7F"/>
    <w:rsid w:val="00A94BA7"/>
    <w:rsid w:val="00A94C2E"/>
    <w:rsid w:val="00A94C90"/>
    <w:rsid w:val="00A94D03"/>
    <w:rsid w:val="00A94D08"/>
    <w:rsid w:val="00A94D54"/>
    <w:rsid w:val="00A94D85"/>
    <w:rsid w:val="00A94D8F"/>
    <w:rsid w:val="00A94DD1"/>
    <w:rsid w:val="00A94DE4"/>
    <w:rsid w:val="00A94E00"/>
    <w:rsid w:val="00A94E2B"/>
    <w:rsid w:val="00A94E3B"/>
    <w:rsid w:val="00A94E5A"/>
    <w:rsid w:val="00A94E79"/>
    <w:rsid w:val="00A94E82"/>
    <w:rsid w:val="00A94E90"/>
    <w:rsid w:val="00A94EB7"/>
    <w:rsid w:val="00A94ED7"/>
    <w:rsid w:val="00A94F4C"/>
    <w:rsid w:val="00A94F68"/>
    <w:rsid w:val="00A95003"/>
    <w:rsid w:val="00A95064"/>
    <w:rsid w:val="00A9508D"/>
    <w:rsid w:val="00A9509C"/>
    <w:rsid w:val="00A95100"/>
    <w:rsid w:val="00A9513E"/>
    <w:rsid w:val="00A95160"/>
    <w:rsid w:val="00A951B9"/>
    <w:rsid w:val="00A9523C"/>
    <w:rsid w:val="00A95240"/>
    <w:rsid w:val="00A95262"/>
    <w:rsid w:val="00A952D9"/>
    <w:rsid w:val="00A9531B"/>
    <w:rsid w:val="00A953DE"/>
    <w:rsid w:val="00A953E3"/>
    <w:rsid w:val="00A95404"/>
    <w:rsid w:val="00A9540A"/>
    <w:rsid w:val="00A95415"/>
    <w:rsid w:val="00A9543C"/>
    <w:rsid w:val="00A9545E"/>
    <w:rsid w:val="00A95467"/>
    <w:rsid w:val="00A954B6"/>
    <w:rsid w:val="00A954D7"/>
    <w:rsid w:val="00A95503"/>
    <w:rsid w:val="00A9558B"/>
    <w:rsid w:val="00A95598"/>
    <w:rsid w:val="00A955A8"/>
    <w:rsid w:val="00A955B7"/>
    <w:rsid w:val="00A955BE"/>
    <w:rsid w:val="00A955E7"/>
    <w:rsid w:val="00A95620"/>
    <w:rsid w:val="00A95633"/>
    <w:rsid w:val="00A95646"/>
    <w:rsid w:val="00A95662"/>
    <w:rsid w:val="00A9567C"/>
    <w:rsid w:val="00A95681"/>
    <w:rsid w:val="00A95687"/>
    <w:rsid w:val="00A956BC"/>
    <w:rsid w:val="00A956E4"/>
    <w:rsid w:val="00A95731"/>
    <w:rsid w:val="00A95739"/>
    <w:rsid w:val="00A95755"/>
    <w:rsid w:val="00A95776"/>
    <w:rsid w:val="00A957D5"/>
    <w:rsid w:val="00A957E7"/>
    <w:rsid w:val="00A957FC"/>
    <w:rsid w:val="00A9583D"/>
    <w:rsid w:val="00A95846"/>
    <w:rsid w:val="00A9584C"/>
    <w:rsid w:val="00A958A6"/>
    <w:rsid w:val="00A958D0"/>
    <w:rsid w:val="00A958E3"/>
    <w:rsid w:val="00A958E7"/>
    <w:rsid w:val="00A95928"/>
    <w:rsid w:val="00A959AD"/>
    <w:rsid w:val="00A959BA"/>
    <w:rsid w:val="00A95A12"/>
    <w:rsid w:val="00A95A4C"/>
    <w:rsid w:val="00A95A5A"/>
    <w:rsid w:val="00A95A73"/>
    <w:rsid w:val="00A95A86"/>
    <w:rsid w:val="00A95A8A"/>
    <w:rsid w:val="00A95A95"/>
    <w:rsid w:val="00A95B37"/>
    <w:rsid w:val="00A95B55"/>
    <w:rsid w:val="00A95B9E"/>
    <w:rsid w:val="00A95BD5"/>
    <w:rsid w:val="00A95C10"/>
    <w:rsid w:val="00A95C8B"/>
    <w:rsid w:val="00A95D32"/>
    <w:rsid w:val="00A95D45"/>
    <w:rsid w:val="00A95D51"/>
    <w:rsid w:val="00A95D8E"/>
    <w:rsid w:val="00A95DBA"/>
    <w:rsid w:val="00A95DC2"/>
    <w:rsid w:val="00A95DFB"/>
    <w:rsid w:val="00A95E18"/>
    <w:rsid w:val="00A95E69"/>
    <w:rsid w:val="00A95E77"/>
    <w:rsid w:val="00A95E83"/>
    <w:rsid w:val="00A95EF2"/>
    <w:rsid w:val="00A95FA4"/>
    <w:rsid w:val="00A95FC5"/>
    <w:rsid w:val="00A95FDB"/>
    <w:rsid w:val="00A95FF2"/>
    <w:rsid w:val="00A9608B"/>
    <w:rsid w:val="00A96094"/>
    <w:rsid w:val="00A96100"/>
    <w:rsid w:val="00A96177"/>
    <w:rsid w:val="00A9617B"/>
    <w:rsid w:val="00A961E0"/>
    <w:rsid w:val="00A961F9"/>
    <w:rsid w:val="00A96200"/>
    <w:rsid w:val="00A9622E"/>
    <w:rsid w:val="00A9622F"/>
    <w:rsid w:val="00A9623C"/>
    <w:rsid w:val="00A96285"/>
    <w:rsid w:val="00A9629E"/>
    <w:rsid w:val="00A962B7"/>
    <w:rsid w:val="00A962BF"/>
    <w:rsid w:val="00A962C0"/>
    <w:rsid w:val="00A962F0"/>
    <w:rsid w:val="00A9630C"/>
    <w:rsid w:val="00A96335"/>
    <w:rsid w:val="00A9633C"/>
    <w:rsid w:val="00A9637E"/>
    <w:rsid w:val="00A96382"/>
    <w:rsid w:val="00A96388"/>
    <w:rsid w:val="00A963CD"/>
    <w:rsid w:val="00A9647E"/>
    <w:rsid w:val="00A9649B"/>
    <w:rsid w:val="00A964AE"/>
    <w:rsid w:val="00A9650C"/>
    <w:rsid w:val="00A9651D"/>
    <w:rsid w:val="00A9651F"/>
    <w:rsid w:val="00A96529"/>
    <w:rsid w:val="00A96548"/>
    <w:rsid w:val="00A96597"/>
    <w:rsid w:val="00A9659A"/>
    <w:rsid w:val="00A965B7"/>
    <w:rsid w:val="00A965C4"/>
    <w:rsid w:val="00A965F5"/>
    <w:rsid w:val="00A965FF"/>
    <w:rsid w:val="00A9663A"/>
    <w:rsid w:val="00A96652"/>
    <w:rsid w:val="00A96694"/>
    <w:rsid w:val="00A966DD"/>
    <w:rsid w:val="00A96700"/>
    <w:rsid w:val="00A96701"/>
    <w:rsid w:val="00A96739"/>
    <w:rsid w:val="00A9673B"/>
    <w:rsid w:val="00A9675D"/>
    <w:rsid w:val="00A96775"/>
    <w:rsid w:val="00A967E5"/>
    <w:rsid w:val="00A96805"/>
    <w:rsid w:val="00A96814"/>
    <w:rsid w:val="00A96849"/>
    <w:rsid w:val="00A968E5"/>
    <w:rsid w:val="00A968E8"/>
    <w:rsid w:val="00A9692D"/>
    <w:rsid w:val="00A9693C"/>
    <w:rsid w:val="00A969DA"/>
    <w:rsid w:val="00A96A1B"/>
    <w:rsid w:val="00A96A35"/>
    <w:rsid w:val="00A96A59"/>
    <w:rsid w:val="00A96A66"/>
    <w:rsid w:val="00A96A6E"/>
    <w:rsid w:val="00A96ADB"/>
    <w:rsid w:val="00A96B08"/>
    <w:rsid w:val="00A96B3B"/>
    <w:rsid w:val="00A96B59"/>
    <w:rsid w:val="00A96BAC"/>
    <w:rsid w:val="00A96C22"/>
    <w:rsid w:val="00A96C5B"/>
    <w:rsid w:val="00A96C6C"/>
    <w:rsid w:val="00A96CA6"/>
    <w:rsid w:val="00A96CF3"/>
    <w:rsid w:val="00A96D44"/>
    <w:rsid w:val="00A96DBE"/>
    <w:rsid w:val="00A96DFF"/>
    <w:rsid w:val="00A96E4B"/>
    <w:rsid w:val="00A96E8B"/>
    <w:rsid w:val="00A96EB1"/>
    <w:rsid w:val="00A96F0C"/>
    <w:rsid w:val="00A96F42"/>
    <w:rsid w:val="00A96F46"/>
    <w:rsid w:val="00A96F5F"/>
    <w:rsid w:val="00A96FAD"/>
    <w:rsid w:val="00A96FD1"/>
    <w:rsid w:val="00A96FE5"/>
    <w:rsid w:val="00A96FEE"/>
    <w:rsid w:val="00A9708B"/>
    <w:rsid w:val="00A970AF"/>
    <w:rsid w:val="00A970B4"/>
    <w:rsid w:val="00A970D2"/>
    <w:rsid w:val="00A9717E"/>
    <w:rsid w:val="00A97188"/>
    <w:rsid w:val="00A971B2"/>
    <w:rsid w:val="00A971FC"/>
    <w:rsid w:val="00A971FD"/>
    <w:rsid w:val="00A971FE"/>
    <w:rsid w:val="00A9728D"/>
    <w:rsid w:val="00A972A0"/>
    <w:rsid w:val="00A972E8"/>
    <w:rsid w:val="00A972EC"/>
    <w:rsid w:val="00A97375"/>
    <w:rsid w:val="00A97377"/>
    <w:rsid w:val="00A9739B"/>
    <w:rsid w:val="00A9739D"/>
    <w:rsid w:val="00A9739E"/>
    <w:rsid w:val="00A973BB"/>
    <w:rsid w:val="00A973F9"/>
    <w:rsid w:val="00A97484"/>
    <w:rsid w:val="00A97485"/>
    <w:rsid w:val="00A97494"/>
    <w:rsid w:val="00A9749F"/>
    <w:rsid w:val="00A974EC"/>
    <w:rsid w:val="00A97516"/>
    <w:rsid w:val="00A97566"/>
    <w:rsid w:val="00A97570"/>
    <w:rsid w:val="00A9767F"/>
    <w:rsid w:val="00A97691"/>
    <w:rsid w:val="00A976B8"/>
    <w:rsid w:val="00A97725"/>
    <w:rsid w:val="00A977AE"/>
    <w:rsid w:val="00A977BA"/>
    <w:rsid w:val="00A977C4"/>
    <w:rsid w:val="00A977C9"/>
    <w:rsid w:val="00A977EB"/>
    <w:rsid w:val="00A977F0"/>
    <w:rsid w:val="00A97827"/>
    <w:rsid w:val="00A9788D"/>
    <w:rsid w:val="00A97896"/>
    <w:rsid w:val="00A978AB"/>
    <w:rsid w:val="00A978F2"/>
    <w:rsid w:val="00A97938"/>
    <w:rsid w:val="00A9795B"/>
    <w:rsid w:val="00A9795C"/>
    <w:rsid w:val="00A9795E"/>
    <w:rsid w:val="00A9798A"/>
    <w:rsid w:val="00A97991"/>
    <w:rsid w:val="00A979BE"/>
    <w:rsid w:val="00A979F3"/>
    <w:rsid w:val="00A97A01"/>
    <w:rsid w:val="00A97A52"/>
    <w:rsid w:val="00A97A70"/>
    <w:rsid w:val="00A97A8C"/>
    <w:rsid w:val="00A97A8F"/>
    <w:rsid w:val="00A97AA8"/>
    <w:rsid w:val="00A97ABD"/>
    <w:rsid w:val="00A97ACA"/>
    <w:rsid w:val="00A97ACE"/>
    <w:rsid w:val="00A97ADC"/>
    <w:rsid w:val="00A97AF5"/>
    <w:rsid w:val="00A97B0A"/>
    <w:rsid w:val="00A97B43"/>
    <w:rsid w:val="00A97BA9"/>
    <w:rsid w:val="00A97BC1"/>
    <w:rsid w:val="00A97BDE"/>
    <w:rsid w:val="00A97BE9"/>
    <w:rsid w:val="00A97C42"/>
    <w:rsid w:val="00A97C5E"/>
    <w:rsid w:val="00A97D55"/>
    <w:rsid w:val="00A97D8B"/>
    <w:rsid w:val="00A97DC8"/>
    <w:rsid w:val="00A97DCC"/>
    <w:rsid w:val="00A97DD7"/>
    <w:rsid w:val="00A97E21"/>
    <w:rsid w:val="00A97E49"/>
    <w:rsid w:val="00A97E53"/>
    <w:rsid w:val="00A97E94"/>
    <w:rsid w:val="00A97ECF"/>
    <w:rsid w:val="00A97EEB"/>
    <w:rsid w:val="00A97F21"/>
    <w:rsid w:val="00A97F27"/>
    <w:rsid w:val="00A97F2E"/>
    <w:rsid w:val="00A97F4D"/>
    <w:rsid w:val="00A97F4E"/>
    <w:rsid w:val="00A97F6E"/>
    <w:rsid w:val="00A97F7A"/>
    <w:rsid w:val="00A97FA1"/>
    <w:rsid w:val="00A97FE5"/>
    <w:rsid w:val="00AA000D"/>
    <w:rsid w:val="00AA003F"/>
    <w:rsid w:val="00AA0096"/>
    <w:rsid w:val="00AA00BE"/>
    <w:rsid w:val="00AA0132"/>
    <w:rsid w:val="00AA0144"/>
    <w:rsid w:val="00AA014B"/>
    <w:rsid w:val="00AA015F"/>
    <w:rsid w:val="00AA0171"/>
    <w:rsid w:val="00AA0188"/>
    <w:rsid w:val="00AA01EE"/>
    <w:rsid w:val="00AA0203"/>
    <w:rsid w:val="00AA0219"/>
    <w:rsid w:val="00AA024A"/>
    <w:rsid w:val="00AA02B6"/>
    <w:rsid w:val="00AA02CC"/>
    <w:rsid w:val="00AA02FE"/>
    <w:rsid w:val="00AA0319"/>
    <w:rsid w:val="00AA0321"/>
    <w:rsid w:val="00AA0367"/>
    <w:rsid w:val="00AA0396"/>
    <w:rsid w:val="00AA0403"/>
    <w:rsid w:val="00AA0418"/>
    <w:rsid w:val="00AA043A"/>
    <w:rsid w:val="00AA0463"/>
    <w:rsid w:val="00AA0473"/>
    <w:rsid w:val="00AA0481"/>
    <w:rsid w:val="00AA04FD"/>
    <w:rsid w:val="00AA0515"/>
    <w:rsid w:val="00AA0547"/>
    <w:rsid w:val="00AA0569"/>
    <w:rsid w:val="00AA056C"/>
    <w:rsid w:val="00AA057F"/>
    <w:rsid w:val="00AA059B"/>
    <w:rsid w:val="00AA059D"/>
    <w:rsid w:val="00AA05B2"/>
    <w:rsid w:val="00AA05E5"/>
    <w:rsid w:val="00AA0600"/>
    <w:rsid w:val="00AA0611"/>
    <w:rsid w:val="00AA0653"/>
    <w:rsid w:val="00AA0692"/>
    <w:rsid w:val="00AA06A8"/>
    <w:rsid w:val="00AA06A9"/>
    <w:rsid w:val="00AA077D"/>
    <w:rsid w:val="00AA0780"/>
    <w:rsid w:val="00AA0793"/>
    <w:rsid w:val="00AA0829"/>
    <w:rsid w:val="00AA0890"/>
    <w:rsid w:val="00AA0897"/>
    <w:rsid w:val="00AA08AF"/>
    <w:rsid w:val="00AA08B4"/>
    <w:rsid w:val="00AA08DA"/>
    <w:rsid w:val="00AA08FC"/>
    <w:rsid w:val="00AA0922"/>
    <w:rsid w:val="00AA094B"/>
    <w:rsid w:val="00AA09CD"/>
    <w:rsid w:val="00AA0A0A"/>
    <w:rsid w:val="00AA0A12"/>
    <w:rsid w:val="00AA0A4F"/>
    <w:rsid w:val="00AA0A70"/>
    <w:rsid w:val="00AA0B16"/>
    <w:rsid w:val="00AA0B81"/>
    <w:rsid w:val="00AA0BA0"/>
    <w:rsid w:val="00AA0BB5"/>
    <w:rsid w:val="00AA0BEE"/>
    <w:rsid w:val="00AA0C2B"/>
    <w:rsid w:val="00AA0C57"/>
    <w:rsid w:val="00AA0C65"/>
    <w:rsid w:val="00AA0C77"/>
    <w:rsid w:val="00AA0C99"/>
    <w:rsid w:val="00AA0CC6"/>
    <w:rsid w:val="00AA0D01"/>
    <w:rsid w:val="00AA0D26"/>
    <w:rsid w:val="00AA0D27"/>
    <w:rsid w:val="00AA0D5C"/>
    <w:rsid w:val="00AA0D64"/>
    <w:rsid w:val="00AA0D77"/>
    <w:rsid w:val="00AA0DC3"/>
    <w:rsid w:val="00AA0DD2"/>
    <w:rsid w:val="00AA0DDE"/>
    <w:rsid w:val="00AA0DE8"/>
    <w:rsid w:val="00AA0E24"/>
    <w:rsid w:val="00AA0E25"/>
    <w:rsid w:val="00AA0E5A"/>
    <w:rsid w:val="00AA0E91"/>
    <w:rsid w:val="00AA0E9E"/>
    <w:rsid w:val="00AA0F31"/>
    <w:rsid w:val="00AA1073"/>
    <w:rsid w:val="00AA10C1"/>
    <w:rsid w:val="00AA10E0"/>
    <w:rsid w:val="00AA10EB"/>
    <w:rsid w:val="00AA10FB"/>
    <w:rsid w:val="00AA1207"/>
    <w:rsid w:val="00AA120E"/>
    <w:rsid w:val="00AA1224"/>
    <w:rsid w:val="00AA123B"/>
    <w:rsid w:val="00AA12A7"/>
    <w:rsid w:val="00AA1316"/>
    <w:rsid w:val="00AA1335"/>
    <w:rsid w:val="00AA13C3"/>
    <w:rsid w:val="00AA13C6"/>
    <w:rsid w:val="00AA13E9"/>
    <w:rsid w:val="00AA144C"/>
    <w:rsid w:val="00AA146E"/>
    <w:rsid w:val="00AA14A3"/>
    <w:rsid w:val="00AA14AF"/>
    <w:rsid w:val="00AA14C0"/>
    <w:rsid w:val="00AA14EC"/>
    <w:rsid w:val="00AA150D"/>
    <w:rsid w:val="00AA158D"/>
    <w:rsid w:val="00AA1604"/>
    <w:rsid w:val="00AA166F"/>
    <w:rsid w:val="00AA16D3"/>
    <w:rsid w:val="00AA1701"/>
    <w:rsid w:val="00AA17A3"/>
    <w:rsid w:val="00AA17B5"/>
    <w:rsid w:val="00AA17BD"/>
    <w:rsid w:val="00AA17C2"/>
    <w:rsid w:val="00AA17FF"/>
    <w:rsid w:val="00AA1837"/>
    <w:rsid w:val="00AA184B"/>
    <w:rsid w:val="00AA184D"/>
    <w:rsid w:val="00AA1863"/>
    <w:rsid w:val="00AA18A7"/>
    <w:rsid w:val="00AA1910"/>
    <w:rsid w:val="00AA1975"/>
    <w:rsid w:val="00AA19A9"/>
    <w:rsid w:val="00AA19D4"/>
    <w:rsid w:val="00AA19DF"/>
    <w:rsid w:val="00AA1A00"/>
    <w:rsid w:val="00AA1A0C"/>
    <w:rsid w:val="00AA1A4F"/>
    <w:rsid w:val="00AA1A57"/>
    <w:rsid w:val="00AA1A90"/>
    <w:rsid w:val="00AA1AB2"/>
    <w:rsid w:val="00AA1AD9"/>
    <w:rsid w:val="00AA1B22"/>
    <w:rsid w:val="00AA1B30"/>
    <w:rsid w:val="00AA1B45"/>
    <w:rsid w:val="00AA1B47"/>
    <w:rsid w:val="00AA1B59"/>
    <w:rsid w:val="00AA1B86"/>
    <w:rsid w:val="00AA1BAC"/>
    <w:rsid w:val="00AA1BF7"/>
    <w:rsid w:val="00AA1C43"/>
    <w:rsid w:val="00AA1C5D"/>
    <w:rsid w:val="00AA1C5F"/>
    <w:rsid w:val="00AA1C77"/>
    <w:rsid w:val="00AA1C98"/>
    <w:rsid w:val="00AA1CB2"/>
    <w:rsid w:val="00AA1CCB"/>
    <w:rsid w:val="00AA1CDC"/>
    <w:rsid w:val="00AA1D65"/>
    <w:rsid w:val="00AA1DAC"/>
    <w:rsid w:val="00AA1DB4"/>
    <w:rsid w:val="00AA1DCA"/>
    <w:rsid w:val="00AA1DCF"/>
    <w:rsid w:val="00AA1E0B"/>
    <w:rsid w:val="00AA1E70"/>
    <w:rsid w:val="00AA1E91"/>
    <w:rsid w:val="00AA1ECB"/>
    <w:rsid w:val="00AA1FAF"/>
    <w:rsid w:val="00AA1FB9"/>
    <w:rsid w:val="00AA2022"/>
    <w:rsid w:val="00AA203C"/>
    <w:rsid w:val="00AA207B"/>
    <w:rsid w:val="00AA20D7"/>
    <w:rsid w:val="00AA2116"/>
    <w:rsid w:val="00AA2118"/>
    <w:rsid w:val="00AA2135"/>
    <w:rsid w:val="00AA2137"/>
    <w:rsid w:val="00AA214F"/>
    <w:rsid w:val="00AA2154"/>
    <w:rsid w:val="00AA215E"/>
    <w:rsid w:val="00AA21AC"/>
    <w:rsid w:val="00AA21FC"/>
    <w:rsid w:val="00AA2203"/>
    <w:rsid w:val="00AA2206"/>
    <w:rsid w:val="00AA2247"/>
    <w:rsid w:val="00AA2256"/>
    <w:rsid w:val="00AA2284"/>
    <w:rsid w:val="00AA2297"/>
    <w:rsid w:val="00AA22A8"/>
    <w:rsid w:val="00AA2316"/>
    <w:rsid w:val="00AA2317"/>
    <w:rsid w:val="00AA235F"/>
    <w:rsid w:val="00AA2415"/>
    <w:rsid w:val="00AA2451"/>
    <w:rsid w:val="00AA2452"/>
    <w:rsid w:val="00AA248A"/>
    <w:rsid w:val="00AA24B5"/>
    <w:rsid w:val="00AA24E3"/>
    <w:rsid w:val="00AA25C9"/>
    <w:rsid w:val="00AA25DE"/>
    <w:rsid w:val="00AA2623"/>
    <w:rsid w:val="00AA2635"/>
    <w:rsid w:val="00AA2652"/>
    <w:rsid w:val="00AA266C"/>
    <w:rsid w:val="00AA26D4"/>
    <w:rsid w:val="00AA26DA"/>
    <w:rsid w:val="00AA26DB"/>
    <w:rsid w:val="00AA26DF"/>
    <w:rsid w:val="00AA2714"/>
    <w:rsid w:val="00AA273C"/>
    <w:rsid w:val="00AA274D"/>
    <w:rsid w:val="00AA2780"/>
    <w:rsid w:val="00AA279E"/>
    <w:rsid w:val="00AA27A5"/>
    <w:rsid w:val="00AA27CC"/>
    <w:rsid w:val="00AA27D9"/>
    <w:rsid w:val="00AA27DB"/>
    <w:rsid w:val="00AA27DC"/>
    <w:rsid w:val="00AA2834"/>
    <w:rsid w:val="00AA2871"/>
    <w:rsid w:val="00AA287B"/>
    <w:rsid w:val="00AA2894"/>
    <w:rsid w:val="00AA28D5"/>
    <w:rsid w:val="00AA28DB"/>
    <w:rsid w:val="00AA2939"/>
    <w:rsid w:val="00AA2960"/>
    <w:rsid w:val="00AA29BA"/>
    <w:rsid w:val="00AA29E1"/>
    <w:rsid w:val="00AA2A06"/>
    <w:rsid w:val="00AA2A1B"/>
    <w:rsid w:val="00AA2B52"/>
    <w:rsid w:val="00AA2B56"/>
    <w:rsid w:val="00AA2B84"/>
    <w:rsid w:val="00AA2BB1"/>
    <w:rsid w:val="00AA2BB3"/>
    <w:rsid w:val="00AA2BBA"/>
    <w:rsid w:val="00AA2BBD"/>
    <w:rsid w:val="00AA2C23"/>
    <w:rsid w:val="00AA2C3B"/>
    <w:rsid w:val="00AA2C92"/>
    <w:rsid w:val="00AA2CB9"/>
    <w:rsid w:val="00AA2CBB"/>
    <w:rsid w:val="00AA2CE2"/>
    <w:rsid w:val="00AA2CE8"/>
    <w:rsid w:val="00AA2CF1"/>
    <w:rsid w:val="00AA2D07"/>
    <w:rsid w:val="00AA2D15"/>
    <w:rsid w:val="00AA2D1F"/>
    <w:rsid w:val="00AA2D44"/>
    <w:rsid w:val="00AA2D5D"/>
    <w:rsid w:val="00AA2D8D"/>
    <w:rsid w:val="00AA2DAA"/>
    <w:rsid w:val="00AA2DBF"/>
    <w:rsid w:val="00AA2DE2"/>
    <w:rsid w:val="00AA2DF8"/>
    <w:rsid w:val="00AA2E46"/>
    <w:rsid w:val="00AA2E4B"/>
    <w:rsid w:val="00AA2EE2"/>
    <w:rsid w:val="00AA2EFD"/>
    <w:rsid w:val="00AA2F52"/>
    <w:rsid w:val="00AA2F6A"/>
    <w:rsid w:val="00AA2FB2"/>
    <w:rsid w:val="00AA2FB6"/>
    <w:rsid w:val="00AA3005"/>
    <w:rsid w:val="00AA3006"/>
    <w:rsid w:val="00AA302A"/>
    <w:rsid w:val="00AA308A"/>
    <w:rsid w:val="00AA30BE"/>
    <w:rsid w:val="00AA3134"/>
    <w:rsid w:val="00AA31AA"/>
    <w:rsid w:val="00AA3202"/>
    <w:rsid w:val="00AA3203"/>
    <w:rsid w:val="00AA3229"/>
    <w:rsid w:val="00AA3277"/>
    <w:rsid w:val="00AA328C"/>
    <w:rsid w:val="00AA32DB"/>
    <w:rsid w:val="00AA32E4"/>
    <w:rsid w:val="00AA33B0"/>
    <w:rsid w:val="00AA33B6"/>
    <w:rsid w:val="00AA33CE"/>
    <w:rsid w:val="00AA3408"/>
    <w:rsid w:val="00AA3444"/>
    <w:rsid w:val="00AA34C1"/>
    <w:rsid w:val="00AA34D7"/>
    <w:rsid w:val="00AA34DE"/>
    <w:rsid w:val="00AA352F"/>
    <w:rsid w:val="00AA355E"/>
    <w:rsid w:val="00AA358B"/>
    <w:rsid w:val="00AA35A7"/>
    <w:rsid w:val="00AA35BC"/>
    <w:rsid w:val="00AA35C4"/>
    <w:rsid w:val="00AA3656"/>
    <w:rsid w:val="00AA368F"/>
    <w:rsid w:val="00AA3690"/>
    <w:rsid w:val="00AA369F"/>
    <w:rsid w:val="00AA3713"/>
    <w:rsid w:val="00AA371C"/>
    <w:rsid w:val="00AA3721"/>
    <w:rsid w:val="00AA3725"/>
    <w:rsid w:val="00AA3727"/>
    <w:rsid w:val="00AA374F"/>
    <w:rsid w:val="00AA3778"/>
    <w:rsid w:val="00AA37D1"/>
    <w:rsid w:val="00AA37D4"/>
    <w:rsid w:val="00AA37E5"/>
    <w:rsid w:val="00AA381B"/>
    <w:rsid w:val="00AA3851"/>
    <w:rsid w:val="00AA388E"/>
    <w:rsid w:val="00AA38A1"/>
    <w:rsid w:val="00AA38EC"/>
    <w:rsid w:val="00AA38F0"/>
    <w:rsid w:val="00AA392C"/>
    <w:rsid w:val="00AA3936"/>
    <w:rsid w:val="00AA3938"/>
    <w:rsid w:val="00AA398F"/>
    <w:rsid w:val="00AA3999"/>
    <w:rsid w:val="00AA39FE"/>
    <w:rsid w:val="00AA3A50"/>
    <w:rsid w:val="00AA3A57"/>
    <w:rsid w:val="00AA3A61"/>
    <w:rsid w:val="00AA3A63"/>
    <w:rsid w:val="00AA3A6F"/>
    <w:rsid w:val="00AA3AA8"/>
    <w:rsid w:val="00AA3AE4"/>
    <w:rsid w:val="00AA3B2B"/>
    <w:rsid w:val="00AA3B44"/>
    <w:rsid w:val="00AA3B76"/>
    <w:rsid w:val="00AA3B7C"/>
    <w:rsid w:val="00AA3BBB"/>
    <w:rsid w:val="00AA3BC7"/>
    <w:rsid w:val="00AA3BDD"/>
    <w:rsid w:val="00AA3BE2"/>
    <w:rsid w:val="00AA3BF5"/>
    <w:rsid w:val="00AA3C08"/>
    <w:rsid w:val="00AA3C21"/>
    <w:rsid w:val="00AA3C35"/>
    <w:rsid w:val="00AA3C76"/>
    <w:rsid w:val="00AA3C7F"/>
    <w:rsid w:val="00AA3C99"/>
    <w:rsid w:val="00AA3CAF"/>
    <w:rsid w:val="00AA3CD9"/>
    <w:rsid w:val="00AA3D04"/>
    <w:rsid w:val="00AA3D1B"/>
    <w:rsid w:val="00AA3D2E"/>
    <w:rsid w:val="00AA3D3A"/>
    <w:rsid w:val="00AA3D4B"/>
    <w:rsid w:val="00AA3D50"/>
    <w:rsid w:val="00AA3D6D"/>
    <w:rsid w:val="00AA3D70"/>
    <w:rsid w:val="00AA3DA7"/>
    <w:rsid w:val="00AA3DC2"/>
    <w:rsid w:val="00AA3E09"/>
    <w:rsid w:val="00AA3E12"/>
    <w:rsid w:val="00AA3E3B"/>
    <w:rsid w:val="00AA3F1D"/>
    <w:rsid w:val="00AA3F3A"/>
    <w:rsid w:val="00AA3F55"/>
    <w:rsid w:val="00AA3F71"/>
    <w:rsid w:val="00AA3F9B"/>
    <w:rsid w:val="00AA3FB2"/>
    <w:rsid w:val="00AA3FCD"/>
    <w:rsid w:val="00AA3FD8"/>
    <w:rsid w:val="00AA402B"/>
    <w:rsid w:val="00AA4034"/>
    <w:rsid w:val="00AA405E"/>
    <w:rsid w:val="00AA4092"/>
    <w:rsid w:val="00AA40BC"/>
    <w:rsid w:val="00AA40FB"/>
    <w:rsid w:val="00AA4146"/>
    <w:rsid w:val="00AA4155"/>
    <w:rsid w:val="00AA4182"/>
    <w:rsid w:val="00AA41AD"/>
    <w:rsid w:val="00AA41F0"/>
    <w:rsid w:val="00AA4234"/>
    <w:rsid w:val="00AA4267"/>
    <w:rsid w:val="00AA4269"/>
    <w:rsid w:val="00AA427A"/>
    <w:rsid w:val="00AA42CB"/>
    <w:rsid w:val="00AA42FC"/>
    <w:rsid w:val="00AA4341"/>
    <w:rsid w:val="00AA4393"/>
    <w:rsid w:val="00AA439F"/>
    <w:rsid w:val="00AA43F2"/>
    <w:rsid w:val="00AA4437"/>
    <w:rsid w:val="00AA446E"/>
    <w:rsid w:val="00AA44AF"/>
    <w:rsid w:val="00AA44D0"/>
    <w:rsid w:val="00AA4559"/>
    <w:rsid w:val="00AA455F"/>
    <w:rsid w:val="00AA457F"/>
    <w:rsid w:val="00AA459F"/>
    <w:rsid w:val="00AA45A5"/>
    <w:rsid w:val="00AA45D4"/>
    <w:rsid w:val="00AA4608"/>
    <w:rsid w:val="00AA4620"/>
    <w:rsid w:val="00AA4639"/>
    <w:rsid w:val="00AA4642"/>
    <w:rsid w:val="00AA46B0"/>
    <w:rsid w:val="00AA46F0"/>
    <w:rsid w:val="00AA47D7"/>
    <w:rsid w:val="00AA47EC"/>
    <w:rsid w:val="00AA4812"/>
    <w:rsid w:val="00AA4822"/>
    <w:rsid w:val="00AA488F"/>
    <w:rsid w:val="00AA48A3"/>
    <w:rsid w:val="00AA48AA"/>
    <w:rsid w:val="00AA48C8"/>
    <w:rsid w:val="00AA48D4"/>
    <w:rsid w:val="00AA4928"/>
    <w:rsid w:val="00AA492B"/>
    <w:rsid w:val="00AA492D"/>
    <w:rsid w:val="00AA4938"/>
    <w:rsid w:val="00AA493A"/>
    <w:rsid w:val="00AA49DA"/>
    <w:rsid w:val="00AA49DC"/>
    <w:rsid w:val="00AA49E4"/>
    <w:rsid w:val="00AA49E8"/>
    <w:rsid w:val="00AA49EB"/>
    <w:rsid w:val="00AA4A01"/>
    <w:rsid w:val="00AA4A7A"/>
    <w:rsid w:val="00AA4AD0"/>
    <w:rsid w:val="00AA4ADD"/>
    <w:rsid w:val="00AA4B1B"/>
    <w:rsid w:val="00AA4B2F"/>
    <w:rsid w:val="00AA4B53"/>
    <w:rsid w:val="00AA4B7E"/>
    <w:rsid w:val="00AA4B83"/>
    <w:rsid w:val="00AA4B98"/>
    <w:rsid w:val="00AA4BBC"/>
    <w:rsid w:val="00AA4BC6"/>
    <w:rsid w:val="00AA4C07"/>
    <w:rsid w:val="00AA4C33"/>
    <w:rsid w:val="00AA4C85"/>
    <w:rsid w:val="00AA4CBA"/>
    <w:rsid w:val="00AA4D17"/>
    <w:rsid w:val="00AA4D24"/>
    <w:rsid w:val="00AA4D4A"/>
    <w:rsid w:val="00AA4D58"/>
    <w:rsid w:val="00AA4DAA"/>
    <w:rsid w:val="00AA4DB4"/>
    <w:rsid w:val="00AA4DD8"/>
    <w:rsid w:val="00AA4E3B"/>
    <w:rsid w:val="00AA4E6C"/>
    <w:rsid w:val="00AA4E9E"/>
    <w:rsid w:val="00AA4EB9"/>
    <w:rsid w:val="00AA4EC8"/>
    <w:rsid w:val="00AA4F05"/>
    <w:rsid w:val="00AA4F11"/>
    <w:rsid w:val="00AA4F1A"/>
    <w:rsid w:val="00AA4F54"/>
    <w:rsid w:val="00AA4F62"/>
    <w:rsid w:val="00AA500E"/>
    <w:rsid w:val="00AA501B"/>
    <w:rsid w:val="00AA5045"/>
    <w:rsid w:val="00AA5084"/>
    <w:rsid w:val="00AA5091"/>
    <w:rsid w:val="00AA50B5"/>
    <w:rsid w:val="00AA5108"/>
    <w:rsid w:val="00AA518E"/>
    <w:rsid w:val="00AA51C2"/>
    <w:rsid w:val="00AA51F2"/>
    <w:rsid w:val="00AA5210"/>
    <w:rsid w:val="00AA5218"/>
    <w:rsid w:val="00AA5247"/>
    <w:rsid w:val="00AA5266"/>
    <w:rsid w:val="00AA527C"/>
    <w:rsid w:val="00AA527E"/>
    <w:rsid w:val="00AA52AE"/>
    <w:rsid w:val="00AA52C2"/>
    <w:rsid w:val="00AA5316"/>
    <w:rsid w:val="00AA5339"/>
    <w:rsid w:val="00AA5374"/>
    <w:rsid w:val="00AA53D7"/>
    <w:rsid w:val="00AA5408"/>
    <w:rsid w:val="00AA5434"/>
    <w:rsid w:val="00AA5435"/>
    <w:rsid w:val="00AA5472"/>
    <w:rsid w:val="00AA54C6"/>
    <w:rsid w:val="00AA5533"/>
    <w:rsid w:val="00AA55A1"/>
    <w:rsid w:val="00AA55CA"/>
    <w:rsid w:val="00AA55ED"/>
    <w:rsid w:val="00AA562C"/>
    <w:rsid w:val="00AA5677"/>
    <w:rsid w:val="00AA5691"/>
    <w:rsid w:val="00AA5758"/>
    <w:rsid w:val="00AA57BB"/>
    <w:rsid w:val="00AA57C7"/>
    <w:rsid w:val="00AA5812"/>
    <w:rsid w:val="00AA5816"/>
    <w:rsid w:val="00AA587E"/>
    <w:rsid w:val="00AA5969"/>
    <w:rsid w:val="00AA5974"/>
    <w:rsid w:val="00AA597A"/>
    <w:rsid w:val="00AA5991"/>
    <w:rsid w:val="00AA59CA"/>
    <w:rsid w:val="00AA59E0"/>
    <w:rsid w:val="00AA59E4"/>
    <w:rsid w:val="00AA5A0F"/>
    <w:rsid w:val="00AA5A12"/>
    <w:rsid w:val="00AA5AA7"/>
    <w:rsid w:val="00AA5ADD"/>
    <w:rsid w:val="00AA5B1A"/>
    <w:rsid w:val="00AA5BA9"/>
    <w:rsid w:val="00AA5BE7"/>
    <w:rsid w:val="00AA5C0C"/>
    <w:rsid w:val="00AA5C16"/>
    <w:rsid w:val="00AA5C23"/>
    <w:rsid w:val="00AA5C3D"/>
    <w:rsid w:val="00AA5C52"/>
    <w:rsid w:val="00AA5CE3"/>
    <w:rsid w:val="00AA5D1D"/>
    <w:rsid w:val="00AA5D6A"/>
    <w:rsid w:val="00AA5D70"/>
    <w:rsid w:val="00AA5DAF"/>
    <w:rsid w:val="00AA5DBA"/>
    <w:rsid w:val="00AA5DCA"/>
    <w:rsid w:val="00AA5E10"/>
    <w:rsid w:val="00AA5E17"/>
    <w:rsid w:val="00AA5E62"/>
    <w:rsid w:val="00AA5E9D"/>
    <w:rsid w:val="00AA5EE7"/>
    <w:rsid w:val="00AA5F21"/>
    <w:rsid w:val="00AA5F5B"/>
    <w:rsid w:val="00AA5F6A"/>
    <w:rsid w:val="00AA601E"/>
    <w:rsid w:val="00AA6031"/>
    <w:rsid w:val="00AA6041"/>
    <w:rsid w:val="00AA6086"/>
    <w:rsid w:val="00AA60B4"/>
    <w:rsid w:val="00AA60E3"/>
    <w:rsid w:val="00AA6104"/>
    <w:rsid w:val="00AA610B"/>
    <w:rsid w:val="00AA611D"/>
    <w:rsid w:val="00AA6134"/>
    <w:rsid w:val="00AA617D"/>
    <w:rsid w:val="00AA618A"/>
    <w:rsid w:val="00AA61CE"/>
    <w:rsid w:val="00AA61EB"/>
    <w:rsid w:val="00AA61EF"/>
    <w:rsid w:val="00AA620E"/>
    <w:rsid w:val="00AA627B"/>
    <w:rsid w:val="00AA629B"/>
    <w:rsid w:val="00AA62A0"/>
    <w:rsid w:val="00AA62BD"/>
    <w:rsid w:val="00AA62CA"/>
    <w:rsid w:val="00AA6311"/>
    <w:rsid w:val="00AA6358"/>
    <w:rsid w:val="00AA63A8"/>
    <w:rsid w:val="00AA63AF"/>
    <w:rsid w:val="00AA63B6"/>
    <w:rsid w:val="00AA63C4"/>
    <w:rsid w:val="00AA63EB"/>
    <w:rsid w:val="00AA6425"/>
    <w:rsid w:val="00AA6459"/>
    <w:rsid w:val="00AA6465"/>
    <w:rsid w:val="00AA6486"/>
    <w:rsid w:val="00AA64BA"/>
    <w:rsid w:val="00AA64E0"/>
    <w:rsid w:val="00AA64FB"/>
    <w:rsid w:val="00AA6506"/>
    <w:rsid w:val="00AA652A"/>
    <w:rsid w:val="00AA6532"/>
    <w:rsid w:val="00AA6544"/>
    <w:rsid w:val="00AA65DF"/>
    <w:rsid w:val="00AA6677"/>
    <w:rsid w:val="00AA66E0"/>
    <w:rsid w:val="00AA66EF"/>
    <w:rsid w:val="00AA671B"/>
    <w:rsid w:val="00AA676E"/>
    <w:rsid w:val="00AA678A"/>
    <w:rsid w:val="00AA67CF"/>
    <w:rsid w:val="00AA67E2"/>
    <w:rsid w:val="00AA67E6"/>
    <w:rsid w:val="00AA687C"/>
    <w:rsid w:val="00AA68C7"/>
    <w:rsid w:val="00AA68CD"/>
    <w:rsid w:val="00AA68E9"/>
    <w:rsid w:val="00AA68FC"/>
    <w:rsid w:val="00AA6910"/>
    <w:rsid w:val="00AA6928"/>
    <w:rsid w:val="00AA699C"/>
    <w:rsid w:val="00AA69B0"/>
    <w:rsid w:val="00AA69D3"/>
    <w:rsid w:val="00AA69DA"/>
    <w:rsid w:val="00AA69F5"/>
    <w:rsid w:val="00AA6A1B"/>
    <w:rsid w:val="00AA6A6D"/>
    <w:rsid w:val="00AA6AA9"/>
    <w:rsid w:val="00AA6AD7"/>
    <w:rsid w:val="00AA6B46"/>
    <w:rsid w:val="00AA6B56"/>
    <w:rsid w:val="00AA6B88"/>
    <w:rsid w:val="00AA6B8C"/>
    <w:rsid w:val="00AA6C0D"/>
    <w:rsid w:val="00AA6C3D"/>
    <w:rsid w:val="00AA6C4D"/>
    <w:rsid w:val="00AA6C6F"/>
    <w:rsid w:val="00AA6C72"/>
    <w:rsid w:val="00AA6C75"/>
    <w:rsid w:val="00AA6CB7"/>
    <w:rsid w:val="00AA6CBC"/>
    <w:rsid w:val="00AA6D31"/>
    <w:rsid w:val="00AA6D49"/>
    <w:rsid w:val="00AA6D56"/>
    <w:rsid w:val="00AA6DBA"/>
    <w:rsid w:val="00AA6DBC"/>
    <w:rsid w:val="00AA6E19"/>
    <w:rsid w:val="00AA6F62"/>
    <w:rsid w:val="00AA6F6A"/>
    <w:rsid w:val="00AA6F8E"/>
    <w:rsid w:val="00AA6FB5"/>
    <w:rsid w:val="00AA6FD3"/>
    <w:rsid w:val="00AA6FE6"/>
    <w:rsid w:val="00AA704A"/>
    <w:rsid w:val="00AA7058"/>
    <w:rsid w:val="00AA7093"/>
    <w:rsid w:val="00AA7096"/>
    <w:rsid w:val="00AA70C8"/>
    <w:rsid w:val="00AA70CB"/>
    <w:rsid w:val="00AA70D8"/>
    <w:rsid w:val="00AA70D9"/>
    <w:rsid w:val="00AA70F4"/>
    <w:rsid w:val="00AA712F"/>
    <w:rsid w:val="00AA7148"/>
    <w:rsid w:val="00AA714B"/>
    <w:rsid w:val="00AA7161"/>
    <w:rsid w:val="00AA7165"/>
    <w:rsid w:val="00AA7180"/>
    <w:rsid w:val="00AA7196"/>
    <w:rsid w:val="00AA71AA"/>
    <w:rsid w:val="00AA71B7"/>
    <w:rsid w:val="00AA71B9"/>
    <w:rsid w:val="00AA71C2"/>
    <w:rsid w:val="00AA71CA"/>
    <w:rsid w:val="00AA71E1"/>
    <w:rsid w:val="00AA71E6"/>
    <w:rsid w:val="00AA720D"/>
    <w:rsid w:val="00AA7246"/>
    <w:rsid w:val="00AA72AA"/>
    <w:rsid w:val="00AA72CC"/>
    <w:rsid w:val="00AA72DF"/>
    <w:rsid w:val="00AA7329"/>
    <w:rsid w:val="00AA734C"/>
    <w:rsid w:val="00AA7391"/>
    <w:rsid w:val="00AA73AE"/>
    <w:rsid w:val="00AA73C8"/>
    <w:rsid w:val="00AA73EA"/>
    <w:rsid w:val="00AA7444"/>
    <w:rsid w:val="00AA74B0"/>
    <w:rsid w:val="00AA74B4"/>
    <w:rsid w:val="00AA74B5"/>
    <w:rsid w:val="00AA74D6"/>
    <w:rsid w:val="00AA74D7"/>
    <w:rsid w:val="00AA7508"/>
    <w:rsid w:val="00AA7511"/>
    <w:rsid w:val="00AA751B"/>
    <w:rsid w:val="00AA7558"/>
    <w:rsid w:val="00AA7566"/>
    <w:rsid w:val="00AA7580"/>
    <w:rsid w:val="00AA7589"/>
    <w:rsid w:val="00AA75B1"/>
    <w:rsid w:val="00AA75D7"/>
    <w:rsid w:val="00AA7639"/>
    <w:rsid w:val="00AA765D"/>
    <w:rsid w:val="00AA7668"/>
    <w:rsid w:val="00AA766C"/>
    <w:rsid w:val="00AA7672"/>
    <w:rsid w:val="00AA76CD"/>
    <w:rsid w:val="00AA76ED"/>
    <w:rsid w:val="00AA7718"/>
    <w:rsid w:val="00AA772B"/>
    <w:rsid w:val="00AA7788"/>
    <w:rsid w:val="00AA77A2"/>
    <w:rsid w:val="00AA77B1"/>
    <w:rsid w:val="00AA77B9"/>
    <w:rsid w:val="00AA7820"/>
    <w:rsid w:val="00AA7844"/>
    <w:rsid w:val="00AA7882"/>
    <w:rsid w:val="00AA789A"/>
    <w:rsid w:val="00AA78B4"/>
    <w:rsid w:val="00AA79CC"/>
    <w:rsid w:val="00AA79F6"/>
    <w:rsid w:val="00AA7A02"/>
    <w:rsid w:val="00AA7A11"/>
    <w:rsid w:val="00AA7A7E"/>
    <w:rsid w:val="00AA7AA1"/>
    <w:rsid w:val="00AA7AC4"/>
    <w:rsid w:val="00AA7AFD"/>
    <w:rsid w:val="00AA7B23"/>
    <w:rsid w:val="00AA7B74"/>
    <w:rsid w:val="00AA7B94"/>
    <w:rsid w:val="00AA7C79"/>
    <w:rsid w:val="00AA7C99"/>
    <w:rsid w:val="00AA7C9D"/>
    <w:rsid w:val="00AA7D28"/>
    <w:rsid w:val="00AA7D5B"/>
    <w:rsid w:val="00AA7D5C"/>
    <w:rsid w:val="00AA7D65"/>
    <w:rsid w:val="00AA7D76"/>
    <w:rsid w:val="00AA7DE4"/>
    <w:rsid w:val="00AA7E01"/>
    <w:rsid w:val="00AA7E08"/>
    <w:rsid w:val="00AA7E17"/>
    <w:rsid w:val="00AA7E2D"/>
    <w:rsid w:val="00AA7E50"/>
    <w:rsid w:val="00AA7E57"/>
    <w:rsid w:val="00AA7E64"/>
    <w:rsid w:val="00AA7E6C"/>
    <w:rsid w:val="00AA7E78"/>
    <w:rsid w:val="00AA7EC5"/>
    <w:rsid w:val="00AA7ECA"/>
    <w:rsid w:val="00AA7EFF"/>
    <w:rsid w:val="00AA7F18"/>
    <w:rsid w:val="00AA7F37"/>
    <w:rsid w:val="00AA7FA1"/>
    <w:rsid w:val="00AA7FA4"/>
    <w:rsid w:val="00AA7FC1"/>
    <w:rsid w:val="00AA7FCB"/>
    <w:rsid w:val="00AA8191"/>
    <w:rsid w:val="00AB0010"/>
    <w:rsid w:val="00AB001C"/>
    <w:rsid w:val="00AB004B"/>
    <w:rsid w:val="00AB00A7"/>
    <w:rsid w:val="00AB00B0"/>
    <w:rsid w:val="00AB00C7"/>
    <w:rsid w:val="00AB00D4"/>
    <w:rsid w:val="00AB00FC"/>
    <w:rsid w:val="00AB0157"/>
    <w:rsid w:val="00AB017E"/>
    <w:rsid w:val="00AB019A"/>
    <w:rsid w:val="00AB01BD"/>
    <w:rsid w:val="00AB01D8"/>
    <w:rsid w:val="00AB0238"/>
    <w:rsid w:val="00AB02A6"/>
    <w:rsid w:val="00AB02C0"/>
    <w:rsid w:val="00AB02E1"/>
    <w:rsid w:val="00AB0312"/>
    <w:rsid w:val="00AB0342"/>
    <w:rsid w:val="00AB037A"/>
    <w:rsid w:val="00AB038F"/>
    <w:rsid w:val="00AB03C6"/>
    <w:rsid w:val="00AB03E6"/>
    <w:rsid w:val="00AB0423"/>
    <w:rsid w:val="00AB0426"/>
    <w:rsid w:val="00AB046B"/>
    <w:rsid w:val="00AB046D"/>
    <w:rsid w:val="00AB04A2"/>
    <w:rsid w:val="00AB04BC"/>
    <w:rsid w:val="00AB04EF"/>
    <w:rsid w:val="00AB04F9"/>
    <w:rsid w:val="00AB04FF"/>
    <w:rsid w:val="00AB051F"/>
    <w:rsid w:val="00AB0533"/>
    <w:rsid w:val="00AB053B"/>
    <w:rsid w:val="00AB054C"/>
    <w:rsid w:val="00AB055D"/>
    <w:rsid w:val="00AB0596"/>
    <w:rsid w:val="00AB0598"/>
    <w:rsid w:val="00AB0599"/>
    <w:rsid w:val="00AB05A8"/>
    <w:rsid w:val="00AB05EC"/>
    <w:rsid w:val="00AB05F3"/>
    <w:rsid w:val="00AB05F8"/>
    <w:rsid w:val="00AB0623"/>
    <w:rsid w:val="00AB0629"/>
    <w:rsid w:val="00AB0642"/>
    <w:rsid w:val="00AB06FC"/>
    <w:rsid w:val="00AB0740"/>
    <w:rsid w:val="00AB075A"/>
    <w:rsid w:val="00AB075B"/>
    <w:rsid w:val="00AB077E"/>
    <w:rsid w:val="00AB079F"/>
    <w:rsid w:val="00AB07AF"/>
    <w:rsid w:val="00AB0887"/>
    <w:rsid w:val="00AB0946"/>
    <w:rsid w:val="00AB094A"/>
    <w:rsid w:val="00AB099A"/>
    <w:rsid w:val="00AB099E"/>
    <w:rsid w:val="00AB09D9"/>
    <w:rsid w:val="00AB09DE"/>
    <w:rsid w:val="00AB0A06"/>
    <w:rsid w:val="00AB0A5E"/>
    <w:rsid w:val="00AB0AAD"/>
    <w:rsid w:val="00AB0AC5"/>
    <w:rsid w:val="00AB0AE6"/>
    <w:rsid w:val="00AB0AF9"/>
    <w:rsid w:val="00AB0AFD"/>
    <w:rsid w:val="00AB0B27"/>
    <w:rsid w:val="00AB0B30"/>
    <w:rsid w:val="00AB0B7E"/>
    <w:rsid w:val="00AB0B9A"/>
    <w:rsid w:val="00AB0BA2"/>
    <w:rsid w:val="00AB0C40"/>
    <w:rsid w:val="00AB0C59"/>
    <w:rsid w:val="00AB0C77"/>
    <w:rsid w:val="00AB0C92"/>
    <w:rsid w:val="00AB0C9C"/>
    <w:rsid w:val="00AB0CAE"/>
    <w:rsid w:val="00AB0CC0"/>
    <w:rsid w:val="00AB0D02"/>
    <w:rsid w:val="00AB0D10"/>
    <w:rsid w:val="00AB0D2D"/>
    <w:rsid w:val="00AB0D60"/>
    <w:rsid w:val="00AB0D78"/>
    <w:rsid w:val="00AB0D90"/>
    <w:rsid w:val="00AB0DBA"/>
    <w:rsid w:val="00AB0DC4"/>
    <w:rsid w:val="00AB0DF0"/>
    <w:rsid w:val="00AB0E2A"/>
    <w:rsid w:val="00AB0E2E"/>
    <w:rsid w:val="00AB0E37"/>
    <w:rsid w:val="00AB0E86"/>
    <w:rsid w:val="00AB0EA0"/>
    <w:rsid w:val="00AB0F94"/>
    <w:rsid w:val="00AB0F95"/>
    <w:rsid w:val="00AB0FB2"/>
    <w:rsid w:val="00AB1003"/>
    <w:rsid w:val="00AB1039"/>
    <w:rsid w:val="00AB108B"/>
    <w:rsid w:val="00AB109B"/>
    <w:rsid w:val="00AB10AC"/>
    <w:rsid w:val="00AB111C"/>
    <w:rsid w:val="00AB1125"/>
    <w:rsid w:val="00AB116D"/>
    <w:rsid w:val="00AB1170"/>
    <w:rsid w:val="00AB1185"/>
    <w:rsid w:val="00AB11E4"/>
    <w:rsid w:val="00AB1254"/>
    <w:rsid w:val="00AB1256"/>
    <w:rsid w:val="00AB127C"/>
    <w:rsid w:val="00AB12E4"/>
    <w:rsid w:val="00AB12E8"/>
    <w:rsid w:val="00AB12FB"/>
    <w:rsid w:val="00AB1319"/>
    <w:rsid w:val="00AB131C"/>
    <w:rsid w:val="00AB131F"/>
    <w:rsid w:val="00AB1338"/>
    <w:rsid w:val="00AB1379"/>
    <w:rsid w:val="00AB13BE"/>
    <w:rsid w:val="00AB13E1"/>
    <w:rsid w:val="00AB13E7"/>
    <w:rsid w:val="00AB143C"/>
    <w:rsid w:val="00AB143F"/>
    <w:rsid w:val="00AB1548"/>
    <w:rsid w:val="00AB158E"/>
    <w:rsid w:val="00AB1594"/>
    <w:rsid w:val="00AB15AF"/>
    <w:rsid w:val="00AB15E6"/>
    <w:rsid w:val="00AB15F2"/>
    <w:rsid w:val="00AB164D"/>
    <w:rsid w:val="00AB1656"/>
    <w:rsid w:val="00AB169C"/>
    <w:rsid w:val="00AB16F4"/>
    <w:rsid w:val="00AB16F9"/>
    <w:rsid w:val="00AB172D"/>
    <w:rsid w:val="00AB1776"/>
    <w:rsid w:val="00AB17BD"/>
    <w:rsid w:val="00AB17BF"/>
    <w:rsid w:val="00AB1802"/>
    <w:rsid w:val="00AB181D"/>
    <w:rsid w:val="00AB1840"/>
    <w:rsid w:val="00AB1881"/>
    <w:rsid w:val="00AB18BF"/>
    <w:rsid w:val="00AB18D6"/>
    <w:rsid w:val="00AB1902"/>
    <w:rsid w:val="00AB1907"/>
    <w:rsid w:val="00AB191B"/>
    <w:rsid w:val="00AB1947"/>
    <w:rsid w:val="00AB196F"/>
    <w:rsid w:val="00AB19A5"/>
    <w:rsid w:val="00AB19DF"/>
    <w:rsid w:val="00AB19F9"/>
    <w:rsid w:val="00AB1A0C"/>
    <w:rsid w:val="00AB1A50"/>
    <w:rsid w:val="00AB1A9D"/>
    <w:rsid w:val="00AB1ACD"/>
    <w:rsid w:val="00AB1AE8"/>
    <w:rsid w:val="00AB1B44"/>
    <w:rsid w:val="00AB1BAF"/>
    <w:rsid w:val="00AB1BD8"/>
    <w:rsid w:val="00AB1BFF"/>
    <w:rsid w:val="00AB1C43"/>
    <w:rsid w:val="00AB1C73"/>
    <w:rsid w:val="00AB1D18"/>
    <w:rsid w:val="00AB1D63"/>
    <w:rsid w:val="00AB1D71"/>
    <w:rsid w:val="00AB1DEB"/>
    <w:rsid w:val="00AB1E1D"/>
    <w:rsid w:val="00AB1E6B"/>
    <w:rsid w:val="00AB1E84"/>
    <w:rsid w:val="00AB1EA2"/>
    <w:rsid w:val="00AB1EB4"/>
    <w:rsid w:val="00AB1ED1"/>
    <w:rsid w:val="00AB1F25"/>
    <w:rsid w:val="00AB1F38"/>
    <w:rsid w:val="00AB1F5B"/>
    <w:rsid w:val="00AB1F5E"/>
    <w:rsid w:val="00AB1F71"/>
    <w:rsid w:val="00AB1FAB"/>
    <w:rsid w:val="00AB2015"/>
    <w:rsid w:val="00AB2019"/>
    <w:rsid w:val="00AB2049"/>
    <w:rsid w:val="00AB207D"/>
    <w:rsid w:val="00AB2092"/>
    <w:rsid w:val="00AB2094"/>
    <w:rsid w:val="00AB20BA"/>
    <w:rsid w:val="00AB20C4"/>
    <w:rsid w:val="00AB20DB"/>
    <w:rsid w:val="00AB2125"/>
    <w:rsid w:val="00AB2180"/>
    <w:rsid w:val="00AB21D3"/>
    <w:rsid w:val="00AB21E5"/>
    <w:rsid w:val="00AB227A"/>
    <w:rsid w:val="00AB22AA"/>
    <w:rsid w:val="00AB22AC"/>
    <w:rsid w:val="00AB22C4"/>
    <w:rsid w:val="00AB235B"/>
    <w:rsid w:val="00AB2389"/>
    <w:rsid w:val="00AB244B"/>
    <w:rsid w:val="00AB2477"/>
    <w:rsid w:val="00AB2494"/>
    <w:rsid w:val="00AB24C4"/>
    <w:rsid w:val="00AB24DB"/>
    <w:rsid w:val="00AB2503"/>
    <w:rsid w:val="00AB253D"/>
    <w:rsid w:val="00AB256D"/>
    <w:rsid w:val="00AB2584"/>
    <w:rsid w:val="00AB25C4"/>
    <w:rsid w:val="00AB25E1"/>
    <w:rsid w:val="00AB2637"/>
    <w:rsid w:val="00AB2645"/>
    <w:rsid w:val="00AB269C"/>
    <w:rsid w:val="00AB269D"/>
    <w:rsid w:val="00AB26E3"/>
    <w:rsid w:val="00AB2730"/>
    <w:rsid w:val="00AB2754"/>
    <w:rsid w:val="00AB277B"/>
    <w:rsid w:val="00AB27A5"/>
    <w:rsid w:val="00AB27BA"/>
    <w:rsid w:val="00AB27C8"/>
    <w:rsid w:val="00AB2809"/>
    <w:rsid w:val="00AB282A"/>
    <w:rsid w:val="00AB2832"/>
    <w:rsid w:val="00AB2868"/>
    <w:rsid w:val="00AB286D"/>
    <w:rsid w:val="00AB28A3"/>
    <w:rsid w:val="00AB28A6"/>
    <w:rsid w:val="00AB2901"/>
    <w:rsid w:val="00AB294F"/>
    <w:rsid w:val="00AB2980"/>
    <w:rsid w:val="00AB29CC"/>
    <w:rsid w:val="00AB2A0B"/>
    <w:rsid w:val="00AB2A1A"/>
    <w:rsid w:val="00AB2A48"/>
    <w:rsid w:val="00AB2A51"/>
    <w:rsid w:val="00AB2B36"/>
    <w:rsid w:val="00AB2B57"/>
    <w:rsid w:val="00AB2B62"/>
    <w:rsid w:val="00AB2B6A"/>
    <w:rsid w:val="00AB2B7D"/>
    <w:rsid w:val="00AB2BD3"/>
    <w:rsid w:val="00AB2BDE"/>
    <w:rsid w:val="00AB2BEF"/>
    <w:rsid w:val="00AB2C1D"/>
    <w:rsid w:val="00AB2C59"/>
    <w:rsid w:val="00AB2C6F"/>
    <w:rsid w:val="00AB2C96"/>
    <w:rsid w:val="00AB2CCF"/>
    <w:rsid w:val="00AB2CEC"/>
    <w:rsid w:val="00AB2D40"/>
    <w:rsid w:val="00AB2DBC"/>
    <w:rsid w:val="00AB2E1B"/>
    <w:rsid w:val="00AB2E80"/>
    <w:rsid w:val="00AB2EBB"/>
    <w:rsid w:val="00AB2F14"/>
    <w:rsid w:val="00AB2F2D"/>
    <w:rsid w:val="00AB2F3D"/>
    <w:rsid w:val="00AB2F3E"/>
    <w:rsid w:val="00AB2F41"/>
    <w:rsid w:val="00AB2F5B"/>
    <w:rsid w:val="00AB2F5C"/>
    <w:rsid w:val="00AB2F87"/>
    <w:rsid w:val="00AB2FFB"/>
    <w:rsid w:val="00AB3055"/>
    <w:rsid w:val="00AB305F"/>
    <w:rsid w:val="00AB3065"/>
    <w:rsid w:val="00AB3098"/>
    <w:rsid w:val="00AB309B"/>
    <w:rsid w:val="00AB30CE"/>
    <w:rsid w:val="00AB30FA"/>
    <w:rsid w:val="00AB3108"/>
    <w:rsid w:val="00AB312F"/>
    <w:rsid w:val="00AB313B"/>
    <w:rsid w:val="00AB319A"/>
    <w:rsid w:val="00AB31D3"/>
    <w:rsid w:val="00AB31EA"/>
    <w:rsid w:val="00AB31FD"/>
    <w:rsid w:val="00AB3205"/>
    <w:rsid w:val="00AB3208"/>
    <w:rsid w:val="00AB3241"/>
    <w:rsid w:val="00AB325E"/>
    <w:rsid w:val="00AB328F"/>
    <w:rsid w:val="00AB32AB"/>
    <w:rsid w:val="00AB32BF"/>
    <w:rsid w:val="00AB3316"/>
    <w:rsid w:val="00AB334A"/>
    <w:rsid w:val="00AB33B8"/>
    <w:rsid w:val="00AB33D7"/>
    <w:rsid w:val="00AB33E7"/>
    <w:rsid w:val="00AB3425"/>
    <w:rsid w:val="00AB3442"/>
    <w:rsid w:val="00AB3494"/>
    <w:rsid w:val="00AB34B7"/>
    <w:rsid w:val="00AB34C3"/>
    <w:rsid w:val="00AB34D4"/>
    <w:rsid w:val="00AB34F2"/>
    <w:rsid w:val="00AB350C"/>
    <w:rsid w:val="00AB353E"/>
    <w:rsid w:val="00AB3546"/>
    <w:rsid w:val="00AB355A"/>
    <w:rsid w:val="00AB3570"/>
    <w:rsid w:val="00AB35C4"/>
    <w:rsid w:val="00AB35CC"/>
    <w:rsid w:val="00AB35F5"/>
    <w:rsid w:val="00AB3617"/>
    <w:rsid w:val="00AB3628"/>
    <w:rsid w:val="00AB36F3"/>
    <w:rsid w:val="00AB371F"/>
    <w:rsid w:val="00AB3781"/>
    <w:rsid w:val="00AB378E"/>
    <w:rsid w:val="00AB37C8"/>
    <w:rsid w:val="00AB37D7"/>
    <w:rsid w:val="00AB37E2"/>
    <w:rsid w:val="00AB3822"/>
    <w:rsid w:val="00AB38B3"/>
    <w:rsid w:val="00AB38E3"/>
    <w:rsid w:val="00AB38F6"/>
    <w:rsid w:val="00AB390D"/>
    <w:rsid w:val="00AB3975"/>
    <w:rsid w:val="00AB398B"/>
    <w:rsid w:val="00AB398E"/>
    <w:rsid w:val="00AB3994"/>
    <w:rsid w:val="00AB39D3"/>
    <w:rsid w:val="00AB39E1"/>
    <w:rsid w:val="00AB39F7"/>
    <w:rsid w:val="00AB3A14"/>
    <w:rsid w:val="00AB3A38"/>
    <w:rsid w:val="00AB3A4D"/>
    <w:rsid w:val="00AB3A54"/>
    <w:rsid w:val="00AB3A9B"/>
    <w:rsid w:val="00AB3AA7"/>
    <w:rsid w:val="00AB3ABB"/>
    <w:rsid w:val="00AB3B2B"/>
    <w:rsid w:val="00AB3BA6"/>
    <w:rsid w:val="00AB3BD3"/>
    <w:rsid w:val="00AB3C07"/>
    <w:rsid w:val="00AB3C0A"/>
    <w:rsid w:val="00AB3C6F"/>
    <w:rsid w:val="00AB3C9C"/>
    <w:rsid w:val="00AB3CAE"/>
    <w:rsid w:val="00AB3CB0"/>
    <w:rsid w:val="00AB3CC2"/>
    <w:rsid w:val="00AB3CF2"/>
    <w:rsid w:val="00AB3D85"/>
    <w:rsid w:val="00AB3D87"/>
    <w:rsid w:val="00AB3DA9"/>
    <w:rsid w:val="00AB3EB9"/>
    <w:rsid w:val="00AB3EDB"/>
    <w:rsid w:val="00AB3EEA"/>
    <w:rsid w:val="00AB3F0A"/>
    <w:rsid w:val="00AB400D"/>
    <w:rsid w:val="00AB401E"/>
    <w:rsid w:val="00AB4041"/>
    <w:rsid w:val="00AB40DB"/>
    <w:rsid w:val="00AB4100"/>
    <w:rsid w:val="00AB41AC"/>
    <w:rsid w:val="00AB4242"/>
    <w:rsid w:val="00AB42A0"/>
    <w:rsid w:val="00AB42AF"/>
    <w:rsid w:val="00AB42D9"/>
    <w:rsid w:val="00AB430C"/>
    <w:rsid w:val="00AB4344"/>
    <w:rsid w:val="00AB437A"/>
    <w:rsid w:val="00AB43CC"/>
    <w:rsid w:val="00AB43D7"/>
    <w:rsid w:val="00AB43DE"/>
    <w:rsid w:val="00AB43E6"/>
    <w:rsid w:val="00AB4429"/>
    <w:rsid w:val="00AB4509"/>
    <w:rsid w:val="00AB450E"/>
    <w:rsid w:val="00AB4520"/>
    <w:rsid w:val="00AB453B"/>
    <w:rsid w:val="00AB454D"/>
    <w:rsid w:val="00AB45F0"/>
    <w:rsid w:val="00AB461A"/>
    <w:rsid w:val="00AB4633"/>
    <w:rsid w:val="00AB4663"/>
    <w:rsid w:val="00AB4674"/>
    <w:rsid w:val="00AB467E"/>
    <w:rsid w:val="00AB46AA"/>
    <w:rsid w:val="00AB46BA"/>
    <w:rsid w:val="00AB46CD"/>
    <w:rsid w:val="00AB473F"/>
    <w:rsid w:val="00AB481A"/>
    <w:rsid w:val="00AB487A"/>
    <w:rsid w:val="00AB4885"/>
    <w:rsid w:val="00AB48B5"/>
    <w:rsid w:val="00AB48E1"/>
    <w:rsid w:val="00AB492D"/>
    <w:rsid w:val="00AB497D"/>
    <w:rsid w:val="00AB498D"/>
    <w:rsid w:val="00AB4A05"/>
    <w:rsid w:val="00AB4A15"/>
    <w:rsid w:val="00AB4A4C"/>
    <w:rsid w:val="00AB4A71"/>
    <w:rsid w:val="00AB4A83"/>
    <w:rsid w:val="00AB4A85"/>
    <w:rsid w:val="00AB4A8A"/>
    <w:rsid w:val="00AB4A90"/>
    <w:rsid w:val="00AB4A92"/>
    <w:rsid w:val="00AB4AEB"/>
    <w:rsid w:val="00AB4B17"/>
    <w:rsid w:val="00AB4B1A"/>
    <w:rsid w:val="00AB4B56"/>
    <w:rsid w:val="00AB4B89"/>
    <w:rsid w:val="00AB4BFB"/>
    <w:rsid w:val="00AB4C01"/>
    <w:rsid w:val="00AB4CA1"/>
    <w:rsid w:val="00AB4CA8"/>
    <w:rsid w:val="00AB4CB1"/>
    <w:rsid w:val="00AB4CFB"/>
    <w:rsid w:val="00AB4D0F"/>
    <w:rsid w:val="00AB4D2A"/>
    <w:rsid w:val="00AB4DC0"/>
    <w:rsid w:val="00AB4DC8"/>
    <w:rsid w:val="00AB4DD3"/>
    <w:rsid w:val="00AB4DF4"/>
    <w:rsid w:val="00AB4E29"/>
    <w:rsid w:val="00AB4E67"/>
    <w:rsid w:val="00AB4E6B"/>
    <w:rsid w:val="00AB4E73"/>
    <w:rsid w:val="00AB4E9A"/>
    <w:rsid w:val="00AB4EA5"/>
    <w:rsid w:val="00AB4EC1"/>
    <w:rsid w:val="00AB4ED7"/>
    <w:rsid w:val="00AB4F09"/>
    <w:rsid w:val="00AB4F0F"/>
    <w:rsid w:val="00AB4F23"/>
    <w:rsid w:val="00AB4F31"/>
    <w:rsid w:val="00AB4F69"/>
    <w:rsid w:val="00AB4F7E"/>
    <w:rsid w:val="00AB4F8E"/>
    <w:rsid w:val="00AB4F90"/>
    <w:rsid w:val="00AB4FA1"/>
    <w:rsid w:val="00AB4FC6"/>
    <w:rsid w:val="00AB503D"/>
    <w:rsid w:val="00AB50C6"/>
    <w:rsid w:val="00AB50E2"/>
    <w:rsid w:val="00AB519B"/>
    <w:rsid w:val="00AB51CC"/>
    <w:rsid w:val="00AB5247"/>
    <w:rsid w:val="00AB52A9"/>
    <w:rsid w:val="00AB52BB"/>
    <w:rsid w:val="00AB5376"/>
    <w:rsid w:val="00AB539D"/>
    <w:rsid w:val="00AB53AE"/>
    <w:rsid w:val="00AB53C0"/>
    <w:rsid w:val="00AB53DA"/>
    <w:rsid w:val="00AB5402"/>
    <w:rsid w:val="00AB540F"/>
    <w:rsid w:val="00AB541F"/>
    <w:rsid w:val="00AB5432"/>
    <w:rsid w:val="00AB5520"/>
    <w:rsid w:val="00AB5560"/>
    <w:rsid w:val="00AB55AC"/>
    <w:rsid w:val="00AB5659"/>
    <w:rsid w:val="00AB5665"/>
    <w:rsid w:val="00AB5684"/>
    <w:rsid w:val="00AB56B0"/>
    <w:rsid w:val="00AB56C0"/>
    <w:rsid w:val="00AB571B"/>
    <w:rsid w:val="00AB5736"/>
    <w:rsid w:val="00AB57B6"/>
    <w:rsid w:val="00AB57C1"/>
    <w:rsid w:val="00AB5816"/>
    <w:rsid w:val="00AB582E"/>
    <w:rsid w:val="00AB587D"/>
    <w:rsid w:val="00AB5899"/>
    <w:rsid w:val="00AB58A6"/>
    <w:rsid w:val="00AB58B2"/>
    <w:rsid w:val="00AB58B8"/>
    <w:rsid w:val="00AB58C4"/>
    <w:rsid w:val="00AB5939"/>
    <w:rsid w:val="00AB593E"/>
    <w:rsid w:val="00AB5952"/>
    <w:rsid w:val="00AB597E"/>
    <w:rsid w:val="00AB5984"/>
    <w:rsid w:val="00AB598B"/>
    <w:rsid w:val="00AB59E9"/>
    <w:rsid w:val="00AB5A20"/>
    <w:rsid w:val="00AB5A5B"/>
    <w:rsid w:val="00AB5AA5"/>
    <w:rsid w:val="00AB5ABE"/>
    <w:rsid w:val="00AB5AD0"/>
    <w:rsid w:val="00AB5B16"/>
    <w:rsid w:val="00AB5B3D"/>
    <w:rsid w:val="00AB5B45"/>
    <w:rsid w:val="00AB5B64"/>
    <w:rsid w:val="00AB5B79"/>
    <w:rsid w:val="00AB5BCA"/>
    <w:rsid w:val="00AB5BCF"/>
    <w:rsid w:val="00AB5BD5"/>
    <w:rsid w:val="00AB5C1C"/>
    <w:rsid w:val="00AB5C2B"/>
    <w:rsid w:val="00AB5C3E"/>
    <w:rsid w:val="00AB5C5B"/>
    <w:rsid w:val="00AB5C81"/>
    <w:rsid w:val="00AB5C82"/>
    <w:rsid w:val="00AB5D04"/>
    <w:rsid w:val="00AB5D24"/>
    <w:rsid w:val="00AB5D34"/>
    <w:rsid w:val="00AB5D56"/>
    <w:rsid w:val="00AB5DA0"/>
    <w:rsid w:val="00AB5DB4"/>
    <w:rsid w:val="00AB5DC6"/>
    <w:rsid w:val="00AB5E15"/>
    <w:rsid w:val="00AB5E3A"/>
    <w:rsid w:val="00AB5E7A"/>
    <w:rsid w:val="00AB5E7C"/>
    <w:rsid w:val="00AB5EB4"/>
    <w:rsid w:val="00AB5EF7"/>
    <w:rsid w:val="00AB5EF8"/>
    <w:rsid w:val="00AB5F67"/>
    <w:rsid w:val="00AB5F79"/>
    <w:rsid w:val="00AB5FC0"/>
    <w:rsid w:val="00AB5FFD"/>
    <w:rsid w:val="00AB601F"/>
    <w:rsid w:val="00AB603D"/>
    <w:rsid w:val="00AB608B"/>
    <w:rsid w:val="00AB60B1"/>
    <w:rsid w:val="00AB6117"/>
    <w:rsid w:val="00AB616D"/>
    <w:rsid w:val="00AB6180"/>
    <w:rsid w:val="00AB61E0"/>
    <w:rsid w:val="00AB623E"/>
    <w:rsid w:val="00AB624B"/>
    <w:rsid w:val="00AB6269"/>
    <w:rsid w:val="00AB626A"/>
    <w:rsid w:val="00AB62BA"/>
    <w:rsid w:val="00AB62D8"/>
    <w:rsid w:val="00AB62D9"/>
    <w:rsid w:val="00AB633B"/>
    <w:rsid w:val="00AB6350"/>
    <w:rsid w:val="00AB63C4"/>
    <w:rsid w:val="00AB645F"/>
    <w:rsid w:val="00AB6475"/>
    <w:rsid w:val="00AB64AB"/>
    <w:rsid w:val="00AB64E0"/>
    <w:rsid w:val="00AB654B"/>
    <w:rsid w:val="00AB6570"/>
    <w:rsid w:val="00AB6599"/>
    <w:rsid w:val="00AB65A8"/>
    <w:rsid w:val="00AB65C0"/>
    <w:rsid w:val="00AB65DC"/>
    <w:rsid w:val="00AB663F"/>
    <w:rsid w:val="00AB6699"/>
    <w:rsid w:val="00AB66E1"/>
    <w:rsid w:val="00AB66E6"/>
    <w:rsid w:val="00AB66FD"/>
    <w:rsid w:val="00AB6741"/>
    <w:rsid w:val="00AB675C"/>
    <w:rsid w:val="00AB675F"/>
    <w:rsid w:val="00AB679F"/>
    <w:rsid w:val="00AB67D4"/>
    <w:rsid w:val="00AB67F7"/>
    <w:rsid w:val="00AB6800"/>
    <w:rsid w:val="00AB6802"/>
    <w:rsid w:val="00AB6829"/>
    <w:rsid w:val="00AB683C"/>
    <w:rsid w:val="00AB6858"/>
    <w:rsid w:val="00AB68B2"/>
    <w:rsid w:val="00AB68B3"/>
    <w:rsid w:val="00AB68C1"/>
    <w:rsid w:val="00AB68EE"/>
    <w:rsid w:val="00AB68FF"/>
    <w:rsid w:val="00AB6901"/>
    <w:rsid w:val="00AB691B"/>
    <w:rsid w:val="00AB6957"/>
    <w:rsid w:val="00AB697C"/>
    <w:rsid w:val="00AB69BD"/>
    <w:rsid w:val="00AB69FE"/>
    <w:rsid w:val="00AB6A1B"/>
    <w:rsid w:val="00AB6A30"/>
    <w:rsid w:val="00AB6A3C"/>
    <w:rsid w:val="00AB6AA7"/>
    <w:rsid w:val="00AB6AC9"/>
    <w:rsid w:val="00AB6AED"/>
    <w:rsid w:val="00AB6B8D"/>
    <w:rsid w:val="00AB6BD6"/>
    <w:rsid w:val="00AB6C42"/>
    <w:rsid w:val="00AB6C45"/>
    <w:rsid w:val="00AB6C59"/>
    <w:rsid w:val="00AB6C98"/>
    <w:rsid w:val="00AB6CB2"/>
    <w:rsid w:val="00AB6CE8"/>
    <w:rsid w:val="00AB6CF8"/>
    <w:rsid w:val="00AB6CFA"/>
    <w:rsid w:val="00AB6D04"/>
    <w:rsid w:val="00AB6D1D"/>
    <w:rsid w:val="00AB6D58"/>
    <w:rsid w:val="00AB6D9A"/>
    <w:rsid w:val="00AB6D9B"/>
    <w:rsid w:val="00AB6DA7"/>
    <w:rsid w:val="00AB6DBB"/>
    <w:rsid w:val="00AB6DC5"/>
    <w:rsid w:val="00AB6E1E"/>
    <w:rsid w:val="00AB6E38"/>
    <w:rsid w:val="00AB6E4D"/>
    <w:rsid w:val="00AB6E7A"/>
    <w:rsid w:val="00AB6E81"/>
    <w:rsid w:val="00AB6ECA"/>
    <w:rsid w:val="00AB6F13"/>
    <w:rsid w:val="00AB6F15"/>
    <w:rsid w:val="00AB6F30"/>
    <w:rsid w:val="00AB6F41"/>
    <w:rsid w:val="00AB6F7D"/>
    <w:rsid w:val="00AB6F95"/>
    <w:rsid w:val="00AB6FAF"/>
    <w:rsid w:val="00AB7014"/>
    <w:rsid w:val="00AB7024"/>
    <w:rsid w:val="00AB702D"/>
    <w:rsid w:val="00AB7033"/>
    <w:rsid w:val="00AB703B"/>
    <w:rsid w:val="00AB703E"/>
    <w:rsid w:val="00AB7040"/>
    <w:rsid w:val="00AB7097"/>
    <w:rsid w:val="00AB70A6"/>
    <w:rsid w:val="00AB70C5"/>
    <w:rsid w:val="00AB70C9"/>
    <w:rsid w:val="00AB70F8"/>
    <w:rsid w:val="00AB7129"/>
    <w:rsid w:val="00AB715E"/>
    <w:rsid w:val="00AB7176"/>
    <w:rsid w:val="00AB7187"/>
    <w:rsid w:val="00AB71B5"/>
    <w:rsid w:val="00AB71DB"/>
    <w:rsid w:val="00AB7269"/>
    <w:rsid w:val="00AB7276"/>
    <w:rsid w:val="00AB72D5"/>
    <w:rsid w:val="00AB7309"/>
    <w:rsid w:val="00AB735D"/>
    <w:rsid w:val="00AB73DF"/>
    <w:rsid w:val="00AB73E1"/>
    <w:rsid w:val="00AB73ED"/>
    <w:rsid w:val="00AB7403"/>
    <w:rsid w:val="00AB741D"/>
    <w:rsid w:val="00AB7430"/>
    <w:rsid w:val="00AB748A"/>
    <w:rsid w:val="00AB74A1"/>
    <w:rsid w:val="00AB74DB"/>
    <w:rsid w:val="00AB74F0"/>
    <w:rsid w:val="00AB753D"/>
    <w:rsid w:val="00AB7581"/>
    <w:rsid w:val="00AB75CA"/>
    <w:rsid w:val="00AB7647"/>
    <w:rsid w:val="00AB7694"/>
    <w:rsid w:val="00AB76EC"/>
    <w:rsid w:val="00AB770C"/>
    <w:rsid w:val="00AB7748"/>
    <w:rsid w:val="00AB779A"/>
    <w:rsid w:val="00AB77B9"/>
    <w:rsid w:val="00AB785F"/>
    <w:rsid w:val="00AB7878"/>
    <w:rsid w:val="00AB789A"/>
    <w:rsid w:val="00AB78B4"/>
    <w:rsid w:val="00AB78CD"/>
    <w:rsid w:val="00AB78DE"/>
    <w:rsid w:val="00AB7909"/>
    <w:rsid w:val="00AB7916"/>
    <w:rsid w:val="00AB7945"/>
    <w:rsid w:val="00AB7981"/>
    <w:rsid w:val="00AB79F4"/>
    <w:rsid w:val="00AB79FC"/>
    <w:rsid w:val="00AB7A42"/>
    <w:rsid w:val="00AB7A7F"/>
    <w:rsid w:val="00AB7ABE"/>
    <w:rsid w:val="00AB7B62"/>
    <w:rsid w:val="00AB7BC9"/>
    <w:rsid w:val="00AB7BF5"/>
    <w:rsid w:val="00AB7C3D"/>
    <w:rsid w:val="00AB7C61"/>
    <w:rsid w:val="00AB7C92"/>
    <w:rsid w:val="00AB7C99"/>
    <w:rsid w:val="00AB7CA9"/>
    <w:rsid w:val="00AB7CD2"/>
    <w:rsid w:val="00AB7CEA"/>
    <w:rsid w:val="00AB7D3F"/>
    <w:rsid w:val="00AB7D70"/>
    <w:rsid w:val="00AB7DAA"/>
    <w:rsid w:val="00AB7DAD"/>
    <w:rsid w:val="00AB7DB8"/>
    <w:rsid w:val="00AB7DC3"/>
    <w:rsid w:val="00AB7DC7"/>
    <w:rsid w:val="00AB7E44"/>
    <w:rsid w:val="00AB7E8D"/>
    <w:rsid w:val="00AB7EBB"/>
    <w:rsid w:val="00AB7ECA"/>
    <w:rsid w:val="00AB7ED2"/>
    <w:rsid w:val="00AB7EEC"/>
    <w:rsid w:val="00AB7F16"/>
    <w:rsid w:val="00AB7F1F"/>
    <w:rsid w:val="00AB7F26"/>
    <w:rsid w:val="00AB7F4F"/>
    <w:rsid w:val="00AB7F9F"/>
    <w:rsid w:val="00AB7FFE"/>
    <w:rsid w:val="00AC0009"/>
    <w:rsid w:val="00AC0016"/>
    <w:rsid w:val="00AC0020"/>
    <w:rsid w:val="00AC0052"/>
    <w:rsid w:val="00AC007F"/>
    <w:rsid w:val="00AC0097"/>
    <w:rsid w:val="00AC00AA"/>
    <w:rsid w:val="00AC00CA"/>
    <w:rsid w:val="00AC00F2"/>
    <w:rsid w:val="00AC0105"/>
    <w:rsid w:val="00AC0161"/>
    <w:rsid w:val="00AC018F"/>
    <w:rsid w:val="00AC0207"/>
    <w:rsid w:val="00AC021E"/>
    <w:rsid w:val="00AC0244"/>
    <w:rsid w:val="00AC024A"/>
    <w:rsid w:val="00AC0258"/>
    <w:rsid w:val="00AC0290"/>
    <w:rsid w:val="00AC02D6"/>
    <w:rsid w:val="00AC02FB"/>
    <w:rsid w:val="00AC0315"/>
    <w:rsid w:val="00AC0354"/>
    <w:rsid w:val="00AC03DC"/>
    <w:rsid w:val="00AC0461"/>
    <w:rsid w:val="00AC048B"/>
    <w:rsid w:val="00AC04B1"/>
    <w:rsid w:val="00AC04C4"/>
    <w:rsid w:val="00AC04D8"/>
    <w:rsid w:val="00AC04D9"/>
    <w:rsid w:val="00AC0534"/>
    <w:rsid w:val="00AC0562"/>
    <w:rsid w:val="00AC05A6"/>
    <w:rsid w:val="00AC05B3"/>
    <w:rsid w:val="00AC05C6"/>
    <w:rsid w:val="00AC05C7"/>
    <w:rsid w:val="00AC05CA"/>
    <w:rsid w:val="00AC05E6"/>
    <w:rsid w:val="00AC05FE"/>
    <w:rsid w:val="00AC05FF"/>
    <w:rsid w:val="00AC0609"/>
    <w:rsid w:val="00AC0640"/>
    <w:rsid w:val="00AC0661"/>
    <w:rsid w:val="00AC067D"/>
    <w:rsid w:val="00AC069B"/>
    <w:rsid w:val="00AC0700"/>
    <w:rsid w:val="00AC0753"/>
    <w:rsid w:val="00AC07CF"/>
    <w:rsid w:val="00AC0831"/>
    <w:rsid w:val="00AC0873"/>
    <w:rsid w:val="00AC08A5"/>
    <w:rsid w:val="00AC08AD"/>
    <w:rsid w:val="00AC08C7"/>
    <w:rsid w:val="00AC090F"/>
    <w:rsid w:val="00AC0919"/>
    <w:rsid w:val="00AC093D"/>
    <w:rsid w:val="00AC09C5"/>
    <w:rsid w:val="00AC09E1"/>
    <w:rsid w:val="00AC09E5"/>
    <w:rsid w:val="00AC09E8"/>
    <w:rsid w:val="00AC0A26"/>
    <w:rsid w:val="00AC0ACA"/>
    <w:rsid w:val="00AC0B25"/>
    <w:rsid w:val="00AC0B29"/>
    <w:rsid w:val="00AC0B33"/>
    <w:rsid w:val="00AC0B43"/>
    <w:rsid w:val="00AC0B69"/>
    <w:rsid w:val="00AC0B71"/>
    <w:rsid w:val="00AC0B89"/>
    <w:rsid w:val="00AC0B8B"/>
    <w:rsid w:val="00AC0B9D"/>
    <w:rsid w:val="00AC0BBC"/>
    <w:rsid w:val="00AC0BC5"/>
    <w:rsid w:val="00AC0C2E"/>
    <w:rsid w:val="00AC0C3D"/>
    <w:rsid w:val="00AC0C63"/>
    <w:rsid w:val="00AC0C79"/>
    <w:rsid w:val="00AC0CD0"/>
    <w:rsid w:val="00AC0D79"/>
    <w:rsid w:val="00AC0DBB"/>
    <w:rsid w:val="00AC0DC3"/>
    <w:rsid w:val="00AC0DC7"/>
    <w:rsid w:val="00AC0E39"/>
    <w:rsid w:val="00AC0E48"/>
    <w:rsid w:val="00AC0E94"/>
    <w:rsid w:val="00AC0EF9"/>
    <w:rsid w:val="00AC0F17"/>
    <w:rsid w:val="00AC0F53"/>
    <w:rsid w:val="00AC0F80"/>
    <w:rsid w:val="00AC0F86"/>
    <w:rsid w:val="00AC0F90"/>
    <w:rsid w:val="00AC0FA1"/>
    <w:rsid w:val="00AC1023"/>
    <w:rsid w:val="00AC105C"/>
    <w:rsid w:val="00AC1094"/>
    <w:rsid w:val="00AC10DB"/>
    <w:rsid w:val="00AC10DD"/>
    <w:rsid w:val="00AC1106"/>
    <w:rsid w:val="00AC1186"/>
    <w:rsid w:val="00AC118F"/>
    <w:rsid w:val="00AC11A6"/>
    <w:rsid w:val="00AC121F"/>
    <w:rsid w:val="00AC1240"/>
    <w:rsid w:val="00AC12A9"/>
    <w:rsid w:val="00AC12BC"/>
    <w:rsid w:val="00AC132E"/>
    <w:rsid w:val="00AC13CC"/>
    <w:rsid w:val="00AC13DA"/>
    <w:rsid w:val="00AC144B"/>
    <w:rsid w:val="00AC1460"/>
    <w:rsid w:val="00AC146A"/>
    <w:rsid w:val="00AC148B"/>
    <w:rsid w:val="00AC14B0"/>
    <w:rsid w:val="00AC14BE"/>
    <w:rsid w:val="00AC1559"/>
    <w:rsid w:val="00AC156B"/>
    <w:rsid w:val="00AC1589"/>
    <w:rsid w:val="00AC15AA"/>
    <w:rsid w:val="00AC15BD"/>
    <w:rsid w:val="00AC15D9"/>
    <w:rsid w:val="00AC15F9"/>
    <w:rsid w:val="00AC165D"/>
    <w:rsid w:val="00AC168A"/>
    <w:rsid w:val="00AC1695"/>
    <w:rsid w:val="00AC170D"/>
    <w:rsid w:val="00AC1744"/>
    <w:rsid w:val="00AC17F7"/>
    <w:rsid w:val="00AC180B"/>
    <w:rsid w:val="00AC1810"/>
    <w:rsid w:val="00AC1849"/>
    <w:rsid w:val="00AC185A"/>
    <w:rsid w:val="00AC188A"/>
    <w:rsid w:val="00AC1892"/>
    <w:rsid w:val="00AC1894"/>
    <w:rsid w:val="00AC18E7"/>
    <w:rsid w:val="00AC193A"/>
    <w:rsid w:val="00AC194D"/>
    <w:rsid w:val="00AC1969"/>
    <w:rsid w:val="00AC1973"/>
    <w:rsid w:val="00AC19DB"/>
    <w:rsid w:val="00AC19F1"/>
    <w:rsid w:val="00AC1A63"/>
    <w:rsid w:val="00AC1A85"/>
    <w:rsid w:val="00AC1A87"/>
    <w:rsid w:val="00AC1AA4"/>
    <w:rsid w:val="00AC1B19"/>
    <w:rsid w:val="00AC1B29"/>
    <w:rsid w:val="00AC1B71"/>
    <w:rsid w:val="00AC1B88"/>
    <w:rsid w:val="00AC1B97"/>
    <w:rsid w:val="00AC1BD5"/>
    <w:rsid w:val="00AC1BE8"/>
    <w:rsid w:val="00AC1C08"/>
    <w:rsid w:val="00AC1CA2"/>
    <w:rsid w:val="00AC1CB4"/>
    <w:rsid w:val="00AC1CE0"/>
    <w:rsid w:val="00AC1CFD"/>
    <w:rsid w:val="00AC1D11"/>
    <w:rsid w:val="00AC1D26"/>
    <w:rsid w:val="00AC1D29"/>
    <w:rsid w:val="00AC1D45"/>
    <w:rsid w:val="00AC1D5A"/>
    <w:rsid w:val="00AC1D81"/>
    <w:rsid w:val="00AC1DB3"/>
    <w:rsid w:val="00AC1E31"/>
    <w:rsid w:val="00AC1E49"/>
    <w:rsid w:val="00AC1E65"/>
    <w:rsid w:val="00AC1EAB"/>
    <w:rsid w:val="00AC1EB3"/>
    <w:rsid w:val="00AC1EC5"/>
    <w:rsid w:val="00AC1ED5"/>
    <w:rsid w:val="00AC1F10"/>
    <w:rsid w:val="00AC1FC0"/>
    <w:rsid w:val="00AC1FC3"/>
    <w:rsid w:val="00AC201A"/>
    <w:rsid w:val="00AC204D"/>
    <w:rsid w:val="00AC205E"/>
    <w:rsid w:val="00AC207C"/>
    <w:rsid w:val="00AC20A1"/>
    <w:rsid w:val="00AC20AB"/>
    <w:rsid w:val="00AC20D2"/>
    <w:rsid w:val="00AC2191"/>
    <w:rsid w:val="00AC219E"/>
    <w:rsid w:val="00AC2210"/>
    <w:rsid w:val="00AC2233"/>
    <w:rsid w:val="00AC2246"/>
    <w:rsid w:val="00AC2295"/>
    <w:rsid w:val="00AC229A"/>
    <w:rsid w:val="00AC22B0"/>
    <w:rsid w:val="00AC22E9"/>
    <w:rsid w:val="00AC23D9"/>
    <w:rsid w:val="00AC23EA"/>
    <w:rsid w:val="00AC23EB"/>
    <w:rsid w:val="00AC240F"/>
    <w:rsid w:val="00AC2437"/>
    <w:rsid w:val="00AC2454"/>
    <w:rsid w:val="00AC2492"/>
    <w:rsid w:val="00AC24B2"/>
    <w:rsid w:val="00AC2551"/>
    <w:rsid w:val="00AC2566"/>
    <w:rsid w:val="00AC2581"/>
    <w:rsid w:val="00AC2584"/>
    <w:rsid w:val="00AC25C7"/>
    <w:rsid w:val="00AC2621"/>
    <w:rsid w:val="00AC263C"/>
    <w:rsid w:val="00AC2651"/>
    <w:rsid w:val="00AC267F"/>
    <w:rsid w:val="00AC268D"/>
    <w:rsid w:val="00AC269C"/>
    <w:rsid w:val="00AC26CC"/>
    <w:rsid w:val="00AC26F3"/>
    <w:rsid w:val="00AC2722"/>
    <w:rsid w:val="00AC2737"/>
    <w:rsid w:val="00AC277D"/>
    <w:rsid w:val="00AC27C9"/>
    <w:rsid w:val="00AC2889"/>
    <w:rsid w:val="00AC28B6"/>
    <w:rsid w:val="00AC28D2"/>
    <w:rsid w:val="00AC28EA"/>
    <w:rsid w:val="00AC28F8"/>
    <w:rsid w:val="00AC2936"/>
    <w:rsid w:val="00AC293D"/>
    <w:rsid w:val="00AC29DC"/>
    <w:rsid w:val="00AC29F1"/>
    <w:rsid w:val="00AC2A05"/>
    <w:rsid w:val="00AC2A16"/>
    <w:rsid w:val="00AC2A1D"/>
    <w:rsid w:val="00AC2A6C"/>
    <w:rsid w:val="00AC2ADC"/>
    <w:rsid w:val="00AC2B34"/>
    <w:rsid w:val="00AC2B51"/>
    <w:rsid w:val="00AC2B62"/>
    <w:rsid w:val="00AC2BC8"/>
    <w:rsid w:val="00AC2BCE"/>
    <w:rsid w:val="00AC2BD2"/>
    <w:rsid w:val="00AC2BD6"/>
    <w:rsid w:val="00AC2C8D"/>
    <w:rsid w:val="00AC2CA3"/>
    <w:rsid w:val="00AC2CD8"/>
    <w:rsid w:val="00AC2D09"/>
    <w:rsid w:val="00AC2D15"/>
    <w:rsid w:val="00AC2D83"/>
    <w:rsid w:val="00AC2DA2"/>
    <w:rsid w:val="00AC2E0C"/>
    <w:rsid w:val="00AC2EC1"/>
    <w:rsid w:val="00AC2F45"/>
    <w:rsid w:val="00AC2F66"/>
    <w:rsid w:val="00AC2F87"/>
    <w:rsid w:val="00AC2FB3"/>
    <w:rsid w:val="00AC306D"/>
    <w:rsid w:val="00AC3070"/>
    <w:rsid w:val="00AC30B5"/>
    <w:rsid w:val="00AC30DD"/>
    <w:rsid w:val="00AC30F4"/>
    <w:rsid w:val="00AC30FA"/>
    <w:rsid w:val="00AC311B"/>
    <w:rsid w:val="00AC3141"/>
    <w:rsid w:val="00AC3171"/>
    <w:rsid w:val="00AC3194"/>
    <w:rsid w:val="00AC3280"/>
    <w:rsid w:val="00AC3286"/>
    <w:rsid w:val="00AC330D"/>
    <w:rsid w:val="00AC3313"/>
    <w:rsid w:val="00AC331A"/>
    <w:rsid w:val="00AC3348"/>
    <w:rsid w:val="00AC3359"/>
    <w:rsid w:val="00AC335F"/>
    <w:rsid w:val="00AC3363"/>
    <w:rsid w:val="00AC336C"/>
    <w:rsid w:val="00AC33B3"/>
    <w:rsid w:val="00AC33CF"/>
    <w:rsid w:val="00AC344F"/>
    <w:rsid w:val="00AC3478"/>
    <w:rsid w:val="00AC347A"/>
    <w:rsid w:val="00AC348C"/>
    <w:rsid w:val="00AC34A4"/>
    <w:rsid w:val="00AC34B0"/>
    <w:rsid w:val="00AC34D2"/>
    <w:rsid w:val="00AC34E4"/>
    <w:rsid w:val="00AC3524"/>
    <w:rsid w:val="00AC3535"/>
    <w:rsid w:val="00AC3555"/>
    <w:rsid w:val="00AC35B7"/>
    <w:rsid w:val="00AC35C2"/>
    <w:rsid w:val="00AC361A"/>
    <w:rsid w:val="00AC3622"/>
    <w:rsid w:val="00AC3636"/>
    <w:rsid w:val="00AC3642"/>
    <w:rsid w:val="00AC3643"/>
    <w:rsid w:val="00AC3664"/>
    <w:rsid w:val="00AC3667"/>
    <w:rsid w:val="00AC36D8"/>
    <w:rsid w:val="00AC36F7"/>
    <w:rsid w:val="00AC3715"/>
    <w:rsid w:val="00AC3732"/>
    <w:rsid w:val="00AC37F4"/>
    <w:rsid w:val="00AC3880"/>
    <w:rsid w:val="00AC388D"/>
    <w:rsid w:val="00AC38C0"/>
    <w:rsid w:val="00AC38CE"/>
    <w:rsid w:val="00AC38D4"/>
    <w:rsid w:val="00AC394D"/>
    <w:rsid w:val="00AC3977"/>
    <w:rsid w:val="00AC3984"/>
    <w:rsid w:val="00AC3987"/>
    <w:rsid w:val="00AC39A5"/>
    <w:rsid w:val="00AC39C0"/>
    <w:rsid w:val="00AC39CB"/>
    <w:rsid w:val="00AC39E3"/>
    <w:rsid w:val="00AC3A53"/>
    <w:rsid w:val="00AC3A5F"/>
    <w:rsid w:val="00AC3AF3"/>
    <w:rsid w:val="00AC3B05"/>
    <w:rsid w:val="00AC3B1A"/>
    <w:rsid w:val="00AC3B45"/>
    <w:rsid w:val="00AC3BBE"/>
    <w:rsid w:val="00AC3BE9"/>
    <w:rsid w:val="00AC3C50"/>
    <w:rsid w:val="00AC3CC0"/>
    <w:rsid w:val="00AC3CCB"/>
    <w:rsid w:val="00AC3CD7"/>
    <w:rsid w:val="00AC3CE7"/>
    <w:rsid w:val="00AC3D04"/>
    <w:rsid w:val="00AC3D7A"/>
    <w:rsid w:val="00AC3D92"/>
    <w:rsid w:val="00AC3E23"/>
    <w:rsid w:val="00AC3E2E"/>
    <w:rsid w:val="00AC3E9F"/>
    <w:rsid w:val="00AC3ECD"/>
    <w:rsid w:val="00AC3ED9"/>
    <w:rsid w:val="00AC3F44"/>
    <w:rsid w:val="00AC3F59"/>
    <w:rsid w:val="00AC3F86"/>
    <w:rsid w:val="00AC4059"/>
    <w:rsid w:val="00AC40A5"/>
    <w:rsid w:val="00AC40A8"/>
    <w:rsid w:val="00AC40B3"/>
    <w:rsid w:val="00AC410F"/>
    <w:rsid w:val="00AC4193"/>
    <w:rsid w:val="00AC41C0"/>
    <w:rsid w:val="00AC41F3"/>
    <w:rsid w:val="00AC423C"/>
    <w:rsid w:val="00AC42F7"/>
    <w:rsid w:val="00AC4325"/>
    <w:rsid w:val="00AC4379"/>
    <w:rsid w:val="00AC437E"/>
    <w:rsid w:val="00AC438B"/>
    <w:rsid w:val="00AC438C"/>
    <w:rsid w:val="00AC43D9"/>
    <w:rsid w:val="00AC4433"/>
    <w:rsid w:val="00AC4463"/>
    <w:rsid w:val="00AC449B"/>
    <w:rsid w:val="00AC44E7"/>
    <w:rsid w:val="00AC4554"/>
    <w:rsid w:val="00AC455E"/>
    <w:rsid w:val="00AC459A"/>
    <w:rsid w:val="00AC45D1"/>
    <w:rsid w:val="00AC460E"/>
    <w:rsid w:val="00AC463F"/>
    <w:rsid w:val="00AC46BF"/>
    <w:rsid w:val="00AC46C3"/>
    <w:rsid w:val="00AC4718"/>
    <w:rsid w:val="00AC471C"/>
    <w:rsid w:val="00AC475C"/>
    <w:rsid w:val="00AC480F"/>
    <w:rsid w:val="00AC481A"/>
    <w:rsid w:val="00AC485C"/>
    <w:rsid w:val="00AC486F"/>
    <w:rsid w:val="00AC48C8"/>
    <w:rsid w:val="00AC48E2"/>
    <w:rsid w:val="00AC48E7"/>
    <w:rsid w:val="00AC4918"/>
    <w:rsid w:val="00AC494C"/>
    <w:rsid w:val="00AC49E6"/>
    <w:rsid w:val="00AC49F5"/>
    <w:rsid w:val="00AC4A0B"/>
    <w:rsid w:val="00AC4A11"/>
    <w:rsid w:val="00AC4A4A"/>
    <w:rsid w:val="00AC4B08"/>
    <w:rsid w:val="00AC4B34"/>
    <w:rsid w:val="00AC4B74"/>
    <w:rsid w:val="00AC4B9B"/>
    <w:rsid w:val="00AC4BC3"/>
    <w:rsid w:val="00AC4BC6"/>
    <w:rsid w:val="00AC4BCD"/>
    <w:rsid w:val="00AC4C07"/>
    <w:rsid w:val="00AC4C26"/>
    <w:rsid w:val="00AC4C95"/>
    <w:rsid w:val="00AC4CB1"/>
    <w:rsid w:val="00AC4CD3"/>
    <w:rsid w:val="00AC4CFB"/>
    <w:rsid w:val="00AC4D02"/>
    <w:rsid w:val="00AC4D36"/>
    <w:rsid w:val="00AC4D44"/>
    <w:rsid w:val="00AC4D4A"/>
    <w:rsid w:val="00AC4D90"/>
    <w:rsid w:val="00AC4D94"/>
    <w:rsid w:val="00AC4D9D"/>
    <w:rsid w:val="00AC4DBC"/>
    <w:rsid w:val="00AC4E3E"/>
    <w:rsid w:val="00AC4E6D"/>
    <w:rsid w:val="00AC4E7E"/>
    <w:rsid w:val="00AC4E82"/>
    <w:rsid w:val="00AC4E86"/>
    <w:rsid w:val="00AC4E9E"/>
    <w:rsid w:val="00AC4EB7"/>
    <w:rsid w:val="00AC4EFD"/>
    <w:rsid w:val="00AC4FEC"/>
    <w:rsid w:val="00AC4FF8"/>
    <w:rsid w:val="00AC5045"/>
    <w:rsid w:val="00AC5056"/>
    <w:rsid w:val="00AC5063"/>
    <w:rsid w:val="00AC50A3"/>
    <w:rsid w:val="00AC50C2"/>
    <w:rsid w:val="00AC518C"/>
    <w:rsid w:val="00AC51C6"/>
    <w:rsid w:val="00AC51CF"/>
    <w:rsid w:val="00AC51D8"/>
    <w:rsid w:val="00AC5215"/>
    <w:rsid w:val="00AC5243"/>
    <w:rsid w:val="00AC526A"/>
    <w:rsid w:val="00AC52A3"/>
    <w:rsid w:val="00AC52CA"/>
    <w:rsid w:val="00AC52F3"/>
    <w:rsid w:val="00AC5309"/>
    <w:rsid w:val="00AC5332"/>
    <w:rsid w:val="00AC5342"/>
    <w:rsid w:val="00AC536A"/>
    <w:rsid w:val="00AC5379"/>
    <w:rsid w:val="00AC53AB"/>
    <w:rsid w:val="00AC53B1"/>
    <w:rsid w:val="00AC53DF"/>
    <w:rsid w:val="00AC53E3"/>
    <w:rsid w:val="00AC5407"/>
    <w:rsid w:val="00AC5408"/>
    <w:rsid w:val="00AC540B"/>
    <w:rsid w:val="00AC5420"/>
    <w:rsid w:val="00AC5437"/>
    <w:rsid w:val="00AC5443"/>
    <w:rsid w:val="00AC546D"/>
    <w:rsid w:val="00AC550D"/>
    <w:rsid w:val="00AC55ED"/>
    <w:rsid w:val="00AC5662"/>
    <w:rsid w:val="00AC5682"/>
    <w:rsid w:val="00AC56FD"/>
    <w:rsid w:val="00AC5704"/>
    <w:rsid w:val="00AC5718"/>
    <w:rsid w:val="00AC574C"/>
    <w:rsid w:val="00AC576C"/>
    <w:rsid w:val="00AC57CD"/>
    <w:rsid w:val="00AC57DB"/>
    <w:rsid w:val="00AC582D"/>
    <w:rsid w:val="00AC583E"/>
    <w:rsid w:val="00AC5842"/>
    <w:rsid w:val="00AC5849"/>
    <w:rsid w:val="00AC5862"/>
    <w:rsid w:val="00AC5864"/>
    <w:rsid w:val="00AC586B"/>
    <w:rsid w:val="00AC587C"/>
    <w:rsid w:val="00AC58B7"/>
    <w:rsid w:val="00AC58C3"/>
    <w:rsid w:val="00AC58D3"/>
    <w:rsid w:val="00AC58DE"/>
    <w:rsid w:val="00AC58FB"/>
    <w:rsid w:val="00AC5956"/>
    <w:rsid w:val="00AC5958"/>
    <w:rsid w:val="00AC5991"/>
    <w:rsid w:val="00AC59B7"/>
    <w:rsid w:val="00AC59E0"/>
    <w:rsid w:val="00AC59F2"/>
    <w:rsid w:val="00AC5A15"/>
    <w:rsid w:val="00AC5A20"/>
    <w:rsid w:val="00AC5A5D"/>
    <w:rsid w:val="00AC5A79"/>
    <w:rsid w:val="00AC5AAB"/>
    <w:rsid w:val="00AC5AD5"/>
    <w:rsid w:val="00AC5AE9"/>
    <w:rsid w:val="00AC5B11"/>
    <w:rsid w:val="00AC5B20"/>
    <w:rsid w:val="00AC5B57"/>
    <w:rsid w:val="00AC5B7B"/>
    <w:rsid w:val="00AC5B98"/>
    <w:rsid w:val="00AC5BC2"/>
    <w:rsid w:val="00AC5BD4"/>
    <w:rsid w:val="00AC5C0F"/>
    <w:rsid w:val="00AC5C12"/>
    <w:rsid w:val="00AC5C38"/>
    <w:rsid w:val="00AC5C71"/>
    <w:rsid w:val="00AC5CDE"/>
    <w:rsid w:val="00AC5D00"/>
    <w:rsid w:val="00AC5D23"/>
    <w:rsid w:val="00AC5D32"/>
    <w:rsid w:val="00AC5D6C"/>
    <w:rsid w:val="00AC5D87"/>
    <w:rsid w:val="00AC5DD1"/>
    <w:rsid w:val="00AC5E19"/>
    <w:rsid w:val="00AC5E27"/>
    <w:rsid w:val="00AC5E50"/>
    <w:rsid w:val="00AC5F73"/>
    <w:rsid w:val="00AC5F94"/>
    <w:rsid w:val="00AC5F95"/>
    <w:rsid w:val="00AC6046"/>
    <w:rsid w:val="00AC60C6"/>
    <w:rsid w:val="00AC60DE"/>
    <w:rsid w:val="00AC6127"/>
    <w:rsid w:val="00AC61CB"/>
    <w:rsid w:val="00AC61F9"/>
    <w:rsid w:val="00AC6235"/>
    <w:rsid w:val="00AC6270"/>
    <w:rsid w:val="00AC6284"/>
    <w:rsid w:val="00AC62BB"/>
    <w:rsid w:val="00AC634A"/>
    <w:rsid w:val="00AC6384"/>
    <w:rsid w:val="00AC6392"/>
    <w:rsid w:val="00AC6437"/>
    <w:rsid w:val="00AC643F"/>
    <w:rsid w:val="00AC6480"/>
    <w:rsid w:val="00AC64CB"/>
    <w:rsid w:val="00AC64CF"/>
    <w:rsid w:val="00AC64D6"/>
    <w:rsid w:val="00AC64D7"/>
    <w:rsid w:val="00AC64D9"/>
    <w:rsid w:val="00AC64E9"/>
    <w:rsid w:val="00AC656A"/>
    <w:rsid w:val="00AC657F"/>
    <w:rsid w:val="00AC6595"/>
    <w:rsid w:val="00AC65A1"/>
    <w:rsid w:val="00AC65B2"/>
    <w:rsid w:val="00AC6604"/>
    <w:rsid w:val="00AC661C"/>
    <w:rsid w:val="00AC665A"/>
    <w:rsid w:val="00AC66DA"/>
    <w:rsid w:val="00AC66DF"/>
    <w:rsid w:val="00AC6708"/>
    <w:rsid w:val="00AC6721"/>
    <w:rsid w:val="00AC6747"/>
    <w:rsid w:val="00AC6760"/>
    <w:rsid w:val="00AC67F0"/>
    <w:rsid w:val="00AC6857"/>
    <w:rsid w:val="00AC68BD"/>
    <w:rsid w:val="00AC68C3"/>
    <w:rsid w:val="00AC6915"/>
    <w:rsid w:val="00AC692D"/>
    <w:rsid w:val="00AC6961"/>
    <w:rsid w:val="00AC6995"/>
    <w:rsid w:val="00AC69F8"/>
    <w:rsid w:val="00AC69FD"/>
    <w:rsid w:val="00AC69FE"/>
    <w:rsid w:val="00AC6A03"/>
    <w:rsid w:val="00AC6A11"/>
    <w:rsid w:val="00AC6A41"/>
    <w:rsid w:val="00AC6A5E"/>
    <w:rsid w:val="00AC6A74"/>
    <w:rsid w:val="00AC6A84"/>
    <w:rsid w:val="00AC6A9A"/>
    <w:rsid w:val="00AC6A9D"/>
    <w:rsid w:val="00AC6AE7"/>
    <w:rsid w:val="00AC6B02"/>
    <w:rsid w:val="00AC6B35"/>
    <w:rsid w:val="00AC6B3B"/>
    <w:rsid w:val="00AC6B46"/>
    <w:rsid w:val="00AC6B8B"/>
    <w:rsid w:val="00AC6C21"/>
    <w:rsid w:val="00AC6C3F"/>
    <w:rsid w:val="00AC6C5C"/>
    <w:rsid w:val="00AC6C71"/>
    <w:rsid w:val="00AC6CCF"/>
    <w:rsid w:val="00AC6CDE"/>
    <w:rsid w:val="00AC6D02"/>
    <w:rsid w:val="00AC6D04"/>
    <w:rsid w:val="00AC6D27"/>
    <w:rsid w:val="00AC6D4B"/>
    <w:rsid w:val="00AC6D65"/>
    <w:rsid w:val="00AC6D94"/>
    <w:rsid w:val="00AC6D99"/>
    <w:rsid w:val="00AC6DC4"/>
    <w:rsid w:val="00AC6E20"/>
    <w:rsid w:val="00AC6E76"/>
    <w:rsid w:val="00AC6E86"/>
    <w:rsid w:val="00AC6EC1"/>
    <w:rsid w:val="00AC6ED5"/>
    <w:rsid w:val="00AC6EE7"/>
    <w:rsid w:val="00AC6F43"/>
    <w:rsid w:val="00AC6F4D"/>
    <w:rsid w:val="00AC6F68"/>
    <w:rsid w:val="00AC6FDF"/>
    <w:rsid w:val="00AC6FF5"/>
    <w:rsid w:val="00AC6FF8"/>
    <w:rsid w:val="00AC7043"/>
    <w:rsid w:val="00AC704A"/>
    <w:rsid w:val="00AC705A"/>
    <w:rsid w:val="00AC706E"/>
    <w:rsid w:val="00AC7097"/>
    <w:rsid w:val="00AC70A3"/>
    <w:rsid w:val="00AC70C2"/>
    <w:rsid w:val="00AC70CE"/>
    <w:rsid w:val="00AC70EC"/>
    <w:rsid w:val="00AC7194"/>
    <w:rsid w:val="00AC71F9"/>
    <w:rsid w:val="00AC71FE"/>
    <w:rsid w:val="00AC722C"/>
    <w:rsid w:val="00AC724C"/>
    <w:rsid w:val="00AC726E"/>
    <w:rsid w:val="00AC72DB"/>
    <w:rsid w:val="00AC7304"/>
    <w:rsid w:val="00AC7316"/>
    <w:rsid w:val="00AC732A"/>
    <w:rsid w:val="00AC732B"/>
    <w:rsid w:val="00AC7330"/>
    <w:rsid w:val="00AC7360"/>
    <w:rsid w:val="00AC738C"/>
    <w:rsid w:val="00AC73A1"/>
    <w:rsid w:val="00AC73A9"/>
    <w:rsid w:val="00AC73C2"/>
    <w:rsid w:val="00AC7452"/>
    <w:rsid w:val="00AC7518"/>
    <w:rsid w:val="00AC755C"/>
    <w:rsid w:val="00AC7576"/>
    <w:rsid w:val="00AC7595"/>
    <w:rsid w:val="00AC75BB"/>
    <w:rsid w:val="00AC75C5"/>
    <w:rsid w:val="00AC75EA"/>
    <w:rsid w:val="00AC75F9"/>
    <w:rsid w:val="00AC7605"/>
    <w:rsid w:val="00AC7647"/>
    <w:rsid w:val="00AC7690"/>
    <w:rsid w:val="00AC76C6"/>
    <w:rsid w:val="00AC76DA"/>
    <w:rsid w:val="00AC76DB"/>
    <w:rsid w:val="00AC7770"/>
    <w:rsid w:val="00AC7798"/>
    <w:rsid w:val="00AC77AE"/>
    <w:rsid w:val="00AC77EA"/>
    <w:rsid w:val="00AC7815"/>
    <w:rsid w:val="00AC7853"/>
    <w:rsid w:val="00AC7866"/>
    <w:rsid w:val="00AC7944"/>
    <w:rsid w:val="00AC799E"/>
    <w:rsid w:val="00AC7A03"/>
    <w:rsid w:val="00AC7A50"/>
    <w:rsid w:val="00AC7A63"/>
    <w:rsid w:val="00AC7A9F"/>
    <w:rsid w:val="00AC7AAF"/>
    <w:rsid w:val="00AC7AB9"/>
    <w:rsid w:val="00AC7B62"/>
    <w:rsid w:val="00AC7BCA"/>
    <w:rsid w:val="00AC7C35"/>
    <w:rsid w:val="00AC7C49"/>
    <w:rsid w:val="00AC7C9B"/>
    <w:rsid w:val="00AC7CBF"/>
    <w:rsid w:val="00AC7CD2"/>
    <w:rsid w:val="00AC7D1E"/>
    <w:rsid w:val="00AC7D33"/>
    <w:rsid w:val="00AC7D3C"/>
    <w:rsid w:val="00AC7D4D"/>
    <w:rsid w:val="00AC7DDF"/>
    <w:rsid w:val="00AC7E35"/>
    <w:rsid w:val="00AC7E4F"/>
    <w:rsid w:val="00AC7E71"/>
    <w:rsid w:val="00AC7E74"/>
    <w:rsid w:val="00AC7E86"/>
    <w:rsid w:val="00AC7EA8"/>
    <w:rsid w:val="00AC7EE9"/>
    <w:rsid w:val="00AC7EEA"/>
    <w:rsid w:val="00AC7EEB"/>
    <w:rsid w:val="00AC7F09"/>
    <w:rsid w:val="00AC7F0B"/>
    <w:rsid w:val="00AC7F90"/>
    <w:rsid w:val="00AC7F93"/>
    <w:rsid w:val="00AC7FE4"/>
    <w:rsid w:val="00AC7FF5"/>
    <w:rsid w:val="00AD0006"/>
    <w:rsid w:val="00AD003B"/>
    <w:rsid w:val="00AD0042"/>
    <w:rsid w:val="00AD0052"/>
    <w:rsid w:val="00AD00DE"/>
    <w:rsid w:val="00AD00E0"/>
    <w:rsid w:val="00AD0124"/>
    <w:rsid w:val="00AD015B"/>
    <w:rsid w:val="00AD015D"/>
    <w:rsid w:val="00AD016C"/>
    <w:rsid w:val="00AD01C8"/>
    <w:rsid w:val="00AD01CD"/>
    <w:rsid w:val="00AD01D1"/>
    <w:rsid w:val="00AD01E5"/>
    <w:rsid w:val="00AD0220"/>
    <w:rsid w:val="00AD022D"/>
    <w:rsid w:val="00AD027C"/>
    <w:rsid w:val="00AD02D7"/>
    <w:rsid w:val="00AD02E8"/>
    <w:rsid w:val="00AD0329"/>
    <w:rsid w:val="00AD0335"/>
    <w:rsid w:val="00AD033B"/>
    <w:rsid w:val="00AD034B"/>
    <w:rsid w:val="00AD0352"/>
    <w:rsid w:val="00AD03CD"/>
    <w:rsid w:val="00AD0400"/>
    <w:rsid w:val="00AD0406"/>
    <w:rsid w:val="00AD042D"/>
    <w:rsid w:val="00AD0474"/>
    <w:rsid w:val="00AD0493"/>
    <w:rsid w:val="00AD049B"/>
    <w:rsid w:val="00AD04B8"/>
    <w:rsid w:val="00AD04C5"/>
    <w:rsid w:val="00AD04D5"/>
    <w:rsid w:val="00AD054A"/>
    <w:rsid w:val="00AD0550"/>
    <w:rsid w:val="00AD0559"/>
    <w:rsid w:val="00AD055E"/>
    <w:rsid w:val="00AD0589"/>
    <w:rsid w:val="00AD05B0"/>
    <w:rsid w:val="00AD05D5"/>
    <w:rsid w:val="00AD05FD"/>
    <w:rsid w:val="00AD0632"/>
    <w:rsid w:val="00AD067E"/>
    <w:rsid w:val="00AD0682"/>
    <w:rsid w:val="00AD06BB"/>
    <w:rsid w:val="00AD06C4"/>
    <w:rsid w:val="00AD06DC"/>
    <w:rsid w:val="00AD070A"/>
    <w:rsid w:val="00AD0745"/>
    <w:rsid w:val="00AD0763"/>
    <w:rsid w:val="00AD079F"/>
    <w:rsid w:val="00AD07A1"/>
    <w:rsid w:val="00AD07C6"/>
    <w:rsid w:val="00AD0803"/>
    <w:rsid w:val="00AD0806"/>
    <w:rsid w:val="00AD082F"/>
    <w:rsid w:val="00AD0891"/>
    <w:rsid w:val="00AD08A4"/>
    <w:rsid w:val="00AD08AB"/>
    <w:rsid w:val="00AD08C4"/>
    <w:rsid w:val="00AD08C6"/>
    <w:rsid w:val="00AD08FA"/>
    <w:rsid w:val="00AD092A"/>
    <w:rsid w:val="00AD095B"/>
    <w:rsid w:val="00AD0972"/>
    <w:rsid w:val="00AD09B4"/>
    <w:rsid w:val="00AD09C9"/>
    <w:rsid w:val="00AD09D0"/>
    <w:rsid w:val="00AD09EE"/>
    <w:rsid w:val="00AD0A09"/>
    <w:rsid w:val="00AD0A43"/>
    <w:rsid w:val="00AD0AAA"/>
    <w:rsid w:val="00AD0B38"/>
    <w:rsid w:val="00AD0B7F"/>
    <w:rsid w:val="00AD0C2F"/>
    <w:rsid w:val="00AD0C36"/>
    <w:rsid w:val="00AD0C51"/>
    <w:rsid w:val="00AD0C6B"/>
    <w:rsid w:val="00AD0C7F"/>
    <w:rsid w:val="00AD0C95"/>
    <w:rsid w:val="00AD0CB9"/>
    <w:rsid w:val="00AD0D0A"/>
    <w:rsid w:val="00AD0D11"/>
    <w:rsid w:val="00AD0D29"/>
    <w:rsid w:val="00AD0D2B"/>
    <w:rsid w:val="00AD0D4E"/>
    <w:rsid w:val="00AD0D5E"/>
    <w:rsid w:val="00AD0D70"/>
    <w:rsid w:val="00AD0D96"/>
    <w:rsid w:val="00AD0DB3"/>
    <w:rsid w:val="00AD0DB6"/>
    <w:rsid w:val="00AD0DC3"/>
    <w:rsid w:val="00AD0DF9"/>
    <w:rsid w:val="00AD0E12"/>
    <w:rsid w:val="00AD0E2A"/>
    <w:rsid w:val="00AD0E42"/>
    <w:rsid w:val="00AD0E5C"/>
    <w:rsid w:val="00AD0EC3"/>
    <w:rsid w:val="00AD0ECB"/>
    <w:rsid w:val="00AD0F2A"/>
    <w:rsid w:val="00AD0F3E"/>
    <w:rsid w:val="00AD0F3F"/>
    <w:rsid w:val="00AD0F9D"/>
    <w:rsid w:val="00AD0FBF"/>
    <w:rsid w:val="00AD1021"/>
    <w:rsid w:val="00AD1046"/>
    <w:rsid w:val="00AD109D"/>
    <w:rsid w:val="00AD10D9"/>
    <w:rsid w:val="00AD10FD"/>
    <w:rsid w:val="00AD114B"/>
    <w:rsid w:val="00AD1152"/>
    <w:rsid w:val="00AD115E"/>
    <w:rsid w:val="00AD11CB"/>
    <w:rsid w:val="00AD1211"/>
    <w:rsid w:val="00AD122E"/>
    <w:rsid w:val="00AD1242"/>
    <w:rsid w:val="00AD125F"/>
    <w:rsid w:val="00AD1282"/>
    <w:rsid w:val="00AD129F"/>
    <w:rsid w:val="00AD12AE"/>
    <w:rsid w:val="00AD12CF"/>
    <w:rsid w:val="00AD12E2"/>
    <w:rsid w:val="00AD130D"/>
    <w:rsid w:val="00AD1315"/>
    <w:rsid w:val="00AD131A"/>
    <w:rsid w:val="00AD1353"/>
    <w:rsid w:val="00AD144E"/>
    <w:rsid w:val="00AD14E7"/>
    <w:rsid w:val="00AD154E"/>
    <w:rsid w:val="00AD156D"/>
    <w:rsid w:val="00AD157C"/>
    <w:rsid w:val="00AD1593"/>
    <w:rsid w:val="00AD15AA"/>
    <w:rsid w:val="00AD15BE"/>
    <w:rsid w:val="00AD161A"/>
    <w:rsid w:val="00AD166A"/>
    <w:rsid w:val="00AD1696"/>
    <w:rsid w:val="00AD17BE"/>
    <w:rsid w:val="00AD1814"/>
    <w:rsid w:val="00AD183E"/>
    <w:rsid w:val="00AD189B"/>
    <w:rsid w:val="00AD18BC"/>
    <w:rsid w:val="00AD18FA"/>
    <w:rsid w:val="00AD1905"/>
    <w:rsid w:val="00AD1931"/>
    <w:rsid w:val="00AD198B"/>
    <w:rsid w:val="00AD199C"/>
    <w:rsid w:val="00AD19B7"/>
    <w:rsid w:val="00AD1A3C"/>
    <w:rsid w:val="00AD1A7D"/>
    <w:rsid w:val="00AD1B06"/>
    <w:rsid w:val="00AD1B6B"/>
    <w:rsid w:val="00AD1B6C"/>
    <w:rsid w:val="00AD1B93"/>
    <w:rsid w:val="00AD1BC5"/>
    <w:rsid w:val="00AD1BCD"/>
    <w:rsid w:val="00AD1BDC"/>
    <w:rsid w:val="00AD1C12"/>
    <w:rsid w:val="00AD1C93"/>
    <w:rsid w:val="00AD1CDE"/>
    <w:rsid w:val="00AD1D21"/>
    <w:rsid w:val="00AD1D30"/>
    <w:rsid w:val="00AD1D73"/>
    <w:rsid w:val="00AD1D8A"/>
    <w:rsid w:val="00AD1EA0"/>
    <w:rsid w:val="00AD1EB9"/>
    <w:rsid w:val="00AD1EDD"/>
    <w:rsid w:val="00AD1EF3"/>
    <w:rsid w:val="00AD1EF6"/>
    <w:rsid w:val="00AD1EFE"/>
    <w:rsid w:val="00AD1F33"/>
    <w:rsid w:val="00AD1F48"/>
    <w:rsid w:val="00AD1F6B"/>
    <w:rsid w:val="00AD1FBA"/>
    <w:rsid w:val="00AD1FCF"/>
    <w:rsid w:val="00AD1FEC"/>
    <w:rsid w:val="00AD204B"/>
    <w:rsid w:val="00AD2077"/>
    <w:rsid w:val="00AD2089"/>
    <w:rsid w:val="00AD20B7"/>
    <w:rsid w:val="00AD2100"/>
    <w:rsid w:val="00AD2196"/>
    <w:rsid w:val="00AD21AB"/>
    <w:rsid w:val="00AD21DC"/>
    <w:rsid w:val="00AD21EC"/>
    <w:rsid w:val="00AD21FB"/>
    <w:rsid w:val="00AD221F"/>
    <w:rsid w:val="00AD2223"/>
    <w:rsid w:val="00AD22C7"/>
    <w:rsid w:val="00AD2306"/>
    <w:rsid w:val="00AD2317"/>
    <w:rsid w:val="00AD233B"/>
    <w:rsid w:val="00AD2389"/>
    <w:rsid w:val="00AD23A9"/>
    <w:rsid w:val="00AD23B3"/>
    <w:rsid w:val="00AD23DC"/>
    <w:rsid w:val="00AD23E0"/>
    <w:rsid w:val="00AD24B4"/>
    <w:rsid w:val="00AD24CA"/>
    <w:rsid w:val="00AD2573"/>
    <w:rsid w:val="00AD25BB"/>
    <w:rsid w:val="00AD25D1"/>
    <w:rsid w:val="00AD260C"/>
    <w:rsid w:val="00AD261A"/>
    <w:rsid w:val="00AD2626"/>
    <w:rsid w:val="00AD264F"/>
    <w:rsid w:val="00AD2659"/>
    <w:rsid w:val="00AD2684"/>
    <w:rsid w:val="00AD26C7"/>
    <w:rsid w:val="00AD26E3"/>
    <w:rsid w:val="00AD2703"/>
    <w:rsid w:val="00AD2717"/>
    <w:rsid w:val="00AD2720"/>
    <w:rsid w:val="00AD2724"/>
    <w:rsid w:val="00AD27AF"/>
    <w:rsid w:val="00AD27BF"/>
    <w:rsid w:val="00AD27CC"/>
    <w:rsid w:val="00AD2857"/>
    <w:rsid w:val="00AD2868"/>
    <w:rsid w:val="00AD28AC"/>
    <w:rsid w:val="00AD28AF"/>
    <w:rsid w:val="00AD28C2"/>
    <w:rsid w:val="00AD28F3"/>
    <w:rsid w:val="00AD290C"/>
    <w:rsid w:val="00AD2942"/>
    <w:rsid w:val="00AD2967"/>
    <w:rsid w:val="00AD2979"/>
    <w:rsid w:val="00AD2984"/>
    <w:rsid w:val="00AD29A2"/>
    <w:rsid w:val="00AD29C1"/>
    <w:rsid w:val="00AD29D3"/>
    <w:rsid w:val="00AD2A64"/>
    <w:rsid w:val="00AD2B86"/>
    <w:rsid w:val="00AD2B95"/>
    <w:rsid w:val="00AD2BA1"/>
    <w:rsid w:val="00AD2BE8"/>
    <w:rsid w:val="00AD2C8E"/>
    <w:rsid w:val="00AD2CA3"/>
    <w:rsid w:val="00AD2CF6"/>
    <w:rsid w:val="00AD2D46"/>
    <w:rsid w:val="00AD2DB9"/>
    <w:rsid w:val="00AD2DC4"/>
    <w:rsid w:val="00AD2E40"/>
    <w:rsid w:val="00AD2E90"/>
    <w:rsid w:val="00AD2EC4"/>
    <w:rsid w:val="00AD2F45"/>
    <w:rsid w:val="00AD2F55"/>
    <w:rsid w:val="00AD30AA"/>
    <w:rsid w:val="00AD3147"/>
    <w:rsid w:val="00AD314C"/>
    <w:rsid w:val="00AD318F"/>
    <w:rsid w:val="00AD31B3"/>
    <w:rsid w:val="00AD31BB"/>
    <w:rsid w:val="00AD3202"/>
    <w:rsid w:val="00AD321A"/>
    <w:rsid w:val="00AD323C"/>
    <w:rsid w:val="00AD324F"/>
    <w:rsid w:val="00AD326D"/>
    <w:rsid w:val="00AD3272"/>
    <w:rsid w:val="00AD32F8"/>
    <w:rsid w:val="00AD331E"/>
    <w:rsid w:val="00AD3385"/>
    <w:rsid w:val="00AD340B"/>
    <w:rsid w:val="00AD3426"/>
    <w:rsid w:val="00AD3496"/>
    <w:rsid w:val="00AD34D6"/>
    <w:rsid w:val="00AD34E0"/>
    <w:rsid w:val="00AD34F2"/>
    <w:rsid w:val="00AD351B"/>
    <w:rsid w:val="00AD352E"/>
    <w:rsid w:val="00AD3545"/>
    <w:rsid w:val="00AD35AC"/>
    <w:rsid w:val="00AD360A"/>
    <w:rsid w:val="00AD363B"/>
    <w:rsid w:val="00AD3684"/>
    <w:rsid w:val="00AD36B6"/>
    <w:rsid w:val="00AD371B"/>
    <w:rsid w:val="00AD3797"/>
    <w:rsid w:val="00AD37A9"/>
    <w:rsid w:val="00AD37C9"/>
    <w:rsid w:val="00AD3868"/>
    <w:rsid w:val="00AD386E"/>
    <w:rsid w:val="00AD3873"/>
    <w:rsid w:val="00AD3882"/>
    <w:rsid w:val="00AD38AB"/>
    <w:rsid w:val="00AD38FE"/>
    <w:rsid w:val="00AD395E"/>
    <w:rsid w:val="00AD39AE"/>
    <w:rsid w:val="00AD39C0"/>
    <w:rsid w:val="00AD3A2C"/>
    <w:rsid w:val="00AD3A4B"/>
    <w:rsid w:val="00AD3A54"/>
    <w:rsid w:val="00AD3A77"/>
    <w:rsid w:val="00AD3AB9"/>
    <w:rsid w:val="00AD3AF0"/>
    <w:rsid w:val="00AD3B35"/>
    <w:rsid w:val="00AD3B7A"/>
    <w:rsid w:val="00AD3C0B"/>
    <w:rsid w:val="00AD3C26"/>
    <w:rsid w:val="00AD3C4F"/>
    <w:rsid w:val="00AD3C66"/>
    <w:rsid w:val="00AD3C7F"/>
    <w:rsid w:val="00AD3CA9"/>
    <w:rsid w:val="00AD3CD2"/>
    <w:rsid w:val="00AD3CF6"/>
    <w:rsid w:val="00AD3D47"/>
    <w:rsid w:val="00AD3D74"/>
    <w:rsid w:val="00AD3D88"/>
    <w:rsid w:val="00AD3DD2"/>
    <w:rsid w:val="00AD3DD6"/>
    <w:rsid w:val="00AD3EB0"/>
    <w:rsid w:val="00AD3EBB"/>
    <w:rsid w:val="00AD3EF7"/>
    <w:rsid w:val="00AD3F4E"/>
    <w:rsid w:val="00AD3F51"/>
    <w:rsid w:val="00AD3F5C"/>
    <w:rsid w:val="00AD3F7C"/>
    <w:rsid w:val="00AD3FA9"/>
    <w:rsid w:val="00AD3FBE"/>
    <w:rsid w:val="00AD4031"/>
    <w:rsid w:val="00AD4049"/>
    <w:rsid w:val="00AD4079"/>
    <w:rsid w:val="00AD40BB"/>
    <w:rsid w:val="00AD40BF"/>
    <w:rsid w:val="00AD40CA"/>
    <w:rsid w:val="00AD40E5"/>
    <w:rsid w:val="00AD40F4"/>
    <w:rsid w:val="00AD41D8"/>
    <w:rsid w:val="00AD4220"/>
    <w:rsid w:val="00AD423D"/>
    <w:rsid w:val="00AD4279"/>
    <w:rsid w:val="00AD4281"/>
    <w:rsid w:val="00AD42B0"/>
    <w:rsid w:val="00AD42DF"/>
    <w:rsid w:val="00AD42F8"/>
    <w:rsid w:val="00AD430D"/>
    <w:rsid w:val="00AD4325"/>
    <w:rsid w:val="00AD433C"/>
    <w:rsid w:val="00AD4374"/>
    <w:rsid w:val="00AD4378"/>
    <w:rsid w:val="00AD43CE"/>
    <w:rsid w:val="00AD43E3"/>
    <w:rsid w:val="00AD4438"/>
    <w:rsid w:val="00AD449F"/>
    <w:rsid w:val="00AD44C8"/>
    <w:rsid w:val="00AD4511"/>
    <w:rsid w:val="00AD451E"/>
    <w:rsid w:val="00AD4524"/>
    <w:rsid w:val="00AD454E"/>
    <w:rsid w:val="00AD4567"/>
    <w:rsid w:val="00AD4580"/>
    <w:rsid w:val="00AD45BF"/>
    <w:rsid w:val="00AD45C2"/>
    <w:rsid w:val="00AD45D1"/>
    <w:rsid w:val="00AD45EF"/>
    <w:rsid w:val="00AD45F6"/>
    <w:rsid w:val="00AD4657"/>
    <w:rsid w:val="00AD4676"/>
    <w:rsid w:val="00AD46A4"/>
    <w:rsid w:val="00AD46B5"/>
    <w:rsid w:val="00AD46C5"/>
    <w:rsid w:val="00AD46EC"/>
    <w:rsid w:val="00AD4703"/>
    <w:rsid w:val="00AD4776"/>
    <w:rsid w:val="00AD4791"/>
    <w:rsid w:val="00AD47BB"/>
    <w:rsid w:val="00AD47BE"/>
    <w:rsid w:val="00AD47C1"/>
    <w:rsid w:val="00AD47C8"/>
    <w:rsid w:val="00AD4816"/>
    <w:rsid w:val="00AD4836"/>
    <w:rsid w:val="00AD488B"/>
    <w:rsid w:val="00AD4890"/>
    <w:rsid w:val="00AD492F"/>
    <w:rsid w:val="00AD4950"/>
    <w:rsid w:val="00AD4953"/>
    <w:rsid w:val="00AD4968"/>
    <w:rsid w:val="00AD4969"/>
    <w:rsid w:val="00AD496D"/>
    <w:rsid w:val="00AD499C"/>
    <w:rsid w:val="00AD49F4"/>
    <w:rsid w:val="00AD4A0F"/>
    <w:rsid w:val="00AD4A10"/>
    <w:rsid w:val="00AD4A39"/>
    <w:rsid w:val="00AD4A3A"/>
    <w:rsid w:val="00AD4A5E"/>
    <w:rsid w:val="00AD4A76"/>
    <w:rsid w:val="00AD4A81"/>
    <w:rsid w:val="00AD4A98"/>
    <w:rsid w:val="00AD4AB1"/>
    <w:rsid w:val="00AD4AC0"/>
    <w:rsid w:val="00AD4B40"/>
    <w:rsid w:val="00AD4B5A"/>
    <w:rsid w:val="00AD4B96"/>
    <w:rsid w:val="00AD4BF0"/>
    <w:rsid w:val="00AD4C45"/>
    <w:rsid w:val="00AD4C60"/>
    <w:rsid w:val="00AD4C6E"/>
    <w:rsid w:val="00AD4CB4"/>
    <w:rsid w:val="00AD4CBB"/>
    <w:rsid w:val="00AD4CBC"/>
    <w:rsid w:val="00AD4D28"/>
    <w:rsid w:val="00AD4D70"/>
    <w:rsid w:val="00AD4DAB"/>
    <w:rsid w:val="00AD4E04"/>
    <w:rsid w:val="00AD4E18"/>
    <w:rsid w:val="00AD4E31"/>
    <w:rsid w:val="00AD4E3E"/>
    <w:rsid w:val="00AD4E65"/>
    <w:rsid w:val="00AD4EE6"/>
    <w:rsid w:val="00AD4EF1"/>
    <w:rsid w:val="00AD4F17"/>
    <w:rsid w:val="00AD4F25"/>
    <w:rsid w:val="00AD4F32"/>
    <w:rsid w:val="00AD4FAE"/>
    <w:rsid w:val="00AD4FC6"/>
    <w:rsid w:val="00AD4FCD"/>
    <w:rsid w:val="00AD4FD3"/>
    <w:rsid w:val="00AD4FD6"/>
    <w:rsid w:val="00AD4FD7"/>
    <w:rsid w:val="00AD4FEB"/>
    <w:rsid w:val="00AD5002"/>
    <w:rsid w:val="00AD5005"/>
    <w:rsid w:val="00AD5006"/>
    <w:rsid w:val="00AD503C"/>
    <w:rsid w:val="00AD5082"/>
    <w:rsid w:val="00AD50BA"/>
    <w:rsid w:val="00AD50CC"/>
    <w:rsid w:val="00AD512F"/>
    <w:rsid w:val="00AD5161"/>
    <w:rsid w:val="00AD5182"/>
    <w:rsid w:val="00AD51EB"/>
    <w:rsid w:val="00AD5205"/>
    <w:rsid w:val="00AD5228"/>
    <w:rsid w:val="00AD5231"/>
    <w:rsid w:val="00AD5284"/>
    <w:rsid w:val="00AD52B5"/>
    <w:rsid w:val="00AD530F"/>
    <w:rsid w:val="00AD5318"/>
    <w:rsid w:val="00AD533F"/>
    <w:rsid w:val="00AD5351"/>
    <w:rsid w:val="00AD5380"/>
    <w:rsid w:val="00AD53F4"/>
    <w:rsid w:val="00AD541D"/>
    <w:rsid w:val="00AD5448"/>
    <w:rsid w:val="00AD545D"/>
    <w:rsid w:val="00AD5494"/>
    <w:rsid w:val="00AD54A6"/>
    <w:rsid w:val="00AD54B3"/>
    <w:rsid w:val="00AD5528"/>
    <w:rsid w:val="00AD553E"/>
    <w:rsid w:val="00AD55A5"/>
    <w:rsid w:val="00AD55B0"/>
    <w:rsid w:val="00AD55CB"/>
    <w:rsid w:val="00AD560C"/>
    <w:rsid w:val="00AD5616"/>
    <w:rsid w:val="00AD5684"/>
    <w:rsid w:val="00AD5689"/>
    <w:rsid w:val="00AD56A1"/>
    <w:rsid w:val="00AD56B2"/>
    <w:rsid w:val="00AD56E2"/>
    <w:rsid w:val="00AD576B"/>
    <w:rsid w:val="00AD578D"/>
    <w:rsid w:val="00AD5812"/>
    <w:rsid w:val="00AD5839"/>
    <w:rsid w:val="00AD583C"/>
    <w:rsid w:val="00AD584A"/>
    <w:rsid w:val="00AD5856"/>
    <w:rsid w:val="00AD5879"/>
    <w:rsid w:val="00AD5891"/>
    <w:rsid w:val="00AD58C3"/>
    <w:rsid w:val="00AD58DA"/>
    <w:rsid w:val="00AD590D"/>
    <w:rsid w:val="00AD596A"/>
    <w:rsid w:val="00AD5997"/>
    <w:rsid w:val="00AD59E3"/>
    <w:rsid w:val="00AD5A4B"/>
    <w:rsid w:val="00AD5A81"/>
    <w:rsid w:val="00AD5AE1"/>
    <w:rsid w:val="00AD5B1E"/>
    <w:rsid w:val="00AD5B1F"/>
    <w:rsid w:val="00AD5B39"/>
    <w:rsid w:val="00AD5B42"/>
    <w:rsid w:val="00AD5B59"/>
    <w:rsid w:val="00AD5B5D"/>
    <w:rsid w:val="00AD5B9B"/>
    <w:rsid w:val="00AD5BE4"/>
    <w:rsid w:val="00AD5C28"/>
    <w:rsid w:val="00AD5C35"/>
    <w:rsid w:val="00AD5CE4"/>
    <w:rsid w:val="00AD5CE6"/>
    <w:rsid w:val="00AD5CF4"/>
    <w:rsid w:val="00AD5D0D"/>
    <w:rsid w:val="00AD5D1B"/>
    <w:rsid w:val="00AD5D24"/>
    <w:rsid w:val="00AD5D2A"/>
    <w:rsid w:val="00AD5D47"/>
    <w:rsid w:val="00AD5D58"/>
    <w:rsid w:val="00AD5DC7"/>
    <w:rsid w:val="00AD5DED"/>
    <w:rsid w:val="00AD5E9E"/>
    <w:rsid w:val="00AD5F1C"/>
    <w:rsid w:val="00AD5F9C"/>
    <w:rsid w:val="00AD5FEC"/>
    <w:rsid w:val="00AD5FFF"/>
    <w:rsid w:val="00AD60B3"/>
    <w:rsid w:val="00AD60EB"/>
    <w:rsid w:val="00AD60F1"/>
    <w:rsid w:val="00AD611F"/>
    <w:rsid w:val="00AD6170"/>
    <w:rsid w:val="00AD61A5"/>
    <w:rsid w:val="00AD61B1"/>
    <w:rsid w:val="00AD61CD"/>
    <w:rsid w:val="00AD61E1"/>
    <w:rsid w:val="00AD61E3"/>
    <w:rsid w:val="00AD61FA"/>
    <w:rsid w:val="00AD620E"/>
    <w:rsid w:val="00AD6226"/>
    <w:rsid w:val="00AD6236"/>
    <w:rsid w:val="00AD6243"/>
    <w:rsid w:val="00AD6253"/>
    <w:rsid w:val="00AD6286"/>
    <w:rsid w:val="00AD629D"/>
    <w:rsid w:val="00AD62BA"/>
    <w:rsid w:val="00AD62C9"/>
    <w:rsid w:val="00AD6330"/>
    <w:rsid w:val="00AD6338"/>
    <w:rsid w:val="00AD63E3"/>
    <w:rsid w:val="00AD6477"/>
    <w:rsid w:val="00AD64AB"/>
    <w:rsid w:val="00AD64D4"/>
    <w:rsid w:val="00AD64EF"/>
    <w:rsid w:val="00AD64F1"/>
    <w:rsid w:val="00AD64FB"/>
    <w:rsid w:val="00AD651C"/>
    <w:rsid w:val="00AD6524"/>
    <w:rsid w:val="00AD6549"/>
    <w:rsid w:val="00AD6584"/>
    <w:rsid w:val="00AD658E"/>
    <w:rsid w:val="00AD659D"/>
    <w:rsid w:val="00AD65A2"/>
    <w:rsid w:val="00AD65B8"/>
    <w:rsid w:val="00AD65CF"/>
    <w:rsid w:val="00AD6605"/>
    <w:rsid w:val="00AD660E"/>
    <w:rsid w:val="00AD66CE"/>
    <w:rsid w:val="00AD66D1"/>
    <w:rsid w:val="00AD66D5"/>
    <w:rsid w:val="00AD66ED"/>
    <w:rsid w:val="00AD6716"/>
    <w:rsid w:val="00AD6721"/>
    <w:rsid w:val="00AD673B"/>
    <w:rsid w:val="00AD6756"/>
    <w:rsid w:val="00AD675D"/>
    <w:rsid w:val="00AD677A"/>
    <w:rsid w:val="00AD6839"/>
    <w:rsid w:val="00AD6878"/>
    <w:rsid w:val="00AD6881"/>
    <w:rsid w:val="00AD688F"/>
    <w:rsid w:val="00AD68AE"/>
    <w:rsid w:val="00AD68FF"/>
    <w:rsid w:val="00AD6915"/>
    <w:rsid w:val="00AD6944"/>
    <w:rsid w:val="00AD6957"/>
    <w:rsid w:val="00AD6962"/>
    <w:rsid w:val="00AD697C"/>
    <w:rsid w:val="00AD699E"/>
    <w:rsid w:val="00AD69B8"/>
    <w:rsid w:val="00AD69DD"/>
    <w:rsid w:val="00AD6A10"/>
    <w:rsid w:val="00AD6A23"/>
    <w:rsid w:val="00AD6A99"/>
    <w:rsid w:val="00AD6ADE"/>
    <w:rsid w:val="00AD6B22"/>
    <w:rsid w:val="00AD6B54"/>
    <w:rsid w:val="00AD6B99"/>
    <w:rsid w:val="00AD6B9E"/>
    <w:rsid w:val="00AD6BAD"/>
    <w:rsid w:val="00AD6BBB"/>
    <w:rsid w:val="00AD6BC5"/>
    <w:rsid w:val="00AD6BFF"/>
    <w:rsid w:val="00AD6C4B"/>
    <w:rsid w:val="00AD6C5E"/>
    <w:rsid w:val="00AD6C80"/>
    <w:rsid w:val="00AD6CBB"/>
    <w:rsid w:val="00AD6D03"/>
    <w:rsid w:val="00AD6D0E"/>
    <w:rsid w:val="00AD6D15"/>
    <w:rsid w:val="00AD6D19"/>
    <w:rsid w:val="00AD6D32"/>
    <w:rsid w:val="00AD6D57"/>
    <w:rsid w:val="00AD6D7C"/>
    <w:rsid w:val="00AD6DB9"/>
    <w:rsid w:val="00AD6DD4"/>
    <w:rsid w:val="00AD6DDF"/>
    <w:rsid w:val="00AD6DF0"/>
    <w:rsid w:val="00AD6E0B"/>
    <w:rsid w:val="00AD6E58"/>
    <w:rsid w:val="00AD6E76"/>
    <w:rsid w:val="00AD6E97"/>
    <w:rsid w:val="00AD6EC3"/>
    <w:rsid w:val="00AD6EDE"/>
    <w:rsid w:val="00AD6EE5"/>
    <w:rsid w:val="00AD6EED"/>
    <w:rsid w:val="00AD6EF1"/>
    <w:rsid w:val="00AD6F4F"/>
    <w:rsid w:val="00AD6F71"/>
    <w:rsid w:val="00AD6FC2"/>
    <w:rsid w:val="00AD7014"/>
    <w:rsid w:val="00AD702D"/>
    <w:rsid w:val="00AD7066"/>
    <w:rsid w:val="00AD70A5"/>
    <w:rsid w:val="00AD70C7"/>
    <w:rsid w:val="00AD70DF"/>
    <w:rsid w:val="00AD70FA"/>
    <w:rsid w:val="00AD7111"/>
    <w:rsid w:val="00AD715E"/>
    <w:rsid w:val="00AD71D8"/>
    <w:rsid w:val="00AD721A"/>
    <w:rsid w:val="00AD722B"/>
    <w:rsid w:val="00AD7252"/>
    <w:rsid w:val="00AD72D1"/>
    <w:rsid w:val="00AD72E4"/>
    <w:rsid w:val="00AD732F"/>
    <w:rsid w:val="00AD734F"/>
    <w:rsid w:val="00AD7356"/>
    <w:rsid w:val="00AD738E"/>
    <w:rsid w:val="00AD739A"/>
    <w:rsid w:val="00AD73C4"/>
    <w:rsid w:val="00AD73D6"/>
    <w:rsid w:val="00AD73DF"/>
    <w:rsid w:val="00AD73F7"/>
    <w:rsid w:val="00AD7424"/>
    <w:rsid w:val="00AD7453"/>
    <w:rsid w:val="00AD7462"/>
    <w:rsid w:val="00AD7464"/>
    <w:rsid w:val="00AD7480"/>
    <w:rsid w:val="00AD74A0"/>
    <w:rsid w:val="00AD751A"/>
    <w:rsid w:val="00AD752C"/>
    <w:rsid w:val="00AD7530"/>
    <w:rsid w:val="00AD754F"/>
    <w:rsid w:val="00AD7570"/>
    <w:rsid w:val="00AD75B9"/>
    <w:rsid w:val="00AD75BF"/>
    <w:rsid w:val="00AD761D"/>
    <w:rsid w:val="00AD7632"/>
    <w:rsid w:val="00AD7674"/>
    <w:rsid w:val="00AD76C2"/>
    <w:rsid w:val="00AD7701"/>
    <w:rsid w:val="00AD77C0"/>
    <w:rsid w:val="00AD77CB"/>
    <w:rsid w:val="00AD7824"/>
    <w:rsid w:val="00AD785D"/>
    <w:rsid w:val="00AD787D"/>
    <w:rsid w:val="00AD78B1"/>
    <w:rsid w:val="00AD78C4"/>
    <w:rsid w:val="00AD78E8"/>
    <w:rsid w:val="00AD7901"/>
    <w:rsid w:val="00AD7903"/>
    <w:rsid w:val="00AD792B"/>
    <w:rsid w:val="00AD7933"/>
    <w:rsid w:val="00AD7949"/>
    <w:rsid w:val="00AD795D"/>
    <w:rsid w:val="00AD7983"/>
    <w:rsid w:val="00AD79C7"/>
    <w:rsid w:val="00AD79E8"/>
    <w:rsid w:val="00AD7A82"/>
    <w:rsid w:val="00AD7AE0"/>
    <w:rsid w:val="00AD7B18"/>
    <w:rsid w:val="00AD7B21"/>
    <w:rsid w:val="00AD7B66"/>
    <w:rsid w:val="00AD7C03"/>
    <w:rsid w:val="00AD7C4D"/>
    <w:rsid w:val="00AD7C78"/>
    <w:rsid w:val="00AD7C94"/>
    <w:rsid w:val="00AD7CD3"/>
    <w:rsid w:val="00AD7CDA"/>
    <w:rsid w:val="00AD7CEB"/>
    <w:rsid w:val="00AD7D1D"/>
    <w:rsid w:val="00AD7D31"/>
    <w:rsid w:val="00AD7D7D"/>
    <w:rsid w:val="00AD7DD4"/>
    <w:rsid w:val="00AD7DE3"/>
    <w:rsid w:val="00AD7E1F"/>
    <w:rsid w:val="00AD7E6A"/>
    <w:rsid w:val="00AD7E88"/>
    <w:rsid w:val="00AD7E90"/>
    <w:rsid w:val="00AD7F2B"/>
    <w:rsid w:val="00AD7F41"/>
    <w:rsid w:val="00AD7F6C"/>
    <w:rsid w:val="00AD7F8A"/>
    <w:rsid w:val="00AD7FB4"/>
    <w:rsid w:val="00AD7FBD"/>
    <w:rsid w:val="00AD7FCE"/>
    <w:rsid w:val="00AE0016"/>
    <w:rsid w:val="00AE00D6"/>
    <w:rsid w:val="00AE0145"/>
    <w:rsid w:val="00AE0146"/>
    <w:rsid w:val="00AE014C"/>
    <w:rsid w:val="00AE019C"/>
    <w:rsid w:val="00AE01BB"/>
    <w:rsid w:val="00AE022D"/>
    <w:rsid w:val="00AE023B"/>
    <w:rsid w:val="00AE0264"/>
    <w:rsid w:val="00AE0274"/>
    <w:rsid w:val="00AE02AC"/>
    <w:rsid w:val="00AE02CA"/>
    <w:rsid w:val="00AE0318"/>
    <w:rsid w:val="00AE0322"/>
    <w:rsid w:val="00AE039C"/>
    <w:rsid w:val="00AE042A"/>
    <w:rsid w:val="00AE0480"/>
    <w:rsid w:val="00AE0494"/>
    <w:rsid w:val="00AE053C"/>
    <w:rsid w:val="00AE05BA"/>
    <w:rsid w:val="00AE05C6"/>
    <w:rsid w:val="00AE05E1"/>
    <w:rsid w:val="00AE05E9"/>
    <w:rsid w:val="00AE06DA"/>
    <w:rsid w:val="00AE06F4"/>
    <w:rsid w:val="00AE0724"/>
    <w:rsid w:val="00AE074F"/>
    <w:rsid w:val="00AE07B5"/>
    <w:rsid w:val="00AE07C4"/>
    <w:rsid w:val="00AE0801"/>
    <w:rsid w:val="00AE080C"/>
    <w:rsid w:val="00AE0838"/>
    <w:rsid w:val="00AE083B"/>
    <w:rsid w:val="00AE0884"/>
    <w:rsid w:val="00AE0889"/>
    <w:rsid w:val="00AE088D"/>
    <w:rsid w:val="00AE08A8"/>
    <w:rsid w:val="00AE08C3"/>
    <w:rsid w:val="00AE0928"/>
    <w:rsid w:val="00AE093C"/>
    <w:rsid w:val="00AE0965"/>
    <w:rsid w:val="00AE098D"/>
    <w:rsid w:val="00AE09A0"/>
    <w:rsid w:val="00AE09A1"/>
    <w:rsid w:val="00AE09E5"/>
    <w:rsid w:val="00AE0A9A"/>
    <w:rsid w:val="00AE0AFB"/>
    <w:rsid w:val="00AE0B39"/>
    <w:rsid w:val="00AE0B61"/>
    <w:rsid w:val="00AE0B98"/>
    <w:rsid w:val="00AE0BF6"/>
    <w:rsid w:val="00AE0C2A"/>
    <w:rsid w:val="00AE0C42"/>
    <w:rsid w:val="00AE0C44"/>
    <w:rsid w:val="00AE0C6F"/>
    <w:rsid w:val="00AE0C88"/>
    <w:rsid w:val="00AE0CC6"/>
    <w:rsid w:val="00AE0CDB"/>
    <w:rsid w:val="00AE0CE6"/>
    <w:rsid w:val="00AE0CFE"/>
    <w:rsid w:val="00AE0D12"/>
    <w:rsid w:val="00AE0D60"/>
    <w:rsid w:val="00AE0D68"/>
    <w:rsid w:val="00AE0D9E"/>
    <w:rsid w:val="00AE0DD5"/>
    <w:rsid w:val="00AE0DE9"/>
    <w:rsid w:val="00AE0DEB"/>
    <w:rsid w:val="00AE0EEC"/>
    <w:rsid w:val="00AE0F7C"/>
    <w:rsid w:val="00AE0F9F"/>
    <w:rsid w:val="00AE0FEE"/>
    <w:rsid w:val="00AE100E"/>
    <w:rsid w:val="00AE1010"/>
    <w:rsid w:val="00AE106C"/>
    <w:rsid w:val="00AE10A0"/>
    <w:rsid w:val="00AE114E"/>
    <w:rsid w:val="00AE1158"/>
    <w:rsid w:val="00AE117A"/>
    <w:rsid w:val="00AE1208"/>
    <w:rsid w:val="00AE120C"/>
    <w:rsid w:val="00AE121C"/>
    <w:rsid w:val="00AE127E"/>
    <w:rsid w:val="00AE1296"/>
    <w:rsid w:val="00AE12CB"/>
    <w:rsid w:val="00AE12D9"/>
    <w:rsid w:val="00AE12DC"/>
    <w:rsid w:val="00AE134E"/>
    <w:rsid w:val="00AE1383"/>
    <w:rsid w:val="00AE13D4"/>
    <w:rsid w:val="00AE144F"/>
    <w:rsid w:val="00AE145D"/>
    <w:rsid w:val="00AE1473"/>
    <w:rsid w:val="00AE1475"/>
    <w:rsid w:val="00AE147B"/>
    <w:rsid w:val="00AE14C7"/>
    <w:rsid w:val="00AE14E1"/>
    <w:rsid w:val="00AE151E"/>
    <w:rsid w:val="00AE152B"/>
    <w:rsid w:val="00AE153C"/>
    <w:rsid w:val="00AE1594"/>
    <w:rsid w:val="00AE15BA"/>
    <w:rsid w:val="00AE15D4"/>
    <w:rsid w:val="00AE15F4"/>
    <w:rsid w:val="00AE1645"/>
    <w:rsid w:val="00AE16B2"/>
    <w:rsid w:val="00AE16E6"/>
    <w:rsid w:val="00AE171B"/>
    <w:rsid w:val="00AE1757"/>
    <w:rsid w:val="00AE1762"/>
    <w:rsid w:val="00AE17C6"/>
    <w:rsid w:val="00AE17DF"/>
    <w:rsid w:val="00AE180D"/>
    <w:rsid w:val="00AE185E"/>
    <w:rsid w:val="00AE187C"/>
    <w:rsid w:val="00AE1890"/>
    <w:rsid w:val="00AE1898"/>
    <w:rsid w:val="00AE18CA"/>
    <w:rsid w:val="00AE18DD"/>
    <w:rsid w:val="00AE1918"/>
    <w:rsid w:val="00AE192F"/>
    <w:rsid w:val="00AE1986"/>
    <w:rsid w:val="00AE1A1B"/>
    <w:rsid w:val="00AE1A2A"/>
    <w:rsid w:val="00AE1A8F"/>
    <w:rsid w:val="00AE1A93"/>
    <w:rsid w:val="00AE1A94"/>
    <w:rsid w:val="00AE1AA0"/>
    <w:rsid w:val="00AE1B03"/>
    <w:rsid w:val="00AE1B0C"/>
    <w:rsid w:val="00AE1B2E"/>
    <w:rsid w:val="00AE1B5D"/>
    <w:rsid w:val="00AE1BBF"/>
    <w:rsid w:val="00AE1BCD"/>
    <w:rsid w:val="00AE1BD7"/>
    <w:rsid w:val="00AE1C0E"/>
    <w:rsid w:val="00AE1C0F"/>
    <w:rsid w:val="00AE1C25"/>
    <w:rsid w:val="00AE1C6C"/>
    <w:rsid w:val="00AE1C72"/>
    <w:rsid w:val="00AE1D5E"/>
    <w:rsid w:val="00AE1D68"/>
    <w:rsid w:val="00AE1E0A"/>
    <w:rsid w:val="00AE1E4B"/>
    <w:rsid w:val="00AE1E5B"/>
    <w:rsid w:val="00AE1E74"/>
    <w:rsid w:val="00AE1E96"/>
    <w:rsid w:val="00AE1E9F"/>
    <w:rsid w:val="00AE1EB7"/>
    <w:rsid w:val="00AE1EBC"/>
    <w:rsid w:val="00AE1EDD"/>
    <w:rsid w:val="00AE1F68"/>
    <w:rsid w:val="00AE1F78"/>
    <w:rsid w:val="00AE1FBA"/>
    <w:rsid w:val="00AE1FD0"/>
    <w:rsid w:val="00AE2001"/>
    <w:rsid w:val="00AE2010"/>
    <w:rsid w:val="00AE201D"/>
    <w:rsid w:val="00AE207E"/>
    <w:rsid w:val="00AE2084"/>
    <w:rsid w:val="00AE208B"/>
    <w:rsid w:val="00AE20A2"/>
    <w:rsid w:val="00AE20C2"/>
    <w:rsid w:val="00AE2119"/>
    <w:rsid w:val="00AE211A"/>
    <w:rsid w:val="00AE2189"/>
    <w:rsid w:val="00AE21BB"/>
    <w:rsid w:val="00AE21CD"/>
    <w:rsid w:val="00AE221F"/>
    <w:rsid w:val="00AE222D"/>
    <w:rsid w:val="00AE2245"/>
    <w:rsid w:val="00AE224D"/>
    <w:rsid w:val="00AE226D"/>
    <w:rsid w:val="00AE22C4"/>
    <w:rsid w:val="00AE234B"/>
    <w:rsid w:val="00AE236A"/>
    <w:rsid w:val="00AE23AD"/>
    <w:rsid w:val="00AE23E9"/>
    <w:rsid w:val="00AE240E"/>
    <w:rsid w:val="00AE2422"/>
    <w:rsid w:val="00AE249A"/>
    <w:rsid w:val="00AE24B1"/>
    <w:rsid w:val="00AE251F"/>
    <w:rsid w:val="00AE252E"/>
    <w:rsid w:val="00AE2556"/>
    <w:rsid w:val="00AE2557"/>
    <w:rsid w:val="00AE2572"/>
    <w:rsid w:val="00AE257E"/>
    <w:rsid w:val="00AE25A2"/>
    <w:rsid w:val="00AE25C5"/>
    <w:rsid w:val="00AE25FC"/>
    <w:rsid w:val="00AE264A"/>
    <w:rsid w:val="00AE26B2"/>
    <w:rsid w:val="00AE2755"/>
    <w:rsid w:val="00AE279C"/>
    <w:rsid w:val="00AE27BA"/>
    <w:rsid w:val="00AE27E5"/>
    <w:rsid w:val="00AE2804"/>
    <w:rsid w:val="00AE280A"/>
    <w:rsid w:val="00AE2814"/>
    <w:rsid w:val="00AE283D"/>
    <w:rsid w:val="00AE2840"/>
    <w:rsid w:val="00AE28BF"/>
    <w:rsid w:val="00AE28C0"/>
    <w:rsid w:val="00AE28E7"/>
    <w:rsid w:val="00AE28F9"/>
    <w:rsid w:val="00AE2970"/>
    <w:rsid w:val="00AE2A03"/>
    <w:rsid w:val="00AE2A14"/>
    <w:rsid w:val="00AE2A1D"/>
    <w:rsid w:val="00AE2A4E"/>
    <w:rsid w:val="00AE2A7A"/>
    <w:rsid w:val="00AE2AA1"/>
    <w:rsid w:val="00AE2B56"/>
    <w:rsid w:val="00AE2B99"/>
    <w:rsid w:val="00AE2B9B"/>
    <w:rsid w:val="00AE2B9F"/>
    <w:rsid w:val="00AE2BB1"/>
    <w:rsid w:val="00AE2BD3"/>
    <w:rsid w:val="00AE2C16"/>
    <w:rsid w:val="00AE2C1E"/>
    <w:rsid w:val="00AE2C20"/>
    <w:rsid w:val="00AE2C74"/>
    <w:rsid w:val="00AE2C77"/>
    <w:rsid w:val="00AE2C8B"/>
    <w:rsid w:val="00AE2CAB"/>
    <w:rsid w:val="00AE2CB0"/>
    <w:rsid w:val="00AE2CB4"/>
    <w:rsid w:val="00AE2CBE"/>
    <w:rsid w:val="00AE2CFC"/>
    <w:rsid w:val="00AE2D50"/>
    <w:rsid w:val="00AE2D8E"/>
    <w:rsid w:val="00AE2DD1"/>
    <w:rsid w:val="00AE2DE3"/>
    <w:rsid w:val="00AE2DF7"/>
    <w:rsid w:val="00AE2E07"/>
    <w:rsid w:val="00AE2E74"/>
    <w:rsid w:val="00AE2EAB"/>
    <w:rsid w:val="00AE2EB9"/>
    <w:rsid w:val="00AE2EBF"/>
    <w:rsid w:val="00AE2F0F"/>
    <w:rsid w:val="00AE2F3D"/>
    <w:rsid w:val="00AE2F5F"/>
    <w:rsid w:val="00AE2F91"/>
    <w:rsid w:val="00AE2FC1"/>
    <w:rsid w:val="00AE2FD5"/>
    <w:rsid w:val="00AE2FD9"/>
    <w:rsid w:val="00AE3026"/>
    <w:rsid w:val="00AE3062"/>
    <w:rsid w:val="00AE306B"/>
    <w:rsid w:val="00AE309A"/>
    <w:rsid w:val="00AE30AB"/>
    <w:rsid w:val="00AE310A"/>
    <w:rsid w:val="00AE311C"/>
    <w:rsid w:val="00AE3135"/>
    <w:rsid w:val="00AE31B0"/>
    <w:rsid w:val="00AE31BA"/>
    <w:rsid w:val="00AE31C2"/>
    <w:rsid w:val="00AE31E0"/>
    <w:rsid w:val="00AE324C"/>
    <w:rsid w:val="00AE328D"/>
    <w:rsid w:val="00AE329A"/>
    <w:rsid w:val="00AE331C"/>
    <w:rsid w:val="00AE3326"/>
    <w:rsid w:val="00AE3327"/>
    <w:rsid w:val="00AE3380"/>
    <w:rsid w:val="00AE33CE"/>
    <w:rsid w:val="00AE3424"/>
    <w:rsid w:val="00AE3446"/>
    <w:rsid w:val="00AE3449"/>
    <w:rsid w:val="00AE3495"/>
    <w:rsid w:val="00AE34BF"/>
    <w:rsid w:val="00AE34E0"/>
    <w:rsid w:val="00AE3591"/>
    <w:rsid w:val="00AE35B0"/>
    <w:rsid w:val="00AE35E5"/>
    <w:rsid w:val="00AE3625"/>
    <w:rsid w:val="00AE363A"/>
    <w:rsid w:val="00AE3661"/>
    <w:rsid w:val="00AE367C"/>
    <w:rsid w:val="00AE368B"/>
    <w:rsid w:val="00AE3694"/>
    <w:rsid w:val="00AE36A6"/>
    <w:rsid w:val="00AE36C2"/>
    <w:rsid w:val="00AE370D"/>
    <w:rsid w:val="00AE3747"/>
    <w:rsid w:val="00AE3755"/>
    <w:rsid w:val="00AE3792"/>
    <w:rsid w:val="00AE37A9"/>
    <w:rsid w:val="00AE37D2"/>
    <w:rsid w:val="00AE3838"/>
    <w:rsid w:val="00AE387A"/>
    <w:rsid w:val="00AE3881"/>
    <w:rsid w:val="00AE3895"/>
    <w:rsid w:val="00AE38EA"/>
    <w:rsid w:val="00AE3925"/>
    <w:rsid w:val="00AE3939"/>
    <w:rsid w:val="00AE3990"/>
    <w:rsid w:val="00AE39BC"/>
    <w:rsid w:val="00AE39BD"/>
    <w:rsid w:val="00AE3A3B"/>
    <w:rsid w:val="00AE3A57"/>
    <w:rsid w:val="00AE3A5F"/>
    <w:rsid w:val="00AE3AEE"/>
    <w:rsid w:val="00AE3B07"/>
    <w:rsid w:val="00AE3B32"/>
    <w:rsid w:val="00AE3B84"/>
    <w:rsid w:val="00AE3B8B"/>
    <w:rsid w:val="00AE3BA9"/>
    <w:rsid w:val="00AE3BFF"/>
    <w:rsid w:val="00AE3C0E"/>
    <w:rsid w:val="00AE3C7F"/>
    <w:rsid w:val="00AE3CF4"/>
    <w:rsid w:val="00AE3D03"/>
    <w:rsid w:val="00AE3D18"/>
    <w:rsid w:val="00AE3D19"/>
    <w:rsid w:val="00AE3D5A"/>
    <w:rsid w:val="00AE3D63"/>
    <w:rsid w:val="00AE3E01"/>
    <w:rsid w:val="00AE3E1B"/>
    <w:rsid w:val="00AE3EAD"/>
    <w:rsid w:val="00AE3ED3"/>
    <w:rsid w:val="00AE3EDC"/>
    <w:rsid w:val="00AE3EE4"/>
    <w:rsid w:val="00AE3F09"/>
    <w:rsid w:val="00AE3F47"/>
    <w:rsid w:val="00AE3F5A"/>
    <w:rsid w:val="00AE3F6E"/>
    <w:rsid w:val="00AE3F82"/>
    <w:rsid w:val="00AE3FE1"/>
    <w:rsid w:val="00AE4016"/>
    <w:rsid w:val="00AE4039"/>
    <w:rsid w:val="00AE4062"/>
    <w:rsid w:val="00AE409E"/>
    <w:rsid w:val="00AE40B7"/>
    <w:rsid w:val="00AE40E3"/>
    <w:rsid w:val="00AE415E"/>
    <w:rsid w:val="00AE415F"/>
    <w:rsid w:val="00AE41E8"/>
    <w:rsid w:val="00AE41FD"/>
    <w:rsid w:val="00AE420A"/>
    <w:rsid w:val="00AE421D"/>
    <w:rsid w:val="00AE4225"/>
    <w:rsid w:val="00AE422F"/>
    <w:rsid w:val="00AE4248"/>
    <w:rsid w:val="00AE4265"/>
    <w:rsid w:val="00AE4269"/>
    <w:rsid w:val="00AE4275"/>
    <w:rsid w:val="00AE4278"/>
    <w:rsid w:val="00AE42CF"/>
    <w:rsid w:val="00AE430B"/>
    <w:rsid w:val="00AE433F"/>
    <w:rsid w:val="00AE4358"/>
    <w:rsid w:val="00AE436F"/>
    <w:rsid w:val="00AE4370"/>
    <w:rsid w:val="00AE4387"/>
    <w:rsid w:val="00AE439D"/>
    <w:rsid w:val="00AE4411"/>
    <w:rsid w:val="00AE4433"/>
    <w:rsid w:val="00AE44E6"/>
    <w:rsid w:val="00AE4501"/>
    <w:rsid w:val="00AE457C"/>
    <w:rsid w:val="00AE4581"/>
    <w:rsid w:val="00AE4589"/>
    <w:rsid w:val="00AE4598"/>
    <w:rsid w:val="00AE45A3"/>
    <w:rsid w:val="00AE45A7"/>
    <w:rsid w:val="00AE45AF"/>
    <w:rsid w:val="00AE45D5"/>
    <w:rsid w:val="00AE45FC"/>
    <w:rsid w:val="00AE465E"/>
    <w:rsid w:val="00AE4662"/>
    <w:rsid w:val="00AE4663"/>
    <w:rsid w:val="00AE467D"/>
    <w:rsid w:val="00AE46BA"/>
    <w:rsid w:val="00AE46C7"/>
    <w:rsid w:val="00AE46DC"/>
    <w:rsid w:val="00AE47A0"/>
    <w:rsid w:val="00AE47C0"/>
    <w:rsid w:val="00AE47C9"/>
    <w:rsid w:val="00AE4854"/>
    <w:rsid w:val="00AE4855"/>
    <w:rsid w:val="00AE4857"/>
    <w:rsid w:val="00AE48A1"/>
    <w:rsid w:val="00AE48AD"/>
    <w:rsid w:val="00AE48B5"/>
    <w:rsid w:val="00AE48E6"/>
    <w:rsid w:val="00AE4953"/>
    <w:rsid w:val="00AE4960"/>
    <w:rsid w:val="00AE4973"/>
    <w:rsid w:val="00AE49F4"/>
    <w:rsid w:val="00AE4A15"/>
    <w:rsid w:val="00AE4A48"/>
    <w:rsid w:val="00AE4A4B"/>
    <w:rsid w:val="00AE4A82"/>
    <w:rsid w:val="00AE4A93"/>
    <w:rsid w:val="00AE4ACA"/>
    <w:rsid w:val="00AE4B0C"/>
    <w:rsid w:val="00AE4B11"/>
    <w:rsid w:val="00AE4B45"/>
    <w:rsid w:val="00AE4B63"/>
    <w:rsid w:val="00AE4BAF"/>
    <w:rsid w:val="00AE4C1F"/>
    <w:rsid w:val="00AE4C24"/>
    <w:rsid w:val="00AE4C39"/>
    <w:rsid w:val="00AE4C40"/>
    <w:rsid w:val="00AE4C42"/>
    <w:rsid w:val="00AE4C6B"/>
    <w:rsid w:val="00AE4C84"/>
    <w:rsid w:val="00AE4C92"/>
    <w:rsid w:val="00AE4CC9"/>
    <w:rsid w:val="00AE4CCC"/>
    <w:rsid w:val="00AE4CD3"/>
    <w:rsid w:val="00AE4CEE"/>
    <w:rsid w:val="00AE4D02"/>
    <w:rsid w:val="00AE4D13"/>
    <w:rsid w:val="00AE4D56"/>
    <w:rsid w:val="00AE4D71"/>
    <w:rsid w:val="00AE4DB5"/>
    <w:rsid w:val="00AE4DC4"/>
    <w:rsid w:val="00AE4DF6"/>
    <w:rsid w:val="00AE4E4F"/>
    <w:rsid w:val="00AE4E53"/>
    <w:rsid w:val="00AE4E9F"/>
    <w:rsid w:val="00AE4EA9"/>
    <w:rsid w:val="00AE4F58"/>
    <w:rsid w:val="00AE4F71"/>
    <w:rsid w:val="00AE500D"/>
    <w:rsid w:val="00AE501D"/>
    <w:rsid w:val="00AE502D"/>
    <w:rsid w:val="00AE502E"/>
    <w:rsid w:val="00AE507C"/>
    <w:rsid w:val="00AE5088"/>
    <w:rsid w:val="00AE50A2"/>
    <w:rsid w:val="00AE50C7"/>
    <w:rsid w:val="00AE50CF"/>
    <w:rsid w:val="00AE5106"/>
    <w:rsid w:val="00AE510A"/>
    <w:rsid w:val="00AE511A"/>
    <w:rsid w:val="00AE515B"/>
    <w:rsid w:val="00AE518C"/>
    <w:rsid w:val="00AE5198"/>
    <w:rsid w:val="00AE51A0"/>
    <w:rsid w:val="00AE51A8"/>
    <w:rsid w:val="00AE51BC"/>
    <w:rsid w:val="00AE51D9"/>
    <w:rsid w:val="00AE5233"/>
    <w:rsid w:val="00AE525D"/>
    <w:rsid w:val="00AE5279"/>
    <w:rsid w:val="00AE52E6"/>
    <w:rsid w:val="00AE52F9"/>
    <w:rsid w:val="00AE536E"/>
    <w:rsid w:val="00AE537F"/>
    <w:rsid w:val="00AE538C"/>
    <w:rsid w:val="00AE53C0"/>
    <w:rsid w:val="00AE541F"/>
    <w:rsid w:val="00AE5436"/>
    <w:rsid w:val="00AE5467"/>
    <w:rsid w:val="00AE5478"/>
    <w:rsid w:val="00AE547D"/>
    <w:rsid w:val="00AE547F"/>
    <w:rsid w:val="00AE54C6"/>
    <w:rsid w:val="00AE54CA"/>
    <w:rsid w:val="00AE54DF"/>
    <w:rsid w:val="00AE54EE"/>
    <w:rsid w:val="00AE551B"/>
    <w:rsid w:val="00AE5561"/>
    <w:rsid w:val="00AE5572"/>
    <w:rsid w:val="00AE55A7"/>
    <w:rsid w:val="00AE55B8"/>
    <w:rsid w:val="00AE55D9"/>
    <w:rsid w:val="00AE55F4"/>
    <w:rsid w:val="00AE5622"/>
    <w:rsid w:val="00AE5631"/>
    <w:rsid w:val="00AE5639"/>
    <w:rsid w:val="00AE565B"/>
    <w:rsid w:val="00AE56AC"/>
    <w:rsid w:val="00AE56FC"/>
    <w:rsid w:val="00AE5704"/>
    <w:rsid w:val="00AE576F"/>
    <w:rsid w:val="00AE57AD"/>
    <w:rsid w:val="00AE57BE"/>
    <w:rsid w:val="00AE57CC"/>
    <w:rsid w:val="00AE57F3"/>
    <w:rsid w:val="00AE57F6"/>
    <w:rsid w:val="00AE584E"/>
    <w:rsid w:val="00AE5863"/>
    <w:rsid w:val="00AE5885"/>
    <w:rsid w:val="00AE58FA"/>
    <w:rsid w:val="00AE592A"/>
    <w:rsid w:val="00AE5944"/>
    <w:rsid w:val="00AE5968"/>
    <w:rsid w:val="00AE5983"/>
    <w:rsid w:val="00AE5987"/>
    <w:rsid w:val="00AE59AA"/>
    <w:rsid w:val="00AE59BB"/>
    <w:rsid w:val="00AE59C7"/>
    <w:rsid w:val="00AE59DE"/>
    <w:rsid w:val="00AE59E2"/>
    <w:rsid w:val="00AE59FF"/>
    <w:rsid w:val="00AE5A13"/>
    <w:rsid w:val="00AE5A41"/>
    <w:rsid w:val="00AE5A90"/>
    <w:rsid w:val="00AE5A92"/>
    <w:rsid w:val="00AE5AA6"/>
    <w:rsid w:val="00AE5AD2"/>
    <w:rsid w:val="00AE5AF0"/>
    <w:rsid w:val="00AE5B3C"/>
    <w:rsid w:val="00AE5B5A"/>
    <w:rsid w:val="00AE5B74"/>
    <w:rsid w:val="00AE5B9F"/>
    <w:rsid w:val="00AE5BD6"/>
    <w:rsid w:val="00AE5BE8"/>
    <w:rsid w:val="00AE5BEB"/>
    <w:rsid w:val="00AE5CBC"/>
    <w:rsid w:val="00AE5CC1"/>
    <w:rsid w:val="00AE5CED"/>
    <w:rsid w:val="00AE5CF8"/>
    <w:rsid w:val="00AE5D12"/>
    <w:rsid w:val="00AE5D49"/>
    <w:rsid w:val="00AE5D6B"/>
    <w:rsid w:val="00AE5D6C"/>
    <w:rsid w:val="00AE5DA1"/>
    <w:rsid w:val="00AE5DDD"/>
    <w:rsid w:val="00AE5DF1"/>
    <w:rsid w:val="00AE5E88"/>
    <w:rsid w:val="00AE5EC8"/>
    <w:rsid w:val="00AE5EF4"/>
    <w:rsid w:val="00AE5EF7"/>
    <w:rsid w:val="00AE5F31"/>
    <w:rsid w:val="00AE5F33"/>
    <w:rsid w:val="00AE5F42"/>
    <w:rsid w:val="00AE5F53"/>
    <w:rsid w:val="00AE5F78"/>
    <w:rsid w:val="00AE6011"/>
    <w:rsid w:val="00AE6023"/>
    <w:rsid w:val="00AE6027"/>
    <w:rsid w:val="00AE603A"/>
    <w:rsid w:val="00AE6047"/>
    <w:rsid w:val="00AE6049"/>
    <w:rsid w:val="00AE606E"/>
    <w:rsid w:val="00AE6082"/>
    <w:rsid w:val="00AE60A4"/>
    <w:rsid w:val="00AE6122"/>
    <w:rsid w:val="00AE613D"/>
    <w:rsid w:val="00AE6151"/>
    <w:rsid w:val="00AE616D"/>
    <w:rsid w:val="00AE617A"/>
    <w:rsid w:val="00AE6200"/>
    <w:rsid w:val="00AE6206"/>
    <w:rsid w:val="00AE6248"/>
    <w:rsid w:val="00AE627F"/>
    <w:rsid w:val="00AE62A0"/>
    <w:rsid w:val="00AE62BF"/>
    <w:rsid w:val="00AE6364"/>
    <w:rsid w:val="00AE63C3"/>
    <w:rsid w:val="00AE63E2"/>
    <w:rsid w:val="00AE63F8"/>
    <w:rsid w:val="00AE63FD"/>
    <w:rsid w:val="00AE6401"/>
    <w:rsid w:val="00AE6431"/>
    <w:rsid w:val="00AE6502"/>
    <w:rsid w:val="00AE653A"/>
    <w:rsid w:val="00AE6547"/>
    <w:rsid w:val="00AE6588"/>
    <w:rsid w:val="00AE65D9"/>
    <w:rsid w:val="00AE6602"/>
    <w:rsid w:val="00AE6652"/>
    <w:rsid w:val="00AE66B0"/>
    <w:rsid w:val="00AE674E"/>
    <w:rsid w:val="00AE67B5"/>
    <w:rsid w:val="00AE67DF"/>
    <w:rsid w:val="00AE680D"/>
    <w:rsid w:val="00AE6820"/>
    <w:rsid w:val="00AE6842"/>
    <w:rsid w:val="00AE6863"/>
    <w:rsid w:val="00AE6891"/>
    <w:rsid w:val="00AE689F"/>
    <w:rsid w:val="00AE68BB"/>
    <w:rsid w:val="00AE68D1"/>
    <w:rsid w:val="00AE68FE"/>
    <w:rsid w:val="00AE6945"/>
    <w:rsid w:val="00AE695E"/>
    <w:rsid w:val="00AE6990"/>
    <w:rsid w:val="00AE69BB"/>
    <w:rsid w:val="00AE69F0"/>
    <w:rsid w:val="00AE69F6"/>
    <w:rsid w:val="00AE6A52"/>
    <w:rsid w:val="00AE6A66"/>
    <w:rsid w:val="00AE6A6C"/>
    <w:rsid w:val="00AE6A93"/>
    <w:rsid w:val="00AE6ABF"/>
    <w:rsid w:val="00AE6AE2"/>
    <w:rsid w:val="00AE6B28"/>
    <w:rsid w:val="00AE6B40"/>
    <w:rsid w:val="00AE6B78"/>
    <w:rsid w:val="00AE6BA3"/>
    <w:rsid w:val="00AE6BA9"/>
    <w:rsid w:val="00AE6BEC"/>
    <w:rsid w:val="00AE6C2A"/>
    <w:rsid w:val="00AE6C34"/>
    <w:rsid w:val="00AE6C67"/>
    <w:rsid w:val="00AE6C79"/>
    <w:rsid w:val="00AE6CBB"/>
    <w:rsid w:val="00AE6CCB"/>
    <w:rsid w:val="00AE6D04"/>
    <w:rsid w:val="00AE6D24"/>
    <w:rsid w:val="00AE6D6D"/>
    <w:rsid w:val="00AE6DD2"/>
    <w:rsid w:val="00AE6E05"/>
    <w:rsid w:val="00AE6E24"/>
    <w:rsid w:val="00AE6E8B"/>
    <w:rsid w:val="00AE6ECE"/>
    <w:rsid w:val="00AE6F16"/>
    <w:rsid w:val="00AE6F1C"/>
    <w:rsid w:val="00AE6F44"/>
    <w:rsid w:val="00AE6FC2"/>
    <w:rsid w:val="00AE6FCE"/>
    <w:rsid w:val="00AE6FE1"/>
    <w:rsid w:val="00AE7015"/>
    <w:rsid w:val="00AE7048"/>
    <w:rsid w:val="00AE7066"/>
    <w:rsid w:val="00AE7098"/>
    <w:rsid w:val="00AE70CF"/>
    <w:rsid w:val="00AE70F9"/>
    <w:rsid w:val="00AE716A"/>
    <w:rsid w:val="00AE7196"/>
    <w:rsid w:val="00AE71B8"/>
    <w:rsid w:val="00AE71C9"/>
    <w:rsid w:val="00AE71DD"/>
    <w:rsid w:val="00AE7250"/>
    <w:rsid w:val="00AE7284"/>
    <w:rsid w:val="00AE7295"/>
    <w:rsid w:val="00AE72DA"/>
    <w:rsid w:val="00AE72FB"/>
    <w:rsid w:val="00AE7323"/>
    <w:rsid w:val="00AE7325"/>
    <w:rsid w:val="00AE736D"/>
    <w:rsid w:val="00AE7383"/>
    <w:rsid w:val="00AE73B9"/>
    <w:rsid w:val="00AE73CD"/>
    <w:rsid w:val="00AE73DD"/>
    <w:rsid w:val="00AE7409"/>
    <w:rsid w:val="00AE7425"/>
    <w:rsid w:val="00AE745F"/>
    <w:rsid w:val="00AE747F"/>
    <w:rsid w:val="00AE74A8"/>
    <w:rsid w:val="00AE74EB"/>
    <w:rsid w:val="00AE7513"/>
    <w:rsid w:val="00AE758A"/>
    <w:rsid w:val="00AE75B9"/>
    <w:rsid w:val="00AE75CB"/>
    <w:rsid w:val="00AE75EB"/>
    <w:rsid w:val="00AE765D"/>
    <w:rsid w:val="00AE7674"/>
    <w:rsid w:val="00AE76B6"/>
    <w:rsid w:val="00AE76BC"/>
    <w:rsid w:val="00AE76E0"/>
    <w:rsid w:val="00AE76F7"/>
    <w:rsid w:val="00AE7721"/>
    <w:rsid w:val="00AE773A"/>
    <w:rsid w:val="00AE7756"/>
    <w:rsid w:val="00AE775F"/>
    <w:rsid w:val="00AE776A"/>
    <w:rsid w:val="00AE7781"/>
    <w:rsid w:val="00AE779C"/>
    <w:rsid w:val="00AE77CA"/>
    <w:rsid w:val="00AE7825"/>
    <w:rsid w:val="00AE78FD"/>
    <w:rsid w:val="00AE7911"/>
    <w:rsid w:val="00AE7914"/>
    <w:rsid w:val="00AE7967"/>
    <w:rsid w:val="00AE79A8"/>
    <w:rsid w:val="00AE79EF"/>
    <w:rsid w:val="00AE7A82"/>
    <w:rsid w:val="00AE7A8D"/>
    <w:rsid w:val="00AE7A9A"/>
    <w:rsid w:val="00AE7AA5"/>
    <w:rsid w:val="00AE7B78"/>
    <w:rsid w:val="00AE7B8D"/>
    <w:rsid w:val="00AE7B98"/>
    <w:rsid w:val="00AE7B9A"/>
    <w:rsid w:val="00AE7BD6"/>
    <w:rsid w:val="00AE7C3E"/>
    <w:rsid w:val="00AE7C8C"/>
    <w:rsid w:val="00AE7CB3"/>
    <w:rsid w:val="00AE7D00"/>
    <w:rsid w:val="00AE7D33"/>
    <w:rsid w:val="00AE7D49"/>
    <w:rsid w:val="00AE7D66"/>
    <w:rsid w:val="00AE7D73"/>
    <w:rsid w:val="00AE7D8C"/>
    <w:rsid w:val="00AE7D8D"/>
    <w:rsid w:val="00AE7DC9"/>
    <w:rsid w:val="00AE7DF0"/>
    <w:rsid w:val="00AE7DF5"/>
    <w:rsid w:val="00AE7E27"/>
    <w:rsid w:val="00AE7E62"/>
    <w:rsid w:val="00AE7EB5"/>
    <w:rsid w:val="00AE7EB9"/>
    <w:rsid w:val="00AE7F01"/>
    <w:rsid w:val="00AE7F6F"/>
    <w:rsid w:val="00AE7FA2"/>
    <w:rsid w:val="00AF002C"/>
    <w:rsid w:val="00AF0042"/>
    <w:rsid w:val="00AF0076"/>
    <w:rsid w:val="00AF00C0"/>
    <w:rsid w:val="00AF00D7"/>
    <w:rsid w:val="00AF0175"/>
    <w:rsid w:val="00AF01C1"/>
    <w:rsid w:val="00AF01C5"/>
    <w:rsid w:val="00AF01FF"/>
    <w:rsid w:val="00AF022B"/>
    <w:rsid w:val="00AF0232"/>
    <w:rsid w:val="00AF0252"/>
    <w:rsid w:val="00AF0258"/>
    <w:rsid w:val="00AF02B2"/>
    <w:rsid w:val="00AF02C4"/>
    <w:rsid w:val="00AF0309"/>
    <w:rsid w:val="00AF0311"/>
    <w:rsid w:val="00AF0313"/>
    <w:rsid w:val="00AF0329"/>
    <w:rsid w:val="00AF0336"/>
    <w:rsid w:val="00AF037B"/>
    <w:rsid w:val="00AF03CB"/>
    <w:rsid w:val="00AF044B"/>
    <w:rsid w:val="00AF0457"/>
    <w:rsid w:val="00AF0480"/>
    <w:rsid w:val="00AF04FA"/>
    <w:rsid w:val="00AF04FE"/>
    <w:rsid w:val="00AF050D"/>
    <w:rsid w:val="00AF0518"/>
    <w:rsid w:val="00AF0527"/>
    <w:rsid w:val="00AF053F"/>
    <w:rsid w:val="00AF059F"/>
    <w:rsid w:val="00AF05AC"/>
    <w:rsid w:val="00AF05EF"/>
    <w:rsid w:val="00AF0631"/>
    <w:rsid w:val="00AF0655"/>
    <w:rsid w:val="00AF0691"/>
    <w:rsid w:val="00AF06B4"/>
    <w:rsid w:val="00AF06C3"/>
    <w:rsid w:val="00AF06D1"/>
    <w:rsid w:val="00AF06DD"/>
    <w:rsid w:val="00AF06F7"/>
    <w:rsid w:val="00AF077F"/>
    <w:rsid w:val="00AF0797"/>
    <w:rsid w:val="00AF079D"/>
    <w:rsid w:val="00AF079E"/>
    <w:rsid w:val="00AF07EE"/>
    <w:rsid w:val="00AF0839"/>
    <w:rsid w:val="00AF083C"/>
    <w:rsid w:val="00AF0846"/>
    <w:rsid w:val="00AF087B"/>
    <w:rsid w:val="00AF0880"/>
    <w:rsid w:val="00AF08A9"/>
    <w:rsid w:val="00AF08BC"/>
    <w:rsid w:val="00AF08CE"/>
    <w:rsid w:val="00AF0930"/>
    <w:rsid w:val="00AF0954"/>
    <w:rsid w:val="00AF098D"/>
    <w:rsid w:val="00AF0A45"/>
    <w:rsid w:val="00AF0AAD"/>
    <w:rsid w:val="00AF0ABF"/>
    <w:rsid w:val="00AF0AE4"/>
    <w:rsid w:val="00AF0B47"/>
    <w:rsid w:val="00AF0B55"/>
    <w:rsid w:val="00AF0C48"/>
    <w:rsid w:val="00AF0C49"/>
    <w:rsid w:val="00AF0C79"/>
    <w:rsid w:val="00AF0C95"/>
    <w:rsid w:val="00AF0CB9"/>
    <w:rsid w:val="00AF0D08"/>
    <w:rsid w:val="00AF0D11"/>
    <w:rsid w:val="00AF0D46"/>
    <w:rsid w:val="00AF0D6E"/>
    <w:rsid w:val="00AF0E11"/>
    <w:rsid w:val="00AF0E47"/>
    <w:rsid w:val="00AF0E70"/>
    <w:rsid w:val="00AF0E71"/>
    <w:rsid w:val="00AF0E75"/>
    <w:rsid w:val="00AF0EAA"/>
    <w:rsid w:val="00AF0EB4"/>
    <w:rsid w:val="00AF0EFA"/>
    <w:rsid w:val="00AF0F04"/>
    <w:rsid w:val="00AF0F92"/>
    <w:rsid w:val="00AF0FA4"/>
    <w:rsid w:val="00AF0FE8"/>
    <w:rsid w:val="00AF0FEF"/>
    <w:rsid w:val="00AF0FF8"/>
    <w:rsid w:val="00AF0FF9"/>
    <w:rsid w:val="00AF1005"/>
    <w:rsid w:val="00AF1015"/>
    <w:rsid w:val="00AF1081"/>
    <w:rsid w:val="00AF1088"/>
    <w:rsid w:val="00AF10B3"/>
    <w:rsid w:val="00AF1117"/>
    <w:rsid w:val="00AF1170"/>
    <w:rsid w:val="00AF1189"/>
    <w:rsid w:val="00AF11A9"/>
    <w:rsid w:val="00AF11D8"/>
    <w:rsid w:val="00AF1204"/>
    <w:rsid w:val="00AF120E"/>
    <w:rsid w:val="00AF122E"/>
    <w:rsid w:val="00AF1237"/>
    <w:rsid w:val="00AF1239"/>
    <w:rsid w:val="00AF125C"/>
    <w:rsid w:val="00AF12A5"/>
    <w:rsid w:val="00AF1306"/>
    <w:rsid w:val="00AF1340"/>
    <w:rsid w:val="00AF13CC"/>
    <w:rsid w:val="00AF1407"/>
    <w:rsid w:val="00AF140B"/>
    <w:rsid w:val="00AF140E"/>
    <w:rsid w:val="00AF141D"/>
    <w:rsid w:val="00AF1431"/>
    <w:rsid w:val="00AF1472"/>
    <w:rsid w:val="00AF1475"/>
    <w:rsid w:val="00AF1489"/>
    <w:rsid w:val="00AF148D"/>
    <w:rsid w:val="00AF149C"/>
    <w:rsid w:val="00AF14A0"/>
    <w:rsid w:val="00AF1567"/>
    <w:rsid w:val="00AF15A2"/>
    <w:rsid w:val="00AF15B5"/>
    <w:rsid w:val="00AF15B8"/>
    <w:rsid w:val="00AF15E1"/>
    <w:rsid w:val="00AF15E7"/>
    <w:rsid w:val="00AF15FE"/>
    <w:rsid w:val="00AF160F"/>
    <w:rsid w:val="00AF161F"/>
    <w:rsid w:val="00AF1625"/>
    <w:rsid w:val="00AF166C"/>
    <w:rsid w:val="00AF1699"/>
    <w:rsid w:val="00AF16B1"/>
    <w:rsid w:val="00AF16D7"/>
    <w:rsid w:val="00AF170D"/>
    <w:rsid w:val="00AF1736"/>
    <w:rsid w:val="00AF176D"/>
    <w:rsid w:val="00AF17AE"/>
    <w:rsid w:val="00AF17B7"/>
    <w:rsid w:val="00AF17CF"/>
    <w:rsid w:val="00AF17DD"/>
    <w:rsid w:val="00AF17DF"/>
    <w:rsid w:val="00AF1805"/>
    <w:rsid w:val="00AF183C"/>
    <w:rsid w:val="00AF1870"/>
    <w:rsid w:val="00AF1876"/>
    <w:rsid w:val="00AF18A6"/>
    <w:rsid w:val="00AF18BB"/>
    <w:rsid w:val="00AF18EB"/>
    <w:rsid w:val="00AF1901"/>
    <w:rsid w:val="00AF1962"/>
    <w:rsid w:val="00AF197A"/>
    <w:rsid w:val="00AF1988"/>
    <w:rsid w:val="00AF19DB"/>
    <w:rsid w:val="00AF19E8"/>
    <w:rsid w:val="00AF19E9"/>
    <w:rsid w:val="00AF19FC"/>
    <w:rsid w:val="00AF1A88"/>
    <w:rsid w:val="00AF1AC8"/>
    <w:rsid w:val="00AF1B0D"/>
    <w:rsid w:val="00AF1B20"/>
    <w:rsid w:val="00AF1B31"/>
    <w:rsid w:val="00AF1B94"/>
    <w:rsid w:val="00AF1B9D"/>
    <w:rsid w:val="00AF1BD0"/>
    <w:rsid w:val="00AF1BF5"/>
    <w:rsid w:val="00AF1C24"/>
    <w:rsid w:val="00AF1C55"/>
    <w:rsid w:val="00AF1C60"/>
    <w:rsid w:val="00AF1C99"/>
    <w:rsid w:val="00AF1D00"/>
    <w:rsid w:val="00AF1D08"/>
    <w:rsid w:val="00AF1D50"/>
    <w:rsid w:val="00AF1D94"/>
    <w:rsid w:val="00AF1DB6"/>
    <w:rsid w:val="00AF1DEB"/>
    <w:rsid w:val="00AF1E0B"/>
    <w:rsid w:val="00AF1E1C"/>
    <w:rsid w:val="00AF1E41"/>
    <w:rsid w:val="00AF1E63"/>
    <w:rsid w:val="00AF1F5A"/>
    <w:rsid w:val="00AF1F74"/>
    <w:rsid w:val="00AF1F7A"/>
    <w:rsid w:val="00AF1F81"/>
    <w:rsid w:val="00AF1FB6"/>
    <w:rsid w:val="00AF2007"/>
    <w:rsid w:val="00AF2031"/>
    <w:rsid w:val="00AF2058"/>
    <w:rsid w:val="00AF2064"/>
    <w:rsid w:val="00AF2088"/>
    <w:rsid w:val="00AF2098"/>
    <w:rsid w:val="00AF20CE"/>
    <w:rsid w:val="00AF20F2"/>
    <w:rsid w:val="00AF2106"/>
    <w:rsid w:val="00AF2139"/>
    <w:rsid w:val="00AF2195"/>
    <w:rsid w:val="00AF21AD"/>
    <w:rsid w:val="00AF21BD"/>
    <w:rsid w:val="00AF21D4"/>
    <w:rsid w:val="00AF21E7"/>
    <w:rsid w:val="00AF223C"/>
    <w:rsid w:val="00AF223D"/>
    <w:rsid w:val="00AF223E"/>
    <w:rsid w:val="00AF2259"/>
    <w:rsid w:val="00AF225B"/>
    <w:rsid w:val="00AF22A7"/>
    <w:rsid w:val="00AF22AB"/>
    <w:rsid w:val="00AF22AF"/>
    <w:rsid w:val="00AF22DA"/>
    <w:rsid w:val="00AF2309"/>
    <w:rsid w:val="00AF2311"/>
    <w:rsid w:val="00AF2366"/>
    <w:rsid w:val="00AF2374"/>
    <w:rsid w:val="00AF239D"/>
    <w:rsid w:val="00AF23A1"/>
    <w:rsid w:val="00AF23DF"/>
    <w:rsid w:val="00AF2416"/>
    <w:rsid w:val="00AF2439"/>
    <w:rsid w:val="00AF244D"/>
    <w:rsid w:val="00AF254D"/>
    <w:rsid w:val="00AF255C"/>
    <w:rsid w:val="00AF256E"/>
    <w:rsid w:val="00AF256F"/>
    <w:rsid w:val="00AF2570"/>
    <w:rsid w:val="00AF25EB"/>
    <w:rsid w:val="00AF260D"/>
    <w:rsid w:val="00AF262C"/>
    <w:rsid w:val="00AF2640"/>
    <w:rsid w:val="00AF2647"/>
    <w:rsid w:val="00AF26A4"/>
    <w:rsid w:val="00AF2702"/>
    <w:rsid w:val="00AF270F"/>
    <w:rsid w:val="00AF271A"/>
    <w:rsid w:val="00AF273B"/>
    <w:rsid w:val="00AF274A"/>
    <w:rsid w:val="00AF27AF"/>
    <w:rsid w:val="00AF27B8"/>
    <w:rsid w:val="00AF27D2"/>
    <w:rsid w:val="00AF2852"/>
    <w:rsid w:val="00AF288A"/>
    <w:rsid w:val="00AF288E"/>
    <w:rsid w:val="00AF288F"/>
    <w:rsid w:val="00AF28F1"/>
    <w:rsid w:val="00AF292A"/>
    <w:rsid w:val="00AF2940"/>
    <w:rsid w:val="00AF2957"/>
    <w:rsid w:val="00AF29D9"/>
    <w:rsid w:val="00AF29ED"/>
    <w:rsid w:val="00AF29FD"/>
    <w:rsid w:val="00AF2A0E"/>
    <w:rsid w:val="00AF2A42"/>
    <w:rsid w:val="00AF2A50"/>
    <w:rsid w:val="00AF2AB2"/>
    <w:rsid w:val="00AF2ADF"/>
    <w:rsid w:val="00AF2AF1"/>
    <w:rsid w:val="00AF2B01"/>
    <w:rsid w:val="00AF2B3F"/>
    <w:rsid w:val="00AF2B53"/>
    <w:rsid w:val="00AF2B57"/>
    <w:rsid w:val="00AF2B5F"/>
    <w:rsid w:val="00AF2B92"/>
    <w:rsid w:val="00AF2BDD"/>
    <w:rsid w:val="00AF2BF5"/>
    <w:rsid w:val="00AF2C15"/>
    <w:rsid w:val="00AF2C24"/>
    <w:rsid w:val="00AF2C41"/>
    <w:rsid w:val="00AF2C71"/>
    <w:rsid w:val="00AF2D04"/>
    <w:rsid w:val="00AF2D10"/>
    <w:rsid w:val="00AF2D3A"/>
    <w:rsid w:val="00AF2D3F"/>
    <w:rsid w:val="00AF2D42"/>
    <w:rsid w:val="00AF2D92"/>
    <w:rsid w:val="00AF2D95"/>
    <w:rsid w:val="00AF2DEF"/>
    <w:rsid w:val="00AF2DF2"/>
    <w:rsid w:val="00AF2E14"/>
    <w:rsid w:val="00AF2E59"/>
    <w:rsid w:val="00AF2E7B"/>
    <w:rsid w:val="00AF2EB7"/>
    <w:rsid w:val="00AF2EDA"/>
    <w:rsid w:val="00AF2EEB"/>
    <w:rsid w:val="00AF2F28"/>
    <w:rsid w:val="00AF2F2E"/>
    <w:rsid w:val="00AF2F69"/>
    <w:rsid w:val="00AF2F85"/>
    <w:rsid w:val="00AF2FAB"/>
    <w:rsid w:val="00AF2FB8"/>
    <w:rsid w:val="00AF2FCB"/>
    <w:rsid w:val="00AF2FD2"/>
    <w:rsid w:val="00AF3054"/>
    <w:rsid w:val="00AF3088"/>
    <w:rsid w:val="00AF30A8"/>
    <w:rsid w:val="00AF30B9"/>
    <w:rsid w:val="00AF30CD"/>
    <w:rsid w:val="00AF30EC"/>
    <w:rsid w:val="00AF30F4"/>
    <w:rsid w:val="00AF3116"/>
    <w:rsid w:val="00AF3166"/>
    <w:rsid w:val="00AF317E"/>
    <w:rsid w:val="00AF3191"/>
    <w:rsid w:val="00AF31AB"/>
    <w:rsid w:val="00AF31CD"/>
    <w:rsid w:val="00AF31E9"/>
    <w:rsid w:val="00AF31F8"/>
    <w:rsid w:val="00AF3226"/>
    <w:rsid w:val="00AF322A"/>
    <w:rsid w:val="00AF3268"/>
    <w:rsid w:val="00AF32BF"/>
    <w:rsid w:val="00AF32D3"/>
    <w:rsid w:val="00AF32F9"/>
    <w:rsid w:val="00AF32FB"/>
    <w:rsid w:val="00AF3333"/>
    <w:rsid w:val="00AF33F2"/>
    <w:rsid w:val="00AF33FD"/>
    <w:rsid w:val="00AF342C"/>
    <w:rsid w:val="00AF3452"/>
    <w:rsid w:val="00AF3454"/>
    <w:rsid w:val="00AF3457"/>
    <w:rsid w:val="00AF3470"/>
    <w:rsid w:val="00AF3483"/>
    <w:rsid w:val="00AF348B"/>
    <w:rsid w:val="00AF34A4"/>
    <w:rsid w:val="00AF34C1"/>
    <w:rsid w:val="00AF3501"/>
    <w:rsid w:val="00AF3532"/>
    <w:rsid w:val="00AF355E"/>
    <w:rsid w:val="00AF3574"/>
    <w:rsid w:val="00AF3595"/>
    <w:rsid w:val="00AF359B"/>
    <w:rsid w:val="00AF359F"/>
    <w:rsid w:val="00AF35C2"/>
    <w:rsid w:val="00AF35E0"/>
    <w:rsid w:val="00AF35E2"/>
    <w:rsid w:val="00AF3632"/>
    <w:rsid w:val="00AF3661"/>
    <w:rsid w:val="00AF366D"/>
    <w:rsid w:val="00AF367F"/>
    <w:rsid w:val="00AF3705"/>
    <w:rsid w:val="00AF371A"/>
    <w:rsid w:val="00AF3742"/>
    <w:rsid w:val="00AF3771"/>
    <w:rsid w:val="00AF3786"/>
    <w:rsid w:val="00AF3789"/>
    <w:rsid w:val="00AF3791"/>
    <w:rsid w:val="00AF37CA"/>
    <w:rsid w:val="00AF38C5"/>
    <w:rsid w:val="00AF38D9"/>
    <w:rsid w:val="00AF3925"/>
    <w:rsid w:val="00AF39A1"/>
    <w:rsid w:val="00AF3A02"/>
    <w:rsid w:val="00AF3AAF"/>
    <w:rsid w:val="00AF3AB6"/>
    <w:rsid w:val="00AF3ACB"/>
    <w:rsid w:val="00AF3AEB"/>
    <w:rsid w:val="00AF3B21"/>
    <w:rsid w:val="00AF3B7C"/>
    <w:rsid w:val="00AF3B97"/>
    <w:rsid w:val="00AF3B9D"/>
    <w:rsid w:val="00AF3BC2"/>
    <w:rsid w:val="00AF3BCD"/>
    <w:rsid w:val="00AF3BD1"/>
    <w:rsid w:val="00AF3BF6"/>
    <w:rsid w:val="00AF3C04"/>
    <w:rsid w:val="00AF3C44"/>
    <w:rsid w:val="00AF3C54"/>
    <w:rsid w:val="00AF3C57"/>
    <w:rsid w:val="00AF3C7A"/>
    <w:rsid w:val="00AF3CBE"/>
    <w:rsid w:val="00AF3CD2"/>
    <w:rsid w:val="00AF3D52"/>
    <w:rsid w:val="00AF3D5D"/>
    <w:rsid w:val="00AF3DB4"/>
    <w:rsid w:val="00AF3DD6"/>
    <w:rsid w:val="00AF3DEA"/>
    <w:rsid w:val="00AF3E0F"/>
    <w:rsid w:val="00AF3E10"/>
    <w:rsid w:val="00AF3E77"/>
    <w:rsid w:val="00AF3E91"/>
    <w:rsid w:val="00AF3ECF"/>
    <w:rsid w:val="00AF403E"/>
    <w:rsid w:val="00AF403F"/>
    <w:rsid w:val="00AF4054"/>
    <w:rsid w:val="00AF405B"/>
    <w:rsid w:val="00AF405E"/>
    <w:rsid w:val="00AF4072"/>
    <w:rsid w:val="00AF40F8"/>
    <w:rsid w:val="00AF417C"/>
    <w:rsid w:val="00AF41A8"/>
    <w:rsid w:val="00AF4295"/>
    <w:rsid w:val="00AF4310"/>
    <w:rsid w:val="00AF433D"/>
    <w:rsid w:val="00AF435A"/>
    <w:rsid w:val="00AF4361"/>
    <w:rsid w:val="00AF439F"/>
    <w:rsid w:val="00AF43D8"/>
    <w:rsid w:val="00AF43EB"/>
    <w:rsid w:val="00AF4437"/>
    <w:rsid w:val="00AF4450"/>
    <w:rsid w:val="00AF4473"/>
    <w:rsid w:val="00AF44A7"/>
    <w:rsid w:val="00AF44EF"/>
    <w:rsid w:val="00AF4528"/>
    <w:rsid w:val="00AF4537"/>
    <w:rsid w:val="00AF4545"/>
    <w:rsid w:val="00AF4553"/>
    <w:rsid w:val="00AF4568"/>
    <w:rsid w:val="00AF4570"/>
    <w:rsid w:val="00AF4592"/>
    <w:rsid w:val="00AF45C8"/>
    <w:rsid w:val="00AF45E0"/>
    <w:rsid w:val="00AF462B"/>
    <w:rsid w:val="00AF465D"/>
    <w:rsid w:val="00AF470F"/>
    <w:rsid w:val="00AF471B"/>
    <w:rsid w:val="00AF475E"/>
    <w:rsid w:val="00AF47AC"/>
    <w:rsid w:val="00AF47CA"/>
    <w:rsid w:val="00AF47DE"/>
    <w:rsid w:val="00AF4844"/>
    <w:rsid w:val="00AF4861"/>
    <w:rsid w:val="00AF486C"/>
    <w:rsid w:val="00AF4891"/>
    <w:rsid w:val="00AF48A5"/>
    <w:rsid w:val="00AF48F1"/>
    <w:rsid w:val="00AF4958"/>
    <w:rsid w:val="00AF4979"/>
    <w:rsid w:val="00AF499D"/>
    <w:rsid w:val="00AF49AB"/>
    <w:rsid w:val="00AF4A03"/>
    <w:rsid w:val="00AF4A13"/>
    <w:rsid w:val="00AF4A21"/>
    <w:rsid w:val="00AF4AD9"/>
    <w:rsid w:val="00AF4B56"/>
    <w:rsid w:val="00AF4B5F"/>
    <w:rsid w:val="00AF4B6D"/>
    <w:rsid w:val="00AF4B78"/>
    <w:rsid w:val="00AF4BAC"/>
    <w:rsid w:val="00AF4BEC"/>
    <w:rsid w:val="00AF4C22"/>
    <w:rsid w:val="00AF4C24"/>
    <w:rsid w:val="00AF4C27"/>
    <w:rsid w:val="00AF4C2B"/>
    <w:rsid w:val="00AF4C6D"/>
    <w:rsid w:val="00AF4C8F"/>
    <w:rsid w:val="00AF4CC3"/>
    <w:rsid w:val="00AF4CD7"/>
    <w:rsid w:val="00AF4D43"/>
    <w:rsid w:val="00AF4D6B"/>
    <w:rsid w:val="00AF4D93"/>
    <w:rsid w:val="00AF4D9C"/>
    <w:rsid w:val="00AF4DAF"/>
    <w:rsid w:val="00AF4DC4"/>
    <w:rsid w:val="00AF4E12"/>
    <w:rsid w:val="00AF4E23"/>
    <w:rsid w:val="00AF4E37"/>
    <w:rsid w:val="00AF4E48"/>
    <w:rsid w:val="00AF4E93"/>
    <w:rsid w:val="00AF4F3D"/>
    <w:rsid w:val="00AF4F60"/>
    <w:rsid w:val="00AF4F67"/>
    <w:rsid w:val="00AF4FA9"/>
    <w:rsid w:val="00AF4FB9"/>
    <w:rsid w:val="00AF509C"/>
    <w:rsid w:val="00AF50E9"/>
    <w:rsid w:val="00AF510D"/>
    <w:rsid w:val="00AF5115"/>
    <w:rsid w:val="00AF511D"/>
    <w:rsid w:val="00AF5151"/>
    <w:rsid w:val="00AF5157"/>
    <w:rsid w:val="00AF5177"/>
    <w:rsid w:val="00AF517D"/>
    <w:rsid w:val="00AF51A5"/>
    <w:rsid w:val="00AF51AC"/>
    <w:rsid w:val="00AF51E6"/>
    <w:rsid w:val="00AF5214"/>
    <w:rsid w:val="00AF526F"/>
    <w:rsid w:val="00AF52C3"/>
    <w:rsid w:val="00AF52C8"/>
    <w:rsid w:val="00AF52CC"/>
    <w:rsid w:val="00AF52D2"/>
    <w:rsid w:val="00AF52EA"/>
    <w:rsid w:val="00AF5308"/>
    <w:rsid w:val="00AF53AB"/>
    <w:rsid w:val="00AF53DF"/>
    <w:rsid w:val="00AF53FD"/>
    <w:rsid w:val="00AF5426"/>
    <w:rsid w:val="00AF5467"/>
    <w:rsid w:val="00AF5474"/>
    <w:rsid w:val="00AF54D3"/>
    <w:rsid w:val="00AF54E3"/>
    <w:rsid w:val="00AF54FB"/>
    <w:rsid w:val="00AF5513"/>
    <w:rsid w:val="00AF5551"/>
    <w:rsid w:val="00AF556B"/>
    <w:rsid w:val="00AF557F"/>
    <w:rsid w:val="00AF5589"/>
    <w:rsid w:val="00AF55D1"/>
    <w:rsid w:val="00AF55F5"/>
    <w:rsid w:val="00AF5605"/>
    <w:rsid w:val="00AF5626"/>
    <w:rsid w:val="00AF56B8"/>
    <w:rsid w:val="00AF5752"/>
    <w:rsid w:val="00AF575D"/>
    <w:rsid w:val="00AF5763"/>
    <w:rsid w:val="00AF576C"/>
    <w:rsid w:val="00AF579A"/>
    <w:rsid w:val="00AF57BF"/>
    <w:rsid w:val="00AF57D3"/>
    <w:rsid w:val="00AF57DE"/>
    <w:rsid w:val="00AF580C"/>
    <w:rsid w:val="00AF5825"/>
    <w:rsid w:val="00AF58A6"/>
    <w:rsid w:val="00AF58B0"/>
    <w:rsid w:val="00AF58DC"/>
    <w:rsid w:val="00AF58EF"/>
    <w:rsid w:val="00AF5901"/>
    <w:rsid w:val="00AF5903"/>
    <w:rsid w:val="00AF590C"/>
    <w:rsid w:val="00AF591C"/>
    <w:rsid w:val="00AF591D"/>
    <w:rsid w:val="00AF5934"/>
    <w:rsid w:val="00AF5968"/>
    <w:rsid w:val="00AF59B1"/>
    <w:rsid w:val="00AF59FB"/>
    <w:rsid w:val="00AF59FD"/>
    <w:rsid w:val="00AF5A11"/>
    <w:rsid w:val="00AF5A5E"/>
    <w:rsid w:val="00AF5A96"/>
    <w:rsid w:val="00AF5AA7"/>
    <w:rsid w:val="00AF5AD0"/>
    <w:rsid w:val="00AF5AFC"/>
    <w:rsid w:val="00AF5BAB"/>
    <w:rsid w:val="00AF5BD6"/>
    <w:rsid w:val="00AF5BFC"/>
    <w:rsid w:val="00AF5C23"/>
    <w:rsid w:val="00AF5C25"/>
    <w:rsid w:val="00AF5C8D"/>
    <w:rsid w:val="00AF5CA1"/>
    <w:rsid w:val="00AF5CC4"/>
    <w:rsid w:val="00AF5CD1"/>
    <w:rsid w:val="00AF5CD2"/>
    <w:rsid w:val="00AF5D0D"/>
    <w:rsid w:val="00AF5D38"/>
    <w:rsid w:val="00AF5D4C"/>
    <w:rsid w:val="00AF5D6B"/>
    <w:rsid w:val="00AF5DFF"/>
    <w:rsid w:val="00AF5E36"/>
    <w:rsid w:val="00AF5E42"/>
    <w:rsid w:val="00AF5E5C"/>
    <w:rsid w:val="00AF5E8A"/>
    <w:rsid w:val="00AF5EA7"/>
    <w:rsid w:val="00AF5EAA"/>
    <w:rsid w:val="00AF5EB4"/>
    <w:rsid w:val="00AF5F22"/>
    <w:rsid w:val="00AF5F84"/>
    <w:rsid w:val="00AF5FA2"/>
    <w:rsid w:val="00AF5FA8"/>
    <w:rsid w:val="00AF5FEB"/>
    <w:rsid w:val="00AF6017"/>
    <w:rsid w:val="00AF6020"/>
    <w:rsid w:val="00AF6034"/>
    <w:rsid w:val="00AF60CB"/>
    <w:rsid w:val="00AF60D6"/>
    <w:rsid w:val="00AF60F6"/>
    <w:rsid w:val="00AF614B"/>
    <w:rsid w:val="00AF61AA"/>
    <w:rsid w:val="00AF6232"/>
    <w:rsid w:val="00AF6246"/>
    <w:rsid w:val="00AF6369"/>
    <w:rsid w:val="00AF6371"/>
    <w:rsid w:val="00AF63AC"/>
    <w:rsid w:val="00AF63C2"/>
    <w:rsid w:val="00AF63CE"/>
    <w:rsid w:val="00AF63D7"/>
    <w:rsid w:val="00AF63E2"/>
    <w:rsid w:val="00AF6413"/>
    <w:rsid w:val="00AF6422"/>
    <w:rsid w:val="00AF6433"/>
    <w:rsid w:val="00AF6499"/>
    <w:rsid w:val="00AF64B1"/>
    <w:rsid w:val="00AF64B4"/>
    <w:rsid w:val="00AF6547"/>
    <w:rsid w:val="00AF6557"/>
    <w:rsid w:val="00AF6584"/>
    <w:rsid w:val="00AF65A7"/>
    <w:rsid w:val="00AF65C6"/>
    <w:rsid w:val="00AF65FC"/>
    <w:rsid w:val="00AF6625"/>
    <w:rsid w:val="00AF6633"/>
    <w:rsid w:val="00AF6644"/>
    <w:rsid w:val="00AF6652"/>
    <w:rsid w:val="00AF665E"/>
    <w:rsid w:val="00AF6724"/>
    <w:rsid w:val="00AF6774"/>
    <w:rsid w:val="00AF67A1"/>
    <w:rsid w:val="00AF67C2"/>
    <w:rsid w:val="00AF67E4"/>
    <w:rsid w:val="00AF6804"/>
    <w:rsid w:val="00AF682C"/>
    <w:rsid w:val="00AF6859"/>
    <w:rsid w:val="00AF6866"/>
    <w:rsid w:val="00AF68C4"/>
    <w:rsid w:val="00AF6920"/>
    <w:rsid w:val="00AF6924"/>
    <w:rsid w:val="00AF699C"/>
    <w:rsid w:val="00AF69B7"/>
    <w:rsid w:val="00AF69C2"/>
    <w:rsid w:val="00AF69CF"/>
    <w:rsid w:val="00AF6A0C"/>
    <w:rsid w:val="00AF6A0E"/>
    <w:rsid w:val="00AF6A17"/>
    <w:rsid w:val="00AF6A42"/>
    <w:rsid w:val="00AF6A49"/>
    <w:rsid w:val="00AF6A75"/>
    <w:rsid w:val="00AF6A84"/>
    <w:rsid w:val="00AF6A96"/>
    <w:rsid w:val="00AF6AB2"/>
    <w:rsid w:val="00AF6AFC"/>
    <w:rsid w:val="00AF6AFE"/>
    <w:rsid w:val="00AF6B41"/>
    <w:rsid w:val="00AF6B5D"/>
    <w:rsid w:val="00AF6B62"/>
    <w:rsid w:val="00AF6B7E"/>
    <w:rsid w:val="00AF6BA5"/>
    <w:rsid w:val="00AF6C17"/>
    <w:rsid w:val="00AF6C68"/>
    <w:rsid w:val="00AF6CC0"/>
    <w:rsid w:val="00AF6CF5"/>
    <w:rsid w:val="00AF6CF6"/>
    <w:rsid w:val="00AF6D07"/>
    <w:rsid w:val="00AF6D23"/>
    <w:rsid w:val="00AF6D33"/>
    <w:rsid w:val="00AF6D72"/>
    <w:rsid w:val="00AF6DA4"/>
    <w:rsid w:val="00AF6DAE"/>
    <w:rsid w:val="00AF6DFD"/>
    <w:rsid w:val="00AF6E14"/>
    <w:rsid w:val="00AF6E16"/>
    <w:rsid w:val="00AF6E2F"/>
    <w:rsid w:val="00AF6E5E"/>
    <w:rsid w:val="00AF6E94"/>
    <w:rsid w:val="00AF6E9A"/>
    <w:rsid w:val="00AF6EA2"/>
    <w:rsid w:val="00AF6EB8"/>
    <w:rsid w:val="00AF6EE1"/>
    <w:rsid w:val="00AF6EF7"/>
    <w:rsid w:val="00AF6F39"/>
    <w:rsid w:val="00AF6F3F"/>
    <w:rsid w:val="00AF6F44"/>
    <w:rsid w:val="00AF6FB7"/>
    <w:rsid w:val="00AF6FBA"/>
    <w:rsid w:val="00AF6FEA"/>
    <w:rsid w:val="00AF701B"/>
    <w:rsid w:val="00AF704B"/>
    <w:rsid w:val="00AF70A6"/>
    <w:rsid w:val="00AF714B"/>
    <w:rsid w:val="00AF717E"/>
    <w:rsid w:val="00AF718A"/>
    <w:rsid w:val="00AF71A2"/>
    <w:rsid w:val="00AF71BC"/>
    <w:rsid w:val="00AF7244"/>
    <w:rsid w:val="00AF7246"/>
    <w:rsid w:val="00AF7284"/>
    <w:rsid w:val="00AF72BA"/>
    <w:rsid w:val="00AF72C1"/>
    <w:rsid w:val="00AF72C8"/>
    <w:rsid w:val="00AF72EB"/>
    <w:rsid w:val="00AF734F"/>
    <w:rsid w:val="00AF735C"/>
    <w:rsid w:val="00AF739E"/>
    <w:rsid w:val="00AF73D0"/>
    <w:rsid w:val="00AF7405"/>
    <w:rsid w:val="00AF7430"/>
    <w:rsid w:val="00AF747D"/>
    <w:rsid w:val="00AF74BE"/>
    <w:rsid w:val="00AF74DE"/>
    <w:rsid w:val="00AF7510"/>
    <w:rsid w:val="00AF7524"/>
    <w:rsid w:val="00AF7539"/>
    <w:rsid w:val="00AF753D"/>
    <w:rsid w:val="00AF7541"/>
    <w:rsid w:val="00AF7545"/>
    <w:rsid w:val="00AF7548"/>
    <w:rsid w:val="00AF755A"/>
    <w:rsid w:val="00AF7567"/>
    <w:rsid w:val="00AF757A"/>
    <w:rsid w:val="00AF75A2"/>
    <w:rsid w:val="00AF75C6"/>
    <w:rsid w:val="00AF7611"/>
    <w:rsid w:val="00AF766A"/>
    <w:rsid w:val="00AF7689"/>
    <w:rsid w:val="00AF7718"/>
    <w:rsid w:val="00AF771D"/>
    <w:rsid w:val="00AF7749"/>
    <w:rsid w:val="00AF7758"/>
    <w:rsid w:val="00AF77CD"/>
    <w:rsid w:val="00AF77DB"/>
    <w:rsid w:val="00AF7879"/>
    <w:rsid w:val="00AF788F"/>
    <w:rsid w:val="00AF7890"/>
    <w:rsid w:val="00AF7892"/>
    <w:rsid w:val="00AF78B7"/>
    <w:rsid w:val="00AF78C6"/>
    <w:rsid w:val="00AF7908"/>
    <w:rsid w:val="00AF7929"/>
    <w:rsid w:val="00AF795D"/>
    <w:rsid w:val="00AF7984"/>
    <w:rsid w:val="00AF7A4A"/>
    <w:rsid w:val="00AF7A4E"/>
    <w:rsid w:val="00AF7AB1"/>
    <w:rsid w:val="00AF7ACE"/>
    <w:rsid w:val="00AF7B01"/>
    <w:rsid w:val="00AF7B0A"/>
    <w:rsid w:val="00AF7B0E"/>
    <w:rsid w:val="00AF7B1B"/>
    <w:rsid w:val="00AF7B2E"/>
    <w:rsid w:val="00AF7B7C"/>
    <w:rsid w:val="00AF7B97"/>
    <w:rsid w:val="00AF7BFF"/>
    <w:rsid w:val="00AF7C22"/>
    <w:rsid w:val="00AF7C3F"/>
    <w:rsid w:val="00AF7C7D"/>
    <w:rsid w:val="00AF7C9F"/>
    <w:rsid w:val="00AF7CE3"/>
    <w:rsid w:val="00AF7DCD"/>
    <w:rsid w:val="00AF7DF2"/>
    <w:rsid w:val="00AF7E0A"/>
    <w:rsid w:val="00AF7E0E"/>
    <w:rsid w:val="00AF7E57"/>
    <w:rsid w:val="00AF7E93"/>
    <w:rsid w:val="00AF7EFC"/>
    <w:rsid w:val="00AF7F24"/>
    <w:rsid w:val="00AF7F55"/>
    <w:rsid w:val="00AF7F59"/>
    <w:rsid w:val="00AF7F75"/>
    <w:rsid w:val="00AF7FD5"/>
    <w:rsid w:val="00B00022"/>
    <w:rsid w:val="00B00048"/>
    <w:rsid w:val="00B00057"/>
    <w:rsid w:val="00B000A2"/>
    <w:rsid w:val="00B000B7"/>
    <w:rsid w:val="00B000C5"/>
    <w:rsid w:val="00B000CE"/>
    <w:rsid w:val="00B00118"/>
    <w:rsid w:val="00B00122"/>
    <w:rsid w:val="00B00146"/>
    <w:rsid w:val="00B001B0"/>
    <w:rsid w:val="00B001B5"/>
    <w:rsid w:val="00B001C0"/>
    <w:rsid w:val="00B001EC"/>
    <w:rsid w:val="00B001EF"/>
    <w:rsid w:val="00B0021E"/>
    <w:rsid w:val="00B0027D"/>
    <w:rsid w:val="00B0027E"/>
    <w:rsid w:val="00B00284"/>
    <w:rsid w:val="00B002CB"/>
    <w:rsid w:val="00B002D8"/>
    <w:rsid w:val="00B0030B"/>
    <w:rsid w:val="00B00315"/>
    <w:rsid w:val="00B00319"/>
    <w:rsid w:val="00B00361"/>
    <w:rsid w:val="00B00383"/>
    <w:rsid w:val="00B003C7"/>
    <w:rsid w:val="00B003F7"/>
    <w:rsid w:val="00B0047C"/>
    <w:rsid w:val="00B00482"/>
    <w:rsid w:val="00B00487"/>
    <w:rsid w:val="00B004BA"/>
    <w:rsid w:val="00B0051D"/>
    <w:rsid w:val="00B0053C"/>
    <w:rsid w:val="00B0057C"/>
    <w:rsid w:val="00B005F8"/>
    <w:rsid w:val="00B00649"/>
    <w:rsid w:val="00B00650"/>
    <w:rsid w:val="00B006D8"/>
    <w:rsid w:val="00B006F6"/>
    <w:rsid w:val="00B00706"/>
    <w:rsid w:val="00B0075B"/>
    <w:rsid w:val="00B00778"/>
    <w:rsid w:val="00B007AF"/>
    <w:rsid w:val="00B007F0"/>
    <w:rsid w:val="00B007F2"/>
    <w:rsid w:val="00B0081C"/>
    <w:rsid w:val="00B00857"/>
    <w:rsid w:val="00B0085D"/>
    <w:rsid w:val="00B00899"/>
    <w:rsid w:val="00B008A0"/>
    <w:rsid w:val="00B008A6"/>
    <w:rsid w:val="00B008E4"/>
    <w:rsid w:val="00B0090D"/>
    <w:rsid w:val="00B0097C"/>
    <w:rsid w:val="00B009C0"/>
    <w:rsid w:val="00B009F0"/>
    <w:rsid w:val="00B00A6C"/>
    <w:rsid w:val="00B00A6D"/>
    <w:rsid w:val="00B00AB4"/>
    <w:rsid w:val="00B00AD3"/>
    <w:rsid w:val="00B00ADA"/>
    <w:rsid w:val="00B00B59"/>
    <w:rsid w:val="00B00B64"/>
    <w:rsid w:val="00B00BA0"/>
    <w:rsid w:val="00B00BA5"/>
    <w:rsid w:val="00B00BD6"/>
    <w:rsid w:val="00B00BE9"/>
    <w:rsid w:val="00B00C1D"/>
    <w:rsid w:val="00B00C41"/>
    <w:rsid w:val="00B00C4D"/>
    <w:rsid w:val="00B00C5F"/>
    <w:rsid w:val="00B00C96"/>
    <w:rsid w:val="00B00CB6"/>
    <w:rsid w:val="00B00CD9"/>
    <w:rsid w:val="00B00CDE"/>
    <w:rsid w:val="00B00D2E"/>
    <w:rsid w:val="00B00D50"/>
    <w:rsid w:val="00B00D55"/>
    <w:rsid w:val="00B00DF8"/>
    <w:rsid w:val="00B00E1A"/>
    <w:rsid w:val="00B00E1E"/>
    <w:rsid w:val="00B00E3E"/>
    <w:rsid w:val="00B00F01"/>
    <w:rsid w:val="00B00F03"/>
    <w:rsid w:val="00B00F1E"/>
    <w:rsid w:val="00B00F52"/>
    <w:rsid w:val="00B00F83"/>
    <w:rsid w:val="00B00FD7"/>
    <w:rsid w:val="00B00FE4"/>
    <w:rsid w:val="00B0102D"/>
    <w:rsid w:val="00B01073"/>
    <w:rsid w:val="00B01076"/>
    <w:rsid w:val="00B01169"/>
    <w:rsid w:val="00B01170"/>
    <w:rsid w:val="00B01197"/>
    <w:rsid w:val="00B011C7"/>
    <w:rsid w:val="00B01211"/>
    <w:rsid w:val="00B01241"/>
    <w:rsid w:val="00B01256"/>
    <w:rsid w:val="00B01261"/>
    <w:rsid w:val="00B01281"/>
    <w:rsid w:val="00B01290"/>
    <w:rsid w:val="00B01316"/>
    <w:rsid w:val="00B0135D"/>
    <w:rsid w:val="00B01398"/>
    <w:rsid w:val="00B013D1"/>
    <w:rsid w:val="00B0147A"/>
    <w:rsid w:val="00B01486"/>
    <w:rsid w:val="00B014AB"/>
    <w:rsid w:val="00B014C0"/>
    <w:rsid w:val="00B01511"/>
    <w:rsid w:val="00B01551"/>
    <w:rsid w:val="00B0155C"/>
    <w:rsid w:val="00B015B2"/>
    <w:rsid w:val="00B015DE"/>
    <w:rsid w:val="00B01623"/>
    <w:rsid w:val="00B01671"/>
    <w:rsid w:val="00B016E9"/>
    <w:rsid w:val="00B0170D"/>
    <w:rsid w:val="00B01718"/>
    <w:rsid w:val="00B01745"/>
    <w:rsid w:val="00B0174F"/>
    <w:rsid w:val="00B017AF"/>
    <w:rsid w:val="00B017DD"/>
    <w:rsid w:val="00B017F6"/>
    <w:rsid w:val="00B017F8"/>
    <w:rsid w:val="00B01829"/>
    <w:rsid w:val="00B01854"/>
    <w:rsid w:val="00B01860"/>
    <w:rsid w:val="00B0186B"/>
    <w:rsid w:val="00B01888"/>
    <w:rsid w:val="00B018B7"/>
    <w:rsid w:val="00B018FE"/>
    <w:rsid w:val="00B0192D"/>
    <w:rsid w:val="00B01936"/>
    <w:rsid w:val="00B0197B"/>
    <w:rsid w:val="00B01A25"/>
    <w:rsid w:val="00B01A58"/>
    <w:rsid w:val="00B01A79"/>
    <w:rsid w:val="00B01A99"/>
    <w:rsid w:val="00B01AC1"/>
    <w:rsid w:val="00B01ACF"/>
    <w:rsid w:val="00B01AF4"/>
    <w:rsid w:val="00B01B17"/>
    <w:rsid w:val="00B01B3D"/>
    <w:rsid w:val="00B01B51"/>
    <w:rsid w:val="00B01B57"/>
    <w:rsid w:val="00B01B73"/>
    <w:rsid w:val="00B01BAD"/>
    <w:rsid w:val="00B01BE4"/>
    <w:rsid w:val="00B01BF5"/>
    <w:rsid w:val="00B01C1C"/>
    <w:rsid w:val="00B01C44"/>
    <w:rsid w:val="00B01C5A"/>
    <w:rsid w:val="00B01C6F"/>
    <w:rsid w:val="00B01C85"/>
    <w:rsid w:val="00B01D1A"/>
    <w:rsid w:val="00B01D1C"/>
    <w:rsid w:val="00B01D24"/>
    <w:rsid w:val="00B01D47"/>
    <w:rsid w:val="00B01D48"/>
    <w:rsid w:val="00B01D8A"/>
    <w:rsid w:val="00B01DBA"/>
    <w:rsid w:val="00B01E24"/>
    <w:rsid w:val="00B01E4C"/>
    <w:rsid w:val="00B01E6E"/>
    <w:rsid w:val="00B01E72"/>
    <w:rsid w:val="00B01EAB"/>
    <w:rsid w:val="00B01EB1"/>
    <w:rsid w:val="00B01EEA"/>
    <w:rsid w:val="00B01F0E"/>
    <w:rsid w:val="00B01F3F"/>
    <w:rsid w:val="00B01F61"/>
    <w:rsid w:val="00B01FD1"/>
    <w:rsid w:val="00B01FD3"/>
    <w:rsid w:val="00B01FE9"/>
    <w:rsid w:val="00B01FF2"/>
    <w:rsid w:val="00B02048"/>
    <w:rsid w:val="00B02076"/>
    <w:rsid w:val="00B02078"/>
    <w:rsid w:val="00B020CA"/>
    <w:rsid w:val="00B02153"/>
    <w:rsid w:val="00B02166"/>
    <w:rsid w:val="00B0217D"/>
    <w:rsid w:val="00B0218E"/>
    <w:rsid w:val="00B0222C"/>
    <w:rsid w:val="00B02240"/>
    <w:rsid w:val="00B0231A"/>
    <w:rsid w:val="00B02393"/>
    <w:rsid w:val="00B0239B"/>
    <w:rsid w:val="00B023C5"/>
    <w:rsid w:val="00B023FE"/>
    <w:rsid w:val="00B02419"/>
    <w:rsid w:val="00B02438"/>
    <w:rsid w:val="00B02479"/>
    <w:rsid w:val="00B024C4"/>
    <w:rsid w:val="00B024D0"/>
    <w:rsid w:val="00B024E0"/>
    <w:rsid w:val="00B024FF"/>
    <w:rsid w:val="00B0253A"/>
    <w:rsid w:val="00B02567"/>
    <w:rsid w:val="00B02586"/>
    <w:rsid w:val="00B02589"/>
    <w:rsid w:val="00B0259B"/>
    <w:rsid w:val="00B025AA"/>
    <w:rsid w:val="00B025C9"/>
    <w:rsid w:val="00B025EA"/>
    <w:rsid w:val="00B02616"/>
    <w:rsid w:val="00B02631"/>
    <w:rsid w:val="00B02641"/>
    <w:rsid w:val="00B02658"/>
    <w:rsid w:val="00B02666"/>
    <w:rsid w:val="00B02675"/>
    <w:rsid w:val="00B0269F"/>
    <w:rsid w:val="00B026B8"/>
    <w:rsid w:val="00B026BF"/>
    <w:rsid w:val="00B026D9"/>
    <w:rsid w:val="00B026DD"/>
    <w:rsid w:val="00B026E0"/>
    <w:rsid w:val="00B0275F"/>
    <w:rsid w:val="00B02760"/>
    <w:rsid w:val="00B02793"/>
    <w:rsid w:val="00B02798"/>
    <w:rsid w:val="00B027A7"/>
    <w:rsid w:val="00B027BA"/>
    <w:rsid w:val="00B027DA"/>
    <w:rsid w:val="00B027DB"/>
    <w:rsid w:val="00B027F7"/>
    <w:rsid w:val="00B027FF"/>
    <w:rsid w:val="00B02850"/>
    <w:rsid w:val="00B02900"/>
    <w:rsid w:val="00B0291D"/>
    <w:rsid w:val="00B0295A"/>
    <w:rsid w:val="00B02A09"/>
    <w:rsid w:val="00B02A31"/>
    <w:rsid w:val="00B02A57"/>
    <w:rsid w:val="00B02A70"/>
    <w:rsid w:val="00B02A98"/>
    <w:rsid w:val="00B02AAD"/>
    <w:rsid w:val="00B02AB3"/>
    <w:rsid w:val="00B02AE7"/>
    <w:rsid w:val="00B02AE8"/>
    <w:rsid w:val="00B02AF3"/>
    <w:rsid w:val="00B02AF5"/>
    <w:rsid w:val="00B02B13"/>
    <w:rsid w:val="00B02B1B"/>
    <w:rsid w:val="00B02B32"/>
    <w:rsid w:val="00B02B41"/>
    <w:rsid w:val="00B02B90"/>
    <w:rsid w:val="00B02B9E"/>
    <w:rsid w:val="00B02BAC"/>
    <w:rsid w:val="00B02BB7"/>
    <w:rsid w:val="00B02BC8"/>
    <w:rsid w:val="00B02BCB"/>
    <w:rsid w:val="00B02BF6"/>
    <w:rsid w:val="00B02C19"/>
    <w:rsid w:val="00B02C21"/>
    <w:rsid w:val="00B02C2A"/>
    <w:rsid w:val="00B02C47"/>
    <w:rsid w:val="00B02C6F"/>
    <w:rsid w:val="00B02C77"/>
    <w:rsid w:val="00B02C79"/>
    <w:rsid w:val="00B02C86"/>
    <w:rsid w:val="00B02C90"/>
    <w:rsid w:val="00B02CF7"/>
    <w:rsid w:val="00B02D0E"/>
    <w:rsid w:val="00B02D30"/>
    <w:rsid w:val="00B02D60"/>
    <w:rsid w:val="00B02D75"/>
    <w:rsid w:val="00B02D83"/>
    <w:rsid w:val="00B02D86"/>
    <w:rsid w:val="00B02DD4"/>
    <w:rsid w:val="00B02E70"/>
    <w:rsid w:val="00B02E80"/>
    <w:rsid w:val="00B02E96"/>
    <w:rsid w:val="00B02EA2"/>
    <w:rsid w:val="00B02EE9"/>
    <w:rsid w:val="00B02EF1"/>
    <w:rsid w:val="00B02F23"/>
    <w:rsid w:val="00B02F2E"/>
    <w:rsid w:val="00B02F3C"/>
    <w:rsid w:val="00B02F7A"/>
    <w:rsid w:val="00B02F96"/>
    <w:rsid w:val="00B02FB2"/>
    <w:rsid w:val="00B02FC8"/>
    <w:rsid w:val="00B03002"/>
    <w:rsid w:val="00B03060"/>
    <w:rsid w:val="00B0306D"/>
    <w:rsid w:val="00B0308F"/>
    <w:rsid w:val="00B03097"/>
    <w:rsid w:val="00B030E4"/>
    <w:rsid w:val="00B030F6"/>
    <w:rsid w:val="00B03126"/>
    <w:rsid w:val="00B0314B"/>
    <w:rsid w:val="00B0316E"/>
    <w:rsid w:val="00B03182"/>
    <w:rsid w:val="00B03194"/>
    <w:rsid w:val="00B031A8"/>
    <w:rsid w:val="00B031B2"/>
    <w:rsid w:val="00B03226"/>
    <w:rsid w:val="00B03235"/>
    <w:rsid w:val="00B0324A"/>
    <w:rsid w:val="00B032A1"/>
    <w:rsid w:val="00B032C3"/>
    <w:rsid w:val="00B032D3"/>
    <w:rsid w:val="00B032D7"/>
    <w:rsid w:val="00B032E3"/>
    <w:rsid w:val="00B032F1"/>
    <w:rsid w:val="00B03333"/>
    <w:rsid w:val="00B0336F"/>
    <w:rsid w:val="00B03381"/>
    <w:rsid w:val="00B03387"/>
    <w:rsid w:val="00B0338A"/>
    <w:rsid w:val="00B03415"/>
    <w:rsid w:val="00B0342B"/>
    <w:rsid w:val="00B0344A"/>
    <w:rsid w:val="00B03466"/>
    <w:rsid w:val="00B03497"/>
    <w:rsid w:val="00B034CF"/>
    <w:rsid w:val="00B034E3"/>
    <w:rsid w:val="00B0350A"/>
    <w:rsid w:val="00B03535"/>
    <w:rsid w:val="00B03580"/>
    <w:rsid w:val="00B03646"/>
    <w:rsid w:val="00B036A8"/>
    <w:rsid w:val="00B036BD"/>
    <w:rsid w:val="00B036F0"/>
    <w:rsid w:val="00B036F6"/>
    <w:rsid w:val="00B03711"/>
    <w:rsid w:val="00B03737"/>
    <w:rsid w:val="00B0376C"/>
    <w:rsid w:val="00B03779"/>
    <w:rsid w:val="00B03784"/>
    <w:rsid w:val="00B037F7"/>
    <w:rsid w:val="00B03835"/>
    <w:rsid w:val="00B0383F"/>
    <w:rsid w:val="00B03860"/>
    <w:rsid w:val="00B03883"/>
    <w:rsid w:val="00B03896"/>
    <w:rsid w:val="00B03907"/>
    <w:rsid w:val="00B03927"/>
    <w:rsid w:val="00B03930"/>
    <w:rsid w:val="00B03972"/>
    <w:rsid w:val="00B039FE"/>
    <w:rsid w:val="00B03A00"/>
    <w:rsid w:val="00B03A53"/>
    <w:rsid w:val="00B03A6D"/>
    <w:rsid w:val="00B03A82"/>
    <w:rsid w:val="00B03AD1"/>
    <w:rsid w:val="00B03ADA"/>
    <w:rsid w:val="00B03AE6"/>
    <w:rsid w:val="00B03AEB"/>
    <w:rsid w:val="00B03AF3"/>
    <w:rsid w:val="00B03B0F"/>
    <w:rsid w:val="00B03B2A"/>
    <w:rsid w:val="00B03B6A"/>
    <w:rsid w:val="00B03B72"/>
    <w:rsid w:val="00B03B78"/>
    <w:rsid w:val="00B03BBA"/>
    <w:rsid w:val="00B03BD1"/>
    <w:rsid w:val="00B03C46"/>
    <w:rsid w:val="00B03C6D"/>
    <w:rsid w:val="00B03C8A"/>
    <w:rsid w:val="00B03C91"/>
    <w:rsid w:val="00B03D23"/>
    <w:rsid w:val="00B03D44"/>
    <w:rsid w:val="00B03D6D"/>
    <w:rsid w:val="00B03D74"/>
    <w:rsid w:val="00B03D89"/>
    <w:rsid w:val="00B03DE5"/>
    <w:rsid w:val="00B03DF6"/>
    <w:rsid w:val="00B03E2C"/>
    <w:rsid w:val="00B03E6A"/>
    <w:rsid w:val="00B03E95"/>
    <w:rsid w:val="00B03EB8"/>
    <w:rsid w:val="00B03EC6"/>
    <w:rsid w:val="00B03ECD"/>
    <w:rsid w:val="00B03EEF"/>
    <w:rsid w:val="00B03F3D"/>
    <w:rsid w:val="00B03F84"/>
    <w:rsid w:val="00B03F88"/>
    <w:rsid w:val="00B03F8D"/>
    <w:rsid w:val="00B03FAB"/>
    <w:rsid w:val="00B03FC8"/>
    <w:rsid w:val="00B03FFE"/>
    <w:rsid w:val="00B04007"/>
    <w:rsid w:val="00B0402A"/>
    <w:rsid w:val="00B04067"/>
    <w:rsid w:val="00B0409F"/>
    <w:rsid w:val="00B04109"/>
    <w:rsid w:val="00B0412B"/>
    <w:rsid w:val="00B04170"/>
    <w:rsid w:val="00B04172"/>
    <w:rsid w:val="00B04195"/>
    <w:rsid w:val="00B041C2"/>
    <w:rsid w:val="00B041DA"/>
    <w:rsid w:val="00B041DF"/>
    <w:rsid w:val="00B041EA"/>
    <w:rsid w:val="00B04201"/>
    <w:rsid w:val="00B04202"/>
    <w:rsid w:val="00B0422F"/>
    <w:rsid w:val="00B04241"/>
    <w:rsid w:val="00B04250"/>
    <w:rsid w:val="00B04259"/>
    <w:rsid w:val="00B0426C"/>
    <w:rsid w:val="00B0429B"/>
    <w:rsid w:val="00B0429E"/>
    <w:rsid w:val="00B042A3"/>
    <w:rsid w:val="00B042A7"/>
    <w:rsid w:val="00B042B4"/>
    <w:rsid w:val="00B042BE"/>
    <w:rsid w:val="00B042F1"/>
    <w:rsid w:val="00B0431D"/>
    <w:rsid w:val="00B0438C"/>
    <w:rsid w:val="00B043EC"/>
    <w:rsid w:val="00B0440A"/>
    <w:rsid w:val="00B04433"/>
    <w:rsid w:val="00B0443B"/>
    <w:rsid w:val="00B0444B"/>
    <w:rsid w:val="00B044C8"/>
    <w:rsid w:val="00B044D0"/>
    <w:rsid w:val="00B044D7"/>
    <w:rsid w:val="00B044EE"/>
    <w:rsid w:val="00B044EF"/>
    <w:rsid w:val="00B044FB"/>
    <w:rsid w:val="00B0451A"/>
    <w:rsid w:val="00B04552"/>
    <w:rsid w:val="00B0456A"/>
    <w:rsid w:val="00B04594"/>
    <w:rsid w:val="00B04606"/>
    <w:rsid w:val="00B0460B"/>
    <w:rsid w:val="00B04611"/>
    <w:rsid w:val="00B04627"/>
    <w:rsid w:val="00B04641"/>
    <w:rsid w:val="00B04660"/>
    <w:rsid w:val="00B046BC"/>
    <w:rsid w:val="00B046C8"/>
    <w:rsid w:val="00B046E8"/>
    <w:rsid w:val="00B04708"/>
    <w:rsid w:val="00B0471F"/>
    <w:rsid w:val="00B04722"/>
    <w:rsid w:val="00B04736"/>
    <w:rsid w:val="00B0474D"/>
    <w:rsid w:val="00B04771"/>
    <w:rsid w:val="00B04780"/>
    <w:rsid w:val="00B047EF"/>
    <w:rsid w:val="00B0484C"/>
    <w:rsid w:val="00B04860"/>
    <w:rsid w:val="00B04862"/>
    <w:rsid w:val="00B048A4"/>
    <w:rsid w:val="00B048D0"/>
    <w:rsid w:val="00B048D3"/>
    <w:rsid w:val="00B048D6"/>
    <w:rsid w:val="00B04947"/>
    <w:rsid w:val="00B04977"/>
    <w:rsid w:val="00B04995"/>
    <w:rsid w:val="00B04999"/>
    <w:rsid w:val="00B049A2"/>
    <w:rsid w:val="00B049B5"/>
    <w:rsid w:val="00B049E1"/>
    <w:rsid w:val="00B04A06"/>
    <w:rsid w:val="00B04A0E"/>
    <w:rsid w:val="00B04A17"/>
    <w:rsid w:val="00B04A1B"/>
    <w:rsid w:val="00B04A78"/>
    <w:rsid w:val="00B04A9F"/>
    <w:rsid w:val="00B04B64"/>
    <w:rsid w:val="00B04B82"/>
    <w:rsid w:val="00B04BDE"/>
    <w:rsid w:val="00B04C0D"/>
    <w:rsid w:val="00B04C26"/>
    <w:rsid w:val="00B04C30"/>
    <w:rsid w:val="00B04C3A"/>
    <w:rsid w:val="00B04C3C"/>
    <w:rsid w:val="00B04C9D"/>
    <w:rsid w:val="00B04CE1"/>
    <w:rsid w:val="00B04D02"/>
    <w:rsid w:val="00B04D1D"/>
    <w:rsid w:val="00B04D23"/>
    <w:rsid w:val="00B04D41"/>
    <w:rsid w:val="00B04D55"/>
    <w:rsid w:val="00B04D5C"/>
    <w:rsid w:val="00B04D82"/>
    <w:rsid w:val="00B04D9F"/>
    <w:rsid w:val="00B04E81"/>
    <w:rsid w:val="00B04E9C"/>
    <w:rsid w:val="00B04EF2"/>
    <w:rsid w:val="00B04F43"/>
    <w:rsid w:val="00B04F58"/>
    <w:rsid w:val="00B04F76"/>
    <w:rsid w:val="00B04F88"/>
    <w:rsid w:val="00B04F8A"/>
    <w:rsid w:val="00B04FAB"/>
    <w:rsid w:val="00B04FEF"/>
    <w:rsid w:val="00B04FF6"/>
    <w:rsid w:val="00B04FF9"/>
    <w:rsid w:val="00B04FFB"/>
    <w:rsid w:val="00B05073"/>
    <w:rsid w:val="00B0508B"/>
    <w:rsid w:val="00B050A3"/>
    <w:rsid w:val="00B050B4"/>
    <w:rsid w:val="00B050CA"/>
    <w:rsid w:val="00B050D6"/>
    <w:rsid w:val="00B050DB"/>
    <w:rsid w:val="00B050EF"/>
    <w:rsid w:val="00B0511F"/>
    <w:rsid w:val="00B05138"/>
    <w:rsid w:val="00B05184"/>
    <w:rsid w:val="00B051FB"/>
    <w:rsid w:val="00B0524E"/>
    <w:rsid w:val="00B05257"/>
    <w:rsid w:val="00B05272"/>
    <w:rsid w:val="00B0527B"/>
    <w:rsid w:val="00B052A4"/>
    <w:rsid w:val="00B052B0"/>
    <w:rsid w:val="00B052B2"/>
    <w:rsid w:val="00B052DD"/>
    <w:rsid w:val="00B052F4"/>
    <w:rsid w:val="00B0532D"/>
    <w:rsid w:val="00B0532F"/>
    <w:rsid w:val="00B0538F"/>
    <w:rsid w:val="00B053EA"/>
    <w:rsid w:val="00B053F8"/>
    <w:rsid w:val="00B053FF"/>
    <w:rsid w:val="00B05471"/>
    <w:rsid w:val="00B05478"/>
    <w:rsid w:val="00B054B6"/>
    <w:rsid w:val="00B054C2"/>
    <w:rsid w:val="00B055B2"/>
    <w:rsid w:val="00B055BE"/>
    <w:rsid w:val="00B055E6"/>
    <w:rsid w:val="00B05603"/>
    <w:rsid w:val="00B05620"/>
    <w:rsid w:val="00B05632"/>
    <w:rsid w:val="00B05665"/>
    <w:rsid w:val="00B0568A"/>
    <w:rsid w:val="00B056DD"/>
    <w:rsid w:val="00B0572E"/>
    <w:rsid w:val="00B05735"/>
    <w:rsid w:val="00B057C1"/>
    <w:rsid w:val="00B057C8"/>
    <w:rsid w:val="00B057FF"/>
    <w:rsid w:val="00B0582E"/>
    <w:rsid w:val="00B058B5"/>
    <w:rsid w:val="00B058BB"/>
    <w:rsid w:val="00B058BE"/>
    <w:rsid w:val="00B058DF"/>
    <w:rsid w:val="00B05961"/>
    <w:rsid w:val="00B05999"/>
    <w:rsid w:val="00B059AF"/>
    <w:rsid w:val="00B059B5"/>
    <w:rsid w:val="00B059D1"/>
    <w:rsid w:val="00B059D4"/>
    <w:rsid w:val="00B05A34"/>
    <w:rsid w:val="00B05ACC"/>
    <w:rsid w:val="00B05ADE"/>
    <w:rsid w:val="00B05B1F"/>
    <w:rsid w:val="00B05B2A"/>
    <w:rsid w:val="00B05B78"/>
    <w:rsid w:val="00B05B89"/>
    <w:rsid w:val="00B05C0D"/>
    <w:rsid w:val="00B05C27"/>
    <w:rsid w:val="00B05C5C"/>
    <w:rsid w:val="00B05CC7"/>
    <w:rsid w:val="00B05CD5"/>
    <w:rsid w:val="00B05CDB"/>
    <w:rsid w:val="00B05D1B"/>
    <w:rsid w:val="00B05D6A"/>
    <w:rsid w:val="00B05DAC"/>
    <w:rsid w:val="00B05DAF"/>
    <w:rsid w:val="00B05DCA"/>
    <w:rsid w:val="00B05DD6"/>
    <w:rsid w:val="00B05DDA"/>
    <w:rsid w:val="00B05E06"/>
    <w:rsid w:val="00B05E0A"/>
    <w:rsid w:val="00B05E4D"/>
    <w:rsid w:val="00B05EA4"/>
    <w:rsid w:val="00B05ED8"/>
    <w:rsid w:val="00B05EED"/>
    <w:rsid w:val="00B05EF4"/>
    <w:rsid w:val="00B05F0A"/>
    <w:rsid w:val="00B05F23"/>
    <w:rsid w:val="00B05F37"/>
    <w:rsid w:val="00B05F5C"/>
    <w:rsid w:val="00B05F6E"/>
    <w:rsid w:val="00B05FBD"/>
    <w:rsid w:val="00B05FC0"/>
    <w:rsid w:val="00B05FED"/>
    <w:rsid w:val="00B06002"/>
    <w:rsid w:val="00B06007"/>
    <w:rsid w:val="00B06077"/>
    <w:rsid w:val="00B060D3"/>
    <w:rsid w:val="00B060EF"/>
    <w:rsid w:val="00B0612B"/>
    <w:rsid w:val="00B06137"/>
    <w:rsid w:val="00B061B7"/>
    <w:rsid w:val="00B06204"/>
    <w:rsid w:val="00B06207"/>
    <w:rsid w:val="00B0620C"/>
    <w:rsid w:val="00B06218"/>
    <w:rsid w:val="00B06266"/>
    <w:rsid w:val="00B06284"/>
    <w:rsid w:val="00B062A6"/>
    <w:rsid w:val="00B062C9"/>
    <w:rsid w:val="00B06302"/>
    <w:rsid w:val="00B06318"/>
    <w:rsid w:val="00B0631E"/>
    <w:rsid w:val="00B06321"/>
    <w:rsid w:val="00B06328"/>
    <w:rsid w:val="00B0632E"/>
    <w:rsid w:val="00B0634A"/>
    <w:rsid w:val="00B06350"/>
    <w:rsid w:val="00B063BF"/>
    <w:rsid w:val="00B063C9"/>
    <w:rsid w:val="00B063CB"/>
    <w:rsid w:val="00B063F3"/>
    <w:rsid w:val="00B06412"/>
    <w:rsid w:val="00B06442"/>
    <w:rsid w:val="00B0648D"/>
    <w:rsid w:val="00B064AA"/>
    <w:rsid w:val="00B064C3"/>
    <w:rsid w:val="00B064CD"/>
    <w:rsid w:val="00B06506"/>
    <w:rsid w:val="00B06551"/>
    <w:rsid w:val="00B06562"/>
    <w:rsid w:val="00B0656C"/>
    <w:rsid w:val="00B06598"/>
    <w:rsid w:val="00B065B1"/>
    <w:rsid w:val="00B065DC"/>
    <w:rsid w:val="00B065E1"/>
    <w:rsid w:val="00B065F3"/>
    <w:rsid w:val="00B0660D"/>
    <w:rsid w:val="00B0662E"/>
    <w:rsid w:val="00B06659"/>
    <w:rsid w:val="00B0667A"/>
    <w:rsid w:val="00B066A3"/>
    <w:rsid w:val="00B066F4"/>
    <w:rsid w:val="00B066FB"/>
    <w:rsid w:val="00B06708"/>
    <w:rsid w:val="00B06724"/>
    <w:rsid w:val="00B06769"/>
    <w:rsid w:val="00B06781"/>
    <w:rsid w:val="00B067C6"/>
    <w:rsid w:val="00B067CB"/>
    <w:rsid w:val="00B06822"/>
    <w:rsid w:val="00B06840"/>
    <w:rsid w:val="00B068EB"/>
    <w:rsid w:val="00B068ED"/>
    <w:rsid w:val="00B06946"/>
    <w:rsid w:val="00B069A1"/>
    <w:rsid w:val="00B069A3"/>
    <w:rsid w:val="00B069B3"/>
    <w:rsid w:val="00B069FB"/>
    <w:rsid w:val="00B06A14"/>
    <w:rsid w:val="00B06A7E"/>
    <w:rsid w:val="00B06B0B"/>
    <w:rsid w:val="00B06B5A"/>
    <w:rsid w:val="00B06B79"/>
    <w:rsid w:val="00B06B91"/>
    <w:rsid w:val="00B06BD4"/>
    <w:rsid w:val="00B06BE0"/>
    <w:rsid w:val="00B06C12"/>
    <w:rsid w:val="00B06CA4"/>
    <w:rsid w:val="00B06CC8"/>
    <w:rsid w:val="00B06D1C"/>
    <w:rsid w:val="00B06D61"/>
    <w:rsid w:val="00B06D6C"/>
    <w:rsid w:val="00B06D82"/>
    <w:rsid w:val="00B06DA3"/>
    <w:rsid w:val="00B06E4C"/>
    <w:rsid w:val="00B06E4E"/>
    <w:rsid w:val="00B06E57"/>
    <w:rsid w:val="00B06E86"/>
    <w:rsid w:val="00B06EA0"/>
    <w:rsid w:val="00B06EA5"/>
    <w:rsid w:val="00B06EB0"/>
    <w:rsid w:val="00B06ED2"/>
    <w:rsid w:val="00B06F38"/>
    <w:rsid w:val="00B06F62"/>
    <w:rsid w:val="00B06FC7"/>
    <w:rsid w:val="00B0700E"/>
    <w:rsid w:val="00B07030"/>
    <w:rsid w:val="00B0711C"/>
    <w:rsid w:val="00B07157"/>
    <w:rsid w:val="00B0718A"/>
    <w:rsid w:val="00B071BC"/>
    <w:rsid w:val="00B071BF"/>
    <w:rsid w:val="00B071DA"/>
    <w:rsid w:val="00B07204"/>
    <w:rsid w:val="00B0722F"/>
    <w:rsid w:val="00B07240"/>
    <w:rsid w:val="00B0725E"/>
    <w:rsid w:val="00B0729A"/>
    <w:rsid w:val="00B0729C"/>
    <w:rsid w:val="00B072A1"/>
    <w:rsid w:val="00B072AE"/>
    <w:rsid w:val="00B0730A"/>
    <w:rsid w:val="00B07321"/>
    <w:rsid w:val="00B07333"/>
    <w:rsid w:val="00B0736A"/>
    <w:rsid w:val="00B07377"/>
    <w:rsid w:val="00B073A3"/>
    <w:rsid w:val="00B073B1"/>
    <w:rsid w:val="00B073D0"/>
    <w:rsid w:val="00B0742E"/>
    <w:rsid w:val="00B074A1"/>
    <w:rsid w:val="00B074B6"/>
    <w:rsid w:val="00B074E5"/>
    <w:rsid w:val="00B07575"/>
    <w:rsid w:val="00B07596"/>
    <w:rsid w:val="00B075D8"/>
    <w:rsid w:val="00B07640"/>
    <w:rsid w:val="00B07645"/>
    <w:rsid w:val="00B07648"/>
    <w:rsid w:val="00B07674"/>
    <w:rsid w:val="00B076F2"/>
    <w:rsid w:val="00B0774F"/>
    <w:rsid w:val="00B0777B"/>
    <w:rsid w:val="00B077CA"/>
    <w:rsid w:val="00B07855"/>
    <w:rsid w:val="00B07859"/>
    <w:rsid w:val="00B07861"/>
    <w:rsid w:val="00B07864"/>
    <w:rsid w:val="00B0788C"/>
    <w:rsid w:val="00B078B4"/>
    <w:rsid w:val="00B078E7"/>
    <w:rsid w:val="00B0790A"/>
    <w:rsid w:val="00B0792D"/>
    <w:rsid w:val="00B07963"/>
    <w:rsid w:val="00B079C3"/>
    <w:rsid w:val="00B079E8"/>
    <w:rsid w:val="00B079F2"/>
    <w:rsid w:val="00B07A04"/>
    <w:rsid w:val="00B07A0C"/>
    <w:rsid w:val="00B07A6C"/>
    <w:rsid w:val="00B07A90"/>
    <w:rsid w:val="00B07AFC"/>
    <w:rsid w:val="00B07AFE"/>
    <w:rsid w:val="00B07B4D"/>
    <w:rsid w:val="00B07B6E"/>
    <w:rsid w:val="00B07B71"/>
    <w:rsid w:val="00B07B72"/>
    <w:rsid w:val="00B07B9B"/>
    <w:rsid w:val="00B07BB8"/>
    <w:rsid w:val="00B07BF7"/>
    <w:rsid w:val="00B07C17"/>
    <w:rsid w:val="00B07C35"/>
    <w:rsid w:val="00B07C49"/>
    <w:rsid w:val="00B07C51"/>
    <w:rsid w:val="00B07C63"/>
    <w:rsid w:val="00B07C71"/>
    <w:rsid w:val="00B07C8E"/>
    <w:rsid w:val="00B07CE2"/>
    <w:rsid w:val="00B07DB6"/>
    <w:rsid w:val="00B07E74"/>
    <w:rsid w:val="00B07E84"/>
    <w:rsid w:val="00B07E91"/>
    <w:rsid w:val="00B07E9A"/>
    <w:rsid w:val="00B07ED2"/>
    <w:rsid w:val="00B07EDC"/>
    <w:rsid w:val="00B07F0A"/>
    <w:rsid w:val="00B07F53"/>
    <w:rsid w:val="00B07F7C"/>
    <w:rsid w:val="00B07F8E"/>
    <w:rsid w:val="00B10010"/>
    <w:rsid w:val="00B1002C"/>
    <w:rsid w:val="00B100CF"/>
    <w:rsid w:val="00B100D9"/>
    <w:rsid w:val="00B10110"/>
    <w:rsid w:val="00B101EA"/>
    <w:rsid w:val="00B1020F"/>
    <w:rsid w:val="00B1023E"/>
    <w:rsid w:val="00B10274"/>
    <w:rsid w:val="00B1029F"/>
    <w:rsid w:val="00B102A9"/>
    <w:rsid w:val="00B102AD"/>
    <w:rsid w:val="00B102C9"/>
    <w:rsid w:val="00B10332"/>
    <w:rsid w:val="00B10390"/>
    <w:rsid w:val="00B10408"/>
    <w:rsid w:val="00B10419"/>
    <w:rsid w:val="00B10423"/>
    <w:rsid w:val="00B10470"/>
    <w:rsid w:val="00B10493"/>
    <w:rsid w:val="00B10495"/>
    <w:rsid w:val="00B1050D"/>
    <w:rsid w:val="00B1051D"/>
    <w:rsid w:val="00B1051E"/>
    <w:rsid w:val="00B10537"/>
    <w:rsid w:val="00B10626"/>
    <w:rsid w:val="00B10636"/>
    <w:rsid w:val="00B1063B"/>
    <w:rsid w:val="00B10683"/>
    <w:rsid w:val="00B10696"/>
    <w:rsid w:val="00B106A6"/>
    <w:rsid w:val="00B106E6"/>
    <w:rsid w:val="00B1071E"/>
    <w:rsid w:val="00B10727"/>
    <w:rsid w:val="00B1073A"/>
    <w:rsid w:val="00B107FB"/>
    <w:rsid w:val="00B10802"/>
    <w:rsid w:val="00B10815"/>
    <w:rsid w:val="00B108AD"/>
    <w:rsid w:val="00B10912"/>
    <w:rsid w:val="00B10941"/>
    <w:rsid w:val="00B10959"/>
    <w:rsid w:val="00B1095D"/>
    <w:rsid w:val="00B10965"/>
    <w:rsid w:val="00B1097E"/>
    <w:rsid w:val="00B10986"/>
    <w:rsid w:val="00B109AA"/>
    <w:rsid w:val="00B109C7"/>
    <w:rsid w:val="00B109D1"/>
    <w:rsid w:val="00B10A25"/>
    <w:rsid w:val="00B10A37"/>
    <w:rsid w:val="00B10A48"/>
    <w:rsid w:val="00B10B16"/>
    <w:rsid w:val="00B10BEF"/>
    <w:rsid w:val="00B10BF2"/>
    <w:rsid w:val="00B10C09"/>
    <w:rsid w:val="00B10C2E"/>
    <w:rsid w:val="00B10C52"/>
    <w:rsid w:val="00B10CCB"/>
    <w:rsid w:val="00B10D52"/>
    <w:rsid w:val="00B10DFC"/>
    <w:rsid w:val="00B10E38"/>
    <w:rsid w:val="00B10E4B"/>
    <w:rsid w:val="00B10E8D"/>
    <w:rsid w:val="00B10E9D"/>
    <w:rsid w:val="00B10EA9"/>
    <w:rsid w:val="00B10EE4"/>
    <w:rsid w:val="00B10EF9"/>
    <w:rsid w:val="00B10F01"/>
    <w:rsid w:val="00B10F02"/>
    <w:rsid w:val="00B10F31"/>
    <w:rsid w:val="00B1102F"/>
    <w:rsid w:val="00B11039"/>
    <w:rsid w:val="00B1103E"/>
    <w:rsid w:val="00B11044"/>
    <w:rsid w:val="00B11100"/>
    <w:rsid w:val="00B11134"/>
    <w:rsid w:val="00B1113E"/>
    <w:rsid w:val="00B11142"/>
    <w:rsid w:val="00B1119B"/>
    <w:rsid w:val="00B111A6"/>
    <w:rsid w:val="00B111AF"/>
    <w:rsid w:val="00B111B4"/>
    <w:rsid w:val="00B111DC"/>
    <w:rsid w:val="00B111E0"/>
    <w:rsid w:val="00B111EE"/>
    <w:rsid w:val="00B11239"/>
    <w:rsid w:val="00B1123C"/>
    <w:rsid w:val="00B1124A"/>
    <w:rsid w:val="00B11265"/>
    <w:rsid w:val="00B1128C"/>
    <w:rsid w:val="00B112BB"/>
    <w:rsid w:val="00B112E8"/>
    <w:rsid w:val="00B11305"/>
    <w:rsid w:val="00B11321"/>
    <w:rsid w:val="00B1137C"/>
    <w:rsid w:val="00B1138B"/>
    <w:rsid w:val="00B11404"/>
    <w:rsid w:val="00B1140B"/>
    <w:rsid w:val="00B1140C"/>
    <w:rsid w:val="00B11480"/>
    <w:rsid w:val="00B114A1"/>
    <w:rsid w:val="00B114AA"/>
    <w:rsid w:val="00B1151E"/>
    <w:rsid w:val="00B1152C"/>
    <w:rsid w:val="00B11539"/>
    <w:rsid w:val="00B1154B"/>
    <w:rsid w:val="00B1161F"/>
    <w:rsid w:val="00B11646"/>
    <w:rsid w:val="00B1165F"/>
    <w:rsid w:val="00B11683"/>
    <w:rsid w:val="00B11686"/>
    <w:rsid w:val="00B116B6"/>
    <w:rsid w:val="00B116E5"/>
    <w:rsid w:val="00B11732"/>
    <w:rsid w:val="00B1174C"/>
    <w:rsid w:val="00B11772"/>
    <w:rsid w:val="00B1177F"/>
    <w:rsid w:val="00B11796"/>
    <w:rsid w:val="00B117AA"/>
    <w:rsid w:val="00B1182B"/>
    <w:rsid w:val="00B11832"/>
    <w:rsid w:val="00B11878"/>
    <w:rsid w:val="00B1188A"/>
    <w:rsid w:val="00B1190F"/>
    <w:rsid w:val="00B1191B"/>
    <w:rsid w:val="00B11927"/>
    <w:rsid w:val="00B11931"/>
    <w:rsid w:val="00B1193E"/>
    <w:rsid w:val="00B11949"/>
    <w:rsid w:val="00B11954"/>
    <w:rsid w:val="00B11995"/>
    <w:rsid w:val="00B11ABD"/>
    <w:rsid w:val="00B11AF9"/>
    <w:rsid w:val="00B11B66"/>
    <w:rsid w:val="00B11B68"/>
    <w:rsid w:val="00B11BAA"/>
    <w:rsid w:val="00B11BC3"/>
    <w:rsid w:val="00B11BCD"/>
    <w:rsid w:val="00B11BFA"/>
    <w:rsid w:val="00B11C24"/>
    <w:rsid w:val="00B11C25"/>
    <w:rsid w:val="00B11C44"/>
    <w:rsid w:val="00B11C46"/>
    <w:rsid w:val="00B11C5C"/>
    <w:rsid w:val="00B11C64"/>
    <w:rsid w:val="00B11CD2"/>
    <w:rsid w:val="00B11CD4"/>
    <w:rsid w:val="00B11CF4"/>
    <w:rsid w:val="00B11CFA"/>
    <w:rsid w:val="00B11D7B"/>
    <w:rsid w:val="00B11E39"/>
    <w:rsid w:val="00B11E6D"/>
    <w:rsid w:val="00B11E81"/>
    <w:rsid w:val="00B11EBD"/>
    <w:rsid w:val="00B11F03"/>
    <w:rsid w:val="00B11F1A"/>
    <w:rsid w:val="00B11F3D"/>
    <w:rsid w:val="00B11F8B"/>
    <w:rsid w:val="00B11FA3"/>
    <w:rsid w:val="00B11FB3"/>
    <w:rsid w:val="00B11FBC"/>
    <w:rsid w:val="00B11FEC"/>
    <w:rsid w:val="00B12018"/>
    <w:rsid w:val="00B12032"/>
    <w:rsid w:val="00B12036"/>
    <w:rsid w:val="00B1207A"/>
    <w:rsid w:val="00B120B3"/>
    <w:rsid w:val="00B120D9"/>
    <w:rsid w:val="00B120E0"/>
    <w:rsid w:val="00B1213E"/>
    <w:rsid w:val="00B12141"/>
    <w:rsid w:val="00B1222D"/>
    <w:rsid w:val="00B12290"/>
    <w:rsid w:val="00B122B5"/>
    <w:rsid w:val="00B122D8"/>
    <w:rsid w:val="00B122F9"/>
    <w:rsid w:val="00B1234A"/>
    <w:rsid w:val="00B12354"/>
    <w:rsid w:val="00B12391"/>
    <w:rsid w:val="00B123C6"/>
    <w:rsid w:val="00B12424"/>
    <w:rsid w:val="00B12426"/>
    <w:rsid w:val="00B1244B"/>
    <w:rsid w:val="00B124C8"/>
    <w:rsid w:val="00B124E8"/>
    <w:rsid w:val="00B124E9"/>
    <w:rsid w:val="00B1257D"/>
    <w:rsid w:val="00B125B3"/>
    <w:rsid w:val="00B125E3"/>
    <w:rsid w:val="00B12602"/>
    <w:rsid w:val="00B12629"/>
    <w:rsid w:val="00B12636"/>
    <w:rsid w:val="00B12656"/>
    <w:rsid w:val="00B1266C"/>
    <w:rsid w:val="00B1267D"/>
    <w:rsid w:val="00B126B0"/>
    <w:rsid w:val="00B126C7"/>
    <w:rsid w:val="00B126D6"/>
    <w:rsid w:val="00B126F2"/>
    <w:rsid w:val="00B1270D"/>
    <w:rsid w:val="00B1272A"/>
    <w:rsid w:val="00B1273B"/>
    <w:rsid w:val="00B1273D"/>
    <w:rsid w:val="00B1274E"/>
    <w:rsid w:val="00B1277F"/>
    <w:rsid w:val="00B12782"/>
    <w:rsid w:val="00B1278E"/>
    <w:rsid w:val="00B127FC"/>
    <w:rsid w:val="00B12843"/>
    <w:rsid w:val="00B12855"/>
    <w:rsid w:val="00B1286A"/>
    <w:rsid w:val="00B1288D"/>
    <w:rsid w:val="00B128AE"/>
    <w:rsid w:val="00B128C8"/>
    <w:rsid w:val="00B128CF"/>
    <w:rsid w:val="00B128F1"/>
    <w:rsid w:val="00B12910"/>
    <w:rsid w:val="00B1295C"/>
    <w:rsid w:val="00B1295F"/>
    <w:rsid w:val="00B1296E"/>
    <w:rsid w:val="00B12991"/>
    <w:rsid w:val="00B129AC"/>
    <w:rsid w:val="00B129C5"/>
    <w:rsid w:val="00B129CB"/>
    <w:rsid w:val="00B129D4"/>
    <w:rsid w:val="00B12A10"/>
    <w:rsid w:val="00B12B05"/>
    <w:rsid w:val="00B12B97"/>
    <w:rsid w:val="00B12BA2"/>
    <w:rsid w:val="00B12BA7"/>
    <w:rsid w:val="00B12BC3"/>
    <w:rsid w:val="00B12BDB"/>
    <w:rsid w:val="00B12BE5"/>
    <w:rsid w:val="00B12BE8"/>
    <w:rsid w:val="00B12BFB"/>
    <w:rsid w:val="00B12CAA"/>
    <w:rsid w:val="00B12CFF"/>
    <w:rsid w:val="00B12D6F"/>
    <w:rsid w:val="00B12D7D"/>
    <w:rsid w:val="00B12D8C"/>
    <w:rsid w:val="00B12DB1"/>
    <w:rsid w:val="00B12DB8"/>
    <w:rsid w:val="00B12DFD"/>
    <w:rsid w:val="00B12E46"/>
    <w:rsid w:val="00B12E51"/>
    <w:rsid w:val="00B12E62"/>
    <w:rsid w:val="00B12F40"/>
    <w:rsid w:val="00B12F4E"/>
    <w:rsid w:val="00B12F68"/>
    <w:rsid w:val="00B12F78"/>
    <w:rsid w:val="00B12FAC"/>
    <w:rsid w:val="00B12FEC"/>
    <w:rsid w:val="00B12FF9"/>
    <w:rsid w:val="00B1300E"/>
    <w:rsid w:val="00B13031"/>
    <w:rsid w:val="00B13090"/>
    <w:rsid w:val="00B130A2"/>
    <w:rsid w:val="00B130A3"/>
    <w:rsid w:val="00B130B0"/>
    <w:rsid w:val="00B13108"/>
    <w:rsid w:val="00B1310C"/>
    <w:rsid w:val="00B13110"/>
    <w:rsid w:val="00B13169"/>
    <w:rsid w:val="00B131EB"/>
    <w:rsid w:val="00B1324F"/>
    <w:rsid w:val="00B13287"/>
    <w:rsid w:val="00B132B2"/>
    <w:rsid w:val="00B132B4"/>
    <w:rsid w:val="00B132F8"/>
    <w:rsid w:val="00B1333A"/>
    <w:rsid w:val="00B133A3"/>
    <w:rsid w:val="00B133A7"/>
    <w:rsid w:val="00B13413"/>
    <w:rsid w:val="00B13416"/>
    <w:rsid w:val="00B1346E"/>
    <w:rsid w:val="00B13479"/>
    <w:rsid w:val="00B134FE"/>
    <w:rsid w:val="00B13509"/>
    <w:rsid w:val="00B13567"/>
    <w:rsid w:val="00B13595"/>
    <w:rsid w:val="00B135A7"/>
    <w:rsid w:val="00B135AE"/>
    <w:rsid w:val="00B135D4"/>
    <w:rsid w:val="00B135ED"/>
    <w:rsid w:val="00B13652"/>
    <w:rsid w:val="00B13657"/>
    <w:rsid w:val="00B13696"/>
    <w:rsid w:val="00B136AF"/>
    <w:rsid w:val="00B136DC"/>
    <w:rsid w:val="00B13759"/>
    <w:rsid w:val="00B1375F"/>
    <w:rsid w:val="00B137BA"/>
    <w:rsid w:val="00B137E8"/>
    <w:rsid w:val="00B13809"/>
    <w:rsid w:val="00B13819"/>
    <w:rsid w:val="00B13827"/>
    <w:rsid w:val="00B13839"/>
    <w:rsid w:val="00B13866"/>
    <w:rsid w:val="00B13872"/>
    <w:rsid w:val="00B1388B"/>
    <w:rsid w:val="00B138E0"/>
    <w:rsid w:val="00B138EB"/>
    <w:rsid w:val="00B138FC"/>
    <w:rsid w:val="00B13949"/>
    <w:rsid w:val="00B1395A"/>
    <w:rsid w:val="00B1396F"/>
    <w:rsid w:val="00B1397E"/>
    <w:rsid w:val="00B1397F"/>
    <w:rsid w:val="00B139A6"/>
    <w:rsid w:val="00B139C3"/>
    <w:rsid w:val="00B139CA"/>
    <w:rsid w:val="00B139E4"/>
    <w:rsid w:val="00B13A18"/>
    <w:rsid w:val="00B13A46"/>
    <w:rsid w:val="00B13AA2"/>
    <w:rsid w:val="00B13AC7"/>
    <w:rsid w:val="00B13AD5"/>
    <w:rsid w:val="00B13AED"/>
    <w:rsid w:val="00B13B39"/>
    <w:rsid w:val="00B13B52"/>
    <w:rsid w:val="00B13B92"/>
    <w:rsid w:val="00B13BB7"/>
    <w:rsid w:val="00B13BD7"/>
    <w:rsid w:val="00B13BE0"/>
    <w:rsid w:val="00B13BE8"/>
    <w:rsid w:val="00B13BF9"/>
    <w:rsid w:val="00B13C35"/>
    <w:rsid w:val="00B13C4B"/>
    <w:rsid w:val="00B13C94"/>
    <w:rsid w:val="00B13D3D"/>
    <w:rsid w:val="00B13D6B"/>
    <w:rsid w:val="00B13D81"/>
    <w:rsid w:val="00B13D8E"/>
    <w:rsid w:val="00B13D9A"/>
    <w:rsid w:val="00B13DB1"/>
    <w:rsid w:val="00B13E04"/>
    <w:rsid w:val="00B13E17"/>
    <w:rsid w:val="00B13E1C"/>
    <w:rsid w:val="00B13E2F"/>
    <w:rsid w:val="00B13ECC"/>
    <w:rsid w:val="00B13ECF"/>
    <w:rsid w:val="00B13ED7"/>
    <w:rsid w:val="00B13F77"/>
    <w:rsid w:val="00B13FE4"/>
    <w:rsid w:val="00B13FE8"/>
    <w:rsid w:val="00B14028"/>
    <w:rsid w:val="00B1404E"/>
    <w:rsid w:val="00B140B6"/>
    <w:rsid w:val="00B14123"/>
    <w:rsid w:val="00B1412A"/>
    <w:rsid w:val="00B14153"/>
    <w:rsid w:val="00B1416A"/>
    <w:rsid w:val="00B14172"/>
    <w:rsid w:val="00B141C3"/>
    <w:rsid w:val="00B141F6"/>
    <w:rsid w:val="00B1420B"/>
    <w:rsid w:val="00B14249"/>
    <w:rsid w:val="00B14258"/>
    <w:rsid w:val="00B1428E"/>
    <w:rsid w:val="00B142A7"/>
    <w:rsid w:val="00B14306"/>
    <w:rsid w:val="00B1438D"/>
    <w:rsid w:val="00B143B8"/>
    <w:rsid w:val="00B14451"/>
    <w:rsid w:val="00B14480"/>
    <w:rsid w:val="00B144A9"/>
    <w:rsid w:val="00B144AE"/>
    <w:rsid w:val="00B14513"/>
    <w:rsid w:val="00B14515"/>
    <w:rsid w:val="00B1454E"/>
    <w:rsid w:val="00B14572"/>
    <w:rsid w:val="00B145BA"/>
    <w:rsid w:val="00B14639"/>
    <w:rsid w:val="00B14640"/>
    <w:rsid w:val="00B14664"/>
    <w:rsid w:val="00B14673"/>
    <w:rsid w:val="00B146B7"/>
    <w:rsid w:val="00B1470A"/>
    <w:rsid w:val="00B14718"/>
    <w:rsid w:val="00B1472B"/>
    <w:rsid w:val="00B1474F"/>
    <w:rsid w:val="00B1475E"/>
    <w:rsid w:val="00B14763"/>
    <w:rsid w:val="00B14769"/>
    <w:rsid w:val="00B1476C"/>
    <w:rsid w:val="00B14793"/>
    <w:rsid w:val="00B147B0"/>
    <w:rsid w:val="00B147CD"/>
    <w:rsid w:val="00B1481C"/>
    <w:rsid w:val="00B148D4"/>
    <w:rsid w:val="00B14922"/>
    <w:rsid w:val="00B14959"/>
    <w:rsid w:val="00B1496D"/>
    <w:rsid w:val="00B14970"/>
    <w:rsid w:val="00B149BA"/>
    <w:rsid w:val="00B149BF"/>
    <w:rsid w:val="00B149E3"/>
    <w:rsid w:val="00B149EE"/>
    <w:rsid w:val="00B149F6"/>
    <w:rsid w:val="00B14AA0"/>
    <w:rsid w:val="00B14ADD"/>
    <w:rsid w:val="00B14B0E"/>
    <w:rsid w:val="00B14B62"/>
    <w:rsid w:val="00B14B7C"/>
    <w:rsid w:val="00B14B7E"/>
    <w:rsid w:val="00B14BD4"/>
    <w:rsid w:val="00B14C09"/>
    <w:rsid w:val="00B14C10"/>
    <w:rsid w:val="00B14C58"/>
    <w:rsid w:val="00B14C60"/>
    <w:rsid w:val="00B14CCE"/>
    <w:rsid w:val="00B14CD7"/>
    <w:rsid w:val="00B14CFA"/>
    <w:rsid w:val="00B14D2F"/>
    <w:rsid w:val="00B14D39"/>
    <w:rsid w:val="00B14D67"/>
    <w:rsid w:val="00B14D76"/>
    <w:rsid w:val="00B14D87"/>
    <w:rsid w:val="00B14D9F"/>
    <w:rsid w:val="00B14DE6"/>
    <w:rsid w:val="00B14DEB"/>
    <w:rsid w:val="00B14E03"/>
    <w:rsid w:val="00B14E0A"/>
    <w:rsid w:val="00B14E24"/>
    <w:rsid w:val="00B14E96"/>
    <w:rsid w:val="00B14EB4"/>
    <w:rsid w:val="00B14ECB"/>
    <w:rsid w:val="00B14ED0"/>
    <w:rsid w:val="00B14F0B"/>
    <w:rsid w:val="00B14F27"/>
    <w:rsid w:val="00B14F30"/>
    <w:rsid w:val="00B14F33"/>
    <w:rsid w:val="00B14F87"/>
    <w:rsid w:val="00B14FA5"/>
    <w:rsid w:val="00B14FB9"/>
    <w:rsid w:val="00B15023"/>
    <w:rsid w:val="00B15028"/>
    <w:rsid w:val="00B15030"/>
    <w:rsid w:val="00B15066"/>
    <w:rsid w:val="00B15075"/>
    <w:rsid w:val="00B15081"/>
    <w:rsid w:val="00B150D9"/>
    <w:rsid w:val="00B150E9"/>
    <w:rsid w:val="00B1514B"/>
    <w:rsid w:val="00B15186"/>
    <w:rsid w:val="00B151A5"/>
    <w:rsid w:val="00B15232"/>
    <w:rsid w:val="00B15281"/>
    <w:rsid w:val="00B152C4"/>
    <w:rsid w:val="00B15330"/>
    <w:rsid w:val="00B15353"/>
    <w:rsid w:val="00B15357"/>
    <w:rsid w:val="00B153F6"/>
    <w:rsid w:val="00B153F8"/>
    <w:rsid w:val="00B15445"/>
    <w:rsid w:val="00B15488"/>
    <w:rsid w:val="00B15489"/>
    <w:rsid w:val="00B154B3"/>
    <w:rsid w:val="00B15555"/>
    <w:rsid w:val="00B15580"/>
    <w:rsid w:val="00B155C3"/>
    <w:rsid w:val="00B15638"/>
    <w:rsid w:val="00B15658"/>
    <w:rsid w:val="00B15674"/>
    <w:rsid w:val="00B156AB"/>
    <w:rsid w:val="00B156D5"/>
    <w:rsid w:val="00B156E0"/>
    <w:rsid w:val="00B156E1"/>
    <w:rsid w:val="00B15727"/>
    <w:rsid w:val="00B1575E"/>
    <w:rsid w:val="00B15785"/>
    <w:rsid w:val="00B15791"/>
    <w:rsid w:val="00B157D6"/>
    <w:rsid w:val="00B15802"/>
    <w:rsid w:val="00B15827"/>
    <w:rsid w:val="00B1584A"/>
    <w:rsid w:val="00B1591B"/>
    <w:rsid w:val="00B15948"/>
    <w:rsid w:val="00B1599D"/>
    <w:rsid w:val="00B159BE"/>
    <w:rsid w:val="00B15A20"/>
    <w:rsid w:val="00B15A35"/>
    <w:rsid w:val="00B15A5C"/>
    <w:rsid w:val="00B15AB4"/>
    <w:rsid w:val="00B15AB8"/>
    <w:rsid w:val="00B15B0F"/>
    <w:rsid w:val="00B15B39"/>
    <w:rsid w:val="00B15B48"/>
    <w:rsid w:val="00B15B5E"/>
    <w:rsid w:val="00B15B7C"/>
    <w:rsid w:val="00B15B8C"/>
    <w:rsid w:val="00B15BD6"/>
    <w:rsid w:val="00B15BE4"/>
    <w:rsid w:val="00B15C05"/>
    <w:rsid w:val="00B15C2F"/>
    <w:rsid w:val="00B15C38"/>
    <w:rsid w:val="00B15C3F"/>
    <w:rsid w:val="00B15C4B"/>
    <w:rsid w:val="00B15C99"/>
    <w:rsid w:val="00B15CA7"/>
    <w:rsid w:val="00B15D30"/>
    <w:rsid w:val="00B15D61"/>
    <w:rsid w:val="00B15D6B"/>
    <w:rsid w:val="00B15D6D"/>
    <w:rsid w:val="00B15D9A"/>
    <w:rsid w:val="00B15DA7"/>
    <w:rsid w:val="00B15DBA"/>
    <w:rsid w:val="00B15E0A"/>
    <w:rsid w:val="00B15E4E"/>
    <w:rsid w:val="00B15E60"/>
    <w:rsid w:val="00B15EF2"/>
    <w:rsid w:val="00B15EFD"/>
    <w:rsid w:val="00B15EFE"/>
    <w:rsid w:val="00B15F0C"/>
    <w:rsid w:val="00B15F80"/>
    <w:rsid w:val="00B15F99"/>
    <w:rsid w:val="00B16001"/>
    <w:rsid w:val="00B16031"/>
    <w:rsid w:val="00B1604B"/>
    <w:rsid w:val="00B1609A"/>
    <w:rsid w:val="00B160B9"/>
    <w:rsid w:val="00B160FB"/>
    <w:rsid w:val="00B16147"/>
    <w:rsid w:val="00B16153"/>
    <w:rsid w:val="00B16156"/>
    <w:rsid w:val="00B161D9"/>
    <w:rsid w:val="00B161E2"/>
    <w:rsid w:val="00B161FD"/>
    <w:rsid w:val="00B16236"/>
    <w:rsid w:val="00B162C1"/>
    <w:rsid w:val="00B162DE"/>
    <w:rsid w:val="00B1630B"/>
    <w:rsid w:val="00B16337"/>
    <w:rsid w:val="00B16384"/>
    <w:rsid w:val="00B1638F"/>
    <w:rsid w:val="00B163B3"/>
    <w:rsid w:val="00B16423"/>
    <w:rsid w:val="00B1642C"/>
    <w:rsid w:val="00B1642E"/>
    <w:rsid w:val="00B16469"/>
    <w:rsid w:val="00B16508"/>
    <w:rsid w:val="00B16525"/>
    <w:rsid w:val="00B1653B"/>
    <w:rsid w:val="00B16540"/>
    <w:rsid w:val="00B1655D"/>
    <w:rsid w:val="00B165B7"/>
    <w:rsid w:val="00B165E0"/>
    <w:rsid w:val="00B165EA"/>
    <w:rsid w:val="00B16606"/>
    <w:rsid w:val="00B16663"/>
    <w:rsid w:val="00B16672"/>
    <w:rsid w:val="00B16678"/>
    <w:rsid w:val="00B166EA"/>
    <w:rsid w:val="00B16752"/>
    <w:rsid w:val="00B16758"/>
    <w:rsid w:val="00B1675E"/>
    <w:rsid w:val="00B1678E"/>
    <w:rsid w:val="00B16796"/>
    <w:rsid w:val="00B167D0"/>
    <w:rsid w:val="00B167FF"/>
    <w:rsid w:val="00B16858"/>
    <w:rsid w:val="00B16879"/>
    <w:rsid w:val="00B16899"/>
    <w:rsid w:val="00B168A2"/>
    <w:rsid w:val="00B168CF"/>
    <w:rsid w:val="00B168ED"/>
    <w:rsid w:val="00B16901"/>
    <w:rsid w:val="00B16964"/>
    <w:rsid w:val="00B1699D"/>
    <w:rsid w:val="00B169C2"/>
    <w:rsid w:val="00B169E2"/>
    <w:rsid w:val="00B16A0B"/>
    <w:rsid w:val="00B16A33"/>
    <w:rsid w:val="00B16A3F"/>
    <w:rsid w:val="00B16A72"/>
    <w:rsid w:val="00B16AE3"/>
    <w:rsid w:val="00B16B31"/>
    <w:rsid w:val="00B16B84"/>
    <w:rsid w:val="00B16C13"/>
    <w:rsid w:val="00B16CD1"/>
    <w:rsid w:val="00B16D0F"/>
    <w:rsid w:val="00B16D24"/>
    <w:rsid w:val="00B16D3C"/>
    <w:rsid w:val="00B16D40"/>
    <w:rsid w:val="00B16D51"/>
    <w:rsid w:val="00B16D58"/>
    <w:rsid w:val="00B16D84"/>
    <w:rsid w:val="00B16D95"/>
    <w:rsid w:val="00B16DEA"/>
    <w:rsid w:val="00B16DFF"/>
    <w:rsid w:val="00B16E0E"/>
    <w:rsid w:val="00B16E89"/>
    <w:rsid w:val="00B16EC5"/>
    <w:rsid w:val="00B16F1F"/>
    <w:rsid w:val="00B16F25"/>
    <w:rsid w:val="00B16F2A"/>
    <w:rsid w:val="00B16F39"/>
    <w:rsid w:val="00B16F4B"/>
    <w:rsid w:val="00B16F55"/>
    <w:rsid w:val="00B17059"/>
    <w:rsid w:val="00B17062"/>
    <w:rsid w:val="00B17079"/>
    <w:rsid w:val="00B17088"/>
    <w:rsid w:val="00B170F9"/>
    <w:rsid w:val="00B17125"/>
    <w:rsid w:val="00B1713E"/>
    <w:rsid w:val="00B17140"/>
    <w:rsid w:val="00B1715B"/>
    <w:rsid w:val="00B1719E"/>
    <w:rsid w:val="00B171B4"/>
    <w:rsid w:val="00B171CC"/>
    <w:rsid w:val="00B17210"/>
    <w:rsid w:val="00B17255"/>
    <w:rsid w:val="00B17262"/>
    <w:rsid w:val="00B1726B"/>
    <w:rsid w:val="00B17272"/>
    <w:rsid w:val="00B17283"/>
    <w:rsid w:val="00B1728A"/>
    <w:rsid w:val="00B1728D"/>
    <w:rsid w:val="00B172AA"/>
    <w:rsid w:val="00B172E4"/>
    <w:rsid w:val="00B172FF"/>
    <w:rsid w:val="00B1733F"/>
    <w:rsid w:val="00B17359"/>
    <w:rsid w:val="00B1739F"/>
    <w:rsid w:val="00B173C8"/>
    <w:rsid w:val="00B173E6"/>
    <w:rsid w:val="00B17446"/>
    <w:rsid w:val="00B17449"/>
    <w:rsid w:val="00B1746F"/>
    <w:rsid w:val="00B1748F"/>
    <w:rsid w:val="00B17499"/>
    <w:rsid w:val="00B1754D"/>
    <w:rsid w:val="00B1755D"/>
    <w:rsid w:val="00B1759A"/>
    <w:rsid w:val="00B175A0"/>
    <w:rsid w:val="00B175E5"/>
    <w:rsid w:val="00B17613"/>
    <w:rsid w:val="00B1761C"/>
    <w:rsid w:val="00B17647"/>
    <w:rsid w:val="00B1765B"/>
    <w:rsid w:val="00B17681"/>
    <w:rsid w:val="00B176A0"/>
    <w:rsid w:val="00B176B5"/>
    <w:rsid w:val="00B176DB"/>
    <w:rsid w:val="00B17711"/>
    <w:rsid w:val="00B17764"/>
    <w:rsid w:val="00B17798"/>
    <w:rsid w:val="00B177B9"/>
    <w:rsid w:val="00B177C9"/>
    <w:rsid w:val="00B177CD"/>
    <w:rsid w:val="00B17809"/>
    <w:rsid w:val="00B1781B"/>
    <w:rsid w:val="00B17826"/>
    <w:rsid w:val="00B17873"/>
    <w:rsid w:val="00B1787A"/>
    <w:rsid w:val="00B178C6"/>
    <w:rsid w:val="00B17907"/>
    <w:rsid w:val="00B1794C"/>
    <w:rsid w:val="00B1795F"/>
    <w:rsid w:val="00B17969"/>
    <w:rsid w:val="00B17979"/>
    <w:rsid w:val="00B179A4"/>
    <w:rsid w:val="00B179D3"/>
    <w:rsid w:val="00B179DA"/>
    <w:rsid w:val="00B179EB"/>
    <w:rsid w:val="00B17A06"/>
    <w:rsid w:val="00B17A1E"/>
    <w:rsid w:val="00B17A5A"/>
    <w:rsid w:val="00B17A8C"/>
    <w:rsid w:val="00B17A98"/>
    <w:rsid w:val="00B17ACA"/>
    <w:rsid w:val="00B17B3F"/>
    <w:rsid w:val="00B17B42"/>
    <w:rsid w:val="00B17C08"/>
    <w:rsid w:val="00B17C1C"/>
    <w:rsid w:val="00B17C5E"/>
    <w:rsid w:val="00B17D5D"/>
    <w:rsid w:val="00B17D8F"/>
    <w:rsid w:val="00B17D9C"/>
    <w:rsid w:val="00B17E0C"/>
    <w:rsid w:val="00B17E69"/>
    <w:rsid w:val="00B17EB6"/>
    <w:rsid w:val="00B17ED5"/>
    <w:rsid w:val="00B17F26"/>
    <w:rsid w:val="00B2002E"/>
    <w:rsid w:val="00B2002F"/>
    <w:rsid w:val="00B2004C"/>
    <w:rsid w:val="00B2006F"/>
    <w:rsid w:val="00B20080"/>
    <w:rsid w:val="00B200AE"/>
    <w:rsid w:val="00B200B9"/>
    <w:rsid w:val="00B2013E"/>
    <w:rsid w:val="00B2016B"/>
    <w:rsid w:val="00B20171"/>
    <w:rsid w:val="00B201D4"/>
    <w:rsid w:val="00B201DD"/>
    <w:rsid w:val="00B201F5"/>
    <w:rsid w:val="00B2024B"/>
    <w:rsid w:val="00B2029D"/>
    <w:rsid w:val="00B202B7"/>
    <w:rsid w:val="00B202C8"/>
    <w:rsid w:val="00B202DB"/>
    <w:rsid w:val="00B2036E"/>
    <w:rsid w:val="00B2037A"/>
    <w:rsid w:val="00B20395"/>
    <w:rsid w:val="00B20404"/>
    <w:rsid w:val="00B2052C"/>
    <w:rsid w:val="00B2054D"/>
    <w:rsid w:val="00B2054F"/>
    <w:rsid w:val="00B2056A"/>
    <w:rsid w:val="00B205C5"/>
    <w:rsid w:val="00B205D6"/>
    <w:rsid w:val="00B205D7"/>
    <w:rsid w:val="00B205D9"/>
    <w:rsid w:val="00B20613"/>
    <w:rsid w:val="00B20614"/>
    <w:rsid w:val="00B20631"/>
    <w:rsid w:val="00B2063C"/>
    <w:rsid w:val="00B20651"/>
    <w:rsid w:val="00B20675"/>
    <w:rsid w:val="00B2069C"/>
    <w:rsid w:val="00B206B1"/>
    <w:rsid w:val="00B206E5"/>
    <w:rsid w:val="00B2072C"/>
    <w:rsid w:val="00B20781"/>
    <w:rsid w:val="00B207D2"/>
    <w:rsid w:val="00B2080E"/>
    <w:rsid w:val="00B20824"/>
    <w:rsid w:val="00B20843"/>
    <w:rsid w:val="00B208DD"/>
    <w:rsid w:val="00B20980"/>
    <w:rsid w:val="00B209D4"/>
    <w:rsid w:val="00B20A2F"/>
    <w:rsid w:val="00B20A30"/>
    <w:rsid w:val="00B20A51"/>
    <w:rsid w:val="00B20A6E"/>
    <w:rsid w:val="00B20B08"/>
    <w:rsid w:val="00B20B48"/>
    <w:rsid w:val="00B20B97"/>
    <w:rsid w:val="00B20BA9"/>
    <w:rsid w:val="00B20BBD"/>
    <w:rsid w:val="00B20BE7"/>
    <w:rsid w:val="00B20BFE"/>
    <w:rsid w:val="00B20C25"/>
    <w:rsid w:val="00B20C42"/>
    <w:rsid w:val="00B20C75"/>
    <w:rsid w:val="00B20C81"/>
    <w:rsid w:val="00B20D1E"/>
    <w:rsid w:val="00B20D65"/>
    <w:rsid w:val="00B20D6E"/>
    <w:rsid w:val="00B20D75"/>
    <w:rsid w:val="00B20D80"/>
    <w:rsid w:val="00B20D9C"/>
    <w:rsid w:val="00B20DB8"/>
    <w:rsid w:val="00B20DD6"/>
    <w:rsid w:val="00B20E97"/>
    <w:rsid w:val="00B20EBE"/>
    <w:rsid w:val="00B20ED8"/>
    <w:rsid w:val="00B20EE6"/>
    <w:rsid w:val="00B20F6F"/>
    <w:rsid w:val="00B21022"/>
    <w:rsid w:val="00B21076"/>
    <w:rsid w:val="00B210C6"/>
    <w:rsid w:val="00B210D1"/>
    <w:rsid w:val="00B21113"/>
    <w:rsid w:val="00B21128"/>
    <w:rsid w:val="00B2113C"/>
    <w:rsid w:val="00B21159"/>
    <w:rsid w:val="00B2118F"/>
    <w:rsid w:val="00B211AD"/>
    <w:rsid w:val="00B21201"/>
    <w:rsid w:val="00B212E6"/>
    <w:rsid w:val="00B21302"/>
    <w:rsid w:val="00B2131F"/>
    <w:rsid w:val="00B2133A"/>
    <w:rsid w:val="00B21346"/>
    <w:rsid w:val="00B2135E"/>
    <w:rsid w:val="00B21388"/>
    <w:rsid w:val="00B213DC"/>
    <w:rsid w:val="00B213F1"/>
    <w:rsid w:val="00B21405"/>
    <w:rsid w:val="00B21433"/>
    <w:rsid w:val="00B2147B"/>
    <w:rsid w:val="00B21486"/>
    <w:rsid w:val="00B214BC"/>
    <w:rsid w:val="00B2151C"/>
    <w:rsid w:val="00B2153F"/>
    <w:rsid w:val="00B215AC"/>
    <w:rsid w:val="00B215CD"/>
    <w:rsid w:val="00B215F3"/>
    <w:rsid w:val="00B21623"/>
    <w:rsid w:val="00B21637"/>
    <w:rsid w:val="00B216BE"/>
    <w:rsid w:val="00B216D5"/>
    <w:rsid w:val="00B216E6"/>
    <w:rsid w:val="00B21701"/>
    <w:rsid w:val="00B21713"/>
    <w:rsid w:val="00B2171C"/>
    <w:rsid w:val="00B2171D"/>
    <w:rsid w:val="00B21736"/>
    <w:rsid w:val="00B2175F"/>
    <w:rsid w:val="00B2176B"/>
    <w:rsid w:val="00B21791"/>
    <w:rsid w:val="00B217DE"/>
    <w:rsid w:val="00B217FF"/>
    <w:rsid w:val="00B21817"/>
    <w:rsid w:val="00B21849"/>
    <w:rsid w:val="00B21897"/>
    <w:rsid w:val="00B218C9"/>
    <w:rsid w:val="00B218E1"/>
    <w:rsid w:val="00B2194E"/>
    <w:rsid w:val="00B2198A"/>
    <w:rsid w:val="00B219A7"/>
    <w:rsid w:val="00B219B1"/>
    <w:rsid w:val="00B219C5"/>
    <w:rsid w:val="00B21A2B"/>
    <w:rsid w:val="00B21A2D"/>
    <w:rsid w:val="00B21A93"/>
    <w:rsid w:val="00B21A98"/>
    <w:rsid w:val="00B21AE7"/>
    <w:rsid w:val="00B21B3C"/>
    <w:rsid w:val="00B21B51"/>
    <w:rsid w:val="00B21BC4"/>
    <w:rsid w:val="00B21BCE"/>
    <w:rsid w:val="00B21BF0"/>
    <w:rsid w:val="00B21C11"/>
    <w:rsid w:val="00B21C41"/>
    <w:rsid w:val="00B21C4C"/>
    <w:rsid w:val="00B21C4D"/>
    <w:rsid w:val="00B21C8C"/>
    <w:rsid w:val="00B21CA4"/>
    <w:rsid w:val="00B21CC7"/>
    <w:rsid w:val="00B21CC8"/>
    <w:rsid w:val="00B21CCF"/>
    <w:rsid w:val="00B21CE1"/>
    <w:rsid w:val="00B21CF1"/>
    <w:rsid w:val="00B21D77"/>
    <w:rsid w:val="00B21DE5"/>
    <w:rsid w:val="00B21DE7"/>
    <w:rsid w:val="00B21DEE"/>
    <w:rsid w:val="00B21E33"/>
    <w:rsid w:val="00B21E81"/>
    <w:rsid w:val="00B21E87"/>
    <w:rsid w:val="00B21EFD"/>
    <w:rsid w:val="00B21F0E"/>
    <w:rsid w:val="00B21F25"/>
    <w:rsid w:val="00B21F27"/>
    <w:rsid w:val="00B21F4B"/>
    <w:rsid w:val="00B21FCE"/>
    <w:rsid w:val="00B21FFA"/>
    <w:rsid w:val="00B2200E"/>
    <w:rsid w:val="00B2202D"/>
    <w:rsid w:val="00B2204A"/>
    <w:rsid w:val="00B22098"/>
    <w:rsid w:val="00B2209A"/>
    <w:rsid w:val="00B220A0"/>
    <w:rsid w:val="00B220A9"/>
    <w:rsid w:val="00B2210A"/>
    <w:rsid w:val="00B2210D"/>
    <w:rsid w:val="00B22113"/>
    <w:rsid w:val="00B2212A"/>
    <w:rsid w:val="00B2217B"/>
    <w:rsid w:val="00B2218B"/>
    <w:rsid w:val="00B2218C"/>
    <w:rsid w:val="00B2219F"/>
    <w:rsid w:val="00B221AF"/>
    <w:rsid w:val="00B221BA"/>
    <w:rsid w:val="00B221F9"/>
    <w:rsid w:val="00B222C0"/>
    <w:rsid w:val="00B2238B"/>
    <w:rsid w:val="00B223B9"/>
    <w:rsid w:val="00B223F3"/>
    <w:rsid w:val="00B22400"/>
    <w:rsid w:val="00B2241A"/>
    <w:rsid w:val="00B2247F"/>
    <w:rsid w:val="00B22491"/>
    <w:rsid w:val="00B22499"/>
    <w:rsid w:val="00B224C1"/>
    <w:rsid w:val="00B224CE"/>
    <w:rsid w:val="00B2250A"/>
    <w:rsid w:val="00B22516"/>
    <w:rsid w:val="00B22562"/>
    <w:rsid w:val="00B22563"/>
    <w:rsid w:val="00B22570"/>
    <w:rsid w:val="00B2259A"/>
    <w:rsid w:val="00B225CD"/>
    <w:rsid w:val="00B225E8"/>
    <w:rsid w:val="00B22631"/>
    <w:rsid w:val="00B22678"/>
    <w:rsid w:val="00B2267B"/>
    <w:rsid w:val="00B2267C"/>
    <w:rsid w:val="00B22695"/>
    <w:rsid w:val="00B226BB"/>
    <w:rsid w:val="00B226E7"/>
    <w:rsid w:val="00B2270F"/>
    <w:rsid w:val="00B22781"/>
    <w:rsid w:val="00B227B4"/>
    <w:rsid w:val="00B227F7"/>
    <w:rsid w:val="00B22806"/>
    <w:rsid w:val="00B22807"/>
    <w:rsid w:val="00B2281C"/>
    <w:rsid w:val="00B2282E"/>
    <w:rsid w:val="00B22856"/>
    <w:rsid w:val="00B22863"/>
    <w:rsid w:val="00B2288C"/>
    <w:rsid w:val="00B2288F"/>
    <w:rsid w:val="00B22890"/>
    <w:rsid w:val="00B228A2"/>
    <w:rsid w:val="00B228BA"/>
    <w:rsid w:val="00B228D9"/>
    <w:rsid w:val="00B2290B"/>
    <w:rsid w:val="00B2293D"/>
    <w:rsid w:val="00B2294B"/>
    <w:rsid w:val="00B22998"/>
    <w:rsid w:val="00B229DE"/>
    <w:rsid w:val="00B229ED"/>
    <w:rsid w:val="00B229F9"/>
    <w:rsid w:val="00B22A31"/>
    <w:rsid w:val="00B22A6D"/>
    <w:rsid w:val="00B22A7D"/>
    <w:rsid w:val="00B22B48"/>
    <w:rsid w:val="00B22B85"/>
    <w:rsid w:val="00B22C2A"/>
    <w:rsid w:val="00B22C41"/>
    <w:rsid w:val="00B22CCA"/>
    <w:rsid w:val="00B22D1B"/>
    <w:rsid w:val="00B22D78"/>
    <w:rsid w:val="00B22D9C"/>
    <w:rsid w:val="00B22DA9"/>
    <w:rsid w:val="00B22ECD"/>
    <w:rsid w:val="00B22EF2"/>
    <w:rsid w:val="00B22F36"/>
    <w:rsid w:val="00B22F87"/>
    <w:rsid w:val="00B22FC3"/>
    <w:rsid w:val="00B2305D"/>
    <w:rsid w:val="00B23064"/>
    <w:rsid w:val="00B23095"/>
    <w:rsid w:val="00B2309B"/>
    <w:rsid w:val="00B230C0"/>
    <w:rsid w:val="00B230C2"/>
    <w:rsid w:val="00B2312A"/>
    <w:rsid w:val="00B2315C"/>
    <w:rsid w:val="00B23193"/>
    <w:rsid w:val="00B23195"/>
    <w:rsid w:val="00B231B2"/>
    <w:rsid w:val="00B231CF"/>
    <w:rsid w:val="00B231E2"/>
    <w:rsid w:val="00B23212"/>
    <w:rsid w:val="00B23254"/>
    <w:rsid w:val="00B232AB"/>
    <w:rsid w:val="00B232C9"/>
    <w:rsid w:val="00B2339D"/>
    <w:rsid w:val="00B233C7"/>
    <w:rsid w:val="00B2343C"/>
    <w:rsid w:val="00B2344F"/>
    <w:rsid w:val="00B2347B"/>
    <w:rsid w:val="00B2347D"/>
    <w:rsid w:val="00B234B3"/>
    <w:rsid w:val="00B234C0"/>
    <w:rsid w:val="00B234DF"/>
    <w:rsid w:val="00B23502"/>
    <w:rsid w:val="00B23519"/>
    <w:rsid w:val="00B23553"/>
    <w:rsid w:val="00B23590"/>
    <w:rsid w:val="00B235A0"/>
    <w:rsid w:val="00B235F4"/>
    <w:rsid w:val="00B235F6"/>
    <w:rsid w:val="00B23605"/>
    <w:rsid w:val="00B23611"/>
    <w:rsid w:val="00B23645"/>
    <w:rsid w:val="00B236A9"/>
    <w:rsid w:val="00B2372F"/>
    <w:rsid w:val="00B23740"/>
    <w:rsid w:val="00B2376A"/>
    <w:rsid w:val="00B237A2"/>
    <w:rsid w:val="00B23831"/>
    <w:rsid w:val="00B2386E"/>
    <w:rsid w:val="00B238BF"/>
    <w:rsid w:val="00B23905"/>
    <w:rsid w:val="00B23944"/>
    <w:rsid w:val="00B23990"/>
    <w:rsid w:val="00B239DD"/>
    <w:rsid w:val="00B23A0E"/>
    <w:rsid w:val="00B23A39"/>
    <w:rsid w:val="00B23A76"/>
    <w:rsid w:val="00B23A9C"/>
    <w:rsid w:val="00B23AE8"/>
    <w:rsid w:val="00B23B48"/>
    <w:rsid w:val="00B23B7B"/>
    <w:rsid w:val="00B23B87"/>
    <w:rsid w:val="00B23B8B"/>
    <w:rsid w:val="00B23B9D"/>
    <w:rsid w:val="00B23BED"/>
    <w:rsid w:val="00B23BFF"/>
    <w:rsid w:val="00B23C02"/>
    <w:rsid w:val="00B23C4F"/>
    <w:rsid w:val="00B23C6B"/>
    <w:rsid w:val="00B23C98"/>
    <w:rsid w:val="00B23CB3"/>
    <w:rsid w:val="00B23CBD"/>
    <w:rsid w:val="00B23CE1"/>
    <w:rsid w:val="00B23D0C"/>
    <w:rsid w:val="00B23D17"/>
    <w:rsid w:val="00B23D36"/>
    <w:rsid w:val="00B23D3B"/>
    <w:rsid w:val="00B23D60"/>
    <w:rsid w:val="00B23D78"/>
    <w:rsid w:val="00B23D85"/>
    <w:rsid w:val="00B23D86"/>
    <w:rsid w:val="00B23DA1"/>
    <w:rsid w:val="00B23DAC"/>
    <w:rsid w:val="00B23DB6"/>
    <w:rsid w:val="00B23DE7"/>
    <w:rsid w:val="00B23E3E"/>
    <w:rsid w:val="00B23E5E"/>
    <w:rsid w:val="00B23EA6"/>
    <w:rsid w:val="00B23EED"/>
    <w:rsid w:val="00B23F20"/>
    <w:rsid w:val="00B23F82"/>
    <w:rsid w:val="00B23F85"/>
    <w:rsid w:val="00B23FA6"/>
    <w:rsid w:val="00B23FEE"/>
    <w:rsid w:val="00B2406B"/>
    <w:rsid w:val="00B24091"/>
    <w:rsid w:val="00B240B2"/>
    <w:rsid w:val="00B2411C"/>
    <w:rsid w:val="00B2417D"/>
    <w:rsid w:val="00B24194"/>
    <w:rsid w:val="00B241AD"/>
    <w:rsid w:val="00B24268"/>
    <w:rsid w:val="00B2426E"/>
    <w:rsid w:val="00B242D5"/>
    <w:rsid w:val="00B2436C"/>
    <w:rsid w:val="00B24379"/>
    <w:rsid w:val="00B243C9"/>
    <w:rsid w:val="00B243CF"/>
    <w:rsid w:val="00B243E6"/>
    <w:rsid w:val="00B243FE"/>
    <w:rsid w:val="00B24410"/>
    <w:rsid w:val="00B24489"/>
    <w:rsid w:val="00B2448C"/>
    <w:rsid w:val="00B2453C"/>
    <w:rsid w:val="00B24568"/>
    <w:rsid w:val="00B2456E"/>
    <w:rsid w:val="00B24579"/>
    <w:rsid w:val="00B24581"/>
    <w:rsid w:val="00B245BD"/>
    <w:rsid w:val="00B245C1"/>
    <w:rsid w:val="00B2461A"/>
    <w:rsid w:val="00B24640"/>
    <w:rsid w:val="00B24703"/>
    <w:rsid w:val="00B24743"/>
    <w:rsid w:val="00B2474D"/>
    <w:rsid w:val="00B2478C"/>
    <w:rsid w:val="00B247D1"/>
    <w:rsid w:val="00B247E2"/>
    <w:rsid w:val="00B247EC"/>
    <w:rsid w:val="00B24852"/>
    <w:rsid w:val="00B24886"/>
    <w:rsid w:val="00B24895"/>
    <w:rsid w:val="00B248C6"/>
    <w:rsid w:val="00B248F1"/>
    <w:rsid w:val="00B248FA"/>
    <w:rsid w:val="00B2490A"/>
    <w:rsid w:val="00B24926"/>
    <w:rsid w:val="00B249C8"/>
    <w:rsid w:val="00B24A21"/>
    <w:rsid w:val="00B24A23"/>
    <w:rsid w:val="00B24A27"/>
    <w:rsid w:val="00B24A38"/>
    <w:rsid w:val="00B24A46"/>
    <w:rsid w:val="00B24AAC"/>
    <w:rsid w:val="00B24ACB"/>
    <w:rsid w:val="00B24AE9"/>
    <w:rsid w:val="00B24AF0"/>
    <w:rsid w:val="00B24B0E"/>
    <w:rsid w:val="00B24B16"/>
    <w:rsid w:val="00B24B55"/>
    <w:rsid w:val="00B24B6F"/>
    <w:rsid w:val="00B24BAF"/>
    <w:rsid w:val="00B24BC8"/>
    <w:rsid w:val="00B24BD7"/>
    <w:rsid w:val="00B24C0B"/>
    <w:rsid w:val="00B24C1F"/>
    <w:rsid w:val="00B24C38"/>
    <w:rsid w:val="00B24C69"/>
    <w:rsid w:val="00B24C6B"/>
    <w:rsid w:val="00B24C86"/>
    <w:rsid w:val="00B24D0D"/>
    <w:rsid w:val="00B24D3E"/>
    <w:rsid w:val="00B24D65"/>
    <w:rsid w:val="00B24D66"/>
    <w:rsid w:val="00B24DDA"/>
    <w:rsid w:val="00B24DF2"/>
    <w:rsid w:val="00B24E3B"/>
    <w:rsid w:val="00B24E65"/>
    <w:rsid w:val="00B24E70"/>
    <w:rsid w:val="00B24EBD"/>
    <w:rsid w:val="00B24EFC"/>
    <w:rsid w:val="00B24F47"/>
    <w:rsid w:val="00B24F77"/>
    <w:rsid w:val="00B24F80"/>
    <w:rsid w:val="00B24FCE"/>
    <w:rsid w:val="00B24FF1"/>
    <w:rsid w:val="00B25033"/>
    <w:rsid w:val="00B25034"/>
    <w:rsid w:val="00B250BF"/>
    <w:rsid w:val="00B2510A"/>
    <w:rsid w:val="00B25130"/>
    <w:rsid w:val="00B251A7"/>
    <w:rsid w:val="00B25220"/>
    <w:rsid w:val="00B25236"/>
    <w:rsid w:val="00B2524A"/>
    <w:rsid w:val="00B25278"/>
    <w:rsid w:val="00B2527F"/>
    <w:rsid w:val="00B252E7"/>
    <w:rsid w:val="00B252EF"/>
    <w:rsid w:val="00B2532C"/>
    <w:rsid w:val="00B2532E"/>
    <w:rsid w:val="00B2533E"/>
    <w:rsid w:val="00B25349"/>
    <w:rsid w:val="00B25389"/>
    <w:rsid w:val="00B253A8"/>
    <w:rsid w:val="00B2548D"/>
    <w:rsid w:val="00B254CB"/>
    <w:rsid w:val="00B254FD"/>
    <w:rsid w:val="00B25500"/>
    <w:rsid w:val="00B2550B"/>
    <w:rsid w:val="00B255A0"/>
    <w:rsid w:val="00B255DE"/>
    <w:rsid w:val="00B255F4"/>
    <w:rsid w:val="00B25640"/>
    <w:rsid w:val="00B25643"/>
    <w:rsid w:val="00B25648"/>
    <w:rsid w:val="00B25675"/>
    <w:rsid w:val="00B25676"/>
    <w:rsid w:val="00B256B5"/>
    <w:rsid w:val="00B256C7"/>
    <w:rsid w:val="00B256D5"/>
    <w:rsid w:val="00B256F5"/>
    <w:rsid w:val="00B2572D"/>
    <w:rsid w:val="00B25754"/>
    <w:rsid w:val="00B25772"/>
    <w:rsid w:val="00B25785"/>
    <w:rsid w:val="00B2579B"/>
    <w:rsid w:val="00B257CA"/>
    <w:rsid w:val="00B257DC"/>
    <w:rsid w:val="00B2581B"/>
    <w:rsid w:val="00B25864"/>
    <w:rsid w:val="00B258A7"/>
    <w:rsid w:val="00B258CB"/>
    <w:rsid w:val="00B258D2"/>
    <w:rsid w:val="00B25947"/>
    <w:rsid w:val="00B2598F"/>
    <w:rsid w:val="00B25A01"/>
    <w:rsid w:val="00B25A22"/>
    <w:rsid w:val="00B25A4E"/>
    <w:rsid w:val="00B25A55"/>
    <w:rsid w:val="00B25A87"/>
    <w:rsid w:val="00B25B00"/>
    <w:rsid w:val="00B25B14"/>
    <w:rsid w:val="00B25B24"/>
    <w:rsid w:val="00B25BA0"/>
    <w:rsid w:val="00B25BE2"/>
    <w:rsid w:val="00B25BED"/>
    <w:rsid w:val="00B25C01"/>
    <w:rsid w:val="00B25C8F"/>
    <w:rsid w:val="00B25CE1"/>
    <w:rsid w:val="00B25D2B"/>
    <w:rsid w:val="00B25D68"/>
    <w:rsid w:val="00B25D8C"/>
    <w:rsid w:val="00B25D93"/>
    <w:rsid w:val="00B25DF0"/>
    <w:rsid w:val="00B25E07"/>
    <w:rsid w:val="00B25E08"/>
    <w:rsid w:val="00B25E15"/>
    <w:rsid w:val="00B25E7A"/>
    <w:rsid w:val="00B25E92"/>
    <w:rsid w:val="00B25EF9"/>
    <w:rsid w:val="00B25F1A"/>
    <w:rsid w:val="00B25F98"/>
    <w:rsid w:val="00B25FA6"/>
    <w:rsid w:val="00B25FDA"/>
    <w:rsid w:val="00B25FEA"/>
    <w:rsid w:val="00B26006"/>
    <w:rsid w:val="00B26025"/>
    <w:rsid w:val="00B2604C"/>
    <w:rsid w:val="00B2604F"/>
    <w:rsid w:val="00B260A4"/>
    <w:rsid w:val="00B260AE"/>
    <w:rsid w:val="00B260B2"/>
    <w:rsid w:val="00B260FE"/>
    <w:rsid w:val="00B26104"/>
    <w:rsid w:val="00B2611A"/>
    <w:rsid w:val="00B2611D"/>
    <w:rsid w:val="00B26128"/>
    <w:rsid w:val="00B26182"/>
    <w:rsid w:val="00B261B6"/>
    <w:rsid w:val="00B26251"/>
    <w:rsid w:val="00B2628B"/>
    <w:rsid w:val="00B262F7"/>
    <w:rsid w:val="00B26336"/>
    <w:rsid w:val="00B2635D"/>
    <w:rsid w:val="00B263A5"/>
    <w:rsid w:val="00B263D0"/>
    <w:rsid w:val="00B26410"/>
    <w:rsid w:val="00B2642B"/>
    <w:rsid w:val="00B26430"/>
    <w:rsid w:val="00B26440"/>
    <w:rsid w:val="00B26455"/>
    <w:rsid w:val="00B2647A"/>
    <w:rsid w:val="00B26480"/>
    <w:rsid w:val="00B26485"/>
    <w:rsid w:val="00B264BD"/>
    <w:rsid w:val="00B26543"/>
    <w:rsid w:val="00B26574"/>
    <w:rsid w:val="00B265F1"/>
    <w:rsid w:val="00B265F7"/>
    <w:rsid w:val="00B26622"/>
    <w:rsid w:val="00B26684"/>
    <w:rsid w:val="00B26690"/>
    <w:rsid w:val="00B266FA"/>
    <w:rsid w:val="00B26735"/>
    <w:rsid w:val="00B2677F"/>
    <w:rsid w:val="00B267A2"/>
    <w:rsid w:val="00B267C6"/>
    <w:rsid w:val="00B26807"/>
    <w:rsid w:val="00B26810"/>
    <w:rsid w:val="00B26835"/>
    <w:rsid w:val="00B2683D"/>
    <w:rsid w:val="00B2685F"/>
    <w:rsid w:val="00B268BE"/>
    <w:rsid w:val="00B268D5"/>
    <w:rsid w:val="00B2690D"/>
    <w:rsid w:val="00B26914"/>
    <w:rsid w:val="00B2694F"/>
    <w:rsid w:val="00B26952"/>
    <w:rsid w:val="00B26986"/>
    <w:rsid w:val="00B26987"/>
    <w:rsid w:val="00B2698B"/>
    <w:rsid w:val="00B269C0"/>
    <w:rsid w:val="00B26A0F"/>
    <w:rsid w:val="00B26A51"/>
    <w:rsid w:val="00B26A53"/>
    <w:rsid w:val="00B26A8F"/>
    <w:rsid w:val="00B26AAB"/>
    <w:rsid w:val="00B26B30"/>
    <w:rsid w:val="00B26BA9"/>
    <w:rsid w:val="00B26BF6"/>
    <w:rsid w:val="00B26C0A"/>
    <w:rsid w:val="00B26C83"/>
    <w:rsid w:val="00B26C84"/>
    <w:rsid w:val="00B26D2D"/>
    <w:rsid w:val="00B26D36"/>
    <w:rsid w:val="00B26D81"/>
    <w:rsid w:val="00B26D89"/>
    <w:rsid w:val="00B26DA3"/>
    <w:rsid w:val="00B26DBE"/>
    <w:rsid w:val="00B26DCE"/>
    <w:rsid w:val="00B26DCF"/>
    <w:rsid w:val="00B26DD6"/>
    <w:rsid w:val="00B26E17"/>
    <w:rsid w:val="00B26E38"/>
    <w:rsid w:val="00B26E47"/>
    <w:rsid w:val="00B26EC9"/>
    <w:rsid w:val="00B26F0E"/>
    <w:rsid w:val="00B26F1F"/>
    <w:rsid w:val="00B26F34"/>
    <w:rsid w:val="00B26F35"/>
    <w:rsid w:val="00B26F3D"/>
    <w:rsid w:val="00B26F87"/>
    <w:rsid w:val="00B26FE6"/>
    <w:rsid w:val="00B26FEE"/>
    <w:rsid w:val="00B27030"/>
    <w:rsid w:val="00B2703B"/>
    <w:rsid w:val="00B2707A"/>
    <w:rsid w:val="00B270BB"/>
    <w:rsid w:val="00B270C3"/>
    <w:rsid w:val="00B270FE"/>
    <w:rsid w:val="00B27165"/>
    <w:rsid w:val="00B2716A"/>
    <w:rsid w:val="00B27216"/>
    <w:rsid w:val="00B2723E"/>
    <w:rsid w:val="00B27251"/>
    <w:rsid w:val="00B272BA"/>
    <w:rsid w:val="00B272BE"/>
    <w:rsid w:val="00B272F9"/>
    <w:rsid w:val="00B27348"/>
    <w:rsid w:val="00B2735B"/>
    <w:rsid w:val="00B2738C"/>
    <w:rsid w:val="00B27395"/>
    <w:rsid w:val="00B273A6"/>
    <w:rsid w:val="00B2745C"/>
    <w:rsid w:val="00B27465"/>
    <w:rsid w:val="00B27466"/>
    <w:rsid w:val="00B2748D"/>
    <w:rsid w:val="00B2749A"/>
    <w:rsid w:val="00B274E4"/>
    <w:rsid w:val="00B274EC"/>
    <w:rsid w:val="00B27507"/>
    <w:rsid w:val="00B27572"/>
    <w:rsid w:val="00B27581"/>
    <w:rsid w:val="00B275C2"/>
    <w:rsid w:val="00B275D4"/>
    <w:rsid w:val="00B275D7"/>
    <w:rsid w:val="00B27604"/>
    <w:rsid w:val="00B27625"/>
    <w:rsid w:val="00B27633"/>
    <w:rsid w:val="00B27643"/>
    <w:rsid w:val="00B27661"/>
    <w:rsid w:val="00B2768E"/>
    <w:rsid w:val="00B276BE"/>
    <w:rsid w:val="00B276CF"/>
    <w:rsid w:val="00B276D2"/>
    <w:rsid w:val="00B276EC"/>
    <w:rsid w:val="00B276EE"/>
    <w:rsid w:val="00B276FA"/>
    <w:rsid w:val="00B27705"/>
    <w:rsid w:val="00B2770C"/>
    <w:rsid w:val="00B27745"/>
    <w:rsid w:val="00B27749"/>
    <w:rsid w:val="00B2776E"/>
    <w:rsid w:val="00B2779D"/>
    <w:rsid w:val="00B277A4"/>
    <w:rsid w:val="00B277C2"/>
    <w:rsid w:val="00B277F2"/>
    <w:rsid w:val="00B2780C"/>
    <w:rsid w:val="00B2785E"/>
    <w:rsid w:val="00B27863"/>
    <w:rsid w:val="00B27873"/>
    <w:rsid w:val="00B27875"/>
    <w:rsid w:val="00B27879"/>
    <w:rsid w:val="00B2789D"/>
    <w:rsid w:val="00B278BC"/>
    <w:rsid w:val="00B2791A"/>
    <w:rsid w:val="00B2793E"/>
    <w:rsid w:val="00B2795C"/>
    <w:rsid w:val="00B279EF"/>
    <w:rsid w:val="00B27A57"/>
    <w:rsid w:val="00B27A71"/>
    <w:rsid w:val="00B27AB3"/>
    <w:rsid w:val="00B27AC9"/>
    <w:rsid w:val="00B27AEE"/>
    <w:rsid w:val="00B27AF4"/>
    <w:rsid w:val="00B27BA0"/>
    <w:rsid w:val="00B27BB1"/>
    <w:rsid w:val="00B27C4D"/>
    <w:rsid w:val="00B27CB6"/>
    <w:rsid w:val="00B27CE8"/>
    <w:rsid w:val="00B27CEB"/>
    <w:rsid w:val="00B27D33"/>
    <w:rsid w:val="00B27D4C"/>
    <w:rsid w:val="00B27D76"/>
    <w:rsid w:val="00B27D89"/>
    <w:rsid w:val="00B27DDB"/>
    <w:rsid w:val="00B27E24"/>
    <w:rsid w:val="00B27E3F"/>
    <w:rsid w:val="00B27E4C"/>
    <w:rsid w:val="00B27E87"/>
    <w:rsid w:val="00B27E8D"/>
    <w:rsid w:val="00B27EF2"/>
    <w:rsid w:val="00B27F03"/>
    <w:rsid w:val="00B27F05"/>
    <w:rsid w:val="00B27F1C"/>
    <w:rsid w:val="00B27F29"/>
    <w:rsid w:val="00B27F51"/>
    <w:rsid w:val="00B27FB9"/>
    <w:rsid w:val="00B27FDD"/>
    <w:rsid w:val="00B27FEE"/>
    <w:rsid w:val="00B3003C"/>
    <w:rsid w:val="00B3006C"/>
    <w:rsid w:val="00B300EF"/>
    <w:rsid w:val="00B300F0"/>
    <w:rsid w:val="00B30105"/>
    <w:rsid w:val="00B30159"/>
    <w:rsid w:val="00B3015B"/>
    <w:rsid w:val="00B3016D"/>
    <w:rsid w:val="00B301A7"/>
    <w:rsid w:val="00B301BB"/>
    <w:rsid w:val="00B301E1"/>
    <w:rsid w:val="00B30202"/>
    <w:rsid w:val="00B3020C"/>
    <w:rsid w:val="00B30218"/>
    <w:rsid w:val="00B30221"/>
    <w:rsid w:val="00B3023D"/>
    <w:rsid w:val="00B3024C"/>
    <w:rsid w:val="00B3028C"/>
    <w:rsid w:val="00B30298"/>
    <w:rsid w:val="00B302AA"/>
    <w:rsid w:val="00B302AD"/>
    <w:rsid w:val="00B302BA"/>
    <w:rsid w:val="00B302CB"/>
    <w:rsid w:val="00B30332"/>
    <w:rsid w:val="00B30345"/>
    <w:rsid w:val="00B30375"/>
    <w:rsid w:val="00B303BC"/>
    <w:rsid w:val="00B303D1"/>
    <w:rsid w:val="00B303EA"/>
    <w:rsid w:val="00B3041F"/>
    <w:rsid w:val="00B30442"/>
    <w:rsid w:val="00B3044F"/>
    <w:rsid w:val="00B30455"/>
    <w:rsid w:val="00B30474"/>
    <w:rsid w:val="00B30475"/>
    <w:rsid w:val="00B30499"/>
    <w:rsid w:val="00B304B3"/>
    <w:rsid w:val="00B304D0"/>
    <w:rsid w:val="00B304E5"/>
    <w:rsid w:val="00B30509"/>
    <w:rsid w:val="00B30573"/>
    <w:rsid w:val="00B30574"/>
    <w:rsid w:val="00B30576"/>
    <w:rsid w:val="00B3059C"/>
    <w:rsid w:val="00B305B8"/>
    <w:rsid w:val="00B305DE"/>
    <w:rsid w:val="00B305FA"/>
    <w:rsid w:val="00B30647"/>
    <w:rsid w:val="00B30661"/>
    <w:rsid w:val="00B3069D"/>
    <w:rsid w:val="00B306BE"/>
    <w:rsid w:val="00B306F4"/>
    <w:rsid w:val="00B30717"/>
    <w:rsid w:val="00B30726"/>
    <w:rsid w:val="00B30775"/>
    <w:rsid w:val="00B3077C"/>
    <w:rsid w:val="00B307BA"/>
    <w:rsid w:val="00B307DB"/>
    <w:rsid w:val="00B30804"/>
    <w:rsid w:val="00B30821"/>
    <w:rsid w:val="00B3084F"/>
    <w:rsid w:val="00B30870"/>
    <w:rsid w:val="00B3095F"/>
    <w:rsid w:val="00B30961"/>
    <w:rsid w:val="00B3096F"/>
    <w:rsid w:val="00B30971"/>
    <w:rsid w:val="00B3097D"/>
    <w:rsid w:val="00B309B0"/>
    <w:rsid w:val="00B30AA5"/>
    <w:rsid w:val="00B30AF1"/>
    <w:rsid w:val="00B30B0D"/>
    <w:rsid w:val="00B30B37"/>
    <w:rsid w:val="00B30C17"/>
    <w:rsid w:val="00B30C96"/>
    <w:rsid w:val="00B30CA2"/>
    <w:rsid w:val="00B30CBD"/>
    <w:rsid w:val="00B30CCA"/>
    <w:rsid w:val="00B30CE6"/>
    <w:rsid w:val="00B30D0F"/>
    <w:rsid w:val="00B30D16"/>
    <w:rsid w:val="00B30D43"/>
    <w:rsid w:val="00B30DEB"/>
    <w:rsid w:val="00B30E51"/>
    <w:rsid w:val="00B30E52"/>
    <w:rsid w:val="00B30E57"/>
    <w:rsid w:val="00B30E5D"/>
    <w:rsid w:val="00B30EB6"/>
    <w:rsid w:val="00B30EC3"/>
    <w:rsid w:val="00B30EFA"/>
    <w:rsid w:val="00B30F21"/>
    <w:rsid w:val="00B30F68"/>
    <w:rsid w:val="00B30FE2"/>
    <w:rsid w:val="00B30FF5"/>
    <w:rsid w:val="00B3100A"/>
    <w:rsid w:val="00B310D6"/>
    <w:rsid w:val="00B310DE"/>
    <w:rsid w:val="00B310E7"/>
    <w:rsid w:val="00B31175"/>
    <w:rsid w:val="00B311E3"/>
    <w:rsid w:val="00B31213"/>
    <w:rsid w:val="00B3121F"/>
    <w:rsid w:val="00B31259"/>
    <w:rsid w:val="00B31263"/>
    <w:rsid w:val="00B312DA"/>
    <w:rsid w:val="00B31316"/>
    <w:rsid w:val="00B3136D"/>
    <w:rsid w:val="00B313EF"/>
    <w:rsid w:val="00B31411"/>
    <w:rsid w:val="00B31421"/>
    <w:rsid w:val="00B31432"/>
    <w:rsid w:val="00B31438"/>
    <w:rsid w:val="00B3148F"/>
    <w:rsid w:val="00B31497"/>
    <w:rsid w:val="00B314F0"/>
    <w:rsid w:val="00B31505"/>
    <w:rsid w:val="00B31516"/>
    <w:rsid w:val="00B31566"/>
    <w:rsid w:val="00B315C1"/>
    <w:rsid w:val="00B315C7"/>
    <w:rsid w:val="00B315E3"/>
    <w:rsid w:val="00B31670"/>
    <w:rsid w:val="00B3167F"/>
    <w:rsid w:val="00B316A5"/>
    <w:rsid w:val="00B316C8"/>
    <w:rsid w:val="00B316DF"/>
    <w:rsid w:val="00B316F6"/>
    <w:rsid w:val="00B317EA"/>
    <w:rsid w:val="00B317FF"/>
    <w:rsid w:val="00B31806"/>
    <w:rsid w:val="00B31836"/>
    <w:rsid w:val="00B31846"/>
    <w:rsid w:val="00B31864"/>
    <w:rsid w:val="00B3188A"/>
    <w:rsid w:val="00B318F4"/>
    <w:rsid w:val="00B31988"/>
    <w:rsid w:val="00B319C3"/>
    <w:rsid w:val="00B319C4"/>
    <w:rsid w:val="00B31A09"/>
    <w:rsid w:val="00B31A1A"/>
    <w:rsid w:val="00B31A4E"/>
    <w:rsid w:val="00B31A5C"/>
    <w:rsid w:val="00B31A5E"/>
    <w:rsid w:val="00B31A7B"/>
    <w:rsid w:val="00B31A81"/>
    <w:rsid w:val="00B31A8E"/>
    <w:rsid w:val="00B31AB1"/>
    <w:rsid w:val="00B31B0D"/>
    <w:rsid w:val="00B31B31"/>
    <w:rsid w:val="00B31B54"/>
    <w:rsid w:val="00B31B6B"/>
    <w:rsid w:val="00B31B90"/>
    <w:rsid w:val="00B31BAE"/>
    <w:rsid w:val="00B31C21"/>
    <w:rsid w:val="00B31C52"/>
    <w:rsid w:val="00B31C6A"/>
    <w:rsid w:val="00B31C80"/>
    <w:rsid w:val="00B31C86"/>
    <w:rsid w:val="00B31CCC"/>
    <w:rsid w:val="00B31CFE"/>
    <w:rsid w:val="00B31D3B"/>
    <w:rsid w:val="00B31DC5"/>
    <w:rsid w:val="00B31DD6"/>
    <w:rsid w:val="00B31E30"/>
    <w:rsid w:val="00B31E63"/>
    <w:rsid w:val="00B31E97"/>
    <w:rsid w:val="00B31EDF"/>
    <w:rsid w:val="00B31EF3"/>
    <w:rsid w:val="00B31F18"/>
    <w:rsid w:val="00B31F46"/>
    <w:rsid w:val="00B31FD3"/>
    <w:rsid w:val="00B3200A"/>
    <w:rsid w:val="00B32053"/>
    <w:rsid w:val="00B32059"/>
    <w:rsid w:val="00B32088"/>
    <w:rsid w:val="00B32090"/>
    <w:rsid w:val="00B320AE"/>
    <w:rsid w:val="00B32153"/>
    <w:rsid w:val="00B32230"/>
    <w:rsid w:val="00B322B1"/>
    <w:rsid w:val="00B322C0"/>
    <w:rsid w:val="00B322F8"/>
    <w:rsid w:val="00B322FB"/>
    <w:rsid w:val="00B32315"/>
    <w:rsid w:val="00B32382"/>
    <w:rsid w:val="00B3239F"/>
    <w:rsid w:val="00B3241F"/>
    <w:rsid w:val="00B32463"/>
    <w:rsid w:val="00B32489"/>
    <w:rsid w:val="00B3249B"/>
    <w:rsid w:val="00B324A6"/>
    <w:rsid w:val="00B324BF"/>
    <w:rsid w:val="00B324C0"/>
    <w:rsid w:val="00B325B5"/>
    <w:rsid w:val="00B325DA"/>
    <w:rsid w:val="00B325F7"/>
    <w:rsid w:val="00B32652"/>
    <w:rsid w:val="00B32688"/>
    <w:rsid w:val="00B326A1"/>
    <w:rsid w:val="00B326A8"/>
    <w:rsid w:val="00B326C7"/>
    <w:rsid w:val="00B326F1"/>
    <w:rsid w:val="00B3270D"/>
    <w:rsid w:val="00B32737"/>
    <w:rsid w:val="00B32742"/>
    <w:rsid w:val="00B3276F"/>
    <w:rsid w:val="00B32779"/>
    <w:rsid w:val="00B327A2"/>
    <w:rsid w:val="00B327AF"/>
    <w:rsid w:val="00B327D5"/>
    <w:rsid w:val="00B327E0"/>
    <w:rsid w:val="00B32815"/>
    <w:rsid w:val="00B32854"/>
    <w:rsid w:val="00B32860"/>
    <w:rsid w:val="00B3289A"/>
    <w:rsid w:val="00B328B8"/>
    <w:rsid w:val="00B328BC"/>
    <w:rsid w:val="00B328BD"/>
    <w:rsid w:val="00B328D8"/>
    <w:rsid w:val="00B328E9"/>
    <w:rsid w:val="00B32908"/>
    <w:rsid w:val="00B3290F"/>
    <w:rsid w:val="00B3293A"/>
    <w:rsid w:val="00B32943"/>
    <w:rsid w:val="00B32A1F"/>
    <w:rsid w:val="00B32A3C"/>
    <w:rsid w:val="00B32A6B"/>
    <w:rsid w:val="00B32A8A"/>
    <w:rsid w:val="00B32AB5"/>
    <w:rsid w:val="00B32AC0"/>
    <w:rsid w:val="00B32AD3"/>
    <w:rsid w:val="00B32AE3"/>
    <w:rsid w:val="00B32B07"/>
    <w:rsid w:val="00B32B0A"/>
    <w:rsid w:val="00B32B14"/>
    <w:rsid w:val="00B32B2B"/>
    <w:rsid w:val="00B32B40"/>
    <w:rsid w:val="00B32B6A"/>
    <w:rsid w:val="00B32BBA"/>
    <w:rsid w:val="00B32C07"/>
    <w:rsid w:val="00B32C5E"/>
    <w:rsid w:val="00B32C6B"/>
    <w:rsid w:val="00B32C8E"/>
    <w:rsid w:val="00B32CAC"/>
    <w:rsid w:val="00B32CF5"/>
    <w:rsid w:val="00B32CFA"/>
    <w:rsid w:val="00B32D2F"/>
    <w:rsid w:val="00B32DC0"/>
    <w:rsid w:val="00B32DD2"/>
    <w:rsid w:val="00B32E1C"/>
    <w:rsid w:val="00B32E3C"/>
    <w:rsid w:val="00B32E43"/>
    <w:rsid w:val="00B32E4E"/>
    <w:rsid w:val="00B32E5F"/>
    <w:rsid w:val="00B32E72"/>
    <w:rsid w:val="00B32EC9"/>
    <w:rsid w:val="00B32ECD"/>
    <w:rsid w:val="00B32EF4"/>
    <w:rsid w:val="00B32F24"/>
    <w:rsid w:val="00B32F72"/>
    <w:rsid w:val="00B32FED"/>
    <w:rsid w:val="00B33016"/>
    <w:rsid w:val="00B3308E"/>
    <w:rsid w:val="00B330AB"/>
    <w:rsid w:val="00B330C1"/>
    <w:rsid w:val="00B330FF"/>
    <w:rsid w:val="00B33146"/>
    <w:rsid w:val="00B33152"/>
    <w:rsid w:val="00B33171"/>
    <w:rsid w:val="00B3319C"/>
    <w:rsid w:val="00B33209"/>
    <w:rsid w:val="00B33242"/>
    <w:rsid w:val="00B3324F"/>
    <w:rsid w:val="00B3327E"/>
    <w:rsid w:val="00B332AF"/>
    <w:rsid w:val="00B332CA"/>
    <w:rsid w:val="00B3330F"/>
    <w:rsid w:val="00B33341"/>
    <w:rsid w:val="00B33361"/>
    <w:rsid w:val="00B33368"/>
    <w:rsid w:val="00B33378"/>
    <w:rsid w:val="00B333C3"/>
    <w:rsid w:val="00B33404"/>
    <w:rsid w:val="00B33447"/>
    <w:rsid w:val="00B33464"/>
    <w:rsid w:val="00B334E1"/>
    <w:rsid w:val="00B334F9"/>
    <w:rsid w:val="00B3350D"/>
    <w:rsid w:val="00B33552"/>
    <w:rsid w:val="00B3356A"/>
    <w:rsid w:val="00B3357D"/>
    <w:rsid w:val="00B335AC"/>
    <w:rsid w:val="00B33658"/>
    <w:rsid w:val="00B33692"/>
    <w:rsid w:val="00B336F2"/>
    <w:rsid w:val="00B33714"/>
    <w:rsid w:val="00B33715"/>
    <w:rsid w:val="00B3371B"/>
    <w:rsid w:val="00B33721"/>
    <w:rsid w:val="00B3373F"/>
    <w:rsid w:val="00B33755"/>
    <w:rsid w:val="00B337B5"/>
    <w:rsid w:val="00B337DE"/>
    <w:rsid w:val="00B337E5"/>
    <w:rsid w:val="00B33804"/>
    <w:rsid w:val="00B33819"/>
    <w:rsid w:val="00B3384E"/>
    <w:rsid w:val="00B33861"/>
    <w:rsid w:val="00B3387C"/>
    <w:rsid w:val="00B33883"/>
    <w:rsid w:val="00B33941"/>
    <w:rsid w:val="00B33951"/>
    <w:rsid w:val="00B3395C"/>
    <w:rsid w:val="00B33974"/>
    <w:rsid w:val="00B339F3"/>
    <w:rsid w:val="00B33A5E"/>
    <w:rsid w:val="00B33A90"/>
    <w:rsid w:val="00B33AB9"/>
    <w:rsid w:val="00B33AD4"/>
    <w:rsid w:val="00B33AD5"/>
    <w:rsid w:val="00B33B14"/>
    <w:rsid w:val="00B33B1A"/>
    <w:rsid w:val="00B33B48"/>
    <w:rsid w:val="00B33BB3"/>
    <w:rsid w:val="00B33BD2"/>
    <w:rsid w:val="00B33BE1"/>
    <w:rsid w:val="00B33C66"/>
    <w:rsid w:val="00B33C88"/>
    <w:rsid w:val="00B33CD8"/>
    <w:rsid w:val="00B33CEE"/>
    <w:rsid w:val="00B33CFF"/>
    <w:rsid w:val="00B33D0E"/>
    <w:rsid w:val="00B33D15"/>
    <w:rsid w:val="00B33D6D"/>
    <w:rsid w:val="00B33DA4"/>
    <w:rsid w:val="00B33DC2"/>
    <w:rsid w:val="00B33DCE"/>
    <w:rsid w:val="00B33DCF"/>
    <w:rsid w:val="00B33DF2"/>
    <w:rsid w:val="00B33EC8"/>
    <w:rsid w:val="00B33F14"/>
    <w:rsid w:val="00B33F41"/>
    <w:rsid w:val="00B33FD0"/>
    <w:rsid w:val="00B33FD1"/>
    <w:rsid w:val="00B33FF7"/>
    <w:rsid w:val="00B34039"/>
    <w:rsid w:val="00B34077"/>
    <w:rsid w:val="00B340E1"/>
    <w:rsid w:val="00B340F9"/>
    <w:rsid w:val="00B34192"/>
    <w:rsid w:val="00B34194"/>
    <w:rsid w:val="00B341AE"/>
    <w:rsid w:val="00B341B8"/>
    <w:rsid w:val="00B341D7"/>
    <w:rsid w:val="00B34219"/>
    <w:rsid w:val="00B3421F"/>
    <w:rsid w:val="00B34239"/>
    <w:rsid w:val="00B3423B"/>
    <w:rsid w:val="00B3423C"/>
    <w:rsid w:val="00B3423F"/>
    <w:rsid w:val="00B3424F"/>
    <w:rsid w:val="00B3425F"/>
    <w:rsid w:val="00B34280"/>
    <w:rsid w:val="00B3428B"/>
    <w:rsid w:val="00B342F2"/>
    <w:rsid w:val="00B342F8"/>
    <w:rsid w:val="00B3435A"/>
    <w:rsid w:val="00B3435D"/>
    <w:rsid w:val="00B343B5"/>
    <w:rsid w:val="00B343F2"/>
    <w:rsid w:val="00B3440D"/>
    <w:rsid w:val="00B34532"/>
    <w:rsid w:val="00B345A5"/>
    <w:rsid w:val="00B345D5"/>
    <w:rsid w:val="00B34622"/>
    <w:rsid w:val="00B34684"/>
    <w:rsid w:val="00B346A4"/>
    <w:rsid w:val="00B346CE"/>
    <w:rsid w:val="00B3479B"/>
    <w:rsid w:val="00B347A9"/>
    <w:rsid w:val="00B347AD"/>
    <w:rsid w:val="00B347B3"/>
    <w:rsid w:val="00B347E1"/>
    <w:rsid w:val="00B347EF"/>
    <w:rsid w:val="00B347F3"/>
    <w:rsid w:val="00B3484F"/>
    <w:rsid w:val="00B34859"/>
    <w:rsid w:val="00B348B6"/>
    <w:rsid w:val="00B348C8"/>
    <w:rsid w:val="00B34909"/>
    <w:rsid w:val="00B3490C"/>
    <w:rsid w:val="00B34926"/>
    <w:rsid w:val="00B34927"/>
    <w:rsid w:val="00B3495A"/>
    <w:rsid w:val="00B34976"/>
    <w:rsid w:val="00B349A0"/>
    <w:rsid w:val="00B349D3"/>
    <w:rsid w:val="00B34A0D"/>
    <w:rsid w:val="00B34A23"/>
    <w:rsid w:val="00B34A32"/>
    <w:rsid w:val="00B34A6A"/>
    <w:rsid w:val="00B34AA8"/>
    <w:rsid w:val="00B34AD7"/>
    <w:rsid w:val="00B34B42"/>
    <w:rsid w:val="00B34BCE"/>
    <w:rsid w:val="00B34C06"/>
    <w:rsid w:val="00B34C08"/>
    <w:rsid w:val="00B34C62"/>
    <w:rsid w:val="00B34C81"/>
    <w:rsid w:val="00B34CC3"/>
    <w:rsid w:val="00B34CDA"/>
    <w:rsid w:val="00B34CDB"/>
    <w:rsid w:val="00B34D0B"/>
    <w:rsid w:val="00B34D1A"/>
    <w:rsid w:val="00B34D54"/>
    <w:rsid w:val="00B34D5E"/>
    <w:rsid w:val="00B34D76"/>
    <w:rsid w:val="00B34DAD"/>
    <w:rsid w:val="00B34DFD"/>
    <w:rsid w:val="00B34E03"/>
    <w:rsid w:val="00B34E2E"/>
    <w:rsid w:val="00B34EC6"/>
    <w:rsid w:val="00B34EF1"/>
    <w:rsid w:val="00B34F2E"/>
    <w:rsid w:val="00B34F85"/>
    <w:rsid w:val="00B34F9B"/>
    <w:rsid w:val="00B34FB0"/>
    <w:rsid w:val="00B34FCD"/>
    <w:rsid w:val="00B34FEA"/>
    <w:rsid w:val="00B35035"/>
    <w:rsid w:val="00B35073"/>
    <w:rsid w:val="00B35074"/>
    <w:rsid w:val="00B350C7"/>
    <w:rsid w:val="00B350D3"/>
    <w:rsid w:val="00B35100"/>
    <w:rsid w:val="00B35133"/>
    <w:rsid w:val="00B3514F"/>
    <w:rsid w:val="00B35166"/>
    <w:rsid w:val="00B3516B"/>
    <w:rsid w:val="00B351C2"/>
    <w:rsid w:val="00B351D1"/>
    <w:rsid w:val="00B351E4"/>
    <w:rsid w:val="00B351F5"/>
    <w:rsid w:val="00B35223"/>
    <w:rsid w:val="00B35248"/>
    <w:rsid w:val="00B3527B"/>
    <w:rsid w:val="00B35286"/>
    <w:rsid w:val="00B352AB"/>
    <w:rsid w:val="00B352B6"/>
    <w:rsid w:val="00B352C2"/>
    <w:rsid w:val="00B352D0"/>
    <w:rsid w:val="00B352F0"/>
    <w:rsid w:val="00B3532E"/>
    <w:rsid w:val="00B35334"/>
    <w:rsid w:val="00B3535F"/>
    <w:rsid w:val="00B353D9"/>
    <w:rsid w:val="00B353E7"/>
    <w:rsid w:val="00B35406"/>
    <w:rsid w:val="00B3543C"/>
    <w:rsid w:val="00B35445"/>
    <w:rsid w:val="00B35458"/>
    <w:rsid w:val="00B3546E"/>
    <w:rsid w:val="00B35473"/>
    <w:rsid w:val="00B35487"/>
    <w:rsid w:val="00B3549A"/>
    <w:rsid w:val="00B354CC"/>
    <w:rsid w:val="00B354D9"/>
    <w:rsid w:val="00B354E2"/>
    <w:rsid w:val="00B354EC"/>
    <w:rsid w:val="00B354EE"/>
    <w:rsid w:val="00B35510"/>
    <w:rsid w:val="00B355B7"/>
    <w:rsid w:val="00B355D2"/>
    <w:rsid w:val="00B35629"/>
    <w:rsid w:val="00B35640"/>
    <w:rsid w:val="00B35663"/>
    <w:rsid w:val="00B3567A"/>
    <w:rsid w:val="00B35682"/>
    <w:rsid w:val="00B35692"/>
    <w:rsid w:val="00B356B7"/>
    <w:rsid w:val="00B356FE"/>
    <w:rsid w:val="00B35701"/>
    <w:rsid w:val="00B35703"/>
    <w:rsid w:val="00B35709"/>
    <w:rsid w:val="00B35770"/>
    <w:rsid w:val="00B35786"/>
    <w:rsid w:val="00B357D6"/>
    <w:rsid w:val="00B357E8"/>
    <w:rsid w:val="00B3584C"/>
    <w:rsid w:val="00B3585E"/>
    <w:rsid w:val="00B35860"/>
    <w:rsid w:val="00B358AF"/>
    <w:rsid w:val="00B358DF"/>
    <w:rsid w:val="00B359AB"/>
    <w:rsid w:val="00B359CE"/>
    <w:rsid w:val="00B35A2C"/>
    <w:rsid w:val="00B35A88"/>
    <w:rsid w:val="00B35AB5"/>
    <w:rsid w:val="00B35B60"/>
    <w:rsid w:val="00B35B84"/>
    <w:rsid w:val="00B35BA3"/>
    <w:rsid w:val="00B35BF9"/>
    <w:rsid w:val="00B35C44"/>
    <w:rsid w:val="00B35C6C"/>
    <w:rsid w:val="00B35C7D"/>
    <w:rsid w:val="00B35C92"/>
    <w:rsid w:val="00B35C96"/>
    <w:rsid w:val="00B35CBF"/>
    <w:rsid w:val="00B35CD9"/>
    <w:rsid w:val="00B35CE0"/>
    <w:rsid w:val="00B35D27"/>
    <w:rsid w:val="00B35D93"/>
    <w:rsid w:val="00B35DF9"/>
    <w:rsid w:val="00B35E07"/>
    <w:rsid w:val="00B35EB8"/>
    <w:rsid w:val="00B35EBA"/>
    <w:rsid w:val="00B35EE0"/>
    <w:rsid w:val="00B35F10"/>
    <w:rsid w:val="00B35F2E"/>
    <w:rsid w:val="00B35F3B"/>
    <w:rsid w:val="00B35F4C"/>
    <w:rsid w:val="00B35F5E"/>
    <w:rsid w:val="00B35FC2"/>
    <w:rsid w:val="00B35FFD"/>
    <w:rsid w:val="00B3603C"/>
    <w:rsid w:val="00B36098"/>
    <w:rsid w:val="00B360AC"/>
    <w:rsid w:val="00B360D1"/>
    <w:rsid w:val="00B360E1"/>
    <w:rsid w:val="00B360E8"/>
    <w:rsid w:val="00B36159"/>
    <w:rsid w:val="00B36197"/>
    <w:rsid w:val="00B361C9"/>
    <w:rsid w:val="00B361E9"/>
    <w:rsid w:val="00B361EE"/>
    <w:rsid w:val="00B361F3"/>
    <w:rsid w:val="00B36216"/>
    <w:rsid w:val="00B36236"/>
    <w:rsid w:val="00B362A2"/>
    <w:rsid w:val="00B362CC"/>
    <w:rsid w:val="00B362E4"/>
    <w:rsid w:val="00B362E9"/>
    <w:rsid w:val="00B36300"/>
    <w:rsid w:val="00B36383"/>
    <w:rsid w:val="00B36398"/>
    <w:rsid w:val="00B363D3"/>
    <w:rsid w:val="00B36407"/>
    <w:rsid w:val="00B3640E"/>
    <w:rsid w:val="00B36444"/>
    <w:rsid w:val="00B36469"/>
    <w:rsid w:val="00B364C3"/>
    <w:rsid w:val="00B364D5"/>
    <w:rsid w:val="00B36505"/>
    <w:rsid w:val="00B36519"/>
    <w:rsid w:val="00B36560"/>
    <w:rsid w:val="00B3659C"/>
    <w:rsid w:val="00B365C4"/>
    <w:rsid w:val="00B365F1"/>
    <w:rsid w:val="00B36642"/>
    <w:rsid w:val="00B3664A"/>
    <w:rsid w:val="00B366D7"/>
    <w:rsid w:val="00B366E4"/>
    <w:rsid w:val="00B366E9"/>
    <w:rsid w:val="00B36739"/>
    <w:rsid w:val="00B36751"/>
    <w:rsid w:val="00B36779"/>
    <w:rsid w:val="00B3679B"/>
    <w:rsid w:val="00B367BC"/>
    <w:rsid w:val="00B367D3"/>
    <w:rsid w:val="00B3682A"/>
    <w:rsid w:val="00B36866"/>
    <w:rsid w:val="00B3686C"/>
    <w:rsid w:val="00B3688A"/>
    <w:rsid w:val="00B3688B"/>
    <w:rsid w:val="00B36890"/>
    <w:rsid w:val="00B36911"/>
    <w:rsid w:val="00B3692E"/>
    <w:rsid w:val="00B36946"/>
    <w:rsid w:val="00B3695B"/>
    <w:rsid w:val="00B369C3"/>
    <w:rsid w:val="00B36A3E"/>
    <w:rsid w:val="00B36A61"/>
    <w:rsid w:val="00B36A6D"/>
    <w:rsid w:val="00B36A81"/>
    <w:rsid w:val="00B36A88"/>
    <w:rsid w:val="00B36A95"/>
    <w:rsid w:val="00B36AFE"/>
    <w:rsid w:val="00B36B15"/>
    <w:rsid w:val="00B36B9B"/>
    <w:rsid w:val="00B36BC2"/>
    <w:rsid w:val="00B36BE2"/>
    <w:rsid w:val="00B36BEA"/>
    <w:rsid w:val="00B36C25"/>
    <w:rsid w:val="00B36C2C"/>
    <w:rsid w:val="00B36C81"/>
    <w:rsid w:val="00B36CA1"/>
    <w:rsid w:val="00B36CF2"/>
    <w:rsid w:val="00B36D09"/>
    <w:rsid w:val="00B36D84"/>
    <w:rsid w:val="00B36D85"/>
    <w:rsid w:val="00B36D95"/>
    <w:rsid w:val="00B36E00"/>
    <w:rsid w:val="00B36E53"/>
    <w:rsid w:val="00B36E91"/>
    <w:rsid w:val="00B36EE0"/>
    <w:rsid w:val="00B36F15"/>
    <w:rsid w:val="00B36F28"/>
    <w:rsid w:val="00B36F58"/>
    <w:rsid w:val="00B36F8B"/>
    <w:rsid w:val="00B36FA4"/>
    <w:rsid w:val="00B36FC8"/>
    <w:rsid w:val="00B36FF7"/>
    <w:rsid w:val="00B36FFC"/>
    <w:rsid w:val="00B3700B"/>
    <w:rsid w:val="00B37094"/>
    <w:rsid w:val="00B370AE"/>
    <w:rsid w:val="00B370D6"/>
    <w:rsid w:val="00B3711B"/>
    <w:rsid w:val="00B37161"/>
    <w:rsid w:val="00B3716B"/>
    <w:rsid w:val="00B3717D"/>
    <w:rsid w:val="00B3717E"/>
    <w:rsid w:val="00B3718E"/>
    <w:rsid w:val="00B371AB"/>
    <w:rsid w:val="00B371CB"/>
    <w:rsid w:val="00B371F1"/>
    <w:rsid w:val="00B37222"/>
    <w:rsid w:val="00B3722B"/>
    <w:rsid w:val="00B37245"/>
    <w:rsid w:val="00B37252"/>
    <w:rsid w:val="00B37271"/>
    <w:rsid w:val="00B372E6"/>
    <w:rsid w:val="00B372E7"/>
    <w:rsid w:val="00B372E8"/>
    <w:rsid w:val="00B37316"/>
    <w:rsid w:val="00B3731C"/>
    <w:rsid w:val="00B37321"/>
    <w:rsid w:val="00B3733A"/>
    <w:rsid w:val="00B37340"/>
    <w:rsid w:val="00B3737E"/>
    <w:rsid w:val="00B37384"/>
    <w:rsid w:val="00B37408"/>
    <w:rsid w:val="00B3741A"/>
    <w:rsid w:val="00B37441"/>
    <w:rsid w:val="00B3744C"/>
    <w:rsid w:val="00B3746D"/>
    <w:rsid w:val="00B374B5"/>
    <w:rsid w:val="00B374EA"/>
    <w:rsid w:val="00B374F2"/>
    <w:rsid w:val="00B3750B"/>
    <w:rsid w:val="00B37528"/>
    <w:rsid w:val="00B3752F"/>
    <w:rsid w:val="00B3753B"/>
    <w:rsid w:val="00B3754A"/>
    <w:rsid w:val="00B37556"/>
    <w:rsid w:val="00B37581"/>
    <w:rsid w:val="00B37596"/>
    <w:rsid w:val="00B37633"/>
    <w:rsid w:val="00B37637"/>
    <w:rsid w:val="00B3765D"/>
    <w:rsid w:val="00B376B1"/>
    <w:rsid w:val="00B376BB"/>
    <w:rsid w:val="00B376C3"/>
    <w:rsid w:val="00B3771A"/>
    <w:rsid w:val="00B37751"/>
    <w:rsid w:val="00B37773"/>
    <w:rsid w:val="00B37779"/>
    <w:rsid w:val="00B37790"/>
    <w:rsid w:val="00B377B7"/>
    <w:rsid w:val="00B377F1"/>
    <w:rsid w:val="00B3781B"/>
    <w:rsid w:val="00B3781D"/>
    <w:rsid w:val="00B37858"/>
    <w:rsid w:val="00B3785C"/>
    <w:rsid w:val="00B3786A"/>
    <w:rsid w:val="00B378BE"/>
    <w:rsid w:val="00B37949"/>
    <w:rsid w:val="00B37951"/>
    <w:rsid w:val="00B37952"/>
    <w:rsid w:val="00B37987"/>
    <w:rsid w:val="00B379D2"/>
    <w:rsid w:val="00B379F9"/>
    <w:rsid w:val="00B37A2C"/>
    <w:rsid w:val="00B37A8A"/>
    <w:rsid w:val="00B37A8F"/>
    <w:rsid w:val="00B37AB4"/>
    <w:rsid w:val="00B37AF0"/>
    <w:rsid w:val="00B37AFA"/>
    <w:rsid w:val="00B37AFD"/>
    <w:rsid w:val="00B37AFF"/>
    <w:rsid w:val="00B37B06"/>
    <w:rsid w:val="00B37B5E"/>
    <w:rsid w:val="00B37B7D"/>
    <w:rsid w:val="00B37BAA"/>
    <w:rsid w:val="00B37BE3"/>
    <w:rsid w:val="00B37C7C"/>
    <w:rsid w:val="00B37C98"/>
    <w:rsid w:val="00B37D0C"/>
    <w:rsid w:val="00B37D63"/>
    <w:rsid w:val="00B37D73"/>
    <w:rsid w:val="00B37D76"/>
    <w:rsid w:val="00B37DDB"/>
    <w:rsid w:val="00B37E45"/>
    <w:rsid w:val="00B37E66"/>
    <w:rsid w:val="00B37EF5"/>
    <w:rsid w:val="00B37F7A"/>
    <w:rsid w:val="00B37F8E"/>
    <w:rsid w:val="00B37FB2"/>
    <w:rsid w:val="00B4000E"/>
    <w:rsid w:val="00B40015"/>
    <w:rsid w:val="00B40054"/>
    <w:rsid w:val="00B40058"/>
    <w:rsid w:val="00B40069"/>
    <w:rsid w:val="00B40075"/>
    <w:rsid w:val="00B4009D"/>
    <w:rsid w:val="00B400A1"/>
    <w:rsid w:val="00B400A3"/>
    <w:rsid w:val="00B400B8"/>
    <w:rsid w:val="00B400B9"/>
    <w:rsid w:val="00B400BE"/>
    <w:rsid w:val="00B400C8"/>
    <w:rsid w:val="00B400D9"/>
    <w:rsid w:val="00B40128"/>
    <w:rsid w:val="00B4014A"/>
    <w:rsid w:val="00B4018A"/>
    <w:rsid w:val="00B401B2"/>
    <w:rsid w:val="00B401C9"/>
    <w:rsid w:val="00B401ED"/>
    <w:rsid w:val="00B40231"/>
    <w:rsid w:val="00B4024C"/>
    <w:rsid w:val="00B4027B"/>
    <w:rsid w:val="00B40309"/>
    <w:rsid w:val="00B40323"/>
    <w:rsid w:val="00B40345"/>
    <w:rsid w:val="00B40367"/>
    <w:rsid w:val="00B4036D"/>
    <w:rsid w:val="00B403C8"/>
    <w:rsid w:val="00B403CC"/>
    <w:rsid w:val="00B403DB"/>
    <w:rsid w:val="00B40411"/>
    <w:rsid w:val="00B40446"/>
    <w:rsid w:val="00B404A7"/>
    <w:rsid w:val="00B404A9"/>
    <w:rsid w:val="00B404D8"/>
    <w:rsid w:val="00B404E4"/>
    <w:rsid w:val="00B404E7"/>
    <w:rsid w:val="00B404EA"/>
    <w:rsid w:val="00B40503"/>
    <w:rsid w:val="00B40540"/>
    <w:rsid w:val="00B40544"/>
    <w:rsid w:val="00B40566"/>
    <w:rsid w:val="00B40585"/>
    <w:rsid w:val="00B405DF"/>
    <w:rsid w:val="00B40629"/>
    <w:rsid w:val="00B4064B"/>
    <w:rsid w:val="00B406E4"/>
    <w:rsid w:val="00B406F0"/>
    <w:rsid w:val="00B406FA"/>
    <w:rsid w:val="00B40702"/>
    <w:rsid w:val="00B4071F"/>
    <w:rsid w:val="00B407A0"/>
    <w:rsid w:val="00B407D4"/>
    <w:rsid w:val="00B40800"/>
    <w:rsid w:val="00B4080C"/>
    <w:rsid w:val="00B40858"/>
    <w:rsid w:val="00B408A3"/>
    <w:rsid w:val="00B408D3"/>
    <w:rsid w:val="00B408FD"/>
    <w:rsid w:val="00B40906"/>
    <w:rsid w:val="00B4090A"/>
    <w:rsid w:val="00B4094B"/>
    <w:rsid w:val="00B40986"/>
    <w:rsid w:val="00B409AB"/>
    <w:rsid w:val="00B409CE"/>
    <w:rsid w:val="00B40A02"/>
    <w:rsid w:val="00B40AAC"/>
    <w:rsid w:val="00B40AC0"/>
    <w:rsid w:val="00B40AC1"/>
    <w:rsid w:val="00B40B11"/>
    <w:rsid w:val="00B40BA2"/>
    <w:rsid w:val="00B40BE4"/>
    <w:rsid w:val="00B40BEB"/>
    <w:rsid w:val="00B40C2F"/>
    <w:rsid w:val="00B40C51"/>
    <w:rsid w:val="00B40C84"/>
    <w:rsid w:val="00B40C9F"/>
    <w:rsid w:val="00B40CB9"/>
    <w:rsid w:val="00B40CD0"/>
    <w:rsid w:val="00B40CD4"/>
    <w:rsid w:val="00B40CFF"/>
    <w:rsid w:val="00B40D1B"/>
    <w:rsid w:val="00B40D87"/>
    <w:rsid w:val="00B40DBA"/>
    <w:rsid w:val="00B40DC2"/>
    <w:rsid w:val="00B40DEE"/>
    <w:rsid w:val="00B40DFC"/>
    <w:rsid w:val="00B40E2B"/>
    <w:rsid w:val="00B40E49"/>
    <w:rsid w:val="00B40E74"/>
    <w:rsid w:val="00B40ED7"/>
    <w:rsid w:val="00B40F02"/>
    <w:rsid w:val="00B40F3E"/>
    <w:rsid w:val="00B40FB1"/>
    <w:rsid w:val="00B40FBA"/>
    <w:rsid w:val="00B41018"/>
    <w:rsid w:val="00B41037"/>
    <w:rsid w:val="00B41062"/>
    <w:rsid w:val="00B4109A"/>
    <w:rsid w:val="00B410AE"/>
    <w:rsid w:val="00B410EF"/>
    <w:rsid w:val="00B410FD"/>
    <w:rsid w:val="00B41111"/>
    <w:rsid w:val="00B4115E"/>
    <w:rsid w:val="00B4116A"/>
    <w:rsid w:val="00B41180"/>
    <w:rsid w:val="00B41196"/>
    <w:rsid w:val="00B411C3"/>
    <w:rsid w:val="00B411D3"/>
    <w:rsid w:val="00B411EC"/>
    <w:rsid w:val="00B411FE"/>
    <w:rsid w:val="00B41212"/>
    <w:rsid w:val="00B41261"/>
    <w:rsid w:val="00B4126C"/>
    <w:rsid w:val="00B4127D"/>
    <w:rsid w:val="00B412BB"/>
    <w:rsid w:val="00B4132D"/>
    <w:rsid w:val="00B4138A"/>
    <w:rsid w:val="00B4139A"/>
    <w:rsid w:val="00B413BA"/>
    <w:rsid w:val="00B413C6"/>
    <w:rsid w:val="00B413D3"/>
    <w:rsid w:val="00B413EC"/>
    <w:rsid w:val="00B41434"/>
    <w:rsid w:val="00B41456"/>
    <w:rsid w:val="00B4145E"/>
    <w:rsid w:val="00B41481"/>
    <w:rsid w:val="00B4149A"/>
    <w:rsid w:val="00B414D9"/>
    <w:rsid w:val="00B414F1"/>
    <w:rsid w:val="00B41505"/>
    <w:rsid w:val="00B41549"/>
    <w:rsid w:val="00B4155A"/>
    <w:rsid w:val="00B415B8"/>
    <w:rsid w:val="00B415E6"/>
    <w:rsid w:val="00B41695"/>
    <w:rsid w:val="00B416C7"/>
    <w:rsid w:val="00B41724"/>
    <w:rsid w:val="00B4175B"/>
    <w:rsid w:val="00B4175E"/>
    <w:rsid w:val="00B4178B"/>
    <w:rsid w:val="00B417BB"/>
    <w:rsid w:val="00B417CC"/>
    <w:rsid w:val="00B41846"/>
    <w:rsid w:val="00B4184E"/>
    <w:rsid w:val="00B41882"/>
    <w:rsid w:val="00B418DB"/>
    <w:rsid w:val="00B41901"/>
    <w:rsid w:val="00B4199C"/>
    <w:rsid w:val="00B41A48"/>
    <w:rsid w:val="00B41A49"/>
    <w:rsid w:val="00B41A7C"/>
    <w:rsid w:val="00B41ABB"/>
    <w:rsid w:val="00B41ABC"/>
    <w:rsid w:val="00B41B05"/>
    <w:rsid w:val="00B41B56"/>
    <w:rsid w:val="00B41B6C"/>
    <w:rsid w:val="00B41B79"/>
    <w:rsid w:val="00B41B7E"/>
    <w:rsid w:val="00B41B94"/>
    <w:rsid w:val="00B41BA5"/>
    <w:rsid w:val="00B41BA7"/>
    <w:rsid w:val="00B41BC4"/>
    <w:rsid w:val="00B41BD5"/>
    <w:rsid w:val="00B41BE0"/>
    <w:rsid w:val="00B41BEA"/>
    <w:rsid w:val="00B41C10"/>
    <w:rsid w:val="00B41C4B"/>
    <w:rsid w:val="00B41C76"/>
    <w:rsid w:val="00B41C7E"/>
    <w:rsid w:val="00B41CB4"/>
    <w:rsid w:val="00B41CB9"/>
    <w:rsid w:val="00B41CDB"/>
    <w:rsid w:val="00B41CF9"/>
    <w:rsid w:val="00B41D19"/>
    <w:rsid w:val="00B41D6E"/>
    <w:rsid w:val="00B41D73"/>
    <w:rsid w:val="00B41D88"/>
    <w:rsid w:val="00B41DC3"/>
    <w:rsid w:val="00B41E19"/>
    <w:rsid w:val="00B41E8B"/>
    <w:rsid w:val="00B41EBA"/>
    <w:rsid w:val="00B41EBB"/>
    <w:rsid w:val="00B41EEE"/>
    <w:rsid w:val="00B41EF0"/>
    <w:rsid w:val="00B41F11"/>
    <w:rsid w:val="00B41F33"/>
    <w:rsid w:val="00B41F43"/>
    <w:rsid w:val="00B41F79"/>
    <w:rsid w:val="00B41FAA"/>
    <w:rsid w:val="00B41FB8"/>
    <w:rsid w:val="00B4201C"/>
    <w:rsid w:val="00B4201E"/>
    <w:rsid w:val="00B4204D"/>
    <w:rsid w:val="00B420D2"/>
    <w:rsid w:val="00B420F5"/>
    <w:rsid w:val="00B42118"/>
    <w:rsid w:val="00B42157"/>
    <w:rsid w:val="00B4218E"/>
    <w:rsid w:val="00B421E3"/>
    <w:rsid w:val="00B42231"/>
    <w:rsid w:val="00B4225E"/>
    <w:rsid w:val="00B42266"/>
    <w:rsid w:val="00B4228A"/>
    <w:rsid w:val="00B4228F"/>
    <w:rsid w:val="00B4229A"/>
    <w:rsid w:val="00B4229D"/>
    <w:rsid w:val="00B4229F"/>
    <w:rsid w:val="00B422B6"/>
    <w:rsid w:val="00B422BB"/>
    <w:rsid w:val="00B42303"/>
    <w:rsid w:val="00B42314"/>
    <w:rsid w:val="00B4232F"/>
    <w:rsid w:val="00B42338"/>
    <w:rsid w:val="00B42347"/>
    <w:rsid w:val="00B42363"/>
    <w:rsid w:val="00B4236E"/>
    <w:rsid w:val="00B42396"/>
    <w:rsid w:val="00B423AF"/>
    <w:rsid w:val="00B423B4"/>
    <w:rsid w:val="00B423C9"/>
    <w:rsid w:val="00B423F5"/>
    <w:rsid w:val="00B42452"/>
    <w:rsid w:val="00B42462"/>
    <w:rsid w:val="00B424E8"/>
    <w:rsid w:val="00B4252A"/>
    <w:rsid w:val="00B4254C"/>
    <w:rsid w:val="00B4255A"/>
    <w:rsid w:val="00B4256A"/>
    <w:rsid w:val="00B42582"/>
    <w:rsid w:val="00B425AD"/>
    <w:rsid w:val="00B425B0"/>
    <w:rsid w:val="00B42610"/>
    <w:rsid w:val="00B42630"/>
    <w:rsid w:val="00B426A7"/>
    <w:rsid w:val="00B426B2"/>
    <w:rsid w:val="00B42715"/>
    <w:rsid w:val="00B42731"/>
    <w:rsid w:val="00B42767"/>
    <w:rsid w:val="00B427A2"/>
    <w:rsid w:val="00B427A3"/>
    <w:rsid w:val="00B427D8"/>
    <w:rsid w:val="00B42815"/>
    <w:rsid w:val="00B42816"/>
    <w:rsid w:val="00B4281B"/>
    <w:rsid w:val="00B42872"/>
    <w:rsid w:val="00B428A6"/>
    <w:rsid w:val="00B428AD"/>
    <w:rsid w:val="00B428C1"/>
    <w:rsid w:val="00B428F0"/>
    <w:rsid w:val="00B428FB"/>
    <w:rsid w:val="00B428FC"/>
    <w:rsid w:val="00B42914"/>
    <w:rsid w:val="00B4297B"/>
    <w:rsid w:val="00B4297E"/>
    <w:rsid w:val="00B4298F"/>
    <w:rsid w:val="00B42A4F"/>
    <w:rsid w:val="00B42A8C"/>
    <w:rsid w:val="00B42AC6"/>
    <w:rsid w:val="00B42ADE"/>
    <w:rsid w:val="00B42B32"/>
    <w:rsid w:val="00B42B49"/>
    <w:rsid w:val="00B42B56"/>
    <w:rsid w:val="00B42BD2"/>
    <w:rsid w:val="00B42BE4"/>
    <w:rsid w:val="00B42C1F"/>
    <w:rsid w:val="00B42C20"/>
    <w:rsid w:val="00B42C22"/>
    <w:rsid w:val="00B42C2B"/>
    <w:rsid w:val="00B42C5B"/>
    <w:rsid w:val="00B42C5E"/>
    <w:rsid w:val="00B42C79"/>
    <w:rsid w:val="00B42C7D"/>
    <w:rsid w:val="00B42CCD"/>
    <w:rsid w:val="00B42CE4"/>
    <w:rsid w:val="00B42CEA"/>
    <w:rsid w:val="00B42D07"/>
    <w:rsid w:val="00B42D0E"/>
    <w:rsid w:val="00B42D1E"/>
    <w:rsid w:val="00B42D38"/>
    <w:rsid w:val="00B42DB3"/>
    <w:rsid w:val="00B42DE7"/>
    <w:rsid w:val="00B42E0E"/>
    <w:rsid w:val="00B42E32"/>
    <w:rsid w:val="00B42E43"/>
    <w:rsid w:val="00B42E48"/>
    <w:rsid w:val="00B42E93"/>
    <w:rsid w:val="00B42E98"/>
    <w:rsid w:val="00B42EC5"/>
    <w:rsid w:val="00B42F08"/>
    <w:rsid w:val="00B42F09"/>
    <w:rsid w:val="00B42F17"/>
    <w:rsid w:val="00B42FCC"/>
    <w:rsid w:val="00B43023"/>
    <w:rsid w:val="00B43067"/>
    <w:rsid w:val="00B43088"/>
    <w:rsid w:val="00B430DF"/>
    <w:rsid w:val="00B430E3"/>
    <w:rsid w:val="00B43183"/>
    <w:rsid w:val="00B431B5"/>
    <w:rsid w:val="00B431EA"/>
    <w:rsid w:val="00B43204"/>
    <w:rsid w:val="00B4321B"/>
    <w:rsid w:val="00B43223"/>
    <w:rsid w:val="00B43235"/>
    <w:rsid w:val="00B43240"/>
    <w:rsid w:val="00B43246"/>
    <w:rsid w:val="00B432A7"/>
    <w:rsid w:val="00B432B5"/>
    <w:rsid w:val="00B432C0"/>
    <w:rsid w:val="00B432E2"/>
    <w:rsid w:val="00B432E4"/>
    <w:rsid w:val="00B432F0"/>
    <w:rsid w:val="00B432F8"/>
    <w:rsid w:val="00B4333A"/>
    <w:rsid w:val="00B43345"/>
    <w:rsid w:val="00B4334D"/>
    <w:rsid w:val="00B43350"/>
    <w:rsid w:val="00B43371"/>
    <w:rsid w:val="00B433CC"/>
    <w:rsid w:val="00B433D0"/>
    <w:rsid w:val="00B4342D"/>
    <w:rsid w:val="00B4346B"/>
    <w:rsid w:val="00B4346C"/>
    <w:rsid w:val="00B4346D"/>
    <w:rsid w:val="00B43486"/>
    <w:rsid w:val="00B434C6"/>
    <w:rsid w:val="00B43576"/>
    <w:rsid w:val="00B4359C"/>
    <w:rsid w:val="00B435A6"/>
    <w:rsid w:val="00B435B6"/>
    <w:rsid w:val="00B435DA"/>
    <w:rsid w:val="00B43606"/>
    <w:rsid w:val="00B4360E"/>
    <w:rsid w:val="00B43661"/>
    <w:rsid w:val="00B43691"/>
    <w:rsid w:val="00B43697"/>
    <w:rsid w:val="00B436E5"/>
    <w:rsid w:val="00B436F3"/>
    <w:rsid w:val="00B437D0"/>
    <w:rsid w:val="00B437D1"/>
    <w:rsid w:val="00B43864"/>
    <w:rsid w:val="00B4387F"/>
    <w:rsid w:val="00B438F4"/>
    <w:rsid w:val="00B43930"/>
    <w:rsid w:val="00B4394B"/>
    <w:rsid w:val="00B43976"/>
    <w:rsid w:val="00B43986"/>
    <w:rsid w:val="00B43988"/>
    <w:rsid w:val="00B43A59"/>
    <w:rsid w:val="00B43A94"/>
    <w:rsid w:val="00B43A97"/>
    <w:rsid w:val="00B43ADD"/>
    <w:rsid w:val="00B43AE3"/>
    <w:rsid w:val="00B43AF8"/>
    <w:rsid w:val="00B43B12"/>
    <w:rsid w:val="00B43B9A"/>
    <w:rsid w:val="00B43BF6"/>
    <w:rsid w:val="00B43C12"/>
    <w:rsid w:val="00B43C2C"/>
    <w:rsid w:val="00B43C54"/>
    <w:rsid w:val="00B43D0E"/>
    <w:rsid w:val="00B43D34"/>
    <w:rsid w:val="00B43D37"/>
    <w:rsid w:val="00B43D39"/>
    <w:rsid w:val="00B43D3C"/>
    <w:rsid w:val="00B43D4D"/>
    <w:rsid w:val="00B43D51"/>
    <w:rsid w:val="00B43D83"/>
    <w:rsid w:val="00B43DA1"/>
    <w:rsid w:val="00B43DA8"/>
    <w:rsid w:val="00B43DB6"/>
    <w:rsid w:val="00B43DB8"/>
    <w:rsid w:val="00B43DC5"/>
    <w:rsid w:val="00B43DE9"/>
    <w:rsid w:val="00B43E38"/>
    <w:rsid w:val="00B43E67"/>
    <w:rsid w:val="00B43EAB"/>
    <w:rsid w:val="00B43F30"/>
    <w:rsid w:val="00B43F3E"/>
    <w:rsid w:val="00B43F9D"/>
    <w:rsid w:val="00B43FD5"/>
    <w:rsid w:val="00B43FDC"/>
    <w:rsid w:val="00B44030"/>
    <w:rsid w:val="00B44033"/>
    <w:rsid w:val="00B44056"/>
    <w:rsid w:val="00B440B2"/>
    <w:rsid w:val="00B441D1"/>
    <w:rsid w:val="00B44225"/>
    <w:rsid w:val="00B44232"/>
    <w:rsid w:val="00B44276"/>
    <w:rsid w:val="00B44296"/>
    <w:rsid w:val="00B442EB"/>
    <w:rsid w:val="00B442F4"/>
    <w:rsid w:val="00B4432E"/>
    <w:rsid w:val="00B4434B"/>
    <w:rsid w:val="00B4434D"/>
    <w:rsid w:val="00B44362"/>
    <w:rsid w:val="00B4437B"/>
    <w:rsid w:val="00B443E0"/>
    <w:rsid w:val="00B443FC"/>
    <w:rsid w:val="00B444AB"/>
    <w:rsid w:val="00B444B5"/>
    <w:rsid w:val="00B444DA"/>
    <w:rsid w:val="00B444FE"/>
    <w:rsid w:val="00B4455F"/>
    <w:rsid w:val="00B44561"/>
    <w:rsid w:val="00B445EB"/>
    <w:rsid w:val="00B44613"/>
    <w:rsid w:val="00B4461B"/>
    <w:rsid w:val="00B44623"/>
    <w:rsid w:val="00B4462E"/>
    <w:rsid w:val="00B446F1"/>
    <w:rsid w:val="00B446F6"/>
    <w:rsid w:val="00B446FD"/>
    <w:rsid w:val="00B447AB"/>
    <w:rsid w:val="00B447FC"/>
    <w:rsid w:val="00B44849"/>
    <w:rsid w:val="00B448AD"/>
    <w:rsid w:val="00B448AE"/>
    <w:rsid w:val="00B448D5"/>
    <w:rsid w:val="00B44916"/>
    <w:rsid w:val="00B4493C"/>
    <w:rsid w:val="00B4499B"/>
    <w:rsid w:val="00B449C4"/>
    <w:rsid w:val="00B449F6"/>
    <w:rsid w:val="00B449FB"/>
    <w:rsid w:val="00B44A03"/>
    <w:rsid w:val="00B44A61"/>
    <w:rsid w:val="00B44A98"/>
    <w:rsid w:val="00B44AA1"/>
    <w:rsid w:val="00B44ABB"/>
    <w:rsid w:val="00B44AF3"/>
    <w:rsid w:val="00B44AFD"/>
    <w:rsid w:val="00B44B29"/>
    <w:rsid w:val="00B44B82"/>
    <w:rsid w:val="00B44BEA"/>
    <w:rsid w:val="00B44C12"/>
    <w:rsid w:val="00B44C23"/>
    <w:rsid w:val="00B44C2B"/>
    <w:rsid w:val="00B44C34"/>
    <w:rsid w:val="00B44C72"/>
    <w:rsid w:val="00B44C8E"/>
    <w:rsid w:val="00B44C99"/>
    <w:rsid w:val="00B44C9F"/>
    <w:rsid w:val="00B44CAE"/>
    <w:rsid w:val="00B44D11"/>
    <w:rsid w:val="00B44D46"/>
    <w:rsid w:val="00B44E28"/>
    <w:rsid w:val="00B44E62"/>
    <w:rsid w:val="00B44EC8"/>
    <w:rsid w:val="00B44EE0"/>
    <w:rsid w:val="00B44EED"/>
    <w:rsid w:val="00B44F1E"/>
    <w:rsid w:val="00B44F48"/>
    <w:rsid w:val="00B44F87"/>
    <w:rsid w:val="00B44FD1"/>
    <w:rsid w:val="00B44FD6"/>
    <w:rsid w:val="00B45021"/>
    <w:rsid w:val="00B4503F"/>
    <w:rsid w:val="00B45055"/>
    <w:rsid w:val="00B45082"/>
    <w:rsid w:val="00B4508B"/>
    <w:rsid w:val="00B45148"/>
    <w:rsid w:val="00B4514A"/>
    <w:rsid w:val="00B45154"/>
    <w:rsid w:val="00B451EB"/>
    <w:rsid w:val="00B4520C"/>
    <w:rsid w:val="00B45232"/>
    <w:rsid w:val="00B45250"/>
    <w:rsid w:val="00B452DC"/>
    <w:rsid w:val="00B452F1"/>
    <w:rsid w:val="00B4530D"/>
    <w:rsid w:val="00B45322"/>
    <w:rsid w:val="00B45331"/>
    <w:rsid w:val="00B4533B"/>
    <w:rsid w:val="00B45357"/>
    <w:rsid w:val="00B4536E"/>
    <w:rsid w:val="00B4537D"/>
    <w:rsid w:val="00B4541F"/>
    <w:rsid w:val="00B454AC"/>
    <w:rsid w:val="00B454AD"/>
    <w:rsid w:val="00B454B1"/>
    <w:rsid w:val="00B454B2"/>
    <w:rsid w:val="00B45522"/>
    <w:rsid w:val="00B45534"/>
    <w:rsid w:val="00B4555B"/>
    <w:rsid w:val="00B455C7"/>
    <w:rsid w:val="00B455CE"/>
    <w:rsid w:val="00B45659"/>
    <w:rsid w:val="00B4566C"/>
    <w:rsid w:val="00B45696"/>
    <w:rsid w:val="00B4570F"/>
    <w:rsid w:val="00B45719"/>
    <w:rsid w:val="00B45735"/>
    <w:rsid w:val="00B45755"/>
    <w:rsid w:val="00B45772"/>
    <w:rsid w:val="00B45776"/>
    <w:rsid w:val="00B4578E"/>
    <w:rsid w:val="00B4579D"/>
    <w:rsid w:val="00B457E3"/>
    <w:rsid w:val="00B457F3"/>
    <w:rsid w:val="00B457F9"/>
    <w:rsid w:val="00B4582E"/>
    <w:rsid w:val="00B4582F"/>
    <w:rsid w:val="00B4586D"/>
    <w:rsid w:val="00B45878"/>
    <w:rsid w:val="00B458A9"/>
    <w:rsid w:val="00B458BB"/>
    <w:rsid w:val="00B458C1"/>
    <w:rsid w:val="00B458DE"/>
    <w:rsid w:val="00B458E0"/>
    <w:rsid w:val="00B458F0"/>
    <w:rsid w:val="00B458F7"/>
    <w:rsid w:val="00B458F8"/>
    <w:rsid w:val="00B45914"/>
    <w:rsid w:val="00B45970"/>
    <w:rsid w:val="00B45975"/>
    <w:rsid w:val="00B45987"/>
    <w:rsid w:val="00B459AB"/>
    <w:rsid w:val="00B459D3"/>
    <w:rsid w:val="00B45A13"/>
    <w:rsid w:val="00B45A24"/>
    <w:rsid w:val="00B45A47"/>
    <w:rsid w:val="00B45A5E"/>
    <w:rsid w:val="00B45AC9"/>
    <w:rsid w:val="00B45B3C"/>
    <w:rsid w:val="00B45B5C"/>
    <w:rsid w:val="00B45B79"/>
    <w:rsid w:val="00B45B9F"/>
    <w:rsid w:val="00B45C6F"/>
    <w:rsid w:val="00B45CF3"/>
    <w:rsid w:val="00B45D1F"/>
    <w:rsid w:val="00B45D67"/>
    <w:rsid w:val="00B45DA5"/>
    <w:rsid w:val="00B45E12"/>
    <w:rsid w:val="00B45E30"/>
    <w:rsid w:val="00B45E75"/>
    <w:rsid w:val="00B45F0F"/>
    <w:rsid w:val="00B45F17"/>
    <w:rsid w:val="00B45F25"/>
    <w:rsid w:val="00B45F46"/>
    <w:rsid w:val="00B45F89"/>
    <w:rsid w:val="00B45F8A"/>
    <w:rsid w:val="00B45FA8"/>
    <w:rsid w:val="00B45FEA"/>
    <w:rsid w:val="00B46012"/>
    <w:rsid w:val="00B46091"/>
    <w:rsid w:val="00B46093"/>
    <w:rsid w:val="00B460A5"/>
    <w:rsid w:val="00B460B0"/>
    <w:rsid w:val="00B460C1"/>
    <w:rsid w:val="00B460DF"/>
    <w:rsid w:val="00B460EA"/>
    <w:rsid w:val="00B4611B"/>
    <w:rsid w:val="00B46173"/>
    <w:rsid w:val="00B461B8"/>
    <w:rsid w:val="00B461D1"/>
    <w:rsid w:val="00B461F3"/>
    <w:rsid w:val="00B461F9"/>
    <w:rsid w:val="00B46243"/>
    <w:rsid w:val="00B46269"/>
    <w:rsid w:val="00B462CB"/>
    <w:rsid w:val="00B462EB"/>
    <w:rsid w:val="00B462FE"/>
    <w:rsid w:val="00B46343"/>
    <w:rsid w:val="00B46365"/>
    <w:rsid w:val="00B46374"/>
    <w:rsid w:val="00B463D9"/>
    <w:rsid w:val="00B4645E"/>
    <w:rsid w:val="00B464AA"/>
    <w:rsid w:val="00B464CE"/>
    <w:rsid w:val="00B4652E"/>
    <w:rsid w:val="00B46533"/>
    <w:rsid w:val="00B4656C"/>
    <w:rsid w:val="00B465E4"/>
    <w:rsid w:val="00B46607"/>
    <w:rsid w:val="00B466AF"/>
    <w:rsid w:val="00B466EC"/>
    <w:rsid w:val="00B466EE"/>
    <w:rsid w:val="00B4672B"/>
    <w:rsid w:val="00B46763"/>
    <w:rsid w:val="00B4677B"/>
    <w:rsid w:val="00B467BA"/>
    <w:rsid w:val="00B467BC"/>
    <w:rsid w:val="00B467C0"/>
    <w:rsid w:val="00B467DB"/>
    <w:rsid w:val="00B467FB"/>
    <w:rsid w:val="00B46803"/>
    <w:rsid w:val="00B46861"/>
    <w:rsid w:val="00B46973"/>
    <w:rsid w:val="00B46982"/>
    <w:rsid w:val="00B469EF"/>
    <w:rsid w:val="00B469F8"/>
    <w:rsid w:val="00B46A07"/>
    <w:rsid w:val="00B46A1B"/>
    <w:rsid w:val="00B46A6F"/>
    <w:rsid w:val="00B46A85"/>
    <w:rsid w:val="00B46AD1"/>
    <w:rsid w:val="00B46AE0"/>
    <w:rsid w:val="00B46AE6"/>
    <w:rsid w:val="00B46AFA"/>
    <w:rsid w:val="00B46B1E"/>
    <w:rsid w:val="00B46B32"/>
    <w:rsid w:val="00B46B5A"/>
    <w:rsid w:val="00B46B78"/>
    <w:rsid w:val="00B46B7A"/>
    <w:rsid w:val="00B46B8E"/>
    <w:rsid w:val="00B46C20"/>
    <w:rsid w:val="00B46C49"/>
    <w:rsid w:val="00B46C76"/>
    <w:rsid w:val="00B46C78"/>
    <w:rsid w:val="00B46C85"/>
    <w:rsid w:val="00B46CAE"/>
    <w:rsid w:val="00B46CE9"/>
    <w:rsid w:val="00B46D6B"/>
    <w:rsid w:val="00B46E59"/>
    <w:rsid w:val="00B46E97"/>
    <w:rsid w:val="00B46E99"/>
    <w:rsid w:val="00B46EA6"/>
    <w:rsid w:val="00B46EE8"/>
    <w:rsid w:val="00B46EF9"/>
    <w:rsid w:val="00B46F2C"/>
    <w:rsid w:val="00B46F30"/>
    <w:rsid w:val="00B46F36"/>
    <w:rsid w:val="00B46F45"/>
    <w:rsid w:val="00B46F57"/>
    <w:rsid w:val="00B46FC2"/>
    <w:rsid w:val="00B47021"/>
    <w:rsid w:val="00B47058"/>
    <w:rsid w:val="00B4710F"/>
    <w:rsid w:val="00B47133"/>
    <w:rsid w:val="00B47144"/>
    <w:rsid w:val="00B471A0"/>
    <w:rsid w:val="00B471E5"/>
    <w:rsid w:val="00B47214"/>
    <w:rsid w:val="00B47225"/>
    <w:rsid w:val="00B4722F"/>
    <w:rsid w:val="00B4729A"/>
    <w:rsid w:val="00B472BB"/>
    <w:rsid w:val="00B472C2"/>
    <w:rsid w:val="00B472D3"/>
    <w:rsid w:val="00B47302"/>
    <w:rsid w:val="00B47347"/>
    <w:rsid w:val="00B47361"/>
    <w:rsid w:val="00B4739B"/>
    <w:rsid w:val="00B473D1"/>
    <w:rsid w:val="00B473DD"/>
    <w:rsid w:val="00B47411"/>
    <w:rsid w:val="00B4743E"/>
    <w:rsid w:val="00B4745D"/>
    <w:rsid w:val="00B47503"/>
    <w:rsid w:val="00B4759B"/>
    <w:rsid w:val="00B475A4"/>
    <w:rsid w:val="00B475B3"/>
    <w:rsid w:val="00B475C7"/>
    <w:rsid w:val="00B475ED"/>
    <w:rsid w:val="00B47681"/>
    <w:rsid w:val="00B476B9"/>
    <w:rsid w:val="00B476C0"/>
    <w:rsid w:val="00B47701"/>
    <w:rsid w:val="00B47729"/>
    <w:rsid w:val="00B4775B"/>
    <w:rsid w:val="00B47787"/>
    <w:rsid w:val="00B47795"/>
    <w:rsid w:val="00B477A8"/>
    <w:rsid w:val="00B477AE"/>
    <w:rsid w:val="00B477D5"/>
    <w:rsid w:val="00B47807"/>
    <w:rsid w:val="00B4781B"/>
    <w:rsid w:val="00B47828"/>
    <w:rsid w:val="00B478B1"/>
    <w:rsid w:val="00B478CB"/>
    <w:rsid w:val="00B47913"/>
    <w:rsid w:val="00B4792C"/>
    <w:rsid w:val="00B4794B"/>
    <w:rsid w:val="00B47956"/>
    <w:rsid w:val="00B4795C"/>
    <w:rsid w:val="00B47977"/>
    <w:rsid w:val="00B47990"/>
    <w:rsid w:val="00B47992"/>
    <w:rsid w:val="00B4799B"/>
    <w:rsid w:val="00B479D2"/>
    <w:rsid w:val="00B47A2C"/>
    <w:rsid w:val="00B47A6A"/>
    <w:rsid w:val="00B47A8C"/>
    <w:rsid w:val="00B47AC8"/>
    <w:rsid w:val="00B47B00"/>
    <w:rsid w:val="00B47B18"/>
    <w:rsid w:val="00B47B25"/>
    <w:rsid w:val="00B47B3B"/>
    <w:rsid w:val="00B47BD7"/>
    <w:rsid w:val="00B47BE0"/>
    <w:rsid w:val="00B47C3D"/>
    <w:rsid w:val="00B47C97"/>
    <w:rsid w:val="00B47CA5"/>
    <w:rsid w:val="00B47CD2"/>
    <w:rsid w:val="00B47CD9"/>
    <w:rsid w:val="00B47CF5"/>
    <w:rsid w:val="00B47D3C"/>
    <w:rsid w:val="00B47D8D"/>
    <w:rsid w:val="00B47E0C"/>
    <w:rsid w:val="00B47E7F"/>
    <w:rsid w:val="00B47EF2"/>
    <w:rsid w:val="00B47F11"/>
    <w:rsid w:val="00B47F2B"/>
    <w:rsid w:val="00B47F9A"/>
    <w:rsid w:val="00B47FB0"/>
    <w:rsid w:val="00B47FB6"/>
    <w:rsid w:val="00B47FD3"/>
    <w:rsid w:val="00B47FF5"/>
    <w:rsid w:val="00B5005D"/>
    <w:rsid w:val="00B500AF"/>
    <w:rsid w:val="00B500DC"/>
    <w:rsid w:val="00B5011D"/>
    <w:rsid w:val="00B50123"/>
    <w:rsid w:val="00B5012B"/>
    <w:rsid w:val="00B5013D"/>
    <w:rsid w:val="00B50171"/>
    <w:rsid w:val="00B501AE"/>
    <w:rsid w:val="00B501FF"/>
    <w:rsid w:val="00B50274"/>
    <w:rsid w:val="00B50321"/>
    <w:rsid w:val="00B5034E"/>
    <w:rsid w:val="00B5035C"/>
    <w:rsid w:val="00B503AD"/>
    <w:rsid w:val="00B503D8"/>
    <w:rsid w:val="00B503D9"/>
    <w:rsid w:val="00B503EE"/>
    <w:rsid w:val="00B5047A"/>
    <w:rsid w:val="00B5048B"/>
    <w:rsid w:val="00B50490"/>
    <w:rsid w:val="00B504AB"/>
    <w:rsid w:val="00B504EF"/>
    <w:rsid w:val="00B504F1"/>
    <w:rsid w:val="00B50518"/>
    <w:rsid w:val="00B50560"/>
    <w:rsid w:val="00B505DF"/>
    <w:rsid w:val="00B5065F"/>
    <w:rsid w:val="00B50697"/>
    <w:rsid w:val="00B5069B"/>
    <w:rsid w:val="00B5069E"/>
    <w:rsid w:val="00B506CB"/>
    <w:rsid w:val="00B506FF"/>
    <w:rsid w:val="00B5070A"/>
    <w:rsid w:val="00B50759"/>
    <w:rsid w:val="00B50773"/>
    <w:rsid w:val="00B5077A"/>
    <w:rsid w:val="00B5078E"/>
    <w:rsid w:val="00B507E9"/>
    <w:rsid w:val="00B507F0"/>
    <w:rsid w:val="00B50803"/>
    <w:rsid w:val="00B50844"/>
    <w:rsid w:val="00B50847"/>
    <w:rsid w:val="00B5084A"/>
    <w:rsid w:val="00B5089C"/>
    <w:rsid w:val="00B508BC"/>
    <w:rsid w:val="00B50906"/>
    <w:rsid w:val="00B5093A"/>
    <w:rsid w:val="00B50950"/>
    <w:rsid w:val="00B50966"/>
    <w:rsid w:val="00B50989"/>
    <w:rsid w:val="00B50995"/>
    <w:rsid w:val="00B509D3"/>
    <w:rsid w:val="00B50A80"/>
    <w:rsid w:val="00B50ABD"/>
    <w:rsid w:val="00B50ACB"/>
    <w:rsid w:val="00B50B67"/>
    <w:rsid w:val="00B50B85"/>
    <w:rsid w:val="00B50C06"/>
    <w:rsid w:val="00B50C17"/>
    <w:rsid w:val="00B50C3E"/>
    <w:rsid w:val="00B50C92"/>
    <w:rsid w:val="00B50CC6"/>
    <w:rsid w:val="00B50D26"/>
    <w:rsid w:val="00B50D56"/>
    <w:rsid w:val="00B50DAD"/>
    <w:rsid w:val="00B50DB5"/>
    <w:rsid w:val="00B50DE8"/>
    <w:rsid w:val="00B50E9F"/>
    <w:rsid w:val="00B50EDD"/>
    <w:rsid w:val="00B50EDE"/>
    <w:rsid w:val="00B50EFD"/>
    <w:rsid w:val="00B50F21"/>
    <w:rsid w:val="00B50F3A"/>
    <w:rsid w:val="00B50F5C"/>
    <w:rsid w:val="00B50FB7"/>
    <w:rsid w:val="00B51054"/>
    <w:rsid w:val="00B510EC"/>
    <w:rsid w:val="00B510EF"/>
    <w:rsid w:val="00B51116"/>
    <w:rsid w:val="00B51128"/>
    <w:rsid w:val="00B51153"/>
    <w:rsid w:val="00B5118B"/>
    <w:rsid w:val="00B511DC"/>
    <w:rsid w:val="00B51204"/>
    <w:rsid w:val="00B51222"/>
    <w:rsid w:val="00B5124B"/>
    <w:rsid w:val="00B51287"/>
    <w:rsid w:val="00B512A3"/>
    <w:rsid w:val="00B512FC"/>
    <w:rsid w:val="00B51315"/>
    <w:rsid w:val="00B51323"/>
    <w:rsid w:val="00B51348"/>
    <w:rsid w:val="00B51369"/>
    <w:rsid w:val="00B5139C"/>
    <w:rsid w:val="00B513E9"/>
    <w:rsid w:val="00B51423"/>
    <w:rsid w:val="00B51482"/>
    <w:rsid w:val="00B51526"/>
    <w:rsid w:val="00B51532"/>
    <w:rsid w:val="00B51544"/>
    <w:rsid w:val="00B515F9"/>
    <w:rsid w:val="00B51601"/>
    <w:rsid w:val="00B5169E"/>
    <w:rsid w:val="00B516BE"/>
    <w:rsid w:val="00B516C5"/>
    <w:rsid w:val="00B516F4"/>
    <w:rsid w:val="00B51740"/>
    <w:rsid w:val="00B517A8"/>
    <w:rsid w:val="00B517C7"/>
    <w:rsid w:val="00B517DD"/>
    <w:rsid w:val="00B517E9"/>
    <w:rsid w:val="00B51802"/>
    <w:rsid w:val="00B5181B"/>
    <w:rsid w:val="00B5188D"/>
    <w:rsid w:val="00B51897"/>
    <w:rsid w:val="00B518C2"/>
    <w:rsid w:val="00B518C9"/>
    <w:rsid w:val="00B518CC"/>
    <w:rsid w:val="00B518F3"/>
    <w:rsid w:val="00B51904"/>
    <w:rsid w:val="00B5190B"/>
    <w:rsid w:val="00B5193B"/>
    <w:rsid w:val="00B51955"/>
    <w:rsid w:val="00B51959"/>
    <w:rsid w:val="00B519AB"/>
    <w:rsid w:val="00B519C9"/>
    <w:rsid w:val="00B519CC"/>
    <w:rsid w:val="00B519D4"/>
    <w:rsid w:val="00B519D9"/>
    <w:rsid w:val="00B519DA"/>
    <w:rsid w:val="00B519E8"/>
    <w:rsid w:val="00B519ED"/>
    <w:rsid w:val="00B519F3"/>
    <w:rsid w:val="00B51A72"/>
    <w:rsid w:val="00B51AB4"/>
    <w:rsid w:val="00B51ABE"/>
    <w:rsid w:val="00B51AD3"/>
    <w:rsid w:val="00B51B5F"/>
    <w:rsid w:val="00B51BE5"/>
    <w:rsid w:val="00B51BF0"/>
    <w:rsid w:val="00B51BF8"/>
    <w:rsid w:val="00B51C28"/>
    <w:rsid w:val="00B51C98"/>
    <w:rsid w:val="00B51CFF"/>
    <w:rsid w:val="00B51D06"/>
    <w:rsid w:val="00B51D21"/>
    <w:rsid w:val="00B51D72"/>
    <w:rsid w:val="00B51DC3"/>
    <w:rsid w:val="00B51DC6"/>
    <w:rsid w:val="00B51DDF"/>
    <w:rsid w:val="00B51DFB"/>
    <w:rsid w:val="00B51E1E"/>
    <w:rsid w:val="00B51EE3"/>
    <w:rsid w:val="00B51EE7"/>
    <w:rsid w:val="00B51F02"/>
    <w:rsid w:val="00B51F22"/>
    <w:rsid w:val="00B51F3E"/>
    <w:rsid w:val="00B51F8C"/>
    <w:rsid w:val="00B51FBB"/>
    <w:rsid w:val="00B51FDE"/>
    <w:rsid w:val="00B52007"/>
    <w:rsid w:val="00B52049"/>
    <w:rsid w:val="00B5207A"/>
    <w:rsid w:val="00B520B7"/>
    <w:rsid w:val="00B520B9"/>
    <w:rsid w:val="00B520E3"/>
    <w:rsid w:val="00B520F4"/>
    <w:rsid w:val="00B520F5"/>
    <w:rsid w:val="00B52103"/>
    <w:rsid w:val="00B52145"/>
    <w:rsid w:val="00B521B8"/>
    <w:rsid w:val="00B521C7"/>
    <w:rsid w:val="00B521F4"/>
    <w:rsid w:val="00B52259"/>
    <w:rsid w:val="00B522F4"/>
    <w:rsid w:val="00B52305"/>
    <w:rsid w:val="00B5231A"/>
    <w:rsid w:val="00B52332"/>
    <w:rsid w:val="00B5233A"/>
    <w:rsid w:val="00B52388"/>
    <w:rsid w:val="00B523B1"/>
    <w:rsid w:val="00B523C5"/>
    <w:rsid w:val="00B523D7"/>
    <w:rsid w:val="00B5246A"/>
    <w:rsid w:val="00B52499"/>
    <w:rsid w:val="00B524A0"/>
    <w:rsid w:val="00B524CE"/>
    <w:rsid w:val="00B524ED"/>
    <w:rsid w:val="00B52533"/>
    <w:rsid w:val="00B52545"/>
    <w:rsid w:val="00B52554"/>
    <w:rsid w:val="00B52572"/>
    <w:rsid w:val="00B525A3"/>
    <w:rsid w:val="00B525B5"/>
    <w:rsid w:val="00B525BE"/>
    <w:rsid w:val="00B52603"/>
    <w:rsid w:val="00B5260A"/>
    <w:rsid w:val="00B5261E"/>
    <w:rsid w:val="00B52667"/>
    <w:rsid w:val="00B5269E"/>
    <w:rsid w:val="00B526B7"/>
    <w:rsid w:val="00B52733"/>
    <w:rsid w:val="00B52759"/>
    <w:rsid w:val="00B52764"/>
    <w:rsid w:val="00B52779"/>
    <w:rsid w:val="00B527F4"/>
    <w:rsid w:val="00B52806"/>
    <w:rsid w:val="00B52826"/>
    <w:rsid w:val="00B52847"/>
    <w:rsid w:val="00B52854"/>
    <w:rsid w:val="00B528B5"/>
    <w:rsid w:val="00B528FA"/>
    <w:rsid w:val="00B52950"/>
    <w:rsid w:val="00B52952"/>
    <w:rsid w:val="00B52953"/>
    <w:rsid w:val="00B52987"/>
    <w:rsid w:val="00B52995"/>
    <w:rsid w:val="00B529A0"/>
    <w:rsid w:val="00B529EF"/>
    <w:rsid w:val="00B52A03"/>
    <w:rsid w:val="00B52A33"/>
    <w:rsid w:val="00B52A57"/>
    <w:rsid w:val="00B52A70"/>
    <w:rsid w:val="00B52A9C"/>
    <w:rsid w:val="00B52AA1"/>
    <w:rsid w:val="00B52AB6"/>
    <w:rsid w:val="00B52AEB"/>
    <w:rsid w:val="00B52BE2"/>
    <w:rsid w:val="00B52C43"/>
    <w:rsid w:val="00B52C51"/>
    <w:rsid w:val="00B52C7A"/>
    <w:rsid w:val="00B52CA8"/>
    <w:rsid w:val="00B52D11"/>
    <w:rsid w:val="00B52D4E"/>
    <w:rsid w:val="00B52D67"/>
    <w:rsid w:val="00B52DE3"/>
    <w:rsid w:val="00B52E1D"/>
    <w:rsid w:val="00B52E21"/>
    <w:rsid w:val="00B52E37"/>
    <w:rsid w:val="00B52E56"/>
    <w:rsid w:val="00B52E57"/>
    <w:rsid w:val="00B52E68"/>
    <w:rsid w:val="00B52E6E"/>
    <w:rsid w:val="00B52EB5"/>
    <w:rsid w:val="00B52EC4"/>
    <w:rsid w:val="00B52F01"/>
    <w:rsid w:val="00B52F2B"/>
    <w:rsid w:val="00B52F64"/>
    <w:rsid w:val="00B52F7C"/>
    <w:rsid w:val="00B52FA9"/>
    <w:rsid w:val="00B52FAF"/>
    <w:rsid w:val="00B52FC9"/>
    <w:rsid w:val="00B52FF5"/>
    <w:rsid w:val="00B52FF9"/>
    <w:rsid w:val="00B5302E"/>
    <w:rsid w:val="00B5303C"/>
    <w:rsid w:val="00B53084"/>
    <w:rsid w:val="00B530B0"/>
    <w:rsid w:val="00B530EA"/>
    <w:rsid w:val="00B530FA"/>
    <w:rsid w:val="00B53176"/>
    <w:rsid w:val="00B53181"/>
    <w:rsid w:val="00B53268"/>
    <w:rsid w:val="00B53286"/>
    <w:rsid w:val="00B532B5"/>
    <w:rsid w:val="00B5330F"/>
    <w:rsid w:val="00B533C9"/>
    <w:rsid w:val="00B533D1"/>
    <w:rsid w:val="00B53417"/>
    <w:rsid w:val="00B5341C"/>
    <w:rsid w:val="00B5341F"/>
    <w:rsid w:val="00B53422"/>
    <w:rsid w:val="00B53429"/>
    <w:rsid w:val="00B5343E"/>
    <w:rsid w:val="00B53471"/>
    <w:rsid w:val="00B5349C"/>
    <w:rsid w:val="00B5357B"/>
    <w:rsid w:val="00B53595"/>
    <w:rsid w:val="00B5359A"/>
    <w:rsid w:val="00B535AB"/>
    <w:rsid w:val="00B535C9"/>
    <w:rsid w:val="00B535D3"/>
    <w:rsid w:val="00B53639"/>
    <w:rsid w:val="00B53641"/>
    <w:rsid w:val="00B536A5"/>
    <w:rsid w:val="00B536C7"/>
    <w:rsid w:val="00B536E4"/>
    <w:rsid w:val="00B536F7"/>
    <w:rsid w:val="00B53719"/>
    <w:rsid w:val="00B5376B"/>
    <w:rsid w:val="00B537A4"/>
    <w:rsid w:val="00B537AC"/>
    <w:rsid w:val="00B537E1"/>
    <w:rsid w:val="00B53825"/>
    <w:rsid w:val="00B53833"/>
    <w:rsid w:val="00B53867"/>
    <w:rsid w:val="00B538A1"/>
    <w:rsid w:val="00B538A2"/>
    <w:rsid w:val="00B538AD"/>
    <w:rsid w:val="00B53949"/>
    <w:rsid w:val="00B53955"/>
    <w:rsid w:val="00B539A5"/>
    <w:rsid w:val="00B539D1"/>
    <w:rsid w:val="00B539F2"/>
    <w:rsid w:val="00B53A29"/>
    <w:rsid w:val="00B53A4E"/>
    <w:rsid w:val="00B53A61"/>
    <w:rsid w:val="00B53A75"/>
    <w:rsid w:val="00B53A7E"/>
    <w:rsid w:val="00B53AD9"/>
    <w:rsid w:val="00B53AE9"/>
    <w:rsid w:val="00B53B4C"/>
    <w:rsid w:val="00B53B6A"/>
    <w:rsid w:val="00B53BB4"/>
    <w:rsid w:val="00B53BB5"/>
    <w:rsid w:val="00B53C43"/>
    <w:rsid w:val="00B53CBF"/>
    <w:rsid w:val="00B53CE3"/>
    <w:rsid w:val="00B53CFB"/>
    <w:rsid w:val="00B53D24"/>
    <w:rsid w:val="00B53D4A"/>
    <w:rsid w:val="00B53D73"/>
    <w:rsid w:val="00B53D85"/>
    <w:rsid w:val="00B53DBD"/>
    <w:rsid w:val="00B53E2F"/>
    <w:rsid w:val="00B53E53"/>
    <w:rsid w:val="00B53E59"/>
    <w:rsid w:val="00B53E5B"/>
    <w:rsid w:val="00B53E72"/>
    <w:rsid w:val="00B53EAC"/>
    <w:rsid w:val="00B53EE6"/>
    <w:rsid w:val="00B53F1D"/>
    <w:rsid w:val="00B53F40"/>
    <w:rsid w:val="00B53F74"/>
    <w:rsid w:val="00B53FC5"/>
    <w:rsid w:val="00B53FEC"/>
    <w:rsid w:val="00B54000"/>
    <w:rsid w:val="00B54038"/>
    <w:rsid w:val="00B54042"/>
    <w:rsid w:val="00B54073"/>
    <w:rsid w:val="00B54082"/>
    <w:rsid w:val="00B540D1"/>
    <w:rsid w:val="00B540D5"/>
    <w:rsid w:val="00B540D6"/>
    <w:rsid w:val="00B54186"/>
    <w:rsid w:val="00B541BC"/>
    <w:rsid w:val="00B541ED"/>
    <w:rsid w:val="00B54208"/>
    <w:rsid w:val="00B5422B"/>
    <w:rsid w:val="00B5424B"/>
    <w:rsid w:val="00B54269"/>
    <w:rsid w:val="00B54271"/>
    <w:rsid w:val="00B54291"/>
    <w:rsid w:val="00B542CA"/>
    <w:rsid w:val="00B542E8"/>
    <w:rsid w:val="00B542FF"/>
    <w:rsid w:val="00B54332"/>
    <w:rsid w:val="00B54333"/>
    <w:rsid w:val="00B54398"/>
    <w:rsid w:val="00B543EF"/>
    <w:rsid w:val="00B54442"/>
    <w:rsid w:val="00B54445"/>
    <w:rsid w:val="00B54448"/>
    <w:rsid w:val="00B54457"/>
    <w:rsid w:val="00B5449B"/>
    <w:rsid w:val="00B544B3"/>
    <w:rsid w:val="00B544C1"/>
    <w:rsid w:val="00B544C6"/>
    <w:rsid w:val="00B5459C"/>
    <w:rsid w:val="00B545B4"/>
    <w:rsid w:val="00B545F1"/>
    <w:rsid w:val="00B5461C"/>
    <w:rsid w:val="00B546D8"/>
    <w:rsid w:val="00B54723"/>
    <w:rsid w:val="00B54748"/>
    <w:rsid w:val="00B547D5"/>
    <w:rsid w:val="00B54821"/>
    <w:rsid w:val="00B5485D"/>
    <w:rsid w:val="00B548AA"/>
    <w:rsid w:val="00B548BC"/>
    <w:rsid w:val="00B5490F"/>
    <w:rsid w:val="00B54944"/>
    <w:rsid w:val="00B54988"/>
    <w:rsid w:val="00B54992"/>
    <w:rsid w:val="00B549B3"/>
    <w:rsid w:val="00B549D4"/>
    <w:rsid w:val="00B549D7"/>
    <w:rsid w:val="00B54A13"/>
    <w:rsid w:val="00B54A15"/>
    <w:rsid w:val="00B54A1F"/>
    <w:rsid w:val="00B54A6B"/>
    <w:rsid w:val="00B54A6F"/>
    <w:rsid w:val="00B54AE5"/>
    <w:rsid w:val="00B54AEE"/>
    <w:rsid w:val="00B54B0E"/>
    <w:rsid w:val="00B54B44"/>
    <w:rsid w:val="00B54B45"/>
    <w:rsid w:val="00B54B63"/>
    <w:rsid w:val="00B54B80"/>
    <w:rsid w:val="00B54B99"/>
    <w:rsid w:val="00B54BE3"/>
    <w:rsid w:val="00B54BE4"/>
    <w:rsid w:val="00B54C35"/>
    <w:rsid w:val="00B54C73"/>
    <w:rsid w:val="00B54C90"/>
    <w:rsid w:val="00B54CE7"/>
    <w:rsid w:val="00B54CEC"/>
    <w:rsid w:val="00B54D05"/>
    <w:rsid w:val="00B54D6A"/>
    <w:rsid w:val="00B54E70"/>
    <w:rsid w:val="00B54EBF"/>
    <w:rsid w:val="00B54ED6"/>
    <w:rsid w:val="00B54EEA"/>
    <w:rsid w:val="00B54F29"/>
    <w:rsid w:val="00B54F44"/>
    <w:rsid w:val="00B54F71"/>
    <w:rsid w:val="00B54F87"/>
    <w:rsid w:val="00B54F96"/>
    <w:rsid w:val="00B54F9B"/>
    <w:rsid w:val="00B54FBF"/>
    <w:rsid w:val="00B54FCD"/>
    <w:rsid w:val="00B5500B"/>
    <w:rsid w:val="00B5502D"/>
    <w:rsid w:val="00B55067"/>
    <w:rsid w:val="00B550DD"/>
    <w:rsid w:val="00B550E3"/>
    <w:rsid w:val="00B55146"/>
    <w:rsid w:val="00B55179"/>
    <w:rsid w:val="00B5517C"/>
    <w:rsid w:val="00B5519B"/>
    <w:rsid w:val="00B551C7"/>
    <w:rsid w:val="00B551DD"/>
    <w:rsid w:val="00B551E4"/>
    <w:rsid w:val="00B5523D"/>
    <w:rsid w:val="00B5530C"/>
    <w:rsid w:val="00B55322"/>
    <w:rsid w:val="00B5533C"/>
    <w:rsid w:val="00B55364"/>
    <w:rsid w:val="00B55386"/>
    <w:rsid w:val="00B55390"/>
    <w:rsid w:val="00B5539E"/>
    <w:rsid w:val="00B553AC"/>
    <w:rsid w:val="00B553AF"/>
    <w:rsid w:val="00B553D3"/>
    <w:rsid w:val="00B55404"/>
    <w:rsid w:val="00B55427"/>
    <w:rsid w:val="00B55479"/>
    <w:rsid w:val="00B5549C"/>
    <w:rsid w:val="00B554A3"/>
    <w:rsid w:val="00B554B2"/>
    <w:rsid w:val="00B554C3"/>
    <w:rsid w:val="00B554CA"/>
    <w:rsid w:val="00B554E4"/>
    <w:rsid w:val="00B554E7"/>
    <w:rsid w:val="00B554ED"/>
    <w:rsid w:val="00B554FA"/>
    <w:rsid w:val="00B55511"/>
    <w:rsid w:val="00B5552A"/>
    <w:rsid w:val="00B55550"/>
    <w:rsid w:val="00B5555B"/>
    <w:rsid w:val="00B5557E"/>
    <w:rsid w:val="00B55603"/>
    <w:rsid w:val="00B55653"/>
    <w:rsid w:val="00B556A1"/>
    <w:rsid w:val="00B55744"/>
    <w:rsid w:val="00B55745"/>
    <w:rsid w:val="00B55766"/>
    <w:rsid w:val="00B557B1"/>
    <w:rsid w:val="00B557E7"/>
    <w:rsid w:val="00B55854"/>
    <w:rsid w:val="00B558A5"/>
    <w:rsid w:val="00B55937"/>
    <w:rsid w:val="00B55997"/>
    <w:rsid w:val="00B5599F"/>
    <w:rsid w:val="00B559A4"/>
    <w:rsid w:val="00B559D0"/>
    <w:rsid w:val="00B559D7"/>
    <w:rsid w:val="00B559E0"/>
    <w:rsid w:val="00B55A09"/>
    <w:rsid w:val="00B55A32"/>
    <w:rsid w:val="00B55A45"/>
    <w:rsid w:val="00B55A80"/>
    <w:rsid w:val="00B55A91"/>
    <w:rsid w:val="00B55A97"/>
    <w:rsid w:val="00B55AAF"/>
    <w:rsid w:val="00B55ADE"/>
    <w:rsid w:val="00B55B83"/>
    <w:rsid w:val="00B55BDE"/>
    <w:rsid w:val="00B55C80"/>
    <w:rsid w:val="00B55C8B"/>
    <w:rsid w:val="00B55CA0"/>
    <w:rsid w:val="00B55CBD"/>
    <w:rsid w:val="00B55CC3"/>
    <w:rsid w:val="00B55D19"/>
    <w:rsid w:val="00B55D1F"/>
    <w:rsid w:val="00B55DA6"/>
    <w:rsid w:val="00B55DC3"/>
    <w:rsid w:val="00B55DD5"/>
    <w:rsid w:val="00B55DD6"/>
    <w:rsid w:val="00B55E25"/>
    <w:rsid w:val="00B55E39"/>
    <w:rsid w:val="00B55E3C"/>
    <w:rsid w:val="00B55E7B"/>
    <w:rsid w:val="00B55E9D"/>
    <w:rsid w:val="00B55EAE"/>
    <w:rsid w:val="00B55F4E"/>
    <w:rsid w:val="00B55F53"/>
    <w:rsid w:val="00B55F89"/>
    <w:rsid w:val="00B55FC3"/>
    <w:rsid w:val="00B55FE4"/>
    <w:rsid w:val="00B55FEF"/>
    <w:rsid w:val="00B560A9"/>
    <w:rsid w:val="00B560C3"/>
    <w:rsid w:val="00B5612A"/>
    <w:rsid w:val="00B56183"/>
    <w:rsid w:val="00B5619A"/>
    <w:rsid w:val="00B561A5"/>
    <w:rsid w:val="00B561B0"/>
    <w:rsid w:val="00B56223"/>
    <w:rsid w:val="00B5624B"/>
    <w:rsid w:val="00B5624D"/>
    <w:rsid w:val="00B56276"/>
    <w:rsid w:val="00B5628A"/>
    <w:rsid w:val="00B562A7"/>
    <w:rsid w:val="00B562CC"/>
    <w:rsid w:val="00B5634B"/>
    <w:rsid w:val="00B5634C"/>
    <w:rsid w:val="00B56370"/>
    <w:rsid w:val="00B563FB"/>
    <w:rsid w:val="00B5641D"/>
    <w:rsid w:val="00B56420"/>
    <w:rsid w:val="00B5645E"/>
    <w:rsid w:val="00B564B6"/>
    <w:rsid w:val="00B564CF"/>
    <w:rsid w:val="00B56529"/>
    <w:rsid w:val="00B5652E"/>
    <w:rsid w:val="00B565DA"/>
    <w:rsid w:val="00B565EA"/>
    <w:rsid w:val="00B56668"/>
    <w:rsid w:val="00B5669A"/>
    <w:rsid w:val="00B566BE"/>
    <w:rsid w:val="00B56705"/>
    <w:rsid w:val="00B56708"/>
    <w:rsid w:val="00B56739"/>
    <w:rsid w:val="00B56772"/>
    <w:rsid w:val="00B5677F"/>
    <w:rsid w:val="00B5679A"/>
    <w:rsid w:val="00B5679E"/>
    <w:rsid w:val="00B5683A"/>
    <w:rsid w:val="00B5686B"/>
    <w:rsid w:val="00B5689A"/>
    <w:rsid w:val="00B568D3"/>
    <w:rsid w:val="00B56947"/>
    <w:rsid w:val="00B569C8"/>
    <w:rsid w:val="00B569E9"/>
    <w:rsid w:val="00B569FE"/>
    <w:rsid w:val="00B56A2A"/>
    <w:rsid w:val="00B56A37"/>
    <w:rsid w:val="00B56A91"/>
    <w:rsid w:val="00B56A9F"/>
    <w:rsid w:val="00B56B31"/>
    <w:rsid w:val="00B56B38"/>
    <w:rsid w:val="00B56B40"/>
    <w:rsid w:val="00B56B79"/>
    <w:rsid w:val="00B56C05"/>
    <w:rsid w:val="00B56C76"/>
    <w:rsid w:val="00B56C7A"/>
    <w:rsid w:val="00B56D07"/>
    <w:rsid w:val="00B56D94"/>
    <w:rsid w:val="00B56E2D"/>
    <w:rsid w:val="00B56E3E"/>
    <w:rsid w:val="00B56E59"/>
    <w:rsid w:val="00B56E75"/>
    <w:rsid w:val="00B56E8C"/>
    <w:rsid w:val="00B56EBC"/>
    <w:rsid w:val="00B56EE9"/>
    <w:rsid w:val="00B56F37"/>
    <w:rsid w:val="00B56F67"/>
    <w:rsid w:val="00B56F74"/>
    <w:rsid w:val="00B56F79"/>
    <w:rsid w:val="00B56FA1"/>
    <w:rsid w:val="00B56FD8"/>
    <w:rsid w:val="00B56FED"/>
    <w:rsid w:val="00B57004"/>
    <w:rsid w:val="00B5700A"/>
    <w:rsid w:val="00B57028"/>
    <w:rsid w:val="00B5702C"/>
    <w:rsid w:val="00B57033"/>
    <w:rsid w:val="00B57040"/>
    <w:rsid w:val="00B57046"/>
    <w:rsid w:val="00B57072"/>
    <w:rsid w:val="00B5709B"/>
    <w:rsid w:val="00B570A1"/>
    <w:rsid w:val="00B570AA"/>
    <w:rsid w:val="00B570B3"/>
    <w:rsid w:val="00B570CD"/>
    <w:rsid w:val="00B57142"/>
    <w:rsid w:val="00B5722B"/>
    <w:rsid w:val="00B5723A"/>
    <w:rsid w:val="00B5726D"/>
    <w:rsid w:val="00B5727B"/>
    <w:rsid w:val="00B572AB"/>
    <w:rsid w:val="00B572B9"/>
    <w:rsid w:val="00B57301"/>
    <w:rsid w:val="00B57323"/>
    <w:rsid w:val="00B57325"/>
    <w:rsid w:val="00B57328"/>
    <w:rsid w:val="00B57329"/>
    <w:rsid w:val="00B573BD"/>
    <w:rsid w:val="00B573BE"/>
    <w:rsid w:val="00B573CF"/>
    <w:rsid w:val="00B57403"/>
    <w:rsid w:val="00B57468"/>
    <w:rsid w:val="00B574BF"/>
    <w:rsid w:val="00B574C7"/>
    <w:rsid w:val="00B574FD"/>
    <w:rsid w:val="00B5754E"/>
    <w:rsid w:val="00B575FF"/>
    <w:rsid w:val="00B57614"/>
    <w:rsid w:val="00B57637"/>
    <w:rsid w:val="00B57643"/>
    <w:rsid w:val="00B5764F"/>
    <w:rsid w:val="00B57671"/>
    <w:rsid w:val="00B576E9"/>
    <w:rsid w:val="00B576FB"/>
    <w:rsid w:val="00B5774D"/>
    <w:rsid w:val="00B57756"/>
    <w:rsid w:val="00B5779F"/>
    <w:rsid w:val="00B577DB"/>
    <w:rsid w:val="00B5785C"/>
    <w:rsid w:val="00B57885"/>
    <w:rsid w:val="00B578A6"/>
    <w:rsid w:val="00B578C2"/>
    <w:rsid w:val="00B578CC"/>
    <w:rsid w:val="00B578FB"/>
    <w:rsid w:val="00B5793A"/>
    <w:rsid w:val="00B57973"/>
    <w:rsid w:val="00B57976"/>
    <w:rsid w:val="00B5798A"/>
    <w:rsid w:val="00B5799D"/>
    <w:rsid w:val="00B579C8"/>
    <w:rsid w:val="00B579D9"/>
    <w:rsid w:val="00B57AA7"/>
    <w:rsid w:val="00B57AA9"/>
    <w:rsid w:val="00B57ACE"/>
    <w:rsid w:val="00B57B1F"/>
    <w:rsid w:val="00B57B33"/>
    <w:rsid w:val="00B57B3A"/>
    <w:rsid w:val="00B57B55"/>
    <w:rsid w:val="00B57B5D"/>
    <w:rsid w:val="00B57C0D"/>
    <w:rsid w:val="00B57C63"/>
    <w:rsid w:val="00B57C6A"/>
    <w:rsid w:val="00B57C71"/>
    <w:rsid w:val="00B57C74"/>
    <w:rsid w:val="00B57C76"/>
    <w:rsid w:val="00B57CA3"/>
    <w:rsid w:val="00B57CA4"/>
    <w:rsid w:val="00B57CEF"/>
    <w:rsid w:val="00B57CF4"/>
    <w:rsid w:val="00B57CF9"/>
    <w:rsid w:val="00B57D21"/>
    <w:rsid w:val="00B57D67"/>
    <w:rsid w:val="00B57E5F"/>
    <w:rsid w:val="00B57E98"/>
    <w:rsid w:val="00B57EB3"/>
    <w:rsid w:val="00B57EBA"/>
    <w:rsid w:val="00B57F7D"/>
    <w:rsid w:val="00B60017"/>
    <w:rsid w:val="00B60023"/>
    <w:rsid w:val="00B60043"/>
    <w:rsid w:val="00B60119"/>
    <w:rsid w:val="00B60162"/>
    <w:rsid w:val="00B6017D"/>
    <w:rsid w:val="00B60185"/>
    <w:rsid w:val="00B601AC"/>
    <w:rsid w:val="00B601B4"/>
    <w:rsid w:val="00B601CD"/>
    <w:rsid w:val="00B601F9"/>
    <w:rsid w:val="00B6023C"/>
    <w:rsid w:val="00B6028D"/>
    <w:rsid w:val="00B602AB"/>
    <w:rsid w:val="00B602E7"/>
    <w:rsid w:val="00B60344"/>
    <w:rsid w:val="00B60349"/>
    <w:rsid w:val="00B603A3"/>
    <w:rsid w:val="00B603C7"/>
    <w:rsid w:val="00B603CF"/>
    <w:rsid w:val="00B603E7"/>
    <w:rsid w:val="00B603F6"/>
    <w:rsid w:val="00B60419"/>
    <w:rsid w:val="00B6041C"/>
    <w:rsid w:val="00B60464"/>
    <w:rsid w:val="00B6047A"/>
    <w:rsid w:val="00B60487"/>
    <w:rsid w:val="00B604BE"/>
    <w:rsid w:val="00B6051C"/>
    <w:rsid w:val="00B60522"/>
    <w:rsid w:val="00B60544"/>
    <w:rsid w:val="00B605AD"/>
    <w:rsid w:val="00B605C4"/>
    <w:rsid w:val="00B60603"/>
    <w:rsid w:val="00B6061B"/>
    <w:rsid w:val="00B60623"/>
    <w:rsid w:val="00B60630"/>
    <w:rsid w:val="00B60658"/>
    <w:rsid w:val="00B6065B"/>
    <w:rsid w:val="00B606B1"/>
    <w:rsid w:val="00B606F7"/>
    <w:rsid w:val="00B60761"/>
    <w:rsid w:val="00B60765"/>
    <w:rsid w:val="00B60778"/>
    <w:rsid w:val="00B60799"/>
    <w:rsid w:val="00B6079E"/>
    <w:rsid w:val="00B607BC"/>
    <w:rsid w:val="00B607C2"/>
    <w:rsid w:val="00B607E6"/>
    <w:rsid w:val="00B60832"/>
    <w:rsid w:val="00B60858"/>
    <w:rsid w:val="00B60868"/>
    <w:rsid w:val="00B60899"/>
    <w:rsid w:val="00B608A9"/>
    <w:rsid w:val="00B608B8"/>
    <w:rsid w:val="00B608C8"/>
    <w:rsid w:val="00B60958"/>
    <w:rsid w:val="00B609A9"/>
    <w:rsid w:val="00B609E1"/>
    <w:rsid w:val="00B609EF"/>
    <w:rsid w:val="00B609F7"/>
    <w:rsid w:val="00B60A53"/>
    <w:rsid w:val="00B60AAC"/>
    <w:rsid w:val="00B60AD7"/>
    <w:rsid w:val="00B60ADB"/>
    <w:rsid w:val="00B60AEA"/>
    <w:rsid w:val="00B60B01"/>
    <w:rsid w:val="00B60B7E"/>
    <w:rsid w:val="00B60BCD"/>
    <w:rsid w:val="00B60BD5"/>
    <w:rsid w:val="00B60C23"/>
    <w:rsid w:val="00B60C27"/>
    <w:rsid w:val="00B60C46"/>
    <w:rsid w:val="00B60C6F"/>
    <w:rsid w:val="00B60CB1"/>
    <w:rsid w:val="00B60D0A"/>
    <w:rsid w:val="00B60D55"/>
    <w:rsid w:val="00B60D63"/>
    <w:rsid w:val="00B60D71"/>
    <w:rsid w:val="00B60D93"/>
    <w:rsid w:val="00B60D9B"/>
    <w:rsid w:val="00B60DB2"/>
    <w:rsid w:val="00B60DC5"/>
    <w:rsid w:val="00B60DCE"/>
    <w:rsid w:val="00B60DEC"/>
    <w:rsid w:val="00B60E20"/>
    <w:rsid w:val="00B60E4D"/>
    <w:rsid w:val="00B60E51"/>
    <w:rsid w:val="00B60E70"/>
    <w:rsid w:val="00B60E99"/>
    <w:rsid w:val="00B60EA6"/>
    <w:rsid w:val="00B60EC6"/>
    <w:rsid w:val="00B60F1A"/>
    <w:rsid w:val="00B60F31"/>
    <w:rsid w:val="00B60F6A"/>
    <w:rsid w:val="00B60F95"/>
    <w:rsid w:val="00B60FE9"/>
    <w:rsid w:val="00B61036"/>
    <w:rsid w:val="00B61057"/>
    <w:rsid w:val="00B6109B"/>
    <w:rsid w:val="00B610AB"/>
    <w:rsid w:val="00B610AC"/>
    <w:rsid w:val="00B610F3"/>
    <w:rsid w:val="00B61171"/>
    <w:rsid w:val="00B61175"/>
    <w:rsid w:val="00B61179"/>
    <w:rsid w:val="00B61186"/>
    <w:rsid w:val="00B611B7"/>
    <w:rsid w:val="00B611B9"/>
    <w:rsid w:val="00B611F4"/>
    <w:rsid w:val="00B61245"/>
    <w:rsid w:val="00B6125F"/>
    <w:rsid w:val="00B61264"/>
    <w:rsid w:val="00B61270"/>
    <w:rsid w:val="00B612AC"/>
    <w:rsid w:val="00B61337"/>
    <w:rsid w:val="00B613E4"/>
    <w:rsid w:val="00B613E6"/>
    <w:rsid w:val="00B613EE"/>
    <w:rsid w:val="00B61411"/>
    <w:rsid w:val="00B6143E"/>
    <w:rsid w:val="00B61483"/>
    <w:rsid w:val="00B614BF"/>
    <w:rsid w:val="00B614C5"/>
    <w:rsid w:val="00B61518"/>
    <w:rsid w:val="00B6152F"/>
    <w:rsid w:val="00B6157A"/>
    <w:rsid w:val="00B6159A"/>
    <w:rsid w:val="00B615A3"/>
    <w:rsid w:val="00B615B0"/>
    <w:rsid w:val="00B615EF"/>
    <w:rsid w:val="00B615FD"/>
    <w:rsid w:val="00B61624"/>
    <w:rsid w:val="00B6165F"/>
    <w:rsid w:val="00B61666"/>
    <w:rsid w:val="00B6168A"/>
    <w:rsid w:val="00B616D0"/>
    <w:rsid w:val="00B61733"/>
    <w:rsid w:val="00B61739"/>
    <w:rsid w:val="00B6174E"/>
    <w:rsid w:val="00B6175B"/>
    <w:rsid w:val="00B61812"/>
    <w:rsid w:val="00B61816"/>
    <w:rsid w:val="00B61830"/>
    <w:rsid w:val="00B6183D"/>
    <w:rsid w:val="00B61898"/>
    <w:rsid w:val="00B618C3"/>
    <w:rsid w:val="00B618FD"/>
    <w:rsid w:val="00B61949"/>
    <w:rsid w:val="00B6197F"/>
    <w:rsid w:val="00B61987"/>
    <w:rsid w:val="00B619F9"/>
    <w:rsid w:val="00B61A09"/>
    <w:rsid w:val="00B61A34"/>
    <w:rsid w:val="00B61A36"/>
    <w:rsid w:val="00B61A8F"/>
    <w:rsid w:val="00B61AD1"/>
    <w:rsid w:val="00B61B05"/>
    <w:rsid w:val="00B61B34"/>
    <w:rsid w:val="00B61B94"/>
    <w:rsid w:val="00B61BAE"/>
    <w:rsid w:val="00B61BD5"/>
    <w:rsid w:val="00B61BE5"/>
    <w:rsid w:val="00B61C14"/>
    <w:rsid w:val="00B61C79"/>
    <w:rsid w:val="00B61C94"/>
    <w:rsid w:val="00B61CE7"/>
    <w:rsid w:val="00B61D1E"/>
    <w:rsid w:val="00B61D42"/>
    <w:rsid w:val="00B61D51"/>
    <w:rsid w:val="00B61DC0"/>
    <w:rsid w:val="00B61E41"/>
    <w:rsid w:val="00B61E44"/>
    <w:rsid w:val="00B61E47"/>
    <w:rsid w:val="00B61E8B"/>
    <w:rsid w:val="00B61F22"/>
    <w:rsid w:val="00B61F2C"/>
    <w:rsid w:val="00B61F46"/>
    <w:rsid w:val="00B61F76"/>
    <w:rsid w:val="00B61F8E"/>
    <w:rsid w:val="00B61FB6"/>
    <w:rsid w:val="00B6201B"/>
    <w:rsid w:val="00B62064"/>
    <w:rsid w:val="00B62073"/>
    <w:rsid w:val="00B62081"/>
    <w:rsid w:val="00B6208B"/>
    <w:rsid w:val="00B620A6"/>
    <w:rsid w:val="00B620DA"/>
    <w:rsid w:val="00B620F7"/>
    <w:rsid w:val="00B62105"/>
    <w:rsid w:val="00B6216F"/>
    <w:rsid w:val="00B62187"/>
    <w:rsid w:val="00B6218F"/>
    <w:rsid w:val="00B621E3"/>
    <w:rsid w:val="00B62206"/>
    <w:rsid w:val="00B6222F"/>
    <w:rsid w:val="00B62257"/>
    <w:rsid w:val="00B6229D"/>
    <w:rsid w:val="00B622A9"/>
    <w:rsid w:val="00B622FC"/>
    <w:rsid w:val="00B62385"/>
    <w:rsid w:val="00B62393"/>
    <w:rsid w:val="00B62398"/>
    <w:rsid w:val="00B623F5"/>
    <w:rsid w:val="00B6240A"/>
    <w:rsid w:val="00B62475"/>
    <w:rsid w:val="00B6247B"/>
    <w:rsid w:val="00B624A2"/>
    <w:rsid w:val="00B624B7"/>
    <w:rsid w:val="00B6254A"/>
    <w:rsid w:val="00B62560"/>
    <w:rsid w:val="00B6256A"/>
    <w:rsid w:val="00B62610"/>
    <w:rsid w:val="00B6262F"/>
    <w:rsid w:val="00B62694"/>
    <w:rsid w:val="00B62778"/>
    <w:rsid w:val="00B6278F"/>
    <w:rsid w:val="00B627CA"/>
    <w:rsid w:val="00B627E8"/>
    <w:rsid w:val="00B6284E"/>
    <w:rsid w:val="00B6285B"/>
    <w:rsid w:val="00B62869"/>
    <w:rsid w:val="00B62890"/>
    <w:rsid w:val="00B628DC"/>
    <w:rsid w:val="00B62951"/>
    <w:rsid w:val="00B62994"/>
    <w:rsid w:val="00B629D4"/>
    <w:rsid w:val="00B629D5"/>
    <w:rsid w:val="00B629F1"/>
    <w:rsid w:val="00B62A1E"/>
    <w:rsid w:val="00B62ABF"/>
    <w:rsid w:val="00B62AD6"/>
    <w:rsid w:val="00B62AF3"/>
    <w:rsid w:val="00B62B1E"/>
    <w:rsid w:val="00B62BF2"/>
    <w:rsid w:val="00B62C13"/>
    <w:rsid w:val="00B62C46"/>
    <w:rsid w:val="00B62C5E"/>
    <w:rsid w:val="00B62C5F"/>
    <w:rsid w:val="00B62C61"/>
    <w:rsid w:val="00B62C74"/>
    <w:rsid w:val="00B62C9A"/>
    <w:rsid w:val="00B62D87"/>
    <w:rsid w:val="00B62DDD"/>
    <w:rsid w:val="00B62E2A"/>
    <w:rsid w:val="00B62E60"/>
    <w:rsid w:val="00B62EA2"/>
    <w:rsid w:val="00B62EDB"/>
    <w:rsid w:val="00B62F13"/>
    <w:rsid w:val="00B62F2F"/>
    <w:rsid w:val="00B62F5A"/>
    <w:rsid w:val="00B62FAE"/>
    <w:rsid w:val="00B62FF8"/>
    <w:rsid w:val="00B63012"/>
    <w:rsid w:val="00B63030"/>
    <w:rsid w:val="00B63053"/>
    <w:rsid w:val="00B63063"/>
    <w:rsid w:val="00B63070"/>
    <w:rsid w:val="00B630C5"/>
    <w:rsid w:val="00B630CF"/>
    <w:rsid w:val="00B6310C"/>
    <w:rsid w:val="00B6312E"/>
    <w:rsid w:val="00B63133"/>
    <w:rsid w:val="00B63142"/>
    <w:rsid w:val="00B63147"/>
    <w:rsid w:val="00B6316B"/>
    <w:rsid w:val="00B63210"/>
    <w:rsid w:val="00B63285"/>
    <w:rsid w:val="00B63288"/>
    <w:rsid w:val="00B632A1"/>
    <w:rsid w:val="00B632B7"/>
    <w:rsid w:val="00B6334F"/>
    <w:rsid w:val="00B63372"/>
    <w:rsid w:val="00B63373"/>
    <w:rsid w:val="00B63374"/>
    <w:rsid w:val="00B63382"/>
    <w:rsid w:val="00B6338A"/>
    <w:rsid w:val="00B6338D"/>
    <w:rsid w:val="00B633A0"/>
    <w:rsid w:val="00B633A8"/>
    <w:rsid w:val="00B633E8"/>
    <w:rsid w:val="00B63434"/>
    <w:rsid w:val="00B63456"/>
    <w:rsid w:val="00B6348B"/>
    <w:rsid w:val="00B6348D"/>
    <w:rsid w:val="00B634D9"/>
    <w:rsid w:val="00B63501"/>
    <w:rsid w:val="00B6352C"/>
    <w:rsid w:val="00B63555"/>
    <w:rsid w:val="00B63582"/>
    <w:rsid w:val="00B63596"/>
    <w:rsid w:val="00B635B3"/>
    <w:rsid w:val="00B635D2"/>
    <w:rsid w:val="00B635D7"/>
    <w:rsid w:val="00B63634"/>
    <w:rsid w:val="00B6369A"/>
    <w:rsid w:val="00B636A1"/>
    <w:rsid w:val="00B636AF"/>
    <w:rsid w:val="00B636E9"/>
    <w:rsid w:val="00B636F3"/>
    <w:rsid w:val="00B63724"/>
    <w:rsid w:val="00B63727"/>
    <w:rsid w:val="00B63737"/>
    <w:rsid w:val="00B63745"/>
    <w:rsid w:val="00B6374B"/>
    <w:rsid w:val="00B63751"/>
    <w:rsid w:val="00B637CD"/>
    <w:rsid w:val="00B637D0"/>
    <w:rsid w:val="00B637E5"/>
    <w:rsid w:val="00B638BA"/>
    <w:rsid w:val="00B6390C"/>
    <w:rsid w:val="00B63944"/>
    <w:rsid w:val="00B6395D"/>
    <w:rsid w:val="00B63A1C"/>
    <w:rsid w:val="00B63A24"/>
    <w:rsid w:val="00B63A7E"/>
    <w:rsid w:val="00B63B3A"/>
    <w:rsid w:val="00B63B59"/>
    <w:rsid w:val="00B63B64"/>
    <w:rsid w:val="00B63BF9"/>
    <w:rsid w:val="00B63C27"/>
    <w:rsid w:val="00B63C60"/>
    <w:rsid w:val="00B63C7C"/>
    <w:rsid w:val="00B63CA2"/>
    <w:rsid w:val="00B63CAD"/>
    <w:rsid w:val="00B63CBC"/>
    <w:rsid w:val="00B63D12"/>
    <w:rsid w:val="00B63D45"/>
    <w:rsid w:val="00B63D86"/>
    <w:rsid w:val="00B63D9C"/>
    <w:rsid w:val="00B63DDC"/>
    <w:rsid w:val="00B63DE5"/>
    <w:rsid w:val="00B63E3B"/>
    <w:rsid w:val="00B63E5B"/>
    <w:rsid w:val="00B63E83"/>
    <w:rsid w:val="00B63EA7"/>
    <w:rsid w:val="00B63EB2"/>
    <w:rsid w:val="00B63EC2"/>
    <w:rsid w:val="00B63ED6"/>
    <w:rsid w:val="00B63F0D"/>
    <w:rsid w:val="00B63FCD"/>
    <w:rsid w:val="00B6401F"/>
    <w:rsid w:val="00B6402E"/>
    <w:rsid w:val="00B6406A"/>
    <w:rsid w:val="00B64070"/>
    <w:rsid w:val="00B6408D"/>
    <w:rsid w:val="00B6408E"/>
    <w:rsid w:val="00B640A0"/>
    <w:rsid w:val="00B640F2"/>
    <w:rsid w:val="00B6411E"/>
    <w:rsid w:val="00B64185"/>
    <w:rsid w:val="00B6418E"/>
    <w:rsid w:val="00B641C2"/>
    <w:rsid w:val="00B64205"/>
    <w:rsid w:val="00B6422D"/>
    <w:rsid w:val="00B6423D"/>
    <w:rsid w:val="00B6423E"/>
    <w:rsid w:val="00B6426B"/>
    <w:rsid w:val="00B64281"/>
    <w:rsid w:val="00B64299"/>
    <w:rsid w:val="00B642BD"/>
    <w:rsid w:val="00B64319"/>
    <w:rsid w:val="00B6431B"/>
    <w:rsid w:val="00B64379"/>
    <w:rsid w:val="00B643A8"/>
    <w:rsid w:val="00B6447C"/>
    <w:rsid w:val="00B644BA"/>
    <w:rsid w:val="00B644DD"/>
    <w:rsid w:val="00B644E2"/>
    <w:rsid w:val="00B6450F"/>
    <w:rsid w:val="00B6451A"/>
    <w:rsid w:val="00B64541"/>
    <w:rsid w:val="00B64556"/>
    <w:rsid w:val="00B64585"/>
    <w:rsid w:val="00B64599"/>
    <w:rsid w:val="00B64612"/>
    <w:rsid w:val="00B64627"/>
    <w:rsid w:val="00B64640"/>
    <w:rsid w:val="00B64664"/>
    <w:rsid w:val="00B64671"/>
    <w:rsid w:val="00B64698"/>
    <w:rsid w:val="00B646A8"/>
    <w:rsid w:val="00B646DC"/>
    <w:rsid w:val="00B646F7"/>
    <w:rsid w:val="00B646F9"/>
    <w:rsid w:val="00B6473B"/>
    <w:rsid w:val="00B64749"/>
    <w:rsid w:val="00B64757"/>
    <w:rsid w:val="00B6475E"/>
    <w:rsid w:val="00B64794"/>
    <w:rsid w:val="00B64811"/>
    <w:rsid w:val="00B6482F"/>
    <w:rsid w:val="00B6484C"/>
    <w:rsid w:val="00B6485B"/>
    <w:rsid w:val="00B64862"/>
    <w:rsid w:val="00B648DA"/>
    <w:rsid w:val="00B648E0"/>
    <w:rsid w:val="00B648FB"/>
    <w:rsid w:val="00B64952"/>
    <w:rsid w:val="00B64991"/>
    <w:rsid w:val="00B649A7"/>
    <w:rsid w:val="00B649DC"/>
    <w:rsid w:val="00B649E3"/>
    <w:rsid w:val="00B64A10"/>
    <w:rsid w:val="00B64A15"/>
    <w:rsid w:val="00B64A6C"/>
    <w:rsid w:val="00B64ADE"/>
    <w:rsid w:val="00B64B64"/>
    <w:rsid w:val="00B64B74"/>
    <w:rsid w:val="00B64B9A"/>
    <w:rsid w:val="00B64BA9"/>
    <w:rsid w:val="00B64BD6"/>
    <w:rsid w:val="00B64BFC"/>
    <w:rsid w:val="00B64C38"/>
    <w:rsid w:val="00B64C5A"/>
    <w:rsid w:val="00B64CE6"/>
    <w:rsid w:val="00B64D26"/>
    <w:rsid w:val="00B64D32"/>
    <w:rsid w:val="00B64D68"/>
    <w:rsid w:val="00B64D7F"/>
    <w:rsid w:val="00B64D86"/>
    <w:rsid w:val="00B64DB2"/>
    <w:rsid w:val="00B64DD8"/>
    <w:rsid w:val="00B64DDC"/>
    <w:rsid w:val="00B64DF9"/>
    <w:rsid w:val="00B64E30"/>
    <w:rsid w:val="00B64E34"/>
    <w:rsid w:val="00B64EE9"/>
    <w:rsid w:val="00B64F0A"/>
    <w:rsid w:val="00B64F42"/>
    <w:rsid w:val="00B64F4B"/>
    <w:rsid w:val="00B64FC1"/>
    <w:rsid w:val="00B64FD9"/>
    <w:rsid w:val="00B64FE5"/>
    <w:rsid w:val="00B6503F"/>
    <w:rsid w:val="00B65067"/>
    <w:rsid w:val="00B65074"/>
    <w:rsid w:val="00B6507F"/>
    <w:rsid w:val="00B650A0"/>
    <w:rsid w:val="00B650AA"/>
    <w:rsid w:val="00B650D4"/>
    <w:rsid w:val="00B650EA"/>
    <w:rsid w:val="00B65146"/>
    <w:rsid w:val="00B6516E"/>
    <w:rsid w:val="00B6527C"/>
    <w:rsid w:val="00B652DF"/>
    <w:rsid w:val="00B6531A"/>
    <w:rsid w:val="00B65329"/>
    <w:rsid w:val="00B65335"/>
    <w:rsid w:val="00B6536B"/>
    <w:rsid w:val="00B653A4"/>
    <w:rsid w:val="00B653C1"/>
    <w:rsid w:val="00B653C5"/>
    <w:rsid w:val="00B653D9"/>
    <w:rsid w:val="00B65403"/>
    <w:rsid w:val="00B65413"/>
    <w:rsid w:val="00B65426"/>
    <w:rsid w:val="00B6542E"/>
    <w:rsid w:val="00B6545E"/>
    <w:rsid w:val="00B65493"/>
    <w:rsid w:val="00B654BA"/>
    <w:rsid w:val="00B654DA"/>
    <w:rsid w:val="00B654EA"/>
    <w:rsid w:val="00B654FD"/>
    <w:rsid w:val="00B65522"/>
    <w:rsid w:val="00B65556"/>
    <w:rsid w:val="00B65559"/>
    <w:rsid w:val="00B6555A"/>
    <w:rsid w:val="00B65562"/>
    <w:rsid w:val="00B65579"/>
    <w:rsid w:val="00B655A2"/>
    <w:rsid w:val="00B655BC"/>
    <w:rsid w:val="00B655ED"/>
    <w:rsid w:val="00B655EE"/>
    <w:rsid w:val="00B655F1"/>
    <w:rsid w:val="00B655F9"/>
    <w:rsid w:val="00B65685"/>
    <w:rsid w:val="00B6569C"/>
    <w:rsid w:val="00B656A4"/>
    <w:rsid w:val="00B656A5"/>
    <w:rsid w:val="00B656A8"/>
    <w:rsid w:val="00B656C3"/>
    <w:rsid w:val="00B65705"/>
    <w:rsid w:val="00B65730"/>
    <w:rsid w:val="00B65736"/>
    <w:rsid w:val="00B65740"/>
    <w:rsid w:val="00B65767"/>
    <w:rsid w:val="00B6578E"/>
    <w:rsid w:val="00B657D1"/>
    <w:rsid w:val="00B657E0"/>
    <w:rsid w:val="00B657E8"/>
    <w:rsid w:val="00B6580F"/>
    <w:rsid w:val="00B65820"/>
    <w:rsid w:val="00B6582E"/>
    <w:rsid w:val="00B6584F"/>
    <w:rsid w:val="00B6586C"/>
    <w:rsid w:val="00B658AE"/>
    <w:rsid w:val="00B658F2"/>
    <w:rsid w:val="00B658FA"/>
    <w:rsid w:val="00B6592D"/>
    <w:rsid w:val="00B65934"/>
    <w:rsid w:val="00B65956"/>
    <w:rsid w:val="00B65958"/>
    <w:rsid w:val="00B65962"/>
    <w:rsid w:val="00B6598F"/>
    <w:rsid w:val="00B6599F"/>
    <w:rsid w:val="00B659B7"/>
    <w:rsid w:val="00B65A3F"/>
    <w:rsid w:val="00B65A83"/>
    <w:rsid w:val="00B65AAC"/>
    <w:rsid w:val="00B65ADA"/>
    <w:rsid w:val="00B65AF1"/>
    <w:rsid w:val="00B65B07"/>
    <w:rsid w:val="00B65B51"/>
    <w:rsid w:val="00B65B60"/>
    <w:rsid w:val="00B65B76"/>
    <w:rsid w:val="00B65B9D"/>
    <w:rsid w:val="00B65BA0"/>
    <w:rsid w:val="00B65BB2"/>
    <w:rsid w:val="00B65C19"/>
    <w:rsid w:val="00B65C2A"/>
    <w:rsid w:val="00B65C46"/>
    <w:rsid w:val="00B65C93"/>
    <w:rsid w:val="00B65CAC"/>
    <w:rsid w:val="00B65CAE"/>
    <w:rsid w:val="00B65CE5"/>
    <w:rsid w:val="00B65D44"/>
    <w:rsid w:val="00B65DB3"/>
    <w:rsid w:val="00B65DBA"/>
    <w:rsid w:val="00B65DE1"/>
    <w:rsid w:val="00B65E06"/>
    <w:rsid w:val="00B65E83"/>
    <w:rsid w:val="00B65E99"/>
    <w:rsid w:val="00B65EA3"/>
    <w:rsid w:val="00B65EA4"/>
    <w:rsid w:val="00B65ECC"/>
    <w:rsid w:val="00B65EE2"/>
    <w:rsid w:val="00B65F35"/>
    <w:rsid w:val="00B65FAE"/>
    <w:rsid w:val="00B65FEE"/>
    <w:rsid w:val="00B65FF9"/>
    <w:rsid w:val="00B66001"/>
    <w:rsid w:val="00B66006"/>
    <w:rsid w:val="00B6600E"/>
    <w:rsid w:val="00B6603B"/>
    <w:rsid w:val="00B6604F"/>
    <w:rsid w:val="00B660C5"/>
    <w:rsid w:val="00B660D3"/>
    <w:rsid w:val="00B660F2"/>
    <w:rsid w:val="00B66103"/>
    <w:rsid w:val="00B66119"/>
    <w:rsid w:val="00B66120"/>
    <w:rsid w:val="00B66140"/>
    <w:rsid w:val="00B6615B"/>
    <w:rsid w:val="00B66160"/>
    <w:rsid w:val="00B661A2"/>
    <w:rsid w:val="00B661A3"/>
    <w:rsid w:val="00B661EE"/>
    <w:rsid w:val="00B6622D"/>
    <w:rsid w:val="00B66278"/>
    <w:rsid w:val="00B662E2"/>
    <w:rsid w:val="00B6630C"/>
    <w:rsid w:val="00B66326"/>
    <w:rsid w:val="00B66351"/>
    <w:rsid w:val="00B66380"/>
    <w:rsid w:val="00B663BD"/>
    <w:rsid w:val="00B663CE"/>
    <w:rsid w:val="00B663E4"/>
    <w:rsid w:val="00B6641E"/>
    <w:rsid w:val="00B6644D"/>
    <w:rsid w:val="00B66469"/>
    <w:rsid w:val="00B66496"/>
    <w:rsid w:val="00B664F9"/>
    <w:rsid w:val="00B66512"/>
    <w:rsid w:val="00B6659F"/>
    <w:rsid w:val="00B665A1"/>
    <w:rsid w:val="00B665F9"/>
    <w:rsid w:val="00B6663F"/>
    <w:rsid w:val="00B666A6"/>
    <w:rsid w:val="00B666B6"/>
    <w:rsid w:val="00B66718"/>
    <w:rsid w:val="00B66735"/>
    <w:rsid w:val="00B6675C"/>
    <w:rsid w:val="00B66771"/>
    <w:rsid w:val="00B66774"/>
    <w:rsid w:val="00B667B3"/>
    <w:rsid w:val="00B66805"/>
    <w:rsid w:val="00B6684C"/>
    <w:rsid w:val="00B66855"/>
    <w:rsid w:val="00B668EA"/>
    <w:rsid w:val="00B6691C"/>
    <w:rsid w:val="00B6692C"/>
    <w:rsid w:val="00B66959"/>
    <w:rsid w:val="00B6695D"/>
    <w:rsid w:val="00B66964"/>
    <w:rsid w:val="00B66997"/>
    <w:rsid w:val="00B6699F"/>
    <w:rsid w:val="00B66A19"/>
    <w:rsid w:val="00B66A2C"/>
    <w:rsid w:val="00B66A3D"/>
    <w:rsid w:val="00B66A3E"/>
    <w:rsid w:val="00B66ADC"/>
    <w:rsid w:val="00B66B04"/>
    <w:rsid w:val="00B66B41"/>
    <w:rsid w:val="00B66B5F"/>
    <w:rsid w:val="00B66B92"/>
    <w:rsid w:val="00B66B99"/>
    <w:rsid w:val="00B66B9C"/>
    <w:rsid w:val="00B66C0B"/>
    <w:rsid w:val="00B66C24"/>
    <w:rsid w:val="00B66C3A"/>
    <w:rsid w:val="00B66C3D"/>
    <w:rsid w:val="00B66C58"/>
    <w:rsid w:val="00B66D74"/>
    <w:rsid w:val="00B66D96"/>
    <w:rsid w:val="00B66DC9"/>
    <w:rsid w:val="00B66DD5"/>
    <w:rsid w:val="00B66DDF"/>
    <w:rsid w:val="00B66DEF"/>
    <w:rsid w:val="00B66E1A"/>
    <w:rsid w:val="00B66E2B"/>
    <w:rsid w:val="00B66E37"/>
    <w:rsid w:val="00B66E40"/>
    <w:rsid w:val="00B66E42"/>
    <w:rsid w:val="00B66E63"/>
    <w:rsid w:val="00B66E73"/>
    <w:rsid w:val="00B66EA7"/>
    <w:rsid w:val="00B66F4B"/>
    <w:rsid w:val="00B66F87"/>
    <w:rsid w:val="00B66F8F"/>
    <w:rsid w:val="00B66FAC"/>
    <w:rsid w:val="00B67031"/>
    <w:rsid w:val="00B6717A"/>
    <w:rsid w:val="00B6717D"/>
    <w:rsid w:val="00B6719B"/>
    <w:rsid w:val="00B6719F"/>
    <w:rsid w:val="00B671A4"/>
    <w:rsid w:val="00B671BC"/>
    <w:rsid w:val="00B671C6"/>
    <w:rsid w:val="00B671E7"/>
    <w:rsid w:val="00B671E9"/>
    <w:rsid w:val="00B67210"/>
    <w:rsid w:val="00B67288"/>
    <w:rsid w:val="00B67289"/>
    <w:rsid w:val="00B672AE"/>
    <w:rsid w:val="00B672B5"/>
    <w:rsid w:val="00B672B6"/>
    <w:rsid w:val="00B67337"/>
    <w:rsid w:val="00B67343"/>
    <w:rsid w:val="00B6737E"/>
    <w:rsid w:val="00B673C1"/>
    <w:rsid w:val="00B673D6"/>
    <w:rsid w:val="00B673F8"/>
    <w:rsid w:val="00B67413"/>
    <w:rsid w:val="00B6745D"/>
    <w:rsid w:val="00B67476"/>
    <w:rsid w:val="00B6749A"/>
    <w:rsid w:val="00B674C9"/>
    <w:rsid w:val="00B6750B"/>
    <w:rsid w:val="00B6755A"/>
    <w:rsid w:val="00B67569"/>
    <w:rsid w:val="00B6756F"/>
    <w:rsid w:val="00B67577"/>
    <w:rsid w:val="00B675B3"/>
    <w:rsid w:val="00B675BE"/>
    <w:rsid w:val="00B675D2"/>
    <w:rsid w:val="00B675FA"/>
    <w:rsid w:val="00B675FB"/>
    <w:rsid w:val="00B67600"/>
    <w:rsid w:val="00B6768E"/>
    <w:rsid w:val="00B676CE"/>
    <w:rsid w:val="00B676E1"/>
    <w:rsid w:val="00B67710"/>
    <w:rsid w:val="00B67744"/>
    <w:rsid w:val="00B677C7"/>
    <w:rsid w:val="00B677D6"/>
    <w:rsid w:val="00B677DA"/>
    <w:rsid w:val="00B677DC"/>
    <w:rsid w:val="00B677FF"/>
    <w:rsid w:val="00B67804"/>
    <w:rsid w:val="00B67805"/>
    <w:rsid w:val="00B6780A"/>
    <w:rsid w:val="00B67829"/>
    <w:rsid w:val="00B67860"/>
    <w:rsid w:val="00B678BE"/>
    <w:rsid w:val="00B678D1"/>
    <w:rsid w:val="00B678E2"/>
    <w:rsid w:val="00B67956"/>
    <w:rsid w:val="00B6796E"/>
    <w:rsid w:val="00B67983"/>
    <w:rsid w:val="00B679FA"/>
    <w:rsid w:val="00B67A16"/>
    <w:rsid w:val="00B67AA9"/>
    <w:rsid w:val="00B67AAC"/>
    <w:rsid w:val="00B67ACD"/>
    <w:rsid w:val="00B67AD9"/>
    <w:rsid w:val="00B67B38"/>
    <w:rsid w:val="00B67B6D"/>
    <w:rsid w:val="00B67B6F"/>
    <w:rsid w:val="00B67BE6"/>
    <w:rsid w:val="00B67C08"/>
    <w:rsid w:val="00B67C13"/>
    <w:rsid w:val="00B67C56"/>
    <w:rsid w:val="00B67C6B"/>
    <w:rsid w:val="00B67C93"/>
    <w:rsid w:val="00B67C9B"/>
    <w:rsid w:val="00B67D67"/>
    <w:rsid w:val="00B67D90"/>
    <w:rsid w:val="00B67DC2"/>
    <w:rsid w:val="00B67DEC"/>
    <w:rsid w:val="00B67DF5"/>
    <w:rsid w:val="00B67E06"/>
    <w:rsid w:val="00B67E1D"/>
    <w:rsid w:val="00B67E30"/>
    <w:rsid w:val="00B67E32"/>
    <w:rsid w:val="00B67E76"/>
    <w:rsid w:val="00B67E84"/>
    <w:rsid w:val="00B67EB8"/>
    <w:rsid w:val="00B67EC6"/>
    <w:rsid w:val="00B67EE2"/>
    <w:rsid w:val="00B67EF1"/>
    <w:rsid w:val="00B67EF2"/>
    <w:rsid w:val="00B67EFD"/>
    <w:rsid w:val="00B67F02"/>
    <w:rsid w:val="00B67FA5"/>
    <w:rsid w:val="00B67FA9"/>
    <w:rsid w:val="00B67FAA"/>
    <w:rsid w:val="00B67FBE"/>
    <w:rsid w:val="00B67FDF"/>
    <w:rsid w:val="00B70022"/>
    <w:rsid w:val="00B70067"/>
    <w:rsid w:val="00B700F6"/>
    <w:rsid w:val="00B70128"/>
    <w:rsid w:val="00B70184"/>
    <w:rsid w:val="00B70189"/>
    <w:rsid w:val="00B701AF"/>
    <w:rsid w:val="00B701B3"/>
    <w:rsid w:val="00B701BA"/>
    <w:rsid w:val="00B701C5"/>
    <w:rsid w:val="00B701F7"/>
    <w:rsid w:val="00B7023B"/>
    <w:rsid w:val="00B7024D"/>
    <w:rsid w:val="00B70286"/>
    <w:rsid w:val="00B70298"/>
    <w:rsid w:val="00B702BF"/>
    <w:rsid w:val="00B7032A"/>
    <w:rsid w:val="00B7032B"/>
    <w:rsid w:val="00B7039A"/>
    <w:rsid w:val="00B703B8"/>
    <w:rsid w:val="00B70415"/>
    <w:rsid w:val="00B7041C"/>
    <w:rsid w:val="00B70429"/>
    <w:rsid w:val="00B7042A"/>
    <w:rsid w:val="00B7044F"/>
    <w:rsid w:val="00B704B9"/>
    <w:rsid w:val="00B704D1"/>
    <w:rsid w:val="00B704FB"/>
    <w:rsid w:val="00B70573"/>
    <w:rsid w:val="00B70588"/>
    <w:rsid w:val="00B705B1"/>
    <w:rsid w:val="00B705BB"/>
    <w:rsid w:val="00B705C4"/>
    <w:rsid w:val="00B705D4"/>
    <w:rsid w:val="00B7063B"/>
    <w:rsid w:val="00B7066C"/>
    <w:rsid w:val="00B7067B"/>
    <w:rsid w:val="00B706C4"/>
    <w:rsid w:val="00B7070A"/>
    <w:rsid w:val="00B70728"/>
    <w:rsid w:val="00B70737"/>
    <w:rsid w:val="00B7075E"/>
    <w:rsid w:val="00B7077F"/>
    <w:rsid w:val="00B70798"/>
    <w:rsid w:val="00B7080F"/>
    <w:rsid w:val="00B7084F"/>
    <w:rsid w:val="00B7085B"/>
    <w:rsid w:val="00B70874"/>
    <w:rsid w:val="00B708EC"/>
    <w:rsid w:val="00B708F4"/>
    <w:rsid w:val="00B7092D"/>
    <w:rsid w:val="00B7094A"/>
    <w:rsid w:val="00B70994"/>
    <w:rsid w:val="00B709C4"/>
    <w:rsid w:val="00B709DB"/>
    <w:rsid w:val="00B70A10"/>
    <w:rsid w:val="00B70A27"/>
    <w:rsid w:val="00B70A29"/>
    <w:rsid w:val="00B70A33"/>
    <w:rsid w:val="00B70A42"/>
    <w:rsid w:val="00B70A53"/>
    <w:rsid w:val="00B70A59"/>
    <w:rsid w:val="00B70A87"/>
    <w:rsid w:val="00B70A8A"/>
    <w:rsid w:val="00B70A98"/>
    <w:rsid w:val="00B70AB3"/>
    <w:rsid w:val="00B70B90"/>
    <w:rsid w:val="00B70B96"/>
    <w:rsid w:val="00B70B9C"/>
    <w:rsid w:val="00B70BAE"/>
    <w:rsid w:val="00B70BBC"/>
    <w:rsid w:val="00B70C33"/>
    <w:rsid w:val="00B70CD7"/>
    <w:rsid w:val="00B70D1F"/>
    <w:rsid w:val="00B70D6F"/>
    <w:rsid w:val="00B70D71"/>
    <w:rsid w:val="00B70DA1"/>
    <w:rsid w:val="00B70DD1"/>
    <w:rsid w:val="00B70DDE"/>
    <w:rsid w:val="00B70DE2"/>
    <w:rsid w:val="00B70E0F"/>
    <w:rsid w:val="00B70E2D"/>
    <w:rsid w:val="00B70E2E"/>
    <w:rsid w:val="00B70EE4"/>
    <w:rsid w:val="00B70EEE"/>
    <w:rsid w:val="00B70F26"/>
    <w:rsid w:val="00B70F37"/>
    <w:rsid w:val="00B70F93"/>
    <w:rsid w:val="00B70FC6"/>
    <w:rsid w:val="00B71012"/>
    <w:rsid w:val="00B71020"/>
    <w:rsid w:val="00B71041"/>
    <w:rsid w:val="00B71059"/>
    <w:rsid w:val="00B710C7"/>
    <w:rsid w:val="00B710E2"/>
    <w:rsid w:val="00B7110F"/>
    <w:rsid w:val="00B71124"/>
    <w:rsid w:val="00B71170"/>
    <w:rsid w:val="00B71194"/>
    <w:rsid w:val="00B7119B"/>
    <w:rsid w:val="00B711B0"/>
    <w:rsid w:val="00B711B2"/>
    <w:rsid w:val="00B711D9"/>
    <w:rsid w:val="00B711F9"/>
    <w:rsid w:val="00B711FD"/>
    <w:rsid w:val="00B71202"/>
    <w:rsid w:val="00B71213"/>
    <w:rsid w:val="00B71225"/>
    <w:rsid w:val="00B7123E"/>
    <w:rsid w:val="00B71246"/>
    <w:rsid w:val="00B71252"/>
    <w:rsid w:val="00B71264"/>
    <w:rsid w:val="00B71277"/>
    <w:rsid w:val="00B712A1"/>
    <w:rsid w:val="00B712EA"/>
    <w:rsid w:val="00B712F1"/>
    <w:rsid w:val="00B71319"/>
    <w:rsid w:val="00B71325"/>
    <w:rsid w:val="00B71337"/>
    <w:rsid w:val="00B713EC"/>
    <w:rsid w:val="00B71410"/>
    <w:rsid w:val="00B71417"/>
    <w:rsid w:val="00B714AA"/>
    <w:rsid w:val="00B714B7"/>
    <w:rsid w:val="00B714BA"/>
    <w:rsid w:val="00B714E6"/>
    <w:rsid w:val="00B71505"/>
    <w:rsid w:val="00B7154F"/>
    <w:rsid w:val="00B7159F"/>
    <w:rsid w:val="00B715CA"/>
    <w:rsid w:val="00B71611"/>
    <w:rsid w:val="00B716F1"/>
    <w:rsid w:val="00B71704"/>
    <w:rsid w:val="00B71705"/>
    <w:rsid w:val="00B7173A"/>
    <w:rsid w:val="00B71740"/>
    <w:rsid w:val="00B71741"/>
    <w:rsid w:val="00B71745"/>
    <w:rsid w:val="00B71750"/>
    <w:rsid w:val="00B71753"/>
    <w:rsid w:val="00B7176B"/>
    <w:rsid w:val="00B71774"/>
    <w:rsid w:val="00B71793"/>
    <w:rsid w:val="00B717C5"/>
    <w:rsid w:val="00B718DE"/>
    <w:rsid w:val="00B71966"/>
    <w:rsid w:val="00B71983"/>
    <w:rsid w:val="00B719AD"/>
    <w:rsid w:val="00B719F2"/>
    <w:rsid w:val="00B71A2B"/>
    <w:rsid w:val="00B71A3D"/>
    <w:rsid w:val="00B71A61"/>
    <w:rsid w:val="00B71A64"/>
    <w:rsid w:val="00B71A69"/>
    <w:rsid w:val="00B71A8E"/>
    <w:rsid w:val="00B71AA2"/>
    <w:rsid w:val="00B71AAF"/>
    <w:rsid w:val="00B71AC3"/>
    <w:rsid w:val="00B71AD4"/>
    <w:rsid w:val="00B71AE6"/>
    <w:rsid w:val="00B71B0F"/>
    <w:rsid w:val="00B71B5B"/>
    <w:rsid w:val="00B71B7A"/>
    <w:rsid w:val="00B71BA9"/>
    <w:rsid w:val="00B71BD8"/>
    <w:rsid w:val="00B71C04"/>
    <w:rsid w:val="00B71C6C"/>
    <w:rsid w:val="00B71C82"/>
    <w:rsid w:val="00B71CB3"/>
    <w:rsid w:val="00B71CD4"/>
    <w:rsid w:val="00B71CE9"/>
    <w:rsid w:val="00B71CF1"/>
    <w:rsid w:val="00B71D01"/>
    <w:rsid w:val="00B71D78"/>
    <w:rsid w:val="00B71D88"/>
    <w:rsid w:val="00B71D8D"/>
    <w:rsid w:val="00B71D96"/>
    <w:rsid w:val="00B71D98"/>
    <w:rsid w:val="00B71DB6"/>
    <w:rsid w:val="00B71DDE"/>
    <w:rsid w:val="00B71E24"/>
    <w:rsid w:val="00B71E51"/>
    <w:rsid w:val="00B71E55"/>
    <w:rsid w:val="00B71E99"/>
    <w:rsid w:val="00B71EA1"/>
    <w:rsid w:val="00B71EAF"/>
    <w:rsid w:val="00B71ED9"/>
    <w:rsid w:val="00B71EE3"/>
    <w:rsid w:val="00B71EF2"/>
    <w:rsid w:val="00B71F0A"/>
    <w:rsid w:val="00B71F10"/>
    <w:rsid w:val="00B71F45"/>
    <w:rsid w:val="00B71F4D"/>
    <w:rsid w:val="00B71F73"/>
    <w:rsid w:val="00B71F82"/>
    <w:rsid w:val="00B71F83"/>
    <w:rsid w:val="00B72041"/>
    <w:rsid w:val="00B7209F"/>
    <w:rsid w:val="00B720B6"/>
    <w:rsid w:val="00B720E3"/>
    <w:rsid w:val="00B720E8"/>
    <w:rsid w:val="00B72119"/>
    <w:rsid w:val="00B72137"/>
    <w:rsid w:val="00B7214A"/>
    <w:rsid w:val="00B72151"/>
    <w:rsid w:val="00B72156"/>
    <w:rsid w:val="00B7215C"/>
    <w:rsid w:val="00B7216B"/>
    <w:rsid w:val="00B72170"/>
    <w:rsid w:val="00B721C1"/>
    <w:rsid w:val="00B721D4"/>
    <w:rsid w:val="00B721D7"/>
    <w:rsid w:val="00B721E0"/>
    <w:rsid w:val="00B72242"/>
    <w:rsid w:val="00B722A5"/>
    <w:rsid w:val="00B722B9"/>
    <w:rsid w:val="00B722BE"/>
    <w:rsid w:val="00B72302"/>
    <w:rsid w:val="00B72304"/>
    <w:rsid w:val="00B72306"/>
    <w:rsid w:val="00B72326"/>
    <w:rsid w:val="00B72339"/>
    <w:rsid w:val="00B72365"/>
    <w:rsid w:val="00B72378"/>
    <w:rsid w:val="00B7245A"/>
    <w:rsid w:val="00B72464"/>
    <w:rsid w:val="00B72476"/>
    <w:rsid w:val="00B7249F"/>
    <w:rsid w:val="00B724DC"/>
    <w:rsid w:val="00B724F1"/>
    <w:rsid w:val="00B7250A"/>
    <w:rsid w:val="00B72531"/>
    <w:rsid w:val="00B72535"/>
    <w:rsid w:val="00B72560"/>
    <w:rsid w:val="00B7258A"/>
    <w:rsid w:val="00B725AF"/>
    <w:rsid w:val="00B725E0"/>
    <w:rsid w:val="00B72633"/>
    <w:rsid w:val="00B72637"/>
    <w:rsid w:val="00B72651"/>
    <w:rsid w:val="00B72676"/>
    <w:rsid w:val="00B7269B"/>
    <w:rsid w:val="00B726A0"/>
    <w:rsid w:val="00B726CF"/>
    <w:rsid w:val="00B726EA"/>
    <w:rsid w:val="00B72746"/>
    <w:rsid w:val="00B7275A"/>
    <w:rsid w:val="00B7277C"/>
    <w:rsid w:val="00B727AB"/>
    <w:rsid w:val="00B727F3"/>
    <w:rsid w:val="00B727F7"/>
    <w:rsid w:val="00B72808"/>
    <w:rsid w:val="00B72814"/>
    <w:rsid w:val="00B72856"/>
    <w:rsid w:val="00B728CF"/>
    <w:rsid w:val="00B728EE"/>
    <w:rsid w:val="00B72970"/>
    <w:rsid w:val="00B72990"/>
    <w:rsid w:val="00B729C6"/>
    <w:rsid w:val="00B729E4"/>
    <w:rsid w:val="00B729FD"/>
    <w:rsid w:val="00B72A27"/>
    <w:rsid w:val="00B72A54"/>
    <w:rsid w:val="00B72A71"/>
    <w:rsid w:val="00B72AA6"/>
    <w:rsid w:val="00B72AEB"/>
    <w:rsid w:val="00B72AFD"/>
    <w:rsid w:val="00B72B64"/>
    <w:rsid w:val="00B72B84"/>
    <w:rsid w:val="00B72BA2"/>
    <w:rsid w:val="00B72BC9"/>
    <w:rsid w:val="00B72BF6"/>
    <w:rsid w:val="00B72C5B"/>
    <w:rsid w:val="00B72C5C"/>
    <w:rsid w:val="00B72C9E"/>
    <w:rsid w:val="00B72CE7"/>
    <w:rsid w:val="00B72D0A"/>
    <w:rsid w:val="00B72D45"/>
    <w:rsid w:val="00B72D85"/>
    <w:rsid w:val="00B72D96"/>
    <w:rsid w:val="00B72DD7"/>
    <w:rsid w:val="00B72DE0"/>
    <w:rsid w:val="00B72E2D"/>
    <w:rsid w:val="00B72F35"/>
    <w:rsid w:val="00B72F36"/>
    <w:rsid w:val="00B72F44"/>
    <w:rsid w:val="00B72F92"/>
    <w:rsid w:val="00B72FA6"/>
    <w:rsid w:val="00B72FC7"/>
    <w:rsid w:val="00B7301F"/>
    <w:rsid w:val="00B73020"/>
    <w:rsid w:val="00B73023"/>
    <w:rsid w:val="00B7307C"/>
    <w:rsid w:val="00B7309E"/>
    <w:rsid w:val="00B730A8"/>
    <w:rsid w:val="00B730AF"/>
    <w:rsid w:val="00B73105"/>
    <w:rsid w:val="00B731A0"/>
    <w:rsid w:val="00B731A8"/>
    <w:rsid w:val="00B731B0"/>
    <w:rsid w:val="00B731F4"/>
    <w:rsid w:val="00B73208"/>
    <w:rsid w:val="00B73252"/>
    <w:rsid w:val="00B7327D"/>
    <w:rsid w:val="00B7330F"/>
    <w:rsid w:val="00B73351"/>
    <w:rsid w:val="00B73399"/>
    <w:rsid w:val="00B733EF"/>
    <w:rsid w:val="00B73441"/>
    <w:rsid w:val="00B73456"/>
    <w:rsid w:val="00B73495"/>
    <w:rsid w:val="00B734AE"/>
    <w:rsid w:val="00B734E9"/>
    <w:rsid w:val="00B73502"/>
    <w:rsid w:val="00B73534"/>
    <w:rsid w:val="00B73544"/>
    <w:rsid w:val="00B7355B"/>
    <w:rsid w:val="00B735A4"/>
    <w:rsid w:val="00B735AF"/>
    <w:rsid w:val="00B735EC"/>
    <w:rsid w:val="00B735F9"/>
    <w:rsid w:val="00B73626"/>
    <w:rsid w:val="00B73629"/>
    <w:rsid w:val="00B73669"/>
    <w:rsid w:val="00B736AF"/>
    <w:rsid w:val="00B736E7"/>
    <w:rsid w:val="00B737AD"/>
    <w:rsid w:val="00B737AF"/>
    <w:rsid w:val="00B737D2"/>
    <w:rsid w:val="00B737D7"/>
    <w:rsid w:val="00B7380C"/>
    <w:rsid w:val="00B73852"/>
    <w:rsid w:val="00B73896"/>
    <w:rsid w:val="00B7389D"/>
    <w:rsid w:val="00B738DA"/>
    <w:rsid w:val="00B73952"/>
    <w:rsid w:val="00B739A9"/>
    <w:rsid w:val="00B739D7"/>
    <w:rsid w:val="00B739DB"/>
    <w:rsid w:val="00B739ED"/>
    <w:rsid w:val="00B739FF"/>
    <w:rsid w:val="00B73A02"/>
    <w:rsid w:val="00B73A44"/>
    <w:rsid w:val="00B73A4B"/>
    <w:rsid w:val="00B73A96"/>
    <w:rsid w:val="00B73AA1"/>
    <w:rsid w:val="00B73B08"/>
    <w:rsid w:val="00B73B3F"/>
    <w:rsid w:val="00B73B78"/>
    <w:rsid w:val="00B73B80"/>
    <w:rsid w:val="00B73B94"/>
    <w:rsid w:val="00B73B98"/>
    <w:rsid w:val="00B73B9F"/>
    <w:rsid w:val="00B73BAE"/>
    <w:rsid w:val="00B73BB9"/>
    <w:rsid w:val="00B73BBA"/>
    <w:rsid w:val="00B73BBE"/>
    <w:rsid w:val="00B73BD5"/>
    <w:rsid w:val="00B73C4F"/>
    <w:rsid w:val="00B73C75"/>
    <w:rsid w:val="00B73C8D"/>
    <w:rsid w:val="00B73CAE"/>
    <w:rsid w:val="00B73D13"/>
    <w:rsid w:val="00B73D27"/>
    <w:rsid w:val="00B73D2B"/>
    <w:rsid w:val="00B73D79"/>
    <w:rsid w:val="00B73DBE"/>
    <w:rsid w:val="00B73DE9"/>
    <w:rsid w:val="00B73DFC"/>
    <w:rsid w:val="00B73E69"/>
    <w:rsid w:val="00B73E75"/>
    <w:rsid w:val="00B73E8A"/>
    <w:rsid w:val="00B73EAE"/>
    <w:rsid w:val="00B73ECB"/>
    <w:rsid w:val="00B73ED7"/>
    <w:rsid w:val="00B73EF3"/>
    <w:rsid w:val="00B73F27"/>
    <w:rsid w:val="00B73F64"/>
    <w:rsid w:val="00B73F80"/>
    <w:rsid w:val="00B73FB4"/>
    <w:rsid w:val="00B73FF2"/>
    <w:rsid w:val="00B74041"/>
    <w:rsid w:val="00B74043"/>
    <w:rsid w:val="00B74050"/>
    <w:rsid w:val="00B74082"/>
    <w:rsid w:val="00B740C5"/>
    <w:rsid w:val="00B740DE"/>
    <w:rsid w:val="00B740DF"/>
    <w:rsid w:val="00B741B2"/>
    <w:rsid w:val="00B741B5"/>
    <w:rsid w:val="00B74227"/>
    <w:rsid w:val="00B7422C"/>
    <w:rsid w:val="00B74297"/>
    <w:rsid w:val="00B7429E"/>
    <w:rsid w:val="00B742D8"/>
    <w:rsid w:val="00B74360"/>
    <w:rsid w:val="00B743CF"/>
    <w:rsid w:val="00B743DD"/>
    <w:rsid w:val="00B743E0"/>
    <w:rsid w:val="00B743F5"/>
    <w:rsid w:val="00B743FA"/>
    <w:rsid w:val="00B7441B"/>
    <w:rsid w:val="00B74420"/>
    <w:rsid w:val="00B74435"/>
    <w:rsid w:val="00B7443A"/>
    <w:rsid w:val="00B74467"/>
    <w:rsid w:val="00B744AB"/>
    <w:rsid w:val="00B744C8"/>
    <w:rsid w:val="00B744F9"/>
    <w:rsid w:val="00B7450C"/>
    <w:rsid w:val="00B74545"/>
    <w:rsid w:val="00B745EE"/>
    <w:rsid w:val="00B745EF"/>
    <w:rsid w:val="00B74659"/>
    <w:rsid w:val="00B74699"/>
    <w:rsid w:val="00B746AA"/>
    <w:rsid w:val="00B746B9"/>
    <w:rsid w:val="00B746BB"/>
    <w:rsid w:val="00B746DD"/>
    <w:rsid w:val="00B746F5"/>
    <w:rsid w:val="00B74701"/>
    <w:rsid w:val="00B7472F"/>
    <w:rsid w:val="00B74756"/>
    <w:rsid w:val="00B74764"/>
    <w:rsid w:val="00B74765"/>
    <w:rsid w:val="00B747E1"/>
    <w:rsid w:val="00B7485A"/>
    <w:rsid w:val="00B7486E"/>
    <w:rsid w:val="00B74874"/>
    <w:rsid w:val="00B74883"/>
    <w:rsid w:val="00B74915"/>
    <w:rsid w:val="00B7493F"/>
    <w:rsid w:val="00B74944"/>
    <w:rsid w:val="00B74988"/>
    <w:rsid w:val="00B7499F"/>
    <w:rsid w:val="00B749D3"/>
    <w:rsid w:val="00B749D8"/>
    <w:rsid w:val="00B74A0D"/>
    <w:rsid w:val="00B74A21"/>
    <w:rsid w:val="00B74A4C"/>
    <w:rsid w:val="00B74A56"/>
    <w:rsid w:val="00B74A6B"/>
    <w:rsid w:val="00B74A88"/>
    <w:rsid w:val="00B74AB6"/>
    <w:rsid w:val="00B74AD0"/>
    <w:rsid w:val="00B74ADC"/>
    <w:rsid w:val="00B74B5D"/>
    <w:rsid w:val="00B74B61"/>
    <w:rsid w:val="00B74B90"/>
    <w:rsid w:val="00B74B92"/>
    <w:rsid w:val="00B74B99"/>
    <w:rsid w:val="00B74BB6"/>
    <w:rsid w:val="00B74BC7"/>
    <w:rsid w:val="00B74BDE"/>
    <w:rsid w:val="00B74BE6"/>
    <w:rsid w:val="00B74BEC"/>
    <w:rsid w:val="00B74C24"/>
    <w:rsid w:val="00B74C85"/>
    <w:rsid w:val="00B74CFB"/>
    <w:rsid w:val="00B74D09"/>
    <w:rsid w:val="00B74E0E"/>
    <w:rsid w:val="00B74E1A"/>
    <w:rsid w:val="00B74E23"/>
    <w:rsid w:val="00B74E62"/>
    <w:rsid w:val="00B74E95"/>
    <w:rsid w:val="00B74F6C"/>
    <w:rsid w:val="00B74FB9"/>
    <w:rsid w:val="00B750A0"/>
    <w:rsid w:val="00B750B5"/>
    <w:rsid w:val="00B750C1"/>
    <w:rsid w:val="00B750C7"/>
    <w:rsid w:val="00B750FC"/>
    <w:rsid w:val="00B75102"/>
    <w:rsid w:val="00B75121"/>
    <w:rsid w:val="00B75162"/>
    <w:rsid w:val="00B75172"/>
    <w:rsid w:val="00B75182"/>
    <w:rsid w:val="00B751FA"/>
    <w:rsid w:val="00B751FB"/>
    <w:rsid w:val="00B75212"/>
    <w:rsid w:val="00B7523B"/>
    <w:rsid w:val="00B752A0"/>
    <w:rsid w:val="00B752A3"/>
    <w:rsid w:val="00B752A5"/>
    <w:rsid w:val="00B752EA"/>
    <w:rsid w:val="00B752F4"/>
    <w:rsid w:val="00B7531C"/>
    <w:rsid w:val="00B75331"/>
    <w:rsid w:val="00B753C0"/>
    <w:rsid w:val="00B753C8"/>
    <w:rsid w:val="00B753EC"/>
    <w:rsid w:val="00B753F4"/>
    <w:rsid w:val="00B75413"/>
    <w:rsid w:val="00B75427"/>
    <w:rsid w:val="00B75454"/>
    <w:rsid w:val="00B75460"/>
    <w:rsid w:val="00B75471"/>
    <w:rsid w:val="00B754F9"/>
    <w:rsid w:val="00B75548"/>
    <w:rsid w:val="00B75555"/>
    <w:rsid w:val="00B7556E"/>
    <w:rsid w:val="00B7557F"/>
    <w:rsid w:val="00B75601"/>
    <w:rsid w:val="00B75628"/>
    <w:rsid w:val="00B7564D"/>
    <w:rsid w:val="00B75675"/>
    <w:rsid w:val="00B75689"/>
    <w:rsid w:val="00B75698"/>
    <w:rsid w:val="00B756A4"/>
    <w:rsid w:val="00B756BD"/>
    <w:rsid w:val="00B75749"/>
    <w:rsid w:val="00B75788"/>
    <w:rsid w:val="00B757B0"/>
    <w:rsid w:val="00B757B1"/>
    <w:rsid w:val="00B757D5"/>
    <w:rsid w:val="00B757F2"/>
    <w:rsid w:val="00B75805"/>
    <w:rsid w:val="00B75840"/>
    <w:rsid w:val="00B75849"/>
    <w:rsid w:val="00B75864"/>
    <w:rsid w:val="00B7587A"/>
    <w:rsid w:val="00B758F3"/>
    <w:rsid w:val="00B7590C"/>
    <w:rsid w:val="00B75917"/>
    <w:rsid w:val="00B75930"/>
    <w:rsid w:val="00B75964"/>
    <w:rsid w:val="00B75992"/>
    <w:rsid w:val="00B759A2"/>
    <w:rsid w:val="00B759C5"/>
    <w:rsid w:val="00B759E7"/>
    <w:rsid w:val="00B75A92"/>
    <w:rsid w:val="00B75AAD"/>
    <w:rsid w:val="00B75AE9"/>
    <w:rsid w:val="00B75AF3"/>
    <w:rsid w:val="00B75B0A"/>
    <w:rsid w:val="00B75B27"/>
    <w:rsid w:val="00B75B2E"/>
    <w:rsid w:val="00B75B78"/>
    <w:rsid w:val="00B75B9A"/>
    <w:rsid w:val="00B75BD9"/>
    <w:rsid w:val="00B75BE8"/>
    <w:rsid w:val="00B75BFB"/>
    <w:rsid w:val="00B75D12"/>
    <w:rsid w:val="00B75D23"/>
    <w:rsid w:val="00B75D33"/>
    <w:rsid w:val="00B75D5A"/>
    <w:rsid w:val="00B75D6A"/>
    <w:rsid w:val="00B75D7B"/>
    <w:rsid w:val="00B75DE7"/>
    <w:rsid w:val="00B75E2C"/>
    <w:rsid w:val="00B75E4E"/>
    <w:rsid w:val="00B75EB1"/>
    <w:rsid w:val="00B75F0E"/>
    <w:rsid w:val="00B75F17"/>
    <w:rsid w:val="00B75F27"/>
    <w:rsid w:val="00B75F3E"/>
    <w:rsid w:val="00B75F4B"/>
    <w:rsid w:val="00B75F6F"/>
    <w:rsid w:val="00B75F7A"/>
    <w:rsid w:val="00B75FD5"/>
    <w:rsid w:val="00B76022"/>
    <w:rsid w:val="00B7605B"/>
    <w:rsid w:val="00B76183"/>
    <w:rsid w:val="00B761E5"/>
    <w:rsid w:val="00B761E7"/>
    <w:rsid w:val="00B7626A"/>
    <w:rsid w:val="00B76284"/>
    <w:rsid w:val="00B76289"/>
    <w:rsid w:val="00B76360"/>
    <w:rsid w:val="00B76385"/>
    <w:rsid w:val="00B763EA"/>
    <w:rsid w:val="00B76449"/>
    <w:rsid w:val="00B7647E"/>
    <w:rsid w:val="00B764CF"/>
    <w:rsid w:val="00B764D0"/>
    <w:rsid w:val="00B764ED"/>
    <w:rsid w:val="00B76550"/>
    <w:rsid w:val="00B76553"/>
    <w:rsid w:val="00B76596"/>
    <w:rsid w:val="00B765F4"/>
    <w:rsid w:val="00B7662C"/>
    <w:rsid w:val="00B76631"/>
    <w:rsid w:val="00B7663F"/>
    <w:rsid w:val="00B7664F"/>
    <w:rsid w:val="00B76666"/>
    <w:rsid w:val="00B766A5"/>
    <w:rsid w:val="00B766E5"/>
    <w:rsid w:val="00B766FB"/>
    <w:rsid w:val="00B76754"/>
    <w:rsid w:val="00B76787"/>
    <w:rsid w:val="00B767BD"/>
    <w:rsid w:val="00B767BF"/>
    <w:rsid w:val="00B767C7"/>
    <w:rsid w:val="00B7682E"/>
    <w:rsid w:val="00B76834"/>
    <w:rsid w:val="00B7683A"/>
    <w:rsid w:val="00B76866"/>
    <w:rsid w:val="00B76884"/>
    <w:rsid w:val="00B7689A"/>
    <w:rsid w:val="00B768E4"/>
    <w:rsid w:val="00B7692D"/>
    <w:rsid w:val="00B76931"/>
    <w:rsid w:val="00B76943"/>
    <w:rsid w:val="00B76971"/>
    <w:rsid w:val="00B76983"/>
    <w:rsid w:val="00B769B5"/>
    <w:rsid w:val="00B769CF"/>
    <w:rsid w:val="00B769F2"/>
    <w:rsid w:val="00B76A4A"/>
    <w:rsid w:val="00B76A50"/>
    <w:rsid w:val="00B76A60"/>
    <w:rsid w:val="00B76A94"/>
    <w:rsid w:val="00B76ABD"/>
    <w:rsid w:val="00B76B41"/>
    <w:rsid w:val="00B76BD5"/>
    <w:rsid w:val="00B76BF1"/>
    <w:rsid w:val="00B76BFD"/>
    <w:rsid w:val="00B76C98"/>
    <w:rsid w:val="00B76C9B"/>
    <w:rsid w:val="00B76CC6"/>
    <w:rsid w:val="00B76CCA"/>
    <w:rsid w:val="00B76CD0"/>
    <w:rsid w:val="00B76CDC"/>
    <w:rsid w:val="00B76D1F"/>
    <w:rsid w:val="00B76D28"/>
    <w:rsid w:val="00B76D37"/>
    <w:rsid w:val="00B76D5B"/>
    <w:rsid w:val="00B76D94"/>
    <w:rsid w:val="00B76DA5"/>
    <w:rsid w:val="00B76DE3"/>
    <w:rsid w:val="00B76DE4"/>
    <w:rsid w:val="00B76DF2"/>
    <w:rsid w:val="00B76DF6"/>
    <w:rsid w:val="00B76E03"/>
    <w:rsid w:val="00B76E5B"/>
    <w:rsid w:val="00B76E6B"/>
    <w:rsid w:val="00B76E6C"/>
    <w:rsid w:val="00B76E6F"/>
    <w:rsid w:val="00B76E77"/>
    <w:rsid w:val="00B76EF6"/>
    <w:rsid w:val="00B76F12"/>
    <w:rsid w:val="00B76F2C"/>
    <w:rsid w:val="00B76F37"/>
    <w:rsid w:val="00B76F48"/>
    <w:rsid w:val="00B76F92"/>
    <w:rsid w:val="00B76FBF"/>
    <w:rsid w:val="00B76FEB"/>
    <w:rsid w:val="00B7702F"/>
    <w:rsid w:val="00B7707B"/>
    <w:rsid w:val="00B77081"/>
    <w:rsid w:val="00B770B2"/>
    <w:rsid w:val="00B770C3"/>
    <w:rsid w:val="00B770DD"/>
    <w:rsid w:val="00B77110"/>
    <w:rsid w:val="00B77149"/>
    <w:rsid w:val="00B77185"/>
    <w:rsid w:val="00B7726D"/>
    <w:rsid w:val="00B7728D"/>
    <w:rsid w:val="00B772BB"/>
    <w:rsid w:val="00B77318"/>
    <w:rsid w:val="00B77350"/>
    <w:rsid w:val="00B773F9"/>
    <w:rsid w:val="00B77404"/>
    <w:rsid w:val="00B7742F"/>
    <w:rsid w:val="00B77440"/>
    <w:rsid w:val="00B77448"/>
    <w:rsid w:val="00B7746D"/>
    <w:rsid w:val="00B77489"/>
    <w:rsid w:val="00B77494"/>
    <w:rsid w:val="00B77497"/>
    <w:rsid w:val="00B774BC"/>
    <w:rsid w:val="00B77507"/>
    <w:rsid w:val="00B7755B"/>
    <w:rsid w:val="00B775A4"/>
    <w:rsid w:val="00B775B9"/>
    <w:rsid w:val="00B775FA"/>
    <w:rsid w:val="00B77604"/>
    <w:rsid w:val="00B7763B"/>
    <w:rsid w:val="00B77652"/>
    <w:rsid w:val="00B77682"/>
    <w:rsid w:val="00B77698"/>
    <w:rsid w:val="00B776B9"/>
    <w:rsid w:val="00B776BD"/>
    <w:rsid w:val="00B77736"/>
    <w:rsid w:val="00B7773F"/>
    <w:rsid w:val="00B7779F"/>
    <w:rsid w:val="00B777AC"/>
    <w:rsid w:val="00B77808"/>
    <w:rsid w:val="00B77846"/>
    <w:rsid w:val="00B77890"/>
    <w:rsid w:val="00B778A2"/>
    <w:rsid w:val="00B778D3"/>
    <w:rsid w:val="00B77912"/>
    <w:rsid w:val="00B7797A"/>
    <w:rsid w:val="00B779A6"/>
    <w:rsid w:val="00B779B7"/>
    <w:rsid w:val="00B779F5"/>
    <w:rsid w:val="00B77A4F"/>
    <w:rsid w:val="00B77AB1"/>
    <w:rsid w:val="00B77AC7"/>
    <w:rsid w:val="00B77AE0"/>
    <w:rsid w:val="00B77B35"/>
    <w:rsid w:val="00B77B37"/>
    <w:rsid w:val="00B77B96"/>
    <w:rsid w:val="00B77BBE"/>
    <w:rsid w:val="00B77BCA"/>
    <w:rsid w:val="00B77BDD"/>
    <w:rsid w:val="00B77BEB"/>
    <w:rsid w:val="00B77C04"/>
    <w:rsid w:val="00B77CF7"/>
    <w:rsid w:val="00B77CF9"/>
    <w:rsid w:val="00B77D0E"/>
    <w:rsid w:val="00B77D54"/>
    <w:rsid w:val="00B77D66"/>
    <w:rsid w:val="00B77D9A"/>
    <w:rsid w:val="00B77DFC"/>
    <w:rsid w:val="00B77E03"/>
    <w:rsid w:val="00B77E27"/>
    <w:rsid w:val="00B77EA2"/>
    <w:rsid w:val="00B77EA3"/>
    <w:rsid w:val="00B77EC2"/>
    <w:rsid w:val="00B77ECA"/>
    <w:rsid w:val="00B77EE7"/>
    <w:rsid w:val="00B77EFD"/>
    <w:rsid w:val="00B77F44"/>
    <w:rsid w:val="00B77F92"/>
    <w:rsid w:val="00B77FE9"/>
    <w:rsid w:val="00B77FF1"/>
    <w:rsid w:val="00B8000B"/>
    <w:rsid w:val="00B8001F"/>
    <w:rsid w:val="00B8008F"/>
    <w:rsid w:val="00B8009C"/>
    <w:rsid w:val="00B800CF"/>
    <w:rsid w:val="00B800D0"/>
    <w:rsid w:val="00B8012C"/>
    <w:rsid w:val="00B8014F"/>
    <w:rsid w:val="00B80155"/>
    <w:rsid w:val="00B80175"/>
    <w:rsid w:val="00B80255"/>
    <w:rsid w:val="00B80259"/>
    <w:rsid w:val="00B8025D"/>
    <w:rsid w:val="00B8028E"/>
    <w:rsid w:val="00B8030F"/>
    <w:rsid w:val="00B80330"/>
    <w:rsid w:val="00B8033D"/>
    <w:rsid w:val="00B80380"/>
    <w:rsid w:val="00B80387"/>
    <w:rsid w:val="00B803BB"/>
    <w:rsid w:val="00B8040D"/>
    <w:rsid w:val="00B80415"/>
    <w:rsid w:val="00B8042F"/>
    <w:rsid w:val="00B80469"/>
    <w:rsid w:val="00B80471"/>
    <w:rsid w:val="00B804AA"/>
    <w:rsid w:val="00B804AF"/>
    <w:rsid w:val="00B804D7"/>
    <w:rsid w:val="00B804FC"/>
    <w:rsid w:val="00B80537"/>
    <w:rsid w:val="00B805A5"/>
    <w:rsid w:val="00B805B7"/>
    <w:rsid w:val="00B805E2"/>
    <w:rsid w:val="00B805E3"/>
    <w:rsid w:val="00B80662"/>
    <w:rsid w:val="00B806D8"/>
    <w:rsid w:val="00B807FA"/>
    <w:rsid w:val="00B8080D"/>
    <w:rsid w:val="00B808C2"/>
    <w:rsid w:val="00B80915"/>
    <w:rsid w:val="00B80976"/>
    <w:rsid w:val="00B80979"/>
    <w:rsid w:val="00B8097C"/>
    <w:rsid w:val="00B80A2F"/>
    <w:rsid w:val="00B80A41"/>
    <w:rsid w:val="00B80A9C"/>
    <w:rsid w:val="00B80AA4"/>
    <w:rsid w:val="00B80AB9"/>
    <w:rsid w:val="00B80B2D"/>
    <w:rsid w:val="00B80B3A"/>
    <w:rsid w:val="00B80B42"/>
    <w:rsid w:val="00B80B59"/>
    <w:rsid w:val="00B80B63"/>
    <w:rsid w:val="00B80B76"/>
    <w:rsid w:val="00B80BA9"/>
    <w:rsid w:val="00B80BE0"/>
    <w:rsid w:val="00B80C2F"/>
    <w:rsid w:val="00B80C32"/>
    <w:rsid w:val="00B80C7F"/>
    <w:rsid w:val="00B80CFB"/>
    <w:rsid w:val="00B80D4D"/>
    <w:rsid w:val="00B80D5C"/>
    <w:rsid w:val="00B80D5D"/>
    <w:rsid w:val="00B80D63"/>
    <w:rsid w:val="00B80D99"/>
    <w:rsid w:val="00B80DDE"/>
    <w:rsid w:val="00B80DDF"/>
    <w:rsid w:val="00B80E16"/>
    <w:rsid w:val="00B80E70"/>
    <w:rsid w:val="00B80E79"/>
    <w:rsid w:val="00B80E95"/>
    <w:rsid w:val="00B80EBF"/>
    <w:rsid w:val="00B80EF9"/>
    <w:rsid w:val="00B80F15"/>
    <w:rsid w:val="00B80F4A"/>
    <w:rsid w:val="00B80F62"/>
    <w:rsid w:val="00B80F96"/>
    <w:rsid w:val="00B80FC6"/>
    <w:rsid w:val="00B81013"/>
    <w:rsid w:val="00B81030"/>
    <w:rsid w:val="00B8104B"/>
    <w:rsid w:val="00B81064"/>
    <w:rsid w:val="00B8107A"/>
    <w:rsid w:val="00B810CD"/>
    <w:rsid w:val="00B810DC"/>
    <w:rsid w:val="00B8112F"/>
    <w:rsid w:val="00B81146"/>
    <w:rsid w:val="00B8114C"/>
    <w:rsid w:val="00B8119B"/>
    <w:rsid w:val="00B811A3"/>
    <w:rsid w:val="00B811BF"/>
    <w:rsid w:val="00B811D0"/>
    <w:rsid w:val="00B811FB"/>
    <w:rsid w:val="00B81276"/>
    <w:rsid w:val="00B812C1"/>
    <w:rsid w:val="00B812E6"/>
    <w:rsid w:val="00B812F4"/>
    <w:rsid w:val="00B812FF"/>
    <w:rsid w:val="00B81329"/>
    <w:rsid w:val="00B81372"/>
    <w:rsid w:val="00B81373"/>
    <w:rsid w:val="00B8137B"/>
    <w:rsid w:val="00B81390"/>
    <w:rsid w:val="00B81395"/>
    <w:rsid w:val="00B8139D"/>
    <w:rsid w:val="00B813B1"/>
    <w:rsid w:val="00B8144A"/>
    <w:rsid w:val="00B81467"/>
    <w:rsid w:val="00B81499"/>
    <w:rsid w:val="00B814AD"/>
    <w:rsid w:val="00B814B2"/>
    <w:rsid w:val="00B81500"/>
    <w:rsid w:val="00B81510"/>
    <w:rsid w:val="00B8154E"/>
    <w:rsid w:val="00B815AA"/>
    <w:rsid w:val="00B815BF"/>
    <w:rsid w:val="00B81632"/>
    <w:rsid w:val="00B81633"/>
    <w:rsid w:val="00B81638"/>
    <w:rsid w:val="00B816E8"/>
    <w:rsid w:val="00B816FB"/>
    <w:rsid w:val="00B81701"/>
    <w:rsid w:val="00B81704"/>
    <w:rsid w:val="00B81709"/>
    <w:rsid w:val="00B81769"/>
    <w:rsid w:val="00B81779"/>
    <w:rsid w:val="00B81794"/>
    <w:rsid w:val="00B81797"/>
    <w:rsid w:val="00B817C6"/>
    <w:rsid w:val="00B817FE"/>
    <w:rsid w:val="00B817FF"/>
    <w:rsid w:val="00B818E6"/>
    <w:rsid w:val="00B818F0"/>
    <w:rsid w:val="00B81904"/>
    <w:rsid w:val="00B8192D"/>
    <w:rsid w:val="00B81951"/>
    <w:rsid w:val="00B8199A"/>
    <w:rsid w:val="00B81A02"/>
    <w:rsid w:val="00B81A06"/>
    <w:rsid w:val="00B81A0F"/>
    <w:rsid w:val="00B81A2C"/>
    <w:rsid w:val="00B81A65"/>
    <w:rsid w:val="00B81A79"/>
    <w:rsid w:val="00B81A8F"/>
    <w:rsid w:val="00B81AEC"/>
    <w:rsid w:val="00B81AF7"/>
    <w:rsid w:val="00B81B5B"/>
    <w:rsid w:val="00B81BB0"/>
    <w:rsid w:val="00B81BD2"/>
    <w:rsid w:val="00B81BDA"/>
    <w:rsid w:val="00B81BDC"/>
    <w:rsid w:val="00B81BE2"/>
    <w:rsid w:val="00B81BF2"/>
    <w:rsid w:val="00B81BF4"/>
    <w:rsid w:val="00B81C34"/>
    <w:rsid w:val="00B81C4F"/>
    <w:rsid w:val="00B81C8A"/>
    <w:rsid w:val="00B81C8B"/>
    <w:rsid w:val="00B81CC5"/>
    <w:rsid w:val="00B81D0F"/>
    <w:rsid w:val="00B81D31"/>
    <w:rsid w:val="00B81D4A"/>
    <w:rsid w:val="00B81DD2"/>
    <w:rsid w:val="00B81E0C"/>
    <w:rsid w:val="00B81E15"/>
    <w:rsid w:val="00B81E64"/>
    <w:rsid w:val="00B81ECD"/>
    <w:rsid w:val="00B81EE7"/>
    <w:rsid w:val="00B81EEE"/>
    <w:rsid w:val="00B81F24"/>
    <w:rsid w:val="00B81F33"/>
    <w:rsid w:val="00B81F3B"/>
    <w:rsid w:val="00B81F81"/>
    <w:rsid w:val="00B81F86"/>
    <w:rsid w:val="00B8202C"/>
    <w:rsid w:val="00B82065"/>
    <w:rsid w:val="00B8207A"/>
    <w:rsid w:val="00B82084"/>
    <w:rsid w:val="00B8209E"/>
    <w:rsid w:val="00B820B3"/>
    <w:rsid w:val="00B820D8"/>
    <w:rsid w:val="00B820E3"/>
    <w:rsid w:val="00B8210E"/>
    <w:rsid w:val="00B8213B"/>
    <w:rsid w:val="00B821DC"/>
    <w:rsid w:val="00B821F1"/>
    <w:rsid w:val="00B8225C"/>
    <w:rsid w:val="00B82267"/>
    <w:rsid w:val="00B8226B"/>
    <w:rsid w:val="00B8228C"/>
    <w:rsid w:val="00B822ED"/>
    <w:rsid w:val="00B82334"/>
    <w:rsid w:val="00B82338"/>
    <w:rsid w:val="00B82357"/>
    <w:rsid w:val="00B8235A"/>
    <w:rsid w:val="00B8237A"/>
    <w:rsid w:val="00B82421"/>
    <w:rsid w:val="00B82429"/>
    <w:rsid w:val="00B82445"/>
    <w:rsid w:val="00B82448"/>
    <w:rsid w:val="00B82470"/>
    <w:rsid w:val="00B8247E"/>
    <w:rsid w:val="00B824BD"/>
    <w:rsid w:val="00B824C7"/>
    <w:rsid w:val="00B8250A"/>
    <w:rsid w:val="00B82517"/>
    <w:rsid w:val="00B82572"/>
    <w:rsid w:val="00B8258B"/>
    <w:rsid w:val="00B825C6"/>
    <w:rsid w:val="00B825D3"/>
    <w:rsid w:val="00B825E4"/>
    <w:rsid w:val="00B825F2"/>
    <w:rsid w:val="00B82620"/>
    <w:rsid w:val="00B82657"/>
    <w:rsid w:val="00B82668"/>
    <w:rsid w:val="00B82696"/>
    <w:rsid w:val="00B826A0"/>
    <w:rsid w:val="00B826E5"/>
    <w:rsid w:val="00B826F8"/>
    <w:rsid w:val="00B82716"/>
    <w:rsid w:val="00B82718"/>
    <w:rsid w:val="00B8272F"/>
    <w:rsid w:val="00B8273A"/>
    <w:rsid w:val="00B827EB"/>
    <w:rsid w:val="00B8280F"/>
    <w:rsid w:val="00B82818"/>
    <w:rsid w:val="00B8284B"/>
    <w:rsid w:val="00B828AB"/>
    <w:rsid w:val="00B828C6"/>
    <w:rsid w:val="00B828CA"/>
    <w:rsid w:val="00B828EE"/>
    <w:rsid w:val="00B828F8"/>
    <w:rsid w:val="00B82909"/>
    <w:rsid w:val="00B82941"/>
    <w:rsid w:val="00B82959"/>
    <w:rsid w:val="00B8295A"/>
    <w:rsid w:val="00B8296A"/>
    <w:rsid w:val="00B82975"/>
    <w:rsid w:val="00B82995"/>
    <w:rsid w:val="00B829AD"/>
    <w:rsid w:val="00B829D8"/>
    <w:rsid w:val="00B829E6"/>
    <w:rsid w:val="00B82A44"/>
    <w:rsid w:val="00B82A4C"/>
    <w:rsid w:val="00B82A64"/>
    <w:rsid w:val="00B82A73"/>
    <w:rsid w:val="00B82ADF"/>
    <w:rsid w:val="00B82AE7"/>
    <w:rsid w:val="00B82AEA"/>
    <w:rsid w:val="00B82B1D"/>
    <w:rsid w:val="00B82B3D"/>
    <w:rsid w:val="00B82B56"/>
    <w:rsid w:val="00B82BF8"/>
    <w:rsid w:val="00B82C4B"/>
    <w:rsid w:val="00B82C6D"/>
    <w:rsid w:val="00B82C8E"/>
    <w:rsid w:val="00B82CAF"/>
    <w:rsid w:val="00B82D13"/>
    <w:rsid w:val="00B82D3D"/>
    <w:rsid w:val="00B82D50"/>
    <w:rsid w:val="00B82D7C"/>
    <w:rsid w:val="00B82D8F"/>
    <w:rsid w:val="00B82DB0"/>
    <w:rsid w:val="00B82E0C"/>
    <w:rsid w:val="00B82E15"/>
    <w:rsid w:val="00B82E60"/>
    <w:rsid w:val="00B82E8C"/>
    <w:rsid w:val="00B82E96"/>
    <w:rsid w:val="00B82E9A"/>
    <w:rsid w:val="00B82EA4"/>
    <w:rsid w:val="00B82EBB"/>
    <w:rsid w:val="00B82ED8"/>
    <w:rsid w:val="00B82F60"/>
    <w:rsid w:val="00B82F89"/>
    <w:rsid w:val="00B82FA5"/>
    <w:rsid w:val="00B82FA6"/>
    <w:rsid w:val="00B82FB6"/>
    <w:rsid w:val="00B82FDC"/>
    <w:rsid w:val="00B82FFD"/>
    <w:rsid w:val="00B83008"/>
    <w:rsid w:val="00B8306C"/>
    <w:rsid w:val="00B8307F"/>
    <w:rsid w:val="00B830A3"/>
    <w:rsid w:val="00B830EC"/>
    <w:rsid w:val="00B83120"/>
    <w:rsid w:val="00B8312E"/>
    <w:rsid w:val="00B8313B"/>
    <w:rsid w:val="00B8315C"/>
    <w:rsid w:val="00B831A1"/>
    <w:rsid w:val="00B831A8"/>
    <w:rsid w:val="00B8323C"/>
    <w:rsid w:val="00B83241"/>
    <w:rsid w:val="00B8327A"/>
    <w:rsid w:val="00B832CF"/>
    <w:rsid w:val="00B8331C"/>
    <w:rsid w:val="00B83330"/>
    <w:rsid w:val="00B8334C"/>
    <w:rsid w:val="00B83378"/>
    <w:rsid w:val="00B83395"/>
    <w:rsid w:val="00B833C9"/>
    <w:rsid w:val="00B83494"/>
    <w:rsid w:val="00B83496"/>
    <w:rsid w:val="00B834DE"/>
    <w:rsid w:val="00B83519"/>
    <w:rsid w:val="00B8357D"/>
    <w:rsid w:val="00B8358E"/>
    <w:rsid w:val="00B83595"/>
    <w:rsid w:val="00B835B3"/>
    <w:rsid w:val="00B835EB"/>
    <w:rsid w:val="00B8366C"/>
    <w:rsid w:val="00B836D5"/>
    <w:rsid w:val="00B8371E"/>
    <w:rsid w:val="00B8375F"/>
    <w:rsid w:val="00B83769"/>
    <w:rsid w:val="00B8378D"/>
    <w:rsid w:val="00B8379D"/>
    <w:rsid w:val="00B8380D"/>
    <w:rsid w:val="00B83828"/>
    <w:rsid w:val="00B8382E"/>
    <w:rsid w:val="00B83841"/>
    <w:rsid w:val="00B83866"/>
    <w:rsid w:val="00B83869"/>
    <w:rsid w:val="00B838CC"/>
    <w:rsid w:val="00B83908"/>
    <w:rsid w:val="00B83909"/>
    <w:rsid w:val="00B83971"/>
    <w:rsid w:val="00B839C1"/>
    <w:rsid w:val="00B839D5"/>
    <w:rsid w:val="00B83A56"/>
    <w:rsid w:val="00B83A5D"/>
    <w:rsid w:val="00B83A9C"/>
    <w:rsid w:val="00B83AA4"/>
    <w:rsid w:val="00B83ABA"/>
    <w:rsid w:val="00B83AF1"/>
    <w:rsid w:val="00B83AF9"/>
    <w:rsid w:val="00B83B3C"/>
    <w:rsid w:val="00B83B48"/>
    <w:rsid w:val="00B83B4D"/>
    <w:rsid w:val="00B83BFF"/>
    <w:rsid w:val="00B83C00"/>
    <w:rsid w:val="00B83C32"/>
    <w:rsid w:val="00B83C8E"/>
    <w:rsid w:val="00B83CEA"/>
    <w:rsid w:val="00B83DE4"/>
    <w:rsid w:val="00B83DEE"/>
    <w:rsid w:val="00B83E0E"/>
    <w:rsid w:val="00B83E5D"/>
    <w:rsid w:val="00B83EAA"/>
    <w:rsid w:val="00B83EAD"/>
    <w:rsid w:val="00B83ECF"/>
    <w:rsid w:val="00B83F0E"/>
    <w:rsid w:val="00B83F0F"/>
    <w:rsid w:val="00B83F28"/>
    <w:rsid w:val="00B83F8A"/>
    <w:rsid w:val="00B83F8E"/>
    <w:rsid w:val="00B83FAF"/>
    <w:rsid w:val="00B83FC9"/>
    <w:rsid w:val="00B84012"/>
    <w:rsid w:val="00B84048"/>
    <w:rsid w:val="00B84076"/>
    <w:rsid w:val="00B8407C"/>
    <w:rsid w:val="00B84083"/>
    <w:rsid w:val="00B840C4"/>
    <w:rsid w:val="00B840CC"/>
    <w:rsid w:val="00B84118"/>
    <w:rsid w:val="00B84135"/>
    <w:rsid w:val="00B84142"/>
    <w:rsid w:val="00B8414E"/>
    <w:rsid w:val="00B84191"/>
    <w:rsid w:val="00B841AE"/>
    <w:rsid w:val="00B841EB"/>
    <w:rsid w:val="00B841EC"/>
    <w:rsid w:val="00B84228"/>
    <w:rsid w:val="00B8424B"/>
    <w:rsid w:val="00B842D4"/>
    <w:rsid w:val="00B842D9"/>
    <w:rsid w:val="00B84300"/>
    <w:rsid w:val="00B84405"/>
    <w:rsid w:val="00B8440E"/>
    <w:rsid w:val="00B84414"/>
    <w:rsid w:val="00B8446A"/>
    <w:rsid w:val="00B844BF"/>
    <w:rsid w:val="00B8451D"/>
    <w:rsid w:val="00B84525"/>
    <w:rsid w:val="00B84576"/>
    <w:rsid w:val="00B845AF"/>
    <w:rsid w:val="00B845C2"/>
    <w:rsid w:val="00B84627"/>
    <w:rsid w:val="00B84647"/>
    <w:rsid w:val="00B8466F"/>
    <w:rsid w:val="00B84676"/>
    <w:rsid w:val="00B84682"/>
    <w:rsid w:val="00B84685"/>
    <w:rsid w:val="00B846F2"/>
    <w:rsid w:val="00B84702"/>
    <w:rsid w:val="00B84710"/>
    <w:rsid w:val="00B84747"/>
    <w:rsid w:val="00B84760"/>
    <w:rsid w:val="00B847B4"/>
    <w:rsid w:val="00B847B6"/>
    <w:rsid w:val="00B847BA"/>
    <w:rsid w:val="00B847BE"/>
    <w:rsid w:val="00B847C2"/>
    <w:rsid w:val="00B848A0"/>
    <w:rsid w:val="00B84957"/>
    <w:rsid w:val="00B84966"/>
    <w:rsid w:val="00B84A09"/>
    <w:rsid w:val="00B84A24"/>
    <w:rsid w:val="00B84A2B"/>
    <w:rsid w:val="00B84A43"/>
    <w:rsid w:val="00B84AE8"/>
    <w:rsid w:val="00B84B06"/>
    <w:rsid w:val="00B84B09"/>
    <w:rsid w:val="00B84B3C"/>
    <w:rsid w:val="00B84BA2"/>
    <w:rsid w:val="00B84BAE"/>
    <w:rsid w:val="00B84BBE"/>
    <w:rsid w:val="00B84C01"/>
    <w:rsid w:val="00B84C2C"/>
    <w:rsid w:val="00B84C54"/>
    <w:rsid w:val="00B84C72"/>
    <w:rsid w:val="00B84C88"/>
    <w:rsid w:val="00B84CA3"/>
    <w:rsid w:val="00B84CEC"/>
    <w:rsid w:val="00B84D11"/>
    <w:rsid w:val="00B84D83"/>
    <w:rsid w:val="00B84DB2"/>
    <w:rsid w:val="00B84DB4"/>
    <w:rsid w:val="00B84DB8"/>
    <w:rsid w:val="00B84DC9"/>
    <w:rsid w:val="00B84DE6"/>
    <w:rsid w:val="00B84DF8"/>
    <w:rsid w:val="00B84E65"/>
    <w:rsid w:val="00B84E78"/>
    <w:rsid w:val="00B84EA3"/>
    <w:rsid w:val="00B84EA6"/>
    <w:rsid w:val="00B84EBA"/>
    <w:rsid w:val="00B84ED5"/>
    <w:rsid w:val="00B84ED7"/>
    <w:rsid w:val="00B84EF7"/>
    <w:rsid w:val="00B84F02"/>
    <w:rsid w:val="00B84F1D"/>
    <w:rsid w:val="00B84F53"/>
    <w:rsid w:val="00B84F62"/>
    <w:rsid w:val="00B84F6B"/>
    <w:rsid w:val="00B84F9D"/>
    <w:rsid w:val="00B84FBA"/>
    <w:rsid w:val="00B84FC4"/>
    <w:rsid w:val="00B8503E"/>
    <w:rsid w:val="00B850A3"/>
    <w:rsid w:val="00B850A8"/>
    <w:rsid w:val="00B8513D"/>
    <w:rsid w:val="00B85172"/>
    <w:rsid w:val="00B851A3"/>
    <w:rsid w:val="00B851A4"/>
    <w:rsid w:val="00B851B2"/>
    <w:rsid w:val="00B851D1"/>
    <w:rsid w:val="00B851D7"/>
    <w:rsid w:val="00B851E2"/>
    <w:rsid w:val="00B85200"/>
    <w:rsid w:val="00B8522A"/>
    <w:rsid w:val="00B8528D"/>
    <w:rsid w:val="00B8530F"/>
    <w:rsid w:val="00B8533C"/>
    <w:rsid w:val="00B853A4"/>
    <w:rsid w:val="00B853A8"/>
    <w:rsid w:val="00B853AF"/>
    <w:rsid w:val="00B853B6"/>
    <w:rsid w:val="00B85421"/>
    <w:rsid w:val="00B8542A"/>
    <w:rsid w:val="00B85441"/>
    <w:rsid w:val="00B85463"/>
    <w:rsid w:val="00B85493"/>
    <w:rsid w:val="00B854F0"/>
    <w:rsid w:val="00B85552"/>
    <w:rsid w:val="00B8556F"/>
    <w:rsid w:val="00B85582"/>
    <w:rsid w:val="00B855C6"/>
    <w:rsid w:val="00B8567C"/>
    <w:rsid w:val="00B85690"/>
    <w:rsid w:val="00B85718"/>
    <w:rsid w:val="00B85723"/>
    <w:rsid w:val="00B85774"/>
    <w:rsid w:val="00B85787"/>
    <w:rsid w:val="00B857B3"/>
    <w:rsid w:val="00B85816"/>
    <w:rsid w:val="00B8584D"/>
    <w:rsid w:val="00B8584E"/>
    <w:rsid w:val="00B85868"/>
    <w:rsid w:val="00B858C8"/>
    <w:rsid w:val="00B85962"/>
    <w:rsid w:val="00B859F7"/>
    <w:rsid w:val="00B859FA"/>
    <w:rsid w:val="00B859FD"/>
    <w:rsid w:val="00B85A0B"/>
    <w:rsid w:val="00B85AA2"/>
    <w:rsid w:val="00B85AC7"/>
    <w:rsid w:val="00B85B12"/>
    <w:rsid w:val="00B85B1A"/>
    <w:rsid w:val="00B85B65"/>
    <w:rsid w:val="00B85B98"/>
    <w:rsid w:val="00B85BF2"/>
    <w:rsid w:val="00B85C01"/>
    <w:rsid w:val="00B85C10"/>
    <w:rsid w:val="00B85C2F"/>
    <w:rsid w:val="00B85C5E"/>
    <w:rsid w:val="00B85C7F"/>
    <w:rsid w:val="00B85CBC"/>
    <w:rsid w:val="00B85D15"/>
    <w:rsid w:val="00B85D26"/>
    <w:rsid w:val="00B85D50"/>
    <w:rsid w:val="00B85E2D"/>
    <w:rsid w:val="00B85E91"/>
    <w:rsid w:val="00B85EE3"/>
    <w:rsid w:val="00B85F26"/>
    <w:rsid w:val="00B85F47"/>
    <w:rsid w:val="00B85F5F"/>
    <w:rsid w:val="00B85F92"/>
    <w:rsid w:val="00B85FAE"/>
    <w:rsid w:val="00B86003"/>
    <w:rsid w:val="00B86044"/>
    <w:rsid w:val="00B86045"/>
    <w:rsid w:val="00B8604D"/>
    <w:rsid w:val="00B86057"/>
    <w:rsid w:val="00B860DA"/>
    <w:rsid w:val="00B86116"/>
    <w:rsid w:val="00B8613D"/>
    <w:rsid w:val="00B861AF"/>
    <w:rsid w:val="00B86201"/>
    <w:rsid w:val="00B8620E"/>
    <w:rsid w:val="00B8626F"/>
    <w:rsid w:val="00B862A7"/>
    <w:rsid w:val="00B862BD"/>
    <w:rsid w:val="00B862F9"/>
    <w:rsid w:val="00B86337"/>
    <w:rsid w:val="00B8636D"/>
    <w:rsid w:val="00B86372"/>
    <w:rsid w:val="00B86392"/>
    <w:rsid w:val="00B86399"/>
    <w:rsid w:val="00B863B7"/>
    <w:rsid w:val="00B863E2"/>
    <w:rsid w:val="00B86465"/>
    <w:rsid w:val="00B8646B"/>
    <w:rsid w:val="00B8648C"/>
    <w:rsid w:val="00B8651D"/>
    <w:rsid w:val="00B86549"/>
    <w:rsid w:val="00B8656B"/>
    <w:rsid w:val="00B86583"/>
    <w:rsid w:val="00B86591"/>
    <w:rsid w:val="00B86597"/>
    <w:rsid w:val="00B865AD"/>
    <w:rsid w:val="00B865BE"/>
    <w:rsid w:val="00B86629"/>
    <w:rsid w:val="00B86677"/>
    <w:rsid w:val="00B8668E"/>
    <w:rsid w:val="00B86707"/>
    <w:rsid w:val="00B86714"/>
    <w:rsid w:val="00B86785"/>
    <w:rsid w:val="00B867C0"/>
    <w:rsid w:val="00B867C9"/>
    <w:rsid w:val="00B867E5"/>
    <w:rsid w:val="00B8680B"/>
    <w:rsid w:val="00B868B6"/>
    <w:rsid w:val="00B86902"/>
    <w:rsid w:val="00B8691B"/>
    <w:rsid w:val="00B86A04"/>
    <w:rsid w:val="00B86A20"/>
    <w:rsid w:val="00B86A29"/>
    <w:rsid w:val="00B86A2C"/>
    <w:rsid w:val="00B86A51"/>
    <w:rsid w:val="00B86A70"/>
    <w:rsid w:val="00B86A8B"/>
    <w:rsid w:val="00B86AC2"/>
    <w:rsid w:val="00B86B28"/>
    <w:rsid w:val="00B86B7A"/>
    <w:rsid w:val="00B86B94"/>
    <w:rsid w:val="00B86C23"/>
    <w:rsid w:val="00B86C4B"/>
    <w:rsid w:val="00B86C6B"/>
    <w:rsid w:val="00B86C84"/>
    <w:rsid w:val="00B86CC2"/>
    <w:rsid w:val="00B86CEF"/>
    <w:rsid w:val="00B86D06"/>
    <w:rsid w:val="00B86D0C"/>
    <w:rsid w:val="00B86D3E"/>
    <w:rsid w:val="00B86DBA"/>
    <w:rsid w:val="00B86DD7"/>
    <w:rsid w:val="00B86E28"/>
    <w:rsid w:val="00B86E7C"/>
    <w:rsid w:val="00B86EB3"/>
    <w:rsid w:val="00B86EBF"/>
    <w:rsid w:val="00B86F1D"/>
    <w:rsid w:val="00B86F47"/>
    <w:rsid w:val="00B86F8F"/>
    <w:rsid w:val="00B86FA7"/>
    <w:rsid w:val="00B86FB9"/>
    <w:rsid w:val="00B87016"/>
    <w:rsid w:val="00B87041"/>
    <w:rsid w:val="00B8708E"/>
    <w:rsid w:val="00B870A0"/>
    <w:rsid w:val="00B870C5"/>
    <w:rsid w:val="00B87118"/>
    <w:rsid w:val="00B8713A"/>
    <w:rsid w:val="00B87177"/>
    <w:rsid w:val="00B87183"/>
    <w:rsid w:val="00B871A8"/>
    <w:rsid w:val="00B871C4"/>
    <w:rsid w:val="00B871FA"/>
    <w:rsid w:val="00B87200"/>
    <w:rsid w:val="00B8727E"/>
    <w:rsid w:val="00B87284"/>
    <w:rsid w:val="00B872C7"/>
    <w:rsid w:val="00B872E3"/>
    <w:rsid w:val="00B8733B"/>
    <w:rsid w:val="00B87371"/>
    <w:rsid w:val="00B873C4"/>
    <w:rsid w:val="00B873DC"/>
    <w:rsid w:val="00B873DD"/>
    <w:rsid w:val="00B874C2"/>
    <w:rsid w:val="00B87555"/>
    <w:rsid w:val="00B875B8"/>
    <w:rsid w:val="00B87639"/>
    <w:rsid w:val="00B87671"/>
    <w:rsid w:val="00B87679"/>
    <w:rsid w:val="00B87698"/>
    <w:rsid w:val="00B876EC"/>
    <w:rsid w:val="00B87714"/>
    <w:rsid w:val="00B87764"/>
    <w:rsid w:val="00B87786"/>
    <w:rsid w:val="00B877E4"/>
    <w:rsid w:val="00B87802"/>
    <w:rsid w:val="00B87807"/>
    <w:rsid w:val="00B87813"/>
    <w:rsid w:val="00B87860"/>
    <w:rsid w:val="00B878B5"/>
    <w:rsid w:val="00B878CA"/>
    <w:rsid w:val="00B87958"/>
    <w:rsid w:val="00B8798F"/>
    <w:rsid w:val="00B8799D"/>
    <w:rsid w:val="00B879E2"/>
    <w:rsid w:val="00B879EC"/>
    <w:rsid w:val="00B879F5"/>
    <w:rsid w:val="00B87A25"/>
    <w:rsid w:val="00B87A57"/>
    <w:rsid w:val="00B87AA5"/>
    <w:rsid w:val="00B87AD8"/>
    <w:rsid w:val="00B87B5F"/>
    <w:rsid w:val="00B87B65"/>
    <w:rsid w:val="00B87B68"/>
    <w:rsid w:val="00B87B77"/>
    <w:rsid w:val="00B87BA3"/>
    <w:rsid w:val="00B87BAE"/>
    <w:rsid w:val="00B87BC9"/>
    <w:rsid w:val="00B87BD5"/>
    <w:rsid w:val="00B87BE0"/>
    <w:rsid w:val="00B87C26"/>
    <w:rsid w:val="00B87C67"/>
    <w:rsid w:val="00B87C7C"/>
    <w:rsid w:val="00B87C82"/>
    <w:rsid w:val="00B87C9F"/>
    <w:rsid w:val="00B87CCC"/>
    <w:rsid w:val="00B87CE2"/>
    <w:rsid w:val="00B87CFA"/>
    <w:rsid w:val="00B87D13"/>
    <w:rsid w:val="00B87D4A"/>
    <w:rsid w:val="00B87D52"/>
    <w:rsid w:val="00B87DF3"/>
    <w:rsid w:val="00B87E23"/>
    <w:rsid w:val="00B87E2A"/>
    <w:rsid w:val="00B87E7F"/>
    <w:rsid w:val="00B87EA1"/>
    <w:rsid w:val="00B87EB5"/>
    <w:rsid w:val="00B87F09"/>
    <w:rsid w:val="00B87F37"/>
    <w:rsid w:val="00B87F7A"/>
    <w:rsid w:val="00B90029"/>
    <w:rsid w:val="00B90070"/>
    <w:rsid w:val="00B900C9"/>
    <w:rsid w:val="00B900EB"/>
    <w:rsid w:val="00B900F9"/>
    <w:rsid w:val="00B90134"/>
    <w:rsid w:val="00B90159"/>
    <w:rsid w:val="00B9017E"/>
    <w:rsid w:val="00B90183"/>
    <w:rsid w:val="00B9019D"/>
    <w:rsid w:val="00B901DF"/>
    <w:rsid w:val="00B9021D"/>
    <w:rsid w:val="00B90242"/>
    <w:rsid w:val="00B90276"/>
    <w:rsid w:val="00B902BC"/>
    <w:rsid w:val="00B90323"/>
    <w:rsid w:val="00B90395"/>
    <w:rsid w:val="00B903AF"/>
    <w:rsid w:val="00B903E4"/>
    <w:rsid w:val="00B903FD"/>
    <w:rsid w:val="00B90411"/>
    <w:rsid w:val="00B90413"/>
    <w:rsid w:val="00B90453"/>
    <w:rsid w:val="00B90458"/>
    <w:rsid w:val="00B9048F"/>
    <w:rsid w:val="00B90490"/>
    <w:rsid w:val="00B904C8"/>
    <w:rsid w:val="00B904CA"/>
    <w:rsid w:val="00B904D0"/>
    <w:rsid w:val="00B904E5"/>
    <w:rsid w:val="00B90536"/>
    <w:rsid w:val="00B90544"/>
    <w:rsid w:val="00B905E5"/>
    <w:rsid w:val="00B905EE"/>
    <w:rsid w:val="00B905F9"/>
    <w:rsid w:val="00B90615"/>
    <w:rsid w:val="00B9062D"/>
    <w:rsid w:val="00B90667"/>
    <w:rsid w:val="00B906E1"/>
    <w:rsid w:val="00B906E4"/>
    <w:rsid w:val="00B906E9"/>
    <w:rsid w:val="00B90741"/>
    <w:rsid w:val="00B90751"/>
    <w:rsid w:val="00B9077A"/>
    <w:rsid w:val="00B907D8"/>
    <w:rsid w:val="00B907E8"/>
    <w:rsid w:val="00B90801"/>
    <w:rsid w:val="00B908AF"/>
    <w:rsid w:val="00B908B7"/>
    <w:rsid w:val="00B908EB"/>
    <w:rsid w:val="00B9092F"/>
    <w:rsid w:val="00B90964"/>
    <w:rsid w:val="00B90984"/>
    <w:rsid w:val="00B90A4F"/>
    <w:rsid w:val="00B90A74"/>
    <w:rsid w:val="00B90AC1"/>
    <w:rsid w:val="00B90AC8"/>
    <w:rsid w:val="00B90AF1"/>
    <w:rsid w:val="00B90B1F"/>
    <w:rsid w:val="00B90B2F"/>
    <w:rsid w:val="00B90B39"/>
    <w:rsid w:val="00B90BB2"/>
    <w:rsid w:val="00B90BC6"/>
    <w:rsid w:val="00B90C0C"/>
    <w:rsid w:val="00B90C86"/>
    <w:rsid w:val="00B90CA6"/>
    <w:rsid w:val="00B90CF4"/>
    <w:rsid w:val="00B90D05"/>
    <w:rsid w:val="00B90D27"/>
    <w:rsid w:val="00B90D2B"/>
    <w:rsid w:val="00B90D32"/>
    <w:rsid w:val="00B90D77"/>
    <w:rsid w:val="00B90D81"/>
    <w:rsid w:val="00B90D9B"/>
    <w:rsid w:val="00B90D9D"/>
    <w:rsid w:val="00B90DDB"/>
    <w:rsid w:val="00B90E01"/>
    <w:rsid w:val="00B90E47"/>
    <w:rsid w:val="00B90E4B"/>
    <w:rsid w:val="00B90E5E"/>
    <w:rsid w:val="00B90E67"/>
    <w:rsid w:val="00B90EB1"/>
    <w:rsid w:val="00B90EEE"/>
    <w:rsid w:val="00B90F17"/>
    <w:rsid w:val="00B90F95"/>
    <w:rsid w:val="00B90FA0"/>
    <w:rsid w:val="00B90FC9"/>
    <w:rsid w:val="00B90FF8"/>
    <w:rsid w:val="00B9104F"/>
    <w:rsid w:val="00B9106F"/>
    <w:rsid w:val="00B910CC"/>
    <w:rsid w:val="00B91135"/>
    <w:rsid w:val="00B9113D"/>
    <w:rsid w:val="00B9114B"/>
    <w:rsid w:val="00B9114F"/>
    <w:rsid w:val="00B91154"/>
    <w:rsid w:val="00B9117A"/>
    <w:rsid w:val="00B9117F"/>
    <w:rsid w:val="00B9121B"/>
    <w:rsid w:val="00B91240"/>
    <w:rsid w:val="00B9124F"/>
    <w:rsid w:val="00B912B2"/>
    <w:rsid w:val="00B912E6"/>
    <w:rsid w:val="00B91323"/>
    <w:rsid w:val="00B9132F"/>
    <w:rsid w:val="00B9136A"/>
    <w:rsid w:val="00B913A3"/>
    <w:rsid w:val="00B913C4"/>
    <w:rsid w:val="00B913DA"/>
    <w:rsid w:val="00B913F5"/>
    <w:rsid w:val="00B91427"/>
    <w:rsid w:val="00B91431"/>
    <w:rsid w:val="00B9146F"/>
    <w:rsid w:val="00B914A5"/>
    <w:rsid w:val="00B914FC"/>
    <w:rsid w:val="00B9153A"/>
    <w:rsid w:val="00B91554"/>
    <w:rsid w:val="00B91578"/>
    <w:rsid w:val="00B9158B"/>
    <w:rsid w:val="00B915EE"/>
    <w:rsid w:val="00B91614"/>
    <w:rsid w:val="00B91628"/>
    <w:rsid w:val="00B9162B"/>
    <w:rsid w:val="00B91635"/>
    <w:rsid w:val="00B9168C"/>
    <w:rsid w:val="00B916BA"/>
    <w:rsid w:val="00B916C8"/>
    <w:rsid w:val="00B916E7"/>
    <w:rsid w:val="00B91743"/>
    <w:rsid w:val="00B9175C"/>
    <w:rsid w:val="00B9178C"/>
    <w:rsid w:val="00B917A9"/>
    <w:rsid w:val="00B917D2"/>
    <w:rsid w:val="00B9181B"/>
    <w:rsid w:val="00B91858"/>
    <w:rsid w:val="00B9185E"/>
    <w:rsid w:val="00B91861"/>
    <w:rsid w:val="00B91877"/>
    <w:rsid w:val="00B91894"/>
    <w:rsid w:val="00B9189A"/>
    <w:rsid w:val="00B918A3"/>
    <w:rsid w:val="00B918B3"/>
    <w:rsid w:val="00B918F0"/>
    <w:rsid w:val="00B91935"/>
    <w:rsid w:val="00B91961"/>
    <w:rsid w:val="00B91964"/>
    <w:rsid w:val="00B9196D"/>
    <w:rsid w:val="00B91992"/>
    <w:rsid w:val="00B91998"/>
    <w:rsid w:val="00B91A2D"/>
    <w:rsid w:val="00B91A45"/>
    <w:rsid w:val="00B91A58"/>
    <w:rsid w:val="00B91A96"/>
    <w:rsid w:val="00B91ACA"/>
    <w:rsid w:val="00B91ACC"/>
    <w:rsid w:val="00B91B49"/>
    <w:rsid w:val="00B91B5D"/>
    <w:rsid w:val="00B91B7D"/>
    <w:rsid w:val="00B91BF6"/>
    <w:rsid w:val="00B91C07"/>
    <w:rsid w:val="00B91C26"/>
    <w:rsid w:val="00B91C7D"/>
    <w:rsid w:val="00B91C94"/>
    <w:rsid w:val="00B91CD4"/>
    <w:rsid w:val="00B91CFE"/>
    <w:rsid w:val="00B91D03"/>
    <w:rsid w:val="00B91D0D"/>
    <w:rsid w:val="00B91D18"/>
    <w:rsid w:val="00B91D27"/>
    <w:rsid w:val="00B91D74"/>
    <w:rsid w:val="00B91DBE"/>
    <w:rsid w:val="00B91DF4"/>
    <w:rsid w:val="00B91E00"/>
    <w:rsid w:val="00B91E01"/>
    <w:rsid w:val="00B91E0B"/>
    <w:rsid w:val="00B91E25"/>
    <w:rsid w:val="00B91E79"/>
    <w:rsid w:val="00B91E93"/>
    <w:rsid w:val="00B91E99"/>
    <w:rsid w:val="00B91EA0"/>
    <w:rsid w:val="00B91F1F"/>
    <w:rsid w:val="00B91F68"/>
    <w:rsid w:val="00B91FB4"/>
    <w:rsid w:val="00B91FBB"/>
    <w:rsid w:val="00B91FC7"/>
    <w:rsid w:val="00B91FCC"/>
    <w:rsid w:val="00B9203B"/>
    <w:rsid w:val="00B9204B"/>
    <w:rsid w:val="00B920AD"/>
    <w:rsid w:val="00B920D1"/>
    <w:rsid w:val="00B920EC"/>
    <w:rsid w:val="00B92122"/>
    <w:rsid w:val="00B921B3"/>
    <w:rsid w:val="00B921BA"/>
    <w:rsid w:val="00B921DA"/>
    <w:rsid w:val="00B921E2"/>
    <w:rsid w:val="00B921FE"/>
    <w:rsid w:val="00B92245"/>
    <w:rsid w:val="00B9224B"/>
    <w:rsid w:val="00B922B5"/>
    <w:rsid w:val="00B922C1"/>
    <w:rsid w:val="00B922DA"/>
    <w:rsid w:val="00B9233A"/>
    <w:rsid w:val="00B92366"/>
    <w:rsid w:val="00B9237F"/>
    <w:rsid w:val="00B92380"/>
    <w:rsid w:val="00B923D4"/>
    <w:rsid w:val="00B923D9"/>
    <w:rsid w:val="00B923DF"/>
    <w:rsid w:val="00B92432"/>
    <w:rsid w:val="00B9243F"/>
    <w:rsid w:val="00B92456"/>
    <w:rsid w:val="00B92463"/>
    <w:rsid w:val="00B92498"/>
    <w:rsid w:val="00B924D7"/>
    <w:rsid w:val="00B924E6"/>
    <w:rsid w:val="00B92510"/>
    <w:rsid w:val="00B925BE"/>
    <w:rsid w:val="00B925C7"/>
    <w:rsid w:val="00B925F0"/>
    <w:rsid w:val="00B92609"/>
    <w:rsid w:val="00B92616"/>
    <w:rsid w:val="00B926A0"/>
    <w:rsid w:val="00B92701"/>
    <w:rsid w:val="00B9270D"/>
    <w:rsid w:val="00B92749"/>
    <w:rsid w:val="00B927CC"/>
    <w:rsid w:val="00B927D4"/>
    <w:rsid w:val="00B927EB"/>
    <w:rsid w:val="00B92818"/>
    <w:rsid w:val="00B92859"/>
    <w:rsid w:val="00B92923"/>
    <w:rsid w:val="00B92925"/>
    <w:rsid w:val="00B929C3"/>
    <w:rsid w:val="00B929D6"/>
    <w:rsid w:val="00B929FD"/>
    <w:rsid w:val="00B92A0C"/>
    <w:rsid w:val="00B92A19"/>
    <w:rsid w:val="00B92A39"/>
    <w:rsid w:val="00B92A44"/>
    <w:rsid w:val="00B92A57"/>
    <w:rsid w:val="00B92A79"/>
    <w:rsid w:val="00B92A83"/>
    <w:rsid w:val="00B92AC1"/>
    <w:rsid w:val="00B92AF1"/>
    <w:rsid w:val="00B92B3A"/>
    <w:rsid w:val="00B92B55"/>
    <w:rsid w:val="00B92B73"/>
    <w:rsid w:val="00B92B7F"/>
    <w:rsid w:val="00B92B93"/>
    <w:rsid w:val="00B92B9E"/>
    <w:rsid w:val="00B92BBF"/>
    <w:rsid w:val="00B92C18"/>
    <w:rsid w:val="00B92C59"/>
    <w:rsid w:val="00B92C6B"/>
    <w:rsid w:val="00B92C7E"/>
    <w:rsid w:val="00B92CA1"/>
    <w:rsid w:val="00B92CB1"/>
    <w:rsid w:val="00B92CE5"/>
    <w:rsid w:val="00B92CE7"/>
    <w:rsid w:val="00B92CEA"/>
    <w:rsid w:val="00B92D05"/>
    <w:rsid w:val="00B92D2E"/>
    <w:rsid w:val="00B92D3F"/>
    <w:rsid w:val="00B92D58"/>
    <w:rsid w:val="00B92D9B"/>
    <w:rsid w:val="00B92D9E"/>
    <w:rsid w:val="00B92DAA"/>
    <w:rsid w:val="00B92DC5"/>
    <w:rsid w:val="00B92E0B"/>
    <w:rsid w:val="00B92E9F"/>
    <w:rsid w:val="00B92ECC"/>
    <w:rsid w:val="00B92F40"/>
    <w:rsid w:val="00B92F48"/>
    <w:rsid w:val="00B92F5F"/>
    <w:rsid w:val="00B9303B"/>
    <w:rsid w:val="00B93040"/>
    <w:rsid w:val="00B9305D"/>
    <w:rsid w:val="00B9305E"/>
    <w:rsid w:val="00B93083"/>
    <w:rsid w:val="00B930B3"/>
    <w:rsid w:val="00B930BB"/>
    <w:rsid w:val="00B930E6"/>
    <w:rsid w:val="00B9311C"/>
    <w:rsid w:val="00B93134"/>
    <w:rsid w:val="00B9315C"/>
    <w:rsid w:val="00B93163"/>
    <w:rsid w:val="00B9316C"/>
    <w:rsid w:val="00B93173"/>
    <w:rsid w:val="00B93180"/>
    <w:rsid w:val="00B931D0"/>
    <w:rsid w:val="00B931E0"/>
    <w:rsid w:val="00B9322B"/>
    <w:rsid w:val="00B9329E"/>
    <w:rsid w:val="00B932CA"/>
    <w:rsid w:val="00B93375"/>
    <w:rsid w:val="00B933B0"/>
    <w:rsid w:val="00B933DD"/>
    <w:rsid w:val="00B9342D"/>
    <w:rsid w:val="00B93438"/>
    <w:rsid w:val="00B93468"/>
    <w:rsid w:val="00B934B1"/>
    <w:rsid w:val="00B934E3"/>
    <w:rsid w:val="00B9351A"/>
    <w:rsid w:val="00B93520"/>
    <w:rsid w:val="00B93544"/>
    <w:rsid w:val="00B93549"/>
    <w:rsid w:val="00B9354D"/>
    <w:rsid w:val="00B93597"/>
    <w:rsid w:val="00B935BF"/>
    <w:rsid w:val="00B935FD"/>
    <w:rsid w:val="00B93630"/>
    <w:rsid w:val="00B93646"/>
    <w:rsid w:val="00B93654"/>
    <w:rsid w:val="00B936CA"/>
    <w:rsid w:val="00B9372A"/>
    <w:rsid w:val="00B93730"/>
    <w:rsid w:val="00B93733"/>
    <w:rsid w:val="00B937BA"/>
    <w:rsid w:val="00B937EE"/>
    <w:rsid w:val="00B937F0"/>
    <w:rsid w:val="00B93804"/>
    <w:rsid w:val="00B9380E"/>
    <w:rsid w:val="00B93825"/>
    <w:rsid w:val="00B93852"/>
    <w:rsid w:val="00B93856"/>
    <w:rsid w:val="00B93857"/>
    <w:rsid w:val="00B938AB"/>
    <w:rsid w:val="00B938D9"/>
    <w:rsid w:val="00B938F3"/>
    <w:rsid w:val="00B93919"/>
    <w:rsid w:val="00B93947"/>
    <w:rsid w:val="00B939DF"/>
    <w:rsid w:val="00B93A2F"/>
    <w:rsid w:val="00B93A74"/>
    <w:rsid w:val="00B93A7B"/>
    <w:rsid w:val="00B93A82"/>
    <w:rsid w:val="00B93B72"/>
    <w:rsid w:val="00B93BAE"/>
    <w:rsid w:val="00B93BBE"/>
    <w:rsid w:val="00B93BC5"/>
    <w:rsid w:val="00B93BEF"/>
    <w:rsid w:val="00B93C48"/>
    <w:rsid w:val="00B93C72"/>
    <w:rsid w:val="00B93CBC"/>
    <w:rsid w:val="00B93D43"/>
    <w:rsid w:val="00B93D86"/>
    <w:rsid w:val="00B93DA9"/>
    <w:rsid w:val="00B93DBC"/>
    <w:rsid w:val="00B93DC9"/>
    <w:rsid w:val="00B93DDB"/>
    <w:rsid w:val="00B93DDD"/>
    <w:rsid w:val="00B93E06"/>
    <w:rsid w:val="00B93E46"/>
    <w:rsid w:val="00B93E74"/>
    <w:rsid w:val="00B93E77"/>
    <w:rsid w:val="00B93E81"/>
    <w:rsid w:val="00B93E90"/>
    <w:rsid w:val="00B93EC2"/>
    <w:rsid w:val="00B93EC6"/>
    <w:rsid w:val="00B93EDB"/>
    <w:rsid w:val="00B93EE7"/>
    <w:rsid w:val="00B93F11"/>
    <w:rsid w:val="00B93F29"/>
    <w:rsid w:val="00B93F50"/>
    <w:rsid w:val="00B93F7F"/>
    <w:rsid w:val="00B93FA4"/>
    <w:rsid w:val="00B93FC2"/>
    <w:rsid w:val="00B93FC9"/>
    <w:rsid w:val="00B93FE7"/>
    <w:rsid w:val="00B93FEC"/>
    <w:rsid w:val="00B9403D"/>
    <w:rsid w:val="00B94043"/>
    <w:rsid w:val="00B9404C"/>
    <w:rsid w:val="00B9407D"/>
    <w:rsid w:val="00B940A9"/>
    <w:rsid w:val="00B9416C"/>
    <w:rsid w:val="00B94187"/>
    <w:rsid w:val="00B941F8"/>
    <w:rsid w:val="00B94267"/>
    <w:rsid w:val="00B94284"/>
    <w:rsid w:val="00B94287"/>
    <w:rsid w:val="00B942B6"/>
    <w:rsid w:val="00B9435B"/>
    <w:rsid w:val="00B94363"/>
    <w:rsid w:val="00B9438B"/>
    <w:rsid w:val="00B943AD"/>
    <w:rsid w:val="00B943E8"/>
    <w:rsid w:val="00B94427"/>
    <w:rsid w:val="00B9442B"/>
    <w:rsid w:val="00B944CF"/>
    <w:rsid w:val="00B9451E"/>
    <w:rsid w:val="00B94523"/>
    <w:rsid w:val="00B94581"/>
    <w:rsid w:val="00B945BC"/>
    <w:rsid w:val="00B94615"/>
    <w:rsid w:val="00B94635"/>
    <w:rsid w:val="00B94645"/>
    <w:rsid w:val="00B94662"/>
    <w:rsid w:val="00B946DC"/>
    <w:rsid w:val="00B946DD"/>
    <w:rsid w:val="00B946F1"/>
    <w:rsid w:val="00B94735"/>
    <w:rsid w:val="00B94743"/>
    <w:rsid w:val="00B9478C"/>
    <w:rsid w:val="00B947C3"/>
    <w:rsid w:val="00B947C4"/>
    <w:rsid w:val="00B947D6"/>
    <w:rsid w:val="00B947D9"/>
    <w:rsid w:val="00B947F1"/>
    <w:rsid w:val="00B94815"/>
    <w:rsid w:val="00B94837"/>
    <w:rsid w:val="00B94842"/>
    <w:rsid w:val="00B94883"/>
    <w:rsid w:val="00B948D8"/>
    <w:rsid w:val="00B9490B"/>
    <w:rsid w:val="00B9492F"/>
    <w:rsid w:val="00B9499E"/>
    <w:rsid w:val="00B94A21"/>
    <w:rsid w:val="00B94A80"/>
    <w:rsid w:val="00B94AA8"/>
    <w:rsid w:val="00B94AB3"/>
    <w:rsid w:val="00B94AB4"/>
    <w:rsid w:val="00B94AFC"/>
    <w:rsid w:val="00B94B28"/>
    <w:rsid w:val="00B94BF0"/>
    <w:rsid w:val="00B94BF4"/>
    <w:rsid w:val="00B94C33"/>
    <w:rsid w:val="00B94C4C"/>
    <w:rsid w:val="00B94C66"/>
    <w:rsid w:val="00B94CA2"/>
    <w:rsid w:val="00B94CD0"/>
    <w:rsid w:val="00B94D1F"/>
    <w:rsid w:val="00B94D28"/>
    <w:rsid w:val="00B94D32"/>
    <w:rsid w:val="00B94D34"/>
    <w:rsid w:val="00B94DDD"/>
    <w:rsid w:val="00B94DDF"/>
    <w:rsid w:val="00B94DF2"/>
    <w:rsid w:val="00B94E70"/>
    <w:rsid w:val="00B94E79"/>
    <w:rsid w:val="00B94E8D"/>
    <w:rsid w:val="00B94E9E"/>
    <w:rsid w:val="00B94EAA"/>
    <w:rsid w:val="00B94EC6"/>
    <w:rsid w:val="00B94F2A"/>
    <w:rsid w:val="00B94F31"/>
    <w:rsid w:val="00B94F90"/>
    <w:rsid w:val="00B94F97"/>
    <w:rsid w:val="00B94FA8"/>
    <w:rsid w:val="00B94FE9"/>
    <w:rsid w:val="00B94FF6"/>
    <w:rsid w:val="00B9501A"/>
    <w:rsid w:val="00B9507C"/>
    <w:rsid w:val="00B9509D"/>
    <w:rsid w:val="00B950AD"/>
    <w:rsid w:val="00B95107"/>
    <w:rsid w:val="00B9512E"/>
    <w:rsid w:val="00B9518A"/>
    <w:rsid w:val="00B9519C"/>
    <w:rsid w:val="00B95204"/>
    <w:rsid w:val="00B95218"/>
    <w:rsid w:val="00B95222"/>
    <w:rsid w:val="00B9523E"/>
    <w:rsid w:val="00B9527C"/>
    <w:rsid w:val="00B952B4"/>
    <w:rsid w:val="00B952D3"/>
    <w:rsid w:val="00B9532D"/>
    <w:rsid w:val="00B95331"/>
    <w:rsid w:val="00B95345"/>
    <w:rsid w:val="00B95349"/>
    <w:rsid w:val="00B95355"/>
    <w:rsid w:val="00B95370"/>
    <w:rsid w:val="00B953A1"/>
    <w:rsid w:val="00B953CA"/>
    <w:rsid w:val="00B953F5"/>
    <w:rsid w:val="00B9545C"/>
    <w:rsid w:val="00B95464"/>
    <w:rsid w:val="00B9546C"/>
    <w:rsid w:val="00B954AA"/>
    <w:rsid w:val="00B954F0"/>
    <w:rsid w:val="00B95501"/>
    <w:rsid w:val="00B9550A"/>
    <w:rsid w:val="00B9554B"/>
    <w:rsid w:val="00B9555A"/>
    <w:rsid w:val="00B9556C"/>
    <w:rsid w:val="00B955A5"/>
    <w:rsid w:val="00B955B3"/>
    <w:rsid w:val="00B955D1"/>
    <w:rsid w:val="00B955DE"/>
    <w:rsid w:val="00B955FA"/>
    <w:rsid w:val="00B955FB"/>
    <w:rsid w:val="00B95606"/>
    <w:rsid w:val="00B9560C"/>
    <w:rsid w:val="00B95618"/>
    <w:rsid w:val="00B9563C"/>
    <w:rsid w:val="00B95656"/>
    <w:rsid w:val="00B9567C"/>
    <w:rsid w:val="00B956AF"/>
    <w:rsid w:val="00B956DC"/>
    <w:rsid w:val="00B95745"/>
    <w:rsid w:val="00B9574D"/>
    <w:rsid w:val="00B95791"/>
    <w:rsid w:val="00B957A4"/>
    <w:rsid w:val="00B957AD"/>
    <w:rsid w:val="00B95811"/>
    <w:rsid w:val="00B9587E"/>
    <w:rsid w:val="00B9589F"/>
    <w:rsid w:val="00B958D6"/>
    <w:rsid w:val="00B958E4"/>
    <w:rsid w:val="00B958E7"/>
    <w:rsid w:val="00B95913"/>
    <w:rsid w:val="00B9593F"/>
    <w:rsid w:val="00B9594E"/>
    <w:rsid w:val="00B95960"/>
    <w:rsid w:val="00B959C3"/>
    <w:rsid w:val="00B95A48"/>
    <w:rsid w:val="00B95A4E"/>
    <w:rsid w:val="00B95AB4"/>
    <w:rsid w:val="00B95AD8"/>
    <w:rsid w:val="00B95B1B"/>
    <w:rsid w:val="00B95B3A"/>
    <w:rsid w:val="00B95B42"/>
    <w:rsid w:val="00B95B5A"/>
    <w:rsid w:val="00B95B67"/>
    <w:rsid w:val="00B95B82"/>
    <w:rsid w:val="00B95B9E"/>
    <w:rsid w:val="00B95BA2"/>
    <w:rsid w:val="00B95BAD"/>
    <w:rsid w:val="00B95BC0"/>
    <w:rsid w:val="00B95BC2"/>
    <w:rsid w:val="00B95BE3"/>
    <w:rsid w:val="00B95BE6"/>
    <w:rsid w:val="00B95BF8"/>
    <w:rsid w:val="00B95C03"/>
    <w:rsid w:val="00B95C1F"/>
    <w:rsid w:val="00B95C49"/>
    <w:rsid w:val="00B95C56"/>
    <w:rsid w:val="00B95C7A"/>
    <w:rsid w:val="00B95CDF"/>
    <w:rsid w:val="00B95CF4"/>
    <w:rsid w:val="00B95D05"/>
    <w:rsid w:val="00B95D0C"/>
    <w:rsid w:val="00B95D27"/>
    <w:rsid w:val="00B95D35"/>
    <w:rsid w:val="00B95D8A"/>
    <w:rsid w:val="00B95DD5"/>
    <w:rsid w:val="00B95DE3"/>
    <w:rsid w:val="00B95E21"/>
    <w:rsid w:val="00B95E34"/>
    <w:rsid w:val="00B95E43"/>
    <w:rsid w:val="00B95E80"/>
    <w:rsid w:val="00B95E9F"/>
    <w:rsid w:val="00B95EB3"/>
    <w:rsid w:val="00B95EB5"/>
    <w:rsid w:val="00B95EB6"/>
    <w:rsid w:val="00B95F23"/>
    <w:rsid w:val="00B95F54"/>
    <w:rsid w:val="00B95FAA"/>
    <w:rsid w:val="00B95FC1"/>
    <w:rsid w:val="00B95FCC"/>
    <w:rsid w:val="00B9603D"/>
    <w:rsid w:val="00B960A8"/>
    <w:rsid w:val="00B960C2"/>
    <w:rsid w:val="00B960C4"/>
    <w:rsid w:val="00B960F4"/>
    <w:rsid w:val="00B96108"/>
    <w:rsid w:val="00B96162"/>
    <w:rsid w:val="00B9619D"/>
    <w:rsid w:val="00B961F6"/>
    <w:rsid w:val="00B96284"/>
    <w:rsid w:val="00B962A0"/>
    <w:rsid w:val="00B962C8"/>
    <w:rsid w:val="00B962D1"/>
    <w:rsid w:val="00B962EE"/>
    <w:rsid w:val="00B96313"/>
    <w:rsid w:val="00B9632D"/>
    <w:rsid w:val="00B9634A"/>
    <w:rsid w:val="00B96361"/>
    <w:rsid w:val="00B9638E"/>
    <w:rsid w:val="00B963BA"/>
    <w:rsid w:val="00B963C2"/>
    <w:rsid w:val="00B963DA"/>
    <w:rsid w:val="00B96423"/>
    <w:rsid w:val="00B9646C"/>
    <w:rsid w:val="00B964C0"/>
    <w:rsid w:val="00B964C4"/>
    <w:rsid w:val="00B9651D"/>
    <w:rsid w:val="00B96549"/>
    <w:rsid w:val="00B965D0"/>
    <w:rsid w:val="00B96602"/>
    <w:rsid w:val="00B96625"/>
    <w:rsid w:val="00B9663E"/>
    <w:rsid w:val="00B96648"/>
    <w:rsid w:val="00B96655"/>
    <w:rsid w:val="00B9667E"/>
    <w:rsid w:val="00B966A6"/>
    <w:rsid w:val="00B966A8"/>
    <w:rsid w:val="00B966EA"/>
    <w:rsid w:val="00B9673F"/>
    <w:rsid w:val="00B96770"/>
    <w:rsid w:val="00B967A3"/>
    <w:rsid w:val="00B967AF"/>
    <w:rsid w:val="00B967DC"/>
    <w:rsid w:val="00B9684B"/>
    <w:rsid w:val="00B9686F"/>
    <w:rsid w:val="00B9687B"/>
    <w:rsid w:val="00B96896"/>
    <w:rsid w:val="00B968B7"/>
    <w:rsid w:val="00B9692C"/>
    <w:rsid w:val="00B9693E"/>
    <w:rsid w:val="00B96947"/>
    <w:rsid w:val="00B96972"/>
    <w:rsid w:val="00B969BC"/>
    <w:rsid w:val="00B969C3"/>
    <w:rsid w:val="00B96A09"/>
    <w:rsid w:val="00B96A17"/>
    <w:rsid w:val="00B96A56"/>
    <w:rsid w:val="00B96A5D"/>
    <w:rsid w:val="00B96A86"/>
    <w:rsid w:val="00B96AD7"/>
    <w:rsid w:val="00B96B37"/>
    <w:rsid w:val="00B96B4F"/>
    <w:rsid w:val="00B96B7D"/>
    <w:rsid w:val="00B96B91"/>
    <w:rsid w:val="00B96BC0"/>
    <w:rsid w:val="00B96C0C"/>
    <w:rsid w:val="00B96C14"/>
    <w:rsid w:val="00B96C2B"/>
    <w:rsid w:val="00B96C47"/>
    <w:rsid w:val="00B96C7D"/>
    <w:rsid w:val="00B96CA9"/>
    <w:rsid w:val="00B96CC1"/>
    <w:rsid w:val="00B96CEE"/>
    <w:rsid w:val="00B96D69"/>
    <w:rsid w:val="00B96E03"/>
    <w:rsid w:val="00B96E0A"/>
    <w:rsid w:val="00B96E32"/>
    <w:rsid w:val="00B96EAA"/>
    <w:rsid w:val="00B96F00"/>
    <w:rsid w:val="00B96F38"/>
    <w:rsid w:val="00B96F4D"/>
    <w:rsid w:val="00B96F5F"/>
    <w:rsid w:val="00B96F69"/>
    <w:rsid w:val="00B96FBE"/>
    <w:rsid w:val="00B97009"/>
    <w:rsid w:val="00B97013"/>
    <w:rsid w:val="00B9705D"/>
    <w:rsid w:val="00B97062"/>
    <w:rsid w:val="00B97072"/>
    <w:rsid w:val="00B970A1"/>
    <w:rsid w:val="00B970E8"/>
    <w:rsid w:val="00B970FE"/>
    <w:rsid w:val="00B97115"/>
    <w:rsid w:val="00B9711F"/>
    <w:rsid w:val="00B9712F"/>
    <w:rsid w:val="00B97167"/>
    <w:rsid w:val="00B971A1"/>
    <w:rsid w:val="00B971B9"/>
    <w:rsid w:val="00B971DC"/>
    <w:rsid w:val="00B9721F"/>
    <w:rsid w:val="00B97230"/>
    <w:rsid w:val="00B972C4"/>
    <w:rsid w:val="00B972E7"/>
    <w:rsid w:val="00B972F3"/>
    <w:rsid w:val="00B97342"/>
    <w:rsid w:val="00B973AF"/>
    <w:rsid w:val="00B973E6"/>
    <w:rsid w:val="00B973EC"/>
    <w:rsid w:val="00B9740E"/>
    <w:rsid w:val="00B97410"/>
    <w:rsid w:val="00B97413"/>
    <w:rsid w:val="00B97472"/>
    <w:rsid w:val="00B974C4"/>
    <w:rsid w:val="00B974C7"/>
    <w:rsid w:val="00B974CD"/>
    <w:rsid w:val="00B974D0"/>
    <w:rsid w:val="00B974E7"/>
    <w:rsid w:val="00B974F7"/>
    <w:rsid w:val="00B9752E"/>
    <w:rsid w:val="00B97570"/>
    <w:rsid w:val="00B97588"/>
    <w:rsid w:val="00B975AA"/>
    <w:rsid w:val="00B975CA"/>
    <w:rsid w:val="00B975CE"/>
    <w:rsid w:val="00B975FD"/>
    <w:rsid w:val="00B975FF"/>
    <w:rsid w:val="00B97616"/>
    <w:rsid w:val="00B9765B"/>
    <w:rsid w:val="00B976B1"/>
    <w:rsid w:val="00B976BA"/>
    <w:rsid w:val="00B97705"/>
    <w:rsid w:val="00B97757"/>
    <w:rsid w:val="00B97782"/>
    <w:rsid w:val="00B97795"/>
    <w:rsid w:val="00B97806"/>
    <w:rsid w:val="00B97823"/>
    <w:rsid w:val="00B9784E"/>
    <w:rsid w:val="00B97894"/>
    <w:rsid w:val="00B978AA"/>
    <w:rsid w:val="00B978B2"/>
    <w:rsid w:val="00B978C6"/>
    <w:rsid w:val="00B978DB"/>
    <w:rsid w:val="00B97ABC"/>
    <w:rsid w:val="00B97ACF"/>
    <w:rsid w:val="00B97B0B"/>
    <w:rsid w:val="00B97B16"/>
    <w:rsid w:val="00B97B27"/>
    <w:rsid w:val="00B97B2C"/>
    <w:rsid w:val="00B97B2D"/>
    <w:rsid w:val="00B97BCD"/>
    <w:rsid w:val="00B97BE3"/>
    <w:rsid w:val="00B97C10"/>
    <w:rsid w:val="00B97C8D"/>
    <w:rsid w:val="00B97CB8"/>
    <w:rsid w:val="00B97D39"/>
    <w:rsid w:val="00B97D40"/>
    <w:rsid w:val="00B97D42"/>
    <w:rsid w:val="00B97D45"/>
    <w:rsid w:val="00B97D46"/>
    <w:rsid w:val="00B97D56"/>
    <w:rsid w:val="00B97D87"/>
    <w:rsid w:val="00B97DBE"/>
    <w:rsid w:val="00B97E01"/>
    <w:rsid w:val="00B97E34"/>
    <w:rsid w:val="00B97E52"/>
    <w:rsid w:val="00B97E95"/>
    <w:rsid w:val="00B97E9F"/>
    <w:rsid w:val="00B97F01"/>
    <w:rsid w:val="00B97F11"/>
    <w:rsid w:val="00B97F1F"/>
    <w:rsid w:val="00B97F2B"/>
    <w:rsid w:val="00B97F5F"/>
    <w:rsid w:val="00B97F81"/>
    <w:rsid w:val="00B97FB4"/>
    <w:rsid w:val="00BA0022"/>
    <w:rsid w:val="00BA0057"/>
    <w:rsid w:val="00BA0070"/>
    <w:rsid w:val="00BA0086"/>
    <w:rsid w:val="00BA0088"/>
    <w:rsid w:val="00BA009F"/>
    <w:rsid w:val="00BA00C5"/>
    <w:rsid w:val="00BA00E3"/>
    <w:rsid w:val="00BA00F3"/>
    <w:rsid w:val="00BA0109"/>
    <w:rsid w:val="00BA01C6"/>
    <w:rsid w:val="00BA01CB"/>
    <w:rsid w:val="00BA01FB"/>
    <w:rsid w:val="00BA02E7"/>
    <w:rsid w:val="00BA02F3"/>
    <w:rsid w:val="00BA02FE"/>
    <w:rsid w:val="00BA0323"/>
    <w:rsid w:val="00BA0359"/>
    <w:rsid w:val="00BA035B"/>
    <w:rsid w:val="00BA0394"/>
    <w:rsid w:val="00BA0430"/>
    <w:rsid w:val="00BA0487"/>
    <w:rsid w:val="00BA050A"/>
    <w:rsid w:val="00BA0527"/>
    <w:rsid w:val="00BA053F"/>
    <w:rsid w:val="00BA05B8"/>
    <w:rsid w:val="00BA063C"/>
    <w:rsid w:val="00BA06D1"/>
    <w:rsid w:val="00BA076A"/>
    <w:rsid w:val="00BA0788"/>
    <w:rsid w:val="00BA07A0"/>
    <w:rsid w:val="00BA07C5"/>
    <w:rsid w:val="00BA07F3"/>
    <w:rsid w:val="00BA0824"/>
    <w:rsid w:val="00BA0885"/>
    <w:rsid w:val="00BA088A"/>
    <w:rsid w:val="00BA08AD"/>
    <w:rsid w:val="00BA08AF"/>
    <w:rsid w:val="00BA08EB"/>
    <w:rsid w:val="00BA0925"/>
    <w:rsid w:val="00BA094C"/>
    <w:rsid w:val="00BA0975"/>
    <w:rsid w:val="00BA0988"/>
    <w:rsid w:val="00BA09B4"/>
    <w:rsid w:val="00BA09C1"/>
    <w:rsid w:val="00BA09FB"/>
    <w:rsid w:val="00BA0A04"/>
    <w:rsid w:val="00BA0A75"/>
    <w:rsid w:val="00BA0ABF"/>
    <w:rsid w:val="00BA0ACC"/>
    <w:rsid w:val="00BA0AF2"/>
    <w:rsid w:val="00BA0AF7"/>
    <w:rsid w:val="00BA0B0B"/>
    <w:rsid w:val="00BA0B9C"/>
    <w:rsid w:val="00BA0BBA"/>
    <w:rsid w:val="00BA0BD6"/>
    <w:rsid w:val="00BA0BDF"/>
    <w:rsid w:val="00BA0BE4"/>
    <w:rsid w:val="00BA0C56"/>
    <w:rsid w:val="00BA0C88"/>
    <w:rsid w:val="00BA0CD0"/>
    <w:rsid w:val="00BA0D20"/>
    <w:rsid w:val="00BA0D25"/>
    <w:rsid w:val="00BA0D74"/>
    <w:rsid w:val="00BA0D89"/>
    <w:rsid w:val="00BA0DBD"/>
    <w:rsid w:val="00BA0DD5"/>
    <w:rsid w:val="00BA0DDA"/>
    <w:rsid w:val="00BA0DEA"/>
    <w:rsid w:val="00BA0E2A"/>
    <w:rsid w:val="00BA0E58"/>
    <w:rsid w:val="00BA0E92"/>
    <w:rsid w:val="00BA0EB9"/>
    <w:rsid w:val="00BA0EEA"/>
    <w:rsid w:val="00BA0EEF"/>
    <w:rsid w:val="00BA0F0C"/>
    <w:rsid w:val="00BA0F2D"/>
    <w:rsid w:val="00BA0F8F"/>
    <w:rsid w:val="00BA0FEC"/>
    <w:rsid w:val="00BA1015"/>
    <w:rsid w:val="00BA1017"/>
    <w:rsid w:val="00BA1030"/>
    <w:rsid w:val="00BA1060"/>
    <w:rsid w:val="00BA1083"/>
    <w:rsid w:val="00BA1108"/>
    <w:rsid w:val="00BA1126"/>
    <w:rsid w:val="00BA114E"/>
    <w:rsid w:val="00BA1176"/>
    <w:rsid w:val="00BA117B"/>
    <w:rsid w:val="00BA1193"/>
    <w:rsid w:val="00BA11AE"/>
    <w:rsid w:val="00BA11DF"/>
    <w:rsid w:val="00BA11E3"/>
    <w:rsid w:val="00BA11F5"/>
    <w:rsid w:val="00BA120A"/>
    <w:rsid w:val="00BA1259"/>
    <w:rsid w:val="00BA1267"/>
    <w:rsid w:val="00BA126F"/>
    <w:rsid w:val="00BA127E"/>
    <w:rsid w:val="00BA128F"/>
    <w:rsid w:val="00BA12AA"/>
    <w:rsid w:val="00BA12C8"/>
    <w:rsid w:val="00BA1325"/>
    <w:rsid w:val="00BA1342"/>
    <w:rsid w:val="00BA134A"/>
    <w:rsid w:val="00BA13C6"/>
    <w:rsid w:val="00BA13DC"/>
    <w:rsid w:val="00BA13E1"/>
    <w:rsid w:val="00BA1402"/>
    <w:rsid w:val="00BA1436"/>
    <w:rsid w:val="00BA1468"/>
    <w:rsid w:val="00BA14C7"/>
    <w:rsid w:val="00BA1537"/>
    <w:rsid w:val="00BA15DD"/>
    <w:rsid w:val="00BA161A"/>
    <w:rsid w:val="00BA1655"/>
    <w:rsid w:val="00BA1664"/>
    <w:rsid w:val="00BA166B"/>
    <w:rsid w:val="00BA1698"/>
    <w:rsid w:val="00BA16AF"/>
    <w:rsid w:val="00BA16B0"/>
    <w:rsid w:val="00BA1707"/>
    <w:rsid w:val="00BA1749"/>
    <w:rsid w:val="00BA1750"/>
    <w:rsid w:val="00BA1759"/>
    <w:rsid w:val="00BA177A"/>
    <w:rsid w:val="00BA1825"/>
    <w:rsid w:val="00BA183D"/>
    <w:rsid w:val="00BA1864"/>
    <w:rsid w:val="00BA1883"/>
    <w:rsid w:val="00BA1913"/>
    <w:rsid w:val="00BA1979"/>
    <w:rsid w:val="00BA1986"/>
    <w:rsid w:val="00BA199F"/>
    <w:rsid w:val="00BA19B6"/>
    <w:rsid w:val="00BA19DB"/>
    <w:rsid w:val="00BA1A06"/>
    <w:rsid w:val="00BA1A8F"/>
    <w:rsid w:val="00BA1A92"/>
    <w:rsid w:val="00BA1AC0"/>
    <w:rsid w:val="00BA1B21"/>
    <w:rsid w:val="00BA1B68"/>
    <w:rsid w:val="00BA1B6F"/>
    <w:rsid w:val="00BA1B88"/>
    <w:rsid w:val="00BA1B95"/>
    <w:rsid w:val="00BA1BA5"/>
    <w:rsid w:val="00BA1BD0"/>
    <w:rsid w:val="00BA1C43"/>
    <w:rsid w:val="00BA1C7C"/>
    <w:rsid w:val="00BA1C86"/>
    <w:rsid w:val="00BA1CB5"/>
    <w:rsid w:val="00BA1CF1"/>
    <w:rsid w:val="00BA1CFC"/>
    <w:rsid w:val="00BA1CFE"/>
    <w:rsid w:val="00BA1D3A"/>
    <w:rsid w:val="00BA1D49"/>
    <w:rsid w:val="00BA1DC3"/>
    <w:rsid w:val="00BA1DDC"/>
    <w:rsid w:val="00BA1DDD"/>
    <w:rsid w:val="00BA1DE3"/>
    <w:rsid w:val="00BA1DF5"/>
    <w:rsid w:val="00BA1E1A"/>
    <w:rsid w:val="00BA1E25"/>
    <w:rsid w:val="00BA1E39"/>
    <w:rsid w:val="00BA1E45"/>
    <w:rsid w:val="00BA1E8D"/>
    <w:rsid w:val="00BA1EE5"/>
    <w:rsid w:val="00BA1EF3"/>
    <w:rsid w:val="00BA1EF5"/>
    <w:rsid w:val="00BA1F03"/>
    <w:rsid w:val="00BA1F2B"/>
    <w:rsid w:val="00BA1F98"/>
    <w:rsid w:val="00BA1FA8"/>
    <w:rsid w:val="00BA1FB3"/>
    <w:rsid w:val="00BA1FB6"/>
    <w:rsid w:val="00BA1FDA"/>
    <w:rsid w:val="00BA1FF6"/>
    <w:rsid w:val="00BA1FF9"/>
    <w:rsid w:val="00BA201E"/>
    <w:rsid w:val="00BA2026"/>
    <w:rsid w:val="00BA20AD"/>
    <w:rsid w:val="00BA20D4"/>
    <w:rsid w:val="00BA20E5"/>
    <w:rsid w:val="00BA20E9"/>
    <w:rsid w:val="00BA2115"/>
    <w:rsid w:val="00BA212A"/>
    <w:rsid w:val="00BA214A"/>
    <w:rsid w:val="00BA217A"/>
    <w:rsid w:val="00BA2198"/>
    <w:rsid w:val="00BA21CC"/>
    <w:rsid w:val="00BA2236"/>
    <w:rsid w:val="00BA224B"/>
    <w:rsid w:val="00BA2253"/>
    <w:rsid w:val="00BA22E8"/>
    <w:rsid w:val="00BA22ED"/>
    <w:rsid w:val="00BA2328"/>
    <w:rsid w:val="00BA237C"/>
    <w:rsid w:val="00BA23B3"/>
    <w:rsid w:val="00BA23FE"/>
    <w:rsid w:val="00BA2420"/>
    <w:rsid w:val="00BA2429"/>
    <w:rsid w:val="00BA2466"/>
    <w:rsid w:val="00BA247A"/>
    <w:rsid w:val="00BA2487"/>
    <w:rsid w:val="00BA24A9"/>
    <w:rsid w:val="00BA24E0"/>
    <w:rsid w:val="00BA24E9"/>
    <w:rsid w:val="00BA2507"/>
    <w:rsid w:val="00BA251C"/>
    <w:rsid w:val="00BA2537"/>
    <w:rsid w:val="00BA253A"/>
    <w:rsid w:val="00BA2599"/>
    <w:rsid w:val="00BA25B0"/>
    <w:rsid w:val="00BA25B2"/>
    <w:rsid w:val="00BA25C2"/>
    <w:rsid w:val="00BA2602"/>
    <w:rsid w:val="00BA2640"/>
    <w:rsid w:val="00BA2674"/>
    <w:rsid w:val="00BA2677"/>
    <w:rsid w:val="00BA2684"/>
    <w:rsid w:val="00BA26D4"/>
    <w:rsid w:val="00BA26FE"/>
    <w:rsid w:val="00BA272C"/>
    <w:rsid w:val="00BA2746"/>
    <w:rsid w:val="00BA276D"/>
    <w:rsid w:val="00BA2790"/>
    <w:rsid w:val="00BA27AD"/>
    <w:rsid w:val="00BA27CE"/>
    <w:rsid w:val="00BA27F8"/>
    <w:rsid w:val="00BA2849"/>
    <w:rsid w:val="00BA2859"/>
    <w:rsid w:val="00BA2879"/>
    <w:rsid w:val="00BA2895"/>
    <w:rsid w:val="00BA289D"/>
    <w:rsid w:val="00BA28B2"/>
    <w:rsid w:val="00BA290F"/>
    <w:rsid w:val="00BA2910"/>
    <w:rsid w:val="00BA293B"/>
    <w:rsid w:val="00BA2946"/>
    <w:rsid w:val="00BA298B"/>
    <w:rsid w:val="00BA2A9E"/>
    <w:rsid w:val="00BA2AAC"/>
    <w:rsid w:val="00BA2AE7"/>
    <w:rsid w:val="00BA2B09"/>
    <w:rsid w:val="00BA2B93"/>
    <w:rsid w:val="00BA2BAC"/>
    <w:rsid w:val="00BA2BB0"/>
    <w:rsid w:val="00BA2BCC"/>
    <w:rsid w:val="00BA2C1A"/>
    <w:rsid w:val="00BA2C25"/>
    <w:rsid w:val="00BA2C29"/>
    <w:rsid w:val="00BA2C42"/>
    <w:rsid w:val="00BA2C92"/>
    <w:rsid w:val="00BA2CF7"/>
    <w:rsid w:val="00BA2D1B"/>
    <w:rsid w:val="00BA2D21"/>
    <w:rsid w:val="00BA2D51"/>
    <w:rsid w:val="00BA2D58"/>
    <w:rsid w:val="00BA2D76"/>
    <w:rsid w:val="00BA2D8A"/>
    <w:rsid w:val="00BA2D91"/>
    <w:rsid w:val="00BA2D9D"/>
    <w:rsid w:val="00BA2DB9"/>
    <w:rsid w:val="00BA2DBE"/>
    <w:rsid w:val="00BA2DDC"/>
    <w:rsid w:val="00BA2E12"/>
    <w:rsid w:val="00BA2E2F"/>
    <w:rsid w:val="00BA2E3A"/>
    <w:rsid w:val="00BA2E7F"/>
    <w:rsid w:val="00BA2E84"/>
    <w:rsid w:val="00BA2E9F"/>
    <w:rsid w:val="00BA2EAE"/>
    <w:rsid w:val="00BA2EB3"/>
    <w:rsid w:val="00BA2EB4"/>
    <w:rsid w:val="00BA2EBA"/>
    <w:rsid w:val="00BA2EDC"/>
    <w:rsid w:val="00BA2EE7"/>
    <w:rsid w:val="00BA2F34"/>
    <w:rsid w:val="00BA2FC2"/>
    <w:rsid w:val="00BA2FC4"/>
    <w:rsid w:val="00BA2FE2"/>
    <w:rsid w:val="00BA2FEF"/>
    <w:rsid w:val="00BA301B"/>
    <w:rsid w:val="00BA3050"/>
    <w:rsid w:val="00BA3064"/>
    <w:rsid w:val="00BA3070"/>
    <w:rsid w:val="00BA308C"/>
    <w:rsid w:val="00BA3097"/>
    <w:rsid w:val="00BA30D0"/>
    <w:rsid w:val="00BA30E6"/>
    <w:rsid w:val="00BA30F5"/>
    <w:rsid w:val="00BA3122"/>
    <w:rsid w:val="00BA313B"/>
    <w:rsid w:val="00BA3152"/>
    <w:rsid w:val="00BA315F"/>
    <w:rsid w:val="00BA318F"/>
    <w:rsid w:val="00BA319D"/>
    <w:rsid w:val="00BA31F8"/>
    <w:rsid w:val="00BA31FE"/>
    <w:rsid w:val="00BA324D"/>
    <w:rsid w:val="00BA3257"/>
    <w:rsid w:val="00BA3264"/>
    <w:rsid w:val="00BA32AB"/>
    <w:rsid w:val="00BA332A"/>
    <w:rsid w:val="00BA3368"/>
    <w:rsid w:val="00BA33C7"/>
    <w:rsid w:val="00BA33CA"/>
    <w:rsid w:val="00BA33D9"/>
    <w:rsid w:val="00BA341C"/>
    <w:rsid w:val="00BA3434"/>
    <w:rsid w:val="00BA3494"/>
    <w:rsid w:val="00BA34B5"/>
    <w:rsid w:val="00BA3510"/>
    <w:rsid w:val="00BA3524"/>
    <w:rsid w:val="00BA3574"/>
    <w:rsid w:val="00BA3589"/>
    <w:rsid w:val="00BA360B"/>
    <w:rsid w:val="00BA362F"/>
    <w:rsid w:val="00BA3634"/>
    <w:rsid w:val="00BA367C"/>
    <w:rsid w:val="00BA36C5"/>
    <w:rsid w:val="00BA36DB"/>
    <w:rsid w:val="00BA3725"/>
    <w:rsid w:val="00BA3783"/>
    <w:rsid w:val="00BA37F2"/>
    <w:rsid w:val="00BA3884"/>
    <w:rsid w:val="00BA38CD"/>
    <w:rsid w:val="00BA3906"/>
    <w:rsid w:val="00BA3915"/>
    <w:rsid w:val="00BA392A"/>
    <w:rsid w:val="00BA39A2"/>
    <w:rsid w:val="00BA39AA"/>
    <w:rsid w:val="00BA39AC"/>
    <w:rsid w:val="00BA39E2"/>
    <w:rsid w:val="00BA39EC"/>
    <w:rsid w:val="00BA3A20"/>
    <w:rsid w:val="00BA3A7C"/>
    <w:rsid w:val="00BA3A86"/>
    <w:rsid w:val="00BA3AB5"/>
    <w:rsid w:val="00BA3AF9"/>
    <w:rsid w:val="00BA3B19"/>
    <w:rsid w:val="00BA3B53"/>
    <w:rsid w:val="00BA3B5E"/>
    <w:rsid w:val="00BA3B72"/>
    <w:rsid w:val="00BA3BD2"/>
    <w:rsid w:val="00BA3BD6"/>
    <w:rsid w:val="00BA3BDA"/>
    <w:rsid w:val="00BA3BE9"/>
    <w:rsid w:val="00BA3C16"/>
    <w:rsid w:val="00BA3C2A"/>
    <w:rsid w:val="00BA3C2C"/>
    <w:rsid w:val="00BA3CD0"/>
    <w:rsid w:val="00BA3CD9"/>
    <w:rsid w:val="00BA3CE8"/>
    <w:rsid w:val="00BA3D55"/>
    <w:rsid w:val="00BA3DB5"/>
    <w:rsid w:val="00BA3DB6"/>
    <w:rsid w:val="00BA3DD4"/>
    <w:rsid w:val="00BA3DE5"/>
    <w:rsid w:val="00BA3DEC"/>
    <w:rsid w:val="00BA3E01"/>
    <w:rsid w:val="00BA3E44"/>
    <w:rsid w:val="00BA3E97"/>
    <w:rsid w:val="00BA3EBF"/>
    <w:rsid w:val="00BA3ED1"/>
    <w:rsid w:val="00BA3EFC"/>
    <w:rsid w:val="00BA3F24"/>
    <w:rsid w:val="00BA3F46"/>
    <w:rsid w:val="00BA3F7F"/>
    <w:rsid w:val="00BA3F80"/>
    <w:rsid w:val="00BA3F81"/>
    <w:rsid w:val="00BA3FFB"/>
    <w:rsid w:val="00BA403F"/>
    <w:rsid w:val="00BA4069"/>
    <w:rsid w:val="00BA406A"/>
    <w:rsid w:val="00BA4082"/>
    <w:rsid w:val="00BA4083"/>
    <w:rsid w:val="00BA40B7"/>
    <w:rsid w:val="00BA40CA"/>
    <w:rsid w:val="00BA40D0"/>
    <w:rsid w:val="00BA40E5"/>
    <w:rsid w:val="00BA4127"/>
    <w:rsid w:val="00BA4150"/>
    <w:rsid w:val="00BA4186"/>
    <w:rsid w:val="00BA41B9"/>
    <w:rsid w:val="00BA4202"/>
    <w:rsid w:val="00BA42ED"/>
    <w:rsid w:val="00BA4379"/>
    <w:rsid w:val="00BA4391"/>
    <w:rsid w:val="00BA43C1"/>
    <w:rsid w:val="00BA43E4"/>
    <w:rsid w:val="00BA4473"/>
    <w:rsid w:val="00BA448E"/>
    <w:rsid w:val="00BA44B5"/>
    <w:rsid w:val="00BA4520"/>
    <w:rsid w:val="00BA4580"/>
    <w:rsid w:val="00BA45AD"/>
    <w:rsid w:val="00BA45B4"/>
    <w:rsid w:val="00BA45DA"/>
    <w:rsid w:val="00BA45E4"/>
    <w:rsid w:val="00BA4601"/>
    <w:rsid w:val="00BA4609"/>
    <w:rsid w:val="00BA460A"/>
    <w:rsid w:val="00BA4645"/>
    <w:rsid w:val="00BA465C"/>
    <w:rsid w:val="00BA468B"/>
    <w:rsid w:val="00BA469A"/>
    <w:rsid w:val="00BA46A5"/>
    <w:rsid w:val="00BA46C7"/>
    <w:rsid w:val="00BA46F9"/>
    <w:rsid w:val="00BA4732"/>
    <w:rsid w:val="00BA4773"/>
    <w:rsid w:val="00BA477E"/>
    <w:rsid w:val="00BA47FA"/>
    <w:rsid w:val="00BA487B"/>
    <w:rsid w:val="00BA487C"/>
    <w:rsid w:val="00BA4882"/>
    <w:rsid w:val="00BA4898"/>
    <w:rsid w:val="00BA48A0"/>
    <w:rsid w:val="00BA496D"/>
    <w:rsid w:val="00BA49D7"/>
    <w:rsid w:val="00BA49F9"/>
    <w:rsid w:val="00BA4A18"/>
    <w:rsid w:val="00BA4A20"/>
    <w:rsid w:val="00BA4A54"/>
    <w:rsid w:val="00BA4A6A"/>
    <w:rsid w:val="00BA4A8C"/>
    <w:rsid w:val="00BA4B25"/>
    <w:rsid w:val="00BA4B4E"/>
    <w:rsid w:val="00BA4B70"/>
    <w:rsid w:val="00BA4B9B"/>
    <w:rsid w:val="00BA4BB3"/>
    <w:rsid w:val="00BA4BD4"/>
    <w:rsid w:val="00BA4BEB"/>
    <w:rsid w:val="00BA4C3C"/>
    <w:rsid w:val="00BA4C57"/>
    <w:rsid w:val="00BA4C90"/>
    <w:rsid w:val="00BA4CA6"/>
    <w:rsid w:val="00BA4CDB"/>
    <w:rsid w:val="00BA4DC1"/>
    <w:rsid w:val="00BA4DEB"/>
    <w:rsid w:val="00BA4DF8"/>
    <w:rsid w:val="00BA4E1F"/>
    <w:rsid w:val="00BA4E67"/>
    <w:rsid w:val="00BA4E82"/>
    <w:rsid w:val="00BA4F1D"/>
    <w:rsid w:val="00BA4F84"/>
    <w:rsid w:val="00BA4F96"/>
    <w:rsid w:val="00BA4FA7"/>
    <w:rsid w:val="00BA4FBA"/>
    <w:rsid w:val="00BA4FC2"/>
    <w:rsid w:val="00BA4FF5"/>
    <w:rsid w:val="00BA5002"/>
    <w:rsid w:val="00BA503E"/>
    <w:rsid w:val="00BA5091"/>
    <w:rsid w:val="00BA50C0"/>
    <w:rsid w:val="00BA50D6"/>
    <w:rsid w:val="00BA50EC"/>
    <w:rsid w:val="00BA5113"/>
    <w:rsid w:val="00BA5169"/>
    <w:rsid w:val="00BA5194"/>
    <w:rsid w:val="00BA51EE"/>
    <w:rsid w:val="00BA51F7"/>
    <w:rsid w:val="00BA5236"/>
    <w:rsid w:val="00BA5241"/>
    <w:rsid w:val="00BA525F"/>
    <w:rsid w:val="00BA5274"/>
    <w:rsid w:val="00BA527E"/>
    <w:rsid w:val="00BA52A7"/>
    <w:rsid w:val="00BA52B2"/>
    <w:rsid w:val="00BA5319"/>
    <w:rsid w:val="00BA5330"/>
    <w:rsid w:val="00BA5344"/>
    <w:rsid w:val="00BA535B"/>
    <w:rsid w:val="00BA536B"/>
    <w:rsid w:val="00BA53BF"/>
    <w:rsid w:val="00BA53D8"/>
    <w:rsid w:val="00BA53E6"/>
    <w:rsid w:val="00BA5409"/>
    <w:rsid w:val="00BA5426"/>
    <w:rsid w:val="00BA5471"/>
    <w:rsid w:val="00BA549B"/>
    <w:rsid w:val="00BA551C"/>
    <w:rsid w:val="00BA5521"/>
    <w:rsid w:val="00BA5528"/>
    <w:rsid w:val="00BA5566"/>
    <w:rsid w:val="00BA55B3"/>
    <w:rsid w:val="00BA55C9"/>
    <w:rsid w:val="00BA55D0"/>
    <w:rsid w:val="00BA55E8"/>
    <w:rsid w:val="00BA5604"/>
    <w:rsid w:val="00BA5662"/>
    <w:rsid w:val="00BA56C1"/>
    <w:rsid w:val="00BA5740"/>
    <w:rsid w:val="00BA574E"/>
    <w:rsid w:val="00BA576C"/>
    <w:rsid w:val="00BA57F7"/>
    <w:rsid w:val="00BA58D5"/>
    <w:rsid w:val="00BA598E"/>
    <w:rsid w:val="00BA59E7"/>
    <w:rsid w:val="00BA5A0E"/>
    <w:rsid w:val="00BA5A4D"/>
    <w:rsid w:val="00BA5A68"/>
    <w:rsid w:val="00BA5A90"/>
    <w:rsid w:val="00BA5A9B"/>
    <w:rsid w:val="00BA5A9F"/>
    <w:rsid w:val="00BA5AB0"/>
    <w:rsid w:val="00BA5ABD"/>
    <w:rsid w:val="00BA5AEE"/>
    <w:rsid w:val="00BA5AFD"/>
    <w:rsid w:val="00BA5B16"/>
    <w:rsid w:val="00BA5B41"/>
    <w:rsid w:val="00BA5B5A"/>
    <w:rsid w:val="00BA5B72"/>
    <w:rsid w:val="00BA5B79"/>
    <w:rsid w:val="00BA5BB3"/>
    <w:rsid w:val="00BA5BC6"/>
    <w:rsid w:val="00BA5BCE"/>
    <w:rsid w:val="00BA5BE3"/>
    <w:rsid w:val="00BA5BE7"/>
    <w:rsid w:val="00BA5BFF"/>
    <w:rsid w:val="00BA5C74"/>
    <w:rsid w:val="00BA5C75"/>
    <w:rsid w:val="00BA5C80"/>
    <w:rsid w:val="00BA5C8E"/>
    <w:rsid w:val="00BA5C99"/>
    <w:rsid w:val="00BA5CC5"/>
    <w:rsid w:val="00BA5CF5"/>
    <w:rsid w:val="00BA5CFD"/>
    <w:rsid w:val="00BA5D3B"/>
    <w:rsid w:val="00BA5D4B"/>
    <w:rsid w:val="00BA5D5D"/>
    <w:rsid w:val="00BA5D7B"/>
    <w:rsid w:val="00BA5D7E"/>
    <w:rsid w:val="00BA5D87"/>
    <w:rsid w:val="00BA5DD7"/>
    <w:rsid w:val="00BA5DE0"/>
    <w:rsid w:val="00BA5DEC"/>
    <w:rsid w:val="00BA5DED"/>
    <w:rsid w:val="00BA5E05"/>
    <w:rsid w:val="00BA5E76"/>
    <w:rsid w:val="00BA5E9C"/>
    <w:rsid w:val="00BA5EE7"/>
    <w:rsid w:val="00BA5EFF"/>
    <w:rsid w:val="00BA5F58"/>
    <w:rsid w:val="00BA5F95"/>
    <w:rsid w:val="00BA6028"/>
    <w:rsid w:val="00BA605A"/>
    <w:rsid w:val="00BA6076"/>
    <w:rsid w:val="00BA6097"/>
    <w:rsid w:val="00BA6198"/>
    <w:rsid w:val="00BA61BB"/>
    <w:rsid w:val="00BA61E5"/>
    <w:rsid w:val="00BA620C"/>
    <w:rsid w:val="00BA6240"/>
    <w:rsid w:val="00BA62A4"/>
    <w:rsid w:val="00BA633B"/>
    <w:rsid w:val="00BA6379"/>
    <w:rsid w:val="00BA6389"/>
    <w:rsid w:val="00BA63B4"/>
    <w:rsid w:val="00BA6410"/>
    <w:rsid w:val="00BA6457"/>
    <w:rsid w:val="00BA64BB"/>
    <w:rsid w:val="00BA64FE"/>
    <w:rsid w:val="00BA6534"/>
    <w:rsid w:val="00BA6547"/>
    <w:rsid w:val="00BA65B4"/>
    <w:rsid w:val="00BA65BF"/>
    <w:rsid w:val="00BA65F8"/>
    <w:rsid w:val="00BA6613"/>
    <w:rsid w:val="00BA664F"/>
    <w:rsid w:val="00BA6675"/>
    <w:rsid w:val="00BA6682"/>
    <w:rsid w:val="00BA669E"/>
    <w:rsid w:val="00BA66DD"/>
    <w:rsid w:val="00BA66F1"/>
    <w:rsid w:val="00BA6712"/>
    <w:rsid w:val="00BA6736"/>
    <w:rsid w:val="00BA6758"/>
    <w:rsid w:val="00BA676E"/>
    <w:rsid w:val="00BA6789"/>
    <w:rsid w:val="00BA678D"/>
    <w:rsid w:val="00BA67DA"/>
    <w:rsid w:val="00BA6822"/>
    <w:rsid w:val="00BA6828"/>
    <w:rsid w:val="00BA6831"/>
    <w:rsid w:val="00BA685D"/>
    <w:rsid w:val="00BA687A"/>
    <w:rsid w:val="00BA68F1"/>
    <w:rsid w:val="00BA6903"/>
    <w:rsid w:val="00BA690A"/>
    <w:rsid w:val="00BA6941"/>
    <w:rsid w:val="00BA69A8"/>
    <w:rsid w:val="00BA69BA"/>
    <w:rsid w:val="00BA69C3"/>
    <w:rsid w:val="00BA69F4"/>
    <w:rsid w:val="00BA69FF"/>
    <w:rsid w:val="00BA6A4D"/>
    <w:rsid w:val="00BA6AA8"/>
    <w:rsid w:val="00BA6ACF"/>
    <w:rsid w:val="00BA6B55"/>
    <w:rsid w:val="00BA6B7D"/>
    <w:rsid w:val="00BA6BA4"/>
    <w:rsid w:val="00BA6BA8"/>
    <w:rsid w:val="00BA6BB1"/>
    <w:rsid w:val="00BA6BDD"/>
    <w:rsid w:val="00BA6BF9"/>
    <w:rsid w:val="00BA6C06"/>
    <w:rsid w:val="00BA6C1B"/>
    <w:rsid w:val="00BA6C40"/>
    <w:rsid w:val="00BA6C4A"/>
    <w:rsid w:val="00BA6C58"/>
    <w:rsid w:val="00BA6C74"/>
    <w:rsid w:val="00BA6C7F"/>
    <w:rsid w:val="00BA6C8A"/>
    <w:rsid w:val="00BA6CAA"/>
    <w:rsid w:val="00BA6CE1"/>
    <w:rsid w:val="00BA6D39"/>
    <w:rsid w:val="00BA6D48"/>
    <w:rsid w:val="00BA6D49"/>
    <w:rsid w:val="00BA6D55"/>
    <w:rsid w:val="00BA6D79"/>
    <w:rsid w:val="00BA6D90"/>
    <w:rsid w:val="00BA6DFA"/>
    <w:rsid w:val="00BA6E6B"/>
    <w:rsid w:val="00BA6E7F"/>
    <w:rsid w:val="00BA6E98"/>
    <w:rsid w:val="00BA6E9B"/>
    <w:rsid w:val="00BA6EB3"/>
    <w:rsid w:val="00BA6EC9"/>
    <w:rsid w:val="00BA6EEF"/>
    <w:rsid w:val="00BA6F3B"/>
    <w:rsid w:val="00BA6F46"/>
    <w:rsid w:val="00BA6F67"/>
    <w:rsid w:val="00BA6F75"/>
    <w:rsid w:val="00BA6FBC"/>
    <w:rsid w:val="00BA6FEE"/>
    <w:rsid w:val="00BA6FF7"/>
    <w:rsid w:val="00BA7018"/>
    <w:rsid w:val="00BA7075"/>
    <w:rsid w:val="00BA70EA"/>
    <w:rsid w:val="00BA70EE"/>
    <w:rsid w:val="00BA7113"/>
    <w:rsid w:val="00BA7139"/>
    <w:rsid w:val="00BA714E"/>
    <w:rsid w:val="00BA71A8"/>
    <w:rsid w:val="00BA71CF"/>
    <w:rsid w:val="00BA71DF"/>
    <w:rsid w:val="00BA7201"/>
    <w:rsid w:val="00BA7257"/>
    <w:rsid w:val="00BA72BD"/>
    <w:rsid w:val="00BA72F0"/>
    <w:rsid w:val="00BA72F9"/>
    <w:rsid w:val="00BA730C"/>
    <w:rsid w:val="00BA733F"/>
    <w:rsid w:val="00BA7344"/>
    <w:rsid w:val="00BA7381"/>
    <w:rsid w:val="00BA7395"/>
    <w:rsid w:val="00BA740A"/>
    <w:rsid w:val="00BA7446"/>
    <w:rsid w:val="00BA7455"/>
    <w:rsid w:val="00BA745E"/>
    <w:rsid w:val="00BA7469"/>
    <w:rsid w:val="00BA7478"/>
    <w:rsid w:val="00BA7482"/>
    <w:rsid w:val="00BA749F"/>
    <w:rsid w:val="00BA74DC"/>
    <w:rsid w:val="00BA7587"/>
    <w:rsid w:val="00BA75ED"/>
    <w:rsid w:val="00BA7601"/>
    <w:rsid w:val="00BA7656"/>
    <w:rsid w:val="00BA7689"/>
    <w:rsid w:val="00BA769B"/>
    <w:rsid w:val="00BA76B7"/>
    <w:rsid w:val="00BA76DF"/>
    <w:rsid w:val="00BA772B"/>
    <w:rsid w:val="00BA7730"/>
    <w:rsid w:val="00BA7756"/>
    <w:rsid w:val="00BA777E"/>
    <w:rsid w:val="00BA778D"/>
    <w:rsid w:val="00BA77A9"/>
    <w:rsid w:val="00BA77BA"/>
    <w:rsid w:val="00BA77E3"/>
    <w:rsid w:val="00BA7802"/>
    <w:rsid w:val="00BA783F"/>
    <w:rsid w:val="00BA788B"/>
    <w:rsid w:val="00BA78A7"/>
    <w:rsid w:val="00BA78E8"/>
    <w:rsid w:val="00BA798B"/>
    <w:rsid w:val="00BA79B9"/>
    <w:rsid w:val="00BA79DE"/>
    <w:rsid w:val="00BA79E4"/>
    <w:rsid w:val="00BA7AB6"/>
    <w:rsid w:val="00BA7ABF"/>
    <w:rsid w:val="00BA7AF3"/>
    <w:rsid w:val="00BA7B20"/>
    <w:rsid w:val="00BA7B66"/>
    <w:rsid w:val="00BA7B6E"/>
    <w:rsid w:val="00BA7BA4"/>
    <w:rsid w:val="00BA7C42"/>
    <w:rsid w:val="00BA7C7F"/>
    <w:rsid w:val="00BA7C89"/>
    <w:rsid w:val="00BA7C8C"/>
    <w:rsid w:val="00BA7CDD"/>
    <w:rsid w:val="00BA7CF1"/>
    <w:rsid w:val="00BA7D96"/>
    <w:rsid w:val="00BA7DA6"/>
    <w:rsid w:val="00BA7DAC"/>
    <w:rsid w:val="00BA7DC4"/>
    <w:rsid w:val="00BA7DE4"/>
    <w:rsid w:val="00BA7E07"/>
    <w:rsid w:val="00BA7E15"/>
    <w:rsid w:val="00BA7F41"/>
    <w:rsid w:val="00BA7F65"/>
    <w:rsid w:val="00BA7F79"/>
    <w:rsid w:val="00BA7F97"/>
    <w:rsid w:val="00BA7F9A"/>
    <w:rsid w:val="00BA7FA9"/>
    <w:rsid w:val="00BA7FBF"/>
    <w:rsid w:val="00BA7FED"/>
    <w:rsid w:val="00BA7FF6"/>
    <w:rsid w:val="00BB0004"/>
    <w:rsid w:val="00BB001C"/>
    <w:rsid w:val="00BB00AE"/>
    <w:rsid w:val="00BB00EC"/>
    <w:rsid w:val="00BB011A"/>
    <w:rsid w:val="00BB0145"/>
    <w:rsid w:val="00BB01B6"/>
    <w:rsid w:val="00BB01E0"/>
    <w:rsid w:val="00BB01E5"/>
    <w:rsid w:val="00BB01F7"/>
    <w:rsid w:val="00BB0230"/>
    <w:rsid w:val="00BB023F"/>
    <w:rsid w:val="00BB024B"/>
    <w:rsid w:val="00BB025F"/>
    <w:rsid w:val="00BB0272"/>
    <w:rsid w:val="00BB02BC"/>
    <w:rsid w:val="00BB02C4"/>
    <w:rsid w:val="00BB02D4"/>
    <w:rsid w:val="00BB030B"/>
    <w:rsid w:val="00BB031B"/>
    <w:rsid w:val="00BB033A"/>
    <w:rsid w:val="00BB0377"/>
    <w:rsid w:val="00BB0413"/>
    <w:rsid w:val="00BB0440"/>
    <w:rsid w:val="00BB0469"/>
    <w:rsid w:val="00BB0487"/>
    <w:rsid w:val="00BB04B9"/>
    <w:rsid w:val="00BB0518"/>
    <w:rsid w:val="00BB0536"/>
    <w:rsid w:val="00BB0565"/>
    <w:rsid w:val="00BB0581"/>
    <w:rsid w:val="00BB058D"/>
    <w:rsid w:val="00BB05CC"/>
    <w:rsid w:val="00BB05ED"/>
    <w:rsid w:val="00BB061A"/>
    <w:rsid w:val="00BB062E"/>
    <w:rsid w:val="00BB0673"/>
    <w:rsid w:val="00BB067C"/>
    <w:rsid w:val="00BB0699"/>
    <w:rsid w:val="00BB06A0"/>
    <w:rsid w:val="00BB06B6"/>
    <w:rsid w:val="00BB0724"/>
    <w:rsid w:val="00BB072A"/>
    <w:rsid w:val="00BB073A"/>
    <w:rsid w:val="00BB0758"/>
    <w:rsid w:val="00BB0767"/>
    <w:rsid w:val="00BB077E"/>
    <w:rsid w:val="00BB0845"/>
    <w:rsid w:val="00BB0885"/>
    <w:rsid w:val="00BB0893"/>
    <w:rsid w:val="00BB08CC"/>
    <w:rsid w:val="00BB08E0"/>
    <w:rsid w:val="00BB091F"/>
    <w:rsid w:val="00BB095D"/>
    <w:rsid w:val="00BB097A"/>
    <w:rsid w:val="00BB09BC"/>
    <w:rsid w:val="00BB09EE"/>
    <w:rsid w:val="00BB0A0C"/>
    <w:rsid w:val="00BB0A29"/>
    <w:rsid w:val="00BB0A40"/>
    <w:rsid w:val="00BB0AB3"/>
    <w:rsid w:val="00BB0AF6"/>
    <w:rsid w:val="00BB0B0B"/>
    <w:rsid w:val="00BB0B2E"/>
    <w:rsid w:val="00BB0B98"/>
    <w:rsid w:val="00BB0B9F"/>
    <w:rsid w:val="00BB0BD6"/>
    <w:rsid w:val="00BB0BD7"/>
    <w:rsid w:val="00BB0C37"/>
    <w:rsid w:val="00BB0C6B"/>
    <w:rsid w:val="00BB0CED"/>
    <w:rsid w:val="00BB0D02"/>
    <w:rsid w:val="00BB0D05"/>
    <w:rsid w:val="00BB0D0E"/>
    <w:rsid w:val="00BB0D2B"/>
    <w:rsid w:val="00BB0D7A"/>
    <w:rsid w:val="00BB0DA2"/>
    <w:rsid w:val="00BB0DAE"/>
    <w:rsid w:val="00BB0DD1"/>
    <w:rsid w:val="00BB0DFC"/>
    <w:rsid w:val="00BB0E02"/>
    <w:rsid w:val="00BB0E16"/>
    <w:rsid w:val="00BB0E85"/>
    <w:rsid w:val="00BB0F09"/>
    <w:rsid w:val="00BB0F65"/>
    <w:rsid w:val="00BB0F6F"/>
    <w:rsid w:val="00BB0F82"/>
    <w:rsid w:val="00BB0F88"/>
    <w:rsid w:val="00BB100C"/>
    <w:rsid w:val="00BB1011"/>
    <w:rsid w:val="00BB106D"/>
    <w:rsid w:val="00BB1098"/>
    <w:rsid w:val="00BB109F"/>
    <w:rsid w:val="00BB10DE"/>
    <w:rsid w:val="00BB10E1"/>
    <w:rsid w:val="00BB10FE"/>
    <w:rsid w:val="00BB110C"/>
    <w:rsid w:val="00BB1141"/>
    <w:rsid w:val="00BB1156"/>
    <w:rsid w:val="00BB115C"/>
    <w:rsid w:val="00BB11B1"/>
    <w:rsid w:val="00BB11CC"/>
    <w:rsid w:val="00BB11E7"/>
    <w:rsid w:val="00BB1219"/>
    <w:rsid w:val="00BB1271"/>
    <w:rsid w:val="00BB1280"/>
    <w:rsid w:val="00BB129B"/>
    <w:rsid w:val="00BB12B4"/>
    <w:rsid w:val="00BB12BF"/>
    <w:rsid w:val="00BB12EE"/>
    <w:rsid w:val="00BB1315"/>
    <w:rsid w:val="00BB1330"/>
    <w:rsid w:val="00BB1338"/>
    <w:rsid w:val="00BB1339"/>
    <w:rsid w:val="00BB133D"/>
    <w:rsid w:val="00BB1371"/>
    <w:rsid w:val="00BB13E8"/>
    <w:rsid w:val="00BB1405"/>
    <w:rsid w:val="00BB142F"/>
    <w:rsid w:val="00BB1452"/>
    <w:rsid w:val="00BB14D7"/>
    <w:rsid w:val="00BB14DC"/>
    <w:rsid w:val="00BB14EE"/>
    <w:rsid w:val="00BB14FB"/>
    <w:rsid w:val="00BB1504"/>
    <w:rsid w:val="00BB1566"/>
    <w:rsid w:val="00BB156B"/>
    <w:rsid w:val="00BB15C7"/>
    <w:rsid w:val="00BB1624"/>
    <w:rsid w:val="00BB1691"/>
    <w:rsid w:val="00BB16B9"/>
    <w:rsid w:val="00BB1706"/>
    <w:rsid w:val="00BB1724"/>
    <w:rsid w:val="00BB175F"/>
    <w:rsid w:val="00BB17A4"/>
    <w:rsid w:val="00BB17BE"/>
    <w:rsid w:val="00BB183A"/>
    <w:rsid w:val="00BB184B"/>
    <w:rsid w:val="00BB184E"/>
    <w:rsid w:val="00BB187D"/>
    <w:rsid w:val="00BB188B"/>
    <w:rsid w:val="00BB18A2"/>
    <w:rsid w:val="00BB18CE"/>
    <w:rsid w:val="00BB18F4"/>
    <w:rsid w:val="00BB1906"/>
    <w:rsid w:val="00BB1907"/>
    <w:rsid w:val="00BB1925"/>
    <w:rsid w:val="00BB1968"/>
    <w:rsid w:val="00BB1982"/>
    <w:rsid w:val="00BB1996"/>
    <w:rsid w:val="00BB19A5"/>
    <w:rsid w:val="00BB19BC"/>
    <w:rsid w:val="00BB19C0"/>
    <w:rsid w:val="00BB19E5"/>
    <w:rsid w:val="00BB19F7"/>
    <w:rsid w:val="00BB1A21"/>
    <w:rsid w:val="00BB1A30"/>
    <w:rsid w:val="00BB1A4B"/>
    <w:rsid w:val="00BB1A89"/>
    <w:rsid w:val="00BB1A92"/>
    <w:rsid w:val="00BB1ACD"/>
    <w:rsid w:val="00BB1B12"/>
    <w:rsid w:val="00BB1B21"/>
    <w:rsid w:val="00BB1B38"/>
    <w:rsid w:val="00BB1B4E"/>
    <w:rsid w:val="00BB1B50"/>
    <w:rsid w:val="00BB1B87"/>
    <w:rsid w:val="00BB1B9B"/>
    <w:rsid w:val="00BB1BC8"/>
    <w:rsid w:val="00BB1BDC"/>
    <w:rsid w:val="00BB1C2D"/>
    <w:rsid w:val="00BB1C40"/>
    <w:rsid w:val="00BB1C8E"/>
    <w:rsid w:val="00BB1C9B"/>
    <w:rsid w:val="00BB1CC4"/>
    <w:rsid w:val="00BB1CF1"/>
    <w:rsid w:val="00BB1CF7"/>
    <w:rsid w:val="00BB1CF8"/>
    <w:rsid w:val="00BB1D4F"/>
    <w:rsid w:val="00BB1D74"/>
    <w:rsid w:val="00BB1DBD"/>
    <w:rsid w:val="00BB1DCD"/>
    <w:rsid w:val="00BB1DEE"/>
    <w:rsid w:val="00BB1E17"/>
    <w:rsid w:val="00BB1E27"/>
    <w:rsid w:val="00BB1E7D"/>
    <w:rsid w:val="00BB1EBE"/>
    <w:rsid w:val="00BB1EE5"/>
    <w:rsid w:val="00BB1EEE"/>
    <w:rsid w:val="00BB1F23"/>
    <w:rsid w:val="00BB1FC0"/>
    <w:rsid w:val="00BB1FC4"/>
    <w:rsid w:val="00BB203C"/>
    <w:rsid w:val="00BB2064"/>
    <w:rsid w:val="00BB2124"/>
    <w:rsid w:val="00BB212B"/>
    <w:rsid w:val="00BB216E"/>
    <w:rsid w:val="00BB21C5"/>
    <w:rsid w:val="00BB224B"/>
    <w:rsid w:val="00BB225B"/>
    <w:rsid w:val="00BB2288"/>
    <w:rsid w:val="00BB22C5"/>
    <w:rsid w:val="00BB22DD"/>
    <w:rsid w:val="00BB22E1"/>
    <w:rsid w:val="00BB22F6"/>
    <w:rsid w:val="00BB2317"/>
    <w:rsid w:val="00BB231B"/>
    <w:rsid w:val="00BB2381"/>
    <w:rsid w:val="00BB2389"/>
    <w:rsid w:val="00BB2390"/>
    <w:rsid w:val="00BB23B2"/>
    <w:rsid w:val="00BB23EC"/>
    <w:rsid w:val="00BB2402"/>
    <w:rsid w:val="00BB242D"/>
    <w:rsid w:val="00BB2433"/>
    <w:rsid w:val="00BB2445"/>
    <w:rsid w:val="00BB247C"/>
    <w:rsid w:val="00BB254F"/>
    <w:rsid w:val="00BB2550"/>
    <w:rsid w:val="00BB258E"/>
    <w:rsid w:val="00BB25AA"/>
    <w:rsid w:val="00BB25D2"/>
    <w:rsid w:val="00BB25ED"/>
    <w:rsid w:val="00BB25F5"/>
    <w:rsid w:val="00BB25F7"/>
    <w:rsid w:val="00BB2626"/>
    <w:rsid w:val="00BB26B2"/>
    <w:rsid w:val="00BB26B6"/>
    <w:rsid w:val="00BB26FB"/>
    <w:rsid w:val="00BB2702"/>
    <w:rsid w:val="00BB2737"/>
    <w:rsid w:val="00BB276F"/>
    <w:rsid w:val="00BB279D"/>
    <w:rsid w:val="00BB27A8"/>
    <w:rsid w:val="00BB27AE"/>
    <w:rsid w:val="00BB2809"/>
    <w:rsid w:val="00BB281B"/>
    <w:rsid w:val="00BB282C"/>
    <w:rsid w:val="00BB2840"/>
    <w:rsid w:val="00BB2876"/>
    <w:rsid w:val="00BB28A9"/>
    <w:rsid w:val="00BB28B9"/>
    <w:rsid w:val="00BB2947"/>
    <w:rsid w:val="00BB2953"/>
    <w:rsid w:val="00BB2966"/>
    <w:rsid w:val="00BB298F"/>
    <w:rsid w:val="00BB29C0"/>
    <w:rsid w:val="00BB29D8"/>
    <w:rsid w:val="00BB2A00"/>
    <w:rsid w:val="00BB2A27"/>
    <w:rsid w:val="00BB2A78"/>
    <w:rsid w:val="00BB2A7D"/>
    <w:rsid w:val="00BB2AA0"/>
    <w:rsid w:val="00BB2AB2"/>
    <w:rsid w:val="00BB2ACE"/>
    <w:rsid w:val="00BB2AED"/>
    <w:rsid w:val="00BB2B28"/>
    <w:rsid w:val="00BB2B33"/>
    <w:rsid w:val="00BB2B4E"/>
    <w:rsid w:val="00BB2B66"/>
    <w:rsid w:val="00BB2B9D"/>
    <w:rsid w:val="00BB2BC5"/>
    <w:rsid w:val="00BB2BF6"/>
    <w:rsid w:val="00BB2BFD"/>
    <w:rsid w:val="00BB2C1C"/>
    <w:rsid w:val="00BB2C36"/>
    <w:rsid w:val="00BB2C6A"/>
    <w:rsid w:val="00BB2C94"/>
    <w:rsid w:val="00BB2C9C"/>
    <w:rsid w:val="00BB2CC0"/>
    <w:rsid w:val="00BB2CCA"/>
    <w:rsid w:val="00BB2D0C"/>
    <w:rsid w:val="00BB2D42"/>
    <w:rsid w:val="00BB2D46"/>
    <w:rsid w:val="00BB2D57"/>
    <w:rsid w:val="00BB2D97"/>
    <w:rsid w:val="00BB2DEA"/>
    <w:rsid w:val="00BB2EC3"/>
    <w:rsid w:val="00BB2EE9"/>
    <w:rsid w:val="00BB2EFD"/>
    <w:rsid w:val="00BB2F07"/>
    <w:rsid w:val="00BB2F33"/>
    <w:rsid w:val="00BB2F51"/>
    <w:rsid w:val="00BB2F54"/>
    <w:rsid w:val="00BB2F7A"/>
    <w:rsid w:val="00BB2F83"/>
    <w:rsid w:val="00BB2F9E"/>
    <w:rsid w:val="00BB301F"/>
    <w:rsid w:val="00BB3057"/>
    <w:rsid w:val="00BB3058"/>
    <w:rsid w:val="00BB305A"/>
    <w:rsid w:val="00BB305B"/>
    <w:rsid w:val="00BB3074"/>
    <w:rsid w:val="00BB3094"/>
    <w:rsid w:val="00BB309E"/>
    <w:rsid w:val="00BB30E7"/>
    <w:rsid w:val="00BB3159"/>
    <w:rsid w:val="00BB3192"/>
    <w:rsid w:val="00BB31BC"/>
    <w:rsid w:val="00BB31D4"/>
    <w:rsid w:val="00BB31DB"/>
    <w:rsid w:val="00BB3237"/>
    <w:rsid w:val="00BB3290"/>
    <w:rsid w:val="00BB3291"/>
    <w:rsid w:val="00BB32A8"/>
    <w:rsid w:val="00BB32BD"/>
    <w:rsid w:val="00BB32E2"/>
    <w:rsid w:val="00BB3344"/>
    <w:rsid w:val="00BB339B"/>
    <w:rsid w:val="00BB33BE"/>
    <w:rsid w:val="00BB33DA"/>
    <w:rsid w:val="00BB33F5"/>
    <w:rsid w:val="00BB3400"/>
    <w:rsid w:val="00BB340C"/>
    <w:rsid w:val="00BB342A"/>
    <w:rsid w:val="00BB343C"/>
    <w:rsid w:val="00BB349B"/>
    <w:rsid w:val="00BB34B3"/>
    <w:rsid w:val="00BB34F2"/>
    <w:rsid w:val="00BB34FF"/>
    <w:rsid w:val="00BB350D"/>
    <w:rsid w:val="00BB351A"/>
    <w:rsid w:val="00BB3553"/>
    <w:rsid w:val="00BB355A"/>
    <w:rsid w:val="00BB3560"/>
    <w:rsid w:val="00BB3564"/>
    <w:rsid w:val="00BB356D"/>
    <w:rsid w:val="00BB3580"/>
    <w:rsid w:val="00BB35CA"/>
    <w:rsid w:val="00BB35E7"/>
    <w:rsid w:val="00BB361E"/>
    <w:rsid w:val="00BB3647"/>
    <w:rsid w:val="00BB364D"/>
    <w:rsid w:val="00BB3676"/>
    <w:rsid w:val="00BB367A"/>
    <w:rsid w:val="00BB36C6"/>
    <w:rsid w:val="00BB374F"/>
    <w:rsid w:val="00BB3793"/>
    <w:rsid w:val="00BB37A0"/>
    <w:rsid w:val="00BB37AC"/>
    <w:rsid w:val="00BB37B9"/>
    <w:rsid w:val="00BB37BE"/>
    <w:rsid w:val="00BB37C4"/>
    <w:rsid w:val="00BB3805"/>
    <w:rsid w:val="00BB380B"/>
    <w:rsid w:val="00BB3872"/>
    <w:rsid w:val="00BB38DB"/>
    <w:rsid w:val="00BB3946"/>
    <w:rsid w:val="00BB399A"/>
    <w:rsid w:val="00BB39EB"/>
    <w:rsid w:val="00BB3A12"/>
    <w:rsid w:val="00BB3A85"/>
    <w:rsid w:val="00BB3A88"/>
    <w:rsid w:val="00BB3ABC"/>
    <w:rsid w:val="00BB3AC4"/>
    <w:rsid w:val="00BB3AF0"/>
    <w:rsid w:val="00BB3B36"/>
    <w:rsid w:val="00BB3B41"/>
    <w:rsid w:val="00BB3B9F"/>
    <w:rsid w:val="00BB3BB0"/>
    <w:rsid w:val="00BB3BFB"/>
    <w:rsid w:val="00BB3C0E"/>
    <w:rsid w:val="00BB3C21"/>
    <w:rsid w:val="00BB3C52"/>
    <w:rsid w:val="00BB3C62"/>
    <w:rsid w:val="00BB3CD2"/>
    <w:rsid w:val="00BB3D03"/>
    <w:rsid w:val="00BB3D1F"/>
    <w:rsid w:val="00BB3D48"/>
    <w:rsid w:val="00BB3D97"/>
    <w:rsid w:val="00BB3DA4"/>
    <w:rsid w:val="00BB3DB7"/>
    <w:rsid w:val="00BB3DCF"/>
    <w:rsid w:val="00BB3E8D"/>
    <w:rsid w:val="00BB3EA7"/>
    <w:rsid w:val="00BB3EF3"/>
    <w:rsid w:val="00BB3F37"/>
    <w:rsid w:val="00BB3FCD"/>
    <w:rsid w:val="00BB3FD1"/>
    <w:rsid w:val="00BB404B"/>
    <w:rsid w:val="00BB4057"/>
    <w:rsid w:val="00BB4070"/>
    <w:rsid w:val="00BB4093"/>
    <w:rsid w:val="00BB40B2"/>
    <w:rsid w:val="00BB40DC"/>
    <w:rsid w:val="00BB410E"/>
    <w:rsid w:val="00BB417E"/>
    <w:rsid w:val="00BB417F"/>
    <w:rsid w:val="00BB4188"/>
    <w:rsid w:val="00BB41AC"/>
    <w:rsid w:val="00BB41E6"/>
    <w:rsid w:val="00BB4252"/>
    <w:rsid w:val="00BB4271"/>
    <w:rsid w:val="00BB42CF"/>
    <w:rsid w:val="00BB42F3"/>
    <w:rsid w:val="00BB42F4"/>
    <w:rsid w:val="00BB42F5"/>
    <w:rsid w:val="00BB42FA"/>
    <w:rsid w:val="00BB4321"/>
    <w:rsid w:val="00BB4329"/>
    <w:rsid w:val="00BB435B"/>
    <w:rsid w:val="00BB4368"/>
    <w:rsid w:val="00BB4396"/>
    <w:rsid w:val="00BB440E"/>
    <w:rsid w:val="00BB4441"/>
    <w:rsid w:val="00BB44BF"/>
    <w:rsid w:val="00BB44E5"/>
    <w:rsid w:val="00BB4505"/>
    <w:rsid w:val="00BB453D"/>
    <w:rsid w:val="00BB4542"/>
    <w:rsid w:val="00BB4564"/>
    <w:rsid w:val="00BB4592"/>
    <w:rsid w:val="00BB4594"/>
    <w:rsid w:val="00BB45C8"/>
    <w:rsid w:val="00BB466E"/>
    <w:rsid w:val="00BB4671"/>
    <w:rsid w:val="00BB46B6"/>
    <w:rsid w:val="00BB46CE"/>
    <w:rsid w:val="00BB4713"/>
    <w:rsid w:val="00BB4724"/>
    <w:rsid w:val="00BB4749"/>
    <w:rsid w:val="00BB4760"/>
    <w:rsid w:val="00BB4767"/>
    <w:rsid w:val="00BB4773"/>
    <w:rsid w:val="00BB4774"/>
    <w:rsid w:val="00BB4788"/>
    <w:rsid w:val="00BB4792"/>
    <w:rsid w:val="00BB483D"/>
    <w:rsid w:val="00BB48C6"/>
    <w:rsid w:val="00BB48DB"/>
    <w:rsid w:val="00BB4902"/>
    <w:rsid w:val="00BB4905"/>
    <w:rsid w:val="00BB49A2"/>
    <w:rsid w:val="00BB49B9"/>
    <w:rsid w:val="00BB49C5"/>
    <w:rsid w:val="00BB49D5"/>
    <w:rsid w:val="00BB4A16"/>
    <w:rsid w:val="00BB4A27"/>
    <w:rsid w:val="00BB4AAF"/>
    <w:rsid w:val="00BB4B05"/>
    <w:rsid w:val="00BB4B41"/>
    <w:rsid w:val="00BB4BC0"/>
    <w:rsid w:val="00BB4BF8"/>
    <w:rsid w:val="00BB4C27"/>
    <w:rsid w:val="00BB4CAE"/>
    <w:rsid w:val="00BB4CB8"/>
    <w:rsid w:val="00BB4DB9"/>
    <w:rsid w:val="00BB4DC3"/>
    <w:rsid w:val="00BB4DCE"/>
    <w:rsid w:val="00BB4DE0"/>
    <w:rsid w:val="00BB4E50"/>
    <w:rsid w:val="00BB4E7B"/>
    <w:rsid w:val="00BB4E8E"/>
    <w:rsid w:val="00BB4E98"/>
    <w:rsid w:val="00BB4EA5"/>
    <w:rsid w:val="00BB4EBB"/>
    <w:rsid w:val="00BB4EBC"/>
    <w:rsid w:val="00BB4F04"/>
    <w:rsid w:val="00BB4F20"/>
    <w:rsid w:val="00BB4F70"/>
    <w:rsid w:val="00BB4F81"/>
    <w:rsid w:val="00BB4F94"/>
    <w:rsid w:val="00BB4FFC"/>
    <w:rsid w:val="00BB5073"/>
    <w:rsid w:val="00BB5086"/>
    <w:rsid w:val="00BB50A6"/>
    <w:rsid w:val="00BB50E1"/>
    <w:rsid w:val="00BB5142"/>
    <w:rsid w:val="00BB517C"/>
    <w:rsid w:val="00BB51EB"/>
    <w:rsid w:val="00BB51EC"/>
    <w:rsid w:val="00BB521E"/>
    <w:rsid w:val="00BB52AA"/>
    <w:rsid w:val="00BB52C8"/>
    <w:rsid w:val="00BB5321"/>
    <w:rsid w:val="00BB535F"/>
    <w:rsid w:val="00BB537E"/>
    <w:rsid w:val="00BB53E8"/>
    <w:rsid w:val="00BB5430"/>
    <w:rsid w:val="00BB5454"/>
    <w:rsid w:val="00BB54BC"/>
    <w:rsid w:val="00BB54CC"/>
    <w:rsid w:val="00BB54D7"/>
    <w:rsid w:val="00BB5509"/>
    <w:rsid w:val="00BB5534"/>
    <w:rsid w:val="00BB5540"/>
    <w:rsid w:val="00BB5544"/>
    <w:rsid w:val="00BB5591"/>
    <w:rsid w:val="00BB55A6"/>
    <w:rsid w:val="00BB560C"/>
    <w:rsid w:val="00BB562D"/>
    <w:rsid w:val="00BB567F"/>
    <w:rsid w:val="00BB56FE"/>
    <w:rsid w:val="00BB5720"/>
    <w:rsid w:val="00BB5749"/>
    <w:rsid w:val="00BB574C"/>
    <w:rsid w:val="00BB574F"/>
    <w:rsid w:val="00BB5775"/>
    <w:rsid w:val="00BB5778"/>
    <w:rsid w:val="00BB5794"/>
    <w:rsid w:val="00BB57B4"/>
    <w:rsid w:val="00BB57B9"/>
    <w:rsid w:val="00BB57FE"/>
    <w:rsid w:val="00BB5828"/>
    <w:rsid w:val="00BB5840"/>
    <w:rsid w:val="00BB5857"/>
    <w:rsid w:val="00BB587A"/>
    <w:rsid w:val="00BB588B"/>
    <w:rsid w:val="00BB5892"/>
    <w:rsid w:val="00BB5961"/>
    <w:rsid w:val="00BB5968"/>
    <w:rsid w:val="00BB5969"/>
    <w:rsid w:val="00BB59EF"/>
    <w:rsid w:val="00BB5A01"/>
    <w:rsid w:val="00BB5A15"/>
    <w:rsid w:val="00BB5A2C"/>
    <w:rsid w:val="00BB5A5B"/>
    <w:rsid w:val="00BB5A9C"/>
    <w:rsid w:val="00BB5AB2"/>
    <w:rsid w:val="00BB5AE2"/>
    <w:rsid w:val="00BB5AF3"/>
    <w:rsid w:val="00BB5B49"/>
    <w:rsid w:val="00BB5B5E"/>
    <w:rsid w:val="00BB5B95"/>
    <w:rsid w:val="00BB5BBE"/>
    <w:rsid w:val="00BB5BD2"/>
    <w:rsid w:val="00BB5BE5"/>
    <w:rsid w:val="00BB5C79"/>
    <w:rsid w:val="00BB5C9F"/>
    <w:rsid w:val="00BB5D31"/>
    <w:rsid w:val="00BB5D45"/>
    <w:rsid w:val="00BB5D4B"/>
    <w:rsid w:val="00BB5D5F"/>
    <w:rsid w:val="00BB5DAA"/>
    <w:rsid w:val="00BB5DB1"/>
    <w:rsid w:val="00BB5DC3"/>
    <w:rsid w:val="00BB5DE8"/>
    <w:rsid w:val="00BB5DEA"/>
    <w:rsid w:val="00BB5DEB"/>
    <w:rsid w:val="00BB5E51"/>
    <w:rsid w:val="00BB5E98"/>
    <w:rsid w:val="00BB5EC5"/>
    <w:rsid w:val="00BB5EF4"/>
    <w:rsid w:val="00BB5F2A"/>
    <w:rsid w:val="00BB5F32"/>
    <w:rsid w:val="00BB5F63"/>
    <w:rsid w:val="00BB5F70"/>
    <w:rsid w:val="00BB5F86"/>
    <w:rsid w:val="00BB5F8D"/>
    <w:rsid w:val="00BB5FA0"/>
    <w:rsid w:val="00BB5FCF"/>
    <w:rsid w:val="00BB5FE7"/>
    <w:rsid w:val="00BB6004"/>
    <w:rsid w:val="00BB60C8"/>
    <w:rsid w:val="00BB60E3"/>
    <w:rsid w:val="00BB60F7"/>
    <w:rsid w:val="00BB611F"/>
    <w:rsid w:val="00BB6168"/>
    <w:rsid w:val="00BB6171"/>
    <w:rsid w:val="00BB61B8"/>
    <w:rsid w:val="00BB620A"/>
    <w:rsid w:val="00BB621E"/>
    <w:rsid w:val="00BB627B"/>
    <w:rsid w:val="00BB628F"/>
    <w:rsid w:val="00BB629C"/>
    <w:rsid w:val="00BB629D"/>
    <w:rsid w:val="00BB6388"/>
    <w:rsid w:val="00BB638A"/>
    <w:rsid w:val="00BB63DE"/>
    <w:rsid w:val="00BB6430"/>
    <w:rsid w:val="00BB6443"/>
    <w:rsid w:val="00BB6450"/>
    <w:rsid w:val="00BB6452"/>
    <w:rsid w:val="00BB647B"/>
    <w:rsid w:val="00BB64A1"/>
    <w:rsid w:val="00BB64CE"/>
    <w:rsid w:val="00BB64D6"/>
    <w:rsid w:val="00BB64E4"/>
    <w:rsid w:val="00BB64F3"/>
    <w:rsid w:val="00BB653C"/>
    <w:rsid w:val="00BB6544"/>
    <w:rsid w:val="00BB6545"/>
    <w:rsid w:val="00BB656C"/>
    <w:rsid w:val="00BB65EB"/>
    <w:rsid w:val="00BB6623"/>
    <w:rsid w:val="00BB666C"/>
    <w:rsid w:val="00BB6698"/>
    <w:rsid w:val="00BB66DD"/>
    <w:rsid w:val="00BB6709"/>
    <w:rsid w:val="00BB670A"/>
    <w:rsid w:val="00BB670C"/>
    <w:rsid w:val="00BB6720"/>
    <w:rsid w:val="00BB6756"/>
    <w:rsid w:val="00BB6797"/>
    <w:rsid w:val="00BB6855"/>
    <w:rsid w:val="00BB6866"/>
    <w:rsid w:val="00BB686A"/>
    <w:rsid w:val="00BB687D"/>
    <w:rsid w:val="00BB6889"/>
    <w:rsid w:val="00BB6896"/>
    <w:rsid w:val="00BB68B5"/>
    <w:rsid w:val="00BB68D1"/>
    <w:rsid w:val="00BB68F7"/>
    <w:rsid w:val="00BB6918"/>
    <w:rsid w:val="00BB691F"/>
    <w:rsid w:val="00BB69AB"/>
    <w:rsid w:val="00BB69C5"/>
    <w:rsid w:val="00BB69F2"/>
    <w:rsid w:val="00BB6A54"/>
    <w:rsid w:val="00BB6ABD"/>
    <w:rsid w:val="00BB6AC7"/>
    <w:rsid w:val="00BB6ADA"/>
    <w:rsid w:val="00BB6AFB"/>
    <w:rsid w:val="00BB6B1F"/>
    <w:rsid w:val="00BB6BDE"/>
    <w:rsid w:val="00BB6C2A"/>
    <w:rsid w:val="00BB6C2B"/>
    <w:rsid w:val="00BB6C32"/>
    <w:rsid w:val="00BB6C35"/>
    <w:rsid w:val="00BB6C3E"/>
    <w:rsid w:val="00BB6C61"/>
    <w:rsid w:val="00BB6C7C"/>
    <w:rsid w:val="00BB6C8D"/>
    <w:rsid w:val="00BB6CD0"/>
    <w:rsid w:val="00BB6D01"/>
    <w:rsid w:val="00BB6D19"/>
    <w:rsid w:val="00BB6D29"/>
    <w:rsid w:val="00BB6D4D"/>
    <w:rsid w:val="00BB6D58"/>
    <w:rsid w:val="00BB6D69"/>
    <w:rsid w:val="00BB6D7A"/>
    <w:rsid w:val="00BB6D8D"/>
    <w:rsid w:val="00BB6D96"/>
    <w:rsid w:val="00BB6D9D"/>
    <w:rsid w:val="00BB6DD1"/>
    <w:rsid w:val="00BB6DE7"/>
    <w:rsid w:val="00BB6E3B"/>
    <w:rsid w:val="00BB6F2F"/>
    <w:rsid w:val="00BB6F42"/>
    <w:rsid w:val="00BB6F6E"/>
    <w:rsid w:val="00BB6F7B"/>
    <w:rsid w:val="00BB6F8C"/>
    <w:rsid w:val="00BB6FB7"/>
    <w:rsid w:val="00BB6FE2"/>
    <w:rsid w:val="00BB6FE9"/>
    <w:rsid w:val="00BB700E"/>
    <w:rsid w:val="00BB7011"/>
    <w:rsid w:val="00BB7039"/>
    <w:rsid w:val="00BB7041"/>
    <w:rsid w:val="00BB7043"/>
    <w:rsid w:val="00BB7053"/>
    <w:rsid w:val="00BB7074"/>
    <w:rsid w:val="00BB7075"/>
    <w:rsid w:val="00BB70C8"/>
    <w:rsid w:val="00BB70F4"/>
    <w:rsid w:val="00BB711D"/>
    <w:rsid w:val="00BB7137"/>
    <w:rsid w:val="00BB717C"/>
    <w:rsid w:val="00BB71B4"/>
    <w:rsid w:val="00BB7230"/>
    <w:rsid w:val="00BB7299"/>
    <w:rsid w:val="00BB72CA"/>
    <w:rsid w:val="00BB72EE"/>
    <w:rsid w:val="00BB72F2"/>
    <w:rsid w:val="00BB741D"/>
    <w:rsid w:val="00BB7461"/>
    <w:rsid w:val="00BB7498"/>
    <w:rsid w:val="00BB74C0"/>
    <w:rsid w:val="00BB74DD"/>
    <w:rsid w:val="00BB74F2"/>
    <w:rsid w:val="00BB7571"/>
    <w:rsid w:val="00BB7572"/>
    <w:rsid w:val="00BB7573"/>
    <w:rsid w:val="00BB758F"/>
    <w:rsid w:val="00BB75CB"/>
    <w:rsid w:val="00BB7651"/>
    <w:rsid w:val="00BB7695"/>
    <w:rsid w:val="00BB7697"/>
    <w:rsid w:val="00BB76B6"/>
    <w:rsid w:val="00BB76DA"/>
    <w:rsid w:val="00BB7734"/>
    <w:rsid w:val="00BB7761"/>
    <w:rsid w:val="00BB7779"/>
    <w:rsid w:val="00BB7787"/>
    <w:rsid w:val="00BB77A4"/>
    <w:rsid w:val="00BB77BB"/>
    <w:rsid w:val="00BB77E0"/>
    <w:rsid w:val="00BB7898"/>
    <w:rsid w:val="00BB78BF"/>
    <w:rsid w:val="00BB78E1"/>
    <w:rsid w:val="00BB78F9"/>
    <w:rsid w:val="00BB7901"/>
    <w:rsid w:val="00BB79A3"/>
    <w:rsid w:val="00BB7A67"/>
    <w:rsid w:val="00BB7A7A"/>
    <w:rsid w:val="00BB7B57"/>
    <w:rsid w:val="00BB7B75"/>
    <w:rsid w:val="00BB7BCB"/>
    <w:rsid w:val="00BB7BFC"/>
    <w:rsid w:val="00BB7C75"/>
    <w:rsid w:val="00BB7C78"/>
    <w:rsid w:val="00BB7CBE"/>
    <w:rsid w:val="00BB7D37"/>
    <w:rsid w:val="00BB7D45"/>
    <w:rsid w:val="00BB7D55"/>
    <w:rsid w:val="00BB7D68"/>
    <w:rsid w:val="00BB7DF7"/>
    <w:rsid w:val="00BB7E31"/>
    <w:rsid w:val="00BB7E88"/>
    <w:rsid w:val="00BB7EDB"/>
    <w:rsid w:val="00BB7EF0"/>
    <w:rsid w:val="00BB7F00"/>
    <w:rsid w:val="00BB7F01"/>
    <w:rsid w:val="00BB7F16"/>
    <w:rsid w:val="00BB7F9A"/>
    <w:rsid w:val="00BB7FC5"/>
    <w:rsid w:val="00BB7FF9"/>
    <w:rsid w:val="00BBC20C"/>
    <w:rsid w:val="00BC0011"/>
    <w:rsid w:val="00BC0044"/>
    <w:rsid w:val="00BC0052"/>
    <w:rsid w:val="00BC0066"/>
    <w:rsid w:val="00BC0091"/>
    <w:rsid w:val="00BC00CC"/>
    <w:rsid w:val="00BC00ED"/>
    <w:rsid w:val="00BC0157"/>
    <w:rsid w:val="00BC01A7"/>
    <w:rsid w:val="00BC01C1"/>
    <w:rsid w:val="00BC01CD"/>
    <w:rsid w:val="00BC01EB"/>
    <w:rsid w:val="00BC0256"/>
    <w:rsid w:val="00BC02E4"/>
    <w:rsid w:val="00BC031B"/>
    <w:rsid w:val="00BC0352"/>
    <w:rsid w:val="00BC035E"/>
    <w:rsid w:val="00BC0379"/>
    <w:rsid w:val="00BC03A6"/>
    <w:rsid w:val="00BC03E1"/>
    <w:rsid w:val="00BC03E5"/>
    <w:rsid w:val="00BC03EF"/>
    <w:rsid w:val="00BC0404"/>
    <w:rsid w:val="00BC0459"/>
    <w:rsid w:val="00BC046A"/>
    <w:rsid w:val="00BC049C"/>
    <w:rsid w:val="00BC04CA"/>
    <w:rsid w:val="00BC04EA"/>
    <w:rsid w:val="00BC055D"/>
    <w:rsid w:val="00BC057B"/>
    <w:rsid w:val="00BC05A1"/>
    <w:rsid w:val="00BC05BE"/>
    <w:rsid w:val="00BC05C6"/>
    <w:rsid w:val="00BC05D6"/>
    <w:rsid w:val="00BC05E2"/>
    <w:rsid w:val="00BC0660"/>
    <w:rsid w:val="00BC0675"/>
    <w:rsid w:val="00BC0686"/>
    <w:rsid w:val="00BC06B0"/>
    <w:rsid w:val="00BC06D8"/>
    <w:rsid w:val="00BC070D"/>
    <w:rsid w:val="00BC072C"/>
    <w:rsid w:val="00BC079C"/>
    <w:rsid w:val="00BC07D4"/>
    <w:rsid w:val="00BC07D7"/>
    <w:rsid w:val="00BC07E4"/>
    <w:rsid w:val="00BC080D"/>
    <w:rsid w:val="00BC084E"/>
    <w:rsid w:val="00BC08DA"/>
    <w:rsid w:val="00BC08FF"/>
    <w:rsid w:val="00BC091C"/>
    <w:rsid w:val="00BC0964"/>
    <w:rsid w:val="00BC098C"/>
    <w:rsid w:val="00BC099D"/>
    <w:rsid w:val="00BC09AE"/>
    <w:rsid w:val="00BC09CF"/>
    <w:rsid w:val="00BC09EF"/>
    <w:rsid w:val="00BC0A29"/>
    <w:rsid w:val="00BC0A31"/>
    <w:rsid w:val="00BC0A3E"/>
    <w:rsid w:val="00BC0A50"/>
    <w:rsid w:val="00BC0A87"/>
    <w:rsid w:val="00BC0AA2"/>
    <w:rsid w:val="00BC0AB2"/>
    <w:rsid w:val="00BC0AC3"/>
    <w:rsid w:val="00BC0AD7"/>
    <w:rsid w:val="00BC0AE5"/>
    <w:rsid w:val="00BC0AEA"/>
    <w:rsid w:val="00BC0AF1"/>
    <w:rsid w:val="00BC0B2D"/>
    <w:rsid w:val="00BC0B32"/>
    <w:rsid w:val="00BC0B6E"/>
    <w:rsid w:val="00BC0B85"/>
    <w:rsid w:val="00BC0BE0"/>
    <w:rsid w:val="00BC0BE4"/>
    <w:rsid w:val="00BC0C1B"/>
    <w:rsid w:val="00BC0C81"/>
    <w:rsid w:val="00BC0CFE"/>
    <w:rsid w:val="00BC0D4A"/>
    <w:rsid w:val="00BC0D54"/>
    <w:rsid w:val="00BC0DBB"/>
    <w:rsid w:val="00BC0DDC"/>
    <w:rsid w:val="00BC0DDD"/>
    <w:rsid w:val="00BC0DFE"/>
    <w:rsid w:val="00BC0E37"/>
    <w:rsid w:val="00BC0E60"/>
    <w:rsid w:val="00BC0E73"/>
    <w:rsid w:val="00BC0E7A"/>
    <w:rsid w:val="00BC0E97"/>
    <w:rsid w:val="00BC0F12"/>
    <w:rsid w:val="00BC0F17"/>
    <w:rsid w:val="00BC0F20"/>
    <w:rsid w:val="00BC0F2B"/>
    <w:rsid w:val="00BC0F5B"/>
    <w:rsid w:val="00BC0F85"/>
    <w:rsid w:val="00BC0F96"/>
    <w:rsid w:val="00BC0FB0"/>
    <w:rsid w:val="00BC0FC8"/>
    <w:rsid w:val="00BC1041"/>
    <w:rsid w:val="00BC1045"/>
    <w:rsid w:val="00BC1048"/>
    <w:rsid w:val="00BC1057"/>
    <w:rsid w:val="00BC1061"/>
    <w:rsid w:val="00BC1063"/>
    <w:rsid w:val="00BC1105"/>
    <w:rsid w:val="00BC110C"/>
    <w:rsid w:val="00BC1116"/>
    <w:rsid w:val="00BC112F"/>
    <w:rsid w:val="00BC1132"/>
    <w:rsid w:val="00BC115F"/>
    <w:rsid w:val="00BC11BA"/>
    <w:rsid w:val="00BC11BF"/>
    <w:rsid w:val="00BC11D8"/>
    <w:rsid w:val="00BC11F7"/>
    <w:rsid w:val="00BC1201"/>
    <w:rsid w:val="00BC1213"/>
    <w:rsid w:val="00BC121D"/>
    <w:rsid w:val="00BC1241"/>
    <w:rsid w:val="00BC1246"/>
    <w:rsid w:val="00BC1249"/>
    <w:rsid w:val="00BC126A"/>
    <w:rsid w:val="00BC1271"/>
    <w:rsid w:val="00BC127A"/>
    <w:rsid w:val="00BC128A"/>
    <w:rsid w:val="00BC128F"/>
    <w:rsid w:val="00BC12EE"/>
    <w:rsid w:val="00BC1303"/>
    <w:rsid w:val="00BC132D"/>
    <w:rsid w:val="00BC1340"/>
    <w:rsid w:val="00BC1385"/>
    <w:rsid w:val="00BC1442"/>
    <w:rsid w:val="00BC14D8"/>
    <w:rsid w:val="00BC14DE"/>
    <w:rsid w:val="00BC14F7"/>
    <w:rsid w:val="00BC1504"/>
    <w:rsid w:val="00BC151E"/>
    <w:rsid w:val="00BC15BB"/>
    <w:rsid w:val="00BC1600"/>
    <w:rsid w:val="00BC1615"/>
    <w:rsid w:val="00BC1653"/>
    <w:rsid w:val="00BC1682"/>
    <w:rsid w:val="00BC1684"/>
    <w:rsid w:val="00BC16B5"/>
    <w:rsid w:val="00BC16DC"/>
    <w:rsid w:val="00BC16EC"/>
    <w:rsid w:val="00BC1741"/>
    <w:rsid w:val="00BC1774"/>
    <w:rsid w:val="00BC17A3"/>
    <w:rsid w:val="00BC17AA"/>
    <w:rsid w:val="00BC1811"/>
    <w:rsid w:val="00BC186E"/>
    <w:rsid w:val="00BC18C4"/>
    <w:rsid w:val="00BC1920"/>
    <w:rsid w:val="00BC1929"/>
    <w:rsid w:val="00BC1990"/>
    <w:rsid w:val="00BC199F"/>
    <w:rsid w:val="00BC19A9"/>
    <w:rsid w:val="00BC19B3"/>
    <w:rsid w:val="00BC19DC"/>
    <w:rsid w:val="00BC1A07"/>
    <w:rsid w:val="00BC1A29"/>
    <w:rsid w:val="00BC1A98"/>
    <w:rsid w:val="00BC1AE8"/>
    <w:rsid w:val="00BC1AF9"/>
    <w:rsid w:val="00BC1B11"/>
    <w:rsid w:val="00BC1B35"/>
    <w:rsid w:val="00BC1B71"/>
    <w:rsid w:val="00BC1B83"/>
    <w:rsid w:val="00BC1B87"/>
    <w:rsid w:val="00BC1B9F"/>
    <w:rsid w:val="00BC1BA4"/>
    <w:rsid w:val="00BC1BD0"/>
    <w:rsid w:val="00BC1C65"/>
    <w:rsid w:val="00BC1C6F"/>
    <w:rsid w:val="00BC1CBF"/>
    <w:rsid w:val="00BC1CF1"/>
    <w:rsid w:val="00BC1DE6"/>
    <w:rsid w:val="00BC1E6D"/>
    <w:rsid w:val="00BC1E7E"/>
    <w:rsid w:val="00BC1EA7"/>
    <w:rsid w:val="00BC1F3F"/>
    <w:rsid w:val="00BC1F4A"/>
    <w:rsid w:val="00BC1F7B"/>
    <w:rsid w:val="00BC1FD3"/>
    <w:rsid w:val="00BC1FD7"/>
    <w:rsid w:val="00BC1FD9"/>
    <w:rsid w:val="00BC2000"/>
    <w:rsid w:val="00BC2004"/>
    <w:rsid w:val="00BC203B"/>
    <w:rsid w:val="00BC208F"/>
    <w:rsid w:val="00BC2095"/>
    <w:rsid w:val="00BC20CA"/>
    <w:rsid w:val="00BC20CE"/>
    <w:rsid w:val="00BC20E8"/>
    <w:rsid w:val="00BC20EF"/>
    <w:rsid w:val="00BC2224"/>
    <w:rsid w:val="00BC2248"/>
    <w:rsid w:val="00BC224A"/>
    <w:rsid w:val="00BC2280"/>
    <w:rsid w:val="00BC2281"/>
    <w:rsid w:val="00BC22BE"/>
    <w:rsid w:val="00BC22E8"/>
    <w:rsid w:val="00BC230D"/>
    <w:rsid w:val="00BC2338"/>
    <w:rsid w:val="00BC2389"/>
    <w:rsid w:val="00BC2434"/>
    <w:rsid w:val="00BC2475"/>
    <w:rsid w:val="00BC247C"/>
    <w:rsid w:val="00BC24A1"/>
    <w:rsid w:val="00BC24DF"/>
    <w:rsid w:val="00BC24FD"/>
    <w:rsid w:val="00BC2507"/>
    <w:rsid w:val="00BC257B"/>
    <w:rsid w:val="00BC25A9"/>
    <w:rsid w:val="00BC25C7"/>
    <w:rsid w:val="00BC25E0"/>
    <w:rsid w:val="00BC25E2"/>
    <w:rsid w:val="00BC25EA"/>
    <w:rsid w:val="00BC25FA"/>
    <w:rsid w:val="00BC2603"/>
    <w:rsid w:val="00BC2604"/>
    <w:rsid w:val="00BC263C"/>
    <w:rsid w:val="00BC2641"/>
    <w:rsid w:val="00BC2663"/>
    <w:rsid w:val="00BC2687"/>
    <w:rsid w:val="00BC268D"/>
    <w:rsid w:val="00BC26A2"/>
    <w:rsid w:val="00BC26AD"/>
    <w:rsid w:val="00BC26C2"/>
    <w:rsid w:val="00BC26C4"/>
    <w:rsid w:val="00BC2707"/>
    <w:rsid w:val="00BC2772"/>
    <w:rsid w:val="00BC27DF"/>
    <w:rsid w:val="00BC27FA"/>
    <w:rsid w:val="00BC2874"/>
    <w:rsid w:val="00BC28BB"/>
    <w:rsid w:val="00BC2913"/>
    <w:rsid w:val="00BC2931"/>
    <w:rsid w:val="00BC293F"/>
    <w:rsid w:val="00BC297D"/>
    <w:rsid w:val="00BC2A3D"/>
    <w:rsid w:val="00BC2A56"/>
    <w:rsid w:val="00BC2AC7"/>
    <w:rsid w:val="00BC2B49"/>
    <w:rsid w:val="00BC2B56"/>
    <w:rsid w:val="00BC2B5D"/>
    <w:rsid w:val="00BC2B67"/>
    <w:rsid w:val="00BC2BA4"/>
    <w:rsid w:val="00BC2BA9"/>
    <w:rsid w:val="00BC2BFE"/>
    <w:rsid w:val="00BC2C20"/>
    <w:rsid w:val="00BC2C2C"/>
    <w:rsid w:val="00BC2C3C"/>
    <w:rsid w:val="00BC2C47"/>
    <w:rsid w:val="00BC2C5B"/>
    <w:rsid w:val="00BC2C88"/>
    <w:rsid w:val="00BC2CAE"/>
    <w:rsid w:val="00BC2CE0"/>
    <w:rsid w:val="00BC2D1B"/>
    <w:rsid w:val="00BC2D1E"/>
    <w:rsid w:val="00BC2D24"/>
    <w:rsid w:val="00BC2D25"/>
    <w:rsid w:val="00BC2D67"/>
    <w:rsid w:val="00BC2D70"/>
    <w:rsid w:val="00BC2DAB"/>
    <w:rsid w:val="00BC2DAE"/>
    <w:rsid w:val="00BC2DFD"/>
    <w:rsid w:val="00BC2E4D"/>
    <w:rsid w:val="00BC2E61"/>
    <w:rsid w:val="00BC2E6A"/>
    <w:rsid w:val="00BC2EA8"/>
    <w:rsid w:val="00BC2F19"/>
    <w:rsid w:val="00BC2F5D"/>
    <w:rsid w:val="00BC2F8E"/>
    <w:rsid w:val="00BC2F9D"/>
    <w:rsid w:val="00BC2FA6"/>
    <w:rsid w:val="00BC2FD5"/>
    <w:rsid w:val="00BC2FE9"/>
    <w:rsid w:val="00BC2FF4"/>
    <w:rsid w:val="00BC3000"/>
    <w:rsid w:val="00BC3019"/>
    <w:rsid w:val="00BC302E"/>
    <w:rsid w:val="00BC3051"/>
    <w:rsid w:val="00BC309D"/>
    <w:rsid w:val="00BC30A2"/>
    <w:rsid w:val="00BC30C3"/>
    <w:rsid w:val="00BC30F2"/>
    <w:rsid w:val="00BC3101"/>
    <w:rsid w:val="00BC3121"/>
    <w:rsid w:val="00BC3128"/>
    <w:rsid w:val="00BC31C0"/>
    <w:rsid w:val="00BC320F"/>
    <w:rsid w:val="00BC3216"/>
    <w:rsid w:val="00BC3246"/>
    <w:rsid w:val="00BC32AC"/>
    <w:rsid w:val="00BC3322"/>
    <w:rsid w:val="00BC3354"/>
    <w:rsid w:val="00BC3374"/>
    <w:rsid w:val="00BC3375"/>
    <w:rsid w:val="00BC337D"/>
    <w:rsid w:val="00BC33AC"/>
    <w:rsid w:val="00BC33DC"/>
    <w:rsid w:val="00BC3420"/>
    <w:rsid w:val="00BC3439"/>
    <w:rsid w:val="00BC344B"/>
    <w:rsid w:val="00BC344D"/>
    <w:rsid w:val="00BC3479"/>
    <w:rsid w:val="00BC34C0"/>
    <w:rsid w:val="00BC34E1"/>
    <w:rsid w:val="00BC3506"/>
    <w:rsid w:val="00BC3572"/>
    <w:rsid w:val="00BC35A7"/>
    <w:rsid w:val="00BC35FE"/>
    <w:rsid w:val="00BC3640"/>
    <w:rsid w:val="00BC364F"/>
    <w:rsid w:val="00BC3662"/>
    <w:rsid w:val="00BC368B"/>
    <w:rsid w:val="00BC369D"/>
    <w:rsid w:val="00BC370B"/>
    <w:rsid w:val="00BC373A"/>
    <w:rsid w:val="00BC3792"/>
    <w:rsid w:val="00BC380B"/>
    <w:rsid w:val="00BC380D"/>
    <w:rsid w:val="00BC3819"/>
    <w:rsid w:val="00BC383A"/>
    <w:rsid w:val="00BC3873"/>
    <w:rsid w:val="00BC387C"/>
    <w:rsid w:val="00BC38D1"/>
    <w:rsid w:val="00BC38F5"/>
    <w:rsid w:val="00BC3932"/>
    <w:rsid w:val="00BC39E5"/>
    <w:rsid w:val="00BC3A0D"/>
    <w:rsid w:val="00BC3A1C"/>
    <w:rsid w:val="00BC3A20"/>
    <w:rsid w:val="00BC3A7A"/>
    <w:rsid w:val="00BC3A95"/>
    <w:rsid w:val="00BC3AB3"/>
    <w:rsid w:val="00BC3B1D"/>
    <w:rsid w:val="00BC3B51"/>
    <w:rsid w:val="00BC3B8A"/>
    <w:rsid w:val="00BC3BD4"/>
    <w:rsid w:val="00BC3BD6"/>
    <w:rsid w:val="00BC3C35"/>
    <w:rsid w:val="00BC3C71"/>
    <w:rsid w:val="00BC3C85"/>
    <w:rsid w:val="00BC3C98"/>
    <w:rsid w:val="00BC3CA6"/>
    <w:rsid w:val="00BC3CEE"/>
    <w:rsid w:val="00BC3D02"/>
    <w:rsid w:val="00BC3D0D"/>
    <w:rsid w:val="00BC3DD0"/>
    <w:rsid w:val="00BC3E03"/>
    <w:rsid w:val="00BC3E1C"/>
    <w:rsid w:val="00BC3E48"/>
    <w:rsid w:val="00BC3EC0"/>
    <w:rsid w:val="00BC3EE2"/>
    <w:rsid w:val="00BC3EE8"/>
    <w:rsid w:val="00BC3EF0"/>
    <w:rsid w:val="00BC3F15"/>
    <w:rsid w:val="00BC3F58"/>
    <w:rsid w:val="00BC3FAC"/>
    <w:rsid w:val="00BC3FAE"/>
    <w:rsid w:val="00BC3FFC"/>
    <w:rsid w:val="00BC4052"/>
    <w:rsid w:val="00BC4059"/>
    <w:rsid w:val="00BC40DE"/>
    <w:rsid w:val="00BC40FE"/>
    <w:rsid w:val="00BC4117"/>
    <w:rsid w:val="00BC4122"/>
    <w:rsid w:val="00BC413A"/>
    <w:rsid w:val="00BC4142"/>
    <w:rsid w:val="00BC41C7"/>
    <w:rsid w:val="00BC41CA"/>
    <w:rsid w:val="00BC41EA"/>
    <w:rsid w:val="00BC4215"/>
    <w:rsid w:val="00BC4225"/>
    <w:rsid w:val="00BC4227"/>
    <w:rsid w:val="00BC4242"/>
    <w:rsid w:val="00BC4262"/>
    <w:rsid w:val="00BC426E"/>
    <w:rsid w:val="00BC4298"/>
    <w:rsid w:val="00BC42DE"/>
    <w:rsid w:val="00BC4340"/>
    <w:rsid w:val="00BC43B3"/>
    <w:rsid w:val="00BC43E2"/>
    <w:rsid w:val="00BC43ED"/>
    <w:rsid w:val="00BC447E"/>
    <w:rsid w:val="00BC44A2"/>
    <w:rsid w:val="00BC44BE"/>
    <w:rsid w:val="00BC44DE"/>
    <w:rsid w:val="00BC44E3"/>
    <w:rsid w:val="00BC4503"/>
    <w:rsid w:val="00BC4513"/>
    <w:rsid w:val="00BC4588"/>
    <w:rsid w:val="00BC4598"/>
    <w:rsid w:val="00BC45C0"/>
    <w:rsid w:val="00BC45CB"/>
    <w:rsid w:val="00BC4615"/>
    <w:rsid w:val="00BC4620"/>
    <w:rsid w:val="00BC464F"/>
    <w:rsid w:val="00BC4681"/>
    <w:rsid w:val="00BC4682"/>
    <w:rsid w:val="00BC4690"/>
    <w:rsid w:val="00BC46AB"/>
    <w:rsid w:val="00BC46C0"/>
    <w:rsid w:val="00BC46FA"/>
    <w:rsid w:val="00BC46FC"/>
    <w:rsid w:val="00BC477A"/>
    <w:rsid w:val="00BC4783"/>
    <w:rsid w:val="00BC47C3"/>
    <w:rsid w:val="00BC47DB"/>
    <w:rsid w:val="00BC480B"/>
    <w:rsid w:val="00BC482C"/>
    <w:rsid w:val="00BC4846"/>
    <w:rsid w:val="00BC48A2"/>
    <w:rsid w:val="00BC48DA"/>
    <w:rsid w:val="00BC48DF"/>
    <w:rsid w:val="00BC490E"/>
    <w:rsid w:val="00BC4918"/>
    <w:rsid w:val="00BC4924"/>
    <w:rsid w:val="00BC49AE"/>
    <w:rsid w:val="00BC49C5"/>
    <w:rsid w:val="00BC49CC"/>
    <w:rsid w:val="00BC49D3"/>
    <w:rsid w:val="00BC49DA"/>
    <w:rsid w:val="00BC4A21"/>
    <w:rsid w:val="00BC4A3F"/>
    <w:rsid w:val="00BC4A7D"/>
    <w:rsid w:val="00BC4AD4"/>
    <w:rsid w:val="00BC4B08"/>
    <w:rsid w:val="00BC4B2C"/>
    <w:rsid w:val="00BC4BC7"/>
    <w:rsid w:val="00BC4BCB"/>
    <w:rsid w:val="00BC4BEC"/>
    <w:rsid w:val="00BC4C25"/>
    <w:rsid w:val="00BC4C51"/>
    <w:rsid w:val="00BC4CDF"/>
    <w:rsid w:val="00BC4CF4"/>
    <w:rsid w:val="00BC4CFC"/>
    <w:rsid w:val="00BC4D08"/>
    <w:rsid w:val="00BC4D1B"/>
    <w:rsid w:val="00BC4D2F"/>
    <w:rsid w:val="00BC4D42"/>
    <w:rsid w:val="00BC4D8A"/>
    <w:rsid w:val="00BC4DBA"/>
    <w:rsid w:val="00BC4DC9"/>
    <w:rsid w:val="00BC4DE4"/>
    <w:rsid w:val="00BC4E10"/>
    <w:rsid w:val="00BC4E4A"/>
    <w:rsid w:val="00BC4E80"/>
    <w:rsid w:val="00BC4E9E"/>
    <w:rsid w:val="00BC4EA9"/>
    <w:rsid w:val="00BC4F03"/>
    <w:rsid w:val="00BC4F25"/>
    <w:rsid w:val="00BC4F26"/>
    <w:rsid w:val="00BC4F31"/>
    <w:rsid w:val="00BC4F85"/>
    <w:rsid w:val="00BC4F87"/>
    <w:rsid w:val="00BC4FAC"/>
    <w:rsid w:val="00BC4FF7"/>
    <w:rsid w:val="00BC507D"/>
    <w:rsid w:val="00BC5081"/>
    <w:rsid w:val="00BC508E"/>
    <w:rsid w:val="00BC5147"/>
    <w:rsid w:val="00BC5163"/>
    <w:rsid w:val="00BC5172"/>
    <w:rsid w:val="00BC5180"/>
    <w:rsid w:val="00BC51CF"/>
    <w:rsid w:val="00BC51D1"/>
    <w:rsid w:val="00BC51F2"/>
    <w:rsid w:val="00BC5217"/>
    <w:rsid w:val="00BC522C"/>
    <w:rsid w:val="00BC5259"/>
    <w:rsid w:val="00BC5267"/>
    <w:rsid w:val="00BC5273"/>
    <w:rsid w:val="00BC5280"/>
    <w:rsid w:val="00BC52BB"/>
    <w:rsid w:val="00BC52E5"/>
    <w:rsid w:val="00BC52F1"/>
    <w:rsid w:val="00BC530D"/>
    <w:rsid w:val="00BC5320"/>
    <w:rsid w:val="00BC535C"/>
    <w:rsid w:val="00BC5376"/>
    <w:rsid w:val="00BC5392"/>
    <w:rsid w:val="00BC53A5"/>
    <w:rsid w:val="00BC53DC"/>
    <w:rsid w:val="00BC542F"/>
    <w:rsid w:val="00BC5433"/>
    <w:rsid w:val="00BC544F"/>
    <w:rsid w:val="00BC5484"/>
    <w:rsid w:val="00BC550B"/>
    <w:rsid w:val="00BC5529"/>
    <w:rsid w:val="00BC554F"/>
    <w:rsid w:val="00BC555A"/>
    <w:rsid w:val="00BC555F"/>
    <w:rsid w:val="00BC5562"/>
    <w:rsid w:val="00BC55A9"/>
    <w:rsid w:val="00BC55C5"/>
    <w:rsid w:val="00BC5657"/>
    <w:rsid w:val="00BC565E"/>
    <w:rsid w:val="00BC5678"/>
    <w:rsid w:val="00BC5680"/>
    <w:rsid w:val="00BC56F1"/>
    <w:rsid w:val="00BC572F"/>
    <w:rsid w:val="00BC573D"/>
    <w:rsid w:val="00BC575E"/>
    <w:rsid w:val="00BC5764"/>
    <w:rsid w:val="00BC57D2"/>
    <w:rsid w:val="00BC57F8"/>
    <w:rsid w:val="00BC582B"/>
    <w:rsid w:val="00BC584D"/>
    <w:rsid w:val="00BC5887"/>
    <w:rsid w:val="00BC58BB"/>
    <w:rsid w:val="00BC58FE"/>
    <w:rsid w:val="00BC5943"/>
    <w:rsid w:val="00BC5976"/>
    <w:rsid w:val="00BC59A8"/>
    <w:rsid w:val="00BC59DC"/>
    <w:rsid w:val="00BC5A06"/>
    <w:rsid w:val="00BC5A10"/>
    <w:rsid w:val="00BC5A20"/>
    <w:rsid w:val="00BC5A9E"/>
    <w:rsid w:val="00BC5AC4"/>
    <w:rsid w:val="00BC5AE8"/>
    <w:rsid w:val="00BC5B23"/>
    <w:rsid w:val="00BC5B2B"/>
    <w:rsid w:val="00BC5B6F"/>
    <w:rsid w:val="00BC5B75"/>
    <w:rsid w:val="00BC5BFD"/>
    <w:rsid w:val="00BC5BFE"/>
    <w:rsid w:val="00BC5C91"/>
    <w:rsid w:val="00BC5CB6"/>
    <w:rsid w:val="00BC5CF8"/>
    <w:rsid w:val="00BC5CF9"/>
    <w:rsid w:val="00BC5D04"/>
    <w:rsid w:val="00BC5D3B"/>
    <w:rsid w:val="00BC5D3C"/>
    <w:rsid w:val="00BC5D57"/>
    <w:rsid w:val="00BC5D5C"/>
    <w:rsid w:val="00BC5D66"/>
    <w:rsid w:val="00BC5E1B"/>
    <w:rsid w:val="00BC5E34"/>
    <w:rsid w:val="00BC5E67"/>
    <w:rsid w:val="00BC5EB6"/>
    <w:rsid w:val="00BC5F1B"/>
    <w:rsid w:val="00BC5F3C"/>
    <w:rsid w:val="00BC5FF7"/>
    <w:rsid w:val="00BC6053"/>
    <w:rsid w:val="00BC606A"/>
    <w:rsid w:val="00BC60A8"/>
    <w:rsid w:val="00BC60BD"/>
    <w:rsid w:val="00BC60C0"/>
    <w:rsid w:val="00BC60CE"/>
    <w:rsid w:val="00BC6100"/>
    <w:rsid w:val="00BC611D"/>
    <w:rsid w:val="00BC61BA"/>
    <w:rsid w:val="00BC61F1"/>
    <w:rsid w:val="00BC621A"/>
    <w:rsid w:val="00BC624A"/>
    <w:rsid w:val="00BC627F"/>
    <w:rsid w:val="00BC628F"/>
    <w:rsid w:val="00BC6328"/>
    <w:rsid w:val="00BC638E"/>
    <w:rsid w:val="00BC63EA"/>
    <w:rsid w:val="00BC6410"/>
    <w:rsid w:val="00BC642A"/>
    <w:rsid w:val="00BC6444"/>
    <w:rsid w:val="00BC6452"/>
    <w:rsid w:val="00BC6455"/>
    <w:rsid w:val="00BC6463"/>
    <w:rsid w:val="00BC6489"/>
    <w:rsid w:val="00BC64B6"/>
    <w:rsid w:val="00BC64D4"/>
    <w:rsid w:val="00BC64E7"/>
    <w:rsid w:val="00BC64F2"/>
    <w:rsid w:val="00BC64F9"/>
    <w:rsid w:val="00BC64FA"/>
    <w:rsid w:val="00BC6523"/>
    <w:rsid w:val="00BC652A"/>
    <w:rsid w:val="00BC655B"/>
    <w:rsid w:val="00BC655C"/>
    <w:rsid w:val="00BC6590"/>
    <w:rsid w:val="00BC6592"/>
    <w:rsid w:val="00BC659D"/>
    <w:rsid w:val="00BC65C6"/>
    <w:rsid w:val="00BC65D7"/>
    <w:rsid w:val="00BC65FF"/>
    <w:rsid w:val="00BC6634"/>
    <w:rsid w:val="00BC6674"/>
    <w:rsid w:val="00BC66A1"/>
    <w:rsid w:val="00BC66D1"/>
    <w:rsid w:val="00BC674F"/>
    <w:rsid w:val="00BC6767"/>
    <w:rsid w:val="00BC676B"/>
    <w:rsid w:val="00BC676F"/>
    <w:rsid w:val="00BC677D"/>
    <w:rsid w:val="00BC67CB"/>
    <w:rsid w:val="00BC67E4"/>
    <w:rsid w:val="00BC67FE"/>
    <w:rsid w:val="00BC6820"/>
    <w:rsid w:val="00BC683E"/>
    <w:rsid w:val="00BC687E"/>
    <w:rsid w:val="00BC6A01"/>
    <w:rsid w:val="00BC6A0A"/>
    <w:rsid w:val="00BC6A2F"/>
    <w:rsid w:val="00BC6A65"/>
    <w:rsid w:val="00BC6A71"/>
    <w:rsid w:val="00BC6A95"/>
    <w:rsid w:val="00BC6B2A"/>
    <w:rsid w:val="00BC6B64"/>
    <w:rsid w:val="00BC6B72"/>
    <w:rsid w:val="00BC6C01"/>
    <w:rsid w:val="00BC6C07"/>
    <w:rsid w:val="00BC6C27"/>
    <w:rsid w:val="00BC6C38"/>
    <w:rsid w:val="00BC6C4E"/>
    <w:rsid w:val="00BC6C5F"/>
    <w:rsid w:val="00BC6C73"/>
    <w:rsid w:val="00BC6C86"/>
    <w:rsid w:val="00BC6CAC"/>
    <w:rsid w:val="00BC6CBC"/>
    <w:rsid w:val="00BC6CD2"/>
    <w:rsid w:val="00BC6D14"/>
    <w:rsid w:val="00BC6D18"/>
    <w:rsid w:val="00BC6D26"/>
    <w:rsid w:val="00BC6D2F"/>
    <w:rsid w:val="00BC6D3D"/>
    <w:rsid w:val="00BC6D8E"/>
    <w:rsid w:val="00BC6DF9"/>
    <w:rsid w:val="00BC6E49"/>
    <w:rsid w:val="00BC6E73"/>
    <w:rsid w:val="00BC6EC7"/>
    <w:rsid w:val="00BC6EDC"/>
    <w:rsid w:val="00BC6F09"/>
    <w:rsid w:val="00BC6F1F"/>
    <w:rsid w:val="00BC6F27"/>
    <w:rsid w:val="00BC6F50"/>
    <w:rsid w:val="00BC6F54"/>
    <w:rsid w:val="00BC6F8C"/>
    <w:rsid w:val="00BC6FCB"/>
    <w:rsid w:val="00BC6FD8"/>
    <w:rsid w:val="00BC6FE2"/>
    <w:rsid w:val="00BC70A0"/>
    <w:rsid w:val="00BC70A1"/>
    <w:rsid w:val="00BC70B6"/>
    <w:rsid w:val="00BC711A"/>
    <w:rsid w:val="00BC7141"/>
    <w:rsid w:val="00BC7193"/>
    <w:rsid w:val="00BC719A"/>
    <w:rsid w:val="00BC725D"/>
    <w:rsid w:val="00BC7264"/>
    <w:rsid w:val="00BC7265"/>
    <w:rsid w:val="00BC7305"/>
    <w:rsid w:val="00BC734D"/>
    <w:rsid w:val="00BC7350"/>
    <w:rsid w:val="00BC737D"/>
    <w:rsid w:val="00BC73A1"/>
    <w:rsid w:val="00BC73AF"/>
    <w:rsid w:val="00BC7426"/>
    <w:rsid w:val="00BC742B"/>
    <w:rsid w:val="00BC745B"/>
    <w:rsid w:val="00BC74A2"/>
    <w:rsid w:val="00BC74EC"/>
    <w:rsid w:val="00BC74EF"/>
    <w:rsid w:val="00BC74F2"/>
    <w:rsid w:val="00BC74F5"/>
    <w:rsid w:val="00BC7550"/>
    <w:rsid w:val="00BC75B9"/>
    <w:rsid w:val="00BC75D0"/>
    <w:rsid w:val="00BC760C"/>
    <w:rsid w:val="00BC7610"/>
    <w:rsid w:val="00BC7618"/>
    <w:rsid w:val="00BC7641"/>
    <w:rsid w:val="00BC7648"/>
    <w:rsid w:val="00BC766B"/>
    <w:rsid w:val="00BC766E"/>
    <w:rsid w:val="00BC7718"/>
    <w:rsid w:val="00BC776E"/>
    <w:rsid w:val="00BC77AB"/>
    <w:rsid w:val="00BC7825"/>
    <w:rsid w:val="00BC7848"/>
    <w:rsid w:val="00BC7855"/>
    <w:rsid w:val="00BC7862"/>
    <w:rsid w:val="00BC7876"/>
    <w:rsid w:val="00BC78AA"/>
    <w:rsid w:val="00BC78C0"/>
    <w:rsid w:val="00BC78CC"/>
    <w:rsid w:val="00BC78D5"/>
    <w:rsid w:val="00BC78F9"/>
    <w:rsid w:val="00BC7901"/>
    <w:rsid w:val="00BC794A"/>
    <w:rsid w:val="00BC7973"/>
    <w:rsid w:val="00BC7974"/>
    <w:rsid w:val="00BC7975"/>
    <w:rsid w:val="00BC7A45"/>
    <w:rsid w:val="00BC7AD7"/>
    <w:rsid w:val="00BC7AF3"/>
    <w:rsid w:val="00BC7B88"/>
    <w:rsid w:val="00BC7BAB"/>
    <w:rsid w:val="00BC7BC0"/>
    <w:rsid w:val="00BC7C7A"/>
    <w:rsid w:val="00BC7C9E"/>
    <w:rsid w:val="00BC7D27"/>
    <w:rsid w:val="00BC7D6D"/>
    <w:rsid w:val="00BC7DC9"/>
    <w:rsid w:val="00BC7DCB"/>
    <w:rsid w:val="00BC7DE5"/>
    <w:rsid w:val="00BC7E22"/>
    <w:rsid w:val="00BC7E7F"/>
    <w:rsid w:val="00BC7EA3"/>
    <w:rsid w:val="00BC7F5E"/>
    <w:rsid w:val="00BC7F8C"/>
    <w:rsid w:val="00BC7FA8"/>
    <w:rsid w:val="00BC7FE0"/>
    <w:rsid w:val="00BD0053"/>
    <w:rsid w:val="00BD005B"/>
    <w:rsid w:val="00BD0093"/>
    <w:rsid w:val="00BD00BE"/>
    <w:rsid w:val="00BD0175"/>
    <w:rsid w:val="00BD0179"/>
    <w:rsid w:val="00BD0181"/>
    <w:rsid w:val="00BD01AA"/>
    <w:rsid w:val="00BD01C5"/>
    <w:rsid w:val="00BD01CA"/>
    <w:rsid w:val="00BD0214"/>
    <w:rsid w:val="00BD0224"/>
    <w:rsid w:val="00BD0254"/>
    <w:rsid w:val="00BD0273"/>
    <w:rsid w:val="00BD029F"/>
    <w:rsid w:val="00BD02FF"/>
    <w:rsid w:val="00BD0331"/>
    <w:rsid w:val="00BD0344"/>
    <w:rsid w:val="00BD041D"/>
    <w:rsid w:val="00BD0438"/>
    <w:rsid w:val="00BD0467"/>
    <w:rsid w:val="00BD04DF"/>
    <w:rsid w:val="00BD0552"/>
    <w:rsid w:val="00BD0594"/>
    <w:rsid w:val="00BD05F5"/>
    <w:rsid w:val="00BD0655"/>
    <w:rsid w:val="00BD068B"/>
    <w:rsid w:val="00BD06FE"/>
    <w:rsid w:val="00BD070C"/>
    <w:rsid w:val="00BD0738"/>
    <w:rsid w:val="00BD077D"/>
    <w:rsid w:val="00BD0784"/>
    <w:rsid w:val="00BD079E"/>
    <w:rsid w:val="00BD080E"/>
    <w:rsid w:val="00BD080F"/>
    <w:rsid w:val="00BD085F"/>
    <w:rsid w:val="00BD08AD"/>
    <w:rsid w:val="00BD08E6"/>
    <w:rsid w:val="00BD092A"/>
    <w:rsid w:val="00BD0971"/>
    <w:rsid w:val="00BD09A7"/>
    <w:rsid w:val="00BD09FA"/>
    <w:rsid w:val="00BD0A0A"/>
    <w:rsid w:val="00BD0A8C"/>
    <w:rsid w:val="00BD0AAE"/>
    <w:rsid w:val="00BD0AC5"/>
    <w:rsid w:val="00BD0BA2"/>
    <w:rsid w:val="00BD0BDC"/>
    <w:rsid w:val="00BD0C07"/>
    <w:rsid w:val="00BD0C37"/>
    <w:rsid w:val="00BD0C47"/>
    <w:rsid w:val="00BD0C4B"/>
    <w:rsid w:val="00BD0CA1"/>
    <w:rsid w:val="00BD0CBD"/>
    <w:rsid w:val="00BD0CCF"/>
    <w:rsid w:val="00BD0D41"/>
    <w:rsid w:val="00BD0D61"/>
    <w:rsid w:val="00BD0D63"/>
    <w:rsid w:val="00BD0D77"/>
    <w:rsid w:val="00BD0DBD"/>
    <w:rsid w:val="00BD0DDA"/>
    <w:rsid w:val="00BD0DFE"/>
    <w:rsid w:val="00BD0E1F"/>
    <w:rsid w:val="00BD0E25"/>
    <w:rsid w:val="00BD0E36"/>
    <w:rsid w:val="00BD0E39"/>
    <w:rsid w:val="00BD0E48"/>
    <w:rsid w:val="00BD0E4B"/>
    <w:rsid w:val="00BD0EA2"/>
    <w:rsid w:val="00BD0F1C"/>
    <w:rsid w:val="00BD0F6B"/>
    <w:rsid w:val="00BD0FA4"/>
    <w:rsid w:val="00BD100C"/>
    <w:rsid w:val="00BD1032"/>
    <w:rsid w:val="00BD10FE"/>
    <w:rsid w:val="00BD1118"/>
    <w:rsid w:val="00BD1124"/>
    <w:rsid w:val="00BD112D"/>
    <w:rsid w:val="00BD116E"/>
    <w:rsid w:val="00BD1189"/>
    <w:rsid w:val="00BD11EB"/>
    <w:rsid w:val="00BD122C"/>
    <w:rsid w:val="00BD123A"/>
    <w:rsid w:val="00BD127A"/>
    <w:rsid w:val="00BD12DC"/>
    <w:rsid w:val="00BD12E8"/>
    <w:rsid w:val="00BD13D1"/>
    <w:rsid w:val="00BD13DC"/>
    <w:rsid w:val="00BD13FF"/>
    <w:rsid w:val="00BD144D"/>
    <w:rsid w:val="00BD144F"/>
    <w:rsid w:val="00BD146D"/>
    <w:rsid w:val="00BD14EA"/>
    <w:rsid w:val="00BD1525"/>
    <w:rsid w:val="00BD1585"/>
    <w:rsid w:val="00BD15C4"/>
    <w:rsid w:val="00BD165F"/>
    <w:rsid w:val="00BD1694"/>
    <w:rsid w:val="00BD16EC"/>
    <w:rsid w:val="00BD16ED"/>
    <w:rsid w:val="00BD16F0"/>
    <w:rsid w:val="00BD170A"/>
    <w:rsid w:val="00BD173C"/>
    <w:rsid w:val="00BD1781"/>
    <w:rsid w:val="00BD1786"/>
    <w:rsid w:val="00BD180C"/>
    <w:rsid w:val="00BD1825"/>
    <w:rsid w:val="00BD1828"/>
    <w:rsid w:val="00BD182F"/>
    <w:rsid w:val="00BD183B"/>
    <w:rsid w:val="00BD1874"/>
    <w:rsid w:val="00BD1877"/>
    <w:rsid w:val="00BD18E0"/>
    <w:rsid w:val="00BD1911"/>
    <w:rsid w:val="00BD1943"/>
    <w:rsid w:val="00BD19CB"/>
    <w:rsid w:val="00BD19DB"/>
    <w:rsid w:val="00BD1A11"/>
    <w:rsid w:val="00BD1A1F"/>
    <w:rsid w:val="00BD1A27"/>
    <w:rsid w:val="00BD1A29"/>
    <w:rsid w:val="00BD1A57"/>
    <w:rsid w:val="00BD1A8B"/>
    <w:rsid w:val="00BD1A98"/>
    <w:rsid w:val="00BD1AC5"/>
    <w:rsid w:val="00BD1AE5"/>
    <w:rsid w:val="00BD1B09"/>
    <w:rsid w:val="00BD1B10"/>
    <w:rsid w:val="00BD1B6B"/>
    <w:rsid w:val="00BD1C23"/>
    <w:rsid w:val="00BD1C38"/>
    <w:rsid w:val="00BD1C43"/>
    <w:rsid w:val="00BD1C5A"/>
    <w:rsid w:val="00BD1C5D"/>
    <w:rsid w:val="00BD1CA0"/>
    <w:rsid w:val="00BD1CA7"/>
    <w:rsid w:val="00BD1CB1"/>
    <w:rsid w:val="00BD1CB4"/>
    <w:rsid w:val="00BD1CE4"/>
    <w:rsid w:val="00BD1D09"/>
    <w:rsid w:val="00BD1D12"/>
    <w:rsid w:val="00BD1DB3"/>
    <w:rsid w:val="00BD1EA8"/>
    <w:rsid w:val="00BD1ED1"/>
    <w:rsid w:val="00BD1EF9"/>
    <w:rsid w:val="00BD1F53"/>
    <w:rsid w:val="00BD1F6E"/>
    <w:rsid w:val="00BD1F95"/>
    <w:rsid w:val="00BD2004"/>
    <w:rsid w:val="00BD2029"/>
    <w:rsid w:val="00BD203A"/>
    <w:rsid w:val="00BD2077"/>
    <w:rsid w:val="00BD20C2"/>
    <w:rsid w:val="00BD20D5"/>
    <w:rsid w:val="00BD210F"/>
    <w:rsid w:val="00BD2153"/>
    <w:rsid w:val="00BD2157"/>
    <w:rsid w:val="00BD215D"/>
    <w:rsid w:val="00BD216D"/>
    <w:rsid w:val="00BD218B"/>
    <w:rsid w:val="00BD21E2"/>
    <w:rsid w:val="00BD2254"/>
    <w:rsid w:val="00BD22C1"/>
    <w:rsid w:val="00BD22D5"/>
    <w:rsid w:val="00BD2328"/>
    <w:rsid w:val="00BD2333"/>
    <w:rsid w:val="00BD2353"/>
    <w:rsid w:val="00BD2372"/>
    <w:rsid w:val="00BD23A3"/>
    <w:rsid w:val="00BD23A6"/>
    <w:rsid w:val="00BD23CF"/>
    <w:rsid w:val="00BD2402"/>
    <w:rsid w:val="00BD242A"/>
    <w:rsid w:val="00BD246F"/>
    <w:rsid w:val="00BD2485"/>
    <w:rsid w:val="00BD24B6"/>
    <w:rsid w:val="00BD24E1"/>
    <w:rsid w:val="00BD24FC"/>
    <w:rsid w:val="00BD2553"/>
    <w:rsid w:val="00BD256B"/>
    <w:rsid w:val="00BD257D"/>
    <w:rsid w:val="00BD25D9"/>
    <w:rsid w:val="00BD25E4"/>
    <w:rsid w:val="00BD25E7"/>
    <w:rsid w:val="00BD25EB"/>
    <w:rsid w:val="00BD262A"/>
    <w:rsid w:val="00BD2639"/>
    <w:rsid w:val="00BD2640"/>
    <w:rsid w:val="00BD2665"/>
    <w:rsid w:val="00BD2674"/>
    <w:rsid w:val="00BD269E"/>
    <w:rsid w:val="00BD26D4"/>
    <w:rsid w:val="00BD2726"/>
    <w:rsid w:val="00BD2751"/>
    <w:rsid w:val="00BD2771"/>
    <w:rsid w:val="00BD277B"/>
    <w:rsid w:val="00BD2785"/>
    <w:rsid w:val="00BD27D4"/>
    <w:rsid w:val="00BD2844"/>
    <w:rsid w:val="00BD28BB"/>
    <w:rsid w:val="00BD28DD"/>
    <w:rsid w:val="00BD296B"/>
    <w:rsid w:val="00BD29BB"/>
    <w:rsid w:val="00BD29D2"/>
    <w:rsid w:val="00BD2A00"/>
    <w:rsid w:val="00BD2A1C"/>
    <w:rsid w:val="00BD2A26"/>
    <w:rsid w:val="00BD2A89"/>
    <w:rsid w:val="00BD2A94"/>
    <w:rsid w:val="00BD2A96"/>
    <w:rsid w:val="00BD2AD2"/>
    <w:rsid w:val="00BD2AF3"/>
    <w:rsid w:val="00BD2B1F"/>
    <w:rsid w:val="00BD2B27"/>
    <w:rsid w:val="00BD2B7F"/>
    <w:rsid w:val="00BD2B88"/>
    <w:rsid w:val="00BD2BC0"/>
    <w:rsid w:val="00BD2BE2"/>
    <w:rsid w:val="00BD2BE5"/>
    <w:rsid w:val="00BD2C0A"/>
    <w:rsid w:val="00BD2C2F"/>
    <w:rsid w:val="00BD2C70"/>
    <w:rsid w:val="00BD2CFF"/>
    <w:rsid w:val="00BD2D18"/>
    <w:rsid w:val="00BD2D34"/>
    <w:rsid w:val="00BD2D43"/>
    <w:rsid w:val="00BD2D47"/>
    <w:rsid w:val="00BD2D62"/>
    <w:rsid w:val="00BD2D82"/>
    <w:rsid w:val="00BD2DBD"/>
    <w:rsid w:val="00BD2E03"/>
    <w:rsid w:val="00BD2E0C"/>
    <w:rsid w:val="00BD2E29"/>
    <w:rsid w:val="00BD2E2A"/>
    <w:rsid w:val="00BD2EC5"/>
    <w:rsid w:val="00BD2EEF"/>
    <w:rsid w:val="00BD2EF0"/>
    <w:rsid w:val="00BD2F08"/>
    <w:rsid w:val="00BD2F24"/>
    <w:rsid w:val="00BD2F42"/>
    <w:rsid w:val="00BD2F5F"/>
    <w:rsid w:val="00BD2F9E"/>
    <w:rsid w:val="00BD2FD6"/>
    <w:rsid w:val="00BD2FD8"/>
    <w:rsid w:val="00BD2FF9"/>
    <w:rsid w:val="00BD3034"/>
    <w:rsid w:val="00BD3056"/>
    <w:rsid w:val="00BD3080"/>
    <w:rsid w:val="00BD30B3"/>
    <w:rsid w:val="00BD30E5"/>
    <w:rsid w:val="00BD30E9"/>
    <w:rsid w:val="00BD3150"/>
    <w:rsid w:val="00BD315B"/>
    <w:rsid w:val="00BD3178"/>
    <w:rsid w:val="00BD319C"/>
    <w:rsid w:val="00BD31CA"/>
    <w:rsid w:val="00BD3216"/>
    <w:rsid w:val="00BD3244"/>
    <w:rsid w:val="00BD32A0"/>
    <w:rsid w:val="00BD32BE"/>
    <w:rsid w:val="00BD32D3"/>
    <w:rsid w:val="00BD32E0"/>
    <w:rsid w:val="00BD3316"/>
    <w:rsid w:val="00BD33A7"/>
    <w:rsid w:val="00BD33D8"/>
    <w:rsid w:val="00BD3453"/>
    <w:rsid w:val="00BD3457"/>
    <w:rsid w:val="00BD345E"/>
    <w:rsid w:val="00BD3498"/>
    <w:rsid w:val="00BD351A"/>
    <w:rsid w:val="00BD3554"/>
    <w:rsid w:val="00BD3584"/>
    <w:rsid w:val="00BD3585"/>
    <w:rsid w:val="00BD35D5"/>
    <w:rsid w:val="00BD35FC"/>
    <w:rsid w:val="00BD3614"/>
    <w:rsid w:val="00BD3624"/>
    <w:rsid w:val="00BD3667"/>
    <w:rsid w:val="00BD3671"/>
    <w:rsid w:val="00BD375F"/>
    <w:rsid w:val="00BD3769"/>
    <w:rsid w:val="00BD37C1"/>
    <w:rsid w:val="00BD37F4"/>
    <w:rsid w:val="00BD381A"/>
    <w:rsid w:val="00BD384C"/>
    <w:rsid w:val="00BD386A"/>
    <w:rsid w:val="00BD3872"/>
    <w:rsid w:val="00BD3883"/>
    <w:rsid w:val="00BD3887"/>
    <w:rsid w:val="00BD38A6"/>
    <w:rsid w:val="00BD38B3"/>
    <w:rsid w:val="00BD38B9"/>
    <w:rsid w:val="00BD38CE"/>
    <w:rsid w:val="00BD38DA"/>
    <w:rsid w:val="00BD38E0"/>
    <w:rsid w:val="00BD38F8"/>
    <w:rsid w:val="00BD390F"/>
    <w:rsid w:val="00BD3949"/>
    <w:rsid w:val="00BD3951"/>
    <w:rsid w:val="00BD39B3"/>
    <w:rsid w:val="00BD39BF"/>
    <w:rsid w:val="00BD39E6"/>
    <w:rsid w:val="00BD39ED"/>
    <w:rsid w:val="00BD39EE"/>
    <w:rsid w:val="00BD3A07"/>
    <w:rsid w:val="00BD3A98"/>
    <w:rsid w:val="00BD3B1A"/>
    <w:rsid w:val="00BD3B1C"/>
    <w:rsid w:val="00BD3B2B"/>
    <w:rsid w:val="00BD3B81"/>
    <w:rsid w:val="00BD3BAF"/>
    <w:rsid w:val="00BD3BC4"/>
    <w:rsid w:val="00BD3BCC"/>
    <w:rsid w:val="00BD3BDF"/>
    <w:rsid w:val="00BD3BE1"/>
    <w:rsid w:val="00BD3BFA"/>
    <w:rsid w:val="00BD3C17"/>
    <w:rsid w:val="00BD3C64"/>
    <w:rsid w:val="00BD3CA7"/>
    <w:rsid w:val="00BD3D1F"/>
    <w:rsid w:val="00BD3D3E"/>
    <w:rsid w:val="00BD3D5F"/>
    <w:rsid w:val="00BD3D86"/>
    <w:rsid w:val="00BD3D93"/>
    <w:rsid w:val="00BD3DC0"/>
    <w:rsid w:val="00BD3DCF"/>
    <w:rsid w:val="00BD3E13"/>
    <w:rsid w:val="00BD3E21"/>
    <w:rsid w:val="00BD3E65"/>
    <w:rsid w:val="00BD3E78"/>
    <w:rsid w:val="00BD3EB5"/>
    <w:rsid w:val="00BD3ED6"/>
    <w:rsid w:val="00BD3EEC"/>
    <w:rsid w:val="00BD3F1D"/>
    <w:rsid w:val="00BD3F24"/>
    <w:rsid w:val="00BD3F2E"/>
    <w:rsid w:val="00BD3F34"/>
    <w:rsid w:val="00BD3F3D"/>
    <w:rsid w:val="00BD3FBB"/>
    <w:rsid w:val="00BD3FC9"/>
    <w:rsid w:val="00BD3FF3"/>
    <w:rsid w:val="00BD3FF8"/>
    <w:rsid w:val="00BD401F"/>
    <w:rsid w:val="00BD409C"/>
    <w:rsid w:val="00BD40CB"/>
    <w:rsid w:val="00BD40D6"/>
    <w:rsid w:val="00BD40FB"/>
    <w:rsid w:val="00BD4126"/>
    <w:rsid w:val="00BD414B"/>
    <w:rsid w:val="00BD4166"/>
    <w:rsid w:val="00BD41C1"/>
    <w:rsid w:val="00BD41FC"/>
    <w:rsid w:val="00BD4201"/>
    <w:rsid w:val="00BD4251"/>
    <w:rsid w:val="00BD4263"/>
    <w:rsid w:val="00BD4264"/>
    <w:rsid w:val="00BD4270"/>
    <w:rsid w:val="00BD429D"/>
    <w:rsid w:val="00BD431C"/>
    <w:rsid w:val="00BD4384"/>
    <w:rsid w:val="00BD438B"/>
    <w:rsid w:val="00BD43BF"/>
    <w:rsid w:val="00BD4430"/>
    <w:rsid w:val="00BD4436"/>
    <w:rsid w:val="00BD44A2"/>
    <w:rsid w:val="00BD454B"/>
    <w:rsid w:val="00BD4553"/>
    <w:rsid w:val="00BD45C5"/>
    <w:rsid w:val="00BD45DB"/>
    <w:rsid w:val="00BD45ED"/>
    <w:rsid w:val="00BD463B"/>
    <w:rsid w:val="00BD464E"/>
    <w:rsid w:val="00BD4653"/>
    <w:rsid w:val="00BD4665"/>
    <w:rsid w:val="00BD466D"/>
    <w:rsid w:val="00BD46B8"/>
    <w:rsid w:val="00BD46EE"/>
    <w:rsid w:val="00BD478A"/>
    <w:rsid w:val="00BD478F"/>
    <w:rsid w:val="00BD4798"/>
    <w:rsid w:val="00BD47B4"/>
    <w:rsid w:val="00BD483D"/>
    <w:rsid w:val="00BD4846"/>
    <w:rsid w:val="00BD484E"/>
    <w:rsid w:val="00BD4860"/>
    <w:rsid w:val="00BD4872"/>
    <w:rsid w:val="00BD487D"/>
    <w:rsid w:val="00BD4880"/>
    <w:rsid w:val="00BD4881"/>
    <w:rsid w:val="00BD4884"/>
    <w:rsid w:val="00BD4896"/>
    <w:rsid w:val="00BD48AC"/>
    <w:rsid w:val="00BD48EC"/>
    <w:rsid w:val="00BD4916"/>
    <w:rsid w:val="00BD493A"/>
    <w:rsid w:val="00BD495C"/>
    <w:rsid w:val="00BD4960"/>
    <w:rsid w:val="00BD4995"/>
    <w:rsid w:val="00BD49F0"/>
    <w:rsid w:val="00BD4A02"/>
    <w:rsid w:val="00BD4A29"/>
    <w:rsid w:val="00BD4A2E"/>
    <w:rsid w:val="00BD4AA0"/>
    <w:rsid w:val="00BD4AA2"/>
    <w:rsid w:val="00BD4AC1"/>
    <w:rsid w:val="00BD4B36"/>
    <w:rsid w:val="00BD4BAB"/>
    <w:rsid w:val="00BD4BD8"/>
    <w:rsid w:val="00BD4C88"/>
    <w:rsid w:val="00BD4CD1"/>
    <w:rsid w:val="00BD4D4A"/>
    <w:rsid w:val="00BD4D51"/>
    <w:rsid w:val="00BD4D5E"/>
    <w:rsid w:val="00BD4D60"/>
    <w:rsid w:val="00BD4D67"/>
    <w:rsid w:val="00BD4D76"/>
    <w:rsid w:val="00BD4DF2"/>
    <w:rsid w:val="00BD4DF3"/>
    <w:rsid w:val="00BD4E03"/>
    <w:rsid w:val="00BD4E11"/>
    <w:rsid w:val="00BD4E21"/>
    <w:rsid w:val="00BD4E8F"/>
    <w:rsid w:val="00BD4E94"/>
    <w:rsid w:val="00BD4ED8"/>
    <w:rsid w:val="00BD4EDB"/>
    <w:rsid w:val="00BD4F0E"/>
    <w:rsid w:val="00BD4F2A"/>
    <w:rsid w:val="00BD4FAD"/>
    <w:rsid w:val="00BD4FDE"/>
    <w:rsid w:val="00BD5017"/>
    <w:rsid w:val="00BD5021"/>
    <w:rsid w:val="00BD502D"/>
    <w:rsid w:val="00BD504F"/>
    <w:rsid w:val="00BD5068"/>
    <w:rsid w:val="00BD5129"/>
    <w:rsid w:val="00BD5182"/>
    <w:rsid w:val="00BD518E"/>
    <w:rsid w:val="00BD51CF"/>
    <w:rsid w:val="00BD522F"/>
    <w:rsid w:val="00BD5237"/>
    <w:rsid w:val="00BD5267"/>
    <w:rsid w:val="00BD528B"/>
    <w:rsid w:val="00BD5291"/>
    <w:rsid w:val="00BD529B"/>
    <w:rsid w:val="00BD52AA"/>
    <w:rsid w:val="00BD534D"/>
    <w:rsid w:val="00BD53A9"/>
    <w:rsid w:val="00BD53DB"/>
    <w:rsid w:val="00BD5448"/>
    <w:rsid w:val="00BD5450"/>
    <w:rsid w:val="00BD5462"/>
    <w:rsid w:val="00BD5472"/>
    <w:rsid w:val="00BD5475"/>
    <w:rsid w:val="00BD549F"/>
    <w:rsid w:val="00BD54DF"/>
    <w:rsid w:val="00BD5522"/>
    <w:rsid w:val="00BD552A"/>
    <w:rsid w:val="00BD5536"/>
    <w:rsid w:val="00BD5538"/>
    <w:rsid w:val="00BD5573"/>
    <w:rsid w:val="00BD55C3"/>
    <w:rsid w:val="00BD55CA"/>
    <w:rsid w:val="00BD562B"/>
    <w:rsid w:val="00BD562E"/>
    <w:rsid w:val="00BD56B5"/>
    <w:rsid w:val="00BD5704"/>
    <w:rsid w:val="00BD571B"/>
    <w:rsid w:val="00BD5737"/>
    <w:rsid w:val="00BD5752"/>
    <w:rsid w:val="00BD57F6"/>
    <w:rsid w:val="00BD5835"/>
    <w:rsid w:val="00BD586D"/>
    <w:rsid w:val="00BD588F"/>
    <w:rsid w:val="00BD58ED"/>
    <w:rsid w:val="00BD5903"/>
    <w:rsid w:val="00BD596F"/>
    <w:rsid w:val="00BD59F5"/>
    <w:rsid w:val="00BD5A2C"/>
    <w:rsid w:val="00BD5A69"/>
    <w:rsid w:val="00BD5AED"/>
    <w:rsid w:val="00BD5AF6"/>
    <w:rsid w:val="00BD5AF9"/>
    <w:rsid w:val="00BD5B03"/>
    <w:rsid w:val="00BD5B07"/>
    <w:rsid w:val="00BD5B79"/>
    <w:rsid w:val="00BD5B7D"/>
    <w:rsid w:val="00BD5B99"/>
    <w:rsid w:val="00BD5C1E"/>
    <w:rsid w:val="00BD5C2F"/>
    <w:rsid w:val="00BD5C33"/>
    <w:rsid w:val="00BD5C3F"/>
    <w:rsid w:val="00BD5C5D"/>
    <w:rsid w:val="00BD5C83"/>
    <w:rsid w:val="00BD5CD1"/>
    <w:rsid w:val="00BD5CE8"/>
    <w:rsid w:val="00BD5D30"/>
    <w:rsid w:val="00BD5D85"/>
    <w:rsid w:val="00BD5D88"/>
    <w:rsid w:val="00BD5DC3"/>
    <w:rsid w:val="00BD5DEC"/>
    <w:rsid w:val="00BD5E21"/>
    <w:rsid w:val="00BD5E74"/>
    <w:rsid w:val="00BD5EBB"/>
    <w:rsid w:val="00BD5EC9"/>
    <w:rsid w:val="00BD5F2B"/>
    <w:rsid w:val="00BD5F4A"/>
    <w:rsid w:val="00BD5F94"/>
    <w:rsid w:val="00BD5FBD"/>
    <w:rsid w:val="00BD606F"/>
    <w:rsid w:val="00BD6094"/>
    <w:rsid w:val="00BD6095"/>
    <w:rsid w:val="00BD60E7"/>
    <w:rsid w:val="00BD60FF"/>
    <w:rsid w:val="00BD613C"/>
    <w:rsid w:val="00BD6148"/>
    <w:rsid w:val="00BD6149"/>
    <w:rsid w:val="00BD614E"/>
    <w:rsid w:val="00BD6152"/>
    <w:rsid w:val="00BD6178"/>
    <w:rsid w:val="00BD617E"/>
    <w:rsid w:val="00BD61E4"/>
    <w:rsid w:val="00BD61ED"/>
    <w:rsid w:val="00BD6209"/>
    <w:rsid w:val="00BD623B"/>
    <w:rsid w:val="00BD6261"/>
    <w:rsid w:val="00BD62D3"/>
    <w:rsid w:val="00BD62F7"/>
    <w:rsid w:val="00BD631D"/>
    <w:rsid w:val="00BD633E"/>
    <w:rsid w:val="00BD633F"/>
    <w:rsid w:val="00BD634A"/>
    <w:rsid w:val="00BD637D"/>
    <w:rsid w:val="00BD63BA"/>
    <w:rsid w:val="00BD63DF"/>
    <w:rsid w:val="00BD641D"/>
    <w:rsid w:val="00BD6420"/>
    <w:rsid w:val="00BD6427"/>
    <w:rsid w:val="00BD6428"/>
    <w:rsid w:val="00BD642C"/>
    <w:rsid w:val="00BD64D0"/>
    <w:rsid w:val="00BD651F"/>
    <w:rsid w:val="00BD6536"/>
    <w:rsid w:val="00BD65CA"/>
    <w:rsid w:val="00BD65E4"/>
    <w:rsid w:val="00BD65E5"/>
    <w:rsid w:val="00BD660C"/>
    <w:rsid w:val="00BD665C"/>
    <w:rsid w:val="00BD669D"/>
    <w:rsid w:val="00BD66B9"/>
    <w:rsid w:val="00BD66FE"/>
    <w:rsid w:val="00BD675D"/>
    <w:rsid w:val="00BD6764"/>
    <w:rsid w:val="00BD6765"/>
    <w:rsid w:val="00BD67F7"/>
    <w:rsid w:val="00BD6818"/>
    <w:rsid w:val="00BD686F"/>
    <w:rsid w:val="00BD6870"/>
    <w:rsid w:val="00BD6895"/>
    <w:rsid w:val="00BD689F"/>
    <w:rsid w:val="00BD68AA"/>
    <w:rsid w:val="00BD68C4"/>
    <w:rsid w:val="00BD6944"/>
    <w:rsid w:val="00BD6951"/>
    <w:rsid w:val="00BD69B3"/>
    <w:rsid w:val="00BD69BE"/>
    <w:rsid w:val="00BD69F4"/>
    <w:rsid w:val="00BD69F7"/>
    <w:rsid w:val="00BD6A50"/>
    <w:rsid w:val="00BD6AB7"/>
    <w:rsid w:val="00BD6ADB"/>
    <w:rsid w:val="00BD6AFB"/>
    <w:rsid w:val="00BD6B74"/>
    <w:rsid w:val="00BD6B7E"/>
    <w:rsid w:val="00BD6B81"/>
    <w:rsid w:val="00BD6B92"/>
    <w:rsid w:val="00BD6BA7"/>
    <w:rsid w:val="00BD6BF6"/>
    <w:rsid w:val="00BD6C02"/>
    <w:rsid w:val="00BD6C1D"/>
    <w:rsid w:val="00BD6C42"/>
    <w:rsid w:val="00BD6C67"/>
    <w:rsid w:val="00BD6CCD"/>
    <w:rsid w:val="00BD6CE0"/>
    <w:rsid w:val="00BD6D00"/>
    <w:rsid w:val="00BD6D13"/>
    <w:rsid w:val="00BD6D18"/>
    <w:rsid w:val="00BD6D7B"/>
    <w:rsid w:val="00BD6D8E"/>
    <w:rsid w:val="00BD6DD8"/>
    <w:rsid w:val="00BD6E1D"/>
    <w:rsid w:val="00BD6E68"/>
    <w:rsid w:val="00BD6E70"/>
    <w:rsid w:val="00BD6EA5"/>
    <w:rsid w:val="00BD6EEC"/>
    <w:rsid w:val="00BD6F19"/>
    <w:rsid w:val="00BD6F79"/>
    <w:rsid w:val="00BD6F92"/>
    <w:rsid w:val="00BD6FB6"/>
    <w:rsid w:val="00BD6FEB"/>
    <w:rsid w:val="00BD6FF7"/>
    <w:rsid w:val="00BD6FF8"/>
    <w:rsid w:val="00BD6FFF"/>
    <w:rsid w:val="00BD7014"/>
    <w:rsid w:val="00BD7073"/>
    <w:rsid w:val="00BD7089"/>
    <w:rsid w:val="00BD70E4"/>
    <w:rsid w:val="00BD7130"/>
    <w:rsid w:val="00BD7133"/>
    <w:rsid w:val="00BD7165"/>
    <w:rsid w:val="00BD7171"/>
    <w:rsid w:val="00BD7172"/>
    <w:rsid w:val="00BD717A"/>
    <w:rsid w:val="00BD7183"/>
    <w:rsid w:val="00BD71A7"/>
    <w:rsid w:val="00BD720B"/>
    <w:rsid w:val="00BD72CD"/>
    <w:rsid w:val="00BD7307"/>
    <w:rsid w:val="00BD7324"/>
    <w:rsid w:val="00BD7349"/>
    <w:rsid w:val="00BD736D"/>
    <w:rsid w:val="00BD7394"/>
    <w:rsid w:val="00BD7397"/>
    <w:rsid w:val="00BD73A8"/>
    <w:rsid w:val="00BD73CE"/>
    <w:rsid w:val="00BD740E"/>
    <w:rsid w:val="00BD7474"/>
    <w:rsid w:val="00BD747E"/>
    <w:rsid w:val="00BD7484"/>
    <w:rsid w:val="00BD7496"/>
    <w:rsid w:val="00BD74C4"/>
    <w:rsid w:val="00BD7545"/>
    <w:rsid w:val="00BD7594"/>
    <w:rsid w:val="00BD75F8"/>
    <w:rsid w:val="00BD75FF"/>
    <w:rsid w:val="00BD7611"/>
    <w:rsid w:val="00BD764D"/>
    <w:rsid w:val="00BD7663"/>
    <w:rsid w:val="00BD768A"/>
    <w:rsid w:val="00BD7691"/>
    <w:rsid w:val="00BD7723"/>
    <w:rsid w:val="00BD772E"/>
    <w:rsid w:val="00BD7789"/>
    <w:rsid w:val="00BD77A2"/>
    <w:rsid w:val="00BD77AA"/>
    <w:rsid w:val="00BD77F0"/>
    <w:rsid w:val="00BD7846"/>
    <w:rsid w:val="00BD7859"/>
    <w:rsid w:val="00BD7888"/>
    <w:rsid w:val="00BD789E"/>
    <w:rsid w:val="00BD7916"/>
    <w:rsid w:val="00BD7934"/>
    <w:rsid w:val="00BD793F"/>
    <w:rsid w:val="00BD7A13"/>
    <w:rsid w:val="00BD7A44"/>
    <w:rsid w:val="00BD7ACD"/>
    <w:rsid w:val="00BD7ADD"/>
    <w:rsid w:val="00BD7AE2"/>
    <w:rsid w:val="00BD7AED"/>
    <w:rsid w:val="00BD7AEF"/>
    <w:rsid w:val="00BD7B38"/>
    <w:rsid w:val="00BD7B4E"/>
    <w:rsid w:val="00BD7B9F"/>
    <w:rsid w:val="00BD7BAD"/>
    <w:rsid w:val="00BD7C10"/>
    <w:rsid w:val="00BD7C8F"/>
    <w:rsid w:val="00BD7C93"/>
    <w:rsid w:val="00BD7D04"/>
    <w:rsid w:val="00BD7D97"/>
    <w:rsid w:val="00BD7E4B"/>
    <w:rsid w:val="00BD7EB2"/>
    <w:rsid w:val="00BD7EBC"/>
    <w:rsid w:val="00BD7EBE"/>
    <w:rsid w:val="00BD7EC3"/>
    <w:rsid w:val="00BD7ECA"/>
    <w:rsid w:val="00BD7EE3"/>
    <w:rsid w:val="00BD7F33"/>
    <w:rsid w:val="00BD7F75"/>
    <w:rsid w:val="00BD7F85"/>
    <w:rsid w:val="00BD7FC7"/>
    <w:rsid w:val="00BD7FD4"/>
    <w:rsid w:val="00BE0084"/>
    <w:rsid w:val="00BE008B"/>
    <w:rsid w:val="00BE0120"/>
    <w:rsid w:val="00BE014D"/>
    <w:rsid w:val="00BE0166"/>
    <w:rsid w:val="00BE016F"/>
    <w:rsid w:val="00BE018C"/>
    <w:rsid w:val="00BE019D"/>
    <w:rsid w:val="00BE01E7"/>
    <w:rsid w:val="00BE020D"/>
    <w:rsid w:val="00BE0221"/>
    <w:rsid w:val="00BE0235"/>
    <w:rsid w:val="00BE0256"/>
    <w:rsid w:val="00BE026B"/>
    <w:rsid w:val="00BE0283"/>
    <w:rsid w:val="00BE0287"/>
    <w:rsid w:val="00BE02D6"/>
    <w:rsid w:val="00BE02E1"/>
    <w:rsid w:val="00BE02F5"/>
    <w:rsid w:val="00BE0339"/>
    <w:rsid w:val="00BE037B"/>
    <w:rsid w:val="00BE037C"/>
    <w:rsid w:val="00BE039A"/>
    <w:rsid w:val="00BE03B1"/>
    <w:rsid w:val="00BE03D0"/>
    <w:rsid w:val="00BE03EB"/>
    <w:rsid w:val="00BE0420"/>
    <w:rsid w:val="00BE0429"/>
    <w:rsid w:val="00BE0449"/>
    <w:rsid w:val="00BE0471"/>
    <w:rsid w:val="00BE047E"/>
    <w:rsid w:val="00BE04C3"/>
    <w:rsid w:val="00BE04CF"/>
    <w:rsid w:val="00BE04ED"/>
    <w:rsid w:val="00BE0519"/>
    <w:rsid w:val="00BE059E"/>
    <w:rsid w:val="00BE061D"/>
    <w:rsid w:val="00BE061E"/>
    <w:rsid w:val="00BE064B"/>
    <w:rsid w:val="00BE069B"/>
    <w:rsid w:val="00BE06B1"/>
    <w:rsid w:val="00BE06BD"/>
    <w:rsid w:val="00BE06D6"/>
    <w:rsid w:val="00BE06DB"/>
    <w:rsid w:val="00BE06FB"/>
    <w:rsid w:val="00BE079F"/>
    <w:rsid w:val="00BE07C0"/>
    <w:rsid w:val="00BE080E"/>
    <w:rsid w:val="00BE0850"/>
    <w:rsid w:val="00BE0854"/>
    <w:rsid w:val="00BE0878"/>
    <w:rsid w:val="00BE08EE"/>
    <w:rsid w:val="00BE095F"/>
    <w:rsid w:val="00BE09A3"/>
    <w:rsid w:val="00BE09B1"/>
    <w:rsid w:val="00BE09C9"/>
    <w:rsid w:val="00BE09D0"/>
    <w:rsid w:val="00BE09D9"/>
    <w:rsid w:val="00BE09FB"/>
    <w:rsid w:val="00BE0A2E"/>
    <w:rsid w:val="00BE0A66"/>
    <w:rsid w:val="00BE0A7E"/>
    <w:rsid w:val="00BE0AA5"/>
    <w:rsid w:val="00BE0AD7"/>
    <w:rsid w:val="00BE0AFB"/>
    <w:rsid w:val="00BE0AFE"/>
    <w:rsid w:val="00BE0B08"/>
    <w:rsid w:val="00BE0B29"/>
    <w:rsid w:val="00BE0B33"/>
    <w:rsid w:val="00BE0B3C"/>
    <w:rsid w:val="00BE0B62"/>
    <w:rsid w:val="00BE0BB4"/>
    <w:rsid w:val="00BE0CA5"/>
    <w:rsid w:val="00BE0D2E"/>
    <w:rsid w:val="00BE0D34"/>
    <w:rsid w:val="00BE0D66"/>
    <w:rsid w:val="00BE0D89"/>
    <w:rsid w:val="00BE0D97"/>
    <w:rsid w:val="00BE0DF5"/>
    <w:rsid w:val="00BE0E00"/>
    <w:rsid w:val="00BE0E01"/>
    <w:rsid w:val="00BE0E0B"/>
    <w:rsid w:val="00BE0E35"/>
    <w:rsid w:val="00BE0E84"/>
    <w:rsid w:val="00BE0E92"/>
    <w:rsid w:val="00BE0EDF"/>
    <w:rsid w:val="00BE0EF1"/>
    <w:rsid w:val="00BE0F0C"/>
    <w:rsid w:val="00BE0F3E"/>
    <w:rsid w:val="00BE0F69"/>
    <w:rsid w:val="00BE0FA1"/>
    <w:rsid w:val="00BE0FA3"/>
    <w:rsid w:val="00BE0FF7"/>
    <w:rsid w:val="00BE1035"/>
    <w:rsid w:val="00BE1078"/>
    <w:rsid w:val="00BE10BE"/>
    <w:rsid w:val="00BE113C"/>
    <w:rsid w:val="00BE11DB"/>
    <w:rsid w:val="00BE1204"/>
    <w:rsid w:val="00BE1226"/>
    <w:rsid w:val="00BE126E"/>
    <w:rsid w:val="00BE129C"/>
    <w:rsid w:val="00BE12A2"/>
    <w:rsid w:val="00BE12A9"/>
    <w:rsid w:val="00BE132C"/>
    <w:rsid w:val="00BE1348"/>
    <w:rsid w:val="00BE13DF"/>
    <w:rsid w:val="00BE13F3"/>
    <w:rsid w:val="00BE13FC"/>
    <w:rsid w:val="00BE1410"/>
    <w:rsid w:val="00BE141C"/>
    <w:rsid w:val="00BE1426"/>
    <w:rsid w:val="00BE143D"/>
    <w:rsid w:val="00BE14FB"/>
    <w:rsid w:val="00BE1576"/>
    <w:rsid w:val="00BE159C"/>
    <w:rsid w:val="00BE15A1"/>
    <w:rsid w:val="00BE15BF"/>
    <w:rsid w:val="00BE15C0"/>
    <w:rsid w:val="00BE15ED"/>
    <w:rsid w:val="00BE161E"/>
    <w:rsid w:val="00BE1621"/>
    <w:rsid w:val="00BE162D"/>
    <w:rsid w:val="00BE1650"/>
    <w:rsid w:val="00BE1654"/>
    <w:rsid w:val="00BE16BF"/>
    <w:rsid w:val="00BE16DE"/>
    <w:rsid w:val="00BE16ED"/>
    <w:rsid w:val="00BE16FE"/>
    <w:rsid w:val="00BE170B"/>
    <w:rsid w:val="00BE1720"/>
    <w:rsid w:val="00BE1737"/>
    <w:rsid w:val="00BE1787"/>
    <w:rsid w:val="00BE1799"/>
    <w:rsid w:val="00BE17A6"/>
    <w:rsid w:val="00BE1817"/>
    <w:rsid w:val="00BE1830"/>
    <w:rsid w:val="00BE183A"/>
    <w:rsid w:val="00BE1870"/>
    <w:rsid w:val="00BE1871"/>
    <w:rsid w:val="00BE18B0"/>
    <w:rsid w:val="00BE18EA"/>
    <w:rsid w:val="00BE195F"/>
    <w:rsid w:val="00BE19C3"/>
    <w:rsid w:val="00BE1A01"/>
    <w:rsid w:val="00BE1A0D"/>
    <w:rsid w:val="00BE1A1D"/>
    <w:rsid w:val="00BE1A29"/>
    <w:rsid w:val="00BE1A73"/>
    <w:rsid w:val="00BE1A86"/>
    <w:rsid w:val="00BE1A87"/>
    <w:rsid w:val="00BE1A88"/>
    <w:rsid w:val="00BE1AAB"/>
    <w:rsid w:val="00BE1AC6"/>
    <w:rsid w:val="00BE1ACA"/>
    <w:rsid w:val="00BE1ACE"/>
    <w:rsid w:val="00BE1AF9"/>
    <w:rsid w:val="00BE1B05"/>
    <w:rsid w:val="00BE1B2B"/>
    <w:rsid w:val="00BE1B50"/>
    <w:rsid w:val="00BE1B5A"/>
    <w:rsid w:val="00BE1B96"/>
    <w:rsid w:val="00BE1BC9"/>
    <w:rsid w:val="00BE1C5D"/>
    <w:rsid w:val="00BE1C83"/>
    <w:rsid w:val="00BE1C87"/>
    <w:rsid w:val="00BE1CDE"/>
    <w:rsid w:val="00BE1D1C"/>
    <w:rsid w:val="00BE1D35"/>
    <w:rsid w:val="00BE1DF4"/>
    <w:rsid w:val="00BE1E8A"/>
    <w:rsid w:val="00BE1EAD"/>
    <w:rsid w:val="00BE1EB1"/>
    <w:rsid w:val="00BE1EB5"/>
    <w:rsid w:val="00BE1ECD"/>
    <w:rsid w:val="00BE1EDB"/>
    <w:rsid w:val="00BE1F44"/>
    <w:rsid w:val="00BE1F7D"/>
    <w:rsid w:val="00BE1FB9"/>
    <w:rsid w:val="00BE2004"/>
    <w:rsid w:val="00BE2025"/>
    <w:rsid w:val="00BE204B"/>
    <w:rsid w:val="00BE205D"/>
    <w:rsid w:val="00BE2082"/>
    <w:rsid w:val="00BE2090"/>
    <w:rsid w:val="00BE212D"/>
    <w:rsid w:val="00BE215B"/>
    <w:rsid w:val="00BE21A4"/>
    <w:rsid w:val="00BE21A8"/>
    <w:rsid w:val="00BE21B1"/>
    <w:rsid w:val="00BE21DF"/>
    <w:rsid w:val="00BE220A"/>
    <w:rsid w:val="00BE2223"/>
    <w:rsid w:val="00BE2290"/>
    <w:rsid w:val="00BE22AC"/>
    <w:rsid w:val="00BE22D9"/>
    <w:rsid w:val="00BE230A"/>
    <w:rsid w:val="00BE230D"/>
    <w:rsid w:val="00BE2317"/>
    <w:rsid w:val="00BE2326"/>
    <w:rsid w:val="00BE2371"/>
    <w:rsid w:val="00BE2455"/>
    <w:rsid w:val="00BE2461"/>
    <w:rsid w:val="00BE2499"/>
    <w:rsid w:val="00BE24DA"/>
    <w:rsid w:val="00BE24DC"/>
    <w:rsid w:val="00BE2503"/>
    <w:rsid w:val="00BE251B"/>
    <w:rsid w:val="00BE2525"/>
    <w:rsid w:val="00BE2534"/>
    <w:rsid w:val="00BE256F"/>
    <w:rsid w:val="00BE2583"/>
    <w:rsid w:val="00BE25BF"/>
    <w:rsid w:val="00BE25E4"/>
    <w:rsid w:val="00BE268B"/>
    <w:rsid w:val="00BE2709"/>
    <w:rsid w:val="00BE2710"/>
    <w:rsid w:val="00BE2756"/>
    <w:rsid w:val="00BE275F"/>
    <w:rsid w:val="00BE278C"/>
    <w:rsid w:val="00BE279A"/>
    <w:rsid w:val="00BE27D2"/>
    <w:rsid w:val="00BE27E7"/>
    <w:rsid w:val="00BE280C"/>
    <w:rsid w:val="00BE2864"/>
    <w:rsid w:val="00BE2868"/>
    <w:rsid w:val="00BE2872"/>
    <w:rsid w:val="00BE2897"/>
    <w:rsid w:val="00BE28BD"/>
    <w:rsid w:val="00BE2916"/>
    <w:rsid w:val="00BE293A"/>
    <w:rsid w:val="00BE293B"/>
    <w:rsid w:val="00BE2958"/>
    <w:rsid w:val="00BE296A"/>
    <w:rsid w:val="00BE29B0"/>
    <w:rsid w:val="00BE2A16"/>
    <w:rsid w:val="00BE2A2E"/>
    <w:rsid w:val="00BE2A32"/>
    <w:rsid w:val="00BE2A69"/>
    <w:rsid w:val="00BE2AC6"/>
    <w:rsid w:val="00BE2B00"/>
    <w:rsid w:val="00BE2B09"/>
    <w:rsid w:val="00BE2B0E"/>
    <w:rsid w:val="00BE2B47"/>
    <w:rsid w:val="00BE2B5A"/>
    <w:rsid w:val="00BE2B91"/>
    <w:rsid w:val="00BE2BB4"/>
    <w:rsid w:val="00BE2C00"/>
    <w:rsid w:val="00BE2C12"/>
    <w:rsid w:val="00BE2C2C"/>
    <w:rsid w:val="00BE2CA6"/>
    <w:rsid w:val="00BE2CFB"/>
    <w:rsid w:val="00BE2D39"/>
    <w:rsid w:val="00BE2D3D"/>
    <w:rsid w:val="00BE2D42"/>
    <w:rsid w:val="00BE2D57"/>
    <w:rsid w:val="00BE2D75"/>
    <w:rsid w:val="00BE2D9F"/>
    <w:rsid w:val="00BE2DA4"/>
    <w:rsid w:val="00BE2DA7"/>
    <w:rsid w:val="00BE2DF7"/>
    <w:rsid w:val="00BE2E15"/>
    <w:rsid w:val="00BE2E24"/>
    <w:rsid w:val="00BE2E2B"/>
    <w:rsid w:val="00BE2E7E"/>
    <w:rsid w:val="00BE2E8A"/>
    <w:rsid w:val="00BE2EFE"/>
    <w:rsid w:val="00BE2F18"/>
    <w:rsid w:val="00BE2F55"/>
    <w:rsid w:val="00BE2FAB"/>
    <w:rsid w:val="00BE2FCA"/>
    <w:rsid w:val="00BE2FDD"/>
    <w:rsid w:val="00BE3036"/>
    <w:rsid w:val="00BE304B"/>
    <w:rsid w:val="00BE306D"/>
    <w:rsid w:val="00BE3079"/>
    <w:rsid w:val="00BE307F"/>
    <w:rsid w:val="00BE30B4"/>
    <w:rsid w:val="00BE30C1"/>
    <w:rsid w:val="00BE3113"/>
    <w:rsid w:val="00BE31EF"/>
    <w:rsid w:val="00BE320B"/>
    <w:rsid w:val="00BE320C"/>
    <w:rsid w:val="00BE3256"/>
    <w:rsid w:val="00BE3271"/>
    <w:rsid w:val="00BE32D0"/>
    <w:rsid w:val="00BE32FE"/>
    <w:rsid w:val="00BE3326"/>
    <w:rsid w:val="00BE33C3"/>
    <w:rsid w:val="00BE3410"/>
    <w:rsid w:val="00BE343B"/>
    <w:rsid w:val="00BE343E"/>
    <w:rsid w:val="00BE3455"/>
    <w:rsid w:val="00BE345F"/>
    <w:rsid w:val="00BE346D"/>
    <w:rsid w:val="00BE3485"/>
    <w:rsid w:val="00BE34C7"/>
    <w:rsid w:val="00BE3504"/>
    <w:rsid w:val="00BE35A2"/>
    <w:rsid w:val="00BE35F8"/>
    <w:rsid w:val="00BE363D"/>
    <w:rsid w:val="00BE3640"/>
    <w:rsid w:val="00BE3648"/>
    <w:rsid w:val="00BE3650"/>
    <w:rsid w:val="00BE365A"/>
    <w:rsid w:val="00BE3664"/>
    <w:rsid w:val="00BE3669"/>
    <w:rsid w:val="00BE368C"/>
    <w:rsid w:val="00BE36B9"/>
    <w:rsid w:val="00BE3708"/>
    <w:rsid w:val="00BE373E"/>
    <w:rsid w:val="00BE374A"/>
    <w:rsid w:val="00BE374B"/>
    <w:rsid w:val="00BE377F"/>
    <w:rsid w:val="00BE3781"/>
    <w:rsid w:val="00BE37A8"/>
    <w:rsid w:val="00BE3816"/>
    <w:rsid w:val="00BE3822"/>
    <w:rsid w:val="00BE3835"/>
    <w:rsid w:val="00BE385D"/>
    <w:rsid w:val="00BE38BE"/>
    <w:rsid w:val="00BE38CB"/>
    <w:rsid w:val="00BE3905"/>
    <w:rsid w:val="00BE3919"/>
    <w:rsid w:val="00BE391B"/>
    <w:rsid w:val="00BE3936"/>
    <w:rsid w:val="00BE393A"/>
    <w:rsid w:val="00BE39AA"/>
    <w:rsid w:val="00BE3A5D"/>
    <w:rsid w:val="00BE3A62"/>
    <w:rsid w:val="00BE3A68"/>
    <w:rsid w:val="00BE3A87"/>
    <w:rsid w:val="00BE3A9C"/>
    <w:rsid w:val="00BE3AA5"/>
    <w:rsid w:val="00BE3AA6"/>
    <w:rsid w:val="00BE3AEB"/>
    <w:rsid w:val="00BE3B1D"/>
    <w:rsid w:val="00BE3B67"/>
    <w:rsid w:val="00BE3BC2"/>
    <w:rsid w:val="00BE3BCD"/>
    <w:rsid w:val="00BE3BCE"/>
    <w:rsid w:val="00BE3C0C"/>
    <w:rsid w:val="00BE3C13"/>
    <w:rsid w:val="00BE3C6B"/>
    <w:rsid w:val="00BE3C76"/>
    <w:rsid w:val="00BE3C92"/>
    <w:rsid w:val="00BE3DCD"/>
    <w:rsid w:val="00BE3DF4"/>
    <w:rsid w:val="00BE3DF8"/>
    <w:rsid w:val="00BE3E06"/>
    <w:rsid w:val="00BE3E15"/>
    <w:rsid w:val="00BE3E1E"/>
    <w:rsid w:val="00BE3F3E"/>
    <w:rsid w:val="00BE3F6F"/>
    <w:rsid w:val="00BE3F78"/>
    <w:rsid w:val="00BE3F96"/>
    <w:rsid w:val="00BE3F9B"/>
    <w:rsid w:val="00BE3F9D"/>
    <w:rsid w:val="00BE3F9F"/>
    <w:rsid w:val="00BE3FB8"/>
    <w:rsid w:val="00BE3FCF"/>
    <w:rsid w:val="00BE403F"/>
    <w:rsid w:val="00BE408D"/>
    <w:rsid w:val="00BE40C8"/>
    <w:rsid w:val="00BE4138"/>
    <w:rsid w:val="00BE4156"/>
    <w:rsid w:val="00BE415B"/>
    <w:rsid w:val="00BE416C"/>
    <w:rsid w:val="00BE419A"/>
    <w:rsid w:val="00BE41D9"/>
    <w:rsid w:val="00BE41DC"/>
    <w:rsid w:val="00BE41EA"/>
    <w:rsid w:val="00BE4210"/>
    <w:rsid w:val="00BE422C"/>
    <w:rsid w:val="00BE424A"/>
    <w:rsid w:val="00BE426C"/>
    <w:rsid w:val="00BE4276"/>
    <w:rsid w:val="00BE42DD"/>
    <w:rsid w:val="00BE42F8"/>
    <w:rsid w:val="00BE4315"/>
    <w:rsid w:val="00BE441E"/>
    <w:rsid w:val="00BE4442"/>
    <w:rsid w:val="00BE446E"/>
    <w:rsid w:val="00BE4495"/>
    <w:rsid w:val="00BE44CB"/>
    <w:rsid w:val="00BE4513"/>
    <w:rsid w:val="00BE4525"/>
    <w:rsid w:val="00BE452B"/>
    <w:rsid w:val="00BE4534"/>
    <w:rsid w:val="00BE4548"/>
    <w:rsid w:val="00BE454C"/>
    <w:rsid w:val="00BE4572"/>
    <w:rsid w:val="00BE4575"/>
    <w:rsid w:val="00BE457B"/>
    <w:rsid w:val="00BE457E"/>
    <w:rsid w:val="00BE458C"/>
    <w:rsid w:val="00BE45C0"/>
    <w:rsid w:val="00BE45E1"/>
    <w:rsid w:val="00BE45E3"/>
    <w:rsid w:val="00BE4601"/>
    <w:rsid w:val="00BE467C"/>
    <w:rsid w:val="00BE4692"/>
    <w:rsid w:val="00BE46FB"/>
    <w:rsid w:val="00BE470D"/>
    <w:rsid w:val="00BE4728"/>
    <w:rsid w:val="00BE47B2"/>
    <w:rsid w:val="00BE47D6"/>
    <w:rsid w:val="00BE47D7"/>
    <w:rsid w:val="00BE4826"/>
    <w:rsid w:val="00BE4851"/>
    <w:rsid w:val="00BE4872"/>
    <w:rsid w:val="00BE48F5"/>
    <w:rsid w:val="00BE4942"/>
    <w:rsid w:val="00BE4973"/>
    <w:rsid w:val="00BE499C"/>
    <w:rsid w:val="00BE49B8"/>
    <w:rsid w:val="00BE49E5"/>
    <w:rsid w:val="00BE4A32"/>
    <w:rsid w:val="00BE4A48"/>
    <w:rsid w:val="00BE4A99"/>
    <w:rsid w:val="00BE4AB4"/>
    <w:rsid w:val="00BE4ADF"/>
    <w:rsid w:val="00BE4AE0"/>
    <w:rsid w:val="00BE4B64"/>
    <w:rsid w:val="00BE4C1D"/>
    <w:rsid w:val="00BE4C20"/>
    <w:rsid w:val="00BE4C3C"/>
    <w:rsid w:val="00BE4C44"/>
    <w:rsid w:val="00BE4C99"/>
    <w:rsid w:val="00BE4CCF"/>
    <w:rsid w:val="00BE4D1A"/>
    <w:rsid w:val="00BE4D48"/>
    <w:rsid w:val="00BE4D8E"/>
    <w:rsid w:val="00BE4DCB"/>
    <w:rsid w:val="00BE4DF0"/>
    <w:rsid w:val="00BE4E04"/>
    <w:rsid w:val="00BE4E48"/>
    <w:rsid w:val="00BE4E6B"/>
    <w:rsid w:val="00BE4EBA"/>
    <w:rsid w:val="00BE4EBB"/>
    <w:rsid w:val="00BE4F10"/>
    <w:rsid w:val="00BE4F90"/>
    <w:rsid w:val="00BE4F94"/>
    <w:rsid w:val="00BE4FA1"/>
    <w:rsid w:val="00BE4FC6"/>
    <w:rsid w:val="00BE4FDF"/>
    <w:rsid w:val="00BE4FE6"/>
    <w:rsid w:val="00BE5025"/>
    <w:rsid w:val="00BE5035"/>
    <w:rsid w:val="00BE5037"/>
    <w:rsid w:val="00BE504B"/>
    <w:rsid w:val="00BE5067"/>
    <w:rsid w:val="00BE50F5"/>
    <w:rsid w:val="00BE50FB"/>
    <w:rsid w:val="00BE5100"/>
    <w:rsid w:val="00BE5111"/>
    <w:rsid w:val="00BE511E"/>
    <w:rsid w:val="00BE512E"/>
    <w:rsid w:val="00BE514D"/>
    <w:rsid w:val="00BE517B"/>
    <w:rsid w:val="00BE51D3"/>
    <w:rsid w:val="00BE521F"/>
    <w:rsid w:val="00BE5275"/>
    <w:rsid w:val="00BE5284"/>
    <w:rsid w:val="00BE52B7"/>
    <w:rsid w:val="00BE52C2"/>
    <w:rsid w:val="00BE52D6"/>
    <w:rsid w:val="00BE52E0"/>
    <w:rsid w:val="00BE52EA"/>
    <w:rsid w:val="00BE52FD"/>
    <w:rsid w:val="00BE530A"/>
    <w:rsid w:val="00BE537E"/>
    <w:rsid w:val="00BE53BF"/>
    <w:rsid w:val="00BE53F4"/>
    <w:rsid w:val="00BE5439"/>
    <w:rsid w:val="00BE5490"/>
    <w:rsid w:val="00BE5534"/>
    <w:rsid w:val="00BE5580"/>
    <w:rsid w:val="00BE55F4"/>
    <w:rsid w:val="00BE566C"/>
    <w:rsid w:val="00BE56B4"/>
    <w:rsid w:val="00BE56C5"/>
    <w:rsid w:val="00BE5733"/>
    <w:rsid w:val="00BE573B"/>
    <w:rsid w:val="00BE576C"/>
    <w:rsid w:val="00BE576F"/>
    <w:rsid w:val="00BE5772"/>
    <w:rsid w:val="00BE57B0"/>
    <w:rsid w:val="00BE57B6"/>
    <w:rsid w:val="00BE5800"/>
    <w:rsid w:val="00BE5806"/>
    <w:rsid w:val="00BE582E"/>
    <w:rsid w:val="00BE584E"/>
    <w:rsid w:val="00BE58A7"/>
    <w:rsid w:val="00BE58B6"/>
    <w:rsid w:val="00BE58F2"/>
    <w:rsid w:val="00BE5901"/>
    <w:rsid w:val="00BE5905"/>
    <w:rsid w:val="00BE5912"/>
    <w:rsid w:val="00BE591C"/>
    <w:rsid w:val="00BE593C"/>
    <w:rsid w:val="00BE59F2"/>
    <w:rsid w:val="00BE5A25"/>
    <w:rsid w:val="00BE5A30"/>
    <w:rsid w:val="00BE5AC5"/>
    <w:rsid w:val="00BE5AC7"/>
    <w:rsid w:val="00BE5ADF"/>
    <w:rsid w:val="00BE5B42"/>
    <w:rsid w:val="00BE5B5F"/>
    <w:rsid w:val="00BE5C65"/>
    <w:rsid w:val="00BE5C7C"/>
    <w:rsid w:val="00BE5C93"/>
    <w:rsid w:val="00BE5C9D"/>
    <w:rsid w:val="00BE5D23"/>
    <w:rsid w:val="00BE5D2B"/>
    <w:rsid w:val="00BE5D3C"/>
    <w:rsid w:val="00BE5D50"/>
    <w:rsid w:val="00BE5DE5"/>
    <w:rsid w:val="00BE5E05"/>
    <w:rsid w:val="00BE5E78"/>
    <w:rsid w:val="00BE5E84"/>
    <w:rsid w:val="00BE5F04"/>
    <w:rsid w:val="00BE5F17"/>
    <w:rsid w:val="00BE5F2C"/>
    <w:rsid w:val="00BE5F65"/>
    <w:rsid w:val="00BE5F93"/>
    <w:rsid w:val="00BE5FB2"/>
    <w:rsid w:val="00BE5FC1"/>
    <w:rsid w:val="00BE5FC4"/>
    <w:rsid w:val="00BE5FC5"/>
    <w:rsid w:val="00BE6099"/>
    <w:rsid w:val="00BE6101"/>
    <w:rsid w:val="00BE6118"/>
    <w:rsid w:val="00BE6163"/>
    <w:rsid w:val="00BE616D"/>
    <w:rsid w:val="00BE61B0"/>
    <w:rsid w:val="00BE61B1"/>
    <w:rsid w:val="00BE61D7"/>
    <w:rsid w:val="00BE6223"/>
    <w:rsid w:val="00BE622E"/>
    <w:rsid w:val="00BE624C"/>
    <w:rsid w:val="00BE6254"/>
    <w:rsid w:val="00BE625F"/>
    <w:rsid w:val="00BE6285"/>
    <w:rsid w:val="00BE62CD"/>
    <w:rsid w:val="00BE6329"/>
    <w:rsid w:val="00BE637A"/>
    <w:rsid w:val="00BE6380"/>
    <w:rsid w:val="00BE63A9"/>
    <w:rsid w:val="00BE63B5"/>
    <w:rsid w:val="00BE63EC"/>
    <w:rsid w:val="00BE640D"/>
    <w:rsid w:val="00BE6465"/>
    <w:rsid w:val="00BE6485"/>
    <w:rsid w:val="00BE6492"/>
    <w:rsid w:val="00BE64BD"/>
    <w:rsid w:val="00BE64BF"/>
    <w:rsid w:val="00BE6514"/>
    <w:rsid w:val="00BE6529"/>
    <w:rsid w:val="00BE65A2"/>
    <w:rsid w:val="00BE65C4"/>
    <w:rsid w:val="00BE660F"/>
    <w:rsid w:val="00BE66C4"/>
    <w:rsid w:val="00BE66C6"/>
    <w:rsid w:val="00BE66D2"/>
    <w:rsid w:val="00BE66F2"/>
    <w:rsid w:val="00BE66FB"/>
    <w:rsid w:val="00BE66FE"/>
    <w:rsid w:val="00BE670E"/>
    <w:rsid w:val="00BE6755"/>
    <w:rsid w:val="00BE678C"/>
    <w:rsid w:val="00BE678E"/>
    <w:rsid w:val="00BE679F"/>
    <w:rsid w:val="00BE67B0"/>
    <w:rsid w:val="00BE67D5"/>
    <w:rsid w:val="00BE680D"/>
    <w:rsid w:val="00BE6833"/>
    <w:rsid w:val="00BE6839"/>
    <w:rsid w:val="00BE68B6"/>
    <w:rsid w:val="00BE68DB"/>
    <w:rsid w:val="00BE68E4"/>
    <w:rsid w:val="00BE6910"/>
    <w:rsid w:val="00BE6930"/>
    <w:rsid w:val="00BE6934"/>
    <w:rsid w:val="00BE69A5"/>
    <w:rsid w:val="00BE6A94"/>
    <w:rsid w:val="00BE6AE4"/>
    <w:rsid w:val="00BE6AE6"/>
    <w:rsid w:val="00BE6B38"/>
    <w:rsid w:val="00BE6BA1"/>
    <w:rsid w:val="00BE6BEC"/>
    <w:rsid w:val="00BE6C09"/>
    <w:rsid w:val="00BE6C17"/>
    <w:rsid w:val="00BE6C3B"/>
    <w:rsid w:val="00BE6C61"/>
    <w:rsid w:val="00BE6CA0"/>
    <w:rsid w:val="00BE6CB6"/>
    <w:rsid w:val="00BE6D2E"/>
    <w:rsid w:val="00BE6D51"/>
    <w:rsid w:val="00BE6D75"/>
    <w:rsid w:val="00BE6D93"/>
    <w:rsid w:val="00BE6D9D"/>
    <w:rsid w:val="00BE6DCB"/>
    <w:rsid w:val="00BE6DE8"/>
    <w:rsid w:val="00BE6E1B"/>
    <w:rsid w:val="00BE6E42"/>
    <w:rsid w:val="00BE6E70"/>
    <w:rsid w:val="00BE6E76"/>
    <w:rsid w:val="00BE6F24"/>
    <w:rsid w:val="00BE6F4F"/>
    <w:rsid w:val="00BE6F51"/>
    <w:rsid w:val="00BE6F66"/>
    <w:rsid w:val="00BE6F7D"/>
    <w:rsid w:val="00BE6FBC"/>
    <w:rsid w:val="00BE7017"/>
    <w:rsid w:val="00BE704E"/>
    <w:rsid w:val="00BE709D"/>
    <w:rsid w:val="00BE70AC"/>
    <w:rsid w:val="00BE70D5"/>
    <w:rsid w:val="00BE70F3"/>
    <w:rsid w:val="00BE70FC"/>
    <w:rsid w:val="00BE711F"/>
    <w:rsid w:val="00BE7128"/>
    <w:rsid w:val="00BE7147"/>
    <w:rsid w:val="00BE717A"/>
    <w:rsid w:val="00BE7188"/>
    <w:rsid w:val="00BE718E"/>
    <w:rsid w:val="00BE71A1"/>
    <w:rsid w:val="00BE71A5"/>
    <w:rsid w:val="00BE71F5"/>
    <w:rsid w:val="00BE7201"/>
    <w:rsid w:val="00BE723E"/>
    <w:rsid w:val="00BE7270"/>
    <w:rsid w:val="00BE727C"/>
    <w:rsid w:val="00BE7296"/>
    <w:rsid w:val="00BE72B8"/>
    <w:rsid w:val="00BE72F9"/>
    <w:rsid w:val="00BE73E7"/>
    <w:rsid w:val="00BE7416"/>
    <w:rsid w:val="00BE7433"/>
    <w:rsid w:val="00BE7459"/>
    <w:rsid w:val="00BE7488"/>
    <w:rsid w:val="00BE74A9"/>
    <w:rsid w:val="00BE7504"/>
    <w:rsid w:val="00BE7576"/>
    <w:rsid w:val="00BE75B1"/>
    <w:rsid w:val="00BE75CB"/>
    <w:rsid w:val="00BE7616"/>
    <w:rsid w:val="00BE761A"/>
    <w:rsid w:val="00BE762C"/>
    <w:rsid w:val="00BE7675"/>
    <w:rsid w:val="00BE7689"/>
    <w:rsid w:val="00BE76D1"/>
    <w:rsid w:val="00BE7727"/>
    <w:rsid w:val="00BE7769"/>
    <w:rsid w:val="00BE776C"/>
    <w:rsid w:val="00BE778C"/>
    <w:rsid w:val="00BE77BB"/>
    <w:rsid w:val="00BE78EF"/>
    <w:rsid w:val="00BE78F3"/>
    <w:rsid w:val="00BE78F5"/>
    <w:rsid w:val="00BE790A"/>
    <w:rsid w:val="00BE7935"/>
    <w:rsid w:val="00BE7946"/>
    <w:rsid w:val="00BE7995"/>
    <w:rsid w:val="00BE79B1"/>
    <w:rsid w:val="00BE79E2"/>
    <w:rsid w:val="00BE79E7"/>
    <w:rsid w:val="00BE7A28"/>
    <w:rsid w:val="00BE7A60"/>
    <w:rsid w:val="00BE7A61"/>
    <w:rsid w:val="00BE7B1C"/>
    <w:rsid w:val="00BE7B79"/>
    <w:rsid w:val="00BE7BBB"/>
    <w:rsid w:val="00BE7C01"/>
    <w:rsid w:val="00BE7C7B"/>
    <w:rsid w:val="00BE7C7D"/>
    <w:rsid w:val="00BE7CDE"/>
    <w:rsid w:val="00BE7CDF"/>
    <w:rsid w:val="00BE7CF0"/>
    <w:rsid w:val="00BE7D3A"/>
    <w:rsid w:val="00BE7D40"/>
    <w:rsid w:val="00BE7D78"/>
    <w:rsid w:val="00BE7DAB"/>
    <w:rsid w:val="00BE7DBA"/>
    <w:rsid w:val="00BE7DCF"/>
    <w:rsid w:val="00BE7DF5"/>
    <w:rsid w:val="00BE7DF7"/>
    <w:rsid w:val="00BE7E3F"/>
    <w:rsid w:val="00BE7E91"/>
    <w:rsid w:val="00BE7E92"/>
    <w:rsid w:val="00BE7E97"/>
    <w:rsid w:val="00BE7EA5"/>
    <w:rsid w:val="00BE7ECD"/>
    <w:rsid w:val="00BE7EEE"/>
    <w:rsid w:val="00BE7F44"/>
    <w:rsid w:val="00BE7F53"/>
    <w:rsid w:val="00BE7F79"/>
    <w:rsid w:val="00BE7F9C"/>
    <w:rsid w:val="00BE7FB0"/>
    <w:rsid w:val="00BE7FF6"/>
    <w:rsid w:val="00BF0029"/>
    <w:rsid w:val="00BF0037"/>
    <w:rsid w:val="00BF0046"/>
    <w:rsid w:val="00BF005D"/>
    <w:rsid w:val="00BF005F"/>
    <w:rsid w:val="00BF0060"/>
    <w:rsid w:val="00BF012B"/>
    <w:rsid w:val="00BF0153"/>
    <w:rsid w:val="00BF01D6"/>
    <w:rsid w:val="00BF0266"/>
    <w:rsid w:val="00BF02CC"/>
    <w:rsid w:val="00BF02F3"/>
    <w:rsid w:val="00BF034C"/>
    <w:rsid w:val="00BF03D8"/>
    <w:rsid w:val="00BF040E"/>
    <w:rsid w:val="00BF0418"/>
    <w:rsid w:val="00BF042A"/>
    <w:rsid w:val="00BF043D"/>
    <w:rsid w:val="00BF0455"/>
    <w:rsid w:val="00BF0483"/>
    <w:rsid w:val="00BF04B2"/>
    <w:rsid w:val="00BF04B9"/>
    <w:rsid w:val="00BF04C2"/>
    <w:rsid w:val="00BF04DC"/>
    <w:rsid w:val="00BF052B"/>
    <w:rsid w:val="00BF0551"/>
    <w:rsid w:val="00BF0559"/>
    <w:rsid w:val="00BF0563"/>
    <w:rsid w:val="00BF0567"/>
    <w:rsid w:val="00BF05A1"/>
    <w:rsid w:val="00BF05EA"/>
    <w:rsid w:val="00BF061B"/>
    <w:rsid w:val="00BF0629"/>
    <w:rsid w:val="00BF06D7"/>
    <w:rsid w:val="00BF0704"/>
    <w:rsid w:val="00BF0718"/>
    <w:rsid w:val="00BF0734"/>
    <w:rsid w:val="00BF0770"/>
    <w:rsid w:val="00BF0783"/>
    <w:rsid w:val="00BF0792"/>
    <w:rsid w:val="00BF0814"/>
    <w:rsid w:val="00BF082A"/>
    <w:rsid w:val="00BF0845"/>
    <w:rsid w:val="00BF0877"/>
    <w:rsid w:val="00BF08C4"/>
    <w:rsid w:val="00BF0991"/>
    <w:rsid w:val="00BF09D8"/>
    <w:rsid w:val="00BF0A21"/>
    <w:rsid w:val="00BF0A81"/>
    <w:rsid w:val="00BF0AA9"/>
    <w:rsid w:val="00BF0ABE"/>
    <w:rsid w:val="00BF0ADC"/>
    <w:rsid w:val="00BF0AE3"/>
    <w:rsid w:val="00BF0AE4"/>
    <w:rsid w:val="00BF0B08"/>
    <w:rsid w:val="00BF0B0A"/>
    <w:rsid w:val="00BF0B66"/>
    <w:rsid w:val="00BF0B93"/>
    <w:rsid w:val="00BF0B97"/>
    <w:rsid w:val="00BF0B9D"/>
    <w:rsid w:val="00BF0BA8"/>
    <w:rsid w:val="00BF0BD5"/>
    <w:rsid w:val="00BF0BFE"/>
    <w:rsid w:val="00BF0C13"/>
    <w:rsid w:val="00BF0C4C"/>
    <w:rsid w:val="00BF0CA4"/>
    <w:rsid w:val="00BF0CB9"/>
    <w:rsid w:val="00BF0CE4"/>
    <w:rsid w:val="00BF0CF3"/>
    <w:rsid w:val="00BF0CF9"/>
    <w:rsid w:val="00BF0D1D"/>
    <w:rsid w:val="00BF0D32"/>
    <w:rsid w:val="00BF0D3E"/>
    <w:rsid w:val="00BF0D4B"/>
    <w:rsid w:val="00BF0D52"/>
    <w:rsid w:val="00BF0D5B"/>
    <w:rsid w:val="00BF0D6D"/>
    <w:rsid w:val="00BF0D8D"/>
    <w:rsid w:val="00BF0DBC"/>
    <w:rsid w:val="00BF0DC9"/>
    <w:rsid w:val="00BF0E2C"/>
    <w:rsid w:val="00BF0E3C"/>
    <w:rsid w:val="00BF0E3E"/>
    <w:rsid w:val="00BF0E44"/>
    <w:rsid w:val="00BF0E4D"/>
    <w:rsid w:val="00BF0E56"/>
    <w:rsid w:val="00BF0E61"/>
    <w:rsid w:val="00BF0E6D"/>
    <w:rsid w:val="00BF0EFD"/>
    <w:rsid w:val="00BF0F11"/>
    <w:rsid w:val="00BF0F13"/>
    <w:rsid w:val="00BF0F28"/>
    <w:rsid w:val="00BF0F38"/>
    <w:rsid w:val="00BF0FA5"/>
    <w:rsid w:val="00BF0FBC"/>
    <w:rsid w:val="00BF1002"/>
    <w:rsid w:val="00BF1015"/>
    <w:rsid w:val="00BF1017"/>
    <w:rsid w:val="00BF1041"/>
    <w:rsid w:val="00BF106E"/>
    <w:rsid w:val="00BF107C"/>
    <w:rsid w:val="00BF1091"/>
    <w:rsid w:val="00BF10EF"/>
    <w:rsid w:val="00BF116F"/>
    <w:rsid w:val="00BF1223"/>
    <w:rsid w:val="00BF1234"/>
    <w:rsid w:val="00BF123A"/>
    <w:rsid w:val="00BF1250"/>
    <w:rsid w:val="00BF1268"/>
    <w:rsid w:val="00BF1282"/>
    <w:rsid w:val="00BF12D9"/>
    <w:rsid w:val="00BF130A"/>
    <w:rsid w:val="00BF134A"/>
    <w:rsid w:val="00BF136A"/>
    <w:rsid w:val="00BF1394"/>
    <w:rsid w:val="00BF13B4"/>
    <w:rsid w:val="00BF14B4"/>
    <w:rsid w:val="00BF1521"/>
    <w:rsid w:val="00BF156C"/>
    <w:rsid w:val="00BF15D2"/>
    <w:rsid w:val="00BF15E2"/>
    <w:rsid w:val="00BF1668"/>
    <w:rsid w:val="00BF16E5"/>
    <w:rsid w:val="00BF1711"/>
    <w:rsid w:val="00BF1712"/>
    <w:rsid w:val="00BF1778"/>
    <w:rsid w:val="00BF17D0"/>
    <w:rsid w:val="00BF1803"/>
    <w:rsid w:val="00BF1805"/>
    <w:rsid w:val="00BF180D"/>
    <w:rsid w:val="00BF1816"/>
    <w:rsid w:val="00BF182A"/>
    <w:rsid w:val="00BF18F3"/>
    <w:rsid w:val="00BF18F6"/>
    <w:rsid w:val="00BF18FD"/>
    <w:rsid w:val="00BF191A"/>
    <w:rsid w:val="00BF1920"/>
    <w:rsid w:val="00BF197A"/>
    <w:rsid w:val="00BF19C5"/>
    <w:rsid w:val="00BF19CD"/>
    <w:rsid w:val="00BF19EB"/>
    <w:rsid w:val="00BF1A21"/>
    <w:rsid w:val="00BF1A28"/>
    <w:rsid w:val="00BF1A2D"/>
    <w:rsid w:val="00BF1A51"/>
    <w:rsid w:val="00BF1A98"/>
    <w:rsid w:val="00BF1AF3"/>
    <w:rsid w:val="00BF1B17"/>
    <w:rsid w:val="00BF1B4C"/>
    <w:rsid w:val="00BF1B51"/>
    <w:rsid w:val="00BF1B7C"/>
    <w:rsid w:val="00BF1BD9"/>
    <w:rsid w:val="00BF1BDB"/>
    <w:rsid w:val="00BF1BF0"/>
    <w:rsid w:val="00BF1C2C"/>
    <w:rsid w:val="00BF1CE4"/>
    <w:rsid w:val="00BF1CF7"/>
    <w:rsid w:val="00BF1D46"/>
    <w:rsid w:val="00BF1D4E"/>
    <w:rsid w:val="00BF1D58"/>
    <w:rsid w:val="00BF1D63"/>
    <w:rsid w:val="00BF1D6E"/>
    <w:rsid w:val="00BF1D74"/>
    <w:rsid w:val="00BF1D7D"/>
    <w:rsid w:val="00BF1D8F"/>
    <w:rsid w:val="00BF1DB4"/>
    <w:rsid w:val="00BF1E13"/>
    <w:rsid w:val="00BF1E18"/>
    <w:rsid w:val="00BF1E33"/>
    <w:rsid w:val="00BF1E8C"/>
    <w:rsid w:val="00BF1EA5"/>
    <w:rsid w:val="00BF1EB7"/>
    <w:rsid w:val="00BF1F1E"/>
    <w:rsid w:val="00BF1F34"/>
    <w:rsid w:val="00BF1F39"/>
    <w:rsid w:val="00BF1F6A"/>
    <w:rsid w:val="00BF1F7E"/>
    <w:rsid w:val="00BF1F91"/>
    <w:rsid w:val="00BF1FCF"/>
    <w:rsid w:val="00BF2003"/>
    <w:rsid w:val="00BF200A"/>
    <w:rsid w:val="00BF2010"/>
    <w:rsid w:val="00BF201A"/>
    <w:rsid w:val="00BF2046"/>
    <w:rsid w:val="00BF2064"/>
    <w:rsid w:val="00BF2066"/>
    <w:rsid w:val="00BF2146"/>
    <w:rsid w:val="00BF2173"/>
    <w:rsid w:val="00BF21AC"/>
    <w:rsid w:val="00BF2252"/>
    <w:rsid w:val="00BF2254"/>
    <w:rsid w:val="00BF22AC"/>
    <w:rsid w:val="00BF22CB"/>
    <w:rsid w:val="00BF22F6"/>
    <w:rsid w:val="00BF232E"/>
    <w:rsid w:val="00BF2355"/>
    <w:rsid w:val="00BF235E"/>
    <w:rsid w:val="00BF2391"/>
    <w:rsid w:val="00BF23E3"/>
    <w:rsid w:val="00BF23F1"/>
    <w:rsid w:val="00BF23F5"/>
    <w:rsid w:val="00BF240D"/>
    <w:rsid w:val="00BF2433"/>
    <w:rsid w:val="00BF245A"/>
    <w:rsid w:val="00BF24CC"/>
    <w:rsid w:val="00BF2505"/>
    <w:rsid w:val="00BF2545"/>
    <w:rsid w:val="00BF254D"/>
    <w:rsid w:val="00BF2560"/>
    <w:rsid w:val="00BF2563"/>
    <w:rsid w:val="00BF25A3"/>
    <w:rsid w:val="00BF25A4"/>
    <w:rsid w:val="00BF25D2"/>
    <w:rsid w:val="00BF2623"/>
    <w:rsid w:val="00BF2628"/>
    <w:rsid w:val="00BF2685"/>
    <w:rsid w:val="00BF26AF"/>
    <w:rsid w:val="00BF26B0"/>
    <w:rsid w:val="00BF26B8"/>
    <w:rsid w:val="00BF26C8"/>
    <w:rsid w:val="00BF26F3"/>
    <w:rsid w:val="00BF2745"/>
    <w:rsid w:val="00BF2763"/>
    <w:rsid w:val="00BF2777"/>
    <w:rsid w:val="00BF2783"/>
    <w:rsid w:val="00BF278E"/>
    <w:rsid w:val="00BF27B6"/>
    <w:rsid w:val="00BF2862"/>
    <w:rsid w:val="00BF287F"/>
    <w:rsid w:val="00BF28CC"/>
    <w:rsid w:val="00BF28EF"/>
    <w:rsid w:val="00BF2931"/>
    <w:rsid w:val="00BF296F"/>
    <w:rsid w:val="00BF29D4"/>
    <w:rsid w:val="00BF29ED"/>
    <w:rsid w:val="00BF29F8"/>
    <w:rsid w:val="00BF2A4B"/>
    <w:rsid w:val="00BF2A5A"/>
    <w:rsid w:val="00BF2A68"/>
    <w:rsid w:val="00BF2A9F"/>
    <w:rsid w:val="00BF2AB4"/>
    <w:rsid w:val="00BF2AE2"/>
    <w:rsid w:val="00BF2AEB"/>
    <w:rsid w:val="00BF2B49"/>
    <w:rsid w:val="00BF2BE3"/>
    <w:rsid w:val="00BF2C30"/>
    <w:rsid w:val="00BF2C96"/>
    <w:rsid w:val="00BF2CAB"/>
    <w:rsid w:val="00BF2CD2"/>
    <w:rsid w:val="00BF2CE8"/>
    <w:rsid w:val="00BF2D67"/>
    <w:rsid w:val="00BF2D6D"/>
    <w:rsid w:val="00BF2D78"/>
    <w:rsid w:val="00BF2D9E"/>
    <w:rsid w:val="00BF2E05"/>
    <w:rsid w:val="00BF2E0B"/>
    <w:rsid w:val="00BF2E8A"/>
    <w:rsid w:val="00BF2EC9"/>
    <w:rsid w:val="00BF2EEA"/>
    <w:rsid w:val="00BF2F08"/>
    <w:rsid w:val="00BF2F58"/>
    <w:rsid w:val="00BF2F7B"/>
    <w:rsid w:val="00BF2FD7"/>
    <w:rsid w:val="00BF2FF9"/>
    <w:rsid w:val="00BF3048"/>
    <w:rsid w:val="00BF3060"/>
    <w:rsid w:val="00BF3088"/>
    <w:rsid w:val="00BF3097"/>
    <w:rsid w:val="00BF30EA"/>
    <w:rsid w:val="00BF3128"/>
    <w:rsid w:val="00BF312B"/>
    <w:rsid w:val="00BF3140"/>
    <w:rsid w:val="00BF317D"/>
    <w:rsid w:val="00BF31C1"/>
    <w:rsid w:val="00BF31F0"/>
    <w:rsid w:val="00BF3207"/>
    <w:rsid w:val="00BF322E"/>
    <w:rsid w:val="00BF3231"/>
    <w:rsid w:val="00BF324A"/>
    <w:rsid w:val="00BF3272"/>
    <w:rsid w:val="00BF32B2"/>
    <w:rsid w:val="00BF3367"/>
    <w:rsid w:val="00BF33A4"/>
    <w:rsid w:val="00BF33B3"/>
    <w:rsid w:val="00BF33DA"/>
    <w:rsid w:val="00BF3402"/>
    <w:rsid w:val="00BF3405"/>
    <w:rsid w:val="00BF348E"/>
    <w:rsid w:val="00BF351B"/>
    <w:rsid w:val="00BF3522"/>
    <w:rsid w:val="00BF353B"/>
    <w:rsid w:val="00BF3569"/>
    <w:rsid w:val="00BF35A4"/>
    <w:rsid w:val="00BF35B6"/>
    <w:rsid w:val="00BF35DF"/>
    <w:rsid w:val="00BF3615"/>
    <w:rsid w:val="00BF3632"/>
    <w:rsid w:val="00BF3633"/>
    <w:rsid w:val="00BF363F"/>
    <w:rsid w:val="00BF366D"/>
    <w:rsid w:val="00BF36E9"/>
    <w:rsid w:val="00BF3767"/>
    <w:rsid w:val="00BF3768"/>
    <w:rsid w:val="00BF3778"/>
    <w:rsid w:val="00BF377D"/>
    <w:rsid w:val="00BF3791"/>
    <w:rsid w:val="00BF3794"/>
    <w:rsid w:val="00BF3796"/>
    <w:rsid w:val="00BF37CE"/>
    <w:rsid w:val="00BF386F"/>
    <w:rsid w:val="00BF388A"/>
    <w:rsid w:val="00BF38E8"/>
    <w:rsid w:val="00BF3940"/>
    <w:rsid w:val="00BF3976"/>
    <w:rsid w:val="00BF39C9"/>
    <w:rsid w:val="00BF39E5"/>
    <w:rsid w:val="00BF39FB"/>
    <w:rsid w:val="00BF3A62"/>
    <w:rsid w:val="00BF3A73"/>
    <w:rsid w:val="00BF3B04"/>
    <w:rsid w:val="00BF3B05"/>
    <w:rsid w:val="00BF3B23"/>
    <w:rsid w:val="00BF3B4E"/>
    <w:rsid w:val="00BF3BB3"/>
    <w:rsid w:val="00BF3C0A"/>
    <w:rsid w:val="00BF3C2A"/>
    <w:rsid w:val="00BF3C32"/>
    <w:rsid w:val="00BF3C35"/>
    <w:rsid w:val="00BF3C4E"/>
    <w:rsid w:val="00BF3C54"/>
    <w:rsid w:val="00BF3C76"/>
    <w:rsid w:val="00BF3C8C"/>
    <w:rsid w:val="00BF3C92"/>
    <w:rsid w:val="00BF3CA5"/>
    <w:rsid w:val="00BF3CBA"/>
    <w:rsid w:val="00BF3CC7"/>
    <w:rsid w:val="00BF3CDD"/>
    <w:rsid w:val="00BF3D97"/>
    <w:rsid w:val="00BF3D9C"/>
    <w:rsid w:val="00BF3DC4"/>
    <w:rsid w:val="00BF3E55"/>
    <w:rsid w:val="00BF3E6B"/>
    <w:rsid w:val="00BF3E8D"/>
    <w:rsid w:val="00BF3E9C"/>
    <w:rsid w:val="00BF3EED"/>
    <w:rsid w:val="00BF3F1B"/>
    <w:rsid w:val="00BF3F1E"/>
    <w:rsid w:val="00BF3F57"/>
    <w:rsid w:val="00BF3F81"/>
    <w:rsid w:val="00BF3F91"/>
    <w:rsid w:val="00BF3FEC"/>
    <w:rsid w:val="00BF3FF5"/>
    <w:rsid w:val="00BF3FF6"/>
    <w:rsid w:val="00BF400B"/>
    <w:rsid w:val="00BF402D"/>
    <w:rsid w:val="00BF4037"/>
    <w:rsid w:val="00BF4041"/>
    <w:rsid w:val="00BF4066"/>
    <w:rsid w:val="00BF408B"/>
    <w:rsid w:val="00BF40AF"/>
    <w:rsid w:val="00BF4140"/>
    <w:rsid w:val="00BF418E"/>
    <w:rsid w:val="00BF41D3"/>
    <w:rsid w:val="00BF4250"/>
    <w:rsid w:val="00BF427E"/>
    <w:rsid w:val="00BF42A6"/>
    <w:rsid w:val="00BF42FA"/>
    <w:rsid w:val="00BF4312"/>
    <w:rsid w:val="00BF431A"/>
    <w:rsid w:val="00BF431D"/>
    <w:rsid w:val="00BF434E"/>
    <w:rsid w:val="00BF4365"/>
    <w:rsid w:val="00BF4366"/>
    <w:rsid w:val="00BF436D"/>
    <w:rsid w:val="00BF43E0"/>
    <w:rsid w:val="00BF43FA"/>
    <w:rsid w:val="00BF4432"/>
    <w:rsid w:val="00BF4433"/>
    <w:rsid w:val="00BF4446"/>
    <w:rsid w:val="00BF4472"/>
    <w:rsid w:val="00BF4478"/>
    <w:rsid w:val="00BF448E"/>
    <w:rsid w:val="00BF4510"/>
    <w:rsid w:val="00BF4560"/>
    <w:rsid w:val="00BF4577"/>
    <w:rsid w:val="00BF468F"/>
    <w:rsid w:val="00BF46BB"/>
    <w:rsid w:val="00BF46E0"/>
    <w:rsid w:val="00BF46EE"/>
    <w:rsid w:val="00BF4728"/>
    <w:rsid w:val="00BF472B"/>
    <w:rsid w:val="00BF4732"/>
    <w:rsid w:val="00BF4751"/>
    <w:rsid w:val="00BF47AA"/>
    <w:rsid w:val="00BF47D1"/>
    <w:rsid w:val="00BF47D8"/>
    <w:rsid w:val="00BF47E2"/>
    <w:rsid w:val="00BF4865"/>
    <w:rsid w:val="00BF4879"/>
    <w:rsid w:val="00BF4880"/>
    <w:rsid w:val="00BF48AF"/>
    <w:rsid w:val="00BF4902"/>
    <w:rsid w:val="00BF492E"/>
    <w:rsid w:val="00BF4935"/>
    <w:rsid w:val="00BF4950"/>
    <w:rsid w:val="00BF4955"/>
    <w:rsid w:val="00BF4964"/>
    <w:rsid w:val="00BF49AC"/>
    <w:rsid w:val="00BF49BC"/>
    <w:rsid w:val="00BF49E3"/>
    <w:rsid w:val="00BF4A67"/>
    <w:rsid w:val="00BF4AB3"/>
    <w:rsid w:val="00BF4ADE"/>
    <w:rsid w:val="00BF4AEB"/>
    <w:rsid w:val="00BF4B04"/>
    <w:rsid w:val="00BF4B0D"/>
    <w:rsid w:val="00BF4B34"/>
    <w:rsid w:val="00BF4BB1"/>
    <w:rsid w:val="00BF4BE2"/>
    <w:rsid w:val="00BF4BF2"/>
    <w:rsid w:val="00BF4BFD"/>
    <w:rsid w:val="00BF4C80"/>
    <w:rsid w:val="00BF4D4F"/>
    <w:rsid w:val="00BF4D8C"/>
    <w:rsid w:val="00BF4D93"/>
    <w:rsid w:val="00BF4D9F"/>
    <w:rsid w:val="00BF4E08"/>
    <w:rsid w:val="00BF4E15"/>
    <w:rsid w:val="00BF4E61"/>
    <w:rsid w:val="00BF4EA3"/>
    <w:rsid w:val="00BF4EF9"/>
    <w:rsid w:val="00BF4EFD"/>
    <w:rsid w:val="00BF4F50"/>
    <w:rsid w:val="00BF4F63"/>
    <w:rsid w:val="00BF4FA6"/>
    <w:rsid w:val="00BF4FC6"/>
    <w:rsid w:val="00BF4FFA"/>
    <w:rsid w:val="00BF509C"/>
    <w:rsid w:val="00BF50A0"/>
    <w:rsid w:val="00BF50E6"/>
    <w:rsid w:val="00BF5136"/>
    <w:rsid w:val="00BF5144"/>
    <w:rsid w:val="00BF5146"/>
    <w:rsid w:val="00BF5156"/>
    <w:rsid w:val="00BF5160"/>
    <w:rsid w:val="00BF5199"/>
    <w:rsid w:val="00BF51A3"/>
    <w:rsid w:val="00BF51C6"/>
    <w:rsid w:val="00BF521D"/>
    <w:rsid w:val="00BF528A"/>
    <w:rsid w:val="00BF5381"/>
    <w:rsid w:val="00BF53D4"/>
    <w:rsid w:val="00BF5420"/>
    <w:rsid w:val="00BF5430"/>
    <w:rsid w:val="00BF544B"/>
    <w:rsid w:val="00BF5454"/>
    <w:rsid w:val="00BF5473"/>
    <w:rsid w:val="00BF5475"/>
    <w:rsid w:val="00BF5479"/>
    <w:rsid w:val="00BF54B4"/>
    <w:rsid w:val="00BF54D3"/>
    <w:rsid w:val="00BF54D4"/>
    <w:rsid w:val="00BF54F1"/>
    <w:rsid w:val="00BF554D"/>
    <w:rsid w:val="00BF5584"/>
    <w:rsid w:val="00BF558A"/>
    <w:rsid w:val="00BF55A3"/>
    <w:rsid w:val="00BF55A9"/>
    <w:rsid w:val="00BF5600"/>
    <w:rsid w:val="00BF5607"/>
    <w:rsid w:val="00BF56AF"/>
    <w:rsid w:val="00BF5709"/>
    <w:rsid w:val="00BF5719"/>
    <w:rsid w:val="00BF5773"/>
    <w:rsid w:val="00BF57A4"/>
    <w:rsid w:val="00BF5819"/>
    <w:rsid w:val="00BF581D"/>
    <w:rsid w:val="00BF582C"/>
    <w:rsid w:val="00BF5864"/>
    <w:rsid w:val="00BF58B0"/>
    <w:rsid w:val="00BF5920"/>
    <w:rsid w:val="00BF5933"/>
    <w:rsid w:val="00BF5987"/>
    <w:rsid w:val="00BF59B1"/>
    <w:rsid w:val="00BF59B7"/>
    <w:rsid w:val="00BF5A0A"/>
    <w:rsid w:val="00BF5A14"/>
    <w:rsid w:val="00BF5A51"/>
    <w:rsid w:val="00BF5A74"/>
    <w:rsid w:val="00BF5A9D"/>
    <w:rsid w:val="00BF5ADB"/>
    <w:rsid w:val="00BF5AE7"/>
    <w:rsid w:val="00BF5AF4"/>
    <w:rsid w:val="00BF5B2B"/>
    <w:rsid w:val="00BF5B4C"/>
    <w:rsid w:val="00BF5B9D"/>
    <w:rsid w:val="00BF5BF3"/>
    <w:rsid w:val="00BF5C27"/>
    <w:rsid w:val="00BF5C66"/>
    <w:rsid w:val="00BF5CD8"/>
    <w:rsid w:val="00BF5CF6"/>
    <w:rsid w:val="00BF5D21"/>
    <w:rsid w:val="00BF5D22"/>
    <w:rsid w:val="00BF5D33"/>
    <w:rsid w:val="00BF5D61"/>
    <w:rsid w:val="00BF5D65"/>
    <w:rsid w:val="00BF5D8D"/>
    <w:rsid w:val="00BF5D93"/>
    <w:rsid w:val="00BF5D9B"/>
    <w:rsid w:val="00BF5DA1"/>
    <w:rsid w:val="00BF5DF4"/>
    <w:rsid w:val="00BF5DF9"/>
    <w:rsid w:val="00BF5E14"/>
    <w:rsid w:val="00BF5E45"/>
    <w:rsid w:val="00BF5E57"/>
    <w:rsid w:val="00BF5E6A"/>
    <w:rsid w:val="00BF5E73"/>
    <w:rsid w:val="00BF5E78"/>
    <w:rsid w:val="00BF5ED8"/>
    <w:rsid w:val="00BF5EE2"/>
    <w:rsid w:val="00BF5EFB"/>
    <w:rsid w:val="00BF5F00"/>
    <w:rsid w:val="00BF5F0D"/>
    <w:rsid w:val="00BF5F48"/>
    <w:rsid w:val="00BF5F55"/>
    <w:rsid w:val="00BF5F56"/>
    <w:rsid w:val="00BF5F68"/>
    <w:rsid w:val="00BF5F9B"/>
    <w:rsid w:val="00BF5FB1"/>
    <w:rsid w:val="00BF5FC9"/>
    <w:rsid w:val="00BF5FCC"/>
    <w:rsid w:val="00BF600B"/>
    <w:rsid w:val="00BF6033"/>
    <w:rsid w:val="00BF6078"/>
    <w:rsid w:val="00BF6099"/>
    <w:rsid w:val="00BF60AE"/>
    <w:rsid w:val="00BF60C9"/>
    <w:rsid w:val="00BF61C1"/>
    <w:rsid w:val="00BF6236"/>
    <w:rsid w:val="00BF6257"/>
    <w:rsid w:val="00BF62AB"/>
    <w:rsid w:val="00BF630C"/>
    <w:rsid w:val="00BF6380"/>
    <w:rsid w:val="00BF63CF"/>
    <w:rsid w:val="00BF643A"/>
    <w:rsid w:val="00BF6455"/>
    <w:rsid w:val="00BF6468"/>
    <w:rsid w:val="00BF64A9"/>
    <w:rsid w:val="00BF64E2"/>
    <w:rsid w:val="00BF64F0"/>
    <w:rsid w:val="00BF64F8"/>
    <w:rsid w:val="00BF650E"/>
    <w:rsid w:val="00BF651F"/>
    <w:rsid w:val="00BF6534"/>
    <w:rsid w:val="00BF653B"/>
    <w:rsid w:val="00BF653F"/>
    <w:rsid w:val="00BF654D"/>
    <w:rsid w:val="00BF65AA"/>
    <w:rsid w:val="00BF65BD"/>
    <w:rsid w:val="00BF65D2"/>
    <w:rsid w:val="00BF65EC"/>
    <w:rsid w:val="00BF660A"/>
    <w:rsid w:val="00BF662D"/>
    <w:rsid w:val="00BF6640"/>
    <w:rsid w:val="00BF6654"/>
    <w:rsid w:val="00BF6660"/>
    <w:rsid w:val="00BF6695"/>
    <w:rsid w:val="00BF66A0"/>
    <w:rsid w:val="00BF6720"/>
    <w:rsid w:val="00BF676E"/>
    <w:rsid w:val="00BF6774"/>
    <w:rsid w:val="00BF6776"/>
    <w:rsid w:val="00BF6790"/>
    <w:rsid w:val="00BF67B7"/>
    <w:rsid w:val="00BF67DB"/>
    <w:rsid w:val="00BF6840"/>
    <w:rsid w:val="00BF6893"/>
    <w:rsid w:val="00BF68B7"/>
    <w:rsid w:val="00BF68E0"/>
    <w:rsid w:val="00BF693B"/>
    <w:rsid w:val="00BF6951"/>
    <w:rsid w:val="00BF6955"/>
    <w:rsid w:val="00BF697A"/>
    <w:rsid w:val="00BF697B"/>
    <w:rsid w:val="00BF699B"/>
    <w:rsid w:val="00BF69B5"/>
    <w:rsid w:val="00BF69C4"/>
    <w:rsid w:val="00BF6A2D"/>
    <w:rsid w:val="00BF6A43"/>
    <w:rsid w:val="00BF6A6B"/>
    <w:rsid w:val="00BF6B0F"/>
    <w:rsid w:val="00BF6B16"/>
    <w:rsid w:val="00BF6B2A"/>
    <w:rsid w:val="00BF6B3B"/>
    <w:rsid w:val="00BF6B65"/>
    <w:rsid w:val="00BF6BB8"/>
    <w:rsid w:val="00BF6BBB"/>
    <w:rsid w:val="00BF6BFC"/>
    <w:rsid w:val="00BF6C26"/>
    <w:rsid w:val="00BF6C4D"/>
    <w:rsid w:val="00BF6C86"/>
    <w:rsid w:val="00BF6CEA"/>
    <w:rsid w:val="00BF6D1F"/>
    <w:rsid w:val="00BF6D29"/>
    <w:rsid w:val="00BF6D2F"/>
    <w:rsid w:val="00BF6D35"/>
    <w:rsid w:val="00BF6D72"/>
    <w:rsid w:val="00BF6D80"/>
    <w:rsid w:val="00BF6DC2"/>
    <w:rsid w:val="00BF6DC9"/>
    <w:rsid w:val="00BF6DED"/>
    <w:rsid w:val="00BF6DF0"/>
    <w:rsid w:val="00BF6E44"/>
    <w:rsid w:val="00BF6EBA"/>
    <w:rsid w:val="00BF6EC7"/>
    <w:rsid w:val="00BF6F14"/>
    <w:rsid w:val="00BF6F27"/>
    <w:rsid w:val="00BF6F5D"/>
    <w:rsid w:val="00BF6F75"/>
    <w:rsid w:val="00BF6F9E"/>
    <w:rsid w:val="00BF6FB4"/>
    <w:rsid w:val="00BF6FB6"/>
    <w:rsid w:val="00BF6FC9"/>
    <w:rsid w:val="00BF6FEC"/>
    <w:rsid w:val="00BF7090"/>
    <w:rsid w:val="00BF70DB"/>
    <w:rsid w:val="00BF70F9"/>
    <w:rsid w:val="00BF7106"/>
    <w:rsid w:val="00BF7131"/>
    <w:rsid w:val="00BF7158"/>
    <w:rsid w:val="00BF7168"/>
    <w:rsid w:val="00BF716C"/>
    <w:rsid w:val="00BF718C"/>
    <w:rsid w:val="00BF7198"/>
    <w:rsid w:val="00BF71E7"/>
    <w:rsid w:val="00BF71F3"/>
    <w:rsid w:val="00BF71F9"/>
    <w:rsid w:val="00BF7257"/>
    <w:rsid w:val="00BF72C7"/>
    <w:rsid w:val="00BF72E8"/>
    <w:rsid w:val="00BF734A"/>
    <w:rsid w:val="00BF7384"/>
    <w:rsid w:val="00BF73AF"/>
    <w:rsid w:val="00BF73EF"/>
    <w:rsid w:val="00BF73FD"/>
    <w:rsid w:val="00BF7415"/>
    <w:rsid w:val="00BF7429"/>
    <w:rsid w:val="00BF7454"/>
    <w:rsid w:val="00BF74A5"/>
    <w:rsid w:val="00BF74BD"/>
    <w:rsid w:val="00BF74D6"/>
    <w:rsid w:val="00BF752B"/>
    <w:rsid w:val="00BF75A7"/>
    <w:rsid w:val="00BF75E3"/>
    <w:rsid w:val="00BF75FE"/>
    <w:rsid w:val="00BF7602"/>
    <w:rsid w:val="00BF7609"/>
    <w:rsid w:val="00BF761A"/>
    <w:rsid w:val="00BF761D"/>
    <w:rsid w:val="00BF7661"/>
    <w:rsid w:val="00BF76B2"/>
    <w:rsid w:val="00BF76FD"/>
    <w:rsid w:val="00BF76FF"/>
    <w:rsid w:val="00BF7707"/>
    <w:rsid w:val="00BF7726"/>
    <w:rsid w:val="00BF7735"/>
    <w:rsid w:val="00BF7744"/>
    <w:rsid w:val="00BF7747"/>
    <w:rsid w:val="00BF775D"/>
    <w:rsid w:val="00BF77AE"/>
    <w:rsid w:val="00BF77CE"/>
    <w:rsid w:val="00BF7815"/>
    <w:rsid w:val="00BF7847"/>
    <w:rsid w:val="00BF787F"/>
    <w:rsid w:val="00BF78C4"/>
    <w:rsid w:val="00BF78C8"/>
    <w:rsid w:val="00BF78E1"/>
    <w:rsid w:val="00BF78FF"/>
    <w:rsid w:val="00BF7926"/>
    <w:rsid w:val="00BF7927"/>
    <w:rsid w:val="00BF7985"/>
    <w:rsid w:val="00BF79F3"/>
    <w:rsid w:val="00BF7ACD"/>
    <w:rsid w:val="00BF7AF7"/>
    <w:rsid w:val="00BF7B4A"/>
    <w:rsid w:val="00BF7B56"/>
    <w:rsid w:val="00BF7B70"/>
    <w:rsid w:val="00BF7B86"/>
    <w:rsid w:val="00BF7C1D"/>
    <w:rsid w:val="00BF7C76"/>
    <w:rsid w:val="00BF7C77"/>
    <w:rsid w:val="00BF7C82"/>
    <w:rsid w:val="00BF7CB8"/>
    <w:rsid w:val="00BF7CC1"/>
    <w:rsid w:val="00BF7D52"/>
    <w:rsid w:val="00BF7D57"/>
    <w:rsid w:val="00BF7DDF"/>
    <w:rsid w:val="00BF7DF6"/>
    <w:rsid w:val="00BF7DFE"/>
    <w:rsid w:val="00BF7E51"/>
    <w:rsid w:val="00BF7E7F"/>
    <w:rsid w:val="00BF7EBF"/>
    <w:rsid w:val="00BF7EF1"/>
    <w:rsid w:val="00BF7F3A"/>
    <w:rsid w:val="00BF7F44"/>
    <w:rsid w:val="00BF7F4E"/>
    <w:rsid w:val="00BF7FC5"/>
    <w:rsid w:val="00BF7FD4"/>
    <w:rsid w:val="00BF7FDB"/>
    <w:rsid w:val="00BF7FF4"/>
    <w:rsid w:val="00C0000E"/>
    <w:rsid w:val="00C00032"/>
    <w:rsid w:val="00C0004A"/>
    <w:rsid w:val="00C000C3"/>
    <w:rsid w:val="00C000D5"/>
    <w:rsid w:val="00C0012C"/>
    <w:rsid w:val="00C00138"/>
    <w:rsid w:val="00C00147"/>
    <w:rsid w:val="00C0014D"/>
    <w:rsid w:val="00C00173"/>
    <w:rsid w:val="00C0017E"/>
    <w:rsid w:val="00C001A3"/>
    <w:rsid w:val="00C001D2"/>
    <w:rsid w:val="00C00200"/>
    <w:rsid w:val="00C00218"/>
    <w:rsid w:val="00C0021E"/>
    <w:rsid w:val="00C00289"/>
    <w:rsid w:val="00C002BE"/>
    <w:rsid w:val="00C002EF"/>
    <w:rsid w:val="00C00314"/>
    <w:rsid w:val="00C00319"/>
    <w:rsid w:val="00C00320"/>
    <w:rsid w:val="00C00336"/>
    <w:rsid w:val="00C0035C"/>
    <w:rsid w:val="00C0037A"/>
    <w:rsid w:val="00C00385"/>
    <w:rsid w:val="00C00389"/>
    <w:rsid w:val="00C00392"/>
    <w:rsid w:val="00C003BE"/>
    <w:rsid w:val="00C003DA"/>
    <w:rsid w:val="00C00401"/>
    <w:rsid w:val="00C0046F"/>
    <w:rsid w:val="00C0048A"/>
    <w:rsid w:val="00C004BC"/>
    <w:rsid w:val="00C004C2"/>
    <w:rsid w:val="00C00509"/>
    <w:rsid w:val="00C0057F"/>
    <w:rsid w:val="00C0059A"/>
    <w:rsid w:val="00C005BB"/>
    <w:rsid w:val="00C005ED"/>
    <w:rsid w:val="00C005F1"/>
    <w:rsid w:val="00C005F8"/>
    <w:rsid w:val="00C00608"/>
    <w:rsid w:val="00C0062D"/>
    <w:rsid w:val="00C00653"/>
    <w:rsid w:val="00C00693"/>
    <w:rsid w:val="00C00695"/>
    <w:rsid w:val="00C00698"/>
    <w:rsid w:val="00C006BB"/>
    <w:rsid w:val="00C006E3"/>
    <w:rsid w:val="00C006EF"/>
    <w:rsid w:val="00C00712"/>
    <w:rsid w:val="00C00761"/>
    <w:rsid w:val="00C007C3"/>
    <w:rsid w:val="00C007E6"/>
    <w:rsid w:val="00C0083B"/>
    <w:rsid w:val="00C00860"/>
    <w:rsid w:val="00C00871"/>
    <w:rsid w:val="00C0088A"/>
    <w:rsid w:val="00C008BD"/>
    <w:rsid w:val="00C008D7"/>
    <w:rsid w:val="00C0099C"/>
    <w:rsid w:val="00C009C5"/>
    <w:rsid w:val="00C00A04"/>
    <w:rsid w:val="00C00A69"/>
    <w:rsid w:val="00C00AC4"/>
    <w:rsid w:val="00C00AE0"/>
    <w:rsid w:val="00C00B59"/>
    <w:rsid w:val="00C00B73"/>
    <w:rsid w:val="00C00B8E"/>
    <w:rsid w:val="00C00BAE"/>
    <w:rsid w:val="00C00BCB"/>
    <w:rsid w:val="00C00BF2"/>
    <w:rsid w:val="00C00C01"/>
    <w:rsid w:val="00C00CA9"/>
    <w:rsid w:val="00C00D08"/>
    <w:rsid w:val="00C00D28"/>
    <w:rsid w:val="00C00D56"/>
    <w:rsid w:val="00C00D68"/>
    <w:rsid w:val="00C00D7D"/>
    <w:rsid w:val="00C00DD8"/>
    <w:rsid w:val="00C00DDD"/>
    <w:rsid w:val="00C00DEE"/>
    <w:rsid w:val="00C00E85"/>
    <w:rsid w:val="00C00EF3"/>
    <w:rsid w:val="00C00EFB"/>
    <w:rsid w:val="00C00F0F"/>
    <w:rsid w:val="00C00F20"/>
    <w:rsid w:val="00C00F21"/>
    <w:rsid w:val="00C00F70"/>
    <w:rsid w:val="00C00F72"/>
    <w:rsid w:val="00C00FA7"/>
    <w:rsid w:val="00C00FB0"/>
    <w:rsid w:val="00C00FD5"/>
    <w:rsid w:val="00C01037"/>
    <w:rsid w:val="00C01058"/>
    <w:rsid w:val="00C0105B"/>
    <w:rsid w:val="00C010BD"/>
    <w:rsid w:val="00C0112D"/>
    <w:rsid w:val="00C0112E"/>
    <w:rsid w:val="00C01153"/>
    <w:rsid w:val="00C01164"/>
    <w:rsid w:val="00C01166"/>
    <w:rsid w:val="00C01201"/>
    <w:rsid w:val="00C0121C"/>
    <w:rsid w:val="00C01221"/>
    <w:rsid w:val="00C0124D"/>
    <w:rsid w:val="00C01256"/>
    <w:rsid w:val="00C01259"/>
    <w:rsid w:val="00C01275"/>
    <w:rsid w:val="00C0127C"/>
    <w:rsid w:val="00C012C2"/>
    <w:rsid w:val="00C012C5"/>
    <w:rsid w:val="00C0132C"/>
    <w:rsid w:val="00C01352"/>
    <w:rsid w:val="00C013BE"/>
    <w:rsid w:val="00C013D5"/>
    <w:rsid w:val="00C013F4"/>
    <w:rsid w:val="00C01418"/>
    <w:rsid w:val="00C01451"/>
    <w:rsid w:val="00C01453"/>
    <w:rsid w:val="00C01481"/>
    <w:rsid w:val="00C014BF"/>
    <w:rsid w:val="00C014D4"/>
    <w:rsid w:val="00C014E2"/>
    <w:rsid w:val="00C014F7"/>
    <w:rsid w:val="00C0151B"/>
    <w:rsid w:val="00C01529"/>
    <w:rsid w:val="00C01555"/>
    <w:rsid w:val="00C01564"/>
    <w:rsid w:val="00C0158A"/>
    <w:rsid w:val="00C015DD"/>
    <w:rsid w:val="00C015FC"/>
    <w:rsid w:val="00C01655"/>
    <w:rsid w:val="00C01673"/>
    <w:rsid w:val="00C01685"/>
    <w:rsid w:val="00C016BE"/>
    <w:rsid w:val="00C016F5"/>
    <w:rsid w:val="00C0170E"/>
    <w:rsid w:val="00C01780"/>
    <w:rsid w:val="00C0180F"/>
    <w:rsid w:val="00C01868"/>
    <w:rsid w:val="00C01886"/>
    <w:rsid w:val="00C018C5"/>
    <w:rsid w:val="00C018CD"/>
    <w:rsid w:val="00C01943"/>
    <w:rsid w:val="00C01952"/>
    <w:rsid w:val="00C0195B"/>
    <w:rsid w:val="00C01975"/>
    <w:rsid w:val="00C0198D"/>
    <w:rsid w:val="00C019CC"/>
    <w:rsid w:val="00C01A11"/>
    <w:rsid w:val="00C01A1A"/>
    <w:rsid w:val="00C01A5E"/>
    <w:rsid w:val="00C01AAB"/>
    <w:rsid w:val="00C01ABD"/>
    <w:rsid w:val="00C01AC3"/>
    <w:rsid w:val="00C01B90"/>
    <w:rsid w:val="00C01B97"/>
    <w:rsid w:val="00C01BA1"/>
    <w:rsid w:val="00C01BAB"/>
    <w:rsid w:val="00C01BD7"/>
    <w:rsid w:val="00C01CF2"/>
    <w:rsid w:val="00C01D3B"/>
    <w:rsid w:val="00C01D67"/>
    <w:rsid w:val="00C01D7F"/>
    <w:rsid w:val="00C01DE7"/>
    <w:rsid w:val="00C01DF4"/>
    <w:rsid w:val="00C01E02"/>
    <w:rsid w:val="00C01E1F"/>
    <w:rsid w:val="00C01E23"/>
    <w:rsid w:val="00C01E31"/>
    <w:rsid w:val="00C01E4A"/>
    <w:rsid w:val="00C01E77"/>
    <w:rsid w:val="00C01EA1"/>
    <w:rsid w:val="00C01EED"/>
    <w:rsid w:val="00C01F15"/>
    <w:rsid w:val="00C01F25"/>
    <w:rsid w:val="00C01F2B"/>
    <w:rsid w:val="00C01F3E"/>
    <w:rsid w:val="00C01F79"/>
    <w:rsid w:val="00C01F7E"/>
    <w:rsid w:val="00C01F7F"/>
    <w:rsid w:val="00C01F88"/>
    <w:rsid w:val="00C01F8A"/>
    <w:rsid w:val="00C01F8B"/>
    <w:rsid w:val="00C02012"/>
    <w:rsid w:val="00C02014"/>
    <w:rsid w:val="00C02038"/>
    <w:rsid w:val="00C02056"/>
    <w:rsid w:val="00C0209E"/>
    <w:rsid w:val="00C020FE"/>
    <w:rsid w:val="00C02105"/>
    <w:rsid w:val="00C02158"/>
    <w:rsid w:val="00C0215A"/>
    <w:rsid w:val="00C0215C"/>
    <w:rsid w:val="00C0217F"/>
    <w:rsid w:val="00C0219B"/>
    <w:rsid w:val="00C021A0"/>
    <w:rsid w:val="00C021F6"/>
    <w:rsid w:val="00C0223A"/>
    <w:rsid w:val="00C0223E"/>
    <w:rsid w:val="00C0228E"/>
    <w:rsid w:val="00C02294"/>
    <w:rsid w:val="00C0229D"/>
    <w:rsid w:val="00C022A9"/>
    <w:rsid w:val="00C02315"/>
    <w:rsid w:val="00C02357"/>
    <w:rsid w:val="00C0235E"/>
    <w:rsid w:val="00C02360"/>
    <w:rsid w:val="00C02384"/>
    <w:rsid w:val="00C023EF"/>
    <w:rsid w:val="00C0242F"/>
    <w:rsid w:val="00C02476"/>
    <w:rsid w:val="00C02484"/>
    <w:rsid w:val="00C02492"/>
    <w:rsid w:val="00C0249D"/>
    <w:rsid w:val="00C024CF"/>
    <w:rsid w:val="00C024DB"/>
    <w:rsid w:val="00C024EC"/>
    <w:rsid w:val="00C0251E"/>
    <w:rsid w:val="00C02559"/>
    <w:rsid w:val="00C02580"/>
    <w:rsid w:val="00C02584"/>
    <w:rsid w:val="00C02593"/>
    <w:rsid w:val="00C025B5"/>
    <w:rsid w:val="00C025D7"/>
    <w:rsid w:val="00C0263C"/>
    <w:rsid w:val="00C026A7"/>
    <w:rsid w:val="00C026D3"/>
    <w:rsid w:val="00C02709"/>
    <w:rsid w:val="00C0276E"/>
    <w:rsid w:val="00C027CC"/>
    <w:rsid w:val="00C027D0"/>
    <w:rsid w:val="00C0286A"/>
    <w:rsid w:val="00C02875"/>
    <w:rsid w:val="00C02888"/>
    <w:rsid w:val="00C02899"/>
    <w:rsid w:val="00C028BE"/>
    <w:rsid w:val="00C028F0"/>
    <w:rsid w:val="00C0291A"/>
    <w:rsid w:val="00C0299B"/>
    <w:rsid w:val="00C029D7"/>
    <w:rsid w:val="00C02A1B"/>
    <w:rsid w:val="00C02A2F"/>
    <w:rsid w:val="00C02A41"/>
    <w:rsid w:val="00C02A5B"/>
    <w:rsid w:val="00C02A85"/>
    <w:rsid w:val="00C02AD3"/>
    <w:rsid w:val="00C02B12"/>
    <w:rsid w:val="00C02B30"/>
    <w:rsid w:val="00C02BA8"/>
    <w:rsid w:val="00C02BC2"/>
    <w:rsid w:val="00C02BD2"/>
    <w:rsid w:val="00C02BD3"/>
    <w:rsid w:val="00C02BE2"/>
    <w:rsid w:val="00C02BF7"/>
    <w:rsid w:val="00C02C05"/>
    <w:rsid w:val="00C02C8C"/>
    <w:rsid w:val="00C02D48"/>
    <w:rsid w:val="00C02DAA"/>
    <w:rsid w:val="00C02DE9"/>
    <w:rsid w:val="00C02DF0"/>
    <w:rsid w:val="00C02E18"/>
    <w:rsid w:val="00C02E6A"/>
    <w:rsid w:val="00C02E86"/>
    <w:rsid w:val="00C02EA5"/>
    <w:rsid w:val="00C02ED9"/>
    <w:rsid w:val="00C02EE2"/>
    <w:rsid w:val="00C02F22"/>
    <w:rsid w:val="00C02F32"/>
    <w:rsid w:val="00C02F4C"/>
    <w:rsid w:val="00C02F56"/>
    <w:rsid w:val="00C02FA9"/>
    <w:rsid w:val="00C0303D"/>
    <w:rsid w:val="00C030B9"/>
    <w:rsid w:val="00C030D4"/>
    <w:rsid w:val="00C030D8"/>
    <w:rsid w:val="00C030DA"/>
    <w:rsid w:val="00C030E7"/>
    <w:rsid w:val="00C030E9"/>
    <w:rsid w:val="00C03123"/>
    <w:rsid w:val="00C031E1"/>
    <w:rsid w:val="00C031F9"/>
    <w:rsid w:val="00C0322B"/>
    <w:rsid w:val="00C0323F"/>
    <w:rsid w:val="00C03253"/>
    <w:rsid w:val="00C0326B"/>
    <w:rsid w:val="00C0327E"/>
    <w:rsid w:val="00C0328F"/>
    <w:rsid w:val="00C03298"/>
    <w:rsid w:val="00C032A1"/>
    <w:rsid w:val="00C032A4"/>
    <w:rsid w:val="00C032AE"/>
    <w:rsid w:val="00C032FA"/>
    <w:rsid w:val="00C03313"/>
    <w:rsid w:val="00C03317"/>
    <w:rsid w:val="00C0343C"/>
    <w:rsid w:val="00C03453"/>
    <w:rsid w:val="00C034C6"/>
    <w:rsid w:val="00C034FC"/>
    <w:rsid w:val="00C03547"/>
    <w:rsid w:val="00C03563"/>
    <w:rsid w:val="00C0359D"/>
    <w:rsid w:val="00C035A6"/>
    <w:rsid w:val="00C035E4"/>
    <w:rsid w:val="00C035E8"/>
    <w:rsid w:val="00C03617"/>
    <w:rsid w:val="00C0363B"/>
    <w:rsid w:val="00C0365F"/>
    <w:rsid w:val="00C03726"/>
    <w:rsid w:val="00C0372C"/>
    <w:rsid w:val="00C03730"/>
    <w:rsid w:val="00C03797"/>
    <w:rsid w:val="00C037C1"/>
    <w:rsid w:val="00C037D1"/>
    <w:rsid w:val="00C03801"/>
    <w:rsid w:val="00C0380C"/>
    <w:rsid w:val="00C03842"/>
    <w:rsid w:val="00C038EC"/>
    <w:rsid w:val="00C03932"/>
    <w:rsid w:val="00C03933"/>
    <w:rsid w:val="00C0397F"/>
    <w:rsid w:val="00C03993"/>
    <w:rsid w:val="00C0399C"/>
    <w:rsid w:val="00C039BD"/>
    <w:rsid w:val="00C039DD"/>
    <w:rsid w:val="00C03A55"/>
    <w:rsid w:val="00C03A76"/>
    <w:rsid w:val="00C03ACD"/>
    <w:rsid w:val="00C03ADC"/>
    <w:rsid w:val="00C03AF2"/>
    <w:rsid w:val="00C03B0F"/>
    <w:rsid w:val="00C03B3F"/>
    <w:rsid w:val="00C03B43"/>
    <w:rsid w:val="00C03B65"/>
    <w:rsid w:val="00C03BC4"/>
    <w:rsid w:val="00C03C1F"/>
    <w:rsid w:val="00C03C24"/>
    <w:rsid w:val="00C03C66"/>
    <w:rsid w:val="00C03C6E"/>
    <w:rsid w:val="00C03CD3"/>
    <w:rsid w:val="00C03CF6"/>
    <w:rsid w:val="00C03D07"/>
    <w:rsid w:val="00C03D4E"/>
    <w:rsid w:val="00C03D80"/>
    <w:rsid w:val="00C03D95"/>
    <w:rsid w:val="00C03D9B"/>
    <w:rsid w:val="00C03D9C"/>
    <w:rsid w:val="00C03DEE"/>
    <w:rsid w:val="00C03DF0"/>
    <w:rsid w:val="00C03E84"/>
    <w:rsid w:val="00C03E9E"/>
    <w:rsid w:val="00C03EB0"/>
    <w:rsid w:val="00C03F00"/>
    <w:rsid w:val="00C03F26"/>
    <w:rsid w:val="00C03F44"/>
    <w:rsid w:val="00C03F61"/>
    <w:rsid w:val="00C03F89"/>
    <w:rsid w:val="00C03F94"/>
    <w:rsid w:val="00C03FBD"/>
    <w:rsid w:val="00C03FC6"/>
    <w:rsid w:val="00C03FD6"/>
    <w:rsid w:val="00C03FE5"/>
    <w:rsid w:val="00C03FED"/>
    <w:rsid w:val="00C04007"/>
    <w:rsid w:val="00C04018"/>
    <w:rsid w:val="00C04054"/>
    <w:rsid w:val="00C0405B"/>
    <w:rsid w:val="00C04079"/>
    <w:rsid w:val="00C04106"/>
    <w:rsid w:val="00C04142"/>
    <w:rsid w:val="00C04190"/>
    <w:rsid w:val="00C04195"/>
    <w:rsid w:val="00C04198"/>
    <w:rsid w:val="00C041CF"/>
    <w:rsid w:val="00C0420F"/>
    <w:rsid w:val="00C04212"/>
    <w:rsid w:val="00C04283"/>
    <w:rsid w:val="00C0429C"/>
    <w:rsid w:val="00C042A4"/>
    <w:rsid w:val="00C042A7"/>
    <w:rsid w:val="00C042E3"/>
    <w:rsid w:val="00C04308"/>
    <w:rsid w:val="00C04311"/>
    <w:rsid w:val="00C0433F"/>
    <w:rsid w:val="00C04345"/>
    <w:rsid w:val="00C0435F"/>
    <w:rsid w:val="00C043AF"/>
    <w:rsid w:val="00C043C2"/>
    <w:rsid w:val="00C04463"/>
    <w:rsid w:val="00C044A8"/>
    <w:rsid w:val="00C044E5"/>
    <w:rsid w:val="00C044FF"/>
    <w:rsid w:val="00C0456B"/>
    <w:rsid w:val="00C0456D"/>
    <w:rsid w:val="00C04580"/>
    <w:rsid w:val="00C04591"/>
    <w:rsid w:val="00C045C9"/>
    <w:rsid w:val="00C045DF"/>
    <w:rsid w:val="00C045E6"/>
    <w:rsid w:val="00C04625"/>
    <w:rsid w:val="00C04661"/>
    <w:rsid w:val="00C04673"/>
    <w:rsid w:val="00C0469B"/>
    <w:rsid w:val="00C046A2"/>
    <w:rsid w:val="00C046DA"/>
    <w:rsid w:val="00C0472A"/>
    <w:rsid w:val="00C0474A"/>
    <w:rsid w:val="00C0476A"/>
    <w:rsid w:val="00C047AC"/>
    <w:rsid w:val="00C047E6"/>
    <w:rsid w:val="00C04871"/>
    <w:rsid w:val="00C04876"/>
    <w:rsid w:val="00C04883"/>
    <w:rsid w:val="00C048DB"/>
    <w:rsid w:val="00C0494F"/>
    <w:rsid w:val="00C04997"/>
    <w:rsid w:val="00C049F7"/>
    <w:rsid w:val="00C04B13"/>
    <w:rsid w:val="00C04B2D"/>
    <w:rsid w:val="00C04B6B"/>
    <w:rsid w:val="00C04B8A"/>
    <w:rsid w:val="00C04B8F"/>
    <w:rsid w:val="00C04BC2"/>
    <w:rsid w:val="00C04C1C"/>
    <w:rsid w:val="00C04C21"/>
    <w:rsid w:val="00C04C61"/>
    <w:rsid w:val="00C04C7A"/>
    <w:rsid w:val="00C04C7E"/>
    <w:rsid w:val="00C04C95"/>
    <w:rsid w:val="00C04C98"/>
    <w:rsid w:val="00C04CA7"/>
    <w:rsid w:val="00C04D62"/>
    <w:rsid w:val="00C04D7D"/>
    <w:rsid w:val="00C04DFB"/>
    <w:rsid w:val="00C04E06"/>
    <w:rsid w:val="00C04E0B"/>
    <w:rsid w:val="00C04E0C"/>
    <w:rsid w:val="00C04E84"/>
    <w:rsid w:val="00C04ED6"/>
    <w:rsid w:val="00C04F07"/>
    <w:rsid w:val="00C04F43"/>
    <w:rsid w:val="00C04F45"/>
    <w:rsid w:val="00C04F51"/>
    <w:rsid w:val="00C04F58"/>
    <w:rsid w:val="00C04F6A"/>
    <w:rsid w:val="00C04F8A"/>
    <w:rsid w:val="00C04FB7"/>
    <w:rsid w:val="00C0504A"/>
    <w:rsid w:val="00C05069"/>
    <w:rsid w:val="00C050D9"/>
    <w:rsid w:val="00C0512A"/>
    <w:rsid w:val="00C0514A"/>
    <w:rsid w:val="00C05191"/>
    <w:rsid w:val="00C051B9"/>
    <w:rsid w:val="00C051BB"/>
    <w:rsid w:val="00C051C0"/>
    <w:rsid w:val="00C051E9"/>
    <w:rsid w:val="00C05211"/>
    <w:rsid w:val="00C05242"/>
    <w:rsid w:val="00C0527B"/>
    <w:rsid w:val="00C05293"/>
    <w:rsid w:val="00C0529A"/>
    <w:rsid w:val="00C052BB"/>
    <w:rsid w:val="00C052E2"/>
    <w:rsid w:val="00C052ED"/>
    <w:rsid w:val="00C05329"/>
    <w:rsid w:val="00C0534D"/>
    <w:rsid w:val="00C05359"/>
    <w:rsid w:val="00C0538B"/>
    <w:rsid w:val="00C053A4"/>
    <w:rsid w:val="00C053B5"/>
    <w:rsid w:val="00C053DC"/>
    <w:rsid w:val="00C05412"/>
    <w:rsid w:val="00C05442"/>
    <w:rsid w:val="00C05449"/>
    <w:rsid w:val="00C05467"/>
    <w:rsid w:val="00C054B9"/>
    <w:rsid w:val="00C054C2"/>
    <w:rsid w:val="00C054C7"/>
    <w:rsid w:val="00C054D7"/>
    <w:rsid w:val="00C0556C"/>
    <w:rsid w:val="00C055AD"/>
    <w:rsid w:val="00C055C5"/>
    <w:rsid w:val="00C055CE"/>
    <w:rsid w:val="00C055F7"/>
    <w:rsid w:val="00C055F8"/>
    <w:rsid w:val="00C05663"/>
    <w:rsid w:val="00C056C3"/>
    <w:rsid w:val="00C056D8"/>
    <w:rsid w:val="00C056DE"/>
    <w:rsid w:val="00C056EE"/>
    <w:rsid w:val="00C056F4"/>
    <w:rsid w:val="00C05701"/>
    <w:rsid w:val="00C05718"/>
    <w:rsid w:val="00C05721"/>
    <w:rsid w:val="00C0573E"/>
    <w:rsid w:val="00C05746"/>
    <w:rsid w:val="00C05763"/>
    <w:rsid w:val="00C0576A"/>
    <w:rsid w:val="00C057D9"/>
    <w:rsid w:val="00C0584A"/>
    <w:rsid w:val="00C05868"/>
    <w:rsid w:val="00C0588D"/>
    <w:rsid w:val="00C058A8"/>
    <w:rsid w:val="00C058B2"/>
    <w:rsid w:val="00C058C0"/>
    <w:rsid w:val="00C058D1"/>
    <w:rsid w:val="00C058E2"/>
    <w:rsid w:val="00C0594F"/>
    <w:rsid w:val="00C0597A"/>
    <w:rsid w:val="00C0597F"/>
    <w:rsid w:val="00C0599D"/>
    <w:rsid w:val="00C059AF"/>
    <w:rsid w:val="00C059F0"/>
    <w:rsid w:val="00C05A0F"/>
    <w:rsid w:val="00C05A18"/>
    <w:rsid w:val="00C05A24"/>
    <w:rsid w:val="00C05AC5"/>
    <w:rsid w:val="00C05AFE"/>
    <w:rsid w:val="00C05B2E"/>
    <w:rsid w:val="00C05B41"/>
    <w:rsid w:val="00C05B47"/>
    <w:rsid w:val="00C05B7F"/>
    <w:rsid w:val="00C05B85"/>
    <w:rsid w:val="00C05B98"/>
    <w:rsid w:val="00C05BB9"/>
    <w:rsid w:val="00C05BC4"/>
    <w:rsid w:val="00C05C0D"/>
    <w:rsid w:val="00C05C58"/>
    <w:rsid w:val="00C05C98"/>
    <w:rsid w:val="00C05CA2"/>
    <w:rsid w:val="00C05CA5"/>
    <w:rsid w:val="00C05CA6"/>
    <w:rsid w:val="00C05CB5"/>
    <w:rsid w:val="00C05CF7"/>
    <w:rsid w:val="00C05D13"/>
    <w:rsid w:val="00C05D1E"/>
    <w:rsid w:val="00C05D63"/>
    <w:rsid w:val="00C05D7D"/>
    <w:rsid w:val="00C05D97"/>
    <w:rsid w:val="00C05D9B"/>
    <w:rsid w:val="00C05DBD"/>
    <w:rsid w:val="00C05E4A"/>
    <w:rsid w:val="00C05EC1"/>
    <w:rsid w:val="00C05EDA"/>
    <w:rsid w:val="00C05EE9"/>
    <w:rsid w:val="00C05EF7"/>
    <w:rsid w:val="00C05F2E"/>
    <w:rsid w:val="00C05F3E"/>
    <w:rsid w:val="00C05FD5"/>
    <w:rsid w:val="00C06021"/>
    <w:rsid w:val="00C06040"/>
    <w:rsid w:val="00C060DC"/>
    <w:rsid w:val="00C060E9"/>
    <w:rsid w:val="00C060ED"/>
    <w:rsid w:val="00C0613C"/>
    <w:rsid w:val="00C06172"/>
    <w:rsid w:val="00C06189"/>
    <w:rsid w:val="00C06193"/>
    <w:rsid w:val="00C061F2"/>
    <w:rsid w:val="00C061F9"/>
    <w:rsid w:val="00C06266"/>
    <w:rsid w:val="00C0629E"/>
    <w:rsid w:val="00C062FC"/>
    <w:rsid w:val="00C06310"/>
    <w:rsid w:val="00C0631C"/>
    <w:rsid w:val="00C06331"/>
    <w:rsid w:val="00C06335"/>
    <w:rsid w:val="00C06373"/>
    <w:rsid w:val="00C06378"/>
    <w:rsid w:val="00C0639A"/>
    <w:rsid w:val="00C063A4"/>
    <w:rsid w:val="00C06409"/>
    <w:rsid w:val="00C06440"/>
    <w:rsid w:val="00C0648E"/>
    <w:rsid w:val="00C064BB"/>
    <w:rsid w:val="00C064F2"/>
    <w:rsid w:val="00C064FA"/>
    <w:rsid w:val="00C06503"/>
    <w:rsid w:val="00C06524"/>
    <w:rsid w:val="00C0652D"/>
    <w:rsid w:val="00C06567"/>
    <w:rsid w:val="00C065D4"/>
    <w:rsid w:val="00C06609"/>
    <w:rsid w:val="00C06699"/>
    <w:rsid w:val="00C0669C"/>
    <w:rsid w:val="00C066A0"/>
    <w:rsid w:val="00C066A9"/>
    <w:rsid w:val="00C066B3"/>
    <w:rsid w:val="00C066EE"/>
    <w:rsid w:val="00C066EF"/>
    <w:rsid w:val="00C066FF"/>
    <w:rsid w:val="00C0671D"/>
    <w:rsid w:val="00C06747"/>
    <w:rsid w:val="00C0675B"/>
    <w:rsid w:val="00C067EA"/>
    <w:rsid w:val="00C0680D"/>
    <w:rsid w:val="00C0687E"/>
    <w:rsid w:val="00C068B0"/>
    <w:rsid w:val="00C068B5"/>
    <w:rsid w:val="00C068ED"/>
    <w:rsid w:val="00C06905"/>
    <w:rsid w:val="00C06954"/>
    <w:rsid w:val="00C069D0"/>
    <w:rsid w:val="00C069E1"/>
    <w:rsid w:val="00C069E7"/>
    <w:rsid w:val="00C069FB"/>
    <w:rsid w:val="00C06A84"/>
    <w:rsid w:val="00C06AAE"/>
    <w:rsid w:val="00C06B2C"/>
    <w:rsid w:val="00C06B5B"/>
    <w:rsid w:val="00C06BD5"/>
    <w:rsid w:val="00C06BF0"/>
    <w:rsid w:val="00C06BF9"/>
    <w:rsid w:val="00C06C04"/>
    <w:rsid w:val="00C06C49"/>
    <w:rsid w:val="00C06C63"/>
    <w:rsid w:val="00C06C7A"/>
    <w:rsid w:val="00C06C7B"/>
    <w:rsid w:val="00C06CD5"/>
    <w:rsid w:val="00C06CD7"/>
    <w:rsid w:val="00C06CF1"/>
    <w:rsid w:val="00C06D5B"/>
    <w:rsid w:val="00C06DCE"/>
    <w:rsid w:val="00C06DF1"/>
    <w:rsid w:val="00C06DFC"/>
    <w:rsid w:val="00C06E0E"/>
    <w:rsid w:val="00C06E1F"/>
    <w:rsid w:val="00C06E74"/>
    <w:rsid w:val="00C06E92"/>
    <w:rsid w:val="00C06E96"/>
    <w:rsid w:val="00C06ED8"/>
    <w:rsid w:val="00C06F03"/>
    <w:rsid w:val="00C06F07"/>
    <w:rsid w:val="00C06F0C"/>
    <w:rsid w:val="00C06F5E"/>
    <w:rsid w:val="00C06F6A"/>
    <w:rsid w:val="00C06F90"/>
    <w:rsid w:val="00C06FAF"/>
    <w:rsid w:val="00C06FC8"/>
    <w:rsid w:val="00C06FF9"/>
    <w:rsid w:val="00C07010"/>
    <w:rsid w:val="00C07079"/>
    <w:rsid w:val="00C070B1"/>
    <w:rsid w:val="00C070CC"/>
    <w:rsid w:val="00C0712A"/>
    <w:rsid w:val="00C07163"/>
    <w:rsid w:val="00C0718A"/>
    <w:rsid w:val="00C071B1"/>
    <w:rsid w:val="00C071C5"/>
    <w:rsid w:val="00C071D5"/>
    <w:rsid w:val="00C071F8"/>
    <w:rsid w:val="00C071FF"/>
    <w:rsid w:val="00C07264"/>
    <w:rsid w:val="00C07270"/>
    <w:rsid w:val="00C07277"/>
    <w:rsid w:val="00C07294"/>
    <w:rsid w:val="00C072A7"/>
    <w:rsid w:val="00C072E6"/>
    <w:rsid w:val="00C072FC"/>
    <w:rsid w:val="00C07371"/>
    <w:rsid w:val="00C073CA"/>
    <w:rsid w:val="00C0741E"/>
    <w:rsid w:val="00C074A7"/>
    <w:rsid w:val="00C074C9"/>
    <w:rsid w:val="00C074D1"/>
    <w:rsid w:val="00C074D5"/>
    <w:rsid w:val="00C074DC"/>
    <w:rsid w:val="00C074DF"/>
    <w:rsid w:val="00C074FC"/>
    <w:rsid w:val="00C0750E"/>
    <w:rsid w:val="00C0753A"/>
    <w:rsid w:val="00C0755C"/>
    <w:rsid w:val="00C07562"/>
    <w:rsid w:val="00C07577"/>
    <w:rsid w:val="00C075FD"/>
    <w:rsid w:val="00C0767F"/>
    <w:rsid w:val="00C0768B"/>
    <w:rsid w:val="00C076F9"/>
    <w:rsid w:val="00C0772B"/>
    <w:rsid w:val="00C0773E"/>
    <w:rsid w:val="00C07769"/>
    <w:rsid w:val="00C0778D"/>
    <w:rsid w:val="00C07807"/>
    <w:rsid w:val="00C07838"/>
    <w:rsid w:val="00C0784C"/>
    <w:rsid w:val="00C07857"/>
    <w:rsid w:val="00C07861"/>
    <w:rsid w:val="00C07865"/>
    <w:rsid w:val="00C07885"/>
    <w:rsid w:val="00C078B9"/>
    <w:rsid w:val="00C07956"/>
    <w:rsid w:val="00C07A17"/>
    <w:rsid w:val="00C07A34"/>
    <w:rsid w:val="00C07A48"/>
    <w:rsid w:val="00C07A9D"/>
    <w:rsid w:val="00C07AAD"/>
    <w:rsid w:val="00C07ACE"/>
    <w:rsid w:val="00C07B2C"/>
    <w:rsid w:val="00C07B37"/>
    <w:rsid w:val="00C07BCD"/>
    <w:rsid w:val="00C07BE1"/>
    <w:rsid w:val="00C07C23"/>
    <w:rsid w:val="00C07C7E"/>
    <w:rsid w:val="00C07C80"/>
    <w:rsid w:val="00C07CC7"/>
    <w:rsid w:val="00C07CC9"/>
    <w:rsid w:val="00C07CD9"/>
    <w:rsid w:val="00C07CE5"/>
    <w:rsid w:val="00C07CF6"/>
    <w:rsid w:val="00C07CF7"/>
    <w:rsid w:val="00C07D18"/>
    <w:rsid w:val="00C07D42"/>
    <w:rsid w:val="00C07D53"/>
    <w:rsid w:val="00C07D64"/>
    <w:rsid w:val="00C07D65"/>
    <w:rsid w:val="00C07D6B"/>
    <w:rsid w:val="00C07DA4"/>
    <w:rsid w:val="00C07DA5"/>
    <w:rsid w:val="00C07DB9"/>
    <w:rsid w:val="00C07DDA"/>
    <w:rsid w:val="00C07E18"/>
    <w:rsid w:val="00C07E39"/>
    <w:rsid w:val="00C07E54"/>
    <w:rsid w:val="00C07E5A"/>
    <w:rsid w:val="00C07EAA"/>
    <w:rsid w:val="00C07EAF"/>
    <w:rsid w:val="00C07F33"/>
    <w:rsid w:val="00C07F3B"/>
    <w:rsid w:val="00C07F6B"/>
    <w:rsid w:val="00C1000B"/>
    <w:rsid w:val="00C100B1"/>
    <w:rsid w:val="00C100B9"/>
    <w:rsid w:val="00C10118"/>
    <w:rsid w:val="00C10120"/>
    <w:rsid w:val="00C10121"/>
    <w:rsid w:val="00C10127"/>
    <w:rsid w:val="00C10135"/>
    <w:rsid w:val="00C10138"/>
    <w:rsid w:val="00C1013A"/>
    <w:rsid w:val="00C1016C"/>
    <w:rsid w:val="00C101B2"/>
    <w:rsid w:val="00C101BB"/>
    <w:rsid w:val="00C101DE"/>
    <w:rsid w:val="00C101E3"/>
    <w:rsid w:val="00C10225"/>
    <w:rsid w:val="00C102A5"/>
    <w:rsid w:val="00C102AC"/>
    <w:rsid w:val="00C1032C"/>
    <w:rsid w:val="00C103C6"/>
    <w:rsid w:val="00C103DE"/>
    <w:rsid w:val="00C10414"/>
    <w:rsid w:val="00C10415"/>
    <w:rsid w:val="00C10418"/>
    <w:rsid w:val="00C1041F"/>
    <w:rsid w:val="00C10421"/>
    <w:rsid w:val="00C1045A"/>
    <w:rsid w:val="00C1045B"/>
    <w:rsid w:val="00C104CD"/>
    <w:rsid w:val="00C10521"/>
    <w:rsid w:val="00C10522"/>
    <w:rsid w:val="00C10586"/>
    <w:rsid w:val="00C105B1"/>
    <w:rsid w:val="00C105C6"/>
    <w:rsid w:val="00C10644"/>
    <w:rsid w:val="00C10649"/>
    <w:rsid w:val="00C1064D"/>
    <w:rsid w:val="00C106A5"/>
    <w:rsid w:val="00C106A9"/>
    <w:rsid w:val="00C106AF"/>
    <w:rsid w:val="00C106B7"/>
    <w:rsid w:val="00C106D8"/>
    <w:rsid w:val="00C106EE"/>
    <w:rsid w:val="00C10714"/>
    <w:rsid w:val="00C1071F"/>
    <w:rsid w:val="00C10731"/>
    <w:rsid w:val="00C1074F"/>
    <w:rsid w:val="00C1078F"/>
    <w:rsid w:val="00C10793"/>
    <w:rsid w:val="00C107A8"/>
    <w:rsid w:val="00C10854"/>
    <w:rsid w:val="00C10858"/>
    <w:rsid w:val="00C10878"/>
    <w:rsid w:val="00C108BA"/>
    <w:rsid w:val="00C108EC"/>
    <w:rsid w:val="00C10928"/>
    <w:rsid w:val="00C10958"/>
    <w:rsid w:val="00C1095A"/>
    <w:rsid w:val="00C10990"/>
    <w:rsid w:val="00C1099B"/>
    <w:rsid w:val="00C10A23"/>
    <w:rsid w:val="00C10A2D"/>
    <w:rsid w:val="00C10A74"/>
    <w:rsid w:val="00C10A8A"/>
    <w:rsid w:val="00C10AB1"/>
    <w:rsid w:val="00C10B01"/>
    <w:rsid w:val="00C10B06"/>
    <w:rsid w:val="00C10B24"/>
    <w:rsid w:val="00C10B64"/>
    <w:rsid w:val="00C10BB2"/>
    <w:rsid w:val="00C10C28"/>
    <w:rsid w:val="00C10D1A"/>
    <w:rsid w:val="00C10D2E"/>
    <w:rsid w:val="00C10D3C"/>
    <w:rsid w:val="00C10D48"/>
    <w:rsid w:val="00C10DEE"/>
    <w:rsid w:val="00C10E44"/>
    <w:rsid w:val="00C10E79"/>
    <w:rsid w:val="00C10E81"/>
    <w:rsid w:val="00C10EC4"/>
    <w:rsid w:val="00C10ED4"/>
    <w:rsid w:val="00C10EE7"/>
    <w:rsid w:val="00C10F2F"/>
    <w:rsid w:val="00C10F30"/>
    <w:rsid w:val="00C10F4A"/>
    <w:rsid w:val="00C10F53"/>
    <w:rsid w:val="00C10F5D"/>
    <w:rsid w:val="00C10F9B"/>
    <w:rsid w:val="00C10FBB"/>
    <w:rsid w:val="00C11043"/>
    <w:rsid w:val="00C1105D"/>
    <w:rsid w:val="00C11067"/>
    <w:rsid w:val="00C11075"/>
    <w:rsid w:val="00C11112"/>
    <w:rsid w:val="00C1112A"/>
    <w:rsid w:val="00C1112F"/>
    <w:rsid w:val="00C11141"/>
    <w:rsid w:val="00C11148"/>
    <w:rsid w:val="00C111A2"/>
    <w:rsid w:val="00C111A9"/>
    <w:rsid w:val="00C111CE"/>
    <w:rsid w:val="00C111EF"/>
    <w:rsid w:val="00C1121F"/>
    <w:rsid w:val="00C11222"/>
    <w:rsid w:val="00C11243"/>
    <w:rsid w:val="00C11262"/>
    <w:rsid w:val="00C112D7"/>
    <w:rsid w:val="00C11334"/>
    <w:rsid w:val="00C11347"/>
    <w:rsid w:val="00C11374"/>
    <w:rsid w:val="00C1139C"/>
    <w:rsid w:val="00C113DC"/>
    <w:rsid w:val="00C113DF"/>
    <w:rsid w:val="00C113E4"/>
    <w:rsid w:val="00C113ED"/>
    <w:rsid w:val="00C11423"/>
    <w:rsid w:val="00C1148F"/>
    <w:rsid w:val="00C1149A"/>
    <w:rsid w:val="00C114A7"/>
    <w:rsid w:val="00C114D1"/>
    <w:rsid w:val="00C114E1"/>
    <w:rsid w:val="00C114F9"/>
    <w:rsid w:val="00C11503"/>
    <w:rsid w:val="00C11541"/>
    <w:rsid w:val="00C1157F"/>
    <w:rsid w:val="00C11599"/>
    <w:rsid w:val="00C1159D"/>
    <w:rsid w:val="00C115D4"/>
    <w:rsid w:val="00C11686"/>
    <w:rsid w:val="00C116B3"/>
    <w:rsid w:val="00C116E0"/>
    <w:rsid w:val="00C11716"/>
    <w:rsid w:val="00C1171E"/>
    <w:rsid w:val="00C11727"/>
    <w:rsid w:val="00C11780"/>
    <w:rsid w:val="00C117CF"/>
    <w:rsid w:val="00C11811"/>
    <w:rsid w:val="00C11817"/>
    <w:rsid w:val="00C1184C"/>
    <w:rsid w:val="00C11852"/>
    <w:rsid w:val="00C1186E"/>
    <w:rsid w:val="00C1187C"/>
    <w:rsid w:val="00C118A4"/>
    <w:rsid w:val="00C118B8"/>
    <w:rsid w:val="00C118C4"/>
    <w:rsid w:val="00C11923"/>
    <w:rsid w:val="00C11969"/>
    <w:rsid w:val="00C119A8"/>
    <w:rsid w:val="00C119CB"/>
    <w:rsid w:val="00C119D8"/>
    <w:rsid w:val="00C119E0"/>
    <w:rsid w:val="00C11A1E"/>
    <w:rsid w:val="00C11A55"/>
    <w:rsid w:val="00C11A57"/>
    <w:rsid w:val="00C11A6F"/>
    <w:rsid w:val="00C11A78"/>
    <w:rsid w:val="00C11A7B"/>
    <w:rsid w:val="00C11A9E"/>
    <w:rsid w:val="00C11AA5"/>
    <w:rsid w:val="00C11AB2"/>
    <w:rsid w:val="00C11ACA"/>
    <w:rsid w:val="00C11ACE"/>
    <w:rsid w:val="00C11AD9"/>
    <w:rsid w:val="00C11AE3"/>
    <w:rsid w:val="00C11B0F"/>
    <w:rsid w:val="00C11B11"/>
    <w:rsid w:val="00C11B1F"/>
    <w:rsid w:val="00C11B6B"/>
    <w:rsid w:val="00C11B95"/>
    <w:rsid w:val="00C11BC1"/>
    <w:rsid w:val="00C11BE9"/>
    <w:rsid w:val="00C11C52"/>
    <w:rsid w:val="00C11CA8"/>
    <w:rsid w:val="00C11CCB"/>
    <w:rsid w:val="00C11D5C"/>
    <w:rsid w:val="00C11D7C"/>
    <w:rsid w:val="00C11D87"/>
    <w:rsid w:val="00C11E01"/>
    <w:rsid w:val="00C11E3D"/>
    <w:rsid w:val="00C11E4B"/>
    <w:rsid w:val="00C11E98"/>
    <w:rsid w:val="00C11EB1"/>
    <w:rsid w:val="00C11ECD"/>
    <w:rsid w:val="00C11F26"/>
    <w:rsid w:val="00C11F37"/>
    <w:rsid w:val="00C11F80"/>
    <w:rsid w:val="00C11FA1"/>
    <w:rsid w:val="00C11FB8"/>
    <w:rsid w:val="00C11FBC"/>
    <w:rsid w:val="00C11FCE"/>
    <w:rsid w:val="00C11FD1"/>
    <w:rsid w:val="00C12046"/>
    <w:rsid w:val="00C1205C"/>
    <w:rsid w:val="00C120A0"/>
    <w:rsid w:val="00C12145"/>
    <w:rsid w:val="00C121C4"/>
    <w:rsid w:val="00C121F6"/>
    <w:rsid w:val="00C12211"/>
    <w:rsid w:val="00C12239"/>
    <w:rsid w:val="00C12262"/>
    <w:rsid w:val="00C12272"/>
    <w:rsid w:val="00C12276"/>
    <w:rsid w:val="00C12328"/>
    <w:rsid w:val="00C1235C"/>
    <w:rsid w:val="00C123C6"/>
    <w:rsid w:val="00C123E1"/>
    <w:rsid w:val="00C12405"/>
    <w:rsid w:val="00C1240E"/>
    <w:rsid w:val="00C12421"/>
    <w:rsid w:val="00C1247D"/>
    <w:rsid w:val="00C12480"/>
    <w:rsid w:val="00C124A1"/>
    <w:rsid w:val="00C124CA"/>
    <w:rsid w:val="00C124F2"/>
    <w:rsid w:val="00C12515"/>
    <w:rsid w:val="00C12539"/>
    <w:rsid w:val="00C1256E"/>
    <w:rsid w:val="00C125A4"/>
    <w:rsid w:val="00C125B6"/>
    <w:rsid w:val="00C125E7"/>
    <w:rsid w:val="00C125F4"/>
    <w:rsid w:val="00C1262E"/>
    <w:rsid w:val="00C1263A"/>
    <w:rsid w:val="00C12673"/>
    <w:rsid w:val="00C1268C"/>
    <w:rsid w:val="00C126D2"/>
    <w:rsid w:val="00C126E4"/>
    <w:rsid w:val="00C12715"/>
    <w:rsid w:val="00C1271B"/>
    <w:rsid w:val="00C1272F"/>
    <w:rsid w:val="00C12765"/>
    <w:rsid w:val="00C1277E"/>
    <w:rsid w:val="00C1278F"/>
    <w:rsid w:val="00C1281A"/>
    <w:rsid w:val="00C12821"/>
    <w:rsid w:val="00C1282D"/>
    <w:rsid w:val="00C12841"/>
    <w:rsid w:val="00C12882"/>
    <w:rsid w:val="00C128E1"/>
    <w:rsid w:val="00C1290E"/>
    <w:rsid w:val="00C1295A"/>
    <w:rsid w:val="00C129D9"/>
    <w:rsid w:val="00C129F6"/>
    <w:rsid w:val="00C12A12"/>
    <w:rsid w:val="00C12A49"/>
    <w:rsid w:val="00C12A4F"/>
    <w:rsid w:val="00C12AAD"/>
    <w:rsid w:val="00C12ACB"/>
    <w:rsid w:val="00C12B2D"/>
    <w:rsid w:val="00C12B62"/>
    <w:rsid w:val="00C12B87"/>
    <w:rsid w:val="00C12BA1"/>
    <w:rsid w:val="00C12BA5"/>
    <w:rsid w:val="00C12BF5"/>
    <w:rsid w:val="00C12C8B"/>
    <w:rsid w:val="00C12CED"/>
    <w:rsid w:val="00C12D02"/>
    <w:rsid w:val="00C12D40"/>
    <w:rsid w:val="00C12D5F"/>
    <w:rsid w:val="00C12D84"/>
    <w:rsid w:val="00C12D87"/>
    <w:rsid w:val="00C12DA7"/>
    <w:rsid w:val="00C12DC3"/>
    <w:rsid w:val="00C12DD4"/>
    <w:rsid w:val="00C12E1B"/>
    <w:rsid w:val="00C12E4B"/>
    <w:rsid w:val="00C12E56"/>
    <w:rsid w:val="00C12E58"/>
    <w:rsid w:val="00C12E99"/>
    <w:rsid w:val="00C12EC4"/>
    <w:rsid w:val="00C12EC6"/>
    <w:rsid w:val="00C12EE2"/>
    <w:rsid w:val="00C12F32"/>
    <w:rsid w:val="00C12F3B"/>
    <w:rsid w:val="00C12F4B"/>
    <w:rsid w:val="00C12F68"/>
    <w:rsid w:val="00C12F70"/>
    <w:rsid w:val="00C12F95"/>
    <w:rsid w:val="00C12FB3"/>
    <w:rsid w:val="00C12FC1"/>
    <w:rsid w:val="00C12FC3"/>
    <w:rsid w:val="00C12FE8"/>
    <w:rsid w:val="00C12FEB"/>
    <w:rsid w:val="00C12FF7"/>
    <w:rsid w:val="00C12FFC"/>
    <w:rsid w:val="00C13011"/>
    <w:rsid w:val="00C1301B"/>
    <w:rsid w:val="00C1301D"/>
    <w:rsid w:val="00C1302A"/>
    <w:rsid w:val="00C1306C"/>
    <w:rsid w:val="00C13074"/>
    <w:rsid w:val="00C13081"/>
    <w:rsid w:val="00C13087"/>
    <w:rsid w:val="00C130C4"/>
    <w:rsid w:val="00C13115"/>
    <w:rsid w:val="00C131AD"/>
    <w:rsid w:val="00C131BC"/>
    <w:rsid w:val="00C131C7"/>
    <w:rsid w:val="00C131E9"/>
    <w:rsid w:val="00C131F7"/>
    <w:rsid w:val="00C1323A"/>
    <w:rsid w:val="00C1323E"/>
    <w:rsid w:val="00C13252"/>
    <w:rsid w:val="00C1325A"/>
    <w:rsid w:val="00C13268"/>
    <w:rsid w:val="00C13271"/>
    <w:rsid w:val="00C13331"/>
    <w:rsid w:val="00C13357"/>
    <w:rsid w:val="00C13374"/>
    <w:rsid w:val="00C1337E"/>
    <w:rsid w:val="00C13380"/>
    <w:rsid w:val="00C1339F"/>
    <w:rsid w:val="00C133B8"/>
    <w:rsid w:val="00C133F8"/>
    <w:rsid w:val="00C1343D"/>
    <w:rsid w:val="00C13498"/>
    <w:rsid w:val="00C134BD"/>
    <w:rsid w:val="00C135AC"/>
    <w:rsid w:val="00C135BF"/>
    <w:rsid w:val="00C135EE"/>
    <w:rsid w:val="00C135EF"/>
    <w:rsid w:val="00C13621"/>
    <w:rsid w:val="00C13629"/>
    <w:rsid w:val="00C13646"/>
    <w:rsid w:val="00C13660"/>
    <w:rsid w:val="00C13664"/>
    <w:rsid w:val="00C136C5"/>
    <w:rsid w:val="00C136EA"/>
    <w:rsid w:val="00C13713"/>
    <w:rsid w:val="00C13786"/>
    <w:rsid w:val="00C137A3"/>
    <w:rsid w:val="00C137BE"/>
    <w:rsid w:val="00C137E2"/>
    <w:rsid w:val="00C1380B"/>
    <w:rsid w:val="00C13821"/>
    <w:rsid w:val="00C13850"/>
    <w:rsid w:val="00C13884"/>
    <w:rsid w:val="00C13890"/>
    <w:rsid w:val="00C1389F"/>
    <w:rsid w:val="00C138A6"/>
    <w:rsid w:val="00C138C1"/>
    <w:rsid w:val="00C13913"/>
    <w:rsid w:val="00C1394B"/>
    <w:rsid w:val="00C1394C"/>
    <w:rsid w:val="00C13959"/>
    <w:rsid w:val="00C139A5"/>
    <w:rsid w:val="00C139A6"/>
    <w:rsid w:val="00C139F9"/>
    <w:rsid w:val="00C13A05"/>
    <w:rsid w:val="00C13A0C"/>
    <w:rsid w:val="00C13A7B"/>
    <w:rsid w:val="00C13B3A"/>
    <w:rsid w:val="00C13B3F"/>
    <w:rsid w:val="00C13B79"/>
    <w:rsid w:val="00C13B8E"/>
    <w:rsid w:val="00C13B92"/>
    <w:rsid w:val="00C13B9F"/>
    <w:rsid w:val="00C13BD0"/>
    <w:rsid w:val="00C13BFF"/>
    <w:rsid w:val="00C13C2C"/>
    <w:rsid w:val="00C13C69"/>
    <w:rsid w:val="00C13C93"/>
    <w:rsid w:val="00C13CCF"/>
    <w:rsid w:val="00C13D12"/>
    <w:rsid w:val="00C13D16"/>
    <w:rsid w:val="00C13D20"/>
    <w:rsid w:val="00C13DA3"/>
    <w:rsid w:val="00C13DCE"/>
    <w:rsid w:val="00C13DE2"/>
    <w:rsid w:val="00C13DEE"/>
    <w:rsid w:val="00C13E16"/>
    <w:rsid w:val="00C13E1B"/>
    <w:rsid w:val="00C13EAB"/>
    <w:rsid w:val="00C13ECF"/>
    <w:rsid w:val="00C13EEC"/>
    <w:rsid w:val="00C13F17"/>
    <w:rsid w:val="00C13F3C"/>
    <w:rsid w:val="00C13F45"/>
    <w:rsid w:val="00C13F6B"/>
    <w:rsid w:val="00C13F9E"/>
    <w:rsid w:val="00C13FA1"/>
    <w:rsid w:val="00C13FB8"/>
    <w:rsid w:val="00C13FBA"/>
    <w:rsid w:val="00C13FC1"/>
    <w:rsid w:val="00C13FDA"/>
    <w:rsid w:val="00C14001"/>
    <w:rsid w:val="00C14086"/>
    <w:rsid w:val="00C140E0"/>
    <w:rsid w:val="00C1418D"/>
    <w:rsid w:val="00C141A4"/>
    <w:rsid w:val="00C141A5"/>
    <w:rsid w:val="00C141CB"/>
    <w:rsid w:val="00C141FA"/>
    <w:rsid w:val="00C1424F"/>
    <w:rsid w:val="00C14277"/>
    <w:rsid w:val="00C1427A"/>
    <w:rsid w:val="00C1436B"/>
    <w:rsid w:val="00C143EF"/>
    <w:rsid w:val="00C14418"/>
    <w:rsid w:val="00C14518"/>
    <w:rsid w:val="00C1451C"/>
    <w:rsid w:val="00C14580"/>
    <w:rsid w:val="00C145D0"/>
    <w:rsid w:val="00C145F6"/>
    <w:rsid w:val="00C1461C"/>
    <w:rsid w:val="00C1465C"/>
    <w:rsid w:val="00C14696"/>
    <w:rsid w:val="00C146B1"/>
    <w:rsid w:val="00C146B6"/>
    <w:rsid w:val="00C146BF"/>
    <w:rsid w:val="00C146C1"/>
    <w:rsid w:val="00C146F5"/>
    <w:rsid w:val="00C14762"/>
    <w:rsid w:val="00C147F5"/>
    <w:rsid w:val="00C14877"/>
    <w:rsid w:val="00C148B7"/>
    <w:rsid w:val="00C148C5"/>
    <w:rsid w:val="00C148CD"/>
    <w:rsid w:val="00C14914"/>
    <w:rsid w:val="00C14940"/>
    <w:rsid w:val="00C1495C"/>
    <w:rsid w:val="00C14971"/>
    <w:rsid w:val="00C14992"/>
    <w:rsid w:val="00C149A7"/>
    <w:rsid w:val="00C149C7"/>
    <w:rsid w:val="00C149DF"/>
    <w:rsid w:val="00C14A1E"/>
    <w:rsid w:val="00C14A29"/>
    <w:rsid w:val="00C14A41"/>
    <w:rsid w:val="00C14A66"/>
    <w:rsid w:val="00C14A70"/>
    <w:rsid w:val="00C14A73"/>
    <w:rsid w:val="00C14A78"/>
    <w:rsid w:val="00C14A92"/>
    <w:rsid w:val="00C14AAD"/>
    <w:rsid w:val="00C14AC8"/>
    <w:rsid w:val="00C14ACF"/>
    <w:rsid w:val="00C14B16"/>
    <w:rsid w:val="00C14B33"/>
    <w:rsid w:val="00C14B5B"/>
    <w:rsid w:val="00C14B83"/>
    <w:rsid w:val="00C14BD5"/>
    <w:rsid w:val="00C14BE3"/>
    <w:rsid w:val="00C14BF5"/>
    <w:rsid w:val="00C14C02"/>
    <w:rsid w:val="00C14C07"/>
    <w:rsid w:val="00C14C16"/>
    <w:rsid w:val="00C14C1E"/>
    <w:rsid w:val="00C14C25"/>
    <w:rsid w:val="00C14C86"/>
    <w:rsid w:val="00C14CCB"/>
    <w:rsid w:val="00C14D0D"/>
    <w:rsid w:val="00C14D16"/>
    <w:rsid w:val="00C14D8F"/>
    <w:rsid w:val="00C14DA7"/>
    <w:rsid w:val="00C14DA9"/>
    <w:rsid w:val="00C14DB3"/>
    <w:rsid w:val="00C14E05"/>
    <w:rsid w:val="00C14E21"/>
    <w:rsid w:val="00C14E3D"/>
    <w:rsid w:val="00C14E5B"/>
    <w:rsid w:val="00C14E82"/>
    <w:rsid w:val="00C14EA6"/>
    <w:rsid w:val="00C14EB5"/>
    <w:rsid w:val="00C14EDA"/>
    <w:rsid w:val="00C14EEB"/>
    <w:rsid w:val="00C14F1C"/>
    <w:rsid w:val="00C14F71"/>
    <w:rsid w:val="00C14F72"/>
    <w:rsid w:val="00C14F86"/>
    <w:rsid w:val="00C14FB6"/>
    <w:rsid w:val="00C1503E"/>
    <w:rsid w:val="00C1508B"/>
    <w:rsid w:val="00C1509C"/>
    <w:rsid w:val="00C150D4"/>
    <w:rsid w:val="00C15107"/>
    <w:rsid w:val="00C15131"/>
    <w:rsid w:val="00C15149"/>
    <w:rsid w:val="00C1514F"/>
    <w:rsid w:val="00C1515C"/>
    <w:rsid w:val="00C1515F"/>
    <w:rsid w:val="00C15179"/>
    <w:rsid w:val="00C151F6"/>
    <w:rsid w:val="00C15208"/>
    <w:rsid w:val="00C1521F"/>
    <w:rsid w:val="00C1523C"/>
    <w:rsid w:val="00C15243"/>
    <w:rsid w:val="00C15244"/>
    <w:rsid w:val="00C15259"/>
    <w:rsid w:val="00C152C0"/>
    <w:rsid w:val="00C152F3"/>
    <w:rsid w:val="00C152F5"/>
    <w:rsid w:val="00C1530A"/>
    <w:rsid w:val="00C1530B"/>
    <w:rsid w:val="00C15339"/>
    <w:rsid w:val="00C15361"/>
    <w:rsid w:val="00C15392"/>
    <w:rsid w:val="00C153A0"/>
    <w:rsid w:val="00C153A8"/>
    <w:rsid w:val="00C153D4"/>
    <w:rsid w:val="00C15419"/>
    <w:rsid w:val="00C1542A"/>
    <w:rsid w:val="00C1545F"/>
    <w:rsid w:val="00C1547D"/>
    <w:rsid w:val="00C154E4"/>
    <w:rsid w:val="00C15504"/>
    <w:rsid w:val="00C155E8"/>
    <w:rsid w:val="00C15606"/>
    <w:rsid w:val="00C15615"/>
    <w:rsid w:val="00C15629"/>
    <w:rsid w:val="00C15635"/>
    <w:rsid w:val="00C1564E"/>
    <w:rsid w:val="00C15693"/>
    <w:rsid w:val="00C156D4"/>
    <w:rsid w:val="00C15755"/>
    <w:rsid w:val="00C1577E"/>
    <w:rsid w:val="00C157C1"/>
    <w:rsid w:val="00C157E2"/>
    <w:rsid w:val="00C1580A"/>
    <w:rsid w:val="00C15832"/>
    <w:rsid w:val="00C158B8"/>
    <w:rsid w:val="00C158D2"/>
    <w:rsid w:val="00C158EC"/>
    <w:rsid w:val="00C158F7"/>
    <w:rsid w:val="00C15924"/>
    <w:rsid w:val="00C15945"/>
    <w:rsid w:val="00C15994"/>
    <w:rsid w:val="00C159EA"/>
    <w:rsid w:val="00C159F2"/>
    <w:rsid w:val="00C15A2B"/>
    <w:rsid w:val="00C15A3B"/>
    <w:rsid w:val="00C15A55"/>
    <w:rsid w:val="00C15AA8"/>
    <w:rsid w:val="00C15AE4"/>
    <w:rsid w:val="00C15B44"/>
    <w:rsid w:val="00C15B87"/>
    <w:rsid w:val="00C15BA6"/>
    <w:rsid w:val="00C15BDC"/>
    <w:rsid w:val="00C15BFE"/>
    <w:rsid w:val="00C15C31"/>
    <w:rsid w:val="00C15C66"/>
    <w:rsid w:val="00C15C71"/>
    <w:rsid w:val="00C15CE7"/>
    <w:rsid w:val="00C15D33"/>
    <w:rsid w:val="00C15D46"/>
    <w:rsid w:val="00C15DA0"/>
    <w:rsid w:val="00C15DC7"/>
    <w:rsid w:val="00C15DF9"/>
    <w:rsid w:val="00C15E51"/>
    <w:rsid w:val="00C15E8D"/>
    <w:rsid w:val="00C15E95"/>
    <w:rsid w:val="00C15EAE"/>
    <w:rsid w:val="00C15EBC"/>
    <w:rsid w:val="00C15EF4"/>
    <w:rsid w:val="00C15EFD"/>
    <w:rsid w:val="00C15F52"/>
    <w:rsid w:val="00C15F6B"/>
    <w:rsid w:val="00C15FA3"/>
    <w:rsid w:val="00C15FFD"/>
    <w:rsid w:val="00C16001"/>
    <w:rsid w:val="00C1605A"/>
    <w:rsid w:val="00C16063"/>
    <w:rsid w:val="00C160C8"/>
    <w:rsid w:val="00C16105"/>
    <w:rsid w:val="00C1612B"/>
    <w:rsid w:val="00C1616B"/>
    <w:rsid w:val="00C161B6"/>
    <w:rsid w:val="00C161E9"/>
    <w:rsid w:val="00C161EA"/>
    <w:rsid w:val="00C1624B"/>
    <w:rsid w:val="00C16265"/>
    <w:rsid w:val="00C162F2"/>
    <w:rsid w:val="00C1631F"/>
    <w:rsid w:val="00C163DD"/>
    <w:rsid w:val="00C16402"/>
    <w:rsid w:val="00C16413"/>
    <w:rsid w:val="00C1644F"/>
    <w:rsid w:val="00C1645A"/>
    <w:rsid w:val="00C16479"/>
    <w:rsid w:val="00C1647E"/>
    <w:rsid w:val="00C164DE"/>
    <w:rsid w:val="00C164F3"/>
    <w:rsid w:val="00C1651B"/>
    <w:rsid w:val="00C1658D"/>
    <w:rsid w:val="00C165BB"/>
    <w:rsid w:val="00C165DD"/>
    <w:rsid w:val="00C16633"/>
    <w:rsid w:val="00C16634"/>
    <w:rsid w:val="00C1664C"/>
    <w:rsid w:val="00C16676"/>
    <w:rsid w:val="00C1667B"/>
    <w:rsid w:val="00C1668B"/>
    <w:rsid w:val="00C1669E"/>
    <w:rsid w:val="00C166CF"/>
    <w:rsid w:val="00C16745"/>
    <w:rsid w:val="00C1676F"/>
    <w:rsid w:val="00C16790"/>
    <w:rsid w:val="00C167DA"/>
    <w:rsid w:val="00C167DE"/>
    <w:rsid w:val="00C16830"/>
    <w:rsid w:val="00C16856"/>
    <w:rsid w:val="00C16863"/>
    <w:rsid w:val="00C1687B"/>
    <w:rsid w:val="00C16885"/>
    <w:rsid w:val="00C1689B"/>
    <w:rsid w:val="00C168CD"/>
    <w:rsid w:val="00C168E0"/>
    <w:rsid w:val="00C1691C"/>
    <w:rsid w:val="00C16943"/>
    <w:rsid w:val="00C169E1"/>
    <w:rsid w:val="00C16A0D"/>
    <w:rsid w:val="00C16A9A"/>
    <w:rsid w:val="00C16A9B"/>
    <w:rsid w:val="00C16AA6"/>
    <w:rsid w:val="00C16AC9"/>
    <w:rsid w:val="00C16ACD"/>
    <w:rsid w:val="00C16ACF"/>
    <w:rsid w:val="00C16BA7"/>
    <w:rsid w:val="00C16BF0"/>
    <w:rsid w:val="00C16C0F"/>
    <w:rsid w:val="00C16C2B"/>
    <w:rsid w:val="00C16C32"/>
    <w:rsid w:val="00C16C47"/>
    <w:rsid w:val="00C16C8D"/>
    <w:rsid w:val="00C16CAC"/>
    <w:rsid w:val="00C16CAD"/>
    <w:rsid w:val="00C16D51"/>
    <w:rsid w:val="00C16D72"/>
    <w:rsid w:val="00C16D83"/>
    <w:rsid w:val="00C16DA9"/>
    <w:rsid w:val="00C16E29"/>
    <w:rsid w:val="00C16E4F"/>
    <w:rsid w:val="00C16E5B"/>
    <w:rsid w:val="00C16E6D"/>
    <w:rsid w:val="00C16E86"/>
    <w:rsid w:val="00C16E9B"/>
    <w:rsid w:val="00C16EB7"/>
    <w:rsid w:val="00C16EC3"/>
    <w:rsid w:val="00C16F3E"/>
    <w:rsid w:val="00C17023"/>
    <w:rsid w:val="00C17038"/>
    <w:rsid w:val="00C17092"/>
    <w:rsid w:val="00C17119"/>
    <w:rsid w:val="00C17163"/>
    <w:rsid w:val="00C17164"/>
    <w:rsid w:val="00C17165"/>
    <w:rsid w:val="00C171A4"/>
    <w:rsid w:val="00C171D2"/>
    <w:rsid w:val="00C1725D"/>
    <w:rsid w:val="00C17273"/>
    <w:rsid w:val="00C172BA"/>
    <w:rsid w:val="00C17351"/>
    <w:rsid w:val="00C17388"/>
    <w:rsid w:val="00C17389"/>
    <w:rsid w:val="00C1739D"/>
    <w:rsid w:val="00C173B5"/>
    <w:rsid w:val="00C173C7"/>
    <w:rsid w:val="00C17424"/>
    <w:rsid w:val="00C1744B"/>
    <w:rsid w:val="00C17474"/>
    <w:rsid w:val="00C1748D"/>
    <w:rsid w:val="00C174A8"/>
    <w:rsid w:val="00C174BE"/>
    <w:rsid w:val="00C174C2"/>
    <w:rsid w:val="00C174C8"/>
    <w:rsid w:val="00C174DE"/>
    <w:rsid w:val="00C1754E"/>
    <w:rsid w:val="00C1756C"/>
    <w:rsid w:val="00C17580"/>
    <w:rsid w:val="00C17609"/>
    <w:rsid w:val="00C17651"/>
    <w:rsid w:val="00C176A2"/>
    <w:rsid w:val="00C176AF"/>
    <w:rsid w:val="00C176CF"/>
    <w:rsid w:val="00C17702"/>
    <w:rsid w:val="00C17708"/>
    <w:rsid w:val="00C177B2"/>
    <w:rsid w:val="00C17852"/>
    <w:rsid w:val="00C17909"/>
    <w:rsid w:val="00C1790B"/>
    <w:rsid w:val="00C1793C"/>
    <w:rsid w:val="00C17961"/>
    <w:rsid w:val="00C1796D"/>
    <w:rsid w:val="00C179BB"/>
    <w:rsid w:val="00C179F7"/>
    <w:rsid w:val="00C17AB6"/>
    <w:rsid w:val="00C17AD9"/>
    <w:rsid w:val="00C17B0C"/>
    <w:rsid w:val="00C17B80"/>
    <w:rsid w:val="00C17BB6"/>
    <w:rsid w:val="00C17BBB"/>
    <w:rsid w:val="00C17BF5"/>
    <w:rsid w:val="00C17C25"/>
    <w:rsid w:val="00C17CC4"/>
    <w:rsid w:val="00C17CD5"/>
    <w:rsid w:val="00C17D1D"/>
    <w:rsid w:val="00C17D2D"/>
    <w:rsid w:val="00C17D51"/>
    <w:rsid w:val="00C17D98"/>
    <w:rsid w:val="00C17D9A"/>
    <w:rsid w:val="00C17DC0"/>
    <w:rsid w:val="00C17DDE"/>
    <w:rsid w:val="00C17DF2"/>
    <w:rsid w:val="00C17E0B"/>
    <w:rsid w:val="00C17E14"/>
    <w:rsid w:val="00C17E39"/>
    <w:rsid w:val="00C17E6F"/>
    <w:rsid w:val="00C17E97"/>
    <w:rsid w:val="00C17EDF"/>
    <w:rsid w:val="00C17F09"/>
    <w:rsid w:val="00C17F18"/>
    <w:rsid w:val="00C17F23"/>
    <w:rsid w:val="00C17F88"/>
    <w:rsid w:val="00C17FDE"/>
    <w:rsid w:val="00C17FF4"/>
    <w:rsid w:val="00C20003"/>
    <w:rsid w:val="00C20014"/>
    <w:rsid w:val="00C20019"/>
    <w:rsid w:val="00C20025"/>
    <w:rsid w:val="00C2002F"/>
    <w:rsid w:val="00C20080"/>
    <w:rsid w:val="00C2008C"/>
    <w:rsid w:val="00C2009C"/>
    <w:rsid w:val="00C200A1"/>
    <w:rsid w:val="00C200A8"/>
    <w:rsid w:val="00C200D5"/>
    <w:rsid w:val="00C200E3"/>
    <w:rsid w:val="00C20108"/>
    <w:rsid w:val="00C2010F"/>
    <w:rsid w:val="00C20129"/>
    <w:rsid w:val="00C201C1"/>
    <w:rsid w:val="00C201D5"/>
    <w:rsid w:val="00C201E0"/>
    <w:rsid w:val="00C2021A"/>
    <w:rsid w:val="00C2028A"/>
    <w:rsid w:val="00C202A5"/>
    <w:rsid w:val="00C202B3"/>
    <w:rsid w:val="00C202C8"/>
    <w:rsid w:val="00C202E3"/>
    <w:rsid w:val="00C202F6"/>
    <w:rsid w:val="00C202F9"/>
    <w:rsid w:val="00C20305"/>
    <w:rsid w:val="00C2030F"/>
    <w:rsid w:val="00C20390"/>
    <w:rsid w:val="00C203A0"/>
    <w:rsid w:val="00C20437"/>
    <w:rsid w:val="00C20455"/>
    <w:rsid w:val="00C20475"/>
    <w:rsid w:val="00C204A4"/>
    <w:rsid w:val="00C204AD"/>
    <w:rsid w:val="00C2055B"/>
    <w:rsid w:val="00C20596"/>
    <w:rsid w:val="00C205CC"/>
    <w:rsid w:val="00C205F3"/>
    <w:rsid w:val="00C20612"/>
    <w:rsid w:val="00C20625"/>
    <w:rsid w:val="00C20641"/>
    <w:rsid w:val="00C2066F"/>
    <w:rsid w:val="00C20692"/>
    <w:rsid w:val="00C2069B"/>
    <w:rsid w:val="00C206A1"/>
    <w:rsid w:val="00C20712"/>
    <w:rsid w:val="00C207D5"/>
    <w:rsid w:val="00C207F9"/>
    <w:rsid w:val="00C20812"/>
    <w:rsid w:val="00C20816"/>
    <w:rsid w:val="00C2081A"/>
    <w:rsid w:val="00C20863"/>
    <w:rsid w:val="00C20886"/>
    <w:rsid w:val="00C20892"/>
    <w:rsid w:val="00C208B9"/>
    <w:rsid w:val="00C208D5"/>
    <w:rsid w:val="00C2093F"/>
    <w:rsid w:val="00C20944"/>
    <w:rsid w:val="00C20961"/>
    <w:rsid w:val="00C209B2"/>
    <w:rsid w:val="00C209D2"/>
    <w:rsid w:val="00C209D4"/>
    <w:rsid w:val="00C20A22"/>
    <w:rsid w:val="00C20A39"/>
    <w:rsid w:val="00C20A3C"/>
    <w:rsid w:val="00C20A74"/>
    <w:rsid w:val="00C20A9E"/>
    <w:rsid w:val="00C20AC1"/>
    <w:rsid w:val="00C20AE3"/>
    <w:rsid w:val="00C20B1C"/>
    <w:rsid w:val="00C20B65"/>
    <w:rsid w:val="00C20B7E"/>
    <w:rsid w:val="00C20BFC"/>
    <w:rsid w:val="00C20BFD"/>
    <w:rsid w:val="00C20C00"/>
    <w:rsid w:val="00C20C4D"/>
    <w:rsid w:val="00C20C5C"/>
    <w:rsid w:val="00C20C78"/>
    <w:rsid w:val="00C20CD0"/>
    <w:rsid w:val="00C20CE2"/>
    <w:rsid w:val="00C20D72"/>
    <w:rsid w:val="00C20D8D"/>
    <w:rsid w:val="00C20DCB"/>
    <w:rsid w:val="00C20DFD"/>
    <w:rsid w:val="00C20DFF"/>
    <w:rsid w:val="00C20EBE"/>
    <w:rsid w:val="00C20EFF"/>
    <w:rsid w:val="00C20F02"/>
    <w:rsid w:val="00C20F03"/>
    <w:rsid w:val="00C20F61"/>
    <w:rsid w:val="00C20F79"/>
    <w:rsid w:val="00C20F7B"/>
    <w:rsid w:val="00C20FDC"/>
    <w:rsid w:val="00C20FDD"/>
    <w:rsid w:val="00C2103D"/>
    <w:rsid w:val="00C21042"/>
    <w:rsid w:val="00C2107A"/>
    <w:rsid w:val="00C210BE"/>
    <w:rsid w:val="00C210C1"/>
    <w:rsid w:val="00C210C6"/>
    <w:rsid w:val="00C210DD"/>
    <w:rsid w:val="00C210E9"/>
    <w:rsid w:val="00C210F4"/>
    <w:rsid w:val="00C210FC"/>
    <w:rsid w:val="00C210FE"/>
    <w:rsid w:val="00C21139"/>
    <w:rsid w:val="00C21156"/>
    <w:rsid w:val="00C21167"/>
    <w:rsid w:val="00C2117A"/>
    <w:rsid w:val="00C2118B"/>
    <w:rsid w:val="00C2119F"/>
    <w:rsid w:val="00C211DE"/>
    <w:rsid w:val="00C2120F"/>
    <w:rsid w:val="00C21216"/>
    <w:rsid w:val="00C21224"/>
    <w:rsid w:val="00C21265"/>
    <w:rsid w:val="00C212DB"/>
    <w:rsid w:val="00C21402"/>
    <w:rsid w:val="00C21421"/>
    <w:rsid w:val="00C2146C"/>
    <w:rsid w:val="00C21491"/>
    <w:rsid w:val="00C214C3"/>
    <w:rsid w:val="00C214DA"/>
    <w:rsid w:val="00C214EC"/>
    <w:rsid w:val="00C214EF"/>
    <w:rsid w:val="00C214FE"/>
    <w:rsid w:val="00C2153E"/>
    <w:rsid w:val="00C21553"/>
    <w:rsid w:val="00C21593"/>
    <w:rsid w:val="00C2159F"/>
    <w:rsid w:val="00C215DA"/>
    <w:rsid w:val="00C215E1"/>
    <w:rsid w:val="00C215FC"/>
    <w:rsid w:val="00C2163E"/>
    <w:rsid w:val="00C2164D"/>
    <w:rsid w:val="00C2165C"/>
    <w:rsid w:val="00C2167D"/>
    <w:rsid w:val="00C216BF"/>
    <w:rsid w:val="00C21711"/>
    <w:rsid w:val="00C21719"/>
    <w:rsid w:val="00C21721"/>
    <w:rsid w:val="00C21727"/>
    <w:rsid w:val="00C2172F"/>
    <w:rsid w:val="00C2176D"/>
    <w:rsid w:val="00C21779"/>
    <w:rsid w:val="00C21809"/>
    <w:rsid w:val="00C21816"/>
    <w:rsid w:val="00C2182A"/>
    <w:rsid w:val="00C21851"/>
    <w:rsid w:val="00C218C6"/>
    <w:rsid w:val="00C218D7"/>
    <w:rsid w:val="00C2192B"/>
    <w:rsid w:val="00C2192C"/>
    <w:rsid w:val="00C2198E"/>
    <w:rsid w:val="00C21994"/>
    <w:rsid w:val="00C219A1"/>
    <w:rsid w:val="00C219B0"/>
    <w:rsid w:val="00C219F1"/>
    <w:rsid w:val="00C21A00"/>
    <w:rsid w:val="00C21A1E"/>
    <w:rsid w:val="00C21A5E"/>
    <w:rsid w:val="00C21B23"/>
    <w:rsid w:val="00C21B48"/>
    <w:rsid w:val="00C21B4C"/>
    <w:rsid w:val="00C21B65"/>
    <w:rsid w:val="00C21B89"/>
    <w:rsid w:val="00C21BD1"/>
    <w:rsid w:val="00C21BEB"/>
    <w:rsid w:val="00C21BF0"/>
    <w:rsid w:val="00C21BF5"/>
    <w:rsid w:val="00C21C1A"/>
    <w:rsid w:val="00C21C1F"/>
    <w:rsid w:val="00C21C2D"/>
    <w:rsid w:val="00C21C35"/>
    <w:rsid w:val="00C21C39"/>
    <w:rsid w:val="00C21C7C"/>
    <w:rsid w:val="00C21C84"/>
    <w:rsid w:val="00C21C8A"/>
    <w:rsid w:val="00C21CB2"/>
    <w:rsid w:val="00C21CE5"/>
    <w:rsid w:val="00C21D0D"/>
    <w:rsid w:val="00C21D1E"/>
    <w:rsid w:val="00C21D23"/>
    <w:rsid w:val="00C21D6C"/>
    <w:rsid w:val="00C21D73"/>
    <w:rsid w:val="00C21D77"/>
    <w:rsid w:val="00C21DBC"/>
    <w:rsid w:val="00C21E38"/>
    <w:rsid w:val="00C21E6B"/>
    <w:rsid w:val="00C21E84"/>
    <w:rsid w:val="00C21EB3"/>
    <w:rsid w:val="00C21ED1"/>
    <w:rsid w:val="00C21ED2"/>
    <w:rsid w:val="00C21F53"/>
    <w:rsid w:val="00C21F74"/>
    <w:rsid w:val="00C21F75"/>
    <w:rsid w:val="00C21F80"/>
    <w:rsid w:val="00C21F91"/>
    <w:rsid w:val="00C21FA3"/>
    <w:rsid w:val="00C22050"/>
    <w:rsid w:val="00C22052"/>
    <w:rsid w:val="00C220DC"/>
    <w:rsid w:val="00C220EE"/>
    <w:rsid w:val="00C22140"/>
    <w:rsid w:val="00C22199"/>
    <w:rsid w:val="00C221C2"/>
    <w:rsid w:val="00C221D0"/>
    <w:rsid w:val="00C2221F"/>
    <w:rsid w:val="00C22226"/>
    <w:rsid w:val="00C2224C"/>
    <w:rsid w:val="00C22257"/>
    <w:rsid w:val="00C2225E"/>
    <w:rsid w:val="00C22285"/>
    <w:rsid w:val="00C222B3"/>
    <w:rsid w:val="00C222D1"/>
    <w:rsid w:val="00C222D2"/>
    <w:rsid w:val="00C222EB"/>
    <w:rsid w:val="00C222FB"/>
    <w:rsid w:val="00C22346"/>
    <w:rsid w:val="00C2234B"/>
    <w:rsid w:val="00C223A9"/>
    <w:rsid w:val="00C223C8"/>
    <w:rsid w:val="00C2246A"/>
    <w:rsid w:val="00C224FA"/>
    <w:rsid w:val="00C224FC"/>
    <w:rsid w:val="00C2251F"/>
    <w:rsid w:val="00C22570"/>
    <w:rsid w:val="00C22599"/>
    <w:rsid w:val="00C2259E"/>
    <w:rsid w:val="00C225D8"/>
    <w:rsid w:val="00C225EC"/>
    <w:rsid w:val="00C225EF"/>
    <w:rsid w:val="00C22637"/>
    <w:rsid w:val="00C2265D"/>
    <w:rsid w:val="00C22685"/>
    <w:rsid w:val="00C226B8"/>
    <w:rsid w:val="00C226DE"/>
    <w:rsid w:val="00C226E2"/>
    <w:rsid w:val="00C2270D"/>
    <w:rsid w:val="00C2274A"/>
    <w:rsid w:val="00C2275C"/>
    <w:rsid w:val="00C22790"/>
    <w:rsid w:val="00C227D4"/>
    <w:rsid w:val="00C227E6"/>
    <w:rsid w:val="00C227EE"/>
    <w:rsid w:val="00C227F7"/>
    <w:rsid w:val="00C22879"/>
    <w:rsid w:val="00C22884"/>
    <w:rsid w:val="00C2288A"/>
    <w:rsid w:val="00C228A2"/>
    <w:rsid w:val="00C228D9"/>
    <w:rsid w:val="00C22A55"/>
    <w:rsid w:val="00C22A73"/>
    <w:rsid w:val="00C22AA8"/>
    <w:rsid w:val="00C22AAB"/>
    <w:rsid w:val="00C22AEA"/>
    <w:rsid w:val="00C22AF2"/>
    <w:rsid w:val="00C22B4C"/>
    <w:rsid w:val="00C22B68"/>
    <w:rsid w:val="00C22B90"/>
    <w:rsid w:val="00C22C2B"/>
    <w:rsid w:val="00C22C43"/>
    <w:rsid w:val="00C22C5A"/>
    <w:rsid w:val="00C22C6F"/>
    <w:rsid w:val="00C22C93"/>
    <w:rsid w:val="00C22CD5"/>
    <w:rsid w:val="00C22CE4"/>
    <w:rsid w:val="00C22D29"/>
    <w:rsid w:val="00C22D43"/>
    <w:rsid w:val="00C22DBE"/>
    <w:rsid w:val="00C22DFD"/>
    <w:rsid w:val="00C22E11"/>
    <w:rsid w:val="00C22E4E"/>
    <w:rsid w:val="00C22EA2"/>
    <w:rsid w:val="00C22EC5"/>
    <w:rsid w:val="00C22ED5"/>
    <w:rsid w:val="00C22EF7"/>
    <w:rsid w:val="00C22F44"/>
    <w:rsid w:val="00C22F52"/>
    <w:rsid w:val="00C22F58"/>
    <w:rsid w:val="00C22F94"/>
    <w:rsid w:val="00C22FAB"/>
    <w:rsid w:val="00C22FC8"/>
    <w:rsid w:val="00C22FE2"/>
    <w:rsid w:val="00C2303B"/>
    <w:rsid w:val="00C23067"/>
    <w:rsid w:val="00C2308C"/>
    <w:rsid w:val="00C230E4"/>
    <w:rsid w:val="00C230EE"/>
    <w:rsid w:val="00C230F6"/>
    <w:rsid w:val="00C2310C"/>
    <w:rsid w:val="00C23119"/>
    <w:rsid w:val="00C23123"/>
    <w:rsid w:val="00C23136"/>
    <w:rsid w:val="00C23154"/>
    <w:rsid w:val="00C23156"/>
    <w:rsid w:val="00C23158"/>
    <w:rsid w:val="00C231B2"/>
    <w:rsid w:val="00C231C0"/>
    <w:rsid w:val="00C231F8"/>
    <w:rsid w:val="00C23276"/>
    <w:rsid w:val="00C232AB"/>
    <w:rsid w:val="00C232CE"/>
    <w:rsid w:val="00C2330C"/>
    <w:rsid w:val="00C2339A"/>
    <w:rsid w:val="00C233ED"/>
    <w:rsid w:val="00C233FF"/>
    <w:rsid w:val="00C23436"/>
    <w:rsid w:val="00C23452"/>
    <w:rsid w:val="00C2346D"/>
    <w:rsid w:val="00C234F1"/>
    <w:rsid w:val="00C234F6"/>
    <w:rsid w:val="00C2351C"/>
    <w:rsid w:val="00C23538"/>
    <w:rsid w:val="00C23574"/>
    <w:rsid w:val="00C235A2"/>
    <w:rsid w:val="00C235C2"/>
    <w:rsid w:val="00C23611"/>
    <w:rsid w:val="00C23634"/>
    <w:rsid w:val="00C23639"/>
    <w:rsid w:val="00C2363E"/>
    <w:rsid w:val="00C2364C"/>
    <w:rsid w:val="00C2364F"/>
    <w:rsid w:val="00C23656"/>
    <w:rsid w:val="00C2369F"/>
    <w:rsid w:val="00C236E5"/>
    <w:rsid w:val="00C23736"/>
    <w:rsid w:val="00C23745"/>
    <w:rsid w:val="00C2377D"/>
    <w:rsid w:val="00C237E0"/>
    <w:rsid w:val="00C23920"/>
    <w:rsid w:val="00C2392E"/>
    <w:rsid w:val="00C2393E"/>
    <w:rsid w:val="00C23960"/>
    <w:rsid w:val="00C23974"/>
    <w:rsid w:val="00C23994"/>
    <w:rsid w:val="00C23A27"/>
    <w:rsid w:val="00C23A9F"/>
    <w:rsid w:val="00C23AAF"/>
    <w:rsid w:val="00C23AC7"/>
    <w:rsid w:val="00C23B00"/>
    <w:rsid w:val="00C23B17"/>
    <w:rsid w:val="00C23B19"/>
    <w:rsid w:val="00C23B22"/>
    <w:rsid w:val="00C23B8D"/>
    <w:rsid w:val="00C23BB8"/>
    <w:rsid w:val="00C23BF8"/>
    <w:rsid w:val="00C23C3D"/>
    <w:rsid w:val="00C23C61"/>
    <w:rsid w:val="00C23C70"/>
    <w:rsid w:val="00C23CA3"/>
    <w:rsid w:val="00C23CAB"/>
    <w:rsid w:val="00C23CB4"/>
    <w:rsid w:val="00C23CC9"/>
    <w:rsid w:val="00C23D09"/>
    <w:rsid w:val="00C23D15"/>
    <w:rsid w:val="00C23D9B"/>
    <w:rsid w:val="00C23DAB"/>
    <w:rsid w:val="00C23DB3"/>
    <w:rsid w:val="00C23DCD"/>
    <w:rsid w:val="00C23DD9"/>
    <w:rsid w:val="00C23E0D"/>
    <w:rsid w:val="00C23E0F"/>
    <w:rsid w:val="00C23E3F"/>
    <w:rsid w:val="00C23E69"/>
    <w:rsid w:val="00C23E78"/>
    <w:rsid w:val="00C23E9D"/>
    <w:rsid w:val="00C23EDB"/>
    <w:rsid w:val="00C23F56"/>
    <w:rsid w:val="00C23FAF"/>
    <w:rsid w:val="00C23FB6"/>
    <w:rsid w:val="00C23FEB"/>
    <w:rsid w:val="00C24036"/>
    <w:rsid w:val="00C24045"/>
    <w:rsid w:val="00C24058"/>
    <w:rsid w:val="00C2406E"/>
    <w:rsid w:val="00C2408D"/>
    <w:rsid w:val="00C2412C"/>
    <w:rsid w:val="00C24163"/>
    <w:rsid w:val="00C241E8"/>
    <w:rsid w:val="00C24216"/>
    <w:rsid w:val="00C24236"/>
    <w:rsid w:val="00C242AF"/>
    <w:rsid w:val="00C242BD"/>
    <w:rsid w:val="00C242D0"/>
    <w:rsid w:val="00C242D6"/>
    <w:rsid w:val="00C242E0"/>
    <w:rsid w:val="00C242E2"/>
    <w:rsid w:val="00C2430C"/>
    <w:rsid w:val="00C2432C"/>
    <w:rsid w:val="00C24340"/>
    <w:rsid w:val="00C243C9"/>
    <w:rsid w:val="00C24416"/>
    <w:rsid w:val="00C24475"/>
    <w:rsid w:val="00C24485"/>
    <w:rsid w:val="00C244B4"/>
    <w:rsid w:val="00C244DF"/>
    <w:rsid w:val="00C24534"/>
    <w:rsid w:val="00C2454D"/>
    <w:rsid w:val="00C24564"/>
    <w:rsid w:val="00C2459F"/>
    <w:rsid w:val="00C245DD"/>
    <w:rsid w:val="00C24605"/>
    <w:rsid w:val="00C24688"/>
    <w:rsid w:val="00C246EB"/>
    <w:rsid w:val="00C24787"/>
    <w:rsid w:val="00C24790"/>
    <w:rsid w:val="00C24797"/>
    <w:rsid w:val="00C2479D"/>
    <w:rsid w:val="00C247E1"/>
    <w:rsid w:val="00C24804"/>
    <w:rsid w:val="00C24830"/>
    <w:rsid w:val="00C24833"/>
    <w:rsid w:val="00C24859"/>
    <w:rsid w:val="00C24877"/>
    <w:rsid w:val="00C24879"/>
    <w:rsid w:val="00C24889"/>
    <w:rsid w:val="00C2489A"/>
    <w:rsid w:val="00C248A4"/>
    <w:rsid w:val="00C248D4"/>
    <w:rsid w:val="00C248D6"/>
    <w:rsid w:val="00C2490A"/>
    <w:rsid w:val="00C24939"/>
    <w:rsid w:val="00C24976"/>
    <w:rsid w:val="00C24998"/>
    <w:rsid w:val="00C249A8"/>
    <w:rsid w:val="00C249B7"/>
    <w:rsid w:val="00C249F5"/>
    <w:rsid w:val="00C24A09"/>
    <w:rsid w:val="00C24A52"/>
    <w:rsid w:val="00C24AEF"/>
    <w:rsid w:val="00C24B03"/>
    <w:rsid w:val="00C24B36"/>
    <w:rsid w:val="00C24B43"/>
    <w:rsid w:val="00C24B77"/>
    <w:rsid w:val="00C24BC9"/>
    <w:rsid w:val="00C24BCC"/>
    <w:rsid w:val="00C24C0E"/>
    <w:rsid w:val="00C24C20"/>
    <w:rsid w:val="00C24C44"/>
    <w:rsid w:val="00C24C9A"/>
    <w:rsid w:val="00C24CA4"/>
    <w:rsid w:val="00C24CAD"/>
    <w:rsid w:val="00C24CD4"/>
    <w:rsid w:val="00C24CF1"/>
    <w:rsid w:val="00C24D23"/>
    <w:rsid w:val="00C24D26"/>
    <w:rsid w:val="00C24D98"/>
    <w:rsid w:val="00C24DBE"/>
    <w:rsid w:val="00C24DE2"/>
    <w:rsid w:val="00C24E1D"/>
    <w:rsid w:val="00C24E54"/>
    <w:rsid w:val="00C24E5E"/>
    <w:rsid w:val="00C24E6D"/>
    <w:rsid w:val="00C24E80"/>
    <w:rsid w:val="00C24EA7"/>
    <w:rsid w:val="00C24EAB"/>
    <w:rsid w:val="00C24EDD"/>
    <w:rsid w:val="00C24F1F"/>
    <w:rsid w:val="00C24F3D"/>
    <w:rsid w:val="00C24F5C"/>
    <w:rsid w:val="00C24F7C"/>
    <w:rsid w:val="00C24F9B"/>
    <w:rsid w:val="00C24FC1"/>
    <w:rsid w:val="00C2504F"/>
    <w:rsid w:val="00C2505F"/>
    <w:rsid w:val="00C2506A"/>
    <w:rsid w:val="00C2506B"/>
    <w:rsid w:val="00C250A9"/>
    <w:rsid w:val="00C250AF"/>
    <w:rsid w:val="00C250C9"/>
    <w:rsid w:val="00C2511D"/>
    <w:rsid w:val="00C2513B"/>
    <w:rsid w:val="00C25196"/>
    <w:rsid w:val="00C251AD"/>
    <w:rsid w:val="00C251CE"/>
    <w:rsid w:val="00C251E9"/>
    <w:rsid w:val="00C25205"/>
    <w:rsid w:val="00C2525B"/>
    <w:rsid w:val="00C25261"/>
    <w:rsid w:val="00C252A0"/>
    <w:rsid w:val="00C25322"/>
    <w:rsid w:val="00C25323"/>
    <w:rsid w:val="00C253C7"/>
    <w:rsid w:val="00C253D6"/>
    <w:rsid w:val="00C253DB"/>
    <w:rsid w:val="00C253FE"/>
    <w:rsid w:val="00C25417"/>
    <w:rsid w:val="00C2548D"/>
    <w:rsid w:val="00C254CB"/>
    <w:rsid w:val="00C25520"/>
    <w:rsid w:val="00C25531"/>
    <w:rsid w:val="00C25550"/>
    <w:rsid w:val="00C2556D"/>
    <w:rsid w:val="00C2561D"/>
    <w:rsid w:val="00C2566F"/>
    <w:rsid w:val="00C2568D"/>
    <w:rsid w:val="00C2569D"/>
    <w:rsid w:val="00C256C2"/>
    <w:rsid w:val="00C256C8"/>
    <w:rsid w:val="00C256EA"/>
    <w:rsid w:val="00C256F8"/>
    <w:rsid w:val="00C2578B"/>
    <w:rsid w:val="00C2580E"/>
    <w:rsid w:val="00C25811"/>
    <w:rsid w:val="00C2584B"/>
    <w:rsid w:val="00C258AA"/>
    <w:rsid w:val="00C258AB"/>
    <w:rsid w:val="00C25920"/>
    <w:rsid w:val="00C2592E"/>
    <w:rsid w:val="00C2592F"/>
    <w:rsid w:val="00C25954"/>
    <w:rsid w:val="00C2596A"/>
    <w:rsid w:val="00C25971"/>
    <w:rsid w:val="00C25974"/>
    <w:rsid w:val="00C25975"/>
    <w:rsid w:val="00C2597B"/>
    <w:rsid w:val="00C2598D"/>
    <w:rsid w:val="00C25A27"/>
    <w:rsid w:val="00C25A2E"/>
    <w:rsid w:val="00C25A4E"/>
    <w:rsid w:val="00C25A52"/>
    <w:rsid w:val="00C25A56"/>
    <w:rsid w:val="00C25A88"/>
    <w:rsid w:val="00C25AC7"/>
    <w:rsid w:val="00C25B0A"/>
    <w:rsid w:val="00C25B3D"/>
    <w:rsid w:val="00C25B46"/>
    <w:rsid w:val="00C25B8D"/>
    <w:rsid w:val="00C25BA3"/>
    <w:rsid w:val="00C25BB0"/>
    <w:rsid w:val="00C25C0E"/>
    <w:rsid w:val="00C25C32"/>
    <w:rsid w:val="00C25C77"/>
    <w:rsid w:val="00C25C94"/>
    <w:rsid w:val="00C25CDC"/>
    <w:rsid w:val="00C25CED"/>
    <w:rsid w:val="00C25D28"/>
    <w:rsid w:val="00C25D33"/>
    <w:rsid w:val="00C25D7E"/>
    <w:rsid w:val="00C25D8A"/>
    <w:rsid w:val="00C25D96"/>
    <w:rsid w:val="00C25DA7"/>
    <w:rsid w:val="00C25DC9"/>
    <w:rsid w:val="00C25DE9"/>
    <w:rsid w:val="00C25DF4"/>
    <w:rsid w:val="00C25EAC"/>
    <w:rsid w:val="00C25EB9"/>
    <w:rsid w:val="00C25F7F"/>
    <w:rsid w:val="00C25F96"/>
    <w:rsid w:val="00C25FA9"/>
    <w:rsid w:val="00C25FB4"/>
    <w:rsid w:val="00C25FC7"/>
    <w:rsid w:val="00C25FE5"/>
    <w:rsid w:val="00C25FED"/>
    <w:rsid w:val="00C2601B"/>
    <w:rsid w:val="00C2604C"/>
    <w:rsid w:val="00C2605D"/>
    <w:rsid w:val="00C26090"/>
    <w:rsid w:val="00C260A3"/>
    <w:rsid w:val="00C260E4"/>
    <w:rsid w:val="00C260EE"/>
    <w:rsid w:val="00C26102"/>
    <w:rsid w:val="00C26157"/>
    <w:rsid w:val="00C2615D"/>
    <w:rsid w:val="00C26188"/>
    <w:rsid w:val="00C261DA"/>
    <w:rsid w:val="00C261E1"/>
    <w:rsid w:val="00C26200"/>
    <w:rsid w:val="00C26216"/>
    <w:rsid w:val="00C262B2"/>
    <w:rsid w:val="00C262B8"/>
    <w:rsid w:val="00C262BC"/>
    <w:rsid w:val="00C262FA"/>
    <w:rsid w:val="00C262FB"/>
    <w:rsid w:val="00C2630A"/>
    <w:rsid w:val="00C26372"/>
    <w:rsid w:val="00C26406"/>
    <w:rsid w:val="00C26420"/>
    <w:rsid w:val="00C2645A"/>
    <w:rsid w:val="00C26481"/>
    <w:rsid w:val="00C2650F"/>
    <w:rsid w:val="00C26540"/>
    <w:rsid w:val="00C2654E"/>
    <w:rsid w:val="00C2656B"/>
    <w:rsid w:val="00C26590"/>
    <w:rsid w:val="00C265A6"/>
    <w:rsid w:val="00C265B8"/>
    <w:rsid w:val="00C265F3"/>
    <w:rsid w:val="00C2660A"/>
    <w:rsid w:val="00C2662B"/>
    <w:rsid w:val="00C2665B"/>
    <w:rsid w:val="00C266A6"/>
    <w:rsid w:val="00C266C7"/>
    <w:rsid w:val="00C266F6"/>
    <w:rsid w:val="00C26702"/>
    <w:rsid w:val="00C26731"/>
    <w:rsid w:val="00C26734"/>
    <w:rsid w:val="00C26784"/>
    <w:rsid w:val="00C26799"/>
    <w:rsid w:val="00C267AF"/>
    <w:rsid w:val="00C267C2"/>
    <w:rsid w:val="00C267D2"/>
    <w:rsid w:val="00C267DE"/>
    <w:rsid w:val="00C26852"/>
    <w:rsid w:val="00C2686E"/>
    <w:rsid w:val="00C2686F"/>
    <w:rsid w:val="00C268D0"/>
    <w:rsid w:val="00C2691A"/>
    <w:rsid w:val="00C26934"/>
    <w:rsid w:val="00C2693C"/>
    <w:rsid w:val="00C26953"/>
    <w:rsid w:val="00C2696A"/>
    <w:rsid w:val="00C26972"/>
    <w:rsid w:val="00C26984"/>
    <w:rsid w:val="00C269A2"/>
    <w:rsid w:val="00C269C8"/>
    <w:rsid w:val="00C269DA"/>
    <w:rsid w:val="00C269E3"/>
    <w:rsid w:val="00C26A07"/>
    <w:rsid w:val="00C26A46"/>
    <w:rsid w:val="00C26A73"/>
    <w:rsid w:val="00C26AB2"/>
    <w:rsid w:val="00C26AE9"/>
    <w:rsid w:val="00C26B99"/>
    <w:rsid w:val="00C26BC8"/>
    <w:rsid w:val="00C26BEF"/>
    <w:rsid w:val="00C26C43"/>
    <w:rsid w:val="00C26C99"/>
    <w:rsid w:val="00C26CD3"/>
    <w:rsid w:val="00C26CE1"/>
    <w:rsid w:val="00C26D6B"/>
    <w:rsid w:val="00C26D6D"/>
    <w:rsid w:val="00C26D75"/>
    <w:rsid w:val="00C26D8E"/>
    <w:rsid w:val="00C26D8F"/>
    <w:rsid w:val="00C26D9B"/>
    <w:rsid w:val="00C26E01"/>
    <w:rsid w:val="00C26E23"/>
    <w:rsid w:val="00C26E68"/>
    <w:rsid w:val="00C26E6A"/>
    <w:rsid w:val="00C26E78"/>
    <w:rsid w:val="00C26E92"/>
    <w:rsid w:val="00C26EB2"/>
    <w:rsid w:val="00C26ED5"/>
    <w:rsid w:val="00C26F1B"/>
    <w:rsid w:val="00C26F38"/>
    <w:rsid w:val="00C26F53"/>
    <w:rsid w:val="00C26FDB"/>
    <w:rsid w:val="00C26FE1"/>
    <w:rsid w:val="00C2700A"/>
    <w:rsid w:val="00C2703F"/>
    <w:rsid w:val="00C27041"/>
    <w:rsid w:val="00C2711B"/>
    <w:rsid w:val="00C27190"/>
    <w:rsid w:val="00C271E7"/>
    <w:rsid w:val="00C27236"/>
    <w:rsid w:val="00C2724E"/>
    <w:rsid w:val="00C27264"/>
    <w:rsid w:val="00C27294"/>
    <w:rsid w:val="00C272D9"/>
    <w:rsid w:val="00C272DE"/>
    <w:rsid w:val="00C27311"/>
    <w:rsid w:val="00C2736C"/>
    <w:rsid w:val="00C27396"/>
    <w:rsid w:val="00C273B5"/>
    <w:rsid w:val="00C273B6"/>
    <w:rsid w:val="00C273C1"/>
    <w:rsid w:val="00C273CC"/>
    <w:rsid w:val="00C273FE"/>
    <w:rsid w:val="00C2747B"/>
    <w:rsid w:val="00C2748C"/>
    <w:rsid w:val="00C27494"/>
    <w:rsid w:val="00C274A1"/>
    <w:rsid w:val="00C274E6"/>
    <w:rsid w:val="00C27521"/>
    <w:rsid w:val="00C2752F"/>
    <w:rsid w:val="00C2753E"/>
    <w:rsid w:val="00C27541"/>
    <w:rsid w:val="00C2756A"/>
    <w:rsid w:val="00C27579"/>
    <w:rsid w:val="00C275CF"/>
    <w:rsid w:val="00C275DD"/>
    <w:rsid w:val="00C27616"/>
    <w:rsid w:val="00C27654"/>
    <w:rsid w:val="00C2766A"/>
    <w:rsid w:val="00C276B2"/>
    <w:rsid w:val="00C276BC"/>
    <w:rsid w:val="00C276C1"/>
    <w:rsid w:val="00C27702"/>
    <w:rsid w:val="00C27743"/>
    <w:rsid w:val="00C27747"/>
    <w:rsid w:val="00C27752"/>
    <w:rsid w:val="00C2778C"/>
    <w:rsid w:val="00C2779C"/>
    <w:rsid w:val="00C277C3"/>
    <w:rsid w:val="00C2781E"/>
    <w:rsid w:val="00C27852"/>
    <w:rsid w:val="00C2785F"/>
    <w:rsid w:val="00C278D8"/>
    <w:rsid w:val="00C2796C"/>
    <w:rsid w:val="00C27994"/>
    <w:rsid w:val="00C279B9"/>
    <w:rsid w:val="00C279C9"/>
    <w:rsid w:val="00C27A65"/>
    <w:rsid w:val="00C27A74"/>
    <w:rsid w:val="00C27A7A"/>
    <w:rsid w:val="00C27A9D"/>
    <w:rsid w:val="00C27A9F"/>
    <w:rsid w:val="00C27AA5"/>
    <w:rsid w:val="00C27AB6"/>
    <w:rsid w:val="00C27ACC"/>
    <w:rsid w:val="00C27B0E"/>
    <w:rsid w:val="00C27B18"/>
    <w:rsid w:val="00C27B51"/>
    <w:rsid w:val="00C27B6F"/>
    <w:rsid w:val="00C27B93"/>
    <w:rsid w:val="00C27C38"/>
    <w:rsid w:val="00C27C6D"/>
    <w:rsid w:val="00C27CC1"/>
    <w:rsid w:val="00C27D3B"/>
    <w:rsid w:val="00C27D72"/>
    <w:rsid w:val="00C27D74"/>
    <w:rsid w:val="00C27D87"/>
    <w:rsid w:val="00C27D8C"/>
    <w:rsid w:val="00C27D9E"/>
    <w:rsid w:val="00C27DA4"/>
    <w:rsid w:val="00C27DEC"/>
    <w:rsid w:val="00C27DF3"/>
    <w:rsid w:val="00C27E36"/>
    <w:rsid w:val="00C27E38"/>
    <w:rsid w:val="00C27E48"/>
    <w:rsid w:val="00C27E5D"/>
    <w:rsid w:val="00C27E60"/>
    <w:rsid w:val="00C27E85"/>
    <w:rsid w:val="00C27ED7"/>
    <w:rsid w:val="00C27F03"/>
    <w:rsid w:val="00C27F51"/>
    <w:rsid w:val="00C27FCE"/>
    <w:rsid w:val="00C3001C"/>
    <w:rsid w:val="00C30028"/>
    <w:rsid w:val="00C3005B"/>
    <w:rsid w:val="00C30069"/>
    <w:rsid w:val="00C300B2"/>
    <w:rsid w:val="00C300D0"/>
    <w:rsid w:val="00C30121"/>
    <w:rsid w:val="00C3012D"/>
    <w:rsid w:val="00C30149"/>
    <w:rsid w:val="00C301A1"/>
    <w:rsid w:val="00C301A8"/>
    <w:rsid w:val="00C301F7"/>
    <w:rsid w:val="00C30200"/>
    <w:rsid w:val="00C3021B"/>
    <w:rsid w:val="00C30255"/>
    <w:rsid w:val="00C30278"/>
    <w:rsid w:val="00C302C3"/>
    <w:rsid w:val="00C302C9"/>
    <w:rsid w:val="00C302D4"/>
    <w:rsid w:val="00C302FB"/>
    <w:rsid w:val="00C30326"/>
    <w:rsid w:val="00C303EA"/>
    <w:rsid w:val="00C30480"/>
    <w:rsid w:val="00C3049D"/>
    <w:rsid w:val="00C304B6"/>
    <w:rsid w:val="00C304C6"/>
    <w:rsid w:val="00C304D3"/>
    <w:rsid w:val="00C30570"/>
    <w:rsid w:val="00C305AF"/>
    <w:rsid w:val="00C305CA"/>
    <w:rsid w:val="00C305CC"/>
    <w:rsid w:val="00C305FF"/>
    <w:rsid w:val="00C30613"/>
    <w:rsid w:val="00C30634"/>
    <w:rsid w:val="00C3063B"/>
    <w:rsid w:val="00C30679"/>
    <w:rsid w:val="00C306C4"/>
    <w:rsid w:val="00C306F1"/>
    <w:rsid w:val="00C306F3"/>
    <w:rsid w:val="00C30717"/>
    <w:rsid w:val="00C3074B"/>
    <w:rsid w:val="00C30757"/>
    <w:rsid w:val="00C307F9"/>
    <w:rsid w:val="00C30818"/>
    <w:rsid w:val="00C30830"/>
    <w:rsid w:val="00C308E2"/>
    <w:rsid w:val="00C30906"/>
    <w:rsid w:val="00C3090C"/>
    <w:rsid w:val="00C30956"/>
    <w:rsid w:val="00C30964"/>
    <w:rsid w:val="00C30971"/>
    <w:rsid w:val="00C309C5"/>
    <w:rsid w:val="00C309DA"/>
    <w:rsid w:val="00C309E3"/>
    <w:rsid w:val="00C30A2A"/>
    <w:rsid w:val="00C30A74"/>
    <w:rsid w:val="00C30A77"/>
    <w:rsid w:val="00C30ABD"/>
    <w:rsid w:val="00C30AD4"/>
    <w:rsid w:val="00C30AE2"/>
    <w:rsid w:val="00C30AF7"/>
    <w:rsid w:val="00C30B02"/>
    <w:rsid w:val="00C30B7E"/>
    <w:rsid w:val="00C30BD3"/>
    <w:rsid w:val="00C30BDE"/>
    <w:rsid w:val="00C30C4D"/>
    <w:rsid w:val="00C30C52"/>
    <w:rsid w:val="00C30C55"/>
    <w:rsid w:val="00C30C6E"/>
    <w:rsid w:val="00C30CD8"/>
    <w:rsid w:val="00C30D6C"/>
    <w:rsid w:val="00C30D7B"/>
    <w:rsid w:val="00C30DFE"/>
    <w:rsid w:val="00C30E00"/>
    <w:rsid w:val="00C30E04"/>
    <w:rsid w:val="00C30E81"/>
    <w:rsid w:val="00C30F0A"/>
    <w:rsid w:val="00C30F24"/>
    <w:rsid w:val="00C30F31"/>
    <w:rsid w:val="00C30FA8"/>
    <w:rsid w:val="00C30FDC"/>
    <w:rsid w:val="00C30FE6"/>
    <w:rsid w:val="00C3100B"/>
    <w:rsid w:val="00C3105B"/>
    <w:rsid w:val="00C31071"/>
    <w:rsid w:val="00C31083"/>
    <w:rsid w:val="00C310AE"/>
    <w:rsid w:val="00C310BD"/>
    <w:rsid w:val="00C31137"/>
    <w:rsid w:val="00C31151"/>
    <w:rsid w:val="00C311F7"/>
    <w:rsid w:val="00C31209"/>
    <w:rsid w:val="00C3121A"/>
    <w:rsid w:val="00C3121E"/>
    <w:rsid w:val="00C31255"/>
    <w:rsid w:val="00C312F1"/>
    <w:rsid w:val="00C31321"/>
    <w:rsid w:val="00C31330"/>
    <w:rsid w:val="00C3133F"/>
    <w:rsid w:val="00C31390"/>
    <w:rsid w:val="00C313AD"/>
    <w:rsid w:val="00C313DB"/>
    <w:rsid w:val="00C313E6"/>
    <w:rsid w:val="00C313FF"/>
    <w:rsid w:val="00C31482"/>
    <w:rsid w:val="00C3149D"/>
    <w:rsid w:val="00C31502"/>
    <w:rsid w:val="00C31529"/>
    <w:rsid w:val="00C315C0"/>
    <w:rsid w:val="00C31601"/>
    <w:rsid w:val="00C31648"/>
    <w:rsid w:val="00C31664"/>
    <w:rsid w:val="00C31668"/>
    <w:rsid w:val="00C316C6"/>
    <w:rsid w:val="00C316E8"/>
    <w:rsid w:val="00C316FA"/>
    <w:rsid w:val="00C31727"/>
    <w:rsid w:val="00C31736"/>
    <w:rsid w:val="00C31781"/>
    <w:rsid w:val="00C3178B"/>
    <w:rsid w:val="00C317A4"/>
    <w:rsid w:val="00C317D4"/>
    <w:rsid w:val="00C317F7"/>
    <w:rsid w:val="00C3180E"/>
    <w:rsid w:val="00C31825"/>
    <w:rsid w:val="00C31833"/>
    <w:rsid w:val="00C31840"/>
    <w:rsid w:val="00C3184B"/>
    <w:rsid w:val="00C318A9"/>
    <w:rsid w:val="00C318FD"/>
    <w:rsid w:val="00C31A7F"/>
    <w:rsid w:val="00C31A87"/>
    <w:rsid w:val="00C31AFB"/>
    <w:rsid w:val="00C31B2E"/>
    <w:rsid w:val="00C31B42"/>
    <w:rsid w:val="00C31B45"/>
    <w:rsid w:val="00C31B4A"/>
    <w:rsid w:val="00C31B89"/>
    <w:rsid w:val="00C31BF1"/>
    <w:rsid w:val="00C31CA1"/>
    <w:rsid w:val="00C31CAB"/>
    <w:rsid w:val="00C31CCE"/>
    <w:rsid w:val="00C31CD7"/>
    <w:rsid w:val="00C31CF6"/>
    <w:rsid w:val="00C31D01"/>
    <w:rsid w:val="00C31D34"/>
    <w:rsid w:val="00C31D36"/>
    <w:rsid w:val="00C31DA7"/>
    <w:rsid w:val="00C31DBF"/>
    <w:rsid w:val="00C31DCA"/>
    <w:rsid w:val="00C31DD2"/>
    <w:rsid w:val="00C31DDC"/>
    <w:rsid w:val="00C31DEC"/>
    <w:rsid w:val="00C31E50"/>
    <w:rsid w:val="00C31E55"/>
    <w:rsid w:val="00C31E9F"/>
    <w:rsid w:val="00C31EC6"/>
    <w:rsid w:val="00C31ECA"/>
    <w:rsid w:val="00C31ED7"/>
    <w:rsid w:val="00C31F88"/>
    <w:rsid w:val="00C31FBA"/>
    <w:rsid w:val="00C31FE2"/>
    <w:rsid w:val="00C3204A"/>
    <w:rsid w:val="00C32096"/>
    <w:rsid w:val="00C320A5"/>
    <w:rsid w:val="00C320EC"/>
    <w:rsid w:val="00C320F8"/>
    <w:rsid w:val="00C32110"/>
    <w:rsid w:val="00C32118"/>
    <w:rsid w:val="00C32137"/>
    <w:rsid w:val="00C3215C"/>
    <w:rsid w:val="00C32166"/>
    <w:rsid w:val="00C321E2"/>
    <w:rsid w:val="00C321EF"/>
    <w:rsid w:val="00C321F3"/>
    <w:rsid w:val="00C321FE"/>
    <w:rsid w:val="00C3223C"/>
    <w:rsid w:val="00C32260"/>
    <w:rsid w:val="00C322AC"/>
    <w:rsid w:val="00C3230A"/>
    <w:rsid w:val="00C32344"/>
    <w:rsid w:val="00C32383"/>
    <w:rsid w:val="00C3238E"/>
    <w:rsid w:val="00C32391"/>
    <w:rsid w:val="00C323FF"/>
    <w:rsid w:val="00C32413"/>
    <w:rsid w:val="00C32426"/>
    <w:rsid w:val="00C32478"/>
    <w:rsid w:val="00C324A8"/>
    <w:rsid w:val="00C324AF"/>
    <w:rsid w:val="00C324F1"/>
    <w:rsid w:val="00C3252F"/>
    <w:rsid w:val="00C32590"/>
    <w:rsid w:val="00C32599"/>
    <w:rsid w:val="00C325DA"/>
    <w:rsid w:val="00C32611"/>
    <w:rsid w:val="00C32618"/>
    <w:rsid w:val="00C32621"/>
    <w:rsid w:val="00C3265D"/>
    <w:rsid w:val="00C3269D"/>
    <w:rsid w:val="00C326A6"/>
    <w:rsid w:val="00C326B0"/>
    <w:rsid w:val="00C326D5"/>
    <w:rsid w:val="00C326E2"/>
    <w:rsid w:val="00C326E5"/>
    <w:rsid w:val="00C32728"/>
    <w:rsid w:val="00C3274D"/>
    <w:rsid w:val="00C32774"/>
    <w:rsid w:val="00C3279F"/>
    <w:rsid w:val="00C327CE"/>
    <w:rsid w:val="00C327D0"/>
    <w:rsid w:val="00C3286A"/>
    <w:rsid w:val="00C3287F"/>
    <w:rsid w:val="00C328BC"/>
    <w:rsid w:val="00C328E1"/>
    <w:rsid w:val="00C3290D"/>
    <w:rsid w:val="00C32949"/>
    <w:rsid w:val="00C32954"/>
    <w:rsid w:val="00C32960"/>
    <w:rsid w:val="00C3298E"/>
    <w:rsid w:val="00C329A6"/>
    <w:rsid w:val="00C329D6"/>
    <w:rsid w:val="00C32A2B"/>
    <w:rsid w:val="00C32A2C"/>
    <w:rsid w:val="00C32A6C"/>
    <w:rsid w:val="00C32A74"/>
    <w:rsid w:val="00C32AE9"/>
    <w:rsid w:val="00C32AF5"/>
    <w:rsid w:val="00C32B1D"/>
    <w:rsid w:val="00C32B69"/>
    <w:rsid w:val="00C32B73"/>
    <w:rsid w:val="00C32BD2"/>
    <w:rsid w:val="00C32BED"/>
    <w:rsid w:val="00C32BEF"/>
    <w:rsid w:val="00C32BF1"/>
    <w:rsid w:val="00C32C23"/>
    <w:rsid w:val="00C32C2D"/>
    <w:rsid w:val="00C32C4C"/>
    <w:rsid w:val="00C32C65"/>
    <w:rsid w:val="00C32C8D"/>
    <w:rsid w:val="00C32C91"/>
    <w:rsid w:val="00C32CC0"/>
    <w:rsid w:val="00C32CC8"/>
    <w:rsid w:val="00C32CF7"/>
    <w:rsid w:val="00C32D1C"/>
    <w:rsid w:val="00C32DAC"/>
    <w:rsid w:val="00C32DC7"/>
    <w:rsid w:val="00C32DD9"/>
    <w:rsid w:val="00C32DF2"/>
    <w:rsid w:val="00C32E03"/>
    <w:rsid w:val="00C32E11"/>
    <w:rsid w:val="00C32E13"/>
    <w:rsid w:val="00C32E1C"/>
    <w:rsid w:val="00C32E1D"/>
    <w:rsid w:val="00C32E5E"/>
    <w:rsid w:val="00C32E96"/>
    <w:rsid w:val="00C32EC6"/>
    <w:rsid w:val="00C32F45"/>
    <w:rsid w:val="00C32F6A"/>
    <w:rsid w:val="00C32F6F"/>
    <w:rsid w:val="00C32FC2"/>
    <w:rsid w:val="00C32FCD"/>
    <w:rsid w:val="00C32FEE"/>
    <w:rsid w:val="00C33009"/>
    <w:rsid w:val="00C33077"/>
    <w:rsid w:val="00C330A5"/>
    <w:rsid w:val="00C330A8"/>
    <w:rsid w:val="00C330AD"/>
    <w:rsid w:val="00C330B2"/>
    <w:rsid w:val="00C330DA"/>
    <w:rsid w:val="00C330DB"/>
    <w:rsid w:val="00C33129"/>
    <w:rsid w:val="00C33173"/>
    <w:rsid w:val="00C33178"/>
    <w:rsid w:val="00C3317C"/>
    <w:rsid w:val="00C331AB"/>
    <w:rsid w:val="00C3323E"/>
    <w:rsid w:val="00C3327D"/>
    <w:rsid w:val="00C332A8"/>
    <w:rsid w:val="00C3339F"/>
    <w:rsid w:val="00C333AE"/>
    <w:rsid w:val="00C333C3"/>
    <w:rsid w:val="00C333F6"/>
    <w:rsid w:val="00C33400"/>
    <w:rsid w:val="00C33429"/>
    <w:rsid w:val="00C33444"/>
    <w:rsid w:val="00C3349B"/>
    <w:rsid w:val="00C334F6"/>
    <w:rsid w:val="00C33508"/>
    <w:rsid w:val="00C33519"/>
    <w:rsid w:val="00C33534"/>
    <w:rsid w:val="00C3353F"/>
    <w:rsid w:val="00C33639"/>
    <w:rsid w:val="00C33647"/>
    <w:rsid w:val="00C33650"/>
    <w:rsid w:val="00C33663"/>
    <w:rsid w:val="00C3368A"/>
    <w:rsid w:val="00C336EA"/>
    <w:rsid w:val="00C3371F"/>
    <w:rsid w:val="00C3373D"/>
    <w:rsid w:val="00C337B0"/>
    <w:rsid w:val="00C3381E"/>
    <w:rsid w:val="00C3381F"/>
    <w:rsid w:val="00C3385A"/>
    <w:rsid w:val="00C3386D"/>
    <w:rsid w:val="00C338F1"/>
    <w:rsid w:val="00C338FD"/>
    <w:rsid w:val="00C33908"/>
    <w:rsid w:val="00C3391F"/>
    <w:rsid w:val="00C3395E"/>
    <w:rsid w:val="00C33975"/>
    <w:rsid w:val="00C3397F"/>
    <w:rsid w:val="00C33986"/>
    <w:rsid w:val="00C33990"/>
    <w:rsid w:val="00C339BB"/>
    <w:rsid w:val="00C339C2"/>
    <w:rsid w:val="00C33A6E"/>
    <w:rsid w:val="00C33AB4"/>
    <w:rsid w:val="00C33AC5"/>
    <w:rsid w:val="00C33B20"/>
    <w:rsid w:val="00C33B3F"/>
    <w:rsid w:val="00C33B64"/>
    <w:rsid w:val="00C33B80"/>
    <w:rsid w:val="00C33B82"/>
    <w:rsid w:val="00C33B86"/>
    <w:rsid w:val="00C33BA2"/>
    <w:rsid w:val="00C33BB7"/>
    <w:rsid w:val="00C33BE4"/>
    <w:rsid w:val="00C33BEE"/>
    <w:rsid w:val="00C33C1A"/>
    <w:rsid w:val="00C33C4A"/>
    <w:rsid w:val="00C33C7E"/>
    <w:rsid w:val="00C33CB8"/>
    <w:rsid w:val="00C33D0A"/>
    <w:rsid w:val="00C33DB6"/>
    <w:rsid w:val="00C33DD1"/>
    <w:rsid w:val="00C33DF9"/>
    <w:rsid w:val="00C33E45"/>
    <w:rsid w:val="00C33E73"/>
    <w:rsid w:val="00C33EF7"/>
    <w:rsid w:val="00C33F94"/>
    <w:rsid w:val="00C33FB5"/>
    <w:rsid w:val="00C33FDD"/>
    <w:rsid w:val="00C33FFE"/>
    <w:rsid w:val="00C34002"/>
    <w:rsid w:val="00C34059"/>
    <w:rsid w:val="00C3406D"/>
    <w:rsid w:val="00C3409B"/>
    <w:rsid w:val="00C340C7"/>
    <w:rsid w:val="00C340EC"/>
    <w:rsid w:val="00C34118"/>
    <w:rsid w:val="00C34129"/>
    <w:rsid w:val="00C34133"/>
    <w:rsid w:val="00C34141"/>
    <w:rsid w:val="00C34144"/>
    <w:rsid w:val="00C34191"/>
    <w:rsid w:val="00C341A1"/>
    <w:rsid w:val="00C341AD"/>
    <w:rsid w:val="00C34237"/>
    <w:rsid w:val="00C342AC"/>
    <w:rsid w:val="00C342E5"/>
    <w:rsid w:val="00C3431F"/>
    <w:rsid w:val="00C34367"/>
    <w:rsid w:val="00C34381"/>
    <w:rsid w:val="00C343CB"/>
    <w:rsid w:val="00C343DA"/>
    <w:rsid w:val="00C343F7"/>
    <w:rsid w:val="00C34408"/>
    <w:rsid w:val="00C34410"/>
    <w:rsid w:val="00C3447A"/>
    <w:rsid w:val="00C34489"/>
    <w:rsid w:val="00C344BD"/>
    <w:rsid w:val="00C344C5"/>
    <w:rsid w:val="00C344DD"/>
    <w:rsid w:val="00C34516"/>
    <w:rsid w:val="00C3451D"/>
    <w:rsid w:val="00C34547"/>
    <w:rsid w:val="00C34555"/>
    <w:rsid w:val="00C3455E"/>
    <w:rsid w:val="00C345D7"/>
    <w:rsid w:val="00C345E4"/>
    <w:rsid w:val="00C345EC"/>
    <w:rsid w:val="00C345F4"/>
    <w:rsid w:val="00C34629"/>
    <w:rsid w:val="00C34648"/>
    <w:rsid w:val="00C34665"/>
    <w:rsid w:val="00C34690"/>
    <w:rsid w:val="00C346A2"/>
    <w:rsid w:val="00C346F4"/>
    <w:rsid w:val="00C34741"/>
    <w:rsid w:val="00C34758"/>
    <w:rsid w:val="00C3475B"/>
    <w:rsid w:val="00C3478F"/>
    <w:rsid w:val="00C34823"/>
    <w:rsid w:val="00C34829"/>
    <w:rsid w:val="00C34868"/>
    <w:rsid w:val="00C348A2"/>
    <w:rsid w:val="00C348C3"/>
    <w:rsid w:val="00C348CE"/>
    <w:rsid w:val="00C348DD"/>
    <w:rsid w:val="00C34926"/>
    <w:rsid w:val="00C34939"/>
    <w:rsid w:val="00C3496A"/>
    <w:rsid w:val="00C34970"/>
    <w:rsid w:val="00C349CA"/>
    <w:rsid w:val="00C349CB"/>
    <w:rsid w:val="00C349D5"/>
    <w:rsid w:val="00C349E9"/>
    <w:rsid w:val="00C349ED"/>
    <w:rsid w:val="00C349F6"/>
    <w:rsid w:val="00C34A1F"/>
    <w:rsid w:val="00C34A30"/>
    <w:rsid w:val="00C34A36"/>
    <w:rsid w:val="00C34A3A"/>
    <w:rsid w:val="00C34A79"/>
    <w:rsid w:val="00C34A86"/>
    <w:rsid w:val="00C34A8C"/>
    <w:rsid w:val="00C34AE9"/>
    <w:rsid w:val="00C34B0B"/>
    <w:rsid w:val="00C34B13"/>
    <w:rsid w:val="00C34B59"/>
    <w:rsid w:val="00C34BA2"/>
    <w:rsid w:val="00C34BB9"/>
    <w:rsid w:val="00C34BC8"/>
    <w:rsid w:val="00C34BE4"/>
    <w:rsid w:val="00C34C46"/>
    <w:rsid w:val="00C34C53"/>
    <w:rsid w:val="00C34C5F"/>
    <w:rsid w:val="00C34C70"/>
    <w:rsid w:val="00C34C78"/>
    <w:rsid w:val="00C34C7B"/>
    <w:rsid w:val="00C34CC6"/>
    <w:rsid w:val="00C34CD2"/>
    <w:rsid w:val="00C34CDB"/>
    <w:rsid w:val="00C34CF2"/>
    <w:rsid w:val="00C34CF3"/>
    <w:rsid w:val="00C34CF6"/>
    <w:rsid w:val="00C34D8B"/>
    <w:rsid w:val="00C34D94"/>
    <w:rsid w:val="00C34DAA"/>
    <w:rsid w:val="00C34DAF"/>
    <w:rsid w:val="00C34E00"/>
    <w:rsid w:val="00C34E47"/>
    <w:rsid w:val="00C34E4C"/>
    <w:rsid w:val="00C34E6E"/>
    <w:rsid w:val="00C34E9A"/>
    <w:rsid w:val="00C34EB1"/>
    <w:rsid w:val="00C34EDC"/>
    <w:rsid w:val="00C34F09"/>
    <w:rsid w:val="00C34F1C"/>
    <w:rsid w:val="00C34F27"/>
    <w:rsid w:val="00C34F33"/>
    <w:rsid w:val="00C34F6C"/>
    <w:rsid w:val="00C34F7B"/>
    <w:rsid w:val="00C34FBF"/>
    <w:rsid w:val="00C34FC5"/>
    <w:rsid w:val="00C34FCC"/>
    <w:rsid w:val="00C3502D"/>
    <w:rsid w:val="00C350CD"/>
    <w:rsid w:val="00C350D3"/>
    <w:rsid w:val="00C35136"/>
    <w:rsid w:val="00C3518C"/>
    <w:rsid w:val="00C351A6"/>
    <w:rsid w:val="00C351C1"/>
    <w:rsid w:val="00C351FA"/>
    <w:rsid w:val="00C35262"/>
    <w:rsid w:val="00C35286"/>
    <w:rsid w:val="00C35290"/>
    <w:rsid w:val="00C352F7"/>
    <w:rsid w:val="00C35324"/>
    <w:rsid w:val="00C3537C"/>
    <w:rsid w:val="00C35392"/>
    <w:rsid w:val="00C353AB"/>
    <w:rsid w:val="00C353E9"/>
    <w:rsid w:val="00C353ED"/>
    <w:rsid w:val="00C35453"/>
    <w:rsid w:val="00C35457"/>
    <w:rsid w:val="00C35458"/>
    <w:rsid w:val="00C354A3"/>
    <w:rsid w:val="00C354E0"/>
    <w:rsid w:val="00C3553B"/>
    <w:rsid w:val="00C35542"/>
    <w:rsid w:val="00C3554F"/>
    <w:rsid w:val="00C355CE"/>
    <w:rsid w:val="00C355FD"/>
    <w:rsid w:val="00C35604"/>
    <w:rsid w:val="00C35674"/>
    <w:rsid w:val="00C35747"/>
    <w:rsid w:val="00C35780"/>
    <w:rsid w:val="00C357DF"/>
    <w:rsid w:val="00C3581A"/>
    <w:rsid w:val="00C35827"/>
    <w:rsid w:val="00C3584F"/>
    <w:rsid w:val="00C3586C"/>
    <w:rsid w:val="00C3589B"/>
    <w:rsid w:val="00C358E6"/>
    <w:rsid w:val="00C358FF"/>
    <w:rsid w:val="00C35918"/>
    <w:rsid w:val="00C3591B"/>
    <w:rsid w:val="00C35971"/>
    <w:rsid w:val="00C3598F"/>
    <w:rsid w:val="00C359CA"/>
    <w:rsid w:val="00C359E0"/>
    <w:rsid w:val="00C359E1"/>
    <w:rsid w:val="00C35A88"/>
    <w:rsid w:val="00C35A94"/>
    <w:rsid w:val="00C35ABA"/>
    <w:rsid w:val="00C35AC8"/>
    <w:rsid w:val="00C35AEE"/>
    <w:rsid w:val="00C35AFD"/>
    <w:rsid w:val="00C35B20"/>
    <w:rsid w:val="00C35B3A"/>
    <w:rsid w:val="00C35B3D"/>
    <w:rsid w:val="00C35B63"/>
    <w:rsid w:val="00C35B65"/>
    <w:rsid w:val="00C35B7C"/>
    <w:rsid w:val="00C35BD2"/>
    <w:rsid w:val="00C35BF1"/>
    <w:rsid w:val="00C35C61"/>
    <w:rsid w:val="00C35C66"/>
    <w:rsid w:val="00C35C6D"/>
    <w:rsid w:val="00C35C92"/>
    <w:rsid w:val="00C35D6C"/>
    <w:rsid w:val="00C35DA5"/>
    <w:rsid w:val="00C35DED"/>
    <w:rsid w:val="00C35E0C"/>
    <w:rsid w:val="00C35E12"/>
    <w:rsid w:val="00C35E19"/>
    <w:rsid w:val="00C35F1D"/>
    <w:rsid w:val="00C35F59"/>
    <w:rsid w:val="00C35FE4"/>
    <w:rsid w:val="00C35FEA"/>
    <w:rsid w:val="00C35FEE"/>
    <w:rsid w:val="00C3602C"/>
    <w:rsid w:val="00C36030"/>
    <w:rsid w:val="00C36058"/>
    <w:rsid w:val="00C36067"/>
    <w:rsid w:val="00C3606C"/>
    <w:rsid w:val="00C36071"/>
    <w:rsid w:val="00C36082"/>
    <w:rsid w:val="00C360DC"/>
    <w:rsid w:val="00C360DE"/>
    <w:rsid w:val="00C3612E"/>
    <w:rsid w:val="00C361B6"/>
    <w:rsid w:val="00C361DA"/>
    <w:rsid w:val="00C361ED"/>
    <w:rsid w:val="00C36223"/>
    <w:rsid w:val="00C3623A"/>
    <w:rsid w:val="00C3624B"/>
    <w:rsid w:val="00C36268"/>
    <w:rsid w:val="00C36275"/>
    <w:rsid w:val="00C362A1"/>
    <w:rsid w:val="00C362EA"/>
    <w:rsid w:val="00C3633A"/>
    <w:rsid w:val="00C3635F"/>
    <w:rsid w:val="00C36373"/>
    <w:rsid w:val="00C363BE"/>
    <w:rsid w:val="00C363CC"/>
    <w:rsid w:val="00C363F5"/>
    <w:rsid w:val="00C363FE"/>
    <w:rsid w:val="00C36438"/>
    <w:rsid w:val="00C36455"/>
    <w:rsid w:val="00C36467"/>
    <w:rsid w:val="00C3649E"/>
    <w:rsid w:val="00C364DC"/>
    <w:rsid w:val="00C364DD"/>
    <w:rsid w:val="00C36521"/>
    <w:rsid w:val="00C3658F"/>
    <w:rsid w:val="00C3659F"/>
    <w:rsid w:val="00C36600"/>
    <w:rsid w:val="00C36641"/>
    <w:rsid w:val="00C36663"/>
    <w:rsid w:val="00C36692"/>
    <w:rsid w:val="00C366BD"/>
    <w:rsid w:val="00C366CF"/>
    <w:rsid w:val="00C366DA"/>
    <w:rsid w:val="00C366E5"/>
    <w:rsid w:val="00C366FB"/>
    <w:rsid w:val="00C36701"/>
    <w:rsid w:val="00C36794"/>
    <w:rsid w:val="00C367AD"/>
    <w:rsid w:val="00C367DC"/>
    <w:rsid w:val="00C367FA"/>
    <w:rsid w:val="00C36816"/>
    <w:rsid w:val="00C36819"/>
    <w:rsid w:val="00C3685E"/>
    <w:rsid w:val="00C368AA"/>
    <w:rsid w:val="00C368D8"/>
    <w:rsid w:val="00C368FC"/>
    <w:rsid w:val="00C36925"/>
    <w:rsid w:val="00C36937"/>
    <w:rsid w:val="00C3698E"/>
    <w:rsid w:val="00C369BB"/>
    <w:rsid w:val="00C369EC"/>
    <w:rsid w:val="00C36A70"/>
    <w:rsid w:val="00C36A7B"/>
    <w:rsid w:val="00C36AAA"/>
    <w:rsid w:val="00C36B01"/>
    <w:rsid w:val="00C36B3A"/>
    <w:rsid w:val="00C36B3E"/>
    <w:rsid w:val="00C36B59"/>
    <w:rsid w:val="00C36B5A"/>
    <w:rsid w:val="00C36B86"/>
    <w:rsid w:val="00C36B90"/>
    <w:rsid w:val="00C36BDF"/>
    <w:rsid w:val="00C36C29"/>
    <w:rsid w:val="00C36C42"/>
    <w:rsid w:val="00C36C59"/>
    <w:rsid w:val="00C36C76"/>
    <w:rsid w:val="00C36C98"/>
    <w:rsid w:val="00C36CAE"/>
    <w:rsid w:val="00C36CF9"/>
    <w:rsid w:val="00C36D8F"/>
    <w:rsid w:val="00C36D93"/>
    <w:rsid w:val="00C36E11"/>
    <w:rsid w:val="00C36E15"/>
    <w:rsid w:val="00C36E23"/>
    <w:rsid w:val="00C36E42"/>
    <w:rsid w:val="00C36E63"/>
    <w:rsid w:val="00C36E79"/>
    <w:rsid w:val="00C36EB4"/>
    <w:rsid w:val="00C36F0C"/>
    <w:rsid w:val="00C36F22"/>
    <w:rsid w:val="00C36F69"/>
    <w:rsid w:val="00C36FE6"/>
    <w:rsid w:val="00C36FF5"/>
    <w:rsid w:val="00C37019"/>
    <w:rsid w:val="00C37038"/>
    <w:rsid w:val="00C37056"/>
    <w:rsid w:val="00C3705A"/>
    <w:rsid w:val="00C3705C"/>
    <w:rsid w:val="00C370AF"/>
    <w:rsid w:val="00C370BB"/>
    <w:rsid w:val="00C370F4"/>
    <w:rsid w:val="00C3714F"/>
    <w:rsid w:val="00C37165"/>
    <w:rsid w:val="00C37176"/>
    <w:rsid w:val="00C371A6"/>
    <w:rsid w:val="00C371DB"/>
    <w:rsid w:val="00C37203"/>
    <w:rsid w:val="00C37209"/>
    <w:rsid w:val="00C372DC"/>
    <w:rsid w:val="00C37315"/>
    <w:rsid w:val="00C3731D"/>
    <w:rsid w:val="00C37341"/>
    <w:rsid w:val="00C37364"/>
    <w:rsid w:val="00C373C4"/>
    <w:rsid w:val="00C3741D"/>
    <w:rsid w:val="00C3749A"/>
    <w:rsid w:val="00C374A1"/>
    <w:rsid w:val="00C3750A"/>
    <w:rsid w:val="00C37569"/>
    <w:rsid w:val="00C37591"/>
    <w:rsid w:val="00C37592"/>
    <w:rsid w:val="00C3759E"/>
    <w:rsid w:val="00C375D1"/>
    <w:rsid w:val="00C37612"/>
    <w:rsid w:val="00C37695"/>
    <w:rsid w:val="00C3769D"/>
    <w:rsid w:val="00C37737"/>
    <w:rsid w:val="00C37778"/>
    <w:rsid w:val="00C3777B"/>
    <w:rsid w:val="00C3778A"/>
    <w:rsid w:val="00C377CE"/>
    <w:rsid w:val="00C377E5"/>
    <w:rsid w:val="00C377FA"/>
    <w:rsid w:val="00C37815"/>
    <w:rsid w:val="00C3786A"/>
    <w:rsid w:val="00C37885"/>
    <w:rsid w:val="00C37889"/>
    <w:rsid w:val="00C378C9"/>
    <w:rsid w:val="00C378EC"/>
    <w:rsid w:val="00C37986"/>
    <w:rsid w:val="00C379C5"/>
    <w:rsid w:val="00C379D5"/>
    <w:rsid w:val="00C379EE"/>
    <w:rsid w:val="00C379F4"/>
    <w:rsid w:val="00C37A19"/>
    <w:rsid w:val="00C37A6B"/>
    <w:rsid w:val="00C37AC2"/>
    <w:rsid w:val="00C37AE1"/>
    <w:rsid w:val="00C37B0A"/>
    <w:rsid w:val="00C37B30"/>
    <w:rsid w:val="00C37B5C"/>
    <w:rsid w:val="00C37BD8"/>
    <w:rsid w:val="00C37BF4"/>
    <w:rsid w:val="00C37C76"/>
    <w:rsid w:val="00C37C92"/>
    <w:rsid w:val="00C37C9E"/>
    <w:rsid w:val="00C37CA9"/>
    <w:rsid w:val="00C37CE5"/>
    <w:rsid w:val="00C37CE9"/>
    <w:rsid w:val="00C37D38"/>
    <w:rsid w:val="00C37D84"/>
    <w:rsid w:val="00C37D95"/>
    <w:rsid w:val="00C37DBB"/>
    <w:rsid w:val="00C37DBF"/>
    <w:rsid w:val="00C37DDE"/>
    <w:rsid w:val="00C37EBA"/>
    <w:rsid w:val="00C37EE5"/>
    <w:rsid w:val="00C37F08"/>
    <w:rsid w:val="00C37F10"/>
    <w:rsid w:val="00C37F1D"/>
    <w:rsid w:val="00C37F58"/>
    <w:rsid w:val="00C40015"/>
    <w:rsid w:val="00C4001C"/>
    <w:rsid w:val="00C4005A"/>
    <w:rsid w:val="00C40077"/>
    <w:rsid w:val="00C40091"/>
    <w:rsid w:val="00C400A2"/>
    <w:rsid w:val="00C400A5"/>
    <w:rsid w:val="00C400BF"/>
    <w:rsid w:val="00C400D4"/>
    <w:rsid w:val="00C400E7"/>
    <w:rsid w:val="00C40111"/>
    <w:rsid w:val="00C40129"/>
    <w:rsid w:val="00C40145"/>
    <w:rsid w:val="00C40149"/>
    <w:rsid w:val="00C40169"/>
    <w:rsid w:val="00C40187"/>
    <w:rsid w:val="00C40209"/>
    <w:rsid w:val="00C40224"/>
    <w:rsid w:val="00C4025B"/>
    <w:rsid w:val="00C40263"/>
    <w:rsid w:val="00C4026D"/>
    <w:rsid w:val="00C40297"/>
    <w:rsid w:val="00C4029E"/>
    <w:rsid w:val="00C402CB"/>
    <w:rsid w:val="00C402EA"/>
    <w:rsid w:val="00C4030E"/>
    <w:rsid w:val="00C40310"/>
    <w:rsid w:val="00C4031B"/>
    <w:rsid w:val="00C4031F"/>
    <w:rsid w:val="00C4032E"/>
    <w:rsid w:val="00C40371"/>
    <w:rsid w:val="00C403AB"/>
    <w:rsid w:val="00C403AF"/>
    <w:rsid w:val="00C403C8"/>
    <w:rsid w:val="00C40406"/>
    <w:rsid w:val="00C40410"/>
    <w:rsid w:val="00C4042B"/>
    <w:rsid w:val="00C4049F"/>
    <w:rsid w:val="00C404B5"/>
    <w:rsid w:val="00C404B9"/>
    <w:rsid w:val="00C404C2"/>
    <w:rsid w:val="00C40506"/>
    <w:rsid w:val="00C40525"/>
    <w:rsid w:val="00C4055F"/>
    <w:rsid w:val="00C4059C"/>
    <w:rsid w:val="00C4059E"/>
    <w:rsid w:val="00C405A5"/>
    <w:rsid w:val="00C405A9"/>
    <w:rsid w:val="00C405BC"/>
    <w:rsid w:val="00C405D9"/>
    <w:rsid w:val="00C405E6"/>
    <w:rsid w:val="00C40628"/>
    <w:rsid w:val="00C40695"/>
    <w:rsid w:val="00C406C3"/>
    <w:rsid w:val="00C406CD"/>
    <w:rsid w:val="00C40748"/>
    <w:rsid w:val="00C40757"/>
    <w:rsid w:val="00C40766"/>
    <w:rsid w:val="00C4076D"/>
    <w:rsid w:val="00C40785"/>
    <w:rsid w:val="00C40796"/>
    <w:rsid w:val="00C407F5"/>
    <w:rsid w:val="00C4081A"/>
    <w:rsid w:val="00C40871"/>
    <w:rsid w:val="00C40872"/>
    <w:rsid w:val="00C408A8"/>
    <w:rsid w:val="00C408EA"/>
    <w:rsid w:val="00C40953"/>
    <w:rsid w:val="00C40959"/>
    <w:rsid w:val="00C40999"/>
    <w:rsid w:val="00C409AD"/>
    <w:rsid w:val="00C409B8"/>
    <w:rsid w:val="00C409DC"/>
    <w:rsid w:val="00C409F5"/>
    <w:rsid w:val="00C40A23"/>
    <w:rsid w:val="00C40A63"/>
    <w:rsid w:val="00C40A83"/>
    <w:rsid w:val="00C40ABF"/>
    <w:rsid w:val="00C40AF7"/>
    <w:rsid w:val="00C40B1F"/>
    <w:rsid w:val="00C40B8F"/>
    <w:rsid w:val="00C40BD0"/>
    <w:rsid w:val="00C40CA6"/>
    <w:rsid w:val="00C40CC3"/>
    <w:rsid w:val="00C40CF5"/>
    <w:rsid w:val="00C40D08"/>
    <w:rsid w:val="00C40D31"/>
    <w:rsid w:val="00C40D57"/>
    <w:rsid w:val="00C40D95"/>
    <w:rsid w:val="00C40DA1"/>
    <w:rsid w:val="00C40DAA"/>
    <w:rsid w:val="00C40DD4"/>
    <w:rsid w:val="00C40DE0"/>
    <w:rsid w:val="00C40DE6"/>
    <w:rsid w:val="00C40E20"/>
    <w:rsid w:val="00C40E39"/>
    <w:rsid w:val="00C40E56"/>
    <w:rsid w:val="00C40E5A"/>
    <w:rsid w:val="00C40E78"/>
    <w:rsid w:val="00C40EA6"/>
    <w:rsid w:val="00C40EF1"/>
    <w:rsid w:val="00C40F82"/>
    <w:rsid w:val="00C40FAF"/>
    <w:rsid w:val="00C40FB5"/>
    <w:rsid w:val="00C41021"/>
    <w:rsid w:val="00C41022"/>
    <w:rsid w:val="00C41075"/>
    <w:rsid w:val="00C410D1"/>
    <w:rsid w:val="00C410DB"/>
    <w:rsid w:val="00C410F4"/>
    <w:rsid w:val="00C41106"/>
    <w:rsid w:val="00C41168"/>
    <w:rsid w:val="00C411C1"/>
    <w:rsid w:val="00C41288"/>
    <w:rsid w:val="00C412DD"/>
    <w:rsid w:val="00C41345"/>
    <w:rsid w:val="00C41350"/>
    <w:rsid w:val="00C413CE"/>
    <w:rsid w:val="00C4140E"/>
    <w:rsid w:val="00C41432"/>
    <w:rsid w:val="00C4143E"/>
    <w:rsid w:val="00C4145A"/>
    <w:rsid w:val="00C41522"/>
    <w:rsid w:val="00C41526"/>
    <w:rsid w:val="00C4156A"/>
    <w:rsid w:val="00C41586"/>
    <w:rsid w:val="00C415AE"/>
    <w:rsid w:val="00C415B0"/>
    <w:rsid w:val="00C415B4"/>
    <w:rsid w:val="00C41668"/>
    <w:rsid w:val="00C41692"/>
    <w:rsid w:val="00C416A2"/>
    <w:rsid w:val="00C416D2"/>
    <w:rsid w:val="00C41741"/>
    <w:rsid w:val="00C41745"/>
    <w:rsid w:val="00C417BF"/>
    <w:rsid w:val="00C417E1"/>
    <w:rsid w:val="00C417F7"/>
    <w:rsid w:val="00C41810"/>
    <w:rsid w:val="00C41840"/>
    <w:rsid w:val="00C41859"/>
    <w:rsid w:val="00C4186A"/>
    <w:rsid w:val="00C41875"/>
    <w:rsid w:val="00C4187F"/>
    <w:rsid w:val="00C41899"/>
    <w:rsid w:val="00C418A3"/>
    <w:rsid w:val="00C4193B"/>
    <w:rsid w:val="00C41981"/>
    <w:rsid w:val="00C419CD"/>
    <w:rsid w:val="00C419CF"/>
    <w:rsid w:val="00C419F1"/>
    <w:rsid w:val="00C41A2D"/>
    <w:rsid w:val="00C41ACC"/>
    <w:rsid w:val="00C41AF3"/>
    <w:rsid w:val="00C41B1F"/>
    <w:rsid w:val="00C41B4A"/>
    <w:rsid w:val="00C41B8A"/>
    <w:rsid w:val="00C41BB4"/>
    <w:rsid w:val="00C41C25"/>
    <w:rsid w:val="00C41C85"/>
    <w:rsid w:val="00C41D16"/>
    <w:rsid w:val="00C41D30"/>
    <w:rsid w:val="00C41D6A"/>
    <w:rsid w:val="00C41DF1"/>
    <w:rsid w:val="00C41E58"/>
    <w:rsid w:val="00C41E6C"/>
    <w:rsid w:val="00C41E8D"/>
    <w:rsid w:val="00C41EBA"/>
    <w:rsid w:val="00C41EC7"/>
    <w:rsid w:val="00C41F54"/>
    <w:rsid w:val="00C41F5D"/>
    <w:rsid w:val="00C42020"/>
    <w:rsid w:val="00C4203C"/>
    <w:rsid w:val="00C42047"/>
    <w:rsid w:val="00C4207D"/>
    <w:rsid w:val="00C4209B"/>
    <w:rsid w:val="00C420C9"/>
    <w:rsid w:val="00C420FE"/>
    <w:rsid w:val="00C42108"/>
    <w:rsid w:val="00C42109"/>
    <w:rsid w:val="00C42118"/>
    <w:rsid w:val="00C42141"/>
    <w:rsid w:val="00C421CC"/>
    <w:rsid w:val="00C421E5"/>
    <w:rsid w:val="00C42254"/>
    <w:rsid w:val="00C4225C"/>
    <w:rsid w:val="00C42321"/>
    <w:rsid w:val="00C4232F"/>
    <w:rsid w:val="00C42342"/>
    <w:rsid w:val="00C4236C"/>
    <w:rsid w:val="00C4239A"/>
    <w:rsid w:val="00C423CD"/>
    <w:rsid w:val="00C423D9"/>
    <w:rsid w:val="00C424B5"/>
    <w:rsid w:val="00C424EC"/>
    <w:rsid w:val="00C42519"/>
    <w:rsid w:val="00C4251C"/>
    <w:rsid w:val="00C42534"/>
    <w:rsid w:val="00C42594"/>
    <w:rsid w:val="00C425C4"/>
    <w:rsid w:val="00C425E0"/>
    <w:rsid w:val="00C4261E"/>
    <w:rsid w:val="00C42695"/>
    <w:rsid w:val="00C4269A"/>
    <w:rsid w:val="00C42852"/>
    <w:rsid w:val="00C42864"/>
    <w:rsid w:val="00C4287C"/>
    <w:rsid w:val="00C428A7"/>
    <w:rsid w:val="00C428B7"/>
    <w:rsid w:val="00C428D8"/>
    <w:rsid w:val="00C42900"/>
    <w:rsid w:val="00C4291B"/>
    <w:rsid w:val="00C42A77"/>
    <w:rsid w:val="00C42AF1"/>
    <w:rsid w:val="00C42AF6"/>
    <w:rsid w:val="00C42B5B"/>
    <w:rsid w:val="00C42BA4"/>
    <w:rsid w:val="00C42C0E"/>
    <w:rsid w:val="00C42C43"/>
    <w:rsid w:val="00C42C97"/>
    <w:rsid w:val="00C42CF2"/>
    <w:rsid w:val="00C42CF6"/>
    <w:rsid w:val="00C42D19"/>
    <w:rsid w:val="00C42D3B"/>
    <w:rsid w:val="00C42D3D"/>
    <w:rsid w:val="00C42D62"/>
    <w:rsid w:val="00C42DA2"/>
    <w:rsid w:val="00C42DA7"/>
    <w:rsid w:val="00C42DAD"/>
    <w:rsid w:val="00C42DBF"/>
    <w:rsid w:val="00C42EBF"/>
    <w:rsid w:val="00C42F0A"/>
    <w:rsid w:val="00C42F7F"/>
    <w:rsid w:val="00C42FA6"/>
    <w:rsid w:val="00C42FD6"/>
    <w:rsid w:val="00C42FFC"/>
    <w:rsid w:val="00C4305A"/>
    <w:rsid w:val="00C4308F"/>
    <w:rsid w:val="00C430EC"/>
    <w:rsid w:val="00C430EE"/>
    <w:rsid w:val="00C430FD"/>
    <w:rsid w:val="00C4310E"/>
    <w:rsid w:val="00C43196"/>
    <w:rsid w:val="00C43197"/>
    <w:rsid w:val="00C4319D"/>
    <w:rsid w:val="00C431A8"/>
    <w:rsid w:val="00C431A9"/>
    <w:rsid w:val="00C431CB"/>
    <w:rsid w:val="00C431E7"/>
    <w:rsid w:val="00C431F2"/>
    <w:rsid w:val="00C4320A"/>
    <w:rsid w:val="00C43223"/>
    <w:rsid w:val="00C43227"/>
    <w:rsid w:val="00C43229"/>
    <w:rsid w:val="00C4323E"/>
    <w:rsid w:val="00C43265"/>
    <w:rsid w:val="00C43267"/>
    <w:rsid w:val="00C43273"/>
    <w:rsid w:val="00C43296"/>
    <w:rsid w:val="00C432D5"/>
    <w:rsid w:val="00C43326"/>
    <w:rsid w:val="00C43327"/>
    <w:rsid w:val="00C4336A"/>
    <w:rsid w:val="00C43385"/>
    <w:rsid w:val="00C4338E"/>
    <w:rsid w:val="00C43449"/>
    <w:rsid w:val="00C43462"/>
    <w:rsid w:val="00C434BB"/>
    <w:rsid w:val="00C434DC"/>
    <w:rsid w:val="00C43529"/>
    <w:rsid w:val="00C43551"/>
    <w:rsid w:val="00C4355B"/>
    <w:rsid w:val="00C43572"/>
    <w:rsid w:val="00C4358D"/>
    <w:rsid w:val="00C43597"/>
    <w:rsid w:val="00C435C2"/>
    <w:rsid w:val="00C435DF"/>
    <w:rsid w:val="00C4361C"/>
    <w:rsid w:val="00C43677"/>
    <w:rsid w:val="00C4368C"/>
    <w:rsid w:val="00C43695"/>
    <w:rsid w:val="00C436A1"/>
    <w:rsid w:val="00C436AD"/>
    <w:rsid w:val="00C436AE"/>
    <w:rsid w:val="00C436C9"/>
    <w:rsid w:val="00C436D3"/>
    <w:rsid w:val="00C436E4"/>
    <w:rsid w:val="00C43744"/>
    <w:rsid w:val="00C43755"/>
    <w:rsid w:val="00C43797"/>
    <w:rsid w:val="00C437E4"/>
    <w:rsid w:val="00C437FA"/>
    <w:rsid w:val="00C4380E"/>
    <w:rsid w:val="00C43858"/>
    <w:rsid w:val="00C4386C"/>
    <w:rsid w:val="00C4389B"/>
    <w:rsid w:val="00C4389E"/>
    <w:rsid w:val="00C438B0"/>
    <w:rsid w:val="00C438B8"/>
    <w:rsid w:val="00C438CB"/>
    <w:rsid w:val="00C438D6"/>
    <w:rsid w:val="00C438DF"/>
    <w:rsid w:val="00C43931"/>
    <w:rsid w:val="00C43A07"/>
    <w:rsid w:val="00C43A64"/>
    <w:rsid w:val="00C43A87"/>
    <w:rsid w:val="00C43AB2"/>
    <w:rsid w:val="00C43AB3"/>
    <w:rsid w:val="00C43AB6"/>
    <w:rsid w:val="00C43B2A"/>
    <w:rsid w:val="00C43B3C"/>
    <w:rsid w:val="00C43B4C"/>
    <w:rsid w:val="00C43B50"/>
    <w:rsid w:val="00C43B7D"/>
    <w:rsid w:val="00C43C0C"/>
    <w:rsid w:val="00C43C17"/>
    <w:rsid w:val="00C43C1A"/>
    <w:rsid w:val="00C43C8B"/>
    <w:rsid w:val="00C43CB6"/>
    <w:rsid w:val="00C43D00"/>
    <w:rsid w:val="00C43D09"/>
    <w:rsid w:val="00C43D4D"/>
    <w:rsid w:val="00C43DAA"/>
    <w:rsid w:val="00C43E13"/>
    <w:rsid w:val="00C43E1E"/>
    <w:rsid w:val="00C43E4C"/>
    <w:rsid w:val="00C43E9B"/>
    <w:rsid w:val="00C43EBF"/>
    <w:rsid w:val="00C43ED8"/>
    <w:rsid w:val="00C43EE7"/>
    <w:rsid w:val="00C43EF8"/>
    <w:rsid w:val="00C43F0D"/>
    <w:rsid w:val="00C43F15"/>
    <w:rsid w:val="00C43F34"/>
    <w:rsid w:val="00C43F4F"/>
    <w:rsid w:val="00C4402C"/>
    <w:rsid w:val="00C440F9"/>
    <w:rsid w:val="00C4413A"/>
    <w:rsid w:val="00C44149"/>
    <w:rsid w:val="00C4417A"/>
    <w:rsid w:val="00C44187"/>
    <w:rsid w:val="00C441AE"/>
    <w:rsid w:val="00C441E9"/>
    <w:rsid w:val="00C441F7"/>
    <w:rsid w:val="00C44275"/>
    <w:rsid w:val="00C4427B"/>
    <w:rsid w:val="00C442A2"/>
    <w:rsid w:val="00C442B3"/>
    <w:rsid w:val="00C442C1"/>
    <w:rsid w:val="00C442F0"/>
    <w:rsid w:val="00C44313"/>
    <w:rsid w:val="00C4435F"/>
    <w:rsid w:val="00C44370"/>
    <w:rsid w:val="00C443D0"/>
    <w:rsid w:val="00C44469"/>
    <w:rsid w:val="00C4447A"/>
    <w:rsid w:val="00C44487"/>
    <w:rsid w:val="00C444A0"/>
    <w:rsid w:val="00C4451D"/>
    <w:rsid w:val="00C4453C"/>
    <w:rsid w:val="00C4454E"/>
    <w:rsid w:val="00C445A8"/>
    <w:rsid w:val="00C445DD"/>
    <w:rsid w:val="00C445F7"/>
    <w:rsid w:val="00C44610"/>
    <w:rsid w:val="00C44664"/>
    <w:rsid w:val="00C446A1"/>
    <w:rsid w:val="00C446BF"/>
    <w:rsid w:val="00C446FF"/>
    <w:rsid w:val="00C44714"/>
    <w:rsid w:val="00C4473F"/>
    <w:rsid w:val="00C44769"/>
    <w:rsid w:val="00C447A3"/>
    <w:rsid w:val="00C447DC"/>
    <w:rsid w:val="00C447E0"/>
    <w:rsid w:val="00C44814"/>
    <w:rsid w:val="00C4481A"/>
    <w:rsid w:val="00C44827"/>
    <w:rsid w:val="00C4482C"/>
    <w:rsid w:val="00C4486F"/>
    <w:rsid w:val="00C44943"/>
    <w:rsid w:val="00C44954"/>
    <w:rsid w:val="00C44962"/>
    <w:rsid w:val="00C44986"/>
    <w:rsid w:val="00C449A9"/>
    <w:rsid w:val="00C449C5"/>
    <w:rsid w:val="00C44A15"/>
    <w:rsid w:val="00C44A4C"/>
    <w:rsid w:val="00C44A5B"/>
    <w:rsid w:val="00C44AAE"/>
    <w:rsid w:val="00C44AC9"/>
    <w:rsid w:val="00C44AD9"/>
    <w:rsid w:val="00C44AEF"/>
    <w:rsid w:val="00C44B25"/>
    <w:rsid w:val="00C44B3A"/>
    <w:rsid w:val="00C44B94"/>
    <w:rsid w:val="00C44BC4"/>
    <w:rsid w:val="00C44BD6"/>
    <w:rsid w:val="00C44BEE"/>
    <w:rsid w:val="00C44C03"/>
    <w:rsid w:val="00C44C23"/>
    <w:rsid w:val="00C44C64"/>
    <w:rsid w:val="00C44C69"/>
    <w:rsid w:val="00C44CA7"/>
    <w:rsid w:val="00C44CEC"/>
    <w:rsid w:val="00C44CFB"/>
    <w:rsid w:val="00C44D0D"/>
    <w:rsid w:val="00C44D15"/>
    <w:rsid w:val="00C44D16"/>
    <w:rsid w:val="00C44D28"/>
    <w:rsid w:val="00C44D3B"/>
    <w:rsid w:val="00C44D89"/>
    <w:rsid w:val="00C44D8F"/>
    <w:rsid w:val="00C44DAF"/>
    <w:rsid w:val="00C44E07"/>
    <w:rsid w:val="00C44E64"/>
    <w:rsid w:val="00C44E76"/>
    <w:rsid w:val="00C44E89"/>
    <w:rsid w:val="00C44E90"/>
    <w:rsid w:val="00C44F50"/>
    <w:rsid w:val="00C44FED"/>
    <w:rsid w:val="00C45014"/>
    <w:rsid w:val="00C45036"/>
    <w:rsid w:val="00C45047"/>
    <w:rsid w:val="00C45055"/>
    <w:rsid w:val="00C4507F"/>
    <w:rsid w:val="00C45091"/>
    <w:rsid w:val="00C450D1"/>
    <w:rsid w:val="00C450ED"/>
    <w:rsid w:val="00C4513B"/>
    <w:rsid w:val="00C45183"/>
    <w:rsid w:val="00C451A3"/>
    <w:rsid w:val="00C451D4"/>
    <w:rsid w:val="00C45202"/>
    <w:rsid w:val="00C45236"/>
    <w:rsid w:val="00C4525F"/>
    <w:rsid w:val="00C45288"/>
    <w:rsid w:val="00C452A4"/>
    <w:rsid w:val="00C45310"/>
    <w:rsid w:val="00C4537A"/>
    <w:rsid w:val="00C4537F"/>
    <w:rsid w:val="00C453A8"/>
    <w:rsid w:val="00C45414"/>
    <w:rsid w:val="00C4541E"/>
    <w:rsid w:val="00C45428"/>
    <w:rsid w:val="00C4543E"/>
    <w:rsid w:val="00C45558"/>
    <w:rsid w:val="00C4555A"/>
    <w:rsid w:val="00C4556F"/>
    <w:rsid w:val="00C45573"/>
    <w:rsid w:val="00C455DA"/>
    <w:rsid w:val="00C455EE"/>
    <w:rsid w:val="00C455FB"/>
    <w:rsid w:val="00C45613"/>
    <w:rsid w:val="00C4565F"/>
    <w:rsid w:val="00C45664"/>
    <w:rsid w:val="00C456B4"/>
    <w:rsid w:val="00C456BB"/>
    <w:rsid w:val="00C456BD"/>
    <w:rsid w:val="00C45706"/>
    <w:rsid w:val="00C45717"/>
    <w:rsid w:val="00C4575B"/>
    <w:rsid w:val="00C4578B"/>
    <w:rsid w:val="00C457A3"/>
    <w:rsid w:val="00C457BF"/>
    <w:rsid w:val="00C45829"/>
    <w:rsid w:val="00C4590F"/>
    <w:rsid w:val="00C45939"/>
    <w:rsid w:val="00C4596C"/>
    <w:rsid w:val="00C459CF"/>
    <w:rsid w:val="00C459E4"/>
    <w:rsid w:val="00C45A0B"/>
    <w:rsid w:val="00C45A33"/>
    <w:rsid w:val="00C45A4B"/>
    <w:rsid w:val="00C45A63"/>
    <w:rsid w:val="00C45AA1"/>
    <w:rsid w:val="00C45AD5"/>
    <w:rsid w:val="00C45AD9"/>
    <w:rsid w:val="00C45B2C"/>
    <w:rsid w:val="00C45B33"/>
    <w:rsid w:val="00C45B93"/>
    <w:rsid w:val="00C45BBB"/>
    <w:rsid w:val="00C45BDA"/>
    <w:rsid w:val="00C45BF7"/>
    <w:rsid w:val="00C45C06"/>
    <w:rsid w:val="00C45C07"/>
    <w:rsid w:val="00C45C20"/>
    <w:rsid w:val="00C45C2D"/>
    <w:rsid w:val="00C45CA6"/>
    <w:rsid w:val="00C45D83"/>
    <w:rsid w:val="00C45D89"/>
    <w:rsid w:val="00C45DEB"/>
    <w:rsid w:val="00C45DF2"/>
    <w:rsid w:val="00C45E04"/>
    <w:rsid w:val="00C45E94"/>
    <w:rsid w:val="00C45EBA"/>
    <w:rsid w:val="00C45EEE"/>
    <w:rsid w:val="00C45EEF"/>
    <w:rsid w:val="00C45F01"/>
    <w:rsid w:val="00C45F1B"/>
    <w:rsid w:val="00C45F2D"/>
    <w:rsid w:val="00C45F31"/>
    <w:rsid w:val="00C45F68"/>
    <w:rsid w:val="00C45F9F"/>
    <w:rsid w:val="00C45FA7"/>
    <w:rsid w:val="00C45FE7"/>
    <w:rsid w:val="00C46001"/>
    <w:rsid w:val="00C46012"/>
    <w:rsid w:val="00C460C0"/>
    <w:rsid w:val="00C460E2"/>
    <w:rsid w:val="00C460E4"/>
    <w:rsid w:val="00C46106"/>
    <w:rsid w:val="00C4612F"/>
    <w:rsid w:val="00C4613A"/>
    <w:rsid w:val="00C46187"/>
    <w:rsid w:val="00C4618D"/>
    <w:rsid w:val="00C461B6"/>
    <w:rsid w:val="00C461BF"/>
    <w:rsid w:val="00C461E3"/>
    <w:rsid w:val="00C4621A"/>
    <w:rsid w:val="00C4624C"/>
    <w:rsid w:val="00C4625F"/>
    <w:rsid w:val="00C4626E"/>
    <w:rsid w:val="00C46270"/>
    <w:rsid w:val="00C462AB"/>
    <w:rsid w:val="00C462F3"/>
    <w:rsid w:val="00C46317"/>
    <w:rsid w:val="00C46341"/>
    <w:rsid w:val="00C4635B"/>
    <w:rsid w:val="00C46362"/>
    <w:rsid w:val="00C4637E"/>
    <w:rsid w:val="00C463D1"/>
    <w:rsid w:val="00C46409"/>
    <w:rsid w:val="00C46436"/>
    <w:rsid w:val="00C46509"/>
    <w:rsid w:val="00C46529"/>
    <w:rsid w:val="00C4652E"/>
    <w:rsid w:val="00C46567"/>
    <w:rsid w:val="00C4659B"/>
    <w:rsid w:val="00C4663B"/>
    <w:rsid w:val="00C46664"/>
    <w:rsid w:val="00C4666E"/>
    <w:rsid w:val="00C466BA"/>
    <w:rsid w:val="00C46787"/>
    <w:rsid w:val="00C467C6"/>
    <w:rsid w:val="00C467CD"/>
    <w:rsid w:val="00C46826"/>
    <w:rsid w:val="00C46847"/>
    <w:rsid w:val="00C4685A"/>
    <w:rsid w:val="00C468F1"/>
    <w:rsid w:val="00C46949"/>
    <w:rsid w:val="00C4695B"/>
    <w:rsid w:val="00C469B2"/>
    <w:rsid w:val="00C469D4"/>
    <w:rsid w:val="00C469E1"/>
    <w:rsid w:val="00C46A29"/>
    <w:rsid w:val="00C46A3E"/>
    <w:rsid w:val="00C46A4A"/>
    <w:rsid w:val="00C46AD6"/>
    <w:rsid w:val="00C46AFC"/>
    <w:rsid w:val="00C46B08"/>
    <w:rsid w:val="00C46B14"/>
    <w:rsid w:val="00C46B26"/>
    <w:rsid w:val="00C46B58"/>
    <w:rsid w:val="00C46BA8"/>
    <w:rsid w:val="00C46BF0"/>
    <w:rsid w:val="00C46C71"/>
    <w:rsid w:val="00C46CC9"/>
    <w:rsid w:val="00C46CCE"/>
    <w:rsid w:val="00C46D15"/>
    <w:rsid w:val="00C46D16"/>
    <w:rsid w:val="00C46D73"/>
    <w:rsid w:val="00C46D95"/>
    <w:rsid w:val="00C46DF9"/>
    <w:rsid w:val="00C46E59"/>
    <w:rsid w:val="00C46E69"/>
    <w:rsid w:val="00C46E90"/>
    <w:rsid w:val="00C46EA4"/>
    <w:rsid w:val="00C46F1C"/>
    <w:rsid w:val="00C46F30"/>
    <w:rsid w:val="00C46FAB"/>
    <w:rsid w:val="00C46FBA"/>
    <w:rsid w:val="00C46FD6"/>
    <w:rsid w:val="00C46FE9"/>
    <w:rsid w:val="00C4702F"/>
    <w:rsid w:val="00C47031"/>
    <w:rsid w:val="00C47037"/>
    <w:rsid w:val="00C47098"/>
    <w:rsid w:val="00C470BA"/>
    <w:rsid w:val="00C470D0"/>
    <w:rsid w:val="00C470E3"/>
    <w:rsid w:val="00C470EE"/>
    <w:rsid w:val="00C470F6"/>
    <w:rsid w:val="00C470FD"/>
    <w:rsid w:val="00C47122"/>
    <w:rsid w:val="00C47125"/>
    <w:rsid w:val="00C471A1"/>
    <w:rsid w:val="00C471A4"/>
    <w:rsid w:val="00C471B1"/>
    <w:rsid w:val="00C471C8"/>
    <w:rsid w:val="00C471FE"/>
    <w:rsid w:val="00C4724B"/>
    <w:rsid w:val="00C47272"/>
    <w:rsid w:val="00C472AF"/>
    <w:rsid w:val="00C472D6"/>
    <w:rsid w:val="00C472DE"/>
    <w:rsid w:val="00C472EC"/>
    <w:rsid w:val="00C47381"/>
    <w:rsid w:val="00C473CC"/>
    <w:rsid w:val="00C473FA"/>
    <w:rsid w:val="00C47428"/>
    <w:rsid w:val="00C474AC"/>
    <w:rsid w:val="00C474B9"/>
    <w:rsid w:val="00C474CB"/>
    <w:rsid w:val="00C474CF"/>
    <w:rsid w:val="00C474F4"/>
    <w:rsid w:val="00C47507"/>
    <w:rsid w:val="00C4750B"/>
    <w:rsid w:val="00C47617"/>
    <w:rsid w:val="00C4761C"/>
    <w:rsid w:val="00C47622"/>
    <w:rsid w:val="00C476A1"/>
    <w:rsid w:val="00C476D0"/>
    <w:rsid w:val="00C4773E"/>
    <w:rsid w:val="00C4778D"/>
    <w:rsid w:val="00C477DB"/>
    <w:rsid w:val="00C47881"/>
    <w:rsid w:val="00C478A7"/>
    <w:rsid w:val="00C478C9"/>
    <w:rsid w:val="00C47913"/>
    <w:rsid w:val="00C4792D"/>
    <w:rsid w:val="00C4793B"/>
    <w:rsid w:val="00C47947"/>
    <w:rsid w:val="00C4797C"/>
    <w:rsid w:val="00C4798E"/>
    <w:rsid w:val="00C47A10"/>
    <w:rsid w:val="00C47A37"/>
    <w:rsid w:val="00C47A3C"/>
    <w:rsid w:val="00C47A9E"/>
    <w:rsid w:val="00C47A9F"/>
    <w:rsid w:val="00C47AA7"/>
    <w:rsid w:val="00C47AC8"/>
    <w:rsid w:val="00C47AF9"/>
    <w:rsid w:val="00C47B1B"/>
    <w:rsid w:val="00C47B81"/>
    <w:rsid w:val="00C47BBA"/>
    <w:rsid w:val="00C47BF1"/>
    <w:rsid w:val="00C47C06"/>
    <w:rsid w:val="00C47C32"/>
    <w:rsid w:val="00C47C34"/>
    <w:rsid w:val="00C47C67"/>
    <w:rsid w:val="00C47C72"/>
    <w:rsid w:val="00C47CB8"/>
    <w:rsid w:val="00C47CBB"/>
    <w:rsid w:val="00C47D07"/>
    <w:rsid w:val="00C47D14"/>
    <w:rsid w:val="00C47D18"/>
    <w:rsid w:val="00C47D70"/>
    <w:rsid w:val="00C47DB0"/>
    <w:rsid w:val="00C47DE5"/>
    <w:rsid w:val="00C47DF0"/>
    <w:rsid w:val="00C47E08"/>
    <w:rsid w:val="00C47E16"/>
    <w:rsid w:val="00C47E33"/>
    <w:rsid w:val="00C47E3A"/>
    <w:rsid w:val="00C47E5F"/>
    <w:rsid w:val="00C47E62"/>
    <w:rsid w:val="00C47E85"/>
    <w:rsid w:val="00C47EAA"/>
    <w:rsid w:val="00C47EB1"/>
    <w:rsid w:val="00C47F30"/>
    <w:rsid w:val="00C47F36"/>
    <w:rsid w:val="00C47F40"/>
    <w:rsid w:val="00C47F5D"/>
    <w:rsid w:val="00C47F7B"/>
    <w:rsid w:val="00C47F7C"/>
    <w:rsid w:val="00C47F86"/>
    <w:rsid w:val="00C47FB3"/>
    <w:rsid w:val="00C47FF4"/>
    <w:rsid w:val="00C5005E"/>
    <w:rsid w:val="00C5007F"/>
    <w:rsid w:val="00C50116"/>
    <w:rsid w:val="00C50166"/>
    <w:rsid w:val="00C5019D"/>
    <w:rsid w:val="00C501A3"/>
    <w:rsid w:val="00C501FE"/>
    <w:rsid w:val="00C50200"/>
    <w:rsid w:val="00C5020B"/>
    <w:rsid w:val="00C5021B"/>
    <w:rsid w:val="00C50229"/>
    <w:rsid w:val="00C50272"/>
    <w:rsid w:val="00C50298"/>
    <w:rsid w:val="00C502B3"/>
    <w:rsid w:val="00C50308"/>
    <w:rsid w:val="00C50315"/>
    <w:rsid w:val="00C50329"/>
    <w:rsid w:val="00C50348"/>
    <w:rsid w:val="00C5034D"/>
    <w:rsid w:val="00C50383"/>
    <w:rsid w:val="00C503D7"/>
    <w:rsid w:val="00C503EF"/>
    <w:rsid w:val="00C503FF"/>
    <w:rsid w:val="00C50424"/>
    <w:rsid w:val="00C5043F"/>
    <w:rsid w:val="00C50488"/>
    <w:rsid w:val="00C504A4"/>
    <w:rsid w:val="00C504C3"/>
    <w:rsid w:val="00C504F4"/>
    <w:rsid w:val="00C504FF"/>
    <w:rsid w:val="00C5050E"/>
    <w:rsid w:val="00C50534"/>
    <w:rsid w:val="00C505A6"/>
    <w:rsid w:val="00C50628"/>
    <w:rsid w:val="00C50737"/>
    <w:rsid w:val="00C5079E"/>
    <w:rsid w:val="00C5087E"/>
    <w:rsid w:val="00C508DD"/>
    <w:rsid w:val="00C50904"/>
    <w:rsid w:val="00C50907"/>
    <w:rsid w:val="00C50936"/>
    <w:rsid w:val="00C5093D"/>
    <w:rsid w:val="00C5099D"/>
    <w:rsid w:val="00C509D1"/>
    <w:rsid w:val="00C50A09"/>
    <w:rsid w:val="00C50A21"/>
    <w:rsid w:val="00C50A48"/>
    <w:rsid w:val="00C50A49"/>
    <w:rsid w:val="00C50A4E"/>
    <w:rsid w:val="00C50A93"/>
    <w:rsid w:val="00C50B02"/>
    <w:rsid w:val="00C50B11"/>
    <w:rsid w:val="00C50B31"/>
    <w:rsid w:val="00C50B6B"/>
    <w:rsid w:val="00C50B70"/>
    <w:rsid w:val="00C50B98"/>
    <w:rsid w:val="00C50B9C"/>
    <w:rsid w:val="00C50BF3"/>
    <w:rsid w:val="00C50BFA"/>
    <w:rsid w:val="00C50C03"/>
    <w:rsid w:val="00C50C83"/>
    <w:rsid w:val="00C50C86"/>
    <w:rsid w:val="00C50C87"/>
    <w:rsid w:val="00C50C88"/>
    <w:rsid w:val="00C50C94"/>
    <w:rsid w:val="00C50C9A"/>
    <w:rsid w:val="00C50CB5"/>
    <w:rsid w:val="00C50CD3"/>
    <w:rsid w:val="00C50CDE"/>
    <w:rsid w:val="00C50D1B"/>
    <w:rsid w:val="00C50D7D"/>
    <w:rsid w:val="00C50DF7"/>
    <w:rsid w:val="00C50E6D"/>
    <w:rsid w:val="00C50E95"/>
    <w:rsid w:val="00C50EAF"/>
    <w:rsid w:val="00C50EC2"/>
    <w:rsid w:val="00C50EC7"/>
    <w:rsid w:val="00C50F10"/>
    <w:rsid w:val="00C50F67"/>
    <w:rsid w:val="00C50F75"/>
    <w:rsid w:val="00C50FBE"/>
    <w:rsid w:val="00C50FF3"/>
    <w:rsid w:val="00C51026"/>
    <w:rsid w:val="00C51042"/>
    <w:rsid w:val="00C51061"/>
    <w:rsid w:val="00C51087"/>
    <w:rsid w:val="00C510CF"/>
    <w:rsid w:val="00C511B1"/>
    <w:rsid w:val="00C511DC"/>
    <w:rsid w:val="00C511F8"/>
    <w:rsid w:val="00C5124A"/>
    <w:rsid w:val="00C512A0"/>
    <w:rsid w:val="00C512AE"/>
    <w:rsid w:val="00C512BC"/>
    <w:rsid w:val="00C512EA"/>
    <w:rsid w:val="00C51335"/>
    <w:rsid w:val="00C51350"/>
    <w:rsid w:val="00C51380"/>
    <w:rsid w:val="00C51396"/>
    <w:rsid w:val="00C5139E"/>
    <w:rsid w:val="00C513F8"/>
    <w:rsid w:val="00C51421"/>
    <w:rsid w:val="00C5143B"/>
    <w:rsid w:val="00C51459"/>
    <w:rsid w:val="00C51487"/>
    <w:rsid w:val="00C5151F"/>
    <w:rsid w:val="00C5153E"/>
    <w:rsid w:val="00C5155B"/>
    <w:rsid w:val="00C515DD"/>
    <w:rsid w:val="00C515FD"/>
    <w:rsid w:val="00C5161C"/>
    <w:rsid w:val="00C5163F"/>
    <w:rsid w:val="00C51650"/>
    <w:rsid w:val="00C516BF"/>
    <w:rsid w:val="00C5174D"/>
    <w:rsid w:val="00C5174F"/>
    <w:rsid w:val="00C51771"/>
    <w:rsid w:val="00C51779"/>
    <w:rsid w:val="00C51790"/>
    <w:rsid w:val="00C51799"/>
    <w:rsid w:val="00C517A7"/>
    <w:rsid w:val="00C517B1"/>
    <w:rsid w:val="00C517CB"/>
    <w:rsid w:val="00C517E5"/>
    <w:rsid w:val="00C51819"/>
    <w:rsid w:val="00C51828"/>
    <w:rsid w:val="00C51860"/>
    <w:rsid w:val="00C51916"/>
    <w:rsid w:val="00C51917"/>
    <w:rsid w:val="00C51944"/>
    <w:rsid w:val="00C51968"/>
    <w:rsid w:val="00C5197E"/>
    <w:rsid w:val="00C519FD"/>
    <w:rsid w:val="00C51A4B"/>
    <w:rsid w:val="00C51A7C"/>
    <w:rsid w:val="00C51AA1"/>
    <w:rsid w:val="00C51AB5"/>
    <w:rsid w:val="00C51ACE"/>
    <w:rsid w:val="00C51B0D"/>
    <w:rsid w:val="00C51B2C"/>
    <w:rsid w:val="00C51B92"/>
    <w:rsid w:val="00C51BA7"/>
    <w:rsid w:val="00C51BBA"/>
    <w:rsid w:val="00C51BCB"/>
    <w:rsid w:val="00C51BD0"/>
    <w:rsid w:val="00C51C20"/>
    <w:rsid w:val="00C51C5B"/>
    <w:rsid w:val="00C51C5F"/>
    <w:rsid w:val="00C51CB0"/>
    <w:rsid w:val="00C51CBA"/>
    <w:rsid w:val="00C51CF3"/>
    <w:rsid w:val="00C51D35"/>
    <w:rsid w:val="00C51D5A"/>
    <w:rsid w:val="00C51D6A"/>
    <w:rsid w:val="00C51D85"/>
    <w:rsid w:val="00C51DBE"/>
    <w:rsid w:val="00C51E03"/>
    <w:rsid w:val="00C51E2A"/>
    <w:rsid w:val="00C51E6D"/>
    <w:rsid w:val="00C51E98"/>
    <w:rsid w:val="00C51EEE"/>
    <w:rsid w:val="00C51F0C"/>
    <w:rsid w:val="00C51F16"/>
    <w:rsid w:val="00C51FA4"/>
    <w:rsid w:val="00C51FAD"/>
    <w:rsid w:val="00C51FAF"/>
    <w:rsid w:val="00C51FD0"/>
    <w:rsid w:val="00C52008"/>
    <w:rsid w:val="00C5200F"/>
    <w:rsid w:val="00C52015"/>
    <w:rsid w:val="00C520B0"/>
    <w:rsid w:val="00C520C2"/>
    <w:rsid w:val="00C520FA"/>
    <w:rsid w:val="00C52117"/>
    <w:rsid w:val="00C52124"/>
    <w:rsid w:val="00C52141"/>
    <w:rsid w:val="00C52183"/>
    <w:rsid w:val="00C52212"/>
    <w:rsid w:val="00C52216"/>
    <w:rsid w:val="00C52250"/>
    <w:rsid w:val="00C52278"/>
    <w:rsid w:val="00C5228F"/>
    <w:rsid w:val="00C5233A"/>
    <w:rsid w:val="00C52343"/>
    <w:rsid w:val="00C5234E"/>
    <w:rsid w:val="00C52397"/>
    <w:rsid w:val="00C523E1"/>
    <w:rsid w:val="00C523EC"/>
    <w:rsid w:val="00C523FC"/>
    <w:rsid w:val="00C52428"/>
    <w:rsid w:val="00C5247A"/>
    <w:rsid w:val="00C524CF"/>
    <w:rsid w:val="00C524D9"/>
    <w:rsid w:val="00C524F9"/>
    <w:rsid w:val="00C524FD"/>
    <w:rsid w:val="00C524FE"/>
    <w:rsid w:val="00C5256A"/>
    <w:rsid w:val="00C52579"/>
    <w:rsid w:val="00C525D7"/>
    <w:rsid w:val="00C525D9"/>
    <w:rsid w:val="00C525EA"/>
    <w:rsid w:val="00C525F1"/>
    <w:rsid w:val="00C52613"/>
    <w:rsid w:val="00C5265A"/>
    <w:rsid w:val="00C52666"/>
    <w:rsid w:val="00C5267B"/>
    <w:rsid w:val="00C5268A"/>
    <w:rsid w:val="00C526A0"/>
    <w:rsid w:val="00C526A9"/>
    <w:rsid w:val="00C526AA"/>
    <w:rsid w:val="00C526C0"/>
    <w:rsid w:val="00C52705"/>
    <w:rsid w:val="00C52773"/>
    <w:rsid w:val="00C52790"/>
    <w:rsid w:val="00C527B1"/>
    <w:rsid w:val="00C527B4"/>
    <w:rsid w:val="00C527CD"/>
    <w:rsid w:val="00C527D8"/>
    <w:rsid w:val="00C527DC"/>
    <w:rsid w:val="00C52823"/>
    <w:rsid w:val="00C5284D"/>
    <w:rsid w:val="00C52857"/>
    <w:rsid w:val="00C52884"/>
    <w:rsid w:val="00C5288D"/>
    <w:rsid w:val="00C52894"/>
    <w:rsid w:val="00C528A5"/>
    <w:rsid w:val="00C528B9"/>
    <w:rsid w:val="00C5292F"/>
    <w:rsid w:val="00C52935"/>
    <w:rsid w:val="00C52938"/>
    <w:rsid w:val="00C52939"/>
    <w:rsid w:val="00C52963"/>
    <w:rsid w:val="00C52969"/>
    <w:rsid w:val="00C5299E"/>
    <w:rsid w:val="00C529C8"/>
    <w:rsid w:val="00C52A49"/>
    <w:rsid w:val="00C52A58"/>
    <w:rsid w:val="00C52A5C"/>
    <w:rsid w:val="00C52A85"/>
    <w:rsid w:val="00C52AE4"/>
    <w:rsid w:val="00C52AFB"/>
    <w:rsid w:val="00C52AFE"/>
    <w:rsid w:val="00C52B34"/>
    <w:rsid w:val="00C52B42"/>
    <w:rsid w:val="00C52B65"/>
    <w:rsid w:val="00C52B67"/>
    <w:rsid w:val="00C52B71"/>
    <w:rsid w:val="00C52BA7"/>
    <w:rsid w:val="00C52BD5"/>
    <w:rsid w:val="00C52BDE"/>
    <w:rsid w:val="00C52BF4"/>
    <w:rsid w:val="00C52C32"/>
    <w:rsid w:val="00C52C7A"/>
    <w:rsid w:val="00C52CE8"/>
    <w:rsid w:val="00C52D06"/>
    <w:rsid w:val="00C52D63"/>
    <w:rsid w:val="00C52DB4"/>
    <w:rsid w:val="00C52DC5"/>
    <w:rsid w:val="00C52DCD"/>
    <w:rsid w:val="00C52E02"/>
    <w:rsid w:val="00C52E2B"/>
    <w:rsid w:val="00C52E35"/>
    <w:rsid w:val="00C52E49"/>
    <w:rsid w:val="00C52EB1"/>
    <w:rsid w:val="00C52EF9"/>
    <w:rsid w:val="00C52F0C"/>
    <w:rsid w:val="00C52F19"/>
    <w:rsid w:val="00C52F1E"/>
    <w:rsid w:val="00C52F2A"/>
    <w:rsid w:val="00C52F4E"/>
    <w:rsid w:val="00C52F8E"/>
    <w:rsid w:val="00C52F8F"/>
    <w:rsid w:val="00C52F9C"/>
    <w:rsid w:val="00C52FA4"/>
    <w:rsid w:val="00C52FD2"/>
    <w:rsid w:val="00C52FD9"/>
    <w:rsid w:val="00C53001"/>
    <w:rsid w:val="00C5302B"/>
    <w:rsid w:val="00C53030"/>
    <w:rsid w:val="00C53059"/>
    <w:rsid w:val="00C5306C"/>
    <w:rsid w:val="00C53150"/>
    <w:rsid w:val="00C53158"/>
    <w:rsid w:val="00C5319E"/>
    <w:rsid w:val="00C531DE"/>
    <w:rsid w:val="00C53242"/>
    <w:rsid w:val="00C5326D"/>
    <w:rsid w:val="00C5327A"/>
    <w:rsid w:val="00C5328D"/>
    <w:rsid w:val="00C532E3"/>
    <w:rsid w:val="00C53306"/>
    <w:rsid w:val="00C5334F"/>
    <w:rsid w:val="00C5335A"/>
    <w:rsid w:val="00C5335D"/>
    <w:rsid w:val="00C533BD"/>
    <w:rsid w:val="00C53402"/>
    <w:rsid w:val="00C5340E"/>
    <w:rsid w:val="00C53435"/>
    <w:rsid w:val="00C53447"/>
    <w:rsid w:val="00C53460"/>
    <w:rsid w:val="00C534C8"/>
    <w:rsid w:val="00C53510"/>
    <w:rsid w:val="00C53519"/>
    <w:rsid w:val="00C5352C"/>
    <w:rsid w:val="00C535E1"/>
    <w:rsid w:val="00C53614"/>
    <w:rsid w:val="00C53641"/>
    <w:rsid w:val="00C53653"/>
    <w:rsid w:val="00C53697"/>
    <w:rsid w:val="00C536D4"/>
    <w:rsid w:val="00C5375E"/>
    <w:rsid w:val="00C537AC"/>
    <w:rsid w:val="00C53801"/>
    <w:rsid w:val="00C5381E"/>
    <w:rsid w:val="00C53864"/>
    <w:rsid w:val="00C53899"/>
    <w:rsid w:val="00C538B1"/>
    <w:rsid w:val="00C538BB"/>
    <w:rsid w:val="00C538CD"/>
    <w:rsid w:val="00C538D0"/>
    <w:rsid w:val="00C5392A"/>
    <w:rsid w:val="00C5393F"/>
    <w:rsid w:val="00C53957"/>
    <w:rsid w:val="00C53970"/>
    <w:rsid w:val="00C539B7"/>
    <w:rsid w:val="00C53A41"/>
    <w:rsid w:val="00C53A9A"/>
    <w:rsid w:val="00C53AA0"/>
    <w:rsid w:val="00C53AC3"/>
    <w:rsid w:val="00C53AF8"/>
    <w:rsid w:val="00C53B07"/>
    <w:rsid w:val="00C53B1B"/>
    <w:rsid w:val="00C53B52"/>
    <w:rsid w:val="00C53BB0"/>
    <w:rsid w:val="00C53BE5"/>
    <w:rsid w:val="00C53BF6"/>
    <w:rsid w:val="00C53BFE"/>
    <w:rsid w:val="00C53C1D"/>
    <w:rsid w:val="00C53C73"/>
    <w:rsid w:val="00C53CE9"/>
    <w:rsid w:val="00C53D16"/>
    <w:rsid w:val="00C53D91"/>
    <w:rsid w:val="00C53DCA"/>
    <w:rsid w:val="00C53DDD"/>
    <w:rsid w:val="00C53E0B"/>
    <w:rsid w:val="00C53E8D"/>
    <w:rsid w:val="00C53EA2"/>
    <w:rsid w:val="00C53EE6"/>
    <w:rsid w:val="00C53EFA"/>
    <w:rsid w:val="00C53F0A"/>
    <w:rsid w:val="00C53F0C"/>
    <w:rsid w:val="00C53F3E"/>
    <w:rsid w:val="00C53F69"/>
    <w:rsid w:val="00C53F80"/>
    <w:rsid w:val="00C53F84"/>
    <w:rsid w:val="00C53F9E"/>
    <w:rsid w:val="00C53FB8"/>
    <w:rsid w:val="00C53FBE"/>
    <w:rsid w:val="00C5404E"/>
    <w:rsid w:val="00C540C8"/>
    <w:rsid w:val="00C540D2"/>
    <w:rsid w:val="00C540D9"/>
    <w:rsid w:val="00C540EA"/>
    <w:rsid w:val="00C540F8"/>
    <w:rsid w:val="00C5412F"/>
    <w:rsid w:val="00C541D4"/>
    <w:rsid w:val="00C541FC"/>
    <w:rsid w:val="00C54215"/>
    <w:rsid w:val="00C54231"/>
    <w:rsid w:val="00C542CB"/>
    <w:rsid w:val="00C542FD"/>
    <w:rsid w:val="00C54301"/>
    <w:rsid w:val="00C54345"/>
    <w:rsid w:val="00C54377"/>
    <w:rsid w:val="00C5437D"/>
    <w:rsid w:val="00C5437E"/>
    <w:rsid w:val="00C543C6"/>
    <w:rsid w:val="00C543D7"/>
    <w:rsid w:val="00C543E2"/>
    <w:rsid w:val="00C543FD"/>
    <w:rsid w:val="00C54421"/>
    <w:rsid w:val="00C5444E"/>
    <w:rsid w:val="00C54483"/>
    <w:rsid w:val="00C54497"/>
    <w:rsid w:val="00C5449D"/>
    <w:rsid w:val="00C544A0"/>
    <w:rsid w:val="00C544CC"/>
    <w:rsid w:val="00C544CF"/>
    <w:rsid w:val="00C544E6"/>
    <w:rsid w:val="00C544EC"/>
    <w:rsid w:val="00C5451E"/>
    <w:rsid w:val="00C5459E"/>
    <w:rsid w:val="00C545BA"/>
    <w:rsid w:val="00C545CC"/>
    <w:rsid w:val="00C54631"/>
    <w:rsid w:val="00C54652"/>
    <w:rsid w:val="00C5466E"/>
    <w:rsid w:val="00C54681"/>
    <w:rsid w:val="00C546B0"/>
    <w:rsid w:val="00C546B9"/>
    <w:rsid w:val="00C546DA"/>
    <w:rsid w:val="00C54733"/>
    <w:rsid w:val="00C5473D"/>
    <w:rsid w:val="00C5477E"/>
    <w:rsid w:val="00C547AC"/>
    <w:rsid w:val="00C547D8"/>
    <w:rsid w:val="00C547FA"/>
    <w:rsid w:val="00C54817"/>
    <w:rsid w:val="00C54821"/>
    <w:rsid w:val="00C54841"/>
    <w:rsid w:val="00C5488D"/>
    <w:rsid w:val="00C548AC"/>
    <w:rsid w:val="00C548BC"/>
    <w:rsid w:val="00C548CD"/>
    <w:rsid w:val="00C548DC"/>
    <w:rsid w:val="00C54949"/>
    <w:rsid w:val="00C54952"/>
    <w:rsid w:val="00C54953"/>
    <w:rsid w:val="00C54978"/>
    <w:rsid w:val="00C549C9"/>
    <w:rsid w:val="00C549E1"/>
    <w:rsid w:val="00C549E8"/>
    <w:rsid w:val="00C54A64"/>
    <w:rsid w:val="00C54A95"/>
    <w:rsid w:val="00C54A99"/>
    <w:rsid w:val="00C54AC4"/>
    <w:rsid w:val="00C54AF8"/>
    <w:rsid w:val="00C54B07"/>
    <w:rsid w:val="00C54B5C"/>
    <w:rsid w:val="00C54BA1"/>
    <w:rsid w:val="00C54BB0"/>
    <w:rsid w:val="00C54BD4"/>
    <w:rsid w:val="00C54C37"/>
    <w:rsid w:val="00C54C49"/>
    <w:rsid w:val="00C54CF7"/>
    <w:rsid w:val="00C54D13"/>
    <w:rsid w:val="00C54D2D"/>
    <w:rsid w:val="00C54D2E"/>
    <w:rsid w:val="00C54D6B"/>
    <w:rsid w:val="00C54D6E"/>
    <w:rsid w:val="00C54D7B"/>
    <w:rsid w:val="00C54D83"/>
    <w:rsid w:val="00C54D84"/>
    <w:rsid w:val="00C54D8D"/>
    <w:rsid w:val="00C54DA9"/>
    <w:rsid w:val="00C54DB3"/>
    <w:rsid w:val="00C54E04"/>
    <w:rsid w:val="00C54E50"/>
    <w:rsid w:val="00C54E71"/>
    <w:rsid w:val="00C54E90"/>
    <w:rsid w:val="00C54EAB"/>
    <w:rsid w:val="00C54EB9"/>
    <w:rsid w:val="00C54ED5"/>
    <w:rsid w:val="00C54F01"/>
    <w:rsid w:val="00C54F0F"/>
    <w:rsid w:val="00C54F16"/>
    <w:rsid w:val="00C54F3B"/>
    <w:rsid w:val="00C54F83"/>
    <w:rsid w:val="00C54FF1"/>
    <w:rsid w:val="00C5507B"/>
    <w:rsid w:val="00C550DB"/>
    <w:rsid w:val="00C55132"/>
    <w:rsid w:val="00C5514C"/>
    <w:rsid w:val="00C551A7"/>
    <w:rsid w:val="00C551A8"/>
    <w:rsid w:val="00C551DC"/>
    <w:rsid w:val="00C551FA"/>
    <w:rsid w:val="00C55212"/>
    <w:rsid w:val="00C5523D"/>
    <w:rsid w:val="00C55245"/>
    <w:rsid w:val="00C55256"/>
    <w:rsid w:val="00C5525F"/>
    <w:rsid w:val="00C55264"/>
    <w:rsid w:val="00C5526E"/>
    <w:rsid w:val="00C55277"/>
    <w:rsid w:val="00C5529B"/>
    <w:rsid w:val="00C55303"/>
    <w:rsid w:val="00C5533D"/>
    <w:rsid w:val="00C553AB"/>
    <w:rsid w:val="00C553AD"/>
    <w:rsid w:val="00C553C7"/>
    <w:rsid w:val="00C5541F"/>
    <w:rsid w:val="00C55435"/>
    <w:rsid w:val="00C5544F"/>
    <w:rsid w:val="00C5549C"/>
    <w:rsid w:val="00C554F9"/>
    <w:rsid w:val="00C55506"/>
    <w:rsid w:val="00C55525"/>
    <w:rsid w:val="00C55531"/>
    <w:rsid w:val="00C5554A"/>
    <w:rsid w:val="00C55591"/>
    <w:rsid w:val="00C555AF"/>
    <w:rsid w:val="00C555C8"/>
    <w:rsid w:val="00C555C9"/>
    <w:rsid w:val="00C555F6"/>
    <w:rsid w:val="00C55601"/>
    <w:rsid w:val="00C55624"/>
    <w:rsid w:val="00C5562A"/>
    <w:rsid w:val="00C55655"/>
    <w:rsid w:val="00C55699"/>
    <w:rsid w:val="00C5569F"/>
    <w:rsid w:val="00C556ED"/>
    <w:rsid w:val="00C556FA"/>
    <w:rsid w:val="00C5575C"/>
    <w:rsid w:val="00C55764"/>
    <w:rsid w:val="00C557A3"/>
    <w:rsid w:val="00C557BF"/>
    <w:rsid w:val="00C55860"/>
    <w:rsid w:val="00C55868"/>
    <w:rsid w:val="00C558BF"/>
    <w:rsid w:val="00C558DD"/>
    <w:rsid w:val="00C55917"/>
    <w:rsid w:val="00C55939"/>
    <w:rsid w:val="00C55980"/>
    <w:rsid w:val="00C559BF"/>
    <w:rsid w:val="00C559CE"/>
    <w:rsid w:val="00C559DB"/>
    <w:rsid w:val="00C55A34"/>
    <w:rsid w:val="00C55A36"/>
    <w:rsid w:val="00C55A40"/>
    <w:rsid w:val="00C55A4C"/>
    <w:rsid w:val="00C55AD6"/>
    <w:rsid w:val="00C55AF2"/>
    <w:rsid w:val="00C55B57"/>
    <w:rsid w:val="00C55BC2"/>
    <w:rsid w:val="00C55BE0"/>
    <w:rsid w:val="00C55BE3"/>
    <w:rsid w:val="00C55C33"/>
    <w:rsid w:val="00C55C3F"/>
    <w:rsid w:val="00C55C53"/>
    <w:rsid w:val="00C55CAA"/>
    <w:rsid w:val="00C55CED"/>
    <w:rsid w:val="00C55D13"/>
    <w:rsid w:val="00C55D28"/>
    <w:rsid w:val="00C55D2A"/>
    <w:rsid w:val="00C55D93"/>
    <w:rsid w:val="00C55D9A"/>
    <w:rsid w:val="00C55D9D"/>
    <w:rsid w:val="00C55DA7"/>
    <w:rsid w:val="00C55DA8"/>
    <w:rsid w:val="00C55DC2"/>
    <w:rsid w:val="00C55DCD"/>
    <w:rsid w:val="00C55E1D"/>
    <w:rsid w:val="00C55E41"/>
    <w:rsid w:val="00C55F00"/>
    <w:rsid w:val="00C55F37"/>
    <w:rsid w:val="00C55F88"/>
    <w:rsid w:val="00C55F8B"/>
    <w:rsid w:val="00C55FA9"/>
    <w:rsid w:val="00C55FBC"/>
    <w:rsid w:val="00C55FDE"/>
    <w:rsid w:val="00C56089"/>
    <w:rsid w:val="00C560AE"/>
    <w:rsid w:val="00C560B5"/>
    <w:rsid w:val="00C560BC"/>
    <w:rsid w:val="00C560FE"/>
    <w:rsid w:val="00C56120"/>
    <w:rsid w:val="00C56151"/>
    <w:rsid w:val="00C56175"/>
    <w:rsid w:val="00C56188"/>
    <w:rsid w:val="00C561E4"/>
    <w:rsid w:val="00C56204"/>
    <w:rsid w:val="00C56262"/>
    <w:rsid w:val="00C56363"/>
    <w:rsid w:val="00C56364"/>
    <w:rsid w:val="00C56367"/>
    <w:rsid w:val="00C563A1"/>
    <w:rsid w:val="00C563B6"/>
    <w:rsid w:val="00C563DF"/>
    <w:rsid w:val="00C5641A"/>
    <w:rsid w:val="00C56433"/>
    <w:rsid w:val="00C56434"/>
    <w:rsid w:val="00C56519"/>
    <w:rsid w:val="00C5657C"/>
    <w:rsid w:val="00C56588"/>
    <w:rsid w:val="00C565A2"/>
    <w:rsid w:val="00C565A5"/>
    <w:rsid w:val="00C565BE"/>
    <w:rsid w:val="00C565D8"/>
    <w:rsid w:val="00C56604"/>
    <w:rsid w:val="00C56609"/>
    <w:rsid w:val="00C56619"/>
    <w:rsid w:val="00C5665D"/>
    <w:rsid w:val="00C56666"/>
    <w:rsid w:val="00C56667"/>
    <w:rsid w:val="00C56691"/>
    <w:rsid w:val="00C566DD"/>
    <w:rsid w:val="00C566E2"/>
    <w:rsid w:val="00C566E4"/>
    <w:rsid w:val="00C566F4"/>
    <w:rsid w:val="00C56704"/>
    <w:rsid w:val="00C5671D"/>
    <w:rsid w:val="00C56760"/>
    <w:rsid w:val="00C5676D"/>
    <w:rsid w:val="00C56852"/>
    <w:rsid w:val="00C568A2"/>
    <w:rsid w:val="00C568E1"/>
    <w:rsid w:val="00C568FC"/>
    <w:rsid w:val="00C5691B"/>
    <w:rsid w:val="00C56937"/>
    <w:rsid w:val="00C56974"/>
    <w:rsid w:val="00C569E5"/>
    <w:rsid w:val="00C569F5"/>
    <w:rsid w:val="00C569F9"/>
    <w:rsid w:val="00C56A59"/>
    <w:rsid w:val="00C56AD8"/>
    <w:rsid w:val="00C56AFC"/>
    <w:rsid w:val="00C56B1A"/>
    <w:rsid w:val="00C56B26"/>
    <w:rsid w:val="00C56B29"/>
    <w:rsid w:val="00C56B4B"/>
    <w:rsid w:val="00C56BDA"/>
    <w:rsid w:val="00C56C57"/>
    <w:rsid w:val="00C56C5E"/>
    <w:rsid w:val="00C56C5F"/>
    <w:rsid w:val="00C56CB8"/>
    <w:rsid w:val="00C56CD2"/>
    <w:rsid w:val="00C56CED"/>
    <w:rsid w:val="00C56D01"/>
    <w:rsid w:val="00C56D0D"/>
    <w:rsid w:val="00C56D1B"/>
    <w:rsid w:val="00C56D25"/>
    <w:rsid w:val="00C56D69"/>
    <w:rsid w:val="00C56D71"/>
    <w:rsid w:val="00C56D80"/>
    <w:rsid w:val="00C56D8D"/>
    <w:rsid w:val="00C56DE6"/>
    <w:rsid w:val="00C56E02"/>
    <w:rsid w:val="00C56E08"/>
    <w:rsid w:val="00C56E1A"/>
    <w:rsid w:val="00C56E1C"/>
    <w:rsid w:val="00C56E21"/>
    <w:rsid w:val="00C56E2E"/>
    <w:rsid w:val="00C56E2F"/>
    <w:rsid w:val="00C56E8E"/>
    <w:rsid w:val="00C56EC6"/>
    <w:rsid w:val="00C56ED0"/>
    <w:rsid w:val="00C56ED1"/>
    <w:rsid w:val="00C56F0B"/>
    <w:rsid w:val="00C56F8B"/>
    <w:rsid w:val="00C56FA0"/>
    <w:rsid w:val="00C56FB7"/>
    <w:rsid w:val="00C56FE4"/>
    <w:rsid w:val="00C56FF9"/>
    <w:rsid w:val="00C57010"/>
    <w:rsid w:val="00C57025"/>
    <w:rsid w:val="00C5704B"/>
    <w:rsid w:val="00C57050"/>
    <w:rsid w:val="00C57091"/>
    <w:rsid w:val="00C570F1"/>
    <w:rsid w:val="00C57131"/>
    <w:rsid w:val="00C57137"/>
    <w:rsid w:val="00C5717E"/>
    <w:rsid w:val="00C571AF"/>
    <w:rsid w:val="00C571B6"/>
    <w:rsid w:val="00C571DF"/>
    <w:rsid w:val="00C57210"/>
    <w:rsid w:val="00C57224"/>
    <w:rsid w:val="00C5722F"/>
    <w:rsid w:val="00C57278"/>
    <w:rsid w:val="00C5727F"/>
    <w:rsid w:val="00C57303"/>
    <w:rsid w:val="00C57315"/>
    <w:rsid w:val="00C5731F"/>
    <w:rsid w:val="00C57328"/>
    <w:rsid w:val="00C57338"/>
    <w:rsid w:val="00C5734F"/>
    <w:rsid w:val="00C57392"/>
    <w:rsid w:val="00C57394"/>
    <w:rsid w:val="00C5743D"/>
    <w:rsid w:val="00C57443"/>
    <w:rsid w:val="00C57451"/>
    <w:rsid w:val="00C57459"/>
    <w:rsid w:val="00C5748C"/>
    <w:rsid w:val="00C574A8"/>
    <w:rsid w:val="00C574AD"/>
    <w:rsid w:val="00C574FD"/>
    <w:rsid w:val="00C5750E"/>
    <w:rsid w:val="00C5752C"/>
    <w:rsid w:val="00C57569"/>
    <w:rsid w:val="00C57582"/>
    <w:rsid w:val="00C575A1"/>
    <w:rsid w:val="00C57645"/>
    <w:rsid w:val="00C576A3"/>
    <w:rsid w:val="00C576CE"/>
    <w:rsid w:val="00C5770E"/>
    <w:rsid w:val="00C57717"/>
    <w:rsid w:val="00C5771D"/>
    <w:rsid w:val="00C57729"/>
    <w:rsid w:val="00C57748"/>
    <w:rsid w:val="00C577C1"/>
    <w:rsid w:val="00C577E2"/>
    <w:rsid w:val="00C57877"/>
    <w:rsid w:val="00C578A6"/>
    <w:rsid w:val="00C578D6"/>
    <w:rsid w:val="00C578E1"/>
    <w:rsid w:val="00C578E3"/>
    <w:rsid w:val="00C57921"/>
    <w:rsid w:val="00C57976"/>
    <w:rsid w:val="00C579F4"/>
    <w:rsid w:val="00C57A58"/>
    <w:rsid w:val="00C57A5D"/>
    <w:rsid w:val="00C57ABB"/>
    <w:rsid w:val="00C57ACA"/>
    <w:rsid w:val="00C57ADE"/>
    <w:rsid w:val="00C57AE6"/>
    <w:rsid w:val="00C57AEC"/>
    <w:rsid w:val="00C57B2B"/>
    <w:rsid w:val="00C57B4F"/>
    <w:rsid w:val="00C57B7F"/>
    <w:rsid w:val="00C57B8B"/>
    <w:rsid w:val="00C57BAA"/>
    <w:rsid w:val="00C57BBD"/>
    <w:rsid w:val="00C57BFA"/>
    <w:rsid w:val="00C57C17"/>
    <w:rsid w:val="00C57CAB"/>
    <w:rsid w:val="00C57CF4"/>
    <w:rsid w:val="00C57D4D"/>
    <w:rsid w:val="00C57D5A"/>
    <w:rsid w:val="00C57D95"/>
    <w:rsid w:val="00C57DA0"/>
    <w:rsid w:val="00C57DAB"/>
    <w:rsid w:val="00C57E15"/>
    <w:rsid w:val="00C57E52"/>
    <w:rsid w:val="00C57E58"/>
    <w:rsid w:val="00C57E78"/>
    <w:rsid w:val="00C57E7A"/>
    <w:rsid w:val="00C57EC0"/>
    <w:rsid w:val="00C57EFA"/>
    <w:rsid w:val="00C57F4E"/>
    <w:rsid w:val="00C57F82"/>
    <w:rsid w:val="00C57F85"/>
    <w:rsid w:val="00C57FC7"/>
    <w:rsid w:val="00C57FDF"/>
    <w:rsid w:val="00C57FFC"/>
    <w:rsid w:val="00C5BE05"/>
    <w:rsid w:val="00C60064"/>
    <w:rsid w:val="00C600A4"/>
    <w:rsid w:val="00C6013B"/>
    <w:rsid w:val="00C60141"/>
    <w:rsid w:val="00C6017E"/>
    <w:rsid w:val="00C60180"/>
    <w:rsid w:val="00C60201"/>
    <w:rsid w:val="00C60250"/>
    <w:rsid w:val="00C60259"/>
    <w:rsid w:val="00C602D8"/>
    <w:rsid w:val="00C602DB"/>
    <w:rsid w:val="00C602DE"/>
    <w:rsid w:val="00C602F0"/>
    <w:rsid w:val="00C60303"/>
    <w:rsid w:val="00C60341"/>
    <w:rsid w:val="00C60365"/>
    <w:rsid w:val="00C603BA"/>
    <w:rsid w:val="00C603EB"/>
    <w:rsid w:val="00C60447"/>
    <w:rsid w:val="00C60459"/>
    <w:rsid w:val="00C6046A"/>
    <w:rsid w:val="00C604C5"/>
    <w:rsid w:val="00C604DE"/>
    <w:rsid w:val="00C604F1"/>
    <w:rsid w:val="00C604FF"/>
    <w:rsid w:val="00C6053C"/>
    <w:rsid w:val="00C6054A"/>
    <w:rsid w:val="00C60570"/>
    <w:rsid w:val="00C605DE"/>
    <w:rsid w:val="00C605EB"/>
    <w:rsid w:val="00C60646"/>
    <w:rsid w:val="00C60656"/>
    <w:rsid w:val="00C606C5"/>
    <w:rsid w:val="00C606C8"/>
    <w:rsid w:val="00C606DA"/>
    <w:rsid w:val="00C60726"/>
    <w:rsid w:val="00C6076E"/>
    <w:rsid w:val="00C6078E"/>
    <w:rsid w:val="00C607BE"/>
    <w:rsid w:val="00C607C3"/>
    <w:rsid w:val="00C607F7"/>
    <w:rsid w:val="00C607FA"/>
    <w:rsid w:val="00C60847"/>
    <w:rsid w:val="00C6085C"/>
    <w:rsid w:val="00C608D8"/>
    <w:rsid w:val="00C60908"/>
    <w:rsid w:val="00C6093C"/>
    <w:rsid w:val="00C60968"/>
    <w:rsid w:val="00C60985"/>
    <w:rsid w:val="00C609D2"/>
    <w:rsid w:val="00C609DA"/>
    <w:rsid w:val="00C60AB7"/>
    <w:rsid w:val="00C60AE7"/>
    <w:rsid w:val="00C60B11"/>
    <w:rsid w:val="00C60B26"/>
    <w:rsid w:val="00C60B2C"/>
    <w:rsid w:val="00C60BA4"/>
    <w:rsid w:val="00C60BA8"/>
    <w:rsid w:val="00C60BBF"/>
    <w:rsid w:val="00C60BC1"/>
    <w:rsid w:val="00C60BD0"/>
    <w:rsid w:val="00C60C34"/>
    <w:rsid w:val="00C60C5C"/>
    <w:rsid w:val="00C60CAA"/>
    <w:rsid w:val="00C60CC1"/>
    <w:rsid w:val="00C60CC4"/>
    <w:rsid w:val="00C60D77"/>
    <w:rsid w:val="00C60E24"/>
    <w:rsid w:val="00C60E36"/>
    <w:rsid w:val="00C60EFD"/>
    <w:rsid w:val="00C60F28"/>
    <w:rsid w:val="00C60F32"/>
    <w:rsid w:val="00C60F52"/>
    <w:rsid w:val="00C60F84"/>
    <w:rsid w:val="00C60F94"/>
    <w:rsid w:val="00C60FB5"/>
    <w:rsid w:val="00C6100B"/>
    <w:rsid w:val="00C610B0"/>
    <w:rsid w:val="00C61115"/>
    <w:rsid w:val="00C6112F"/>
    <w:rsid w:val="00C61177"/>
    <w:rsid w:val="00C61206"/>
    <w:rsid w:val="00C6123D"/>
    <w:rsid w:val="00C6128F"/>
    <w:rsid w:val="00C612B7"/>
    <w:rsid w:val="00C612EB"/>
    <w:rsid w:val="00C61399"/>
    <w:rsid w:val="00C613B9"/>
    <w:rsid w:val="00C613BA"/>
    <w:rsid w:val="00C613E3"/>
    <w:rsid w:val="00C613F2"/>
    <w:rsid w:val="00C61444"/>
    <w:rsid w:val="00C61475"/>
    <w:rsid w:val="00C614BC"/>
    <w:rsid w:val="00C614D6"/>
    <w:rsid w:val="00C614F7"/>
    <w:rsid w:val="00C61557"/>
    <w:rsid w:val="00C615B4"/>
    <w:rsid w:val="00C615EE"/>
    <w:rsid w:val="00C616FC"/>
    <w:rsid w:val="00C6172A"/>
    <w:rsid w:val="00C617A1"/>
    <w:rsid w:val="00C6183F"/>
    <w:rsid w:val="00C6186A"/>
    <w:rsid w:val="00C61888"/>
    <w:rsid w:val="00C6188B"/>
    <w:rsid w:val="00C6190E"/>
    <w:rsid w:val="00C6192F"/>
    <w:rsid w:val="00C6194E"/>
    <w:rsid w:val="00C61957"/>
    <w:rsid w:val="00C61986"/>
    <w:rsid w:val="00C61990"/>
    <w:rsid w:val="00C61994"/>
    <w:rsid w:val="00C619CE"/>
    <w:rsid w:val="00C619E1"/>
    <w:rsid w:val="00C619EF"/>
    <w:rsid w:val="00C61A19"/>
    <w:rsid w:val="00C61A61"/>
    <w:rsid w:val="00C61A7F"/>
    <w:rsid w:val="00C61A88"/>
    <w:rsid w:val="00C61A9C"/>
    <w:rsid w:val="00C61AA4"/>
    <w:rsid w:val="00C61AE3"/>
    <w:rsid w:val="00C61B1D"/>
    <w:rsid w:val="00C61B42"/>
    <w:rsid w:val="00C61B48"/>
    <w:rsid w:val="00C61B88"/>
    <w:rsid w:val="00C61BFB"/>
    <w:rsid w:val="00C61C6E"/>
    <w:rsid w:val="00C61C70"/>
    <w:rsid w:val="00C61C75"/>
    <w:rsid w:val="00C61C7C"/>
    <w:rsid w:val="00C61CA0"/>
    <w:rsid w:val="00C61D92"/>
    <w:rsid w:val="00C61D9B"/>
    <w:rsid w:val="00C61DAB"/>
    <w:rsid w:val="00C61DAE"/>
    <w:rsid w:val="00C61DB4"/>
    <w:rsid w:val="00C61DBC"/>
    <w:rsid w:val="00C61DD6"/>
    <w:rsid w:val="00C61DE1"/>
    <w:rsid w:val="00C61DFC"/>
    <w:rsid w:val="00C61E45"/>
    <w:rsid w:val="00C61E47"/>
    <w:rsid w:val="00C61E6A"/>
    <w:rsid w:val="00C61E99"/>
    <w:rsid w:val="00C61EA0"/>
    <w:rsid w:val="00C61F90"/>
    <w:rsid w:val="00C61FBD"/>
    <w:rsid w:val="00C6201D"/>
    <w:rsid w:val="00C6202C"/>
    <w:rsid w:val="00C6204C"/>
    <w:rsid w:val="00C62067"/>
    <w:rsid w:val="00C6208F"/>
    <w:rsid w:val="00C620A7"/>
    <w:rsid w:val="00C62194"/>
    <w:rsid w:val="00C6219E"/>
    <w:rsid w:val="00C621BE"/>
    <w:rsid w:val="00C621C0"/>
    <w:rsid w:val="00C621DC"/>
    <w:rsid w:val="00C621E5"/>
    <w:rsid w:val="00C621F4"/>
    <w:rsid w:val="00C6221C"/>
    <w:rsid w:val="00C6222D"/>
    <w:rsid w:val="00C6224F"/>
    <w:rsid w:val="00C62254"/>
    <w:rsid w:val="00C62270"/>
    <w:rsid w:val="00C622B2"/>
    <w:rsid w:val="00C622B9"/>
    <w:rsid w:val="00C622D4"/>
    <w:rsid w:val="00C622EF"/>
    <w:rsid w:val="00C622F8"/>
    <w:rsid w:val="00C62308"/>
    <w:rsid w:val="00C6232B"/>
    <w:rsid w:val="00C6233F"/>
    <w:rsid w:val="00C62349"/>
    <w:rsid w:val="00C62351"/>
    <w:rsid w:val="00C62360"/>
    <w:rsid w:val="00C623BF"/>
    <w:rsid w:val="00C62411"/>
    <w:rsid w:val="00C6247A"/>
    <w:rsid w:val="00C624DB"/>
    <w:rsid w:val="00C6250E"/>
    <w:rsid w:val="00C62548"/>
    <w:rsid w:val="00C62550"/>
    <w:rsid w:val="00C62567"/>
    <w:rsid w:val="00C625A0"/>
    <w:rsid w:val="00C625CD"/>
    <w:rsid w:val="00C62648"/>
    <w:rsid w:val="00C6264B"/>
    <w:rsid w:val="00C62694"/>
    <w:rsid w:val="00C626C5"/>
    <w:rsid w:val="00C626DA"/>
    <w:rsid w:val="00C62703"/>
    <w:rsid w:val="00C62773"/>
    <w:rsid w:val="00C627AA"/>
    <w:rsid w:val="00C627CB"/>
    <w:rsid w:val="00C627FF"/>
    <w:rsid w:val="00C62805"/>
    <w:rsid w:val="00C62894"/>
    <w:rsid w:val="00C628C2"/>
    <w:rsid w:val="00C628ED"/>
    <w:rsid w:val="00C6295A"/>
    <w:rsid w:val="00C6296D"/>
    <w:rsid w:val="00C6297B"/>
    <w:rsid w:val="00C62985"/>
    <w:rsid w:val="00C62A12"/>
    <w:rsid w:val="00C62A5B"/>
    <w:rsid w:val="00C62AA1"/>
    <w:rsid w:val="00C62AB9"/>
    <w:rsid w:val="00C62AC2"/>
    <w:rsid w:val="00C62AD0"/>
    <w:rsid w:val="00C62AE1"/>
    <w:rsid w:val="00C62AF2"/>
    <w:rsid w:val="00C62B23"/>
    <w:rsid w:val="00C62B52"/>
    <w:rsid w:val="00C62BA5"/>
    <w:rsid w:val="00C62C39"/>
    <w:rsid w:val="00C62C70"/>
    <w:rsid w:val="00C62C7C"/>
    <w:rsid w:val="00C62C8A"/>
    <w:rsid w:val="00C62CC7"/>
    <w:rsid w:val="00C62D33"/>
    <w:rsid w:val="00C62E10"/>
    <w:rsid w:val="00C62E1D"/>
    <w:rsid w:val="00C62E2F"/>
    <w:rsid w:val="00C62E70"/>
    <w:rsid w:val="00C62E79"/>
    <w:rsid w:val="00C62E7B"/>
    <w:rsid w:val="00C62E83"/>
    <w:rsid w:val="00C62E92"/>
    <w:rsid w:val="00C62EA6"/>
    <w:rsid w:val="00C62EAA"/>
    <w:rsid w:val="00C62ECF"/>
    <w:rsid w:val="00C62EF2"/>
    <w:rsid w:val="00C62F0F"/>
    <w:rsid w:val="00C62F10"/>
    <w:rsid w:val="00C62F21"/>
    <w:rsid w:val="00C62F33"/>
    <w:rsid w:val="00C62F59"/>
    <w:rsid w:val="00C62F5B"/>
    <w:rsid w:val="00C62FAB"/>
    <w:rsid w:val="00C62FD8"/>
    <w:rsid w:val="00C62FE9"/>
    <w:rsid w:val="00C62FFA"/>
    <w:rsid w:val="00C6302E"/>
    <w:rsid w:val="00C63053"/>
    <w:rsid w:val="00C630A9"/>
    <w:rsid w:val="00C630C4"/>
    <w:rsid w:val="00C630FB"/>
    <w:rsid w:val="00C63164"/>
    <w:rsid w:val="00C63172"/>
    <w:rsid w:val="00C63176"/>
    <w:rsid w:val="00C631B7"/>
    <w:rsid w:val="00C631D6"/>
    <w:rsid w:val="00C631DB"/>
    <w:rsid w:val="00C631E0"/>
    <w:rsid w:val="00C63206"/>
    <w:rsid w:val="00C632FE"/>
    <w:rsid w:val="00C6330E"/>
    <w:rsid w:val="00C63376"/>
    <w:rsid w:val="00C633A7"/>
    <w:rsid w:val="00C633C2"/>
    <w:rsid w:val="00C633CE"/>
    <w:rsid w:val="00C633F5"/>
    <w:rsid w:val="00C63458"/>
    <w:rsid w:val="00C63459"/>
    <w:rsid w:val="00C63463"/>
    <w:rsid w:val="00C634A0"/>
    <w:rsid w:val="00C634A6"/>
    <w:rsid w:val="00C634B0"/>
    <w:rsid w:val="00C634B3"/>
    <w:rsid w:val="00C634E7"/>
    <w:rsid w:val="00C63522"/>
    <w:rsid w:val="00C63534"/>
    <w:rsid w:val="00C63542"/>
    <w:rsid w:val="00C6357B"/>
    <w:rsid w:val="00C6358C"/>
    <w:rsid w:val="00C6359F"/>
    <w:rsid w:val="00C63668"/>
    <w:rsid w:val="00C6368A"/>
    <w:rsid w:val="00C636A0"/>
    <w:rsid w:val="00C636A3"/>
    <w:rsid w:val="00C636B5"/>
    <w:rsid w:val="00C636BD"/>
    <w:rsid w:val="00C63728"/>
    <w:rsid w:val="00C63768"/>
    <w:rsid w:val="00C6376D"/>
    <w:rsid w:val="00C63777"/>
    <w:rsid w:val="00C637A1"/>
    <w:rsid w:val="00C637D2"/>
    <w:rsid w:val="00C637F2"/>
    <w:rsid w:val="00C6382C"/>
    <w:rsid w:val="00C638BE"/>
    <w:rsid w:val="00C638EB"/>
    <w:rsid w:val="00C63923"/>
    <w:rsid w:val="00C63928"/>
    <w:rsid w:val="00C63939"/>
    <w:rsid w:val="00C6395C"/>
    <w:rsid w:val="00C63986"/>
    <w:rsid w:val="00C639B9"/>
    <w:rsid w:val="00C639CA"/>
    <w:rsid w:val="00C639EE"/>
    <w:rsid w:val="00C639FE"/>
    <w:rsid w:val="00C63A07"/>
    <w:rsid w:val="00C63A10"/>
    <w:rsid w:val="00C63A7D"/>
    <w:rsid w:val="00C63A8D"/>
    <w:rsid w:val="00C63AB2"/>
    <w:rsid w:val="00C63ABD"/>
    <w:rsid w:val="00C63B28"/>
    <w:rsid w:val="00C63B51"/>
    <w:rsid w:val="00C63B98"/>
    <w:rsid w:val="00C63BBC"/>
    <w:rsid w:val="00C63BBD"/>
    <w:rsid w:val="00C63BD6"/>
    <w:rsid w:val="00C63BE0"/>
    <w:rsid w:val="00C63C06"/>
    <w:rsid w:val="00C63C18"/>
    <w:rsid w:val="00C63C24"/>
    <w:rsid w:val="00C63CA2"/>
    <w:rsid w:val="00C63CBA"/>
    <w:rsid w:val="00C63CD4"/>
    <w:rsid w:val="00C63CE7"/>
    <w:rsid w:val="00C63CE9"/>
    <w:rsid w:val="00C63D09"/>
    <w:rsid w:val="00C63D2E"/>
    <w:rsid w:val="00C63D6C"/>
    <w:rsid w:val="00C63D84"/>
    <w:rsid w:val="00C63DD6"/>
    <w:rsid w:val="00C63DF7"/>
    <w:rsid w:val="00C63E95"/>
    <w:rsid w:val="00C63E9C"/>
    <w:rsid w:val="00C63EC9"/>
    <w:rsid w:val="00C63EFF"/>
    <w:rsid w:val="00C63F01"/>
    <w:rsid w:val="00C63F0F"/>
    <w:rsid w:val="00C63F1E"/>
    <w:rsid w:val="00C63F2D"/>
    <w:rsid w:val="00C63F4D"/>
    <w:rsid w:val="00C63F59"/>
    <w:rsid w:val="00C63F78"/>
    <w:rsid w:val="00C63FA9"/>
    <w:rsid w:val="00C64015"/>
    <w:rsid w:val="00C64024"/>
    <w:rsid w:val="00C64065"/>
    <w:rsid w:val="00C6407C"/>
    <w:rsid w:val="00C64096"/>
    <w:rsid w:val="00C640D0"/>
    <w:rsid w:val="00C640F7"/>
    <w:rsid w:val="00C64148"/>
    <w:rsid w:val="00C6414A"/>
    <w:rsid w:val="00C6417E"/>
    <w:rsid w:val="00C641A5"/>
    <w:rsid w:val="00C641B3"/>
    <w:rsid w:val="00C641F8"/>
    <w:rsid w:val="00C641FC"/>
    <w:rsid w:val="00C64201"/>
    <w:rsid w:val="00C64229"/>
    <w:rsid w:val="00C64253"/>
    <w:rsid w:val="00C64255"/>
    <w:rsid w:val="00C64283"/>
    <w:rsid w:val="00C6428A"/>
    <w:rsid w:val="00C642C4"/>
    <w:rsid w:val="00C642CC"/>
    <w:rsid w:val="00C642EE"/>
    <w:rsid w:val="00C642FA"/>
    <w:rsid w:val="00C64303"/>
    <w:rsid w:val="00C64367"/>
    <w:rsid w:val="00C6442E"/>
    <w:rsid w:val="00C6444D"/>
    <w:rsid w:val="00C6445E"/>
    <w:rsid w:val="00C64483"/>
    <w:rsid w:val="00C644C9"/>
    <w:rsid w:val="00C644FC"/>
    <w:rsid w:val="00C64563"/>
    <w:rsid w:val="00C64575"/>
    <w:rsid w:val="00C6458D"/>
    <w:rsid w:val="00C64595"/>
    <w:rsid w:val="00C645B5"/>
    <w:rsid w:val="00C645BD"/>
    <w:rsid w:val="00C6461E"/>
    <w:rsid w:val="00C6462F"/>
    <w:rsid w:val="00C6464F"/>
    <w:rsid w:val="00C6465B"/>
    <w:rsid w:val="00C646B4"/>
    <w:rsid w:val="00C646BD"/>
    <w:rsid w:val="00C646C1"/>
    <w:rsid w:val="00C646C6"/>
    <w:rsid w:val="00C646EF"/>
    <w:rsid w:val="00C646F5"/>
    <w:rsid w:val="00C646FA"/>
    <w:rsid w:val="00C64711"/>
    <w:rsid w:val="00C6471B"/>
    <w:rsid w:val="00C64728"/>
    <w:rsid w:val="00C6473D"/>
    <w:rsid w:val="00C6473E"/>
    <w:rsid w:val="00C6474A"/>
    <w:rsid w:val="00C64795"/>
    <w:rsid w:val="00C647A4"/>
    <w:rsid w:val="00C647B3"/>
    <w:rsid w:val="00C647FB"/>
    <w:rsid w:val="00C64817"/>
    <w:rsid w:val="00C64830"/>
    <w:rsid w:val="00C64839"/>
    <w:rsid w:val="00C64867"/>
    <w:rsid w:val="00C648CD"/>
    <w:rsid w:val="00C648F3"/>
    <w:rsid w:val="00C6493E"/>
    <w:rsid w:val="00C64984"/>
    <w:rsid w:val="00C649B0"/>
    <w:rsid w:val="00C64A50"/>
    <w:rsid w:val="00C64AA6"/>
    <w:rsid w:val="00C64AD0"/>
    <w:rsid w:val="00C64ADF"/>
    <w:rsid w:val="00C64B07"/>
    <w:rsid w:val="00C64B1F"/>
    <w:rsid w:val="00C64B45"/>
    <w:rsid w:val="00C64C3C"/>
    <w:rsid w:val="00C64C4B"/>
    <w:rsid w:val="00C64C7B"/>
    <w:rsid w:val="00C64C92"/>
    <w:rsid w:val="00C64CEC"/>
    <w:rsid w:val="00C64CF0"/>
    <w:rsid w:val="00C64DE8"/>
    <w:rsid w:val="00C64E23"/>
    <w:rsid w:val="00C64E2C"/>
    <w:rsid w:val="00C64E38"/>
    <w:rsid w:val="00C64E7F"/>
    <w:rsid w:val="00C64EB3"/>
    <w:rsid w:val="00C64EE3"/>
    <w:rsid w:val="00C64F1E"/>
    <w:rsid w:val="00C64F48"/>
    <w:rsid w:val="00C64F4C"/>
    <w:rsid w:val="00C64F96"/>
    <w:rsid w:val="00C64FB2"/>
    <w:rsid w:val="00C64FB9"/>
    <w:rsid w:val="00C64FEC"/>
    <w:rsid w:val="00C6503B"/>
    <w:rsid w:val="00C650DC"/>
    <w:rsid w:val="00C65112"/>
    <w:rsid w:val="00C65164"/>
    <w:rsid w:val="00C651A5"/>
    <w:rsid w:val="00C651AD"/>
    <w:rsid w:val="00C651DC"/>
    <w:rsid w:val="00C651F3"/>
    <w:rsid w:val="00C65211"/>
    <w:rsid w:val="00C65228"/>
    <w:rsid w:val="00C65259"/>
    <w:rsid w:val="00C6527B"/>
    <w:rsid w:val="00C652DE"/>
    <w:rsid w:val="00C65303"/>
    <w:rsid w:val="00C653A1"/>
    <w:rsid w:val="00C653C8"/>
    <w:rsid w:val="00C653DA"/>
    <w:rsid w:val="00C653EF"/>
    <w:rsid w:val="00C654DF"/>
    <w:rsid w:val="00C654E4"/>
    <w:rsid w:val="00C6552F"/>
    <w:rsid w:val="00C65552"/>
    <w:rsid w:val="00C655B7"/>
    <w:rsid w:val="00C655DA"/>
    <w:rsid w:val="00C65616"/>
    <w:rsid w:val="00C65636"/>
    <w:rsid w:val="00C6566D"/>
    <w:rsid w:val="00C656BF"/>
    <w:rsid w:val="00C6570C"/>
    <w:rsid w:val="00C65734"/>
    <w:rsid w:val="00C65737"/>
    <w:rsid w:val="00C6573B"/>
    <w:rsid w:val="00C6574D"/>
    <w:rsid w:val="00C65785"/>
    <w:rsid w:val="00C65856"/>
    <w:rsid w:val="00C65859"/>
    <w:rsid w:val="00C65861"/>
    <w:rsid w:val="00C658CF"/>
    <w:rsid w:val="00C6590F"/>
    <w:rsid w:val="00C65976"/>
    <w:rsid w:val="00C65999"/>
    <w:rsid w:val="00C659A1"/>
    <w:rsid w:val="00C659A7"/>
    <w:rsid w:val="00C659DB"/>
    <w:rsid w:val="00C65A8E"/>
    <w:rsid w:val="00C65AB3"/>
    <w:rsid w:val="00C65AB7"/>
    <w:rsid w:val="00C65ACB"/>
    <w:rsid w:val="00C65AE6"/>
    <w:rsid w:val="00C65B5A"/>
    <w:rsid w:val="00C65B75"/>
    <w:rsid w:val="00C65B7B"/>
    <w:rsid w:val="00C65B94"/>
    <w:rsid w:val="00C65BAE"/>
    <w:rsid w:val="00C65BF8"/>
    <w:rsid w:val="00C65BF9"/>
    <w:rsid w:val="00C65BFA"/>
    <w:rsid w:val="00C65C4B"/>
    <w:rsid w:val="00C65C75"/>
    <w:rsid w:val="00C65CDC"/>
    <w:rsid w:val="00C65D0E"/>
    <w:rsid w:val="00C65D1C"/>
    <w:rsid w:val="00C65D4D"/>
    <w:rsid w:val="00C65D6D"/>
    <w:rsid w:val="00C65DE8"/>
    <w:rsid w:val="00C65E09"/>
    <w:rsid w:val="00C65E21"/>
    <w:rsid w:val="00C65E39"/>
    <w:rsid w:val="00C65EFC"/>
    <w:rsid w:val="00C65F0E"/>
    <w:rsid w:val="00C65F2C"/>
    <w:rsid w:val="00C65F3A"/>
    <w:rsid w:val="00C65F49"/>
    <w:rsid w:val="00C65FA0"/>
    <w:rsid w:val="00C65FEC"/>
    <w:rsid w:val="00C66047"/>
    <w:rsid w:val="00C66070"/>
    <w:rsid w:val="00C6607C"/>
    <w:rsid w:val="00C6609B"/>
    <w:rsid w:val="00C660C2"/>
    <w:rsid w:val="00C660C8"/>
    <w:rsid w:val="00C66100"/>
    <w:rsid w:val="00C6610F"/>
    <w:rsid w:val="00C66111"/>
    <w:rsid w:val="00C66174"/>
    <w:rsid w:val="00C6617E"/>
    <w:rsid w:val="00C661A4"/>
    <w:rsid w:val="00C661C7"/>
    <w:rsid w:val="00C661FC"/>
    <w:rsid w:val="00C66206"/>
    <w:rsid w:val="00C6629B"/>
    <w:rsid w:val="00C662F7"/>
    <w:rsid w:val="00C66324"/>
    <w:rsid w:val="00C6637C"/>
    <w:rsid w:val="00C6638C"/>
    <w:rsid w:val="00C66398"/>
    <w:rsid w:val="00C663A3"/>
    <w:rsid w:val="00C663DF"/>
    <w:rsid w:val="00C663E4"/>
    <w:rsid w:val="00C663FB"/>
    <w:rsid w:val="00C66423"/>
    <w:rsid w:val="00C66496"/>
    <w:rsid w:val="00C66514"/>
    <w:rsid w:val="00C665A3"/>
    <w:rsid w:val="00C665B3"/>
    <w:rsid w:val="00C665D2"/>
    <w:rsid w:val="00C6660E"/>
    <w:rsid w:val="00C66616"/>
    <w:rsid w:val="00C6661F"/>
    <w:rsid w:val="00C66674"/>
    <w:rsid w:val="00C66680"/>
    <w:rsid w:val="00C6669E"/>
    <w:rsid w:val="00C6675C"/>
    <w:rsid w:val="00C66761"/>
    <w:rsid w:val="00C6677E"/>
    <w:rsid w:val="00C667F5"/>
    <w:rsid w:val="00C66802"/>
    <w:rsid w:val="00C6682C"/>
    <w:rsid w:val="00C66833"/>
    <w:rsid w:val="00C6689A"/>
    <w:rsid w:val="00C668E6"/>
    <w:rsid w:val="00C668ED"/>
    <w:rsid w:val="00C668F1"/>
    <w:rsid w:val="00C66900"/>
    <w:rsid w:val="00C66905"/>
    <w:rsid w:val="00C6692D"/>
    <w:rsid w:val="00C6692F"/>
    <w:rsid w:val="00C66987"/>
    <w:rsid w:val="00C669B8"/>
    <w:rsid w:val="00C66A61"/>
    <w:rsid w:val="00C66A9A"/>
    <w:rsid w:val="00C66AD5"/>
    <w:rsid w:val="00C66AF8"/>
    <w:rsid w:val="00C66B07"/>
    <w:rsid w:val="00C66B29"/>
    <w:rsid w:val="00C66B30"/>
    <w:rsid w:val="00C66BD0"/>
    <w:rsid w:val="00C66BF0"/>
    <w:rsid w:val="00C66C2D"/>
    <w:rsid w:val="00C66C5F"/>
    <w:rsid w:val="00C66C61"/>
    <w:rsid w:val="00C66CAA"/>
    <w:rsid w:val="00C66CC8"/>
    <w:rsid w:val="00C66CE8"/>
    <w:rsid w:val="00C66D57"/>
    <w:rsid w:val="00C66DA8"/>
    <w:rsid w:val="00C66DC2"/>
    <w:rsid w:val="00C66F7A"/>
    <w:rsid w:val="00C66FCD"/>
    <w:rsid w:val="00C66FD5"/>
    <w:rsid w:val="00C67034"/>
    <w:rsid w:val="00C6708B"/>
    <w:rsid w:val="00C67090"/>
    <w:rsid w:val="00C67125"/>
    <w:rsid w:val="00C67127"/>
    <w:rsid w:val="00C67137"/>
    <w:rsid w:val="00C6715D"/>
    <w:rsid w:val="00C67177"/>
    <w:rsid w:val="00C671BB"/>
    <w:rsid w:val="00C671C6"/>
    <w:rsid w:val="00C671C8"/>
    <w:rsid w:val="00C6721E"/>
    <w:rsid w:val="00C67267"/>
    <w:rsid w:val="00C672E8"/>
    <w:rsid w:val="00C67361"/>
    <w:rsid w:val="00C673AE"/>
    <w:rsid w:val="00C673C5"/>
    <w:rsid w:val="00C673C7"/>
    <w:rsid w:val="00C67408"/>
    <w:rsid w:val="00C67471"/>
    <w:rsid w:val="00C674AB"/>
    <w:rsid w:val="00C674C8"/>
    <w:rsid w:val="00C674E0"/>
    <w:rsid w:val="00C67558"/>
    <w:rsid w:val="00C6755B"/>
    <w:rsid w:val="00C675BC"/>
    <w:rsid w:val="00C675EB"/>
    <w:rsid w:val="00C67630"/>
    <w:rsid w:val="00C67661"/>
    <w:rsid w:val="00C676B5"/>
    <w:rsid w:val="00C676C2"/>
    <w:rsid w:val="00C676DC"/>
    <w:rsid w:val="00C6773E"/>
    <w:rsid w:val="00C67744"/>
    <w:rsid w:val="00C67785"/>
    <w:rsid w:val="00C67797"/>
    <w:rsid w:val="00C677A5"/>
    <w:rsid w:val="00C67811"/>
    <w:rsid w:val="00C67853"/>
    <w:rsid w:val="00C67856"/>
    <w:rsid w:val="00C6786A"/>
    <w:rsid w:val="00C6786C"/>
    <w:rsid w:val="00C6788A"/>
    <w:rsid w:val="00C6789D"/>
    <w:rsid w:val="00C678F1"/>
    <w:rsid w:val="00C6790E"/>
    <w:rsid w:val="00C6795A"/>
    <w:rsid w:val="00C67992"/>
    <w:rsid w:val="00C679E1"/>
    <w:rsid w:val="00C67A3D"/>
    <w:rsid w:val="00C67ABC"/>
    <w:rsid w:val="00C67ABE"/>
    <w:rsid w:val="00C67AE3"/>
    <w:rsid w:val="00C67AFC"/>
    <w:rsid w:val="00C67B02"/>
    <w:rsid w:val="00C67B0D"/>
    <w:rsid w:val="00C67B1C"/>
    <w:rsid w:val="00C67B38"/>
    <w:rsid w:val="00C67B6C"/>
    <w:rsid w:val="00C67B96"/>
    <w:rsid w:val="00C67BA2"/>
    <w:rsid w:val="00C67BC1"/>
    <w:rsid w:val="00C67C20"/>
    <w:rsid w:val="00C67C37"/>
    <w:rsid w:val="00C67C4B"/>
    <w:rsid w:val="00C67C58"/>
    <w:rsid w:val="00C67CE6"/>
    <w:rsid w:val="00C67D57"/>
    <w:rsid w:val="00C67D6D"/>
    <w:rsid w:val="00C67DCC"/>
    <w:rsid w:val="00C67DCF"/>
    <w:rsid w:val="00C67DD2"/>
    <w:rsid w:val="00C67DDB"/>
    <w:rsid w:val="00C67E16"/>
    <w:rsid w:val="00C67E2F"/>
    <w:rsid w:val="00C67E38"/>
    <w:rsid w:val="00C67E53"/>
    <w:rsid w:val="00C67E58"/>
    <w:rsid w:val="00C67E5C"/>
    <w:rsid w:val="00C67EB2"/>
    <w:rsid w:val="00C67ED5"/>
    <w:rsid w:val="00C67EEA"/>
    <w:rsid w:val="00C67EF5"/>
    <w:rsid w:val="00C67F07"/>
    <w:rsid w:val="00C67F39"/>
    <w:rsid w:val="00C67F45"/>
    <w:rsid w:val="00C67F4B"/>
    <w:rsid w:val="00C67FCE"/>
    <w:rsid w:val="00C67FEB"/>
    <w:rsid w:val="00C70022"/>
    <w:rsid w:val="00C70039"/>
    <w:rsid w:val="00C7003E"/>
    <w:rsid w:val="00C7004D"/>
    <w:rsid w:val="00C70062"/>
    <w:rsid w:val="00C70074"/>
    <w:rsid w:val="00C70078"/>
    <w:rsid w:val="00C700B7"/>
    <w:rsid w:val="00C7010E"/>
    <w:rsid w:val="00C70127"/>
    <w:rsid w:val="00C70149"/>
    <w:rsid w:val="00C70157"/>
    <w:rsid w:val="00C7017C"/>
    <w:rsid w:val="00C70191"/>
    <w:rsid w:val="00C70193"/>
    <w:rsid w:val="00C7019D"/>
    <w:rsid w:val="00C701AD"/>
    <w:rsid w:val="00C701F2"/>
    <w:rsid w:val="00C70236"/>
    <w:rsid w:val="00C70263"/>
    <w:rsid w:val="00C702B3"/>
    <w:rsid w:val="00C702C4"/>
    <w:rsid w:val="00C70311"/>
    <w:rsid w:val="00C70343"/>
    <w:rsid w:val="00C7034C"/>
    <w:rsid w:val="00C70368"/>
    <w:rsid w:val="00C70379"/>
    <w:rsid w:val="00C703AE"/>
    <w:rsid w:val="00C703EC"/>
    <w:rsid w:val="00C703EE"/>
    <w:rsid w:val="00C703F4"/>
    <w:rsid w:val="00C703F7"/>
    <w:rsid w:val="00C70421"/>
    <w:rsid w:val="00C70428"/>
    <w:rsid w:val="00C7044D"/>
    <w:rsid w:val="00C70498"/>
    <w:rsid w:val="00C704BC"/>
    <w:rsid w:val="00C704BD"/>
    <w:rsid w:val="00C7054A"/>
    <w:rsid w:val="00C70578"/>
    <w:rsid w:val="00C705A1"/>
    <w:rsid w:val="00C705B3"/>
    <w:rsid w:val="00C705CA"/>
    <w:rsid w:val="00C705E2"/>
    <w:rsid w:val="00C705EF"/>
    <w:rsid w:val="00C705FC"/>
    <w:rsid w:val="00C70609"/>
    <w:rsid w:val="00C70652"/>
    <w:rsid w:val="00C70660"/>
    <w:rsid w:val="00C7066A"/>
    <w:rsid w:val="00C706B8"/>
    <w:rsid w:val="00C706DF"/>
    <w:rsid w:val="00C706E3"/>
    <w:rsid w:val="00C70721"/>
    <w:rsid w:val="00C7072B"/>
    <w:rsid w:val="00C70740"/>
    <w:rsid w:val="00C70744"/>
    <w:rsid w:val="00C70767"/>
    <w:rsid w:val="00C70793"/>
    <w:rsid w:val="00C707AA"/>
    <w:rsid w:val="00C707CD"/>
    <w:rsid w:val="00C707D1"/>
    <w:rsid w:val="00C707E9"/>
    <w:rsid w:val="00C707EA"/>
    <w:rsid w:val="00C70829"/>
    <w:rsid w:val="00C70836"/>
    <w:rsid w:val="00C70849"/>
    <w:rsid w:val="00C70883"/>
    <w:rsid w:val="00C708C0"/>
    <w:rsid w:val="00C70904"/>
    <w:rsid w:val="00C70931"/>
    <w:rsid w:val="00C7094C"/>
    <w:rsid w:val="00C70A46"/>
    <w:rsid w:val="00C70A4A"/>
    <w:rsid w:val="00C70A4F"/>
    <w:rsid w:val="00C70A8E"/>
    <w:rsid w:val="00C70A90"/>
    <w:rsid w:val="00C70ABC"/>
    <w:rsid w:val="00C70AF7"/>
    <w:rsid w:val="00C70B24"/>
    <w:rsid w:val="00C70B39"/>
    <w:rsid w:val="00C70B89"/>
    <w:rsid w:val="00C70BAA"/>
    <w:rsid w:val="00C70BB1"/>
    <w:rsid w:val="00C70BBB"/>
    <w:rsid w:val="00C70BC2"/>
    <w:rsid w:val="00C70BCA"/>
    <w:rsid w:val="00C70BD9"/>
    <w:rsid w:val="00C70BFA"/>
    <w:rsid w:val="00C70C56"/>
    <w:rsid w:val="00C70CE7"/>
    <w:rsid w:val="00C70CF6"/>
    <w:rsid w:val="00C70CFF"/>
    <w:rsid w:val="00C70D1C"/>
    <w:rsid w:val="00C70D95"/>
    <w:rsid w:val="00C70DB4"/>
    <w:rsid w:val="00C70DB5"/>
    <w:rsid w:val="00C70E50"/>
    <w:rsid w:val="00C70E8A"/>
    <w:rsid w:val="00C70E95"/>
    <w:rsid w:val="00C70EB0"/>
    <w:rsid w:val="00C70EBA"/>
    <w:rsid w:val="00C70F2F"/>
    <w:rsid w:val="00C70F5F"/>
    <w:rsid w:val="00C70F64"/>
    <w:rsid w:val="00C70FB1"/>
    <w:rsid w:val="00C70FC7"/>
    <w:rsid w:val="00C70FD8"/>
    <w:rsid w:val="00C71013"/>
    <w:rsid w:val="00C71063"/>
    <w:rsid w:val="00C7108C"/>
    <w:rsid w:val="00C710C3"/>
    <w:rsid w:val="00C710D1"/>
    <w:rsid w:val="00C71108"/>
    <w:rsid w:val="00C71135"/>
    <w:rsid w:val="00C7113B"/>
    <w:rsid w:val="00C7116C"/>
    <w:rsid w:val="00C71171"/>
    <w:rsid w:val="00C71195"/>
    <w:rsid w:val="00C7119D"/>
    <w:rsid w:val="00C711B4"/>
    <w:rsid w:val="00C711D6"/>
    <w:rsid w:val="00C71239"/>
    <w:rsid w:val="00C71247"/>
    <w:rsid w:val="00C71275"/>
    <w:rsid w:val="00C71290"/>
    <w:rsid w:val="00C712C3"/>
    <w:rsid w:val="00C712CB"/>
    <w:rsid w:val="00C712D8"/>
    <w:rsid w:val="00C71348"/>
    <w:rsid w:val="00C71352"/>
    <w:rsid w:val="00C7135E"/>
    <w:rsid w:val="00C71373"/>
    <w:rsid w:val="00C71398"/>
    <w:rsid w:val="00C713B8"/>
    <w:rsid w:val="00C713CF"/>
    <w:rsid w:val="00C7143D"/>
    <w:rsid w:val="00C71450"/>
    <w:rsid w:val="00C71508"/>
    <w:rsid w:val="00C71538"/>
    <w:rsid w:val="00C7155B"/>
    <w:rsid w:val="00C7155E"/>
    <w:rsid w:val="00C715BE"/>
    <w:rsid w:val="00C715CC"/>
    <w:rsid w:val="00C715CE"/>
    <w:rsid w:val="00C715E2"/>
    <w:rsid w:val="00C715E5"/>
    <w:rsid w:val="00C715F3"/>
    <w:rsid w:val="00C7161F"/>
    <w:rsid w:val="00C71622"/>
    <w:rsid w:val="00C7162A"/>
    <w:rsid w:val="00C71686"/>
    <w:rsid w:val="00C716AA"/>
    <w:rsid w:val="00C716C7"/>
    <w:rsid w:val="00C716F1"/>
    <w:rsid w:val="00C71721"/>
    <w:rsid w:val="00C7174E"/>
    <w:rsid w:val="00C71752"/>
    <w:rsid w:val="00C7175A"/>
    <w:rsid w:val="00C7177D"/>
    <w:rsid w:val="00C717B2"/>
    <w:rsid w:val="00C717FA"/>
    <w:rsid w:val="00C7183D"/>
    <w:rsid w:val="00C71865"/>
    <w:rsid w:val="00C718D1"/>
    <w:rsid w:val="00C718E8"/>
    <w:rsid w:val="00C7191C"/>
    <w:rsid w:val="00C7194F"/>
    <w:rsid w:val="00C71977"/>
    <w:rsid w:val="00C719B3"/>
    <w:rsid w:val="00C719B4"/>
    <w:rsid w:val="00C719E2"/>
    <w:rsid w:val="00C71A17"/>
    <w:rsid w:val="00C71AAA"/>
    <w:rsid w:val="00C71AB6"/>
    <w:rsid w:val="00C71ABB"/>
    <w:rsid w:val="00C71AC6"/>
    <w:rsid w:val="00C71AE5"/>
    <w:rsid w:val="00C71B01"/>
    <w:rsid w:val="00C71B47"/>
    <w:rsid w:val="00C71BC7"/>
    <w:rsid w:val="00C71BFE"/>
    <w:rsid w:val="00C71C0F"/>
    <w:rsid w:val="00C71C14"/>
    <w:rsid w:val="00C71C31"/>
    <w:rsid w:val="00C71C4D"/>
    <w:rsid w:val="00C71C7C"/>
    <w:rsid w:val="00C71CA0"/>
    <w:rsid w:val="00C71CB3"/>
    <w:rsid w:val="00C71CC9"/>
    <w:rsid w:val="00C71D0E"/>
    <w:rsid w:val="00C71D9C"/>
    <w:rsid w:val="00C71E2C"/>
    <w:rsid w:val="00C71E55"/>
    <w:rsid w:val="00C71E65"/>
    <w:rsid w:val="00C71E7B"/>
    <w:rsid w:val="00C71E7E"/>
    <w:rsid w:val="00C71E95"/>
    <w:rsid w:val="00C71EF4"/>
    <w:rsid w:val="00C71F22"/>
    <w:rsid w:val="00C71F24"/>
    <w:rsid w:val="00C71F73"/>
    <w:rsid w:val="00C71FB3"/>
    <w:rsid w:val="00C7203C"/>
    <w:rsid w:val="00C720A5"/>
    <w:rsid w:val="00C720DB"/>
    <w:rsid w:val="00C7215E"/>
    <w:rsid w:val="00C721EF"/>
    <w:rsid w:val="00C72207"/>
    <w:rsid w:val="00C72271"/>
    <w:rsid w:val="00C722A5"/>
    <w:rsid w:val="00C722C2"/>
    <w:rsid w:val="00C722D9"/>
    <w:rsid w:val="00C72303"/>
    <w:rsid w:val="00C72333"/>
    <w:rsid w:val="00C72365"/>
    <w:rsid w:val="00C723B4"/>
    <w:rsid w:val="00C723BA"/>
    <w:rsid w:val="00C7241F"/>
    <w:rsid w:val="00C72447"/>
    <w:rsid w:val="00C72466"/>
    <w:rsid w:val="00C72486"/>
    <w:rsid w:val="00C724A0"/>
    <w:rsid w:val="00C724A4"/>
    <w:rsid w:val="00C724C9"/>
    <w:rsid w:val="00C72550"/>
    <w:rsid w:val="00C7258A"/>
    <w:rsid w:val="00C7259E"/>
    <w:rsid w:val="00C725DE"/>
    <w:rsid w:val="00C725E4"/>
    <w:rsid w:val="00C72624"/>
    <w:rsid w:val="00C72645"/>
    <w:rsid w:val="00C72665"/>
    <w:rsid w:val="00C7266D"/>
    <w:rsid w:val="00C726B0"/>
    <w:rsid w:val="00C726B4"/>
    <w:rsid w:val="00C726C4"/>
    <w:rsid w:val="00C726CB"/>
    <w:rsid w:val="00C726D0"/>
    <w:rsid w:val="00C726DA"/>
    <w:rsid w:val="00C726E5"/>
    <w:rsid w:val="00C726EF"/>
    <w:rsid w:val="00C726FA"/>
    <w:rsid w:val="00C7270F"/>
    <w:rsid w:val="00C727AC"/>
    <w:rsid w:val="00C727B5"/>
    <w:rsid w:val="00C727BF"/>
    <w:rsid w:val="00C7280F"/>
    <w:rsid w:val="00C72811"/>
    <w:rsid w:val="00C7284F"/>
    <w:rsid w:val="00C72860"/>
    <w:rsid w:val="00C72894"/>
    <w:rsid w:val="00C728AF"/>
    <w:rsid w:val="00C728CA"/>
    <w:rsid w:val="00C728D6"/>
    <w:rsid w:val="00C728E1"/>
    <w:rsid w:val="00C728E8"/>
    <w:rsid w:val="00C728F3"/>
    <w:rsid w:val="00C72901"/>
    <w:rsid w:val="00C7297C"/>
    <w:rsid w:val="00C7298F"/>
    <w:rsid w:val="00C72A2F"/>
    <w:rsid w:val="00C72A4E"/>
    <w:rsid w:val="00C72A7E"/>
    <w:rsid w:val="00C72A8E"/>
    <w:rsid w:val="00C72AA0"/>
    <w:rsid w:val="00C72AE1"/>
    <w:rsid w:val="00C72B46"/>
    <w:rsid w:val="00C72B87"/>
    <w:rsid w:val="00C72BAD"/>
    <w:rsid w:val="00C72BD8"/>
    <w:rsid w:val="00C72C22"/>
    <w:rsid w:val="00C72C94"/>
    <w:rsid w:val="00C72CA6"/>
    <w:rsid w:val="00C72D05"/>
    <w:rsid w:val="00C72D84"/>
    <w:rsid w:val="00C72DB2"/>
    <w:rsid w:val="00C72DBF"/>
    <w:rsid w:val="00C72DD1"/>
    <w:rsid w:val="00C72DF1"/>
    <w:rsid w:val="00C72DF3"/>
    <w:rsid w:val="00C72DFE"/>
    <w:rsid w:val="00C72E1C"/>
    <w:rsid w:val="00C72E2E"/>
    <w:rsid w:val="00C72E6F"/>
    <w:rsid w:val="00C72EC9"/>
    <w:rsid w:val="00C72F0F"/>
    <w:rsid w:val="00C72F46"/>
    <w:rsid w:val="00C72F5D"/>
    <w:rsid w:val="00C72F7D"/>
    <w:rsid w:val="00C72FC9"/>
    <w:rsid w:val="00C72FD9"/>
    <w:rsid w:val="00C72FE7"/>
    <w:rsid w:val="00C72FF3"/>
    <w:rsid w:val="00C73077"/>
    <w:rsid w:val="00C730C4"/>
    <w:rsid w:val="00C730C7"/>
    <w:rsid w:val="00C730CD"/>
    <w:rsid w:val="00C730DA"/>
    <w:rsid w:val="00C730FC"/>
    <w:rsid w:val="00C73107"/>
    <w:rsid w:val="00C7310F"/>
    <w:rsid w:val="00C73145"/>
    <w:rsid w:val="00C7318B"/>
    <w:rsid w:val="00C731BC"/>
    <w:rsid w:val="00C73229"/>
    <w:rsid w:val="00C7324D"/>
    <w:rsid w:val="00C73255"/>
    <w:rsid w:val="00C732D4"/>
    <w:rsid w:val="00C732ED"/>
    <w:rsid w:val="00C732FB"/>
    <w:rsid w:val="00C7330F"/>
    <w:rsid w:val="00C73333"/>
    <w:rsid w:val="00C73348"/>
    <w:rsid w:val="00C7335D"/>
    <w:rsid w:val="00C73386"/>
    <w:rsid w:val="00C7339E"/>
    <w:rsid w:val="00C7339F"/>
    <w:rsid w:val="00C733EC"/>
    <w:rsid w:val="00C7344F"/>
    <w:rsid w:val="00C7345D"/>
    <w:rsid w:val="00C73486"/>
    <w:rsid w:val="00C734B1"/>
    <w:rsid w:val="00C734B2"/>
    <w:rsid w:val="00C734C8"/>
    <w:rsid w:val="00C73534"/>
    <w:rsid w:val="00C7357D"/>
    <w:rsid w:val="00C73618"/>
    <w:rsid w:val="00C7365B"/>
    <w:rsid w:val="00C7365F"/>
    <w:rsid w:val="00C736A5"/>
    <w:rsid w:val="00C73719"/>
    <w:rsid w:val="00C73721"/>
    <w:rsid w:val="00C737BF"/>
    <w:rsid w:val="00C737E7"/>
    <w:rsid w:val="00C7384C"/>
    <w:rsid w:val="00C7385B"/>
    <w:rsid w:val="00C73860"/>
    <w:rsid w:val="00C73881"/>
    <w:rsid w:val="00C738AF"/>
    <w:rsid w:val="00C738B8"/>
    <w:rsid w:val="00C7391A"/>
    <w:rsid w:val="00C73922"/>
    <w:rsid w:val="00C7393D"/>
    <w:rsid w:val="00C739F6"/>
    <w:rsid w:val="00C73A53"/>
    <w:rsid w:val="00C73A5B"/>
    <w:rsid w:val="00C73AFA"/>
    <w:rsid w:val="00C73B21"/>
    <w:rsid w:val="00C73B3E"/>
    <w:rsid w:val="00C73B54"/>
    <w:rsid w:val="00C73BCE"/>
    <w:rsid w:val="00C73C04"/>
    <w:rsid w:val="00C73C11"/>
    <w:rsid w:val="00C73C35"/>
    <w:rsid w:val="00C73C4A"/>
    <w:rsid w:val="00C73CEB"/>
    <w:rsid w:val="00C73CEF"/>
    <w:rsid w:val="00C73D25"/>
    <w:rsid w:val="00C73D28"/>
    <w:rsid w:val="00C73D2A"/>
    <w:rsid w:val="00C73D31"/>
    <w:rsid w:val="00C73D41"/>
    <w:rsid w:val="00C73D4B"/>
    <w:rsid w:val="00C73D64"/>
    <w:rsid w:val="00C73D76"/>
    <w:rsid w:val="00C73DB7"/>
    <w:rsid w:val="00C73DBD"/>
    <w:rsid w:val="00C73E3B"/>
    <w:rsid w:val="00C73E81"/>
    <w:rsid w:val="00C73E84"/>
    <w:rsid w:val="00C73EF1"/>
    <w:rsid w:val="00C73EF4"/>
    <w:rsid w:val="00C73F33"/>
    <w:rsid w:val="00C73F5C"/>
    <w:rsid w:val="00C73F84"/>
    <w:rsid w:val="00C73F9B"/>
    <w:rsid w:val="00C73FC1"/>
    <w:rsid w:val="00C73FF1"/>
    <w:rsid w:val="00C740C7"/>
    <w:rsid w:val="00C740D8"/>
    <w:rsid w:val="00C740DC"/>
    <w:rsid w:val="00C740DD"/>
    <w:rsid w:val="00C740FB"/>
    <w:rsid w:val="00C7410C"/>
    <w:rsid w:val="00C74157"/>
    <w:rsid w:val="00C741B9"/>
    <w:rsid w:val="00C741F1"/>
    <w:rsid w:val="00C74205"/>
    <w:rsid w:val="00C74240"/>
    <w:rsid w:val="00C74254"/>
    <w:rsid w:val="00C74258"/>
    <w:rsid w:val="00C74259"/>
    <w:rsid w:val="00C74271"/>
    <w:rsid w:val="00C7429A"/>
    <w:rsid w:val="00C7429F"/>
    <w:rsid w:val="00C742E7"/>
    <w:rsid w:val="00C74301"/>
    <w:rsid w:val="00C74310"/>
    <w:rsid w:val="00C74317"/>
    <w:rsid w:val="00C74364"/>
    <w:rsid w:val="00C74381"/>
    <w:rsid w:val="00C74382"/>
    <w:rsid w:val="00C743F6"/>
    <w:rsid w:val="00C743FD"/>
    <w:rsid w:val="00C74417"/>
    <w:rsid w:val="00C74421"/>
    <w:rsid w:val="00C7445A"/>
    <w:rsid w:val="00C74474"/>
    <w:rsid w:val="00C744A0"/>
    <w:rsid w:val="00C744D8"/>
    <w:rsid w:val="00C744DE"/>
    <w:rsid w:val="00C74510"/>
    <w:rsid w:val="00C74562"/>
    <w:rsid w:val="00C7456E"/>
    <w:rsid w:val="00C74590"/>
    <w:rsid w:val="00C74592"/>
    <w:rsid w:val="00C74597"/>
    <w:rsid w:val="00C7459F"/>
    <w:rsid w:val="00C745B6"/>
    <w:rsid w:val="00C745FD"/>
    <w:rsid w:val="00C74661"/>
    <w:rsid w:val="00C7466E"/>
    <w:rsid w:val="00C746A5"/>
    <w:rsid w:val="00C746C5"/>
    <w:rsid w:val="00C74702"/>
    <w:rsid w:val="00C74708"/>
    <w:rsid w:val="00C74721"/>
    <w:rsid w:val="00C74859"/>
    <w:rsid w:val="00C74870"/>
    <w:rsid w:val="00C74871"/>
    <w:rsid w:val="00C74894"/>
    <w:rsid w:val="00C748C4"/>
    <w:rsid w:val="00C748D2"/>
    <w:rsid w:val="00C748E8"/>
    <w:rsid w:val="00C74908"/>
    <w:rsid w:val="00C74957"/>
    <w:rsid w:val="00C7495A"/>
    <w:rsid w:val="00C74980"/>
    <w:rsid w:val="00C749CD"/>
    <w:rsid w:val="00C749D3"/>
    <w:rsid w:val="00C749FD"/>
    <w:rsid w:val="00C74A02"/>
    <w:rsid w:val="00C74A23"/>
    <w:rsid w:val="00C74A37"/>
    <w:rsid w:val="00C74A9D"/>
    <w:rsid w:val="00C74ACD"/>
    <w:rsid w:val="00C74ADC"/>
    <w:rsid w:val="00C74B71"/>
    <w:rsid w:val="00C74B78"/>
    <w:rsid w:val="00C74B87"/>
    <w:rsid w:val="00C74B95"/>
    <w:rsid w:val="00C74B9C"/>
    <w:rsid w:val="00C74BF0"/>
    <w:rsid w:val="00C74C17"/>
    <w:rsid w:val="00C74C3A"/>
    <w:rsid w:val="00C74C3C"/>
    <w:rsid w:val="00C74CA7"/>
    <w:rsid w:val="00C74D03"/>
    <w:rsid w:val="00C74D0D"/>
    <w:rsid w:val="00C74D3A"/>
    <w:rsid w:val="00C74D4D"/>
    <w:rsid w:val="00C74D6F"/>
    <w:rsid w:val="00C74D7A"/>
    <w:rsid w:val="00C74D87"/>
    <w:rsid w:val="00C74DA3"/>
    <w:rsid w:val="00C74DFD"/>
    <w:rsid w:val="00C74E14"/>
    <w:rsid w:val="00C74E19"/>
    <w:rsid w:val="00C74E1A"/>
    <w:rsid w:val="00C74E5B"/>
    <w:rsid w:val="00C74E5F"/>
    <w:rsid w:val="00C74E98"/>
    <w:rsid w:val="00C74EEC"/>
    <w:rsid w:val="00C74F63"/>
    <w:rsid w:val="00C74F66"/>
    <w:rsid w:val="00C74F6A"/>
    <w:rsid w:val="00C74F93"/>
    <w:rsid w:val="00C74FB1"/>
    <w:rsid w:val="00C74FC0"/>
    <w:rsid w:val="00C74FF0"/>
    <w:rsid w:val="00C74FFD"/>
    <w:rsid w:val="00C75046"/>
    <w:rsid w:val="00C7505F"/>
    <w:rsid w:val="00C75067"/>
    <w:rsid w:val="00C75080"/>
    <w:rsid w:val="00C750AB"/>
    <w:rsid w:val="00C750D8"/>
    <w:rsid w:val="00C75104"/>
    <w:rsid w:val="00C7512D"/>
    <w:rsid w:val="00C75133"/>
    <w:rsid w:val="00C7515F"/>
    <w:rsid w:val="00C7516F"/>
    <w:rsid w:val="00C75173"/>
    <w:rsid w:val="00C751A1"/>
    <w:rsid w:val="00C751C6"/>
    <w:rsid w:val="00C75274"/>
    <w:rsid w:val="00C752B1"/>
    <w:rsid w:val="00C752B8"/>
    <w:rsid w:val="00C752C6"/>
    <w:rsid w:val="00C752F7"/>
    <w:rsid w:val="00C7533E"/>
    <w:rsid w:val="00C75354"/>
    <w:rsid w:val="00C753D0"/>
    <w:rsid w:val="00C753E1"/>
    <w:rsid w:val="00C7540B"/>
    <w:rsid w:val="00C75472"/>
    <w:rsid w:val="00C75516"/>
    <w:rsid w:val="00C7551E"/>
    <w:rsid w:val="00C75574"/>
    <w:rsid w:val="00C75597"/>
    <w:rsid w:val="00C755BB"/>
    <w:rsid w:val="00C75647"/>
    <w:rsid w:val="00C7564C"/>
    <w:rsid w:val="00C75666"/>
    <w:rsid w:val="00C75696"/>
    <w:rsid w:val="00C756C4"/>
    <w:rsid w:val="00C756C8"/>
    <w:rsid w:val="00C757FA"/>
    <w:rsid w:val="00C75867"/>
    <w:rsid w:val="00C7589D"/>
    <w:rsid w:val="00C758A8"/>
    <w:rsid w:val="00C758B9"/>
    <w:rsid w:val="00C7591D"/>
    <w:rsid w:val="00C75927"/>
    <w:rsid w:val="00C7592F"/>
    <w:rsid w:val="00C75932"/>
    <w:rsid w:val="00C7593F"/>
    <w:rsid w:val="00C75954"/>
    <w:rsid w:val="00C75972"/>
    <w:rsid w:val="00C75991"/>
    <w:rsid w:val="00C759C1"/>
    <w:rsid w:val="00C759C9"/>
    <w:rsid w:val="00C759E9"/>
    <w:rsid w:val="00C759EF"/>
    <w:rsid w:val="00C75A0C"/>
    <w:rsid w:val="00C75A4E"/>
    <w:rsid w:val="00C75A95"/>
    <w:rsid w:val="00C75A97"/>
    <w:rsid w:val="00C75A98"/>
    <w:rsid w:val="00C75AE0"/>
    <w:rsid w:val="00C75AEB"/>
    <w:rsid w:val="00C75AEF"/>
    <w:rsid w:val="00C75B78"/>
    <w:rsid w:val="00C75B9F"/>
    <w:rsid w:val="00C75BE1"/>
    <w:rsid w:val="00C75C5F"/>
    <w:rsid w:val="00C75C6E"/>
    <w:rsid w:val="00C75C9E"/>
    <w:rsid w:val="00C75CA7"/>
    <w:rsid w:val="00C75CC1"/>
    <w:rsid w:val="00C75CD1"/>
    <w:rsid w:val="00C75D82"/>
    <w:rsid w:val="00C75DA8"/>
    <w:rsid w:val="00C75E0E"/>
    <w:rsid w:val="00C75E53"/>
    <w:rsid w:val="00C75ECF"/>
    <w:rsid w:val="00C75ED7"/>
    <w:rsid w:val="00C75FB3"/>
    <w:rsid w:val="00C75FDA"/>
    <w:rsid w:val="00C76022"/>
    <w:rsid w:val="00C76023"/>
    <w:rsid w:val="00C76024"/>
    <w:rsid w:val="00C76046"/>
    <w:rsid w:val="00C76053"/>
    <w:rsid w:val="00C76077"/>
    <w:rsid w:val="00C760A0"/>
    <w:rsid w:val="00C76129"/>
    <w:rsid w:val="00C7612B"/>
    <w:rsid w:val="00C7613B"/>
    <w:rsid w:val="00C76154"/>
    <w:rsid w:val="00C76192"/>
    <w:rsid w:val="00C761A3"/>
    <w:rsid w:val="00C7621B"/>
    <w:rsid w:val="00C76251"/>
    <w:rsid w:val="00C7629D"/>
    <w:rsid w:val="00C762A1"/>
    <w:rsid w:val="00C762B0"/>
    <w:rsid w:val="00C762E8"/>
    <w:rsid w:val="00C7630C"/>
    <w:rsid w:val="00C7631C"/>
    <w:rsid w:val="00C7634E"/>
    <w:rsid w:val="00C76351"/>
    <w:rsid w:val="00C7639D"/>
    <w:rsid w:val="00C76491"/>
    <w:rsid w:val="00C764BF"/>
    <w:rsid w:val="00C76507"/>
    <w:rsid w:val="00C76525"/>
    <w:rsid w:val="00C7654F"/>
    <w:rsid w:val="00C76555"/>
    <w:rsid w:val="00C765C3"/>
    <w:rsid w:val="00C765D9"/>
    <w:rsid w:val="00C76607"/>
    <w:rsid w:val="00C76640"/>
    <w:rsid w:val="00C7667D"/>
    <w:rsid w:val="00C76692"/>
    <w:rsid w:val="00C766AD"/>
    <w:rsid w:val="00C766CD"/>
    <w:rsid w:val="00C766EF"/>
    <w:rsid w:val="00C766FD"/>
    <w:rsid w:val="00C76712"/>
    <w:rsid w:val="00C7671C"/>
    <w:rsid w:val="00C7673B"/>
    <w:rsid w:val="00C76755"/>
    <w:rsid w:val="00C76758"/>
    <w:rsid w:val="00C76781"/>
    <w:rsid w:val="00C767B3"/>
    <w:rsid w:val="00C76826"/>
    <w:rsid w:val="00C7682C"/>
    <w:rsid w:val="00C76879"/>
    <w:rsid w:val="00C768D0"/>
    <w:rsid w:val="00C768D5"/>
    <w:rsid w:val="00C768EE"/>
    <w:rsid w:val="00C76900"/>
    <w:rsid w:val="00C76916"/>
    <w:rsid w:val="00C7691C"/>
    <w:rsid w:val="00C76986"/>
    <w:rsid w:val="00C769EB"/>
    <w:rsid w:val="00C76A0F"/>
    <w:rsid w:val="00C76A99"/>
    <w:rsid w:val="00C76AB5"/>
    <w:rsid w:val="00C76AB7"/>
    <w:rsid w:val="00C76ACF"/>
    <w:rsid w:val="00C76AD6"/>
    <w:rsid w:val="00C76AE3"/>
    <w:rsid w:val="00C76AE5"/>
    <w:rsid w:val="00C76AFC"/>
    <w:rsid w:val="00C76B38"/>
    <w:rsid w:val="00C76B4C"/>
    <w:rsid w:val="00C76B7C"/>
    <w:rsid w:val="00C76B89"/>
    <w:rsid w:val="00C76BC2"/>
    <w:rsid w:val="00C76BD3"/>
    <w:rsid w:val="00C76BDA"/>
    <w:rsid w:val="00C76C07"/>
    <w:rsid w:val="00C76C0B"/>
    <w:rsid w:val="00C76C35"/>
    <w:rsid w:val="00C76C5E"/>
    <w:rsid w:val="00C76CAA"/>
    <w:rsid w:val="00C76CC9"/>
    <w:rsid w:val="00C76CD1"/>
    <w:rsid w:val="00C76CD3"/>
    <w:rsid w:val="00C76CD6"/>
    <w:rsid w:val="00C76CF0"/>
    <w:rsid w:val="00C76D35"/>
    <w:rsid w:val="00C76D44"/>
    <w:rsid w:val="00C76D9C"/>
    <w:rsid w:val="00C76DD7"/>
    <w:rsid w:val="00C76E35"/>
    <w:rsid w:val="00C76E4C"/>
    <w:rsid w:val="00C76E5E"/>
    <w:rsid w:val="00C76E6F"/>
    <w:rsid w:val="00C76E76"/>
    <w:rsid w:val="00C76EA6"/>
    <w:rsid w:val="00C76ED4"/>
    <w:rsid w:val="00C76EE9"/>
    <w:rsid w:val="00C76F2A"/>
    <w:rsid w:val="00C76F73"/>
    <w:rsid w:val="00C76FA5"/>
    <w:rsid w:val="00C76FB4"/>
    <w:rsid w:val="00C76FF1"/>
    <w:rsid w:val="00C76FF3"/>
    <w:rsid w:val="00C76FFD"/>
    <w:rsid w:val="00C77002"/>
    <w:rsid w:val="00C77007"/>
    <w:rsid w:val="00C7700E"/>
    <w:rsid w:val="00C7706E"/>
    <w:rsid w:val="00C770D4"/>
    <w:rsid w:val="00C770DC"/>
    <w:rsid w:val="00C771EC"/>
    <w:rsid w:val="00C77207"/>
    <w:rsid w:val="00C77219"/>
    <w:rsid w:val="00C77223"/>
    <w:rsid w:val="00C7729D"/>
    <w:rsid w:val="00C772C3"/>
    <w:rsid w:val="00C772C9"/>
    <w:rsid w:val="00C772D2"/>
    <w:rsid w:val="00C7731B"/>
    <w:rsid w:val="00C77343"/>
    <w:rsid w:val="00C77357"/>
    <w:rsid w:val="00C773A0"/>
    <w:rsid w:val="00C773A2"/>
    <w:rsid w:val="00C773A8"/>
    <w:rsid w:val="00C77412"/>
    <w:rsid w:val="00C774A8"/>
    <w:rsid w:val="00C774E7"/>
    <w:rsid w:val="00C77514"/>
    <w:rsid w:val="00C77517"/>
    <w:rsid w:val="00C77555"/>
    <w:rsid w:val="00C7756C"/>
    <w:rsid w:val="00C77577"/>
    <w:rsid w:val="00C77583"/>
    <w:rsid w:val="00C77637"/>
    <w:rsid w:val="00C7764D"/>
    <w:rsid w:val="00C77654"/>
    <w:rsid w:val="00C776A9"/>
    <w:rsid w:val="00C776DC"/>
    <w:rsid w:val="00C77757"/>
    <w:rsid w:val="00C77795"/>
    <w:rsid w:val="00C777A4"/>
    <w:rsid w:val="00C777CE"/>
    <w:rsid w:val="00C777D5"/>
    <w:rsid w:val="00C777D9"/>
    <w:rsid w:val="00C7785F"/>
    <w:rsid w:val="00C7787D"/>
    <w:rsid w:val="00C778DD"/>
    <w:rsid w:val="00C77904"/>
    <w:rsid w:val="00C7791F"/>
    <w:rsid w:val="00C77929"/>
    <w:rsid w:val="00C7794F"/>
    <w:rsid w:val="00C779FB"/>
    <w:rsid w:val="00C77A7F"/>
    <w:rsid w:val="00C77A82"/>
    <w:rsid w:val="00C77A84"/>
    <w:rsid w:val="00C77AA3"/>
    <w:rsid w:val="00C77AD6"/>
    <w:rsid w:val="00C77B05"/>
    <w:rsid w:val="00C77B16"/>
    <w:rsid w:val="00C77B28"/>
    <w:rsid w:val="00C77B69"/>
    <w:rsid w:val="00C77B8F"/>
    <w:rsid w:val="00C77BF6"/>
    <w:rsid w:val="00C77BFB"/>
    <w:rsid w:val="00C77C03"/>
    <w:rsid w:val="00C77C0E"/>
    <w:rsid w:val="00C77C12"/>
    <w:rsid w:val="00C77C20"/>
    <w:rsid w:val="00C77C24"/>
    <w:rsid w:val="00C77C3E"/>
    <w:rsid w:val="00C77C4B"/>
    <w:rsid w:val="00C77CDE"/>
    <w:rsid w:val="00C77D06"/>
    <w:rsid w:val="00C77D28"/>
    <w:rsid w:val="00C77D3E"/>
    <w:rsid w:val="00C77DD0"/>
    <w:rsid w:val="00C77DF2"/>
    <w:rsid w:val="00C77DF3"/>
    <w:rsid w:val="00C77DFB"/>
    <w:rsid w:val="00C77E0A"/>
    <w:rsid w:val="00C77E7E"/>
    <w:rsid w:val="00C77ED6"/>
    <w:rsid w:val="00C77F03"/>
    <w:rsid w:val="00C77F74"/>
    <w:rsid w:val="00C80006"/>
    <w:rsid w:val="00C8001A"/>
    <w:rsid w:val="00C80108"/>
    <w:rsid w:val="00C80119"/>
    <w:rsid w:val="00C80153"/>
    <w:rsid w:val="00C80158"/>
    <w:rsid w:val="00C80170"/>
    <w:rsid w:val="00C801C4"/>
    <w:rsid w:val="00C801D0"/>
    <w:rsid w:val="00C801E4"/>
    <w:rsid w:val="00C80236"/>
    <w:rsid w:val="00C8023F"/>
    <w:rsid w:val="00C8026C"/>
    <w:rsid w:val="00C80273"/>
    <w:rsid w:val="00C802B7"/>
    <w:rsid w:val="00C802DD"/>
    <w:rsid w:val="00C802E9"/>
    <w:rsid w:val="00C802F8"/>
    <w:rsid w:val="00C80301"/>
    <w:rsid w:val="00C80315"/>
    <w:rsid w:val="00C8032F"/>
    <w:rsid w:val="00C803BA"/>
    <w:rsid w:val="00C8048C"/>
    <w:rsid w:val="00C80546"/>
    <w:rsid w:val="00C805E4"/>
    <w:rsid w:val="00C805F2"/>
    <w:rsid w:val="00C805F5"/>
    <w:rsid w:val="00C805FE"/>
    <w:rsid w:val="00C80626"/>
    <w:rsid w:val="00C8063B"/>
    <w:rsid w:val="00C806B3"/>
    <w:rsid w:val="00C806F0"/>
    <w:rsid w:val="00C80726"/>
    <w:rsid w:val="00C80737"/>
    <w:rsid w:val="00C8075D"/>
    <w:rsid w:val="00C80767"/>
    <w:rsid w:val="00C80768"/>
    <w:rsid w:val="00C807A4"/>
    <w:rsid w:val="00C807AA"/>
    <w:rsid w:val="00C807B0"/>
    <w:rsid w:val="00C807DB"/>
    <w:rsid w:val="00C80835"/>
    <w:rsid w:val="00C80872"/>
    <w:rsid w:val="00C808D1"/>
    <w:rsid w:val="00C80919"/>
    <w:rsid w:val="00C80928"/>
    <w:rsid w:val="00C80985"/>
    <w:rsid w:val="00C809E6"/>
    <w:rsid w:val="00C809ED"/>
    <w:rsid w:val="00C80A02"/>
    <w:rsid w:val="00C80A1D"/>
    <w:rsid w:val="00C80AA3"/>
    <w:rsid w:val="00C80AC0"/>
    <w:rsid w:val="00C80AD7"/>
    <w:rsid w:val="00C80B11"/>
    <w:rsid w:val="00C80B2C"/>
    <w:rsid w:val="00C80B34"/>
    <w:rsid w:val="00C80B3D"/>
    <w:rsid w:val="00C80B59"/>
    <w:rsid w:val="00C80B61"/>
    <w:rsid w:val="00C80B79"/>
    <w:rsid w:val="00C80B9F"/>
    <w:rsid w:val="00C80BDC"/>
    <w:rsid w:val="00C80C29"/>
    <w:rsid w:val="00C80C52"/>
    <w:rsid w:val="00C80CBF"/>
    <w:rsid w:val="00C80CD9"/>
    <w:rsid w:val="00C80CE6"/>
    <w:rsid w:val="00C80D1E"/>
    <w:rsid w:val="00C80D54"/>
    <w:rsid w:val="00C80D6E"/>
    <w:rsid w:val="00C80D78"/>
    <w:rsid w:val="00C80DB6"/>
    <w:rsid w:val="00C80DE7"/>
    <w:rsid w:val="00C80DF4"/>
    <w:rsid w:val="00C80DFA"/>
    <w:rsid w:val="00C80E12"/>
    <w:rsid w:val="00C80E19"/>
    <w:rsid w:val="00C80E6A"/>
    <w:rsid w:val="00C80E6C"/>
    <w:rsid w:val="00C80E96"/>
    <w:rsid w:val="00C80EFA"/>
    <w:rsid w:val="00C80FA0"/>
    <w:rsid w:val="00C80FE8"/>
    <w:rsid w:val="00C80FF4"/>
    <w:rsid w:val="00C81029"/>
    <w:rsid w:val="00C8102F"/>
    <w:rsid w:val="00C8107D"/>
    <w:rsid w:val="00C8108A"/>
    <w:rsid w:val="00C810D6"/>
    <w:rsid w:val="00C81104"/>
    <w:rsid w:val="00C81164"/>
    <w:rsid w:val="00C811AB"/>
    <w:rsid w:val="00C811B3"/>
    <w:rsid w:val="00C811BF"/>
    <w:rsid w:val="00C811DD"/>
    <w:rsid w:val="00C811DF"/>
    <w:rsid w:val="00C8121B"/>
    <w:rsid w:val="00C812C7"/>
    <w:rsid w:val="00C8131D"/>
    <w:rsid w:val="00C81321"/>
    <w:rsid w:val="00C81347"/>
    <w:rsid w:val="00C81369"/>
    <w:rsid w:val="00C81393"/>
    <w:rsid w:val="00C81413"/>
    <w:rsid w:val="00C81447"/>
    <w:rsid w:val="00C814A8"/>
    <w:rsid w:val="00C81570"/>
    <w:rsid w:val="00C81576"/>
    <w:rsid w:val="00C815A8"/>
    <w:rsid w:val="00C815D0"/>
    <w:rsid w:val="00C815DA"/>
    <w:rsid w:val="00C815E1"/>
    <w:rsid w:val="00C815FD"/>
    <w:rsid w:val="00C8163E"/>
    <w:rsid w:val="00C8165B"/>
    <w:rsid w:val="00C8165E"/>
    <w:rsid w:val="00C816B0"/>
    <w:rsid w:val="00C816D7"/>
    <w:rsid w:val="00C816F8"/>
    <w:rsid w:val="00C81743"/>
    <w:rsid w:val="00C8174F"/>
    <w:rsid w:val="00C81763"/>
    <w:rsid w:val="00C81817"/>
    <w:rsid w:val="00C81843"/>
    <w:rsid w:val="00C81864"/>
    <w:rsid w:val="00C818C7"/>
    <w:rsid w:val="00C818ED"/>
    <w:rsid w:val="00C818F5"/>
    <w:rsid w:val="00C81949"/>
    <w:rsid w:val="00C81984"/>
    <w:rsid w:val="00C81997"/>
    <w:rsid w:val="00C819AB"/>
    <w:rsid w:val="00C819C1"/>
    <w:rsid w:val="00C819E4"/>
    <w:rsid w:val="00C81A07"/>
    <w:rsid w:val="00C81A09"/>
    <w:rsid w:val="00C81A54"/>
    <w:rsid w:val="00C81A57"/>
    <w:rsid w:val="00C81A84"/>
    <w:rsid w:val="00C81AA2"/>
    <w:rsid w:val="00C81AAB"/>
    <w:rsid w:val="00C81ADF"/>
    <w:rsid w:val="00C81AE2"/>
    <w:rsid w:val="00C81AEC"/>
    <w:rsid w:val="00C81AF6"/>
    <w:rsid w:val="00C81B55"/>
    <w:rsid w:val="00C81B79"/>
    <w:rsid w:val="00C81BF7"/>
    <w:rsid w:val="00C81BF8"/>
    <w:rsid w:val="00C81C08"/>
    <w:rsid w:val="00C81C42"/>
    <w:rsid w:val="00C81C52"/>
    <w:rsid w:val="00C81CF9"/>
    <w:rsid w:val="00C81D4E"/>
    <w:rsid w:val="00C81DCC"/>
    <w:rsid w:val="00C81DDF"/>
    <w:rsid w:val="00C81E26"/>
    <w:rsid w:val="00C81E2F"/>
    <w:rsid w:val="00C81E30"/>
    <w:rsid w:val="00C81E41"/>
    <w:rsid w:val="00C81E57"/>
    <w:rsid w:val="00C81E5D"/>
    <w:rsid w:val="00C81E5E"/>
    <w:rsid w:val="00C81E7B"/>
    <w:rsid w:val="00C81E85"/>
    <w:rsid w:val="00C81EB6"/>
    <w:rsid w:val="00C81EC4"/>
    <w:rsid w:val="00C81ED3"/>
    <w:rsid w:val="00C81F0F"/>
    <w:rsid w:val="00C81F20"/>
    <w:rsid w:val="00C81F23"/>
    <w:rsid w:val="00C81F39"/>
    <w:rsid w:val="00C81F6A"/>
    <w:rsid w:val="00C81F96"/>
    <w:rsid w:val="00C81FEB"/>
    <w:rsid w:val="00C82025"/>
    <w:rsid w:val="00C82029"/>
    <w:rsid w:val="00C8205A"/>
    <w:rsid w:val="00C82072"/>
    <w:rsid w:val="00C82084"/>
    <w:rsid w:val="00C8208B"/>
    <w:rsid w:val="00C82091"/>
    <w:rsid w:val="00C820A2"/>
    <w:rsid w:val="00C820A3"/>
    <w:rsid w:val="00C820D2"/>
    <w:rsid w:val="00C820E7"/>
    <w:rsid w:val="00C820F7"/>
    <w:rsid w:val="00C820FC"/>
    <w:rsid w:val="00C82165"/>
    <w:rsid w:val="00C82184"/>
    <w:rsid w:val="00C821A8"/>
    <w:rsid w:val="00C821B8"/>
    <w:rsid w:val="00C8221A"/>
    <w:rsid w:val="00C8222A"/>
    <w:rsid w:val="00C8223C"/>
    <w:rsid w:val="00C8228D"/>
    <w:rsid w:val="00C82296"/>
    <w:rsid w:val="00C822A9"/>
    <w:rsid w:val="00C822EA"/>
    <w:rsid w:val="00C82332"/>
    <w:rsid w:val="00C82345"/>
    <w:rsid w:val="00C823A0"/>
    <w:rsid w:val="00C823A6"/>
    <w:rsid w:val="00C8240A"/>
    <w:rsid w:val="00C8245A"/>
    <w:rsid w:val="00C82489"/>
    <w:rsid w:val="00C82494"/>
    <w:rsid w:val="00C82496"/>
    <w:rsid w:val="00C8249E"/>
    <w:rsid w:val="00C82517"/>
    <w:rsid w:val="00C82550"/>
    <w:rsid w:val="00C8255A"/>
    <w:rsid w:val="00C8255E"/>
    <w:rsid w:val="00C825FF"/>
    <w:rsid w:val="00C82601"/>
    <w:rsid w:val="00C8262C"/>
    <w:rsid w:val="00C8265E"/>
    <w:rsid w:val="00C82676"/>
    <w:rsid w:val="00C82691"/>
    <w:rsid w:val="00C826AF"/>
    <w:rsid w:val="00C826CE"/>
    <w:rsid w:val="00C826F6"/>
    <w:rsid w:val="00C8277B"/>
    <w:rsid w:val="00C8277C"/>
    <w:rsid w:val="00C82798"/>
    <w:rsid w:val="00C82799"/>
    <w:rsid w:val="00C827A2"/>
    <w:rsid w:val="00C827DB"/>
    <w:rsid w:val="00C827E8"/>
    <w:rsid w:val="00C827EA"/>
    <w:rsid w:val="00C8291A"/>
    <w:rsid w:val="00C82965"/>
    <w:rsid w:val="00C82968"/>
    <w:rsid w:val="00C8298F"/>
    <w:rsid w:val="00C829BA"/>
    <w:rsid w:val="00C829D8"/>
    <w:rsid w:val="00C829EF"/>
    <w:rsid w:val="00C829FC"/>
    <w:rsid w:val="00C82A06"/>
    <w:rsid w:val="00C82A34"/>
    <w:rsid w:val="00C82ACF"/>
    <w:rsid w:val="00C82AEA"/>
    <w:rsid w:val="00C82B10"/>
    <w:rsid w:val="00C82B13"/>
    <w:rsid w:val="00C82B2F"/>
    <w:rsid w:val="00C82B36"/>
    <w:rsid w:val="00C82B3C"/>
    <w:rsid w:val="00C82B46"/>
    <w:rsid w:val="00C82B5A"/>
    <w:rsid w:val="00C82B6A"/>
    <w:rsid w:val="00C82BBF"/>
    <w:rsid w:val="00C82BC9"/>
    <w:rsid w:val="00C82BD2"/>
    <w:rsid w:val="00C82C00"/>
    <w:rsid w:val="00C82C14"/>
    <w:rsid w:val="00C82C1A"/>
    <w:rsid w:val="00C82C25"/>
    <w:rsid w:val="00C82C7B"/>
    <w:rsid w:val="00C82CA3"/>
    <w:rsid w:val="00C82CA5"/>
    <w:rsid w:val="00C82CC0"/>
    <w:rsid w:val="00C82D85"/>
    <w:rsid w:val="00C82DE8"/>
    <w:rsid w:val="00C82E2F"/>
    <w:rsid w:val="00C82E3C"/>
    <w:rsid w:val="00C82EE3"/>
    <w:rsid w:val="00C82EE5"/>
    <w:rsid w:val="00C82EF8"/>
    <w:rsid w:val="00C82EFA"/>
    <w:rsid w:val="00C82F11"/>
    <w:rsid w:val="00C82F1C"/>
    <w:rsid w:val="00C82FC5"/>
    <w:rsid w:val="00C82FF2"/>
    <w:rsid w:val="00C82FFB"/>
    <w:rsid w:val="00C8304E"/>
    <w:rsid w:val="00C830A4"/>
    <w:rsid w:val="00C83112"/>
    <w:rsid w:val="00C8313B"/>
    <w:rsid w:val="00C83141"/>
    <w:rsid w:val="00C8318C"/>
    <w:rsid w:val="00C831C2"/>
    <w:rsid w:val="00C831CB"/>
    <w:rsid w:val="00C831F1"/>
    <w:rsid w:val="00C83224"/>
    <w:rsid w:val="00C83240"/>
    <w:rsid w:val="00C83260"/>
    <w:rsid w:val="00C83262"/>
    <w:rsid w:val="00C83281"/>
    <w:rsid w:val="00C832B9"/>
    <w:rsid w:val="00C832DF"/>
    <w:rsid w:val="00C832E5"/>
    <w:rsid w:val="00C8331D"/>
    <w:rsid w:val="00C8332C"/>
    <w:rsid w:val="00C83354"/>
    <w:rsid w:val="00C833BA"/>
    <w:rsid w:val="00C833F6"/>
    <w:rsid w:val="00C833F7"/>
    <w:rsid w:val="00C8340D"/>
    <w:rsid w:val="00C83429"/>
    <w:rsid w:val="00C8343B"/>
    <w:rsid w:val="00C8344E"/>
    <w:rsid w:val="00C83481"/>
    <w:rsid w:val="00C834D1"/>
    <w:rsid w:val="00C834E3"/>
    <w:rsid w:val="00C834E7"/>
    <w:rsid w:val="00C834F8"/>
    <w:rsid w:val="00C8350A"/>
    <w:rsid w:val="00C8355E"/>
    <w:rsid w:val="00C83587"/>
    <w:rsid w:val="00C835A0"/>
    <w:rsid w:val="00C835BE"/>
    <w:rsid w:val="00C835E6"/>
    <w:rsid w:val="00C835F7"/>
    <w:rsid w:val="00C8361D"/>
    <w:rsid w:val="00C8362C"/>
    <w:rsid w:val="00C83639"/>
    <w:rsid w:val="00C8364A"/>
    <w:rsid w:val="00C8367E"/>
    <w:rsid w:val="00C83681"/>
    <w:rsid w:val="00C836CD"/>
    <w:rsid w:val="00C836E5"/>
    <w:rsid w:val="00C83733"/>
    <w:rsid w:val="00C83758"/>
    <w:rsid w:val="00C837DC"/>
    <w:rsid w:val="00C8383E"/>
    <w:rsid w:val="00C83870"/>
    <w:rsid w:val="00C838EC"/>
    <w:rsid w:val="00C8390A"/>
    <w:rsid w:val="00C83924"/>
    <w:rsid w:val="00C83925"/>
    <w:rsid w:val="00C8392F"/>
    <w:rsid w:val="00C8393C"/>
    <w:rsid w:val="00C8397A"/>
    <w:rsid w:val="00C8397B"/>
    <w:rsid w:val="00C83987"/>
    <w:rsid w:val="00C8399C"/>
    <w:rsid w:val="00C839B4"/>
    <w:rsid w:val="00C83A4E"/>
    <w:rsid w:val="00C83A63"/>
    <w:rsid w:val="00C83A70"/>
    <w:rsid w:val="00C83AA2"/>
    <w:rsid w:val="00C83AAE"/>
    <w:rsid w:val="00C83B6D"/>
    <w:rsid w:val="00C83B73"/>
    <w:rsid w:val="00C83B92"/>
    <w:rsid w:val="00C83BB6"/>
    <w:rsid w:val="00C83BD8"/>
    <w:rsid w:val="00C83BEB"/>
    <w:rsid w:val="00C83C51"/>
    <w:rsid w:val="00C83CD7"/>
    <w:rsid w:val="00C83D12"/>
    <w:rsid w:val="00C83D1D"/>
    <w:rsid w:val="00C83D80"/>
    <w:rsid w:val="00C83DA0"/>
    <w:rsid w:val="00C83DB4"/>
    <w:rsid w:val="00C83E01"/>
    <w:rsid w:val="00C83E0C"/>
    <w:rsid w:val="00C83E1C"/>
    <w:rsid w:val="00C83E80"/>
    <w:rsid w:val="00C83EA2"/>
    <w:rsid w:val="00C83ED6"/>
    <w:rsid w:val="00C83F0F"/>
    <w:rsid w:val="00C83F4B"/>
    <w:rsid w:val="00C83F55"/>
    <w:rsid w:val="00C83F5C"/>
    <w:rsid w:val="00C83F9D"/>
    <w:rsid w:val="00C83FA3"/>
    <w:rsid w:val="00C83FC9"/>
    <w:rsid w:val="00C83FD7"/>
    <w:rsid w:val="00C8405C"/>
    <w:rsid w:val="00C8406A"/>
    <w:rsid w:val="00C84100"/>
    <w:rsid w:val="00C84109"/>
    <w:rsid w:val="00C84113"/>
    <w:rsid w:val="00C8415D"/>
    <w:rsid w:val="00C841B3"/>
    <w:rsid w:val="00C841C6"/>
    <w:rsid w:val="00C841E8"/>
    <w:rsid w:val="00C841F9"/>
    <w:rsid w:val="00C84281"/>
    <w:rsid w:val="00C842C1"/>
    <w:rsid w:val="00C84304"/>
    <w:rsid w:val="00C8431E"/>
    <w:rsid w:val="00C84350"/>
    <w:rsid w:val="00C84351"/>
    <w:rsid w:val="00C84354"/>
    <w:rsid w:val="00C84368"/>
    <w:rsid w:val="00C8436A"/>
    <w:rsid w:val="00C8439E"/>
    <w:rsid w:val="00C843F0"/>
    <w:rsid w:val="00C84436"/>
    <w:rsid w:val="00C84462"/>
    <w:rsid w:val="00C8446F"/>
    <w:rsid w:val="00C8447D"/>
    <w:rsid w:val="00C844B1"/>
    <w:rsid w:val="00C844CF"/>
    <w:rsid w:val="00C844D2"/>
    <w:rsid w:val="00C84577"/>
    <w:rsid w:val="00C84584"/>
    <w:rsid w:val="00C84673"/>
    <w:rsid w:val="00C84687"/>
    <w:rsid w:val="00C8469F"/>
    <w:rsid w:val="00C846A6"/>
    <w:rsid w:val="00C846ED"/>
    <w:rsid w:val="00C846F8"/>
    <w:rsid w:val="00C84708"/>
    <w:rsid w:val="00C847C5"/>
    <w:rsid w:val="00C84862"/>
    <w:rsid w:val="00C8486B"/>
    <w:rsid w:val="00C84871"/>
    <w:rsid w:val="00C84876"/>
    <w:rsid w:val="00C8488C"/>
    <w:rsid w:val="00C848EB"/>
    <w:rsid w:val="00C848FD"/>
    <w:rsid w:val="00C8490E"/>
    <w:rsid w:val="00C84916"/>
    <w:rsid w:val="00C84927"/>
    <w:rsid w:val="00C8492C"/>
    <w:rsid w:val="00C84937"/>
    <w:rsid w:val="00C849DD"/>
    <w:rsid w:val="00C849F5"/>
    <w:rsid w:val="00C849FC"/>
    <w:rsid w:val="00C84A00"/>
    <w:rsid w:val="00C84A0D"/>
    <w:rsid w:val="00C84A24"/>
    <w:rsid w:val="00C84A42"/>
    <w:rsid w:val="00C84A86"/>
    <w:rsid w:val="00C84A8E"/>
    <w:rsid w:val="00C84A9C"/>
    <w:rsid w:val="00C84AA8"/>
    <w:rsid w:val="00C84B2E"/>
    <w:rsid w:val="00C84B81"/>
    <w:rsid w:val="00C84B88"/>
    <w:rsid w:val="00C84BA7"/>
    <w:rsid w:val="00C84BB4"/>
    <w:rsid w:val="00C84BC8"/>
    <w:rsid w:val="00C84BCB"/>
    <w:rsid w:val="00C84BD9"/>
    <w:rsid w:val="00C84C4B"/>
    <w:rsid w:val="00C84C4F"/>
    <w:rsid w:val="00C84C66"/>
    <w:rsid w:val="00C84C7F"/>
    <w:rsid w:val="00C84C98"/>
    <w:rsid w:val="00C84CB5"/>
    <w:rsid w:val="00C84D09"/>
    <w:rsid w:val="00C84D15"/>
    <w:rsid w:val="00C84D1F"/>
    <w:rsid w:val="00C84D25"/>
    <w:rsid w:val="00C84D68"/>
    <w:rsid w:val="00C84D82"/>
    <w:rsid w:val="00C84D83"/>
    <w:rsid w:val="00C84DD4"/>
    <w:rsid w:val="00C84E98"/>
    <w:rsid w:val="00C84EA2"/>
    <w:rsid w:val="00C84EA3"/>
    <w:rsid w:val="00C84EAA"/>
    <w:rsid w:val="00C84ECC"/>
    <w:rsid w:val="00C84ED0"/>
    <w:rsid w:val="00C84EF8"/>
    <w:rsid w:val="00C84EF9"/>
    <w:rsid w:val="00C84F04"/>
    <w:rsid w:val="00C84F3E"/>
    <w:rsid w:val="00C84F41"/>
    <w:rsid w:val="00C84F5B"/>
    <w:rsid w:val="00C8500D"/>
    <w:rsid w:val="00C85073"/>
    <w:rsid w:val="00C850AF"/>
    <w:rsid w:val="00C850FF"/>
    <w:rsid w:val="00C85128"/>
    <w:rsid w:val="00C85157"/>
    <w:rsid w:val="00C85170"/>
    <w:rsid w:val="00C8519B"/>
    <w:rsid w:val="00C851AA"/>
    <w:rsid w:val="00C85206"/>
    <w:rsid w:val="00C85242"/>
    <w:rsid w:val="00C85243"/>
    <w:rsid w:val="00C85294"/>
    <w:rsid w:val="00C85358"/>
    <w:rsid w:val="00C853AA"/>
    <w:rsid w:val="00C853EC"/>
    <w:rsid w:val="00C853ED"/>
    <w:rsid w:val="00C85416"/>
    <w:rsid w:val="00C85461"/>
    <w:rsid w:val="00C85483"/>
    <w:rsid w:val="00C854F8"/>
    <w:rsid w:val="00C854FA"/>
    <w:rsid w:val="00C85512"/>
    <w:rsid w:val="00C85516"/>
    <w:rsid w:val="00C85560"/>
    <w:rsid w:val="00C855A5"/>
    <w:rsid w:val="00C855D4"/>
    <w:rsid w:val="00C85630"/>
    <w:rsid w:val="00C8568E"/>
    <w:rsid w:val="00C856AB"/>
    <w:rsid w:val="00C85705"/>
    <w:rsid w:val="00C85731"/>
    <w:rsid w:val="00C85787"/>
    <w:rsid w:val="00C8579B"/>
    <w:rsid w:val="00C857A7"/>
    <w:rsid w:val="00C857BF"/>
    <w:rsid w:val="00C857F0"/>
    <w:rsid w:val="00C8580B"/>
    <w:rsid w:val="00C8581F"/>
    <w:rsid w:val="00C85836"/>
    <w:rsid w:val="00C8586F"/>
    <w:rsid w:val="00C85872"/>
    <w:rsid w:val="00C85892"/>
    <w:rsid w:val="00C858E3"/>
    <w:rsid w:val="00C85906"/>
    <w:rsid w:val="00C85914"/>
    <w:rsid w:val="00C85917"/>
    <w:rsid w:val="00C8594D"/>
    <w:rsid w:val="00C8597C"/>
    <w:rsid w:val="00C85985"/>
    <w:rsid w:val="00C85988"/>
    <w:rsid w:val="00C85997"/>
    <w:rsid w:val="00C859B4"/>
    <w:rsid w:val="00C859E8"/>
    <w:rsid w:val="00C85A02"/>
    <w:rsid w:val="00C85A47"/>
    <w:rsid w:val="00C85A6F"/>
    <w:rsid w:val="00C85ACE"/>
    <w:rsid w:val="00C85B00"/>
    <w:rsid w:val="00C85B1F"/>
    <w:rsid w:val="00C85B43"/>
    <w:rsid w:val="00C85BE1"/>
    <w:rsid w:val="00C85BFC"/>
    <w:rsid w:val="00C85C40"/>
    <w:rsid w:val="00C85C86"/>
    <w:rsid w:val="00C85CC5"/>
    <w:rsid w:val="00C85CC9"/>
    <w:rsid w:val="00C85CD1"/>
    <w:rsid w:val="00C85D11"/>
    <w:rsid w:val="00C85D14"/>
    <w:rsid w:val="00C85E15"/>
    <w:rsid w:val="00C85E32"/>
    <w:rsid w:val="00C85E87"/>
    <w:rsid w:val="00C85EA1"/>
    <w:rsid w:val="00C85EA6"/>
    <w:rsid w:val="00C85EF0"/>
    <w:rsid w:val="00C85F0E"/>
    <w:rsid w:val="00C85F22"/>
    <w:rsid w:val="00C85F3E"/>
    <w:rsid w:val="00C85F53"/>
    <w:rsid w:val="00C85F7B"/>
    <w:rsid w:val="00C85F80"/>
    <w:rsid w:val="00C85F8B"/>
    <w:rsid w:val="00C85F93"/>
    <w:rsid w:val="00C85FFB"/>
    <w:rsid w:val="00C8609A"/>
    <w:rsid w:val="00C8609B"/>
    <w:rsid w:val="00C860C3"/>
    <w:rsid w:val="00C860CA"/>
    <w:rsid w:val="00C860E0"/>
    <w:rsid w:val="00C8619F"/>
    <w:rsid w:val="00C861AE"/>
    <w:rsid w:val="00C861FE"/>
    <w:rsid w:val="00C86252"/>
    <w:rsid w:val="00C862B6"/>
    <w:rsid w:val="00C862E7"/>
    <w:rsid w:val="00C862EB"/>
    <w:rsid w:val="00C86322"/>
    <w:rsid w:val="00C86335"/>
    <w:rsid w:val="00C86430"/>
    <w:rsid w:val="00C8643A"/>
    <w:rsid w:val="00C86455"/>
    <w:rsid w:val="00C8645D"/>
    <w:rsid w:val="00C8646C"/>
    <w:rsid w:val="00C864A5"/>
    <w:rsid w:val="00C864B2"/>
    <w:rsid w:val="00C864C2"/>
    <w:rsid w:val="00C864F9"/>
    <w:rsid w:val="00C865AA"/>
    <w:rsid w:val="00C865B0"/>
    <w:rsid w:val="00C865C4"/>
    <w:rsid w:val="00C865C7"/>
    <w:rsid w:val="00C865CD"/>
    <w:rsid w:val="00C86607"/>
    <w:rsid w:val="00C8660E"/>
    <w:rsid w:val="00C8664F"/>
    <w:rsid w:val="00C8668E"/>
    <w:rsid w:val="00C866C8"/>
    <w:rsid w:val="00C8672B"/>
    <w:rsid w:val="00C86739"/>
    <w:rsid w:val="00C867CF"/>
    <w:rsid w:val="00C86820"/>
    <w:rsid w:val="00C8684D"/>
    <w:rsid w:val="00C8685C"/>
    <w:rsid w:val="00C86864"/>
    <w:rsid w:val="00C86865"/>
    <w:rsid w:val="00C86887"/>
    <w:rsid w:val="00C868CE"/>
    <w:rsid w:val="00C868E6"/>
    <w:rsid w:val="00C8691C"/>
    <w:rsid w:val="00C86975"/>
    <w:rsid w:val="00C869A1"/>
    <w:rsid w:val="00C869B8"/>
    <w:rsid w:val="00C869CA"/>
    <w:rsid w:val="00C869D2"/>
    <w:rsid w:val="00C86A17"/>
    <w:rsid w:val="00C86A93"/>
    <w:rsid w:val="00C86AC5"/>
    <w:rsid w:val="00C86AE9"/>
    <w:rsid w:val="00C86AFF"/>
    <w:rsid w:val="00C86B47"/>
    <w:rsid w:val="00C86B5D"/>
    <w:rsid w:val="00C86B7E"/>
    <w:rsid w:val="00C86BAB"/>
    <w:rsid w:val="00C86BCE"/>
    <w:rsid w:val="00C86BE3"/>
    <w:rsid w:val="00C86C3A"/>
    <w:rsid w:val="00C86CB5"/>
    <w:rsid w:val="00C86D0D"/>
    <w:rsid w:val="00C86DBA"/>
    <w:rsid w:val="00C86E1E"/>
    <w:rsid w:val="00C86E2B"/>
    <w:rsid w:val="00C86E8F"/>
    <w:rsid w:val="00C86EB8"/>
    <w:rsid w:val="00C86F2A"/>
    <w:rsid w:val="00C86F5D"/>
    <w:rsid w:val="00C86FA4"/>
    <w:rsid w:val="00C86FBD"/>
    <w:rsid w:val="00C86FCA"/>
    <w:rsid w:val="00C86FD0"/>
    <w:rsid w:val="00C86FD2"/>
    <w:rsid w:val="00C86FE3"/>
    <w:rsid w:val="00C86FE7"/>
    <w:rsid w:val="00C87021"/>
    <w:rsid w:val="00C87036"/>
    <w:rsid w:val="00C8704A"/>
    <w:rsid w:val="00C870A6"/>
    <w:rsid w:val="00C870BA"/>
    <w:rsid w:val="00C870D5"/>
    <w:rsid w:val="00C8711B"/>
    <w:rsid w:val="00C8713B"/>
    <w:rsid w:val="00C87195"/>
    <w:rsid w:val="00C871B9"/>
    <w:rsid w:val="00C871E5"/>
    <w:rsid w:val="00C87260"/>
    <w:rsid w:val="00C87273"/>
    <w:rsid w:val="00C872E9"/>
    <w:rsid w:val="00C872FA"/>
    <w:rsid w:val="00C8734D"/>
    <w:rsid w:val="00C87350"/>
    <w:rsid w:val="00C873A5"/>
    <w:rsid w:val="00C873E9"/>
    <w:rsid w:val="00C873F7"/>
    <w:rsid w:val="00C873FA"/>
    <w:rsid w:val="00C87431"/>
    <w:rsid w:val="00C87450"/>
    <w:rsid w:val="00C87451"/>
    <w:rsid w:val="00C874C2"/>
    <w:rsid w:val="00C87526"/>
    <w:rsid w:val="00C8752B"/>
    <w:rsid w:val="00C87534"/>
    <w:rsid w:val="00C8759D"/>
    <w:rsid w:val="00C875A0"/>
    <w:rsid w:val="00C875CE"/>
    <w:rsid w:val="00C875D6"/>
    <w:rsid w:val="00C87613"/>
    <w:rsid w:val="00C87618"/>
    <w:rsid w:val="00C87635"/>
    <w:rsid w:val="00C87666"/>
    <w:rsid w:val="00C87679"/>
    <w:rsid w:val="00C87693"/>
    <w:rsid w:val="00C876A2"/>
    <w:rsid w:val="00C876AD"/>
    <w:rsid w:val="00C876C5"/>
    <w:rsid w:val="00C876D3"/>
    <w:rsid w:val="00C876FB"/>
    <w:rsid w:val="00C8771B"/>
    <w:rsid w:val="00C87766"/>
    <w:rsid w:val="00C8779E"/>
    <w:rsid w:val="00C877B8"/>
    <w:rsid w:val="00C877D2"/>
    <w:rsid w:val="00C87809"/>
    <w:rsid w:val="00C87846"/>
    <w:rsid w:val="00C8787A"/>
    <w:rsid w:val="00C87896"/>
    <w:rsid w:val="00C878F6"/>
    <w:rsid w:val="00C8791B"/>
    <w:rsid w:val="00C87982"/>
    <w:rsid w:val="00C87987"/>
    <w:rsid w:val="00C879C7"/>
    <w:rsid w:val="00C879F0"/>
    <w:rsid w:val="00C87A16"/>
    <w:rsid w:val="00C87A5F"/>
    <w:rsid w:val="00C87A64"/>
    <w:rsid w:val="00C87AC0"/>
    <w:rsid w:val="00C87AE0"/>
    <w:rsid w:val="00C87AEE"/>
    <w:rsid w:val="00C87B2C"/>
    <w:rsid w:val="00C87B54"/>
    <w:rsid w:val="00C87B6A"/>
    <w:rsid w:val="00C87B76"/>
    <w:rsid w:val="00C87BA3"/>
    <w:rsid w:val="00C87BB3"/>
    <w:rsid w:val="00C87BC9"/>
    <w:rsid w:val="00C87BCC"/>
    <w:rsid w:val="00C87BD9"/>
    <w:rsid w:val="00C87C05"/>
    <w:rsid w:val="00C87C10"/>
    <w:rsid w:val="00C87C3F"/>
    <w:rsid w:val="00C87C59"/>
    <w:rsid w:val="00C87C77"/>
    <w:rsid w:val="00C87CB6"/>
    <w:rsid w:val="00C87D0F"/>
    <w:rsid w:val="00C87D18"/>
    <w:rsid w:val="00C87D35"/>
    <w:rsid w:val="00C87D41"/>
    <w:rsid w:val="00C87D7A"/>
    <w:rsid w:val="00C87D95"/>
    <w:rsid w:val="00C87DA1"/>
    <w:rsid w:val="00C87DA9"/>
    <w:rsid w:val="00C87DC1"/>
    <w:rsid w:val="00C87DC9"/>
    <w:rsid w:val="00C87E16"/>
    <w:rsid w:val="00C87E48"/>
    <w:rsid w:val="00C87E92"/>
    <w:rsid w:val="00C87EA0"/>
    <w:rsid w:val="00C87EC9"/>
    <w:rsid w:val="00C87EEB"/>
    <w:rsid w:val="00C87F28"/>
    <w:rsid w:val="00C87F33"/>
    <w:rsid w:val="00C87F35"/>
    <w:rsid w:val="00C87F48"/>
    <w:rsid w:val="00C87F9D"/>
    <w:rsid w:val="00C87FB1"/>
    <w:rsid w:val="00C87FD2"/>
    <w:rsid w:val="00C87FFE"/>
    <w:rsid w:val="00C9004B"/>
    <w:rsid w:val="00C90063"/>
    <w:rsid w:val="00C901DB"/>
    <w:rsid w:val="00C901F7"/>
    <w:rsid w:val="00C901FA"/>
    <w:rsid w:val="00C9021E"/>
    <w:rsid w:val="00C9027A"/>
    <w:rsid w:val="00C9028A"/>
    <w:rsid w:val="00C902C1"/>
    <w:rsid w:val="00C902D6"/>
    <w:rsid w:val="00C902E8"/>
    <w:rsid w:val="00C9030D"/>
    <w:rsid w:val="00C90317"/>
    <w:rsid w:val="00C9031D"/>
    <w:rsid w:val="00C90337"/>
    <w:rsid w:val="00C90365"/>
    <w:rsid w:val="00C9039D"/>
    <w:rsid w:val="00C903B7"/>
    <w:rsid w:val="00C903F4"/>
    <w:rsid w:val="00C903F7"/>
    <w:rsid w:val="00C90421"/>
    <w:rsid w:val="00C90443"/>
    <w:rsid w:val="00C9044A"/>
    <w:rsid w:val="00C9044F"/>
    <w:rsid w:val="00C90457"/>
    <w:rsid w:val="00C90459"/>
    <w:rsid w:val="00C9046B"/>
    <w:rsid w:val="00C904D0"/>
    <w:rsid w:val="00C90529"/>
    <w:rsid w:val="00C90582"/>
    <w:rsid w:val="00C905A4"/>
    <w:rsid w:val="00C905BD"/>
    <w:rsid w:val="00C905D9"/>
    <w:rsid w:val="00C905F0"/>
    <w:rsid w:val="00C906AB"/>
    <w:rsid w:val="00C90736"/>
    <w:rsid w:val="00C90738"/>
    <w:rsid w:val="00C9073B"/>
    <w:rsid w:val="00C90783"/>
    <w:rsid w:val="00C907D6"/>
    <w:rsid w:val="00C90854"/>
    <w:rsid w:val="00C90883"/>
    <w:rsid w:val="00C90890"/>
    <w:rsid w:val="00C908AB"/>
    <w:rsid w:val="00C90900"/>
    <w:rsid w:val="00C90905"/>
    <w:rsid w:val="00C90964"/>
    <w:rsid w:val="00C90A83"/>
    <w:rsid w:val="00C90A8D"/>
    <w:rsid w:val="00C90AD9"/>
    <w:rsid w:val="00C90AED"/>
    <w:rsid w:val="00C90B13"/>
    <w:rsid w:val="00C90B16"/>
    <w:rsid w:val="00C90B32"/>
    <w:rsid w:val="00C90B3E"/>
    <w:rsid w:val="00C90B77"/>
    <w:rsid w:val="00C90B88"/>
    <w:rsid w:val="00C90B8D"/>
    <w:rsid w:val="00C90BAE"/>
    <w:rsid w:val="00C90BDA"/>
    <w:rsid w:val="00C90C2B"/>
    <w:rsid w:val="00C90C3A"/>
    <w:rsid w:val="00C90C9D"/>
    <w:rsid w:val="00C90CFB"/>
    <w:rsid w:val="00C90D0B"/>
    <w:rsid w:val="00C90D4B"/>
    <w:rsid w:val="00C90D4E"/>
    <w:rsid w:val="00C90D64"/>
    <w:rsid w:val="00C90DA4"/>
    <w:rsid w:val="00C90DA5"/>
    <w:rsid w:val="00C90DAD"/>
    <w:rsid w:val="00C90E0C"/>
    <w:rsid w:val="00C90E18"/>
    <w:rsid w:val="00C90E26"/>
    <w:rsid w:val="00C90E55"/>
    <w:rsid w:val="00C90E7A"/>
    <w:rsid w:val="00C90E90"/>
    <w:rsid w:val="00C90EA0"/>
    <w:rsid w:val="00C90EC3"/>
    <w:rsid w:val="00C90EC8"/>
    <w:rsid w:val="00C90EF7"/>
    <w:rsid w:val="00C90FA1"/>
    <w:rsid w:val="00C90FFD"/>
    <w:rsid w:val="00C9104E"/>
    <w:rsid w:val="00C91051"/>
    <w:rsid w:val="00C91097"/>
    <w:rsid w:val="00C910EC"/>
    <w:rsid w:val="00C91127"/>
    <w:rsid w:val="00C91195"/>
    <w:rsid w:val="00C911A3"/>
    <w:rsid w:val="00C911B9"/>
    <w:rsid w:val="00C91212"/>
    <w:rsid w:val="00C9122C"/>
    <w:rsid w:val="00C9125B"/>
    <w:rsid w:val="00C91274"/>
    <w:rsid w:val="00C91282"/>
    <w:rsid w:val="00C91283"/>
    <w:rsid w:val="00C912B6"/>
    <w:rsid w:val="00C912B9"/>
    <w:rsid w:val="00C912F1"/>
    <w:rsid w:val="00C91307"/>
    <w:rsid w:val="00C91382"/>
    <w:rsid w:val="00C91386"/>
    <w:rsid w:val="00C91407"/>
    <w:rsid w:val="00C91424"/>
    <w:rsid w:val="00C9142C"/>
    <w:rsid w:val="00C9143E"/>
    <w:rsid w:val="00C9144C"/>
    <w:rsid w:val="00C9148F"/>
    <w:rsid w:val="00C91529"/>
    <w:rsid w:val="00C9153E"/>
    <w:rsid w:val="00C91550"/>
    <w:rsid w:val="00C915BA"/>
    <w:rsid w:val="00C915CF"/>
    <w:rsid w:val="00C91609"/>
    <w:rsid w:val="00C91693"/>
    <w:rsid w:val="00C91694"/>
    <w:rsid w:val="00C916B2"/>
    <w:rsid w:val="00C9175F"/>
    <w:rsid w:val="00C91791"/>
    <w:rsid w:val="00C917A2"/>
    <w:rsid w:val="00C917E5"/>
    <w:rsid w:val="00C91872"/>
    <w:rsid w:val="00C9189B"/>
    <w:rsid w:val="00C918AD"/>
    <w:rsid w:val="00C918CF"/>
    <w:rsid w:val="00C918F9"/>
    <w:rsid w:val="00C918FC"/>
    <w:rsid w:val="00C91983"/>
    <w:rsid w:val="00C91A6C"/>
    <w:rsid w:val="00C91A78"/>
    <w:rsid w:val="00C91AB1"/>
    <w:rsid w:val="00C91AC8"/>
    <w:rsid w:val="00C91B0B"/>
    <w:rsid w:val="00C91B0D"/>
    <w:rsid w:val="00C91B13"/>
    <w:rsid w:val="00C91B2A"/>
    <w:rsid w:val="00C91B75"/>
    <w:rsid w:val="00C91C14"/>
    <w:rsid w:val="00C91C1A"/>
    <w:rsid w:val="00C91C40"/>
    <w:rsid w:val="00C91C82"/>
    <w:rsid w:val="00C91CBA"/>
    <w:rsid w:val="00C91CFA"/>
    <w:rsid w:val="00C91D74"/>
    <w:rsid w:val="00C91D86"/>
    <w:rsid w:val="00C91DAA"/>
    <w:rsid w:val="00C91DCD"/>
    <w:rsid w:val="00C91DE0"/>
    <w:rsid w:val="00C91E03"/>
    <w:rsid w:val="00C91E08"/>
    <w:rsid w:val="00C91E1F"/>
    <w:rsid w:val="00C91E4C"/>
    <w:rsid w:val="00C91E9E"/>
    <w:rsid w:val="00C91EE3"/>
    <w:rsid w:val="00C91EED"/>
    <w:rsid w:val="00C91F06"/>
    <w:rsid w:val="00C9202B"/>
    <w:rsid w:val="00C92085"/>
    <w:rsid w:val="00C92097"/>
    <w:rsid w:val="00C920CF"/>
    <w:rsid w:val="00C920D3"/>
    <w:rsid w:val="00C92102"/>
    <w:rsid w:val="00C9212D"/>
    <w:rsid w:val="00C9213B"/>
    <w:rsid w:val="00C9215B"/>
    <w:rsid w:val="00C9217E"/>
    <w:rsid w:val="00C92195"/>
    <w:rsid w:val="00C921AF"/>
    <w:rsid w:val="00C921C5"/>
    <w:rsid w:val="00C9220D"/>
    <w:rsid w:val="00C92233"/>
    <w:rsid w:val="00C92235"/>
    <w:rsid w:val="00C92238"/>
    <w:rsid w:val="00C92261"/>
    <w:rsid w:val="00C92264"/>
    <w:rsid w:val="00C92290"/>
    <w:rsid w:val="00C922A4"/>
    <w:rsid w:val="00C922CC"/>
    <w:rsid w:val="00C92334"/>
    <w:rsid w:val="00C92363"/>
    <w:rsid w:val="00C92372"/>
    <w:rsid w:val="00C923B6"/>
    <w:rsid w:val="00C9245D"/>
    <w:rsid w:val="00C92474"/>
    <w:rsid w:val="00C924AA"/>
    <w:rsid w:val="00C924C4"/>
    <w:rsid w:val="00C92544"/>
    <w:rsid w:val="00C92548"/>
    <w:rsid w:val="00C92559"/>
    <w:rsid w:val="00C9256F"/>
    <w:rsid w:val="00C92595"/>
    <w:rsid w:val="00C925E9"/>
    <w:rsid w:val="00C92634"/>
    <w:rsid w:val="00C9264C"/>
    <w:rsid w:val="00C9265A"/>
    <w:rsid w:val="00C92661"/>
    <w:rsid w:val="00C9266F"/>
    <w:rsid w:val="00C926B7"/>
    <w:rsid w:val="00C926C3"/>
    <w:rsid w:val="00C926F4"/>
    <w:rsid w:val="00C9270F"/>
    <w:rsid w:val="00C92728"/>
    <w:rsid w:val="00C927CF"/>
    <w:rsid w:val="00C9280D"/>
    <w:rsid w:val="00C9282B"/>
    <w:rsid w:val="00C92852"/>
    <w:rsid w:val="00C928B0"/>
    <w:rsid w:val="00C928DC"/>
    <w:rsid w:val="00C9291D"/>
    <w:rsid w:val="00C929A9"/>
    <w:rsid w:val="00C929C7"/>
    <w:rsid w:val="00C929C8"/>
    <w:rsid w:val="00C92A02"/>
    <w:rsid w:val="00C92A07"/>
    <w:rsid w:val="00C92A20"/>
    <w:rsid w:val="00C92A54"/>
    <w:rsid w:val="00C92A5C"/>
    <w:rsid w:val="00C92A8A"/>
    <w:rsid w:val="00C92AE7"/>
    <w:rsid w:val="00C92AFA"/>
    <w:rsid w:val="00C92B1E"/>
    <w:rsid w:val="00C92B23"/>
    <w:rsid w:val="00C92B47"/>
    <w:rsid w:val="00C92B65"/>
    <w:rsid w:val="00C92BD0"/>
    <w:rsid w:val="00C92BEE"/>
    <w:rsid w:val="00C92C79"/>
    <w:rsid w:val="00C92CAA"/>
    <w:rsid w:val="00C92CAD"/>
    <w:rsid w:val="00C92CD0"/>
    <w:rsid w:val="00C92D34"/>
    <w:rsid w:val="00C92D5F"/>
    <w:rsid w:val="00C92D77"/>
    <w:rsid w:val="00C92D94"/>
    <w:rsid w:val="00C92DCB"/>
    <w:rsid w:val="00C92DD6"/>
    <w:rsid w:val="00C92E0F"/>
    <w:rsid w:val="00C92E28"/>
    <w:rsid w:val="00C92E89"/>
    <w:rsid w:val="00C92E9E"/>
    <w:rsid w:val="00C92EA6"/>
    <w:rsid w:val="00C92EB8"/>
    <w:rsid w:val="00C92EB9"/>
    <w:rsid w:val="00C92ED2"/>
    <w:rsid w:val="00C92EF2"/>
    <w:rsid w:val="00C92F07"/>
    <w:rsid w:val="00C92F79"/>
    <w:rsid w:val="00C92F8F"/>
    <w:rsid w:val="00C93007"/>
    <w:rsid w:val="00C93018"/>
    <w:rsid w:val="00C9302C"/>
    <w:rsid w:val="00C930A0"/>
    <w:rsid w:val="00C930B7"/>
    <w:rsid w:val="00C930BA"/>
    <w:rsid w:val="00C9310F"/>
    <w:rsid w:val="00C93182"/>
    <w:rsid w:val="00C93187"/>
    <w:rsid w:val="00C931AE"/>
    <w:rsid w:val="00C931D9"/>
    <w:rsid w:val="00C931E0"/>
    <w:rsid w:val="00C931F3"/>
    <w:rsid w:val="00C9320E"/>
    <w:rsid w:val="00C9321B"/>
    <w:rsid w:val="00C9322E"/>
    <w:rsid w:val="00C9325C"/>
    <w:rsid w:val="00C9327F"/>
    <w:rsid w:val="00C932AE"/>
    <w:rsid w:val="00C9335F"/>
    <w:rsid w:val="00C9338D"/>
    <w:rsid w:val="00C933AB"/>
    <w:rsid w:val="00C933B3"/>
    <w:rsid w:val="00C933D4"/>
    <w:rsid w:val="00C933E1"/>
    <w:rsid w:val="00C93412"/>
    <w:rsid w:val="00C9342E"/>
    <w:rsid w:val="00C9342F"/>
    <w:rsid w:val="00C93485"/>
    <w:rsid w:val="00C93496"/>
    <w:rsid w:val="00C934F4"/>
    <w:rsid w:val="00C93506"/>
    <w:rsid w:val="00C93541"/>
    <w:rsid w:val="00C93547"/>
    <w:rsid w:val="00C93550"/>
    <w:rsid w:val="00C935A4"/>
    <w:rsid w:val="00C935B4"/>
    <w:rsid w:val="00C935DE"/>
    <w:rsid w:val="00C9366E"/>
    <w:rsid w:val="00C93719"/>
    <w:rsid w:val="00C937C2"/>
    <w:rsid w:val="00C9386B"/>
    <w:rsid w:val="00C9386D"/>
    <w:rsid w:val="00C938AB"/>
    <w:rsid w:val="00C938B2"/>
    <w:rsid w:val="00C938B4"/>
    <w:rsid w:val="00C938EF"/>
    <w:rsid w:val="00C938F4"/>
    <w:rsid w:val="00C93931"/>
    <w:rsid w:val="00C93951"/>
    <w:rsid w:val="00C9397A"/>
    <w:rsid w:val="00C93995"/>
    <w:rsid w:val="00C939AD"/>
    <w:rsid w:val="00C939B9"/>
    <w:rsid w:val="00C939D7"/>
    <w:rsid w:val="00C939FD"/>
    <w:rsid w:val="00C93A0A"/>
    <w:rsid w:val="00C93A1B"/>
    <w:rsid w:val="00C93AD8"/>
    <w:rsid w:val="00C93B1B"/>
    <w:rsid w:val="00C93B84"/>
    <w:rsid w:val="00C93B87"/>
    <w:rsid w:val="00C93C7D"/>
    <w:rsid w:val="00C93CB2"/>
    <w:rsid w:val="00C93D2C"/>
    <w:rsid w:val="00C93D4B"/>
    <w:rsid w:val="00C93D6C"/>
    <w:rsid w:val="00C93D9E"/>
    <w:rsid w:val="00C93DDB"/>
    <w:rsid w:val="00C93DF2"/>
    <w:rsid w:val="00C93E00"/>
    <w:rsid w:val="00C93E16"/>
    <w:rsid w:val="00C93E45"/>
    <w:rsid w:val="00C93E75"/>
    <w:rsid w:val="00C93E9D"/>
    <w:rsid w:val="00C93EA2"/>
    <w:rsid w:val="00C93EDF"/>
    <w:rsid w:val="00C93F6A"/>
    <w:rsid w:val="00C93F6B"/>
    <w:rsid w:val="00C93F6E"/>
    <w:rsid w:val="00C93F89"/>
    <w:rsid w:val="00C93F9E"/>
    <w:rsid w:val="00C93FD9"/>
    <w:rsid w:val="00C93FE8"/>
    <w:rsid w:val="00C93FFC"/>
    <w:rsid w:val="00C94028"/>
    <w:rsid w:val="00C94073"/>
    <w:rsid w:val="00C94089"/>
    <w:rsid w:val="00C940CE"/>
    <w:rsid w:val="00C940F0"/>
    <w:rsid w:val="00C94128"/>
    <w:rsid w:val="00C94144"/>
    <w:rsid w:val="00C9414B"/>
    <w:rsid w:val="00C941DE"/>
    <w:rsid w:val="00C94214"/>
    <w:rsid w:val="00C9423E"/>
    <w:rsid w:val="00C94252"/>
    <w:rsid w:val="00C9426E"/>
    <w:rsid w:val="00C94285"/>
    <w:rsid w:val="00C94297"/>
    <w:rsid w:val="00C942B0"/>
    <w:rsid w:val="00C94396"/>
    <w:rsid w:val="00C943BA"/>
    <w:rsid w:val="00C943CE"/>
    <w:rsid w:val="00C94467"/>
    <w:rsid w:val="00C94478"/>
    <w:rsid w:val="00C944CE"/>
    <w:rsid w:val="00C944DC"/>
    <w:rsid w:val="00C944F3"/>
    <w:rsid w:val="00C9456B"/>
    <w:rsid w:val="00C945A8"/>
    <w:rsid w:val="00C945D1"/>
    <w:rsid w:val="00C94619"/>
    <w:rsid w:val="00C94658"/>
    <w:rsid w:val="00C94659"/>
    <w:rsid w:val="00C94682"/>
    <w:rsid w:val="00C946B7"/>
    <w:rsid w:val="00C946D3"/>
    <w:rsid w:val="00C946FC"/>
    <w:rsid w:val="00C94711"/>
    <w:rsid w:val="00C9476D"/>
    <w:rsid w:val="00C94779"/>
    <w:rsid w:val="00C947D4"/>
    <w:rsid w:val="00C94805"/>
    <w:rsid w:val="00C94853"/>
    <w:rsid w:val="00C9486B"/>
    <w:rsid w:val="00C94875"/>
    <w:rsid w:val="00C94879"/>
    <w:rsid w:val="00C9487B"/>
    <w:rsid w:val="00C94896"/>
    <w:rsid w:val="00C948A9"/>
    <w:rsid w:val="00C948DA"/>
    <w:rsid w:val="00C948F9"/>
    <w:rsid w:val="00C94942"/>
    <w:rsid w:val="00C94966"/>
    <w:rsid w:val="00C94A0A"/>
    <w:rsid w:val="00C94A4D"/>
    <w:rsid w:val="00C94AB0"/>
    <w:rsid w:val="00C94B59"/>
    <w:rsid w:val="00C94B68"/>
    <w:rsid w:val="00C94BBF"/>
    <w:rsid w:val="00C94BF5"/>
    <w:rsid w:val="00C94BFE"/>
    <w:rsid w:val="00C94C92"/>
    <w:rsid w:val="00C94CBC"/>
    <w:rsid w:val="00C94CEB"/>
    <w:rsid w:val="00C94CFB"/>
    <w:rsid w:val="00C94D3F"/>
    <w:rsid w:val="00C94D93"/>
    <w:rsid w:val="00C94DA6"/>
    <w:rsid w:val="00C94DA8"/>
    <w:rsid w:val="00C94DAA"/>
    <w:rsid w:val="00C94E35"/>
    <w:rsid w:val="00C94E75"/>
    <w:rsid w:val="00C94ED0"/>
    <w:rsid w:val="00C94F2D"/>
    <w:rsid w:val="00C94F55"/>
    <w:rsid w:val="00C94F67"/>
    <w:rsid w:val="00C94F74"/>
    <w:rsid w:val="00C94F85"/>
    <w:rsid w:val="00C94FB1"/>
    <w:rsid w:val="00C95002"/>
    <w:rsid w:val="00C95003"/>
    <w:rsid w:val="00C9500B"/>
    <w:rsid w:val="00C95014"/>
    <w:rsid w:val="00C95021"/>
    <w:rsid w:val="00C95033"/>
    <w:rsid w:val="00C9509E"/>
    <w:rsid w:val="00C950AE"/>
    <w:rsid w:val="00C95107"/>
    <w:rsid w:val="00C95162"/>
    <w:rsid w:val="00C95166"/>
    <w:rsid w:val="00C951DF"/>
    <w:rsid w:val="00C951E5"/>
    <w:rsid w:val="00C9522E"/>
    <w:rsid w:val="00C9525A"/>
    <w:rsid w:val="00C9525D"/>
    <w:rsid w:val="00C95280"/>
    <w:rsid w:val="00C952B1"/>
    <w:rsid w:val="00C952CE"/>
    <w:rsid w:val="00C95364"/>
    <w:rsid w:val="00C953EF"/>
    <w:rsid w:val="00C9542A"/>
    <w:rsid w:val="00C95446"/>
    <w:rsid w:val="00C95542"/>
    <w:rsid w:val="00C955B5"/>
    <w:rsid w:val="00C955B9"/>
    <w:rsid w:val="00C955EF"/>
    <w:rsid w:val="00C955FE"/>
    <w:rsid w:val="00C95609"/>
    <w:rsid w:val="00C9564C"/>
    <w:rsid w:val="00C95678"/>
    <w:rsid w:val="00C956BC"/>
    <w:rsid w:val="00C956D8"/>
    <w:rsid w:val="00C956E6"/>
    <w:rsid w:val="00C956F1"/>
    <w:rsid w:val="00C9573A"/>
    <w:rsid w:val="00C95784"/>
    <w:rsid w:val="00C95790"/>
    <w:rsid w:val="00C957B0"/>
    <w:rsid w:val="00C957DC"/>
    <w:rsid w:val="00C957EC"/>
    <w:rsid w:val="00C957F4"/>
    <w:rsid w:val="00C95805"/>
    <w:rsid w:val="00C9581B"/>
    <w:rsid w:val="00C95877"/>
    <w:rsid w:val="00C95895"/>
    <w:rsid w:val="00C9591E"/>
    <w:rsid w:val="00C9592F"/>
    <w:rsid w:val="00C9598F"/>
    <w:rsid w:val="00C9599B"/>
    <w:rsid w:val="00C95A35"/>
    <w:rsid w:val="00C95A3C"/>
    <w:rsid w:val="00C95A4F"/>
    <w:rsid w:val="00C95A53"/>
    <w:rsid w:val="00C95A7B"/>
    <w:rsid w:val="00C95A95"/>
    <w:rsid w:val="00C95A9D"/>
    <w:rsid w:val="00C95AF5"/>
    <w:rsid w:val="00C95AFC"/>
    <w:rsid w:val="00C95B11"/>
    <w:rsid w:val="00C95B3F"/>
    <w:rsid w:val="00C95B45"/>
    <w:rsid w:val="00C95B51"/>
    <w:rsid w:val="00C95BD2"/>
    <w:rsid w:val="00C95BD5"/>
    <w:rsid w:val="00C95C21"/>
    <w:rsid w:val="00C95C37"/>
    <w:rsid w:val="00C95C78"/>
    <w:rsid w:val="00C95D5C"/>
    <w:rsid w:val="00C95D80"/>
    <w:rsid w:val="00C95DAE"/>
    <w:rsid w:val="00C95DB3"/>
    <w:rsid w:val="00C95DC2"/>
    <w:rsid w:val="00C95EA2"/>
    <w:rsid w:val="00C95EAB"/>
    <w:rsid w:val="00C95EC3"/>
    <w:rsid w:val="00C95EC7"/>
    <w:rsid w:val="00C95ECF"/>
    <w:rsid w:val="00C95EE5"/>
    <w:rsid w:val="00C95F03"/>
    <w:rsid w:val="00C95F1A"/>
    <w:rsid w:val="00C95F55"/>
    <w:rsid w:val="00C95F8F"/>
    <w:rsid w:val="00C95FB8"/>
    <w:rsid w:val="00C96014"/>
    <w:rsid w:val="00C9608C"/>
    <w:rsid w:val="00C960D8"/>
    <w:rsid w:val="00C960E4"/>
    <w:rsid w:val="00C960E6"/>
    <w:rsid w:val="00C960FE"/>
    <w:rsid w:val="00C96119"/>
    <w:rsid w:val="00C96183"/>
    <w:rsid w:val="00C9624B"/>
    <w:rsid w:val="00C962B8"/>
    <w:rsid w:val="00C962C0"/>
    <w:rsid w:val="00C962FD"/>
    <w:rsid w:val="00C96330"/>
    <w:rsid w:val="00C9635D"/>
    <w:rsid w:val="00C9636B"/>
    <w:rsid w:val="00C963BB"/>
    <w:rsid w:val="00C96415"/>
    <w:rsid w:val="00C96448"/>
    <w:rsid w:val="00C9646B"/>
    <w:rsid w:val="00C964C4"/>
    <w:rsid w:val="00C964CA"/>
    <w:rsid w:val="00C964D9"/>
    <w:rsid w:val="00C964F0"/>
    <w:rsid w:val="00C96504"/>
    <w:rsid w:val="00C96543"/>
    <w:rsid w:val="00C96562"/>
    <w:rsid w:val="00C9656E"/>
    <w:rsid w:val="00C965A3"/>
    <w:rsid w:val="00C965A8"/>
    <w:rsid w:val="00C965BF"/>
    <w:rsid w:val="00C965F1"/>
    <w:rsid w:val="00C96635"/>
    <w:rsid w:val="00C9665C"/>
    <w:rsid w:val="00C9667E"/>
    <w:rsid w:val="00C9668C"/>
    <w:rsid w:val="00C966C2"/>
    <w:rsid w:val="00C966FA"/>
    <w:rsid w:val="00C96773"/>
    <w:rsid w:val="00C9677E"/>
    <w:rsid w:val="00C96787"/>
    <w:rsid w:val="00C96807"/>
    <w:rsid w:val="00C96864"/>
    <w:rsid w:val="00C9686C"/>
    <w:rsid w:val="00C968C1"/>
    <w:rsid w:val="00C9697F"/>
    <w:rsid w:val="00C969DF"/>
    <w:rsid w:val="00C969FD"/>
    <w:rsid w:val="00C96A28"/>
    <w:rsid w:val="00C96A57"/>
    <w:rsid w:val="00C96A6C"/>
    <w:rsid w:val="00C96A88"/>
    <w:rsid w:val="00C96AD2"/>
    <w:rsid w:val="00C96ADB"/>
    <w:rsid w:val="00C96ADE"/>
    <w:rsid w:val="00C96B17"/>
    <w:rsid w:val="00C96B48"/>
    <w:rsid w:val="00C96B61"/>
    <w:rsid w:val="00C96B68"/>
    <w:rsid w:val="00C96BA4"/>
    <w:rsid w:val="00C96BA8"/>
    <w:rsid w:val="00C96BDF"/>
    <w:rsid w:val="00C96C08"/>
    <w:rsid w:val="00C96C56"/>
    <w:rsid w:val="00C96C6A"/>
    <w:rsid w:val="00C96C97"/>
    <w:rsid w:val="00C96CED"/>
    <w:rsid w:val="00C96CF0"/>
    <w:rsid w:val="00C96D54"/>
    <w:rsid w:val="00C96D5B"/>
    <w:rsid w:val="00C96D82"/>
    <w:rsid w:val="00C96DE6"/>
    <w:rsid w:val="00C96DF1"/>
    <w:rsid w:val="00C96E2B"/>
    <w:rsid w:val="00C96E31"/>
    <w:rsid w:val="00C96E46"/>
    <w:rsid w:val="00C96E4B"/>
    <w:rsid w:val="00C96E81"/>
    <w:rsid w:val="00C96EB1"/>
    <w:rsid w:val="00C96EC1"/>
    <w:rsid w:val="00C96EC3"/>
    <w:rsid w:val="00C96EED"/>
    <w:rsid w:val="00C96F3D"/>
    <w:rsid w:val="00C96F83"/>
    <w:rsid w:val="00C96F91"/>
    <w:rsid w:val="00C96FC4"/>
    <w:rsid w:val="00C97043"/>
    <w:rsid w:val="00C9705C"/>
    <w:rsid w:val="00C97088"/>
    <w:rsid w:val="00C970B0"/>
    <w:rsid w:val="00C9712F"/>
    <w:rsid w:val="00C9719C"/>
    <w:rsid w:val="00C971B2"/>
    <w:rsid w:val="00C971F9"/>
    <w:rsid w:val="00C971FE"/>
    <w:rsid w:val="00C97200"/>
    <w:rsid w:val="00C97249"/>
    <w:rsid w:val="00C97296"/>
    <w:rsid w:val="00C972C5"/>
    <w:rsid w:val="00C972E9"/>
    <w:rsid w:val="00C9731B"/>
    <w:rsid w:val="00C97322"/>
    <w:rsid w:val="00C97323"/>
    <w:rsid w:val="00C97371"/>
    <w:rsid w:val="00C97381"/>
    <w:rsid w:val="00C973A4"/>
    <w:rsid w:val="00C973A5"/>
    <w:rsid w:val="00C97419"/>
    <w:rsid w:val="00C9741B"/>
    <w:rsid w:val="00C9743B"/>
    <w:rsid w:val="00C974C0"/>
    <w:rsid w:val="00C974FE"/>
    <w:rsid w:val="00C97500"/>
    <w:rsid w:val="00C9750F"/>
    <w:rsid w:val="00C9753E"/>
    <w:rsid w:val="00C9759A"/>
    <w:rsid w:val="00C975BC"/>
    <w:rsid w:val="00C975F1"/>
    <w:rsid w:val="00C97647"/>
    <w:rsid w:val="00C9764C"/>
    <w:rsid w:val="00C9767B"/>
    <w:rsid w:val="00C97746"/>
    <w:rsid w:val="00C97748"/>
    <w:rsid w:val="00C977F4"/>
    <w:rsid w:val="00C977F5"/>
    <w:rsid w:val="00C97837"/>
    <w:rsid w:val="00C9785B"/>
    <w:rsid w:val="00C97897"/>
    <w:rsid w:val="00C978A6"/>
    <w:rsid w:val="00C978CA"/>
    <w:rsid w:val="00C978CF"/>
    <w:rsid w:val="00C978D2"/>
    <w:rsid w:val="00C97914"/>
    <w:rsid w:val="00C9796D"/>
    <w:rsid w:val="00C979A4"/>
    <w:rsid w:val="00C979B3"/>
    <w:rsid w:val="00C979DA"/>
    <w:rsid w:val="00C979F0"/>
    <w:rsid w:val="00C97A23"/>
    <w:rsid w:val="00C97A94"/>
    <w:rsid w:val="00C97ABE"/>
    <w:rsid w:val="00C97B01"/>
    <w:rsid w:val="00C97B3C"/>
    <w:rsid w:val="00C97B54"/>
    <w:rsid w:val="00C97B5D"/>
    <w:rsid w:val="00C97BF4"/>
    <w:rsid w:val="00C97C7D"/>
    <w:rsid w:val="00C97C8F"/>
    <w:rsid w:val="00C97CB9"/>
    <w:rsid w:val="00C97CD1"/>
    <w:rsid w:val="00C97CF2"/>
    <w:rsid w:val="00C97CFA"/>
    <w:rsid w:val="00C97D25"/>
    <w:rsid w:val="00C97D53"/>
    <w:rsid w:val="00C97D55"/>
    <w:rsid w:val="00C97D5F"/>
    <w:rsid w:val="00C97D73"/>
    <w:rsid w:val="00C97D79"/>
    <w:rsid w:val="00C97DFD"/>
    <w:rsid w:val="00C97E50"/>
    <w:rsid w:val="00C97EA9"/>
    <w:rsid w:val="00C97EDD"/>
    <w:rsid w:val="00C97F17"/>
    <w:rsid w:val="00C97F22"/>
    <w:rsid w:val="00C97F2C"/>
    <w:rsid w:val="00C97F4E"/>
    <w:rsid w:val="00C97F5A"/>
    <w:rsid w:val="00C97F5C"/>
    <w:rsid w:val="00C97F92"/>
    <w:rsid w:val="00C97F9F"/>
    <w:rsid w:val="00C97FBD"/>
    <w:rsid w:val="00C97FFE"/>
    <w:rsid w:val="00C9D58E"/>
    <w:rsid w:val="00CA0012"/>
    <w:rsid w:val="00CA001C"/>
    <w:rsid w:val="00CA001D"/>
    <w:rsid w:val="00CA0057"/>
    <w:rsid w:val="00CA0090"/>
    <w:rsid w:val="00CA00A0"/>
    <w:rsid w:val="00CA00C0"/>
    <w:rsid w:val="00CA00E4"/>
    <w:rsid w:val="00CA0153"/>
    <w:rsid w:val="00CA01D0"/>
    <w:rsid w:val="00CA020D"/>
    <w:rsid w:val="00CA0233"/>
    <w:rsid w:val="00CA023D"/>
    <w:rsid w:val="00CA024F"/>
    <w:rsid w:val="00CA0255"/>
    <w:rsid w:val="00CA02CA"/>
    <w:rsid w:val="00CA032D"/>
    <w:rsid w:val="00CA039D"/>
    <w:rsid w:val="00CA03FA"/>
    <w:rsid w:val="00CA0419"/>
    <w:rsid w:val="00CA0426"/>
    <w:rsid w:val="00CA0483"/>
    <w:rsid w:val="00CA04BD"/>
    <w:rsid w:val="00CA04DF"/>
    <w:rsid w:val="00CA05CD"/>
    <w:rsid w:val="00CA065B"/>
    <w:rsid w:val="00CA068B"/>
    <w:rsid w:val="00CA06F3"/>
    <w:rsid w:val="00CA072C"/>
    <w:rsid w:val="00CA074C"/>
    <w:rsid w:val="00CA0793"/>
    <w:rsid w:val="00CA07A0"/>
    <w:rsid w:val="00CA07E1"/>
    <w:rsid w:val="00CA07F4"/>
    <w:rsid w:val="00CA0819"/>
    <w:rsid w:val="00CA0854"/>
    <w:rsid w:val="00CA08CD"/>
    <w:rsid w:val="00CA091A"/>
    <w:rsid w:val="00CA097A"/>
    <w:rsid w:val="00CA0A1B"/>
    <w:rsid w:val="00CA0B0E"/>
    <w:rsid w:val="00CA0B21"/>
    <w:rsid w:val="00CA0B5A"/>
    <w:rsid w:val="00CA0D13"/>
    <w:rsid w:val="00CA0D93"/>
    <w:rsid w:val="00CA0DC8"/>
    <w:rsid w:val="00CA0DE7"/>
    <w:rsid w:val="00CA0E25"/>
    <w:rsid w:val="00CA0E72"/>
    <w:rsid w:val="00CA0EBC"/>
    <w:rsid w:val="00CA0EF9"/>
    <w:rsid w:val="00CA0F29"/>
    <w:rsid w:val="00CA0F37"/>
    <w:rsid w:val="00CA0F38"/>
    <w:rsid w:val="00CA0F8C"/>
    <w:rsid w:val="00CA0FC5"/>
    <w:rsid w:val="00CA0FD6"/>
    <w:rsid w:val="00CA0FF7"/>
    <w:rsid w:val="00CA101D"/>
    <w:rsid w:val="00CA10A7"/>
    <w:rsid w:val="00CA10F7"/>
    <w:rsid w:val="00CA1149"/>
    <w:rsid w:val="00CA1198"/>
    <w:rsid w:val="00CA11C1"/>
    <w:rsid w:val="00CA11EA"/>
    <w:rsid w:val="00CA11F9"/>
    <w:rsid w:val="00CA1228"/>
    <w:rsid w:val="00CA1263"/>
    <w:rsid w:val="00CA1292"/>
    <w:rsid w:val="00CA12A5"/>
    <w:rsid w:val="00CA12DE"/>
    <w:rsid w:val="00CA12FD"/>
    <w:rsid w:val="00CA1300"/>
    <w:rsid w:val="00CA1306"/>
    <w:rsid w:val="00CA132A"/>
    <w:rsid w:val="00CA132E"/>
    <w:rsid w:val="00CA1354"/>
    <w:rsid w:val="00CA1369"/>
    <w:rsid w:val="00CA136B"/>
    <w:rsid w:val="00CA1387"/>
    <w:rsid w:val="00CA1399"/>
    <w:rsid w:val="00CA13AC"/>
    <w:rsid w:val="00CA13E1"/>
    <w:rsid w:val="00CA1408"/>
    <w:rsid w:val="00CA141C"/>
    <w:rsid w:val="00CA144B"/>
    <w:rsid w:val="00CA1483"/>
    <w:rsid w:val="00CA14B6"/>
    <w:rsid w:val="00CA157D"/>
    <w:rsid w:val="00CA160E"/>
    <w:rsid w:val="00CA1614"/>
    <w:rsid w:val="00CA1654"/>
    <w:rsid w:val="00CA16C0"/>
    <w:rsid w:val="00CA1701"/>
    <w:rsid w:val="00CA1703"/>
    <w:rsid w:val="00CA1710"/>
    <w:rsid w:val="00CA1711"/>
    <w:rsid w:val="00CA174B"/>
    <w:rsid w:val="00CA1794"/>
    <w:rsid w:val="00CA17A7"/>
    <w:rsid w:val="00CA1805"/>
    <w:rsid w:val="00CA1813"/>
    <w:rsid w:val="00CA183B"/>
    <w:rsid w:val="00CA1855"/>
    <w:rsid w:val="00CA18E7"/>
    <w:rsid w:val="00CA18FD"/>
    <w:rsid w:val="00CA191F"/>
    <w:rsid w:val="00CA1920"/>
    <w:rsid w:val="00CA1970"/>
    <w:rsid w:val="00CA197D"/>
    <w:rsid w:val="00CA1996"/>
    <w:rsid w:val="00CA19BB"/>
    <w:rsid w:val="00CA19DE"/>
    <w:rsid w:val="00CA1A1D"/>
    <w:rsid w:val="00CA1A30"/>
    <w:rsid w:val="00CA1AA6"/>
    <w:rsid w:val="00CA1AE5"/>
    <w:rsid w:val="00CA1AEE"/>
    <w:rsid w:val="00CA1B2E"/>
    <w:rsid w:val="00CA1B53"/>
    <w:rsid w:val="00CA1B8E"/>
    <w:rsid w:val="00CA1BA8"/>
    <w:rsid w:val="00CA1BAC"/>
    <w:rsid w:val="00CA1BBD"/>
    <w:rsid w:val="00CA1C10"/>
    <w:rsid w:val="00CA1C28"/>
    <w:rsid w:val="00CA1C3F"/>
    <w:rsid w:val="00CA1C67"/>
    <w:rsid w:val="00CA1CA7"/>
    <w:rsid w:val="00CA1CC9"/>
    <w:rsid w:val="00CA1CF5"/>
    <w:rsid w:val="00CA1DC8"/>
    <w:rsid w:val="00CA1DDD"/>
    <w:rsid w:val="00CA1E20"/>
    <w:rsid w:val="00CA1E3D"/>
    <w:rsid w:val="00CA1E5B"/>
    <w:rsid w:val="00CA1F0F"/>
    <w:rsid w:val="00CA1F1D"/>
    <w:rsid w:val="00CA1F2F"/>
    <w:rsid w:val="00CA1FC0"/>
    <w:rsid w:val="00CA1FFA"/>
    <w:rsid w:val="00CA20E4"/>
    <w:rsid w:val="00CA20E7"/>
    <w:rsid w:val="00CA212E"/>
    <w:rsid w:val="00CA215C"/>
    <w:rsid w:val="00CA21B8"/>
    <w:rsid w:val="00CA21BE"/>
    <w:rsid w:val="00CA21D1"/>
    <w:rsid w:val="00CA2261"/>
    <w:rsid w:val="00CA227C"/>
    <w:rsid w:val="00CA229E"/>
    <w:rsid w:val="00CA22B9"/>
    <w:rsid w:val="00CA22BB"/>
    <w:rsid w:val="00CA22D5"/>
    <w:rsid w:val="00CA22EC"/>
    <w:rsid w:val="00CA2336"/>
    <w:rsid w:val="00CA235D"/>
    <w:rsid w:val="00CA239F"/>
    <w:rsid w:val="00CA2426"/>
    <w:rsid w:val="00CA242C"/>
    <w:rsid w:val="00CA2487"/>
    <w:rsid w:val="00CA249D"/>
    <w:rsid w:val="00CA24B2"/>
    <w:rsid w:val="00CA24DA"/>
    <w:rsid w:val="00CA250C"/>
    <w:rsid w:val="00CA2516"/>
    <w:rsid w:val="00CA251F"/>
    <w:rsid w:val="00CA2526"/>
    <w:rsid w:val="00CA253D"/>
    <w:rsid w:val="00CA254F"/>
    <w:rsid w:val="00CA2581"/>
    <w:rsid w:val="00CA25B2"/>
    <w:rsid w:val="00CA2603"/>
    <w:rsid w:val="00CA2613"/>
    <w:rsid w:val="00CA2641"/>
    <w:rsid w:val="00CA2643"/>
    <w:rsid w:val="00CA264D"/>
    <w:rsid w:val="00CA2652"/>
    <w:rsid w:val="00CA265E"/>
    <w:rsid w:val="00CA2680"/>
    <w:rsid w:val="00CA26B6"/>
    <w:rsid w:val="00CA26BC"/>
    <w:rsid w:val="00CA26E1"/>
    <w:rsid w:val="00CA270E"/>
    <w:rsid w:val="00CA276E"/>
    <w:rsid w:val="00CA2777"/>
    <w:rsid w:val="00CA2798"/>
    <w:rsid w:val="00CA27B4"/>
    <w:rsid w:val="00CA27B7"/>
    <w:rsid w:val="00CA27E3"/>
    <w:rsid w:val="00CA280B"/>
    <w:rsid w:val="00CA2857"/>
    <w:rsid w:val="00CA28B9"/>
    <w:rsid w:val="00CA2903"/>
    <w:rsid w:val="00CA2937"/>
    <w:rsid w:val="00CA29B7"/>
    <w:rsid w:val="00CA29F1"/>
    <w:rsid w:val="00CA2A0C"/>
    <w:rsid w:val="00CA2A19"/>
    <w:rsid w:val="00CA2A49"/>
    <w:rsid w:val="00CA2A55"/>
    <w:rsid w:val="00CA2AC2"/>
    <w:rsid w:val="00CA2AEF"/>
    <w:rsid w:val="00CA2B63"/>
    <w:rsid w:val="00CA2BAA"/>
    <w:rsid w:val="00CA2C32"/>
    <w:rsid w:val="00CA2C5B"/>
    <w:rsid w:val="00CA2C5C"/>
    <w:rsid w:val="00CA2C73"/>
    <w:rsid w:val="00CA2CFF"/>
    <w:rsid w:val="00CA2D12"/>
    <w:rsid w:val="00CA2D3C"/>
    <w:rsid w:val="00CA2D6C"/>
    <w:rsid w:val="00CA2D6E"/>
    <w:rsid w:val="00CA2D73"/>
    <w:rsid w:val="00CA2DE2"/>
    <w:rsid w:val="00CA2E32"/>
    <w:rsid w:val="00CA2EAC"/>
    <w:rsid w:val="00CA2EC4"/>
    <w:rsid w:val="00CA2EF2"/>
    <w:rsid w:val="00CA2EF7"/>
    <w:rsid w:val="00CA2F08"/>
    <w:rsid w:val="00CA2F41"/>
    <w:rsid w:val="00CA2F50"/>
    <w:rsid w:val="00CA2F65"/>
    <w:rsid w:val="00CA2F7E"/>
    <w:rsid w:val="00CA2F8F"/>
    <w:rsid w:val="00CA2FCE"/>
    <w:rsid w:val="00CA302D"/>
    <w:rsid w:val="00CA3059"/>
    <w:rsid w:val="00CA3076"/>
    <w:rsid w:val="00CA308F"/>
    <w:rsid w:val="00CA30E3"/>
    <w:rsid w:val="00CA3113"/>
    <w:rsid w:val="00CA3137"/>
    <w:rsid w:val="00CA318B"/>
    <w:rsid w:val="00CA319F"/>
    <w:rsid w:val="00CA31BD"/>
    <w:rsid w:val="00CA31DC"/>
    <w:rsid w:val="00CA31E5"/>
    <w:rsid w:val="00CA323B"/>
    <w:rsid w:val="00CA324B"/>
    <w:rsid w:val="00CA327C"/>
    <w:rsid w:val="00CA32E4"/>
    <w:rsid w:val="00CA332C"/>
    <w:rsid w:val="00CA3331"/>
    <w:rsid w:val="00CA3348"/>
    <w:rsid w:val="00CA3354"/>
    <w:rsid w:val="00CA3382"/>
    <w:rsid w:val="00CA33AE"/>
    <w:rsid w:val="00CA33D8"/>
    <w:rsid w:val="00CA33F7"/>
    <w:rsid w:val="00CA34A6"/>
    <w:rsid w:val="00CA3513"/>
    <w:rsid w:val="00CA353B"/>
    <w:rsid w:val="00CA3563"/>
    <w:rsid w:val="00CA3566"/>
    <w:rsid w:val="00CA357C"/>
    <w:rsid w:val="00CA358F"/>
    <w:rsid w:val="00CA35B6"/>
    <w:rsid w:val="00CA35D0"/>
    <w:rsid w:val="00CA35EA"/>
    <w:rsid w:val="00CA35EC"/>
    <w:rsid w:val="00CA35F0"/>
    <w:rsid w:val="00CA3689"/>
    <w:rsid w:val="00CA3691"/>
    <w:rsid w:val="00CA36B6"/>
    <w:rsid w:val="00CA36DC"/>
    <w:rsid w:val="00CA3723"/>
    <w:rsid w:val="00CA373A"/>
    <w:rsid w:val="00CA3740"/>
    <w:rsid w:val="00CA3797"/>
    <w:rsid w:val="00CA3814"/>
    <w:rsid w:val="00CA38C4"/>
    <w:rsid w:val="00CA38DB"/>
    <w:rsid w:val="00CA38E3"/>
    <w:rsid w:val="00CA3923"/>
    <w:rsid w:val="00CA3963"/>
    <w:rsid w:val="00CA396F"/>
    <w:rsid w:val="00CA3981"/>
    <w:rsid w:val="00CA3983"/>
    <w:rsid w:val="00CA399F"/>
    <w:rsid w:val="00CA39A5"/>
    <w:rsid w:val="00CA39AC"/>
    <w:rsid w:val="00CA39BA"/>
    <w:rsid w:val="00CA39C4"/>
    <w:rsid w:val="00CA39DC"/>
    <w:rsid w:val="00CA39E1"/>
    <w:rsid w:val="00CA39EB"/>
    <w:rsid w:val="00CA39F8"/>
    <w:rsid w:val="00CA39FF"/>
    <w:rsid w:val="00CA3A0C"/>
    <w:rsid w:val="00CA3A1B"/>
    <w:rsid w:val="00CA3A26"/>
    <w:rsid w:val="00CA3A4A"/>
    <w:rsid w:val="00CA3A94"/>
    <w:rsid w:val="00CA3AA1"/>
    <w:rsid w:val="00CA3AAD"/>
    <w:rsid w:val="00CA3ACC"/>
    <w:rsid w:val="00CA3AE3"/>
    <w:rsid w:val="00CA3AEC"/>
    <w:rsid w:val="00CA3B1A"/>
    <w:rsid w:val="00CA3B7D"/>
    <w:rsid w:val="00CA3BD0"/>
    <w:rsid w:val="00CA3C10"/>
    <w:rsid w:val="00CA3C3F"/>
    <w:rsid w:val="00CA3C50"/>
    <w:rsid w:val="00CA3C57"/>
    <w:rsid w:val="00CA3CBF"/>
    <w:rsid w:val="00CA3CC6"/>
    <w:rsid w:val="00CA3CC7"/>
    <w:rsid w:val="00CA3CCF"/>
    <w:rsid w:val="00CA3D40"/>
    <w:rsid w:val="00CA3D5D"/>
    <w:rsid w:val="00CA3D5E"/>
    <w:rsid w:val="00CA3D63"/>
    <w:rsid w:val="00CA3D85"/>
    <w:rsid w:val="00CA3D9D"/>
    <w:rsid w:val="00CA3DB2"/>
    <w:rsid w:val="00CA3DEC"/>
    <w:rsid w:val="00CA3E2C"/>
    <w:rsid w:val="00CA3E38"/>
    <w:rsid w:val="00CA3E63"/>
    <w:rsid w:val="00CA3E83"/>
    <w:rsid w:val="00CA3E92"/>
    <w:rsid w:val="00CA3F08"/>
    <w:rsid w:val="00CA3F8C"/>
    <w:rsid w:val="00CA3FCB"/>
    <w:rsid w:val="00CA3FD5"/>
    <w:rsid w:val="00CA3FF3"/>
    <w:rsid w:val="00CA4006"/>
    <w:rsid w:val="00CA4057"/>
    <w:rsid w:val="00CA40DD"/>
    <w:rsid w:val="00CA40EE"/>
    <w:rsid w:val="00CA40F2"/>
    <w:rsid w:val="00CA4146"/>
    <w:rsid w:val="00CA414C"/>
    <w:rsid w:val="00CA418F"/>
    <w:rsid w:val="00CA41B9"/>
    <w:rsid w:val="00CA41DF"/>
    <w:rsid w:val="00CA41EC"/>
    <w:rsid w:val="00CA4200"/>
    <w:rsid w:val="00CA4233"/>
    <w:rsid w:val="00CA42AC"/>
    <w:rsid w:val="00CA42BB"/>
    <w:rsid w:val="00CA42CA"/>
    <w:rsid w:val="00CA4305"/>
    <w:rsid w:val="00CA4352"/>
    <w:rsid w:val="00CA4354"/>
    <w:rsid w:val="00CA435D"/>
    <w:rsid w:val="00CA4367"/>
    <w:rsid w:val="00CA4401"/>
    <w:rsid w:val="00CA4427"/>
    <w:rsid w:val="00CA447E"/>
    <w:rsid w:val="00CA44A4"/>
    <w:rsid w:val="00CA44B0"/>
    <w:rsid w:val="00CA4520"/>
    <w:rsid w:val="00CA4527"/>
    <w:rsid w:val="00CA45D9"/>
    <w:rsid w:val="00CA45ED"/>
    <w:rsid w:val="00CA460B"/>
    <w:rsid w:val="00CA4610"/>
    <w:rsid w:val="00CA4635"/>
    <w:rsid w:val="00CA46AB"/>
    <w:rsid w:val="00CA46E1"/>
    <w:rsid w:val="00CA46E7"/>
    <w:rsid w:val="00CA4769"/>
    <w:rsid w:val="00CA478A"/>
    <w:rsid w:val="00CA479D"/>
    <w:rsid w:val="00CA47B3"/>
    <w:rsid w:val="00CA4805"/>
    <w:rsid w:val="00CA483D"/>
    <w:rsid w:val="00CA4859"/>
    <w:rsid w:val="00CA486C"/>
    <w:rsid w:val="00CA48AC"/>
    <w:rsid w:val="00CA48C3"/>
    <w:rsid w:val="00CA48EE"/>
    <w:rsid w:val="00CA4921"/>
    <w:rsid w:val="00CA4A5F"/>
    <w:rsid w:val="00CA4AAF"/>
    <w:rsid w:val="00CA4AD6"/>
    <w:rsid w:val="00CA4AF3"/>
    <w:rsid w:val="00CA4B4B"/>
    <w:rsid w:val="00CA4BAD"/>
    <w:rsid w:val="00CA4BEA"/>
    <w:rsid w:val="00CA4C43"/>
    <w:rsid w:val="00CA4C54"/>
    <w:rsid w:val="00CA4C8F"/>
    <w:rsid w:val="00CA4C95"/>
    <w:rsid w:val="00CA4CA6"/>
    <w:rsid w:val="00CA4CB3"/>
    <w:rsid w:val="00CA4CDF"/>
    <w:rsid w:val="00CA4CEA"/>
    <w:rsid w:val="00CA4D02"/>
    <w:rsid w:val="00CA4D08"/>
    <w:rsid w:val="00CA4D0B"/>
    <w:rsid w:val="00CA4D0E"/>
    <w:rsid w:val="00CA4D3C"/>
    <w:rsid w:val="00CA4D59"/>
    <w:rsid w:val="00CA4D99"/>
    <w:rsid w:val="00CA4DE7"/>
    <w:rsid w:val="00CA4E4C"/>
    <w:rsid w:val="00CA4E55"/>
    <w:rsid w:val="00CA4EAC"/>
    <w:rsid w:val="00CA4F5C"/>
    <w:rsid w:val="00CA4FAE"/>
    <w:rsid w:val="00CA4FB3"/>
    <w:rsid w:val="00CA4FCD"/>
    <w:rsid w:val="00CA4FEE"/>
    <w:rsid w:val="00CA5006"/>
    <w:rsid w:val="00CA5086"/>
    <w:rsid w:val="00CA50F0"/>
    <w:rsid w:val="00CA5121"/>
    <w:rsid w:val="00CA5127"/>
    <w:rsid w:val="00CA5132"/>
    <w:rsid w:val="00CA51F0"/>
    <w:rsid w:val="00CA523A"/>
    <w:rsid w:val="00CA5254"/>
    <w:rsid w:val="00CA527B"/>
    <w:rsid w:val="00CA52D6"/>
    <w:rsid w:val="00CA52DC"/>
    <w:rsid w:val="00CA5307"/>
    <w:rsid w:val="00CA5309"/>
    <w:rsid w:val="00CA5358"/>
    <w:rsid w:val="00CA536A"/>
    <w:rsid w:val="00CA5392"/>
    <w:rsid w:val="00CA53DE"/>
    <w:rsid w:val="00CA546A"/>
    <w:rsid w:val="00CA54B7"/>
    <w:rsid w:val="00CA54CC"/>
    <w:rsid w:val="00CA54E2"/>
    <w:rsid w:val="00CA5560"/>
    <w:rsid w:val="00CA556F"/>
    <w:rsid w:val="00CA55AB"/>
    <w:rsid w:val="00CA55B4"/>
    <w:rsid w:val="00CA55BF"/>
    <w:rsid w:val="00CA55E7"/>
    <w:rsid w:val="00CA5612"/>
    <w:rsid w:val="00CA5661"/>
    <w:rsid w:val="00CA56F1"/>
    <w:rsid w:val="00CA56F2"/>
    <w:rsid w:val="00CA571C"/>
    <w:rsid w:val="00CA573B"/>
    <w:rsid w:val="00CA57AB"/>
    <w:rsid w:val="00CA57BE"/>
    <w:rsid w:val="00CA582C"/>
    <w:rsid w:val="00CA584E"/>
    <w:rsid w:val="00CA5870"/>
    <w:rsid w:val="00CA589D"/>
    <w:rsid w:val="00CA589F"/>
    <w:rsid w:val="00CA58D4"/>
    <w:rsid w:val="00CA58DE"/>
    <w:rsid w:val="00CA5906"/>
    <w:rsid w:val="00CA5917"/>
    <w:rsid w:val="00CA5918"/>
    <w:rsid w:val="00CA591D"/>
    <w:rsid w:val="00CA591F"/>
    <w:rsid w:val="00CA5950"/>
    <w:rsid w:val="00CA5972"/>
    <w:rsid w:val="00CA5983"/>
    <w:rsid w:val="00CA59FF"/>
    <w:rsid w:val="00CA5A24"/>
    <w:rsid w:val="00CA5A3E"/>
    <w:rsid w:val="00CA5A64"/>
    <w:rsid w:val="00CA5A67"/>
    <w:rsid w:val="00CA5AB1"/>
    <w:rsid w:val="00CA5ACE"/>
    <w:rsid w:val="00CA5AE7"/>
    <w:rsid w:val="00CA5AFF"/>
    <w:rsid w:val="00CA5B0A"/>
    <w:rsid w:val="00CA5B29"/>
    <w:rsid w:val="00CA5B45"/>
    <w:rsid w:val="00CA5B67"/>
    <w:rsid w:val="00CA5B68"/>
    <w:rsid w:val="00CA5B75"/>
    <w:rsid w:val="00CA5B88"/>
    <w:rsid w:val="00CA5B93"/>
    <w:rsid w:val="00CA5B94"/>
    <w:rsid w:val="00CA5BBB"/>
    <w:rsid w:val="00CA5BCA"/>
    <w:rsid w:val="00CA5C54"/>
    <w:rsid w:val="00CA5C6B"/>
    <w:rsid w:val="00CA5CC2"/>
    <w:rsid w:val="00CA5CCA"/>
    <w:rsid w:val="00CA5CCE"/>
    <w:rsid w:val="00CA5D43"/>
    <w:rsid w:val="00CA5D88"/>
    <w:rsid w:val="00CA5D94"/>
    <w:rsid w:val="00CA5D9A"/>
    <w:rsid w:val="00CA5DD1"/>
    <w:rsid w:val="00CA5DD3"/>
    <w:rsid w:val="00CA5E00"/>
    <w:rsid w:val="00CA5E32"/>
    <w:rsid w:val="00CA5E72"/>
    <w:rsid w:val="00CA5E86"/>
    <w:rsid w:val="00CA5EA0"/>
    <w:rsid w:val="00CA5EBE"/>
    <w:rsid w:val="00CA5EC1"/>
    <w:rsid w:val="00CA5ED8"/>
    <w:rsid w:val="00CA5EE1"/>
    <w:rsid w:val="00CA5F51"/>
    <w:rsid w:val="00CA5F76"/>
    <w:rsid w:val="00CA6050"/>
    <w:rsid w:val="00CA6116"/>
    <w:rsid w:val="00CA615D"/>
    <w:rsid w:val="00CA6164"/>
    <w:rsid w:val="00CA6175"/>
    <w:rsid w:val="00CA61AF"/>
    <w:rsid w:val="00CA620C"/>
    <w:rsid w:val="00CA6299"/>
    <w:rsid w:val="00CA629A"/>
    <w:rsid w:val="00CA629E"/>
    <w:rsid w:val="00CA62C9"/>
    <w:rsid w:val="00CA62CF"/>
    <w:rsid w:val="00CA62D2"/>
    <w:rsid w:val="00CA630C"/>
    <w:rsid w:val="00CA6321"/>
    <w:rsid w:val="00CA6339"/>
    <w:rsid w:val="00CA6340"/>
    <w:rsid w:val="00CA6367"/>
    <w:rsid w:val="00CA6401"/>
    <w:rsid w:val="00CA6404"/>
    <w:rsid w:val="00CA6421"/>
    <w:rsid w:val="00CA6423"/>
    <w:rsid w:val="00CA642B"/>
    <w:rsid w:val="00CA6480"/>
    <w:rsid w:val="00CA6489"/>
    <w:rsid w:val="00CA64B0"/>
    <w:rsid w:val="00CA64DF"/>
    <w:rsid w:val="00CA6547"/>
    <w:rsid w:val="00CA6551"/>
    <w:rsid w:val="00CA6569"/>
    <w:rsid w:val="00CA65C1"/>
    <w:rsid w:val="00CA660A"/>
    <w:rsid w:val="00CA665F"/>
    <w:rsid w:val="00CA6706"/>
    <w:rsid w:val="00CA6748"/>
    <w:rsid w:val="00CA6781"/>
    <w:rsid w:val="00CA67BD"/>
    <w:rsid w:val="00CA67D4"/>
    <w:rsid w:val="00CA67ED"/>
    <w:rsid w:val="00CA681A"/>
    <w:rsid w:val="00CA6837"/>
    <w:rsid w:val="00CA6862"/>
    <w:rsid w:val="00CA686A"/>
    <w:rsid w:val="00CA6874"/>
    <w:rsid w:val="00CA6891"/>
    <w:rsid w:val="00CA68BD"/>
    <w:rsid w:val="00CA68CD"/>
    <w:rsid w:val="00CA68CF"/>
    <w:rsid w:val="00CA68E1"/>
    <w:rsid w:val="00CA692E"/>
    <w:rsid w:val="00CA6960"/>
    <w:rsid w:val="00CA6962"/>
    <w:rsid w:val="00CA699B"/>
    <w:rsid w:val="00CA699E"/>
    <w:rsid w:val="00CA69C7"/>
    <w:rsid w:val="00CA6A21"/>
    <w:rsid w:val="00CA6A3A"/>
    <w:rsid w:val="00CA6A3E"/>
    <w:rsid w:val="00CA6A63"/>
    <w:rsid w:val="00CA6AC8"/>
    <w:rsid w:val="00CA6B1D"/>
    <w:rsid w:val="00CA6B25"/>
    <w:rsid w:val="00CA6B3D"/>
    <w:rsid w:val="00CA6B48"/>
    <w:rsid w:val="00CA6B57"/>
    <w:rsid w:val="00CA6BD9"/>
    <w:rsid w:val="00CA6C52"/>
    <w:rsid w:val="00CA6C96"/>
    <w:rsid w:val="00CA6CAC"/>
    <w:rsid w:val="00CA6CE1"/>
    <w:rsid w:val="00CA6CF8"/>
    <w:rsid w:val="00CA6D02"/>
    <w:rsid w:val="00CA6D09"/>
    <w:rsid w:val="00CA6DC3"/>
    <w:rsid w:val="00CA6DF7"/>
    <w:rsid w:val="00CA6DFA"/>
    <w:rsid w:val="00CA6E07"/>
    <w:rsid w:val="00CA6E13"/>
    <w:rsid w:val="00CA6E91"/>
    <w:rsid w:val="00CA6EC4"/>
    <w:rsid w:val="00CA6EDD"/>
    <w:rsid w:val="00CA6F71"/>
    <w:rsid w:val="00CA6F8C"/>
    <w:rsid w:val="00CA6F8D"/>
    <w:rsid w:val="00CA6FB3"/>
    <w:rsid w:val="00CA6FBA"/>
    <w:rsid w:val="00CA6FE4"/>
    <w:rsid w:val="00CA6FF2"/>
    <w:rsid w:val="00CA7001"/>
    <w:rsid w:val="00CA7041"/>
    <w:rsid w:val="00CA7050"/>
    <w:rsid w:val="00CA70B1"/>
    <w:rsid w:val="00CA7160"/>
    <w:rsid w:val="00CA7169"/>
    <w:rsid w:val="00CA719B"/>
    <w:rsid w:val="00CA71B7"/>
    <w:rsid w:val="00CA71DC"/>
    <w:rsid w:val="00CA7200"/>
    <w:rsid w:val="00CA720F"/>
    <w:rsid w:val="00CA7259"/>
    <w:rsid w:val="00CA72B8"/>
    <w:rsid w:val="00CA72CE"/>
    <w:rsid w:val="00CA738C"/>
    <w:rsid w:val="00CA73DF"/>
    <w:rsid w:val="00CA73F2"/>
    <w:rsid w:val="00CA73FC"/>
    <w:rsid w:val="00CA7415"/>
    <w:rsid w:val="00CA741B"/>
    <w:rsid w:val="00CA7430"/>
    <w:rsid w:val="00CA7437"/>
    <w:rsid w:val="00CA7452"/>
    <w:rsid w:val="00CA7490"/>
    <w:rsid w:val="00CA749B"/>
    <w:rsid w:val="00CA74AC"/>
    <w:rsid w:val="00CA74C2"/>
    <w:rsid w:val="00CA74D0"/>
    <w:rsid w:val="00CA7530"/>
    <w:rsid w:val="00CA7555"/>
    <w:rsid w:val="00CA755F"/>
    <w:rsid w:val="00CA7565"/>
    <w:rsid w:val="00CA75A2"/>
    <w:rsid w:val="00CA75C7"/>
    <w:rsid w:val="00CA75C9"/>
    <w:rsid w:val="00CA7607"/>
    <w:rsid w:val="00CA7627"/>
    <w:rsid w:val="00CA7688"/>
    <w:rsid w:val="00CA76B3"/>
    <w:rsid w:val="00CA76BE"/>
    <w:rsid w:val="00CA7712"/>
    <w:rsid w:val="00CA7715"/>
    <w:rsid w:val="00CA7745"/>
    <w:rsid w:val="00CA774A"/>
    <w:rsid w:val="00CA776D"/>
    <w:rsid w:val="00CA7798"/>
    <w:rsid w:val="00CA77C6"/>
    <w:rsid w:val="00CA77E5"/>
    <w:rsid w:val="00CA77F6"/>
    <w:rsid w:val="00CA787B"/>
    <w:rsid w:val="00CA789D"/>
    <w:rsid w:val="00CA78B4"/>
    <w:rsid w:val="00CA78DF"/>
    <w:rsid w:val="00CA78E8"/>
    <w:rsid w:val="00CA7921"/>
    <w:rsid w:val="00CA796A"/>
    <w:rsid w:val="00CA7986"/>
    <w:rsid w:val="00CA799E"/>
    <w:rsid w:val="00CA79A7"/>
    <w:rsid w:val="00CA79AF"/>
    <w:rsid w:val="00CA79D4"/>
    <w:rsid w:val="00CA7A2D"/>
    <w:rsid w:val="00CA7A3B"/>
    <w:rsid w:val="00CA7A6F"/>
    <w:rsid w:val="00CA7A72"/>
    <w:rsid w:val="00CA7AE4"/>
    <w:rsid w:val="00CA7AF6"/>
    <w:rsid w:val="00CA7B20"/>
    <w:rsid w:val="00CA7B2B"/>
    <w:rsid w:val="00CA7B8B"/>
    <w:rsid w:val="00CA7BDA"/>
    <w:rsid w:val="00CA7BEB"/>
    <w:rsid w:val="00CA7C9D"/>
    <w:rsid w:val="00CA7CA8"/>
    <w:rsid w:val="00CA7CDE"/>
    <w:rsid w:val="00CA7D05"/>
    <w:rsid w:val="00CA7D18"/>
    <w:rsid w:val="00CA7D46"/>
    <w:rsid w:val="00CA7D5E"/>
    <w:rsid w:val="00CA7E55"/>
    <w:rsid w:val="00CA7E8E"/>
    <w:rsid w:val="00CA7EDA"/>
    <w:rsid w:val="00CA7F3D"/>
    <w:rsid w:val="00CA7F4E"/>
    <w:rsid w:val="00CA7FA9"/>
    <w:rsid w:val="00CA7FD2"/>
    <w:rsid w:val="00CA7FDF"/>
    <w:rsid w:val="00CA7FEF"/>
    <w:rsid w:val="00CA7FF0"/>
    <w:rsid w:val="00CB004F"/>
    <w:rsid w:val="00CB007D"/>
    <w:rsid w:val="00CB00A6"/>
    <w:rsid w:val="00CB00BB"/>
    <w:rsid w:val="00CB00DB"/>
    <w:rsid w:val="00CB0112"/>
    <w:rsid w:val="00CB011C"/>
    <w:rsid w:val="00CB0134"/>
    <w:rsid w:val="00CB0137"/>
    <w:rsid w:val="00CB014A"/>
    <w:rsid w:val="00CB0164"/>
    <w:rsid w:val="00CB016A"/>
    <w:rsid w:val="00CB0196"/>
    <w:rsid w:val="00CB01A4"/>
    <w:rsid w:val="00CB0200"/>
    <w:rsid w:val="00CB0212"/>
    <w:rsid w:val="00CB026F"/>
    <w:rsid w:val="00CB02B8"/>
    <w:rsid w:val="00CB02F3"/>
    <w:rsid w:val="00CB034E"/>
    <w:rsid w:val="00CB035C"/>
    <w:rsid w:val="00CB0373"/>
    <w:rsid w:val="00CB03BE"/>
    <w:rsid w:val="00CB03D5"/>
    <w:rsid w:val="00CB03EA"/>
    <w:rsid w:val="00CB0419"/>
    <w:rsid w:val="00CB041C"/>
    <w:rsid w:val="00CB042F"/>
    <w:rsid w:val="00CB0497"/>
    <w:rsid w:val="00CB0499"/>
    <w:rsid w:val="00CB04B9"/>
    <w:rsid w:val="00CB04DD"/>
    <w:rsid w:val="00CB04F7"/>
    <w:rsid w:val="00CB04FF"/>
    <w:rsid w:val="00CB0532"/>
    <w:rsid w:val="00CB0592"/>
    <w:rsid w:val="00CB059D"/>
    <w:rsid w:val="00CB05B7"/>
    <w:rsid w:val="00CB05CE"/>
    <w:rsid w:val="00CB0608"/>
    <w:rsid w:val="00CB061E"/>
    <w:rsid w:val="00CB063F"/>
    <w:rsid w:val="00CB0698"/>
    <w:rsid w:val="00CB06C1"/>
    <w:rsid w:val="00CB06FA"/>
    <w:rsid w:val="00CB0741"/>
    <w:rsid w:val="00CB0755"/>
    <w:rsid w:val="00CB0766"/>
    <w:rsid w:val="00CB0768"/>
    <w:rsid w:val="00CB0793"/>
    <w:rsid w:val="00CB07EC"/>
    <w:rsid w:val="00CB0854"/>
    <w:rsid w:val="00CB0860"/>
    <w:rsid w:val="00CB0868"/>
    <w:rsid w:val="00CB08E0"/>
    <w:rsid w:val="00CB0903"/>
    <w:rsid w:val="00CB0947"/>
    <w:rsid w:val="00CB098D"/>
    <w:rsid w:val="00CB09B4"/>
    <w:rsid w:val="00CB09E9"/>
    <w:rsid w:val="00CB0A13"/>
    <w:rsid w:val="00CB0A4F"/>
    <w:rsid w:val="00CB0A69"/>
    <w:rsid w:val="00CB0A92"/>
    <w:rsid w:val="00CB0A99"/>
    <w:rsid w:val="00CB0AB9"/>
    <w:rsid w:val="00CB0ABA"/>
    <w:rsid w:val="00CB0AE8"/>
    <w:rsid w:val="00CB0AF5"/>
    <w:rsid w:val="00CB0B29"/>
    <w:rsid w:val="00CB0B2C"/>
    <w:rsid w:val="00CB0B4A"/>
    <w:rsid w:val="00CB0B85"/>
    <w:rsid w:val="00CB0B92"/>
    <w:rsid w:val="00CB0B96"/>
    <w:rsid w:val="00CB0BA2"/>
    <w:rsid w:val="00CB0BA9"/>
    <w:rsid w:val="00CB0BAA"/>
    <w:rsid w:val="00CB0BC0"/>
    <w:rsid w:val="00CB0BE1"/>
    <w:rsid w:val="00CB0CA4"/>
    <w:rsid w:val="00CB0CB2"/>
    <w:rsid w:val="00CB0CD9"/>
    <w:rsid w:val="00CB0CEA"/>
    <w:rsid w:val="00CB0D5A"/>
    <w:rsid w:val="00CB0D8B"/>
    <w:rsid w:val="00CB0DA4"/>
    <w:rsid w:val="00CB0DBF"/>
    <w:rsid w:val="00CB0DCE"/>
    <w:rsid w:val="00CB0E42"/>
    <w:rsid w:val="00CB0E62"/>
    <w:rsid w:val="00CB0E6F"/>
    <w:rsid w:val="00CB0E87"/>
    <w:rsid w:val="00CB0EE1"/>
    <w:rsid w:val="00CB0EFB"/>
    <w:rsid w:val="00CB0F10"/>
    <w:rsid w:val="00CB0F56"/>
    <w:rsid w:val="00CB0F59"/>
    <w:rsid w:val="00CB0F7B"/>
    <w:rsid w:val="00CB0F7E"/>
    <w:rsid w:val="00CB0F8D"/>
    <w:rsid w:val="00CB0F90"/>
    <w:rsid w:val="00CB0F94"/>
    <w:rsid w:val="00CB0FB0"/>
    <w:rsid w:val="00CB0FBB"/>
    <w:rsid w:val="00CB0FDA"/>
    <w:rsid w:val="00CB0FF1"/>
    <w:rsid w:val="00CB1020"/>
    <w:rsid w:val="00CB102C"/>
    <w:rsid w:val="00CB1042"/>
    <w:rsid w:val="00CB1062"/>
    <w:rsid w:val="00CB1085"/>
    <w:rsid w:val="00CB1099"/>
    <w:rsid w:val="00CB10ED"/>
    <w:rsid w:val="00CB10F5"/>
    <w:rsid w:val="00CB1156"/>
    <w:rsid w:val="00CB1179"/>
    <w:rsid w:val="00CB11AA"/>
    <w:rsid w:val="00CB11BF"/>
    <w:rsid w:val="00CB11C5"/>
    <w:rsid w:val="00CB11ED"/>
    <w:rsid w:val="00CB1224"/>
    <w:rsid w:val="00CB1245"/>
    <w:rsid w:val="00CB128D"/>
    <w:rsid w:val="00CB1295"/>
    <w:rsid w:val="00CB12D6"/>
    <w:rsid w:val="00CB12F4"/>
    <w:rsid w:val="00CB133C"/>
    <w:rsid w:val="00CB133F"/>
    <w:rsid w:val="00CB1375"/>
    <w:rsid w:val="00CB13A5"/>
    <w:rsid w:val="00CB140F"/>
    <w:rsid w:val="00CB1415"/>
    <w:rsid w:val="00CB1447"/>
    <w:rsid w:val="00CB1468"/>
    <w:rsid w:val="00CB1499"/>
    <w:rsid w:val="00CB149D"/>
    <w:rsid w:val="00CB14E4"/>
    <w:rsid w:val="00CB14E7"/>
    <w:rsid w:val="00CB1565"/>
    <w:rsid w:val="00CB15E0"/>
    <w:rsid w:val="00CB15E5"/>
    <w:rsid w:val="00CB15FE"/>
    <w:rsid w:val="00CB160D"/>
    <w:rsid w:val="00CB1614"/>
    <w:rsid w:val="00CB168C"/>
    <w:rsid w:val="00CB16A3"/>
    <w:rsid w:val="00CB16AF"/>
    <w:rsid w:val="00CB16E1"/>
    <w:rsid w:val="00CB16F1"/>
    <w:rsid w:val="00CB16FC"/>
    <w:rsid w:val="00CB1715"/>
    <w:rsid w:val="00CB17B4"/>
    <w:rsid w:val="00CB17F0"/>
    <w:rsid w:val="00CB181D"/>
    <w:rsid w:val="00CB182F"/>
    <w:rsid w:val="00CB18E4"/>
    <w:rsid w:val="00CB18E8"/>
    <w:rsid w:val="00CB1936"/>
    <w:rsid w:val="00CB1940"/>
    <w:rsid w:val="00CB1953"/>
    <w:rsid w:val="00CB1974"/>
    <w:rsid w:val="00CB197B"/>
    <w:rsid w:val="00CB199F"/>
    <w:rsid w:val="00CB19A7"/>
    <w:rsid w:val="00CB19AD"/>
    <w:rsid w:val="00CB19E3"/>
    <w:rsid w:val="00CB19E6"/>
    <w:rsid w:val="00CB1A1D"/>
    <w:rsid w:val="00CB1A32"/>
    <w:rsid w:val="00CB1A3E"/>
    <w:rsid w:val="00CB1A8E"/>
    <w:rsid w:val="00CB1AA7"/>
    <w:rsid w:val="00CB1AD2"/>
    <w:rsid w:val="00CB1AE5"/>
    <w:rsid w:val="00CB1B32"/>
    <w:rsid w:val="00CB1B7E"/>
    <w:rsid w:val="00CB1B8B"/>
    <w:rsid w:val="00CB1BD9"/>
    <w:rsid w:val="00CB1BE5"/>
    <w:rsid w:val="00CB1C10"/>
    <w:rsid w:val="00CB1C14"/>
    <w:rsid w:val="00CB1C1B"/>
    <w:rsid w:val="00CB1C9E"/>
    <w:rsid w:val="00CB1CA8"/>
    <w:rsid w:val="00CB1CB6"/>
    <w:rsid w:val="00CB1CBB"/>
    <w:rsid w:val="00CB1CC9"/>
    <w:rsid w:val="00CB1CFD"/>
    <w:rsid w:val="00CB1D95"/>
    <w:rsid w:val="00CB1DC0"/>
    <w:rsid w:val="00CB1DFF"/>
    <w:rsid w:val="00CB1E14"/>
    <w:rsid w:val="00CB1E3D"/>
    <w:rsid w:val="00CB1E43"/>
    <w:rsid w:val="00CB1E6F"/>
    <w:rsid w:val="00CB1E85"/>
    <w:rsid w:val="00CB1EA9"/>
    <w:rsid w:val="00CB1ED6"/>
    <w:rsid w:val="00CB1ED7"/>
    <w:rsid w:val="00CB1EDA"/>
    <w:rsid w:val="00CB1EE4"/>
    <w:rsid w:val="00CB1F28"/>
    <w:rsid w:val="00CB1F3A"/>
    <w:rsid w:val="00CB1F47"/>
    <w:rsid w:val="00CB1F81"/>
    <w:rsid w:val="00CB200C"/>
    <w:rsid w:val="00CB204B"/>
    <w:rsid w:val="00CB2050"/>
    <w:rsid w:val="00CB213C"/>
    <w:rsid w:val="00CB215B"/>
    <w:rsid w:val="00CB2186"/>
    <w:rsid w:val="00CB2199"/>
    <w:rsid w:val="00CB21CD"/>
    <w:rsid w:val="00CB21FA"/>
    <w:rsid w:val="00CB2263"/>
    <w:rsid w:val="00CB22C2"/>
    <w:rsid w:val="00CB22D3"/>
    <w:rsid w:val="00CB22F3"/>
    <w:rsid w:val="00CB230B"/>
    <w:rsid w:val="00CB2319"/>
    <w:rsid w:val="00CB231F"/>
    <w:rsid w:val="00CB232F"/>
    <w:rsid w:val="00CB233C"/>
    <w:rsid w:val="00CB233F"/>
    <w:rsid w:val="00CB2364"/>
    <w:rsid w:val="00CB23AB"/>
    <w:rsid w:val="00CB23C1"/>
    <w:rsid w:val="00CB23C9"/>
    <w:rsid w:val="00CB23D8"/>
    <w:rsid w:val="00CB23FC"/>
    <w:rsid w:val="00CB241C"/>
    <w:rsid w:val="00CB2486"/>
    <w:rsid w:val="00CB24AC"/>
    <w:rsid w:val="00CB24DB"/>
    <w:rsid w:val="00CB250B"/>
    <w:rsid w:val="00CB2562"/>
    <w:rsid w:val="00CB2572"/>
    <w:rsid w:val="00CB2590"/>
    <w:rsid w:val="00CB2591"/>
    <w:rsid w:val="00CB2594"/>
    <w:rsid w:val="00CB2633"/>
    <w:rsid w:val="00CB265A"/>
    <w:rsid w:val="00CB266C"/>
    <w:rsid w:val="00CB267A"/>
    <w:rsid w:val="00CB26AC"/>
    <w:rsid w:val="00CB2758"/>
    <w:rsid w:val="00CB275F"/>
    <w:rsid w:val="00CB2784"/>
    <w:rsid w:val="00CB27B8"/>
    <w:rsid w:val="00CB27D1"/>
    <w:rsid w:val="00CB27E8"/>
    <w:rsid w:val="00CB2832"/>
    <w:rsid w:val="00CB2850"/>
    <w:rsid w:val="00CB2866"/>
    <w:rsid w:val="00CB2879"/>
    <w:rsid w:val="00CB288A"/>
    <w:rsid w:val="00CB28CE"/>
    <w:rsid w:val="00CB28F1"/>
    <w:rsid w:val="00CB28F8"/>
    <w:rsid w:val="00CB292E"/>
    <w:rsid w:val="00CB2936"/>
    <w:rsid w:val="00CB2947"/>
    <w:rsid w:val="00CB296F"/>
    <w:rsid w:val="00CB298C"/>
    <w:rsid w:val="00CB299A"/>
    <w:rsid w:val="00CB29C5"/>
    <w:rsid w:val="00CB29DB"/>
    <w:rsid w:val="00CB29E3"/>
    <w:rsid w:val="00CB2A07"/>
    <w:rsid w:val="00CB2A0F"/>
    <w:rsid w:val="00CB2A59"/>
    <w:rsid w:val="00CB2A63"/>
    <w:rsid w:val="00CB2A80"/>
    <w:rsid w:val="00CB2A97"/>
    <w:rsid w:val="00CB2AAB"/>
    <w:rsid w:val="00CB2BB9"/>
    <w:rsid w:val="00CB2BED"/>
    <w:rsid w:val="00CB2BEE"/>
    <w:rsid w:val="00CB2C19"/>
    <w:rsid w:val="00CB2C65"/>
    <w:rsid w:val="00CB2C99"/>
    <w:rsid w:val="00CB2D03"/>
    <w:rsid w:val="00CB2D3D"/>
    <w:rsid w:val="00CB2D80"/>
    <w:rsid w:val="00CB2DB4"/>
    <w:rsid w:val="00CB2DC6"/>
    <w:rsid w:val="00CB2DCA"/>
    <w:rsid w:val="00CB2DF1"/>
    <w:rsid w:val="00CB2DFB"/>
    <w:rsid w:val="00CB2E20"/>
    <w:rsid w:val="00CB2E2F"/>
    <w:rsid w:val="00CB2E73"/>
    <w:rsid w:val="00CB2E80"/>
    <w:rsid w:val="00CB2E83"/>
    <w:rsid w:val="00CB2EC0"/>
    <w:rsid w:val="00CB2ED3"/>
    <w:rsid w:val="00CB2F47"/>
    <w:rsid w:val="00CB2F52"/>
    <w:rsid w:val="00CB2F6C"/>
    <w:rsid w:val="00CB2FA3"/>
    <w:rsid w:val="00CB2FB5"/>
    <w:rsid w:val="00CB2FD1"/>
    <w:rsid w:val="00CB304A"/>
    <w:rsid w:val="00CB306A"/>
    <w:rsid w:val="00CB30A0"/>
    <w:rsid w:val="00CB30D4"/>
    <w:rsid w:val="00CB311D"/>
    <w:rsid w:val="00CB3140"/>
    <w:rsid w:val="00CB3165"/>
    <w:rsid w:val="00CB319C"/>
    <w:rsid w:val="00CB31D7"/>
    <w:rsid w:val="00CB31E9"/>
    <w:rsid w:val="00CB3244"/>
    <w:rsid w:val="00CB3259"/>
    <w:rsid w:val="00CB328B"/>
    <w:rsid w:val="00CB3341"/>
    <w:rsid w:val="00CB3350"/>
    <w:rsid w:val="00CB3359"/>
    <w:rsid w:val="00CB33FC"/>
    <w:rsid w:val="00CB3444"/>
    <w:rsid w:val="00CB3449"/>
    <w:rsid w:val="00CB346D"/>
    <w:rsid w:val="00CB34B0"/>
    <w:rsid w:val="00CB34CD"/>
    <w:rsid w:val="00CB34DB"/>
    <w:rsid w:val="00CB3529"/>
    <w:rsid w:val="00CB364A"/>
    <w:rsid w:val="00CB36CC"/>
    <w:rsid w:val="00CB36D2"/>
    <w:rsid w:val="00CB36DE"/>
    <w:rsid w:val="00CB372C"/>
    <w:rsid w:val="00CB3748"/>
    <w:rsid w:val="00CB374B"/>
    <w:rsid w:val="00CB3797"/>
    <w:rsid w:val="00CB37C4"/>
    <w:rsid w:val="00CB3828"/>
    <w:rsid w:val="00CB387D"/>
    <w:rsid w:val="00CB3896"/>
    <w:rsid w:val="00CB38A0"/>
    <w:rsid w:val="00CB38E9"/>
    <w:rsid w:val="00CB3920"/>
    <w:rsid w:val="00CB3975"/>
    <w:rsid w:val="00CB39B4"/>
    <w:rsid w:val="00CB39DD"/>
    <w:rsid w:val="00CB39FA"/>
    <w:rsid w:val="00CB3A02"/>
    <w:rsid w:val="00CB3A0F"/>
    <w:rsid w:val="00CB3A2D"/>
    <w:rsid w:val="00CB3A62"/>
    <w:rsid w:val="00CB3AE8"/>
    <w:rsid w:val="00CB3AFB"/>
    <w:rsid w:val="00CB3B04"/>
    <w:rsid w:val="00CB3B0D"/>
    <w:rsid w:val="00CB3B20"/>
    <w:rsid w:val="00CB3BB4"/>
    <w:rsid w:val="00CB3BBB"/>
    <w:rsid w:val="00CB3BF2"/>
    <w:rsid w:val="00CB3BF7"/>
    <w:rsid w:val="00CB3C0F"/>
    <w:rsid w:val="00CB3C22"/>
    <w:rsid w:val="00CB3C44"/>
    <w:rsid w:val="00CB3C9F"/>
    <w:rsid w:val="00CB3CCF"/>
    <w:rsid w:val="00CB3CEB"/>
    <w:rsid w:val="00CB3D6B"/>
    <w:rsid w:val="00CB3D72"/>
    <w:rsid w:val="00CB3DA0"/>
    <w:rsid w:val="00CB3DA4"/>
    <w:rsid w:val="00CB3DF1"/>
    <w:rsid w:val="00CB3DF9"/>
    <w:rsid w:val="00CB3E04"/>
    <w:rsid w:val="00CB3E10"/>
    <w:rsid w:val="00CB3E38"/>
    <w:rsid w:val="00CB3E60"/>
    <w:rsid w:val="00CB3E6A"/>
    <w:rsid w:val="00CB3E94"/>
    <w:rsid w:val="00CB3ED7"/>
    <w:rsid w:val="00CB3F1A"/>
    <w:rsid w:val="00CB3F84"/>
    <w:rsid w:val="00CB3FD2"/>
    <w:rsid w:val="00CB3FED"/>
    <w:rsid w:val="00CB401E"/>
    <w:rsid w:val="00CB4022"/>
    <w:rsid w:val="00CB404F"/>
    <w:rsid w:val="00CB4053"/>
    <w:rsid w:val="00CB4088"/>
    <w:rsid w:val="00CB4092"/>
    <w:rsid w:val="00CB4093"/>
    <w:rsid w:val="00CB40AA"/>
    <w:rsid w:val="00CB4106"/>
    <w:rsid w:val="00CB4137"/>
    <w:rsid w:val="00CB4140"/>
    <w:rsid w:val="00CB4145"/>
    <w:rsid w:val="00CB416C"/>
    <w:rsid w:val="00CB416E"/>
    <w:rsid w:val="00CB41AC"/>
    <w:rsid w:val="00CB4208"/>
    <w:rsid w:val="00CB421D"/>
    <w:rsid w:val="00CB423F"/>
    <w:rsid w:val="00CB424C"/>
    <w:rsid w:val="00CB429D"/>
    <w:rsid w:val="00CB42D7"/>
    <w:rsid w:val="00CB431A"/>
    <w:rsid w:val="00CB436A"/>
    <w:rsid w:val="00CB4399"/>
    <w:rsid w:val="00CB43A1"/>
    <w:rsid w:val="00CB43A6"/>
    <w:rsid w:val="00CB43C0"/>
    <w:rsid w:val="00CB43D1"/>
    <w:rsid w:val="00CB4487"/>
    <w:rsid w:val="00CB4496"/>
    <w:rsid w:val="00CB44CA"/>
    <w:rsid w:val="00CB4574"/>
    <w:rsid w:val="00CB4583"/>
    <w:rsid w:val="00CB4592"/>
    <w:rsid w:val="00CB4599"/>
    <w:rsid w:val="00CB45A4"/>
    <w:rsid w:val="00CB45DA"/>
    <w:rsid w:val="00CB4625"/>
    <w:rsid w:val="00CB4664"/>
    <w:rsid w:val="00CB4676"/>
    <w:rsid w:val="00CB4690"/>
    <w:rsid w:val="00CB4697"/>
    <w:rsid w:val="00CB46B3"/>
    <w:rsid w:val="00CB46BD"/>
    <w:rsid w:val="00CB46C4"/>
    <w:rsid w:val="00CB46CD"/>
    <w:rsid w:val="00CB4701"/>
    <w:rsid w:val="00CB4731"/>
    <w:rsid w:val="00CB4746"/>
    <w:rsid w:val="00CB4759"/>
    <w:rsid w:val="00CB4768"/>
    <w:rsid w:val="00CB477C"/>
    <w:rsid w:val="00CB479A"/>
    <w:rsid w:val="00CB480B"/>
    <w:rsid w:val="00CB482D"/>
    <w:rsid w:val="00CB484F"/>
    <w:rsid w:val="00CB489F"/>
    <w:rsid w:val="00CB4929"/>
    <w:rsid w:val="00CB4961"/>
    <w:rsid w:val="00CB4A24"/>
    <w:rsid w:val="00CB4A5C"/>
    <w:rsid w:val="00CB4AD0"/>
    <w:rsid w:val="00CB4B6C"/>
    <w:rsid w:val="00CB4B88"/>
    <w:rsid w:val="00CB4B8D"/>
    <w:rsid w:val="00CB4B93"/>
    <w:rsid w:val="00CB4B9F"/>
    <w:rsid w:val="00CB4BBE"/>
    <w:rsid w:val="00CB4BDC"/>
    <w:rsid w:val="00CB4BF1"/>
    <w:rsid w:val="00CB4C17"/>
    <w:rsid w:val="00CB4C3B"/>
    <w:rsid w:val="00CB4C4A"/>
    <w:rsid w:val="00CB4C69"/>
    <w:rsid w:val="00CB4C6B"/>
    <w:rsid w:val="00CB4C80"/>
    <w:rsid w:val="00CB4CAC"/>
    <w:rsid w:val="00CB4CB3"/>
    <w:rsid w:val="00CB4CD3"/>
    <w:rsid w:val="00CB4D11"/>
    <w:rsid w:val="00CB4D6E"/>
    <w:rsid w:val="00CB4E71"/>
    <w:rsid w:val="00CB4E91"/>
    <w:rsid w:val="00CB4EC4"/>
    <w:rsid w:val="00CB4F13"/>
    <w:rsid w:val="00CB4F34"/>
    <w:rsid w:val="00CB4F36"/>
    <w:rsid w:val="00CB4F3A"/>
    <w:rsid w:val="00CB4F4A"/>
    <w:rsid w:val="00CB4F4F"/>
    <w:rsid w:val="00CB4F5B"/>
    <w:rsid w:val="00CB4F96"/>
    <w:rsid w:val="00CB4FA8"/>
    <w:rsid w:val="00CB4FF2"/>
    <w:rsid w:val="00CB500D"/>
    <w:rsid w:val="00CB5136"/>
    <w:rsid w:val="00CB5150"/>
    <w:rsid w:val="00CB51AB"/>
    <w:rsid w:val="00CB51B2"/>
    <w:rsid w:val="00CB51D4"/>
    <w:rsid w:val="00CB5280"/>
    <w:rsid w:val="00CB5295"/>
    <w:rsid w:val="00CB52A7"/>
    <w:rsid w:val="00CB530A"/>
    <w:rsid w:val="00CB5326"/>
    <w:rsid w:val="00CB532C"/>
    <w:rsid w:val="00CB5357"/>
    <w:rsid w:val="00CB5368"/>
    <w:rsid w:val="00CB5369"/>
    <w:rsid w:val="00CB544B"/>
    <w:rsid w:val="00CB5451"/>
    <w:rsid w:val="00CB54A9"/>
    <w:rsid w:val="00CB54AA"/>
    <w:rsid w:val="00CB54B7"/>
    <w:rsid w:val="00CB54C0"/>
    <w:rsid w:val="00CB54F6"/>
    <w:rsid w:val="00CB5508"/>
    <w:rsid w:val="00CB5685"/>
    <w:rsid w:val="00CB569D"/>
    <w:rsid w:val="00CB56A3"/>
    <w:rsid w:val="00CB56DF"/>
    <w:rsid w:val="00CB56E7"/>
    <w:rsid w:val="00CB5757"/>
    <w:rsid w:val="00CB5788"/>
    <w:rsid w:val="00CB57DC"/>
    <w:rsid w:val="00CB57F7"/>
    <w:rsid w:val="00CB5897"/>
    <w:rsid w:val="00CB58C7"/>
    <w:rsid w:val="00CB593B"/>
    <w:rsid w:val="00CB5962"/>
    <w:rsid w:val="00CB59AC"/>
    <w:rsid w:val="00CB59BA"/>
    <w:rsid w:val="00CB59F4"/>
    <w:rsid w:val="00CB5A22"/>
    <w:rsid w:val="00CB5A28"/>
    <w:rsid w:val="00CB5A32"/>
    <w:rsid w:val="00CB5A4A"/>
    <w:rsid w:val="00CB5A87"/>
    <w:rsid w:val="00CB5B02"/>
    <w:rsid w:val="00CB5B17"/>
    <w:rsid w:val="00CB5B6C"/>
    <w:rsid w:val="00CB5B6F"/>
    <w:rsid w:val="00CB5BA5"/>
    <w:rsid w:val="00CB5BA9"/>
    <w:rsid w:val="00CB5BBA"/>
    <w:rsid w:val="00CB5BE4"/>
    <w:rsid w:val="00CB5C44"/>
    <w:rsid w:val="00CB5C58"/>
    <w:rsid w:val="00CB5CA3"/>
    <w:rsid w:val="00CB5CC1"/>
    <w:rsid w:val="00CB5CC2"/>
    <w:rsid w:val="00CB5D11"/>
    <w:rsid w:val="00CB5D12"/>
    <w:rsid w:val="00CB5D15"/>
    <w:rsid w:val="00CB5D3C"/>
    <w:rsid w:val="00CB5D4A"/>
    <w:rsid w:val="00CB5D66"/>
    <w:rsid w:val="00CB5DA3"/>
    <w:rsid w:val="00CB5DE2"/>
    <w:rsid w:val="00CB5DED"/>
    <w:rsid w:val="00CB5DFE"/>
    <w:rsid w:val="00CB5E33"/>
    <w:rsid w:val="00CB5E97"/>
    <w:rsid w:val="00CB5EA6"/>
    <w:rsid w:val="00CB5EB2"/>
    <w:rsid w:val="00CB5EC3"/>
    <w:rsid w:val="00CB5EE8"/>
    <w:rsid w:val="00CB5F09"/>
    <w:rsid w:val="00CB5F18"/>
    <w:rsid w:val="00CB5F1E"/>
    <w:rsid w:val="00CB5F2E"/>
    <w:rsid w:val="00CB5FAA"/>
    <w:rsid w:val="00CB5FD9"/>
    <w:rsid w:val="00CB5FED"/>
    <w:rsid w:val="00CB6012"/>
    <w:rsid w:val="00CB6023"/>
    <w:rsid w:val="00CB6026"/>
    <w:rsid w:val="00CB6098"/>
    <w:rsid w:val="00CB614F"/>
    <w:rsid w:val="00CB617A"/>
    <w:rsid w:val="00CB61A7"/>
    <w:rsid w:val="00CB61B5"/>
    <w:rsid w:val="00CB61B9"/>
    <w:rsid w:val="00CB61D7"/>
    <w:rsid w:val="00CB61E2"/>
    <w:rsid w:val="00CB6214"/>
    <w:rsid w:val="00CB6246"/>
    <w:rsid w:val="00CB6285"/>
    <w:rsid w:val="00CB6287"/>
    <w:rsid w:val="00CB62F7"/>
    <w:rsid w:val="00CB62FF"/>
    <w:rsid w:val="00CB634E"/>
    <w:rsid w:val="00CB6358"/>
    <w:rsid w:val="00CB6392"/>
    <w:rsid w:val="00CB6398"/>
    <w:rsid w:val="00CB63B3"/>
    <w:rsid w:val="00CB63F6"/>
    <w:rsid w:val="00CB63FA"/>
    <w:rsid w:val="00CB6431"/>
    <w:rsid w:val="00CB6439"/>
    <w:rsid w:val="00CB6445"/>
    <w:rsid w:val="00CB6459"/>
    <w:rsid w:val="00CB6464"/>
    <w:rsid w:val="00CB647B"/>
    <w:rsid w:val="00CB64A4"/>
    <w:rsid w:val="00CB64DA"/>
    <w:rsid w:val="00CB655C"/>
    <w:rsid w:val="00CB6593"/>
    <w:rsid w:val="00CB65A8"/>
    <w:rsid w:val="00CB65CF"/>
    <w:rsid w:val="00CB65D4"/>
    <w:rsid w:val="00CB6636"/>
    <w:rsid w:val="00CB6640"/>
    <w:rsid w:val="00CB664C"/>
    <w:rsid w:val="00CB6656"/>
    <w:rsid w:val="00CB6684"/>
    <w:rsid w:val="00CB66A7"/>
    <w:rsid w:val="00CB66C1"/>
    <w:rsid w:val="00CB66DB"/>
    <w:rsid w:val="00CB66DF"/>
    <w:rsid w:val="00CB66E0"/>
    <w:rsid w:val="00CB66F7"/>
    <w:rsid w:val="00CB675C"/>
    <w:rsid w:val="00CB677B"/>
    <w:rsid w:val="00CB679B"/>
    <w:rsid w:val="00CB67B1"/>
    <w:rsid w:val="00CB684F"/>
    <w:rsid w:val="00CB685C"/>
    <w:rsid w:val="00CB688E"/>
    <w:rsid w:val="00CB68A2"/>
    <w:rsid w:val="00CB68F5"/>
    <w:rsid w:val="00CB69CF"/>
    <w:rsid w:val="00CB69EE"/>
    <w:rsid w:val="00CB69FD"/>
    <w:rsid w:val="00CB6A3C"/>
    <w:rsid w:val="00CB6A56"/>
    <w:rsid w:val="00CB6A73"/>
    <w:rsid w:val="00CB6A80"/>
    <w:rsid w:val="00CB6B1C"/>
    <w:rsid w:val="00CB6B49"/>
    <w:rsid w:val="00CB6BD6"/>
    <w:rsid w:val="00CB6BD8"/>
    <w:rsid w:val="00CB6BF5"/>
    <w:rsid w:val="00CB6BF9"/>
    <w:rsid w:val="00CB6C13"/>
    <w:rsid w:val="00CB6C1C"/>
    <w:rsid w:val="00CB6C70"/>
    <w:rsid w:val="00CB6C87"/>
    <w:rsid w:val="00CB6CB4"/>
    <w:rsid w:val="00CB6CD8"/>
    <w:rsid w:val="00CB6D74"/>
    <w:rsid w:val="00CB6D88"/>
    <w:rsid w:val="00CB6D8D"/>
    <w:rsid w:val="00CB6D99"/>
    <w:rsid w:val="00CB6E01"/>
    <w:rsid w:val="00CB6E12"/>
    <w:rsid w:val="00CB6E21"/>
    <w:rsid w:val="00CB6E22"/>
    <w:rsid w:val="00CB6E45"/>
    <w:rsid w:val="00CB6E70"/>
    <w:rsid w:val="00CB6E73"/>
    <w:rsid w:val="00CB6E78"/>
    <w:rsid w:val="00CB6EAA"/>
    <w:rsid w:val="00CB6EC2"/>
    <w:rsid w:val="00CB6EDB"/>
    <w:rsid w:val="00CB6EFF"/>
    <w:rsid w:val="00CB6F2F"/>
    <w:rsid w:val="00CB6F3B"/>
    <w:rsid w:val="00CB6F51"/>
    <w:rsid w:val="00CB6F8B"/>
    <w:rsid w:val="00CB6FD1"/>
    <w:rsid w:val="00CB6FD2"/>
    <w:rsid w:val="00CB7027"/>
    <w:rsid w:val="00CB7081"/>
    <w:rsid w:val="00CB7088"/>
    <w:rsid w:val="00CB70EC"/>
    <w:rsid w:val="00CB70FD"/>
    <w:rsid w:val="00CB7161"/>
    <w:rsid w:val="00CB718A"/>
    <w:rsid w:val="00CB71AC"/>
    <w:rsid w:val="00CB7244"/>
    <w:rsid w:val="00CB7269"/>
    <w:rsid w:val="00CB72F8"/>
    <w:rsid w:val="00CB7320"/>
    <w:rsid w:val="00CB734E"/>
    <w:rsid w:val="00CB737A"/>
    <w:rsid w:val="00CB737F"/>
    <w:rsid w:val="00CB73C3"/>
    <w:rsid w:val="00CB73ED"/>
    <w:rsid w:val="00CB7466"/>
    <w:rsid w:val="00CB74D9"/>
    <w:rsid w:val="00CB74DC"/>
    <w:rsid w:val="00CB74EC"/>
    <w:rsid w:val="00CB74FC"/>
    <w:rsid w:val="00CB7512"/>
    <w:rsid w:val="00CB7518"/>
    <w:rsid w:val="00CB756A"/>
    <w:rsid w:val="00CB7594"/>
    <w:rsid w:val="00CB7620"/>
    <w:rsid w:val="00CB769D"/>
    <w:rsid w:val="00CB76A0"/>
    <w:rsid w:val="00CB76BC"/>
    <w:rsid w:val="00CB76C7"/>
    <w:rsid w:val="00CB76ED"/>
    <w:rsid w:val="00CB772C"/>
    <w:rsid w:val="00CB772F"/>
    <w:rsid w:val="00CB7754"/>
    <w:rsid w:val="00CB7768"/>
    <w:rsid w:val="00CB77AD"/>
    <w:rsid w:val="00CB781D"/>
    <w:rsid w:val="00CB783C"/>
    <w:rsid w:val="00CB7848"/>
    <w:rsid w:val="00CB7855"/>
    <w:rsid w:val="00CB7868"/>
    <w:rsid w:val="00CB78BE"/>
    <w:rsid w:val="00CB78D3"/>
    <w:rsid w:val="00CB78F3"/>
    <w:rsid w:val="00CB7940"/>
    <w:rsid w:val="00CB7981"/>
    <w:rsid w:val="00CB7992"/>
    <w:rsid w:val="00CB79DC"/>
    <w:rsid w:val="00CB7A25"/>
    <w:rsid w:val="00CB7A8A"/>
    <w:rsid w:val="00CB7AB1"/>
    <w:rsid w:val="00CB7AF9"/>
    <w:rsid w:val="00CB7B13"/>
    <w:rsid w:val="00CB7B5D"/>
    <w:rsid w:val="00CB7B6D"/>
    <w:rsid w:val="00CB7B6E"/>
    <w:rsid w:val="00CB7B84"/>
    <w:rsid w:val="00CB7B9D"/>
    <w:rsid w:val="00CB7BA7"/>
    <w:rsid w:val="00CB7C1C"/>
    <w:rsid w:val="00CB7C29"/>
    <w:rsid w:val="00CB7CDF"/>
    <w:rsid w:val="00CB7CEA"/>
    <w:rsid w:val="00CB7D26"/>
    <w:rsid w:val="00CB7D3E"/>
    <w:rsid w:val="00CB7DA3"/>
    <w:rsid w:val="00CB7E29"/>
    <w:rsid w:val="00CB7EEE"/>
    <w:rsid w:val="00CB7EF0"/>
    <w:rsid w:val="00CB7EF2"/>
    <w:rsid w:val="00CB7EFA"/>
    <w:rsid w:val="00CB7F32"/>
    <w:rsid w:val="00CB7F9E"/>
    <w:rsid w:val="00CB7FB7"/>
    <w:rsid w:val="00CB7FBE"/>
    <w:rsid w:val="00CB7FE9"/>
    <w:rsid w:val="00CB7FEC"/>
    <w:rsid w:val="00CB7FF9"/>
    <w:rsid w:val="00CC0033"/>
    <w:rsid w:val="00CC0048"/>
    <w:rsid w:val="00CC0092"/>
    <w:rsid w:val="00CC0097"/>
    <w:rsid w:val="00CC00B3"/>
    <w:rsid w:val="00CC00BE"/>
    <w:rsid w:val="00CC00D3"/>
    <w:rsid w:val="00CC00E4"/>
    <w:rsid w:val="00CC00E8"/>
    <w:rsid w:val="00CC00EC"/>
    <w:rsid w:val="00CC012F"/>
    <w:rsid w:val="00CC0133"/>
    <w:rsid w:val="00CC0140"/>
    <w:rsid w:val="00CC015F"/>
    <w:rsid w:val="00CC0197"/>
    <w:rsid w:val="00CC019C"/>
    <w:rsid w:val="00CC01B7"/>
    <w:rsid w:val="00CC01B9"/>
    <w:rsid w:val="00CC01BF"/>
    <w:rsid w:val="00CC01CA"/>
    <w:rsid w:val="00CC01D6"/>
    <w:rsid w:val="00CC020D"/>
    <w:rsid w:val="00CC0218"/>
    <w:rsid w:val="00CC0228"/>
    <w:rsid w:val="00CC0246"/>
    <w:rsid w:val="00CC0253"/>
    <w:rsid w:val="00CC0267"/>
    <w:rsid w:val="00CC02BD"/>
    <w:rsid w:val="00CC02D4"/>
    <w:rsid w:val="00CC02EB"/>
    <w:rsid w:val="00CC0302"/>
    <w:rsid w:val="00CC030F"/>
    <w:rsid w:val="00CC033D"/>
    <w:rsid w:val="00CC034E"/>
    <w:rsid w:val="00CC0364"/>
    <w:rsid w:val="00CC039C"/>
    <w:rsid w:val="00CC03C3"/>
    <w:rsid w:val="00CC03F0"/>
    <w:rsid w:val="00CC03FD"/>
    <w:rsid w:val="00CC04FE"/>
    <w:rsid w:val="00CC0540"/>
    <w:rsid w:val="00CC055F"/>
    <w:rsid w:val="00CC0564"/>
    <w:rsid w:val="00CC0611"/>
    <w:rsid w:val="00CC0640"/>
    <w:rsid w:val="00CC0672"/>
    <w:rsid w:val="00CC06B6"/>
    <w:rsid w:val="00CC072F"/>
    <w:rsid w:val="00CC0794"/>
    <w:rsid w:val="00CC07D6"/>
    <w:rsid w:val="00CC07E8"/>
    <w:rsid w:val="00CC0812"/>
    <w:rsid w:val="00CC084B"/>
    <w:rsid w:val="00CC084F"/>
    <w:rsid w:val="00CC0894"/>
    <w:rsid w:val="00CC08A0"/>
    <w:rsid w:val="00CC08C9"/>
    <w:rsid w:val="00CC08DF"/>
    <w:rsid w:val="00CC08F7"/>
    <w:rsid w:val="00CC092A"/>
    <w:rsid w:val="00CC0944"/>
    <w:rsid w:val="00CC0999"/>
    <w:rsid w:val="00CC0A2B"/>
    <w:rsid w:val="00CC0A45"/>
    <w:rsid w:val="00CC0A4F"/>
    <w:rsid w:val="00CC0ABD"/>
    <w:rsid w:val="00CC0ACD"/>
    <w:rsid w:val="00CC0AD9"/>
    <w:rsid w:val="00CC0AEB"/>
    <w:rsid w:val="00CC0B1D"/>
    <w:rsid w:val="00CC0B47"/>
    <w:rsid w:val="00CC0B57"/>
    <w:rsid w:val="00CC0B68"/>
    <w:rsid w:val="00CC0BAC"/>
    <w:rsid w:val="00CC0BD4"/>
    <w:rsid w:val="00CC0BD9"/>
    <w:rsid w:val="00CC0C13"/>
    <w:rsid w:val="00CC0C2C"/>
    <w:rsid w:val="00CC0C37"/>
    <w:rsid w:val="00CC0C3C"/>
    <w:rsid w:val="00CC0C6A"/>
    <w:rsid w:val="00CC0CCA"/>
    <w:rsid w:val="00CC0CE7"/>
    <w:rsid w:val="00CC0CF3"/>
    <w:rsid w:val="00CC0D18"/>
    <w:rsid w:val="00CC0D37"/>
    <w:rsid w:val="00CC0D69"/>
    <w:rsid w:val="00CC0D6E"/>
    <w:rsid w:val="00CC0D8D"/>
    <w:rsid w:val="00CC0D95"/>
    <w:rsid w:val="00CC0DF6"/>
    <w:rsid w:val="00CC0E4F"/>
    <w:rsid w:val="00CC0EC8"/>
    <w:rsid w:val="00CC0ED4"/>
    <w:rsid w:val="00CC0EE0"/>
    <w:rsid w:val="00CC0F04"/>
    <w:rsid w:val="00CC0F6C"/>
    <w:rsid w:val="00CC0F88"/>
    <w:rsid w:val="00CC0F8E"/>
    <w:rsid w:val="00CC0F98"/>
    <w:rsid w:val="00CC0F9C"/>
    <w:rsid w:val="00CC0FB8"/>
    <w:rsid w:val="00CC0FDB"/>
    <w:rsid w:val="00CC0FE7"/>
    <w:rsid w:val="00CC0FEE"/>
    <w:rsid w:val="00CC1083"/>
    <w:rsid w:val="00CC1090"/>
    <w:rsid w:val="00CC10F5"/>
    <w:rsid w:val="00CC111F"/>
    <w:rsid w:val="00CC113F"/>
    <w:rsid w:val="00CC1152"/>
    <w:rsid w:val="00CC1169"/>
    <w:rsid w:val="00CC11A7"/>
    <w:rsid w:val="00CC11B4"/>
    <w:rsid w:val="00CC11BA"/>
    <w:rsid w:val="00CC11C5"/>
    <w:rsid w:val="00CC121A"/>
    <w:rsid w:val="00CC121B"/>
    <w:rsid w:val="00CC1222"/>
    <w:rsid w:val="00CC1249"/>
    <w:rsid w:val="00CC1256"/>
    <w:rsid w:val="00CC12BC"/>
    <w:rsid w:val="00CC12D3"/>
    <w:rsid w:val="00CC12E5"/>
    <w:rsid w:val="00CC130A"/>
    <w:rsid w:val="00CC1315"/>
    <w:rsid w:val="00CC1316"/>
    <w:rsid w:val="00CC1350"/>
    <w:rsid w:val="00CC1358"/>
    <w:rsid w:val="00CC1391"/>
    <w:rsid w:val="00CC13D4"/>
    <w:rsid w:val="00CC140F"/>
    <w:rsid w:val="00CC1413"/>
    <w:rsid w:val="00CC144A"/>
    <w:rsid w:val="00CC1452"/>
    <w:rsid w:val="00CC14BE"/>
    <w:rsid w:val="00CC1548"/>
    <w:rsid w:val="00CC155F"/>
    <w:rsid w:val="00CC15ED"/>
    <w:rsid w:val="00CC1708"/>
    <w:rsid w:val="00CC1759"/>
    <w:rsid w:val="00CC1766"/>
    <w:rsid w:val="00CC1772"/>
    <w:rsid w:val="00CC177A"/>
    <w:rsid w:val="00CC1781"/>
    <w:rsid w:val="00CC1797"/>
    <w:rsid w:val="00CC17D0"/>
    <w:rsid w:val="00CC17D2"/>
    <w:rsid w:val="00CC17E3"/>
    <w:rsid w:val="00CC1823"/>
    <w:rsid w:val="00CC1838"/>
    <w:rsid w:val="00CC185F"/>
    <w:rsid w:val="00CC18A1"/>
    <w:rsid w:val="00CC18AA"/>
    <w:rsid w:val="00CC18C3"/>
    <w:rsid w:val="00CC18D9"/>
    <w:rsid w:val="00CC18DD"/>
    <w:rsid w:val="00CC18E5"/>
    <w:rsid w:val="00CC18EB"/>
    <w:rsid w:val="00CC18FB"/>
    <w:rsid w:val="00CC190C"/>
    <w:rsid w:val="00CC1963"/>
    <w:rsid w:val="00CC19F3"/>
    <w:rsid w:val="00CC1A53"/>
    <w:rsid w:val="00CC1A66"/>
    <w:rsid w:val="00CC1A6B"/>
    <w:rsid w:val="00CC1A73"/>
    <w:rsid w:val="00CC1A7D"/>
    <w:rsid w:val="00CC1A80"/>
    <w:rsid w:val="00CC1AAA"/>
    <w:rsid w:val="00CC1AAC"/>
    <w:rsid w:val="00CC1AB1"/>
    <w:rsid w:val="00CC1ABB"/>
    <w:rsid w:val="00CC1ACE"/>
    <w:rsid w:val="00CC1B0C"/>
    <w:rsid w:val="00CC1B4D"/>
    <w:rsid w:val="00CC1BA6"/>
    <w:rsid w:val="00CC1BCC"/>
    <w:rsid w:val="00CC1BCE"/>
    <w:rsid w:val="00CC1BF5"/>
    <w:rsid w:val="00CC1C53"/>
    <w:rsid w:val="00CC1C62"/>
    <w:rsid w:val="00CC1C83"/>
    <w:rsid w:val="00CC1C87"/>
    <w:rsid w:val="00CC1CCB"/>
    <w:rsid w:val="00CC1CD5"/>
    <w:rsid w:val="00CC1CDA"/>
    <w:rsid w:val="00CC1D0C"/>
    <w:rsid w:val="00CC1D49"/>
    <w:rsid w:val="00CC1D6E"/>
    <w:rsid w:val="00CC1D73"/>
    <w:rsid w:val="00CC1D7A"/>
    <w:rsid w:val="00CC1DA0"/>
    <w:rsid w:val="00CC1DC4"/>
    <w:rsid w:val="00CC1E1B"/>
    <w:rsid w:val="00CC1E74"/>
    <w:rsid w:val="00CC1E9E"/>
    <w:rsid w:val="00CC1EB1"/>
    <w:rsid w:val="00CC1F64"/>
    <w:rsid w:val="00CC1F78"/>
    <w:rsid w:val="00CC1FC9"/>
    <w:rsid w:val="00CC1FE3"/>
    <w:rsid w:val="00CC2011"/>
    <w:rsid w:val="00CC2072"/>
    <w:rsid w:val="00CC2078"/>
    <w:rsid w:val="00CC2092"/>
    <w:rsid w:val="00CC209D"/>
    <w:rsid w:val="00CC20AB"/>
    <w:rsid w:val="00CC20AE"/>
    <w:rsid w:val="00CC20CC"/>
    <w:rsid w:val="00CC20DD"/>
    <w:rsid w:val="00CC20EC"/>
    <w:rsid w:val="00CC2114"/>
    <w:rsid w:val="00CC214D"/>
    <w:rsid w:val="00CC215A"/>
    <w:rsid w:val="00CC21BC"/>
    <w:rsid w:val="00CC222F"/>
    <w:rsid w:val="00CC2232"/>
    <w:rsid w:val="00CC2234"/>
    <w:rsid w:val="00CC2240"/>
    <w:rsid w:val="00CC225F"/>
    <w:rsid w:val="00CC2262"/>
    <w:rsid w:val="00CC2276"/>
    <w:rsid w:val="00CC2298"/>
    <w:rsid w:val="00CC22FC"/>
    <w:rsid w:val="00CC2376"/>
    <w:rsid w:val="00CC2400"/>
    <w:rsid w:val="00CC2403"/>
    <w:rsid w:val="00CC241D"/>
    <w:rsid w:val="00CC2433"/>
    <w:rsid w:val="00CC24D5"/>
    <w:rsid w:val="00CC2550"/>
    <w:rsid w:val="00CC2579"/>
    <w:rsid w:val="00CC25EC"/>
    <w:rsid w:val="00CC2629"/>
    <w:rsid w:val="00CC2639"/>
    <w:rsid w:val="00CC2657"/>
    <w:rsid w:val="00CC26EB"/>
    <w:rsid w:val="00CC26F5"/>
    <w:rsid w:val="00CC272B"/>
    <w:rsid w:val="00CC273B"/>
    <w:rsid w:val="00CC276C"/>
    <w:rsid w:val="00CC27A7"/>
    <w:rsid w:val="00CC27AF"/>
    <w:rsid w:val="00CC27B2"/>
    <w:rsid w:val="00CC27C5"/>
    <w:rsid w:val="00CC27DE"/>
    <w:rsid w:val="00CC27F0"/>
    <w:rsid w:val="00CC27F2"/>
    <w:rsid w:val="00CC2811"/>
    <w:rsid w:val="00CC2884"/>
    <w:rsid w:val="00CC28BB"/>
    <w:rsid w:val="00CC28FC"/>
    <w:rsid w:val="00CC28FF"/>
    <w:rsid w:val="00CC2933"/>
    <w:rsid w:val="00CC2970"/>
    <w:rsid w:val="00CC2983"/>
    <w:rsid w:val="00CC2988"/>
    <w:rsid w:val="00CC29FF"/>
    <w:rsid w:val="00CC2A08"/>
    <w:rsid w:val="00CC2A37"/>
    <w:rsid w:val="00CC2A3C"/>
    <w:rsid w:val="00CC2A43"/>
    <w:rsid w:val="00CC2A56"/>
    <w:rsid w:val="00CC2A6E"/>
    <w:rsid w:val="00CC2A8D"/>
    <w:rsid w:val="00CC2AE7"/>
    <w:rsid w:val="00CC2B22"/>
    <w:rsid w:val="00CC2B30"/>
    <w:rsid w:val="00CC2B93"/>
    <w:rsid w:val="00CC2B9D"/>
    <w:rsid w:val="00CC2BB2"/>
    <w:rsid w:val="00CC2BE1"/>
    <w:rsid w:val="00CC2C04"/>
    <w:rsid w:val="00CC2C4E"/>
    <w:rsid w:val="00CC2C6C"/>
    <w:rsid w:val="00CC2C93"/>
    <w:rsid w:val="00CC2CA1"/>
    <w:rsid w:val="00CC2CA3"/>
    <w:rsid w:val="00CC2CA8"/>
    <w:rsid w:val="00CC2CB0"/>
    <w:rsid w:val="00CC2D36"/>
    <w:rsid w:val="00CC2DA6"/>
    <w:rsid w:val="00CC2DCB"/>
    <w:rsid w:val="00CC2DD0"/>
    <w:rsid w:val="00CC2DD5"/>
    <w:rsid w:val="00CC2E42"/>
    <w:rsid w:val="00CC2E48"/>
    <w:rsid w:val="00CC2E8F"/>
    <w:rsid w:val="00CC2EF6"/>
    <w:rsid w:val="00CC2F66"/>
    <w:rsid w:val="00CC2F9F"/>
    <w:rsid w:val="00CC2FA9"/>
    <w:rsid w:val="00CC2FD6"/>
    <w:rsid w:val="00CC301E"/>
    <w:rsid w:val="00CC3091"/>
    <w:rsid w:val="00CC3094"/>
    <w:rsid w:val="00CC3095"/>
    <w:rsid w:val="00CC3099"/>
    <w:rsid w:val="00CC314A"/>
    <w:rsid w:val="00CC31A8"/>
    <w:rsid w:val="00CC31AE"/>
    <w:rsid w:val="00CC329A"/>
    <w:rsid w:val="00CC32AC"/>
    <w:rsid w:val="00CC32FD"/>
    <w:rsid w:val="00CC32FE"/>
    <w:rsid w:val="00CC3378"/>
    <w:rsid w:val="00CC3394"/>
    <w:rsid w:val="00CC340A"/>
    <w:rsid w:val="00CC3451"/>
    <w:rsid w:val="00CC3469"/>
    <w:rsid w:val="00CC3489"/>
    <w:rsid w:val="00CC34AD"/>
    <w:rsid w:val="00CC34C5"/>
    <w:rsid w:val="00CC34CA"/>
    <w:rsid w:val="00CC34D6"/>
    <w:rsid w:val="00CC34EA"/>
    <w:rsid w:val="00CC352B"/>
    <w:rsid w:val="00CC3534"/>
    <w:rsid w:val="00CC35B1"/>
    <w:rsid w:val="00CC3635"/>
    <w:rsid w:val="00CC367C"/>
    <w:rsid w:val="00CC36CC"/>
    <w:rsid w:val="00CC36E7"/>
    <w:rsid w:val="00CC371E"/>
    <w:rsid w:val="00CC3737"/>
    <w:rsid w:val="00CC3750"/>
    <w:rsid w:val="00CC3760"/>
    <w:rsid w:val="00CC3774"/>
    <w:rsid w:val="00CC37A0"/>
    <w:rsid w:val="00CC37E6"/>
    <w:rsid w:val="00CC37FA"/>
    <w:rsid w:val="00CC3846"/>
    <w:rsid w:val="00CC3878"/>
    <w:rsid w:val="00CC38B3"/>
    <w:rsid w:val="00CC38BA"/>
    <w:rsid w:val="00CC38FB"/>
    <w:rsid w:val="00CC390C"/>
    <w:rsid w:val="00CC3913"/>
    <w:rsid w:val="00CC3922"/>
    <w:rsid w:val="00CC3955"/>
    <w:rsid w:val="00CC39A7"/>
    <w:rsid w:val="00CC3A12"/>
    <w:rsid w:val="00CC3A29"/>
    <w:rsid w:val="00CC3A39"/>
    <w:rsid w:val="00CC3A4B"/>
    <w:rsid w:val="00CC3A9F"/>
    <w:rsid w:val="00CC3AB0"/>
    <w:rsid w:val="00CC3AB5"/>
    <w:rsid w:val="00CC3ABA"/>
    <w:rsid w:val="00CC3AC7"/>
    <w:rsid w:val="00CC3B7E"/>
    <w:rsid w:val="00CC3BE3"/>
    <w:rsid w:val="00CC3C5F"/>
    <w:rsid w:val="00CC3CA7"/>
    <w:rsid w:val="00CC3CC2"/>
    <w:rsid w:val="00CC3D25"/>
    <w:rsid w:val="00CC3D3C"/>
    <w:rsid w:val="00CC3D3D"/>
    <w:rsid w:val="00CC3DA5"/>
    <w:rsid w:val="00CC3DC4"/>
    <w:rsid w:val="00CC3DD8"/>
    <w:rsid w:val="00CC3DE8"/>
    <w:rsid w:val="00CC3DF9"/>
    <w:rsid w:val="00CC3E69"/>
    <w:rsid w:val="00CC3E70"/>
    <w:rsid w:val="00CC3E77"/>
    <w:rsid w:val="00CC3EA7"/>
    <w:rsid w:val="00CC3EE0"/>
    <w:rsid w:val="00CC3EF2"/>
    <w:rsid w:val="00CC3F26"/>
    <w:rsid w:val="00CC3F31"/>
    <w:rsid w:val="00CC3F5A"/>
    <w:rsid w:val="00CC3F7F"/>
    <w:rsid w:val="00CC3FD3"/>
    <w:rsid w:val="00CC3FDF"/>
    <w:rsid w:val="00CC4019"/>
    <w:rsid w:val="00CC4044"/>
    <w:rsid w:val="00CC4051"/>
    <w:rsid w:val="00CC4069"/>
    <w:rsid w:val="00CC4071"/>
    <w:rsid w:val="00CC4073"/>
    <w:rsid w:val="00CC40B3"/>
    <w:rsid w:val="00CC40D7"/>
    <w:rsid w:val="00CC40DB"/>
    <w:rsid w:val="00CC4112"/>
    <w:rsid w:val="00CC4196"/>
    <w:rsid w:val="00CC4206"/>
    <w:rsid w:val="00CC4209"/>
    <w:rsid w:val="00CC4287"/>
    <w:rsid w:val="00CC42F3"/>
    <w:rsid w:val="00CC42FB"/>
    <w:rsid w:val="00CC434B"/>
    <w:rsid w:val="00CC435B"/>
    <w:rsid w:val="00CC4368"/>
    <w:rsid w:val="00CC4386"/>
    <w:rsid w:val="00CC439D"/>
    <w:rsid w:val="00CC4406"/>
    <w:rsid w:val="00CC4421"/>
    <w:rsid w:val="00CC4426"/>
    <w:rsid w:val="00CC4449"/>
    <w:rsid w:val="00CC4461"/>
    <w:rsid w:val="00CC4469"/>
    <w:rsid w:val="00CC4496"/>
    <w:rsid w:val="00CC44DF"/>
    <w:rsid w:val="00CC4516"/>
    <w:rsid w:val="00CC4523"/>
    <w:rsid w:val="00CC4570"/>
    <w:rsid w:val="00CC4582"/>
    <w:rsid w:val="00CC45C0"/>
    <w:rsid w:val="00CC45CA"/>
    <w:rsid w:val="00CC45E8"/>
    <w:rsid w:val="00CC4665"/>
    <w:rsid w:val="00CC46CA"/>
    <w:rsid w:val="00CC46E4"/>
    <w:rsid w:val="00CC46ED"/>
    <w:rsid w:val="00CC4740"/>
    <w:rsid w:val="00CC474B"/>
    <w:rsid w:val="00CC4767"/>
    <w:rsid w:val="00CC478E"/>
    <w:rsid w:val="00CC4792"/>
    <w:rsid w:val="00CC47B3"/>
    <w:rsid w:val="00CC4826"/>
    <w:rsid w:val="00CC4885"/>
    <w:rsid w:val="00CC488B"/>
    <w:rsid w:val="00CC489F"/>
    <w:rsid w:val="00CC48A7"/>
    <w:rsid w:val="00CC48BE"/>
    <w:rsid w:val="00CC48D4"/>
    <w:rsid w:val="00CC48F0"/>
    <w:rsid w:val="00CC4942"/>
    <w:rsid w:val="00CC4986"/>
    <w:rsid w:val="00CC49B5"/>
    <w:rsid w:val="00CC49F2"/>
    <w:rsid w:val="00CC4A09"/>
    <w:rsid w:val="00CC4A58"/>
    <w:rsid w:val="00CC4A69"/>
    <w:rsid w:val="00CC4AD2"/>
    <w:rsid w:val="00CC4B33"/>
    <w:rsid w:val="00CC4B4A"/>
    <w:rsid w:val="00CC4B75"/>
    <w:rsid w:val="00CC4BB1"/>
    <w:rsid w:val="00CC4BBC"/>
    <w:rsid w:val="00CC4BF5"/>
    <w:rsid w:val="00CC4BF8"/>
    <w:rsid w:val="00CC4C5E"/>
    <w:rsid w:val="00CC4C95"/>
    <w:rsid w:val="00CC4CB0"/>
    <w:rsid w:val="00CC4D0E"/>
    <w:rsid w:val="00CC4DB1"/>
    <w:rsid w:val="00CC4DBF"/>
    <w:rsid w:val="00CC4DD7"/>
    <w:rsid w:val="00CC4E53"/>
    <w:rsid w:val="00CC4E64"/>
    <w:rsid w:val="00CC4E89"/>
    <w:rsid w:val="00CC4ECF"/>
    <w:rsid w:val="00CC4F59"/>
    <w:rsid w:val="00CC4FA5"/>
    <w:rsid w:val="00CC5099"/>
    <w:rsid w:val="00CC50AA"/>
    <w:rsid w:val="00CC50B9"/>
    <w:rsid w:val="00CC5100"/>
    <w:rsid w:val="00CC515C"/>
    <w:rsid w:val="00CC520A"/>
    <w:rsid w:val="00CC525C"/>
    <w:rsid w:val="00CC529C"/>
    <w:rsid w:val="00CC52ED"/>
    <w:rsid w:val="00CC52EF"/>
    <w:rsid w:val="00CC52F6"/>
    <w:rsid w:val="00CC533B"/>
    <w:rsid w:val="00CC5354"/>
    <w:rsid w:val="00CC5361"/>
    <w:rsid w:val="00CC538D"/>
    <w:rsid w:val="00CC5394"/>
    <w:rsid w:val="00CC53BB"/>
    <w:rsid w:val="00CC540C"/>
    <w:rsid w:val="00CC541A"/>
    <w:rsid w:val="00CC541D"/>
    <w:rsid w:val="00CC546A"/>
    <w:rsid w:val="00CC5493"/>
    <w:rsid w:val="00CC54B0"/>
    <w:rsid w:val="00CC54DD"/>
    <w:rsid w:val="00CC5513"/>
    <w:rsid w:val="00CC5547"/>
    <w:rsid w:val="00CC5578"/>
    <w:rsid w:val="00CC55B6"/>
    <w:rsid w:val="00CC55F1"/>
    <w:rsid w:val="00CC5648"/>
    <w:rsid w:val="00CC564C"/>
    <w:rsid w:val="00CC5746"/>
    <w:rsid w:val="00CC57A7"/>
    <w:rsid w:val="00CC57DC"/>
    <w:rsid w:val="00CC57DF"/>
    <w:rsid w:val="00CC57E2"/>
    <w:rsid w:val="00CC5832"/>
    <w:rsid w:val="00CC584D"/>
    <w:rsid w:val="00CC586A"/>
    <w:rsid w:val="00CC5888"/>
    <w:rsid w:val="00CC589E"/>
    <w:rsid w:val="00CC58F7"/>
    <w:rsid w:val="00CC5959"/>
    <w:rsid w:val="00CC5962"/>
    <w:rsid w:val="00CC5978"/>
    <w:rsid w:val="00CC5982"/>
    <w:rsid w:val="00CC5992"/>
    <w:rsid w:val="00CC59B0"/>
    <w:rsid w:val="00CC59B4"/>
    <w:rsid w:val="00CC5ADB"/>
    <w:rsid w:val="00CC5AE9"/>
    <w:rsid w:val="00CC5AF5"/>
    <w:rsid w:val="00CC5B0D"/>
    <w:rsid w:val="00CC5B17"/>
    <w:rsid w:val="00CC5BA4"/>
    <w:rsid w:val="00CC5BD3"/>
    <w:rsid w:val="00CC5BDA"/>
    <w:rsid w:val="00CC5C37"/>
    <w:rsid w:val="00CC5C8C"/>
    <w:rsid w:val="00CC5C9B"/>
    <w:rsid w:val="00CC5CAC"/>
    <w:rsid w:val="00CC5CC4"/>
    <w:rsid w:val="00CC5D09"/>
    <w:rsid w:val="00CC5D25"/>
    <w:rsid w:val="00CC5D4A"/>
    <w:rsid w:val="00CC5D5B"/>
    <w:rsid w:val="00CC5D73"/>
    <w:rsid w:val="00CC5DCA"/>
    <w:rsid w:val="00CC5DE5"/>
    <w:rsid w:val="00CC5DEB"/>
    <w:rsid w:val="00CC5DFA"/>
    <w:rsid w:val="00CC5E00"/>
    <w:rsid w:val="00CC5E1B"/>
    <w:rsid w:val="00CC5E1D"/>
    <w:rsid w:val="00CC5ECB"/>
    <w:rsid w:val="00CC5ECC"/>
    <w:rsid w:val="00CC5ED0"/>
    <w:rsid w:val="00CC5EFA"/>
    <w:rsid w:val="00CC5F2D"/>
    <w:rsid w:val="00CC5F50"/>
    <w:rsid w:val="00CC5F81"/>
    <w:rsid w:val="00CC5F9E"/>
    <w:rsid w:val="00CC5FB0"/>
    <w:rsid w:val="00CC5FCE"/>
    <w:rsid w:val="00CC6025"/>
    <w:rsid w:val="00CC6082"/>
    <w:rsid w:val="00CC6099"/>
    <w:rsid w:val="00CC60C7"/>
    <w:rsid w:val="00CC60FE"/>
    <w:rsid w:val="00CC610E"/>
    <w:rsid w:val="00CC614B"/>
    <w:rsid w:val="00CC6156"/>
    <w:rsid w:val="00CC6186"/>
    <w:rsid w:val="00CC618B"/>
    <w:rsid w:val="00CC6208"/>
    <w:rsid w:val="00CC626A"/>
    <w:rsid w:val="00CC62CC"/>
    <w:rsid w:val="00CC6303"/>
    <w:rsid w:val="00CC6307"/>
    <w:rsid w:val="00CC631D"/>
    <w:rsid w:val="00CC632D"/>
    <w:rsid w:val="00CC633E"/>
    <w:rsid w:val="00CC6368"/>
    <w:rsid w:val="00CC63C9"/>
    <w:rsid w:val="00CC63CC"/>
    <w:rsid w:val="00CC6407"/>
    <w:rsid w:val="00CC6408"/>
    <w:rsid w:val="00CC640E"/>
    <w:rsid w:val="00CC6452"/>
    <w:rsid w:val="00CC645A"/>
    <w:rsid w:val="00CC648F"/>
    <w:rsid w:val="00CC64C9"/>
    <w:rsid w:val="00CC6500"/>
    <w:rsid w:val="00CC6502"/>
    <w:rsid w:val="00CC6512"/>
    <w:rsid w:val="00CC651F"/>
    <w:rsid w:val="00CC6532"/>
    <w:rsid w:val="00CC6537"/>
    <w:rsid w:val="00CC65AB"/>
    <w:rsid w:val="00CC6689"/>
    <w:rsid w:val="00CC66B0"/>
    <w:rsid w:val="00CC66CF"/>
    <w:rsid w:val="00CC6710"/>
    <w:rsid w:val="00CC6715"/>
    <w:rsid w:val="00CC675B"/>
    <w:rsid w:val="00CC6761"/>
    <w:rsid w:val="00CC683D"/>
    <w:rsid w:val="00CC6865"/>
    <w:rsid w:val="00CC6888"/>
    <w:rsid w:val="00CC68B4"/>
    <w:rsid w:val="00CC68BE"/>
    <w:rsid w:val="00CC68E3"/>
    <w:rsid w:val="00CC68F2"/>
    <w:rsid w:val="00CC692F"/>
    <w:rsid w:val="00CC6938"/>
    <w:rsid w:val="00CC693D"/>
    <w:rsid w:val="00CC69AA"/>
    <w:rsid w:val="00CC69AD"/>
    <w:rsid w:val="00CC6AB4"/>
    <w:rsid w:val="00CC6AB5"/>
    <w:rsid w:val="00CC6ABA"/>
    <w:rsid w:val="00CC6AD4"/>
    <w:rsid w:val="00CC6ADB"/>
    <w:rsid w:val="00CC6B2F"/>
    <w:rsid w:val="00CC6B78"/>
    <w:rsid w:val="00CC6BD9"/>
    <w:rsid w:val="00CC6BED"/>
    <w:rsid w:val="00CC6C0C"/>
    <w:rsid w:val="00CC6C22"/>
    <w:rsid w:val="00CC6C5C"/>
    <w:rsid w:val="00CC6C62"/>
    <w:rsid w:val="00CC6C9E"/>
    <w:rsid w:val="00CC6CA5"/>
    <w:rsid w:val="00CC6CC3"/>
    <w:rsid w:val="00CC6D30"/>
    <w:rsid w:val="00CC6D86"/>
    <w:rsid w:val="00CC6DBA"/>
    <w:rsid w:val="00CC6E07"/>
    <w:rsid w:val="00CC6E31"/>
    <w:rsid w:val="00CC6E45"/>
    <w:rsid w:val="00CC6E5A"/>
    <w:rsid w:val="00CC6E92"/>
    <w:rsid w:val="00CC6ED3"/>
    <w:rsid w:val="00CC6F3F"/>
    <w:rsid w:val="00CC6F97"/>
    <w:rsid w:val="00CC6FD0"/>
    <w:rsid w:val="00CC70A3"/>
    <w:rsid w:val="00CC70B0"/>
    <w:rsid w:val="00CC70B9"/>
    <w:rsid w:val="00CC70EA"/>
    <w:rsid w:val="00CC710D"/>
    <w:rsid w:val="00CC7187"/>
    <w:rsid w:val="00CC718D"/>
    <w:rsid w:val="00CC71B1"/>
    <w:rsid w:val="00CC71B6"/>
    <w:rsid w:val="00CC71C7"/>
    <w:rsid w:val="00CC71E0"/>
    <w:rsid w:val="00CC71E5"/>
    <w:rsid w:val="00CC71E6"/>
    <w:rsid w:val="00CC7214"/>
    <w:rsid w:val="00CC721C"/>
    <w:rsid w:val="00CC7225"/>
    <w:rsid w:val="00CC727F"/>
    <w:rsid w:val="00CC72AA"/>
    <w:rsid w:val="00CC72AD"/>
    <w:rsid w:val="00CC72C3"/>
    <w:rsid w:val="00CC72D8"/>
    <w:rsid w:val="00CC7328"/>
    <w:rsid w:val="00CC735A"/>
    <w:rsid w:val="00CC73E9"/>
    <w:rsid w:val="00CC73F4"/>
    <w:rsid w:val="00CC7400"/>
    <w:rsid w:val="00CC744E"/>
    <w:rsid w:val="00CC7481"/>
    <w:rsid w:val="00CC74B7"/>
    <w:rsid w:val="00CC74BC"/>
    <w:rsid w:val="00CC74FC"/>
    <w:rsid w:val="00CC75A2"/>
    <w:rsid w:val="00CC7613"/>
    <w:rsid w:val="00CC7621"/>
    <w:rsid w:val="00CC765D"/>
    <w:rsid w:val="00CC769A"/>
    <w:rsid w:val="00CC76DC"/>
    <w:rsid w:val="00CC77F4"/>
    <w:rsid w:val="00CC7800"/>
    <w:rsid w:val="00CC781A"/>
    <w:rsid w:val="00CC782E"/>
    <w:rsid w:val="00CC7868"/>
    <w:rsid w:val="00CC789D"/>
    <w:rsid w:val="00CC78B3"/>
    <w:rsid w:val="00CC78BC"/>
    <w:rsid w:val="00CC78C0"/>
    <w:rsid w:val="00CC791E"/>
    <w:rsid w:val="00CC793E"/>
    <w:rsid w:val="00CC7954"/>
    <w:rsid w:val="00CC796A"/>
    <w:rsid w:val="00CC797F"/>
    <w:rsid w:val="00CC79A1"/>
    <w:rsid w:val="00CC79B2"/>
    <w:rsid w:val="00CC7A4B"/>
    <w:rsid w:val="00CC7A56"/>
    <w:rsid w:val="00CC7A67"/>
    <w:rsid w:val="00CC7A98"/>
    <w:rsid w:val="00CC7A99"/>
    <w:rsid w:val="00CC7ADC"/>
    <w:rsid w:val="00CC7AE7"/>
    <w:rsid w:val="00CC7B09"/>
    <w:rsid w:val="00CC7B10"/>
    <w:rsid w:val="00CC7B15"/>
    <w:rsid w:val="00CC7B31"/>
    <w:rsid w:val="00CC7B43"/>
    <w:rsid w:val="00CC7B66"/>
    <w:rsid w:val="00CC7BA6"/>
    <w:rsid w:val="00CC7C0C"/>
    <w:rsid w:val="00CC7C16"/>
    <w:rsid w:val="00CC7C4F"/>
    <w:rsid w:val="00CC7C63"/>
    <w:rsid w:val="00CC7CB0"/>
    <w:rsid w:val="00CC7CBD"/>
    <w:rsid w:val="00CC7D0F"/>
    <w:rsid w:val="00CC7D32"/>
    <w:rsid w:val="00CC7D59"/>
    <w:rsid w:val="00CC7D6F"/>
    <w:rsid w:val="00CC7DC3"/>
    <w:rsid w:val="00CC7DD0"/>
    <w:rsid w:val="00CC7E46"/>
    <w:rsid w:val="00CC7E75"/>
    <w:rsid w:val="00CC7E77"/>
    <w:rsid w:val="00CC7E86"/>
    <w:rsid w:val="00CC7EFF"/>
    <w:rsid w:val="00CC7F0D"/>
    <w:rsid w:val="00CC7F1C"/>
    <w:rsid w:val="00CC7F75"/>
    <w:rsid w:val="00CC7FAA"/>
    <w:rsid w:val="00CC7FBD"/>
    <w:rsid w:val="00CC7FDE"/>
    <w:rsid w:val="00CD0003"/>
    <w:rsid w:val="00CD004A"/>
    <w:rsid w:val="00CD0078"/>
    <w:rsid w:val="00CD009A"/>
    <w:rsid w:val="00CD00E2"/>
    <w:rsid w:val="00CD00E4"/>
    <w:rsid w:val="00CD00EF"/>
    <w:rsid w:val="00CD0115"/>
    <w:rsid w:val="00CD0140"/>
    <w:rsid w:val="00CD0182"/>
    <w:rsid w:val="00CD01CC"/>
    <w:rsid w:val="00CD01FE"/>
    <w:rsid w:val="00CD0237"/>
    <w:rsid w:val="00CD0241"/>
    <w:rsid w:val="00CD028D"/>
    <w:rsid w:val="00CD0348"/>
    <w:rsid w:val="00CD0395"/>
    <w:rsid w:val="00CD03B5"/>
    <w:rsid w:val="00CD0420"/>
    <w:rsid w:val="00CD0444"/>
    <w:rsid w:val="00CD0451"/>
    <w:rsid w:val="00CD0453"/>
    <w:rsid w:val="00CD04BD"/>
    <w:rsid w:val="00CD04C8"/>
    <w:rsid w:val="00CD04DB"/>
    <w:rsid w:val="00CD0510"/>
    <w:rsid w:val="00CD051E"/>
    <w:rsid w:val="00CD0582"/>
    <w:rsid w:val="00CD05E5"/>
    <w:rsid w:val="00CD05E8"/>
    <w:rsid w:val="00CD05F0"/>
    <w:rsid w:val="00CD0645"/>
    <w:rsid w:val="00CD0685"/>
    <w:rsid w:val="00CD06CC"/>
    <w:rsid w:val="00CD06CF"/>
    <w:rsid w:val="00CD071B"/>
    <w:rsid w:val="00CD073C"/>
    <w:rsid w:val="00CD079B"/>
    <w:rsid w:val="00CD07BC"/>
    <w:rsid w:val="00CD07C0"/>
    <w:rsid w:val="00CD087F"/>
    <w:rsid w:val="00CD0893"/>
    <w:rsid w:val="00CD08E6"/>
    <w:rsid w:val="00CD090B"/>
    <w:rsid w:val="00CD091F"/>
    <w:rsid w:val="00CD0951"/>
    <w:rsid w:val="00CD0981"/>
    <w:rsid w:val="00CD09BE"/>
    <w:rsid w:val="00CD09F2"/>
    <w:rsid w:val="00CD0A1A"/>
    <w:rsid w:val="00CD0A40"/>
    <w:rsid w:val="00CD0A5B"/>
    <w:rsid w:val="00CD0A7B"/>
    <w:rsid w:val="00CD0A85"/>
    <w:rsid w:val="00CD0A91"/>
    <w:rsid w:val="00CD0B37"/>
    <w:rsid w:val="00CD0B3B"/>
    <w:rsid w:val="00CD0B83"/>
    <w:rsid w:val="00CD0BEC"/>
    <w:rsid w:val="00CD0BF1"/>
    <w:rsid w:val="00CD0C02"/>
    <w:rsid w:val="00CD0C13"/>
    <w:rsid w:val="00CD0C15"/>
    <w:rsid w:val="00CD0C1C"/>
    <w:rsid w:val="00CD0C24"/>
    <w:rsid w:val="00CD0C6B"/>
    <w:rsid w:val="00CD0C92"/>
    <w:rsid w:val="00CD0CC4"/>
    <w:rsid w:val="00CD0D08"/>
    <w:rsid w:val="00CD0D10"/>
    <w:rsid w:val="00CD0D3C"/>
    <w:rsid w:val="00CD0D55"/>
    <w:rsid w:val="00CD0D95"/>
    <w:rsid w:val="00CD0D9D"/>
    <w:rsid w:val="00CD0E33"/>
    <w:rsid w:val="00CD0E53"/>
    <w:rsid w:val="00CD0E6C"/>
    <w:rsid w:val="00CD0E90"/>
    <w:rsid w:val="00CD0ED5"/>
    <w:rsid w:val="00CD0EDC"/>
    <w:rsid w:val="00CD0F4E"/>
    <w:rsid w:val="00CD0F50"/>
    <w:rsid w:val="00CD0F6B"/>
    <w:rsid w:val="00CD0F81"/>
    <w:rsid w:val="00CD0F90"/>
    <w:rsid w:val="00CD1033"/>
    <w:rsid w:val="00CD104B"/>
    <w:rsid w:val="00CD106F"/>
    <w:rsid w:val="00CD1102"/>
    <w:rsid w:val="00CD1117"/>
    <w:rsid w:val="00CD111D"/>
    <w:rsid w:val="00CD112D"/>
    <w:rsid w:val="00CD1175"/>
    <w:rsid w:val="00CD11A6"/>
    <w:rsid w:val="00CD11F1"/>
    <w:rsid w:val="00CD120D"/>
    <w:rsid w:val="00CD1230"/>
    <w:rsid w:val="00CD1250"/>
    <w:rsid w:val="00CD1259"/>
    <w:rsid w:val="00CD12E4"/>
    <w:rsid w:val="00CD12F2"/>
    <w:rsid w:val="00CD12F4"/>
    <w:rsid w:val="00CD12FB"/>
    <w:rsid w:val="00CD1302"/>
    <w:rsid w:val="00CD1329"/>
    <w:rsid w:val="00CD133E"/>
    <w:rsid w:val="00CD1355"/>
    <w:rsid w:val="00CD1357"/>
    <w:rsid w:val="00CD1366"/>
    <w:rsid w:val="00CD1378"/>
    <w:rsid w:val="00CD1398"/>
    <w:rsid w:val="00CD13A2"/>
    <w:rsid w:val="00CD13D3"/>
    <w:rsid w:val="00CD13EF"/>
    <w:rsid w:val="00CD141F"/>
    <w:rsid w:val="00CD1422"/>
    <w:rsid w:val="00CD14BD"/>
    <w:rsid w:val="00CD14C0"/>
    <w:rsid w:val="00CD1517"/>
    <w:rsid w:val="00CD153A"/>
    <w:rsid w:val="00CD154C"/>
    <w:rsid w:val="00CD1558"/>
    <w:rsid w:val="00CD1592"/>
    <w:rsid w:val="00CD15CA"/>
    <w:rsid w:val="00CD160A"/>
    <w:rsid w:val="00CD162D"/>
    <w:rsid w:val="00CD1640"/>
    <w:rsid w:val="00CD1659"/>
    <w:rsid w:val="00CD1674"/>
    <w:rsid w:val="00CD16AA"/>
    <w:rsid w:val="00CD16AC"/>
    <w:rsid w:val="00CD16C1"/>
    <w:rsid w:val="00CD16C9"/>
    <w:rsid w:val="00CD16E4"/>
    <w:rsid w:val="00CD17AD"/>
    <w:rsid w:val="00CD180C"/>
    <w:rsid w:val="00CD1834"/>
    <w:rsid w:val="00CD1842"/>
    <w:rsid w:val="00CD1882"/>
    <w:rsid w:val="00CD188A"/>
    <w:rsid w:val="00CD192B"/>
    <w:rsid w:val="00CD1934"/>
    <w:rsid w:val="00CD1940"/>
    <w:rsid w:val="00CD19FE"/>
    <w:rsid w:val="00CD1B06"/>
    <w:rsid w:val="00CD1B25"/>
    <w:rsid w:val="00CD1B2D"/>
    <w:rsid w:val="00CD1B62"/>
    <w:rsid w:val="00CD1B68"/>
    <w:rsid w:val="00CD1B71"/>
    <w:rsid w:val="00CD1B79"/>
    <w:rsid w:val="00CD1BB2"/>
    <w:rsid w:val="00CD1BD2"/>
    <w:rsid w:val="00CD1BF2"/>
    <w:rsid w:val="00CD1C18"/>
    <w:rsid w:val="00CD1C29"/>
    <w:rsid w:val="00CD1C44"/>
    <w:rsid w:val="00CD1C80"/>
    <w:rsid w:val="00CD1CA9"/>
    <w:rsid w:val="00CD1CAC"/>
    <w:rsid w:val="00CD1CC9"/>
    <w:rsid w:val="00CD1D2D"/>
    <w:rsid w:val="00CD1D5F"/>
    <w:rsid w:val="00CD1DB5"/>
    <w:rsid w:val="00CD1DC9"/>
    <w:rsid w:val="00CD1E2B"/>
    <w:rsid w:val="00CD1E37"/>
    <w:rsid w:val="00CD1E6C"/>
    <w:rsid w:val="00CD1ED2"/>
    <w:rsid w:val="00CD1F3E"/>
    <w:rsid w:val="00CD1F3F"/>
    <w:rsid w:val="00CD1F9E"/>
    <w:rsid w:val="00CD1FC7"/>
    <w:rsid w:val="00CD1FCF"/>
    <w:rsid w:val="00CD1FE6"/>
    <w:rsid w:val="00CD1FEF"/>
    <w:rsid w:val="00CD2002"/>
    <w:rsid w:val="00CD200B"/>
    <w:rsid w:val="00CD2039"/>
    <w:rsid w:val="00CD204B"/>
    <w:rsid w:val="00CD2075"/>
    <w:rsid w:val="00CD2078"/>
    <w:rsid w:val="00CD20A1"/>
    <w:rsid w:val="00CD20A4"/>
    <w:rsid w:val="00CD2105"/>
    <w:rsid w:val="00CD2111"/>
    <w:rsid w:val="00CD219C"/>
    <w:rsid w:val="00CD21B1"/>
    <w:rsid w:val="00CD21C7"/>
    <w:rsid w:val="00CD21E2"/>
    <w:rsid w:val="00CD21EE"/>
    <w:rsid w:val="00CD2217"/>
    <w:rsid w:val="00CD2236"/>
    <w:rsid w:val="00CD225B"/>
    <w:rsid w:val="00CD22AD"/>
    <w:rsid w:val="00CD22C9"/>
    <w:rsid w:val="00CD22F9"/>
    <w:rsid w:val="00CD22FB"/>
    <w:rsid w:val="00CD235D"/>
    <w:rsid w:val="00CD236C"/>
    <w:rsid w:val="00CD238C"/>
    <w:rsid w:val="00CD23C1"/>
    <w:rsid w:val="00CD23E7"/>
    <w:rsid w:val="00CD23F3"/>
    <w:rsid w:val="00CD2412"/>
    <w:rsid w:val="00CD2466"/>
    <w:rsid w:val="00CD2477"/>
    <w:rsid w:val="00CD24BD"/>
    <w:rsid w:val="00CD24DE"/>
    <w:rsid w:val="00CD24F6"/>
    <w:rsid w:val="00CD2537"/>
    <w:rsid w:val="00CD2565"/>
    <w:rsid w:val="00CD257F"/>
    <w:rsid w:val="00CD2596"/>
    <w:rsid w:val="00CD263A"/>
    <w:rsid w:val="00CD2640"/>
    <w:rsid w:val="00CD266F"/>
    <w:rsid w:val="00CD26C4"/>
    <w:rsid w:val="00CD2713"/>
    <w:rsid w:val="00CD27D4"/>
    <w:rsid w:val="00CD281D"/>
    <w:rsid w:val="00CD281E"/>
    <w:rsid w:val="00CD282C"/>
    <w:rsid w:val="00CD282F"/>
    <w:rsid w:val="00CD2831"/>
    <w:rsid w:val="00CD28B6"/>
    <w:rsid w:val="00CD28B8"/>
    <w:rsid w:val="00CD28BB"/>
    <w:rsid w:val="00CD28F2"/>
    <w:rsid w:val="00CD2917"/>
    <w:rsid w:val="00CD293A"/>
    <w:rsid w:val="00CD2996"/>
    <w:rsid w:val="00CD29AA"/>
    <w:rsid w:val="00CD29B7"/>
    <w:rsid w:val="00CD29DE"/>
    <w:rsid w:val="00CD2A25"/>
    <w:rsid w:val="00CD2A41"/>
    <w:rsid w:val="00CD2A67"/>
    <w:rsid w:val="00CD2ACA"/>
    <w:rsid w:val="00CD2B3E"/>
    <w:rsid w:val="00CD2B5E"/>
    <w:rsid w:val="00CD2B87"/>
    <w:rsid w:val="00CD2B8B"/>
    <w:rsid w:val="00CD2BB2"/>
    <w:rsid w:val="00CD2C0D"/>
    <w:rsid w:val="00CD2C15"/>
    <w:rsid w:val="00CD2C42"/>
    <w:rsid w:val="00CD2C4E"/>
    <w:rsid w:val="00CD2C7D"/>
    <w:rsid w:val="00CD2CD4"/>
    <w:rsid w:val="00CD2CD9"/>
    <w:rsid w:val="00CD2D48"/>
    <w:rsid w:val="00CD2D4C"/>
    <w:rsid w:val="00CD2D88"/>
    <w:rsid w:val="00CD2D90"/>
    <w:rsid w:val="00CD2E2A"/>
    <w:rsid w:val="00CD2E30"/>
    <w:rsid w:val="00CD2E4C"/>
    <w:rsid w:val="00CD2E4F"/>
    <w:rsid w:val="00CD2E51"/>
    <w:rsid w:val="00CD2E78"/>
    <w:rsid w:val="00CD2EA4"/>
    <w:rsid w:val="00CD2EBB"/>
    <w:rsid w:val="00CD2EDA"/>
    <w:rsid w:val="00CD2F58"/>
    <w:rsid w:val="00CD2F60"/>
    <w:rsid w:val="00CD2F71"/>
    <w:rsid w:val="00CD2F7D"/>
    <w:rsid w:val="00CD2F88"/>
    <w:rsid w:val="00CD2F8F"/>
    <w:rsid w:val="00CD2F94"/>
    <w:rsid w:val="00CD2FB6"/>
    <w:rsid w:val="00CD2FDE"/>
    <w:rsid w:val="00CD304D"/>
    <w:rsid w:val="00CD305F"/>
    <w:rsid w:val="00CD311A"/>
    <w:rsid w:val="00CD312E"/>
    <w:rsid w:val="00CD312F"/>
    <w:rsid w:val="00CD313C"/>
    <w:rsid w:val="00CD3149"/>
    <w:rsid w:val="00CD3178"/>
    <w:rsid w:val="00CD3182"/>
    <w:rsid w:val="00CD319A"/>
    <w:rsid w:val="00CD323D"/>
    <w:rsid w:val="00CD3257"/>
    <w:rsid w:val="00CD3274"/>
    <w:rsid w:val="00CD327A"/>
    <w:rsid w:val="00CD32C2"/>
    <w:rsid w:val="00CD32D6"/>
    <w:rsid w:val="00CD32EC"/>
    <w:rsid w:val="00CD3332"/>
    <w:rsid w:val="00CD334D"/>
    <w:rsid w:val="00CD3356"/>
    <w:rsid w:val="00CD338D"/>
    <w:rsid w:val="00CD33B2"/>
    <w:rsid w:val="00CD33CD"/>
    <w:rsid w:val="00CD33E7"/>
    <w:rsid w:val="00CD33F6"/>
    <w:rsid w:val="00CD3441"/>
    <w:rsid w:val="00CD34C9"/>
    <w:rsid w:val="00CD34EB"/>
    <w:rsid w:val="00CD3515"/>
    <w:rsid w:val="00CD359A"/>
    <w:rsid w:val="00CD35B2"/>
    <w:rsid w:val="00CD3605"/>
    <w:rsid w:val="00CD361C"/>
    <w:rsid w:val="00CD368B"/>
    <w:rsid w:val="00CD36D9"/>
    <w:rsid w:val="00CD36E9"/>
    <w:rsid w:val="00CD3724"/>
    <w:rsid w:val="00CD3732"/>
    <w:rsid w:val="00CD3758"/>
    <w:rsid w:val="00CD377F"/>
    <w:rsid w:val="00CD3780"/>
    <w:rsid w:val="00CD3795"/>
    <w:rsid w:val="00CD37DD"/>
    <w:rsid w:val="00CD3922"/>
    <w:rsid w:val="00CD3924"/>
    <w:rsid w:val="00CD39B6"/>
    <w:rsid w:val="00CD3A79"/>
    <w:rsid w:val="00CD3A7B"/>
    <w:rsid w:val="00CD3AD6"/>
    <w:rsid w:val="00CD3B70"/>
    <w:rsid w:val="00CD3BA7"/>
    <w:rsid w:val="00CD3BAE"/>
    <w:rsid w:val="00CD3BCA"/>
    <w:rsid w:val="00CD3C12"/>
    <w:rsid w:val="00CD3C25"/>
    <w:rsid w:val="00CD3C41"/>
    <w:rsid w:val="00CD3C83"/>
    <w:rsid w:val="00CD3C88"/>
    <w:rsid w:val="00CD3D28"/>
    <w:rsid w:val="00CD3D64"/>
    <w:rsid w:val="00CD3DEC"/>
    <w:rsid w:val="00CD3E71"/>
    <w:rsid w:val="00CD3ECF"/>
    <w:rsid w:val="00CD3EE1"/>
    <w:rsid w:val="00CD3F39"/>
    <w:rsid w:val="00CD3F9F"/>
    <w:rsid w:val="00CD3FBA"/>
    <w:rsid w:val="00CD3FD2"/>
    <w:rsid w:val="00CD3FD8"/>
    <w:rsid w:val="00CD4038"/>
    <w:rsid w:val="00CD4044"/>
    <w:rsid w:val="00CD405D"/>
    <w:rsid w:val="00CD4073"/>
    <w:rsid w:val="00CD408D"/>
    <w:rsid w:val="00CD40A2"/>
    <w:rsid w:val="00CD410A"/>
    <w:rsid w:val="00CD4122"/>
    <w:rsid w:val="00CD41BB"/>
    <w:rsid w:val="00CD41D4"/>
    <w:rsid w:val="00CD4223"/>
    <w:rsid w:val="00CD42E7"/>
    <w:rsid w:val="00CD4317"/>
    <w:rsid w:val="00CD4321"/>
    <w:rsid w:val="00CD433C"/>
    <w:rsid w:val="00CD4345"/>
    <w:rsid w:val="00CD437A"/>
    <w:rsid w:val="00CD4390"/>
    <w:rsid w:val="00CD43A2"/>
    <w:rsid w:val="00CD43C9"/>
    <w:rsid w:val="00CD43DB"/>
    <w:rsid w:val="00CD43E1"/>
    <w:rsid w:val="00CD4427"/>
    <w:rsid w:val="00CD443F"/>
    <w:rsid w:val="00CD44FF"/>
    <w:rsid w:val="00CD455B"/>
    <w:rsid w:val="00CD45EA"/>
    <w:rsid w:val="00CD4616"/>
    <w:rsid w:val="00CD4659"/>
    <w:rsid w:val="00CD4702"/>
    <w:rsid w:val="00CD472B"/>
    <w:rsid w:val="00CD472D"/>
    <w:rsid w:val="00CD4736"/>
    <w:rsid w:val="00CD4760"/>
    <w:rsid w:val="00CD4762"/>
    <w:rsid w:val="00CD47C0"/>
    <w:rsid w:val="00CD4816"/>
    <w:rsid w:val="00CD4830"/>
    <w:rsid w:val="00CD4831"/>
    <w:rsid w:val="00CD483C"/>
    <w:rsid w:val="00CD4855"/>
    <w:rsid w:val="00CD486A"/>
    <w:rsid w:val="00CD48F5"/>
    <w:rsid w:val="00CD4956"/>
    <w:rsid w:val="00CD4964"/>
    <w:rsid w:val="00CD49DF"/>
    <w:rsid w:val="00CD49E5"/>
    <w:rsid w:val="00CD49FD"/>
    <w:rsid w:val="00CD4A06"/>
    <w:rsid w:val="00CD4A3A"/>
    <w:rsid w:val="00CD4A7D"/>
    <w:rsid w:val="00CD4A81"/>
    <w:rsid w:val="00CD4A99"/>
    <w:rsid w:val="00CD4AA9"/>
    <w:rsid w:val="00CD4ACD"/>
    <w:rsid w:val="00CD4AED"/>
    <w:rsid w:val="00CD4B24"/>
    <w:rsid w:val="00CD4B3D"/>
    <w:rsid w:val="00CD4B55"/>
    <w:rsid w:val="00CD4B63"/>
    <w:rsid w:val="00CD4BD0"/>
    <w:rsid w:val="00CD4C0F"/>
    <w:rsid w:val="00CD4C12"/>
    <w:rsid w:val="00CD4C29"/>
    <w:rsid w:val="00CD4CF6"/>
    <w:rsid w:val="00CD4D2B"/>
    <w:rsid w:val="00CD4D35"/>
    <w:rsid w:val="00CD4D4A"/>
    <w:rsid w:val="00CD4D86"/>
    <w:rsid w:val="00CD4D87"/>
    <w:rsid w:val="00CD4D93"/>
    <w:rsid w:val="00CD4DB9"/>
    <w:rsid w:val="00CD4E00"/>
    <w:rsid w:val="00CD4E46"/>
    <w:rsid w:val="00CD4E4E"/>
    <w:rsid w:val="00CD4E68"/>
    <w:rsid w:val="00CD4E6A"/>
    <w:rsid w:val="00CD4E6B"/>
    <w:rsid w:val="00CD4E86"/>
    <w:rsid w:val="00CD4EA5"/>
    <w:rsid w:val="00CD4EBB"/>
    <w:rsid w:val="00CD4EC0"/>
    <w:rsid w:val="00CD4F03"/>
    <w:rsid w:val="00CD4F1A"/>
    <w:rsid w:val="00CD4F57"/>
    <w:rsid w:val="00CD4F6C"/>
    <w:rsid w:val="00CD4F6E"/>
    <w:rsid w:val="00CD4F74"/>
    <w:rsid w:val="00CD4F76"/>
    <w:rsid w:val="00CD4F99"/>
    <w:rsid w:val="00CD4FC0"/>
    <w:rsid w:val="00CD4FD2"/>
    <w:rsid w:val="00CD4FDC"/>
    <w:rsid w:val="00CD4FF0"/>
    <w:rsid w:val="00CD4FFF"/>
    <w:rsid w:val="00CD506F"/>
    <w:rsid w:val="00CD50D8"/>
    <w:rsid w:val="00CD50F7"/>
    <w:rsid w:val="00CD50FD"/>
    <w:rsid w:val="00CD5174"/>
    <w:rsid w:val="00CD51B9"/>
    <w:rsid w:val="00CD520E"/>
    <w:rsid w:val="00CD5234"/>
    <w:rsid w:val="00CD528E"/>
    <w:rsid w:val="00CD52E6"/>
    <w:rsid w:val="00CD52F3"/>
    <w:rsid w:val="00CD5343"/>
    <w:rsid w:val="00CD535F"/>
    <w:rsid w:val="00CD53EA"/>
    <w:rsid w:val="00CD53ED"/>
    <w:rsid w:val="00CD53F6"/>
    <w:rsid w:val="00CD5404"/>
    <w:rsid w:val="00CD543F"/>
    <w:rsid w:val="00CD5458"/>
    <w:rsid w:val="00CD54B1"/>
    <w:rsid w:val="00CD5522"/>
    <w:rsid w:val="00CD554B"/>
    <w:rsid w:val="00CD5588"/>
    <w:rsid w:val="00CD55BF"/>
    <w:rsid w:val="00CD55F8"/>
    <w:rsid w:val="00CD5612"/>
    <w:rsid w:val="00CD5627"/>
    <w:rsid w:val="00CD5642"/>
    <w:rsid w:val="00CD5649"/>
    <w:rsid w:val="00CD565A"/>
    <w:rsid w:val="00CD56A7"/>
    <w:rsid w:val="00CD56BC"/>
    <w:rsid w:val="00CD5706"/>
    <w:rsid w:val="00CD574B"/>
    <w:rsid w:val="00CD5752"/>
    <w:rsid w:val="00CD575D"/>
    <w:rsid w:val="00CD57B6"/>
    <w:rsid w:val="00CD57DA"/>
    <w:rsid w:val="00CD57FE"/>
    <w:rsid w:val="00CD5820"/>
    <w:rsid w:val="00CD583E"/>
    <w:rsid w:val="00CD5891"/>
    <w:rsid w:val="00CD58AB"/>
    <w:rsid w:val="00CD591A"/>
    <w:rsid w:val="00CD5938"/>
    <w:rsid w:val="00CD5964"/>
    <w:rsid w:val="00CD5987"/>
    <w:rsid w:val="00CD59AA"/>
    <w:rsid w:val="00CD59C4"/>
    <w:rsid w:val="00CD59D0"/>
    <w:rsid w:val="00CD59F4"/>
    <w:rsid w:val="00CD59F7"/>
    <w:rsid w:val="00CD5A02"/>
    <w:rsid w:val="00CD5A0F"/>
    <w:rsid w:val="00CD5A5A"/>
    <w:rsid w:val="00CD5A67"/>
    <w:rsid w:val="00CD5A78"/>
    <w:rsid w:val="00CD5ABC"/>
    <w:rsid w:val="00CD5AEB"/>
    <w:rsid w:val="00CD5B89"/>
    <w:rsid w:val="00CD5B8E"/>
    <w:rsid w:val="00CD5BFE"/>
    <w:rsid w:val="00CD5CEC"/>
    <w:rsid w:val="00CD5CEF"/>
    <w:rsid w:val="00CD5D03"/>
    <w:rsid w:val="00CD5D09"/>
    <w:rsid w:val="00CD5D19"/>
    <w:rsid w:val="00CD5D3A"/>
    <w:rsid w:val="00CD5D5A"/>
    <w:rsid w:val="00CD5DB8"/>
    <w:rsid w:val="00CD5E20"/>
    <w:rsid w:val="00CD5E2B"/>
    <w:rsid w:val="00CD5E5B"/>
    <w:rsid w:val="00CD5E8B"/>
    <w:rsid w:val="00CD5EA8"/>
    <w:rsid w:val="00CD5EDE"/>
    <w:rsid w:val="00CD5F15"/>
    <w:rsid w:val="00CD5F83"/>
    <w:rsid w:val="00CD5FA1"/>
    <w:rsid w:val="00CD5FA8"/>
    <w:rsid w:val="00CD5FB0"/>
    <w:rsid w:val="00CD5FBD"/>
    <w:rsid w:val="00CD607D"/>
    <w:rsid w:val="00CD609E"/>
    <w:rsid w:val="00CD60A0"/>
    <w:rsid w:val="00CD60F9"/>
    <w:rsid w:val="00CD613F"/>
    <w:rsid w:val="00CD6153"/>
    <w:rsid w:val="00CD61E8"/>
    <w:rsid w:val="00CD623C"/>
    <w:rsid w:val="00CD62D8"/>
    <w:rsid w:val="00CD62DC"/>
    <w:rsid w:val="00CD62F2"/>
    <w:rsid w:val="00CD62F4"/>
    <w:rsid w:val="00CD6338"/>
    <w:rsid w:val="00CD6344"/>
    <w:rsid w:val="00CD6355"/>
    <w:rsid w:val="00CD637D"/>
    <w:rsid w:val="00CD6391"/>
    <w:rsid w:val="00CD63CE"/>
    <w:rsid w:val="00CD63D4"/>
    <w:rsid w:val="00CD6496"/>
    <w:rsid w:val="00CD64BF"/>
    <w:rsid w:val="00CD64C1"/>
    <w:rsid w:val="00CD64CE"/>
    <w:rsid w:val="00CD64F2"/>
    <w:rsid w:val="00CD64F3"/>
    <w:rsid w:val="00CD6536"/>
    <w:rsid w:val="00CD65D9"/>
    <w:rsid w:val="00CD6607"/>
    <w:rsid w:val="00CD6635"/>
    <w:rsid w:val="00CD663F"/>
    <w:rsid w:val="00CD6649"/>
    <w:rsid w:val="00CD664D"/>
    <w:rsid w:val="00CD668B"/>
    <w:rsid w:val="00CD668E"/>
    <w:rsid w:val="00CD6690"/>
    <w:rsid w:val="00CD66C0"/>
    <w:rsid w:val="00CD66DE"/>
    <w:rsid w:val="00CD66E6"/>
    <w:rsid w:val="00CD6700"/>
    <w:rsid w:val="00CD670D"/>
    <w:rsid w:val="00CD6741"/>
    <w:rsid w:val="00CD675A"/>
    <w:rsid w:val="00CD6768"/>
    <w:rsid w:val="00CD679E"/>
    <w:rsid w:val="00CD67D7"/>
    <w:rsid w:val="00CD67E7"/>
    <w:rsid w:val="00CD6800"/>
    <w:rsid w:val="00CD6866"/>
    <w:rsid w:val="00CD6874"/>
    <w:rsid w:val="00CD6880"/>
    <w:rsid w:val="00CD6937"/>
    <w:rsid w:val="00CD693D"/>
    <w:rsid w:val="00CD6A07"/>
    <w:rsid w:val="00CD6AA5"/>
    <w:rsid w:val="00CD6B05"/>
    <w:rsid w:val="00CD6B1D"/>
    <w:rsid w:val="00CD6BB6"/>
    <w:rsid w:val="00CD6BD1"/>
    <w:rsid w:val="00CD6BDB"/>
    <w:rsid w:val="00CD6C0D"/>
    <w:rsid w:val="00CD6C1A"/>
    <w:rsid w:val="00CD6C60"/>
    <w:rsid w:val="00CD6CA0"/>
    <w:rsid w:val="00CD6CA3"/>
    <w:rsid w:val="00CD6CC4"/>
    <w:rsid w:val="00CD6CDF"/>
    <w:rsid w:val="00CD6CE6"/>
    <w:rsid w:val="00CD6D08"/>
    <w:rsid w:val="00CD6D19"/>
    <w:rsid w:val="00CD6D28"/>
    <w:rsid w:val="00CD6D2F"/>
    <w:rsid w:val="00CD6D4F"/>
    <w:rsid w:val="00CD6D71"/>
    <w:rsid w:val="00CD6D8B"/>
    <w:rsid w:val="00CD6DFB"/>
    <w:rsid w:val="00CD6E0A"/>
    <w:rsid w:val="00CD6E31"/>
    <w:rsid w:val="00CD6E8C"/>
    <w:rsid w:val="00CD6F76"/>
    <w:rsid w:val="00CD6F93"/>
    <w:rsid w:val="00CD6FEE"/>
    <w:rsid w:val="00CD701D"/>
    <w:rsid w:val="00CD7093"/>
    <w:rsid w:val="00CD70AC"/>
    <w:rsid w:val="00CD7149"/>
    <w:rsid w:val="00CD714D"/>
    <w:rsid w:val="00CD71B7"/>
    <w:rsid w:val="00CD71BE"/>
    <w:rsid w:val="00CD71CD"/>
    <w:rsid w:val="00CD71E0"/>
    <w:rsid w:val="00CD7223"/>
    <w:rsid w:val="00CD7260"/>
    <w:rsid w:val="00CD7262"/>
    <w:rsid w:val="00CD728A"/>
    <w:rsid w:val="00CD72B5"/>
    <w:rsid w:val="00CD72E5"/>
    <w:rsid w:val="00CD7336"/>
    <w:rsid w:val="00CD7352"/>
    <w:rsid w:val="00CD7399"/>
    <w:rsid w:val="00CD73B7"/>
    <w:rsid w:val="00CD73C8"/>
    <w:rsid w:val="00CD73F7"/>
    <w:rsid w:val="00CD740E"/>
    <w:rsid w:val="00CD7419"/>
    <w:rsid w:val="00CD7421"/>
    <w:rsid w:val="00CD7432"/>
    <w:rsid w:val="00CD7468"/>
    <w:rsid w:val="00CD747E"/>
    <w:rsid w:val="00CD7493"/>
    <w:rsid w:val="00CD74EF"/>
    <w:rsid w:val="00CD74F0"/>
    <w:rsid w:val="00CD750E"/>
    <w:rsid w:val="00CD754F"/>
    <w:rsid w:val="00CD755B"/>
    <w:rsid w:val="00CD7577"/>
    <w:rsid w:val="00CD757E"/>
    <w:rsid w:val="00CD75D6"/>
    <w:rsid w:val="00CD7610"/>
    <w:rsid w:val="00CD7627"/>
    <w:rsid w:val="00CD7666"/>
    <w:rsid w:val="00CD76AC"/>
    <w:rsid w:val="00CD76B0"/>
    <w:rsid w:val="00CD7750"/>
    <w:rsid w:val="00CD7752"/>
    <w:rsid w:val="00CD77B8"/>
    <w:rsid w:val="00CD77E8"/>
    <w:rsid w:val="00CD7823"/>
    <w:rsid w:val="00CD7829"/>
    <w:rsid w:val="00CD785D"/>
    <w:rsid w:val="00CD785F"/>
    <w:rsid w:val="00CD7863"/>
    <w:rsid w:val="00CD7867"/>
    <w:rsid w:val="00CD7898"/>
    <w:rsid w:val="00CD78ED"/>
    <w:rsid w:val="00CD78F5"/>
    <w:rsid w:val="00CD7901"/>
    <w:rsid w:val="00CD7923"/>
    <w:rsid w:val="00CD7958"/>
    <w:rsid w:val="00CD79C6"/>
    <w:rsid w:val="00CD79CB"/>
    <w:rsid w:val="00CD7A49"/>
    <w:rsid w:val="00CD7A52"/>
    <w:rsid w:val="00CD7AEF"/>
    <w:rsid w:val="00CD7B11"/>
    <w:rsid w:val="00CD7B4E"/>
    <w:rsid w:val="00CD7B5C"/>
    <w:rsid w:val="00CD7BA1"/>
    <w:rsid w:val="00CD7BA4"/>
    <w:rsid w:val="00CD7BCB"/>
    <w:rsid w:val="00CD7C2F"/>
    <w:rsid w:val="00CD7C39"/>
    <w:rsid w:val="00CD7C3E"/>
    <w:rsid w:val="00CD7C4D"/>
    <w:rsid w:val="00CD7C84"/>
    <w:rsid w:val="00CD7CA5"/>
    <w:rsid w:val="00CD7CEA"/>
    <w:rsid w:val="00CD7D0B"/>
    <w:rsid w:val="00CD7D39"/>
    <w:rsid w:val="00CD7E03"/>
    <w:rsid w:val="00CD7E7D"/>
    <w:rsid w:val="00CD7E82"/>
    <w:rsid w:val="00CD7ED8"/>
    <w:rsid w:val="00CD7F3B"/>
    <w:rsid w:val="00CD7F62"/>
    <w:rsid w:val="00CD7FB4"/>
    <w:rsid w:val="00CD7FBF"/>
    <w:rsid w:val="00CD7FF9"/>
    <w:rsid w:val="00CE0057"/>
    <w:rsid w:val="00CE0085"/>
    <w:rsid w:val="00CE0091"/>
    <w:rsid w:val="00CE0154"/>
    <w:rsid w:val="00CE01B7"/>
    <w:rsid w:val="00CE01B9"/>
    <w:rsid w:val="00CE01D6"/>
    <w:rsid w:val="00CE0212"/>
    <w:rsid w:val="00CE025F"/>
    <w:rsid w:val="00CE02AD"/>
    <w:rsid w:val="00CE02B6"/>
    <w:rsid w:val="00CE0350"/>
    <w:rsid w:val="00CE036A"/>
    <w:rsid w:val="00CE036C"/>
    <w:rsid w:val="00CE0375"/>
    <w:rsid w:val="00CE0397"/>
    <w:rsid w:val="00CE0496"/>
    <w:rsid w:val="00CE0520"/>
    <w:rsid w:val="00CE0574"/>
    <w:rsid w:val="00CE05A1"/>
    <w:rsid w:val="00CE05D3"/>
    <w:rsid w:val="00CE05D5"/>
    <w:rsid w:val="00CE05E5"/>
    <w:rsid w:val="00CE05FB"/>
    <w:rsid w:val="00CE05FD"/>
    <w:rsid w:val="00CE0620"/>
    <w:rsid w:val="00CE0695"/>
    <w:rsid w:val="00CE069F"/>
    <w:rsid w:val="00CE06A0"/>
    <w:rsid w:val="00CE06AA"/>
    <w:rsid w:val="00CE06AD"/>
    <w:rsid w:val="00CE06F5"/>
    <w:rsid w:val="00CE06FE"/>
    <w:rsid w:val="00CE0704"/>
    <w:rsid w:val="00CE0736"/>
    <w:rsid w:val="00CE0744"/>
    <w:rsid w:val="00CE0799"/>
    <w:rsid w:val="00CE07A6"/>
    <w:rsid w:val="00CE07A8"/>
    <w:rsid w:val="00CE07BB"/>
    <w:rsid w:val="00CE07CF"/>
    <w:rsid w:val="00CE07EC"/>
    <w:rsid w:val="00CE07FA"/>
    <w:rsid w:val="00CE0828"/>
    <w:rsid w:val="00CE082C"/>
    <w:rsid w:val="00CE0835"/>
    <w:rsid w:val="00CE083C"/>
    <w:rsid w:val="00CE0841"/>
    <w:rsid w:val="00CE0853"/>
    <w:rsid w:val="00CE0855"/>
    <w:rsid w:val="00CE086F"/>
    <w:rsid w:val="00CE087C"/>
    <w:rsid w:val="00CE0881"/>
    <w:rsid w:val="00CE08AD"/>
    <w:rsid w:val="00CE08BA"/>
    <w:rsid w:val="00CE08E3"/>
    <w:rsid w:val="00CE08EE"/>
    <w:rsid w:val="00CE08EF"/>
    <w:rsid w:val="00CE08F2"/>
    <w:rsid w:val="00CE093C"/>
    <w:rsid w:val="00CE096B"/>
    <w:rsid w:val="00CE097C"/>
    <w:rsid w:val="00CE09A6"/>
    <w:rsid w:val="00CE09A7"/>
    <w:rsid w:val="00CE09CC"/>
    <w:rsid w:val="00CE0A2A"/>
    <w:rsid w:val="00CE0A2C"/>
    <w:rsid w:val="00CE0A4C"/>
    <w:rsid w:val="00CE0A7A"/>
    <w:rsid w:val="00CE0B1B"/>
    <w:rsid w:val="00CE0B6C"/>
    <w:rsid w:val="00CE0B93"/>
    <w:rsid w:val="00CE0C29"/>
    <w:rsid w:val="00CE0C43"/>
    <w:rsid w:val="00CE0C7A"/>
    <w:rsid w:val="00CE0C9D"/>
    <w:rsid w:val="00CE0CA7"/>
    <w:rsid w:val="00CE0CB9"/>
    <w:rsid w:val="00CE0D10"/>
    <w:rsid w:val="00CE0D1F"/>
    <w:rsid w:val="00CE0D22"/>
    <w:rsid w:val="00CE0D3F"/>
    <w:rsid w:val="00CE0D69"/>
    <w:rsid w:val="00CE0E17"/>
    <w:rsid w:val="00CE0E2C"/>
    <w:rsid w:val="00CE0E4E"/>
    <w:rsid w:val="00CE0E62"/>
    <w:rsid w:val="00CE0F11"/>
    <w:rsid w:val="00CE0F12"/>
    <w:rsid w:val="00CE0F86"/>
    <w:rsid w:val="00CE0FBF"/>
    <w:rsid w:val="00CE0FC2"/>
    <w:rsid w:val="00CE1040"/>
    <w:rsid w:val="00CE108B"/>
    <w:rsid w:val="00CE109E"/>
    <w:rsid w:val="00CE10BB"/>
    <w:rsid w:val="00CE10F8"/>
    <w:rsid w:val="00CE112A"/>
    <w:rsid w:val="00CE1191"/>
    <w:rsid w:val="00CE119C"/>
    <w:rsid w:val="00CE11D5"/>
    <w:rsid w:val="00CE11DC"/>
    <w:rsid w:val="00CE124D"/>
    <w:rsid w:val="00CE125D"/>
    <w:rsid w:val="00CE1298"/>
    <w:rsid w:val="00CE12AC"/>
    <w:rsid w:val="00CE12E7"/>
    <w:rsid w:val="00CE1352"/>
    <w:rsid w:val="00CE13A0"/>
    <w:rsid w:val="00CE13A8"/>
    <w:rsid w:val="00CE13B2"/>
    <w:rsid w:val="00CE1405"/>
    <w:rsid w:val="00CE1448"/>
    <w:rsid w:val="00CE146D"/>
    <w:rsid w:val="00CE1479"/>
    <w:rsid w:val="00CE147E"/>
    <w:rsid w:val="00CE14E6"/>
    <w:rsid w:val="00CE1501"/>
    <w:rsid w:val="00CE1538"/>
    <w:rsid w:val="00CE15D8"/>
    <w:rsid w:val="00CE15F4"/>
    <w:rsid w:val="00CE1605"/>
    <w:rsid w:val="00CE160D"/>
    <w:rsid w:val="00CE161D"/>
    <w:rsid w:val="00CE1620"/>
    <w:rsid w:val="00CE1647"/>
    <w:rsid w:val="00CE1664"/>
    <w:rsid w:val="00CE168D"/>
    <w:rsid w:val="00CE16C3"/>
    <w:rsid w:val="00CE1746"/>
    <w:rsid w:val="00CE1747"/>
    <w:rsid w:val="00CE179A"/>
    <w:rsid w:val="00CE1811"/>
    <w:rsid w:val="00CE1815"/>
    <w:rsid w:val="00CE183C"/>
    <w:rsid w:val="00CE1851"/>
    <w:rsid w:val="00CE1855"/>
    <w:rsid w:val="00CE1878"/>
    <w:rsid w:val="00CE1891"/>
    <w:rsid w:val="00CE18A5"/>
    <w:rsid w:val="00CE18EB"/>
    <w:rsid w:val="00CE18F1"/>
    <w:rsid w:val="00CE18F6"/>
    <w:rsid w:val="00CE192A"/>
    <w:rsid w:val="00CE192D"/>
    <w:rsid w:val="00CE198D"/>
    <w:rsid w:val="00CE19C6"/>
    <w:rsid w:val="00CE19CD"/>
    <w:rsid w:val="00CE19E3"/>
    <w:rsid w:val="00CE19E6"/>
    <w:rsid w:val="00CE1A21"/>
    <w:rsid w:val="00CE1A28"/>
    <w:rsid w:val="00CE1A30"/>
    <w:rsid w:val="00CE1A66"/>
    <w:rsid w:val="00CE1AA0"/>
    <w:rsid w:val="00CE1ACB"/>
    <w:rsid w:val="00CE1AFB"/>
    <w:rsid w:val="00CE1BB0"/>
    <w:rsid w:val="00CE1BDB"/>
    <w:rsid w:val="00CE1BDD"/>
    <w:rsid w:val="00CE1BEE"/>
    <w:rsid w:val="00CE1C1B"/>
    <w:rsid w:val="00CE1C2B"/>
    <w:rsid w:val="00CE1C2E"/>
    <w:rsid w:val="00CE1C52"/>
    <w:rsid w:val="00CE1C58"/>
    <w:rsid w:val="00CE1C5E"/>
    <w:rsid w:val="00CE1C8A"/>
    <w:rsid w:val="00CE1CBB"/>
    <w:rsid w:val="00CE1CCB"/>
    <w:rsid w:val="00CE1CD7"/>
    <w:rsid w:val="00CE1CDC"/>
    <w:rsid w:val="00CE1CE6"/>
    <w:rsid w:val="00CE1CE9"/>
    <w:rsid w:val="00CE1D0B"/>
    <w:rsid w:val="00CE1D33"/>
    <w:rsid w:val="00CE1D4D"/>
    <w:rsid w:val="00CE1D53"/>
    <w:rsid w:val="00CE1D8D"/>
    <w:rsid w:val="00CE1DA6"/>
    <w:rsid w:val="00CE1E0D"/>
    <w:rsid w:val="00CE1E63"/>
    <w:rsid w:val="00CE1EBB"/>
    <w:rsid w:val="00CE1ED7"/>
    <w:rsid w:val="00CE1F12"/>
    <w:rsid w:val="00CE1F3A"/>
    <w:rsid w:val="00CE1F63"/>
    <w:rsid w:val="00CE1F99"/>
    <w:rsid w:val="00CE1FAB"/>
    <w:rsid w:val="00CE1FB8"/>
    <w:rsid w:val="00CE1FD5"/>
    <w:rsid w:val="00CE2015"/>
    <w:rsid w:val="00CE202C"/>
    <w:rsid w:val="00CE2031"/>
    <w:rsid w:val="00CE20CC"/>
    <w:rsid w:val="00CE20DA"/>
    <w:rsid w:val="00CE20EF"/>
    <w:rsid w:val="00CE2117"/>
    <w:rsid w:val="00CE2130"/>
    <w:rsid w:val="00CE2137"/>
    <w:rsid w:val="00CE2147"/>
    <w:rsid w:val="00CE21A4"/>
    <w:rsid w:val="00CE21BF"/>
    <w:rsid w:val="00CE21D4"/>
    <w:rsid w:val="00CE21E7"/>
    <w:rsid w:val="00CE2210"/>
    <w:rsid w:val="00CE2221"/>
    <w:rsid w:val="00CE2259"/>
    <w:rsid w:val="00CE2283"/>
    <w:rsid w:val="00CE228A"/>
    <w:rsid w:val="00CE2330"/>
    <w:rsid w:val="00CE2341"/>
    <w:rsid w:val="00CE2343"/>
    <w:rsid w:val="00CE235F"/>
    <w:rsid w:val="00CE236A"/>
    <w:rsid w:val="00CE238D"/>
    <w:rsid w:val="00CE23C2"/>
    <w:rsid w:val="00CE23C8"/>
    <w:rsid w:val="00CE2407"/>
    <w:rsid w:val="00CE24B2"/>
    <w:rsid w:val="00CE24DA"/>
    <w:rsid w:val="00CE2522"/>
    <w:rsid w:val="00CE2584"/>
    <w:rsid w:val="00CE25A6"/>
    <w:rsid w:val="00CE25A9"/>
    <w:rsid w:val="00CE25BA"/>
    <w:rsid w:val="00CE25BB"/>
    <w:rsid w:val="00CE2621"/>
    <w:rsid w:val="00CE2641"/>
    <w:rsid w:val="00CE265B"/>
    <w:rsid w:val="00CE2678"/>
    <w:rsid w:val="00CE2687"/>
    <w:rsid w:val="00CE2693"/>
    <w:rsid w:val="00CE26C9"/>
    <w:rsid w:val="00CE2763"/>
    <w:rsid w:val="00CE276C"/>
    <w:rsid w:val="00CE2781"/>
    <w:rsid w:val="00CE27A1"/>
    <w:rsid w:val="00CE27A9"/>
    <w:rsid w:val="00CE27B2"/>
    <w:rsid w:val="00CE27C8"/>
    <w:rsid w:val="00CE27D0"/>
    <w:rsid w:val="00CE27D6"/>
    <w:rsid w:val="00CE2814"/>
    <w:rsid w:val="00CE2832"/>
    <w:rsid w:val="00CE2848"/>
    <w:rsid w:val="00CE285A"/>
    <w:rsid w:val="00CE2870"/>
    <w:rsid w:val="00CE2872"/>
    <w:rsid w:val="00CE28A2"/>
    <w:rsid w:val="00CE28CC"/>
    <w:rsid w:val="00CE290D"/>
    <w:rsid w:val="00CE2915"/>
    <w:rsid w:val="00CE2931"/>
    <w:rsid w:val="00CE2991"/>
    <w:rsid w:val="00CE299B"/>
    <w:rsid w:val="00CE29DA"/>
    <w:rsid w:val="00CE29E2"/>
    <w:rsid w:val="00CE29E6"/>
    <w:rsid w:val="00CE2AD8"/>
    <w:rsid w:val="00CE2B08"/>
    <w:rsid w:val="00CE2B94"/>
    <w:rsid w:val="00CE2BD8"/>
    <w:rsid w:val="00CE2BDB"/>
    <w:rsid w:val="00CE2BFF"/>
    <w:rsid w:val="00CE2C47"/>
    <w:rsid w:val="00CE2C4D"/>
    <w:rsid w:val="00CE2C74"/>
    <w:rsid w:val="00CE2CD6"/>
    <w:rsid w:val="00CE2D57"/>
    <w:rsid w:val="00CE2D81"/>
    <w:rsid w:val="00CE2D89"/>
    <w:rsid w:val="00CE2D8B"/>
    <w:rsid w:val="00CE2D92"/>
    <w:rsid w:val="00CE2DD6"/>
    <w:rsid w:val="00CE2E09"/>
    <w:rsid w:val="00CE2E36"/>
    <w:rsid w:val="00CE2E37"/>
    <w:rsid w:val="00CE2E5D"/>
    <w:rsid w:val="00CE2E79"/>
    <w:rsid w:val="00CE2E7D"/>
    <w:rsid w:val="00CE2E99"/>
    <w:rsid w:val="00CE2EB8"/>
    <w:rsid w:val="00CE2EB9"/>
    <w:rsid w:val="00CE2ED6"/>
    <w:rsid w:val="00CE2EE8"/>
    <w:rsid w:val="00CE2F3E"/>
    <w:rsid w:val="00CE2F55"/>
    <w:rsid w:val="00CE2F8B"/>
    <w:rsid w:val="00CE2FD4"/>
    <w:rsid w:val="00CE2FE1"/>
    <w:rsid w:val="00CE3041"/>
    <w:rsid w:val="00CE3073"/>
    <w:rsid w:val="00CE3085"/>
    <w:rsid w:val="00CE3092"/>
    <w:rsid w:val="00CE3094"/>
    <w:rsid w:val="00CE30A0"/>
    <w:rsid w:val="00CE30DE"/>
    <w:rsid w:val="00CE30EF"/>
    <w:rsid w:val="00CE3113"/>
    <w:rsid w:val="00CE3138"/>
    <w:rsid w:val="00CE313E"/>
    <w:rsid w:val="00CE319F"/>
    <w:rsid w:val="00CE31A5"/>
    <w:rsid w:val="00CE31EA"/>
    <w:rsid w:val="00CE3257"/>
    <w:rsid w:val="00CE3268"/>
    <w:rsid w:val="00CE326D"/>
    <w:rsid w:val="00CE3296"/>
    <w:rsid w:val="00CE32A6"/>
    <w:rsid w:val="00CE32DE"/>
    <w:rsid w:val="00CE336A"/>
    <w:rsid w:val="00CE3377"/>
    <w:rsid w:val="00CE33A1"/>
    <w:rsid w:val="00CE33BF"/>
    <w:rsid w:val="00CE33D0"/>
    <w:rsid w:val="00CE3443"/>
    <w:rsid w:val="00CE3459"/>
    <w:rsid w:val="00CE3461"/>
    <w:rsid w:val="00CE3483"/>
    <w:rsid w:val="00CE34A5"/>
    <w:rsid w:val="00CE34CD"/>
    <w:rsid w:val="00CE34DA"/>
    <w:rsid w:val="00CE34E0"/>
    <w:rsid w:val="00CE3501"/>
    <w:rsid w:val="00CE3526"/>
    <w:rsid w:val="00CE354B"/>
    <w:rsid w:val="00CE354E"/>
    <w:rsid w:val="00CE3588"/>
    <w:rsid w:val="00CE35A3"/>
    <w:rsid w:val="00CE35AA"/>
    <w:rsid w:val="00CE35CF"/>
    <w:rsid w:val="00CE3629"/>
    <w:rsid w:val="00CE369C"/>
    <w:rsid w:val="00CE36DE"/>
    <w:rsid w:val="00CE3700"/>
    <w:rsid w:val="00CE37AF"/>
    <w:rsid w:val="00CE37DA"/>
    <w:rsid w:val="00CE3889"/>
    <w:rsid w:val="00CE3897"/>
    <w:rsid w:val="00CE389F"/>
    <w:rsid w:val="00CE38B9"/>
    <w:rsid w:val="00CE38CB"/>
    <w:rsid w:val="00CE38E6"/>
    <w:rsid w:val="00CE3931"/>
    <w:rsid w:val="00CE3954"/>
    <w:rsid w:val="00CE395C"/>
    <w:rsid w:val="00CE397B"/>
    <w:rsid w:val="00CE397E"/>
    <w:rsid w:val="00CE3988"/>
    <w:rsid w:val="00CE39F1"/>
    <w:rsid w:val="00CE39F4"/>
    <w:rsid w:val="00CE39FB"/>
    <w:rsid w:val="00CE3A47"/>
    <w:rsid w:val="00CE3A65"/>
    <w:rsid w:val="00CE3A88"/>
    <w:rsid w:val="00CE3A92"/>
    <w:rsid w:val="00CE3AAB"/>
    <w:rsid w:val="00CE3AD7"/>
    <w:rsid w:val="00CE3B17"/>
    <w:rsid w:val="00CE3B6F"/>
    <w:rsid w:val="00CE3B90"/>
    <w:rsid w:val="00CE3BEC"/>
    <w:rsid w:val="00CE3BFA"/>
    <w:rsid w:val="00CE3C28"/>
    <w:rsid w:val="00CE3C61"/>
    <w:rsid w:val="00CE3C92"/>
    <w:rsid w:val="00CE3C95"/>
    <w:rsid w:val="00CE3C9F"/>
    <w:rsid w:val="00CE3CBB"/>
    <w:rsid w:val="00CE3CC7"/>
    <w:rsid w:val="00CE3CCD"/>
    <w:rsid w:val="00CE3CD4"/>
    <w:rsid w:val="00CE3D1C"/>
    <w:rsid w:val="00CE3D20"/>
    <w:rsid w:val="00CE3D33"/>
    <w:rsid w:val="00CE3DBF"/>
    <w:rsid w:val="00CE3DCD"/>
    <w:rsid w:val="00CE3DE0"/>
    <w:rsid w:val="00CE3E20"/>
    <w:rsid w:val="00CE3E23"/>
    <w:rsid w:val="00CE3E33"/>
    <w:rsid w:val="00CE3E35"/>
    <w:rsid w:val="00CE3E66"/>
    <w:rsid w:val="00CE3E7C"/>
    <w:rsid w:val="00CE3F42"/>
    <w:rsid w:val="00CE3F44"/>
    <w:rsid w:val="00CE3F59"/>
    <w:rsid w:val="00CE3F7A"/>
    <w:rsid w:val="00CE3F7F"/>
    <w:rsid w:val="00CE3F9C"/>
    <w:rsid w:val="00CE3FE4"/>
    <w:rsid w:val="00CE4065"/>
    <w:rsid w:val="00CE40D9"/>
    <w:rsid w:val="00CE40E7"/>
    <w:rsid w:val="00CE40FE"/>
    <w:rsid w:val="00CE410C"/>
    <w:rsid w:val="00CE410F"/>
    <w:rsid w:val="00CE4181"/>
    <w:rsid w:val="00CE4198"/>
    <w:rsid w:val="00CE41B6"/>
    <w:rsid w:val="00CE41CF"/>
    <w:rsid w:val="00CE41E6"/>
    <w:rsid w:val="00CE426C"/>
    <w:rsid w:val="00CE4274"/>
    <w:rsid w:val="00CE42BB"/>
    <w:rsid w:val="00CE42C7"/>
    <w:rsid w:val="00CE42E6"/>
    <w:rsid w:val="00CE4357"/>
    <w:rsid w:val="00CE436A"/>
    <w:rsid w:val="00CE43C1"/>
    <w:rsid w:val="00CE43F6"/>
    <w:rsid w:val="00CE43F9"/>
    <w:rsid w:val="00CE443B"/>
    <w:rsid w:val="00CE4483"/>
    <w:rsid w:val="00CE44AE"/>
    <w:rsid w:val="00CE44B4"/>
    <w:rsid w:val="00CE44E8"/>
    <w:rsid w:val="00CE44F8"/>
    <w:rsid w:val="00CE44F9"/>
    <w:rsid w:val="00CE4507"/>
    <w:rsid w:val="00CE4508"/>
    <w:rsid w:val="00CE450E"/>
    <w:rsid w:val="00CE4512"/>
    <w:rsid w:val="00CE457A"/>
    <w:rsid w:val="00CE459D"/>
    <w:rsid w:val="00CE45E8"/>
    <w:rsid w:val="00CE4619"/>
    <w:rsid w:val="00CE4635"/>
    <w:rsid w:val="00CE4652"/>
    <w:rsid w:val="00CE4660"/>
    <w:rsid w:val="00CE4663"/>
    <w:rsid w:val="00CE4688"/>
    <w:rsid w:val="00CE468A"/>
    <w:rsid w:val="00CE46D6"/>
    <w:rsid w:val="00CE46DF"/>
    <w:rsid w:val="00CE46FD"/>
    <w:rsid w:val="00CE4740"/>
    <w:rsid w:val="00CE4771"/>
    <w:rsid w:val="00CE4785"/>
    <w:rsid w:val="00CE47BB"/>
    <w:rsid w:val="00CE47F2"/>
    <w:rsid w:val="00CE4826"/>
    <w:rsid w:val="00CE4836"/>
    <w:rsid w:val="00CE485D"/>
    <w:rsid w:val="00CE48BB"/>
    <w:rsid w:val="00CE4946"/>
    <w:rsid w:val="00CE4994"/>
    <w:rsid w:val="00CE49E8"/>
    <w:rsid w:val="00CE4A1B"/>
    <w:rsid w:val="00CE4A4F"/>
    <w:rsid w:val="00CE4A5F"/>
    <w:rsid w:val="00CE4A80"/>
    <w:rsid w:val="00CE4A85"/>
    <w:rsid w:val="00CE4A8B"/>
    <w:rsid w:val="00CE4AAE"/>
    <w:rsid w:val="00CE4AD0"/>
    <w:rsid w:val="00CE4AF4"/>
    <w:rsid w:val="00CE4AF5"/>
    <w:rsid w:val="00CE4BE5"/>
    <w:rsid w:val="00CE4BFB"/>
    <w:rsid w:val="00CE4BFE"/>
    <w:rsid w:val="00CE4C15"/>
    <w:rsid w:val="00CE4C7F"/>
    <w:rsid w:val="00CE4CD9"/>
    <w:rsid w:val="00CE4CDC"/>
    <w:rsid w:val="00CE4D11"/>
    <w:rsid w:val="00CE4E3B"/>
    <w:rsid w:val="00CE4E61"/>
    <w:rsid w:val="00CE4E9F"/>
    <w:rsid w:val="00CE4EB4"/>
    <w:rsid w:val="00CE4EDF"/>
    <w:rsid w:val="00CE4F03"/>
    <w:rsid w:val="00CE4F13"/>
    <w:rsid w:val="00CE4F21"/>
    <w:rsid w:val="00CE4F25"/>
    <w:rsid w:val="00CE4F4A"/>
    <w:rsid w:val="00CE4F61"/>
    <w:rsid w:val="00CE4FB4"/>
    <w:rsid w:val="00CE4FD7"/>
    <w:rsid w:val="00CE500D"/>
    <w:rsid w:val="00CE500F"/>
    <w:rsid w:val="00CE501F"/>
    <w:rsid w:val="00CE5024"/>
    <w:rsid w:val="00CE503B"/>
    <w:rsid w:val="00CE5042"/>
    <w:rsid w:val="00CE5051"/>
    <w:rsid w:val="00CE5077"/>
    <w:rsid w:val="00CE50AA"/>
    <w:rsid w:val="00CE50D1"/>
    <w:rsid w:val="00CE5104"/>
    <w:rsid w:val="00CE5113"/>
    <w:rsid w:val="00CE5155"/>
    <w:rsid w:val="00CE515C"/>
    <w:rsid w:val="00CE516F"/>
    <w:rsid w:val="00CE5190"/>
    <w:rsid w:val="00CE5193"/>
    <w:rsid w:val="00CE51AA"/>
    <w:rsid w:val="00CE51EC"/>
    <w:rsid w:val="00CE5226"/>
    <w:rsid w:val="00CE523D"/>
    <w:rsid w:val="00CE5256"/>
    <w:rsid w:val="00CE5263"/>
    <w:rsid w:val="00CE5264"/>
    <w:rsid w:val="00CE528D"/>
    <w:rsid w:val="00CE52D0"/>
    <w:rsid w:val="00CE52DF"/>
    <w:rsid w:val="00CE52EF"/>
    <w:rsid w:val="00CE5308"/>
    <w:rsid w:val="00CE53B0"/>
    <w:rsid w:val="00CE53CC"/>
    <w:rsid w:val="00CE53D9"/>
    <w:rsid w:val="00CE542D"/>
    <w:rsid w:val="00CE543A"/>
    <w:rsid w:val="00CE551B"/>
    <w:rsid w:val="00CE554F"/>
    <w:rsid w:val="00CE556A"/>
    <w:rsid w:val="00CE5598"/>
    <w:rsid w:val="00CE55C3"/>
    <w:rsid w:val="00CE55FF"/>
    <w:rsid w:val="00CE5606"/>
    <w:rsid w:val="00CE561C"/>
    <w:rsid w:val="00CE5645"/>
    <w:rsid w:val="00CE566C"/>
    <w:rsid w:val="00CE568B"/>
    <w:rsid w:val="00CE56A2"/>
    <w:rsid w:val="00CE56ED"/>
    <w:rsid w:val="00CE5716"/>
    <w:rsid w:val="00CE579B"/>
    <w:rsid w:val="00CE57D2"/>
    <w:rsid w:val="00CE57D7"/>
    <w:rsid w:val="00CE585E"/>
    <w:rsid w:val="00CE589D"/>
    <w:rsid w:val="00CE58A7"/>
    <w:rsid w:val="00CE58E1"/>
    <w:rsid w:val="00CE5930"/>
    <w:rsid w:val="00CE5971"/>
    <w:rsid w:val="00CE5976"/>
    <w:rsid w:val="00CE5986"/>
    <w:rsid w:val="00CE5993"/>
    <w:rsid w:val="00CE59C2"/>
    <w:rsid w:val="00CE59DD"/>
    <w:rsid w:val="00CE59ED"/>
    <w:rsid w:val="00CE59F2"/>
    <w:rsid w:val="00CE5A0D"/>
    <w:rsid w:val="00CE5A10"/>
    <w:rsid w:val="00CE5A2A"/>
    <w:rsid w:val="00CE5A4D"/>
    <w:rsid w:val="00CE5A51"/>
    <w:rsid w:val="00CE5A8F"/>
    <w:rsid w:val="00CE5A9A"/>
    <w:rsid w:val="00CE5AD0"/>
    <w:rsid w:val="00CE5AD1"/>
    <w:rsid w:val="00CE5AD5"/>
    <w:rsid w:val="00CE5B17"/>
    <w:rsid w:val="00CE5B35"/>
    <w:rsid w:val="00CE5B68"/>
    <w:rsid w:val="00CE5B76"/>
    <w:rsid w:val="00CE5B92"/>
    <w:rsid w:val="00CE5B9A"/>
    <w:rsid w:val="00CE5BEE"/>
    <w:rsid w:val="00CE5C10"/>
    <w:rsid w:val="00CE5C40"/>
    <w:rsid w:val="00CE5C41"/>
    <w:rsid w:val="00CE5C76"/>
    <w:rsid w:val="00CE5C9D"/>
    <w:rsid w:val="00CE5CBB"/>
    <w:rsid w:val="00CE5CC7"/>
    <w:rsid w:val="00CE5D3C"/>
    <w:rsid w:val="00CE5D41"/>
    <w:rsid w:val="00CE5D4E"/>
    <w:rsid w:val="00CE5D55"/>
    <w:rsid w:val="00CE5D58"/>
    <w:rsid w:val="00CE5D60"/>
    <w:rsid w:val="00CE5DD2"/>
    <w:rsid w:val="00CE5DD8"/>
    <w:rsid w:val="00CE5DDD"/>
    <w:rsid w:val="00CE5DE8"/>
    <w:rsid w:val="00CE5DFA"/>
    <w:rsid w:val="00CE5DFB"/>
    <w:rsid w:val="00CE5E31"/>
    <w:rsid w:val="00CE5E81"/>
    <w:rsid w:val="00CE5E94"/>
    <w:rsid w:val="00CE5EAC"/>
    <w:rsid w:val="00CE5F0F"/>
    <w:rsid w:val="00CE5F5E"/>
    <w:rsid w:val="00CE5FB4"/>
    <w:rsid w:val="00CE5FC1"/>
    <w:rsid w:val="00CE6049"/>
    <w:rsid w:val="00CE6054"/>
    <w:rsid w:val="00CE6073"/>
    <w:rsid w:val="00CE608D"/>
    <w:rsid w:val="00CE609D"/>
    <w:rsid w:val="00CE60A8"/>
    <w:rsid w:val="00CE60D3"/>
    <w:rsid w:val="00CE6113"/>
    <w:rsid w:val="00CE6124"/>
    <w:rsid w:val="00CE618D"/>
    <w:rsid w:val="00CE61BF"/>
    <w:rsid w:val="00CE61CD"/>
    <w:rsid w:val="00CE6200"/>
    <w:rsid w:val="00CE6232"/>
    <w:rsid w:val="00CE6253"/>
    <w:rsid w:val="00CE6260"/>
    <w:rsid w:val="00CE627A"/>
    <w:rsid w:val="00CE6295"/>
    <w:rsid w:val="00CE62E4"/>
    <w:rsid w:val="00CE62F1"/>
    <w:rsid w:val="00CE62F6"/>
    <w:rsid w:val="00CE6385"/>
    <w:rsid w:val="00CE63F6"/>
    <w:rsid w:val="00CE63FE"/>
    <w:rsid w:val="00CE642E"/>
    <w:rsid w:val="00CE645F"/>
    <w:rsid w:val="00CE6472"/>
    <w:rsid w:val="00CE6480"/>
    <w:rsid w:val="00CE6495"/>
    <w:rsid w:val="00CE64A1"/>
    <w:rsid w:val="00CE64AA"/>
    <w:rsid w:val="00CE64F1"/>
    <w:rsid w:val="00CE650E"/>
    <w:rsid w:val="00CE6519"/>
    <w:rsid w:val="00CE6522"/>
    <w:rsid w:val="00CE6530"/>
    <w:rsid w:val="00CE6544"/>
    <w:rsid w:val="00CE65A0"/>
    <w:rsid w:val="00CE6655"/>
    <w:rsid w:val="00CE6656"/>
    <w:rsid w:val="00CE6657"/>
    <w:rsid w:val="00CE665C"/>
    <w:rsid w:val="00CE6678"/>
    <w:rsid w:val="00CE66B3"/>
    <w:rsid w:val="00CE66C0"/>
    <w:rsid w:val="00CE670F"/>
    <w:rsid w:val="00CE673F"/>
    <w:rsid w:val="00CE6793"/>
    <w:rsid w:val="00CE67D0"/>
    <w:rsid w:val="00CE682C"/>
    <w:rsid w:val="00CE687D"/>
    <w:rsid w:val="00CE689C"/>
    <w:rsid w:val="00CE68A3"/>
    <w:rsid w:val="00CE68D4"/>
    <w:rsid w:val="00CE68DF"/>
    <w:rsid w:val="00CE68F2"/>
    <w:rsid w:val="00CE6933"/>
    <w:rsid w:val="00CE6944"/>
    <w:rsid w:val="00CE69F6"/>
    <w:rsid w:val="00CE69FE"/>
    <w:rsid w:val="00CE6A11"/>
    <w:rsid w:val="00CE6A52"/>
    <w:rsid w:val="00CE6A66"/>
    <w:rsid w:val="00CE6A78"/>
    <w:rsid w:val="00CE6AC5"/>
    <w:rsid w:val="00CE6B26"/>
    <w:rsid w:val="00CE6B37"/>
    <w:rsid w:val="00CE6B72"/>
    <w:rsid w:val="00CE6B86"/>
    <w:rsid w:val="00CE6BB1"/>
    <w:rsid w:val="00CE6BF9"/>
    <w:rsid w:val="00CE6C09"/>
    <w:rsid w:val="00CE6C31"/>
    <w:rsid w:val="00CE6C63"/>
    <w:rsid w:val="00CE6CB3"/>
    <w:rsid w:val="00CE6DAC"/>
    <w:rsid w:val="00CE6DD7"/>
    <w:rsid w:val="00CE6DFB"/>
    <w:rsid w:val="00CE6E00"/>
    <w:rsid w:val="00CE6E65"/>
    <w:rsid w:val="00CE6E69"/>
    <w:rsid w:val="00CE6E6A"/>
    <w:rsid w:val="00CE6E87"/>
    <w:rsid w:val="00CE6EA4"/>
    <w:rsid w:val="00CE6ED7"/>
    <w:rsid w:val="00CE6EF3"/>
    <w:rsid w:val="00CE6F04"/>
    <w:rsid w:val="00CE6F3F"/>
    <w:rsid w:val="00CE6F4C"/>
    <w:rsid w:val="00CE6F57"/>
    <w:rsid w:val="00CE6FC0"/>
    <w:rsid w:val="00CE6FD8"/>
    <w:rsid w:val="00CE6FE5"/>
    <w:rsid w:val="00CE6FE6"/>
    <w:rsid w:val="00CE701A"/>
    <w:rsid w:val="00CE702E"/>
    <w:rsid w:val="00CE703D"/>
    <w:rsid w:val="00CE7057"/>
    <w:rsid w:val="00CE7068"/>
    <w:rsid w:val="00CE70C0"/>
    <w:rsid w:val="00CE70CE"/>
    <w:rsid w:val="00CE70E7"/>
    <w:rsid w:val="00CE710C"/>
    <w:rsid w:val="00CE7115"/>
    <w:rsid w:val="00CE711F"/>
    <w:rsid w:val="00CE712C"/>
    <w:rsid w:val="00CE71B2"/>
    <w:rsid w:val="00CE71CF"/>
    <w:rsid w:val="00CE71F9"/>
    <w:rsid w:val="00CE7213"/>
    <w:rsid w:val="00CE7230"/>
    <w:rsid w:val="00CE7285"/>
    <w:rsid w:val="00CE728D"/>
    <w:rsid w:val="00CE72A0"/>
    <w:rsid w:val="00CE737B"/>
    <w:rsid w:val="00CE739E"/>
    <w:rsid w:val="00CE73B5"/>
    <w:rsid w:val="00CE73EA"/>
    <w:rsid w:val="00CE7448"/>
    <w:rsid w:val="00CE7458"/>
    <w:rsid w:val="00CE74A3"/>
    <w:rsid w:val="00CE74E0"/>
    <w:rsid w:val="00CE7500"/>
    <w:rsid w:val="00CE7518"/>
    <w:rsid w:val="00CE7527"/>
    <w:rsid w:val="00CE7536"/>
    <w:rsid w:val="00CE756A"/>
    <w:rsid w:val="00CE7587"/>
    <w:rsid w:val="00CE7593"/>
    <w:rsid w:val="00CE75A7"/>
    <w:rsid w:val="00CE75BA"/>
    <w:rsid w:val="00CE75BC"/>
    <w:rsid w:val="00CE7608"/>
    <w:rsid w:val="00CE763F"/>
    <w:rsid w:val="00CE7669"/>
    <w:rsid w:val="00CE76B6"/>
    <w:rsid w:val="00CE76EF"/>
    <w:rsid w:val="00CE7805"/>
    <w:rsid w:val="00CE7817"/>
    <w:rsid w:val="00CE788F"/>
    <w:rsid w:val="00CE7891"/>
    <w:rsid w:val="00CE789B"/>
    <w:rsid w:val="00CE78BE"/>
    <w:rsid w:val="00CE78BF"/>
    <w:rsid w:val="00CE78D1"/>
    <w:rsid w:val="00CE78EC"/>
    <w:rsid w:val="00CE78F8"/>
    <w:rsid w:val="00CE794C"/>
    <w:rsid w:val="00CE7973"/>
    <w:rsid w:val="00CE797C"/>
    <w:rsid w:val="00CE79BB"/>
    <w:rsid w:val="00CE79C1"/>
    <w:rsid w:val="00CE7A06"/>
    <w:rsid w:val="00CE7A32"/>
    <w:rsid w:val="00CE7A54"/>
    <w:rsid w:val="00CE7ABC"/>
    <w:rsid w:val="00CE7B26"/>
    <w:rsid w:val="00CE7B40"/>
    <w:rsid w:val="00CE7B41"/>
    <w:rsid w:val="00CE7BC7"/>
    <w:rsid w:val="00CE7BC8"/>
    <w:rsid w:val="00CE7BD2"/>
    <w:rsid w:val="00CE7C3E"/>
    <w:rsid w:val="00CE7C40"/>
    <w:rsid w:val="00CE7C83"/>
    <w:rsid w:val="00CE7C88"/>
    <w:rsid w:val="00CE7CAB"/>
    <w:rsid w:val="00CE7CB8"/>
    <w:rsid w:val="00CE7CC9"/>
    <w:rsid w:val="00CE7CDC"/>
    <w:rsid w:val="00CE7CF5"/>
    <w:rsid w:val="00CE7D01"/>
    <w:rsid w:val="00CE7D15"/>
    <w:rsid w:val="00CE7D19"/>
    <w:rsid w:val="00CE7D33"/>
    <w:rsid w:val="00CE7D7B"/>
    <w:rsid w:val="00CE7DAA"/>
    <w:rsid w:val="00CE7DC2"/>
    <w:rsid w:val="00CE7E14"/>
    <w:rsid w:val="00CE7E20"/>
    <w:rsid w:val="00CE7E5E"/>
    <w:rsid w:val="00CE7E60"/>
    <w:rsid w:val="00CE7E63"/>
    <w:rsid w:val="00CE7EB2"/>
    <w:rsid w:val="00CE7EC3"/>
    <w:rsid w:val="00CE7F08"/>
    <w:rsid w:val="00CE7F1B"/>
    <w:rsid w:val="00CE7F4A"/>
    <w:rsid w:val="00CE7F89"/>
    <w:rsid w:val="00CE7F8A"/>
    <w:rsid w:val="00CE7FB0"/>
    <w:rsid w:val="00CE7FB2"/>
    <w:rsid w:val="00CE7FDF"/>
    <w:rsid w:val="00CEA03E"/>
    <w:rsid w:val="00CF001F"/>
    <w:rsid w:val="00CF002B"/>
    <w:rsid w:val="00CF00C3"/>
    <w:rsid w:val="00CF00F9"/>
    <w:rsid w:val="00CF00FC"/>
    <w:rsid w:val="00CF0119"/>
    <w:rsid w:val="00CF0135"/>
    <w:rsid w:val="00CF013F"/>
    <w:rsid w:val="00CF015F"/>
    <w:rsid w:val="00CF0160"/>
    <w:rsid w:val="00CF016A"/>
    <w:rsid w:val="00CF0191"/>
    <w:rsid w:val="00CF01E0"/>
    <w:rsid w:val="00CF01F3"/>
    <w:rsid w:val="00CF0280"/>
    <w:rsid w:val="00CF02B8"/>
    <w:rsid w:val="00CF02D7"/>
    <w:rsid w:val="00CF038A"/>
    <w:rsid w:val="00CF03DA"/>
    <w:rsid w:val="00CF03EB"/>
    <w:rsid w:val="00CF0421"/>
    <w:rsid w:val="00CF0425"/>
    <w:rsid w:val="00CF042E"/>
    <w:rsid w:val="00CF042F"/>
    <w:rsid w:val="00CF0440"/>
    <w:rsid w:val="00CF0462"/>
    <w:rsid w:val="00CF048B"/>
    <w:rsid w:val="00CF048D"/>
    <w:rsid w:val="00CF049C"/>
    <w:rsid w:val="00CF04C3"/>
    <w:rsid w:val="00CF04EB"/>
    <w:rsid w:val="00CF0501"/>
    <w:rsid w:val="00CF058F"/>
    <w:rsid w:val="00CF05DC"/>
    <w:rsid w:val="00CF05E4"/>
    <w:rsid w:val="00CF060E"/>
    <w:rsid w:val="00CF0627"/>
    <w:rsid w:val="00CF062D"/>
    <w:rsid w:val="00CF0641"/>
    <w:rsid w:val="00CF0684"/>
    <w:rsid w:val="00CF06F9"/>
    <w:rsid w:val="00CF06FE"/>
    <w:rsid w:val="00CF0718"/>
    <w:rsid w:val="00CF0730"/>
    <w:rsid w:val="00CF073B"/>
    <w:rsid w:val="00CF078E"/>
    <w:rsid w:val="00CF0798"/>
    <w:rsid w:val="00CF0799"/>
    <w:rsid w:val="00CF07AE"/>
    <w:rsid w:val="00CF082F"/>
    <w:rsid w:val="00CF0840"/>
    <w:rsid w:val="00CF085E"/>
    <w:rsid w:val="00CF086F"/>
    <w:rsid w:val="00CF093C"/>
    <w:rsid w:val="00CF094D"/>
    <w:rsid w:val="00CF0977"/>
    <w:rsid w:val="00CF09B5"/>
    <w:rsid w:val="00CF09EE"/>
    <w:rsid w:val="00CF0A92"/>
    <w:rsid w:val="00CF0A98"/>
    <w:rsid w:val="00CF0BB0"/>
    <w:rsid w:val="00CF0C4E"/>
    <w:rsid w:val="00CF0C61"/>
    <w:rsid w:val="00CF0C8E"/>
    <w:rsid w:val="00CF0C94"/>
    <w:rsid w:val="00CF0CA1"/>
    <w:rsid w:val="00CF0CA7"/>
    <w:rsid w:val="00CF0CB0"/>
    <w:rsid w:val="00CF0CCB"/>
    <w:rsid w:val="00CF0CD3"/>
    <w:rsid w:val="00CF0CDC"/>
    <w:rsid w:val="00CF0CF3"/>
    <w:rsid w:val="00CF0D03"/>
    <w:rsid w:val="00CF0DAB"/>
    <w:rsid w:val="00CF0E31"/>
    <w:rsid w:val="00CF0E3C"/>
    <w:rsid w:val="00CF0E55"/>
    <w:rsid w:val="00CF0E96"/>
    <w:rsid w:val="00CF0EA5"/>
    <w:rsid w:val="00CF0EB7"/>
    <w:rsid w:val="00CF0EC7"/>
    <w:rsid w:val="00CF0F0D"/>
    <w:rsid w:val="00CF0F12"/>
    <w:rsid w:val="00CF0F6A"/>
    <w:rsid w:val="00CF0FD2"/>
    <w:rsid w:val="00CF0FD5"/>
    <w:rsid w:val="00CF0FF5"/>
    <w:rsid w:val="00CF1008"/>
    <w:rsid w:val="00CF1059"/>
    <w:rsid w:val="00CF10C6"/>
    <w:rsid w:val="00CF10E7"/>
    <w:rsid w:val="00CF10F3"/>
    <w:rsid w:val="00CF1112"/>
    <w:rsid w:val="00CF111E"/>
    <w:rsid w:val="00CF1132"/>
    <w:rsid w:val="00CF1171"/>
    <w:rsid w:val="00CF117A"/>
    <w:rsid w:val="00CF119E"/>
    <w:rsid w:val="00CF11E5"/>
    <w:rsid w:val="00CF1214"/>
    <w:rsid w:val="00CF121C"/>
    <w:rsid w:val="00CF1236"/>
    <w:rsid w:val="00CF126C"/>
    <w:rsid w:val="00CF1272"/>
    <w:rsid w:val="00CF1288"/>
    <w:rsid w:val="00CF12A8"/>
    <w:rsid w:val="00CF12B3"/>
    <w:rsid w:val="00CF12E5"/>
    <w:rsid w:val="00CF13AC"/>
    <w:rsid w:val="00CF13C6"/>
    <w:rsid w:val="00CF13CF"/>
    <w:rsid w:val="00CF1407"/>
    <w:rsid w:val="00CF140F"/>
    <w:rsid w:val="00CF1478"/>
    <w:rsid w:val="00CF149B"/>
    <w:rsid w:val="00CF14E4"/>
    <w:rsid w:val="00CF1516"/>
    <w:rsid w:val="00CF1544"/>
    <w:rsid w:val="00CF1597"/>
    <w:rsid w:val="00CF15D7"/>
    <w:rsid w:val="00CF1609"/>
    <w:rsid w:val="00CF163C"/>
    <w:rsid w:val="00CF168C"/>
    <w:rsid w:val="00CF16A0"/>
    <w:rsid w:val="00CF16A2"/>
    <w:rsid w:val="00CF16A5"/>
    <w:rsid w:val="00CF16A9"/>
    <w:rsid w:val="00CF16B5"/>
    <w:rsid w:val="00CF16F1"/>
    <w:rsid w:val="00CF1763"/>
    <w:rsid w:val="00CF1767"/>
    <w:rsid w:val="00CF1786"/>
    <w:rsid w:val="00CF17A4"/>
    <w:rsid w:val="00CF17EA"/>
    <w:rsid w:val="00CF17FB"/>
    <w:rsid w:val="00CF180E"/>
    <w:rsid w:val="00CF1816"/>
    <w:rsid w:val="00CF184C"/>
    <w:rsid w:val="00CF18B6"/>
    <w:rsid w:val="00CF18BC"/>
    <w:rsid w:val="00CF1900"/>
    <w:rsid w:val="00CF19AD"/>
    <w:rsid w:val="00CF19D1"/>
    <w:rsid w:val="00CF19F8"/>
    <w:rsid w:val="00CF1A30"/>
    <w:rsid w:val="00CF1A77"/>
    <w:rsid w:val="00CF1AF6"/>
    <w:rsid w:val="00CF1B13"/>
    <w:rsid w:val="00CF1B26"/>
    <w:rsid w:val="00CF1B61"/>
    <w:rsid w:val="00CF1B74"/>
    <w:rsid w:val="00CF1B7F"/>
    <w:rsid w:val="00CF1B91"/>
    <w:rsid w:val="00CF1BAF"/>
    <w:rsid w:val="00CF1BBC"/>
    <w:rsid w:val="00CF1BF7"/>
    <w:rsid w:val="00CF1C10"/>
    <w:rsid w:val="00CF1C24"/>
    <w:rsid w:val="00CF1CA8"/>
    <w:rsid w:val="00CF1CB0"/>
    <w:rsid w:val="00CF1CB2"/>
    <w:rsid w:val="00CF1CBF"/>
    <w:rsid w:val="00CF1D35"/>
    <w:rsid w:val="00CF1D4D"/>
    <w:rsid w:val="00CF1D56"/>
    <w:rsid w:val="00CF1D61"/>
    <w:rsid w:val="00CF1E09"/>
    <w:rsid w:val="00CF1E55"/>
    <w:rsid w:val="00CF1EB4"/>
    <w:rsid w:val="00CF1F0B"/>
    <w:rsid w:val="00CF1F7E"/>
    <w:rsid w:val="00CF1FBA"/>
    <w:rsid w:val="00CF1FE4"/>
    <w:rsid w:val="00CF2000"/>
    <w:rsid w:val="00CF20B7"/>
    <w:rsid w:val="00CF20DB"/>
    <w:rsid w:val="00CF210A"/>
    <w:rsid w:val="00CF210D"/>
    <w:rsid w:val="00CF2122"/>
    <w:rsid w:val="00CF2149"/>
    <w:rsid w:val="00CF217B"/>
    <w:rsid w:val="00CF2187"/>
    <w:rsid w:val="00CF21AD"/>
    <w:rsid w:val="00CF21BE"/>
    <w:rsid w:val="00CF21D6"/>
    <w:rsid w:val="00CF21D7"/>
    <w:rsid w:val="00CF21FF"/>
    <w:rsid w:val="00CF221A"/>
    <w:rsid w:val="00CF2223"/>
    <w:rsid w:val="00CF223E"/>
    <w:rsid w:val="00CF2261"/>
    <w:rsid w:val="00CF2287"/>
    <w:rsid w:val="00CF229E"/>
    <w:rsid w:val="00CF22B6"/>
    <w:rsid w:val="00CF22E2"/>
    <w:rsid w:val="00CF236C"/>
    <w:rsid w:val="00CF23A6"/>
    <w:rsid w:val="00CF23EB"/>
    <w:rsid w:val="00CF23FE"/>
    <w:rsid w:val="00CF240B"/>
    <w:rsid w:val="00CF2447"/>
    <w:rsid w:val="00CF245E"/>
    <w:rsid w:val="00CF24C4"/>
    <w:rsid w:val="00CF24D6"/>
    <w:rsid w:val="00CF2516"/>
    <w:rsid w:val="00CF254A"/>
    <w:rsid w:val="00CF2559"/>
    <w:rsid w:val="00CF255F"/>
    <w:rsid w:val="00CF2571"/>
    <w:rsid w:val="00CF2577"/>
    <w:rsid w:val="00CF25A7"/>
    <w:rsid w:val="00CF25D6"/>
    <w:rsid w:val="00CF25F5"/>
    <w:rsid w:val="00CF2621"/>
    <w:rsid w:val="00CF263A"/>
    <w:rsid w:val="00CF2655"/>
    <w:rsid w:val="00CF26C8"/>
    <w:rsid w:val="00CF26E4"/>
    <w:rsid w:val="00CF26EE"/>
    <w:rsid w:val="00CF2709"/>
    <w:rsid w:val="00CF2775"/>
    <w:rsid w:val="00CF2784"/>
    <w:rsid w:val="00CF27A9"/>
    <w:rsid w:val="00CF27B0"/>
    <w:rsid w:val="00CF27B8"/>
    <w:rsid w:val="00CF27D1"/>
    <w:rsid w:val="00CF27DE"/>
    <w:rsid w:val="00CF280A"/>
    <w:rsid w:val="00CF2869"/>
    <w:rsid w:val="00CF287E"/>
    <w:rsid w:val="00CF28C5"/>
    <w:rsid w:val="00CF28FF"/>
    <w:rsid w:val="00CF2903"/>
    <w:rsid w:val="00CF2917"/>
    <w:rsid w:val="00CF2938"/>
    <w:rsid w:val="00CF2945"/>
    <w:rsid w:val="00CF2966"/>
    <w:rsid w:val="00CF297A"/>
    <w:rsid w:val="00CF2983"/>
    <w:rsid w:val="00CF29DF"/>
    <w:rsid w:val="00CF29E8"/>
    <w:rsid w:val="00CF29FD"/>
    <w:rsid w:val="00CF2A1A"/>
    <w:rsid w:val="00CF2A34"/>
    <w:rsid w:val="00CF2A3A"/>
    <w:rsid w:val="00CF2A3E"/>
    <w:rsid w:val="00CF2A61"/>
    <w:rsid w:val="00CF2AF9"/>
    <w:rsid w:val="00CF2B1F"/>
    <w:rsid w:val="00CF2B5F"/>
    <w:rsid w:val="00CF2B7A"/>
    <w:rsid w:val="00CF2BBB"/>
    <w:rsid w:val="00CF2BC3"/>
    <w:rsid w:val="00CF2BC6"/>
    <w:rsid w:val="00CF2BE6"/>
    <w:rsid w:val="00CF2BF5"/>
    <w:rsid w:val="00CF2C14"/>
    <w:rsid w:val="00CF2C3D"/>
    <w:rsid w:val="00CF2C51"/>
    <w:rsid w:val="00CF2C96"/>
    <w:rsid w:val="00CF2CD7"/>
    <w:rsid w:val="00CF2CDB"/>
    <w:rsid w:val="00CF2CE6"/>
    <w:rsid w:val="00CF2CEB"/>
    <w:rsid w:val="00CF2D1F"/>
    <w:rsid w:val="00CF2D54"/>
    <w:rsid w:val="00CF2D78"/>
    <w:rsid w:val="00CF2D8B"/>
    <w:rsid w:val="00CF2DB4"/>
    <w:rsid w:val="00CF2DCB"/>
    <w:rsid w:val="00CF2DD1"/>
    <w:rsid w:val="00CF2E1A"/>
    <w:rsid w:val="00CF2E1B"/>
    <w:rsid w:val="00CF2E33"/>
    <w:rsid w:val="00CF2E3C"/>
    <w:rsid w:val="00CF2E78"/>
    <w:rsid w:val="00CF2E7E"/>
    <w:rsid w:val="00CF2EA2"/>
    <w:rsid w:val="00CF2EB6"/>
    <w:rsid w:val="00CF2EBB"/>
    <w:rsid w:val="00CF2EBE"/>
    <w:rsid w:val="00CF2EC6"/>
    <w:rsid w:val="00CF2F1B"/>
    <w:rsid w:val="00CF2F7C"/>
    <w:rsid w:val="00CF2F8A"/>
    <w:rsid w:val="00CF2FEC"/>
    <w:rsid w:val="00CF2FF1"/>
    <w:rsid w:val="00CF300C"/>
    <w:rsid w:val="00CF3061"/>
    <w:rsid w:val="00CF30CF"/>
    <w:rsid w:val="00CF30EA"/>
    <w:rsid w:val="00CF30EB"/>
    <w:rsid w:val="00CF30ED"/>
    <w:rsid w:val="00CF30F9"/>
    <w:rsid w:val="00CF3112"/>
    <w:rsid w:val="00CF3137"/>
    <w:rsid w:val="00CF3149"/>
    <w:rsid w:val="00CF314E"/>
    <w:rsid w:val="00CF317A"/>
    <w:rsid w:val="00CF31F7"/>
    <w:rsid w:val="00CF321B"/>
    <w:rsid w:val="00CF323B"/>
    <w:rsid w:val="00CF3250"/>
    <w:rsid w:val="00CF3276"/>
    <w:rsid w:val="00CF32FC"/>
    <w:rsid w:val="00CF3310"/>
    <w:rsid w:val="00CF33AB"/>
    <w:rsid w:val="00CF33AF"/>
    <w:rsid w:val="00CF33C6"/>
    <w:rsid w:val="00CF3435"/>
    <w:rsid w:val="00CF3447"/>
    <w:rsid w:val="00CF3449"/>
    <w:rsid w:val="00CF348B"/>
    <w:rsid w:val="00CF348D"/>
    <w:rsid w:val="00CF34A7"/>
    <w:rsid w:val="00CF34B4"/>
    <w:rsid w:val="00CF34CC"/>
    <w:rsid w:val="00CF34FE"/>
    <w:rsid w:val="00CF3512"/>
    <w:rsid w:val="00CF3572"/>
    <w:rsid w:val="00CF35BE"/>
    <w:rsid w:val="00CF366B"/>
    <w:rsid w:val="00CF36B2"/>
    <w:rsid w:val="00CF36BD"/>
    <w:rsid w:val="00CF36C8"/>
    <w:rsid w:val="00CF3787"/>
    <w:rsid w:val="00CF3792"/>
    <w:rsid w:val="00CF37A4"/>
    <w:rsid w:val="00CF37A7"/>
    <w:rsid w:val="00CF37D1"/>
    <w:rsid w:val="00CF37E7"/>
    <w:rsid w:val="00CF37E9"/>
    <w:rsid w:val="00CF37EF"/>
    <w:rsid w:val="00CF37F2"/>
    <w:rsid w:val="00CF381F"/>
    <w:rsid w:val="00CF3844"/>
    <w:rsid w:val="00CF3887"/>
    <w:rsid w:val="00CF3896"/>
    <w:rsid w:val="00CF38BA"/>
    <w:rsid w:val="00CF38BB"/>
    <w:rsid w:val="00CF38CA"/>
    <w:rsid w:val="00CF38FF"/>
    <w:rsid w:val="00CF3990"/>
    <w:rsid w:val="00CF39D1"/>
    <w:rsid w:val="00CF39E2"/>
    <w:rsid w:val="00CF39E9"/>
    <w:rsid w:val="00CF39F8"/>
    <w:rsid w:val="00CF3A00"/>
    <w:rsid w:val="00CF3A0A"/>
    <w:rsid w:val="00CF3A78"/>
    <w:rsid w:val="00CF3A7D"/>
    <w:rsid w:val="00CF3B3A"/>
    <w:rsid w:val="00CF3B4B"/>
    <w:rsid w:val="00CF3B8D"/>
    <w:rsid w:val="00CF3BA8"/>
    <w:rsid w:val="00CF3BAA"/>
    <w:rsid w:val="00CF3BB4"/>
    <w:rsid w:val="00CF3BCF"/>
    <w:rsid w:val="00CF3BD4"/>
    <w:rsid w:val="00CF3C42"/>
    <w:rsid w:val="00CF3C4C"/>
    <w:rsid w:val="00CF3C57"/>
    <w:rsid w:val="00CF3D46"/>
    <w:rsid w:val="00CF3D8C"/>
    <w:rsid w:val="00CF3D8D"/>
    <w:rsid w:val="00CF3E0D"/>
    <w:rsid w:val="00CF3E2E"/>
    <w:rsid w:val="00CF3E49"/>
    <w:rsid w:val="00CF3E61"/>
    <w:rsid w:val="00CF3E7C"/>
    <w:rsid w:val="00CF3EDD"/>
    <w:rsid w:val="00CF3F30"/>
    <w:rsid w:val="00CF3F35"/>
    <w:rsid w:val="00CF3F40"/>
    <w:rsid w:val="00CF3F48"/>
    <w:rsid w:val="00CF3F99"/>
    <w:rsid w:val="00CF3FE6"/>
    <w:rsid w:val="00CF4037"/>
    <w:rsid w:val="00CF4047"/>
    <w:rsid w:val="00CF4069"/>
    <w:rsid w:val="00CF40AD"/>
    <w:rsid w:val="00CF40BF"/>
    <w:rsid w:val="00CF40C8"/>
    <w:rsid w:val="00CF40D2"/>
    <w:rsid w:val="00CF40FF"/>
    <w:rsid w:val="00CF4103"/>
    <w:rsid w:val="00CF4122"/>
    <w:rsid w:val="00CF412B"/>
    <w:rsid w:val="00CF4153"/>
    <w:rsid w:val="00CF4165"/>
    <w:rsid w:val="00CF416F"/>
    <w:rsid w:val="00CF4198"/>
    <w:rsid w:val="00CF41F1"/>
    <w:rsid w:val="00CF4220"/>
    <w:rsid w:val="00CF4259"/>
    <w:rsid w:val="00CF4265"/>
    <w:rsid w:val="00CF427C"/>
    <w:rsid w:val="00CF4298"/>
    <w:rsid w:val="00CF42A4"/>
    <w:rsid w:val="00CF431D"/>
    <w:rsid w:val="00CF434C"/>
    <w:rsid w:val="00CF435B"/>
    <w:rsid w:val="00CF436F"/>
    <w:rsid w:val="00CF43A2"/>
    <w:rsid w:val="00CF43C4"/>
    <w:rsid w:val="00CF43D8"/>
    <w:rsid w:val="00CF4412"/>
    <w:rsid w:val="00CF4417"/>
    <w:rsid w:val="00CF4425"/>
    <w:rsid w:val="00CF442D"/>
    <w:rsid w:val="00CF4454"/>
    <w:rsid w:val="00CF4457"/>
    <w:rsid w:val="00CF445A"/>
    <w:rsid w:val="00CF4471"/>
    <w:rsid w:val="00CF44AB"/>
    <w:rsid w:val="00CF44C6"/>
    <w:rsid w:val="00CF44ED"/>
    <w:rsid w:val="00CF4500"/>
    <w:rsid w:val="00CF4538"/>
    <w:rsid w:val="00CF4590"/>
    <w:rsid w:val="00CF45A8"/>
    <w:rsid w:val="00CF462F"/>
    <w:rsid w:val="00CF4634"/>
    <w:rsid w:val="00CF4651"/>
    <w:rsid w:val="00CF4683"/>
    <w:rsid w:val="00CF468A"/>
    <w:rsid w:val="00CF4692"/>
    <w:rsid w:val="00CF4698"/>
    <w:rsid w:val="00CF469F"/>
    <w:rsid w:val="00CF46D4"/>
    <w:rsid w:val="00CF46E7"/>
    <w:rsid w:val="00CF4751"/>
    <w:rsid w:val="00CF475F"/>
    <w:rsid w:val="00CF4763"/>
    <w:rsid w:val="00CF476F"/>
    <w:rsid w:val="00CF47D1"/>
    <w:rsid w:val="00CF47EE"/>
    <w:rsid w:val="00CF47EF"/>
    <w:rsid w:val="00CF4819"/>
    <w:rsid w:val="00CF4861"/>
    <w:rsid w:val="00CF488F"/>
    <w:rsid w:val="00CF48CD"/>
    <w:rsid w:val="00CF490C"/>
    <w:rsid w:val="00CF494C"/>
    <w:rsid w:val="00CF49A7"/>
    <w:rsid w:val="00CF49D8"/>
    <w:rsid w:val="00CF4A13"/>
    <w:rsid w:val="00CF4A19"/>
    <w:rsid w:val="00CF4A32"/>
    <w:rsid w:val="00CF4A60"/>
    <w:rsid w:val="00CF4A67"/>
    <w:rsid w:val="00CF4A73"/>
    <w:rsid w:val="00CF4B25"/>
    <w:rsid w:val="00CF4B84"/>
    <w:rsid w:val="00CF4B8E"/>
    <w:rsid w:val="00CF4BBD"/>
    <w:rsid w:val="00CF4C02"/>
    <w:rsid w:val="00CF4C74"/>
    <w:rsid w:val="00CF4C86"/>
    <w:rsid w:val="00CF4C93"/>
    <w:rsid w:val="00CF4CB7"/>
    <w:rsid w:val="00CF4D1D"/>
    <w:rsid w:val="00CF4D55"/>
    <w:rsid w:val="00CF4D6B"/>
    <w:rsid w:val="00CF4D7D"/>
    <w:rsid w:val="00CF4D88"/>
    <w:rsid w:val="00CF4D94"/>
    <w:rsid w:val="00CF4E69"/>
    <w:rsid w:val="00CF4E81"/>
    <w:rsid w:val="00CF4EB8"/>
    <w:rsid w:val="00CF4EE0"/>
    <w:rsid w:val="00CF4F15"/>
    <w:rsid w:val="00CF4F49"/>
    <w:rsid w:val="00CF4F6B"/>
    <w:rsid w:val="00CF4FAB"/>
    <w:rsid w:val="00CF4FBA"/>
    <w:rsid w:val="00CF4FF5"/>
    <w:rsid w:val="00CF5018"/>
    <w:rsid w:val="00CF5027"/>
    <w:rsid w:val="00CF502D"/>
    <w:rsid w:val="00CF502E"/>
    <w:rsid w:val="00CF5038"/>
    <w:rsid w:val="00CF504D"/>
    <w:rsid w:val="00CF5069"/>
    <w:rsid w:val="00CF511F"/>
    <w:rsid w:val="00CF5136"/>
    <w:rsid w:val="00CF514C"/>
    <w:rsid w:val="00CF515B"/>
    <w:rsid w:val="00CF5160"/>
    <w:rsid w:val="00CF5176"/>
    <w:rsid w:val="00CF517F"/>
    <w:rsid w:val="00CF5184"/>
    <w:rsid w:val="00CF5188"/>
    <w:rsid w:val="00CF520F"/>
    <w:rsid w:val="00CF521C"/>
    <w:rsid w:val="00CF524A"/>
    <w:rsid w:val="00CF526D"/>
    <w:rsid w:val="00CF52D6"/>
    <w:rsid w:val="00CF52ED"/>
    <w:rsid w:val="00CF52F0"/>
    <w:rsid w:val="00CF52F1"/>
    <w:rsid w:val="00CF5321"/>
    <w:rsid w:val="00CF533D"/>
    <w:rsid w:val="00CF5366"/>
    <w:rsid w:val="00CF536F"/>
    <w:rsid w:val="00CF53E0"/>
    <w:rsid w:val="00CF543A"/>
    <w:rsid w:val="00CF544C"/>
    <w:rsid w:val="00CF5467"/>
    <w:rsid w:val="00CF5468"/>
    <w:rsid w:val="00CF5510"/>
    <w:rsid w:val="00CF551C"/>
    <w:rsid w:val="00CF559C"/>
    <w:rsid w:val="00CF55B7"/>
    <w:rsid w:val="00CF55DC"/>
    <w:rsid w:val="00CF55E6"/>
    <w:rsid w:val="00CF5667"/>
    <w:rsid w:val="00CF5688"/>
    <w:rsid w:val="00CF56E7"/>
    <w:rsid w:val="00CF572E"/>
    <w:rsid w:val="00CF5758"/>
    <w:rsid w:val="00CF581E"/>
    <w:rsid w:val="00CF5858"/>
    <w:rsid w:val="00CF5869"/>
    <w:rsid w:val="00CF58FF"/>
    <w:rsid w:val="00CF5904"/>
    <w:rsid w:val="00CF5943"/>
    <w:rsid w:val="00CF597A"/>
    <w:rsid w:val="00CF5988"/>
    <w:rsid w:val="00CF59AA"/>
    <w:rsid w:val="00CF59AC"/>
    <w:rsid w:val="00CF59C9"/>
    <w:rsid w:val="00CF59D5"/>
    <w:rsid w:val="00CF59F8"/>
    <w:rsid w:val="00CF5A4D"/>
    <w:rsid w:val="00CF5A69"/>
    <w:rsid w:val="00CF5A6B"/>
    <w:rsid w:val="00CF5A97"/>
    <w:rsid w:val="00CF5A9B"/>
    <w:rsid w:val="00CF5B01"/>
    <w:rsid w:val="00CF5B12"/>
    <w:rsid w:val="00CF5B15"/>
    <w:rsid w:val="00CF5B20"/>
    <w:rsid w:val="00CF5B72"/>
    <w:rsid w:val="00CF5B77"/>
    <w:rsid w:val="00CF5BC8"/>
    <w:rsid w:val="00CF5BD2"/>
    <w:rsid w:val="00CF5C1D"/>
    <w:rsid w:val="00CF5C3F"/>
    <w:rsid w:val="00CF5C42"/>
    <w:rsid w:val="00CF5C4D"/>
    <w:rsid w:val="00CF5C5F"/>
    <w:rsid w:val="00CF5C61"/>
    <w:rsid w:val="00CF5C81"/>
    <w:rsid w:val="00CF5C9A"/>
    <w:rsid w:val="00CF5CD7"/>
    <w:rsid w:val="00CF5CF6"/>
    <w:rsid w:val="00CF5D37"/>
    <w:rsid w:val="00CF5D71"/>
    <w:rsid w:val="00CF5DA5"/>
    <w:rsid w:val="00CF5DCC"/>
    <w:rsid w:val="00CF5DDA"/>
    <w:rsid w:val="00CF5DED"/>
    <w:rsid w:val="00CF5E3A"/>
    <w:rsid w:val="00CF5E64"/>
    <w:rsid w:val="00CF5E6B"/>
    <w:rsid w:val="00CF5E74"/>
    <w:rsid w:val="00CF5E8B"/>
    <w:rsid w:val="00CF5E95"/>
    <w:rsid w:val="00CF5EB3"/>
    <w:rsid w:val="00CF5ECF"/>
    <w:rsid w:val="00CF5EE1"/>
    <w:rsid w:val="00CF5EE3"/>
    <w:rsid w:val="00CF5F25"/>
    <w:rsid w:val="00CF5F4F"/>
    <w:rsid w:val="00CF5F56"/>
    <w:rsid w:val="00CF5F8F"/>
    <w:rsid w:val="00CF5FE1"/>
    <w:rsid w:val="00CF6030"/>
    <w:rsid w:val="00CF603A"/>
    <w:rsid w:val="00CF60BB"/>
    <w:rsid w:val="00CF60E1"/>
    <w:rsid w:val="00CF61C8"/>
    <w:rsid w:val="00CF61F6"/>
    <w:rsid w:val="00CF623C"/>
    <w:rsid w:val="00CF624C"/>
    <w:rsid w:val="00CF6261"/>
    <w:rsid w:val="00CF6274"/>
    <w:rsid w:val="00CF6276"/>
    <w:rsid w:val="00CF62A2"/>
    <w:rsid w:val="00CF62A6"/>
    <w:rsid w:val="00CF62AE"/>
    <w:rsid w:val="00CF62DD"/>
    <w:rsid w:val="00CF630C"/>
    <w:rsid w:val="00CF6346"/>
    <w:rsid w:val="00CF63AC"/>
    <w:rsid w:val="00CF63BB"/>
    <w:rsid w:val="00CF648C"/>
    <w:rsid w:val="00CF64FE"/>
    <w:rsid w:val="00CF6500"/>
    <w:rsid w:val="00CF657A"/>
    <w:rsid w:val="00CF663F"/>
    <w:rsid w:val="00CF6672"/>
    <w:rsid w:val="00CF667E"/>
    <w:rsid w:val="00CF6691"/>
    <w:rsid w:val="00CF66CA"/>
    <w:rsid w:val="00CF6708"/>
    <w:rsid w:val="00CF672B"/>
    <w:rsid w:val="00CF6755"/>
    <w:rsid w:val="00CF6793"/>
    <w:rsid w:val="00CF67AC"/>
    <w:rsid w:val="00CF67B1"/>
    <w:rsid w:val="00CF67B2"/>
    <w:rsid w:val="00CF67C6"/>
    <w:rsid w:val="00CF6800"/>
    <w:rsid w:val="00CF680D"/>
    <w:rsid w:val="00CF6826"/>
    <w:rsid w:val="00CF682A"/>
    <w:rsid w:val="00CF6842"/>
    <w:rsid w:val="00CF68B7"/>
    <w:rsid w:val="00CF6982"/>
    <w:rsid w:val="00CF69D4"/>
    <w:rsid w:val="00CF6A0D"/>
    <w:rsid w:val="00CF6A17"/>
    <w:rsid w:val="00CF6A29"/>
    <w:rsid w:val="00CF6A8B"/>
    <w:rsid w:val="00CF6AAA"/>
    <w:rsid w:val="00CF6ADD"/>
    <w:rsid w:val="00CF6B11"/>
    <w:rsid w:val="00CF6B14"/>
    <w:rsid w:val="00CF6B18"/>
    <w:rsid w:val="00CF6B49"/>
    <w:rsid w:val="00CF6BAB"/>
    <w:rsid w:val="00CF6C25"/>
    <w:rsid w:val="00CF6C96"/>
    <w:rsid w:val="00CF6D19"/>
    <w:rsid w:val="00CF6D2B"/>
    <w:rsid w:val="00CF6D31"/>
    <w:rsid w:val="00CF6D4F"/>
    <w:rsid w:val="00CF6D98"/>
    <w:rsid w:val="00CF6DAB"/>
    <w:rsid w:val="00CF6DD6"/>
    <w:rsid w:val="00CF6DD7"/>
    <w:rsid w:val="00CF6DEE"/>
    <w:rsid w:val="00CF6E38"/>
    <w:rsid w:val="00CF6E3A"/>
    <w:rsid w:val="00CF6E5F"/>
    <w:rsid w:val="00CF6E96"/>
    <w:rsid w:val="00CF6EC6"/>
    <w:rsid w:val="00CF6F22"/>
    <w:rsid w:val="00CF6F26"/>
    <w:rsid w:val="00CF6F48"/>
    <w:rsid w:val="00CF6F8F"/>
    <w:rsid w:val="00CF6FC5"/>
    <w:rsid w:val="00CF6FD9"/>
    <w:rsid w:val="00CF7028"/>
    <w:rsid w:val="00CF7033"/>
    <w:rsid w:val="00CF706E"/>
    <w:rsid w:val="00CF707F"/>
    <w:rsid w:val="00CF708B"/>
    <w:rsid w:val="00CF70DF"/>
    <w:rsid w:val="00CF717D"/>
    <w:rsid w:val="00CF71C7"/>
    <w:rsid w:val="00CF7220"/>
    <w:rsid w:val="00CF72E4"/>
    <w:rsid w:val="00CF732F"/>
    <w:rsid w:val="00CF7347"/>
    <w:rsid w:val="00CF7356"/>
    <w:rsid w:val="00CF7361"/>
    <w:rsid w:val="00CF7372"/>
    <w:rsid w:val="00CF7386"/>
    <w:rsid w:val="00CF738A"/>
    <w:rsid w:val="00CF739B"/>
    <w:rsid w:val="00CF73B0"/>
    <w:rsid w:val="00CF73FB"/>
    <w:rsid w:val="00CF7438"/>
    <w:rsid w:val="00CF7449"/>
    <w:rsid w:val="00CF7450"/>
    <w:rsid w:val="00CF7461"/>
    <w:rsid w:val="00CF74D3"/>
    <w:rsid w:val="00CF74D9"/>
    <w:rsid w:val="00CF74E2"/>
    <w:rsid w:val="00CF74EF"/>
    <w:rsid w:val="00CF74FC"/>
    <w:rsid w:val="00CF7506"/>
    <w:rsid w:val="00CF750B"/>
    <w:rsid w:val="00CF7514"/>
    <w:rsid w:val="00CF7522"/>
    <w:rsid w:val="00CF755B"/>
    <w:rsid w:val="00CF760D"/>
    <w:rsid w:val="00CF761B"/>
    <w:rsid w:val="00CF763C"/>
    <w:rsid w:val="00CF76FC"/>
    <w:rsid w:val="00CF771E"/>
    <w:rsid w:val="00CF7741"/>
    <w:rsid w:val="00CF7767"/>
    <w:rsid w:val="00CF776E"/>
    <w:rsid w:val="00CF777E"/>
    <w:rsid w:val="00CF7790"/>
    <w:rsid w:val="00CF779A"/>
    <w:rsid w:val="00CF779C"/>
    <w:rsid w:val="00CF779F"/>
    <w:rsid w:val="00CF77A7"/>
    <w:rsid w:val="00CF77AE"/>
    <w:rsid w:val="00CF77DC"/>
    <w:rsid w:val="00CF77E2"/>
    <w:rsid w:val="00CF77F6"/>
    <w:rsid w:val="00CF7826"/>
    <w:rsid w:val="00CF7829"/>
    <w:rsid w:val="00CF78AC"/>
    <w:rsid w:val="00CF78DD"/>
    <w:rsid w:val="00CF78FF"/>
    <w:rsid w:val="00CF7916"/>
    <w:rsid w:val="00CF791E"/>
    <w:rsid w:val="00CF791F"/>
    <w:rsid w:val="00CF7942"/>
    <w:rsid w:val="00CF7974"/>
    <w:rsid w:val="00CF797A"/>
    <w:rsid w:val="00CF798C"/>
    <w:rsid w:val="00CF799D"/>
    <w:rsid w:val="00CF79E8"/>
    <w:rsid w:val="00CF79FB"/>
    <w:rsid w:val="00CF7A1D"/>
    <w:rsid w:val="00CF7B10"/>
    <w:rsid w:val="00CF7B37"/>
    <w:rsid w:val="00CF7B57"/>
    <w:rsid w:val="00CF7B5C"/>
    <w:rsid w:val="00CF7B62"/>
    <w:rsid w:val="00CF7B84"/>
    <w:rsid w:val="00CF7BD4"/>
    <w:rsid w:val="00CF7BDB"/>
    <w:rsid w:val="00CF7BF1"/>
    <w:rsid w:val="00CF7C9C"/>
    <w:rsid w:val="00CF7E12"/>
    <w:rsid w:val="00CF7E47"/>
    <w:rsid w:val="00CF7E6F"/>
    <w:rsid w:val="00CF7E88"/>
    <w:rsid w:val="00CF7EAF"/>
    <w:rsid w:val="00CF7F23"/>
    <w:rsid w:val="00CF7F26"/>
    <w:rsid w:val="00CF7F2C"/>
    <w:rsid w:val="00CF7F42"/>
    <w:rsid w:val="00CF7F6A"/>
    <w:rsid w:val="00CF7F71"/>
    <w:rsid w:val="00CF7F8E"/>
    <w:rsid w:val="00CF7FA4"/>
    <w:rsid w:val="00CF7FB9"/>
    <w:rsid w:val="00D0004E"/>
    <w:rsid w:val="00D0008A"/>
    <w:rsid w:val="00D000A2"/>
    <w:rsid w:val="00D000B5"/>
    <w:rsid w:val="00D000D7"/>
    <w:rsid w:val="00D000E3"/>
    <w:rsid w:val="00D000FC"/>
    <w:rsid w:val="00D00150"/>
    <w:rsid w:val="00D001E2"/>
    <w:rsid w:val="00D001F3"/>
    <w:rsid w:val="00D0026B"/>
    <w:rsid w:val="00D0026D"/>
    <w:rsid w:val="00D0027B"/>
    <w:rsid w:val="00D002D0"/>
    <w:rsid w:val="00D002D1"/>
    <w:rsid w:val="00D002F2"/>
    <w:rsid w:val="00D00311"/>
    <w:rsid w:val="00D00332"/>
    <w:rsid w:val="00D003AC"/>
    <w:rsid w:val="00D003B1"/>
    <w:rsid w:val="00D00400"/>
    <w:rsid w:val="00D00402"/>
    <w:rsid w:val="00D00411"/>
    <w:rsid w:val="00D0042E"/>
    <w:rsid w:val="00D0046A"/>
    <w:rsid w:val="00D00482"/>
    <w:rsid w:val="00D00483"/>
    <w:rsid w:val="00D00512"/>
    <w:rsid w:val="00D0053B"/>
    <w:rsid w:val="00D00542"/>
    <w:rsid w:val="00D00560"/>
    <w:rsid w:val="00D00576"/>
    <w:rsid w:val="00D00580"/>
    <w:rsid w:val="00D005A4"/>
    <w:rsid w:val="00D005F4"/>
    <w:rsid w:val="00D00636"/>
    <w:rsid w:val="00D0065E"/>
    <w:rsid w:val="00D006F1"/>
    <w:rsid w:val="00D00727"/>
    <w:rsid w:val="00D0073B"/>
    <w:rsid w:val="00D00832"/>
    <w:rsid w:val="00D00849"/>
    <w:rsid w:val="00D00866"/>
    <w:rsid w:val="00D008A3"/>
    <w:rsid w:val="00D008A6"/>
    <w:rsid w:val="00D008D7"/>
    <w:rsid w:val="00D008F9"/>
    <w:rsid w:val="00D008FF"/>
    <w:rsid w:val="00D00949"/>
    <w:rsid w:val="00D00953"/>
    <w:rsid w:val="00D009A1"/>
    <w:rsid w:val="00D009C4"/>
    <w:rsid w:val="00D00A03"/>
    <w:rsid w:val="00D00A09"/>
    <w:rsid w:val="00D00A11"/>
    <w:rsid w:val="00D00A66"/>
    <w:rsid w:val="00D00A84"/>
    <w:rsid w:val="00D00A95"/>
    <w:rsid w:val="00D00ACD"/>
    <w:rsid w:val="00D00AE5"/>
    <w:rsid w:val="00D00AF4"/>
    <w:rsid w:val="00D00B2C"/>
    <w:rsid w:val="00D00B3E"/>
    <w:rsid w:val="00D00B50"/>
    <w:rsid w:val="00D00B58"/>
    <w:rsid w:val="00D00BD8"/>
    <w:rsid w:val="00D00BDD"/>
    <w:rsid w:val="00D00BDE"/>
    <w:rsid w:val="00D00C85"/>
    <w:rsid w:val="00D00C92"/>
    <w:rsid w:val="00D00CF1"/>
    <w:rsid w:val="00D00CF2"/>
    <w:rsid w:val="00D00CFE"/>
    <w:rsid w:val="00D00D3E"/>
    <w:rsid w:val="00D00D51"/>
    <w:rsid w:val="00D00D8C"/>
    <w:rsid w:val="00D00D92"/>
    <w:rsid w:val="00D00DA5"/>
    <w:rsid w:val="00D00DA9"/>
    <w:rsid w:val="00D00DB1"/>
    <w:rsid w:val="00D00E3E"/>
    <w:rsid w:val="00D00E4F"/>
    <w:rsid w:val="00D00E5C"/>
    <w:rsid w:val="00D00E98"/>
    <w:rsid w:val="00D00EAC"/>
    <w:rsid w:val="00D00EAF"/>
    <w:rsid w:val="00D00F34"/>
    <w:rsid w:val="00D00F48"/>
    <w:rsid w:val="00D00F85"/>
    <w:rsid w:val="00D00F91"/>
    <w:rsid w:val="00D00F95"/>
    <w:rsid w:val="00D00FFB"/>
    <w:rsid w:val="00D01028"/>
    <w:rsid w:val="00D0103D"/>
    <w:rsid w:val="00D01057"/>
    <w:rsid w:val="00D010A4"/>
    <w:rsid w:val="00D010EF"/>
    <w:rsid w:val="00D01115"/>
    <w:rsid w:val="00D0117A"/>
    <w:rsid w:val="00D0117F"/>
    <w:rsid w:val="00D01192"/>
    <w:rsid w:val="00D011B1"/>
    <w:rsid w:val="00D011CF"/>
    <w:rsid w:val="00D011ED"/>
    <w:rsid w:val="00D01206"/>
    <w:rsid w:val="00D0122F"/>
    <w:rsid w:val="00D01264"/>
    <w:rsid w:val="00D0127E"/>
    <w:rsid w:val="00D012BD"/>
    <w:rsid w:val="00D012DB"/>
    <w:rsid w:val="00D012DC"/>
    <w:rsid w:val="00D0130E"/>
    <w:rsid w:val="00D0132A"/>
    <w:rsid w:val="00D0132B"/>
    <w:rsid w:val="00D0132F"/>
    <w:rsid w:val="00D0133C"/>
    <w:rsid w:val="00D01362"/>
    <w:rsid w:val="00D013A3"/>
    <w:rsid w:val="00D01405"/>
    <w:rsid w:val="00D01415"/>
    <w:rsid w:val="00D01432"/>
    <w:rsid w:val="00D01469"/>
    <w:rsid w:val="00D0147E"/>
    <w:rsid w:val="00D01484"/>
    <w:rsid w:val="00D014AD"/>
    <w:rsid w:val="00D014BB"/>
    <w:rsid w:val="00D014C5"/>
    <w:rsid w:val="00D014C8"/>
    <w:rsid w:val="00D014F4"/>
    <w:rsid w:val="00D0152F"/>
    <w:rsid w:val="00D01563"/>
    <w:rsid w:val="00D0156E"/>
    <w:rsid w:val="00D015A3"/>
    <w:rsid w:val="00D015D2"/>
    <w:rsid w:val="00D01648"/>
    <w:rsid w:val="00D0164C"/>
    <w:rsid w:val="00D0169B"/>
    <w:rsid w:val="00D016B7"/>
    <w:rsid w:val="00D016D7"/>
    <w:rsid w:val="00D016DB"/>
    <w:rsid w:val="00D01701"/>
    <w:rsid w:val="00D0172F"/>
    <w:rsid w:val="00D0173C"/>
    <w:rsid w:val="00D0176E"/>
    <w:rsid w:val="00D01773"/>
    <w:rsid w:val="00D017B4"/>
    <w:rsid w:val="00D0189F"/>
    <w:rsid w:val="00D018A7"/>
    <w:rsid w:val="00D019BE"/>
    <w:rsid w:val="00D01A2D"/>
    <w:rsid w:val="00D01A57"/>
    <w:rsid w:val="00D01A60"/>
    <w:rsid w:val="00D01A89"/>
    <w:rsid w:val="00D01ABE"/>
    <w:rsid w:val="00D01AD3"/>
    <w:rsid w:val="00D01AFC"/>
    <w:rsid w:val="00D01B0C"/>
    <w:rsid w:val="00D01B38"/>
    <w:rsid w:val="00D01B3F"/>
    <w:rsid w:val="00D01B82"/>
    <w:rsid w:val="00D01B8D"/>
    <w:rsid w:val="00D01C01"/>
    <w:rsid w:val="00D01C3A"/>
    <w:rsid w:val="00D01C7A"/>
    <w:rsid w:val="00D01CA5"/>
    <w:rsid w:val="00D01CD0"/>
    <w:rsid w:val="00D01CF1"/>
    <w:rsid w:val="00D01CFF"/>
    <w:rsid w:val="00D01D1D"/>
    <w:rsid w:val="00D01D2F"/>
    <w:rsid w:val="00D01D3A"/>
    <w:rsid w:val="00D01D4B"/>
    <w:rsid w:val="00D01D5B"/>
    <w:rsid w:val="00D01DBF"/>
    <w:rsid w:val="00D01DC1"/>
    <w:rsid w:val="00D01DEF"/>
    <w:rsid w:val="00D01E50"/>
    <w:rsid w:val="00D01E93"/>
    <w:rsid w:val="00D01EC7"/>
    <w:rsid w:val="00D01EF6"/>
    <w:rsid w:val="00D01F0E"/>
    <w:rsid w:val="00D01F37"/>
    <w:rsid w:val="00D01F3C"/>
    <w:rsid w:val="00D01F41"/>
    <w:rsid w:val="00D01F75"/>
    <w:rsid w:val="00D01F9F"/>
    <w:rsid w:val="00D01FD4"/>
    <w:rsid w:val="00D01FD9"/>
    <w:rsid w:val="00D02001"/>
    <w:rsid w:val="00D0202A"/>
    <w:rsid w:val="00D02047"/>
    <w:rsid w:val="00D02054"/>
    <w:rsid w:val="00D02057"/>
    <w:rsid w:val="00D020A3"/>
    <w:rsid w:val="00D0210B"/>
    <w:rsid w:val="00D02170"/>
    <w:rsid w:val="00D02179"/>
    <w:rsid w:val="00D02211"/>
    <w:rsid w:val="00D02246"/>
    <w:rsid w:val="00D02297"/>
    <w:rsid w:val="00D022D8"/>
    <w:rsid w:val="00D022DA"/>
    <w:rsid w:val="00D02327"/>
    <w:rsid w:val="00D0235C"/>
    <w:rsid w:val="00D0238F"/>
    <w:rsid w:val="00D023A2"/>
    <w:rsid w:val="00D023B3"/>
    <w:rsid w:val="00D023D1"/>
    <w:rsid w:val="00D02432"/>
    <w:rsid w:val="00D0247F"/>
    <w:rsid w:val="00D0256A"/>
    <w:rsid w:val="00D02583"/>
    <w:rsid w:val="00D025F2"/>
    <w:rsid w:val="00D02600"/>
    <w:rsid w:val="00D02637"/>
    <w:rsid w:val="00D02643"/>
    <w:rsid w:val="00D026A0"/>
    <w:rsid w:val="00D026A3"/>
    <w:rsid w:val="00D026CD"/>
    <w:rsid w:val="00D0273B"/>
    <w:rsid w:val="00D0273E"/>
    <w:rsid w:val="00D02743"/>
    <w:rsid w:val="00D02771"/>
    <w:rsid w:val="00D02790"/>
    <w:rsid w:val="00D027C0"/>
    <w:rsid w:val="00D027C8"/>
    <w:rsid w:val="00D027D6"/>
    <w:rsid w:val="00D02829"/>
    <w:rsid w:val="00D02832"/>
    <w:rsid w:val="00D02854"/>
    <w:rsid w:val="00D02890"/>
    <w:rsid w:val="00D02950"/>
    <w:rsid w:val="00D02969"/>
    <w:rsid w:val="00D029BD"/>
    <w:rsid w:val="00D02A29"/>
    <w:rsid w:val="00D02A99"/>
    <w:rsid w:val="00D02AAC"/>
    <w:rsid w:val="00D02AC9"/>
    <w:rsid w:val="00D02AD1"/>
    <w:rsid w:val="00D02ADE"/>
    <w:rsid w:val="00D02B47"/>
    <w:rsid w:val="00D02B78"/>
    <w:rsid w:val="00D02C05"/>
    <w:rsid w:val="00D02C36"/>
    <w:rsid w:val="00D02C88"/>
    <w:rsid w:val="00D02CE5"/>
    <w:rsid w:val="00D02CEC"/>
    <w:rsid w:val="00D02D73"/>
    <w:rsid w:val="00D02D87"/>
    <w:rsid w:val="00D02D8B"/>
    <w:rsid w:val="00D02DD3"/>
    <w:rsid w:val="00D02E72"/>
    <w:rsid w:val="00D02E8C"/>
    <w:rsid w:val="00D02EA6"/>
    <w:rsid w:val="00D02EAC"/>
    <w:rsid w:val="00D02EBE"/>
    <w:rsid w:val="00D02F29"/>
    <w:rsid w:val="00D02F6E"/>
    <w:rsid w:val="00D02F96"/>
    <w:rsid w:val="00D02FC6"/>
    <w:rsid w:val="00D02FD2"/>
    <w:rsid w:val="00D02FD5"/>
    <w:rsid w:val="00D02FE8"/>
    <w:rsid w:val="00D02FFC"/>
    <w:rsid w:val="00D03006"/>
    <w:rsid w:val="00D0306C"/>
    <w:rsid w:val="00D0308D"/>
    <w:rsid w:val="00D030BA"/>
    <w:rsid w:val="00D03105"/>
    <w:rsid w:val="00D03153"/>
    <w:rsid w:val="00D0315F"/>
    <w:rsid w:val="00D03180"/>
    <w:rsid w:val="00D0318E"/>
    <w:rsid w:val="00D031C6"/>
    <w:rsid w:val="00D0322A"/>
    <w:rsid w:val="00D0322B"/>
    <w:rsid w:val="00D0323D"/>
    <w:rsid w:val="00D03242"/>
    <w:rsid w:val="00D0327A"/>
    <w:rsid w:val="00D0329E"/>
    <w:rsid w:val="00D032A7"/>
    <w:rsid w:val="00D032D7"/>
    <w:rsid w:val="00D03335"/>
    <w:rsid w:val="00D0334F"/>
    <w:rsid w:val="00D03364"/>
    <w:rsid w:val="00D03396"/>
    <w:rsid w:val="00D033A3"/>
    <w:rsid w:val="00D03408"/>
    <w:rsid w:val="00D0340D"/>
    <w:rsid w:val="00D03416"/>
    <w:rsid w:val="00D0341A"/>
    <w:rsid w:val="00D0341F"/>
    <w:rsid w:val="00D03471"/>
    <w:rsid w:val="00D034BC"/>
    <w:rsid w:val="00D034C9"/>
    <w:rsid w:val="00D034CA"/>
    <w:rsid w:val="00D034EA"/>
    <w:rsid w:val="00D034FD"/>
    <w:rsid w:val="00D034FE"/>
    <w:rsid w:val="00D03519"/>
    <w:rsid w:val="00D03545"/>
    <w:rsid w:val="00D03554"/>
    <w:rsid w:val="00D03568"/>
    <w:rsid w:val="00D0357B"/>
    <w:rsid w:val="00D0358B"/>
    <w:rsid w:val="00D035CA"/>
    <w:rsid w:val="00D035E9"/>
    <w:rsid w:val="00D0360D"/>
    <w:rsid w:val="00D03613"/>
    <w:rsid w:val="00D03631"/>
    <w:rsid w:val="00D036A5"/>
    <w:rsid w:val="00D036B7"/>
    <w:rsid w:val="00D03700"/>
    <w:rsid w:val="00D0373B"/>
    <w:rsid w:val="00D03784"/>
    <w:rsid w:val="00D03824"/>
    <w:rsid w:val="00D0384C"/>
    <w:rsid w:val="00D0387A"/>
    <w:rsid w:val="00D03881"/>
    <w:rsid w:val="00D0389F"/>
    <w:rsid w:val="00D038C8"/>
    <w:rsid w:val="00D038CF"/>
    <w:rsid w:val="00D038E0"/>
    <w:rsid w:val="00D0393A"/>
    <w:rsid w:val="00D03974"/>
    <w:rsid w:val="00D039C2"/>
    <w:rsid w:val="00D039F7"/>
    <w:rsid w:val="00D03A74"/>
    <w:rsid w:val="00D03A75"/>
    <w:rsid w:val="00D03AD2"/>
    <w:rsid w:val="00D03AEE"/>
    <w:rsid w:val="00D03B06"/>
    <w:rsid w:val="00D03B2C"/>
    <w:rsid w:val="00D03B48"/>
    <w:rsid w:val="00D03B51"/>
    <w:rsid w:val="00D03B89"/>
    <w:rsid w:val="00D03BC3"/>
    <w:rsid w:val="00D03BF3"/>
    <w:rsid w:val="00D03C09"/>
    <w:rsid w:val="00D03C17"/>
    <w:rsid w:val="00D03C40"/>
    <w:rsid w:val="00D03CB5"/>
    <w:rsid w:val="00D03D0F"/>
    <w:rsid w:val="00D03D40"/>
    <w:rsid w:val="00D03D43"/>
    <w:rsid w:val="00D03D96"/>
    <w:rsid w:val="00D03D9F"/>
    <w:rsid w:val="00D03DC7"/>
    <w:rsid w:val="00D03E23"/>
    <w:rsid w:val="00D03E25"/>
    <w:rsid w:val="00D03EC8"/>
    <w:rsid w:val="00D03EDF"/>
    <w:rsid w:val="00D03F3E"/>
    <w:rsid w:val="00D03F46"/>
    <w:rsid w:val="00D03FB6"/>
    <w:rsid w:val="00D03FC5"/>
    <w:rsid w:val="00D03FFC"/>
    <w:rsid w:val="00D0404E"/>
    <w:rsid w:val="00D04073"/>
    <w:rsid w:val="00D040BB"/>
    <w:rsid w:val="00D0413B"/>
    <w:rsid w:val="00D0418E"/>
    <w:rsid w:val="00D041BF"/>
    <w:rsid w:val="00D0427B"/>
    <w:rsid w:val="00D04285"/>
    <w:rsid w:val="00D04386"/>
    <w:rsid w:val="00D043A9"/>
    <w:rsid w:val="00D043AA"/>
    <w:rsid w:val="00D043EC"/>
    <w:rsid w:val="00D043EE"/>
    <w:rsid w:val="00D04400"/>
    <w:rsid w:val="00D04436"/>
    <w:rsid w:val="00D04458"/>
    <w:rsid w:val="00D04460"/>
    <w:rsid w:val="00D0448D"/>
    <w:rsid w:val="00D04499"/>
    <w:rsid w:val="00D0449E"/>
    <w:rsid w:val="00D044B7"/>
    <w:rsid w:val="00D044E2"/>
    <w:rsid w:val="00D04510"/>
    <w:rsid w:val="00D0453E"/>
    <w:rsid w:val="00D04567"/>
    <w:rsid w:val="00D0458C"/>
    <w:rsid w:val="00D045AB"/>
    <w:rsid w:val="00D045FA"/>
    <w:rsid w:val="00D04601"/>
    <w:rsid w:val="00D0463C"/>
    <w:rsid w:val="00D04645"/>
    <w:rsid w:val="00D04685"/>
    <w:rsid w:val="00D04745"/>
    <w:rsid w:val="00D04763"/>
    <w:rsid w:val="00D04776"/>
    <w:rsid w:val="00D04785"/>
    <w:rsid w:val="00D047A5"/>
    <w:rsid w:val="00D047AE"/>
    <w:rsid w:val="00D047B0"/>
    <w:rsid w:val="00D047B4"/>
    <w:rsid w:val="00D04815"/>
    <w:rsid w:val="00D048C0"/>
    <w:rsid w:val="00D048D0"/>
    <w:rsid w:val="00D0495F"/>
    <w:rsid w:val="00D04987"/>
    <w:rsid w:val="00D049B2"/>
    <w:rsid w:val="00D04A40"/>
    <w:rsid w:val="00D04A45"/>
    <w:rsid w:val="00D04A48"/>
    <w:rsid w:val="00D04A69"/>
    <w:rsid w:val="00D04A7B"/>
    <w:rsid w:val="00D04A8B"/>
    <w:rsid w:val="00D04ADD"/>
    <w:rsid w:val="00D04B81"/>
    <w:rsid w:val="00D04B90"/>
    <w:rsid w:val="00D04BB1"/>
    <w:rsid w:val="00D04BB5"/>
    <w:rsid w:val="00D04BDA"/>
    <w:rsid w:val="00D04C21"/>
    <w:rsid w:val="00D04C61"/>
    <w:rsid w:val="00D04C81"/>
    <w:rsid w:val="00D04CA3"/>
    <w:rsid w:val="00D04CF3"/>
    <w:rsid w:val="00D04D27"/>
    <w:rsid w:val="00D04D5B"/>
    <w:rsid w:val="00D04D71"/>
    <w:rsid w:val="00D04D97"/>
    <w:rsid w:val="00D04D9C"/>
    <w:rsid w:val="00D04DAF"/>
    <w:rsid w:val="00D04DEE"/>
    <w:rsid w:val="00D04E97"/>
    <w:rsid w:val="00D04EA4"/>
    <w:rsid w:val="00D04EAD"/>
    <w:rsid w:val="00D04EDE"/>
    <w:rsid w:val="00D04F4D"/>
    <w:rsid w:val="00D04F8D"/>
    <w:rsid w:val="00D04FB1"/>
    <w:rsid w:val="00D05018"/>
    <w:rsid w:val="00D0502B"/>
    <w:rsid w:val="00D0503C"/>
    <w:rsid w:val="00D0503E"/>
    <w:rsid w:val="00D05052"/>
    <w:rsid w:val="00D0508C"/>
    <w:rsid w:val="00D050B2"/>
    <w:rsid w:val="00D050CD"/>
    <w:rsid w:val="00D050DC"/>
    <w:rsid w:val="00D050F6"/>
    <w:rsid w:val="00D05111"/>
    <w:rsid w:val="00D051C7"/>
    <w:rsid w:val="00D051DD"/>
    <w:rsid w:val="00D0521A"/>
    <w:rsid w:val="00D05248"/>
    <w:rsid w:val="00D0526F"/>
    <w:rsid w:val="00D05336"/>
    <w:rsid w:val="00D05344"/>
    <w:rsid w:val="00D05358"/>
    <w:rsid w:val="00D0535F"/>
    <w:rsid w:val="00D05376"/>
    <w:rsid w:val="00D05380"/>
    <w:rsid w:val="00D053C5"/>
    <w:rsid w:val="00D05425"/>
    <w:rsid w:val="00D05460"/>
    <w:rsid w:val="00D054BB"/>
    <w:rsid w:val="00D054D8"/>
    <w:rsid w:val="00D054D9"/>
    <w:rsid w:val="00D054F2"/>
    <w:rsid w:val="00D0551C"/>
    <w:rsid w:val="00D05555"/>
    <w:rsid w:val="00D05583"/>
    <w:rsid w:val="00D0559A"/>
    <w:rsid w:val="00D0559C"/>
    <w:rsid w:val="00D0559F"/>
    <w:rsid w:val="00D055B9"/>
    <w:rsid w:val="00D055E2"/>
    <w:rsid w:val="00D055F2"/>
    <w:rsid w:val="00D0562D"/>
    <w:rsid w:val="00D05653"/>
    <w:rsid w:val="00D05655"/>
    <w:rsid w:val="00D0566A"/>
    <w:rsid w:val="00D0566D"/>
    <w:rsid w:val="00D0567D"/>
    <w:rsid w:val="00D0568A"/>
    <w:rsid w:val="00D056C3"/>
    <w:rsid w:val="00D0576B"/>
    <w:rsid w:val="00D057DB"/>
    <w:rsid w:val="00D0582F"/>
    <w:rsid w:val="00D05830"/>
    <w:rsid w:val="00D0584D"/>
    <w:rsid w:val="00D0587C"/>
    <w:rsid w:val="00D058A7"/>
    <w:rsid w:val="00D058A9"/>
    <w:rsid w:val="00D0595D"/>
    <w:rsid w:val="00D05972"/>
    <w:rsid w:val="00D05982"/>
    <w:rsid w:val="00D059AA"/>
    <w:rsid w:val="00D059EE"/>
    <w:rsid w:val="00D059F3"/>
    <w:rsid w:val="00D05A1A"/>
    <w:rsid w:val="00D05A81"/>
    <w:rsid w:val="00D05A9C"/>
    <w:rsid w:val="00D05AC0"/>
    <w:rsid w:val="00D05AC7"/>
    <w:rsid w:val="00D05B04"/>
    <w:rsid w:val="00D05B05"/>
    <w:rsid w:val="00D05B74"/>
    <w:rsid w:val="00D05B79"/>
    <w:rsid w:val="00D05B8B"/>
    <w:rsid w:val="00D05BB9"/>
    <w:rsid w:val="00D05C05"/>
    <w:rsid w:val="00D05C9D"/>
    <w:rsid w:val="00D05CC1"/>
    <w:rsid w:val="00D05CCB"/>
    <w:rsid w:val="00D05CCE"/>
    <w:rsid w:val="00D05CCF"/>
    <w:rsid w:val="00D05CE9"/>
    <w:rsid w:val="00D05CF7"/>
    <w:rsid w:val="00D05D2D"/>
    <w:rsid w:val="00D05D3E"/>
    <w:rsid w:val="00D05D56"/>
    <w:rsid w:val="00D05D98"/>
    <w:rsid w:val="00D05DAF"/>
    <w:rsid w:val="00D05DB3"/>
    <w:rsid w:val="00D05DE0"/>
    <w:rsid w:val="00D05DF3"/>
    <w:rsid w:val="00D05E5E"/>
    <w:rsid w:val="00D05E9C"/>
    <w:rsid w:val="00D05EDF"/>
    <w:rsid w:val="00D05F1E"/>
    <w:rsid w:val="00D05F25"/>
    <w:rsid w:val="00D05F2B"/>
    <w:rsid w:val="00D05F3E"/>
    <w:rsid w:val="00D05FAC"/>
    <w:rsid w:val="00D0600F"/>
    <w:rsid w:val="00D06035"/>
    <w:rsid w:val="00D06041"/>
    <w:rsid w:val="00D06060"/>
    <w:rsid w:val="00D060C7"/>
    <w:rsid w:val="00D06109"/>
    <w:rsid w:val="00D0612F"/>
    <w:rsid w:val="00D06193"/>
    <w:rsid w:val="00D06199"/>
    <w:rsid w:val="00D061B5"/>
    <w:rsid w:val="00D061FC"/>
    <w:rsid w:val="00D062B0"/>
    <w:rsid w:val="00D062BC"/>
    <w:rsid w:val="00D06314"/>
    <w:rsid w:val="00D0632B"/>
    <w:rsid w:val="00D06360"/>
    <w:rsid w:val="00D06381"/>
    <w:rsid w:val="00D0638A"/>
    <w:rsid w:val="00D0638E"/>
    <w:rsid w:val="00D063BF"/>
    <w:rsid w:val="00D063C6"/>
    <w:rsid w:val="00D063FE"/>
    <w:rsid w:val="00D06427"/>
    <w:rsid w:val="00D064E8"/>
    <w:rsid w:val="00D0653E"/>
    <w:rsid w:val="00D06568"/>
    <w:rsid w:val="00D06639"/>
    <w:rsid w:val="00D06681"/>
    <w:rsid w:val="00D0669E"/>
    <w:rsid w:val="00D066BF"/>
    <w:rsid w:val="00D066DC"/>
    <w:rsid w:val="00D06711"/>
    <w:rsid w:val="00D0673C"/>
    <w:rsid w:val="00D06754"/>
    <w:rsid w:val="00D06778"/>
    <w:rsid w:val="00D067DA"/>
    <w:rsid w:val="00D067FF"/>
    <w:rsid w:val="00D0686E"/>
    <w:rsid w:val="00D06876"/>
    <w:rsid w:val="00D06944"/>
    <w:rsid w:val="00D0694C"/>
    <w:rsid w:val="00D069CE"/>
    <w:rsid w:val="00D06A2C"/>
    <w:rsid w:val="00D06A39"/>
    <w:rsid w:val="00D06A8D"/>
    <w:rsid w:val="00D06AE0"/>
    <w:rsid w:val="00D06B21"/>
    <w:rsid w:val="00D06B2A"/>
    <w:rsid w:val="00D06B2D"/>
    <w:rsid w:val="00D06B54"/>
    <w:rsid w:val="00D06B78"/>
    <w:rsid w:val="00D06B90"/>
    <w:rsid w:val="00D06BAD"/>
    <w:rsid w:val="00D06BAF"/>
    <w:rsid w:val="00D06C11"/>
    <w:rsid w:val="00D06C9E"/>
    <w:rsid w:val="00D06D52"/>
    <w:rsid w:val="00D06D95"/>
    <w:rsid w:val="00D06DD4"/>
    <w:rsid w:val="00D06E12"/>
    <w:rsid w:val="00D06E28"/>
    <w:rsid w:val="00D06E5D"/>
    <w:rsid w:val="00D06E6D"/>
    <w:rsid w:val="00D06E71"/>
    <w:rsid w:val="00D06EAA"/>
    <w:rsid w:val="00D06ED3"/>
    <w:rsid w:val="00D06EDA"/>
    <w:rsid w:val="00D06EE2"/>
    <w:rsid w:val="00D06EFD"/>
    <w:rsid w:val="00D06F25"/>
    <w:rsid w:val="00D06F50"/>
    <w:rsid w:val="00D06F54"/>
    <w:rsid w:val="00D06F9B"/>
    <w:rsid w:val="00D06FA2"/>
    <w:rsid w:val="00D06FC9"/>
    <w:rsid w:val="00D070C2"/>
    <w:rsid w:val="00D070D8"/>
    <w:rsid w:val="00D070F9"/>
    <w:rsid w:val="00D070FA"/>
    <w:rsid w:val="00D070FB"/>
    <w:rsid w:val="00D0711F"/>
    <w:rsid w:val="00D07131"/>
    <w:rsid w:val="00D071CB"/>
    <w:rsid w:val="00D07224"/>
    <w:rsid w:val="00D07280"/>
    <w:rsid w:val="00D07286"/>
    <w:rsid w:val="00D072B7"/>
    <w:rsid w:val="00D07338"/>
    <w:rsid w:val="00D07377"/>
    <w:rsid w:val="00D073E3"/>
    <w:rsid w:val="00D073FE"/>
    <w:rsid w:val="00D0740F"/>
    <w:rsid w:val="00D07430"/>
    <w:rsid w:val="00D07441"/>
    <w:rsid w:val="00D07444"/>
    <w:rsid w:val="00D074A8"/>
    <w:rsid w:val="00D074D5"/>
    <w:rsid w:val="00D074FB"/>
    <w:rsid w:val="00D07500"/>
    <w:rsid w:val="00D07552"/>
    <w:rsid w:val="00D0756E"/>
    <w:rsid w:val="00D07570"/>
    <w:rsid w:val="00D0759A"/>
    <w:rsid w:val="00D075C1"/>
    <w:rsid w:val="00D075D1"/>
    <w:rsid w:val="00D075D4"/>
    <w:rsid w:val="00D07656"/>
    <w:rsid w:val="00D07678"/>
    <w:rsid w:val="00D07696"/>
    <w:rsid w:val="00D076AA"/>
    <w:rsid w:val="00D076BB"/>
    <w:rsid w:val="00D076D6"/>
    <w:rsid w:val="00D076D7"/>
    <w:rsid w:val="00D0774E"/>
    <w:rsid w:val="00D0775A"/>
    <w:rsid w:val="00D0775E"/>
    <w:rsid w:val="00D07763"/>
    <w:rsid w:val="00D07771"/>
    <w:rsid w:val="00D077A5"/>
    <w:rsid w:val="00D077D2"/>
    <w:rsid w:val="00D077E6"/>
    <w:rsid w:val="00D07825"/>
    <w:rsid w:val="00D0787A"/>
    <w:rsid w:val="00D0787D"/>
    <w:rsid w:val="00D078FF"/>
    <w:rsid w:val="00D07906"/>
    <w:rsid w:val="00D0793E"/>
    <w:rsid w:val="00D0795B"/>
    <w:rsid w:val="00D0797C"/>
    <w:rsid w:val="00D079D7"/>
    <w:rsid w:val="00D079DB"/>
    <w:rsid w:val="00D07A27"/>
    <w:rsid w:val="00D07A79"/>
    <w:rsid w:val="00D07AA9"/>
    <w:rsid w:val="00D07AC2"/>
    <w:rsid w:val="00D07AD8"/>
    <w:rsid w:val="00D07AFE"/>
    <w:rsid w:val="00D07B15"/>
    <w:rsid w:val="00D07B20"/>
    <w:rsid w:val="00D07B4A"/>
    <w:rsid w:val="00D07B7E"/>
    <w:rsid w:val="00D07BA1"/>
    <w:rsid w:val="00D07BB2"/>
    <w:rsid w:val="00D07BC2"/>
    <w:rsid w:val="00D07BE9"/>
    <w:rsid w:val="00D07BEB"/>
    <w:rsid w:val="00D07C61"/>
    <w:rsid w:val="00D07C79"/>
    <w:rsid w:val="00D07C87"/>
    <w:rsid w:val="00D07CFB"/>
    <w:rsid w:val="00D07D40"/>
    <w:rsid w:val="00D07D46"/>
    <w:rsid w:val="00D07D49"/>
    <w:rsid w:val="00D07D65"/>
    <w:rsid w:val="00D07D70"/>
    <w:rsid w:val="00D07D77"/>
    <w:rsid w:val="00D07D8D"/>
    <w:rsid w:val="00D07D90"/>
    <w:rsid w:val="00D07DA0"/>
    <w:rsid w:val="00D07E25"/>
    <w:rsid w:val="00D07E2E"/>
    <w:rsid w:val="00D07E44"/>
    <w:rsid w:val="00D07E64"/>
    <w:rsid w:val="00D07ED3"/>
    <w:rsid w:val="00D07F15"/>
    <w:rsid w:val="00D07F8E"/>
    <w:rsid w:val="00D07FB5"/>
    <w:rsid w:val="00D07FC9"/>
    <w:rsid w:val="00D1006D"/>
    <w:rsid w:val="00D10084"/>
    <w:rsid w:val="00D10086"/>
    <w:rsid w:val="00D10087"/>
    <w:rsid w:val="00D10088"/>
    <w:rsid w:val="00D10118"/>
    <w:rsid w:val="00D10134"/>
    <w:rsid w:val="00D10153"/>
    <w:rsid w:val="00D10167"/>
    <w:rsid w:val="00D10170"/>
    <w:rsid w:val="00D101F5"/>
    <w:rsid w:val="00D101F8"/>
    <w:rsid w:val="00D10217"/>
    <w:rsid w:val="00D10218"/>
    <w:rsid w:val="00D10219"/>
    <w:rsid w:val="00D1023E"/>
    <w:rsid w:val="00D10263"/>
    <w:rsid w:val="00D10266"/>
    <w:rsid w:val="00D103AC"/>
    <w:rsid w:val="00D103C2"/>
    <w:rsid w:val="00D103F0"/>
    <w:rsid w:val="00D10429"/>
    <w:rsid w:val="00D1045B"/>
    <w:rsid w:val="00D1046D"/>
    <w:rsid w:val="00D104B3"/>
    <w:rsid w:val="00D104E4"/>
    <w:rsid w:val="00D104EB"/>
    <w:rsid w:val="00D1050E"/>
    <w:rsid w:val="00D10529"/>
    <w:rsid w:val="00D10534"/>
    <w:rsid w:val="00D10549"/>
    <w:rsid w:val="00D10553"/>
    <w:rsid w:val="00D1057C"/>
    <w:rsid w:val="00D10584"/>
    <w:rsid w:val="00D105C0"/>
    <w:rsid w:val="00D105D2"/>
    <w:rsid w:val="00D1061F"/>
    <w:rsid w:val="00D10627"/>
    <w:rsid w:val="00D1065C"/>
    <w:rsid w:val="00D10662"/>
    <w:rsid w:val="00D10669"/>
    <w:rsid w:val="00D10677"/>
    <w:rsid w:val="00D106F2"/>
    <w:rsid w:val="00D10717"/>
    <w:rsid w:val="00D10721"/>
    <w:rsid w:val="00D10746"/>
    <w:rsid w:val="00D10750"/>
    <w:rsid w:val="00D1077F"/>
    <w:rsid w:val="00D107B3"/>
    <w:rsid w:val="00D107EE"/>
    <w:rsid w:val="00D107F3"/>
    <w:rsid w:val="00D10850"/>
    <w:rsid w:val="00D1088E"/>
    <w:rsid w:val="00D1088F"/>
    <w:rsid w:val="00D10915"/>
    <w:rsid w:val="00D10917"/>
    <w:rsid w:val="00D109C6"/>
    <w:rsid w:val="00D109CA"/>
    <w:rsid w:val="00D109E4"/>
    <w:rsid w:val="00D109E8"/>
    <w:rsid w:val="00D10A17"/>
    <w:rsid w:val="00D10A30"/>
    <w:rsid w:val="00D10A34"/>
    <w:rsid w:val="00D10A77"/>
    <w:rsid w:val="00D10AEB"/>
    <w:rsid w:val="00D10B2E"/>
    <w:rsid w:val="00D10B36"/>
    <w:rsid w:val="00D10B5D"/>
    <w:rsid w:val="00D10B5E"/>
    <w:rsid w:val="00D10BB7"/>
    <w:rsid w:val="00D10BE0"/>
    <w:rsid w:val="00D10C40"/>
    <w:rsid w:val="00D10C58"/>
    <w:rsid w:val="00D10C61"/>
    <w:rsid w:val="00D10C86"/>
    <w:rsid w:val="00D10CCB"/>
    <w:rsid w:val="00D10CD7"/>
    <w:rsid w:val="00D10CF2"/>
    <w:rsid w:val="00D10D08"/>
    <w:rsid w:val="00D10D0D"/>
    <w:rsid w:val="00D10D3D"/>
    <w:rsid w:val="00D10DB3"/>
    <w:rsid w:val="00D10DC1"/>
    <w:rsid w:val="00D10DC7"/>
    <w:rsid w:val="00D10DDF"/>
    <w:rsid w:val="00D10DFC"/>
    <w:rsid w:val="00D10E2C"/>
    <w:rsid w:val="00D10E4C"/>
    <w:rsid w:val="00D10E60"/>
    <w:rsid w:val="00D10EB3"/>
    <w:rsid w:val="00D10F2F"/>
    <w:rsid w:val="00D10F41"/>
    <w:rsid w:val="00D11027"/>
    <w:rsid w:val="00D1102B"/>
    <w:rsid w:val="00D11058"/>
    <w:rsid w:val="00D11089"/>
    <w:rsid w:val="00D110BE"/>
    <w:rsid w:val="00D1110C"/>
    <w:rsid w:val="00D1118C"/>
    <w:rsid w:val="00D111B1"/>
    <w:rsid w:val="00D111F5"/>
    <w:rsid w:val="00D111F9"/>
    <w:rsid w:val="00D111FB"/>
    <w:rsid w:val="00D11249"/>
    <w:rsid w:val="00D11253"/>
    <w:rsid w:val="00D11265"/>
    <w:rsid w:val="00D11273"/>
    <w:rsid w:val="00D1128C"/>
    <w:rsid w:val="00D112B2"/>
    <w:rsid w:val="00D112D9"/>
    <w:rsid w:val="00D112E8"/>
    <w:rsid w:val="00D11329"/>
    <w:rsid w:val="00D1134B"/>
    <w:rsid w:val="00D1138E"/>
    <w:rsid w:val="00D113A3"/>
    <w:rsid w:val="00D113A8"/>
    <w:rsid w:val="00D113D1"/>
    <w:rsid w:val="00D1144D"/>
    <w:rsid w:val="00D11466"/>
    <w:rsid w:val="00D114B0"/>
    <w:rsid w:val="00D114E3"/>
    <w:rsid w:val="00D114E4"/>
    <w:rsid w:val="00D114F0"/>
    <w:rsid w:val="00D11501"/>
    <w:rsid w:val="00D11517"/>
    <w:rsid w:val="00D1153E"/>
    <w:rsid w:val="00D11543"/>
    <w:rsid w:val="00D11555"/>
    <w:rsid w:val="00D11573"/>
    <w:rsid w:val="00D1159B"/>
    <w:rsid w:val="00D115E7"/>
    <w:rsid w:val="00D11638"/>
    <w:rsid w:val="00D11681"/>
    <w:rsid w:val="00D116B7"/>
    <w:rsid w:val="00D11724"/>
    <w:rsid w:val="00D11749"/>
    <w:rsid w:val="00D11756"/>
    <w:rsid w:val="00D1175C"/>
    <w:rsid w:val="00D117C8"/>
    <w:rsid w:val="00D117FC"/>
    <w:rsid w:val="00D11855"/>
    <w:rsid w:val="00D11869"/>
    <w:rsid w:val="00D118F2"/>
    <w:rsid w:val="00D11914"/>
    <w:rsid w:val="00D1196F"/>
    <w:rsid w:val="00D119A9"/>
    <w:rsid w:val="00D119EC"/>
    <w:rsid w:val="00D11A0C"/>
    <w:rsid w:val="00D11A31"/>
    <w:rsid w:val="00D11A32"/>
    <w:rsid w:val="00D11A8D"/>
    <w:rsid w:val="00D11AC0"/>
    <w:rsid w:val="00D11BB8"/>
    <w:rsid w:val="00D11BC4"/>
    <w:rsid w:val="00D11BDC"/>
    <w:rsid w:val="00D11BF7"/>
    <w:rsid w:val="00D11C40"/>
    <w:rsid w:val="00D11C91"/>
    <w:rsid w:val="00D11C97"/>
    <w:rsid w:val="00D11D06"/>
    <w:rsid w:val="00D11D16"/>
    <w:rsid w:val="00D11D35"/>
    <w:rsid w:val="00D11D45"/>
    <w:rsid w:val="00D11D4A"/>
    <w:rsid w:val="00D11DB8"/>
    <w:rsid w:val="00D11DE9"/>
    <w:rsid w:val="00D11DEA"/>
    <w:rsid w:val="00D11E17"/>
    <w:rsid w:val="00D11E8D"/>
    <w:rsid w:val="00D11EBF"/>
    <w:rsid w:val="00D11ECA"/>
    <w:rsid w:val="00D11EED"/>
    <w:rsid w:val="00D11EF2"/>
    <w:rsid w:val="00D11F83"/>
    <w:rsid w:val="00D11FA4"/>
    <w:rsid w:val="00D11FA9"/>
    <w:rsid w:val="00D11FED"/>
    <w:rsid w:val="00D1207C"/>
    <w:rsid w:val="00D120A2"/>
    <w:rsid w:val="00D12139"/>
    <w:rsid w:val="00D12158"/>
    <w:rsid w:val="00D121B5"/>
    <w:rsid w:val="00D121BA"/>
    <w:rsid w:val="00D12229"/>
    <w:rsid w:val="00D1226A"/>
    <w:rsid w:val="00D12274"/>
    <w:rsid w:val="00D12296"/>
    <w:rsid w:val="00D122EB"/>
    <w:rsid w:val="00D1232F"/>
    <w:rsid w:val="00D1234E"/>
    <w:rsid w:val="00D1239B"/>
    <w:rsid w:val="00D1239D"/>
    <w:rsid w:val="00D123AD"/>
    <w:rsid w:val="00D123D6"/>
    <w:rsid w:val="00D123ED"/>
    <w:rsid w:val="00D1240F"/>
    <w:rsid w:val="00D12448"/>
    <w:rsid w:val="00D12486"/>
    <w:rsid w:val="00D124AB"/>
    <w:rsid w:val="00D124D1"/>
    <w:rsid w:val="00D124DB"/>
    <w:rsid w:val="00D124E8"/>
    <w:rsid w:val="00D124FB"/>
    <w:rsid w:val="00D124FF"/>
    <w:rsid w:val="00D12508"/>
    <w:rsid w:val="00D125DD"/>
    <w:rsid w:val="00D125ED"/>
    <w:rsid w:val="00D12625"/>
    <w:rsid w:val="00D12657"/>
    <w:rsid w:val="00D12674"/>
    <w:rsid w:val="00D12767"/>
    <w:rsid w:val="00D1276F"/>
    <w:rsid w:val="00D12937"/>
    <w:rsid w:val="00D1299F"/>
    <w:rsid w:val="00D12A13"/>
    <w:rsid w:val="00D12A14"/>
    <w:rsid w:val="00D12A19"/>
    <w:rsid w:val="00D12A6A"/>
    <w:rsid w:val="00D12A6E"/>
    <w:rsid w:val="00D12AD3"/>
    <w:rsid w:val="00D12B02"/>
    <w:rsid w:val="00D12B10"/>
    <w:rsid w:val="00D12B31"/>
    <w:rsid w:val="00D12B49"/>
    <w:rsid w:val="00D12B89"/>
    <w:rsid w:val="00D12B90"/>
    <w:rsid w:val="00D12BA8"/>
    <w:rsid w:val="00D12BBF"/>
    <w:rsid w:val="00D12BD9"/>
    <w:rsid w:val="00D12BEC"/>
    <w:rsid w:val="00D12C0F"/>
    <w:rsid w:val="00D12C2D"/>
    <w:rsid w:val="00D12C48"/>
    <w:rsid w:val="00D12C53"/>
    <w:rsid w:val="00D12D1B"/>
    <w:rsid w:val="00D12D6E"/>
    <w:rsid w:val="00D12D81"/>
    <w:rsid w:val="00D12D8E"/>
    <w:rsid w:val="00D12D90"/>
    <w:rsid w:val="00D12D9B"/>
    <w:rsid w:val="00D12DAC"/>
    <w:rsid w:val="00D12DB6"/>
    <w:rsid w:val="00D12DC9"/>
    <w:rsid w:val="00D12E04"/>
    <w:rsid w:val="00D12F6C"/>
    <w:rsid w:val="00D12F97"/>
    <w:rsid w:val="00D12FFD"/>
    <w:rsid w:val="00D13047"/>
    <w:rsid w:val="00D13074"/>
    <w:rsid w:val="00D13088"/>
    <w:rsid w:val="00D130B0"/>
    <w:rsid w:val="00D130D0"/>
    <w:rsid w:val="00D130F4"/>
    <w:rsid w:val="00D130FA"/>
    <w:rsid w:val="00D1313F"/>
    <w:rsid w:val="00D13169"/>
    <w:rsid w:val="00D1316C"/>
    <w:rsid w:val="00D132A8"/>
    <w:rsid w:val="00D132D1"/>
    <w:rsid w:val="00D1330C"/>
    <w:rsid w:val="00D13349"/>
    <w:rsid w:val="00D1334F"/>
    <w:rsid w:val="00D133AB"/>
    <w:rsid w:val="00D133B7"/>
    <w:rsid w:val="00D133C0"/>
    <w:rsid w:val="00D13414"/>
    <w:rsid w:val="00D13494"/>
    <w:rsid w:val="00D134AB"/>
    <w:rsid w:val="00D134B2"/>
    <w:rsid w:val="00D134EE"/>
    <w:rsid w:val="00D13504"/>
    <w:rsid w:val="00D1353F"/>
    <w:rsid w:val="00D13585"/>
    <w:rsid w:val="00D135AD"/>
    <w:rsid w:val="00D135C0"/>
    <w:rsid w:val="00D135FB"/>
    <w:rsid w:val="00D13605"/>
    <w:rsid w:val="00D1363B"/>
    <w:rsid w:val="00D13685"/>
    <w:rsid w:val="00D1369F"/>
    <w:rsid w:val="00D136A8"/>
    <w:rsid w:val="00D136C3"/>
    <w:rsid w:val="00D136D2"/>
    <w:rsid w:val="00D13713"/>
    <w:rsid w:val="00D13787"/>
    <w:rsid w:val="00D137A4"/>
    <w:rsid w:val="00D13805"/>
    <w:rsid w:val="00D13829"/>
    <w:rsid w:val="00D138C2"/>
    <w:rsid w:val="00D1392C"/>
    <w:rsid w:val="00D139E6"/>
    <w:rsid w:val="00D13B65"/>
    <w:rsid w:val="00D13B90"/>
    <w:rsid w:val="00D13BA9"/>
    <w:rsid w:val="00D13C30"/>
    <w:rsid w:val="00D13C38"/>
    <w:rsid w:val="00D13CA4"/>
    <w:rsid w:val="00D13CB8"/>
    <w:rsid w:val="00D13CC5"/>
    <w:rsid w:val="00D13D10"/>
    <w:rsid w:val="00D13D15"/>
    <w:rsid w:val="00D13D3C"/>
    <w:rsid w:val="00D13D56"/>
    <w:rsid w:val="00D13D77"/>
    <w:rsid w:val="00D13DAB"/>
    <w:rsid w:val="00D13DD9"/>
    <w:rsid w:val="00D13DEA"/>
    <w:rsid w:val="00D13E21"/>
    <w:rsid w:val="00D13E35"/>
    <w:rsid w:val="00D13E78"/>
    <w:rsid w:val="00D13EA7"/>
    <w:rsid w:val="00D13EE5"/>
    <w:rsid w:val="00D13F18"/>
    <w:rsid w:val="00D13F1F"/>
    <w:rsid w:val="00D13F3C"/>
    <w:rsid w:val="00D13F54"/>
    <w:rsid w:val="00D13F59"/>
    <w:rsid w:val="00D13F7C"/>
    <w:rsid w:val="00D13F8D"/>
    <w:rsid w:val="00D13F98"/>
    <w:rsid w:val="00D13F9B"/>
    <w:rsid w:val="00D13FA9"/>
    <w:rsid w:val="00D13FC9"/>
    <w:rsid w:val="00D1402F"/>
    <w:rsid w:val="00D1403D"/>
    <w:rsid w:val="00D14049"/>
    <w:rsid w:val="00D1404C"/>
    <w:rsid w:val="00D1404D"/>
    <w:rsid w:val="00D14139"/>
    <w:rsid w:val="00D1413E"/>
    <w:rsid w:val="00D1415C"/>
    <w:rsid w:val="00D14183"/>
    <w:rsid w:val="00D14198"/>
    <w:rsid w:val="00D141DB"/>
    <w:rsid w:val="00D14205"/>
    <w:rsid w:val="00D1420E"/>
    <w:rsid w:val="00D1421B"/>
    <w:rsid w:val="00D14230"/>
    <w:rsid w:val="00D14275"/>
    <w:rsid w:val="00D14296"/>
    <w:rsid w:val="00D142D9"/>
    <w:rsid w:val="00D14318"/>
    <w:rsid w:val="00D14342"/>
    <w:rsid w:val="00D14350"/>
    <w:rsid w:val="00D1436A"/>
    <w:rsid w:val="00D1436F"/>
    <w:rsid w:val="00D14376"/>
    <w:rsid w:val="00D14385"/>
    <w:rsid w:val="00D143A5"/>
    <w:rsid w:val="00D143F0"/>
    <w:rsid w:val="00D14492"/>
    <w:rsid w:val="00D144CB"/>
    <w:rsid w:val="00D144EB"/>
    <w:rsid w:val="00D144F3"/>
    <w:rsid w:val="00D14523"/>
    <w:rsid w:val="00D14538"/>
    <w:rsid w:val="00D1454A"/>
    <w:rsid w:val="00D1454E"/>
    <w:rsid w:val="00D1463A"/>
    <w:rsid w:val="00D1463F"/>
    <w:rsid w:val="00D14678"/>
    <w:rsid w:val="00D14691"/>
    <w:rsid w:val="00D146DF"/>
    <w:rsid w:val="00D1471C"/>
    <w:rsid w:val="00D14729"/>
    <w:rsid w:val="00D1475A"/>
    <w:rsid w:val="00D147B0"/>
    <w:rsid w:val="00D147EC"/>
    <w:rsid w:val="00D1480F"/>
    <w:rsid w:val="00D14846"/>
    <w:rsid w:val="00D14870"/>
    <w:rsid w:val="00D1487C"/>
    <w:rsid w:val="00D148BD"/>
    <w:rsid w:val="00D148FA"/>
    <w:rsid w:val="00D14905"/>
    <w:rsid w:val="00D1492F"/>
    <w:rsid w:val="00D14933"/>
    <w:rsid w:val="00D1498F"/>
    <w:rsid w:val="00D14996"/>
    <w:rsid w:val="00D14A19"/>
    <w:rsid w:val="00D14A20"/>
    <w:rsid w:val="00D14ACB"/>
    <w:rsid w:val="00D14AEA"/>
    <w:rsid w:val="00D14B10"/>
    <w:rsid w:val="00D14B44"/>
    <w:rsid w:val="00D14B93"/>
    <w:rsid w:val="00D14BA1"/>
    <w:rsid w:val="00D14BC6"/>
    <w:rsid w:val="00D14BCD"/>
    <w:rsid w:val="00D14C7F"/>
    <w:rsid w:val="00D14CBD"/>
    <w:rsid w:val="00D14CC6"/>
    <w:rsid w:val="00D14CD9"/>
    <w:rsid w:val="00D14D07"/>
    <w:rsid w:val="00D14D1F"/>
    <w:rsid w:val="00D14D62"/>
    <w:rsid w:val="00D14E28"/>
    <w:rsid w:val="00D14E2A"/>
    <w:rsid w:val="00D14E31"/>
    <w:rsid w:val="00D14E4C"/>
    <w:rsid w:val="00D14E64"/>
    <w:rsid w:val="00D14E69"/>
    <w:rsid w:val="00D14E86"/>
    <w:rsid w:val="00D14EA1"/>
    <w:rsid w:val="00D14EBC"/>
    <w:rsid w:val="00D14EF3"/>
    <w:rsid w:val="00D14F0E"/>
    <w:rsid w:val="00D14F70"/>
    <w:rsid w:val="00D14F75"/>
    <w:rsid w:val="00D14F77"/>
    <w:rsid w:val="00D14FF1"/>
    <w:rsid w:val="00D15045"/>
    <w:rsid w:val="00D1505D"/>
    <w:rsid w:val="00D150EB"/>
    <w:rsid w:val="00D150EF"/>
    <w:rsid w:val="00D15135"/>
    <w:rsid w:val="00D1513D"/>
    <w:rsid w:val="00D15149"/>
    <w:rsid w:val="00D15154"/>
    <w:rsid w:val="00D1518F"/>
    <w:rsid w:val="00D15199"/>
    <w:rsid w:val="00D151C4"/>
    <w:rsid w:val="00D151FA"/>
    <w:rsid w:val="00D15200"/>
    <w:rsid w:val="00D15218"/>
    <w:rsid w:val="00D1524B"/>
    <w:rsid w:val="00D15258"/>
    <w:rsid w:val="00D15274"/>
    <w:rsid w:val="00D15298"/>
    <w:rsid w:val="00D152D7"/>
    <w:rsid w:val="00D152F2"/>
    <w:rsid w:val="00D152F6"/>
    <w:rsid w:val="00D1530E"/>
    <w:rsid w:val="00D1531C"/>
    <w:rsid w:val="00D1533C"/>
    <w:rsid w:val="00D15357"/>
    <w:rsid w:val="00D1535D"/>
    <w:rsid w:val="00D1539B"/>
    <w:rsid w:val="00D153B6"/>
    <w:rsid w:val="00D153D9"/>
    <w:rsid w:val="00D1541B"/>
    <w:rsid w:val="00D15422"/>
    <w:rsid w:val="00D1544F"/>
    <w:rsid w:val="00D15450"/>
    <w:rsid w:val="00D1547D"/>
    <w:rsid w:val="00D154B9"/>
    <w:rsid w:val="00D154D8"/>
    <w:rsid w:val="00D15547"/>
    <w:rsid w:val="00D1555A"/>
    <w:rsid w:val="00D15599"/>
    <w:rsid w:val="00D1559D"/>
    <w:rsid w:val="00D1560C"/>
    <w:rsid w:val="00D15626"/>
    <w:rsid w:val="00D1562A"/>
    <w:rsid w:val="00D1562B"/>
    <w:rsid w:val="00D15640"/>
    <w:rsid w:val="00D15643"/>
    <w:rsid w:val="00D15649"/>
    <w:rsid w:val="00D15657"/>
    <w:rsid w:val="00D156DF"/>
    <w:rsid w:val="00D15712"/>
    <w:rsid w:val="00D15714"/>
    <w:rsid w:val="00D1577B"/>
    <w:rsid w:val="00D15792"/>
    <w:rsid w:val="00D15796"/>
    <w:rsid w:val="00D157AB"/>
    <w:rsid w:val="00D157C8"/>
    <w:rsid w:val="00D157CC"/>
    <w:rsid w:val="00D157E3"/>
    <w:rsid w:val="00D157E7"/>
    <w:rsid w:val="00D157EB"/>
    <w:rsid w:val="00D15802"/>
    <w:rsid w:val="00D1582A"/>
    <w:rsid w:val="00D1583A"/>
    <w:rsid w:val="00D1589A"/>
    <w:rsid w:val="00D158D2"/>
    <w:rsid w:val="00D158E5"/>
    <w:rsid w:val="00D15939"/>
    <w:rsid w:val="00D15994"/>
    <w:rsid w:val="00D159CE"/>
    <w:rsid w:val="00D159FD"/>
    <w:rsid w:val="00D159FF"/>
    <w:rsid w:val="00D15A16"/>
    <w:rsid w:val="00D15A93"/>
    <w:rsid w:val="00D15A9D"/>
    <w:rsid w:val="00D15AD3"/>
    <w:rsid w:val="00D15AE7"/>
    <w:rsid w:val="00D15AE8"/>
    <w:rsid w:val="00D15AED"/>
    <w:rsid w:val="00D15B06"/>
    <w:rsid w:val="00D15B0D"/>
    <w:rsid w:val="00D15B40"/>
    <w:rsid w:val="00D15B4D"/>
    <w:rsid w:val="00D15B51"/>
    <w:rsid w:val="00D15B5C"/>
    <w:rsid w:val="00D15BE2"/>
    <w:rsid w:val="00D15C3B"/>
    <w:rsid w:val="00D15C4A"/>
    <w:rsid w:val="00D15C5B"/>
    <w:rsid w:val="00D15CA5"/>
    <w:rsid w:val="00D15CA9"/>
    <w:rsid w:val="00D15CC3"/>
    <w:rsid w:val="00D15D09"/>
    <w:rsid w:val="00D15D11"/>
    <w:rsid w:val="00D15D55"/>
    <w:rsid w:val="00D15DE6"/>
    <w:rsid w:val="00D15DEF"/>
    <w:rsid w:val="00D15E05"/>
    <w:rsid w:val="00D15E16"/>
    <w:rsid w:val="00D15E26"/>
    <w:rsid w:val="00D15E8F"/>
    <w:rsid w:val="00D15E96"/>
    <w:rsid w:val="00D15E9E"/>
    <w:rsid w:val="00D15EA9"/>
    <w:rsid w:val="00D15F02"/>
    <w:rsid w:val="00D15F70"/>
    <w:rsid w:val="00D15F8A"/>
    <w:rsid w:val="00D15FDB"/>
    <w:rsid w:val="00D15FDD"/>
    <w:rsid w:val="00D15FEF"/>
    <w:rsid w:val="00D16015"/>
    <w:rsid w:val="00D1602C"/>
    <w:rsid w:val="00D16061"/>
    <w:rsid w:val="00D1609D"/>
    <w:rsid w:val="00D160BD"/>
    <w:rsid w:val="00D160BE"/>
    <w:rsid w:val="00D160E0"/>
    <w:rsid w:val="00D160EB"/>
    <w:rsid w:val="00D160F3"/>
    <w:rsid w:val="00D160F8"/>
    <w:rsid w:val="00D16101"/>
    <w:rsid w:val="00D16169"/>
    <w:rsid w:val="00D161C4"/>
    <w:rsid w:val="00D161E5"/>
    <w:rsid w:val="00D16215"/>
    <w:rsid w:val="00D1623E"/>
    <w:rsid w:val="00D1629F"/>
    <w:rsid w:val="00D162D7"/>
    <w:rsid w:val="00D162EF"/>
    <w:rsid w:val="00D162F9"/>
    <w:rsid w:val="00D1631F"/>
    <w:rsid w:val="00D16398"/>
    <w:rsid w:val="00D163E8"/>
    <w:rsid w:val="00D16441"/>
    <w:rsid w:val="00D16477"/>
    <w:rsid w:val="00D164B9"/>
    <w:rsid w:val="00D164D1"/>
    <w:rsid w:val="00D16537"/>
    <w:rsid w:val="00D16593"/>
    <w:rsid w:val="00D1659F"/>
    <w:rsid w:val="00D165CD"/>
    <w:rsid w:val="00D165D9"/>
    <w:rsid w:val="00D1660A"/>
    <w:rsid w:val="00D16619"/>
    <w:rsid w:val="00D1661E"/>
    <w:rsid w:val="00D16638"/>
    <w:rsid w:val="00D166D0"/>
    <w:rsid w:val="00D166E7"/>
    <w:rsid w:val="00D16730"/>
    <w:rsid w:val="00D1676F"/>
    <w:rsid w:val="00D16775"/>
    <w:rsid w:val="00D167C2"/>
    <w:rsid w:val="00D167C6"/>
    <w:rsid w:val="00D1680A"/>
    <w:rsid w:val="00D1680E"/>
    <w:rsid w:val="00D1688A"/>
    <w:rsid w:val="00D168D0"/>
    <w:rsid w:val="00D168D6"/>
    <w:rsid w:val="00D1691B"/>
    <w:rsid w:val="00D1692D"/>
    <w:rsid w:val="00D1693A"/>
    <w:rsid w:val="00D169B3"/>
    <w:rsid w:val="00D16A01"/>
    <w:rsid w:val="00D16A3B"/>
    <w:rsid w:val="00D16A82"/>
    <w:rsid w:val="00D16AD6"/>
    <w:rsid w:val="00D16ADE"/>
    <w:rsid w:val="00D16AE1"/>
    <w:rsid w:val="00D16AEB"/>
    <w:rsid w:val="00D16B03"/>
    <w:rsid w:val="00D16B47"/>
    <w:rsid w:val="00D16B51"/>
    <w:rsid w:val="00D16B65"/>
    <w:rsid w:val="00D16B68"/>
    <w:rsid w:val="00D16BA4"/>
    <w:rsid w:val="00D16BBC"/>
    <w:rsid w:val="00D16BE4"/>
    <w:rsid w:val="00D16C0F"/>
    <w:rsid w:val="00D16C10"/>
    <w:rsid w:val="00D16C3E"/>
    <w:rsid w:val="00D16C5B"/>
    <w:rsid w:val="00D16D08"/>
    <w:rsid w:val="00D16D2A"/>
    <w:rsid w:val="00D16D42"/>
    <w:rsid w:val="00D16D7E"/>
    <w:rsid w:val="00D16D9C"/>
    <w:rsid w:val="00D16DD4"/>
    <w:rsid w:val="00D16DE0"/>
    <w:rsid w:val="00D16DFA"/>
    <w:rsid w:val="00D16E04"/>
    <w:rsid w:val="00D16E4D"/>
    <w:rsid w:val="00D16EB3"/>
    <w:rsid w:val="00D16EB9"/>
    <w:rsid w:val="00D16F3C"/>
    <w:rsid w:val="00D16F3D"/>
    <w:rsid w:val="00D16F46"/>
    <w:rsid w:val="00D16F72"/>
    <w:rsid w:val="00D16FAF"/>
    <w:rsid w:val="00D16FC9"/>
    <w:rsid w:val="00D1700B"/>
    <w:rsid w:val="00D1703D"/>
    <w:rsid w:val="00D1705B"/>
    <w:rsid w:val="00D17074"/>
    <w:rsid w:val="00D17102"/>
    <w:rsid w:val="00D17125"/>
    <w:rsid w:val="00D1714B"/>
    <w:rsid w:val="00D17184"/>
    <w:rsid w:val="00D171D4"/>
    <w:rsid w:val="00D171E0"/>
    <w:rsid w:val="00D17238"/>
    <w:rsid w:val="00D17243"/>
    <w:rsid w:val="00D17245"/>
    <w:rsid w:val="00D17271"/>
    <w:rsid w:val="00D172D3"/>
    <w:rsid w:val="00D172D6"/>
    <w:rsid w:val="00D17319"/>
    <w:rsid w:val="00D17383"/>
    <w:rsid w:val="00D173B3"/>
    <w:rsid w:val="00D1743D"/>
    <w:rsid w:val="00D1745E"/>
    <w:rsid w:val="00D174AE"/>
    <w:rsid w:val="00D174CF"/>
    <w:rsid w:val="00D17520"/>
    <w:rsid w:val="00D17568"/>
    <w:rsid w:val="00D1757D"/>
    <w:rsid w:val="00D17588"/>
    <w:rsid w:val="00D17590"/>
    <w:rsid w:val="00D175AA"/>
    <w:rsid w:val="00D175E3"/>
    <w:rsid w:val="00D1760B"/>
    <w:rsid w:val="00D17627"/>
    <w:rsid w:val="00D17685"/>
    <w:rsid w:val="00D176A0"/>
    <w:rsid w:val="00D17719"/>
    <w:rsid w:val="00D17720"/>
    <w:rsid w:val="00D1772C"/>
    <w:rsid w:val="00D1773E"/>
    <w:rsid w:val="00D17798"/>
    <w:rsid w:val="00D177A2"/>
    <w:rsid w:val="00D177C2"/>
    <w:rsid w:val="00D17835"/>
    <w:rsid w:val="00D17897"/>
    <w:rsid w:val="00D178B4"/>
    <w:rsid w:val="00D178DA"/>
    <w:rsid w:val="00D178EB"/>
    <w:rsid w:val="00D178F3"/>
    <w:rsid w:val="00D1796A"/>
    <w:rsid w:val="00D17987"/>
    <w:rsid w:val="00D179FC"/>
    <w:rsid w:val="00D17A24"/>
    <w:rsid w:val="00D17A26"/>
    <w:rsid w:val="00D17A49"/>
    <w:rsid w:val="00D17A8C"/>
    <w:rsid w:val="00D17A90"/>
    <w:rsid w:val="00D17AC6"/>
    <w:rsid w:val="00D17AE9"/>
    <w:rsid w:val="00D17B64"/>
    <w:rsid w:val="00D17B6E"/>
    <w:rsid w:val="00D17B78"/>
    <w:rsid w:val="00D17B7B"/>
    <w:rsid w:val="00D17B84"/>
    <w:rsid w:val="00D17BF5"/>
    <w:rsid w:val="00D17C2F"/>
    <w:rsid w:val="00D17C62"/>
    <w:rsid w:val="00D17CF0"/>
    <w:rsid w:val="00D17CFB"/>
    <w:rsid w:val="00D17D04"/>
    <w:rsid w:val="00D17D09"/>
    <w:rsid w:val="00D17D0E"/>
    <w:rsid w:val="00D17D4D"/>
    <w:rsid w:val="00D17D5B"/>
    <w:rsid w:val="00D17DA9"/>
    <w:rsid w:val="00D17DC2"/>
    <w:rsid w:val="00D17DEC"/>
    <w:rsid w:val="00D17DFD"/>
    <w:rsid w:val="00D17E0E"/>
    <w:rsid w:val="00D17E11"/>
    <w:rsid w:val="00D17E14"/>
    <w:rsid w:val="00D17E26"/>
    <w:rsid w:val="00D17E3B"/>
    <w:rsid w:val="00D17E51"/>
    <w:rsid w:val="00D17E98"/>
    <w:rsid w:val="00D17EC0"/>
    <w:rsid w:val="00D17EDC"/>
    <w:rsid w:val="00D17FA4"/>
    <w:rsid w:val="00D17FBC"/>
    <w:rsid w:val="00D17FC8"/>
    <w:rsid w:val="00D20000"/>
    <w:rsid w:val="00D20006"/>
    <w:rsid w:val="00D2000E"/>
    <w:rsid w:val="00D20041"/>
    <w:rsid w:val="00D2004D"/>
    <w:rsid w:val="00D20058"/>
    <w:rsid w:val="00D2006E"/>
    <w:rsid w:val="00D20075"/>
    <w:rsid w:val="00D200F0"/>
    <w:rsid w:val="00D2016F"/>
    <w:rsid w:val="00D20179"/>
    <w:rsid w:val="00D20181"/>
    <w:rsid w:val="00D201F9"/>
    <w:rsid w:val="00D20201"/>
    <w:rsid w:val="00D20266"/>
    <w:rsid w:val="00D20277"/>
    <w:rsid w:val="00D2027F"/>
    <w:rsid w:val="00D2028E"/>
    <w:rsid w:val="00D2029E"/>
    <w:rsid w:val="00D202A3"/>
    <w:rsid w:val="00D202A7"/>
    <w:rsid w:val="00D202CA"/>
    <w:rsid w:val="00D202DA"/>
    <w:rsid w:val="00D203BE"/>
    <w:rsid w:val="00D204BE"/>
    <w:rsid w:val="00D204C9"/>
    <w:rsid w:val="00D204F3"/>
    <w:rsid w:val="00D2050F"/>
    <w:rsid w:val="00D2052C"/>
    <w:rsid w:val="00D2058D"/>
    <w:rsid w:val="00D205EC"/>
    <w:rsid w:val="00D2061E"/>
    <w:rsid w:val="00D20620"/>
    <w:rsid w:val="00D20719"/>
    <w:rsid w:val="00D2077D"/>
    <w:rsid w:val="00D2079C"/>
    <w:rsid w:val="00D207A5"/>
    <w:rsid w:val="00D20872"/>
    <w:rsid w:val="00D20876"/>
    <w:rsid w:val="00D208BB"/>
    <w:rsid w:val="00D208E7"/>
    <w:rsid w:val="00D2091A"/>
    <w:rsid w:val="00D20933"/>
    <w:rsid w:val="00D2094E"/>
    <w:rsid w:val="00D20951"/>
    <w:rsid w:val="00D20963"/>
    <w:rsid w:val="00D20984"/>
    <w:rsid w:val="00D209CC"/>
    <w:rsid w:val="00D20A16"/>
    <w:rsid w:val="00D20A34"/>
    <w:rsid w:val="00D20A98"/>
    <w:rsid w:val="00D20AF3"/>
    <w:rsid w:val="00D20B00"/>
    <w:rsid w:val="00D20B3E"/>
    <w:rsid w:val="00D20B69"/>
    <w:rsid w:val="00D20C0E"/>
    <w:rsid w:val="00D20C20"/>
    <w:rsid w:val="00D20C4E"/>
    <w:rsid w:val="00D20CD4"/>
    <w:rsid w:val="00D20CFD"/>
    <w:rsid w:val="00D20D04"/>
    <w:rsid w:val="00D20D0C"/>
    <w:rsid w:val="00D20D2F"/>
    <w:rsid w:val="00D20D73"/>
    <w:rsid w:val="00D20DA0"/>
    <w:rsid w:val="00D20DA3"/>
    <w:rsid w:val="00D20DBB"/>
    <w:rsid w:val="00D20DD1"/>
    <w:rsid w:val="00D20DD6"/>
    <w:rsid w:val="00D20E09"/>
    <w:rsid w:val="00D20E5B"/>
    <w:rsid w:val="00D20E68"/>
    <w:rsid w:val="00D20E8B"/>
    <w:rsid w:val="00D20E94"/>
    <w:rsid w:val="00D20EB0"/>
    <w:rsid w:val="00D20EC5"/>
    <w:rsid w:val="00D20EF1"/>
    <w:rsid w:val="00D20F60"/>
    <w:rsid w:val="00D21037"/>
    <w:rsid w:val="00D21043"/>
    <w:rsid w:val="00D2105B"/>
    <w:rsid w:val="00D21067"/>
    <w:rsid w:val="00D21075"/>
    <w:rsid w:val="00D2108E"/>
    <w:rsid w:val="00D210A5"/>
    <w:rsid w:val="00D21101"/>
    <w:rsid w:val="00D21126"/>
    <w:rsid w:val="00D21164"/>
    <w:rsid w:val="00D211CC"/>
    <w:rsid w:val="00D21209"/>
    <w:rsid w:val="00D21245"/>
    <w:rsid w:val="00D2129D"/>
    <w:rsid w:val="00D212BD"/>
    <w:rsid w:val="00D212E1"/>
    <w:rsid w:val="00D212F5"/>
    <w:rsid w:val="00D21305"/>
    <w:rsid w:val="00D21346"/>
    <w:rsid w:val="00D2134D"/>
    <w:rsid w:val="00D2138E"/>
    <w:rsid w:val="00D2139F"/>
    <w:rsid w:val="00D2140E"/>
    <w:rsid w:val="00D21412"/>
    <w:rsid w:val="00D21447"/>
    <w:rsid w:val="00D2144E"/>
    <w:rsid w:val="00D21475"/>
    <w:rsid w:val="00D214A2"/>
    <w:rsid w:val="00D214C3"/>
    <w:rsid w:val="00D214CC"/>
    <w:rsid w:val="00D214E3"/>
    <w:rsid w:val="00D2151F"/>
    <w:rsid w:val="00D2154D"/>
    <w:rsid w:val="00D2157D"/>
    <w:rsid w:val="00D215BA"/>
    <w:rsid w:val="00D215D7"/>
    <w:rsid w:val="00D215E4"/>
    <w:rsid w:val="00D215ED"/>
    <w:rsid w:val="00D21600"/>
    <w:rsid w:val="00D2166C"/>
    <w:rsid w:val="00D216DD"/>
    <w:rsid w:val="00D216F3"/>
    <w:rsid w:val="00D21733"/>
    <w:rsid w:val="00D21740"/>
    <w:rsid w:val="00D21741"/>
    <w:rsid w:val="00D21799"/>
    <w:rsid w:val="00D2179D"/>
    <w:rsid w:val="00D21822"/>
    <w:rsid w:val="00D21832"/>
    <w:rsid w:val="00D21889"/>
    <w:rsid w:val="00D218B0"/>
    <w:rsid w:val="00D218F9"/>
    <w:rsid w:val="00D21923"/>
    <w:rsid w:val="00D21930"/>
    <w:rsid w:val="00D2196F"/>
    <w:rsid w:val="00D21999"/>
    <w:rsid w:val="00D219DA"/>
    <w:rsid w:val="00D219FA"/>
    <w:rsid w:val="00D21A43"/>
    <w:rsid w:val="00D21A4A"/>
    <w:rsid w:val="00D21A5E"/>
    <w:rsid w:val="00D21A6A"/>
    <w:rsid w:val="00D21A6E"/>
    <w:rsid w:val="00D21AB0"/>
    <w:rsid w:val="00D21AD8"/>
    <w:rsid w:val="00D21AF8"/>
    <w:rsid w:val="00D21B40"/>
    <w:rsid w:val="00D21B64"/>
    <w:rsid w:val="00D21B72"/>
    <w:rsid w:val="00D21BA1"/>
    <w:rsid w:val="00D21BA8"/>
    <w:rsid w:val="00D21BF9"/>
    <w:rsid w:val="00D21C22"/>
    <w:rsid w:val="00D21C23"/>
    <w:rsid w:val="00D21C24"/>
    <w:rsid w:val="00D21C31"/>
    <w:rsid w:val="00D21C37"/>
    <w:rsid w:val="00D21CBA"/>
    <w:rsid w:val="00D21CDA"/>
    <w:rsid w:val="00D21D2B"/>
    <w:rsid w:val="00D21D7C"/>
    <w:rsid w:val="00D21DDA"/>
    <w:rsid w:val="00D21DE9"/>
    <w:rsid w:val="00D21E19"/>
    <w:rsid w:val="00D21E4F"/>
    <w:rsid w:val="00D21E5D"/>
    <w:rsid w:val="00D21E98"/>
    <w:rsid w:val="00D21EC7"/>
    <w:rsid w:val="00D21EC9"/>
    <w:rsid w:val="00D21F0D"/>
    <w:rsid w:val="00D21F62"/>
    <w:rsid w:val="00D21FA8"/>
    <w:rsid w:val="00D22017"/>
    <w:rsid w:val="00D2202A"/>
    <w:rsid w:val="00D22036"/>
    <w:rsid w:val="00D2203E"/>
    <w:rsid w:val="00D220B6"/>
    <w:rsid w:val="00D220BF"/>
    <w:rsid w:val="00D2215A"/>
    <w:rsid w:val="00D221F5"/>
    <w:rsid w:val="00D2223C"/>
    <w:rsid w:val="00D222A3"/>
    <w:rsid w:val="00D222C0"/>
    <w:rsid w:val="00D22384"/>
    <w:rsid w:val="00D223F2"/>
    <w:rsid w:val="00D2241E"/>
    <w:rsid w:val="00D2244F"/>
    <w:rsid w:val="00D22476"/>
    <w:rsid w:val="00D224B4"/>
    <w:rsid w:val="00D224F7"/>
    <w:rsid w:val="00D22521"/>
    <w:rsid w:val="00D22541"/>
    <w:rsid w:val="00D22580"/>
    <w:rsid w:val="00D22592"/>
    <w:rsid w:val="00D2259C"/>
    <w:rsid w:val="00D225E4"/>
    <w:rsid w:val="00D22626"/>
    <w:rsid w:val="00D2262B"/>
    <w:rsid w:val="00D22639"/>
    <w:rsid w:val="00D2263B"/>
    <w:rsid w:val="00D22662"/>
    <w:rsid w:val="00D22672"/>
    <w:rsid w:val="00D22685"/>
    <w:rsid w:val="00D226A9"/>
    <w:rsid w:val="00D226C7"/>
    <w:rsid w:val="00D22711"/>
    <w:rsid w:val="00D22762"/>
    <w:rsid w:val="00D22769"/>
    <w:rsid w:val="00D227AA"/>
    <w:rsid w:val="00D227AB"/>
    <w:rsid w:val="00D227C1"/>
    <w:rsid w:val="00D22812"/>
    <w:rsid w:val="00D2281F"/>
    <w:rsid w:val="00D2282D"/>
    <w:rsid w:val="00D22844"/>
    <w:rsid w:val="00D2285C"/>
    <w:rsid w:val="00D22898"/>
    <w:rsid w:val="00D2289F"/>
    <w:rsid w:val="00D228F7"/>
    <w:rsid w:val="00D22915"/>
    <w:rsid w:val="00D22916"/>
    <w:rsid w:val="00D2293B"/>
    <w:rsid w:val="00D22940"/>
    <w:rsid w:val="00D22943"/>
    <w:rsid w:val="00D22960"/>
    <w:rsid w:val="00D2298E"/>
    <w:rsid w:val="00D22999"/>
    <w:rsid w:val="00D229C7"/>
    <w:rsid w:val="00D229CD"/>
    <w:rsid w:val="00D22A18"/>
    <w:rsid w:val="00D22A1A"/>
    <w:rsid w:val="00D22A37"/>
    <w:rsid w:val="00D22A3B"/>
    <w:rsid w:val="00D22A9B"/>
    <w:rsid w:val="00D22AD1"/>
    <w:rsid w:val="00D22B10"/>
    <w:rsid w:val="00D22B17"/>
    <w:rsid w:val="00D22B1D"/>
    <w:rsid w:val="00D22B44"/>
    <w:rsid w:val="00D22B84"/>
    <w:rsid w:val="00D22B8F"/>
    <w:rsid w:val="00D22BD7"/>
    <w:rsid w:val="00D22BEF"/>
    <w:rsid w:val="00D22C96"/>
    <w:rsid w:val="00D22CA9"/>
    <w:rsid w:val="00D22CB1"/>
    <w:rsid w:val="00D22CD6"/>
    <w:rsid w:val="00D22CF6"/>
    <w:rsid w:val="00D22CFE"/>
    <w:rsid w:val="00D22D0D"/>
    <w:rsid w:val="00D22D41"/>
    <w:rsid w:val="00D22D8D"/>
    <w:rsid w:val="00D22D96"/>
    <w:rsid w:val="00D22DAA"/>
    <w:rsid w:val="00D22DB3"/>
    <w:rsid w:val="00D22DD7"/>
    <w:rsid w:val="00D22DDA"/>
    <w:rsid w:val="00D22E19"/>
    <w:rsid w:val="00D22E35"/>
    <w:rsid w:val="00D22E45"/>
    <w:rsid w:val="00D22E4D"/>
    <w:rsid w:val="00D22E73"/>
    <w:rsid w:val="00D22E8A"/>
    <w:rsid w:val="00D22E9F"/>
    <w:rsid w:val="00D22EA8"/>
    <w:rsid w:val="00D22ECD"/>
    <w:rsid w:val="00D22F59"/>
    <w:rsid w:val="00D22F64"/>
    <w:rsid w:val="00D22FF5"/>
    <w:rsid w:val="00D23027"/>
    <w:rsid w:val="00D23077"/>
    <w:rsid w:val="00D23097"/>
    <w:rsid w:val="00D230C2"/>
    <w:rsid w:val="00D230F7"/>
    <w:rsid w:val="00D23131"/>
    <w:rsid w:val="00D23172"/>
    <w:rsid w:val="00D231DE"/>
    <w:rsid w:val="00D23204"/>
    <w:rsid w:val="00D23208"/>
    <w:rsid w:val="00D2326F"/>
    <w:rsid w:val="00D2327F"/>
    <w:rsid w:val="00D232A7"/>
    <w:rsid w:val="00D232BC"/>
    <w:rsid w:val="00D232D2"/>
    <w:rsid w:val="00D23372"/>
    <w:rsid w:val="00D23382"/>
    <w:rsid w:val="00D23399"/>
    <w:rsid w:val="00D233B0"/>
    <w:rsid w:val="00D233E2"/>
    <w:rsid w:val="00D2341B"/>
    <w:rsid w:val="00D234A6"/>
    <w:rsid w:val="00D234AF"/>
    <w:rsid w:val="00D234B3"/>
    <w:rsid w:val="00D234BB"/>
    <w:rsid w:val="00D234F6"/>
    <w:rsid w:val="00D2351D"/>
    <w:rsid w:val="00D23596"/>
    <w:rsid w:val="00D235A5"/>
    <w:rsid w:val="00D235EA"/>
    <w:rsid w:val="00D236F3"/>
    <w:rsid w:val="00D23709"/>
    <w:rsid w:val="00D2372C"/>
    <w:rsid w:val="00D23733"/>
    <w:rsid w:val="00D237BF"/>
    <w:rsid w:val="00D237CA"/>
    <w:rsid w:val="00D2382D"/>
    <w:rsid w:val="00D23862"/>
    <w:rsid w:val="00D2387A"/>
    <w:rsid w:val="00D2387E"/>
    <w:rsid w:val="00D238BF"/>
    <w:rsid w:val="00D238C3"/>
    <w:rsid w:val="00D23900"/>
    <w:rsid w:val="00D23903"/>
    <w:rsid w:val="00D23988"/>
    <w:rsid w:val="00D239F9"/>
    <w:rsid w:val="00D23A01"/>
    <w:rsid w:val="00D23A23"/>
    <w:rsid w:val="00D23A59"/>
    <w:rsid w:val="00D23A67"/>
    <w:rsid w:val="00D23A7C"/>
    <w:rsid w:val="00D23AC3"/>
    <w:rsid w:val="00D23ACE"/>
    <w:rsid w:val="00D23B7E"/>
    <w:rsid w:val="00D23BB8"/>
    <w:rsid w:val="00D23BBB"/>
    <w:rsid w:val="00D23C2E"/>
    <w:rsid w:val="00D23C31"/>
    <w:rsid w:val="00D23C44"/>
    <w:rsid w:val="00D23C77"/>
    <w:rsid w:val="00D23CB6"/>
    <w:rsid w:val="00D23CC5"/>
    <w:rsid w:val="00D23D41"/>
    <w:rsid w:val="00D23D4B"/>
    <w:rsid w:val="00D23D6E"/>
    <w:rsid w:val="00D23D7A"/>
    <w:rsid w:val="00D23DCD"/>
    <w:rsid w:val="00D23DDE"/>
    <w:rsid w:val="00D23DFE"/>
    <w:rsid w:val="00D23E84"/>
    <w:rsid w:val="00D23F18"/>
    <w:rsid w:val="00D23F1A"/>
    <w:rsid w:val="00D23F47"/>
    <w:rsid w:val="00D23F5E"/>
    <w:rsid w:val="00D24031"/>
    <w:rsid w:val="00D2403E"/>
    <w:rsid w:val="00D24045"/>
    <w:rsid w:val="00D24051"/>
    <w:rsid w:val="00D24077"/>
    <w:rsid w:val="00D24087"/>
    <w:rsid w:val="00D24102"/>
    <w:rsid w:val="00D24142"/>
    <w:rsid w:val="00D24180"/>
    <w:rsid w:val="00D2419B"/>
    <w:rsid w:val="00D241A2"/>
    <w:rsid w:val="00D241A7"/>
    <w:rsid w:val="00D241D8"/>
    <w:rsid w:val="00D24287"/>
    <w:rsid w:val="00D242AE"/>
    <w:rsid w:val="00D242F5"/>
    <w:rsid w:val="00D24368"/>
    <w:rsid w:val="00D243FB"/>
    <w:rsid w:val="00D24447"/>
    <w:rsid w:val="00D2444E"/>
    <w:rsid w:val="00D2446D"/>
    <w:rsid w:val="00D245BB"/>
    <w:rsid w:val="00D245CD"/>
    <w:rsid w:val="00D245DE"/>
    <w:rsid w:val="00D24601"/>
    <w:rsid w:val="00D24626"/>
    <w:rsid w:val="00D24631"/>
    <w:rsid w:val="00D2465D"/>
    <w:rsid w:val="00D24683"/>
    <w:rsid w:val="00D24699"/>
    <w:rsid w:val="00D246AF"/>
    <w:rsid w:val="00D246C4"/>
    <w:rsid w:val="00D24710"/>
    <w:rsid w:val="00D24716"/>
    <w:rsid w:val="00D2476A"/>
    <w:rsid w:val="00D24793"/>
    <w:rsid w:val="00D2479A"/>
    <w:rsid w:val="00D2479F"/>
    <w:rsid w:val="00D24809"/>
    <w:rsid w:val="00D2482F"/>
    <w:rsid w:val="00D24832"/>
    <w:rsid w:val="00D24838"/>
    <w:rsid w:val="00D2489F"/>
    <w:rsid w:val="00D248B7"/>
    <w:rsid w:val="00D248D0"/>
    <w:rsid w:val="00D248E0"/>
    <w:rsid w:val="00D248F3"/>
    <w:rsid w:val="00D24907"/>
    <w:rsid w:val="00D2491C"/>
    <w:rsid w:val="00D24932"/>
    <w:rsid w:val="00D2497D"/>
    <w:rsid w:val="00D249CC"/>
    <w:rsid w:val="00D249E3"/>
    <w:rsid w:val="00D24A00"/>
    <w:rsid w:val="00D24A79"/>
    <w:rsid w:val="00D24B32"/>
    <w:rsid w:val="00D24B3E"/>
    <w:rsid w:val="00D24BF1"/>
    <w:rsid w:val="00D24C2C"/>
    <w:rsid w:val="00D24CF5"/>
    <w:rsid w:val="00D24CFA"/>
    <w:rsid w:val="00D24D1C"/>
    <w:rsid w:val="00D24DAE"/>
    <w:rsid w:val="00D24E02"/>
    <w:rsid w:val="00D24E1F"/>
    <w:rsid w:val="00D24E34"/>
    <w:rsid w:val="00D24E47"/>
    <w:rsid w:val="00D24E6B"/>
    <w:rsid w:val="00D24E8E"/>
    <w:rsid w:val="00D24E9A"/>
    <w:rsid w:val="00D24F56"/>
    <w:rsid w:val="00D24F60"/>
    <w:rsid w:val="00D24F76"/>
    <w:rsid w:val="00D24FA9"/>
    <w:rsid w:val="00D25004"/>
    <w:rsid w:val="00D2506F"/>
    <w:rsid w:val="00D25084"/>
    <w:rsid w:val="00D250B1"/>
    <w:rsid w:val="00D250CE"/>
    <w:rsid w:val="00D250D0"/>
    <w:rsid w:val="00D250DD"/>
    <w:rsid w:val="00D250F8"/>
    <w:rsid w:val="00D250FD"/>
    <w:rsid w:val="00D251D8"/>
    <w:rsid w:val="00D25245"/>
    <w:rsid w:val="00D2525B"/>
    <w:rsid w:val="00D25265"/>
    <w:rsid w:val="00D252BE"/>
    <w:rsid w:val="00D253BE"/>
    <w:rsid w:val="00D25407"/>
    <w:rsid w:val="00D2542F"/>
    <w:rsid w:val="00D25435"/>
    <w:rsid w:val="00D25439"/>
    <w:rsid w:val="00D25449"/>
    <w:rsid w:val="00D2547D"/>
    <w:rsid w:val="00D254E1"/>
    <w:rsid w:val="00D2555F"/>
    <w:rsid w:val="00D25569"/>
    <w:rsid w:val="00D25591"/>
    <w:rsid w:val="00D25598"/>
    <w:rsid w:val="00D2562C"/>
    <w:rsid w:val="00D25634"/>
    <w:rsid w:val="00D256BA"/>
    <w:rsid w:val="00D256F3"/>
    <w:rsid w:val="00D2570D"/>
    <w:rsid w:val="00D25747"/>
    <w:rsid w:val="00D2579D"/>
    <w:rsid w:val="00D257DF"/>
    <w:rsid w:val="00D257F3"/>
    <w:rsid w:val="00D25803"/>
    <w:rsid w:val="00D25814"/>
    <w:rsid w:val="00D25833"/>
    <w:rsid w:val="00D2583A"/>
    <w:rsid w:val="00D25842"/>
    <w:rsid w:val="00D2587D"/>
    <w:rsid w:val="00D25886"/>
    <w:rsid w:val="00D258E6"/>
    <w:rsid w:val="00D258E7"/>
    <w:rsid w:val="00D2592B"/>
    <w:rsid w:val="00D25985"/>
    <w:rsid w:val="00D259A5"/>
    <w:rsid w:val="00D259AE"/>
    <w:rsid w:val="00D259BA"/>
    <w:rsid w:val="00D25A54"/>
    <w:rsid w:val="00D25A8B"/>
    <w:rsid w:val="00D25A93"/>
    <w:rsid w:val="00D25B1E"/>
    <w:rsid w:val="00D25B26"/>
    <w:rsid w:val="00D25B32"/>
    <w:rsid w:val="00D25BFA"/>
    <w:rsid w:val="00D25C38"/>
    <w:rsid w:val="00D25C95"/>
    <w:rsid w:val="00D25C9F"/>
    <w:rsid w:val="00D25CDE"/>
    <w:rsid w:val="00D25D09"/>
    <w:rsid w:val="00D25D53"/>
    <w:rsid w:val="00D25D7A"/>
    <w:rsid w:val="00D25D9B"/>
    <w:rsid w:val="00D25DB6"/>
    <w:rsid w:val="00D25E3D"/>
    <w:rsid w:val="00D25E49"/>
    <w:rsid w:val="00D25E54"/>
    <w:rsid w:val="00D25E69"/>
    <w:rsid w:val="00D25E71"/>
    <w:rsid w:val="00D25E88"/>
    <w:rsid w:val="00D25EB0"/>
    <w:rsid w:val="00D25EF2"/>
    <w:rsid w:val="00D25EFE"/>
    <w:rsid w:val="00D25F01"/>
    <w:rsid w:val="00D25F21"/>
    <w:rsid w:val="00D25F73"/>
    <w:rsid w:val="00D25F77"/>
    <w:rsid w:val="00D25F7C"/>
    <w:rsid w:val="00D25F9E"/>
    <w:rsid w:val="00D25FBD"/>
    <w:rsid w:val="00D25FEB"/>
    <w:rsid w:val="00D26022"/>
    <w:rsid w:val="00D260A6"/>
    <w:rsid w:val="00D26126"/>
    <w:rsid w:val="00D2612A"/>
    <w:rsid w:val="00D26134"/>
    <w:rsid w:val="00D26188"/>
    <w:rsid w:val="00D26199"/>
    <w:rsid w:val="00D2620B"/>
    <w:rsid w:val="00D2622D"/>
    <w:rsid w:val="00D262B2"/>
    <w:rsid w:val="00D262E9"/>
    <w:rsid w:val="00D26308"/>
    <w:rsid w:val="00D26312"/>
    <w:rsid w:val="00D2631D"/>
    <w:rsid w:val="00D26342"/>
    <w:rsid w:val="00D26379"/>
    <w:rsid w:val="00D2639D"/>
    <w:rsid w:val="00D263C7"/>
    <w:rsid w:val="00D263CA"/>
    <w:rsid w:val="00D263CF"/>
    <w:rsid w:val="00D26415"/>
    <w:rsid w:val="00D26490"/>
    <w:rsid w:val="00D26510"/>
    <w:rsid w:val="00D26555"/>
    <w:rsid w:val="00D2656E"/>
    <w:rsid w:val="00D265A1"/>
    <w:rsid w:val="00D265E4"/>
    <w:rsid w:val="00D265F5"/>
    <w:rsid w:val="00D26676"/>
    <w:rsid w:val="00D2667A"/>
    <w:rsid w:val="00D2669F"/>
    <w:rsid w:val="00D266A7"/>
    <w:rsid w:val="00D266AF"/>
    <w:rsid w:val="00D266D9"/>
    <w:rsid w:val="00D266FC"/>
    <w:rsid w:val="00D2674C"/>
    <w:rsid w:val="00D26766"/>
    <w:rsid w:val="00D2676A"/>
    <w:rsid w:val="00D2676D"/>
    <w:rsid w:val="00D26789"/>
    <w:rsid w:val="00D267AC"/>
    <w:rsid w:val="00D267E5"/>
    <w:rsid w:val="00D2686D"/>
    <w:rsid w:val="00D26881"/>
    <w:rsid w:val="00D268C9"/>
    <w:rsid w:val="00D268CB"/>
    <w:rsid w:val="00D2694E"/>
    <w:rsid w:val="00D2695A"/>
    <w:rsid w:val="00D26A0D"/>
    <w:rsid w:val="00D26A20"/>
    <w:rsid w:val="00D26A25"/>
    <w:rsid w:val="00D26A50"/>
    <w:rsid w:val="00D26A59"/>
    <w:rsid w:val="00D26A71"/>
    <w:rsid w:val="00D26A84"/>
    <w:rsid w:val="00D26AA1"/>
    <w:rsid w:val="00D26AC5"/>
    <w:rsid w:val="00D26AC6"/>
    <w:rsid w:val="00D26ACF"/>
    <w:rsid w:val="00D26AD3"/>
    <w:rsid w:val="00D26B0C"/>
    <w:rsid w:val="00D26B32"/>
    <w:rsid w:val="00D26C00"/>
    <w:rsid w:val="00D26C18"/>
    <w:rsid w:val="00D26C35"/>
    <w:rsid w:val="00D26C42"/>
    <w:rsid w:val="00D26C4F"/>
    <w:rsid w:val="00D26C6F"/>
    <w:rsid w:val="00D26CB9"/>
    <w:rsid w:val="00D26CC8"/>
    <w:rsid w:val="00D26CD6"/>
    <w:rsid w:val="00D26D2E"/>
    <w:rsid w:val="00D26D7E"/>
    <w:rsid w:val="00D26DB4"/>
    <w:rsid w:val="00D26DEC"/>
    <w:rsid w:val="00D26E11"/>
    <w:rsid w:val="00D26E15"/>
    <w:rsid w:val="00D26E56"/>
    <w:rsid w:val="00D26E5B"/>
    <w:rsid w:val="00D26E99"/>
    <w:rsid w:val="00D26EAF"/>
    <w:rsid w:val="00D26EBC"/>
    <w:rsid w:val="00D26EF7"/>
    <w:rsid w:val="00D26F22"/>
    <w:rsid w:val="00D26FBA"/>
    <w:rsid w:val="00D27034"/>
    <w:rsid w:val="00D27037"/>
    <w:rsid w:val="00D2703F"/>
    <w:rsid w:val="00D27050"/>
    <w:rsid w:val="00D2706F"/>
    <w:rsid w:val="00D270F1"/>
    <w:rsid w:val="00D27160"/>
    <w:rsid w:val="00D27173"/>
    <w:rsid w:val="00D27188"/>
    <w:rsid w:val="00D271A4"/>
    <w:rsid w:val="00D271CB"/>
    <w:rsid w:val="00D27200"/>
    <w:rsid w:val="00D27201"/>
    <w:rsid w:val="00D272BC"/>
    <w:rsid w:val="00D27319"/>
    <w:rsid w:val="00D27385"/>
    <w:rsid w:val="00D273A7"/>
    <w:rsid w:val="00D273C4"/>
    <w:rsid w:val="00D273CC"/>
    <w:rsid w:val="00D273F6"/>
    <w:rsid w:val="00D27441"/>
    <w:rsid w:val="00D27444"/>
    <w:rsid w:val="00D2748F"/>
    <w:rsid w:val="00D274BD"/>
    <w:rsid w:val="00D274C7"/>
    <w:rsid w:val="00D274EA"/>
    <w:rsid w:val="00D274FE"/>
    <w:rsid w:val="00D2750B"/>
    <w:rsid w:val="00D27594"/>
    <w:rsid w:val="00D275F0"/>
    <w:rsid w:val="00D275F6"/>
    <w:rsid w:val="00D27600"/>
    <w:rsid w:val="00D27637"/>
    <w:rsid w:val="00D2763E"/>
    <w:rsid w:val="00D2766D"/>
    <w:rsid w:val="00D27671"/>
    <w:rsid w:val="00D27676"/>
    <w:rsid w:val="00D276A2"/>
    <w:rsid w:val="00D276B5"/>
    <w:rsid w:val="00D276D0"/>
    <w:rsid w:val="00D276D4"/>
    <w:rsid w:val="00D2779C"/>
    <w:rsid w:val="00D277A7"/>
    <w:rsid w:val="00D27808"/>
    <w:rsid w:val="00D2783B"/>
    <w:rsid w:val="00D2784F"/>
    <w:rsid w:val="00D2785F"/>
    <w:rsid w:val="00D2786F"/>
    <w:rsid w:val="00D27888"/>
    <w:rsid w:val="00D278BD"/>
    <w:rsid w:val="00D278FD"/>
    <w:rsid w:val="00D27929"/>
    <w:rsid w:val="00D27940"/>
    <w:rsid w:val="00D2798E"/>
    <w:rsid w:val="00D27A13"/>
    <w:rsid w:val="00D27A28"/>
    <w:rsid w:val="00D27A36"/>
    <w:rsid w:val="00D27A4E"/>
    <w:rsid w:val="00D27A62"/>
    <w:rsid w:val="00D27A75"/>
    <w:rsid w:val="00D27B14"/>
    <w:rsid w:val="00D27B2B"/>
    <w:rsid w:val="00D27B34"/>
    <w:rsid w:val="00D27B3D"/>
    <w:rsid w:val="00D27BB5"/>
    <w:rsid w:val="00D27BD5"/>
    <w:rsid w:val="00D27C06"/>
    <w:rsid w:val="00D27C0D"/>
    <w:rsid w:val="00D27C52"/>
    <w:rsid w:val="00D27C58"/>
    <w:rsid w:val="00D27C83"/>
    <w:rsid w:val="00D27CD2"/>
    <w:rsid w:val="00D27CDD"/>
    <w:rsid w:val="00D27D30"/>
    <w:rsid w:val="00D27D37"/>
    <w:rsid w:val="00D27D4B"/>
    <w:rsid w:val="00D27D82"/>
    <w:rsid w:val="00D27DCC"/>
    <w:rsid w:val="00D27DE4"/>
    <w:rsid w:val="00D27E05"/>
    <w:rsid w:val="00D27E35"/>
    <w:rsid w:val="00D27E52"/>
    <w:rsid w:val="00D27EED"/>
    <w:rsid w:val="00D27F89"/>
    <w:rsid w:val="00D27F9B"/>
    <w:rsid w:val="00D27FA1"/>
    <w:rsid w:val="00D27FFD"/>
    <w:rsid w:val="00D30048"/>
    <w:rsid w:val="00D30057"/>
    <w:rsid w:val="00D30062"/>
    <w:rsid w:val="00D30075"/>
    <w:rsid w:val="00D30077"/>
    <w:rsid w:val="00D3012D"/>
    <w:rsid w:val="00D3015C"/>
    <w:rsid w:val="00D30171"/>
    <w:rsid w:val="00D30192"/>
    <w:rsid w:val="00D301B6"/>
    <w:rsid w:val="00D301BA"/>
    <w:rsid w:val="00D301D4"/>
    <w:rsid w:val="00D301DA"/>
    <w:rsid w:val="00D301E4"/>
    <w:rsid w:val="00D301EF"/>
    <w:rsid w:val="00D3028D"/>
    <w:rsid w:val="00D302A1"/>
    <w:rsid w:val="00D3030F"/>
    <w:rsid w:val="00D3037D"/>
    <w:rsid w:val="00D30437"/>
    <w:rsid w:val="00D3044A"/>
    <w:rsid w:val="00D30477"/>
    <w:rsid w:val="00D30499"/>
    <w:rsid w:val="00D304DA"/>
    <w:rsid w:val="00D30507"/>
    <w:rsid w:val="00D30553"/>
    <w:rsid w:val="00D3057C"/>
    <w:rsid w:val="00D3057D"/>
    <w:rsid w:val="00D305A6"/>
    <w:rsid w:val="00D305D5"/>
    <w:rsid w:val="00D305FF"/>
    <w:rsid w:val="00D30649"/>
    <w:rsid w:val="00D3065D"/>
    <w:rsid w:val="00D30690"/>
    <w:rsid w:val="00D3069D"/>
    <w:rsid w:val="00D306F9"/>
    <w:rsid w:val="00D30750"/>
    <w:rsid w:val="00D30757"/>
    <w:rsid w:val="00D30794"/>
    <w:rsid w:val="00D307C2"/>
    <w:rsid w:val="00D307FA"/>
    <w:rsid w:val="00D3082B"/>
    <w:rsid w:val="00D30842"/>
    <w:rsid w:val="00D30861"/>
    <w:rsid w:val="00D3086C"/>
    <w:rsid w:val="00D308C7"/>
    <w:rsid w:val="00D30911"/>
    <w:rsid w:val="00D30914"/>
    <w:rsid w:val="00D30915"/>
    <w:rsid w:val="00D30947"/>
    <w:rsid w:val="00D30971"/>
    <w:rsid w:val="00D309A8"/>
    <w:rsid w:val="00D309CE"/>
    <w:rsid w:val="00D309E7"/>
    <w:rsid w:val="00D30AB1"/>
    <w:rsid w:val="00D30AB9"/>
    <w:rsid w:val="00D30B32"/>
    <w:rsid w:val="00D30B3D"/>
    <w:rsid w:val="00D30B4C"/>
    <w:rsid w:val="00D30BC6"/>
    <w:rsid w:val="00D30BE0"/>
    <w:rsid w:val="00D30BF4"/>
    <w:rsid w:val="00D30BF5"/>
    <w:rsid w:val="00D30C72"/>
    <w:rsid w:val="00D30CD1"/>
    <w:rsid w:val="00D30CE9"/>
    <w:rsid w:val="00D30CEB"/>
    <w:rsid w:val="00D30D00"/>
    <w:rsid w:val="00D30D3E"/>
    <w:rsid w:val="00D30D59"/>
    <w:rsid w:val="00D30D8C"/>
    <w:rsid w:val="00D30DC9"/>
    <w:rsid w:val="00D30DD9"/>
    <w:rsid w:val="00D30E11"/>
    <w:rsid w:val="00D30E37"/>
    <w:rsid w:val="00D30E98"/>
    <w:rsid w:val="00D30ED0"/>
    <w:rsid w:val="00D30EEC"/>
    <w:rsid w:val="00D30EF7"/>
    <w:rsid w:val="00D30F0F"/>
    <w:rsid w:val="00D31002"/>
    <w:rsid w:val="00D3101F"/>
    <w:rsid w:val="00D31051"/>
    <w:rsid w:val="00D31054"/>
    <w:rsid w:val="00D31069"/>
    <w:rsid w:val="00D31095"/>
    <w:rsid w:val="00D31099"/>
    <w:rsid w:val="00D310AE"/>
    <w:rsid w:val="00D310B0"/>
    <w:rsid w:val="00D31102"/>
    <w:rsid w:val="00D3113A"/>
    <w:rsid w:val="00D3116B"/>
    <w:rsid w:val="00D311B8"/>
    <w:rsid w:val="00D311C6"/>
    <w:rsid w:val="00D31205"/>
    <w:rsid w:val="00D31229"/>
    <w:rsid w:val="00D3125C"/>
    <w:rsid w:val="00D312AD"/>
    <w:rsid w:val="00D312B0"/>
    <w:rsid w:val="00D312B3"/>
    <w:rsid w:val="00D312BD"/>
    <w:rsid w:val="00D312CA"/>
    <w:rsid w:val="00D312EA"/>
    <w:rsid w:val="00D31312"/>
    <w:rsid w:val="00D31316"/>
    <w:rsid w:val="00D3133E"/>
    <w:rsid w:val="00D31350"/>
    <w:rsid w:val="00D3136C"/>
    <w:rsid w:val="00D31392"/>
    <w:rsid w:val="00D313A9"/>
    <w:rsid w:val="00D313B2"/>
    <w:rsid w:val="00D313DF"/>
    <w:rsid w:val="00D313E6"/>
    <w:rsid w:val="00D313FA"/>
    <w:rsid w:val="00D31402"/>
    <w:rsid w:val="00D3140F"/>
    <w:rsid w:val="00D3146E"/>
    <w:rsid w:val="00D31484"/>
    <w:rsid w:val="00D314A3"/>
    <w:rsid w:val="00D31508"/>
    <w:rsid w:val="00D31556"/>
    <w:rsid w:val="00D31592"/>
    <w:rsid w:val="00D3159D"/>
    <w:rsid w:val="00D315DB"/>
    <w:rsid w:val="00D31619"/>
    <w:rsid w:val="00D31620"/>
    <w:rsid w:val="00D31626"/>
    <w:rsid w:val="00D31669"/>
    <w:rsid w:val="00D3167A"/>
    <w:rsid w:val="00D3171A"/>
    <w:rsid w:val="00D31724"/>
    <w:rsid w:val="00D31726"/>
    <w:rsid w:val="00D3172F"/>
    <w:rsid w:val="00D31744"/>
    <w:rsid w:val="00D3174B"/>
    <w:rsid w:val="00D31760"/>
    <w:rsid w:val="00D317B2"/>
    <w:rsid w:val="00D317DC"/>
    <w:rsid w:val="00D3185F"/>
    <w:rsid w:val="00D31865"/>
    <w:rsid w:val="00D31874"/>
    <w:rsid w:val="00D31877"/>
    <w:rsid w:val="00D318BE"/>
    <w:rsid w:val="00D318E5"/>
    <w:rsid w:val="00D31919"/>
    <w:rsid w:val="00D31929"/>
    <w:rsid w:val="00D3193C"/>
    <w:rsid w:val="00D3197C"/>
    <w:rsid w:val="00D31A56"/>
    <w:rsid w:val="00D31A69"/>
    <w:rsid w:val="00D31A76"/>
    <w:rsid w:val="00D31ABA"/>
    <w:rsid w:val="00D31AD2"/>
    <w:rsid w:val="00D31B36"/>
    <w:rsid w:val="00D31B8A"/>
    <w:rsid w:val="00D31BC2"/>
    <w:rsid w:val="00D31BCA"/>
    <w:rsid w:val="00D31C2C"/>
    <w:rsid w:val="00D31C5C"/>
    <w:rsid w:val="00D31C64"/>
    <w:rsid w:val="00D31C88"/>
    <w:rsid w:val="00D31CA9"/>
    <w:rsid w:val="00D31D2E"/>
    <w:rsid w:val="00D31D3E"/>
    <w:rsid w:val="00D31D9D"/>
    <w:rsid w:val="00D31DA8"/>
    <w:rsid w:val="00D31DBA"/>
    <w:rsid w:val="00D31DF6"/>
    <w:rsid w:val="00D31E05"/>
    <w:rsid w:val="00D31E3B"/>
    <w:rsid w:val="00D31E65"/>
    <w:rsid w:val="00D31E7A"/>
    <w:rsid w:val="00D31E97"/>
    <w:rsid w:val="00D31E99"/>
    <w:rsid w:val="00D31EBF"/>
    <w:rsid w:val="00D31F03"/>
    <w:rsid w:val="00D31F31"/>
    <w:rsid w:val="00D31F4F"/>
    <w:rsid w:val="00D31FBE"/>
    <w:rsid w:val="00D31FE8"/>
    <w:rsid w:val="00D31FEA"/>
    <w:rsid w:val="00D3202C"/>
    <w:rsid w:val="00D32054"/>
    <w:rsid w:val="00D32059"/>
    <w:rsid w:val="00D3207E"/>
    <w:rsid w:val="00D32096"/>
    <w:rsid w:val="00D320D8"/>
    <w:rsid w:val="00D32127"/>
    <w:rsid w:val="00D3214A"/>
    <w:rsid w:val="00D32170"/>
    <w:rsid w:val="00D321E0"/>
    <w:rsid w:val="00D321FF"/>
    <w:rsid w:val="00D3225C"/>
    <w:rsid w:val="00D32269"/>
    <w:rsid w:val="00D322B1"/>
    <w:rsid w:val="00D322D1"/>
    <w:rsid w:val="00D322FC"/>
    <w:rsid w:val="00D32338"/>
    <w:rsid w:val="00D32362"/>
    <w:rsid w:val="00D32372"/>
    <w:rsid w:val="00D323CA"/>
    <w:rsid w:val="00D323F1"/>
    <w:rsid w:val="00D3245B"/>
    <w:rsid w:val="00D324C1"/>
    <w:rsid w:val="00D32526"/>
    <w:rsid w:val="00D32578"/>
    <w:rsid w:val="00D325EA"/>
    <w:rsid w:val="00D325EE"/>
    <w:rsid w:val="00D32664"/>
    <w:rsid w:val="00D32668"/>
    <w:rsid w:val="00D326D3"/>
    <w:rsid w:val="00D326F7"/>
    <w:rsid w:val="00D32714"/>
    <w:rsid w:val="00D32722"/>
    <w:rsid w:val="00D32743"/>
    <w:rsid w:val="00D3278C"/>
    <w:rsid w:val="00D32800"/>
    <w:rsid w:val="00D32810"/>
    <w:rsid w:val="00D32822"/>
    <w:rsid w:val="00D32846"/>
    <w:rsid w:val="00D3284A"/>
    <w:rsid w:val="00D328AF"/>
    <w:rsid w:val="00D328D2"/>
    <w:rsid w:val="00D32957"/>
    <w:rsid w:val="00D3295C"/>
    <w:rsid w:val="00D329EC"/>
    <w:rsid w:val="00D329FD"/>
    <w:rsid w:val="00D32A18"/>
    <w:rsid w:val="00D32A70"/>
    <w:rsid w:val="00D32AC2"/>
    <w:rsid w:val="00D32AE4"/>
    <w:rsid w:val="00D32AE6"/>
    <w:rsid w:val="00D32B61"/>
    <w:rsid w:val="00D32B64"/>
    <w:rsid w:val="00D32BA5"/>
    <w:rsid w:val="00D32BAF"/>
    <w:rsid w:val="00D32BC8"/>
    <w:rsid w:val="00D32BC9"/>
    <w:rsid w:val="00D32C39"/>
    <w:rsid w:val="00D32D05"/>
    <w:rsid w:val="00D32D32"/>
    <w:rsid w:val="00D32D50"/>
    <w:rsid w:val="00D32D63"/>
    <w:rsid w:val="00D32DA9"/>
    <w:rsid w:val="00D32E2B"/>
    <w:rsid w:val="00D32E40"/>
    <w:rsid w:val="00D32E68"/>
    <w:rsid w:val="00D32E76"/>
    <w:rsid w:val="00D32E80"/>
    <w:rsid w:val="00D32E8C"/>
    <w:rsid w:val="00D32F56"/>
    <w:rsid w:val="00D32FAC"/>
    <w:rsid w:val="00D32FFF"/>
    <w:rsid w:val="00D33007"/>
    <w:rsid w:val="00D33009"/>
    <w:rsid w:val="00D330C5"/>
    <w:rsid w:val="00D33131"/>
    <w:rsid w:val="00D3315D"/>
    <w:rsid w:val="00D331AF"/>
    <w:rsid w:val="00D331DB"/>
    <w:rsid w:val="00D331F4"/>
    <w:rsid w:val="00D33223"/>
    <w:rsid w:val="00D3325D"/>
    <w:rsid w:val="00D3327A"/>
    <w:rsid w:val="00D332BB"/>
    <w:rsid w:val="00D332EF"/>
    <w:rsid w:val="00D33329"/>
    <w:rsid w:val="00D3333F"/>
    <w:rsid w:val="00D333A9"/>
    <w:rsid w:val="00D333C3"/>
    <w:rsid w:val="00D33432"/>
    <w:rsid w:val="00D33440"/>
    <w:rsid w:val="00D3344C"/>
    <w:rsid w:val="00D3348C"/>
    <w:rsid w:val="00D334A0"/>
    <w:rsid w:val="00D334B6"/>
    <w:rsid w:val="00D334D9"/>
    <w:rsid w:val="00D334ED"/>
    <w:rsid w:val="00D334F3"/>
    <w:rsid w:val="00D335A6"/>
    <w:rsid w:val="00D335C9"/>
    <w:rsid w:val="00D335EB"/>
    <w:rsid w:val="00D335F5"/>
    <w:rsid w:val="00D3361F"/>
    <w:rsid w:val="00D3365A"/>
    <w:rsid w:val="00D3369C"/>
    <w:rsid w:val="00D336AD"/>
    <w:rsid w:val="00D3372E"/>
    <w:rsid w:val="00D33731"/>
    <w:rsid w:val="00D3374F"/>
    <w:rsid w:val="00D337C3"/>
    <w:rsid w:val="00D33859"/>
    <w:rsid w:val="00D3387B"/>
    <w:rsid w:val="00D3387C"/>
    <w:rsid w:val="00D33884"/>
    <w:rsid w:val="00D33893"/>
    <w:rsid w:val="00D338A1"/>
    <w:rsid w:val="00D338C1"/>
    <w:rsid w:val="00D338E9"/>
    <w:rsid w:val="00D338F6"/>
    <w:rsid w:val="00D33905"/>
    <w:rsid w:val="00D33953"/>
    <w:rsid w:val="00D33954"/>
    <w:rsid w:val="00D3399E"/>
    <w:rsid w:val="00D339A7"/>
    <w:rsid w:val="00D339D7"/>
    <w:rsid w:val="00D33A3F"/>
    <w:rsid w:val="00D33A40"/>
    <w:rsid w:val="00D33A7D"/>
    <w:rsid w:val="00D33AB3"/>
    <w:rsid w:val="00D33AE3"/>
    <w:rsid w:val="00D33B09"/>
    <w:rsid w:val="00D33B10"/>
    <w:rsid w:val="00D33B1D"/>
    <w:rsid w:val="00D33B37"/>
    <w:rsid w:val="00D33B95"/>
    <w:rsid w:val="00D33BAB"/>
    <w:rsid w:val="00D33C69"/>
    <w:rsid w:val="00D33C85"/>
    <w:rsid w:val="00D33CBD"/>
    <w:rsid w:val="00D33CDA"/>
    <w:rsid w:val="00D33CDF"/>
    <w:rsid w:val="00D33D08"/>
    <w:rsid w:val="00D33D2A"/>
    <w:rsid w:val="00D33D39"/>
    <w:rsid w:val="00D33D40"/>
    <w:rsid w:val="00D33D41"/>
    <w:rsid w:val="00D33D8B"/>
    <w:rsid w:val="00D33E17"/>
    <w:rsid w:val="00D33E47"/>
    <w:rsid w:val="00D33E4A"/>
    <w:rsid w:val="00D33E71"/>
    <w:rsid w:val="00D33E9A"/>
    <w:rsid w:val="00D33E9C"/>
    <w:rsid w:val="00D33EB1"/>
    <w:rsid w:val="00D33EBD"/>
    <w:rsid w:val="00D33ECC"/>
    <w:rsid w:val="00D33F06"/>
    <w:rsid w:val="00D33F0E"/>
    <w:rsid w:val="00D33F15"/>
    <w:rsid w:val="00D33F26"/>
    <w:rsid w:val="00D33F2A"/>
    <w:rsid w:val="00D33F2E"/>
    <w:rsid w:val="00D33F89"/>
    <w:rsid w:val="00D33FA1"/>
    <w:rsid w:val="00D33FD0"/>
    <w:rsid w:val="00D34069"/>
    <w:rsid w:val="00D34099"/>
    <w:rsid w:val="00D340C2"/>
    <w:rsid w:val="00D340C8"/>
    <w:rsid w:val="00D340ED"/>
    <w:rsid w:val="00D340F5"/>
    <w:rsid w:val="00D34140"/>
    <w:rsid w:val="00D34147"/>
    <w:rsid w:val="00D341C4"/>
    <w:rsid w:val="00D341FB"/>
    <w:rsid w:val="00D34209"/>
    <w:rsid w:val="00D34221"/>
    <w:rsid w:val="00D3422F"/>
    <w:rsid w:val="00D34298"/>
    <w:rsid w:val="00D342BE"/>
    <w:rsid w:val="00D342E9"/>
    <w:rsid w:val="00D34310"/>
    <w:rsid w:val="00D34313"/>
    <w:rsid w:val="00D3431F"/>
    <w:rsid w:val="00D34354"/>
    <w:rsid w:val="00D34381"/>
    <w:rsid w:val="00D3438C"/>
    <w:rsid w:val="00D34392"/>
    <w:rsid w:val="00D3439F"/>
    <w:rsid w:val="00D343BE"/>
    <w:rsid w:val="00D343FC"/>
    <w:rsid w:val="00D3440F"/>
    <w:rsid w:val="00D34415"/>
    <w:rsid w:val="00D34421"/>
    <w:rsid w:val="00D34437"/>
    <w:rsid w:val="00D34457"/>
    <w:rsid w:val="00D34542"/>
    <w:rsid w:val="00D34568"/>
    <w:rsid w:val="00D3456D"/>
    <w:rsid w:val="00D345AE"/>
    <w:rsid w:val="00D345CA"/>
    <w:rsid w:val="00D345D1"/>
    <w:rsid w:val="00D345EC"/>
    <w:rsid w:val="00D345F7"/>
    <w:rsid w:val="00D34618"/>
    <w:rsid w:val="00D34620"/>
    <w:rsid w:val="00D34644"/>
    <w:rsid w:val="00D3464B"/>
    <w:rsid w:val="00D3464F"/>
    <w:rsid w:val="00D346AA"/>
    <w:rsid w:val="00D346B0"/>
    <w:rsid w:val="00D346C6"/>
    <w:rsid w:val="00D346D0"/>
    <w:rsid w:val="00D346EB"/>
    <w:rsid w:val="00D34741"/>
    <w:rsid w:val="00D34753"/>
    <w:rsid w:val="00D3478A"/>
    <w:rsid w:val="00D3478F"/>
    <w:rsid w:val="00D347C8"/>
    <w:rsid w:val="00D347CB"/>
    <w:rsid w:val="00D347E9"/>
    <w:rsid w:val="00D3480A"/>
    <w:rsid w:val="00D3483B"/>
    <w:rsid w:val="00D34855"/>
    <w:rsid w:val="00D34870"/>
    <w:rsid w:val="00D34877"/>
    <w:rsid w:val="00D348C6"/>
    <w:rsid w:val="00D348FA"/>
    <w:rsid w:val="00D34900"/>
    <w:rsid w:val="00D34919"/>
    <w:rsid w:val="00D3492E"/>
    <w:rsid w:val="00D34938"/>
    <w:rsid w:val="00D3493F"/>
    <w:rsid w:val="00D34981"/>
    <w:rsid w:val="00D349E2"/>
    <w:rsid w:val="00D349F6"/>
    <w:rsid w:val="00D34A16"/>
    <w:rsid w:val="00D34A48"/>
    <w:rsid w:val="00D34A4F"/>
    <w:rsid w:val="00D34A55"/>
    <w:rsid w:val="00D34AB4"/>
    <w:rsid w:val="00D34ADF"/>
    <w:rsid w:val="00D34B28"/>
    <w:rsid w:val="00D34B2D"/>
    <w:rsid w:val="00D34B2F"/>
    <w:rsid w:val="00D34B5C"/>
    <w:rsid w:val="00D34BB3"/>
    <w:rsid w:val="00D34BD5"/>
    <w:rsid w:val="00D34BDF"/>
    <w:rsid w:val="00D34C01"/>
    <w:rsid w:val="00D34C11"/>
    <w:rsid w:val="00D34C8A"/>
    <w:rsid w:val="00D34CAE"/>
    <w:rsid w:val="00D34CC0"/>
    <w:rsid w:val="00D34CEC"/>
    <w:rsid w:val="00D34CF7"/>
    <w:rsid w:val="00D34D28"/>
    <w:rsid w:val="00D34D44"/>
    <w:rsid w:val="00D34D6B"/>
    <w:rsid w:val="00D34DA9"/>
    <w:rsid w:val="00D34DB6"/>
    <w:rsid w:val="00D34DB8"/>
    <w:rsid w:val="00D34E51"/>
    <w:rsid w:val="00D34E7B"/>
    <w:rsid w:val="00D34EF6"/>
    <w:rsid w:val="00D34F0E"/>
    <w:rsid w:val="00D34F1C"/>
    <w:rsid w:val="00D34F34"/>
    <w:rsid w:val="00D34FA7"/>
    <w:rsid w:val="00D34FAE"/>
    <w:rsid w:val="00D34FD8"/>
    <w:rsid w:val="00D35057"/>
    <w:rsid w:val="00D350CC"/>
    <w:rsid w:val="00D350D8"/>
    <w:rsid w:val="00D3511A"/>
    <w:rsid w:val="00D35152"/>
    <w:rsid w:val="00D35154"/>
    <w:rsid w:val="00D35172"/>
    <w:rsid w:val="00D35184"/>
    <w:rsid w:val="00D35251"/>
    <w:rsid w:val="00D35271"/>
    <w:rsid w:val="00D352C8"/>
    <w:rsid w:val="00D3533F"/>
    <w:rsid w:val="00D35380"/>
    <w:rsid w:val="00D353B8"/>
    <w:rsid w:val="00D35422"/>
    <w:rsid w:val="00D35457"/>
    <w:rsid w:val="00D35465"/>
    <w:rsid w:val="00D35478"/>
    <w:rsid w:val="00D3553A"/>
    <w:rsid w:val="00D3556A"/>
    <w:rsid w:val="00D355A0"/>
    <w:rsid w:val="00D355C4"/>
    <w:rsid w:val="00D355CB"/>
    <w:rsid w:val="00D3562C"/>
    <w:rsid w:val="00D3562D"/>
    <w:rsid w:val="00D3562F"/>
    <w:rsid w:val="00D35631"/>
    <w:rsid w:val="00D35632"/>
    <w:rsid w:val="00D35658"/>
    <w:rsid w:val="00D35676"/>
    <w:rsid w:val="00D35697"/>
    <w:rsid w:val="00D356B7"/>
    <w:rsid w:val="00D35701"/>
    <w:rsid w:val="00D35723"/>
    <w:rsid w:val="00D35724"/>
    <w:rsid w:val="00D35784"/>
    <w:rsid w:val="00D35788"/>
    <w:rsid w:val="00D3578F"/>
    <w:rsid w:val="00D357AB"/>
    <w:rsid w:val="00D357B7"/>
    <w:rsid w:val="00D3584A"/>
    <w:rsid w:val="00D35851"/>
    <w:rsid w:val="00D3585C"/>
    <w:rsid w:val="00D35879"/>
    <w:rsid w:val="00D3588F"/>
    <w:rsid w:val="00D358B1"/>
    <w:rsid w:val="00D358FA"/>
    <w:rsid w:val="00D3598E"/>
    <w:rsid w:val="00D359DE"/>
    <w:rsid w:val="00D35A05"/>
    <w:rsid w:val="00D35A1A"/>
    <w:rsid w:val="00D35A35"/>
    <w:rsid w:val="00D35A37"/>
    <w:rsid w:val="00D35A47"/>
    <w:rsid w:val="00D35A8D"/>
    <w:rsid w:val="00D35AEC"/>
    <w:rsid w:val="00D35B2A"/>
    <w:rsid w:val="00D35B32"/>
    <w:rsid w:val="00D35B67"/>
    <w:rsid w:val="00D35B79"/>
    <w:rsid w:val="00D35B7B"/>
    <w:rsid w:val="00D35BC0"/>
    <w:rsid w:val="00D35BD0"/>
    <w:rsid w:val="00D35C4A"/>
    <w:rsid w:val="00D35CC1"/>
    <w:rsid w:val="00D35CC5"/>
    <w:rsid w:val="00D35CE8"/>
    <w:rsid w:val="00D35CEF"/>
    <w:rsid w:val="00D35D1F"/>
    <w:rsid w:val="00D35D65"/>
    <w:rsid w:val="00D35D7E"/>
    <w:rsid w:val="00D35D80"/>
    <w:rsid w:val="00D35D81"/>
    <w:rsid w:val="00D35DB5"/>
    <w:rsid w:val="00D35DB8"/>
    <w:rsid w:val="00D35DCC"/>
    <w:rsid w:val="00D35DCF"/>
    <w:rsid w:val="00D35DE0"/>
    <w:rsid w:val="00D35DF8"/>
    <w:rsid w:val="00D35E1C"/>
    <w:rsid w:val="00D35E20"/>
    <w:rsid w:val="00D35E2D"/>
    <w:rsid w:val="00D35E54"/>
    <w:rsid w:val="00D35E65"/>
    <w:rsid w:val="00D35E92"/>
    <w:rsid w:val="00D35E9B"/>
    <w:rsid w:val="00D35EB5"/>
    <w:rsid w:val="00D35ED4"/>
    <w:rsid w:val="00D35EDF"/>
    <w:rsid w:val="00D35F05"/>
    <w:rsid w:val="00D35F0C"/>
    <w:rsid w:val="00D35F12"/>
    <w:rsid w:val="00D35F13"/>
    <w:rsid w:val="00D35F39"/>
    <w:rsid w:val="00D35F57"/>
    <w:rsid w:val="00D35F58"/>
    <w:rsid w:val="00D35F6F"/>
    <w:rsid w:val="00D35F7D"/>
    <w:rsid w:val="00D35F8D"/>
    <w:rsid w:val="00D35F9B"/>
    <w:rsid w:val="00D35FA3"/>
    <w:rsid w:val="00D35FB3"/>
    <w:rsid w:val="00D35FE7"/>
    <w:rsid w:val="00D3606B"/>
    <w:rsid w:val="00D360B2"/>
    <w:rsid w:val="00D36149"/>
    <w:rsid w:val="00D36153"/>
    <w:rsid w:val="00D36183"/>
    <w:rsid w:val="00D36187"/>
    <w:rsid w:val="00D3619E"/>
    <w:rsid w:val="00D361DA"/>
    <w:rsid w:val="00D3621C"/>
    <w:rsid w:val="00D36279"/>
    <w:rsid w:val="00D362B9"/>
    <w:rsid w:val="00D362E4"/>
    <w:rsid w:val="00D362E5"/>
    <w:rsid w:val="00D36355"/>
    <w:rsid w:val="00D3636C"/>
    <w:rsid w:val="00D36382"/>
    <w:rsid w:val="00D363ED"/>
    <w:rsid w:val="00D36439"/>
    <w:rsid w:val="00D36467"/>
    <w:rsid w:val="00D36495"/>
    <w:rsid w:val="00D364D2"/>
    <w:rsid w:val="00D364D5"/>
    <w:rsid w:val="00D364EA"/>
    <w:rsid w:val="00D36549"/>
    <w:rsid w:val="00D36567"/>
    <w:rsid w:val="00D365D8"/>
    <w:rsid w:val="00D365F2"/>
    <w:rsid w:val="00D36602"/>
    <w:rsid w:val="00D36603"/>
    <w:rsid w:val="00D3661B"/>
    <w:rsid w:val="00D366C9"/>
    <w:rsid w:val="00D3672B"/>
    <w:rsid w:val="00D36752"/>
    <w:rsid w:val="00D36835"/>
    <w:rsid w:val="00D36873"/>
    <w:rsid w:val="00D3687B"/>
    <w:rsid w:val="00D3687F"/>
    <w:rsid w:val="00D3688C"/>
    <w:rsid w:val="00D36893"/>
    <w:rsid w:val="00D36989"/>
    <w:rsid w:val="00D36998"/>
    <w:rsid w:val="00D369B2"/>
    <w:rsid w:val="00D369C6"/>
    <w:rsid w:val="00D369E3"/>
    <w:rsid w:val="00D36A21"/>
    <w:rsid w:val="00D36A25"/>
    <w:rsid w:val="00D36A53"/>
    <w:rsid w:val="00D36A54"/>
    <w:rsid w:val="00D36AB6"/>
    <w:rsid w:val="00D36ADC"/>
    <w:rsid w:val="00D36AF0"/>
    <w:rsid w:val="00D36AF5"/>
    <w:rsid w:val="00D36B1C"/>
    <w:rsid w:val="00D36BA0"/>
    <w:rsid w:val="00D36BAE"/>
    <w:rsid w:val="00D36BBB"/>
    <w:rsid w:val="00D36BEA"/>
    <w:rsid w:val="00D36C99"/>
    <w:rsid w:val="00D36CE2"/>
    <w:rsid w:val="00D36CEE"/>
    <w:rsid w:val="00D36CFD"/>
    <w:rsid w:val="00D36D01"/>
    <w:rsid w:val="00D36D1B"/>
    <w:rsid w:val="00D36D7B"/>
    <w:rsid w:val="00D36E4C"/>
    <w:rsid w:val="00D36E5F"/>
    <w:rsid w:val="00D36ED9"/>
    <w:rsid w:val="00D36EF8"/>
    <w:rsid w:val="00D36F00"/>
    <w:rsid w:val="00D3700A"/>
    <w:rsid w:val="00D370B7"/>
    <w:rsid w:val="00D37155"/>
    <w:rsid w:val="00D37176"/>
    <w:rsid w:val="00D3718D"/>
    <w:rsid w:val="00D371AB"/>
    <w:rsid w:val="00D37273"/>
    <w:rsid w:val="00D37310"/>
    <w:rsid w:val="00D37352"/>
    <w:rsid w:val="00D373B8"/>
    <w:rsid w:val="00D373BB"/>
    <w:rsid w:val="00D373BC"/>
    <w:rsid w:val="00D373C9"/>
    <w:rsid w:val="00D373CC"/>
    <w:rsid w:val="00D37433"/>
    <w:rsid w:val="00D37475"/>
    <w:rsid w:val="00D374B0"/>
    <w:rsid w:val="00D374FA"/>
    <w:rsid w:val="00D3756B"/>
    <w:rsid w:val="00D3759F"/>
    <w:rsid w:val="00D375D0"/>
    <w:rsid w:val="00D375F0"/>
    <w:rsid w:val="00D37650"/>
    <w:rsid w:val="00D3766F"/>
    <w:rsid w:val="00D37745"/>
    <w:rsid w:val="00D3777A"/>
    <w:rsid w:val="00D37793"/>
    <w:rsid w:val="00D377A0"/>
    <w:rsid w:val="00D377B5"/>
    <w:rsid w:val="00D377D3"/>
    <w:rsid w:val="00D377DC"/>
    <w:rsid w:val="00D377E4"/>
    <w:rsid w:val="00D3780A"/>
    <w:rsid w:val="00D37812"/>
    <w:rsid w:val="00D37826"/>
    <w:rsid w:val="00D37835"/>
    <w:rsid w:val="00D37861"/>
    <w:rsid w:val="00D37898"/>
    <w:rsid w:val="00D378BE"/>
    <w:rsid w:val="00D378C7"/>
    <w:rsid w:val="00D3794A"/>
    <w:rsid w:val="00D37979"/>
    <w:rsid w:val="00D379B4"/>
    <w:rsid w:val="00D37A1F"/>
    <w:rsid w:val="00D37A6C"/>
    <w:rsid w:val="00D37A79"/>
    <w:rsid w:val="00D37A97"/>
    <w:rsid w:val="00D37AC7"/>
    <w:rsid w:val="00D37B59"/>
    <w:rsid w:val="00D37B7C"/>
    <w:rsid w:val="00D37B85"/>
    <w:rsid w:val="00D37BAB"/>
    <w:rsid w:val="00D37BF4"/>
    <w:rsid w:val="00D37C1E"/>
    <w:rsid w:val="00D37C4D"/>
    <w:rsid w:val="00D37C50"/>
    <w:rsid w:val="00D37C96"/>
    <w:rsid w:val="00D37CE1"/>
    <w:rsid w:val="00D37CF8"/>
    <w:rsid w:val="00D37D4E"/>
    <w:rsid w:val="00D37D77"/>
    <w:rsid w:val="00D37D8E"/>
    <w:rsid w:val="00D37DB8"/>
    <w:rsid w:val="00D37DF7"/>
    <w:rsid w:val="00D37E1B"/>
    <w:rsid w:val="00D37E1E"/>
    <w:rsid w:val="00D37E81"/>
    <w:rsid w:val="00D37E95"/>
    <w:rsid w:val="00D37E9A"/>
    <w:rsid w:val="00D37E9F"/>
    <w:rsid w:val="00D37EB3"/>
    <w:rsid w:val="00D37EBF"/>
    <w:rsid w:val="00D37EDD"/>
    <w:rsid w:val="00D37F43"/>
    <w:rsid w:val="00D37F4D"/>
    <w:rsid w:val="00D37F72"/>
    <w:rsid w:val="00D37F7D"/>
    <w:rsid w:val="00D37F9A"/>
    <w:rsid w:val="00D37FA7"/>
    <w:rsid w:val="00D40069"/>
    <w:rsid w:val="00D40085"/>
    <w:rsid w:val="00D400B3"/>
    <w:rsid w:val="00D400C7"/>
    <w:rsid w:val="00D400E3"/>
    <w:rsid w:val="00D4016B"/>
    <w:rsid w:val="00D401B7"/>
    <w:rsid w:val="00D401C3"/>
    <w:rsid w:val="00D40217"/>
    <w:rsid w:val="00D4023B"/>
    <w:rsid w:val="00D40263"/>
    <w:rsid w:val="00D402B4"/>
    <w:rsid w:val="00D402B5"/>
    <w:rsid w:val="00D402CD"/>
    <w:rsid w:val="00D402CE"/>
    <w:rsid w:val="00D402E8"/>
    <w:rsid w:val="00D402E9"/>
    <w:rsid w:val="00D402F1"/>
    <w:rsid w:val="00D40309"/>
    <w:rsid w:val="00D4033C"/>
    <w:rsid w:val="00D40355"/>
    <w:rsid w:val="00D40369"/>
    <w:rsid w:val="00D40377"/>
    <w:rsid w:val="00D40388"/>
    <w:rsid w:val="00D403CA"/>
    <w:rsid w:val="00D40404"/>
    <w:rsid w:val="00D40409"/>
    <w:rsid w:val="00D40414"/>
    <w:rsid w:val="00D40419"/>
    <w:rsid w:val="00D4047F"/>
    <w:rsid w:val="00D40481"/>
    <w:rsid w:val="00D404A6"/>
    <w:rsid w:val="00D404C5"/>
    <w:rsid w:val="00D404DF"/>
    <w:rsid w:val="00D4051D"/>
    <w:rsid w:val="00D40523"/>
    <w:rsid w:val="00D40528"/>
    <w:rsid w:val="00D4052B"/>
    <w:rsid w:val="00D40537"/>
    <w:rsid w:val="00D4057E"/>
    <w:rsid w:val="00D40582"/>
    <w:rsid w:val="00D405C4"/>
    <w:rsid w:val="00D40629"/>
    <w:rsid w:val="00D4062C"/>
    <w:rsid w:val="00D40657"/>
    <w:rsid w:val="00D40663"/>
    <w:rsid w:val="00D40674"/>
    <w:rsid w:val="00D40675"/>
    <w:rsid w:val="00D406AF"/>
    <w:rsid w:val="00D40705"/>
    <w:rsid w:val="00D4078B"/>
    <w:rsid w:val="00D407C6"/>
    <w:rsid w:val="00D407CA"/>
    <w:rsid w:val="00D407D0"/>
    <w:rsid w:val="00D407F1"/>
    <w:rsid w:val="00D40810"/>
    <w:rsid w:val="00D40825"/>
    <w:rsid w:val="00D4084B"/>
    <w:rsid w:val="00D40862"/>
    <w:rsid w:val="00D40897"/>
    <w:rsid w:val="00D40898"/>
    <w:rsid w:val="00D4090C"/>
    <w:rsid w:val="00D4090E"/>
    <w:rsid w:val="00D40949"/>
    <w:rsid w:val="00D4094C"/>
    <w:rsid w:val="00D409F9"/>
    <w:rsid w:val="00D40A3C"/>
    <w:rsid w:val="00D40AFB"/>
    <w:rsid w:val="00D40AFC"/>
    <w:rsid w:val="00D40B1E"/>
    <w:rsid w:val="00D40B26"/>
    <w:rsid w:val="00D40BDF"/>
    <w:rsid w:val="00D40BEC"/>
    <w:rsid w:val="00D40C0A"/>
    <w:rsid w:val="00D40C27"/>
    <w:rsid w:val="00D40C5F"/>
    <w:rsid w:val="00D40C90"/>
    <w:rsid w:val="00D40C98"/>
    <w:rsid w:val="00D40CB9"/>
    <w:rsid w:val="00D40D0A"/>
    <w:rsid w:val="00D40D23"/>
    <w:rsid w:val="00D40D2A"/>
    <w:rsid w:val="00D40D42"/>
    <w:rsid w:val="00D40D49"/>
    <w:rsid w:val="00D40D62"/>
    <w:rsid w:val="00D40D87"/>
    <w:rsid w:val="00D40DB4"/>
    <w:rsid w:val="00D40DBA"/>
    <w:rsid w:val="00D40DE5"/>
    <w:rsid w:val="00D40E0C"/>
    <w:rsid w:val="00D40E46"/>
    <w:rsid w:val="00D40E50"/>
    <w:rsid w:val="00D40E83"/>
    <w:rsid w:val="00D40EF4"/>
    <w:rsid w:val="00D40F50"/>
    <w:rsid w:val="00D41026"/>
    <w:rsid w:val="00D4103A"/>
    <w:rsid w:val="00D41054"/>
    <w:rsid w:val="00D410B3"/>
    <w:rsid w:val="00D410E9"/>
    <w:rsid w:val="00D41128"/>
    <w:rsid w:val="00D41130"/>
    <w:rsid w:val="00D41139"/>
    <w:rsid w:val="00D41187"/>
    <w:rsid w:val="00D411A2"/>
    <w:rsid w:val="00D411FA"/>
    <w:rsid w:val="00D41243"/>
    <w:rsid w:val="00D412C2"/>
    <w:rsid w:val="00D412C3"/>
    <w:rsid w:val="00D41311"/>
    <w:rsid w:val="00D4131F"/>
    <w:rsid w:val="00D41340"/>
    <w:rsid w:val="00D4137D"/>
    <w:rsid w:val="00D413E7"/>
    <w:rsid w:val="00D413F8"/>
    <w:rsid w:val="00D41411"/>
    <w:rsid w:val="00D41436"/>
    <w:rsid w:val="00D41456"/>
    <w:rsid w:val="00D41499"/>
    <w:rsid w:val="00D415D3"/>
    <w:rsid w:val="00D415E5"/>
    <w:rsid w:val="00D41672"/>
    <w:rsid w:val="00D41673"/>
    <w:rsid w:val="00D416A7"/>
    <w:rsid w:val="00D416D5"/>
    <w:rsid w:val="00D416D8"/>
    <w:rsid w:val="00D416E5"/>
    <w:rsid w:val="00D4171E"/>
    <w:rsid w:val="00D41838"/>
    <w:rsid w:val="00D4184C"/>
    <w:rsid w:val="00D4186C"/>
    <w:rsid w:val="00D41897"/>
    <w:rsid w:val="00D418AA"/>
    <w:rsid w:val="00D418AF"/>
    <w:rsid w:val="00D418B4"/>
    <w:rsid w:val="00D418BE"/>
    <w:rsid w:val="00D41904"/>
    <w:rsid w:val="00D41912"/>
    <w:rsid w:val="00D41931"/>
    <w:rsid w:val="00D4193D"/>
    <w:rsid w:val="00D4194D"/>
    <w:rsid w:val="00D41950"/>
    <w:rsid w:val="00D419A8"/>
    <w:rsid w:val="00D41A0B"/>
    <w:rsid w:val="00D41A10"/>
    <w:rsid w:val="00D41A87"/>
    <w:rsid w:val="00D41A8A"/>
    <w:rsid w:val="00D41AE5"/>
    <w:rsid w:val="00D41AFD"/>
    <w:rsid w:val="00D41B2F"/>
    <w:rsid w:val="00D41B3B"/>
    <w:rsid w:val="00D41B3C"/>
    <w:rsid w:val="00D41B3E"/>
    <w:rsid w:val="00D41B72"/>
    <w:rsid w:val="00D41B9A"/>
    <w:rsid w:val="00D41BBE"/>
    <w:rsid w:val="00D41C35"/>
    <w:rsid w:val="00D41CB0"/>
    <w:rsid w:val="00D41CCB"/>
    <w:rsid w:val="00D41D2F"/>
    <w:rsid w:val="00D41D70"/>
    <w:rsid w:val="00D41D8C"/>
    <w:rsid w:val="00D41DAD"/>
    <w:rsid w:val="00D41DBD"/>
    <w:rsid w:val="00D41E6A"/>
    <w:rsid w:val="00D41E76"/>
    <w:rsid w:val="00D41F23"/>
    <w:rsid w:val="00D41F2F"/>
    <w:rsid w:val="00D41F4A"/>
    <w:rsid w:val="00D41FC7"/>
    <w:rsid w:val="00D4202B"/>
    <w:rsid w:val="00D42037"/>
    <w:rsid w:val="00D4204C"/>
    <w:rsid w:val="00D4205B"/>
    <w:rsid w:val="00D420B0"/>
    <w:rsid w:val="00D420DF"/>
    <w:rsid w:val="00D4214A"/>
    <w:rsid w:val="00D4216B"/>
    <w:rsid w:val="00D421B1"/>
    <w:rsid w:val="00D4222A"/>
    <w:rsid w:val="00D42235"/>
    <w:rsid w:val="00D4233F"/>
    <w:rsid w:val="00D42382"/>
    <w:rsid w:val="00D42390"/>
    <w:rsid w:val="00D423B3"/>
    <w:rsid w:val="00D423D0"/>
    <w:rsid w:val="00D42490"/>
    <w:rsid w:val="00D42495"/>
    <w:rsid w:val="00D424A0"/>
    <w:rsid w:val="00D424E2"/>
    <w:rsid w:val="00D424FA"/>
    <w:rsid w:val="00D42503"/>
    <w:rsid w:val="00D42530"/>
    <w:rsid w:val="00D42552"/>
    <w:rsid w:val="00D4255B"/>
    <w:rsid w:val="00D42601"/>
    <w:rsid w:val="00D4260C"/>
    <w:rsid w:val="00D4267A"/>
    <w:rsid w:val="00D42682"/>
    <w:rsid w:val="00D4268E"/>
    <w:rsid w:val="00D426A9"/>
    <w:rsid w:val="00D426ED"/>
    <w:rsid w:val="00D4272A"/>
    <w:rsid w:val="00D4273A"/>
    <w:rsid w:val="00D42758"/>
    <w:rsid w:val="00D42798"/>
    <w:rsid w:val="00D427DB"/>
    <w:rsid w:val="00D427DF"/>
    <w:rsid w:val="00D427F3"/>
    <w:rsid w:val="00D42801"/>
    <w:rsid w:val="00D42805"/>
    <w:rsid w:val="00D42830"/>
    <w:rsid w:val="00D42871"/>
    <w:rsid w:val="00D428A2"/>
    <w:rsid w:val="00D428C4"/>
    <w:rsid w:val="00D428DC"/>
    <w:rsid w:val="00D428E3"/>
    <w:rsid w:val="00D428FE"/>
    <w:rsid w:val="00D4292E"/>
    <w:rsid w:val="00D42963"/>
    <w:rsid w:val="00D42972"/>
    <w:rsid w:val="00D42A78"/>
    <w:rsid w:val="00D42A9F"/>
    <w:rsid w:val="00D42AAB"/>
    <w:rsid w:val="00D42ACD"/>
    <w:rsid w:val="00D42AD2"/>
    <w:rsid w:val="00D42AD3"/>
    <w:rsid w:val="00D42B35"/>
    <w:rsid w:val="00D42B6E"/>
    <w:rsid w:val="00D42B70"/>
    <w:rsid w:val="00D42B71"/>
    <w:rsid w:val="00D42BB8"/>
    <w:rsid w:val="00D42C2A"/>
    <w:rsid w:val="00D42C36"/>
    <w:rsid w:val="00D42C3C"/>
    <w:rsid w:val="00D42C4A"/>
    <w:rsid w:val="00D42C51"/>
    <w:rsid w:val="00D42C62"/>
    <w:rsid w:val="00D42D07"/>
    <w:rsid w:val="00D42D38"/>
    <w:rsid w:val="00D42D6B"/>
    <w:rsid w:val="00D42DAA"/>
    <w:rsid w:val="00D42DB4"/>
    <w:rsid w:val="00D42E01"/>
    <w:rsid w:val="00D42E0B"/>
    <w:rsid w:val="00D42E8E"/>
    <w:rsid w:val="00D42E97"/>
    <w:rsid w:val="00D42EA5"/>
    <w:rsid w:val="00D42EF3"/>
    <w:rsid w:val="00D42F1C"/>
    <w:rsid w:val="00D42F73"/>
    <w:rsid w:val="00D42F8E"/>
    <w:rsid w:val="00D42FAF"/>
    <w:rsid w:val="00D4302A"/>
    <w:rsid w:val="00D4305E"/>
    <w:rsid w:val="00D43068"/>
    <w:rsid w:val="00D4307A"/>
    <w:rsid w:val="00D4308D"/>
    <w:rsid w:val="00D430B5"/>
    <w:rsid w:val="00D430F7"/>
    <w:rsid w:val="00D43146"/>
    <w:rsid w:val="00D43147"/>
    <w:rsid w:val="00D431CF"/>
    <w:rsid w:val="00D431D6"/>
    <w:rsid w:val="00D431FF"/>
    <w:rsid w:val="00D43207"/>
    <w:rsid w:val="00D4321B"/>
    <w:rsid w:val="00D4321C"/>
    <w:rsid w:val="00D4322C"/>
    <w:rsid w:val="00D43288"/>
    <w:rsid w:val="00D432AC"/>
    <w:rsid w:val="00D432E0"/>
    <w:rsid w:val="00D4332E"/>
    <w:rsid w:val="00D4336D"/>
    <w:rsid w:val="00D4338B"/>
    <w:rsid w:val="00D4339A"/>
    <w:rsid w:val="00D433BE"/>
    <w:rsid w:val="00D433C1"/>
    <w:rsid w:val="00D433C3"/>
    <w:rsid w:val="00D433D2"/>
    <w:rsid w:val="00D433DA"/>
    <w:rsid w:val="00D43472"/>
    <w:rsid w:val="00D43479"/>
    <w:rsid w:val="00D4347E"/>
    <w:rsid w:val="00D434AB"/>
    <w:rsid w:val="00D434CB"/>
    <w:rsid w:val="00D434D8"/>
    <w:rsid w:val="00D434FF"/>
    <w:rsid w:val="00D43594"/>
    <w:rsid w:val="00D435CF"/>
    <w:rsid w:val="00D435D9"/>
    <w:rsid w:val="00D435E5"/>
    <w:rsid w:val="00D43626"/>
    <w:rsid w:val="00D4367E"/>
    <w:rsid w:val="00D436CB"/>
    <w:rsid w:val="00D436D3"/>
    <w:rsid w:val="00D43709"/>
    <w:rsid w:val="00D43711"/>
    <w:rsid w:val="00D43713"/>
    <w:rsid w:val="00D43788"/>
    <w:rsid w:val="00D437F3"/>
    <w:rsid w:val="00D43827"/>
    <w:rsid w:val="00D4386F"/>
    <w:rsid w:val="00D43893"/>
    <w:rsid w:val="00D43904"/>
    <w:rsid w:val="00D43922"/>
    <w:rsid w:val="00D43939"/>
    <w:rsid w:val="00D43945"/>
    <w:rsid w:val="00D43950"/>
    <w:rsid w:val="00D43984"/>
    <w:rsid w:val="00D439AF"/>
    <w:rsid w:val="00D439BB"/>
    <w:rsid w:val="00D439C4"/>
    <w:rsid w:val="00D43A4E"/>
    <w:rsid w:val="00D43A5E"/>
    <w:rsid w:val="00D43A5F"/>
    <w:rsid w:val="00D43A67"/>
    <w:rsid w:val="00D43A6D"/>
    <w:rsid w:val="00D43A71"/>
    <w:rsid w:val="00D43A81"/>
    <w:rsid w:val="00D43ADD"/>
    <w:rsid w:val="00D43B1B"/>
    <w:rsid w:val="00D43B8E"/>
    <w:rsid w:val="00D43C00"/>
    <w:rsid w:val="00D43C51"/>
    <w:rsid w:val="00D43CCE"/>
    <w:rsid w:val="00D43D1B"/>
    <w:rsid w:val="00D43D1D"/>
    <w:rsid w:val="00D43D46"/>
    <w:rsid w:val="00D43D6C"/>
    <w:rsid w:val="00D43D8A"/>
    <w:rsid w:val="00D43DC4"/>
    <w:rsid w:val="00D43DDA"/>
    <w:rsid w:val="00D43DEB"/>
    <w:rsid w:val="00D43E50"/>
    <w:rsid w:val="00D43E64"/>
    <w:rsid w:val="00D43E85"/>
    <w:rsid w:val="00D43E91"/>
    <w:rsid w:val="00D43EAF"/>
    <w:rsid w:val="00D43EB4"/>
    <w:rsid w:val="00D43EBB"/>
    <w:rsid w:val="00D43EBF"/>
    <w:rsid w:val="00D43EC2"/>
    <w:rsid w:val="00D43EF0"/>
    <w:rsid w:val="00D43F1B"/>
    <w:rsid w:val="00D43F61"/>
    <w:rsid w:val="00D43FB4"/>
    <w:rsid w:val="00D43FC8"/>
    <w:rsid w:val="00D43FE4"/>
    <w:rsid w:val="00D43FEF"/>
    <w:rsid w:val="00D4400E"/>
    <w:rsid w:val="00D4405B"/>
    <w:rsid w:val="00D44074"/>
    <w:rsid w:val="00D440AB"/>
    <w:rsid w:val="00D44105"/>
    <w:rsid w:val="00D44139"/>
    <w:rsid w:val="00D44198"/>
    <w:rsid w:val="00D441EB"/>
    <w:rsid w:val="00D44212"/>
    <w:rsid w:val="00D44223"/>
    <w:rsid w:val="00D44252"/>
    <w:rsid w:val="00D4428C"/>
    <w:rsid w:val="00D443AA"/>
    <w:rsid w:val="00D443AE"/>
    <w:rsid w:val="00D443D0"/>
    <w:rsid w:val="00D4447D"/>
    <w:rsid w:val="00D44496"/>
    <w:rsid w:val="00D444AC"/>
    <w:rsid w:val="00D444DD"/>
    <w:rsid w:val="00D444F4"/>
    <w:rsid w:val="00D4452F"/>
    <w:rsid w:val="00D44548"/>
    <w:rsid w:val="00D4457D"/>
    <w:rsid w:val="00D44595"/>
    <w:rsid w:val="00D44596"/>
    <w:rsid w:val="00D445EE"/>
    <w:rsid w:val="00D44631"/>
    <w:rsid w:val="00D44665"/>
    <w:rsid w:val="00D44673"/>
    <w:rsid w:val="00D44687"/>
    <w:rsid w:val="00D44690"/>
    <w:rsid w:val="00D446B1"/>
    <w:rsid w:val="00D4470A"/>
    <w:rsid w:val="00D4473B"/>
    <w:rsid w:val="00D4473C"/>
    <w:rsid w:val="00D4474A"/>
    <w:rsid w:val="00D44751"/>
    <w:rsid w:val="00D44755"/>
    <w:rsid w:val="00D447AC"/>
    <w:rsid w:val="00D447D4"/>
    <w:rsid w:val="00D44830"/>
    <w:rsid w:val="00D44838"/>
    <w:rsid w:val="00D4489C"/>
    <w:rsid w:val="00D448D7"/>
    <w:rsid w:val="00D448E5"/>
    <w:rsid w:val="00D448EC"/>
    <w:rsid w:val="00D44915"/>
    <w:rsid w:val="00D44936"/>
    <w:rsid w:val="00D44975"/>
    <w:rsid w:val="00D4498D"/>
    <w:rsid w:val="00D44992"/>
    <w:rsid w:val="00D44998"/>
    <w:rsid w:val="00D44A00"/>
    <w:rsid w:val="00D44A0C"/>
    <w:rsid w:val="00D44A61"/>
    <w:rsid w:val="00D44A6D"/>
    <w:rsid w:val="00D44A8B"/>
    <w:rsid w:val="00D44ACA"/>
    <w:rsid w:val="00D44B10"/>
    <w:rsid w:val="00D44B87"/>
    <w:rsid w:val="00D44BDE"/>
    <w:rsid w:val="00D44BE1"/>
    <w:rsid w:val="00D44C27"/>
    <w:rsid w:val="00D44C2B"/>
    <w:rsid w:val="00D44C4F"/>
    <w:rsid w:val="00D44C5E"/>
    <w:rsid w:val="00D44C7E"/>
    <w:rsid w:val="00D44CCC"/>
    <w:rsid w:val="00D44D38"/>
    <w:rsid w:val="00D44D7F"/>
    <w:rsid w:val="00D44DA6"/>
    <w:rsid w:val="00D44DC4"/>
    <w:rsid w:val="00D44E18"/>
    <w:rsid w:val="00D44E27"/>
    <w:rsid w:val="00D44E35"/>
    <w:rsid w:val="00D44E74"/>
    <w:rsid w:val="00D44E77"/>
    <w:rsid w:val="00D44E96"/>
    <w:rsid w:val="00D44ED3"/>
    <w:rsid w:val="00D44EFA"/>
    <w:rsid w:val="00D44F5D"/>
    <w:rsid w:val="00D44F92"/>
    <w:rsid w:val="00D44FEC"/>
    <w:rsid w:val="00D44FFC"/>
    <w:rsid w:val="00D45006"/>
    <w:rsid w:val="00D4501D"/>
    <w:rsid w:val="00D4501F"/>
    <w:rsid w:val="00D45040"/>
    <w:rsid w:val="00D45077"/>
    <w:rsid w:val="00D450D0"/>
    <w:rsid w:val="00D4512C"/>
    <w:rsid w:val="00D4515C"/>
    <w:rsid w:val="00D45160"/>
    <w:rsid w:val="00D4516F"/>
    <w:rsid w:val="00D4518D"/>
    <w:rsid w:val="00D45191"/>
    <w:rsid w:val="00D4519E"/>
    <w:rsid w:val="00D451A5"/>
    <w:rsid w:val="00D451BA"/>
    <w:rsid w:val="00D451BB"/>
    <w:rsid w:val="00D451BF"/>
    <w:rsid w:val="00D451CA"/>
    <w:rsid w:val="00D451F2"/>
    <w:rsid w:val="00D451F9"/>
    <w:rsid w:val="00D45223"/>
    <w:rsid w:val="00D45309"/>
    <w:rsid w:val="00D45325"/>
    <w:rsid w:val="00D45329"/>
    <w:rsid w:val="00D45374"/>
    <w:rsid w:val="00D4538D"/>
    <w:rsid w:val="00D453A0"/>
    <w:rsid w:val="00D453A1"/>
    <w:rsid w:val="00D453B4"/>
    <w:rsid w:val="00D453D7"/>
    <w:rsid w:val="00D4548C"/>
    <w:rsid w:val="00D454C4"/>
    <w:rsid w:val="00D454E3"/>
    <w:rsid w:val="00D454EF"/>
    <w:rsid w:val="00D454FE"/>
    <w:rsid w:val="00D455B0"/>
    <w:rsid w:val="00D455F8"/>
    <w:rsid w:val="00D455FE"/>
    <w:rsid w:val="00D45652"/>
    <w:rsid w:val="00D4568A"/>
    <w:rsid w:val="00D4568C"/>
    <w:rsid w:val="00D45699"/>
    <w:rsid w:val="00D456B1"/>
    <w:rsid w:val="00D456D6"/>
    <w:rsid w:val="00D456EA"/>
    <w:rsid w:val="00D456FC"/>
    <w:rsid w:val="00D4571A"/>
    <w:rsid w:val="00D4572E"/>
    <w:rsid w:val="00D45739"/>
    <w:rsid w:val="00D45780"/>
    <w:rsid w:val="00D45793"/>
    <w:rsid w:val="00D457A7"/>
    <w:rsid w:val="00D45815"/>
    <w:rsid w:val="00D4586D"/>
    <w:rsid w:val="00D458A4"/>
    <w:rsid w:val="00D458D4"/>
    <w:rsid w:val="00D458FE"/>
    <w:rsid w:val="00D45910"/>
    <w:rsid w:val="00D45938"/>
    <w:rsid w:val="00D4595D"/>
    <w:rsid w:val="00D459B5"/>
    <w:rsid w:val="00D459BD"/>
    <w:rsid w:val="00D459E3"/>
    <w:rsid w:val="00D459F3"/>
    <w:rsid w:val="00D45A0C"/>
    <w:rsid w:val="00D45A16"/>
    <w:rsid w:val="00D45A38"/>
    <w:rsid w:val="00D45A47"/>
    <w:rsid w:val="00D45A7D"/>
    <w:rsid w:val="00D45A99"/>
    <w:rsid w:val="00D45A9C"/>
    <w:rsid w:val="00D45AF8"/>
    <w:rsid w:val="00D45B09"/>
    <w:rsid w:val="00D45BBE"/>
    <w:rsid w:val="00D45BDF"/>
    <w:rsid w:val="00D45BFE"/>
    <w:rsid w:val="00D45C26"/>
    <w:rsid w:val="00D45D00"/>
    <w:rsid w:val="00D45D06"/>
    <w:rsid w:val="00D45D22"/>
    <w:rsid w:val="00D45D28"/>
    <w:rsid w:val="00D45D77"/>
    <w:rsid w:val="00D45D81"/>
    <w:rsid w:val="00D45D8B"/>
    <w:rsid w:val="00D45DD2"/>
    <w:rsid w:val="00D45E31"/>
    <w:rsid w:val="00D45EA9"/>
    <w:rsid w:val="00D45ECF"/>
    <w:rsid w:val="00D45EDE"/>
    <w:rsid w:val="00D45F0F"/>
    <w:rsid w:val="00D45F10"/>
    <w:rsid w:val="00D45F2F"/>
    <w:rsid w:val="00D45FA7"/>
    <w:rsid w:val="00D46012"/>
    <w:rsid w:val="00D4607D"/>
    <w:rsid w:val="00D46080"/>
    <w:rsid w:val="00D460B2"/>
    <w:rsid w:val="00D460DC"/>
    <w:rsid w:val="00D460E5"/>
    <w:rsid w:val="00D46112"/>
    <w:rsid w:val="00D46180"/>
    <w:rsid w:val="00D461BB"/>
    <w:rsid w:val="00D46216"/>
    <w:rsid w:val="00D4621C"/>
    <w:rsid w:val="00D46258"/>
    <w:rsid w:val="00D46264"/>
    <w:rsid w:val="00D46266"/>
    <w:rsid w:val="00D462EE"/>
    <w:rsid w:val="00D46351"/>
    <w:rsid w:val="00D46393"/>
    <w:rsid w:val="00D463CD"/>
    <w:rsid w:val="00D4646B"/>
    <w:rsid w:val="00D46486"/>
    <w:rsid w:val="00D46497"/>
    <w:rsid w:val="00D464AB"/>
    <w:rsid w:val="00D46582"/>
    <w:rsid w:val="00D46592"/>
    <w:rsid w:val="00D4659F"/>
    <w:rsid w:val="00D465A2"/>
    <w:rsid w:val="00D465A7"/>
    <w:rsid w:val="00D465A8"/>
    <w:rsid w:val="00D465AA"/>
    <w:rsid w:val="00D46691"/>
    <w:rsid w:val="00D46692"/>
    <w:rsid w:val="00D466D8"/>
    <w:rsid w:val="00D46752"/>
    <w:rsid w:val="00D46755"/>
    <w:rsid w:val="00D4676E"/>
    <w:rsid w:val="00D467B6"/>
    <w:rsid w:val="00D467D7"/>
    <w:rsid w:val="00D4680C"/>
    <w:rsid w:val="00D4682D"/>
    <w:rsid w:val="00D46834"/>
    <w:rsid w:val="00D46858"/>
    <w:rsid w:val="00D468CC"/>
    <w:rsid w:val="00D46927"/>
    <w:rsid w:val="00D46941"/>
    <w:rsid w:val="00D4696F"/>
    <w:rsid w:val="00D46985"/>
    <w:rsid w:val="00D46993"/>
    <w:rsid w:val="00D469A5"/>
    <w:rsid w:val="00D469A6"/>
    <w:rsid w:val="00D469D7"/>
    <w:rsid w:val="00D469E0"/>
    <w:rsid w:val="00D469F6"/>
    <w:rsid w:val="00D46A40"/>
    <w:rsid w:val="00D46A4A"/>
    <w:rsid w:val="00D46A69"/>
    <w:rsid w:val="00D46A76"/>
    <w:rsid w:val="00D46ABB"/>
    <w:rsid w:val="00D46AD9"/>
    <w:rsid w:val="00D46B18"/>
    <w:rsid w:val="00D46B83"/>
    <w:rsid w:val="00D46B97"/>
    <w:rsid w:val="00D46BAD"/>
    <w:rsid w:val="00D46BDA"/>
    <w:rsid w:val="00D46C1F"/>
    <w:rsid w:val="00D46C4A"/>
    <w:rsid w:val="00D46C7C"/>
    <w:rsid w:val="00D46CEC"/>
    <w:rsid w:val="00D46CF2"/>
    <w:rsid w:val="00D46D5A"/>
    <w:rsid w:val="00D46DB1"/>
    <w:rsid w:val="00D46DD9"/>
    <w:rsid w:val="00D46DF1"/>
    <w:rsid w:val="00D46E0A"/>
    <w:rsid w:val="00D46E4D"/>
    <w:rsid w:val="00D46E52"/>
    <w:rsid w:val="00D46E77"/>
    <w:rsid w:val="00D46E7B"/>
    <w:rsid w:val="00D46EA1"/>
    <w:rsid w:val="00D46EC0"/>
    <w:rsid w:val="00D46F0E"/>
    <w:rsid w:val="00D46F36"/>
    <w:rsid w:val="00D46F3A"/>
    <w:rsid w:val="00D46F73"/>
    <w:rsid w:val="00D46FA4"/>
    <w:rsid w:val="00D47010"/>
    <w:rsid w:val="00D47013"/>
    <w:rsid w:val="00D47047"/>
    <w:rsid w:val="00D47070"/>
    <w:rsid w:val="00D47082"/>
    <w:rsid w:val="00D470BF"/>
    <w:rsid w:val="00D470ED"/>
    <w:rsid w:val="00D47121"/>
    <w:rsid w:val="00D47127"/>
    <w:rsid w:val="00D4712B"/>
    <w:rsid w:val="00D47130"/>
    <w:rsid w:val="00D4714A"/>
    <w:rsid w:val="00D471D5"/>
    <w:rsid w:val="00D47236"/>
    <w:rsid w:val="00D47244"/>
    <w:rsid w:val="00D4725C"/>
    <w:rsid w:val="00D4726A"/>
    <w:rsid w:val="00D472D4"/>
    <w:rsid w:val="00D473DA"/>
    <w:rsid w:val="00D473F6"/>
    <w:rsid w:val="00D47408"/>
    <w:rsid w:val="00D4743B"/>
    <w:rsid w:val="00D47451"/>
    <w:rsid w:val="00D47458"/>
    <w:rsid w:val="00D47470"/>
    <w:rsid w:val="00D4747A"/>
    <w:rsid w:val="00D4747E"/>
    <w:rsid w:val="00D474AC"/>
    <w:rsid w:val="00D474F7"/>
    <w:rsid w:val="00D47502"/>
    <w:rsid w:val="00D47521"/>
    <w:rsid w:val="00D47539"/>
    <w:rsid w:val="00D4755D"/>
    <w:rsid w:val="00D47575"/>
    <w:rsid w:val="00D475D3"/>
    <w:rsid w:val="00D475D7"/>
    <w:rsid w:val="00D47636"/>
    <w:rsid w:val="00D47650"/>
    <w:rsid w:val="00D4766E"/>
    <w:rsid w:val="00D47672"/>
    <w:rsid w:val="00D476EE"/>
    <w:rsid w:val="00D476F3"/>
    <w:rsid w:val="00D47769"/>
    <w:rsid w:val="00D4776D"/>
    <w:rsid w:val="00D47879"/>
    <w:rsid w:val="00D47894"/>
    <w:rsid w:val="00D478B5"/>
    <w:rsid w:val="00D478E4"/>
    <w:rsid w:val="00D47910"/>
    <w:rsid w:val="00D47913"/>
    <w:rsid w:val="00D4792B"/>
    <w:rsid w:val="00D47942"/>
    <w:rsid w:val="00D47963"/>
    <w:rsid w:val="00D47978"/>
    <w:rsid w:val="00D479A6"/>
    <w:rsid w:val="00D479B2"/>
    <w:rsid w:val="00D47A1D"/>
    <w:rsid w:val="00D47AAE"/>
    <w:rsid w:val="00D47AC7"/>
    <w:rsid w:val="00D47AE4"/>
    <w:rsid w:val="00D47AEE"/>
    <w:rsid w:val="00D47AF4"/>
    <w:rsid w:val="00D47B05"/>
    <w:rsid w:val="00D47B6B"/>
    <w:rsid w:val="00D47B6D"/>
    <w:rsid w:val="00D47B94"/>
    <w:rsid w:val="00D47C0B"/>
    <w:rsid w:val="00D47C4D"/>
    <w:rsid w:val="00D47CCB"/>
    <w:rsid w:val="00D47CF9"/>
    <w:rsid w:val="00D47D1B"/>
    <w:rsid w:val="00D47D36"/>
    <w:rsid w:val="00D47D41"/>
    <w:rsid w:val="00D47D9C"/>
    <w:rsid w:val="00D47DAE"/>
    <w:rsid w:val="00D47E39"/>
    <w:rsid w:val="00D47E42"/>
    <w:rsid w:val="00D47E8A"/>
    <w:rsid w:val="00D47E8E"/>
    <w:rsid w:val="00D47EA3"/>
    <w:rsid w:val="00D47EBE"/>
    <w:rsid w:val="00D47EDD"/>
    <w:rsid w:val="00D47EF4"/>
    <w:rsid w:val="00D47F1E"/>
    <w:rsid w:val="00D47F20"/>
    <w:rsid w:val="00D47F29"/>
    <w:rsid w:val="00D47F32"/>
    <w:rsid w:val="00D47F42"/>
    <w:rsid w:val="00D47F58"/>
    <w:rsid w:val="00D47F8A"/>
    <w:rsid w:val="00D47F95"/>
    <w:rsid w:val="00D47FA8"/>
    <w:rsid w:val="00D47FB9"/>
    <w:rsid w:val="00D47FC5"/>
    <w:rsid w:val="00D50065"/>
    <w:rsid w:val="00D5006F"/>
    <w:rsid w:val="00D5007D"/>
    <w:rsid w:val="00D5007F"/>
    <w:rsid w:val="00D50093"/>
    <w:rsid w:val="00D50099"/>
    <w:rsid w:val="00D500F0"/>
    <w:rsid w:val="00D500F6"/>
    <w:rsid w:val="00D5010A"/>
    <w:rsid w:val="00D50111"/>
    <w:rsid w:val="00D50123"/>
    <w:rsid w:val="00D50147"/>
    <w:rsid w:val="00D50152"/>
    <w:rsid w:val="00D50178"/>
    <w:rsid w:val="00D501AA"/>
    <w:rsid w:val="00D501CB"/>
    <w:rsid w:val="00D501D9"/>
    <w:rsid w:val="00D501E4"/>
    <w:rsid w:val="00D50214"/>
    <w:rsid w:val="00D50244"/>
    <w:rsid w:val="00D50255"/>
    <w:rsid w:val="00D5028F"/>
    <w:rsid w:val="00D50298"/>
    <w:rsid w:val="00D50304"/>
    <w:rsid w:val="00D50314"/>
    <w:rsid w:val="00D503B4"/>
    <w:rsid w:val="00D503BA"/>
    <w:rsid w:val="00D503DD"/>
    <w:rsid w:val="00D50448"/>
    <w:rsid w:val="00D504A6"/>
    <w:rsid w:val="00D5051B"/>
    <w:rsid w:val="00D505B6"/>
    <w:rsid w:val="00D505BD"/>
    <w:rsid w:val="00D505D7"/>
    <w:rsid w:val="00D505ED"/>
    <w:rsid w:val="00D50621"/>
    <w:rsid w:val="00D50644"/>
    <w:rsid w:val="00D5066F"/>
    <w:rsid w:val="00D50690"/>
    <w:rsid w:val="00D50692"/>
    <w:rsid w:val="00D50757"/>
    <w:rsid w:val="00D5076F"/>
    <w:rsid w:val="00D50778"/>
    <w:rsid w:val="00D50783"/>
    <w:rsid w:val="00D507E6"/>
    <w:rsid w:val="00D507E9"/>
    <w:rsid w:val="00D507F6"/>
    <w:rsid w:val="00D50820"/>
    <w:rsid w:val="00D50843"/>
    <w:rsid w:val="00D5085D"/>
    <w:rsid w:val="00D508AA"/>
    <w:rsid w:val="00D508BB"/>
    <w:rsid w:val="00D508BE"/>
    <w:rsid w:val="00D508D5"/>
    <w:rsid w:val="00D508E4"/>
    <w:rsid w:val="00D50934"/>
    <w:rsid w:val="00D50967"/>
    <w:rsid w:val="00D50999"/>
    <w:rsid w:val="00D5099B"/>
    <w:rsid w:val="00D509B7"/>
    <w:rsid w:val="00D509EA"/>
    <w:rsid w:val="00D509F0"/>
    <w:rsid w:val="00D50A52"/>
    <w:rsid w:val="00D50A5F"/>
    <w:rsid w:val="00D50A78"/>
    <w:rsid w:val="00D50AC7"/>
    <w:rsid w:val="00D50AE4"/>
    <w:rsid w:val="00D50AF0"/>
    <w:rsid w:val="00D50AF5"/>
    <w:rsid w:val="00D50B6C"/>
    <w:rsid w:val="00D50B8C"/>
    <w:rsid w:val="00D50B97"/>
    <w:rsid w:val="00D50BBA"/>
    <w:rsid w:val="00D50BD1"/>
    <w:rsid w:val="00D50C1D"/>
    <w:rsid w:val="00D50C20"/>
    <w:rsid w:val="00D50C91"/>
    <w:rsid w:val="00D50CB3"/>
    <w:rsid w:val="00D50CD4"/>
    <w:rsid w:val="00D50CDE"/>
    <w:rsid w:val="00D50CE3"/>
    <w:rsid w:val="00D50D02"/>
    <w:rsid w:val="00D50D15"/>
    <w:rsid w:val="00D50D3E"/>
    <w:rsid w:val="00D50D4D"/>
    <w:rsid w:val="00D50D63"/>
    <w:rsid w:val="00D50D68"/>
    <w:rsid w:val="00D50D7A"/>
    <w:rsid w:val="00D50DD3"/>
    <w:rsid w:val="00D50DE3"/>
    <w:rsid w:val="00D50E39"/>
    <w:rsid w:val="00D50E69"/>
    <w:rsid w:val="00D50EA8"/>
    <w:rsid w:val="00D50EB6"/>
    <w:rsid w:val="00D50F08"/>
    <w:rsid w:val="00D50F22"/>
    <w:rsid w:val="00D50F67"/>
    <w:rsid w:val="00D50F72"/>
    <w:rsid w:val="00D50FEC"/>
    <w:rsid w:val="00D51065"/>
    <w:rsid w:val="00D510E4"/>
    <w:rsid w:val="00D510E5"/>
    <w:rsid w:val="00D51113"/>
    <w:rsid w:val="00D51116"/>
    <w:rsid w:val="00D511AF"/>
    <w:rsid w:val="00D5122B"/>
    <w:rsid w:val="00D51268"/>
    <w:rsid w:val="00D51309"/>
    <w:rsid w:val="00D51350"/>
    <w:rsid w:val="00D51364"/>
    <w:rsid w:val="00D51411"/>
    <w:rsid w:val="00D51438"/>
    <w:rsid w:val="00D5145B"/>
    <w:rsid w:val="00D51460"/>
    <w:rsid w:val="00D5148E"/>
    <w:rsid w:val="00D514A0"/>
    <w:rsid w:val="00D514B5"/>
    <w:rsid w:val="00D514F3"/>
    <w:rsid w:val="00D5151C"/>
    <w:rsid w:val="00D51574"/>
    <w:rsid w:val="00D515A2"/>
    <w:rsid w:val="00D515DE"/>
    <w:rsid w:val="00D515E6"/>
    <w:rsid w:val="00D5163C"/>
    <w:rsid w:val="00D51642"/>
    <w:rsid w:val="00D51652"/>
    <w:rsid w:val="00D5165D"/>
    <w:rsid w:val="00D51681"/>
    <w:rsid w:val="00D516BE"/>
    <w:rsid w:val="00D5170B"/>
    <w:rsid w:val="00D5170D"/>
    <w:rsid w:val="00D5170F"/>
    <w:rsid w:val="00D51712"/>
    <w:rsid w:val="00D51721"/>
    <w:rsid w:val="00D5174A"/>
    <w:rsid w:val="00D5174F"/>
    <w:rsid w:val="00D51778"/>
    <w:rsid w:val="00D517C1"/>
    <w:rsid w:val="00D517C9"/>
    <w:rsid w:val="00D517D9"/>
    <w:rsid w:val="00D51825"/>
    <w:rsid w:val="00D5189B"/>
    <w:rsid w:val="00D518A4"/>
    <w:rsid w:val="00D518B5"/>
    <w:rsid w:val="00D518CD"/>
    <w:rsid w:val="00D518E3"/>
    <w:rsid w:val="00D518E8"/>
    <w:rsid w:val="00D51907"/>
    <w:rsid w:val="00D51931"/>
    <w:rsid w:val="00D51957"/>
    <w:rsid w:val="00D5196F"/>
    <w:rsid w:val="00D5197D"/>
    <w:rsid w:val="00D51A05"/>
    <w:rsid w:val="00D51A1B"/>
    <w:rsid w:val="00D51A26"/>
    <w:rsid w:val="00D51A34"/>
    <w:rsid w:val="00D51A54"/>
    <w:rsid w:val="00D51A61"/>
    <w:rsid w:val="00D51AC4"/>
    <w:rsid w:val="00D51AF0"/>
    <w:rsid w:val="00D51B0D"/>
    <w:rsid w:val="00D51B32"/>
    <w:rsid w:val="00D51B7E"/>
    <w:rsid w:val="00D51B8B"/>
    <w:rsid w:val="00D51BC2"/>
    <w:rsid w:val="00D51BF1"/>
    <w:rsid w:val="00D51CA1"/>
    <w:rsid w:val="00D51CBF"/>
    <w:rsid w:val="00D51CC5"/>
    <w:rsid w:val="00D51CC9"/>
    <w:rsid w:val="00D51CF9"/>
    <w:rsid w:val="00D51D01"/>
    <w:rsid w:val="00D51D0B"/>
    <w:rsid w:val="00D51D32"/>
    <w:rsid w:val="00D51D36"/>
    <w:rsid w:val="00D51DA8"/>
    <w:rsid w:val="00D51DDB"/>
    <w:rsid w:val="00D51E24"/>
    <w:rsid w:val="00D51E3F"/>
    <w:rsid w:val="00D51E43"/>
    <w:rsid w:val="00D51EAB"/>
    <w:rsid w:val="00D51FEA"/>
    <w:rsid w:val="00D51FFC"/>
    <w:rsid w:val="00D52000"/>
    <w:rsid w:val="00D5207F"/>
    <w:rsid w:val="00D52093"/>
    <w:rsid w:val="00D520BC"/>
    <w:rsid w:val="00D520E0"/>
    <w:rsid w:val="00D520ED"/>
    <w:rsid w:val="00D52108"/>
    <w:rsid w:val="00D5210E"/>
    <w:rsid w:val="00D52131"/>
    <w:rsid w:val="00D521A3"/>
    <w:rsid w:val="00D521C8"/>
    <w:rsid w:val="00D521D4"/>
    <w:rsid w:val="00D521DA"/>
    <w:rsid w:val="00D5224A"/>
    <w:rsid w:val="00D522F4"/>
    <w:rsid w:val="00D523B6"/>
    <w:rsid w:val="00D523B7"/>
    <w:rsid w:val="00D523C9"/>
    <w:rsid w:val="00D523DF"/>
    <w:rsid w:val="00D523F3"/>
    <w:rsid w:val="00D52425"/>
    <w:rsid w:val="00D52441"/>
    <w:rsid w:val="00D52446"/>
    <w:rsid w:val="00D5247B"/>
    <w:rsid w:val="00D5247F"/>
    <w:rsid w:val="00D524AB"/>
    <w:rsid w:val="00D524C1"/>
    <w:rsid w:val="00D524C2"/>
    <w:rsid w:val="00D524C4"/>
    <w:rsid w:val="00D5251B"/>
    <w:rsid w:val="00D52535"/>
    <w:rsid w:val="00D525AD"/>
    <w:rsid w:val="00D525B1"/>
    <w:rsid w:val="00D5261A"/>
    <w:rsid w:val="00D52620"/>
    <w:rsid w:val="00D52670"/>
    <w:rsid w:val="00D5267B"/>
    <w:rsid w:val="00D5269D"/>
    <w:rsid w:val="00D526F1"/>
    <w:rsid w:val="00D526F3"/>
    <w:rsid w:val="00D526FC"/>
    <w:rsid w:val="00D52703"/>
    <w:rsid w:val="00D5270D"/>
    <w:rsid w:val="00D52715"/>
    <w:rsid w:val="00D5292E"/>
    <w:rsid w:val="00D52949"/>
    <w:rsid w:val="00D5297F"/>
    <w:rsid w:val="00D52A46"/>
    <w:rsid w:val="00D52A8C"/>
    <w:rsid w:val="00D52B3B"/>
    <w:rsid w:val="00D52B67"/>
    <w:rsid w:val="00D52B78"/>
    <w:rsid w:val="00D52B84"/>
    <w:rsid w:val="00D52B93"/>
    <w:rsid w:val="00D52BA2"/>
    <w:rsid w:val="00D52C30"/>
    <w:rsid w:val="00D52C4F"/>
    <w:rsid w:val="00D52C59"/>
    <w:rsid w:val="00D52C7B"/>
    <w:rsid w:val="00D52CA4"/>
    <w:rsid w:val="00D52CB8"/>
    <w:rsid w:val="00D52CBA"/>
    <w:rsid w:val="00D52CE6"/>
    <w:rsid w:val="00D52CF8"/>
    <w:rsid w:val="00D52D07"/>
    <w:rsid w:val="00D52D1E"/>
    <w:rsid w:val="00D52D3D"/>
    <w:rsid w:val="00D52D86"/>
    <w:rsid w:val="00D52DF7"/>
    <w:rsid w:val="00D52E43"/>
    <w:rsid w:val="00D52E89"/>
    <w:rsid w:val="00D52E99"/>
    <w:rsid w:val="00D52EAC"/>
    <w:rsid w:val="00D52ED0"/>
    <w:rsid w:val="00D52F2A"/>
    <w:rsid w:val="00D52F4E"/>
    <w:rsid w:val="00D52F53"/>
    <w:rsid w:val="00D52F77"/>
    <w:rsid w:val="00D52F83"/>
    <w:rsid w:val="00D52F9D"/>
    <w:rsid w:val="00D52FC8"/>
    <w:rsid w:val="00D530C7"/>
    <w:rsid w:val="00D530D5"/>
    <w:rsid w:val="00D53112"/>
    <w:rsid w:val="00D53149"/>
    <w:rsid w:val="00D53163"/>
    <w:rsid w:val="00D5318E"/>
    <w:rsid w:val="00D5319A"/>
    <w:rsid w:val="00D532D8"/>
    <w:rsid w:val="00D53386"/>
    <w:rsid w:val="00D53407"/>
    <w:rsid w:val="00D5347A"/>
    <w:rsid w:val="00D53485"/>
    <w:rsid w:val="00D5348C"/>
    <w:rsid w:val="00D534DB"/>
    <w:rsid w:val="00D53545"/>
    <w:rsid w:val="00D5354F"/>
    <w:rsid w:val="00D5356E"/>
    <w:rsid w:val="00D53577"/>
    <w:rsid w:val="00D53594"/>
    <w:rsid w:val="00D5359B"/>
    <w:rsid w:val="00D535C2"/>
    <w:rsid w:val="00D535CA"/>
    <w:rsid w:val="00D535EC"/>
    <w:rsid w:val="00D5368E"/>
    <w:rsid w:val="00D5369F"/>
    <w:rsid w:val="00D536CA"/>
    <w:rsid w:val="00D536D2"/>
    <w:rsid w:val="00D536DC"/>
    <w:rsid w:val="00D5370B"/>
    <w:rsid w:val="00D53714"/>
    <w:rsid w:val="00D5375B"/>
    <w:rsid w:val="00D53761"/>
    <w:rsid w:val="00D5376E"/>
    <w:rsid w:val="00D537E5"/>
    <w:rsid w:val="00D537E7"/>
    <w:rsid w:val="00D537F7"/>
    <w:rsid w:val="00D537FB"/>
    <w:rsid w:val="00D5384F"/>
    <w:rsid w:val="00D5386F"/>
    <w:rsid w:val="00D53892"/>
    <w:rsid w:val="00D538BC"/>
    <w:rsid w:val="00D538CA"/>
    <w:rsid w:val="00D53962"/>
    <w:rsid w:val="00D53967"/>
    <w:rsid w:val="00D539D5"/>
    <w:rsid w:val="00D53A4E"/>
    <w:rsid w:val="00D53A51"/>
    <w:rsid w:val="00D53A62"/>
    <w:rsid w:val="00D53A7B"/>
    <w:rsid w:val="00D53B1D"/>
    <w:rsid w:val="00D53B54"/>
    <w:rsid w:val="00D53B9A"/>
    <w:rsid w:val="00D53BB8"/>
    <w:rsid w:val="00D53BBE"/>
    <w:rsid w:val="00D53BD6"/>
    <w:rsid w:val="00D53C86"/>
    <w:rsid w:val="00D53CBF"/>
    <w:rsid w:val="00D53CC9"/>
    <w:rsid w:val="00D53CEF"/>
    <w:rsid w:val="00D53CF7"/>
    <w:rsid w:val="00D53CFF"/>
    <w:rsid w:val="00D53D0E"/>
    <w:rsid w:val="00D53D26"/>
    <w:rsid w:val="00D53D2C"/>
    <w:rsid w:val="00D53D7D"/>
    <w:rsid w:val="00D53D7E"/>
    <w:rsid w:val="00D53DC0"/>
    <w:rsid w:val="00D53DFF"/>
    <w:rsid w:val="00D53E1A"/>
    <w:rsid w:val="00D53E2B"/>
    <w:rsid w:val="00D53E57"/>
    <w:rsid w:val="00D53EC9"/>
    <w:rsid w:val="00D53EE1"/>
    <w:rsid w:val="00D53EE2"/>
    <w:rsid w:val="00D53EF3"/>
    <w:rsid w:val="00D53F25"/>
    <w:rsid w:val="00D53F64"/>
    <w:rsid w:val="00D53FAF"/>
    <w:rsid w:val="00D54013"/>
    <w:rsid w:val="00D54018"/>
    <w:rsid w:val="00D5401D"/>
    <w:rsid w:val="00D54027"/>
    <w:rsid w:val="00D54033"/>
    <w:rsid w:val="00D5403B"/>
    <w:rsid w:val="00D5404B"/>
    <w:rsid w:val="00D54050"/>
    <w:rsid w:val="00D54065"/>
    <w:rsid w:val="00D540AD"/>
    <w:rsid w:val="00D540E1"/>
    <w:rsid w:val="00D540E9"/>
    <w:rsid w:val="00D540ED"/>
    <w:rsid w:val="00D54107"/>
    <w:rsid w:val="00D5415F"/>
    <w:rsid w:val="00D5418F"/>
    <w:rsid w:val="00D541BC"/>
    <w:rsid w:val="00D5422A"/>
    <w:rsid w:val="00D5427D"/>
    <w:rsid w:val="00D542C7"/>
    <w:rsid w:val="00D542D1"/>
    <w:rsid w:val="00D54339"/>
    <w:rsid w:val="00D54392"/>
    <w:rsid w:val="00D543AD"/>
    <w:rsid w:val="00D5440D"/>
    <w:rsid w:val="00D54474"/>
    <w:rsid w:val="00D544B2"/>
    <w:rsid w:val="00D544B8"/>
    <w:rsid w:val="00D544F2"/>
    <w:rsid w:val="00D54542"/>
    <w:rsid w:val="00D54554"/>
    <w:rsid w:val="00D5457A"/>
    <w:rsid w:val="00D545A3"/>
    <w:rsid w:val="00D5462F"/>
    <w:rsid w:val="00D54631"/>
    <w:rsid w:val="00D54674"/>
    <w:rsid w:val="00D546B3"/>
    <w:rsid w:val="00D546BC"/>
    <w:rsid w:val="00D5472F"/>
    <w:rsid w:val="00D54776"/>
    <w:rsid w:val="00D54794"/>
    <w:rsid w:val="00D547E1"/>
    <w:rsid w:val="00D5483F"/>
    <w:rsid w:val="00D5486A"/>
    <w:rsid w:val="00D54885"/>
    <w:rsid w:val="00D548AB"/>
    <w:rsid w:val="00D54929"/>
    <w:rsid w:val="00D54932"/>
    <w:rsid w:val="00D54946"/>
    <w:rsid w:val="00D54955"/>
    <w:rsid w:val="00D549B0"/>
    <w:rsid w:val="00D549B5"/>
    <w:rsid w:val="00D549B7"/>
    <w:rsid w:val="00D549DE"/>
    <w:rsid w:val="00D54A20"/>
    <w:rsid w:val="00D54A48"/>
    <w:rsid w:val="00D54AA3"/>
    <w:rsid w:val="00D54AA9"/>
    <w:rsid w:val="00D54B3E"/>
    <w:rsid w:val="00D54B7A"/>
    <w:rsid w:val="00D54BA2"/>
    <w:rsid w:val="00D54BD5"/>
    <w:rsid w:val="00D54BD8"/>
    <w:rsid w:val="00D54BE5"/>
    <w:rsid w:val="00D54BF1"/>
    <w:rsid w:val="00D54C10"/>
    <w:rsid w:val="00D54C97"/>
    <w:rsid w:val="00D54CC3"/>
    <w:rsid w:val="00D54CCE"/>
    <w:rsid w:val="00D54D1D"/>
    <w:rsid w:val="00D54D21"/>
    <w:rsid w:val="00D54D85"/>
    <w:rsid w:val="00D54DDC"/>
    <w:rsid w:val="00D54E00"/>
    <w:rsid w:val="00D54E23"/>
    <w:rsid w:val="00D54F04"/>
    <w:rsid w:val="00D54F53"/>
    <w:rsid w:val="00D54F8B"/>
    <w:rsid w:val="00D54FAF"/>
    <w:rsid w:val="00D54FB3"/>
    <w:rsid w:val="00D54FCB"/>
    <w:rsid w:val="00D54FE4"/>
    <w:rsid w:val="00D54FF7"/>
    <w:rsid w:val="00D55019"/>
    <w:rsid w:val="00D55024"/>
    <w:rsid w:val="00D55036"/>
    <w:rsid w:val="00D550D0"/>
    <w:rsid w:val="00D55152"/>
    <w:rsid w:val="00D5516D"/>
    <w:rsid w:val="00D55184"/>
    <w:rsid w:val="00D55237"/>
    <w:rsid w:val="00D5524B"/>
    <w:rsid w:val="00D55259"/>
    <w:rsid w:val="00D55270"/>
    <w:rsid w:val="00D55272"/>
    <w:rsid w:val="00D552A1"/>
    <w:rsid w:val="00D552A3"/>
    <w:rsid w:val="00D552A5"/>
    <w:rsid w:val="00D552FC"/>
    <w:rsid w:val="00D5530A"/>
    <w:rsid w:val="00D55353"/>
    <w:rsid w:val="00D5535A"/>
    <w:rsid w:val="00D553D3"/>
    <w:rsid w:val="00D553E2"/>
    <w:rsid w:val="00D553ED"/>
    <w:rsid w:val="00D55436"/>
    <w:rsid w:val="00D5544E"/>
    <w:rsid w:val="00D5546B"/>
    <w:rsid w:val="00D55475"/>
    <w:rsid w:val="00D55477"/>
    <w:rsid w:val="00D55496"/>
    <w:rsid w:val="00D55498"/>
    <w:rsid w:val="00D554BA"/>
    <w:rsid w:val="00D554E5"/>
    <w:rsid w:val="00D554F8"/>
    <w:rsid w:val="00D55513"/>
    <w:rsid w:val="00D5552E"/>
    <w:rsid w:val="00D555BF"/>
    <w:rsid w:val="00D555FE"/>
    <w:rsid w:val="00D5560D"/>
    <w:rsid w:val="00D55693"/>
    <w:rsid w:val="00D556B8"/>
    <w:rsid w:val="00D556BD"/>
    <w:rsid w:val="00D557CB"/>
    <w:rsid w:val="00D55854"/>
    <w:rsid w:val="00D55888"/>
    <w:rsid w:val="00D558CF"/>
    <w:rsid w:val="00D558D7"/>
    <w:rsid w:val="00D558E3"/>
    <w:rsid w:val="00D5591B"/>
    <w:rsid w:val="00D559B3"/>
    <w:rsid w:val="00D559CB"/>
    <w:rsid w:val="00D559F4"/>
    <w:rsid w:val="00D55A03"/>
    <w:rsid w:val="00D55A60"/>
    <w:rsid w:val="00D55AB1"/>
    <w:rsid w:val="00D55ABA"/>
    <w:rsid w:val="00D55B21"/>
    <w:rsid w:val="00D55B2D"/>
    <w:rsid w:val="00D55B43"/>
    <w:rsid w:val="00D55B47"/>
    <w:rsid w:val="00D55B5E"/>
    <w:rsid w:val="00D55B92"/>
    <w:rsid w:val="00D55C3E"/>
    <w:rsid w:val="00D55CD7"/>
    <w:rsid w:val="00D55CF4"/>
    <w:rsid w:val="00D55D06"/>
    <w:rsid w:val="00D55D53"/>
    <w:rsid w:val="00D55DB1"/>
    <w:rsid w:val="00D55E2D"/>
    <w:rsid w:val="00D55E52"/>
    <w:rsid w:val="00D55E6E"/>
    <w:rsid w:val="00D55EDD"/>
    <w:rsid w:val="00D55EE0"/>
    <w:rsid w:val="00D55F67"/>
    <w:rsid w:val="00D55F94"/>
    <w:rsid w:val="00D55FC6"/>
    <w:rsid w:val="00D55FCC"/>
    <w:rsid w:val="00D55FF2"/>
    <w:rsid w:val="00D56038"/>
    <w:rsid w:val="00D560C6"/>
    <w:rsid w:val="00D560FA"/>
    <w:rsid w:val="00D5611B"/>
    <w:rsid w:val="00D56134"/>
    <w:rsid w:val="00D5613C"/>
    <w:rsid w:val="00D56142"/>
    <w:rsid w:val="00D561CE"/>
    <w:rsid w:val="00D561D8"/>
    <w:rsid w:val="00D56206"/>
    <w:rsid w:val="00D56207"/>
    <w:rsid w:val="00D5621A"/>
    <w:rsid w:val="00D5624B"/>
    <w:rsid w:val="00D5624F"/>
    <w:rsid w:val="00D5625A"/>
    <w:rsid w:val="00D5628F"/>
    <w:rsid w:val="00D562DF"/>
    <w:rsid w:val="00D56328"/>
    <w:rsid w:val="00D56379"/>
    <w:rsid w:val="00D564B8"/>
    <w:rsid w:val="00D564BA"/>
    <w:rsid w:val="00D56500"/>
    <w:rsid w:val="00D56522"/>
    <w:rsid w:val="00D56528"/>
    <w:rsid w:val="00D56573"/>
    <w:rsid w:val="00D565AA"/>
    <w:rsid w:val="00D56627"/>
    <w:rsid w:val="00D56630"/>
    <w:rsid w:val="00D56632"/>
    <w:rsid w:val="00D56637"/>
    <w:rsid w:val="00D56679"/>
    <w:rsid w:val="00D56688"/>
    <w:rsid w:val="00D5668D"/>
    <w:rsid w:val="00D566C1"/>
    <w:rsid w:val="00D5670F"/>
    <w:rsid w:val="00D56728"/>
    <w:rsid w:val="00D5672F"/>
    <w:rsid w:val="00D56734"/>
    <w:rsid w:val="00D56737"/>
    <w:rsid w:val="00D56744"/>
    <w:rsid w:val="00D5676C"/>
    <w:rsid w:val="00D56787"/>
    <w:rsid w:val="00D567A1"/>
    <w:rsid w:val="00D567D2"/>
    <w:rsid w:val="00D56807"/>
    <w:rsid w:val="00D56824"/>
    <w:rsid w:val="00D568AC"/>
    <w:rsid w:val="00D568B6"/>
    <w:rsid w:val="00D5696C"/>
    <w:rsid w:val="00D5698D"/>
    <w:rsid w:val="00D5699C"/>
    <w:rsid w:val="00D569CF"/>
    <w:rsid w:val="00D569E7"/>
    <w:rsid w:val="00D56A11"/>
    <w:rsid w:val="00D56A18"/>
    <w:rsid w:val="00D56A95"/>
    <w:rsid w:val="00D56AD1"/>
    <w:rsid w:val="00D56AE1"/>
    <w:rsid w:val="00D56AFC"/>
    <w:rsid w:val="00D56AFD"/>
    <w:rsid w:val="00D56B40"/>
    <w:rsid w:val="00D56B6D"/>
    <w:rsid w:val="00D56B82"/>
    <w:rsid w:val="00D56BF5"/>
    <w:rsid w:val="00D56C0E"/>
    <w:rsid w:val="00D56D2B"/>
    <w:rsid w:val="00D56D69"/>
    <w:rsid w:val="00D56DAD"/>
    <w:rsid w:val="00D56DC5"/>
    <w:rsid w:val="00D56DF8"/>
    <w:rsid w:val="00D56E18"/>
    <w:rsid w:val="00D56E1D"/>
    <w:rsid w:val="00D56E30"/>
    <w:rsid w:val="00D56E39"/>
    <w:rsid w:val="00D56E4A"/>
    <w:rsid w:val="00D56E58"/>
    <w:rsid w:val="00D56E5B"/>
    <w:rsid w:val="00D56E9F"/>
    <w:rsid w:val="00D56EE7"/>
    <w:rsid w:val="00D56F31"/>
    <w:rsid w:val="00D56F9B"/>
    <w:rsid w:val="00D56FD7"/>
    <w:rsid w:val="00D56FF3"/>
    <w:rsid w:val="00D5700E"/>
    <w:rsid w:val="00D57046"/>
    <w:rsid w:val="00D570C6"/>
    <w:rsid w:val="00D570E5"/>
    <w:rsid w:val="00D57147"/>
    <w:rsid w:val="00D57189"/>
    <w:rsid w:val="00D5718D"/>
    <w:rsid w:val="00D57195"/>
    <w:rsid w:val="00D57198"/>
    <w:rsid w:val="00D571A5"/>
    <w:rsid w:val="00D571BC"/>
    <w:rsid w:val="00D57213"/>
    <w:rsid w:val="00D5721C"/>
    <w:rsid w:val="00D57248"/>
    <w:rsid w:val="00D5725C"/>
    <w:rsid w:val="00D57296"/>
    <w:rsid w:val="00D5729C"/>
    <w:rsid w:val="00D572BE"/>
    <w:rsid w:val="00D572E3"/>
    <w:rsid w:val="00D572E8"/>
    <w:rsid w:val="00D572FF"/>
    <w:rsid w:val="00D57343"/>
    <w:rsid w:val="00D57362"/>
    <w:rsid w:val="00D57391"/>
    <w:rsid w:val="00D5739B"/>
    <w:rsid w:val="00D573CB"/>
    <w:rsid w:val="00D573D7"/>
    <w:rsid w:val="00D57413"/>
    <w:rsid w:val="00D57429"/>
    <w:rsid w:val="00D57433"/>
    <w:rsid w:val="00D57435"/>
    <w:rsid w:val="00D57484"/>
    <w:rsid w:val="00D57495"/>
    <w:rsid w:val="00D574A5"/>
    <w:rsid w:val="00D574B2"/>
    <w:rsid w:val="00D574B5"/>
    <w:rsid w:val="00D574E8"/>
    <w:rsid w:val="00D574ED"/>
    <w:rsid w:val="00D57522"/>
    <w:rsid w:val="00D5753D"/>
    <w:rsid w:val="00D57566"/>
    <w:rsid w:val="00D57567"/>
    <w:rsid w:val="00D57588"/>
    <w:rsid w:val="00D575DC"/>
    <w:rsid w:val="00D575F7"/>
    <w:rsid w:val="00D5769D"/>
    <w:rsid w:val="00D576A8"/>
    <w:rsid w:val="00D576DD"/>
    <w:rsid w:val="00D576FC"/>
    <w:rsid w:val="00D576FF"/>
    <w:rsid w:val="00D5770B"/>
    <w:rsid w:val="00D57782"/>
    <w:rsid w:val="00D57836"/>
    <w:rsid w:val="00D57876"/>
    <w:rsid w:val="00D57880"/>
    <w:rsid w:val="00D578CB"/>
    <w:rsid w:val="00D578D5"/>
    <w:rsid w:val="00D5794D"/>
    <w:rsid w:val="00D5795B"/>
    <w:rsid w:val="00D5795C"/>
    <w:rsid w:val="00D5797F"/>
    <w:rsid w:val="00D579B1"/>
    <w:rsid w:val="00D579B3"/>
    <w:rsid w:val="00D579B9"/>
    <w:rsid w:val="00D579D3"/>
    <w:rsid w:val="00D579E1"/>
    <w:rsid w:val="00D579FD"/>
    <w:rsid w:val="00D57A0E"/>
    <w:rsid w:val="00D57A20"/>
    <w:rsid w:val="00D57A61"/>
    <w:rsid w:val="00D57AAD"/>
    <w:rsid w:val="00D57AAF"/>
    <w:rsid w:val="00D57AD3"/>
    <w:rsid w:val="00D57AFA"/>
    <w:rsid w:val="00D57B34"/>
    <w:rsid w:val="00D57B85"/>
    <w:rsid w:val="00D57BB0"/>
    <w:rsid w:val="00D57BDA"/>
    <w:rsid w:val="00D57BE3"/>
    <w:rsid w:val="00D57BF0"/>
    <w:rsid w:val="00D57C09"/>
    <w:rsid w:val="00D57C1D"/>
    <w:rsid w:val="00D57C66"/>
    <w:rsid w:val="00D57C67"/>
    <w:rsid w:val="00D57CE7"/>
    <w:rsid w:val="00D57CFE"/>
    <w:rsid w:val="00D57D07"/>
    <w:rsid w:val="00D57D4D"/>
    <w:rsid w:val="00D57D59"/>
    <w:rsid w:val="00D57E59"/>
    <w:rsid w:val="00D57E7C"/>
    <w:rsid w:val="00D57EAD"/>
    <w:rsid w:val="00D57EB7"/>
    <w:rsid w:val="00D57EC4"/>
    <w:rsid w:val="00D57ED3"/>
    <w:rsid w:val="00D57EDB"/>
    <w:rsid w:val="00D57EFD"/>
    <w:rsid w:val="00D57F12"/>
    <w:rsid w:val="00D57F1A"/>
    <w:rsid w:val="00D57F58"/>
    <w:rsid w:val="00D57F74"/>
    <w:rsid w:val="00D60051"/>
    <w:rsid w:val="00D60063"/>
    <w:rsid w:val="00D6008C"/>
    <w:rsid w:val="00D600C8"/>
    <w:rsid w:val="00D6010B"/>
    <w:rsid w:val="00D60112"/>
    <w:rsid w:val="00D60151"/>
    <w:rsid w:val="00D60181"/>
    <w:rsid w:val="00D6018B"/>
    <w:rsid w:val="00D6019C"/>
    <w:rsid w:val="00D601AA"/>
    <w:rsid w:val="00D601C9"/>
    <w:rsid w:val="00D60211"/>
    <w:rsid w:val="00D60239"/>
    <w:rsid w:val="00D60253"/>
    <w:rsid w:val="00D60281"/>
    <w:rsid w:val="00D602AB"/>
    <w:rsid w:val="00D602E8"/>
    <w:rsid w:val="00D602FF"/>
    <w:rsid w:val="00D60301"/>
    <w:rsid w:val="00D6030A"/>
    <w:rsid w:val="00D60329"/>
    <w:rsid w:val="00D60332"/>
    <w:rsid w:val="00D60383"/>
    <w:rsid w:val="00D60407"/>
    <w:rsid w:val="00D60456"/>
    <w:rsid w:val="00D6046A"/>
    <w:rsid w:val="00D604A7"/>
    <w:rsid w:val="00D604AF"/>
    <w:rsid w:val="00D6053E"/>
    <w:rsid w:val="00D6056F"/>
    <w:rsid w:val="00D60584"/>
    <w:rsid w:val="00D60586"/>
    <w:rsid w:val="00D605F0"/>
    <w:rsid w:val="00D60602"/>
    <w:rsid w:val="00D60613"/>
    <w:rsid w:val="00D6065E"/>
    <w:rsid w:val="00D60678"/>
    <w:rsid w:val="00D606BD"/>
    <w:rsid w:val="00D606EA"/>
    <w:rsid w:val="00D60720"/>
    <w:rsid w:val="00D60737"/>
    <w:rsid w:val="00D60738"/>
    <w:rsid w:val="00D607EC"/>
    <w:rsid w:val="00D6080B"/>
    <w:rsid w:val="00D60856"/>
    <w:rsid w:val="00D6086E"/>
    <w:rsid w:val="00D608A4"/>
    <w:rsid w:val="00D608A6"/>
    <w:rsid w:val="00D608B9"/>
    <w:rsid w:val="00D608CA"/>
    <w:rsid w:val="00D608CC"/>
    <w:rsid w:val="00D608F3"/>
    <w:rsid w:val="00D6093A"/>
    <w:rsid w:val="00D6094A"/>
    <w:rsid w:val="00D6095D"/>
    <w:rsid w:val="00D60995"/>
    <w:rsid w:val="00D609CE"/>
    <w:rsid w:val="00D609EE"/>
    <w:rsid w:val="00D60A02"/>
    <w:rsid w:val="00D60A1D"/>
    <w:rsid w:val="00D60A29"/>
    <w:rsid w:val="00D60A6D"/>
    <w:rsid w:val="00D60AD9"/>
    <w:rsid w:val="00D60AE4"/>
    <w:rsid w:val="00D60B84"/>
    <w:rsid w:val="00D60BD4"/>
    <w:rsid w:val="00D60C1D"/>
    <w:rsid w:val="00D60CA0"/>
    <w:rsid w:val="00D60D0D"/>
    <w:rsid w:val="00D60D16"/>
    <w:rsid w:val="00D60D18"/>
    <w:rsid w:val="00D60D2D"/>
    <w:rsid w:val="00D60D4C"/>
    <w:rsid w:val="00D60D80"/>
    <w:rsid w:val="00D60D86"/>
    <w:rsid w:val="00D60DDD"/>
    <w:rsid w:val="00D60E60"/>
    <w:rsid w:val="00D60E73"/>
    <w:rsid w:val="00D60E74"/>
    <w:rsid w:val="00D60ED4"/>
    <w:rsid w:val="00D60F18"/>
    <w:rsid w:val="00D60F27"/>
    <w:rsid w:val="00D60F42"/>
    <w:rsid w:val="00D60F62"/>
    <w:rsid w:val="00D60F67"/>
    <w:rsid w:val="00D60F6F"/>
    <w:rsid w:val="00D60F75"/>
    <w:rsid w:val="00D60FBB"/>
    <w:rsid w:val="00D60FC5"/>
    <w:rsid w:val="00D61018"/>
    <w:rsid w:val="00D6102B"/>
    <w:rsid w:val="00D6103D"/>
    <w:rsid w:val="00D61079"/>
    <w:rsid w:val="00D6110F"/>
    <w:rsid w:val="00D61164"/>
    <w:rsid w:val="00D611AE"/>
    <w:rsid w:val="00D611CD"/>
    <w:rsid w:val="00D611D3"/>
    <w:rsid w:val="00D611E9"/>
    <w:rsid w:val="00D61287"/>
    <w:rsid w:val="00D612D0"/>
    <w:rsid w:val="00D61307"/>
    <w:rsid w:val="00D61316"/>
    <w:rsid w:val="00D61347"/>
    <w:rsid w:val="00D6135D"/>
    <w:rsid w:val="00D61366"/>
    <w:rsid w:val="00D6136C"/>
    <w:rsid w:val="00D6137F"/>
    <w:rsid w:val="00D61380"/>
    <w:rsid w:val="00D6139F"/>
    <w:rsid w:val="00D613BC"/>
    <w:rsid w:val="00D6140B"/>
    <w:rsid w:val="00D6141F"/>
    <w:rsid w:val="00D6144F"/>
    <w:rsid w:val="00D61479"/>
    <w:rsid w:val="00D614B1"/>
    <w:rsid w:val="00D614B3"/>
    <w:rsid w:val="00D614BB"/>
    <w:rsid w:val="00D61560"/>
    <w:rsid w:val="00D6157F"/>
    <w:rsid w:val="00D61595"/>
    <w:rsid w:val="00D615A9"/>
    <w:rsid w:val="00D615CE"/>
    <w:rsid w:val="00D615EB"/>
    <w:rsid w:val="00D615F1"/>
    <w:rsid w:val="00D6165B"/>
    <w:rsid w:val="00D616C8"/>
    <w:rsid w:val="00D616CB"/>
    <w:rsid w:val="00D616DE"/>
    <w:rsid w:val="00D616ED"/>
    <w:rsid w:val="00D61711"/>
    <w:rsid w:val="00D6174F"/>
    <w:rsid w:val="00D6178C"/>
    <w:rsid w:val="00D617C8"/>
    <w:rsid w:val="00D617EC"/>
    <w:rsid w:val="00D61807"/>
    <w:rsid w:val="00D6183E"/>
    <w:rsid w:val="00D6185B"/>
    <w:rsid w:val="00D61866"/>
    <w:rsid w:val="00D6187F"/>
    <w:rsid w:val="00D618BA"/>
    <w:rsid w:val="00D618E1"/>
    <w:rsid w:val="00D6190D"/>
    <w:rsid w:val="00D61944"/>
    <w:rsid w:val="00D61951"/>
    <w:rsid w:val="00D619B7"/>
    <w:rsid w:val="00D619C7"/>
    <w:rsid w:val="00D619D3"/>
    <w:rsid w:val="00D619DE"/>
    <w:rsid w:val="00D619E0"/>
    <w:rsid w:val="00D61A10"/>
    <w:rsid w:val="00D61A13"/>
    <w:rsid w:val="00D61A8C"/>
    <w:rsid w:val="00D61AC4"/>
    <w:rsid w:val="00D61AC5"/>
    <w:rsid w:val="00D61AF9"/>
    <w:rsid w:val="00D61B8C"/>
    <w:rsid w:val="00D61BBC"/>
    <w:rsid w:val="00D61BBD"/>
    <w:rsid w:val="00D61BFC"/>
    <w:rsid w:val="00D61C12"/>
    <w:rsid w:val="00D61C39"/>
    <w:rsid w:val="00D61C4F"/>
    <w:rsid w:val="00D61C6D"/>
    <w:rsid w:val="00D61C81"/>
    <w:rsid w:val="00D61CA2"/>
    <w:rsid w:val="00D61CD3"/>
    <w:rsid w:val="00D61CD8"/>
    <w:rsid w:val="00D61CEE"/>
    <w:rsid w:val="00D61CF5"/>
    <w:rsid w:val="00D61D02"/>
    <w:rsid w:val="00D61D25"/>
    <w:rsid w:val="00D61DA2"/>
    <w:rsid w:val="00D61DCF"/>
    <w:rsid w:val="00D61DF6"/>
    <w:rsid w:val="00D61E26"/>
    <w:rsid w:val="00D61E3D"/>
    <w:rsid w:val="00D61E8A"/>
    <w:rsid w:val="00D61EAC"/>
    <w:rsid w:val="00D61EE9"/>
    <w:rsid w:val="00D61F6F"/>
    <w:rsid w:val="00D61FD8"/>
    <w:rsid w:val="00D61FDF"/>
    <w:rsid w:val="00D61FF9"/>
    <w:rsid w:val="00D6200F"/>
    <w:rsid w:val="00D6201B"/>
    <w:rsid w:val="00D6203F"/>
    <w:rsid w:val="00D62061"/>
    <w:rsid w:val="00D6207C"/>
    <w:rsid w:val="00D620B1"/>
    <w:rsid w:val="00D620F7"/>
    <w:rsid w:val="00D62100"/>
    <w:rsid w:val="00D62116"/>
    <w:rsid w:val="00D62130"/>
    <w:rsid w:val="00D62184"/>
    <w:rsid w:val="00D62189"/>
    <w:rsid w:val="00D6219F"/>
    <w:rsid w:val="00D621B2"/>
    <w:rsid w:val="00D621F1"/>
    <w:rsid w:val="00D6220D"/>
    <w:rsid w:val="00D62217"/>
    <w:rsid w:val="00D6221E"/>
    <w:rsid w:val="00D62286"/>
    <w:rsid w:val="00D62300"/>
    <w:rsid w:val="00D62308"/>
    <w:rsid w:val="00D62329"/>
    <w:rsid w:val="00D623C5"/>
    <w:rsid w:val="00D623E2"/>
    <w:rsid w:val="00D62407"/>
    <w:rsid w:val="00D62409"/>
    <w:rsid w:val="00D6261B"/>
    <w:rsid w:val="00D62661"/>
    <w:rsid w:val="00D62672"/>
    <w:rsid w:val="00D62695"/>
    <w:rsid w:val="00D626A1"/>
    <w:rsid w:val="00D626BD"/>
    <w:rsid w:val="00D626D4"/>
    <w:rsid w:val="00D626D6"/>
    <w:rsid w:val="00D62713"/>
    <w:rsid w:val="00D62729"/>
    <w:rsid w:val="00D6276D"/>
    <w:rsid w:val="00D627AD"/>
    <w:rsid w:val="00D627C0"/>
    <w:rsid w:val="00D627D5"/>
    <w:rsid w:val="00D627E2"/>
    <w:rsid w:val="00D62877"/>
    <w:rsid w:val="00D628A9"/>
    <w:rsid w:val="00D6295F"/>
    <w:rsid w:val="00D629C1"/>
    <w:rsid w:val="00D629FA"/>
    <w:rsid w:val="00D629FF"/>
    <w:rsid w:val="00D62A4A"/>
    <w:rsid w:val="00D62AA3"/>
    <w:rsid w:val="00D62B03"/>
    <w:rsid w:val="00D62B69"/>
    <w:rsid w:val="00D62B8D"/>
    <w:rsid w:val="00D62BBE"/>
    <w:rsid w:val="00D62BD7"/>
    <w:rsid w:val="00D62C35"/>
    <w:rsid w:val="00D62C85"/>
    <w:rsid w:val="00D62CA5"/>
    <w:rsid w:val="00D62CD6"/>
    <w:rsid w:val="00D62D05"/>
    <w:rsid w:val="00D62D0E"/>
    <w:rsid w:val="00D62D2A"/>
    <w:rsid w:val="00D62D32"/>
    <w:rsid w:val="00D62D52"/>
    <w:rsid w:val="00D62D6B"/>
    <w:rsid w:val="00D62D78"/>
    <w:rsid w:val="00D62D8F"/>
    <w:rsid w:val="00D62D9F"/>
    <w:rsid w:val="00D62DA5"/>
    <w:rsid w:val="00D62DBA"/>
    <w:rsid w:val="00D62E03"/>
    <w:rsid w:val="00D62EDA"/>
    <w:rsid w:val="00D62EEC"/>
    <w:rsid w:val="00D62F31"/>
    <w:rsid w:val="00D62F3B"/>
    <w:rsid w:val="00D62F45"/>
    <w:rsid w:val="00D62F9D"/>
    <w:rsid w:val="00D62FAD"/>
    <w:rsid w:val="00D62FD4"/>
    <w:rsid w:val="00D62FE8"/>
    <w:rsid w:val="00D6301D"/>
    <w:rsid w:val="00D6304A"/>
    <w:rsid w:val="00D6307E"/>
    <w:rsid w:val="00D63087"/>
    <w:rsid w:val="00D630A6"/>
    <w:rsid w:val="00D630A9"/>
    <w:rsid w:val="00D630DE"/>
    <w:rsid w:val="00D6310A"/>
    <w:rsid w:val="00D63128"/>
    <w:rsid w:val="00D63137"/>
    <w:rsid w:val="00D63153"/>
    <w:rsid w:val="00D63154"/>
    <w:rsid w:val="00D6315B"/>
    <w:rsid w:val="00D6316B"/>
    <w:rsid w:val="00D631B5"/>
    <w:rsid w:val="00D631C9"/>
    <w:rsid w:val="00D631F6"/>
    <w:rsid w:val="00D631FD"/>
    <w:rsid w:val="00D6321B"/>
    <w:rsid w:val="00D6321F"/>
    <w:rsid w:val="00D63223"/>
    <w:rsid w:val="00D6322E"/>
    <w:rsid w:val="00D63254"/>
    <w:rsid w:val="00D6325E"/>
    <w:rsid w:val="00D632F0"/>
    <w:rsid w:val="00D632FF"/>
    <w:rsid w:val="00D6336F"/>
    <w:rsid w:val="00D633BD"/>
    <w:rsid w:val="00D633C1"/>
    <w:rsid w:val="00D633C3"/>
    <w:rsid w:val="00D633C6"/>
    <w:rsid w:val="00D63461"/>
    <w:rsid w:val="00D634A8"/>
    <w:rsid w:val="00D634B8"/>
    <w:rsid w:val="00D634E1"/>
    <w:rsid w:val="00D63532"/>
    <w:rsid w:val="00D63543"/>
    <w:rsid w:val="00D63566"/>
    <w:rsid w:val="00D6359B"/>
    <w:rsid w:val="00D635AA"/>
    <w:rsid w:val="00D635C0"/>
    <w:rsid w:val="00D635CF"/>
    <w:rsid w:val="00D63638"/>
    <w:rsid w:val="00D6363F"/>
    <w:rsid w:val="00D63655"/>
    <w:rsid w:val="00D636A3"/>
    <w:rsid w:val="00D636B7"/>
    <w:rsid w:val="00D636C0"/>
    <w:rsid w:val="00D636FD"/>
    <w:rsid w:val="00D63777"/>
    <w:rsid w:val="00D637A1"/>
    <w:rsid w:val="00D637D6"/>
    <w:rsid w:val="00D637EB"/>
    <w:rsid w:val="00D63801"/>
    <w:rsid w:val="00D6380C"/>
    <w:rsid w:val="00D63886"/>
    <w:rsid w:val="00D638BF"/>
    <w:rsid w:val="00D638D7"/>
    <w:rsid w:val="00D638E0"/>
    <w:rsid w:val="00D6394B"/>
    <w:rsid w:val="00D63972"/>
    <w:rsid w:val="00D63977"/>
    <w:rsid w:val="00D6399A"/>
    <w:rsid w:val="00D63A3B"/>
    <w:rsid w:val="00D63A6C"/>
    <w:rsid w:val="00D63AA3"/>
    <w:rsid w:val="00D63AE3"/>
    <w:rsid w:val="00D63AE7"/>
    <w:rsid w:val="00D63AF3"/>
    <w:rsid w:val="00D63B05"/>
    <w:rsid w:val="00D63B15"/>
    <w:rsid w:val="00D63B4D"/>
    <w:rsid w:val="00D63B70"/>
    <w:rsid w:val="00D63B79"/>
    <w:rsid w:val="00D63BA9"/>
    <w:rsid w:val="00D63BAB"/>
    <w:rsid w:val="00D63BB4"/>
    <w:rsid w:val="00D63BD1"/>
    <w:rsid w:val="00D63BE2"/>
    <w:rsid w:val="00D63C6E"/>
    <w:rsid w:val="00D63C9B"/>
    <w:rsid w:val="00D63D0F"/>
    <w:rsid w:val="00D63D56"/>
    <w:rsid w:val="00D63D68"/>
    <w:rsid w:val="00D63D6F"/>
    <w:rsid w:val="00D63D85"/>
    <w:rsid w:val="00D63D89"/>
    <w:rsid w:val="00D63DD4"/>
    <w:rsid w:val="00D63DE7"/>
    <w:rsid w:val="00D63E9A"/>
    <w:rsid w:val="00D63ECD"/>
    <w:rsid w:val="00D63F27"/>
    <w:rsid w:val="00D63F2B"/>
    <w:rsid w:val="00D63FAD"/>
    <w:rsid w:val="00D63FB4"/>
    <w:rsid w:val="00D63FED"/>
    <w:rsid w:val="00D63FFD"/>
    <w:rsid w:val="00D6400B"/>
    <w:rsid w:val="00D64022"/>
    <w:rsid w:val="00D64033"/>
    <w:rsid w:val="00D64064"/>
    <w:rsid w:val="00D64091"/>
    <w:rsid w:val="00D640D5"/>
    <w:rsid w:val="00D640F5"/>
    <w:rsid w:val="00D640FC"/>
    <w:rsid w:val="00D64132"/>
    <w:rsid w:val="00D64133"/>
    <w:rsid w:val="00D64194"/>
    <w:rsid w:val="00D641E4"/>
    <w:rsid w:val="00D64298"/>
    <w:rsid w:val="00D642A9"/>
    <w:rsid w:val="00D642CA"/>
    <w:rsid w:val="00D642CC"/>
    <w:rsid w:val="00D64306"/>
    <w:rsid w:val="00D64365"/>
    <w:rsid w:val="00D643EA"/>
    <w:rsid w:val="00D6441C"/>
    <w:rsid w:val="00D64463"/>
    <w:rsid w:val="00D644A8"/>
    <w:rsid w:val="00D644BB"/>
    <w:rsid w:val="00D644F6"/>
    <w:rsid w:val="00D64501"/>
    <w:rsid w:val="00D64514"/>
    <w:rsid w:val="00D64517"/>
    <w:rsid w:val="00D64538"/>
    <w:rsid w:val="00D64575"/>
    <w:rsid w:val="00D64592"/>
    <w:rsid w:val="00D645BA"/>
    <w:rsid w:val="00D645C4"/>
    <w:rsid w:val="00D645F2"/>
    <w:rsid w:val="00D64630"/>
    <w:rsid w:val="00D6466B"/>
    <w:rsid w:val="00D6467E"/>
    <w:rsid w:val="00D64693"/>
    <w:rsid w:val="00D646BA"/>
    <w:rsid w:val="00D646DE"/>
    <w:rsid w:val="00D646EF"/>
    <w:rsid w:val="00D64728"/>
    <w:rsid w:val="00D64729"/>
    <w:rsid w:val="00D64731"/>
    <w:rsid w:val="00D64777"/>
    <w:rsid w:val="00D647AA"/>
    <w:rsid w:val="00D647B8"/>
    <w:rsid w:val="00D647C6"/>
    <w:rsid w:val="00D647D4"/>
    <w:rsid w:val="00D647E3"/>
    <w:rsid w:val="00D64800"/>
    <w:rsid w:val="00D64846"/>
    <w:rsid w:val="00D64862"/>
    <w:rsid w:val="00D6486A"/>
    <w:rsid w:val="00D64891"/>
    <w:rsid w:val="00D648A4"/>
    <w:rsid w:val="00D648C6"/>
    <w:rsid w:val="00D648CF"/>
    <w:rsid w:val="00D64909"/>
    <w:rsid w:val="00D64914"/>
    <w:rsid w:val="00D6498E"/>
    <w:rsid w:val="00D649AB"/>
    <w:rsid w:val="00D649C0"/>
    <w:rsid w:val="00D649E8"/>
    <w:rsid w:val="00D64A01"/>
    <w:rsid w:val="00D64A2D"/>
    <w:rsid w:val="00D64AC3"/>
    <w:rsid w:val="00D64AE6"/>
    <w:rsid w:val="00D64B33"/>
    <w:rsid w:val="00D64B6A"/>
    <w:rsid w:val="00D64BB4"/>
    <w:rsid w:val="00D64BC1"/>
    <w:rsid w:val="00D64BE3"/>
    <w:rsid w:val="00D64C1F"/>
    <w:rsid w:val="00D64C32"/>
    <w:rsid w:val="00D64C33"/>
    <w:rsid w:val="00D64C41"/>
    <w:rsid w:val="00D64C51"/>
    <w:rsid w:val="00D64C5A"/>
    <w:rsid w:val="00D64CB1"/>
    <w:rsid w:val="00D64CC4"/>
    <w:rsid w:val="00D64CD8"/>
    <w:rsid w:val="00D64CEA"/>
    <w:rsid w:val="00D64D17"/>
    <w:rsid w:val="00D64D30"/>
    <w:rsid w:val="00D64D71"/>
    <w:rsid w:val="00D64D72"/>
    <w:rsid w:val="00D64D75"/>
    <w:rsid w:val="00D64D8D"/>
    <w:rsid w:val="00D64D95"/>
    <w:rsid w:val="00D64DA8"/>
    <w:rsid w:val="00D64DCC"/>
    <w:rsid w:val="00D64E92"/>
    <w:rsid w:val="00D64EA4"/>
    <w:rsid w:val="00D64EFE"/>
    <w:rsid w:val="00D64F03"/>
    <w:rsid w:val="00D64F0E"/>
    <w:rsid w:val="00D64F1A"/>
    <w:rsid w:val="00D64F37"/>
    <w:rsid w:val="00D64F47"/>
    <w:rsid w:val="00D64F98"/>
    <w:rsid w:val="00D64FB2"/>
    <w:rsid w:val="00D65008"/>
    <w:rsid w:val="00D65036"/>
    <w:rsid w:val="00D65081"/>
    <w:rsid w:val="00D65088"/>
    <w:rsid w:val="00D6508B"/>
    <w:rsid w:val="00D6508D"/>
    <w:rsid w:val="00D650A8"/>
    <w:rsid w:val="00D650E0"/>
    <w:rsid w:val="00D65115"/>
    <w:rsid w:val="00D65118"/>
    <w:rsid w:val="00D65121"/>
    <w:rsid w:val="00D65214"/>
    <w:rsid w:val="00D65235"/>
    <w:rsid w:val="00D6525F"/>
    <w:rsid w:val="00D65269"/>
    <w:rsid w:val="00D652ED"/>
    <w:rsid w:val="00D65315"/>
    <w:rsid w:val="00D6532A"/>
    <w:rsid w:val="00D65383"/>
    <w:rsid w:val="00D653D1"/>
    <w:rsid w:val="00D65404"/>
    <w:rsid w:val="00D6540E"/>
    <w:rsid w:val="00D6540F"/>
    <w:rsid w:val="00D65454"/>
    <w:rsid w:val="00D65480"/>
    <w:rsid w:val="00D6548A"/>
    <w:rsid w:val="00D654BA"/>
    <w:rsid w:val="00D654E0"/>
    <w:rsid w:val="00D6551C"/>
    <w:rsid w:val="00D65579"/>
    <w:rsid w:val="00D65592"/>
    <w:rsid w:val="00D655D6"/>
    <w:rsid w:val="00D65602"/>
    <w:rsid w:val="00D65618"/>
    <w:rsid w:val="00D6565D"/>
    <w:rsid w:val="00D656B3"/>
    <w:rsid w:val="00D656C3"/>
    <w:rsid w:val="00D656F8"/>
    <w:rsid w:val="00D656FA"/>
    <w:rsid w:val="00D65705"/>
    <w:rsid w:val="00D657BE"/>
    <w:rsid w:val="00D657F4"/>
    <w:rsid w:val="00D657FA"/>
    <w:rsid w:val="00D6584F"/>
    <w:rsid w:val="00D65851"/>
    <w:rsid w:val="00D65877"/>
    <w:rsid w:val="00D65880"/>
    <w:rsid w:val="00D65889"/>
    <w:rsid w:val="00D6593B"/>
    <w:rsid w:val="00D65958"/>
    <w:rsid w:val="00D659B5"/>
    <w:rsid w:val="00D659C1"/>
    <w:rsid w:val="00D659E2"/>
    <w:rsid w:val="00D659ED"/>
    <w:rsid w:val="00D659F2"/>
    <w:rsid w:val="00D659F9"/>
    <w:rsid w:val="00D659FE"/>
    <w:rsid w:val="00D65A56"/>
    <w:rsid w:val="00D65A70"/>
    <w:rsid w:val="00D65AF5"/>
    <w:rsid w:val="00D65B1D"/>
    <w:rsid w:val="00D65B3C"/>
    <w:rsid w:val="00D65BA9"/>
    <w:rsid w:val="00D65BD0"/>
    <w:rsid w:val="00D65BDE"/>
    <w:rsid w:val="00D65C0E"/>
    <w:rsid w:val="00D65C4C"/>
    <w:rsid w:val="00D65C68"/>
    <w:rsid w:val="00D65C74"/>
    <w:rsid w:val="00D65C96"/>
    <w:rsid w:val="00D65D24"/>
    <w:rsid w:val="00D65D2F"/>
    <w:rsid w:val="00D65D43"/>
    <w:rsid w:val="00D65D54"/>
    <w:rsid w:val="00D65D6B"/>
    <w:rsid w:val="00D65D93"/>
    <w:rsid w:val="00D65D9A"/>
    <w:rsid w:val="00D65DB6"/>
    <w:rsid w:val="00D65E4C"/>
    <w:rsid w:val="00D65F70"/>
    <w:rsid w:val="00D65F96"/>
    <w:rsid w:val="00D65FA4"/>
    <w:rsid w:val="00D65FE8"/>
    <w:rsid w:val="00D66021"/>
    <w:rsid w:val="00D66061"/>
    <w:rsid w:val="00D66065"/>
    <w:rsid w:val="00D6606A"/>
    <w:rsid w:val="00D6607B"/>
    <w:rsid w:val="00D66090"/>
    <w:rsid w:val="00D660D2"/>
    <w:rsid w:val="00D660D9"/>
    <w:rsid w:val="00D660DD"/>
    <w:rsid w:val="00D66120"/>
    <w:rsid w:val="00D6612F"/>
    <w:rsid w:val="00D6614F"/>
    <w:rsid w:val="00D661C6"/>
    <w:rsid w:val="00D6620E"/>
    <w:rsid w:val="00D66218"/>
    <w:rsid w:val="00D6622E"/>
    <w:rsid w:val="00D66274"/>
    <w:rsid w:val="00D662BB"/>
    <w:rsid w:val="00D662C0"/>
    <w:rsid w:val="00D662C2"/>
    <w:rsid w:val="00D662C5"/>
    <w:rsid w:val="00D662D6"/>
    <w:rsid w:val="00D6630B"/>
    <w:rsid w:val="00D66344"/>
    <w:rsid w:val="00D6634D"/>
    <w:rsid w:val="00D6638D"/>
    <w:rsid w:val="00D663CB"/>
    <w:rsid w:val="00D663EC"/>
    <w:rsid w:val="00D663F7"/>
    <w:rsid w:val="00D664A9"/>
    <w:rsid w:val="00D664AE"/>
    <w:rsid w:val="00D66503"/>
    <w:rsid w:val="00D66509"/>
    <w:rsid w:val="00D66510"/>
    <w:rsid w:val="00D66534"/>
    <w:rsid w:val="00D66570"/>
    <w:rsid w:val="00D665B2"/>
    <w:rsid w:val="00D66609"/>
    <w:rsid w:val="00D66680"/>
    <w:rsid w:val="00D6668B"/>
    <w:rsid w:val="00D666CA"/>
    <w:rsid w:val="00D666D8"/>
    <w:rsid w:val="00D66760"/>
    <w:rsid w:val="00D66795"/>
    <w:rsid w:val="00D667A9"/>
    <w:rsid w:val="00D66824"/>
    <w:rsid w:val="00D6682F"/>
    <w:rsid w:val="00D66845"/>
    <w:rsid w:val="00D668B8"/>
    <w:rsid w:val="00D66915"/>
    <w:rsid w:val="00D6695C"/>
    <w:rsid w:val="00D66963"/>
    <w:rsid w:val="00D66990"/>
    <w:rsid w:val="00D66999"/>
    <w:rsid w:val="00D669A7"/>
    <w:rsid w:val="00D669DB"/>
    <w:rsid w:val="00D66A03"/>
    <w:rsid w:val="00D66A80"/>
    <w:rsid w:val="00D66AAC"/>
    <w:rsid w:val="00D66ABE"/>
    <w:rsid w:val="00D66ADF"/>
    <w:rsid w:val="00D66B06"/>
    <w:rsid w:val="00D66B10"/>
    <w:rsid w:val="00D66B1D"/>
    <w:rsid w:val="00D66B27"/>
    <w:rsid w:val="00D66B53"/>
    <w:rsid w:val="00D66B84"/>
    <w:rsid w:val="00D66BD0"/>
    <w:rsid w:val="00D66BE0"/>
    <w:rsid w:val="00D66BF5"/>
    <w:rsid w:val="00D66C35"/>
    <w:rsid w:val="00D66C50"/>
    <w:rsid w:val="00D66C78"/>
    <w:rsid w:val="00D66CB5"/>
    <w:rsid w:val="00D66CE6"/>
    <w:rsid w:val="00D66D0F"/>
    <w:rsid w:val="00D66D3C"/>
    <w:rsid w:val="00D66D6A"/>
    <w:rsid w:val="00D66E25"/>
    <w:rsid w:val="00D66E27"/>
    <w:rsid w:val="00D66E2B"/>
    <w:rsid w:val="00D66E39"/>
    <w:rsid w:val="00D66E61"/>
    <w:rsid w:val="00D66EDB"/>
    <w:rsid w:val="00D66EF0"/>
    <w:rsid w:val="00D66F25"/>
    <w:rsid w:val="00D66F3A"/>
    <w:rsid w:val="00D66F66"/>
    <w:rsid w:val="00D66FD9"/>
    <w:rsid w:val="00D66FDA"/>
    <w:rsid w:val="00D66FF6"/>
    <w:rsid w:val="00D67021"/>
    <w:rsid w:val="00D67030"/>
    <w:rsid w:val="00D67052"/>
    <w:rsid w:val="00D6708D"/>
    <w:rsid w:val="00D6709E"/>
    <w:rsid w:val="00D670AB"/>
    <w:rsid w:val="00D6711E"/>
    <w:rsid w:val="00D6712C"/>
    <w:rsid w:val="00D6714B"/>
    <w:rsid w:val="00D6716E"/>
    <w:rsid w:val="00D671D3"/>
    <w:rsid w:val="00D6720E"/>
    <w:rsid w:val="00D6721F"/>
    <w:rsid w:val="00D67222"/>
    <w:rsid w:val="00D6723F"/>
    <w:rsid w:val="00D6729B"/>
    <w:rsid w:val="00D672A6"/>
    <w:rsid w:val="00D672B7"/>
    <w:rsid w:val="00D672CF"/>
    <w:rsid w:val="00D672D9"/>
    <w:rsid w:val="00D672DA"/>
    <w:rsid w:val="00D672ED"/>
    <w:rsid w:val="00D67337"/>
    <w:rsid w:val="00D6740E"/>
    <w:rsid w:val="00D674AF"/>
    <w:rsid w:val="00D674B6"/>
    <w:rsid w:val="00D6755B"/>
    <w:rsid w:val="00D67640"/>
    <w:rsid w:val="00D6765F"/>
    <w:rsid w:val="00D67663"/>
    <w:rsid w:val="00D6772C"/>
    <w:rsid w:val="00D6774F"/>
    <w:rsid w:val="00D677C7"/>
    <w:rsid w:val="00D677F9"/>
    <w:rsid w:val="00D67869"/>
    <w:rsid w:val="00D6787E"/>
    <w:rsid w:val="00D67885"/>
    <w:rsid w:val="00D67886"/>
    <w:rsid w:val="00D678A5"/>
    <w:rsid w:val="00D678C2"/>
    <w:rsid w:val="00D678D9"/>
    <w:rsid w:val="00D678F0"/>
    <w:rsid w:val="00D6793C"/>
    <w:rsid w:val="00D67966"/>
    <w:rsid w:val="00D6796F"/>
    <w:rsid w:val="00D679AA"/>
    <w:rsid w:val="00D679B7"/>
    <w:rsid w:val="00D679FD"/>
    <w:rsid w:val="00D67A06"/>
    <w:rsid w:val="00D67A2F"/>
    <w:rsid w:val="00D67A91"/>
    <w:rsid w:val="00D67ABD"/>
    <w:rsid w:val="00D67AEF"/>
    <w:rsid w:val="00D67B76"/>
    <w:rsid w:val="00D67B8A"/>
    <w:rsid w:val="00D67BAE"/>
    <w:rsid w:val="00D67BE5"/>
    <w:rsid w:val="00D67C03"/>
    <w:rsid w:val="00D67C4E"/>
    <w:rsid w:val="00D67C8C"/>
    <w:rsid w:val="00D67D32"/>
    <w:rsid w:val="00D67D6F"/>
    <w:rsid w:val="00D67E04"/>
    <w:rsid w:val="00D67E1D"/>
    <w:rsid w:val="00D67E21"/>
    <w:rsid w:val="00D67E48"/>
    <w:rsid w:val="00D67E63"/>
    <w:rsid w:val="00D67EAF"/>
    <w:rsid w:val="00D67EBB"/>
    <w:rsid w:val="00D67F34"/>
    <w:rsid w:val="00D67F6E"/>
    <w:rsid w:val="00D67F7A"/>
    <w:rsid w:val="00D67F84"/>
    <w:rsid w:val="00D67F9E"/>
    <w:rsid w:val="00D70006"/>
    <w:rsid w:val="00D7001D"/>
    <w:rsid w:val="00D70055"/>
    <w:rsid w:val="00D7009C"/>
    <w:rsid w:val="00D700A1"/>
    <w:rsid w:val="00D700F1"/>
    <w:rsid w:val="00D7011D"/>
    <w:rsid w:val="00D70131"/>
    <w:rsid w:val="00D7018C"/>
    <w:rsid w:val="00D701B6"/>
    <w:rsid w:val="00D701DE"/>
    <w:rsid w:val="00D701E2"/>
    <w:rsid w:val="00D701FA"/>
    <w:rsid w:val="00D70235"/>
    <w:rsid w:val="00D7025A"/>
    <w:rsid w:val="00D70271"/>
    <w:rsid w:val="00D7028B"/>
    <w:rsid w:val="00D702C2"/>
    <w:rsid w:val="00D702CC"/>
    <w:rsid w:val="00D702CD"/>
    <w:rsid w:val="00D7030E"/>
    <w:rsid w:val="00D7035E"/>
    <w:rsid w:val="00D70377"/>
    <w:rsid w:val="00D70384"/>
    <w:rsid w:val="00D7039C"/>
    <w:rsid w:val="00D703C2"/>
    <w:rsid w:val="00D703DF"/>
    <w:rsid w:val="00D703FC"/>
    <w:rsid w:val="00D70413"/>
    <w:rsid w:val="00D70434"/>
    <w:rsid w:val="00D7048E"/>
    <w:rsid w:val="00D704AD"/>
    <w:rsid w:val="00D704C3"/>
    <w:rsid w:val="00D704D5"/>
    <w:rsid w:val="00D704F8"/>
    <w:rsid w:val="00D70518"/>
    <w:rsid w:val="00D7053F"/>
    <w:rsid w:val="00D705EE"/>
    <w:rsid w:val="00D7066A"/>
    <w:rsid w:val="00D706D8"/>
    <w:rsid w:val="00D706E1"/>
    <w:rsid w:val="00D70722"/>
    <w:rsid w:val="00D70731"/>
    <w:rsid w:val="00D70775"/>
    <w:rsid w:val="00D70793"/>
    <w:rsid w:val="00D707AC"/>
    <w:rsid w:val="00D707F2"/>
    <w:rsid w:val="00D708D6"/>
    <w:rsid w:val="00D708E8"/>
    <w:rsid w:val="00D70909"/>
    <w:rsid w:val="00D7094E"/>
    <w:rsid w:val="00D7096F"/>
    <w:rsid w:val="00D709FE"/>
    <w:rsid w:val="00D70A00"/>
    <w:rsid w:val="00D70A5F"/>
    <w:rsid w:val="00D70A6E"/>
    <w:rsid w:val="00D70AB0"/>
    <w:rsid w:val="00D70AB9"/>
    <w:rsid w:val="00D70ACD"/>
    <w:rsid w:val="00D70AE7"/>
    <w:rsid w:val="00D70AF8"/>
    <w:rsid w:val="00D70B07"/>
    <w:rsid w:val="00D70B14"/>
    <w:rsid w:val="00D70B20"/>
    <w:rsid w:val="00D70B7A"/>
    <w:rsid w:val="00D70B81"/>
    <w:rsid w:val="00D70C1E"/>
    <w:rsid w:val="00D70C3E"/>
    <w:rsid w:val="00D70C6D"/>
    <w:rsid w:val="00D70C89"/>
    <w:rsid w:val="00D70C96"/>
    <w:rsid w:val="00D70CBF"/>
    <w:rsid w:val="00D70D2F"/>
    <w:rsid w:val="00D70DB0"/>
    <w:rsid w:val="00D70DEC"/>
    <w:rsid w:val="00D70E34"/>
    <w:rsid w:val="00D70E60"/>
    <w:rsid w:val="00D70E79"/>
    <w:rsid w:val="00D70E7C"/>
    <w:rsid w:val="00D70EA5"/>
    <w:rsid w:val="00D70EB4"/>
    <w:rsid w:val="00D70EBA"/>
    <w:rsid w:val="00D70EBF"/>
    <w:rsid w:val="00D70F32"/>
    <w:rsid w:val="00D70F72"/>
    <w:rsid w:val="00D70FC7"/>
    <w:rsid w:val="00D71013"/>
    <w:rsid w:val="00D7101A"/>
    <w:rsid w:val="00D71030"/>
    <w:rsid w:val="00D7105D"/>
    <w:rsid w:val="00D710AB"/>
    <w:rsid w:val="00D710C3"/>
    <w:rsid w:val="00D71139"/>
    <w:rsid w:val="00D71140"/>
    <w:rsid w:val="00D7117F"/>
    <w:rsid w:val="00D711F3"/>
    <w:rsid w:val="00D71213"/>
    <w:rsid w:val="00D71216"/>
    <w:rsid w:val="00D71243"/>
    <w:rsid w:val="00D71263"/>
    <w:rsid w:val="00D71273"/>
    <w:rsid w:val="00D712A2"/>
    <w:rsid w:val="00D712B1"/>
    <w:rsid w:val="00D712C2"/>
    <w:rsid w:val="00D71342"/>
    <w:rsid w:val="00D71344"/>
    <w:rsid w:val="00D71373"/>
    <w:rsid w:val="00D7141D"/>
    <w:rsid w:val="00D71422"/>
    <w:rsid w:val="00D71431"/>
    <w:rsid w:val="00D7144B"/>
    <w:rsid w:val="00D71494"/>
    <w:rsid w:val="00D714E7"/>
    <w:rsid w:val="00D714F9"/>
    <w:rsid w:val="00D71557"/>
    <w:rsid w:val="00D715D3"/>
    <w:rsid w:val="00D715DF"/>
    <w:rsid w:val="00D715E0"/>
    <w:rsid w:val="00D7162B"/>
    <w:rsid w:val="00D71641"/>
    <w:rsid w:val="00D71652"/>
    <w:rsid w:val="00D71655"/>
    <w:rsid w:val="00D7166B"/>
    <w:rsid w:val="00D71673"/>
    <w:rsid w:val="00D71677"/>
    <w:rsid w:val="00D71678"/>
    <w:rsid w:val="00D716A8"/>
    <w:rsid w:val="00D716BF"/>
    <w:rsid w:val="00D716F9"/>
    <w:rsid w:val="00D71720"/>
    <w:rsid w:val="00D71762"/>
    <w:rsid w:val="00D717B3"/>
    <w:rsid w:val="00D717BB"/>
    <w:rsid w:val="00D717D4"/>
    <w:rsid w:val="00D717E2"/>
    <w:rsid w:val="00D71817"/>
    <w:rsid w:val="00D71823"/>
    <w:rsid w:val="00D7184E"/>
    <w:rsid w:val="00D71866"/>
    <w:rsid w:val="00D718A7"/>
    <w:rsid w:val="00D718D9"/>
    <w:rsid w:val="00D71917"/>
    <w:rsid w:val="00D71951"/>
    <w:rsid w:val="00D71969"/>
    <w:rsid w:val="00D7199F"/>
    <w:rsid w:val="00D719DF"/>
    <w:rsid w:val="00D71A24"/>
    <w:rsid w:val="00D71A50"/>
    <w:rsid w:val="00D71BCA"/>
    <w:rsid w:val="00D71BEE"/>
    <w:rsid w:val="00D71C27"/>
    <w:rsid w:val="00D71CBB"/>
    <w:rsid w:val="00D71D12"/>
    <w:rsid w:val="00D71D46"/>
    <w:rsid w:val="00D71D76"/>
    <w:rsid w:val="00D71DAE"/>
    <w:rsid w:val="00D71E0D"/>
    <w:rsid w:val="00D71EAA"/>
    <w:rsid w:val="00D71EB5"/>
    <w:rsid w:val="00D71F00"/>
    <w:rsid w:val="00D71F4D"/>
    <w:rsid w:val="00D71F5D"/>
    <w:rsid w:val="00D71FAE"/>
    <w:rsid w:val="00D71FB9"/>
    <w:rsid w:val="00D72021"/>
    <w:rsid w:val="00D72031"/>
    <w:rsid w:val="00D72036"/>
    <w:rsid w:val="00D72039"/>
    <w:rsid w:val="00D72046"/>
    <w:rsid w:val="00D720B3"/>
    <w:rsid w:val="00D720B6"/>
    <w:rsid w:val="00D72150"/>
    <w:rsid w:val="00D721C9"/>
    <w:rsid w:val="00D721DA"/>
    <w:rsid w:val="00D721DD"/>
    <w:rsid w:val="00D721DF"/>
    <w:rsid w:val="00D72235"/>
    <w:rsid w:val="00D722AF"/>
    <w:rsid w:val="00D722C7"/>
    <w:rsid w:val="00D722CD"/>
    <w:rsid w:val="00D7235B"/>
    <w:rsid w:val="00D72366"/>
    <w:rsid w:val="00D7236E"/>
    <w:rsid w:val="00D723A4"/>
    <w:rsid w:val="00D723DA"/>
    <w:rsid w:val="00D723E3"/>
    <w:rsid w:val="00D72416"/>
    <w:rsid w:val="00D7244F"/>
    <w:rsid w:val="00D7248A"/>
    <w:rsid w:val="00D7248E"/>
    <w:rsid w:val="00D7249F"/>
    <w:rsid w:val="00D724AA"/>
    <w:rsid w:val="00D724E9"/>
    <w:rsid w:val="00D7250E"/>
    <w:rsid w:val="00D72564"/>
    <w:rsid w:val="00D72573"/>
    <w:rsid w:val="00D725A9"/>
    <w:rsid w:val="00D72605"/>
    <w:rsid w:val="00D7262A"/>
    <w:rsid w:val="00D72637"/>
    <w:rsid w:val="00D72639"/>
    <w:rsid w:val="00D7263B"/>
    <w:rsid w:val="00D72641"/>
    <w:rsid w:val="00D72650"/>
    <w:rsid w:val="00D726A8"/>
    <w:rsid w:val="00D7270A"/>
    <w:rsid w:val="00D72747"/>
    <w:rsid w:val="00D72785"/>
    <w:rsid w:val="00D727A2"/>
    <w:rsid w:val="00D727AC"/>
    <w:rsid w:val="00D727C8"/>
    <w:rsid w:val="00D727F3"/>
    <w:rsid w:val="00D72819"/>
    <w:rsid w:val="00D72839"/>
    <w:rsid w:val="00D7288E"/>
    <w:rsid w:val="00D728C4"/>
    <w:rsid w:val="00D728E1"/>
    <w:rsid w:val="00D72918"/>
    <w:rsid w:val="00D7292F"/>
    <w:rsid w:val="00D7296B"/>
    <w:rsid w:val="00D72983"/>
    <w:rsid w:val="00D72994"/>
    <w:rsid w:val="00D729B7"/>
    <w:rsid w:val="00D729E3"/>
    <w:rsid w:val="00D729E6"/>
    <w:rsid w:val="00D729EC"/>
    <w:rsid w:val="00D72A14"/>
    <w:rsid w:val="00D72A17"/>
    <w:rsid w:val="00D72A26"/>
    <w:rsid w:val="00D72A5C"/>
    <w:rsid w:val="00D72A65"/>
    <w:rsid w:val="00D72A68"/>
    <w:rsid w:val="00D72A69"/>
    <w:rsid w:val="00D72A88"/>
    <w:rsid w:val="00D72AB5"/>
    <w:rsid w:val="00D72AB9"/>
    <w:rsid w:val="00D72AE6"/>
    <w:rsid w:val="00D72AE7"/>
    <w:rsid w:val="00D72B01"/>
    <w:rsid w:val="00D72B02"/>
    <w:rsid w:val="00D72B48"/>
    <w:rsid w:val="00D72BD5"/>
    <w:rsid w:val="00D72BD8"/>
    <w:rsid w:val="00D72BEA"/>
    <w:rsid w:val="00D72C0A"/>
    <w:rsid w:val="00D72C0B"/>
    <w:rsid w:val="00D72C71"/>
    <w:rsid w:val="00D72CAF"/>
    <w:rsid w:val="00D72CBA"/>
    <w:rsid w:val="00D72CBE"/>
    <w:rsid w:val="00D72CC2"/>
    <w:rsid w:val="00D72CFB"/>
    <w:rsid w:val="00D72CFF"/>
    <w:rsid w:val="00D72D18"/>
    <w:rsid w:val="00D72D22"/>
    <w:rsid w:val="00D72D33"/>
    <w:rsid w:val="00D72D59"/>
    <w:rsid w:val="00D72D87"/>
    <w:rsid w:val="00D72D9F"/>
    <w:rsid w:val="00D72DA6"/>
    <w:rsid w:val="00D72E12"/>
    <w:rsid w:val="00D72E21"/>
    <w:rsid w:val="00D72F54"/>
    <w:rsid w:val="00D72F70"/>
    <w:rsid w:val="00D72FAC"/>
    <w:rsid w:val="00D72FC4"/>
    <w:rsid w:val="00D72FFD"/>
    <w:rsid w:val="00D7307D"/>
    <w:rsid w:val="00D73091"/>
    <w:rsid w:val="00D730FC"/>
    <w:rsid w:val="00D73119"/>
    <w:rsid w:val="00D73158"/>
    <w:rsid w:val="00D731A2"/>
    <w:rsid w:val="00D731A4"/>
    <w:rsid w:val="00D731CB"/>
    <w:rsid w:val="00D7320D"/>
    <w:rsid w:val="00D73215"/>
    <w:rsid w:val="00D73237"/>
    <w:rsid w:val="00D73245"/>
    <w:rsid w:val="00D7325D"/>
    <w:rsid w:val="00D73294"/>
    <w:rsid w:val="00D732A1"/>
    <w:rsid w:val="00D732C5"/>
    <w:rsid w:val="00D732E1"/>
    <w:rsid w:val="00D732FA"/>
    <w:rsid w:val="00D732FC"/>
    <w:rsid w:val="00D73310"/>
    <w:rsid w:val="00D73323"/>
    <w:rsid w:val="00D7333A"/>
    <w:rsid w:val="00D73347"/>
    <w:rsid w:val="00D73352"/>
    <w:rsid w:val="00D73367"/>
    <w:rsid w:val="00D73389"/>
    <w:rsid w:val="00D733C6"/>
    <w:rsid w:val="00D733E1"/>
    <w:rsid w:val="00D733FC"/>
    <w:rsid w:val="00D733FF"/>
    <w:rsid w:val="00D73412"/>
    <w:rsid w:val="00D7341D"/>
    <w:rsid w:val="00D73458"/>
    <w:rsid w:val="00D734B5"/>
    <w:rsid w:val="00D734BB"/>
    <w:rsid w:val="00D73589"/>
    <w:rsid w:val="00D735A2"/>
    <w:rsid w:val="00D735F5"/>
    <w:rsid w:val="00D736EE"/>
    <w:rsid w:val="00D737AE"/>
    <w:rsid w:val="00D737E8"/>
    <w:rsid w:val="00D7382A"/>
    <w:rsid w:val="00D7385A"/>
    <w:rsid w:val="00D73879"/>
    <w:rsid w:val="00D738A1"/>
    <w:rsid w:val="00D738C4"/>
    <w:rsid w:val="00D738C9"/>
    <w:rsid w:val="00D738D1"/>
    <w:rsid w:val="00D738D4"/>
    <w:rsid w:val="00D73935"/>
    <w:rsid w:val="00D7397C"/>
    <w:rsid w:val="00D7398E"/>
    <w:rsid w:val="00D73998"/>
    <w:rsid w:val="00D73A18"/>
    <w:rsid w:val="00D73A27"/>
    <w:rsid w:val="00D73A56"/>
    <w:rsid w:val="00D73AC8"/>
    <w:rsid w:val="00D73AEB"/>
    <w:rsid w:val="00D73AF6"/>
    <w:rsid w:val="00D73B21"/>
    <w:rsid w:val="00D73B4F"/>
    <w:rsid w:val="00D73BA4"/>
    <w:rsid w:val="00D73BC7"/>
    <w:rsid w:val="00D73BC8"/>
    <w:rsid w:val="00D73BD9"/>
    <w:rsid w:val="00D73C4D"/>
    <w:rsid w:val="00D73C63"/>
    <w:rsid w:val="00D73CD4"/>
    <w:rsid w:val="00D73CE5"/>
    <w:rsid w:val="00D73CEF"/>
    <w:rsid w:val="00D73D04"/>
    <w:rsid w:val="00D73D3C"/>
    <w:rsid w:val="00D73D4C"/>
    <w:rsid w:val="00D73D64"/>
    <w:rsid w:val="00D73D74"/>
    <w:rsid w:val="00D73D7F"/>
    <w:rsid w:val="00D73D86"/>
    <w:rsid w:val="00D73D8E"/>
    <w:rsid w:val="00D73DAD"/>
    <w:rsid w:val="00D73DD7"/>
    <w:rsid w:val="00D73DE8"/>
    <w:rsid w:val="00D73DFC"/>
    <w:rsid w:val="00D73E27"/>
    <w:rsid w:val="00D73E85"/>
    <w:rsid w:val="00D73E9A"/>
    <w:rsid w:val="00D73E9F"/>
    <w:rsid w:val="00D73ED2"/>
    <w:rsid w:val="00D73F0A"/>
    <w:rsid w:val="00D73F41"/>
    <w:rsid w:val="00D73F5A"/>
    <w:rsid w:val="00D73F8A"/>
    <w:rsid w:val="00D73FC5"/>
    <w:rsid w:val="00D73FD0"/>
    <w:rsid w:val="00D73FE1"/>
    <w:rsid w:val="00D74044"/>
    <w:rsid w:val="00D74083"/>
    <w:rsid w:val="00D740AF"/>
    <w:rsid w:val="00D740BD"/>
    <w:rsid w:val="00D740F9"/>
    <w:rsid w:val="00D74120"/>
    <w:rsid w:val="00D74144"/>
    <w:rsid w:val="00D7415E"/>
    <w:rsid w:val="00D74163"/>
    <w:rsid w:val="00D74171"/>
    <w:rsid w:val="00D74172"/>
    <w:rsid w:val="00D74197"/>
    <w:rsid w:val="00D741C6"/>
    <w:rsid w:val="00D741C8"/>
    <w:rsid w:val="00D741F6"/>
    <w:rsid w:val="00D74217"/>
    <w:rsid w:val="00D74222"/>
    <w:rsid w:val="00D74236"/>
    <w:rsid w:val="00D74257"/>
    <w:rsid w:val="00D7426E"/>
    <w:rsid w:val="00D742DF"/>
    <w:rsid w:val="00D74331"/>
    <w:rsid w:val="00D74376"/>
    <w:rsid w:val="00D743FC"/>
    <w:rsid w:val="00D74417"/>
    <w:rsid w:val="00D7442A"/>
    <w:rsid w:val="00D7450A"/>
    <w:rsid w:val="00D74518"/>
    <w:rsid w:val="00D7452D"/>
    <w:rsid w:val="00D745E1"/>
    <w:rsid w:val="00D7460C"/>
    <w:rsid w:val="00D74621"/>
    <w:rsid w:val="00D74648"/>
    <w:rsid w:val="00D74678"/>
    <w:rsid w:val="00D7468E"/>
    <w:rsid w:val="00D74718"/>
    <w:rsid w:val="00D7471A"/>
    <w:rsid w:val="00D7473D"/>
    <w:rsid w:val="00D74758"/>
    <w:rsid w:val="00D74768"/>
    <w:rsid w:val="00D74794"/>
    <w:rsid w:val="00D74796"/>
    <w:rsid w:val="00D747A8"/>
    <w:rsid w:val="00D747B7"/>
    <w:rsid w:val="00D747DC"/>
    <w:rsid w:val="00D7480B"/>
    <w:rsid w:val="00D74872"/>
    <w:rsid w:val="00D748B7"/>
    <w:rsid w:val="00D748BD"/>
    <w:rsid w:val="00D748ED"/>
    <w:rsid w:val="00D74905"/>
    <w:rsid w:val="00D7493B"/>
    <w:rsid w:val="00D7493C"/>
    <w:rsid w:val="00D7494E"/>
    <w:rsid w:val="00D7498B"/>
    <w:rsid w:val="00D749AF"/>
    <w:rsid w:val="00D749E8"/>
    <w:rsid w:val="00D74A28"/>
    <w:rsid w:val="00D74A31"/>
    <w:rsid w:val="00D74ACB"/>
    <w:rsid w:val="00D74AD8"/>
    <w:rsid w:val="00D74B24"/>
    <w:rsid w:val="00D74B5C"/>
    <w:rsid w:val="00D74B90"/>
    <w:rsid w:val="00D74BCC"/>
    <w:rsid w:val="00D74BE0"/>
    <w:rsid w:val="00D74C05"/>
    <w:rsid w:val="00D74C0D"/>
    <w:rsid w:val="00D74C14"/>
    <w:rsid w:val="00D74C2C"/>
    <w:rsid w:val="00D74C43"/>
    <w:rsid w:val="00D74C54"/>
    <w:rsid w:val="00D74C88"/>
    <w:rsid w:val="00D74CE6"/>
    <w:rsid w:val="00D74D40"/>
    <w:rsid w:val="00D74E2F"/>
    <w:rsid w:val="00D74E59"/>
    <w:rsid w:val="00D74E85"/>
    <w:rsid w:val="00D74EBC"/>
    <w:rsid w:val="00D74F03"/>
    <w:rsid w:val="00D74F3A"/>
    <w:rsid w:val="00D74F61"/>
    <w:rsid w:val="00D74F85"/>
    <w:rsid w:val="00D74F8E"/>
    <w:rsid w:val="00D74FCB"/>
    <w:rsid w:val="00D75017"/>
    <w:rsid w:val="00D75026"/>
    <w:rsid w:val="00D75123"/>
    <w:rsid w:val="00D75125"/>
    <w:rsid w:val="00D7514A"/>
    <w:rsid w:val="00D751EB"/>
    <w:rsid w:val="00D7523B"/>
    <w:rsid w:val="00D7523F"/>
    <w:rsid w:val="00D75254"/>
    <w:rsid w:val="00D752B4"/>
    <w:rsid w:val="00D752C8"/>
    <w:rsid w:val="00D752CF"/>
    <w:rsid w:val="00D752E0"/>
    <w:rsid w:val="00D7535A"/>
    <w:rsid w:val="00D75387"/>
    <w:rsid w:val="00D753AC"/>
    <w:rsid w:val="00D753BC"/>
    <w:rsid w:val="00D753EF"/>
    <w:rsid w:val="00D75400"/>
    <w:rsid w:val="00D75407"/>
    <w:rsid w:val="00D7541C"/>
    <w:rsid w:val="00D75449"/>
    <w:rsid w:val="00D7545F"/>
    <w:rsid w:val="00D754D2"/>
    <w:rsid w:val="00D754FA"/>
    <w:rsid w:val="00D75517"/>
    <w:rsid w:val="00D7552A"/>
    <w:rsid w:val="00D75533"/>
    <w:rsid w:val="00D755DF"/>
    <w:rsid w:val="00D75623"/>
    <w:rsid w:val="00D75636"/>
    <w:rsid w:val="00D75655"/>
    <w:rsid w:val="00D75659"/>
    <w:rsid w:val="00D7565A"/>
    <w:rsid w:val="00D7568C"/>
    <w:rsid w:val="00D75690"/>
    <w:rsid w:val="00D75697"/>
    <w:rsid w:val="00D756A9"/>
    <w:rsid w:val="00D756C1"/>
    <w:rsid w:val="00D756D5"/>
    <w:rsid w:val="00D756FF"/>
    <w:rsid w:val="00D75727"/>
    <w:rsid w:val="00D75759"/>
    <w:rsid w:val="00D75769"/>
    <w:rsid w:val="00D75782"/>
    <w:rsid w:val="00D75797"/>
    <w:rsid w:val="00D757DA"/>
    <w:rsid w:val="00D757F4"/>
    <w:rsid w:val="00D7580B"/>
    <w:rsid w:val="00D75823"/>
    <w:rsid w:val="00D75866"/>
    <w:rsid w:val="00D758C7"/>
    <w:rsid w:val="00D758DB"/>
    <w:rsid w:val="00D758F0"/>
    <w:rsid w:val="00D75918"/>
    <w:rsid w:val="00D759D5"/>
    <w:rsid w:val="00D75A39"/>
    <w:rsid w:val="00D75A46"/>
    <w:rsid w:val="00D75AA1"/>
    <w:rsid w:val="00D75AEA"/>
    <w:rsid w:val="00D75B4C"/>
    <w:rsid w:val="00D75B5F"/>
    <w:rsid w:val="00D75B87"/>
    <w:rsid w:val="00D75B92"/>
    <w:rsid w:val="00D75BA8"/>
    <w:rsid w:val="00D75BAC"/>
    <w:rsid w:val="00D75BCA"/>
    <w:rsid w:val="00D75C07"/>
    <w:rsid w:val="00D75C0E"/>
    <w:rsid w:val="00D75C33"/>
    <w:rsid w:val="00D75C45"/>
    <w:rsid w:val="00D75CB8"/>
    <w:rsid w:val="00D75CC9"/>
    <w:rsid w:val="00D75D51"/>
    <w:rsid w:val="00D75D63"/>
    <w:rsid w:val="00D75DB7"/>
    <w:rsid w:val="00D75DD1"/>
    <w:rsid w:val="00D75E00"/>
    <w:rsid w:val="00D75E3C"/>
    <w:rsid w:val="00D75E42"/>
    <w:rsid w:val="00D75E89"/>
    <w:rsid w:val="00D75EE6"/>
    <w:rsid w:val="00D75F72"/>
    <w:rsid w:val="00D75FED"/>
    <w:rsid w:val="00D76001"/>
    <w:rsid w:val="00D76020"/>
    <w:rsid w:val="00D76038"/>
    <w:rsid w:val="00D7605A"/>
    <w:rsid w:val="00D76061"/>
    <w:rsid w:val="00D760A4"/>
    <w:rsid w:val="00D760B8"/>
    <w:rsid w:val="00D760C8"/>
    <w:rsid w:val="00D7610C"/>
    <w:rsid w:val="00D7614C"/>
    <w:rsid w:val="00D76171"/>
    <w:rsid w:val="00D761EB"/>
    <w:rsid w:val="00D7621B"/>
    <w:rsid w:val="00D76237"/>
    <w:rsid w:val="00D76262"/>
    <w:rsid w:val="00D76266"/>
    <w:rsid w:val="00D76270"/>
    <w:rsid w:val="00D76277"/>
    <w:rsid w:val="00D76284"/>
    <w:rsid w:val="00D762BB"/>
    <w:rsid w:val="00D762DE"/>
    <w:rsid w:val="00D762E9"/>
    <w:rsid w:val="00D76300"/>
    <w:rsid w:val="00D763A1"/>
    <w:rsid w:val="00D7641B"/>
    <w:rsid w:val="00D76423"/>
    <w:rsid w:val="00D76425"/>
    <w:rsid w:val="00D76452"/>
    <w:rsid w:val="00D76470"/>
    <w:rsid w:val="00D76471"/>
    <w:rsid w:val="00D76473"/>
    <w:rsid w:val="00D764AF"/>
    <w:rsid w:val="00D7650D"/>
    <w:rsid w:val="00D7657F"/>
    <w:rsid w:val="00D76581"/>
    <w:rsid w:val="00D7659A"/>
    <w:rsid w:val="00D7659D"/>
    <w:rsid w:val="00D7659F"/>
    <w:rsid w:val="00D765A3"/>
    <w:rsid w:val="00D765C1"/>
    <w:rsid w:val="00D765D6"/>
    <w:rsid w:val="00D765D9"/>
    <w:rsid w:val="00D7661F"/>
    <w:rsid w:val="00D76636"/>
    <w:rsid w:val="00D76655"/>
    <w:rsid w:val="00D766CA"/>
    <w:rsid w:val="00D766CE"/>
    <w:rsid w:val="00D766ED"/>
    <w:rsid w:val="00D766EE"/>
    <w:rsid w:val="00D766F9"/>
    <w:rsid w:val="00D76717"/>
    <w:rsid w:val="00D76757"/>
    <w:rsid w:val="00D7676B"/>
    <w:rsid w:val="00D7677E"/>
    <w:rsid w:val="00D7678B"/>
    <w:rsid w:val="00D76790"/>
    <w:rsid w:val="00D767E5"/>
    <w:rsid w:val="00D76805"/>
    <w:rsid w:val="00D76817"/>
    <w:rsid w:val="00D76889"/>
    <w:rsid w:val="00D768EE"/>
    <w:rsid w:val="00D768F1"/>
    <w:rsid w:val="00D7692F"/>
    <w:rsid w:val="00D76958"/>
    <w:rsid w:val="00D76976"/>
    <w:rsid w:val="00D76979"/>
    <w:rsid w:val="00D7699E"/>
    <w:rsid w:val="00D769D3"/>
    <w:rsid w:val="00D769D6"/>
    <w:rsid w:val="00D76A0A"/>
    <w:rsid w:val="00D76A1D"/>
    <w:rsid w:val="00D76A20"/>
    <w:rsid w:val="00D76A5D"/>
    <w:rsid w:val="00D76A76"/>
    <w:rsid w:val="00D76AFF"/>
    <w:rsid w:val="00D76B2A"/>
    <w:rsid w:val="00D76B46"/>
    <w:rsid w:val="00D76B98"/>
    <w:rsid w:val="00D76C21"/>
    <w:rsid w:val="00D76C97"/>
    <w:rsid w:val="00D76CAC"/>
    <w:rsid w:val="00D76CB3"/>
    <w:rsid w:val="00D76CCC"/>
    <w:rsid w:val="00D76CD8"/>
    <w:rsid w:val="00D76D50"/>
    <w:rsid w:val="00D76D75"/>
    <w:rsid w:val="00D76DB9"/>
    <w:rsid w:val="00D76DC4"/>
    <w:rsid w:val="00D76E01"/>
    <w:rsid w:val="00D76E52"/>
    <w:rsid w:val="00D76E69"/>
    <w:rsid w:val="00D76F00"/>
    <w:rsid w:val="00D76F17"/>
    <w:rsid w:val="00D77029"/>
    <w:rsid w:val="00D7703E"/>
    <w:rsid w:val="00D7709C"/>
    <w:rsid w:val="00D7709F"/>
    <w:rsid w:val="00D770B0"/>
    <w:rsid w:val="00D7710E"/>
    <w:rsid w:val="00D7711B"/>
    <w:rsid w:val="00D77148"/>
    <w:rsid w:val="00D7715E"/>
    <w:rsid w:val="00D7718B"/>
    <w:rsid w:val="00D772EB"/>
    <w:rsid w:val="00D772EE"/>
    <w:rsid w:val="00D772F0"/>
    <w:rsid w:val="00D772F2"/>
    <w:rsid w:val="00D77302"/>
    <w:rsid w:val="00D77321"/>
    <w:rsid w:val="00D7735F"/>
    <w:rsid w:val="00D7738D"/>
    <w:rsid w:val="00D773B9"/>
    <w:rsid w:val="00D773F0"/>
    <w:rsid w:val="00D77420"/>
    <w:rsid w:val="00D7745D"/>
    <w:rsid w:val="00D7746B"/>
    <w:rsid w:val="00D77471"/>
    <w:rsid w:val="00D774E5"/>
    <w:rsid w:val="00D77500"/>
    <w:rsid w:val="00D7751E"/>
    <w:rsid w:val="00D7756A"/>
    <w:rsid w:val="00D77576"/>
    <w:rsid w:val="00D77582"/>
    <w:rsid w:val="00D775DF"/>
    <w:rsid w:val="00D7764E"/>
    <w:rsid w:val="00D7773E"/>
    <w:rsid w:val="00D77746"/>
    <w:rsid w:val="00D77777"/>
    <w:rsid w:val="00D777C5"/>
    <w:rsid w:val="00D77837"/>
    <w:rsid w:val="00D77855"/>
    <w:rsid w:val="00D77860"/>
    <w:rsid w:val="00D7786E"/>
    <w:rsid w:val="00D77877"/>
    <w:rsid w:val="00D77916"/>
    <w:rsid w:val="00D7791E"/>
    <w:rsid w:val="00D77920"/>
    <w:rsid w:val="00D7795D"/>
    <w:rsid w:val="00D77977"/>
    <w:rsid w:val="00D779E3"/>
    <w:rsid w:val="00D779E6"/>
    <w:rsid w:val="00D779EE"/>
    <w:rsid w:val="00D77A5C"/>
    <w:rsid w:val="00D77AAC"/>
    <w:rsid w:val="00D77ABF"/>
    <w:rsid w:val="00D77BEE"/>
    <w:rsid w:val="00D77C12"/>
    <w:rsid w:val="00D77C18"/>
    <w:rsid w:val="00D77C40"/>
    <w:rsid w:val="00D77C5A"/>
    <w:rsid w:val="00D77C5E"/>
    <w:rsid w:val="00D77C72"/>
    <w:rsid w:val="00D77C87"/>
    <w:rsid w:val="00D77CB1"/>
    <w:rsid w:val="00D77CB3"/>
    <w:rsid w:val="00D77CB5"/>
    <w:rsid w:val="00D77CBD"/>
    <w:rsid w:val="00D77D26"/>
    <w:rsid w:val="00D77D6A"/>
    <w:rsid w:val="00D77D70"/>
    <w:rsid w:val="00D77E09"/>
    <w:rsid w:val="00D77E24"/>
    <w:rsid w:val="00D77E33"/>
    <w:rsid w:val="00D77E4F"/>
    <w:rsid w:val="00D77E7D"/>
    <w:rsid w:val="00D77EB6"/>
    <w:rsid w:val="00D77F5C"/>
    <w:rsid w:val="00D77F78"/>
    <w:rsid w:val="00D77FC0"/>
    <w:rsid w:val="00D77FD7"/>
    <w:rsid w:val="00D8000D"/>
    <w:rsid w:val="00D8001F"/>
    <w:rsid w:val="00D80069"/>
    <w:rsid w:val="00D800C1"/>
    <w:rsid w:val="00D800E8"/>
    <w:rsid w:val="00D800EA"/>
    <w:rsid w:val="00D800EC"/>
    <w:rsid w:val="00D80150"/>
    <w:rsid w:val="00D8016A"/>
    <w:rsid w:val="00D80192"/>
    <w:rsid w:val="00D8019E"/>
    <w:rsid w:val="00D801CA"/>
    <w:rsid w:val="00D801D9"/>
    <w:rsid w:val="00D801F7"/>
    <w:rsid w:val="00D80215"/>
    <w:rsid w:val="00D80221"/>
    <w:rsid w:val="00D8023A"/>
    <w:rsid w:val="00D80240"/>
    <w:rsid w:val="00D80251"/>
    <w:rsid w:val="00D802EA"/>
    <w:rsid w:val="00D80386"/>
    <w:rsid w:val="00D803CA"/>
    <w:rsid w:val="00D8040B"/>
    <w:rsid w:val="00D8041C"/>
    <w:rsid w:val="00D80451"/>
    <w:rsid w:val="00D80477"/>
    <w:rsid w:val="00D80478"/>
    <w:rsid w:val="00D8049B"/>
    <w:rsid w:val="00D80513"/>
    <w:rsid w:val="00D8054F"/>
    <w:rsid w:val="00D8056C"/>
    <w:rsid w:val="00D8058A"/>
    <w:rsid w:val="00D805B8"/>
    <w:rsid w:val="00D805DB"/>
    <w:rsid w:val="00D805EC"/>
    <w:rsid w:val="00D80604"/>
    <w:rsid w:val="00D80624"/>
    <w:rsid w:val="00D8065C"/>
    <w:rsid w:val="00D80683"/>
    <w:rsid w:val="00D80697"/>
    <w:rsid w:val="00D806CA"/>
    <w:rsid w:val="00D8077E"/>
    <w:rsid w:val="00D807A5"/>
    <w:rsid w:val="00D807CA"/>
    <w:rsid w:val="00D807E0"/>
    <w:rsid w:val="00D80817"/>
    <w:rsid w:val="00D808A6"/>
    <w:rsid w:val="00D808B4"/>
    <w:rsid w:val="00D808CE"/>
    <w:rsid w:val="00D8090F"/>
    <w:rsid w:val="00D80916"/>
    <w:rsid w:val="00D8095F"/>
    <w:rsid w:val="00D809BB"/>
    <w:rsid w:val="00D809DF"/>
    <w:rsid w:val="00D80A45"/>
    <w:rsid w:val="00D80A84"/>
    <w:rsid w:val="00D80AB1"/>
    <w:rsid w:val="00D80B12"/>
    <w:rsid w:val="00D80B28"/>
    <w:rsid w:val="00D80B48"/>
    <w:rsid w:val="00D80B4F"/>
    <w:rsid w:val="00D80B5E"/>
    <w:rsid w:val="00D80BA3"/>
    <w:rsid w:val="00D80BA7"/>
    <w:rsid w:val="00D80BB1"/>
    <w:rsid w:val="00D80BB8"/>
    <w:rsid w:val="00D80BCC"/>
    <w:rsid w:val="00D80BFB"/>
    <w:rsid w:val="00D80C4E"/>
    <w:rsid w:val="00D80C6E"/>
    <w:rsid w:val="00D80C9F"/>
    <w:rsid w:val="00D80CA6"/>
    <w:rsid w:val="00D80CBD"/>
    <w:rsid w:val="00D80CD0"/>
    <w:rsid w:val="00D80CED"/>
    <w:rsid w:val="00D80D3C"/>
    <w:rsid w:val="00D80D8C"/>
    <w:rsid w:val="00D80D8F"/>
    <w:rsid w:val="00D80D93"/>
    <w:rsid w:val="00D80DA6"/>
    <w:rsid w:val="00D80DC3"/>
    <w:rsid w:val="00D80E0B"/>
    <w:rsid w:val="00D80E11"/>
    <w:rsid w:val="00D80E16"/>
    <w:rsid w:val="00D80E46"/>
    <w:rsid w:val="00D80E7D"/>
    <w:rsid w:val="00D80E85"/>
    <w:rsid w:val="00D80EE1"/>
    <w:rsid w:val="00D80EF8"/>
    <w:rsid w:val="00D80F7E"/>
    <w:rsid w:val="00D80FB4"/>
    <w:rsid w:val="00D80FB8"/>
    <w:rsid w:val="00D80FC5"/>
    <w:rsid w:val="00D80FF8"/>
    <w:rsid w:val="00D81025"/>
    <w:rsid w:val="00D81044"/>
    <w:rsid w:val="00D81083"/>
    <w:rsid w:val="00D810A0"/>
    <w:rsid w:val="00D8116F"/>
    <w:rsid w:val="00D81173"/>
    <w:rsid w:val="00D8117D"/>
    <w:rsid w:val="00D811E8"/>
    <w:rsid w:val="00D81205"/>
    <w:rsid w:val="00D8120C"/>
    <w:rsid w:val="00D8120D"/>
    <w:rsid w:val="00D81244"/>
    <w:rsid w:val="00D81273"/>
    <w:rsid w:val="00D81276"/>
    <w:rsid w:val="00D8129F"/>
    <w:rsid w:val="00D812AF"/>
    <w:rsid w:val="00D812C6"/>
    <w:rsid w:val="00D81329"/>
    <w:rsid w:val="00D8133A"/>
    <w:rsid w:val="00D81343"/>
    <w:rsid w:val="00D81367"/>
    <w:rsid w:val="00D813E6"/>
    <w:rsid w:val="00D8141A"/>
    <w:rsid w:val="00D8142B"/>
    <w:rsid w:val="00D81432"/>
    <w:rsid w:val="00D81437"/>
    <w:rsid w:val="00D81438"/>
    <w:rsid w:val="00D81486"/>
    <w:rsid w:val="00D8151B"/>
    <w:rsid w:val="00D81536"/>
    <w:rsid w:val="00D8153B"/>
    <w:rsid w:val="00D8155C"/>
    <w:rsid w:val="00D815C7"/>
    <w:rsid w:val="00D815D0"/>
    <w:rsid w:val="00D815D7"/>
    <w:rsid w:val="00D815E1"/>
    <w:rsid w:val="00D815F0"/>
    <w:rsid w:val="00D81693"/>
    <w:rsid w:val="00D816AC"/>
    <w:rsid w:val="00D81727"/>
    <w:rsid w:val="00D81757"/>
    <w:rsid w:val="00D8177F"/>
    <w:rsid w:val="00D8178C"/>
    <w:rsid w:val="00D8178D"/>
    <w:rsid w:val="00D817AC"/>
    <w:rsid w:val="00D8182A"/>
    <w:rsid w:val="00D81830"/>
    <w:rsid w:val="00D81858"/>
    <w:rsid w:val="00D81871"/>
    <w:rsid w:val="00D818CC"/>
    <w:rsid w:val="00D818D7"/>
    <w:rsid w:val="00D818F9"/>
    <w:rsid w:val="00D81908"/>
    <w:rsid w:val="00D81940"/>
    <w:rsid w:val="00D819C8"/>
    <w:rsid w:val="00D819D8"/>
    <w:rsid w:val="00D81A05"/>
    <w:rsid w:val="00D81A60"/>
    <w:rsid w:val="00D81ABF"/>
    <w:rsid w:val="00D81AD8"/>
    <w:rsid w:val="00D81B18"/>
    <w:rsid w:val="00D81B2C"/>
    <w:rsid w:val="00D81B74"/>
    <w:rsid w:val="00D81B9C"/>
    <w:rsid w:val="00D81BC5"/>
    <w:rsid w:val="00D81BDA"/>
    <w:rsid w:val="00D81BE6"/>
    <w:rsid w:val="00D81BFA"/>
    <w:rsid w:val="00D81C0D"/>
    <w:rsid w:val="00D81C4C"/>
    <w:rsid w:val="00D81C85"/>
    <w:rsid w:val="00D81C89"/>
    <w:rsid w:val="00D81CCB"/>
    <w:rsid w:val="00D81CE3"/>
    <w:rsid w:val="00D81CF0"/>
    <w:rsid w:val="00D81D04"/>
    <w:rsid w:val="00D81D1A"/>
    <w:rsid w:val="00D81DB6"/>
    <w:rsid w:val="00D81DBD"/>
    <w:rsid w:val="00D81E0F"/>
    <w:rsid w:val="00D81E75"/>
    <w:rsid w:val="00D81F2B"/>
    <w:rsid w:val="00D81F2F"/>
    <w:rsid w:val="00D81F90"/>
    <w:rsid w:val="00D81FD1"/>
    <w:rsid w:val="00D81FFE"/>
    <w:rsid w:val="00D82051"/>
    <w:rsid w:val="00D82131"/>
    <w:rsid w:val="00D8214A"/>
    <w:rsid w:val="00D8214F"/>
    <w:rsid w:val="00D821CA"/>
    <w:rsid w:val="00D821EE"/>
    <w:rsid w:val="00D821F5"/>
    <w:rsid w:val="00D8220F"/>
    <w:rsid w:val="00D8222A"/>
    <w:rsid w:val="00D82235"/>
    <w:rsid w:val="00D8223A"/>
    <w:rsid w:val="00D82247"/>
    <w:rsid w:val="00D8224B"/>
    <w:rsid w:val="00D82278"/>
    <w:rsid w:val="00D822DA"/>
    <w:rsid w:val="00D822E4"/>
    <w:rsid w:val="00D822F9"/>
    <w:rsid w:val="00D822FD"/>
    <w:rsid w:val="00D8234B"/>
    <w:rsid w:val="00D82392"/>
    <w:rsid w:val="00D823B9"/>
    <w:rsid w:val="00D823BB"/>
    <w:rsid w:val="00D823E3"/>
    <w:rsid w:val="00D823EB"/>
    <w:rsid w:val="00D823F5"/>
    <w:rsid w:val="00D82430"/>
    <w:rsid w:val="00D824AD"/>
    <w:rsid w:val="00D824B3"/>
    <w:rsid w:val="00D824D6"/>
    <w:rsid w:val="00D824E2"/>
    <w:rsid w:val="00D82500"/>
    <w:rsid w:val="00D82525"/>
    <w:rsid w:val="00D82532"/>
    <w:rsid w:val="00D8253F"/>
    <w:rsid w:val="00D82545"/>
    <w:rsid w:val="00D8255C"/>
    <w:rsid w:val="00D825CB"/>
    <w:rsid w:val="00D825E0"/>
    <w:rsid w:val="00D82623"/>
    <w:rsid w:val="00D8264D"/>
    <w:rsid w:val="00D82691"/>
    <w:rsid w:val="00D82694"/>
    <w:rsid w:val="00D8269B"/>
    <w:rsid w:val="00D826A9"/>
    <w:rsid w:val="00D826E9"/>
    <w:rsid w:val="00D8271A"/>
    <w:rsid w:val="00D8276B"/>
    <w:rsid w:val="00D82786"/>
    <w:rsid w:val="00D827A0"/>
    <w:rsid w:val="00D827F1"/>
    <w:rsid w:val="00D8280C"/>
    <w:rsid w:val="00D8281B"/>
    <w:rsid w:val="00D8283B"/>
    <w:rsid w:val="00D82856"/>
    <w:rsid w:val="00D8285F"/>
    <w:rsid w:val="00D82901"/>
    <w:rsid w:val="00D82917"/>
    <w:rsid w:val="00D8291D"/>
    <w:rsid w:val="00D8294E"/>
    <w:rsid w:val="00D82956"/>
    <w:rsid w:val="00D82959"/>
    <w:rsid w:val="00D8295C"/>
    <w:rsid w:val="00D82A02"/>
    <w:rsid w:val="00D82A4F"/>
    <w:rsid w:val="00D82A76"/>
    <w:rsid w:val="00D82A9C"/>
    <w:rsid w:val="00D82AE7"/>
    <w:rsid w:val="00D82B14"/>
    <w:rsid w:val="00D82B4E"/>
    <w:rsid w:val="00D82B5B"/>
    <w:rsid w:val="00D82B81"/>
    <w:rsid w:val="00D82BE6"/>
    <w:rsid w:val="00D82BF6"/>
    <w:rsid w:val="00D82CA4"/>
    <w:rsid w:val="00D82D2B"/>
    <w:rsid w:val="00D82D2C"/>
    <w:rsid w:val="00D82D47"/>
    <w:rsid w:val="00D82DF3"/>
    <w:rsid w:val="00D82E26"/>
    <w:rsid w:val="00D82E86"/>
    <w:rsid w:val="00D82E9D"/>
    <w:rsid w:val="00D82EAB"/>
    <w:rsid w:val="00D82EE2"/>
    <w:rsid w:val="00D82F5F"/>
    <w:rsid w:val="00D82F79"/>
    <w:rsid w:val="00D82F89"/>
    <w:rsid w:val="00D82FA6"/>
    <w:rsid w:val="00D82FDE"/>
    <w:rsid w:val="00D82FF1"/>
    <w:rsid w:val="00D8300A"/>
    <w:rsid w:val="00D8300C"/>
    <w:rsid w:val="00D83020"/>
    <w:rsid w:val="00D83023"/>
    <w:rsid w:val="00D83027"/>
    <w:rsid w:val="00D83059"/>
    <w:rsid w:val="00D830AA"/>
    <w:rsid w:val="00D830AD"/>
    <w:rsid w:val="00D830B5"/>
    <w:rsid w:val="00D830BE"/>
    <w:rsid w:val="00D830DF"/>
    <w:rsid w:val="00D83124"/>
    <w:rsid w:val="00D83157"/>
    <w:rsid w:val="00D83164"/>
    <w:rsid w:val="00D83184"/>
    <w:rsid w:val="00D8318B"/>
    <w:rsid w:val="00D83267"/>
    <w:rsid w:val="00D832D4"/>
    <w:rsid w:val="00D832FD"/>
    <w:rsid w:val="00D83339"/>
    <w:rsid w:val="00D83341"/>
    <w:rsid w:val="00D8334D"/>
    <w:rsid w:val="00D83369"/>
    <w:rsid w:val="00D8339A"/>
    <w:rsid w:val="00D8339D"/>
    <w:rsid w:val="00D833CE"/>
    <w:rsid w:val="00D83456"/>
    <w:rsid w:val="00D834C7"/>
    <w:rsid w:val="00D834DD"/>
    <w:rsid w:val="00D834F0"/>
    <w:rsid w:val="00D83502"/>
    <w:rsid w:val="00D83512"/>
    <w:rsid w:val="00D8351B"/>
    <w:rsid w:val="00D83520"/>
    <w:rsid w:val="00D8353F"/>
    <w:rsid w:val="00D8356C"/>
    <w:rsid w:val="00D83673"/>
    <w:rsid w:val="00D8369E"/>
    <w:rsid w:val="00D836DF"/>
    <w:rsid w:val="00D8373C"/>
    <w:rsid w:val="00D8373F"/>
    <w:rsid w:val="00D83744"/>
    <w:rsid w:val="00D83762"/>
    <w:rsid w:val="00D8376C"/>
    <w:rsid w:val="00D8378B"/>
    <w:rsid w:val="00D83834"/>
    <w:rsid w:val="00D83865"/>
    <w:rsid w:val="00D838C3"/>
    <w:rsid w:val="00D838E3"/>
    <w:rsid w:val="00D83928"/>
    <w:rsid w:val="00D83972"/>
    <w:rsid w:val="00D83983"/>
    <w:rsid w:val="00D8398E"/>
    <w:rsid w:val="00D83994"/>
    <w:rsid w:val="00D839D4"/>
    <w:rsid w:val="00D83A13"/>
    <w:rsid w:val="00D83AAB"/>
    <w:rsid w:val="00D83AB5"/>
    <w:rsid w:val="00D83AE8"/>
    <w:rsid w:val="00D83B01"/>
    <w:rsid w:val="00D83B0B"/>
    <w:rsid w:val="00D83B1B"/>
    <w:rsid w:val="00D83B51"/>
    <w:rsid w:val="00D83B64"/>
    <w:rsid w:val="00D83B81"/>
    <w:rsid w:val="00D83B9C"/>
    <w:rsid w:val="00D83BAA"/>
    <w:rsid w:val="00D83C12"/>
    <w:rsid w:val="00D83C5B"/>
    <w:rsid w:val="00D83C89"/>
    <w:rsid w:val="00D83CCC"/>
    <w:rsid w:val="00D83CCD"/>
    <w:rsid w:val="00D83CFA"/>
    <w:rsid w:val="00D83D02"/>
    <w:rsid w:val="00D83D05"/>
    <w:rsid w:val="00D83D09"/>
    <w:rsid w:val="00D83D50"/>
    <w:rsid w:val="00D83D94"/>
    <w:rsid w:val="00D83D9E"/>
    <w:rsid w:val="00D83DA2"/>
    <w:rsid w:val="00D83DEA"/>
    <w:rsid w:val="00D83E39"/>
    <w:rsid w:val="00D83E40"/>
    <w:rsid w:val="00D83E49"/>
    <w:rsid w:val="00D83E5F"/>
    <w:rsid w:val="00D83E6F"/>
    <w:rsid w:val="00D83E86"/>
    <w:rsid w:val="00D83E9A"/>
    <w:rsid w:val="00D83EDE"/>
    <w:rsid w:val="00D83F34"/>
    <w:rsid w:val="00D83FC0"/>
    <w:rsid w:val="00D83FC9"/>
    <w:rsid w:val="00D83FE9"/>
    <w:rsid w:val="00D84073"/>
    <w:rsid w:val="00D840C4"/>
    <w:rsid w:val="00D840CF"/>
    <w:rsid w:val="00D840D4"/>
    <w:rsid w:val="00D840D7"/>
    <w:rsid w:val="00D840E1"/>
    <w:rsid w:val="00D84103"/>
    <w:rsid w:val="00D8417E"/>
    <w:rsid w:val="00D841D7"/>
    <w:rsid w:val="00D841EC"/>
    <w:rsid w:val="00D841F6"/>
    <w:rsid w:val="00D84229"/>
    <w:rsid w:val="00D8422F"/>
    <w:rsid w:val="00D84234"/>
    <w:rsid w:val="00D8425B"/>
    <w:rsid w:val="00D8426F"/>
    <w:rsid w:val="00D84286"/>
    <w:rsid w:val="00D84287"/>
    <w:rsid w:val="00D8428C"/>
    <w:rsid w:val="00D8429E"/>
    <w:rsid w:val="00D842E4"/>
    <w:rsid w:val="00D84337"/>
    <w:rsid w:val="00D8435E"/>
    <w:rsid w:val="00D84373"/>
    <w:rsid w:val="00D843B6"/>
    <w:rsid w:val="00D843D0"/>
    <w:rsid w:val="00D84415"/>
    <w:rsid w:val="00D84423"/>
    <w:rsid w:val="00D844CA"/>
    <w:rsid w:val="00D844FA"/>
    <w:rsid w:val="00D84513"/>
    <w:rsid w:val="00D845D7"/>
    <w:rsid w:val="00D845D8"/>
    <w:rsid w:val="00D845ED"/>
    <w:rsid w:val="00D84657"/>
    <w:rsid w:val="00D846AE"/>
    <w:rsid w:val="00D846B4"/>
    <w:rsid w:val="00D846BF"/>
    <w:rsid w:val="00D846C0"/>
    <w:rsid w:val="00D8470A"/>
    <w:rsid w:val="00D847A5"/>
    <w:rsid w:val="00D847A9"/>
    <w:rsid w:val="00D8487D"/>
    <w:rsid w:val="00D848AB"/>
    <w:rsid w:val="00D848BA"/>
    <w:rsid w:val="00D848F6"/>
    <w:rsid w:val="00D848FB"/>
    <w:rsid w:val="00D84903"/>
    <w:rsid w:val="00D8493C"/>
    <w:rsid w:val="00D84943"/>
    <w:rsid w:val="00D8494A"/>
    <w:rsid w:val="00D8494B"/>
    <w:rsid w:val="00D84951"/>
    <w:rsid w:val="00D8496C"/>
    <w:rsid w:val="00D8496E"/>
    <w:rsid w:val="00D84A0F"/>
    <w:rsid w:val="00D84A41"/>
    <w:rsid w:val="00D84A4F"/>
    <w:rsid w:val="00D84A86"/>
    <w:rsid w:val="00D84AD1"/>
    <w:rsid w:val="00D84ADB"/>
    <w:rsid w:val="00D84B11"/>
    <w:rsid w:val="00D84B1A"/>
    <w:rsid w:val="00D84B5F"/>
    <w:rsid w:val="00D84B7F"/>
    <w:rsid w:val="00D84B88"/>
    <w:rsid w:val="00D84B95"/>
    <w:rsid w:val="00D84BB4"/>
    <w:rsid w:val="00D84BE3"/>
    <w:rsid w:val="00D84C11"/>
    <w:rsid w:val="00D84C46"/>
    <w:rsid w:val="00D84CD1"/>
    <w:rsid w:val="00D84CDD"/>
    <w:rsid w:val="00D84D21"/>
    <w:rsid w:val="00D84DB1"/>
    <w:rsid w:val="00D84DE3"/>
    <w:rsid w:val="00D84E20"/>
    <w:rsid w:val="00D84E2A"/>
    <w:rsid w:val="00D84E52"/>
    <w:rsid w:val="00D84E5B"/>
    <w:rsid w:val="00D84E6B"/>
    <w:rsid w:val="00D84E6C"/>
    <w:rsid w:val="00D84E88"/>
    <w:rsid w:val="00D84EA4"/>
    <w:rsid w:val="00D84ED9"/>
    <w:rsid w:val="00D84F00"/>
    <w:rsid w:val="00D84F40"/>
    <w:rsid w:val="00D84F7E"/>
    <w:rsid w:val="00D84F85"/>
    <w:rsid w:val="00D84FEF"/>
    <w:rsid w:val="00D84FF8"/>
    <w:rsid w:val="00D85038"/>
    <w:rsid w:val="00D85042"/>
    <w:rsid w:val="00D8505A"/>
    <w:rsid w:val="00D85086"/>
    <w:rsid w:val="00D850B1"/>
    <w:rsid w:val="00D8510B"/>
    <w:rsid w:val="00D85172"/>
    <w:rsid w:val="00D85192"/>
    <w:rsid w:val="00D851E0"/>
    <w:rsid w:val="00D8525F"/>
    <w:rsid w:val="00D8527B"/>
    <w:rsid w:val="00D85286"/>
    <w:rsid w:val="00D85288"/>
    <w:rsid w:val="00D852AD"/>
    <w:rsid w:val="00D852B0"/>
    <w:rsid w:val="00D852DF"/>
    <w:rsid w:val="00D852FB"/>
    <w:rsid w:val="00D8533D"/>
    <w:rsid w:val="00D85348"/>
    <w:rsid w:val="00D8534C"/>
    <w:rsid w:val="00D85364"/>
    <w:rsid w:val="00D85366"/>
    <w:rsid w:val="00D8536C"/>
    <w:rsid w:val="00D853D2"/>
    <w:rsid w:val="00D85460"/>
    <w:rsid w:val="00D85477"/>
    <w:rsid w:val="00D85494"/>
    <w:rsid w:val="00D854EF"/>
    <w:rsid w:val="00D85505"/>
    <w:rsid w:val="00D85523"/>
    <w:rsid w:val="00D85544"/>
    <w:rsid w:val="00D855ED"/>
    <w:rsid w:val="00D855FD"/>
    <w:rsid w:val="00D8564D"/>
    <w:rsid w:val="00D85683"/>
    <w:rsid w:val="00D856AA"/>
    <w:rsid w:val="00D856EF"/>
    <w:rsid w:val="00D856F5"/>
    <w:rsid w:val="00D85724"/>
    <w:rsid w:val="00D85746"/>
    <w:rsid w:val="00D85751"/>
    <w:rsid w:val="00D8581A"/>
    <w:rsid w:val="00D85820"/>
    <w:rsid w:val="00D858E2"/>
    <w:rsid w:val="00D858E5"/>
    <w:rsid w:val="00D858E7"/>
    <w:rsid w:val="00D858F0"/>
    <w:rsid w:val="00D85941"/>
    <w:rsid w:val="00D85971"/>
    <w:rsid w:val="00D85984"/>
    <w:rsid w:val="00D859B0"/>
    <w:rsid w:val="00D85A1C"/>
    <w:rsid w:val="00D85A3D"/>
    <w:rsid w:val="00D85AB0"/>
    <w:rsid w:val="00D85B1D"/>
    <w:rsid w:val="00D85B1E"/>
    <w:rsid w:val="00D85B45"/>
    <w:rsid w:val="00D85BD4"/>
    <w:rsid w:val="00D85BDB"/>
    <w:rsid w:val="00D85BEC"/>
    <w:rsid w:val="00D85C23"/>
    <w:rsid w:val="00D85C6A"/>
    <w:rsid w:val="00D85C7D"/>
    <w:rsid w:val="00D85C80"/>
    <w:rsid w:val="00D85CB1"/>
    <w:rsid w:val="00D85CBA"/>
    <w:rsid w:val="00D85CC8"/>
    <w:rsid w:val="00D85D12"/>
    <w:rsid w:val="00D85D58"/>
    <w:rsid w:val="00D85D79"/>
    <w:rsid w:val="00D85D90"/>
    <w:rsid w:val="00D85DF3"/>
    <w:rsid w:val="00D85E18"/>
    <w:rsid w:val="00D85E5A"/>
    <w:rsid w:val="00D85EBE"/>
    <w:rsid w:val="00D85F3F"/>
    <w:rsid w:val="00D85F60"/>
    <w:rsid w:val="00D85F7C"/>
    <w:rsid w:val="00D85F8E"/>
    <w:rsid w:val="00D86077"/>
    <w:rsid w:val="00D86097"/>
    <w:rsid w:val="00D860B6"/>
    <w:rsid w:val="00D860BD"/>
    <w:rsid w:val="00D860DD"/>
    <w:rsid w:val="00D86123"/>
    <w:rsid w:val="00D86126"/>
    <w:rsid w:val="00D861AB"/>
    <w:rsid w:val="00D861B1"/>
    <w:rsid w:val="00D861CB"/>
    <w:rsid w:val="00D861E9"/>
    <w:rsid w:val="00D86216"/>
    <w:rsid w:val="00D86223"/>
    <w:rsid w:val="00D8622A"/>
    <w:rsid w:val="00D8623B"/>
    <w:rsid w:val="00D86276"/>
    <w:rsid w:val="00D86290"/>
    <w:rsid w:val="00D86291"/>
    <w:rsid w:val="00D862B5"/>
    <w:rsid w:val="00D862DE"/>
    <w:rsid w:val="00D862DF"/>
    <w:rsid w:val="00D862FE"/>
    <w:rsid w:val="00D86314"/>
    <w:rsid w:val="00D86349"/>
    <w:rsid w:val="00D8634F"/>
    <w:rsid w:val="00D863B7"/>
    <w:rsid w:val="00D863B9"/>
    <w:rsid w:val="00D8642D"/>
    <w:rsid w:val="00D86438"/>
    <w:rsid w:val="00D86458"/>
    <w:rsid w:val="00D8645F"/>
    <w:rsid w:val="00D86485"/>
    <w:rsid w:val="00D86489"/>
    <w:rsid w:val="00D86494"/>
    <w:rsid w:val="00D864C6"/>
    <w:rsid w:val="00D864F8"/>
    <w:rsid w:val="00D8650D"/>
    <w:rsid w:val="00D86527"/>
    <w:rsid w:val="00D86531"/>
    <w:rsid w:val="00D86533"/>
    <w:rsid w:val="00D86546"/>
    <w:rsid w:val="00D8657D"/>
    <w:rsid w:val="00D86588"/>
    <w:rsid w:val="00D865AB"/>
    <w:rsid w:val="00D865DF"/>
    <w:rsid w:val="00D865FB"/>
    <w:rsid w:val="00D86621"/>
    <w:rsid w:val="00D86666"/>
    <w:rsid w:val="00D8667D"/>
    <w:rsid w:val="00D86689"/>
    <w:rsid w:val="00D866DC"/>
    <w:rsid w:val="00D8671C"/>
    <w:rsid w:val="00D867E6"/>
    <w:rsid w:val="00D8680C"/>
    <w:rsid w:val="00D86897"/>
    <w:rsid w:val="00D868A2"/>
    <w:rsid w:val="00D868C0"/>
    <w:rsid w:val="00D86903"/>
    <w:rsid w:val="00D8691C"/>
    <w:rsid w:val="00D86945"/>
    <w:rsid w:val="00D86971"/>
    <w:rsid w:val="00D86977"/>
    <w:rsid w:val="00D86998"/>
    <w:rsid w:val="00D86A27"/>
    <w:rsid w:val="00D86A46"/>
    <w:rsid w:val="00D86AE6"/>
    <w:rsid w:val="00D86B72"/>
    <w:rsid w:val="00D86B93"/>
    <w:rsid w:val="00D86BAE"/>
    <w:rsid w:val="00D86BC0"/>
    <w:rsid w:val="00D86C10"/>
    <w:rsid w:val="00D86C1A"/>
    <w:rsid w:val="00D86C3C"/>
    <w:rsid w:val="00D86C41"/>
    <w:rsid w:val="00D86C72"/>
    <w:rsid w:val="00D86C98"/>
    <w:rsid w:val="00D86C9A"/>
    <w:rsid w:val="00D86D2A"/>
    <w:rsid w:val="00D86D56"/>
    <w:rsid w:val="00D86D81"/>
    <w:rsid w:val="00D86D93"/>
    <w:rsid w:val="00D86DC1"/>
    <w:rsid w:val="00D86E2B"/>
    <w:rsid w:val="00D86E54"/>
    <w:rsid w:val="00D86ED8"/>
    <w:rsid w:val="00D86EFB"/>
    <w:rsid w:val="00D86F00"/>
    <w:rsid w:val="00D86FDD"/>
    <w:rsid w:val="00D8703B"/>
    <w:rsid w:val="00D87050"/>
    <w:rsid w:val="00D87053"/>
    <w:rsid w:val="00D8707D"/>
    <w:rsid w:val="00D8709B"/>
    <w:rsid w:val="00D870A4"/>
    <w:rsid w:val="00D870D4"/>
    <w:rsid w:val="00D870F5"/>
    <w:rsid w:val="00D87116"/>
    <w:rsid w:val="00D8713A"/>
    <w:rsid w:val="00D87174"/>
    <w:rsid w:val="00D8718D"/>
    <w:rsid w:val="00D871C2"/>
    <w:rsid w:val="00D871E4"/>
    <w:rsid w:val="00D871EA"/>
    <w:rsid w:val="00D871FC"/>
    <w:rsid w:val="00D87208"/>
    <w:rsid w:val="00D87256"/>
    <w:rsid w:val="00D8725C"/>
    <w:rsid w:val="00D8727E"/>
    <w:rsid w:val="00D872C2"/>
    <w:rsid w:val="00D872C9"/>
    <w:rsid w:val="00D872D7"/>
    <w:rsid w:val="00D87320"/>
    <w:rsid w:val="00D8733D"/>
    <w:rsid w:val="00D8736C"/>
    <w:rsid w:val="00D873A9"/>
    <w:rsid w:val="00D873B5"/>
    <w:rsid w:val="00D873C4"/>
    <w:rsid w:val="00D873E6"/>
    <w:rsid w:val="00D87448"/>
    <w:rsid w:val="00D8744C"/>
    <w:rsid w:val="00D87471"/>
    <w:rsid w:val="00D87497"/>
    <w:rsid w:val="00D874A7"/>
    <w:rsid w:val="00D874CD"/>
    <w:rsid w:val="00D874DF"/>
    <w:rsid w:val="00D874E1"/>
    <w:rsid w:val="00D874FD"/>
    <w:rsid w:val="00D8750A"/>
    <w:rsid w:val="00D87537"/>
    <w:rsid w:val="00D8753C"/>
    <w:rsid w:val="00D87555"/>
    <w:rsid w:val="00D87580"/>
    <w:rsid w:val="00D875CE"/>
    <w:rsid w:val="00D875E9"/>
    <w:rsid w:val="00D875F2"/>
    <w:rsid w:val="00D8765F"/>
    <w:rsid w:val="00D87666"/>
    <w:rsid w:val="00D876C8"/>
    <w:rsid w:val="00D876F1"/>
    <w:rsid w:val="00D876FD"/>
    <w:rsid w:val="00D87703"/>
    <w:rsid w:val="00D8777B"/>
    <w:rsid w:val="00D87791"/>
    <w:rsid w:val="00D877AD"/>
    <w:rsid w:val="00D87807"/>
    <w:rsid w:val="00D87834"/>
    <w:rsid w:val="00D87855"/>
    <w:rsid w:val="00D878BE"/>
    <w:rsid w:val="00D87908"/>
    <w:rsid w:val="00D87909"/>
    <w:rsid w:val="00D8792D"/>
    <w:rsid w:val="00D87954"/>
    <w:rsid w:val="00D87957"/>
    <w:rsid w:val="00D8795B"/>
    <w:rsid w:val="00D87965"/>
    <w:rsid w:val="00D87984"/>
    <w:rsid w:val="00D879CE"/>
    <w:rsid w:val="00D87A11"/>
    <w:rsid w:val="00D87A5C"/>
    <w:rsid w:val="00D87A8A"/>
    <w:rsid w:val="00D87A92"/>
    <w:rsid w:val="00D87AC1"/>
    <w:rsid w:val="00D87AC5"/>
    <w:rsid w:val="00D87B0D"/>
    <w:rsid w:val="00D87B80"/>
    <w:rsid w:val="00D87BCB"/>
    <w:rsid w:val="00D87C5A"/>
    <w:rsid w:val="00D87C93"/>
    <w:rsid w:val="00D87CC2"/>
    <w:rsid w:val="00D87CC5"/>
    <w:rsid w:val="00D87CD3"/>
    <w:rsid w:val="00D87CE3"/>
    <w:rsid w:val="00D87CE8"/>
    <w:rsid w:val="00D87CEB"/>
    <w:rsid w:val="00D87CFE"/>
    <w:rsid w:val="00D87D36"/>
    <w:rsid w:val="00D87D4E"/>
    <w:rsid w:val="00D87D59"/>
    <w:rsid w:val="00D87D81"/>
    <w:rsid w:val="00D87D8D"/>
    <w:rsid w:val="00D87D8F"/>
    <w:rsid w:val="00D87DB8"/>
    <w:rsid w:val="00D87DD5"/>
    <w:rsid w:val="00D87DF4"/>
    <w:rsid w:val="00D87E54"/>
    <w:rsid w:val="00D87EA4"/>
    <w:rsid w:val="00D87EC5"/>
    <w:rsid w:val="00D87F1B"/>
    <w:rsid w:val="00D87F30"/>
    <w:rsid w:val="00D87FB1"/>
    <w:rsid w:val="00D87FB2"/>
    <w:rsid w:val="00D87FC6"/>
    <w:rsid w:val="00D87FD5"/>
    <w:rsid w:val="00D87FE8"/>
    <w:rsid w:val="00D90029"/>
    <w:rsid w:val="00D900B7"/>
    <w:rsid w:val="00D900C6"/>
    <w:rsid w:val="00D90100"/>
    <w:rsid w:val="00D90189"/>
    <w:rsid w:val="00D9018A"/>
    <w:rsid w:val="00D901F3"/>
    <w:rsid w:val="00D90209"/>
    <w:rsid w:val="00D90266"/>
    <w:rsid w:val="00D90278"/>
    <w:rsid w:val="00D90284"/>
    <w:rsid w:val="00D902CB"/>
    <w:rsid w:val="00D902CE"/>
    <w:rsid w:val="00D90369"/>
    <w:rsid w:val="00D903A5"/>
    <w:rsid w:val="00D9040E"/>
    <w:rsid w:val="00D90411"/>
    <w:rsid w:val="00D9042C"/>
    <w:rsid w:val="00D90468"/>
    <w:rsid w:val="00D90473"/>
    <w:rsid w:val="00D904B7"/>
    <w:rsid w:val="00D904CF"/>
    <w:rsid w:val="00D904DB"/>
    <w:rsid w:val="00D90550"/>
    <w:rsid w:val="00D90557"/>
    <w:rsid w:val="00D90559"/>
    <w:rsid w:val="00D9056D"/>
    <w:rsid w:val="00D905A0"/>
    <w:rsid w:val="00D905B8"/>
    <w:rsid w:val="00D905D9"/>
    <w:rsid w:val="00D9062E"/>
    <w:rsid w:val="00D9063F"/>
    <w:rsid w:val="00D9064C"/>
    <w:rsid w:val="00D90699"/>
    <w:rsid w:val="00D9073A"/>
    <w:rsid w:val="00D90751"/>
    <w:rsid w:val="00D907A8"/>
    <w:rsid w:val="00D907D0"/>
    <w:rsid w:val="00D907F8"/>
    <w:rsid w:val="00D9083D"/>
    <w:rsid w:val="00D9089B"/>
    <w:rsid w:val="00D908B7"/>
    <w:rsid w:val="00D9096B"/>
    <w:rsid w:val="00D9098C"/>
    <w:rsid w:val="00D909A7"/>
    <w:rsid w:val="00D909AC"/>
    <w:rsid w:val="00D909DA"/>
    <w:rsid w:val="00D90A0E"/>
    <w:rsid w:val="00D90A1A"/>
    <w:rsid w:val="00D90A30"/>
    <w:rsid w:val="00D90A76"/>
    <w:rsid w:val="00D90A92"/>
    <w:rsid w:val="00D90B1E"/>
    <w:rsid w:val="00D90B3A"/>
    <w:rsid w:val="00D90B65"/>
    <w:rsid w:val="00D90B78"/>
    <w:rsid w:val="00D90BAA"/>
    <w:rsid w:val="00D90BD4"/>
    <w:rsid w:val="00D90C56"/>
    <w:rsid w:val="00D90C9C"/>
    <w:rsid w:val="00D90CB1"/>
    <w:rsid w:val="00D90CBA"/>
    <w:rsid w:val="00D90CBE"/>
    <w:rsid w:val="00D90CD6"/>
    <w:rsid w:val="00D90D12"/>
    <w:rsid w:val="00D90D17"/>
    <w:rsid w:val="00D90D18"/>
    <w:rsid w:val="00D90D29"/>
    <w:rsid w:val="00D90D44"/>
    <w:rsid w:val="00D90D48"/>
    <w:rsid w:val="00D90D52"/>
    <w:rsid w:val="00D90D65"/>
    <w:rsid w:val="00D90D71"/>
    <w:rsid w:val="00D90DD2"/>
    <w:rsid w:val="00D90DE4"/>
    <w:rsid w:val="00D90E05"/>
    <w:rsid w:val="00D90E0E"/>
    <w:rsid w:val="00D90E13"/>
    <w:rsid w:val="00D90E2C"/>
    <w:rsid w:val="00D90E55"/>
    <w:rsid w:val="00D90ED6"/>
    <w:rsid w:val="00D90ED7"/>
    <w:rsid w:val="00D90F09"/>
    <w:rsid w:val="00D90F57"/>
    <w:rsid w:val="00D90F8F"/>
    <w:rsid w:val="00D90FFB"/>
    <w:rsid w:val="00D91018"/>
    <w:rsid w:val="00D91039"/>
    <w:rsid w:val="00D9104B"/>
    <w:rsid w:val="00D91056"/>
    <w:rsid w:val="00D910E0"/>
    <w:rsid w:val="00D910EE"/>
    <w:rsid w:val="00D91114"/>
    <w:rsid w:val="00D9111F"/>
    <w:rsid w:val="00D911A9"/>
    <w:rsid w:val="00D91202"/>
    <w:rsid w:val="00D91254"/>
    <w:rsid w:val="00D9125C"/>
    <w:rsid w:val="00D9128C"/>
    <w:rsid w:val="00D912A0"/>
    <w:rsid w:val="00D912BA"/>
    <w:rsid w:val="00D912D9"/>
    <w:rsid w:val="00D912F8"/>
    <w:rsid w:val="00D91304"/>
    <w:rsid w:val="00D91330"/>
    <w:rsid w:val="00D91377"/>
    <w:rsid w:val="00D9139F"/>
    <w:rsid w:val="00D91425"/>
    <w:rsid w:val="00D91428"/>
    <w:rsid w:val="00D91432"/>
    <w:rsid w:val="00D91469"/>
    <w:rsid w:val="00D91517"/>
    <w:rsid w:val="00D9154E"/>
    <w:rsid w:val="00D91578"/>
    <w:rsid w:val="00D915A5"/>
    <w:rsid w:val="00D915F4"/>
    <w:rsid w:val="00D91608"/>
    <w:rsid w:val="00D916B0"/>
    <w:rsid w:val="00D9171C"/>
    <w:rsid w:val="00D91786"/>
    <w:rsid w:val="00D917E7"/>
    <w:rsid w:val="00D91841"/>
    <w:rsid w:val="00D9186A"/>
    <w:rsid w:val="00D9186B"/>
    <w:rsid w:val="00D918BA"/>
    <w:rsid w:val="00D918C8"/>
    <w:rsid w:val="00D918CE"/>
    <w:rsid w:val="00D9191D"/>
    <w:rsid w:val="00D91944"/>
    <w:rsid w:val="00D91953"/>
    <w:rsid w:val="00D9195A"/>
    <w:rsid w:val="00D919A4"/>
    <w:rsid w:val="00D919E7"/>
    <w:rsid w:val="00D91A18"/>
    <w:rsid w:val="00D91A3F"/>
    <w:rsid w:val="00D91A58"/>
    <w:rsid w:val="00D91A77"/>
    <w:rsid w:val="00D91AB9"/>
    <w:rsid w:val="00D91ABF"/>
    <w:rsid w:val="00D91AFE"/>
    <w:rsid w:val="00D91B0C"/>
    <w:rsid w:val="00D91B27"/>
    <w:rsid w:val="00D91B86"/>
    <w:rsid w:val="00D91BAC"/>
    <w:rsid w:val="00D91BE1"/>
    <w:rsid w:val="00D91BE7"/>
    <w:rsid w:val="00D91C49"/>
    <w:rsid w:val="00D91C4D"/>
    <w:rsid w:val="00D91CF7"/>
    <w:rsid w:val="00D91D18"/>
    <w:rsid w:val="00D91D35"/>
    <w:rsid w:val="00D91D78"/>
    <w:rsid w:val="00D91DC5"/>
    <w:rsid w:val="00D91DC9"/>
    <w:rsid w:val="00D91DEB"/>
    <w:rsid w:val="00D91DF9"/>
    <w:rsid w:val="00D91E3D"/>
    <w:rsid w:val="00D91E46"/>
    <w:rsid w:val="00D91E57"/>
    <w:rsid w:val="00D91E9E"/>
    <w:rsid w:val="00D91F13"/>
    <w:rsid w:val="00D91F22"/>
    <w:rsid w:val="00D91F2B"/>
    <w:rsid w:val="00D91F36"/>
    <w:rsid w:val="00D91FAE"/>
    <w:rsid w:val="00D91FBF"/>
    <w:rsid w:val="00D92011"/>
    <w:rsid w:val="00D9201C"/>
    <w:rsid w:val="00D9202A"/>
    <w:rsid w:val="00D92048"/>
    <w:rsid w:val="00D9204F"/>
    <w:rsid w:val="00D92064"/>
    <w:rsid w:val="00D92092"/>
    <w:rsid w:val="00D9209A"/>
    <w:rsid w:val="00D920FD"/>
    <w:rsid w:val="00D92123"/>
    <w:rsid w:val="00D92182"/>
    <w:rsid w:val="00D9218E"/>
    <w:rsid w:val="00D92197"/>
    <w:rsid w:val="00D921B4"/>
    <w:rsid w:val="00D921E4"/>
    <w:rsid w:val="00D9222B"/>
    <w:rsid w:val="00D92232"/>
    <w:rsid w:val="00D92255"/>
    <w:rsid w:val="00D92264"/>
    <w:rsid w:val="00D92282"/>
    <w:rsid w:val="00D92300"/>
    <w:rsid w:val="00D9232D"/>
    <w:rsid w:val="00D92372"/>
    <w:rsid w:val="00D9237C"/>
    <w:rsid w:val="00D92394"/>
    <w:rsid w:val="00D923CF"/>
    <w:rsid w:val="00D923E4"/>
    <w:rsid w:val="00D92407"/>
    <w:rsid w:val="00D92421"/>
    <w:rsid w:val="00D92422"/>
    <w:rsid w:val="00D92428"/>
    <w:rsid w:val="00D92440"/>
    <w:rsid w:val="00D924B5"/>
    <w:rsid w:val="00D924F4"/>
    <w:rsid w:val="00D92501"/>
    <w:rsid w:val="00D9250F"/>
    <w:rsid w:val="00D9251D"/>
    <w:rsid w:val="00D9256A"/>
    <w:rsid w:val="00D9257E"/>
    <w:rsid w:val="00D92580"/>
    <w:rsid w:val="00D925BF"/>
    <w:rsid w:val="00D925D9"/>
    <w:rsid w:val="00D925F2"/>
    <w:rsid w:val="00D9262B"/>
    <w:rsid w:val="00D9264C"/>
    <w:rsid w:val="00D92660"/>
    <w:rsid w:val="00D92686"/>
    <w:rsid w:val="00D926A4"/>
    <w:rsid w:val="00D926F7"/>
    <w:rsid w:val="00D926FC"/>
    <w:rsid w:val="00D9275A"/>
    <w:rsid w:val="00D9277F"/>
    <w:rsid w:val="00D927E1"/>
    <w:rsid w:val="00D92815"/>
    <w:rsid w:val="00D9282E"/>
    <w:rsid w:val="00D92858"/>
    <w:rsid w:val="00D92859"/>
    <w:rsid w:val="00D9285B"/>
    <w:rsid w:val="00D928E6"/>
    <w:rsid w:val="00D928F4"/>
    <w:rsid w:val="00D9295A"/>
    <w:rsid w:val="00D92961"/>
    <w:rsid w:val="00D929C9"/>
    <w:rsid w:val="00D929D8"/>
    <w:rsid w:val="00D929F2"/>
    <w:rsid w:val="00D92AA2"/>
    <w:rsid w:val="00D92AE6"/>
    <w:rsid w:val="00D92B39"/>
    <w:rsid w:val="00D92B61"/>
    <w:rsid w:val="00D92B71"/>
    <w:rsid w:val="00D92B7C"/>
    <w:rsid w:val="00D92B9F"/>
    <w:rsid w:val="00D92BAA"/>
    <w:rsid w:val="00D92BBE"/>
    <w:rsid w:val="00D92BC4"/>
    <w:rsid w:val="00D92BE5"/>
    <w:rsid w:val="00D92C04"/>
    <w:rsid w:val="00D92C06"/>
    <w:rsid w:val="00D92C0F"/>
    <w:rsid w:val="00D92C2C"/>
    <w:rsid w:val="00D92C42"/>
    <w:rsid w:val="00D92C58"/>
    <w:rsid w:val="00D92CC0"/>
    <w:rsid w:val="00D92CCD"/>
    <w:rsid w:val="00D92CD4"/>
    <w:rsid w:val="00D92CE5"/>
    <w:rsid w:val="00D92CEE"/>
    <w:rsid w:val="00D92CF4"/>
    <w:rsid w:val="00D92D41"/>
    <w:rsid w:val="00D92D7E"/>
    <w:rsid w:val="00D92DCE"/>
    <w:rsid w:val="00D92DD0"/>
    <w:rsid w:val="00D92E1B"/>
    <w:rsid w:val="00D92E69"/>
    <w:rsid w:val="00D92E74"/>
    <w:rsid w:val="00D92E9F"/>
    <w:rsid w:val="00D92F17"/>
    <w:rsid w:val="00D92F27"/>
    <w:rsid w:val="00D92F94"/>
    <w:rsid w:val="00D92FAA"/>
    <w:rsid w:val="00D92FE2"/>
    <w:rsid w:val="00D93051"/>
    <w:rsid w:val="00D93068"/>
    <w:rsid w:val="00D9308E"/>
    <w:rsid w:val="00D930D3"/>
    <w:rsid w:val="00D930F1"/>
    <w:rsid w:val="00D930FA"/>
    <w:rsid w:val="00D93104"/>
    <w:rsid w:val="00D9314B"/>
    <w:rsid w:val="00D931B5"/>
    <w:rsid w:val="00D931D4"/>
    <w:rsid w:val="00D93218"/>
    <w:rsid w:val="00D93261"/>
    <w:rsid w:val="00D932C9"/>
    <w:rsid w:val="00D932E4"/>
    <w:rsid w:val="00D932F1"/>
    <w:rsid w:val="00D932F4"/>
    <w:rsid w:val="00D9332F"/>
    <w:rsid w:val="00D9333C"/>
    <w:rsid w:val="00D9334E"/>
    <w:rsid w:val="00D933BB"/>
    <w:rsid w:val="00D933FC"/>
    <w:rsid w:val="00D933FE"/>
    <w:rsid w:val="00D9340F"/>
    <w:rsid w:val="00D93457"/>
    <w:rsid w:val="00D9345B"/>
    <w:rsid w:val="00D9345D"/>
    <w:rsid w:val="00D93472"/>
    <w:rsid w:val="00D9349B"/>
    <w:rsid w:val="00D934DA"/>
    <w:rsid w:val="00D93501"/>
    <w:rsid w:val="00D93507"/>
    <w:rsid w:val="00D9350F"/>
    <w:rsid w:val="00D93519"/>
    <w:rsid w:val="00D9358E"/>
    <w:rsid w:val="00D935AA"/>
    <w:rsid w:val="00D9362D"/>
    <w:rsid w:val="00D9364B"/>
    <w:rsid w:val="00D93653"/>
    <w:rsid w:val="00D93674"/>
    <w:rsid w:val="00D9368F"/>
    <w:rsid w:val="00D936AC"/>
    <w:rsid w:val="00D936BF"/>
    <w:rsid w:val="00D936C6"/>
    <w:rsid w:val="00D936D6"/>
    <w:rsid w:val="00D936F9"/>
    <w:rsid w:val="00D93701"/>
    <w:rsid w:val="00D9373F"/>
    <w:rsid w:val="00D93757"/>
    <w:rsid w:val="00D937C8"/>
    <w:rsid w:val="00D937D5"/>
    <w:rsid w:val="00D937E0"/>
    <w:rsid w:val="00D937E2"/>
    <w:rsid w:val="00D93809"/>
    <w:rsid w:val="00D9384D"/>
    <w:rsid w:val="00D938E9"/>
    <w:rsid w:val="00D93920"/>
    <w:rsid w:val="00D939A0"/>
    <w:rsid w:val="00D939C5"/>
    <w:rsid w:val="00D93A01"/>
    <w:rsid w:val="00D93A1B"/>
    <w:rsid w:val="00D93A90"/>
    <w:rsid w:val="00D93AB6"/>
    <w:rsid w:val="00D93AE0"/>
    <w:rsid w:val="00D93AF6"/>
    <w:rsid w:val="00D93B2A"/>
    <w:rsid w:val="00D93B2C"/>
    <w:rsid w:val="00D93B64"/>
    <w:rsid w:val="00D93B7F"/>
    <w:rsid w:val="00D93BC7"/>
    <w:rsid w:val="00D93C5B"/>
    <w:rsid w:val="00D93C92"/>
    <w:rsid w:val="00D93C9B"/>
    <w:rsid w:val="00D93CCD"/>
    <w:rsid w:val="00D93D14"/>
    <w:rsid w:val="00D93D1B"/>
    <w:rsid w:val="00D93D1F"/>
    <w:rsid w:val="00D93D2A"/>
    <w:rsid w:val="00D93D38"/>
    <w:rsid w:val="00D93D6F"/>
    <w:rsid w:val="00D93D79"/>
    <w:rsid w:val="00D93DA6"/>
    <w:rsid w:val="00D93DC3"/>
    <w:rsid w:val="00D93E2A"/>
    <w:rsid w:val="00D93E6F"/>
    <w:rsid w:val="00D93E9F"/>
    <w:rsid w:val="00D93EA2"/>
    <w:rsid w:val="00D93EBE"/>
    <w:rsid w:val="00D93F1A"/>
    <w:rsid w:val="00D93F31"/>
    <w:rsid w:val="00D93F5F"/>
    <w:rsid w:val="00D93F61"/>
    <w:rsid w:val="00D93FB8"/>
    <w:rsid w:val="00D93FFE"/>
    <w:rsid w:val="00D9404E"/>
    <w:rsid w:val="00D94078"/>
    <w:rsid w:val="00D9407B"/>
    <w:rsid w:val="00D940C7"/>
    <w:rsid w:val="00D940CE"/>
    <w:rsid w:val="00D9411D"/>
    <w:rsid w:val="00D94145"/>
    <w:rsid w:val="00D94152"/>
    <w:rsid w:val="00D9419A"/>
    <w:rsid w:val="00D941BF"/>
    <w:rsid w:val="00D941F8"/>
    <w:rsid w:val="00D94201"/>
    <w:rsid w:val="00D94256"/>
    <w:rsid w:val="00D94264"/>
    <w:rsid w:val="00D942A5"/>
    <w:rsid w:val="00D942DD"/>
    <w:rsid w:val="00D9431E"/>
    <w:rsid w:val="00D94320"/>
    <w:rsid w:val="00D94342"/>
    <w:rsid w:val="00D9437C"/>
    <w:rsid w:val="00D943AC"/>
    <w:rsid w:val="00D943D0"/>
    <w:rsid w:val="00D943DA"/>
    <w:rsid w:val="00D943FF"/>
    <w:rsid w:val="00D94459"/>
    <w:rsid w:val="00D9445A"/>
    <w:rsid w:val="00D944BE"/>
    <w:rsid w:val="00D94513"/>
    <w:rsid w:val="00D9457B"/>
    <w:rsid w:val="00D9457E"/>
    <w:rsid w:val="00D9459F"/>
    <w:rsid w:val="00D945CB"/>
    <w:rsid w:val="00D94670"/>
    <w:rsid w:val="00D94681"/>
    <w:rsid w:val="00D9468D"/>
    <w:rsid w:val="00D94733"/>
    <w:rsid w:val="00D9477A"/>
    <w:rsid w:val="00D9477B"/>
    <w:rsid w:val="00D947ED"/>
    <w:rsid w:val="00D94818"/>
    <w:rsid w:val="00D94827"/>
    <w:rsid w:val="00D94829"/>
    <w:rsid w:val="00D9483E"/>
    <w:rsid w:val="00D94862"/>
    <w:rsid w:val="00D94866"/>
    <w:rsid w:val="00D948AE"/>
    <w:rsid w:val="00D948EF"/>
    <w:rsid w:val="00D9493A"/>
    <w:rsid w:val="00D94970"/>
    <w:rsid w:val="00D949B8"/>
    <w:rsid w:val="00D949DA"/>
    <w:rsid w:val="00D94A32"/>
    <w:rsid w:val="00D94A91"/>
    <w:rsid w:val="00D94AEB"/>
    <w:rsid w:val="00D94AFD"/>
    <w:rsid w:val="00D94B08"/>
    <w:rsid w:val="00D94B33"/>
    <w:rsid w:val="00D94B87"/>
    <w:rsid w:val="00D94C2B"/>
    <w:rsid w:val="00D94C64"/>
    <w:rsid w:val="00D94C83"/>
    <w:rsid w:val="00D94C8C"/>
    <w:rsid w:val="00D94CAA"/>
    <w:rsid w:val="00D94CAE"/>
    <w:rsid w:val="00D94CAF"/>
    <w:rsid w:val="00D94CD1"/>
    <w:rsid w:val="00D94D26"/>
    <w:rsid w:val="00D94D3B"/>
    <w:rsid w:val="00D94D74"/>
    <w:rsid w:val="00D94DAC"/>
    <w:rsid w:val="00D94E26"/>
    <w:rsid w:val="00D94E41"/>
    <w:rsid w:val="00D94E4C"/>
    <w:rsid w:val="00D94E64"/>
    <w:rsid w:val="00D94E74"/>
    <w:rsid w:val="00D94EF8"/>
    <w:rsid w:val="00D94F11"/>
    <w:rsid w:val="00D94FA2"/>
    <w:rsid w:val="00D94FA4"/>
    <w:rsid w:val="00D94FA8"/>
    <w:rsid w:val="00D94FB9"/>
    <w:rsid w:val="00D94FC7"/>
    <w:rsid w:val="00D94FCA"/>
    <w:rsid w:val="00D95049"/>
    <w:rsid w:val="00D9504A"/>
    <w:rsid w:val="00D95088"/>
    <w:rsid w:val="00D950C3"/>
    <w:rsid w:val="00D950DF"/>
    <w:rsid w:val="00D950E8"/>
    <w:rsid w:val="00D95115"/>
    <w:rsid w:val="00D951B6"/>
    <w:rsid w:val="00D9520D"/>
    <w:rsid w:val="00D95235"/>
    <w:rsid w:val="00D952C1"/>
    <w:rsid w:val="00D952D9"/>
    <w:rsid w:val="00D952EC"/>
    <w:rsid w:val="00D95301"/>
    <w:rsid w:val="00D95324"/>
    <w:rsid w:val="00D95349"/>
    <w:rsid w:val="00D95376"/>
    <w:rsid w:val="00D953D6"/>
    <w:rsid w:val="00D95404"/>
    <w:rsid w:val="00D9545A"/>
    <w:rsid w:val="00D9545D"/>
    <w:rsid w:val="00D9548E"/>
    <w:rsid w:val="00D95499"/>
    <w:rsid w:val="00D954FB"/>
    <w:rsid w:val="00D95537"/>
    <w:rsid w:val="00D9554F"/>
    <w:rsid w:val="00D95558"/>
    <w:rsid w:val="00D9555C"/>
    <w:rsid w:val="00D9556D"/>
    <w:rsid w:val="00D95601"/>
    <w:rsid w:val="00D95608"/>
    <w:rsid w:val="00D9565F"/>
    <w:rsid w:val="00D956EE"/>
    <w:rsid w:val="00D956FB"/>
    <w:rsid w:val="00D95732"/>
    <w:rsid w:val="00D9573F"/>
    <w:rsid w:val="00D95760"/>
    <w:rsid w:val="00D9576F"/>
    <w:rsid w:val="00D95864"/>
    <w:rsid w:val="00D95885"/>
    <w:rsid w:val="00D95888"/>
    <w:rsid w:val="00D9590D"/>
    <w:rsid w:val="00D95933"/>
    <w:rsid w:val="00D95953"/>
    <w:rsid w:val="00D95964"/>
    <w:rsid w:val="00D959B7"/>
    <w:rsid w:val="00D959CD"/>
    <w:rsid w:val="00D959DC"/>
    <w:rsid w:val="00D959DD"/>
    <w:rsid w:val="00D95A09"/>
    <w:rsid w:val="00D95A32"/>
    <w:rsid w:val="00D95A4A"/>
    <w:rsid w:val="00D95A6F"/>
    <w:rsid w:val="00D95A85"/>
    <w:rsid w:val="00D95B45"/>
    <w:rsid w:val="00D95B65"/>
    <w:rsid w:val="00D95B8B"/>
    <w:rsid w:val="00D95BB6"/>
    <w:rsid w:val="00D95BBE"/>
    <w:rsid w:val="00D95BD7"/>
    <w:rsid w:val="00D95BE9"/>
    <w:rsid w:val="00D95BF4"/>
    <w:rsid w:val="00D95C4B"/>
    <w:rsid w:val="00D95C95"/>
    <w:rsid w:val="00D95CE1"/>
    <w:rsid w:val="00D95CE5"/>
    <w:rsid w:val="00D95D11"/>
    <w:rsid w:val="00D95DD2"/>
    <w:rsid w:val="00D95E0C"/>
    <w:rsid w:val="00D95E38"/>
    <w:rsid w:val="00D95E60"/>
    <w:rsid w:val="00D95ED4"/>
    <w:rsid w:val="00D95EEE"/>
    <w:rsid w:val="00D95F08"/>
    <w:rsid w:val="00D95F43"/>
    <w:rsid w:val="00D95F4B"/>
    <w:rsid w:val="00D95FC9"/>
    <w:rsid w:val="00D9600A"/>
    <w:rsid w:val="00D96021"/>
    <w:rsid w:val="00D9602D"/>
    <w:rsid w:val="00D9605C"/>
    <w:rsid w:val="00D96060"/>
    <w:rsid w:val="00D9606E"/>
    <w:rsid w:val="00D9617F"/>
    <w:rsid w:val="00D96193"/>
    <w:rsid w:val="00D961B6"/>
    <w:rsid w:val="00D961BA"/>
    <w:rsid w:val="00D961E7"/>
    <w:rsid w:val="00D96220"/>
    <w:rsid w:val="00D96253"/>
    <w:rsid w:val="00D96266"/>
    <w:rsid w:val="00D962CF"/>
    <w:rsid w:val="00D962D9"/>
    <w:rsid w:val="00D962ED"/>
    <w:rsid w:val="00D9631B"/>
    <w:rsid w:val="00D9633C"/>
    <w:rsid w:val="00D9636C"/>
    <w:rsid w:val="00D963D1"/>
    <w:rsid w:val="00D963E9"/>
    <w:rsid w:val="00D96405"/>
    <w:rsid w:val="00D96432"/>
    <w:rsid w:val="00D9644B"/>
    <w:rsid w:val="00D96463"/>
    <w:rsid w:val="00D9649F"/>
    <w:rsid w:val="00D964BC"/>
    <w:rsid w:val="00D964D1"/>
    <w:rsid w:val="00D964E1"/>
    <w:rsid w:val="00D964E3"/>
    <w:rsid w:val="00D96526"/>
    <w:rsid w:val="00D96536"/>
    <w:rsid w:val="00D96543"/>
    <w:rsid w:val="00D9654D"/>
    <w:rsid w:val="00D96573"/>
    <w:rsid w:val="00D96588"/>
    <w:rsid w:val="00D965D5"/>
    <w:rsid w:val="00D9660A"/>
    <w:rsid w:val="00D96620"/>
    <w:rsid w:val="00D96678"/>
    <w:rsid w:val="00D966A0"/>
    <w:rsid w:val="00D966BE"/>
    <w:rsid w:val="00D966E7"/>
    <w:rsid w:val="00D966F3"/>
    <w:rsid w:val="00D96717"/>
    <w:rsid w:val="00D9672C"/>
    <w:rsid w:val="00D96749"/>
    <w:rsid w:val="00D96776"/>
    <w:rsid w:val="00D9677B"/>
    <w:rsid w:val="00D96797"/>
    <w:rsid w:val="00D967A0"/>
    <w:rsid w:val="00D967B0"/>
    <w:rsid w:val="00D96821"/>
    <w:rsid w:val="00D9683A"/>
    <w:rsid w:val="00D96866"/>
    <w:rsid w:val="00D96872"/>
    <w:rsid w:val="00D96877"/>
    <w:rsid w:val="00D96879"/>
    <w:rsid w:val="00D968C0"/>
    <w:rsid w:val="00D968E6"/>
    <w:rsid w:val="00D968ED"/>
    <w:rsid w:val="00D96902"/>
    <w:rsid w:val="00D96927"/>
    <w:rsid w:val="00D96946"/>
    <w:rsid w:val="00D9694D"/>
    <w:rsid w:val="00D96955"/>
    <w:rsid w:val="00D96983"/>
    <w:rsid w:val="00D969C4"/>
    <w:rsid w:val="00D96A03"/>
    <w:rsid w:val="00D96A80"/>
    <w:rsid w:val="00D96A95"/>
    <w:rsid w:val="00D96A9F"/>
    <w:rsid w:val="00D96AB3"/>
    <w:rsid w:val="00D96B33"/>
    <w:rsid w:val="00D96C60"/>
    <w:rsid w:val="00D96C79"/>
    <w:rsid w:val="00D96C7E"/>
    <w:rsid w:val="00D96C8B"/>
    <w:rsid w:val="00D96C9B"/>
    <w:rsid w:val="00D96CAB"/>
    <w:rsid w:val="00D96CB4"/>
    <w:rsid w:val="00D96CE1"/>
    <w:rsid w:val="00D96CED"/>
    <w:rsid w:val="00D96D13"/>
    <w:rsid w:val="00D96D2E"/>
    <w:rsid w:val="00D96D76"/>
    <w:rsid w:val="00D96DBA"/>
    <w:rsid w:val="00D96DCE"/>
    <w:rsid w:val="00D96DD5"/>
    <w:rsid w:val="00D96E1D"/>
    <w:rsid w:val="00D96E6A"/>
    <w:rsid w:val="00D96E82"/>
    <w:rsid w:val="00D96E94"/>
    <w:rsid w:val="00D96EC0"/>
    <w:rsid w:val="00D96EE3"/>
    <w:rsid w:val="00D96FC4"/>
    <w:rsid w:val="00D96FD8"/>
    <w:rsid w:val="00D9702A"/>
    <w:rsid w:val="00D970EF"/>
    <w:rsid w:val="00D970F5"/>
    <w:rsid w:val="00D971F2"/>
    <w:rsid w:val="00D971F9"/>
    <w:rsid w:val="00D97204"/>
    <w:rsid w:val="00D9723C"/>
    <w:rsid w:val="00D9726E"/>
    <w:rsid w:val="00D972E4"/>
    <w:rsid w:val="00D97310"/>
    <w:rsid w:val="00D97348"/>
    <w:rsid w:val="00D97362"/>
    <w:rsid w:val="00D97390"/>
    <w:rsid w:val="00D97402"/>
    <w:rsid w:val="00D9741D"/>
    <w:rsid w:val="00D97420"/>
    <w:rsid w:val="00D97447"/>
    <w:rsid w:val="00D9749A"/>
    <w:rsid w:val="00D974AC"/>
    <w:rsid w:val="00D974D0"/>
    <w:rsid w:val="00D974DB"/>
    <w:rsid w:val="00D97501"/>
    <w:rsid w:val="00D9751C"/>
    <w:rsid w:val="00D97540"/>
    <w:rsid w:val="00D9756C"/>
    <w:rsid w:val="00D97571"/>
    <w:rsid w:val="00D975F5"/>
    <w:rsid w:val="00D97624"/>
    <w:rsid w:val="00D9765E"/>
    <w:rsid w:val="00D9767A"/>
    <w:rsid w:val="00D97698"/>
    <w:rsid w:val="00D976A6"/>
    <w:rsid w:val="00D976B2"/>
    <w:rsid w:val="00D976BD"/>
    <w:rsid w:val="00D976CB"/>
    <w:rsid w:val="00D976E1"/>
    <w:rsid w:val="00D97701"/>
    <w:rsid w:val="00D9771C"/>
    <w:rsid w:val="00D9773C"/>
    <w:rsid w:val="00D9776C"/>
    <w:rsid w:val="00D9777A"/>
    <w:rsid w:val="00D977DB"/>
    <w:rsid w:val="00D977E4"/>
    <w:rsid w:val="00D977FA"/>
    <w:rsid w:val="00D9781A"/>
    <w:rsid w:val="00D97821"/>
    <w:rsid w:val="00D9786D"/>
    <w:rsid w:val="00D97899"/>
    <w:rsid w:val="00D978A9"/>
    <w:rsid w:val="00D978CA"/>
    <w:rsid w:val="00D978F4"/>
    <w:rsid w:val="00D9792A"/>
    <w:rsid w:val="00D9794A"/>
    <w:rsid w:val="00D97962"/>
    <w:rsid w:val="00D97969"/>
    <w:rsid w:val="00D97981"/>
    <w:rsid w:val="00D97988"/>
    <w:rsid w:val="00D979A3"/>
    <w:rsid w:val="00D979CB"/>
    <w:rsid w:val="00D979F0"/>
    <w:rsid w:val="00D97A31"/>
    <w:rsid w:val="00D97A90"/>
    <w:rsid w:val="00D97A99"/>
    <w:rsid w:val="00D97AB1"/>
    <w:rsid w:val="00D97AF9"/>
    <w:rsid w:val="00D97B58"/>
    <w:rsid w:val="00D97B8A"/>
    <w:rsid w:val="00D97BD7"/>
    <w:rsid w:val="00D97C51"/>
    <w:rsid w:val="00D97CA9"/>
    <w:rsid w:val="00D97CCE"/>
    <w:rsid w:val="00D97CCF"/>
    <w:rsid w:val="00D97D94"/>
    <w:rsid w:val="00D97DAE"/>
    <w:rsid w:val="00D97DBC"/>
    <w:rsid w:val="00D97E37"/>
    <w:rsid w:val="00D97E48"/>
    <w:rsid w:val="00D97E71"/>
    <w:rsid w:val="00D97EC5"/>
    <w:rsid w:val="00D97ED8"/>
    <w:rsid w:val="00D97EE5"/>
    <w:rsid w:val="00D97EFC"/>
    <w:rsid w:val="00D97F6B"/>
    <w:rsid w:val="00D97FBC"/>
    <w:rsid w:val="00D97FEA"/>
    <w:rsid w:val="00DA0000"/>
    <w:rsid w:val="00DA0045"/>
    <w:rsid w:val="00DA0091"/>
    <w:rsid w:val="00DA00EC"/>
    <w:rsid w:val="00DA00FD"/>
    <w:rsid w:val="00DA0135"/>
    <w:rsid w:val="00DA014B"/>
    <w:rsid w:val="00DA017B"/>
    <w:rsid w:val="00DA01F8"/>
    <w:rsid w:val="00DA020B"/>
    <w:rsid w:val="00DA0216"/>
    <w:rsid w:val="00DA021B"/>
    <w:rsid w:val="00DA021C"/>
    <w:rsid w:val="00DA024B"/>
    <w:rsid w:val="00DA026C"/>
    <w:rsid w:val="00DA02A7"/>
    <w:rsid w:val="00DA02F3"/>
    <w:rsid w:val="00DA0319"/>
    <w:rsid w:val="00DA0321"/>
    <w:rsid w:val="00DA0326"/>
    <w:rsid w:val="00DA0351"/>
    <w:rsid w:val="00DA038E"/>
    <w:rsid w:val="00DA0396"/>
    <w:rsid w:val="00DA0415"/>
    <w:rsid w:val="00DA0477"/>
    <w:rsid w:val="00DA04AB"/>
    <w:rsid w:val="00DA04D9"/>
    <w:rsid w:val="00DA04F0"/>
    <w:rsid w:val="00DA0579"/>
    <w:rsid w:val="00DA0614"/>
    <w:rsid w:val="00DA0661"/>
    <w:rsid w:val="00DA0663"/>
    <w:rsid w:val="00DA06A4"/>
    <w:rsid w:val="00DA06A9"/>
    <w:rsid w:val="00DA06DD"/>
    <w:rsid w:val="00DA078B"/>
    <w:rsid w:val="00DA07E7"/>
    <w:rsid w:val="00DA08B9"/>
    <w:rsid w:val="00DA08BC"/>
    <w:rsid w:val="00DA08BD"/>
    <w:rsid w:val="00DA08C7"/>
    <w:rsid w:val="00DA08D6"/>
    <w:rsid w:val="00DA08E4"/>
    <w:rsid w:val="00DA08EB"/>
    <w:rsid w:val="00DA08F3"/>
    <w:rsid w:val="00DA0948"/>
    <w:rsid w:val="00DA0984"/>
    <w:rsid w:val="00DA0A0D"/>
    <w:rsid w:val="00DA0A19"/>
    <w:rsid w:val="00DA0A37"/>
    <w:rsid w:val="00DA0A5A"/>
    <w:rsid w:val="00DA0A5F"/>
    <w:rsid w:val="00DA0ADD"/>
    <w:rsid w:val="00DA0B00"/>
    <w:rsid w:val="00DA0B3F"/>
    <w:rsid w:val="00DA0B91"/>
    <w:rsid w:val="00DA0C27"/>
    <w:rsid w:val="00DA0C3E"/>
    <w:rsid w:val="00DA0C90"/>
    <w:rsid w:val="00DA0CBA"/>
    <w:rsid w:val="00DA0CE5"/>
    <w:rsid w:val="00DA0CF7"/>
    <w:rsid w:val="00DA0D09"/>
    <w:rsid w:val="00DA0D19"/>
    <w:rsid w:val="00DA0D27"/>
    <w:rsid w:val="00DA0D3B"/>
    <w:rsid w:val="00DA0D4D"/>
    <w:rsid w:val="00DA0D8D"/>
    <w:rsid w:val="00DA0E4A"/>
    <w:rsid w:val="00DA0E57"/>
    <w:rsid w:val="00DA0E58"/>
    <w:rsid w:val="00DA0E64"/>
    <w:rsid w:val="00DA0E71"/>
    <w:rsid w:val="00DA0ED4"/>
    <w:rsid w:val="00DA0F5E"/>
    <w:rsid w:val="00DA0F8B"/>
    <w:rsid w:val="00DA101B"/>
    <w:rsid w:val="00DA1023"/>
    <w:rsid w:val="00DA1098"/>
    <w:rsid w:val="00DA10B8"/>
    <w:rsid w:val="00DA10D8"/>
    <w:rsid w:val="00DA113B"/>
    <w:rsid w:val="00DA116A"/>
    <w:rsid w:val="00DA1183"/>
    <w:rsid w:val="00DA118D"/>
    <w:rsid w:val="00DA11CE"/>
    <w:rsid w:val="00DA12A2"/>
    <w:rsid w:val="00DA12A7"/>
    <w:rsid w:val="00DA12D2"/>
    <w:rsid w:val="00DA130A"/>
    <w:rsid w:val="00DA1336"/>
    <w:rsid w:val="00DA1351"/>
    <w:rsid w:val="00DA137D"/>
    <w:rsid w:val="00DA139C"/>
    <w:rsid w:val="00DA139D"/>
    <w:rsid w:val="00DA13A2"/>
    <w:rsid w:val="00DA13CC"/>
    <w:rsid w:val="00DA1408"/>
    <w:rsid w:val="00DA144F"/>
    <w:rsid w:val="00DA1470"/>
    <w:rsid w:val="00DA1486"/>
    <w:rsid w:val="00DA14A5"/>
    <w:rsid w:val="00DA14EF"/>
    <w:rsid w:val="00DA150F"/>
    <w:rsid w:val="00DA151D"/>
    <w:rsid w:val="00DA1564"/>
    <w:rsid w:val="00DA15A0"/>
    <w:rsid w:val="00DA15B4"/>
    <w:rsid w:val="00DA15B7"/>
    <w:rsid w:val="00DA15C2"/>
    <w:rsid w:val="00DA169D"/>
    <w:rsid w:val="00DA16B9"/>
    <w:rsid w:val="00DA172A"/>
    <w:rsid w:val="00DA1740"/>
    <w:rsid w:val="00DA1745"/>
    <w:rsid w:val="00DA1750"/>
    <w:rsid w:val="00DA1789"/>
    <w:rsid w:val="00DA1882"/>
    <w:rsid w:val="00DA189C"/>
    <w:rsid w:val="00DA189E"/>
    <w:rsid w:val="00DA18F0"/>
    <w:rsid w:val="00DA1921"/>
    <w:rsid w:val="00DA1968"/>
    <w:rsid w:val="00DA1974"/>
    <w:rsid w:val="00DA19A3"/>
    <w:rsid w:val="00DA19BB"/>
    <w:rsid w:val="00DA19CB"/>
    <w:rsid w:val="00DA1A0A"/>
    <w:rsid w:val="00DA1A13"/>
    <w:rsid w:val="00DA1AE3"/>
    <w:rsid w:val="00DA1AEA"/>
    <w:rsid w:val="00DA1B02"/>
    <w:rsid w:val="00DA1B07"/>
    <w:rsid w:val="00DA1B17"/>
    <w:rsid w:val="00DA1B46"/>
    <w:rsid w:val="00DA1BB0"/>
    <w:rsid w:val="00DA1BCF"/>
    <w:rsid w:val="00DA1C13"/>
    <w:rsid w:val="00DA1C90"/>
    <w:rsid w:val="00DA1CB8"/>
    <w:rsid w:val="00DA1CF0"/>
    <w:rsid w:val="00DA1D2F"/>
    <w:rsid w:val="00DA1D47"/>
    <w:rsid w:val="00DA1D9A"/>
    <w:rsid w:val="00DA1E1C"/>
    <w:rsid w:val="00DA1E7B"/>
    <w:rsid w:val="00DA1E87"/>
    <w:rsid w:val="00DA1E92"/>
    <w:rsid w:val="00DA1F4B"/>
    <w:rsid w:val="00DA1F51"/>
    <w:rsid w:val="00DA1F8B"/>
    <w:rsid w:val="00DA1FBA"/>
    <w:rsid w:val="00DA1FF5"/>
    <w:rsid w:val="00DA2004"/>
    <w:rsid w:val="00DA2033"/>
    <w:rsid w:val="00DA2057"/>
    <w:rsid w:val="00DA2064"/>
    <w:rsid w:val="00DA206B"/>
    <w:rsid w:val="00DA20A2"/>
    <w:rsid w:val="00DA20AB"/>
    <w:rsid w:val="00DA20B4"/>
    <w:rsid w:val="00DA20C0"/>
    <w:rsid w:val="00DA2119"/>
    <w:rsid w:val="00DA2184"/>
    <w:rsid w:val="00DA21EE"/>
    <w:rsid w:val="00DA2201"/>
    <w:rsid w:val="00DA2261"/>
    <w:rsid w:val="00DA229B"/>
    <w:rsid w:val="00DA22E4"/>
    <w:rsid w:val="00DA2302"/>
    <w:rsid w:val="00DA23AB"/>
    <w:rsid w:val="00DA23CB"/>
    <w:rsid w:val="00DA23DF"/>
    <w:rsid w:val="00DA240A"/>
    <w:rsid w:val="00DA242E"/>
    <w:rsid w:val="00DA243F"/>
    <w:rsid w:val="00DA24BE"/>
    <w:rsid w:val="00DA24D3"/>
    <w:rsid w:val="00DA253B"/>
    <w:rsid w:val="00DA2558"/>
    <w:rsid w:val="00DA2563"/>
    <w:rsid w:val="00DA25A6"/>
    <w:rsid w:val="00DA25D5"/>
    <w:rsid w:val="00DA25F6"/>
    <w:rsid w:val="00DA25FB"/>
    <w:rsid w:val="00DA25FD"/>
    <w:rsid w:val="00DA2679"/>
    <w:rsid w:val="00DA26B3"/>
    <w:rsid w:val="00DA26B8"/>
    <w:rsid w:val="00DA26F6"/>
    <w:rsid w:val="00DA26FB"/>
    <w:rsid w:val="00DA2745"/>
    <w:rsid w:val="00DA275A"/>
    <w:rsid w:val="00DA2761"/>
    <w:rsid w:val="00DA2776"/>
    <w:rsid w:val="00DA2786"/>
    <w:rsid w:val="00DA27B1"/>
    <w:rsid w:val="00DA2871"/>
    <w:rsid w:val="00DA28DA"/>
    <w:rsid w:val="00DA28DB"/>
    <w:rsid w:val="00DA2909"/>
    <w:rsid w:val="00DA29CA"/>
    <w:rsid w:val="00DA29DE"/>
    <w:rsid w:val="00DA2A38"/>
    <w:rsid w:val="00DA2A54"/>
    <w:rsid w:val="00DA2A5D"/>
    <w:rsid w:val="00DA2A6D"/>
    <w:rsid w:val="00DA2A83"/>
    <w:rsid w:val="00DA2A8B"/>
    <w:rsid w:val="00DA2A9E"/>
    <w:rsid w:val="00DA2AF2"/>
    <w:rsid w:val="00DA2B0E"/>
    <w:rsid w:val="00DA2B16"/>
    <w:rsid w:val="00DA2B25"/>
    <w:rsid w:val="00DA2B79"/>
    <w:rsid w:val="00DA2B85"/>
    <w:rsid w:val="00DA2BAA"/>
    <w:rsid w:val="00DA2BBB"/>
    <w:rsid w:val="00DA2BBC"/>
    <w:rsid w:val="00DA2BCE"/>
    <w:rsid w:val="00DA2BCF"/>
    <w:rsid w:val="00DA2BF0"/>
    <w:rsid w:val="00DA2C0B"/>
    <w:rsid w:val="00DA2C89"/>
    <w:rsid w:val="00DA2CA9"/>
    <w:rsid w:val="00DA2CB0"/>
    <w:rsid w:val="00DA2CBC"/>
    <w:rsid w:val="00DA2CD0"/>
    <w:rsid w:val="00DA2CDC"/>
    <w:rsid w:val="00DA2D10"/>
    <w:rsid w:val="00DA2D73"/>
    <w:rsid w:val="00DA2D93"/>
    <w:rsid w:val="00DA2DA4"/>
    <w:rsid w:val="00DA2DCA"/>
    <w:rsid w:val="00DA2DD7"/>
    <w:rsid w:val="00DA2DF0"/>
    <w:rsid w:val="00DA2E09"/>
    <w:rsid w:val="00DA2E44"/>
    <w:rsid w:val="00DA2E77"/>
    <w:rsid w:val="00DA2E7D"/>
    <w:rsid w:val="00DA2E80"/>
    <w:rsid w:val="00DA2E8B"/>
    <w:rsid w:val="00DA2ECC"/>
    <w:rsid w:val="00DA2EE6"/>
    <w:rsid w:val="00DA2F69"/>
    <w:rsid w:val="00DA2FF1"/>
    <w:rsid w:val="00DA300A"/>
    <w:rsid w:val="00DA3018"/>
    <w:rsid w:val="00DA304E"/>
    <w:rsid w:val="00DA3058"/>
    <w:rsid w:val="00DA3084"/>
    <w:rsid w:val="00DA30DA"/>
    <w:rsid w:val="00DA3117"/>
    <w:rsid w:val="00DA3147"/>
    <w:rsid w:val="00DA3161"/>
    <w:rsid w:val="00DA3175"/>
    <w:rsid w:val="00DA31A0"/>
    <w:rsid w:val="00DA31BE"/>
    <w:rsid w:val="00DA31C0"/>
    <w:rsid w:val="00DA31C4"/>
    <w:rsid w:val="00DA31D2"/>
    <w:rsid w:val="00DA31E7"/>
    <w:rsid w:val="00DA3208"/>
    <w:rsid w:val="00DA320C"/>
    <w:rsid w:val="00DA326B"/>
    <w:rsid w:val="00DA328E"/>
    <w:rsid w:val="00DA3297"/>
    <w:rsid w:val="00DA32CC"/>
    <w:rsid w:val="00DA32CF"/>
    <w:rsid w:val="00DA32D4"/>
    <w:rsid w:val="00DA32D9"/>
    <w:rsid w:val="00DA32F1"/>
    <w:rsid w:val="00DA32FC"/>
    <w:rsid w:val="00DA330A"/>
    <w:rsid w:val="00DA3378"/>
    <w:rsid w:val="00DA3386"/>
    <w:rsid w:val="00DA34D4"/>
    <w:rsid w:val="00DA34EA"/>
    <w:rsid w:val="00DA34F4"/>
    <w:rsid w:val="00DA34F6"/>
    <w:rsid w:val="00DA353A"/>
    <w:rsid w:val="00DA3550"/>
    <w:rsid w:val="00DA35F0"/>
    <w:rsid w:val="00DA363B"/>
    <w:rsid w:val="00DA3686"/>
    <w:rsid w:val="00DA36A0"/>
    <w:rsid w:val="00DA36C2"/>
    <w:rsid w:val="00DA3738"/>
    <w:rsid w:val="00DA3752"/>
    <w:rsid w:val="00DA3760"/>
    <w:rsid w:val="00DA3852"/>
    <w:rsid w:val="00DA386A"/>
    <w:rsid w:val="00DA3876"/>
    <w:rsid w:val="00DA388A"/>
    <w:rsid w:val="00DA38A5"/>
    <w:rsid w:val="00DA38B3"/>
    <w:rsid w:val="00DA3956"/>
    <w:rsid w:val="00DA3969"/>
    <w:rsid w:val="00DA3A32"/>
    <w:rsid w:val="00DA3A75"/>
    <w:rsid w:val="00DA3A9D"/>
    <w:rsid w:val="00DA3AB4"/>
    <w:rsid w:val="00DA3B11"/>
    <w:rsid w:val="00DA3B41"/>
    <w:rsid w:val="00DA3B79"/>
    <w:rsid w:val="00DA3BAA"/>
    <w:rsid w:val="00DA3BC7"/>
    <w:rsid w:val="00DA3C86"/>
    <w:rsid w:val="00DA3C9F"/>
    <w:rsid w:val="00DA3D4C"/>
    <w:rsid w:val="00DA3D53"/>
    <w:rsid w:val="00DA3D54"/>
    <w:rsid w:val="00DA3D69"/>
    <w:rsid w:val="00DA3DB2"/>
    <w:rsid w:val="00DA3DC8"/>
    <w:rsid w:val="00DA3DDD"/>
    <w:rsid w:val="00DA3E0A"/>
    <w:rsid w:val="00DA3E59"/>
    <w:rsid w:val="00DA3E60"/>
    <w:rsid w:val="00DA3E69"/>
    <w:rsid w:val="00DA3E9E"/>
    <w:rsid w:val="00DA3F56"/>
    <w:rsid w:val="00DA3F81"/>
    <w:rsid w:val="00DA3F88"/>
    <w:rsid w:val="00DA3F89"/>
    <w:rsid w:val="00DA3F99"/>
    <w:rsid w:val="00DA3FB1"/>
    <w:rsid w:val="00DA3FB7"/>
    <w:rsid w:val="00DA3FC3"/>
    <w:rsid w:val="00DA3FD8"/>
    <w:rsid w:val="00DA3FDE"/>
    <w:rsid w:val="00DA3FF0"/>
    <w:rsid w:val="00DA400C"/>
    <w:rsid w:val="00DA4049"/>
    <w:rsid w:val="00DA4050"/>
    <w:rsid w:val="00DA4051"/>
    <w:rsid w:val="00DA408C"/>
    <w:rsid w:val="00DA4092"/>
    <w:rsid w:val="00DA4096"/>
    <w:rsid w:val="00DA40DC"/>
    <w:rsid w:val="00DA40E4"/>
    <w:rsid w:val="00DA4106"/>
    <w:rsid w:val="00DA4150"/>
    <w:rsid w:val="00DA4176"/>
    <w:rsid w:val="00DA41CA"/>
    <w:rsid w:val="00DA41CB"/>
    <w:rsid w:val="00DA4213"/>
    <w:rsid w:val="00DA42A3"/>
    <w:rsid w:val="00DA4358"/>
    <w:rsid w:val="00DA4362"/>
    <w:rsid w:val="00DA4370"/>
    <w:rsid w:val="00DA4397"/>
    <w:rsid w:val="00DA43ED"/>
    <w:rsid w:val="00DA43FC"/>
    <w:rsid w:val="00DA4441"/>
    <w:rsid w:val="00DA4449"/>
    <w:rsid w:val="00DA4484"/>
    <w:rsid w:val="00DA448B"/>
    <w:rsid w:val="00DA44E0"/>
    <w:rsid w:val="00DA4509"/>
    <w:rsid w:val="00DA450B"/>
    <w:rsid w:val="00DA4533"/>
    <w:rsid w:val="00DA4579"/>
    <w:rsid w:val="00DA45E1"/>
    <w:rsid w:val="00DA45EC"/>
    <w:rsid w:val="00DA4615"/>
    <w:rsid w:val="00DA4644"/>
    <w:rsid w:val="00DA466B"/>
    <w:rsid w:val="00DA467C"/>
    <w:rsid w:val="00DA4687"/>
    <w:rsid w:val="00DA46B9"/>
    <w:rsid w:val="00DA46FE"/>
    <w:rsid w:val="00DA4749"/>
    <w:rsid w:val="00DA4759"/>
    <w:rsid w:val="00DA477C"/>
    <w:rsid w:val="00DA4790"/>
    <w:rsid w:val="00DA4796"/>
    <w:rsid w:val="00DA47C8"/>
    <w:rsid w:val="00DA4837"/>
    <w:rsid w:val="00DA483C"/>
    <w:rsid w:val="00DA4871"/>
    <w:rsid w:val="00DA4946"/>
    <w:rsid w:val="00DA499B"/>
    <w:rsid w:val="00DA49A7"/>
    <w:rsid w:val="00DA49CD"/>
    <w:rsid w:val="00DA49E1"/>
    <w:rsid w:val="00DA49E4"/>
    <w:rsid w:val="00DA49EA"/>
    <w:rsid w:val="00DA4A1E"/>
    <w:rsid w:val="00DA4A4A"/>
    <w:rsid w:val="00DA4A68"/>
    <w:rsid w:val="00DA4A90"/>
    <w:rsid w:val="00DA4AAF"/>
    <w:rsid w:val="00DA4AD4"/>
    <w:rsid w:val="00DA4AE5"/>
    <w:rsid w:val="00DA4AF7"/>
    <w:rsid w:val="00DA4B52"/>
    <w:rsid w:val="00DA4B6A"/>
    <w:rsid w:val="00DA4B8C"/>
    <w:rsid w:val="00DA4BB4"/>
    <w:rsid w:val="00DA4C07"/>
    <w:rsid w:val="00DA4C39"/>
    <w:rsid w:val="00DA4C45"/>
    <w:rsid w:val="00DA4C8E"/>
    <w:rsid w:val="00DA4CBF"/>
    <w:rsid w:val="00DA4CC4"/>
    <w:rsid w:val="00DA4CF2"/>
    <w:rsid w:val="00DA4D06"/>
    <w:rsid w:val="00DA4D07"/>
    <w:rsid w:val="00DA4D11"/>
    <w:rsid w:val="00DA4D80"/>
    <w:rsid w:val="00DA4DAB"/>
    <w:rsid w:val="00DA4E43"/>
    <w:rsid w:val="00DA4E4A"/>
    <w:rsid w:val="00DA4EBA"/>
    <w:rsid w:val="00DA4EE9"/>
    <w:rsid w:val="00DA4F23"/>
    <w:rsid w:val="00DA4F33"/>
    <w:rsid w:val="00DA4F3A"/>
    <w:rsid w:val="00DA4F56"/>
    <w:rsid w:val="00DA4F69"/>
    <w:rsid w:val="00DA4F7B"/>
    <w:rsid w:val="00DA4F92"/>
    <w:rsid w:val="00DA4FA7"/>
    <w:rsid w:val="00DA4FB3"/>
    <w:rsid w:val="00DA5038"/>
    <w:rsid w:val="00DA5091"/>
    <w:rsid w:val="00DA50DC"/>
    <w:rsid w:val="00DA50E8"/>
    <w:rsid w:val="00DA5128"/>
    <w:rsid w:val="00DA5143"/>
    <w:rsid w:val="00DA5165"/>
    <w:rsid w:val="00DA51BD"/>
    <w:rsid w:val="00DA51C0"/>
    <w:rsid w:val="00DA51E3"/>
    <w:rsid w:val="00DA51E7"/>
    <w:rsid w:val="00DA5248"/>
    <w:rsid w:val="00DA525B"/>
    <w:rsid w:val="00DA5293"/>
    <w:rsid w:val="00DA52A2"/>
    <w:rsid w:val="00DA52B0"/>
    <w:rsid w:val="00DA5317"/>
    <w:rsid w:val="00DA53B5"/>
    <w:rsid w:val="00DA53CA"/>
    <w:rsid w:val="00DA53E6"/>
    <w:rsid w:val="00DA546F"/>
    <w:rsid w:val="00DA547A"/>
    <w:rsid w:val="00DA5492"/>
    <w:rsid w:val="00DA54B1"/>
    <w:rsid w:val="00DA54EE"/>
    <w:rsid w:val="00DA5517"/>
    <w:rsid w:val="00DA552F"/>
    <w:rsid w:val="00DA555D"/>
    <w:rsid w:val="00DA5566"/>
    <w:rsid w:val="00DA5573"/>
    <w:rsid w:val="00DA557D"/>
    <w:rsid w:val="00DA55F5"/>
    <w:rsid w:val="00DA5613"/>
    <w:rsid w:val="00DA566C"/>
    <w:rsid w:val="00DA5670"/>
    <w:rsid w:val="00DA56B1"/>
    <w:rsid w:val="00DA56FB"/>
    <w:rsid w:val="00DA5702"/>
    <w:rsid w:val="00DA5746"/>
    <w:rsid w:val="00DA574E"/>
    <w:rsid w:val="00DA57B2"/>
    <w:rsid w:val="00DA57BE"/>
    <w:rsid w:val="00DA57C0"/>
    <w:rsid w:val="00DA57EF"/>
    <w:rsid w:val="00DA57FC"/>
    <w:rsid w:val="00DA5811"/>
    <w:rsid w:val="00DA5862"/>
    <w:rsid w:val="00DA58A1"/>
    <w:rsid w:val="00DA590B"/>
    <w:rsid w:val="00DA592D"/>
    <w:rsid w:val="00DA594A"/>
    <w:rsid w:val="00DA5956"/>
    <w:rsid w:val="00DA5972"/>
    <w:rsid w:val="00DA5985"/>
    <w:rsid w:val="00DA5999"/>
    <w:rsid w:val="00DA59F8"/>
    <w:rsid w:val="00DA5A47"/>
    <w:rsid w:val="00DA5A6B"/>
    <w:rsid w:val="00DA5AC3"/>
    <w:rsid w:val="00DA5ADF"/>
    <w:rsid w:val="00DA5B22"/>
    <w:rsid w:val="00DA5B27"/>
    <w:rsid w:val="00DA5B2B"/>
    <w:rsid w:val="00DA5B89"/>
    <w:rsid w:val="00DA5BF4"/>
    <w:rsid w:val="00DA5C00"/>
    <w:rsid w:val="00DA5C89"/>
    <w:rsid w:val="00DA5C8C"/>
    <w:rsid w:val="00DA5CE0"/>
    <w:rsid w:val="00DA5D4F"/>
    <w:rsid w:val="00DA5D5D"/>
    <w:rsid w:val="00DA5D6F"/>
    <w:rsid w:val="00DA5D7F"/>
    <w:rsid w:val="00DA5DD4"/>
    <w:rsid w:val="00DA5DE9"/>
    <w:rsid w:val="00DA5E99"/>
    <w:rsid w:val="00DA5EB2"/>
    <w:rsid w:val="00DA5EB7"/>
    <w:rsid w:val="00DA5EEC"/>
    <w:rsid w:val="00DA5EEF"/>
    <w:rsid w:val="00DA5F02"/>
    <w:rsid w:val="00DA5F08"/>
    <w:rsid w:val="00DA5F93"/>
    <w:rsid w:val="00DA5F98"/>
    <w:rsid w:val="00DA5FDD"/>
    <w:rsid w:val="00DA5FE9"/>
    <w:rsid w:val="00DA6002"/>
    <w:rsid w:val="00DA6003"/>
    <w:rsid w:val="00DA600E"/>
    <w:rsid w:val="00DA6049"/>
    <w:rsid w:val="00DA6058"/>
    <w:rsid w:val="00DA6072"/>
    <w:rsid w:val="00DA60EA"/>
    <w:rsid w:val="00DA610B"/>
    <w:rsid w:val="00DA612E"/>
    <w:rsid w:val="00DA6140"/>
    <w:rsid w:val="00DA614A"/>
    <w:rsid w:val="00DA618E"/>
    <w:rsid w:val="00DA61CA"/>
    <w:rsid w:val="00DA61D4"/>
    <w:rsid w:val="00DA61DC"/>
    <w:rsid w:val="00DA6285"/>
    <w:rsid w:val="00DA628E"/>
    <w:rsid w:val="00DA629B"/>
    <w:rsid w:val="00DA62A9"/>
    <w:rsid w:val="00DA62D9"/>
    <w:rsid w:val="00DA62DA"/>
    <w:rsid w:val="00DA62E9"/>
    <w:rsid w:val="00DA62FF"/>
    <w:rsid w:val="00DA634C"/>
    <w:rsid w:val="00DA6362"/>
    <w:rsid w:val="00DA63C1"/>
    <w:rsid w:val="00DA63C2"/>
    <w:rsid w:val="00DA644C"/>
    <w:rsid w:val="00DA6495"/>
    <w:rsid w:val="00DA6496"/>
    <w:rsid w:val="00DA64BE"/>
    <w:rsid w:val="00DA64F7"/>
    <w:rsid w:val="00DA6549"/>
    <w:rsid w:val="00DA6583"/>
    <w:rsid w:val="00DA659B"/>
    <w:rsid w:val="00DA65BF"/>
    <w:rsid w:val="00DA6636"/>
    <w:rsid w:val="00DA664B"/>
    <w:rsid w:val="00DA6650"/>
    <w:rsid w:val="00DA6671"/>
    <w:rsid w:val="00DA667F"/>
    <w:rsid w:val="00DA6694"/>
    <w:rsid w:val="00DA66AF"/>
    <w:rsid w:val="00DA66F2"/>
    <w:rsid w:val="00DA66FC"/>
    <w:rsid w:val="00DA6714"/>
    <w:rsid w:val="00DA6724"/>
    <w:rsid w:val="00DA6775"/>
    <w:rsid w:val="00DA679B"/>
    <w:rsid w:val="00DA67A5"/>
    <w:rsid w:val="00DA67AD"/>
    <w:rsid w:val="00DA67EC"/>
    <w:rsid w:val="00DA6828"/>
    <w:rsid w:val="00DA684A"/>
    <w:rsid w:val="00DA6867"/>
    <w:rsid w:val="00DA688D"/>
    <w:rsid w:val="00DA6897"/>
    <w:rsid w:val="00DA68D5"/>
    <w:rsid w:val="00DA68F9"/>
    <w:rsid w:val="00DA6946"/>
    <w:rsid w:val="00DA6950"/>
    <w:rsid w:val="00DA69A8"/>
    <w:rsid w:val="00DA69AD"/>
    <w:rsid w:val="00DA6A31"/>
    <w:rsid w:val="00DA6A43"/>
    <w:rsid w:val="00DA6A55"/>
    <w:rsid w:val="00DA6A89"/>
    <w:rsid w:val="00DA6AAD"/>
    <w:rsid w:val="00DA6AD9"/>
    <w:rsid w:val="00DA6AF2"/>
    <w:rsid w:val="00DA6AF4"/>
    <w:rsid w:val="00DA6B13"/>
    <w:rsid w:val="00DA6B46"/>
    <w:rsid w:val="00DA6B54"/>
    <w:rsid w:val="00DA6B7A"/>
    <w:rsid w:val="00DA6B7B"/>
    <w:rsid w:val="00DA6B93"/>
    <w:rsid w:val="00DA6BC0"/>
    <w:rsid w:val="00DA6BEF"/>
    <w:rsid w:val="00DA6BF2"/>
    <w:rsid w:val="00DA6C01"/>
    <w:rsid w:val="00DA6C61"/>
    <w:rsid w:val="00DA6C6B"/>
    <w:rsid w:val="00DA6C95"/>
    <w:rsid w:val="00DA6CA0"/>
    <w:rsid w:val="00DA6CC1"/>
    <w:rsid w:val="00DA6CCC"/>
    <w:rsid w:val="00DA6CDB"/>
    <w:rsid w:val="00DA6D0C"/>
    <w:rsid w:val="00DA6D59"/>
    <w:rsid w:val="00DA6D5C"/>
    <w:rsid w:val="00DA6DAA"/>
    <w:rsid w:val="00DA6DAF"/>
    <w:rsid w:val="00DA6DE3"/>
    <w:rsid w:val="00DA6E48"/>
    <w:rsid w:val="00DA6E4B"/>
    <w:rsid w:val="00DA6F66"/>
    <w:rsid w:val="00DA6F9B"/>
    <w:rsid w:val="00DA6FCC"/>
    <w:rsid w:val="00DA7047"/>
    <w:rsid w:val="00DA705B"/>
    <w:rsid w:val="00DA708F"/>
    <w:rsid w:val="00DA70B7"/>
    <w:rsid w:val="00DA70C7"/>
    <w:rsid w:val="00DA70FE"/>
    <w:rsid w:val="00DA7105"/>
    <w:rsid w:val="00DA7157"/>
    <w:rsid w:val="00DA71C0"/>
    <w:rsid w:val="00DA71D5"/>
    <w:rsid w:val="00DA71EE"/>
    <w:rsid w:val="00DA71F6"/>
    <w:rsid w:val="00DA7206"/>
    <w:rsid w:val="00DA722D"/>
    <w:rsid w:val="00DA7262"/>
    <w:rsid w:val="00DA7293"/>
    <w:rsid w:val="00DA72D8"/>
    <w:rsid w:val="00DA72F8"/>
    <w:rsid w:val="00DA7316"/>
    <w:rsid w:val="00DA7378"/>
    <w:rsid w:val="00DA737B"/>
    <w:rsid w:val="00DA737D"/>
    <w:rsid w:val="00DA73CD"/>
    <w:rsid w:val="00DA73E0"/>
    <w:rsid w:val="00DA73E3"/>
    <w:rsid w:val="00DA7408"/>
    <w:rsid w:val="00DA7418"/>
    <w:rsid w:val="00DA7453"/>
    <w:rsid w:val="00DA7472"/>
    <w:rsid w:val="00DA74BA"/>
    <w:rsid w:val="00DA7509"/>
    <w:rsid w:val="00DA7563"/>
    <w:rsid w:val="00DA75BA"/>
    <w:rsid w:val="00DA75F3"/>
    <w:rsid w:val="00DA76AD"/>
    <w:rsid w:val="00DA76BF"/>
    <w:rsid w:val="00DA76D2"/>
    <w:rsid w:val="00DA76D4"/>
    <w:rsid w:val="00DA76FE"/>
    <w:rsid w:val="00DA7760"/>
    <w:rsid w:val="00DA7790"/>
    <w:rsid w:val="00DA77A3"/>
    <w:rsid w:val="00DA780E"/>
    <w:rsid w:val="00DA7872"/>
    <w:rsid w:val="00DA7875"/>
    <w:rsid w:val="00DA78D7"/>
    <w:rsid w:val="00DA78E4"/>
    <w:rsid w:val="00DA7913"/>
    <w:rsid w:val="00DA7923"/>
    <w:rsid w:val="00DA795D"/>
    <w:rsid w:val="00DA7A35"/>
    <w:rsid w:val="00DA7A66"/>
    <w:rsid w:val="00DA7A8E"/>
    <w:rsid w:val="00DA7AA7"/>
    <w:rsid w:val="00DA7ABD"/>
    <w:rsid w:val="00DA7AE1"/>
    <w:rsid w:val="00DA7AED"/>
    <w:rsid w:val="00DA7B11"/>
    <w:rsid w:val="00DA7B33"/>
    <w:rsid w:val="00DA7B3C"/>
    <w:rsid w:val="00DA7C17"/>
    <w:rsid w:val="00DA7CDC"/>
    <w:rsid w:val="00DA7CEE"/>
    <w:rsid w:val="00DA7D76"/>
    <w:rsid w:val="00DA7D77"/>
    <w:rsid w:val="00DA7DD5"/>
    <w:rsid w:val="00DA7DEE"/>
    <w:rsid w:val="00DA7DF4"/>
    <w:rsid w:val="00DA7DF5"/>
    <w:rsid w:val="00DA7E1A"/>
    <w:rsid w:val="00DA7E64"/>
    <w:rsid w:val="00DA7E89"/>
    <w:rsid w:val="00DA7E93"/>
    <w:rsid w:val="00DA7EA7"/>
    <w:rsid w:val="00DA7EC0"/>
    <w:rsid w:val="00DA7ED7"/>
    <w:rsid w:val="00DA7F3B"/>
    <w:rsid w:val="00DA7F7C"/>
    <w:rsid w:val="00DA7FAC"/>
    <w:rsid w:val="00DA7FDD"/>
    <w:rsid w:val="00DB001B"/>
    <w:rsid w:val="00DB003C"/>
    <w:rsid w:val="00DB00D0"/>
    <w:rsid w:val="00DB0112"/>
    <w:rsid w:val="00DB0127"/>
    <w:rsid w:val="00DB0190"/>
    <w:rsid w:val="00DB01C3"/>
    <w:rsid w:val="00DB0205"/>
    <w:rsid w:val="00DB0243"/>
    <w:rsid w:val="00DB0264"/>
    <w:rsid w:val="00DB026C"/>
    <w:rsid w:val="00DB0272"/>
    <w:rsid w:val="00DB029D"/>
    <w:rsid w:val="00DB02B7"/>
    <w:rsid w:val="00DB02F9"/>
    <w:rsid w:val="00DB035E"/>
    <w:rsid w:val="00DB03AA"/>
    <w:rsid w:val="00DB03BE"/>
    <w:rsid w:val="00DB0421"/>
    <w:rsid w:val="00DB0482"/>
    <w:rsid w:val="00DB048C"/>
    <w:rsid w:val="00DB0497"/>
    <w:rsid w:val="00DB04A4"/>
    <w:rsid w:val="00DB04F8"/>
    <w:rsid w:val="00DB0522"/>
    <w:rsid w:val="00DB0569"/>
    <w:rsid w:val="00DB058A"/>
    <w:rsid w:val="00DB0590"/>
    <w:rsid w:val="00DB059C"/>
    <w:rsid w:val="00DB05BE"/>
    <w:rsid w:val="00DB05D7"/>
    <w:rsid w:val="00DB05EE"/>
    <w:rsid w:val="00DB05F2"/>
    <w:rsid w:val="00DB065E"/>
    <w:rsid w:val="00DB0677"/>
    <w:rsid w:val="00DB0695"/>
    <w:rsid w:val="00DB06AE"/>
    <w:rsid w:val="00DB06D6"/>
    <w:rsid w:val="00DB0747"/>
    <w:rsid w:val="00DB076A"/>
    <w:rsid w:val="00DB0774"/>
    <w:rsid w:val="00DB077D"/>
    <w:rsid w:val="00DB0782"/>
    <w:rsid w:val="00DB0870"/>
    <w:rsid w:val="00DB08C8"/>
    <w:rsid w:val="00DB08D7"/>
    <w:rsid w:val="00DB08F1"/>
    <w:rsid w:val="00DB0982"/>
    <w:rsid w:val="00DB09A7"/>
    <w:rsid w:val="00DB09B2"/>
    <w:rsid w:val="00DB09C9"/>
    <w:rsid w:val="00DB09CB"/>
    <w:rsid w:val="00DB09D7"/>
    <w:rsid w:val="00DB09DB"/>
    <w:rsid w:val="00DB0A1E"/>
    <w:rsid w:val="00DB0A97"/>
    <w:rsid w:val="00DB0A9E"/>
    <w:rsid w:val="00DB0AB9"/>
    <w:rsid w:val="00DB0AC1"/>
    <w:rsid w:val="00DB0B10"/>
    <w:rsid w:val="00DB0B69"/>
    <w:rsid w:val="00DB0B76"/>
    <w:rsid w:val="00DB0BB6"/>
    <w:rsid w:val="00DB0C39"/>
    <w:rsid w:val="00DB0C4D"/>
    <w:rsid w:val="00DB0C4E"/>
    <w:rsid w:val="00DB0C54"/>
    <w:rsid w:val="00DB0C68"/>
    <w:rsid w:val="00DB0C7B"/>
    <w:rsid w:val="00DB0C80"/>
    <w:rsid w:val="00DB0CD0"/>
    <w:rsid w:val="00DB0D58"/>
    <w:rsid w:val="00DB0D83"/>
    <w:rsid w:val="00DB0DB1"/>
    <w:rsid w:val="00DB0DBC"/>
    <w:rsid w:val="00DB0DFF"/>
    <w:rsid w:val="00DB0E01"/>
    <w:rsid w:val="00DB0E35"/>
    <w:rsid w:val="00DB0E3A"/>
    <w:rsid w:val="00DB0ECB"/>
    <w:rsid w:val="00DB0F58"/>
    <w:rsid w:val="00DB0FA0"/>
    <w:rsid w:val="00DB0FDC"/>
    <w:rsid w:val="00DB0FE3"/>
    <w:rsid w:val="00DB0FEB"/>
    <w:rsid w:val="00DB1041"/>
    <w:rsid w:val="00DB1046"/>
    <w:rsid w:val="00DB1069"/>
    <w:rsid w:val="00DB109A"/>
    <w:rsid w:val="00DB10EB"/>
    <w:rsid w:val="00DB1102"/>
    <w:rsid w:val="00DB1123"/>
    <w:rsid w:val="00DB116F"/>
    <w:rsid w:val="00DB11B8"/>
    <w:rsid w:val="00DB11BD"/>
    <w:rsid w:val="00DB11C0"/>
    <w:rsid w:val="00DB120C"/>
    <w:rsid w:val="00DB122E"/>
    <w:rsid w:val="00DB1237"/>
    <w:rsid w:val="00DB12AB"/>
    <w:rsid w:val="00DB12B2"/>
    <w:rsid w:val="00DB12FF"/>
    <w:rsid w:val="00DB130F"/>
    <w:rsid w:val="00DB139A"/>
    <w:rsid w:val="00DB13A1"/>
    <w:rsid w:val="00DB13A4"/>
    <w:rsid w:val="00DB13ED"/>
    <w:rsid w:val="00DB13FF"/>
    <w:rsid w:val="00DB141A"/>
    <w:rsid w:val="00DB14A4"/>
    <w:rsid w:val="00DB14BE"/>
    <w:rsid w:val="00DB14E7"/>
    <w:rsid w:val="00DB1584"/>
    <w:rsid w:val="00DB15A8"/>
    <w:rsid w:val="00DB15AA"/>
    <w:rsid w:val="00DB15EA"/>
    <w:rsid w:val="00DB1651"/>
    <w:rsid w:val="00DB1670"/>
    <w:rsid w:val="00DB169D"/>
    <w:rsid w:val="00DB16DE"/>
    <w:rsid w:val="00DB1764"/>
    <w:rsid w:val="00DB1765"/>
    <w:rsid w:val="00DB1792"/>
    <w:rsid w:val="00DB17A6"/>
    <w:rsid w:val="00DB1833"/>
    <w:rsid w:val="00DB184D"/>
    <w:rsid w:val="00DB184F"/>
    <w:rsid w:val="00DB1879"/>
    <w:rsid w:val="00DB18C5"/>
    <w:rsid w:val="00DB18D8"/>
    <w:rsid w:val="00DB1917"/>
    <w:rsid w:val="00DB1966"/>
    <w:rsid w:val="00DB1971"/>
    <w:rsid w:val="00DB199A"/>
    <w:rsid w:val="00DB19B1"/>
    <w:rsid w:val="00DB19ED"/>
    <w:rsid w:val="00DB1A4B"/>
    <w:rsid w:val="00DB1A8C"/>
    <w:rsid w:val="00DB1AB2"/>
    <w:rsid w:val="00DB1AC3"/>
    <w:rsid w:val="00DB1AD2"/>
    <w:rsid w:val="00DB1AE2"/>
    <w:rsid w:val="00DB1B36"/>
    <w:rsid w:val="00DB1B3E"/>
    <w:rsid w:val="00DB1B4B"/>
    <w:rsid w:val="00DB1B4C"/>
    <w:rsid w:val="00DB1BD3"/>
    <w:rsid w:val="00DB1BE1"/>
    <w:rsid w:val="00DB1BE9"/>
    <w:rsid w:val="00DB1BF3"/>
    <w:rsid w:val="00DB1C15"/>
    <w:rsid w:val="00DB1C25"/>
    <w:rsid w:val="00DB1C43"/>
    <w:rsid w:val="00DB1C6D"/>
    <w:rsid w:val="00DB1C72"/>
    <w:rsid w:val="00DB1CA9"/>
    <w:rsid w:val="00DB1CE4"/>
    <w:rsid w:val="00DB1CE6"/>
    <w:rsid w:val="00DB1D06"/>
    <w:rsid w:val="00DB1D07"/>
    <w:rsid w:val="00DB1D37"/>
    <w:rsid w:val="00DB1D44"/>
    <w:rsid w:val="00DB1D65"/>
    <w:rsid w:val="00DB1D8E"/>
    <w:rsid w:val="00DB1DC6"/>
    <w:rsid w:val="00DB1E6B"/>
    <w:rsid w:val="00DB1EA3"/>
    <w:rsid w:val="00DB1ED2"/>
    <w:rsid w:val="00DB1EF4"/>
    <w:rsid w:val="00DB1EFA"/>
    <w:rsid w:val="00DB1FA6"/>
    <w:rsid w:val="00DB1FAD"/>
    <w:rsid w:val="00DB2010"/>
    <w:rsid w:val="00DB2048"/>
    <w:rsid w:val="00DB207D"/>
    <w:rsid w:val="00DB2091"/>
    <w:rsid w:val="00DB20A5"/>
    <w:rsid w:val="00DB20CE"/>
    <w:rsid w:val="00DB20D1"/>
    <w:rsid w:val="00DB20F5"/>
    <w:rsid w:val="00DB20F9"/>
    <w:rsid w:val="00DB2119"/>
    <w:rsid w:val="00DB215A"/>
    <w:rsid w:val="00DB21D3"/>
    <w:rsid w:val="00DB2249"/>
    <w:rsid w:val="00DB2274"/>
    <w:rsid w:val="00DB227F"/>
    <w:rsid w:val="00DB2295"/>
    <w:rsid w:val="00DB22C4"/>
    <w:rsid w:val="00DB22FA"/>
    <w:rsid w:val="00DB2348"/>
    <w:rsid w:val="00DB23AC"/>
    <w:rsid w:val="00DB23FD"/>
    <w:rsid w:val="00DB2402"/>
    <w:rsid w:val="00DB2404"/>
    <w:rsid w:val="00DB2407"/>
    <w:rsid w:val="00DB248D"/>
    <w:rsid w:val="00DB24AA"/>
    <w:rsid w:val="00DB24F6"/>
    <w:rsid w:val="00DB2598"/>
    <w:rsid w:val="00DB25A0"/>
    <w:rsid w:val="00DB25A7"/>
    <w:rsid w:val="00DB261C"/>
    <w:rsid w:val="00DB264C"/>
    <w:rsid w:val="00DB2661"/>
    <w:rsid w:val="00DB26BE"/>
    <w:rsid w:val="00DB2738"/>
    <w:rsid w:val="00DB277B"/>
    <w:rsid w:val="00DB27D9"/>
    <w:rsid w:val="00DB27DC"/>
    <w:rsid w:val="00DB27EA"/>
    <w:rsid w:val="00DB280E"/>
    <w:rsid w:val="00DB281F"/>
    <w:rsid w:val="00DB2827"/>
    <w:rsid w:val="00DB2843"/>
    <w:rsid w:val="00DB28AF"/>
    <w:rsid w:val="00DB28D0"/>
    <w:rsid w:val="00DB2902"/>
    <w:rsid w:val="00DB291B"/>
    <w:rsid w:val="00DB2972"/>
    <w:rsid w:val="00DB297E"/>
    <w:rsid w:val="00DB29AB"/>
    <w:rsid w:val="00DB29DF"/>
    <w:rsid w:val="00DB29E1"/>
    <w:rsid w:val="00DB2A0F"/>
    <w:rsid w:val="00DB2A33"/>
    <w:rsid w:val="00DB2A42"/>
    <w:rsid w:val="00DB2A5E"/>
    <w:rsid w:val="00DB2A7B"/>
    <w:rsid w:val="00DB2AA2"/>
    <w:rsid w:val="00DB2AA4"/>
    <w:rsid w:val="00DB2AAE"/>
    <w:rsid w:val="00DB2AB0"/>
    <w:rsid w:val="00DB2ABD"/>
    <w:rsid w:val="00DB2ACD"/>
    <w:rsid w:val="00DB2AE8"/>
    <w:rsid w:val="00DB2B74"/>
    <w:rsid w:val="00DB2B95"/>
    <w:rsid w:val="00DB2BC6"/>
    <w:rsid w:val="00DB2BE7"/>
    <w:rsid w:val="00DB2BEB"/>
    <w:rsid w:val="00DB2C41"/>
    <w:rsid w:val="00DB2C61"/>
    <w:rsid w:val="00DB2C84"/>
    <w:rsid w:val="00DB2CBD"/>
    <w:rsid w:val="00DB2D15"/>
    <w:rsid w:val="00DB2D7B"/>
    <w:rsid w:val="00DB2DF3"/>
    <w:rsid w:val="00DB2E35"/>
    <w:rsid w:val="00DB2E9B"/>
    <w:rsid w:val="00DB2F48"/>
    <w:rsid w:val="00DB2F4E"/>
    <w:rsid w:val="00DB3040"/>
    <w:rsid w:val="00DB3049"/>
    <w:rsid w:val="00DB306B"/>
    <w:rsid w:val="00DB30CE"/>
    <w:rsid w:val="00DB3101"/>
    <w:rsid w:val="00DB310D"/>
    <w:rsid w:val="00DB3119"/>
    <w:rsid w:val="00DB311B"/>
    <w:rsid w:val="00DB311F"/>
    <w:rsid w:val="00DB3138"/>
    <w:rsid w:val="00DB315C"/>
    <w:rsid w:val="00DB315F"/>
    <w:rsid w:val="00DB31AD"/>
    <w:rsid w:val="00DB31C7"/>
    <w:rsid w:val="00DB31DE"/>
    <w:rsid w:val="00DB31FA"/>
    <w:rsid w:val="00DB3216"/>
    <w:rsid w:val="00DB321A"/>
    <w:rsid w:val="00DB3221"/>
    <w:rsid w:val="00DB3275"/>
    <w:rsid w:val="00DB3295"/>
    <w:rsid w:val="00DB32C7"/>
    <w:rsid w:val="00DB32E4"/>
    <w:rsid w:val="00DB32FA"/>
    <w:rsid w:val="00DB330B"/>
    <w:rsid w:val="00DB330F"/>
    <w:rsid w:val="00DB332B"/>
    <w:rsid w:val="00DB334B"/>
    <w:rsid w:val="00DB338C"/>
    <w:rsid w:val="00DB33C7"/>
    <w:rsid w:val="00DB33FE"/>
    <w:rsid w:val="00DB3418"/>
    <w:rsid w:val="00DB3431"/>
    <w:rsid w:val="00DB343D"/>
    <w:rsid w:val="00DB345D"/>
    <w:rsid w:val="00DB3462"/>
    <w:rsid w:val="00DB347B"/>
    <w:rsid w:val="00DB3491"/>
    <w:rsid w:val="00DB34DA"/>
    <w:rsid w:val="00DB3509"/>
    <w:rsid w:val="00DB352D"/>
    <w:rsid w:val="00DB352F"/>
    <w:rsid w:val="00DB3570"/>
    <w:rsid w:val="00DB35A0"/>
    <w:rsid w:val="00DB3624"/>
    <w:rsid w:val="00DB3636"/>
    <w:rsid w:val="00DB3656"/>
    <w:rsid w:val="00DB365D"/>
    <w:rsid w:val="00DB366D"/>
    <w:rsid w:val="00DB36B1"/>
    <w:rsid w:val="00DB36FA"/>
    <w:rsid w:val="00DB3757"/>
    <w:rsid w:val="00DB375A"/>
    <w:rsid w:val="00DB3763"/>
    <w:rsid w:val="00DB3782"/>
    <w:rsid w:val="00DB3785"/>
    <w:rsid w:val="00DB37B1"/>
    <w:rsid w:val="00DB37E3"/>
    <w:rsid w:val="00DB380E"/>
    <w:rsid w:val="00DB3811"/>
    <w:rsid w:val="00DB3815"/>
    <w:rsid w:val="00DB3886"/>
    <w:rsid w:val="00DB38A9"/>
    <w:rsid w:val="00DB3911"/>
    <w:rsid w:val="00DB3968"/>
    <w:rsid w:val="00DB3999"/>
    <w:rsid w:val="00DB39D9"/>
    <w:rsid w:val="00DB3A0E"/>
    <w:rsid w:val="00DB3AAC"/>
    <w:rsid w:val="00DB3AAE"/>
    <w:rsid w:val="00DB3B42"/>
    <w:rsid w:val="00DB3B52"/>
    <w:rsid w:val="00DB3B7D"/>
    <w:rsid w:val="00DB3B86"/>
    <w:rsid w:val="00DB3B8A"/>
    <w:rsid w:val="00DB3B92"/>
    <w:rsid w:val="00DB3BA3"/>
    <w:rsid w:val="00DB3BEB"/>
    <w:rsid w:val="00DB3BEF"/>
    <w:rsid w:val="00DB3C2A"/>
    <w:rsid w:val="00DB3CA1"/>
    <w:rsid w:val="00DB3CE4"/>
    <w:rsid w:val="00DB3CF9"/>
    <w:rsid w:val="00DB3D53"/>
    <w:rsid w:val="00DB3D91"/>
    <w:rsid w:val="00DB3D9F"/>
    <w:rsid w:val="00DB3DA0"/>
    <w:rsid w:val="00DB3DA7"/>
    <w:rsid w:val="00DB3DE1"/>
    <w:rsid w:val="00DB3E13"/>
    <w:rsid w:val="00DB3E17"/>
    <w:rsid w:val="00DB3E1E"/>
    <w:rsid w:val="00DB3E42"/>
    <w:rsid w:val="00DB3E9E"/>
    <w:rsid w:val="00DB3EA1"/>
    <w:rsid w:val="00DB3EC5"/>
    <w:rsid w:val="00DB3F24"/>
    <w:rsid w:val="00DB3F65"/>
    <w:rsid w:val="00DB3F73"/>
    <w:rsid w:val="00DB3FB3"/>
    <w:rsid w:val="00DB3FC5"/>
    <w:rsid w:val="00DB3FD7"/>
    <w:rsid w:val="00DB4008"/>
    <w:rsid w:val="00DB4016"/>
    <w:rsid w:val="00DB401C"/>
    <w:rsid w:val="00DB4059"/>
    <w:rsid w:val="00DB405C"/>
    <w:rsid w:val="00DB4098"/>
    <w:rsid w:val="00DB40C4"/>
    <w:rsid w:val="00DB40F6"/>
    <w:rsid w:val="00DB4133"/>
    <w:rsid w:val="00DB414F"/>
    <w:rsid w:val="00DB4190"/>
    <w:rsid w:val="00DB41BF"/>
    <w:rsid w:val="00DB41CE"/>
    <w:rsid w:val="00DB420C"/>
    <w:rsid w:val="00DB4227"/>
    <w:rsid w:val="00DB422A"/>
    <w:rsid w:val="00DB425F"/>
    <w:rsid w:val="00DB426C"/>
    <w:rsid w:val="00DB4314"/>
    <w:rsid w:val="00DB4315"/>
    <w:rsid w:val="00DB433B"/>
    <w:rsid w:val="00DB4344"/>
    <w:rsid w:val="00DB43CB"/>
    <w:rsid w:val="00DB4425"/>
    <w:rsid w:val="00DB443A"/>
    <w:rsid w:val="00DB443F"/>
    <w:rsid w:val="00DB4442"/>
    <w:rsid w:val="00DB4451"/>
    <w:rsid w:val="00DB445C"/>
    <w:rsid w:val="00DB4529"/>
    <w:rsid w:val="00DB4557"/>
    <w:rsid w:val="00DB4575"/>
    <w:rsid w:val="00DB4582"/>
    <w:rsid w:val="00DB458F"/>
    <w:rsid w:val="00DB463E"/>
    <w:rsid w:val="00DB46AD"/>
    <w:rsid w:val="00DB46BE"/>
    <w:rsid w:val="00DB472D"/>
    <w:rsid w:val="00DB4771"/>
    <w:rsid w:val="00DB4806"/>
    <w:rsid w:val="00DB4868"/>
    <w:rsid w:val="00DB48D4"/>
    <w:rsid w:val="00DB48F2"/>
    <w:rsid w:val="00DB491E"/>
    <w:rsid w:val="00DB4923"/>
    <w:rsid w:val="00DB4928"/>
    <w:rsid w:val="00DB492C"/>
    <w:rsid w:val="00DB497E"/>
    <w:rsid w:val="00DB49CD"/>
    <w:rsid w:val="00DB4A15"/>
    <w:rsid w:val="00DB4A16"/>
    <w:rsid w:val="00DB4A41"/>
    <w:rsid w:val="00DB4A4A"/>
    <w:rsid w:val="00DB4A7C"/>
    <w:rsid w:val="00DB4ABD"/>
    <w:rsid w:val="00DB4ACB"/>
    <w:rsid w:val="00DB4AD1"/>
    <w:rsid w:val="00DB4B13"/>
    <w:rsid w:val="00DB4B49"/>
    <w:rsid w:val="00DB4B64"/>
    <w:rsid w:val="00DB4B72"/>
    <w:rsid w:val="00DB4B7B"/>
    <w:rsid w:val="00DB4B9E"/>
    <w:rsid w:val="00DB4C1C"/>
    <w:rsid w:val="00DB4C84"/>
    <w:rsid w:val="00DB4C8E"/>
    <w:rsid w:val="00DB4CA6"/>
    <w:rsid w:val="00DB4CF4"/>
    <w:rsid w:val="00DB4CF5"/>
    <w:rsid w:val="00DB4D07"/>
    <w:rsid w:val="00DB4D0D"/>
    <w:rsid w:val="00DB4D1D"/>
    <w:rsid w:val="00DB4D25"/>
    <w:rsid w:val="00DB4D62"/>
    <w:rsid w:val="00DB4D6D"/>
    <w:rsid w:val="00DB4D9E"/>
    <w:rsid w:val="00DB4DBE"/>
    <w:rsid w:val="00DB4DD2"/>
    <w:rsid w:val="00DB4E01"/>
    <w:rsid w:val="00DB4E0E"/>
    <w:rsid w:val="00DB4E33"/>
    <w:rsid w:val="00DB4E91"/>
    <w:rsid w:val="00DB4EA7"/>
    <w:rsid w:val="00DB4EBF"/>
    <w:rsid w:val="00DB4ED8"/>
    <w:rsid w:val="00DB4EFE"/>
    <w:rsid w:val="00DB4F03"/>
    <w:rsid w:val="00DB4F0D"/>
    <w:rsid w:val="00DB4F7C"/>
    <w:rsid w:val="00DB4F90"/>
    <w:rsid w:val="00DB4FB2"/>
    <w:rsid w:val="00DB4FCA"/>
    <w:rsid w:val="00DB4FEE"/>
    <w:rsid w:val="00DB502A"/>
    <w:rsid w:val="00DB5051"/>
    <w:rsid w:val="00DB508A"/>
    <w:rsid w:val="00DB50A3"/>
    <w:rsid w:val="00DB510B"/>
    <w:rsid w:val="00DB5116"/>
    <w:rsid w:val="00DB5193"/>
    <w:rsid w:val="00DB519F"/>
    <w:rsid w:val="00DB51AA"/>
    <w:rsid w:val="00DB51B9"/>
    <w:rsid w:val="00DB51C3"/>
    <w:rsid w:val="00DB51D3"/>
    <w:rsid w:val="00DB5228"/>
    <w:rsid w:val="00DB52A7"/>
    <w:rsid w:val="00DB52B5"/>
    <w:rsid w:val="00DB52BE"/>
    <w:rsid w:val="00DB52E2"/>
    <w:rsid w:val="00DB5346"/>
    <w:rsid w:val="00DB5384"/>
    <w:rsid w:val="00DB53A2"/>
    <w:rsid w:val="00DB53C6"/>
    <w:rsid w:val="00DB549E"/>
    <w:rsid w:val="00DB54AF"/>
    <w:rsid w:val="00DB54B8"/>
    <w:rsid w:val="00DB54BF"/>
    <w:rsid w:val="00DB551C"/>
    <w:rsid w:val="00DB5598"/>
    <w:rsid w:val="00DB55CF"/>
    <w:rsid w:val="00DB55D4"/>
    <w:rsid w:val="00DB564A"/>
    <w:rsid w:val="00DB566B"/>
    <w:rsid w:val="00DB5674"/>
    <w:rsid w:val="00DB568A"/>
    <w:rsid w:val="00DB569A"/>
    <w:rsid w:val="00DB569D"/>
    <w:rsid w:val="00DB56AE"/>
    <w:rsid w:val="00DB56CA"/>
    <w:rsid w:val="00DB5739"/>
    <w:rsid w:val="00DB5767"/>
    <w:rsid w:val="00DB576A"/>
    <w:rsid w:val="00DB5784"/>
    <w:rsid w:val="00DB5795"/>
    <w:rsid w:val="00DB57DF"/>
    <w:rsid w:val="00DB57EB"/>
    <w:rsid w:val="00DB5811"/>
    <w:rsid w:val="00DB5847"/>
    <w:rsid w:val="00DB586C"/>
    <w:rsid w:val="00DB58A2"/>
    <w:rsid w:val="00DB58DA"/>
    <w:rsid w:val="00DB58E1"/>
    <w:rsid w:val="00DB590A"/>
    <w:rsid w:val="00DB5916"/>
    <w:rsid w:val="00DB599B"/>
    <w:rsid w:val="00DB59A3"/>
    <w:rsid w:val="00DB59EE"/>
    <w:rsid w:val="00DB59F1"/>
    <w:rsid w:val="00DB5A2C"/>
    <w:rsid w:val="00DB5A62"/>
    <w:rsid w:val="00DB5AC2"/>
    <w:rsid w:val="00DB5ADC"/>
    <w:rsid w:val="00DB5AE0"/>
    <w:rsid w:val="00DB5B0F"/>
    <w:rsid w:val="00DB5B10"/>
    <w:rsid w:val="00DB5B4A"/>
    <w:rsid w:val="00DB5BC6"/>
    <w:rsid w:val="00DB5BEB"/>
    <w:rsid w:val="00DB5C15"/>
    <w:rsid w:val="00DB5CB7"/>
    <w:rsid w:val="00DB5CBA"/>
    <w:rsid w:val="00DB5CD1"/>
    <w:rsid w:val="00DB5CDA"/>
    <w:rsid w:val="00DB5D1F"/>
    <w:rsid w:val="00DB5D49"/>
    <w:rsid w:val="00DB5D5E"/>
    <w:rsid w:val="00DB5D69"/>
    <w:rsid w:val="00DB5D72"/>
    <w:rsid w:val="00DB5DBA"/>
    <w:rsid w:val="00DB5DE4"/>
    <w:rsid w:val="00DB5DEB"/>
    <w:rsid w:val="00DB5E02"/>
    <w:rsid w:val="00DB5E38"/>
    <w:rsid w:val="00DB5E93"/>
    <w:rsid w:val="00DB5E98"/>
    <w:rsid w:val="00DB5ECE"/>
    <w:rsid w:val="00DB5ED2"/>
    <w:rsid w:val="00DB5EE5"/>
    <w:rsid w:val="00DB5EF6"/>
    <w:rsid w:val="00DB5F37"/>
    <w:rsid w:val="00DB5F3F"/>
    <w:rsid w:val="00DB5F55"/>
    <w:rsid w:val="00DB5F77"/>
    <w:rsid w:val="00DB5FFD"/>
    <w:rsid w:val="00DB6023"/>
    <w:rsid w:val="00DB603C"/>
    <w:rsid w:val="00DB6051"/>
    <w:rsid w:val="00DB605B"/>
    <w:rsid w:val="00DB6151"/>
    <w:rsid w:val="00DB621D"/>
    <w:rsid w:val="00DB6288"/>
    <w:rsid w:val="00DB628D"/>
    <w:rsid w:val="00DB62A6"/>
    <w:rsid w:val="00DB63A9"/>
    <w:rsid w:val="00DB63B8"/>
    <w:rsid w:val="00DB63F0"/>
    <w:rsid w:val="00DB6429"/>
    <w:rsid w:val="00DB6430"/>
    <w:rsid w:val="00DB64DA"/>
    <w:rsid w:val="00DB6528"/>
    <w:rsid w:val="00DB653F"/>
    <w:rsid w:val="00DB655D"/>
    <w:rsid w:val="00DB659D"/>
    <w:rsid w:val="00DB65A9"/>
    <w:rsid w:val="00DB65B3"/>
    <w:rsid w:val="00DB65BC"/>
    <w:rsid w:val="00DB65C1"/>
    <w:rsid w:val="00DB6628"/>
    <w:rsid w:val="00DB662D"/>
    <w:rsid w:val="00DB6638"/>
    <w:rsid w:val="00DB663A"/>
    <w:rsid w:val="00DB667D"/>
    <w:rsid w:val="00DB66A3"/>
    <w:rsid w:val="00DB66B2"/>
    <w:rsid w:val="00DB66C9"/>
    <w:rsid w:val="00DB66DD"/>
    <w:rsid w:val="00DB6738"/>
    <w:rsid w:val="00DB6749"/>
    <w:rsid w:val="00DB6752"/>
    <w:rsid w:val="00DB677A"/>
    <w:rsid w:val="00DB6792"/>
    <w:rsid w:val="00DB67C5"/>
    <w:rsid w:val="00DB680D"/>
    <w:rsid w:val="00DB6846"/>
    <w:rsid w:val="00DB688A"/>
    <w:rsid w:val="00DB68CC"/>
    <w:rsid w:val="00DB690B"/>
    <w:rsid w:val="00DB6914"/>
    <w:rsid w:val="00DB6929"/>
    <w:rsid w:val="00DB6949"/>
    <w:rsid w:val="00DB6973"/>
    <w:rsid w:val="00DB6976"/>
    <w:rsid w:val="00DB69AE"/>
    <w:rsid w:val="00DB69B8"/>
    <w:rsid w:val="00DB69BB"/>
    <w:rsid w:val="00DB69C3"/>
    <w:rsid w:val="00DB69D9"/>
    <w:rsid w:val="00DB6A32"/>
    <w:rsid w:val="00DB6A70"/>
    <w:rsid w:val="00DB6A82"/>
    <w:rsid w:val="00DB6AC6"/>
    <w:rsid w:val="00DB6ACD"/>
    <w:rsid w:val="00DB6AF9"/>
    <w:rsid w:val="00DB6B09"/>
    <w:rsid w:val="00DB6B2E"/>
    <w:rsid w:val="00DB6BD6"/>
    <w:rsid w:val="00DB6BF8"/>
    <w:rsid w:val="00DB6C49"/>
    <w:rsid w:val="00DB6CB6"/>
    <w:rsid w:val="00DB6CD6"/>
    <w:rsid w:val="00DB6D02"/>
    <w:rsid w:val="00DB6D3A"/>
    <w:rsid w:val="00DB6DC8"/>
    <w:rsid w:val="00DB6DCF"/>
    <w:rsid w:val="00DB6DE1"/>
    <w:rsid w:val="00DB6E0C"/>
    <w:rsid w:val="00DB6E24"/>
    <w:rsid w:val="00DB6E37"/>
    <w:rsid w:val="00DB6E75"/>
    <w:rsid w:val="00DB6EF0"/>
    <w:rsid w:val="00DB6F01"/>
    <w:rsid w:val="00DB6F11"/>
    <w:rsid w:val="00DB6F91"/>
    <w:rsid w:val="00DB6F98"/>
    <w:rsid w:val="00DB6FEE"/>
    <w:rsid w:val="00DB6FF2"/>
    <w:rsid w:val="00DB701F"/>
    <w:rsid w:val="00DB704C"/>
    <w:rsid w:val="00DB7096"/>
    <w:rsid w:val="00DB70B2"/>
    <w:rsid w:val="00DB70C5"/>
    <w:rsid w:val="00DB70DA"/>
    <w:rsid w:val="00DB70EE"/>
    <w:rsid w:val="00DB70F5"/>
    <w:rsid w:val="00DB7131"/>
    <w:rsid w:val="00DB7145"/>
    <w:rsid w:val="00DB7149"/>
    <w:rsid w:val="00DB715D"/>
    <w:rsid w:val="00DB719A"/>
    <w:rsid w:val="00DB71E8"/>
    <w:rsid w:val="00DB7204"/>
    <w:rsid w:val="00DB720F"/>
    <w:rsid w:val="00DB721A"/>
    <w:rsid w:val="00DB724F"/>
    <w:rsid w:val="00DB72B8"/>
    <w:rsid w:val="00DB736E"/>
    <w:rsid w:val="00DB7376"/>
    <w:rsid w:val="00DB73D2"/>
    <w:rsid w:val="00DB73E3"/>
    <w:rsid w:val="00DB742F"/>
    <w:rsid w:val="00DB744C"/>
    <w:rsid w:val="00DB74B1"/>
    <w:rsid w:val="00DB74DA"/>
    <w:rsid w:val="00DB74E8"/>
    <w:rsid w:val="00DB7506"/>
    <w:rsid w:val="00DB750C"/>
    <w:rsid w:val="00DB754C"/>
    <w:rsid w:val="00DB7558"/>
    <w:rsid w:val="00DB755A"/>
    <w:rsid w:val="00DB755B"/>
    <w:rsid w:val="00DB7568"/>
    <w:rsid w:val="00DB7585"/>
    <w:rsid w:val="00DB75B2"/>
    <w:rsid w:val="00DB75DC"/>
    <w:rsid w:val="00DB75ED"/>
    <w:rsid w:val="00DB75FE"/>
    <w:rsid w:val="00DB7630"/>
    <w:rsid w:val="00DB7644"/>
    <w:rsid w:val="00DB76C6"/>
    <w:rsid w:val="00DB76D4"/>
    <w:rsid w:val="00DB76F8"/>
    <w:rsid w:val="00DB770F"/>
    <w:rsid w:val="00DB7774"/>
    <w:rsid w:val="00DB77D8"/>
    <w:rsid w:val="00DB7815"/>
    <w:rsid w:val="00DB781E"/>
    <w:rsid w:val="00DB7890"/>
    <w:rsid w:val="00DB7919"/>
    <w:rsid w:val="00DB7931"/>
    <w:rsid w:val="00DB793E"/>
    <w:rsid w:val="00DB7950"/>
    <w:rsid w:val="00DB7966"/>
    <w:rsid w:val="00DB7976"/>
    <w:rsid w:val="00DB79BA"/>
    <w:rsid w:val="00DB79BE"/>
    <w:rsid w:val="00DB79C9"/>
    <w:rsid w:val="00DB79D1"/>
    <w:rsid w:val="00DB79E5"/>
    <w:rsid w:val="00DB79F2"/>
    <w:rsid w:val="00DB7A79"/>
    <w:rsid w:val="00DB7A8E"/>
    <w:rsid w:val="00DB7B1C"/>
    <w:rsid w:val="00DB7B24"/>
    <w:rsid w:val="00DB7B79"/>
    <w:rsid w:val="00DB7BA1"/>
    <w:rsid w:val="00DB7BA3"/>
    <w:rsid w:val="00DB7BA8"/>
    <w:rsid w:val="00DB7BCF"/>
    <w:rsid w:val="00DB7C4B"/>
    <w:rsid w:val="00DB7C64"/>
    <w:rsid w:val="00DB7C65"/>
    <w:rsid w:val="00DB7C76"/>
    <w:rsid w:val="00DB7C79"/>
    <w:rsid w:val="00DB7C9A"/>
    <w:rsid w:val="00DB7D0D"/>
    <w:rsid w:val="00DB7D14"/>
    <w:rsid w:val="00DB7D8D"/>
    <w:rsid w:val="00DB7DBD"/>
    <w:rsid w:val="00DB7DE5"/>
    <w:rsid w:val="00DB7DE9"/>
    <w:rsid w:val="00DB7E08"/>
    <w:rsid w:val="00DB7E22"/>
    <w:rsid w:val="00DB7E5C"/>
    <w:rsid w:val="00DB7EC2"/>
    <w:rsid w:val="00DB7EE1"/>
    <w:rsid w:val="00DB7F06"/>
    <w:rsid w:val="00DB7F13"/>
    <w:rsid w:val="00DB7F57"/>
    <w:rsid w:val="00DB7F88"/>
    <w:rsid w:val="00DB7FC8"/>
    <w:rsid w:val="00DB7FD9"/>
    <w:rsid w:val="00DB7FE2"/>
    <w:rsid w:val="00DB7FE5"/>
    <w:rsid w:val="00DC0015"/>
    <w:rsid w:val="00DC004A"/>
    <w:rsid w:val="00DC0071"/>
    <w:rsid w:val="00DC0102"/>
    <w:rsid w:val="00DC0162"/>
    <w:rsid w:val="00DC01A0"/>
    <w:rsid w:val="00DC01D1"/>
    <w:rsid w:val="00DC01DC"/>
    <w:rsid w:val="00DC01F3"/>
    <w:rsid w:val="00DC0215"/>
    <w:rsid w:val="00DC0281"/>
    <w:rsid w:val="00DC030F"/>
    <w:rsid w:val="00DC0316"/>
    <w:rsid w:val="00DC031B"/>
    <w:rsid w:val="00DC0327"/>
    <w:rsid w:val="00DC0366"/>
    <w:rsid w:val="00DC036A"/>
    <w:rsid w:val="00DC0383"/>
    <w:rsid w:val="00DC03A0"/>
    <w:rsid w:val="00DC03AF"/>
    <w:rsid w:val="00DC03B0"/>
    <w:rsid w:val="00DC0465"/>
    <w:rsid w:val="00DC0474"/>
    <w:rsid w:val="00DC047B"/>
    <w:rsid w:val="00DC04C7"/>
    <w:rsid w:val="00DC05DA"/>
    <w:rsid w:val="00DC061A"/>
    <w:rsid w:val="00DC0625"/>
    <w:rsid w:val="00DC06C1"/>
    <w:rsid w:val="00DC0705"/>
    <w:rsid w:val="00DC0743"/>
    <w:rsid w:val="00DC0789"/>
    <w:rsid w:val="00DC0794"/>
    <w:rsid w:val="00DC07C4"/>
    <w:rsid w:val="00DC083D"/>
    <w:rsid w:val="00DC08A6"/>
    <w:rsid w:val="00DC08B8"/>
    <w:rsid w:val="00DC08F7"/>
    <w:rsid w:val="00DC091C"/>
    <w:rsid w:val="00DC0933"/>
    <w:rsid w:val="00DC095C"/>
    <w:rsid w:val="00DC097F"/>
    <w:rsid w:val="00DC09C3"/>
    <w:rsid w:val="00DC09C4"/>
    <w:rsid w:val="00DC09D8"/>
    <w:rsid w:val="00DC09E2"/>
    <w:rsid w:val="00DC0A1E"/>
    <w:rsid w:val="00DC0A25"/>
    <w:rsid w:val="00DC0A5C"/>
    <w:rsid w:val="00DC0AA0"/>
    <w:rsid w:val="00DC0B1C"/>
    <w:rsid w:val="00DC0B2F"/>
    <w:rsid w:val="00DC0BA4"/>
    <w:rsid w:val="00DC0BA8"/>
    <w:rsid w:val="00DC0BAD"/>
    <w:rsid w:val="00DC0C6E"/>
    <w:rsid w:val="00DC0C91"/>
    <w:rsid w:val="00DC0CCE"/>
    <w:rsid w:val="00DC0D4B"/>
    <w:rsid w:val="00DC0D5C"/>
    <w:rsid w:val="00DC0D65"/>
    <w:rsid w:val="00DC0DB5"/>
    <w:rsid w:val="00DC0E1D"/>
    <w:rsid w:val="00DC0E2C"/>
    <w:rsid w:val="00DC0E45"/>
    <w:rsid w:val="00DC0E56"/>
    <w:rsid w:val="00DC0E6D"/>
    <w:rsid w:val="00DC0EB1"/>
    <w:rsid w:val="00DC0EC6"/>
    <w:rsid w:val="00DC0EF0"/>
    <w:rsid w:val="00DC0F04"/>
    <w:rsid w:val="00DC0F12"/>
    <w:rsid w:val="00DC0F30"/>
    <w:rsid w:val="00DC0F88"/>
    <w:rsid w:val="00DC0FAF"/>
    <w:rsid w:val="00DC0FB5"/>
    <w:rsid w:val="00DC1041"/>
    <w:rsid w:val="00DC1092"/>
    <w:rsid w:val="00DC1095"/>
    <w:rsid w:val="00DC10A4"/>
    <w:rsid w:val="00DC10AB"/>
    <w:rsid w:val="00DC10D5"/>
    <w:rsid w:val="00DC10EF"/>
    <w:rsid w:val="00DC1106"/>
    <w:rsid w:val="00DC1120"/>
    <w:rsid w:val="00DC1125"/>
    <w:rsid w:val="00DC112B"/>
    <w:rsid w:val="00DC116A"/>
    <w:rsid w:val="00DC1192"/>
    <w:rsid w:val="00DC11F3"/>
    <w:rsid w:val="00DC1222"/>
    <w:rsid w:val="00DC1238"/>
    <w:rsid w:val="00DC1249"/>
    <w:rsid w:val="00DC129B"/>
    <w:rsid w:val="00DC12EE"/>
    <w:rsid w:val="00DC1331"/>
    <w:rsid w:val="00DC137C"/>
    <w:rsid w:val="00DC13C0"/>
    <w:rsid w:val="00DC13C2"/>
    <w:rsid w:val="00DC1412"/>
    <w:rsid w:val="00DC1415"/>
    <w:rsid w:val="00DC1448"/>
    <w:rsid w:val="00DC1454"/>
    <w:rsid w:val="00DC146E"/>
    <w:rsid w:val="00DC146F"/>
    <w:rsid w:val="00DC1483"/>
    <w:rsid w:val="00DC14AF"/>
    <w:rsid w:val="00DC14C5"/>
    <w:rsid w:val="00DC150A"/>
    <w:rsid w:val="00DC150C"/>
    <w:rsid w:val="00DC1550"/>
    <w:rsid w:val="00DC1560"/>
    <w:rsid w:val="00DC1569"/>
    <w:rsid w:val="00DC1585"/>
    <w:rsid w:val="00DC158E"/>
    <w:rsid w:val="00DC15B8"/>
    <w:rsid w:val="00DC15D2"/>
    <w:rsid w:val="00DC15E2"/>
    <w:rsid w:val="00DC1608"/>
    <w:rsid w:val="00DC1611"/>
    <w:rsid w:val="00DC161E"/>
    <w:rsid w:val="00DC165A"/>
    <w:rsid w:val="00DC169B"/>
    <w:rsid w:val="00DC16F3"/>
    <w:rsid w:val="00DC1722"/>
    <w:rsid w:val="00DC1755"/>
    <w:rsid w:val="00DC178E"/>
    <w:rsid w:val="00DC17CF"/>
    <w:rsid w:val="00DC17E2"/>
    <w:rsid w:val="00DC1810"/>
    <w:rsid w:val="00DC1869"/>
    <w:rsid w:val="00DC1876"/>
    <w:rsid w:val="00DC187B"/>
    <w:rsid w:val="00DC18A3"/>
    <w:rsid w:val="00DC18A4"/>
    <w:rsid w:val="00DC18A8"/>
    <w:rsid w:val="00DC18C0"/>
    <w:rsid w:val="00DC18F1"/>
    <w:rsid w:val="00DC1946"/>
    <w:rsid w:val="00DC196B"/>
    <w:rsid w:val="00DC1986"/>
    <w:rsid w:val="00DC198A"/>
    <w:rsid w:val="00DC199A"/>
    <w:rsid w:val="00DC19BF"/>
    <w:rsid w:val="00DC19FE"/>
    <w:rsid w:val="00DC1A15"/>
    <w:rsid w:val="00DC1A3A"/>
    <w:rsid w:val="00DC1A5C"/>
    <w:rsid w:val="00DC1A89"/>
    <w:rsid w:val="00DC1AD4"/>
    <w:rsid w:val="00DC1B9A"/>
    <w:rsid w:val="00DC1BB9"/>
    <w:rsid w:val="00DC1C18"/>
    <w:rsid w:val="00DC1D1E"/>
    <w:rsid w:val="00DC1D35"/>
    <w:rsid w:val="00DC1D67"/>
    <w:rsid w:val="00DC1DDF"/>
    <w:rsid w:val="00DC1DF6"/>
    <w:rsid w:val="00DC1E19"/>
    <w:rsid w:val="00DC1E4A"/>
    <w:rsid w:val="00DC1E54"/>
    <w:rsid w:val="00DC1E57"/>
    <w:rsid w:val="00DC1E64"/>
    <w:rsid w:val="00DC1E81"/>
    <w:rsid w:val="00DC1EAE"/>
    <w:rsid w:val="00DC1EEE"/>
    <w:rsid w:val="00DC1EF8"/>
    <w:rsid w:val="00DC1F05"/>
    <w:rsid w:val="00DC1F0E"/>
    <w:rsid w:val="00DC1F89"/>
    <w:rsid w:val="00DC1F9D"/>
    <w:rsid w:val="00DC1FB2"/>
    <w:rsid w:val="00DC1FBD"/>
    <w:rsid w:val="00DC2004"/>
    <w:rsid w:val="00DC2027"/>
    <w:rsid w:val="00DC2080"/>
    <w:rsid w:val="00DC20DF"/>
    <w:rsid w:val="00DC20F6"/>
    <w:rsid w:val="00DC20FA"/>
    <w:rsid w:val="00DC210E"/>
    <w:rsid w:val="00DC212D"/>
    <w:rsid w:val="00DC213D"/>
    <w:rsid w:val="00DC214E"/>
    <w:rsid w:val="00DC214F"/>
    <w:rsid w:val="00DC2169"/>
    <w:rsid w:val="00DC217C"/>
    <w:rsid w:val="00DC2194"/>
    <w:rsid w:val="00DC21A8"/>
    <w:rsid w:val="00DC2238"/>
    <w:rsid w:val="00DC22F1"/>
    <w:rsid w:val="00DC22FE"/>
    <w:rsid w:val="00DC23A2"/>
    <w:rsid w:val="00DC23D3"/>
    <w:rsid w:val="00DC23D5"/>
    <w:rsid w:val="00DC23FF"/>
    <w:rsid w:val="00DC2446"/>
    <w:rsid w:val="00DC247D"/>
    <w:rsid w:val="00DC2487"/>
    <w:rsid w:val="00DC2528"/>
    <w:rsid w:val="00DC25C3"/>
    <w:rsid w:val="00DC25F6"/>
    <w:rsid w:val="00DC2626"/>
    <w:rsid w:val="00DC265C"/>
    <w:rsid w:val="00DC266B"/>
    <w:rsid w:val="00DC2689"/>
    <w:rsid w:val="00DC26C5"/>
    <w:rsid w:val="00DC26C8"/>
    <w:rsid w:val="00DC26F0"/>
    <w:rsid w:val="00DC273F"/>
    <w:rsid w:val="00DC2758"/>
    <w:rsid w:val="00DC276A"/>
    <w:rsid w:val="00DC2776"/>
    <w:rsid w:val="00DC277E"/>
    <w:rsid w:val="00DC2782"/>
    <w:rsid w:val="00DC27A9"/>
    <w:rsid w:val="00DC27C5"/>
    <w:rsid w:val="00DC27C9"/>
    <w:rsid w:val="00DC281B"/>
    <w:rsid w:val="00DC286A"/>
    <w:rsid w:val="00DC287C"/>
    <w:rsid w:val="00DC28FF"/>
    <w:rsid w:val="00DC293B"/>
    <w:rsid w:val="00DC2963"/>
    <w:rsid w:val="00DC296A"/>
    <w:rsid w:val="00DC29AA"/>
    <w:rsid w:val="00DC2A4A"/>
    <w:rsid w:val="00DC2A5D"/>
    <w:rsid w:val="00DC2A8A"/>
    <w:rsid w:val="00DC2AD0"/>
    <w:rsid w:val="00DC2AD1"/>
    <w:rsid w:val="00DC2AEA"/>
    <w:rsid w:val="00DC2B13"/>
    <w:rsid w:val="00DC2B1E"/>
    <w:rsid w:val="00DC2B5F"/>
    <w:rsid w:val="00DC2BC9"/>
    <w:rsid w:val="00DC2C02"/>
    <w:rsid w:val="00DC2C05"/>
    <w:rsid w:val="00DC2C2D"/>
    <w:rsid w:val="00DC2C3A"/>
    <w:rsid w:val="00DC2C92"/>
    <w:rsid w:val="00DC2CF0"/>
    <w:rsid w:val="00DC2D49"/>
    <w:rsid w:val="00DC2D5D"/>
    <w:rsid w:val="00DC2D8D"/>
    <w:rsid w:val="00DC2D9B"/>
    <w:rsid w:val="00DC2E0E"/>
    <w:rsid w:val="00DC2E10"/>
    <w:rsid w:val="00DC2E9A"/>
    <w:rsid w:val="00DC2E9D"/>
    <w:rsid w:val="00DC2EAD"/>
    <w:rsid w:val="00DC2EB3"/>
    <w:rsid w:val="00DC2EC4"/>
    <w:rsid w:val="00DC2EE2"/>
    <w:rsid w:val="00DC2F18"/>
    <w:rsid w:val="00DC2F41"/>
    <w:rsid w:val="00DC2F74"/>
    <w:rsid w:val="00DC2F84"/>
    <w:rsid w:val="00DC2FF4"/>
    <w:rsid w:val="00DC3045"/>
    <w:rsid w:val="00DC30BE"/>
    <w:rsid w:val="00DC3101"/>
    <w:rsid w:val="00DC311F"/>
    <w:rsid w:val="00DC312D"/>
    <w:rsid w:val="00DC3147"/>
    <w:rsid w:val="00DC3162"/>
    <w:rsid w:val="00DC317D"/>
    <w:rsid w:val="00DC31DE"/>
    <w:rsid w:val="00DC3211"/>
    <w:rsid w:val="00DC3215"/>
    <w:rsid w:val="00DC3236"/>
    <w:rsid w:val="00DC3267"/>
    <w:rsid w:val="00DC328C"/>
    <w:rsid w:val="00DC32CC"/>
    <w:rsid w:val="00DC32D3"/>
    <w:rsid w:val="00DC32ED"/>
    <w:rsid w:val="00DC32F3"/>
    <w:rsid w:val="00DC32F9"/>
    <w:rsid w:val="00DC331E"/>
    <w:rsid w:val="00DC3323"/>
    <w:rsid w:val="00DC3360"/>
    <w:rsid w:val="00DC3377"/>
    <w:rsid w:val="00DC339D"/>
    <w:rsid w:val="00DC33E0"/>
    <w:rsid w:val="00DC340E"/>
    <w:rsid w:val="00DC3432"/>
    <w:rsid w:val="00DC3460"/>
    <w:rsid w:val="00DC3489"/>
    <w:rsid w:val="00DC34A4"/>
    <w:rsid w:val="00DC34A5"/>
    <w:rsid w:val="00DC34F4"/>
    <w:rsid w:val="00DC35A9"/>
    <w:rsid w:val="00DC35CB"/>
    <w:rsid w:val="00DC35EB"/>
    <w:rsid w:val="00DC35F1"/>
    <w:rsid w:val="00DC3622"/>
    <w:rsid w:val="00DC3633"/>
    <w:rsid w:val="00DC3638"/>
    <w:rsid w:val="00DC3646"/>
    <w:rsid w:val="00DC36C1"/>
    <w:rsid w:val="00DC36D6"/>
    <w:rsid w:val="00DC36DE"/>
    <w:rsid w:val="00DC370C"/>
    <w:rsid w:val="00DC372F"/>
    <w:rsid w:val="00DC3736"/>
    <w:rsid w:val="00DC3747"/>
    <w:rsid w:val="00DC374E"/>
    <w:rsid w:val="00DC37B8"/>
    <w:rsid w:val="00DC37FB"/>
    <w:rsid w:val="00DC381F"/>
    <w:rsid w:val="00DC3860"/>
    <w:rsid w:val="00DC3890"/>
    <w:rsid w:val="00DC38A1"/>
    <w:rsid w:val="00DC38EB"/>
    <w:rsid w:val="00DC38F1"/>
    <w:rsid w:val="00DC3921"/>
    <w:rsid w:val="00DC393C"/>
    <w:rsid w:val="00DC396B"/>
    <w:rsid w:val="00DC3974"/>
    <w:rsid w:val="00DC397D"/>
    <w:rsid w:val="00DC397F"/>
    <w:rsid w:val="00DC39CB"/>
    <w:rsid w:val="00DC39F4"/>
    <w:rsid w:val="00DC39FC"/>
    <w:rsid w:val="00DC3A1B"/>
    <w:rsid w:val="00DC3A4A"/>
    <w:rsid w:val="00DC3A74"/>
    <w:rsid w:val="00DC3A89"/>
    <w:rsid w:val="00DC3AB0"/>
    <w:rsid w:val="00DC3AED"/>
    <w:rsid w:val="00DC3B12"/>
    <w:rsid w:val="00DC3B3C"/>
    <w:rsid w:val="00DC3B45"/>
    <w:rsid w:val="00DC3B49"/>
    <w:rsid w:val="00DC3BB4"/>
    <w:rsid w:val="00DC3BB8"/>
    <w:rsid w:val="00DC3C04"/>
    <w:rsid w:val="00DC3C27"/>
    <w:rsid w:val="00DC3C43"/>
    <w:rsid w:val="00DC3C8B"/>
    <w:rsid w:val="00DC3CAA"/>
    <w:rsid w:val="00DC3CAC"/>
    <w:rsid w:val="00DC3CFB"/>
    <w:rsid w:val="00DC3D0A"/>
    <w:rsid w:val="00DC3D31"/>
    <w:rsid w:val="00DC3D7D"/>
    <w:rsid w:val="00DC3DB5"/>
    <w:rsid w:val="00DC3E0B"/>
    <w:rsid w:val="00DC3E5F"/>
    <w:rsid w:val="00DC3EA2"/>
    <w:rsid w:val="00DC3F93"/>
    <w:rsid w:val="00DC4035"/>
    <w:rsid w:val="00DC4042"/>
    <w:rsid w:val="00DC406C"/>
    <w:rsid w:val="00DC40B0"/>
    <w:rsid w:val="00DC40C5"/>
    <w:rsid w:val="00DC40CE"/>
    <w:rsid w:val="00DC40DA"/>
    <w:rsid w:val="00DC40F3"/>
    <w:rsid w:val="00DC40F8"/>
    <w:rsid w:val="00DC4126"/>
    <w:rsid w:val="00DC4141"/>
    <w:rsid w:val="00DC4151"/>
    <w:rsid w:val="00DC4174"/>
    <w:rsid w:val="00DC419C"/>
    <w:rsid w:val="00DC41D9"/>
    <w:rsid w:val="00DC423C"/>
    <w:rsid w:val="00DC4245"/>
    <w:rsid w:val="00DC4299"/>
    <w:rsid w:val="00DC42CE"/>
    <w:rsid w:val="00DC42FC"/>
    <w:rsid w:val="00DC4316"/>
    <w:rsid w:val="00DC4327"/>
    <w:rsid w:val="00DC432C"/>
    <w:rsid w:val="00DC4371"/>
    <w:rsid w:val="00DC4398"/>
    <w:rsid w:val="00DC440A"/>
    <w:rsid w:val="00DC44D8"/>
    <w:rsid w:val="00DC44E9"/>
    <w:rsid w:val="00DC453E"/>
    <w:rsid w:val="00DC4545"/>
    <w:rsid w:val="00DC4586"/>
    <w:rsid w:val="00DC458B"/>
    <w:rsid w:val="00DC45D8"/>
    <w:rsid w:val="00DC45DB"/>
    <w:rsid w:val="00DC4602"/>
    <w:rsid w:val="00DC4616"/>
    <w:rsid w:val="00DC46F0"/>
    <w:rsid w:val="00DC46F7"/>
    <w:rsid w:val="00DC46FF"/>
    <w:rsid w:val="00DC4769"/>
    <w:rsid w:val="00DC4790"/>
    <w:rsid w:val="00DC47A0"/>
    <w:rsid w:val="00DC47C1"/>
    <w:rsid w:val="00DC47C5"/>
    <w:rsid w:val="00DC47EE"/>
    <w:rsid w:val="00DC47F4"/>
    <w:rsid w:val="00DC480B"/>
    <w:rsid w:val="00DC4857"/>
    <w:rsid w:val="00DC486A"/>
    <w:rsid w:val="00DC4877"/>
    <w:rsid w:val="00DC4885"/>
    <w:rsid w:val="00DC48A5"/>
    <w:rsid w:val="00DC48C8"/>
    <w:rsid w:val="00DC4959"/>
    <w:rsid w:val="00DC49E5"/>
    <w:rsid w:val="00DC4A80"/>
    <w:rsid w:val="00DC4A8A"/>
    <w:rsid w:val="00DC4AA9"/>
    <w:rsid w:val="00DC4B08"/>
    <w:rsid w:val="00DC4B5F"/>
    <w:rsid w:val="00DC4B7C"/>
    <w:rsid w:val="00DC4B8E"/>
    <w:rsid w:val="00DC4BCC"/>
    <w:rsid w:val="00DC4BE3"/>
    <w:rsid w:val="00DC4BF7"/>
    <w:rsid w:val="00DC4C38"/>
    <w:rsid w:val="00DC4C98"/>
    <w:rsid w:val="00DC4CCC"/>
    <w:rsid w:val="00DC4CD9"/>
    <w:rsid w:val="00DC4D1C"/>
    <w:rsid w:val="00DC4D37"/>
    <w:rsid w:val="00DC4D41"/>
    <w:rsid w:val="00DC4D95"/>
    <w:rsid w:val="00DC4D99"/>
    <w:rsid w:val="00DC4DBC"/>
    <w:rsid w:val="00DC4E13"/>
    <w:rsid w:val="00DC4E6D"/>
    <w:rsid w:val="00DC4E8C"/>
    <w:rsid w:val="00DC4EA1"/>
    <w:rsid w:val="00DC4F00"/>
    <w:rsid w:val="00DC4F30"/>
    <w:rsid w:val="00DC4F68"/>
    <w:rsid w:val="00DC4F76"/>
    <w:rsid w:val="00DC4F86"/>
    <w:rsid w:val="00DC4F9B"/>
    <w:rsid w:val="00DC4FEE"/>
    <w:rsid w:val="00DC4FFE"/>
    <w:rsid w:val="00DC5075"/>
    <w:rsid w:val="00DC5076"/>
    <w:rsid w:val="00DC5090"/>
    <w:rsid w:val="00DC50B0"/>
    <w:rsid w:val="00DC50D8"/>
    <w:rsid w:val="00DC5135"/>
    <w:rsid w:val="00DC5151"/>
    <w:rsid w:val="00DC519B"/>
    <w:rsid w:val="00DC51A0"/>
    <w:rsid w:val="00DC51A9"/>
    <w:rsid w:val="00DC520E"/>
    <w:rsid w:val="00DC5237"/>
    <w:rsid w:val="00DC524D"/>
    <w:rsid w:val="00DC526B"/>
    <w:rsid w:val="00DC52ED"/>
    <w:rsid w:val="00DC532F"/>
    <w:rsid w:val="00DC533D"/>
    <w:rsid w:val="00DC5353"/>
    <w:rsid w:val="00DC5358"/>
    <w:rsid w:val="00DC53D0"/>
    <w:rsid w:val="00DC5420"/>
    <w:rsid w:val="00DC5433"/>
    <w:rsid w:val="00DC5475"/>
    <w:rsid w:val="00DC548B"/>
    <w:rsid w:val="00DC54A2"/>
    <w:rsid w:val="00DC54E9"/>
    <w:rsid w:val="00DC54EB"/>
    <w:rsid w:val="00DC54FF"/>
    <w:rsid w:val="00DC5572"/>
    <w:rsid w:val="00DC5590"/>
    <w:rsid w:val="00DC55B8"/>
    <w:rsid w:val="00DC5601"/>
    <w:rsid w:val="00DC5612"/>
    <w:rsid w:val="00DC5633"/>
    <w:rsid w:val="00DC5691"/>
    <w:rsid w:val="00DC56EA"/>
    <w:rsid w:val="00DC582C"/>
    <w:rsid w:val="00DC5872"/>
    <w:rsid w:val="00DC58B4"/>
    <w:rsid w:val="00DC58BA"/>
    <w:rsid w:val="00DC5A10"/>
    <w:rsid w:val="00DC5A1B"/>
    <w:rsid w:val="00DC5A29"/>
    <w:rsid w:val="00DC5A85"/>
    <w:rsid w:val="00DC5A86"/>
    <w:rsid w:val="00DC5A95"/>
    <w:rsid w:val="00DC5ADB"/>
    <w:rsid w:val="00DC5B33"/>
    <w:rsid w:val="00DC5B37"/>
    <w:rsid w:val="00DC5BA0"/>
    <w:rsid w:val="00DC5BD9"/>
    <w:rsid w:val="00DC5C85"/>
    <w:rsid w:val="00DC5C99"/>
    <w:rsid w:val="00DC5CC1"/>
    <w:rsid w:val="00DC5D45"/>
    <w:rsid w:val="00DC5D73"/>
    <w:rsid w:val="00DC5D78"/>
    <w:rsid w:val="00DC5DD3"/>
    <w:rsid w:val="00DC5E75"/>
    <w:rsid w:val="00DC5E83"/>
    <w:rsid w:val="00DC5EDC"/>
    <w:rsid w:val="00DC5F2C"/>
    <w:rsid w:val="00DC5F61"/>
    <w:rsid w:val="00DC5FE7"/>
    <w:rsid w:val="00DC6027"/>
    <w:rsid w:val="00DC6035"/>
    <w:rsid w:val="00DC6056"/>
    <w:rsid w:val="00DC6095"/>
    <w:rsid w:val="00DC60A5"/>
    <w:rsid w:val="00DC6116"/>
    <w:rsid w:val="00DC613C"/>
    <w:rsid w:val="00DC615A"/>
    <w:rsid w:val="00DC617E"/>
    <w:rsid w:val="00DC6223"/>
    <w:rsid w:val="00DC62E5"/>
    <w:rsid w:val="00DC62E6"/>
    <w:rsid w:val="00DC6350"/>
    <w:rsid w:val="00DC636B"/>
    <w:rsid w:val="00DC6373"/>
    <w:rsid w:val="00DC63BC"/>
    <w:rsid w:val="00DC63E1"/>
    <w:rsid w:val="00DC642F"/>
    <w:rsid w:val="00DC647A"/>
    <w:rsid w:val="00DC6499"/>
    <w:rsid w:val="00DC64BC"/>
    <w:rsid w:val="00DC64E0"/>
    <w:rsid w:val="00DC653D"/>
    <w:rsid w:val="00DC656E"/>
    <w:rsid w:val="00DC65F9"/>
    <w:rsid w:val="00DC65FE"/>
    <w:rsid w:val="00DC6639"/>
    <w:rsid w:val="00DC668D"/>
    <w:rsid w:val="00DC66E8"/>
    <w:rsid w:val="00DC66EC"/>
    <w:rsid w:val="00DC6706"/>
    <w:rsid w:val="00DC6712"/>
    <w:rsid w:val="00DC677B"/>
    <w:rsid w:val="00DC67CC"/>
    <w:rsid w:val="00DC6807"/>
    <w:rsid w:val="00DC6865"/>
    <w:rsid w:val="00DC686A"/>
    <w:rsid w:val="00DC68AD"/>
    <w:rsid w:val="00DC6936"/>
    <w:rsid w:val="00DC6957"/>
    <w:rsid w:val="00DC6970"/>
    <w:rsid w:val="00DC69B2"/>
    <w:rsid w:val="00DC69D8"/>
    <w:rsid w:val="00DC69F8"/>
    <w:rsid w:val="00DC6A4B"/>
    <w:rsid w:val="00DC6A59"/>
    <w:rsid w:val="00DC6A5E"/>
    <w:rsid w:val="00DC6A67"/>
    <w:rsid w:val="00DC6A7E"/>
    <w:rsid w:val="00DC6ABC"/>
    <w:rsid w:val="00DC6B08"/>
    <w:rsid w:val="00DC6B1D"/>
    <w:rsid w:val="00DC6B2C"/>
    <w:rsid w:val="00DC6B31"/>
    <w:rsid w:val="00DC6B41"/>
    <w:rsid w:val="00DC6B77"/>
    <w:rsid w:val="00DC6B7B"/>
    <w:rsid w:val="00DC6C2D"/>
    <w:rsid w:val="00DC6C37"/>
    <w:rsid w:val="00DC6C79"/>
    <w:rsid w:val="00DC6C83"/>
    <w:rsid w:val="00DC6CA8"/>
    <w:rsid w:val="00DC6CBC"/>
    <w:rsid w:val="00DC6CC8"/>
    <w:rsid w:val="00DC6CDC"/>
    <w:rsid w:val="00DC6CE5"/>
    <w:rsid w:val="00DC6CFF"/>
    <w:rsid w:val="00DC6D09"/>
    <w:rsid w:val="00DC6DBE"/>
    <w:rsid w:val="00DC6E00"/>
    <w:rsid w:val="00DC6E57"/>
    <w:rsid w:val="00DC6EAD"/>
    <w:rsid w:val="00DC6EB4"/>
    <w:rsid w:val="00DC6EC5"/>
    <w:rsid w:val="00DC6F0A"/>
    <w:rsid w:val="00DC6F1C"/>
    <w:rsid w:val="00DC6F34"/>
    <w:rsid w:val="00DC6F4B"/>
    <w:rsid w:val="00DC6F6B"/>
    <w:rsid w:val="00DC6F80"/>
    <w:rsid w:val="00DC6F97"/>
    <w:rsid w:val="00DC6FD1"/>
    <w:rsid w:val="00DC6FD6"/>
    <w:rsid w:val="00DC6FEF"/>
    <w:rsid w:val="00DC701F"/>
    <w:rsid w:val="00DC7024"/>
    <w:rsid w:val="00DC703F"/>
    <w:rsid w:val="00DC7066"/>
    <w:rsid w:val="00DC7068"/>
    <w:rsid w:val="00DC70BD"/>
    <w:rsid w:val="00DC70EB"/>
    <w:rsid w:val="00DC70F9"/>
    <w:rsid w:val="00DC7104"/>
    <w:rsid w:val="00DC7123"/>
    <w:rsid w:val="00DC713D"/>
    <w:rsid w:val="00DC714A"/>
    <w:rsid w:val="00DC7187"/>
    <w:rsid w:val="00DC718C"/>
    <w:rsid w:val="00DC719B"/>
    <w:rsid w:val="00DC71AE"/>
    <w:rsid w:val="00DC71BD"/>
    <w:rsid w:val="00DC7247"/>
    <w:rsid w:val="00DC7263"/>
    <w:rsid w:val="00DC728C"/>
    <w:rsid w:val="00DC728E"/>
    <w:rsid w:val="00DC72B6"/>
    <w:rsid w:val="00DC72E5"/>
    <w:rsid w:val="00DC7328"/>
    <w:rsid w:val="00DC733B"/>
    <w:rsid w:val="00DC733D"/>
    <w:rsid w:val="00DC735A"/>
    <w:rsid w:val="00DC7398"/>
    <w:rsid w:val="00DC7399"/>
    <w:rsid w:val="00DC73AB"/>
    <w:rsid w:val="00DC73C8"/>
    <w:rsid w:val="00DC73D8"/>
    <w:rsid w:val="00DC73EC"/>
    <w:rsid w:val="00DC7415"/>
    <w:rsid w:val="00DC741A"/>
    <w:rsid w:val="00DC741B"/>
    <w:rsid w:val="00DC7472"/>
    <w:rsid w:val="00DC7479"/>
    <w:rsid w:val="00DC74EE"/>
    <w:rsid w:val="00DC754B"/>
    <w:rsid w:val="00DC7573"/>
    <w:rsid w:val="00DC75A4"/>
    <w:rsid w:val="00DC75B2"/>
    <w:rsid w:val="00DC75F7"/>
    <w:rsid w:val="00DC761C"/>
    <w:rsid w:val="00DC7666"/>
    <w:rsid w:val="00DC7696"/>
    <w:rsid w:val="00DC7699"/>
    <w:rsid w:val="00DC7732"/>
    <w:rsid w:val="00DC7737"/>
    <w:rsid w:val="00DC7784"/>
    <w:rsid w:val="00DC778C"/>
    <w:rsid w:val="00DC7797"/>
    <w:rsid w:val="00DC77AD"/>
    <w:rsid w:val="00DC77B4"/>
    <w:rsid w:val="00DC77C1"/>
    <w:rsid w:val="00DC77D6"/>
    <w:rsid w:val="00DC7830"/>
    <w:rsid w:val="00DC7869"/>
    <w:rsid w:val="00DC7887"/>
    <w:rsid w:val="00DC78FF"/>
    <w:rsid w:val="00DC7960"/>
    <w:rsid w:val="00DC79C2"/>
    <w:rsid w:val="00DC79CE"/>
    <w:rsid w:val="00DC79FA"/>
    <w:rsid w:val="00DC7A2C"/>
    <w:rsid w:val="00DC7A47"/>
    <w:rsid w:val="00DC7A56"/>
    <w:rsid w:val="00DC7AAA"/>
    <w:rsid w:val="00DC7B36"/>
    <w:rsid w:val="00DC7B71"/>
    <w:rsid w:val="00DC7B77"/>
    <w:rsid w:val="00DC7B97"/>
    <w:rsid w:val="00DC7BC2"/>
    <w:rsid w:val="00DC7BC3"/>
    <w:rsid w:val="00DC7C08"/>
    <w:rsid w:val="00DC7C6F"/>
    <w:rsid w:val="00DC7CA5"/>
    <w:rsid w:val="00DC7CBB"/>
    <w:rsid w:val="00DC7CC2"/>
    <w:rsid w:val="00DC7CD3"/>
    <w:rsid w:val="00DC7CFD"/>
    <w:rsid w:val="00DC7D11"/>
    <w:rsid w:val="00DC7D42"/>
    <w:rsid w:val="00DC7D50"/>
    <w:rsid w:val="00DC7D70"/>
    <w:rsid w:val="00DC7D84"/>
    <w:rsid w:val="00DC7D99"/>
    <w:rsid w:val="00DC7DDC"/>
    <w:rsid w:val="00DC7DE4"/>
    <w:rsid w:val="00DC7DEA"/>
    <w:rsid w:val="00DC7DF5"/>
    <w:rsid w:val="00DC7E00"/>
    <w:rsid w:val="00DC7E4C"/>
    <w:rsid w:val="00DC7E78"/>
    <w:rsid w:val="00DC7E9E"/>
    <w:rsid w:val="00DC7EA3"/>
    <w:rsid w:val="00DC7EA8"/>
    <w:rsid w:val="00DC7EAD"/>
    <w:rsid w:val="00DC7F57"/>
    <w:rsid w:val="00DC7F99"/>
    <w:rsid w:val="00DCC9A7"/>
    <w:rsid w:val="00DD0004"/>
    <w:rsid w:val="00DD001E"/>
    <w:rsid w:val="00DD0027"/>
    <w:rsid w:val="00DD0082"/>
    <w:rsid w:val="00DD00A1"/>
    <w:rsid w:val="00DD00CC"/>
    <w:rsid w:val="00DD00E3"/>
    <w:rsid w:val="00DD00E8"/>
    <w:rsid w:val="00DD013D"/>
    <w:rsid w:val="00DD0187"/>
    <w:rsid w:val="00DD019A"/>
    <w:rsid w:val="00DD0232"/>
    <w:rsid w:val="00DD026D"/>
    <w:rsid w:val="00DD0276"/>
    <w:rsid w:val="00DD0284"/>
    <w:rsid w:val="00DD0288"/>
    <w:rsid w:val="00DD028F"/>
    <w:rsid w:val="00DD02CA"/>
    <w:rsid w:val="00DD02F1"/>
    <w:rsid w:val="00DD0313"/>
    <w:rsid w:val="00DD0365"/>
    <w:rsid w:val="00DD0404"/>
    <w:rsid w:val="00DD046B"/>
    <w:rsid w:val="00DD046F"/>
    <w:rsid w:val="00DD0470"/>
    <w:rsid w:val="00DD0516"/>
    <w:rsid w:val="00DD0533"/>
    <w:rsid w:val="00DD0563"/>
    <w:rsid w:val="00DD05C3"/>
    <w:rsid w:val="00DD05C6"/>
    <w:rsid w:val="00DD05CB"/>
    <w:rsid w:val="00DD0621"/>
    <w:rsid w:val="00DD0654"/>
    <w:rsid w:val="00DD068E"/>
    <w:rsid w:val="00DD06B6"/>
    <w:rsid w:val="00DD074B"/>
    <w:rsid w:val="00DD0758"/>
    <w:rsid w:val="00DD079A"/>
    <w:rsid w:val="00DD07BA"/>
    <w:rsid w:val="00DD0834"/>
    <w:rsid w:val="00DD0847"/>
    <w:rsid w:val="00DD085D"/>
    <w:rsid w:val="00DD0873"/>
    <w:rsid w:val="00DD0874"/>
    <w:rsid w:val="00DD08C2"/>
    <w:rsid w:val="00DD08D1"/>
    <w:rsid w:val="00DD08E5"/>
    <w:rsid w:val="00DD08F2"/>
    <w:rsid w:val="00DD0902"/>
    <w:rsid w:val="00DD096C"/>
    <w:rsid w:val="00DD0991"/>
    <w:rsid w:val="00DD09BD"/>
    <w:rsid w:val="00DD0AC9"/>
    <w:rsid w:val="00DD0ACB"/>
    <w:rsid w:val="00DD0B2D"/>
    <w:rsid w:val="00DD0B49"/>
    <w:rsid w:val="00DD0B5E"/>
    <w:rsid w:val="00DD0B69"/>
    <w:rsid w:val="00DD0B73"/>
    <w:rsid w:val="00DD0BC1"/>
    <w:rsid w:val="00DD0BD2"/>
    <w:rsid w:val="00DD0BD3"/>
    <w:rsid w:val="00DD0BF7"/>
    <w:rsid w:val="00DD0C07"/>
    <w:rsid w:val="00DD0C2F"/>
    <w:rsid w:val="00DD0C64"/>
    <w:rsid w:val="00DD0CA5"/>
    <w:rsid w:val="00DD0CD2"/>
    <w:rsid w:val="00DD0CF9"/>
    <w:rsid w:val="00DD0CFC"/>
    <w:rsid w:val="00DD0D00"/>
    <w:rsid w:val="00DD0D34"/>
    <w:rsid w:val="00DD0DC5"/>
    <w:rsid w:val="00DD0DCA"/>
    <w:rsid w:val="00DD0E24"/>
    <w:rsid w:val="00DD0E26"/>
    <w:rsid w:val="00DD0E46"/>
    <w:rsid w:val="00DD0E4C"/>
    <w:rsid w:val="00DD0E77"/>
    <w:rsid w:val="00DD0ECE"/>
    <w:rsid w:val="00DD0ED0"/>
    <w:rsid w:val="00DD0EF6"/>
    <w:rsid w:val="00DD0F06"/>
    <w:rsid w:val="00DD0F0E"/>
    <w:rsid w:val="00DD0F20"/>
    <w:rsid w:val="00DD0F58"/>
    <w:rsid w:val="00DD0FF2"/>
    <w:rsid w:val="00DD104D"/>
    <w:rsid w:val="00DD1061"/>
    <w:rsid w:val="00DD107D"/>
    <w:rsid w:val="00DD1088"/>
    <w:rsid w:val="00DD109D"/>
    <w:rsid w:val="00DD10D3"/>
    <w:rsid w:val="00DD10DB"/>
    <w:rsid w:val="00DD10ED"/>
    <w:rsid w:val="00DD10F2"/>
    <w:rsid w:val="00DD111D"/>
    <w:rsid w:val="00DD117A"/>
    <w:rsid w:val="00DD11BF"/>
    <w:rsid w:val="00DD1243"/>
    <w:rsid w:val="00DD126D"/>
    <w:rsid w:val="00DD12FD"/>
    <w:rsid w:val="00DD1309"/>
    <w:rsid w:val="00DD1311"/>
    <w:rsid w:val="00DD1344"/>
    <w:rsid w:val="00DD1349"/>
    <w:rsid w:val="00DD136E"/>
    <w:rsid w:val="00DD13A7"/>
    <w:rsid w:val="00DD13BB"/>
    <w:rsid w:val="00DD13FC"/>
    <w:rsid w:val="00DD1452"/>
    <w:rsid w:val="00DD14D4"/>
    <w:rsid w:val="00DD1501"/>
    <w:rsid w:val="00DD152A"/>
    <w:rsid w:val="00DD1536"/>
    <w:rsid w:val="00DD1540"/>
    <w:rsid w:val="00DD158E"/>
    <w:rsid w:val="00DD15E4"/>
    <w:rsid w:val="00DD15E8"/>
    <w:rsid w:val="00DD1628"/>
    <w:rsid w:val="00DD1648"/>
    <w:rsid w:val="00DD1690"/>
    <w:rsid w:val="00DD16FC"/>
    <w:rsid w:val="00DD16FF"/>
    <w:rsid w:val="00DD171F"/>
    <w:rsid w:val="00DD1727"/>
    <w:rsid w:val="00DD1738"/>
    <w:rsid w:val="00DD174F"/>
    <w:rsid w:val="00DD17E8"/>
    <w:rsid w:val="00DD1806"/>
    <w:rsid w:val="00DD1851"/>
    <w:rsid w:val="00DD1894"/>
    <w:rsid w:val="00DD18C5"/>
    <w:rsid w:val="00DD18F4"/>
    <w:rsid w:val="00DD1900"/>
    <w:rsid w:val="00DD1965"/>
    <w:rsid w:val="00DD197E"/>
    <w:rsid w:val="00DD198F"/>
    <w:rsid w:val="00DD199A"/>
    <w:rsid w:val="00DD1A38"/>
    <w:rsid w:val="00DD1A8B"/>
    <w:rsid w:val="00DD1AB0"/>
    <w:rsid w:val="00DD1AC9"/>
    <w:rsid w:val="00DD1AE0"/>
    <w:rsid w:val="00DD1AE6"/>
    <w:rsid w:val="00DD1AFE"/>
    <w:rsid w:val="00DD1B03"/>
    <w:rsid w:val="00DD1B09"/>
    <w:rsid w:val="00DD1B29"/>
    <w:rsid w:val="00DD1B2F"/>
    <w:rsid w:val="00DD1B59"/>
    <w:rsid w:val="00DD1B5B"/>
    <w:rsid w:val="00DD1B74"/>
    <w:rsid w:val="00DD1B7F"/>
    <w:rsid w:val="00DD1B84"/>
    <w:rsid w:val="00DD1BF1"/>
    <w:rsid w:val="00DD1C24"/>
    <w:rsid w:val="00DD1C28"/>
    <w:rsid w:val="00DD1C97"/>
    <w:rsid w:val="00DD1CA5"/>
    <w:rsid w:val="00DD1D1A"/>
    <w:rsid w:val="00DD1D1D"/>
    <w:rsid w:val="00DD1D37"/>
    <w:rsid w:val="00DD1D3F"/>
    <w:rsid w:val="00DD1D6A"/>
    <w:rsid w:val="00DD1D73"/>
    <w:rsid w:val="00DD1D7F"/>
    <w:rsid w:val="00DD1D8E"/>
    <w:rsid w:val="00DD1DC6"/>
    <w:rsid w:val="00DD1E2E"/>
    <w:rsid w:val="00DD1E58"/>
    <w:rsid w:val="00DD1E81"/>
    <w:rsid w:val="00DD1EB7"/>
    <w:rsid w:val="00DD1ED6"/>
    <w:rsid w:val="00DD1EDC"/>
    <w:rsid w:val="00DD1EF6"/>
    <w:rsid w:val="00DD1F3F"/>
    <w:rsid w:val="00DD1F48"/>
    <w:rsid w:val="00DD1F4B"/>
    <w:rsid w:val="00DD1F6A"/>
    <w:rsid w:val="00DD1F91"/>
    <w:rsid w:val="00DD1FEF"/>
    <w:rsid w:val="00DD2064"/>
    <w:rsid w:val="00DD206E"/>
    <w:rsid w:val="00DD20EA"/>
    <w:rsid w:val="00DD2148"/>
    <w:rsid w:val="00DD2163"/>
    <w:rsid w:val="00DD21A0"/>
    <w:rsid w:val="00DD2293"/>
    <w:rsid w:val="00DD230E"/>
    <w:rsid w:val="00DD2314"/>
    <w:rsid w:val="00DD2346"/>
    <w:rsid w:val="00DD2354"/>
    <w:rsid w:val="00DD23F2"/>
    <w:rsid w:val="00DD2434"/>
    <w:rsid w:val="00DD2446"/>
    <w:rsid w:val="00DD249B"/>
    <w:rsid w:val="00DD24B0"/>
    <w:rsid w:val="00DD2509"/>
    <w:rsid w:val="00DD2542"/>
    <w:rsid w:val="00DD2598"/>
    <w:rsid w:val="00DD25B1"/>
    <w:rsid w:val="00DD25BB"/>
    <w:rsid w:val="00DD2659"/>
    <w:rsid w:val="00DD2660"/>
    <w:rsid w:val="00DD2669"/>
    <w:rsid w:val="00DD26A1"/>
    <w:rsid w:val="00DD26A8"/>
    <w:rsid w:val="00DD26A9"/>
    <w:rsid w:val="00DD26BA"/>
    <w:rsid w:val="00DD26E6"/>
    <w:rsid w:val="00DD2704"/>
    <w:rsid w:val="00DD2705"/>
    <w:rsid w:val="00DD2706"/>
    <w:rsid w:val="00DD2718"/>
    <w:rsid w:val="00DD2733"/>
    <w:rsid w:val="00DD2735"/>
    <w:rsid w:val="00DD275C"/>
    <w:rsid w:val="00DD278D"/>
    <w:rsid w:val="00DD2794"/>
    <w:rsid w:val="00DD27B2"/>
    <w:rsid w:val="00DD27D6"/>
    <w:rsid w:val="00DD2877"/>
    <w:rsid w:val="00DD2883"/>
    <w:rsid w:val="00DD289E"/>
    <w:rsid w:val="00DD28BD"/>
    <w:rsid w:val="00DD28C8"/>
    <w:rsid w:val="00DD28CF"/>
    <w:rsid w:val="00DD2918"/>
    <w:rsid w:val="00DD295E"/>
    <w:rsid w:val="00DD296A"/>
    <w:rsid w:val="00DD2986"/>
    <w:rsid w:val="00DD29A7"/>
    <w:rsid w:val="00DD29C8"/>
    <w:rsid w:val="00DD2A0D"/>
    <w:rsid w:val="00DD2A0E"/>
    <w:rsid w:val="00DD2A31"/>
    <w:rsid w:val="00DD2A35"/>
    <w:rsid w:val="00DD2A39"/>
    <w:rsid w:val="00DD2A48"/>
    <w:rsid w:val="00DD2A6F"/>
    <w:rsid w:val="00DD2A79"/>
    <w:rsid w:val="00DD2B0E"/>
    <w:rsid w:val="00DD2B12"/>
    <w:rsid w:val="00DD2B3C"/>
    <w:rsid w:val="00DD2B3D"/>
    <w:rsid w:val="00DD2B5C"/>
    <w:rsid w:val="00DD2B81"/>
    <w:rsid w:val="00DD2BE1"/>
    <w:rsid w:val="00DD2BEF"/>
    <w:rsid w:val="00DD2C1C"/>
    <w:rsid w:val="00DD2C70"/>
    <w:rsid w:val="00DD2C87"/>
    <w:rsid w:val="00DD2C89"/>
    <w:rsid w:val="00DD2CBB"/>
    <w:rsid w:val="00DD2D1E"/>
    <w:rsid w:val="00DD2D26"/>
    <w:rsid w:val="00DD2D29"/>
    <w:rsid w:val="00DD2D33"/>
    <w:rsid w:val="00DD2D80"/>
    <w:rsid w:val="00DD2D84"/>
    <w:rsid w:val="00DD2DAC"/>
    <w:rsid w:val="00DD2DAF"/>
    <w:rsid w:val="00DD2DE5"/>
    <w:rsid w:val="00DD2E1A"/>
    <w:rsid w:val="00DD2E50"/>
    <w:rsid w:val="00DD2EDA"/>
    <w:rsid w:val="00DD2F57"/>
    <w:rsid w:val="00DD2F76"/>
    <w:rsid w:val="00DD2F7B"/>
    <w:rsid w:val="00DD2FDD"/>
    <w:rsid w:val="00DD3039"/>
    <w:rsid w:val="00DD3096"/>
    <w:rsid w:val="00DD30B1"/>
    <w:rsid w:val="00DD30E0"/>
    <w:rsid w:val="00DD30F4"/>
    <w:rsid w:val="00DD311F"/>
    <w:rsid w:val="00DD3164"/>
    <w:rsid w:val="00DD3194"/>
    <w:rsid w:val="00DD3196"/>
    <w:rsid w:val="00DD31B0"/>
    <w:rsid w:val="00DD31B9"/>
    <w:rsid w:val="00DD31F4"/>
    <w:rsid w:val="00DD31FD"/>
    <w:rsid w:val="00DD3209"/>
    <w:rsid w:val="00DD321C"/>
    <w:rsid w:val="00DD322D"/>
    <w:rsid w:val="00DD325A"/>
    <w:rsid w:val="00DD325D"/>
    <w:rsid w:val="00DD32D5"/>
    <w:rsid w:val="00DD32D7"/>
    <w:rsid w:val="00DD32E5"/>
    <w:rsid w:val="00DD331F"/>
    <w:rsid w:val="00DD3332"/>
    <w:rsid w:val="00DD33AB"/>
    <w:rsid w:val="00DD33B3"/>
    <w:rsid w:val="00DD33B7"/>
    <w:rsid w:val="00DD33F4"/>
    <w:rsid w:val="00DD33F8"/>
    <w:rsid w:val="00DD33FA"/>
    <w:rsid w:val="00DD3421"/>
    <w:rsid w:val="00DD343A"/>
    <w:rsid w:val="00DD344F"/>
    <w:rsid w:val="00DD346F"/>
    <w:rsid w:val="00DD34BD"/>
    <w:rsid w:val="00DD353D"/>
    <w:rsid w:val="00DD355E"/>
    <w:rsid w:val="00DD355F"/>
    <w:rsid w:val="00DD35A7"/>
    <w:rsid w:val="00DD361B"/>
    <w:rsid w:val="00DD3640"/>
    <w:rsid w:val="00DD3662"/>
    <w:rsid w:val="00DD3668"/>
    <w:rsid w:val="00DD3688"/>
    <w:rsid w:val="00DD3695"/>
    <w:rsid w:val="00DD36E5"/>
    <w:rsid w:val="00DD36E6"/>
    <w:rsid w:val="00DD3775"/>
    <w:rsid w:val="00DD378D"/>
    <w:rsid w:val="00DD37BF"/>
    <w:rsid w:val="00DD3846"/>
    <w:rsid w:val="00DD38C2"/>
    <w:rsid w:val="00DD3947"/>
    <w:rsid w:val="00DD397D"/>
    <w:rsid w:val="00DD39A6"/>
    <w:rsid w:val="00DD39BF"/>
    <w:rsid w:val="00DD39E9"/>
    <w:rsid w:val="00DD3A55"/>
    <w:rsid w:val="00DD3A6B"/>
    <w:rsid w:val="00DD3A8D"/>
    <w:rsid w:val="00DD3ABB"/>
    <w:rsid w:val="00DD3ADB"/>
    <w:rsid w:val="00DD3B00"/>
    <w:rsid w:val="00DD3B08"/>
    <w:rsid w:val="00DD3B1D"/>
    <w:rsid w:val="00DD3B23"/>
    <w:rsid w:val="00DD3B3A"/>
    <w:rsid w:val="00DD3B62"/>
    <w:rsid w:val="00DD3BB4"/>
    <w:rsid w:val="00DD3BCB"/>
    <w:rsid w:val="00DD3BE5"/>
    <w:rsid w:val="00DD3C20"/>
    <w:rsid w:val="00DD3C22"/>
    <w:rsid w:val="00DD3D24"/>
    <w:rsid w:val="00DD3D31"/>
    <w:rsid w:val="00DD3D60"/>
    <w:rsid w:val="00DD3DA3"/>
    <w:rsid w:val="00DD3DAD"/>
    <w:rsid w:val="00DD3DB9"/>
    <w:rsid w:val="00DD3DFA"/>
    <w:rsid w:val="00DD3E1F"/>
    <w:rsid w:val="00DD3E5D"/>
    <w:rsid w:val="00DD3E6E"/>
    <w:rsid w:val="00DD3E7A"/>
    <w:rsid w:val="00DD3E91"/>
    <w:rsid w:val="00DD3ECE"/>
    <w:rsid w:val="00DD3EE3"/>
    <w:rsid w:val="00DD3EF1"/>
    <w:rsid w:val="00DD3F09"/>
    <w:rsid w:val="00DD3F1D"/>
    <w:rsid w:val="00DD3F2B"/>
    <w:rsid w:val="00DD3F69"/>
    <w:rsid w:val="00DD3FB7"/>
    <w:rsid w:val="00DD3FC8"/>
    <w:rsid w:val="00DD404E"/>
    <w:rsid w:val="00DD4089"/>
    <w:rsid w:val="00DD40A6"/>
    <w:rsid w:val="00DD40BA"/>
    <w:rsid w:val="00DD40E3"/>
    <w:rsid w:val="00DD4145"/>
    <w:rsid w:val="00DD414E"/>
    <w:rsid w:val="00DD414F"/>
    <w:rsid w:val="00DD4173"/>
    <w:rsid w:val="00DD418B"/>
    <w:rsid w:val="00DD41A2"/>
    <w:rsid w:val="00DD41E3"/>
    <w:rsid w:val="00DD41E4"/>
    <w:rsid w:val="00DD4245"/>
    <w:rsid w:val="00DD4250"/>
    <w:rsid w:val="00DD4262"/>
    <w:rsid w:val="00DD4282"/>
    <w:rsid w:val="00DD42FC"/>
    <w:rsid w:val="00DD4394"/>
    <w:rsid w:val="00DD43B0"/>
    <w:rsid w:val="00DD43BD"/>
    <w:rsid w:val="00DD445C"/>
    <w:rsid w:val="00DD446C"/>
    <w:rsid w:val="00DD44B2"/>
    <w:rsid w:val="00DD44EA"/>
    <w:rsid w:val="00DD4507"/>
    <w:rsid w:val="00DD45B3"/>
    <w:rsid w:val="00DD45D9"/>
    <w:rsid w:val="00DD45E1"/>
    <w:rsid w:val="00DD460A"/>
    <w:rsid w:val="00DD4718"/>
    <w:rsid w:val="00DD471B"/>
    <w:rsid w:val="00DD4720"/>
    <w:rsid w:val="00DD4741"/>
    <w:rsid w:val="00DD4761"/>
    <w:rsid w:val="00DD4775"/>
    <w:rsid w:val="00DD47B5"/>
    <w:rsid w:val="00DD47BC"/>
    <w:rsid w:val="00DD47C6"/>
    <w:rsid w:val="00DD47E1"/>
    <w:rsid w:val="00DD480D"/>
    <w:rsid w:val="00DD487A"/>
    <w:rsid w:val="00DD4882"/>
    <w:rsid w:val="00DD4888"/>
    <w:rsid w:val="00DD48D3"/>
    <w:rsid w:val="00DD48DA"/>
    <w:rsid w:val="00DD4904"/>
    <w:rsid w:val="00DD490B"/>
    <w:rsid w:val="00DD490F"/>
    <w:rsid w:val="00DD4922"/>
    <w:rsid w:val="00DD49DE"/>
    <w:rsid w:val="00DD49E3"/>
    <w:rsid w:val="00DD4A07"/>
    <w:rsid w:val="00DD4A33"/>
    <w:rsid w:val="00DD4A3F"/>
    <w:rsid w:val="00DD4A41"/>
    <w:rsid w:val="00DD4A47"/>
    <w:rsid w:val="00DD4A86"/>
    <w:rsid w:val="00DD4B1F"/>
    <w:rsid w:val="00DD4B61"/>
    <w:rsid w:val="00DD4B75"/>
    <w:rsid w:val="00DD4BAD"/>
    <w:rsid w:val="00DD4BE1"/>
    <w:rsid w:val="00DD4C45"/>
    <w:rsid w:val="00DD4C71"/>
    <w:rsid w:val="00DD4CD2"/>
    <w:rsid w:val="00DD4CE1"/>
    <w:rsid w:val="00DD4D09"/>
    <w:rsid w:val="00DD4D2C"/>
    <w:rsid w:val="00DD4D44"/>
    <w:rsid w:val="00DD4D57"/>
    <w:rsid w:val="00DD4D8D"/>
    <w:rsid w:val="00DD4DA1"/>
    <w:rsid w:val="00DD4DC4"/>
    <w:rsid w:val="00DD4DD7"/>
    <w:rsid w:val="00DD4DE1"/>
    <w:rsid w:val="00DD4E19"/>
    <w:rsid w:val="00DD4E1B"/>
    <w:rsid w:val="00DD4EB2"/>
    <w:rsid w:val="00DD4F53"/>
    <w:rsid w:val="00DD4F72"/>
    <w:rsid w:val="00DD4F91"/>
    <w:rsid w:val="00DD4F93"/>
    <w:rsid w:val="00DD4FEC"/>
    <w:rsid w:val="00DD4FF6"/>
    <w:rsid w:val="00DD5020"/>
    <w:rsid w:val="00DD5038"/>
    <w:rsid w:val="00DD506C"/>
    <w:rsid w:val="00DD507B"/>
    <w:rsid w:val="00DD5095"/>
    <w:rsid w:val="00DD5100"/>
    <w:rsid w:val="00DD5104"/>
    <w:rsid w:val="00DD5181"/>
    <w:rsid w:val="00DD5198"/>
    <w:rsid w:val="00DD51DA"/>
    <w:rsid w:val="00DD5252"/>
    <w:rsid w:val="00DD526E"/>
    <w:rsid w:val="00DD5288"/>
    <w:rsid w:val="00DD5292"/>
    <w:rsid w:val="00DD52D5"/>
    <w:rsid w:val="00DD52F7"/>
    <w:rsid w:val="00DD530B"/>
    <w:rsid w:val="00DD538B"/>
    <w:rsid w:val="00DD538E"/>
    <w:rsid w:val="00DD539E"/>
    <w:rsid w:val="00DD53C7"/>
    <w:rsid w:val="00DD53D5"/>
    <w:rsid w:val="00DD53D9"/>
    <w:rsid w:val="00DD53FE"/>
    <w:rsid w:val="00DD5415"/>
    <w:rsid w:val="00DD544C"/>
    <w:rsid w:val="00DD549A"/>
    <w:rsid w:val="00DD54B4"/>
    <w:rsid w:val="00DD5518"/>
    <w:rsid w:val="00DD5571"/>
    <w:rsid w:val="00DD557A"/>
    <w:rsid w:val="00DD558D"/>
    <w:rsid w:val="00DD55BE"/>
    <w:rsid w:val="00DD55CE"/>
    <w:rsid w:val="00DD5663"/>
    <w:rsid w:val="00DD56DA"/>
    <w:rsid w:val="00DD5703"/>
    <w:rsid w:val="00DD5753"/>
    <w:rsid w:val="00DD575D"/>
    <w:rsid w:val="00DD578E"/>
    <w:rsid w:val="00DD5794"/>
    <w:rsid w:val="00DD586A"/>
    <w:rsid w:val="00DD58D5"/>
    <w:rsid w:val="00DD58FB"/>
    <w:rsid w:val="00DD593B"/>
    <w:rsid w:val="00DD59B9"/>
    <w:rsid w:val="00DD5A06"/>
    <w:rsid w:val="00DD5A0F"/>
    <w:rsid w:val="00DD5ADA"/>
    <w:rsid w:val="00DD5AF6"/>
    <w:rsid w:val="00DD5B19"/>
    <w:rsid w:val="00DD5B21"/>
    <w:rsid w:val="00DD5B4B"/>
    <w:rsid w:val="00DD5B61"/>
    <w:rsid w:val="00DD5BA1"/>
    <w:rsid w:val="00DD5BA5"/>
    <w:rsid w:val="00DD5C26"/>
    <w:rsid w:val="00DD5CA1"/>
    <w:rsid w:val="00DD5CAB"/>
    <w:rsid w:val="00DD5CBD"/>
    <w:rsid w:val="00DD5CC4"/>
    <w:rsid w:val="00DD5CED"/>
    <w:rsid w:val="00DD5D40"/>
    <w:rsid w:val="00DD5D4E"/>
    <w:rsid w:val="00DD5D6C"/>
    <w:rsid w:val="00DD5D71"/>
    <w:rsid w:val="00DD5DC0"/>
    <w:rsid w:val="00DD5DD0"/>
    <w:rsid w:val="00DD5E2D"/>
    <w:rsid w:val="00DD5EA1"/>
    <w:rsid w:val="00DD5EDB"/>
    <w:rsid w:val="00DD5F3E"/>
    <w:rsid w:val="00DD5F54"/>
    <w:rsid w:val="00DD5F62"/>
    <w:rsid w:val="00DD5F90"/>
    <w:rsid w:val="00DD5FAD"/>
    <w:rsid w:val="00DD5FB3"/>
    <w:rsid w:val="00DD5FB6"/>
    <w:rsid w:val="00DD600E"/>
    <w:rsid w:val="00DD601C"/>
    <w:rsid w:val="00DD6041"/>
    <w:rsid w:val="00DD6073"/>
    <w:rsid w:val="00DD609A"/>
    <w:rsid w:val="00DD60B3"/>
    <w:rsid w:val="00DD60C0"/>
    <w:rsid w:val="00DD611A"/>
    <w:rsid w:val="00DD611F"/>
    <w:rsid w:val="00DD6132"/>
    <w:rsid w:val="00DD6136"/>
    <w:rsid w:val="00DD616E"/>
    <w:rsid w:val="00DD6190"/>
    <w:rsid w:val="00DD61AC"/>
    <w:rsid w:val="00DD61AE"/>
    <w:rsid w:val="00DD61C8"/>
    <w:rsid w:val="00DD6210"/>
    <w:rsid w:val="00DD6232"/>
    <w:rsid w:val="00DD6256"/>
    <w:rsid w:val="00DD626C"/>
    <w:rsid w:val="00DD6272"/>
    <w:rsid w:val="00DD62C1"/>
    <w:rsid w:val="00DD62CD"/>
    <w:rsid w:val="00DD62F5"/>
    <w:rsid w:val="00DD62FB"/>
    <w:rsid w:val="00DD6344"/>
    <w:rsid w:val="00DD6366"/>
    <w:rsid w:val="00DD6396"/>
    <w:rsid w:val="00DD639D"/>
    <w:rsid w:val="00DD6408"/>
    <w:rsid w:val="00DD6411"/>
    <w:rsid w:val="00DD6454"/>
    <w:rsid w:val="00DD6470"/>
    <w:rsid w:val="00DD64B5"/>
    <w:rsid w:val="00DD64F6"/>
    <w:rsid w:val="00DD6533"/>
    <w:rsid w:val="00DD6586"/>
    <w:rsid w:val="00DD65C2"/>
    <w:rsid w:val="00DD65E6"/>
    <w:rsid w:val="00DD65E7"/>
    <w:rsid w:val="00DD661E"/>
    <w:rsid w:val="00DD6680"/>
    <w:rsid w:val="00DD6759"/>
    <w:rsid w:val="00DD6763"/>
    <w:rsid w:val="00DD67A0"/>
    <w:rsid w:val="00DD67AF"/>
    <w:rsid w:val="00DD67F4"/>
    <w:rsid w:val="00DD6846"/>
    <w:rsid w:val="00DD687D"/>
    <w:rsid w:val="00DD6886"/>
    <w:rsid w:val="00DD68B3"/>
    <w:rsid w:val="00DD692B"/>
    <w:rsid w:val="00DD696D"/>
    <w:rsid w:val="00DD6985"/>
    <w:rsid w:val="00DD69A3"/>
    <w:rsid w:val="00DD69C1"/>
    <w:rsid w:val="00DD6A14"/>
    <w:rsid w:val="00DD6A8D"/>
    <w:rsid w:val="00DD6B07"/>
    <w:rsid w:val="00DD6B49"/>
    <w:rsid w:val="00DD6B7A"/>
    <w:rsid w:val="00DD6B87"/>
    <w:rsid w:val="00DD6B8E"/>
    <w:rsid w:val="00DD6B9D"/>
    <w:rsid w:val="00DD6BF4"/>
    <w:rsid w:val="00DD6BFD"/>
    <w:rsid w:val="00DD6C7A"/>
    <w:rsid w:val="00DD6C81"/>
    <w:rsid w:val="00DD6C91"/>
    <w:rsid w:val="00DD6CA7"/>
    <w:rsid w:val="00DD6CFF"/>
    <w:rsid w:val="00DD6D30"/>
    <w:rsid w:val="00DD6D60"/>
    <w:rsid w:val="00DD6DF2"/>
    <w:rsid w:val="00DD6E19"/>
    <w:rsid w:val="00DD6E1A"/>
    <w:rsid w:val="00DD6E1C"/>
    <w:rsid w:val="00DD6E61"/>
    <w:rsid w:val="00DD6E73"/>
    <w:rsid w:val="00DD6E97"/>
    <w:rsid w:val="00DD6E9F"/>
    <w:rsid w:val="00DD6EE6"/>
    <w:rsid w:val="00DD6F39"/>
    <w:rsid w:val="00DD6F4B"/>
    <w:rsid w:val="00DD6F88"/>
    <w:rsid w:val="00DD6F90"/>
    <w:rsid w:val="00DD6FA9"/>
    <w:rsid w:val="00DD6FC5"/>
    <w:rsid w:val="00DD701B"/>
    <w:rsid w:val="00DD703E"/>
    <w:rsid w:val="00DD7050"/>
    <w:rsid w:val="00DD7097"/>
    <w:rsid w:val="00DD70AA"/>
    <w:rsid w:val="00DD70B9"/>
    <w:rsid w:val="00DD70BE"/>
    <w:rsid w:val="00DD70CE"/>
    <w:rsid w:val="00DD70F1"/>
    <w:rsid w:val="00DD70F2"/>
    <w:rsid w:val="00DD70FB"/>
    <w:rsid w:val="00DD713B"/>
    <w:rsid w:val="00DD715A"/>
    <w:rsid w:val="00DD71B6"/>
    <w:rsid w:val="00DD71F4"/>
    <w:rsid w:val="00DD7220"/>
    <w:rsid w:val="00DD7262"/>
    <w:rsid w:val="00DD7278"/>
    <w:rsid w:val="00DD7280"/>
    <w:rsid w:val="00DD72A4"/>
    <w:rsid w:val="00DD7311"/>
    <w:rsid w:val="00DD7379"/>
    <w:rsid w:val="00DD73AF"/>
    <w:rsid w:val="00DD73B3"/>
    <w:rsid w:val="00DD73FC"/>
    <w:rsid w:val="00DD73FE"/>
    <w:rsid w:val="00DD7470"/>
    <w:rsid w:val="00DD7480"/>
    <w:rsid w:val="00DD748E"/>
    <w:rsid w:val="00DD7492"/>
    <w:rsid w:val="00DD751F"/>
    <w:rsid w:val="00DD758C"/>
    <w:rsid w:val="00DD7599"/>
    <w:rsid w:val="00DD759F"/>
    <w:rsid w:val="00DD75A9"/>
    <w:rsid w:val="00DD75D1"/>
    <w:rsid w:val="00DD75F1"/>
    <w:rsid w:val="00DD766E"/>
    <w:rsid w:val="00DD7682"/>
    <w:rsid w:val="00DD76C8"/>
    <w:rsid w:val="00DD770A"/>
    <w:rsid w:val="00DD772A"/>
    <w:rsid w:val="00DD7745"/>
    <w:rsid w:val="00DD7771"/>
    <w:rsid w:val="00DD77A8"/>
    <w:rsid w:val="00DD77DA"/>
    <w:rsid w:val="00DD77E7"/>
    <w:rsid w:val="00DD7807"/>
    <w:rsid w:val="00DD780B"/>
    <w:rsid w:val="00DD7882"/>
    <w:rsid w:val="00DD78AA"/>
    <w:rsid w:val="00DD78B2"/>
    <w:rsid w:val="00DD78C5"/>
    <w:rsid w:val="00DD78D3"/>
    <w:rsid w:val="00DD790C"/>
    <w:rsid w:val="00DD7916"/>
    <w:rsid w:val="00DD7932"/>
    <w:rsid w:val="00DD7A02"/>
    <w:rsid w:val="00DD7A1C"/>
    <w:rsid w:val="00DD7A51"/>
    <w:rsid w:val="00DD7A77"/>
    <w:rsid w:val="00DD7A97"/>
    <w:rsid w:val="00DD7AC9"/>
    <w:rsid w:val="00DD7ACB"/>
    <w:rsid w:val="00DD7ADE"/>
    <w:rsid w:val="00DD7B31"/>
    <w:rsid w:val="00DD7B87"/>
    <w:rsid w:val="00DD7B98"/>
    <w:rsid w:val="00DD7B9F"/>
    <w:rsid w:val="00DD7BC5"/>
    <w:rsid w:val="00DD7BD4"/>
    <w:rsid w:val="00DD7BE4"/>
    <w:rsid w:val="00DD7C20"/>
    <w:rsid w:val="00DD7C28"/>
    <w:rsid w:val="00DD7D0D"/>
    <w:rsid w:val="00DD7D1D"/>
    <w:rsid w:val="00DD7DA4"/>
    <w:rsid w:val="00DD7DB9"/>
    <w:rsid w:val="00DD7DED"/>
    <w:rsid w:val="00DD7E05"/>
    <w:rsid w:val="00DD7E09"/>
    <w:rsid w:val="00DD7E12"/>
    <w:rsid w:val="00DD7E65"/>
    <w:rsid w:val="00DD7E88"/>
    <w:rsid w:val="00DD7EA9"/>
    <w:rsid w:val="00DD7ED4"/>
    <w:rsid w:val="00DD7EF6"/>
    <w:rsid w:val="00DD7F21"/>
    <w:rsid w:val="00DD7F25"/>
    <w:rsid w:val="00DD7F28"/>
    <w:rsid w:val="00DD7F5D"/>
    <w:rsid w:val="00DD7F64"/>
    <w:rsid w:val="00DD7F73"/>
    <w:rsid w:val="00DD7F8F"/>
    <w:rsid w:val="00DD7F93"/>
    <w:rsid w:val="00DD7FF8"/>
    <w:rsid w:val="00DD7FFB"/>
    <w:rsid w:val="00DD9843"/>
    <w:rsid w:val="00DE0014"/>
    <w:rsid w:val="00DE0067"/>
    <w:rsid w:val="00DE00D4"/>
    <w:rsid w:val="00DE00FE"/>
    <w:rsid w:val="00DE0134"/>
    <w:rsid w:val="00DE01A1"/>
    <w:rsid w:val="00DE01AC"/>
    <w:rsid w:val="00DE0209"/>
    <w:rsid w:val="00DE022B"/>
    <w:rsid w:val="00DE023A"/>
    <w:rsid w:val="00DE0269"/>
    <w:rsid w:val="00DE0299"/>
    <w:rsid w:val="00DE02F2"/>
    <w:rsid w:val="00DE02FA"/>
    <w:rsid w:val="00DE033C"/>
    <w:rsid w:val="00DE0356"/>
    <w:rsid w:val="00DE037B"/>
    <w:rsid w:val="00DE03F8"/>
    <w:rsid w:val="00DE0441"/>
    <w:rsid w:val="00DE044E"/>
    <w:rsid w:val="00DE045F"/>
    <w:rsid w:val="00DE0468"/>
    <w:rsid w:val="00DE04A4"/>
    <w:rsid w:val="00DE04B3"/>
    <w:rsid w:val="00DE0531"/>
    <w:rsid w:val="00DE053D"/>
    <w:rsid w:val="00DE054C"/>
    <w:rsid w:val="00DE056B"/>
    <w:rsid w:val="00DE05C4"/>
    <w:rsid w:val="00DE0624"/>
    <w:rsid w:val="00DE069B"/>
    <w:rsid w:val="00DE06B6"/>
    <w:rsid w:val="00DE074F"/>
    <w:rsid w:val="00DE07C9"/>
    <w:rsid w:val="00DE0818"/>
    <w:rsid w:val="00DE082C"/>
    <w:rsid w:val="00DE08A9"/>
    <w:rsid w:val="00DE08C6"/>
    <w:rsid w:val="00DE08F2"/>
    <w:rsid w:val="00DE0930"/>
    <w:rsid w:val="00DE0953"/>
    <w:rsid w:val="00DE0999"/>
    <w:rsid w:val="00DE09DA"/>
    <w:rsid w:val="00DE09FD"/>
    <w:rsid w:val="00DE0A24"/>
    <w:rsid w:val="00DE0A5C"/>
    <w:rsid w:val="00DE0A74"/>
    <w:rsid w:val="00DE0ACE"/>
    <w:rsid w:val="00DE0AE7"/>
    <w:rsid w:val="00DE0B1C"/>
    <w:rsid w:val="00DE0B27"/>
    <w:rsid w:val="00DE0B28"/>
    <w:rsid w:val="00DE0B6A"/>
    <w:rsid w:val="00DE0B70"/>
    <w:rsid w:val="00DE0B98"/>
    <w:rsid w:val="00DE0BDF"/>
    <w:rsid w:val="00DE0BE8"/>
    <w:rsid w:val="00DE0BF5"/>
    <w:rsid w:val="00DE0C4F"/>
    <w:rsid w:val="00DE0C7A"/>
    <w:rsid w:val="00DE0CBD"/>
    <w:rsid w:val="00DE0CF0"/>
    <w:rsid w:val="00DE0D3B"/>
    <w:rsid w:val="00DE0D94"/>
    <w:rsid w:val="00DE0DE4"/>
    <w:rsid w:val="00DE0E2A"/>
    <w:rsid w:val="00DE0E97"/>
    <w:rsid w:val="00DE0EC0"/>
    <w:rsid w:val="00DE0F1D"/>
    <w:rsid w:val="00DE0F4F"/>
    <w:rsid w:val="00DE1028"/>
    <w:rsid w:val="00DE1041"/>
    <w:rsid w:val="00DE10E0"/>
    <w:rsid w:val="00DE1107"/>
    <w:rsid w:val="00DE1145"/>
    <w:rsid w:val="00DE1152"/>
    <w:rsid w:val="00DE1194"/>
    <w:rsid w:val="00DE11B9"/>
    <w:rsid w:val="00DE11C8"/>
    <w:rsid w:val="00DE11E1"/>
    <w:rsid w:val="00DE11FE"/>
    <w:rsid w:val="00DE1219"/>
    <w:rsid w:val="00DE1224"/>
    <w:rsid w:val="00DE1264"/>
    <w:rsid w:val="00DE1287"/>
    <w:rsid w:val="00DE129C"/>
    <w:rsid w:val="00DE12B7"/>
    <w:rsid w:val="00DE12C9"/>
    <w:rsid w:val="00DE12D4"/>
    <w:rsid w:val="00DE130F"/>
    <w:rsid w:val="00DE132B"/>
    <w:rsid w:val="00DE1347"/>
    <w:rsid w:val="00DE1353"/>
    <w:rsid w:val="00DE13B5"/>
    <w:rsid w:val="00DE13DA"/>
    <w:rsid w:val="00DE1417"/>
    <w:rsid w:val="00DE1425"/>
    <w:rsid w:val="00DE14DA"/>
    <w:rsid w:val="00DE14EE"/>
    <w:rsid w:val="00DE1517"/>
    <w:rsid w:val="00DE1547"/>
    <w:rsid w:val="00DE154E"/>
    <w:rsid w:val="00DE15B1"/>
    <w:rsid w:val="00DE15FB"/>
    <w:rsid w:val="00DE1620"/>
    <w:rsid w:val="00DE1645"/>
    <w:rsid w:val="00DE164B"/>
    <w:rsid w:val="00DE165F"/>
    <w:rsid w:val="00DE1666"/>
    <w:rsid w:val="00DE16A2"/>
    <w:rsid w:val="00DE16A3"/>
    <w:rsid w:val="00DE173D"/>
    <w:rsid w:val="00DE1761"/>
    <w:rsid w:val="00DE1785"/>
    <w:rsid w:val="00DE1787"/>
    <w:rsid w:val="00DE17A7"/>
    <w:rsid w:val="00DE17C6"/>
    <w:rsid w:val="00DE17E3"/>
    <w:rsid w:val="00DE17EF"/>
    <w:rsid w:val="00DE184A"/>
    <w:rsid w:val="00DE1871"/>
    <w:rsid w:val="00DE1888"/>
    <w:rsid w:val="00DE18D8"/>
    <w:rsid w:val="00DE18EF"/>
    <w:rsid w:val="00DE1917"/>
    <w:rsid w:val="00DE1941"/>
    <w:rsid w:val="00DE19AE"/>
    <w:rsid w:val="00DE19DF"/>
    <w:rsid w:val="00DE1A10"/>
    <w:rsid w:val="00DE1A54"/>
    <w:rsid w:val="00DE1A55"/>
    <w:rsid w:val="00DE1A76"/>
    <w:rsid w:val="00DE1A78"/>
    <w:rsid w:val="00DE1ABC"/>
    <w:rsid w:val="00DE1AC2"/>
    <w:rsid w:val="00DE1AF3"/>
    <w:rsid w:val="00DE1AFF"/>
    <w:rsid w:val="00DE1B35"/>
    <w:rsid w:val="00DE1B4B"/>
    <w:rsid w:val="00DE1B5D"/>
    <w:rsid w:val="00DE1B73"/>
    <w:rsid w:val="00DE1BD0"/>
    <w:rsid w:val="00DE1BD5"/>
    <w:rsid w:val="00DE1C81"/>
    <w:rsid w:val="00DE1C8A"/>
    <w:rsid w:val="00DE1CF5"/>
    <w:rsid w:val="00DE1D1B"/>
    <w:rsid w:val="00DE1D39"/>
    <w:rsid w:val="00DE1D57"/>
    <w:rsid w:val="00DE1D8B"/>
    <w:rsid w:val="00DE1DD4"/>
    <w:rsid w:val="00DE1DE6"/>
    <w:rsid w:val="00DE1E04"/>
    <w:rsid w:val="00DE1E17"/>
    <w:rsid w:val="00DE1E22"/>
    <w:rsid w:val="00DE1E4F"/>
    <w:rsid w:val="00DE1E78"/>
    <w:rsid w:val="00DE1F58"/>
    <w:rsid w:val="00DE1F6D"/>
    <w:rsid w:val="00DE1F8B"/>
    <w:rsid w:val="00DE1FFB"/>
    <w:rsid w:val="00DE20BD"/>
    <w:rsid w:val="00DE20C5"/>
    <w:rsid w:val="00DE20EB"/>
    <w:rsid w:val="00DE2142"/>
    <w:rsid w:val="00DE215F"/>
    <w:rsid w:val="00DE21DF"/>
    <w:rsid w:val="00DE220A"/>
    <w:rsid w:val="00DE2278"/>
    <w:rsid w:val="00DE22C5"/>
    <w:rsid w:val="00DE22D5"/>
    <w:rsid w:val="00DE22DF"/>
    <w:rsid w:val="00DE2320"/>
    <w:rsid w:val="00DE2327"/>
    <w:rsid w:val="00DE235B"/>
    <w:rsid w:val="00DE2389"/>
    <w:rsid w:val="00DE23BD"/>
    <w:rsid w:val="00DE240A"/>
    <w:rsid w:val="00DE2422"/>
    <w:rsid w:val="00DE24C0"/>
    <w:rsid w:val="00DE24C6"/>
    <w:rsid w:val="00DE254D"/>
    <w:rsid w:val="00DE2557"/>
    <w:rsid w:val="00DE25E5"/>
    <w:rsid w:val="00DE2609"/>
    <w:rsid w:val="00DE262D"/>
    <w:rsid w:val="00DE267D"/>
    <w:rsid w:val="00DE26B7"/>
    <w:rsid w:val="00DE26B9"/>
    <w:rsid w:val="00DE26D3"/>
    <w:rsid w:val="00DE26FC"/>
    <w:rsid w:val="00DE2717"/>
    <w:rsid w:val="00DE27AC"/>
    <w:rsid w:val="00DE27C5"/>
    <w:rsid w:val="00DE2827"/>
    <w:rsid w:val="00DE2834"/>
    <w:rsid w:val="00DE285B"/>
    <w:rsid w:val="00DE2871"/>
    <w:rsid w:val="00DE2874"/>
    <w:rsid w:val="00DE2887"/>
    <w:rsid w:val="00DE28BC"/>
    <w:rsid w:val="00DE2A1D"/>
    <w:rsid w:val="00DE2A22"/>
    <w:rsid w:val="00DE2A28"/>
    <w:rsid w:val="00DE2A5D"/>
    <w:rsid w:val="00DE2A6A"/>
    <w:rsid w:val="00DE2AAA"/>
    <w:rsid w:val="00DE2ABE"/>
    <w:rsid w:val="00DE2ACE"/>
    <w:rsid w:val="00DE2AF1"/>
    <w:rsid w:val="00DE2AFB"/>
    <w:rsid w:val="00DE2B53"/>
    <w:rsid w:val="00DE2B65"/>
    <w:rsid w:val="00DE2B87"/>
    <w:rsid w:val="00DE2B9A"/>
    <w:rsid w:val="00DE2C0F"/>
    <w:rsid w:val="00DE2C45"/>
    <w:rsid w:val="00DE2C67"/>
    <w:rsid w:val="00DE2CD7"/>
    <w:rsid w:val="00DE2D22"/>
    <w:rsid w:val="00DE2D36"/>
    <w:rsid w:val="00DE2D72"/>
    <w:rsid w:val="00DE2D9A"/>
    <w:rsid w:val="00DE2E2A"/>
    <w:rsid w:val="00DE2E57"/>
    <w:rsid w:val="00DE2E62"/>
    <w:rsid w:val="00DE2E65"/>
    <w:rsid w:val="00DE2EC9"/>
    <w:rsid w:val="00DE2F06"/>
    <w:rsid w:val="00DE2F10"/>
    <w:rsid w:val="00DE2F2F"/>
    <w:rsid w:val="00DE2F5B"/>
    <w:rsid w:val="00DE2FE3"/>
    <w:rsid w:val="00DE2FFD"/>
    <w:rsid w:val="00DE302E"/>
    <w:rsid w:val="00DE3057"/>
    <w:rsid w:val="00DE30A3"/>
    <w:rsid w:val="00DE30C4"/>
    <w:rsid w:val="00DE3103"/>
    <w:rsid w:val="00DE3115"/>
    <w:rsid w:val="00DE3120"/>
    <w:rsid w:val="00DE31AB"/>
    <w:rsid w:val="00DE31E0"/>
    <w:rsid w:val="00DE3231"/>
    <w:rsid w:val="00DE3232"/>
    <w:rsid w:val="00DE3240"/>
    <w:rsid w:val="00DE325F"/>
    <w:rsid w:val="00DE3265"/>
    <w:rsid w:val="00DE32B2"/>
    <w:rsid w:val="00DE3306"/>
    <w:rsid w:val="00DE3318"/>
    <w:rsid w:val="00DE3335"/>
    <w:rsid w:val="00DE336B"/>
    <w:rsid w:val="00DE3376"/>
    <w:rsid w:val="00DE337F"/>
    <w:rsid w:val="00DE3396"/>
    <w:rsid w:val="00DE33A5"/>
    <w:rsid w:val="00DE33A6"/>
    <w:rsid w:val="00DE33EF"/>
    <w:rsid w:val="00DE3436"/>
    <w:rsid w:val="00DE3438"/>
    <w:rsid w:val="00DE3441"/>
    <w:rsid w:val="00DE3457"/>
    <w:rsid w:val="00DE3479"/>
    <w:rsid w:val="00DE3483"/>
    <w:rsid w:val="00DE34AE"/>
    <w:rsid w:val="00DE34F9"/>
    <w:rsid w:val="00DE3570"/>
    <w:rsid w:val="00DE3598"/>
    <w:rsid w:val="00DE35C6"/>
    <w:rsid w:val="00DE35E7"/>
    <w:rsid w:val="00DE35F1"/>
    <w:rsid w:val="00DE3668"/>
    <w:rsid w:val="00DE366F"/>
    <w:rsid w:val="00DE369B"/>
    <w:rsid w:val="00DE369E"/>
    <w:rsid w:val="00DE36A2"/>
    <w:rsid w:val="00DE36A7"/>
    <w:rsid w:val="00DE36B7"/>
    <w:rsid w:val="00DE36E5"/>
    <w:rsid w:val="00DE3716"/>
    <w:rsid w:val="00DE372C"/>
    <w:rsid w:val="00DE3827"/>
    <w:rsid w:val="00DE3835"/>
    <w:rsid w:val="00DE3853"/>
    <w:rsid w:val="00DE3942"/>
    <w:rsid w:val="00DE3983"/>
    <w:rsid w:val="00DE398F"/>
    <w:rsid w:val="00DE3995"/>
    <w:rsid w:val="00DE39A4"/>
    <w:rsid w:val="00DE39A6"/>
    <w:rsid w:val="00DE3A6A"/>
    <w:rsid w:val="00DE3A88"/>
    <w:rsid w:val="00DE3AAD"/>
    <w:rsid w:val="00DE3AD9"/>
    <w:rsid w:val="00DE3AED"/>
    <w:rsid w:val="00DE3B23"/>
    <w:rsid w:val="00DE3B8B"/>
    <w:rsid w:val="00DE3BD9"/>
    <w:rsid w:val="00DE3C2E"/>
    <w:rsid w:val="00DE3CF0"/>
    <w:rsid w:val="00DE3D62"/>
    <w:rsid w:val="00DE3D6B"/>
    <w:rsid w:val="00DE3D91"/>
    <w:rsid w:val="00DE3DC0"/>
    <w:rsid w:val="00DE3DDE"/>
    <w:rsid w:val="00DE3DFB"/>
    <w:rsid w:val="00DE3E13"/>
    <w:rsid w:val="00DE3E41"/>
    <w:rsid w:val="00DE3E81"/>
    <w:rsid w:val="00DE3EBE"/>
    <w:rsid w:val="00DE3EC8"/>
    <w:rsid w:val="00DE3EE0"/>
    <w:rsid w:val="00DE3F2C"/>
    <w:rsid w:val="00DE3F59"/>
    <w:rsid w:val="00DE3F67"/>
    <w:rsid w:val="00DE3F82"/>
    <w:rsid w:val="00DE3FA3"/>
    <w:rsid w:val="00DE3FAA"/>
    <w:rsid w:val="00DE3FBC"/>
    <w:rsid w:val="00DE403D"/>
    <w:rsid w:val="00DE405C"/>
    <w:rsid w:val="00DE4091"/>
    <w:rsid w:val="00DE40CB"/>
    <w:rsid w:val="00DE40D9"/>
    <w:rsid w:val="00DE40F0"/>
    <w:rsid w:val="00DE40FB"/>
    <w:rsid w:val="00DE4115"/>
    <w:rsid w:val="00DE4124"/>
    <w:rsid w:val="00DE4134"/>
    <w:rsid w:val="00DE4140"/>
    <w:rsid w:val="00DE4142"/>
    <w:rsid w:val="00DE4167"/>
    <w:rsid w:val="00DE4183"/>
    <w:rsid w:val="00DE41EE"/>
    <w:rsid w:val="00DE4210"/>
    <w:rsid w:val="00DE4262"/>
    <w:rsid w:val="00DE4272"/>
    <w:rsid w:val="00DE42D0"/>
    <w:rsid w:val="00DE42FB"/>
    <w:rsid w:val="00DE431C"/>
    <w:rsid w:val="00DE4328"/>
    <w:rsid w:val="00DE4350"/>
    <w:rsid w:val="00DE4372"/>
    <w:rsid w:val="00DE43D4"/>
    <w:rsid w:val="00DE43FB"/>
    <w:rsid w:val="00DE443D"/>
    <w:rsid w:val="00DE44A1"/>
    <w:rsid w:val="00DE44B6"/>
    <w:rsid w:val="00DE450C"/>
    <w:rsid w:val="00DE4532"/>
    <w:rsid w:val="00DE454E"/>
    <w:rsid w:val="00DE4552"/>
    <w:rsid w:val="00DE4566"/>
    <w:rsid w:val="00DE45C7"/>
    <w:rsid w:val="00DE45F4"/>
    <w:rsid w:val="00DE463A"/>
    <w:rsid w:val="00DE4655"/>
    <w:rsid w:val="00DE4662"/>
    <w:rsid w:val="00DE4679"/>
    <w:rsid w:val="00DE467E"/>
    <w:rsid w:val="00DE46C6"/>
    <w:rsid w:val="00DE46D1"/>
    <w:rsid w:val="00DE46E5"/>
    <w:rsid w:val="00DE4732"/>
    <w:rsid w:val="00DE4737"/>
    <w:rsid w:val="00DE4776"/>
    <w:rsid w:val="00DE4779"/>
    <w:rsid w:val="00DE478E"/>
    <w:rsid w:val="00DE47C0"/>
    <w:rsid w:val="00DE47C3"/>
    <w:rsid w:val="00DE47DC"/>
    <w:rsid w:val="00DE47E0"/>
    <w:rsid w:val="00DE4812"/>
    <w:rsid w:val="00DE4840"/>
    <w:rsid w:val="00DE4864"/>
    <w:rsid w:val="00DE4870"/>
    <w:rsid w:val="00DE4885"/>
    <w:rsid w:val="00DE48DC"/>
    <w:rsid w:val="00DE490D"/>
    <w:rsid w:val="00DE492A"/>
    <w:rsid w:val="00DE4948"/>
    <w:rsid w:val="00DE4961"/>
    <w:rsid w:val="00DE4994"/>
    <w:rsid w:val="00DE49DC"/>
    <w:rsid w:val="00DE49E1"/>
    <w:rsid w:val="00DE4A09"/>
    <w:rsid w:val="00DE4A12"/>
    <w:rsid w:val="00DE4A1D"/>
    <w:rsid w:val="00DE4A55"/>
    <w:rsid w:val="00DE4A63"/>
    <w:rsid w:val="00DE4A97"/>
    <w:rsid w:val="00DE4A9C"/>
    <w:rsid w:val="00DE4AAE"/>
    <w:rsid w:val="00DE4AB6"/>
    <w:rsid w:val="00DE4AC2"/>
    <w:rsid w:val="00DE4AC5"/>
    <w:rsid w:val="00DE4ADC"/>
    <w:rsid w:val="00DE4BE9"/>
    <w:rsid w:val="00DE4C08"/>
    <w:rsid w:val="00DE4C10"/>
    <w:rsid w:val="00DE4C16"/>
    <w:rsid w:val="00DE4C43"/>
    <w:rsid w:val="00DE4C55"/>
    <w:rsid w:val="00DE4C68"/>
    <w:rsid w:val="00DE4C78"/>
    <w:rsid w:val="00DE4C82"/>
    <w:rsid w:val="00DE4CDF"/>
    <w:rsid w:val="00DE4D09"/>
    <w:rsid w:val="00DE4D27"/>
    <w:rsid w:val="00DE4D49"/>
    <w:rsid w:val="00DE4D84"/>
    <w:rsid w:val="00DE4D8D"/>
    <w:rsid w:val="00DE4DB4"/>
    <w:rsid w:val="00DE4DCD"/>
    <w:rsid w:val="00DE4DE6"/>
    <w:rsid w:val="00DE4DEB"/>
    <w:rsid w:val="00DE4E1B"/>
    <w:rsid w:val="00DE4E25"/>
    <w:rsid w:val="00DE4E5A"/>
    <w:rsid w:val="00DE4E5B"/>
    <w:rsid w:val="00DE4E89"/>
    <w:rsid w:val="00DE4EE4"/>
    <w:rsid w:val="00DE4EEA"/>
    <w:rsid w:val="00DE4F53"/>
    <w:rsid w:val="00DE4F90"/>
    <w:rsid w:val="00DE4F92"/>
    <w:rsid w:val="00DE4FEF"/>
    <w:rsid w:val="00DE502C"/>
    <w:rsid w:val="00DE5057"/>
    <w:rsid w:val="00DE5094"/>
    <w:rsid w:val="00DE50C5"/>
    <w:rsid w:val="00DE50DD"/>
    <w:rsid w:val="00DE5195"/>
    <w:rsid w:val="00DE5249"/>
    <w:rsid w:val="00DE527D"/>
    <w:rsid w:val="00DE527E"/>
    <w:rsid w:val="00DE5289"/>
    <w:rsid w:val="00DE52C5"/>
    <w:rsid w:val="00DE52E0"/>
    <w:rsid w:val="00DE5316"/>
    <w:rsid w:val="00DE5380"/>
    <w:rsid w:val="00DE53B6"/>
    <w:rsid w:val="00DE53C3"/>
    <w:rsid w:val="00DE5445"/>
    <w:rsid w:val="00DE5458"/>
    <w:rsid w:val="00DE5474"/>
    <w:rsid w:val="00DE54B0"/>
    <w:rsid w:val="00DE54F3"/>
    <w:rsid w:val="00DE554C"/>
    <w:rsid w:val="00DE5562"/>
    <w:rsid w:val="00DE5565"/>
    <w:rsid w:val="00DE5579"/>
    <w:rsid w:val="00DE55BD"/>
    <w:rsid w:val="00DE55CE"/>
    <w:rsid w:val="00DE560E"/>
    <w:rsid w:val="00DE565B"/>
    <w:rsid w:val="00DE5687"/>
    <w:rsid w:val="00DE569E"/>
    <w:rsid w:val="00DE56A3"/>
    <w:rsid w:val="00DE56F9"/>
    <w:rsid w:val="00DE57C3"/>
    <w:rsid w:val="00DE57CD"/>
    <w:rsid w:val="00DE5855"/>
    <w:rsid w:val="00DE5871"/>
    <w:rsid w:val="00DE58E6"/>
    <w:rsid w:val="00DE58EF"/>
    <w:rsid w:val="00DE5913"/>
    <w:rsid w:val="00DE592D"/>
    <w:rsid w:val="00DE5935"/>
    <w:rsid w:val="00DE5945"/>
    <w:rsid w:val="00DE594A"/>
    <w:rsid w:val="00DE599E"/>
    <w:rsid w:val="00DE59A9"/>
    <w:rsid w:val="00DE5B24"/>
    <w:rsid w:val="00DE5B3E"/>
    <w:rsid w:val="00DE5B9D"/>
    <w:rsid w:val="00DE5BA6"/>
    <w:rsid w:val="00DE5BA8"/>
    <w:rsid w:val="00DE5BCD"/>
    <w:rsid w:val="00DE5BD4"/>
    <w:rsid w:val="00DE5C5F"/>
    <w:rsid w:val="00DE5C66"/>
    <w:rsid w:val="00DE5C71"/>
    <w:rsid w:val="00DE5C87"/>
    <w:rsid w:val="00DE5CB4"/>
    <w:rsid w:val="00DE5CC8"/>
    <w:rsid w:val="00DE5CE1"/>
    <w:rsid w:val="00DE5CF3"/>
    <w:rsid w:val="00DE5D1D"/>
    <w:rsid w:val="00DE5D50"/>
    <w:rsid w:val="00DE5D7E"/>
    <w:rsid w:val="00DE5D99"/>
    <w:rsid w:val="00DE5DBD"/>
    <w:rsid w:val="00DE5DFA"/>
    <w:rsid w:val="00DE5E15"/>
    <w:rsid w:val="00DE5E26"/>
    <w:rsid w:val="00DE5E52"/>
    <w:rsid w:val="00DE5E5E"/>
    <w:rsid w:val="00DE5E96"/>
    <w:rsid w:val="00DE5EA2"/>
    <w:rsid w:val="00DE5F23"/>
    <w:rsid w:val="00DE5F92"/>
    <w:rsid w:val="00DE5FBD"/>
    <w:rsid w:val="00DE5FD0"/>
    <w:rsid w:val="00DE6005"/>
    <w:rsid w:val="00DE600A"/>
    <w:rsid w:val="00DE6022"/>
    <w:rsid w:val="00DE602A"/>
    <w:rsid w:val="00DE605A"/>
    <w:rsid w:val="00DE607B"/>
    <w:rsid w:val="00DE609B"/>
    <w:rsid w:val="00DE60C4"/>
    <w:rsid w:val="00DE60E7"/>
    <w:rsid w:val="00DE60FB"/>
    <w:rsid w:val="00DE614C"/>
    <w:rsid w:val="00DE61B4"/>
    <w:rsid w:val="00DE6249"/>
    <w:rsid w:val="00DE6269"/>
    <w:rsid w:val="00DE627B"/>
    <w:rsid w:val="00DE6297"/>
    <w:rsid w:val="00DE62A2"/>
    <w:rsid w:val="00DE62FF"/>
    <w:rsid w:val="00DE6339"/>
    <w:rsid w:val="00DE6355"/>
    <w:rsid w:val="00DE6361"/>
    <w:rsid w:val="00DE6371"/>
    <w:rsid w:val="00DE63AF"/>
    <w:rsid w:val="00DE63D0"/>
    <w:rsid w:val="00DE63D5"/>
    <w:rsid w:val="00DE63D9"/>
    <w:rsid w:val="00DE63DD"/>
    <w:rsid w:val="00DE63E5"/>
    <w:rsid w:val="00DE63EC"/>
    <w:rsid w:val="00DE63F4"/>
    <w:rsid w:val="00DE6421"/>
    <w:rsid w:val="00DE6424"/>
    <w:rsid w:val="00DE644F"/>
    <w:rsid w:val="00DE6458"/>
    <w:rsid w:val="00DE645E"/>
    <w:rsid w:val="00DE647D"/>
    <w:rsid w:val="00DE64AD"/>
    <w:rsid w:val="00DE64DF"/>
    <w:rsid w:val="00DE64E7"/>
    <w:rsid w:val="00DE64F9"/>
    <w:rsid w:val="00DE6518"/>
    <w:rsid w:val="00DE653C"/>
    <w:rsid w:val="00DE6562"/>
    <w:rsid w:val="00DE65C8"/>
    <w:rsid w:val="00DE65FC"/>
    <w:rsid w:val="00DE6658"/>
    <w:rsid w:val="00DE665B"/>
    <w:rsid w:val="00DE6724"/>
    <w:rsid w:val="00DE6776"/>
    <w:rsid w:val="00DE677F"/>
    <w:rsid w:val="00DE67FD"/>
    <w:rsid w:val="00DE6828"/>
    <w:rsid w:val="00DE68A6"/>
    <w:rsid w:val="00DE68B5"/>
    <w:rsid w:val="00DE68F5"/>
    <w:rsid w:val="00DE691F"/>
    <w:rsid w:val="00DE6927"/>
    <w:rsid w:val="00DE6942"/>
    <w:rsid w:val="00DE6974"/>
    <w:rsid w:val="00DE699D"/>
    <w:rsid w:val="00DE69AC"/>
    <w:rsid w:val="00DE6A6A"/>
    <w:rsid w:val="00DE6A98"/>
    <w:rsid w:val="00DE6AA7"/>
    <w:rsid w:val="00DE6AE4"/>
    <w:rsid w:val="00DE6B1E"/>
    <w:rsid w:val="00DE6B23"/>
    <w:rsid w:val="00DE6B3D"/>
    <w:rsid w:val="00DE6B67"/>
    <w:rsid w:val="00DE6B70"/>
    <w:rsid w:val="00DE6B8F"/>
    <w:rsid w:val="00DE6BAA"/>
    <w:rsid w:val="00DE6BF1"/>
    <w:rsid w:val="00DE6BF2"/>
    <w:rsid w:val="00DE6BF4"/>
    <w:rsid w:val="00DE6C22"/>
    <w:rsid w:val="00DE6C24"/>
    <w:rsid w:val="00DE6C2D"/>
    <w:rsid w:val="00DE6C4C"/>
    <w:rsid w:val="00DE6C4F"/>
    <w:rsid w:val="00DE6C8D"/>
    <w:rsid w:val="00DE6CB1"/>
    <w:rsid w:val="00DE6CBC"/>
    <w:rsid w:val="00DE6CCE"/>
    <w:rsid w:val="00DE6D7A"/>
    <w:rsid w:val="00DE6DE1"/>
    <w:rsid w:val="00DE6DEA"/>
    <w:rsid w:val="00DE6E14"/>
    <w:rsid w:val="00DE6E29"/>
    <w:rsid w:val="00DE6E31"/>
    <w:rsid w:val="00DE6E51"/>
    <w:rsid w:val="00DE6E65"/>
    <w:rsid w:val="00DE6EC4"/>
    <w:rsid w:val="00DE6EE3"/>
    <w:rsid w:val="00DE6EEA"/>
    <w:rsid w:val="00DE6EEF"/>
    <w:rsid w:val="00DE6F25"/>
    <w:rsid w:val="00DE6F2C"/>
    <w:rsid w:val="00DE6F5A"/>
    <w:rsid w:val="00DE6F6E"/>
    <w:rsid w:val="00DE6F94"/>
    <w:rsid w:val="00DE6FE5"/>
    <w:rsid w:val="00DE6FF5"/>
    <w:rsid w:val="00DE7054"/>
    <w:rsid w:val="00DE706F"/>
    <w:rsid w:val="00DE707B"/>
    <w:rsid w:val="00DE70A5"/>
    <w:rsid w:val="00DE70AB"/>
    <w:rsid w:val="00DE70E1"/>
    <w:rsid w:val="00DE714D"/>
    <w:rsid w:val="00DE715C"/>
    <w:rsid w:val="00DE71AF"/>
    <w:rsid w:val="00DE71B9"/>
    <w:rsid w:val="00DE71C1"/>
    <w:rsid w:val="00DE71C5"/>
    <w:rsid w:val="00DE71ED"/>
    <w:rsid w:val="00DE7225"/>
    <w:rsid w:val="00DE722B"/>
    <w:rsid w:val="00DE724F"/>
    <w:rsid w:val="00DE7291"/>
    <w:rsid w:val="00DE72B2"/>
    <w:rsid w:val="00DE72F9"/>
    <w:rsid w:val="00DE7338"/>
    <w:rsid w:val="00DE73B3"/>
    <w:rsid w:val="00DE73D2"/>
    <w:rsid w:val="00DE73DA"/>
    <w:rsid w:val="00DE7406"/>
    <w:rsid w:val="00DE743B"/>
    <w:rsid w:val="00DE743F"/>
    <w:rsid w:val="00DE748B"/>
    <w:rsid w:val="00DE74F9"/>
    <w:rsid w:val="00DE75AF"/>
    <w:rsid w:val="00DE75C7"/>
    <w:rsid w:val="00DE75ED"/>
    <w:rsid w:val="00DE75FD"/>
    <w:rsid w:val="00DE7668"/>
    <w:rsid w:val="00DE76B4"/>
    <w:rsid w:val="00DE76B8"/>
    <w:rsid w:val="00DE76B9"/>
    <w:rsid w:val="00DE7744"/>
    <w:rsid w:val="00DE774F"/>
    <w:rsid w:val="00DE7773"/>
    <w:rsid w:val="00DE7784"/>
    <w:rsid w:val="00DE77C8"/>
    <w:rsid w:val="00DE77D3"/>
    <w:rsid w:val="00DE77E3"/>
    <w:rsid w:val="00DE77ED"/>
    <w:rsid w:val="00DE77F2"/>
    <w:rsid w:val="00DE7805"/>
    <w:rsid w:val="00DE7821"/>
    <w:rsid w:val="00DE7877"/>
    <w:rsid w:val="00DE7881"/>
    <w:rsid w:val="00DE7887"/>
    <w:rsid w:val="00DE78A3"/>
    <w:rsid w:val="00DE791D"/>
    <w:rsid w:val="00DE7937"/>
    <w:rsid w:val="00DE7943"/>
    <w:rsid w:val="00DE798B"/>
    <w:rsid w:val="00DE79B6"/>
    <w:rsid w:val="00DE79E9"/>
    <w:rsid w:val="00DE7A04"/>
    <w:rsid w:val="00DE7A36"/>
    <w:rsid w:val="00DE7A60"/>
    <w:rsid w:val="00DE7A73"/>
    <w:rsid w:val="00DE7A74"/>
    <w:rsid w:val="00DE7A8E"/>
    <w:rsid w:val="00DE7A92"/>
    <w:rsid w:val="00DE7A96"/>
    <w:rsid w:val="00DE7AC7"/>
    <w:rsid w:val="00DE7AD3"/>
    <w:rsid w:val="00DE7AF5"/>
    <w:rsid w:val="00DE7B39"/>
    <w:rsid w:val="00DE7BCB"/>
    <w:rsid w:val="00DE7BF1"/>
    <w:rsid w:val="00DE7C13"/>
    <w:rsid w:val="00DE7C18"/>
    <w:rsid w:val="00DE7C21"/>
    <w:rsid w:val="00DE7C4B"/>
    <w:rsid w:val="00DE7C79"/>
    <w:rsid w:val="00DE7CC5"/>
    <w:rsid w:val="00DE7CF6"/>
    <w:rsid w:val="00DE7D32"/>
    <w:rsid w:val="00DE7D50"/>
    <w:rsid w:val="00DE7D90"/>
    <w:rsid w:val="00DE7DBB"/>
    <w:rsid w:val="00DE7DC4"/>
    <w:rsid w:val="00DE7E0D"/>
    <w:rsid w:val="00DE7E2A"/>
    <w:rsid w:val="00DE7E31"/>
    <w:rsid w:val="00DE7E5D"/>
    <w:rsid w:val="00DE7E86"/>
    <w:rsid w:val="00DE7E89"/>
    <w:rsid w:val="00DE7E8F"/>
    <w:rsid w:val="00DE7EA5"/>
    <w:rsid w:val="00DE7EB5"/>
    <w:rsid w:val="00DE7EFB"/>
    <w:rsid w:val="00DE7F29"/>
    <w:rsid w:val="00DE7F37"/>
    <w:rsid w:val="00DE7F62"/>
    <w:rsid w:val="00DE7F7C"/>
    <w:rsid w:val="00DE7F7D"/>
    <w:rsid w:val="00DE7FAB"/>
    <w:rsid w:val="00DE7FB2"/>
    <w:rsid w:val="00DE7FC4"/>
    <w:rsid w:val="00DF0001"/>
    <w:rsid w:val="00DF0012"/>
    <w:rsid w:val="00DF0042"/>
    <w:rsid w:val="00DF0064"/>
    <w:rsid w:val="00DF00A7"/>
    <w:rsid w:val="00DF00B0"/>
    <w:rsid w:val="00DF00EE"/>
    <w:rsid w:val="00DF00EF"/>
    <w:rsid w:val="00DF012C"/>
    <w:rsid w:val="00DF0158"/>
    <w:rsid w:val="00DF0164"/>
    <w:rsid w:val="00DF0180"/>
    <w:rsid w:val="00DF0190"/>
    <w:rsid w:val="00DF01CE"/>
    <w:rsid w:val="00DF0250"/>
    <w:rsid w:val="00DF0258"/>
    <w:rsid w:val="00DF026A"/>
    <w:rsid w:val="00DF02BA"/>
    <w:rsid w:val="00DF02C5"/>
    <w:rsid w:val="00DF0318"/>
    <w:rsid w:val="00DF032B"/>
    <w:rsid w:val="00DF036B"/>
    <w:rsid w:val="00DF0390"/>
    <w:rsid w:val="00DF03B0"/>
    <w:rsid w:val="00DF03CC"/>
    <w:rsid w:val="00DF03D5"/>
    <w:rsid w:val="00DF03D6"/>
    <w:rsid w:val="00DF04AB"/>
    <w:rsid w:val="00DF04B6"/>
    <w:rsid w:val="00DF04C3"/>
    <w:rsid w:val="00DF0517"/>
    <w:rsid w:val="00DF0543"/>
    <w:rsid w:val="00DF0602"/>
    <w:rsid w:val="00DF0645"/>
    <w:rsid w:val="00DF0658"/>
    <w:rsid w:val="00DF0682"/>
    <w:rsid w:val="00DF0700"/>
    <w:rsid w:val="00DF0703"/>
    <w:rsid w:val="00DF076D"/>
    <w:rsid w:val="00DF078A"/>
    <w:rsid w:val="00DF079C"/>
    <w:rsid w:val="00DF07BA"/>
    <w:rsid w:val="00DF07C3"/>
    <w:rsid w:val="00DF07C5"/>
    <w:rsid w:val="00DF07DC"/>
    <w:rsid w:val="00DF07F9"/>
    <w:rsid w:val="00DF0801"/>
    <w:rsid w:val="00DF085A"/>
    <w:rsid w:val="00DF08E3"/>
    <w:rsid w:val="00DF091D"/>
    <w:rsid w:val="00DF0946"/>
    <w:rsid w:val="00DF097D"/>
    <w:rsid w:val="00DF0991"/>
    <w:rsid w:val="00DF09BF"/>
    <w:rsid w:val="00DF09C9"/>
    <w:rsid w:val="00DF09F2"/>
    <w:rsid w:val="00DF09F4"/>
    <w:rsid w:val="00DF0A2C"/>
    <w:rsid w:val="00DF0A3F"/>
    <w:rsid w:val="00DF0B85"/>
    <w:rsid w:val="00DF0C17"/>
    <w:rsid w:val="00DF0C28"/>
    <w:rsid w:val="00DF0C29"/>
    <w:rsid w:val="00DF0C3D"/>
    <w:rsid w:val="00DF0C5A"/>
    <w:rsid w:val="00DF0C93"/>
    <w:rsid w:val="00DF0CD0"/>
    <w:rsid w:val="00DF0CF9"/>
    <w:rsid w:val="00DF0CFD"/>
    <w:rsid w:val="00DF0D00"/>
    <w:rsid w:val="00DF0D22"/>
    <w:rsid w:val="00DF0D46"/>
    <w:rsid w:val="00DF0D59"/>
    <w:rsid w:val="00DF0D60"/>
    <w:rsid w:val="00DF0D8E"/>
    <w:rsid w:val="00DF0D99"/>
    <w:rsid w:val="00DF0DBA"/>
    <w:rsid w:val="00DF0DF2"/>
    <w:rsid w:val="00DF0DF4"/>
    <w:rsid w:val="00DF0DF7"/>
    <w:rsid w:val="00DF0E03"/>
    <w:rsid w:val="00DF0E5C"/>
    <w:rsid w:val="00DF0ECB"/>
    <w:rsid w:val="00DF0F2A"/>
    <w:rsid w:val="00DF0F63"/>
    <w:rsid w:val="00DF0FC0"/>
    <w:rsid w:val="00DF0FC7"/>
    <w:rsid w:val="00DF0FDD"/>
    <w:rsid w:val="00DF0FE4"/>
    <w:rsid w:val="00DF1040"/>
    <w:rsid w:val="00DF105F"/>
    <w:rsid w:val="00DF1065"/>
    <w:rsid w:val="00DF1074"/>
    <w:rsid w:val="00DF1094"/>
    <w:rsid w:val="00DF109D"/>
    <w:rsid w:val="00DF1142"/>
    <w:rsid w:val="00DF1148"/>
    <w:rsid w:val="00DF11B8"/>
    <w:rsid w:val="00DF11C1"/>
    <w:rsid w:val="00DF1216"/>
    <w:rsid w:val="00DF1247"/>
    <w:rsid w:val="00DF1249"/>
    <w:rsid w:val="00DF126A"/>
    <w:rsid w:val="00DF1280"/>
    <w:rsid w:val="00DF12CC"/>
    <w:rsid w:val="00DF1329"/>
    <w:rsid w:val="00DF1401"/>
    <w:rsid w:val="00DF140C"/>
    <w:rsid w:val="00DF141B"/>
    <w:rsid w:val="00DF1429"/>
    <w:rsid w:val="00DF1430"/>
    <w:rsid w:val="00DF1453"/>
    <w:rsid w:val="00DF145A"/>
    <w:rsid w:val="00DF1492"/>
    <w:rsid w:val="00DF149B"/>
    <w:rsid w:val="00DF14B0"/>
    <w:rsid w:val="00DF14E0"/>
    <w:rsid w:val="00DF14E1"/>
    <w:rsid w:val="00DF14F7"/>
    <w:rsid w:val="00DF1513"/>
    <w:rsid w:val="00DF1521"/>
    <w:rsid w:val="00DF1551"/>
    <w:rsid w:val="00DF158C"/>
    <w:rsid w:val="00DF15CD"/>
    <w:rsid w:val="00DF160B"/>
    <w:rsid w:val="00DF1623"/>
    <w:rsid w:val="00DF1651"/>
    <w:rsid w:val="00DF168B"/>
    <w:rsid w:val="00DF16C5"/>
    <w:rsid w:val="00DF16EB"/>
    <w:rsid w:val="00DF1742"/>
    <w:rsid w:val="00DF1767"/>
    <w:rsid w:val="00DF1784"/>
    <w:rsid w:val="00DF179D"/>
    <w:rsid w:val="00DF179E"/>
    <w:rsid w:val="00DF17EA"/>
    <w:rsid w:val="00DF17ED"/>
    <w:rsid w:val="00DF1825"/>
    <w:rsid w:val="00DF182F"/>
    <w:rsid w:val="00DF1885"/>
    <w:rsid w:val="00DF1895"/>
    <w:rsid w:val="00DF18C0"/>
    <w:rsid w:val="00DF18ED"/>
    <w:rsid w:val="00DF18EF"/>
    <w:rsid w:val="00DF1938"/>
    <w:rsid w:val="00DF1963"/>
    <w:rsid w:val="00DF198F"/>
    <w:rsid w:val="00DF1991"/>
    <w:rsid w:val="00DF19B6"/>
    <w:rsid w:val="00DF19C8"/>
    <w:rsid w:val="00DF1A06"/>
    <w:rsid w:val="00DF1A5D"/>
    <w:rsid w:val="00DF1A79"/>
    <w:rsid w:val="00DF1A7F"/>
    <w:rsid w:val="00DF1AB4"/>
    <w:rsid w:val="00DF1AB5"/>
    <w:rsid w:val="00DF1B0B"/>
    <w:rsid w:val="00DF1B8E"/>
    <w:rsid w:val="00DF1BB5"/>
    <w:rsid w:val="00DF1C98"/>
    <w:rsid w:val="00DF1D08"/>
    <w:rsid w:val="00DF1D71"/>
    <w:rsid w:val="00DF1D7C"/>
    <w:rsid w:val="00DF1E22"/>
    <w:rsid w:val="00DF1E52"/>
    <w:rsid w:val="00DF1E56"/>
    <w:rsid w:val="00DF1E6F"/>
    <w:rsid w:val="00DF1EF6"/>
    <w:rsid w:val="00DF1F50"/>
    <w:rsid w:val="00DF1F5A"/>
    <w:rsid w:val="00DF1F83"/>
    <w:rsid w:val="00DF1FE6"/>
    <w:rsid w:val="00DF1FEE"/>
    <w:rsid w:val="00DF202B"/>
    <w:rsid w:val="00DF206A"/>
    <w:rsid w:val="00DF20A8"/>
    <w:rsid w:val="00DF20CE"/>
    <w:rsid w:val="00DF2104"/>
    <w:rsid w:val="00DF213A"/>
    <w:rsid w:val="00DF2147"/>
    <w:rsid w:val="00DF214B"/>
    <w:rsid w:val="00DF217C"/>
    <w:rsid w:val="00DF21AC"/>
    <w:rsid w:val="00DF21E5"/>
    <w:rsid w:val="00DF221D"/>
    <w:rsid w:val="00DF2227"/>
    <w:rsid w:val="00DF222D"/>
    <w:rsid w:val="00DF22C7"/>
    <w:rsid w:val="00DF232F"/>
    <w:rsid w:val="00DF235E"/>
    <w:rsid w:val="00DF236E"/>
    <w:rsid w:val="00DF237B"/>
    <w:rsid w:val="00DF243B"/>
    <w:rsid w:val="00DF2468"/>
    <w:rsid w:val="00DF24BA"/>
    <w:rsid w:val="00DF24C4"/>
    <w:rsid w:val="00DF2553"/>
    <w:rsid w:val="00DF2580"/>
    <w:rsid w:val="00DF259A"/>
    <w:rsid w:val="00DF25BC"/>
    <w:rsid w:val="00DF25E4"/>
    <w:rsid w:val="00DF25EC"/>
    <w:rsid w:val="00DF25F0"/>
    <w:rsid w:val="00DF25FC"/>
    <w:rsid w:val="00DF2621"/>
    <w:rsid w:val="00DF262B"/>
    <w:rsid w:val="00DF263F"/>
    <w:rsid w:val="00DF2657"/>
    <w:rsid w:val="00DF2661"/>
    <w:rsid w:val="00DF2682"/>
    <w:rsid w:val="00DF26BB"/>
    <w:rsid w:val="00DF2750"/>
    <w:rsid w:val="00DF2766"/>
    <w:rsid w:val="00DF276A"/>
    <w:rsid w:val="00DF2791"/>
    <w:rsid w:val="00DF2798"/>
    <w:rsid w:val="00DF27AC"/>
    <w:rsid w:val="00DF27CF"/>
    <w:rsid w:val="00DF2819"/>
    <w:rsid w:val="00DF2859"/>
    <w:rsid w:val="00DF2877"/>
    <w:rsid w:val="00DF28E8"/>
    <w:rsid w:val="00DF292F"/>
    <w:rsid w:val="00DF295A"/>
    <w:rsid w:val="00DF29AC"/>
    <w:rsid w:val="00DF29E6"/>
    <w:rsid w:val="00DF29FF"/>
    <w:rsid w:val="00DF2A23"/>
    <w:rsid w:val="00DF2A54"/>
    <w:rsid w:val="00DF2A75"/>
    <w:rsid w:val="00DF2A99"/>
    <w:rsid w:val="00DF2B32"/>
    <w:rsid w:val="00DF2B33"/>
    <w:rsid w:val="00DF2B5D"/>
    <w:rsid w:val="00DF2B65"/>
    <w:rsid w:val="00DF2B90"/>
    <w:rsid w:val="00DF2BA0"/>
    <w:rsid w:val="00DF2BF3"/>
    <w:rsid w:val="00DF2C00"/>
    <w:rsid w:val="00DF2C63"/>
    <w:rsid w:val="00DF2C6D"/>
    <w:rsid w:val="00DF2C76"/>
    <w:rsid w:val="00DF2C77"/>
    <w:rsid w:val="00DF2CB7"/>
    <w:rsid w:val="00DF2CDB"/>
    <w:rsid w:val="00DF2CDC"/>
    <w:rsid w:val="00DF2CF4"/>
    <w:rsid w:val="00DF2D8E"/>
    <w:rsid w:val="00DF2DD3"/>
    <w:rsid w:val="00DF2DFD"/>
    <w:rsid w:val="00DF2E22"/>
    <w:rsid w:val="00DF2E24"/>
    <w:rsid w:val="00DF2E47"/>
    <w:rsid w:val="00DF2E55"/>
    <w:rsid w:val="00DF2E92"/>
    <w:rsid w:val="00DF2EB8"/>
    <w:rsid w:val="00DF2EC1"/>
    <w:rsid w:val="00DF2EE5"/>
    <w:rsid w:val="00DF2F07"/>
    <w:rsid w:val="00DF2F11"/>
    <w:rsid w:val="00DF2F5B"/>
    <w:rsid w:val="00DF2F9D"/>
    <w:rsid w:val="00DF2FC6"/>
    <w:rsid w:val="00DF3028"/>
    <w:rsid w:val="00DF309F"/>
    <w:rsid w:val="00DF30D5"/>
    <w:rsid w:val="00DF3156"/>
    <w:rsid w:val="00DF3180"/>
    <w:rsid w:val="00DF31DD"/>
    <w:rsid w:val="00DF3255"/>
    <w:rsid w:val="00DF3279"/>
    <w:rsid w:val="00DF3280"/>
    <w:rsid w:val="00DF32CD"/>
    <w:rsid w:val="00DF32EE"/>
    <w:rsid w:val="00DF32EF"/>
    <w:rsid w:val="00DF3308"/>
    <w:rsid w:val="00DF3313"/>
    <w:rsid w:val="00DF3315"/>
    <w:rsid w:val="00DF3363"/>
    <w:rsid w:val="00DF3374"/>
    <w:rsid w:val="00DF3395"/>
    <w:rsid w:val="00DF3398"/>
    <w:rsid w:val="00DF33A7"/>
    <w:rsid w:val="00DF3425"/>
    <w:rsid w:val="00DF342C"/>
    <w:rsid w:val="00DF345F"/>
    <w:rsid w:val="00DF34A6"/>
    <w:rsid w:val="00DF34E3"/>
    <w:rsid w:val="00DF34FA"/>
    <w:rsid w:val="00DF3507"/>
    <w:rsid w:val="00DF3587"/>
    <w:rsid w:val="00DF35A7"/>
    <w:rsid w:val="00DF35F1"/>
    <w:rsid w:val="00DF35F4"/>
    <w:rsid w:val="00DF3634"/>
    <w:rsid w:val="00DF3649"/>
    <w:rsid w:val="00DF365C"/>
    <w:rsid w:val="00DF366A"/>
    <w:rsid w:val="00DF367D"/>
    <w:rsid w:val="00DF3695"/>
    <w:rsid w:val="00DF36D4"/>
    <w:rsid w:val="00DF36D7"/>
    <w:rsid w:val="00DF36FF"/>
    <w:rsid w:val="00DF371A"/>
    <w:rsid w:val="00DF3727"/>
    <w:rsid w:val="00DF376E"/>
    <w:rsid w:val="00DF37CE"/>
    <w:rsid w:val="00DF382C"/>
    <w:rsid w:val="00DF383C"/>
    <w:rsid w:val="00DF383D"/>
    <w:rsid w:val="00DF3864"/>
    <w:rsid w:val="00DF387B"/>
    <w:rsid w:val="00DF3897"/>
    <w:rsid w:val="00DF38D4"/>
    <w:rsid w:val="00DF38D9"/>
    <w:rsid w:val="00DF38E3"/>
    <w:rsid w:val="00DF3939"/>
    <w:rsid w:val="00DF394A"/>
    <w:rsid w:val="00DF3992"/>
    <w:rsid w:val="00DF399A"/>
    <w:rsid w:val="00DF399D"/>
    <w:rsid w:val="00DF39C8"/>
    <w:rsid w:val="00DF39D8"/>
    <w:rsid w:val="00DF39DD"/>
    <w:rsid w:val="00DF3A0D"/>
    <w:rsid w:val="00DF3A16"/>
    <w:rsid w:val="00DF3A23"/>
    <w:rsid w:val="00DF3A2B"/>
    <w:rsid w:val="00DF3A76"/>
    <w:rsid w:val="00DF3A9F"/>
    <w:rsid w:val="00DF3AC2"/>
    <w:rsid w:val="00DF3AE8"/>
    <w:rsid w:val="00DF3AFF"/>
    <w:rsid w:val="00DF3B7B"/>
    <w:rsid w:val="00DF3BCE"/>
    <w:rsid w:val="00DF3C05"/>
    <w:rsid w:val="00DF3C0B"/>
    <w:rsid w:val="00DF3C0D"/>
    <w:rsid w:val="00DF3C34"/>
    <w:rsid w:val="00DF3C70"/>
    <w:rsid w:val="00DF3CC8"/>
    <w:rsid w:val="00DF3CD2"/>
    <w:rsid w:val="00DF3CDC"/>
    <w:rsid w:val="00DF3D11"/>
    <w:rsid w:val="00DF3D14"/>
    <w:rsid w:val="00DF3D19"/>
    <w:rsid w:val="00DF3D46"/>
    <w:rsid w:val="00DF3D60"/>
    <w:rsid w:val="00DF3E34"/>
    <w:rsid w:val="00DF3E3F"/>
    <w:rsid w:val="00DF3E59"/>
    <w:rsid w:val="00DF3E5B"/>
    <w:rsid w:val="00DF3E78"/>
    <w:rsid w:val="00DF3F15"/>
    <w:rsid w:val="00DF3F4D"/>
    <w:rsid w:val="00DF3F68"/>
    <w:rsid w:val="00DF3FB0"/>
    <w:rsid w:val="00DF3FDA"/>
    <w:rsid w:val="00DF3FE6"/>
    <w:rsid w:val="00DF4029"/>
    <w:rsid w:val="00DF402E"/>
    <w:rsid w:val="00DF403A"/>
    <w:rsid w:val="00DF4073"/>
    <w:rsid w:val="00DF408E"/>
    <w:rsid w:val="00DF4094"/>
    <w:rsid w:val="00DF40B5"/>
    <w:rsid w:val="00DF40B7"/>
    <w:rsid w:val="00DF4114"/>
    <w:rsid w:val="00DF4134"/>
    <w:rsid w:val="00DF4143"/>
    <w:rsid w:val="00DF4193"/>
    <w:rsid w:val="00DF41AA"/>
    <w:rsid w:val="00DF41D0"/>
    <w:rsid w:val="00DF41ED"/>
    <w:rsid w:val="00DF4203"/>
    <w:rsid w:val="00DF420B"/>
    <w:rsid w:val="00DF421E"/>
    <w:rsid w:val="00DF422F"/>
    <w:rsid w:val="00DF4238"/>
    <w:rsid w:val="00DF42C9"/>
    <w:rsid w:val="00DF42D6"/>
    <w:rsid w:val="00DF42E1"/>
    <w:rsid w:val="00DF4319"/>
    <w:rsid w:val="00DF4332"/>
    <w:rsid w:val="00DF4341"/>
    <w:rsid w:val="00DF4349"/>
    <w:rsid w:val="00DF43A7"/>
    <w:rsid w:val="00DF43DB"/>
    <w:rsid w:val="00DF43E9"/>
    <w:rsid w:val="00DF4422"/>
    <w:rsid w:val="00DF44A1"/>
    <w:rsid w:val="00DF44D1"/>
    <w:rsid w:val="00DF44F7"/>
    <w:rsid w:val="00DF453A"/>
    <w:rsid w:val="00DF454A"/>
    <w:rsid w:val="00DF4578"/>
    <w:rsid w:val="00DF457A"/>
    <w:rsid w:val="00DF45A9"/>
    <w:rsid w:val="00DF45C0"/>
    <w:rsid w:val="00DF45E0"/>
    <w:rsid w:val="00DF45FC"/>
    <w:rsid w:val="00DF4609"/>
    <w:rsid w:val="00DF463F"/>
    <w:rsid w:val="00DF465A"/>
    <w:rsid w:val="00DF4667"/>
    <w:rsid w:val="00DF4675"/>
    <w:rsid w:val="00DF46E6"/>
    <w:rsid w:val="00DF4746"/>
    <w:rsid w:val="00DF4748"/>
    <w:rsid w:val="00DF477B"/>
    <w:rsid w:val="00DF47B4"/>
    <w:rsid w:val="00DF47BC"/>
    <w:rsid w:val="00DF4870"/>
    <w:rsid w:val="00DF4878"/>
    <w:rsid w:val="00DF48B6"/>
    <w:rsid w:val="00DF493D"/>
    <w:rsid w:val="00DF495F"/>
    <w:rsid w:val="00DF497A"/>
    <w:rsid w:val="00DF4994"/>
    <w:rsid w:val="00DF49A4"/>
    <w:rsid w:val="00DF49B5"/>
    <w:rsid w:val="00DF49E0"/>
    <w:rsid w:val="00DF49F1"/>
    <w:rsid w:val="00DF4A53"/>
    <w:rsid w:val="00DF4A66"/>
    <w:rsid w:val="00DF4A82"/>
    <w:rsid w:val="00DF4AB0"/>
    <w:rsid w:val="00DF4ABA"/>
    <w:rsid w:val="00DF4AF1"/>
    <w:rsid w:val="00DF4AF7"/>
    <w:rsid w:val="00DF4B28"/>
    <w:rsid w:val="00DF4B70"/>
    <w:rsid w:val="00DF4B72"/>
    <w:rsid w:val="00DF4C72"/>
    <w:rsid w:val="00DF4C81"/>
    <w:rsid w:val="00DF4CA0"/>
    <w:rsid w:val="00DF4CA4"/>
    <w:rsid w:val="00DF4CF5"/>
    <w:rsid w:val="00DF4D3D"/>
    <w:rsid w:val="00DF4D4A"/>
    <w:rsid w:val="00DF4D55"/>
    <w:rsid w:val="00DF4DC7"/>
    <w:rsid w:val="00DF4DCD"/>
    <w:rsid w:val="00DF4DCF"/>
    <w:rsid w:val="00DF4E38"/>
    <w:rsid w:val="00DF4E51"/>
    <w:rsid w:val="00DF4EC4"/>
    <w:rsid w:val="00DF4ECC"/>
    <w:rsid w:val="00DF4EF5"/>
    <w:rsid w:val="00DF4F7C"/>
    <w:rsid w:val="00DF4F8B"/>
    <w:rsid w:val="00DF4F93"/>
    <w:rsid w:val="00DF4FA7"/>
    <w:rsid w:val="00DF4FB4"/>
    <w:rsid w:val="00DF4FF7"/>
    <w:rsid w:val="00DF502A"/>
    <w:rsid w:val="00DF5038"/>
    <w:rsid w:val="00DF5078"/>
    <w:rsid w:val="00DF5083"/>
    <w:rsid w:val="00DF5087"/>
    <w:rsid w:val="00DF50A1"/>
    <w:rsid w:val="00DF50BC"/>
    <w:rsid w:val="00DF50EA"/>
    <w:rsid w:val="00DF518A"/>
    <w:rsid w:val="00DF51A7"/>
    <w:rsid w:val="00DF51DE"/>
    <w:rsid w:val="00DF5208"/>
    <w:rsid w:val="00DF520E"/>
    <w:rsid w:val="00DF521D"/>
    <w:rsid w:val="00DF522A"/>
    <w:rsid w:val="00DF52A0"/>
    <w:rsid w:val="00DF52A8"/>
    <w:rsid w:val="00DF52CC"/>
    <w:rsid w:val="00DF52CF"/>
    <w:rsid w:val="00DF52F4"/>
    <w:rsid w:val="00DF53BC"/>
    <w:rsid w:val="00DF53BE"/>
    <w:rsid w:val="00DF53EE"/>
    <w:rsid w:val="00DF53F8"/>
    <w:rsid w:val="00DF5413"/>
    <w:rsid w:val="00DF5429"/>
    <w:rsid w:val="00DF543B"/>
    <w:rsid w:val="00DF548A"/>
    <w:rsid w:val="00DF5490"/>
    <w:rsid w:val="00DF54C6"/>
    <w:rsid w:val="00DF54D0"/>
    <w:rsid w:val="00DF5512"/>
    <w:rsid w:val="00DF5549"/>
    <w:rsid w:val="00DF5564"/>
    <w:rsid w:val="00DF558A"/>
    <w:rsid w:val="00DF5600"/>
    <w:rsid w:val="00DF562F"/>
    <w:rsid w:val="00DF5645"/>
    <w:rsid w:val="00DF565C"/>
    <w:rsid w:val="00DF56CC"/>
    <w:rsid w:val="00DF56E3"/>
    <w:rsid w:val="00DF56F2"/>
    <w:rsid w:val="00DF56F5"/>
    <w:rsid w:val="00DF5708"/>
    <w:rsid w:val="00DF57AE"/>
    <w:rsid w:val="00DF5818"/>
    <w:rsid w:val="00DF5876"/>
    <w:rsid w:val="00DF58AC"/>
    <w:rsid w:val="00DF58C9"/>
    <w:rsid w:val="00DF58CE"/>
    <w:rsid w:val="00DF591A"/>
    <w:rsid w:val="00DF5942"/>
    <w:rsid w:val="00DF5957"/>
    <w:rsid w:val="00DF5963"/>
    <w:rsid w:val="00DF598C"/>
    <w:rsid w:val="00DF599A"/>
    <w:rsid w:val="00DF59E6"/>
    <w:rsid w:val="00DF59EE"/>
    <w:rsid w:val="00DF5A3D"/>
    <w:rsid w:val="00DF5A4C"/>
    <w:rsid w:val="00DF5A6E"/>
    <w:rsid w:val="00DF5ADA"/>
    <w:rsid w:val="00DF5AF6"/>
    <w:rsid w:val="00DF5B4A"/>
    <w:rsid w:val="00DF5BBA"/>
    <w:rsid w:val="00DF5BE2"/>
    <w:rsid w:val="00DF5BE8"/>
    <w:rsid w:val="00DF5C04"/>
    <w:rsid w:val="00DF5C29"/>
    <w:rsid w:val="00DF5C3A"/>
    <w:rsid w:val="00DF5C7F"/>
    <w:rsid w:val="00DF5C89"/>
    <w:rsid w:val="00DF5CD2"/>
    <w:rsid w:val="00DF5CF1"/>
    <w:rsid w:val="00DF5D11"/>
    <w:rsid w:val="00DF5D59"/>
    <w:rsid w:val="00DF5DAB"/>
    <w:rsid w:val="00DF5DAD"/>
    <w:rsid w:val="00DF5DD4"/>
    <w:rsid w:val="00DF5DEF"/>
    <w:rsid w:val="00DF5E00"/>
    <w:rsid w:val="00DF5E06"/>
    <w:rsid w:val="00DF5E20"/>
    <w:rsid w:val="00DF5E9B"/>
    <w:rsid w:val="00DF5EC9"/>
    <w:rsid w:val="00DF5ECF"/>
    <w:rsid w:val="00DF5EDB"/>
    <w:rsid w:val="00DF5EDD"/>
    <w:rsid w:val="00DF5F29"/>
    <w:rsid w:val="00DF5F40"/>
    <w:rsid w:val="00DF5F4C"/>
    <w:rsid w:val="00DF5F7E"/>
    <w:rsid w:val="00DF5FBF"/>
    <w:rsid w:val="00DF5FC8"/>
    <w:rsid w:val="00DF5FD5"/>
    <w:rsid w:val="00DF6039"/>
    <w:rsid w:val="00DF60B8"/>
    <w:rsid w:val="00DF60D0"/>
    <w:rsid w:val="00DF60E8"/>
    <w:rsid w:val="00DF6170"/>
    <w:rsid w:val="00DF618A"/>
    <w:rsid w:val="00DF61A6"/>
    <w:rsid w:val="00DF623F"/>
    <w:rsid w:val="00DF625C"/>
    <w:rsid w:val="00DF6263"/>
    <w:rsid w:val="00DF6277"/>
    <w:rsid w:val="00DF630B"/>
    <w:rsid w:val="00DF6315"/>
    <w:rsid w:val="00DF631D"/>
    <w:rsid w:val="00DF6342"/>
    <w:rsid w:val="00DF6367"/>
    <w:rsid w:val="00DF63AF"/>
    <w:rsid w:val="00DF63CD"/>
    <w:rsid w:val="00DF6436"/>
    <w:rsid w:val="00DF6457"/>
    <w:rsid w:val="00DF6475"/>
    <w:rsid w:val="00DF64A3"/>
    <w:rsid w:val="00DF64C2"/>
    <w:rsid w:val="00DF64EA"/>
    <w:rsid w:val="00DF64FD"/>
    <w:rsid w:val="00DF650C"/>
    <w:rsid w:val="00DF6531"/>
    <w:rsid w:val="00DF6554"/>
    <w:rsid w:val="00DF655A"/>
    <w:rsid w:val="00DF6580"/>
    <w:rsid w:val="00DF65A1"/>
    <w:rsid w:val="00DF65AA"/>
    <w:rsid w:val="00DF65EB"/>
    <w:rsid w:val="00DF65F2"/>
    <w:rsid w:val="00DF65F4"/>
    <w:rsid w:val="00DF65FE"/>
    <w:rsid w:val="00DF660A"/>
    <w:rsid w:val="00DF6610"/>
    <w:rsid w:val="00DF6614"/>
    <w:rsid w:val="00DF6668"/>
    <w:rsid w:val="00DF6693"/>
    <w:rsid w:val="00DF669F"/>
    <w:rsid w:val="00DF66A7"/>
    <w:rsid w:val="00DF66D5"/>
    <w:rsid w:val="00DF66E7"/>
    <w:rsid w:val="00DF66EA"/>
    <w:rsid w:val="00DF670B"/>
    <w:rsid w:val="00DF676D"/>
    <w:rsid w:val="00DF679D"/>
    <w:rsid w:val="00DF67CC"/>
    <w:rsid w:val="00DF67D2"/>
    <w:rsid w:val="00DF6835"/>
    <w:rsid w:val="00DF6851"/>
    <w:rsid w:val="00DF6867"/>
    <w:rsid w:val="00DF6892"/>
    <w:rsid w:val="00DF689E"/>
    <w:rsid w:val="00DF68AB"/>
    <w:rsid w:val="00DF68DD"/>
    <w:rsid w:val="00DF695B"/>
    <w:rsid w:val="00DF6987"/>
    <w:rsid w:val="00DF6996"/>
    <w:rsid w:val="00DF6A15"/>
    <w:rsid w:val="00DF6A31"/>
    <w:rsid w:val="00DF6A9F"/>
    <w:rsid w:val="00DF6AA7"/>
    <w:rsid w:val="00DF6ABF"/>
    <w:rsid w:val="00DF6AE0"/>
    <w:rsid w:val="00DF6AEE"/>
    <w:rsid w:val="00DF6B11"/>
    <w:rsid w:val="00DF6B1A"/>
    <w:rsid w:val="00DF6B22"/>
    <w:rsid w:val="00DF6B4B"/>
    <w:rsid w:val="00DF6B60"/>
    <w:rsid w:val="00DF6BA0"/>
    <w:rsid w:val="00DF6BB8"/>
    <w:rsid w:val="00DF6BDE"/>
    <w:rsid w:val="00DF6C3B"/>
    <w:rsid w:val="00DF6CDE"/>
    <w:rsid w:val="00DF6D25"/>
    <w:rsid w:val="00DF6DAA"/>
    <w:rsid w:val="00DF6DC5"/>
    <w:rsid w:val="00DF6DC9"/>
    <w:rsid w:val="00DF6DDF"/>
    <w:rsid w:val="00DF6E4C"/>
    <w:rsid w:val="00DF6EB0"/>
    <w:rsid w:val="00DF6EFA"/>
    <w:rsid w:val="00DF6F4C"/>
    <w:rsid w:val="00DF6F92"/>
    <w:rsid w:val="00DF6F99"/>
    <w:rsid w:val="00DF7014"/>
    <w:rsid w:val="00DF7082"/>
    <w:rsid w:val="00DF70D4"/>
    <w:rsid w:val="00DF70F4"/>
    <w:rsid w:val="00DF70FB"/>
    <w:rsid w:val="00DF7151"/>
    <w:rsid w:val="00DF7175"/>
    <w:rsid w:val="00DF7182"/>
    <w:rsid w:val="00DF7183"/>
    <w:rsid w:val="00DF71C8"/>
    <w:rsid w:val="00DF71EB"/>
    <w:rsid w:val="00DF720B"/>
    <w:rsid w:val="00DF720D"/>
    <w:rsid w:val="00DF726F"/>
    <w:rsid w:val="00DF7285"/>
    <w:rsid w:val="00DF728A"/>
    <w:rsid w:val="00DF729D"/>
    <w:rsid w:val="00DF72A8"/>
    <w:rsid w:val="00DF72AA"/>
    <w:rsid w:val="00DF732C"/>
    <w:rsid w:val="00DF7365"/>
    <w:rsid w:val="00DF7398"/>
    <w:rsid w:val="00DF73A7"/>
    <w:rsid w:val="00DF73B9"/>
    <w:rsid w:val="00DF73F5"/>
    <w:rsid w:val="00DF7414"/>
    <w:rsid w:val="00DF7444"/>
    <w:rsid w:val="00DF747B"/>
    <w:rsid w:val="00DF7527"/>
    <w:rsid w:val="00DF754E"/>
    <w:rsid w:val="00DF758A"/>
    <w:rsid w:val="00DF75AB"/>
    <w:rsid w:val="00DF75D0"/>
    <w:rsid w:val="00DF7674"/>
    <w:rsid w:val="00DF767A"/>
    <w:rsid w:val="00DF768E"/>
    <w:rsid w:val="00DF76D1"/>
    <w:rsid w:val="00DF771B"/>
    <w:rsid w:val="00DF7766"/>
    <w:rsid w:val="00DF778C"/>
    <w:rsid w:val="00DF77A0"/>
    <w:rsid w:val="00DF77EF"/>
    <w:rsid w:val="00DF782C"/>
    <w:rsid w:val="00DF789C"/>
    <w:rsid w:val="00DF78A2"/>
    <w:rsid w:val="00DF78C3"/>
    <w:rsid w:val="00DF78FC"/>
    <w:rsid w:val="00DF793C"/>
    <w:rsid w:val="00DF79C0"/>
    <w:rsid w:val="00DF79D1"/>
    <w:rsid w:val="00DF79D2"/>
    <w:rsid w:val="00DF79F6"/>
    <w:rsid w:val="00DF7A3C"/>
    <w:rsid w:val="00DF7A63"/>
    <w:rsid w:val="00DF7A7C"/>
    <w:rsid w:val="00DF7A98"/>
    <w:rsid w:val="00DF7B3F"/>
    <w:rsid w:val="00DF7B58"/>
    <w:rsid w:val="00DF7B78"/>
    <w:rsid w:val="00DF7B9B"/>
    <w:rsid w:val="00DF7BAD"/>
    <w:rsid w:val="00DF7BCD"/>
    <w:rsid w:val="00DF7BDC"/>
    <w:rsid w:val="00DF7BE4"/>
    <w:rsid w:val="00DF7BE6"/>
    <w:rsid w:val="00DF7C3A"/>
    <w:rsid w:val="00DF7C5E"/>
    <w:rsid w:val="00DF7C6E"/>
    <w:rsid w:val="00DF7C97"/>
    <w:rsid w:val="00DF7CCC"/>
    <w:rsid w:val="00DF7CD3"/>
    <w:rsid w:val="00DF7CE1"/>
    <w:rsid w:val="00DF7CF7"/>
    <w:rsid w:val="00DF7D53"/>
    <w:rsid w:val="00DF7DA5"/>
    <w:rsid w:val="00DF7DAE"/>
    <w:rsid w:val="00DF7DB2"/>
    <w:rsid w:val="00DF7DBD"/>
    <w:rsid w:val="00DF7DD3"/>
    <w:rsid w:val="00DF7DDD"/>
    <w:rsid w:val="00DF7E24"/>
    <w:rsid w:val="00DF7E28"/>
    <w:rsid w:val="00DF7E4C"/>
    <w:rsid w:val="00DF7E8E"/>
    <w:rsid w:val="00DF7E8F"/>
    <w:rsid w:val="00DF7F0D"/>
    <w:rsid w:val="00DF7F2D"/>
    <w:rsid w:val="00DF7F62"/>
    <w:rsid w:val="00DF7F7A"/>
    <w:rsid w:val="00DF7F85"/>
    <w:rsid w:val="00DF7F98"/>
    <w:rsid w:val="00DF7F9D"/>
    <w:rsid w:val="00DF7FB7"/>
    <w:rsid w:val="00DF7FF8"/>
    <w:rsid w:val="00E00041"/>
    <w:rsid w:val="00E00046"/>
    <w:rsid w:val="00E00048"/>
    <w:rsid w:val="00E000B2"/>
    <w:rsid w:val="00E000F9"/>
    <w:rsid w:val="00E0010A"/>
    <w:rsid w:val="00E0018B"/>
    <w:rsid w:val="00E001AB"/>
    <w:rsid w:val="00E001AD"/>
    <w:rsid w:val="00E001F6"/>
    <w:rsid w:val="00E001F9"/>
    <w:rsid w:val="00E001FD"/>
    <w:rsid w:val="00E00217"/>
    <w:rsid w:val="00E00237"/>
    <w:rsid w:val="00E00266"/>
    <w:rsid w:val="00E002FF"/>
    <w:rsid w:val="00E00345"/>
    <w:rsid w:val="00E00353"/>
    <w:rsid w:val="00E0035C"/>
    <w:rsid w:val="00E003AC"/>
    <w:rsid w:val="00E0047E"/>
    <w:rsid w:val="00E004BE"/>
    <w:rsid w:val="00E00562"/>
    <w:rsid w:val="00E00579"/>
    <w:rsid w:val="00E005AD"/>
    <w:rsid w:val="00E005B4"/>
    <w:rsid w:val="00E005E1"/>
    <w:rsid w:val="00E00600"/>
    <w:rsid w:val="00E00612"/>
    <w:rsid w:val="00E0062E"/>
    <w:rsid w:val="00E00637"/>
    <w:rsid w:val="00E00641"/>
    <w:rsid w:val="00E00665"/>
    <w:rsid w:val="00E0066F"/>
    <w:rsid w:val="00E006EC"/>
    <w:rsid w:val="00E00738"/>
    <w:rsid w:val="00E00770"/>
    <w:rsid w:val="00E0078E"/>
    <w:rsid w:val="00E007AD"/>
    <w:rsid w:val="00E007EF"/>
    <w:rsid w:val="00E007F3"/>
    <w:rsid w:val="00E00821"/>
    <w:rsid w:val="00E00842"/>
    <w:rsid w:val="00E00919"/>
    <w:rsid w:val="00E0095F"/>
    <w:rsid w:val="00E009E4"/>
    <w:rsid w:val="00E00A0F"/>
    <w:rsid w:val="00E00A71"/>
    <w:rsid w:val="00E00A7E"/>
    <w:rsid w:val="00E00A94"/>
    <w:rsid w:val="00E00AC6"/>
    <w:rsid w:val="00E00AE2"/>
    <w:rsid w:val="00E00AF8"/>
    <w:rsid w:val="00E00B05"/>
    <w:rsid w:val="00E00B35"/>
    <w:rsid w:val="00E00BC6"/>
    <w:rsid w:val="00E00BD0"/>
    <w:rsid w:val="00E00BEB"/>
    <w:rsid w:val="00E00CB5"/>
    <w:rsid w:val="00E00CCB"/>
    <w:rsid w:val="00E00CE7"/>
    <w:rsid w:val="00E00CE9"/>
    <w:rsid w:val="00E00D2F"/>
    <w:rsid w:val="00E00D46"/>
    <w:rsid w:val="00E00D4E"/>
    <w:rsid w:val="00E00D94"/>
    <w:rsid w:val="00E00DAA"/>
    <w:rsid w:val="00E00DB8"/>
    <w:rsid w:val="00E00DD4"/>
    <w:rsid w:val="00E00E3F"/>
    <w:rsid w:val="00E00E51"/>
    <w:rsid w:val="00E00E72"/>
    <w:rsid w:val="00E00E7D"/>
    <w:rsid w:val="00E00E95"/>
    <w:rsid w:val="00E00EB7"/>
    <w:rsid w:val="00E00ED1"/>
    <w:rsid w:val="00E00F23"/>
    <w:rsid w:val="00E00F65"/>
    <w:rsid w:val="00E00F75"/>
    <w:rsid w:val="00E00F76"/>
    <w:rsid w:val="00E00F79"/>
    <w:rsid w:val="00E00FBC"/>
    <w:rsid w:val="00E01065"/>
    <w:rsid w:val="00E010F2"/>
    <w:rsid w:val="00E010F8"/>
    <w:rsid w:val="00E010FA"/>
    <w:rsid w:val="00E01157"/>
    <w:rsid w:val="00E01158"/>
    <w:rsid w:val="00E0115D"/>
    <w:rsid w:val="00E0115E"/>
    <w:rsid w:val="00E01178"/>
    <w:rsid w:val="00E011A4"/>
    <w:rsid w:val="00E01206"/>
    <w:rsid w:val="00E0120B"/>
    <w:rsid w:val="00E01218"/>
    <w:rsid w:val="00E01284"/>
    <w:rsid w:val="00E012BA"/>
    <w:rsid w:val="00E0131C"/>
    <w:rsid w:val="00E01358"/>
    <w:rsid w:val="00E0137E"/>
    <w:rsid w:val="00E013A5"/>
    <w:rsid w:val="00E013B4"/>
    <w:rsid w:val="00E013CD"/>
    <w:rsid w:val="00E01405"/>
    <w:rsid w:val="00E0144A"/>
    <w:rsid w:val="00E014CA"/>
    <w:rsid w:val="00E014D4"/>
    <w:rsid w:val="00E014DF"/>
    <w:rsid w:val="00E014F0"/>
    <w:rsid w:val="00E014FC"/>
    <w:rsid w:val="00E01523"/>
    <w:rsid w:val="00E0154D"/>
    <w:rsid w:val="00E0158D"/>
    <w:rsid w:val="00E015A0"/>
    <w:rsid w:val="00E015EC"/>
    <w:rsid w:val="00E015FF"/>
    <w:rsid w:val="00E0165D"/>
    <w:rsid w:val="00E01661"/>
    <w:rsid w:val="00E01666"/>
    <w:rsid w:val="00E01668"/>
    <w:rsid w:val="00E016CF"/>
    <w:rsid w:val="00E01767"/>
    <w:rsid w:val="00E017A4"/>
    <w:rsid w:val="00E017DC"/>
    <w:rsid w:val="00E017FA"/>
    <w:rsid w:val="00E01816"/>
    <w:rsid w:val="00E0185F"/>
    <w:rsid w:val="00E01863"/>
    <w:rsid w:val="00E01887"/>
    <w:rsid w:val="00E018AD"/>
    <w:rsid w:val="00E018D2"/>
    <w:rsid w:val="00E018EB"/>
    <w:rsid w:val="00E01916"/>
    <w:rsid w:val="00E0191B"/>
    <w:rsid w:val="00E01928"/>
    <w:rsid w:val="00E01942"/>
    <w:rsid w:val="00E01955"/>
    <w:rsid w:val="00E01978"/>
    <w:rsid w:val="00E01995"/>
    <w:rsid w:val="00E01999"/>
    <w:rsid w:val="00E01A00"/>
    <w:rsid w:val="00E01A0D"/>
    <w:rsid w:val="00E01A21"/>
    <w:rsid w:val="00E01A31"/>
    <w:rsid w:val="00E01A39"/>
    <w:rsid w:val="00E01AD1"/>
    <w:rsid w:val="00E01AED"/>
    <w:rsid w:val="00E01B0D"/>
    <w:rsid w:val="00E01B1A"/>
    <w:rsid w:val="00E01B34"/>
    <w:rsid w:val="00E01B43"/>
    <w:rsid w:val="00E01B6E"/>
    <w:rsid w:val="00E01B75"/>
    <w:rsid w:val="00E01B79"/>
    <w:rsid w:val="00E01C3A"/>
    <w:rsid w:val="00E01C50"/>
    <w:rsid w:val="00E01C67"/>
    <w:rsid w:val="00E01CAF"/>
    <w:rsid w:val="00E01CD5"/>
    <w:rsid w:val="00E01CF7"/>
    <w:rsid w:val="00E01D1A"/>
    <w:rsid w:val="00E01D20"/>
    <w:rsid w:val="00E01D3C"/>
    <w:rsid w:val="00E01DB4"/>
    <w:rsid w:val="00E01DCD"/>
    <w:rsid w:val="00E01DEA"/>
    <w:rsid w:val="00E01E1A"/>
    <w:rsid w:val="00E01E77"/>
    <w:rsid w:val="00E01E9E"/>
    <w:rsid w:val="00E01EB5"/>
    <w:rsid w:val="00E01F9B"/>
    <w:rsid w:val="00E01FE2"/>
    <w:rsid w:val="00E0205C"/>
    <w:rsid w:val="00E02069"/>
    <w:rsid w:val="00E02080"/>
    <w:rsid w:val="00E02084"/>
    <w:rsid w:val="00E02091"/>
    <w:rsid w:val="00E020A1"/>
    <w:rsid w:val="00E0211D"/>
    <w:rsid w:val="00E02120"/>
    <w:rsid w:val="00E02126"/>
    <w:rsid w:val="00E02153"/>
    <w:rsid w:val="00E0219E"/>
    <w:rsid w:val="00E021C2"/>
    <w:rsid w:val="00E0223C"/>
    <w:rsid w:val="00E0228A"/>
    <w:rsid w:val="00E022EB"/>
    <w:rsid w:val="00E0230B"/>
    <w:rsid w:val="00E02374"/>
    <w:rsid w:val="00E023D0"/>
    <w:rsid w:val="00E02407"/>
    <w:rsid w:val="00E0240D"/>
    <w:rsid w:val="00E02425"/>
    <w:rsid w:val="00E024CA"/>
    <w:rsid w:val="00E02504"/>
    <w:rsid w:val="00E02541"/>
    <w:rsid w:val="00E02574"/>
    <w:rsid w:val="00E025D2"/>
    <w:rsid w:val="00E025E5"/>
    <w:rsid w:val="00E02671"/>
    <w:rsid w:val="00E026B9"/>
    <w:rsid w:val="00E026C2"/>
    <w:rsid w:val="00E0271B"/>
    <w:rsid w:val="00E0272D"/>
    <w:rsid w:val="00E02737"/>
    <w:rsid w:val="00E02747"/>
    <w:rsid w:val="00E02753"/>
    <w:rsid w:val="00E027B1"/>
    <w:rsid w:val="00E027CF"/>
    <w:rsid w:val="00E027D1"/>
    <w:rsid w:val="00E027F4"/>
    <w:rsid w:val="00E02834"/>
    <w:rsid w:val="00E0290D"/>
    <w:rsid w:val="00E02918"/>
    <w:rsid w:val="00E029BE"/>
    <w:rsid w:val="00E029FB"/>
    <w:rsid w:val="00E02A08"/>
    <w:rsid w:val="00E02A34"/>
    <w:rsid w:val="00E02A44"/>
    <w:rsid w:val="00E02A80"/>
    <w:rsid w:val="00E02B05"/>
    <w:rsid w:val="00E02B57"/>
    <w:rsid w:val="00E02B75"/>
    <w:rsid w:val="00E02B76"/>
    <w:rsid w:val="00E02B9B"/>
    <w:rsid w:val="00E02BA4"/>
    <w:rsid w:val="00E02BB1"/>
    <w:rsid w:val="00E02BBA"/>
    <w:rsid w:val="00E02C48"/>
    <w:rsid w:val="00E02CFF"/>
    <w:rsid w:val="00E02D0C"/>
    <w:rsid w:val="00E02D98"/>
    <w:rsid w:val="00E02DB9"/>
    <w:rsid w:val="00E02DC5"/>
    <w:rsid w:val="00E02DD6"/>
    <w:rsid w:val="00E02DEE"/>
    <w:rsid w:val="00E02E1A"/>
    <w:rsid w:val="00E02E31"/>
    <w:rsid w:val="00E02E64"/>
    <w:rsid w:val="00E02EB3"/>
    <w:rsid w:val="00E02EC1"/>
    <w:rsid w:val="00E02F07"/>
    <w:rsid w:val="00E02F2E"/>
    <w:rsid w:val="00E02F3B"/>
    <w:rsid w:val="00E02F4A"/>
    <w:rsid w:val="00E02F5E"/>
    <w:rsid w:val="00E02FBB"/>
    <w:rsid w:val="00E02FD1"/>
    <w:rsid w:val="00E03010"/>
    <w:rsid w:val="00E030AB"/>
    <w:rsid w:val="00E030CA"/>
    <w:rsid w:val="00E030F1"/>
    <w:rsid w:val="00E03130"/>
    <w:rsid w:val="00E03181"/>
    <w:rsid w:val="00E03183"/>
    <w:rsid w:val="00E03197"/>
    <w:rsid w:val="00E031D9"/>
    <w:rsid w:val="00E031DB"/>
    <w:rsid w:val="00E031FA"/>
    <w:rsid w:val="00E03203"/>
    <w:rsid w:val="00E0323A"/>
    <w:rsid w:val="00E03281"/>
    <w:rsid w:val="00E0329C"/>
    <w:rsid w:val="00E032AC"/>
    <w:rsid w:val="00E032B0"/>
    <w:rsid w:val="00E032B7"/>
    <w:rsid w:val="00E03321"/>
    <w:rsid w:val="00E03326"/>
    <w:rsid w:val="00E03353"/>
    <w:rsid w:val="00E03370"/>
    <w:rsid w:val="00E03379"/>
    <w:rsid w:val="00E03386"/>
    <w:rsid w:val="00E033A7"/>
    <w:rsid w:val="00E033DD"/>
    <w:rsid w:val="00E03445"/>
    <w:rsid w:val="00E03450"/>
    <w:rsid w:val="00E03451"/>
    <w:rsid w:val="00E0347C"/>
    <w:rsid w:val="00E03488"/>
    <w:rsid w:val="00E0348F"/>
    <w:rsid w:val="00E034DE"/>
    <w:rsid w:val="00E034E1"/>
    <w:rsid w:val="00E0350F"/>
    <w:rsid w:val="00E0353D"/>
    <w:rsid w:val="00E035EA"/>
    <w:rsid w:val="00E03616"/>
    <w:rsid w:val="00E03658"/>
    <w:rsid w:val="00E03659"/>
    <w:rsid w:val="00E03662"/>
    <w:rsid w:val="00E0366E"/>
    <w:rsid w:val="00E03687"/>
    <w:rsid w:val="00E03688"/>
    <w:rsid w:val="00E0369A"/>
    <w:rsid w:val="00E036BC"/>
    <w:rsid w:val="00E03768"/>
    <w:rsid w:val="00E03786"/>
    <w:rsid w:val="00E037C9"/>
    <w:rsid w:val="00E037CC"/>
    <w:rsid w:val="00E037FA"/>
    <w:rsid w:val="00E03859"/>
    <w:rsid w:val="00E0386D"/>
    <w:rsid w:val="00E03925"/>
    <w:rsid w:val="00E039BE"/>
    <w:rsid w:val="00E039CD"/>
    <w:rsid w:val="00E039D0"/>
    <w:rsid w:val="00E03A03"/>
    <w:rsid w:val="00E03A21"/>
    <w:rsid w:val="00E03A93"/>
    <w:rsid w:val="00E03AA4"/>
    <w:rsid w:val="00E03AE6"/>
    <w:rsid w:val="00E03AF8"/>
    <w:rsid w:val="00E03AFC"/>
    <w:rsid w:val="00E03B10"/>
    <w:rsid w:val="00E03B32"/>
    <w:rsid w:val="00E03B3E"/>
    <w:rsid w:val="00E03B47"/>
    <w:rsid w:val="00E03B69"/>
    <w:rsid w:val="00E03B8C"/>
    <w:rsid w:val="00E03BBC"/>
    <w:rsid w:val="00E03BE7"/>
    <w:rsid w:val="00E03C10"/>
    <w:rsid w:val="00E03C32"/>
    <w:rsid w:val="00E03CBB"/>
    <w:rsid w:val="00E03D14"/>
    <w:rsid w:val="00E03D17"/>
    <w:rsid w:val="00E03D25"/>
    <w:rsid w:val="00E03D57"/>
    <w:rsid w:val="00E03D8E"/>
    <w:rsid w:val="00E03DD6"/>
    <w:rsid w:val="00E03E04"/>
    <w:rsid w:val="00E03E0E"/>
    <w:rsid w:val="00E03E33"/>
    <w:rsid w:val="00E03E57"/>
    <w:rsid w:val="00E03EA6"/>
    <w:rsid w:val="00E03EC2"/>
    <w:rsid w:val="00E03ECB"/>
    <w:rsid w:val="00E03EE9"/>
    <w:rsid w:val="00E03F11"/>
    <w:rsid w:val="00E03F2A"/>
    <w:rsid w:val="00E03F70"/>
    <w:rsid w:val="00E03FB2"/>
    <w:rsid w:val="00E03FE6"/>
    <w:rsid w:val="00E03FFD"/>
    <w:rsid w:val="00E04048"/>
    <w:rsid w:val="00E04106"/>
    <w:rsid w:val="00E04132"/>
    <w:rsid w:val="00E04193"/>
    <w:rsid w:val="00E041B7"/>
    <w:rsid w:val="00E041CF"/>
    <w:rsid w:val="00E041F8"/>
    <w:rsid w:val="00E041FE"/>
    <w:rsid w:val="00E0425D"/>
    <w:rsid w:val="00E04263"/>
    <w:rsid w:val="00E0427C"/>
    <w:rsid w:val="00E042D4"/>
    <w:rsid w:val="00E042FA"/>
    <w:rsid w:val="00E04312"/>
    <w:rsid w:val="00E04338"/>
    <w:rsid w:val="00E0437D"/>
    <w:rsid w:val="00E04391"/>
    <w:rsid w:val="00E043BF"/>
    <w:rsid w:val="00E043F7"/>
    <w:rsid w:val="00E04480"/>
    <w:rsid w:val="00E04526"/>
    <w:rsid w:val="00E04541"/>
    <w:rsid w:val="00E0454B"/>
    <w:rsid w:val="00E0456D"/>
    <w:rsid w:val="00E04586"/>
    <w:rsid w:val="00E045AE"/>
    <w:rsid w:val="00E045F5"/>
    <w:rsid w:val="00E04648"/>
    <w:rsid w:val="00E0464E"/>
    <w:rsid w:val="00E0468C"/>
    <w:rsid w:val="00E046EA"/>
    <w:rsid w:val="00E04705"/>
    <w:rsid w:val="00E0472C"/>
    <w:rsid w:val="00E04738"/>
    <w:rsid w:val="00E04740"/>
    <w:rsid w:val="00E04743"/>
    <w:rsid w:val="00E0475F"/>
    <w:rsid w:val="00E04769"/>
    <w:rsid w:val="00E04782"/>
    <w:rsid w:val="00E047E2"/>
    <w:rsid w:val="00E04800"/>
    <w:rsid w:val="00E0480D"/>
    <w:rsid w:val="00E04812"/>
    <w:rsid w:val="00E0481B"/>
    <w:rsid w:val="00E0482A"/>
    <w:rsid w:val="00E04830"/>
    <w:rsid w:val="00E04854"/>
    <w:rsid w:val="00E0487F"/>
    <w:rsid w:val="00E0489B"/>
    <w:rsid w:val="00E048AE"/>
    <w:rsid w:val="00E048B0"/>
    <w:rsid w:val="00E048C3"/>
    <w:rsid w:val="00E048E5"/>
    <w:rsid w:val="00E048F3"/>
    <w:rsid w:val="00E04911"/>
    <w:rsid w:val="00E04929"/>
    <w:rsid w:val="00E0494B"/>
    <w:rsid w:val="00E04961"/>
    <w:rsid w:val="00E04985"/>
    <w:rsid w:val="00E04A35"/>
    <w:rsid w:val="00E04A60"/>
    <w:rsid w:val="00E04A65"/>
    <w:rsid w:val="00E04A66"/>
    <w:rsid w:val="00E04BC6"/>
    <w:rsid w:val="00E04BDA"/>
    <w:rsid w:val="00E04BE6"/>
    <w:rsid w:val="00E04C02"/>
    <w:rsid w:val="00E04C08"/>
    <w:rsid w:val="00E04C7D"/>
    <w:rsid w:val="00E04CD9"/>
    <w:rsid w:val="00E04D13"/>
    <w:rsid w:val="00E04D69"/>
    <w:rsid w:val="00E04D7B"/>
    <w:rsid w:val="00E04D7D"/>
    <w:rsid w:val="00E04DC0"/>
    <w:rsid w:val="00E04E22"/>
    <w:rsid w:val="00E04E64"/>
    <w:rsid w:val="00E04E67"/>
    <w:rsid w:val="00E04EBF"/>
    <w:rsid w:val="00E04EF2"/>
    <w:rsid w:val="00E04EFF"/>
    <w:rsid w:val="00E04F1B"/>
    <w:rsid w:val="00E04F65"/>
    <w:rsid w:val="00E04F84"/>
    <w:rsid w:val="00E04F93"/>
    <w:rsid w:val="00E04F95"/>
    <w:rsid w:val="00E04FA3"/>
    <w:rsid w:val="00E04FBD"/>
    <w:rsid w:val="00E05001"/>
    <w:rsid w:val="00E05020"/>
    <w:rsid w:val="00E0502B"/>
    <w:rsid w:val="00E05047"/>
    <w:rsid w:val="00E0505D"/>
    <w:rsid w:val="00E050B5"/>
    <w:rsid w:val="00E050DF"/>
    <w:rsid w:val="00E05100"/>
    <w:rsid w:val="00E05125"/>
    <w:rsid w:val="00E0513F"/>
    <w:rsid w:val="00E05150"/>
    <w:rsid w:val="00E05192"/>
    <w:rsid w:val="00E051E3"/>
    <w:rsid w:val="00E0521F"/>
    <w:rsid w:val="00E05222"/>
    <w:rsid w:val="00E05263"/>
    <w:rsid w:val="00E0527F"/>
    <w:rsid w:val="00E052FB"/>
    <w:rsid w:val="00E0532C"/>
    <w:rsid w:val="00E05342"/>
    <w:rsid w:val="00E05345"/>
    <w:rsid w:val="00E053E5"/>
    <w:rsid w:val="00E0544A"/>
    <w:rsid w:val="00E0549A"/>
    <w:rsid w:val="00E054C4"/>
    <w:rsid w:val="00E054E5"/>
    <w:rsid w:val="00E054E6"/>
    <w:rsid w:val="00E054E7"/>
    <w:rsid w:val="00E0550B"/>
    <w:rsid w:val="00E05588"/>
    <w:rsid w:val="00E055AF"/>
    <w:rsid w:val="00E0567F"/>
    <w:rsid w:val="00E05680"/>
    <w:rsid w:val="00E0568E"/>
    <w:rsid w:val="00E056B9"/>
    <w:rsid w:val="00E056E5"/>
    <w:rsid w:val="00E05700"/>
    <w:rsid w:val="00E05736"/>
    <w:rsid w:val="00E05771"/>
    <w:rsid w:val="00E0578A"/>
    <w:rsid w:val="00E057A0"/>
    <w:rsid w:val="00E057C9"/>
    <w:rsid w:val="00E05811"/>
    <w:rsid w:val="00E05815"/>
    <w:rsid w:val="00E058D4"/>
    <w:rsid w:val="00E058D7"/>
    <w:rsid w:val="00E058EE"/>
    <w:rsid w:val="00E0591A"/>
    <w:rsid w:val="00E059AF"/>
    <w:rsid w:val="00E05AB0"/>
    <w:rsid w:val="00E05ADA"/>
    <w:rsid w:val="00E05B01"/>
    <w:rsid w:val="00E05B58"/>
    <w:rsid w:val="00E05BB6"/>
    <w:rsid w:val="00E05BFC"/>
    <w:rsid w:val="00E05C52"/>
    <w:rsid w:val="00E05C6C"/>
    <w:rsid w:val="00E05C6E"/>
    <w:rsid w:val="00E05C7C"/>
    <w:rsid w:val="00E05C85"/>
    <w:rsid w:val="00E05CC2"/>
    <w:rsid w:val="00E05CE5"/>
    <w:rsid w:val="00E05CFD"/>
    <w:rsid w:val="00E05D5C"/>
    <w:rsid w:val="00E05D6F"/>
    <w:rsid w:val="00E05D93"/>
    <w:rsid w:val="00E05DA3"/>
    <w:rsid w:val="00E05DA8"/>
    <w:rsid w:val="00E05DB3"/>
    <w:rsid w:val="00E05E59"/>
    <w:rsid w:val="00E05E60"/>
    <w:rsid w:val="00E05E9F"/>
    <w:rsid w:val="00E05ED0"/>
    <w:rsid w:val="00E05EF3"/>
    <w:rsid w:val="00E05F0F"/>
    <w:rsid w:val="00E05F34"/>
    <w:rsid w:val="00E05F3C"/>
    <w:rsid w:val="00E05F5D"/>
    <w:rsid w:val="00E05F65"/>
    <w:rsid w:val="00E05F6C"/>
    <w:rsid w:val="00E05F9C"/>
    <w:rsid w:val="00E05F9F"/>
    <w:rsid w:val="00E05FA3"/>
    <w:rsid w:val="00E06028"/>
    <w:rsid w:val="00E06040"/>
    <w:rsid w:val="00E0604A"/>
    <w:rsid w:val="00E0606C"/>
    <w:rsid w:val="00E06074"/>
    <w:rsid w:val="00E06084"/>
    <w:rsid w:val="00E06086"/>
    <w:rsid w:val="00E06111"/>
    <w:rsid w:val="00E0611F"/>
    <w:rsid w:val="00E061E5"/>
    <w:rsid w:val="00E06212"/>
    <w:rsid w:val="00E062B5"/>
    <w:rsid w:val="00E06301"/>
    <w:rsid w:val="00E0637F"/>
    <w:rsid w:val="00E063DF"/>
    <w:rsid w:val="00E06425"/>
    <w:rsid w:val="00E06450"/>
    <w:rsid w:val="00E06471"/>
    <w:rsid w:val="00E06488"/>
    <w:rsid w:val="00E06496"/>
    <w:rsid w:val="00E064E9"/>
    <w:rsid w:val="00E06506"/>
    <w:rsid w:val="00E06529"/>
    <w:rsid w:val="00E06544"/>
    <w:rsid w:val="00E06568"/>
    <w:rsid w:val="00E06572"/>
    <w:rsid w:val="00E0657B"/>
    <w:rsid w:val="00E0659D"/>
    <w:rsid w:val="00E065D3"/>
    <w:rsid w:val="00E065E2"/>
    <w:rsid w:val="00E065EE"/>
    <w:rsid w:val="00E0661E"/>
    <w:rsid w:val="00E0664E"/>
    <w:rsid w:val="00E06674"/>
    <w:rsid w:val="00E0667A"/>
    <w:rsid w:val="00E066E5"/>
    <w:rsid w:val="00E066F7"/>
    <w:rsid w:val="00E06748"/>
    <w:rsid w:val="00E06758"/>
    <w:rsid w:val="00E06766"/>
    <w:rsid w:val="00E067BE"/>
    <w:rsid w:val="00E067CC"/>
    <w:rsid w:val="00E06889"/>
    <w:rsid w:val="00E0688D"/>
    <w:rsid w:val="00E068AB"/>
    <w:rsid w:val="00E068BB"/>
    <w:rsid w:val="00E068D0"/>
    <w:rsid w:val="00E068D6"/>
    <w:rsid w:val="00E0693A"/>
    <w:rsid w:val="00E06940"/>
    <w:rsid w:val="00E06997"/>
    <w:rsid w:val="00E06A15"/>
    <w:rsid w:val="00E06A29"/>
    <w:rsid w:val="00E06A37"/>
    <w:rsid w:val="00E06A95"/>
    <w:rsid w:val="00E06AF1"/>
    <w:rsid w:val="00E06AF2"/>
    <w:rsid w:val="00E06B0F"/>
    <w:rsid w:val="00E06BAA"/>
    <w:rsid w:val="00E06BC9"/>
    <w:rsid w:val="00E06BF3"/>
    <w:rsid w:val="00E06BFE"/>
    <w:rsid w:val="00E06C01"/>
    <w:rsid w:val="00E06C71"/>
    <w:rsid w:val="00E06C90"/>
    <w:rsid w:val="00E06CB0"/>
    <w:rsid w:val="00E06CE9"/>
    <w:rsid w:val="00E06D63"/>
    <w:rsid w:val="00E06D68"/>
    <w:rsid w:val="00E06D8E"/>
    <w:rsid w:val="00E06DD4"/>
    <w:rsid w:val="00E06E18"/>
    <w:rsid w:val="00E06E36"/>
    <w:rsid w:val="00E06E45"/>
    <w:rsid w:val="00E06E46"/>
    <w:rsid w:val="00E06E6B"/>
    <w:rsid w:val="00E06E79"/>
    <w:rsid w:val="00E06EBE"/>
    <w:rsid w:val="00E06ED1"/>
    <w:rsid w:val="00E06EFF"/>
    <w:rsid w:val="00E06F75"/>
    <w:rsid w:val="00E06FA8"/>
    <w:rsid w:val="00E06FF5"/>
    <w:rsid w:val="00E0700F"/>
    <w:rsid w:val="00E0702C"/>
    <w:rsid w:val="00E07031"/>
    <w:rsid w:val="00E07059"/>
    <w:rsid w:val="00E07078"/>
    <w:rsid w:val="00E070B5"/>
    <w:rsid w:val="00E070E5"/>
    <w:rsid w:val="00E0712B"/>
    <w:rsid w:val="00E07151"/>
    <w:rsid w:val="00E0715E"/>
    <w:rsid w:val="00E071C2"/>
    <w:rsid w:val="00E071DC"/>
    <w:rsid w:val="00E071E3"/>
    <w:rsid w:val="00E07207"/>
    <w:rsid w:val="00E0720B"/>
    <w:rsid w:val="00E0721F"/>
    <w:rsid w:val="00E0729C"/>
    <w:rsid w:val="00E07347"/>
    <w:rsid w:val="00E07368"/>
    <w:rsid w:val="00E07372"/>
    <w:rsid w:val="00E073D6"/>
    <w:rsid w:val="00E073E4"/>
    <w:rsid w:val="00E073F6"/>
    <w:rsid w:val="00E07409"/>
    <w:rsid w:val="00E07420"/>
    <w:rsid w:val="00E0746A"/>
    <w:rsid w:val="00E0746C"/>
    <w:rsid w:val="00E07475"/>
    <w:rsid w:val="00E07476"/>
    <w:rsid w:val="00E074B0"/>
    <w:rsid w:val="00E074B1"/>
    <w:rsid w:val="00E074CF"/>
    <w:rsid w:val="00E074F2"/>
    <w:rsid w:val="00E0755E"/>
    <w:rsid w:val="00E07579"/>
    <w:rsid w:val="00E0758F"/>
    <w:rsid w:val="00E07598"/>
    <w:rsid w:val="00E075F5"/>
    <w:rsid w:val="00E075FC"/>
    <w:rsid w:val="00E07603"/>
    <w:rsid w:val="00E0761F"/>
    <w:rsid w:val="00E076F0"/>
    <w:rsid w:val="00E07719"/>
    <w:rsid w:val="00E07733"/>
    <w:rsid w:val="00E07736"/>
    <w:rsid w:val="00E07758"/>
    <w:rsid w:val="00E07759"/>
    <w:rsid w:val="00E07768"/>
    <w:rsid w:val="00E07796"/>
    <w:rsid w:val="00E077E6"/>
    <w:rsid w:val="00E077ED"/>
    <w:rsid w:val="00E07815"/>
    <w:rsid w:val="00E0782F"/>
    <w:rsid w:val="00E07868"/>
    <w:rsid w:val="00E0788C"/>
    <w:rsid w:val="00E078AA"/>
    <w:rsid w:val="00E078D6"/>
    <w:rsid w:val="00E07926"/>
    <w:rsid w:val="00E0793E"/>
    <w:rsid w:val="00E07959"/>
    <w:rsid w:val="00E07971"/>
    <w:rsid w:val="00E07978"/>
    <w:rsid w:val="00E07993"/>
    <w:rsid w:val="00E079A7"/>
    <w:rsid w:val="00E079BB"/>
    <w:rsid w:val="00E07AAD"/>
    <w:rsid w:val="00E07AC5"/>
    <w:rsid w:val="00E07AD1"/>
    <w:rsid w:val="00E07AD5"/>
    <w:rsid w:val="00E07AD9"/>
    <w:rsid w:val="00E07B7E"/>
    <w:rsid w:val="00E07BB6"/>
    <w:rsid w:val="00E07BBD"/>
    <w:rsid w:val="00E07BD8"/>
    <w:rsid w:val="00E07BF3"/>
    <w:rsid w:val="00E07C01"/>
    <w:rsid w:val="00E07C15"/>
    <w:rsid w:val="00E07C3A"/>
    <w:rsid w:val="00E07C42"/>
    <w:rsid w:val="00E07C52"/>
    <w:rsid w:val="00E07C74"/>
    <w:rsid w:val="00E07CFB"/>
    <w:rsid w:val="00E07D90"/>
    <w:rsid w:val="00E07DAC"/>
    <w:rsid w:val="00E07DC1"/>
    <w:rsid w:val="00E07DF8"/>
    <w:rsid w:val="00E07E36"/>
    <w:rsid w:val="00E07E70"/>
    <w:rsid w:val="00E07EA1"/>
    <w:rsid w:val="00E07ECC"/>
    <w:rsid w:val="00E07EEC"/>
    <w:rsid w:val="00E07F37"/>
    <w:rsid w:val="00E07F4B"/>
    <w:rsid w:val="00E07F6C"/>
    <w:rsid w:val="00E07F6D"/>
    <w:rsid w:val="00E07F82"/>
    <w:rsid w:val="00E07FC8"/>
    <w:rsid w:val="00E10053"/>
    <w:rsid w:val="00E1006E"/>
    <w:rsid w:val="00E100C1"/>
    <w:rsid w:val="00E100C3"/>
    <w:rsid w:val="00E10136"/>
    <w:rsid w:val="00E10138"/>
    <w:rsid w:val="00E10175"/>
    <w:rsid w:val="00E101AC"/>
    <w:rsid w:val="00E1022C"/>
    <w:rsid w:val="00E1022F"/>
    <w:rsid w:val="00E10237"/>
    <w:rsid w:val="00E10240"/>
    <w:rsid w:val="00E102BB"/>
    <w:rsid w:val="00E102C4"/>
    <w:rsid w:val="00E1030E"/>
    <w:rsid w:val="00E10311"/>
    <w:rsid w:val="00E10319"/>
    <w:rsid w:val="00E1031D"/>
    <w:rsid w:val="00E10339"/>
    <w:rsid w:val="00E1035B"/>
    <w:rsid w:val="00E1036A"/>
    <w:rsid w:val="00E1037E"/>
    <w:rsid w:val="00E103D9"/>
    <w:rsid w:val="00E10402"/>
    <w:rsid w:val="00E10404"/>
    <w:rsid w:val="00E10454"/>
    <w:rsid w:val="00E10459"/>
    <w:rsid w:val="00E10466"/>
    <w:rsid w:val="00E104A7"/>
    <w:rsid w:val="00E104B3"/>
    <w:rsid w:val="00E104B4"/>
    <w:rsid w:val="00E104F5"/>
    <w:rsid w:val="00E10522"/>
    <w:rsid w:val="00E10526"/>
    <w:rsid w:val="00E10543"/>
    <w:rsid w:val="00E1055A"/>
    <w:rsid w:val="00E105EE"/>
    <w:rsid w:val="00E1060A"/>
    <w:rsid w:val="00E1062F"/>
    <w:rsid w:val="00E10667"/>
    <w:rsid w:val="00E1066B"/>
    <w:rsid w:val="00E1068C"/>
    <w:rsid w:val="00E10712"/>
    <w:rsid w:val="00E1073B"/>
    <w:rsid w:val="00E10758"/>
    <w:rsid w:val="00E1078A"/>
    <w:rsid w:val="00E10792"/>
    <w:rsid w:val="00E107AB"/>
    <w:rsid w:val="00E1081C"/>
    <w:rsid w:val="00E108B6"/>
    <w:rsid w:val="00E10915"/>
    <w:rsid w:val="00E1094F"/>
    <w:rsid w:val="00E10955"/>
    <w:rsid w:val="00E1095F"/>
    <w:rsid w:val="00E10962"/>
    <w:rsid w:val="00E10965"/>
    <w:rsid w:val="00E10977"/>
    <w:rsid w:val="00E10985"/>
    <w:rsid w:val="00E109B9"/>
    <w:rsid w:val="00E10A64"/>
    <w:rsid w:val="00E10A8F"/>
    <w:rsid w:val="00E10AA1"/>
    <w:rsid w:val="00E10AB5"/>
    <w:rsid w:val="00E10ABB"/>
    <w:rsid w:val="00E10B33"/>
    <w:rsid w:val="00E10B8B"/>
    <w:rsid w:val="00E10BA8"/>
    <w:rsid w:val="00E10BB3"/>
    <w:rsid w:val="00E10BEE"/>
    <w:rsid w:val="00E10BF4"/>
    <w:rsid w:val="00E10BFF"/>
    <w:rsid w:val="00E10C10"/>
    <w:rsid w:val="00E10C3B"/>
    <w:rsid w:val="00E10C4F"/>
    <w:rsid w:val="00E10CDF"/>
    <w:rsid w:val="00E10D2F"/>
    <w:rsid w:val="00E10D58"/>
    <w:rsid w:val="00E10D6A"/>
    <w:rsid w:val="00E10D9A"/>
    <w:rsid w:val="00E10DA4"/>
    <w:rsid w:val="00E10DB1"/>
    <w:rsid w:val="00E10E0F"/>
    <w:rsid w:val="00E10E23"/>
    <w:rsid w:val="00E10E8C"/>
    <w:rsid w:val="00E10EB8"/>
    <w:rsid w:val="00E10F30"/>
    <w:rsid w:val="00E10F31"/>
    <w:rsid w:val="00E10F65"/>
    <w:rsid w:val="00E10F8A"/>
    <w:rsid w:val="00E10FB5"/>
    <w:rsid w:val="00E10FF9"/>
    <w:rsid w:val="00E11019"/>
    <w:rsid w:val="00E1102B"/>
    <w:rsid w:val="00E1102D"/>
    <w:rsid w:val="00E11053"/>
    <w:rsid w:val="00E1107A"/>
    <w:rsid w:val="00E1107C"/>
    <w:rsid w:val="00E1109A"/>
    <w:rsid w:val="00E110A2"/>
    <w:rsid w:val="00E110BF"/>
    <w:rsid w:val="00E110CA"/>
    <w:rsid w:val="00E110FF"/>
    <w:rsid w:val="00E11155"/>
    <w:rsid w:val="00E1117A"/>
    <w:rsid w:val="00E11192"/>
    <w:rsid w:val="00E111EB"/>
    <w:rsid w:val="00E1120A"/>
    <w:rsid w:val="00E1121D"/>
    <w:rsid w:val="00E11238"/>
    <w:rsid w:val="00E11252"/>
    <w:rsid w:val="00E11284"/>
    <w:rsid w:val="00E1128B"/>
    <w:rsid w:val="00E1128D"/>
    <w:rsid w:val="00E1129D"/>
    <w:rsid w:val="00E112E7"/>
    <w:rsid w:val="00E11384"/>
    <w:rsid w:val="00E113D6"/>
    <w:rsid w:val="00E11562"/>
    <w:rsid w:val="00E11599"/>
    <w:rsid w:val="00E115FD"/>
    <w:rsid w:val="00E11630"/>
    <w:rsid w:val="00E11663"/>
    <w:rsid w:val="00E1168B"/>
    <w:rsid w:val="00E11716"/>
    <w:rsid w:val="00E11764"/>
    <w:rsid w:val="00E117A7"/>
    <w:rsid w:val="00E117E6"/>
    <w:rsid w:val="00E117E8"/>
    <w:rsid w:val="00E117FC"/>
    <w:rsid w:val="00E11827"/>
    <w:rsid w:val="00E11877"/>
    <w:rsid w:val="00E1187B"/>
    <w:rsid w:val="00E118BE"/>
    <w:rsid w:val="00E118E6"/>
    <w:rsid w:val="00E118E7"/>
    <w:rsid w:val="00E118E9"/>
    <w:rsid w:val="00E1190D"/>
    <w:rsid w:val="00E1191F"/>
    <w:rsid w:val="00E11948"/>
    <w:rsid w:val="00E119B6"/>
    <w:rsid w:val="00E119D6"/>
    <w:rsid w:val="00E119E7"/>
    <w:rsid w:val="00E11A6A"/>
    <w:rsid w:val="00E11AA2"/>
    <w:rsid w:val="00E11AFC"/>
    <w:rsid w:val="00E11B94"/>
    <w:rsid w:val="00E11BB0"/>
    <w:rsid w:val="00E11C02"/>
    <w:rsid w:val="00E11C28"/>
    <w:rsid w:val="00E11C94"/>
    <w:rsid w:val="00E11C9B"/>
    <w:rsid w:val="00E11CBA"/>
    <w:rsid w:val="00E11D08"/>
    <w:rsid w:val="00E11D0E"/>
    <w:rsid w:val="00E11D47"/>
    <w:rsid w:val="00E11D88"/>
    <w:rsid w:val="00E11D91"/>
    <w:rsid w:val="00E11E12"/>
    <w:rsid w:val="00E11E21"/>
    <w:rsid w:val="00E11E2A"/>
    <w:rsid w:val="00E11E44"/>
    <w:rsid w:val="00E11E70"/>
    <w:rsid w:val="00E11E77"/>
    <w:rsid w:val="00E11E89"/>
    <w:rsid w:val="00E11F12"/>
    <w:rsid w:val="00E11F4F"/>
    <w:rsid w:val="00E11F84"/>
    <w:rsid w:val="00E11FD8"/>
    <w:rsid w:val="00E1200E"/>
    <w:rsid w:val="00E12037"/>
    <w:rsid w:val="00E12050"/>
    <w:rsid w:val="00E120B4"/>
    <w:rsid w:val="00E1210B"/>
    <w:rsid w:val="00E1210E"/>
    <w:rsid w:val="00E1210F"/>
    <w:rsid w:val="00E12117"/>
    <w:rsid w:val="00E12129"/>
    <w:rsid w:val="00E12165"/>
    <w:rsid w:val="00E1217A"/>
    <w:rsid w:val="00E121B9"/>
    <w:rsid w:val="00E121FB"/>
    <w:rsid w:val="00E121FE"/>
    <w:rsid w:val="00E1227A"/>
    <w:rsid w:val="00E12284"/>
    <w:rsid w:val="00E122C9"/>
    <w:rsid w:val="00E122D4"/>
    <w:rsid w:val="00E1236F"/>
    <w:rsid w:val="00E12375"/>
    <w:rsid w:val="00E12387"/>
    <w:rsid w:val="00E123DD"/>
    <w:rsid w:val="00E1241A"/>
    <w:rsid w:val="00E12496"/>
    <w:rsid w:val="00E1249B"/>
    <w:rsid w:val="00E124B6"/>
    <w:rsid w:val="00E1252A"/>
    <w:rsid w:val="00E12533"/>
    <w:rsid w:val="00E12544"/>
    <w:rsid w:val="00E1255A"/>
    <w:rsid w:val="00E125BF"/>
    <w:rsid w:val="00E125ED"/>
    <w:rsid w:val="00E126FF"/>
    <w:rsid w:val="00E1273F"/>
    <w:rsid w:val="00E1274E"/>
    <w:rsid w:val="00E12792"/>
    <w:rsid w:val="00E1279C"/>
    <w:rsid w:val="00E12882"/>
    <w:rsid w:val="00E1288B"/>
    <w:rsid w:val="00E128AB"/>
    <w:rsid w:val="00E128D9"/>
    <w:rsid w:val="00E128F1"/>
    <w:rsid w:val="00E1291B"/>
    <w:rsid w:val="00E1298D"/>
    <w:rsid w:val="00E12A7B"/>
    <w:rsid w:val="00E12A99"/>
    <w:rsid w:val="00E12AF0"/>
    <w:rsid w:val="00E12AFE"/>
    <w:rsid w:val="00E12B0F"/>
    <w:rsid w:val="00E12B5C"/>
    <w:rsid w:val="00E12B71"/>
    <w:rsid w:val="00E12B96"/>
    <w:rsid w:val="00E12B99"/>
    <w:rsid w:val="00E12BAC"/>
    <w:rsid w:val="00E12BD5"/>
    <w:rsid w:val="00E12BDE"/>
    <w:rsid w:val="00E12C19"/>
    <w:rsid w:val="00E12C33"/>
    <w:rsid w:val="00E12C36"/>
    <w:rsid w:val="00E12C6A"/>
    <w:rsid w:val="00E12C93"/>
    <w:rsid w:val="00E12CAF"/>
    <w:rsid w:val="00E12D12"/>
    <w:rsid w:val="00E12D2D"/>
    <w:rsid w:val="00E12D52"/>
    <w:rsid w:val="00E12D7B"/>
    <w:rsid w:val="00E12DF9"/>
    <w:rsid w:val="00E12E0A"/>
    <w:rsid w:val="00E12E2D"/>
    <w:rsid w:val="00E12E53"/>
    <w:rsid w:val="00E12EC5"/>
    <w:rsid w:val="00E12EC7"/>
    <w:rsid w:val="00E12EF5"/>
    <w:rsid w:val="00E12EF6"/>
    <w:rsid w:val="00E12F01"/>
    <w:rsid w:val="00E12F26"/>
    <w:rsid w:val="00E12F27"/>
    <w:rsid w:val="00E12FD2"/>
    <w:rsid w:val="00E12FF0"/>
    <w:rsid w:val="00E13011"/>
    <w:rsid w:val="00E13036"/>
    <w:rsid w:val="00E1308A"/>
    <w:rsid w:val="00E13096"/>
    <w:rsid w:val="00E130C9"/>
    <w:rsid w:val="00E130DA"/>
    <w:rsid w:val="00E130E1"/>
    <w:rsid w:val="00E130E9"/>
    <w:rsid w:val="00E13101"/>
    <w:rsid w:val="00E13115"/>
    <w:rsid w:val="00E1313C"/>
    <w:rsid w:val="00E13146"/>
    <w:rsid w:val="00E13182"/>
    <w:rsid w:val="00E131AF"/>
    <w:rsid w:val="00E131C4"/>
    <w:rsid w:val="00E13212"/>
    <w:rsid w:val="00E1322F"/>
    <w:rsid w:val="00E13252"/>
    <w:rsid w:val="00E1325E"/>
    <w:rsid w:val="00E13289"/>
    <w:rsid w:val="00E13290"/>
    <w:rsid w:val="00E132C6"/>
    <w:rsid w:val="00E132E5"/>
    <w:rsid w:val="00E1330C"/>
    <w:rsid w:val="00E13315"/>
    <w:rsid w:val="00E1332F"/>
    <w:rsid w:val="00E1334D"/>
    <w:rsid w:val="00E1337D"/>
    <w:rsid w:val="00E13389"/>
    <w:rsid w:val="00E13453"/>
    <w:rsid w:val="00E1349E"/>
    <w:rsid w:val="00E134A0"/>
    <w:rsid w:val="00E1352E"/>
    <w:rsid w:val="00E135D0"/>
    <w:rsid w:val="00E1367A"/>
    <w:rsid w:val="00E13684"/>
    <w:rsid w:val="00E136D0"/>
    <w:rsid w:val="00E136D5"/>
    <w:rsid w:val="00E1377A"/>
    <w:rsid w:val="00E137B8"/>
    <w:rsid w:val="00E137D6"/>
    <w:rsid w:val="00E137DC"/>
    <w:rsid w:val="00E13823"/>
    <w:rsid w:val="00E1386B"/>
    <w:rsid w:val="00E13893"/>
    <w:rsid w:val="00E138F1"/>
    <w:rsid w:val="00E13914"/>
    <w:rsid w:val="00E13925"/>
    <w:rsid w:val="00E13950"/>
    <w:rsid w:val="00E13959"/>
    <w:rsid w:val="00E13989"/>
    <w:rsid w:val="00E1398E"/>
    <w:rsid w:val="00E1399C"/>
    <w:rsid w:val="00E139D2"/>
    <w:rsid w:val="00E13A11"/>
    <w:rsid w:val="00E13A5D"/>
    <w:rsid w:val="00E13A65"/>
    <w:rsid w:val="00E13A99"/>
    <w:rsid w:val="00E13AE3"/>
    <w:rsid w:val="00E13AF6"/>
    <w:rsid w:val="00E13B38"/>
    <w:rsid w:val="00E13B7B"/>
    <w:rsid w:val="00E13B89"/>
    <w:rsid w:val="00E13BA4"/>
    <w:rsid w:val="00E13BB9"/>
    <w:rsid w:val="00E13BDE"/>
    <w:rsid w:val="00E13C79"/>
    <w:rsid w:val="00E13C83"/>
    <w:rsid w:val="00E13C93"/>
    <w:rsid w:val="00E13CA2"/>
    <w:rsid w:val="00E13CAE"/>
    <w:rsid w:val="00E13CD2"/>
    <w:rsid w:val="00E13CEF"/>
    <w:rsid w:val="00E13D4D"/>
    <w:rsid w:val="00E13D60"/>
    <w:rsid w:val="00E13D70"/>
    <w:rsid w:val="00E13D7A"/>
    <w:rsid w:val="00E13DA0"/>
    <w:rsid w:val="00E13DB7"/>
    <w:rsid w:val="00E13EBD"/>
    <w:rsid w:val="00E13EE6"/>
    <w:rsid w:val="00E13EEA"/>
    <w:rsid w:val="00E13F15"/>
    <w:rsid w:val="00E13F5B"/>
    <w:rsid w:val="00E13F84"/>
    <w:rsid w:val="00E13FC8"/>
    <w:rsid w:val="00E13FC9"/>
    <w:rsid w:val="00E14012"/>
    <w:rsid w:val="00E1407F"/>
    <w:rsid w:val="00E140A6"/>
    <w:rsid w:val="00E140B7"/>
    <w:rsid w:val="00E140D5"/>
    <w:rsid w:val="00E1415C"/>
    <w:rsid w:val="00E1415D"/>
    <w:rsid w:val="00E1415F"/>
    <w:rsid w:val="00E14168"/>
    <w:rsid w:val="00E141AD"/>
    <w:rsid w:val="00E14200"/>
    <w:rsid w:val="00E14232"/>
    <w:rsid w:val="00E14265"/>
    <w:rsid w:val="00E1429D"/>
    <w:rsid w:val="00E142A0"/>
    <w:rsid w:val="00E142F5"/>
    <w:rsid w:val="00E14308"/>
    <w:rsid w:val="00E14362"/>
    <w:rsid w:val="00E14374"/>
    <w:rsid w:val="00E143A8"/>
    <w:rsid w:val="00E143B7"/>
    <w:rsid w:val="00E143D3"/>
    <w:rsid w:val="00E143E8"/>
    <w:rsid w:val="00E143FF"/>
    <w:rsid w:val="00E1442E"/>
    <w:rsid w:val="00E14458"/>
    <w:rsid w:val="00E1448C"/>
    <w:rsid w:val="00E144AE"/>
    <w:rsid w:val="00E144D5"/>
    <w:rsid w:val="00E144E0"/>
    <w:rsid w:val="00E144F9"/>
    <w:rsid w:val="00E14517"/>
    <w:rsid w:val="00E1451B"/>
    <w:rsid w:val="00E14539"/>
    <w:rsid w:val="00E14546"/>
    <w:rsid w:val="00E14585"/>
    <w:rsid w:val="00E1458B"/>
    <w:rsid w:val="00E145BB"/>
    <w:rsid w:val="00E145DB"/>
    <w:rsid w:val="00E145DE"/>
    <w:rsid w:val="00E14680"/>
    <w:rsid w:val="00E146BE"/>
    <w:rsid w:val="00E146C2"/>
    <w:rsid w:val="00E146FB"/>
    <w:rsid w:val="00E1472B"/>
    <w:rsid w:val="00E14749"/>
    <w:rsid w:val="00E14758"/>
    <w:rsid w:val="00E14762"/>
    <w:rsid w:val="00E1476F"/>
    <w:rsid w:val="00E1478A"/>
    <w:rsid w:val="00E147BC"/>
    <w:rsid w:val="00E14821"/>
    <w:rsid w:val="00E1486A"/>
    <w:rsid w:val="00E14877"/>
    <w:rsid w:val="00E1487F"/>
    <w:rsid w:val="00E14881"/>
    <w:rsid w:val="00E148AE"/>
    <w:rsid w:val="00E148DB"/>
    <w:rsid w:val="00E148ED"/>
    <w:rsid w:val="00E1493B"/>
    <w:rsid w:val="00E1494A"/>
    <w:rsid w:val="00E14980"/>
    <w:rsid w:val="00E149AA"/>
    <w:rsid w:val="00E149E9"/>
    <w:rsid w:val="00E149F0"/>
    <w:rsid w:val="00E14A0B"/>
    <w:rsid w:val="00E14A28"/>
    <w:rsid w:val="00E14A40"/>
    <w:rsid w:val="00E14A59"/>
    <w:rsid w:val="00E14A82"/>
    <w:rsid w:val="00E14AA5"/>
    <w:rsid w:val="00E14AAC"/>
    <w:rsid w:val="00E14ACB"/>
    <w:rsid w:val="00E14B0B"/>
    <w:rsid w:val="00E14B20"/>
    <w:rsid w:val="00E14B23"/>
    <w:rsid w:val="00E14B54"/>
    <w:rsid w:val="00E14B76"/>
    <w:rsid w:val="00E14B78"/>
    <w:rsid w:val="00E14B8F"/>
    <w:rsid w:val="00E14BAE"/>
    <w:rsid w:val="00E14BFC"/>
    <w:rsid w:val="00E14C7A"/>
    <w:rsid w:val="00E14CD2"/>
    <w:rsid w:val="00E14DC8"/>
    <w:rsid w:val="00E14E24"/>
    <w:rsid w:val="00E14E26"/>
    <w:rsid w:val="00E14E62"/>
    <w:rsid w:val="00E14E70"/>
    <w:rsid w:val="00E14E73"/>
    <w:rsid w:val="00E14E8C"/>
    <w:rsid w:val="00E14F2C"/>
    <w:rsid w:val="00E14FA2"/>
    <w:rsid w:val="00E14FA7"/>
    <w:rsid w:val="00E14FB0"/>
    <w:rsid w:val="00E15039"/>
    <w:rsid w:val="00E15043"/>
    <w:rsid w:val="00E150A5"/>
    <w:rsid w:val="00E1510C"/>
    <w:rsid w:val="00E1510F"/>
    <w:rsid w:val="00E15142"/>
    <w:rsid w:val="00E15156"/>
    <w:rsid w:val="00E15173"/>
    <w:rsid w:val="00E15182"/>
    <w:rsid w:val="00E15189"/>
    <w:rsid w:val="00E15196"/>
    <w:rsid w:val="00E151A9"/>
    <w:rsid w:val="00E151AD"/>
    <w:rsid w:val="00E151DA"/>
    <w:rsid w:val="00E151F7"/>
    <w:rsid w:val="00E151F9"/>
    <w:rsid w:val="00E1520C"/>
    <w:rsid w:val="00E15299"/>
    <w:rsid w:val="00E1533A"/>
    <w:rsid w:val="00E15348"/>
    <w:rsid w:val="00E1536E"/>
    <w:rsid w:val="00E15383"/>
    <w:rsid w:val="00E153A0"/>
    <w:rsid w:val="00E153D0"/>
    <w:rsid w:val="00E153FA"/>
    <w:rsid w:val="00E15413"/>
    <w:rsid w:val="00E15421"/>
    <w:rsid w:val="00E1547A"/>
    <w:rsid w:val="00E15504"/>
    <w:rsid w:val="00E1551E"/>
    <w:rsid w:val="00E15582"/>
    <w:rsid w:val="00E155B0"/>
    <w:rsid w:val="00E155E3"/>
    <w:rsid w:val="00E155F7"/>
    <w:rsid w:val="00E15605"/>
    <w:rsid w:val="00E15653"/>
    <w:rsid w:val="00E15665"/>
    <w:rsid w:val="00E15676"/>
    <w:rsid w:val="00E156BF"/>
    <w:rsid w:val="00E156CD"/>
    <w:rsid w:val="00E15727"/>
    <w:rsid w:val="00E157A8"/>
    <w:rsid w:val="00E157CC"/>
    <w:rsid w:val="00E157DB"/>
    <w:rsid w:val="00E157E4"/>
    <w:rsid w:val="00E15870"/>
    <w:rsid w:val="00E1587E"/>
    <w:rsid w:val="00E158B4"/>
    <w:rsid w:val="00E158BF"/>
    <w:rsid w:val="00E15917"/>
    <w:rsid w:val="00E15931"/>
    <w:rsid w:val="00E15972"/>
    <w:rsid w:val="00E159CF"/>
    <w:rsid w:val="00E15A37"/>
    <w:rsid w:val="00E15A3A"/>
    <w:rsid w:val="00E15A4E"/>
    <w:rsid w:val="00E15AA1"/>
    <w:rsid w:val="00E15B22"/>
    <w:rsid w:val="00E15B23"/>
    <w:rsid w:val="00E15B2D"/>
    <w:rsid w:val="00E15B44"/>
    <w:rsid w:val="00E15B70"/>
    <w:rsid w:val="00E15B83"/>
    <w:rsid w:val="00E15BCA"/>
    <w:rsid w:val="00E15BEE"/>
    <w:rsid w:val="00E15C11"/>
    <w:rsid w:val="00E15C2C"/>
    <w:rsid w:val="00E15C45"/>
    <w:rsid w:val="00E15D1D"/>
    <w:rsid w:val="00E15D83"/>
    <w:rsid w:val="00E15DA1"/>
    <w:rsid w:val="00E15E24"/>
    <w:rsid w:val="00E15E3C"/>
    <w:rsid w:val="00E15E3E"/>
    <w:rsid w:val="00E15E46"/>
    <w:rsid w:val="00E15EBC"/>
    <w:rsid w:val="00E15EF5"/>
    <w:rsid w:val="00E15EFA"/>
    <w:rsid w:val="00E15F08"/>
    <w:rsid w:val="00E15F1B"/>
    <w:rsid w:val="00E15F3E"/>
    <w:rsid w:val="00E15F81"/>
    <w:rsid w:val="00E15F9A"/>
    <w:rsid w:val="00E15FC8"/>
    <w:rsid w:val="00E15FE8"/>
    <w:rsid w:val="00E15FF9"/>
    <w:rsid w:val="00E16069"/>
    <w:rsid w:val="00E1607E"/>
    <w:rsid w:val="00E1608C"/>
    <w:rsid w:val="00E160B5"/>
    <w:rsid w:val="00E1610B"/>
    <w:rsid w:val="00E16172"/>
    <w:rsid w:val="00E16179"/>
    <w:rsid w:val="00E16186"/>
    <w:rsid w:val="00E161BC"/>
    <w:rsid w:val="00E161FF"/>
    <w:rsid w:val="00E1624E"/>
    <w:rsid w:val="00E16270"/>
    <w:rsid w:val="00E16280"/>
    <w:rsid w:val="00E162DA"/>
    <w:rsid w:val="00E162E0"/>
    <w:rsid w:val="00E1630B"/>
    <w:rsid w:val="00E1633A"/>
    <w:rsid w:val="00E1634E"/>
    <w:rsid w:val="00E16350"/>
    <w:rsid w:val="00E16370"/>
    <w:rsid w:val="00E163A5"/>
    <w:rsid w:val="00E163DB"/>
    <w:rsid w:val="00E163E6"/>
    <w:rsid w:val="00E1641C"/>
    <w:rsid w:val="00E1646D"/>
    <w:rsid w:val="00E1648F"/>
    <w:rsid w:val="00E164B7"/>
    <w:rsid w:val="00E16516"/>
    <w:rsid w:val="00E1656E"/>
    <w:rsid w:val="00E165B1"/>
    <w:rsid w:val="00E165BE"/>
    <w:rsid w:val="00E165D6"/>
    <w:rsid w:val="00E165E2"/>
    <w:rsid w:val="00E165EC"/>
    <w:rsid w:val="00E16607"/>
    <w:rsid w:val="00E1662A"/>
    <w:rsid w:val="00E16654"/>
    <w:rsid w:val="00E16663"/>
    <w:rsid w:val="00E16668"/>
    <w:rsid w:val="00E1668C"/>
    <w:rsid w:val="00E166A5"/>
    <w:rsid w:val="00E1671A"/>
    <w:rsid w:val="00E16837"/>
    <w:rsid w:val="00E168B3"/>
    <w:rsid w:val="00E168CB"/>
    <w:rsid w:val="00E168ED"/>
    <w:rsid w:val="00E168FC"/>
    <w:rsid w:val="00E16932"/>
    <w:rsid w:val="00E16A0A"/>
    <w:rsid w:val="00E16A35"/>
    <w:rsid w:val="00E16A65"/>
    <w:rsid w:val="00E16AA2"/>
    <w:rsid w:val="00E16AAA"/>
    <w:rsid w:val="00E16ABD"/>
    <w:rsid w:val="00E16AD9"/>
    <w:rsid w:val="00E16AE0"/>
    <w:rsid w:val="00E16B5C"/>
    <w:rsid w:val="00E16B5D"/>
    <w:rsid w:val="00E16B6A"/>
    <w:rsid w:val="00E16B94"/>
    <w:rsid w:val="00E16BB4"/>
    <w:rsid w:val="00E16BD6"/>
    <w:rsid w:val="00E16C02"/>
    <w:rsid w:val="00E16C46"/>
    <w:rsid w:val="00E16CBC"/>
    <w:rsid w:val="00E16CD9"/>
    <w:rsid w:val="00E16D00"/>
    <w:rsid w:val="00E16D62"/>
    <w:rsid w:val="00E16D71"/>
    <w:rsid w:val="00E16DAD"/>
    <w:rsid w:val="00E16DB1"/>
    <w:rsid w:val="00E16DEA"/>
    <w:rsid w:val="00E16DFB"/>
    <w:rsid w:val="00E16E16"/>
    <w:rsid w:val="00E16E2D"/>
    <w:rsid w:val="00E16EA3"/>
    <w:rsid w:val="00E16EB7"/>
    <w:rsid w:val="00E16F11"/>
    <w:rsid w:val="00E16F5E"/>
    <w:rsid w:val="00E16F8B"/>
    <w:rsid w:val="00E16F9B"/>
    <w:rsid w:val="00E16FA6"/>
    <w:rsid w:val="00E16FEB"/>
    <w:rsid w:val="00E17047"/>
    <w:rsid w:val="00E1707E"/>
    <w:rsid w:val="00E1712D"/>
    <w:rsid w:val="00E17131"/>
    <w:rsid w:val="00E17140"/>
    <w:rsid w:val="00E1715D"/>
    <w:rsid w:val="00E1716F"/>
    <w:rsid w:val="00E17176"/>
    <w:rsid w:val="00E171D4"/>
    <w:rsid w:val="00E171FE"/>
    <w:rsid w:val="00E1720A"/>
    <w:rsid w:val="00E17262"/>
    <w:rsid w:val="00E17277"/>
    <w:rsid w:val="00E17281"/>
    <w:rsid w:val="00E1729E"/>
    <w:rsid w:val="00E172CA"/>
    <w:rsid w:val="00E172DA"/>
    <w:rsid w:val="00E1730A"/>
    <w:rsid w:val="00E17367"/>
    <w:rsid w:val="00E1738D"/>
    <w:rsid w:val="00E17391"/>
    <w:rsid w:val="00E17392"/>
    <w:rsid w:val="00E17396"/>
    <w:rsid w:val="00E173CA"/>
    <w:rsid w:val="00E17430"/>
    <w:rsid w:val="00E17499"/>
    <w:rsid w:val="00E174AD"/>
    <w:rsid w:val="00E1752A"/>
    <w:rsid w:val="00E17535"/>
    <w:rsid w:val="00E1755A"/>
    <w:rsid w:val="00E1755F"/>
    <w:rsid w:val="00E1758D"/>
    <w:rsid w:val="00E175D8"/>
    <w:rsid w:val="00E17667"/>
    <w:rsid w:val="00E176AA"/>
    <w:rsid w:val="00E176E7"/>
    <w:rsid w:val="00E17701"/>
    <w:rsid w:val="00E177BF"/>
    <w:rsid w:val="00E17808"/>
    <w:rsid w:val="00E17865"/>
    <w:rsid w:val="00E17867"/>
    <w:rsid w:val="00E1786E"/>
    <w:rsid w:val="00E178FA"/>
    <w:rsid w:val="00E17962"/>
    <w:rsid w:val="00E17963"/>
    <w:rsid w:val="00E1798D"/>
    <w:rsid w:val="00E179D1"/>
    <w:rsid w:val="00E179E3"/>
    <w:rsid w:val="00E179F8"/>
    <w:rsid w:val="00E17A73"/>
    <w:rsid w:val="00E17A79"/>
    <w:rsid w:val="00E17AAF"/>
    <w:rsid w:val="00E17AC7"/>
    <w:rsid w:val="00E17AC9"/>
    <w:rsid w:val="00E17AE9"/>
    <w:rsid w:val="00E17BA0"/>
    <w:rsid w:val="00E17C1E"/>
    <w:rsid w:val="00E17C5E"/>
    <w:rsid w:val="00E17C69"/>
    <w:rsid w:val="00E17CA4"/>
    <w:rsid w:val="00E17D3D"/>
    <w:rsid w:val="00E17D7B"/>
    <w:rsid w:val="00E17DA6"/>
    <w:rsid w:val="00E17DD1"/>
    <w:rsid w:val="00E17DD3"/>
    <w:rsid w:val="00E17E95"/>
    <w:rsid w:val="00E17F41"/>
    <w:rsid w:val="00E17F84"/>
    <w:rsid w:val="00E17FBF"/>
    <w:rsid w:val="00E17FC2"/>
    <w:rsid w:val="00E17FC5"/>
    <w:rsid w:val="00E17FE7"/>
    <w:rsid w:val="00E2002B"/>
    <w:rsid w:val="00E20036"/>
    <w:rsid w:val="00E2003A"/>
    <w:rsid w:val="00E20051"/>
    <w:rsid w:val="00E20091"/>
    <w:rsid w:val="00E200C8"/>
    <w:rsid w:val="00E200F8"/>
    <w:rsid w:val="00E20109"/>
    <w:rsid w:val="00E20179"/>
    <w:rsid w:val="00E201C5"/>
    <w:rsid w:val="00E201D6"/>
    <w:rsid w:val="00E20215"/>
    <w:rsid w:val="00E20238"/>
    <w:rsid w:val="00E202C3"/>
    <w:rsid w:val="00E202D3"/>
    <w:rsid w:val="00E202D8"/>
    <w:rsid w:val="00E202DA"/>
    <w:rsid w:val="00E20322"/>
    <w:rsid w:val="00E203A6"/>
    <w:rsid w:val="00E203B5"/>
    <w:rsid w:val="00E203CC"/>
    <w:rsid w:val="00E203D7"/>
    <w:rsid w:val="00E203E3"/>
    <w:rsid w:val="00E203FE"/>
    <w:rsid w:val="00E2042D"/>
    <w:rsid w:val="00E204AE"/>
    <w:rsid w:val="00E204C1"/>
    <w:rsid w:val="00E204E0"/>
    <w:rsid w:val="00E204E3"/>
    <w:rsid w:val="00E20503"/>
    <w:rsid w:val="00E20513"/>
    <w:rsid w:val="00E20523"/>
    <w:rsid w:val="00E20526"/>
    <w:rsid w:val="00E20549"/>
    <w:rsid w:val="00E2055C"/>
    <w:rsid w:val="00E20593"/>
    <w:rsid w:val="00E205FA"/>
    <w:rsid w:val="00E205FC"/>
    <w:rsid w:val="00E2067A"/>
    <w:rsid w:val="00E20682"/>
    <w:rsid w:val="00E20709"/>
    <w:rsid w:val="00E20715"/>
    <w:rsid w:val="00E20717"/>
    <w:rsid w:val="00E20737"/>
    <w:rsid w:val="00E20771"/>
    <w:rsid w:val="00E2078D"/>
    <w:rsid w:val="00E20790"/>
    <w:rsid w:val="00E20795"/>
    <w:rsid w:val="00E20796"/>
    <w:rsid w:val="00E207EC"/>
    <w:rsid w:val="00E2082F"/>
    <w:rsid w:val="00E20830"/>
    <w:rsid w:val="00E20839"/>
    <w:rsid w:val="00E20861"/>
    <w:rsid w:val="00E20863"/>
    <w:rsid w:val="00E20876"/>
    <w:rsid w:val="00E208BF"/>
    <w:rsid w:val="00E20932"/>
    <w:rsid w:val="00E2094A"/>
    <w:rsid w:val="00E2098D"/>
    <w:rsid w:val="00E209BF"/>
    <w:rsid w:val="00E209D3"/>
    <w:rsid w:val="00E209DB"/>
    <w:rsid w:val="00E20A03"/>
    <w:rsid w:val="00E20A3A"/>
    <w:rsid w:val="00E20A49"/>
    <w:rsid w:val="00E20A59"/>
    <w:rsid w:val="00E20A61"/>
    <w:rsid w:val="00E20A77"/>
    <w:rsid w:val="00E20B47"/>
    <w:rsid w:val="00E20BC4"/>
    <w:rsid w:val="00E20BCF"/>
    <w:rsid w:val="00E20BEB"/>
    <w:rsid w:val="00E20BFB"/>
    <w:rsid w:val="00E20C3B"/>
    <w:rsid w:val="00E20C3F"/>
    <w:rsid w:val="00E20C5A"/>
    <w:rsid w:val="00E20C9F"/>
    <w:rsid w:val="00E20CA6"/>
    <w:rsid w:val="00E20CBF"/>
    <w:rsid w:val="00E20CD6"/>
    <w:rsid w:val="00E20CDD"/>
    <w:rsid w:val="00E20D41"/>
    <w:rsid w:val="00E20D5D"/>
    <w:rsid w:val="00E20DED"/>
    <w:rsid w:val="00E20DFC"/>
    <w:rsid w:val="00E20E79"/>
    <w:rsid w:val="00E20E82"/>
    <w:rsid w:val="00E20ED3"/>
    <w:rsid w:val="00E20EF5"/>
    <w:rsid w:val="00E20F31"/>
    <w:rsid w:val="00E20F5F"/>
    <w:rsid w:val="00E20F67"/>
    <w:rsid w:val="00E20F6B"/>
    <w:rsid w:val="00E20FB3"/>
    <w:rsid w:val="00E20FCC"/>
    <w:rsid w:val="00E210A8"/>
    <w:rsid w:val="00E210B1"/>
    <w:rsid w:val="00E21105"/>
    <w:rsid w:val="00E21120"/>
    <w:rsid w:val="00E21176"/>
    <w:rsid w:val="00E2117E"/>
    <w:rsid w:val="00E21193"/>
    <w:rsid w:val="00E21199"/>
    <w:rsid w:val="00E211B3"/>
    <w:rsid w:val="00E211C9"/>
    <w:rsid w:val="00E211CF"/>
    <w:rsid w:val="00E211E9"/>
    <w:rsid w:val="00E2122D"/>
    <w:rsid w:val="00E21265"/>
    <w:rsid w:val="00E21272"/>
    <w:rsid w:val="00E21276"/>
    <w:rsid w:val="00E212BB"/>
    <w:rsid w:val="00E212CD"/>
    <w:rsid w:val="00E21362"/>
    <w:rsid w:val="00E2137E"/>
    <w:rsid w:val="00E213AF"/>
    <w:rsid w:val="00E21404"/>
    <w:rsid w:val="00E21438"/>
    <w:rsid w:val="00E21496"/>
    <w:rsid w:val="00E214DE"/>
    <w:rsid w:val="00E214E0"/>
    <w:rsid w:val="00E21501"/>
    <w:rsid w:val="00E2151E"/>
    <w:rsid w:val="00E21527"/>
    <w:rsid w:val="00E2152D"/>
    <w:rsid w:val="00E2153D"/>
    <w:rsid w:val="00E215C8"/>
    <w:rsid w:val="00E21616"/>
    <w:rsid w:val="00E21619"/>
    <w:rsid w:val="00E21630"/>
    <w:rsid w:val="00E21653"/>
    <w:rsid w:val="00E21685"/>
    <w:rsid w:val="00E21690"/>
    <w:rsid w:val="00E216CB"/>
    <w:rsid w:val="00E2177C"/>
    <w:rsid w:val="00E21793"/>
    <w:rsid w:val="00E217C8"/>
    <w:rsid w:val="00E21823"/>
    <w:rsid w:val="00E21844"/>
    <w:rsid w:val="00E2185F"/>
    <w:rsid w:val="00E2189D"/>
    <w:rsid w:val="00E218B5"/>
    <w:rsid w:val="00E218C6"/>
    <w:rsid w:val="00E218C8"/>
    <w:rsid w:val="00E218C9"/>
    <w:rsid w:val="00E218FE"/>
    <w:rsid w:val="00E21922"/>
    <w:rsid w:val="00E21935"/>
    <w:rsid w:val="00E2198A"/>
    <w:rsid w:val="00E2198D"/>
    <w:rsid w:val="00E219B7"/>
    <w:rsid w:val="00E219EF"/>
    <w:rsid w:val="00E219F1"/>
    <w:rsid w:val="00E21A07"/>
    <w:rsid w:val="00E21A32"/>
    <w:rsid w:val="00E21A3A"/>
    <w:rsid w:val="00E21A3D"/>
    <w:rsid w:val="00E21A49"/>
    <w:rsid w:val="00E21A61"/>
    <w:rsid w:val="00E21AB4"/>
    <w:rsid w:val="00E21ABF"/>
    <w:rsid w:val="00E21AD7"/>
    <w:rsid w:val="00E21AF4"/>
    <w:rsid w:val="00E21B61"/>
    <w:rsid w:val="00E21B9D"/>
    <w:rsid w:val="00E21BA6"/>
    <w:rsid w:val="00E21BCE"/>
    <w:rsid w:val="00E21C2D"/>
    <w:rsid w:val="00E21C30"/>
    <w:rsid w:val="00E21C72"/>
    <w:rsid w:val="00E21C7D"/>
    <w:rsid w:val="00E21C8E"/>
    <w:rsid w:val="00E21D1C"/>
    <w:rsid w:val="00E21D1E"/>
    <w:rsid w:val="00E21D4A"/>
    <w:rsid w:val="00E21DC8"/>
    <w:rsid w:val="00E21DD9"/>
    <w:rsid w:val="00E21DFC"/>
    <w:rsid w:val="00E21E0A"/>
    <w:rsid w:val="00E21EBA"/>
    <w:rsid w:val="00E21ED6"/>
    <w:rsid w:val="00E21F02"/>
    <w:rsid w:val="00E21F30"/>
    <w:rsid w:val="00E21F40"/>
    <w:rsid w:val="00E21F5A"/>
    <w:rsid w:val="00E21F86"/>
    <w:rsid w:val="00E21F8A"/>
    <w:rsid w:val="00E21FB3"/>
    <w:rsid w:val="00E21FB7"/>
    <w:rsid w:val="00E21FD2"/>
    <w:rsid w:val="00E22021"/>
    <w:rsid w:val="00E2204C"/>
    <w:rsid w:val="00E2205F"/>
    <w:rsid w:val="00E22075"/>
    <w:rsid w:val="00E2207C"/>
    <w:rsid w:val="00E220AC"/>
    <w:rsid w:val="00E220DE"/>
    <w:rsid w:val="00E2210C"/>
    <w:rsid w:val="00E2213E"/>
    <w:rsid w:val="00E22191"/>
    <w:rsid w:val="00E221D9"/>
    <w:rsid w:val="00E22223"/>
    <w:rsid w:val="00E2222A"/>
    <w:rsid w:val="00E2222F"/>
    <w:rsid w:val="00E22260"/>
    <w:rsid w:val="00E22287"/>
    <w:rsid w:val="00E222A3"/>
    <w:rsid w:val="00E222D2"/>
    <w:rsid w:val="00E222E9"/>
    <w:rsid w:val="00E222FB"/>
    <w:rsid w:val="00E22301"/>
    <w:rsid w:val="00E2230C"/>
    <w:rsid w:val="00E2230E"/>
    <w:rsid w:val="00E2236E"/>
    <w:rsid w:val="00E22376"/>
    <w:rsid w:val="00E22377"/>
    <w:rsid w:val="00E223E5"/>
    <w:rsid w:val="00E223F4"/>
    <w:rsid w:val="00E223F5"/>
    <w:rsid w:val="00E2243C"/>
    <w:rsid w:val="00E2244D"/>
    <w:rsid w:val="00E22481"/>
    <w:rsid w:val="00E224C5"/>
    <w:rsid w:val="00E22501"/>
    <w:rsid w:val="00E2256D"/>
    <w:rsid w:val="00E2257A"/>
    <w:rsid w:val="00E225CB"/>
    <w:rsid w:val="00E225E4"/>
    <w:rsid w:val="00E2262B"/>
    <w:rsid w:val="00E2263D"/>
    <w:rsid w:val="00E226B0"/>
    <w:rsid w:val="00E226C3"/>
    <w:rsid w:val="00E226F1"/>
    <w:rsid w:val="00E226F2"/>
    <w:rsid w:val="00E22722"/>
    <w:rsid w:val="00E22725"/>
    <w:rsid w:val="00E22781"/>
    <w:rsid w:val="00E22787"/>
    <w:rsid w:val="00E2278D"/>
    <w:rsid w:val="00E227A6"/>
    <w:rsid w:val="00E227D6"/>
    <w:rsid w:val="00E227EE"/>
    <w:rsid w:val="00E22861"/>
    <w:rsid w:val="00E22870"/>
    <w:rsid w:val="00E228B8"/>
    <w:rsid w:val="00E228E1"/>
    <w:rsid w:val="00E2291A"/>
    <w:rsid w:val="00E22934"/>
    <w:rsid w:val="00E229BE"/>
    <w:rsid w:val="00E229C6"/>
    <w:rsid w:val="00E229E3"/>
    <w:rsid w:val="00E22A04"/>
    <w:rsid w:val="00E22A17"/>
    <w:rsid w:val="00E22A76"/>
    <w:rsid w:val="00E22A9C"/>
    <w:rsid w:val="00E22AD7"/>
    <w:rsid w:val="00E22AE5"/>
    <w:rsid w:val="00E22B1E"/>
    <w:rsid w:val="00E22B4D"/>
    <w:rsid w:val="00E22B7E"/>
    <w:rsid w:val="00E22BAB"/>
    <w:rsid w:val="00E22C0A"/>
    <w:rsid w:val="00E22C25"/>
    <w:rsid w:val="00E22C32"/>
    <w:rsid w:val="00E22C36"/>
    <w:rsid w:val="00E22C8C"/>
    <w:rsid w:val="00E22C8D"/>
    <w:rsid w:val="00E22CE0"/>
    <w:rsid w:val="00E22CFF"/>
    <w:rsid w:val="00E22D69"/>
    <w:rsid w:val="00E22D6E"/>
    <w:rsid w:val="00E22D6F"/>
    <w:rsid w:val="00E22D81"/>
    <w:rsid w:val="00E22E03"/>
    <w:rsid w:val="00E22E5F"/>
    <w:rsid w:val="00E22EAF"/>
    <w:rsid w:val="00E22EF2"/>
    <w:rsid w:val="00E22FC6"/>
    <w:rsid w:val="00E23091"/>
    <w:rsid w:val="00E23094"/>
    <w:rsid w:val="00E230A9"/>
    <w:rsid w:val="00E230C3"/>
    <w:rsid w:val="00E230E5"/>
    <w:rsid w:val="00E23123"/>
    <w:rsid w:val="00E23136"/>
    <w:rsid w:val="00E23148"/>
    <w:rsid w:val="00E231A7"/>
    <w:rsid w:val="00E231AE"/>
    <w:rsid w:val="00E232D9"/>
    <w:rsid w:val="00E23306"/>
    <w:rsid w:val="00E2332A"/>
    <w:rsid w:val="00E2334D"/>
    <w:rsid w:val="00E23379"/>
    <w:rsid w:val="00E233AB"/>
    <w:rsid w:val="00E233D7"/>
    <w:rsid w:val="00E233EF"/>
    <w:rsid w:val="00E23431"/>
    <w:rsid w:val="00E2343F"/>
    <w:rsid w:val="00E23452"/>
    <w:rsid w:val="00E234DB"/>
    <w:rsid w:val="00E2350F"/>
    <w:rsid w:val="00E23533"/>
    <w:rsid w:val="00E2356A"/>
    <w:rsid w:val="00E235C2"/>
    <w:rsid w:val="00E23613"/>
    <w:rsid w:val="00E2363F"/>
    <w:rsid w:val="00E2368C"/>
    <w:rsid w:val="00E23693"/>
    <w:rsid w:val="00E236D4"/>
    <w:rsid w:val="00E23741"/>
    <w:rsid w:val="00E2374D"/>
    <w:rsid w:val="00E2376C"/>
    <w:rsid w:val="00E23796"/>
    <w:rsid w:val="00E237B2"/>
    <w:rsid w:val="00E2382B"/>
    <w:rsid w:val="00E23839"/>
    <w:rsid w:val="00E23845"/>
    <w:rsid w:val="00E2386F"/>
    <w:rsid w:val="00E238F9"/>
    <w:rsid w:val="00E23932"/>
    <w:rsid w:val="00E23933"/>
    <w:rsid w:val="00E2394F"/>
    <w:rsid w:val="00E23956"/>
    <w:rsid w:val="00E2395B"/>
    <w:rsid w:val="00E2396C"/>
    <w:rsid w:val="00E2398A"/>
    <w:rsid w:val="00E239AA"/>
    <w:rsid w:val="00E239AB"/>
    <w:rsid w:val="00E239AE"/>
    <w:rsid w:val="00E239CF"/>
    <w:rsid w:val="00E23A27"/>
    <w:rsid w:val="00E23A2D"/>
    <w:rsid w:val="00E23A63"/>
    <w:rsid w:val="00E23A6F"/>
    <w:rsid w:val="00E23A72"/>
    <w:rsid w:val="00E23BB8"/>
    <w:rsid w:val="00E23BC3"/>
    <w:rsid w:val="00E23BE9"/>
    <w:rsid w:val="00E23BEF"/>
    <w:rsid w:val="00E23C77"/>
    <w:rsid w:val="00E23C82"/>
    <w:rsid w:val="00E23C97"/>
    <w:rsid w:val="00E23CB1"/>
    <w:rsid w:val="00E23CD3"/>
    <w:rsid w:val="00E23CF3"/>
    <w:rsid w:val="00E23D11"/>
    <w:rsid w:val="00E23D17"/>
    <w:rsid w:val="00E23D63"/>
    <w:rsid w:val="00E23DAD"/>
    <w:rsid w:val="00E23DC3"/>
    <w:rsid w:val="00E23DE3"/>
    <w:rsid w:val="00E23E0D"/>
    <w:rsid w:val="00E23E1D"/>
    <w:rsid w:val="00E23E1E"/>
    <w:rsid w:val="00E23E2C"/>
    <w:rsid w:val="00E23E7B"/>
    <w:rsid w:val="00E23E90"/>
    <w:rsid w:val="00E23EAE"/>
    <w:rsid w:val="00E23EF3"/>
    <w:rsid w:val="00E23F0E"/>
    <w:rsid w:val="00E23F10"/>
    <w:rsid w:val="00E23F34"/>
    <w:rsid w:val="00E23F47"/>
    <w:rsid w:val="00E23FC4"/>
    <w:rsid w:val="00E23FE4"/>
    <w:rsid w:val="00E23FF2"/>
    <w:rsid w:val="00E24007"/>
    <w:rsid w:val="00E24027"/>
    <w:rsid w:val="00E24029"/>
    <w:rsid w:val="00E2403F"/>
    <w:rsid w:val="00E24156"/>
    <w:rsid w:val="00E24161"/>
    <w:rsid w:val="00E24199"/>
    <w:rsid w:val="00E241C1"/>
    <w:rsid w:val="00E241C8"/>
    <w:rsid w:val="00E24204"/>
    <w:rsid w:val="00E242B1"/>
    <w:rsid w:val="00E242BF"/>
    <w:rsid w:val="00E242FF"/>
    <w:rsid w:val="00E24343"/>
    <w:rsid w:val="00E24348"/>
    <w:rsid w:val="00E2436F"/>
    <w:rsid w:val="00E2437B"/>
    <w:rsid w:val="00E2439F"/>
    <w:rsid w:val="00E243A7"/>
    <w:rsid w:val="00E243F6"/>
    <w:rsid w:val="00E2441C"/>
    <w:rsid w:val="00E24442"/>
    <w:rsid w:val="00E244D3"/>
    <w:rsid w:val="00E244D6"/>
    <w:rsid w:val="00E244F3"/>
    <w:rsid w:val="00E244F4"/>
    <w:rsid w:val="00E24505"/>
    <w:rsid w:val="00E24507"/>
    <w:rsid w:val="00E2450B"/>
    <w:rsid w:val="00E2452B"/>
    <w:rsid w:val="00E24574"/>
    <w:rsid w:val="00E24576"/>
    <w:rsid w:val="00E2457F"/>
    <w:rsid w:val="00E24581"/>
    <w:rsid w:val="00E2459E"/>
    <w:rsid w:val="00E245C5"/>
    <w:rsid w:val="00E2462D"/>
    <w:rsid w:val="00E2464B"/>
    <w:rsid w:val="00E2465E"/>
    <w:rsid w:val="00E246A9"/>
    <w:rsid w:val="00E246F0"/>
    <w:rsid w:val="00E24703"/>
    <w:rsid w:val="00E2470C"/>
    <w:rsid w:val="00E24710"/>
    <w:rsid w:val="00E247B3"/>
    <w:rsid w:val="00E247E5"/>
    <w:rsid w:val="00E24820"/>
    <w:rsid w:val="00E24867"/>
    <w:rsid w:val="00E2488D"/>
    <w:rsid w:val="00E248A5"/>
    <w:rsid w:val="00E248D0"/>
    <w:rsid w:val="00E248E6"/>
    <w:rsid w:val="00E24950"/>
    <w:rsid w:val="00E249B7"/>
    <w:rsid w:val="00E249CC"/>
    <w:rsid w:val="00E24A06"/>
    <w:rsid w:val="00E24A4C"/>
    <w:rsid w:val="00E24B33"/>
    <w:rsid w:val="00E24BB7"/>
    <w:rsid w:val="00E24BE1"/>
    <w:rsid w:val="00E24C36"/>
    <w:rsid w:val="00E24C6D"/>
    <w:rsid w:val="00E24C7C"/>
    <w:rsid w:val="00E24C93"/>
    <w:rsid w:val="00E24D0F"/>
    <w:rsid w:val="00E24D1E"/>
    <w:rsid w:val="00E24D4A"/>
    <w:rsid w:val="00E24D6C"/>
    <w:rsid w:val="00E24D72"/>
    <w:rsid w:val="00E24D8E"/>
    <w:rsid w:val="00E24D98"/>
    <w:rsid w:val="00E24DAB"/>
    <w:rsid w:val="00E24DAE"/>
    <w:rsid w:val="00E24DB4"/>
    <w:rsid w:val="00E24DC1"/>
    <w:rsid w:val="00E24DE5"/>
    <w:rsid w:val="00E24E2D"/>
    <w:rsid w:val="00E24E32"/>
    <w:rsid w:val="00E24E3D"/>
    <w:rsid w:val="00E24E40"/>
    <w:rsid w:val="00E24E58"/>
    <w:rsid w:val="00E24E8F"/>
    <w:rsid w:val="00E24E92"/>
    <w:rsid w:val="00E24EB1"/>
    <w:rsid w:val="00E24EC4"/>
    <w:rsid w:val="00E24EDD"/>
    <w:rsid w:val="00E24EF3"/>
    <w:rsid w:val="00E24F64"/>
    <w:rsid w:val="00E24F6F"/>
    <w:rsid w:val="00E24F9F"/>
    <w:rsid w:val="00E24FA7"/>
    <w:rsid w:val="00E24FC0"/>
    <w:rsid w:val="00E24FD2"/>
    <w:rsid w:val="00E24FD7"/>
    <w:rsid w:val="00E24FF8"/>
    <w:rsid w:val="00E25044"/>
    <w:rsid w:val="00E2504F"/>
    <w:rsid w:val="00E25058"/>
    <w:rsid w:val="00E25089"/>
    <w:rsid w:val="00E250B0"/>
    <w:rsid w:val="00E250B9"/>
    <w:rsid w:val="00E25159"/>
    <w:rsid w:val="00E251FC"/>
    <w:rsid w:val="00E25210"/>
    <w:rsid w:val="00E2521B"/>
    <w:rsid w:val="00E2521F"/>
    <w:rsid w:val="00E25260"/>
    <w:rsid w:val="00E252CE"/>
    <w:rsid w:val="00E252D1"/>
    <w:rsid w:val="00E25310"/>
    <w:rsid w:val="00E25316"/>
    <w:rsid w:val="00E25389"/>
    <w:rsid w:val="00E25390"/>
    <w:rsid w:val="00E25394"/>
    <w:rsid w:val="00E253A5"/>
    <w:rsid w:val="00E253A8"/>
    <w:rsid w:val="00E253C4"/>
    <w:rsid w:val="00E253D1"/>
    <w:rsid w:val="00E253DB"/>
    <w:rsid w:val="00E253E0"/>
    <w:rsid w:val="00E2544F"/>
    <w:rsid w:val="00E2545D"/>
    <w:rsid w:val="00E2547A"/>
    <w:rsid w:val="00E2547C"/>
    <w:rsid w:val="00E2547D"/>
    <w:rsid w:val="00E2552E"/>
    <w:rsid w:val="00E2553B"/>
    <w:rsid w:val="00E2554E"/>
    <w:rsid w:val="00E25559"/>
    <w:rsid w:val="00E2556A"/>
    <w:rsid w:val="00E255A2"/>
    <w:rsid w:val="00E255EE"/>
    <w:rsid w:val="00E2560E"/>
    <w:rsid w:val="00E2561F"/>
    <w:rsid w:val="00E25625"/>
    <w:rsid w:val="00E2566D"/>
    <w:rsid w:val="00E256A7"/>
    <w:rsid w:val="00E256B7"/>
    <w:rsid w:val="00E256CA"/>
    <w:rsid w:val="00E25701"/>
    <w:rsid w:val="00E257CE"/>
    <w:rsid w:val="00E257DF"/>
    <w:rsid w:val="00E257E6"/>
    <w:rsid w:val="00E257FF"/>
    <w:rsid w:val="00E25853"/>
    <w:rsid w:val="00E2587D"/>
    <w:rsid w:val="00E25895"/>
    <w:rsid w:val="00E258DB"/>
    <w:rsid w:val="00E25943"/>
    <w:rsid w:val="00E25998"/>
    <w:rsid w:val="00E259F7"/>
    <w:rsid w:val="00E25A1A"/>
    <w:rsid w:val="00E25A4B"/>
    <w:rsid w:val="00E25AAD"/>
    <w:rsid w:val="00E25B27"/>
    <w:rsid w:val="00E25B2C"/>
    <w:rsid w:val="00E25B6B"/>
    <w:rsid w:val="00E25B85"/>
    <w:rsid w:val="00E25BAD"/>
    <w:rsid w:val="00E25C1A"/>
    <w:rsid w:val="00E25C79"/>
    <w:rsid w:val="00E25C7B"/>
    <w:rsid w:val="00E25CAC"/>
    <w:rsid w:val="00E25D22"/>
    <w:rsid w:val="00E25D28"/>
    <w:rsid w:val="00E25D7C"/>
    <w:rsid w:val="00E25DE3"/>
    <w:rsid w:val="00E25E37"/>
    <w:rsid w:val="00E25E73"/>
    <w:rsid w:val="00E25E9B"/>
    <w:rsid w:val="00E25EB0"/>
    <w:rsid w:val="00E25EB1"/>
    <w:rsid w:val="00E25EBE"/>
    <w:rsid w:val="00E25EE2"/>
    <w:rsid w:val="00E25EF2"/>
    <w:rsid w:val="00E25F54"/>
    <w:rsid w:val="00E25F7E"/>
    <w:rsid w:val="00E25F8B"/>
    <w:rsid w:val="00E25F90"/>
    <w:rsid w:val="00E25F99"/>
    <w:rsid w:val="00E25FA6"/>
    <w:rsid w:val="00E25FDA"/>
    <w:rsid w:val="00E25FE1"/>
    <w:rsid w:val="00E25FF8"/>
    <w:rsid w:val="00E26042"/>
    <w:rsid w:val="00E26044"/>
    <w:rsid w:val="00E260A6"/>
    <w:rsid w:val="00E260D3"/>
    <w:rsid w:val="00E26100"/>
    <w:rsid w:val="00E26151"/>
    <w:rsid w:val="00E261C0"/>
    <w:rsid w:val="00E2622B"/>
    <w:rsid w:val="00E2629D"/>
    <w:rsid w:val="00E262AA"/>
    <w:rsid w:val="00E262D7"/>
    <w:rsid w:val="00E26304"/>
    <w:rsid w:val="00E26310"/>
    <w:rsid w:val="00E2633C"/>
    <w:rsid w:val="00E2639D"/>
    <w:rsid w:val="00E263BE"/>
    <w:rsid w:val="00E263D4"/>
    <w:rsid w:val="00E263F1"/>
    <w:rsid w:val="00E263F8"/>
    <w:rsid w:val="00E26419"/>
    <w:rsid w:val="00E26421"/>
    <w:rsid w:val="00E26428"/>
    <w:rsid w:val="00E2643C"/>
    <w:rsid w:val="00E2644C"/>
    <w:rsid w:val="00E26456"/>
    <w:rsid w:val="00E26486"/>
    <w:rsid w:val="00E264A6"/>
    <w:rsid w:val="00E264A9"/>
    <w:rsid w:val="00E264FC"/>
    <w:rsid w:val="00E26532"/>
    <w:rsid w:val="00E26568"/>
    <w:rsid w:val="00E2658E"/>
    <w:rsid w:val="00E26598"/>
    <w:rsid w:val="00E265A3"/>
    <w:rsid w:val="00E265A9"/>
    <w:rsid w:val="00E265AF"/>
    <w:rsid w:val="00E265B7"/>
    <w:rsid w:val="00E265E1"/>
    <w:rsid w:val="00E265FB"/>
    <w:rsid w:val="00E2662B"/>
    <w:rsid w:val="00E26694"/>
    <w:rsid w:val="00E26698"/>
    <w:rsid w:val="00E266AB"/>
    <w:rsid w:val="00E266BC"/>
    <w:rsid w:val="00E266C5"/>
    <w:rsid w:val="00E2670D"/>
    <w:rsid w:val="00E2674D"/>
    <w:rsid w:val="00E26759"/>
    <w:rsid w:val="00E26789"/>
    <w:rsid w:val="00E267EC"/>
    <w:rsid w:val="00E26808"/>
    <w:rsid w:val="00E26810"/>
    <w:rsid w:val="00E2687F"/>
    <w:rsid w:val="00E268B9"/>
    <w:rsid w:val="00E26915"/>
    <w:rsid w:val="00E2691E"/>
    <w:rsid w:val="00E26970"/>
    <w:rsid w:val="00E2697F"/>
    <w:rsid w:val="00E2699A"/>
    <w:rsid w:val="00E269BC"/>
    <w:rsid w:val="00E269C8"/>
    <w:rsid w:val="00E269F5"/>
    <w:rsid w:val="00E26A74"/>
    <w:rsid w:val="00E26AB0"/>
    <w:rsid w:val="00E26AEB"/>
    <w:rsid w:val="00E26B07"/>
    <w:rsid w:val="00E26B7E"/>
    <w:rsid w:val="00E26B92"/>
    <w:rsid w:val="00E26BED"/>
    <w:rsid w:val="00E26C16"/>
    <w:rsid w:val="00E26C1C"/>
    <w:rsid w:val="00E26C32"/>
    <w:rsid w:val="00E26C3F"/>
    <w:rsid w:val="00E26C53"/>
    <w:rsid w:val="00E26C5F"/>
    <w:rsid w:val="00E26C63"/>
    <w:rsid w:val="00E26C64"/>
    <w:rsid w:val="00E26C69"/>
    <w:rsid w:val="00E26C78"/>
    <w:rsid w:val="00E26CAE"/>
    <w:rsid w:val="00E26D09"/>
    <w:rsid w:val="00E26D15"/>
    <w:rsid w:val="00E26D17"/>
    <w:rsid w:val="00E26DE2"/>
    <w:rsid w:val="00E26E05"/>
    <w:rsid w:val="00E26E10"/>
    <w:rsid w:val="00E26E60"/>
    <w:rsid w:val="00E26ED1"/>
    <w:rsid w:val="00E26F12"/>
    <w:rsid w:val="00E26F29"/>
    <w:rsid w:val="00E26F8C"/>
    <w:rsid w:val="00E26F9D"/>
    <w:rsid w:val="00E2700A"/>
    <w:rsid w:val="00E27016"/>
    <w:rsid w:val="00E27036"/>
    <w:rsid w:val="00E27054"/>
    <w:rsid w:val="00E270A5"/>
    <w:rsid w:val="00E270C1"/>
    <w:rsid w:val="00E270D6"/>
    <w:rsid w:val="00E270EC"/>
    <w:rsid w:val="00E2711E"/>
    <w:rsid w:val="00E27134"/>
    <w:rsid w:val="00E2713B"/>
    <w:rsid w:val="00E2718F"/>
    <w:rsid w:val="00E271B5"/>
    <w:rsid w:val="00E271C9"/>
    <w:rsid w:val="00E2720D"/>
    <w:rsid w:val="00E27219"/>
    <w:rsid w:val="00E2725F"/>
    <w:rsid w:val="00E2726D"/>
    <w:rsid w:val="00E27275"/>
    <w:rsid w:val="00E272E6"/>
    <w:rsid w:val="00E27300"/>
    <w:rsid w:val="00E27301"/>
    <w:rsid w:val="00E27371"/>
    <w:rsid w:val="00E273D6"/>
    <w:rsid w:val="00E273F1"/>
    <w:rsid w:val="00E27464"/>
    <w:rsid w:val="00E2746F"/>
    <w:rsid w:val="00E274E8"/>
    <w:rsid w:val="00E2755A"/>
    <w:rsid w:val="00E2757F"/>
    <w:rsid w:val="00E27587"/>
    <w:rsid w:val="00E2759B"/>
    <w:rsid w:val="00E275CF"/>
    <w:rsid w:val="00E275D9"/>
    <w:rsid w:val="00E27645"/>
    <w:rsid w:val="00E27662"/>
    <w:rsid w:val="00E2767D"/>
    <w:rsid w:val="00E276ED"/>
    <w:rsid w:val="00E27716"/>
    <w:rsid w:val="00E27746"/>
    <w:rsid w:val="00E27778"/>
    <w:rsid w:val="00E27786"/>
    <w:rsid w:val="00E277CB"/>
    <w:rsid w:val="00E27804"/>
    <w:rsid w:val="00E27825"/>
    <w:rsid w:val="00E27828"/>
    <w:rsid w:val="00E2786E"/>
    <w:rsid w:val="00E27888"/>
    <w:rsid w:val="00E27903"/>
    <w:rsid w:val="00E2791D"/>
    <w:rsid w:val="00E27987"/>
    <w:rsid w:val="00E279B3"/>
    <w:rsid w:val="00E279BC"/>
    <w:rsid w:val="00E279FA"/>
    <w:rsid w:val="00E27A17"/>
    <w:rsid w:val="00E27A27"/>
    <w:rsid w:val="00E27A4C"/>
    <w:rsid w:val="00E27A5F"/>
    <w:rsid w:val="00E27AA2"/>
    <w:rsid w:val="00E27ADC"/>
    <w:rsid w:val="00E27AF1"/>
    <w:rsid w:val="00E27B11"/>
    <w:rsid w:val="00E27B18"/>
    <w:rsid w:val="00E27B3F"/>
    <w:rsid w:val="00E27B6D"/>
    <w:rsid w:val="00E27B8F"/>
    <w:rsid w:val="00E27BAF"/>
    <w:rsid w:val="00E27BBF"/>
    <w:rsid w:val="00E27C54"/>
    <w:rsid w:val="00E27C7E"/>
    <w:rsid w:val="00E27CB0"/>
    <w:rsid w:val="00E27CBB"/>
    <w:rsid w:val="00E27CCB"/>
    <w:rsid w:val="00E27D38"/>
    <w:rsid w:val="00E27D57"/>
    <w:rsid w:val="00E27DCE"/>
    <w:rsid w:val="00E27DFC"/>
    <w:rsid w:val="00E27E0C"/>
    <w:rsid w:val="00E27E0E"/>
    <w:rsid w:val="00E27E1D"/>
    <w:rsid w:val="00E27E33"/>
    <w:rsid w:val="00E27E42"/>
    <w:rsid w:val="00E27E76"/>
    <w:rsid w:val="00E27E7F"/>
    <w:rsid w:val="00E27E98"/>
    <w:rsid w:val="00E27EA0"/>
    <w:rsid w:val="00E27ED0"/>
    <w:rsid w:val="00E27F14"/>
    <w:rsid w:val="00E27FA6"/>
    <w:rsid w:val="00E27FC1"/>
    <w:rsid w:val="00E27FE1"/>
    <w:rsid w:val="00E27FF2"/>
    <w:rsid w:val="00E30001"/>
    <w:rsid w:val="00E30006"/>
    <w:rsid w:val="00E3002D"/>
    <w:rsid w:val="00E30046"/>
    <w:rsid w:val="00E30051"/>
    <w:rsid w:val="00E300B9"/>
    <w:rsid w:val="00E300BF"/>
    <w:rsid w:val="00E300C1"/>
    <w:rsid w:val="00E300D4"/>
    <w:rsid w:val="00E3014F"/>
    <w:rsid w:val="00E3016C"/>
    <w:rsid w:val="00E30184"/>
    <w:rsid w:val="00E301C8"/>
    <w:rsid w:val="00E301CA"/>
    <w:rsid w:val="00E301E0"/>
    <w:rsid w:val="00E301E1"/>
    <w:rsid w:val="00E301E3"/>
    <w:rsid w:val="00E301E6"/>
    <w:rsid w:val="00E301F2"/>
    <w:rsid w:val="00E30213"/>
    <w:rsid w:val="00E30221"/>
    <w:rsid w:val="00E3025F"/>
    <w:rsid w:val="00E3027F"/>
    <w:rsid w:val="00E30297"/>
    <w:rsid w:val="00E302CE"/>
    <w:rsid w:val="00E302D0"/>
    <w:rsid w:val="00E302F5"/>
    <w:rsid w:val="00E3031C"/>
    <w:rsid w:val="00E30330"/>
    <w:rsid w:val="00E30386"/>
    <w:rsid w:val="00E3038D"/>
    <w:rsid w:val="00E303AB"/>
    <w:rsid w:val="00E303EF"/>
    <w:rsid w:val="00E30415"/>
    <w:rsid w:val="00E3041E"/>
    <w:rsid w:val="00E30456"/>
    <w:rsid w:val="00E304CE"/>
    <w:rsid w:val="00E304DE"/>
    <w:rsid w:val="00E304FA"/>
    <w:rsid w:val="00E30502"/>
    <w:rsid w:val="00E30547"/>
    <w:rsid w:val="00E30552"/>
    <w:rsid w:val="00E30579"/>
    <w:rsid w:val="00E305FB"/>
    <w:rsid w:val="00E30619"/>
    <w:rsid w:val="00E30632"/>
    <w:rsid w:val="00E306BB"/>
    <w:rsid w:val="00E306DB"/>
    <w:rsid w:val="00E306F6"/>
    <w:rsid w:val="00E30704"/>
    <w:rsid w:val="00E30727"/>
    <w:rsid w:val="00E30728"/>
    <w:rsid w:val="00E3078B"/>
    <w:rsid w:val="00E307B8"/>
    <w:rsid w:val="00E307F8"/>
    <w:rsid w:val="00E3084F"/>
    <w:rsid w:val="00E308D8"/>
    <w:rsid w:val="00E3091A"/>
    <w:rsid w:val="00E3097F"/>
    <w:rsid w:val="00E309C1"/>
    <w:rsid w:val="00E30A24"/>
    <w:rsid w:val="00E30A4A"/>
    <w:rsid w:val="00E30B13"/>
    <w:rsid w:val="00E30B4D"/>
    <w:rsid w:val="00E30B65"/>
    <w:rsid w:val="00E30B71"/>
    <w:rsid w:val="00E30C1C"/>
    <w:rsid w:val="00E30C6A"/>
    <w:rsid w:val="00E30CA1"/>
    <w:rsid w:val="00E30CC0"/>
    <w:rsid w:val="00E30CF5"/>
    <w:rsid w:val="00E30D0E"/>
    <w:rsid w:val="00E30D7C"/>
    <w:rsid w:val="00E30DF3"/>
    <w:rsid w:val="00E30E06"/>
    <w:rsid w:val="00E30E3B"/>
    <w:rsid w:val="00E30E4A"/>
    <w:rsid w:val="00E30E5C"/>
    <w:rsid w:val="00E30E5E"/>
    <w:rsid w:val="00E30EE2"/>
    <w:rsid w:val="00E30EE3"/>
    <w:rsid w:val="00E30EE6"/>
    <w:rsid w:val="00E30EEE"/>
    <w:rsid w:val="00E30F2E"/>
    <w:rsid w:val="00E30F91"/>
    <w:rsid w:val="00E30FE0"/>
    <w:rsid w:val="00E30FE8"/>
    <w:rsid w:val="00E3100A"/>
    <w:rsid w:val="00E310A4"/>
    <w:rsid w:val="00E310AB"/>
    <w:rsid w:val="00E3111B"/>
    <w:rsid w:val="00E31122"/>
    <w:rsid w:val="00E311E4"/>
    <w:rsid w:val="00E31215"/>
    <w:rsid w:val="00E3126F"/>
    <w:rsid w:val="00E312C3"/>
    <w:rsid w:val="00E31341"/>
    <w:rsid w:val="00E31356"/>
    <w:rsid w:val="00E313AF"/>
    <w:rsid w:val="00E313BA"/>
    <w:rsid w:val="00E313BC"/>
    <w:rsid w:val="00E313BE"/>
    <w:rsid w:val="00E313F1"/>
    <w:rsid w:val="00E31439"/>
    <w:rsid w:val="00E3145F"/>
    <w:rsid w:val="00E3146C"/>
    <w:rsid w:val="00E314D4"/>
    <w:rsid w:val="00E314F1"/>
    <w:rsid w:val="00E3157B"/>
    <w:rsid w:val="00E31587"/>
    <w:rsid w:val="00E315A0"/>
    <w:rsid w:val="00E315C1"/>
    <w:rsid w:val="00E315DC"/>
    <w:rsid w:val="00E315E9"/>
    <w:rsid w:val="00E315FB"/>
    <w:rsid w:val="00E31609"/>
    <w:rsid w:val="00E31619"/>
    <w:rsid w:val="00E31624"/>
    <w:rsid w:val="00E31682"/>
    <w:rsid w:val="00E316A1"/>
    <w:rsid w:val="00E316AA"/>
    <w:rsid w:val="00E316CA"/>
    <w:rsid w:val="00E316F5"/>
    <w:rsid w:val="00E316FA"/>
    <w:rsid w:val="00E31719"/>
    <w:rsid w:val="00E31725"/>
    <w:rsid w:val="00E31758"/>
    <w:rsid w:val="00E317B1"/>
    <w:rsid w:val="00E317ED"/>
    <w:rsid w:val="00E317F3"/>
    <w:rsid w:val="00E31831"/>
    <w:rsid w:val="00E31843"/>
    <w:rsid w:val="00E318A1"/>
    <w:rsid w:val="00E318AE"/>
    <w:rsid w:val="00E318B7"/>
    <w:rsid w:val="00E318C1"/>
    <w:rsid w:val="00E318D1"/>
    <w:rsid w:val="00E318E6"/>
    <w:rsid w:val="00E31964"/>
    <w:rsid w:val="00E3196F"/>
    <w:rsid w:val="00E319DD"/>
    <w:rsid w:val="00E319E2"/>
    <w:rsid w:val="00E31A06"/>
    <w:rsid w:val="00E31A28"/>
    <w:rsid w:val="00E31A5E"/>
    <w:rsid w:val="00E31A96"/>
    <w:rsid w:val="00E31A9B"/>
    <w:rsid w:val="00E31AE0"/>
    <w:rsid w:val="00E31B0A"/>
    <w:rsid w:val="00E31B2D"/>
    <w:rsid w:val="00E31B3E"/>
    <w:rsid w:val="00E31B59"/>
    <w:rsid w:val="00E31B5B"/>
    <w:rsid w:val="00E31B6F"/>
    <w:rsid w:val="00E31B73"/>
    <w:rsid w:val="00E31B97"/>
    <w:rsid w:val="00E31BA2"/>
    <w:rsid w:val="00E31C02"/>
    <w:rsid w:val="00E31C24"/>
    <w:rsid w:val="00E31C6C"/>
    <w:rsid w:val="00E31CA4"/>
    <w:rsid w:val="00E31CA6"/>
    <w:rsid w:val="00E31D28"/>
    <w:rsid w:val="00E31D39"/>
    <w:rsid w:val="00E31D7C"/>
    <w:rsid w:val="00E31DF1"/>
    <w:rsid w:val="00E31E06"/>
    <w:rsid w:val="00E31E39"/>
    <w:rsid w:val="00E31E8B"/>
    <w:rsid w:val="00E31EE1"/>
    <w:rsid w:val="00E31EF1"/>
    <w:rsid w:val="00E31F75"/>
    <w:rsid w:val="00E31FA3"/>
    <w:rsid w:val="00E31FC0"/>
    <w:rsid w:val="00E31FDA"/>
    <w:rsid w:val="00E32052"/>
    <w:rsid w:val="00E320DD"/>
    <w:rsid w:val="00E3211A"/>
    <w:rsid w:val="00E32121"/>
    <w:rsid w:val="00E32125"/>
    <w:rsid w:val="00E3218B"/>
    <w:rsid w:val="00E3219E"/>
    <w:rsid w:val="00E321DF"/>
    <w:rsid w:val="00E32201"/>
    <w:rsid w:val="00E32240"/>
    <w:rsid w:val="00E3228B"/>
    <w:rsid w:val="00E322A5"/>
    <w:rsid w:val="00E322AD"/>
    <w:rsid w:val="00E322B2"/>
    <w:rsid w:val="00E322D6"/>
    <w:rsid w:val="00E32317"/>
    <w:rsid w:val="00E3231D"/>
    <w:rsid w:val="00E32356"/>
    <w:rsid w:val="00E3235F"/>
    <w:rsid w:val="00E3236F"/>
    <w:rsid w:val="00E3237C"/>
    <w:rsid w:val="00E32392"/>
    <w:rsid w:val="00E323A6"/>
    <w:rsid w:val="00E323F0"/>
    <w:rsid w:val="00E3240B"/>
    <w:rsid w:val="00E324CA"/>
    <w:rsid w:val="00E324D4"/>
    <w:rsid w:val="00E324E7"/>
    <w:rsid w:val="00E3253E"/>
    <w:rsid w:val="00E32589"/>
    <w:rsid w:val="00E3258C"/>
    <w:rsid w:val="00E3260C"/>
    <w:rsid w:val="00E32629"/>
    <w:rsid w:val="00E32654"/>
    <w:rsid w:val="00E3268E"/>
    <w:rsid w:val="00E32723"/>
    <w:rsid w:val="00E32726"/>
    <w:rsid w:val="00E3273D"/>
    <w:rsid w:val="00E32772"/>
    <w:rsid w:val="00E327D2"/>
    <w:rsid w:val="00E327DC"/>
    <w:rsid w:val="00E32804"/>
    <w:rsid w:val="00E3284A"/>
    <w:rsid w:val="00E3286B"/>
    <w:rsid w:val="00E32872"/>
    <w:rsid w:val="00E328A2"/>
    <w:rsid w:val="00E32907"/>
    <w:rsid w:val="00E3293F"/>
    <w:rsid w:val="00E32988"/>
    <w:rsid w:val="00E329B8"/>
    <w:rsid w:val="00E32A5D"/>
    <w:rsid w:val="00E32A65"/>
    <w:rsid w:val="00E32A76"/>
    <w:rsid w:val="00E32ADA"/>
    <w:rsid w:val="00E32B65"/>
    <w:rsid w:val="00E32BDB"/>
    <w:rsid w:val="00E32CC6"/>
    <w:rsid w:val="00E32CE5"/>
    <w:rsid w:val="00E32D9E"/>
    <w:rsid w:val="00E32DA1"/>
    <w:rsid w:val="00E32DAA"/>
    <w:rsid w:val="00E32E01"/>
    <w:rsid w:val="00E32E0F"/>
    <w:rsid w:val="00E32E24"/>
    <w:rsid w:val="00E32E64"/>
    <w:rsid w:val="00E32EAE"/>
    <w:rsid w:val="00E32ED3"/>
    <w:rsid w:val="00E32EF7"/>
    <w:rsid w:val="00E32EF8"/>
    <w:rsid w:val="00E32F8D"/>
    <w:rsid w:val="00E32F94"/>
    <w:rsid w:val="00E32FC3"/>
    <w:rsid w:val="00E3300E"/>
    <w:rsid w:val="00E33052"/>
    <w:rsid w:val="00E33063"/>
    <w:rsid w:val="00E33071"/>
    <w:rsid w:val="00E33075"/>
    <w:rsid w:val="00E3310E"/>
    <w:rsid w:val="00E33160"/>
    <w:rsid w:val="00E33179"/>
    <w:rsid w:val="00E3317F"/>
    <w:rsid w:val="00E33181"/>
    <w:rsid w:val="00E33266"/>
    <w:rsid w:val="00E33326"/>
    <w:rsid w:val="00E33356"/>
    <w:rsid w:val="00E3337F"/>
    <w:rsid w:val="00E333EE"/>
    <w:rsid w:val="00E333FD"/>
    <w:rsid w:val="00E333FE"/>
    <w:rsid w:val="00E33420"/>
    <w:rsid w:val="00E3346F"/>
    <w:rsid w:val="00E33480"/>
    <w:rsid w:val="00E334C7"/>
    <w:rsid w:val="00E334FD"/>
    <w:rsid w:val="00E33511"/>
    <w:rsid w:val="00E33556"/>
    <w:rsid w:val="00E33583"/>
    <w:rsid w:val="00E33586"/>
    <w:rsid w:val="00E335CD"/>
    <w:rsid w:val="00E335E5"/>
    <w:rsid w:val="00E335F3"/>
    <w:rsid w:val="00E33602"/>
    <w:rsid w:val="00E33615"/>
    <w:rsid w:val="00E33634"/>
    <w:rsid w:val="00E3363A"/>
    <w:rsid w:val="00E33662"/>
    <w:rsid w:val="00E33705"/>
    <w:rsid w:val="00E3371E"/>
    <w:rsid w:val="00E3375E"/>
    <w:rsid w:val="00E33760"/>
    <w:rsid w:val="00E337AC"/>
    <w:rsid w:val="00E337CB"/>
    <w:rsid w:val="00E337F8"/>
    <w:rsid w:val="00E337FE"/>
    <w:rsid w:val="00E33801"/>
    <w:rsid w:val="00E3382B"/>
    <w:rsid w:val="00E33834"/>
    <w:rsid w:val="00E33847"/>
    <w:rsid w:val="00E3387C"/>
    <w:rsid w:val="00E3387E"/>
    <w:rsid w:val="00E33886"/>
    <w:rsid w:val="00E338BE"/>
    <w:rsid w:val="00E338BF"/>
    <w:rsid w:val="00E338CB"/>
    <w:rsid w:val="00E338EF"/>
    <w:rsid w:val="00E3394F"/>
    <w:rsid w:val="00E3398C"/>
    <w:rsid w:val="00E339C1"/>
    <w:rsid w:val="00E339EA"/>
    <w:rsid w:val="00E33A04"/>
    <w:rsid w:val="00E33A37"/>
    <w:rsid w:val="00E33A4E"/>
    <w:rsid w:val="00E33A68"/>
    <w:rsid w:val="00E33A6A"/>
    <w:rsid w:val="00E33AEC"/>
    <w:rsid w:val="00E33B09"/>
    <w:rsid w:val="00E33B17"/>
    <w:rsid w:val="00E33B22"/>
    <w:rsid w:val="00E33B3C"/>
    <w:rsid w:val="00E33B3E"/>
    <w:rsid w:val="00E33B50"/>
    <w:rsid w:val="00E33B60"/>
    <w:rsid w:val="00E33BD9"/>
    <w:rsid w:val="00E33BDA"/>
    <w:rsid w:val="00E33C20"/>
    <w:rsid w:val="00E33C2A"/>
    <w:rsid w:val="00E33C54"/>
    <w:rsid w:val="00E33C7C"/>
    <w:rsid w:val="00E33C93"/>
    <w:rsid w:val="00E33CBD"/>
    <w:rsid w:val="00E33CC7"/>
    <w:rsid w:val="00E33CE6"/>
    <w:rsid w:val="00E33CEB"/>
    <w:rsid w:val="00E33D12"/>
    <w:rsid w:val="00E33D17"/>
    <w:rsid w:val="00E33D21"/>
    <w:rsid w:val="00E33D25"/>
    <w:rsid w:val="00E33D4D"/>
    <w:rsid w:val="00E33DAB"/>
    <w:rsid w:val="00E33DCD"/>
    <w:rsid w:val="00E33E4A"/>
    <w:rsid w:val="00E33E6B"/>
    <w:rsid w:val="00E33E9E"/>
    <w:rsid w:val="00E33ED3"/>
    <w:rsid w:val="00E33F64"/>
    <w:rsid w:val="00E33FC1"/>
    <w:rsid w:val="00E34015"/>
    <w:rsid w:val="00E34068"/>
    <w:rsid w:val="00E340E2"/>
    <w:rsid w:val="00E340F4"/>
    <w:rsid w:val="00E34101"/>
    <w:rsid w:val="00E34123"/>
    <w:rsid w:val="00E34125"/>
    <w:rsid w:val="00E3414B"/>
    <w:rsid w:val="00E34153"/>
    <w:rsid w:val="00E3416E"/>
    <w:rsid w:val="00E34175"/>
    <w:rsid w:val="00E341BC"/>
    <w:rsid w:val="00E341DB"/>
    <w:rsid w:val="00E34200"/>
    <w:rsid w:val="00E3420F"/>
    <w:rsid w:val="00E3426C"/>
    <w:rsid w:val="00E3427B"/>
    <w:rsid w:val="00E342C1"/>
    <w:rsid w:val="00E342E5"/>
    <w:rsid w:val="00E342E9"/>
    <w:rsid w:val="00E342FC"/>
    <w:rsid w:val="00E3439F"/>
    <w:rsid w:val="00E343E8"/>
    <w:rsid w:val="00E343EF"/>
    <w:rsid w:val="00E3445B"/>
    <w:rsid w:val="00E34467"/>
    <w:rsid w:val="00E3448F"/>
    <w:rsid w:val="00E344D4"/>
    <w:rsid w:val="00E344F1"/>
    <w:rsid w:val="00E344F2"/>
    <w:rsid w:val="00E344F8"/>
    <w:rsid w:val="00E3455B"/>
    <w:rsid w:val="00E34580"/>
    <w:rsid w:val="00E345D5"/>
    <w:rsid w:val="00E345EF"/>
    <w:rsid w:val="00E34621"/>
    <w:rsid w:val="00E34651"/>
    <w:rsid w:val="00E3467A"/>
    <w:rsid w:val="00E34686"/>
    <w:rsid w:val="00E3468E"/>
    <w:rsid w:val="00E346BF"/>
    <w:rsid w:val="00E346F9"/>
    <w:rsid w:val="00E347A7"/>
    <w:rsid w:val="00E34828"/>
    <w:rsid w:val="00E34845"/>
    <w:rsid w:val="00E3486B"/>
    <w:rsid w:val="00E34907"/>
    <w:rsid w:val="00E3491A"/>
    <w:rsid w:val="00E3491C"/>
    <w:rsid w:val="00E3496B"/>
    <w:rsid w:val="00E3496E"/>
    <w:rsid w:val="00E34A26"/>
    <w:rsid w:val="00E34A2B"/>
    <w:rsid w:val="00E34A36"/>
    <w:rsid w:val="00E34A50"/>
    <w:rsid w:val="00E34A76"/>
    <w:rsid w:val="00E34ABC"/>
    <w:rsid w:val="00E34AC0"/>
    <w:rsid w:val="00E34AE0"/>
    <w:rsid w:val="00E34B14"/>
    <w:rsid w:val="00E34BBF"/>
    <w:rsid w:val="00E34C0D"/>
    <w:rsid w:val="00E34C96"/>
    <w:rsid w:val="00E34CBD"/>
    <w:rsid w:val="00E34CDE"/>
    <w:rsid w:val="00E34D78"/>
    <w:rsid w:val="00E34DB9"/>
    <w:rsid w:val="00E34E79"/>
    <w:rsid w:val="00E34E81"/>
    <w:rsid w:val="00E34E8B"/>
    <w:rsid w:val="00E34E8C"/>
    <w:rsid w:val="00E34E9B"/>
    <w:rsid w:val="00E34ED9"/>
    <w:rsid w:val="00E34F1F"/>
    <w:rsid w:val="00E34F28"/>
    <w:rsid w:val="00E34F3D"/>
    <w:rsid w:val="00E34FC5"/>
    <w:rsid w:val="00E34FD0"/>
    <w:rsid w:val="00E35001"/>
    <w:rsid w:val="00E35030"/>
    <w:rsid w:val="00E350D7"/>
    <w:rsid w:val="00E350F5"/>
    <w:rsid w:val="00E35129"/>
    <w:rsid w:val="00E35130"/>
    <w:rsid w:val="00E3514E"/>
    <w:rsid w:val="00E351E1"/>
    <w:rsid w:val="00E35204"/>
    <w:rsid w:val="00E35218"/>
    <w:rsid w:val="00E3521F"/>
    <w:rsid w:val="00E35225"/>
    <w:rsid w:val="00E35228"/>
    <w:rsid w:val="00E35251"/>
    <w:rsid w:val="00E352A8"/>
    <w:rsid w:val="00E352AF"/>
    <w:rsid w:val="00E352EB"/>
    <w:rsid w:val="00E35300"/>
    <w:rsid w:val="00E3533F"/>
    <w:rsid w:val="00E35384"/>
    <w:rsid w:val="00E353AD"/>
    <w:rsid w:val="00E353BE"/>
    <w:rsid w:val="00E353FB"/>
    <w:rsid w:val="00E3540D"/>
    <w:rsid w:val="00E3540F"/>
    <w:rsid w:val="00E3546F"/>
    <w:rsid w:val="00E35470"/>
    <w:rsid w:val="00E3548B"/>
    <w:rsid w:val="00E354B7"/>
    <w:rsid w:val="00E354BE"/>
    <w:rsid w:val="00E354EC"/>
    <w:rsid w:val="00E354F2"/>
    <w:rsid w:val="00E3552A"/>
    <w:rsid w:val="00E35539"/>
    <w:rsid w:val="00E35558"/>
    <w:rsid w:val="00E35559"/>
    <w:rsid w:val="00E355E5"/>
    <w:rsid w:val="00E355F2"/>
    <w:rsid w:val="00E35610"/>
    <w:rsid w:val="00E3562F"/>
    <w:rsid w:val="00E35664"/>
    <w:rsid w:val="00E35673"/>
    <w:rsid w:val="00E35694"/>
    <w:rsid w:val="00E356EB"/>
    <w:rsid w:val="00E35709"/>
    <w:rsid w:val="00E3571B"/>
    <w:rsid w:val="00E35773"/>
    <w:rsid w:val="00E35782"/>
    <w:rsid w:val="00E357A5"/>
    <w:rsid w:val="00E357AC"/>
    <w:rsid w:val="00E357BE"/>
    <w:rsid w:val="00E357F3"/>
    <w:rsid w:val="00E35845"/>
    <w:rsid w:val="00E3585A"/>
    <w:rsid w:val="00E3585E"/>
    <w:rsid w:val="00E35879"/>
    <w:rsid w:val="00E3587D"/>
    <w:rsid w:val="00E35891"/>
    <w:rsid w:val="00E358FF"/>
    <w:rsid w:val="00E35924"/>
    <w:rsid w:val="00E35926"/>
    <w:rsid w:val="00E3599B"/>
    <w:rsid w:val="00E359D9"/>
    <w:rsid w:val="00E359F6"/>
    <w:rsid w:val="00E35A03"/>
    <w:rsid w:val="00E35A20"/>
    <w:rsid w:val="00E35A98"/>
    <w:rsid w:val="00E35ABE"/>
    <w:rsid w:val="00E35B0D"/>
    <w:rsid w:val="00E35B3C"/>
    <w:rsid w:val="00E35B5C"/>
    <w:rsid w:val="00E35B6F"/>
    <w:rsid w:val="00E35B93"/>
    <w:rsid w:val="00E35BA0"/>
    <w:rsid w:val="00E35BF5"/>
    <w:rsid w:val="00E35C0C"/>
    <w:rsid w:val="00E35C24"/>
    <w:rsid w:val="00E35C5C"/>
    <w:rsid w:val="00E35CAB"/>
    <w:rsid w:val="00E35CB5"/>
    <w:rsid w:val="00E35CBB"/>
    <w:rsid w:val="00E35CCC"/>
    <w:rsid w:val="00E35CDD"/>
    <w:rsid w:val="00E35CF0"/>
    <w:rsid w:val="00E35CF4"/>
    <w:rsid w:val="00E35CF6"/>
    <w:rsid w:val="00E35D14"/>
    <w:rsid w:val="00E35D17"/>
    <w:rsid w:val="00E35D42"/>
    <w:rsid w:val="00E35D4A"/>
    <w:rsid w:val="00E35D50"/>
    <w:rsid w:val="00E35DAA"/>
    <w:rsid w:val="00E35DAD"/>
    <w:rsid w:val="00E35DDA"/>
    <w:rsid w:val="00E35DFD"/>
    <w:rsid w:val="00E35E5A"/>
    <w:rsid w:val="00E35E82"/>
    <w:rsid w:val="00E35EBD"/>
    <w:rsid w:val="00E35F5B"/>
    <w:rsid w:val="00E35F72"/>
    <w:rsid w:val="00E35FB4"/>
    <w:rsid w:val="00E3604C"/>
    <w:rsid w:val="00E360FF"/>
    <w:rsid w:val="00E36136"/>
    <w:rsid w:val="00E36172"/>
    <w:rsid w:val="00E361EC"/>
    <w:rsid w:val="00E36237"/>
    <w:rsid w:val="00E3623F"/>
    <w:rsid w:val="00E362A8"/>
    <w:rsid w:val="00E36306"/>
    <w:rsid w:val="00E36330"/>
    <w:rsid w:val="00E36355"/>
    <w:rsid w:val="00E363B4"/>
    <w:rsid w:val="00E363B7"/>
    <w:rsid w:val="00E363C6"/>
    <w:rsid w:val="00E363E8"/>
    <w:rsid w:val="00E36471"/>
    <w:rsid w:val="00E3647F"/>
    <w:rsid w:val="00E3649F"/>
    <w:rsid w:val="00E36553"/>
    <w:rsid w:val="00E36585"/>
    <w:rsid w:val="00E365A2"/>
    <w:rsid w:val="00E3661D"/>
    <w:rsid w:val="00E36620"/>
    <w:rsid w:val="00E3665F"/>
    <w:rsid w:val="00E3666F"/>
    <w:rsid w:val="00E36671"/>
    <w:rsid w:val="00E366A6"/>
    <w:rsid w:val="00E366E3"/>
    <w:rsid w:val="00E366F4"/>
    <w:rsid w:val="00E366F9"/>
    <w:rsid w:val="00E3671B"/>
    <w:rsid w:val="00E3671F"/>
    <w:rsid w:val="00E36747"/>
    <w:rsid w:val="00E3676C"/>
    <w:rsid w:val="00E36775"/>
    <w:rsid w:val="00E36788"/>
    <w:rsid w:val="00E367AA"/>
    <w:rsid w:val="00E367CA"/>
    <w:rsid w:val="00E367DC"/>
    <w:rsid w:val="00E36846"/>
    <w:rsid w:val="00E36878"/>
    <w:rsid w:val="00E36886"/>
    <w:rsid w:val="00E368AB"/>
    <w:rsid w:val="00E368AF"/>
    <w:rsid w:val="00E3692D"/>
    <w:rsid w:val="00E3695D"/>
    <w:rsid w:val="00E369B8"/>
    <w:rsid w:val="00E369C6"/>
    <w:rsid w:val="00E36A4A"/>
    <w:rsid w:val="00E36A57"/>
    <w:rsid w:val="00E36A6A"/>
    <w:rsid w:val="00E36A7B"/>
    <w:rsid w:val="00E36AAE"/>
    <w:rsid w:val="00E36ABF"/>
    <w:rsid w:val="00E36AF7"/>
    <w:rsid w:val="00E36B0A"/>
    <w:rsid w:val="00E36B33"/>
    <w:rsid w:val="00E36B4C"/>
    <w:rsid w:val="00E36B51"/>
    <w:rsid w:val="00E36B53"/>
    <w:rsid w:val="00E36B93"/>
    <w:rsid w:val="00E36B9D"/>
    <w:rsid w:val="00E36BD3"/>
    <w:rsid w:val="00E36BFF"/>
    <w:rsid w:val="00E36C26"/>
    <w:rsid w:val="00E36C68"/>
    <w:rsid w:val="00E36C74"/>
    <w:rsid w:val="00E36CB6"/>
    <w:rsid w:val="00E36CC5"/>
    <w:rsid w:val="00E36CDD"/>
    <w:rsid w:val="00E36CE6"/>
    <w:rsid w:val="00E36D2E"/>
    <w:rsid w:val="00E36DBF"/>
    <w:rsid w:val="00E36DD8"/>
    <w:rsid w:val="00E36DDF"/>
    <w:rsid w:val="00E36DE2"/>
    <w:rsid w:val="00E36E34"/>
    <w:rsid w:val="00E36E44"/>
    <w:rsid w:val="00E36E51"/>
    <w:rsid w:val="00E36E70"/>
    <w:rsid w:val="00E36EAA"/>
    <w:rsid w:val="00E36EC3"/>
    <w:rsid w:val="00E36ECB"/>
    <w:rsid w:val="00E36EFA"/>
    <w:rsid w:val="00E36F02"/>
    <w:rsid w:val="00E36F0B"/>
    <w:rsid w:val="00E36F16"/>
    <w:rsid w:val="00E36F2F"/>
    <w:rsid w:val="00E36F3A"/>
    <w:rsid w:val="00E36FA3"/>
    <w:rsid w:val="00E36FD9"/>
    <w:rsid w:val="00E36FEF"/>
    <w:rsid w:val="00E37005"/>
    <w:rsid w:val="00E3701D"/>
    <w:rsid w:val="00E37087"/>
    <w:rsid w:val="00E370D3"/>
    <w:rsid w:val="00E370EC"/>
    <w:rsid w:val="00E370F7"/>
    <w:rsid w:val="00E3710B"/>
    <w:rsid w:val="00E3712C"/>
    <w:rsid w:val="00E37164"/>
    <w:rsid w:val="00E37165"/>
    <w:rsid w:val="00E37187"/>
    <w:rsid w:val="00E37250"/>
    <w:rsid w:val="00E37258"/>
    <w:rsid w:val="00E37277"/>
    <w:rsid w:val="00E37299"/>
    <w:rsid w:val="00E37381"/>
    <w:rsid w:val="00E37383"/>
    <w:rsid w:val="00E3738E"/>
    <w:rsid w:val="00E37414"/>
    <w:rsid w:val="00E37432"/>
    <w:rsid w:val="00E37442"/>
    <w:rsid w:val="00E37495"/>
    <w:rsid w:val="00E374CB"/>
    <w:rsid w:val="00E374D8"/>
    <w:rsid w:val="00E374DC"/>
    <w:rsid w:val="00E374DE"/>
    <w:rsid w:val="00E374E7"/>
    <w:rsid w:val="00E374F0"/>
    <w:rsid w:val="00E3754E"/>
    <w:rsid w:val="00E37582"/>
    <w:rsid w:val="00E375E8"/>
    <w:rsid w:val="00E375EE"/>
    <w:rsid w:val="00E376F2"/>
    <w:rsid w:val="00E376F6"/>
    <w:rsid w:val="00E3774B"/>
    <w:rsid w:val="00E37780"/>
    <w:rsid w:val="00E377EE"/>
    <w:rsid w:val="00E37836"/>
    <w:rsid w:val="00E378D3"/>
    <w:rsid w:val="00E378DE"/>
    <w:rsid w:val="00E37902"/>
    <w:rsid w:val="00E3792E"/>
    <w:rsid w:val="00E37940"/>
    <w:rsid w:val="00E37974"/>
    <w:rsid w:val="00E37980"/>
    <w:rsid w:val="00E379C2"/>
    <w:rsid w:val="00E379C7"/>
    <w:rsid w:val="00E37A20"/>
    <w:rsid w:val="00E37A49"/>
    <w:rsid w:val="00E37AAF"/>
    <w:rsid w:val="00E37AE8"/>
    <w:rsid w:val="00E37B2B"/>
    <w:rsid w:val="00E37B9B"/>
    <w:rsid w:val="00E37BCB"/>
    <w:rsid w:val="00E37BDA"/>
    <w:rsid w:val="00E37BF7"/>
    <w:rsid w:val="00E37C03"/>
    <w:rsid w:val="00E37C06"/>
    <w:rsid w:val="00E37C0D"/>
    <w:rsid w:val="00E37C23"/>
    <w:rsid w:val="00E37C4B"/>
    <w:rsid w:val="00E37C52"/>
    <w:rsid w:val="00E37C5E"/>
    <w:rsid w:val="00E37C94"/>
    <w:rsid w:val="00E37D42"/>
    <w:rsid w:val="00E37D58"/>
    <w:rsid w:val="00E37D66"/>
    <w:rsid w:val="00E37D86"/>
    <w:rsid w:val="00E37DE1"/>
    <w:rsid w:val="00E37DF5"/>
    <w:rsid w:val="00E37E02"/>
    <w:rsid w:val="00E37E28"/>
    <w:rsid w:val="00E37EBE"/>
    <w:rsid w:val="00E37EEA"/>
    <w:rsid w:val="00E37F05"/>
    <w:rsid w:val="00E37F3F"/>
    <w:rsid w:val="00E37FA9"/>
    <w:rsid w:val="00E37FAC"/>
    <w:rsid w:val="00E37FEA"/>
    <w:rsid w:val="00E37FF1"/>
    <w:rsid w:val="00E3B02F"/>
    <w:rsid w:val="00E4002C"/>
    <w:rsid w:val="00E40064"/>
    <w:rsid w:val="00E40173"/>
    <w:rsid w:val="00E401DF"/>
    <w:rsid w:val="00E40239"/>
    <w:rsid w:val="00E4023D"/>
    <w:rsid w:val="00E40243"/>
    <w:rsid w:val="00E4026A"/>
    <w:rsid w:val="00E40284"/>
    <w:rsid w:val="00E40285"/>
    <w:rsid w:val="00E4029A"/>
    <w:rsid w:val="00E402F4"/>
    <w:rsid w:val="00E4030A"/>
    <w:rsid w:val="00E40333"/>
    <w:rsid w:val="00E403A1"/>
    <w:rsid w:val="00E403C6"/>
    <w:rsid w:val="00E403FD"/>
    <w:rsid w:val="00E404A1"/>
    <w:rsid w:val="00E40508"/>
    <w:rsid w:val="00E40521"/>
    <w:rsid w:val="00E40543"/>
    <w:rsid w:val="00E40579"/>
    <w:rsid w:val="00E4059C"/>
    <w:rsid w:val="00E405AD"/>
    <w:rsid w:val="00E405C4"/>
    <w:rsid w:val="00E405C5"/>
    <w:rsid w:val="00E405D1"/>
    <w:rsid w:val="00E40642"/>
    <w:rsid w:val="00E406C7"/>
    <w:rsid w:val="00E406EF"/>
    <w:rsid w:val="00E40707"/>
    <w:rsid w:val="00E40713"/>
    <w:rsid w:val="00E4074F"/>
    <w:rsid w:val="00E40765"/>
    <w:rsid w:val="00E40797"/>
    <w:rsid w:val="00E407A9"/>
    <w:rsid w:val="00E407CE"/>
    <w:rsid w:val="00E407DE"/>
    <w:rsid w:val="00E40851"/>
    <w:rsid w:val="00E4086D"/>
    <w:rsid w:val="00E40880"/>
    <w:rsid w:val="00E40884"/>
    <w:rsid w:val="00E4089F"/>
    <w:rsid w:val="00E408AC"/>
    <w:rsid w:val="00E408AD"/>
    <w:rsid w:val="00E408B3"/>
    <w:rsid w:val="00E4091F"/>
    <w:rsid w:val="00E40922"/>
    <w:rsid w:val="00E4098A"/>
    <w:rsid w:val="00E40999"/>
    <w:rsid w:val="00E409F2"/>
    <w:rsid w:val="00E40A0E"/>
    <w:rsid w:val="00E40A1D"/>
    <w:rsid w:val="00E40A8B"/>
    <w:rsid w:val="00E40AD5"/>
    <w:rsid w:val="00E40AE8"/>
    <w:rsid w:val="00E40B7F"/>
    <w:rsid w:val="00E40B87"/>
    <w:rsid w:val="00E40B98"/>
    <w:rsid w:val="00E40BD0"/>
    <w:rsid w:val="00E40BF9"/>
    <w:rsid w:val="00E40C2A"/>
    <w:rsid w:val="00E40C96"/>
    <w:rsid w:val="00E40D02"/>
    <w:rsid w:val="00E40D22"/>
    <w:rsid w:val="00E40D43"/>
    <w:rsid w:val="00E40D70"/>
    <w:rsid w:val="00E40D79"/>
    <w:rsid w:val="00E40DB8"/>
    <w:rsid w:val="00E40DCD"/>
    <w:rsid w:val="00E40E3D"/>
    <w:rsid w:val="00E40EE5"/>
    <w:rsid w:val="00E40F28"/>
    <w:rsid w:val="00E40F3F"/>
    <w:rsid w:val="00E40F7A"/>
    <w:rsid w:val="00E40FC2"/>
    <w:rsid w:val="00E40FC3"/>
    <w:rsid w:val="00E40FDA"/>
    <w:rsid w:val="00E41004"/>
    <w:rsid w:val="00E4103C"/>
    <w:rsid w:val="00E41050"/>
    <w:rsid w:val="00E41058"/>
    <w:rsid w:val="00E41061"/>
    <w:rsid w:val="00E4106C"/>
    <w:rsid w:val="00E41084"/>
    <w:rsid w:val="00E410A9"/>
    <w:rsid w:val="00E410F3"/>
    <w:rsid w:val="00E41115"/>
    <w:rsid w:val="00E41118"/>
    <w:rsid w:val="00E41157"/>
    <w:rsid w:val="00E4116D"/>
    <w:rsid w:val="00E41173"/>
    <w:rsid w:val="00E4117A"/>
    <w:rsid w:val="00E4118F"/>
    <w:rsid w:val="00E41198"/>
    <w:rsid w:val="00E41199"/>
    <w:rsid w:val="00E41208"/>
    <w:rsid w:val="00E4121E"/>
    <w:rsid w:val="00E4122A"/>
    <w:rsid w:val="00E4123D"/>
    <w:rsid w:val="00E41245"/>
    <w:rsid w:val="00E4125B"/>
    <w:rsid w:val="00E41269"/>
    <w:rsid w:val="00E41299"/>
    <w:rsid w:val="00E412A3"/>
    <w:rsid w:val="00E412A4"/>
    <w:rsid w:val="00E412D3"/>
    <w:rsid w:val="00E412D7"/>
    <w:rsid w:val="00E412DE"/>
    <w:rsid w:val="00E41309"/>
    <w:rsid w:val="00E41332"/>
    <w:rsid w:val="00E4139D"/>
    <w:rsid w:val="00E413BE"/>
    <w:rsid w:val="00E413C7"/>
    <w:rsid w:val="00E41408"/>
    <w:rsid w:val="00E4146C"/>
    <w:rsid w:val="00E4148D"/>
    <w:rsid w:val="00E414B9"/>
    <w:rsid w:val="00E414F6"/>
    <w:rsid w:val="00E41521"/>
    <w:rsid w:val="00E41534"/>
    <w:rsid w:val="00E41554"/>
    <w:rsid w:val="00E4155C"/>
    <w:rsid w:val="00E4157A"/>
    <w:rsid w:val="00E4159C"/>
    <w:rsid w:val="00E415B1"/>
    <w:rsid w:val="00E415C3"/>
    <w:rsid w:val="00E415E4"/>
    <w:rsid w:val="00E4165D"/>
    <w:rsid w:val="00E416B9"/>
    <w:rsid w:val="00E416E5"/>
    <w:rsid w:val="00E416FB"/>
    <w:rsid w:val="00E4171E"/>
    <w:rsid w:val="00E41729"/>
    <w:rsid w:val="00E4176B"/>
    <w:rsid w:val="00E4176E"/>
    <w:rsid w:val="00E41786"/>
    <w:rsid w:val="00E4178A"/>
    <w:rsid w:val="00E417C0"/>
    <w:rsid w:val="00E417F5"/>
    <w:rsid w:val="00E4183C"/>
    <w:rsid w:val="00E4188D"/>
    <w:rsid w:val="00E4199C"/>
    <w:rsid w:val="00E419A9"/>
    <w:rsid w:val="00E419D4"/>
    <w:rsid w:val="00E419F1"/>
    <w:rsid w:val="00E419FC"/>
    <w:rsid w:val="00E41A4D"/>
    <w:rsid w:val="00E41A4E"/>
    <w:rsid w:val="00E41A96"/>
    <w:rsid w:val="00E41A9B"/>
    <w:rsid w:val="00E41AB5"/>
    <w:rsid w:val="00E41AC1"/>
    <w:rsid w:val="00E41AF7"/>
    <w:rsid w:val="00E41B06"/>
    <w:rsid w:val="00E41B09"/>
    <w:rsid w:val="00E41B24"/>
    <w:rsid w:val="00E41B34"/>
    <w:rsid w:val="00E41B61"/>
    <w:rsid w:val="00E41B62"/>
    <w:rsid w:val="00E41BA6"/>
    <w:rsid w:val="00E41BCC"/>
    <w:rsid w:val="00E41BE0"/>
    <w:rsid w:val="00E41C03"/>
    <w:rsid w:val="00E41C2A"/>
    <w:rsid w:val="00E41C2F"/>
    <w:rsid w:val="00E41C42"/>
    <w:rsid w:val="00E41C7E"/>
    <w:rsid w:val="00E41C84"/>
    <w:rsid w:val="00E41C8E"/>
    <w:rsid w:val="00E41C9D"/>
    <w:rsid w:val="00E41CA2"/>
    <w:rsid w:val="00E41CB1"/>
    <w:rsid w:val="00E41CB3"/>
    <w:rsid w:val="00E41CF4"/>
    <w:rsid w:val="00E41D32"/>
    <w:rsid w:val="00E41D8E"/>
    <w:rsid w:val="00E41D90"/>
    <w:rsid w:val="00E41E27"/>
    <w:rsid w:val="00E41E56"/>
    <w:rsid w:val="00E41E82"/>
    <w:rsid w:val="00E41EAA"/>
    <w:rsid w:val="00E41EDD"/>
    <w:rsid w:val="00E41F0A"/>
    <w:rsid w:val="00E41F0B"/>
    <w:rsid w:val="00E41F11"/>
    <w:rsid w:val="00E41FEA"/>
    <w:rsid w:val="00E4204D"/>
    <w:rsid w:val="00E4206D"/>
    <w:rsid w:val="00E4207D"/>
    <w:rsid w:val="00E4209F"/>
    <w:rsid w:val="00E420A1"/>
    <w:rsid w:val="00E420B1"/>
    <w:rsid w:val="00E420C4"/>
    <w:rsid w:val="00E420FD"/>
    <w:rsid w:val="00E42113"/>
    <w:rsid w:val="00E42121"/>
    <w:rsid w:val="00E42143"/>
    <w:rsid w:val="00E42145"/>
    <w:rsid w:val="00E42173"/>
    <w:rsid w:val="00E421C5"/>
    <w:rsid w:val="00E42224"/>
    <w:rsid w:val="00E4225E"/>
    <w:rsid w:val="00E4226B"/>
    <w:rsid w:val="00E42273"/>
    <w:rsid w:val="00E42289"/>
    <w:rsid w:val="00E4229D"/>
    <w:rsid w:val="00E4229F"/>
    <w:rsid w:val="00E422A8"/>
    <w:rsid w:val="00E422B2"/>
    <w:rsid w:val="00E422EF"/>
    <w:rsid w:val="00E42314"/>
    <w:rsid w:val="00E4232A"/>
    <w:rsid w:val="00E4233D"/>
    <w:rsid w:val="00E42350"/>
    <w:rsid w:val="00E423B3"/>
    <w:rsid w:val="00E423E0"/>
    <w:rsid w:val="00E4243A"/>
    <w:rsid w:val="00E42472"/>
    <w:rsid w:val="00E424D9"/>
    <w:rsid w:val="00E424F6"/>
    <w:rsid w:val="00E42510"/>
    <w:rsid w:val="00E4251D"/>
    <w:rsid w:val="00E4252E"/>
    <w:rsid w:val="00E4254E"/>
    <w:rsid w:val="00E4256F"/>
    <w:rsid w:val="00E42583"/>
    <w:rsid w:val="00E42585"/>
    <w:rsid w:val="00E425B1"/>
    <w:rsid w:val="00E425C2"/>
    <w:rsid w:val="00E425E3"/>
    <w:rsid w:val="00E4265A"/>
    <w:rsid w:val="00E4265B"/>
    <w:rsid w:val="00E42688"/>
    <w:rsid w:val="00E426B2"/>
    <w:rsid w:val="00E42747"/>
    <w:rsid w:val="00E42770"/>
    <w:rsid w:val="00E4278D"/>
    <w:rsid w:val="00E42794"/>
    <w:rsid w:val="00E427F1"/>
    <w:rsid w:val="00E428E4"/>
    <w:rsid w:val="00E4290A"/>
    <w:rsid w:val="00E42910"/>
    <w:rsid w:val="00E42947"/>
    <w:rsid w:val="00E4298E"/>
    <w:rsid w:val="00E42994"/>
    <w:rsid w:val="00E429A6"/>
    <w:rsid w:val="00E429C6"/>
    <w:rsid w:val="00E429DE"/>
    <w:rsid w:val="00E429F2"/>
    <w:rsid w:val="00E429FB"/>
    <w:rsid w:val="00E42A36"/>
    <w:rsid w:val="00E42A93"/>
    <w:rsid w:val="00E42ADB"/>
    <w:rsid w:val="00E42AF4"/>
    <w:rsid w:val="00E42B15"/>
    <w:rsid w:val="00E42B25"/>
    <w:rsid w:val="00E42B4E"/>
    <w:rsid w:val="00E42BB6"/>
    <w:rsid w:val="00E42BCC"/>
    <w:rsid w:val="00E42C2E"/>
    <w:rsid w:val="00E42C4D"/>
    <w:rsid w:val="00E42C52"/>
    <w:rsid w:val="00E42C66"/>
    <w:rsid w:val="00E42C87"/>
    <w:rsid w:val="00E42CEC"/>
    <w:rsid w:val="00E42CF6"/>
    <w:rsid w:val="00E42D1D"/>
    <w:rsid w:val="00E42D46"/>
    <w:rsid w:val="00E42D5F"/>
    <w:rsid w:val="00E42D75"/>
    <w:rsid w:val="00E42D8C"/>
    <w:rsid w:val="00E42DDA"/>
    <w:rsid w:val="00E42DF9"/>
    <w:rsid w:val="00E42E02"/>
    <w:rsid w:val="00E42EAA"/>
    <w:rsid w:val="00E42F1A"/>
    <w:rsid w:val="00E42F22"/>
    <w:rsid w:val="00E42F3F"/>
    <w:rsid w:val="00E42F49"/>
    <w:rsid w:val="00E42F66"/>
    <w:rsid w:val="00E42FB9"/>
    <w:rsid w:val="00E42FBC"/>
    <w:rsid w:val="00E42FFB"/>
    <w:rsid w:val="00E43093"/>
    <w:rsid w:val="00E430C0"/>
    <w:rsid w:val="00E430E0"/>
    <w:rsid w:val="00E430E4"/>
    <w:rsid w:val="00E4310C"/>
    <w:rsid w:val="00E43111"/>
    <w:rsid w:val="00E43121"/>
    <w:rsid w:val="00E43123"/>
    <w:rsid w:val="00E4312F"/>
    <w:rsid w:val="00E43134"/>
    <w:rsid w:val="00E4317A"/>
    <w:rsid w:val="00E431F8"/>
    <w:rsid w:val="00E43204"/>
    <w:rsid w:val="00E4323A"/>
    <w:rsid w:val="00E4323D"/>
    <w:rsid w:val="00E43281"/>
    <w:rsid w:val="00E43287"/>
    <w:rsid w:val="00E43328"/>
    <w:rsid w:val="00E4335D"/>
    <w:rsid w:val="00E433A8"/>
    <w:rsid w:val="00E433C9"/>
    <w:rsid w:val="00E433FC"/>
    <w:rsid w:val="00E43420"/>
    <w:rsid w:val="00E43425"/>
    <w:rsid w:val="00E43454"/>
    <w:rsid w:val="00E43457"/>
    <w:rsid w:val="00E4347F"/>
    <w:rsid w:val="00E434C3"/>
    <w:rsid w:val="00E434C4"/>
    <w:rsid w:val="00E434D4"/>
    <w:rsid w:val="00E43516"/>
    <w:rsid w:val="00E4353D"/>
    <w:rsid w:val="00E4355E"/>
    <w:rsid w:val="00E43562"/>
    <w:rsid w:val="00E435C5"/>
    <w:rsid w:val="00E43655"/>
    <w:rsid w:val="00E436A6"/>
    <w:rsid w:val="00E436D8"/>
    <w:rsid w:val="00E43780"/>
    <w:rsid w:val="00E43856"/>
    <w:rsid w:val="00E43880"/>
    <w:rsid w:val="00E438AB"/>
    <w:rsid w:val="00E438BC"/>
    <w:rsid w:val="00E438C7"/>
    <w:rsid w:val="00E4393A"/>
    <w:rsid w:val="00E43979"/>
    <w:rsid w:val="00E4397B"/>
    <w:rsid w:val="00E439BB"/>
    <w:rsid w:val="00E439E0"/>
    <w:rsid w:val="00E43A25"/>
    <w:rsid w:val="00E43A46"/>
    <w:rsid w:val="00E43A50"/>
    <w:rsid w:val="00E43A80"/>
    <w:rsid w:val="00E43ABB"/>
    <w:rsid w:val="00E43B1B"/>
    <w:rsid w:val="00E43B5C"/>
    <w:rsid w:val="00E43B76"/>
    <w:rsid w:val="00E43BE0"/>
    <w:rsid w:val="00E43BF4"/>
    <w:rsid w:val="00E43BF6"/>
    <w:rsid w:val="00E43C05"/>
    <w:rsid w:val="00E43C0E"/>
    <w:rsid w:val="00E43C30"/>
    <w:rsid w:val="00E43C51"/>
    <w:rsid w:val="00E43C7F"/>
    <w:rsid w:val="00E43CC2"/>
    <w:rsid w:val="00E43CCA"/>
    <w:rsid w:val="00E43CF7"/>
    <w:rsid w:val="00E43D00"/>
    <w:rsid w:val="00E43D38"/>
    <w:rsid w:val="00E43D6A"/>
    <w:rsid w:val="00E43D8D"/>
    <w:rsid w:val="00E43D8F"/>
    <w:rsid w:val="00E43DBE"/>
    <w:rsid w:val="00E43DCA"/>
    <w:rsid w:val="00E43DD6"/>
    <w:rsid w:val="00E43DE3"/>
    <w:rsid w:val="00E43DEC"/>
    <w:rsid w:val="00E43E3D"/>
    <w:rsid w:val="00E43E4F"/>
    <w:rsid w:val="00E43E5D"/>
    <w:rsid w:val="00E43E90"/>
    <w:rsid w:val="00E43EA2"/>
    <w:rsid w:val="00E43EC3"/>
    <w:rsid w:val="00E43EC8"/>
    <w:rsid w:val="00E43F0C"/>
    <w:rsid w:val="00E43F1B"/>
    <w:rsid w:val="00E43F1C"/>
    <w:rsid w:val="00E43F31"/>
    <w:rsid w:val="00E43F42"/>
    <w:rsid w:val="00E43F59"/>
    <w:rsid w:val="00E43F68"/>
    <w:rsid w:val="00E44036"/>
    <w:rsid w:val="00E44086"/>
    <w:rsid w:val="00E44096"/>
    <w:rsid w:val="00E440C4"/>
    <w:rsid w:val="00E440C8"/>
    <w:rsid w:val="00E440D4"/>
    <w:rsid w:val="00E44152"/>
    <w:rsid w:val="00E44164"/>
    <w:rsid w:val="00E441A3"/>
    <w:rsid w:val="00E441A7"/>
    <w:rsid w:val="00E441B1"/>
    <w:rsid w:val="00E441BC"/>
    <w:rsid w:val="00E441FB"/>
    <w:rsid w:val="00E44200"/>
    <w:rsid w:val="00E4421A"/>
    <w:rsid w:val="00E44236"/>
    <w:rsid w:val="00E4428D"/>
    <w:rsid w:val="00E44387"/>
    <w:rsid w:val="00E443A7"/>
    <w:rsid w:val="00E443B6"/>
    <w:rsid w:val="00E443C5"/>
    <w:rsid w:val="00E443E0"/>
    <w:rsid w:val="00E443E2"/>
    <w:rsid w:val="00E443EB"/>
    <w:rsid w:val="00E4440F"/>
    <w:rsid w:val="00E44448"/>
    <w:rsid w:val="00E44464"/>
    <w:rsid w:val="00E44503"/>
    <w:rsid w:val="00E44509"/>
    <w:rsid w:val="00E44511"/>
    <w:rsid w:val="00E4454B"/>
    <w:rsid w:val="00E44550"/>
    <w:rsid w:val="00E44596"/>
    <w:rsid w:val="00E445A8"/>
    <w:rsid w:val="00E445C4"/>
    <w:rsid w:val="00E445E8"/>
    <w:rsid w:val="00E4461C"/>
    <w:rsid w:val="00E4464B"/>
    <w:rsid w:val="00E44673"/>
    <w:rsid w:val="00E446B5"/>
    <w:rsid w:val="00E446B8"/>
    <w:rsid w:val="00E446D3"/>
    <w:rsid w:val="00E44728"/>
    <w:rsid w:val="00E4475D"/>
    <w:rsid w:val="00E44770"/>
    <w:rsid w:val="00E44785"/>
    <w:rsid w:val="00E447DA"/>
    <w:rsid w:val="00E447FD"/>
    <w:rsid w:val="00E44833"/>
    <w:rsid w:val="00E448AA"/>
    <w:rsid w:val="00E448C4"/>
    <w:rsid w:val="00E44949"/>
    <w:rsid w:val="00E44964"/>
    <w:rsid w:val="00E4497C"/>
    <w:rsid w:val="00E44995"/>
    <w:rsid w:val="00E4499A"/>
    <w:rsid w:val="00E449E4"/>
    <w:rsid w:val="00E44A20"/>
    <w:rsid w:val="00E44A5E"/>
    <w:rsid w:val="00E44A7D"/>
    <w:rsid w:val="00E44ABE"/>
    <w:rsid w:val="00E44B05"/>
    <w:rsid w:val="00E44B17"/>
    <w:rsid w:val="00E44B72"/>
    <w:rsid w:val="00E44B7B"/>
    <w:rsid w:val="00E44B86"/>
    <w:rsid w:val="00E44BCE"/>
    <w:rsid w:val="00E44BEB"/>
    <w:rsid w:val="00E44C4E"/>
    <w:rsid w:val="00E44C52"/>
    <w:rsid w:val="00E44C7C"/>
    <w:rsid w:val="00E44CC7"/>
    <w:rsid w:val="00E44CD1"/>
    <w:rsid w:val="00E44CFD"/>
    <w:rsid w:val="00E44D05"/>
    <w:rsid w:val="00E44D2F"/>
    <w:rsid w:val="00E44D82"/>
    <w:rsid w:val="00E44DA7"/>
    <w:rsid w:val="00E44DBA"/>
    <w:rsid w:val="00E44DDB"/>
    <w:rsid w:val="00E44DE3"/>
    <w:rsid w:val="00E44E05"/>
    <w:rsid w:val="00E44E10"/>
    <w:rsid w:val="00E44E32"/>
    <w:rsid w:val="00E44E38"/>
    <w:rsid w:val="00E44E65"/>
    <w:rsid w:val="00E44E79"/>
    <w:rsid w:val="00E44E8E"/>
    <w:rsid w:val="00E44EAA"/>
    <w:rsid w:val="00E44F14"/>
    <w:rsid w:val="00E44F37"/>
    <w:rsid w:val="00E44F3B"/>
    <w:rsid w:val="00E44F67"/>
    <w:rsid w:val="00E44F88"/>
    <w:rsid w:val="00E44FC8"/>
    <w:rsid w:val="00E44FE8"/>
    <w:rsid w:val="00E45001"/>
    <w:rsid w:val="00E4502F"/>
    <w:rsid w:val="00E4506B"/>
    <w:rsid w:val="00E450E3"/>
    <w:rsid w:val="00E45102"/>
    <w:rsid w:val="00E4513D"/>
    <w:rsid w:val="00E451F1"/>
    <w:rsid w:val="00E45227"/>
    <w:rsid w:val="00E45249"/>
    <w:rsid w:val="00E45293"/>
    <w:rsid w:val="00E45297"/>
    <w:rsid w:val="00E452C1"/>
    <w:rsid w:val="00E4530E"/>
    <w:rsid w:val="00E45330"/>
    <w:rsid w:val="00E4534B"/>
    <w:rsid w:val="00E4536A"/>
    <w:rsid w:val="00E453F4"/>
    <w:rsid w:val="00E45405"/>
    <w:rsid w:val="00E45409"/>
    <w:rsid w:val="00E45442"/>
    <w:rsid w:val="00E45453"/>
    <w:rsid w:val="00E45465"/>
    <w:rsid w:val="00E45499"/>
    <w:rsid w:val="00E454D5"/>
    <w:rsid w:val="00E454E9"/>
    <w:rsid w:val="00E454F2"/>
    <w:rsid w:val="00E454FC"/>
    <w:rsid w:val="00E4554A"/>
    <w:rsid w:val="00E45555"/>
    <w:rsid w:val="00E45556"/>
    <w:rsid w:val="00E4555D"/>
    <w:rsid w:val="00E4557E"/>
    <w:rsid w:val="00E45587"/>
    <w:rsid w:val="00E4559C"/>
    <w:rsid w:val="00E455B7"/>
    <w:rsid w:val="00E455E0"/>
    <w:rsid w:val="00E45612"/>
    <w:rsid w:val="00E45632"/>
    <w:rsid w:val="00E45634"/>
    <w:rsid w:val="00E4563B"/>
    <w:rsid w:val="00E456A7"/>
    <w:rsid w:val="00E456DC"/>
    <w:rsid w:val="00E4573E"/>
    <w:rsid w:val="00E45772"/>
    <w:rsid w:val="00E4577B"/>
    <w:rsid w:val="00E45786"/>
    <w:rsid w:val="00E457A3"/>
    <w:rsid w:val="00E457B4"/>
    <w:rsid w:val="00E457E8"/>
    <w:rsid w:val="00E45819"/>
    <w:rsid w:val="00E4585A"/>
    <w:rsid w:val="00E458BF"/>
    <w:rsid w:val="00E458DF"/>
    <w:rsid w:val="00E45937"/>
    <w:rsid w:val="00E4593E"/>
    <w:rsid w:val="00E4596C"/>
    <w:rsid w:val="00E45985"/>
    <w:rsid w:val="00E459BE"/>
    <w:rsid w:val="00E45A04"/>
    <w:rsid w:val="00E45A1A"/>
    <w:rsid w:val="00E45A24"/>
    <w:rsid w:val="00E45A2E"/>
    <w:rsid w:val="00E45AC8"/>
    <w:rsid w:val="00E45B53"/>
    <w:rsid w:val="00E45B55"/>
    <w:rsid w:val="00E45B77"/>
    <w:rsid w:val="00E45B97"/>
    <w:rsid w:val="00E45BE1"/>
    <w:rsid w:val="00E45C1A"/>
    <w:rsid w:val="00E45C30"/>
    <w:rsid w:val="00E45C49"/>
    <w:rsid w:val="00E45C5E"/>
    <w:rsid w:val="00E45C9D"/>
    <w:rsid w:val="00E45CA5"/>
    <w:rsid w:val="00E45CAA"/>
    <w:rsid w:val="00E45CE9"/>
    <w:rsid w:val="00E45D42"/>
    <w:rsid w:val="00E45D88"/>
    <w:rsid w:val="00E45DBD"/>
    <w:rsid w:val="00E45DEA"/>
    <w:rsid w:val="00E45E0E"/>
    <w:rsid w:val="00E45E34"/>
    <w:rsid w:val="00E45E4B"/>
    <w:rsid w:val="00E45E7F"/>
    <w:rsid w:val="00E45E83"/>
    <w:rsid w:val="00E45EE2"/>
    <w:rsid w:val="00E45F46"/>
    <w:rsid w:val="00E45FA9"/>
    <w:rsid w:val="00E45FAA"/>
    <w:rsid w:val="00E45FD3"/>
    <w:rsid w:val="00E45FD7"/>
    <w:rsid w:val="00E45FED"/>
    <w:rsid w:val="00E4600B"/>
    <w:rsid w:val="00E4600F"/>
    <w:rsid w:val="00E46076"/>
    <w:rsid w:val="00E4607F"/>
    <w:rsid w:val="00E46091"/>
    <w:rsid w:val="00E460A3"/>
    <w:rsid w:val="00E46107"/>
    <w:rsid w:val="00E4614C"/>
    <w:rsid w:val="00E4617C"/>
    <w:rsid w:val="00E461B2"/>
    <w:rsid w:val="00E461C4"/>
    <w:rsid w:val="00E461F8"/>
    <w:rsid w:val="00E461FD"/>
    <w:rsid w:val="00E462A7"/>
    <w:rsid w:val="00E462EF"/>
    <w:rsid w:val="00E462F8"/>
    <w:rsid w:val="00E462FA"/>
    <w:rsid w:val="00E46304"/>
    <w:rsid w:val="00E46308"/>
    <w:rsid w:val="00E46345"/>
    <w:rsid w:val="00E46353"/>
    <w:rsid w:val="00E46373"/>
    <w:rsid w:val="00E46392"/>
    <w:rsid w:val="00E4639E"/>
    <w:rsid w:val="00E46401"/>
    <w:rsid w:val="00E4641E"/>
    <w:rsid w:val="00E46420"/>
    <w:rsid w:val="00E46462"/>
    <w:rsid w:val="00E4646E"/>
    <w:rsid w:val="00E464C1"/>
    <w:rsid w:val="00E464F1"/>
    <w:rsid w:val="00E46523"/>
    <w:rsid w:val="00E4656A"/>
    <w:rsid w:val="00E4658C"/>
    <w:rsid w:val="00E465A4"/>
    <w:rsid w:val="00E465AC"/>
    <w:rsid w:val="00E465D6"/>
    <w:rsid w:val="00E46616"/>
    <w:rsid w:val="00E46630"/>
    <w:rsid w:val="00E46654"/>
    <w:rsid w:val="00E46679"/>
    <w:rsid w:val="00E466BE"/>
    <w:rsid w:val="00E466DA"/>
    <w:rsid w:val="00E46734"/>
    <w:rsid w:val="00E46774"/>
    <w:rsid w:val="00E467AB"/>
    <w:rsid w:val="00E467AF"/>
    <w:rsid w:val="00E467DE"/>
    <w:rsid w:val="00E467E6"/>
    <w:rsid w:val="00E46829"/>
    <w:rsid w:val="00E4682E"/>
    <w:rsid w:val="00E46889"/>
    <w:rsid w:val="00E468BA"/>
    <w:rsid w:val="00E46902"/>
    <w:rsid w:val="00E4692B"/>
    <w:rsid w:val="00E46992"/>
    <w:rsid w:val="00E469A7"/>
    <w:rsid w:val="00E469FC"/>
    <w:rsid w:val="00E46A92"/>
    <w:rsid w:val="00E46AA8"/>
    <w:rsid w:val="00E46AAB"/>
    <w:rsid w:val="00E46AB1"/>
    <w:rsid w:val="00E46AEA"/>
    <w:rsid w:val="00E46B17"/>
    <w:rsid w:val="00E46B4B"/>
    <w:rsid w:val="00E46B6E"/>
    <w:rsid w:val="00E46B7B"/>
    <w:rsid w:val="00E46B83"/>
    <w:rsid w:val="00E46B9B"/>
    <w:rsid w:val="00E46BF5"/>
    <w:rsid w:val="00E46C1D"/>
    <w:rsid w:val="00E46C41"/>
    <w:rsid w:val="00E46C42"/>
    <w:rsid w:val="00E46C66"/>
    <w:rsid w:val="00E46C7B"/>
    <w:rsid w:val="00E46CA3"/>
    <w:rsid w:val="00E46CC3"/>
    <w:rsid w:val="00E46CCB"/>
    <w:rsid w:val="00E46CDC"/>
    <w:rsid w:val="00E46D1E"/>
    <w:rsid w:val="00E46D39"/>
    <w:rsid w:val="00E46D6F"/>
    <w:rsid w:val="00E46D8A"/>
    <w:rsid w:val="00E46D98"/>
    <w:rsid w:val="00E46DB3"/>
    <w:rsid w:val="00E46DD1"/>
    <w:rsid w:val="00E46DD6"/>
    <w:rsid w:val="00E46E01"/>
    <w:rsid w:val="00E46E87"/>
    <w:rsid w:val="00E46E8D"/>
    <w:rsid w:val="00E46EC8"/>
    <w:rsid w:val="00E46F13"/>
    <w:rsid w:val="00E46F67"/>
    <w:rsid w:val="00E46F7A"/>
    <w:rsid w:val="00E46FCB"/>
    <w:rsid w:val="00E47099"/>
    <w:rsid w:val="00E47112"/>
    <w:rsid w:val="00E4713A"/>
    <w:rsid w:val="00E4715C"/>
    <w:rsid w:val="00E4717F"/>
    <w:rsid w:val="00E471AE"/>
    <w:rsid w:val="00E471B1"/>
    <w:rsid w:val="00E471DE"/>
    <w:rsid w:val="00E47245"/>
    <w:rsid w:val="00E4724C"/>
    <w:rsid w:val="00E47276"/>
    <w:rsid w:val="00E472C1"/>
    <w:rsid w:val="00E472EC"/>
    <w:rsid w:val="00E473FA"/>
    <w:rsid w:val="00E47518"/>
    <w:rsid w:val="00E47534"/>
    <w:rsid w:val="00E4753D"/>
    <w:rsid w:val="00E4753F"/>
    <w:rsid w:val="00E47584"/>
    <w:rsid w:val="00E475AC"/>
    <w:rsid w:val="00E475ED"/>
    <w:rsid w:val="00E4760C"/>
    <w:rsid w:val="00E4763B"/>
    <w:rsid w:val="00E47653"/>
    <w:rsid w:val="00E47654"/>
    <w:rsid w:val="00E476EA"/>
    <w:rsid w:val="00E4770B"/>
    <w:rsid w:val="00E47789"/>
    <w:rsid w:val="00E47790"/>
    <w:rsid w:val="00E477BF"/>
    <w:rsid w:val="00E477FD"/>
    <w:rsid w:val="00E4780E"/>
    <w:rsid w:val="00E47813"/>
    <w:rsid w:val="00E47869"/>
    <w:rsid w:val="00E478B4"/>
    <w:rsid w:val="00E478E2"/>
    <w:rsid w:val="00E478F6"/>
    <w:rsid w:val="00E47929"/>
    <w:rsid w:val="00E4792A"/>
    <w:rsid w:val="00E47966"/>
    <w:rsid w:val="00E47A07"/>
    <w:rsid w:val="00E47A18"/>
    <w:rsid w:val="00E47A33"/>
    <w:rsid w:val="00E47A7B"/>
    <w:rsid w:val="00E47A82"/>
    <w:rsid w:val="00E47AAD"/>
    <w:rsid w:val="00E47AB1"/>
    <w:rsid w:val="00E47ADD"/>
    <w:rsid w:val="00E47B4E"/>
    <w:rsid w:val="00E47B4F"/>
    <w:rsid w:val="00E47BF7"/>
    <w:rsid w:val="00E47C31"/>
    <w:rsid w:val="00E47C39"/>
    <w:rsid w:val="00E47C6C"/>
    <w:rsid w:val="00E47C6E"/>
    <w:rsid w:val="00E47C8D"/>
    <w:rsid w:val="00E47CB0"/>
    <w:rsid w:val="00E47CB6"/>
    <w:rsid w:val="00E47D43"/>
    <w:rsid w:val="00E47D4D"/>
    <w:rsid w:val="00E47D94"/>
    <w:rsid w:val="00E47DA6"/>
    <w:rsid w:val="00E47DBA"/>
    <w:rsid w:val="00E47E16"/>
    <w:rsid w:val="00E47E70"/>
    <w:rsid w:val="00E47F05"/>
    <w:rsid w:val="00E47F0C"/>
    <w:rsid w:val="00E47F0F"/>
    <w:rsid w:val="00E47F16"/>
    <w:rsid w:val="00E47F23"/>
    <w:rsid w:val="00E47FAF"/>
    <w:rsid w:val="00E47FF7"/>
    <w:rsid w:val="00E5000B"/>
    <w:rsid w:val="00E5012D"/>
    <w:rsid w:val="00E5015E"/>
    <w:rsid w:val="00E501D7"/>
    <w:rsid w:val="00E50243"/>
    <w:rsid w:val="00E50281"/>
    <w:rsid w:val="00E50283"/>
    <w:rsid w:val="00E5029C"/>
    <w:rsid w:val="00E502E5"/>
    <w:rsid w:val="00E502FD"/>
    <w:rsid w:val="00E50307"/>
    <w:rsid w:val="00E5037E"/>
    <w:rsid w:val="00E503B6"/>
    <w:rsid w:val="00E503CF"/>
    <w:rsid w:val="00E503DA"/>
    <w:rsid w:val="00E503DC"/>
    <w:rsid w:val="00E503E5"/>
    <w:rsid w:val="00E5048A"/>
    <w:rsid w:val="00E50496"/>
    <w:rsid w:val="00E504BE"/>
    <w:rsid w:val="00E504C5"/>
    <w:rsid w:val="00E504E0"/>
    <w:rsid w:val="00E50535"/>
    <w:rsid w:val="00E50551"/>
    <w:rsid w:val="00E5056D"/>
    <w:rsid w:val="00E5056E"/>
    <w:rsid w:val="00E50581"/>
    <w:rsid w:val="00E505B6"/>
    <w:rsid w:val="00E50654"/>
    <w:rsid w:val="00E50661"/>
    <w:rsid w:val="00E5066F"/>
    <w:rsid w:val="00E50677"/>
    <w:rsid w:val="00E5069E"/>
    <w:rsid w:val="00E506A0"/>
    <w:rsid w:val="00E506B0"/>
    <w:rsid w:val="00E506CE"/>
    <w:rsid w:val="00E506F0"/>
    <w:rsid w:val="00E50705"/>
    <w:rsid w:val="00E50769"/>
    <w:rsid w:val="00E50784"/>
    <w:rsid w:val="00E5078B"/>
    <w:rsid w:val="00E507B2"/>
    <w:rsid w:val="00E507DB"/>
    <w:rsid w:val="00E50825"/>
    <w:rsid w:val="00E5085E"/>
    <w:rsid w:val="00E50865"/>
    <w:rsid w:val="00E50880"/>
    <w:rsid w:val="00E508A0"/>
    <w:rsid w:val="00E508A3"/>
    <w:rsid w:val="00E50915"/>
    <w:rsid w:val="00E50923"/>
    <w:rsid w:val="00E5096C"/>
    <w:rsid w:val="00E509B1"/>
    <w:rsid w:val="00E509ED"/>
    <w:rsid w:val="00E50A41"/>
    <w:rsid w:val="00E50B1D"/>
    <w:rsid w:val="00E50B63"/>
    <w:rsid w:val="00E50BD0"/>
    <w:rsid w:val="00E50C04"/>
    <w:rsid w:val="00E50C16"/>
    <w:rsid w:val="00E50C1E"/>
    <w:rsid w:val="00E50CC0"/>
    <w:rsid w:val="00E50D04"/>
    <w:rsid w:val="00E50D0B"/>
    <w:rsid w:val="00E50E4D"/>
    <w:rsid w:val="00E50E80"/>
    <w:rsid w:val="00E50E96"/>
    <w:rsid w:val="00E51001"/>
    <w:rsid w:val="00E51004"/>
    <w:rsid w:val="00E5106E"/>
    <w:rsid w:val="00E51094"/>
    <w:rsid w:val="00E510A5"/>
    <w:rsid w:val="00E51103"/>
    <w:rsid w:val="00E51109"/>
    <w:rsid w:val="00E51141"/>
    <w:rsid w:val="00E511B1"/>
    <w:rsid w:val="00E511C9"/>
    <w:rsid w:val="00E511D8"/>
    <w:rsid w:val="00E511F6"/>
    <w:rsid w:val="00E51222"/>
    <w:rsid w:val="00E51260"/>
    <w:rsid w:val="00E51262"/>
    <w:rsid w:val="00E512A5"/>
    <w:rsid w:val="00E512A6"/>
    <w:rsid w:val="00E513D0"/>
    <w:rsid w:val="00E513FA"/>
    <w:rsid w:val="00E51406"/>
    <w:rsid w:val="00E51480"/>
    <w:rsid w:val="00E514F9"/>
    <w:rsid w:val="00E51525"/>
    <w:rsid w:val="00E5157F"/>
    <w:rsid w:val="00E51592"/>
    <w:rsid w:val="00E5159F"/>
    <w:rsid w:val="00E51635"/>
    <w:rsid w:val="00E51647"/>
    <w:rsid w:val="00E51661"/>
    <w:rsid w:val="00E51682"/>
    <w:rsid w:val="00E51688"/>
    <w:rsid w:val="00E51690"/>
    <w:rsid w:val="00E516B8"/>
    <w:rsid w:val="00E516D5"/>
    <w:rsid w:val="00E516DC"/>
    <w:rsid w:val="00E516FC"/>
    <w:rsid w:val="00E5171B"/>
    <w:rsid w:val="00E51740"/>
    <w:rsid w:val="00E5177A"/>
    <w:rsid w:val="00E5178D"/>
    <w:rsid w:val="00E517ED"/>
    <w:rsid w:val="00E517EE"/>
    <w:rsid w:val="00E5182C"/>
    <w:rsid w:val="00E51862"/>
    <w:rsid w:val="00E5189D"/>
    <w:rsid w:val="00E518B2"/>
    <w:rsid w:val="00E518E1"/>
    <w:rsid w:val="00E518F3"/>
    <w:rsid w:val="00E51924"/>
    <w:rsid w:val="00E5194F"/>
    <w:rsid w:val="00E51994"/>
    <w:rsid w:val="00E51AA5"/>
    <w:rsid w:val="00E51AAA"/>
    <w:rsid w:val="00E51AF6"/>
    <w:rsid w:val="00E51B17"/>
    <w:rsid w:val="00E51B42"/>
    <w:rsid w:val="00E51B50"/>
    <w:rsid w:val="00E51B54"/>
    <w:rsid w:val="00E51B66"/>
    <w:rsid w:val="00E51BCC"/>
    <w:rsid w:val="00E51CA8"/>
    <w:rsid w:val="00E51CC1"/>
    <w:rsid w:val="00E51CD9"/>
    <w:rsid w:val="00E51D29"/>
    <w:rsid w:val="00E51D42"/>
    <w:rsid w:val="00E51D48"/>
    <w:rsid w:val="00E51D76"/>
    <w:rsid w:val="00E51D77"/>
    <w:rsid w:val="00E51DFE"/>
    <w:rsid w:val="00E51E4E"/>
    <w:rsid w:val="00E51E54"/>
    <w:rsid w:val="00E51E61"/>
    <w:rsid w:val="00E51EB4"/>
    <w:rsid w:val="00E51ED0"/>
    <w:rsid w:val="00E51F09"/>
    <w:rsid w:val="00E51F26"/>
    <w:rsid w:val="00E51F2B"/>
    <w:rsid w:val="00E51F2D"/>
    <w:rsid w:val="00E51FB8"/>
    <w:rsid w:val="00E51FD2"/>
    <w:rsid w:val="00E5201F"/>
    <w:rsid w:val="00E52061"/>
    <w:rsid w:val="00E5206E"/>
    <w:rsid w:val="00E5207B"/>
    <w:rsid w:val="00E520A2"/>
    <w:rsid w:val="00E520EE"/>
    <w:rsid w:val="00E520F3"/>
    <w:rsid w:val="00E5212C"/>
    <w:rsid w:val="00E52146"/>
    <w:rsid w:val="00E5219C"/>
    <w:rsid w:val="00E521A2"/>
    <w:rsid w:val="00E521A7"/>
    <w:rsid w:val="00E521B0"/>
    <w:rsid w:val="00E521C1"/>
    <w:rsid w:val="00E521DA"/>
    <w:rsid w:val="00E521EA"/>
    <w:rsid w:val="00E521EE"/>
    <w:rsid w:val="00E5220F"/>
    <w:rsid w:val="00E52216"/>
    <w:rsid w:val="00E5223F"/>
    <w:rsid w:val="00E52243"/>
    <w:rsid w:val="00E522D9"/>
    <w:rsid w:val="00E5235F"/>
    <w:rsid w:val="00E523ED"/>
    <w:rsid w:val="00E523FC"/>
    <w:rsid w:val="00E52400"/>
    <w:rsid w:val="00E5244F"/>
    <w:rsid w:val="00E5247D"/>
    <w:rsid w:val="00E5248E"/>
    <w:rsid w:val="00E5249B"/>
    <w:rsid w:val="00E524AC"/>
    <w:rsid w:val="00E524BB"/>
    <w:rsid w:val="00E524BC"/>
    <w:rsid w:val="00E524ED"/>
    <w:rsid w:val="00E524FC"/>
    <w:rsid w:val="00E525DF"/>
    <w:rsid w:val="00E52621"/>
    <w:rsid w:val="00E52645"/>
    <w:rsid w:val="00E52651"/>
    <w:rsid w:val="00E526BF"/>
    <w:rsid w:val="00E526EF"/>
    <w:rsid w:val="00E5271D"/>
    <w:rsid w:val="00E52739"/>
    <w:rsid w:val="00E527AD"/>
    <w:rsid w:val="00E527CA"/>
    <w:rsid w:val="00E527CC"/>
    <w:rsid w:val="00E527CF"/>
    <w:rsid w:val="00E527EE"/>
    <w:rsid w:val="00E52893"/>
    <w:rsid w:val="00E5289B"/>
    <w:rsid w:val="00E528E5"/>
    <w:rsid w:val="00E52914"/>
    <w:rsid w:val="00E5295C"/>
    <w:rsid w:val="00E52965"/>
    <w:rsid w:val="00E52971"/>
    <w:rsid w:val="00E52986"/>
    <w:rsid w:val="00E529F4"/>
    <w:rsid w:val="00E52A0C"/>
    <w:rsid w:val="00E52A1D"/>
    <w:rsid w:val="00E52A61"/>
    <w:rsid w:val="00E52A7E"/>
    <w:rsid w:val="00E52A80"/>
    <w:rsid w:val="00E52A82"/>
    <w:rsid w:val="00E52ADA"/>
    <w:rsid w:val="00E52B00"/>
    <w:rsid w:val="00E52B71"/>
    <w:rsid w:val="00E52B77"/>
    <w:rsid w:val="00E52BB6"/>
    <w:rsid w:val="00E52BC8"/>
    <w:rsid w:val="00E52BCB"/>
    <w:rsid w:val="00E52BEB"/>
    <w:rsid w:val="00E52C11"/>
    <w:rsid w:val="00E52C4C"/>
    <w:rsid w:val="00E52C6F"/>
    <w:rsid w:val="00E52CB2"/>
    <w:rsid w:val="00E52CED"/>
    <w:rsid w:val="00E52D11"/>
    <w:rsid w:val="00E52D4A"/>
    <w:rsid w:val="00E52D7D"/>
    <w:rsid w:val="00E52DC2"/>
    <w:rsid w:val="00E52DDC"/>
    <w:rsid w:val="00E52E0F"/>
    <w:rsid w:val="00E52E86"/>
    <w:rsid w:val="00E52EF1"/>
    <w:rsid w:val="00E52F1C"/>
    <w:rsid w:val="00E52F2D"/>
    <w:rsid w:val="00E52F92"/>
    <w:rsid w:val="00E52FB1"/>
    <w:rsid w:val="00E52FD2"/>
    <w:rsid w:val="00E53013"/>
    <w:rsid w:val="00E5304F"/>
    <w:rsid w:val="00E53053"/>
    <w:rsid w:val="00E53091"/>
    <w:rsid w:val="00E53099"/>
    <w:rsid w:val="00E5309A"/>
    <w:rsid w:val="00E530BA"/>
    <w:rsid w:val="00E530D3"/>
    <w:rsid w:val="00E530D4"/>
    <w:rsid w:val="00E53113"/>
    <w:rsid w:val="00E5311D"/>
    <w:rsid w:val="00E53150"/>
    <w:rsid w:val="00E53184"/>
    <w:rsid w:val="00E531A2"/>
    <w:rsid w:val="00E531D9"/>
    <w:rsid w:val="00E531DF"/>
    <w:rsid w:val="00E531FD"/>
    <w:rsid w:val="00E53201"/>
    <w:rsid w:val="00E53213"/>
    <w:rsid w:val="00E5323F"/>
    <w:rsid w:val="00E53255"/>
    <w:rsid w:val="00E53261"/>
    <w:rsid w:val="00E53265"/>
    <w:rsid w:val="00E53280"/>
    <w:rsid w:val="00E532A3"/>
    <w:rsid w:val="00E532DA"/>
    <w:rsid w:val="00E532E6"/>
    <w:rsid w:val="00E532FE"/>
    <w:rsid w:val="00E53367"/>
    <w:rsid w:val="00E5336F"/>
    <w:rsid w:val="00E5337E"/>
    <w:rsid w:val="00E533C7"/>
    <w:rsid w:val="00E533E2"/>
    <w:rsid w:val="00E533E4"/>
    <w:rsid w:val="00E53409"/>
    <w:rsid w:val="00E53418"/>
    <w:rsid w:val="00E53427"/>
    <w:rsid w:val="00E5342F"/>
    <w:rsid w:val="00E5343E"/>
    <w:rsid w:val="00E53466"/>
    <w:rsid w:val="00E53469"/>
    <w:rsid w:val="00E534A4"/>
    <w:rsid w:val="00E534C5"/>
    <w:rsid w:val="00E534CC"/>
    <w:rsid w:val="00E534D8"/>
    <w:rsid w:val="00E53514"/>
    <w:rsid w:val="00E5351E"/>
    <w:rsid w:val="00E5352E"/>
    <w:rsid w:val="00E5357D"/>
    <w:rsid w:val="00E535A3"/>
    <w:rsid w:val="00E535C9"/>
    <w:rsid w:val="00E53601"/>
    <w:rsid w:val="00E53634"/>
    <w:rsid w:val="00E53639"/>
    <w:rsid w:val="00E53673"/>
    <w:rsid w:val="00E536A0"/>
    <w:rsid w:val="00E53703"/>
    <w:rsid w:val="00E53712"/>
    <w:rsid w:val="00E53727"/>
    <w:rsid w:val="00E5374B"/>
    <w:rsid w:val="00E5375E"/>
    <w:rsid w:val="00E537C2"/>
    <w:rsid w:val="00E537FF"/>
    <w:rsid w:val="00E53802"/>
    <w:rsid w:val="00E53837"/>
    <w:rsid w:val="00E5385A"/>
    <w:rsid w:val="00E5386D"/>
    <w:rsid w:val="00E53917"/>
    <w:rsid w:val="00E53939"/>
    <w:rsid w:val="00E53945"/>
    <w:rsid w:val="00E53953"/>
    <w:rsid w:val="00E5399E"/>
    <w:rsid w:val="00E5399F"/>
    <w:rsid w:val="00E539AF"/>
    <w:rsid w:val="00E539B1"/>
    <w:rsid w:val="00E539D0"/>
    <w:rsid w:val="00E539F9"/>
    <w:rsid w:val="00E53AAA"/>
    <w:rsid w:val="00E53ABE"/>
    <w:rsid w:val="00E53AF5"/>
    <w:rsid w:val="00E53B0D"/>
    <w:rsid w:val="00E53B1D"/>
    <w:rsid w:val="00E53B5B"/>
    <w:rsid w:val="00E53BDC"/>
    <w:rsid w:val="00E53BE1"/>
    <w:rsid w:val="00E53C57"/>
    <w:rsid w:val="00E53CCC"/>
    <w:rsid w:val="00E53D38"/>
    <w:rsid w:val="00E53D46"/>
    <w:rsid w:val="00E53D6D"/>
    <w:rsid w:val="00E53DDD"/>
    <w:rsid w:val="00E53DF7"/>
    <w:rsid w:val="00E53E50"/>
    <w:rsid w:val="00E53E74"/>
    <w:rsid w:val="00E53ECA"/>
    <w:rsid w:val="00E53F3B"/>
    <w:rsid w:val="00E53F7D"/>
    <w:rsid w:val="00E53F7F"/>
    <w:rsid w:val="00E53F8C"/>
    <w:rsid w:val="00E53FB6"/>
    <w:rsid w:val="00E53FC9"/>
    <w:rsid w:val="00E53FF4"/>
    <w:rsid w:val="00E5405B"/>
    <w:rsid w:val="00E5407C"/>
    <w:rsid w:val="00E540D0"/>
    <w:rsid w:val="00E540E3"/>
    <w:rsid w:val="00E540E6"/>
    <w:rsid w:val="00E540FB"/>
    <w:rsid w:val="00E5411A"/>
    <w:rsid w:val="00E54128"/>
    <w:rsid w:val="00E54132"/>
    <w:rsid w:val="00E54142"/>
    <w:rsid w:val="00E54150"/>
    <w:rsid w:val="00E54158"/>
    <w:rsid w:val="00E54164"/>
    <w:rsid w:val="00E5416E"/>
    <w:rsid w:val="00E54170"/>
    <w:rsid w:val="00E54189"/>
    <w:rsid w:val="00E54199"/>
    <w:rsid w:val="00E541B5"/>
    <w:rsid w:val="00E541B8"/>
    <w:rsid w:val="00E5423C"/>
    <w:rsid w:val="00E54268"/>
    <w:rsid w:val="00E54283"/>
    <w:rsid w:val="00E5431C"/>
    <w:rsid w:val="00E54321"/>
    <w:rsid w:val="00E54367"/>
    <w:rsid w:val="00E5439A"/>
    <w:rsid w:val="00E5439D"/>
    <w:rsid w:val="00E543A2"/>
    <w:rsid w:val="00E544BC"/>
    <w:rsid w:val="00E544DB"/>
    <w:rsid w:val="00E5451B"/>
    <w:rsid w:val="00E54554"/>
    <w:rsid w:val="00E54577"/>
    <w:rsid w:val="00E545DA"/>
    <w:rsid w:val="00E5460A"/>
    <w:rsid w:val="00E5464F"/>
    <w:rsid w:val="00E546CB"/>
    <w:rsid w:val="00E54721"/>
    <w:rsid w:val="00E54728"/>
    <w:rsid w:val="00E5474D"/>
    <w:rsid w:val="00E547F8"/>
    <w:rsid w:val="00E54802"/>
    <w:rsid w:val="00E54811"/>
    <w:rsid w:val="00E5484E"/>
    <w:rsid w:val="00E54873"/>
    <w:rsid w:val="00E54883"/>
    <w:rsid w:val="00E5494A"/>
    <w:rsid w:val="00E5494D"/>
    <w:rsid w:val="00E54966"/>
    <w:rsid w:val="00E5497B"/>
    <w:rsid w:val="00E5497F"/>
    <w:rsid w:val="00E549A7"/>
    <w:rsid w:val="00E54A1D"/>
    <w:rsid w:val="00E54A2D"/>
    <w:rsid w:val="00E54A55"/>
    <w:rsid w:val="00E54A74"/>
    <w:rsid w:val="00E54A8B"/>
    <w:rsid w:val="00E54AA9"/>
    <w:rsid w:val="00E54B19"/>
    <w:rsid w:val="00E54B2C"/>
    <w:rsid w:val="00E54B41"/>
    <w:rsid w:val="00E54BCA"/>
    <w:rsid w:val="00E54C3A"/>
    <w:rsid w:val="00E54C46"/>
    <w:rsid w:val="00E54CA1"/>
    <w:rsid w:val="00E54CD6"/>
    <w:rsid w:val="00E54CF9"/>
    <w:rsid w:val="00E54DB2"/>
    <w:rsid w:val="00E54E01"/>
    <w:rsid w:val="00E54E0D"/>
    <w:rsid w:val="00E54E2E"/>
    <w:rsid w:val="00E54EC0"/>
    <w:rsid w:val="00E54EC7"/>
    <w:rsid w:val="00E54EC8"/>
    <w:rsid w:val="00E54F08"/>
    <w:rsid w:val="00E54F2B"/>
    <w:rsid w:val="00E54F84"/>
    <w:rsid w:val="00E54FAF"/>
    <w:rsid w:val="00E54FB2"/>
    <w:rsid w:val="00E55067"/>
    <w:rsid w:val="00E55097"/>
    <w:rsid w:val="00E550C5"/>
    <w:rsid w:val="00E55120"/>
    <w:rsid w:val="00E55134"/>
    <w:rsid w:val="00E5515D"/>
    <w:rsid w:val="00E5518A"/>
    <w:rsid w:val="00E551BC"/>
    <w:rsid w:val="00E551C2"/>
    <w:rsid w:val="00E551EB"/>
    <w:rsid w:val="00E5520B"/>
    <w:rsid w:val="00E55232"/>
    <w:rsid w:val="00E55246"/>
    <w:rsid w:val="00E55281"/>
    <w:rsid w:val="00E552D8"/>
    <w:rsid w:val="00E5530D"/>
    <w:rsid w:val="00E5531C"/>
    <w:rsid w:val="00E55362"/>
    <w:rsid w:val="00E55395"/>
    <w:rsid w:val="00E553AC"/>
    <w:rsid w:val="00E553EC"/>
    <w:rsid w:val="00E5540F"/>
    <w:rsid w:val="00E55449"/>
    <w:rsid w:val="00E5550F"/>
    <w:rsid w:val="00E55557"/>
    <w:rsid w:val="00E55576"/>
    <w:rsid w:val="00E5558E"/>
    <w:rsid w:val="00E555BB"/>
    <w:rsid w:val="00E5561E"/>
    <w:rsid w:val="00E55620"/>
    <w:rsid w:val="00E55647"/>
    <w:rsid w:val="00E5564D"/>
    <w:rsid w:val="00E55671"/>
    <w:rsid w:val="00E55694"/>
    <w:rsid w:val="00E556C8"/>
    <w:rsid w:val="00E556E7"/>
    <w:rsid w:val="00E5570A"/>
    <w:rsid w:val="00E5571A"/>
    <w:rsid w:val="00E55739"/>
    <w:rsid w:val="00E55774"/>
    <w:rsid w:val="00E557FB"/>
    <w:rsid w:val="00E5581B"/>
    <w:rsid w:val="00E55826"/>
    <w:rsid w:val="00E55831"/>
    <w:rsid w:val="00E5583E"/>
    <w:rsid w:val="00E55846"/>
    <w:rsid w:val="00E55896"/>
    <w:rsid w:val="00E558D8"/>
    <w:rsid w:val="00E5590D"/>
    <w:rsid w:val="00E5595F"/>
    <w:rsid w:val="00E55993"/>
    <w:rsid w:val="00E55995"/>
    <w:rsid w:val="00E559C0"/>
    <w:rsid w:val="00E55A0E"/>
    <w:rsid w:val="00E55A62"/>
    <w:rsid w:val="00E55AAD"/>
    <w:rsid w:val="00E55AEF"/>
    <w:rsid w:val="00E55AFC"/>
    <w:rsid w:val="00E55B5A"/>
    <w:rsid w:val="00E55B6B"/>
    <w:rsid w:val="00E55B71"/>
    <w:rsid w:val="00E55B8C"/>
    <w:rsid w:val="00E55BE7"/>
    <w:rsid w:val="00E55BF1"/>
    <w:rsid w:val="00E55BF9"/>
    <w:rsid w:val="00E55C0C"/>
    <w:rsid w:val="00E55C6D"/>
    <w:rsid w:val="00E55CF0"/>
    <w:rsid w:val="00E55CF7"/>
    <w:rsid w:val="00E55D05"/>
    <w:rsid w:val="00E55D0F"/>
    <w:rsid w:val="00E55D63"/>
    <w:rsid w:val="00E55DAB"/>
    <w:rsid w:val="00E55DC0"/>
    <w:rsid w:val="00E55DD7"/>
    <w:rsid w:val="00E55DEE"/>
    <w:rsid w:val="00E55E19"/>
    <w:rsid w:val="00E55E64"/>
    <w:rsid w:val="00E55E65"/>
    <w:rsid w:val="00E55E91"/>
    <w:rsid w:val="00E55EDE"/>
    <w:rsid w:val="00E55EF2"/>
    <w:rsid w:val="00E55EFA"/>
    <w:rsid w:val="00E55F58"/>
    <w:rsid w:val="00E55FCD"/>
    <w:rsid w:val="00E56012"/>
    <w:rsid w:val="00E56033"/>
    <w:rsid w:val="00E56055"/>
    <w:rsid w:val="00E5606A"/>
    <w:rsid w:val="00E56082"/>
    <w:rsid w:val="00E560BA"/>
    <w:rsid w:val="00E560C1"/>
    <w:rsid w:val="00E560DB"/>
    <w:rsid w:val="00E560DE"/>
    <w:rsid w:val="00E560F7"/>
    <w:rsid w:val="00E5612A"/>
    <w:rsid w:val="00E56159"/>
    <w:rsid w:val="00E5616C"/>
    <w:rsid w:val="00E561D5"/>
    <w:rsid w:val="00E56248"/>
    <w:rsid w:val="00E56253"/>
    <w:rsid w:val="00E5629F"/>
    <w:rsid w:val="00E562D9"/>
    <w:rsid w:val="00E562E2"/>
    <w:rsid w:val="00E562FD"/>
    <w:rsid w:val="00E56352"/>
    <w:rsid w:val="00E56385"/>
    <w:rsid w:val="00E563A0"/>
    <w:rsid w:val="00E563B6"/>
    <w:rsid w:val="00E563BD"/>
    <w:rsid w:val="00E56413"/>
    <w:rsid w:val="00E564B5"/>
    <w:rsid w:val="00E56507"/>
    <w:rsid w:val="00E56518"/>
    <w:rsid w:val="00E5651B"/>
    <w:rsid w:val="00E56541"/>
    <w:rsid w:val="00E5654F"/>
    <w:rsid w:val="00E56558"/>
    <w:rsid w:val="00E565DE"/>
    <w:rsid w:val="00E56602"/>
    <w:rsid w:val="00E56646"/>
    <w:rsid w:val="00E5667A"/>
    <w:rsid w:val="00E56682"/>
    <w:rsid w:val="00E56710"/>
    <w:rsid w:val="00E5675D"/>
    <w:rsid w:val="00E56769"/>
    <w:rsid w:val="00E56782"/>
    <w:rsid w:val="00E567D4"/>
    <w:rsid w:val="00E567DB"/>
    <w:rsid w:val="00E567E6"/>
    <w:rsid w:val="00E5684C"/>
    <w:rsid w:val="00E5685E"/>
    <w:rsid w:val="00E56869"/>
    <w:rsid w:val="00E56870"/>
    <w:rsid w:val="00E56875"/>
    <w:rsid w:val="00E56898"/>
    <w:rsid w:val="00E568D6"/>
    <w:rsid w:val="00E568DA"/>
    <w:rsid w:val="00E568F8"/>
    <w:rsid w:val="00E56953"/>
    <w:rsid w:val="00E569AA"/>
    <w:rsid w:val="00E569B0"/>
    <w:rsid w:val="00E56A12"/>
    <w:rsid w:val="00E56A1C"/>
    <w:rsid w:val="00E56A5F"/>
    <w:rsid w:val="00E56A87"/>
    <w:rsid w:val="00E56AEA"/>
    <w:rsid w:val="00E56B5B"/>
    <w:rsid w:val="00E56B94"/>
    <w:rsid w:val="00E56BA7"/>
    <w:rsid w:val="00E56BB7"/>
    <w:rsid w:val="00E56BC6"/>
    <w:rsid w:val="00E56BD1"/>
    <w:rsid w:val="00E56BD3"/>
    <w:rsid w:val="00E56BE1"/>
    <w:rsid w:val="00E56C00"/>
    <w:rsid w:val="00E56C10"/>
    <w:rsid w:val="00E56C44"/>
    <w:rsid w:val="00E56C45"/>
    <w:rsid w:val="00E56C52"/>
    <w:rsid w:val="00E56C62"/>
    <w:rsid w:val="00E56D31"/>
    <w:rsid w:val="00E56D5D"/>
    <w:rsid w:val="00E56D9F"/>
    <w:rsid w:val="00E56DB4"/>
    <w:rsid w:val="00E56DE9"/>
    <w:rsid w:val="00E56E13"/>
    <w:rsid w:val="00E56E18"/>
    <w:rsid w:val="00E56E48"/>
    <w:rsid w:val="00E56E8E"/>
    <w:rsid w:val="00E56EEF"/>
    <w:rsid w:val="00E56F63"/>
    <w:rsid w:val="00E56F6F"/>
    <w:rsid w:val="00E56F74"/>
    <w:rsid w:val="00E56F8C"/>
    <w:rsid w:val="00E56F90"/>
    <w:rsid w:val="00E56F9E"/>
    <w:rsid w:val="00E5707B"/>
    <w:rsid w:val="00E570B7"/>
    <w:rsid w:val="00E570BC"/>
    <w:rsid w:val="00E570DA"/>
    <w:rsid w:val="00E57133"/>
    <w:rsid w:val="00E57137"/>
    <w:rsid w:val="00E57150"/>
    <w:rsid w:val="00E5715B"/>
    <w:rsid w:val="00E57188"/>
    <w:rsid w:val="00E57196"/>
    <w:rsid w:val="00E571AF"/>
    <w:rsid w:val="00E571C9"/>
    <w:rsid w:val="00E57289"/>
    <w:rsid w:val="00E57298"/>
    <w:rsid w:val="00E572D1"/>
    <w:rsid w:val="00E5733F"/>
    <w:rsid w:val="00E57384"/>
    <w:rsid w:val="00E573A7"/>
    <w:rsid w:val="00E573A8"/>
    <w:rsid w:val="00E573B0"/>
    <w:rsid w:val="00E573C1"/>
    <w:rsid w:val="00E573D7"/>
    <w:rsid w:val="00E57402"/>
    <w:rsid w:val="00E5740B"/>
    <w:rsid w:val="00E57451"/>
    <w:rsid w:val="00E57482"/>
    <w:rsid w:val="00E574A4"/>
    <w:rsid w:val="00E574D1"/>
    <w:rsid w:val="00E574D9"/>
    <w:rsid w:val="00E574F2"/>
    <w:rsid w:val="00E57517"/>
    <w:rsid w:val="00E57554"/>
    <w:rsid w:val="00E57563"/>
    <w:rsid w:val="00E57564"/>
    <w:rsid w:val="00E5757A"/>
    <w:rsid w:val="00E575A1"/>
    <w:rsid w:val="00E5761B"/>
    <w:rsid w:val="00E57630"/>
    <w:rsid w:val="00E576B4"/>
    <w:rsid w:val="00E576BB"/>
    <w:rsid w:val="00E57715"/>
    <w:rsid w:val="00E57805"/>
    <w:rsid w:val="00E57848"/>
    <w:rsid w:val="00E578BB"/>
    <w:rsid w:val="00E578DF"/>
    <w:rsid w:val="00E57931"/>
    <w:rsid w:val="00E57964"/>
    <w:rsid w:val="00E57979"/>
    <w:rsid w:val="00E579C3"/>
    <w:rsid w:val="00E579ED"/>
    <w:rsid w:val="00E57A00"/>
    <w:rsid w:val="00E57A39"/>
    <w:rsid w:val="00E57A47"/>
    <w:rsid w:val="00E57A7F"/>
    <w:rsid w:val="00E57B4F"/>
    <w:rsid w:val="00E57B77"/>
    <w:rsid w:val="00E57BE0"/>
    <w:rsid w:val="00E57C07"/>
    <w:rsid w:val="00E57C1A"/>
    <w:rsid w:val="00E57C5D"/>
    <w:rsid w:val="00E57C60"/>
    <w:rsid w:val="00E57CEA"/>
    <w:rsid w:val="00E57CFB"/>
    <w:rsid w:val="00E57D34"/>
    <w:rsid w:val="00E57D56"/>
    <w:rsid w:val="00E57DB9"/>
    <w:rsid w:val="00E57DC6"/>
    <w:rsid w:val="00E57E69"/>
    <w:rsid w:val="00E57E6D"/>
    <w:rsid w:val="00E57E8F"/>
    <w:rsid w:val="00E57E9F"/>
    <w:rsid w:val="00E57EB0"/>
    <w:rsid w:val="00E57EB4"/>
    <w:rsid w:val="00E57F75"/>
    <w:rsid w:val="00E57F79"/>
    <w:rsid w:val="00E57FA3"/>
    <w:rsid w:val="00E57FBA"/>
    <w:rsid w:val="00E57FBD"/>
    <w:rsid w:val="00E57FC9"/>
    <w:rsid w:val="00E57FCC"/>
    <w:rsid w:val="00E60071"/>
    <w:rsid w:val="00E6009C"/>
    <w:rsid w:val="00E600BC"/>
    <w:rsid w:val="00E600C7"/>
    <w:rsid w:val="00E600F7"/>
    <w:rsid w:val="00E60167"/>
    <w:rsid w:val="00E6017D"/>
    <w:rsid w:val="00E60186"/>
    <w:rsid w:val="00E60211"/>
    <w:rsid w:val="00E60262"/>
    <w:rsid w:val="00E60279"/>
    <w:rsid w:val="00E602A0"/>
    <w:rsid w:val="00E602DA"/>
    <w:rsid w:val="00E60321"/>
    <w:rsid w:val="00E6036D"/>
    <w:rsid w:val="00E60441"/>
    <w:rsid w:val="00E6045A"/>
    <w:rsid w:val="00E60489"/>
    <w:rsid w:val="00E6048C"/>
    <w:rsid w:val="00E6049C"/>
    <w:rsid w:val="00E604B9"/>
    <w:rsid w:val="00E60510"/>
    <w:rsid w:val="00E60540"/>
    <w:rsid w:val="00E6055C"/>
    <w:rsid w:val="00E60572"/>
    <w:rsid w:val="00E60580"/>
    <w:rsid w:val="00E6061C"/>
    <w:rsid w:val="00E60632"/>
    <w:rsid w:val="00E6067E"/>
    <w:rsid w:val="00E606C0"/>
    <w:rsid w:val="00E606D1"/>
    <w:rsid w:val="00E606F8"/>
    <w:rsid w:val="00E60735"/>
    <w:rsid w:val="00E607A2"/>
    <w:rsid w:val="00E607BE"/>
    <w:rsid w:val="00E607D4"/>
    <w:rsid w:val="00E607E7"/>
    <w:rsid w:val="00E6082F"/>
    <w:rsid w:val="00E6089B"/>
    <w:rsid w:val="00E608AB"/>
    <w:rsid w:val="00E608B6"/>
    <w:rsid w:val="00E608CE"/>
    <w:rsid w:val="00E608CF"/>
    <w:rsid w:val="00E608F1"/>
    <w:rsid w:val="00E608F3"/>
    <w:rsid w:val="00E608FA"/>
    <w:rsid w:val="00E60908"/>
    <w:rsid w:val="00E60909"/>
    <w:rsid w:val="00E60920"/>
    <w:rsid w:val="00E6099C"/>
    <w:rsid w:val="00E609D6"/>
    <w:rsid w:val="00E60A0F"/>
    <w:rsid w:val="00E60A19"/>
    <w:rsid w:val="00E60A1B"/>
    <w:rsid w:val="00E60A28"/>
    <w:rsid w:val="00E60A4B"/>
    <w:rsid w:val="00E60A82"/>
    <w:rsid w:val="00E60AE7"/>
    <w:rsid w:val="00E60B5F"/>
    <w:rsid w:val="00E60B88"/>
    <w:rsid w:val="00E60BA3"/>
    <w:rsid w:val="00E60BC1"/>
    <w:rsid w:val="00E60BC7"/>
    <w:rsid w:val="00E60BFB"/>
    <w:rsid w:val="00E60C13"/>
    <w:rsid w:val="00E60CAE"/>
    <w:rsid w:val="00E60CB8"/>
    <w:rsid w:val="00E60CD1"/>
    <w:rsid w:val="00E60CEA"/>
    <w:rsid w:val="00E60D39"/>
    <w:rsid w:val="00E60DC5"/>
    <w:rsid w:val="00E60DFF"/>
    <w:rsid w:val="00E60E12"/>
    <w:rsid w:val="00E60E59"/>
    <w:rsid w:val="00E60E5C"/>
    <w:rsid w:val="00E60E97"/>
    <w:rsid w:val="00E60EBB"/>
    <w:rsid w:val="00E60ECF"/>
    <w:rsid w:val="00E60F0C"/>
    <w:rsid w:val="00E60F0E"/>
    <w:rsid w:val="00E60F33"/>
    <w:rsid w:val="00E60FA7"/>
    <w:rsid w:val="00E60FF4"/>
    <w:rsid w:val="00E61018"/>
    <w:rsid w:val="00E61039"/>
    <w:rsid w:val="00E61082"/>
    <w:rsid w:val="00E61095"/>
    <w:rsid w:val="00E61096"/>
    <w:rsid w:val="00E61099"/>
    <w:rsid w:val="00E610EB"/>
    <w:rsid w:val="00E61131"/>
    <w:rsid w:val="00E61160"/>
    <w:rsid w:val="00E61183"/>
    <w:rsid w:val="00E611F7"/>
    <w:rsid w:val="00E6120D"/>
    <w:rsid w:val="00E6125C"/>
    <w:rsid w:val="00E61264"/>
    <w:rsid w:val="00E612B1"/>
    <w:rsid w:val="00E612C5"/>
    <w:rsid w:val="00E612F0"/>
    <w:rsid w:val="00E61335"/>
    <w:rsid w:val="00E61384"/>
    <w:rsid w:val="00E61396"/>
    <w:rsid w:val="00E61397"/>
    <w:rsid w:val="00E613C5"/>
    <w:rsid w:val="00E613DF"/>
    <w:rsid w:val="00E61401"/>
    <w:rsid w:val="00E61405"/>
    <w:rsid w:val="00E61414"/>
    <w:rsid w:val="00E61437"/>
    <w:rsid w:val="00E61441"/>
    <w:rsid w:val="00E6145E"/>
    <w:rsid w:val="00E6147E"/>
    <w:rsid w:val="00E614F7"/>
    <w:rsid w:val="00E614FA"/>
    <w:rsid w:val="00E614FF"/>
    <w:rsid w:val="00E61500"/>
    <w:rsid w:val="00E6151B"/>
    <w:rsid w:val="00E6152D"/>
    <w:rsid w:val="00E61586"/>
    <w:rsid w:val="00E615A5"/>
    <w:rsid w:val="00E615BA"/>
    <w:rsid w:val="00E615BE"/>
    <w:rsid w:val="00E615C0"/>
    <w:rsid w:val="00E615FE"/>
    <w:rsid w:val="00E61693"/>
    <w:rsid w:val="00E61694"/>
    <w:rsid w:val="00E616EE"/>
    <w:rsid w:val="00E61758"/>
    <w:rsid w:val="00E617C1"/>
    <w:rsid w:val="00E61820"/>
    <w:rsid w:val="00E61845"/>
    <w:rsid w:val="00E61871"/>
    <w:rsid w:val="00E61882"/>
    <w:rsid w:val="00E618B3"/>
    <w:rsid w:val="00E618BD"/>
    <w:rsid w:val="00E61932"/>
    <w:rsid w:val="00E61959"/>
    <w:rsid w:val="00E61960"/>
    <w:rsid w:val="00E61967"/>
    <w:rsid w:val="00E61978"/>
    <w:rsid w:val="00E619A0"/>
    <w:rsid w:val="00E619F7"/>
    <w:rsid w:val="00E61A6B"/>
    <w:rsid w:val="00E61A8C"/>
    <w:rsid w:val="00E61A9F"/>
    <w:rsid w:val="00E61AAF"/>
    <w:rsid w:val="00E61AB6"/>
    <w:rsid w:val="00E61ADA"/>
    <w:rsid w:val="00E61AE4"/>
    <w:rsid w:val="00E61B1C"/>
    <w:rsid w:val="00E61B3F"/>
    <w:rsid w:val="00E61B46"/>
    <w:rsid w:val="00E61B61"/>
    <w:rsid w:val="00E61B6A"/>
    <w:rsid w:val="00E61B92"/>
    <w:rsid w:val="00E61B9D"/>
    <w:rsid w:val="00E61BDE"/>
    <w:rsid w:val="00E61C0C"/>
    <w:rsid w:val="00E61C11"/>
    <w:rsid w:val="00E61C4A"/>
    <w:rsid w:val="00E61C58"/>
    <w:rsid w:val="00E61C59"/>
    <w:rsid w:val="00E61C64"/>
    <w:rsid w:val="00E61C7F"/>
    <w:rsid w:val="00E61D2D"/>
    <w:rsid w:val="00E61D57"/>
    <w:rsid w:val="00E61DF7"/>
    <w:rsid w:val="00E61E4E"/>
    <w:rsid w:val="00E61E80"/>
    <w:rsid w:val="00E61EA3"/>
    <w:rsid w:val="00E61EA5"/>
    <w:rsid w:val="00E61EE7"/>
    <w:rsid w:val="00E61EEC"/>
    <w:rsid w:val="00E61F1F"/>
    <w:rsid w:val="00E61F22"/>
    <w:rsid w:val="00E61F29"/>
    <w:rsid w:val="00E61F2D"/>
    <w:rsid w:val="00E61F54"/>
    <w:rsid w:val="00E61F61"/>
    <w:rsid w:val="00E61F6B"/>
    <w:rsid w:val="00E61FB6"/>
    <w:rsid w:val="00E61FFF"/>
    <w:rsid w:val="00E6204C"/>
    <w:rsid w:val="00E620BE"/>
    <w:rsid w:val="00E62125"/>
    <w:rsid w:val="00E62130"/>
    <w:rsid w:val="00E6214A"/>
    <w:rsid w:val="00E6214D"/>
    <w:rsid w:val="00E62153"/>
    <w:rsid w:val="00E62184"/>
    <w:rsid w:val="00E6218E"/>
    <w:rsid w:val="00E621BC"/>
    <w:rsid w:val="00E621F8"/>
    <w:rsid w:val="00E6222B"/>
    <w:rsid w:val="00E62269"/>
    <w:rsid w:val="00E6226F"/>
    <w:rsid w:val="00E622F4"/>
    <w:rsid w:val="00E6230B"/>
    <w:rsid w:val="00E62332"/>
    <w:rsid w:val="00E6233D"/>
    <w:rsid w:val="00E62363"/>
    <w:rsid w:val="00E6236B"/>
    <w:rsid w:val="00E6237E"/>
    <w:rsid w:val="00E62380"/>
    <w:rsid w:val="00E623AB"/>
    <w:rsid w:val="00E623BB"/>
    <w:rsid w:val="00E623C2"/>
    <w:rsid w:val="00E623DD"/>
    <w:rsid w:val="00E623EB"/>
    <w:rsid w:val="00E62424"/>
    <w:rsid w:val="00E6242E"/>
    <w:rsid w:val="00E62431"/>
    <w:rsid w:val="00E62467"/>
    <w:rsid w:val="00E624C2"/>
    <w:rsid w:val="00E624E3"/>
    <w:rsid w:val="00E624E8"/>
    <w:rsid w:val="00E624F7"/>
    <w:rsid w:val="00E62502"/>
    <w:rsid w:val="00E62506"/>
    <w:rsid w:val="00E62526"/>
    <w:rsid w:val="00E62555"/>
    <w:rsid w:val="00E6256B"/>
    <w:rsid w:val="00E62594"/>
    <w:rsid w:val="00E625CB"/>
    <w:rsid w:val="00E625FF"/>
    <w:rsid w:val="00E62645"/>
    <w:rsid w:val="00E62672"/>
    <w:rsid w:val="00E62684"/>
    <w:rsid w:val="00E626A0"/>
    <w:rsid w:val="00E626AA"/>
    <w:rsid w:val="00E626C1"/>
    <w:rsid w:val="00E626FC"/>
    <w:rsid w:val="00E62701"/>
    <w:rsid w:val="00E62759"/>
    <w:rsid w:val="00E62788"/>
    <w:rsid w:val="00E6278B"/>
    <w:rsid w:val="00E627C9"/>
    <w:rsid w:val="00E62829"/>
    <w:rsid w:val="00E6284C"/>
    <w:rsid w:val="00E628A7"/>
    <w:rsid w:val="00E628BB"/>
    <w:rsid w:val="00E628C8"/>
    <w:rsid w:val="00E629A2"/>
    <w:rsid w:val="00E629C0"/>
    <w:rsid w:val="00E629EF"/>
    <w:rsid w:val="00E62A58"/>
    <w:rsid w:val="00E62A6C"/>
    <w:rsid w:val="00E62AEA"/>
    <w:rsid w:val="00E62AF5"/>
    <w:rsid w:val="00E62AF6"/>
    <w:rsid w:val="00E62B11"/>
    <w:rsid w:val="00E62B17"/>
    <w:rsid w:val="00E62B40"/>
    <w:rsid w:val="00E62B73"/>
    <w:rsid w:val="00E62BF6"/>
    <w:rsid w:val="00E62C02"/>
    <w:rsid w:val="00E62C03"/>
    <w:rsid w:val="00E62C5D"/>
    <w:rsid w:val="00E62C78"/>
    <w:rsid w:val="00E62C9C"/>
    <w:rsid w:val="00E62CBA"/>
    <w:rsid w:val="00E62D1B"/>
    <w:rsid w:val="00E62D47"/>
    <w:rsid w:val="00E62DB2"/>
    <w:rsid w:val="00E62DFE"/>
    <w:rsid w:val="00E62E0B"/>
    <w:rsid w:val="00E62E0C"/>
    <w:rsid w:val="00E62E36"/>
    <w:rsid w:val="00E62E46"/>
    <w:rsid w:val="00E62E4A"/>
    <w:rsid w:val="00E62E8E"/>
    <w:rsid w:val="00E62E98"/>
    <w:rsid w:val="00E62ED6"/>
    <w:rsid w:val="00E62EE1"/>
    <w:rsid w:val="00E62EE3"/>
    <w:rsid w:val="00E62EFC"/>
    <w:rsid w:val="00E62F01"/>
    <w:rsid w:val="00E62F14"/>
    <w:rsid w:val="00E62FAE"/>
    <w:rsid w:val="00E62FDE"/>
    <w:rsid w:val="00E6301D"/>
    <w:rsid w:val="00E63082"/>
    <w:rsid w:val="00E630B7"/>
    <w:rsid w:val="00E630BE"/>
    <w:rsid w:val="00E63127"/>
    <w:rsid w:val="00E63163"/>
    <w:rsid w:val="00E63170"/>
    <w:rsid w:val="00E631D1"/>
    <w:rsid w:val="00E631D4"/>
    <w:rsid w:val="00E631F1"/>
    <w:rsid w:val="00E63218"/>
    <w:rsid w:val="00E6322B"/>
    <w:rsid w:val="00E63254"/>
    <w:rsid w:val="00E6325B"/>
    <w:rsid w:val="00E63265"/>
    <w:rsid w:val="00E6326B"/>
    <w:rsid w:val="00E63278"/>
    <w:rsid w:val="00E632DE"/>
    <w:rsid w:val="00E632FF"/>
    <w:rsid w:val="00E6334D"/>
    <w:rsid w:val="00E63353"/>
    <w:rsid w:val="00E63356"/>
    <w:rsid w:val="00E633CA"/>
    <w:rsid w:val="00E6342D"/>
    <w:rsid w:val="00E6344A"/>
    <w:rsid w:val="00E634DD"/>
    <w:rsid w:val="00E634E0"/>
    <w:rsid w:val="00E6351B"/>
    <w:rsid w:val="00E63571"/>
    <w:rsid w:val="00E635AA"/>
    <w:rsid w:val="00E635B1"/>
    <w:rsid w:val="00E635DB"/>
    <w:rsid w:val="00E63609"/>
    <w:rsid w:val="00E63615"/>
    <w:rsid w:val="00E63625"/>
    <w:rsid w:val="00E63631"/>
    <w:rsid w:val="00E63680"/>
    <w:rsid w:val="00E63681"/>
    <w:rsid w:val="00E636BF"/>
    <w:rsid w:val="00E63701"/>
    <w:rsid w:val="00E6370E"/>
    <w:rsid w:val="00E63747"/>
    <w:rsid w:val="00E63759"/>
    <w:rsid w:val="00E6376A"/>
    <w:rsid w:val="00E63770"/>
    <w:rsid w:val="00E6377C"/>
    <w:rsid w:val="00E63792"/>
    <w:rsid w:val="00E63800"/>
    <w:rsid w:val="00E63855"/>
    <w:rsid w:val="00E6385A"/>
    <w:rsid w:val="00E63883"/>
    <w:rsid w:val="00E638A4"/>
    <w:rsid w:val="00E638B8"/>
    <w:rsid w:val="00E638C5"/>
    <w:rsid w:val="00E638C7"/>
    <w:rsid w:val="00E638CB"/>
    <w:rsid w:val="00E638FD"/>
    <w:rsid w:val="00E63905"/>
    <w:rsid w:val="00E6393B"/>
    <w:rsid w:val="00E63958"/>
    <w:rsid w:val="00E63980"/>
    <w:rsid w:val="00E63995"/>
    <w:rsid w:val="00E639D2"/>
    <w:rsid w:val="00E639D6"/>
    <w:rsid w:val="00E639E1"/>
    <w:rsid w:val="00E63A1B"/>
    <w:rsid w:val="00E63A1C"/>
    <w:rsid w:val="00E63A3A"/>
    <w:rsid w:val="00E63A83"/>
    <w:rsid w:val="00E63A95"/>
    <w:rsid w:val="00E63ABE"/>
    <w:rsid w:val="00E63AD1"/>
    <w:rsid w:val="00E63AE4"/>
    <w:rsid w:val="00E63B07"/>
    <w:rsid w:val="00E63B18"/>
    <w:rsid w:val="00E63B24"/>
    <w:rsid w:val="00E63B9F"/>
    <w:rsid w:val="00E63BD3"/>
    <w:rsid w:val="00E63BD5"/>
    <w:rsid w:val="00E63C46"/>
    <w:rsid w:val="00E63C9E"/>
    <w:rsid w:val="00E63CC2"/>
    <w:rsid w:val="00E63D0B"/>
    <w:rsid w:val="00E63D18"/>
    <w:rsid w:val="00E63D33"/>
    <w:rsid w:val="00E63D34"/>
    <w:rsid w:val="00E63D7F"/>
    <w:rsid w:val="00E63D81"/>
    <w:rsid w:val="00E63DB8"/>
    <w:rsid w:val="00E63DDF"/>
    <w:rsid w:val="00E63E08"/>
    <w:rsid w:val="00E63E4A"/>
    <w:rsid w:val="00E63EE0"/>
    <w:rsid w:val="00E63F22"/>
    <w:rsid w:val="00E63F2B"/>
    <w:rsid w:val="00E63F2D"/>
    <w:rsid w:val="00E63F3B"/>
    <w:rsid w:val="00E63F49"/>
    <w:rsid w:val="00E63F70"/>
    <w:rsid w:val="00E63F95"/>
    <w:rsid w:val="00E63F9D"/>
    <w:rsid w:val="00E63FE8"/>
    <w:rsid w:val="00E64032"/>
    <w:rsid w:val="00E6409F"/>
    <w:rsid w:val="00E64126"/>
    <w:rsid w:val="00E64155"/>
    <w:rsid w:val="00E6417C"/>
    <w:rsid w:val="00E64187"/>
    <w:rsid w:val="00E64189"/>
    <w:rsid w:val="00E641F8"/>
    <w:rsid w:val="00E64208"/>
    <w:rsid w:val="00E64223"/>
    <w:rsid w:val="00E642A1"/>
    <w:rsid w:val="00E642A5"/>
    <w:rsid w:val="00E642AB"/>
    <w:rsid w:val="00E642DC"/>
    <w:rsid w:val="00E642E5"/>
    <w:rsid w:val="00E642EE"/>
    <w:rsid w:val="00E64324"/>
    <w:rsid w:val="00E6435F"/>
    <w:rsid w:val="00E64373"/>
    <w:rsid w:val="00E6439E"/>
    <w:rsid w:val="00E643F2"/>
    <w:rsid w:val="00E6440E"/>
    <w:rsid w:val="00E64451"/>
    <w:rsid w:val="00E64503"/>
    <w:rsid w:val="00E64506"/>
    <w:rsid w:val="00E6450A"/>
    <w:rsid w:val="00E64533"/>
    <w:rsid w:val="00E645A7"/>
    <w:rsid w:val="00E6463E"/>
    <w:rsid w:val="00E64664"/>
    <w:rsid w:val="00E6467F"/>
    <w:rsid w:val="00E64698"/>
    <w:rsid w:val="00E646A8"/>
    <w:rsid w:val="00E646EC"/>
    <w:rsid w:val="00E64706"/>
    <w:rsid w:val="00E64713"/>
    <w:rsid w:val="00E64724"/>
    <w:rsid w:val="00E64734"/>
    <w:rsid w:val="00E64737"/>
    <w:rsid w:val="00E64793"/>
    <w:rsid w:val="00E647BD"/>
    <w:rsid w:val="00E647C4"/>
    <w:rsid w:val="00E647D2"/>
    <w:rsid w:val="00E64847"/>
    <w:rsid w:val="00E648E0"/>
    <w:rsid w:val="00E648E3"/>
    <w:rsid w:val="00E6493C"/>
    <w:rsid w:val="00E649AE"/>
    <w:rsid w:val="00E649EB"/>
    <w:rsid w:val="00E64A0E"/>
    <w:rsid w:val="00E64A71"/>
    <w:rsid w:val="00E64ABB"/>
    <w:rsid w:val="00E64ABD"/>
    <w:rsid w:val="00E64B04"/>
    <w:rsid w:val="00E64B55"/>
    <w:rsid w:val="00E64BD3"/>
    <w:rsid w:val="00E64BD4"/>
    <w:rsid w:val="00E64BF5"/>
    <w:rsid w:val="00E64C39"/>
    <w:rsid w:val="00E64C7A"/>
    <w:rsid w:val="00E64C7B"/>
    <w:rsid w:val="00E64C7E"/>
    <w:rsid w:val="00E64C8E"/>
    <w:rsid w:val="00E64C9C"/>
    <w:rsid w:val="00E64CDB"/>
    <w:rsid w:val="00E64CE3"/>
    <w:rsid w:val="00E64D23"/>
    <w:rsid w:val="00E64D3C"/>
    <w:rsid w:val="00E64D3F"/>
    <w:rsid w:val="00E64D74"/>
    <w:rsid w:val="00E64D81"/>
    <w:rsid w:val="00E64D95"/>
    <w:rsid w:val="00E64DFB"/>
    <w:rsid w:val="00E64EB6"/>
    <w:rsid w:val="00E64F7F"/>
    <w:rsid w:val="00E64FC4"/>
    <w:rsid w:val="00E64FF1"/>
    <w:rsid w:val="00E6500B"/>
    <w:rsid w:val="00E65011"/>
    <w:rsid w:val="00E65041"/>
    <w:rsid w:val="00E65069"/>
    <w:rsid w:val="00E6509E"/>
    <w:rsid w:val="00E650AA"/>
    <w:rsid w:val="00E650AC"/>
    <w:rsid w:val="00E650D9"/>
    <w:rsid w:val="00E650E1"/>
    <w:rsid w:val="00E6516F"/>
    <w:rsid w:val="00E65177"/>
    <w:rsid w:val="00E65183"/>
    <w:rsid w:val="00E65192"/>
    <w:rsid w:val="00E6519E"/>
    <w:rsid w:val="00E651C3"/>
    <w:rsid w:val="00E651D1"/>
    <w:rsid w:val="00E651E7"/>
    <w:rsid w:val="00E651FC"/>
    <w:rsid w:val="00E65230"/>
    <w:rsid w:val="00E6524A"/>
    <w:rsid w:val="00E65259"/>
    <w:rsid w:val="00E6525E"/>
    <w:rsid w:val="00E65271"/>
    <w:rsid w:val="00E65286"/>
    <w:rsid w:val="00E65287"/>
    <w:rsid w:val="00E652AA"/>
    <w:rsid w:val="00E652B9"/>
    <w:rsid w:val="00E65443"/>
    <w:rsid w:val="00E6548D"/>
    <w:rsid w:val="00E654C1"/>
    <w:rsid w:val="00E654CF"/>
    <w:rsid w:val="00E65513"/>
    <w:rsid w:val="00E65533"/>
    <w:rsid w:val="00E6553F"/>
    <w:rsid w:val="00E65540"/>
    <w:rsid w:val="00E6555C"/>
    <w:rsid w:val="00E6555E"/>
    <w:rsid w:val="00E655BA"/>
    <w:rsid w:val="00E655CB"/>
    <w:rsid w:val="00E655F3"/>
    <w:rsid w:val="00E655F8"/>
    <w:rsid w:val="00E65604"/>
    <w:rsid w:val="00E65632"/>
    <w:rsid w:val="00E65655"/>
    <w:rsid w:val="00E65671"/>
    <w:rsid w:val="00E65675"/>
    <w:rsid w:val="00E65676"/>
    <w:rsid w:val="00E6568C"/>
    <w:rsid w:val="00E65691"/>
    <w:rsid w:val="00E6569B"/>
    <w:rsid w:val="00E656AF"/>
    <w:rsid w:val="00E656BD"/>
    <w:rsid w:val="00E656E0"/>
    <w:rsid w:val="00E656FE"/>
    <w:rsid w:val="00E65717"/>
    <w:rsid w:val="00E6572D"/>
    <w:rsid w:val="00E6573F"/>
    <w:rsid w:val="00E657CD"/>
    <w:rsid w:val="00E657D7"/>
    <w:rsid w:val="00E657EF"/>
    <w:rsid w:val="00E65801"/>
    <w:rsid w:val="00E658BC"/>
    <w:rsid w:val="00E658EE"/>
    <w:rsid w:val="00E658FD"/>
    <w:rsid w:val="00E65924"/>
    <w:rsid w:val="00E659C4"/>
    <w:rsid w:val="00E659DF"/>
    <w:rsid w:val="00E659E8"/>
    <w:rsid w:val="00E659FA"/>
    <w:rsid w:val="00E65A41"/>
    <w:rsid w:val="00E65A70"/>
    <w:rsid w:val="00E65AD0"/>
    <w:rsid w:val="00E65B3A"/>
    <w:rsid w:val="00E65B4C"/>
    <w:rsid w:val="00E65B75"/>
    <w:rsid w:val="00E65BC8"/>
    <w:rsid w:val="00E65BEA"/>
    <w:rsid w:val="00E65BEE"/>
    <w:rsid w:val="00E65BEF"/>
    <w:rsid w:val="00E65BFF"/>
    <w:rsid w:val="00E65C16"/>
    <w:rsid w:val="00E65C39"/>
    <w:rsid w:val="00E65C48"/>
    <w:rsid w:val="00E65C64"/>
    <w:rsid w:val="00E65C6A"/>
    <w:rsid w:val="00E65C8B"/>
    <w:rsid w:val="00E65C94"/>
    <w:rsid w:val="00E65CA5"/>
    <w:rsid w:val="00E65D56"/>
    <w:rsid w:val="00E65D8B"/>
    <w:rsid w:val="00E65DD3"/>
    <w:rsid w:val="00E65DE1"/>
    <w:rsid w:val="00E65E17"/>
    <w:rsid w:val="00E65E63"/>
    <w:rsid w:val="00E65E99"/>
    <w:rsid w:val="00E65EA5"/>
    <w:rsid w:val="00E65EC0"/>
    <w:rsid w:val="00E65F6D"/>
    <w:rsid w:val="00E65FA9"/>
    <w:rsid w:val="00E65FAE"/>
    <w:rsid w:val="00E6601A"/>
    <w:rsid w:val="00E6602C"/>
    <w:rsid w:val="00E66056"/>
    <w:rsid w:val="00E66081"/>
    <w:rsid w:val="00E660AE"/>
    <w:rsid w:val="00E660B7"/>
    <w:rsid w:val="00E6620D"/>
    <w:rsid w:val="00E66239"/>
    <w:rsid w:val="00E6623C"/>
    <w:rsid w:val="00E66258"/>
    <w:rsid w:val="00E66262"/>
    <w:rsid w:val="00E662A9"/>
    <w:rsid w:val="00E662AA"/>
    <w:rsid w:val="00E662BE"/>
    <w:rsid w:val="00E662D2"/>
    <w:rsid w:val="00E6630F"/>
    <w:rsid w:val="00E6631F"/>
    <w:rsid w:val="00E66380"/>
    <w:rsid w:val="00E663BE"/>
    <w:rsid w:val="00E663E4"/>
    <w:rsid w:val="00E663FE"/>
    <w:rsid w:val="00E6642D"/>
    <w:rsid w:val="00E66431"/>
    <w:rsid w:val="00E6643F"/>
    <w:rsid w:val="00E664AA"/>
    <w:rsid w:val="00E66596"/>
    <w:rsid w:val="00E665BD"/>
    <w:rsid w:val="00E665C2"/>
    <w:rsid w:val="00E665C4"/>
    <w:rsid w:val="00E665E5"/>
    <w:rsid w:val="00E66676"/>
    <w:rsid w:val="00E6667F"/>
    <w:rsid w:val="00E66698"/>
    <w:rsid w:val="00E66699"/>
    <w:rsid w:val="00E6674B"/>
    <w:rsid w:val="00E66761"/>
    <w:rsid w:val="00E66783"/>
    <w:rsid w:val="00E6679C"/>
    <w:rsid w:val="00E667BC"/>
    <w:rsid w:val="00E667C1"/>
    <w:rsid w:val="00E667E6"/>
    <w:rsid w:val="00E66801"/>
    <w:rsid w:val="00E6684C"/>
    <w:rsid w:val="00E6688A"/>
    <w:rsid w:val="00E668B8"/>
    <w:rsid w:val="00E668D1"/>
    <w:rsid w:val="00E668D3"/>
    <w:rsid w:val="00E668E0"/>
    <w:rsid w:val="00E668FC"/>
    <w:rsid w:val="00E66948"/>
    <w:rsid w:val="00E66965"/>
    <w:rsid w:val="00E66998"/>
    <w:rsid w:val="00E669C5"/>
    <w:rsid w:val="00E66A9F"/>
    <w:rsid w:val="00E66B14"/>
    <w:rsid w:val="00E66B2D"/>
    <w:rsid w:val="00E66B6A"/>
    <w:rsid w:val="00E66BBA"/>
    <w:rsid w:val="00E66BDD"/>
    <w:rsid w:val="00E66C57"/>
    <w:rsid w:val="00E66C5B"/>
    <w:rsid w:val="00E66C6A"/>
    <w:rsid w:val="00E66C79"/>
    <w:rsid w:val="00E66CD2"/>
    <w:rsid w:val="00E66D38"/>
    <w:rsid w:val="00E66D95"/>
    <w:rsid w:val="00E66DA0"/>
    <w:rsid w:val="00E66E28"/>
    <w:rsid w:val="00E66E49"/>
    <w:rsid w:val="00E66EB9"/>
    <w:rsid w:val="00E66EF7"/>
    <w:rsid w:val="00E66EFC"/>
    <w:rsid w:val="00E66F3E"/>
    <w:rsid w:val="00E66F4B"/>
    <w:rsid w:val="00E66FB2"/>
    <w:rsid w:val="00E67010"/>
    <w:rsid w:val="00E67016"/>
    <w:rsid w:val="00E67078"/>
    <w:rsid w:val="00E67084"/>
    <w:rsid w:val="00E6708A"/>
    <w:rsid w:val="00E6708C"/>
    <w:rsid w:val="00E670DA"/>
    <w:rsid w:val="00E670DB"/>
    <w:rsid w:val="00E671CD"/>
    <w:rsid w:val="00E671F0"/>
    <w:rsid w:val="00E671FA"/>
    <w:rsid w:val="00E67207"/>
    <w:rsid w:val="00E6725B"/>
    <w:rsid w:val="00E672B3"/>
    <w:rsid w:val="00E672B8"/>
    <w:rsid w:val="00E672D5"/>
    <w:rsid w:val="00E672DA"/>
    <w:rsid w:val="00E672DF"/>
    <w:rsid w:val="00E67312"/>
    <w:rsid w:val="00E67322"/>
    <w:rsid w:val="00E673BD"/>
    <w:rsid w:val="00E673DD"/>
    <w:rsid w:val="00E67425"/>
    <w:rsid w:val="00E67450"/>
    <w:rsid w:val="00E674B6"/>
    <w:rsid w:val="00E6753B"/>
    <w:rsid w:val="00E6758D"/>
    <w:rsid w:val="00E675CF"/>
    <w:rsid w:val="00E675D9"/>
    <w:rsid w:val="00E67606"/>
    <w:rsid w:val="00E6762C"/>
    <w:rsid w:val="00E67634"/>
    <w:rsid w:val="00E67640"/>
    <w:rsid w:val="00E6767B"/>
    <w:rsid w:val="00E676DB"/>
    <w:rsid w:val="00E677DA"/>
    <w:rsid w:val="00E677F3"/>
    <w:rsid w:val="00E67841"/>
    <w:rsid w:val="00E678C4"/>
    <w:rsid w:val="00E678CB"/>
    <w:rsid w:val="00E678ED"/>
    <w:rsid w:val="00E678F5"/>
    <w:rsid w:val="00E67911"/>
    <w:rsid w:val="00E67989"/>
    <w:rsid w:val="00E6799C"/>
    <w:rsid w:val="00E67A05"/>
    <w:rsid w:val="00E67A14"/>
    <w:rsid w:val="00E67A5A"/>
    <w:rsid w:val="00E67A96"/>
    <w:rsid w:val="00E67B04"/>
    <w:rsid w:val="00E67B61"/>
    <w:rsid w:val="00E67B7D"/>
    <w:rsid w:val="00E67B86"/>
    <w:rsid w:val="00E67C61"/>
    <w:rsid w:val="00E67CA0"/>
    <w:rsid w:val="00E67CB2"/>
    <w:rsid w:val="00E67CD3"/>
    <w:rsid w:val="00E67CFA"/>
    <w:rsid w:val="00E67D00"/>
    <w:rsid w:val="00E67D52"/>
    <w:rsid w:val="00E67D59"/>
    <w:rsid w:val="00E67D5E"/>
    <w:rsid w:val="00E67DCA"/>
    <w:rsid w:val="00E67E23"/>
    <w:rsid w:val="00E67E29"/>
    <w:rsid w:val="00E67E2A"/>
    <w:rsid w:val="00E67E77"/>
    <w:rsid w:val="00E67E95"/>
    <w:rsid w:val="00E67EC0"/>
    <w:rsid w:val="00E67ECF"/>
    <w:rsid w:val="00E67F33"/>
    <w:rsid w:val="00E67F93"/>
    <w:rsid w:val="00E67FD4"/>
    <w:rsid w:val="00E67FF8"/>
    <w:rsid w:val="00E7005B"/>
    <w:rsid w:val="00E70094"/>
    <w:rsid w:val="00E700B2"/>
    <w:rsid w:val="00E70100"/>
    <w:rsid w:val="00E70107"/>
    <w:rsid w:val="00E70115"/>
    <w:rsid w:val="00E7011F"/>
    <w:rsid w:val="00E701C4"/>
    <w:rsid w:val="00E70217"/>
    <w:rsid w:val="00E70233"/>
    <w:rsid w:val="00E7025B"/>
    <w:rsid w:val="00E7028C"/>
    <w:rsid w:val="00E702CD"/>
    <w:rsid w:val="00E7033F"/>
    <w:rsid w:val="00E7034A"/>
    <w:rsid w:val="00E7034C"/>
    <w:rsid w:val="00E703AC"/>
    <w:rsid w:val="00E703BC"/>
    <w:rsid w:val="00E703CE"/>
    <w:rsid w:val="00E70402"/>
    <w:rsid w:val="00E7041C"/>
    <w:rsid w:val="00E70447"/>
    <w:rsid w:val="00E7047E"/>
    <w:rsid w:val="00E704D8"/>
    <w:rsid w:val="00E70577"/>
    <w:rsid w:val="00E7059B"/>
    <w:rsid w:val="00E70612"/>
    <w:rsid w:val="00E7067A"/>
    <w:rsid w:val="00E706A3"/>
    <w:rsid w:val="00E706EB"/>
    <w:rsid w:val="00E70721"/>
    <w:rsid w:val="00E7072C"/>
    <w:rsid w:val="00E70737"/>
    <w:rsid w:val="00E7073E"/>
    <w:rsid w:val="00E7076B"/>
    <w:rsid w:val="00E707FE"/>
    <w:rsid w:val="00E7081D"/>
    <w:rsid w:val="00E7084B"/>
    <w:rsid w:val="00E70855"/>
    <w:rsid w:val="00E7085A"/>
    <w:rsid w:val="00E7086C"/>
    <w:rsid w:val="00E70877"/>
    <w:rsid w:val="00E708D0"/>
    <w:rsid w:val="00E708E1"/>
    <w:rsid w:val="00E708E2"/>
    <w:rsid w:val="00E70932"/>
    <w:rsid w:val="00E7095F"/>
    <w:rsid w:val="00E70983"/>
    <w:rsid w:val="00E709AD"/>
    <w:rsid w:val="00E70A2A"/>
    <w:rsid w:val="00E70A82"/>
    <w:rsid w:val="00E70A84"/>
    <w:rsid w:val="00E70A88"/>
    <w:rsid w:val="00E70B33"/>
    <w:rsid w:val="00E70B65"/>
    <w:rsid w:val="00E70B6C"/>
    <w:rsid w:val="00E70B83"/>
    <w:rsid w:val="00E70B94"/>
    <w:rsid w:val="00E70B9B"/>
    <w:rsid w:val="00E70B9E"/>
    <w:rsid w:val="00E70BA6"/>
    <w:rsid w:val="00E70BCF"/>
    <w:rsid w:val="00E70BE6"/>
    <w:rsid w:val="00E70C50"/>
    <w:rsid w:val="00E70C71"/>
    <w:rsid w:val="00E70C75"/>
    <w:rsid w:val="00E70CAC"/>
    <w:rsid w:val="00E70CC6"/>
    <w:rsid w:val="00E70D05"/>
    <w:rsid w:val="00E70D47"/>
    <w:rsid w:val="00E70D4B"/>
    <w:rsid w:val="00E70D5B"/>
    <w:rsid w:val="00E70D86"/>
    <w:rsid w:val="00E70D91"/>
    <w:rsid w:val="00E70E5E"/>
    <w:rsid w:val="00E70ED8"/>
    <w:rsid w:val="00E70EE1"/>
    <w:rsid w:val="00E70F16"/>
    <w:rsid w:val="00E70F2D"/>
    <w:rsid w:val="00E70F34"/>
    <w:rsid w:val="00E70F45"/>
    <w:rsid w:val="00E70F4E"/>
    <w:rsid w:val="00E70FB3"/>
    <w:rsid w:val="00E70FBA"/>
    <w:rsid w:val="00E70FCA"/>
    <w:rsid w:val="00E71019"/>
    <w:rsid w:val="00E7103C"/>
    <w:rsid w:val="00E7103E"/>
    <w:rsid w:val="00E71046"/>
    <w:rsid w:val="00E7105A"/>
    <w:rsid w:val="00E710A8"/>
    <w:rsid w:val="00E710EC"/>
    <w:rsid w:val="00E710ED"/>
    <w:rsid w:val="00E71104"/>
    <w:rsid w:val="00E71139"/>
    <w:rsid w:val="00E7116A"/>
    <w:rsid w:val="00E7119E"/>
    <w:rsid w:val="00E711C9"/>
    <w:rsid w:val="00E711E2"/>
    <w:rsid w:val="00E71201"/>
    <w:rsid w:val="00E7123F"/>
    <w:rsid w:val="00E7125D"/>
    <w:rsid w:val="00E712A5"/>
    <w:rsid w:val="00E712F4"/>
    <w:rsid w:val="00E71306"/>
    <w:rsid w:val="00E71329"/>
    <w:rsid w:val="00E7133E"/>
    <w:rsid w:val="00E7136B"/>
    <w:rsid w:val="00E7136F"/>
    <w:rsid w:val="00E7138D"/>
    <w:rsid w:val="00E713C2"/>
    <w:rsid w:val="00E713C3"/>
    <w:rsid w:val="00E713EE"/>
    <w:rsid w:val="00E713EF"/>
    <w:rsid w:val="00E71433"/>
    <w:rsid w:val="00E71437"/>
    <w:rsid w:val="00E714BB"/>
    <w:rsid w:val="00E714BC"/>
    <w:rsid w:val="00E714D4"/>
    <w:rsid w:val="00E71503"/>
    <w:rsid w:val="00E71507"/>
    <w:rsid w:val="00E7150A"/>
    <w:rsid w:val="00E7153C"/>
    <w:rsid w:val="00E71599"/>
    <w:rsid w:val="00E715A5"/>
    <w:rsid w:val="00E715B7"/>
    <w:rsid w:val="00E715BC"/>
    <w:rsid w:val="00E715BD"/>
    <w:rsid w:val="00E715D8"/>
    <w:rsid w:val="00E71621"/>
    <w:rsid w:val="00E71632"/>
    <w:rsid w:val="00E7163B"/>
    <w:rsid w:val="00E71689"/>
    <w:rsid w:val="00E716CE"/>
    <w:rsid w:val="00E716E7"/>
    <w:rsid w:val="00E71703"/>
    <w:rsid w:val="00E71719"/>
    <w:rsid w:val="00E7172B"/>
    <w:rsid w:val="00E71775"/>
    <w:rsid w:val="00E717B6"/>
    <w:rsid w:val="00E71805"/>
    <w:rsid w:val="00E71942"/>
    <w:rsid w:val="00E71943"/>
    <w:rsid w:val="00E71944"/>
    <w:rsid w:val="00E71979"/>
    <w:rsid w:val="00E71987"/>
    <w:rsid w:val="00E71A03"/>
    <w:rsid w:val="00E71A09"/>
    <w:rsid w:val="00E71A10"/>
    <w:rsid w:val="00E71A1A"/>
    <w:rsid w:val="00E71A33"/>
    <w:rsid w:val="00E71A69"/>
    <w:rsid w:val="00E71A8A"/>
    <w:rsid w:val="00E71A99"/>
    <w:rsid w:val="00E71ADA"/>
    <w:rsid w:val="00E71B50"/>
    <w:rsid w:val="00E71B94"/>
    <w:rsid w:val="00E71BC2"/>
    <w:rsid w:val="00E71BD6"/>
    <w:rsid w:val="00E71C33"/>
    <w:rsid w:val="00E71C48"/>
    <w:rsid w:val="00E71C51"/>
    <w:rsid w:val="00E71C7B"/>
    <w:rsid w:val="00E71C8A"/>
    <w:rsid w:val="00E71CA6"/>
    <w:rsid w:val="00E71CAA"/>
    <w:rsid w:val="00E71CC9"/>
    <w:rsid w:val="00E71D03"/>
    <w:rsid w:val="00E71D0F"/>
    <w:rsid w:val="00E71D90"/>
    <w:rsid w:val="00E71D9E"/>
    <w:rsid w:val="00E71DAD"/>
    <w:rsid w:val="00E71DF9"/>
    <w:rsid w:val="00E71E1B"/>
    <w:rsid w:val="00E71E78"/>
    <w:rsid w:val="00E71E82"/>
    <w:rsid w:val="00E71EA6"/>
    <w:rsid w:val="00E71EE1"/>
    <w:rsid w:val="00E71F2A"/>
    <w:rsid w:val="00E71F57"/>
    <w:rsid w:val="00E71F69"/>
    <w:rsid w:val="00E71F6A"/>
    <w:rsid w:val="00E71F7A"/>
    <w:rsid w:val="00E71FD7"/>
    <w:rsid w:val="00E71FF9"/>
    <w:rsid w:val="00E71FFA"/>
    <w:rsid w:val="00E72014"/>
    <w:rsid w:val="00E72060"/>
    <w:rsid w:val="00E72078"/>
    <w:rsid w:val="00E720B7"/>
    <w:rsid w:val="00E720C9"/>
    <w:rsid w:val="00E720D0"/>
    <w:rsid w:val="00E72115"/>
    <w:rsid w:val="00E7211B"/>
    <w:rsid w:val="00E72124"/>
    <w:rsid w:val="00E7215C"/>
    <w:rsid w:val="00E72166"/>
    <w:rsid w:val="00E72173"/>
    <w:rsid w:val="00E721A8"/>
    <w:rsid w:val="00E721DB"/>
    <w:rsid w:val="00E7227F"/>
    <w:rsid w:val="00E722C8"/>
    <w:rsid w:val="00E722E2"/>
    <w:rsid w:val="00E72342"/>
    <w:rsid w:val="00E72359"/>
    <w:rsid w:val="00E72375"/>
    <w:rsid w:val="00E7243D"/>
    <w:rsid w:val="00E7248C"/>
    <w:rsid w:val="00E724AB"/>
    <w:rsid w:val="00E724CC"/>
    <w:rsid w:val="00E724E6"/>
    <w:rsid w:val="00E72555"/>
    <w:rsid w:val="00E725BC"/>
    <w:rsid w:val="00E725E1"/>
    <w:rsid w:val="00E725F2"/>
    <w:rsid w:val="00E7263E"/>
    <w:rsid w:val="00E726CF"/>
    <w:rsid w:val="00E726DD"/>
    <w:rsid w:val="00E72716"/>
    <w:rsid w:val="00E72723"/>
    <w:rsid w:val="00E7274D"/>
    <w:rsid w:val="00E72771"/>
    <w:rsid w:val="00E727BA"/>
    <w:rsid w:val="00E727BB"/>
    <w:rsid w:val="00E727BC"/>
    <w:rsid w:val="00E72857"/>
    <w:rsid w:val="00E7289E"/>
    <w:rsid w:val="00E728A8"/>
    <w:rsid w:val="00E7291F"/>
    <w:rsid w:val="00E72938"/>
    <w:rsid w:val="00E7293D"/>
    <w:rsid w:val="00E729B3"/>
    <w:rsid w:val="00E72A3D"/>
    <w:rsid w:val="00E72A5E"/>
    <w:rsid w:val="00E72AA1"/>
    <w:rsid w:val="00E72AEF"/>
    <w:rsid w:val="00E72B15"/>
    <w:rsid w:val="00E72B79"/>
    <w:rsid w:val="00E72B7C"/>
    <w:rsid w:val="00E72B8B"/>
    <w:rsid w:val="00E72B94"/>
    <w:rsid w:val="00E72B9D"/>
    <w:rsid w:val="00E72BA1"/>
    <w:rsid w:val="00E72BAF"/>
    <w:rsid w:val="00E72BF1"/>
    <w:rsid w:val="00E72BFE"/>
    <w:rsid w:val="00E72C2A"/>
    <w:rsid w:val="00E72C3A"/>
    <w:rsid w:val="00E72C44"/>
    <w:rsid w:val="00E72C46"/>
    <w:rsid w:val="00E72C65"/>
    <w:rsid w:val="00E72C8C"/>
    <w:rsid w:val="00E72CF2"/>
    <w:rsid w:val="00E72D0E"/>
    <w:rsid w:val="00E72D3C"/>
    <w:rsid w:val="00E72D40"/>
    <w:rsid w:val="00E72D49"/>
    <w:rsid w:val="00E72E39"/>
    <w:rsid w:val="00E72E8C"/>
    <w:rsid w:val="00E72EA1"/>
    <w:rsid w:val="00E72EA7"/>
    <w:rsid w:val="00E72EAE"/>
    <w:rsid w:val="00E72EB8"/>
    <w:rsid w:val="00E72ED2"/>
    <w:rsid w:val="00E72EF0"/>
    <w:rsid w:val="00E72EFF"/>
    <w:rsid w:val="00E72F2A"/>
    <w:rsid w:val="00E72F4D"/>
    <w:rsid w:val="00E72F5B"/>
    <w:rsid w:val="00E72FE1"/>
    <w:rsid w:val="00E73088"/>
    <w:rsid w:val="00E730D2"/>
    <w:rsid w:val="00E730F7"/>
    <w:rsid w:val="00E730FA"/>
    <w:rsid w:val="00E7316A"/>
    <w:rsid w:val="00E73192"/>
    <w:rsid w:val="00E731D2"/>
    <w:rsid w:val="00E731E8"/>
    <w:rsid w:val="00E731ED"/>
    <w:rsid w:val="00E731F9"/>
    <w:rsid w:val="00E73249"/>
    <w:rsid w:val="00E7325A"/>
    <w:rsid w:val="00E7328C"/>
    <w:rsid w:val="00E732D3"/>
    <w:rsid w:val="00E732D9"/>
    <w:rsid w:val="00E73344"/>
    <w:rsid w:val="00E73355"/>
    <w:rsid w:val="00E7336D"/>
    <w:rsid w:val="00E7337A"/>
    <w:rsid w:val="00E73391"/>
    <w:rsid w:val="00E733E5"/>
    <w:rsid w:val="00E733EC"/>
    <w:rsid w:val="00E7345B"/>
    <w:rsid w:val="00E73481"/>
    <w:rsid w:val="00E734E6"/>
    <w:rsid w:val="00E734F2"/>
    <w:rsid w:val="00E73514"/>
    <w:rsid w:val="00E73538"/>
    <w:rsid w:val="00E7357A"/>
    <w:rsid w:val="00E73593"/>
    <w:rsid w:val="00E73599"/>
    <w:rsid w:val="00E735CF"/>
    <w:rsid w:val="00E735F9"/>
    <w:rsid w:val="00E73641"/>
    <w:rsid w:val="00E73670"/>
    <w:rsid w:val="00E73752"/>
    <w:rsid w:val="00E73755"/>
    <w:rsid w:val="00E7378E"/>
    <w:rsid w:val="00E737A4"/>
    <w:rsid w:val="00E737E4"/>
    <w:rsid w:val="00E737F4"/>
    <w:rsid w:val="00E73808"/>
    <w:rsid w:val="00E7380C"/>
    <w:rsid w:val="00E7380F"/>
    <w:rsid w:val="00E7383D"/>
    <w:rsid w:val="00E73880"/>
    <w:rsid w:val="00E7388D"/>
    <w:rsid w:val="00E738CE"/>
    <w:rsid w:val="00E738DB"/>
    <w:rsid w:val="00E738F3"/>
    <w:rsid w:val="00E7398A"/>
    <w:rsid w:val="00E73990"/>
    <w:rsid w:val="00E73994"/>
    <w:rsid w:val="00E73996"/>
    <w:rsid w:val="00E739AF"/>
    <w:rsid w:val="00E739E3"/>
    <w:rsid w:val="00E73A50"/>
    <w:rsid w:val="00E73A5E"/>
    <w:rsid w:val="00E73A76"/>
    <w:rsid w:val="00E73A87"/>
    <w:rsid w:val="00E73ACC"/>
    <w:rsid w:val="00E73AE3"/>
    <w:rsid w:val="00E73B16"/>
    <w:rsid w:val="00E73B5D"/>
    <w:rsid w:val="00E73BC4"/>
    <w:rsid w:val="00E73BD1"/>
    <w:rsid w:val="00E73BEB"/>
    <w:rsid w:val="00E73BF4"/>
    <w:rsid w:val="00E73C06"/>
    <w:rsid w:val="00E73C13"/>
    <w:rsid w:val="00E73C30"/>
    <w:rsid w:val="00E73D9B"/>
    <w:rsid w:val="00E73DBB"/>
    <w:rsid w:val="00E73E08"/>
    <w:rsid w:val="00E73E13"/>
    <w:rsid w:val="00E73E5F"/>
    <w:rsid w:val="00E73EA2"/>
    <w:rsid w:val="00E73EB4"/>
    <w:rsid w:val="00E73EE0"/>
    <w:rsid w:val="00E73F08"/>
    <w:rsid w:val="00E73F2E"/>
    <w:rsid w:val="00E73F3E"/>
    <w:rsid w:val="00E73F57"/>
    <w:rsid w:val="00E73F88"/>
    <w:rsid w:val="00E73F9D"/>
    <w:rsid w:val="00E73F9E"/>
    <w:rsid w:val="00E73FFD"/>
    <w:rsid w:val="00E7409E"/>
    <w:rsid w:val="00E740A0"/>
    <w:rsid w:val="00E740F0"/>
    <w:rsid w:val="00E74154"/>
    <w:rsid w:val="00E7417E"/>
    <w:rsid w:val="00E74185"/>
    <w:rsid w:val="00E741A6"/>
    <w:rsid w:val="00E741AF"/>
    <w:rsid w:val="00E741CF"/>
    <w:rsid w:val="00E741D6"/>
    <w:rsid w:val="00E741D7"/>
    <w:rsid w:val="00E74223"/>
    <w:rsid w:val="00E74265"/>
    <w:rsid w:val="00E74270"/>
    <w:rsid w:val="00E742A8"/>
    <w:rsid w:val="00E742C5"/>
    <w:rsid w:val="00E74315"/>
    <w:rsid w:val="00E74327"/>
    <w:rsid w:val="00E7435A"/>
    <w:rsid w:val="00E74379"/>
    <w:rsid w:val="00E743C2"/>
    <w:rsid w:val="00E743C3"/>
    <w:rsid w:val="00E743C7"/>
    <w:rsid w:val="00E74487"/>
    <w:rsid w:val="00E744A6"/>
    <w:rsid w:val="00E744B9"/>
    <w:rsid w:val="00E744BD"/>
    <w:rsid w:val="00E744C1"/>
    <w:rsid w:val="00E744EA"/>
    <w:rsid w:val="00E744F1"/>
    <w:rsid w:val="00E74506"/>
    <w:rsid w:val="00E7457D"/>
    <w:rsid w:val="00E7462C"/>
    <w:rsid w:val="00E74688"/>
    <w:rsid w:val="00E746BA"/>
    <w:rsid w:val="00E74724"/>
    <w:rsid w:val="00E74795"/>
    <w:rsid w:val="00E74803"/>
    <w:rsid w:val="00E7482F"/>
    <w:rsid w:val="00E74842"/>
    <w:rsid w:val="00E74858"/>
    <w:rsid w:val="00E74877"/>
    <w:rsid w:val="00E748B0"/>
    <w:rsid w:val="00E748C3"/>
    <w:rsid w:val="00E748D2"/>
    <w:rsid w:val="00E748DA"/>
    <w:rsid w:val="00E7494F"/>
    <w:rsid w:val="00E749E0"/>
    <w:rsid w:val="00E74A26"/>
    <w:rsid w:val="00E74A31"/>
    <w:rsid w:val="00E74A4D"/>
    <w:rsid w:val="00E74A63"/>
    <w:rsid w:val="00E74A77"/>
    <w:rsid w:val="00E74ACF"/>
    <w:rsid w:val="00E74B35"/>
    <w:rsid w:val="00E74B3A"/>
    <w:rsid w:val="00E74B4C"/>
    <w:rsid w:val="00E74B5C"/>
    <w:rsid w:val="00E74B66"/>
    <w:rsid w:val="00E74B6C"/>
    <w:rsid w:val="00E74B80"/>
    <w:rsid w:val="00E74BA4"/>
    <w:rsid w:val="00E74BB5"/>
    <w:rsid w:val="00E74BE9"/>
    <w:rsid w:val="00E74C22"/>
    <w:rsid w:val="00E74C2B"/>
    <w:rsid w:val="00E74C2E"/>
    <w:rsid w:val="00E74C63"/>
    <w:rsid w:val="00E74CDB"/>
    <w:rsid w:val="00E74D13"/>
    <w:rsid w:val="00E74D32"/>
    <w:rsid w:val="00E74D45"/>
    <w:rsid w:val="00E74D69"/>
    <w:rsid w:val="00E74DA5"/>
    <w:rsid w:val="00E74DA9"/>
    <w:rsid w:val="00E74DBE"/>
    <w:rsid w:val="00E74DC3"/>
    <w:rsid w:val="00E74DDF"/>
    <w:rsid w:val="00E74E0B"/>
    <w:rsid w:val="00E74E10"/>
    <w:rsid w:val="00E74E7A"/>
    <w:rsid w:val="00E74E9B"/>
    <w:rsid w:val="00E74ED3"/>
    <w:rsid w:val="00E74ED6"/>
    <w:rsid w:val="00E74EF2"/>
    <w:rsid w:val="00E74F00"/>
    <w:rsid w:val="00E74F0B"/>
    <w:rsid w:val="00E74F30"/>
    <w:rsid w:val="00E74F36"/>
    <w:rsid w:val="00E74F99"/>
    <w:rsid w:val="00E74FA0"/>
    <w:rsid w:val="00E74FBD"/>
    <w:rsid w:val="00E74FFE"/>
    <w:rsid w:val="00E75009"/>
    <w:rsid w:val="00E7501C"/>
    <w:rsid w:val="00E75025"/>
    <w:rsid w:val="00E75045"/>
    <w:rsid w:val="00E75055"/>
    <w:rsid w:val="00E750F8"/>
    <w:rsid w:val="00E750FC"/>
    <w:rsid w:val="00E75154"/>
    <w:rsid w:val="00E75156"/>
    <w:rsid w:val="00E75187"/>
    <w:rsid w:val="00E751A3"/>
    <w:rsid w:val="00E75221"/>
    <w:rsid w:val="00E75226"/>
    <w:rsid w:val="00E75243"/>
    <w:rsid w:val="00E7525C"/>
    <w:rsid w:val="00E7530D"/>
    <w:rsid w:val="00E7532C"/>
    <w:rsid w:val="00E7533C"/>
    <w:rsid w:val="00E75393"/>
    <w:rsid w:val="00E753C1"/>
    <w:rsid w:val="00E753C3"/>
    <w:rsid w:val="00E753C5"/>
    <w:rsid w:val="00E753EB"/>
    <w:rsid w:val="00E75408"/>
    <w:rsid w:val="00E7541F"/>
    <w:rsid w:val="00E7543D"/>
    <w:rsid w:val="00E7546D"/>
    <w:rsid w:val="00E7548E"/>
    <w:rsid w:val="00E754EC"/>
    <w:rsid w:val="00E75537"/>
    <w:rsid w:val="00E75544"/>
    <w:rsid w:val="00E75576"/>
    <w:rsid w:val="00E75598"/>
    <w:rsid w:val="00E755EC"/>
    <w:rsid w:val="00E7561D"/>
    <w:rsid w:val="00E7563C"/>
    <w:rsid w:val="00E75666"/>
    <w:rsid w:val="00E75694"/>
    <w:rsid w:val="00E756A1"/>
    <w:rsid w:val="00E756A9"/>
    <w:rsid w:val="00E756AE"/>
    <w:rsid w:val="00E756D2"/>
    <w:rsid w:val="00E756FE"/>
    <w:rsid w:val="00E75707"/>
    <w:rsid w:val="00E7574A"/>
    <w:rsid w:val="00E75762"/>
    <w:rsid w:val="00E75791"/>
    <w:rsid w:val="00E757B1"/>
    <w:rsid w:val="00E7580E"/>
    <w:rsid w:val="00E7582F"/>
    <w:rsid w:val="00E7584B"/>
    <w:rsid w:val="00E7588B"/>
    <w:rsid w:val="00E758A0"/>
    <w:rsid w:val="00E758A9"/>
    <w:rsid w:val="00E75945"/>
    <w:rsid w:val="00E75955"/>
    <w:rsid w:val="00E75962"/>
    <w:rsid w:val="00E75972"/>
    <w:rsid w:val="00E7597E"/>
    <w:rsid w:val="00E75999"/>
    <w:rsid w:val="00E759BE"/>
    <w:rsid w:val="00E75A4A"/>
    <w:rsid w:val="00E75A6D"/>
    <w:rsid w:val="00E75AB4"/>
    <w:rsid w:val="00E75B15"/>
    <w:rsid w:val="00E75B17"/>
    <w:rsid w:val="00E75B2E"/>
    <w:rsid w:val="00E75B32"/>
    <w:rsid w:val="00E75B8F"/>
    <w:rsid w:val="00E75BA9"/>
    <w:rsid w:val="00E75BBE"/>
    <w:rsid w:val="00E75C09"/>
    <w:rsid w:val="00E75C2B"/>
    <w:rsid w:val="00E75C41"/>
    <w:rsid w:val="00E75C45"/>
    <w:rsid w:val="00E75C9A"/>
    <w:rsid w:val="00E75CA3"/>
    <w:rsid w:val="00E75CBC"/>
    <w:rsid w:val="00E75D16"/>
    <w:rsid w:val="00E75D23"/>
    <w:rsid w:val="00E75D26"/>
    <w:rsid w:val="00E75D41"/>
    <w:rsid w:val="00E75D43"/>
    <w:rsid w:val="00E75D6A"/>
    <w:rsid w:val="00E75D6E"/>
    <w:rsid w:val="00E75DEF"/>
    <w:rsid w:val="00E75E09"/>
    <w:rsid w:val="00E75E2F"/>
    <w:rsid w:val="00E75E38"/>
    <w:rsid w:val="00E75E4D"/>
    <w:rsid w:val="00E75E54"/>
    <w:rsid w:val="00E75E5D"/>
    <w:rsid w:val="00E75E9A"/>
    <w:rsid w:val="00E75EAE"/>
    <w:rsid w:val="00E75EB0"/>
    <w:rsid w:val="00E75ECE"/>
    <w:rsid w:val="00E75EEA"/>
    <w:rsid w:val="00E75EEB"/>
    <w:rsid w:val="00E75F12"/>
    <w:rsid w:val="00E75F2B"/>
    <w:rsid w:val="00E75FC2"/>
    <w:rsid w:val="00E75FEB"/>
    <w:rsid w:val="00E76032"/>
    <w:rsid w:val="00E76045"/>
    <w:rsid w:val="00E760B9"/>
    <w:rsid w:val="00E76108"/>
    <w:rsid w:val="00E76130"/>
    <w:rsid w:val="00E76134"/>
    <w:rsid w:val="00E76146"/>
    <w:rsid w:val="00E7616B"/>
    <w:rsid w:val="00E7617B"/>
    <w:rsid w:val="00E76184"/>
    <w:rsid w:val="00E761A3"/>
    <w:rsid w:val="00E761C1"/>
    <w:rsid w:val="00E761F5"/>
    <w:rsid w:val="00E76211"/>
    <w:rsid w:val="00E76242"/>
    <w:rsid w:val="00E7629C"/>
    <w:rsid w:val="00E762AC"/>
    <w:rsid w:val="00E762E2"/>
    <w:rsid w:val="00E762E8"/>
    <w:rsid w:val="00E7631A"/>
    <w:rsid w:val="00E7631E"/>
    <w:rsid w:val="00E76328"/>
    <w:rsid w:val="00E76347"/>
    <w:rsid w:val="00E763B3"/>
    <w:rsid w:val="00E763C2"/>
    <w:rsid w:val="00E76450"/>
    <w:rsid w:val="00E7648F"/>
    <w:rsid w:val="00E764A3"/>
    <w:rsid w:val="00E76504"/>
    <w:rsid w:val="00E76508"/>
    <w:rsid w:val="00E76519"/>
    <w:rsid w:val="00E7651B"/>
    <w:rsid w:val="00E7653C"/>
    <w:rsid w:val="00E76568"/>
    <w:rsid w:val="00E7657A"/>
    <w:rsid w:val="00E765B8"/>
    <w:rsid w:val="00E765BC"/>
    <w:rsid w:val="00E765C5"/>
    <w:rsid w:val="00E765CE"/>
    <w:rsid w:val="00E76603"/>
    <w:rsid w:val="00E76695"/>
    <w:rsid w:val="00E766D5"/>
    <w:rsid w:val="00E76716"/>
    <w:rsid w:val="00E76743"/>
    <w:rsid w:val="00E76745"/>
    <w:rsid w:val="00E7677B"/>
    <w:rsid w:val="00E7677C"/>
    <w:rsid w:val="00E767A3"/>
    <w:rsid w:val="00E767AB"/>
    <w:rsid w:val="00E767D3"/>
    <w:rsid w:val="00E767E9"/>
    <w:rsid w:val="00E767F1"/>
    <w:rsid w:val="00E7681B"/>
    <w:rsid w:val="00E76830"/>
    <w:rsid w:val="00E76842"/>
    <w:rsid w:val="00E76854"/>
    <w:rsid w:val="00E7686F"/>
    <w:rsid w:val="00E76876"/>
    <w:rsid w:val="00E76879"/>
    <w:rsid w:val="00E768E3"/>
    <w:rsid w:val="00E76930"/>
    <w:rsid w:val="00E76941"/>
    <w:rsid w:val="00E76986"/>
    <w:rsid w:val="00E769B6"/>
    <w:rsid w:val="00E76A1B"/>
    <w:rsid w:val="00E76A92"/>
    <w:rsid w:val="00E76ACE"/>
    <w:rsid w:val="00E76AD3"/>
    <w:rsid w:val="00E76B29"/>
    <w:rsid w:val="00E76B84"/>
    <w:rsid w:val="00E76B9B"/>
    <w:rsid w:val="00E76BD0"/>
    <w:rsid w:val="00E76BEA"/>
    <w:rsid w:val="00E76C28"/>
    <w:rsid w:val="00E76C60"/>
    <w:rsid w:val="00E76C61"/>
    <w:rsid w:val="00E76C72"/>
    <w:rsid w:val="00E76C86"/>
    <w:rsid w:val="00E76C97"/>
    <w:rsid w:val="00E76CB4"/>
    <w:rsid w:val="00E76D01"/>
    <w:rsid w:val="00E76D28"/>
    <w:rsid w:val="00E76D4E"/>
    <w:rsid w:val="00E76D55"/>
    <w:rsid w:val="00E76D6E"/>
    <w:rsid w:val="00E76D99"/>
    <w:rsid w:val="00E76DA7"/>
    <w:rsid w:val="00E76DAB"/>
    <w:rsid w:val="00E76DD3"/>
    <w:rsid w:val="00E76DDD"/>
    <w:rsid w:val="00E76E32"/>
    <w:rsid w:val="00E76EB1"/>
    <w:rsid w:val="00E76ED1"/>
    <w:rsid w:val="00E76EE2"/>
    <w:rsid w:val="00E76F11"/>
    <w:rsid w:val="00E76F92"/>
    <w:rsid w:val="00E76FDD"/>
    <w:rsid w:val="00E76FFE"/>
    <w:rsid w:val="00E770D0"/>
    <w:rsid w:val="00E770E1"/>
    <w:rsid w:val="00E77152"/>
    <w:rsid w:val="00E77173"/>
    <w:rsid w:val="00E7718A"/>
    <w:rsid w:val="00E7718B"/>
    <w:rsid w:val="00E771A3"/>
    <w:rsid w:val="00E7721C"/>
    <w:rsid w:val="00E77242"/>
    <w:rsid w:val="00E7725F"/>
    <w:rsid w:val="00E77265"/>
    <w:rsid w:val="00E77282"/>
    <w:rsid w:val="00E77287"/>
    <w:rsid w:val="00E772A4"/>
    <w:rsid w:val="00E772B1"/>
    <w:rsid w:val="00E772E9"/>
    <w:rsid w:val="00E7735F"/>
    <w:rsid w:val="00E77388"/>
    <w:rsid w:val="00E7738D"/>
    <w:rsid w:val="00E773A2"/>
    <w:rsid w:val="00E77461"/>
    <w:rsid w:val="00E77467"/>
    <w:rsid w:val="00E7746F"/>
    <w:rsid w:val="00E774A6"/>
    <w:rsid w:val="00E774BE"/>
    <w:rsid w:val="00E774E6"/>
    <w:rsid w:val="00E77506"/>
    <w:rsid w:val="00E7750A"/>
    <w:rsid w:val="00E7750C"/>
    <w:rsid w:val="00E77579"/>
    <w:rsid w:val="00E77597"/>
    <w:rsid w:val="00E77598"/>
    <w:rsid w:val="00E775A6"/>
    <w:rsid w:val="00E775A7"/>
    <w:rsid w:val="00E77634"/>
    <w:rsid w:val="00E77668"/>
    <w:rsid w:val="00E77680"/>
    <w:rsid w:val="00E776C2"/>
    <w:rsid w:val="00E776FE"/>
    <w:rsid w:val="00E7775B"/>
    <w:rsid w:val="00E7778B"/>
    <w:rsid w:val="00E7779E"/>
    <w:rsid w:val="00E777A8"/>
    <w:rsid w:val="00E777AA"/>
    <w:rsid w:val="00E777B4"/>
    <w:rsid w:val="00E777CC"/>
    <w:rsid w:val="00E777E7"/>
    <w:rsid w:val="00E77809"/>
    <w:rsid w:val="00E77825"/>
    <w:rsid w:val="00E77920"/>
    <w:rsid w:val="00E77963"/>
    <w:rsid w:val="00E77992"/>
    <w:rsid w:val="00E779D7"/>
    <w:rsid w:val="00E779E1"/>
    <w:rsid w:val="00E77A18"/>
    <w:rsid w:val="00E77A41"/>
    <w:rsid w:val="00E77B0D"/>
    <w:rsid w:val="00E77B55"/>
    <w:rsid w:val="00E77B6A"/>
    <w:rsid w:val="00E77B85"/>
    <w:rsid w:val="00E77BA0"/>
    <w:rsid w:val="00E77BA2"/>
    <w:rsid w:val="00E77BF3"/>
    <w:rsid w:val="00E77C08"/>
    <w:rsid w:val="00E77C18"/>
    <w:rsid w:val="00E77C31"/>
    <w:rsid w:val="00E77C43"/>
    <w:rsid w:val="00E77C96"/>
    <w:rsid w:val="00E77D31"/>
    <w:rsid w:val="00E77D34"/>
    <w:rsid w:val="00E77D3A"/>
    <w:rsid w:val="00E77D97"/>
    <w:rsid w:val="00E77DBB"/>
    <w:rsid w:val="00E77DD0"/>
    <w:rsid w:val="00E77E8E"/>
    <w:rsid w:val="00E77E92"/>
    <w:rsid w:val="00E77ED8"/>
    <w:rsid w:val="00E77F25"/>
    <w:rsid w:val="00E77FBC"/>
    <w:rsid w:val="00E80072"/>
    <w:rsid w:val="00E800C1"/>
    <w:rsid w:val="00E800F7"/>
    <w:rsid w:val="00E80173"/>
    <w:rsid w:val="00E80184"/>
    <w:rsid w:val="00E801A6"/>
    <w:rsid w:val="00E801B6"/>
    <w:rsid w:val="00E801C0"/>
    <w:rsid w:val="00E80225"/>
    <w:rsid w:val="00E80247"/>
    <w:rsid w:val="00E80255"/>
    <w:rsid w:val="00E80263"/>
    <w:rsid w:val="00E802DC"/>
    <w:rsid w:val="00E80320"/>
    <w:rsid w:val="00E80328"/>
    <w:rsid w:val="00E8032D"/>
    <w:rsid w:val="00E8036D"/>
    <w:rsid w:val="00E80373"/>
    <w:rsid w:val="00E80410"/>
    <w:rsid w:val="00E8041A"/>
    <w:rsid w:val="00E80472"/>
    <w:rsid w:val="00E804A7"/>
    <w:rsid w:val="00E804BC"/>
    <w:rsid w:val="00E804D2"/>
    <w:rsid w:val="00E8050E"/>
    <w:rsid w:val="00E805CB"/>
    <w:rsid w:val="00E805D8"/>
    <w:rsid w:val="00E805EA"/>
    <w:rsid w:val="00E8060D"/>
    <w:rsid w:val="00E80634"/>
    <w:rsid w:val="00E80639"/>
    <w:rsid w:val="00E8064B"/>
    <w:rsid w:val="00E8064E"/>
    <w:rsid w:val="00E80652"/>
    <w:rsid w:val="00E8065B"/>
    <w:rsid w:val="00E80669"/>
    <w:rsid w:val="00E8068C"/>
    <w:rsid w:val="00E8069F"/>
    <w:rsid w:val="00E806C7"/>
    <w:rsid w:val="00E806F0"/>
    <w:rsid w:val="00E8071C"/>
    <w:rsid w:val="00E80730"/>
    <w:rsid w:val="00E80739"/>
    <w:rsid w:val="00E80767"/>
    <w:rsid w:val="00E80792"/>
    <w:rsid w:val="00E807BC"/>
    <w:rsid w:val="00E807F6"/>
    <w:rsid w:val="00E80816"/>
    <w:rsid w:val="00E8084A"/>
    <w:rsid w:val="00E808A5"/>
    <w:rsid w:val="00E808EB"/>
    <w:rsid w:val="00E80927"/>
    <w:rsid w:val="00E8092D"/>
    <w:rsid w:val="00E809B6"/>
    <w:rsid w:val="00E809BE"/>
    <w:rsid w:val="00E80A4D"/>
    <w:rsid w:val="00E80A77"/>
    <w:rsid w:val="00E80AB8"/>
    <w:rsid w:val="00E80AC0"/>
    <w:rsid w:val="00E80B0A"/>
    <w:rsid w:val="00E80B63"/>
    <w:rsid w:val="00E80B66"/>
    <w:rsid w:val="00E80BFC"/>
    <w:rsid w:val="00E80C00"/>
    <w:rsid w:val="00E80C63"/>
    <w:rsid w:val="00E80C9B"/>
    <w:rsid w:val="00E80CB2"/>
    <w:rsid w:val="00E80CE5"/>
    <w:rsid w:val="00E80D0E"/>
    <w:rsid w:val="00E80D39"/>
    <w:rsid w:val="00E80D79"/>
    <w:rsid w:val="00E80DEF"/>
    <w:rsid w:val="00E80DF2"/>
    <w:rsid w:val="00E80E10"/>
    <w:rsid w:val="00E80E85"/>
    <w:rsid w:val="00E80EA8"/>
    <w:rsid w:val="00E80EE1"/>
    <w:rsid w:val="00E80F18"/>
    <w:rsid w:val="00E80FAB"/>
    <w:rsid w:val="00E80FC6"/>
    <w:rsid w:val="00E80FD9"/>
    <w:rsid w:val="00E81029"/>
    <w:rsid w:val="00E8102C"/>
    <w:rsid w:val="00E8106C"/>
    <w:rsid w:val="00E810B0"/>
    <w:rsid w:val="00E810E0"/>
    <w:rsid w:val="00E810FD"/>
    <w:rsid w:val="00E81100"/>
    <w:rsid w:val="00E8116B"/>
    <w:rsid w:val="00E81189"/>
    <w:rsid w:val="00E811B0"/>
    <w:rsid w:val="00E811BF"/>
    <w:rsid w:val="00E811DF"/>
    <w:rsid w:val="00E811E0"/>
    <w:rsid w:val="00E811FE"/>
    <w:rsid w:val="00E81240"/>
    <w:rsid w:val="00E8129A"/>
    <w:rsid w:val="00E812A9"/>
    <w:rsid w:val="00E812AE"/>
    <w:rsid w:val="00E812C8"/>
    <w:rsid w:val="00E81343"/>
    <w:rsid w:val="00E8134A"/>
    <w:rsid w:val="00E81353"/>
    <w:rsid w:val="00E81383"/>
    <w:rsid w:val="00E813AF"/>
    <w:rsid w:val="00E813D8"/>
    <w:rsid w:val="00E813EC"/>
    <w:rsid w:val="00E81422"/>
    <w:rsid w:val="00E8142C"/>
    <w:rsid w:val="00E81481"/>
    <w:rsid w:val="00E81487"/>
    <w:rsid w:val="00E8149D"/>
    <w:rsid w:val="00E814DE"/>
    <w:rsid w:val="00E81552"/>
    <w:rsid w:val="00E81569"/>
    <w:rsid w:val="00E81576"/>
    <w:rsid w:val="00E81588"/>
    <w:rsid w:val="00E815A6"/>
    <w:rsid w:val="00E815B8"/>
    <w:rsid w:val="00E815CE"/>
    <w:rsid w:val="00E81613"/>
    <w:rsid w:val="00E81650"/>
    <w:rsid w:val="00E8165A"/>
    <w:rsid w:val="00E81677"/>
    <w:rsid w:val="00E816D9"/>
    <w:rsid w:val="00E816DD"/>
    <w:rsid w:val="00E81705"/>
    <w:rsid w:val="00E81714"/>
    <w:rsid w:val="00E81718"/>
    <w:rsid w:val="00E81731"/>
    <w:rsid w:val="00E81761"/>
    <w:rsid w:val="00E81796"/>
    <w:rsid w:val="00E81800"/>
    <w:rsid w:val="00E8189B"/>
    <w:rsid w:val="00E818D0"/>
    <w:rsid w:val="00E818D2"/>
    <w:rsid w:val="00E8193D"/>
    <w:rsid w:val="00E81951"/>
    <w:rsid w:val="00E81964"/>
    <w:rsid w:val="00E81985"/>
    <w:rsid w:val="00E819C8"/>
    <w:rsid w:val="00E819DA"/>
    <w:rsid w:val="00E819F2"/>
    <w:rsid w:val="00E81A01"/>
    <w:rsid w:val="00E81A09"/>
    <w:rsid w:val="00E81A5B"/>
    <w:rsid w:val="00E81A96"/>
    <w:rsid w:val="00E81AD6"/>
    <w:rsid w:val="00E81AF7"/>
    <w:rsid w:val="00E81B04"/>
    <w:rsid w:val="00E81B0D"/>
    <w:rsid w:val="00E81B1F"/>
    <w:rsid w:val="00E81B27"/>
    <w:rsid w:val="00E81B64"/>
    <w:rsid w:val="00E81B7C"/>
    <w:rsid w:val="00E81B7D"/>
    <w:rsid w:val="00E81BAD"/>
    <w:rsid w:val="00E81BC2"/>
    <w:rsid w:val="00E81BEF"/>
    <w:rsid w:val="00E81C20"/>
    <w:rsid w:val="00E81C2C"/>
    <w:rsid w:val="00E81C35"/>
    <w:rsid w:val="00E81C57"/>
    <w:rsid w:val="00E81CBD"/>
    <w:rsid w:val="00E81D0D"/>
    <w:rsid w:val="00E81D1F"/>
    <w:rsid w:val="00E81D44"/>
    <w:rsid w:val="00E81D91"/>
    <w:rsid w:val="00E81DA0"/>
    <w:rsid w:val="00E81DBC"/>
    <w:rsid w:val="00E81DC3"/>
    <w:rsid w:val="00E81DCA"/>
    <w:rsid w:val="00E81DF7"/>
    <w:rsid w:val="00E81E1C"/>
    <w:rsid w:val="00E81E6B"/>
    <w:rsid w:val="00E81E78"/>
    <w:rsid w:val="00E81ED2"/>
    <w:rsid w:val="00E81EDD"/>
    <w:rsid w:val="00E81EF9"/>
    <w:rsid w:val="00E81F73"/>
    <w:rsid w:val="00E81F93"/>
    <w:rsid w:val="00E81FB8"/>
    <w:rsid w:val="00E81FC3"/>
    <w:rsid w:val="00E81FDF"/>
    <w:rsid w:val="00E81FED"/>
    <w:rsid w:val="00E82006"/>
    <w:rsid w:val="00E8205D"/>
    <w:rsid w:val="00E82085"/>
    <w:rsid w:val="00E820F8"/>
    <w:rsid w:val="00E82155"/>
    <w:rsid w:val="00E82167"/>
    <w:rsid w:val="00E82172"/>
    <w:rsid w:val="00E8219E"/>
    <w:rsid w:val="00E821C5"/>
    <w:rsid w:val="00E821EA"/>
    <w:rsid w:val="00E821EF"/>
    <w:rsid w:val="00E82218"/>
    <w:rsid w:val="00E82264"/>
    <w:rsid w:val="00E82268"/>
    <w:rsid w:val="00E822A4"/>
    <w:rsid w:val="00E822A6"/>
    <w:rsid w:val="00E822C5"/>
    <w:rsid w:val="00E822D1"/>
    <w:rsid w:val="00E82307"/>
    <w:rsid w:val="00E8231B"/>
    <w:rsid w:val="00E82324"/>
    <w:rsid w:val="00E82327"/>
    <w:rsid w:val="00E8237B"/>
    <w:rsid w:val="00E82382"/>
    <w:rsid w:val="00E82391"/>
    <w:rsid w:val="00E823FB"/>
    <w:rsid w:val="00E8241E"/>
    <w:rsid w:val="00E824DC"/>
    <w:rsid w:val="00E824F4"/>
    <w:rsid w:val="00E82522"/>
    <w:rsid w:val="00E8252B"/>
    <w:rsid w:val="00E8253A"/>
    <w:rsid w:val="00E825B5"/>
    <w:rsid w:val="00E82627"/>
    <w:rsid w:val="00E8266D"/>
    <w:rsid w:val="00E82674"/>
    <w:rsid w:val="00E826AD"/>
    <w:rsid w:val="00E82705"/>
    <w:rsid w:val="00E82725"/>
    <w:rsid w:val="00E82769"/>
    <w:rsid w:val="00E8276A"/>
    <w:rsid w:val="00E82774"/>
    <w:rsid w:val="00E82790"/>
    <w:rsid w:val="00E827A4"/>
    <w:rsid w:val="00E827B5"/>
    <w:rsid w:val="00E827D9"/>
    <w:rsid w:val="00E827E9"/>
    <w:rsid w:val="00E827FC"/>
    <w:rsid w:val="00E82857"/>
    <w:rsid w:val="00E828A4"/>
    <w:rsid w:val="00E828A8"/>
    <w:rsid w:val="00E828C1"/>
    <w:rsid w:val="00E828DE"/>
    <w:rsid w:val="00E828F6"/>
    <w:rsid w:val="00E82918"/>
    <w:rsid w:val="00E8294B"/>
    <w:rsid w:val="00E82993"/>
    <w:rsid w:val="00E829AE"/>
    <w:rsid w:val="00E829B1"/>
    <w:rsid w:val="00E829FB"/>
    <w:rsid w:val="00E82A1F"/>
    <w:rsid w:val="00E82A5B"/>
    <w:rsid w:val="00E82A80"/>
    <w:rsid w:val="00E82A87"/>
    <w:rsid w:val="00E82AAF"/>
    <w:rsid w:val="00E82AB0"/>
    <w:rsid w:val="00E82B33"/>
    <w:rsid w:val="00E82B3E"/>
    <w:rsid w:val="00E82B53"/>
    <w:rsid w:val="00E82BA1"/>
    <w:rsid w:val="00E82BD1"/>
    <w:rsid w:val="00E82BD3"/>
    <w:rsid w:val="00E82BF3"/>
    <w:rsid w:val="00E82C26"/>
    <w:rsid w:val="00E82C2C"/>
    <w:rsid w:val="00E82C45"/>
    <w:rsid w:val="00E82C65"/>
    <w:rsid w:val="00E82CA1"/>
    <w:rsid w:val="00E82CB6"/>
    <w:rsid w:val="00E82CB7"/>
    <w:rsid w:val="00E82CE8"/>
    <w:rsid w:val="00E82D80"/>
    <w:rsid w:val="00E82D86"/>
    <w:rsid w:val="00E82D8D"/>
    <w:rsid w:val="00E82DA4"/>
    <w:rsid w:val="00E82DDD"/>
    <w:rsid w:val="00E82E17"/>
    <w:rsid w:val="00E82E22"/>
    <w:rsid w:val="00E82E23"/>
    <w:rsid w:val="00E82E68"/>
    <w:rsid w:val="00E82E6B"/>
    <w:rsid w:val="00E82E95"/>
    <w:rsid w:val="00E82E9E"/>
    <w:rsid w:val="00E82EB1"/>
    <w:rsid w:val="00E82EBA"/>
    <w:rsid w:val="00E82EC9"/>
    <w:rsid w:val="00E82F17"/>
    <w:rsid w:val="00E82F30"/>
    <w:rsid w:val="00E82F3C"/>
    <w:rsid w:val="00E82F6B"/>
    <w:rsid w:val="00E82FB6"/>
    <w:rsid w:val="00E82FC5"/>
    <w:rsid w:val="00E82FCB"/>
    <w:rsid w:val="00E82FEC"/>
    <w:rsid w:val="00E83006"/>
    <w:rsid w:val="00E8301E"/>
    <w:rsid w:val="00E83039"/>
    <w:rsid w:val="00E8304F"/>
    <w:rsid w:val="00E830AC"/>
    <w:rsid w:val="00E83144"/>
    <w:rsid w:val="00E8314A"/>
    <w:rsid w:val="00E83160"/>
    <w:rsid w:val="00E83171"/>
    <w:rsid w:val="00E831A8"/>
    <w:rsid w:val="00E8321E"/>
    <w:rsid w:val="00E8321F"/>
    <w:rsid w:val="00E83243"/>
    <w:rsid w:val="00E83269"/>
    <w:rsid w:val="00E832AB"/>
    <w:rsid w:val="00E832F7"/>
    <w:rsid w:val="00E83359"/>
    <w:rsid w:val="00E83363"/>
    <w:rsid w:val="00E8337D"/>
    <w:rsid w:val="00E833B0"/>
    <w:rsid w:val="00E833C8"/>
    <w:rsid w:val="00E833E5"/>
    <w:rsid w:val="00E833FA"/>
    <w:rsid w:val="00E83403"/>
    <w:rsid w:val="00E83409"/>
    <w:rsid w:val="00E8340D"/>
    <w:rsid w:val="00E83427"/>
    <w:rsid w:val="00E83460"/>
    <w:rsid w:val="00E8348B"/>
    <w:rsid w:val="00E8349B"/>
    <w:rsid w:val="00E8349C"/>
    <w:rsid w:val="00E834A5"/>
    <w:rsid w:val="00E834E9"/>
    <w:rsid w:val="00E8351E"/>
    <w:rsid w:val="00E8354C"/>
    <w:rsid w:val="00E83552"/>
    <w:rsid w:val="00E83588"/>
    <w:rsid w:val="00E8359A"/>
    <w:rsid w:val="00E835ED"/>
    <w:rsid w:val="00E835F4"/>
    <w:rsid w:val="00E83636"/>
    <w:rsid w:val="00E8365B"/>
    <w:rsid w:val="00E836A2"/>
    <w:rsid w:val="00E836A5"/>
    <w:rsid w:val="00E836FF"/>
    <w:rsid w:val="00E83735"/>
    <w:rsid w:val="00E83738"/>
    <w:rsid w:val="00E8375E"/>
    <w:rsid w:val="00E83770"/>
    <w:rsid w:val="00E83876"/>
    <w:rsid w:val="00E838BE"/>
    <w:rsid w:val="00E838C3"/>
    <w:rsid w:val="00E838CF"/>
    <w:rsid w:val="00E838EF"/>
    <w:rsid w:val="00E838F3"/>
    <w:rsid w:val="00E8391D"/>
    <w:rsid w:val="00E83951"/>
    <w:rsid w:val="00E839DC"/>
    <w:rsid w:val="00E839DF"/>
    <w:rsid w:val="00E839E6"/>
    <w:rsid w:val="00E83A0B"/>
    <w:rsid w:val="00E83A18"/>
    <w:rsid w:val="00E83A3E"/>
    <w:rsid w:val="00E83A41"/>
    <w:rsid w:val="00E83A7C"/>
    <w:rsid w:val="00E83AE3"/>
    <w:rsid w:val="00E83AE6"/>
    <w:rsid w:val="00E83AF9"/>
    <w:rsid w:val="00E83B1F"/>
    <w:rsid w:val="00E83B44"/>
    <w:rsid w:val="00E83B75"/>
    <w:rsid w:val="00E83B8C"/>
    <w:rsid w:val="00E83BAC"/>
    <w:rsid w:val="00E83C2D"/>
    <w:rsid w:val="00E83C57"/>
    <w:rsid w:val="00E83C90"/>
    <w:rsid w:val="00E83CE9"/>
    <w:rsid w:val="00E83CF1"/>
    <w:rsid w:val="00E83CFE"/>
    <w:rsid w:val="00E83D21"/>
    <w:rsid w:val="00E83D4F"/>
    <w:rsid w:val="00E83D5A"/>
    <w:rsid w:val="00E83D68"/>
    <w:rsid w:val="00E83DAC"/>
    <w:rsid w:val="00E83E06"/>
    <w:rsid w:val="00E83E22"/>
    <w:rsid w:val="00E83E5C"/>
    <w:rsid w:val="00E83E5D"/>
    <w:rsid w:val="00E83EA2"/>
    <w:rsid w:val="00E83EDA"/>
    <w:rsid w:val="00E83F09"/>
    <w:rsid w:val="00E83F5D"/>
    <w:rsid w:val="00E83FB0"/>
    <w:rsid w:val="00E83FD8"/>
    <w:rsid w:val="00E83FFD"/>
    <w:rsid w:val="00E84062"/>
    <w:rsid w:val="00E84069"/>
    <w:rsid w:val="00E840BC"/>
    <w:rsid w:val="00E840C7"/>
    <w:rsid w:val="00E840F9"/>
    <w:rsid w:val="00E841E3"/>
    <w:rsid w:val="00E8420D"/>
    <w:rsid w:val="00E842A3"/>
    <w:rsid w:val="00E842BF"/>
    <w:rsid w:val="00E842F9"/>
    <w:rsid w:val="00E8430C"/>
    <w:rsid w:val="00E84319"/>
    <w:rsid w:val="00E84340"/>
    <w:rsid w:val="00E84351"/>
    <w:rsid w:val="00E84390"/>
    <w:rsid w:val="00E84397"/>
    <w:rsid w:val="00E843E2"/>
    <w:rsid w:val="00E843E9"/>
    <w:rsid w:val="00E8441E"/>
    <w:rsid w:val="00E84424"/>
    <w:rsid w:val="00E8442B"/>
    <w:rsid w:val="00E84443"/>
    <w:rsid w:val="00E8444C"/>
    <w:rsid w:val="00E8445D"/>
    <w:rsid w:val="00E84461"/>
    <w:rsid w:val="00E84481"/>
    <w:rsid w:val="00E844B5"/>
    <w:rsid w:val="00E844E8"/>
    <w:rsid w:val="00E84559"/>
    <w:rsid w:val="00E84563"/>
    <w:rsid w:val="00E846D3"/>
    <w:rsid w:val="00E846D5"/>
    <w:rsid w:val="00E846DF"/>
    <w:rsid w:val="00E846FC"/>
    <w:rsid w:val="00E84725"/>
    <w:rsid w:val="00E84743"/>
    <w:rsid w:val="00E8474F"/>
    <w:rsid w:val="00E84768"/>
    <w:rsid w:val="00E84770"/>
    <w:rsid w:val="00E847EA"/>
    <w:rsid w:val="00E84834"/>
    <w:rsid w:val="00E8483A"/>
    <w:rsid w:val="00E84897"/>
    <w:rsid w:val="00E848E9"/>
    <w:rsid w:val="00E8490D"/>
    <w:rsid w:val="00E849B3"/>
    <w:rsid w:val="00E849C0"/>
    <w:rsid w:val="00E84A97"/>
    <w:rsid w:val="00E84AD4"/>
    <w:rsid w:val="00E84B11"/>
    <w:rsid w:val="00E84B64"/>
    <w:rsid w:val="00E84BD5"/>
    <w:rsid w:val="00E84BE8"/>
    <w:rsid w:val="00E84BFE"/>
    <w:rsid w:val="00E84C0C"/>
    <w:rsid w:val="00E84C0F"/>
    <w:rsid w:val="00E84C14"/>
    <w:rsid w:val="00E84C3D"/>
    <w:rsid w:val="00E84CA5"/>
    <w:rsid w:val="00E84CBC"/>
    <w:rsid w:val="00E84CD1"/>
    <w:rsid w:val="00E84CD7"/>
    <w:rsid w:val="00E84CDE"/>
    <w:rsid w:val="00E84D17"/>
    <w:rsid w:val="00E84D74"/>
    <w:rsid w:val="00E84D77"/>
    <w:rsid w:val="00E84D7B"/>
    <w:rsid w:val="00E84DA4"/>
    <w:rsid w:val="00E84DB1"/>
    <w:rsid w:val="00E84DE3"/>
    <w:rsid w:val="00E84E0C"/>
    <w:rsid w:val="00E84E18"/>
    <w:rsid w:val="00E84E3F"/>
    <w:rsid w:val="00E84E47"/>
    <w:rsid w:val="00E84E4F"/>
    <w:rsid w:val="00E84E54"/>
    <w:rsid w:val="00E84E5A"/>
    <w:rsid w:val="00E84E61"/>
    <w:rsid w:val="00E84ECF"/>
    <w:rsid w:val="00E84F7A"/>
    <w:rsid w:val="00E84F82"/>
    <w:rsid w:val="00E84FF9"/>
    <w:rsid w:val="00E85050"/>
    <w:rsid w:val="00E85085"/>
    <w:rsid w:val="00E850AD"/>
    <w:rsid w:val="00E8512A"/>
    <w:rsid w:val="00E8514E"/>
    <w:rsid w:val="00E8516C"/>
    <w:rsid w:val="00E8516D"/>
    <w:rsid w:val="00E8517D"/>
    <w:rsid w:val="00E851FE"/>
    <w:rsid w:val="00E85225"/>
    <w:rsid w:val="00E852C8"/>
    <w:rsid w:val="00E852E9"/>
    <w:rsid w:val="00E852F2"/>
    <w:rsid w:val="00E852FA"/>
    <w:rsid w:val="00E8531F"/>
    <w:rsid w:val="00E8539A"/>
    <w:rsid w:val="00E853ED"/>
    <w:rsid w:val="00E853EF"/>
    <w:rsid w:val="00E8547E"/>
    <w:rsid w:val="00E85490"/>
    <w:rsid w:val="00E854AE"/>
    <w:rsid w:val="00E854B2"/>
    <w:rsid w:val="00E85503"/>
    <w:rsid w:val="00E8553B"/>
    <w:rsid w:val="00E85542"/>
    <w:rsid w:val="00E85571"/>
    <w:rsid w:val="00E855E6"/>
    <w:rsid w:val="00E85615"/>
    <w:rsid w:val="00E85642"/>
    <w:rsid w:val="00E85656"/>
    <w:rsid w:val="00E85663"/>
    <w:rsid w:val="00E856A1"/>
    <w:rsid w:val="00E856B7"/>
    <w:rsid w:val="00E856F3"/>
    <w:rsid w:val="00E856FE"/>
    <w:rsid w:val="00E85745"/>
    <w:rsid w:val="00E8574E"/>
    <w:rsid w:val="00E85763"/>
    <w:rsid w:val="00E85792"/>
    <w:rsid w:val="00E85796"/>
    <w:rsid w:val="00E857AB"/>
    <w:rsid w:val="00E857C2"/>
    <w:rsid w:val="00E85887"/>
    <w:rsid w:val="00E858D8"/>
    <w:rsid w:val="00E858EC"/>
    <w:rsid w:val="00E858F4"/>
    <w:rsid w:val="00E858FB"/>
    <w:rsid w:val="00E85900"/>
    <w:rsid w:val="00E8590A"/>
    <w:rsid w:val="00E85956"/>
    <w:rsid w:val="00E85982"/>
    <w:rsid w:val="00E859B9"/>
    <w:rsid w:val="00E859D4"/>
    <w:rsid w:val="00E85A23"/>
    <w:rsid w:val="00E85A6D"/>
    <w:rsid w:val="00E85AEE"/>
    <w:rsid w:val="00E85AF0"/>
    <w:rsid w:val="00E85AF3"/>
    <w:rsid w:val="00E85B18"/>
    <w:rsid w:val="00E85B67"/>
    <w:rsid w:val="00E85B74"/>
    <w:rsid w:val="00E85B99"/>
    <w:rsid w:val="00E85B9D"/>
    <w:rsid w:val="00E85BC4"/>
    <w:rsid w:val="00E85C2E"/>
    <w:rsid w:val="00E85C30"/>
    <w:rsid w:val="00E85CAC"/>
    <w:rsid w:val="00E85D28"/>
    <w:rsid w:val="00E85D6C"/>
    <w:rsid w:val="00E85D6E"/>
    <w:rsid w:val="00E85D9A"/>
    <w:rsid w:val="00E85DBA"/>
    <w:rsid w:val="00E85DC2"/>
    <w:rsid w:val="00E85DD3"/>
    <w:rsid w:val="00E85E04"/>
    <w:rsid w:val="00E85E2C"/>
    <w:rsid w:val="00E85E9B"/>
    <w:rsid w:val="00E85F4D"/>
    <w:rsid w:val="00E85FB7"/>
    <w:rsid w:val="00E85FD7"/>
    <w:rsid w:val="00E85FF6"/>
    <w:rsid w:val="00E86015"/>
    <w:rsid w:val="00E86026"/>
    <w:rsid w:val="00E86029"/>
    <w:rsid w:val="00E8603F"/>
    <w:rsid w:val="00E86075"/>
    <w:rsid w:val="00E860E6"/>
    <w:rsid w:val="00E8617E"/>
    <w:rsid w:val="00E86193"/>
    <w:rsid w:val="00E861BA"/>
    <w:rsid w:val="00E861BB"/>
    <w:rsid w:val="00E86200"/>
    <w:rsid w:val="00E8620D"/>
    <w:rsid w:val="00E8626C"/>
    <w:rsid w:val="00E862A3"/>
    <w:rsid w:val="00E8632D"/>
    <w:rsid w:val="00E86355"/>
    <w:rsid w:val="00E86374"/>
    <w:rsid w:val="00E8638F"/>
    <w:rsid w:val="00E86397"/>
    <w:rsid w:val="00E863C9"/>
    <w:rsid w:val="00E863CB"/>
    <w:rsid w:val="00E86419"/>
    <w:rsid w:val="00E86427"/>
    <w:rsid w:val="00E86435"/>
    <w:rsid w:val="00E8645D"/>
    <w:rsid w:val="00E86476"/>
    <w:rsid w:val="00E86484"/>
    <w:rsid w:val="00E8648A"/>
    <w:rsid w:val="00E8648E"/>
    <w:rsid w:val="00E864BF"/>
    <w:rsid w:val="00E864E6"/>
    <w:rsid w:val="00E86560"/>
    <w:rsid w:val="00E865A0"/>
    <w:rsid w:val="00E86605"/>
    <w:rsid w:val="00E8660C"/>
    <w:rsid w:val="00E8670F"/>
    <w:rsid w:val="00E86733"/>
    <w:rsid w:val="00E867BE"/>
    <w:rsid w:val="00E867C6"/>
    <w:rsid w:val="00E867CC"/>
    <w:rsid w:val="00E867E5"/>
    <w:rsid w:val="00E86814"/>
    <w:rsid w:val="00E86829"/>
    <w:rsid w:val="00E8688A"/>
    <w:rsid w:val="00E86895"/>
    <w:rsid w:val="00E868A1"/>
    <w:rsid w:val="00E868E2"/>
    <w:rsid w:val="00E868ED"/>
    <w:rsid w:val="00E8690D"/>
    <w:rsid w:val="00E8691B"/>
    <w:rsid w:val="00E86974"/>
    <w:rsid w:val="00E8697C"/>
    <w:rsid w:val="00E8699A"/>
    <w:rsid w:val="00E869C7"/>
    <w:rsid w:val="00E869F7"/>
    <w:rsid w:val="00E86A53"/>
    <w:rsid w:val="00E86A76"/>
    <w:rsid w:val="00E86A87"/>
    <w:rsid w:val="00E86A98"/>
    <w:rsid w:val="00E86AC1"/>
    <w:rsid w:val="00E86B05"/>
    <w:rsid w:val="00E86B16"/>
    <w:rsid w:val="00E86B2C"/>
    <w:rsid w:val="00E86B30"/>
    <w:rsid w:val="00E86B44"/>
    <w:rsid w:val="00E86B96"/>
    <w:rsid w:val="00E86BEC"/>
    <w:rsid w:val="00E86C0F"/>
    <w:rsid w:val="00E86C14"/>
    <w:rsid w:val="00E86C18"/>
    <w:rsid w:val="00E86C3D"/>
    <w:rsid w:val="00E86C5F"/>
    <w:rsid w:val="00E86C84"/>
    <w:rsid w:val="00E86C8C"/>
    <w:rsid w:val="00E86CED"/>
    <w:rsid w:val="00E86CFF"/>
    <w:rsid w:val="00E86D17"/>
    <w:rsid w:val="00E86D27"/>
    <w:rsid w:val="00E86D30"/>
    <w:rsid w:val="00E86D3B"/>
    <w:rsid w:val="00E86D4B"/>
    <w:rsid w:val="00E86D5D"/>
    <w:rsid w:val="00E86D6B"/>
    <w:rsid w:val="00E86D7B"/>
    <w:rsid w:val="00E86D7C"/>
    <w:rsid w:val="00E86DCB"/>
    <w:rsid w:val="00E86DEB"/>
    <w:rsid w:val="00E86E2D"/>
    <w:rsid w:val="00E86E92"/>
    <w:rsid w:val="00E86EF2"/>
    <w:rsid w:val="00E86F27"/>
    <w:rsid w:val="00E86F3F"/>
    <w:rsid w:val="00E86F57"/>
    <w:rsid w:val="00E86FF8"/>
    <w:rsid w:val="00E86FFA"/>
    <w:rsid w:val="00E87018"/>
    <w:rsid w:val="00E8708E"/>
    <w:rsid w:val="00E870B0"/>
    <w:rsid w:val="00E870D1"/>
    <w:rsid w:val="00E87125"/>
    <w:rsid w:val="00E8713D"/>
    <w:rsid w:val="00E87141"/>
    <w:rsid w:val="00E87146"/>
    <w:rsid w:val="00E87163"/>
    <w:rsid w:val="00E8716D"/>
    <w:rsid w:val="00E871A9"/>
    <w:rsid w:val="00E87211"/>
    <w:rsid w:val="00E8721B"/>
    <w:rsid w:val="00E87267"/>
    <w:rsid w:val="00E87287"/>
    <w:rsid w:val="00E872DD"/>
    <w:rsid w:val="00E872E6"/>
    <w:rsid w:val="00E872EA"/>
    <w:rsid w:val="00E87316"/>
    <w:rsid w:val="00E87341"/>
    <w:rsid w:val="00E8735F"/>
    <w:rsid w:val="00E87406"/>
    <w:rsid w:val="00E87415"/>
    <w:rsid w:val="00E87428"/>
    <w:rsid w:val="00E8743D"/>
    <w:rsid w:val="00E8744B"/>
    <w:rsid w:val="00E8749B"/>
    <w:rsid w:val="00E87553"/>
    <w:rsid w:val="00E87554"/>
    <w:rsid w:val="00E87559"/>
    <w:rsid w:val="00E8755B"/>
    <w:rsid w:val="00E87590"/>
    <w:rsid w:val="00E875C8"/>
    <w:rsid w:val="00E875EE"/>
    <w:rsid w:val="00E87667"/>
    <w:rsid w:val="00E87689"/>
    <w:rsid w:val="00E8768F"/>
    <w:rsid w:val="00E87697"/>
    <w:rsid w:val="00E876BC"/>
    <w:rsid w:val="00E876CB"/>
    <w:rsid w:val="00E876EF"/>
    <w:rsid w:val="00E8772B"/>
    <w:rsid w:val="00E8772E"/>
    <w:rsid w:val="00E87774"/>
    <w:rsid w:val="00E87784"/>
    <w:rsid w:val="00E87792"/>
    <w:rsid w:val="00E8779B"/>
    <w:rsid w:val="00E8779D"/>
    <w:rsid w:val="00E877EF"/>
    <w:rsid w:val="00E87832"/>
    <w:rsid w:val="00E878F3"/>
    <w:rsid w:val="00E8790E"/>
    <w:rsid w:val="00E8791D"/>
    <w:rsid w:val="00E8794E"/>
    <w:rsid w:val="00E87961"/>
    <w:rsid w:val="00E87979"/>
    <w:rsid w:val="00E879C7"/>
    <w:rsid w:val="00E879CB"/>
    <w:rsid w:val="00E87A24"/>
    <w:rsid w:val="00E87A84"/>
    <w:rsid w:val="00E87AC3"/>
    <w:rsid w:val="00E87B08"/>
    <w:rsid w:val="00E87B0E"/>
    <w:rsid w:val="00E87B54"/>
    <w:rsid w:val="00E87B72"/>
    <w:rsid w:val="00E87B8A"/>
    <w:rsid w:val="00E87BC4"/>
    <w:rsid w:val="00E87BFA"/>
    <w:rsid w:val="00E87C06"/>
    <w:rsid w:val="00E87C0D"/>
    <w:rsid w:val="00E87C19"/>
    <w:rsid w:val="00E87C96"/>
    <w:rsid w:val="00E87CAC"/>
    <w:rsid w:val="00E87CE8"/>
    <w:rsid w:val="00E87D19"/>
    <w:rsid w:val="00E87D23"/>
    <w:rsid w:val="00E87D56"/>
    <w:rsid w:val="00E87D70"/>
    <w:rsid w:val="00E87D92"/>
    <w:rsid w:val="00E87DB2"/>
    <w:rsid w:val="00E87DE2"/>
    <w:rsid w:val="00E87E1E"/>
    <w:rsid w:val="00E87E3E"/>
    <w:rsid w:val="00E87E43"/>
    <w:rsid w:val="00E87E67"/>
    <w:rsid w:val="00E87E75"/>
    <w:rsid w:val="00E87ED6"/>
    <w:rsid w:val="00E87F14"/>
    <w:rsid w:val="00E87F26"/>
    <w:rsid w:val="00E87F91"/>
    <w:rsid w:val="00E87FB6"/>
    <w:rsid w:val="00E87FC6"/>
    <w:rsid w:val="00E90002"/>
    <w:rsid w:val="00E90013"/>
    <w:rsid w:val="00E90024"/>
    <w:rsid w:val="00E90077"/>
    <w:rsid w:val="00E90086"/>
    <w:rsid w:val="00E900A2"/>
    <w:rsid w:val="00E900C5"/>
    <w:rsid w:val="00E900D3"/>
    <w:rsid w:val="00E900DA"/>
    <w:rsid w:val="00E90119"/>
    <w:rsid w:val="00E90189"/>
    <w:rsid w:val="00E90196"/>
    <w:rsid w:val="00E901F1"/>
    <w:rsid w:val="00E90209"/>
    <w:rsid w:val="00E9026F"/>
    <w:rsid w:val="00E902A1"/>
    <w:rsid w:val="00E902AC"/>
    <w:rsid w:val="00E90357"/>
    <w:rsid w:val="00E90391"/>
    <w:rsid w:val="00E90394"/>
    <w:rsid w:val="00E903C1"/>
    <w:rsid w:val="00E903D0"/>
    <w:rsid w:val="00E903EB"/>
    <w:rsid w:val="00E90438"/>
    <w:rsid w:val="00E90453"/>
    <w:rsid w:val="00E90463"/>
    <w:rsid w:val="00E90466"/>
    <w:rsid w:val="00E90479"/>
    <w:rsid w:val="00E90493"/>
    <w:rsid w:val="00E904A3"/>
    <w:rsid w:val="00E904B1"/>
    <w:rsid w:val="00E904F6"/>
    <w:rsid w:val="00E90572"/>
    <w:rsid w:val="00E90595"/>
    <w:rsid w:val="00E905B0"/>
    <w:rsid w:val="00E905B1"/>
    <w:rsid w:val="00E90617"/>
    <w:rsid w:val="00E90620"/>
    <w:rsid w:val="00E90664"/>
    <w:rsid w:val="00E9066E"/>
    <w:rsid w:val="00E9067E"/>
    <w:rsid w:val="00E90695"/>
    <w:rsid w:val="00E906E4"/>
    <w:rsid w:val="00E906F9"/>
    <w:rsid w:val="00E90701"/>
    <w:rsid w:val="00E9072F"/>
    <w:rsid w:val="00E90736"/>
    <w:rsid w:val="00E9074A"/>
    <w:rsid w:val="00E9077E"/>
    <w:rsid w:val="00E90780"/>
    <w:rsid w:val="00E907E2"/>
    <w:rsid w:val="00E9080F"/>
    <w:rsid w:val="00E908A3"/>
    <w:rsid w:val="00E908A4"/>
    <w:rsid w:val="00E908AE"/>
    <w:rsid w:val="00E9094D"/>
    <w:rsid w:val="00E9095C"/>
    <w:rsid w:val="00E9096A"/>
    <w:rsid w:val="00E90986"/>
    <w:rsid w:val="00E909DE"/>
    <w:rsid w:val="00E90A0F"/>
    <w:rsid w:val="00E90A43"/>
    <w:rsid w:val="00E90A4C"/>
    <w:rsid w:val="00E90A50"/>
    <w:rsid w:val="00E90A73"/>
    <w:rsid w:val="00E90A95"/>
    <w:rsid w:val="00E90ABB"/>
    <w:rsid w:val="00E90AE1"/>
    <w:rsid w:val="00E90AE9"/>
    <w:rsid w:val="00E90B3F"/>
    <w:rsid w:val="00E90B5C"/>
    <w:rsid w:val="00E90B6C"/>
    <w:rsid w:val="00E90B89"/>
    <w:rsid w:val="00E90C0D"/>
    <w:rsid w:val="00E90C1C"/>
    <w:rsid w:val="00E90C92"/>
    <w:rsid w:val="00E90D09"/>
    <w:rsid w:val="00E90D30"/>
    <w:rsid w:val="00E90D45"/>
    <w:rsid w:val="00E90DA1"/>
    <w:rsid w:val="00E90E53"/>
    <w:rsid w:val="00E90E8D"/>
    <w:rsid w:val="00E90F12"/>
    <w:rsid w:val="00E90F3C"/>
    <w:rsid w:val="00E90F42"/>
    <w:rsid w:val="00E90F56"/>
    <w:rsid w:val="00E90F82"/>
    <w:rsid w:val="00E91016"/>
    <w:rsid w:val="00E9106D"/>
    <w:rsid w:val="00E91087"/>
    <w:rsid w:val="00E910A9"/>
    <w:rsid w:val="00E910B6"/>
    <w:rsid w:val="00E910C7"/>
    <w:rsid w:val="00E910D1"/>
    <w:rsid w:val="00E910E7"/>
    <w:rsid w:val="00E910F8"/>
    <w:rsid w:val="00E91110"/>
    <w:rsid w:val="00E91177"/>
    <w:rsid w:val="00E911D0"/>
    <w:rsid w:val="00E911DE"/>
    <w:rsid w:val="00E9120E"/>
    <w:rsid w:val="00E9128E"/>
    <w:rsid w:val="00E91290"/>
    <w:rsid w:val="00E9134F"/>
    <w:rsid w:val="00E91360"/>
    <w:rsid w:val="00E9138D"/>
    <w:rsid w:val="00E913B8"/>
    <w:rsid w:val="00E913D2"/>
    <w:rsid w:val="00E913EA"/>
    <w:rsid w:val="00E913F9"/>
    <w:rsid w:val="00E91415"/>
    <w:rsid w:val="00E9149E"/>
    <w:rsid w:val="00E914A4"/>
    <w:rsid w:val="00E914B1"/>
    <w:rsid w:val="00E914E1"/>
    <w:rsid w:val="00E9151A"/>
    <w:rsid w:val="00E91527"/>
    <w:rsid w:val="00E91557"/>
    <w:rsid w:val="00E91592"/>
    <w:rsid w:val="00E915CF"/>
    <w:rsid w:val="00E91605"/>
    <w:rsid w:val="00E9164A"/>
    <w:rsid w:val="00E91688"/>
    <w:rsid w:val="00E916B0"/>
    <w:rsid w:val="00E9170B"/>
    <w:rsid w:val="00E917B7"/>
    <w:rsid w:val="00E917D3"/>
    <w:rsid w:val="00E917F4"/>
    <w:rsid w:val="00E917FE"/>
    <w:rsid w:val="00E91834"/>
    <w:rsid w:val="00E91859"/>
    <w:rsid w:val="00E9185A"/>
    <w:rsid w:val="00E918B4"/>
    <w:rsid w:val="00E918E4"/>
    <w:rsid w:val="00E9190A"/>
    <w:rsid w:val="00E91910"/>
    <w:rsid w:val="00E9191B"/>
    <w:rsid w:val="00E9194F"/>
    <w:rsid w:val="00E91958"/>
    <w:rsid w:val="00E9199F"/>
    <w:rsid w:val="00E919B4"/>
    <w:rsid w:val="00E91A0C"/>
    <w:rsid w:val="00E91B30"/>
    <w:rsid w:val="00E91B37"/>
    <w:rsid w:val="00E91B50"/>
    <w:rsid w:val="00E91BEA"/>
    <w:rsid w:val="00E91BF3"/>
    <w:rsid w:val="00E91C2C"/>
    <w:rsid w:val="00E91C2D"/>
    <w:rsid w:val="00E91C8B"/>
    <w:rsid w:val="00E91C94"/>
    <w:rsid w:val="00E91C97"/>
    <w:rsid w:val="00E91CD3"/>
    <w:rsid w:val="00E91D37"/>
    <w:rsid w:val="00E91D74"/>
    <w:rsid w:val="00E91DA2"/>
    <w:rsid w:val="00E91DC7"/>
    <w:rsid w:val="00E91DC8"/>
    <w:rsid w:val="00E91DF1"/>
    <w:rsid w:val="00E91DFD"/>
    <w:rsid w:val="00E91E21"/>
    <w:rsid w:val="00E91E31"/>
    <w:rsid w:val="00E91E73"/>
    <w:rsid w:val="00E91EB8"/>
    <w:rsid w:val="00E91EC5"/>
    <w:rsid w:val="00E91EFA"/>
    <w:rsid w:val="00E91F40"/>
    <w:rsid w:val="00E91F55"/>
    <w:rsid w:val="00E91F5F"/>
    <w:rsid w:val="00E91F86"/>
    <w:rsid w:val="00E91F9A"/>
    <w:rsid w:val="00E91FA8"/>
    <w:rsid w:val="00E91FD4"/>
    <w:rsid w:val="00E91FE8"/>
    <w:rsid w:val="00E92000"/>
    <w:rsid w:val="00E92013"/>
    <w:rsid w:val="00E9201F"/>
    <w:rsid w:val="00E92055"/>
    <w:rsid w:val="00E9209A"/>
    <w:rsid w:val="00E920C9"/>
    <w:rsid w:val="00E92104"/>
    <w:rsid w:val="00E92108"/>
    <w:rsid w:val="00E9210A"/>
    <w:rsid w:val="00E92114"/>
    <w:rsid w:val="00E92124"/>
    <w:rsid w:val="00E9213E"/>
    <w:rsid w:val="00E921E5"/>
    <w:rsid w:val="00E92204"/>
    <w:rsid w:val="00E9222D"/>
    <w:rsid w:val="00E92234"/>
    <w:rsid w:val="00E922C5"/>
    <w:rsid w:val="00E922EB"/>
    <w:rsid w:val="00E922FC"/>
    <w:rsid w:val="00E923A7"/>
    <w:rsid w:val="00E923AD"/>
    <w:rsid w:val="00E924C3"/>
    <w:rsid w:val="00E924F6"/>
    <w:rsid w:val="00E92500"/>
    <w:rsid w:val="00E9252B"/>
    <w:rsid w:val="00E92539"/>
    <w:rsid w:val="00E9259A"/>
    <w:rsid w:val="00E925A8"/>
    <w:rsid w:val="00E925B5"/>
    <w:rsid w:val="00E925CA"/>
    <w:rsid w:val="00E925F1"/>
    <w:rsid w:val="00E92677"/>
    <w:rsid w:val="00E92696"/>
    <w:rsid w:val="00E92697"/>
    <w:rsid w:val="00E926EE"/>
    <w:rsid w:val="00E92736"/>
    <w:rsid w:val="00E9274D"/>
    <w:rsid w:val="00E92776"/>
    <w:rsid w:val="00E92788"/>
    <w:rsid w:val="00E927BA"/>
    <w:rsid w:val="00E92836"/>
    <w:rsid w:val="00E9283C"/>
    <w:rsid w:val="00E9285E"/>
    <w:rsid w:val="00E92860"/>
    <w:rsid w:val="00E9288E"/>
    <w:rsid w:val="00E928B3"/>
    <w:rsid w:val="00E928D3"/>
    <w:rsid w:val="00E92963"/>
    <w:rsid w:val="00E929B3"/>
    <w:rsid w:val="00E929C1"/>
    <w:rsid w:val="00E929F0"/>
    <w:rsid w:val="00E92A40"/>
    <w:rsid w:val="00E92A50"/>
    <w:rsid w:val="00E92A59"/>
    <w:rsid w:val="00E92A85"/>
    <w:rsid w:val="00E92A9F"/>
    <w:rsid w:val="00E92AF7"/>
    <w:rsid w:val="00E92B35"/>
    <w:rsid w:val="00E92B42"/>
    <w:rsid w:val="00E92B4B"/>
    <w:rsid w:val="00E92B5A"/>
    <w:rsid w:val="00E92BB4"/>
    <w:rsid w:val="00E92BD8"/>
    <w:rsid w:val="00E92BEC"/>
    <w:rsid w:val="00E92C46"/>
    <w:rsid w:val="00E92C69"/>
    <w:rsid w:val="00E92C6C"/>
    <w:rsid w:val="00E92C9B"/>
    <w:rsid w:val="00E92CC8"/>
    <w:rsid w:val="00E92CED"/>
    <w:rsid w:val="00E92D4F"/>
    <w:rsid w:val="00E92D79"/>
    <w:rsid w:val="00E92DF9"/>
    <w:rsid w:val="00E92DFB"/>
    <w:rsid w:val="00E92E03"/>
    <w:rsid w:val="00E92E26"/>
    <w:rsid w:val="00E92E28"/>
    <w:rsid w:val="00E92E4A"/>
    <w:rsid w:val="00E92EC6"/>
    <w:rsid w:val="00E92EF7"/>
    <w:rsid w:val="00E92F19"/>
    <w:rsid w:val="00E92F3E"/>
    <w:rsid w:val="00E92F69"/>
    <w:rsid w:val="00E92FA4"/>
    <w:rsid w:val="00E92FF2"/>
    <w:rsid w:val="00E92FFA"/>
    <w:rsid w:val="00E9300D"/>
    <w:rsid w:val="00E93043"/>
    <w:rsid w:val="00E93082"/>
    <w:rsid w:val="00E930B7"/>
    <w:rsid w:val="00E930BA"/>
    <w:rsid w:val="00E930E2"/>
    <w:rsid w:val="00E93177"/>
    <w:rsid w:val="00E9317A"/>
    <w:rsid w:val="00E93186"/>
    <w:rsid w:val="00E9318B"/>
    <w:rsid w:val="00E9318C"/>
    <w:rsid w:val="00E9320A"/>
    <w:rsid w:val="00E9322D"/>
    <w:rsid w:val="00E9323B"/>
    <w:rsid w:val="00E93268"/>
    <w:rsid w:val="00E932DA"/>
    <w:rsid w:val="00E93359"/>
    <w:rsid w:val="00E9338B"/>
    <w:rsid w:val="00E9339B"/>
    <w:rsid w:val="00E933B2"/>
    <w:rsid w:val="00E933BD"/>
    <w:rsid w:val="00E933BF"/>
    <w:rsid w:val="00E93402"/>
    <w:rsid w:val="00E93418"/>
    <w:rsid w:val="00E93471"/>
    <w:rsid w:val="00E934C8"/>
    <w:rsid w:val="00E934D2"/>
    <w:rsid w:val="00E9351C"/>
    <w:rsid w:val="00E9351F"/>
    <w:rsid w:val="00E93545"/>
    <w:rsid w:val="00E93559"/>
    <w:rsid w:val="00E935D3"/>
    <w:rsid w:val="00E935FB"/>
    <w:rsid w:val="00E93614"/>
    <w:rsid w:val="00E93645"/>
    <w:rsid w:val="00E9364A"/>
    <w:rsid w:val="00E93691"/>
    <w:rsid w:val="00E93692"/>
    <w:rsid w:val="00E936A8"/>
    <w:rsid w:val="00E936AA"/>
    <w:rsid w:val="00E936D3"/>
    <w:rsid w:val="00E93709"/>
    <w:rsid w:val="00E9370B"/>
    <w:rsid w:val="00E9376A"/>
    <w:rsid w:val="00E937C0"/>
    <w:rsid w:val="00E937C6"/>
    <w:rsid w:val="00E937E3"/>
    <w:rsid w:val="00E937F5"/>
    <w:rsid w:val="00E93822"/>
    <w:rsid w:val="00E93832"/>
    <w:rsid w:val="00E9385A"/>
    <w:rsid w:val="00E93871"/>
    <w:rsid w:val="00E93897"/>
    <w:rsid w:val="00E938B2"/>
    <w:rsid w:val="00E938C4"/>
    <w:rsid w:val="00E938D3"/>
    <w:rsid w:val="00E938F6"/>
    <w:rsid w:val="00E9390E"/>
    <w:rsid w:val="00E9393E"/>
    <w:rsid w:val="00E93977"/>
    <w:rsid w:val="00E93978"/>
    <w:rsid w:val="00E93993"/>
    <w:rsid w:val="00E939AD"/>
    <w:rsid w:val="00E939B2"/>
    <w:rsid w:val="00E939C0"/>
    <w:rsid w:val="00E93A19"/>
    <w:rsid w:val="00E93A30"/>
    <w:rsid w:val="00E93A9F"/>
    <w:rsid w:val="00E93B0C"/>
    <w:rsid w:val="00E93B67"/>
    <w:rsid w:val="00E93BD7"/>
    <w:rsid w:val="00E93BEA"/>
    <w:rsid w:val="00E93BF5"/>
    <w:rsid w:val="00E93BF8"/>
    <w:rsid w:val="00E93C0E"/>
    <w:rsid w:val="00E93C29"/>
    <w:rsid w:val="00E93C3C"/>
    <w:rsid w:val="00E93C5B"/>
    <w:rsid w:val="00E93C64"/>
    <w:rsid w:val="00E93C8D"/>
    <w:rsid w:val="00E93CBF"/>
    <w:rsid w:val="00E93CCC"/>
    <w:rsid w:val="00E93D06"/>
    <w:rsid w:val="00E93D52"/>
    <w:rsid w:val="00E93D9C"/>
    <w:rsid w:val="00E93DA7"/>
    <w:rsid w:val="00E93DBA"/>
    <w:rsid w:val="00E93E28"/>
    <w:rsid w:val="00E93E48"/>
    <w:rsid w:val="00E93EAA"/>
    <w:rsid w:val="00E93EC1"/>
    <w:rsid w:val="00E93EC6"/>
    <w:rsid w:val="00E93EF7"/>
    <w:rsid w:val="00E93F01"/>
    <w:rsid w:val="00E93F1A"/>
    <w:rsid w:val="00E93F20"/>
    <w:rsid w:val="00E93F27"/>
    <w:rsid w:val="00E93F35"/>
    <w:rsid w:val="00E93F3F"/>
    <w:rsid w:val="00E93F40"/>
    <w:rsid w:val="00E93FA4"/>
    <w:rsid w:val="00E93FFB"/>
    <w:rsid w:val="00E94044"/>
    <w:rsid w:val="00E94048"/>
    <w:rsid w:val="00E94060"/>
    <w:rsid w:val="00E94064"/>
    <w:rsid w:val="00E940B4"/>
    <w:rsid w:val="00E940E3"/>
    <w:rsid w:val="00E940E8"/>
    <w:rsid w:val="00E9411B"/>
    <w:rsid w:val="00E94143"/>
    <w:rsid w:val="00E94175"/>
    <w:rsid w:val="00E94176"/>
    <w:rsid w:val="00E941EA"/>
    <w:rsid w:val="00E94201"/>
    <w:rsid w:val="00E94222"/>
    <w:rsid w:val="00E94234"/>
    <w:rsid w:val="00E94247"/>
    <w:rsid w:val="00E9425B"/>
    <w:rsid w:val="00E942A1"/>
    <w:rsid w:val="00E94303"/>
    <w:rsid w:val="00E94358"/>
    <w:rsid w:val="00E943BB"/>
    <w:rsid w:val="00E943D9"/>
    <w:rsid w:val="00E9444C"/>
    <w:rsid w:val="00E9448A"/>
    <w:rsid w:val="00E9448D"/>
    <w:rsid w:val="00E944B3"/>
    <w:rsid w:val="00E944B8"/>
    <w:rsid w:val="00E944C4"/>
    <w:rsid w:val="00E944EF"/>
    <w:rsid w:val="00E94508"/>
    <w:rsid w:val="00E9452D"/>
    <w:rsid w:val="00E94579"/>
    <w:rsid w:val="00E945A2"/>
    <w:rsid w:val="00E945BC"/>
    <w:rsid w:val="00E945C9"/>
    <w:rsid w:val="00E94602"/>
    <w:rsid w:val="00E94616"/>
    <w:rsid w:val="00E94618"/>
    <w:rsid w:val="00E94621"/>
    <w:rsid w:val="00E94651"/>
    <w:rsid w:val="00E94720"/>
    <w:rsid w:val="00E947A2"/>
    <w:rsid w:val="00E947C0"/>
    <w:rsid w:val="00E94810"/>
    <w:rsid w:val="00E9481E"/>
    <w:rsid w:val="00E9482C"/>
    <w:rsid w:val="00E94837"/>
    <w:rsid w:val="00E9483E"/>
    <w:rsid w:val="00E94844"/>
    <w:rsid w:val="00E94870"/>
    <w:rsid w:val="00E9488C"/>
    <w:rsid w:val="00E948A7"/>
    <w:rsid w:val="00E948EC"/>
    <w:rsid w:val="00E9494E"/>
    <w:rsid w:val="00E9497E"/>
    <w:rsid w:val="00E949A1"/>
    <w:rsid w:val="00E949C9"/>
    <w:rsid w:val="00E94A64"/>
    <w:rsid w:val="00E94A85"/>
    <w:rsid w:val="00E94AB9"/>
    <w:rsid w:val="00E94AF0"/>
    <w:rsid w:val="00E94AF1"/>
    <w:rsid w:val="00E94B3E"/>
    <w:rsid w:val="00E94B51"/>
    <w:rsid w:val="00E94BBA"/>
    <w:rsid w:val="00E94BD8"/>
    <w:rsid w:val="00E94C11"/>
    <w:rsid w:val="00E94CA2"/>
    <w:rsid w:val="00E94CB1"/>
    <w:rsid w:val="00E94CB7"/>
    <w:rsid w:val="00E94CEB"/>
    <w:rsid w:val="00E94CED"/>
    <w:rsid w:val="00E94CFA"/>
    <w:rsid w:val="00E94D06"/>
    <w:rsid w:val="00E94D2E"/>
    <w:rsid w:val="00E94DBA"/>
    <w:rsid w:val="00E94DE5"/>
    <w:rsid w:val="00E94E81"/>
    <w:rsid w:val="00E94E8B"/>
    <w:rsid w:val="00E94E9E"/>
    <w:rsid w:val="00E94EA8"/>
    <w:rsid w:val="00E94F72"/>
    <w:rsid w:val="00E94FEB"/>
    <w:rsid w:val="00E95020"/>
    <w:rsid w:val="00E9502B"/>
    <w:rsid w:val="00E95034"/>
    <w:rsid w:val="00E95065"/>
    <w:rsid w:val="00E9509D"/>
    <w:rsid w:val="00E950D5"/>
    <w:rsid w:val="00E950FB"/>
    <w:rsid w:val="00E95168"/>
    <w:rsid w:val="00E95177"/>
    <w:rsid w:val="00E9517F"/>
    <w:rsid w:val="00E9518B"/>
    <w:rsid w:val="00E951B4"/>
    <w:rsid w:val="00E951D5"/>
    <w:rsid w:val="00E951F2"/>
    <w:rsid w:val="00E9521C"/>
    <w:rsid w:val="00E95226"/>
    <w:rsid w:val="00E9526D"/>
    <w:rsid w:val="00E95287"/>
    <w:rsid w:val="00E952CD"/>
    <w:rsid w:val="00E952DE"/>
    <w:rsid w:val="00E9531F"/>
    <w:rsid w:val="00E95335"/>
    <w:rsid w:val="00E9534A"/>
    <w:rsid w:val="00E9546F"/>
    <w:rsid w:val="00E954E9"/>
    <w:rsid w:val="00E95560"/>
    <w:rsid w:val="00E9561C"/>
    <w:rsid w:val="00E95629"/>
    <w:rsid w:val="00E9564F"/>
    <w:rsid w:val="00E9565C"/>
    <w:rsid w:val="00E9566E"/>
    <w:rsid w:val="00E956D3"/>
    <w:rsid w:val="00E956D9"/>
    <w:rsid w:val="00E9571E"/>
    <w:rsid w:val="00E95750"/>
    <w:rsid w:val="00E9579B"/>
    <w:rsid w:val="00E957B2"/>
    <w:rsid w:val="00E957B3"/>
    <w:rsid w:val="00E957C5"/>
    <w:rsid w:val="00E957FB"/>
    <w:rsid w:val="00E95805"/>
    <w:rsid w:val="00E95817"/>
    <w:rsid w:val="00E9581C"/>
    <w:rsid w:val="00E95848"/>
    <w:rsid w:val="00E9584A"/>
    <w:rsid w:val="00E95858"/>
    <w:rsid w:val="00E95887"/>
    <w:rsid w:val="00E958F0"/>
    <w:rsid w:val="00E9593B"/>
    <w:rsid w:val="00E959B8"/>
    <w:rsid w:val="00E959BD"/>
    <w:rsid w:val="00E959D3"/>
    <w:rsid w:val="00E959FA"/>
    <w:rsid w:val="00E95A1F"/>
    <w:rsid w:val="00E95A52"/>
    <w:rsid w:val="00E95A65"/>
    <w:rsid w:val="00E95A7E"/>
    <w:rsid w:val="00E95AAC"/>
    <w:rsid w:val="00E95ABA"/>
    <w:rsid w:val="00E95ACE"/>
    <w:rsid w:val="00E95B17"/>
    <w:rsid w:val="00E95B42"/>
    <w:rsid w:val="00E95B91"/>
    <w:rsid w:val="00E95BA0"/>
    <w:rsid w:val="00E95BB9"/>
    <w:rsid w:val="00E95BF8"/>
    <w:rsid w:val="00E95BFE"/>
    <w:rsid w:val="00E95C58"/>
    <w:rsid w:val="00E95C62"/>
    <w:rsid w:val="00E95C72"/>
    <w:rsid w:val="00E95CBE"/>
    <w:rsid w:val="00E95CC1"/>
    <w:rsid w:val="00E95CE2"/>
    <w:rsid w:val="00E95CF1"/>
    <w:rsid w:val="00E95D3B"/>
    <w:rsid w:val="00E95D8A"/>
    <w:rsid w:val="00E95D8B"/>
    <w:rsid w:val="00E95D8C"/>
    <w:rsid w:val="00E95DA0"/>
    <w:rsid w:val="00E95DB2"/>
    <w:rsid w:val="00E95DBD"/>
    <w:rsid w:val="00E95DDF"/>
    <w:rsid w:val="00E95DF5"/>
    <w:rsid w:val="00E95E2F"/>
    <w:rsid w:val="00E95E41"/>
    <w:rsid w:val="00E95E95"/>
    <w:rsid w:val="00E95EAA"/>
    <w:rsid w:val="00E95EB0"/>
    <w:rsid w:val="00E95EB2"/>
    <w:rsid w:val="00E95F1A"/>
    <w:rsid w:val="00E95F32"/>
    <w:rsid w:val="00E95F45"/>
    <w:rsid w:val="00E95F8A"/>
    <w:rsid w:val="00E96025"/>
    <w:rsid w:val="00E9602B"/>
    <w:rsid w:val="00E9605D"/>
    <w:rsid w:val="00E9607F"/>
    <w:rsid w:val="00E960C9"/>
    <w:rsid w:val="00E960CF"/>
    <w:rsid w:val="00E960E5"/>
    <w:rsid w:val="00E960E6"/>
    <w:rsid w:val="00E960EA"/>
    <w:rsid w:val="00E96118"/>
    <w:rsid w:val="00E9614C"/>
    <w:rsid w:val="00E9617F"/>
    <w:rsid w:val="00E9619A"/>
    <w:rsid w:val="00E961AB"/>
    <w:rsid w:val="00E961C8"/>
    <w:rsid w:val="00E961CA"/>
    <w:rsid w:val="00E96211"/>
    <w:rsid w:val="00E96225"/>
    <w:rsid w:val="00E96237"/>
    <w:rsid w:val="00E96267"/>
    <w:rsid w:val="00E9627C"/>
    <w:rsid w:val="00E962A8"/>
    <w:rsid w:val="00E962FF"/>
    <w:rsid w:val="00E96311"/>
    <w:rsid w:val="00E96369"/>
    <w:rsid w:val="00E963B5"/>
    <w:rsid w:val="00E963E6"/>
    <w:rsid w:val="00E9640C"/>
    <w:rsid w:val="00E96416"/>
    <w:rsid w:val="00E9641F"/>
    <w:rsid w:val="00E96439"/>
    <w:rsid w:val="00E96468"/>
    <w:rsid w:val="00E964AF"/>
    <w:rsid w:val="00E964B1"/>
    <w:rsid w:val="00E964B5"/>
    <w:rsid w:val="00E964BB"/>
    <w:rsid w:val="00E964BD"/>
    <w:rsid w:val="00E964C3"/>
    <w:rsid w:val="00E96530"/>
    <w:rsid w:val="00E9653F"/>
    <w:rsid w:val="00E965A6"/>
    <w:rsid w:val="00E965B4"/>
    <w:rsid w:val="00E9664A"/>
    <w:rsid w:val="00E966B1"/>
    <w:rsid w:val="00E966B5"/>
    <w:rsid w:val="00E966DD"/>
    <w:rsid w:val="00E96714"/>
    <w:rsid w:val="00E9674A"/>
    <w:rsid w:val="00E9679F"/>
    <w:rsid w:val="00E96817"/>
    <w:rsid w:val="00E96873"/>
    <w:rsid w:val="00E96887"/>
    <w:rsid w:val="00E96896"/>
    <w:rsid w:val="00E968B0"/>
    <w:rsid w:val="00E968BB"/>
    <w:rsid w:val="00E96918"/>
    <w:rsid w:val="00E96982"/>
    <w:rsid w:val="00E969F2"/>
    <w:rsid w:val="00E969F5"/>
    <w:rsid w:val="00E969FB"/>
    <w:rsid w:val="00E96A10"/>
    <w:rsid w:val="00E96A15"/>
    <w:rsid w:val="00E96A3D"/>
    <w:rsid w:val="00E96A42"/>
    <w:rsid w:val="00E96A56"/>
    <w:rsid w:val="00E96A60"/>
    <w:rsid w:val="00E96A6D"/>
    <w:rsid w:val="00E96A9B"/>
    <w:rsid w:val="00E96AA2"/>
    <w:rsid w:val="00E96AD9"/>
    <w:rsid w:val="00E96AFC"/>
    <w:rsid w:val="00E96B1E"/>
    <w:rsid w:val="00E96B33"/>
    <w:rsid w:val="00E96B3D"/>
    <w:rsid w:val="00E96B4A"/>
    <w:rsid w:val="00E96B87"/>
    <w:rsid w:val="00E96BFE"/>
    <w:rsid w:val="00E96C1A"/>
    <w:rsid w:val="00E96CCC"/>
    <w:rsid w:val="00E96D65"/>
    <w:rsid w:val="00E96D9D"/>
    <w:rsid w:val="00E96DC6"/>
    <w:rsid w:val="00E96E46"/>
    <w:rsid w:val="00E96E4B"/>
    <w:rsid w:val="00E96E86"/>
    <w:rsid w:val="00E96EB0"/>
    <w:rsid w:val="00E96EEC"/>
    <w:rsid w:val="00E96F0C"/>
    <w:rsid w:val="00E96F1E"/>
    <w:rsid w:val="00E96F77"/>
    <w:rsid w:val="00E96F87"/>
    <w:rsid w:val="00E96F8A"/>
    <w:rsid w:val="00E96FCD"/>
    <w:rsid w:val="00E96FDB"/>
    <w:rsid w:val="00E96FF1"/>
    <w:rsid w:val="00E9700D"/>
    <w:rsid w:val="00E97076"/>
    <w:rsid w:val="00E970A2"/>
    <w:rsid w:val="00E970E4"/>
    <w:rsid w:val="00E9713B"/>
    <w:rsid w:val="00E97181"/>
    <w:rsid w:val="00E97188"/>
    <w:rsid w:val="00E97195"/>
    <w:rsid w:val="00E971AD"/>
    <w:rsid w:val="00E971D1"/>
    <w:rsid w:val="00E971E1"/>
    <w:rsid w:val="00E97208"/>
    <w:rsid w:val="00E97225"/>
    <w:rsid w:val="00E97253"/>
    <w:rsid w:val="00E97292"/>
    <w:rsid w:val="00E9729A"/>
    <w:rsid w:val="00E972F3"/>
    <w:rsid w:val="00E97303"/>
    <w:rsid w:val="00E97315"/>
    <w:rsid w:val="00E9733A"/>
    <w:rsid w:val="00E9733F"/>
    <w:rsid w:val="00E97375"/>
    <w:rsid w:val="00E973AB"/>
    <w:rsid w:val="00E973D0"/>
    <w:rsid w:val="00E97404"/>
    <w:rsid w:val="00E97485"/>
    <w:rsid w:val="00E9748A"/>
    <w:rsid w:val="00E974C8"/>
    <w:rsid w:val="00E974D5"/>
    <w:rsid w:val="00E974DB"/>
    <w:rsid w:val="00E97508"/>
    <w:rsid w:val="00E9752F"/>
    <w:rsid w:val="00E97544"/>
    <w:rsid w:val="00E97560"/>
    <w:rsid w:val="00E97585"/>
    <w:rsid w:val="00E97592"/>
    <w:rsid w:val="00E975D0"/>
    <w:rsid w:val="00E975E4"/>
    <w:rsid w:val="00E975F0"/>
    <w:rsid w:val="00E9760C"/>
    <w:rsid w:val="00E9761B"/>
    <w:rsid w:val="00E97636"/>
    <w:rsid w:val="00E976B0"/>
    <w:rsid w:val="00E97705"/>
    <w:rsid w:val="00E97760"/>
    <w:rsid w:val="00E9776B"/>
    <w:rsid w:val="00E9776D"/>
    <w:rsid w:val="00E97773"/>
    <w:rsid w:val="00E9780D"/>
    <w:rsid w:val="00E97833"/>
    <w:rsid w:val="00E97838"/>
    <w:rsid w:val="00E97854"/>
    <w:rsid w:val="00E97863"/>
    <w:rsid w:val="00E9786A"/>
    <w:rsid w:val="00E9787E"/>
    <w:rsid w:val="00E978B8"/>
    <w:rsid w:val="00E978DB"/>
    <w:rsid w:val="00E97911"/>
    <w:rsid w:val="00E9791F"/>
    <w:rsid w:val="00E9792E"/>
    <w:rsid w:val="00E97980"/>
    <w:rsid w:val="00E979C7"/>
    <w:rsid w:val="00E979DB"/>
    <w:rsid w:val="00E97A78"/>
    <w:rsid w:val="00E97A95"/>
    <w:rsid w:val="00E97B31"/>
    <w:rsid w:val="00E97B62"/>
    <w:rsid w:val="00E97B68"/>
    <w:rsid w:val="00E97B82"/>
    <w:rsid w:val="00E97BB9"/>
    <w:rsid w:val="00E97C27"/>
    <w:rsid w:val="00E97C37"/>
    <w:rsid w:val="00E97C40"/>
    <w:rsid w:val="00E97C47"/>
    <w:rsid w:val="00E97C5B"/>
    <w:rsid w:val="00E97C91"/>
    <w:rsid w:val="00E97C94"/>
    <w:rsid w:val="00E97D7D"/>
    <w:rsid w:val="00E97D9C"/>
    <w:rsid w:val="00E97DC8"/>
    <w:rsid w:val="00E97DCD"/>
    <w:rsid w:val="00E97DCF"/>
    <w:rsid w:val="00E97E1F"/>
    <w:rsid w:val="00E97E3B"/>
    <w:rsid w:val="00E97E3D"/>
    <w:rsid w:val="00E97E4B"/>
    <w:rsid w:val="00E97E82"/>
    <w:rsid w:val="00E97E9E"/>
    <w:rsid w:val="00E97EB3"/>
    <w:rsid w:val="00E97EC4"/>
    <w:rsid w:val="00E97F27"/>
    <w:rsid w:val="00E97F2F"/>
    <w:rsid w:val="00E97F7E"/>
    <w:rsid w:val="00E97F84"/>
    <w:rsid w:val="00E97FE1"/>
    <w:rsid w:val="00EA004D"/>
    <w:rsid w:val="00EA0094"/>
    <w:rsid w:val="00EA00B3"/>
    <w:rsid w:val="00EA010E"/>
    <w:rsid w:val="00EA0153"/>
    <w:rsid w:val="00EA017C"/>
    <w:rsid w:val="00EA01C2"/>
    <w:rsid w:val="00EA01CB"/>
    <w:rsid w:val="00EA0251"/>
    <w:rsid w:val="00EA026E"/>
    <w:rsid w:val="00EA02C9"/>
    <w:rsid w:val="00EA02D5"/>
    <w:rsid w:val="00EA0326"/>
    <w:rsid w:val="00EA033F"/>
    <w:rsid w:val="00EA0342"/>
    <w:rsid w:val="00EA0347"/>
    <w:rsid w:val="00EA0371"/>
    <w:rsid w:val="00EA037D"/>
    <w:rsid w:val="00EA0465"/>
    <w:rsid w:val="00EA0481"/>
    <w:rsid w:val="00EA0491"/>
    <w:rsid w:val="00EA04A1"/>
    <w:rsid w:val="00EA04C8"/>
    <w:rsid w:val="00EA0514"/>
    <w:rsid w:val="00EA0521"/>
    <w:rsid w:val="00EA055E"/>
    <w:rsid w:val="00EA0565"/>
    <w:rsid w:val="00EA05DE"/>
    <w:rsid w:val="00EA067E"/>
    <w:rsid w:val="00EA0692"/>
    <w:rsid w:val="00EA06A5"/>
    <w:rsid w:val="00EA06A6"/>
    <w:rsid w:val="00EA06B1"/>
    <w:rsid w:val="00EA0708"/>
    <w:rsid w:val="00EA0710"/>
    <w:rsid w:val="00EA0739"/>
    <w:rsid w:val="00EA075F"/>
    <w:rsid w:val="00EA07B5"/>
    <w:rsid w:val="00EA07B7"/>
    <w:rsid w:val="00EA07E3"/>
    <w:rsid w:val="00EA07E5"/>
    <w:rsid w:val="00EA07EE"/>
    <w:rsid w:val="00EA081B"/>
    <w:rsid w:val="00EA0859"/>
    <w:rsid w:val="00EA0867"/>
    <w:rsid w:val="00EA08C5"/>
    <w:rsid w:val="00EA08CA"/>
    <w:rsid w:val="00EA090A"/>
    <w:rsid w:val="00EA0918"/>
    <w:rsid w:val="00EA0956"/>
    <w:rsid w:val="00EA0968"/>
    <w:rsid w:val="00EA09BD"/>
    <w:rsid w:val="00EA09C1"/>
    <w:rsid w:val="00EA09D3"/>
    <w:rsid w:val="00EA09F7"/>
    <w:rsid w:val="00EA0A95"/>
    <w:rsid w:val="00EA0B06"/>
    <w:rsid w:val="00EA0B25"/>
    <w:rsid w:val="00EA0B34"/>
    <w:rsid w:val="00EA0B6A"/>
    <w:rsid w:val="00EA0BA8"/>
    <w:rsid w:val="00EA0BB6"/>
    <w:rsid w:val="00EA0BC6"/>
    <w:rsid w:val="00EA0BC9"/>
    <w:rsid w:val="00EA0BCF"/>
    <w:rsid w:val="00EA0BFD"/>
    <w:rsid w:val="00EA0C02"/>
    <w:rsid w:val="00EA0C5B"/>
    <w:rsid w:val="00EA0CB8"/>
    <w:rsid w:val="00EA0CC5"/>
    <w:rsid w:val="00EA0CCB"/>
    <w:rsid w:val="00EA0CF5"/>
    <w:rsid w:val="00EA0CF9"/>
    <w:rsid w:val="00EA0D0A"/>
    <w:rsid w:val="00EA0D19"/>
    <w:rsid w:val="00EA0D1B"/>
    <w:rsid w:val="00EA0D84"/>
    <w:rsid w:val="00EA0D8D"/>
    <w:rsid w:val="00EA0DB0"/>
    <w:rsid w:val="00EA0DDD"/>
    <w:rsid w:val="00EA0DF2"/>
    <w:rsid w:val="00EA0E22"/>
    <w:rsid w:val="00EA0E61"/>
    <w:rsid w:val="00EA0E88"/>
    <w:rsid w:val="00EA0E8A"/>
    <w:rsid w:val="00EA0E9A"/>
    <w:rsid w:val="00EA0E9F"/>
    <w:rsid w:val="00EA0EE3"/>
    <w:rsid w:val="00EA0F2D"/>
    <w:rsid w:val="00EA0F56"/>
    <w:rsid w:val="00EA0F6A"/>
    <w:rsid w:val="00EA0F6D"/>
    <w:rsid w:val="00EA0FBF"/>
    <w:rsid w:val="00EA1013"/>
    <w:rsid w:val="00EA1030"/>
    <w:rsid w:val="00EA1039"/>
    <w:rsid w:val="00EA1064"/>
    <w:rsid w:val="00EA106D"/>
    <w:rsid w:val="00EA1099"/>
    <w:rsid w:val="00EA10B7"/>
    <w:rsid w:val="00EA10C1"/>
    <w:rsid w:val="00EA10CC"/>
    <w:rsid w:val="00EA10E9"/>
    <w:rsid w:val="00EA1153"/>
    <w:rsid w:val="00EA1172"/>
    <w:rsid w:val="00EA11B1"/>
    <w:rsid w:val="00EA11CB"/>
    <w:rsid w:val="00EA1256"/>
    <w:rsid w:val="00EA1265"/>
    <w:rsid w:val="00EA12B3"/>
    <w:rsid w:val="00EA12DE"/>
    <w:rsid w:val="00EA138E"/>
    <w:rsid w:val="00EA138F"/>
    <w:rsid w:val="00EA1392"/>
    <w:rsid w:val="00EA13A5"/>
    <w:rsid w:val="00EA13B6"/>
    <w:rsid w:val="00EA13F4"/>
    <w:rsid w:val="00EA13FB"/>
    <w:rsid w:val="00EA1405"/>
    <w:rsid w:val="00EA141A"/>
    <w:rsid w:val="00EA143F"/>
    <w:rsid w:val="00EA14B2"/>
    <w:rsid w:val="00EA14BF"/>
    <w:rsid w:val="00EA14DF"/>
    <w:rsid w:val="00EA14E4"/>
    <w:rsid w:val="00EA14E7"/>
    <w:rsid w:val="00EA152B"/>
    <w:rsid w:val="00EA156D"/>
    <w:rsid w:val="00EA15CD"/>
    <w:rsid w:val="00EA15F0"/>
    <w:rsid w:val="00EA163A"/>
    <w:rsid w:val="00EA166E"/>
    <w:rsid w:val="00EA1677"/>
    <w:rsid w:val="00EA16CB"/>
    <w:rsid w:val="00EA16D6"/>
    <w:rsid w:val="00EA16F1"/>
    <w:rsid w:val="00EA1711"/>
    <w:rsid w:val="00EA172A"/>
    <w:rsid w:val="00EA172F"/>
    <w:rsid w:val="00EA1737"/>
    <w:rsid w:val="00EA173E"/>
    <w:rsid w:val="00EA1762"/>
    <w:rsid w:val="00EA1765"/>
    <w:rsid w:val="00EA17A4"/>
    <w:rsid w:val="00EA17A5"/>
    <w:rsid w:val="00EA17D2"/>
    <w:rsid w:val="00EA180A"/>
    <w:rsid w:val="00EA180D"/>
    <w:rsid w:val="00EA1820"/>
    <w:rsid w:val="00EA1821"/>
    <w:rsid w:val="00EA182D"/>
    <w:rsid w:val="00EA18AA"/>
    <w:rsid w:val="00EA18AB"/>
    <w:rsid w:val="00EA18B8"/>
    <w:rsid w:val="00EA18FC"/>
    <w:rsid w:val="00EA191F"/>
    <w:rsid w:val="00EA1954"/>
    <w:rsid w:val="00EA195A"/>
    <w:rsid w:val="00EA196D"/>
    <w:rsid w:val="00EA1A5A"/>
    <w:rsid w:val="00EA1A67"/>
    <w:rsid w:val="00EA1A94"/>
    <w:rsid w:val="00EA1AB4"/>
    <w:rsid w:val="00EA1AD9"/>
    <w:rsid w:val="00EA1B28"/>
    <w:rsid w:val="00EA1B6A"/>
    <w:rsid w:val="00EA1BF4"/>
    <w:rsid w:val="00EA1C1F"/>
    <w:rsid w:val="00EA1C83"/>
    <w:rsid w:val="00EA1C91"/>
    <w:rsid w:val="00EA1C93"/>
    <w:rsid w:val="00EA1CA0"/>
    <w:rsid w:val="00EA1CAC"/>
    <w:rsid w:val="00EA1D27"/>
    <w:rsid w:val="00EA1D88"/>
    <w:rsid w:val="00EA1D9A"/>
    <w:rsid w:val="00EA1DB4"/>
    <w:rsid w:val="00EA1DDE"/>
    <w:rsid w:val="00EA1E12"/>
    <w:rsid w:val="00EA1E61"/>
    <w:rsid w:val="00EA1EB9"/>
    <w:rsid w:val="00EA1EC7"/>
    <w:rsid w:val="00EA1ED2"/>
    <w:rsid w:val="00EA1EDB"/>
    <w:rsid w:val="00EA1EEA"/>
    <w:rsid w:val="00EA1EF5"/>
    <w:rsid w:val="00EA1F03"/>
    <w:rsid w:val="00EA1F29"/>
    <w:rsid w:val="00EA1F5B"/>
    <w:rsid w:val="00EA1F61"/>
    <w:rsid w:val="00EA1F98"/>
    <w:rsid w:val="00EA1FBE"/>
    <w:rsid w:val="00EA2081"/>
    <w:rsid w:val="00EA2099"/>
    <w:rsid w:val="00EA20CE"/>
    <w:rsid w:val="00EA20CF"/>
    <w:rsid w:val="00EA20D0"/>
    <w:rsid w:val="00EA2114"/>
    <w:rsid w:val="00EA2118"/>
    <w:rsid w:val="00EA217D"/>
    <w:rsid w:val="00EA21DB"/>
    <w:rsid w:val="00EA223F"/>
    <w:rsid w:val="00EA2270"/>
    <w:rsid w:val="00EA2272"/>
    <w:rsid w:val="00EA2297"/>
    <w:rsid w:val="00EA2300"/>
    <w:rsid w:val="00EA238B"/>
    <w:rsid w:val="00EA2392"/>
    <w:rsid w:val="00EA23B8"/>
    <w:rsid w:val="00EA23CC"/>
    <w:rsid w:val="00EA23F3"/>
    <w:rsid w:val="00EA23FB"/>
    <w:rsid w:val="00EA2400"/>
    <w:rsid w:val="00EA2433"/>
    <w:rsid w:val="00EA2491"/>
    <w:rsid w:val="00EA24A6"/>
    <w:rsid w:val="00EA2538"/>
    <w:rsid w:val="00EA254A"/>
    <w:rsid w:val="00EA2551"/>
    <w:rsid w:val="00EA2566"/>
    <w:rsid w:val="00EA25E9"/>
    <w:rsid w:val="00EA25EC"/>
    <w:rsid w:val="00EA25FD"/>
    <w:rsid w:val="00EA2637"/>
    <w:rsid w:val="00EA266D"/>
    <w:rsid w:val="00EA26BB"/>
    <w:rsid w:val="00EA26BC"/>
    <w:rsid w:val="00EA26CD"/>
    <w:rsid w:val="00EA26DF"/>
    <w:rsid w:val="00EA270A"/>
    <w:rsid w:val="00EA2731"/>
    <w:rsid w:val="00EA2748"/>
    <w:rsid w:val="00EA2768"/>
    <w:rsid w:val="00EA278A"/>
    <w:rsid w:val="00EA280E"/>
    <w:rsid w:val="00EA2837"/>
    <w:rsid w:val="00EA28B3"/>
    <w:rsid w:val="00EA2983"/>
    <w:rsid w:val="00EA29C0"/>
    <w:rsid w:val="00EA2A3E"/>
    <w:rsid w:val="00EA2A4E"/>
    <w:rsid w:val="00EA2A6D"/>
    <w:rsid w:val="00EA2A94"/>
    <w:rsid w:val="00EA2ACA"/>
    <w:rsid w:val="00EA2B33"/>
    <w:rsid w:val="00EA2B39"/>
    <w:rsid w:val="00EA2B71"/>
    <w:rsid w:val="00EA2B9F"/>
    <w:rsid w:val="00EA2BAE"/>
    <w:rsid w:val="00EA2BF0"/>
    <w:rsid w:val="00EA2C0D"/>
    <w:rsid w:val="00EA2C0E"/>
    <w:rsid w:val="00EA2C22"/>
    <w:rsid w:val="00EA2C44"/>
    <w:rsid w:val="00EA2C6A"/>
    <w:rsid w:val="00EA2CB4"/>
    <w:rsid w:val="00EA2D12"/>
    <w:rsid w:val="00EA2D93"/>
    <w:rsid w:val="00EA2DC0"/>
    <w:rsid w:val="00EA2DC4"/>
    <w:rsid w:val="00EA2DE3"/>
    <w:rsid w:val="00EA2E16"/>
    <w:rsid w:val="00EA2E25"/>
    <w:rsid w:val="00EA2E99"/>
    <w:rsid w:val="00EA2F09"/>
    <w:rsid w:val="00EA2F26"/>
    <w:rsid w:val="00EA2F36"/>
    <w:rsid w:val="00EA2F38"/>
    <w:rsid w:val="00EA2FC4"/>
    <w:rsid w:val="00EA2FDF"/>
    <w:rsid w:val="00EA309E"/>
    <w:rsid w:val="00EA30C8"/>
    <w:rsid w:val="00EA30E5"/>
    <w:rsid w:val="00EA311A"/>
    <w:rsid w:val="00EA3138"/>
    <w:rsid w:val="00EA313C"/>
    <w:rsid w:val="00EA3144"/>
    <w:rsid w:val="00EA314C"/>
    <w:rsid w:val="00EA316A"/>
    <w:rsid w:val="00EA319B"/>
    <w:rsid w:val="00EA31AA"/>
    <w:rsid w:val="00EA31CF"/>
    <w:rsid w:val="00EA31E7"/>
    <w:rsid w:val="00EA3220"/>
    <w:rsid w:val="00EA3242"/>
    <w:rsid w:val="00EA3262"/>
    <w:rsid w:val="00EA327A"/>
    <w:rsid w:val="00EA32E8"/>
    <w:rsid w:val="00EA3301"/>
    <w:rsid w:val="00EA3303"/>
    <w:rsid w:val="00EA331D"/>
    <w:rsid w:val="00EA3365"/>
    <w:rsid w:val="00EA3428"/>
    <w:rsid w:val="00EA343A"/>
    <w:rsid w:val="00EA3454"/>
    <w:rsid w:val="00EA348D"/>
    <w:rsid w:val="00EA34BB"/>
    <w:rsid w:val="00EA3530"/>
    <w:rsid w:val="00EA3551"/>
    <w:rsid w:val="00EA355A"/>
    <w:rsid w:val="00EA3567"/>
    <w:rsid w:val="00EA35B9"/>
    <w:rsid w:val="00EA3649"/>
    <w:rsid w:val="00EA3678"/>
    <w:rsid w:val="00EA367A"/>
    <w:rsid w:val="00EA3699"/>
    <w:rsid w:val="00EA36F7"/>
    <w:rsid w:val="00EA372F"/>
    <w:rsid w:val="00EA3765"/>
    <w:rsid w:val="00EA3787"/>
    <w:rsid w:val="00EA37B8"/>
    <w:rsid w:val="00EA37CF"/>
    <w:rsid w:val="00EA3817"/>
    <w:rsid w:val="00EA3843"/>
    <w:rsid w:val="00EA38A1"/>
    <w:rsid w:val="00EA38DE"/>
    <w:rsid w:val="00EA391C"/>
    <w:rsid w:val="00EA394B"/>
    <w:rsid w:val="00EA3970"/>
    <w:rsid w:val="00EA3A05"/>
    <w:rsid w:val="00EA3A68"/>
    <w:rsid w:val="00EA3A7E"/>
    <w:rsid w:val="00EA3AA6"/>
    <w:rsid w:val="00EA3AD7"/>
    <w:rsid w:val="00EA3AE5"/>
    <w:rsid w:val="00EA3B3B"/>
    <w:rsid w:val="00EA3B72"/>
    <w:rsid w:val="00EA3BA3"/>
    <w:rsid w:val="00EA3BD0"/>
    <w:rsid w:val="00EA3C3D"/>
    <w:rsid w:val="00EA3C51"/>
    <w:rsid w:val="00EA3C68"/>
    <w:rsid w:val="00EA3C76"/>
    <w:rsid w:val="00EA3C79"/>
    <w:rsid w:val="00EA3C7C"/>
    <w:rsid w:val="00EA3C82"/>
    <w:rsid w:val="00EA3CB0"/>
    <w:rsid w:val="00EA3CBF"/>
    <w:rsid w:val="00EA3CCB"/>
    <w:rsid w:val="00EA3D5D"/>
    <w:rsid w:val="00EA3DA2"/>
    <w:rsid w:val="00EA3DC4"/>
    <w:rsid w:val="00EA3DD6"/>
    <w:rsid w:val="00EA3DFC"/>
    <w:rsid w:val="00EA3E90"/>
    <w:rsid w:val="00EA3EC8"/>
    <w:rsid w:val="00EA3F08"/>
    <w:rsid w:val="00EA3F4C"/>
    <w:rsid w:val="00EA3F4F"/>
    <w:rsid w:val="00EA3F7C"/>
    <w:rsid w:val="00EA3F8C"/>
    <w:rsid w:val="00EA3F95"/>
    <w:rsid w:val="00EA3FF4"/>
    <w:rsid w:val="00EA4045"/>
    <w:rsid w:val="00EA4079"/>
    <w:rsid w:val="00EA40AC"/>
    <w:rsid w:val="00EA40F1"/>
    <w:rsid w:val="00EA4112"/>
    <w:rsid w:val="00EA4128"/>
    <w:rsid w:val="00EA414A"/>
    <w:rsid w:val="00EA414B"/>
    <w:rsid w:val="00EA41CB"/>
    <w:rsid w:val="00EA41CE"/>
    <w:rsid w:val="00EA4239"/>
    <w:rsid w:val="00EA423C"/>
    <w:rsid w:val="00EA4276"/>
    <w:rsid w:val="00EA429E"/>
    <w:rsid w:val="00EA42B7"/>
    <w:rsid w:val="00EA42C8"/>
    <w:rsid w:val="00EA42CF"/>
    <w:rsid w:val="00EA42DE"/>
    <w:rsid w:val="00EA42E3"/>
    <w:rsid w:val="00EA42E5"/>
    <w:rsid w:val="00EA42FE"/>
    <w:rsid w:val="00EA430B"/>
    <w:rsid w:val="00EA4351"/>
    <w:rsid w:val="00EA439A"/>
    <w:rsid w:val="00EA441D"/>
    <w:rsid w:val="00EA447C"/>
    <w:rsid w:val="00EA44A4"/>
    <w:rsid w:val="00EA44C2"/>
    <w:rsid w:val="00EA44EB"/>
    <w:rsid w:val="00EA4508"/>
    <w:rsid w:val="00EA450C"/>
    <w:rsid w:val="00EA4552"/>
    <w:rsid w:val="00EA45E9"/>
    <w:rsid w:val="00EA45F3"/>
    <w:rsid w:val="00EA4623"/>
    <w:rsid w:val="00EA4648"/>
    <w:rsid w:val="00EA468E"/>
    <w:rsid w:val="00EA46C3"/>
    <w:rsid w:val="00EA4794"/>
    <w:rsid w:val="00EA479D"/>
    <w:rsid w:val="00EA47C7"/>
    <w:rsid w:val="00EA47F4"/>
    <w:rsid w:val="00EA47FB"/>
    <w:rsid w:val="00EA480B"/>
    <w:rsid w:val="00EA480C"/>
    <w:rsid w:val="00EA4821"/>
    <w:rsid w:val="00EA4837"/>
    <w:rsid w:val="00EA48AB"/>
    <w:rsid w:val="00EA48C9"/>
    <w:rsid w:val="00EA48D2"/>
    <w:rsid w:val="00EA48DD"/>
    <w:rsid w:val="00EA48E9"/>
    <w:rsid w:val="00EA48EF"/>
    <w:rsid w:val="00EA48F2"/>
    <w:rsid w:val="00EA48F6"/>
    <w:rsid w:val="00EA4912"/>
    <w:rsid w:val="00EA4A04"/>
    <w:rsid w:val="00EA4A2D"/>
    <w:rsid w:val="00EA4A31"/>
    <w:rsid w:val="00EA4A3F"/>
    <w:rsid w:val="00EA4A75"/>
    <w:rsid w:val="00EA4A87"/>
    <w:rsid w:val="00EA4A92"/>
    <w:rsid w:val="00EA4ABC"/>
    <w:rsid w:val="00EA4ABD"/>
    <w:rsid w:val="00EA4AC2"/>
    <w:rsid w:val="00EA4AC3"/>
    <w:rsid w:val="00EA4AF4"/>
    <w:rsid w:val="00EA4AF5"/>
    <w:rsid w:val="00EA4B09"/>
    <w:rsid w:val="00EA4B4B"/>
    <w:rsid w:val="00EA4B68"/>
    <w:rsid w:val="00EA4BA2"/>
    <w:rsid w:val="00EA4BB9"/>
    <w:rsid w:val="00EA4BD2"/>
    <w:rsid w:val="00EA4C12"/>
    <w:rsid w:val="00EA4C54"/>
    <w:rsid w:val="00EA4C65"/>
    <w:rsid w:val="00EA4C76"/>
    <w:rsid w:val="00EA4C9A"/>
    <w:rsid w:val="00EA4D06"/>
    <w:rsid w:val="00EA4D43"/>
    <w:rsid w:val="00EA4E06"/>
    <w:rsid w:val="00EA4E13"/>
    <w:rsid w:val="00EA4E15"/>
    <w:rsid w:val="00EA4E24"/>
    <w:rsid w:val="00EA4E52"/>
    <w:rsid w:val="00EA4E7F"/>
    <w:rsid w:val="00EA4E81"/>
    <w:rsid w:val="00EA4E9E"/>
    <w:rsid w:val="00EA4EA6"/>
    <w:rsid w:val="00EA4EB6"/>
    <w:rsid w:val="00EA4EEC"/>
    <w:rsid w:val="00EA4F15"/>
    <w:rsid w:val="00EA4F33"/>
    <w:rsid w:val="00EA4F64"/>
    <w:rsid w:val="00EA4F67"/>
    <w:rsid w:val="00EA4F7C"/>
    <w:rsid w:val="00EA4FA8"/>
    <w:rsid w:val="00EA5022"/>
    <w:rsid w:val="00EA503A"/>
    <w:rsid w:val="00EA5063"/>
    <w:rsid w:val="00EA5098"/>
    <w:rsid w:val="00EA50E1"/>
    <w:rsid w:val="00EA50FC"/>
    <w:rsid w:val="00EA5150"/>
    <w:rsid w:val="00EA5175"/>
    <w:rsid w:val="00EA51E8"/>
    <w:rsid w:val="00EA51ED"/>
    <w:rsid w:val="00EA5248"/>
    <w:rsid w:val="00EA5255"/>
    <w:rsid w:val="00EA5262"/>
    <w:rsid w:val="00EA5298"/>
    <w:rsid w:val="00EA52AF"/>
    <w:rsid w:val="00EA52BD"/>
    <w:rsid w:val="00EA52E1"/>
    <w:rsid w:val="00EA52EA"/>
    <w:rsid w:val="00EA52FC"/>
    <w:rsid w:val="00EA5313"/>
    <w:rsid w:val="00EA5357"/>
    <w:rsid w:val="00EA5374"/>
    <w:rsid w:val="00EA53B1"/>
    <w:rsid w:val="00EA53C1"/>
    <w:rsid w:val="00EA53C2"/>
    <w:rsid w:val="00EA53CB"/>
    <w:rsid w:val="00EA53E0"/>
    <w:rsid w:val="00EA53E6"/>
    <w:rsid w:val="00EA5437"/>
    <w:rsid w:val="00EA544E"/>
    <w:rsid w:val="00EA545A"/>
    <w:rsid w:val="00EA5483"/>
    <w:rsid w:val="00EA54B0"/>
    <w:rsid w:val="00EA5539"/>
    <w:rsid w:val="00EA5571"/>
    <w:rsid w:val="00EA55AF"/>
    <w:rsid w:val="00EA55E7"/>
    <w:rsid w:val="00EA55F4"/>
    <w:rsid w:val="00EA55FA"/>
    <w:rsid w:val="00EA560E"/>
    <w:rsid w:val="00EA5616"/>
    <w:rsid w:val="00EA5666"/>
    <w:rsid w:val="00EA56C8"/>
    <w:rsid w:val="00EA56D6"/>
    <w:rsid w:val="00EA5777"/>
    <w:rsid w:val="00EA57E9"/>
    <w:rsid w:val="00EA57FD"/>
    <w:rsid w:val="00EA581C"/>
    <w:rsid w:val="00EA5823"/>
    <w:rsid w:val="00EA5864"/>
    <w:rsid w:val="00EA586B"/>
    <w:rsid w:val="00EA58A8"/>
    <w:rsid w:val="00EA58AB"/>
    <w:rsid w:val="00EA58BA"/>
    <w:rsid w:val="00EA590F"/>
    <w:rsid w:val="00EA594C"/>
    <w:rsid w:val="00EA5954"/>
    <w:rsid w:val="00EA59F5"/>
    <w:rsid w:val="00EA5A04"/>
    <w:rsid w:val="00EA5A21"/>
    <w:rsid w:val="00EA5A23"/>
    <w:rsid w:val="00EA5A70"/>
    <w:rsid w:val="00EA5A99"/>
    <w:rsid w:val="00EA5AB9"/>
    <w:rsid w:val="00EA5ABB"/>
    <w:rsid w:val="00EA5ABE"/>
    <w:rsid w:val="00EA5ACE"/>
    <w:rsid w:val="00EA5AD5"/>
    <w:rsid w:val="00EA5B2F"/>
    <w:rsid w:val="00EA5B9D"/>
    <w:rsid w:val="00EA5BA2"/>
    <w:rsid w:val="00EA5BDB"/>
    <w:rsid w:val="00EA5C11"/>
    <w:rsid w:val="00EA5C26"/>
    <w:rsid w:val="00EA5C34"/>
    <w:rsid w:val="00EA5C5B"/>
    <w:rsid w:val="00EA5C66"/>
    <w:rsid w:val="00EA5CEF"/>
    <w:rsid w:val="00EA5CF4"/>
    <w:rsid w:val="00EA5CF9"/>
    <w:rsid w:val="00EA5D30"/>
    <w:rsid w:val="00EA5D46"/>
    <w:rsid w:val="00EA5D85"/>
    <w:rsid w:val="00EA5DA8"/>
    <w:rsid w:val="00EA5DAF"/>
    <w:rsid w:val="00EA5DF6"/>
    <w:rsid w:val="00EA5E16"/>
    <w:rsid w:val="00EA5E85"/>
    <w:rsid w:val="00EA5E90"/>
    <w:rsid w:val="00EA5EAE"/>
    <w:rsid w:val="00EA5EDB"/>
    <w:rsid w:val="00EA5F0C"/>
    <w:rsid w:val="00EA5FB3"/>
    <w:rsid w:val="00EA5FB7"/>
    <w:rsid w:val="00EA5FD6"/>
    <w:rsid w:val="00EA5FE6"/>
    <w:rsid w:val="00EA5FF0"/>
    <w:rsid w:val="00EA602A"/>
    <w:rsid w:val="00EA602B"/>
    <w:rsid w:val="00EA6071"/>
    <w:rsid w:val="00EA60C1"/>
    <w:rsid w:val="00EA60C9"/>
    <w:rsid w:val="00EA60CD"/>
    <w:rsid w:val="00EA60D6"/>
    <w:rsid w:val="00EA60E7"/>
    <w:rsid w:val="00EA60FF"/>
    <w:rsid w:val="00EA6121"/>
    <w:rsid w:val="00EA612C"/>
    <w:rsid w:val="00EA6132"/>
    <w:rsid w:val="00EA613D"/>
    <w:rsid w:val="00EA61BB"/>
    <w:rsid w:val="00EA61F4"/>
    <w:rsid w:val="00EA61FA"/>
    <w:rsid w:val="00EA6206"/>
    <w:rsid w:val="00EA6233"/>
    <w:rsid w:val="00EA6247"/>
    <w:rsid w:val="00EA62A1"/>
    <w:rsid w:val="00EA62B1"/>
    <w:rsid w:val="00EA6301"/>
    <w:rsid w:val="00EA6308"/>
    <w:rsid w:val="00EA636A"/>
    <w:rsid w:val="00EA6385"/>
    <w:rsid w:val="00EA63D0"/>
    <w:rsid w:val="00EA63DF"/>
    <w:rsid w:val="00EA63F2"/>
    <w:rsid w:val="00EA6439"/>
    <w:rsid w:val="00EA6449"/>
    <w:rsid w:val="00EA647C"/>
    <w:rsid w:val="00EA64E7"/>
    <w:rsid w:val="00EA65AA"/>
    <w:rsid w:val="00EA65B1"/>
    <w:rsid w:val="00EA65EF"/>
    <w:rsid w:val="00EA6621"/>
    <w:rsid w:val="00EA6629"/>
    <w:rsid w:val="00EA6648"/>
    <w:rsid w:val="00EA66AB"/>
    <w:rsid w:val="00EA670F"/>
    <w:rsid w:val="00EA6726"/>
    <w:rsid w:val="00EA6752"/>
    <w:rsid w:val="00EA6798"/>
    <w:rsid w:val="00EA67CC"/>
    <w:rsid w:val="00EA67E8"/>
    <w:rsid w:val="00EA6819"/>
    <w:rsid w:val="00EA681B"/>
    <w:rsid w:val="00EA686D"/>
    <w:rsid w:val="00EA6888"/>
    <w:rsid w:val="00EA6890"/>
    <w:rsid w:val="00EA68AF"/>
    <w:rsid w:val="00EA68C3"/>
    <w:rsid w:val="00EA68C5"/>
    <w:rsid w:val="00EA68C9"/>
    <w:rsid w:val="00EA68DA"/>
    <w:rsid w:val="00EA68F0"/>
    <w:rsid w:val="00EA68F6"/>
    <w:rsid w:val="00EA68F7"/>
    <w:rsid w:val="00EA692F"/>
    <w:rsid w:val="00EA693F"/>
    <w:rsid w:val="00EA6994"/>
    <w:rsid w:val="00EA69A9"/>
    <w:rsid w:val="00EA6A25"/>
    <w:rsid w:val="00EA6A6B"/>
    <w:rsid w:val="00EA6A92"/>
    <w:rsid w:val="00EA6A9E"/>
    <w:rsid w:val="00EA6AB0"/>
    <w:rsid w:val="00EA6AD1"/>
    <w:rsid w:val="00EA6AD5"/>
    <w:rsid w:val="00EA6AF3"/>
    <w:rsid w:val="00EA6AF5"/>
    <w:rsid w:val="00EA6B11"/>
    <w:rsid w:val="00EA6B74"/>
    <w:rsid w:val="00EA6B85"/>
    <w:rsid w:val="00EA6B9E"/>
    <w:rsid w:val="00EA6BB7"/>
    <w:rsid w:val="00EA6BB9"/>
    <w:rsid w:val="00EA6BD5"/>
    <w:rsid w:val="00EA6BDA"/>
    <w:rsid w:val="00EA6BDC"/>
    <w:rsid w:val="00EA6BE6"/>
    <w:rsid w:val="00EA6C60"/>
    <w:rsid w:val="00EA6C7C"/>
    <w:rsid w:val="00EA6C96"/>
    <w:rsid w:val="00EA6CC5"/>
    <w:rsid w:val="00EA6CDA"/>
    <w:rsid w:val="00EA6D42"/>
    <w:rsid w:val="00EA6D48"/>
    <w:rsid w:val="00EA6D4C"/>
    <w:rsid w:val="00EA6D59"/>
    <w:rsid w:val="00EA6DA6"/>
    <w:rsid w:val="00EA6DA9"/>
    <w:rsid w:val="00EA6DAF"/>
    <w:rsid w:val="00EA6E2C"/>
    <w:rsid w:val="00EA6E39"/>
    <w:rsid w:val="00EA6E7C"/>
    <w:rsid w:val="00EA6F1E"/>
    <w:rsid w:val="00EA6F27"/>
    <w:rsid w:val="00EA6F28"/>
    <w:rsid w:val="00EA6F4E"/>
    <w:rsid w:val="00EA6F8F"/>
    <w:rsid w:val="00EA6FD1"/>
    <w:rsid w:val="00EA7015"/>
    <w:rsid w:val="00EA7029"/>
    <w:rsid w:val="00EA7036"/>
    <w:rsid w:val="00EA7091"/>
    <w:rsid w:val="00EA70CA"/>
    <w:rsid w:val="00EA70FC"/>
    <w:rsid w:val="00EA7126"/>
    <w:rsid w:val="00EA715B"/>
    <w:rsid w:val="00EA717E"/>
    <w:rsid w:val="00EA717F"/>
    <w:rsid w:val="00EA719C"/>
    <w:rsid w:val="00EA71CB"/>
    <w:rsid w:val="00EA7222"/>
    <w:rsid w:val="00EA7284"/>
    <w:rsid w:val="00EA72D4"/>
    <w:rsid w:val="00EA72D5"/>
    <w:rsid w:val="00EA72E0"/>
    <w:rsid w:val="00EA72ED"/>
    <w:rsid w:val="00EA72F0"/>
    <w:rsid w:val="00EA72F1"/>
    <w:rsid w:val="00EA731A"/>
    <w:rsid w:val="00EA7367"/>
    <w:rsid w:val="00EA739C"/>
    <w:rsid w:val="00EA73B0"/>
    <w:rsid w:val="00EA73F3"/>
    <w:rsid w:val="00EA73F7"/>
    <w:rsid w:val="00EA74AD"/>
    <w:rsid w:val="00EA74B7"/>
    <w:rsid w:val="00EA74DA"/>
    <w:rsid w:val="00EA751A"/>
    <w:rsid w:val="00EA7562"/>
    <w:rsid w:val="00EA7580"/>
    <w:rsid w:val="00EA7595"/>
    <w:rsid w:val="00EA75B0"/>
    <w:rsid w:val="00EA75D9"/>
    <w:rsid w:val="00EA75E1"/>
    <w:rsid w:val="00EA75F5"/>
    <w:rsid w:val="00EA75FE"/>
    <w:rsid w:val="00EA7630"/>
    <w:rsid w:val="00EA7667"/>
    <w:rsid w:val="00EA7677"/>
    <w:rsid w:val="00EA768B"/>
    <w:rsid w:val="00EA76B8"/>
    <w:rsid w:val="00EA76C7"/>
    <w:rsid w:val="00EA76EE"/>
    <w:rsid w:val="00EA76FC"/>
    <w:rsid w:val="00EA7732"/>
    <w:rsid w:val="00EA7746"/>
    <w:rsid w:val="00EA7766"/>
    <w:rsid w:val="00EA7774"/>
    <w:rsid w:val="00EA7791"/>
    <w:rsid w:val="00EA77DB"/>
    <w:rsid w:val="00EA77F2"/>
    <w:rsid w:val="00EA7807"/>
    <w:rsid w:val="00EA7882"/>
    <w:rsid w:val="00EA78BC"/>
    <w:rsid w:val="00EA78C5"/>
    <w:rsid w:val="00EA7915"/>
    <w:rsid w:val="00EA7932"/>
    <w:rsid w:val="00EA7937"/>
    <w:rsid w:val="00EA79E2"/>
    <w:rsid w:val="00EA79F6"/>
    <w:rsid w:val="00EA7A1B"/>
    <w:rsid w:val="00EA7A1D"/>
    <w:rsid w:val="00EA7A3A"/>
    <w:rsid w:val="00EA7A6A"/>
    <w:rsid w:val="00EA7AB6"/>
    <w:rsid w:val="00EA7B01"/>
    <w:rsid w:val="00EA7B99"/>
    <w:rsid w:val="00EA7BA6"/>
    <w:rsid w:val="00EA7BEB"/>
    <w:rsid w:val="00EA7C1E"/>
    <w:rsid w:val="00EA7C2A"/>
    <w:rsid w:val="00EA7C89"/>
    <w:rsid w:val="00EA7CB9"/>
    <w:rsid w:val="00EA7CC1"/>
    <w:rsid w:val="00EA7CC4"/>
    <w:rsid w:val="00EA7D78"/>
    <w:rsid w:val="00EA7DD3"/>
    <w:rsid w:val="00EA7DE1"/>
    <w:rsid w:val="00EA7E5E"/>
    <w:rsid w:val="00EA7EB3"/>
    <w:rsid w:val="00EA7EB8"/>
    <w:rsid w:val="00EA7EDE"/>
    <w:rsid w:val="00EA7EF6"/>
    <w:rsid w:val="00EA7F1E"/>
    <w:rsid w:val="00EA7F28"/>
    <w:rsid w:val="00EA7FB7"/>
    <w:rsid w:val="00EAF32D"/>
    <w:rsid w:val="00EB0073"/>
    <w:rsid w:val="00EB0076"/>
    <w:rsid w:val="00EB00A1"/>
    <w:rsid w:val="00EB00DF"/>
    <w:rsid w:val="00EB0130"/>
    <w:rsid w:val="00EB01B5"/>
    <w:rsid w:val="00EB01BA"/>
    <w:rsid w:val="00EB01CB"/>
    <w:rsid w:val="00EB021B"/>
    <w:rsid w:val="00EB028C"/>
    <w:rsid w:val="00EB02D8"/>
    <w:rsid w:val="00EB0322"/>
    <w:rsid w:val="00EB034E"/>
    <w:rsid w:val="00EB03C8"/>
    <w:rsid w:val="00EB0413"/>
    <w:rsid w:val="00EB0418"/>
    <w:rsid w:val="00EB0422"/>
    <w:rsid w:val="00EB0423"/>
    <w:rsid w:val="00EB0428"/>
    <w:rsid w:val="00EB046B"/>
    <w:rsid w:val="00EB04B1"/>
    <w:rsid w:val="00EB04C3"/>
    <w:rsid w:val="00EB04FB"/>
    <w:rsid w:val="00EB0534"/>
    <w:rsid w:val="00EB0558"/>
    <w:rsid w:val="00EB0564"/>
    <w:rsid w:val="00EB057E"/>
    <w:rsid w:val="00EB057F"/>
    <w:rsid w:val="00EB05B6"/>
    <w:rsid w:val="00EB05CD"/>
    <w:rsid w:val="00EB0661"/>
    <w:rsid w:val="00EB067F"/>
    <w:rsid w:val="00EB0696"/>
    <w:rsid w:val="00EB069D"/>
    <w:rsid w:val="00EB06D5"/>
    <w:rsid w:val="00EB0712"/>
    <w:rsid w:val="00EB0722"/>
    <w:rsid w:val="00EB073E"/>
    <w:rsid w:val="00EB077B"/>
    <w:rsid w:val="00EB07DA"/>
    <w:rsid w:val="00EB080C"/>
    <w:rsid w:val="00EB0817"/>
    <w:rsid w:val="00EB0853"/>
    <w:rsid w:val="00EB087F"/>
    <w:rsid w:val="00EB08AD"/>
    <w:rsid w:val="00EB08BB"/>
    <w:rsid w:val="00EB08D0"/>
    <w:rsid w:val="00EB0939"/>
    <w:rsid w:val="00EB095F"/>
    <w:rsid w:val="00EB09B6"/>
    <w:rsid w:val="00EB09DB"/>
    <w:rsid w:val="00EB0A1C"/>
    <w:rsid w:val="00EB0A49"/>
    <w:rsid w:val="00EB0A54"/>
    <w:rsid w:val="00EB0A70"/>
    <w:rsid w:val="00EB0A75"/>
    <w:rsid w:val="00EB0A8F"/>
    <w:rsid w:val="00EB0A91"/>
    <w:rsid w:val="00EB0A9F"/>
    <w:rsid w:val="00EB0B10"/>
    <w:rsid w:val="00EB0B2C"/>
    <w:rsid w:val="00EB0B32"/>
    <w:rsid w:val="00EB0B40"/>
    <w:rsid w:val="00EB0B41"/>
    <w:rsid w:val="00EB0BA4"/>
    <w:rsid w:val="00EB0BE0"/>
    <w:rsid w:val="00EB0C69"/>
    <w:rsid w:val="00EB0C7C"/>
    <w:rsid w:val="00EB0CB6"/>
    <w:rsid w:val="00EB0CD5"/>
    <w:rsid w:val="00EB0CE7"/>
    <w:rsid w:val="00EB0CF1"/>
    <w:rsid w:val="00EB0CFB"/>
    <w:rsid w:val="00EB0D11"/>
    <w:rsid w:val="00EB0D1C"/>
    <w:rsid w:val="00EB0D2D"/>
    <w:rsid w:val="00EB0D52"/>
    <w:rsid w:val="00EB0D69"/>
    <w:rsid w:val="00EB0D6E"/>
    <w:rsid w:val="00EB0D89"/>
    <w:rsid w:val="00EB0DA1"/>
    <w:rsid w:val="00EB0DAD"/>
    <w:rsid w:val="00EB0DB2"/>
    <w:rsid w:val="00EB0DB9"/>
    <w:rsid w:val="00EB0DBF"/>
    <w:rsid w:val="00EB0E09"/>
    <w:rsid w:val="00EB0E5C"/>
    <w:rsid w:val="00EB0E75"/>
    <w:rsid w:val="00EB0EB4"/>
    <w:rsid w:val="00EB0EC4"/>
    <w:rsid w:val="00EB0ED6"/>
    <w:rsid w:val="00EB0EE1"/>
    <w:rsid w:val="00EB0EFB"/>
    <w:rsid w:val="00EB0F0C"/>
    <w:rsid w:val="00EB0F24"/>
    <w:rsid w:val="00EB0F59"/>
    <w:rsid w:val="00EB0F6D"/>
    <w:rsid w:val="00EB0F75"/>
    <w:rsid w:val="00EB0F9A"/>
    <w:rsid w:val="00EB0FA0"/>
    <w:rsid w:val="00EB0FA4"/>
    <w:rsid w:val="00EB0FB7"/>
    <w:rsid w:val="00EB0FC4"/>
    <w:rsid w:val="00EB0FED"/>
    <w:rsid w:val="00EB1056"/>
    <w:rsid w:val="00EB1085"/>
    <w:rsid w:val="00EB1092"/>
    <w:rsid w:val="00EB1093"/>
    <w:rsid w:val="00EB10CC"/>
    <w:rsid w:val="00EB10DA"/>
    <w:rsid w:val="00EB10DD"/>
    <w:rsid w:val="00EB1102"/>
    <w:rsid w:val="00EB110E"/>
    <w:rsid w:val="00EB1150"/>
    <w:rsid w:val="00EB1187"/>
    <w:rsid w:val="00EB120F"/>
    <w:rsid w:val="00EB1231"/>
    <w:rsid w:val="00EB123F"/>
    <w:rsid w:val="00EB1263"/>
    <w:rsid w:val="00EB12E7"/>
    <w:rsid w:val="00EB131B"/>
    <w:rsid w:val="00EB132E"/>
    <w:rsid w:val="00EB133A"/>
    <w:rsid w:val="00EB1341"/>
    <w:rsid w:val="00EB13A6"/>
    <w:rsid w:val="00EB13D7"/>
    <w:rsid w:val="00EB13E0"/>
    <w:rsid w:val="00EB13EC"/>
    <w:rsid w:val="00EB144C"/>
    <w:rsid w:val="00EB1483"/>
    <w:rsid w:val="00EB14B5"/>
    <w:rsid w:val="00EB1502"/>
    <w:rsid w:val="00EB1547"/>
    <w:rsid w:val="00EB1565"/>
    <w:rsid w:val="00EB1599"/>
    <w:rsid w:val="00EB15AD"/>
    <w:rsid w:val="00EB1640"/>
    <w:rsid w:val="00EB1671"/>
    <w:rsid w:val="00EB168C"/>
    <w:rsid w:val="00EB16BA"/>
    <w:rsid w:val="00EB16E1"/>
    <w:rsid w:val="00EB16EC"/>
    <w:rsid w:val="00EB1714"/>
    <w:rsid w:val="00EB1726"/>
    <w:rsid w:val="00EB1727"/>
    <w:rsid w:val="00EB174B"/>
    <w:rsid w:val="00EB17CD"/>
    <w:rsid w:val="00EB17E2"/>
    <w:rsid w:val="00EB17FA"/>
    <w:rsid w:val="00EB1814"/>
    <w:rsid w:val="00EB1841"/>
    <w:rsid w:val="00EB1866"/>
    <w:rsid w:val="00EB18A4"/>
    <w:rsid w:val="00EB18B1"/>
    <w:rsid w:val="00EB18BF"/>
    <w:rsid w:val="00EB198B"/>
    <w:rsid w:val="00EB1990"/>
    <w:rsid w:val="00EB19BC"/>
    <w:rsid w:val="00EB1A14"/>
    <w:rsid w:val="00EB1A18"/>
    <w:rsid w:val="00EB1A26"/>
    <w:rsid w:val="00EB1A36"/>
    <w:rsid w:val="00EB1AD1"/>
    <w:rsid w:val="00EB1B73"/>
    <w:rsid w:val="00EB1B7F"/>
    <w:rsid w:val="00EB1BAE"/>
    <w:rsid w:val="00EB1BE5"/>
    <w:rsid w:val="00EB1C15"/>
    <w:rsid w:val="00EB1C1A"/>
    <w:rsid w:val="00EB1C58"/>
    <w:rsid w:val="00EB1C5C"/>
    <w:rsid w:val="00EB1C60"/>
    <w:rsid w:val="00EB1CA1"/>
    <w:rsid w:val="00EB1CBE"/>
    <w:rsid w:val="00EB1CED"/>
    <w:rsid w:val="00EB1D36"/>
    <w:rsid w:val="00EB1D41"/>
    <w:rsid w:val="00EB1DBE"/>
    <w:rsid w:val="00EB1DEC"/>
    <w:rsid w:val="00EB1E7B"/>
    <w:rsid w:val="00EB1E91"/>
    <w:rsid w:val="00EB1EA9"/>
    <w:rsid w:val="00EB1F21"/>
    <w:rsid w:val="00EB1F34"/>
    <w:rsid w:val="00EB1F48"/>
    <w:rsid w:val="00EB1F89"/>
    <w:rsid w:val="00EB207B"/>
    <w:rsid w:val="00EB208D"/>
    <w:rsid w:val="00EB20AD"/>
    <w:rsid w:val="00EB20BF"/>
    <w:rsid w:val="00EB20D9"/>
    <w:rsid w:val="00EB20DF"/>
    <w:rsid w:val="00EB20F1"/>
    <w:rsid w:val="00EB210F"/>
    <w:rsid w:val="00EB2205"/>
    <w:rsid w:val="00EB220C"/>
    <w:rsid w:val="00EB222B"/>
    <w:rsid w:val="00EB2253"/>
    <w:rsid w:val="00EB2267"/>
    <w:rsid w:val="00EB227C"/>
    <w:rsid w:val="00EB2281"/>
    <w:rsid w:val="00EB22EE"/>
    <w:rsid w:val="00EB22FF"/>
    <w:rsid w:val="00EB230C"/>
    <w:rsid w:val="00EB2353"/>
    <w:rsid w:val="00EB235A"/>
    <w:rsid w:val="00EB2360"/>
    <w:rsid w:val="00EB2380"/>
    <w:rsid w:val="00EB2396"/>
    <w:rsid w:val="00EB23BA"/>
    <w:rsid w:val="00EB23D5"/>
    <w:rsid w:val="00EB243C"/>
    <w:rsid w:val="00EB245B"/>
    <w:rsid w:val="00EB249C"/>
    <w:rsid w:val="00EB24D5"/>
    <w:rsid w:val="00EB24E9"/>
    <w:rsid w:val="00EB24ED"/>
    <w:rsid w:val="00EB24F5"/>
    <w:rsid w:val="00EB250E"/>
    <w:rsid w:val="00EB251C"/>
    <w:rsid w:val="00EB2539"/>
    <w:rsid w:val="00EB254E"/>
    <w:rsid w:val="00EB258E"/>
    <w:rsid w:val="00EB25A2"/>
    <w:rsid w:val="00EB25F3"/>
    <w:rsid w:val="00EB2622"/>
    <w:rsid w:val="00EB2643"/>
    <w:rsid w:val="00EB2655"/>
    <w:rsid w:val="00EB267D"/>
    <w:rsid w:val="00EB2683"/>
    <w:rsid w:val="00EB2752"/>
    <w:rsid w:val="00EB277F"/>
    <w:rsid w:val="00EB27B7"/>
    <w:rsid w:val="00EB27CC"/>
    <w:rsid w:val="00EB2827"/>
    <w:rsid w:val="00EB28B3"/>
    <w:rsid w:val="00EB2912"/>
    <w:rsid w:val="00EB2944"/>
    <w:rsid w:val="00EB29A0"/>
    <w:rsid w:val="00EB29D1"/>
    <w:rsid w:val="00EB2A11"/>
    <w:rsid w:val="00EB2A16"/>
    <w:rsid w:val="00EB2A31"/>
    <w:rsid w:val="00EB2A41"/>
    <w:rsid w:val="00EB2AB4"/>
    <w:rsid w:val="00EB2B32"/>
    <w:rsid w:val="00EB2B4F"/>
    <w:rsid w:val="00EB2B5E"/>
    <w:rsid w:val="00EB2B6E"/>
    <w:rsid w:val="00EB2B79"/>
    <w:rsid w:val="00EB2BC0"/>
    <w:rsid w:val="00EB2C12"/>
    <w:rsid w:val="00EB2C1C"/>
    <w:rsid w:val="00EB2C23"/>
    <w:rsid w:val="00EB2C24"/>
    <w:rsid w:val="00EB2C53"/>
    <w:rsid w:val="00EB2C62"/>
    <w:rsid w:val="00EB2CDF"/>
    <w:rsid w:val="00EB2CFA"/>
    <w:rsid w:val="00EB2D38"/>
    <w:rsid w:val="00EB2D42"/>
    <w:rsid w:val="00EB2D4E"/>
    <w:rsid w:val="00EB2D71"/>
    <w:rsid w:val="00EB2D73"/>
    <w:rsid w:val="00EB2D8F"/>
    <w:rsid w:val="00EB2DE2"/>
    <w:rsid w:val="00EB2DF2"/>
    <w:rsid w:val="00EB2DF7"/>
    <w:rsid w:val="00EB2E57"/>
    <w:rsid w:val="00EB2E5C"/>
    <w:rsid w:val="00EB2E60"/>
    <w:rsid w:val="00EB2EA9"/>
    <w:rsid w:val="00EB2EAC"/>
    <w:rsid w:val="00EB2ECF"/>
    <w:rsid w:val="00EB2EFE"/>
    <w:rsid w:val="00EB2F07"/>
    <w:rsid w:val="00EB2F22"/>
    <w:rsid w:val="00EB2F67"/>
    <w:rsid w:val="00EB303C"/>
    <w:rsid w:val="00EB3040"/>
    <w:rsid w:val="00EB3052"/>
    <w:rsid w:val="00EB30B6"/>
    <w:rsid w:val="00EB30F6"/>
    <w:rsid w:val="00EB3107"/>
    <w:rsid w:val="00EB3110"/>
    <w:rsid w:val="00EB3123"/>
    <w:rsid w:val="00EB31A3"/>
    <w:rsid w:val="00EB31CD"/>
    <w:rsid w:val="00EB31D1"/>
    <w:rsid w:val="00EB3214"/>
    <w:rsid w:val="00EB321E"/>
    <w:rsid w:val="00EB3233"/>
    <w:rsid w:val="00EB323F"/>
    <w:rsid w:val="00EB3240"/>
    <w:rsid w:val="00EB325C"/>
    <w:rsid w:val="00EB32A8"/>
    <w:rsid w:val="00EB3321"/>
    <w:rsid w:val="00EB332E"/>
    <w:rsid w:val="00EB339E"/>
    <w:rsid w:val="00EB33F9"/>
    <w:rsid w:val="00EB3418"/>
    <w:rsid w:val="00EB3433"/>
    <w:rsid w:val="00EB343C"/>
    <w:rsid w:val="00EB3447"/>
    <w:rsid w:val="00EB3455"/>
    <w:rsid w:val="00EB346B"/>
    <w:rsid w:val="00EB347A"/>
    <w:rsid w:val="00EB34AD"/>
    <w:rsid w:val="00EB34C9"/>
    <w:rsid w:val="00EB3535"/>
    <w:rsid w:val="00EB35B4"/>
    <w:rsid w:val="00EB35BD"/>
    <w:rsid w:val="00EB35D1"/>
    <w:rsid w:val="00EB3670"/>
    <w:rsid w:val="00EB36F5"/>
    <w:rsid w:val="00EB374C"/>
    <w:rsid w:val="00EB3786"/>
    <w:rsid w:val="00EB37B4"/>
    <w:rsid w:val="00EB37C3"/>
    <w:rsid w:val="00EB380F"/>
    <w:rsid w:val="00EB387E"/>
    <w:rsid w:val="00EB388F"/>
    <w:rsid w:val="00EB3892"/>
    <w:rsid w:val="00EB38BF"/>
    <w:rsid w:val="00EB38E1"/>
    <w:rsid w:val="00EB38EA"/>
    <w:rsid w:val="00EB393B"/>
    <w:rsid w:val="00EB3955"/>
    <w:rsid w:val="00EB395D"/>
    <w:rsid w:val="00EB39D2"/>
    <w:rsid w:val="00EB3A2D"/>
    <w:rsid w:val="00EB3A56"/>
    <w:rsid w:val="00EB3A64"/>
    <w:rsid w:val="00EB3A67"/>
    <w:rsid w:val="00EB3ACB"/>
    <w:rsid w:val="00EB3AD8"/>
    <w:rsid w:val="00EB3AE4"/>
    <w:rsid w:val="00EB3AFA"/>
    <w:rsid w:val="00EB3B12"/>
    <w:rsid w:val="00EB3B1A"/>
    <w:rsid w:val="00EB3B9C"/>
    <w:rsid w:val="00EB3B9D"/>
    <w:rsid w:val="00EB3BCA"/>
    <w:rsid w:val="00EB3C21"/>
    <w:rsid w:val="00EB3C2A"/>
    <w:rsid w:val="00EB3CA6"/>
    <w:rsid w:val="00EB3CB0"/>
    <w:rsid w:val="00EB3D80"/>
    <w:rsid w:val="00EB3D84"/>
    <w:rsid w:val="00EB3DA1"/>
    <w:rsid w:val="00EB3DD3"/>
    <w:rsid w:val="00EB3DEB"/>
    <w:rsid w:val="00EB3DFD"/>
    <w:rsid w:val="00EB3E06"/>
    <w:rsid w:val="00EB3E0A"/>
    <w:rsid w:val="00EB3E48"/>
    <w:rsid w:val="00EB3E6B"/>
    <w:rsid w:val="00EB3E6D"/>
    <w:rsid w:val="00EB3E92"/>
    <w:rsid w:val="00EB3F2B"/>
    <w:rsid w:val="00EB3F73"/>
    <w:rsid w:val="00EB3F8C"/>
    <w:rsid w:val="00EB3FA4"/>
    <w:rsid w:val="00EB3FD0"/>
    <w:rsid w:val="00EB3FE5"/>
    <w:rsid w:val="00EB4080"/>
    <w:rsid w:val="00EB409A"/>
    <w:rsid w:val="00EB40B2"/>
    <w:rsid w:val="00EB4108"/>
    <w:rsid w:val="00EB4130"/>
    <w:rsid w:val="00EB4149"/>
    <w:rsid w:val="00EB41A4"/>
    <w:rsid w:val="00EB41CC"/>
    <w:rsid w:val="00EB41D6"/>
    <w:rsid w:val="00EB41E2"/>
    <w:rsid w:val="00EB421C"/>
    <w:rsid w:val="00EB4238"/>
    <w:rsid w:val="00EB426A"/>
    <w:rsid w:val="00EB42C3"/>
    <w:rsid w:val="00EB42DE"/>
    <w:rsid w:val="00EB42E2"/>
    <w:rsid w:val="00EB42F4"/>
    <w:rsid w:val="00EB430A"/>
    <w:rsid w:val="00EB4312"/>
    <w:rsid w:val="00EB434C"/>
    <w:rsid w:val="00EB4366"/>
    <w:rsid w:val="00EB4406"/>
    <w:rsid w:val="00EB441B"/>
    <w:rsid w:val="00EB444E"/>
    <w:rsid w:val="00EB44A9"/>
    <w:rsid w:val="00EB44E4"/>
    <w:rsid w:val="00EB4533"/>
    <w:rsid w:val="00EB455A"/>
    <w:rsid w:val="00EB4563"/>
    <w:rsid w:val="00EB458B"/>
    <w:rsid w:val="00EB45A2"/>
    <w:rsid w:val="00EB45BB"/>
    <w:rsid w:val="00EB45CE"/>
    <w:rsid w:val="00EB45E7"/>
    <w:rsid w:val="00EB4694"/>
    <w:rsid w:val="00EB46DB"/>
    <w:rsid w:val="00EB46E1"/>
    <w:rsid w:val="00EB46EF"/>
    <w:rsid w:val="00EB4754"/>
    <w:rsid w:val="00EB4766"/>
    <w:rsid w:val="00EB4787"/>
    <w:rsid w:val="00EB479B"/>
    <w:rsid w:val="00EB47B8"/>
    <w:rsid w:val="00EB47BD"/>
    <w:rsid w:val="00EB47C2"/>
    <w:rsid w:val="00EB4839"/>
    <w:rsid w:val="00EB485B"/>
    <w:rsid w:val="00EB48A2"/>
    <w:rsid w:val="00EB49AF"/>
    <w:rsid w:val="00EB49B6"/>
    <w:rsid w:val="00EB49CA"/>
    <w:rsid w:val="00EB4A8C"/>
    <w:rsid w:val="00EB4B0A"/>
    <w:rsid w:val="00EB4BA3"/>
    <w:rsid w:val="00EB4C1B"/>
    <w:rsid w:val="00EB4C6D"/>
    <w:rsid w:val="00EB4C90"/>
    <w:rsid w:val="00EB4CAF"/>
    <w:rsid w:val="00EB4D04"/>
    <w:rsid w:val="00EB4D40"/>
    <w:rsid w:val="00EB4D63"/>
    <w:rsid w:val="00EB4D8C"/>
    <w:rsid w:val="00EB4DD9"/>
    <w:rsid w:val="00EB4E27"/>
    <w:rsid w:val="00EB4E36"/>
    <w:rsid w:val="00EB4E51"/>
    <w:rsid w:val="00EB4E76"/>
    <w:rsid w:val="00EB4EAD"/>
    <w:rsid w:val="00EB4EDF"/>
    <w:rsid w:val="00EB4F19"/>
    <w:rsid w:val="00EB4F2F"/>
    <w:rsid w:val="00EB4F55"/>
    <w:rsid w:val="00EB4FCB"/>
    <w:rsid w:val="00EB4FD0"/>
    <w:rsid w:val="00EB4FEB"/>
    <w:rsid w:val="00EB5043"/>
    <w:rsid w:val="00EB5046"/>
    <w:rsid w:val="00EB505C"/>
    <w:rsid w:val="00EB506A"/>
    <w:rsid w:val="00EB506E"/>
    <w:rsid w:val="00EB5078"/>
    <w:rsid w:val="00EB508C"/>
    <w:rsid w:val="00EB508E"/>
    <w:rsid w:val="00EB50A7"/>
    <w:rsid w:val="00EB50C5"/>
    <w:rsid w:val="00EB50F3"/>
    <w:rsid w:val="00EB5106"/>
    <w:rsid w:val="00EB510C"/>
    <w:rsid w:val="00EB5141"/>
    <w:rsid w:val="00EB5194"/>
    <w:rsid w:val="00EB51AB"/>
    <w:rsid w:val="00EB5221"/>
    <w:rsid w:val="00EB525D"/>
    <w:rsid w:val="00EB526B"/>
    <w:rsid w:val="00EB52AC"/>
    <w:rsid w:val="00EB52C2"/>
    <w:rsid w:val="00EB52D8"/>
    <w:rsid w:val="00EB52EB"/>
    <w:rsid w:val="00EB52F2"/>
    <w:rsid w:val="00EB5306"/>
    <w:rsid w:val="00EB530C"/>
    <w:rsid w:val="00EB531B"/>
    <w:rsid w:val="00EB5362"/>
    <w:rsid w:val="00EB5368"/>
    <w:rsid w:val="00EB5386"/>
    <w:rsid w:val="00EB539F"/>
    <w:rsid w:val="00EB53FE"/>
    <w:rsid w:val="00EB547C"/>
    <w:rsid w:val="00EB549F"/>
    <w:rsid w:val="00EB54AD"/>
    <w:rsid w:val="00EB54D8"/>
    <w:rsid w:val="00EB54EB"/>
    <w:rsid w:val="00EB5510"/>
    <w:rsid w:val="00EB5531"/>
    <w:rsid w:val="00EB5576"/>
    <w:rsid w:val="00EB55A6"/>
    <w:rsid w:val="00EB5638"/>
    <w:rsid w:val="00EB5644"/>
    <w:rsid w:val="00EB56E7"/>
    <w:rsid w:val="00EB5707"/>
    <w:rsid w:val="00EB5753"/>
    <w:rsid w:val="00EB5782"/>
    <w:rsid w:val="00EB57B8"/>
    <w:rsid w:val="00EB57BC"/>
    <w:rsid w:val="00EB57C0"/>
    <w:rsid w:val="00EB57C4"/>
    <w:rsid w:val="00EB57E6"/>
    <w:rsid w:val="00EB57F1"/>
    <w:rsid w:val="00EB5807"/>
    <w:rsid w:val="00EB580C"/>
    <w:rsid w:val="00EB5816"/>
    <w:rsid w:val="00EB5822"/>
    <w:rsid w:val="00EB584C"/>
    <w:rsid w:val="00EB5864"/>
    <w:rsid w:val="00EB58DE"/>
    <w:rsid w:val="00EB5902"/>
    <w:rsid w:val="00EB5913"/>
    <w:rsid w:val="00EB5917"/>
    <w:rsid w:val="00EB5952"/>
    <w:rsid w:val="00EB5980"/>
    <w:rsid w:val="00EB5997"/>
    <w:rsid w:val="00EB599D"/>
    <w:rsid w:val="00EB5A13"/>
    <w:rsid w:val="00EB5A21"/>
    <w:rsid w:val="00EB5A25"/>
    <w:rsid w:val="00EB5A3A"/>
    <w:rsid w:val="00EB5A7A"/>
    <w:rsid w:val="00EB5AB1"/>
    <w:rsid w:val="00EB5B21"/>
    <w:rsid w:val="00EB5B4C"/>
    <w:rsid w:val="00EB5B9D"/>
    <w:rsid w:val="00EB5BD2"/>
    <w:rsid w:val="00EB5C1C"/>
    <w:rsid w:val="00EB5C4F"/>
    <w:rsid w:val="00EB5CA4"/>
    <w:rsid w:val="00EB5CE3"/>
    <w:rsid w:val="00EB5CEC"/>
    <w:rsid w:val="00EB5CEE"/>
    <w:rsid w:val="00EB5D2C"/>
    <w:rsid w:val="00EB5D42"/>
    <w:rsid w:val="00EB5DE0"/>
    <w:rsid w:val="00EB5E39"/>
    <w:rsid w:val="00EB5E96"/>
    <w:rsid w:val="00EB5EE5"/>
    <w:rsid w:val="00EB5F06"/>
    <w:rsid w:val="00EB5F1E"/>
    <w:rsid w:val="00EB5F67"/>
    <w:rsid w:val="00EB5F92"/>
    <w:rsid w:val="00EB5FAE"/>
    <w:rsid w:val="00EB5FD4"/>
    <w:rsid w:val="00EB608F"/>
    <w:rsid w:val="00EB60D7"/>
    <w:rsid w:val="00EB60F2"/>
    <w:rsid w:val="00EB60F6"/>
    <w:rsid w:val="00EB617B"/>
    <w:rsid w:val="00EB61BF"/>
    <w:rsid w:val="00EB61C9"/>
    <w:rsid w:val="00EB61F1"/>
    <w:rsid w:val="00EB6248"/>
    <w:rsid w:val="00EB6276"/>
    <w:rsid w:val="00EB62F5"/>
    <w:rsid w:val="00EB6320"/>
    <w:rsid w:val="00EB633E"/>
    <w:rsid w:val="00EB6342"/>
    <w:rsid w:val="00EB6347"/>
    <w:rsid w:val="00EB634D"/>
    <w:rsid w:val="00EB635A"/>
    <w:rsid w:val="00EB6376"/>
    <w:rsid w:val="00EB6377"/>
    <w:rsid w:val="00EB6388"/>
    <w:rsid w:val="00EB63C5"/>
    <w:rsid w:val="00EB63DF"/>
    <w:rsid w:val="00EB63FA"/>
    <w:rsid w:val="00EB641F"/>
    <w:rsid w:val="00EB6452"/>
    <w:rsid w:val="00EB645A"/>
    <w:rsid w:val="00EB6482"/>
    <w:rsid w:val="00EB6498"/>
    <w:rsid w:val="00EB64B2"/>
    <w:rsid w:val="00EB64BB"/>
    <w:rsid w:val="00EB64BD"/>
    <w:rsid w:val="00EB64CE"/>
    <w:rsid w:val="00EB6505"/>
    <w:rsid w:val="00EB6517"/>
    <w:rsid w:val="00EB655E"/>
    <w:rsid w:val="00EB656E"/>
    <w:rsid w:val="00EB656F"/>
    <w:rsid w:val="00EB65AC"/>
    <w:rsid w:val="00EB65D6"/>
    <w:rsid w:val="00EB65FF"/>
    <w:rsid w:val="00EB6647"/>
    <w:rsid w:val="00EB6707"/>
    <w:rsid w:val="00EB671A"/>
    <w:rsid w:val="00EB671C"/>
    <w:rsid w:val="00EB6730"/>
    <w:rsid w:val="00EB6731"/>
    <w:rsid w:val="00EB678B"/>
    <w:rsid w:val="00EB67AA"/>
    <w:rsid w:val="00EB67F7"/>
    <w:rsid w:val="00EB682A"/>
    <w:rsid w:val="00EB6833"/>
    <w:rsid w:val="00EB6871"/>
    <w:rsid w:val="00EB68A0"/>
    <w:rsid w:val="00EB68F1"/>
    <w:rsid w:val="00EB6901"/>
    <w:rsid w:val="00EB6902"/>
    <w:rsid w:val="00EB690F"/>
    <w:rsid w:val="00EB6930"/>
    <w:rsid w:val="00EB6939"/>
    <w:rsid w:val="00EB6974"/>
    <w:rsid w:val="00EB69D6"/>
    <w:rsid w:val="00EB69DA"/>
    <w:rsid w:val="00EB69E1"/>
    <w:rsid w:val="00EB69E3"/>
    <w:rsid w:val="00EB6A3D"/>
    <w:rsid w:val="00EB6AC5"/>
    <w:rsid w:val="00EB6B01"/>
    <w:rsid w:val="00EB6B71"/>
    <w:rsid w:val="00EB6BBC"/>
    <w:rsid w:val="00EB6BCF"/>
    <w:rsid w:val="00EB6BD2"/>
    <w:rsid w:val="00EB6BD4"/>
    <w:rsid w:val="00EB6C31"/>
    <w:rsid w:val="00EB6C3C"/>
    <w:rsid w:val="00EB6C3F"/>
    <w:rsid w:val="00EB6C44"/>
    <w:rsid w:val="00EB6C5B"/>
    <w:rsid w:val="00EB6C7C"/>
    <w:rsid w:val="00EB6D30"/>
    <w:rsid w:val="00EB6D43"/>
    <w:rsid w:val="00EB6D9A"/>
    <w:rsid w:val="00EB6DC7"/>
    <w:rsid w:val="00EB6DD2"/>
    <w:rsid w:val="00EB6DD4"/>
    <w:rsid w:val="00EB6E02"/>
    <w:rsid w:val="00EB6E55"/>
    <w:rsid w:val="00EB6E8B"/>
    <w:rsid w:val="00EB6EB0"/>
    <w:rsid w:val="00EB6EB2"/>
    <w:rsid w:val="00EB6F1B"/>
    <w:rsid w:val="00EB6F48"/>
    <w:rsid w:val="00EB6F9C"/>
    <w:rsid w:val="00EB6FB5"/>
    <w:rsid w:val="00EB6FBD"/>
    <w:rsid w:val="00EB6FE9"/>
    <w:rsid w:val="00EB6FEB"/>
    <w:rsid w:val="00EB6FFB"/>
    <w:rsid w:val="00EB7036"/>
    <w:rsid w:val="00EB703F"/>
    <w:rsid w:val="00EB704C"/>
    <w:rsid w:val="00EB7054"/>
    <w:rsid w:val="00EB7062"/>
    <w:rsid w:val="00EB7073"/>
    <w:rsid w:val="00EB7074"/>
    <w:rsid w:val="00EB70AC"/>
    <w:rsid w:val="00EB70B9"/>
    <w:rsid w:val="00EB70D2"/>
    <w:rsid w:val="00EB70DF"/>
    <w:rsid w:val="00EB70E5"/>
    <w:rsid w:val="00EB7110"/>
    <w:rsid w:val="00EB719F"/>
    <w:rsid w:val="00EB721F"/>
    <w:rsid w:val="00EB7276"/>
    <w:rsid w:val="00EB7292"/>
    <w:rsid w:val="00EB72B3"/>
    <w:rsid w:val="00EB72D9"/>
    <w:rsid w:val="00EB7415"/>
    <w:rsid w:val="00EB745D"/>
    <w:rsid w:val="00EB7484"/>
    <w:rsid w:val="00EB74B9"/>
    <w:rsid w:val="00EB74C5"/>
    <w:rsid w:val="00EB74E3"/>
    <w:rsid w:val="00EB7500"/>
    <w:rsid w:val="00EB752D"/>
    <w:rsid w:val="00EB754A"/>
    <w:rsid w:val="00EB7569"/>
    <w:rsid w:val="00EB7571"/>
    <w:rsid w:val="00EB7574"/>
    <w:rsid w:val="00EB7598"/>
    <w:rsid w:val="00EB75C3"/>
    <w:rsid w:val="00EB75D0"/>
    <w:rsid w:val="00EB75F9"/>
    <w:rsid w:val="00EB7613"/>
    <w:rsid w:val="00EB761D"/>
    <w:rsid w:val="00EB7641"/>
    <w:rsid w:val="00EB76D8"/>
    <w:rsid w:val="00EB76D9"/>
    <w:rsid w:val="00EB76E6"/>
    <w:rsid w:val="00EB76F5"/>
    <w:rsid w:val="00EB7726"/>
    <w:rsid w:val="00EB772F"/>
    <w:rsid w:val="00EB775F"/>
    <w:rsid w:val="00EB7798"/>
    <w:rsid w:val="00EB7799"/>
    <w:rsid w:val="00EB77C6"/>
    <w:rsid w:val="00EB77F2"/>
    <w:rsid w:val="00EB780B"/>
    <w:rsid w:val="00EB7865"/>
    <w:rsid w:val="00EB787B"/>
    <w:rsid w:val="00EB7889"/>
    <w:rsid w:val="00EB78DC"/>
    <w:rsid w:val="00EB78F5"/>
    <w:rsid w:val="00EB791F"/>
    <w:rsid w:val="00EB7953"/>
    <w:rsid w:val="00EB7974"/>
    <w:rsid w:val="00EB797B"/>
    <w:rsid w:val="00EB7A6E"/>
    <w:rsid w:val="00EB7A6F"/>
    <w:rsid w:val="00EB7AA4"/>
    <w:rsid w:val="00EB7AD5"/>
    <w:rsid w:val="00EB7B1B"/>
    <w:rsid w:val="00EB7B1D"/>
    <w:rsid w:val="00EB7B32"/>
    <w:rsid w:val="00EB7B44"/>
    <w:rsid w:val="00EB7B55"/>
    <w:rsid w:val="00EB7B5B"/>
    <w:rsid w:val="00EB7B6D"/>
    <w:rsid w:val="00EB7B92"/>
    <w:rsid w:val="00EB7BB6"/>
    <w:rsid w:val="00EB7C0C"/>
    <w:rsid w:val="00EB7C27"/>
    <w:rsid w:val="00EB7C4C"/>
    <w:rsid w:val="00EB7C6B"/>
    <w:rsid w:val="00EB7C82"/>
    <w:rsid w:val="00EB7CA2"/>
    <w:rsid w:val="00EB7CAD"/>
    <w:rsid w:val="00EB7CAE"/>
    <w:rsid w:val="00EB7D2E"/>
    <w:rsid w:val="00EB7D37"/>
    <w:rsid w:val="00EB7D53"/>
    <w:rsid w:val="00EB7D5A"/>
    <w:rsid w:val="00EB7D9A"/>
    <w:rsid w:val="00EB7DB2"/>
    <w:rsid w:val="00EB7DD8"/>
    <w:rsid w:val="00EB7DEC"/>
    <w:rsid w:val="00EB7E28"/>
    <w:rsid w:val="00EB7E46"/>
    <w:rsid w:val="00EB7E54"/>
    <w:rsid w:val="00EB7EE3"/>
    <w:rsid w:val="00EB7F0B"/>
    <w:rsid w:val="00EB7F0D"/>
    <w:rsid w:val="00EB7F91"/>
    <w:rsid w:val="00EB7FA8"/>
    <w:rsid w:val="00EB7FE1"/>
    <w:rsid w:val="00EC0013"/>
    <w:rsid w:val="00EC0024"/>
    <w:rsid w:val="00EC002C"/>
    <w:rsid w:val="00EC0060"/>
    <w:rsid w:val="00EC0063"/>
    <w:rsid w:val="00EC009E"/>
    <w:rsid w:val="00EC00A3"/>
    <w:rsid w:val="00EC00AA"/>
    <w:rsid w:val="00EC00EA"/>
    <w:rsid w:val="00EC00F7"/>
    <w:rsid w:val="00EC014B"/>
    <w:rsid w:val="00EC0157"/>
    <w:rsid w:val="00EC017D"/>
    <w:rsid w:val="00EC0223"/>
    <w:rsid w:val="00EC0265"/>
    <w:rsid w:val="00EC02E2"/>
    <w:rsid w:val="00EC0301"/>
    <w:rsid w:val="00EC0483"/>
    <w:rsid w:val="00EC0490"/>
    <w:rsid w:val="00EC0493"/>
    <w:rsid w:val="00EC04E8"/>
    <w:rsid w:val="00EC04FF"/>
    <w:rsid w:val="00EC053E"/>
    <w:rsid w:val="00EC05BE"/>
    <w:rsid w:val="00EC0631"/>
    <w:rsid w:val="00EC068D"/>
    <w:rsid w:val="00EC06A4"/>
    <w:rsid w:val="00EC06D3"/>
    <w:rsid w:val="00EC07CD"/>
    <w:rsid w:val="00EC07D3"/>
    <w:rsid w:val="00EC080A"/>
    <w:rsid w:val="00EC080D"/>
    <w:rsid w:val="00EC0816"/>
    <w:rsid w:val="00EC0818"/>
    <w:rsid w:val="00EC081C"/>
    <w:rsid w:val="00EC0891"/>
    <w:rsid w:val="00EC08C4"/>
    <w:rsid w:val="00EC08E9"/>
    <w:rsid w:val="00EC08F2"/>
    <w:rsid w:val="00EC093B"/>
    <w:rsid w:val="00EC0966"/>
    <w:rsid w:val="00EC09D4"/>
    <w:rsid w:val="00EC09E8"/>
    <w:rsid w:val="00EC0A16"/>
    <w:rsid w:val="00EC0A26"/>
    <w:rsid w:val="00EC0A8B"/>
    <w:rsid w:val="00EC0AA8"/>
    <w:rsid w:val="00EC0ABF"/>
    <w:rsid w:val="00EC0ADD"/>
    <w:rsid w:val="00EC0B05"/>
    <w:rsid w:val="00EC0B36"/>
    <w:rsid w:val="00EC0B55"/>
    <w:rsid w:val="00EC0B76"/>
    <w:rsid w:val="00EC0BB6"/>
    <w:rsid w:val="00EC0BC1"/>
    <w:rsid w:val="00EC0C37"/>
    <w:rsid w:val="00EC0C3F"/>
    <w:rsid w:val="00EC0C43"/>
    <w:rsid w:val="00EC0C63"/>
    <w:rsid w:val="00EC0C8C"/>
    <w:rsid w:val="00EC0CC1"/>
    <w:rsid w:val="00EC0CD5"/>
    <w:rsid w:val="00EC0D0B"/>
    <w:rsid w:val="00EC0D4C"/>
    <w:rsid w:val="00EC0DA9"/>
    <w:rsid w:val="00EC0DC3"/>
    <w:rsid w:val="00EC0DDC"/>
    <w:rsid w:val="00EC0DDD"/>
    <w:rsid w:val="00EC0E1D"/>
    <w:rsid w:val="00EC0E4C"/>
    <w:rsid w:val="00EC0E4D"/>
    <w:rsid w:val="00EC0E5C"/>
    <w:rsid w:val="00EC0E95"/>
    <w:rsid w:val="00EC0EAA"/>
    <w:rsid w:val="00EC0EAC"/>
    <w:rsid w:val="00EC0EBF"/>
    <w:rsid w:val="00EC0ECC"/>
    <w:rsid w:val="00EC0EE9"/>
    <w:rsid w:val="00EC0F77"/>
    <w:rsid w:val="00EC0F7B"/>
    <w:rsid w:val="00EC0FA9"/>
    <w:rsid w:val="00EC0FE4"/>
    <w:rsid w:val="00EC0FEF"/>
    <w:rsid w:val="00EC0FFD"/>
    <w:rsid w:val="00EC1009"/>
    <w:rsid w:val="00EC1030"/>
    <w:rsid w:val="00EC1042"/>
    <w:rsid w:val="00EC10DD"/>
    <w:rsid w:val="00EC1110"/>
    <w:rsid w:val="00EC1155"/>
    <w:rsid w:val="00EC1162"/>
    <w:rsid w:val="00EC1197"/>
    <w:rsid w:val="00EC11AC"/>
    <w:rsid w:val="00EC11E8"/>
    <w:rsid w:val="00EC11FC"/>
    <w:rsid w:val="00EC126C"/>
    <w:rsid w:val="00EC12A6"/>
    <w:rsid w:val="00EC12B5"/>
    <w:rsid w:val="00EC12BA"/>
    <w:rsid w:val="00EC12C2"/>
    <w:rsid w:val="00EC12E1"/>
    <w:rsid w:val="00EC12E9"/>
    <w:rsid w:val="00EC12EF"/>
    <w:rsid w:val="00EC1307"/>
    <w:rsid w:val="00EC1348"/>
    <w:rsid w:val="00EC1359"/>
    <w:rsid w:val="00EC136A"/>
    <w:rsid w:val="00EC136E"/>
    <w:rsid w:val="00EC1382"/>
    <w:rsid w:val="00EC138F"/>
    <w:rsid w:val="00EC140A"/>
    <w:rsid w:val="00EC141C"/>
    <w:rsid w:val="00EC1489"/>
    <w:rsid w:val="00EC1499"/>
    <w:rsid w:val="00EC14DF"/>
    <w:rsid w:val="00EC1522"/>
    <w:rsid w:val="00EC1523"/>
    <w:rsid w:val="00EC1568"/>
    <w:rsid w:val="00EC15BE"/>
    <w:rsid w:val="00EC15D7"/>
    <w:rsid w:val="00EC15E6"/>
    <w:rsid w:val="00EC1649"/>
    <w:rsid w:val="00EC1666"/>
    <w:rsid w:val="00EC16B1"/>
    <w:rsid w:val="00EC16B5"/>
    <w:rsid w:val="00EC1772"/>
    <w:rsid w:val="00EC1780"/>
    <w:rsid w:val="00EC1784"/>
    <w:rsid w:val="00EC17B1"/>
    <w:rsid w:val="00EC17BF"/>
    <w:rsid w:val="00EC17FB"/>
    <w:rsid w:val="00EC17FE"/>
    <w:rsid w:val="00EC180E"/>
    <w:rsid w:val="00EC183F"/>
    <w:rsid w:val="00EC1876"/>
    <w:rsid w:val="00EC189B"/>
    <w:rsid w:val="00EC18B4"/>
    <w:rsid w:val="00EC193E"/>
    <w:rsid w:val="00EC1953"/>
    <w:rsid w:val="00EC19A6"/>
    <w:rsid w:val="00EC19B1"/>
    <w:rsid w:val="00EC19E1"/>
    <w:rsid w:val="00EC19FC"/>
    <w:rsid w:val="00EC1A03"/>
    <w:rsid w:val="00EC1A14"/>
    <w:rsid w:val="00EC1A40"/>
    <w:rsid w:val="00EC1A81"/>
    <w:rsid w:val="00EC1A8A"/>
    <w:rsid w:val="00EC1A9F"/>
    <w:rsid w:val="00EC1ADD"/>
    <w:rsid w:val="00EC1AF9"/>
    <w:rsid w:val="00EC1B06"/>
    <w:rsid w:val="00EC1B21"/>
    <w:rsid w:val="00EC1B6C"/>
    <w:rsid w:val="00EC1BC2"/>
    <w:rsid w:val="00EC1C03"/>
    <w:rsid w:val="00EC1C09"/>
    <w:rsid w:val="00EC1C72"/>
    <w:rsid w:val="00EC1C92"/>
    <w:rsid w:val="00EC1CB7"/>
    <w:rsid w:val="00EC1CD1"/>
    <w:rsid w:val="00EC1D50"/>
    <w:rsid w:val="00EC1D71"/>
    <w:rsid w:val="00EC1DB7"/>
    <w:rsid w:val="00EC1DC0"/>
    <w:rsid w:val="00EC1E26"/>
    <w:rsid w:val="00EC1E81"/>
    <w:rsid w:val="00EC1E91"/>
    <w:rsid w:val="00EC1E9E"/>
    <w:rsid w:val="00EC1F21"/>
    <w:rsid w:val="00EC1F35"/>
    <w:rsid w:val="00EC1F9C"/>
    <w:rsid w:val="00EC1FAF"/>
    <w:rsid w:val="00EC1FDC"/>
    <w:rsid w:val="00EC2008"/>
    <w:rsid w:val="00EC2009"/>
    <w:rsid w:val="00EC2017"/>
    <w:rsid w:val="00EC2025"/>
    <w:rsid w:val="00EC203B"/>
    <w:rsid w:val="00EC205D"/>
    <w:rsid w:val="00EC211A"/>
    <w:rsid w:val="00EC2125"/>
    <w:rsid w:val="00EC213A"/>
    <w:rsid w:val="00EC2158"/>
    <w:rsid w:val="00EC21AC"/>
    <w:rsid w:val="00EC2214"/>
    <w:rsid w:val="00EC222A"/>
    <w:rsid w:val="00EC2260"/>
    <w:rsid w:val="00EC227D"/>
    <w:rsid w:val="00EC22F0"/>
    <w:rsid w:val="00EC22FA"/>
    <w:rsid w:val="00EC2327"/>
    <w:rsid w:val="00EC2333"/>
    <w:rsid w:val="00EC2337"/>
    <w:rsid w:val="00EC23A4"/>
    <w:rsid w:val="00EC23A5"/>
    <w:rsid w:val="00EC23FF"/>
    <w:rsid w:val="00EC2408"/>
    <w:rsid w:val="00EC2426"/>
    <w:rsid w:val="00EC244D"/>
    <w:rsid w:val="00EC24A4"/>
    <w:rsid w:val="00EC24D8"/>
    <w:rsid w:val="00EC24E7"/>
    <w:rsid w:val="00EC24E8"/>
    <w:rsid w:val="00EC2509"/>
    <w:rsid w:val="00EC25CD"/>
    <w:rsid w:val="00EC25D4"/>
    <w:rsid w:val="00EC25E7"/>
    <w:rsid w:val="00EC2680"/>
    <w:rsid w:val="00EC2689"/>
    <w:rsid w:val="00EC26A1"/>
    <w:rsid w:val="00EC26A3"/>
    <w:rsid w:val="00EC26C3"/>
    <w:rsid w:val="00EC26D1"/>
    <w:rsid w:val="00EC270A"/>
    <w:rsid w:val="00EC2729"/>
    <w:rsid w:val="00EC272F"/>
    <w:rsid w:val="00EC2781"/>
    <w:rsid w:val="00EC2788"/>
    <w:rsid w:val="00EC27F7"/>
    <w:rsid w:val="00EC2854"/>
    <w:rsid w:val="00EC2893"/>
    <w:rsid w:val="00EC2899"/>
    <w:rsid w:val="00EC28EC"/>
    <w:rsid w:val="00EC291F"/>
    <w:rsid w:val="00EC2985"/>
    <w:rsid w:val="00EC299D"/>
    <w:rsid w:val="00EC29DA"/>
    <w:rsid w:val="00EC2ABC"/>
    <w:rsid w:val="00EC2B15"/>
    <w:rsid w:val="00EC2B4A"/>
    <w:rsid w:val="00EC2B87"/>
    <w:rsid w:val="00EC2B95"/>
    <w:rsid w:val="00EC2BAD"/>
    <w:rsid w:val="00EC2BDA"/>
    <w:rsid w:val="00EC2C0D"/>
    <w:rsid w:val="00EC2C42"/>
    <w:rsid w:val="00EC2C47"/>
    <w:rsid w:val="00EC2C51"/>
    <w:rsid w:val="00EC2C95"/>
    <w:rsid w:val="00EC2CC1"/>
    <w:rsid w:val="00EC2CF8"/>
    <w:rsid w:val="00EC2D3F"/>
    <w:rsid w:val="00EC2D76"/>
    <w:rsid w:val="00EC2D8F"/>
    <w:rsid w:val="00EC2D9C"/>
    <w:rsid w:val="00EC2DD6"/>
    <w:rsid w:val="00EC2E2F"/>
    <w:rsid w:val="00EC2E6B"/>
    <w:rsid w:val="00EC2EAE"/>
    <w:rsid w:val="00EC2F71"/>
    <w:rsid w:val="00EC2F7A"/>
    <w:rsid w:val="00EC2F91"/>
    <w:rsid w:val="00EC2FA4"/>
    <w:rsid w:val="00EC2FB0"/>
    <w:rsid w:val="00EC2FC9"/>
    <w:rsid w:val="00EC3017"/>
    <w:rsid w:val="00EC3034"/>
    <w:rsid w:val="00EC30BF"/>
    <w:rsid w:val="00EC30DF"/>
    <w:rsid w:val="00EC30EB"/>
    <w:rsid w:val="00EC310D"/>
    <w:rsid w:val="00EC3111"/>
    <w:rsid w:val="00EC311C"/>
    <w:rsid w:val="00EC3161"/>
    <w:rsid w:val="00EC3172"/>
    <w:rsid w:val="00EC3184"/>
    <w:rsid w:val="00EC31D2"/>
    <w:rsid w:val="00EC3208"/>
    <w:rsid w:val="00EC321A"/>
    <w:rsid w:val="00EC3229"/>
    <w:rsid w:val="00EC3265"/>
    <w:rsid w:val="00EC3272"/>
    <w:rsid w:val="00EC327F"/>
    <w:rsid w:val="00EC3288"/>
    <w:rsid w:val="00EC32D6"/>
    <w:rsid w:val="00EC3308"/>
    <w:rsid w:val="00EC3327"/>
    <w:rsid w:val="00EC3328"/>
    <w:rsid w:val="00EC332D"/>
    <w:rsid w:val="00EC332E"/>
    <w:rsid w:val="00EC3346"/>
    <w:rsid w:val="00EC334A"/>
    <w:rsid w:val="00EC334E"/>
    <w:rsid w:val="00EC3360"/>
    <w:rsid w:val="00EC3372"/>
    <w:rsid w:val="00EC3378"/>
    <w:rsid w:val="00EC339C"/>
    <w:rsid w:val="00EC341C"/>
    <w:rsid w:val="00EC3434"/>
    <w:rsid w:val="00EC3460"/>
    <w:rsid w:val="00EC3498"/>
    <w:rsid w:val="00EC34E7"/>
    <w:rsid w:val="00EC34F1"/>
    <w:rsid w:val="00EC34FC"/>
    <w:rsid w:val="00EC3500"/>
    <w:rsid w:val="00EC3514"/>
    <w:rsid w:val="00EC3517"/>
    <w:rsid w:val="00EC352C"/>
    <w:rsid w:val="00EC3539"/>
    <w:rsid w:val="00EC354A"/>
    <w:rsid w:val="00EC3597"/>
    <w:rsid w:val="00EC35DB"/>
    <w:rsid w:val="00EC35EC"/>
    <w:rsid w:val="00EC3652"/>
    <w:rsid w:val="00EC3653"/>
    <w:rsid w:val="00EC3669"/>
    <w:rsid w:val="00EC369F"/>
    <w:rsid w:val="00EC36A7"/>
    <w:rsid w:val="00EC36B5"/>
    <w:rsid w:val="00EC36C8"/>
    <w:rsid w:val="00EC36F8"/>
    <w:rsid w:val="00EC370B"/>
    <w:rsid w:val="00EC372A"/>
    <w:rsid w:val="00EC3730"/>
    <w:rsid w:val="00EC3751"/>
    <w:rsid w:val="00EC375D"/>
    <w:rsid w:val="00EC3767"/>
    <w:rsid w:val="00EC3783"/>
    <w:rsid w:val="00EC37A2"/>
    <w:rsid w:val="00EC37BB"/>
    <w:rsid w:val="00EC37DD"/>
    <w:rsid w:val="00EC3846"/>
    <w:rsid w:val="00EC38D4"/>
    <w:rsid w:val="00EC3902"/>
    <w:rsid w:val="00EC3938"/>
    <w:rsid w:val="00EC395F"/>
    <w:rsid w:val="00EC39A6"/>
    <w:rsid w:val="00EC3A2B"/>
    <w:rsid w:val="00EC3A5B"/>
    <w:rsid w:val="00EC3ACD"/>
    <w:rsid w:val="00EC3B27"/>
    <w:rsid w:val="00EC3BB8"/>
    <w:rsid w:val="00EC3BD6"/>
    <w:rsid w:val="00EC3BDC"/>
    <w:rsid w:val="00EC3C25"/>
    <w:rsid w:val="00EC3C2D"/>
    <w:rsid w:val="00EC3CC1"/>
    <w:rsid w:val="00EC3CF3"/>
    <w:rsid w:val="00EC3D11"/>
    <w:rsid w:val="00EC3D22"/>
    <w:rsid w:val="00EC3DB2"/>
    <w:rsid w:val="00EC3E53"/>
    <w:rsid w:val="00EC3E5B"/>
    <w:rsid w:val="00EC3EBA"/>
    <w:rsid w:val="00EC3F07"/>
    <w:rsid w:val="00EC3F23"/>
    <w:rsid w:val="00EC3F43"/>
    <w:rsid w:val="00EC3F63"/>
    <w:rsid w:val="00EC3F7B"/>
    <w:rsid w:val="00EC3F7D"/>
    <w:rsid w:val="00EC3F84"/>
    <w:rsid w:val="00EC3FCB"/>
    <w:rsid w:val="00EC3FD5"/>
    <w:rsid w:val="00EC3FDE"/>
    <w:rsid w:val="00EC3FFD"/>
    <w:rsid w:val="00EC4001"/>
    <w:rsid w:val="00EC4058"/>
    <w:rsid w:val="00EC405E"/>
    <w:rsid w:val="00EC407B"/>
    <w:rsid w:val="00EC408E"/>
    <w:rsid w:val="00EC40F1"/>
    <w:rsid w:val="00EC410D"/>
    <w:rsid w:val="00EC414B"/>
    <w:rsid w:val="00EC414C"/>
    <w:rsid w:val="00EC415A"/>
    <w:rsid w:val="00EC4161"/>
    <w:rsid w:val="00EC41B8"/>
    <w:rsid w:val="00EC41C7"/>
    <w:rsid w:val="00EC41D9"/>
    <w:rsid w:val="00EC4207"/>
    <w:rsid w:val="00EC4214"/>
    <w:rsid w:val="00EC4243"/>
    <w:rsid w:val="00EC4256"/>
    <w:rsid w:val="00EC4276"/>
    <w:rsid w:val="00EC42CC"/>
    <w:rsid w:val="00EC4303"/>
    <w:rsid w:val="00EC4318"/>
    <w:rsid w:val="00EC436F"/>
    <w:rsid w:val="00EC4384"/>
    <w:rsid w:val="00EC43E6"/>
    <w:rsid w:val="00EC43E8"/>
    <w:rsid w:val="00EC4473"/>
    <w:rsid w:val="00EC448D"/>
    <w:rsid w:val="00EC44F1"/>
    <w:rsid w:val="00EC4507"/>
    <w:rsid w:val="00EC454B"/>
    <w:rsid w:val="00EC454D"/>
    <w:rsid w:val="00EC4560"/>
    <w:rsid w:val="00EC45AB"/>
    <w:rsid w:val="00EC462C"/>
    <w:rsid w:val="00EC466B"/>
    <w:rsid w:val="00EC467C"/>
    <w:rsid w:val="00EC468B"/>
    <w:rsid w:val="00EC4696"/>
    <w:rsid w:val="00EC46AE"/>
    <w:rsid w:val="00EC46C4"/>
    <w:rsid w:val="00EC4781"/>
    <w:rsid w:val="00EC479F"/>
    <w:rsid w:val="00EC47A0"/>
    <w:rsid w:val="00EC47A1"/>
    <w:rsid w:val="00EC47E8"/>
    <w:rsid w:val="00EC483A"/>
    <w:rsid w:val="00EC4888"/>
    <w:rsid w:val="00EC48B5"/>
    <w:rsid w:val="00EC48BF"/>
    <w:rsid w:val="00EC48CB"/>
    <w:rsid w:val="00EC48D2"/>
    <w:rsid w:val="00EC4923"/>
    <w:rsid w:val="00EC492C"/>
    <w:rsid w:val="00EC4943"/>
    <w:rsid w:val="00EC49BA"/>
    <w:rsid w:val="00EC49D6"/>
    <w:rsid w:val="00EC4A0B"/>
    <w:rsid w:val="00EC4A18"/>
    <w:rsid w:val="00EC4A8F"/>
    <w:rsid w:val="00EC4A93"/>
    <w:rsid w:val="00EC4A97"/>
    <w:rsid w:val="00EC4AA3"/>
    <w:rsid w:val="00EC4AB0"/>
    <w:rsid w:val="00EC4ABF"/>
    <w:rsid w:val="00EC4AD2"/>
    <w:rsid w:val="00EC4B66"/>
    <w:rsid w:val="00EC4BBF"/>
    <w:rsid w:val="00EC4BF7"/>
    <w:rsid w:val="00EC4C68"/>
    <w:rsid w:val="00EC4C8F"/>
    <w:rsid w:val="00EC4D22"/>
    <w:rsid w:val="00EC4D43"/>
    <w:rsid w:val="00EC4D46"/>
    <w:rsid w:val="00EC4D58"/>
    <w:rsid w:val="00EC4D9D"/>
    <w:rsid w:val="00EC4DA1"/>
    <w:rsid w:val="00EC4DEF"/>
    <w:rsid w:val="00EC4DF7"/>
    <w:rsid w:val="00EC4E2D"/>
    <w:rsid w:val="00EC4E53"/>
    <w:rsid w:val="00EC4E5B"/>
    <w:rsid w:val="00EC4E74"/>
    <w:rsid w:val="00EC4E8D"/>
    <w:rsid w:val="00EC4ED7"/>
    <w:rsid w:val="00EC4F3E"/>
    <w:rsid w:val="00EC4F4B"/>
    <w:rsid w:val="00EC5000"/>
    <w:rsid w:val="00EC504E"/>
    <w:rsid w:val="00EC5055"/>
    <w:rsid w:val="00EC512B"/>
    <w:rsid w:val="00EC518D"/>
    <w:rsid w:val="00EC51CE"/>
    <w:rsid w:val="00EC51DB"/>
    <w:rsid w:val="00EC520A"/>
    <w:rsid w:val="00EC520F"/>
    <w:rsid w:val="00EC522C"/>
    <w:rsid w:val="00EC5245"/>
    <w:rsid w:val="00EC524D"/>
    <w:rsid w:val="00EC525A"/>
    <w:rsid w:val="00EC5264"/>
    <w:rsid w:val="00EC52E7"/>
    <w:rsid w:val="00EC5364"/>
    <w:rsid w:val="00EC53DF"/>
    <w:rsid w:val="00EC5409"/>
    <w:rsid w:val="00EC542B"/>
    <w:rsid w:val="00EC5437"/>
    <w:rsid w:val="00EC5452"/>
    <w:rsid w:val="00EC5468"/>
    <w:rsid w:val="00EC54AA"/>
    <w:rsid w:val="00EC54BB"/>
    <w:rsid w:val="00EC54DB"/>
    <w:rsid w:val="00EC54F0"/>
    <w:rsid w:val="00EC5514"/>
    <w:rsid w:val="00EC551E"/>
    <w:rsid w:val="00EC557B"/>
    <w:rsid w:val="00EC558D"/>
    <w:rsid w:val="00EC55A1"/>
    <w:rsid w:val="00EC55A4"/>
    <w:rsid w:val="00EC55D0"/>
    <w:rsid w:val="00EC55D5"/>
    <w:rsid w:val="00EC55EB"/>
    <w:rsid w:val="00EC5648"/>
    <w:rsid w:val="00EC5652"/>
    <w:rsid w:val="00EC5691"/>
    <w:rsid w:val="00EC56AF"/>
    <w:rsid w:val="00EC56C1"/>
    <w:rsid w:val="00EC56C2"/>
    <w:rsid w:val="00EC570C"/>
    <w:rsid w:val="00EC5723"/>
    <w:rsid w:val="00EC5728"/>
    <w:rsid w:val="00EC572F"/>
    <w:rsid w:val="00EC5732"/>
    <w:rsid w:val="00EC5733"/>
    <w:rsid w:val="00EC577D"/>
    <w:rsid w:val="00EC577F"/>
    <w:rsid w:val="00EC5793"/>
    <w:rsid w:val="00EC579E"/>
    <w:rsid w:val="00EC57A7"/>
    <w:rsid w:val="00EC57BE"/>
    <w:rsid w:val="00EC57C9"/>
    <w:rsid w:val="00EC57EA"/>
    <w:rsid w:val="00EC57EE"/>
    <w:rsid w:val="00EC5810"/>
    <w:rsid w:val="00EC5819"/>
    <w:rsid w:val="00EC5843"/>
    <w:rsid w:val="00EC5877"/>
    <w:rsid w:val="00EC58B0"/>
    <w:rsid w:val="00EC58CA"/>
    <w:rsid w:val="00EC58EF"/>
    <w:rsid w:val="00EC58F5"/>
    <w:rsid w:val="00EC5909"/>
    <w:rsid w:val="00EC590A"/>
    <w:rsid w:val="00EC5933"/>
    <w:rsid w:val="00EC5987"/>
    <w:rsid w:val="00EC598D"/>
    <w:rsid w:val="00EC599D"/>
    <w:rsid w:val="00EC59DF"/>
    <w:rsid w:val="00EC5A2F"/>
    <w:rsid w:val="00EC5B04"/>
    <w:rsid w:val="00EC5B7C"/>
    <w:rsid w:val="00EC5B81"/>
    <w:rsid w:val="00EC5B84"/>
    <w:rsid w:val="00EC5BA7"/>
    <w:rsid w:val="00EC5BF5"/>
    <w:rsid w:val="00EC5C2A"/>
    <w:rsid w:val="00EC5CFC"/>
    <w:rsid w:val="00EC5D1C"/>
    <w:rsid w:val="00EC5D90"/>
    <w:rsid w:val="00EC5DB6"/>
    <w:rsid w:val="00EC5DF5"/>
    <w:rsid w:val="00EC5DF7"/>
    <w:rsid w:val="00EC5E00"/>
    <w:rsid w:val="00EC5E20"/>
    <w:rsid w:val="00EC5E30"/>
    <w:rsid w:val="00EC5E43"/>
    <w:rsid w:val="00EC5E5C"/>
    <w:rsid w:val="00EC5E5E"/>
    <w:rsid w:val="00EC5E62"/>
    <w:rsid w:val="00EC5E71"/>
    <w:rsid w:val="00EC5E97"/>
    <w:rsid w:val="00EC5EB6"/>
    <w:rsid w:val="00EC5ED2"/>
    <w:rsid w:val="00EC5EDE"/>
    <w:rsid w:val="00EC5F05"/>
    <w:rsid w:val="00EC5F26"/>
    <w:rsid w:val="00EC5F41"/>
    <w:rsid w:val="00EC5FBE"/>
    <w:rsid w:val="00EC5FC0"/>
    <w:rsid w:val="00EC5FC1"/>
    <w:rsid w:val="00EC602C"/>
    <w:rsid w:val="00EC6038"/>
    <w:rsid w:val="00EC60C9"/>
    <w:rsid w:val="00EC6148"/>
    <w:rsid w:val="00EC6172"/>
    <w:rsid w:val="00EC6182"/>
    <w:rsid w:val="00EC61F5"/>
    <w:rsid w:val="00EC624F"/>
    <w:rsid w:val="00EC62EB"/>
    <w:rsid w:val="00EC631D"/>
    <w:rsid w:val="00EC6328"/>
    <w:rsid w:val="00EC636B"/>
    <w:rsid w:val="00EC63C6"/>
    <w:rsid w:val="00EC63DD"/>
    <w:rsid w:val="00EC642E"/>
    <w:rsid w:val="00EC643F"/>
    <w:rsid w:val="00EC645C"/>
    <w:rsid w:val="00EC650D"/>
    <w:rsid w:val="00EC6590"/>
    <w:rsid w:val="00EC65AD"/>
    <w:rsid w:val="00EC65D8"/>
    <w:rsid w:val="00EC65D9"/>
    <w:rsid w:val="00EC65F7"/>
    <w:rsid w:val="00EC6652"/>
    <w:rsid w:val="00EC665D"/>
    <w:rsid w:val="00EC6685"/>
    <w:rsid w:val="00EC66AB"/>
    <w:rsid w:val="00EC66AC"/>
    <w:rsid w:val="00EC66B1"/>
    <w:rsid w:val="00EC66CC"/>
    <w:rsid w:val="00EC66E5"/>
    <w:rsid w:val="00EC6701"/>
    <w:rsid w:val="00EC673D"/>
    <w:rsid w:val="00EC6761"/>
    <w:rsid w:val="00EC67B9"/>
    <w:rsid w:val="00EC67D8"/>
    <w:rsid w:val="00EC67DD"/>
    <w:rsid w:val="00EC67E2"/>
    <w:rsid w:val="00EC67F7"/>
    <w:rsid w:val="00EC68D1"/>
    <w:rsid w:val="00EC6911"/>
    <w:rsid w:val="00EC6912"/>
    <w:rsid w:val="00EC695D"/>
    <w:rsid w:val="00EC69A4"/>
    <w:rsid w:val="00EC6A17"/>
    <w:rsid w:val="00EC6AE0"/>
    <w:rsid w:val="00EC6AE5"/>
    <w:rsid w:val="00EC6B99"/>
    <w:rsid w:val="00EC6BF0"/>
    <w:rsid w:val="00EC6C2A"/>
    <w:rsid w:val="00EC6C60"/>
    <w:rsid w:val="00EC6C61"/>
    <w:rsid w:val="00EC6C70"/>
    <w:rsid w:val="00EC6C8D"/>
    <w:rsid w:val="00EC6CA9"/>
    <w:rsid w:val="00EC6CBE"/>
    <w:rsid w:val="00EC6D0D"/>
    <w:rsid w:val="00EC6D28"/>
    <w:rsid w:val="00EC6D9B"/>
    <w:rsid w:val="00EC6DC0"/>
    <w:rsid w:val="00EC6DCC"/>
    <w:rsid w:val="00EC6E39"/>
    <w:rsid w:val="00EC6E8C"/>
    <w:rsid w:val="00EC6EC7"/>
    <w:rsid w:val="00EC6ED4"/>
    <w:rsid w:val="00EC6EF7"/>
    <w:rsid w:val="00EC6F0D"/>
    <w:rsid w:val="00EC6F47"/>
    <w:rsid w:val="00EC6F51"/>
    <w:rsid w:val="00EC6F5A"/>
    <w:rsid w:val="00EC6F82"/>
    <w:rsid w:val="00EC6FA6"/>
    <w:rsid w:val="00EC6FDA"/>
    <w:rsid w:val="00EC6FF1"/>
    <w:rsid w:val="00EC7008"/>
    <w:rsid w:val="00EC700C"/>
    <w:rsid w:val="00EC7070"/>
    <w:rsid w:val="00EC70B0"/>
    <w:rsid w:val="00EC7116"/>
    <w:rsid w:val="00EC7118"/>
    <w:rsid w:val="00EC7128"/>
    <w:rsid w:val="00EC7142"/>
    <w:rsid w:val="00EC7178"/>
    <w:rsid w:val="00EC718D"/>
    <w:rsid w:val="00EC7222"/>
    <w:rsid w:val="00EC72B3"/>
    <w:rsid w:val="00EC72B6"/>
    <w:rsid w:val="00EC72FC"/>
    <w:rsid w:val="00EC7304"/>
    <w:rsid w:val="00EC7318"/>
    <w:rsid w:val="00EC73B9"/>
    <w:rsid w:val="00EC73D5"/>
    <w:rsid w:val="00EC73E4"/>
    <w:rsid w:val="00EC73F1"/>
    <w:rsid w:val="00EC7441"/>
    <w:rsid w:val="00EC744F"/>
    <w:rsid w:val="00EC7462"/>
    <w:rsid w:val="00EC747A"/>
    <w:rsid w:val="00EC7496"/>
    <w:rsid w:val="00EC74AD"/>
    <w:rsid w:val="00EC7512"/>
    <w:rsid w:val="00EC757D"/>
    <w:rsid w:val="00EC75B4"/>
    <w:rsid w:val="00EC75E0"/>
    <w:rsid w:val="00EC7602"/>
    <w:rsid w:val="00EC7659"/>
    <w:rsid w:val="00EC76C0"/>
    <w:rsid w:val="00EC76EC"/>
    <w:rsid w:val="00EC770A"/>
    <w:rsid w:val="00EC771E"/>
    <w:rsid w:val="00EC776B"/>
    <w:rsid w:val="00EC7786"/>
    <w:rsid w:val="00EC779C"/>
    <w:rsid w:val="00EC7802"/>
    <w:rsid w:val="00EC782B"/>
    <w:rsid w:val="00EC784C"/>
    <w:rsid w:val="00EC7884"/>
    <w:rsid w:val="00EC793D"/>
    <w:rsid w:val="00EC7A46"/>
    <w:rsid w:val="00EC7AA2"/>
    <w:rsid w:val="00EC7AD7"/>
    <w:rsid w:val="00EC7AE5"/>
    <w:rsid w:val="00EC7AEC"/>
    <w:rsid w:val="00EC7B0C"/>
    <w:rsid w:val="00EC7B35"/>
    <w:rsid w:val="00EC7B74"/>
    <w:rsid w:val="00EC7BB3"/>
    <w:rsid w:val="00EC7BFF"/>
    <w:rsid w:val="00EC7C13"/>
    <w:rsid w:val="00EC7C28"/>
    <w:rsid w:val="00EC7C81"/>
    <w:rsid w:val="00EC7C90"/>
    <w:rsid w:val="00EC7D26"/>
    <w:rsid w:val="00EC7D3F"/>
    <w:rsid w:val="00EC7D7A"/>
    <w:rsid w:val="00EC7D7C"/>
    <w:rsid w:val="00EC7DAE"/>
    <w:rsid w:val="00EC7DB9"/>
    <w:rsid w:val="00EC7DE1"/>
    <w:rsid w:val="00EC7DED"/>
    <w:rsid w:val="00EC7DFF"/>
    <w:rsid w:val="00EC7E2D"/>
    <w:rsid w:val="00EC7E61"/>
    <w:rsid w:val="00EC7EE4"/>
    <w:rsid w:val="00EC7F02"/>
    <w:rsid w:val="00EC7F46"/>
    <w:rsid w:val="00EC7F49"/>
    <w:rsid w:val="00EC7FC5"/>
    <w:rsid w:val="00EC7FE3"/>
    <w:rsid w:val="00ED000B"/>
    <w:rsid w:val="00ED0014"/>
    <w:rsid w:val="00ED0044"/>
    <w:rsid w:val="00ED0080"/>
    <w:rsid w:val="00ED009A"/>
    <w:rsid w:val="00ED009D"/>
    <w:rsid w:val="00ED00FD"/>
    <w:rsid w:val="00ED0116"/>
    <w:rsid w:val="00ED0136"/>
    <w:rsid w:val="00ED0148"/>
    <w:rsid w:val="00ED01F7"/>
    <w:rsid w:val="00ED0207"/>
    <w:rsid w:val="00ED0216"/>
    <w:rsid w:val="00ED0233"/>
    <w:rsid w:val="00ED0284"/>
    <w:rsid w:val="00ED029A"/>
    <w:rsid w:val="00ED02D5"/>
    <w:rsid w:val="00ED02DD"/>
    <w:rsid w:val="00ED0344"/>
    <w:rsid w:val="00ED0381"/>
    <w:rsid w:val="00ED03B5"/>
    <w:rsid w:val="00ED03FC"/>
    <w:rsid w:val="00ED0402"/>
    <w:rsid w:val="00ED044C"/>
    <w:rsid w:val="00ED0458"/>
    <w:rsid w:val="00ED046B"/>
    <w:rsid w:val="00ED0496"/>
    <w:rsid w:val="00ED04BD"/>
    <w:rsid w:val="00ED04DB"/>
    <w:rsid w:val="00ED051D"/>
    <w:rsid w:val="00ED0607"/>
    <w:rsid w:val="00ED06AA"/>
    <w:rsid w:val="00ED06B7"/>
    <w:rsid w:val="00ED0700"/>
    <w:rsid w:val="00ED0747"/>
    <w:rsid w:val="00ED07D3"/>
    <w:rsid w:val="00ED0826"/>
    <w:rsid w:val="00ED0829"/>
    <w:rsid w:val="00ED0831"/>
    <w:rsid w:val="00ED085F"/>
    <w:rsid w:val="00ED086C"/>
    <w:rsid w:val="00ED08E2"/>
    <w:rsid w:val="00ED0912"/>
    <w:rsid w:val="00ED0923"/>
    <w:rsid w:val="00ED0930"/>
    <w:rsid w:val="00ED093E"/>
    <w:rsid w:val="00ED094D"/>
    <w:rsid w:val="00ED095D"/>
    <w:rsid w:val="00ED0962"/>
    <w:rsid w:val="00ED0967"/>
    <w:rsid w:val="00ED09AB"/>
    <w:rsid w:val="00ED0A04"/>
    <w:rsid w:val="00ED0A31"/>
    <w:rsid w:val="00ED0A6B"/>
    <w:rsid w:val="00ED0A76"/>
    <w:rsid w:val="00ED0AB4"/>
    <w:rsid w:val="00ED0B40"/>
    <w:rsid w:val="00ED0B60"/>
    <w:rsid w:val="00ED0B8F"/>
    <w:rsid w:val="00ED0BBA"/>
    <w:rsid w:val="00ED0BF9"/>
    <w:rsid w:val="00ED0C2E"/>
    <w:rsid w:val="00ED0C36"/>
    <w:rsid w:val="00ED0C3A"/>
    <w:rsid w:val="00ED0C41"/>
    <w:rsid w:val="00ED0C65"/>
    <w:rsid w:val="00ED0C9F"/>
    <w:rsid w:val="00ED0CC3"/>
    <w:rsid w:val="00ED0CCF"/>
    <w:rsid w:val="00ED0D07"/>
    <w:rsid w:val="00ED0D34"/>
    <w:rsid w:val="00ED0D63"/>
    <w:rsid w:val="00ED0D74"/>
    <w:rsid w:val="00ED0D92"/>
    <w:rsid w:val="00ED0D93"/>
    <w:rsid w:val="00ED0D9F"/>
    <w:rsid w:val="00ED0DA3"/>
    <w:rsid w:val="00ED0DF7"/>
    <w:rsid w:val="00ED0DFB"/>
    <w:rsid w:val="00ED0E07"/>
    <w:rsid w:val="00ED0E08"/>
    <w:rsid w:val="00ED0E23"/>
    <w:rsid w:val="00ED0E39"/>
    <w:rsid w:val="00ED0E63"/>
    <w:rsid w:val="00ED0E8C"/>
    <w:rsid w:val="00ED0E9A"/>
    <w:rsid w:val="00ED0F5B"/>
    <w:rsid w:val="00ED0FCC"/>
    <w:rsid w:val="00ED0FDF"/>
    <w:rsid w:val="00ED1014"/>
    <w:rsid w:val="00ED1021"/>
    <w:rsid w:val="00ED102C"/>
    <w:rsid w:val="00ED104B"/>
    <w:rsid w:val="00ED1064"/>
    <w:rsid w:val="00ED108B"/>
    <w:rsid w:val="00ED10A9"/>
    <w:rsid w:val="00ED10F1"/>
    <w:rsid w:val="00ED1122"/>
    <w:rsid w:val="00ED1144"/>
    <w:rsid w:val="00ED1160"/>
    <w:rsid w:val="00ED1161"/>
    <w:rsid w:val="00ED116E"/>
    <w:rsid w:val="00ED11A4"/>
    <w:rsid w:val="00ED11CF"/>
    <w:rsid w:val="00ED11FB"/>
    <w:rsid w:val="00ED125B"/>
    <w:rsid w:val="00ED1270"/>
    <w:rsid w:val="00ED1285"/>
    <w:rsid w:val="00ED128C"/>
    <w:rsid w:val="00ED12A1"/>
    <w:rsid w:val="00ED12AF"/>
    <w:rsid w:val="00ED132C"/>
    <w:rsid w:val="00ED1337"/>
    <w:rsid w:val="00ED1339"/>
    <w:rsid w:val="00ED135B"/>
    <w:rsid w:val="00ED136D"/>
    <w:rsid w:val="00ED1392"/>
    <w:rsid w:val="00ED1393"/>
    <w:rsid w:val="00ED13BC"/>
    <w:rsid w:val="00ED140D"/>
    <w:rsid w:val="00ED1431"/>
    <w:rsid w:val="00ED1449"/>
    <w:rsid w:val="00ED145D"/>
    <w:rsid w:val="00ED1464"/>
    <w:rsid w:val="00ED1487"/>
    <w:rsid w:val="00ED1495"/>
    <w:rsid w:val="00ED14B0"/>
    <w:rsid w:val="00ED1529"/>
    <w:rsid w:val="00ED1534"/>
    <w:rsid w:val="00ED154A"/>
    <w:rsid w:val="00ED1554"/>
    <w:rsid w:val="00ED1558"/>
    <w:rsid w:val="00ED157F"/>
    <w:rsid w:val="00ED15A6"/>
    <w:rsid w:val="00ED15FC"/>
    <w:rsid w:val="00ED161B"/>
    <w:rsid w:val="00ED1620"/>
    <w:rsid w:val="00ED1623"/>
    <w:rsid w:val="00ED162D"/>
    <w:rsid w:val="00ED165A"/>
    <w:rsid w:val="00ED1694"/>
    <w:rsid w:val="00ED1697"/>
    <w:rsid w:val="00ED16A3"/>
    <w:rsid w:val="00ED16C2"/>
    <w:rsid w:val="00ED16F1"/>
    <w:rsid w:val="00ED1701"/>
    <w:rsid w:val="00ED1702"/>
    <w:rsid w:val="00ED171E"/>
    <w:rsid w:val="00ED1730"/>
    <w:rsid w:val="00ED174D"/>
    <w:rsid w:val="00ED1757"/>
    <w:rsid w:val="00ED17A2"/>
    <w:rsid w:val="00ED17B0"/>
    <w:rsid w:val="00ED17ED"/>
    <w:rsid w:val="00ED17F7"/>
    <w:rsid w:val="00ED17F8"/>
    <w:rsid w:val="00ED183B"/>
    <w:rsid w:val="00ED1840"/>
    <w:rsid w:val="00ED1875"/>
    <w:rsid w:val="00ED1902"/>
    <w:rsid w:val="00ED191A"/>
    <w:rsid w:val="00ED1957"/>
    <w:rsid w:val="00ED1982"/>
    <w:rsid w:val="00ED198F"/>
    <w:rsid w:val="00ED19F7"/>
    <w:rsid w:val="00ED1A17"/>
    <w:rsid w:val="00ED1A1C"/>
    <w:rsid w:val="00ED1A5B"/>
    <w:rsid w:val="00ED1A74"/>
    <w:rsid w:val="00ED1A84"/>
    <w:rsid w:val="00ED1AF0"/>
    <w:rsid w:val="00ED1AFC"/>
    <w:rsid w:val="00ED1B31"/>
    <w:rsid w:val="00ED1B97"/>
    <w:rsid w:val="00ED1BDA"/>
    <w:rsid w:val="00ED1BE9"/>
    <w:rsid w:val="00ED1BEC"/>
    <w:rsid w:val="00ED1BED"/>
    <w:rsid w:val="00ED1C17"/>
    <w:rsid w:val="00ED1C58"/>
    <w:rsid w:val="00ED1C8B"/>
    <w:rsid w:val="00ED1CD8"/>
    <w:rsid w:val="00ED1D23"/>
    <w:rsid w:val="00ED1D24"/>
    <w:rsid w:val="00ED1D3B"/>
    <w:rsid w:val="00ED1D6D"/>
    <w:rsid w:val="00ED1D73"/>
    <w:rsid w:val="00ED1D84"/>
    <w:rsid w:val="00ED1D99"/>
    <w:rsid w:val="00ED1DC2"/>
    <w:rsid w:val="00ED1E07"/>
    <w:rsid w:val="00ED1E35"/>
    <w:rsid w:val="00ED1E39"/>
    <w:rsid w:val="00ED1E49"/>
    <w:rsid w:val="00ED1EB2"/>
    <w:rsid w:val="00ED1EC7"/>
    <w:rsid w:val="00ED1F49"/>
    <w:rsid w:val="00ED1F56"/>
    <w:rsid w:val="00ED1F78"/>
    <w:rsid w:val="00ED1FBA"/>
    <w:rsid w:val="00ED1FE0"/>
    <w:rsid w:val="00ED2027"/>
    <w:rsid w:val="00ED2068"/>
    <w:rsid w:val="00ED20C1"/>
    <w:rsid w:val="00ED20EC"/>
    <w:rsid w:val="00ED213B"/>
    <w:rsid w:val="00ED2144"/>
    <w:rsid w:val="00ED21A8"/>
    <w:rsid w:val="00ED21C1"/>
    <w:rsid w:val="00ED223A"/>
    <w:rsid w:val="00ED2257"/>
    <w:rsid w:val="00ED227A"/>
    <w:rsid w:val="00ED227F"/>
    <w:rsid w:val="00ED22C4"/>
    <w:rsid w:val="00ED22E7"/>
    <w:rsid w:val="00ED22F3"/>
    <w:rsid w:val="00ED22FB"/>
    <w:rsid w:val="00ED2310"/>
    <w:rsid w:val="00ED236A"/>
    <w:rsid w:val="00ED2385"/>
    <w:rsid w:val="00ED23D7"/>
    <w:rsid w:val="00ED2490"/>
    <w:rsid w:val="00ED24AF"/>
    <w:rsid w:val="00ED24B2"/>
    <w:rsid w:val="00ED24C4"/>
    <w:rsid w:val="00ED2504"/>
    <w:rsid w:val="00ED2510"/>
    <w:rsid w:val="00ED2523"/>
    <w:rsid w:val="00ED2550"/>
    <w:rsid w:val="00ED2593"/>
    <w:rsid w:val="00ED25A7"/>
    <w:rsid w:val="00ED25AE"/>
    <w:rsid w:val="00ED25BF"/>
    <w:rsid w:val="00ED25F3"/>
    <w:rsid w:val="00ED263C"/>
    <w:rsid w:val="00ED2649"/>
    <w:rsid w:val="00ED265F"/>
    <w:rsid w:val="00ED2666"/>
    <w:rsid w:val="00ED26B3"/>
    <w:rsid w:val="00ED279F"/>
    <w:rsid w:val="00ED27A0"/>
    <w:rsid w:val="00ED27A3"/>
    <w:rsid w:val="00ED27CC"/>
    <w:rsid w:val="00ED27D2"/>
    <w:rsid w:val="00ED283F"/>
    <w:rsid w:val="00ED2847"/>
    <w:rsid w:val="00ED285A"/>
    <w:rsid w:val="00ED2877"/>
    <w:rsid w:val="00ED288A"/>
    <w:rsid w:val="00ED288D"/>
    <w:rsid w:val="00ED2906"/>
    <w:rsid w:val="00ED292A"/>
    <w:rsid w:val="00ED2978"/>
    <w:rsid w:val="00ED298E"/>
    <w:rsid w:val="00ED29C8"/>
    <w:rsid w:val="00ED29E7"/>
    <w:rsid w:val="00ED2A24"/>
    <w:rsid w:val="00ED2A41"/>
    <w:rsid w:val="00ED2A4B"/>
    <w:rsid w:val="00ED2A7C"/>
    <w:rsid w:val="00ED2AA9"/>
    <w:rsid w:val="00ED2ABC"/>
    <w:rsid w:val="00ED2B2F"/>
    <w:rsid w:val="00ED2B7F"/>
    <w:rsid w:val="00ED2BB8"/>
    <w:rsid w:val="00ED2BFA"/>
    <w:rsid w:val="00ED2C10"/>
    <w:rsid w:val="00ED2CAD"/>
    <w:rsid w:val="00ED2CB7"/>
    <w:rsid w:val="00ED2D29"/>
    <w:rsid w:val="00ED2D4B"/>
    <w:rsid w:val="00ED2E07"/>
    <w:rsid w:val="00ED2E24"/>
    <w:rsid w:val="00ED2E4D"/>
    <w:rsid w:val="00ED2E6C"/>
    <w:rsid w:val="00ED2E81"/>
    <w:rsid w:val="00ED2EA1"/>
    <w:rsid w:val="00ED2EBA"/>
    <w:rsid w:val="00ED2EDE"/>
    <w:rsid w:val="00ED2EF4"/>
    <w:rsid w:val="00ED2F1E"/>
    <w:rsid w:val="00ED2F6D"/>
    <w:rsid w:val="00ED2F75"/>
    <w:rsid w:val="00ED3022"/>
    <w:rsid w:val="00ED3043"/>
    <w:rsid w:val="00ED3063"/>
    <w:rsid w:val="00ED30B3"/>
    <w:rsid w:val="00ED3109"/>
    <w:rsid w:val="00ED311E"/>
    <w:rsid w:val="00ED3128"/>
    <w:rsid w:val="00ED313A"/>
    <w:rsid w:val="00ED313C"/>
    <w:rsid w:val="00ED316A"/>
    <w:rsid w:val="00ED3177"/>
    <w:rsid w:val="00ED31D1"/>
    <w:rsid w:val="00ED3226"/>
    <w:rsid w:val="00ED3269"/>
    <w:rsid w:val="00ED32AB"/>
    <w:rsid w:val="00ED32C5"/>
    <w:rsid w:val="00ED32D2"/>
    <w:rsid w:val="00ED32E8"/>
    <w:rsid w:val="00ED32F4"/>
    <w:rsid w:val="00ED336C"/>
    <w:rsid w:val="00ED3387"/>
    <w:rsid w:val="00ED33A1"/>
    <w:rsid w:val="00ED3433"/>
    <w:rsid w:val="00ED3456"/>
    <w:rsid w:val="00ED349A"/>
    <w:rsid w:val="00ED349E"/>
    <w:rsid w:val="00ED34B1"/>
    <w:rsid w:val="00ED34D3"/>
    <w:rsid w:val="00ED34F0"/>
    <w:rsid w:val="00ED34FD"/>
    <w:rsid w:val="00ED3566"/>
    <w:rsid w:val="00ED3569"/>
    <w:rsid w:val="00ED35C1"/>
    <w:rsid w:val="00ED35C2"/>
    <w:rsid w:val="00ED35EA"/>
    <w:rsid w:val="00ED35FA"/>
    <w:rsid w:val="00ED3607"/>
    <w:rsid w:val="00ED3622"/>
    <w:rsid w:val="00ED3628"/>
    <w:rsid w:val="00ED3641"/>
    <w:rsid w:val="00ED36A2"/>
    <w:rsid w:val="00ED36C2"/>
    <w:rsid w:val="00ED36C9"/>
    <w:rsid w:val="00ED36EB"/>
    <w:rsid w:val="00ED36FD"/>
    <w:rsid w:val="00ED3750"/>
    <w:rsid w:val="00ED376F"/>
    <w:rsid w:val="00ED3779"/>
    <w:rsid w:val="00ED37D0"/>
    <w:rsid w:val="00ED37E7"/>
    <w:rsid w:val="00ED3802"/>
    <w:rsid w:val="00ED3803"/>
    <w:rsid w:val="00ED3815"/>
    <w:rsid w:val="00ED3877"/>
    <w:rsid w:val="00ED391C"/>
    <w:rsid w:val="00ED3947"/>
    <w:rsid w:val="00ED394C"/>
    <w:rsid w:val="00ED399C"/>
    <w:rsid w:val="00ED39A9"/>
    <w:rsid w:val="00ED39DF"/>
    <w:rsid w:val="00ED3A2D"/>
    <w:rsid w:val="00ED3A75"/>
    <w:rsid w:val="00ED3A7B"/>
    <w:rsid w:val="00ED3A89"/>
    <w:rsid w:val="00ED3A9C"/>
    <w:rsid w:val="00ED3B19"/>
    <w:rsid w:val="00ED3B1A"/>
    <w:rsid w:val="00ED3B23"/>
    <w:rsid w:val="00ED3B31"/>
    <w:rsid w:val="00ED3B45"/>
    <w:rsid w:val="00ED3B76"/>
    <w:rsid w:val="00ED3BD5"/>
    <w:rsid w:val="00ED3C07"/>
    <w:rsid w:val="00ED3C0C"/>
    <w:rsid w:val="00ED3C5D"/>
    <w:rsid w:val="00ED3C64"/>
    <w:rsid w:val="00ED3C7B"/>
    <w:rsid w:val="00ED3C8A"/>
    <w:rsid w:val="00ED3CF1"/>
    <w:rsid w:val="00ED3D23"/>
    <w:rsid w:val="00ED3D35"/>
    <w:rsid w:val="00ED3D3A"/>
    <w:rsid w:val="00ED3D40"/>
    <w:rsid w:val="00ED3D55"/>
    <w:rsid w:val="00ED3D7F"/>
    <w:rsid w:val="00ED3D96"/>
    <w:rsid w:val="00ED3DB6"/>
    <w:rsid w:val="00ED3E2B"/>
    <w:rsid w:val="00ED3E4F"/>
    <w:rsid w:val="00ED3E6C"/>
    <w:rsid w:val="00ED3E83"/>
    <w:rsid w:val="00ED3ED9"/>
    <w:rsid w:val="00ED3EFC"/>
    <w:rsid w:val="00ED3F07"/>
    <w:rsid w:val="00ED3F0B"/>
    <w:rsid w:val="00ED3F48"/>
    <w:rsid w:val="00ED3F68"/>
    <w:rsid w:val="00ED3F8A"/>
    <w:rsid w:val="00ED3FA1"/>
    <w:rsid w:val="00ED3FD4"/>
    <w:rsid w:val="00ED3FD8"/>
    <w:rsid w:val="00ED40B9"/>
    <w:rsid w:val="00ED40BA"/>
    <w:rsid w:val="00ED40EC"/>
    <w:rsid w:val="00ED410F"/>
    <w:rsid w:val="00ED4111"/>
    <w:rsid w:val="00ED4121"/>
    <w:rsid w:val="00ED413A"/>
    <w:rsid w:val="00ED4179"/>
    <w:rsid w:val="00ED4193"/>
    <w:rsid w:val="00ED41B0"/>
    <w:rsid w:val="00ED41C5"/>
    <w:rsid w:val="00ED41F2"/>
    <w:rsid w:val="00ED420E"/>
    <w:rsid w:val="00ED425F"/>
    <w:rsid w:val="00ED42DF"/>
    <w:rsid w:val="00ED4300"/>
    <w:rsid w:val="00ED435D"/>
    <w:rsid w:val="00ED4366"/>
    <w:rsid w:val="00ED439B"/>
    <w:rsid w:val="00ED439D"/>
    <w:rsid w:val="00ED43C8"/>
    <w:rsid w:val="00ED448A"/>
    <w:rsid w:val="00ED44A3"/>
    <w:rsid w:val="00ED44DB"/>
    <w:rsid w:val="00ED4508"/>
    <w:rsid w:val="00ED4524"/>
    <w:rsid w:val="00ED4546"/>
    <w:rsid w:val="00ED455D"/>
    <w:rsid w:val="00ED45B7"/>
    <w:rsid w:val="00ED45E5"/>
    <w:rsid w:val="00ED45F1"/>
    <w:rsid w:val="00ED465A"/>
    <w:rsid w:val="00ED465E"/>
    <w:rsid w:val="00ED466F"/>
    <w:rsid w:val="00ED4672"/>
    <w:rsid w:val="00ED4769"/>
    <w:rsid w:val="00ED4794"/>
    <w:rsid w:val="00ED47E1"/>
    <w:rsid w:val="00ED484C"/>
    <w:rsid w:val="00ED4855"/>
    <w:rsid w:val="00ED48DF"/>
    <w:rsid w:val="00ED48FC"/>
    <w:rsid w:val="00ED48FD"/>
    <w:rsid w:val="00ED4909"/>
    <w:rsid w:val="00ED492B"/>
    <w:rsid w:val="00ED492E"/>
    <w:rsid w:val="00ED494C"/>
    <w:rsid w:val="00ED4952"/>
    <w:rsid w:val="00ED4A06"/>
    <w:rsid w:val="00ED4A31"/>
    <w:rsid w:val="00ED4A58"/>
    <w:rsid w:val="00ED4A9E"/>
    <w:rsid w:val="00ED4B61"/>
    <w:rsid w:val="00ED4B72"/>
    <w:rsid w:val="00ED4B84"/>
    <w:rsid w:val="00ED4BFC"/>
    <w:rsid w:val="00ED4C37"/>
    <w:rsid w:val="00ED4C67"/>
    <w:rsid w:val="00ED4C7A"/>
    <w:rsid w:val="00ED4CA6"/>
    <w:rsid w:val="00ED4CBE"/>
    <w:rsid w:val="00ED4CE6"/>
    <w:rsid w:val="00ED4D79"/>
    <w:rsid w:val="00ED4D82"/>
    <w:rsid w:val="00ED4DFF"/>
    <w:rsid w:val="00ED4E30"/>
    <w:rsid w:val="00ED4E4E"/>
    <w:rsid w:val="00ED4E9F"/>
    <w:rsid w:val="00ED4EBD"/>
    <w:rsid w:val="00ED4ECD"/>
    <w:rsid w:val="00ED4EFF"/>
    <w:rsid w:val="00ED4F1B"/>
    <w:rsid w:val="00ED4F26"/>
    <w:rsid w:val="00ED4FC6"/>
    <w:rsid w:val="00ED4FC9"/>
    <w:rsid w:val="00ED500C"/>
    <w:rsid w:val="00ED5028"/>
    <w:rsid w:val="00ED506A"/>
    <w:rsid w:val="00ED5083"/>
    <w:rsid w:val="00ED50A1"/>
    <w:rsid w:val="00ED50AD"/>
    <w:rsid w:val="00ED50AF"/>
    <w:rsid w:val="00ED50BA"/>
    <w:rsid w:val="00ED513E"/>
    <w:rsid w:val="00ED5156"/>
    <w:rsid w:val="00ED51A0"/>
    <w:rsid w:val="00ED51A8"/>
    <w:rsid w:val="00ED5207"/>
    <w:rsid w:val="00ED5221"/>
    <w:rsid w:val="00ED5245"/>
    <w:rsid w:val="00ED528A"/>
    <w:rsid w:val="00ED528E"/>
    <w:rsid w:val="00ED5290"/>
    <w:rsid w:val="00ED52FF"/>
    <w:rsid w:val="00ED534A"/>
    <w:rsid w:val="00ED538D"/>
    <w:rsid w:val="00ED53BD"/>
    <w:rsid w:val="00ED53D8"/>
    <w:rsid w:val="00ED53F7"/>
    <w:rsid w:val="00ED546F"/>
    <w:rsid w:val="00ED54F1"/>
    <w:rsid w:val="00ED5500"/>
    <w:rsid w:val="00ED554B"/>
    <w:rsid w:val="00ED556B"/>
    <w:rsid w:val="00ED55C2"/>
    <w:rsid w:val="00ED560E"/>
    <w:rsid w:val="00ED562A"/>
    <w:rsid w:val="00ED5651"/>
    <w:rsid w:val="00ED569C"/>
    <w:rsid w:val="00ED56AA"/>
    <w:rsid w:val="00ED5746"/>
    <w:rsid w:val="00ED57CC"/>
    <w:rsid w:val="00ED57E1"/>
    <w:rsid w:val="00ED57F7"/>
    <w:rsid w:val="00ED580A"/>
    <w:rsid w:val="00ED58AA"/>
    <w:rsid w:val="00ED58AB"/>
    <w:rsid w:val="00ED5935"/>
    <w:rsid w:val="00ED5939"/>
    <w:rsid w:val="00ED595B"/>
    <w:rsid w:val="00ED5996"/>
    <w:rsid w:val="00ED59E2"/>
    <w:rsid w:val="00ED5A25"/>
    <w:rsid w:val="00ED5A55"/>
    <w:rsid w:val="00ED5A6C"/>
    <w:rsid w:val="00ED5A94"/>
    <w:rsid w:val="00ED5B29"/>
    <w:rsid w:val="00ED5B35"/>
    <w:rsid w:val="00ED5B64"/>
    <w:rsid w:val="00ED5B86"/>
    <w:rsid w:val="00ED5BF1"/>
    <w:rsid w:val="00ED5C17"/>
    <w:rsid w:val="00ED5C26"/>
    <w:rsid w:val="00ED5C72"/>
    <w:rsid w:val="00ED5C85"/>
    <w:rsid w:val="00ED5C88"/>
    <w:rsid w:val="00ED5CCC"/>
    <w:rsid w:val="00ED5D80"/>
    <w:rsid w:val="00ED5D81"/>
    <w:rsid w:val="00ED5DAC"/>
    <w:rsid w:val="00ED5DC8"/>
    <w:rsid w:val="00ED5DD7"/>
    <w:rsid w:val="00ED5DFE"/>
    <w:rsid w:val="00ED5E47"/>
    <w:rsid w:val="00ED5E6C"/>
    <w:rsid w:val="00ED5E7D"/>
    <w:rsid w:val="00ED5E9E"/>
    <w:rsid w:val="00ED5EB1"/>
    <w:rsid w:val="00ED5EB6"/>
    <w:rsid w:val="00ED5ECA"/>
    <w:rsid w:val="00ED5ED8"/>
    <w:rsid w:val="00ED5EDB"/>
    <w:rsid w:val="00ED5EED"/>
    <w:rsid w:val="00ED5EF9"/>
    <w:rsid w:val="00ED5F0D"/>
    <w:rsid w:val="00ED5F0E"/>
    <w:rsid w:val="00ED5F54"/>
    <w:rsid w:val="00ED5F5B"/>
    <w:rsid w:val="00ED5F7D"/>
    <w:rsid w:val="00ED5FB2"/>
    <w:rsid w:val="00ED600D"/>
    <w:rsid w:val="00ED605B"/>
    <w:rsid w:val="00ED609C"/>
    <w:rsid w:val="00ED60A7"/>
    <w:rsid w:val="00ED60B3"/>
    <w:rsid w:val="00ED60CB"/>
    <w:rsid w:val="00ED60E9"/>
    <w:rsid w:val="00ED60EA"/>
    <w:rsid w:val="00ED60F2"/>
    <w:rsid w:val="00ED60F9"/>
    <w:rsid w:val="00ED6117"/>
    <w:rsid w:val="00ED6129"/>
    <w:rsid w:val="00ED6153"/>
    <w:rsid w:val="00ED6198"/>
    <w:rsid w:val="00ED619A"/>
    <w:rsid w:val="00ED619B"/>
    <w:rsid w:val="00ED61AE"/>
    <w:rsid w:val="00ED61C9"/>
    <w:rsid w:val="00ED61EC"/>
    <w:rsid w:val="00ED6230"/>
    <w:rsid w:val="00ED624F"/>
    <w:rsid w:val="00ED625C"/>
    <w:rsid w:val="00ED627F"/>
    <w:rsid w:val="00ED62F7"/>
    <w:rsid w:val="00ED6341"/>
    <w:rsid w:val="00ED634E"/>
    <w:rsid w:val="00ED63BD"/>
    <w:rsid w:val="00ED63FA"/>
    <w:rsid w:val="00ED6428"/>
    <w:rsid w:val="00ED643C"/>
    <w:rsid w:val="00ED6443"/>
    <w:rsid w:val="00ED6488"/>
    <w:rsid w:val="00ED6500"/>
    <w:rsid w:val="00ED651C"/>
    <w:rsid w:val="00ED654E"/>
    <w:rsid w:val="00ED654F"/>
    <w:rsid w:val="00ED6595"/>
    <w:rsid w:val="00ED6631"/>
    <w:rsid w:val="00ED6642"/>
    <w:rsid w:val="00ED6649"/>
    <w:rsid w:val="00ED6658"/>
    <w:rsid w:val="00ED6697"/>
    <w:rsid w:val="00ED66B8"/>
    <w:rsid w:val="00ED66C6"/>
    <w:rsid w:val="00ED6713"/>
    <w:rsid w:val="00ED6790"/>
    <w:rsid w:val="00ED67D2"/>
    <w:rsid w:val="00ED6863"/>
    <w:rsid w:val="00ED6871"/>
    <w:rsid w:val="00ED6879"/>
    <w:rsid w:val="00ED68CB"/>
    <w:rsid w:val="00ED68D6"/>
    <w:rsid w:val="00ED6930"/>
    <w:rsid w:val="00ED69F6"/>
    <w:rsid w:val="00ED69F9"/>
    <w:rsid w:val="00ED6A60"/>
    <w:rsid w:val="00ED6AB5"/>
    <w:rsid w:val="00ED6B32"/>
    <w:rsid w:val="00ED6B75"/>
    <w:rsid w:val="00ED6BA6"/>
    <w:rsid w:val="00ED6BA7"/>
    <w:rsid w:val="00ED6BB7"/>
    <w:rsid w:val="00ED6BDA"/>
    <w:rsid w:val="00ED6C9B"/>
    <w:rsid w:val="00ED6CA8"/>
    <w:rsid w:val="00ED6D1A"/>
    <w:rsid w:val="00ED6D2E"/>
    <w:rsid w:val="00ED6D62"/>
    <w:rsid w:val="00ED6D7A"/>
    <w:rsid w:val="00ED6DC0"/>
    <w:rsid w:val="00ED6DCE"/>
    <w:rsid w:val="00ED6DDD"/>
    <w:rsid w:val="00ED6DF5"/>
    <w:rsid w:val="00ED6E19"/>
    <w:rsid w:val="00ED6E68"/>
    <w:rsid w:val="00ED6E6B"/>
    <w:rsid w:val="00ED6E99"/>
    <w:rsid w:val="00ED6EBB"/>
    <w:rsid w:val="00ED6F17"/>
    <w:rsid w:val="00ED6F2A"/>
    <w:rsid w:val="00ED6F96"/>
    <w:rsid w:val="00ED6FAD"/>
    <w:rsid w:val="00ED6FD9"/>
    <w:rsid w:val="00ED6FDB"/>
    <w:rsid w:val="00ED7009"/>
    <w:rsid w:val="00ED706E"/>
    <w:rsid w:val="00ED709A"/>
    <w:rsid w:val="00ED70C1"/>
    <w:rsid w:val="00ED7109"/>
    <w:rsid w:val="00ED7138"/>
    <w:rsid w:val="00ED714A"/>
    <w:rsid w:val="00ED7168"/>
    <w:rsid w:val="00ED71A2"/>
    <w:rsid w:val="00ED71A7"/>
    <w:rsid w:val="00ED71A9"/>
    <w:rsid w:val="00ED71F4"/>
    <w:rsid w:val="00ED721A"/>
    <w:rsid w:val="00ED7222"/>
    <w:rsid w:val="00ED7239"/>
    <w:rsid w:val="00ED7240"/>
    <w:rsid w:val="00ED7242"/>
    <w:rsid w:val="00ED7249"/>
    <w:rsid w:val="00ED726E"/>
    <w:rsid w:val="00ED7271"/>
    <w:rsid w:val="00ED7291"/>
    <w:rsid w:val="00ED7314"/>
    <w:rsid w:val="00ED7357"/>
    <w:rsid w:val="00ED736D"/>
    <w:rsid w:val="00ED7389"/>
    <w:rsid w:val="00ED73B2"/>
    <w:rsid w:val="00ED73DD"/>
    <w:rsid w:val="00ED73F6"/>
    <w:rsid w:val="00ED73FE"/>
    <w:rsid w:val="00ED741A"/>
    <w:rsid w:val="00ED74CC"/>
    <w:rsid w:val="00ED7504"/>
    <w:rsid w:val="00ED750F"/>
    <w:rsid w:val="00ED756D"/>
    <w:rsid w:val="00ED7597"/>
    <w:rsid w:val="00ED75C7"/>
    <w:rsid w:val="00ED75EC"/>
    <w:rsid w:val="00ED7621"/>
    <w:rsid w:val="00ED762F"/>
    <w:rsid w:val="00ED7659"/>
    <w:rsid w:val="00ED765B"/>
    <w:rsid w:val="00ED767F"/>
    <w:rsid w:val="00ED7694"/>
    <w:rsid w:val="00ED76B5"/>
    <w:rsid w:val="00ED76E7"/>
    <w:rsid w:val="00ED7740"/>
    <w:rsid w:val="00ED774A"/>
    <w:rsid w:val="00ED7779"/>
    <w:rsid w:val="00ED778B"/>
    <w:rsid w:val="00ED77C7"/>
    <w:rsid w:val="00ED77D2"/>
    <w:rsid w:val="00ED784A"/>
    <w:rsid w:val="00ED784D"/>
    <w:rsid w:val="00ED7874"/>
    <w:rsid w:val="00ED788F"/>
    <w:rsid w:val="00ED78F0"/>
    <w:rsid w:val="00ED7900"/>
    <w:rsid w:val="00ED791D"/>
    <w:rsid w:val="00ED798A"/>
    <w:rsid w:val="00ED79DD"/>
    <w:rsid w:val="00ED7A8F"/>
    <w:rsid w:val="00ED7AA1"/>
    <w:rsid w:val="00ED7B28"/>
    <w:rsid w:val="00ED7B7B"/>
    <w:rsid w:val="00ED7C29"/>
    <w:rsid w:val="00ED7C34"/>
    <w:rsid w:val="00ED7C7E"/>
    <w:rsid w:val="00ED7C87"/>
    <w:rsid w:val="00ED7C93"/>
    <w:rsid w:val="00ED7C94"/>
    <w:rsid w:val="00ED7D13"/>
    <w:rsid w:val="00ED7D4D"/>
    <w:rsid w:val="00ED7D69"/>
    <w:rsid w:val="00ED7D83"/>
    <w:rsid w:val="00ED7DBA"/>
    <w:rsid w:val="00ED7E1F"/>
    <w:rsid w:val="00ED7E22"/>
    <w:rsid w:val="00ED7E25"/>
    <w:rsid w:val="00ED7E39"/>
    <w:rsid w:val="00ED7E3B"/>
    <w:rsid w:val="00ED7E42"/>
    <w:rsid w:val="00ED7E63"/>
    <w:rsid w:val="00ED7E8C"/>
    <w:rsid w:val="00ED7EB0"/>
    <w:rsid w:val="00ED7EC9"/>
    <w:rsid w:val="00ED7EEA"/>
    <w:rsid w:val="00ED7F21"/>
    <w:rsid w:val="00ED7F35"/>
    <w:rsid w:val="00ED7F3C"/>
    <w:rsid w:val="00ED7F73"/>
    <w:rsid w:val="00ED7FAC"/>
    <w:rsid w:val="00ED7FB6"/>
    <w:rsid w:val="00ED7FCC"/>
    <w:rsid w:val="00EE0013"/>
    <w:rsid w:val="00EE0018"/>
    <w:rsid w:val="00EE006A"/>
    <w:rsid w:val="00EE0080"/>
    <w:rsid w:val="00EE00AB"/>
    <w:rsid w:val="00EE00F0"/>
    <w:rsid w:val="00EE012D"/>
    <w:rsid w:val="00EE0189"/>
    <w:rsid w:val="00EE0200"/>
    <w:rsid w:val="00EE0231"/>
    <w:rsid w:val="00EE024B"/>
    <w:rsid w:val="00EE0264"/>
    <w:rsid w:val="00EE026E"/>
    <w:rsid w:val="00EE02A3"/>
    <w:rsid w:val="00EE02A8"/>
    <w:rsid w:val="00EE02FC"/>
    <w:rsid w:val="00EE0321"/>
    <w:rsid w:val="00EE0330"/>
    <w:rsid w:val="00EE0367"/>
    <w:rsid w:val="00EE0393"/>
    <w:rsid w:val="00EE03AE"/>
    <w:rsid w:val="00EE03D9"/>
    <w:rsid w:val="00EE03DD"/>
    <w:rsid w:val="00EE0420"/>
    <w:rsid w:val="00EE0445"/>
    <w:rsid w:val="00EE045E"/>
    <w:rsid w:val="00EE04DD"/>
    <w:rsid w:val="00EE0536"/>
    <w:rsid w:val="00EE053A"/>
    <w:rsid w:val="00EE0540"/>
    <w:rsid w:val="00EE054E"/>
    <w:rsid w:val="00EE057F"/>
    <w:rsid w:val="00EE060C"/>
    <w:rsid w:val="00EE0661"/>
    <w:rsid w:val="00EE06B9"/>
    <w:rsid w:val="00EE079F"/>
    <w:rsid w:val="00EE07E4"/>
    <w:rsid w:val="00EE07F9"/>
    <w:rsid w:val="00EE081D"/>
    <w:rsid w:val="00EE0831"/>
    <w:rsid w:val="00EE0868"/>
    <w:rsid w:val="00EE0883"/>
    <w:rsid w:val="00EE08D4"/>
    <w:rsid w:val="00EE0914"/>
    <w:rsid w:val="00EE0919"/>
    <w:rsid w:val="00EE0985"/>
    <w:rsid w:val="00EE09CC"/>
    <w:rsid w:val="00EE09D3"/>
    <w:rsid w:val="00EE09F1"/>
    <w:rsid w:val="00EE0A39"/>
    <w:rsid w:val="00EE0A56"/>
    <w:rsid w:val="00EE0A95"/>
    <w:rsid w:val="00EE0AAE"/>
    <w:rsid w:val="00EE0B18"/>
    <w:rsid w:val="00EE0B2A"/>
    <w:rsid w:val="00EE0B73"/>
    <w:rsid w:val="00EE0B91"/>
    <w:rsid w:val="00EE0C12"/>
    <w:rsid w:val="00EE0C66"/>
    <w:rsid w:val="00EE0C92"/>
    <w:rsid w:val="00EE0CE7"/>
    <w:rsid w:val="00EE0CFF"/>
    <w:rsid w:val="00EE0D1E"/>
    <w:rsid w:val="00EE0D22"/>
    <w:rsid w:val="00EE0D26"/>
    <w:rsid w:val="00EE0D62"/>
    <w:rsid w:val="00EE0DD8"/>
    <w:rsid w:val="00EE0DDF"/>
    <w:rsid w:val="00EE0DE8"/>
    <w:rsid w:val="00EE0E0C"/>
    <w:rsid w:val="00EE0EB2"/>
    <w:rsid w:val="00EE0EC7"/>
    <w:rsid w:val="00EE0ECA"/>
    <w:rsid w:val="00EE0F80"/>
    <w:rsid w:val="00EE0F8C"/>
    <w:rsid w:val="00EE0FA1"/>
    <w:rsid w:val="00EE0FC6"/>
    <w:rsid w:val="00EE0FF3"/>
    <w:rsid w:val="00EE1021"/>
    <w:rsid w:val="00EE105A"/>
    <w:rsid w:val="00EE107B"/>
    <w:rsid w:val="00EE1093"/>
    <w:rsid w:val="00EE10B8"/>
    <w:rsid w:val="00EE10D2"/>
    <w:rsid w:val="00EE10DD"/>
    <w:rsid w:val="00EE10E1"/>
    <w:rsid w:val="00EE1127"/>
    <w:rsid w:val="00EE1143"/>
    <w:rsid w:val="00EE1169"/>
    <w:rsid w:val="00EE1179"/>
    <w:rsid w:val="00EE11A0"/>
    <w:rsid w:val="00EE11B6"/>
    <w:rsid w:val="00EE127E"/>
    <w:rsid w:val="00EE1288"/>
    <w:rsid w:val="00EE12BD"/>
    <w:rsid w:val="00EE12D0"/>
    <w:rsid w:val="00EE12DA"/>
    <w:rsid w:val="00EE12FE"/>
    <w:rsid w:val="00EE130D"/>
    <w:rsid w:val="00EE133F"/>
    <w:rsid w:val="00EE1384"/>
    <w:rsid w:val="00EE13D0"/>
    <w:rsid w:val="00EE13FC"/>
    <w:rsid w:val="00EE144D"/>
    <w:rsid w:val="00EE146B"/>
    <w:rsid w:val="00EE1477"/>
    <w:rsid w:val="00EE1484"/>
    <w:rsid w:val="00EE149C"/>
    <w:rsid w:val="00EE14B0"/>
    <w:rsid w:val="00EE14C4"/>
    <w:rsid w:val="00EE14E3"/>
    <w:rsid w:val="00EE14FB"/>
    <w:rsid w:val="00EE1518"/>
    <w:rsid w:val="00EE151E"/>
    <w:rsid w:val="00EE1520"/>
    <w:rsid w:val="00EE1537"/>
    <w:rsid w:val="00EE154E"/>
    <w:rsid w:val="00EE1564"/>
    <w:rsid w:val="00EE1576"/>
    <w:rsid w:val="00EE163E"/>
    <w:rsid w:val="00EE1644"/>
    <w:rsid w:val="00EE165C"/>
    <w:rsid w:val="00EE16AD"/>
    <w:rsid w:val="00EE16E0"/>
    <w:rsid w:val="00EE17AF"/>
    <w:rsid w:val="00EE17C4"/>
    <w:rsid w:val="00EE17C7"/>
    <w:rsid w:val="00EE17DC"/>
    <w:rsid w:val="00EE17F4"/>
    <w:rsid w:val="00EE184A"/>
    <w:rsid w:val="00EE18C2"/>
    <w:rsid w:val="00EE18ED"/>
    <w:rsid w:val="00EE1923"/>
    <w:rsid w:val="00EE1958"/>
    <w:rsid w:val="00EE1976"/>
    <w:rsid w:val="00EE1983"/>
    <w:rsid w:val="00EE1A08"/>
    <w:rsid w:val="00EE1A1E"/>
    <w:rsid w:val="00EE1A26"/>
    <w:rsid w:val="00EE1A38"/>
    <w:rsid w:val="00EE1A4E"/>
    <w:rsid w:val="00EE1A66"/>
    <w:rsid w:val="00EE1A67"/>
    <w:rsid w:val="00EE1A8B"/>
    <w:rsid w:val="00EE1AB9"/>
    <w:rsid w:val="00EE1ACE"/>
    <w:rsid w:val="00EE1B08"/>
    <w:rsid w:val="00EE1B24"/>
    <w:rsid w:val="00EE1B26"/>
    <w:rsid w:val="00EE1B2D"/>
    <w:rsid w:val="00EE1B4A"/>
    <w:rsid w:val="00EE1B6B"/>
    <w:rsid w:val="00EE1B6F"/>
    <w:rsid w:val="00EE1B79"/>
    <w:rsid w:val="00EE1B89"/>
    <w:rsid w:val="00EE1B99"/>
    <w:rsid w:val="00EE1BA6"/>
    <w:rsid w:val="00EE1BDA"/>
    <w:rsid w:val="00EE1BE6"/>
    <w:rsid w:val="00EE1C1B"/>
    <w:rsid w:val="00EE1D12"/>
    <w:rsid w:val="00EE1D3E"/>
    <w:rsid w:val="00EE1D50"/>
    <w:rsid w:val="00EE1D93"/>
    <w:rsid w:val="00EE1DB2"/>
    <w:rsid w:val="00EE1DB6"/>
    <w:rsid w:val="00EE1DEE"/>
    <w:rsid w:val="00EE1E77"/>
    <w:rsid w:val="00EE1E7D"/>
    <w:rsid w:val="00EE1E94"/>
    <w:rsid w:val="00EE1EAA"/>
    <w:rsid w:val="00EE1F1A"/>
    <w:rsid w:val="00EE1F27"/>
    <w:rsid w:val="00EE1F6B"/>
    <w:rsid w:val="00EE1F78"/>
    <w:rsid w:val="00EE1F79"/>
    <w:rsid w:val="00EE1FDD"/>
    <w:rsid w:val="00EE1FE7"/>
    <w:rsid w:val="00EE2003"/>
    <w:rsid w:val="00EE206C"/>
    <w:rsid w:val="00EE212C"/>
    <w:rsid w:val="00EE2138"/>
    <w:rsid w:val="00EE2192"/>
    <w:rsid w:val="00EE2220"/>
    <w:rsid w:val="00EE222A"/>
    <w:rsid w:val="00EE2233"/>
    <w:rsid w:val="00EE2261"/>
    <w:rsid w:val="00EE2271"/>
    <w:rsid w:val="00EE22D9"/>
    <w:rsid w:val="00EE22DD"/>
    <w:rsid w:val="00EE22E8"/>
    <w:rsid w:val="00EE231E"/>
    <w:rsid w:val="00EE2340"/>
    <w:rsid w:val="00EE234C"/>
    <w:rsid w:val="00EE2368"/>
    <w:rsid w:val="00EE2379"/>
    <w:rsid w:val="00EE2392"/>
    <w:rsid w:val="00EE2398"/>
    <w:rsid w:val="00EE239B"/>
    <w:rsid w:val="00EE23A2"/>
    <w:rsid w:val="00EE23F4"/>
    <w:rsid w:val="00EE244C"/>
    <w:rsid w:val="00EE249C"/>
    <w:rsid w:val="00EE24CF"/>
    <w:rsid w:val="00EE24E7"/>
    <w:rsid w:val="00EE24F3"/>
    <w:rsid w:val="00EE2548"/>
    <w:rsid w:val="00EE257B"/>
    <w:rsid w:val="00EE25F5"/>
    <w:rsid w:val="00EE25FD"/>
    <w:rsid w:val="00EE261F"/>
    <w:rsid w:val="00EE264D"/>
    <w:rsid w:val="00EE2672"/>
    <w:rsid w:val="00EE268A"/>
    <w:rsid w:val="00EE26A6"/>
    <w:rsid w:val="00EE26E0"/>
    <w:rsid w:val="00EE26E8"/>
    <w:rsid w:val="00EE26F3"/>
    <w:rsid w:val="00EE2718"/>
    <w:rsid w:val="00EE2752"/>
    <w:rsid w:val="00EE2781"/>
    <w:rsid w:val="00EE2798"/>
    <w:rsid w:val="00EE2807"/>
    <w:rsid w:val="00EE2836"/>
    <w:rsid w:val="00EE283E"/>
    <w:rsid w:val="00EE2842"/>
    <w:rsid w:val="00EE284A"/>
    <w:rsid w:val="00EE2877"/>
    <w:rsid w:val="00EE289A"/>
    <w:rsid w:val="00EE28C1"/>
    <w:rsid w:val="00EE28D4"/>
    <w:rsid w:val="00EE28F8"/>
    <w:rsid w:val="00EE292D"/>
    <w:rsid w:val="00EE2948"/>
    <w:rsid w:val="00EE2996"/>
    <w:rsid w:val="00EE299E"/>
    <w:rsid w:val="00EE29CC"/>
    <w:rsid w:val="00EE29D1"/>
    <w:rsid w:val="00EE29F5"/>
    <w:rsid w:val="00EE2AC3"/>
    <w:rsid w:val="00EE2AE7"/>
    <w:rsid w:val="00EE2AF2"/>
    <w:rsid w:val="00EE2B17"/>
    <w:rsid w:val="00EE2B25"/>
    <w:rsid w:val="00EE2B4B"/>
    <w:rsid w:val="00EE2B51"/>
    <w:rsid w:val="00EE2B67"/>
    <w:rsid w:val="00EE2BAD"/>
    <w:rsid w:val="00EE2BB0"/>
    <w:rsid w:val="00EE2BD9"/>
    <w:rsid w:val="00EE2BF5"/>
    <w:rsid w:val="00EE2C06"/>
    <w:rsid w:val="00EE2C2C"/>
    <w:rsid w:val="00EE2C34"/>
    <w:rsid w:val="00EE2C3B"/>
    <w:rsid w:val="00EE2C68"/>
    <w:rsid w:val="00EE2C6F"/>
    <w:rsid w:val="00EE2C92"/>
    <w:rsid w:val="00EE2CAA"/>
    <w:rsid w:val="00EE2CD5"/>
    <w:rsid w:val="00EE2CF2"/>
    <w:rsid w:val="00EE2D1C"/>
    <w:rsid w:val="00EE2D27"/>
    <w:rsid w:val="00EE2D70"/>
    <w:rsid w:val="00EE2DC7"/>
    <w:rsid w:val="00EE2DF7"/>
    <w:rsid w:val="00EE2E23"/>
    <w:rsid w:val="00EE2E92"/>
    <w:rsid w:val="00EE2EB9"/>
    <w:rsid w:val="00EE2F01"/>
    <w:rsid w:val="00EE2F0B"/>
    <w:rsid w:val="00EE2F37"/>
    <w:rsid w:val="00EE2F81"/>
    <w:rsid w:val="00EE2F90"/>
    <w:rsid w:val="00EE2FA0"/>
    <w:rsid w:val="00EE2FC9"/>
    <w:rsid w:val="00EE2FE6"/>
    <w:rsid w:val="00EE302C"/>
    <w:rsid w:val="00EE305F"/>
    <w:rsid w:val="00EE30A9"/>
    <w:rsid w:val="00EE3125"/>
    <w:rsid w:val="00EE313C"/>
    <w:rsid w:val="00EE314C"/>
    <w:rsid w:val="00EE3162"/>
    <w:rsid w:val="00EE3166"/>
    <w:rsid w:val="00EE3173"/>
    <w:rsid w:val="00EE31E5"/>
    <w:rsid w:val="00EE3206"/>
    <w:rsid w:val="00EE324C"/>
    <w:rsid w:val="00EE3286"/>
    <w:rsid w:val="00EE328B"/>
    <w:rsid w:val="00EE32A5"/>
    <w:rsid w:val="00EE32CB"/>
    <w:rsid w:val="00EE32F6"/>
    <w:rsid w:val="00EE331B"/>
    <w:rsid w:val="00EE332F"/>
    <w:rsid w:val="00EE334C"/>
    <w:rsid w:val="00EE3397"/>
    <w:rsid w:val="00EE33AA"/>
    <w:rsid w:val="00EE3433"/>
    <w:rsid w:val="00EE343E"/>
    <w:rsid w:val="00EE3466"/>
    <w:rsid w:val="00EE347F"/>
    <w:rsid w:val="00EE34AA"/>
    <w:rsid w:val="00EE34EC"/>
    <w:rsid w:val="00EE34FD"/>
    <w:rsid w:val="00EE3567"/>
    <w:rsid w:val="00EE3579"/>
    <w:rsid w:val="00EE35A9"/>
    <w:rsid w:val="00EE35E1"/>
    <w:rsid w:val="00EE362E"/>
    <w:rsid w:val="00EE3640"/>
    <w:rsid w:val="00EE3655"/>
    <w:rsid w:val="00EE36D3"/>
    <w:rsid w:val="00EE36FF"/>
    <w:rsid w:val="00EE3762"/>
    <w:rsid w:val="00EE37D6"/>
    <w:rsid w:val="00EE3870"/>
    <w:rsid w:val="00EE3875"/>
    <w:rsid w:val="00EE38C1"/>
    <w:rsid w:val="00EE390A"/>
    <w:rsid w:val="00EE3925"/>
    <w:rsid w:val="00EE3927"/>
    <w:rsid w:val="00EE395A"/>
    <w:rsid w:val="00EE396F"/>
    <w:rsid w:val="00EE3A94"/>
    <w:rsid w:val="00EE3AB3"/>
    <w:rsid w:val="00EE3BBB"/>
    <w:rsid w:val="00EE3BE5"/>
    <w:rsid w:val="00EE3BFE"/>
    <w:rsid w:val="00EE3C01"/>
    <w:rsid w:val="00EE3C94"/>
    <w:rsid w:val="00EE3CC1"/>
    <w:rsid w:val="00EE3CD3"/>
    <w:rsid w:val="00EE3CD4"/>
    <w:rsid w:val="00EE3CFE"/>
    <w:rsid w:val="00EE3D02"/>
    <w:rsid w:val="00EE3D1D"/>
    <w:rsid w:val="00EE3D7F"/>
    <w:rsid w:val="00EE3D87"/>
    <w:rsid w:val="00EE3DB9"/>
    <w:rsid w:val="00EE3DC2"/>
    <w:rsid w:val="00EE3E11"/>
    <w:rsid w:val="00EE3F16"/>
    <w:rsid w:val="00EE3F43"/>
    <w:rsid w:val="00EE3F47"/>
    <w:rsid w:val="00EE3F77"/>
    <w:rsid w:val="00EE3F78"/>
    <w:rsid w:val="00EE3F79"/>
    <w:rsid w:val="00EE3F7A"/>
    <w:rsid w:val="00EE3FDB"/>
    <w:rsid w:val="00EE3FE0"/>
    <w:rsid w:val="00EE3FF9"/>
    <w:rsid w:val="00EE3FFC"/>
    <w:rsid w:val="00EE4003"/>
    <w:rsid w:val="00EE4098"/>
    <w:rsid w:val="00EE40B1"/>
    <w:rsid w:val="00EE40B6"/>
    <w:rsid w:val="00EE4102"/>
    <w:rsid w:val="00EE4106"/>
    <w:rsid w:val="00EE411E"/>
    <w:rsid w:val="00EE4164"/>
    <w:rsid w:val="00EE416F"/>
    <w:rsid w:val="00EE417D"/>
    <w:rsid w:val="00EE4180"/>
    <w:rsid w:val="00EE41CC"/>
    <w:rsid w:val="00EE4200"/>
    <w:rsid w:val="00EE4212"/>
    <w:rsid w:val="00EE4215"/>
    <w:rsid w:val="00EE422A"/>
    <w:rsid w:val="00EE4237"/>
    <w:rsid w:val="00EE4263"/>
    <w:rsid w:val="00EE4270"/>
    <w:rsid w:val="00EE4285"/>
    <w:rsid w:val="00EE428B"/>
    <w:rsid w:val="00EE42E1"/>
    <w:rsid w:val="00EE42F4"/>
    <w:rsid w:val="00EE4325"/>
    <w:rsid w:val="00EE4330"/>
    <w:rsid w:val="00EE4377"/>
    <w:rsid w:val="00EE439E"/>
    <w:rsid w:val="00EE4439"/>
    <w:rsid w:val="00EE4448"/>
    <w:rsid w:val="00EE445C"/>
    <w:rsid w:val="00EE4467"/>
    <w:rsid w:val="00EE4476"/>
    <w:rsid w:val="00EE448F"/>
    <w:rsid w:val="00EE44BF"/>
    <w:rsid w:val="00EE44C2"/>
    <w:rsid w:val="00EE44F5"/>
    <w:rsid w:val="00EE44FB"/>
    <w:rsid w:val="00EE4514"/>
    <w:rsid w:val="00EE455E"/>
    <w:rsid w:val="00EE456A"/>
    <w:rsid w:val="00EE457B"/>
    <w:rsid w:val="00EE45CD"/>
    <w:rsid w:val="00EE45D6"/>
    <w:rsid w:val="00EE461E"/>
    <w:rsid w:val="00EE468D"/>
    <w:rsid w:val="00EE46A8"/>
    <w:rsid w:val="00EE46DA"/>
    <w:rsid w:val="00EE470A"/>
    <w:rsid w:val="00EE472F"/>
    <w:rsid w:val="00EE474C"/>
    <w:rsid w:val="00EE47A2"/>
    <w:rsid w:val="00EE47B1"/>
    <w:rsid w:val="00EE4848"/>
    <w:rsid w:val="00EE48C7"/>
    <w:rsid w:val="00EE48F8"/>
    <w:rsid w:val="00EE4916"/>
    <w:rsid w:val="00EE494F"/>
    <w:rsid w:val="00EE4966"/>
    <w:rsid w:val="00EE4973"/>
    <w:rsid w:val="00EE49A0"/>
    <w:rsid w:val="00EE49EA"/>
    <w:rsid w:val="00EE4A0E"/>
    <w:rsid w:val="00EE4A1A"/>
    <w:rsid w:val="00EE4A1F"/>
    <w:rsid w:val="00EE4A2A"/>
    <w:rsid w:val="00EE4A3C"/>
    <w:rsid w:val="00EE4AA5"/>
    <w:rsid w:val="00EE4AAE"/>
    <w:rsid w:val="00EE4AD4"/>
    <w:rsid w:val="00EE4B26"/>
    <w:rsid w:val="00EE4B28"/>
    <w:rsid w:val="00EE4B2A"/>
    <w:rsid w:val="00EE4B32"/>
    <w:rsid w:val="00EE4B4D"/>
    <w:rsid w:val="00EE4B67"/>
    <w:rsid w:val="00EE4B8E"/>
    <w:rsid w:val="00EE4BC1"/>
    <w:rsid w:val="00EE4BDF"/>
    <w:rsid w:val="00EE4BED"/>
    <w:rsid w:val="00EE4C50"/>
    <w:rsid w:val="00EE4C84"/>
    <w:rsid w:val="00EE4D01"/>
    <w:rsid w:val="00EE4D49"/>
    <w:rsid w:val="00EE4D6C"/>
    <w:rsid w:val="00EE4D72"/>
    <w:rsid w:val="00EE4DC0"/>
    <w:rsid w:val="00EE4DD2"/>
    <w:rsid w:val="00EE4DE2"/>
    <w:rsid w:val="00EE4DFB"/>
    <w:rsid w:val="00EE4E92"/>
    <w:rsid w:val="00EE4E93"/>
    <w:rsid w:val="00EE4EAD"/>
    <w:rsid w:val="00EE4ECF"/>
    <w:rsid w:val="00EE4F12"/>
    <w:rsid w:val="00EE4F3F"/>
    <w:rsid w:val="00EE4F5C"/>
    <w:rsid w:val="00EE507B"/>
    <w:rsid w:val="00EE50C1"/>
    <w:rsid w:val="00EE50C4"/>
    <w:rsid w:val="00EE516A"/>
    <w:rsid w:val="00EE5177"/>
    <w:rsid w:val="00EE519E"/>
    <w:rsid w:val="00EE51B3"/>
    <w:rsid w:val="00EE51D4"/>
    <w:rsid w:val="00EE521C"/>
    <w:rsid w:val="00EE523D"/>
    <w:rsid w:val="00EE5240"/>
    <w:rsid w:val="00EE5249"/>
    <w:rsid w:val="00EE524C"/>
    <w:rsid w:val="00EE524F"/>
    <w:rsid w:val="00EE52B6"/>
    <w:rsid w:val="00EE52D2"/>
    <w:rsid w:val="00EE5306"/>
    <w:rsid w:val="00EE5381"/>
    <w:rsid w:val="00EE5390"/>
    <w:rsid w:val="00EE5398"/>
    <w:rsid w:val="00EE53A6"/>
    <w:rsid w:val="00EE53B5"/>
    <w:rsid w:val="00EE53BD"/>
    <w:rsid w:val="00EE53C4"/>
    <w:rsid w:val="00EE53D1"/>
    <w:rsid w:val="00EE53EE"/>
    <w:rsid w:val="00EE5439"/>
    <w:rsid w:val="00EE545A"/>
    <w:rsid w:val="00EE547E"/>
    <w:rsid w:val="00EE5481"/>
    <w:rsid w:val="00EE549D"/>
    <w:rsid w:val="00EE54C3"/>
    <w:rsid w:val="00EE54E7"/>
    <w:rsid w:val="00EE558D"/>
    <w:rsid w:val="00EE55C7"/>
    <w:rsid w:val="00EE55E6"/>
    <w:rsid w:val="00EE562B"/>
    <w:rsid w:val="00EE5646"/>
    <w:rsid w:val="00EE564A"/>
    <w:rsid w:val="00EE567D"/>
    <w:rsid w:val="00EE56A4"/>
    <w:rsid w:val="00EE56ED"/>
    <w:rsid w:val="00EE5704"/>
    <w:rsid w:val="00EE570F"/>
    <w:rsid w:val="00EE572E"/>
    <w:rsid w:val="00EE5736"/>
    <w:rsid w:val="00EE5742"/>
    <w:rsid w:val="00EE5793"/>
    <w:rsid w:val="00EE57A5"/>
    <w:rsid w:val="00EE57C5"/>
    <w:rsid w:val="00EE57D2"/>
    <w:rsid w:val="00EE5837"/>
    <w:rsid w:val="00EE5870"/>
    <w:rsid w:val="00EE58D3"/>
    <w:rsid w:val="00EE58E1"/>
    <w:rsid w:val="00EE5945"/>
    <w:rsid w:val="00EE595E"/>
    <w:rsid w:val="00EE596C"/>
    <w:rsid w:val="00EE5A0C"/>
    <w:rsid w:val="00EE5A29"/>
    <w:rsid w:val="00EE5A3B"/>
    <w:rsid w:val="00EE5A5C"/>
    <w:rsid w:val="00EE5A9E"/>
    <w:rsid w:val="00EE5AA7"/>
    <w:rsid w:val="00EE5ACB"/>
    <w:rsid w:val="00EE5B16"/>
    <w:rsid w:val="00EE5B1B"/>
    <w:rsid w:val="00EE5B2E"/>
    <w:rsid w:val="00EE5BA3"/>
    <w:rsid w:val="00EE5BB5"/>
    <w:rsid w:val="00EE5BC1"/>
    <w:rsid w:val="00EE5BE3"/>
    <w:rsid w:val="00EE5BE8"/>
    <w:rsid w:val="00EE5C06"/>
    <w:rsid w:val="00EE5C0E"/>
    <w:rsid w:val="00EE5C37"/>
    <w:rsid w:val="00EE5CD1"/>
    <w:rsid w:val="00EE5D92"/>
    <w:rsid w:val="00EE5DAC"/>
    <w:rsid w:val="00EE5DBA"/>
    <w:rsid w:val="00EE5E0C"/>
    <w:rsid w:val="00EE5E2A"/>
    <w:rsid w:val="00EE5E44"/>
    <w:rsid w:val="00EE5E5A"/>
    <w:rsid w:val="00EE5E9C"/>
    <w:rsid w:val="00EE5EA7"/>
    <w:rsid w:val="00EE5EC0"/>
    <w:rsid w:val="00EE5F73"/>
    <w:rsid w:val="00EE5FBC"/>
    <w:rsid w:val="00EE5FCE"/>
    <w:rsid w:val="00EE5FF1"/>
    <w:rsid w:val="00EE6025"/>
    <w:rsid w:val="00EE6037"/>
    <w:rsid w:val="00EE606A"/>
    <w:rsid w:val="00EE6092"/>
    <w:rsid w:val="00EE6096"/>
    <w:rsid w:val="00EE60F7"/>
    <w:rsid w:val="00EE611A"/>
    <w:rsid w:val="00EE612D"/>
    <w:rsid w:val="00EE6139"/>
    <w:rsid w:val="00EE615C"/>
    <w:rsid w:val="00EE618F"/>
    <w:rsid w:val="00EE61E8"/>
    <w:rsid w:val="00EE61EF"/>
    <w:rsid w:val="00EE61F4"/>
    <w:rsid w:val="00EE621D"/>
    <w:rsid w:val="00EE623C"/>
    <w:rsid w:val="00EE6248"/>
    <w:rsid w:val="00EE6270"/>
    <w:rsid w:val="00EE6273"/>
    <w:rsid w:val="00EE62A4"/>
    <w:rsid w:val="00EE62BB"/>
    <w:rsid w:val="00EE62C7"/>
    <w:rsid w:val="00EE62EC"/>
    <w:rsid w:val="00EE6304"/>
    <w:rsid w:val="00EE6340"/>
    <w:rsid w:val="00EE6373"/>
    <w:rsid w:val="00EE63CB"/>
    <w:rsid w:val="00EE63D1"/>
    <w:rsid w:val="00EE63D6"/>
    <w:rsid w:val="00EE6424"/>
    <w:rsid w:val="00EE6434"/>
    <w:rsid w:val="00EE6453"/>
    <w:rsid w:val="00EE648B"/>
    <w:rsid w:val="00EE64EB"/>
    <w:rsid w:val="00EE64EF"/>
    <w:rsid w:val="00EE64FC"/>
    <w:rsid w:val="00EE6516"/>
    <w:rsid w:val="00EE6519"/>
    <w:rsid w:val="00EE6523"/>
    <w:rsid w:val="00EE6552"/>
    <w:rsid w:val="00EE655A"/>
    <w:rsid w:val="00EE657F"/>
    <w:rsid w:val="00EE659A"/>
    <w:rsid w:val="00EE65EF"/>
    <w:rsid w:val="00EE6610"/>
    <w:rsid w:val="00EE6617"/>
    <w:rsid w:val="00EE666C"/>
    <w:rsid w:val="00EE668A"/>
    <w:rsid w:val="00EE66E7"/>
    <w:rsid w:val="00EE6713"/>
    <w:rsid w:val="00EE6724"/>
    <w:rsid w:val="00EE674D"/>
    <w:rsid w:val="00EE6767"/>
    <w:rsid w:val="00EE679E"/>
    <w:rsid w:val="00EE67AC"/>
    <w:rsid w:val="00EE67D6"/>
    <w:rsid w:val="00EE67F0"/>
    <w:rsid w:val="00EE67F6"/>
    <w:rsid w:val="00EE6821"/>
    <w:rsid w:val="00EE6827"/>
    <w:rsid w:val="00EE6856"/>
    <w:rsid w:val="00EE68C0"/>
    <w:rsid w:val="00EE68E9"/>
    <w:rsid w:val="00EE6912"/>
    <w:rsid w:val="00EE696C"/>
    <w:rsid w:val="00EE6981"/>
    <w:rsid w:val="00EE69A6"/>
    <w:rsid w:val="00EE69C6"/>
    <w:rsid w:val="00EE6A17"/>
    <w:rsid w:val="00EE6A3F"/>
    <w:rsid w:val="00EE6A7C"/>
    <w:rsid w:val="00EE6AA7"/>
    <w:rsid w:val="00EE6AD2"/>
    <w:rsid w:val="00EE6ADF"/>
    <w:rsid w:val="00EE6B0F"/>
    <w:rsid w:val="00EE6B43"/>
    <w:rsid w:val="00EE6B6B"/>
    <w:rsid w:val="00EE6B6D"/>
    <w:rsid w:val="00EE6BA2"/>
    <w:rsid w:val="00EE6BC6"/>
    <w:rsid w:val="00EE6BE5"/>
    <w:rsid w:val="00EE6BF1"/>
    <w:rsid w:val="00EE6BFE"/>
    <w:rsid w:val="00EE6C24"/>
    <w:rsid w:val="00EE6C5F"/>
    <w:rsid w:val="00EE6CC1"/>
    <w:rsid w:val="00EE6D0D"/>
    <w:rsid w:val="00EE6D28"/>
    <w:rsid w:val="00EE6D33"/>
    <w:rsid w:val="00EE6D34"/>
    <w:rsid w:val="00EE6D8E"/>
    <w:rsid w:val="00EE6DCD"/>
    <w:rsid w:val="00EE6DD8"/>
    <w:rsid w:val="00EE6DE9"/>
    <w:rsid w:val="00EE6E10"/>
    <w:rsid w:val="00EE6E2E"/>
    <w:rsid w:val="00EE6EC7"/>
    <w:rsid w:val="00EE6F33"/>
    <w:rsid w:val="00EE6FC8"/>
    <w:rsid w:val="00EE700F"/>
    <w:rsid w:val="00EE704E"/>
    <w:rsid w:val="00EE7087"/>
    <w:rsid w:val="00EE711D"/>
    <w:rsid w:val="00EE7138"/>
    <w:rsid w:val="00EE7174"/>
    <w:rsid w:val="00EE71CB"/>
    <w:rsid w:val="00EE71F7"/>
    <w:rsid w:val="00EE7215"/>
    <w:rsid w:val="00EE7223"/>
    <w:rsid w:val="00EE7231"/>
    <w:rsid w:val="00EE725E"/>
    <w:rsid w:val="00EE726A"/>
    <w:rsid w:val="00EE726D"/>
    <w:rsid w:val="00EE72D2"/>
    <w:rsid w:val="00EE72DF"/>
    <w:rsid w:val="00EE72F2"/>
    <w:rsid w:val="00EE7301"/>
    <w:rsid w:val="00EE73C4"/>
    <w:rsid w:val="00EE73EF"/>
    <w:rsid w:val="00EE743A"/>
    <w:rsid w:val="00EE744B"/>
    <w:rsid w:val="00EE7457"/>
    <w:rsid w:val="00EE74C8"/>
    <w:rsid w:val="00EE74E1"/>
    <w:rsid w:val="00EE753D"/>
    <w:rsid w:val="00EE7571"/>
    <w:rsid w:val="00EE7574"/>
    <w:rsid w:val="00EE757A"/>
    <w:rsid w:val="00EE763E"/>
    <w:rsid w:val="00EE766E"/>
    <w:rsid w:val="00EE768A"/>
    <w:rsid w:val="00EE76C2"/>
    <w:rsid w:val="00EE76C7"/>
    <w:rsid w:val="00EE76CB"/>
    <w:rsid w:val="00EE76D7"/>
    <w:rsid w:val="00EE770F"/>
    <w:rsid w:val="00EE773B"/>
    <w:rsid w:val="00EE773F"/>
    <w:rsid w:val="00EE7759"/>
    <w:rsid w:val="00EE7769"/>
    <w:rsid w:val="00EE7770"/>
    <w:rsid w:val="00EE7786"/>
    <w:rsid w:val="00EE77CA"/>
    <w:rsid w:val="00EE77CD"/>
    <w:rsid w:val="00EE77D3"/>
    <w:rsid w:val="00EE7800"/>
    <w:rsid w:val="00EE780F"/>
    <w:rsid w:val="00EE7887"/>
    <w:rsid w:val="00EE78B3"/>
    <w:rsid w:val="00EE78BA"/>
    <w:rsid w:val="00EE78BC"/>
    <w:rsid w:val="00EE7906"/>
    <w:rsid w:val="00EE7917"/>
    <w:rsid w:val="00EE7941"/>
    <w:rsid w:val="00EE7973"/>
    <w:rsid w:val="00EE79B2"/>
    <w:rsid w:val="00EE79D8"/>
    <w:rsid w:val="00EE79DA"/>
    <w:rsid w:val="00EE7A93"/>
    <w:rsid w:val="00EE7B2E"/>
    <w:rsid w:val="00EE7B5D"/>
    <w:rsid w:val="00EE7B72"/>
    <w:rsid w:val="00EE7B91"/>
    <w:rsid w:val="00EE7BAA"/>
    <w:rsid w:val="00EE7BB2"/>
    <w:rsid w:val="00EE7BBC"/>
    <w:rsid w:val="00EE7BC4"/>
    <w:rsid w:val="00EE7C05"/>
    <w:rsid w:val="00EE7C19"/>
    <w:rsid w:val="00EE7C28"/>
    <w:rsid w:val="00EE7C3B"/>
    <w:rsid w:val="00EE7C58"/>
    <w:rsid w:val="00EE7C64"/>
    <w:rsid w:val="00EE7C79"/>
    <w:rsid w:val="00EE7CA5"/>
    <w:rsid w:val="00EE7CC6"/>
    <w:rsid w:val="00EE7CCF"/>
    <w:rsid w:val="00EE7D01"/>
    <w:rsid w:val="00EE7D03"/>
    <w:rsid w:val="00EE7D17"/>
    <w:rsid w:val="00EE7DC1"/>
    <w:rsid w:val="00EE7E36"/>
    <w:rsid w:val="00EE7E41"/>
    <w:rsid w:val="00EE7E6A"/>
    <w:rsid w:val="00EE7E7D"/>
    <w:rsid w:val="00EE7E84"/>
    <w:rsid w:val="00EE7ECB"/>
    <w:rsid w:val="00EE7EEC"/>
    <w:rsid w:val="00EE7F41"/>
    <w:rsid w:val="00EE7F79"/>
    <w:rsid w:val="00EE7F85"/>
    <w:rsid w:val="00EE7F95"/>
    <w:rsid w:val="00EF0031"/>
    <w:rsid w:val="00EF0036"/>
    <w:rsid w:val="00EF0042"/>
    <w:rsid w:val="00EF00C7"/>
    <w:rsid w:val="00EF0109"/>
    <w:rsid w:val="00EF0114"/>
    <w:rsid w:val="00EF0115"/>
    <w:rsid w:val="00EF012B"/>
    <w:rsid w:val="00EF0172"/>
    <w:rsid w:val="00EF029D"/>
    <w:rsid w:val="00EF02DF"/>
    <w:rsid w:val="00EF02E2"/>
    <w:rsid w:val="00EF0340"/>
    <w:rsid w:val="00EF0352"/>
    <w:rsid w:val="00EF0357"/>
    <w:rsid w:val="00EF03AD"/>
    <w:rsid w:val="00EF03BB"/>
    <w:rsid w:val="00EF03EC"/>
    <w:rsid w:val="00EF0426"/>
    <w:rsid w:val="00EF046D"/>
    <w:rsid w:val="00EF0472"/>
    <w:rsid w:val="00EF0496"/>
    <w:rsid w:val="00EF049B"/>
    <w:rsid w:val="00EF04B0"/>
    <w:rsid w:val="00EF04C9"/>
    <w:rsid w:val="00EF0500"/>
    <w:rsid w:val="00EF050B"/>
    <w:rsid w:val="00EF054F"/>
    <w:rsid w:val="00EF055D"/>
    <w:rsid w:val="00EF0573"/>
    <w:rsid w:val="00EF0594"/>
    <w:rsid w:val="00EF05CA"/>
    <w:rsid w:val="00EF05E6"/>
    <w:rsid w:val="00EF063C"/>
    <w:rsid w:val="00EF0645"/>
    <w:rsid w:val="00EF064F"/>
    <w:rsid w:val="00EF0658"/>
    <w:rsid w:val="00EF06C5"/>
    <w:rsid w:val="00EF070A"/>
    <w:rsid w:val="00EF0751"/>
    <w:rsid w:val="00EF075D"/>
    <w:rsid w:val="00EF0772"/>
    <w:rsid w:val="00EF07F0"/>
    <w:rsid w:val="00EF07FA"/>
    <w:rsid w:val="00EF0823"/>
    <w:rsid w:val="00EF0829"/>
    <w:rsid w:val="00EF0870"/>
    <w:rsid w:val="00EF087C"/>
    <w:rsid w:val="00EF0890"/>
    <w:rsid w:val="00EF0946"/>
    <w:rsid w:val="00EF0976"/>
    <w:rsid w:val="00EF097D"/>
    <w:rsid w:val="00EF0996"/>
    <w:rsid w:val="00EF09B0"/>
    <w:rsid w:val="00EF09C5"/>
    <w:rsid w:val="00EF09D9"/>
    <w:rsid w:val="00EF0A9C"/>
    <w:rsid w:val="00EF0AA2"/>
    <w:rsid w:val="00EF0AA6"/>
    <w:rsid w:val="00EF0AB9"/>
    <w:rsid w:val="00EF0ACC"/>
    <w:rsid w:val="00EF0AE4"/>
    <w:rsid w:val="00EF0AF6"/>
    <w:rsid w:val="00EF0B24"/>
    <w:rsid w:val="00EF0B90"/>
    <w:rsid w:val="00EF0BC6"/>
    <w:rsid w:val="00EF0BD9"/>
    <w:rsid w:val="00EF0BEA"/>
    <w:rsid w:val="00EF0BEE"/>
    <w:rsid w:val="00EF0BF3"/>
    <w:rsid w:val="00EF0C34"/>
    <w:rsid w:val="00EF0C65"/>
    <w:rsid w:val="00EF0CB2"/>
    <w:rsid w:val="00EF0CC5"/>
    <w:rsid w:val="00EF0D61"/>
    <w:rsid w:val="00EF0D67"/>
    <w:rsid w:val="00EF0D71"/>
    <w:rsid w:val="00EF0DAE"/>
    <w:rsid w:val="00EF0E3D"/>
    <w:rsid w:val="00EF0E43"/>
    <w:rsid w:val="00EF0E9A"/>
    <w:rsid w:val="00EF0EBE"/>
    <w:rsid w:val="00EF0EBF"/>
    <w:rsid w:val="00EF0EC0"/>
    <w:rsid w:val="00EF0EC2"/>
    <w:rsid w:val="00EF0EC5"/>
    <w:rsid w:val="00EF0EDA"/>
    <w:rsid w:val="00EF0F01"/>
    <w:rsid w:val="00EF0F04"/>
    <w:rsid w:val="00EF0F4E"/>
    <w:rsid w:val="00EF0FBC"/>
    <w:rsid w:val="00EF0FEE"/>
    <w:rsid w:val="00EF1029"/>
    <w:rsid w:val="00EF10C8"/>
    <w:rsid w:val="00EF10E3"/>
    <w:rsid w:val="00EF10F6"/>
    <w:rsid w:val="00EF10FF"/>
    <w:rsid w:val="00EF1111"/>
    <w:rsid w:val="00EF1116"/>
    <w:rsid w:val="00EF1120"/>
    <w:rsid w:val="00EF114D"/>
    <w:rsid w:val="00EF119E"/>
    <w:rsid w:val="00EF11BC"/>
    <w:rsid w:val="00EF11F9"/>
    <w:rsid w:val="00EF1207"/>
    <w:rsid w:val="00EF123C"/>
    <w:rsid w:val="00EF1243"/>
    <w:rsid w:val="00EF124C"/>
    <w:rsid w:val="00EF1264"/>
    <w:rsid w:val="00EF129C"/>
    <w:rsid w:val="00EF12C9"/>
    <w:rsid w:val="00EF1314"/>
    <w:rsid w:val="00EF134C"/>
    <w:rsid w:val="00EF134F"/>
    <w:rsid w:val="00EF1374"/>
    <w:rsid w:val="00EF13A8"/>
    <w:rsid w:val="00EF13C6"/>
    <w:rsid w:val="00EF13D7"/>
    <w:rsid w:val="00EF13E8"/>
    <w:rsid w:val="00EF14BA"/>
    <w:rsid w:val="00EF14C5"/>
    <w:rsid w:val="00EF14F8"/>
    <w:rsid w:val="00EF1509"/>
    <w:rsid w:val="00EF1536"/>
    <w:rsid w:val="00EF1541"/>
    <w:rsid w:val="00EF154D"/>
    <w:rsid w:val="00EF15A6"/>
    <w:rsid w:val="00EF15B4"/>
    <w:rsid w:val="00EF15DC"/>
    <w:rsid w:val="00EF161E"/>
    <w:rsid w:val="00EF1624"/>
    <w:rsid w:val="00EF1684"/>
    <w:rsid w:val="00EF16D3"/>
    <w:rsid w:val="00EF16D9"/>
    <w:rsid w:val="00EF16E7"/>
    <w:rsid w:val="00EF16EF"/>
    <w:rsid w:val="00EF1713"/>
    <w:rsid w:val="00EF171F"/>
    <w:rsid w:val="00EF1723"/>
    <w:rsid w:val="00EF1724"/>
    <w:rsid w:val="00EF176F"/>
    <w:rsid w:val="00EF1783"/>
    <w:rsid w:val="00EF1791"/>
    <w:rsid w:val="00EF17BB"/>
    <w:rsid w:val="00EF17D6"/>
    <w:rsid w:val="00EF17FA"/>
    <w:rsid w:val="00EF1870"/>
    <w:rsid w:val="00EF1875"/>
    <w:rsid w:val="00EF1884"/>
    <w:rsid w:val="00EF18AF"/>
    <w:rsid w:val="00EF18FC"/>
    <w:rsid w:val="00EF1911"/>
    <w:rsid w:val="00EF194D"/>
    <w:rsid w:val="00EF1952"/>
    <w:rsid w:val="00EF1956"/>
    <w:rsid w:val="00EF1977"/>
    <w:rsid w:val="00EF199A"/>
    <w:rsid w:val="00EF199F"/>
    <w:rsid w:val="00EF19D0"/>
    <w:rsid w:val="00EF1A17"/>
    <w:rsid w:val="00EF1A71"/>
    <w:rsid w:val="00EF1ADF"/>
    <w:rsid w:val="00EF1B08"/>
    <w:rsid w:val="00EF1B11"/>
    <w:rsid w:val="00EF1B23"/>
    <w:rsid w:val="00EF1B55"/>
    <w:rsid w:val="00EF1B89"/>
    <w:rsid w:val="00EF1B8B"/>
    <w:rsid w:val="00EF1C3C"/>
    <w:rsid w:val="00EF1C3E"/>
    <w:rsid w:val="00EF1C4F"/>
    <w:rsid w:val="00EF1C62"/>
    <w:rsid w:val="00EF1C73"/>
    <w:rsid w:val="00EF1C8C"/>
    <w:rsid w:val="00EF1CB0"/>
    <w:rsid w:val="00EF1CFF"/>
    <w:rsid w:val="00EF1D33"/>
    <w:rsid w:val="00EF1D47"/>
    <w:rsid w:val="00EF1D54"/>
    <w:rsid w:val="00EF1D5A"/>
    <w:rsid w:val="00EF1D63"/>
    <w:rsid w:val="00EF1DB1"/>
    <w:rsid w:val="00EF1DB9"/>
    <w:rsid w:val="00EF1DDC"/>
    <w:rsid w:val="00EF1E0E"/>
    <w:rsid w:val="00EF1E1B"/>
    <w:rsid w:val="00EF1EC7"/>
    <w:rsid w:val="00EF1ECC"/>
    <w:rsid w:val="00EF1ED0"/>
    <w:rsid w:val="00EF1F39"/>
    <w:rsid w:val="00EF1F60"/>
    <w:rsid w:val="00EF1F62"/>
    <w:rsid w:val="00EF1F64"/>
    <w:rsid w:val="00EF1F93"/>
    <w:rsid w:val="00EF1F9D"/>
    <w:rsid w:val="00EF1FCD"/>
    <w:rsid w:val="00EF1FD0"/>
    <w:rsid w:val="00EF202A"/>
    <w:rsid w:val="00EF2033"/>
    <w:rsid w:val="00EF203C"/>
    <w:rsid w:val="00EF2047"/>
    <w:rsid w:val="00EF2051"/>
    <w:rsid w:val="00EF2100"/>
    <w:rsid w:val="00EF2148"/>
    <w:rsid w:val="00EF218E"/>
    <w:rsid w:val="00EF21A5"/>
    <w:rsid w:val="00EF21BD"/>
    <w:rsid w:val="00EF21C5"/>
    <w:rsid w:val="00EF21D3"/>
    <w:rsid w:val="00EF21DC"/>
    <w:rsid w:val="00EF21F9"/>
    <w:rsid w:val="00EF2250"/>
    <w:rsid w:val="00EF227F"/>
    <w:rsid w:val="00EF230E"/>
    <w:rsid w:val="00EF2342"/>
    <w:rsid w:val="00EF2377"/>
    <w:rsid w:val="00EF238C"/>
    <w:rsid w:val="00EF248C"/>
    <w:rsid w:val="00EF24AF"/>
    <w:rsid w:val="00EF24C7"/>
    <w:rsid w:val="00EF24D9"/>
    <w:rsid w:val="00EF24E6"/>
    <w:rsid w:val="00EF24FC"/>
    <w:rsid w:val="00EF250C"/>
    <w:rsid w:val="00EF256E"/>
    <w:rsid w:val="00EF25C2"/>
    <w:rsid w:val="00EF25C9"/>
    <w:rsid w:val="00EF25EE"/>
    <w:rsid w:val="00EF261C"/>
    <w:rsid w:val="00EF2639"/>
    <w:rsid w:val="00EF2684"/>
    <w:rsid w:val="00EF268A"/>
    <w:rsid w:val="00EF269E"/>
    <w:rsid w:val="00EF26A1"/>
    <w:rsid w:val="00EF2720"/>
    <w:rsid w:val="00EF273A"/>
    <w:rsid w:val="00EF273B"/>
    <w:rsid w:val="00EF2763"/>
    <w:rsid w:val="00EF2795"/>
    <w:rsid w:val="00EF27BB"/>
    <w:rsid w:val="00EF27C2"/>
    <w:rsid w:val="00EF27C8"/>
    <w:rsid w:val="00EF27E1"/>
    <w:rsid w:val="00EF2810"/>
    <w:rsid w:val="00EF2832"/>
    <w:rsid w:val="00EF2873"/>
    <w:rsid w:val="00EF289B"/>
    <w:rsid w:val="00EF289D"/>
    <w:rsid w:val="00EF28E7"/>
    <w:rsid w:val="00EF28F0"/>
    <w:rsid w:val="00EF293B"/>
    <w:rsid w:val="00EF2941"/>
    <w:rsid w:val="00EF2A36"/>
    <w:rsid w:val="00EF2A67"/>
    <w:rsid w:val="00EF2A6C"/>
    <w:rsid w:val="00EF2AFD"/>
    <w:rsid w:val="00EF2BA2"/>
    <w:rsid w:val="00EF2BB8"/>
    <w:rsid w:val="00EF2BEF"/>
    <w:rsid w:val="00EF2C2E"/>
    <w:rsid w:val="00EF2C42"/>
    <w:rsid w:val="00EF2C6A"/>
    <w:rsid w:val="00EF2C6B"/>
    <w:rsid w:val="00EF2D9B"/>
    <w:rsid w:val="00EF2D9D"/>
    <w:rsid w:val="00EF2DB8"/>
    <w:rsid w:val="00EF2DBE"/>
    <w:rsid w:val="00EF2DC3"/>
    <w:rsid w:val="00EF2DD9"/>
    <w:rsid w:val="00EF2DDE"/>
    <w:rsid w:val="00EF2E04"/>
    <w:rsid w:val="00EF2E18"/>
    <w:rsid w:val="00EF2E54"/>
    <w:rsid w:val="00EF2F29"/>
    <w:rsid w:val="00EF2F4D"/>
    <w:rsid w:val="00EF2F73"/>
    <w:rsid w:val="00EF2F9C"/>
    <w:rsid w:val="00EF2FAC"/>
    <w:rsid w:val="00EF2FE1"/>
    <w:rsid w:val="00EF2FEA"/>
    <w:rsid w:val="00EF2FF2"/>
    <w:rsid w:val="00EF302C"/>
    <w:rsid w:val="00EF30D8"/>
    <w:rsid w:val="00EF30E1"/>
    <w:rsid w:val="00EF30E4"/>
    <w:rsid w:val="00EF30F8"/>
    <w:rsid w:val="00EF314D"/>
    <w:rsid w:val="00EF31AE"/>
    <w:rsid w:val="00EF31C9"/>
    <w:rsid w:val="00EF31EA"/>
    <w:rsid w:val="00EF31F6"/>
    <w:rsid w:val="00EF324A"/>
    <w:rsid w:val="00EF326C"/>
    <w:rsid w:val="00EF32CE"/>
    <w:rsid w:val="00EF32D5"/>
    <w:rsid w:val="00EF331E"/>
    <w:rsid w:val="00EF3325"/>
    <w:rsid w:val="00EF3339"/>
    <w:rsid w:val="00EF334A"/>
    <w:rsid w:val="00EF335C"/>
    <w:rsid w:val="00EF336A"/>
    <w:rsid w:val="00EF338B"/>
    <w:rsid w:val="00EF33AB"/>
    <w:rsid w:val="00EF33C5"/>
    <w:rsid w:val="00EF33D3"/>
    <w:rsid w:val="00EF3418"/>
    <w:rsid w:val="00EF341B"/>
    <w:rsid w:val="00EF341C"/>
    <w:rsid w:val="00EF344A"/>
    <w:rsid w:val="00EF34D0"/>
    <w:rsid w:val="00EF34F6"/>
    <w:rsid w:val="00EF351B"/>
    <w:rsid w:val="00EF3539"/>
    <w:rsid w:val="00EF358A"/>
    <w:rsid w:val="00EF35A1"/>
    <w:rsid w:val="00EF35B1"/>
    <w:rsid w:val="00EF35DC"/>
    <w:rsid w:val="00EF35DD"/>
    <w:rsid w:val="00EF35E0"/>
    <w:rsid w:val="00EF35E4"/>
    <w:rsid w:val="00EF35FD"/>
    <w:rsid w:val="00EF3602"/>
    <w:rsid w:val="00EF3604"/>
    <w:rsid w:val="00EF3661"/>
    <w:rsid w:val="00EF3681"/>
    <w:rsid w:val="00EF3692"/>
    <w:rsid w:val="00EF36E2"/>
    <w:rsid w:val="00EF3776"/>
    <w:rsid w:val="00EF378E"/>
    <w:rsid w:val="00EF3792"/>
    <w:rsid w:val="00EF3794"/>
    <w:rsid w:val="00EF37D9"/>
    <w:rsid w:val="00EF37DC"/>
    <w:rsid w:val="00EF37FA"/>
    <w:rsid w:val="00EF3857"/>
    <w:rsid w:val="00EF3874"/>
    <w:rsid w:val="00EF38D9"/>
    <w:rsid w:val="00EF3902"/>
    <w:rsid w:val="00EF39CA"/>
    <w:rsid w:val="00EF39DC"/>
    <w:rsid w:val="00EF39F7"/>
    <w:rsid w:val="00EF3A1C"/>
    <w:rsid w:val="00EF3A1D"/>
    <w:rsid w:val="00EF3A4D"/>
    <w:rsid w:val="00EF3A66"/>
    <w:rsid w:val="00EF3B02"/>
    <w:rsid w:val="00EF3B43"/>
    <w:rsid w:val="00EF3B7D"/>
    <w:rsid w:val="00EF3B8F"/>
    <w:rsid w:val="00EF3BAD"/>
    <w:rsid w:val="00EF3BBC"/>
    <w:rsid w:val="00EF3BCC"/>
    <w:rsid w:val="00EF3C11"/>
    <w:rsid w:val="00EF3C55"/>
    <w:rsid w:val="00EF3C9A"/>
    <w:rsid w:val="00EF3D51"/>
    <w:rsid w:val="00EF3D54"/>
    <w:rsid w:val="00EF3DF1"/>
    <w:rsid w:val="00EF3E5C"/>
    <w:rsid w:val="00EF3E6C"/>
    <w:rsid w:val="00EF3E7A"/>
    <w:rsid w:val="00EF3EB2"/>
    <w:rsid w:val="00EF3EC7"/>
    <w:rsid w:val="00EF3ED2"/>
    <w:rsid w:val="00EF3EF8"/>
    <w:rsid w:val="00EF3F29"/>
    <w:rsid w:val="00EF3F54"/>
    <w:rsid w:val="00EF3F86"/>
    <w:rsid w:val="00EF3FB4"/>
    <w:rsid w:val="00EF3FEF"/>
    <w:rsid w:val="00EF401F"/>
    <w:rsid w:val="00EF405E"/>
    <w:rsid w:val="00EF4070"/>
    <w:rsid w:val="00EF40A1"/>
    <w:rsid w:val="00EF40C3"/>
    <w:rsid w:val="00EF40E2"/>
    <w:rsid w:val="00EF410C"/>
    <w:rsid w:val="00EF412E"/>
    <w:rsid w:val="00EF4144"/>
    <w:rsid w:val="00EF41BB"/>
    <w:rsid w:val="00EF4249"/>
    <w:rsid w:val="00EF429E"/>
    <w:rsid w:val="00EF42A2"/>
    <w:rsid w:val="00EF42D3"/>
    <w:rsid w:val="00EF42E3"/>
    <w:rsid w:val="00EF4325"/>
    <w:rsid w:val="00EF436E"/>
    <w:rsid w:val="00EF4396"/>
    <w:rsid w:val="00EF43D7"/>
    <w:rsid w:val="00EF443C"/>
    <w:rsid w:val="00EF4444"/>
    <w:rsid w:val="00EF444D"/>
    <w:rsid w:val="00EF446F"/>
    <w:rsid w:val="00EF4478"/>
    <w:rsid w:val="00EF44E9"/>
    <w:rsid w:val="00EF453B"/>
    <w:rsid w:val="00EF4565"/>
    <w:rsid w:val="00EF4573"/>
    <w:rsid w:val="00EF4575"/>
    <w:rsid w:val="00EF457A"/>
    <w:rsid w:val="00EF45A7"/>
    <w:rsid w:val="00EF4609"/>
    <w:rsid w:val="00EF4623"/>
    <w:rsid w:val="00EF462E"/>
    <w:rsid w:val="00EF4632"/>
    <w:rsid w:val="00EF4668"/>
    <w:rsid w:val="00EF469D"/>
    <w:rsid w:val="00EF4747"/>
    <w:rsid w:val="00EF478E"/>
    <w:rsid w:val="00EF47C7"/>
    <w:rsid w:val="00EF4819"/>
    <w:rsid w:val="00EF4835"/>
    <w:rsid w:val="00EF4870"/>
    <w:rsid w:val="00EF4879"/>
    <w:rsid w:val="00EF488C"/>
    <w:rsid w:val="00EF48C5"/>
    <w:rsid w:val="00EF48FD"/>
    <w:rsid w:val="00EF494A"/>
    <w:rsid w:val="00EF498D"/>
    <w:rsid w:val="00EF49A9"/>
    <w:rsid w:val="00EF49D6"/>
    <w:rsid w:val="00EF49E8"/>
    <w:rsid w:val="00EF49EA"/>
    <w:rsid w:val="00EF4A0C"/>
    <w:rsid w:val="00EF4A69"/>
    <w:rsid w:val="00EF4A6D"/>
    <w:rsid w:val="00EF4AB3"/>
    <w:rsid w:val="00EF4B47"/>
    <w:rsid w:val="00EF4B5B"/>
    <w:rsid w:val="00EF4B72"/>
    <w:rsid w:val="00EF4B88"/>
    <w:rsid w:val="00EF4B9C"/>
    <w:rsid w:val="00EF4BC6"/>
    <w:rsid w:val="00EF4C0C"/>
    <w:rsid w:val="00EF4C1B"/>
    <w:rsid w:val="00EF4C6D"/>
    <w:rsid w:val="00EF4C78"/>
    <w:rsid w:val="00EF4CF5"/>
    <w:rsid w:val="00EF4CF8"/>
    <w:rsid w:val="00EF4D4D"/>
    <w:rsid w:val="00EF4D6B"/>
    <w:rsid w:val="00EF4D7E"/>
    <w:rsid w:val="00EF4D9D"/>
    <w:rsid w:val="00EF4DD6"/>
    <w:rsid w:val="00EF4E20"/>
    <w:rsid w:val="00EF4E47"/>
    <w:rsid w:val="00EF4E68"/>
    <w:rsid w:val="00EF4EC1"/>
    <w:rsid w:val="00EF4EC2"/>
    <w:rsid w:val="00EF4F08"/>
    <w:rsid w:val="00EF4F12"/>
    <w:rsid w:val="00EF4F64"/>
    <w:rsid w:val="00EF5002"/>
    <w:rsid w:val="00EF5020"/>
    <w:rsid w:val="00EF5042"/>
    <w:rsid w:val="00EF5080"/>
    <w:rsid w:val="00EF5081"/>
    <w:rsid w:val="00EF508B"/>
    <w:rsid w:val="00EF5119"/>
    <w:rsid w:val="00EF5167"/>
    <w:rsid w:val="00EF51D9"/>
    <w:rsid w:val="00EF51DF"/>
    <w:rsid w:val="00EF51FB"/>
    <w:rsid w:val="00EF5215"/>
    <w:rsid w:val="00EF521E"/>
    <w:rsid w:val="00EF5231"/>
    <w:rsid w:val="00EF5272"/>
    <w:rsid w:val="00EF52A5"/>
    <w:rsid w:val="00EF52BA"/>
    <w:rsid w:val="00EF5304"/>
    <w:rsid w:val="00EF5316"/>
    <w:rsid w:val="00EF533B"/>
    <w:rsid w:val="00EF5390"/>
    <w:rsid w:val="00EF5398"/>
    <w:rsid w:val="00EF53B5"/>
    <w:rsid w:val="00EF5461"/>
    <w:rsid w:val="00EF54CD"/>
    <w:rsid w:val="00EF54EF"/>
    <w:rsid w:val="00EF5505"/>
    <w:rsid w:val="00EF5536"/>
    <w:rsid w:val="00EF55B1"/>
    <w:rsid w:val="00EF55FC"/>
    <w:rsid w:val="00EF55FE"/>
    <w:rsid w:val="00EF561C"/>
    <w:rsid w:val="00EF5620"/>
    <w:rsid w:val="00EF5639"/>
    <w:rsid w:val="00EF5682"/>
    <w:rsid w:val="00EF56CB"/>
    <w:rsid w:val="00EF56D2"/>
    <w:rsid w:val="00EF56DA"/>
    <w:rsid w:val="00EF573D"/>
    <w:rsid w:val="00EF5767"/>
    <w:rsid w:val="00EF5782"/>
    <w:rsid w:val="00EF5783"/>
    <w:rsid w:val="00EF57C9"/>
    <w:rsid w:val="00EF57D1"/>
    <w:rsid w:val="00EF5810"/>
    <w:rsid w:val="00EF58AA"/>
    <w:rsid w:val="00EF58B3"/>
    <w:rsid w:val="00EF58C6"/>
    <w:rsid w:val="00EF58CB"/>
    <w:rsid w:val="00EF58E4"/>
    <w:rsid w:val="00EF58EF"/>
    <w:rsid w:val="00EF593A"/>
    <w:rsid w:val="00EF5978"/>
    <w:rsid w:val="00EF5991"/>
    <w:rsid w:val="00EF59A2"/>
    <w:rsid w:val="00EF5A11"/>
    <w:rsid w:val="00EF5A16"/>
    <w:rsid w:val="00EF5A89"/>
    <w:rsid w:val="00EF5ABB"/>
    <w:rsid w:val="00EF5AE8"/>
    <w:rsid w:val="00EF5AF5"/>
    <w:rsid w:val="00EF5B1F"/>
    <w:rsid w:val="00EF5B3D"/>
    <w:rsid w:val="00EF5B43"/>
    <w:rsid w:val="00EF5BA5"/>
    <w:rsid w:val="00EF5C2C"/>
    <w:rsid w:val="00EF5C41"/>
    <w:rsid w:val="00EF5C5F"/>
    <w:rsid w:val="00EF5C83"/>
    <w:rsid w:val="00EF5CBD"/>
    <w:rsid w:val="00EF5DA9"/>
    <w:rsid w:val="00EF5DB7"/>
    <w:rsid w:val="00EF5DE6"/>
    <w:rsid w:val="00EF5DF5"/>
    <w:rsid w:val="00EF5E4B"/>
    <w:rsid w:val="00EF5E5E"/>
    <w:rsid w:val="00EF5E63"/>
    <w:rsid w:val="00EF5E7C"/>
    <w:rsid w:val="00EF5E85"/>
    <w:rsid w:val="00EF5E89"/>
    <w:rsid w:val="00EF5EA5"/>
    <w:rsid w:val="00EF5ED6"/>
    <w:rsid w:val="00EF5EFF"/>
    <w:rsid w:val="00EF5F00"/>
    <w:rsid w:val="00EF5F19"/>
    <w:rsid w:val="00EF5F47"/>
    <w:rsid w:val="00EF5F65"/>
    <w:rsid w:val="00EF5F68"/>
    <w:rsid w:val="00EF5F7E"/>
    <w:rsid w:val="00EF5F87"/>
    <w:rsid w:val="00EF5FD7"/>
    <w:rsid w:val="00EF600A"/>
    <w:rsid w:val="00EF6021"/>
    <w:rsid w:val="00EF603A"/>
    <w:rsid w:val="00EF603F"/>
    <w:rsid w:val="00EF60E0"/>
    <w:rsid w:val="00EF6176"/>
    <w:rsid w:val="00EF6196"/>
    <w:rsid w:val="00EF61AD"/>
    <w:rsid w:val="00EF61BE"/>
    <w:rsid w:val="00EF61F7"/>
    <w:rsid w:val="00EF620D"/>
    <w:rsid w:val="00EF624D"/>
    <w:rsid w:val="00EF62AE"/>
    <w:rsid w:val="00EF62B1"/>
    <w:rsid w:val="00EF62D1"/>
    <w:rsid w:val="00EF62E2"/>
    <w:rsid w:val="00EF6302"/>
    <w:rsid w:val="00EF631E"/>
    <w:rsid w:val="00EF636E"/>
    <w:rsid w:val="00EF63C7"/>
    <w:rsid w:val="00EF63E0"/>
    <w:rsid w:val="00EF6418"/>
    <w:rsid w:val="00EF6443"/>
    <w:rsid w:val="00EF6460"/>
    <w:rsid w:val="00EF649C"/>
    <w:rsid w:val="00EF64C7"/>
    <w:rsid w:val="00EF6591"/>
    <w:rsid w:val="00EF65CF"/>
    <w:rsid w:val="00EF65E1"/>
    <w:rsid w:val="00EF662C"/>
    <w:rsid w:val="00EF664E"/>
    <w:rsid w:val="00EF66B4"/>
    <w:rsid w:val="00EF66EB"/>
    <w:rsid w:val="00EF6769"/>
    <w:rsid w:val="00EF6799"/>
    <w:rsid w:val="00EF67C4"/>
    <w:rsid w:val="00EF687B"/>
    <w:rsid w:val="00EF68BD"/>
    <w:rsid w:val="00EF68C7"/>
    <w:rsid w:val="00EF6903"/>
    <w:rsid w:val="00EF6917"/>
    <w:rsid w:val="00EF692E"/>
    <w:rsid w:val="00EF69A6"/>
    <w:rsid w:val="00EF69C7"/>
    <w:rsid w:val="00EF6A0A"/>
    <w:rsid w:val="00EF6A2E"/>
    <w:rsid w:val="00EF6A50"/>
    <w:rsid w:val="00EF6A55"/>
    <w:rsid w:val="00EF6AAB"/>
    <w:rsid w:val="00EF6AD7"/>
    <w:rsid w:val="00EF6B39"/>
    <w:rsid w:val="00EF6B92"/>
    <w:rsid w:val="00EF6BE5"/>
    <w:rsid w:val="00EF6BF9"/>
    <w:rsid w:val="00EF6C1B"/>
    <w:rsid w:val="00EF6C1E"/>
    <w:rsid w:val="00EF6C3E"/>
    <w:rsid w:val="00EF6C5A"/>
    <w:rsid w:val="00EF6C5E"/>
    <w:rsid w:val="00EF6C68"/>
    <w:rsid w:val="00EF6C6C"/>
    <w:rsid w:val="00EF6C76"/>
    <w:rsid w:val="00EF6C8C"/>
    <w:rsid w:val="00EF6C9B"/>
    <w:rsid w:val="00EF6CCD"/>
    <w:rsid w:val="00EF6CE0"/>
    <w:rsid w:val="00EF6DBD"/>
    <w:rsid w:val="00EF6DC2"/>
    <w:rsid w:val="00EF6E10"/>
    <w:rsid w:val="00EF6E11"/>
    <w:rsid w:val="00EF6E1D"/>
    <w:rsid w:val="00EF6E3A"/>
    <w:rsid w:val="00EF6E53"/>
    <w:rsid w:val="00EF6E74"/>
    <w:rsid w:val="00EF6EAC"/>
    <w:rsid w:val="00EF6EB6"/>
    <w:rsid w:val="00EF6EDA"/>
    <w:rsid w:val="00EF6F2B"/>
    <w:rsid w:val="00EF6F32"/>
    <w:rsid w:val="00EF6F33"/>
    <w:rsid w:val="00EF6F9E"/>
    <w:rsid w:val="00EF6FC6"/>
    <w:rsid w:val="00EF6FD1"/>
    <w:rsid w:val="00EF6FF0"/>
    <w:rsid w:val="00EF6FF2"/>
    <w:rsid w:val="00EF7026"/>
    <w:rsid w:val="00EF704F"/>
    <w:rsid w:val="00EF7056"/>
    <w:rsid w:val="00EF7067"/>
    <w:rsid w:val="00EF7071"/>
    <w:rsid w:val="00EF7074"/>
    <w:rsid w:val="00EF7078"/>
    <w:rsid w:val="00EF7083"/>
    <w:rsid w:val="00EF70B4"/>
    <w:rsid w:val="00EF711D"/>
    <w:rsid w:val="00EF7127"/>
    <w:rsid w:val="00EF72DC"/>
    <w:rsid w:val="00EF733B"/>
    <w:rsid w:val="00EF734B"/>
    <w:rsid w:val="00EF73EA"/>
    <w:rsid w:val="00EF742D"/>
    <w:rsid w:val="00EF743A"/>
    <w:rsid w:val="00EF748A"/>
    <w:rsid w:val="00EF74B1"/>
    <w:rsid w:val="00EF74DB"/>
    <w:rsid w:val="00EF74FB"/>
    <w:rsid w:val="00EF7509"/>
    <w:rsid w:val="00EF759B"/>
    <w:rsid w:val="00EF75A8"/>
    <w:rsid w:val="00EF7610"/>
    <w:rsid w:val="00EF7616"/>
    <w:rsid w:val="00EF761C"/>
    <w:rsid w:val="00EF7747"/>
    <w:rsid w:val="00EF775C"/>
    <w:rsid w:val="00EF77C4"/>
    <w:rsid w:val="00EF77EC"/>
    <w:rsid w:val="00EF7824"/>
    <w:rsid w:val="00EF783A"/>
    <w:rsid w:val="00EF785F"/>
    <w:rsid w:val="00EF7878"/>
    <w:rsid w:val="00EF788C"/>
    <w:rsid w:val="00EF78BA"/>
    <w:rsid w:val="00EF7916"/>
    <w:rsid w:val="00EF791E"/>
    <w:rsid w:val="00EF7923"/>
    <w:rsid w:val="00EF79B5"/>
    <w:rsid w:val="00EF79D5"/>
    <w:rsid w:val="00EF7A31"/>
    <w:rsid w:val="00EF7A6E"/>
    <w:rsid w:val="00EF7A90"/>
    <w:rsid w:val="00EF7A9B"/>
    <w:rsid w:val="00EF7B14"/>
    <w:rsid w:val="00EF7B2B"/>
    <w:rsid w:val="00EF7B45"/>
    <w:rsid w:val="00EF7B51"/>
    <w:rsid w:val="00EF7B78"/>
    <w:rsid w:val="00EF7B81"/>
    <w:rsid w:val="00EF7BE3"/>
    <w:rsid w:val="00EF7C48"/>
    <w:rsid w:val="00EF7C5D"/>
    <w:rsid w:val="00EF7C68"/>
    <w:rsid w:val="00EF7CED"/>
    <w:rsid w:val="00EF7D2B"/>
    <w:rsid w:val="00EF7D8F"/>
    <w:rsid w:val="00EF7DDD"/>
    <w:rsid w:val="00EF7DF5"/>
    <w:rsid w:val="00EF7E0C"/>
    <w:rsid w:val="00EF7E3F"/>
    <w:rsid w:val="00EF7E5A"/>
    <w:rsid w:val="00EF7E79"/>
    <w:rsid w:val="00EF7E94"/>
    <w:rsid w:val="00EF7ECE"/>
    <w:rsid w:val="00EF7F05"/>
    <w:rsid w:val="00EF7F0F"/>
    <w:rsid w:val="00EF7F18"/>
    <w:rsid w:val="00EF7F44"/>
    <w:rsid w:val="00EF7F89"/>
    <w:rsid w:val="00EF7FAB"/>
    <w:rsid w:val="00EF7FAD"/>
    <w:rsid w:val="00EF7FF4"/>
    <w:rsid w:val="00F00035"/>
    <w:rsid w:val="00F00041"/>
    <w:rsid w:val="00F00063"/>
    <w:rsid w:val="00F0006E"/>
    <w:rsid w:val="00F00092"/>
    <w:rsid w:val="00F0009E"/>
    <w:rsid w:val="00F000A0"/>
    <w:rsid w:val="00F000B0"/>
    <w:rsid w:val="00F000C9"/>
    <w:rsid w:val="00F0016A"/>
    <w:rsid w:val="00F00171"/>
    <w:rsid w:val="00F001CB"/>
    <w:rsid w:val="00F001DC"/>
    <w:rsid w:val="00F001EF"/>
    <w:rsid w:val="00F0020B"/>
    <w:rsid w:val="00F00210"/>
    <w:rsid w:val="00F00253"/>
    <w:rsid w:val="00F00259"/>
    <w:rsid w:val="00F002D1"/>
    <w:rsid w:val="00F002DD"/>
    <w:rsid w:val="00F00344"/>
    <w:rsid w:val="00F0037E"/>
    <w:rsid w:val="00F003A9"/>
    <w:rsid w:val="00F003AA"/>
    <w:rsid w:val="00F003C0"/>
    <w:rsid w:val="00F0041B"/>
    <w:rsid w:val="00F00455"/>
    <w:rsid w:val="00F0047F"/>
    <w:rsid w:val="00F004ED"/>
    <w:rsid w:val="00F00570"/>
    <w:rsid w:val="00F00587"/>
    <w:rsid w:val="00F00595"/>
    <w:rsid w:val="00F005EC"/>
    <w:rsid w:val="00F00665"/>
    <w:rsid w:val="00F00689"/>
    <w:rsid w:val="00F006AD"/>
    <w:rsid w:val="00F006EA"/>
    <w:rsid w:val="00F00704"/>
    <w:rsid w:val="00F00714"/>
    <w:rsid w:val="00F0074A"/>
    <w:rsid w:val="00F007A3"/>
    <w:rsid w:val="00F007AB"/>
    <w:rsid w:val="00F007C0"/>
    <w:rsid w:val="00F007E5"/>
    <w:rsid w:val="00F007E6"/>
    <w:rsid w:val="00F0081D"/>
    <w:rsid w:val="00F0084D"/>
    <w:rsid w:val="00F0089C"/>
    <w:rsid w:val="00F008B8"/>
    <w:rsid w:val="00F00901"/>
    <w:rsid w:val="00F00936"/>
    <w:rsid w:val="00F00963"/>
    <w:rsid w:val="00F00977"/>
    <w:rsid w:val="00F009A6"/>
    <w:rsid w:val="00F009AB"/>
    <w:rsid w:val="00F009AC"/>
    <w:rsid w:val="00F009E1"/>
    <w:rsid w:val="00F009EC"/>
    <w:rsid w:val="00F00A25"/>
    <w:rsid w:val="00F00A28"/>
    <w:rsid w:val="00F00A8C"/>
    <w:rsid w:val="00F00A9B"/>
    <w:rsid w:val="00F00AB8"/>
    <w:rsid w:val="00F00B07"/>
    <w:rsid w:val="00F00B1A"/>
    <w:rsid w:val="00F00B3C"/>
    <w:rsid w:val="00F00B4D"/>
    <w:rsid w:val="00F00B5B"/>
    <w:rsid w:val="00F00B5D"/>
    <w:rsid w:val="00F00BAC"/>
    <w:rsid w:val="00F00BBA"/>
    <w:rsid w:val="00F00C0C"/>
    <w:rsid w:val="00F00C2F"/>
    <w:rsid w:val="00F00C51"/>
    <w:rsid w:val="00F00C65"/>
    <w:rsid w:val="00F00CC7"/>
    <w:rsid w:val="00F00CED"/>
    <w:rsid w:val="00F00D1E"/>
    <w:rsid w:val="00F00D9E"/>
    <w:rsid w:val="00F00DA0"/>
    <w:rsid w:val="00F00DB7"/>
    <w:rsid w:val="00F00DC6"/>
    <w:rsid w:val="00F00DD8"/>
    <w:rsid w:val="00F00E12"/>
    <w:rsid w:val="00F00E3D"/>
    <w:rsid w:val="00F00E3E"/>
    <w:rsid w:val="00F00E41"/>
    <w:rsid w:val="00F00E58"/>
    <w:rsid w:val="00F00E6D"/>
    <w:rsid w:val="00F00E82"/>
    <w:rsid w:val="00F00E86"/>
    <w:rsid w:val="00F00EE3"/>
    <w:rsid w:val="00F00EF2"/>
    <w:rsid w:val="00F00F13"/>
    <w:rsid w:val="00F00F26"/>
    <w:rsid w:val="00F00F34"/>
    <w:rsid w:val="00F00F37"/>
    <w:rsid w:val="00F00F48"/>
    <w:rsid w:val="00F00F59"/>
    <w:rsid w:val="00F00F79"/>
    <w:rsid w:val="00F00F8B"/>
    <w:rsid w:val="00F00FCC"/>
    <w:rsid w:val="00F00FE8"/>
    <w:rsid w:val="00F01004"/>
    <w:rsid w:val="00F01005"/>
    <w:rsid w:val="00F01011"/>
    <w:rsid w:val="00F01098"/>
    <w:rsid w:val="00F0109D"/>
    <w:rsid w:val="00F010A3"/>
    <w:rsid w:val="00F010CF"/>
    <w:rsid w:val="00F0113A"/>
    <w:rsid w:val="00F011AD"/>
    <w:rsid w:val="00F011AF"/>
    <w:rsid w:val="00F011B0"/>
    <w:rsid w:val="00F011B6"/>
    <w:rsid w:val="00F011D0"/>
    <w:rsid w:val="00F01225"/>
    <w:rsid w:val="00F0123F"/>
    <w:rsid w:val="00F0124F"/>
    <w:rsid w:val="00F01254"/>
    <w:rsid w:val="00F01257"/>
    <w:rsid w:val="00F0125D"/>
    <w:rsid w:val="00F01289"/>
    <w:rsid w:val="00F01298"/>
    <w:rsid w:val="00F012B5"/>
    <w:rsid w:val="00F012BA"/>
    <w:rsid w:val="00F01335"/>
    <w:rsid w:val="00F01336"/>
    <w:rsid w:val="00F0137C"/>
    <w:rsid w:val="00F01398"/>
    <w:rsid w:val="00F013A8"/>
    <w:rsid w:val="00F013B3"/>
    <w:rsid w:val="00F013BA"/>
    <w:rsid w:val="00F013D5"/>
    <w:rsid w:val="00F013E3"/>
    <w:rsid w:val="00F013FA"/>
    <w:rsid w:val="00F0145F"/>
    <w:rsid w:val="00F01472"/>
    <w:rsid w:val="00F014D6"/>
    <w:rsid w:val="00F014D9"/>
    <w:rsid w:val="00F014E1"/>
    <w:rsid w:val="00F0151A"/>
    <w:rsid w:val="00F01525"/>
    <w:rsid w:val="00F0159B"/>
    <w:rsid w:val="00F015F6"/>
    <w:rsid w:val="00F01608"/>
    <w:rsid w:val="00F0160F"/>
    <w:rsid w:val="00F01646"/>
    <w:rsid w:val="00F01682"/>
    <w:rsid w:val="00F016C0"/>
    <w:rsid w:val="00F016DD"/>
    <w:rsid w:val="00F0170B"/>
    <w:rsid w:val="00F0171F"/>
    <w:rsid w:val="00F01751"/>
    <w:rsid w:val="00F01757"/>
    <w:rsid w:val="00F0175E"/>
    <w:rsid w:val="00F0178A"/>
    <w:rsid w:val="00F017F3"/>
    <w:rsid w:val="00F01850"/>
    <w:rsid w:val="00F01859"/>
    <w:rsid w:val="00F018AF"/>
    <w:rsid w:val="00F018E2"/>
    <w:rsid w:val="00F01927"/>
    <w:rsid w:val="00F01952"/>
    <w:rsid w:val="00F01960"/>
    <w:rsid w:val="00F01963"/>
    <w:rsid w:val="00F01978"/>
    <w:rsid w:val="00F019CB"/>
    <w:rsid w:val="00F019D0"/>
    <w:rsid w:val="00F019DF"/>
    <w:rsid w:val="00F019F6"/>
    <w:rsid w:val="00F01A0D"/>
    <w:rsid w:val="00F01A15"/>
    <w:rsid w:val="00F01A2C"/>
    <w:rsid w:val="00F01A49"/>
    <w:rsid w:val="00F01A4D"/>
    <w:rsid w:val="00F01AA8"/>
    <w:rsid w:val="00F01AB2"/>
    <w:rsid w:val="00F01AB8"/>
    <w:rsid w:val="00F01AC4"/>
    <w:rsid w:val="00F01AF1"/>
    <w:rsid w:val="00F01B13"/>
    <w:rsid w:val="00F01B62"/>
    <w:rsid w:val="00F01B6A"/>
    <w:rsid w:val="00F01BBC"/>
    <w:rsid w:val="00F01C79"/>
    <w:rsid w:val="00F01C9A"/>
    <w:rsid w:val="00F01CBE"/>
    <w:rsid w:val="00F01CCE"/>
    <w:rsid w:val="00F01CDE"/>
    <w:rsid w:val="00F01D20"/>
    <w:rsid w:val="00F01D44"/>
    <w:rsid w:val="00F01D4D"/>
    <w:rsid w:val="00F01D5C"/>
    <w:rsid w:val="00F01D67"/>
    <w:rsid w:val="00F01DB1"/>
    <w:rsid w:val="00F01DB6"/>
    <w:rsid w:val="00F01DC8"/>
    <w:rsid w:val="00F01E1D"/>
    <w:rsid w:val="00F01E88"/>
    <w:rsid w:val="00F01F10"/>
    <w:rsid w:val="00F01F13"/>
    <w:rsid w:val="00F01F3E"/>
    <w:rsid w:val="00F01F5A"/>
    <w:rsid w:val="00F01F5D"/>
    <w:rsid w:val="00F01F71"/>
    <w:rsid w:val="00F01FAD"/>
    <w:rsid w:val="00F01FCC"/>
    <w:rsid w:val="00F02029"/>
    <w:rsid w:val="00F0202C"/>
    <w:rsid w:val="00F02050"/>
    <w:rsid w:val="00F020F6"/>
    <w:rsid w:val="00F02107"/>
    <w:rsid w:val="00F02159"/>
    <w:rsid w:val="00F02172"/>
    <w:rsid w:val="00F0219F"/>
    <w:rsid w:val="00F021B5"/>
    <w:rsid w:val="00F02206"/>
    <w:rsid w:val="00F02230"/>
    <w:rsid w:val="00F0228F"/>
    <w:rsid w:val="00F022D0"/>
    <w:rsid w:val="00F02304"/>
    <w:rsid w:val="00F0230D"/>
    <w:rsid w:val="00F02330"/>
    <w:rsid w:val="00F02358"/>
    <w:rsid w:val="00F02379"/>
    <w:rsid w:val="00F023B3"/>
    <w:rsid w:val="00F023E3"/>
    <w:rsid w:val="00F023FC"/>
    <w:rsid w:val="00F0240A"/>
    <w:rsid w:val="00F0244A"/>
    <w:rsid w:val="00F024B2"/>
    <w:rsid w:val="00F024B9"/>
    <w:rsid w:val="00F02541"/>
    <w:rsid w:val="00F0255D"/>
    <w:rsid w:val="00F02569"/>
    <w:rsid w:val="00F0258F"/>
    <w:rsid w:val="00F02592"/>
    <w:rsid w:val="00F025BD"/>
    <w:rsid w:val="00F02673"/>
    <w:rsid w:val="00F026A2"/>
    <w:rsid w:val="00F026A7"/>
    <w:rsid w:val="00F026C9"/>
    <w:rsid w:val="00F026EA"/>
    <w:rsid w:val="00F026F2"/>
    <w:rsid w:val="00F0276C"/>
    <w:rsid w:val="00F027BE"/>
    <w:rsid w:val="00F027EB"/>
    <w:rsid w:val="00F027EF"/>
    <w:rsid w:val="00F027F3"/>
    <w:rsid w:val="00F0289F"/>
    <w:rsid w:val="00F028B2"/>
    <w:rsid w:val="00F028BB"/>
    <w:rsid w:val="00F028CF"/>
    <w:rsid w:val="00F0291A"/>
    <w:rsid w:val="00F0293D"/>
    <w:rsid w:val="00F02991"/>
    <w:rsid w:val="00F029A5"/>
    <w:rsid w:val="00F029AD"/>
    <w:rsid w:val="00F029B1"/>
    <w:rsid w:val="00F029B9"/>
    <w:rsid w:val="00F029F3"/>
    <w:rsid w:val="00F02A25"/>
    <w:rsid w:val="00F02A79"/>
    <w:rsid w:val="00F02A80"/>
    <w:rsid w:val="00F02AA0"/>
    <w:rsid w:val="00F02ABF"/>
    <w:rsid w:val="00F02AF0"/>
    <w:rsid w:val="00F02B44"/>
    <w:rsid w:val="00F02B7B"/>
    <w:rsid w:val="00F02B9B"/>
    <w:rsid w:val="00F02BC0"/>
    <w:rsid w:val="00F02BC7"/>
    <w:rsid w:val="00F02C0A"/>
    <w:rsid w:val="00F02C35"/>
    <w:rsid w:val="00F02C3C"/>
    <w:rsid w:val="00F02D08"/>
    <w:rsid w:val="00F02D52"/>
    <w:rsid w:val="00F02D75"/>
    <w:rsid w:val="00F02D76"/>
    <w:rsid w:val="00F02D77"/>
    <w:rsid w:val="00F02D86"/>
    <w:rsid w:val="00F02D9B"/>
    <w:rsid w:val="00F02DAA"/>
    <w:rsid w:val="00F02DE4"/>
    <w:rsid w:val="00F02DE8"/>
    <w:rsid w:val="00F02DFA"/>
    <w:rsid w:val="00F02E25"/>
    <w:rsid w:val="00F02E57"/>
    <w:rsid w:val="00F02E73"/>
    <w:rsid w:val="00F02EC0"/>
    <w:rsid w:val="00F02F00"/>
    <w:rsid w:val="00F02F30"/>
    <w:rsid w:val="00F02F35"/>
    <w:rsid w:val="00F02F50"/>
    <w:rsid w:val="00F02FA0"/>
    <w:rsid w:val="00F02FA2"/>
    <w:rsid w:val="00F02FAE"/>
    <w:rsid w:val="00F02FBA"/>
    <w:rsid w:val="00F02FDD"/>
    <w:rsid w:val="00F02FE8"/>
    <w:rsid w:val="00F0300A"/>
    <w:rsid w:val="00F0303B"/>
    <w:rsid w:val="00F0303D"/>
    <w:rsid w:val="00F0308A"/>
    <w:rsid w:val="00F030BA"/>
    <w:rsid w:val="00F030EA"/>
    <w:rsid w:val="00F03100"/>
    <w:rsid w:val="00F03109"/>
    <w:rsid w:val="00F03167"/>
    <w:rsid w:val="00F031C2"/>
    <w:rsid w:val="00F031C7"/>
    <w:rsid w:val="00F031DF"/>
    <w:rsid w:val="00F031E2"/>
    <w:rsid w:val="00F03235"/>
    <w:rsid w:val="00F03247"/>
    <w:rsid w:val="00F0324B"/>
    <w:rsid w:val="00F032C0"/>
    <w:rsid w:val="00F032F3"/>
    <w:rsid w:val="00F03303"/>
    <w:rsid w:val="00F03327"/>
    <w:rsid w:val="00F03366"/>
    <w:rsid w:val="00F03384"/>
    <w:rsid w:val="00F03388"/>
    <w:rsid w:val="00F033A6"/>
    <w:rsid w:val="00F033B2"/>
    <w:rsid w:val="00F03449"/>
    <w:rsid w:val="00F03479"/>
    <w:rsid w:val="00F034A8"/>
    <w:rsid w:val="00F034EF"/>
    <w:rsid w:val="00F0353D"/>
    <w:rsid w:val="00F03556"/>
    <w:rsid w:val="00F0356A"/>
    <w:rsid w:val="00F03576"/>
    <w:rsid w:val="00F035AC"/>
    <w:rsid w:val="00F035D7"/>
    <w:rsid w:val="00F035ED"/>
    <w:rsid w:val="00F03603"/>
    <w:rsid w:val="00F03648"/>
    <w:rsid w:val="00F03667"/>
    <w:rsid w:val="00F03688"/>
    <w:rsid w:val="00F0368F"/>
    <w:rsid w:val="00F036A7"/>
    <w:rsid w:val="00F036B0"/>
    <w:rsid w:val="00F036B1"/>
    <w:rsid w:val="00F036E9"/>
    <w:rsid w:val="00F0370B"/>
    <w:rsid w:val="00F03753"/>
    <w:rsid w:val="00F0378E"/>
    <w:rsid w:val="00F037A2"/>
    <w:rsid w:val="00F037B6"/>
    <w:rsid w:val="00F037E2"/>
    <w:rsid w:val="00F037E6"/>
    <w:rsid w:val="00F03824"/>
    <w:rsid w:val="00F03832"/>
    <w:rsid w:val="00F03856"/>
    <w:rsid w:val="00F0386F"/>
    <w:rsid w:val="00F038E0"/>
    <w:rsid w:val="00F03923"/>
    <w:rsid w:val="00F03942"/>
    <w:rsid w:val="00F039D7"/>
    <w:rsid w:val="00F039F3"/>
    <w:rsid w:val="00F039F9"/>
    <w:rsid w:val="00F03A1A"/>
    <w:rsid w:val="00F03A62"/>
    <w:rsid w:val="00F03A73"/>
    <w:rsid w:val="00F03A9E"/>
    <w:rsid w:val="00F03AD1"/>
    <w:rsid w:val="00F03B22"/>
    <w:rsid w:val="00F03B31"/>
    <w:rsid w:val="00F03B3A"/>
    <w:rsid w:val="00F03B43"/>
    <w:rsid w:val="00F03BF2"/>
    <w:rsid w:val="00F03C2E"/>
    <w:rsid w:val="00F03C38"/>
    <w:rsid w:val="00F03C9F"/>
    <w:rsid w:val="00F03CB4"/>
    <w:rsid w:val="00F03CF5"/>
    <w:rsid w:val="00F03D0D"/>
    <w:rsid w:val="00F03D25"/>
    <w:rsid w:val="00F03D5F"/>
    <w:rsid w:val="00F03D8A"/>
    <w:rsid w:val="00F03D8E"/>
    <w:rsid w:val="00F03DD1"/>
    <w:rsid w:val="00F03DE0"/>
    <w:rsid w:val="00F03E09"/>
    <w:rsid w:val="00F03E2B"/>
    <w:rsid w:val="00F03E4A"/>
    <w:rsid w:val="00F03E58"/>
    <w:rsid w:val="00F03E91"/>
    <w:rsid w:val="00F03E92"/>
    <w:rsid w:val="00F03F09"/>
    <w:rsid w:val="00F03F28"/>
    <w:rsid w:val="00F03F30"/>
    <w:rsid w:val="00F03F53"/>
    <w:rsid w:val="00F03F8F"/>
    <w:rsid w:val="00F04016"/>
    <w:rsid w:val="00F0405E"/>
    <w:rsid w:val="00F04091"/>
    <w:rsid w:val="00F0409B"/>
    <w:rsid w:val="00F040CC"/>
    <w:rsid w:val="00F040CE"/>
    <w:rsid w:val="00F0416E"/>
    <w:rsid w:val="00F041B8"/>
    <w:rsid w:val="00F041BD"/>
    <w:rsid w:val="00F041D8"/>
    <w:rsid w:val="00F041F4"/>
    <w:rsid w:val="00F04278"/>
    <w:rsid w:val="00F042EC"/>
    <w:rsid w:val="00F042FB"/>
    <w:rsid w:val="00F0430E"/>
    <w:rsid w:val="00F04337"/>
    <w:rsid w:val="00F04344"/>
    <w:rsid w:val="00F04385"/>
    <w:rsid w:val="00F04386"/>
    <w:rsid w:val="00F0439C"/>
    <w:rsid w:val="00F04432"/>
    <w:rsid w:val="00F04466"/>
    <w:rsid w:val="00F04489"/>
    <w:rsid w:val="00F04491"/>
    <w:rsid w:val="00F044AB"/>
    <w:rsid w:val="00F044F8"/>
    <w:rsid w:val="00F04558"/>
    <w:rsid w:val="00F04580"/>
    <w:rsid w:val="00F04585"/>
    <w:rsid w:val="00F045CE"/>
    <w:rsid w:val="00F045D4"/>
    <w:rsid w:val="00F045FE"/>
    <w:rsid w:val="00F0463D"/>
    <w:rsid w:val="00F04677"/>
    <w:rsid w:val="00F04678"/>
    <w:rsid w:val="00F0469F"/>
    <w:rsid w:val="00F046D4"/>
    <w:rsid w:val="00F046E5"/>
    <w:rsid w:val="00F04751"/>
    <w:rsid w:val="00F0476F"/>
    <w:rsid w:val="00F047BD"/>
    <w:rsid w:val="00F047C3"/>
    <w:rsid w:val="00F047E1"/>
    <w:rsid w:val="00F047E5"/>
    <w:rsid w:val="00F047F2"/>
    <w:rsid w:val="00F04841"/>
    <w:rsid w:val="00F04849"/>
    <w:rsid w:val="00F04893"/>
    <w:rsid w:val="00F048AE"/>
    <w:rsid w:val="00F048BB"/>
    <w:rsid w:val="00F048F7"/>
    <w:rsid w:val="00F0490D"/>
    <w:rsid w:val="00F04950"/>
    <w:rsid w:val="00F0495D"/>
    <w:rsid w:val="00F04965"/>
    <w:rsid w:val="00F049A7"/>
    <w:rsid w:val="00F049D9"/>
    <w:rsid w:val="00F04A8F"/>
    <w:rsid w:val="00F04AB3"/>
    <w:rsid w:val="00F04ADA"/>
    <w:rsid w:val="00F04ADE"/>
    <w:rsid w:val="00F04B00"/>
    <w:rsid w:val="00F04B40"/>
    <w:rsid w:val="00F04B91"/>
    <w:rsid w:val="00F04BB7"/>
    <w:rsid w:val="00F04BCA"/>
    <w:rsid w:val="00F04BFB"/>
    <w:rsid w:val="00F04C00"/>
    <w:rsid w:val="00F04C14"/>
    <w:rsid w:val="00F04CB1"/>
    <w:rsid w:val="00F04CB5"/>
    <w:rsid w:val="00F04CB9"/>
    <w:rsid w:val="00F04CD5"/>
    <w:rsid w:val="00F04CE1"/>
    <w:rsid w:val="00F04CFE"/>
    <w:rsid w:val="00F04D7C"/>
    <w:rsid w:val="00F04D7E"/>
    <w:rsid w:val="00F04DA1"/>
    <w:rsid w:val="00F04DA7"/>
    <w:rsid w:val="00F04DBD"/>
    <w:rsid w:val="00F04E20"/>
    <w:rsid w:val="00F04E23"/>
    <w:rsid w:val="00F04E7A"/>
    <w:rsid w:val="00F04ED7"/>
    <w:rsid w:val="00F04F6A"/>
    <w:rsid w:val="00F04FB6"/>
    <w:rsid w:val="00F04FCA"/>
    <w:rsid w:val="00F04FD2"/>
    <w:rsid w:val="00F04FFA"/>
    <w:rsid w:val="00F0501E"/>
    <w:rsid w:val="00F0506E"/>
    <w:rsid w:val="00F050A2"/>
    <w:rsid w:val="00F050C5"/>
    <w:rsid w:val="00F050C7"/>
    <w:rsid w:val="00F050DB"/>
    <w:rsid w:val="00F05113"/>
    <w:rsid w:val="00F05136"/>
    <w:rsid w:val="00F0515D"/>
    <w:rsid w:val="00F05188"/>
    <w:rsid w:val="00F051B0"/>
    <w:rsid w:val="00F051C9"/>
    <w:rsid w:val="00F05220"/>
    <w:rsid w:val="00F0523D"/>
    <w:rsid w:val="00F05277"/>
    <w:rsid w:val="00F05290"/>
    <w:rsid w:val="00F052B4"/>
    <w:rsid w:val="00F052C7"/>
    <w:rsid w:val="00F052DD"/>
    <w:rsid w:val="00F05429"/>
    <w:rsid w:val="00F05430"/>
    <w:rsid w:val="00F05441"/>
    <w:rsid w:val="00F05472"/>
    <w:rsid w:val="00F05491"/>
    <w:rsid w:val="00F054A4"/>
    <w:rsid w:val="00F054A6"/>
    <w:rsid w:val="00F054D3"/>
    <w:rsid w:val="00F054E4"/>
    <w:rsid w:val="00F0554B"/>
    <w:rsid w:val="00F0557A"/>
    <w:rsid w:val="00F055AD"/>
    <w:rsid w:val="00F055E3"/>
    <w:rsid w:val="00F05636"/>
    <w:rsid w:val="00F05684"/>
    <w:rsid w:val="00F05694"/>
    <w:rsid w:val="00F05695"/>
    <w:rsid w:val="00F056B2"/>
    <w:rsid w:val="00F056DB"/>
    <w:rsid w:val="00F056E8"/>
    <w:rsid w:val="00F0571C"/>
    <w:rsid w:val="00F05744"/>
    <w:rsid w:val="00F0578C"/>
    <w:rsid w:val="00F057C3"/>
    <w:rsid w:val="00F057D9"/>
    <w:rsid w:val="00F057FA"/>
    <w:rsid w:val="00F0583E"/>
    <w:rsid w:val="00F0584A"/>
    <w:rsid w:val="00F05862"/>
    <w:rsid w:val="00F058CB"/>
    <w:rsid w:val="00F05955"/>
    <w:rsid w:val="00F05A04"/>
    <w:rsid w:val="00F05A15"/>
    <w:rsid w:val="00F05A37"/>
    <w:rsid w:val="00F05A4C"/>
    <w:rsid w:val="00F05A52"/>
    <w:rsid w:val="00F05A72"/>
    <w:rsid w:val="00F05A94"/>
    <w:rsid w:val="00F05ACD"/>
    <w:rsid w:val="00F05AF7"/>
    <w:rsid w:val="00F05B01"/>
    <w:rsid w:val="00F05B0B"/>
    <w:rsid w:val="00F05B14"/>
    <w:rsid w:val="00F05B15"/>
    <w:rsid w:val="00F05B6B"/>
    <w:rsid w:val="00F05B81"/>
    <w:rsid w:val="00F05B96"/>
    <w:rsid w:val="00F05C0C"/>
    <w:rsid w:val="00F05C1B"/>
    <w:rsid w:val="00F05C2C"/>
    <w:rsid w:val="00F05C31"/>
    <w:rsid w:val="00F05C3C"/>
    <w:rsid w:val="00F05C5B"/>
    <w:rsid w:val="00F05C69"/>
    <w:rsid w:val="00F05CAB"/>
    <w:rsid w:val="00F05CC2"/>
    <w:rsid w:val="00F05CD9"/>
    <w:rsid w:val="00F05D10"/>
    <w:rsid w:val="00F05D11"/>
    <w:rsid w:val="00F05D71"/>
    <w:rsid w:val="00F05DEF"/>
    <w:rsid w:val="00F05E25"/>
    <w:rsid w:val="00F05E75"/>
    <w:rsid w:val="00F05E7D"/>
    <w:rsid w:val="00F05EBB"/>
    <w:rsid w:val="00F05F05"/>
    <w:rsid w:val="00F05F06"/>
    <w:rsid w:val="00F05F10"/>
    <w:rsid w:val="00F05F2A"/>
    <w:rsid w:val="00F05F33"/>
    <w:rsid w:val="00F05F4C"/>
    <w:rsid w:val="00F05F87"/>
    <w:rsid w:val="00F05FA2"/>
    <w:rsid w:val="00F05FD8"/>
    <w:rsid w:val="00F05FEA"/>
    <w:rsid w:val="00F05FFB"/>
    <w:rsid w:val="00F0601D"/>
    <w:rsid w:val="00F0609A"/>
    <w:rsid w:val="00F0609E"/>
    <w:rsid w:val="00F060B3"/>
    <w:rsid w:val="00F060C1"/>
    <w:rsid w:val="00F06102"/>
    <w:rsid w:val="00F0614C"/>
    <w:rsid w:val="00F06180"/>
    <w:rsid w:val="00F061A0"/>
    <w:rsid w:val="00F061AB"/>
    <w:rsid w:val="00F06201"/>
    <w:rsid w:val="00F0621A"/>
    <w:rsid w:val="00F06226"/>
    <w:rsid w:val="00F06276"/>
    <w:rsid w:val="00F06286"/>
    <w:rsid w:val="00F062C4"/>
    <w:rsid w:val="00F062E4"/>
    <w:rsid w:val="00F06306"/>
    <w:rsid w:val="00F06374"/>
    <w:rsid w:val="00F063B3"/>
    <w:rsid w:val="00F063D6"/>
    <w:rsid w:val="00F063E4"/>
    <w:rsid w:val="00F06454"/>
    <w:rsid w:val="00F0647C"/>
    <w:rsid w:val="00F06484"/>
    <w:rsid w:val="00F064B5"/>
    <w:rsid w:val="00F064C6"/>
    <w:rsid w:val="00F06513"/>
    <w:rsid w:val="00F06515"/>
    <w:rsid w:val="00F06554"/>
    <w:rsid w:val="00F06559"/>
    <w:rsid w:val="00F06563"/>
    <w:rsid w:val="00F0656C"/>
    <w:rsid w:val="00F0656D"/>
    <w:rsid w:val="00F0657D"/>
    <w:rsid w:val="00F065A1"/>
    <w:rsid w:val="00F065AC"/>
    <w:rsid w:val="00F06607"/>
    <w:rsid w:val="00F06646"/>
    <w:rsid w:val="00F066CD"/>
    <w:rsid w:val="00F066FF"/>
    <w:rsid w:val="00F0673F"/>
    <w:rsid w:val="00F0674F"/>
    <w:rsid w:val="00F06806"/>
    <w:rsid w:val="00F0683C"/>
    <w:rsid w:val="00F06952"/>
    <w:rsid w:val="00F0695E"/>
    <w:rsid w:val="00F06964"/>
    <w:rsid w:val="00F0696D"/>
    <w:rsid w:val="00F0696F"/>
    <w:rsid w:val="00F069C7"/>
    <w:rsid w:val="00F069CA"/>
    <w:rsid w:val="00F069FE"/>
    <w:rsid w:val="00F06A9E"/>
    <w:rsid w:val="00F06ACF"/>
    <w:rsid w:val="00F06AD7"/>
    <w:rsid w:val="00F06AE3"/>
    <w:rsid w:val="00F06AE5"/>
    <w:rsid w:val="00F06B09"/>
    <w:rsid w:val="00F06B10"/>
    <w:rsid w:val="00F06B1F"/>
    <w:rsid w:val="00F06B3C"/>
    <w:rsid w:val="00F06B55"/>
    <w:rsid w:val="00F06B6D"/>
    <w:rsid w:val="00F06BE4"/>
    <w:rsid w:val="00F06C09"/>
    <w:rsid w:val="00F06C20"/>
    <w:rsid w:val="00F06C39"/>
    <w:rsid w:val="00F06C6E"/>
    <w:rsid w:val="00F06CAA"/>
    <w:rsid w:val="00F06CBD"/>
    <w:rsid w:val="00F06CCA"/>
    <w:rsid w:val="00F06CEA"/>
    <w:rsid w:val="00F06CFD"/>
    <w:rsid w:val="00F06DC7"/>
    <w:rsid w:val="00F06DCC"/>
    <w:rsid w:val="00F06DF1"/>
    <w:rsid w:val="00F06E2E"/>
    <w:rsid w:val="00F06E7A"/>
    <w:rsid w:val="00F06E88"/>
    <w:rsid w:val="00F06E93"/>
    <w:rsid w:val="00F06EAC"/>
    <w:rsid w:val="00F06EC5"/>
    <w:rsid w:val="00F06EE9"/>
    <w:rsid w:val="00F06EF0"/>
    <w:rsid w:val="00F06F21"/>
    <w:rsid w:val="00F06F44"/>
    <w:rsid w:val="00F06F63"/>
    <w:rsid w:val="00F06FB5"/>
    <w:rsid w:val="00F06FC9"/>
    <w:rsid w:val="00F07014"/>
    <w:rsid w:val="00F07059"/>
    <w:rsid w:val="00F0708F"/>
    <w:rsid w:val="00F070AB"/>
    <w:rsid w:val="00F070B3"/>
    <w:rsid w:val="00F070C4"/>
    <w:rsid w:val="00F070CD"/>
    <w:rsid w:val="00F070E3"/>
    <w:rsid w:val="00F07128"/>
    <w:rsid w:val="00F07165"/>
    <w:rsid w:val="00F07194"/>
    <w:rsid w:val="00F071A0"/>
    <w:rsid w:val="00F071B9"/>
    <w:rsid w:val="00F071BB"/>
    <w:rsid w:val="00F071EA"/>
    <w:rsid w:val="00F0725A"/>
    <w:rsid w:val="00F0725D"/>
    <w:rsid w:val="00F07290"/>
    <w:rsid w:val="00F072DB"/>
    <w:rsid w:val="00F0731D"/>
    <w:rsid w:val="00F0731E"/>
    <w:rsid w:val="00F07323"/>
    <w:rsid w:val="00F07333"/>
    <w:rsid w:val="00F07384"/>
    <w:rsid w:val="00F07397"/>
    <w:rsid w:val="00F07481"/>
    <w:rsid w:val="00F074BA"/>
    <w:rsid w:val="00F074C3"/>
    <w:rsid w:val="00F074F2"/>
    <w:rsid w:val="00F07599"/>
    <w:rsid w:val="00F075BD"/>
    <w:rsid w:val="00F075D7"/>
    <w:rsid w:val="00F075E3"/>
    <w:rsid w:val="00F0760E"/>
    <w:rsid w:val="00F07641"/>
    <w:rsid w:val="00F07672"/>
    <w:rsid w:val="00F0767B"/>
    <w:rsid w:val="00F07687"/>
    <w:rsid w:val="00F0768F"/>
    <w:rsid w:val="00F076A1"/>
    <w:rsid w:val="00F0771F"/>
    <w:rsid w:val="00F0773A"/>
    <w:rsid w:val="00F0775C"/>
    <w:rsid w:val="00F07788"/>
    <w:rsid w:val="00F077AA"/>
    <w:rsid w:val="00F077C8"/>
    <w:rsid w:val="00F077E0"/>
    <w:rsid w:val="00F07804"/>
    <w:rsid w:val="00F07818"/>
    <w:rsid w:val="00F07864"/>
    <w:rsid w:val="00F07898"/>
    <w:rsid w:val="00F0789A"/>
    <w:rsid w:val="00F0789E"/>
    <w:rsid w:val="00F078B3"/>
    <w:rsid w:val="00F078F1"/>
    <w:rsid w:val="00F07903"/>
    <w:rsid w:val="00F0793B"/>
    <w:rsid w:val="00F07942"/>
    <w:rsid w:val="00F0794D"/>
    <w:rsid w:val="00F07961"/>
    <w:rsid w:val="00F0796C"/>
    <w:rsid w:val="00F07979"/>
    <w:rsid w:val="00F0799C"/>
    <w:rsid w:val="00F079AB"/>
    <w:rsid w:val="00F079B1"/>
    <w:rsid w:val="00F079B8"/>
    <w:rsid w:val="00F079B9"/>
    <w:rsid w:val="00F079C9"/>
    <w:rsid w:val="00F079FB"/>
    <w:rsid w:val="00F079FC"/>
    <w:rsid w:val="00F07A16"/>
    <w:rsid w:val="00F07A51"/>
    <w:rsid w:val="00F07A53"/>
    <w:rsid w:val="00F07A5A"/>
    <w:rsid w:val="00F07A7B"/>
    <w:rsid w:val="00F07A7D"/>
    <w:rsid w:val="00F07AAB"/>
    <w:rsid w:val="00F07ABE"/>
    <w:rsid w:val="00F07AF2"/>
    <w:rsid w:val="00F07AFC"/>
    <w:rsid w:val="00F07B4B"/>
    <w:rsid w:val="00F07B62"/>
    <w:rsid w:val="00F07B9A"/>
    <w:rsid w:val="00F07B9E"/>
    <w:rsid w:val="00F07BDA"/>
    <w:rsid w:val="00F07C19"/>
    <w:rsid w:val="00F07C24"/>
    <w:rsid w:val="00F07C77"/>
    <w:rsid w:val="00F07CEC"/>
    <w:rsid w:val="00F07D79"/>
    <w:rsid w:val="00F07D84"/>
    <w:rsid w:val="00F07D9D"/>
    <w:rsid w:val="00F07DE0"/>
    <w:rsid w:val="00F07E39"/>
    <w:rsid w:val="00F07EAA"/>
    <w:rsid w:val="00F07F0B"/>
    <w:rsid w:val="00F07F16"/>
    <w:rsid w:val="00F07F3D"/>
    <w:rsid w:val="00F07F41"/>
    <w:rsid w:val="00F07F52"/>
    <w:rsid w:val="00F07F87"/>
    <w:rsid w:val="00F07FB7"/>
    <w:rsid w:val="00F07FDC"/>
    <w:rsid w:val="00F07FE0"/>
    <w:rsid w:val="00F10004"/>
    <w:rsid w:val="00F10014"/>
    <w:rsid w:val="00F10023"/>
    <w:rsid w:val="00F1005B"/>
    <w:rsid w:val="00F1005C"/>
    <w:rsid w:val="00F10085"/>
    <w:rsid w:val="00F1008C"/>
    <w:rsid w:val="00F10093"/>
    <w:rsid w:val="00F1009A"/>
    <w:rsid w:val="00F100B0"/>
    <w:rsid w:val="00F100C8"/>
    <w:rsid w:val="00F100DF"/>
    <w:rsid w:val="00F100E7"/>
    <w:rsid w:val="00F100ED"/>
    <w:rsid w:val="00F10113"/>
    <w:rsid w:val="00F1017A"/>
    <w:rsid w:val="00F101AE"/>
    <w:rsid w:val="00F101DE"/>
    <w:rsid w:val="00F101F4"/>
    <w:rsid w:val="00F10221"/>
    <w:rsid w:val="00F10250"/>
    <w:rsid w:val="00F10299"/>
    <w:rsid w:val="00F102B2"/>
    <w:rsid w:val="00F102BD"/>
    <w:rsid w:val="00F102C4"/>
    <w:rsid w:val="00F1032E"/>
    <w:rsid w:val="00F10333"/>
    <w:rsid w:val="00F10370"/>
    <w:rsid w:val="00F10378"/>
    <w:rsid w:val="00F1037A"/>
    <w:rsid w:val="00F10386"/>
    <w:rsid w:val="00F103B5"/>
    <w:rsid w:val="00F103C2"/>
    <w:rsid w:val="00F103CB"/>
    <w:rsid w:val="00F1045E"/>
    <w:rsid w:val="00F10480"/>
    <w:rsid w:val="00F1048F"/>
    <w:rsid w:val="00F10490"/>
    <w:rsid w:val="00F104D2"/>
    <w:rsid w:val="00F104D7"/>
    <w:rsid w:val="00F10534"/>
    <w:rsid w:val="00F1055E"/>
    <w:rsid w:val="00F10585"/>
    <w:rsid w:val="00F1058D"/>
    <w:rsid w:val="00F105AF"/>
    <w:rsid w:val="00F105B7"/>
    <w:rsid w:val="00F105B8"/>
    <w:rsid w:val="00F105BA"/>
    <w:rsid w:val="00F1063A"/>
    <w:rsid w:val="00F10642"/>
    <w:rsid w:val="00F106AC"/>
    <w:rsid w:val="00F106FC"/>
    <w:rsid w:val="00F1070C"/>
    <w:rsid w:val="00F107BA"/>
    <w:rsid w:val="00F107CC"/>
    <w:rsid w:val="00F107F1"/>
    <w:rsid w:val="00F10815"/>
    <w:rsid w:val="00F1081E"/>
    <w:rsid w:val="00F10822"/>
    <w:rsid w:val="00F10898"/>
    <w:rsid w:val="00F108C7"/>
    <w:rsid w:val="00F108C9"/>
    <w:rsid w:val="00F10909"/>
    <w:rsid w:val="00F10931"/>
    <w:rsid w:val="00F10954"/>
    <w:rsid w:val="00F10963"/>
    <w:rsid w:val="00F10971"/>
    <w:rsid w:val="00F109C0"/>
    <w:rsid w:val="00F109D8"/>
    <w:rsid w:val="00F109DE"/>
    <w:rsid w:val="00F109E0"/>
    <w:rsid w:val="00F10ABA"/>
    <w:rsid w:val="00F10AC9"/>
    <w:rsid w:val="00F10AD9"/>
    <w:rsid w:val="00F10B07"/>
    <w:rsid w:val="00F10B21"/>
    <w:rsid w:val="00F10B3B"/>
    <w:rsid w:val="00F10B44"/>
    <w:rsid w:val="00F10B4A"/>
    <w:rsid w:val="00F10B4E"/>
    <w:rsid w:val="00F10BC8"/>
    <w:rsid w:val="00F10BDD"/>
    <w:rsid w:val="00F10C07"/>
    <w:rsid w:val="00F10C3F"/>
    <w:rsid w:val="00F10C58"/>
    <w:rsid w:val="00F10C69"/>
    <w:rsid w:val="00F10CBE"/>
    <w:rsid w:val="00F10D2E"/>
    <w:rsid w:val="00F10D43"/>
    <w:rsid w:val="00F10D69"/>
    <w:rsid w:val="00F10D8C"/>
    <w:rsid w:val="00F10DE1"/>
    <w:rsid w:val="00F10E1E"/>
    <w:rsid w:val="00F10E37"/>
    <w:rsid w:val="00F10E63"/>
    <w:rsid w:val="00F10E9E"/>
    <w:rsid w:val="00F10EBE"/>
    <w:rsid w:val="00F10EF8"/>
    <w:rsid w:val="00F10F22"/>
    <w:rsid w:val="00F10F3F"/>
    <w:rsid w:val="00F10F41"/>
    <w:rsid w:val="00F10F8C"/>
    <w:rsid w:val="00F10F9B"/>
    <w:rsid w:val="00F10FE1"/>
    <w:rsid w:val="00F11051"/>
    <w:rsid w:val="00F1107A"/>
    <w:rsid w:val="00F110DE"/>
    <w:rsid w:val="00F11102"/>
    <w:rsid w:val="00F11129"/>
    <w:rsid w:val="00F1113F"/>
    <w:rsid w:val="00F11141"/>
    <w:rsid w:val="00F11159"/>
    <w:rsid w:val="00F11166"/>
    <w:rsid w:val="00F111B8"/>
    <w:rsid w:val="00F111DC"/>
    <w:rsid w:val="00F11236"/>
    <w:rsid w:val="00F11271"/>
    <w:rsid w:val="00F112AD"/>
    <w:rsid w:val="00F112C3"/>
    <w:rsid w:val="00F112E4"/>
    <w:rsid w:val="00F112ED"/>
    <w:rsid w:val="00F112FA"/>
    <w:rsid w:val="00F1130D"/>
    <w:rsid w:val="00F11323"/>
    <w:rsid w:val="00F11331"/>
    <w:rsid w:val="00F11364"/>
    <w:rsid w:val="00F11387"/>
    <w:rsid w:val="00F11390"/>
    <w:rsid w:val="00F11391"/>
    <w:rsid w:val="00F113BC"/>
    <w:rsid w:val="00F11435"/>
    <w:rsid w:val="00F11439"/>
    <w:rsid w:val="00F11463"/>
    <w:rsid w:val="00F1146A"/>
    <w:rsid w:val="00F114A5"/>
    <w:rsid w:val="00F114DA"/>
    <w:rsid w:val="00F114F6"/>
    <w:rsid w:val="00F114FA"/>
    <w:rsid w:val="00F1151A"/>
    <w:rsid w:val="00F1153E"/>
    <w:rsid w:val="00F1156E"/>
    <w:rsid w:val="00F1156F"/>
    <w:rsid w:val="00F1161C"/>
    <w:rsid w:val="00F11636"/>
    <w:rsid w:val="00F1164F"/>
    <w:rsid w:val="00F116CC"/>
    <w:rsid w:val="00F11702"/>
    <w:rsid w:val="00F1171F"/>
    <w:rsid w:val="00F11739"/>
    <w:rsid w:val="00F11765"/>
    <w:rsid w:val="00F117AE"/>
    <w:rsid w:val="00F117C7"/>
    <w:rsid w:val="00F117E4"/>
    <w:rsid w:val="00F11818"/>
    <w:rsid w:val="00F1186C"/>
    <w:rsid w:val="00F1188B"/>
    <w:rsid w:val="00F118C6"/>
    <w:rsid w:val="00F11905"/>
    <w:rsid w:val="00F11947"/>
    <w:rsid w:val="00F11981"/>
    <w:rsid w:val="00F1199E"/>
    <w:rsid w:val="00F11A26"/>
    <w:rsid w:val="00F11A3C"/>
    <w:rsid w:val="00F11A4B"/>
    <w:rsid w:val="00F11A54"/>
    <w:rsid w:val="00F11A69"/>
    <w:rsid w:val="00F11A9F"/>
    <w:rsid w:val="00F11AA7"/>
    <w:rsid w:val="00F11AB1"/>
    <w:rsid w:val="00F11AB8"/>
    <w:rsid w:val="00F11AC1"/>
    <w:rsid w:val="00F11ADF"/>
    <w:rsid w:val="00F11AF5"/>
    <w:rsid w:val="00F11B69"/>
    <w:rsid w:val="00F11B83"/>
    <w:rsid w:val="00F11BA4"/>
    <w:rsid w:val="00F11BED"/>
    <w:rsid w:val="00F11BFC"/>
    <w:rsid w:val="00F11C00"/>
    <w:rsid w:val="00F11C25"/>
    <w:rsid w:val="00F11C2C"/>
    <w:rsid w:val="00F11C95"/>
    <w:rsid w:val="00F11CAA"/>
    <w:rsid w:val="00F11CB1"/>
    <w:rsid w:val="00F11CC0"/>
    <w:rsid w:val="00F11CE2"/>
    <w:rsid w:val="00F11CFB"/>
    <w:rsid w:val="00F11D31"/>
    <w:rsid w:val="00F11D67"/>
    <w:rsid w:val="00F11D8E"/>
    <w:rsid w:val="00F11DEB"/>
    <w:rsid w:val="00F11E00"/>
    <w:rsid w:val="00F11E83"/>
    <w:rsid w:val="00F11E8F"/>
    <w:rsid w:val="00F11EAD"/>
    <w:rsid w:val="00F11EEF"/>
    <w:rsid w:val="00F11EF7"/>
    <w:rsid w:val="00F11F31"/>
    <w:rsid w:val="00F11F66"/>
    <w:rsid w:val="00F11F7B"/>
    <w:rsid w:val="00F11F92"/>
    <w:rsid w:val="00F11FAA"/>
    <w:rsid w:val="00F11FB6"/>
    <w:rsid w:val="00F11FC8"/>
    <w:rsid w:val="00F11FE0"/>
    <w:rsid w:val="00F12038"/>
    <w:rsid w:val="00F12055"/>
    <w:rsid w:val="00F120EA"/>
    <w:rsid w:val="00F1215F"/>
    <w:rsid w:val="00F1218B"/>
    <w:rsid w:val="00F121A2"/>
    <w:rsid w:val="00F121C1"/>
    <w:rsid w:val="00F12201"/>
    <w:rsid w:val="00F12210"/>
    <w:rsid w:val="00F12235"/>
    <w:rsid w:val="00F1228E"/>
    <w:rsid w:val="00F12296"/>
    <w:rsid w:val="00F122AE"/>
    <w:rsid w:val="00F122B7"/>
    <w:rsid w:val="00F122E5"/>
    <w:rsid w:val="00F1230A"/>
    <w:rsid w:val="00F1232C"/>
    <w:rsid w:val="00F1237E"/>
    <w:rsid w:val="00F123C3"/>
    <w:rsid w:val="00F123D4"/>
    <w:rsid w:val="00F123F3"/>
    <w:rsid w:val="00F12407"/>
    <w:rsid w:val="00F12410"/>
    <w:rsid w:val="00F12475"/>
    <w:rsid w:val="00F124C1"/>
    <w:rsid w:val="00F124C9"/>
    <w:rsid w:val="00F12519"/>
    <w:rsid w:val="00F1251F"/>
    <w:rsid w:val="00F12526"/>
    <w:rsid w:val="00F12533"/>
    <w:rsid w:val="00F12572"/>
    <w:rsid w:val="00F125CD"/>
    <w:rsid w:val="00F12682"/>
    <w:rsid w:val="00F12688"/>
    <w:rsid w:val="00F12703"/>
    <w:rsid w:val="00F1273D"/>
    <w:rsid w:val="00F1274A"/>
    <w:rsid w:val="00F12795"/>
    <w:rsid w:val="00F127C4"/>
    <w:rsid w:val="00F127C7"/>
    <w:rsid w:val="00F127D0"/>
    <w:rsid w:val="00F127DA"/>
    <w:rsid w:val="00F127EE"/>
    <w:rsid w:val="00F12814"/>
    <w:rsid w:val="00F12818"/>
    <w:rsid w:val="00F12839"/>
    <w:rsid w:val="00F12860"/>
    <w:rsid w:val="00F128C4"/>
    <w:rsid w:val="00F12908"/>
    <w:rsid w:val="00F12963"/>
    <w:rsid w:val="00F12980"/>
    <w:rsid w:val="00F129C0"/>
    <w:rsid w:val="00F129C9"/>
    <w:rsid w:val="00F129D7"/>
    <w:rsid w:val="00F129E4"/>
    <w:rsid w:val="00F12A0D"/>
    <w:rsid w:val="00F12A4F"/>
    <w:rsid w:val="00F12A72"/>
    <w:rsid w:val="00F12A73"/>
    <w:rsid w:val="00F12AA9"/>
    <w:rsid w:val="00F12AC1"/>
    <w:rsid w:val="00F12AE6"/>
    <w:rsid w:val="00F12B0D"/>
    <w:rsid w:val="00F12B38"/>
    <w:rsid w:val="00F12B60"/>
    <w:rsid w:val="00F12B97"/>
    <w:rsid w:val="00F12BB6"/>
    <w:rsid w:val="00F12BE5"/>
    <w:rsid w:val="00F12BEC"/>
    <w:rsid w:val="00F12BED"/>
    <w:rsid w:val="00F12BF8"/>
    <w:rsid w:val="00F12BFF"/>
    <w:rsid w:val="00F12D25"/>
    <w:rsid w:val="00F12D41"/>
    <w:rsid w:val="00F12D42"/>
    <w:rsid w:val="00F12D46"/>
    <w:rsid w:val="00F12D49"/>
    <w:rsid w:val="00F12D60"/>
    <w:rsid w:val="00F12D75"/>
    <w:rsid w:val="00F12D98"/>
    <w:rsid w:val="00F12DA7"/>
    <w:rsid w:val="00F12DC6"/>
    <w:rsid w:val="00F12DEC"/>
    <w:rsid w:val="00F12DF1"/>
    <w:rsid w:val="00F12DF5"/>
    <w:rsid w:val="00F12E02"/>
    <w:rsid w:val="00F12E40"/>
    <w:rsid w:val="00F12E65"/>
    <w:rsid w:val="00F12EBB"/>
    <w:rsid w:val="00F12F2D"/>
    <w:rsid w:val="00F12F9F"/>
    <w:rsid w:val="00F12FBD"/>
    <w:rsid w:val="00F1305B"/>
    <w:rsid w:val="00F13088"/>
    <w:rsid w:val="00F130B2"/>
    <w:rsid w:val="00F130C8"/>
    <w:rsid w:val="00F130DB"/>
    <w:rsid w:val="00F13100"/>
    <w:rsid w:val="00F13144"/>
    <w:rsid w:val="00F1316F"/>
    <w:rsid w:val="00F1317E"/>
    <w:rsid w:val="00F13184"/>
    <w:rsid w:val="00F131B9"/>
    <w:rsid w:val="00F131C0"/>
    <w:rsid w:val="00F131F0"/>
    <w:rsid w:val="00F13220"/>
    <w:rsid w:val="00F13253"/>
    <w:rsid w:val="00F1325D"/>
    <w:rsid w:val="00F13269"/>
    <w:rsid w:val="00F1329F"/>
    <w:rsid w:val="00F132B9"/>
    <w:rsid w:val="00F132ED"/>
    <w:rsid w:val="00F13301"/>
    <w:rsid w:val="00F1333A"/>
    <w:rsid w:val="00F13373"/>
    <w:rsid w:val="00F1338A"/>
    <w:rsid w:val="00F133AF"/>
    <w:rsid w:val="00F134BE"/>
    <w:rsid w:val="00F1354B"/>
    <w:rsid w:val="00F1356D"/>
    <w:rsid w:val="00F13572"/>
    <w:rsid w:val="00F1357A"/>
    <w:rsid w:val="00F1357C"/>
    <w:rsid w:val="00F1359B"/>
    <w:rsid w:val="00F135AA"/>
    <w:rsid w:val="00F135CF"/>
    <w:rsid w:val="00F135DF"/>
    <w:rsid w:val="00F1369E"/>
    <w:rsid w:val="00F1372F"/>
    <w:rsid w:val="00F13785"/>
    <w:rsid w:val="00F13791"/>
    <w:rsid w:val="00F137DF"/>
    <w:rsid w:val="00F137E6"/>
    <w:rsid w:val="00F137F7"/>
    <w:rsid w:val="00F13854"/>
    <w:rsid w:val="00F138E4"/>
    <w:rsid w:val="00F13910"/>
    <w:rsid w:val="00F13967"/>
    <w:rsid w:val="00F13991"/>
    <w:rsid w:val="00F139DE"/>
    <w:rsid w:val="00F13A46"/>
    <w:rsid w:val="00F13A55"/>
    <w:rsid w:val="00F13A58"/>
    <w:rsid w:val="00F13A5B"/>
    <w:rsid w:val="00F13A89"/>
    <w:rsid w:val="00F13AAA"/>
    <w:rsid w:val="00F13AF9"/>
    <w:rsid w:val="00F13B75"/>
    <w:rsid w:val="00F13BA2"/>
    <w:rsid w:val="00F13BB3"/>
    <w:rsid w:val="00F13BF4"/>
    <w:rsid w:val="00F13BFA"/>
    <w:rsid w:val="00F13C26"/>
    <w:rsid w:val="00F13C77"/>
    <w:rsid w:val="00F13C7E"/>
    <w:rsid w:val="00F13C9D"/>
    <w:rsid w:val="00F13CA7"/>
    <w:rsid w:val="00F13CC6"/>
    <w:rsid w:val="00F13D35"/>
    <w:rsid w:val="00F13D4B"/>
    <w:rsid w:val="00F13D78"/>
    <w:rsid w:val="00F13D7A"/>
    <w:rsid w:val="00F13DAF"/>
    <w:rsid w:val="00F13DD3"/>
    <w:rsid w:val="00F13DF8"/>
    <w:rsid w:val="00F13DFC"/>
    <w:rsid w:val="00F13E0C"/>
    <w:rsid w:val="00F13E45"/>
    <w:rsid w:val="00F13E51"/>
    <w:rsid w:val="00F13EAC"/>
    <w:rsid w:val="00F13EC3"/>
    <w:rsid w:val="00F13EC9"/>
    <w:rsid w:val="00F13ED4"/>
    <w:rsid w:val="00F13F63"/>
    <w:rsid w:val="00F13F8C"/>
    <w:rsid w:val="00F13FC0"/>
    <w:rsid w:val="00F14006"/>
    <w:rsid w:val="00F14048"/>
    <w:rsid w:val="00F14089"/>
    <w:rsid w:val="00F140B0"/>
    <w:rsid w:val="00F14105"/>
    <w:rsid w:val="00F14158"/>
    <w:rsid w:val="00F14174"/>
    <w:rsid w:val="00F141A7"/>
    <w:rsid w:val="00F141F2"/>
    <w:rsid w:val="00F14210"/>
    <w:rsid w:val="00F14216"/>
    <w:rsid w:val="00F142E8"/>
    <w:rsid w:val="00F14334"/>
    <w:rsid w:val="00F14340"/>
    <w:rsid w:val="00F14386"/>
    <w:rsid w:val="00F1439D"/>
    <w:rsid w:val="00F143A2"/>
    <w:rsid w:val="00F143C8"/>
    <w:rsid w:val="00F14409"/>
    <w:rsid w:val="00F14418"/>
    <w:rsid w:val="00F14476"/>
    <w:rsid w:val="00F144C0"/>
    <w:rsid w:val="00F144CB"/>
    <w:rsid w:val="00F144F8"/>
    <w:rsid w:val="00F1451C"/>
    <w:rsid w:val="00F14560"/>
    <w:rsid w:val="00F14592"/>
    <w:rsid w:val="00F145AC"/>
    <w:rsid w:val="00F145B6"/>
    <w:rsid w:val="00F145B9"/>
    <w:rsid w:val="00F145DF"/>
    <w:rsid w:val="00F145E9"/>
    <w:rsid w:val="00F14618"/>
    <w:rsid w:val="00F14622"/>
    <w:rsid w:val="00F146BA"/>
    <w:rsid w:val="00F146C5"/>
    <w:rsid w:val="00F146CF"/>
    <w:rsid w:val="00F146EE"/>
    <w:rsid w:val="00F14700"/>
    <w:rsid w:val="00F1470F"/>
    <w:rsid w:val="00F1473A"/>
    <w:rsid w:val="00F14740"/>
    <w:rsid w:val="00F14750"/>
    <w:rsid w:val="00F14804"/>
    <w:rsid w:val="00F14831"/>
    <w:rsid w:val="00F14890"/>
    <w:rsid w:val="00F14892"/>
    <w:rsid w:val="00F148CA"/>
    <w:rsid w:val="00F148F1"/>
    <w:rsid w:val="00F149AD"/>
    <w:rsid w:val="00F149BC"/>
    <w:rsid w:val="00F149C7"/>
    <w:rsid w:val="00F14A23"/>
    <w:rsid w:val="00F14A44"/>
    <w:rsid w:val="00F14A80"/>
    <w:rsid w:val="00F14AD7"/>
    <w:rsid w:val="00F14AEA"/>
    <w:rsid w:val="00F14B00"/>
    <w:rsid w:val="00F14B08"/>
    <w:rsid w:val="00F14B13"/>
    <w:rsid w:val="00F14B40"/>
    <w:rsid w:val="00F14B68"/>
    <w:rsid w:val="00F14B87"/>
    <w:rsid w:val="00F14BA0"/>
    <w:rsid w:val="00F14C2C"/>
    <w:rsid w:val="00F14C5F"/>
    <w:rsid w:val="00F14CE0"/>
    <w:rsid w:val="00F14D0B"/>
    <w:rsid w:val="00F14D21"/>
    <w:rsid w:val="00F14D45"/>
    <w:rsid w:val="00F14D51"/>
    <w:rsid w:val="00F14D85"/>
    <w:rsid w:val="00F14D91"/>
    <w:rsid w:val="00F14DA2"/>
    <w:rsid w:val="00F14DB0"/>
    <w:rsid w:val="00F14DC8"/>
    <w:rsid w:val="00F14DD3"/>
    <w:rsid w:val="00F14DE1"/>
    <w:rsid w:val="00F14E6E"/>
    <w:rsid w:val="00F14E83"/>
    <w:rsid w:val="00F14E96"/>
    <w:rsid w:val="00F14ECF"/>
    <w:rsid w:val="00F14F1D"/>
    <w:rsid w:val="00F14F97"/>
    <w:rsid w:val="00F15084"/>
    <w:rsid w:val="00F150B2"/>
    <w:rsid w:val="00F15104"/>
    <w:rsid w:val="00F1511E"/>
    <w:rsid w:val="00F15179"/>
    <w:rsid w:val="00F151F1"/>
    <w:rsid w:val="00F15217"/>
    <w:rsid w:val="00F1522C"/>
    <w:rsid w:val="00F1528D"/>
    <w:rsid w:val="00F152AB"/>
    <w:rsid w:val="00F152BB"/>
    <w:rsid w:val="00F152D6"/>
    <w:rsid w:val="00F15312"/>
    <w:rsid w:val="00F15336"/>
    <w:rsid w:val="00F15348"/>
    <w:rsid w:val="00F15364"/>
    <w:rsid w:val="00F153D3"/>
    <w:rsid w:val="00F153D4"/>
    <w:rsid w:val="00F153E5"/>
    <w:rsid w:val="00F153F3"/>
    <w:rsid w:val="00F1546A"/>
    <w:rsid w:val="00F154D8"/>
    <w:rsid w:val="00F154F3"/>
    <w:rsid w:val="00F15509"/>
    <w:rsid w:val="00F15544"/>
    <w:rsid w:val="00F155A8"/>
    <w:rsid w:val="00F155AE"/>
    <w:rsid w:val="00F155B9"/>
    <w:rsid w:val="00F155C5"/>
    <w:rsid w:val="00F155EA"/>
    <w:rsid w:val="00F15602"/>
    <w:rsid w:val="00F1561B"/>
    <w:rsid w:val="00F15636"/>
    <w:rsid w:val="00F15646"/>
    <w:rsid w:val="00F15659"/>
    <w:rsid w:val="00F15668"/>
    <w:rsid w:val="00F15671"/>
    <w:rsid w:val="00F156A8"/>
    <w:rsid w:val="00F156C9"/>
    <w:rsid w:val="00F156DD"/>
    <w:rsid w:val="00F15758"/>
    <w:rsid w:val="00F1577D"/>
    <w:rsid w:val="00F15788"/>
    <w:rsid w:val="00F157B7"/>
    <w:rsid w:val="00F157FB"/>
    <w:rsid w:val="00F1583F"/>
    <w:rsid w:val="00F1584B"/>
    <w:rsid w:val="00F1585D"/>
    <w:rsid w:val="00F15990"/>
    <w:rsid w:val="00F15994"/>
    <w:rsid w:val="00F159AF"/>
    <w:rsid w:val="00F159BA"/>
    <w:rsid w:val="00F15A11"/>
    <w:rsid w:val="00F15A19"/>
    <w:rsid w:val="00F15A1B"/>
    <w:rsid w:val="00F15A3E"/>
    <w:rsid w:val="00F15AA7"/>
    <w:rsid w:val="00F15AF3"/>
    <w:rsid w:val="00F15B05"/>
    <w:rsid w:val="00F15B09"/>
    <w:rsid w:val="00F15B16"/>
    <w:rsid w:val="00F15B1E"/>
    <w:rsid w:val="00F15B4A"/>
    <w:rsid w:val="00F15B9B"/>
    <w:rsid w:val="00F15C21"/>
    <w:rsid w:val="00F15C23"/>
    <w:rsid w:val="00F15C54"/>
    <w:rsid w:val="00F15C67"/>
    <w:rsid w:val="00F15C87"/>
    <w:rsid w:val="00F15C8A"/>
    <w:rsid w:val="00F15CD4"/>
    <w:rsid w:val="00F15CF0"/>
    <w:rsid w:val="00F15CF5"/>
    <w:rsid w:val="00F15CFA"/>
    <w:rsid w:val="00F15D06"/>
    <w:rsid w:val="00F15D07"/>
    <w:rsid w:val="00F15D5B"/>
    <w:rsid w:val="00F15D67"/>
    <w:rsid w:val="00F15DB7"/>
    <w:rsid w:val="00F15DFB"/>
    <w:rsid w:val="00F15E14"/>
    <w:rsid w:val="00F15E4E"/>
    <w:rsid w:val="00F15E65"/>
    <w:rsid w:val="00F15E92"/>
    <w:rsid w:val="00F15EC4"/>
    <w:rsid w:val="00F15ED7"/>
    <w:rsid w:val="00F15EFF"/>
    <w:rsid w:val="00F15F19"/>
    <w:rsid w:val="00F15F43"/>
    <w:rsid w:val="00F15F95"/>
    <w:rsid w:val="00F15FB2"/>
    <w:rsid w:val="00F15FD4"/>
    <w:rsid w:val="00F15FF5"/>
    <w:rsid w:val="00F15FF6"/>
    <w:rsid w:val="00F16000"/>
    <w:rsid w:val="00F1606D"/>
    <w:rsid w:val="00F16073"/>
    <w:rsid w:val="00F1608F"/>
    <w:rsid w:val="00F16098"/>
    <w:rsid w:val="00F160A5"/>
    <w:rsid w:val="00F160AC"/>
    <w:rsid w:val="00F160E3"/>
    <w:rsid w:val="00F16125"/>
    <w:rsid w:val="00F161A8"/>
    <w:rsid w:val="00F161F6"/>
    <w:rsid w:val="00F161FF"/>
    <w:rsid w:val="00F1620E"/>
    <w:rsid w:val="00F1625F"/>
    <w:rsid w:val="00F1628A"/>
    <w:rsid w:val="00F1628D"/>
    <w:rsid w:val="00F1628E"/>
    <w:rsid w:val="00F16291"/>
    <w:rsid w:val="00F162D7"/>
    <w:rsid w:val="00F16315"/>
    <w:rsid w:val="00F16321"/>
    <w:rsid w:val="00F16343"/>
    <w:rsid w:val="00F16345"/>
    <w:rsid w:val="00F1639C"/>
    <w:rsid w:val="00F163A1"/>
    <w:rsid w:val="00F163D2"/>
    <w:rsid w:val="00F16471"/>
    <w:rsid w:val="00F16496"/>
    <w:rsid w:val="00F16536"/>
    <w:rsid w:val="00F1656F"/>
    <w:rsid w:val="00F16575"/>
    <w:rsid w:val="00F165CF"/>
    <w:rsid w:val="00F165E2"/>
    <w:rsid w:val="00F1669F"/>
    <w:rsid w:val="00F166EF"/>
    <w:rsid w:val="00F166F6"/>
    <w:rsid w:val="00F166FA"/>
    <w:rsid w:val="00F1673C"/>
    <w:rsid w:val="00F16756"/>
    <w:rsid w:val="00F167A0"/>
    <w:rsid w:val="00F167F2"/>
    <w:rsid w:val="00F1681B"/>
    <w:rsid w:val="00F16875"/>
    <w:rsid w:val="00F16881"/>
    <w:rsid w:val="00F1688B"/>
    <w:rsid w:val="00F168A8"/>
    <w:rsid w:val="00F168B2"/>
    <w:rsid w:val="00F168B6"/>
    <w:rsid w:val="00F168E0"/>
    <w:rsid w:val="00F1690C"/>
    <w:rsid w:val="00F16935"/>
    <w:rsid w:val="00F16958"/>
    <w:rsid w:val="00F16994"/>
    <w:rsid w:val="00F169BE"/>
    <w:rsid w:val="00F169FE"/>
    <w:rsid w:val="00F16A05"/>
    <w:rsid w:val="00F16A0B"/>
    <w:rsid w:val="00F16A82"/>
    <w:rsid w:val="00F16A9E"/>
    <w:rsid w:val="00F16AD2"/>
    <w:rsid w:val="00F16ADF"/>
    <w:rsid w:val="00F16AE5"/>
    <w:rsid w:val="00F16AFA"/>
    <w:rsid w:val="00F16B14"/>
    <w:rsid w:val="00F16B37"/>
    <w:rsid w:val="00F16B41"/>
    <w:rsid w:val="00F16BBE"/>
    <w:rsid w:val="00F16BD1"/>
    <w:rsid w:val="00F16BEF"/>
    <w:rsid w:val="00F16C06"/>
    <w:rsid w:val="00F16C0F"/>
    <w:rsid w:val="00F16CA2"/>
    <w:rsid w:val="00F16CA9"/>
    <w:rsid w:val="00F16CBB"/>
    <w:rsid w:val="00F16CC2"/>
    <w:rsid w:val="00F16CD8"/>
    <w:rsid w:val="00F16D13"/>
    <w:rsid w:val="00F16D16"/>
    <w:rsid w:val="00F16D9D"/>
    <w:rsid w:val="00F16DFF"/>
    <w:rsid w:val="00F16E02"/>
    <w:rsid w:val="00F16E1B"/>
    <w:rsid w:val="00F16EC7"/>
    <w:rsid w:val="00F16ED2"/>
    <w:rsid w:val="00F16F23"/>
    <w:rsid w:val="00F16F2D"/>
    <w:rsid w:val="00F16F32"/>
    <w:rsid w:val="00F16FBC"/>
    <w:rsid w:val="00F16FD1"/>
    <w:rsid w:val="00F16FE3"/>
    <w:rsid w:val="00F16FEC"/>
    <w:rsid w:val="00F17034"/>
    <w:rsid w:val="00F17087"/>
    <w:rsid w:val="00F170AA"/>
    <w:rsid w:val="00F1710F"/>
    <w:rsid w:val="00F1711D"/>
    <w:rsid w:val="00F17167"/>
    <w:rsid w:val="00F17171"/>
    <w:rsid w:val="00F17256"/>
    <w:rsid w:val="00F17258"/>
    <w:rsid w:val="00F1725D"/>
    <w:rsid w:val="00F172B1"/>
    <w:rsid w:val="00F172D6"/>
    <w:rsid w:val="00F17324"/>
    <w:rsid w:val="00F17330"/>
    <w:rsid w:val="00F17372"/>
    <w:rsid w:val="00F1737D"/>
    <w:rsid w:val="00F173A1"/>
    <w:rsid w:val="00F173A3"/>
    <w:rsid w:val="00F174C6"/>
    <w:rsid w:val="00F174E3"/>
    <w:rsid w:val="00F17570"/>
    <w:rsid w:val="00F17591"/>
    <w:rsid w:val="00F1759F"/>
    <w:rsid w:val="00F175C3"/>
    <w:rsid w:val="00F17650"/>
    <w:rsid w:val="00F17658"/>
    <w:rsid w:val="00F17673"/>
    <w:rsid w:val="00F17679"/>
    <w:rsid w:val="00F17692"/>
    <w:rsid w:val="00F17694"/>
    <w:rsid w:val="00F176B2"/>
    <w:rsid w:val="00F176F9"/>
    <w:rsid w:val="00F176FC"/>
    <w:rsid w:val="00F17716"/>
    <w:rsid w:val="00F17759"/>
    <w:rsid w:val="00F17785"/>
    <w:rsid w:val="00F177A2"/>
    <w:rsid w:val="00F177EF"/>
    <w:rsid w:val="00F17843"/>
    <w:rsid w:val="00F178F2"/>
    <w:rsid w:val="00F17910"/>
    <w:rsid w:val="00F179D4"/>
    <w:rsid w:val="00F179ED"/>
    <w:rsid w:val="00F179EE"/>
    <w:rsid w:val="00F179FB"/>
    <w:rsid w:val="00F179FE"/>
    <w:rsid w:val="00F17A72"/>
    <w:rsid w:val="00F17AA6"/>
    <w:rsid w:val="00F17AF4"/>
    <w:rsid w:val="00F17B1C"/>
    <w:rsid w:val="00F17B23"/>
    <w:rsid w:val="00F17B3F"/>
    <w:rsid w:val="00F17BE9"/>
    <w:rsid w:val="00F17C07"/>
    <w:rsid w:val="00F17C47"/>
    <w:rsid w:val="00F17C91"/>
    <w:rsid w:val="00F17C9D"/>
    <w:rsid w:val="00F17CB6"/>
    <w:rsid w:val="00F17CB8"/>
    <w:rsid w:val="00F17CC4"/>
    <w:rsid w:val="00F17CD9"/>
    <w:rsid w:val="00F17D75"/>
    <w:rsid w:val="00F17DDC"/>
    <w:rsid w:val="00F17E83"/>
    <w:rsid w:val="00F17EB6"/>
    <w:rsid w:val="00F17F0C"/>
    <w:rsid w:val="00F17F40"/>
    <w:rsid w:val="00F17F44"/>
    <w:rsid w:val="00F17F78"/>
    <w:rsid w:val="00F20001"/>
    <w:rsid w:val="00F20014"/>
    <w:rsid w:val="00F20078"/>
    <w:rsid w:val="00F20087"/>
    <w:rsid w:val="00F2009A"/>
    <w:rsid w:val="00F2009D"/>
    <w:rsid w:val="00F200E3"/>
    <w:rsid w:val="00F20135"/>
    <w:rsid w:val="00F2015C"/>
    <w:rsid w:val="00F2018B"/>
    <w:rsid w:val="00F2018E"/>
    <w:rsid w:val="00F201B1"/>
    <w:rsid w:val="00F201B4"/>
    <w:rsid w:val="00F20281"/>
    <w:rsid w:val="00F20298"/>
    <w:rsid w:val="00F2029F"/>
    <w:rsid w:val="00F202AB"/>
    <w:rsid w:val="00F202CE"/>
    <w:rsid w:val="00F202EA"/>
    <w:rsid w:val="00F202F9"/>
    <w:rsid w:val="00F20349"/>
    <w:rsid w:val="00F2034E"/>
    <w:rsid w:val="00F20362"/>
    <w:rsid w:val="00F2037A"/>
    <w:rsid w:val="00F20382"/>
    <w:rsid w:val="00F2040A"/>
    <w:rsid w:val="00F204CE"/>
    <w:rsid w:val="00F2051A"/>
    <w:rsid w:val="00F20526"/>
    <w:rsid w:val="00F20547"/>
    <w:rsid w:val="00F2057E"/>
    <w:rsid w:val="00F205BF"/>
    <w:rsid w:val="00F205C3"/>
    <w:rsid w:val="00F205DD"/>
    <w:rsid w:val="00F205EE"/>
    <w:rsid w:val="00F206F3"/>
    <w:rsid w:val="00F20700"/>
    <w:rsid w:val="00F20716"/>
    <w:rsid w:val="00F20753"/>
    <w:rsid w:val="00F207FB"/>
    <w:rsid w:val="00F20824"/>
    <w:rsid w:val="00F20852"/>
    <w:rsid w:val="00F2086D"/>
    <w:rsid w:val="00F2089C"/>
    <w:rsid w:val="00F208CA"/>
    <w:rsid w:val="00F208F2"/>
    <w:rsid w:val="00F2092E"/>
    <w:rsid w:val="00F20930"/>
    <w:rsid w:val="00F2093C"/>
    <w:rsid w:val="00F20944"/>
    <w:rsid w:val="00F2095D"/>
    <w:rsid w:val="00F2097D"/>
    <w:rsid w:val="00F209AC"/>
    <w:rsid w:val="00F209D1"/>
    <w:rsid w:val="00F20A4B"/>
    <w:rsid w:val="00F20A97"/>
    <w:rsid w:val="00F20AEC"/>
    <w:rsid w:val="00F20B21"/>
    <w:rsid w:val="00F20B26"/>
    <w:rsid w:val="00F20B74"/>
    <w:rsid w:val="00F20BFC"/>
    <w:rsid w:val="00F20C0C"/>
    <w:rsid w:val="00F20C32"/>
    <w:rsid w:val="00F20C7F"/>
    <w:rsid w:val="00F20CEA"/>
    <w:rsid w:val="00F20CF2"/>
    <w:rsid w:val="00F20D01"/>
    <w:rsid w:val="00F20D5A"/>
    <w:rsid w:val="00F20D8F"/>
    <w:rsid w:val="00F20DA6"/>
    <w:rsid w:val="00F20DD5"/>
    <w:rsid w:val="00F20E06"/>
    <w:rsid w:val="00F20E2A"/>
    <w:rsid w:val="00F20E47"/>
    <w:rsid w:val="00F20E49"/>
    <w:rsid w:val="00F20F06"/>
    <w:rsid w:val="00F20F66"/>
    <w:rsid w:val="00F20F79"/>
    <w:rsid w:val="00F20F8D"/>
    <w:rsid w:val="00F20F9A"/>
    <w:rsid w:val="00F20FC1"/>
    <w:rsid w:val="00F20FF7"/>
    <w:rsid w:val="00F21016"/>
    <w:rsid w:val="00F2104E"/>
    <w:rsid w:val="00F2106F"/>
    <w:rsid w:val="00F21099"/>
    <w:rsid w:val="00F2109B"/>
    <w:rsid w:val="00F2109D"/>
    <w:rsid w:val="00F210A1"/>
    <w:rsid w:val="00F210AC"/>
    <w:rsid w:val="00F21107"/>
    <w:rsid w:val="00F2115D"/>
    <w:rsid w:val="00F21188"/>
    <w:rsid w:val="00F211BD"/>
    <w:rsid w:val="00F211E5"/>
    <w:rsid w:val="00F21228"/>
    <w:rsid w:val="00F21236"/>
    <w:rsid w:val="00F21286"/>
    <w:rsid w:val="00F212B7"/>
    <w:rsid w:val="00F212E2"/>
    <w:rsid w:val="00F212F1"/>
    <w:rsid w:val="00F21329"/>
    <w:rsid w:val="00F21339"/>
    <w:rsid w:val="00F2134B"/>
    <w:rsid w:val="00F2135D"/>
    <w:rsid w:val="00F2135F"/>
    <w:rsid w:val="00F213A0"/>
    <w:rsid w:val="00F213B3"/>
    <w:rsid w:val="00F2144B"/>
    <w:rsid w:val="00F21485"/>
    <w:rsid w:val="00F21490"/>
    <w:rsid w:val="00F214BA"/>
    <w:rsid w:val="00F214BB"/>
    <w:rsid w:val="00F214D9"/>
    <w:rsid w:val="00F21513"/>
    <w:rsid w:val="00F21548"/>
    <w:rsid w:val="00F2156D"/>
    <w:rsid w:val="00F215B0"/>
    <w:rsid w:val="00F2161E"/>
    <w:rsid w:val="00F2162C"/>
    <w:rsid w:val="00F21680"/>
    <w:rsid w:val="00F216AA"/>
    <w:rsid w:val="00F216AD"/>
    <w:rsid w:val="00F216BD"/>
    <w:rsid w:val="00F2174E"/>
    <w:rsid w:val="00F2175F"/>
    <w:rsid w:val="00F2177F"/>
    <w:rsid w:val="00F217D2"/>
    <w:rsid w:val="00F217EB"/>
    <w:rsid w:val="00F21825"/>
    <w:rsid w:val="00F21831"/>
    <w:rsid w:val="00F2185F"/>
    <w:rsid w:val="00F21865"/>
    <w:rsid w:val="00F21875"/>
    <w:rsid w:val="00F2189E"/>
    <w:rsid w:val="00F218E5"/>
    <w:rsid w:val="00F21911"/>
    <w:rsid w:val="00F21918"/>
    <w:rsid w:val="00F21923"/>
    <w:rsid w:val="00F21949"/>
    <w:rsid w:val="00F21967"/>
    <w:rsid w:val="00F21973"/>
    <w:rsid w:val="00F21A03"/>
    <w:rsid w:val="00F21A2A"/>
    <w:rsid w:val="00F21A36"/>
    <w:rsid w:val="00F21A38"/>
    <w:rsid w:val="00F21A7B"/>
    <w:rsid w:val="00F21A81"/>
    <w:rsid w:val="00F21AAB"/>
    <w:rsid w:val="00F21AB9"/>
    <w:rsid w:val="00F21AD3"/>
    <w:rsid w:val="00F21AD6"/>
    <w:rsid w:val="00F21AF7"/>
    <w:rsid w:val="00F21B2C"/>
    <w:rsid w:val="00F21B8A"/>
    <w:rsid w:val="00F21B92"/>
    <w:rsid w:val="00F21BB5"/>
    <w:rsid w:val="00F21BD8"/>
    <w:rsid w:val="00F21C78"/>
    <w:rsid w:val="00F21C84"/>
    <w:rsid w:val="00F21C8B"/>
    <w:rsid w:val="00F21CB9"/>
    <w:rsid w:val="00F21CDC"/>
    <w:rsid w:val="00F21D18"/>
    <w:rsid w:val="00F21D19"/>
    <w:rsid w:val="00F21D1C"/>
    <w:rsid w:val="00F21D23"/>
    <w:rsid w:val="00F21D4D"/>
    <w:rsid w:val="00F21D55"/>
    <w:rsid w:val="00F21D9C"/>
    <w:rsid w:val="00F21D9F"/>
    <w:rsid w:val="00F21E18"/>
    <w:rsid w:val="00F21E75"/>
    <w:rsid w:val="00F21E95"/>
    <w:rsid w:val="00F21EA7"/>
    <w:rsid w:val="00F21EAE"/>
    <w:rsid w:val="00F21EDD"/>
    <w:rsid w:val="00F21F53"/>
    <w:rsid w:val="00F22016"/>
    <w:rsid w:val="00F22017"/>
    <w:rsid w:val="00F22043"/>
    <w:rsid w:val="00F2205E"/>
    <w:rsid w:val="00F2205F"/>
    <w:rsid w:val="00F22065"/>
    <w:rsid w:val="00F22080"/>
    <w:rsid w:val="00F22099"/>
    <w:rsid w:val="00F220A6"/>
    <w:rsid w:val="00F220B3"/>
    <w:rsid w:val="00F220CD"/>
    <w:rsid w:val="00F220D5"/>
    <w:rsid w:val="00F22149"/>
    <w:rsid w:val="00F2215D"/>
    <w:rsid w:val="00F221AD"/>
    <w:rsid w:val="00F2228F"/>
    <w:rsid w:val="00F22296"/>
    <w:rsid w:val="00F22298"/>
    <w:rsid w:val="00F222E8"/>
    <w:rsid w:val="00F22305"/>
    <w:rsid w:val="00F2232F"/>
    <w:rsid w:val="00F2236F"/>
    <w:rsid w:val="00F2239F"/>
    <w:rsid w:val="00F223F0"/>
    <w:rsid w:val="00F224D8"/>
    <w:rsid w:val="00F224E3"/>
    <w:rsid w:val="00F22502"/>
    <w:rsid w:val="00F2255B"/>
    <w:rsid w:val="00F22575"/>
    <w:rsid w:val="00F2260D"/>
    <w:rsid w:val="00F22611"/>
    <w:rsid w:val="00F22618"/>
    <w:rsid w:val="00F22619"/>
    <w:rsid w:val="00F2263F"/>
    <w:rsid w:val="00F22645"/>
    <w:rsid w:val="00F22694"/>
    <w:rsid w:val="00F22757"/>
    <w:rsid w:val="00F227C7"/>
    <w:rsid w:val="00F22839"/>
    <w:rsid w:val="00F2288A"/>
    <w:rsid w:val="00F228D1"/>
    <w:rsid w:val="00F2290E"/>
    <w:rsid w:val="00F2294F"/>
    <w:rsid w:val="00F2297C"/>
    <w:rsid w:val="00F22A79"/>
    <w:rsid w:val="00F22AA2"/>
    <w:rsid w:val="00F22AF0"/>
    <w:rsid w:val="00F22B44"/>
    <w:rsid w:val="00F22B69"/>
    <w:rsid w:val="00F22B88"/>
    <w:rsid w:val="00F22B92"/>
    <w:rsid w:val="00F22B98"/>
    <w:rsid w:val="00F22BF6"/>
    <w:rsid w:val="00F22C48"/>
    <w:rsid w:val="00F22C5E"/>
    <w:rsid w:val="00F22CB6"/>
    <w:rsid w:val="00F22CD4"/>
    <w:rsid w:val="00F22CEA"/>
    <w:rsid w:val="00F22D1C"/>
    <w:rsid w:val="00F22D2F"/>
    <w:rsid w:val="00F22D38"/>
    <w:rsid w:val="00F22D3E"/>
    <w:rsid w:val="00F22D9C"/>
    <w:rsid w:val="00F22DE6"/>
    <w:rsid w:val="00F22E1B"/>
    <w:rsid w:val="00F22E30"/>
    <w:rsid w:val="00F22E4D"/>
    <w:rsid w:val="00F22E6D"/>
    <w:rsid w:val="00F22E77"/>
    <w:rsid w:val="00F22E8A"/>
    <w:rsid w:val="00F22EAB"/>
    <w:rsid w:val="00F22EBD"/>
    <w:rsid w:val="00F22ED2"/>
    <w:rsid w:val="00F22EDF"/>
    <w:rsid w:val="00F22EE0"/>
    <w:rsid w:val="00F22F2D"/>
    <w:rsid w:val="00F22F44"/>
    <w:rsid w:val="00F22F62"/>
    <w:rsid w:val="00F22F8A"/>
    <w:rsid w:val="00F22FF1"/>
    <w:rsid w:val="00F23091"/>
    <w:rsid w:val="00F2309D"/>
    <w:rsid w:val="00F230B7"/>
    <w:rsid w:val="00F230CE"/>
    <w:rsid w:val="00F23117"/>
    <w:rsid w:val="00F2312E"/>
    <w:rsid w:val="00F23139"/>
    <w:rsid w:val="00F23199"/>
    <w:rsid w:val="00F231DA"/>
    <w:rsid w:val="00F231EE"/>
    <w:rsid w:val="00F23222"/>
    <w:rsid w:val="00F23246"/>
    <w:rsid w:val="00F2325B"/>
    <w:rsid w:val="00F2327D"/>
    <w:rsid w:val="00F23280"/>
    <w:rsid w:val="00F232C9"/>
    <w:rsid w:val="00F23306"/>
    <w:rsid w:val="00F2331C"/>
    <w:rsid w:val="00F2331D"/>
    <w:rsid w:val="00F23334"/>
    <w:rsid w:val="00F23343"/>
    <w:rsid w:val="00F23346"/>
    <w:rsid w:val="00F233B0"/>
    <w:rsid w:val="00F233F2"/>
    <w:rsid w:val="00F2342A"/>
    <w:rsid w:val="00F23465"/>
    <w:rsid w:val="00F23467"/>
    <w:rsid w:val="00F23497"/>
    <w:rsid w:val="00F234A9"/>
    <w:rsid w:val="00F234C8"/>
    <w:rsid w:val="00F234DF"/>
    <w:rsid w:val="00F234FB"/>
    <w:rsid w:val="00F2353D"/>
    <w:rsid w:val="00F23549"/>
    <w:rsid w:val="00F2357A"/>
    <w:rsid w:val="00F235A7"/>
    <w:rsid w:val="00F235BC"/>
    <w:rsid w:val="00F235C1"/>
    <w:rsid w:val="00F235F5"/>
    <w:rsid w:val="00F2361C"/>
    <w:rsid w:val="00F2361D"/>
    <w:rsid w:val="00F23639"/>
    <w:rsid w:val="00F23770"/>
    <w:rsid w:val="00F23798"/>
    <w:rsid w:val="00F237AC"/>
    <w:rsid w:val="00F237F2"/>
    <w:rsid w:val="00F2380B"/>
    <w:rsid w:val="00F2384D"/>
    <w:rsid w:val="00F2385B"/>
    <w:rsid w:val="00F23884"/>
    <w:rsid w:val="00F23895"/>
    <w:rsid w:val="00F23899"/>
    <w:rsid w:val="00F238B1"/>
    <w:rsid w:val="00F238D4"/>
    <w:rsid w:val="00F238D9"/>
    <w:rsid w:val="00F23945"/>
    <w:rsid w:val="00F23947"/>
    <w:rsid w:val="00F23963"/>
    <w:rsid w:val="00F2397D"/>
    <w:rsid w:val="00F239E8"/>
    <w:rsid w:val="00F23A1A"/>
    <w:rsid w:val="00F23A78"/>
    <w:rsid w:val="00F23AE8"/>
    <w:rsid w:val="00F23B7A"/>
    <w:rsid w:val="00F23B8F"/>
    <w:rsid w:val="00F23B95"/>
    <w:rsid w:val="00F23BA7"/>
    <w:rsid w:val="00F23BA9"/>
    <w:rsid w:val="00F23BB7"/>
    <w:rsid w:val="00F23C15"/>
    <w:rsid w:val="00F23C23"/>
    <w:rsid w:val="00F23C39"/>
    <w:rsid w:val="00F23C70"/>
    <w:rsid w:val="00F23C80"/>
    <w:rsid w:val="00F23CB0"/>
    <w:rsid w:val="00F23CB4"/>
    <w:rsid w:val="00F23CB9"/>
    <w:rsid w:val="00F23CFC"/>
    <w:rsid w:val="00F23D0A"/>
    <w:rsid w:val="00F23D24"/>
    <w:rsid w:val="00F23D3D"/>
    <w:rsid w:val="00F23D7B"/>
    <w:rsid w:val="00F23DF1"/>
    <w:rsid w:val="00F23DF8"/>
    <w:rsid w:val="00F23DFB"/>
    <w:rsid w:val="00F23E0D"/>
    <w:rsid w:val="00F23E3D"/>
    <w:rsid w:val="00F23E4F"/>
    <w:rsid w:val="00F23E6B"/>
    <w:rsid w:val="00F23E89"/>
    <w:rsid w:val="00F23EB9"/>
    <w:rsid w:val="00F23F03"/>
    <w:rsid w:val="00F23FD3"/>
    <w:rsid w:val="00F23FD4"/>
    <w:rsid w:val="00F24019"/>
    <w:rsid w:val="00F24022"/>
    <w:rsid w:val="00F24036"/>
    <w:rsid w:val="00F2404E"/>
    <w:rsid w:val="00F24057"/>
    <w:rsid w:val="00F2408B"/>
    <w:rsid w:val="00F240AA"/>
    <w:rsid w:val="00F240C6"/>
    <w:rsid w:val="00F2410D"/>
    <w:rsid w:val="00F24119"/>
    <w:rsid w:val="00F2418D"/>
    <w:rsid w:val="00F241C0"/>
    <w:rsid w:val="00F241D9"/>
    <w:rsid w:val="00F241DB"/>
    <w:rsid w:val="00F241E4"/>
    <w:rsid w:val="00F24223"/>
    <w:rsid w:val="00F24278"/>
    <w:rsid w:val="00F2429A"/>
    <w:rsid w:val="00F242BC"/>
    <w:rsid w:val="00F242DE"/>
    <w:rsid w:val="00F2434B"/>
    <w:rsid w:val="00F24369"/>
    <w:rsid w:val="00F24370"/>
    <w:rsid w:val="00F24392"/>
    <w:rsid w:val="00F24397"/>
    <w:rsid w:val="00F24398"/>
    <w:rsid w:val="00F2439D"/>
    <w:rsid w:val="00F243BB"/>
    <w:rsid w:val="00F243FB"/>
    <w:rsid w:val="00F24416"/>
    <w:rsid w:val="00F2442D"/>
    <w:rsid w:val="00F2443A"/>
    <w:rsid w:val="00F24460"/>
    <w:rsid w:val="00F244C6"/>
    <w:rsid w:val="00F244D5"/>
    <w:rsid w:val="00F244DB"/>
    <w:rsid w:val="00F24512"/>
    <w:rsid w:val="00F2452D"/>
    <w:rsid w:val="00F2453C"/>
    <w:rsid w:val="00F24559"/>
    <w:rsid w:val="00F2455D"/>
    <w:rsid w:val="00F2457A"/>
    <w:rsid w:val="00F245B2"/>
    <w:rsid w:val="00F24675"/>
    <w:rsid w:val="00F24679"/>
    <w:rsid w:val="00F2468F"/>
    <w:rsid w:val="00F2469F"/>
    <w:rsid w:val="00F246CB"/>
    <w:rsid w:val="00F246CE"/>
    <w:rsid w:val="00F2474C"/>
    <w:rsid w:val="00F24760"/>
    <w:rsid w:val="00F247D4"/>
    <w:rsid w:val="00F247DE"/>
    <w:rsid w:val="00F247F6"/>
    <w:rsid w:val="00F2484B"/>
    <w:rsid w:val="00F24880"/>
    <w:rsid w:val="00F248B5"/>
    <w:rsid w:val="00F248D3"/>
    <w:rsid w:val="00F248DF"/>
    <w:rsid w:val="00F248F1"/>
    <w:rsid w:val="00F248F5"/>
    <w:rsid w:val="00F24901"/>
    <w:rsid w:val="00F24942"/>
    <w:rsid w:val="00F2494C"/>
    <w:rsid w:val="00F24951"/>
    <w:rsid w:val="00F2498B"/>
    <w:rsid w:val="00F24A03"/>
    <w:rsid w:val="00F24A26"/>
    <w:rsid w:val="00F24A3E"/>
    <w:rsid w:val="00F24A5E"/>
    <w:rsid w:val="00F24A6D"/>
    <w:rsid w:val="00F24A6F"/>
    <w:rsid w:val="00F24A7E"/>
    <w:rsid w:val="00F24A93"/>
    <w:rsid w:val="00F24A9A"/>
    <w:rsid w:val="00F24AA5"/>
    <w:rsid w:val="00F24ADC"/>
    <w:rsid w:val="00F24B04"/>
    <w:rsid w:val="00F24B08"/>
    <w:rsid w:val="00F24B48"/>
    <w:rsid w:val="00F24B55"/>
    <w:rsid w:val="00F24B80"/>
    <w:rsid w:val="00F24B88"/>
    <w:rsid w:val="00F24BBF"/>
    <w:rsid w:val="00F24C1A"/>
    <w:rsid w:val="00F24C4E"/>
    <w:rsid w:val="00F24C5A"/>
    <w:rsid w:val="00F24C8F"/>
    <w:rsid w:val="00F24CFF"/>
    <w:rsid w:val="00F24D0C"/>
    <w:rsid w:val="00F24D0E"/>
    <w:rsid w:val="00F24D22"/>
    <w:rsid w:val="00F24D35"/>
    <w:rsid w:val="00F24D9E"/>
    <w:rsid w:val="00F24DC0"/>
    <w:rsid w:val="00F24DEC"/>
    <w:rsid w:val="00F24E2A"/>
    <w:rsid w:val="00F24E31"/>
    <w:rsid w:val="00F24E74"/>
    <w:rsid w:val="00F24EE4"/>
    <w:rsid w:val="00F24EFA"/>
    <w:rsid w:val="00F24F2F"/>
    <w:rsid w:val="00F24F40"/>
    <w:rsid w:val="00F24F7D"/>
    <w:rsid w:val="00F24F83"/>
    <w:rsid w:val="00F24F93"/>
    <w:rsid w:val="00F24FED"/>
    <w:rsid w:val="00F25027"/>
    <w:rsid w:val="00F25067"/>
    <w:rsid w:val="00F251C4"/>
    <w:rsid w:val="00F251F0"/>
    <w:rsid w:val="00F2523D"/>
    <w:rsid w:val="00F2527C"/>
    <w:rsid w:val="00F252C0"/>
    <w:rsid w:val="00F252DE"/>
    <w:rsid w:val="00F252F2"/>
    <w:rsid w:val="00F252FD"/>
    <w:rsid w:val="00F2530F"/>
    <w:rsid w:val="00F25323"/>
    <w:rsid w:val="00F2534B"/>
    <w:rsid w:val="00F25364"/>
    <w:rsid w:val="00F25384"/>
    <w:rsid w:val="00F253AE"/>
    <w:rsid w:val="00F25423"/>
    <w:rsid w:val="00F2544A"/>
    <w:rsid w:val="00F25453"/>
    <w:rsid w:val="00F25471"/>
    <w:rsid w:val="00F2547C"/>
    <w:rsid w:val="00F2548F"/>
    <w:rsid w:val="00F254A7"/>
    <w:rsid w:val="00F254F4"/>
    <w:rsid w:val="00F254F7"/>
    <w:rsid w:val="00F25532"/>
    <w:rsid w:val="00F2559A"/>
    <w:rsid w:val="00F255DA"/>
    <w:rsid w:val="00F255EA"/>
    <w:rsid w:val="00F2560D"/>
    <w:rsid w:val="00F2563D"/>
    <w:rsid w:val="00F25682"/>
    <w:rsid w:val="00F25688"/>
    <w:rsid w:val="00F256AC"/>
    <w:rsid w:val="00F256E6"/>
    <w:rsid w:val="00F25708"/>
    <w:rsid w:val="00F25764"/>
    <w:rsid w:val="00F25782"/>
    <w:rsid w:val="00F257AD"/>
    <w:rsid w:val="00F257C0"/>
    <w:rsid w:val="00F257CE"/>
    <w:rsid w:val="00F257FB"/>
    <w:rsid w:val="00F25824"/>
    <w:rsid w:val="00F25832"/>
    <w:rsid w:val="00F2583E"/>
    <w:rsid w:val="00F25844"/>
    <w:rsid w:val="00F258AC"/>
    <w:rsid w:val="00F258B1"/>
    <w:rsid w:val="00F258CD"/>
    <w:rsid w:val="00F258DB"/>
    <w:rsid w:val="00F258EE"/>
    <w:rsid w:val="00F25965"/>
    <w:rsid w:val="00F25966"/>
    <w:rsid w:val="00F2599D"/>
    <w:rsid w:val="00F259A0"/>
    <w:rsid w:val="00F259BF"/>
    <w:rsid w:val="00F25A0E"/>
    <w:rsid w:val="00F25A3A"/>
    <w:rsid w:val="00F25A51"/>
    <w:rsid w:val="00F25A55"/>
    <w:rsid w:val="00F25A61"/>
    <w:rsid w:val="00F25A96"/>
    <w:rsid w:val="00F25A98"/>
    <w:rsid w:val="00F25AAE"/>
    <w:rsid w:val="00F25AB3"/>
    <w:rsid w:val="00F25B55"/>
    <w:rsid w:val="00F25B7C"/>
    <w:rsid w:val="00F25B8A"/>
    <w:rsid w:val="00F25BB8"/>
    <w:rsid w:val="00F25C1A"/>
    <w:rsid w:val="00F25C5F"/>
    <w:rsid w:val="00F25C8D"/>
    <w:rsid w:val="00F25CDB"/>
    <w:rsid w:val="00F25D27"/>
    <w:rsid w:val="00F25D3D"/>
    <w:rsid w:val="00F25D49"/>
    <w:rsid w:val="00F25D59"/>
    <w:rsid w:val="00F25D65"/>
    <w:rsid w:val="00F25D9B"/>
    <w:rsid w:val="00F25DA7"/>
    <w:rsid w:val="00F25DAD"/>
    <w:rsid w:val="00F25DE8"/>
    <w:rsid w:val="00F25E61"/>
    <w:rsid w:val="00F25E70"/>
    <w:rsid w:val="00F25E83"/>
    <w:rsid w:val="00F25E9E"/>
    <w:rsid w:val="00F25EF7"/>
    <w:rsid w:val="00F25F08"/>
    <w:rsid w:val="00F25F6B"/>
    <w:rsid w:val="00F25FBB"/>
    <w:rsid w:val="00F25FCF"/>
    <w:rsid w:val="00F25FEC"/>
    <w:rsid w:val="00F2605E"/>
    <w:rsid w:val="00F26069"/>
    <w:rsid w:val="00F26074"/>
    <w:rsid w:val="00F26087"/>
    <w:rsid w:val="00F260C1"/>
    <w:rsid w:val="00F260DD"/>
    <w:rsid w:val="00F260FC"/>
    <w:rsid w:val="00F26112"/>
    <w:rsid w:val="00F26128"/>
    <w:rsid w:val="00F2613F"/>
    <w:rsid w:val="00F26180"/>
    <w:rsid w:val="00F261D3"/>
    <w:rsid w:val="00F2621D"/>
    <w:rsid w:val="00F2622C"/>
    <w:rsid w:val="00F26270"/>
    <w:rsid w:val="00F2629A"/>
    <w:rsid w:val="00F2631F"/>
    <w:rsid w:val="00F26334"/>
    <w:rsid w:val="00F263B8"/>
    <w:rsid w:val="00F263E7"/>
    <w:rsid w:val="00F26412"/>
    <w:rsid w:val="00F26430"/>
    <w:rsid w:val="00F26436"/>
    <w:rsid w:val="00F2644F"/>
    <w:rsid w:val="00F26465"/>
    <w:rsid w:val="00F2646A"/>
    <w:rsid w:val="00F26489"/>
    <w:rsid w:val="00F264B1"/>
    <w:rsid w:val="00F264D3"/>
    <w:rsid w:val="00F264F1"/>
    <w:rsid w:val="00F2653C"/>
    <w:rsid w:val="00F26597"/>
    <w:rsid w:val="00F265BA"/>
    <w:rsid w:val="00F26626"/>
    <w:rsid w:val="00F26632"/>
    <w:rsid w:val="00F26669"/>
    <w:rsid w:val="00F2666B"/>
    <w:rsid w:val="00F26686"/>
    <w:rsid w:val="00F2669A"/>
    <w:rsid w:val="00F266CA"/>
    <w:rsid w:val="00F2673D"/>
    <w:rsid w:val="00F2676F"/>
    <w:rsid w:val="00F2679A"/>
    <w:rsid w:val="00F267BF"/>
    <w:rsid w:val="00F267C2"/>
    <w:rsid w:val="00F267D8"/>
    <w:rsid w:val="00F267F0"/>
    <w:rsid w:val="00F26824"/>
    <w:rsid w:val="00F26827"/>
    <w:rsid w:val="00F26847"/>
    <w:rsid w:val="00F26891"/>
    <w:rsid w:val="00F26899"/>
    <w:rsid w:val="00F268CE"/>
    <w:rsid w:val="00F268E3"/>
    <w:rsid w:val="00F26906"/>
    <w:rsid w:val="00F26925"/>
    <w:rsid w:val="00F26937"/>
    <w:rsid w:val="00F2695B"/>
    <w:rsid w:val="00F26961"/>
    <w:rsid w:val="00F2697A"/>
    <w:rsid w:val="00F2697C"/>
    <w:rsid w:val="00F269ED"/>
    <w:rsid w:val="00F269F9"/>
    <w:rsid w:val="00F26A74"/>
    <w:rsid w:val="00F26ACD"/>
    <w:rsid w:val="00F26B0C"/>
    <w:rsid w:val="00F26B48"/>
    <w:rsid w:val="00F26B4C"/>
    <w:rsid w:val="00F26BAE"/>
    <w:rsid w:val="00F26BB9"/>
    <w:rsid w:val="00F26BE7"/>
    <w:rsid w:val="00F26C02"/>
    <w:rsid w:val="00F26C8A"/>
    <w:rsid w:val="00F26CBB"/>
    <w:rsid w:val="00F26D11"/>
    <w:rsid w:val="00F26D21"/>
    <w:rsid w:val="00F26D73"/>
    <w:rsid w:val="00F26D8C"/>
    <w:rsid w:val="00F26DB5"/>
    <w:rsid w:val="00F26DB8"/>
    <w:rsid w:val="00F26DC7"/>
    <w:rsid w:val="00F26DE6"/>
    <w:rsid w:val="00F26DE7"/>
    <w:rsid w:val="00F26E0E"/>
    <w:rsid w:val="00F26E3B"/>
    <w:rsid w:val="00F26E44"/>
    <w:rsid w:val="00F26ECA"/>
    <w:rsid w:val="00F26ED4"/>
    <w:rsid w:val="00F26F2C"/>
    <w:rsid w:val="00F26F47"/>
    <w:rsid w:val="00F26FDE"/>
    <w:rsid w:val="00F26FE8"/>
    <w:rsid w:val="00F27052"/>
    <w:rsid w:val="00F27094"/>
    <w:rsid w:val="00F270B7"/>
    <w:rsid w:val="00F270E3"/>
    <w:rsid w:val="00F270F0"/>
    <w:rsid w:val="00F270F1"/>
    <w:rsid w:val="00F27213"/>
    <w:rsid w:val="00F27298"/>
    <w:rsid w:val="00F272E4"/>
    <w:rsid w:val="00F272F3"/>
    <w:rsid w:val="00F272FF"/>
    <w:rsid w:val="00F2731C"/>
    <w:rsid w:val="00F2733C"/>
    <w:rsid w:val="00F27355"/>
    <w:rsid w:val="00F273B4"/>
    <w:rsid w:val="00F273E2"/>
    <w:rsid w:val="00F27410"/>
    <w:rsid w:val="00F27454"/>
    <w:rsid w:val="00F2746F"/>
    <w:rsid w:val="00F27482"/>
    <w:rsid w:val="00F2748E"/>
    <w:rsid w:val="00F27494"/>
    <w:rsid w:val="00F274C3"/>
    <w:rsid w:val="00F274F4"/>
    <w:rsid w:val="00F27554"/>
    <w:rsid w:val="00F275A3"/>
    <w:rsid w:val="00F275B1"/>
    <w:rsid w:val="00F2761B"/>
    <w:rsid w:val="00F27643"/>
    <w:rsid w:val="00F27655"/>
    <w:rsid w:val="00F276B9"/>
    <w:rsid w:val="00F276E4"/>
    <w:rsid w:val="00F27700"/>
    <w:rsid w:val="00F27711"/>
    <w:rsid w:val="00F27728"/>
    <w:rsid w:val="00F27733"/>
    <w:rsid w:val="00F27784"/>
    <w:rsid w:val="00F27787"/>
    <w:rsid w:val="00F27800"/>
    <w:rsid w:val="00F2780D"/>
    <w:rsid w:val="00F27864"/>
    <w:rsid w:val="00F27878"/>
    <w:rsid w:val="00F27884"/>
    <w:rsid w:val="00F27892"/>
    <w:rsid w:val="00F27893"/>
    <w:rsid w:val="00F278C9"/>
    <w:rsid w:val="00F278CD"/>
    <w:rsid w:val="00F27967"/>
    <w:rsid w:val="00F2796D"/>
    <w:rsid w:val="00F27978"/>
    <w:rsid w:val="00F279AC"/>
    <w:rsid w:val="00F279D3"/>
    <w:rsid w:val="00F27A05"/>
    <w:rsid w:val="00F27A4D"/>
    <w:rsid w:val="00F27A57"/>
    <w:rsid w:val="00F27A6E"/>
    <w:rsid w:val="00F27A74"/>
    <w:rsid w:val="00F27AC5"/>
    <w:rsid w:val="00F27B2A"/>
    <w:rsid w:val="00F27B4C"/>
    <w:rsid w:val="00F27B50"/>
    <w:rsid w:val="00F27B63"/>
    <w:rsid w:val="00F27B80"/>
    <w:rsid w:val="00F27B93"/>
    <w:rsid w:val="00F27BAD"/>
    <w:rsid w:val="00F27BE8"/>
    <w:rsid w:val="00F27BED"/>
    <w:rsid w:val="00F27C4D"/>
    <w:rsid w:val="00F27CA4"/>
    <w:rsid w:val="00F27CB3"/>
    <w:rsid w:val="00F27CE0"/>
    <w:rsid w:val="00F27CEC"/>
    <w:rsid w:val="00F27D51"/>
    <w:rsid w:val="00F27D5F"/>
    <w:rsid w:val="00F27D66"/>
    <w:rsid w:val="00F27D67"/>
    <w:rsid w:val="00F27D97"/>
    <w:rsid w:val="00F27D98"/>
    <w:rsid w:val="00F27DB5"/>
    <w:rsid w:val="00F27DC8"/>
    <w:rsid w:val="00F27E8A"/>
    <w:rsid w:val="00F27EAE"/>
    <w:rsid w:val="00F27ED2"/>
    <w:rsid w:val="00F27F1B"/>
    <w:rsid w:val="00F27F7E"/>
    <w:rsid w:val="00F3000E"/>
    <w:rsid w:val="00F3008A"/>
    <w:rsid w:val="00F300E4"/>
    <w:rsid w:val="00F30146"/>
    <w:rsid w:val="00F3020D"/>
    <w:rsid w:val="00F30211"/>
    <w:rsid w:val="00F3021C"/>
    <w:rsid w:val="00F30237"/>
    <w:rsid w:val="00F302B0"/>
    <w:rsid w:val="00F302B6"/>
    <w:rsid w:val="00F302C5"/>
    <w:rsid w:val="00F30334"/>
    <w:rsid w:val="00F3034F"/>
    <w:rsid w:val="00F303B8"/>
    <w:rsid w:val="00F303EA"/>
    <w:rsid w:val="00F3040A"/>
    <w:rsid w:val="00F3041D"/>
    <w:rsid w:val="00F30452"/>
    <w:rsid w:val="00F30471"/>
    <w:rsid w:val="00F3047A"/>
    <w:rsid w:val="00F304D7"/>
    <w:rsid w:val="00F304F9"/>
    <w:rsid w:val="00F3055C"/>
    <w:rsid w:val="00F3056C"/>
    <w:rsid w:val="00F305C3"/>
    <w:rsid w:val="00F305C9"/>
    <w:rsid w:val="00F305E8"/>
    <w:rsid w:val="00F305E9"/>
    <w:rsid w:val="00F30610"/>
    <w:rsid w:val="00F30632"/>
    <w:rsid w:val="00F3064A"/>
    <w:rsid w:val="00F3069D"/>
    <w:rsid w:val="00F30705"/>
    <w:rsid w:val="00F307A6"/>
    <w:rsid w:val="00F307BA"/>
    <w:rsid w:val="00F307C1"/>
    <w:rsid w:val="00F307E1"/>
    <w:rsid w:val="00F30828"/>
    <w:rsid w:val="00F30841"/>
    <w:rsid w:val="00F30856"/>
    <w:rsid w:val="00F3085C"/>
    <w:rsid w:val="00F30866"/>
    <w:rsid w:val="00F308A8"/>
    <w:rsid w:val="00F308E2"/>
    <w:rsid w:val="00F30962"/>
    <w:rsid w:val="00F3097D"/>
    <w:rsid w:val="00F3098B"/>
    <w:rsid w:val="00F30A06"/>
    <w:rsid w:val="00F30A30"/>
    <w:rsid w:val="00F30A76"/>
    <w:rsid w:val="00F30AE4"/>
    <w:rsid w:val="00F30AEC"/>
    <w:rsid w:val="00F30B07"/>
    <w:rsid w:val="00F30B84"/>
    <w:rsid w:val="00F30BB0"/>
    <w:rsid w:val="00F30C01"/>
    <w:rsid w:val="00F30C22"/>
    <w:rsid w:val="00F30C2A"/>
    <w:rsid w:val="00F30C8D"/>
    <w:rsid w:val="00F30CDD"/>
    <w:rsid w:val="00F30CE2"/>
    <w:rsid w:val="00F30D2B"/>
    <w:rsid w:val="00F30D4E"/>
    <w:rsid w:val="00F30E1B"/>
    <w:rsid w:val="00F30E1E"/>
    <w:rsid w:val="00F30E79"/>
    <w:rsid w:val="00F30F4D"/>
    <w:rsid w:val="00F30F88"/>
    <w:rsid w:val="00F30FC6"/>
    <w:rsid w:val="00F30FDD"/>
    <w:rsid w:val="00F30FFD"/>
    <w:rsid w:val="00F31014"/>
    <w:rsid w:val="00F310B1"/>
    <w:rsid w:val="00F310E5"/>
    <w:rsid w:val="00F3113E"/>
    <w:rsid w:val="00F31184"/>
    <w:rsid w:val="00F3119A"/>
    <w:rsid w:val="00F311FA"/>
    <w:rsid w:val="00F31276"/>
    <w:rsid w:val="00F312B7"/>
    <w:rsid w:val="00F312C9"/>
    <w:rsid w:val="00F312DE"/>
    <w:rsid w:val="00F312E7"/>
    <w:rsid w:val="00F31301"/>
    <w:rsid w:val="00F31342"/>
    <w:rsid w:val="00F313BF"/>
    <w:rsid w:val="00F313D5"/>
    <w:rsid w:val="00F31422"/>
    <w:rsid w:val="00F31498"/>
    <w:rsid w:val="00F314A4"/>
    <w:rsid w:val="00F314A6"/>
    <w:rsid w:val="00F314B2"/>
    <w:rsid w:val="00F314B3"/>
    <w:rsid w:val="00F314C3"/>
    <w:rsid w:val="00F314DB"/>
    <w:rsid w:val="00F314FD"/>
    <w:rsid w:val="00F31509"/>
    <w:rsid w:val="00F31520"/>
    <w:rsid w:val="00F31541"/>
    <w:rsid w:val="00F31572"/>
    <w:rsid w:val="00F3158A"/>
    <w:rsid w:val="00F31598"/>
    <w:rsid w:val="00F31599"/>
    <w:rsid w:val="00F31600"/>
    <w:rsid w:val="00F3163B"/>
    <w:rsid w:val="00F316D4"/>
    <w:rsid w:val="00F31705"/>
    <w:rsid w:val="00F31791"/>
    <w:rsid w:val="00F31807"/>
    <w:rsid w:val="00F31862"/>
    <w:rsid w:val="00F31958"/>
    <w:rsid w:val="00F319C2"/>
    <w:rsid w:val="00F319D9"/>
    <w:rsid w:val="00F319FD"/>
    <w:rsid w:val="00F31A11"/>
    <w:rsid w:val="00F31A30"/>
    <w:rsid w:val="00F31A43"/>
    <w:rsid w:val="00F31A5D"/>
    <w:rsid w:val="00F31AB5"/>
    <w:rsid w:val="00F31ACA"/>
    <w:rsid w:val="00F31ADF"/>
    <w:rsid w:val="00F31AEE"/>
    <w:rsid w:val="00F31B17"/>
    <w:rsid w:val="00F31B30"/>
    <w:rsid w:val="00F31BC6"/>
    <w:rsid w:val="00F31BF2"/>
    <w:rsid w:val="00F31C3A"/>
    <w:rsid w:val="00F31C58"/>
    <w:rsid w:val="00F31C62"/>
    <w:rsid w:val="00F31C6D"/>
    <w:rsid w:val="00F31CBA"/>
    <w:rsid w:val="00F31D17"/>
    <w:rsid w:val="00F31D23"/>
    <w:rsid w:val="00F31D27"/>
    <w:rsid w:val="00F31D59"/>
    <w:rsid w:val="00F31DA9"/>
    <w:rsid w:val="00F31DD8"/>
    <w:rsid w:val="00F31E28"/>
    <w:rsid w:val="00F31EC8"/>
    <w:rsid w:val="00F31ED7"/>
    <w:rsid w:val="00F31EDC"/>
    <w:rsid w:val="00F31F02"/>
    <w:rsid w:val="00F31F08"/>
    <w:rsid w:val="00F31F41"/>
    <w:rsid w:val="00F31F44"/>
    <w:rsid w:val="00F31F4F"/>
    <w:rsid w:val="00F31F89"/>
    <w:rsid w:val="00F31FB2"/>
    <w:rsid w:val="00F31FB7"/>
    <w:rsid w:val="00F31FE9"/>
    <w:rsid w:val="00F31FF0"/>
    <w:rsid w:val="00F32031"/>
    <w:rsid w:val="00F32046"/>
    <w:rsid w:val="00F32084"/>
    <w:rsid w:val="00F32092"/>
    <w:rsid w:val="00F320F3"/>
    <w:rsid w:val="00F320F6"/>
    <w:rsid w:val="00F320FF"/>
    <w:rsid w:val="00F32142"/>
    <w:rsid w:val="00F32178"/>
    <w:rsid w:val="00F32182"/>
    <w:rsid w:val="00F32217"/>
    <w:rsid w:val="00F32219"/>
    <w:rsid w:val="00F3221E"/>
    <w:rsid w:val="00F3224B"/>
    <w:rsid w:val="00F32253"/>
    <w:rsid w:val="00F3225B"/>
    <w:rsid w:val="00F32294"/>
    <w:rsid w:val="00F322CF"/>
    <w:rsid w:val="00F322D6"/>
    <w:rsid w:val="00F322D9"/>
    <w:rsid w:val="00F3233D"/>
    <w:rsid w:val="00F32381"/>
    <w:rsid w:val="00F323C4"/>
    <w:rsid w:val="00F323CB"/>
    <w:rsid w:val="00F323D1"/>
    <w:rsid w:val="00F32412"/>
    <w:rsid w:val="00F324A5"/>
    <w:rsid w:val="00F324BE"/>
    <w:rsid w:val="00F32545"/>
    <w:rsid w:val="00F3255D"/>
    <w:rsid w:val="00F3257B"/>
    <w:rsid w:val="00F325E2"/>
    <w:rsid w:val="00F325F2"/>
    <w:rsid w:val="00F325F4"/>
    <w:rsid w:val="00F32609"/>
    <w:rsid w:val="00F3263D"/>
    <w:rsid w:val="00F32683"/>
    <w:rsid w:val="00F326EB"/>
    <w:rsid w:val="00F32746"/>
    <w:rsid w:val="00F32785"/>
    <w:rsid w:val="00F32790"/>
    <w:rsid w:val="00F327C5"/>
    <w:rsid w:val="00F327D6"/>
    <w:rsid w:val="00F327DF"/>
    <w:rsid w:val="00F3286B"/>
    <w:rsid w:val="00F328AD"/>
    <w:rsid w:val="00F328EE"/>
    <w:rsid w:val="00F3297B"/>
    <w:rsid w:val="00F32A20"/>
    <w:rsid w:val="00F32A22"/>
    <w:rsid w:val="00F32A37"/>
    <w:rsid w:val="00F32A40"/>
    <w:rsid w:val="00F32A78"/>
    <w:rsid w:val="00F32A85"/>
    <w:rsid w:val="00F32AB4"/>
    <w:rsid w:val="00F32AD5"/>
    <w:rsid w:val="00F32AE5"/>
    <w:rsid w:val="00F32B08"/>
    <w:rsid w:val="00F32B13"/>
    <w:rsid w:val="00F32BAC"/>
    <w:rsid w:val="00F32BEC"/>
    <w:rsid w:val="00F32C07"/>
    <w:rsid w:val="00F32C28"/>
    <w:rsid w:val="00F32C51"/>
    <w:rsid w:val="00F32CB2"/>
    <w:rsid w:val="00F32CC1"/>
    <w:rsid w:val="00F32D05"/>
    <w:rsid w:val="00F32D0D"/>
    <w:rsid w:val="00F32D0F"/>
    <w:rsid w:val="00F32D19"/>
    <w:rsid w:val="00F32D40"/>
    <w:rsid w:val="00F32D8F"/>
    <w:rsid w:val="00F32DB4"/>
    <w:rsid w:val="00F32DD0"/>
    <w:rsid w:val="00F32DF9"/>
    <w:rsid w:val="00F32E07"/>
    <w:rsid w:val="00F32ECF"/>
    <w:rsid w:val="00F32EE2"/>
    <w:rsid w:val="00F32F3F"/>
    <w:rsid w:val="00F32F8B"/>
    <w:rsid w:val="00F32F9C"/>
    <w:rsid w:val="00F32FC3"/>
    <w:rsid w:val="00F32FC9"/>
    <w:rsid w:val="00F32FF5"/>
    <w:rsid w:val="00F32FFB"/>
    <w:rsid w:val="00F33051"/>
    <w:rsid w:val="00F33063"/>
    <w:rsid w:val="00F33070"/>
    <w:rsid w:val="00F3308E"/>
    <w:rsid w:val="00F330B3"/>
    <w:rsid w:val="00F330CB"/>
    <w:rsid w:val="00F330D3"/>
    <w:rsid w:val="00F33106"/>
    <w:rsid w:val="00F3311A"/>
    <w:rsid w:val="00F33176"/>
    <w:rsid w:val="00F33177"/>
    <w:rsid w:val="00F331CF"/>
    <w:rsid w:val="00F33206"/>
    <w:rsid w:val="00F33287"/>
    <w:rsid w:val="00F332DB"/>
    <w:rsid w:val="00F332F2"/>
    <w:rsid w:val="00F33333"/>
    <w:rsid w:val="00F33339"/>
    <w:rsid w:val="00F333B7"/>
    <w:rsid w:val="00F33406"/>
    <w:rsid w:val="00F33453"/>
    <w:rsid w:val="00F33494"/>
    <w:rsid w:val="00F334E0"/>
    <w:rsid w:val="00F334E2"/>
    <w:rsid w:val="00F334EB"/>
    <w:rsid w:val="00F33504"/>
    <w:rsid w:val="00F3353F"/>
    <w:rsid w:val="00F3354D"/>
    <w:rsid w:val="00F33570"/>
    <w:rsid w:val="00F335DB"/>
    <w:rsid w:val="00F335E8"/>
    <w:rsid w:val="00F335F7"/>
    <w:rsid w:val="00F33624"/>
    <w:rsid w:val="00F33678"/>
    <w:rsid w:val="00F3367D"/>
    <w:rsid w:val="00F336BA"/>
    <w:rsid w:val="00F336F2"/>
    <w:rsid w:val="00F33733"/>
    <w:rsid w:val="00F33776"/>
    <w:rsid w:val="00F337A4"/>
    <w:rsid w:val="00F33832"/>
    <w:rsid w:val="00F33833"/>
    <w:rsid w:val="00F33842"/>
    <w:rsid w:val="00F33855"/>
    <w:rsid w:val="00F3385B"/>
    <w:rsid w:val="00F338A9"/>
    <w:rsid w:val="00F338AE"/>
    <w:rsid w:val="00F338BB"/>
    <w:rsid w:val="00F338BD"/>
    <w:rsid w:val="00F338CE"/>
    <w:rsid w:val="00F338EA"/>
    <w:rsid w:val="00F33906"/>
    <w:rsid w:val="00F33998"/>
    <w:rsid w:val="00F339E7"/>
    <w:rsid w:val="00F33A01"/>
    <w:rsid w:val="00F33A2F"/>
    <w:rsid w:val="00F33A83"/>
    <w:rsid w:val="00F33A86"/>
    <w:rsid w:val="00F33A8E"/>
    <w:rsid w:val="00F33AA7"/>
    <w:rsid w:val="00F33ABF"/>
    <w:rsid w:val="00F33AC9"/>
    <w:rsid w:val="00F33B4D"/>
    <w:rsid w:val="00F33B5E"/>
    <w:rsid w:val="00F33BD5"/>
    <w:rsid w:val="00F33C33"/>
    <w:rsid w:val="00F33D26"/>
    <w:rsid w:val="00F33D31"/>
    <w:rsid w:val="00F33D49"/>
    <w:rsid w:val="00F33D4D"/>
    <w:rsid w:val="00F33D63"/>
    <w:rsid w:val="00F33D7C"/>
    <w:rsid w:val="00F33D9E"/>
    <w:rsid w:val="00F33DA8"/>
    <w:rsid w:val="00F33DC0"/>
    <w:rsid w:val="00F33E0A"/>
    <w:rsid w:val="00F33E30"/>
    <w:rsid w:val="00F33E5B"/>
    <w:rsid w:val="00F33E87"/>
    <w:rsid w:val="00F33EB0"/>
    <w:rsid w:val="00F33F32"/>
    <w:rsid w:val="00F33F44"/>
    <w:rsid w:val="00F33F48"/>
    <w:rsid w:val="00F33F83"/>
    <w:rsid w:val="00F33F9D"/>
    <w:rsid w:val="00F33FA8"/>
    <w:rsid w:val="00F33FAA"/>
    <w:rsid w:val="00F33FBA"/>
    <w:rsid w:val="00F33FC4"/>
    <w:rsid w:val="00F33FE2"/>
    <w:rsid w:val="00F34029"/>
    <w:rsid w:val="00F3404F"/>
    <w:rsid w:val="00F3405F"/>
    <w:rsid w:val="00F340AB"/>
    <w:rsid w:val="00F340BF"/>
    <w:rsid w:val="00F340C5"/>
    <w:rsid w:val="00F340F9"/>
    <w:rsid w:val="00F3411D"/>
    <w:rsid w:val="00F34184"/>
    <w:rsid w:val="00F341D4"/>
    <w:rsid w:val="00F341F2"/>
    <w:rsid w:val="00F3422B"/>
    <w:rsid w:val="00F34230"/>
    <w:rsid w:val="00F342CF"/>
    <w:rsid w:val="00F342D3"/>
    <w:rsid w:val="00F34345"/>
    <w:rsid w:val="00F34372"/>
    <w:rsid w:val="00F34377"/>
    <w:rsid w:val="00F343EA"/>
    <w:rsid w:val="00F3445B"/>
    <w:rsid w:val="00F344B6"/>
    <w:rsid w:val="00F3453B"/>
    <w:rsid w:val="00F3457D"/>
    <w:rsid w:val="00F345B1"/>
    <w:rsid w:val="00F345C4"/>
    <w:rsid w:val="00F345FF"/>
    <w:rsid w:val="00F34615"/>
    <w:rsid w:val="00F346D3"/>
    <w:rsid w:val="00F34711"/>
    <w:rsid w:val="00F34758"/>
    <w:rsid w:val="00F34783"/>
    <w:rsid w:val="00F3478A"/>
    <w:rsid w:val="00F347C6"/>
    <w:rsid w:val="00F347C9"/>
    <w:rsid w:val="00F347D7"/>
    <w:rsid w:val="00F3481E"/>
    <w:rsid w:val="00F34851"/>
    <w:rsid w:val="00F3486E"/>
    <w:rsid w:val="00F348CD"/>
    <w:rsid w:val="00F3490C"/>
    <w:rsid w:val="00F3493F"/>
    <w:rsid w:val="00F3494F"/>
    <w:rsid w:val="00F34975"/>
    <w:rsid w:val="00F349C3"/>
    <w:rsid w:val="00F34A04"/>
    <w:rsid w:val="00F34A22"/>
    <w:rsid w:val="00F34A38"/>
    <w:rsid w:val="00F34A4C"/>
    <w:rsid w:val="00F34A57"/>
    <w:rsid w:val="00F34A5D"/>
    <w:rsid w:val="00F34A69"/>
    <w:rsid w:val="00F34A70"/>
    <w:rsid w:val="00F34ABC"/>
    <w:rsid w:val="00F34B4E"/>
    <w:rsid w:val="00F34B56"/>
    <w:rsid w:val="00F34BAA"/>
    <w:rsid w:val="00F34BC1"/>
    <w:rsid w:val="00F34BED"/>
    <w:rsid w:val="00F34BF4"/>
    <w:rsid w:val="00F34C10"/>
    <w:rsid w:val="00F34C22"/>
    <w:rsid w:val="00F34C76"/>
    <w:rsid w:val="00F34CDF"/>
    <w:rsid w:val="00F34CF6"/>
    <w:rsid w:val="00F34CF7"/>
    <w:rsid w:val="00F34CFB"/>
    <w:rsid w:val="00F34D73"/>
    <w:rsid w:val="00F34D8C"/>
    <w:rsid w:val="00F34DB3"/>
    <w:rsid w:val="00F34DB4"/>
    <w:rsid w:val="00F34DD4"/>
    <w:rsid w:val="00F34E39"/>
    <w:rsid w:val="00F34E3C"/>
    <w:rsid w:val="00F34E6A"/>
    <w:rsid w:val="00F34E6D"/>
    <w:rsid w:val="00F34E96"/>
    <w:rsid w:val="00F34EAE"/>
    <w:rsid w:val="00F34ED3"/>
    <w:rsid w:val="00F34F2E"/>
    <w:rsid w:val="00F34F70"/>
    <w:rsid w:val="00F34F89"/>
    <w:rsid w:val="00F34FBD"/>
    <w:rsid w:val="00F34FD8"/>
    <w:rsid w:val="00F3509C"/>
    <w:rsid w:val="00F350C5"/>
    <w:rsid w:val="00F3510D"/>
    <w:rsid w:val="00F35124"/>
    <w:rsid w:val="00F3514E"/>
    <w:rsid w:val="00F35169"/>
    <w:rsid w:val="00F351E0"/>
    <w:rsid w:val="00F35239"/>
    <w:rsid w:val="00F35281"/>
    <w:rsid w:val="00F35290"/>
    <w:rsid w:val="00F352AD"/>
    <w:rsid w:val="00F3533A"/>
    <w:rsid w:val="00F3533B"/>
    <w:rsid w:val="00F35342"/>
    <w:rsid w:val="00F35351"/>
    <w:rsid w:val="00F3539E"/>
    <w:rsid w:val="00F35441"/>
    <w:rsid w:val="00F35449"/>
    <w:rsid w:val="00F3548F"/>
    <w:rsid w:val="00F35535"/>
    <w:rsid w:val="00F3556E"/>
    <w:rsid w:val="00F355A8"/>
    <w:rsid w:val="00F3561D"/>
    <w:rsid w:val="00F35783"/>
    <w:rsid w:val="00F3581C"/>
    <w:rsid w:val="00F35828"/>
    <w:rsid w:val="00F3582D"/>
    <w:rsid w:val="00F35878"/>
    <w:rsid w:val="00F35881"/>
    <w:rsid w:val="00F35886"/>
    <w:rsid w:val="00F358A7"/>
    <w:rsid w:val="00F358CF"/>
    <w:rsid w:val="00F358F2"/>
    <w:rsid w:val="00F35926"/>
    <w:rsid w:val="00F3596F"/>
    <w:rsid w:val="00F359CD"/>
    <w:rsid w:val="00F359EF"/>
    <w:rsid w:val="00F35A3B"/>
    <w:rsid w:val="00F35A52"/>
    <w:rsid w:val="00F35A69"/>
    <w:rsid w:val="00F35A8F"/>
    <w:rsid w:val="00F35AF9"/>
    <w:rsid w:val="00F35AFC"/>
    <w:rsid w:val="00F35AFD"/>
    <w:rsid w:val="00F35B3B"/>
    <w:rsid w:val="00F35B49"/>
    <w:rsid w:val="00F35B57"/>
    <w:rsid w:val="00F35B9F"/>
    <w:rsid w:val="00F35C41"/>
    <w:rsid w:val="00F35C4B"/>
    <w:rsid w:val="00F35C6C"/>
    <w:rsid w:val="00F35CEC"/>
    <w:rsid w:val="00F35D20"/>
    <w:rsid w:val="00F35D93"/>
    <w:rsid w:val="00F35DB2"/>
    <w:rsid w:val="00F35DB6"/>
    <w:rsid w:val="00F35DD0"/>
    <w:rsid w:val="00F35E4C"/>
    <w:rsid w:val="00F35E66"/>
    <w:rsid w:val="00F35E75"/>
    <w:rsid w:val="00F35EAC"/>
    <w:rsid w:val="00F35EB6"/>
    <w:rsid w:val="00F35EFD"/>
    <w:rsid w:val="00F35F0D"/>
    <w:rsid w:val="00F35F10"/>
    <w:rsid w:val="00F35F6F"/>
    <w:rsid w:val="00F35F99"/>
    <w:rsid w:val="00F35F9F"/>
    <w:rsid w:val="00F35FBC"/>
    <w:rsid w:val="00F35FC0"/>
    <w:rsid w:val="00F35FDA"/>
    <w:rsid w:val="00F35FED"/>
    <w:rsid w:val="00F36009"/>
    <w:rsid w:val="00F36022"/>
    <w:rsid w:val="00F36055"/>
    <w:rsid w:val="00F36087"/>
    <w:rsid w:val="00F36096"/>
    <w:rsid w:val="00F360D0"/>
    <w:rsid w:val="00F360E4"/>
    <w:rsid w:val="00F360EE"/>
    <w:rsid w:val="00F36118"/>
    <w:rsid w:val="00F36138"/>
    <w:rsid w:val="00F3618D"/>
    <w:rsid w:val="00F3618F"/>
    <w:rsid w:val="00F361B0"/>
    <w:rsid w:val="00F361EC"/>
    <w:rsid w:val="00F361ED"/>
    <w:rsid w:val="00F36214"/>
    <w:rsid w:val="00F36217"/>
    <w:rsid w:val="00F3628E"/>
    <w:rsid w:val="00F362A4"/>
    <w:rsid w:val="00F362D9"/>
    <w:rsid w:val="00F36312"/>
    <w:rsid w:val="00F36343"/>
    <w:rsid w:val="00F363B0"/>
    <w:rsid w:val="00F3640D"/>
    <w:rsid w:val="00F36445"/>
    <w:rsid w:val="00F3644C"/>
    <w:rsid w:val="00F36454"/>
    <w:rsid w:val="00F36467"/>
    <w:rsid w:val="00F36475"/>
    <w:rsid w:val="00F36497"/>
    <w:rsid w:val="00F364CB"/>
    <w:rsid w:val="00F364E3"/>
    <w:rsid w:val="00F364FB"/>
    <w:rsid w:val="00F36503"/>
    <w:rsid w:val="00F36541"/>
    <w:rsid w:val="00F36566"/>
    <w:rsid w:val="00F3658B"/>
    <w:rsid w:val="00F365A4"/>
    <w:rsid w:val="00F365B5"/>
    <w:rsid w:val="00F36620"/>
    <w:rsid w:val="00F36623"/>
    <w:rsid w:val="00F36624"/>
    <w:rsid w:val="00F36647"/>
    <w:rsid w:val="00F366A4"/>
    <w:rsid w:val="00F366A9"/>
    <w:rsid w:val="00F366B3"/>
    <w:rsid w:val="00F36729"/>
    <w:rsid w:val="00F36790"/>
    <w:rsid w:val="00F36791"/>
    <w:rsid w:val="00F36797"/>
    <w:rsid w:val="00F367C9"/>
    <w:rsid w:val="00F36849"/>
    <w:rsid w:val="00F36895"/>
    <w:rsid w:val="00F368A5"/>
    <w:rsid w:val="00F368A8"/>
    <w:rsid w:val="00F368E3"/>
    <w:rsid w:val="00F36901"/>
    <w:rsid w:val="00F36922"/>
    <w:rsid w:val="00F3693C"/>
    <w:rsid w:val="00F3694D"/>
    <w:rsid w:val="00F3698B"/>
    <w:rsid w:val="00F36997"/>
    <w:rsid w:val="00F369AE"/>
    <w:rsid w:val="00F369F3"/>
    <w:rsid w:val="00F36A0F"/>
    <w:rsid w:val="00F36A22"/>
    <w:rsid w:val="00F36A2D"/>
    <w:rsid w:val="00F36A73"/>
    <w:rsid w:val="00F36A8C"/>
    <w:rsid w:val="00F36B18"/>
    <w:rsid w:val="00F36B27"/>
    <w:rsid w:val="00F36B8D"/>
    <w:rsid w:val="00F36B90"/>
    <w:rsid w:val="00F36B92"/>
    <w:rsid w:val="00F36BBA"/>
    <w:rsid w:val="00F36C1A"/>
    <w:rsid w:val="00F36CC5"/>
    <w:rsid w:val="00F36D37"/>
    <w:rsid w:val="00F36D40"/>
    <w:rsid w:val="00F36D7D"/>
    <w:rsid w:val="00F36DE8"/>
    <w:rsid w:val="00F36E3F"/>
    <w:rsid w:val="00F36E65"/>
    <w:rsid w:val="00F36E76"/>
    <w:rsid w:val="00F36E93"/>
    <w:rsid w:val="00F36EC5"/>
    <w:rsid w:val="00F36F33"/>
    <w:rsid w:val="00F36F64"/>
    <w:rsid w:val="00F36F78"/>
    <w:rsid w:val="00F36F8F"/>
    <w:rsid w:val="00F36FA8"/>
    <w:rsid w:val="00F36FC9"/>
    <w:rsid w:val="00F37049"/>
    <w:rsid w:val="00F370D3"/>
    <w:rsid w:val="00F370D8"/>
    <w:rsid w:val="00F370F5"/>
    <w:rsid w:val="00F3712B"/>
    <w:rsid w:val="00F3714C"/>
    <w:rsid w:val="00F3715E"/>
    <w:rsid w:val="00F37179"/>
    <w:rsid w:val="00F3719C"/>
    <w:rsid w:val="00F371CF"/>
    <w:rsid w:val="00F371FC"/>
    <w:rsid w:val="00F3723B"/>
    <w:rsid w:val="00F37244"/>
    <w:rsid w:val="00F3724D"/>
    <w:rsid w:val="00F372A3"/>
    <w:rsid w:val="00F372BA"/>
    <w:rsid w:val="00F372FA"/>
    <w:rsid w:val="00F3732A"/>
    <w:rsid w:val="00F373EB"/>
    <w:rsid w:val="00F3742D"/>
    <w:rsid w:val="00F374E8"/>
    <w:rsid w:val="00F37500"/>
    <w:rsid w:val="00F3750D"/>
    <w:rsid w:val="00F37538"/>
    <w:rsid w:val="00F375A9"/>
    <w:rsid w:val="00F37603"/>
    <w:rsid w:val="00F37617"/>
    <w:rsid w:val="00F37629"/>
    <w:rsid w:val="00F3762F"/>
    <w:rsid w:val="00F37638"/>
    <w:rsid w:val="00F3763E"/>
    <w:rsid w:val="00F3767B"/>
    <w:rsid w:val="00F376B8"/>
    <w:rsid w:val="00F376C4"/>
    <w:rsid w:val="00F37707"/>
    <w:rsid w:val="00F3772D"/>
    <w:rsid w:val="00F3773A"/>
    <w:rsid w:val="00F3773E"/>
    <w:rsid w:val="00F37755"/>
    <w:rsid w:val="00F377E3"/>
    <w:rsid w:val="00F37845"/>
    <w:rsid w:val="00F3785C"/>
    <w:rsid w:val="00F37897"/>
    <w:rsid w:val="00F378C3"/>
    <w:rsid w:val="00F378CC"/>
    <w:rsid w:val="00F378D0"/>
    <w:rsid w:val="00F378DB"/>
    <w:rsid w:val="00F378E3"/>
    <w:rsid w:val="00F37901"/>
    <w:rsid w:val="00F3790F"/>
    <w:rsid w:val="00F37932"/>
    <w:rsid w:val="00F37996"/>
    <w:rsid w:val="00F379E5"/>
    <w:rsid w:val="00F37A1B"/>
    <w:rsid w:val="00F37A54"/>
    <w:rsid w:val="00F37A60"/>
    <w:rsid w:val="00F37A91"/>
    <w:rsid w:val="00F37AD4"/>
    <w:rsid w:val="00F37AF7"/>
    <w:rsid w:val="00F37B04"/>
    <w:rsid w:val="00F37B13"/>
    <w:rsid w:val="00F37B17"/>
    <w:rsid w:val="00F37B19"/>
    <w:rsid w:val="00F37B8D"/>
    <w:rsid w:val="00F37C37"/>
    <w:rsid w:val="00F37C3C"/>
    <w:rsid w:val="00F37CA4"/>
    <w:rsid w:val="00F37D34"/>
    <w:rsid w:val="00F37D4A"/>
    <w:rsid w:val="00F37D8E"/>
    <w:rsid w:val="00F37E09"/>
    <w:rsid w:val="00F37E2E"/>
    <w:rsid w:val="00F37EDF"/>
    <w:rsid w:val="00F37EEF"/>
    <w:rsid w:val="00F37F4C"/>
    <w:rsid w:val="00F37F85"/>
    <w:rsid w:val="00F40091"/>
    <w:rsid w:val="00F400A5"/>
    <w:rsid w:val="00F400C3"/>
    <w:rsid w:val="00F400D9"/>
    <w:rsid w:val="00F400F0"/>
    <w:rsid w:val="00F40152"/>
    <w:rsid w:val="00F401B4"/>
    <w:rsid w:val="00F401BE"/>
    <w:rsid w:val="00F40242"/>
    <w:rsid w:val="00F40257"/>
    <w:rsid w:val="00F40262"/>
    <w:rsid w:val="00F40268"/>
    <w:rsid w:val="00F40272"/>
    <w:rsid w:val="00F4027A"/>
    <w:rsid w:val="00F4027B"/>
    <w:rsid w:val="00F40287"/>
    <w:rsid w:val="00F40297"/>
    <w:rsid w:val="00F402B8"/>
    <w:rsid w:val="00F4030B"/>
    <w:rsid w:val="00F40366"/>
    <w:rsid w:val="00F40369"/>
    <w:rsid w:val="00F40390"/>
    <w:rsid w:val="00F4039D"/>
    <w:rsid w:val="00F403AB"/>
    <w:rsid w:val="00F403FD"/>
    <w:rsid w:val="00F40413"/>
    <w:rsid w:val="00F40461"/>
    <w:rsid w:val="00F4048C"/>
    <w:rsid w:val="00F404A4"/>
    <w:rsid w:val="00F404A7"/>
    <w:rsid w:val="00F404B1"/>
    <w:rsid w:val="00F404B3"/>
    <w:rsid w:val="00F40502"/>
    <w:rsid w:val="00F4053F"/>
    <w:rsid w:val="00F405B8"/>
    <w:rsid w:val="00F405C3"/>
    <w:rsid w:val="00F40637"/>
    <w:rsid w:val="00F4067B"/>
    <w:rsid w:val="00F40683"/>
    <w:rsid w:val="00F406AD"/>
    <w:rsid w:val="00F406B1"/>
    <w:rsid w:val="00F406B2"/>
    <w:rsid w:val="00F406E6"/>
    <w:rsid w:val="00F40709"/>
    <w:rsid w:val="00F4073B"/>
    <w:rsid w:val="00F40755"/>
    <w:rsid w:val="00F40770"/>
    <w:rsid w:val="00F4079A"/>
    <w:rsid w:val="00F407A9"/>
    <w:rsid w:val="00F4083A"/>
    <w:rsid w:val="00F4083B"/>
    <w:rsid w:val="00F40851"/>
    <w:rsid w:val="00F40903"/>
    <w:rsid w:val="00F40966"/>
    <w:rsid w:val="00F4096E"/>
    <w:rsid w:val="00F409D2"/>
    <w:rsid w:val="00F409D4"/>
    <w:rsid w:val="00F409EB"/>
    <w:rsid w:val="00F40A06"/>
    <w:rsid w:val="00F40A2B"/>
    <w:rsid w:val="00F40A47"/>
    <w:rsid w:val="00F40A48"/>
    <w:rsid w:val="00F40A4F"/>
    <w:rsid w:val="00F40A65"/>
    <w:rsid w:val="00F40A84"/>
    <w:rsid w:val="00F40ADE"/>
    <w:rsid w:val="00F40B33"/>
    <w:rsid w:val="00F40B51"/>
    <w:rsid w:val="00F40B6A"/>
    <w:rsid w:val="00F40B8B"/>
    <w:rsid w:val="00F40B90"/>
    <w:rsid w:val="00F40B92"/>
    <w:rsid w:val="00F40BA1"/>
    <w:rsid w:val="00F40BA2"/>
    <w:rsid w:val="00F40BC4"/>
    <w:rsid w:val="00F40BCB"/>
    <w:rsid w:val="00F40C15"/>
    <w:rsid w:val="00F40C36"/>
    <w:rsid w:val="00F40C52"/>
    <w:rsid w:val="00F40C74"/>
    <w:rsid w:val="00F40CD2"/>
    <w:rsid w:val="00F40D06"/>
    <w:rsid w:val="00F40D38"/>
    <w:rsid w:val="00F40D56"/>
    <w:rsid w:val="00F40D63"/>
    <w:rsid w:val="00F40DD2"/>
    <w:rsid w:val="00F40DD6"/>
    <w:rsid w:val="00F40DF9"/>
    <w:rsid w:val="00F40E28"/>
    <w:rsid w:val="00F40E75"/>
    <w:rsid w:val="00F40E94"/>
    <w:rsid w:val="00F40EA2"/>
    <w:rsid w:val="00F40EEE"/>
    <w:rsid w:val="00F40F0F"/>
    <w:rsid w:val="00F40F52"/>
    <w:rsid w:val="00F40F53"/>
    <w:rsid w:val="00F40F65"/>
    <w:rsid w:val="00F40F75"/>
    <w:rsid w:val="00F40FF5"/>
    <w:rsid w:val="00F41002"/>
    <w:rsid w:val="00F410FE"/>
    <w:rsid w:val="00F41134"/>
    <w:rsid w:val="00F41165"/>
    <w:rsid w:val="00F4118E"/>
    <w:rsid w:val="00F411CC"/>
    <w:rsid w:val="00F411F3"/>
    <w:rsid w:val="00F411FD"/>
    <w:rsid w:val="00F4120C"/>
    <w:rsid w:val="00F41238"/>
    <w:rsid w:val="00F4123E"/>
    <w:rsid w:val="00F41278"/>
    <w:rsid w:val="00F4130E"/>
    <w:rsid w:val="00F4132C"/>
    <w:rsid w:val="00F41382"/>
    <w:rsid w:val="00F413DC"/>
    <w:rsid w:val="00F413DF"/>
    <w:rsid w:val="00F413EF"/>
    <w:rsid w:val="00F413FB"/>
    <w:rsid w:val="00F41411"/>
    <w:rsid w:val="00F4141F"/>
    <w:rsid w:val="00F41427"/>
    <w:rsid w:val="00F4145C"/>
    <w:rsid w:val="00F4146D"/>
    <w:rsid w:val="00F4146F"/>
    <w:rsid w:val="00F4151B"/>
    <w:rsid w:val="00F41520"/>
    <w:rsid w:val="00F4153E"/>
    <w:rsid w:val="00F415C3"/>
    <w:rsid w:val="00F415CC"/>
    <w:rsid w:val="00F415DA"/>
    <w:rsid w:val="00F415E3"/>
    <w:rsid w:val="00F41631"/>
    <w:rsid w:val="00F4163C"/>
    <w:rsid w:val="00F4163E"/>
    <w:rsid w:val="00F4163F"/>
    <w:rsid w:val="00F41655"/>
    <w:rsid w:val="00F41670"/>
    <w:rsid w:val="00F4167A"/>
    <w:rsid w:val="00F41688"/>
    <w:rsid w:val="00F41696"/>
    <w:rsid w:val="00F416A1"/>
    <w:rsid w:val="00F416A7"/>
    <w:rsid w:val="00F416E2"/>
    <w:rsid w:val="00F4172E"/>
    <w:rsid w:val="00F41789"/>
    <w:rsid w:val="00F417BF"/>
    <w:rsid w:val="00F417CA"/>
    <w:rsid w:val="00F41844"/>
    <w:rsid w:val="00F4184E"/>
    <w:rsid w:val="00F41878"/>
    <w:rsid w:val="00F41883"/>
    <w:rsid w:val="00F41887"/>
    <w:rsid w:val="00F41888"/>
    <w:rsid w:val="00F41915"/>
    <w:rsid w:val="00F41933"/>
    <w:rsid w:val="00F4193A"/>
    <w:rsid w:val="00F41975"/>
    <w:rsid w:val="00F419A1"/>
    <w:rsid w:val="00F419D6"/>
    <w:rsid w:val="00F41A23"/>
    <w:rsid w:val="00F41A47"/>
    <w:rsid w:val="00F41A48"/>
    <w:rsid w:val="00F41A68"/>
    <w:rsid w:val="00F41AD5"/>
    <w:rsid w:val="00F41ADC"/>
    <w:rsid w:val="00F41AEA"/>
    <w:rsid w:val="00F41B3F"/>
    <w:rsid w:val="00F41B6A"/>
    <w:rsid w:val="00F41B6E"/>
    <w:rsid w:val="00F41B82"/>
    <w:rsid w:val="00F41BB4"/>
    <w:rsid w:val="00F41C01"/>
    <w:rsid w:val="00F41CD7"/>
    <w:rsid w:val="00F41CE5"/>
    <w:rsid w:val="00F41D28"/>
    <w:rsid w:val="00F41D77"/>
    <w:rsid w:val="00F41DB3"/>
    <w:rsid w:val="00F41DD6"/>
    <w:rsid w:val="00F41DEF"/>
    <w:rsid w:val="00F41E00"/>
    <w:rsid w:val="00F41E01"/>
    <w:rsid w:val="00F41E18"/>
    <w:rsid w:val="00F41E2E"/>
    <w:rsid w:val="00F41E32"/>
    <w:rsid w:val="00F41E3E"/>
    <w:rsid w:val="00F41E43"/>
    <w:rsid w:val="00F41E4B"/>
    <w:rsid w:val="00F41E6D"/>
    <w:rsid w:val="00F41E81"/>
    <w:rsid w:val="00F41ED0"/>
    <w:rsid w:val="00F41F08"/>
    <w:rsid w:val="00F41F46"/>
    <w:rsid w:val="00F41F8E"/>
    <w:rsid w:val="00F41FA0"/>
    <w:rsid w:val="00F41FE3"/>
    <w:rsid w:val="00F41FE6"/>
    <w:rsid w:val="00F42051"/>
    <w:rsid w:val="00F42070"/>
    <w:rsid w:val="00F42092"/>
    <w:rsid w:val="00F420AF"/>
    <w:rsid w:val="00F420C8"/>
    <w:rsid w:val="00F4214B"/>
    <w:rsid w:val="00F421D7"/>
    <w:rsid w:val="00F42231"/>
    <w:rsid w:val="00F4226D"/>
    <w:rsid w:val="00F42274"/>
    <w:rsid w:val="00F42298"/>
    <w:rsid w:val="00F4229E"/>
    <w:rsid w:val="00F422AC"/>
    <w:rsid w:val="00F422B1"/>
    <w:rsid w:val="00F42307"/>
    <w:rsid w:val="00F42316"/>
    <w:rsid w:val="00F4232C"/>
    <w:rsid w:val="00F42337"/>
    <w:rsid w:val="00F42343"/>
    <w:rsid w:val="00F4234B"/>
    <w:rsid w:val="00F423D5"/>
    <w:rsid w:val="00F423E2"/>
    <w:rsid w:val="00F423F3"/>
    <w:rsid w:val="00F42413"/>
    <w:rsid w:val="00F4241A"/>
    <w:rsid w:val="00F42445"/>
    <w:rsid w:val="00F42451"/>
    <w:rsid w:val="00F424A1"/>
    <w:rsid w:val="00F424BF"/>
    <w:rsid w:val="00F424DD"/>
    <w:rsid w:val="00F42501"/>
    <w:rsid w:val="00F4255B"/>
    <w:rsid w:val="00F42572"/>
    <w:rsid w:val="00F42591"/>
    <w:rsid w:val="00F4259B"/>
    <w:rsid w:val="00F425B9"/>
    <w:rsid w:val="00F425BA"/>
    <w:rsid w:val="00F425D7"/>
    <w:rsid w:val="00F425DF"/>
    <w:rsid w:val="00F4261A"/>
    <w:rsid w:val="00F4262D"/>
    <w:rsid w:val="00F4262F"/>
    <w:rsid w:val="00F42652"/>
    <w:rsid w:val="00F42665"/>
    <w:rsid w:val="00F426AA"/>
    <w:rsid w:val="00F426D3"/>
    <w:rsid w:val="00F426E5"/>
    <w:rsid w:val="00F42727"/>
    <w:rsid w:val="00F427A8"/>
    <w:rsid w:val="00F427BE"/>
    <w:rsid w:val="00F427D3"/>
    <w:rsid w:val="00F427E3"/>
    <w:rsid w:val="00F42809"/>
    <w:rsid w:val="00F428A9"/>
    <w:rsid w:val="00F428C0"/>
    <w:rsid w:val="00F42963"/>
    <w:rsid w:val="00F42971"/>
    <w:rsid w:val="00F42986"/>
    <w:rsid w:val="00F42989"/>
    <w:rsid w:val="00F429A9"/>
    <w:rsid w:val="00F429AE"/>
    <w:rsid w:val="00F429B4"/>
    <w:rsid w:val="00F429C9"/>
    <w:rsid w:val="00F429D3"/>
    <w:rsid w:val="00F429EB"/>
    <w:rsid w:val="00F429F5"/>
    <w:rsid w:val="00F42A10"/>
    <w:rsid w:val="00F42A7C"/>
    <w:rsid w:val="00F42A98"/>
    <w:rsid w:val="00F42ACC"/>
    <w:rsid w:val="00F42B22"/>
    <w:rsid w:val="00F42B29"/>
    <w:rsid w:val="00F42BA2"/>
    <w:rsid w:val="00F42BC0"/>
    <w:rsid w:val="00F42C09"/>
    <w:rsid w:val="00F42C87"/>
    <w:rsid w:val="00F42C8F"/>
    <w:rsid w:val="00F42CDB"/>
    <w:rsid w:val="00F42CEA"/>
    <w:rsid w:val="00F42D0F"/>
    <w:rsid w:val="00F42D2E"/>
    <w:rsid w:val="00F42D5B"/>
    <w:rsid w:val="00F42D60"/>
    <w:rsid w:val="00F42D8A"/>
    <w:rsid w:val="00F42D98"/>
    <w:rsid w:val="00F42DDD"/>
    <w:rsid w:val="00F42DEE"/>
    <w:rsid w:val="00F42DEF"/>
    <w:rsid w:val="00F42E38"/>
    <w:rsid w:val="00F42E55"/>
    <w:rsid w:val="00F42E6F"/>
    <w:rsid w:val="00F42E80"/>
    <w:rsid w:val="00F42E91"/>
    <w:rsid w:val="00F42F94"/>
    <w:rsid w:val="00F4301A"/>
    <w:rsid w:val="00F4305A"/>
    <w:rsid w:val="00F43095"/>
    <w:rsid w:val="00F4309B"/>
    <w:rsid w:val="00F430C2"/>
    <w:rsid w:val="00F43116"/>
    <w:rsid w:val="00F4312E"/>
    <w:rsid w:val="00F4314E"/>
    <w:rsid w:val="00F43156"/>
    <w:rsid w:val="00F43176"/>
    <w:rsid w:val="00F43285"/>
    <w:rsid w:val="00F4328B"/>
    <w:rsid w:val="00F43296"/>
    <w:rsid w:val="00F4329F"/>
    <w:rsid w:val="00F432DC"/>
    <w:rsid w:val="00F43327"/>
    <w:rsid w:val="00F43360"/>
    <w:rsid w:val="00F4338C"/>
    <w:rsid w:val="00F43397"/>
    <w:rsid w:val="00F433D8"/>
    <w:rsid w:val="00F433FD"/>
    <w:rsid w:val="00F43409"/>
    <w:rsid w:val="00F43417"/>
    <w:rsid w:val="00F4346A"/>
    <w:rsid w:val="00F434BD"/>
    <w:rsid w:val="00F434BF"/>
    <w:rsid w:val="00F434C8"/>
    <w:rsid w:val="00F434CD"/>
    <w:rsid w:val="00F434D3"/>
    <w:rsid w:val="00F434E4"/>
    <w:rsid w:val="00F434F5"/>
    <w:rsid w:val="00F4353B"/>
    <w:rsid w:val="00F4355E"/>
    <w:rsid w:val="00F435B1"/>
    <w:rsid w:val="00F435F8"/>
    <w:rsid w:val="00F4362B"/>
    <w:rsid w:val="00F43683"/>
    <w:rsid w:val="00F436DA"/>
    <w:rsid w:val="00F436E8"/>
    <w:rsid w:val="00F43721"/>
    <w:rsid w:val="00F43724"/>
    <w:rsid w:val="00F43727"/>
    <w:rsid w:val="00F43750"/>
    <w:rsid w:val="00F43754"/>
    <w:rsid w:val="00F43758"/>
    <w:rsid w:val="00F43786"/>
    <w:rsid w:val="00F437B8"/>
    <w:rsid w:val="00F437D7"/>
    <w:rsid w:val="00F4384C"/>
    <w:rsid w:val="00F4386B"/>
    <w:rsid w:val="00F43879"/>
    <w:rsid w:val="00F438A9"/>
    <w:rsid w:val="00F438FD"/>
    <w:rsid w:val="00F438FF"/>
    <w:rsid w:val="00F43936"/>
    <w:rsid w:val="00F4393D"/>
    <w:rsid w:val="00F4397B"/>
    <w:rsid w:val="00F4397F"/>
    <w:rsid w:val="00F439A9"/>
    <w:rsid w:val="00F439B4"/>
    <w:rsid w:val="00F43A03"/>
    <w:rsid w:val="00F43AE0"/>
    <w:rsid w:val="00F43AE1"/>
    <w:rsid w:val="00F43B06"/>
    <w:rsid w:val="00F43B0B"/>
    <w:rsid w:val="00F43B0C"/>
    <w:rsid w:val="00F43B56"/>
    <w:rsid w:val="00F43BA6"/>
    <w:rsid w:val="00F43BB1"/>
    <w:rsid w:val="00F43BB5"/>
    <w:rsid w:val="00F43BC6"/>
    <w:rsid w:val="00F43C05"/>
    <w:rsid w:val="00F43C4F"/>
    <w:rsid w:val="00F43C79"/>
    <w:rsid w:val="00F43CB6"/>
    <w:rsid w:val="00F43CBE"/>
    <w:rsid w:val="00F43CC5"/>
    <w:rsid w:val="00F43CD9"/>
    <w:rsid w:val="00F43CE8"/>
    <w:rsid w:val="00F43D11"/>
    <w:rsid w:val="00F43D84"/>
    <w:rsid w:val="00F43DB3"/>
    <w:rsid w:val="00F43DDE"/>
    <w:rsid w:val="00F43DF0"/>
    <w:rsid w:val="00F43E0E"/>
    <w:rsid w:val="00F43E7E"/>
    <w:rsid w:val="00F43EA4"/>
    <w:rsid w:val="00F43EB9"/>
    <w:rsid w:val="00F43ECE"/>
    <w:rsid w:val="00F43ED3"/>
    <w:rsid w:val="00F43F1F"/>
    <w:rsid w:val="00F43F9D"/>
    <w:rsid w:val="00F43FE1"/>
    <w:rsid w:val="00F43FFB"/>
    <w:rsid w:val="00F4400C"/>
    <w:rsid w:val="00F4401C"/>
    <w:rsid w:val="00F4406E"/>
    <w:rsid w:val="00F440C0"/>
    <w:rsid w:val="00F440E9"/>
    <w:rsid w:val="00F44134"/>
    <w:rsid w:val="00F44142"/>
    <w:rsid w:val="00F44150"/>
    <w:rsid w:val="00F4415C"/>
    <w:rsid w:val="00F4416E"/>
    <w:rsid w:val="00F44196"/>
    <w:rsid w:val="00F441A5"/>
    <w:rsid w:val="00F441A6"/>
    <w:rsid w:val="00F441C3"/>
    <w:rsid w:val="00F441CA"/>
    <w:rsid w:val="00F44219"/>
    <w:rsid w:val="00F4422C"/>
    <w:rsid w:val="00F4425E"/>
    <w:rsid w:val="00F44270"/>
    <w:rsid w:val="00F44295"/>
    <w:rsid w:val="00F442D4"/>
    <w:rsid w:val="00F44300"/>
    <w:rsid w:val="00F44320"/>
    <w:rsid w:val="00F44350"/>
    <w:rsid w:val="00F4435E"/>
    <w:rsid w:val="00F44396"/>
    <w:rsid w:val="00F44399"/>
    <w:rsid w:val="00F443B2"/>
    <w:rsid w:val="00F443CF"/>
    <w:rsid w:val="00F443D0"/>
    <w:rsid w:val="00F44406"/>
    <w:rsid w:val="00F44426"/>
    <w:rsid w:val="00F4442F"/>
    <w:rsid w:val="00F44449"/>
    <w:rsid w:val="00F4445F"/>
    <w:rsid w:val="00F44466"/>
    <w:rsid w:val="00F44467"/>
    <w:rsid w:val="00F4448A"/>
    <w:rsid w:val="00F4448D"/>
    <w:rsid w:val="00F444FF"/>
    <w:rsid w:val="00F4453A"/>
    <w:rsid w:val="00F44574"/>
    <w:rsid w:val="00F44594"/>
    <w:rsid w:val="00F445F4"/>
    <w:rsid w:val="00F44646"/>
    <w:rsid w:val="00F44666"/>
    <w:rsid w:val="00F4468E"/>
    <w:rsid w:val="00F446AA"/>
    <w:rsid w:val="00F446BD"/>
    <w:rsid w:val="00F44749"/>
    <w:rsid w:val="00F4476F"/>
    <w:rsid w:val="00F44774"/>
    <w:rsid w:val="00F447BD"/>
    <w:rsid w:val="00F44827"/>
    <w:rsid w:val="00F4483A"/>
    <w:rsid w:val="00F44970"/>
    <w:rsid w:val="00F4498E"/>
    <w:rsid w:val="00F449A2"/>
    <w:rsid w:val="00F449D0"/>
    <w:rsid w:val="00F449DA"/>
    <w:rsid w:val="00F44A20"/>
    <w:rsid w:val="00F44A26"/>
    <w:rsid w:val="00F44A27"/>
    <w:rsid w:val="00F44A47"/>
    <w:rsid w:val="00F44A74"/>
    <w:rsid w:val="00F44ADB"/>
    <w:rsid w:val="00F44AEA"/>
    <w:rsid w:val="00F44AF0"/>
    <w:rsid w:val="00F44AFA"/>
    <w:rsid w:val="00F44B67"/>
    <w:rsid w:val="00F44BBD"/>
    <w:rsid w:val="00F44C22"/>
    <w:rsid w:val="00F44C9E"/>
    <w:rsid w:val="00F44CD7"/>
    <w:rsid w:val="00F44CE5"/>
    <w:rsid w:val="00F44CE8"/>
    <w:rsid w:val="00F44CEF"/>
    <w:rsid w:val="00F44CFA"/>
    <w:rsid w:val="00F44D51"/>
    <w:rsid w:val="00F44DF7"/>
    <w:rsid w:val="00F44E08"/>
    <w:rsid w:val="00F44E10"/>
    <w:rsid w:val="00F44ED1"/>
    <w:rsid w:val="00F44EDC"/>
    <w:rsid w:val="00F44EDD"/>
    <w:rsid w:val="00F44F47"/>
    <w:rsid w:val="00F44FB0"/>
    <w:rsid w:val="00F44FE5"/>
    <w:rsid w:val="00F4500A"/>
    <w:rsid w:val="00F45017"/>
    <w:rsid w:val="00F4503D"/>
    <w:rsid w:val="00F45046"/>
    <w:rsid w:val="00F4504F"/>
    <w:rsid w:val="00F45066"/>
    <w:rsid w:val="00F4506E"/>
    <w:rsid w:val="00F4508B"/>
    <w:rsid w:val="00F45092"/>
    <w:rsid w:val="00F450A1"/>
    <w:rsid w:val="00F450EA"/>
    <w:rsid w:val="00F450F2"/>
    <w:rsid w:val="00F4512F"/>
    <w:rsid w:val="00F451A8"/>
    <w:rsid w:val="00F451CF"/>
    <w:rsid w:val="00F452C1"/>
    <w:rsid w:val="00F452D4"/>
    <w:rsid w:val="00F4531B"/>
    <w:rsid w:val="00F45326"/>
    <w:rsid w:val="00F453B2"/>
    <w:rsid w:val="00F453BF"/>
    <w:rsid w:val="00F453C2"/>
    <w:rsid w:val="00F453CD"/>
    <w:rsid w:val="00F4542B"/>
    <w:rsid w:val="00F45440"/>
    <w:rsid w:val="00F45479"/>
    <w:rsid w:val="00F4548E"/>
    <w:rsid w:val="00F4549D"/>
    <w:rsid w:val="00F454F7"/>
    <w:rsid w:val="00F45533"/>
    <w:rsid w:val="00F45534"/>
    <w:rsid w:val="00F455AD"/>
    <w:rsid w:val="00F455B2"/>
    <w:rsid w:val="00F455D4"/>
    <w:rsid w:val="00F45621"/>
    <w:rsid w:val="00F45623"/>
    <w:rsid w:val="00F4562C"/>
    <w:rsid w:val="00F4563F"/>
    <w:rsid w:val="00F45645"/>
    <w:rsid w:val="00F45652"/>
    <w:rsid w:val="00F45661"/>
    <w:rsid w:val="00F456D6"/>
    <w:rsid w:val="00F456F5"/>
    <w:rsid w:val="00F4570D"/>
    <w:rsid w:val="00F4573A"/>
    <w:rsid w:val="00F4574A"/>
    <w:rsid w:val="00F4574B"/>
    <w:rsid w:val="00F457C9"/>
    <w:rsid w:val="00F4581A"/>
    <w:rsid w:val="00F45879"/>
    <w:rsid w:val="00F45881"/>
    <w:rsid w:val="00F458C3"/>
    <w:rsid w:val="00F458D2"/>
    <w:rsid w:val="00F4593B"/>
    <w:rsid w:val="00F45944"/>
    <w:rsid w:val="00F4594A"/>
    <w:rsid w:val="00F4595A"/>
    <w:rsid w:val="00F45997"/>
    <w:rsid w:val="00F4599D"/>
    <w:rsid w:val="00F459D2"/>
    <w:rsid w:val="00F45A82"/>
    <w:rsid w:val="00F45AAE"/>
    <w:rsid w:val="00F45AE7"/>
    <w:rsid w:val="00F45B50"/>
    <w:rsid w:val="00F45B5B"/>
    <w:rsid w:val="00F45B61"/>
    <w:rsid w:val="00F45B8B"/>
    <w:rsid w:val="00F45BE1"/>
    <w:rsid w:val="00F45BE4"/>
    <w:rsid w:val="00F45C09"/>
    <w:rsid w:val="00F45C4A"/>
    <w:rsid w:val="00F45C61"/>
    <w:rsid w:val="00F45C6A"/>
    <w:rsid w:val="00F45C8B"/>
    <w:rsid w:val="00F45CBD"/>
    <w:rsid w:val="00F45D8B"/>
    <w:rsid w:val="00F45DA2"/>
    <w:rsid w:val="00F45DAA"/>
    <w:rsid w:val="00F45DAE"/>
    <w:rsid w:val="00F45DB1"/>
    <w:rsid w:val="00F45DE3"/>
    <w:rsid w:val="00F45E34"/>
    <w:rsid w:val="00F45E3D"/>
    <w:rsid w:val="00F45EA8"/>
    <w:rsid w:val="00F45EB2"/>
    <w:rsid w:val="00F45FA3"/>
    <w:rsid w:val="00F45FC3"/>
    <w:rsid w:val="00F45FC4"/>
    <w:rsid w:val="00F45FD5"/>
    <w:rsid w:val="00F4600B"/>
    <w:rsid w:val="00F46014"/>
    <w:rsid w:val="00F4604A"/>
    <w:rsid w:val="00F4604B"/>
    <w:rsid w:val="00F4604C"/>
    <w:rsid w:val="00F4608A"/>
    <w:rsid w:val="00F46090"/>
    <w:rsid w:val="00F460EB"/>
    <w:rsid w:val="00F46161"/>
    <w:rsid w:val="00F46168"/>
    <w:rsid w:val="00F46180"/>
    <w:rsid w:val="00F461D0"/>
    <w:rsid w:val="00F461E7"/>
    <w:rsid w:val="00F4621B"/>
    <w:rsid w:val="00F46220"/>
    <w:rsid w:val="00F4623D"/>
    <w:rsid w:val="00F46248"/>
    <w:rsid w:val="00F46253"/>
    <w:rsid w:val="00F4626D"/>
    <w:rsid w:val="00F4627D"/>
    <w:rsid w:val="00F462CD"/>
    <w:rsid w:val="00F462DA"/>
    <w:rsid w:val="00F46325"/>
    <w:rsid w:val="00F46327"/>
    <w:rsid w:val="00F4632F"/>
    <w:rsid w:val="00F463DA"/>
    <w:rsid w:val="00F463F1"/>
    <w:rsid w:val="00F4643A"/>
    <w:rsid w:val="00F46495"/>
    <w:rsid w:val="00F464BF"/>
    <w:rsid w:val="00F464F5"/>
    <w:rsid w:val="00F4650C"/>
    <w:rsid w:val="00F46569"/>
    <w:rsid w:val="00F465C2"/>
    <w:rsid w:val="00F465E8"/>
    <w:rsid w:val="00F46617"/>
    <w:rsid w:val="00F46618"/>
    <w:rsid w:val="00F46619"/>
    <w:rsid w:val="00F46669"/>
    <w:rsid w:val="00F4666B"/>
    <w:rsid w:val="00F46678"/>
    <w:rsid w:val="00F466A2"/>
    <w:rsid w:val="00F466BF"/>
    <w:rsid w:val="00F466E0"/>
    <w:rsid w:val="00F46719"/>
    <w:rsid w:val="00F46762"/>
    <w:rsid w:val="00F46763"/>
    <w:rsid w:val="00F4677A"/>
    <w:rsid w:val="00F4678E"/>
    <w:rsid w:val="00F467CC"/>
    <w:rsid w:val="00F467D1"/>
    <w:rsid w:val="00F46807"/>
    <w:rsid w:val="00F4680D"/>
    <w:rsid w:val="00F46831"/>
    <w:rsid w:val="00F46832"/>
    <w:rsid w:val="00F46842"/>
    <w:rsid w:val="00F46867"/>
    <w:rsid w:val="00F46892"/>
    <w:rsid w:val="00F468E7"/>
    <w:rsid w:val="00F46916"/>
    <w:rsid w:val="00F46952"/>
    <w:rsid w:val="00F469B4"/>
    <w:rsid w:val="00F46A07"/>
    <w:rsid w:val="00F46A3C"/>
    <w:rsid w:val="00F46A3F"/>
    <w:rsid w:val="00F46A49"/>
    <w:rsid w:val="00F46A62"/>
    <w:rsid w:val="00F46A6F"/>
    <w:rsid w:val="00F46AAC"/>
    <w:rsid w:val="00F46AD2"/>
    <w:rsid w:val="00F46B36"/>
    <w:rsid w:val="00F46B4F"/>
    <w:rsid w:val="00F46B60"/>
    <w:rsid w:val="00F46BA0"/>
    <w:rsid w:val="00F46BF5"/>
    <w:rsid w:val="00F46C3F"/>
    <w:rsid w:val="00F46C52"/>
    <w:rsid w:val="00F46CBC"/>
    <w:rsid w:val="00F46CC2"/>
    <w:rsid w:val="00F46CD5"/>
    <w:rsid w:val="00F46CEE"/>
    <w:rsid w:val="00F46CF6"/>
    <w:rsid w:val="00F46D27"/>
    <w:rsid w:val="00F46D49"/>
    <w:rsid w:val="00F46D52"/>
    <w:rsid w:val="00F46DA2"/>
    <w:rsid w:val="00F46DDB"/>
    <w:rsid w:val="00F46DE6"/>
    <w:rsid w:val="00F46E3A"/>
    <w:rsid w:val="00F46E41"/>
    <w:rsid w:val="00F46E8E"/>
    <w:rsid w:val="00F46EA4"/>
    <w:rsid w:val="00F46EA6"/>
    <w:rsid w:val="00F46F58"/>
    <w:rsid w:val="00F46F9C"/>
    <w:rsid w:val="00F4700F"/>
    <w:rsid w:val="00F470B5"/>
    <w:rsid w:val="00F47129"/>
    <w:rsid w:val="00F4713C"/>
    <w:rsid w:val="00F47157"/>
    <w:rsid w:val="00F4718A"/>
    <w:rsid w:val="00F471EB"/>
    <w:rsid w:val="00F4723C"/>
    <w:rsid w:val="00F4729F"/>
    <w:rsid w:val="00F472ED"/>
    <w:rsid w:val="00F47313"/>
    <w:rsid w:val="00F47335"/>
    <w:rsid w:val="00F47345"/>
    <w:rsid w:val="00F4735A"/>
    <w:rsid w:val="00F47387"/>
    <w:rsid w:val="00F4739A"/>
    <w:rsid w:val="00F473A6"/>
    <w:rsid w:val="00F47416"/>
    <w:rsid w:val="00F4741F"/>
    <w:rsid w:val="00F47440"/>
    <w:rsid w:val="00F47448"/>
    <w:rsid w:val="00F4744F"/>
    <w:rsid w:val="00F4746A"/>
    <w:rsid w:val="00F474A8"/>
    <w:rsid w:val="00F474B7"/>
    <w:rsid w:val="00F4752F"/>
    <w:rsid w:val="00F475DF"/>
    <w:rsid w:val="00F475E6"/>
    <w:rsid w:val="00F47602"/>
    <w:rsid w:val="00F47679"/>
    <w:rsid w:val="00F4769F"/>
    <w:rsid w:val="00F476A9"/>
    <w:rsid w:val="00F476C9"/>
    <w:rsid w:val="00F476D2"/>
    <w:rsid w:val="00F476FC"/>
    <w:rsid w:val="00F476FD"/>
    <w:rsid w:val="00F47703"/>
    <w:rsid w:val="00F47721"/>
    <w:rsid w:val="00F47733"/>
    <w:rsid w:val="00F4776D"/>
    <w:rsid w:val="00F477BA"/>
    <w:rsid w:val="00F477EF"/>
    <w:rsid w:val="00F4781B"/>
    <w:rsid w:val="00F4789F"/>
    <w:rsid w:val="00F478BB"/>
    <w:rsid w:val="00F478CC"/>
    <w:rsid w:val="00F4790D"/>
    <w:rsid w:val="00F47946"/>
    <w:rsid w:val="00F47954"/>
    <w:rsid w:val="00F47976"/>
    <w:rsid w:val="00F479B6"/>
    <w:rsid w:val="00F47A34"/>
    <w:rsid w:val="00F47A6F"/>
    <w:rsid w:val="00F47A99"/>
    <w:rsid w:val="00F47AB4"/>
    <w:rsid w:val="00F47ADA"/>
    <w:rsid w:val="00F47ADF"/>
    <w:rsid w:val="00F47AF6"/>
    <w:rsid w:val="00F47B5F"/>
    <w:rsid w:val="00F47BDC"/>
    <w:rsid w:val="00F47BE7"/>
    <w:rsid w:val="00F47C06"/>
    <w:rsid w:val="00F47C2E"/>
    <w:rsid w:val="00F47C8D"/>
    <w:rsid w:val="00F47CA1"/>
    <w:rsid w:val="00F47CAB"/>
    <w:rsid w:val="00F47CE7"/>
    <w:rsid w:val="00F47D0C"/>
    <w:rsid w:val="00F47D2C"/>
    <w:rsid w:val="00F47D65"/>
    <w:rsid w:val="00F47D77"/>
    <w:rsid w:val="00F47DB5"/>
    <w:rsid w:val="00F47DC1"/>
    <w:rsid w:val="00F47DF6"/>
    <w:rsid w:val="00F47E33"/>
    <w:rsid w:val="00F47E3B"/>
    <w:rsid w:val="00F47E4A"/>
    <w:rsid w:val="00F47E6E"/>
    <w:rsid w:val="00F47F19"/>
    <w:rsid w:val="00F47F6B"/>
    <w:rsid w:val="00F47F79"/>
    <w:rsid w:val="00F47FA5"/>
    <w:rsid w:val="00F47FBC"/>
    <w:rsid w:val="00F47FC7"/>
    <w:rsid w:val="00F47FDA"/>
    <w:rsid w:val="00F50083"/>
    <w:rsid w:val="00F5009C"/>
    <w:rsid w:val="00F500B4"/>
    <w:rsid w:val="00F500B6"/>
    <w:rsid w:val="00F500E5"/>
    <w:rsid w:val="00F500EE"/>
    <w:rsid w:val="00F50107"/>
    <w:rsid w:val="00F5012D"/>
    <w:rsid w:val="00F50143"/>
    <w:rsid w:val="00F5014D"/>
    <w:rsid w:val="00F50171"/>
    <w:rsid w:val="00F501A4"/>
    <w:rsid w:val="00F501AE"/>
    <w:rsid w:val="00F501C0"/>
    <w:rsid w:val="00F501E5"/>
    <w:rsid w:val="00F501F0"/>
    <w:rsid w:val="00F5023D"/>
    <w:rsid w:val="00F5029E"/>
    <w:rsid w:val="00F502E1"/>
    <w:rsid w:val="00F502F6"/>
    <w:rsid w:val="00F5035D"/>
    <w:rsid w:val="00F5038E"/>
    <w:rsid w:val="00F503B1"/>
    <w:rsid w:val="00F503B4"/>
    <w:rsid w:val="00F50405"/>
    <w:rsid w:val="00F50429"/>
    <w:rsid w:val="00F50486"/>
    <w:rsid w:val="00F5049C"/>
    <w:rsid w:val="00F504DE"/>
    <w:rsid w:val="00F5053B"/>
    <w:rsid w:val="00F50544"/>
    <w:rsid w:val="00F50587"/>
    <w:rsid w:val="00F505CD"/>
    <w:rsid w:val="00F505D8"/>
    <w:rsid w:val="00F505DA"/>
    <w:rsid w:val="00F505E8"/>
    <w:rsid w:val="00F505FD"/>
    <w:rsid w:val="00F5060F"/>
    <w:rsid w:val="00F5062C"/>
    <w:rsid w:val="00F50648"/>
    <w:rsid w:val="00F50651"/>
    <w:rsid w:val="00F50657"/>
    <w:rsid w:val="00F5065B"/>
    <w:rsid w:val="00F50687"/>
    <w:rsid w:val="00F506B7"/>
    <w:rsid w:val="00F506D5"/>
    <w:rsid w:val="00F507CC"/>
    <w:rsid w:val="00F507E1"/>
    <w:rsid w:val="00F507F5"/>
    <w:rsid w:val="00F5080C"/>
    <w:rsid w:val="00F5084B"/>
    <w:rsid w:val="00F508C0"/>
    <w:rsid w:val="00F508F6"/>
    <w:rsid w:val="00F5093B"/>
    <w:rsid w:val="00F50956"/>
    <w:rsid w:val="00F50977"/>
    <w:rsid w:val="00F5097E"/>
    <w:rsid w:val="00F509C9"/>
    <w:rsid w:val="00F509D0"/>
    <w:rsid w:val="00F509DC"/>
    <w:rsid w:val="00F50A21"/>
    <w:rsid w:val="00F50B16"/>
    <w:rsid w:val="00F50B24"/>
    <w:rsid w:val="00F50BA3"/>
    <w:rsid w:val="00F50BA7"/>
    <w:rsid w:val="00F50BDC"/>
    <w:rsid w:val="00F50C20"/>
    <w:rsid w:val="00F50CAC"/>
    <w:rsid w:val="00F50CDB"/>
    <w:rsid w:val="00F50D38"/>
    <w:rsid w:val="00F50D57"/>
    <w:rsid w:val="00F50D98"/>
    <w:rsid w:val="00F50DB7"/>
    <w:rsid w:val="00F50DDE"/>
    <w:rsid w:val="00F50E66"/>
    <w:rsid w:val="00F50ECC"/>
    <w:rsid w:val="00F50F37"/>
    <w:rsid w:val="00F50F78"/>
    <w:rsid w:val="00F50F89"/>
    <w:rsid w:val="00F50F94"/>
    <w:rsid w:val="00F50FBE"/>
    <w:rsid w:val="00F50FCB"/>
    <w:rsid w:val="00F5104E"/>
    <w:rsid w:val="00F510A2"/>
    <w:rsid w:val="00F510D6"/>
    <w:rsid w:val="00F510EA"/>
    <w:rsid w:val="00F51164"/>
    <w:rsid w:val="00F5118D"/>
    <w:rsid w:val="00F511CE"/>
    <w:rsid w:val="00F5121A"/>
    <w:rsid w:val="00F51241"/>
    <w:rsid w:val="00F51257"/>
    <w:rsid w:val="00F51327"/>
    <w:rsid w:val="00F5133B"/>
    <w:rsid w:val="00F5135E"/>
    <w:rsid w:val="00F51363"/>
    <w:rsid w:val="00F51365"/>
    <w:rsid w:val="00F51392"/>
    <w:rsid w:val="00F513D1"/>
    <w:rsid w:val="00F51415"/>
    <w:rsid w:val="00F5141A"/>
    <w:rsid w:val="00F51432"/>
    <w:rsid w:val="00F5146C"/>
    <w:rsid w:val="00F514AA"/>
    <w:rsid w:val="00F514ED"/>
    <w:rsid w:val="00F51520"/>
    <w:rsid w:val="00F5154F"/>
    <w:rsid w:val="00F51553"/>
    <w:rsid w:val="00F51577"/>
    <w:rsid w:val="00F515B4"/>
    <w:rsid w:val="00F515C5"/>
    <w:rsid w:val="00F515C7"/>
    <w:rsid w:val="00F515FB"/>
    <w:rsid w:val="00F51609"/>
    <w:rsid w:val="00F51616"/>
    <w:rsid w:val="00F5161A"/>
    <w:rsid w:val="00F51624"/>
    <w:rsid w:val="00F51647"/>
    <w:rsid w:val="00F516A0"/>
    <w:rsid w:val="00F516F7"/>
    <w:rsid w:val="00F516FA"/>
    <w:rsid w:val="00F5178B"/>
    <w:rsid w:val="00F517AF"/>
    <w:rsid w:val="00F517C4"/>
    <w:rsid w:val="00F51822"/>
    <w:rsid w:val="00F51875"/>
    <w:rsid w:val="00F51882"/>
    <w:rsid w:val="00F518E9"/>
    <w:rsid w:val="00F5190E"/>
    <w:rsid w:val="00F51913"/>
    <w:rsid w:val="00F51939"/>
    <w:rsid w:val="00F51952"/>
    <w:rsid w:val="00F51975"/>
    <w:rsid w:val="00F5199E"/>
    <w:rsid w:val="00F519BE"/>
    <w:rsid w:val="00F51A18"/>
    <w:rsid w:val="00F51A28"/>
    <w:rsid w:val="00F51A3E"/>
    <w:rsid w:val="00F51A55"/>
    <w:rsid w:val="00F51A6E"/>
    <w:rsid w:val="00F51A7B"/>
    <w:rsid w:val="00F51B12"/>
    <w:rsid w:val="00F51B2E"/>
    <w:rsid w:val="00F51B32"/>
    <w:rsid w:val="00F51B44"/>
    <w:rsid w:val="00F51B81"/>
    <w:rsid w:val="00F51B82"/>
    <w:rsid w:val="00F51B88"/>
    <w:rsid w:val="00F51BA9"/>
    <w:rsid w:val="00F51BB3"/>
    <w:rsid w:val="00F51BC8"/>
    <w:rsid w:val="00F51BE1"/>
    <w:rsid w:val="00F51BE9"/>
    <w:rsid w:val="00F51C01"/>
    <w:rsid w:val="00F51C2E"/>
    <w:rsid w:val="00F51C33"/>
    <w:rsid w:val="00F51C88"/>
    <w:rsid w:val="00F51C8A"/>
    <w:rsid w:val="00F51D6C"/>
    <w:rsid w:val="00F51D9D"/>
    <w:rsid w:val="00F51DBA"/>
    <w:rsid w:val="00F51E2C"/>
    <w:rsid w:val="00F51E90"/>
    <w:rsid w:val="00F51EC2"/>
    <w:rsid w:val="00F51EFD"/>
    <w:rsid w:val="00F51F12"/>
    <w:rsid w:val="00F51F13"/>
    <w:rsid w:val="00F51F2B"/>
    <w:rsid w:val="00F51FA1"/>
    <w:rsid w:val="00F51FE5"/>
    <w:rsid w:val="00F51FEA"/>
    <w:rsid w:val="00F5203A"/>
    <w:rsid w:val="00F52063"/>
    <w:rsid w:val="00F52075"/>
    <w:rsid w:val="00F520CA"/>
    <w:rsid w:val="00F5214A"/>
    <w:rsid w:val="00F52195"/>
    <w:rsid w:val="00F521E4"/>
    <w:rsid w:val="00F52291"/>
    <w:rsid w:val="00F5229D"/>
    <w:rsid w:val="00F52311"/>
    <w:rsid w:val="00F5233B"/>
    <w:rsid w:val="00F52341"/>
    <w:rsid w:val="00F52342"/>
    <w:rsid w:val="00F5234D"/>
    <w:rsid w:val="00F52352"/>
    <w:rsid w:val="00F523C4"/>
    <w:rsid w:val="00F523FD"/>
    <w:rsid w:val="00F5240D"/>
    <w:rsid w:val="00F5242E"/>
    <w:rsid w:val="00F52463"/>
    <w:rsid w:val="00F52484"/>
    <w:rsid w:val="00F524AE"/>
    <w:rsid w:val="00F524C1"/>
    <w:rsid w:val="00F524D1"/>
    <w:rsid w:val="00F524E6"/>
    <w:rsid w:val="00F5251F"/>
    <w:rsid w:val="00F52601"/>
    <w:rsid w:val="00F5263A"/>
    <w:rsid w:val="00F52666"/>
    <w:rsid w:val="00F5271E"/>
    <w:rsid w:val="00F52730"/>
    <w:rsid w:val="00F52755"/>
    <w:rsid w:val="00F52780"/>
    <w:rsid w:val="00F5279D"/>
    <w:rsid w:val="00F527AE"/>
    <w:rsid w:val="00F527B5"/>
    <w:rsid w:val="00F52822"/>
    <w:rsid w:val="00F52868"/>
    <w:rsid w:val="00F52870"/>
    <w:rsid w:val="00F52886"/>
    <w:rsid w:val="00F528A6"/>
    <w:rsid w:val="00F528BA"/>
    <w:rsid w:val="00F52910"/>
    <w:rsid w:val="00F5291A"/>
    <w:rsid w:val="00F5295F"/>
    <w:rsid w:val="00F529A3"/>
    <w:rsid w:val="00F529B5"/>
    <w:rsid w:val="00F529E1"/>
    <w:rsid w:val="00F529F3"/>
    <w:rsid w:val="00F52A6A"/>
    <w:rsid w:val="00F52A81"/>
    <w:rsid w:val="00F52ACC"/>
    <w:rsid w:val="00F52AD3"/>
    <w:rsid w:val="00F52AD6"/>
    <w:rsid w:val="00F52B25"/>
    <w:rsid w:val="00F52B2D"/>
    <w:rsid w:val="00F52B36"/>
    <w:rsid w:val="00F52B47"/>
    <w:rsid w:val="00F52B4F"/>
    <w:rsid w:val="00F52B7D"/>
    <w:rsid w:val="00F52B8B"/>
    <w:rsid w:val="00F52BB8"/>
    <w:rsid w:val="00F52C48"/>
    <w:rsid w:val="00F52CB7"/>
    <w:rsid w:val="00F52D36"/>
    <w:rsid w:val="00F52D65"/>
    <w:rsid w:val="00F52D86"/>
    <w:rsid w:val="00F52DA3"/>
    <w:rsid w:val="00F52DB3"/>
    <w:rsid w:val="00F52DB7"/>
    <w:rsid w:val="00F52DC3"/>
    <w:rsid w:val="00F52E4F"/>
    <w:rsid w:val="00F52E6B"/>
    <w:rsid w:val="00F52E73"/>
    <w:rsid w:val="00F52ED1"/>
    <w:rsid w:val="00F52EDA"/>
    <w:rsid w:val="00F52EE0"/>
    <w:rsid w:val="00F52EEB"/>
    <w:rsid w:val="00F52F44"/>
    <w:rsid w:val="00F52F5B"/>
    <w:rsid w:val="00F52F6A"/>
    <w:rsid w:val="00F52F70"/>
    <w:rsid w:val="00F52FAA"/>
    <w:rsid w:val="00F52FE4"/>
    <w:rsid w:val="00F53025"/>
    <w:rsid w:val="00F5302A"/>
    <w:rsid w:val="00F53068"/>
    <w:rsid w:val="00F530D2"/>
    <w:rsid w:val="00F530D7"/>
    <w:rsid w:val="00F5313E"/>
    <w:rsid w:val="00F5313F"/>
    <w:rsid w:val="00F53150"/>
    <w:rsid w:val="00F53184"/>
    <w:rsid w:val="00F531DC"/>
    <w:rsid w:val="00F531F3"/>
    <w:rsid w:val="00F5322B"/>
    <w:rsid w:val="00F5323E"/>
    <w:rsid w:val="00F53252"/>
    <w:rsid w:val="00F53277"/>
    <w:rsid w:val="00F532A3"/>
    <w:rsid w:val="00F5333A"/>
    <w:rsid w:val="00F53360"/>
    <w:rsid w:val="00F5339F"/>
    <w:rsid w:val="00F53497"/>
    <w:rsid w:val="00F534C1"/>
    <w:rsid w:val="00F534EA"/>
    <w:rsid w:val="00F534F0"/>
    <w:rsid w:val="00F53529"/>
    <w:rsid w:val="00F5355A"/>
    <w:rsid w:val="00F53562"/>
    <w:rsid w:val="00F53593"/>
    <w:rsid w:val="00F53602"/>
    <w:rsid w:val="00F5360E"/>
    <w:rsid w:val="00F53624"/>
    <w:rsid w:val="00F53695"/>
    <w:rsid w:val="00F536AC"/>
    <w:rsid w:val="00F536C1"/>
    <w:rsid w:val="00F53717"/>
    <w:rsid w:val="00F53726"/>
    <w:rsid w:val="00F53770"/>
    <w:rsid w:val="00F53775"/>
    <w:rsid w:val="00F537B2"/>
    <w:rsid w:val="00F53845"/>
    <w:rsid w:val="00F5384E"/>
    <w:rsid w:val="00F538C2"/>
    <w:rsid w:val="00F53944"/>
    <w:rsid w:val="00F53946"/>
    <w:rsid w:val="00F539A5"/>
    <w:rsid w:val="00F53A0A"/>
    <w:rsid w:val="00F53A10"/>
    <w:rsid w:val="00F53A4C"/>
    <w:rsid w:val="00F53A4D"/>
    <w:rsid w:val="00F53A63"/>
    <w:rsid w:val="00F53A8A"/>
    <w:rsid w:val="00F53AAA"/>
    <w:rsid w:val="00F53B29"/>
    <w:rsid w:val="00F53B5F"/>
    <w:rsid w:val="00F53B7D"/>
    <w:rsid w:val="00F53BDE"/>
    <w:rsid w:val="00F53C51"/>
    <w:rsid w:val="00F53CA0"/>
    <w:rsid w:val="00F53CCE"/>
    <w:rsid w:val="00F53CE7"/>
    <w:rsid w:val="00F53D10"/>
    <w:rsid w:val="00F53D16"/>
    <w:rsid w:val="00F53D70"/>
    <w:rsid w:val="00F53D99"/>
    <w:rsid w:val="00F53DD3"/>
    <w:rsid w:val="00F53DEF"/>
    <w:rsid w:val="00F53DFF"/>
    <w:rsid w:val="00F53E18"/>
    <w:rsid w:val="00F53E3C"/>
    <w:rsid w:val="00F53E76"/>
    <w:rsid w:val="00F53E7A"/>
    <w:rsid w:val="00F53EAA"/>
    <w:rsid w:val="00F53ECB"/>
    <w:rsid w:val="00F53EE4"/>
    <w:rsid w:val="00F53EFC"/>
    <w:rsid w:val="00F53F26"/>
    <w:rsid w:val="00F53F42"/>
    <w:rsid w:val="00F53F78"/>
    <w:rsid w:val="00F53F80"/>
    <w:rsid w:val="00F54055"/>
    <w:rsid w:val="00F5413E"/>
    <w:rsid w:val="00F5414C"/>
    <w:rsid w:val="00F54157"/>
    <w:rsid w:val="00F541F3"/>
    <w:rsid w:val="00F5420B"/>
    <w:rsid w:val="00F54219"/>
    <w:rsid w:val="00F5421B"/>
    <w:rsid w:val="00F5423C"/>
    <w:rsid w:val="00F5427B"/>
    <w:rsid w:val="00F542A0"/>
    <w:rsid w:val="00F542AE"/>
    <w:rsid w:val="00F54317"/>
    <w:rsid w:val="00F5431C"/>
    <w:rsid w:val="00F5437B"/>
    <w:rsid w:val="00F543A1"/>
    <w:rsid w:val="00F543FE"/>
    <w:rsid w:val="00F5441F"/>
    <w:rsid w:val="00F5445C"/>
    <w:rsid w:val="00F54469"/>
    <w:rsid w:val="00F5447B"/>
    <w:rsid w:val="00F544AC"/>
    <w:rsid w:val="00F544B2"/>
    <w:rsid w:val="00F544B8"/>
    <w:rsid w:val="00F544F6"/>
    <w:rsid w:val="00F54505"/>
    <w:rsid w:val="00F5452A"/>
    <w:rsid w:val="00F54582"/>
    <w:rsid w:val="00F545EF"/>
    <w:rsid w:val="00F5461C"/>
    <w:rsid w:val="00F5462B"/>
    <w:rsid w:val="00F54632"/>
    <w:rsid w:val="00F5467E"/>
    <w:rsid w:val="00F546A2"/>
    <w:rsid w:val="00F5471F"/>
    <w:rsid w:val="00F54746"/>
    <w:rsid w:val="00F54748"/>
    <w:rsid w:val="00F5476E"/>
    <w:rsid w:val="00F54798"/>
    <w:rsid w:val="00F5482A"/>
    <w:rsid w:val="00F5485F"/>
    <w:rsid w:val="00F54874"/>
    <w:rsid w:val="00F54894"/>
    <w:rsid w:val="00F548DA"/>
    <w:rsid w:val="00F548E5"/>
    <w:rsid w:val="00F548E6"/>
    <w:rsid w:val="00F5491F"/>
    <w:rsid w:val="00F549AD"/>
    <w:rsid w:val="00F549E1"/>
    <w:rsid w:val="00F549E6"/>
    <w:rsid w:val="00F549EA"/>
    <w:rsid w:val="00F54A07"/>
    <w:rsid w:val="00F54A2A"/>
    <w:rsid w:val="00F54A2D"/>
    <w:rsid w:val="00F54A64"/>
    <w:rsid w:val="00F54AAE"/>
    <w:rsid w:val="00F54AD0"/>
    <w:rsid w:val="00F54ADF"/>
    <w:rsid w:val="00F54AF9"/>
    <w:rsid w:val="00F54B4C"/>
    <w:rsid w:val="00F54B6A"/>
    <w:rsid w:val="00F54B70"/>
    <w:rsid w:val="00F54B79"/>
    <w:rsid w:val="00F54BBB"/>
    <w:rsid w:val="00F54BC9"/>
    <w:rsid w:val="00F54BF7"/>
    <w:rsid w:val="00F54C37"/>
    <w:rsid w:val="00F54C69"/>
    <w:rsid w:val="00F54C98"/>
    <w:rsid w:val="00F54D06"/>
    <w:rsid w:val="00F54D53"/>
    <w:rsid w:val="00F54D87"/>
    <w:rsid w:val="00F54D94"/>
    <w:rsid w:val="00F54DA3"/>
    <w:rsid w:val="00F54DC5"/>
    <w:rsid w:val="00F54DD5"/>
    <w:rsid w:val="00F54DDF"/>
    <w:rsid w:val="00F54DF5"/>
    <w:rsid w:val="00F54E34"/>
    <w:rsid w:val="00F54E81"/>
    <w:rsid w:val="00F54EC0"/>
    <w:rsid w:val="00F54F22"/>
    <w:rsid w:val="00F54F59"/>
    <w:rsid w:val="00F54FAC"/>
    <w:rsid w:val="00F54FE6"/>
    <w:rsid w:val="00F55006"/>
    <w:rsid w:val="00F5502A"/>
    <w:rsid w:val="00F5502D"/>
    <w:rsid w:val="00F55099"/>
    <w:rsid w:val="00F550AD"/>
    <w:rsid w:val="00F550BA"/>
    <w:rsid w:val="00F550DF"/>
    <w:rsid w:val="00F5511C"/>
    <w:rsid w:val="00F55164"/>
    <w:rsid w:val="00F55174"/>
    <w:rsid w:val="00F5518C"/>
    <w:rsid w:val="00F55190"/>
    <w:rsid w:val="00F551A4"/>
    <w:rsid w:val="00F551AE"/>
    <w:rsid w:val="00F551C2"/>
    <w:rsid w:val="00F551EA"/>
    <w:rsid w:val="00F5520B"/>
    <w:rsid w:val="00F5521B"/>
    <w:rsid w:val="00F5521F"/>
    <w:rsid w:val="00F55223"/>
    <w:rsid w:val="00F552C1"/>
    <w:rsid w:val="00F552F6"/>
    <w:rsid w:val="00F5532A"/>
    <w:rsid w:val="00F553C6"/>
    <w:rsid w:val="00F553D8"/>
    <w:rsid w:val="00F55443"/>
    <w:rsid w:val="00F55452"/>
    <w:rsid w:val="00F5545A"/>
    <w:rsid w:val="00F5546E"/>
    <w:rsid w:val="00F5548F"/>
    <w:rsid w:val="00F55490"/>
    <w:rsid w:val="00F554B4"/>
    <w:rsid w:val="00F554B8"/>
    <w:rsid w:val="00F554C3"/>
    <w:rsid w:val="00F55529"/>
    <w:rsid w:val="00F55532"/>
    <w:rsid w:val="00F5559D"/>
    <w:rsid w:val="00F555B8"/>
    <w:rsid w:val="00F555BD"/>
    <w:rsid w:val="00F555C5"/>
    <w:rsid w:val="00F55625"/>
    <w:rsid w:val="00F556B4"/>
    <w:rsid w:val="00F55732"/>
    <w:rsid w:val="00F55786"/>
    <w:rsid w:val="00F55791"/>
    <w:rsid w:val="00F557AF"/>
    <w:rsid w:val="00F557E7"/>
    <w:rsid w:val="00F5580D"/>
    <w:rsid w:val="00F5580E"/>
    <w:rsid w:val="00F55819"/>
    <w:rsid w:val="00F55859"/>
    <w:rsid w:val="00F55864"/>
    <w:rsid w:val="00F55890"/>
    <w:rsid w:val="00F5589D"/>
    <w:rsid w:val="00F558A1"/>
    <w:rsid w:val="00F558CB"/>
    <w:rsid w:val="00F558EF"/>
    <w:rsid w:val="00F5592C"/>
    <w:rsid w:val="00F559BF"/>
    <w:rsid w:val="00F55A17"/>
    <w:rsid w:val="00F55A26"/>
    <w:rsid w:val="00F55A33"/>
    <w:rsid w:val="00F55A3B"/>
    <w:rsid w:val="00F55A40"/>
    <w:rsid w:val="00F55A61"/>
    <w:rsid w:val="00F55A6C"/>
    <w:rsid w:val="00F55A72"/>
    <w:rsid w:val="00F55A85"/>
    <w:rsid w:val="00F55AC4"/>
    <w:rsid w:val="00F55B20"/>
    <w:rsid w:val="00F55B25"/>
    <w:rsid w:val="00F55B5C"/>
    <w:rsid w:val="00F55B7D"/>
    <w:rsid w:val="00F55B8C"/>
    <w:rsid w:val="00F55BA7"/>
    <w:rsid w:val="00F55BAD"/>
    <w:rsid w:val="00F55BBD"/>
    <w:rsid w:val="00F55C24"/>
    <w:rsid w:val="00F55C34"/>
    <w:rsid w:val="00F55C8E"/>
    <w:rsid w:val="00F55C91"/>
    <w:rsid w:val="00F55C92"/>
    <w:rsid w:val="00F55CA5"/>
    <w:rsid w:val="00F55CB0"/>
    <w:rsid w:val="00F55CBB"/>
    <w:rsid w:val="00F55CBC"/>
    <w:rsid w:val="00F55CBE"/>
    <w:rsid w:val="00F55CC5"/>
    <w:rsid w:val="00F55CD1"/>
    <w:rsid w:val="00F55CDB"/>
    <w:rsid w:val="00F55D08"/>
    <w:rsid w:val="00F55D34"/>
    <w:rsid w:val="00F55D5A"/>
    <w:rsid w:val="00F55D6B"/>
    <w:rsid w:val="00F55D77"/>
    <w:rsid w:val="00F55DC3"/>
    <w:rsid w:val="00F55E46"/>
    <w:rsid w:val="00F55E76"/>
    <w:rsid w:val="00F55E7A"/>
    <w:rsid w:val="00F55E7C"/>
    <w:rsid w:val="00F55E82"/>
    <w:rsid w:val="00F55E87"/>
    <w:rsid w:val="00F55EF0"/>
    <w:rsid w:val="00F55EF9"/>
    <w:rsid w:val="00F55F11"/>
    <w:rsid w:val="00F55F68"/>
    <w:rsid w:val="00F55F7F"/>
    <w:rsid w:val="00F55FBD"/>
    <w:rsid w:val="00F56012"/>
    <w:rsid w:val="00F56020"/>
    <w:rsid w:val="00F56085"/>
    <w:rsid w:val="00F56094"/>
    <w:rsid w:val="00F560B6"/>
    <w:rsid w:val="00F560FF"/>
    <w:rsid w:val="00F56144"/>
    <w:rsid w:val="00F56155"/>
    <w:rsid w:val="00F56163"/>
    <w:rsid w:val="00F561DA"/>
    <w:rsid w:val="00F561F3"/>
    <w:rsid w:val="00F56247"/>
    <w:rsid w:val="00F5624A"/>
    <w:rsid w:val="00F56273"/>
    <w:rsid w:val="00F56299"/>
    <w:rsid w:val="00F562B3"/>
    <w:rsid w:val="00F562CB"/>
    <w:rsid w:val="00F56348"/>
    <w:rsid w:val="00F5637E"/>
    <w:rsid w:val="00F56395"/>
    <w:rsid w:val="00F563B0"/>
    <w:rsid w:val="00F563C5"/>
    <w:rsid w:val="00F563C9"/>
    <w:rsid w:val="00F563DE"/>
    <w:rsid w:val="00F56405"/>
    <w:rsid w:val="00F56436"/>
    <w:rsid w:val="00F56466"/>
    <w:rsid w:val="00F564C4"/>
    <w:rsid w:val="00F564CB"/>
    <w:rsid w:val="00F564D0"/>
    <w:rsid w:val="00F564D2"/>
    <w:rsid w:val="00F56524"/>
    <w:rsid w:val="00F56573"/>
    <w:rsid w:val="00F5662C"/>
    <w:rsid w:val="00F56660"/>
    <w:rsid w:val="00F56667"/>
    <w:rsid w:val="00F56678"/>
    <w:rsid w:val="00F5667C"/>
    <w:rsid w:val="00F56697"/>
    <w:rsid w:val="00F566C9"/>
    <w:rsid w:val="00F56703"/>
    <w:rsid w:val="00F56755"/>
    <w:rsid w:val="00F567AB"/>
    <w:rsid w:val="00F56818"/>
    <w:rsid w:val="00F56827"/>
    <w:rsid w:val="00F5682E"/>
    <w:rsid w:val="00F5686D"/>
    <w:rsid w:val="00F568D4"/>
    <w:rsid w:val="00F56901"/>
    <w:rsid w:val="00F56909"/>
    <w:rsid w:val="00F5691F"/>
    <w:rsid w:val="00F56929"/>
    <w:rsid w:val="00F5692E"/>
    <w:rsid w:val="00F5692F"/>
    <w:rsid w:val="00F569AA"/>
    <w:rsid w:val="00F569ED"/>
    <w:rsid w:val="00F569EF"/>
    <w:rsid w:val="00F56A7A"/>
    <w:rsid w:val="00F56A94"/>
    <w:rsid w:val="00F56AB1"/>
    <w:rsid w:val="00F56AC2"/>
    <w:rsid w:val="00F56ACF"/>
    <w:rsid w:val="00F56AEC"/>
    <w:rsid w:val="00F56B01"/>
    <w:rsid w:val="00F56B02"/>
    <w:rsid w:val="00F56B2F"/>
    <w:rsid w:val="00F56B46"/>
    <w:rsid w:val="00F56B4E"/>
    <w:rsid w:val="00F56B6D"/>
    <w:rsid w:val="00F56B95"/>
    <w:rsid w:val="00F56BAF"/>
    <w:rsid w:val="00F56BB4"/>
    <w:rsid w:val="00F56BE9"/>
    <w:rsid w:val="00F56C31"/>
    <w:rsid w:val="00F56C32"/>
    <w:rsid w:val="00F56C45"/>
    <w:rsid w:val="00F56C6A"/>
    <w:rsid w:val="00F56CBA"/>
    <w:rsid w:val="00F56CC4"/>
    <w:rsid w:val="00F56D28"/>
    <w:rsid w:val="00F56D6C"/>
    <w:rsid w:val="00F56D92"/>
    <w:rsid w:val="00F56DE4"/>
    <w:rsid w:val="00F56DEC"/>
    <w:rsid w:val="00F56E14"/>
    <w:rsid w:val="00F56E1D"/>
    <w:rsid w:val="00F56E3F"/>
    <w:rsid w:val="00F56E77"/>
    <w:rsid w:val="00F56E7D"/>
    <w:rsid w:val="00F56F12"/>
    <w:rsid w:val="00F56F3B"/>
    <w:rsid w:val="00F56F61"/>
    <w:rsid w:val="00F56FB1"/>
    <w:rsid w:val="00F56FB4"/>
    <w:rsid w:val="00F56FCA"/>
    <w:rsid w:val="00F56FD4"/>
    <w:rsid w:val="00F56FE5"/>
    <w:rsid w:val="00F5702E"/>
    <w:rsid w:val="00F57030"/>
    <w:rsid w:val="00F57085"/>
    <w:rsid w:val="00F5708B"/>
    <w:rsid w:val="00F570B8"/>
    <w:rsid w:val="00F570CE"/>
    <w:rsid w:val="00F570DE"/>
    <w:rsid w:val="00F57114"/>
    <w:rsid w:val="00F57119"/>
    <w:rsid w:val="00F57149"/>
    <w:rsid w:val="00F57153"/>
    <w:rsid w:val="00F5717B"/>
    <w:rsid w:val="00F57194"/>
    <w:rsid w:val="00F5719F"/>
    <w:rsid w:val="00F571BC"/>
    <w:rsid w:val="00F571C0"/>
    <w:rsid w:val="00F57296"/>
    <w:rsid w:val="00F5729C"/>
    <w:rsid w:val="00F572E9"/>
    <w:rsid w:val="00F572ED"/>
    <w:rsid w:val="00F57305"/>
    <w:rsid w:val="00F5730F"/>
    <w:rsid w:val="00F5735A"/>
    <w:rsid w:val="00F57368"/>
    <w:rsid w:val="00F573A4"/>
    <w:rsid w:val="00F573FA"/>
    <w:rsid w:val="00F57473"/>
    <w:rsid w:val="00F574C8"/>
    <w:rsid w:val="00F574D4"/>
    <w:rsid w:val="00F574F7"/>
    <w:rsid w:val="00F574FC"/>
    <w:rsid w:val="00F57521"/>
    <w:rsid w:val="00F57537"/>
    <w:rsid w:val="00F57549"/>
    <w:rsid w:val="00F575AB"/>
    <w:rsid w:val="00F575BC"/>
    <w:rsid w:val="00F575BF"/>
    <w:rsid w:val="00F575C3"/>
    <w:rsid w:val="00F575F5"/>
    <w:rsid w:val="00F575FF"/>
    <w:rsid w:val="00F57615"/>
    <w:rsid w:val="00F57618"/>
    <w:rsid w:val="00F57641"/>
    <w:rsid w:val="00F57647"/>
    <w:rsid w:val="00F5764E"/>
    <w:rsid w:val="00F57660"/>
    <w:rsid w:val="00F5769D"/>
    <w:rsid w:val="00F576CC"/>
    <w:rsid w:val="00F576F6"/>
    <w:rsid w:val="00F576FF"/>
    <w:rsid w:val="00F57742"/>
    <w:rsid w:val="00F57749"/>
    <w:rsid w:val="00F57768"/>
    <w:rsid w:val="00F577B6"/>
    <w:rsid w:val="00F577ED"/>
    <w:rsid w:val="00F577F5"/>
    <w:rsid w:val="00F57808"/>
    <w:rsid w:val="00F57856"/>
    <w:rsid w:val="00F5787E"/>
    <w:rsid w:val="00F57886"/>
    <w:rsid w:val="00F578D2"/>
    <w:rsid w:val="00F57903"/>
    <w:rsid w:val="00F57950"/>
    <w:rsid w:val="00F57994"/>
    <w:rsid w:val="00F5799C"/>
    <w:rsid w:val="00F579AD"/>
    <w:rsid w:val="00F57A21"/>
    <w:rsid w:val="00F57A35"/>
    <w:rsid w:val="00F57A87"/>
    <w:rsid w:val="00F57AAF"/>
    <w:rsid w:val="00F57AEE"/>
    <w:rsid w:val="00F57AF8"/>
    <w:rsid w:val="00F57B0D"/>
    <w:rsid w:val="00F57B36"/>
    <w:rsid w:val="00F57B52"/>
    <w:rsid w:val="00F57B53"/>
    <w:rsid w:val="00F57B64"/>
    <w:rsid w:val="00F57B7F"/>
    <w:rsid w:val="00F57BFD"/>
    <w:rsid w:val="00F57C1F"/>
    <w:rsid w:val="00F57CDF"/>
    <w:rsid w:val="00F57CEC"/>
    <w:rsid w:val="00F57D4C"/>
    <w:rsid w:val="00F57D6B"/>
    <w:rsid w:val="00F57DAC"/>
    <w:rsid w:val="00F57DEF"/>
    <w:rsid w:val="00F57E35"/>
    <w:rsid w:val="00F57E69"/>
    <w:rsid w:val="00F57E9F"/>
    <w:rsid w:val="00F57FB0"/>
    <w:rsid w:val="00F57FC7"/>
    <w:rsid w:val="00F57FEE"/>
    <w:rsid w:val="00F6004E"/>
    <w:rsid w:val="00F6005E"/>
    <w:rsid w:val="00F6007F"/>
    <w:rsid w:val="00F6009B"/>
    <w:rsid w:val="00F600E8"/>
    <w:rsid w:val="00F6012D"/>
    <w:rsid w:val="00F60156"/>
    <w:rsid w:val="00F601A1"/>
    <w:rsid w:val="00F601B1"/>
    <w:rsid w:val="00F601DC"/>
    <w:rsid w:val="00F6020F"/>
    <w:rsid w:val="00F6022D"/>
    <w:rsid w:val="00F60258"/>
    <w:rsid w:val="00F60285"/>
    <w:rsid w:val="00F602A1"/>
    <w:rsid w:val="00F602D1"/>
    <w:rsid w:val="00F602F7"/>
    <w:rsid w:val="00F602FA"/>
    <w:rsid w:val="00F60389"/>
    <w:rsid w:val="00F603A9"/>
    <w:rsid w:val="00F603B1"/>
    <w:rsid w:val="00F6044E"/>
    <w:rsid w:val="00F604B3"/>
    <w:rsid w:val="00F604EF"/>
    <w:rsid w:val="00F604F1"/>
    <w:rsid w:val="00F60568"/>
    <w:rsid w:val="00F60594"/>
    <w:rsid w:val="00F605DF"/>
    <w:rsid w:val="00F605F4"/>
    <w:rsid w:val="00F60606"/>
    <w:rsid w:val="00F60612"/>
    <w:rsid w:val="00F60617"/>
    <w:rsid w:val="00F60664"/>
    <w:rsid w:val="00F60665"/>
    <w:rsid w:val="00F6066B"/>
    <w:rsid w:val="00F60683"/>
    <w:rsid w:val="00F6069F"/>
    <w:rsid w:val="00F606BE"/>
    <w:rsid w:val="00F606C3"/>
    <w:rsid w:val="00F606D1"/>
    <w:rsid w:val="00F60764"/>
    <w:rsid w:val="00F607B3"/>
    <w:rsid w:val="00F60855"/>
    <w:rsid w:val="00F6087E"/>
    <w:rsid w:val="00F60894"/>
    <w:rsid w:val="00F608B6"/>
    <w:rsid w:val="00F608F5"/>
    <w:rsid w:val="00F6092D"/>
    <w:rsid w:val="00F60956"/>
    <w:rsid w:val="00F60965"/>
    <w:rsid w:val="00F609B1"/>
    <w:rsid w:val="00F609C6"/>
    <w:rsid w:val="00F609D2"/>
    <w:rsid w:val="00F60A5D"/>
    <w:rsid w:val="00F60A9D"/>
    <w:rsid w:val="00F60AA4"/>
    <w:rsid w:val="00F60AA5"/>
    <w:rsid w:val="00F60AC8"/>
    <w:rsid w:val="00F60AE1"/>
    <w:rsid w:val="00F60B7E"/>
    <w:rsid w:val="00F60BE7"/>
    <w:rsid w:val="00F60C20"/>
    <w:rsid w:val="00F60C25"/>
    <w:rsid w:val="00F60C6A"/>
    <w:rsid w:val="00F60C83"/>
    <w:rsid w:val="00F60C97"/>
    <w:rsid w:val="00F60C9A"/>
    <w:rsid w:val="00F60CA8"/>
    <w:rsid w:val="00F60CAB"/>
    <w:rsid w:val="00F60CB9"/>
    <w:rsid w:val="00F60D0A"/>
    <w:rsid w:val="00F60D1F"/>
    <w:rsid w:val="00F60D9E"/>
    <w:rsid w:val="00F60DF4"/>
    <w:rsid w:val="00F60E4E"/>
    <w:rsid w:val="00F60E73"/>
    <w:rsid w:val="00F60E8D"/>
    <w:rsid w:val="00F60ECE"/>
    <w:rsid w:val="00F60EDD"/>
    <w:rsid w:val="00F60EE3"/>
    <w:rsid w:val="00F60EF6"/>
    <w:rsid w:val="00F60F2D"/>
    <w:rsid w:val="00F60FBF"/>
    <w:rsid w:val="00F6101B"/>
    <w:rsid w:val="00F6105A"/>
    <w:rsid w:val="00F61079"/>
    <w:rsid w:val="00F610B4"/>
    <w:rsid w:val="00F610D4"/>
    <w:rsid w:val="00F610FB"/>
    <w:rsid w:val="00F6111C"/>
    <w:rsid w:val="00F6111F"/>
    <w:rsid w:val="00F61126"/>
    <w:rsid w:val="00F61131"/>
    <w:rsid w:val="00F61153"/>
    <w:rsid w:val="00F6115A"/>
    <w:rsid w:val="00F61174"/>
    <w:rsid w:val="00F61196"/>
    <w:rsid w:val="00F611B3"/>
    <w:rsid w:val="00F611B9"/>
    <w:rsid w:val="00F611F5"/>
    <w:rsid w:val="00F61214"/>
    <w:rsid w:val="00F6126D"/>
    <w:rsid w:val="00F61273"/>
    <w:rsid w:val="00F61279"/>
    <w:rsid w:val="00F612A3"/>
    <w:rsid w:val="00F612DE"/>
    <w:rsid w:val="00F6131F"/>
    <w:rsid w:val="00F61329"/>
    <w:rsid w:val="00F6137B"/>
    <w:rsid w:val="00F613A1"/>
    <w:rsid w:val="00F613B1"/>
    <w:rsid w:val="00F613FA"/>
    <w:rsid w:val="00F6141A"/>
    <w:rsid w:val="00F6147A"/>
    <w:rsid w:val="00F614C7"/>
    <w:rsid w:val="00F614E8"/>
    <w:rsid w:val="00F614F3"/>
    <w:rsid w:val="00F614F6"/>
    <w:rsid w:val="00F6152F"/>
    <w:rsid w:val="00F6157B"/>
    <w:rsid w:val="00F6159E"/>
    <w:rsid w:val="00F615A6"/>
    <w:rsid w:val="00F615CD"/>
    <w:rsid w:val="00F61662"/>
    <w:rsid w:val="00F61685"/>
    <w:rsid w:val="00F616CD"/>
    <w:rsid w:val="00F616D7"/>
    <w:rsid w:val="00F616FC"/>
    <w:rsid w:val="00F61731"/>
    <w:rsid w:val="00F6175A"/>
    <w:rsid w:val="00F6175D"/>
    <w:rsid w:val="00F6176D"/>
    <w:rsid w:val="00F617C7"/>
    <w:rsid w:val="00F617E8"/>
    <w:rsid w:val="00F61838"/>
    <w:rsid w:val="00F61851"/>
    <w:rsid w:val="00F61894"/>
    <w:rsid w:val="00F618F5"/>
    <w:rsid w:val="00F61901"/>
    <w:rsid w:val="00F6198A"/>
    <w:rsid w:val="00F619D4"/>
    <w:rsid w:val="00F61A16"/>
    <w:rsid w:val="00F61A38"/>
    <w:rsid w:val="00F61A70"/>
    <w:rsid w:val="00F61A71"/>
    <w:rsid w:val="00F61A87"/>
    <w:rsid w:val="00F61ACF"/>
    <w:rsid w:val="00F61AD9"/>
    <w:rsid w:val="00F61AE8"/>
    <w:rsid w:val="00F61B41"/>
    <w:rsid w:val="00F61BBC"/>
    <w:rsid w:val="00F61BC0"/>
    <w:rsid w:val="00F61BD2"/>
    <w:rsid w:val="00F61BDA"/>
    <w:rsid w:val="00F61BE1"/>
    <w:rsid w:val="00F61BFA"/>
    <w:rsid w:val="00F61C16"/>
    <w:rsid w:val="00F61C1E"/>
    <w:rsid w:val="00F61CB2"/>
    <w:rsid w:val="00F61CBB"/>
    <w:rsid w:val="00F61CD9"/>
    <w:rsid w:val="00F61D0D"/>
    <w:rsid w:val="00F61D4C"/>
    <w:rsid w:val="00F61D5B"/>
    <w:rsid w:val="00F61D9C"/>
    <w:rsid w:val="00F61DA4"/>
    <w:rsid w:val="00F61DED"/>
    <w:rsid w:val="00F61E1C"/>
    <w:rsid w:val="00F61E3B"/>
    <w:rsid w:val="00F61E3E"/>
    <w:rsid w:val="00F61E40"/>
    <w:rsid w:val="00F61E48"/>
    <w:rsid w:val="00F61E59"/>
    <w:rsid w:val="00F61EC9"/>
    <w:rsid w:val="00F61ED3"/>
    <w:rsid w:val="00F61F21"/>
    <w:rsid w:val="00F61F23"/>
    <w:rsid w:val="00F61F53"/>
    <w:rsid w:val="00F61F6E"/>
    <w:rsid w:val="00F61F74"/>
    <w:rsid w:val="00F61F7F"/>
    <w:rsid w:val="00F61F8B"/>
    <w:rsid w:val="00F61F95"/>
    <w:rsid w:val="00F61FCB"/>
    <w:rsid w:val="00F61FF0"/>
    <w:rsid w:val="00F6203C"/>
    <w:rsid w:val="00F62057"/>
    <w:rsid w:val="00F620A6"/>
    <w:rsid w:val="00F620EF"/>
    <w:rsid w:val="00F6211E"/>
    <w:rsid w:val="00F6216C"/>
    <w:rsid w:val="00F621D8"/>
    <w:rsid w:val="00F62283"/>
    <w:rsid w:val="00F622BA"/>
    <w:rsid w:val="00F622D1"/>
    <w:rsid w:val="00F6230E"/>
    <w:rsid w:val="00F62344"/>
    <w:rsid w:val="00F6235F"/>
    <w:rsid w:val="00F6236A"/>
    <w:rsid w:val="00F62387"/>
    <w:rsid w:val="00F623CE"/>
    <w:rsid w:val="00F623D5"/>
    <w:rsid w:val="00F6242E"/>
    <w:rsid w:val="00F62476"/>
    <w:rsid w:val="00F62492"/>
    <w:rsid w:val="00F62499"/>
    <w:rsid w:val="00F624D4"/>
    <w:rsid w:val="00F6252C"/>
    <w:rsid w:val="00F625A0"/>
    <w:rsid w:val="00F625E3"/>
    <w:rsid w:val="00F6264B"/>
    <w:rsid w:val="00F62657"/>
    <w:rsid w:val="00F62667"/>
    <w:rsid w:val="00F62673"/>
    <w:rsid w:val="00F62676"/>
    <w:rsid w:val="00F626DC"/>
    <w:rsid w:val="00F626FB"/>
    <w:rsid w:val="00F62711"/>
    <w:rsid w:val="00F62757"/>
    <w:rsid w:val="00F62787"/>
    <w:rsid w:val="00F627CA"/>
    <w:rsid w:val="00F627F6"/>
    <w:rsid w:val="00F62824"/>
    <w:rsid w:val="00F62828"/>
    <w:rsid w:val="00F62846"/>
    <w:rsid w:val="00F62875"/>
    <w:rsid w:val="00F62894"/>
    <w:rsid w:val="00F628B3"/>
    <w:rsid w:val="00F62902"/>
    <w:rsid w:val="00F62906"/>
    <w:rsid w:val="00F62946"/>
    <w:rsid w:val="00F629CB"/>
    <w:rsid w:val="00F629D0"/>
    <w:rsid w:val="00F62A32"/>
    <w:rsid w:val="00F62A53"/>
    <w:rsid w:val="00F62A83"/>
    <w:rsid w:val="00F62AB3"/>
    <w:rsid w:val="00F62AE2"/>
    <w:rsid w:val="00F62AF3"/>
    <w:rsid w:val="00F62AF6"/>
    <w:rsid w:val="00F62B10"/>
    <w:rsid w:val="00F62B1A"/>
    <w:rsid w:val="00F62B74"/>
    <w:rsid w:val="00F62B89"/>
    <w:rsid w:val="00F62B8B"/>
    <w:rsid w:val="00F62B99"/>
    <w:rsid w:val="00F62BD4"/>
    <w:rsid w:val="00F62BE9"/>
    <w:rsid w:val="00F62C0F"/>
    <w:rsid w:val="00F62C1B"/>
    <w:rsid w:val="00F62C22"/>
    <w:rsid w:val="00F62C42"/>
    <w:rsid w:val="00F62D57"/>
    <w:rsid w:val="00F62D5D"/>
    <w:rsid w:val="00F62D70"/>
    <w:rsid w:val="00F62DA4"/>
    <w:rsid w:val="00F62DDA"/>
    <w:rsid w:val="00F62E0A"/>
    <w:rsid w:val="00F62E12"/>
    <w:rsid w:val="00F62E19"/>
    <w:rsid w:val="00F62E7C"/>
    <w:rsid w:val="00F62E85"/>
    <w:rsid w:val="00F62E9F"/>
    <w:rsid w:val="00F62EB7"/>
    <w:rsid w:val="00F62EFB"/>
    <w:rsid w:val="00F62F07"/>
    <w:rsid w:val="00F62F08"/>
    <w:rsid w:val="00F62F16"/>
    <w:rsid w:val="00F62F29"/>
    <w:rsid w:val="00F62F43"/>
    <w:rsid w:val="00F62F6D"/>
    <w:rsid w:val="00F62FB3"/>
    <w:rsid w:val="00F63033"/>
    <w:rsid w:val="00F630A1"/>
    <w:rsid w:val="00F630BE"/>
    <w:rsid w:val="00F630E4"/>
    <w:rsid w:val="00F630EB"/>
    <w:rsid w:val="00F63185"/>
    <w:rsid w:val="00F63195"/>
    <w:rsid w:val="00F6319B"/>
    <w:rsid w:val="00F631CF"/>
    <w:rsid w:val="00F63223"/>
    <w:rsid w:val="00F63253"/>
    <w:rsid w:val="00F63275"/>
    <w:rsid w:val="00F6327C"/>
    <w:rsid w:val="00F63285"/>
    <w:rsid w:val="00F63289"/>
    <w:rsid w:val="00F632A3"/>
    <w:rsid w:val="00F632DA"/>
    <w:rsid w:val="00F63376"/>
    <w:rsid w:val="00F63381"/>
    <w:rsid w:val="00F63382"/>
    <w:rsid w:val="00F633BF"/>
    <w:rsid w:val="00F633DE"/>
    <w:rsid w:val="00F633EA"/>
    <w:rsid w:val="00F6344D"/>
    <w:rsid w:val="00F63477"/>
    <w:rsid w:val="00F6348B"/>
    <w:rsid w:val="00F634DE"/>
    <w:rsid w:val="00F634E7"/>
    <w:rsid w:val="00F63510"/>
    <w:rsid w:val="00F63550"/>
    <w:rsid w:val="00F635B1"/>
    <w:rsid w:val="00F635C3"/>
    <w:rsid w:val="00F6362C"/>
    <w:rsid w:val="00F6365A"/>
    <w:rsid w:val="00F6366D"/>
    <w:rsid w:val="00F63682"/>
    <w:rsid w:val="00F6368F"/>
    <w:rsid w:val="00F63694"/>
    <w:rsid w:val="00F636B8"/>
    <w:rsid w:val="00F636B9"/>
    <w:rsid w:val="00F636E4"/>
    <w:rsid w:val="00F636EC"/>
    <w:rsid w:val="00F63700"/>
    <w:rsid w:val="00F63768"/>
    <w:rsid w:val="00F6376C"/>
    <w:rsid w:val="00F637A5"/>
    <w:rsid w:val="00F637D8"/>
    <w:rsid w:val="00F6380B"/>
    <w:rsid w:val="00F63816"/>
    <w:rsid w:val="00F63872"/>
    <w:rsid w:val="00F63874"/>
    <w:rsid w:val="00F6388B"/>
    <w:rsid w:val="00F638C1"/>
    <w:rsid w:val="00F6391F"/>
    <w:rsid w:val="00F63928"/>
    <w:rsid w:val="00F63934"/>
    <w:rsid w:val="00F6395A"/>
    <w:rsid w:val="00F63976"/>
    <w:rsid w:val="00F63980"/>
    <w:rsid w:val="00F63988"/>
    <w:rsid w:val="00F6399C"/>
    <w:rsid w:val="00F639A4"/>
    <w:rsid w:val="00F639DC"/>
    <w:rsid w:val="00F639EA"/>
    <w:rsid w:val="00F63A23"/>
    <w:rsid w:val="00F63A87"/>
    <w:rsid w:val="00F63B05"/>
    <w:rsid w:val="00F63B20"/>
    <w:rsid w:val="00F63B2D"/>
    <w:rsid w:val="00F63B54"/>
    <w:rsid w:val="00F63B58"/>
    <w:rsid w:val="00F63B60"/>
    <w:rsid w:val="00F63B8F"/>
    <w:rsid w:val="00F63BC7"/>
    <w:rsid w:val="00F63BE4"/>
    <w:rsid w:val="00F63BE9"/>
    <w:rsid w:val="00F63C1E"/>
    <w:rsid w:val="00F63C24"/>
    <w:rsid w:val="00F63C46"/>
    <w:rsid w:val="00F63C60"/>
    <w:rsid w:val="00F63C78"/>
    <w:rsid w:val="00F63C7E"/>
    <w:rsid w:val="00F63D05"/>
    <w:rsid w:val="00F63D14"/>
    <w:rsid w:val="00F63D18"/>
    <w:rsid w:val="00F63D5F"/>
    <w:rsid w:val="00F63D92"/>
    <w:rsid w:val="00F63D93"/>
    <w:rsid w:val="00F63E26"/>
    <w:rsid w:val="00F63E8D"/>
    <w:rsid w:val="00F63E91"/>
    <w:rsid w:val="00F63EAB"/>
    <w:rsid w:val="00F63EC7"/>
    <w:rsid w:val="00F63F06"/>
    <w:rsid w:val="00F63F1B"/>
    <w:rsid w:val="00F63F67"/>
    <w:rsid w:val="00F63FA6"/>
    <w:rsid w:val="00F63FC3"/>
    <w:rsid w:val="00F63FF3"/>
    <w:rsid w:val="00F6401E"/>
    <w:rsid w:val="00F6404E"/>
    <w:rsid w:val="00F6406D"/>
    <w:rsid w:val="00F6408A"/>
    <w:rsid w:val="00F640D3"/>
    <w:rsid w:val="00F640FA"/>
    <w:rsid w:val="00F64112"/>
    <w:rsid w:val="00F6416C"/>
    <w:rsid w:val="00F641BC"/>
    <w:rsid w:val="00F641DD"/>
    <w:rsid w:val="00F641E8"/>
    <w:rsid w:val="00F6420A"/>
    <w:rsid w:val="00F6422F"/>
    <w:rsid w:val="00F6423C"/>
    <w:rsid w:val="00F6424F"/>
    <w:rsid w:val="00F6426F"/>
    <w:rsid w:val="00F64270"/>
    <w:rsid w:val="00F642EE"/>
    <w:rsid w:val="00F642F7"/>
    <w:rsid w:val="00F64306"/>
    <w:rsid w:val="00F6431E"/>
    <w:rsid w:val="00F64361"/>
    <w:rsid w:val="00F64374"/>
    <w:rsid w:val="00F643AC"/>
    <w:rsid w:val="00F643DC"/>
    <w:rsid w:val="00F643F8"/>
    <w:rsid w:val="00F64422"/>
    <w:rsid w:val="00F64436"/>
    <w:rsid w:val="00F64484"/>
    <w:rsid w:val="00F644B3"/>
    <w:rsid w:val="00F644EB"/>
    <w:rsid w:val="00F644F0"/>
    <w:rsid w:val="00F644F4"/>
    <w:rsid w:val="00F64513"/>
    <w:rsid w:val="00F64531"/>
    <w:rsid w:val="00F6456E"/>
    <w:rsid w:val="00F6458A"/>
    <w:rsid w:val="00F64603"/>
    <w:rsid w:val="00F64616"/>
    <w:rsid w:val="00F6463E"/>
    <w:rsid w:val="00F6466D"/>
    <w:rsid w:val="00F64683"/>
    <w:rsid w:val="00F646B2"/>
    <w:rsid w:val="00F646BA"/>
    <w:rsid w:val="00F646BC"/>
    <w:rsid w:val="00F646EE"/>
    <w:rsid w:val="00F64703"/>
    <w:rsid w:val="00F64733"/>
    <w:rsid w:val="00F647D8"/>
    <w:rsid w:val="00F647DC"/>
    <w:rsid w:val="00F64807"/>
    <w:rsid w:val="00F64823"/>
    <w:rsid w:val="00F64862"/>
    <w:rsid w:val="00F64888"/>
    <w:rsid w:val="00F648C2"/>
    <w:rsid w:val="00F648E5"/>
    <w:rsid w:val="00F64904"/>
    <w:rsid w:val="00F64978"/>
    <w:rsid w:val="00F6497D"/>
    <w:rsid w:val="00F64984"/>
    <w:rsid w:val="00F649DD"/>
    <w:rsid w:val="00F649F3"/>
    <w:rsid w:val="00F64A45"/>
    <w:rsid w:val="00F64A4C"/>
    <w:rsid w:val="00F64A5B"/>
    <w:rsid w:val="00F64A74"/>
    <w:rsid w:val="00F64A7F"/>
    <w:rsid w:val="00F64A80"/>
    <w:rsid w:val="00F64AA6"/>
    <w:rsid w:val="00F64AA9"/>
    <w:rsid w:val="00F64ACA"/>
    <w:rsid w:val="00F64AE6"/>
    <w:rsid w:val="00F64AF6"/>
    <w:rsid w:val="00F64B1F"/>
    <w:rsid w:val="00F64B42"/>
    <w:rsid w:val="00F64B57"/>
    <w:rsid w:val="00F64B6B"/>
    <w:rsid w:val="00F64BB5"/>
    <w:rsid w:val="00F64C0C"/>
    <w:rsid w:val="00F64C17"/>
    <w:rsid w:val="00F64C90"/>
    <w:rsid w:val="00F64C96"/>
    <w:rsid w:val="00F64CC6"/>
    <w:rsid w:val="00F64CD4"/>
    <w:rsid w:val="00F64D25"/>
    <w:rsid w:val="00F64D2A"/>
    <w:rsid w:val="00F64DA6"/>
    <w:rsid w:val="00F64DB2"/>
    <w:rsid w:val="00F64DB9"/>
    <w:rsid w:val="00F64E1C"/>
    <w:rsid w:val="00F64E41"/>
    <w:rsid w:val="00F64E48"/>
    <w:rsid w:val="00F64E5A"/>
    <w:rsid w:val="00F64E90"/>
    <w:rsid w:val="00F64E9C"/>
    <w:rsid w:val="00F64EA6"/>
    <w:rsid w:val="00F64EF0"/>
    <w:rsid w:val="00F64F13"/>
    <w:rsid w:val="00F64FEF"/>
    <w:rsid w:val="00F64FF3"/>
    <w:rsid w:val="00F6504F"/>
    <w:rsid w:val="00F65070"/>
    <w:rsid w:val="00F65094"/>
    <w:rsid w:val="00F65103"/>
    <w:rsid w:val="00F651BE"/>
    <w:rsid w:val="00F651C7"/>
    <w:rsid w:val="00F651EC"/>
    <w:rsid w:val="00F6521A"/>
    <w:rsid w:val="00F6521F"/>
    <w:rsid w:val="00F65256"/>
    <w:rsid w:val="00F65279"/>
    <w:rsid w:val="00F6527B"/>
    <w:rsid w:val="00F652F6"/>
    <w:rsid w:val="00F65320"/>
    <w:rsid w:val="00F65321"/>
    <w:rsid w:val="00F6535D"/>
    <w:rsid w:val="00F653A5"/>
    <w:rsid w:val="00F653EF"/>
    <w:rsid w:val="00F654F4"/>
    <w:rsid w:val="00F65528"/>
    <w:rsid w:val="00F65545"/>
    <w:rsid w:val="00F65586"/>
    <w:rsid w:val="00F655D0"/>
    <w:rsid w:val="00F655FD"/>
    <w:rsid w:val="00F656E0"/>
    <w:rsid w:val="00F656E6"/>
    <w:rsid w:val="00F65738"/>
    <w:rsid w:val="00F657A3"/>
    <w:rsid w:val="00F657AD"/>
    <w:rsid w:val="00F657B4"/>
    <w:rsid w:val="00F6580E"/>
    <w:rsid w:val="00F65832"/>
    <w:rsid w:val="00F65846"/>
    <w:rsid w:val="00F65859"/>
    <w:rsid w:val="00F65864"/>
    <w:rsid w:val="00F65865"/>
    <w:rsid w:val="00F65884"/>
    <w:rsid w:val="00F6589B"/>
    <w:rsid w:val="00F658AC"/>
    <w:rsid w:val="00F65914"/>
    <w:rsid w:val="00F65917"/>
    <w:rsid w:val="00F6593F"/>
    <w:rsid w:val="00F65A80"/>
    <w:rsid w:val="00F65AC3"/>
    <w:rsid w:val="00F65AF5"/>
    <w:rsid w:val="00F65AFC"/>
    <w:rsid w:val="00F65B2D"/>
    <w:rsid w:val="00F65BE4"/>
    <w:rsid w:val="00F65C0B"/>
    <w:rsid w:val="00F65C11"/>
    <w:rsid w:val="00F65C3A"/>
    <w:rsid w:val="00F65C42"/>
    <w:rsid w:val="00F65CC7"/>
    <w:rsid w:val="00F65D09"/>
    <w:rsid w:val="00F65D1A"/>
    <w:rsid w:val="00F65D22"/>
    <w:rsid w:val="00F65D35"/>
    <w:rsid w:val="00F65D7C"/>
    <w:rsid w:val="00F65D8A"/>
    <w:rsid w:val="00F65DFF"/>
    <w:rsid w:val="00F65E10"/>
    <w:rsid w:val="00F65E2B"/>
    <w:rsid w:val="00F65E32"/>
    <w:rsid w:val="00F65E79"/>
    <w:rsid w:val="00F65EB0"/>
    <w:rsid w:val="00F65EB4"/>
    <w:rsid w:val="00F65ECA"/>
    <w:rsid w:val="00F65F06"/>
    <w:rsid w:val="00F65F5D"/>
    <w:rsid w:val="00F65F70"/>
    <w:rsid w:val="00F65FF8"/>
    <w:rsid w:val="00F66042"/>
    <w:rsid w:val="00F6608B"/>
    <w:rsid w:val="00F660BF"/>
    <w:rsid w:val="00F660CF"/>
    <w:rsid w:val="00F660DD"/>
    <w:rsid w:val="00F66112"/>
    <w:rsid w:val="00F66144"/>
    <w:rsid w:val="00F66180"/>
    <w:rsid w:val="00F661B9"/>
    <w:rsid w:val="00F661DB"/>
    <w:rsid w:val="00F661FC"/>
    <w:rsid w:val="00F66203"/>
    <w:rsid w:val="00F66205"/>
    <w:rsid w:val="00F66251"/>
    <w:rsid w:val="00F6629C"/>
    <w:rsid w:val="00F662B3"/>
    <w:rsid w:val="00F662B7"/>
    <w:rsid w:val="00F662DF"/>
    <w:rsid w:val="00F662E7"/>
    <w:rsid w:val="00F662F2"/>
    <w:rsid w:val="00F66318"/>
    <w:rsid w:val="00F6631C"/>
    <w:rsid w:val="00F6632E"/>
    <w:rsid w:val="00F66333"/>
    <w:rsid w:val="00F6633D"/>
    <w:rsid w:val="00F6634B"/>
    <w:rsid w:val="00F6639B"/>
    <w:rsid w:val="00F663D5"/>
    <w:rsid w:val="00F663E9"/>
    <w:rsid w:val="00F663EE"/>
    <w:rsid w:val="00F66411"/>
    <w:rsid w:val="00F6641E"/>
    <w:rsid w:val="00F66459"/>
    <w:rsid w:val="00F6645E"/>
    <w:rsid w:val="00F66467"/>
    <w:rsid w:val="00F66482"/>
    <w:rsid w:val="00F66491"/>
    <w:rsid w:val="00F664A1"/>
    <w:rsid w:val="00F664C0"/>
    <w:rsid w:val="00F66527"/>
    <w:rsid w:val="00F66575"/>
    <w:rsid w:val="00F665DB"/>
    <w:rsid w:val="00F665E2"/>
    <w:rsid w:val="00F665F6"/>
    <w:rsid w:val="00F6661A"/>
    <w:rsid w:val="00F66682"/>
    <w:rsid w:val="00F66686"/>
    <w:rsid w:val="00F666BE"/>
    <w:rsid w:val="00F666EB"/>
    <w:rsid w:val="00F6671B"/>
    <w:rsid w:val="00F66790"/>
    <w:rsid w:val="00F667AA"/>
    <w:rsid w:val="00F667B5"/>
    <w:rsid w:val="00F66837"/>
    <w:rsid w:val="00F66841"/>
    <w:rsid w:val="00F66853"/>
    <w:rsid w:val="00F66855"/>
    <w:rsid w:val="00F668D1"/>
    <w:rsid w:val="00F668EC"/>
    <w:rsid w:val="00F66900"/>
    <w:rsid w:val="00F66947"/>
    <w:rsid w:val="00F6695D"/>
    <w:rsid w:val="00F66968"/>
    <w:rsid w:val="00F66969"/>
    <w:rsid w:val="00F6698F"/>
    <w:rsid w:val="00F66A13"/>
    <w:rsid w:val="00F66A1C"/>
    <w:rsid w:val="00F66A30"/>
    <w:rsid w:val="00F66A7B"/>
    <w:rsid w:val="00F66BE2"/>
    <w:rsid w:val="00F66BFA"/>
    <w:rsid w:val="00F66CCF"/>
    <w:rsid w:val="00F66CF7"/>
    <w:rsid w:val="00F66D30"/>
    <w:rsid w:val="00F66D8E"/>
    <w:rsid w:val="00F66DDF"/>
    <w:rsid w:val="00F66DF8"/>
    <w:rsid w:val="00F66E04"/>
    <w:rsid w:val="00F66E0A"/>
    <w:rsid w:val="00F66E0C"/>
    <w:rsid w:val="00F66E1D"/>
    <w:rsid w:val="00F66F13"/>
    <w:rsid w:val="00F66F20"/>
    <w:rsid w:val="00F66F42"/>
    <w:rsid w:val="00F66F7E"/>
    <w:rsid w:val="00F66F88"/>
    <w:rsid w:val="00F66FB6"/>
    <w:rsid w:val="00F66FF4"/>
    <w:rsid w:val="00F67000"/>
    <w:rsid w:val="00F67039"/>
    <w:rsid w:val="00F67058"/>
    <w:rsid w:val="00F6708D"/>
    <w:rsid w:val="00F670C2"/>
    <w:rsid w:val="00F670DA"/>
    <w:rsid w:val="00F670E9"/>
    <w:rsid w:val="00F670F0"/>
    <w:rsid w:val="00F67135"/>
    <w:rsid w:val="00F6714F"/>
    <w:rsid w:val="00F671D6"/>
    <w:rsid w:val="00F671DE"/>
    <w:rsid w:val="00F671FB"/>
    <w:rsid w:val="00F67215"/>
    <w:rsid w:val="00F6722B"/>
    <w:rsid w:val="00F67253"/>
    <w:rsid w:val="00F67273"/>
    <w:rsid w:val="00F672CC"/>
    <w:rsid w:val="00F672E6"/>
    <w:rsid w:val="00F67323"/>
    <w:rsid w:val="00F67356"/>
    <w:rsid w:val="00F6735A"/>
    <w:rsid w:val="00F67373"/>
    <w:rsid w:val="00F67389"/>
    <w:rsid w:val="00F6738A"/>
    <w:rsid w:val="00F673A7"/>
    <w:rsid w:val="00F673C8"/>
    <w:rsid w:val="00F673F6"/>
    <w:rsid w:val="00F67414"/>
    <w:rsid w:val="00F67418"/>
    <w:rsid w:val="00F674A5"/>
    <w:rsid w:val="00F674A6"/>
    <w:rsid w:val="00F674D5"/>
    <w:rsid w:val="00F674F5"/>
    <w:rsid w:val="00F6750A"/>
    <w:rsid w:val="00F6750F"/>
    <w:rsid w:val="00F67516"/>
    <w:rsid w:val="00F67552"/>
    <w:rsid w:val="00F67564"/>
    <w:rsid w:val="00F6756B"/>
    <w:rsid w:val="00F675DB"/>
    <w:rsid w:val="00F675E5"/>
    <w:rsid w:val="00F675EB"/>
    <w:rsid w:val="00F6761B"/>
    <w:rsid w:val="00F67654"/>
    <w:rsid w:val="00F6765E"/>
    <w:rsid w:val="00F67689"/>
    <w:rsid w:val="00F6769D"/>
    <w:rsid w:val="00F676A8"/>
    <w:rsid w:val="00F676D9"/>
    <w:rsid w:val="00F676F1"/>
    <w:rsid w:val="00F6770E"/>
    <w:rsid w:val="00F6774D"/>
    <w:rsid w:val="00F67784"/>
    <w:rsid w:val="00F677C3"/>
    <w:rsid w:val="00F677D9"/>
    <w:rsid w:val="00F677E3"/>
    <w:rsid w:val="00F67803"/>
    <w:rsid w:val="00F67823"/>
    <w:rsid w:val="00F6783A"/>
    <w:rsid w:val="00F6786F"/>
    <w:rsid w:val="00F678DB"/>
    <w:rsid w:val="00F678E5"/>
    <w:rsid w:val="00F678FB"/>
    <w:rsid w:val="00F67904"/>
    <w:rsid w:val="00F679E1"/>
    <w:rsid w:val="00F679E8"/>
    <w:rsid w:val="00F679F5"/>
    <w:rsid w:val="00F679F7"/>
    <w:rsid w:val="00F679FD"/>
    <w:rsid w:val="00F67A5E"/>
    <w:rsid w:val="00F67A8F"/>
    <w:rsid w:val="00F67ABA"/>
    <w:rsid w:val="00F67ABD"/>
    <w:rsid w:val="00F67ABE"/>
    <w:rsid w:val="00F67AC1"/>
    <w:rsid w:val="00F67B31"/>
    <w:rsid w:val="00F67B56"/>
    <w:rsid w:val="00F67B9C"/>
    <w:rsid w:val="00F67BC7"/>
    <w:rsid w:val="00F67BEE"/>
    <w:rsid w:val="00F67C30"/>
    <w:rsid w:val="00F67CA9"/>
    <w:rsid w:val="00F67CAE"/>
    <w:rsid w:val="00F67CCF"/>
    <w:rsid w:val="00F67CF1"/>
    <w:rsid w:val="00F67CFF"/>
    <w:rsid w:val="00F67D0B"/>
    <w:rsid w:val="00F67D0D"/>
    <w:rsid w:val="00F67D13"/>
    <w:rsid w:val="00F67D16"/>
    <w:rsid w:val="00F67DD2"/>
    <w:rsid w:val="00F67DE4"/>
    <w:rsid w:val="00F67DF9"/>
    <w:rsid w:val="00F67E35"/>
    <w:rsid w:val="00F67EA9"/>
    <w:rsid w:val="00F67EB6"/>
    <w:rsid w:val="00F67ED2"/>
    <w:rsid w:val="00F67EE2"/>
    <w:rsid w:val="00F67F0A"/>
    <w:rsid w:val="00F67F69"/>
    <w:rsid w:val="00F67F93"/>
    <w:rsid w:val="00F67FAC"/>
    <w:rsid w:val="00F67FE6"/>
    <w:rsid w:val="00F67FEA"/>
    <w:rsid w:val="00F70017"/>
    <w:rsid w:val="00F70042"/>
    <w:rsid w:val="00F700B2"/>
    <w:rsid w:val="00F700BC"/>
    <w:rsid w:val="00F700C6"/>
    <w:rsid w:val="00F700CC"/>
    <w:rsid w:val="00F70107"/>
    <w:rsid w:val="00F70165"/>
    <w:rsid w:val="00F701A4"/>
    <w:rsid w:val="00F701B1"/>
    <w:rsid w:val="00F701C0"/>
    <w:rsid w:val="00F7021A"/>
    <w:rsid w:val="00F7025A"/>
    <w:rsid w:val="00F70282"/>
    <w:rsid w:val="00F7028B"/>
    <w:rsid w:val="00F702AE"/>
    <w:rsid w:val="00F70354"/>
    <w:rsid w:val="00F70364"/>
    <w:rsid w:val="00F703B2"/>
    <w:rsid w:val="00F70430"/>
    <w:rsid w:val="00F70441"/>
    <w:rsid w:val="00F70446"/>
    <w:rsid w:val="00F7046E"/>
    <w:rsid w:val="00F704C1"/>
    <w:rsid w:val="00F704E4"/>
    <w:rsid w:val="00F704EA"/>
    <w:rsid w:val="00F704FB"/>
    <w:rsid w:val="00F704FC"/>
    <w:rsid w:val="00F70508"/>
    <w:rsid w:val="00F7051C"/>
    <w:rsid w:val="00F70528"/>
    <w:rsid w:val="00F7054D"/>
    <w:rsid w:val="00F7055F"/>
    <w:rsid w:val="00F70564"/>
    <w:rsid w:val="00F70571"/>
    <w:rsid w:val="00F705B6"/>
    <w:rsid w:val="00F705C0"/>
    <w:rsid w:val="00F70671"/>
    <w:rsid w:val="00F706C0"/>
    <w:rsid w:val="00F706C3"/>
    <w:rsid w:val="00F706C7"/>
    <w:rsid w:val="00F706CB"/>
    <w:rsid w:val="00F7079C"/>
    <w:rsid w:val="00F7088D"/>
    <w:rsid w:val="00F708AB"/>
    <w:rsid w:val="00F708B6"/>
    <w:rsid w:val="00F708D2"/>
    <w:rsid w:val="00F708EE"/>
    <w:rsid w:val="00F70904"/>
    <w:rsid w:val="00F70986"/>
    <w:rsid w:val="00F70A02"/>
    <w:rsid w:val="00F70A32"/>
    <w:rsid w:val="00F70A4B"/>
    <w:rsid w:val="00F70A6B"/>
    <w:rsid w:val="00F70A7D"/>
    <w:rsid w:val="00F70ABD"/>
    <w:rsid w:val="00F70ACE"/>
    <w:rsid w:val="00F70B5D"/>
    <w:rsid w:val="00F70BA0"/>
    <w:rsid w:val="00F70BBB"/>
    <w:rsid w:val="00F70BFA"/>
    <w:rsid w:val="00F70C3F"/>
    <w:rsid w:val="00F70C4B"/>
    <w:rsid w:val="00F70C6E"/>
    <w:rsid w:val="00F70CEC"/>
    <w:rsid w:val="00F70D16"/>
    <w:rsid w:val="00F70D17"/>
    <w:rsid w:val="00F70D39"/>
    <w:rsid w:val="00F70D77"/>
    <w:rsid w:val="00F70D8F"/>
    <w:rsid w:val="00F70DA1"/>
    <w:rsid w:val="00F70DBD"/>
    <w:rsid w:val="00F70E09"/>
    <w:rsid w:val="00F70E10"/>
    <w:rsid w:val="00F70E35"/>
    <w:rsid w:val="00F70E75"/>
    <w:rsid w:val="00F70F2A"/>
    <w:rsid w:val="00F70F6B"/>
    <w:rsid w:val="00F70F85"/>
    <w:rsid w:val="00F70FD5"/>
    <w:rsid w:val="00F71001"/>
    <w:rsid w:val="00F71020"/>
    <w:rsid w:val="00F7102F"/>
    <w:rsid w:val="00F71084"/>
    <w:rsid w:val="00F7108B"/>
    <w:rsid w:val="00F710DC"/>
    <w:rsid w:val="00F7112D"/>
    <w:rsid w:val="00F7116C"/>
    <w:rsid w:val="00F71186"/>
    <w:rsid w:val="00F711AF"/>
    <w:rsid w:val="00F7125C"/>
    <w:rsid w:val="00F71264"/>
    <w:rsid w:val="00F7127C"/>
    <w:rsid w:val="00F71283"/>
    <w:rsid w:val="00F712AD"/>
    <w:rsid w:val="00F712BE"/>
    <w:rsid w:val="00F712C4"/>
    <w:rsid w:val="00F712D8"/>
    <w:rsid w:val="00F71322"/>
    <w:rsid w:val="00F7132C"/>
    <w:rsid w:val="00F71334"/>
    <w:rsid w:val="00F71337"/>
    <w:rsid w:val="00F7133C"/>
    <w:rsid w:val="00F7137A"/>
    <w:rsid w:val="00F7139E"/>
    <w:rsid w:val="00F713C8"/>
    <w:rsid w:val="00F713CB"/>
    <w:rsid w:val="00F71410"/>
    <w:rsid w:val="00F7141E"/>
    <w:rsid w:val="00F714A3"/>
    <w:rsid w:val="00F714B3"/>
    <w:rsid w:val="00F714B6"/>
    <w:rsid w:val="00F714C2"/>
    <w:rsid w:val="00F714D0"/>
    <w:rsid w:val="00F7151C"/>
    <w:rsid w:val="00F715C3"/>
    <w:rsid w:val="00F715E8"/>
    <w:rsid w:val="00F71629"/>
    <w:rsid w:val="00F71633"/>
    <w:rsid w:val="00F71649"/>
    <w:rsid w:val="00F71698"/>
    <w:rsid w:val="00F716CE"/>
    <w:rsid w:val="00F7170B"/>
    <w:rsid w:val="00F71723"/>
    <w:rsid w:val="00F7172D"/>
    <w:rsid w:val="00F7176E"/>
    <w:rsid w:val="00F71788"/>
    <w:rsid w:val="00F717B0"/>
    <w:rsid w:val="00F717EB"/>
    <w:rsid w:val="00F7185F"/>
    <w:rsid w:val="00F718BD"/>
    <w:rsid w:val="00F71902"/>
    <w:rsid w:val="00F7191A"/>
    <w:rsid w:val="00F71949"/>
    <w:rsid w:val="00F71967"/>
    <w:rsid w:val="00F7196E"/>
    <w:rsid w:val="00F7197F"/>
    <w:rsid w:val="00F719C3"/>
    <w:rsid w:val="00F71A08"/>
    <w:rsid w:val="00F71A09"/>
    <w:rsid w:val="00F71A87"/>
    <w:rsid w:val="00F71AA3"/>
    <w:rsid w:val="00F71AB0"/>
    <w:rsid w:val="00F71AC2"/>
    <w:rsid w:val="00F71B2E"/>
    <w:rsid w:val="00F71B41"/>
    <w:rsid w:val="00F71B62"/>
    <w:rsid w:val="00F71C0B"/>
    <w:rsid w:val="00F71C3B"/>
    <w:rsid w:val="00F71C6E"/>
    <w:rsid w:val="00F71C7B"/>
    <w:rsid w:val="00F71D9C"/>
    <w:rsid w:val="00F71DC1"/>
    <w:rsid w:val="00F71DF8"/>
    <w:rsid w:val="00F71E17"/>
    <w:rsid w:val="00F71E1B"/>
    <w:rsid w:val="00F71E37"/>
    <w:rsid w:val="00F71E7C"/>
    <w:rsid w:val="00F71E8F"/>
    <w:rsid w:val="00F71E9D"/>
    <w:rsid w:val="00F71EB5"/>
    <w:rsid w:val="00F71EBF"/>
    <w:rsid w:val="00F71EED"/>
    <w:rsid w:val="00F71F8C"/>
    <w:rsid w:val="00F71F9D"/>
    <w:rsid w:val="00F71FD7"/>
    <w:rsid w:val="00F71FEE"/>
    <w:rsid w:val="00F7204D"/>
    <w:rsid w:val="00F72055"/>
    <w:rsid w:val="00F7210D"/>
    <w:rsid w:val="00F7210F"/>
    <w:rsid w:val="00F72157"/>
    <w:rsid w:val="00F7218E"/>
    <w:rsid w:val="00F7219D"/>
    <w:rsid w:val="00F721B3"/>
    <w:rsid w:val="00F721BD"/>
    <w:rsid w:val="00F721C7"/>
    <w:rsid w:val="00F721FA"/>
    <w:rsid w:val="00F7220B"/>
    <w:rsid w:val="00F7220C"/>
    <w:rsid w:val="00F72277"/>
    <w:rsid w:val="00F72288"/>
    <w:rsid w:val="00F72293"/>
    <w:rsid w:val="00F722D1"/>
    <w:rsid w:val="00F722D9"/>
    <w:rsid w:val="00F722E4"/>
    <w:rsid w:val="00F722F7"/>
    <w:rsid w:val="00F7232A"/>
    <w:rsid w:val="00F72346"/>
    <w:rsid w:val="00F723E6"/>
    <w:rsid w:val="00F723EC"/>
    <w:rsid w:val="00F723EF"/>
    <w:rsid w:val="00F72402"/>
    <w:rsid w:val="00F7246D"/>
    <w:rsid w:val="00F72490"/>
    <w:rsid w:val="00F724B1"/>
    <w:rsid w:val="00F7250D"/>
    <w:rsid w:val="00F72554"/>
    <w:rsid w:val="00F7259B"/>
    <w:rsid w:val="00F725B9"/>
    <w:rsid w:val="00F725C2"/>
    <w:rsid w:val="00F725C4"/>
    <w:rsid w:val="00F725C7"/>
    <w:rsid w:val="00F7260A"/>
    <w:rsid w:val="00F7260C"/>
    <w:rsid w:val="00F7262D"/>
    <w:rsid w:val="00F72653"/>
    <w:rsid w:val="00F72679"/>
    <w:rsid w:val="00F726BA"/>
    <w:rsid w:val="00F7274A"/>
    <w:rsid w:val="00F7274F"/>
    <w:rsid w:val="00F72759"/>
    <w:rsid w:val="00F72776"/>
    <w:rsid w:val="00F7277A"/>
    <w:rsid w:val="00F727BB"/>
    <w:rsid w:val="00F727C7"/>
    <w:rsid w:val="00F727FD"/>
    <w:rsid w:val="00F7286B"/>
    <w:rsid w:val="00F728AB"/>
    <w:rsid w:val="00F72906"/>
    <w:rsid w:val="00F7290B"/>
    <w:rsid w:val="00F72918"/>
    <w:rsid w:val="00F729C2"/>
    <w:rsid w:val="00F72A32"/>
    <w:rsid w:val="00F72ABD"/>
    <w:rsid w:val="00F72AC5"/>
    <w:rsid w:val="00F72AF5"/>
    <w:rsid w:val="00F72B06"/>
    <w:rsid w:val="00F72B15"/>
    <w:rsid w:val="00F72B58"/>
    <w:rsid w:val="00F72B99"/>
    <w:rsid w:val="00F72B9E"/>
    <w:rsid w:val="00F72BBF"/>
    <w:rsid w:val="00F72BDC"/>
    <w:rsid w:val="00F72C35"/>
    <w:rsid w:val="00F72C60"/>
    <w:rsid w:val="00F72CAE"/>
    <w:rsid w:val="00F72CD2"/>
    <w:rsid w:val="00F72D18"/>
    <w:rsid w:val="00F72D22"/>
    <w:rsid w:val="00F72DBC"/>
    <w:rsid w:val="00F72DC7"/>
    <w:rsid w:val="00F72DCD"/>
    <w:rsid w:val="00F72E0A"/>
    <w:rsid w:val="00F72E85"/>
    <w:rsid w:val="00F72EBD"/>
    <w:rsid w:val="00F72ED7"/>
    <w:rsid w:val="00F72EE6"/>
    <w:rsid w:val="00F72F2B"/>
    <w:rsid w:val="00F72F65"/>
    <w:rsid w:val="00F72F66"/>
    <w:rsid w:val="00F73011"/>
    <w:rsid w:val="00F7305E"/>
    <w:rsid w:val="00F7306B"/>
    <w:rsid w:val="00F730E2"/>
    <w:rsid w:val="00F730F0"/>
    <w:rsid w:val="00F730FE"/>
    <w:rsid w:val="00F7312B"/>
    <w:rsid w:val="00F73134"/>
    <w:rsid w:val="00F731AF"/>
    <w:rsid w:val="00F731B3"/>
    <w:rsid w:val="00F731B7"/>
    <w:rsid w:val="00F731C5"/>
    <w:rsid w:val="00F731F4"/>
    <w:rsid w:val="00F73214"/>
    <w:rsid w:val="00F7322F"/>
    <w:rsid w:val="00F73256"/>
    <w:rsid w:val="00F7326D"/>
    <w:rsid w:val="00F73308"/>
    <w:rsid w:val="00F73328"/>
    <w:rsid w:val="00F73342"/>
    <w:rsid w:val="00F7336A"/>
    <w:rsid w:val="00F73375"/>
    <w:rsid w:val="00F7338E"/>
    <w:rsid w:val="00F7339A"/>
    <w:rsid w:val="00F7342C"/>
    <w:rsid w:val="00F73454"/>
    <w:rsid w:val="00F7348F"/>
    <w:rsid w:val="00F734B3"/>
    <w:rsid w:val="00F734DC"/>
    <w:rsid w:val="00F7350C"/>
    <w:rsid w:val="00F7352A"/>
    <w:rsid w:val="00F7356E"/>
    <w:rsid w:val="00F735AA"/>
    <w:rsid w:val="00F735D1"/>
    <w:rsid w:val="00F735DC"/>
    <w:rsid w:val="00F73618"/>
    <w:rsid w:val="00F7361B"/>
    <w:rsid w:val="00F7363F"/>
    <w:rsid w:val="00F73646"/>
    <w:rsid w:val="00F7364B"/>
    <w:rsid w:val="00F73661"/>
    <w:rsid w:val="00F73679"/>
    <w:rsid w:val="00F73685"/>
    <w:rsid w:val="00F736AB"/>
    <w:rsid w:val="00F736B3"/>
    <w:rsid w:val="00F736C0"/>
    <w:rsid w:val="00F73716"/>
    <w:rsid w:val="00F7372C"/>
    <w:rsid w:val="00F73756"/>
    <w:rsid w:val="00F737CC"/>
    <w:rsid w:val="00F7386C"/>
    <w:rsid w:val="00F738EB"/>
    <w:rsid w:val="00F73951"/>
    <w:rsid w:val="00F73968"/>
    <w:rsid w:val="00F73996"/>
    <w:rsid w:val="00F739A7"/>
    <w:rsid w:val="00F739AC"/>
    <w:rsid w:val="00F739BA"/>
    <w:rsid w:val="00F739EB"/>
    <w:rsid w:val="00F739FD"/>
    <w:rsid w:val="00F73A12"/>
    <w:rsid w:val="00F73A13"/>
    <w:rsid w:val="00F73A5C"/>
    <w:rsid w:val="00F73A67"/>
    <w:rsid w:val="00F73A86"/>
    <w:rsid w:val="00F73A8E"/>
    <w:rsid w:val="00F73AAE"/>
    <w:rsid w:val="00F73AC3"/>
    <w:rsid w:val="00F73AE2"/>
    <w:rsid w:val="00F73AE3"/>
    <w:rsid w:val="00F73B02"/>
    <w:rsid w:val="00F73B6C"/>
    <w:rsid w:val="00F73B91"/>
    <w:rsid w:val="00F73B97"/>
    <w:rsid w:val="00F73BA3"/>
    <w:rsid w:val="00F73BF6"/>
    <w:rsid w:val="00F73BFA"/>
    <w:rsid w:val="00F73C69"/>
    <w:rsid w:val="00F73C9D"/>
    <w:rsid w:val="00F73CD9"/>
    <w:rsid w:val="00F73CE4"/>
    <w:rsid w:val="00F73D14"/>
    <w:rsid w:val="00F73D2A"/>
    <w:rsid w:val="00F73D34"/>
    <w:rsid w:val="00F73D41"/>
    <w:rsid w:val="00F73DB1"/>
    <w:rsid w:val="00F73DC6"/>
    <w:rsid w:val="00F73E03"/>
    <w:rsid w:val="00F73E06"/>
    <w:rsid w:val="00F73E42"/>
    <w:rsid w:val="00F73E7F"/>
    <w:rsid w:val="00F73ED0"/>
    <w:rsid w:val="00F73F0E"/>
    <w:rsid w:val="00F73F28"/>
    <w:rsid w:val="00F73F33"/>
    <w:rsid w:val="00F73F37"/>
    <w:rsid w:val="00F73FED"/>
    <w:rsid w:val="00F7401C"/>
    <w:rsid w:val="00F74060"/>
    <w:rsid w:val="00F740A4"/>
    <w:rsid w:val="00F740E3"/>
    <w:rsid w:val="00F7415A"/>
    <w:rsid w:val="00F7417D"/>
    <w:rsid w:val="00F74187"/>
    <w:rsid w:val="00F741B1"/>
    <w:rsid w:val="00F741BC"/>
    <w:rsid w:val="00F741D8"/>
    <w:rsid w:val="00F741F7"/>
    <w:rsid w:val="00F74200"/>
    <w:rsid w:val="00F7423B"/>
    <w:rsid w:val="00F742A9"/>
    <w:rsid w:val="00F742E2"/>
    <w:rsid w:val="00F742FB"/>
    <w:rsid w:val="00F74315"/>
    <w:rsid w:val="00F743B4"/>
    <w:rsid w:val="00F743D9"/>
    <w:rsid w:val="00F74434"/>
    <w:rsid w:val="00F74453"/>
    <w:rsid w:val="00F74481"/>
    <w:rsid w:val="00F744AB"/>
    <w:rsid w:val="00F744C3"/>
    <w:rsid w:val="00F74551"/>
    <w:rsid w:val="00F74556"/>
    <w:rsid w:val="00F745BB"/>
    <w:rsid w:val="00F74645"/>
    <w:rsid w:val="00F7469A"/>
    <w:rsid w:val="00F74741"/>
    <w:rsid w:val="00F74750"/>
    <w:rsid w:val="00F74761"/>
    <w:rsid w:val="00F74781"/>
    <w:rsid w:val="00F747D8"/>
    <w:rsid w:val="00F748F3"/>
    <w:rsid w:val="00F7490D"/>
    <w:rsid w:val="00F7490F"/>
    <w:rsid w:val="00F74912"/>
    <w:rsid w:val="00F7492A"/>
    <w:rsid w:val="00F74954"/>
    <w:rsid w:val="00F7496D"/>
    <w:rsid w:val="00F74976"/>
    <w:rsid w:val="00F7497A"/>
    <w:rsid w:val="00F74980"/>
    <w:rsid w:val="00F749C5"/>
    <w:rsid w:val="00F749C6"/>
    <w:rsid w:val="00F749F8"/>
    <w:rsid w:val="00F749FA"/>
    <w:rsid w:val="00F74A0A"/>
    <w:rsid w:val="00F74A0F"/>
    <w:rsid w:val="00F74A27"/>
    <w:rsid w:val="00F74A91"/>
    <w:rsid w:val="00F74A9E"/>
    <w:rsid w:val="00F74AA1"/>
    <w:rsid w:val="00F74AAA"/>
    <w:rsid w:val="00F74AEA"/>
    <w:rsid w:val="00F74B98"/>
    <w:rsid w:val="00F74BD2"/>
    <w:rsid w:val="00F74BFC"/>
    <w:rsid w:val="00F74C27"/>
    <w:rsid w:val="00F74C6A"/>
    <w:rsid w:val="00F74D05"/>
    <w:rsid w:val="00F74D0F"/>
    <w:rsid w:val="00F74D4F"/>
    <w:rsid w:val="00F74D57"/>
    <w:rsid w:val="00F74D67"/>
    <w:rsid w:val="00F74D69"/>
    <w:rsid w:val="00F74D77"/>
    <w:rsid w:val="00F74D78"/>
    <w:rsid w:val="00F74D9E"/>
    <w:rsid w:val="00F74DDB"/>
    <w:rsid w:val="00F74E2E"/>
    <w:rsid w:val="00F74E3A"/>
    <w:rsid w:val="00F74E9D"/>
    <w:rsid w:val="00F74EC0"/>
    <w:rsid w:val="00F74EC9"/>
    <w:rsid w:val="00F74EEB"/>
    <w:rsid w:val="00F74EF3"/>
    <w:rsid w:val="00F74F10"/>
    <w:rsid w:val="00F74F29"/>
    <w:rsid w:val="00F74FB3"/>
    <w:rsid w:val="00F74FD5"/>
    <w:rsid w:val="00F75018"/>
    <w:rsid w:val="00F75031"/>
    <w:rsid w:val="00F7507D"/>
    <w:rsid w:val="00F7511D"/>
    <w:rsid w:val="00F75120"/>
    <w:rsid w:val="00F75144"/>
    <w:rsid w:val="00F751BD"/>
    <w:rsid w:val="00F751DE"/>
    <w:rsid w:val="00F751E2"/>
    <w:rsid w:val="00F75230"/>
    <w:rsid w:val="00F7524F"/>
    <w:rsid w:val="00F75251"/>
    <w:rsid w:val="00F75253"/>
    <w:rsid w:val="00F752C2"/>
    <w:rsid w:val="00F752D6"/>
    <w:rsid w:val="00F752D7"/>
    <w:rsid w:val="00F7535F"/>
    <w:rsid w:val="00F75367"/>
    <w:rsid w:val="00F753CA"/>
    <w:rsid w:val="00F7544A"/>
    <w:rsid w:val="00F7549B"/>
    <w:rsid w:val="00F754B6"/>
    <w:rsid w:val="00F754D2"/>
    <w:rsid w:val="00F75543"/>
    <w:rsid w:val="00F75581"/>
    <w:rsid w:val="00F7558E"/>
    <w:rsid w:val="00F7559E"/>
    <w:rsid w:val="00F755B5"/>
    <w:rsid w:val="00F755C1"/>
    <w:rsid w:val="00F755DF"/>
    <w:rsid w:val="00F755E9"/>
    <w:rsid w:val="00F755F0"/>
    <w:rsid w:val="00F7562E"/>
    <w:rsid w:val="00F75630"/>
    <w:rsid w:val="00F75649"/>
    <w:rsid w:val="00F75684"/>
    <w:rsid w:val="00F756BD"/>
    <w:rsid w:val="00F756DD"/>
    <w:rsid w:val="00F756FD"/>
    <w:rsid w:val="00F75723"/>
    <w:rsid w:val="00F7572E"/>
    <w:rsid w:val="00F7574A"/>
    <w:rsid w:val="00F75775"/>
    <w:rsid w:val="00F75790"/>
    <w:rsid w:val="00F757C8"/>
    <w:rsid w:val="00F75846"/>
    <w:rsid w:val="00F7587B"/>
    <w:rsid w:val="00F7587F"/>
    <w:rsid w:val="00F75885"/>
    <w:rsid w:val="00F75895"/>
    <w:rsid w:val="00F758B1"/>
    <w:rsid w:val="00F758BA"/>
    <w:rsid w:val="00F758C2"/>
    <w:rsid w:val="00F758C4"/>
    <w:rsid w:val="00F758CC"/>
    <w:rsid w:val="00F758E7"/>
    <w:rsid w:val="00F75929"/>
    <w:rsid w:val="00F7593A"/>
    <w:rsid w:val="00F75999"/>
    <w:rsid w:val="00F759F3"/>
    <w:rsid w:val="00F759FB"/>
    <w:rsid w:val="00F75A33"/>
    <w:rsid w:val="00F75A44"/>
    <w:rsid w:val="00F75A55"/>
    <w:rsid w:val="00F75A7F"/>
    <w:rsid w:val="00F75AB0"/>
    <w:rsid w:val="00F75AB1"/>
    <w:rsid w:val="00F75AC3"/>
    <w:rsid w:val="00F75AD3"/>
    <w:rsid w:val="00F75AD7"/>
    <w:rsid w:val="00F75BBE"/>
    <w:rsid w:val="00F75BDB"/>
    <w:rsid w:val="00F75C5E"/>
    <w:rsid w:val="00F75CE9"/>
    <w:rsid w:val="00F75D00"/>
    <w:rsid w:val="00F75D11"/>
    <w:rsid w:val="00F75D49"/>
    <w:rsid w:val="00F75D6A"/>
    <w:rsid w:val="00F75E3A"/>
    <w:rsid w:val="00F75E3C"/>
    <w:rsid w:val="00F75E5A"/>
    <w:rsid w:val="00F75E79"/>
    <w:rsid w:val="00F75EF0"/>
    <w:rsid w:val="00F75F1D"/>
    <w:rsid w:val="00F75F27"/>
    <w:rsid w:val="00F75F2F"/>
    <w:rsid w:val="00F75F83"/>
    <w:rsid w:val="00F75FCF"/>
    <w:rsid w:val="00F7600C"/>
    <w:rsid w:val="00F7601B"/>
    <w:rsid w:val="00F76072"/>
    <w:rsid w:val="00F76087"/>
    <w:rsid w:val="00F7608C"/>
    <w:rsid w:val="00F760BB"/>
    <w:rsid w:val="00F760BE"/>
    <w:rsid w:val="00F760C4"/>
    <w:rsid w:val="00F760E0"/>
    <w:rsid w:val="00F76145"/>
    <w:rsid w:val="00F7614D"/>
    <w:rsid w:val="00F76209"/>
    <w:rsid w:val="00F762A5"/>
    <w:rsid w:val="00F7636C"/>
    <w:rsid w:val="00F7640A"/>
    <w:rsid w:val="00F7641E"/>
    <w:rsid w:val="00F7642C"/>
    <w:rsid w:val="00F76436"/>
    <w:rsid w:val="00F7648F"/>
    <w:rsid w:val="00F764FD"/>
    <w:rsid w:val="00F764FF"/>
    <w:rsid w:val="00F76570"/>
    <w:rsid w:val="00F7658E"/>
    <w:rsid w:val="00F76591"/>
    <w:rsid w:val="00F765A0"/>
    <w:rsid w:val="00F765D7"/>
    <w:rsid w:val="00F765DF"/>
    <w:rsid w:val="00F765F6"/>
    <w:rsid w:val="00F76672"/>
    <w:rsid w:val="00F766CA"/>
    <w:rsid w:val="00F766D8"/>
    <w:rsid w:val="00F766F6"/>
    <w:rsid w:val="00F76757"/>
    <w:rsid w:val="00F76784"/>
    <w:rsid w:val="00F7678F"/>
    <w:rsid w:val="00F767BB"/>
    <w:rsid w:val="00F767C5"/>
    <w:rsid w:val="00F76826"/>
    <w:rsid w:val="00F76879"/>
    <w:rsid w:val="00F768B2"/>
    <w:rsid w:val="00F768C7"/>
    <w:rsid w:val="00F76904"/>
    <w:rsid w:val="00F76910"/>
    <w:rsid w:val="00F76929"/>
    <w:rsid w:val="00F76937"/>
    <w:rsid w:val="00F76953"/>
    <w:rsid w:val="00F769A3"/>
    <w:rsid w:val="00F76AD9"/>
    <w:rsid w:val="00F76AE4"/>
    <w:rsid w:val="00F76B9D"/>
    <w:rsid w:val="00F76B9E"/>
    <w:rsid w:val="00F76BAA"/>
    <w:rsid w:val="00F76BAD"/>
    <w:rsid w:val="00F76BC9"/>
    <w:rsid w:val="00F76C1D"/>
    <w:rsid w:val="00F76C5A"/>
    <w:rsid w:val="00F76C78"/>
    <w:rsid w:val="00F76C88"/>
    <w:rsid w:val="00F76C9E"/>
    <w:rsid w:val="00F76DCD"/>
    <w:rsid w:val="00F76E02"/>
    <w:rsid w:val="00F76E42"/>
    <w:rsid w:val="00F76E4B"/>
    <w:rsid w:val="00F76E4C"/>
    <w:rsid w:val="00F76E82"/>
    <w:rsid w:val="00F76E9F"/>
    <w:rsid w:val="00F76EA2"/>
    <w:rsid w:val="00F76EB4"/>
    <w:rsid w:val="00F76EDA"/>
    <w:rsid w:val="00F76F1B"/>
    <w:rsid w:val="00F76F71"/>
    <w:rsid w:val="00F76F80"/>
    <w:rsid w:val="00F77054"/>
    <w:rsid w:val="00F7706E"/>
    <w:rsid w:val="00F7707D"/>
    <w:rsid w:val="00F7709A"/>
    <w:rsid w:val="00F770B1"/>
    <w:rsid w:val="00F770CE"/>
    <w:rsid w:val="00F770DF"/>
    <w:rsid w:val="00F77103"/>
    <w:rsid w:val="00F77134"/>
    <w:rsid w:val="00F77136"/>
    <w:rsid w:val="00F7714A"/>
    <w:rsid w:val="00F77186"/>
    <w:rsid w:val="00F7718D"/>
    <w:rsid w:val="00F771A5"/>
    <w:rsid w:val="00F771BE"/>
    <w:rsid w:val="00F771DC"/>
    <w:rsid w:val="00F7725A"/>
    <w:rsid w:val="00F7725C"/>
    <w:rsid w:val="00F77298"/>
    <w:rsid w:val="00F772A1"/>
    <w:rsid w:val="00F772C9"/>
    <w:rsid w:val="00F772DB"/>
    <w:rsid w:val="00F772F2"/>
    <w:rsid w:val="00F77325"/>
    <w:rsid w:val="00F7735E"/>
    <w:rsid w:val="00F77393"/>
    <w:rsid w:val="00F7745C"/>
    <w:rsid w:val="00F7747D"/>
    <w:rsid w:val="00F77497"/>
    <w:rsid w:val="00F774B9"/>
    <w:rsid w:val="00F77567"/>
    <w:rsid w:val="00F775B9"/>
    <w:rsid w:val="00F775FF"/>
    <w:rsid w:val="00F77608"/>
    <w:rsid w:val="00F776A6"/>
    <w:rsid w:val="00F776C7"/>
    <w:rsid w:val="00F776DC"/>
    <w:rsid w:val="00F776E2"/>
    <w:rsid w:val="00F776E4"/>
    <w:rsid w:val="00F776FA"/>
    <w:rsid w:val="00F77746"/>
    <w:rsid w:val="00F77788"/>
    <w:rsid w:val="00F777AF"/>
    <w:rsid w:val="00F777DB"/>
    <w:rsid w:val="00F77845"/>
    <w:rsid w:val="00F77862"/>
    <w:rsid w:val="00F7788E"/>
    <w:rsid w:val="00F778DD"/>
    <w:rsid w:val="00F77948"/>
    <w:rsid w:val="00F77954"/>
    <w:rsid w:val="00F77955"/>
    <w:rsid w:val="00F77958"/>
    <w:rsid w:val="00F77978"/>
    <w:rsid w:val="00F77986"/>
    <w:rsid w:val="00F7798A"/>
    <w:rsid w:val="00F779B3"/>
    <w:rsid w:val="00F779DF"/>
    <w:rsid w:val="00F779F4"/>
    <w:rsid w:val="00F77A44"/>
    <w:rsid w:val="00F77A50"/>
    <w:rsid w:val="00F77A62"/>
    <w:rsid w:val="00F77A6C"/>
    <w:rsid w:val="00F77A70"/>
    <w:rsid w:val="00F77AA4"/>
    <w:rsid w:val="00F77AAE"/>
    <w:rsid w:val="00F77ACA"/>
    <w:rsid w:val="00F77AE3"/>
    <w:rsid w:val="00F77AE5"/>
    <w:rsid w:val="00F77B00"/>
    <w:rsid w:val="00F77B10"/>
    <w:rsid w:val="00F77BC2"/>
    <w:rsid w:val="00F77C71"/>
    <w:rsid w:val="00F77C8A"/>
    <w:rsid w:val="00F77CA9"/>
    <w:rsid w:val="00F77CC6"/>
    <w:rsid w:val="00F77D45"/>
    <w:rsid w:val="00F77D6C"/>
    <w:rsid w:val="00F77D6E"/>
    <w:rsid w:val="00F77D89"/>
    <w:rsid w:val="00F77DA8"/>
    <w:rsid w:val="00F77DDB"/>
    <w:rsid w:val="00F77E23"/>
    <w:rsid w:val="00F77E29"/>
    <w:rsid w:val="00F77E5F"/>
    <w:rsid w:val="00F77E6C"/>
    <w:rsid w:val="00F77E7F"/>
    <w:rsid w:val="00F77E8C"/>
    <w:rsid w:val="00F77EA6"/>
    <w:rsid w:val="00F77EAC"/>
    <w:rsid w:val="00F77EB7"/>
    <w:rsid w:val="00F77FA8"/>
    <w:rsid w:val="00F77FAA"/>
    <w:rsid w:val="00F77FC3"/>
    <w:rsid w:val="00F8000C"/>
    <w:rsid w:val="00F80045"/>
    <w:rsid w:val="00F8005C"/>
    <w:rsid w:val="00F800B2"/>
    <w:rsid w:val="00F8014D"/>
    <w:rsid w:val="00F801AD"/>
    <w:rsid w:val="00F801DC"/>
    <w:rsid w:val="00F801EF"/>
    <w:rsid w:val="00F8025C"/>
    <w:rsid w:val="00F80263"/>
    <w:rsid w:val="00F80271"/>
    <w:rsid w:val="00F802BA"/>
    <w:rsid w:val="00F802CB"/>
    <w:rsid w:val="00F802D1"/>
    <w:rsid w:val="00F802FC"/>
    <w:rsid w:val="00F802FF"/>
    <w:rsid w:val="00F8032A"/>
    <w:rsid w:val="00F80348"/>
    <w:rsid w:val="00F80362"/>
    <w:rsid w:val="00F803CA"/>
    <w:rsid w:val="00F80439"/>
    <w:rsid w:val="00F804DC"/>
    <w:rsid w:val="00F804E4"/>
    <w:rsid w:val="00F80524"/>
    <w:rsid w:val="00F80550"/>
    <w:rsid w:val="00F80564"/>
    <w:rsid w:val="00F80570"/>
    <w:rsid w:val="00F805D1"/>
    <w:rsid w:val="00F80614"/>
    <w:rsid w:val="00F8061F"/>
    <w:rsid w:val="00F80621"/>
    <w:rsid w:val="00F80652"/>
    <w:rsid w:val="00F8067A"/>
    <w:rsid w:val="00F8068D"/>
    <w:rsid w:val="00F806B6"/>
    <w:rsid w:val="00F8070B"/>
    <w:rsid w:val="00F8072F"/>
    <w:rsid w:val="00F80737"/>
    <w:rsid w:val="00F80759"/>
    <w:rsid w:val="00F8077B"/>
    <w:rsid w:val="00F80795"/>
    <w:rsid w:val="00F807A5"/>
    <w:rsid w:val="00F8083F"/>
    <w:rsid w:val="00F80855"/>
    <w:rsid w:val="00F808A6"/>
    <w:rsid w:val="00F8091D"/>
    <w:rsid w:val="00F80931"/>
    <w:rsid w:val="00F8098B"/>
    <w:rsid w:val="00F80995"/>
    <w:rsid w:val="00F809B5"/>
    <w:rsid w:val="00F809FE"/>
    <w:rsid w:val="00F80A4B"/>
    <w:rsid w:val="00F80A53"/>
    <w:rsid w:val="00F80AA8"/>
    <w:rsid w:val="00F80ACC"/>
    <w:rsid w:val="00F80ADD"/>
    <w:rsid w:val="00F80B09"/>
    <w:rsid w:val="00F80B38"/>
    <w:rsid w:val="00F80C05"/>
    <w:rsid w:val="00F80C0B"/>
    <w:rsid w:val="00F80C28"/>
    <w:rsid w:val="00F80C42"/>
    <w:rsid w:val="00F80C4F"/>
    <w:rsid w:val="00F80CCC"/>
    <w:rsid w:val="00F80CD0"/>
    <w:rsid w:val="00F80CDA"/>
    <w:rsid w:val="00F80CE6"/>
    <w:rsid w:val="00F80CEE"/>
    <w:rsid w:val="00F80D89"/>
    <w:rsid w:val="00F80DB8"/>
    <w:rsid w:val="00F80DC7"/>
    <w:rsid w:val="00F80DDF"/>
    <w:rsid w:val="00F80E0C"/>
    <w:rsid w:val="00F80E1E"/>
    <w:rsid w:val="00F80E3D"/>
    <w:rsid w:val="00F80E4E"/>
    <w:rsid w:val="00F80E6E"/>
    <w:rsid w:val="00F80E7F"/>
    <w:rsid w:val="00F80F0F"/>
    <w:rsid w:val="00F80F90"/>
    <w:rsid w:val="00F80FB5"/>
    <w:rsid w:val="00F81011"/>
    <w:rsid w:val="00F81042"/>
    <w:rsid w:val="00F81056"/>
    <w:rsid w:val="00F8107D"/>
    <w:rsid w:val="00F8111A"/>
    <w:rsid w:val="00F81176"/>
    <w:rsid w:val="00F81186"/>
    <w:rsid w:val="00F81188"/>
    <w:rsid w:val="00F8118B"/>
    <w:rsid w:val="00F811A3"/>
    <w:rsid w:val="00F8123E"/>
    <w:rsid w:val="00F81242"/>
    <w:rsid w:val="00F8126F"/>
    <w:rsid w:val="00F81273"/>
    <w:rsid w:val="00F812D6"/>
    <w:rsid w:val="00F8130F"/>
    <w:rsid w:val="00F81340"/>
    <w:rsid w:val="00F81342"/>
    <w:rsid w:val="00F81357"/>
    <w:rsid w:val="00F81375"/>
    <w:rsid w:val="00F81384"/>
    <w:rsid w:val="00F813A5"/>
    <w:rsid w:val="00F813EA"/>
    <w:rsid w:val="00F8141A"/>
    <w:rsid w:val="00F8143D"/>
    <w:rsid w:val="00F814C4"/>
    <w:rsid w:val="00F81527"/>
    <w:rsid w:val="00F81571"/>
    <w:rsid w:val="00F8158E"/>
    <w:rsid w:val="00F815AE"/>
    <w:rsid w:val="00F815DF"/>
    <w:rsid w:val="00F815F1"/>
    <w:rsid w:val="00F8163E"/>
    <w:rsid w:val="00F8164A"/>
    <w:rsid w:val="00F8168F"/>
    <w:rsid w:val="00F816BB"/>
    <w:rsid w:val="00F816C9"/>
    <w:rsid w:val="00F81726"/>
    <w:rsid w:val="00F8172B"/>
    <w:rsid w:val="00F81745"/>
    <w:rsid w:val="00F81757"/>
    <w:rsid w:val="00F81783"/>
    <w:rsid w:val="00F817A5"/>
    <w:rsid w:val="00F817B9"/>
    <w:rsid w:val="00F817CD"/>
    <w:rsid w:val="00F81828"/>
    <w:rsid w:val="00F81854"/>
    <w:rsid w:val="00F81893"/>
    <w:rsid w:val="00F818B1"/>
    <w:rsid w:val="00F818DD"/>
    <w:rsid w:val="00F818F8"/>
    <w:rsid w:val="00F81937"/>
    <w:rsid w:val="00F8197D"/>
    <w:rsid w:val="00F81985"/>
    <w:rsid w:val="00F819B1"/>
    <w:rsid w:val="00F819FC"/>
    <w:rsid w:val="00F81A5D"/>
    <w:rsid w:val="00F81A8F"/>
    <w:rsid w:val="00F81AA9"/>
    <w:rsid w:val="00F81AAA"/>
    <w:rsid w:val="00F81AF0"/>
    <w:rsid w:val="00F81B1B"/>
    <w:rsid w:val="00F81B1E"/>
    <w:rsid w:val="00F81B49"/>
    <w:rsid w:val="00F81B4A"/>
    <w:rsid w:val="00F81B71"/>
    <w:rsid w:val="00F81BF4"/>
    <w:rsid w:val="00F81C11"/>
    <w:rsid w:val="00F81C39"/>
    <w:rsid w:val="00F81C42"/>
    <w:rsid w:val="00F81C66"/>
    <w:rsid w:val="00F81C79"/>
    <w:rsid w:val="00F81C7A"/>
    <w:rsid w:val="00F81C85"/>
    <w:rsid w:val="00F81CDE"/>
    <w:rsid w:val="00F81D34"/>
    <w:rsid w:val="00F81D41"/>
    <w:rsid w:val="00F81D7C"/>
    <w:rsid w:val="00F81DD4"/>
    <w:rsid w:val="00F81E2B"/>
    <w:rsid w:val="00F81E49"/>
    <w:rsid w:val="00F81E9F"/>
    <w:rsid w:val="00F81EA5"/>
    <w:rsid w:val="00F81EB6"/>
    <w:rsid w:val="00F81F1B"/>
    <w:rsid w:val="00F81F84"/>
    <w:rsid w:val="00F81FDB"/>
    <w:rsid w:val="00F8200F"/>
    <w:rsid w:val="00F82056"/>
    <w:rsid w:val="00F820A8"/>
    <w:rsid w:val="00F82136"/>
    <w:rsid w:val="00F82139"/>
    <w:rsid w:val="00F82140"/>
    <w:rsid w:val="00F821C1"/>
    <w:rsid w:val="00F821C4"/>
    <w:rsid w:val="00F82237"/>
    <w:rsid w:val="00F8223F"/>
    <w:rsid w:val="00F822C2"/>
    <w:rsid w:val="00F822CA"/>
    <w:rsid w:val="00F822CF"/>
    <w:rsid w:val="00F8240C"/>
    <w:rsid w:val="00F8240D"/>
    <w:rsid w:val="00F82437"/>
    <w:rsid w:val="00F82485"/>
    <w:rsid w:val="00F8248B"/>
    <w:rsid w:val="00F8248C"/>
    <w:rsid w:val="00F824A2"/>
    <w:rsid w:val="00F824FE"/>
    <w:rsid w:val="00F8250F"/>
    <w:rsid w:val="00F8255B"/>
    <w:rsid w:val="00F8257D"/>
    <w:rsid w:val="00F825A5"/>
    <w:rsid w:val="00F825E8"/>
    <w:rsid w:val="00F825FC"/>
    <w:rsid w:val="00F82687"/>
    <w:rsid w:val="00F82690"/>
    <w:rsid w:val="00F826A1"/>
    <w:rsid w:val="00F826B1"/>
    <w:rsid w:val="00F826C8"/>
    <w:rsid w:val="00F82710"/>
    <w:rsid w:val="00F82767"/>
    <w:rsid w:val="00F8278D"/>
    <w:rsid w:val="00F82796"/>
    <w:rsid w:val="00F827C0"/>
    <w:rsid w:val="00F827F9"/>
    <w:rsid w:val="00F827FC"/>
    <w:rsid w:val="00F8281C"/>
    <w:rsid w:val="00F8286E"/>
    <w:rsid w:val="00F828D9"/>
    <w:rsid w:val="00F8293C"/>
    <w:rsid w:val="00F8297E"/>
    <w:rsid w:val="00F829B6"/>
    <w:rsid w:val="00F82A2C"/>
    <w:rsid w:val="00F82A54"/>
    <w:rsid w:val="00F82A69"/>
    <w:rsid w:val="00F82A9A"/>
    <w:rsid w:val="00F82AB2"/>
    <w:rsid w:val="00F82B0A"/>
    <w:rsid w:val="00F82B0F"/>
    <w:rsid w:val="00F82B18"/>
    <w:rsid w:val="00F82B24"/>
    <w:rsid w:val="00F82B35"/>
    <w:rsid w:val="00F82B44"/>
    <w:rsid w:val="00F82B4E"/>
    <w:rsid w:val="00F82B57"/>
    <w:rsid w:val="00F82BB3"/>
    <w:rsid w:val="00F82BFF"/>
    <w:rsid w:val="00F82C02"/>
    <w:rsid w:val="00F82CB9"/>
    <w:rsid w:val="00F82CFF"/>
    <w:rsid w:val="00F82D58"/>
    <w:rsid w:val="00F82D5E"/>
    <w:rsid w:val="00F82E1C"/>
    <w:rsid w:val="00F82E1F"/>
    <w:rsid w:val="00F82E54"/>
    <w:rsid w:val="00F82E9A"/>
    <w:rsid w:val="00F82ED5"/>
    <w:rsid w:val="00F82F18"/>
    <w:rsid w:val="00F82F81"/>
    <w:rsid w:val="00F82F8D"/>
    <w:rsid w:val="00F82F94"/>
    <w:rsid w:val="00F82FAB"/>
    <w:rsid w:val="00F82FC5"/>
    <w:rsid w:val="00F82FC6"/>
    <w:rsid w:val="00F83018"/>
    <w:rsid w:val="00F8303C"/>
    <w:rsid w:val="00F830A6"/>
    <w:rsid w:val="00F8311B"/>
    <w:rsid w:val="00F83187"/>
    <w:rsid w:val="00F83189"/>
    <w:rsid w:val="00F8319E"/>
    <w:rsid w:val="00F831B4"/>
    <w:rsid w:val="00F831F5"/>
    <w:rsid w:val="00F831FA"/>
    <w:rsid w:val="00F83207"/>
    <w:rsid w:val="00F8321F"/>
    <w:rsid w:val="00F83235"/>
    <w:rsid w:val="00F83294"/>
    <w:rsid w:val="00F832D1"/>
    <w:rsid w:val="00F832DA"/>
    <w:rsid w:val="00F83367"/>
    <w:rsid w:val="00F83408"/>
    <w:rsid w:val="00F83422"/>
    <w:rsid w:val="00F83450"/>
    <w:rsid w:val="00F83452"/>
    <w:rsid w:val="00F83484"/>
    <w:rsid w:val="00F834A2"/>
    <w:rsid w:val="00F834BE"/>
    <w:rsid w:val="00F834ED"/>
    <w:rsid w:val="00F8351F"/>
    <w:rsid w:val="00F8356A"/>
    <w:rsid w:val="00F835A3"/>
    <w:rsid w:val="00F835CF"/>
    <w:rsid w:val="00F8363A"/>
    <w:rsid w:val="00F8367B"/>
    <w:rsid w:val="00F83692"/>
    <w:rsid w:val="00F836A5"/>
    <w:rsid w:val="00F836E7"/>
    <w:rsid w:val="00F83710"/>
    <w:rsid w:val="00F83744"/>
    <w:rsid w:val="00F83762"/>
    <w:rsid w:val="00F83791"/>
    <w:rsid w:val="00F837DB"/>
    <w:rsid w:val="00F837F7"/>
    <w:rsid w:val="00F837FF"/>
    <w:rsid w:val="00F83803"/>
    <w:rsid w:val="00F83841"/>
    <w:rsid w:val="00F83845"/>
    <w:rsid w:val="00F8387C"/>
    <w:rsid w:val="00F83903"/>
    <w:rsid w:val="00F83941"/>
    <w:rsid w:val="00F83973"/>
    <w:rsid w:val="00F839C2"/>
    <w:rsid w:val="00F839CB"/>
    <w:rsid w:val="00F83A3A"/>
    <w:rsid w:val="00F83A3D"/>
    <w:rsid w:val="00F83A58"/>
    <w:rsid w:val="00F83A64"/>
    <w:rsid w:val="00F83A8F"/>
    <w:rsid w:val="00F83B14"/>
    <w:rsid w:val="00F83B47"/>
    <w:rsid w:val="00F83B7E"/>
    <w:rsid w:val="00F83BB5"/>
    <w:rsid w:val="00F83BC1"/>
    <w:rsid w:val="00F83C02"/>
    <w:rsid w:val="00F83C0E"/>
    <w:rsid w:val="00F83C7E"/>
    <w:rsid w:val="00F83CAD"/>
    <w:rsid w:val="00F83CAE"/>
    <w:rsid w:val="00F83CB2"/>
    <w:rsid w:val="00F83CE7"/>
    <w:rsid w:val="00F83D92"/>
    <w:rsid w:val="00F83DA2"/>
    <w:rsid w:val="00F83E52"/>
    <w:rsid w:val="00F83EC6"/>
    <w:rsid w:val="00F83EC8"/>
    <w:rsid w:val="00F83EFE"/>
    <w:rsid w:val="00F83F0B"/>
    <w:rsid w:val="00F83F1E"/>
    <w:rsid w:val="00F83F7C"/>
    <w:rsid w:val="00F83F8A"/>
    <w:rsid w:val="00F83FC5"/>
    <w:rsid w:val="00F84011"/>
    <w:rsid w:val="00F84067"/>
    <w:rsid w:val="00F840A3"/>
    <w:rsid w:val="00F840B5"/>
    <w:rsid w:val="00F840CC"/>
    <w:rsid w:val="00F8411A"/>
    <w:rsid w:val="00F84132"/>
    <w:rsid w:val="00F8413A"/>
    <w:rsid w:val="00F84144"/>
    <w:rsid w:val="00F841A5"/>
    <w:rsid w:val="00F841AF"/>
    <w:rsid w:val="00F841B2"/>
    <w:rsid w:val="00F841B8"/>
    <w:rsid w:val="00F841C2"/>
    <w:rsid w:val="00F841C5"/>
    <w:rsid w:val="00F841DC"/>
    <w:rsid w:val="00F841E3"/>
    <w:rsid w:val="00F84267"/>
    <w:rsid w:val="00F842BB"/>
    <w:rsid w:val="00F842C9"/>
    <w:rsid w:val="00F842E9"/>
    <w:rsid w:val="00F84358"/>
    <w:rsid w:val="00F843FA"/>
    <w:rsid w:val="00F844BF"/>
    <w:rsid w:val="00F8452F"/>
    <w:rsid w:val="00F8453C"/>
    <w:rsid w:val="00F845BC"/>
    <w:rsid w:val="00F845CE"/>
    <w:rsid w:val="00F845E8"/>
    <w:rsid w:val="00F84606"/>
    <w:rsid w:val="00F84659"/>
    <w:rsid w:val="00F84686"/>
    <w:rsid w:val="00F846A8"/>
    <w:rsid w:val="00F8474D"/>
    <w:rsid w:val="00F8474F"/>
    <w:rsid w:val="00F84750"/>
    <w:rsid w:val="00F8475E"/>
    <w:rsid w:val="00F8476D"/>
    <w:rsid w:val="00F84777"/>
    <w:rsid w:val="00F84818"/>
    <w:rsid w:val="00F84851"/>
    <w:rsid w:val="00F84855"/>
    <w:rsid w:val="00F84872"/>
    <w:rsid w:val="00F84883"/>
    <w:rsid w:val="00F8489F"/>
    <w:rsid w:val="00F848DE"/>
    <w:rsid w:val="00F8492A"/>
    <w:rsid w:val="00F8492C"/>
    <w:rsid w:val="00F84946"/>
    <w:rsid w:val="00F84951"/>
    <w:rsid w:val="00F8496E"/>
    <w:rsid w:val="00F84976"/>
    <w:rsid w:val="00F8498A"/>
    <w:rsid w:val="00F84990"/>
    <w:rsid w:val="00F849F2"/>
    <w:rsid w:val="00F84A77"/>
    <w:rsid w:val="00F84A7B"/>
    <w:rsid w:val="00F84AA7"/>
    <w:rsid w:val="00F84AED"/>
    <w:rsid w:val="00F84B3A"/>
    <w:rsid w:val="00F84B60"/>
    <w:rsid w:val="00F84B9D"/>
    <w:rsid w:val="00F84B9E"/>
    <w:rsid w:val="00F84BEC"/>
    <w:rsid w:val="00F84C14"/>
    <w:rsid w:val="00F84C4B"/>
    <w:rsid w:val="00F84C9A"/>
    <w:rsid w:val="00F84D48"/>
    <w:rsid w:val="00F84D7B"/>
    <w:rsid w:val="00F84D7C"/>
    <w:rsid w:val="00F84DCD"/>
    <w:rsid w:val="00F84E7C"/>
    <w:rsid w:val="00F84EB8"/>
    <w:rsid w:val="00F84EDB"/>
    <w:rsid w:val="00F84EEB"/>
    <w:rsid w:val="00F84F59"/>
    <w:rsid w:val="00F84F85"/>
    <w:rsid w:val="00F84FB6"/>
    <w:rsid w:val="00F84FBB"/>
    <w:rsid w:val="00F84FF5"/>
    <w:rsid w:val="00F85028"/>
    <w:rsid w:val="00F8503C"/>
    <w:rsid w:val="00F85043"/>
    <w:rsid w:val="00F8505B"/>
    <w:rsid w:val="00F85061"/>
    <w:rsid w:val="00F85076"/>
    <w:rsid w:val="00F850C0"/>
    <w:rsid w:val="00F850DC"/>
    <w:rsid w:val="00F850FA"/>
    <w:rsid w:val="00F85166"/>
    <w:rsid w:val="00F85179"/>
    <w:rsid w:val="00F8517A"/>
    <w:rsid w:val="00F85194"/>
    <w:rsid w:val="00F8519A"/>
    <w:rsid w:val="00F851A7"/>
    <w:rsid w:val="00F851DD"/>
    <w:rsid w:val="00F851E8"/>
    <w:rsid w:val="00F851EE"/>
    <w:rsid w:val="00F851FC"/>
    <w:rsid w:val="00F8520B"/>
    <w:rsid w:val="00F8520D"/>
    <w:rsid w:val="00F85241"/>
    <w:rsid w:val="00F85271"/>
    <w:rsid w:val="00F852A1"/>
    <w:rsid w:val="00F852AB"/>
    <w:rsid w:val="00F852C0"/>
    <w:rsid w:val="00F852F6"/>
    <w:rsid w:val="00F8533F"/>
    <w:rsid w:val="00F85355"/>
    <w:rsid w:val="00F85369"/>
    <w:rsid w:val="00F85391"/>
    <w:rsid w:val="00F85395"/>
    <w:rsid w:val="00F853A5"/>
    <w:rsid w:val="00F853AD"/>
    <w:rsid w:val="00F853F1"/>
    <w:rsid w:val="00F85419"/>
    <w:rsid w:val="00F8546A"/>
    <w:rsid w:val="00F85478"/>
    <w:rsid w:val="00F85487"/>
    <w:rsid w:val="00F854E7"/>
    <w:rsid w:val="00F8553D"/>
    <w:rsid w:val="00F85556"/>
    <w:rsid w:val="00F85562"/>
    <w:rsid w:val="00F85599"/>
    <w:rsid w:val="00F855F2"/>
    <w:rsid w:val="00F85633"/>
    <w:rsid w:val="00F85650"/>
    <w:rsid w:val="00F8565C"/>
    <w:rsid w:val="00F8568E"/>
    <w:rsid w:val="00F856CB"/>
    <w:rsid w:val="00F856E2"/>
    <w:rsid w:val="00F857B5"/>
    <w:rsid w:val="00F857E9"/>
    <w:rsid w:val="00F85832"/>
    <w:rsid w:val="00F85863"/>
    <w:rsid w:val="00F858AD"/>
    <w:rsid w:val="00F858F6"/>
    <w:rsid w:val="00F858FC"/>
    <w:rsid w:val="00F85924"/>
    <w:rsid w:val="00F8598D"/>
    <w:rsid w:val="00F85992"/>
    <w:rsid w:val="00F859A9"/>
    <w:rsid w:val="00F859BC"/>
    <w:rsid w:val="00F859C9"/>
    <w:rsid w:val="00F859DB"/>
    <w:rsid w:val="00F85A15"/>
    <w:rsid w:val="00F85A38"/>
    <w:rsid w:val="00F85A52"/>
    <w:rsid w:val="00F85ACB"/>
    <w:rsid w:val="00F85B4A"/>
    <w:rsid w:val="00F85B4C"/>
    <w:rsid w:val="00F85B4F"/>
    <w:rsid w:val="00F85B67"/>
    <w:rsid w:val="00F85B84"/>
    <w:rsid w:val="00F85B96"/>
    <w:rsid w:val="00F85BA0"/>
    <w:rsid w:val="00F85BAC"/>
    <w:rsid w:val="00F85BB6"/>
    <w:rsid w:val="00F85BC4"/>
    <w:rsid w:val="00F85BD6"/>
    <w:rsid w:val="00F85C21"/>
    <w:rsid w:val="00F85C41"/>
    <w:rsid w:val="00F85C8E"/>
    <w:rsid w:val="00F85CCF"/>
    <w:rsid w:val="00F85D30"/>
    <w:rsid w:val="00F85D33"/>
    <w:rsid w:val="00F85D83"/>
    <w:rsid w:val="00F85D8F"/>
    <w:rsid w:val="00F85D96"/>
    <w:rsid w:val="00F85DCC"/>
    <w:rsid w:val="00F85DD4"/>
    <w:rsid w:val="00F85E42"/>
    <w:rsid w:val="00F85E5D"/>
    <w:rsid w:val="00F85E9E"/>
    <w:rsid w:val="00F85EA7"/>
    <w:rsid w:val="00F85EBD"/>
    <w:rsid w:val="00F85ECF"/>
    <w:rsid w:val="00F85F0F"/>
    <w:rsid w:val="00F85F16"/>
    <w:rsid w:val="00F85F22"/>
    <w:rsid w:val="00F85F33"/>
    <w:rsid w:val="00F85F47"/>
    <w:rsid w:val="00F85F4B"/>
    <w:rsid w:val="00F85F7F"/>
    <w:rsid w:val="00F85F86"/>
    <w:rsid w:val="00F85FAF"/>
    <w:rsid w:val="00F85FD6"/>
    <w:rsid w:val="00F85FFC"/>
    <w:rsid w:val="00F86010"/>
    <w:rsid w:val="00F86023"/>
    <w:rsid w:val="00F86025"/>
    <w:rsid w:val="00F8608F"/>
    <w:rsid w:val="00F860AE"/>
    <w:rsid w:val="00F860B9"/>
    <w:rsid w:val="00F860BF"/>
    <w:rsid w:val="00F860C1"/>
    <w:rsid w:val="00F8614B"/>
    <w:rsid w:val="00F8618B"/>
    <w:rsid w:val="00F861AB"/>
    <w:rsid w:val="00F861D4"/>
    <w:rsid w:val="00F861E7"/>
    <w:rsid w:val="00F861F6"/>
    <w:rsid w:val="00F86208"/>
    <w:rsid w:val="00F86210"/>
    <w:rsid w:val="00F86220"/>
    <w:rsid w:val="00F8626D"/>
    <w:rsid w:val="00F862D7"/>
    <w:rsid w:val="00F8630F"/>
    <w:rsid w:val="00F86314"/>
    <w:rsid w:val="00F8632B"/>
    <w:rsid w:val="00F863A0"/>
    <w:rsid w:val="00F863B0"/>
    <w:rsid w:val="00F863B1"/>
    <w:rsid w:val="00F863BB"/>
    <w:rsid w:val="00F863D0"/>
    <w:rsid w:val="00F863DD"/>
    <w:rsid w:val="00F863E7"/>
    <w:rsid w:val="00F86404"/>
    <w:rsid w:val="00F8641A"/>
    <w:rsid w:val="00F8643B"/>
    <w:rsid w:val="00F8643E"/>
    <w:rsid w:val="00F86459"/>
    <w:rsid w:val="00F8645B"/>
    <w:rsid w:val="00F86482"/>
    <w:rsid w:val="00F8648D"/>
    <w:rsid w:val="00F86591"/>
    <w:rsid w:val="00F865A5"/>
    <w:rsid w:val="00F865D1"/>
    <w:rsid w:val="00F8663A"/>
    <w:rsid w:val="00F8668D"/>
    <w:rsid w:val="00F866A2"/>
    <w:rsid w:val="00F866B7"/>
    <w:rsid w:val="00F866E7"/>
    <w:rsid w:val="00F86761"/>
    <w:rsid w:val="00F867F5"/>
    <w:rsid w:val="00F8680F"/>
    <w:rsid w:val="00F86855"/>
    <w:rsid w:val="00F8688C"/>
    <w:rsid w:val="00F868C4"/>
    <w:rsid w:val="00F868C9"/>
    <w:rsid w:val="00F868F4"/>
    <w:rsid w:val="00F86914"/>
    <w:rsid w:val="00F8691C"/>
    <w:rsid w:val="00F86999"/>
    <w:rsid w:val="00F869A9"/>
    <w:rsid w:val="00F869BC"/>
    <w:rsid w:val="00F869C7"/>
    <w:rsid w:val="00F86A12"/>
    <w:rsid w:val="00F86A1E"/>
    <w:rsid w:val="00F86A81"/>
    <w:rsid w:val="00F86B1C"/>
    <w:rsid w:val="00F86B77"/>
    <w:rsid w:val="00F86B99"/>
    <w:rsid w:val="00F86BBF"/>
    <w:rsid w:val="00F86BC2"/>
    <w:rsid w:val="00F86BDD"/>
    <w:rsid w:val="00F86C16"/>
    <w:rsid w:val="00F86C23"/>
    <w:rsid w:val="00F86C36"/>
    <w:rsid w:val="00F86C61"/>
    <w:rsid w:val="00F86CEA"/>
    <w:rsid w:val="00F86D6A"/>
    <w:rsid w:val="00F86D6F"/>
    <w:rsid w:val="00F86D9F"/>
    <w:rsid w:val="00F86E0C"/>
    <w:rsid w:val="00F86E46"/>
    <w:rsid w:val="00F86E49"/>
    <w:rsid w:val="00F86E53"/>
    <w:rsid w:val="00F86E85"/>
    <w:rsid w:val="00F86EDC"/>
    <w:rsid w:val="00F86EE5"/>
    <w:rsid w:val="00F86F0F"/>
    <w:rsid w:val="00F86F14"/>
    <w:rsid w:val="00F86F48"/>
    <w:rsid w:val="00F86F55"/>
    <w:rsid w:val="00F86F76"/>
    <w:rsid w:val="00F86F7E"/>
    <w:rsid w:val="00F86FA2"/>
    <w:rsid w:val="00F86FA5"/>
    <w:rsid w:val="00F86FAC"/>
    <w:rsid w:val="00F87017"/>
    <w:rsid w:val="00F87039"/>
    <w:rsid w:val="00F87042"/>
    <w:rsid w:val="00F87052"/>
    <w:rsid w:val="00F87059"/>
    <w:rsid w:val="00F87086"/>
    <w:rsid w:val="00F870EE"/>
    <w:rsid w:val="00F87108"/>
    <w:rsid w:val="00F87115"/>
    <w:rsid w:val="00F87118"/>
    <w:rsid w:val="00F87163"/>
    <w:rsid w:val="00F871BF"/>
    <w:rsid w:val="00F871F6"/>
    <w:rsid w:val="00F871FA"/>
    <w:rsid w:val="00F87215"/>
    <w:rsid w:val="00F8721A"/>
    <w:rsid w:val="00F87232"/>
    <w:rsid w:val="00F8728E"/>
    <w:rsid w:val="00F872BD"/>
    <w:rsid w:val="00F873A3"/>
    <w:rsid w:val="00F873F6"/>
    <w:rsid w:val="00F8742F"/>
    <w:rsid w:val="00F87445"/>
    <w:rsid w:val="00F87449"/>
    <w:rsid w:val="00F87458"/>
    <w:rsid w:val="00F87463"/>
    <w:rsid w:val="00F87491"/>
    <w:rsid w:val="00F874BC"/>
    <w:rsid w:val="00F8752D"/>
    <w:rsid w:val="00F87568"/>
    <w:rsid w:val="00F87596"/>
    <w:rsid w:val="00F875E5"/>
    <w:rsid w:val="00F875E8"/>
    <w:rsid w:val="00F87645"/>
    <w:rsid w:val="00F87689"/>
    <w:rsid w:val="00F87694"/>
    <w:rsid w:val="00F876D2"/>
    <w:rsid w:val="00F876E3"/>
    <w:rsid w:val="00F876F9"/>
    <w:rsid w:val="00F8770C"/>
    <w:rsid w:val="00F87732"/>
    <w:rsid w:val="00F8774A"/>
    <w:rsid w:val="00F877CD"/>
    <w:rsid w:val="00F87840"/>
    <w:rsid w:val="00F87867"/>
    <w:rsid w:val="00F878A5"/>
    <w:rsid w:val="00F878AB"/>
    <w:rsid w:val="00F878BC"/>
    <w:rsid w:val="00F87940"/>
    <w:rsid w:val="00F8794C"/>
    <w:rsid w:val="00F87959"/>
    <w:rsid w:val="00F87998"/>
    <w:rsid w:val="00F8799E"/>
    <w:rsid w:val="00F879B4"/>
    <w:rsid w:val="00F879BE"/>
    <w:rsid w:val="00F87A08"/>
    <w:rsid w:val="00F87A1A"/>
    <w:rsid w:val="00F87A37"/>
    <w:rsid w:val="00F87AB9"/>
    <w:rsid w:val="00F87AFA"/>
    <w:rsid w:val="00F87B29"/>
    <w:rsid w:val="00F87B41"/>
    <w:rsid w:val="00F87B42"/>
    <w:rsid w:val="00F87B4C"/>
    <w:rsid w:val="00F87B65"/>
    <w:rsid w:val="00F87B84"/>
    <w:rsid w:val="00F87B8E"/>
    <w:rsid w:val="00F87BA2"/>
    <w:rsid w:val="00F87BD6"/>
    <w:rsid w:val="00F87C57"/>
    <w:rsid w:val="00F87CCB"/>
    <w:rsid w:val="00F87D00"/>
    <w:rsid w:val="00F87D25"/>
    <w:rsid w:val="00F87D2B"/>
    <w:rsid w:val="00F87D2E"/>
    <w:rsid w:val="00F87D4D"/>
    <w:rsid w:val="00F87E4F"/>
    <w:rsid w:val="00F87E77"/>
    <w:rsid w:val="00F87E9C"/>
    <w:rsid w:val="00F87EDD"/>
    <w:rsid w:val="00F87EFA"/>
    <w:rsid w:val="00F87EFC"/>
    <w:rsid w:val="00F87F63"/>
    <w:rsid w:val="00F87F6D"/>
    <w:rsid w:val="00F90051"/>
    <w:rsid w:val="00F9006B"/>
    <w:rsid w:val="00F90082"/>
    <w:rsid w:val="00F9009A"/>
    <w:rsid w:val="00F900BE"/>
    <w:rsid w:val="00F90167"/>
    <w:rsid w:val="00F9019A"/>
    <w:rsid w:val="00F9019B"/>
    <w:rsid w:val="00F901D4"/>
    <w:rsid w:val="00F901DD"/>
    <w:rsid w:val="00F90247"/>
    <w:rsid w:val="00F90277"/>
    <w:rsid w:val="00F90287"/>
    <w:rsid w:val="00F90299"/>
    <w:rsid w:val="00F902C4"/>
    <w:rsid w:val="00F902FF"/>
    <w:rsid w:val="00F90384"/>
    <w:rsid w:val="00F9039A"/>
    <w:rsid w:val="00F903A9"/>
    <w:rsid w:val="00F9045C"/>
    <w:rsid w:val="00F904C3"/>
    <w:rsid w:val="00F904C4"/>
    <w:rsid w:val="00F904D6"/>
    <w:rsid w:val="00F904EF"/>
    <w:rsid w:val="00F90524"/>
    <w:rsid w:val="00F90569"/>
    <w:rsid w:val="00F9058F"/>
    <w:rsid w:val="00F905EA"/>
    <w:rsid w:val="00F9063C"/>
    <w:rsid w:val="00F90644"/>
    <w:rsid w:val="00F90692"/>
    <w:rsid w:val="00F90699"/>
    <w:rsid w:val="00F906B4"/>
    <w:rsid w:val="00F90717"/>
    <w:rsid w:val="00F90732"/>
    <w:rsid w:val="00F90750"/>
    <w:rsid w:val="00F907A4"/>
    <w:rsid w:val="00F907E3"/>
    <w:rsid w:val="00F9080C"/>
    <w:rsid w:val="00F90835"/>
    <w:rsid w:val="00F9085A"/>
    <w:rsid w:val="00F908C7"/>
    <w:rsid w:val="00F908DB"/>
    <w:rsid w:val="00F908EC"/>
    <w:rsid w:val="00F908EE"/>
    <w:rsid w:val="00F90984"/>
    <w:rsid w:val="00F909CC"/>
    <w:rsid w:val="00F909EC"/>
    <w:rsid w:val="00F90A7F"/>
    <w:rsid w:val="00F90AA8"/>
    <w:rsid w:val="00F90AB7"/>
    <w:rsid w:val="00F90ABB"/>
    <w:rsid w:val="00F90ABE"/>
    <w:rsid w:val="00F90B6D"/>
    <w:rsid w:val="00F90B72"/>
    <w:rsid w:val="00F90B79"/>
    <w:rsid w:val="00F90B7D"/>
    <w:rsid w:val="00F90B93"/>
    <w:rsid w:val="00F90B96"/>
    <w:rsid w:val="00F90BE3"/>
    <w:rsid w:val="00F90C95"/>
    <w:rsid w:val="00F90CA6"/>
    <w:rsid w:val="00F90CA8"/>
    <w:rsid w:val="00F90CBE"/>
    <w:rsid w:val="00F90CEC"/>
    <w:rsid w:val="00F90CF7"/>
    <w:rsid w:val="00F90CF9"/>
    <w:rsid w:val="00F90D2A"/>
    <w:rsid w:val="00F90D4C"/>
    <w:rsid w:val="00F90D7E"/>
    <w:rsid w:val="00F90DB6"/>
    <w:rsid w:val="00F90DDC"/>
    <w:rsid w:val="00F90E2F"/>
    <w:rsid w:val="00F90E3E"/>
    <w:rsid w:val="00F90E50"/>
    <w:rsid w:val="00F90EE1"/>
    <w:rsid w:val="00F90F1A"/>
    <w:rsid w:val="00F90F70"/>
    <w:rsid w:val="00F90F8B"/>
    <w:rsid w:val="00F90F98"/>
    <w:rsid w:val="00F90FA2"/>
    <w:rsid w:val="00F90FF0"/>
    <w:rsid w:val="00F90FF7"/>
    <w:rsid w:val="00F90FF9"/>
    <w:rsid w:val="00F91058"/>
    <w:rsid w:val="00F9105D"/>
    <w:rsid w:val="00F9109B"/>
    <w:rsid w:val="00F910AD"/>
    <w:rsid w:val="00F91103"/>
    <w:rsid w:val="00F9110B"/>
    <w:rsid w:val="00F91147"/>
    <w:rsid w:val="00F91174"/>
    <w:rsid w:val="00F91186"/>
    <w:rsid w:val="00F911C0"/>
    <w:rsid w:val="00F911C9"/>
    <w:rsid w:val="00F91220"/>
    <w:rsid w:val="00F91226"/>
    <w:rsid w:val="00F9122A"/>
    <w:rsid w:val="00F91233"/>
    <w:rsid w:val="00F91235"/>
    <w:rsid w:val="00F91291"/>
    <w:rsid w:val="00F912BD"/>
    <w:rsid w:val="00F9130F"/>
    <w:rsid w:val="00F9132A"/>
    <w:rsid w:val="00F91351"/>
    <w:rsid w:val="00F913DD"/>
    <w:rsid w:val="00F913E7"/>
    <w:rsid w:val="00F9140F"/>
    <w:rsid w:val="00F9142C"/>
    <w:rsid w:val="00F9145D"/>
    <w:rsid w:val="00F9147E"/>
    <w:rsid w:val="00F9152B"/>
    <w:rsid w:val="00F9154F"/>
    <w:rsid w:val="00F91570"/>
    <w:rsid w:val="00F91573"/>
    <w:rsid w:val="00F9157A"/>
    <w:rsid w:val="00F915AB"/>
    <w:rsid w:val="00F915B0"/>
    <w:rsid w:val="00F915E8"/>
    <w:rsid w:val="00F91618"/>
    <w:rsid w:val="00F91674"/>
    <w:rsid w:val="00F9167B"/>
    <w:rsid w:val="00F916E0"/>
    <w:rsid w:val="00F91797"/>
    <w:rsid w:val="00F917B9"/>
    <w:rsid w:val="00F917BA"/>
    <w:rsid w:val="00F917E1"/>
    <w:rsid w:val="00F917ED"/>
    <w:rsid w:val="00F91810"/>
    <w:rsid w:val="00F91828"/>
    <w:rsid w:val="00F91884"/>
    <w:rsid w:val="00F918A3"/>
    <w:rsid w:val="00F918C2"/>
    <w:rsid w:val="00F918E2"/>
    <w:rsid w:val="00F918F4"/>
    <w:rsid w:val="00F91907"/>
    <w:rsid w:val="00F91936"/>
    <w:rsid w:val="00F91944"/>
    <w:rsid w:val="00F91971"/>
    <w:rsid w:val="00F9198B"/>
    <w:rsid w:val="00F91991"/>
    <w:rsid w:val="00F919E0"/>
    <w:rsid w:val="00F91A5C"/>
    <w:rsid w:val="00F91AA2"/>
    <w:rsid w:val="00F91AB4"/>
    <w:rsid w:val="00F91AC7"/>
    <w:rsid w:val="00F91AF8"/>
    <w:rsid w:val="00F91B07"/>
    <w:rsid w:val="00F91B49"/>
    <w:rsid w:val="00F91B54"/>
    <w:rsid w:val="00F91B5A"/>
    <w:rsid w:val="00F91BBA"/>
    <w:rsid w:val="00F91BDD"/>
    <w:rsid w:val="00F91BE6"/>
    <w:rsid w:val="00F91BEE"/>
    <w:rsid w:val="00F91C0E"/>
    <w:rsid w:val="00F91C32"/>
    <w:rsid w:val="00F91C4B"/>
    <w:rsid w:val="00F91CEF"/>
    <w:rsid w:val="00F91CF3"/>
    <w:rsid w:val="00F91D27"/>
    <w:rsid w:val="00F91D3A"/>
    <w:rsid w:val="00F91DA4"/>
    <w:rsid w:val="00F91DED"/>
    <w:rsid w:val="00F91E14"/>
    <w:rsid w:val="00F91E45"/>
    <w:rsid w:val="00F91E88"/>
    <w:rsid w:val="00F91EB0"/>
    <w:rsid w:val="00F91EC1"/>
    <w:rsid w:val="00F91EE0"/>
    <w:rsid w:val="00F91F25"/>
    <w:rsid w:val="00F91F33"/>
    <w:rsid w:val="00F91F64"/>
    <w:rsid w:val="00F91F76"/>
    <w:rsid w:val="00F91F84"/>
    <w:rsid w:val="00F92008"/>
    <w:rsid w:val="00F92036"/>
    <w:rsid w:val="00F92054"/>
    <w:rsid w:val="00F9205F"/>
    <w:rsid w:val="00F920CF"/>
    <w:rsid w:val="00F920F2"/>
    <w:rsid w:val="00F920F6"/>
    <w:rsid w:val="00F9212A"/>
    <w:rsid w:val="00F92178"/>
    <w:rsid w:val="00F921B7"/>
    <w:rsid w:val="00F92214"/>
    <w:rsid w:val="00F92216"/>
    <w:rsid w:val="00F92218"/>
    <w:rsid w:val="00F9221F"/>
    <w:rsid w:val="00F922BD"/>
    <w:rsid w:val="00F922C1"/>
    <w:rsid w:val="00F9231D"/>
    <w:rsid w:val="00F923CB"/>
    <w:rsid w:val="00F923D7"/>
    <w:rsid w:val="00F923D9"/>
    <w:rsid w:val="00F924B6"/>
    <w:rsid w:val="00F924D9"/>
    <w:rsid w:val="00F924EB"/>
    <w:rsid w:val="00F924FC"/>
    <w:rsid w:val="00F92549"/>
    <w:rsid w:val="00F92561"/>
    <w:rsid w:val="00F9259C"/>
    <w:rsid w:val="00F925A2"/>
    <w:rsid w:val="00F925B8"/>
    <w:rsid w:val="00F925FE"/>
    <w:rsid w:val="00F92633"/>
    <w:rsid w:val="00F92635"/>
    <w:rsid w:val="00F9267A"/>
    <w:rsid w:val="00F9268A"/>
    <w:rsid w:val="00F92697"/>
    <w:rsid w:val="00F926B6"/>
    <w:rsid w:val="00F926E3"/>
    <w:rsid w:val="00F926F6"/>
    <w:rsid w:val="00F927CE"/>
    <w:rsid w:val="00F927D7"/>
    <w:rsid w:val="00F927DE"/>
    <w:rsid w:val="00F927E3"/>
    <w:rsid w:val="00F9284E"/>
    <w:rsid w:val="00F92878"/>
    <w:rsid w:val="00F92899"/>
    <w:rsid w:val="00F928D8"/>
    <w:rsid w:val="00F92922"/>
    <w:rsid w:val="00F9294F"/>
    <w:rsid w:val="00F92954"/>
    <w:rsid w:val="00F9295A"/>
    <w:rsid w:val="00F9295F"/>
    <w:rsid w:val="00F9298A"/>
    <w:rsid w:val="00F9299A"/>
    <w:rsid w:val="00F92A32"/>
    <w:rsid w:val="00F92A45"/>
    <w:rsid w:val="00F92AB3"/>
    <w:rsid w:val="00F92ACF"/>
    <w:rsid w:val="00F92B09"/>
    <w:rsid w:val="00F92B1A"/>
    <w:rsid w:val="00F92B36"/>
    <w:rsid w:val="00F92B56"/>
    <w:rsid w:val="00F92B6C"/>
    <w:rsid w:val="00F92B75"/>
    <w:rsid w:val="00F92B7A"/>
    <w:rsid w:val="00F92BAA"/>
    <w:rsid w:val="00F92BE9"/>
    <w:rsid w:val="00F92BFF"/>
    <w:rsid w:val="00F92C03"/>
    <w:rsid w:val="00F92C06"/>
    <w:rsid w:val="00F92C26"/>
    <w:rsid w:val="00F92C58"/>
    <w:rsid w:val="00F92C6E"/>
    <w:rsid w:val="00F92C9F"/>
    <w:rsid w:val="00F92CA7"/>
    <w:rsid w:val="00F92CD8"/>
    <w:rsid w:val="00F92CED"/>
    <w:rsid w:val="00F92D57"/>
    <w:rsid w:val="00F92D8D"/>
    <w:rsid w:val="00F92DBF"/>
    <w:rsid w:val="00F92DEE"/>
    <w:rsid w:val="00F92DF5"/>
    <w:rsid w:val="00F92E20"/>
    <w:rsid w:val="00F92E33"/>
    <w:rsid w:val="00F92E4C"/>
    <w:rsid w:val="00F92E5A"/>
    <w:rsid w:val="00F92ECB"/>
    <w:rsid w:val="00F92ED9"/>
    <w:rsid w:val="00F92F04"/>
    <w:rsid w:val="00F92F3E"/>
    <w:rsid w:val="00F92F4E"/>
    <w:rsid w:val="00F92FAB"/>
    <w:rsid w:val="00F92FB3"/>
    <w:rsid w:val="00F93032"/>
    <w:rsid w:val="00F93040"/>
    <w:rsid w:val="00F93042"/>
    <w:rsid w:val="00F93086"/>
    <w:rsid w:val="00F93092"/>
    <w:rsid w:val="00F9310E"/>
    <w:rsid w:val="00F931AE"/>
    <w:rsid w:val="00F931E4"/>
    <w:rsid w:val="00F93208"/>
    <w:rsid w:val="00F93211"/>
    <w:rsid w:val="00F93221"/>
    <w:rsid w:val="00F93244"/>
    <w:rsid w:val="00F93274"/>
    <w:rsid w:val="00F93287"/>
    <w:rsid w:val="00F9328D"/>
    <w:rsid w:val="00F932B6"/>
    <w:rsid w:val="00F932ED"/>
    <w:rsid w:val="00F932F5"/>
    <w:rsid w:val="00F9331F"/>
    <w:rsid w:val="00F93335"/>
    <w:rsid w:val="00F93356"/>
    <w:rsid w:val="00F9336C"/>
    <w:rsid w:val="00F93381"/>
    <w:rsid w:val="00F9339D"/>
    <w:rsid w:val="00F933A1"/>
    <w:rsid w:val="00F933FC"/>
    <w:rsid w:val="00F93480"/>
    <w:rsid w:val="00F9348A"/>
    <w:rsid w:val="00F9349E"/>
    <w:rsid w:val="00F934A1"/>
    <w:rsid w:val="00F934BF"/>
    <w:rsid w:val="00F934CD"/>
    <w:rsid w:val="00F93528"/>
    <w:rsid w:val="00F93551"/>
    <w:rsid w:val="00F93557"/>
    <w:rsid w:val="00F93580"/>
    <w:rsid w:val="00F935CC"/>
    <w:rsid w:val="00F935EC"/>
    <w:rsid w:val="00F935ED"/>
    <w:rsid w:val="00F93601"/>
    <w:rsid w:val="00F93616"/>
    <w:rsid w:val="00F936AE"/>
    <w:rsid w:val="00F936B5"/>
    <w:rsid w:val="00F936BE"/>
    <w:rsid w:val="00F936FE"/>
    <w:rsid w:val="00F9373A"/>
    <w:rsid w:val="00F9374D"/>
    <w:rsid w:val="00F93776"/>
    <w:rsid w:val="00F93785"/>
    <w:rsid w:val="00F937BE"/>
    <w:rsid w:val="00F9380F"/>
    <w:rsid w:val="00F9381D"/>
    <w:rsid w:val="00F93834"/>
    <w:rsid w:val="00F93865"/>
    <w:rsid w:val="00F93917"/>
    <w:rsid w:val="00F93926"/>
    <w:rsid w:val="00F93958"/>
    <w:rsid w:val="00F9397A"/>
    <w:rsid w:val="00F9399C"/>
    <w:rsid w:val="00F939DF"/>
    <w:rsid w:val="00F939F2"/>
    <w:rsid w:val="00F93A50"/>
    <w:rsid w:val="00F93A80"/>
    <w:rsid w:val="00F93A9F"/>
    <w:rsid w:val="00F93AE9"/>
    <w:rsid w:val="00F93AF4"/>
    <w:rsid w:val="00F93B7C"/>
    <w:rsid w:val="00F93BA7"/>
    <w:rsid w:val="00F93BBB"/>
    <w:rsid w:val="00F93C10"/>
    <w:rsid w:val="00F93C25"/>
    <w:rsid w:val="00F93C55"/>
    <w:rsid w:val="00F93CCB"/>
    <w:rsid w:val="00F93CE1"/>
    <w:rsid w:val="00F93CF9"/>
    <w:rsid w:val="00F93CFC"/>
    <w:rsid w:val="00F93CFD"/>
    <w:rsid w:val="00F93D54"/>
    <w:rsid w:val="00F93D70"/>
    <w:rsid w:val="00F93DD8"/>
    <w:rsid w:val="00F93DF3"/>
    <w:rsid w:val="00F93DFE"/>
    <w:rsid w:val="00F93E17"/>
    <w:rsid w:val="00F93E44"/>
    <w:rsid w:val="00F93E77"/>
    <w:rsid w:val="00F93E79"/>
    <w:rsid w:val="00F93EB5"/>
    <w:rsid w:val="00F93F1F"/>
    <w:rsid w:val="00F93F3B"/>
    <w:rsid w:val="00F93FBE"/>
    <w:rsid w:val="00F93FD8"/>
    <w:rsid w:val="00F93FE7"/>
    <w:rsid w:val="00F93FF8"/>
    <w:rsid w:val="00F9405D"/>
    <w:rsid w:val="00F94081"/>
    <w:rsid w:val="00F940AC"/>
    <w:rsid w:val="00F940DA"/>
    <w:rsid w:val="00F940EE"/>
    <w:rsid w:val="00F94110"/>
    <w:rsid w:val="00F94117"/>
    <w:rsid w:val="00F9411A"/>
    <w:rsid w:val="00F94157"/>
    <w:rsid w:val="00F94166"/>
    <w:rsid w:val="00F94200"/>
    <w:rsid w:val="00F94267"/>
    <w:rsid w:val="00F942D2"/>
    <w:rsid w:val="00F942F6"/>
    <w:rsid w:val="00F9434B"/>
    <w:rsid w:val="00F943B0"/>
    <w:rsid w:val="00F943D5"/>
    <w:rsid w:val="00F94452"/>
    <w:rsid w:val="00F9448E"/>
    <w:rsid w:val="00F944AD"/>
    <w:rsid w:val="00F944C1"/>
    <w:rsid w:val="00F944D4"/>
    <w:rsid w:val="00F944D9"/>
    <w:rsid w:val="00F94512"/>
    <w:rsid w:val="00F94515"/>
    <w:rsid w:val="00F945EF"/>
    <w:rsid w:val="00F945F0"/>
    <w:rsid w:val="00F945F3"/>
    <w:rsid w:val="00F94674"/>
    <w:rsid w:val="00F946BE"/>
    <w:rsid w:val="00F946C9"/>
    <w:rsid w:val="00F946F5"/>
    <w:rsid w:val="00F9473B"/>
    <w:rsid w:val="00F94748"/>
    <w:rsid w:val="00F9474C"/>
    <w:rsid w:val="00F9477D"/>
    <w:rsid w:val="00F94819"/>
    <w:rsid w:val="00F94820"/>
    <w:rsid w:val="00F94832"/>
    <w:rsid w:val="00F94833"/>
    <w:rsid w:val="00F94885"/>
    <w:rsid w:val="00F94906"/>
    <w:rsid w:val="00F9492B"/>
    <w:rsid w:val="00F94971"/>
    <w:rsid w:val="00F94982"/>
    <w:rsid w:val="00F949B3"/>
    <w:rsid w:val="00F94A15"/>
    <w:rsid w:val="00F94A16"/>
    <w:rsid w:val="00F94AA7"/>
    <w:rsid w:val="00F94AC6"/>
    <w:rsid w:val="00F94B39"/>
    <w:rsid w:val="00F94B4E"/>
    <w:rsid w:val="00F94B59"/>
    <w:rsid w:val="00F94B76"/>
    <w:rsid w:val="00F94BF9"/>
    <w:rsid w:val="00F94C9B"/>
    <w:rsid w:val="00F94CC9"/>
    <w:rsid w:val="00F94CFC"/>
    <w:rsid w:val="00F94D3B"/>
    <w:rsid w:val="00F94D45"/>
    <w:rsid w:val="00F94D51"/>
    <w:rsid w:val="00F94D63"/>
    <w:rsid w:val="00F94DA7"/>
    <w:rsid w:val="00F94DC8"/>
    <w:rsid w:val="00F94E12"/>
    <w:rsid w:val="00F94E2F"/>
    <w:rsid w:val="00F94E7C"/>
    <w:rsid w:val="00F94EA6"/>
    <w:rsid w:val="00F94EA7"/>
    <w:rsid w:val="00F94ED7"/>
    <w:rsid w:val="00F94F9E"/>
    <w:rsid w:val="00F94FB7"/>
    <w:rsid w:val="00F94FBD"/>
    <w:rsid w:val="00F94FDE"/>
    <w:rsid w:val="00F95021"/>
    <w:rsid w:val="00F95042"/>
    <w:rsid w:val="00F95056"/>
    <w:rsid w:val="00F9506F"/>
    <w:rsid w:val="00F95090"/>
    <w:rsid w:val="00F95092"/>
    <w:rsid w:val="00F950AA"/>
    <w:rsid w:val="00F950D6"/>
    <w:rsid w:val="00F950DC"/>
    <w:rsid w:val="00F950F3"/>
    <w:rsid w:val="00F95114"/>
    <w:rsid w:val="00F9512D"/>
    <w:rsid w:val="00F951F9"/>
    <w:rsid w:val="00F95216"/>
    <w:rsid w:val="00F95246"/>
    <w:rsid w:val="00F95252"/>
    <w:rsid w:val="00F95259"/>
    <w:rsid w:val="00F95298"/>
    <w:rsid w:val="00F95300"/>
    <w:rsid w:val="00F95309"/>
    <w:rsid w:val="00F95319"/>
    <w:rsid w:val="00F9535D"/>
    <w:rsid w:val="00F95372"/>
    <w:rsid w:val="00F95377"/>
    <w:rsid w:val="00F953DB"/>
    <w:rsid w:val="00F95419"/>
    <w:rsid w:val="00F95426"/>
    <w:rsid w:val="00F95459"/>
    <w:rsid w:val="00F954E3"/>
    <w:rsid w:val="00F9551B"/>
    <w:rsid w:val="00F95540"/>
    <w:rsid w:val="00F95549"/>
    <w:rsid w:val="00F955E2"/>
    <w:rsid w:val="00F9560E"/>
    <w:rsid w:val="00F95611"/>
    <w:rsid w:val="00F9563C"/>
    <w:rsid w:val="00F9563D"/>
    <w:rsid w:val="00F956ED"/>
    <w:rsid w:val="00F95727"/>
    <w:rsid w:val="00F95759"/>
    <w:rsid w:val="00F95764"/>
    <w:rsid w:val="00F95770"/>
    <w:rsid w:val="00F957AD"/>
    <w:rsid w:val="00F957F6"/>
    <w:rsid w:val="00F95803"/>
    <w:rsid w:val="00F95877"/>
    <w:rsid w:val="00F95898"/>
    <w:rsid w:val="00F958F8"/>
    <w:rsid w:val="00F95974"/>
    <w:rsid w:val="00F9598A"/>
    <w:rsid w:val="00F959A6"/>
    <w:rsid w:val="00F95A52"/>
    <w:rsid w:val="00F95AB8"/>
    <w:rsid w:val="00F95ABA"/>
    <w:rsid w:val="00F95AE3"/>
    <w:rsid w:val="00F95AEC"/>
    <w:rsid w:val="00F95B0A"/>
    <w:rsid w:val="00F95B0C"/>
    <w:rsid w:val="00F95B5B"/>
    <w:rsid w:val="00F95B65"/>
    <w:rsid w:val="00F95B6B"/>
    <w:rsid w:val="00F95BA2"/>
    <w:rsid w:val="00F95BB6"/>
    <w:rsid w:val="00F95BF6"/>
    <w:rsid w:val="00F95C5A"/>
    <w:rsid w:val="00F95C87"/>
    <w:rsid w:val="00F95CA4"/>
    <w:rsid w:val="00F95CEF"/>
    <w:rsid w:val="00F95CFA"/>
    <w:rsid w:val="00F95D1F"/>
    <w:rsid w:val="00F95D2E"/>
    <w:rsid w:val="00F95D69"/>
    <w:rsid w:val="00F95DE8"/>
    <w:rsid w:val="00F95DFF"/>
    <w:rsid w:val="00F95E09"/>
    <w:rsid w:val="00F95E54"/>
    <w:rsid w:val="00F95E9C"/>
    <w:rsid w:val="00F95EBA"/>
    <w:rsid w:val="00F95EE8"/>
    <w:rsid w:val="00F95EFB"/>
    <w:rsid w:val="00F95F10"/>
    <w:rsid w:val="00F95F1D"/>
    <w:rsid w:val="00F95F37"/>
    <w:rsid w:val="00F95F53"/>
    <w:rsid w:val="00F95F64"/>
    <w:rsid w:val="00F95F94"/>
    <w:rsid w:val="00F95FA7"/>
    <w:rsid w:val="00F95FBC"/>
    <w:rsid w:val="00F95FF5"/>
    <w:rsid w:val="00F9601C"/>
    <w:rsid w:val="00F96060"/>
    <w:rsid w:val="00F9606D"/>
    <w:rsid w:val="00F96077"/>
    <w:rsid w:val="00F960BA"/>
    <w:rsid w:val="00F960CB"/>
    <w:rsid w:val="00F96164"/>
    <w:rsid w:val="00F96166"/>
    <w:rsid w:val="00F9618C"/>
    <w:rsid w:val="00F96196"/>
    <w:rsid w:val="00F961C4"/>
    <w:rsid w:val="00F96224"/>
    <w:rsid w:val="00F9626B"/>
    <w:rsid w:val="00F962B0"/>
    <w:rsid w:val="00F9632C"/>
    <w:rsid w:val="00F96334"/>
    <w:rsid w:val="00F9633F"/>
    <w:rsid w:val="00F96367"/>
    <w:rsid w:val="00F96392"/>
    <w:rsid w:val="00F96394"/>
    <w:rsid w:val="00F963C3"/>
    <w:rsid w:val="00F963D6"/>
    <w:rsid w:val="00F96415"/>
    <w:rsid w:val="00F9647E"/>
    <w:rsid w:val="00F964AE"/>
    <w:rsid w:val="00F964D3"/>
    <w:rsid w:val="00F964D4"/>
    <w:rsid w:val="00F96502"/>
    <w:rsid w:val="00F96506"/>
    <w:rsid w:val="00F96510"/>
    <w:rsid w:val="00F96521"/>
    <w:rsid w:val="00F965D7"/>
    <w:rsid w:val="00F96609"/>
    <w:rsid w:val="00F9661F"/>
    <w:rsid w:val="00F96639"/>
    <w:rsid w:val="00F9663C"/>
    <w:rsid w:val="00F96649"/>
    <w:rsid w:val="00F9669C"/>
    <w:rsid w:val="00F966A6"/>
    <w:rsid w:val="00F966A7"/>
    <w:rsid w:val="00F966C6"/>
    <w:rsid w:val="00F967C0"/>
    <w:rsid w:val="00F967EA"/>
    <w:rsid w:val="00F967F7"/>
    <w:rsid w:val="00F96866"/>
    <w:rsid w:val="00F9687E"/>
    <w:rsid w:val="00F9689F"/>
    <w:rsid w:val="00F968B1"/>
    <w:rsid w:val="00F968E3"/>
    <w:rsid w:val="00F9693A"/>
    <w:rsid w:val="00F96952"/>
    <w:rsid w:val="00F96957"/>
    <w:rsid w:val="00F96988"/>
    <w:rsid w:val="00F969B7"/>
    <w:rsid w:val="00F96A4C"/>
    <w:rsid w:val="00F96AAD"/>
    <w:rsid w:val="00F96AC1"/>
    <w:rsid w:val="00F96ACA"/>
    <w:rsid w:val="00F96B43"/>
    <w:rsid w:val="00F96B46"/>
    <w:rsid w:val="00F96B79"/>
    <w:rsid w:val="00F96B80"/>
    <w:rsid w:val="00F96B81"/>
    <w:rsid w:val="00F96B8A"/>
    <w:rsid w:val="00F96BDA"/>
    <w:rsid w:val="00F96C0F"/>
    <w:rsid w:val="00F96C1C"/>
    <w:rsid w:val="00F96C4E"/>
    <w:rsid w:val="00F96C83"/>
    <w:rsid w:val="00F96C88"/>
    <w:rsid w:val="00F96CA2"/>
    <w:rsid w:val="00F96CAA"/>
    <w:rsid w:val="00F96CBB"/>
    <w:rsid w:val="00F96CD8"/>
    <w:rsid w:val="00F96D2E"/>
    <w:rsid w:val="00F96D82"/>
    <w:rsid w:val="00F96DE4"/>
    <w:rsid w:val="00F96E8E"/>
    <w:rsid w:val="00F96EBE"/>
    <w:rsid w:val="00F96F10"/>
    <w:rsid w:val="00F96F6C"/>
    <w:rsid w:val="00F96F94"/>
    <w:rsid w:val="00F96F98"/>
    <w:rsid w:val="00F96FC7"/>
    <w:rsid w:val="00F96FF5"/>
    <w:rsid w:val="00F97021"/>
    <w:rsid w:val="00F97025"/>
    <w:rsid w:val="00F97032"/>
    <w:rsid w:val="00F97043"/>
    <w:rsid w:val="00F9705C"/>
    <w:rsid w:val="00F97085"/>
    <w:rsid w:val="00F97087"/>
    <w:rsid w:val="00F97113"/>
    <w:rsid w:val="00F9719A"/>
    <w:rsid w:val="00F971AD"/>
    <w:rsid w:val="00F971BD"/>
    <w:rsid w:val="00F971D3"/>
    <w:rsid w:val="00F97231"/>
    <w:rsid w:val="00F97279"/>
    <w:rsid w:val="00F9728D"/>
    <w:rsid w:val="00F972C6"/>
    <w:rsid w:val="00F972E5"/>
    <w:rsid w:val="00F972F1"/>
    <w:rsid w:val="00F973A5"/>
    <w:rsid w:val="00F973D7"/>
    <w:rsid w:val="00F973DF"/>
    <w:rsid w:val="00F973F0"/>
    <w:rsid w:val="00F97454"/>
    <w:rsid w:val="00F974A4"/>
    <w:rsid w:val="00F974F1"/>
    <w:rsid w:val="00F9751B"/>
    <w:rsid w:val="00F9751F"/>
    <w:rsid w:val="00F97524"/>
    <w:rsid w:val="00F97550"/>
    <w:rsid w:val="00F97557"/>
    <w:rsid w:val="00F9757F"/>
    <w:rsid w:val="00F97581"/>
    <w:rsid w:val="00F975A2"/>
    <w:rsid w:val="00F975BA"/>
    <w:rsid w:val="00F975E5"/>
    <w:rsid w:val="00F9763F"/>
    <w:rsid w:val="00F97658"/>
    <w:rsid w:val="00F97659"/>
    <w:rsid w:val="00F9767B"/>
    <w:rsid w:val="00F9768D"/>
    <w:rsid w:val="00F976A4"/>
    <w:rsid w:val="00F976C4"/>
    <w:rsid w:val="00F976CC"/>
    <w:rsid w:val="00F976D0"/>
    <w:rsid w:val="00F976DB"/>
    <w:rsid w:val="00F976E2"/>
    <w:rsid w:val="00F97733"/>
    <w:rsid w:val="00F9774F"/>
    <w:rsid w:val="00F97769"/>
    <w:rsid w:val="00F9777B"/>
    <w:rsid w:val="00F977D8"/>
    <w:rsid w:val="00F977EB"/>
    <w:rsid w:val="00F97804"/>
    <w:rsid w:val="00F9781C"/>
    <w:rsid w:val="00F97849"/>
    <w:rsid w:val="00F9784C"/>
    <w:rsid w:val="00F9784F"/>
    <w:rsid w:val="00F9795C"/>
    <w:rsid w:val="00F9797A"/>
    <w:rsid w:val="00F979BA"/>
    <w:rsid w:val="00F979FA"/>
    <w:rsid w:val="00F979FD"/>
    <w:rsid w:val="00F97A0F"/>
    <w:rsid w:val="00F97A23"/>
    <w:rsid w:val="00F97A4F"/>
    <w:rsid w:val="00F97B2F"/>
    <w:rsid w:val="00F97B8D"/>
    <w:rsid w:val="00F97BA2"/>
    <w:rsid w:val="00F97BDC"/>
    <w:rsid w:val="00F97BE7"/>
    <w:rsid w:val="00F97C87"/>
    <w:rsid w:val="00F97C9C"/>
    <w:rsid w:val="00F97CC5"/>
    <w:rsid w:val="00F97CE6"/>
    <w:rsid w:val="00F97D0A"/>
    <w:rsid w:val="00F97D3B"/>
    <w:rsid w:val="00F97D4C"/>
    <w:rsid w:val="00F97D4E"/>
    <w:rsid w:val="00F97D78"/>
    <w:rsid w:val="00F97DB8"/>
    <w:rsid w:val="00F97DC7"/>
    <w:rsid w:val="00F97E23"/>
    <w:rsid w:val="00F97E6B"/>
    <w:rsid w:val="00F97EB5"/>
    <w:rsid w:val="00F97EC7"/>
    <w:rsid w:val="00F97EDF"/>
    <w:rsid w:val="00F97F3F"/>
    <w:rsid w:val="00F97F50"/>
    <w:rsid w:val="00F97F8F"/>
    <w:rsid w:val="00F97FCC"/>
    <w:rsid w:val="00F97FD9"/>
    <w:rsid w:val="00F99025"/>
    <w:rsid w:val="00F9FC25"/>
    <w:rsid w:val="00FA0020"/>
    <w:rsid w:val="00FA00C0"/>
    <w:rsid w:val="00FA0107"/>
    <w:rsid w:val="00FA0132"/>
    <w:rsid w:val="00FA013F"/>
    <w:rsid w:val="00FA016B"/>
    <w:rsid w:val="00FA0178"/>
    <w:rsid w:val="00FA01A6"/>
    <w:rsid w:val="00FA01C5"/>
    <w:rsid w:val="00FA01ED"/>
    <w:rsid w:val="00FA01FF"/>
    <w:rsid w:val="00FA0219"/>
    <w:rsid w:val="00FA021C"/>
    <w:rsid w:val="00FA0271"/>
    <w:rsid w:val="00FA0274"/>
    <w:rsid w:val="00FA02EC"/>
    <w:rsid w:val="00FA02F3"/>
    <w:rsid w:val="00FA0314"/>
    <w:rsid w:val="00FA0317"/>
    <w:rsid w:val="00FA0350"/>
    <w:rsid w:val="00FA0352"/>
    <w:rsid w:val="00FA035E"/>
    <w:rsid w:val="00FA0363"/>
    <w:rsid w:val="00FA0393"/>
    <w:rsid w:val="00FA03A6"/>
    <w:rsid w:val="00FA03F8"/>
    <w:rsid w:val="00FA042B"/>
    <w:rsid w:val="00FA0449"/>
    <w:rsid w:val="00FA0453"/>
    <w:rsid w:val="00FA048D"/>
    <w:rsid w:val="00FA049B"/>
    <w:rsid w:val="00FA04F9"/>
    <w:rsid w:val="00FA0506"/>
    <w:rsid w:val="00FA058F"/>
    <w:rsid w:val="00FA0598"/>
    <w:rsid w:val="00FA05A2"/>
    <w:rsid w:val="00FA05F5"/>
    <w:rsid w:val="00FA06BE"/>
    <w:rsid w:val="00FA06C0"/>
    <w:rsid w:val="00FA06DA"/>
    <w:rsid w:val="00FA0724"/>
    <w:rsid w:val="00FA07B6"/>
    <w:rsid w:val="00FA0824"/>
    <w:rsid w:val="00FA0842"/>
    <w:rsid w:val="00FA0860"/>
    <w:rsid w:val="00FA08B7"/>
    <w:rsid w:val="00FA08CF"/>
    <w:rsid w:val="00FA0930"/>
    <w:rsid w:val="00FA0944"/>
    <w:rsid w:val="00FA0995"/>
    <w:rsid w:val="00FA09A1"/>
    <w:rsid w:val="00FA09FB"/>
    <w:rsid w:val="00FA09FD"/>
    <w:rsid w:val="00FA0A2C"/>
    <w:rsid w:val="00FA0A39"/>
    <w:rsid w:val="00FA0A68"/>
    <w:rsid w:val="00FA0A87"/>
    <w:rsid w:val="00FA0A93"/>
    <w:rsid w:val="00FA0AE8"/>
    <w:rsid w:val="00FA0AEB"/>
    <w:rsid w:val="00FA0B45"/>
    <w:rsid w:val="00FA0B63"/>
    <w:rsid w:val="00FA0BCF"/>
    <w:rsid w:val="00FA0BD3"/>
    <w:rsid w:val="00FA0BF4"/>
    <w:rsid w:val="00FA0BFA"/>
    <w:rsid w:val="00FA0C2E"/>
    <w:rsid w:val="00FA0C62"/>
    <w:rsid w:val="00FA0C8A"/>
    <w:rsid w:val="00FA0C8D"/>
    <w:rsid w:val="00FA0C9F"/>
    <w:rsid w:val="00FA0CD1"/>
    <w:rsid w:val="00FA0CD2"/>
    <w:rsid w:val="00FA0D1F"/>
    <w:rsid w:val="00FA0D43"/>
    <w:rsid w:val="00FA0D4D"/>
    <w:rsid w:val="00FA0D7F"/>
    <w:rsid w:val="00FA0D96"/>
    <w:rsid w:val="00FA0D9B"/>
    <w:rsid w:val="00FA0DAE"/>
    <w:rsid w:val="00FA0DD3"/>
    <w:rsid w:val="00FA0E14"/>
    <w:rsid w:val="00FA0E15"/>
    <w:rsid w:val="00FA0E17"/>
    <w:rsid w:val="00FA0E5D"/>
    <w:rsid w:val="00FA0E7C"/>
    <w:rsid w:val="00FA0EB0"/>
    <w:rsid w:val="00FA0EB8"/>
    <w:rsid w:val="00FA0F11"/>
    <w:rsid w:val="00FA0F19"/>
    <w:rsid w:val="00FA0F58"/>
    <w:rsid w:val="00FA0FCB"/>
    <w:rsid w:val="00FA0FEC"/>
    <w:rsid w:val="00FA102A"/>
    <w:rsid w:val="00FA1069"/>
    <w:rsid w:val="00FA106A"/>
    <w:rsid w:val="00FA10B8"/>
    <w:rsid w:val="00FA10DA"/>
    <w:rsid w:val="00FA1119"/>
    <w:rsid w:val="00FA1168"/>
    <w:rsid w:val="00FA1174"/>
    <w:rsid w:val="00FA11CE"/>
    <w:rsid w:val="00FA11EC"/>
    <w:rsid w:val="00FA120C"/>
    <w:rsid w:val="00FA121C"/>
    <w:rsid w:val="00FA1228"/>
    <w:rsid w:val="00FA125B"/>
    <w:rsid w:val="00FA1267"/>
    <w:rsid w:val="00FA1294"/>
    <w:rsid w:val="00FA12B3"/>
    <w:rsid w:val="00FA12B4"/>
    <w:rsid w:val="00FA12C1"/>
    <w:rsid w:val="00FA12CD"/>
    <w:rsid w:val="00FA12DB"/>
    <w:rsid w:val="00FA130E"/>
    <w:rsid w:val="00FA1313"/>
    <w:rsid w:val="00FA1329"/>
    <w:rsid w:val="00FA1340"/>
    <w:rsid w:val="00FA1350"/>
    <w:rsid w:val="00FA136D"/>
    <w:rsid w:val="00FA139F"/>
    <w:rsid w:val="00FA13A0"/>
    <w:rsid w:val="00FA13AA"/>
    <w:rsid w:val="00FA13FB"/>
    <w:rsid w:val="00FA1414"/>
    <w:rsid w:val="00FA1450"/>
    <w:rsid w:val="00FA14CB"/>
    <w:rsid w:val="00FA14CF"/>
    <w:rsid w:val="00FA14E8"/>
    <w:rsid w:val="00FA14FC"/>
    <w:rsid w:val="00FA1553"/>
    <w:rsid w:val="00FA1576"/>
    <w:rsid w:val="00FA157A"/>
    <w:rsid w:val="00FA1582"/>
    <w:rsid w:val="00FA15AC"/>
    <w:rsid w:val="00FA15E9"/>
    <w:rsid w:val="00FA15F3"/>
    <w:rsid w:val="00FA1606"/>
    <w:rsid w:val="00FA16AB"/>
    <w:rsid w:val="00FA1723"/>
    <w:rsid w:val="00FA172D"/>
    <w:rsid w:val="00FA1730"/>
    <w:rsid w:val="00FA1789"/>
    <w:rsid w:val="00FA17BA"/>
    <w:rsid w:val="00FA17C0"/>
    <w:rsid w:val="00FA17C2"/>
    <w:rsid w:val="00FA17D6"/>
    <w:rsid w:val="00FA17E5"/>
    <w:rsid w:val="00FA1830"/>
    <w:rsid w:val="00FA1862"/>
    <w:rsid w:val="00FA1863"/>
    <w:rsid w:val="00FA189F"/>
    <w:rsid w:val="00FA18F1"/>
    <w:rsid w:val="00FA1903"/>
    <w:rsid w:val="00FA1904"/>
    <w:rsid w:val="00FA193F"/>
    <w:rsid w:val="00FA1941"/>
    <w:rsid w:val="00FA196F"/>
    <w:rsid w:val="00FA1A1F"/>
    <w:rsid w:val="00FA1A7C"/>
    <w:rsid w:val="00FA1AA0"/>
    <w:rsid w:val="00FA1AA6"/>
    <w:rsid w:val="00FA1AAF"/>
    <w:rsid w:val="00FA1AD4"/>
    <w:rsid w:val="00FA1AE8"/>
    <w:rsid w:val="00FA1B14"/>
    <w:rsid w:val="00FA1B22"/>
    <w:rsid w:val="00FA1B61"/>
    <w:rsid w:val="00FA1BCC"/>
    <w:rsid w:val="00FA1C24"/>
    <w:rsid w:val="00FA1C49"/>
    <w:rsid w:val="00FA1C61"/>
    <w:rsid w:val="00FA1D0E"/>
    <w:rsid w:val="00FA1D77"/>
    <w:rsid w:val="00FA1E05"/>
    <w:rsid w:val="00FA1E2B"/>
    <w:rsid w:val="00FA1E2E"/>
    <w:rsid w:val="00FA1E37"/>
    <w:rsid w:val="00FA1E59"/>
    <w:rsid w:val="00FA1E69"/>
    <w:rsid w:val="00FA1E8A"/>
    <w:rsid w:val="00FA1E96"/>
    <w:rsid w:val="00FA1EB4"/>
    <w:rsid w:val="00FA1F01"/>
    <w:rsid w:val="00FA1F75"/>
    <w:rsid w:val="00FA1FA7"/>
    <w:rsid w:val="00FA1FAC"/>
    <w:rsid w:val="00FA1FEC"/>
    <w:rsid w:val="00FA2020"/>
    <w:rsid w:val="00FA2065"/>
    <w:rsid w:val="00FA207B"/>
    <w:rsid w:val="00FA20C5"/>
    <w:rsid w:val="00FA20C6"/>
    <w:rsid w:val="00FA2160"/>
    <w:rsid w:val="00FA2161"/>
    <w:rsid w:val="00FA218E"/>
    <w:rsid w:val="00FA2194"/>
    <w:rsid w:val="00FA2196"/>
    <w:rsid w:val="00FA2227"/>
    <w:rsid w:val="00FA2235"/>
    <w:rsid w:val="00FA2237"/>
    <w:rsid w:val="00FA22FA"/>
    <w:rsid w:val="00FA233E"/>
    <w:rsid w:val="00FA235C"/>
    <w:rsid w:val="00FA23EB"/>
    <w:rsid w:val="00FA248E"/>
    <w:rsid w:val="00FA24E0"/>
    <w:rsid w:val="00FA24EF"/>
    <w:rsid w:val="00FA25A0"/>
    <w:rsid w:val="00FA25F9"/>
    <w:rsid w:val="00FA25FA"/>
    <w:rsid w:val="00FA2610"/>
    <w:rsid w:val="00FA268F"/>
    <w:rsid w:val="00FA26A5"/>
    <w:rsid w:val="00FA26AC"/>
    <w:rsid w:val="00FA26EE"/>
    <w:rsid w:val="00FA2702"/>
    <w:rsid w:val="00FA2710"/>
    <w:rsid w:val="00FA2721"/>
    <w:rsid w:val="00FA276E"/>
    <w:rsid w:val="00FA2779"/>
    <w:rsid w:val="00FA27B8"/>
    <w:rsid w:val="00FA281A"/>
    <w:rsid w:val="00FA2853"/>
    <w:rsid w:val="00FA2887"/>
    <w:rsid w:val="00FA28B6"/>
    <w:rsid w:val="00FA28F2"/>
    <w:rsid w:val="00FA2986"/>
    <w:rsid w:val="00FA29F5"/>
    <w:rsid w:val="00FA2A12"/>
    <w:rsid w:val="00FA2A2B"/>
    <w:rsid w:val="00FA2A65"/>
    <w:rsid w:val="00FA2ABE"/>
    <w:rsid w:val="00FA2B0A"/>
    <w:rsid w:val="00FA2B20"/>
    <w:rsid w:val="00FA2B43"/>
    <w:rsid w:val="00FA2B8E"/>
    <w:rsid w:val="00FA2BB3"/>
    <w:rsid w:val="00FA2C11"/>
    <w:rsid w:val="00FA2C88"/>
    <w:rsid w:val="00FA2C95"/>
    <w:rsid w:val="00FA2CC6"/>
    <w:rsid w:val="00FA2CE9"/>
    <w:rsid w:val="00FA2D00"/>
    <w:rsid w:val="00FA2D76"/>
    <w:rsid w:val="00FA2DE6"/>
    <w:rsid w:val="00FA2DF8"/>
    <w:rsid w:val="00FA2E37"/>
    <w:rsid w:val="00FA2E96"/>
    <w:rsid w:val="00FA2EE0"/>
    <w:rsid w:val="00FA2F01"/>
    <w:rsid w:val="00FA2F5F"/>
    <w:rsid w:val="00FA2F68"/>
    <w:rsid w:val="00FA3054"/>
    <w:rsid w:val="00FA306D"/>
    <w:rsid w:val="00FA3099"/>
    <w:rsid w:val="00FA310F"/>
    <w:rsid w:val="00FA3141"/>
    <w:rsid w:val="00FA3151"/>
    <w:rsid w:val="00FA3157"/>
    <w:rsid w:val="00FA3160"/>
    <w:rsid w:val="00FA3192"/>
    <w:rsid w:val="00FA31AC"/>
    <w:rsid w:val="00FA31BF"/>
    <w:rsid w:val="00FA31C8"/>
    <w:rsid w:val="00FA322F"/>
    <w:rsid w:val="00FA32B2"/>
    <w:rsid w:val="00FA32BA"/>
    <w:rsid w:val="00FA3324"/>
    <w:rsid w:val="00FA3331"/>
    <w:rsid w:val="00FA337F"/>
    <w:rsid w:val="00FA33C1"/>
    <w:rsid w:val="00FA33DC"/>
    <w:rsid w:val="00FA3408"/>
    <w:rsid w:val="00FA340F"/>
    <w:rsid w:val="00FA34AE"/>
    <w:rsid w:val="00FA34E8"/>
    <w:rsid w:val="00FA351D"/>
    <w:rsid w:val="00FA3551"/>
    <w:rsid w:val="00FA35F1"/>
    <w:rsid w:val="00FA363D"/>
    <w:rsid w:val="00FA3653"/>
    <w:rsid w:val="00FA367B"/>
    <w:rsid w:val="00FA3682"/>
    <w:rsid w:val="00FA368C"/>
    <w:rsid w:val="00FA3696"/>
    <w:rsid w:val="00FA36A7"/>
    <w:rsid w:val="00FA36B4"/>
    <w:rsid w:val="00FA36C4"/>
    <w:rsid w:val="00FA36CF"/>
    <w:rsid w:val="00FA36E0"/>
    <w:rsid w:val="00FA36E1"/>
    <w:rsid w:val="00FA3723"/>
    <w:rsid w:val="00FA3774"/>
    <w:rsid w:val="00FA3797"/>
    <w:rsid w:val="00FA379C"/>
    <w:rsid w:val="00FA37AD"/>
    <w:rsid w:val="00FA37BA"/>
    <w:rsid w:val="00FA37E7"/>
    <w:rsid w:val="00FA383A"/>
    <w:rsid w:val="00FA385F"/>
    <w:rsid w:val="00FA38E0"/>
    <w:rsid w:val="00FA3914"/>
    <w:rsid w:val="00FA392A"/>
    <w:rsid w:val="00FA3933"/>
    <w:rsid w:val="00FA397E"/>
    <w:rsid w:val="00FA39A3"/>
    <w:rsid w:val="00FA39A7"/>
    <w:rsid w:val="00FA39B8"/>
    <w:rsid w:val="00FA3A5F"/>
    <w:rsid w:val="00FA3AB9"/>
    <w:rsid w:val="00FA3AE4"/>
    <w:rsid w:val="00FA3B1E"/>
    <w:rsid w:val="00FA3B8C"/>
    <w:rsid w:val="00FA3BFB"/>
    <w:rsid w:val="00FA3C0C"/>
    <w:rsid w:val="00FA3C0E"/>
    <w:rsid w:val="00FA3C40"/>
    <w:rsid w:val="00FA3C6A"/>
    <w:rsid w:val="00FA3C83"/>
    <w:rsid w:val="00FA3CB6"/>
    <w:rsid w:val="00FA3CC2"/>
    <w:rsid w:val="00FA3D44"/>
    <w:rsid w:val="00FA3D4E"/>
    <w:rsid w:val="00FA3D72"/>
    <w:rsid w:val="00FA3DAA"/>
    <w:rsid w:val="00FA3DB8"/>
    <w:rsid w:val="00FA3DDA"/>
    <w:rsid w:val="00FA3E16"/>
    <w:rsid w:val="00FA3E19"/>
    <w:rsid w:val="00FA3E23"/>
    <w:rsid w:val="00FA3E2A"/>
    <w:rsid w:val="00FA3E34"/>
    <w:rsid w:val="00FA3E3F"/>
    <w:rsid w:val="00FA3E5E"/>
    <w:rsid w:val="00FA3E71"/>
    <w:rsid w:val="00FA3F29"/>
    <w:rsid w:val="00FA3F2B"/>
    <w:rsid w:val="00FA3F2E"/>
    <w:rsid w:val="00FA3F39"/>
    <w:rsid w:val="00FA3F71"/>
    <w:rsid w:val="00FA3F7D"/>
    <w:rsid w:val="00FA3FCE"/>
    <w:rsid w:val="00FA4025"/>
    <w:rsid w:val="00FA4052"/>
    <w:rsid w:val="00FA4057"/>
    <w:rsid w:val="00FA4095"/>
    <w:rsid w:val="00FA40AB"/>
    <w:rsid w:val="00FA40BB"/>
    <w:rsid w:val="00FA40C0"/>
    <w:rsid w:val="00FA40D4"/>
    <w:rsid w:val="00FA40DC"/>
    <w:rsid w:val="00FA4141"/>
    <w:rsid w:val="00FA4146"/>
    <w:rsid w:val="00FA42DB"/>
    <w:rsid w:val="00FA430C"/>
    <w:rsid w:val="00FA431D"/>
    <w:rsid w:val="00FA431E"/>
    <w:rsid w:val="00FA4326"/>
    <w:rsid w:val="00FA435A"/>
    <w:rsid w:val="00FA43A4"/>
    <w:rsid w:val="00FA43E4"/>
    <w:rsid w:val="00FA43E5"/>
    <w:rsid w:val="00FA4477"/>
    <w:rsid w:val="00FA44A1"/>
    <w:rsid w:val="00FA44CE"/>
    <w:rsid w:val="00FA44F5"/>
    <w:rsid w:val="00FA4522"/>
    <w:rsid w:val="00FA454A"/>
    <w:rsid w:val="00FA455C"/>
    <w:rsid w:val="00FA457C"/>
    <w:rsid w:val="00FA4598"/>
    <w:rsid w:val="00FA45AC"/>
    <w:rsid w:val="00FA45BC"/>
    <w:rsid w:val="00FA45F6"/>
    <w:rsid w:val="00FA4677"/>
    <w:rsid w:val="00FA46BA"/>
    <w:rsid w:val="00FA46C8"/>
    <w:rsid w:val="00FA479F"/>
    <w:rsid w:val="00FA47C8"/>
    <w:rsid w:val="00FA47CE"/>
    <w:rsid w:val="00FA4875"/>
    <w:rsid w:val="00FA4877"/>
    <w:rsid w:val="00FA488C"/>
    <w:rsid w:val="00FA48B9"/>
    <w:rsid w:val="00FA48F9"/>
    <w:rsid w:val="00FA4909"/>
    <w:rsid w:val="00FA490A"/>
    <w:rsid w:val="00FA4924"/>
    <w:rsid w:val="00FA4929"/>
    <w:rsid w:val="00FA4964"/>
    <w:rsid w:val="00FA49AF"/>
    <w:rsid w:val="00FA49B6"/>
    <w:rsid w:val="00FA49BA"/>
    <w:rsid w:val="00FA49DD"/>
    <w:rsid w:val="00FA4A16"/>
    <w:rsid w:val="00FA4A22"/>
    <w:rsid w:val="00FA4A96"/>
    <w:rsid w:val="00FA4ABA"/>
    <w:rsid w:val="00FA4AEB"/>
    <w:rsid w:val="00FA4AF6"/>
    <w:rsid w:val="00FA4B0A"/>
    <w:rsid w:val="00FA4B2B"/>
    <w:rsid w:val="00FA4B46"/>
    <w:rsid w:val="00FA4B49"/>
    <w:rsid w:val="00FA4B64"/>
    <w:rsid w:val="00FA4BCB"/>
    <w:rsid w:val="00FA4C77"/>
    <w:rsid w:val="00FA4C90"/>
    <w:rsid w:val="00FA4C9A"/>
    <w:rsid w:val="00FA4C9F"/>
    <w:rsid w:val="00FA4CB5"/>
    <w:rsid w:val="00FA4D0C"/>
    <w:rsid w:val="00FA4D30"/>
    <w:rsid w:val="00FA4D7C"/>
    <w:rsid w:val="00FA4D89"/>
    <w:rsid w:val="00FA4E49"/>
    <w:rsid w:val="00FA4E4F"/>
    <w:rsid w:val="00FA4E72"/>
    <w:rsid w:val="00FA4EE0"/>
    <w:rsid w:val="00FA4EE6"/>
    <w:rsid w:val="00FA4EF1"/>
    <w:rsid w:val="00FA4F01"/>
    <w:rsid w:val="00FA4F38"/>
    <w:rsid w:val="00FA4FFF"/>
    <w:rsid w:val="00FA5006"/>
    <w:rsid w:val="00FA500C"/>
    <w:rsid w:val="00FA502E"/>
    <w:rsid w:val="00FA5049"/>
    <w:rsid w:val="00FA5063"/>
    <w:rsid w:val="00FA50E2"/>
    <w:rsid w:val="00FA5175"/>
    <w:rsid w:val="00FA51B4"/>
    <w:rsid w:val="00FA5286"/>
    <w:rsid w:val="00FA5289"/>
    <w:rsid w:val="00FA52AF"/>
    <w:rsid w:val="00FA530A"/>
    <w:rsid w:val="00FA532A"/>
    <w:rsid w:val="00FA532D"/>
    <w:rsid w:val="00FA5353"/>
    <w:rsid w:val="00FA5383"/>
    <w:rsid w:val="00FA5393"/>
    <w:rsid w:val="00FA53A8"/>
    <w:rsid w:val="00FA53AC"/>
    <w:rsid w:val="00FA53C2"/>
    <w:rsid w:val="00FA5426"/>
    <w:rsid w:val="00FA542C"/>
    <w:rsid w:val="00FA544E"/>
    <w:rsid w:val="00FA54CA"/>
    <w:rsid w:val="00FA550F"/>
    <w:rsid w:val="00FA551E"/>
    <w:rsid w:val="00FA5566"/>
    <w:rsid w:val="00FA5595"/>
    <w:rsid w:val="00FA55A3"/>
    <w:rsid w:val="00FA55B1"/>
    <w:rsid w:val="00FA55E7"/>
    <w:rsid w:val="00FA55F3"/>
    <w:rsid w:val="00FA5683"/>
    <w:rsid w:val="00FA56B7"/>
    <w:rsid w:val="00FA5702"/>
    <w:rsid w:val="00FA5717"/>
    <w:rsid w:val="00FA574A"/>
    <w:rsid w:val="00FA5764"/>
    <w:rsid w:val="00FA5812"/>
    <w:rsid w:val="00FA5828"/>
    <w:rsid w:val="00FA5858"/>
    <w:rsid w:val="00FA58A1"/>
    <w:rsid w:val="00FA58E8"/>
    <w:rsid w:val="00FA5906"/>
    <w:rsid w:val="00FA590F"/>
    <w:rsid w:val="00FA592D"/>
    <w:rsid w:val="00FA5982"/>
    <w:rsid w:val="00FA59A8"/>
    <w:rsid w:val="00FA59B2"/>
    <w:rsid w:val="00FA59E3"/>
    <w:rsid w:val="00FA5A04"/>
    <w:rsid w:val="00FA5A07"/>
    <w:rsid w:val="00FA5A2E"/>
    <w:rsid w:val="00FA5A5E"/>
    <w:rsid w:val="00FA5A8E"/>
    <w:rsid w:val="00FA5A96"/>
    <w:rsid w:val="00FA5AA4"/>
    <w:rsid w:val="00FA5AC0"/>
    <w:rsid w:val="00FA5ACB"/>
    <w:rsid w:val="00FA5AD0"/>
    <w:rsid w:val="00FA5AFD"/>
    <w:rsid w:val="00FA5B08"/>
    <w:rsid w:val="00FA5B18"/>
    <w:rsid w:val="00FA5B40"/>
    <w:rsid w:val="00FA5B61"/>
    <w:rsid w:val="00FA5BE5"/>
    <w:rsid w:val="00FA5C51"/>
    <w:rsid w:val="00FA5C5A"/>
    <w:rsid w:val="00FA5C7A"/>
    <w:rsid w:val="00FA5C7E"/>
    <w:rsid w:val="00FA5C9D"/>
    <w:rsid w:val="00FA5CA8"/>
    <w:rsid w:val="00FA5CBD"/>
    <w:rsid w:val="00FA5D1D"/>
    <w:rsid w:val="00FA5D1E"/>
    <w:rsid w:val="00FA5D2B"/>
    <w:rsid w:val="00FA5D3E"/>
    <w:rsid w:val="00FA5D42"/>
    <w:rsid w:val="00FA5D89"/>
    <w:rsid w:val="00FA5D98"/>
    <w:rsid w:val="00FA5DD5"/>
    <w:rsid w:val="00FA5DF4"/>
    <w:rsid w:val="00FA5E10"/>
    <w:rsid w:val="00FA5E38"/>
    <w:rsid w:val="00FA5E5D"/>
    <w:rsid w:val="00FA5E5E"/>
    <w:rsid w:val="00FA5E62"/>
    <w:rsid w:val="00FA5E96"/>
    <w:rsid w:val="00FA5EB3"/>
    <w:rsid w:val="00FA5F00"/>
    <w:rsid w:val="00FA5F0B"/>
    <w:rsid w:val="00FA5F19"/>
    <w:rsid w:val="00FA5F2A"/>
    <w:rsid w:val="00FA5F2D"/>
    <w:rsid w:val="00FA5F3B"/>
    <w:rsid w:val="00FA5FCC"/>
    <w:rsid w:val="00FA5FDB"/>
    <w:rsid w:val="00FA5FE2"/>
    <w:rsid w:val="00FA6007"/>
    <w:rsid w:val="00FA6068"/>
    <w:rsid w:val="00FA606A"/>
    <w:rsid w:val="00FA6083"/>
    <w:rsid w:val="00FA6088"/>
    <w:rsid w:val="00FA60B8"/>
    <w:rsid w:val="00FA60D5"/>
    <w:rsid w:val="00FA6109"/>
    <w:rsid w:val="00FA6132"/>
    <w:rsid w:val="00FA6145"/>
    <w:rsid w:val="00FA614E"/>
    <w:rsid w:val="00FA615F"/>
    <w:rsid w:val="00FA6275"/>
    <w:rsid w:val="00FA6280"/>
    <w:rsid w:val="00FA631B"/>
    <w:rsid w:val="00FA638F"/>
    <w:rsid w:val="00FA63D8"/>
    <w:rsid w:val="00FA63DF"/>
    <w:rsid w:val="00FA63E3"/>
    <w:rsid w:val="00FA63E9"/>
    <w:rsid w:val="00FA63F4"/>
    <w:rsid w:val="00FA6417"/>
    <w:rsid w:val="00FA642E"/>
    <w:rsid w:val="00FA645D"/>
    <w:rsid w:val="00FA64A2"/>
    <w:rsid w:val="00FA64DA"/>
    <w:rsid w:val="00FA6510"/>
    <w:rsid w:val="00FA6519"/>
    <w:rsid w:val="00FA6522"/>
    <w:rsid w:val="00FA652F"/>
    <w:rsid w:val="00FA6548"/>
    <w:rsid w:val="00FA6583"/>
    <w:rsid w:val="00FA6586"/>
    <w:rsid w:val="00FA65E0"/>
    <w:rsid w:val="00FA65E2"/>
    <w:rsid w:val="00FA6604"/>
    <w:rsid w:val="00FA660C"/>
    <w:rsid w:val="00FA6621"/>
    <w:rsid w:val="00FA6671"/>
    <w:rsid w:val="00FA66AA"/>
    <w:rsid w:val="00FA66AC"/>
    <w:rsid w:val="00FA66B0"/>
    <w:rsid w:val="00FA66DE"/>
    <w:rsid w:val="00FA6727"/>
    <w:rsid w:val="00FA6729"/>
    <w:rsid w:val="00FA672D"/>
    <w:rsid w:val="00FA6778"/>
    <w:rsid w:val="00FA67B8"/>
    <w:rsid w:val="00FA67C4"/>
    <w:rsid w:val="00FA67D2"/>
    <w:rsid w:val="00FA67F0"/>
    <w:rsid w:val="00FA6807"/>
    <w:rsid w:val="00FA680F"/>
    <w:rsid w:val="00FA6822"/>
    <w:rsid w:val="00FA6835"/>
    <w:rsid w:val="00FA6837"/>
    <w:rsid w:val="00FA6879"/>
    <w:rsid w:val="00FA687F"/>
    <w:rsid w:val="00FA68B8"/>
    <w:rsid w:val="00FA68FE"/>
    <w:rsid w:val="00FA690C"/>
    <w:rsid w:val="00FA6930"/>
    <w:rsid w:val="00FA6954"/>
    <w:rsid w:val="00FA6957"/>
    <w:rsid w:val="00FA6958"/>
    <w:rsid w:val="00FA6974"/>
    <w:rsid w:val="00FA698A"/>
    <w:rsid w:val="00FA69B3"/>
    <w:rsid w:val="00FA69F1"/>
    <w:rsid w:val="00FA69F3"/>
    <w:rsid w:val="00FA6A7F"/>
    <w:rsid w:val="00FA6A91"/>
    <w:rsid w:val="00FA6A95"/>
    <w:rsid w:val="00FA6A9A"/>
    <w:rsid w:val="00FA6AA9"/>
    <w:rsid w:val="00FA6B66"/>
    <w:rsid w:val="00FA6B70"/>
    <w:rsid w:val="00FA6B9B"/>
    <w:rsid w:val="00FA6BA5"/>
    <w:rsid w:val="00FA6C2F"/>
    <w:rsid w:val="00FA6C44"/>
    <w:rsid w:val="00FA6C51"/>
    <w:rsid w:val="00FA6C57"/>
    <w:rsid w:val="00FA6C68"/>
    <w:rsid w:val="00FA6CA9"/>
    <w:rsid w:val="00FA6D21"/>
    <w:rsid w:val="00FA6DBE"/>
    <w:rsid w:val="00FA6DBF"/>
    <w:rsid w:val="00FA6E66"/>
    <w:rsid w:val="00FA6E82"/>
    <w:rsid w:val="00FA6EFB"/>
    <w:rsid w:val="00FA6F0E"/>
    <w:rsid w:val="00FA6F2A"/>
    <w:rsid w:val="00FA6F6E"/>
    <w:rsid w:val="00FA6FA6"/>
    <w:rsid w:val="00FA6FC6"/>
    <w:rsid w:val="00FA701E"/>
    <w:rsid w:val="00FA7022"/>
    <w:rsid w:val="00FA7026"/>
    <w:rsid w:val="00FA704A"/>
    <w:rsid w:val="00FA7076"/>
    <w:rsid w:val="00FA70A6"/>
    <w:rsid w:val="00FA70B3"/>
    <w:rsid w:val="00FA70EA"/>
    <w:rsid w:val="00FA7122"/>
    <w:rsid w:val="00FA714F"/>
    <w:rsid w:val="00FA7184"/>
    <w:rsid w:val="00FA7192"/>
    <w:rsid w:val="00FA71C4"/>
    <w:rsid w:val="00FA71C9"/>
    <w:rsid w:val="00FA7207"/>
    <w:rsid w:val="00FA7210"/>
    <w:rsid w:val="00FA722B"/>
    <w:rsid w:val="00FA7237"/>
    <w:rsid w:val="00FA7277"/>
    <w:rsid w:val="00FA727E"/>
    <w:rsid w:val="00FA735D"/>
    <w:rsid w:val="00FA736B"/>
    <w:rsid w:val="00FA73F3"/>
    <w:rsid w:val="00FA7488"/>
    <w:rsid w:val="00FA748E"/>
    <w:rsid w:val="00FA74A2"/>
    <w:rsid w:val="00FA74A5"/>
    <w:rsid w:val="00FA74E1"/>
    <w:rsid w:val="00FA7512"/>
    <w:rsid w:val="00FA7561"/>
    <w:rsid w:val="00FA75C9"/>
    <w:rsid w:val="00FA75E9"/>
    <w:rsid w:val="00FA761F"/>
    <w:rsid w:val="00FA7625"/>
    <w:rsid w:val="00FA764B"/>
    <w:rsid w:val="00FA76A8"/>
    <w:rsid w:val="00FA76AB"/>
    <w:rsid w:val="00FA76D7"/>
    <w:rsid w:val="00FA7704"/>
    <w:rsid w:val="00FA7729"/>
    <w:rsid w:val="00FA7778"/>
    <w:rsid w:val="00FA77B8"/>
    <w:rsid w:val="00FA77D8"/>
    <w:rsid w:val="00FA77F1"/>
    <w:rsid w:val="00FA782B"/>
    <w:rsid w:val="00FA7833"/>
    <w:rsid w:val="00FA783C"/>
    <w:rsid w:val="00FA784D"/>
    <w:rsid w:val="00FA7856"/>
    <w:rsid w:val="00FA787F"/>
    <w:rsid w:val="00FA7898"/>
    <w:rsid w:val="00FA78A0"/>
    <w:rsid w:val="00FA78C5"/>
    <w:rsid w:val="00FA794E"/>
    <w:rsid w:val="00FA796C"/>
    <w:rsid w:val="00FA7983"/>
    <w:rsid w:val="00FA7A19"/>
    <w:rsid w:val="00FA7A33"/>
    <w:rsid w:val="00FA7A62"/>
    <w:rsid w:val="00FA7A67"/>
    <w:rsid w:val="00FA7A81"/>
    <w:rsid w:val="00FA7AB1"/>
    <w:rsid w:val="00FA7AB2"/>
    <w:rsid w:val="00FA7AD5"/>
    <w:rsid w:val="00FA7AED"/>
    <w:rsid w:val="00FA7B0A"/>
    <w:rsid w:val="00FA7B24"/>
    <w:rsid w:val="00FA7B36"/>
    <w:rsid w:val="00FA7B5D"/>
    <w:rsid w:val="00FA7B6B"/>
    <w:rsid w:val="00FA7C21"/>
    <w:rsid w:val="00FA7C91"/>
    <w:rsid w:val="00FA7C9A"/>
    <w:rsid w:val="00FA7D4B"/>
    <w:rsid w:val="00FA7D4D"/>
    <w:rsid w:val="00FA7D7A"/>
    <w:rsid w:val="00FA7DBF"/>
    <w:rsid w:val="00FA7DDD"/>
    <w:rsid w:val="00FA7DDF"/>
    <w:rsid w:val="00FA7E2F"/>
    <w:rsid w:val="00FA7E30"/>
    <w:rsid w:val="00FA7E88"/>
    <w:rsid w:val="00FA7EE6"/>
    <w:rsid w:val="00FA7EF0"/>
    <w:rsid w:val="00FA7F54"/>
    <w:rsid w:val="00FA7F5A"/>
    <w:rsid w:val="00FA7F9C"/>
    <w:rsid w:val="00FA7FB5"/>
    <w:rsid w:val="00FA7FD7"/>
    <w:rsid w:val="00FA7FEC"/>
    <w:rsid w:val="00FAB576"/>
    <w:rsid w:val="00FB0078"/>
    <w:rsid w:val="00FB00A2"/>
    <w:rsid w:val="00FB00B3"/>
    <w:rsid w:val="00FB0127"/>
    <w:rsid w:val="00FB014B"/>
    <w:rsid w:val="00FB01A9"/>
    <w:rsid w:val="00FB01C6"/>
    <w:rsid w:val="00FB01C7"/>
    <w:rsid w:val="00FB01D2"/>
    <w:rsid w:val="00FB01E9"/>
    <w:rsid w:val="00FB01EB"/>
    <w:rsid w:val="00FB0205"/>
    <w:rsid w:val="00FB023D"/>
    <w:rsid w:val="00FB02C2"/>
    <w:rsid w:val="00FB02E3"/>
    <w:rsid w:val="00FB030D"/>
    <w:rsid w:val="00FB0340"/>
    <w:rsid w:val="00FB03AE"/>
    <w:rsid w:val="00FB03BB"/>
    <w:rsid w:val="00FB03FC"/>
    <w:rsid w:val="00FB041C"/>
    <w:rsid w:val="00FB0475"/>
    <w:rsid w:val="00FB04B1"/>
    <w:rsid w:val="00FB04E0"/>
    <w:rsid w:val="00FB04EC"/>
    <w:rsid w:val="00FB04F1"/>
    <w:rsid w:val="00FB0507"/>
    <w:rsid w:val="00FB050D"/>
    <w:rsid w:val="00FB055B"/>
    <w:rsid w:val="00FB058A"/>
    <w:rsid w:val="00FB0595"/>
    <w:rsid w:val="00FB05AE"/>
    <w:rsid w:val="00FB05AF"/>
    <w:rsid w:val="00FB05B4"/>
    <w:rsid w:val="00FB05BC"/>
    <w:rsid w:val="00FB063B"/>
    <w:rsid w:val="00FB063D"/>
    <w:rsid w:val="00FB066E"/>
    <w:rsid w:val="00FB0688"/>
    <w:rsid w:val="00FB06B3"/>
    <w:rsid w:val="00FB06E2"/>
    <w:rsid w:val="00FB0756"/>
    <w:rsid w:val="00FB0784"/>
    <w:rsid w:val="00FB082B"/>
    <w:rsid w:val="00FB0853"/>
    <w:rsid w:val="00FB0867"/>
    <w:rsid w:val="00FB086F"/>
    <w:rsid w:val="00FB089F"/>
    <w:rsid w:val="00FB08F1"/>
    <w:rsid w:val="00FB08FA"/>
    <w:rsid w:val="00FB0953"/>
    <w:rsid w:val="00FB0980"/>
    <w:rsid w:val="00FB0984"/>
    <w:rsid w:val="00FB0994"/>
    <w:rsid w:val="00FB09AC"/>
    <w:rsid w:val="00FB09C8"/>
    <w:rsid w:val="00FB09E8"/>
    <w:rsid w:val="00FB09FF"/>
    <w:rsid w:val="00FB0A65"/>
    <w:rsid w:val="00FB0A8D"/>
    <w:rsid w:val="00FB0AB2"/>
    <w:rsid w:val="00FB0AB9"/>
    <w:rsid w:val="00FB0AC2"/>
    <w:rsid w:val="00FB0B5E"/>
    <w:rsid w:val="00FB0B6F"/>
    <w:rsid w:val="00FB0B79"/>
    <w:rsid w:val="00FB0BE0"/>
    <w:rsid w:val="00FB0C53"/>
    <w:rsid w:val="00FB0C54"/>
    <w:rsid w:val="00FB0C61"/>
    <w:rsid w:val="00FB0C8B"/>
    <w:rsid w:val="00FB0CAB"/>
    <w:rsid w:val="00FB0CEE"/>
    <w:rsid w:val="00FB0CF7"/>
    <w:rsid w:val="00FB0D05"/>
    <w:rsid w:val="00FB0D49"/>
    <w:rsid w:val="00FB0D60"/>
    <w:rsid w:val="00FB0E01"/>
    <w:rsid w:val="00FB0E7F"/>
    <w:rsid w:val="00FB0E97"/>
    <w:rsid w:val="00FB0EA3"/>
    <w:rsid w:val="00FB0EC5"/>
    <w:rsid w:val="00FB0F78"/>
    <w:rsid w:val="00FB101F"/>
    <w:rsid w:val="00FB104F"/>
    <w:rsid w:val="00FB1092"/>
    <w:rsid w:val="00FB10C9"/>
    <w:rsid w:val="00FB10D8"/>
    <w:rsid w:val="00FB10E5"/>
    <w:rsid w:val="00FB111F"/>
    <w:rsid w:val="00FB11B6"/>
    <w:rsid w:val="00FB11D2"/>
    <w:rsid w:val="00FB11DD"/>
    <w:rsid w:val="00FB11EC"/>
    <w:rsid w:val="00FB1203"/>
    <w:rsid w:val="00FB124B"/>
    <w:rsid w:val="00FB1253"/>
    <w:rsid w:val="00FB128D"/>
    <w:rsid w:val="00FB12A2"/>
    <w:rsid w:val="00FB12C9"/>
    <w:rsid w:val="00FB12D0"/>
    <w:rsid w:val="00FB1302"/>
    <w:rsid w:val="00FB132D"/>
    <w:rsid w:val="00FB138D"/>
    <w:rsid w:val="00FB1392"/>
    <w:rsid w:val="00FB1398"/>
    <w:rsid w:val="00FB139C"/>
    <w:rsid w:val="00FB1422"/>
    <w:rsid w:val="00FB1467"/>
    <w:rsid w:val="00FB147A"/>
    <w:rsid w:val="00FB1541"/>
    <w:rsid w:val="00FB1563"/>
    <w:rsid w:val="00FB15E7"/>
    <w:rsid w:val="00FB164F"/>
    <w:rsid w:val="00FB1666"/>
    <w:rsid w:val="00FB166B"/>
    <w:rsid w:val="00FB16AC"/>
    <w:rsid w:val="00FB16B9"/>
    <w:rsid w:val="00FB16DF"/>
    <w:rsid w:val="00FB16E8"/>
    <w:rsid w:val="00FB1739"/>
    <w:rsid w:val="00FB1770"/>
    <w:rsid w:val="00FB1772"/>
    <w:rsid w:val="00FB179E"/>
    <w:rsid w:val="00FB17D2"/>
    <w:rsid w:val="00FB17E6"/>
    <w:rsid w:val="00FB1863"/>
    <w:rsid w:val="00FB1867"/>
    <w:rsid w:val="00FB18B0"/>
    <w:rsid w:val="00FB18BE"/>
    <w:rsid w:val="00FB18CF"/>
    <w:rsid w:val="00FB18E5"/>
    <w:rsid w:val="00FB18EE"/>
    <w:rsid w:val="00FB1945"/>
    <w:rsid w:val="00FB194B"/>
    <w:rsid w:val="00FB1960"/>
    <w:rsid w:val="00FB196C"/>
    <w:rsid w:val="00FB1989"/>
    <w:rsid w:val="00FB19FA"/>
    <w:rsid w:val="00FB1A0C"/>
    <w:rsid w:val="00FB1A19"/>
    <w:rsid w:val="00FB1A52"/>
    <w:rsid w:val="00FB1A72"/>
    <w:rsid w:val="00FB1AC1"/>
    <w:rsid w:val="00FB1AC4"/>
    <w:rsid w:val="00FB1AE6"/>
    <w:rsid w:val="00FB1AFA"/>
    <w:rsid w:val="00FB1B24"/>
    <w:rsid w:val="00FB1B43"/>
    <w:rsid w:val="00FB1B88"/>
    <w:rsid w:val="00FB1BB9"/>
    <w:rsid w:val="00FB1BC6"/>
    <w:rsid w:val="00FB1BD6"/>
    <w:rsid w:val="00FB1BFE"/>
    <w:rsid w:val="00FB1C21"/>
    <w:rsid w:val="00FB1C33"/>
    <w:rsid w:val="00FB1CAD"/>
    <w:rsid w:val="00FB1CB8"/>
    <w:rsid w:val="00FB1CD2"/>
    <w:rsid w:val="00FB1CEA"/>
    <w:rsid w:val="00FB1D2C"/>
    <w:rsid w:val="00FB1D35"/>
    <w:rsid w:val="00FB1D5D"/>
    <w:rsid w:val="00FB1D6B"/>
    <w:rsid w:val="00FB1D76"/>
    <w:rsid w:val="00FB1DA5"/>
    <w:rsid w:val="00FB1DCC"/>
    <w:rsid w:val="00FB1DF6"/>
    <w:rsid w:val="00FB1E27"/>
    <w:rsid w:val="00FB1E35"/>
    <w:rsid w:val="00FB1E46"/>
    <w:rsid w:val="00FB1E57"/>
    <w:rsid w:val="00FB1EAB"/>
    <w:rsid w:val="00FB1ED8"/>
    <w:rsid w:val="00FB1EFA"/>
    <w:rsid w:val="00FB1F4A"/>
    <w:rsid w:val="00FB1FA4"/>
    <w:rsid w:val="00FB1FD7"/>
    <w:rsid w:val="00FB1FE8"/>
    <w:rsid w:val="00FB2010"/>
    <w:rsid w:val="00FB201B"/>
    <w:rsid w:val="00FB202C"/>
    <w:rsid w:val="00FB208C"/>
    <w:rsid w:val="00FB2092"/>
    <w:rsid w:val="00FB209A"/>
    <w:rsid w:val="00FB20EE"/>
    <w:rsid w:val="00FB210C"/>
    <w:rsid w:val="00FB212E"/>
    <w:rsid w:val="00FB2148"/>
    <w:rsid w:val="00FB21AB"/>
    <w:rsid w:val="00FB21B9"/>
    <w:rsid w:val="00FB2225"/>
    <w:rsid w:val="00FB2233"/>
    <w:rsid w:val="00FB2245"/>
    <w:rsid w:val="00FB2280"/>
    <w:rsid w:val="00FB22E1"/>
    <w:rsid w:val="00FB2317"/>
    <w:rsid w:val="00FB2344"/>
    <w:rsid w:val="00FB2352"/>
    <w:rsid w:val="00FB2359"/>
    <w:rsid w:val="00FB2389"/>
    <w:rsid w:val="00FB2392"/>
    <w:rsid w:val="00FB2396"/>
    <w:rsid w:val="00FB23B9"/>
    <w:rsid w:val="00FB2437"/>
    <w:rsid w:val="00FB246F"/>
    <w:rsid w:val="00FB24C1"/>
    <w:rsid w:val="00FB2502"/>
    <w:rsid w:val="00FB2578"/>
    <w:rsid w:val="00FB2591"/>
    <w:rsid w:val="00FB25F7"/>
    <w:rsid w:val="00FB268C"/>
    <w:rsid w:val="00FB2698"/>
    <w:rsid w:val="00FB26AB"/>
    <w:rsid w:val="00FB2734"/>
    <w:rsid w:val="00FB2738"/>
    <w:rsid w:val="00FB278A"/>
    <w:rsid w:val="00FB2791"/>
    <w:rsid w:val="00FB27BC"/>
    <w:rsid w:val="00FB2808"/>
    <w:rsid w:val="00FB280E"/>
    <w:rsid w:val="00FB2827"/>
    <w:rsid w:val="00FB2856"/>
    <w:rsid w:val="00FB2865"/>
    <w:rsid w:val="00FB2888"/>
    <w:rsid w:val="00FB28A2"/>
    <w:rsid w:val="00FB28E3"/>
    <w:rsid w:val="00FB2942"/>
    <w:rsid w:val="00FB2954"/>
    <w:rsid w:val="00FB29AC"/>
    <w:rsid w:val="00FB29AD"/>
    <w:rsid w:val="00FB2A19"/>
    <w:rsid w:val="00FB2A35"/>
    <w:rsid w:val="00FB2A36"/>
    <w:rsid w:val="00FB2A4D"/>
    <w:rsid w:val="00FB2AA7"/>
    <w:rsid w:val="00FB2AD8"/>
    <w:rsid w:val="00FB2B73"/>
    <w:rsid w:val="00FB2BCA"/>
    <w:rsid w:val="00FB2C1C"/>
    <w:rsid w:val="00FB2C3A"/>
    <w:rsid w:val="00FB2C3B"/>
    <w:rsid w:val="00FB2D28"/>
    <w:rsid w:val="00FB2D58"/>
    <w:rsid w:val="00FB2D7E"/>
    <w:rsid w:val="00FB2DF0"/>
    <w:rsid w:val="00FB2E08"/>
    <w:rsid w:val="00FB2E0D"/>
    <w:rsid w:val="00FB2E49"/>
    <w:rsid w:val="00FB2E51"/>
    <w:rsid w:val="00FB2E5C"/>
    <w:rsid w:val="00FB2EF2"/>
    <w:rsid w:val="00FB2F03"/>
    <w:rsid w:val="00FB2F2A"/>
    <w:rsid w:val="00FB2F6B"/>
    <w:rsid w:val="00FB2F75"/>
    <w:rsid w:val="00FB2FC6"/>
    <w:rsid w:val="00FB3012"/>
    <w:rsid w:val="00FB3035"/>
    <w:rsid w:val="00FB30BE"/>
    <w:rsid w:val="00FB30F0"/>
    <w:rsid w:val="00FB3197"/>
    <w:rsid w:val="00FB31E9"/>
    <w:rsid w:val="00FB3213"/>
    <w:rsid w:val="00FB3216"/>
    <w:rsid w:val="00FB3235"/>
    <w:rsid w:val="00FB324A"/>
    <w:rsid w:val="00FB324F"/>
    <w:rsid w:val="00FB329E"/>
    <w:rsid w:val="00FB32BC"/>
    <w:rsid w:val="00FB32D0"/>
    <w:rsid w:val="00FB3302"/>
    <w:rsid w:val="00FB3311"/>
    <w:rsid w:val="00FB331E"/>
    <w:rsid w:val="00FB334C"/>
    <w:rsid w:val="00FB334F"/>
    <w:rsid w:val="00FB336D"/>
    <w:rsid w:val="00FB33DD"/>
    <w:rsid w:val="00FB3405"/>
    <w:rsid w:val="00FB3478"/>
    <w:rsid w:val="00FB34B1"/>
    <w:rsid w:val="00FB34BD"/>
    <w:rsid w:val="00FB34E8"/>
    <w:rsid w:val="00FB350B"/>
    <w:rsid w:val="00FB350C"/>
    <w:rsid w:val="00FB3575"/>
    <w:rsid w:val="00FB35A2"/>
    <w:rsid w:val="00FB35EA"/>
    <w:rsid w:val="00FB360A"/>
    <w:rsid w:val="00FB3618"/>
    <w:rsid w:val="00FB3624"/>
    <w:rsid w:val="00FB3650"/>
    <w:rsid w:val="00FB3707"/>
    <w:rsid w:val="00FB372F"/>
    <w:rsid w:val="00FB378A"/>
    <w:rsid w:val="00FB379B"/>
    <w:rsid w:val="00FB3842"/>
    <w:rsid w:val="00FB3843"/>
    <w:rsid w:val="00FB3859"/>
    <w:rsid w:val="00FB3893"/>
    <w:rsid w:val="00FB3896"/>
    <w:rsid w:val="00FB3920"/>
    <w:rsid w:val="00FB3997"/>
    <w:rsid w:val="00FB39A5"/>
    <w:rsid w:val="00FB39BE"/>
    <w:rsid w:val="00FB39D9"/>
    <w:rsid w:val="00FB3A04"/>
    <w:rsid w:val="00FB3A2B"/>
    <w:rsid w:val="00FB3A7E"/>
    <w:rsid w:val="00FB3A80"/>
    <w:rsid w:val="00FB3B1E"/>
    <w:rsid w:val="00FB3B3F"/>
    <w:rsid w:val="00FB3B7A"/>
    <w:rsid w:val="00FB3B85"/>
    <w:rsid w:val="00FB3B9F"/>
    <w:rsid w:val="00FB3BC5"/>
    <w:rsid w:val="00FB3C15"/>
    <w:rsid w:val="00FB3C20"/>
    <w:rsid w:val="00FB3C21"/>
    <w:rsid w:val="00FB3C2D"/>
    <w:rsid w:val="00FB3C66"/>
    <w:rsid w:val="00FB3C7A"/>
    <w:rsid w:val="00FB3D21"/>
    <w:rsid w:val="00FB3D24"/>
    <w:rsid w:val="00FB3D45"/>
    <w:rsid w:val="00FB3D54"/>
    <w:rsid w:val="00FB3D92"/>
    <w:rsid w:val="00FB3DE1"/>
    <w:rsid w:val="00FB3DEC"/>
    <w:rsid w:val="00FB3E42"/>
    <w:rsid w:val="00FB3E4C"/>
    <w:rsid w:val="00FB3E78"/>
    <w:rsid w:val="00FB3E82"/>
    <w:rsid w:val="00FB3ED4"/>
    <w:rsid w:val="00FB3EDE"/>
    <w:rsid w:val="00FB3EF3"/>
    <w:rsid w:val="00FB3F14"/>
    <w:rsid w:val="00FB4018"/>
    <w:rsid w:val="00FB401C"/>
    <w:rsid w:val="00FB4021"/>
    <w:rsid w:val="00FB4023"/>
    <w:rsid w:val="00FB404D"/>
    <w:rsid w:val="00FB4066"/>
    <w:rsid w:val="00FB40E4"/>
    <w:rsid w:val="00FB40ED"/>
    <w:rsid w:val="00FB412A"/>
    <w:rsid w:val="00FB4152"/>
    <w:rsid w:val="00FB419E"/>
    <w:rsid w:val="00FB41B8"/>
    <w:rsid w:val="00FB41EA"/>
    <w:rsid w:val="00FB424A"/>
    <w:rsid w:val="00FB424D"/>
    <w:rsid w:val="00FB427E"/>
    <w:rsid w:val="00FB4284"/>
    <w:rsid w:val="00FB433C"/>
    <w:rsid w:val="00FB433D"/>
    <w:rsid w:val="00FB4376"/>
    <w:rsid w:val="00FB4384"/>
    <w:rsid w:val="00FB438E"/>
    <w:rsid w:val="00FB4420"/>
    <w:rsid w:val="00FB445F"/>
    <w:rsid w:val="00FB4461"/>
    <w:rsid w:val="00FB44AF"/>
    <w:rsid w:val="00FB44E4"/>
    <w:rsid w:val="00FB4535"/>
    <w:rsid w:val="00FB4546"/>
    <w:rsid w:val="00FB4556"/>
    <w:rsid w:val="00FB4558"/>
    <w:rsid w:val="00FB4574"/>
    <w:rsid w:val="00FB45C1"/>
    <w:rsid w:val="00FB45D6"/>
    <w:rsid w:val="00FB4612"/>
    <w:rsid w:val="00FB4686"/>
    <w:rsid w:val="00FB46AE"/>
    <w:rsid w:val="00FB46BD"/>
    <w:rsid w:val="00FB46EC"/>
    <w:rsid w:val="00FB4727"/>
    <w:rsid w:val="00FB479D"/>
    <w:rsid w:val="00FB47B3"/>
    <w:rsid w:val="00FB47D5"/>
    <w:rsid w:val="00FB4815"/>
    <w:rsid w:val="00FB4867"/>
    <w:rsid w:val="00FB4892"/>
    <w:rsid w:val="00FB48AF"/>
    <w:rsid w:val="00FB48B9"/>
    <w:rsid w:val="00FB48E4"/>
    <w:rsid w:val="00FB491C"/>
    <w:rsid w:val="00FB497D"/>
    <w:rsid w:val="00FB4985"/>
    <w:rsid w:val="00FB49CD"/>
    <w:rsid w:val="00FB49E0"/>
    <w:rsid w:val="00FB49F5"/>
    <w:rsid w:val="00FB4A05"/>
    <w:rsid w:val="00FB4A97"/>
    <w:rsid w:val="00FB4A9C"/>
    <w:rsid w:val="00FB4B01"/>
    <w:rsid w:val="00FB4B17"/>
    <w:rsid w:val="00FB4B20"/>
    <w:rsid w:val="00FB4B6D"/>
    <w:rsid w:val="00FB4BCA"/>
    <w:rsid w:val="00FB4C17"/>
    <w:rsid w:val="00FB4C1E"/>
    <w:rsid w:val="00FB4C56"/>
    <w:rsid w:val="00FB4C6C"/>
    <w:rsid w:val="00FB4C97"/>
    <w:rsid w:val="00FB4C9A"/>
    <w:rsid w:val="00FB4CA9"/>
    <w:rsid w:val="00FB4CC3"/>
    <w:rsid w:val="00FB4CC5"/>
    <w:rsid w:val="00FB4CCF"/>
    <w:rsid w:val="00FB4D17"/>
    <w:rsid w:val="00FB4D88"/>
    <w:rsid w:val="00FB4DC3"/>
    <w:rsid w:val="00FB4E00"/>
    <w:rsid w:val="00FB4E2E"/>
    <w:rsid w:val="00FB4E40"/>
    <w:rsid w:val="00FB4F46"/>
    <w:rsid w:val="00FB4F84"/>
    <w:rsid w:val="00FB4FCD"/>
    <w:rsid w:val="00FB4FD5"/>
    <w:rsid w:val="00FB4FE3"/>
    <w:rsid w:val="00FB5094"/>
    <w:rsid w:val="00FB50F7"/>
    <w:rsid w:val="00FB5135"/>
    <w:rsid w:val="00FB5154"/>
    <w:rsid w:val="00FB515E"/>
    <w:rsid w:val="00FB516F"/>
    <w:rsid w:val="00FB51EE"/>
    <w:rsid w:val="00FB51F1"/>
    <w:rsid w:val="00FB5219"/>
    <w:rsid w:val="00FB5226"/>
    <w:rsid w:val="00FB5227"/>
    <w:rsid w:val="00FB5238"/>
    <w:rsid w:val="00FB526B"/>
    <w:rsid w:val="00FB52BD"/>
    <w:rsid w:val="00FB5309"/>
    <w:rsid w:val="00FB5323"/>
    <w:rsid w:val="00FB5339"/>
    <w:rsid w:val="00FB5341"/>
    <w:rsid w:val="00FB5370"/>
    <w:rsid w:val="00FB538A"/>
    <w:rsid w:val="00FB53D3"/>
    <w:rsid w:val="00FB53FD"/>
    <w:rsid w:val="00FB5456"/>
    <w:rsid w:val="00FB5473"/>
    <w:rsid w:val="00FB5482"/>
    <w:rsid w:val="00FB549D"/>
    <w:rsid w:val="00FB54D5"/>
    <w:rsid w:val="00FB54EF"/>
    <w:rsid w:val="00FB557D"/>
    <w:rsid w:val="00FB559F"/>
    <w:rsid w:val="00FB55A4"/>
    <w:rsid w:val="00FB55BF"/>
    <w:rsid w:val="00FB55E3"/>
    <w:rsid w:val="00FB5651"/>
    <w:rsid w:val="00FB56B7"/>
    <w:rsid w:val="00FB56DE"/>
    <w:rsid w:val="00FB577C"/>
    <w:rsid w:val="00FB57DD"/>
    <w:rsid w:val="00FB585F"/>
    <w:rsid w:val="00FB588B"/>
    <w:rsid w:val="00FB5891"/>
    <w:rsid w:val="00FB58E8"/>
    <w:rsid w:val="00FB5925"/>
    <w:rsid w:val="00FB5956"/>
    <w:rsid w:val="00FB5AA2"/>
    <w:rsid w:val="00FB5AAD"/>
    <w:rsid w:val="00FB5AB3"/>
    <w:rsid w:val="00FB5AD5"/>
    <w:rsid w:val="00FB5B22"/>
    <w:rsid w:val="00FB5B4A"/>
    <w:rsid w:val="00FB5B62"/>
    <w:rsid w:val="00FB5B86"/>
    <w:rsid w:val="00FB5BDB"/>
    <w:rsid w:val="00FB5BDE"/>
    <w:rsid w:val="00FB5BDF"/>
    <w:rsid w:val="00FB5C2C"/>
    <w:rsid w:val="00FB5C89"/>
    <w:rsid w:val="00FB5C8B"/>
    <w:rsid w:val="00FB5CC1"/>
    <w:rsid w:val="00FB5CCE"/>
    <w:rsid w:val="00FB5D0F"/>
    <w:rsid w:val="00FB5D16"/>
    <w:rsid w:val="00FB5D7F"/>
    <w:rsid w:val="00FB5DA6"/>
    <w:rsid w:val="00FB5DBF"/>
    <w:rsid w:val="00FB5DEF"/>
    <w:rsid w:val="00FB5F2E"/>
    <w:rsid w:val="00FB5F40"/>
    <w:rsid w:val="00FB5F56"/>
    <w:rsid w:val="00FB5F7B"/>
    <w:rsid w:val="00FB5FB0"/>
    <w:rsid w:val="00FB5FB7"/>
    <w:rsid w:val="00FB5FCA"/>
    <w:rsid w:val="00FB605B"/>
    <w:rsid w:val="00FB610B"/>
    <w:rsid w:val="00FB610D"/>
    <w:rsid w:val="00FB612D"/>
    <w:rsid w:val="00FB6188"/>
    <w:rsid w:val="00FB61A3"/>
    <w:rsid w:val="00FB61E4"/>
    <w:rsid w:val="00FB6228"/>
    <w:rsid w:val="00FB6256"/>
    <w:rsid w:val="00FB6259"/>
    <w:rsid w:val="00FB6362"/>
    <w:rsid w:val="00FB6374"/>
    <w:rsid w:val="00FB63B2"/>
    <w:rsid w:val="00FB63BC"/>
    <w:rsid w:val="00FB63FA"/>
    <w:rsid w:val="00FB640F"/>
    <w:rsid w:val="00FB6413"/>
    <w:rsid w:val="00FB6422"/>
    <w:rsid w:val="00FB6436"/>
    <w:rsid w:val="00FB645E"/>
    <w:rsid w:val="00FB6461"/>
    <w:rsid w:val="00FB6466"/>
    <w:rsid w:val="00FB6471"/>
    <w:rsid w:val="00FB6496"/>
    <w:rsid w:val="00FB64CF"/>
    <w:rsid w:val="00FB64D6"/>
    <w:rsid w:val="00FB64DA"/>
    <w:rsid w:val="00FB651E"/>
    <w:rsid w:val="00FB6563"/>
    <w:rsid w:val="00FB6586"/>
    <w:rsid w:val="00FB65C7"/>
    <w:rsid w:val="00FB65CD"/>
    <w:rsid w:val="00FB6610"/>
    <w:rsid w:val="00FB6625"/>
    <w:rsid w:val="00FB6678"/>
    <w:rsid w:val="00FB667A"/>
    <w:rsid w:val="00FB66A1"/>
    <w:rsid w:val="00FB66C0"/>
    <w:rsid w:val="00FB66F0"/>
    <w:rsid w:val="00FB6725"/>
    <w:rsid w:val="00FB6744"/>
    <w:rsid w:val="00FB67BE"/>
    <w:rsid w:val="00FB67F5"/>
    <w:rsid w:val="00FB67FB"/>
    <w:rsid w:val="00FB6842"/>
    <w:rsid w:val="00FB68D2"/>
    <w:rsid w:val="00FB68F6"/>
    <w:rsid w:val="00FB694D"/>
    <w:rsid w:val="00FB6962"/>
    <w:rsid w:val="00FB698A"/>
    <w:rsid w:val="00FB69A2"/>
    <w:rsid w:val="00FB69C7"/>
    <w:rsid w:val="00FB69F0"/>
    <w:rsid w:val="00FB6A08"/>
    <w:rsid w:val="00FB6A0A"/>
    <w:rsid w:val="00FB6A1D"/>
    <w:rsid w:val="00FB6A36"/>
    <w:rsid w:val="00FB6A3A"/>
    <w:rsid w:val="00FB6AB8"/>
    <w:rsid w:val="00FB6ADB"/>
    <w:rsid w:val="00FB6AE2"/>
    <w:rsid w:val="00FB6AE8"/>
    <w:rsid w:val="00FB6B02"/>
    <w:rsid w:val="00FB6B50"/>
    <w:rsid w:val="00FB6B5E"/>
    <w:rsid w:val="00FB6B72"/>
    <w:rsid w:val="00FB6BAB"/>
    <w:rsid w:val="00FB6BC4"/>
    <w:rsid w:val="00FB6BC8"/>
    <w:rsid w:val="00FB6BE1"/>
    <w:rsid w:val="00FB6C4C"/>
    <w:rsid w:val="00FB6CA8"/>
    <w:rsid w:val="00FB6CA9"/>
    <w:rsid w:val="00FB6CB7"/>
    <w:rsid w:val="00FB6CD0"/>
    <w:rsid w:val="00FB6CD8"/>
    <w:rsid w:val="00FB6D41"/>
    <w:rsid w:val="00FB6D62"/>
    <w:rsid w:val="00FB6D76"/>
    <w:rsid w:val="00FB6D9D"/>
    <w:rsid w:val="00FB6E23"/>
    <w:rsid w:val="00FB6E6A"/>
    <w:rsid w:val="00FB6E82"/>
    <w:rsid w:val="00FB6EDC"/>
    <w:rsid w:val="00FB6EF3"/>
    <w:rsid w:val="00FB6F2B"/>
    <w:rsid w:val="00FB6F38"/>
    <w:rsid w:val="00FB6F3B"/>
    <w:rsid w:val="00FB6F69"/>
    <w:rsid w:val="00FB6F7C"/>
    <w:rsid w:val="00FB6F8E"/>
    <w:rsid w:val="00FB6F8F"/>
    <w:rsid w:val="00FB6FD3"/>
    <w:rsid w:val="00FB705F"/>
    <w:rsid w:val="00FB7074"/>
    <w:rsid w:val="00FB707B"/>
    <w:rsid w:val="00FB7102"/>
    <w:rsid w:val="00FB710C"/>
    <w:rsid w:val="00FB7122"/>
    <w:rsid w:val="00FB7171"/>
    <w:rsid w:val="00FB717F"/>
    <w:rsid w:val="00FB71A5"/>
    <w:rsid w:val="00FB71B8"/>
    <w:rsid w:val="00FB722D"/>
    <w:rsid w:val="00FB7250"/>
    <w:rsid w:val="00FB725E"/>
    <w:rsid w:val="00FB7262"/>
    <w:rsid w:val="00FB72BA"/>
    <w:rsid w:val="00FB72BB"/>
    <w:rsid w:val="00FB72DF"/>
    <w:rsid w:val="00FB72E0"/>
    <w:rsid w:val="00FB7387"/>
    <w:rsid w:val="00FB7388"/>
    <w:rsid w:val="00FB7396"/>
    <w:rsid w:val="00FB73D7"/>
    <w:rsid w:val="00FB740E"/>
    <w:rsid w:val="00FB7442"/>
    <w:rsid w:val="00FB7461"/>
    <w:rsid w:val="00FB7477"/>
    <w:rsid w:val="00FB749A"/>
    <w:rsid w:val="00FB7512"/>
    <w:rsid w:val="00FB7515"/>
    <w:rsid w:val="00FB7540"/>
    <w:rsid w:val="00FB758A"/>
    <w:rsid w:val="00FB7590"/>
    <w:rsid w:val="00FB759C"/>
    <w:rsid w:val="00FB75BB"/>
    <w:rsid w:val="00FB75F6"/>
    <w:rsid w:val="00FB760A"/>
    <w:rsid w:val="00FB7615"/>
    <w:rsid w:val="00FB7662"/>
    <w:rsid w:val="00FB7671"/>
    <w:rsid w:val="00FB76D9"/>
    <w:rsid w:val="00FB76FF"/>
    <w:rsid w:val="00FB775A"/>
    <w:rsid w:val="00FB77AF"/>
    <w:rsid w:val="00FB77BE"/>
    <w:rsid w:val="00FB77D1"/>
    <w:rsid w:val="00FB7817"/>
    <w:rsid w:val="00FB782E"/>
    <w:rsid w:val="00FB7870"/>
    <w:rsid w:val="00FB788B"/>
    <w:rsid w:val="00FB78A9"/>
    <w:rsid w:val="00FB78AC"/>
    <w:rsid w:val="00FB78F6"/>
    <w:rsid w:val="00FB7931"/>
    <w:rsid w:val="00FB794B"/>
    <w:rsid w:val="00FB7999"/>
    <w:rsid w:val="00FB7A29"/>
    <w:rsid w:val="00FB7A35"/>
    <w:rsid w:val="00FB7A5B"/>
    <w:rsid w:val="00FB7A76"/>
    <w:rsid w:val="00FB7A97"/>
    <w:rsid w:val="00FB7AAB"/>
    <w:rsid w:val="00FB7AD4"/>
    <w:rsid w:val="00FB7AD9"/>
    <w:rsid w:val="00FB7B1C"/>
    <w:rsid w:val="00FB7B1D"/>
    <w:rsid w:val="00FB7B84"/>
    <w:rsid w:val="00FB7B97"/>
    <w:rsid w:val="00FB7BB9"/>
    <w:rsid w:val="00FB7BE8"/>
    <w:rsid w:val="00FB7BEA"/>
    <w:rsid w:val="00FB7C1D"/>
    <w:rsid w:val="00FB7C2A"/>
    <w:rsid w:val="00FB7C2D"/>
    <w:rsid w:val="00FB7C63"/>
    <w:rsid w:val="00FB7C7A"/>
    <w:rsid w:val="00FB7CAE"/>
    <w:rsid w:val="00FB7CB0"/>
    <w:rsid w:val="00FB7D5C"/>
    <w:rsid w:val="00FB7D75"/>
    <w:rsid w:val="00FB7DB0"/>
    <w:rsid w:val="00FB7DDD"/>
    <w:rsid w:val="00FB7E27"/>
    <w:rsid w:val="00FB7E44"/>
    <w:rsid w:val="00FB7E4F"/>
    <w:rsid w:val="00FB7E85"/>
    <w:rsid w:val="00FB7EB6"/>
    <w:rsid w:val="00FB7EBD"/>
    <w:rsid w:val="00FB7ED7"/>
    <w:rsid w:val="00FB7F39"/>
    <w:rsid w:val="00FB7F52"/>
    <w:rsid w:val="00FB7F6E"/>
    <w:rsid w:val="00FB7FAD"/>
    <w:rsid w:val="00FB7FDB"/>
    <w:rsid w:val="00FC0012"/>
    <w:rsid w:val="00FC0032"/>
    <w:rsid w:val="00FC0083"/>
    <w:rsid w:val="00FC00CA"/>
    <w:rsid w:val="00FC0105"/>
    <w:rsid w:val="00FC0139"/>
    <w:rsid w:val="00FC0199"/>
    <w:rsid w:val="00FC01B2"/>
    <w:rsid w:val="00FC0238"/>
    <w:rsid w:val="00FC029A"/>
    <w:rsid w:val="00FC02FF"/>
    <w:rsid w:val="00FC0361"/>
    <w:rsid w:val="00FC036B"/>
    <w:rsid w:val="00FC03CE"/>
    <w:rsid w:val="00FC03D5"/>
    <w:rsid w:val="00FC0404"/>
    <w:rsid w:val="00FC0407"/>
    <w:rsid w:val="00FC0415"/>
    <w:rsid w:val="00FC043E"/>
    <w:rsid w:val="00FC0455"/>
    <w:rsid w:val="00FC0481"/>
    <w:rsid w:val="00FC0486"/>
    <w:rsid w:val="00FC0491"/>
    <w:rsid w:val="00FC04A8"/>
    <w:rsid w:val="00FC0555"/>
    <w:rsid w:val="00FC058C"/>
    <w:rsid w:val="00FC05BF"/>
    <w:rsid w:val="00FC05E1"/>
    <w:rsid w:val="00FC05EE"/>
    <w:rsid w:val="00FC061D"/>
    <w:rsid w:val="00FC0684"/>
    <w:rsid w:val="00FC0703"/>
    <w:rsid w:val="00FC0735"/>
    <w:rsid w:val="00FC07DD"/>
    <w:rsid w:val="00FC0846"/>
    <w:rsid w:val="00FC08A7"/>
    <w:rsid w:val="00FC08F6"/>
    <w:rsid w:val="00FC096D"/>
    <w:rsid w:val="00FC098C"/>
    <w:rsid w:val="00FC099A"/>
    <w:rsid w:val="00FC09AE"/>
    <w:rsid w:val="00FC09E2"/>
    <w:rsid w:val="00FC0AAB"/>
    <w:rsid w:val="00FC0ADD"/>
    <w:rsid w:val="00FC0B1A"/>
    <w:rsid w:val="00FC0B29"/>
    <w:rsid w:val="00FC0B57"/>
    <w:rsid w:val="00FC0B84"/>
    <w:rsid w:val="00FC0BC0"/>
    <w:rsid w:val="00FC0BF9"/>
    <w:rsid w:val="00FC0BFA"/>
    <w:rsid w:val="00FC0C06"/>
    <w:rsid w:val="00FC0C22"/>
    <w:rsid w:val="00FC0C23"/>
    <w:rsid w:val="00FC0C6C"/>
    <w:rsid w:val="00FC0CC5"/>
    <w:rsid w:val="00FC0CE2"/>
    <w:rsid w:val="00FC0CF4"/>
    <w:rsid w:val="00FC0CFB"/>
    <w:rsid w:val="00FC0D4E"/>
    <w:rsid w:val="00FC0DC5"/>
    <w:rsid w:val="00FC0DCC"/>
    <w:rsid w:val="00FC0E7D"/>
    <w:rsid w:val="00FC0F15"/>
    <w:rsid w:val="00FC0F53"/>
    <w:rsid w:val="00FC0F84"/>
    <w:rsid w:val="00FC0F95"/>
    <w:rsid w:val="00FC0FA5"/>
    <w:rsid w:val="00FC1026"/>
    <w:rsid w:val="00FC102C"/>
    <w:rsid w:val="00FC1051"/>
    <w:rsid w:val="00FC1052"/>
    <w:rsid w:val="00FC109E"/>
    <w:rsid w:val="00FC1102"/>
    <w:rsid w:val="00FC1121"/>
    <w:rsid w:val="00FC1138"/>
    <w:rsid w:val="00FC117D"/>
    <w:rsid w:val="00FC11FB"/>
    <w:rsid w:val="00FC1204"/>
    <w:rsid w:val="00FC1215"/>
    <w:rsid w:val="00FC1263"/>
    <w:rsid w:val="00FC1285"/>
    <w:rsid w:val="00FC128B"/>
    <w:rsid w:val="00FC129D"/>
    <w:rsid w:val="00FC12C5"/>
    <w:rsid w:val="00FC12CC"/>
    <w:rsid w:val="00FC12FD"/>
    <w:rsid w:val="00FC13E0"/>
    <w:rsid w:val="00FC145B"/>
    <w:rsid w:val="00FC145C"/>
    <w:rsid w:val="00FC147A"/>
    <w:rsid w:val="00FC1481"/>
    <w:rsid w:val="00FC148D"/>
    <w:rsid w:val="00FC14AA"/>
    <w:rsid w:val="00FC14B9"/>
    <w:rsid w:val="00FC14FA"/>
    <w:rsid w:val="00FC1509"/>
    <w:rsid w:val="00FC1559"/>
    <w:rsid w:val="00FC158E"/>
    <w:rsid w:val="00FC1603"/>
    <w:rsid w:val="00FC1621"/>
    <w:rsid w:val="00FC1624"/>
    <w:rsid w:val="00FC1629"/>
    <w:rsid w:val="00FC1688"/>
    <w:rsid w:val="00FC1728"/>
    <w:rsid w:val="00FC1746"/>
    <w:rsid w:val="00FC176D"/>
    <w:rsid w:val="00FC1777"/>
    <w:rsid w:val="00FC17C0"/>
    <w:rsid w:val="00FC1802"/>
    <w:rsid w:val="00FC1827"/>
    <w:rsid w:val="00FC184D"/>
    <w:rsid w:val="00FC1851"/>
    <w:rsid w:val="00FC1887"/>
    <w:rsid w:val="00FC1969"/>
    <w:rsid w:val="00FC1981"/>
    <w:rsid w:val="00FC199A"/>
    <w:rsid w:val="00FC19C8"/>
    <w:rsid w:val="00FC19E7"/>
    <w:rsid w:val="00FC19F1"/>
    <w:rsid w:val="00FC1A1E"/>
    <w:rsid w:val="00FC1A33"/>
    <w:rsid w:val="00FC1A62"/>
    <w:rsid w:val="00FC1A8F"/>
    <w:rsid w:val="00FC1A99"/>
    <w:rsid w:val="00FC1B06"/>
    <w:rsid w:val="00FC1B12"/>
    <w:rsid w:val="00FC1BC8"/>
    <w:rsid w:val="00FC1BFC"/>
    <w:rsid w:val="00FC1CC9"/>
    <w:rsid w:val="00FC1D43"/>
    <w:rsid w:val="00FC1D93"/>
    <w:rsid w:val="00FC1E09"/>
    <w:rsid w:val="00FC1E3A"/>
    <w:rsid w:val="00FC1E3B"/>
    <w:rsid w:val="00FC1E5B"/>
    <w:rsid w:val="00FC1E80"/>
    <w:rsid w:val="00FC1EC4"/>
    <w:rsid w:val="00FC1EE9"/>
    <w:rsid w:val="00FC1F15"/>
    <w:rsid w:val="00FC1F1A"/>
    <w:rsid w:val="00FC1F1B"/>
    <w:rsid w:val="00FC1F37"/>
    <w:rsid w:val="00FC1F46"/>
    <w:rsid w:val="00FC1F5C"/>
    <w:rsid w:val="00FC1F9B"/>
    <w:rsid w:val="00FC1FE0"/>
    <w:rsid w:val="00FC1FEA"/>
    <w:rsid w:val="00FC200A"/>
    <w:rsid w:val="00FC203D"/>
    <w:rsid w:val="00FC20B3"/>
    <w:rsid w:val="00FC20B6"/>
    <w:rsid w:val="00FC2106"/>
    <w:rsid w:val="00FC2130"/>
    <w:rsid w:val="00FC21A3"/>
    <w:rsid w:val="00FC21D7"/>
    <w:rsid w:val="00FC2207"/>
    <w:rsid w:val="00FC2247"/>
    <w:rsid w:val="00FC225B"/>
    <w:rsid w:val="00FC2265"/>
    <w:rsid w:val="00FC2299"/>
    <w:rsid w:val="00FC22F8"/>
    <w:rsid w:val="00FC2332"/>
    <w:rsid w:val="00FC2352"/>
    <w:rsid w:val="00FC2354"/>
    <w:rsid w:val="00FC23A0"/>
    <w:rsid w:val="00FC23E1"/>
    <w:rsid w:val="00FC23EB"/>
    <w:rsid w:val="00FC2428"/>
    <w:rsid w:val="00FC24B2"/>
    <w:rsid w:val="00FC24FC"/>
    <w:rsid w:val="00FC24FD"/>
    <w:rsid w:val="00FC2501"/>
    <w:rsid w:val="00FC2513"/>
    <w:rsid w:val="00FC251F"/>
    <w:rsid w:val="00FC2538"/>
    <w:rsid w:val="00FC254C"/>
    <w:rsid w:val="00FC2559"/>
    <w:rsid w:val="00FC2565"/>
    <w:rsid w:val="00FC2578"/>
    <w:rsid w:val="00FC25A8"/>
    <w:rsid w:val="00FC2619"/>
    <w:rsid w:val="00FC261C"/>
    <w:rsid w:val="00FC2648"/>
    <w:rsid w:val="00FC26AF"/>
    <w:rsid w:val="00FC26CA"/>
    <w:rsid w:val="00FC2863"/>
    <w:rsid w:val="00FC286E"/>
    <w:rsid w:val="00FC28A3"/>
    <w:rsid w:val="00FC28DF"/>
    <w:rsid w:val="00FC28E2"/>
    <w:rsid w:val="00FC28F4"/>
    <w:rsid w:val="00FC293E"/>
    <w:rsid w:val="00FC29C7"/>
    <w:rsid w:val="00FC2A81"/>
    <w:rsid w:val="00FC2A8A"/>
    <w:rsid w:val="00FC2A8C"/>
    <w:rsid w:val="00FC2A9D"/>
    <w:rsid w:val="00FC2ACD"/>
    <w:rsid w:val="00FC2AF0"/>
    <w:rsid w:val="00FC2B38"/>
    <w:rsid w:val="00FC2B3D"/>
    <w:rsid w:val="00FC2B5C"/>
    <w:rsid w:val="00FC2BC3"/>
    <w:rsid w:val="00FC2BCF"/>
    <w:rsid w:val="00FC2C30"/>
    <w:rsid w:val="00FC2C34"/>
    <w:rsid w:val="00FC2C37"/>
    <w:rsid w:val="00FC2C48"/>
    <w:rsid w:val="00FC2C4D"/>
    <w:rsid w:val="00FC2C62"/>
    <w:rsid w:val="00FC2CA0"/>
    <w:rsid w:val="00FC2D24"/>
    <w:rsid w:val="00FC2D27"/>
    <w:rsid w:val="00FC2D78"/>
    <w:rsid w:val="00FC2DD2"/>
    <w:rsid w:val="00FC2DE6"/>
    <w:rsid w:val="00FC2DF8"/>
    <w:rsid w:val="00FC2E12"/>
    <w:rsid w:val="00FC2E35"/>
    <w:rsid w:val="00FC2E6E"/>
    <w:rsid w:val="00FC2E80"/>
    <w:rsid w:val="00FC2EC1"/>
    <w:rsid w:val="00FC2EDE"/>
    <w:rsid w:val="00FC2F25"/>
    <w:rsid w:val="00FC2F7A"/>
    <w:rsid w:val="00FC3037"/>
    <w:rsid w:val="00FC3050"/>
    <w:rsid w:val="00FC30CC"/>
    <w:rsid w:val="00FC30E1"/>
    <w:rsid w:val="00FC30EA"/>
    <w:rsid w:val="00FC310C"/>
    <w:rsid w:val="00FC3113"/>
    <w:rsid w:val="00FC3131"/>
    <w:rsid w:val="00FC3132"/>
    <w:rsid w:val="00FC314A"/>
    <w:rsid w:val="00FC315F"/>
    <w:rsid w:val="00FC318C"/>
    <w:rsid w:val="00FC3199"/>
    <w:rsid w:val="00FC31F7"/>
    <w:rsid w:val="00FC323A"/>
    <w:rsid w:val="00FC323B"/>
    <w:rsid w:val="00FC3241"/>
    <w:rsid w:val="00FC332E"/>
    <w:rsid w:val="00FC3332"/>
    <w:rsid w:val="00FC3337"/>
    <w:rsid w:val="00FC3345"/>
    <w:rsid w:val="00FC3356"/>
    <w:rsid w:val="00FC337B"/>
    <w:rsid w:val="00FC338A"/>
    <w:rsid w:val="00FC33BD"/>
    <w:rsid w:val="00FC33C8"/>
    <w:rsid w:val="00FC33E1"/>
    <w:rsid w:val="00FC346C"/>
    <w:rsid w:val="00FC349D"/>
    <w:rsid w:val="00FC34CB"/>
    <w:rsid w:val="00FC34DB"/>
    <w:rsid w:val="00FC34EC"/>
    <w:rsid w:val="00FC3520"/>
    <w:rsid w:val="00FC35B3"/>
    <w:rsid w:val="00FC35CD"/>
    <w:rsid w:val="00FC35D2"/>
    <w:rsid w:val="00FC35D9"/>
    <w:rsid w:val="00FC3641"/>
    <w:rsid w:val="00FC364E"/>
    <w:rsid w:val="00FC36C1"/>
    <w:rsid w:val="00FC36F9"/>
    <w:rsid w:val="00FC3715"/>
    <w:rsid w:val="00FC3721"/>
    <w:rsid w:val="00FC372B"/>
    <w:rsid w:val="00FC3747"/>
    <w:rsid w:val="00FC3793"/>
    <w:rsid w:val="00FC37A5"/>
    <w:rsid w:val="00FC37D7"/>
    <w:rsid w:val="00FC37EE"/>
    <w:rsid w:val="00FC381B"/>
    <w:rsid w:val="00FC3826"/>
    <w:rsid w:val="00FC3867"/>
    <w:rsid w:val="00FC387A"/>
    <w:rsid w:val="00FC38B8"/>
    <w:rsid w:val="00FC38C6"/>
    <w:rsid w:val="00FC38CE"/>
    <w:rsid w:val="00FC38D6"/>
    <w:rsid w:val="00FC38D8"/>
    <w:rsid w:val="00FC38E8"/>
    <w:rsid w:val="00FC3915"/>
    <w:rsid w:val="00FC3944"/>
    <w:rsid w:val="00FC394A"/>
    <w:rsid w:val="00FC394B"/>
    <w:rsid w:val="00FC3A27"/>
    <w:rsid w:val="00FC3A59"/>
    <w:rsid w:val="00FC3A72"/>
    <w:rsid w:val="00FC3A79"/>
    <w:rsid w:val="00FC3AAE"/>
    <w:rsid w:val="00FC3B18"/>
    <w:rsid w:val="00FC3B23"/>
    <w:rsid w:val="00FC3B94"/>
    <w:rsid w:val="00FC3BA2"/>
    <w:rsid w:val="00FC3BD7"/>
    <w:rsid w:val="00FC3BEB"/>
    <w:rsid w:val="00FC3C31"/>
    <w:rsid w:val="00FC3C46"/>
    <w:rsid w:val="00FC3C4A"/>
    <w:rsid w:val="00FC3C4E"/>
    <w:rsid w:val="00FC3C82"/>
    <w:rsid w:val="00FC3CE4"/>
    <w:rsid w:val="00FC3CF9"/>
    <w:rsid w:val="00FC3D11"/>
    <w:rsid w:val="00FC3D15"/>
    <w:rsid w:val="00FC3D20"/>
    <w:rsid w:val="00FC3D9C"/>
    <w:rsid w:val="00FC3E35"/>
    <w:rsid w:val="00FC3E8F"/>
    <w:rsid w:val="00FC3E9C"/>
    <w:rsid w:val="00FC3EA6"/>
    <w:rsid w:val="00FC3F28"/>
    <w:rsid w:val="00FC3F39"/>
    <w:rsid w:val="00FC3F6E"/>
    <w:rsid w:val="00FC3F74"/>
    <w:rsid w:val="00FC3F88"/>
    <w:rsid w:val="00FC3FF7"/>
    <w:rsid w:val="00FC4021"/>
    <w:rsid w:val="00FC402B"/>
    <w:rsid w:val="00FC4032"/>
    <w:rsid w:val="00FC4070"/>
    <w:rsid w:val="00FC40B3"/>
    <w:rsid w:val="00FC410B"/>
    <w:rsid w:val="00FC41C8"/>
    <w:rsid w:val="00FC41CF"/>
    <w:rsid w:val="00FC421E"/>
    <w:rsid w:val="00FC4273"/>
    <w:rsid w:val="00FC429E"/>
    <w:rsid w:val="00FC42A6"/>
    <w:rsid w:val="00FC42CA"/>
    <w:rsid w:val="00FC42DB"/>
    <w:rsid w:val="00FC4309"/>
    <w:rsid w:val="00FC430D"/>
    <w:rsid w:val="00FC4326"/>
    <w:rsid w:val="00FC43BF"/>
    <w:rsid w:val="00FC43CA"/>
    <w:rsid w:val="00FC43FE"/>
    <w:rsid w:val="00FC445F"/>
    <w:rsid w:val="00FC447D"/>
    <w:rsid w:val="00FC449F"/>
    <w:rsid w:val="00FC4511"/>
    <w:rsid w:val="00FC4582"/>
    <w:rsid w:val="00FC45AF"/>
    <w:rsid w:val="00FC461D"/>
    <w:rsid w:val="00FC4622"/>
    <w:rsid w:val="00FC4624"/>
    <w:rsid w:val="00FC4656"/>
    <w:rsid w:val="00FC468E"/>
    <w:rsid w:val="00FC46B5"/>
    <w:rsid w:val="00FC46E6"/>
    <w:rsid w:val="00FC4704"/>
    <w:rsid w:val="00FC473F"/>
    <w:rsid w:val="00FC4755"/>
    <w:rsid w:val="00FC47A5"/>
    <w:rsid w:val="00FC47A9"/>
    <w:rsid w:val="00FC47F0"/>
    <w:rsid w:val="00FC4837"/>
    <w:rsid w:val="00FC4843"/>
    <w:rsid w:val="00FC488E"/>
    <w:rsid w:val="00FC48C5"/>
    <w:rsid w:val="00FC48E0"/>
    <w:rsid w:val="00FC48E2"/>
    <w:rsid w:val="00FC48EC"/>
    <w:rsid w:val="00FC4977"/>
    <w:rsid w:val="00FC4AD2"/>
    <w:rsid w:val="00FC4AED"/>
    <w:rsid w:val="00FC4B20"/>
    <w:rsid w:val="00FC4B21"/>
    <w:rsid w:val="00FC4B2D"/>
    <w:rsid w:val="00FC4B33"/>
    <w:rsid w:val="00FC4B38"/>
    <w:rsid w:val="00FC4B40"/>
    <w:rsid w:val="00FC4B44"/>
    <w:rsid w:val="00FC4B4F"/>
    <w:rsid w:val="00FC4B6D"/>
    <w:rsid w:val="00FC4BBA"/>
    <w:rsid w:val="00FC4BC0"/>
    <w:rsid w:val="00FC4BC3"/>
    <w:rsid w:val="00FC4BDE"/>
    <w:rsid w:val="00FC4BE4"/>
    <w:rsid w:val="00FC4BF2"/>
    <w:rsid w:val="00FC4C2E"/>
    <w:rsid w:val="00FC4C66"/>
    <w:rsid w:val="00FC4C72"/>
    <w:rsid w:val="00FC4CB8"/>
    <w:rsid w:val="00FC4CD5"/>
    <w:rsid w:val="00FC4CE4"/>
    <w:rsid w:val="00FC4CF8"/>
    <w:rsid w:val="00FC4CFE"/>
    <w:rsid w:val="00FC4D03"/>
    <w:rsid w:val="00FC4D37"/>
    <w:rsid w:val="00FC4D63"/>
    <w:rsid w:val="00FC4DC8"/>
    <w:rsid w:val="00FC4DCC"/>
    <w:rsid w:val="00FC4DD7"/>
    <w:rsid w:val="00FC4DE5"/>
    <w:rsid w:val="00FC4E4A"/>
    <w:rsid w:val="00FC4E5C"/>
    <w:rsid w:val="00FC4EA1"/>
    <w:rsid w:val="00FC4F5A"/>
    <w:rsid w:val="00FC4F82"/>
    <w:rsid w:val="00FC4F88"/>
    <w:rsid w:val="00FC5029"/>
    <w:rsid w:val="00FC5033"/>
    <w:rsid w:val="00FC5037"/>
    <w:rsid w:val="00FC5075"/>
    <w:rsid w:val="00FC5086"/>
    <w:rsid w:val="00FC50F7"/>
    <w:rsid w:val="00FC5113"/>
    <w:rsid w:val="00FC512C"/>
    <w:rsid w:val="00FC5150"/>
    <w:rsid w:val="00FC5174"/>
    <w:rsid w:val="00FC51D1"/>
    <w:rsid w:val="00FC51DB"/>
    <w:rsid w:val="00FC51FB"/>
    <w:rsid w:val="00FC5206"/>
    <w:rsid w:val="00FC520C"/>
    <w:rsid w:val="00FC5212"/>
    <w:rsid w:val="00FC522A"/>
    <w:rsid w:val="00FC5232"/>
    <w:rsid w:val="00FC5245"/>
    <w:rsid w:val="00FC52C8"/>
    <w:rsid w:val="00FC52D2"/>
    <w:rsid w:val="00FC5386"/>
    <w:rsid w:val="00FC5388"/>
    <w:rsid w:val="00FC53AA"/>
    <w:rsid w:val="00FC53BF"/>
    <w:rsid w:val="00FC53FF"/>
    <w:rsid w:val="00FC541A"/>
    <w:rsid w:val="00FC544F"/>
    <w:rsid w:val="00FC5455"/>
    <w:rsid w:val="00FC5484"/>
    <w:rsid w:val="00FC549E"/>
    <w:rsid w:val="00FC54CF"/>
    <w:rsid w:val="00FC54DE"/>
    <w:rsid w:val="00FC5510"/>
    <w:rsid w:val="00FC5583"/>
    <w:rsid w:val="00FC55A7"/>
    <w:rsid w:val="00FC55E5"/>
    <w:rsid w:val="00FC561B"/>
    <w:rsid w:val="00FC5623"/>
    <w:rsid w:val="00FC5645"/>
    <w:rsid w:val="00FC5647"/>
    <w:rsid w:val="00FC564E"/>
    <w:rsid w:val="00FC5662"/>
    <w:rsid w:val="00FC566D"/>
    <w:rsid w:val="00FC571E"/>
    <w:rsid w:val="00FC5721"/>
    <w:rsid w:val="00FC5769"/>
    <w:rsid w:val="00FC57C6"/>
    <w:rsid w:val="00FC57C7"/>
    <w:rsid w:val="00FC57D6"/>
    <w:rsid w:val="00FC57D9"/>
    <w:rsid w:val="00FC57EE"/>
    <w:rsid w:val="00FC5830"/>
    <w:rsid w:val="00FC583F"/>
    <w:rsid w:val="00FC5889"/>
    <w:rsid w:val="00FC588D"/>
    <w:rsid w:val="00FC58C8"/>
    <w:rsid w:val="00FC58DE"/>
    <w:rsid w:val="00FC58E3"/>
    <w:rsid w:val="00FC58ED"/>
    <w:rsid w:val="00FC596E"/>
    <w:rsid w:val="00FC5982"/>
    <w:rsid w:val="00FC59AB"/>
    <w:rsid w:val="00FC5A01"/>
    <w:rsid w:val="00FC5A03"/>
    <w:rsid w:val="00FC5A39"/>
    <w:rsid w:val="00FC5ABC"/>
    <w:rsid w:val="00FC5AC4"/>
    <w:rsid w:val="00FC5ADB"/>
    <w:rsid w:val="00FC5AF6"/>
    <w:rsid w:val="00FC5B0E"/>
    <w:rsid w:val="00FC5B2B"/>
    <w:rsid w:val="00FC5B2E"/>
    <w:rsid w:val="00FC5B34"/>
    <w:rsid w:val="00FC5B5F"/>
    <w:rsid w:val="00FC5B8B"/>
    <w:rsid w:val="00FC5BBD"/>
    <w:rsid w:val="00FC5BEC"/>
    <w:rsid w:val="00FC5C0D"/>
    <w:rsid w:val="00FC5C15"/>
    <w:rsid w:val="00FC5C19"/>
    <w:rsid w:val="00FC5C1C"/>
    <w:rsid w:val="00FC5C6B"/>
    <w:rsid w:val="00FC5CB6"/>
    <w:rsid w:val="00FC5CEA"/>
    <w:rsid w:val="00FC5D23"/>
    <w:rsid w:val="00FC5D36"/>
    <w:rsid w:val="00FC5D57"/>
    <w:rsid w:val="00FC5D6B"/>
    <w:rsid w:val="00FC5D6E"/>
    <w:rsid w:val="00FC5D81"/>
    <w:rsid w:val="00FC5DA6"/>
    <w:rsid w:val="00FC5E62"/>
    <w:rsid w:val="00FC5E75"/>
    <w:rsid w:val="00FC5E84"/>
    <w:rsid w:val="00FC5EBF"/>
    <w:rsid w:val="00FC5ED3"/>
    <w:rsid w:val="00FC5EDF"/>
    <w:rsid w:val="00FC5F03"/>
    <w:rsid w:val="00FC5F50"/>
    <w:rsid w:val="00FC5F78"/>
    <w:rsid w:val="00FC5FB8"/>
    <w:rsid w:val="00FC5FDF"/>
    <w:rsid w:val="00FC5FE9"/>
    <w:rsid w:val="00FC6035"/>
    <w:rsid w:val="00FC6056"/>
    <w:rsid w:val="00FC605A"/>
    <w:rsid w:val="00FC6097"/>
    <w:rsid w:val="00FC60B4"/>
    <w:rsid w:val="00FC6111"/>
    <w:rsid w:val="00FC6129"/>
    <w:rsid w:val="00FC6130"/>
    <w:rsid w:val="00FC6146"/>
    <w:rsid w:val="00FC6150"/>
    <w:rsid w:val="00FC6159"/>
    <w:rsid w:val="00FC6166"/>
    <w:rsid w:val="00FC618C"/>
    <w:rsid w:val="00FC61C4"/>
    <w:rsid w:val="00FC61F7"/>
    <w:rsid w:val="00FC6205"/>
    <w:rsid w:val="00FC620E"/>
    <w:rsid w:val="00FC622E"/>
    <w:rsid w:val="00FC623A"/>
    <w:rsid w:val="00FC6254"/>
    <w:rsid w:val="00FC6271"/>
    <w:rsid w:val="00FC6288"/>
    <w:rsid w:val="00FC6318"/>
    <w:rsid w:val="00FC6356"/>
    <w:rsid w:val="00FC63BB"/>
    <w:rsid w:val="00FC63BF"/>
    <w:rsid w:val="00FC63D6"/>
    <w:rsid w:val="00FC6413"/>
    <w:rsid w:val="00FC6495"/>
    <w:rsid w:val="00FC64C0"/>
    <w:rsid w:val="00FC64E6"/>
    <w:rsid w:val="00FC654B"/>
    <w:rsid w:val="00FC6565"/>
    <w:rsid w:val="00FC6570"/>
    <w:rsid w:val="00FC6580"/>
    <w:rsid w:val="00FC65CE"/>
    <w:rsid w:val="00FC65F7"/>
    <w:rsid w:val="00FC65FD"/>
    <w:rsid w:val="00FC6620"/>
    <w:rsid w:val="00FC6630"/>
    <w:rsid w:val="00FC6640"/>
    <w:rsid w:val="00FC664C"/>
    <w:rsid w:val="00FC6663"/>
    <w:rsid w:val="00FC6681"/>
    <w:rsid w:val="00FC66FD"/>
    <w:rsid w:val="00FC672E"/>
    <w:rsid w:val="00FC673C"/>
    <w:rsid w:val="00FC6755"/>
    <w:rsid w:val="00FC680A"/>
    <w:rsid w:val="00FC6818"/>
    <w:rsid w:val="00FC685A"/>
    <w:rsid w:val="00FC6879"/>
    <w:rsid w:val="00FC689C"/>
    <w:rsid w:val="00FC68A3"/>
    <w:rsid w:val="00FC68AE"/>
    <w:rsid w:val="00FC68E4"/>
    <w:rsid w:val="00FC68F4"/>
    <w:rsid w:val="00FC6904"/>
    <w:rsid w:val="00FC6939"/>
    <w:rsid w:val="00FC6955"/>
    <w:rsid w:val="00FC6960"/>
    <w:rsid w:val="00FC699C"/>
    <w:rsid w:val="00FC69A0"/>
    <w:rsid w:val="00FC69A1"/>
    <w:rsid w:val="00FC6A17"/>
    <w:rsid w:val="00FC6A33"/>
    <w:rsid w:val="00FC6A55"/>
    <w:rsid w:val="00FC6A98"/>
    <w:rsid w:val="00FC6ACE"/>
    <w:rsid w:val="00FC6AE3"/>
    <w:rsid w:val="00FC6AF0"/>
    <w:rsid w:val="00FC6B07"/>
    <w:rsid w:val="00FC6B18"/>
    <w:rsid w:val="00FC6B34"/>
    <w:rsid w:val="00FC6B5B"/>
    <w:rsid w:val="00FC6B7A"/>
    <w:rsid w:val="00FC6BD1"/>
    <w:rsid w:val="00FC6BE4"/>
    <w:rsid w:val="00FC6BF4"/>
    <w:rsid w:val="00FC6C04"/>
    <w:rsid w:val="00FC6C20"/>
    <w:rsid w:val="00FC6C24"/>
    <w:rsid w:val="00FC6C5B"/>
    <w:rsid w:val="00FC6CD4"/>
    <w:rsid w:val="00FC6CF8"/>
    <w:rsid w:val="00FC6D19"/>
    <w:rsid w:val="00FC6D1B"/>
    <w:rsid w:val="00FC6D54"/>
    <w:rsid w:val="00FC6DAF"/>
    <w:rsid w:val="00FC6DEE"/>
    <w:rsid w:val="00FC6DFC"/>
    <w:rsid w:val="00FC6DFF"/>
    <w:rsid w:val="00FC6E43"/>
    <w:rsid w:val="00FC6E4C"/>
    <w:rsid w:val="00FC6E65"/>
    <w:rsid w:val="00FC6E7C"/>
    <w:rsid w:val="00FC6E8D"/>
    <w:rsid w:val="00FC6E9D"/>
    <w:rsid w:val="00FC6EB2"/>
    <w:rsid w:val="00FC6EFE"/>
    <w:rsid w:val="00FC6F8E"/>
    <w:rsid w:val="00FC6F91"/>
    <w:rsid w:val="00FC6FA9"/>
    <w:rsid w:val="00FC6FCB"/>
    <w:rsid w:val="00FC7012"/>
    <w:rsid w:val="00FC7029"/>
    <w:rsid w:val="00FC7037"/>
    <w:rsid w:val="00FC703B"/>
    <w:rsid w:val="00FC7047"/>
    <w:rsid w:val="00FC7051"/>
    <w:rsid w:val="00FC70AB"/>
    <w:rsid w:val="00FC70DF"/>
    <w:rsid w:val="00FC7159"/>
    <w:rsid w:val="00FC7172"/>
    <w:rsid w:val="00FC71A4"/>
    <w:rsid w:val="00FC71C1"/>
    <w:rsid w:val="00FC71C9"/>
    <w:rsid w:val="00FC71D1"/>
    <w:rsid w:val="00FC71E1"/>
    <w:rsid w:val="00FC723E"/>
    <w:rsid w:val="00FC72C1"/>
    <w:rsid w:val="00FC72E8"/>
    <w:rsid w:val="00FC72FA"/>
    <w:rsid w:val="00FC7331"/>
    <w:rsid w:val="00FC7360"/>
    <w:rsid w:val="00FC736D"/>
    <w:rsid w:val="00FC738C"/>
    <w:rsid w:val="00FC73BD"/>
    <w:rsid w:val="00FC73C1"/>
    <w:rsid w:val="00FC73EA"/>
    <w:rsid w:val="00FC73F1"/>
    <w:rsid w:val="00FC7435"/>
    <w:rsid w:val="00FC745E"/>
    <w:rsid w:val="00FC74B8"/>
    <w:rsid w:val="00FC74BC"/>
    <w:rsid w:val="00FC752D"/>
    <w:rsid w:val="00FC7531"/>
    <w:rsid w:val="00FC754A"/>
    <w:rsid w:val="00FC7563"/>
    <w:rsid w:val="00FC758F"/>
    <w:rsid w:val="00FC75A9"/>
    <w:rsid w:val="00FC75E9"/>
    <w:rsid w:val="00FC75F7"/>
    <w:rsid w:val="00FC75FD"/>
    <w:rsid w:val="00FC7606"/>
    <w:rsid w:val="00FC766D"/>
    <w:rsid w:val="00FC7681"/>
    <w:rsid w:val="00FC76B5"/>
    <w:rsid w:val="00FC76CB"/>
    <w:rsid w:val="00FC76DA"/>
    <w:rsid w:val="00FC7701"/>
    <w:rsid w:val="00FC771B"/>
    <w:rsid w:val="00FC7721"/>
    <w:rsid w:val="00FC7738"/>
    <w:rsid w:val="00FC77A2"/>
    <w:rsid w:val="00FC780C"/>
    <w:rsid w:val="00FC7842"/>
    <w:rsid w:val="00FC78CB"/>
    <w:rsid w:val="00FC78D0"/>
    <w:rsid w:val="00FC791C"/>
    <w:rsid w:val="00FC7940"/>
    <w:rsid w:val="00FC7942"/>
    <w:rsid w:val="00FC7954"/>
    <w:rsid w:val="00FC79A8"/>
    <w:rsid w:val="00FC79AE"/>
    <w:rsid w:val="00FC79B6"/>
    <w:rsid w:val="00FC7A05"/>
    <w:rsid w:val="00FC7A5C"/>
    <w:rsid w:val="00FC7A78"/>
    <w:rsid w:val="00FC7A95"/>
    <w:rsid w:val="00FC7B29"/>
    <w:rsid w:val="00FC7BCD"/>
    <w:rsid w:val="00FC7C0F"/>
    <w:rsid w:val="00FC7C19"/>
    <w:rsid w:val="00FC7C1C"/>
    <w:rsid w:val="00FC7C5F"/>
    <w:rsid w:val="00FC7C93"/>
    <w:rsid w:val="00FC7CA1"/>
    <w:rsid w:val="00FC7CA4"/>
    <w:rsid w:val="00FC7CB7"/>
    <w:rsid w:val="00FC7CC0"/>
    <w:rsid w:val="00FC7CCE"/>
    <w:rsid w:val="00FC7CF9"/>
    <w:rsid w:val="00FC7D09"/>
    <w:rsid w:val="00FC7D11"/>
    <w:rsid w:val="00FC7D2B"/>
    <w:rsid w:val="00FC7D45"/>
    <w:rsid w:val="00FC7D59"/>
    <w:rsid w:val="00FC7DA5"/>
    <w:rsid w:val="00FC7E18"/>
    <w:rsid w:val="00FC7E29"/>
    <w:rsid w:val="00FC7E5E"/>
    <w:rsid w:val="00FC7EAB"/>
    <w:rsid w:val="00FC7EC4"/>
    <w:rsid w:val="00FC7ECC"/>
    <w:rsid w:val="00FC7EDE"/>
    <w:rsid w:val="00FC7EE9"/>
    <w:rsid w:val="00FC7F40"/>
    <w:rsid w:val="00FC7F5B"/>
    <w:rsid w:val="00FC7F89"/>
    <w:rsid w:val="00FC7F8E"/>
    <w:rsid w:val="00FC7F9A"/>
    <w:rsid w:val="00FC7FE5"/>
    <w:rsid w:val="00FCB0FE"/>
    <w:rsid w:val="00FD0003"/>
    <w:rsid w:val="00FD003B"/>
    <w:rsid w:val="00FD008A"/>
    <w:rsid w:val="00FD00B5"/>
    <w:rsid w:val="00FD014C"/>
    <w:rsid w:val="00FD014E"/>
    <w:rsid w:val="00FD0162"/>
    <w:rsid w:val="00FD0184"/>
    <w:rsid w:val="00FD01A8"/>
    <w:rsid w:val="00FD01AF"/>
    <w:rsid w:val="00FD021A"/>
    <w:rsid w:val="00FD0254"/>
    <w:rsid w:val="00FD0288"/>
    <w:rsid w:val="00FD02B9"/>
    <w:rsid w:val="00FD0313"/>
    <w:rsid w:val="00FD0374"/>
    <w:rsid w:val="00FD0395"/>
    <w:rsid w:val="00FD03B9"/>
    <w:rsid w:val="00FD03C4"/>
    <w:rsid w:val="00FD03DA"/>
    <w:rsid w:val="00FD0427"/>
    <w:rsid w:val="00FD045F"/>
    <w:rsid w:val="00FD0465"/>
    <w:rsid w:val="00FD04A6"/>
    <w:rsid w:val="00FD04AE"/>
    <w:rsid w:val="00FD04D0"/>
    <w:rsid w:val="00FD04FD"/>
    <w:rsid w:val="00FD0540"/>
    <w:rsid w:val="00FD0553"/>
    <w:rsid w:val="00FD0560"/>
    <w:rsid w:val="00FD0569"/>
    <w:rsid w:val="00FD056F"/>
    <w:rsid w:val="00FD05AF"/>
    <w:rsid w:val="00FD05EE"/>
    <w:rsid w:val="00FD05F1"/>
    <w:rsid w:val="00FD0619"/>
    <w:rsid w:val="00FD0626"/>
    <w:rsid w:val="00FD0635"/>
    <w:rsid w:val="00FD0642"/>
    <w:rsid w:val="00FD0676"/>
    <w:rsid w:val="00FD068D"/>
    <w:rsid w:val="00FD06D9"/>
    <w:rsid w:val="00FD0751"/>
    <w:rsid w:val="00FD0753"/>
    <w:rsid w:val="00FD0798"/>
    <w:rsid w:val="00FD07B8"/>
    <w:rsid w:val="00FD07C3"/>
    <w:rsid w:val="00FD07FC"/>
    <w:rsid w:val="00FD0824"/>
    <w:rsid w:val="00FD08A6"/>
    <w:rsid w:val="00FD08D6"/>
    <w:rsid w:val="00FD08E6"/>
    <w:rsid w:val="00FD08FA"/>
    <w:rsid w:val="00FD091B"/>
    <w:rsid w:val="00FD0927"/>
    <w:rsid w:val="00FD0946"/>
    <w:rsid w:val="00FD097A"/>
    <w:rsid w:val="00FD097B"/>
    <w:rsid w:val="00FD0986"/>
    <w:rsid w:val="00FD09AA"/>
    <w:rsid w:val="00FD0A04"/>
    <w:rsid w:val="00FD0A09"/>
    <w:rsid w:val="00FD0A19"/>
    <w:rsid w:val="00FD0A7A"/>
    <w:rsid w:val="00FD0A81"/>
    <w:rsid w:val="00FD0B1F"/>
    <w:rsid w:val="00FD0B26"/>
    <w:rsid w:val="00FD0B52"/>
    <w:rsid w:val="00FD0BBB"/>
    <w:rsid w:val="00FD0BC4"/>
    <w:rsid w:val="00FD0BDB"/>
    <w:rsid w:val="00FD0BF0"/>
    <w:rsid w:val="00FD0BFC"/>
    <w:rsid w:val="00FD0C86"/>
    <w:rsid w:val="00FD0C88"/>
    <w:rsid w:val="00FD0C8F"/>
    <w:rsid w:val="00FD0CFE"/>
    <w:rsid w:val="00FD0D08"/>
    <w:rsid w:val="00FD0D0C"/>
    <w:rsid w:val="00FD0D24"/>
    <w:rsid w:val="00FD0D6C"/>
    <w:rsid w:val="00FD0DC6"/>
    <w:rsid w:val="00FD0E22"/>
    <w:rsid w:val="00FD0E5D"/>
    <w:rsid w:val="00FD0E87"/>
    <w:rsid w:val="00FD0E89"/>
    <w:rsid w:val="00FD0EB6"/>
    <w:rsid w:val="00FD0EE8"/>
    <w:rsid w:val="00FD0EF7"/>
    <w:rsid w:val="00FD0F68"/>
    <w:rsid w:val="00FD0F78"/>
    <w:rsid w:val="00FD0F9F"/>
    <w:rsid w:val="00FD0FC1"/>
    <w:rsid w:val="00FD1024"/>
    <w:rsid w:val="00FD1083"/>
    <w:rsid w:val="00FD108D"/>
    <w:rsid w:val="00FD112C"/>
    <w:rsid w:val="00FD113D"/>
    <w:rsid w:val="00FD1154"/>
    <w:rsid w:val="00FD115C"/>
    <w:rsid w:val="00FD1168"/>
    <w:rsid w:val="00FD116C"/>
    <w:rsid w:val="00FD1187"/>
    <w:rsid w:val="00FD11AA"/>
    <w:rsid w:val="00FD11CD"/>
    <w:rsid w:val="00FD1239"/>
    <w:rsid w:val="00FD1241"/>
    <w:rsid w:val="00FD12B4"/>
    <w:rsid w:val="00FD12F7"/>
    <w:rsid w:val="00FD13A0"/>
    <w:rsid w:val="00FD1445"/>
    <w:rsid w:val="00FD148F"/>
    <w:rsid w:val="00FD14C0"/>
    <w:rsid w:val="00FD14D7"/>
    <w:rsid w:val="00FD14DC"/>
    <w:rsid w:val="00FD1506"/>
    <w:rsid w:val="00FD157C"/>
    <w:rsid w:val="00FD1582"/>
    <w:rsid w:val="00FD15C0"/>
    <w:rsid w:val="00FD15FC"/>
    <w:rsid w:val="00FD164C"/>
    <w:rsid w:val="00FD1686"/>
    <w:rsid w:val="00FD16A0"/>
    <w:rsid w:val="00FD16A2"/>
    <w:rsid w:val="00FD170C"/>
    <w:rsid w:val="00FD1719"/>
    <w:rsid w:val="00FD17F3"/>
    <w:rsid w:val="00FD1829"/>
    <w:rsid w:val="00FD1856"/>
    <w:rsid w:val="00FD186A"/>
    <w:rsid w:val="00FD1873"/>
    <w:rsid w:val="00FD187B"/>
    <w:rsid w:val="00FD1882"/>
    <w:rsid w:val="00FD18C0"/>
    <w:rsid w:val="00FD1901"/>
    <w:rsid w:val="00FD1950"/>
    <w:rsid w:val="00FD1958"/>
    <w:rsid w:val="00FD1990"/>
    <w:rsid w:val="00FD1995"/>
    <w:rsid w:val="00FD1A01"/>
    <w:rsid w:val="00FD1A05"/>
    <w:rsid w:val="00FD1A16"/>
    <w:rsid w:val="00FD1A17"/>
    <w:rsid w:val="00FD1A28"/>
    <w:rsid w:val="00FD1A30"/>
    <w:rsid w:val="00FD1A49"/>
    <w:rsid w:val="00FD1A6C"/>
    <w:rsid w:val="00FD1A96"/>
    <w:rsid w:val="00FD1AA2"/>
    <w:rsid w:val="00FD1AB8"/>
    <w:rsid w:val="00FD1AC4"/>
    <w:rsid w:val="00FD1BCC"/>
    <w:rsid w:val="00FD1BED"/>
    <w:rsid w:val="00FD1C06"/>
    <w:rsid w:val="00FD1C33"/>
    <w:rsid w:val="00FD1C3C"/>
    <w:rsid w:val="00FD1C4D"/>
    <w:rsid w:val="00FD1CDF"/>
    <w:rsid w:val="00FD1CEC"/>
    <w:rsid w:val="00FD1CF8"/>
    <w:rsid w:val="00FD1D3C"/>
    <w:rsid w:val="00FD1DA5"/>
    <w:rsid w:val="00FD1DC2"/>
    <w:rsid w:val="00FD1E11"/>
    <w:rsid w:val="00FD1E46"/>
    <w:rsid w:val="00FD1E8D"/>
    <w:rsid w:val="00FD1E96"/>
    <w:rsid w:val="00FD1EE7"/>
    <w:rsid w:val="00FD1F9D"/>
    <w:rsid w:val="00FD1FA9"/>
    <w:rsid w:val="00FD1FC1"/>
    <w:rsid w:val="00FD1FC7"/>
    <w:rsid w:val="00FD1FEB"/>
    <w:rsid w:val="00FD1FF9"/>
    <w:rsid w:val="00FD1FFD"/>
    <w:rsid w:val="00FD2017"/>
    <w:rsid w:val="00FD201D"/>
    <w:rsid w:val="00FD2028"/>
    <w:rsid w:val="00FD2049"/>
    <w:rsid w:val="00FD20A2"/>
    <w:rsid w:val="00FD20CD"/>
    <w:rsid w:val="00FD20D5"/>
    <w:rsid w:val="00FD20D7"/>
    <w:rsid w:val="00FD20E9"/>
    <w:rsid w:val="00FD20F3"/>
    <w:rsid w:val="00FD214F"/>
    <w:rsid w:val="00FD2167"/>
    <w:rsid w:val="00FD2197"/>
    <w:rsid w:val="00FD21B2"/>
    <w:rsid w:val="00FD21E8"/>
    <w:rsid w:val="00FD2254"/>
    <w:rsid w:val="00FD2281"/>
    <w:rsid w:val="00FD22F1"/>
    <w:rsid w:val="00FD2301"/>
    <w:rsid w:val="00FD2308"/>
    <w:rsid w:val="00FD230A"/>
    <w:rsid w:val="00FD231F"/>
    <w:rsid w:val="00FD232F"/>
    <w:rsid w:val="00FD2333"/>
    <w:rsid w:val="00FD2342"/>
    <w:rsid w:val="00FD23BB"/>
    <w:rsid w:val="00FD241E"/>
    <w:rsid w:val="00FD2459"/>
    <w:rsid w:val="00FD248C"/>
    <w:rsid w:val="00FD2496"/>
    <w:rsid w:val="00FD2497"/>
    <w:rsid w:val="00FD24D4"/>
    <w:rsid w:val="00FD2504"/>
    <w:rsid w:val="00FD256C"/>
    <w:rsid w:val="00FD258A"/>
    <w:rsid w:val="00FD25A9"/>
    <w:rsid w:val="00FD25AD"/>
    <w:rsid w:val="00FD25BE"/>
    <w:rsid w:val="00FD25E3"/>
    <w:rsid w:val="00FD2611"/>
    <w:rsid w:val="00FD261F"/>
    <w:rsid w:val="00FD264A"/>
    <w:rsid w:val="00FD264B"/>
    <w:rsid w:val="00FD266D"/>
    <w:rsid w:val="00FD268B"/>
    <w:rsid w:val="00FD2690"/>
    <w:rsid w:val="00FD2694"/>
    <w:rsid w:val="00FD26A1"/>
    <w:rsid w:val="00FD26F2"/>
    <w:rsid w:val="00FD2724"/>
    <w:rsid w:val="00FD272D"/>
    <w:rsid w:val="00FD2731"/>
    <w:rsid w:val="00FD2767"/>
    <w:rsid w:val="00FD27A9"/>
    <w:rsid w:val="00FD2838"/>
    <w:rsid w:val="00FD288C"/>
    <w:rsid w:val="00FD288D"/>
    <w:rsid w:val="00FD28DC"/>
    <w:rsid w:val="00FD28DF"/>
    <w:rsid w:val="00FD290C"/>
    <w:rsid w:val="00FD293C"/>
    <w:rsid w:val="00FD2980"/>
    <w:rsid w:val="00FD2991"/>
    <w:rsid w:val="00FD29F2"/>
    <w:rsid w:val="00FD2A19"/>
    <w:rsid w:val="00FD2A23"/>
    <w:rsid w:val="00FD2A62"/>
    <w:rsid w:val="00FD2A8F"/>
    <w:rsid w:val="00FD2A9F"/>
    <w:rsid w:val="00FD2AA6"/>
    <w:rsid w:val="00FD2AA9"/>
    <w:rsid w:val="00FD2AC6"/>
    <w:rsid w:val="00FD2B44"/>
    <w:rsid w:val="00FD2B92"/>
    <w:rsid w:val="00FD2BCF"/>
    <w:rsid w:val="00FD2BF1"/>
    <w:rsid w:val="00FD2C1F"/>
    <w:rsid w:val="00FD2C74"/>
    <w:rsid w:val="00FD2C9E"/>
    <w:rsid w:val="00FD2CBF"/>
    <w:rsid w:val="00FD2D0B"/>
    <w:rsid w:val="00FD2D2A"/>
    <w:rsid w:val="00FD2D2D"/>
    <w:rsid w:val="00FD2D39"/>
    <w:rsid w:val="00FD2DE4"/>
    <w:rsid w:val="00FD2E67"/>
    <w:rsid w:val="00FD2EBC"/>
    <w:rsid w:val="00FD2EBF"/>
    <w:rsid w:val="00FD2EE3"/>
    <w:rsid w:val="00FD2F23"/>
    <w:rsid w:val="00FD2F3F"/>
    <w:rsid w:val="00FD2F5B"/>
    <w:rsid w:val="00FD2F84"/>
    <w:rsid w:val="00FD2F93"/>
    <w:rsid w:val="00FD300D"/>
    <w:rsid w:val="00FD30C7"/>
    <w:rsid w:val="00FD3118"/>
    <w:rsid w:val="00FD3163"/>
    <w:rsid w:val="00FD31E2"/>
    <w:rsid w:val="00FD321B"/>
    <w:rsid w:val="00FD321D"/>
    <w:rsid w:val="00FD323A"/>
    <w:rsid w:val="00FD3246"/>
    <w:rsid w:val="00FD3298"/>
    <w:rsid w:val="00FD32A6"/>
    <w:rsid w:val="00FD32F2"/>
    <w:rsid w:val="00FD3314"/>
    <w:rsid w:val="00FD3338"/>
    <w:rsid w:val="00FD3349"/>
    <w:rsid w:val="00FD334E"/>
    <w:rsid w:val="00FD3383"/>
    <w:rsid w:val="00FD340B"/>
    <w:rsid w:val="00FD341A"/>
    <w:rsid w:val="00FD342B"/>
    <w:rsid w:val="00FD3488"/>
    <w:rsid w:val="00FD348E"/>
    <w:rsid w:val="00FD34A5"/>
    <w:rsid w:val="00FD34B6"/>
    <w:rsid w:val="00FD34CC"/>
    <w:rsid w:val="00FD34DF"/>
    <w:rsid w:val="00FD34F7"/>
    <w:rsid w:val="00FD3504"/>
    <w:rsid w:val="00FD3506"/>
    <w:rsid w:val="00FD350E"/>
    <w:rsid w:val="00FD3515"/>
    <w:rsid w:val="00FD353D"/>
    <w:rsid w:val="00FD354A"/>
    <w:rsid w:val="00FD3558"/>
    <w:rsid w:val="00FD3566"/>
    <w:rsid w:val="00FD359E"/>
    <w:rsid w:val="00FD35AA"/>
    <w:rsid w:val="00FD35B3"/>
    <w:rsid w:val="00FD35FF"/>
    <w:rsid w:val="00FD360B"/>
    <w:rsid w:val="00FD360F"/>
    <w:rsid w:val="00FD3656"/>
    <w:rsid w:val="00FD36A7"/>
    <w:rsid w:val="00FD36EC"/>
    <w:rsid w:val="00FD3700"/>
    <w:rsid w:val="00FD3701"/>
    <w:rsid w:val="00FD370D"/>
    <w:rsid w:val="00FD3720"/>
    <w:rsid w:val="00FD373F"/>
    <w:rsid w:val="00FD3749"/>
    <w:rsid w:val="00FD3783"/>
    <w:rsid w:val="00FD3784"/>
    <w:rsid w:val="00FD37A5"/>
    <w:rsid w:val="00FD37DC"/>
    <w:rsid w:val="00FD37DE"/>
    <w:rsid w:val="00FD37F4"/>
    <w:rsid w:val="00FD3818"/>
    <w:rsid w:val="00FD3840"/>
    <w:rsid w:val="00FD3848"/>
    <w:rsid w:val="00FD3893"/>
    <w:rsid w:val="00FD3894"/>
    <w:rsid w:val="00FD38C5"/>
    <w:rsid w:val="00FD3937"/>
    <w:rsid w:val="00FD3986"/>
    <w:rsid w:val="00FD399D"/>
    <w:rsid w:val="00FD39A4"/>
    <w:rsid w:val="00FD39E0"/>
    <w:rsid w:val="00FD3A06"/>
    <w:rsid w:val="00FD3A64"/>
    <w:rsid w:val="00FD3A86"/>
    <w:rsid w:val="00FD3AA8"/>
    <w:rsid w:val="00FD3AC6"/>
    <w:rsid w:val="00FD3B0E"/>
    <w:rsid w:val="00FD3B5D"/>
    <w:rsid w:val="00FD3B78"/>
    <w:rsid w:val="00FD3B8B"/>
    <w:rsid w:val="00FD3BFF"/>
    <w:rsid w:val="00FD3C15"/>
    <w:rsid w:val="00FD3CB0"/>
    <w:rsid w:val="00FD3D66"/>
    <w:rsid w:val="00FD3D7E"/>
    <w:rsid w:val="00FD3D81"/>
    <w:rsid w:val="00FD3DBC"/>
    <w:rsid w:val="00FD3E14"/>
    <w:rsid w:val="00FD3EE9"/>
    <w:rsid w:val="00FD3F0A"/>
    <w:rsid w:val="00FD3F37"/>
    <w:rsid w:val="00FD3F8F"/>
    <w:rsid w:val="00FD3F94"/>
    <w:rsid w:val="00FD3FD9"/>
    <w:rsid w:val="00FD3FDB"/>
    <w:rsid w:val="00FD4030"/>
    <w:rsid w:val="00FD4067"/>
    <w:rsid w:val="00FD40DF"/>
    <w:rsid w:val="00FD4120"/>
    <w:rsid w:val="00FD412C"/>
    <w:rsid w:val="00FD412F"/>
    <w:rsid w:val="00FD413C"/>
    <w:rsid w:val="00FD41CF"/>
    <w:rsid w:val="00FD41D6"/>
    <w:rsid w:val="00FD41DC"/>
    <w:rsid w:val="00FD4222"/>
    <w:rsid w:val="00FD4229"/>
    <w:rsid w:val="00FD422C"/>
    <w:rsid w:val="00FD4262"/>
    <w:rsid w:val="00FD429B"/>
    <w:rsid w:val="00FD42AE"/>
    <w:rsid w:val="00FD42E1"/>
    <w:rsid w:val="00FD439F"/>
    <w:rsid w:val="00FD43B0"/>
    <w:rsid w:val="00FD43B3"/>
    <w:rsid w:val="00FD43B4"/>
    <w:rsid w:val="00FD43BA"/>
    <w:rsid w:val="00FD43F6"/>
    <w:rsid w:val="00FD441E"/>
    <w:rsid w:val="00FD443B"/>
    <w:rsid w:val="00FD4486"/>
    <w:rsid w:val="00FD44C1"/>
    <w:rsid w:val="00FD44D0"/>
    <w:rsid w:val="00FD44D1"/>
    <w:rsid w:val="00FD44EF"/>
    <w:rsid w:val="00FD450B"/>
    <w:rsid w:val="00FD4569"/>
    <w:rsid w:val="00FD4573"/>
    <w:rsid w:val="00FD4599"/>
    <w:rsid w:val="00FD45C5"/>
    <w:rsid w:val="00FD45CF"/>
    <w:rsid w:val="00FD45D9"/>
    <w:rsid w:val="00FD462E"/>
    <w:rsid w:val="00FD4693"/>
    <w:rsid w:val="00FD46A7"/>
    <w:rsid w:val="00FD46A8"/>
    <w:rsid w:val="00FD46C3"/>
    <w:rsid w:val="00FD46E3"/>
    <w:rsid w:val="00FD474A"/>
    <w:rsid w:val="00FD474F"/>
    <w:rsid w:val="00FD47A7"/>
    <w:rsid w:val="00FD47B7"/>
    <w:rsid w:val="00FD47C6"/>
    <w:rsid w:val="00FD4816"/>
    <w:rsid w:val="00FD4847"/>
    <w:rsid w:val="00FD48F7"/>
    <w:rsid w:val="00FD48FC"/>
    <w:rsid w:val="00FD4943"/>
    <w:rsid w:val="00FD496A"/>
    <w:rsid w:val="00FD497F"/>
    <w:rsid w:val="00FD49EF"/>
    <w:rsid w:val="00FD49F5"/>
    <w:rsid w:val="00FD4A3E"/>
    <w:rsid w:val="00FD4A6C"/>
    <w:rsid w:val="00FD4A72"/>
    <w:rsid w:val="00FD4AC5"/>
    <w:rsid w:val="00FD4AE0"/>
    <w:rsid w:val="00FD4B1B"/>
    <w:rsid w:val="00FD4B24"/>
    <w:rsid w:val="00FD4B35"/>
    <w:rsid w:val="00FD4B48"/>
    <w:rsid w:val="00FD4B76"/>
    <w:rsid w:val="00FD4B91"/>
    <w:rsid w:val="00FD4BF3"/>
    <w:rsid w:val="00FD4C59"/>
    <w:rsid w:val="00FD4C98"/>
    <w:rsid w:val="00FD4CAA"/>
    <w:rsid w:val="00FD4CB8"/>
    <w:rsid w:val="00FD4CC2"/>
    <w:rsid w:val="00FD4CC4"/>
    <w:rsid w:val="00FD4CCC"/>
    <w:rsid w:val="00FD4CCD"/>
    <w:rsid w:val="00FD4CF0"/>
    <w:rsid w:val="00FD4CFE"/>
    <w:rsid w:val="00FD4D13"/>
    <w:rsid w:val="00FD4D4E"/>
    <w:rsid w:val="00FD4D62"/>
    <w:rsid w:val="00FD4D72"/>
    <w:rsid w:val="00FD4DAA"/>
    <w:rsid w:val="00FD4DE0"/>
    <w:rsid w:val="00FD4DE9"/>
    <w:rsid w:val="00FD4DEB"/>
    <w:rsid w:val="00FD4E71"/>
    <w:rsid w:val="00FD4E79"/>
    <w:rsid w:val="00FD4E96"/>
    <w:rsid w:val="00FD4E9C"/>
    <w:rsid w:val="00FD4EAA"/>
    <w:rsid w:val="00FD4EDA"/>
    <w:rsid w:val="00FD4F00"/>
    <w:rsid w:val="00FD4F2C"/>
    <w:rsid w:val="00FD4F3A"/>
    <w:rsid w:val="00FD4F85"/>
    <w:rsid w:val="00FD4FAE"/>
    <w:rsid w:val="00FD4FC1"/>
    <w:rsid w:val="00FD5045"/>
    <w:rsid w:val="00FD507A"/>
    <w:rsid w:val="00FD5096"/>
    <w:rsid w:val="00FD50DA"/>
    <w:rsid w:val="00FD50E0"/>
    <w:rsid w:val="00FD50FA"/>
    <w:rsid w:val="00FD5100"/>
    <w:rsid w:val="00FD51E2"/>
    <w:rsid w:val="00FD51ED"/>
    <w:rsid w:val="00FD5220"/>
    <w:rsid w:val="00FD522F"/>
    <w:rsid w:val="00FD5238"/>
    <w:rsid w:val="00FD524F"/>
    <w:rsid w:val="00FD5262"/>
    <w:rsid w:val="00FD5273"/>
    <w:rsid w:val="00FD5290"/>
    <w:rsid w:val="00FD529B"/>
    <w:rsid w:val="00FD52CD"/>
    <w:rsid w:val="00FD52EF"/>
    <w:rsid w:val="00FD5316"/>
    <w:rsid w:val="00FD5356"/>
    <w:rsid w:val="00FD5377"/>
    <w:rsid w:val="00FD5417"/>
    <w:rsid w:val="00FD5437"/>
    <w:rsid w:val="00FD5464"/>
    <w:rsid w:val="00FD5469"/>
    <w:rsid w:val="00FD5475"/>
    <w:rsid w:val="00FD5557"/>
    <w:rsid w:val="00FD555D"/>
    <w:rsid w:val="00FD55A5"/>
    <w:rsid w:val="00FD55A7"/>
    <w:rsid w:val="00FD55B7"/>
    <w:rsid w:val="00FD55F4"/>
    <w:rsid w:val="00FD561A"/>
    <w:rsid w:val="00FD562C"/>
    <w:rsid w:val="00FD5696"/>
    <w:rsid w:val="00FD569C"/>
    <w:rsid w:val="00FD56B4"/>
    <w:rsid w:val="00FD56F0"/>
    <w:rsid w:val="00FD5712"/>
    <w:rsid w:val="00FD5723"/>
    <w:rsid w:val="00FD5729"/>
    <w:rsid w:val="00FD5756"/>
    <w:rsid w:val="00FD57FA"/>
    <w:rsid w:val="00FD5806"/>
    <w:rsid w:val="00FD5824"/>
    <w:rsid w:val="00FD589D"/>
    <w:rsid w:val="00FD58BD"/>
    <w:rsid w:val="00FD58CA"/>
    <w:rsid w:val="00FD590C"/>
    <w:rsid w:val="00FD5954"/>
    <w:rsid w:val="00FD5971"/>
    <w:rsid w:val="00FD598E"/>
    <w:rsid w:val="00FD59AA"/>
    <w:rsid w:val="00FD59FF"/>
    <w:rsid w:val="00FD5A16"/>
    <w:rsid w:val="00FD5A26"/>
    <w:rsid w:val="00FD5A2C"/>
    <w:rsid w:val="00FD5A57"/>
    <w:rsid w:val="00FD5A58"/>
    <w:rsid w:val="00FD5A59"/>
    <w:rsid w:val="00FD5AC9"/>
    <w:rsid w:val="00FD5AE0"/>
    <w:rsid w:val="00FD5AE5"/>
    <w:rsid w:val="00FD5B2A"/>
    <w:rsid w:val="00FD5B63"/>
    <w:rsid w:val="00FD5BCE"/>
    <w:rsid w:val="00FD5C47"/>
    <w:rsid w:val="00FD5C6F"/>
    <w:rsid w:val="00FD5CD8"/>
    <w:rsid w:val="00FD5D2F"/>
    <w:rsid w:val="00FD5D4F"/>
    <w:rsid w:val="00FD5D9A"/>
    <w:rsid w:val="00FD5DA4"/>
    <w:rsid w:val="00FD5DA5"/>
    <w:rsid w:val="00FD5DC1"/>
    <w:rsid w:val="00FD5DF0"/>
    <w:rsid w:val="00FD5E12"/>
    <w:rsid w:val="00FD5E15"/>
    <w:rsid w:val="00FD5E41"/>
    <w:rsid w:val="00FD5E61"/>
    <w:rsid w:val="00FD5E87"/>
    <w:rsid w:val="00FD5E88"/>
    <w:rsid w:val="00FD5E98"/>
    <w:rsid w:val="00FD5EB4"/>
    <w:rsid w:val="00FD5F0A"/>
    <w:rsid w:val="00FD5FA2"/>
    <w:rsid w:val="00FD5FF1"/>
    <w:rsid w:val="00FD601F"/>
    <w:rsid w:val="00FD6027"/>
    <w:rsid w:val="00FD6034"/>
    <w:rsid w:val="00FD6056"/>
    <w:rsid w:val="00FD60C1"/>
    <w:rsid w:val="00FD60E5"/>
    <w:rsid w:val="00FD611C"/>
    <w:rsid w:val="00FD6122"/>
    <w:rsid w:val="00FD6136"/>
    <w:rsid w:val="00FD613D"/>
    <w:rsid w:val="00FD6155"/>
    <w:rsid w:val="00FD616D"/>
    <w:rsid w:val="00FD6173"/>
    <w:rsid w:val="00FD6186"/>
    <w:rsid w:val="00FD618A"/>
    <w:rsid w:val="00FD61B3"/>
    <w:rsid w:val="00FD622C"/>
    <w:rsid w:val="00FD62B1"/>
    <w:rsid w:val="00FD62D9"/>
    <w:rsid w:val="00FD634A"/>
    <w:rsid w:val="00FD6363"/>
    <w:rsid w:val="00FD63A1"/>
    <w:rsid w:val="00FD63B8"/>
    <w:rsid w:val="00FD640E"/>
    <w:rsid w:val="00FD6410"/>
    <w:rsid w:val="00FD6427"/>
    <w:rsid w:val="00FD6438"/>
    <w:rsid w:val="00FD646D"/>
    <w:rsid w:val="00FD6480"/>
    <w:rsid w:val="00FD6499"/>
    <w:rsid w:val="00FD64BB"/>
    <w:rsid w:val="00FD64DA"/>
    <w:rsid w:val="00FD64FC"/>
    <w:rsid w:val="00FD6501"/>
    <w:rsid w:val="00FD6507"/>
    <w:rsid w:val="00FD651A"/>
    <w:rsid w:val="00FD6545"/>
    <w:rsid w:val="00FD654F"/>
    <w:rsid w:val="00FD655F"/>
    <w:rsid w:val="00FD6580"/>
    <w:rsid w:val="00FD65CB"/>
    <w:rsid w:val="00FD65F1"/>
    <w:rsid w:val="00FD6607"/>
    <w:rsid w:val="00FD6669"/>
    <w:rsid w:val="00FD666C"/>
    <w:rsid w:val="00FD66BD"/>
    <w:rsid w:val="00FD6710"/>
    <w:rsid w:val="00FD6735"/>
    <w:rsid w:val="00FD6737"/>
    <w:rsid w:val="00FD6747"/>
    <w:rsid w:val="00FD677B"/>
    <w:rsid w:val="00FD67B1"/>
    <w:rsid w:val="00FD67C1"/>
    <w:rsid w:val="00FD6813"/>
    <w:rsid w:val="00FD6895"/>
    <w:rsid w:val="00FD689A"/>
    <w:rsid w:val="00FD68BC"/>
    <w:rsid w:val="00FD68BD"/>
    <w:rsid w:val="00FD68C0"/>
    <w:rsid w:val="00FD68C3"/>
    <w:rsid w:val="00FD68D1"/>
    <w:rsid w:val="00FD68E4"/>
    <w:rsid w:val="00FD6902"/>
    <w:rsid w:val="00FD6939"/>
    <w:rsid w:val="00FD6968"/>
    <w:rsid w:val="00FD69EA"/>
    <w:rsid w:val="00FD6A27"/>
    <w:rsid w:val="00FD6A5B"/>
    <w:rsid w:val="00FD6AAD"/>
    <w:rsid w:val="00FD6ACC"/>
    <w:rsid w:val="00FD6AD1"/>
    <w:rsid w:val="00FD6AD4"/>
    <w:rsid w:val="00FD6AF5"/>
    <w:rsid w:val="00FD6B01"/>
    <w:rsid w:val="00FD6B59"/>
    <w:rsid w:val="00FD6BCD"/>
    <w:rsid w:val="00FD6C0E"/>
    <w:rsid w:val="00FD6C63"/>
    <w:rsid w:val="00FD6C93"/>
    <w:rsid w:val="00FD6D1A"/>
    <w:rsid w:val="00FD6D1E"/>
    <w:rsid w:val="00FD6D40"/>
    <w:rsid w:val="00FD6D47"/>
    <w:rsid w:val="00FD6D6E"/>
    <w:rsid w:val="00FD6DC5"/>
    <w:rsid w:val="00FD6E15"/>
    <w:rsid w:val="00FD6E79"/>
    <w:rsid w:val="00FD6E87"/>
    <w:rsid w:val="00FD6EAA"/>
    <w:rsid w:val="00FD6EBA"/>
    <w:rsid w:val="00FD6EED"/>
    <w:rsid w:val="00FD6EFC"/>
    <w:rsid w:val="00FD6F00"/>
    <w:rsid w:val="00FD6F3B"/>
    <w:rsid w:val="00FD6F3D"/>
    <w:rsid w:val="00FD6F6D"/>
    <w:rsid w:val="00FD6FAE"/>
    <w:rsid w:val="00FD6FBC"/>
    <w:rsid w:val="00FD6FF4"/>
    <w:rsid w:val="00FD7012"/>
    <w:rsid w:val="00FD7021"/>
    <w:rsid w:val="00FD70B1"/>
    <w:rsid w:val="00FD70D9"/>
    <w:rsid w:val="00FD70DC"/>
    <w:rsid w:val="00FD70DD"/>
    <w:rsid w:val="00FD7106"/>
    <w:rsid w:val="00FD715F"/>
    <w:rsid w:val="00FD71C8"/>
    <w:rsid w:val="00FD722B"/>
    <w:rsid w:val="00FD7265"/>
    <w:rsid w:val="00FD7272"/>
    <w:rsid w:val="00FD729A"/>
    <w:rsid w:val="00FD729E"/>
    <w:rsid w:val="00FD72C6"/>
    <w:rsid w:val="00FD72D9"/>
    <w:rsid w:val="00FD72DD"/>
    <w:rsid w:val="00FD72E8"/>
    <w:rsid w:val="00FD72F9"/>
    <w:rsid w:val="00FD735C"/>
    <w:rsid w:val="00FD739B"/>
    <w:rsid w:val="00FD739F"/>
    <w:rsid w:val="00FD73AD"/>
    <w:rsid w:val="00FD7455"/>
    <w:rsid w:val="00FD745B"/>
    <w:rsid w:val="00FD74CA"/>
    <w:rsid w:val="00FD750D"/>
    <w:rsid w:val="00FD7564"/>
    <w:rsid w:val="00FD7597"/>
    <w:rsid w:val="00FD75AE"/>
    <w:rsid w:val="00FD75BC"/>
    <w:rsid w:val="00FD75C0"/>
    <w:rsid w:val="00FD75CE"/>
    <w:rsid w:val="00FD768F"/>
    <w:rsid w:val="00FD76E0"/>
    <w:rsid w:val="00FD7787"/>
    <w:rsid w:val="00FD77A3"/>
    <w:rsid w:val="00FD77BB"/>
    <w:rsid w:val="00FD77E6"/>
    <w:rsid w:val="00FD7835"/>
    <w:rsid w:val="00FD784A"/>
    <w:rsid w:val="00FD7860"/>
    <w:rsid w:val="00FD7863"/>
    <w:rsid w:val="00FD786B"/>
    <w:rsid w:val="00FD7891"/>
    <w:rsid w:val="00FD7897"/>
    <w:rsid w:val="00FD78A3"/>
    <w:rsid w:val="00FD78C4"/>
    <w:rsid w:val="00FD78CE"/>
    <w:rsid w:val="00FD792B"/>
    <w:rsid w:val="00FD7941"/>
    <w:rsid w:val="00FD794A"/>
    <w:rsid w:val="00FD7956"/>
    <w:rsid w:val="00FD7961"/>
    <w:rsid w:val="00FD7980"/>
    <w:rsid w:val="00FD79B3"/>
    <w:rsid w:val="00FD79BE"/>
    <w:rsid w:val="00FD79FF"/>
    <w:rsid w:val="00FD7A77"/>
    <w:rsid w:val="00FD7A86"/>
    <w:rsid w:val="00FD7A89"/>
    <w:rsid w:val="00FD7AAA"/>
    <w:rsid w:val="00FD7AB3"/>
    <w:rsid w:val="00FD7AE4"/>
    <w:rsid w:val="00FD7B18"/>
    <w:rsid w:val="00FD7B94"/>
    <w:rsid w:val="00FD7BB8"/>
    <w:rsid w:val="00FD7BC1"/>
    <w:rsid w:val="00FD7BD4"/>
    <w:rsid w:val="00FD7C5B"/>
    <w:rsid w:val="00FD7C84"/>
    <w:rsid w:val="00FD7D4C"/>
    <w:rsid w:val="00FD7D92"/>
    <w:rsid w:val="00FD7E35"/>
    <w:rsid w:val="00FD7E68"/>
    <w:rsid w:val="00FD7E94"/>
    <w:rsid w:val="00FD7EAA"/>
    <w:rsid w:val="00FD7EB8"/>
    <w:rsid w:val="00FD7EC9"/>
    <w:rsid w:val="00FD7EF8"/>
    <w:rsid w:val="00FD7F07"/>
    <w:rsid w:val="00FD7F45"/>
    <w:rsid w:val="00FD7FAF"/>
    <w:rsid w:val="00FD7FB0"/>
    <w:rsid w:val="00FD7FCC"/>
    <w:rsid w:val="00FD7FE0"/>
    <w:rsid w:val="00FE0034"/>
    <w:rsid w:val="00FE0046"/>
    <w:rsid w:val="00FE00B7"/>
    <w:rsid w:val="00FE00DB"/>
    <w:rsid w:val="00FE00E4"/>
    <w:rsid w:val="00FE00F4"/>
    <w:rsid w:val="00FE01BD"/>
    <w:rsid w:val="00FE01E5"/>
    <w:rsid w:val="00FE0214"/>
    <w:rsid w:val="00FE0230"/>
    <w:rsid w:val="00FE0251"/>
    <w:rsid w:val="00FE0292"/>
    <w:rsid w:val="00FE02B5"/>
    <w:rsid w:val="00FE02EB"/>
    <w:rsid w:val="00FE02F0"/>
    <w:rsid w:val="00FE0314"/>
    <w:rsid w:val="00FE03BF"/>
    <w:rsid w:val="00FE03C4"/>
    <w:rsid w:val="00FE03EA"/>
    <w:rsid w:val="00FE03EE"/>
    <w:rsid w:val="00FE042B"/>
    <w:rsid w:val="00FE045B"/>
    <w:rsid w:val="00FE046A"/>
    <w:rsid w:val="00FE0475"/>
    <w:rsid w:val="00FE048B"/>
    <w:rsid w:val="00FE0497"/>
    <w:rsid w:val="00FE0499"/>
    <w:rsid w:val="00FE049A"/>
    <w:rsid w:val="00FE04E0"/>
    <w:rsid w:val="00FE04E7"/>
    <w:rsid w:val="00FE0511"/>
    <w:rsid w:val="00FE056E"/>
    <w:rsid w:val="00FE0580"/>
    <w:rsid w:val="00FE05A8"/>
    <w:rsid w:val="00FE05BA"/>
    <w:rsid w:val="00FE05CF"/>
    <w:rsid w:val="00FE05D5"/>
    <w:rsid w:val="00FE05E1"/>
    <w:rsid w:val="00FE05FB"/>
    <w:rsid w:val="00FE0604"/>
    <w:rsid w:val="00FE06AA"/>
    <w:rsid w:val="00FE06DD"/>
    <w:rsid w:val="00FE0705"/>
    <w:rsid w:val="00FE0721"/>
    <w:rsid w:val="00FE0754"/>
    <w:rsid w:val="00FE077B"/>
    <w:rsid w:val="00FE0795"/>
    <w:rsid w:val="00FE07A2"/>
    <w:rsid w:val="00FE07A5"/>
    <w:rsid w:val="00FE07C4"/>
    <w:rsid w:val="00FE07ED"/>
    <w:rsid w:val="00FE07EE"/>
    <w:rsid w:val="00FE0813"/>
    <w:rsid w:val="00FE0857"/>
    <w:rsid w:val="00FE0865"/>
    <w:rsid w:val="00FE0878"/>
    <w:rsid w:val="00FE08AB"/>
    <w:rsid w:val="00FE08CE"/>
    <w:rsid w:val="00FE08DD"/>
    <w:rsid w:val="00FE08DE"/>
    <w:rsid w:val="00FE08F6"/>
    <w:rsid w:val="00FE08F8"/>
    <w:rsid w:val="00FE0904"/>
    <w:rsid w:val="00FE0943"/>
    <w:rsid w:val="00FE095D"/>
    <w:rsid w:val="00FE095F"/>
    <w:rsid w:val="00FE09CB"/>
    <w:rsid w:val="00FE09F0"/>
    <w:rsid w:val="00FE0A8F"/>
    <w:rsid w:val="00FE0AAA"/>
    <w:rsid w:val="00FE0AFE"/>
    <w:rsid w:val="00FE0B09"/>
    <w:rsid w:val="00FE0B88"/>
    <w:rsid w:val="00FE0B9B"/>
    <w:rsid w:val="00FE0BD2"/>
    <w:rsid w:val="00FE0BD5"/>
    <w:rsid w:val="00FE0BE0"/>
    <w:rsid w:val="00FE0BE4"/>
    <w:rsid w:val="00FE0C0F"/>
    <w:rsid w:val="00FE0C2E"/>
    <w:rsid w:val="00FE0C46"/>
    <w:rsid w:val="00FE0C6E"/>
    <w:rsid w:val="00FE0C89"/>
    <w:rsid w:val="00FE0C90"/>
    <w:rsid w:val="00FE0CC7"/>
    <w:rsid w:val="00FE0D2E"/>
    <w:rsid w:val="00FE0D37"/>
    <w:rsid w:val="00FE0D94"/>
    <w:rsid w:val="00FE0DD1"/>
    <w:rsid w:val="00FE0DFE"/>
    <w:rsid w:val="00FE0E5A"/>
    <w:rsid w:val="00FE0E89"/>
    <w:rsid w:val="00FE0F06"/>
    <w:rsid w:val="00FE0F0C"/>
    <w:rsid w:val="00FE0F0F"/>
    <w:rsid w:val="00FE0F17"/>
    <w:rsid w:val="00FE0F65"/>
    <w:rsid w:val="00FE0F6D"/>
    <w:rsid w:val="00FE0F7A"/>
    <w:rsid w:val="00FE0FD2"/>
    <w:rsid w:val="00FE1002"/>
    <w:rsid w:val="00FE1029"/>
    <w:rsid w:val="00FE1099"/>
    <w:rsid w:val="00FE10A9"/>
    <w:rsid w:val="00FE10D6"/>
    <w:rsid w:val="00FE10FA"/>
    <w:rsid w:val="00FE111F"/>
    <w:rsid w:val="00FE112D"/>
    <w:rsid w:val="00FE1132"/>
    <w:rsid w:val="00FE1162"/>
    <w:rsid w:val="00FE117F"/>
    <w:rsid w:val="00FE1193"/>
    <w:rsid w:val="00FE11CA"/>
    <w:rsid w:val="00FE11DB"/>
    <w:rsid w:val="00FE11EE"/>
    <w:rsid w:val="00FE11F7"/>
    <w:rsid w:val="00FE1291"/>
    <w:rsid w:val="00FE12A5"/>
    <w:rsid w:val="00FE12B3"/>
    <w:rsid w:val="00FE12B6"/>
    <w:rsid w:val="00FE12C5"/>
    <w:rsid w:val="00FE1312"/>
    <w:rsid w:val="00FE131B"/>
    <w:rsid w:val="00FE13E2"/>
    <w:rsid w:val="00FE140A"/>
    <w:rsid w:val="00FE1410"/>
    <w:rsid w:val="00FE1467"/>
    <w:rsid w:val="00FE14A7"/>
    <w:rsid w:val="00FE14C8"/>
    <w:rsid w:val="00FE14E9"/>
    <w:rsid w:val="00FE151D"/>
    <w:rsid w:val="00FE153F"/>
    <w:rsid w:val="00FE157E"/>
    <w:rsid w:val="00FE15A8"/>
    <w:rsid w:val="00FE15F6"/>
    <w:rsid w:val="00FE160B"/>
    <w:rsid w:val="00FE165E"/>
    <w:rsid w:val="00FE1697"/>
    <w:rsid w:val="00FE16D5"/>
    <w:rsid w:val="00FE16EA"/>
    <w:rsid w:val="00FE1701"/>
    <w:rsid w:val="00FE179E"/>
    <w:rsid w:val="00FE17A6"/>
    <w:rsid w:val="00FE17DE"/>
    <w:rsid w:val="00FE17E7"/>
    <w:rsid w:val="00FE1865"/>
    <w:rsid w:val="00FE18E9"/>
    <w:rsid w:val="00FE1947"/>
    <w:rsid w:val="00FE196A"/>
    <w:rsid w:val="00FE1979"/>
    <w:rsid w:val="00FE1A14"/>
    <w:rsid w:val="00FE1A17"/>
    <w:rsid w:val="00FE1A2F"/>
    <w:rsid w:val="00FE1A68"/>
    <w:rsid w:val="00FE1A93"/>
    <w:rsid w:val="00FE1AA1"/>
    <w:rsid w:val="00FE1B24"/>
    <w:rsid w:val="00FE1B3B"/>
    <w:rsid w:val="00FE1B42"/>
    <w:rsid w:val="00FE1B6B"/>
    <w:rsid w:val="00FE1B77"/>
    <w:rsid w:val="00FE1BCD"/>
    <w:rsid w:val="00FE1BDE"/>
    <w:rsid w:val="00FE1C51"/>
    <w:rsid w:val="00FE1C9A"/>
    <w:rsid w:val="00FE1CA8"/>
    <w:rsid w:val="00FE1CC8"/>
    <w:rsid w:val="00FE1CCB"/>
    <w:rsid w:val="00FE1CE4"/>
    <w:rsid w:val="00FE1D0C"/>
    <w:rsid w:val="00FE1D30"/>
    <w:rsid w:val="00FE1D80"/>
    <w:rsid w:val="00FE1DC8"/>
    <w:rsid w:val="00FE1DD2"/>
    <w:rsid w:val="00FE1DDD"/>
    <w:rsid w:val="00FE1DF9"/>
    <w:rsid w:val="00FE1E33"/>
    <w:rsid w:val="00FE1E9E"/>
    <w:rsid w:val="00FE1EB7"/>
    <w:rsid w:val="00FE1EC8"/>
    <w:rsid w:val="00FE1ECA"/>
    <w:rsid w:val="00FE1EE1"/>
    <w:rsid w:val="00FE1EF2"/>
    <w:rsid w:val="00FE1F01"/>
    <w:rsid w:val="00FE1F12"/>
    <w:rsid w:val="00FE1F50"/>
    <w:rsid w:val="00FE1F5C"/>
    <w:rsid w:val="00FE1F73"/>
    <w:rsid w:val="00FE1F87"/>
    <w:rsid w:val="00FE1FC9"/>
    <w:rsid w:val="00FE2007"/>
    <w:rsid w:val="00FE2034"/>
    <w:rsid w:val="00FE2065"/>
    <w:rsid w:val="00FE20A2"/>
    <w:rsid w:val="00FE20B7"/>
    <w:rsid w:val="00FE20C9"/>
    <w:rsid w:val="00FE20FF"/>
    <w:rsid w:val="00FE2132"/>
    <w:rsid w:val="00FE2158"/>
    <w:rsid w:val="00FE218B"/>
    <w:rsid w:val="00FE21BD"/>
    <w:rsid w:val="00FE21D1"/>
    <w:rsid w:val="00FE21F0"/>
    <w:rsid w:val="00FE22A2"/>
    <w:rsid w:val="00FE22A8"/>
    <w:rsid w:val="00FE22C5"/>
    <w:rsid w:val="00FE22E0"/>
    <w:rsid w:val="00FE22F5"/>
    <w:rsid w:val="00FE2322"/>
    <w:rsid w:val="00FE232A"/>
    <w:rsid w:val="00FE23EC"/>
    <w:rsid w:val="00FE23F2"/>
    <w:rsid w:val="00FE2423"/>
    <w:rsid w:val="00FE2457"/>
    <w:rsid w:val="00FE2459"/>
    <w:rsid w:val="00FE245A"/>
    <w:rsid w:val="00FE2463"/>
    <w:rsid w:val="00FE2472"/>
    <w:rsid w:val="00FE24D6"/>
    <w:rsid w:val="00FE24E5"/>
    <w:rsid w:val="00FE2565"/>
    <w:rsid w:val="00FE2571"/>
    <w:rsid w:val="00FE2612"/>
    <w:rsid w:val="00FE262B"/>
    <w:rsid w:val="00FE2630"/>
    <w:rsid w:val="00FE2644"/>
    <w:rsid w:val="00FE2662"/>
    <w:rsid w:val="00FE268C"/>
    <w:rsid w:val="00FE26E8"/>
    <w:rsid w:val="00FE26EB"/>
    <w:rsid w:val="00FE272F"/>
    <w:rsid w:val="00FE274A"/>
    <w:rsid w:val="00FE275F"/>
    <w:rsid w:val="00FE2786"/>
    <w:rsid w:val="00FE2799"/>
    <w:rsid w:val="00FE27C7"/>
    <w:rsid w:val="00FE27D9"/>
    <w:rsid w:val="00FE27EC"/>
    <w:rsid w:val="00FE280D"/>
    <w:rsid w:val="00FE281B"/>
    <w:rsid w:val="00FE2867"/>
    <w:rsid w:val="00FE2896"/>
    <w:rsid w:val="00FE2897"/>
    <w:rsid w:val="00FE28A2"/>
    <w:rsid w:val="00FE28D2"/>
    <w:rsid w:val="00FE28FA"/>
    <w:rsid w:val="00FE2945"/>
    <w:rsid w:val="00FE29F1"/>
    <w:rsid w:val="00FE2A09"/>
    <w:rsid w:val="00FE2A66"/>
    <w:rsid w:val="00FE2AAA"/>
    <w:rsid w:val="00FE2AD8"/>
    <w:rsid w:val="00FE2B0E"/>
    <w:rsid w:val="00FE2B37"/>
    <w:rsid w:val="00FE2B87"/>
    <w:rsid w:val="00FE2B8A"/>
    <w:rsid w:val="00FE2B8F"/>
    <w:rsid w:val="00FE2B93"/>
    <w:rsid w:val="00FE2BA8"/>
    <w:rsid w:val="00FE2BB0"/>
    <w:rsid w:val="00FE2C1D"/>
    <w:rsid w:val="00FE2C46"/>
    <w:rsid w:val="00FE2C65"/>
    <w:rsid w:val="00FE2C80"/>
    <w:rsid w:val="00FE2CB2"/>
    <w:rsid w:val="00FE2CF5"/>
    <w:rsid w:val="00FE2D32"/>
    <w:rsid w:val="00FE2D53"/>
    <w:rsid w:val="00FE2D79"/>
    <w:rsid w:val="00FE2DA1"/>
    <w:rsid w:val="00FE2DB0"/>
    <w:rsid w:val="00FE2F50"/>
    <w:rsid w:val="00FE2F71"/>
    <w:rsid w:val="00FE2FAD"/>
    <w:rsid w:val="00FE2FC1"/>
    <w:rsid w:val="00FE2FFA"/>
    <w:rsid w:val="00FE3010"/>
    <w:rsid w:val="00FE3013"/>
    <w:rsid w:val="00FE303E"/>
    <w:rsid w:val="00FE305A"/>
    <w:rsid w:val="00FE3078"/>
    <w:rsid w:val="00FE3093"/>
    <w:rsid w:val="00FE30A0"/>
    <w:rsid w:val="00FE30BD"/>
    <w:rsid w:val="00FE30F2"/>
    <w:rsid w:val="00FE30FE"/>
    <w:rsid w:val="00FE3137"/>
    <w:rsid w:val="00FE3163"/>
    <w:rsid w:val="00FE3187"/>
    <w:rsid w:val="00FE3192"/>
    <w:rsid w:val="00FE31F0"/>
    <w:rsid w:val="00FE3255"/>
    <w:rsid w:val="00FE3269"/>
    <w:rsid w:val="00FE32DF"/>
    <w:rsid w:val="00FE332B"/>
    <w:rsid w:val="00FE333A"/>
    <w:rsid w:val="00FE3357"/>
    <w:rsid w:val="00FE3382"/>
    <w:rsid w:val="00FE33A0"/>
    <w:rsid w:val="00FE33A5"/>
    <w:rsid w:val="00FE33C9"/>
    <w:rsid w:val="00FE33F0"/>
    <w:rsid w:val="00FE346E"/>
    <w:rsid w:val="00FE3537"/>
    <w:rsid w:val="00FE3583"/>
    <w:rsid w:val="00FE3599"/>
    <w:rsid w:val="00FE35E8"/>
    <w:rsid w:val="00FE3619"/>
    <w:rsid w:val="00FE361B"/>
    <w:rsid w:val="00FE366A"/>
    <w:rsid w:val="00FE3670"/>
    <w:rsid w:val="00FE3683"/>
    <w:rsid w:val="00FE371C"/>
    <w:rsid w:val="00FE3726"/>
    <w:rsid w:val="00FE3742"/>
    <w:rsid w:val="00FE376A"/>
    <w:rsid w:val="00FE3799"/>
    <w:rsid w:val="00FE37F7"/>
    <w:rsid w:val="00FE37FE"/>
    <w:rsid w:val="00FE381F"/>
    <w:rsid w:val="00FE384B"/>
    <w:rsid w:val="00FE3861"/>
    <w:rsid w:val="00FE3867"/>
    <w:rsid w:val="00FE3876"/>
    <w:rsid w:val="00FE387F"/>
    <w:rsid w:val="00FE389D"/>
    <w:rsid w:val="00FE38AA"/>
    <w:rsid w:val="00FE38EA"/>
    <w:rsid w:val="00FE38F9"/>
    <w:rsid w:val="00FE398C"/>
    <w:rsid w:val="00FE398D"/>
    <w:rsid w:val="00FE399C"/>
    <w:rsid w:val="00FE39D6"/>
    <w:rsid w:val="00FE39F8"/>
    <w:rsid w:val="00FE3A5F"/>
    <w:rsid w:val="00FE3AA0"/>
    <w:rsid w:val="00FE3AB9"/>
    <w:rsid w:val="00FE3AE3"/>
    <w:rsid w:val="00FE3B20"/>
    <w:rsid w:val="00FE3B49"/>
    <w:rsid w:val="00FE3B5B"/>
    <w:rsid w:val="00FE3B7C"/>
    <w:rsid w:val="00FE3BB2"/>
    <w:rsid w:val="00FE3C15"/>
    <w:rsid w:val="00FE3C1D"/>
    <w:rsid w:val="00FE3C2B"/>
    <w:rsid w:val="00FE3C44"/>
    <w:rsid w:val="00FE3C9C"/>
    <w:rsid w:val="00FE3CA9"/>
    <w:rsid w:val="00FE3D33"/>
    <w:rsid w:val="00FE3D38"/>
    <w:rsid w:val="00FE3D47"/>
    <w:rsid w:val="00FE3D52"/>
    <w:rsid w:val="00FE3D69"/>
    <w:rsid w:val="00FE3D6F"/>
    <w:rsid w:val="00FE3DCA"/>
    <w:rsid w:val="00FE3E3B"/>
    <w:rsid w:val="00FE3EED"/>
    <w:rsid w:val="00FE3EF1"/>
    <w:rsid w:val="00FE3F30"/>
    <w:rsid w:val="00FE3F5D"/>
    <w:rsid w:val="00FE3F77"/>
    <w:rsid w:val="00FE3FC8"/>
    <w:rsid w:val="00FE3FEE"/>
    <w:rsid w:val="00FE3FFB"/>
    <w:rsid w:val="00FE3FFE"/>
    <w:rsid w:val="00FE400A"/>
    <w:rsid w:val="00FE4038"/>
    <w:rsid w:val="00FE4040"/>
    <w:rsid w:val="00FE4051"/>
    <w:rsid w:val="00FE40B8"/>
    <w:rsid w:val="00FE40D5"/>
    <w:rsid w:val="00FE413C"/>
    <w:rsid w:val="00FE4188"/>
    <w:rsid w:val="00FE41B7"/>
    <w:rsid w:val="00FE41D1"/>
    <w:rsid w:val="00FE41EC"/>
    <w:rsid w:val="00FE41F4"/>
    <w:rsid w:val="00FE41F6"/>
    <w:rsid w:val="00FE420B"/>
    <w:rsid w:val="00FE4245"/>
    <w:rsid w:val="00FE42A8"/>
    <w:rsid w:val="00FE42CF"/>
    <w:rsid w:val="00FE42F5"/>
    <w:rsid w:val="00FE4318"/>
    <w:rsid w:val="00FE4321"/>
    <w:rsid w:val="00FE4345"/>
    <w:rsid w:val="00FE4354"/>
    <w:rsid w:val="00FE4355"/>
    <w:rsid w:val="00FE4368"/>
    <w:rsid w:val="00FE438C"/>
    <w:rsid w:val="00FE43F6"/>
    <w:rsid w:val="00FE43F8"/>
    <w:rsid w:val="00FE44C7"/>
    <w:rsid w:val="00FE44FC"/>
    <w:rsid w:val="00FE4575"/>
    <w:rsid w:val="00FE4583"/>
    <w:rsid w:val="00FE458C"/>
    <w:rsid w:val="00FE45B1"/>
    <w:rsid w:val="00FE4626"/>
    <w:rsid w:val="00FE4636"/>
    <w:rsid w:val="00FE4649"/>
    <w:rsid w:val="00FE4693"/>
    <w:rsid w:val="00FE46D3"/>
    <w:rsid w:val="00FE46E2"/>
    <w:rsid w:val="00FE473B"/>
    <w:rsid w:val="00FE473D"/>
    <w:rsid w:val="00FE47DA"/>
    <w:rsid w:val="00FE47FD"/>
    <w:rsid w:val="00FE4829"/>
    <w:rsid w:val="00FE4831"/>
    <w:rsid w:val="00FE4893"/>
    <w:rsid w:val="00FE489E"/>
    <w:rsid w:val="00FE48B7"/>
    <w:rsid w:val="00FE48D9"/>
    <w:rsid w:val="00FE48E4"/>
    <w:rsid w:val="00FE48F3"/>
    <w:rsid w:val="00FE4922"/>
    <w:rsid w:val="00FE4929"/>
    <w:rsid w:val="00FE4981"/>
    <w:rsid w:val="00FE4989"/>
    <w:rsid w:val="00FE49F7"/>
    <w:rsid w:val="00FE49F8"/>
    <w:rsid w:val="00FE4A0C"/>
    <w:rsid w:val="00FE4A42"/>
    <w:rsid w:val="00FE4A6F"/>
    <w:rsid w:val="00FE4B8F"/>
    <w:rsid w:val="00FE4BAE"/>
    <w:rsid w:val="00FE4BC5"/>
    <w:rsid w:val="00FE4BE7"/>
    <w:rsid w:val="00FE4C09"/>
    <w:rsid w:val="00FE4C39"/>
    <w:rsid w:val="00FE4C40"/>
    <w:rsid w:val="00FE4CDD"/>
    <w:rsid w:val="00FE4CE7"/>
    <w:rsid w:val="00FE4D16"/>
    <w:rsid w:val="00FE4D2E"/>
    <w:rsid w:val="00FE4D2F"/>
    <w:rsid w:val="00FE4D39"/>
    <w:rsid w:val="00FE4D3D"/>
    <w:rsid w:val="00FE4D68"/>
    <w:rsid w:val="00FE4DFD"/>
    <w:rsid w:val="00FE4E04"/>
    <w:rsid w:val="00FE4E14"/>
    <w:rsid w:val="00FE4E3C"/>
    <w:rsid w:val="00FE4E3E"/>
    <w:rsid w:val="00FE4E4B"/>
    <w:rsid w:val="00FE4E58"/>
    <w:rsid w:val="00FE4E5F"/>
    <w:rsid w:val="00FE4EBA"/>
    <w:rsid w:val="00FE4F1E"/>
    <w:rsid w:val="00FE4F29"/>
    <w:rsid w:val="00FE4F78"/>
    <w:rsid w:val="00FE4F8F"/>
    <w:rsid w:val="00FE4FA4"/>
    <w:rsid w:val="00FE4FD4"/>
    <w:rsid w:val="00FE4FEB"/>
    <w:rsid w:val="00FE4FFC"/>
    <w:rsid w:val="00FE501D"/>
    <w:rsid w:val="00FE5030"/>
    <w:rsid w:val="00FE5031"/>
    <w:rsid w:val="00FE5035"/>
    <w:rsid w:val="00FE5058"/>
    <w:rsid w:val="00FE5064"/>
    <w:rsid w:val="00FE5078"/>
    <w:rsid w:val="00FE507A"/>
    <w:rsid w:val="00FE507F"/>
    <w:rsid w:val="00FE5090"/>
    <w:rsid w:val="00FE50D5"/>
    <w:rsid w:val="00FE50F8"/>
    <w:rsid w:val="00FE50FD"/>
    <w:rsid w:val="00FE5101"/>
    <w:rsid w:val="00FE515D"/>
    <w:rsid w:val="00FE5162"/>
    <w:rsid w:val="00FE51D6"/>
    <w:rsid w:val="00FE51EC"/>
    <w:rsid w:val="00FE52A4"/>
    <w:rsid w:val="00FE52CF"/>
    <w:rsid w:val="00FE52DC"/>
    <w:rsid w:val="00FE5311"/>
    <w:rsid w:val="00FE531B"/>
    <w:rsid w:val="00FE53A9"/>
    <w:rsid w:val="00FE53CB"/>
    <w:rsid w:val="00FE53F3"/>
    <w:rsid w:val="00FE5437"/>
    <w:rsid w:val="00FE548E"/>
    <w:rsid w:val="00FE54A7"/>
    <w:rsid w:val="00FE54C0"/>
    <w:rsid w:val="00FE54CA"/>
    <w:rsid w:val="00FE54DE"/>
    <w:rsid w:val="00FE54F2"/>
    <w:rsid w:val="00FE551E"/>
    <w:rsid w:val="00FE554D"/>
    <w:rsid w:val="00FE5555"/>
    <w:rsid w:val="00FE5566"/>
    <w:rsid w:val="00FE55BB"/>
    <w:rsid w:val="00FE55E8"/>
    <w:rsid w:val="00FE5654"/>
    <w:rsid w:val="00FE5698"/>
    <w:rsid w:val="00FE5723"/>
    <w:rsid w:val="00FE5777"/>
    <w:rsid w:val="00FE577A"/>
    <w:rsid w:val="00FE579E"/>
    <w:rsid w:val="00FE57C2"/>
    <w:rsid w:val="00FE57DD"/>
    <w:rsid w:val="00FE5801"/>
    <w:rsid w:val="00FE5840"/>
    <w:rsid w:val="00FE5846"/>
    <w:rsid w:val="00FE5852"/>
    <w:rsid w:val="00FE586E"/>
    <w:rsid w:val="00FE5879"/>
    <w:rsid w:val="00FE58F0"/>
    <w:rsid w:val="00FE5905"/>
    <w:rsid w:val="00FE5913"/>
    <w:rsid w:val="00FE5917"/>
    <w:rsid w:val="00FE5923"/>
    <w:rsid w:val="00FE5972"/>
    <w:rsid w:val="00FE597E"/>
    <w:rsid w:val="00FE59C6"/>
    <w:rsid w:val="00FE59CA"/>
    <w:rsid w:val="00FE5A34"/>
    <w:rsid w:val="00FE5A54"/>
    <w:rsid w:val="00FE5A82"/>
    <w:rsid w:val="00FE5A85"/>
    <w:rsid w:val="00FE5B35"/>
    <w:rsid w:val="00FE5BD9"/>
    <w:rsid w:val="00FE5C05"/>
    <w:rsid w:val="00FE5C18"/>
    <w:rsid w:val="00FE5C3E"/>
    <w:rsid w:val="00FE5C54"/>
    <w:rsid w:val="00FE5C91"/>
    <w:rsid w:val="00FE5D16"/>
    <w:rsid w:val="00FE5D7F"/>
    <w:rsid w:val="00FE5D92"/>
    <w:rsid w:val="00FE5DB4"/>
    <w:rsid w:val="00FE5DB9"/>
    <w:rsid w:val="00FE5DBE"/>
    <w:rsid w:val="00FE5DE4"/>
    <w:rsid w:val="00FE5E38"/>
    <w:rsid w:val="00FE5E81"/>
    <w:rsid w:val="00FE5E98"/>
    <w:rsid w:val="00FE5F0A"/>
    <w:rsid w:val="00FE5F29"/>
    <w:rsid w:val="00FE5F34"/>
    <w:rsid w:val="00FE5F4F"/>
    <w:rsid w:val="00FE5F93"/>
    <w:rsid w:val="00FE5FD4"/>
    <w:rsid w:val="00FE5FD7"/>
    <w:rsid w:val="00FE5FFA"/>
    <w:rsid w:val="00FE602E"/>
    <w:rsid w:val="00FE6063"/>
    <w:rsid w:val="00FE608D"/>
    <w:rsid w:val="00FE60A9"/>
    <w:rsid w:val="00FE615B"/>
    <w:rsid w:val="00FE6168"/>
    <w:rsid w:val="00FE619D"/>
    <w:rsid w:val="00FE6220"/>
    <w:rsid w:val="00FE6248"/>
    <w:rsid w:val="00FE6276"/>
    <w:rsid w:val="00FE62F0"/>
    <w:rsid w:val="00FE6308"/>
    <w:rsid w:val="00FE6335"/>
    <w:rsid w:val="00FE634D"/>
    <w:rsid w:val="00FE63CA"/>
    <w:rsid w:val="00FE63CE"/>
    <w:rsid w:val="00FE63D2"/>
    <w:rsid w:val="00FE63EE"/>
    <w:rsid w:val="00FE63FF"/>
    <w:rsid w:val="00FE641A"/>
    <w:rsid w:val="00FE6457"/>
    <w:rsid w:val="00FE647D"/>
    <w:rsid w:val="00FE6493"/>
    <w:rsid w:val="00FE6504"/>
    <w:rsid w:val="00FE6513"/>
    <w:rsid w:val="00FE651E"/>
    <w:rsid w:val="00FE6535"/>
    <w:rsid w:val="00FE6542"/>
    <w:rsid w:val="00FE6606"/>
    <w:rsid w:val="00FE6614"/>
    <w:rsid w:val="00FE661A"/>
    <w:rsid w:val="00FE663C"/>
    <w:rsid w:val="00FE6642"/>
    <w:rsid w:val="00FE6656"/>
    <w:rsid w:val="00FE6688"/>
    <w:rsid w:val="00FE66AC"/>
    <w:rsid w:val="00FE66D9"/>
    <w:rsid w:val="00FE6707"/>
    <w:rsid w:val="00FE672B"/>
    <w:rsid w:val="00FE6741"/>
    <w:rsid w:val="00FE674D"/>
    <w:rsid w:val="00FE6763"/>
    <w:rsid w:val="00FE67C4"/>
    <w:rsid w:val="00FE6835"/>
    <w:rsid w:val="00FE683D"/>
    <w:rsid w:val="00FE686C"/>
    <w:rsid w:val="00FE6899"/>
    <w:rsid w:val="00FE68C0"/>
    <w:rsid w:val="00FE68C9"/>
    <w:rsid w:val="00FE68DE"/>
    <w:rsid w:val="00FE68F5"/>
    <w:rsid w:val="00FE6934"/>
    <w:rsid w:val="00FE6955"/>
    <w:rsid w:val="00FE6970"/>
    <w:rsid w:val="00FE6973"/>
    <w:rsid w:val="00FE69C0"/>
    <w:rsid w:val="00FE6A2B"/>
    <w:rsid w:val="00FE6A73"/>
    <w:rsid w:val="00FE6A7D"/>
    <w:rsid w:val="00FE6AA2"/>
    <w:rsid w:val="00FE6AA8"/>
    <w:rsid w:val="00FE6AC7"/>
    <w:rsid w:val="00FE6ACB"/>
    <w:rsid w:val="00FE6ACD"/>
    <w:rsid w:val="00FE6B44"/>
    <w:rsid w:val="00FE6B79"/>
    <w:rsid w:val="00FE6B93"/>
    <w:rsid w:val="00FE6B97"/>
    <w:rsid w:val="00FE6BC1"/>
    <w:rsid w:val="00FE6BE4"/>
    <w:rsid w:val="00FE6BED"/>
    <w:rsid w:val="00FE6BF8"/>
    <w:rsid w:val="00FE6C09"/>
    <w:rsid w:val="00FE6C6A"/>
    <w:rsid w:val="00FE6C8F"/>
    <w:rsid w:val="00FE6D31"/>
    <w:rsid w:val="00FE6D74"/>
    <w:rsid w:val="00FE6DA4"/>
    <w:rsid w:val="00FE6DE5"/>
    <w:rsid w:val="00FE6E8E"/>
    <w:rsid w:val="00FE6EA3"/>
    <w:rsid w:val="00FE6F0B"/>
    <w:rsid w:val="00FE6F3B"/>
    <w:rsid w:val="00FE6F70"/>
    <w:rsid w:val="00FE6FD9"/>
    <w:rsid w:val="00FE7000"/>
    <w:rsid w:val="00FE7017"/>
    <w:rsid w:val="00FE7052"/>
    <w:rsid w:val="00FE709B"/>
    <w:rsid w:val="00FE7116"/>
    <w:rsid w:val="00FE7128"/>
    <w:rsid w:val="00FE717B"/>
    <w:rsid w:val="00FE71FC"/>
    <w:rsid w:val="00FE7228"/>
    <w:rsid w:val="00FE722F"/>
    <w:rsid w:val="00FE723F"/>
    <w:rsid w:val="00FE72CF"/>
    <w:rsid w:val="00FE7321"/>
    <w:rsid w:val="00FE7336"/>
    <w:rsid w:val="00FE7346"/>
    <w:rsid w:val="00FE74B6"/>
    <w:rsid w:val="00FE74C8"/>
    <w:rsid w:val="00FE74D2"/>
    <w:rsid w:val="00FE7521"/>
    <w:rsid w:val="00FE755F"/>
    <w:rsid w:val="00FE75D3"/>
    <w:rsid w:val="00FE75D6"/>
    <w:rsid w:val="00FE75DE"/>
    <w:rsid w:val="00FE75EF"/>
    <w:rsid w:val="00FE75FF"/>
    <w:rsid w:val="00FE7609"/>
    <w:rsid w:val="00FE7665"/>
    <w:rsid w:val="00FE7677"/>
    <w:rsid w:val="00FE767F"/>
    <w:rsid w:val="00FE771E"/>
    <w:rsid w:val="00FE7747"/>
    <w:rsid w:val="00FE7763"/>
    <w:rsid w:val="00FE77B8"/>
    <w:rsid w:val="00FE7813"/>
    <w:rsid w:val="00FE7818"/>
    <w:rsid w:val="00FE788C"/>
    <w:rsid w:val="00FE78E3"/>
    <w:rsid w:val="00FE78EF"/>
    <w:rsid w:val="00FE7902"/>
    <w:rsid w:val="00FE7949"/>
    <w:rsid w:val="00FE794F"/>
    <w:rsid w:val="00FE7955"/>
    <w:rsid w:val="00FE797C"/>
    <w:rsid w:val="00FE79EC"/>
    <w:rsid w:val="00FE7A04"/>
    <w:rsid w:val="00FE7A1D"/>
    <w:rsid w:val="00FE7A22"/>
    <w:rsid w:val="00FE7A38"/>
    <w:rsid w:val="00FE7A88"/>
    <w:rsid w:val="00FE7AAF"/>
    <w:rsid w:val="00FE7AD3"/>
    <w:rsid w:val="00FE7B0D"/>
    <w:rsid w:val="00FE7B73"/>
    <w:rsid w:val="00FE7BA4"/>
    <w:rsid w:val="00FE7BA7"/>
    <w:rsid w:val="00FE7BD1"/>
    <w:rsid w:val="00FE7BD7"/>
    <w:rsid w:val="00FE7C14"/>
    <w:rsid w:val="00FE7C3C"/>
    <w:rsid w:val="00FE7C5D"/>
    <w:rsid w:val="00FE7C63"/>
    <w:rsid w:val="00FE7CAF"/>
    <w:rsid w:val="00FE7CC4"/>
    <w:rsid w:val="00FE7D05"/>
    <w:rsid w:val="00FE7D1C"/>
    <w:rsid w:val="00FE7D68"/>
    <w:rsid w:val="00FE7DA2"/>
    <w:rsid w:val="00FE7DBF"/>
    <w:rsid w:val="00FE7DD4"/>
    <w:rsid w:val="00FE7DFC"/>
    <w:rsid w:val="00FE7E44"/>
    <w:rsid w:val="00FE7E66"/>
    <w:rsid w:val="00FE7E7C"/>
    <w:rsid w:val="00FE7E91"/>
    <w:rsid w:val="00FE7F26"/>
    <w:rsid w:val="00FE7F42"/>
    <w:rsid w:val="00FE7F46"/>
    <w:rsid w:val="00FE7F58"/>
    <w:rsid w:val="00FE7F9D"/>
    <w:rsid w:val="00FE7F9F"/>
    <w:rsid w:val="00FE7FAA"/>
    <w:rsid w:val="00FE7FBC"/>
    <w:rsid w:val="00FE7FEB"/>
    <w:rsid w:val="00FE916D"/>
    <w:rsid w:val="00FF0004"/>
    <w:rsid w:val="00FF001C"/>
    <w:rsid w:val="00FF0023"/>
    <w:rsid w:val="00FF002D"/>
    <w:rsid w:val="00FF0073"/>
    <w:rsid w:val="00FF007F"/>
    <w:rsid w:val="00FF0099"/>
    <w:rsid w:val="00FF00B5"/>
    <w:rsid w:val="00FF0131"/>
    <w:rsid w:val="00FF015E"/>
    <w:rsid w:val="00FF0161"/>
    <w:rsid w:val="00FF01C6"/>
    <w:rsid w:val="00FF01ED"/>
    <w:rsid w:val="00FF0210"/>
    <w:rsid w:val="00FF021F"/>
    <w:rsid w:val="00FF022C"/>
    <w:rsid w:val="00FF0289"/>
    <w:rsid w:val="00FF029F"/>
    <w:rsid w:val="00FF02D8"/>
    <w:rsid w:val="00FF030D"/>
    <w:rsid w:val="00FF0313"/>
    <w:rsid w:val="00FF0360"/>
    <w:rsid w:val="00FF0416"/>
    <w:rsid w:val="00FF0425"/>
    <w:rsid w:val="00FF0458"/>
    <w:rsid w:val="00FF0498"/>
    <w:rsid w:val="00FF0505"/>
    <w:rsid w:val="00FF057F"/>
    <w:rsid w:val="00FF05FB"/>
    <w:rsid w:val="00FF0604"/>
    <w:rsid w:val="00FF0609"/>
    <w:rsid w:val="00FF0677"/>
    <w:rsid w:val="00FF0688"/>
    <w:rsid w:val="00FF06CC"/>
    <w:rsid w:val="00FF06FF"/>
    <w:rsid w:val="00FF0820"/>
    <w:rsid w:val="00FF0891"/>
    <w:rsid w:val="00FF0916"/>
    <w:rsid w:val="00FF0922"/>
    <w:rsid w:val="00FF0923"/>
    <w:rsid w:val="00FF0944"/>
    <w:rsid w:val="00FF0954"/>
    <w:rsid w:val="00FF0969"/>
    <w:rsid w:val="00FF0973"/>
    <w:rsid w:val="00FF098C"/>
    <w:rsid w:val="00FF0A32"/>
    <w:rsid w:val="00FF0A46"/>
    <w:rsid w:val="00FF0A9F"/>
    <w:rsid w:val="00FF0AC4"/>
    <w:rsid w:val="00FF0B89"/>
    <w:rsid w:val="00FF0B8C"/>
    <w:rsid w:val="00FF0B93"/>
    <w:rsid w:val="00FF0BDB"/>
    <w:rsid w:val="00FF0BE1"/>
    <w:rsid w:val="00FF0BFF"/>
    <w:rsid w:val="00FF0C25"/>
    <w:rsid w:val="00FF0C3E"/>
    <w:rsid w:val="00FF0CAB"/>
    <w:rsid w:val="00FF0CEB"/>
    <w:rsid w:val="00FF0CF6"/>
    <w:rsid w:val="00FF0D04"/>
    <w:rsid w:val="00FF0D50"/>
    <w:rsid w:val="00FF0D7B"/>
    <w:rsid w:val="00FF0D95"/>
    <w:rsid w:val="00FF0DB6"/>
    <w:rsid w:val="00FF0E23"/>
    <w:rsid w:val="00FF0E2E"/>
    <w:rsid w:val="00FF0E6B"/>
    <w:rsid w:val="00FF0E84"/>
    <w:rsid w:val="00FF0E96"/>
    <w:rsid w:val="00FF0EB7"/>
    <w:rsid w:val="00FF0EFA"/>
    <w:rsid w:val="00FF0F25"/>
    <w:rsid w:val="00FF0F40"/>
    <w:rsid w:val="00FF0FAD"/>
    <w:rsid w:val="00FF0FC9"/>
    <w:rsid w:val="00FF0FD1"/>
    <w:rsid w:val="00FF0FD4"/>
    <w:rsid w:val="00FF0FE7"/>
    <w:rsid w:val="00FF1001"/>
    <w:rsid w:val="00FF103F"/>
    <w:rsid w:val="00FF1086"/>
    <w:rsid w:val="00FF10DF"/>
    <w:rsid w:val="00FF1117"/>
    <w:rsid w:val="00FF1128"/>
    <w:rsid w:val="00FF1165"/>
    <w:rsid w:val="00FF1167"/>
    <w:rsid w:val="00FF117F"/>
    <w:rsid w:val="00FF119C"/>
    <w:rsid w:val="00FF11A9"/>
    <w:rsid w:val="00FF11C7"/>
    <w:rsid w:val="00FF11D8"/>
    <w:rsid w:val="00FF11FC"/>
    <w:rsid w:val="00FF123D"/>
    <w:rsid w:val="00FF1259"/>
    <w:rsid w:val="00FF12A3"/>
    <w:rsid w:val="00FF12E5"/>
    <w:rsid w:val="00FF1309"/>
    <w:rsid w:val="00FF1335"/>
    <w:rsid w:val="00FF135F"/>
    <w:rsid w:val="00FF13BC"/>
    <w:rsid w:val="00FF13E9"/>
    <w:rsid w:val="00FF1404"/>
    <w:rsid w:val="00FF1456"/>
    <w:rsid w:val="00FF1467"/>
    <w:rsid w:val="00FF1474"/>
    <w:rsid w:val="00FF14A7"/>
    <w:rsid w:val="00FF150C"/>
    <w:rsid w:val="00FF1520"/>
    <w:rsid w:val="00FF1572"/>
    <w:rsid w:val="00FF1580"/>
    <w:rsid w:val="00FF1590"/>
    <w:rsid w:val="00FF159A"/>
    <w:rsid w:val="00FF15C6"/>
    <w:rsid w:val="00FF1616"/>
    <w:rsid w:val="00FF16A3"/>
    <w:rsid w:val="00FF16B2"/>
    <w:rsid w:val="00FF16CB"/>
    <w:rsid w:val="00FF16E5"/>
    <w:rsid w:val="00FF16F2"/>
    <w:rsid w:val="00FF174E"/>
    <w:rsid w:val="00FF175E"/>
    <w:rsid w:val="00FF178F"/>
    <w:rsid w:val="00FF184D"/>
    <w:rsid w:val="00FF186E"/>
    <w:rsid w:val="00FF189D"/>
    <w:rsid w:val="00FF18D9"/>
    <w:rsid w:val="00FF18EF"/>
    <w:rsid w:val="00FF190E"/>
    <w:rsid w:val="00FF1923"/>
    <w:rsid w:val="00FF1950"/>
    <w:rsid w:val="00FF196A"/>
    <w:rsid w:val="00FF19B2"/>
    <w:rsid w:val="00FF19D9"/>
    <w:rsid w:val="00FF1A16"/>
    <w:rsid w:val="00FF1AEB"/>
    <w:rsid w:val="00FF1BCB"/>
    <w:rsid w:val="00FF1C03"/>
    <w:rsid w:val="00FF1C62"/>
    <w:rsid w:val="00FF1C70"/>
    <w:rsid w:val="00FF1C77"/>
    <w:rsid w:val="00FF1C8D"/>
    <w:rsid w:val="00FF1CD7"/>
    <w:rsid w:val="00FF1D23"/>
    <w:rsid w:val="00FF1D5A"/>
    <w:rsid w:val="00FF1DA6"/>
    <w:rsid w:val="00FF1DD8"/>
    <w:rsid w:val="00FF1DE0"/>
    <w:rsid w:val="00FF1E07"/>
    <w:rsid w:val="00FF1E44"/>
    <w:rsid w:val="00FF1EFB"/>
    <w:rsid w:val="00FF1F57"/>
    <w:rsid w:val="00FF1F5C"/>
    <w:rsid w:val="00FF1F7F"/>
    <w:rsid w:val="00FF1FB1"/>
    <w:rsid w:val="00FF1FD2"/>
    <w:rsid w:val="00FF200D"/>
    <w:rsid w:val="00FF2084"/>
    <w:rsid w:val="00FF208D"/>
    <w:rsid w:val="00FF2103"/>
    <w:rsid w:val="00FF216B"/>
    <w:rsid w:val="00FF217F"/>
    <w:rsid w:val="00FF2189"/>
    <w:rsid w:val="00FF21B0"/>
    <w:rsid w:val="00FF21C5"/>
    <w:rsid w:val="00FF21F4"/>
    <w:rsid w:val="00FF2229"/>
    <w:rsid w:val="00FF2258"/>
    <w:rsid w:val="00FF228A"/>
    <w:rsid w:val="00FF230B"/>
    <w:rsid w:val="00FF232F"/>
    <w:rsid w:val="00FF23E3"/>
    <w:rsid w:val="00FF23F6"/>
    <w:rsid w:val="00FF244C"/>
    <w:rsid w:val="00FF24B2"/>
    <w:rsid w:val="00FF253C"/>
    <w:rsid w:val="00FF2579"/>
    <w:rsid w:val="00FF25A8"/>
    <w:rsid w:val="00FF25AA"/>
    <w:rsid w:val="00FF25B4"/>
    <w:rsid w:val="00FF25D7"/>
    <w:rsid w:val="00FF2604"/>
    <w:rsid w:val="00FF26DD"/>
    <w:rsid w:val="00FF2710"/>
    <w:rsid w:val="00FF273A"/>
    <w:rsid w:val="00FF2783"/>
    <w:rsid w:val="00FF27FE"/>
    <w:rsid w:val="00FF283E"/>
    <w:rsid w:val="00FF2888"/>
    <w:rsid w:val="00FF28A8"/>
    <w:rsid w:val="00FF28D0"/>
    <w:rsid w:val="00FF28FD"/>
    <w:rsid w:val="00FF290F"/>
    <w:rsid w:val="00FF294D"/>
    <w:rsid w:val="00FF2972"/>
    <w:rsid w:val="00FF29AE"/>
    <w:rsid w:val="00FF29D7"/>
    <w:rsid w:val="00FF2A16"/>
    <w:rsid w:val="00FF2A65"/>
    <w:rsid w:val="00FF2A91"/>
    <w:rsid w:val="00FF2A94"/>
    <w:rsid w:val="00FF2AD4"/>
    <w:rsid w:val="00FF2B9A"/>
    <w:rsid w:val="00FF2BA4"/>
    <w:rsid w:val="00FF2BBB"/>
    <w:rsid w:val="00FF2BCC"/>
    <w:rsid w:val="00FF2BF6"/>
    <w:rsid w:val="00FF2BFA"/>
    <w:rsid w:val="00FF2C09"/>
    <w:rsid w:val="00FF2C1E"/>
    <w:rsid w:val="00FF2C4E"/>
    <w:rsid w:val="00FF2C66"/>
    <w:rsid w:val="00FF2CA9"/>
    <w:rsid w:val="00FF2CEB"/>
    <w:rsid w:val="00FF2CF7"/>
    <w:rsid w:val="00FF2D27"/>
    <w:rsid w:val="00FF2D4E"/>
    <w:rsid w:val="00FF2D63"/>
    <w:rsid w:val="00FF2DA6"/>
    <w:rsid w:val="00FF2DC5"/>
    <w:rsid w:val="00FF2E1D"/>
    <w:rsid w:val="00FF2E3B"/>
    <w:rsid w:val="00FF2E62"/>
    <w:rsid w:val="00FF2E69"/>
    <w:rsid w:val="00FF2ED5"/>
    <w:rsid w:val="00FF2F30"/>
    <w:rsid w:val="00FF2F81"/>
    <w:rsid w:val="00FF2F8D"/>
    <w:rsid w:val="00FF300B"/>
    <w:rsid w:val="00FF3081"/>
    <w:rsid w:val="00FF31A2"/>
    <w:rsid w:val="00FF31E9"/>
    <w:rsid w:val="00FF31F4"/>
    <w:rsid w:val="00FF3219"/>
    <w:rsid w:val="00FF3221"/>
    <w:rsid w:val="00FF3238"/>
    <w:rsid w:val="00FF3265"/>
    <w:rsid w:val="00FF326C"/>
    <w:rsid w:val="00FF32CB"/>
    <w:rsid w:val="00FF32D9"/>
    <w:rsid w:val="00FF3311"/>
    <w:rsid w:val="00FF33B4"/>
    <w:rsid w:val="00FF341F"/>
    <w:rsid w:val="00FF3444"/>
    <w:rsid w:val="00FF3529"/>
    <w:rsid w:val="00FF353C"/>
    <w:rsid w:val="00FF355E"/>
    <w:rsid w:val="00FF357F"/>
    <w:rsid w:val="00FF35B1"/>
    <w:rsid w:val="00FF35E6"/>
    <w:rsid w:val="00FF366A"/>
    <w:rsid w:val="00FF3695"/>
    <w:rsid w:val="00FF36CC"/>
    <w:rsid w:val="00FF36E4"/>
    <w:rsid w:val="00FF370B"/>
    <w:rsid w:val="00FF37CE"/>
    <w:rsid w:val="00FF37D7"/>
    <w:rsid w:val="00FF37FA"/>
    <w:rsid w:val="00FF3809"/>
    <w:rsid w:val="00FF380E"/>
    <w:rsid w:val="00FF3813"/>
    <w:rsid w:val="00FF3832"/>
    <w:rsid w:val="00FF3891"/>
    <w:rsid w:val="00FF38A3"/>
    <w:rsid w:val="00FF38D7"/>
    <w:rsid w:val="00FF38F6"/>
    <w:rsid w:val="00FF393D"/>
    <w:rsid w:val="00FF396C"/>
    <w:rsid w:val="00FF3A12"/>
    <w:rsid w:val="00FF3A3D"/>
    <w:rsid w:val="00FF3A57"/>
    <w:rsid w:val="00FF3A63"/>
    <w:rsid w:val="00FF3A68"/>
    <w:rsid w:val="00FF3AA8"/>
    <w:rsid w:val="00FF3AAB"/>
    <w:rsid w:val="00FF3B2F"/>
    <w:rsid w:val="00FF3B41"/>
    <w:rsid w:val="00FF3B62"/>
    <w:rsid w:val="00FF3B79"/>
    <w:rsid w:val="00FF3B9D"/>
    <w:rsid w:val="00FF3B9F"/>
    <w:rsid w:val="00FF3BB8"/>
    <w:rsid w:val="00FF3BC7"/>
    <w:rsid w:val="00FF3BE2"/>
    <w:rsid w:val="00FF3BE8"/>
    <w:rsid w:val="00FF3C08"/>
    <w:rsid w:val="00FF3C09"/>
    <w:rsid w:val="00FF3C41"/>
    <w:rsid w:val="00FF3C58"/>
    <w:rsid w:val="00FF3C90"/>
    <w:rsid w:val="00FF3CAC"/>
    <w:rsid w:val="00FF3D0F"/>
    <w:rsid w:val="00FF3D24"/>
    <w:rsid w:val="00FF3D40"/>
    <w:rsid w:val="00FF3D5B"/>
    <w:rsid w:val="00FF3DAB"/>
    <w:rsid w:val="00FF3DC7"/>
    <w:rsid w:val="00FF3E09"/>
    <w:rsid w:val="00FF3E29"/>
    <w:rsid w:val="00FF3E5A"/>
    <w:rsid w:val="00FF3E7E"/>
    <w:rsid w:val="00FF3E81"/>
    <w:rsid w:val="00FF3EFE"/>
    <w:rsid w:val="00FF3F00"/>
    <w:rsid w:val="00FF3F16"/>
    <w:rsid w:val="00FF3F1A"/>
    <w:rsid w:val="00FF3F62"/>
    <w:rsid w:val="00FF3F89"/>
    <w:rsid w:val="00FF3F91"/>
    <w:rsid w:val="00FF3F92"/>
    <w:rsid w:val="00FF3FCA"/>
    <w:rsid w:val="00FF4014"/>
    <w:rsid w:val="00FF4053"/>
    <w:rsid w:val="00FF4080"/>
    <w:rsid w:val="00FF411B"/>
    <w:rsid w:val="00FF4120"/>
    <w:rsid w:val="00FF4167"/>
    <w:rsid w:val="00FF416C"/>
    <w:rsid w:val="00FF4173"/>
    <w:rsid w:val="00FF417E"/>
    <w:rsid w:val="00FF41AB"/>
    <w:rsid w:val="00FF41AC"/>
    <w:rsid w:val="00FF421C"/>
    <w:rsid w:val="00FF4232"/>
    <w:rsid w:val="00FF4247"/>
    <w:rsid w:val="00FF424A"/>
    <w:rsid w:val="00FF4258"/>
    <w:rsid w:val="00FF42CE"/>
    <w:rsid w:val="00FF42F3"/>
    <w:rsid w:val="00FF4314"/>
    <w:rsid w:val="00FF437E"/>
    <w:rsid w:val="00FF43A8"/>
    <w:rsid w:val="00FF43B7"/>
    <w:rsid w:val="00FF43B9"/>
    <w:rsid w:val="00FF43C7"/>
    <w:rsid w:val="00FF43C8"/>
    <w:rsid w:val="00FF4474"/>
    <w:rsid w:val="00FF44B4"/>
    <w:rsid w:val="00FF44C1"/>
    <w:rsid w:val="00FF44D6"/>
    <w:rsid w:val="00FF44EF"/>
    <w:rsid w:val="00FF44F9"/>
    <w:rsid w:val="00FF451B"/>
    <w:rsid w:val="00FF4561"/>
    <w:rsid w:val="00FF456E"/>
    <w:rsid w:val="00FF45AB"/>
    <w:rsid w:val="00FF45CA"/>
    <w:rsid w:val="00FF45D3"/>
    <w:rsid w:val="00FF45DF"/>
    <w:rsid w:val="00FF464C"/>
    <w:rsid w:val="00FF4659"/>
    <w:rsid w:val="00FF468F"/>
    <w:rsid w:val="00FF4697"/>
    <w:rsid w:val="00FF469E"/>
    <w:rsid w:val="00FF46ED"/>
    <w:rsid w:val="00FF474F"/>
    <w:rsid w:val="00FF475F"/>
    <w:rsid w:val="00FF4764"/>
    <w:rsid w:val="00FF4766"/>
    <w:rsid w:val="00FF476B"/>
    <w:rsid w:val="00FF4771"/>
    <w:rsid w:val="00FF47AA"/>
    <w:rsid w:val="00FF47B1"/>
    <w:rsid w:val="00FF481C"/>
    <w:rsid w:val="00FF4835"/>
    <w:rsid w:val="00FF4848"/>
    <w:rsid w:val="00FF4867"/>
    <w:rsid w:val="00FF4874"/>
    <w:rsid w:val="00FF4879"/>
    <w:rsid w:val="00FF4882"/>
    <w:rsid w:val="00FF4907"/>
    <w:rsid w:val="00FF4938"/>
    <w:rsid w:val="00FF4994"/>
    <w:rsid w:val="00FF49C5"/>
    <w:rsid w:val="00FF49DE"/>
    <w:rsid w:val="00FF49EA"/>
    <w:rsid w:val="00FF4A15"/>
    <w:rsid w:val="00FF4A75"/>
    <w:rsid w:val="00FF4A8B"/>
    <w:rsid w:val="00FF4A98"/>
    <w:rsid w:val="00FF4AB5"/>
    <w:rsid w:val="00FF4B29"/>
    <w:rsid w:val="00FF4B7C"/>
    <w:rsid w:val="00FF4B83"/>
    <w:rsid w:val="00FF4BFA"/>
    <w:rsid w:val="00FF4C8B"/>
    <w:rsid w:val="00FF4C99"/>
    <w:rsid w:val="00FF4CB4"/>
    <w:rsid w:val="00FF4CB5"/>
    <w:rsid w:val="00FF4CD3"/>
    <w:rsid w:val="00FF4D3C"/>
    <w:rsid w:val="00FF4D8B"/>
    <w:rsid w:val="00FF4DB7"/>
    <w:rsid w:val="00FF4DCB"/>
    <w:rsid w:val="00FF4DCF"/>
    <w:rsid w:val="00FF4DE5"/>
    <w:rsid w:val="00FF4DEE"/>
    <w:rsid w:val="00FF4DF1"/>
    <w:rsid w:val="00FF4DF8"/>
    <w:rsid w:val="00FF4E6D"/>
    <w:rsid w:val="00FF4E71"/>
    <w:rsid w:val="00FF4E7F"/>
    <w:rsid w:val="00FF4EA5"/>
    <w:rsid w:val="00FF4ED4"/>
    <w:rsid w:val="00FF4EFD"/>
    <w:rsid w:val="00FF4F14"/>
    <w:rsid w:val="00FF4F50"/>
    <w:rsid w:val="00FF4F51"/>
    <w:rsid w:val="00FF4F5A"/>
    <w:rsid w:val="00FF4F5E"/>
    <w:rsid w:val="00FF4F5F"/>
    <w:rsid w:val="00FF4F7A"/>
    <w:rsid w:val="00FF4FD3"/>
    <w:rsid w:val="00FF4FEC"/>
    <w:rsid w:val="00FF4FF0"/>
    <w:rsid w:val="00FF504A"/>
    <w:rsid w:val="00FF504C"/>
    <w:rsid w:val="00FF5054"/>
    <w:rsid w:val="00FF505B"/>
    <w:rsid w:val="00FF50C1"/>
    <w:rsid w:val="00FF512B"/>
    <w:rsid w:val="00FF514D"/>
    <w:rsid w:val="00FF51E8"/>
    <w:rsid w:val="00FF51F4"/>
    <w:rsid w:val="00FF520A"/>
    <w:rsid w:val="00FF5225"/>
    <w:rsid w:val="00FF5227"/>
    <w:rsid w:val="00FF5236"/>
    <w:rsid w:val="00FF5272"/>
    <w:rsid w:val="00FF529C"/>
    <w:rsid w:val="00FF536B"/>
    <w:rsid w:val="00FF53A2"/>
    <w:rsid w:val="00FF53D6"/>
    <w:rsid w:val="00FF5411"/>
    <w:rsid w:val="00FF5424"/>
    <w:rsid w:val="00FF543D"/>
    <w:rsid w:val="00FF5440"/>
    <w:rsid w:val="00FF546F"/>
    <w:rsid w:val="00FF548B"/>
    <w:rsid w:val="00FF5492"/>
    <w:rsid w:val="00FF54A4"/>
    <w:rsid w:val="00FF54B4"/>
    <w:rsid w:val="00FF54D0"/>
    <w:rsid w:val="00FF5556"/>
    <w:rsid w:val="00FF5586"/>
    <w:rsid w:val="00FF559E"/>
    <w:rsid w:val="00FF55B3"/>
    <w:rsid w:val="00FF562F"/>
    <w:rsid w:val="00FF5633"/>
    <w:rsid w:val="00FF565B"/>
    <w:rsid w:val="00FF5664"/>
    <w:rsid w:val="00FF568C"/>
    <w:rsid w:val="00FF569D"/>
    <w:rsid w:val="00FF56BD"/>
    <w:rsid w:val="00FF56C2"/>
    <w:rsid w:val="00FF56E4"/>
    <w:rsid w:val="00FF5749"/>
    <w:rsid w:val="00FF5753"/>
    <w:rsid w:val="00FF5758"/>
    <w:rsid w:val="00FF576E"/>
    <w:rsid w:val="00FF5794"/>
    <w:rsid w:val="00FF57B0"/>
    <w:rsid w:val="00FF5804"/>
    <w:rsid w:val="00FF5835"/>
    <w:rsid w:val="00FF584D"/>
    <w:rsid w:val="00FF58B4"/>
    <w:rsid w:val="00FF58CE"/>
    <w:rsid w:val="00FF591E"/>
    <w:rsid w:val="00FF5927"/>
    <w:rsid w:val="00FF596D"/>
    <w:rsid w:val="00FF598F"/>
    <w:rsid w:val="00FF5991"/>
    <w:rsid w:val="00FF59B6"/>
    <w:rsid w:val="00FF59C1"/>
    <w:rsid w:val="00FF59E4"/>
    <w:rsid w:val="00FF5A06"/>
    <w:rsid w:val="00FF5A12"/>
    <w:rsid w:val="00FF5A60"/>
    <w:rsid w:val="00FF5A86"/>
    <w:rsid w:val="00FF5A8C"/>
    <w:rsid w:val="00FF5AB3"/>
    <w:rsid w:val="00FF5ABA"/>
    <w:rsid w:val="00FF5B4E"/>
    <w:rsid w:val="00FF5B6A"/>
    <w:rsid w:val="00FF5B7F"/>
    <w:rsid w:val="00FF5BD5"/>
    <w:rsid w:val="00FF5BD8"/>
    <w:rsid w:val="00FF5C02"/>
    <w:rsid w:val="00FF5C2D"/>
    <w:rsid w:val="00FF5C3A"/>
    <w:rsid w:val="00FF5C5C"/>
    <w:rsid w:val="00FF5C5F"/>
    <w:rsid w:val="00FF5C65"/>
    <w:rsid w:val="00FF5CA8"/>
    <w:rsid w:val="00FF5CF6"/>
    <w:rsid w:val="00FF5CFE"/>
    <w:rsid w:val="00FF5D05"/>
    <w:rsid w:val="00FF5D51"/>
    <w:rsid w:val="00FF5D53"/>
    <w:rsid w:val="00FF5D84"/>
    <w:rsid w:val="00FF5DF9"/>
    <w:rsid w:val="00FF5E39"/>
    <w:rsid w:val="00FF5E8F"/>
    <w:rsid w:val="00FF5EBD"/>
    <w:rsid w:val="00FF5EBE"/>
    <w:rsid w:val="00FF5EF5"/>
    <w:rsid w:val="00FF5F35"/>
    <w:rsid w:val="00FF5F6B"/>
    <w:rsid w:val="00FF5F85"/>
    <w:rsid w:val="00FF5F8F"/>
    <w:rsid w:val="00FF5F90"/>
    <w:rsid w:val="00FF5F95"/>
    <w:rsid w:val="00FF5FD4"/>
    <w:rsid w:val="00FF5FDD"/>
    <w:rsid w:val="00FF6052"/>
    <w:rsid w:val="00FF6068"/>
    <w:rsid w:val="00FF6078"/>
    <w:rsid w:val="00FF607E"/>
    <w:rsid w:val="00FF60A3"/>
    <w:rsid w:val="00FF6147"/>
    <w:rsid w:val="00FF614E"/>
    <w:rsid w:val="00FF6151"/>
    <w:rsid w:val="00FF615B"/>
    <w:rsid w:val="00FF6167"/>
    <w:rsid w:val="00FF6176"/>
    <w:rsid w:val="00FF6187"/>
    <w:rsid w:val="00FF61D4"/>
    <w:rsid w:val="00FF61D9"/>
    <w:rsid w:val="00FF6207"/>
    <w:rsid w:val="00FF621D"/>
    <w:rsid w:val="00FF6277"/>
    <w:rsid w:val="00FF629F"/>
    <w:rsid w:val="00FF62A8"/>
    <w:rsid w:val="00FF62D3"/>
    <w:rsid w:val="00FF6313"/>
    <w:rsid w:val="00FF635E"/>
    <w:rsid w:val="00FF637E"/>
    <w:rsid w:val="00FF6396"/>
    <w:rsid w:val="00FF6397"/>
    <w:rsid w:val="00FF639F"/>
    <w:rsid w:val="00FF6401"/>
    <w:rsid w:val="00FF640D"/>
    <w:rsid w:val="00FF641A"/>
    <w:rsid w:val="00FF642B"/>
    <w:rsid w:val="00FF643E"/>
    <w:rsid w:val="00FF6466"/>
    <w:rsid w:val="00FF6494"/>
    <w:rsid w:val="00FF64A7"/>
    <w:rsid w:val="00FF64AF"/>
    <w:rsid w:val="00FF654E"/>
    <w:rsid w:val="00FF657F"/>
    <w:rsid w:val="00FF659A"/>
    <w:rsid w:val="00FF65CC"/>
    <w:rsid w:val="00FF65D5"/>
    <w:rsid w:val="00FF65E6"/>
    <w:rsid w:val="00FF6622"/>
    <w:rsid w:val="00FF6638"/>
    <w:rsid w:val="00FF663D"/>
    <w:rsid w:val="00FF665B"/>
    <w:rsid w:val="00FF669D"/>
    <w:rsid w:val="00FF66BB"/>
    <w:rsid w:val="00FF6741"/>
    <w:rsid w:val="00FF675D"/>
    <w:rsid w:val="00FF67FE"/>
    <w:rsid w:val="00FF680C"/>
    <w:rsid w:val="00FF680D"/>
    <w:rsid w:val="00FF6810"/>
    <w:rsid w:val="00FF681E"/>
    <w:rsid w:val="00FF6857"/>
    <w:rsid w:val="00FF687B"/>
    <w:rsid w:val="00FF68E1"/>
    <w:rsid w:val="00FF68E9"/>
    <w:rsid w:val="00FF6911"/>
    <w:rsid w:val="00FF692B"/>
    <w:rsid w:val="00FF6946"/>
    <w:rsid w:val="00FF6952"/>
    <w:rsid w:val="00FF695B"/>
    <w:rsid w:val="00FF6971"/>
    <w:rsid w:val="00FF6989"/>
    <w:rsid w:val="00FF69E3"/>
    <w:rsid w:val="00FF6A03"/>
    <w:rsid w:val="00FF6AF9"/>
    <w:rsid w:val="00FF6B5A"/>
    <w:rsid w:val="00FF6B7A"/>
    <w:rsid w:val="00FF6B94"/>
    <w:rsid w:val="00FF6BC8"/>
    <w:rsid w:val="00FF6BD6"/>
    <w:rsid w:val="00FF6BEC"/>
    <w:rsid w:val="00FF6C29"/>
    <w:rsid w:val="00FF6C9D"/>
    <w:rsid w:val="00FF6CA1"/>
    <w:rsid w:val="00FF6CB3"/>
    <w:rsid w:val="00FF6CC5"/>
    <w:rsid w:val="00FF6CE3"/>
    <w:rsid w:val="00FF6D21"/>
    <w:rsid w:val="00FF6D25"/>
    <w:rsid w:val="00FF6DA7"/>
    <w:rsid w:val="00FF6E05"/>
    <w:rsid w:val="00FF6E16"/>
    <w:rsid w:val="00FF6E4B"/>
    <w:rsid w:val="00FF6E55"/>
    <w:rsid w:val="00FF6E5A"/>
    <w:rsid w:val="00FF6E6C"/>
    <w:rsid w:val="00FF6F2A"/>
    <w:rsid w:val="00FF6F35"/>
    <w:rsid w:val="00FF6FB1"/>
    <w:rsid w:val="00FF6FCB"/>
    <w:rsid w:val="00FF6FE1"/>
    <w:rsid w:val="00FF709D"/>
    <w:rsid w:val="00FF70C4"/>
    <w:rsid w:val="00FF70DD"/>
    <w:rsid w:val="00FF70FB"/>
    <w:rsid w:val="00FF7134"/>
    <w:rsid w:val="00FF7157"/>
    <w:rsid w:val="00FF7186"/>
    <w:rsid w:val="00FF7195"/>
    <w:rsid w:val="00FF7228"/>
    <w:rsid w:val="00FF726E"/>
    <w:rsid w:val="00FF7276"/>
    <w:rsid w:val="00FF72AB"/>
    <w:rsid w:val="00FF72AC"/>
    <w:rsid w:val="00FF72BC"/>
    <w:rsid w:val="00FF72C1"/>
    <w:rsid w:val="00FF72F9"/>
    <w:rsid w:val="00FF7322"/>
    <w:rsid w:val="00FF7333"/>
    <w:rsid w:val="00FF733F"/>
    <w:rsid w:val="00FF735F"/>
    <w:rsid w:val="00FF7391"/>
    <w:rsid w:val="00FF73A0"/>
    <w:rsid w:val="00FF73BC"/>
    <w:rsid w:val="00FF7412"/>
    <w:rsid w:val="00FF7420"/>
    <w:rsid w:val="00FF7425"/>
    <w:rsid w:val="00FF747D"/>
    <w:rsid w:val="00FF74AE"/>
    <w:rsid w:val="00FF74E0"/>
    <w:rsid w:val="00FF757B"/>
    <w:rsid w:val="00FF75D0"/>
    <w:rsid w:val="00FF75D4"/>
    <w:rsid w:val="00FF7660"/>
    <w:rsid w:val="00FF7686"/>
    <w:rsid w:val="00FF769F"/>
    <w:rsid w:val="00FF76EC"/>
    <w:rsid w:val="00FF76ED"/>
    <w:rsid w:val="00FF7722"/>
    <w:rsid w:val="00FF7790"/>
    <w:rsid w:val="00FF779C"/>
    <w:rsid w:val="00FF77A1"/>
    <w:rsid w:val="00FF77CC"/>
    <w:rsid w:val="00FF7820"/>
    <w:rsid w:val="00FF7842"/>
    <w:rsid w:val="00FF7864"/>
    <w:rsid w:val="00FF7870"/>
    <w:rsid w:val="00FF7889"/>
    <w:rsid w:val="00FF7896"/>
    <w:rsid w:val="00FF78CB"/>
    <w:rsid w:val="00FF78CF"/>
    <w:rsid w:val="00FF78EE"/>
    <w:rsid w:val="00FF793D"/>
    <w:rsid w:val="00FF7968"/>
    <w:rsid w:val="00FF79FB"/>
    <w:rsid w:val="00FF7A21"/>
    <w:rsid w:val="00FF7A3C"/>
    <w:rsid w:val="00FF7A69"/>
    <w:rsid w:val="00FF7A71"/>
    <w:rsid w:val="00FF7AAA"/>
    <w:rsid w:val="00FF7AB3"/>
    <w:rsid w:val="00FF7AC6"/>
    <w:rsid w:val="00FF7B01"/>
    <w:rsid w:val="00FF7B89"/>
    <w:rsid w:val="00FF7BA8"/>
    <w:rsid w:val="00FF7BD3"/>
    <w:rsid w:val="00FF7C1A"/>
    <w:rsid w:val="00FF7C1F"/>
    <w:rsid w:val="00FF7C28"/>
    <w:rsid w:val="00FF7C63"/>
    <w:rsid w:val="00FF7C9F"/>
    <w:rsid w:val="00FF7CA2"/>
    <w:rsid w:val="00FF7CFC"/>
    <w:rsid w:val="00FF7D1B"/>
    <w:rsid w:val="00FF7D71"/>
    <w:rsid w:val="00FF7D89"/>
    <w:rsid w:val="00FF7DA9"/>
    <w:rsid w:val="00FF7DD4"/>
    <w:rsid w:val="00FF7DE1"/>
    <w:rsid w:val="00FF7E03"/>
    <w:rsid w:val="00FF7E4C"/>
    <w:rsid w:val="00FF7ECF"/>
    <w:rsid w:val="00FF7EE1"/>
    <w:rsid w:val="00FF7F19"/>
    <w:rsid w:val="00FF7F1A"/>
    <w:rsid w:val="00FF7F98"/>
    <w:rsid w:val="00FF7FD5"/>
    <w:rsid w:val="00FF7FF0"/>
    <w:rsid w:val="00FF7FF1"/>
    <w:rsid w:val="00FF7FF4"/>
    <w:rsid w:val="010010D3"/>
    <w:rsid w:val="0103C9B9"/>
    <w:rsid w:val="0104FE4A"/>
    <w:rsid w:val="01096D7A"/>
    <w:rsid w:val="01097E79"/>
    <w:rsid w:val="011509E0"/>
    <w:rsid w:val="0117921A"/>
    <w:rsid w:val="011A2283"/>
    <w:rsid w:val="011AB656"/>
    <w:rsid w:val="011B35ED"/>
    <w:rsid w:val="011C9E6A"/>
    <w:rsid w:val="011CBF4F"/>
    <w:rsid w:val="012155B9"/>
    <w:rsid w:val="0126B2BF"/>
    <w:rsid w:val="01272AD6"/>
    <w:rsid w:val="012A386F"/>
    <w:rsid w:val="012C275B"/>
    <w:rsid w:val="01304957"/>
    <w:rsid w:val="013181BD"/>
    <w:rsid w:val="013237C2"/>
    <w:rsid w:val="01345C65"/>
    <w:rsid w:val="01369D36"/>
    <w:rsid w:val="01376C92"/>
    <w:rsid w:val="013A406D"/>
    <w:rsid w:val="01472090"/>
    <w:rsid w:val="01478ECC"/>
    <w:rsid w:val="014A75AB"/>
    <w:rsid w:val="01503003"/>
    <w:rsid w:val="0151A960"/>
    <w:rsid w:val="0153F25E"/>
    <w:rsid w:val="0156E545"/>
    <w:rsid w:val="0159EBDC"/>
    <w:rsid w:val="015A3CD1"/>
    <w:rsid w:val="015DC200"/>
    <w:rsid w:val="01634BEC"/>
    <w:rsid w:val="0167098F"/>
    <w:rsid w:val="0168D7B1"/>
    <w:rsid w:val="016F5AC2"/>
    <w:rsid w:val="01726031"/>
    <w:rsid w:val="01727AD7"/>
    <w:rsid w:val="0178E595"/>
    <w:rsid w:val="0179EF6E"/>
    <w:rsid w:val="017B332D"/>
    <w:rsid w:val="017BDF89"/>
    <w:rsid w:val="0180648C"/>
    <w:rsid w:val="018BC05C"/>
    <w:rsid w:val="019BF457"/>
    <w:rsid w:val="019CEC13"/>
    <w:rsid w:val="019DA9F1"/>
    <w:rsid w:val="019DB31A"/>
    <w:rsid w:val="01A0C57C"/>
    <w:rsid w:val="01A1B49E"/>
    <w:rsid w:val="01A8117C"/>
    <w:rsid w:val="01A8B14F"/>
    <w:rsid w:val="01A9B81A"/>
    <w:rsid w:val="01AE00A3"/>
    <w:rsid w:val="01AF6215"/>
    <w:rsid w:val="01B405A3"/>
    <w:rsid w:val="01BA02FF"/>
    <w:rsid w:val="01BF1662"/>
    <w:rsid w:val="01C0D58E"/>
    <w:rsid w:val="01C129BF"/>
    <w:rsid w:val="01C4810A"/>
    <w:rsid w:val="01C66C30"/>
    <w:rsid w:val="01C81117"/>
    <w:rsid w:val="01C85DCC"/>
    <w:rsid w:val="01C89B2D"/>
    <w:rsid w:val="01C9C2B6"/>
    <w:rsid w:val="01C9FDE6"/>
    <w:rsid w:val="01CC3FC7"/>
    <w:rsid w:val="01CDDB49"/>
    <w:rsid w:val="01D509C7"/>
    <w:rsid w:val="01D6FEBF"/>
    <w:rsid w:val="01D7C387"/>
    <w:rsid w:val="01DE94C8"/>
    <w:rsid w:val="01DF3D23"/>
    <w:rsid w:val="01DF9BD5"/>
    <w:rsid w:val="01DFB453"/>
    <w:rsid w:val="01E03F44"/>
    <w:rsid w:val="01E3267A"/>
    <w:rsid w:val="01E4D4EF"/>
    <w:rsid w:val="01E5F5B6"/>
    <w:rsid w:val="01EBBBC1"/>
    <w:rsid w:val="01F1F579"/>
    <w:rsid w:val="01F7FBCF"/>
    <w:rsid w:val="01F846ED"/>
    <w:rsid w:val="01FA8A28"/>
    <w:rsid w:val="01FC4FC6"/>
    <w:rsid w:val="01FE1D7B"/>
    <w:rsid w:val="020201A0"/>
    <w:rsid w:val="0205460B"/>
    <w:rsid w:val="020EF3F4"/>
    <w:rsid w:val="0210CC10"/>
    <w:rsid w:val="0210F8B6"/>
    <w:rsid w:val="02115375"/>
    <w:rsid w:val="021305B4"/>
    <w:rsid w:val="02150EFD"/>
    <w:rsid w:val="02157B81"/>
    <w:rsid w:val="021607B7"/>
    <w:rsid w:val="0217C5D0"/>
    <w:rsid w:val="02199842"/>
    <w:rsid w:val="021A6191"/>
    <w:rsid w:val="021D031E"/>
    <w:rsid w:val="02210486"/>
    <w:rsid w:val="02239B74"/>
    <w:rsid w:val="022566A1"/>
    <w:rsid w:val="022902E9"/>
    <w:rsid w:val="022A72A0"/>
    <w:rsid w:val="022BE754"/>
    <w:rsid w:val="022D45FE"/>
    <w:rsid w:val="0233A926"/>
    <w:rsid w:val="0235EEE1"/>
    <w:rsid w:val="02363A0B"/>
    <w:rsid w:val="0236EA2E"/>
    <w:rsid w:val="0238CED5"/>
    <w:rsid w:val="023994B4"/>
    <w:rsid w:val="02412827"/>
    <w:rsid w:val="02455B59"/>
    <w:rsid w:val="0246C058"/>
    <w:rsid w:val="0248795E"/>
    <w:rsid w:val="0249758E"/>
    <w:rsid w:val="024D3BD3"/>
    <w:rsid w:val="0251C4AE"/>
    <w:rsid w:val="02547D84"/>
    <w:rsid w:val="02570929"/>
    <w:rsid w:val="025B8834"/>
    <w:rsid w:val="0265ED04"/>
    <w:rsid w:val="0266D900"/>
    <w:rsid w:val="026740B6"/>
    <w:rsid w:val="026B470F"/>
    <w:rsid w:val="026C150D"/>
    <w:rsid w:val="026D1DF6"/>
    <w:rsid w:val="026DDA08"/>
    <w:rsid w:val="0270C030"/>
    <w:rsid w:val="0272898E"/>
    <w:rsid w:val="02741947"/>
    <w:rsid w:val="02756713"/>
    <w:rsid w:val="0275B5C8"/>
    <w:rsid w:val="027AAAAE"/>
    <w:rsid w:val="027C8F14"/>
    <w:rsid w:val="027F5ABA"/>
    <w:rsid w:val="02812890"/>
    <w:rsid w:val="0282A51A"/>
    <w:rsid w:val="0282D7DC"/>
    <w:rsid w:val="02844780"/>
    <w:rsid w:val="0284A676"/>
    <w:rsid w:val="02876599"/>
    <w:rsid w:val="028ABDAF"/>
    <w:rsid w:val="028C3091"/>
    <w:rsid w:val="02934062"/>
    <w:rsid w:val="0297D170"/>
    <w:rsid w:val="029886A9"/>
    <w:rsid w:val="0299FB08"/>
    <w:rsid w:val="029DD065"/>
    <w:rsid w:val="02A0C3F6"/>
    <w:rsid w:val="02A52406"/>
    <w:rsid w:val="02A5374D"/>
    <w:rsid w:val="02A6C7E4"/>
    <w:rsid w:val="02A87B34"/>
    <w:rsid w:val="02A8AC0E"/>
    <w:rsid w:val="02B08825"/>
    <w:rsid w:val="02B24CA3"/>
    <w:rsid w:val="02B2FDC7"/>
    <w:rsid w:val="02B389A8"/>
    <w:rsid w:val="02B39AFE"/>
    <w:rsid w:val="02B44ED8"/>
    <w:rsid w:val="02B80B1A"/>
    <w:rsid w:val="02BCBAD5"/>
    <w:rsid w:val="02C51328"/>
    <w:rsid w:val="02C54449"/>
    <w:rsid w:val="02C62EF1"/>
    <w:rsid w:val="02C6DD01"/>
    <w:rsid w:val="02C85C4A"/>
    <w:rsid w:val="02C938FB"/>
    <w:rsid w:val="02C97235"/>
    <w:rsid w:val="02CA8B21"/>
    <w:rsid w:val="02CCF024"/>
    <w:rsid w:val="02D03B66"/>
    <w:rsid w:val="02D3E894"/>
    <w:rsid w:val="02D4A6E3"/>
    <w:rsid w:val="02D6B7F0"/>
    <w:rsid w:val="02DAEE24"/>
    <w:rsid w:val="02DB18AB"/>
    <w:rsid w:val="02DD7239"/>
    <w:rsid w:val="02DEFE77"/>
    <w:rsid w:val="02E07767"/>
    <w:rsid w:val="02E09FE5"/>
    <w:rsid w:val="02E42EEF"/>
    <w:rsid w:val="02E83306"/>
    <w:rsid w:val="02E8DDF8"/>
    <w:rsid w:val="02EC4C52"/>
    <w:rsid w:val="02ED9733"/>
    <w:rsid w:val="02EDF47B"/>
    <w:rsid w:val="02F0C6FC"/>
    <w:rsid w:val="02F21A85"/>
    <w:rsid w:val="02F29E6C"/>
    <w:rsid w:val="02F304D6"/>
    <w:rsid w:val="02F65A79"/>
    <w:rsid w:val="02F7330F"/>
    <w:rsid w:val="02F9CCCB"/>
    <w:rsid w:val="02FBCAA2"/>
    <w:rsid w:val="02FF510C"/>
    <w:rsid w:val="0302BCFA"/>
    <w:rsid w:val="0302C58B"/>
    <w:rsid w:val="0303CE3C"/>
    <w:rsid w:val="0306B362"/>
    <w:rsid w:val="030808D1"/>
    <w:rsid w:val="0309117D"/>
    <w:rsid w:val="0311DE0C"/>
    <w:rsid w:val="0313DA67"/>
    <w:rsid w:val="031A07E3"/>
    <w:rsid w:val="031A4A2C"/>
    <w:rsid w:val="031AD42B"/>
    <w:rsid w:val="031B05D9"/>
    <w:rsid w:val="031E8A94"/>
    <w:rsid w:val="032174DC"/>
    <w:rsid w:val="0322E480"/>
    <w:rsid w:val="032546B7"/>
    <w:rsid w:val="0325C4A0"/>
    <w:rsid w:val="0326EC7A"/>
    <w:rsid w:val="03274883"/>
    <w:rsid w:val="03286C18"/>
    <w:rsid w:val="032A3616"/>
    <w:rsid w:val="032B8F99"/>
    <w:rsid w:val="032BD6CF"/>
    <w:rsid w:val="032D0008"/>
    <w:rsid w:val="03335131"/>
    <w:rsid w:val="033357AC"/>
    <w:rsid w:val="03350D1C"/>
    <w:rsid w:val="03357427"/>
    <w:rsid w:val="0337D654"/>
    <w:rsid w:val="0337E24C"/>
    <w:rsid w:val="033A3142"/>
    <w:rsid w:val="033A4C30"/>
    <w:rsid w:val="033BE2A1"/>
    <w:rsid w:val="033EB6FF"/>
    <w:rsid w:val="03444208"/>
    <w:rsid w:val="034547C5"/>
    <w:rsid w:val="03489D02"/>
    <w:rsid w:val="034AE77D"/>
    <w:rsid w:val="034C232C"/>
    <w:rsid w:val="034EAEC0"/>
    <w:rsid w:val="035167A7"/>
    <w:rsid w:val="035514FD"/>
    <w:rsid w:val="035A076D"/>
    <w:rsid w:val="035A07E1"/>
    <w:rsid w:val="035AA9B5"/>
    <w:rsid w:val="035E42E3"/>
    <w:rsid w:val="035FEE13"/>
    <w:rsid w:val="0360C6F0"/>
    <w:rsid w:val="03697706"/>
    <w:rsid w:val="0370F06B"/>
    <w:rsid w:val="037101D6"/>
    <w:rsid w:val="03717422"/>
    <w:rsid w:val="0375AFAC"/>
    <w:rsid w:val="0377700F"/>
    <w:rsid w:val="0383E276"/>
    <w:rsid w:val="0387192A"/>
    <w:rsid w:val="038792D8"/>
    <w:rsid w:val="039109BE"/>
    <w:rsid w:val="039122C9"/>
    <w:rsid w:val="0396D20D"/>
    <w:rsid w:val="039A91C1"/>
    <w:rsid w:val="039E9CDB"/>
    <w:rsid w:val="03A174F7"/>
    <w:rsid w:val="03A39928"/>
    <w:rsid w:val="03A4217B"/>
    <w:rsid w:val="03A58E85"/>
    <w:rsid w:val="03A7A0E0"/>
    <w:rsid w:val="03AB2232"/>
    <w:rsid w:val="03AC4054"/>
    <w:rsid w:val="03AC41F0"/>
    <w:rsid w:val="03B6E6D7"/>
    <w:rsid w:val="03B95E75"/>
    <w:rsid w:val="03BB9D1A"/>
    <w:rsid w:val="03BD6C37"/>
    <w:rsid w:val="03BEAA73"/>
    <w:rsid w:val="03BFCA31"/>
    <w:rsid w:val="03C02CE2"/>
    <w:rsid w:val="03C099B1"/>
    <w:rsid w:val="03C16DE6"/>
    <w:rsid w:val="03CEEE45"/>
    <w:rsid w:val="03CFAE05"/>
    <w:rsid w:val="03D1132C"/>
    <w:rsid w:val="03D4256E"/>
    <w:rsid w:val="03D57D1A"/>
    <w:rsid w:val="03D5A728"/>
    <w:rsid w:val="03D74AD9"/>
    <w:rsid w:val="03D87095"/>
    <w:rsid w:val="03DA9B04"/>
    <w:rsid w:val="03DD19F2"/>
    <w:rsid w:val="03E53293"/>
    <w:rsid w:val="03E5BA50"/>
    <w:rsid w:val="03E627B8"/>
    <w:rsid w:val="03E99B29"/>
    <w:rsid w:val="03E99F11"/>
    <w:rsid w:val="03EF365B"/>
    <w:rsid w:val="03F0B84E"/>
    <w:rsid w:val="03F3B7AC"/>
    <w:rsid w:val="03F6C468"/>
    <w:rsid w:val="03FF28F8"/>
    <w:rsid w:val="0402A620"/>
    <w:rsid w:val="040BB3DB"/>
    <w:rsid w:val="040BBDA9"/>
    <w:rsid w:val="040DDC65"/>
    <w:rsid w:val="04121E35"/>
    <w:rsid w:val="0412228E"/>
    <w:rsid w:val="04143FBD"/>
    <w:rsid w:val="04158E57"/>
    <w:rsid w:val="041869E0"/>
    <w:rsid w:val="041A82B8"/>
    <w:rsid w:val="041B6100"/>
    <w:rsid w:val="041BD755"/>
    <w:rsid w:val="0421FC36"/>
    <w:rsid w:val="042376DB"/>
    <w:rsid w:val="042970F3"/>
    <w:rsid w:val="042F9A2C"/>
    <w:rsid w:val="042FB466"/>
    <w:rsid w:val="04317846"/>
    <w:rsid w:val="04318756"/>
    <w:rsid w:val="04365165"/>
    <w:rsid w:val="043AC89F"/>
    <w:rsid w:val="043D9892"/>
    <w:rsid w:val="043F395D"/>
    <w:rsid w:val="04420091"/>
    <w:rsid w:val="04436D50"/>
    <w:rsid w:val="04442086"/>
    <w:rsid w:val="0445BD13"/>
    <w:rsid w:val="044ACA96"/>
    <w:rsid w:val="044B056A"/>
    <w:rsid w:val="044CC3E8"/>
    <w:rsid w:val="044EBD9F"/>
    <w:rsid w:val="04543E1C"/>
    <w:rsid w:val="0456DB30"/>
    <w:rsid w:val="0457F109"/>
    <w:rsid w:val="045AB91D"/>
    <w:rsid w:val="045B6BCA"/>
    <w:rsid w:val="045D8D85"/>
    <w:rsid w:val="045E0710"/>
    <w:rsid w:val="045E214A"/>
    <w:rsid w:val="046246A4"/>
    <w:rsid w:val="0465174F"/>
    <w:rsid w:val="046A6D38"/>
    <w:rsid w:val="046BA549"/>
    <w:rsid w:val="046BADD8"/>
    <w:rsid w:val="0479A358"/>
    <w:rsid w:val="047AC56E"/>
    <w:rsid w:val="047B9A9D"/>
    <w:rsid w:val="0480BB4A"/>
    <w:rsid w:val="0482C228"/>
    <w:rsid w:val="0482F89E"/>
    <w:rsid w:val="04868EA3"/>
    <w:rsid w:val="04896014"/>
    <w:rsid w:val="048D76B0"/>
    <w:rsid w:val="048E1E8F"/>
    <w:rsid w:val="048E8048"/>
    <w:rsid w:val="048EE2B4"/>
    <w:rsid w:val="048F48FD"/>
    <w:rsid w:val="0494EB69"/>
    <w:rsid w:val="04978FD8"/>
    <w:rsid w:val="0499CF66"/>
    <w:rsid w:val="049C33A0"/>
    <w:rsid w:val="04A1F684"/>
    <w:rsid w:val="04A2D361"/>
    <w:rsid w:val="04A719E1"/>
    <w:rsid w:val="04A782E1"/>
    <w:rsid w:val="04A98AD9"/>
    <w:rsid w:val="04AE30B7"/>
    <w:rsid w:val="04B241BE"/>
    <w:rsid w:val="04BAD970"/>
    <w:rsid w:val="04BCCAAE"/>
    <w:rsid w:val="04BCE20B"/>
    <w:rsid w:val="04BE9C39"/>
    <w:rsid w:val="04C19788"/>
    <w:rsid w:val="04C39E24"/>
    <w:rsid w:val="04C81E0B"/>
    <w:rsid w:val="04CAD037"/>
    <w:rsid w:val="04CBAD1D"/>
    <w:rsid w:val="04D0BFB6"/>
    <w:rsid w:val="04D49A0B"/>
    <w:rsid w:val="04D8978B"/>
    <w:rsid w:val="04D9D573"/>
    <w:rsid w:val="04DDA4C3"/>
    <w:rsid w:val="04DE2A33"/>
    <w:rsid w:val="04E1E0C9"/>
    <w:rsid w:val="04E25F72"/>
    <w:rsid w:val="04E3BC64"/>
    <w:rsid w:val="04E3CA19"/>
    <w:rsid w:val="04E48D0E"/>
    <w:rsid w:val="04EA50B2"/>
    <w:rsid w:val="04ED8325"/>
    <w:rsid w:val="04EDA529"/>
    <w:rsid w:val="04EDB718"/>
    <w:rsid w:val="04EDCB7E"/>
    <w:rsid w:val="04EE296F"/>
    <w:rsid w:val="04EF2B4D"/>
    <w:rsid w:val="04EF64BD"/>
    <w:rsid w:val="04EFC793"/>
    <w:rsid w:val="04EFE2FB"/>
    <w:rsid w:val="04F13030"/>
    <w:rsid w:val="04F19F2C"/>
    <w:rsid w:val="04F8391B"/>
    <w:rsid w:val="04FB0B34"/>
    <w:rsid w:val="04FB232B"/>
    <w:rsid w:val="04FC4D29"/>
    <w:rsid w:val="04FF0C93"/>
    <w:rsid w:val="0504141C"/>
    <w:rsid w:val="0509DB21"/>
    <w:rsid w:val="050AA204"/>
    <w:rsid w:val="050D85F4"/>
    <w:rsid w:val="050EC8DE"/>
    <w:rsid w:val="051041B1"/>
    <w:rsid w:val="05123A28"/>
    <w:rsid w:val="05160638"/>
    <w:rsid w:val="051910AC"/>
    <w:rsid w:val="051CC3B5"/>
    <w:rsid w:val="051DB63D"/>
    <w:rsid w:val="052BA93F"/>
    <w:rsid w:val="052C0045"/>
    <w:rsid w:val="052C46DB"/>
    <w:rsid w:val="052F6F63"/>
    <w:rsid w:val="05307C90"/>
    <w:rsid w:val="0530C787"/>
    <w:rsid w:val="05312B34"/>
    <w:rsid w:val="05313728"/>
    <w:rsid w:val="05374BFA"/>
    <w:rsid w:val="053A3571"/>
    <w:rsid w:val="053E60AF"/>
    <w:rsid w:val="05400664"/>
    <w:rsid w:val="05404E35"/>
    <w:rsid w:val="0546B6D3"/>
    <w:rsid w:val="05484F9A"/>
    <w:rsid w:val="05489F03"/>
    <w:rsid w:val="054921DC"/>
    <w:rsid w:val="0549562F"/>
    <w:rsid w:val="0549934C"/>
    <w:rsid w:val="054DD89A"/>
    <w:rsid w:val="05541B80"/>
    <w:rsid w:val="0558A560"/>
    <w:rsid w:val="0559EF3F"/>
    <w:rsid w:val="055C648B"/>
    <w:rsid w:val="055FA4D7"/>
    <w:rsid w:val="05609B08"/>
    <w:rsid w:val="0567CDA3"/>
    <w:rsid w:val="056F0BB0"/>
    <w:rsid w:val="056FC7F7"/>
    <w:rsid w:val="05712B18"/>
    <w:rsid w:val="0572D818"/>
    <w:rsid w:val="0574C05B"/>
    <w:rsid w:val="05750EE6"/>
    <w:rsid w:val="0577C03E"/>
    <w:rsid w:val="057DFE5F"/>
    <w:rsid w:val="057E6D5C"/>
    <w:rsid w:val="057EE2E2"/>
    <w:rsid w:val="05897E6B"/>
    <w:rsid w:val="058D21BD"/>
    <w:rsid w:val="05936A6C"/>
    <w:rsid w:val="05937DF9"/>
    <w:rsid w:val="05966E81"/>
    <w:rsid w:val="05974E1C"/>
    <w:rsid w:val="059A6EAC"/>
    <w:rsid w:val="059F7E71"/>
    <w:rsid w:val="059FD036"/>
    <w:rsid w:val="05A00888"/>
    <w:rsid w:val="05A032DC"/>
    <w:rsid w:val="05A3F7EC"/>
    <w:rsid w:val="05A63CCA"/>
    <w:rsid w:val="05ABD6CD"/>
    <w:rsid w:val="05ADFC5E"/>
    <w:rsid w:val="05AE621F"/>
    <w:rsid w:val="05B1DD7F"/>
    <w:rsid w:val="05B73C68"/>
    <w:rsid w:val="05BF1197"/>
    <w:rsid w:val="05C0C7AB"/>
    <w:rsid w:val="05C21B03"/>
    <w:rsid w:val="05C30B63"/>
    <w:rsid w:val="05CA5C0C"/>
    <w:rsid w:val="05CC48DA"/>
    <w:rsid w:val="05CC64DA"/>
    <w:rsid w:val="05D50AB9"/>
    <w:rsid w:val="05D5572F"/>
    <w:rsid w:val="05D5D3C7"/>
    <w:rsid w:val="05D83774"/>
    <w:rsid w:val="05DD8153"/>
    <w:rsid w:val="05DE3C9D"/>
    <w:rsid w:val="05DFAA99"/>
    <w:rsid w:val="05E11185"/>
    <w:rsid w:val="05E23706"/>
    <w:rsid w:val="05E29BDF"/>
    <w:rsid w:val="05E4FAA6"/>
    <w:rsid w:val="05E77BBA"/>
    <w:rsid w:val="05E8F0A1"/>
    <w:rsid w:val="05E9D607"/>
    <w:rsid w:val="05EC52E4"/>
    <w:rsid w:val="05ECD7C3"/>
    <w:rsid w:val="05EE385B"/>
    <w:rsid w:val="05F04B47"/>
    <w:rsid w:val="05F34655"/>
    <w:rsid w:val="05F46319"/>
    <w:rsid w:val="05F7048B"/>
    <w:rsid w:val="05F7247D"/>
    <w:rsid w:val="06003E27"/>
    <w:rsid w:val="06058E67"/>
    <w:rsid w:val="06097C4B"/>
    <w:rsid w:val="060ACA19"/>
    <w:rsid w:val="060BB228"/>
    <w:rsid w:val="060D5D40"/>
    <w:rsid w:val="060E028D"/>
    <w:rsid w:val="06125263"/>
    <w:rsid w:val="0617C79F"/>
    <w:rsid w:val="061AD153"/>
    <w:rsid w:val="061F3110"/>
    <w:rsid w:val="0625D550"/>
    <w:rsid w:val="06296F2F"/>
    <w:rsid w:val="062A2925"/>
    <w:rsid w:val="062E7191"/>
    <w:rsid w:val="062E959F"/>
    <w:rsid w:val="062FE7F5"/>
    <w:rsid w:val="0630BA6B"/>
    <w:rsid w:val="0631B6A7"/>
    <w:rsid w:val="06355381"/>
    <w:rsid w:val="06371E55"/>
    <w:rsid w:val="063DA561"/>
    <w:rsid w:val="063FD31F"/>
    <w:rsid w:val="0644F1ED"/>
    <w:rsid w:val="0644FA1A"/>
    <w:rsid w:val="06456C7A"/>
    <w:rsid w:val="0646CBAE"/>
    <w:rsid w:val="06499756"/>
    <w:rsid w:val="0649C87E"/>
    <w:rsid w:val="064AB454"/>
    <w:rsid w:val="064DA7A1"/>
    <w:rsid w:val="064EEEC2"/>
    <w:rsid w:val="064F37A6"/>
    <w:rsid w:val="064FDF0B"/>
    <w:rsid w:val="06507204"/>
    <w:rsid w:val="065521EE"/>
    <w:rsid w:val="0655CA70"/>
    <w:rsid w:val="0656BFF9"/>
    <w:rsid w:val="0657541E"/>
    <w:rsid w:val="065C322A"/>
    <w:rsid w:val="06606FC1"/>
    <w:rsid w:val="06614232"/>
    <w:rsid w:val="0661563D"/>
    <w:rsid w:val="0661B485"/>
    <w:rsid w:val="06641238"/>
    <w:rsid w:val="066515F1"/>
    <w:rsid w:val="066570B9"/>
    <w:rsid w:val="066A44DE"/>
    <w:rsid w:val="066B25D2"/>
    <w:rsid w:val="066F4FDA"/>
    <w:rsid w:val="066F73BC"/>
    <w:rsid w:val="0670F94C"/>
    <w:rsid w:val="0675A152"/>
    <w:rsid w:val="0676B60E"/>
    <w:rsid w:val="067765C3"/>
    <w:rsid w:val="06794810"/>
    <w:rsid w:val="067F0A7A"/>
    <w:rsid w:val="0683D732"/>
    <w:rsid w:val="068550F5"/>
    <w:rsid w:val="0688D98E"/>
    <w:rsid w:val="068A61A8"/>
    <w:rsid w:val="068C72B6"/>
    <w:rsid w:val="068FD552"/>
    <w:rsid w:val="0692E65E"/>
    <w:rsid w:val="069401E6"/>
    <w:rsid w:val="06951173"/>
    <w:rsid w:val="069BE92C"/>
    <w:rsid w:val="06A2A7AF"/>
    <w:rsid w:val="06A765FD"/>
    <w:rsid w:val="06A7B48B"/>
    <w:rsid w:val="06A7B98F"/>
    <w:rsid w:val="06A84499"/>
    <w:rsid w:val="06A847B1"/>
    <w:rsid w:val="06AD41FC"/>
    <w:rsid w:val="06ADF894"/>
    <w:rsid w:val="06AF3485"/>
    <w:rsid w:val="06B252B9"/>
    <w:rsid w:val="06B80AB6"/>
    <w:rsid w:val="06B8C7BE"/>
    <w:rsid w:val="06B914FC"/>
    <w:rsid w:val="06BC27D1"/>
    <w:rsid w:val="06BCA1BF"/>
    <w:rsid w:val="06C37FAD"/>
    <w:rsid w:val="06C73B86"/>
    <w:rsid w:val="06C75773"/>
    <w:rsid w:val="06D04D33"/>
    <w:rsid w:val="06D0CA8A"/>
    <w:rsid w:val="06D2C36E"/>
    <w:rsid w:val="06D69E6C"/>
    <w:rsid w:val="06D6F255"/>
    <w:rsid w:val="06DB9FB8"/>
    <w:rsid w:val="06DEF29C"/>
    <w:rsid w:val="06E0C102"/>
    <w:rsid w:val="06E5B307"/>
    <w:rsid w:val="06E5B835"/>
    <w:rsid w:val="06E81EFD"/>
    <w:rsid w:val="06E9AD59"/>
    <w:rsid w:val="06EE8DBA"/>
    <w:rsid w:val="06EE9884"/>
    <w:rsid w:val="06EFEE6A"/>
    <w:rsid w:val="06F16A82"/>
    <w:rsid w:val="06F52347"/>
    <w:rsid w:val="06FC55F8"/>
    <w:rsid w:val="06FFB6AE"/>
    <w:rsid w:val="06FFDE5E"/>
    <w:rsid w:val="070323B3"/>
    <w:rsid w:val="0703F47F"/>
    <w:rsid w:val="0708BE17"/>
    <w:rsid w:val="0709189A"/>
    <w:rsid w:val="07127826"/>
    <w:rsid w:val="07163A7F"/>
    <w:rsid w:val="071C86D6"/>
    <w:rsid w:val="072E4872"/>
    <w:rsid w:val="072EBA12"/>
    <w:rsid w:val="07312983"/>
    <w:rsid w:val="07363E95"/>
    <w:rsid w:val="0736B919"/>
    <w:rsid w:val="073AB24C"/>
    <w:rsid w:val="073C37B3"/>
    <w:rsid w:val="0741FB88"/>
    <w:rsid w:val="074ADE18"/>
    <w:rsid w:val="0754046D"/>
    <w:rsid w:val="0757C5DB"/>
    <w:rsid w:val="0759ED5C"/>
    <w:rsid w:val="075F6925"/>
    <w:rsid w:val="075FA56B"/>
    <w:rsid w:val="0762D5C1"/>
    <w:rsid w:val="07677D54"/>
    <w:rsid w:val="076EF742"/>
    <w:rsid w:val="076FB559"/>
    <w:rsid w:val="077AFE66"/>
    <w:rsid w:val="077D2433"/>
    <w:rsid w:val="07806583"/>
    <w:rsid w:val="0789D309"/>
    <w:rsid w:val="078A84C0"/>
    <w:rsid w:val="078A8D33"/>
    <w:rsid w:val="078BEED1"/>
    <w:rsid w:val="078EAFB4"/>
    <w:rsid w:val="0790A924"/>
    <w:rsid w:val="0792056B"/>
    <w:rsid w:val="0792B631"/>
    <w:rsid w:val="0795A8B2"/>
    <w:rsid w:val="079ADE1C"/>
    <w:rsid w:val="079B9BFE"/>
    <w:rsid w:val="079DE18C"/>
    <w:rsid w:val="079E87B5"/>
    <w:rsid w:val="07A3C595"/>
    <w:rsid w:val="07A7E8A0"/>
    <w:rsid w:val="07A7F955"/>
    <w:rsid w:val="07AB230E"/>
    <w:rsid w:val="07ABE79C"/>
    <w:rsid w:val="07B8D42F"/>
    <w:rsid w:val="07BA23D9"/>
    <w:rsid w:val="07BFA36B"/>
    <w:rsid w:val="07C02C57"/>
    <w:rsid w:val="07C497EA"/>
    <w:rsid w:val="07C65497"/>
    <w:rsid w:val="07CD274F"/>
    <w:rsid w:val="07D26FCC"/>
    <w:rsid w:val="07D27EFC"/>
    <w:rsid w:val="07D64975"/>
    <w:rsid w:val="07D70C4F"/>
    <w:rsid w:val="07D91F8F"/>
    <w:rsid w:val="07DBCAE5"/>
    <w:rsid w:val="07DFB895"/>
    <w:rsid w:val="07E50FC3"/>
    <w:rsid w:val="07EC6EAB"/>
    <w:rsid w:val="07EDFD31"/>
    <w:rsid w:val="07F2C973"/>
    <w:rsid w:val="07F6CF00"/>
    <w:rsid w:val="07FBCCA6"/>
    <w:rsid w:val="080024EF"/>
    <w:rsid w:val="0804332C"/>
    <w:rsid w:val="0804C796"/>
    <w:rsid w:val="0805CB8B"/>
    <w:rsid w:val="08065A16"/>
    <w:rsid w:val="080D80CB"/>
    <w:rsid w:val="080F69E2"/>
    <w:rsid w:val="08161759"/>
    <w:rsid w:val="0820F319"/>
    <w:rsid w:val="0822A74C"/>
    <w:rsid w:val="0827189C"/>
    <w:rsid w:val="0828FDAA"/>
    <w:rsid w:val="08292D7B"/>
    <w:rsid w:val="082CAAC8"/>
    <w:rsid w:val="082E8873"/>
    <w:rsid w:val="0830A6AA"/>
    <w:rsid w:val="0838DE84"/>
    <w:rsid w:val="08420939"/>
    <w:rsid w:val="0843C8C9"/>
    <w:rsid w:val="0844590B"/>
    <w:rsid w:val="08450F59"/>
    <w:rsid w:val="0845DB69"/>
    <w:rsid w:val="0848DE62"/>
    <w:rsid w:val="084932CC"/>
    <w:rsid w:val="085033EA"/>
    <w:rsid w:val="0854B861"/>
    <w:rsid w:val="0859902C"/>
    <w:rsid w:val="085BD811"/>
    <w:rsid w:val="085D97C2"/>
    <w:rsid w:val="085E66B2"/>
    <w:rsid w:val="085ED6E0"/>
    <w:rsid w:val="08606F86"/>
    <w:rsid w:val="0860E688"/>
    <w:rsid w:val="08637876"/>
    <w:rsid w:val="086495B9"/>
    <w:rsid w:val="08677503"/>
    <w:rsid w:val="086CB12B"/>
    <w:rsid w:val="086EDE60"/>
    <w:rsid w:val="0872E734"/>
    <w:rsid w:val="0873ACBE"/>
    <w:rsid w:val="08755518"/>
    <w:rsid w:val="087F212B"/>
    <w:rsid w:val="0882AC62"/>
    <w:rsid w:val="08838BEE"/>
    <w:rsid w:val="08876C99"/>
    <w:rsid w:val="0887FC5B"/>
    <w:rsid w:val="088AF9AF"/>
    <w:rsid w:val="088B6F48"/>
    <w:rsid w:val="089A9674"/>
    <w:rsid w:val="089B113F"/>
    <w:rsid w:val="089D48A4"/>
    <w:rsid w:val="089D580F"/>
    <w:rsid w:val="08A23EAD"/>
    <w:rsid w:val="08A4246E"/>
    <w:rsid w:val="08A9BC62"/>
    <w:rsid w:val="08AC30FC"/>
    <w:rsid w:val="08ACBF39"/>
    <w:rsid w:val="08B1DD89"/>
    <w:rsid w:val="08B26475"/>
    <w:rsid w:val="08B7FF3B"/>
    <w:rsid w:val="08B82E1E"/>
    <w:rsid w:val="08BA4442"/>
    <w:rsid w:val="08BB0C1E"/>
    <w:rsid w:val="08BC848C"/>
    <w:rsid w:val="08C23A86"/>
    <w:rsid w:val="08C57190"/>
    <w:rsid w:val="08CBAB56"/>
    <w:rsid w:val="08CC0F2A"/>
    <w:rsid w:val="08CFC136"/>
    <w:rsid w:val="08CFEBBF"/>
    <w:rsid w:val="08D0DD5B"/>
    <w:rsid w:val="08D13AA9"/>
    <w:rsid w:val="08D35AC2"/>
    <w:rsid w:val="08D44C02"/>
    <w:rsid w:val="08D6B5D5"/>
    <w:rsid w:val="08D785D2"/>
    <w:rsid w:val="08DA3854"/>
    <w:rsid w:val="08DE5047"/>
    <w:rsid w:val="08DF5F7B"/>
    <w:rsid w:val="08E07309"/>
    <w:rsid w:val="08E6C1C0"/>
    <w:rsid w:val="08F5DE99"/>
    <w:rsid w:val="08F8CA57"/>
    <w:rsid w:val="08F970B7"/>
    <w:rsid w:val="08FFC069"/>
    <w:rsid w:val="08FFEC6A"/>
    <w:rsid w:val="09005C36"/>
    <w:rsid w:val="09015844"/>
    <w:rsid w:val="090184D7"/>
    <w:rsid w:val="0902F0EA"/>
    <w:rsid w:val="09065243"/>
    <w:rsid w:val="090794C9"/>
    <w:rsid w:val="090D0D34"/>
    <w:rsid w:val="090F194E"/>
    <w:rsid w:val="0912D5D7"/>
    <w:rsid w:val="0913EE95"/>
    <w:rsid w:val="0914F57C"/>
    <w:rsid w:val="0915DC87"/>
    <w:rsid w:val="0919FCE9"/>
    <w:rsid w:val="091DF3D7"/>
    <w:rsid w:val="0921F504"/>
    <w:rsid w:val="092227F2"/>
    <w:rsid w:val="09272AAC"/>
    <w:rsid w:val="09290DED"/>
    <w:rsid w:val="092C119D"/>
    <w:rsid w:val="093ACC5E"/>
    <w:rsid w:val="093E6A6A"/>
    <w:rsid w:val="093ED7D1"/>
    <w:rsid w:val="0940437E"/>
    <w:rsid w:val="0940D222"/>
    <w:rsid w:val="09434BC8"/>
    <w:rsid w:val="0946FC91"/>
    <w:rsid w:val="0948FC62"/>
    <w:rsid w:val="094B21FB"/>
    <w:rsid w:val="094C21B8"/>
    <w:rsid w:val="094D32BC"/>
    <w:rsid w:val="095355BA"/>
    <w:rsid w:val="0959EA88"/>
    <w:rsid w:val="0961DCFA"/>
    <w:rsid w:val="09634CF0"/>
    <w:rsid w:val="09699D38"/>
    <w:rsid w:val="096D5190"/>
    <w:rsid w:val="096DEC23"/>
    <w:rsid w:val="0972964B"/>
    <w:rsid w:val="09787610"/>
    <w:rsid w:val="09799FCE"/>
    <w:rsid w:val="097D09E4"/>
    <w:rsid w:val="097D9A5B"/>
    <w:rsid w:val="097F5C9C"/>
    <w:rsid w:val="09846319"/>
    <w:rsid w:val="098BFD70"/>
    <w:rsid w:val="098CDA5C"/>
    <w:rsid w:val="09982CE2"/>
    <w:rsid w:val="0998841C"/>
    <w:rsid w:val="099E360E"/>
    <w:rsid w:val="099E4F70"/>
    <w:rsid w:val="09A07D08"/>
    <w:rsid w:val="09A10C30"/>
    <w:rsid w:val="09A24B96"/>
    <w:rsid w:val="09A38497"/>
    <w:rsid w:val="09AB81D8"/>
    <w:rsid w:val="09AF78C0"/>
    <w:rsid w:val="09B42A40"/>
    <w:rsid w:val="09B50C84"/>
    <w:rsid w:val="09B6AABB"/>
    <w:rsid w:val="09B6C4CE"/>
    <w:rsid w:val="09B7E2BF"/>
    <w:rsid w:val="09BD9CC7"/>
    <w:rsid w:val="09BE1984"/>
    <w:rsid w:val="09C1A9C6"/>
    <w:rsid w:val="09C2137E"/>
    <w:rsid w:val="09C57AEA"/>
    <w:rsid w:val="09C72CAD"/>
    <w:rsid w:val="09D653D8"/>
    <w:rsid w:val="09D8BEC6"/>
    <w:rsid w:val="09DC7531"/>
    <w:rsid w:val="09DF51AF"/>
    <w:rsid w:val="09DF92FF"/>
    <w:rsid w:val="09DFAE4E"/>
    <w:rsid w:val="09E0B978"/>
    <w:rsid w:val="09E25AE8"/>
    <w:rsid w:val="09E679C2"/>
    <w:rsid w:val="09EAA572"/>
    <w:rsid w:val="09EC052F"/>
    <w:rsid w:val="09F2865C"/>
    <w:rsid w:val="09F635AB"/>
    <w:rsid w:val="09F7EC1C"/>
    <w:rsid w:val="0A01CB62"/>
    <w:rsid w:val="0A04DAD0"/>
    <w:rsid w:val="0A0BE440"/>
    <w:rsid w:val="0A0E90F5"/>
    <w:rsid w:val="0A0F3DA5"/>
    <w:rsid w:val="0A143561"/>
    <w:rsid w:val="0A18F14B"/>
    <w:rsid w:val="0A19F113"/>
    <w:rsid w:val="0A1CC520"/>
    <w:rsid w:val="0A1EAAF9"/>
    <w:rsid w:val="0A1F1659"/>
    <w:rsid w:val="0A21745C"/>
    <w:rsid w:val="0A21D9DD"/>
    <w:rsid w:val="0A21E581"/>
    <w:rsid w:val="0A245B28"/>
    <w:rsid w:val="0A288AB7"/>
    <w:rsid w:val="0A2BD83E"/>
    <w:rsid w:val="0A2F0C90"/>
    <w:rsid w:val="0A36757D"/>
    <w:rsid w:val="0A37BBDD"/>
    <w:rsid w:val="0A384990"/>
    <w:rsid w:val="0A3EA1BF"/>
    <w:rsid w:val="0A40E9DF"/>
    <w:rsid w:val="0A423E9D"/>
    <w:rsid w:val="0A4724C1"/>
    <w:rsid w:val="0A4ABB21"/>
    <w:rsid w:val="0A4F776E"/>
    <w:rsid w:val="0A5174C8"/>
    <w:rsid w:val="0A56E31A"/>
    <w:rsid w:val="0A583403"/>
    <w:rsid w:val="0A59E9C7"/>
    <w:rsid w:val="0A5CD578"/>
    <w:rsid w:val="0A5FA868"/>
    <w:rsid w:val="0A675780"/>
    <w:rsid w:val="0A67C2AF"/>
    <w:rsid w:val="0A6A96CD"/>
    <w:rsid w:val="0A6AC588"/>
    <w:rsid w:val="0A6B191B"/>
    <w:rsid w:val="0A6ED42E"/>
    <w:rsid w:val="0A7033D3"/>
    <w:rsid w:val="0A75C310"/>
    <w:rsid w:val="0A77A759"/>
    <w:rsid w:val="0A77DD2C"/>
    <w:rsid w:val="0A783592"/>
    <w:rsid w:val="0A7ED84C"/>
    <w:rsid w:val="0A8499C4"/>
    <w:rsid w:val="0A87911E"/>
    <w:rsid w:val="0A8C104C"/>
    <w:rsid w:val="0A934133"/>
    <w:rsid w:val="0A949D38"/>
    <w:rsid w:val="0A95A4B3"/>
    <w:rsid w:val="0A97BE75"/>
    <w:rsid w:val="0A9894F5"/>
    <w:rsid w:val="0A991B71"/>
    <w:rsid w:val="0A9A936B"/>
    <w:rsid w:val="0A9F1F14"/>
    <w:rsid w:val="0AA0EEA4"/>
    <w:rsid w:val="0AA2A905"/>
    <w:rsid w:val="0AA51CF9"/>
    <w:rsid w:val="0AA5994F"/>
    <w:rsid w:val="0AA73D03"/>
    <w:rsid w:val="0AAAA21B"/>
    <w:rsid w:val="0AAD3146"/>
    <w:rsid w:val="0AAE4D37"/>
    <w:rsid w:val="0AAF575A"/>
    <w:rsid w:val="0AB134BD"/>
    <w:rsid w:val="0AB31FA8"/>
    <w:rsid w:val="0AB35B32"/>
    <w:rsid w:val="0AB529B5"/>
    <w:rsid w:val="0AB6B22B"/>
    <w:rsid w:val="0AB96CB1"/>
    <w:rsid w:val="0ABC48C7"/>
    <w:rsid w:val="0AC0A72A"/>
    <w:rsid w:val="0AC0FB37"/>
    <w:rsid w:val="0AC44FFB"/>
    <w:rsid w:val="0AC4D0BF"/>
    <w:rsid w:val="0AC6404D"/>
    <w:rsid w:val="0AC6EA64"/>
    <w:rsid w:val="0AC75518"/>
    <w:rsid w:val="0AC7DE8B"/>
    <w:rsid w:val="0ACC8755"/>
    <w:rsid w:val="0ACCA0BC"/>
    <w:rsid w:val="0ACE15D2"/>
    <w:rsid w:val="0ACFA845"/>
    <w:rsid w:val="0AD06349"/>
    <w:rsid w:val="0AD279FA"/>
    <w:rsid w:val="0AD31377"/>
    <w:rsid w:val="0AD37766"/>
    <w:rsid w:val="0AD385BE"/>
    <w:rsid w:val="0AD46870"/>
    <w:rsid w:val="0AD479A6"/>
    <w:rsid w:val="0ADAAC25"/>
    <w:rsid w:val="0ADC4611"/>
    <w:rsid w:val="0AE2336F"/>
    <w:rsid w:val="0AE323C2"/>
    <w:rsid w:val="0AE59131"/>
    <w:rsid w:val="0AE9B4ED"/>
    <w:rsid w:val="0AF4CBBE"/>
    <w:rsid w:val="0AF57BFC"/>
    <w:rsid w:val="0AF7E224"/>
    <w:rsid w:val="0AF8B3F4"/>
    <w:rsid w:val="0AF9FEA0"/>
    <w:rsid w:val="0AFB30D1"/>
    <w:rsid w:val="0AFC2F57"/>
    <w:rsid w:val="0AFC7280"/>
    <w:rsid w:val="0B030447"/>
    <w:rsid w:val="0B04EBB6"/>
    <w:rsid w:val="0B15A690"/>
    <w:rsid w:val="0B18335B"/>
    <w:rsid w:val="0B193A8C"/>
    <w:rsid w:val="0B1C63FB"/>
    <w:rsid w:val="0B210931"/>
    <w:rsid w:val="0B270458"/>
    <w:rsid w:val="0B2AA995"/>
    <w:rsid w:val="0B2D3445"/>
    <w:rsid w:val="0B2EE3DC"/>
    <w:rsid w:val="0B344AA9"/>
    <w:rsid w:val="0B3678B0"/>
    <w:rsid w:val="0B37525C"/>
    <w:rsid w:val="0B3E0569"/>
    <w:rsid w:val="0B3EB5DE"/>
    <w:rsid w:val="0B477420"/>
    <w:rsid w:val="0B49E0E0"/>
    <w:rsid w:val="0B4B3745"/>
    <w:rsid w:val="0B4E28F3"/>
    <w:rsid w:val="0B4FDF89"/>
    <w:rsid w:val="0B5535BB"/>
    <w:rsid w:val="0B56A321"/>
    <w:rsid w:val="0B589B2C"/>
    <w:rsid w:val="0B5A1746"/>
    <w:rsid w:val="0B5C8595"/>
    <w:rsid w:val="0B5FFC33"/>
    <w:rsid w:val="0B6100F2"/>
    <w:rsid w:val="0B61031A"/>
    <w:rsid w:val="0B613711"/>
    <w:rsid w:val="0B618A45"/>
    <w:rsid w:val="0B62856B"/>
    <w:rsid w:val="0B64FF93"/>
    <w:rsid w:val="0B6A7799"/>
    <w:rsid w:val="0B6C58B1"/>
    <w:rsid w:val="0B6CA509"/>
    <w:rsid w:val="0B6CAE83"/>
    <w:rsid w:val="0B6DCE8F"/>
    <w:rsid w:val="0B6E04D6"/>
    <w:rsid w:val="0B71E352"/>
    <w:rsid w:val="0B724CEA"/>
    <w:rsid w:val="0B76FCFC"/>
    <w:rsid w:val="0B7B7C71"/>
    <w:rsid w:val="0B7FFC46"/>
    <w:rsid w:val="0B813674"/>
    <w:rsid w:val="0B83551D"/>
    <w:rsid w:val="0B835820"/>
    <w:rsid w:val="0B85530A"/>
    <w:rsid w:val="0B87F4C5"/>
    <w:rsid w:val="0B8851C2"/>
    <w:rsid w:val="0B8E58FE"/>
    <w:rsid w:val="0B8E721E"/>
    <w:rsid w:val="0B922AFF"/>
    <w:rsid w:val="0B92B17E"/>
    <w:rsid w:val="0B968A98"/>
    <w:rsid w:val="0B9A4F7C"/>
    <w:rsid w:val="0B9A683E"/>
    <w:rsid w:val="0B9CBE98"/>
    <w:rsid w:val="0B9F7FFF"/>
    <w:rsid w:val="0BA1CF49"/>
    <w:rsid w:val="0BA2210D"/>
    <w:rsid w:val="0BA5B51F"/>
    <w:rsid w:val="0BA83C33"/>
    <w:rsid w:val="0BA9577E"/>
    <w:rsid w:val="0BA9BCD1"/>
    <w:rsid w:val="0BAA477D"/>
    <w:rsid w:val="0BADBACA"/>
    <w:rsid w:val="0BAE086B"/>
    <w:rsid w:val="0BAFD556"/>
    <w:rsid w:val="0BB1EB25"/>
    <w:rsid w:val="0BBF4320"/>
    <w:rsid w:val="0BC094EF"/>
    <w:rsid w:val="0BC72D78"/>
    <w:rsid w:val="0BD33E0B"/>
    <w:rsid w:val="0BD3A3C6"/>
    <w:rsid w:val="0BDD708E"/>
    <w:rsid w:val="0BDDECF3"/>
    <w:rsid w:val="0BDE8866"/>
    <w:rsid w:val="0BE44938"/>
    <w:rsid w:val="0BE5FBDD"/>
    <w:rsid w:val="0BE71D56"/>
    <w:rsid w:val="0BE7E732"/>
    <w:rsid w:val="0BF2E1C2"/>
    <w:rsid w:val="0BF507FC"/>
    <w:rsid w:val="0BF5E878"/>
    <w:rsid w:val="0BF66525"/>
    <w:rsid w:val="0BFB79EF"/>
    <w:rsid w:val="0C0145E4"/>
    <w:rsid w:val="0C02DBC4"/>
    <w:rsid w:val="0C0356BC"/>
    <w:rsid w:val="0C049906"/>
    <w:rsid w:val="0C072BFA"/>
    <w:rsid w:val="0C0E108B"/>
    <w:rsid w:val="0C0FF06A"/>
    <w:rsid w:val="0C121049"/>
    <w:rsid w:val="0C12828A"/>
    <w:rsid w:val="0C1A9C20"/>
    <w:rsid w:val="0C1B7B45"/>
    <w:rsid w:val="0C1D6A9E"/>
    <w:rsid w:val="0C1D793B"/>
    <w:rsid w:val="0C1FAEF8"/>
    <w:rsid w:val="0C20C916"/>
    <w:rsid w:val="0C228D66"/>
    <w:rsid w:val="0C22FE5D"/>
    <w:rsid w:val="0C2770E2"/>
    <w:rsid w:val="0C287C1C"/>
    <w:rsid w:val="0C2D40A6"/>
    <w:rsid w:val="0C2F768F"/>
    <w:rsid w:val="0C38D0A1"/>
    <w:rsid w:val="0C38DFA4"/>
    <w:rsid w:val="0C3A3A78"/>
    <w:rsid w:val="0C3BD599"/>
    <w:rsid w:val="0C3C662D"/>
    <w:rsid w:val="0C404C37"/>
    <w:rsid w:val="0C493667"/>
    <w:rsid w:val="0C497702"/>
    <w:rsid w:val="0C4B4795"/>
    <w:rsid w:val="0C4DBB2F"/>
    <w:rsid w:val="0C528C50"/>
    <w:rsid w:val="0C54CCB4"/>
    <w:rsid w:val="0C562A16"/>
    <w:rsid w:val="0C58B3CE"/>
    <w:rsid w:val="0C5A5D0C"/>
    <w:rsid w:val="0C5FBF2B"/>
    <w:rsid w:val="0C655705"/>
    <w:rsid w:val="0C67D4F2"/>
    <w:rsid w:val="0C6929AD"/>
    <w:rsid w:val="0C697C55"/>
    <w:rsid w:val="0C6A8476"/>
    <w:rsid w:val="0C6B37D0"/>
    <w:rsid w:val="0C6EF757"/>
    <w:rsid w:val="0C6FE7AA"/>
    <w:rsid w:val="0C741879"/>
    <w:rsid w:val="0C797311"/>
    <w:rsid w:val="0C7BD04E"/>
    <w:rsid w:val="0C80E025"/>
    <w:rsid w:val="0C878442"/>
    <w:rsid w:val="0C88F5AC"/>
    <w:rsid w:val="0C892B71"/>
    <w:rsid w:val="0C8A3ABD"/>
    <w:rsid w:val="0C8CD76F"/>
    <w:rsid w:val="0C8EC176"/>
    <w:rsid w:val="0C8EFE04"/>
    <w:rsid w:val="0C908046"/>
    <w:rsid w:val="0C93A515"/>
    <w:rsid w:val="0C9805AE"/>
    <w:rsid w:val="0C982C81"/>
    <w:rsid w:val="0C987180"/>
    <w:rsid w:val="0CA8F743"/>
    <w:rsid w:val="0CA97657"/>
    <w:rsid w:val="0CAD24EE"/>
    <w:rsid w:val="0CAE6039"/>
    <w:rsid w:val="0CAEF407"/>
    <w:rsid w:val="0CB595CA"/>
    <w:rsid w:val="0CB91A11"/>
    <w:rsid w:val="0CBA4716"/>
    <w:rsid w:val="0CBCF779"/>
    <w:rsid w:val="0CC65B42"/>
    <w:rsid w:val="0CC69F7C"/>
    <w:rsid w:val="0CC8B38A"/>
    <w:rsid w:val="0CCB0B7C"/>
    <w:rsid w:val="0CD19B41"/>
    <w:rsid w:val="0CD3FD34"/>
    <w:rsid w:val="0CD416AF"/>
    <w:rsid w:val="0CD7A8F0"/>
    <w:rsid w:val="0CD9AA81"/>
    <w:rsid w:val="0CD9C6E5"/>
    <w:rsid w:val="0CDB5C71"/>
    <w:rsid w:val="0CDBCFDD"/>
    <w:rsid w:val="0CDD98FD"/>
    <w:rsid w:val="0CDDC47D"/>
    <w:rsid w:val="0CE7D0AF"/>
    <w:rsid w:val="0CE87A44"/>
    <w:rsid w:val="0CF173CE"/>
    <w:rsid w:val="0CF22B2C"/>
    <w:rsid w:val="0CF39D1B"/>
    <w:rsid w:val="0CF4B82D"/>
    <w:rsid w:val="0CF55F90"/>
    <w:rsid w:val="0CFB08AA"/>
    <w:rsid w:val="0CFC1DD1"/>
    <w:rsid w:val="0CFE6406"/>
    <w:rsid w:val="0CFF9C47"/>
    <w:rsid w:val="0D03C0F5"/>
    <w:rsid w:val="0D08E34A"/>
    <w:rsid w:val="0D0921F4"/>
    <w:rsid w:val="0D0BA932"/>
    <w:rsid w:val="0D0D076F"/>
    <w:rsid w:val="0D0D2305"/>
    <w:rsid w:val="0D13E554"/>
    <w:rsid w:val="0D18AC10"/>
    <w:rsid w:val="0D1A5F47"/>
    <w:rsid w:val="0D1E793E"/>
    <w:rsid w:val="0D215399"/>
    <w:rsid w:val="0D2275DB"/>
    <w:rsid w:val="0D2525A3"/>
    <w:rsid w:val="0D2BC825"/>
    <w:rsid w:val="0D2E2101"/>
    <w:rsid w:val="0D3148E9"/>
    <w:rsid w:val="0D376FB6"/>
    <w:rsid w:val="0D3E37C1"/>
    <w:rsid w:val="0D432871"/>
    <w:rsid w:val="0D43863E"/>
    <w:rsid w:val="0D45BFFF"/>
    <w:rsid w:val="0D45F7FF"/>
    <w:rsid w:val="0D49A9BD"/>
    <w:rsid w:val="0D4AC206"/>
    <w:rsid w:val="0D4BE721"/>
    <w:rsid w:val="0D4DF702"/>
    <w:rsid w:val="0D4F202F"/>
    <w:rsid w:val="0D593130"/>
    <w:rsid w:val="0D5AFEFE"/>
    <w:rsid w:val="0D5EAAEA"/>
    <w:rsid w:val="0D5F3A2B"/>
    <w:rsid w:val="0D5FFF9D"/>
    <w:rsid w:val="0D63E0F5"/>
    <w:rsid w:val="0D68EE3D"/>
    <w:rsid w:val="0D68FC30"/>
    <w:rsid w:val="0D6981AE"/>
    <w:rsid w:val="0D6A3CD1"/>
    <w:rsid w:val="0D6D2315"/>
    <w:rsid w:val="0D6D7850"/>
    <w:rsid w:val="0D71DDB5"/>
    <w:rsid w:val="0D72874A"/>
    <w:rsid w:val="0D76571D"/>
    <w:rsid w:val="0D837443"/>
    <w:rsid w:val="0D845B0D"/>
    <w:rsid w:val="0D8C0173"/>
    <w:rsid w:val="0D8E4691"/>
    <w:rsid w:val="0D8E93ED"/>
    <w:rsid w:val="0D90AFC0"/>
    <w:rsid w:val="0D91E097"/>
    <w:rsid w:val="0D91FFFD"/>
    <w:rsid w:val="0D9295A7"/>
    <w:rsid w:val="0D92EB4F"/>
    <w:rsid w:val="0D96EFED"/>
    <w:rsid w:val="0D9A4F2D"/>
    <w:rsid w:val="0D9E73E2"/>
    <w:rsid w:val="0DA10FF5"/>
    <w:rsid w:val="0DA17D1F"/>
    <w:rsid w:val="0DA49B2F"/>
    <w:rsid w:val="0DA5E00B"/>
    <w:rsid w:val="0DA8DF42"/>
    <w:rsid w:val="0DAC2E58"/>
    <w:rsid w:val="0DAC306C"/>
    <w:rsid w:val="0DAE6569"/>
    <w:rsid w:val="0DB36A86"/>
    <w:rsid w:val="0DC0B49B"/>
    <w:rsid w:val="0DC1E4FA"/>
    <w:rsid w:val="0DC2072E"/>
    <w:rsid w:val="0DC597FA"/>
    <w:rsid w:val="0DC7A1E3"/>
    <w:rsid w:val="0DCB0947"/>
    <w:rsid w:val="0DCF5C90"/>
    <w:rsid w:val="0DCFC077"/>
    <w:rsid w:val="0DD5B6E9"/>
    <w:rsid w:val="0DD6A0ED"/>
    <w:rsid w:val="0DD701C2"/>
    <w:rsid w:val="0DD7EEA7"/>
    <w:rsid w:val="0DDF56D0"/>
    <w:rsid w:val="0DE6A9C9"/>
    <w:rsid w:val="0DF0D404"/>
    <w:rsid w:val="0DF21535"/>
    <w:rsid w:val="0DF4BA99"/>
    <w:rsid w:val="0DF8ADA6"/>
    <w:rsid w:val="0DF8ED56"/>
    <w:rsid w:val="0DFF648B"/>
    <w:rsid w:val="0E0096C2"/>
    <w:rsid w:val="0E0498AC"/>
    <w:rsid w:val="0E054E40"/>
    <w:rsid w:val="0E0750A5"/>
    <w:rsid w:val="0E0770A9"/>
    <w:rsid w:val="0E099D74"/>
    <w:rsid w:val="0E0B1EEB"/>
    <w:rsid w:val="0E0E7FF9"/>
    <w:rsid w:val="0E1097E4"/>
    <w:rsid w:val="0E10D53B"/>
    <w:rsid w:val="0E112FD3"/>
    <w:rsid w:val="0E118EEB"/>
    <w:rsid w:val="0E119762"/>
    <w:rsid w:val="0E152CE8"/>
    <w:rsid w:val="0E19EC87"/>
    <w:rsid w:val="0E1B39C0"/>
    <w:rsid w:val="0E20F5FE"/>
    <w:rsid w:val="0E261550"/>
    <w:rsid w:val="0E27AF7F"/>
    <w:rsid w:val="0E28708F"/>
    <w:rsid w:val="0E2C8AD6"/>
    <w:rsid w:val="0E2D0BD6"/>
    <w:rsid w:val="0E2D37C7"/>
    <w:rsid w:val="0E2DE495"/>
    <w:rsid w:val="0E300B8B"/>
    <w:rsid w:val="0E34D77C"/>
    <w:rsid w:val="0E3911DE"/>
    <w:rsid w:val="0E3942B6"/>
    <w:rsid w:val="0E3B683E"/>
    <w:rsid w:val="0E3C2950"/>
    <w:rsid w:val="0E4260C2"/>
    <w:rsid w:val="0E429B9D"/>
    <w:rsid w:val="0E433EDE"/>
    <w:rsid w:val="0E46F7A6"/>
    <w:rsid w:val="0E4A01B3"/>
    <w:rsid w:val="0E4D4BB4"/>
    <w:rsid w:val="0E57EDCC"/>
    <w:rsid w:val="0E5B5E2A"/>
    <w:rsid w:val="0E61B4F1"/>
    <w:rsid w:val="0E65099A"/>
    <w:rsid w:val="0E65A255"/>
    <w:rsid w:val="0E663999"/>
    <w:rsid w:val="0E6C55B2"/>
    <w:rsid w:val="0E6CC105"/>
    <w:rsid w:val="0E6F598C"/>
    <w:rsid w:val="0E704ACF"/>
    <w:rsid w:val="0E712786"/>
    <w:rsid w:val="0E72541F"/>
    <w:rsid w:val="0E740773"/>
    <w:rsid w:val="0E75E2D6"/>
    <w:rsid w:val="0E76BC13"/>
    <w:rsid w:val="0E7AD165"/>
    <w:rsid w:val="0E82D3F5"/>
    <w:rsid w:val="0E82E930"/>
    <w:rsid w:val="0E898BE8"/>
    <w:rsid w:val="0E89EDF1"/>
    <w:rsid w:val="0E89F338"/>
    <w:rsid w:val="0E8C8BC0"/>
    <w:rsid w:val="0E8D5F3F"/>
    <w:rsid w:val="0E8E2A4B"/>
    <w:rsid w:val="0E8F917C"/>
    <w:rsid w:val="0E912A6B"/>
    <w:rsid w:val="0E92494B"/>
    <w:rsid w:val="0E92A38C"/>
    <w:rsid w:val="0E93D85A"/>
    <w:rsid w:val="0E99A945"/>
    <w:rsid w:val="0E9BB925"/>
    <w:rsid w:val="0E9BFA53"/>
    <w:rsid w:val="0E9E0150"/>
    <w:rsid w:val="0E9E069C"/>
    <w:rsid w:val="0EA17214"/>
    <w:rsid w:val="0EA5C49A"/>
    <w:rsid w:val="0EA7E7BD"/>
    <w:rsid w:val="0EA91A04"/>
    <w:rsid w:val="0EA9C777"/>
    <w:rsid w:val="0EAC6240"/>
    <w:rsid w:val="0EACD357"/>
    <w:rsid w:val="0EAD8115"/>
    <w:rsid w:val="0EAF82D7"/>
    <w:rsid w:val="0EAFB26E"/>
    <w:rsid w:val="0EB2C198"/>
    <w:rsid w:val="0EB4D027"/>
    <w:rsid w:val="0EB8F34A"/>
    <w:rsid w:val="0EBBC747"/>
    <w:rsid w:val="0EBE28AF"/>
    <w:rsid w:val="0EBE41FE"/>
    <w:rsid w:val="0EC29CC8"/>
    <w:rsid w:val="0ECE79AA"/>
    <w:rsid w:val="0ED558A2"/>
    <w:rsid w:val="0ED8E825"/>
    <w:rsid w:val="0EDBF61B"/>
    <w:rsid w:val="0EE0E758"/>
    <w:rsid w:val="0EE11047"/>
    <w:rsid w:val="0EE29B28"/>
    <w:rsid w:val="0EF03B48"/>
    <w:rsid w:val="0EF6A117"/>
    <w:rsid w:val="0EF6AFCA"/>
    <w:rsid w:val="0EF716BC"/>
    <w:rsid w:val="0EF9FA43"/>
    <w:rsid w:val="0EFB9C9F"/>
    <w:rsid w:val="0EFCD292"/>
    <w:rsid w:val="0EFDBB6B"/>
    <w:rsid w:val="0F02743C"/>
    <w:rsid w:val="0F035DF5"/>
    <w:rsid w:val="0F055428"/>
    <w:rsid w:val="0F0D8EBA"/>
    <w:rsid w:val="0F0E35C3"/>
    <w:rsid w:val="0F143F42"/>
    <w:rsid w:val="0F148F0A"/>
    <w:rsid w:val="0F1BD037"/>
    <w:rsid w:val="0F1F6AE0"/>
    <w:rsid w:val="0F210313"/>
    <w:rsid w:val="0F21B276"/>
    <w:rsid w:val="0F286E02"/>
    <w:rsid w:val="0F2E7A6B"/>
    <w:rsid w:val="0F300FC7"/>
    <w:rsid w:val="0F3922EC"/>
    <w:rsid w:val="0F3DC2EF"/>
    <w:rsid w:val="0F3F5003"/>
    <w:rsid w:val="0F417FF0"/>
    <w:rsid w:val="0F44454B"/>
    <w:rsid w:val="0F45504C"/>
    <w:rsid w:val="0F4BF410"/>
    <w:rsid w:val="0F50F6CB"/>
    <w:rsid w:val="0F550494"/>
    <w:rsid w:val="0F5600FA"/>
    <w:rsid w:val="0F56646D"/>
    <w:rsid w:val="0F583EC0"/>
    <w:rsid w:val="0F5E00B1"/>
    <w:rsid w:val="0F654E2D"/>
    <w:rsid w:val="0F667A45"/>
    <w:rsid w:val="0F68B2CC"/>
    <w:rsid w:val="0F6E1C86"/>
    <w:rsid w:val="0F738A82"/>
    <w:rsid w:val="0F7BE386"/>
    <w:rsid w:val="0F7FFBE8"/>
    <w:rsid w:val="0F8E5D14"/>
    <w:rsid w:val="0F8FFC70"/>
    <w:rsid w:val="0F91E0FD"/>
    <w:rsid w:val="0F950B3F"/>
    <w:rsid w:val="0F996B76"/>
    <w:rsid w:val="0F99F8A1"/>
    <w:rsid w:val="0F9E3B87"/>
    <w:rsid w:val="0FA009FB"/>
    <w:rsid w:val="0FA0A1C0"/>
    <w:rsid w:val="0FA4E722"/>
    <w:rsid w:val="0FA79581"/>
    <w:rsid w:val="0FA8F354"/>
    <w:rsid w:val="0FB1528C"/>
    <w:rsid w:val="0FB6CA56"/>
    <w:rsid w:val="0FB8AC11"/>
    <w:rsid w:val="0FBD17D9"/>
    <w:rsid w:val="0FC2BA68"/>
    <w:rsid w:val="0FC7F7B7"/>
    <w:rsid w:val="0FCC0760"/>
    <w:rsid w:val="0FCD05F3"/>
    <w:rsid w:val="0FD01EA9"/>
    <w:rsid w:val="0FD0F3CB"/>
    <w:rsid w:val="0FD16B3E"/>
    <w:rsid w:val="0FD1D5DE"/>
    <w:rsid w:val="0FD45997"/>
    <w:rsid w:val="0FD65A93"/>
    <w:rsid w:val="0FD98E21"/>
    <w:rsid w:val="0FDCBC2C"/>
    <w:rsid w:val="0FE1CCF6"/>
    <w:rsid w:val="0FE25097"/>
    <w:rsid w:val="0FE3B7DE"/>
    <w:rsid w:val="0FE4AC82"/>
    <w:rsid w:val="0FEA1020"/>
    <w:rsid w:val="0FEAC18D"/>
    <w:rsid w:val="0FEC60C1"/>
    <w:rsid w:val="0FEEF5F0"/>
    <w:rsid w:val="0FF26096"/>
    <w:rsid w:val="0FF2CB83"/>
    <w:rsid w:val="0FF99071"/>
    <w:rsid w:val="0FFABC50"/>
    <w:rsid w:val="0FFB97F0"/>
    <w:rsid w:val="10026733"/>
    <w:rsid w:val="10047007"/>
    <w:rsid w:val="10075FB1"/>
    <w:rsid w:val="100A092D"/>
    <w:rsid w:val="100A67A2"/>
    <w:rsid w:val="100BD641"/>
    <w:rsid w:val="101672D6"/>
    <w:rsid w:val="102539DE"/>
    <w:rsid w:val="10257403"/>
    <w:rsid w:val="102D0FB7"/>
    <w:rsid w:val="10307F6A"/>
    <w:rsid w:val="1033F9C6"/>
    <w:rsid w:val="103429C6"/>
    <w:rsid w:val="103A6B2E"/>
    <w:rsid w:val="103AFDDA"/>
    <w:rsid w:val="103C8A2E"/>
    <w:rsid w:val="103F1045"/>
    <w:rsid w:val="10416046"/>
    <w:rsid w:val="104208ED"/>
    <w:rsid w:val="1043A218"/>
    <w:rsid w:val="104913BB"/>
    <w:rsid w:val="10546483"/>
    <w:rsid w:val="1055A4A5"/>
    <w:rsid w:val="1055F91A"/>
    <w:rsid w:val="10575378"/>
    <w:rsid w:val="10668F28"/>
    <w:rsid w:val="10696386"/>
    <w:rsid w:val="106F23E2"/>
    <w:rsid w:val="1071C9C7"/>
    <w:rsid w:val="10727C26"/>
    <w:rsid w:val="1074A3C7"/>
    <w:rsid w:val="107F806E"/>
    <w:rsid w:val="1080BBDD"/>
    <w:rsid w:val="1081A346"/>
    <w:rsid w:val="1086A6A7"/>
    <w:rsid w:val="1086FAE6"/>
    <w:rsid w:val="10881EAE"/>
    <w:rsid w:val="108891B9"/>
    <w:rsid w:val="108B6600"/>
    <w:rsid w:val="108C40AB"/>
    <w:rsid w:val="108FC04B"/>
    <w:rsid w:val="10900AB8"/>
    <w:rsid w:val="10901A66"/>
    <w:rsid w:val="109326E0"/>
    <w:rsid w:val="1093B920"/>
    <w:rsid w:val="1095E130"/>
    <w:rsid w:val="109F12E0"/>
    <w:rsid w:val="10AE6ACE"/>
    <w:rsid w:val="10AE6D23"/>
    <w:rsid w:val="10B18BD9"/>
    <w:rsid w:val="10B66D48"/>
    <w:rsid w:val="10B7677D"/>
    <w:rsid w:val="10BE316C"/>
    <w:rsid w:val="10C108FF"/>
    <w:rsid w:val="10C56CF3"/>
    <w:rsid w:val="10CB05CE"/>
    <w:rsid w:val="10CB0C70"/>
    <w:rsid w:val="10CE9D33"/>
    <w:rsid w:val="10D1AC54"/>
    <w:rsid w:val="10D3A738"/>
    <w:rsid w:val="10D3C23A"/>
    <w:rsid w:val="10D51CE5"/>
    <w:rsid w:val="10D96A71"/>
    <w:rsid w:val="10DD6220"/>
    <w:rsid w:val="10E5A112"/>
    <w:rsid w:val="10E67BD1"/>
    <w:rsid w:val="10E67F25"/>
    <w:rsid w:val="10E9EE92"/>
    <w:rsid w:val="10ECA773"/>
    <w:rsid w:val="10F42DB6"/>
    <w:rsid w:val="10F48D20"/>
    <w:rsid w:val="10F9089F"/>
    <w:rsid w:val="10F95DF2"/>
    <w:rsid w:val="10FA55F0"/>
    <w:rsid w:val="10FA920D"/>
    <w:rsid w:val="10FB61D2"/>
    <w:rsid w:val="10FF7125"/>
    <w:rsid w:val="10FFD3F4"/>
    <w:rsid w:val="11005E2E"/>
    <w:rsid w:val="1103C188"/>
    <w:rsid w:val="110748F0"/>
    <w:rsid w:val="110A2793"/>
    <w:rsid w:val="110B9EA2"/>
    <w:rsid w:val="110C5939"/>
    <w:rsid w:val="110DF142"/>
    <w:rsid w:val="11175594"/>
    <w:rsid w:val="1120E82C"/>
    <w:rsid w:val="1122E768"/>
    <w:rsid w:val="1124E62B"/>
    <w:rsid w:val="1126D1EB"/>
    <w:rsid w:val="113207DF"/>
    <w:rsid w:val="11374347"/>
    <w:rsid w:val="113C8C91"/>
    <w:rsid w:val="113DF5E6"/>
    <w:rsid w:val="113F51B7"/>
    <w:rsid w:val="11404DC0"/>
    <w:rsid w:val="1143CAC0"/>
    <w:rsid w:val="114620AB"/>
    <w:rsid w:val="114883D1"/>
    <w:rsid w:val="114B11F5"/>
    <w:rsid w:val="114BD470"/>
    <w:rsid w:val="114D9B87"/>
    <w:rsid w:val="114F0F8B"/>
    <w:rsid w:val="11540448"/>
    <w:rsid w:val="1154FDF3"/>
    <w:rsid w:val="11589321"/>
    <w:rsid w:val="11594067"/>
    <w:rsid w:val="115F2B25"/>
    <w:rsid w:val="116707B5"/>
    <w:rsid w:val="116F89C5"/>
    <w:rsid w:val="116FA76E"/>
    <w:rsid w:val="11714381"/>
    <w:rsid w:val="1172F59A"/>
    <w:rsid w:val="1174AC8A"/>
    <w:rsid w:val="1174F4CE"/>
    <w:rsid w:val="11779A02"/>
    <w:rsid w:val="117B2D10"/>
    <w:rsid w:val="1181B754"/>
    <w:rsid w:val="1186049A"/>
    <w:rsid w:val="1188B966"/>
    <w:rsid w:val="118AFD77"/>
    <w:rsid w:val="118DBE37"/>
    <w:rsid w:val="118ED4EF"/>
    <w:rsid w:val="1194A592"/>
    <w:rsid w:val="119946D4"/>
    <w:rsid w:val="119D7197"/>
    <w:rsid w:val="119DA3B6"/>
    <w:rsid w:val="119F1CCA"/>
    <w:rsid w:val="11A5FD86"/>
    <w:rsid w:val="11A65388"/>
    <w:rsid w:val="11AFFCDD"/>
    <w:rsid w:val="11B4E940"/>
    <w:rsid w:val="11B51EF3"/>
    <w:rsid w:val="11BA211F"/>
    <w:rsid w:val="11BA2BD3"/>
    <w:rsid w:val="11BCD5BD"/>
    <w:rsid w:val="11BE446D"/>
    <w:rsid w:val="11C39255"/>
    <w:rsid w:val="11C7CEB5"/>
    <w:rsid w:val="11C7F69A"/>
    <w:rsid w:val="11CEB8D8"/>
    <w:rsid w:val="11D5765C"/>
    <w:rsid w:val="11D6C052"/>
    <w:rsid w:val="11D89378"/>
    <w:rsid w:val="11DC3D78"/>
    <w:rsid w:val="11E54CE6"/>
    <w:rsid w:val="11E64771"/>
    <w:rsid w:val="11E6DE81"/>
    <w:rsid w:val="11E8AA6C"/>
    <w:rsid w:val="11EC8336"/>
    <w:rsid w:val="11EE3402"/>
    <w:rsid w:val="11F19B0D"/>
    <w:rsid w:val="11F20035"/>
    <w:rsid w:val="11F25B92"/>
    <w:rsid w:val="11F480AA"/>
    <w:rsid w:val="11F4E235"/>
    <w:rsid w:val="11F73E63"/>
    <w:rsid w:val="11FC108D"/>
    <w:rsid w:val="11FDB135"/>
    <w:rsid w:val="11FE471A"/>
    <w:rsid w:val="12005CCF"/>
    <w:rsid w:val="1200F2A9"/>
    <w:rsid w:val="12024919"/>
    <w:rsid w:val="1202FB29"/>
    <w:rsid w:val="120686CA"/>
    <w:rsid w:val="12124B6E"/>
    <w:rsid w:val="121252D7"/>
    <w:rsid w:val="1214BDF9"/>
    <w:rsid w:val="12154741"/>
    <w:rsid w:val="12177728"/>
    <w:rsid w:val="12199E98"/>
    <w:rsid w:val="121C551C"/>
    <w:rsid w:val="12215495"/>
    <w:rsid w:val="122C758F"/>
    <w:rsid w:val="122E6767"/>
    <w:rsid w:val="1230B2B9"/>
    <w:rsid w:val="1230BECC"/>
    <w:rsid w:val="12314BC6"/>
    <w:rsid w:val="123590E2"/>
    <w:rsid w:val="123758AB"/>
    <w:rsid w:val="1237FA55"/>
    <w:rsid w:val="1239C42E"/>
    <w:rsid w:val="123AFB96"/>
    <w:rsid w:val="1254932B"/>
    <w:rsid w:val="126111ED"/>
    <w:rsid w:val="1262853C"/>
    <w:rsid w:val="12719C6D"/>
    <w:rsid w:val="12723430"/>
    <w:rsid w:val="127EDE1F"/>
    <w:rsid w:val="12818A03"/>
    <w:rsid w:val="1282235F"/>
    <w:rsid w:val="1282D752"/>
    <w:rsid w:val="12864B1D"/>
    <w:rsid w:val="128CB33B"/>
    <w:rsid w:val="128F18BA"/>
    <w:rsid w:val="1294448A"/>
    <w:rsid w:val="1294894E"/>
    <w:rsid w:val="1294B5A3"/>
    <w:rsid w:val="1295F5C7"/>
    <w:rsid w:val="129F53A3"/>
    <w:rsid w:val="12A27133"/>
    <w:rsid w:val="12A2C9C2"/>
    <w:rsid w:val="12A48BC6"/>
    <w:rsid w:val="12A5426A"/>
    <w:rsid w:val="12AABA18"/>
    <w:rsid w:val="12AD2437"/>
    <w:rsid w:val="12B05B5A"/>
    <w:rsid w:val="12B249A7"/>
    <w:rsid w:val="12B2FCD2"/>
    <w:rsid w:val="12B36008"/>
    <w:rsid w:val="12B4C365"/>
    <w:rsid w:val="12B4C473"/>
    <w:rsid w:val="12BA4A03"/>
    <w:rsid w:val="12BB5CD1"/>
    <w:rsid w:val="12BD6861"/>
    <w:rsid w:val="12C0D4AB"/>
    <w:rsid w:val="12C40BF4"/>
    <w:rsid w:val="12C4806A"/>
    <w:rsid w:val="12CAB030"/>
    <w:rsid w:val="12CC01E3"/>
    <w:rsid w:val="12CC1DDF"/>
    <w:rsid w:val="12CD6A0F"/>
    <w:rsid w:val="12D0676B"/>
    <w:rsid w:val="12D2EC29"/>
    <w:rsid w:val="12D3BDFC"/>
    <w:rsid w:val="12D5B5BF"/>
    <w:rsid w:val="12D8CD21"/>
    <w:rsid w:val="12DB94E6"/>
    <w:rsid w:val="12E0345A"/>
    <w:rsid w:val="12E2A11E"/>
    <w:rsid w:val="12E50064"/>
    <w:rsid w:val="12E6317F"/>
    <w:rsid w:val="12E64DBB"/>
    <w:rsid w:val="12E75B97"/>
    <w:rsid w:val="12EBCB2D"/>
    <w:rsid w:val="12F253FC"/>
    <w:rsid w:val="12F604F2"/>
    <w:rsid w:val="12FACFD2"/>
    <w:rsid w:val="12FEBE22"/>
    <w:rsid w:val="13039639"/>
    <w:rsid w:val="13097F22"/>
    <w:rsid w:val="130A702A"/>
    <w:rsid w:val="130A8711"/>
    <w:rsid w:val="130ADB03"/>
    <w:rsid w:val="1310CAC2"/>
    <w:rsid w:val="131272CB"/>
    <w:rsid w:val="131E6818"/>
    <w:rsid w:val="131FD55E"/>
    <w:rsid w:val="13213F6C"/>
    <w:rsid w:val="13244331"/>
    <w:rsid w:val="13275F66"/>
    <w:rsid w:val="13278CA4"/>
    <w:rsid w:val="132B55F4"/>
    <w:rsid w:val="132BD1A0"/>
    <w:rsid w:val="132D031C"/>
    <w:rsid w:val="132EECF1"/>
    <w:rsid w:val="1330CB8A"/>
    <w:rsid w:val="1331F28D"/>
    <w:rsid w:val="13320E13"/>
    <w:rsid w:val="13382786"/>
    <w:rsid w:val="133FFA94"/>
    <w:rsid w:val="13414B61"/>
    <w:rsid w:val="1344A221"/>
    <w:rsid w:val="1344CE01"/>
    <w:rsid w:val="1348039F"/>
    <w:rsid w:val="134CF68F"/>
    <w:rsid w:val="134E2F63"/>
    <w:rsid w:val="134E8D4F"/>
    <w:rsid w:val="1357E9A8"/>
    <w:rsid w:val="13586B65"/>
    <w:rsid w:val="135B2F8E"/>
    <w:rsid w:val="136264DF"/>
    <w:rsid w:val="1364285B"/>
    <w:rsid w:val="13656FB5"/>
    <w:rsid w:val="1365E29B"/>
    <w:rsid w:val="1366A673"/>
    <w:rsid w:val="1368201D"/>
    <w:rsid w:val="136A5024"/>
    <w:rsid w:val="136D1B04"/>
    <w:rsid w:val="136D4319"/>
    <w:rsid w:val="136F1041"/>
    <w:rsid w:val="136FABD5"/>
    <w:rsid w:val="1375DD99"/>
    <w:rsid w:val="13771B6E"/>
    <w:rsid w:val="1383EC2B"/>
    <w:rsid w:val="138404ED"/>
    <w:rsid w:val="13874DA9"/>
    <w:rsid w:val="138893F0"/>
    <w:rsid w:val="1388D0BC"/>
    <w:rsid w:val="138C6554"/>
    <w:rsid w:val="138DD068"/>
    <w:rsid w:val="1394BDC0"/>
    <w:rsid w:val="139752C8"/>
    <w:rsid w:val="13984902"/>
    <w:rsid w:val="1398FCB8"/>
    <w:rsid w:val="13990E9F"/>
    <w:rsid w:val="13A215B4"/>
    <w:rsid w:val="13A2DC76"/>
    <w:rsid w:val="13A47815"/>
    <w:rsid w:val="13A4C995"/>
    <w:rsid w:val="13A51A8E"/>
    <w:rsid w:val="13AC7F2E"/>
    <w:rsid w:val="13AD0198"/>
    <w:rsid w:val="13AD66A1"/>
    <w:rsid w:val="13ADDEBE"/>
    <w:rsid w:val="13B030B8"/>
    <w:rsid w:val="13B567C6"/>
    <w:rsid w:val="13BD32AC"/>
    <w:rsid w:val="13C0617E"/>
    <w:rsid w:val="13C2A733"/>
    <w:rsid w:val="13C4997D"/>
    <w:rsid w:val="13C69E7C"/>
    <w:rsid w:val="13C833C2"/>
    <w:rsid w:val="13C8DA70"/>
    <w:rsid w:val="13C8DC4F"/>
    <w:rsid w:val="13CA8E73"/>
    <w:rsid w:val="13CC180A"/>
    <w:rsid w:val="13CF83A0"/>
    <w:rsid w:val="13CF8AC8"/>
    <w:rsid w:val="13D00DFD"/>
    <w:rsid w:val="13D06328"/>
    <w:rsid w:val="13D137BB"/>
    <w:rsid w:val="13D55233"/>
    <w:rsid w:val="13D6BB30"/>
    <w:rsid w:val="13DB2260"/>
    <w:rsid w:val="13DBA34F"/>
    <w:rsid w:val="13DC0704"/>
    <w:rsid w:val="13DDB67A"/>
    <w:rsid w:val="13E33BA5"/>
    <w:rsid w:val="13E36B1F"/>
    <w:rsid w:val="13E666E2"/>
    <w:rsid w:val="13F09F31"/>
    <w:rsid w:val="13F204DD"/>
    <w:rsid w:val="13F5B1EB"/>
    <w:rsid w:val="13F6B257"/>
    <w:rsid w:val="13F77598"/>
    <w:rsid w:val="13F9F4E4"/>
    <w:rsid w:val="13FAC257"/>
    <w:rsid w:val="13FB8A1A"/>
    <w:rsid w:val="140289D4"/>
    <w:rsid w:val="14034359"/>
    <w:rsid w:val="1409A666"/>
    <w:rsid w:val="140CA8CA"/>
    <w:rsid w:val="140EFCA9"/>
    <w:rsid w:val="140F62DE"/>
    <w:rsid w:val="140FFCEC"/>
    <w:rsid w:val="1410EF59"/>
    <w:rsid w:val="14115984"/>
    <w:rsid w:val="14116364"/>
    <w:rsid w:val="1412E40A"/>
    <w:rsid w:val="141662EB"/>
    <w:rsid w:val="141D855F"/>
    <w:rsid w:val="141EC555"/>
    <w:rsid w:val="142612FB"/>
    <w:rsid w:val="14273B3B"/>
    <w:rsid w:val="14298412"/>
    <w:rsid w:val="142A5279"/>
    <w:rsid w:val="1438268F"/>
    <w:rsid w:val="143B6103"/>
    <w:rsid w:val="14414747"/>
    <w:rsid w:val="14419377"/>
    <w:rsid w:val="1442398F"/>
    <w:rsid w:val="1447FDBB"/>
    <w:rsid w:val="144C657E"/>
    <w:rsid w:val="1456A684"/>
    <w:rsid w:val="14610DD9"/>
    <w:rsid w:val="14642506"/>
    <w:rsid w:val="146771B9"/>
    <w:rsid w:val="14695BFD"/>
    <w:rsid w:val="146D4F17"/>
    <w:rsid w:val="146E4676"/>
    <w:rsid w:val="146F2ABD"/>
    <w:rsid w:val="14720E5B"/>
    <w:rsid w:val="14743A79"/>
    <w:rsid w:val="1474C8F7"/>
    <w:rsid w:val="1475D15F"/>
    <w:rsid w:val="1476682C"/>
    <w:rsid w:val="147743EA"/>
    <w:rsid w:val="147B6A53"/>
    <w:rsid w:val="147FFA6F"/>
    <w:rsid w:val="14821DDA"/>
    <w:rsid w:val="14842E38"/>
    <w:rsid w:val="1484F63D"/>
    <w:rsid w:val="14853B0B"/>
    <w:rsid w:val="14882C51"/>
    <w:rsid w:val="148AA3A0"/>
    <w:rsid w:val="148EA0A1"/>
    <w:rsid w:val="1490390F"/>
    <w:rsid w:val="149A569B"/>
    <w:rsid w:val="149B5F66"/>
    <w:rsid w:val="149D242F"/>
    <w:rsid w:val="149EB4F4"/>
    <w:rsid w:val="14A23B15"/>
    <w:rsid w:val="14A96C90"/>
    <w:rsid w:val="14AC3C43"/>
    <w:rsid w:val="14B0FF88"/>
    <w:rsid w:val="14B6B9FF"/>
    <w:rsid w:val="14BC0331"/>
    <w:rsid w:val="14BDA62A"/>
    <w:rsid w:val="14BEFB8E"/>
    <w:rsid w:val="14BFB875"/>
    <w:rsid w:val="14C7C145"/>
    <w:rsid w:val="14CF9528"/>
    <w:rsid w:val="14D68035"/>
    <w:rsid w:val="14D95A2C"/>
    <w:rsid w:val="14DD9747"/>
    <w:rsid w:val="14DDDE5B"/>
    <w:rsid w:val="14F07319"/>
    <w:rsid w:val="14F21A6C"/>
    <w:rsid w:val="150346EC"/>
    <w:rsid w:val="1503BFC7"/>
    <w:rsid w:val="1505465B"/>
    <w:rsid w:val="1507CD65"/>
    <w:rsid w:val="150C52E2"/>
    <w:rsid w:val="150D00C7"/>
    <w:rsid w:val="150D184E"/>
    <w:rsid w:val="150DDAA0"/>
    <w:rsid w:val="150E86CF"/>
    <w:rsid w:val="1511C4DF"/>
    <w:rsid w:val="1511D78C"/>
    <w:rsid w:val="1513D86A"/>
    <w:rsid w:val="1515DC24"/>
    <w:rsid w:val="151AC235"/>
    <w:rsid w:val="151D751A"/>
    <w:rsid w:val="15217C60"/>
    <w:rsid w:val="1521DC6C"/>
    <w:rsid w:val="15252D10"/>
    <w:rsid w:val="152B62D4"/>
    <w:rsid w:val="15358E76"/>
    <w:rsid w:val="1536C654"/>
    <w:rsid w:val="153A64AC"/>
    <w:rsid w:val="153C566E"/>
    <w:rsid w:val="153D3FDB"/>
    <w:rsid w:val="153E042F"/>
    <w:rsid w:val="1546E6BF"/>
    <w:rsid w:val="154E44A8"/>
    <w:rsid w:val="154E8157"/>
    <w:rsid w:val="154FC338"/>
    <w:rsid w:val="15500D90"/>
    <w:rsid w:val="1553C0F3"/>
    <w:rsid w:val="1554AC62"/>
    <w:rsid w:val="15564E12"/>
    <w:rsid w:val="155986BE"/>
    <w:rsid w:val="155C6276"/>
    <w:rsid w:val="15634755"/>
    <w:rsid w:val="156735A8"/>
    <w:rsid w:val="1569DBC9"/>
    <w:rsid w:val="156B1E86"/>
    <w:rsid w:val="156B2A4E"/>
    <w:rsid w:val="156CB571"/>
    <w:rsid w:val="156F06D0"/>
    <w:rsid w:val="157006B5"/>
    <w:rsid w:val="1571D784"/>
    <w:rsid w:val="1575E1C9"/>
    <w:rsid w:val="1577399B"/>
    <w:rsid w:val="15777C5E"/>
    <w:rsid w:val="1579F043"/>
    <w:rsid w:val="157D4C6A"/>
    <w:rsid w:val="15819932"/>
    <w:rsid w:val="1586681E"/>
    <w:rsid w:val="1586DE42"/>
    <w:rsid w:val="158AFC53"/>
    <w:rsid w:val="158C2190"/>
    <w:rsid w:val="15978EE0"/>
    <w:rsid w:val="159884A3"/>
    <w:rsid w:val="1599A325"/>
    <w:rsid w:val="159A2DC7"/>
    <w:rsid w:val="159BD4AB"/>
    <w:rsid w:val="15A08CF3"/>
    <w:rsid w:val="15A1E559"/>
    <w:rsid w:val="15A769BC"/>
    <w:rsid w:val="15A86BEA"/>
    <w:rsid w:val="15AC78FC"/>
    <w:rsid w:val="15B1EC1B"/>
    <w:rsid w:val="15B5BA0A"/>
    <w:rsid w:val="15B7390D"/>
    <w:rsid w:val="15BD6A70"/>
    <w:rsid w:val="15C094A0"/>
    <w:rsid w:val="15C3E710"/>
    <w:rsid w:val="15C53EBF"/>
    <w:rsid w:val="15C8095E"/>
    <w:rsid w:val="15C82019"/>
    <w:rsid w:val="15C8B13E"/>
    <w:rsid w:val="15D36FB6"/>
    <w:rsid w:val="15D47B4A"/>
    <w:rsid w:val="15D8F3A5"/>
    <w:rsid w:val="15E90FA8"/>
    <w:rsid w:val="15EDB002"/>
    <w:rsid w:val="15EDD678"/>
    <w:rsid w:val="15EED6F9"/>
    <w:rsid w:val="15EF2586"/>
    <w:rsid w:val="15EF5FAE"/>
    <w:rsid w:val="15EFB56A"/>
    <w:rsid w:val="15F18D9D"/>
    <w:rsid w:val="15F5378A"/>
    <w:rsid w:val="15F82476"/>
    <w:rsid w:val="15F865EC"/>
    <w:rsid w:val="15FADF28"/>
    <w:rsid w:val="16009E21"/>
    <w:rsid w:val="1605348F"/>
    <w:rsid w:val="1614029E"/>
    <w:rsid w:val="16155E44"/>
    <w:rsid w:val="1617720A"/>
    <w:rsid w:val="161A5D65"/>
    <w:rsid w:val="161CD53A"/>
    <w:rsid w:val="16214597"/>
    <w:rsid w:val="1622B504"/>
    <w:rsid w:val="162532F4"/>
    <w:rsid w:val="162FD29E"/>
    <w:rsid w:val="162FF6EA"/>
    <w:rsid w:val="163FE678"/>
    <w:rsid w:val="1640A9D6"/>
    <w:rsid w:val="16435A3B"/>
    <w:rsid w:val="16446E04"/>
    <w:rsid w:val="16451D5E"/>
    <w:rsid w:val="16470B3B"/>
    <w:rsid w:val="1648441E"/>
    <w:rsid w:val="164F99C6"/>
    <w:rsid w:val="16560B19"/>
    <w:rsid w:val="1657ACAD"/>
    <w:rsid w:val="16595945"/>
    <w:rsid w:val="1660FF79"/>
    <w:rsid w:val="1661027A"/>
    <w:rsid w:val="1661D3FA"/>
    <w:rsid w:val="1663B82F"/>
    <w:rsid w:val="166E9DDD"/>
    <w:rsid w:val="167C7E88"/>
    <w:rsid w:val="167E50CA"/>
    <w:rsid w:val="168AA954"/>
    <w:rsid w:val="168BB8BA"/>
    <w:rsid w:val="168DBBE8"/>
    <w:rsid w:val="168E6786"/>
    <w:rsid w:val="168ECD2B"/>
    <w:rsid w:val="1691353A"/>
    <w:rsid w:val="16926251"/>
    <w:rsid w:val="1696081C"/>
    <w:rsid w:val="1697617E"/>
    <w:rsid w:val="169776DF"/>
    <w:rsid w:val="1697B757"/>
    <w:rsid w:val="16A2C834"/>
    <w:rsid w:val="16A39C15"/>
    <w:rsid w:val="16A4EE15"/>
    <w:rsid w:val="16A5385C"/>
    <w:rsid w:val="16A5E891"/>
    <w:rsid w:val="16A61F72"/>
    <w:rsid w:val="16A68E96"/>
    <w:rsid w:val="16AA8551"/>
    <w:rsid w:val="16AAFD1B"/>
    <w:rsid w:val="16AB429D"/>
    <w:rsid w:val="16B1052A"/>
    <w:rsid w:val="16B38CB0"/>
    <w:rsid w:val="16B6AB5B"/>
    <w:rsid w:val="16B9A532"/>
    <w:rsid w:val="16B9ED90"/>
    <w:rsid w:val="16BEE45E"/>
    <w:rsid w:val="16C19F60"/>
    <w:rsid w:val="16C5DF0F"/>
    <w:rsid w:val="16CEEA5B"/>
    <w:rsid w:val="16D2286D"/>
    <w:rsid w:val="16D26202"/>
    <w:rsid w:val="16D297C1"/>
    <w:rsid w:val="16D752DD"/>
    <w:rsid w:val="16DD8EDC"/>
    <w:rsid w:val="16E14321"/>
    <w:rsid w:val="16E38CF7"/>
    <w:rsid w:val="16E574A4"/>
    <w:rsid w:val="16EC99DE"/>
    <w:rsid w:val="16EF4D1D"/>
    <w:rsid w:val="16F129FE"/>
    <w:rsid w:val="16F30FF3"/>
    <w:rsid w:val="1701C3B6"/>
    <w:rsid w:val="1704A43B"/>
    <w:rsid w:val="17059440"/>
    <w:rsid w:val="1707EB4D"/>
    <w:rsid w:val="17089A75"/>
    <w:rsid w:val="170C5630"/>
    <w:rsid w:val="1710BEB7"/>
    <w:rsid w:val="1710C4C2"/>
    <w:rsid w:val="17122D87"/>
    <w:rsid w:val="17189B52"/>
    <w:rsid w:val="171CA584"/>
    <w:rsid w:val="17297952"/>
    <w:rsid w:val="172B2762"/>
    <w:rsid w:val="172D0C9B"/>
    <w:rsid w:val="1731C924"/>
    <w:rsid w:val="1734C2A2"/>
    <w:rsid w:val="17356FBA"/>
    <w:rsid w:val="173863A0"/>
    <w:rsid w:val="1738AC4A"/>
    <w:rsid w:val="1738B326"/>
    <w:rsid w:val="1738C4E1"/>
    <w:rsid w:val="173A05B1"/>
    <w:rsid w:val="173CD4E2"/>
    <w:rsid w:val="173EEC15"/>
    <w:rsid w:val="173F07CE"/>
    <w:rsid w:val="17400C46"/>
    <w:rsid w:val="174208F9"/>
    <w:rsid w:val="174A5217"/>
    <w:rsid w:val="174C00EA"/>
    <w:rsid w:val="174C86C0"/>
    <w:rsid w:val="174E14B9"/>
    <w:rsid w:val="174FE136"/>
    <w:rsid w:val="175072D2"/>
    <w:rsid w:val="1750C5B4"/>
    <w:rsid w:val="17554D24"/>
    <w:rsid w:val="175A1D25"/>
    <w:rsid w:val="175AD0B3"/>
    <w:rsid w:val="175D492B"/>
    <w:rsid w:val="1766E38E"/>
    <w:rsid w:val="176700A0"/>
    <w:rsid w:val="176938C8"/>
    <w:rsid w:val="17694BF2"/>
    <w:rsid w:val="176E7D53"/>
    <w:rsid w:val="17735AB4"/>
    <w:rsid w:val="177435FC"/>
    <w:rsid w:val="1776B973"/>
    <w:rsid w:val="177BCD6E"/>
    <w:rsid w:val="177DFAA1"/>
    <w:rsid w:val="177EF3D7"/>
    <w:rsid w:val="1782978F"/>
    <w:rsid w:val="1782E3BC"/>
    <w:rsid w:val="178A3AD1"/>
    <w:rsid w:val="178D10EF"/>
    <w:rsid w:val="178E6CB2"/>
    <w:rsid w:val="1790E8C6"/>
    <w:rsid w:val="17949FE4"/>
    <w:rsid w:val="179AEF3B"/>
    <w:rsid w:val="179BB5E1"/>
    <w:rsid w:val="179C88C3"/>
    <w:rsid w:val="179EBEB3"/>
    <w:rsid w:val="17A333A6"/>
    <w:rsid w:val="17A85D86"/>
    <w:rsid w:val="17AAE7E8"/>
    <w:rsid w:val="17B288C1"/>
    <w:rsid w:val="17B2EC50"/>
    <w:rsid w:val="17B37E6A"/>
    <w:rsid w:val="17B96C87"/>
    <w:rsid w:val="17BA1DC0"/>
    <w:rsid w:val="17BAF7CE"/>
    <w:rsid w:val="17BB290C"/>
    <w:rsid w:val="17BD14E8"/>
    <w:rsid w:val="17C455DE"/>
    <w:rsid w:val="17C75D73"/>
    <w:rsid w:val="17CAF425"/>
    <w:rsid w:val="17CB2515"/>
    <w:rsid w:val="17CBF2FB"/>
    <w:rsid w:val="17CC0230"/>
    <w:rsid w:val="17CE0CEF"/>
    <w:rsid w:val="17CE7B23"/>
    <w:rsid w:val="17D64655"/>
    <w:rsid w:val="17D66C62"/>
    <w:rsid w:val="17D8C71B"/>
    <w:rsid w:val="17D92AF5"/>
    <w:rsid w:val="17DA3A1B"/>
    <w:rsid w:val="17DC7BFD"/>
    <w:rsid w:val="17E486F2"/>
    <w:rsid w:val="17E6D713"/>
    <w:rsid w:val="17E8EA69"/>
    <w:rsid w:val="17E9C2A6"/>
    <w:rsid w:val="17F114F0"/>
    <w:rsid w:val="17F38E60"/>
    <w:rsid w:val="17F5EE2F"/>
    <w:rsid w:val="17F98777"/>
    <w:rsid w:val="17FB97A9"/>
    <w:rsid w:val="17FCE54D"/>
    <w:rsid w:val="17FF7E9E"/>
    <w:rsid w:val="18002BD6"/>
    <w:rsid w:val="18007FF7"/>
    <w:rsid w:val="18029D21"/>
    <w:rsid w:val="1802A49D"/>
    <w:rsid w:val="1803004E"/>
    <w:rsid w:val="18030DDB"/>
    <w:rsid w:val="18032E38"/>
    <w:rsid w:val="18038C8B"/>
    <w:rsid w:val="1804D97F"/>
    <w:rsid w:val="180CBBBA"/>
    <w:rsid w:val="180FD0D1"/>
    <w:rsid w:val="181B4C67"/>
    <w:rsid w:val="181B6231"/>
    <w:rsid w:val="1824852D"/>
    <w:rsid w:val="1828D35C"/>
    <w:rsid w:val="1832641D"/>
    <w:rsid w:val="1833BB08"/>
    <w:rsid w:val="183AAD8B"/>
    <w:rsid w:val="183B99DE"/>
    <w:rsid w:val="183E4A14"/>
    <w:rsid w:val="183EFA03"/>
    <w:rsid w:val="1843F31F"/>
    <w:rsid w:val="18498683"/>
    <w:rsid w:val="184A5931"/>
    <w:rsid w:val="185059D9"/>
    <w:rsid w:val="185142D2"/>
    <w:rsid w:val="185549BA"/>
    <w:rsid w:val="1856A14A"/>
    <w:rsid w:val="185A05DC"/>
    <w:rsid w:val="185A3BC7"/>
    <w:rsid w:val="185B772A"/>
    <w:rsid w:val="185E509C"/>
    <w:rsid w:val="185F8CE9"/>
    <w:rsid w:val="18605327"/>
    <w:rsid w:val="18611EFA"/>
    <w:rsid w:val="1861B1F0"/>
    <w:rsid w:val="18624A95"/>
    <w:rsid w:val="1862C26D"/>
    <w:rsid w:val="186816E0"/>
    <w:rsid w:val="186AF92F"/>
    <w:rsid w:val="186AFD82"/>
    <w:rsid w:val="18796C1C"/>
    <w:rsid w:val="18838FFB"/>
    <w:rsid w:val="18841351"/>
    <w:rsid w:val="188541CF"/>
    <w:rsid w:val="18875E24"/>
    <w:rsid w:val="188B90D1"/>
    <w:rsid w:val="188CF1C2"/>
    <w:rsid w:val="188D0A00"/>
    <w:rsid w:val="18900303"/>
    <w:rsid w:val="1892289B"/>
    <w:rsid w:val="189432D4"/>
    <w:rsid w:val="189C9E71"/>
    <w:rsid w:val="189E9EAE"/>
    <w:rsid w:val="18A0CE7E"/>
    <w:rsid w:val="18A3E661"/>
    <w:rsid w:val="18ADC1C2"/>
    <w:rsid w:val="18B9C99D"/>
    <w:rsid w:val="18BA507A"/>
    <w:rsid w:val="18BAAAB0"/>
    <w:rsid w:val="18BB00CE"/>
    <w:rsid w:val="18BDF17F"/>
    <w:rsid w:val="18C07F2F"/>
    <w:rsid w:val="18C1C1A2"/>
    <w:rsid w:val="18C22E79"/>
    <w:rsid w:val="18C997D5"/>
    <w:rsid w:val="18CCDD8D"/>
    <w:rsid w:val="18CECAD7"/>
    <w:rsid w:val="18CFD654"/>
    <w:rsid w:val="18D0896F"/>
    <w:rsid w:val="18D183A7"/>
    <w:rsid w:val="18D46222"/>
    <w:rsid w:val="18D84F3E"/>
    <w:rsid w:val="18E45955"/>
    <w:rsid w:val="18E5DAFF"/>
    <w:rsid w:val="18EB8317"/>
    <w:rsid w:val="18F1C447"/>
    <w:rsid w:val="18F2AF5D"/>
    <w:rsid w:val="18F30B70"/>
    <w:rsid w:val="18F3C2E3"/>
    <w:rsid w:val="18F40A7A"/>
    <w:rsid w:val="18F7C51E"/>
    <w:rsid w:val="18F99D4C"/>
    <w:rsid w:val="18FCFB58"/>
    <w:rsid w:val="18FF7CBA"/>
    <w:rsid w:val="1906DAF7"/>
    <w:rsid w:val="1906E94E"/>
    <w:rsid w:val="190A40D2"/>
    <w:rsid w:val="190D363E"/>
    <w:rsid w:val="19148B0E"/>
    <w:rsid w:val="19163CB4"/>
    <w:rsid w:val="1918736F"/>
    <w:rsid w:val="19240F60"/>
    <w:rsid w:val="1924BA72"/>
    <w:rsid w:val="1925818D"/>
    <w:rsid w:val="19264531"/>
    <w:rsid w:val="19270459"/>
    <w:rsid w:val="192BBCDE"/>
    <w:rsid w:val="19363000"/>
    <w:rsid w:val="193BBDC5"/>
    <w:rsid w:val="193CA165"/>
    <w:rsid w:val="193FACCE"/>
    <w:rsid w:val="19474BAF"/>
    <w:rsid w:val="1947831E"/>
    <w:rsid w:val="1949622E"/>
    <w:rsid w:val="1949B710"/>
    <w:rsid w:val="194D443D"/>
    <w:rsid w:val="19543FC9"/>
    <w:rsid w:val="19574971"/>
    <w:rsid w:val="195752CA"/>
    <w:rsid w:val="1957A4F6"/>
    <w:rsid w:val="1963CF24"/>
    <w:rsid w:val="1963FA69"/>
    <w:rsid w:val="1964E75D"/>
    <w:rsid w:val="1965ECAE"/>
    <w:rsid w:val="196ABF06"/>
    <w:rsid w:val="196AFED6"/>
    <w:rsid w:val="196E2D63"/>
    <w:rsid w:val="1971B879"/>
    <w:rsid w:val="1972EB12"/>
    <w:rsid w:val="1973A808"/>
    <w:rsid w:val="1974CF05"/>
    <w:rsid w:val="1974D78B"/>
    <w:rsid w:val="19750230"/>
    <w:rsid w:val="19752042"/>
    <w:rsid w:val="197779DF"/>
    <w:rsid w:val="197B488D"/>
    <w:rsid w:val="197CEC66"/>
    <w:rsid w:val="197D7C6B"/>
    <w:rsid w:val="19847FA8"/>
    <w:rsid w:val="198B54B5"/>
    <w:rsid w:val="1994C056"/>
    <w:rsid w:val="199900CA"/>
    <w:rsid w:val="19996207"/>
    <w:rsid w:val="199FE039"/>
    <w:rsid w:val="19A0DDF2"/>
    <w:rsid w:val="19A433CA"/>
    <w:rsid w:val="19A4D9B6"/>
    <w:rsid w:val="19A52466"/>
    <w:rsid w:val="19A52F17"/>
    <w:rsid w:val="19A6971A"/>
    <w:rsid w:val="19A73AD3"/>
    <w:rsid w:val="19A794AA"/>
    <w:rsid w:val="19AA521B"/>
    <w:rsid w:val="19B0563E"/>
    <w:rsid w:val="19B15EA4"/>
    <w:rsid w:val="19B2A51E"/>
    <w:rsid w:val="19B392B7"/>
    <w:rsid w:val="19B8B130"/>
    <w:rsid w:val="19BADD39"/>
    <w:rsid w:val="19BBD830"/>
    <w:rsid w:val="19BC6CBD"/>
    <w:rsid w:val="19BE6FF9"/>
    <w:rsid w:val="19C50AC7"/>
    <w:rsid w:val="19C54802"/>
    <w:rsid w:val="19C90B4D"/>
    <w:rsid w:val="19D07F99"/>
    <w:rsid w:val="19D4AB74"/>
    <w:rsid w:val="19D5C6F1"/>
    <w:rsid w:val="19D65044"/>
    <w:rsid w:val="19D68346"/>
    <w:rsid w:val="19DBAE72"/>
    <w:rsid w:val="19DD1832"/>
    <w:rsid w:val="19DE0ECF"/>
    <w:rsid w:val="19E23B1C"/>
    <w:rsid w:val="19E23CDD"/>
    <w:rsid w:val="19E687F9"/>
    <w:rsid w:val="19EBF64C"/>
    <w:rsid w:val="19ECAE48"/>
    <w:rsid w:val="19ED6257"/>
    <w:rsid w:val="19F490A0"/>
    <w:rsid w:val="19F746DA"/>
    <w:rsid w:val="19FF3E14"/>
    <w:rsid w:val="1A0821B6"/>
    <w:rsid w:val="1A099749"/>
    <w:rsid w:val="1A0AEA07"/>
    <w:rsid w:val="1A0B14D9"/>
    <w:rsid w:val="1A0C8A09"/>
    <w:rsid w:val="1A0C9488"/>
    <w:rsid w:val="1A16AC93"/>
    <w:rsid w:val="1A188D37"/>
    <w:rsid w:val="1A1BE956"/>
    <w:rsid w:val="1A1F91C3"/>
    <w:rsid w:val="1A201ECD"/>
    <w:rsid w:val="1A243E4D"/>
    <w:rsid w:val="1A267F9C"/>
    <w:rsid w:val="1A278DAA"/>
    <w:rsid w:val="1A28930D"/>
    <w:rsid w:val="1A29AB24"/>
    <w:rsid w:val="1A2B8A20"/>
    <w:rsid w:val="1A2C23D7"/>
    <w:rsid w:val="1A3025F5"/>
    <w:rsid w:val="1A30FDBA"/>
    <w:rsid w:val="1A354402"/>
    <w:rsid w:val="1A3AC3EC"/>
    <w:rsid w:val="1A3C1CAE"/>
    <w:rsid w:val="1A3DBA21"/>
    <w:rsid w:val="1A43DBCD"/>
    <w:rsid w:val="1A446C70"/>
    <w:rsid w:val="1A480F8F"/>
    <w:rsid w:val="1A50A55B"/>
    <w:rsid w:val="1A53EC3A"/>
    <w:rsid w:val="1A54AD51"/>
    <w:rsid w:val="1A550E93"/>
    <w:rsid w:val="1A55F1EB"/>
    <w:rsid w:val="1A57903C"/>
    <w:rsid w:val="1A6311A4"/>
    <w:rsid w:val="1A63DC94"/>
    <w:rsid w:val="1A66F2AB"/>
    <w:rsid w:val="1A67AD27"/>
    <w:rsid w:val="1A69E17C"/>
    <w:rsid w:val="1A72741B"/>
    <w:rsid w:val="1A7504B6"/>
    <w:rsid w:val="1A775B15"/>
    <w:rsid w:val="1A784D56"/>
    <w:rsid w:val="1A7DDD37"/>
    <w:rsid w:val="1A8029F1"/>
    <w:rsid w:val="1A816304"/>
    <w:rsid w:val="1A81C192"/>
    <w:rsid w:val="1A82F076"/>
    <w:rsid w:val="1A847075"/>
    <w:rsid w:val="1A87C8EC"/>
    <w:rsid w:val="1A8A2C89"/>
    <w:rsid w:val="1A8B7576"/>
    <w:rsid w:val="1A8C118C"/>
    <w:rsid w:val="1A8DD6A1"/>
    <w:rsid w:val="1A93066B"/>
    <w:rsid w:val="1A94780B"/>
    <w:rsid w:val="1A96809D"/>
    <w:rsid w:val="1A9E151A"/>
    <w:rsid w:val="1A9EA389"/>
    <w:rsid w:val="1AA2214F"/>
    <w:rsid w:val="1AA49AC8"/>
    <w:rsid w:val="1AA5DE91"/>
    <w:rsid w:val="1AA77FF2"/>
    <w:rsid w:val="1AACFA4B"/>
    <w:rsid w:val="1AAD53CB"/>
    <w:rsid w:val="1AAE2A7C"/>
    <w:rsid w:val="1AB1142F"/>
    <w:rsid w:val="1AB38CE1"/>
    <w:rsid w:val="1AB3C7EF"/>
    <w:rsid w:val="1AB4D2B2"/>
    <w:rsid w:val="1AB57C2E"/>
    <w:rsid w:val="1AB5CA9C"/>
    <w:rsid w:val="1AB85276"/>
    <w:rsid w:val="1ABAAB82"/>
    <w:rsid w:val="1ABC0727"/>
    <w:rsid w:val="1AC001CD"/>
    <w:rsid w:val="1AC27646"/>
    <w:rsid w:val="1AC8C249"/>
    <w:rsid w:val="1AC9756F"/>
    <w:rsid w:val="1AD0E903"/>
    <w:rsid w:val="1AD1B801"/>
    <w:rsid w:val="1ADB83C0"/>
    <w:rsid w:val="1ADCFCFA"/>
    <w:rsid w:val="1ADF6674"/>
    <w:rsid w:val="1AE03C41"/>
    <w:rsid w:val="1AE83159"/>
    <w:rsid w:val="1AE86167"/>
    <w:rsid w:val="1AE9AB64"/>
    <w:rsid w:val="1AEC21DE"/>
    <w:rsid w:val="1AED010E"/>
    <w:rsid w:val="1AF1FDE1"/>
    <w:rsid w:val="1AF2B10F"/>
    <w:rsid w:val="1AF32BE0"/>
    <w:rsid w:val="1AF765E2"/>
    <w:rsid w:val="1AFD0037"/>
    <w:rsid w:val="1AFD021C"/>
    <w:rsid w:val="1AFD3508"/>
    <w:rsid w:val="1AFD46BC"/>
    <w:rsid w:val="1AFE12EC"/>
    <w:rsid w:val="1B00CB11"/>
    <w:rsid w:val="1B04CE1F"/>
    <w:rsid w:val="1B06A444"/>
    <w:rsid w:val="1B078C4C"/>
    <w:rsid w:val="1B07D884"/>
    <w:rsid w:val="1B103312"/>
    <w:rsid w:val="1B114B1C"/>
    <w:rsid w:val="1B1898F1"/>
    <w:rsid w:val="1B1951DB"/>
    <w:rsid w:val="1B198875"/>
    <w:rsid w:val="1B1A3259"/>
    <w:rsid w:val="1B1FD999"/>
    <w:rsid w:val="1B231EA9"/>
    <w:rsid w:val="1B263652"/>
    <w:rsid w:val="1B28DF7A"/>
    <w:rsid w:val="1B30C090"/>
    <w:rsid w:val="1B317EB4"/>
    <w:rsid w:val="1B36AE56"/>
    <w:rsid w:val="1B374A09"/>
    <w:rsid w:val="1B418D52"/>
    <w:rsid w:val="1B426C08"/>
    <w:rsid w:val="1B4AA649"/>
    <w:rsid w:val="1B4F1C0D"/>
    <w:rsid w:val="1B51AA08"/>
    <w:rsid w:val="1B5286A4"/>
    <w:rsid w:val="1B53E3A7"/>
    <w:rsid w:val="1B597489"/>
    <w:rsid w:val="1B5A9F75"/>
    <w:rsid w:val="1B5B1E49"/>
    <w:rsid w:val="1B5DE018"/>
    <w:rsid w:val="1B613ED9"/>
    <w:rsid w:val="1B681C92"/>
    <w:rsid w:val="1B71F7A0"/>
    <w:rsid w:val="1B74367B"/>
    <w:rsid w:val="1B793CAB"/>
    <w:rsid w:val="1B7A873E"/>
    <w:rsid w:val="1B7C6E53"/>
    <w:rsid w:val="1B7F07A3"/>
    <w:rsid w:val="1B80C1E7"/>
    <w:rsid w:val="1B89CB43"/>
    <w:rsid w:val="1B8C4C2E"/>
    <w:rsid w:val="1B8C73D2"/>
    <w:rsid w:val="1B90ACF1"/>
    <w:rsid w:val="1B91E1FC"/>
    <w:rsid w:val="1B9228E3"/>
    <w:rsid w:val="1B926592"/>
    <w:rsid w:val="1B9877AA"/>
    <w:rsid w:val="1BA0CA61"/>
    <w:rsid w:val="1BA26F35"/>
    <w:rsid w:val="1BA51EA3"/>
    <w:rsid w:val="1BA5693E"/>
    <w:rsid w:val="1BA94E4D"/>
    <w:rsid w:val="1BAFBCEB"/>
    <w:rsid w:val="1BB7F27D"/>
    <w:rsid w:val="1BBB31C9"/>
    <w:rsid w:val="1BBBDB85"/>
    <w:rsid w:val="1BBC5B40"/>
    <w:rsid w:val="1BBEE6C4"/>
    <w:rsid w:val="1BBF44A5"/>
    <w:rsid w:val="1BC170F2"/>
    <w:rsid w:val="1BC6491F"/>
    <w:rsid w:val="1BC862A4"/>
    <w:rsid w:val="1BCBDD76"/>
    <w:rsid w:val="1BCD1C6A"/>
    <w:rsid w:val="1BCF1E45"/>
    <w:rsid w:val="1BD81415"/>
    <w:rsid w:val="1BDA5DF5"/>
    <w:rsid w:val="1BDB4CF8"/>
    <w:rsid w:val="1BDC2707"/>
    <w:rsid w:val="1BDC89D1"/>
    <w:rsid w:val="1BDDEA2F"/>
    <w:rsid w:val="1BE6B273"/>
    <w:rsid w:val="1BEA92BA"/>
    <w:rsid w:val="1BEAAC80"/>
    <w:rsid w:val="1BEBCBDE"/>
    <w:rsid w:val="1BF063C0"/>
    <w:rsid w:val="1BF31C44"/>
    <w:rsid w:val="1BF68444"/>
    <w:rsid w:val="1BFB2252"/>
    <w:rsid w:val="1BFEF382"/>
    <w:rsid w:val="1BFF2AED"/>
    <w:rsid w:val="1C048BDF"/>
    <w:rsid w:val="1C04FFA6"/>
    <w:rsid w:val="1C063D9B"/>
    <w:rsid w:val="1C06D950"/>
    <w:rsid w:val="1C0D2C25"/>
    <w:rsid w:val="1C14EF4B"/>
    <w:rsid w:val="1C15C77E"/>
    <w:rsid w:val="1C169880"/>
    <w:rsid w:val="1C16E1EF"/>
    <w:rsid w:val="1C191839"/>
    <w:rsid w:val="1C1BB755"/>
    <w:rsid w:val="1C1C561E"/>
    <w:rsid w:val="1C1E8021"/>
    <w:rsid w:val="1C280A02"/>
    <w:rsid w:val="1C2A2B89"/>
    <w:rsid w:val="1C2E01D3"/>
    <w:rsid w:val="1C312176"/>
    <w:rsid w:val="1C3125FB"/>
    <w:rsid w:val="1C33EEC8"/>
    <w:rsid w:val="1C3A5D9B"/>
    <w:rsid w:val="1C3C96E7"/>
    <w:rsid w:val="1C3E98D7"/>
    <w:rsid w:val="1C4017C6"/>
    <w:rsid w:val="1C4321A4"/>
    <w:rsid w:val="1C455F4E"/>
    <w:rsid w:val="1C48D624"/>
    <w:rsid w:val="1C4934DD"/>
    <w:rsid w:val="1C509216"/>
    <w:rsid w:val="1C50A98B"/>
    <w:rsid w:val="1C529E02"/>
    <w:rsid w:val="1C5B4F59"/>
    <w:rsid w:val="1C5E8A30"/>
    <w:rsid w:val="1C5FF582"/>
    <w:rsid w:val="1C60D4C3"/>
    <w:rsid w:val="1C67954F"/>
    <w:rsid w:val="1C69D63F"/>
    <w:rsid w:val="1C6A4981"/>
    <w:rsid w:val="1C6C78B3"/>
    <w:rsid w:val="1C6EA1CE"/>
    <w:rsid w:val="1C77A9CE"/>
    <w:rsid w:val="1C79D43C"/>
    <w:rsid w:val="1C7C9513"/>
    <w:rsid w:val="1C7CBC1D"/>
    <w:rsid w:val="1C7CF09E"/>
    <w:rsid w:val="1C7FD80F"/>
    <w:rsid w:val="1C805BA5"/>
    <w:rsid w:val="1C85AFB5"/>
    <w:rsid w:val="1C87F6E5"/>
    <w:rsid w:val="1C893DB3"/>
    <w:rsid w:val="1C8BA9C0"/>
    <w:rsid w:val="1C8CA2F8"/>
    <w:rsid w:val="1C8DAD62"/>
    <w:rsid w:val="1C8E4268"/>
    <w:rsid w:val="1C8EC780"/>
    <w:rsid w:val="1C90D273"/>
    <w:rsid w:val="1C91A2F8"/>
    <w:rsid w:val="1C937834"/>
    <w:rsid w:val="1C938405"/>
    <w:rsid w:val="1C9415AC"/>
    <w:rsid w:val="1C966AB3"/>
    <w:rsid w:val="1C9FEB02"/>
    <w:rsid w:val="1CA1A7FB"/>
    <w:rsid w:val="1CA1C292"/>
    <w:rsid w:val="1CA2C8A8"/>
    <w:rsid w:val="1CA75916"/>
    <w:rsid w:val="1CAA3E03"/>
    <w:rsid w:val="1CACC1F2"/>
    <w:rsid w:val="1CB62ADD"/>
    <w:rsid w:val="1CBCEE12"/>
    <w:rsid w:val="1CBEA5DE"/>
    <w:rsid w:val="1CC1808C"/>
    <w:rsid w:val="1CCA1406"/>
    <w:rsid w:val="1CCD4101"/>
    <w:rsid w:val="1CCE65BB"/>
    <w:rsid w:val="1CD2D577"/>
    <w:rsid w:val="1CD40B0B"/>
    <w:rsid w:val="1CD70790"/>
    <w:rsid w:val="1CD77955"/>
    <w:rsid w:val="1CD99E2D"/>
    <w:rsid w:val="1CDC2AA3"/>
    <w:rsid w:val="1CDF6023"/>
    <w:rsid w:val="1CE258F2"/>
    <w:rsid w:val="1CE325EC"/>
    <w:rsid w:val="1CE53657"/>
    <w:rsid w:val="1CF1094E"/>
    <w:rsid w:val="1CF77393"/>
    <w:rsid w:val="1CFDDA8D"/>
    <w:rsid w:val="1D00BF75"/>
    <w:rsid w:val="1D03B91D"/>
    <w:rsid w:val="1D0A0973"/>
    <w:rsid w:val="1D0A59FD"/>
    <w:rsid w:val="1D0A9A19"/>
    <w:rsid w:val="1D12FCBE"/>
    <w:rsid w:val="1D163E61"/>
    <w:rsid w:val="1D164745"/>
    <w:rsid w:val="1D16B320"/>
    <w:rsid w:val="1D1A371F"/>
    <w:rsid w:val="1D1C4ECC"/>
    <w:rsid w:val="1D1CD2D0"/>
    <w:rsid w:val="1D212FE8"/>
    <w:rsid w:val="1D217058"/>
    <w:rsid w:val="1D235AA9"/>
    <w:rsid w:val="1D2D7ACE"/>
    <w:rsid w:val="1D2DB34B"/>
    <w:rsid w:val="1D3736BD"/>
    <w:rsid w:val="1D39C0D8"/>
    <w:rsid w:val="1D3BC562"/>
    <w:rsid w:val="1D3C7852"/>
    <w:rsid w:val="1D409641"/>
    <w:rsid w:val="1D454251"/>
    <w:rsid w:val="1D4BDEEA"/>
    <w:rsid w:val="1D4E57AB"/>
    <w:rsid w:val="1D4EB26C"/>
    <w:rsid w:val="1D4F0521"/>
    <w:rsid w:val="1D51CD42"/>
    <w:rsid w:val="1D537CE8"/>
    <w:rsid w:val="1D577097"/>
    <w:rsid w:val="1D57ABF8"/>
    <w:rsid w:val="1D583114"/>
    <w:rsid w:val="1D602253"/>
    <w:rsid w:val="1D65B75F"/>
    <w:rsid w:val="1D691490"/>
    <w:rsid w:val="1D69CB4D"/>
    <w:rsid w:val="1D6C0690"/>
    <w:rsid w:val="1D6E297E"/>
    <w:rsid w:val="1D724AD9"/>
    <w:rsid w:val="1D75EA2B"/>
    <w:rsid w:val="1D7949AF"/>
    <w:rsid w:val="1D7BB956"/>
    <w:rsid w:val="1D7C0486"/>
    <w:rsid w:val="1D7DAFE2"/>
    <w:rsid w:val="1D824F0D"/>
    <w:rsid w:val="1D825E5C"/>
    <w:rsid w:val="1D86EA67"/>
    <w:rsid w:val="1D8B84C1"/>
    <w:rsid w:val="1D8D5252"/>
    <w:rsid w:val="1D8EC77E"/>
    <w:rsid w:val="1D93215C"/>
    <w:rsid w:val="1D955B63"/>
    <w:rsid w:val="1D969702"/>
    <w:rsid w:val="1D98DE56"/>
    <w:rsid w:val="1D9E6D3E"/>
    <w:rsid w:val="1D9FCC31"/>
    <w:rsid w:val="1DA05AF1"/>
    <w:rsid w:val="1DA30470"/>
    <w:rsid w:val="1DA806ED"/>
    <w:rsid w:val="1DA843B2"/>
    <w:rsid w:val="1DA8AB29"/>
    <w:rsid w:val="1DA90920"/>
    <w:rsid w:val="1DAC51AF"/>
    <w:rsid w:val="1DB219E3"/>
    <w:rsid w:val="1DB2F9F6"/>
    <w:rsid w:val="1DB50560"/>
    <w:rsid w:val="1DB74FEA"/>
    <w:rsid w:val="1DB9E5CD"/>
    <w:rsid w:val="1DBE8A65"/>
    <w:rsid w:val="1DBFC1AB"/>
    <w:rsid w:val="1DCEEB49"/>
    <w:rsid w:val="1DD1933F"/>
    <w:rsid w:val="1DD51E01"/>
    <w:rsid w:val="1DD62727"/>
    <w:rsid w:val="1DDAEE34"/>
    <w:rsid w:val="1DDF5120"/>
    <w:rsid w:val="1DE11510"/>
    <w:rsid w:val="1DE5DD16"/>
    <w:rsid w:val="1DED0CFF"/>
    <w:rsid w:val="1DEDED69"/>
    <w:rsid w:val="1DF2A31C"/>
    <w:rsid w:val="1DF50E7E"/>
    <w:rsid w:val="1DF71DEA"/>
    <w:rsid w:val="1DF73BAF"/>
    <w:rsid w:val="1DF79C7E"/>
    <w:rsid w:val="1DFA0CCB"/>
    <w:rsid w:val="1DFAF3E7"/>
    <w:rsid w:val="1DFBE22C"/>
    <w:rsid w:val="1DFD8DF5"/>
    <w:rsid w:val="1E032637"/>
    <w:rsid w:val="1E08971B"/>
    <w:rsid w:val="1E08BE73"/>
    <w:rsid w:val="1E0D2C37"/>
    <w:rsid w:val="1E11131B"/>
    <w:rsid w:val="1E1C7412"/>
    <w:rsid w:val="1E1C8F75"/>
    <w:rsid w:val="1E215155"/>
    <w:rsid w:val="1E237BC6"/>
    <w:rsid w:val="1E27D19A"/>
    <w:rsid w:val="1E2E27D7"/>
    <w:rsid w:val="1E2F8E86"/>
    <w:rsid w:val="1E320810"/>
    <w:rsid w:val="1E33C088"/>
    <w:rsid w:val="1E3865B9"/>
    <w:rsid w:val="1E3B38C0"/>
    <w:rsid w:val="1E3C702D"/>
    <w:rsid w:val="1E3CC2EF"/>
    <w:rsid w:val="1E40B60B"/>
    <w:rsid w:val="1E4155D8"/>
    <w:rsid w:val="1E4191FD"/>
    <w:rsid w:val="1E48E2E9"/>
    <w:rsid w:val="1E49786E"/>
    <w:rsid w:val="1E4D1732"/>
    <w:rsid w:val="1E4FA704"/>
    <w:rsid w:val="1E4FAC80"/>
    <w:rsid w:val="1E54AF62"/>
    <w:rsid w:val="1E554F01"/>
    <w:rsid w:val="1E56B370"/>
    <w:rsid w:val="1E5AB6AB"/>
    <w:rsid w:val="1E658C25"/>
    <w:rsid w:val="1E685C65"/>
    <w:rsid w:val="1E686CA6"/>
    <w:rsid w:val="1E6C3847"/>
    <w:rsid w:val="1E6E29E0"/>
    <w:rsid w:val="1E6E4DD7"/>
    <w:rsid w:val="1E6F2D73"/>
    <w:rsid w:val="1E72C2A6"/>
    <w:rsid w:val="1E73780F"/>
    <w:rsid w:val="1E74641A"/>
    <w:rsid w:val="1E77B126"/>
    <w:rsid w:val="1E7F38FB"/>
    <w:rsid w:val="1E800692"/>
    <w:rsid w:val="1E83ABDC"/>
    <w:rsid w:val="1E954767"/>
    <w:rsid w:val="1E96A494"/>
    <w:rsid w:val="1E96B798"/>
    <w:rsid w:val="1E9BDDD9"/>
    <w:rsid w:val="1E9CE1BC"/>
    <w:rsid w:val="1EA1558A"/>
    <w:rsid w:val="1EA78CD8"/>
    <w:rsid w:val="1EA88288"/>
    <w:rsid w:val="1EAD202D"/>
    <w:rsid w:val="1EAFF462"/>
    <w:rsid w:val="1EB7AFB2"/>
    <w:rsid w:val="1EB9F9F6"/>
    <w:rsid w:val="1EBA040E"/>
    <w:rsid w:val="1EBF8F93"/>
    <w:rsid w:val="1EBFE636"/>
    <w:rsid w:val="1EC2A785"/>
    <w:rsid w:val="1EC86C8E"/>
    <w:rsid w:val="1EC8D8B6"/>
    <w:rsid w:val="1ECCBD79"/>
    <w:rsid w:val="1ED29C4E"/>
    <w:rsid w:val="1ED4180B"/>
    <w:rsid w:val="1ED492BC"/>
    <w:rsid w:val="1ED49635"/>
    <w:rsid w:val="1EDC7BAB"/>
    <w:rsid w:val="1EE0230C"/>
    <w:rsid w:val="1EE3A877"/>
    <w:rsid w:val="1EE5BEB8"/>
    <w:rsid w:val="1EE9D8FA"/>
    <w:rsid w:val="1EEBCC53"/>
    <w:rsid w:val="1EEC3938"/>
    <w:rsid w:val="1EED6625"/>
    <w:rsid w:val="1EF0428C"/>
    <w:rsid w:val="1EF1894B"/>
    <w:rsid w:val="1EF32111"/>
    <w:rsid w:val="1EF762AF"/>
    <w:rsid w:val="1EF795DE"/>
    <w:rsid w:val="1EFCFC50"/>
    <w:rsid w:val="1EFEB7C3"/>
    <w:rsid w:val="1F027899"/>
    <w:rsid w:val="1F036509"/>
    <w:rsid w:val="1F05806C"/>
    <w:rsid w:val="1F08BBD6"/>
    <w:rsid w:val="1F0A2980"/>
    <w:rsid w:val="1F0A7092"/>
    <w:rsid w:val="1F0BC713"/>
    <w:rsid w:val="1F0C27FD"/>
    <w:rsid w:val="1F0CB386"/>
    <w:rsid w:val="1F0F84A9"/>
    <w:rsid w:val="1F1A7E6E"/>
    <w:rsid w:val="1F1E4BE9"/>
    <w:rsid w:val="1F1F6482"/>
    <w:rsid w:val="1F1F8DAD"/>
    <w:rsid w:val="1F2121F3"/>
    <w:rsid w:val="1F22AC1D"/>
    <w:rsid w:val="1F233400"/>
    <w:rsid w:val="1F23ABD6"/>
    <w:rsid w:val="1F263357"/>
    <w:rsid w:val="1F27CD26"/>
    <w:rsid w:val="1F2C1433"/>
    <w:rsid w:val="1F2C46ED"/>
    <w:rsid w:val="1F2D12F9"/>
    <w:rsid w:val="1F2DC333"/>
    <w:rsid w:val="1F2F8B08"/>
    <w:rsid w:val="1F33462B"/>
    <w:rsid w:val="1F358AA8"/>
    <w:rsid w:val="1F3BE320"/>
    <w:rsid w:val="1F3E1037"/>
    <w:rsid w:val="1F418064"/>
    <w:rsid w:val="1F43F9A2"/>
    <w:rsid w:val="1F44E079"/>
    <w:rsid w:val="1F4520CA"/>
    <w:rsid w:val="1F4739B1"/>
    <w:rsid w:val="1F47AD02"/>
    <w:rsid w:val="1F4837A9"/>
    <w:rsid w:val="1F4CCA02"/>
    <w:rsid w:val="1F4EDF84"/>
    <w:rsid w:val="1F4F803C"/>
    <w:rsid w:val="1F4FA98D"/>
    <w:rsid w:val="1F5186E9"/>
    <w:rsid w:val="1F52A476"/>
    <w:rsid w:val="1F58CC20"/>
    <w:rsid w:val="1F5965F2"/>
    <w:rsid w:val="1F59A3B9"/>
    <w:rsid w:val="1F5BE929"/>
    <w:rsid w:val="1F5BFF22"/>
    <w:rsid w:val="1F5C0D94"/>
    <w:rsid w:val="1F5DE98D"/>
    <w:rsid w:val="1F5DFCE7"/>
    <w:rsid w:val="1F62F448"/>
    <w:rsid w:val="1F6331B6"/>
    <w:rsid w:val="1F63BE70"/>
    <w:rsid w:val="1F648EC9"/>
    <w:rsid w:val="1F67DFF9"/>
    <w:rsid w:val="1F6A680E"/>
    <w:rsid w:val="1F6C9E40"/>
    <w:rsid w:val="1F732142"/>
    <w:rsid w:val="1F7634AF"/>
    <w:rsid w:val="1F76820A"/>
    <w:rsid w:val="1F797EB0"/>
    <w:rsid w:val="1F7A3FA0"/>
    <w:rsid w:val="1F7B186C"/>
    <w:rsid w:val="1F7CB989"/>
    <w:rsid w:val="1F7D7F8E"/>
    <w:rsid w:val="1F816535"/>
    <w:rsid w:val="1F884C5A"/>
    <w:rsid w:val="1F8EACA2"/>
    <w:rsid w:val="1F8EBBC7"/>
    <w:rsid w:val="1F90A10B"/>
    <w:rsid w:val="1F90A7D7"/>
    <w:rsid w:val="1F91E9D3"/>
    <w:rsid w:val="1F9C6CF4"/>
    <w:rsid w:val="1F9DB05B"/>
    <w:rsid w:val="1F9DED50"/>
    <w:rsid w:val="1FA0252F"/>
    <w:rsid w:val="1FA1B92F"/>
    <w:rsid w:val="1FA3D089"/>
    <w:rsid w:val="1FA6E742"/>
    <w:rsid w:val="1FA77A1D"/>
    <w:rsid w:val="1FABD48A"/>
    <w:rsid w:val="1FACA059"/>
    <w:rsid w:val="1FAF2DC5"/>
    <w:rsid w:val="1FB341D5"/>
    <w:rsid w:val="1FBABCA0"/>
    <w:rsid w:val="1FBBEF90"/>
    <w:rsid w:val="1FBED64B"/>
    <w:rsid w:val="1FC28CF2"/>
    <w:rsid w:val="1FC6E6AC"/>
    <w:rsid w:val="1FC84072"/>
    <w:rsid w:val="1FCCA15B"/>
    <w:rsid w:val="1FD2F924"/>
    <w:rsid w:val="1FD34E99"/>
    <w:rsid w:val="1FD388C7"/>
    <w:rsid w:val="1FD5A24C"/>
    <w:rsid w:val="1FD88463"/>
    <w:rsid w:val="1FD96220"/>
    <w:rsid w:val="1FDA9B14"/>
    <w:rsid w:val="1FDD2BA6"/>
    <w:rsid w:val="1FE7D210"/>
    <w:rsid w:val="1FE9D81C"/>
    <w:rsid w:val="1FF7A236"/>
    <w:rsid w:val="1FF9204F"/>
    <w:rsid w:val="1FFD2AFD"/>
    <w:rsid w:val="1FFEA8E4"/>
    <w:rsid w:val="20002C13"/>
    <w:rsid w:val="2001BD70"/>
    <w:rsid w:val="200568C2"/>
    <w:rsid w:val="200B4A1B"/>
    <w:rsid w:val="200C2E57"/>
    <w:rsid w:val="200CD0F3"/>
    <w:rsid w:val="200CE4CD"/>
    <w:rsid w:val="2012821A"/>
    <w:rsid w:val="2016A844"/>
    <w:rsid w:val="201A0690"/>
    <w:rsid w:val="201B4C79"/>
    <w:rsid w:val="20229A6D"/>
    <w:rsid w:val="2024AAE8"/>
    <w:rsid w:val="2025525B"/>
    <w:rsid w:val="2026C5C1"/>
    <w:rsid w:val="202816BB"/>
    <w:rsid w:val="20293E30"/>
    <w:rsid w:val="202FDF5A"/>
    <w:rsid w:val="20304A9E"/>
    <w:rsid w:val="2032DF70"/>
    <w:rsid w:val="20358519"/>
    <w:rsid w:val="20383D34"/>
    <w:rsid w:val="20386505"/>
    <w:rsid w:val="2038C2A3"/>
    <w:rsid w:val="203BDEFC"/>
    <w:rsid w:val="20462079"/>
    <w:rsid w:val="20468F2B"/>
    <w:rsid w:val="2048A9A1"/>
    <w:rsid w:val="204ED535"/>
    <w:rsid w:val="2051C02A"/>
    <w:rsid w:val="2052725E"/>
    <w:rsid w:val="2053102E"/>
    <w:rsid w:val="20553FA2"/>
    <w:rsid w:val="20588A09"/>
    <w:rsid w:val="2058C857"/>
    <w:rsid w:val="205C3096"/>
    <w:rsid w:val="205D171E"/>
    <w:rsid w:val="205D4EB6"/>
    <w:rsid w:val="205DE193"/>
    <w:rsid w:val="205EEF4D"/>
    <w:rsid w:val="205F1CFC"/>
    <w:rsid w:val="2063F20A"/>
    <w:rsid w:val="20648E1A"/>
    <w:rsid w:val="2066D2E6"/>
    <w:rsid w:val="20678FD9"/>
    <w:rsid w:val="206E1817"/>
    <w:rsid w:val="2070ABE8"/>
    <w:rsid w:val="20712A0F"/>
    <w:rsid w:val="2076776F"/>
    <w:rsid w:val="20797ECC"/>
    <w:rsid w:val="207E1726"/>
    <w:rsid w:val="2086D2F9"/>
    <w:rsid w:val="208AC18D"/>
    <w:rsid w:val="208D7F72"/>
    <w:rsid w:val="208FE1C8"/>
    <w:rsid w:val="2098A16E"/>
    <w:rsid w:val="2099C013"/>
    <w:rsid w:val="209FC123"/>
    <w:rsid w:val="20A2351A"/>
    <w:rsid w:val="20A27842"/>
    <w:rsid w:val="20A6CE11"/>
    <w:rsid w:val="20B0C0E7"/>
    <w:rsid w:val="20B0FE82"/>
    <w:rsid w:val="20B60D3F"/>
    <w:rsid w:val="20B62974"/>
    <w:rsid w:val="20B7177E"/>
    <w:rsid w:val="20B802C5"/>
    <w:rsid w:val="20BE9D8C"/>
    <w:rsid w:val="20BEB55A"/>
    <w:rsid w:val="20BFFC61"/>
    <w:rsid w:val="20C008E5"/>
    <w:rsid w:val="20C65572"/>
    <w:rsid w:val="20C78DD8"/>
    <w:rsid w:val="20CC8CE9"/>
    <w:rsid w:val="20CF4FFB"/>
    <w:rsid w:val="20D44C1B"/>
    <w:rsid w:val="20E1850D"/>
    <w:rsid w:val="20E43032"/>
    <w:rsid w:val="20E82331"/>
    <w:rsid w:val="20E94B5F"/>
    <w:rsid w:val="20E99E6B"/>
    <w:rsid w:val="20E9A9F2"/>
    <w:rsid w:val="20EC3601"/>
    <w:rsid w:val="20F0C734"/>
    <w:rsid w:val="20F3C8AA"/>
    <w:rsid w:val="20F3EE91"/>
    <w:rsid w:val="20F4D67A"/>
    <w:rsid w:val="20FA9810"/>
    <w:rsid w:val="21001085"/>
    <w:rsid w:val="2100D767"/>
    <w:rsid w:val="21018534"/>
    <w:rsid w:val="21046384"/>
    <w:rsid w:val="21061776"/>
    <w:rsid w:val="2108292B"/>
    <w:rsid w:val="2108DB3E"/>
    <w:rsid w:val="210C1653"/>
    <w:rsid w:val="210DC634"/>
    <w:rsid w:val="2110422E"/>
    <w:rsid w:val="2113EAE0"/>
    <w:rsid w:val="2114CB1B"/>
    <w:rsid w:val="2116E886"/>
    <w:rsid w:val="21187DC8"/>
    <w:rsid w:val="211B8FA6"/>
    <w:rsid w:val="211F3A1E"/>
    <w:rsid w:val="211F4708"/>
    <w:rsid w:val="2124AF4B"/>
    <w:rsid w:val="21251305"/>
    <w:rsid w:val="212B0CE5"/>
    <w:rsid w:val="212B3388"/>
    <w:rsid w:val="2134CCE8"/>
    <w:rsid w:val="213502B5"/>
    <w:rsid w:val="21367FA1"/>
    <w:rsid w:val="21370FC0"/>
    <w:rsid w:val="213AA5F8"/>
    <w:rsid w:val="213DD207"/>
    <w:rsid w:val="21441106"/>
    <w:rsid w:val="21446E1D"/>
    <w:rsid w:val="21454830"/>
    <w:rsid w:val="21465904"/>
    <w:rsid w:val="21465B16"/>
    <w:rsid w:val="214C914C"/>
    <w:rsid w:val="21503CD7"/>
    <w:rsid w:val="215294DC"/>
    <w:rsid w:val="2155494E"/>
    <w:rsid w:val="21584F05"/>
    <w:rsid w:val="2159E891"/>
    <w:rsid w:val="215B20A4"/>
    <w:rsid w:val="215CA966"/>
    <w:rsid w:val="215D6E2A"/>
    <w:rsid w:val="215F59E1"/>
    <w:rsid w:val="215F7681"/>
    <w:rsid w:val="21600859"/>
    <w:rsid w:val="21606218"/>
    <w:rsid w:val="21648AB0"/>
    <w:rsid w:val="2166E191"/>
    <w:rsid w:val="21674AAB"/>
    <w:rsid w:val="216767EA"/>
    <w:rsid w:val="216817BA"/>
    <w:rsid w:val="2169589E"/>
    <w:rsid w:val="216B1775"/>
    <w:rsid w:val="216BC5EE"/>
    <w:rsid w:val="216D487E"/>
    <w:rsid w:val="217775D0"/>
    <w:rsid w:val="217CC135"/>
    <w:rsid w:val="217FD574"/>
    <w:rsid w:val="2181AE58"/>
    <w:rsid w:val="21834819"/>
    <w:rsid w:val="2189E02A"/>
    <w:rsid w:val="2189F070"/>
    <w:rsid w:val="2189F946"/>
    <w:rsid w:val="218EA012"/>
    <w:rsid w:val="2192EEFE"/>
    <w:rsid w:val="219374C2"/>
    <w:rsid w:val="219579D2"/>
    <w:rsid w:val="219876F4"/>
    <w:rsid w:val="219AB4C1"/>
    <w:rsid w:val="219EB1D2"/>
    <w:rsid w:val="219EE602"/>
    <w:rsid w:val="219F1C95"/>
    <w:rsid w:val="21A2756E"/>
    <w:rsid w:val="21A4C8E4"/>
    <w:rsid w:val="21A65721"/>
    <w:rsid w:val="21ACC0DF"/>
    <w:rsid w:val="21B8ED22"/>
    <w:rsid w:val="21B9E78F"/>
    <w:rsid w:val="21BCDB39"/>
    <w:rsid w:val="21BE8C29"/>
    <w:rsid w:val="21BE97BD"/>
    <w:rsid w:val="21BF8CCE"/>
    <w:rsid w:val="21C08038"/>
    <w:rsid w:val="21C29E1A"/>
    <w:rsid w:val="21C387FD"/>
    <w:rsid w:val="21C389FA"/>
    <w:rsid w:val="21C56193"/>
    <w:rsid w:val="21C9ACC4"/>
    <w:rsid w:val="21CF1947"/>
    <w:rsid w:val="21D3F212"/>
    <w:rsid w:val="21D4C5A8"/>
    <w:rsid w:val="21D82065"/>
    <w:rsid w:val="21DD02A5"/>
    <w:rsid w:val="21E0C41B"/>
    <w:rsid w:val="21E91935"/>
    <w:rsid w:val="21ED8C67"/>
    <w:rsid w:val="21F4A531"/>
    <w:rsid w:val="21F717CE"/>
    <w:rsid w:val="21F761A1"/>
    <w:rsid w:val="21F7D00B"/>
    <w:rsid w:val="21FB33CF"/>
    <w:rsid w:val="21FCDB31"/>
    <w:rsid w:val="21FDADBD"/>
    <w:rsid w:val="220368A2"/>
    <w:rsid w:val="22082F4C"/>
    <w:rsid w:val="220ADF95"/>
    <w:rsid w:val="220AFCB2"/>
    <w:rsid w:val="220B73A3"/>
    <w:rsid w:val="2211FFBA"/>
    <w:rsid w:val="2218C828"/>
    <w:rsid w:val="221D9B3B"/>
    <w:rsid w:val="2222A17E"/>
    <w:rsid w:val="22234A6A"/>
    <w:rsid w:val="2224043A"/>
    <w:rsid w:val="222795B9"/>
    <w:rsid w:val="2227F45A"/>
    <w:rsid w:val="222A982F"/>
    <w:rsid w:val="222AAA8D"/>
    <w:rsid w:val="22335931"/>
    <w:rsid w:val="223506BE"/>
    <w:rsid w:val="223A1721"/>
    <w:rsid w:val="223B055C"/>
    <w:rsid w:val="223B5CAE"/>
    <w:rsid w:val="22423705"/>
    <w:rsid w:val="224649C8"/>
    <w:rsid w:val="224796B3"/>
    <w:rsid w:val="2248578F"/>
    <w:rsid w:val="22490E72"/>
    <w:rsid w:val="224C2D9B"/>
    <w:rsid w:val="224DEC54"/>
    <w:rsid w:val="22514C86"/>
    <w:rsid w:val="2252ED22"/>
    <w:rsid w:val="22557AF4"/>
    <w:rsid w:val="225E7422"/>
    <w:rsid w:val="225FE7F8"/>
    <w:rsid w:val="22618070"/>
    <w:rsid w:val="2263912C"/>
    <w:rsid w:val="22672EFE"/>
    <w:rsid w:val="2267E0B2"/>
    <w:rsid w:val="22684DAE"/>
    <w:rsid w:val="226CB152"/>
    <w:rsid w:val="226E2409"/>
    <w:rsid w:val="22728098"/>
    <w:rsid w:val="2273511C"/>
    <w:rsid w:val="227376F8"/>
    <w:rsid w:val="2278AAC9"/>
    <w:rsid w:val="227AA8AD"/>
    <w:rsid w:val="227D6BF8"/>
    <w:rsid w:val="227E9479"/>
    <w:rsid w:val="227F9032"/>
    <w:rsid w:val="2282B60F"/>
    <w:rsid w:val="228FDF10"/>
    <w:rsid w:val="2293473B"/>
    <w:rsid w:val="2293DA1E"/>
    <w:rsid w:val="229D2DA7"/>
    <w:rsid w:val="229F2617"/>
    <w:rsid w:val="22A663B4"/>
    <w:rsid w:val="22B1D5F7"/>
    <w:rsid w:val="22B2A967"/>
    <w:rsid w:val="22B39860"/>
    <w:rsid w:val="22B7E4B2"/>
    <w:rsid w:val="22BB24AC"/>
    <w:rsid w:val="22BD530B"/>
    <w:rsid w:val="22BF5970"/>
    <w:rsid w:val="22C300BA"/>
    <w:rsid w:val="22C358C2"/>
    <w:rsid w:val="22C3EF10"/>
    <w:rsid w:val="22C41E90"/>
    <w:rsid w:val="22C4D38B"/>
    <w:rsid w:val="22C85040"/>
    <w:rsid w:val="22C9BC97"/>
    <w:rsid w:val="22CC49BD"/>
    <w:rsid w:val="22CCBFA3"/>
    <w:rsid w:val="22CCD11B"/>
    <w:rsid w:val="22D6A727"/>
    <w:rsid w:val="22D7ECD0"/>
    <w:rsid w:val="22D9318B"/>
    <w:rsid w:val="22D96F25"/>
    <w:rsid w:val="22DF4777"/>
    <w:rsid w:val="22E5A81F"/>
    <w:rsid w:val="22E7FEBF"/>
    <w:rsid w:val="22E84D6F"/>
    <w:rsid w:val="22F178B2"/>
    <w:rsid w:val="22F5B6F0"/>
    <w:rsid w:val="22F6FBBC"/>
    <w:rsid w:val="22F73644"/>
    <w:rsid w:val="22F7AF13"/>
    <w:rsid w:val="22FA2AAD"/>
    <w:rsid w:val="22FF16E7"/>
    <w:rsid w:val="230206E4"/>
    <w:rsid w:val="2303433E"/>
    <w:rsid w:val="23047E7E"/>
    <w:rsid w:val="2305BD61"/>
    <w:rsid w:val="230AFBCE"/>
    <w:rsid w:val="230BA6A6"/>
    <w:rsid w:val="230BC38C"/>
    <w:rsid w:val="2311E728"/>
    <w:rsid w:val="2313DAB2"/>
    <w:rsid w:val="231871EF"/>
    <w:rsid w:val="23187EB2"/>
    <w:rsid w:val="231AF2B9"/>
    <w:rsid w:val="231E5990"/>
    <w:rsid w:val="23220234"/>
    <w:rsid w:val="23233A8E"/>
    <w:rsid w:val="2323D6FC"/>
    <w:rsid w:val="2324871A"/>
    <w:rsid w:val="232A101D"/>
    <w:rsid w:val="232A6A6C"/>
    <w:rsid w:val="232C234C"/>
    <w:rsid w:val="232C79D7"/>
    <w:rsid w:val="233095A7"/>
    <w:rsid w:val="2331B6F5"/>
    <w:rsid w:val="2332C7A7"/>
    <w:rsid w:val="2335BD09"/>
    <w:rsid w:val="233DBBAB"/>
    <w:rsid w:val="233DEA3D"/>
    <w:rsid w:val="2342DA0F"/>
    <w:rsid w:val="23438C3F"/>
    <w:rsid w:val="2344CF10"/>
    <w:rsid w:val="234C99FC"/>
    <w:rsid w:val="234DEAF9"/>
    <w:rsid w:val="23520823"/>
    <w:rsid w:val="23562069"/>
    <w:rsid w:val="235806B3"/>
    <w:rsid w:val="235B33C5"/>
    <w:rsid w:val="235E6C5E"/>
    <w:rsid w:val="235EF1D2"/>
    <w:rsid w:val="235F2256"/>
    <w:rsid w:val="2361842F"/>
    <w:rsid w:val="23684341"/>
    <w:rsid w:val="2368F9F7"/>
    <w:rsid w:val="236ED63C"/>
    <w:rsid w:val="2370E1C1"/>
    <w:rsid w:val="2370F4EB"/>
    <w:rsid w:val="2373435F"/>
    <w:rsid w:val="23758376"/>
    <w:rsid w:val="237E1C37"/>
    <w:rsid w:val="237EA551"/>
    <w:rsid w:val="237F2BD6"/>
    <w:rsid w:val="2386C6E3"/>
    <w:rsid w:val="238A1E83"/>
    <w:rsid w:val="238AE789"/>
    <w:rsid w:val="238D5826"/>
    <w:rsid w:val="238FEDE7"/>
    <w:rsid w:val="23932DD5"/>
    <w:rsid w:val="239496A8"/>
    <w:rsid w:val="239599A1"/>
    <w:rsid w:val="2398927E"/>
    <w:rsid w:val="239BF397"/>
    <w:rsid w:val="239D221E"/>
    <w:rsid w:val="239D4B99"/>
    <w:rsid w:val="239E4E58"/>
    <w:rsid w:val="23A16AD1"/>
    <w:rsid w:val="23A26D46"/>
    <w:rsid w:val="23AA4AB0"/>
    <w:rsid w:val="23AED79E"/>
    <w:rsid w:val="23AF1A6B"/>
    <w:rsid w:val="23AF1F0A"/>
    <w:rsid w:val="23B1E4C9"/>
    <w:rsid w:val="23B54A4A"/>
    <w:rsid w:val="23B8D9BE"/>
    <w:rsid w:val="23B98A73"/>
    <w:rsid w:val="23BA1C1E"/>
    <w:rsid w:val="23C6C1EF"/>
    <w:rsid w:val="23CADED4"/>
    <w:rsid w:val="23CDEB35"/>
    <w:rsid w:val="23CE0C26"/>
    <w:rsid w:val="23D1FC6E"/>
    <w:rsid w:val="23D6E7D3"/>
    <w:rsid w:val="23D7CD48"/>
    <w:rsid w:val="23E31D26"/>
    <w:rsid w:val="23E42A77"/>
    <w:rsid w:val="23EE65A4"/>
    <w:rsid w:val="23F090AC"/>
    <w:rsid w:val="23F1533F"/>
    <w:rsid w:val="23F2C998"/>
    <w:rsid w:val="23F5BF51"/>
    <w:rsid w:val="23F6A792"/>
    <w:rsid w:val="23F73D4F"/>
    <w:rsid w:val="23F803F9"/>
    <w:rsid w:val="23F9002E"/>
    <w:rsid w:val="23FC9989"/>
    <w:rsid w:val="24023748"/>
    <w:rsid w:val="2405FE34"/>
    <w:rsid w:val="240727E4"/>
    <w:rsid w:val="2408CF26"/>
    <w:rsid w:val="240AB537"/>
    <w:rsid w:val="240E376D"/>
    <w:rsid w:val="240FC366"/>
    <w:rsid w:val="24121640"/>
    <w:rsid w:val="241262A8"/>
    <w:rsid w:val="24176512"/>
    <w:rsid w:val="24188F75"/>
    <w:rsid w:val="24193EB9"/>
    <w:rsid w:val="241A078D"/>
    <w:rsid w:val="241D8A55"/>
    <w:rsid w:val="241EB63A"/>
    <w:rsid w:val="242624E5"/>
    <w:rsid w:val="2426B3D3"/>
    <w:rsid w:val="242C1830"/>
    <w:rsid w:val="242E33A7"/>
    <w:rsid w:val="2431D1A5"/>
    <w:rsid w:val="24331CFC"/>
    <w:rsid w:val="24349D01"/>
    <w:rsid w:val="243839BE"/>
    <w:rsid w:val="2438AE93"/>
    <w:rsid w:val="2438B4B3"/>
    <w:rsid w:val="24459B15"/>
    <w:rsid w:val="244853B9"/>
    <w:rsid w:val="244ED97A"/>
    <w:rsid w:val="2452E0A5"/>
    <w:rsid w:val="24536DA3"/>
    <w:rsid w:val="24584D39"/>
    <w:rsid w:val="2459B95E"/>
    <w:rsid w:val="245B098E"/>
    <w:rsid w:val="245F9876"/>
    <w:rsid w:val="2462B3F4"/>
    <w:rsid w:val="2465CB1D"/>
    <w:rsid w:val="2466D31D"/>
    <w:rsid w:val="2467AC10"/>
    <w:rsid w:val="246FD395"/>
    <w:rsid w:val="2470F830"/>
    <w:rsid w:val="24712591"/>
    <w:rsid w:val="24718FE0"/>
    <w:rsid w:val="24797584"/>
    <w:rsid w:val="2479CC2D"/>
    <w:rsid w:val="247CB6CF"/>
    <w:rsid w:val="24869015"/>
    <w:rsid w:val="2488D2E1"/>
    <w:rsid w:val="24895E0E"/>
    <w:rsid w:val="248C3A39"/>
    <w:rsid w:val="248CFD49"/>
    <w:rsid w:val="24912504"/>
    <w:rsid w:val="24918D08"/>
    <w:rsid w:val="2491A511"/>
    <w:rsid w:val="249BB12E"/>
    <w:rsid w:val="24A02E96"/>
    <w:rsid w:val="24A6AFE0"/>
    <w:rsid w:val="24AD6EB2"/>
    <w:rsid w:val="24AF2DF7"/>
    <w:rsid w:val="24B40133"/>
    <w:rsid w:val="24B41EAD"/>
    <w:rsid w:val="24B552F4"/>
    <w:rsid w:val="24B766CE"/>
    <w:rsid w:val="24B83365"/>
    <w:rsid w:val="24BDF4E3"/>
    <w:rsid w:val="24C20E50"/>
    <w:rsid w:val="24C2517A"/>
    <w:rsid w:val="24C2DCC3"/>
    <w:rsid w:val="24C3485F"/>
    <w:rsid w:val="24C9B52B"/>
    <w:rsid w:val="24D1E177"/>
    <w:rsid w:val="24D28E3D"/>
    <w:rsid w:val="24D4F0CC"/>
    <w:rsid w:val="24D95608"/>
    <w:rsid w:val="24DA372C"/>
    <w:rsid w:val="24DCA802"/>
    <w:rsid w:val="24DDF86D"/>
    <w:rsid w:val="24DF1E62"/>
    <w:rsid w:val="24DF78EC"/>
    <w:rsid w:val="24E25BA7"/>
    <w:rsid w:val="24E8E306"/>
    <w:rsid w:val="24E97F07"/>
    <w:rsid w:val="24EBA6AB"/>
    <w:rsid w:val="24EF3260"/>
    <w:rsid w:val="24EF523E"/>
    <w:rsid w:val="24F215C0"/>
    <w:rsid w:val="24F2E5B9"/>
    <w:rsid w:val="24F78DB4"/>
    <w:rsid w:val="24F93B5C"/>
    <w:rsid w:val="24FB697F"/>
    <w:rsid w:val="24FC963B"/>
    <w:rsid w:val="24FF7C6E"/>
    <w:rsid w:val="25003F7E"/>
    <w:rsid w:val="2502D2C0"/>
    <w:rsid w:val="25046588"/>
    <w:rsid w:val="2504D092"/>
    <w:rsid w:val="2508EDA9"/>
    <w:rsid w:val="250AA853"/>
    <w:rsid w:val="250D9E68"/>
    <w:rsid w:val="250E4501"/>
    <w:rsid w:val="250FF1E1"/>
    <w:rsid w:val="25121B60"/>
    <w:rsid w:val="251267DA"/>
    <w:rsid w:val="2513A72C"/>
    <w:rsid w:val="251607BB"/>
    <w:rsid w:val="25261C02"/>
    <w:rsid w:val="2528248A"/>
    <w:rsid w:val="252A1012"/>
    <w:rsid w:val="252C17AE"/>
    <w:rsid w:val="252E8870"/>
    <w:rsid w:val="2536DD87"/>
    <w:rsid w:val="2537D26D"/>
    <w:rsid w:val="2539D994"/>
    <w:rsid w:val="253EAAD2"/>
    <w:rsid w:val="253EBEB6"/>
    <w:rsid w:val="254C4F9A"/>
    <w:rsid w:val="254D8D89"/>
    <w:rsid w:val="254F8511"/>
    <w:rsid w:val="25615563"/>
    <w:rsid w:val="2564C2D3"/>
    <w:rsid w:val="25651144"/>
    <w:rsid w:val="25694696"/>
    <w:rsid w:val="2569F2D7"/>
    <w:rsid w:val="256AF776"/>
    <w:rsid w:val="256D7E4D"/>
    <w:rsid w:val="256FBB34"/>
    <w:rsid w:val="2571517D"/>
    <w:rsid w:val="2571595F"/>
    <w:rsid w:val="25717C26"/>
    <w:rsid w:val="2571B90E"/>
    <w:rsid w:val="2571F357"/>
    <w:rsid w:val="25732B60"/>
    <w:rsid w:val="257776DE"/>
    <w:rsid w:val="257BA26E"/>
    <w:rsid w:val="257C7247"/>
    <w:rsid w:val="257E0940"/>
    <w:rsid w:val="2580BD62"/>
    <w:rsid w:val="258232A5"/>
    <w:rsid w:val="258301EC"/>
    <w:rsid w:val="2584FB9F"/>
    <w:rsid w:val="258583E7"/>
    <w:rsid w:val="258C0132"/>
    <w:rsid w:val="258C67AA"/>
    <w:rsid w:val="258F8FA4"/>
    <w:rsid w:val="2591610F"/>
    <w:rsid w:val="25927619"/>
    <w:rsid w:val="259282E1"/>
    <w:rsid w:val="259454E8"/>
    <w:rsid w:val="2598BE72"/>
    <w:rsid w:val="2599126A"/>
    <w:rsid w:val="259BF2D4"/>
    <w:rsid w:val="259C2214"/>
    <w:rsid w:val="259F9898"/>
    <w:rsid w:val="25A340F1"/>
    <w:rsid w:val="25A34C91"/>
    <w:rsid w:val="25A50958"/>
    <w:rsid w:val="25A628AD"/>
    <w:rsid w:val="25A8F577"/>
    <w:rsid w:val="25A8FC92"/>
    <w:rsid w:val="25AFDE32"/>
    <w:rsid w:val="25B1554B"/>
    <w:rsid w:val="25B25B86"/>
    <w:rsid w:val="25BA8049"/>
    <w:rsid w:val="25C104EB"/>
    <w:rsid w:val="25C75291"/>
    <w:rsid w:val="25CA0958"/>
    <w:rsid w:val="25CE1233"/>
    <w:rsid w:val="25CF5788"/>
    <w:rsid w:val="25D184B6"/>
    <w:rsid w:val="25D26150"/>
    <w:rsid w:val="25DE4CB2"/>
    <w:rsid w:val="25DF4327"/>
    <w:rsid w:val="25E74904"/>
    <w:rsid w:val="25E80C49"/>
    <w:rsid w:val="25E926D3"/>
    <w:rsid w:val="25F20750"/>
    <w:rsid w:val="25F4D243"/>
    <w:rsid w:val="25F8F330"/>
    <w:rsid w:val="25FB981C"/>
    <w:rsid w:val="25FCA198"/>
    <w:rsid w:val="25FE8A8A"/>
    <w:rsid w:val="25FEEE47"/>
    <w:rsid w:val="25FF8883"/>
    <w:rsid w:val="25FFF276"/>
    <w:rsid w:val="2600F768"/>
    <w:rsid w:val="2602ACE4"/>
    <w:rsid w:val="260ACDDF"/>
    <w:rsid w:val="260BCDBA"/>
    <w:rsid w:val="260E7F06"/>
    <w:rsid w:val="260F876B"/>
    <w:rsid w:val="260F9AD8"/>
    <w:rsid w:val="26126060"/>
    <w:rsid w:val="2612BB8F"/>
    <w:rsid w:val="2614A410"/>
    <w:rsid w:val="261988DE"/>
    <w:rsid w:val="261B977B"/>
    <w:rsid w:val="261C5169"/>
    <w:rsid w:val="261ECF07"/>
    <w:rsid w:val="26241CF6"/>
    <w:rsid w:val="262662CF"/>
    <w:rsid w:val="2627415B"/>
    <w:rsid w:val="262786A2"/>
    <w:rsid w:val="2629F2BB"/>
    <w:rsid w:val="262A2BA4"/>
    <w:rsid w:val="262F2062"/>
    <w:rsid w:val="262FF28E"/>
    <w:rsid w:val="26375BD1"/>
    <w:rsid w:val="263C8185"/>
    <w:rsid w:val="2641177B"/>
    <w:rsid w:val="26443E61"/>
    <w:rsid w:val="2644D265"/>
    <w:rsid w:val="2644D42A"/>
    <w:rsid w:val="2645455E"/>
    <w:rsid w:val="2646499D"/>
    <w:rsid w:val="2649DF3B"/>
    <w:rsid w:val="2649E44F"/>
    <w:rsid w:val="264BC758"/>
    <w:rsid w:val="264F303F"/>
    <w:rsid w:val="26518D97"/>
    <w:rsid w:val="265660FA"/>
    <w:rsid w:val="265B7ABC"/>
    <w:rsid w:val="265C36F4"/>
    <w:rsid w:val="266104D8"/>
    <w:rsid w:val="2661D3BE"/>
    <w:rsid w:val="2666F024"/>
    <w:rsid w:val="266B6F33"/>
    <w:rsid w:val="266D4070"/>
    <w:rsid w:val="2673327C"/>
    <w:rsid w:val="267A6E37"/>
    <w:rsid w:val="267CF695"/>
    <w:rsid w:val="267E1203"/>
    <w:rsid w:val="267F48C6"/>
    <w:rsid w:val="2688CB0A"/>
    <w:rsid w:val="268ACA0F"/>
    <w:rsid w:val="268CB44C"/>
    <w:rsid w:val="268F56CE"/>
    <w:rsid w:val="268F7908"/>
    <w:rsid w:val="2696215E"/>
    <w:rsid w:val="269854D4"/>
    <w:rsid w:val="2699813B"/>
    <w:rsid w:val="269CB736"/>
    <w:rsid w:val="26A665F3"/>
    <w:rsid w:val="26A702DD"/>
    <w:rsid w:val="26A78195"/>
    <w:rsid w:val="26A83037"/>
    <w:rsid w:val="26A856E1"/>
    <w:rsid w:val="26A8C03D"/>
    <w:rsid w:val="26AA0DAE"/>
    <w:rsid w:val="26B52C2D"/>
    <w:rsid w:val="26B65A7C"/>
    <w:rsid w:val="26BCEE5A"/>
    <w:rsid w:val="26C2E9CE"/>
    <w:rsid w:val="26C5C44D"/>
    <w:rsid w:val="26C9E3F3"/>
    <w:rsid w:val="26D2680C"/>
    <w:rsid w:val="26D2EF09"/>
    <w:rsid w:val="26D52C56"/>
    <w:rsid w:val="26D5B550"/>
    <w:rsid w:val="26D76FBA"/>
    <w:rsid w:val="26DD05C5"/>
    <w:rsid w:val="26DF5818"/>
    <w:rsid w:val="26E014B3"/>
    <w:rsid w:val="26E48461"/>
    <w:rsid w:val="26ECC8CE"/>
    <w:rsid w:val="26ED3133"/>
    <w:rsid w:val="26F1591E"/>
    <w:rsid w:val="26F37C6B"/>
    <w:rsid w:val="26F76DF5"/>
    <w:rsid w:val="26FCF184"/>
    <w:rsid w:val="2702795F"/>
    <w:rsid w:val="27133C33"/>
    <w:rsid w:val="2714C5D6"/>
    <w:rsid w:val="271A9739"/>
    <w:rsid w:val="271B0759"/>
    <w:rsid w:val="271D3D94"/>
    <w:rsid w:val="271EDFCD"/>
    <w:rsid w:val="272396A2"/>
    <w:rsid w:val="272F9209"/>
    <w:rsid w:val="27325F3A"/>
    <w:rsid w:val="273A23C0"/>
    <w:rsid w:val="273ACBDD"/>
    <w:rsid w:val="273C2D3C"/>
    <w:rsid w:val="273C51D3"/>
    <w:rsid w:val="273CCF6A"/>
    <w:rsid w:val="273F691C"/>
    <w:rsid w:val="27412DB2"/>
    <w:rsid w:val="27463DD5"/>
    <w:rsid w:val="27474690"/>
    <w:rsid w:val="274B6B77"/>
    <w:rsid w:val="274EC1EA"/>
    <w:rsid w:val="2752FB3C"/>
    <w:rsid w:val="2753B4D2"/>
    <w:rsid w:val="275FE473"/>
    <w:rsid w:val="2760E8E2"/>
    <w:rsid w:val="27676B3F"/>
    <w:rsid w:val="276821D4"/>
    <w:rsid w:val="276A08CD"/>
    <w:rsid w:val="276A4C54"/>
    <w:rsid w:val="276F55AE"/>
    <w:rsid w:val="276F6323"/>
    <w:rsid w:val="27748745"/>
    <w:rsid w:val="27756341"/>
    <w:rsid w:val="277A4BDC"/>
    <w:rsid w:val="277A904D"/>
    <w:rsid w:val="277D5A9E"/>
    <w:rsid w:val="2781A8CC"/>
    <w:rsid w:val="27969853"/>
    <w:rsid w:val="27992901"/>
    <w:rsid w:val="2799F686"/>
    <w:rsid w:val="27A4CB3A"/>
    <w:rsid w:val="27A6159F"/>
    <w:rsid w:val="27A7DDE6"/>
    <w:rsid w:val="27A8A348"/>
    <w:rsid w:val="27AA36BF"/>
    <w:rsid w:val="27AB6CDE"/>
    <w:rsid w:val="27B7B959"/>
    <w:rsid w:val="27BA1963"/>
    <w:rsid w:val="27BB94CF"/>
    <w:rsid w:val="27BBCE71"/>
    <w:rsid w:val="27C565F8"/>
    <w:rsid w:val="27C67449"/>
    <w:rsid w:val="27C8C858"/>
    <w:rsid w:val="27D5155A"/>
    <w:rsid w:val="27D84DC7"/>
    <w:rsid w:val="27D9316B"/>
    <w:rsid w:val="27D94B04"/>
    <w:rsid w:val="27DAB252"/>
    <w:rsid w:val="27DAC298"/>
    <w:rsid w:val="27DAC36C"/>
    <w:rsid w:val="27DEA9EB"/>
    <w:rsid w:val="27DEE6DF"/>
    <w:rsid w:val="27E27B96"/>
    <w:rsid w:val="27E2CB88"/>
    <w:rsid w:val="27E4A44D"/>
    <w:rsid w:val="27E4CB4D"/>
    <w:rsid w:val="27EE2ADF"/>
    <w:rsid w:val="27F2466D"/>
    <w:rsid w:val="27F6F566"/>
    <w:rsid w:val="27FB7B48"/>
    <w:rsid w:val="2805052A"/>
    <w:rsid w:val="2805A90F"/>
    <w:rsid w:val="2805ADFB"/>
    <w:rsid w:val="2809917F"/>
    <w:rsid w:val="2811B272"/>
    <w:rsid w:val="2811FA68"/>
    <w:rsid w:val="28127455"/>
    <w:rsid w:val="28127556"/>
    <w:rsid w:val="28137ED9"/>
    <w:rsid w:val="281916D8"/>
    <w:rsid w:val="281C55A8"/>
    <w:rsid w:val="2821B0BB"/>
    <w:rsid w:val="282618B9"/>
    <w:rsid w:val="2828D56D"/>
    <w:rsid w:val="282EB0F9"/>
    <w:rsid w:val="282FCA4D"/>
    <w:rsid w:val="28324C16"/>
    <w:rsid w:val="28328C4C"/>
    <w:rsid w:val="283350E2"/>
    <w:rsid w:val="28336BB6"/>
    <w:rsid w:val="28345A57"/>
    <w:rsid w:val="2834A52C"/>
    <w:rsid w:val="2834DF3F"/>
    <w:rsid w:val="283A2E95"/>
    <w:rsid w:val="283AC097"/>
    <w:rsid w:val="283BEA52"/>
    <w:rsid w:val="283C187C"/>
    <w:rsid w:val="28413A4F"/>
    <w:rsid w:val="28421C9F"/>
    <w:rsid w:val="28447B81"/>
    <w:rsid w:val="28467638"/>
    <w:rsid w:val="2846C084"/>
    <w:rsid w:val="2848F16F"/>
    <w:rsid w:val="284BC678"/>
    <w:rsid w:val="284DD0D9"/>
    <w:rsid w:val="284DF643"/>
    <w:rsid w:val="28580F7F"/>
    <w:rsid w:val="2859764D"/>
    <w:rsid w:val="285D9DB5"/>
    <w:rsid w:val="285DB939"/>
    <w:rsid w:val="285DE302"/>
    <w:rsid w:val="2865D086"/>
    <w:rsid w:val="28678A8B"/>
    <w:rsid w:val="28682CD4"/>
    <w:rsid w:val="286C5EAC"/>
    <w:rsid w:val="286CF516"/>
    <w:rsid w:val="286D801F"/>
    <w:rsid w:val="286E5F83"/>
    <w:rsid w:val="286FBB0D"/>
    <w:rsid w:val="287759CA"/>
    <w:rsid w:val="287A25CC"/>
    <w:rsid w:val="287B69B4"/>
    <w:rsid w:val="287BB4E0"/>
    <w:rsid w:val="287DD2D7"/>
    <w:rsid w:val="287FCB98"/>
    <w:rsid w:val="288178E7"/>
    <w:rsid w:val="2883EDE5"/>
    <w:rsid w:val="288724BF"/>
    <w:rsid w:val="288805C6"/>
    <w:rsid w:val="2888062D"/>
    <w:rsid w:val="288ACB77"/>
    <w:rsid w:val="289E5DB2"/>
    <w:rsid w:val="28A71DDA"/>
    <w:rsid w:val="28A82724"/>
    <w:rsid w:val="28A8708C"/>
    <w:rsid w:val="28AA793D"/>
    <w:rsid w:val="28AC1525"/>
    <w:rsid w:val="28AC3F74"/>
    <w:rsid w:val="28AD34FE"/>
    <w:rsid w:val="28AEEEF8"/>
    <w:rsid w:val="28AFBC4B"/>
    <w:rsid w:val="28B19E37"/>
    <w:rsid w:val="28B273B5"/>
    <w:rsid w:val="28B76BD3"/>
    <w:rsid w:val="28BBAC42"/>
    <w:rsid w:val="28BC98AA"/>
    <w:rsid w:val="28BCFC57"/>
    <w:rsid w:val="28BE3107"/>
    <w:rsid w:val="28C2FF3C"/>
    <w:rsid w:val="28C61031"/>
    <w:rsid w:val="28C78A13"/>
    <w:rsid w:val="28CA571C"/>
    <w:rsid w:val="28D5650B"/>
    <w:rsid w:val="28D71031"/>
    <w:rsid w:val="28D75FA5"/>
    <w:rsid w:val="28E09A38"/>
    <w:rsid w:val="28E18235"/>
    <w:rsid w:val="28E23AA1"/>
    <w:rsid w:val="28E8EEF7"/>
    <w:rsid w:val="28EB27D3"/>
    <w:rsid w:val="28ED627E"/>
    <w:rsid w:val="28ED7633"/>
    <w:rsid w:val="28F446F1"/>
    <w:rsid w:val="28F8ADD1"/>
    <w:rsid w:val="28FC603B"/>
    <w:rsid w:val="28FDB998"/>
    <w:rsid w:val="28FE67A6"/>
    <w:rsid w:val="2901A213"/>
    <w:rsid w:val="2902EE33"/>
    <w:rsid w:val="29039C7C"/>
    <w:rsid w:val="2903ACFF"/>
    <w:rsid w:val="290653E1"/>
    <w:rsid w:val="2906B195"/>
    <w:rsid w:val="2906BB76"/>
    <w:rsid w:val="290D3D4D"/>
    <w:rsid w:val="290DCE17"/>
    <w:rsid w:val="2912774D"/>
    <w:rsid w:val="2912AEA9"/>
    <w:rsid w:val="291F24C5"/>
    <w:rsid w:val="29240A8F"/>
    <w:rsid w:val="292805F1"/>
    <w:rsid w:val="292A49AE"/>
    <w:rsid w:val="292E76F7"/>
    <w:rsid w:val="29327CFC"/>
    <w:rsid w:val="29357AD9"/>
    <w:rsid w:val="2935C7CE"/>
    <w:rsid w:val="29373DC4"/>
    <w:rsid w:val="2937F988"/>
    <w:rsid w:val="293F8FE6"/>
    <w:rsid w:val="2940D4C1"/>
    <w:rsid w:val="294459F8"/>
    <w:rsid w:val="294AA210"/>
    <w:rsid w:val="294CB2EE"/>
    <w:rsid w:val="294CE423"/>
    <w:rsid w:val="294CFC70"/>
    <w:rsid w:val="294E0AF5"/>
    <w:rsid w:val="294E3D4C"/>
    <w:rsid w:val="294FA896"/>
    <w:rsid w:val="2950D3D5"/>
    <w:rsid w:val="29512DFD"/>
    <w:rsid w:val="29566E9D"/>
    <w:rsid w:val="295AB9DE"/>
    <w:rsid w:val="2966A100"/>
    <w:rsid w:val="296AFF01"/>
    <w:rsid w:val="296D231E"/>
    <w:rsid w:val="29731F32"/>
    <w:rsid w:val="2976195E"/>
    <w:rsid w:val="297C62AB"/>
    <w:rsid w:val="297E61DB"/>
    <w:rsid w:val="297E9B1F"/>
    <w:rsid w:val="29820E1F"/>
    <w:rsid w:val="29829004"/>
    <w:rsid w:val="29870805"/>
    <w:rsid w:val="29892523"/>
    <w:rsid w:val="298991B1"/>
    <w:rsid w:val="298AE53D"/>
    <w:rsid w:val="298DBFC5"/>
    <w:rsid w:val="298E1684"/>
    <w:rsid w:val="298F001B"/>
    <w:rsid w:val="2991571F"/>
    <w:rsid w:val="2997FA8F"/>
    <w:rsid w:val="29992F9A"/>
    <w:rsid w:val="299AC860"/>
    <w:rsid w:val="299C1FE2"/>
    <w:rsid w:val="299E0DD6"/>
    <w:rsid w:val="299E201B"/>
    <w:rsid w:val="29A3794C"/>
    <w:rsid w:val="29A4DB77"/>
    <w:rsid w:val="29AC514E"/>
    <w:rsid w:val="29AE3715"/>
    <w:rsid w:val="29B01358"/>
    <w:rsid w:val="29B10653"/>
    <w:rsid w:val="29B1132A"/>
    <w:rsid w:val="29B2C278"/>
    <w:rsid w:val="29B3AD37"/>
    <w:rsid w:val="29B5D01D"/>
    <w:rsid w:val="29B7D808"/>
    <w:rsid w:val="29B7E6BC"/>
    <w:rsid w:val="29B9C565"/>
    <w:rsid w:val="29BC6B1B"/>
    <w:rsid w:val="29C7DAFE"/>
    <w:rsid w:val="29C7F6E3"/>
    <w:rsid w:val="29C9C3CD"/>
    <w:rsid w:val="29C9D584"/>
    <w:rsid w:val="29CAC6D7"/>
    <w:rsid w:val="29CD2AF1"/>
    <w:rsid w:val="29CDB167"/>
    <w:rsid w:val="29D1682C"/>
    <w:rsid w:val="29D225A0"/>
    <w:rsid w:val="29D37354"/>
    <w:rsid w:val="29DB4E4C"/>
    <w:rsid w:val="29E28DB7"/>
    <w:rsid w:val="29E40D29"/>
    <w:rsid w:val="29E8985B"/>
    <w:rsid w:val="29ED193F"/>
    <w:rsid w:val="29EF31C7"/>
    <w:rsid w:val="29F0BA2F"/>
    <w:rsid w:val="29FC7E77"/>
    <w:rsid w:val="29FF9BCC"/>
    <w:rsid w:val="2A04137F"/>
    <w:rsid w:val="2A06B646"/>
    <w:rsid w:val="2A0714FB"/>
    <w:rsid w:val="2A0ADF04"/>
    <w:rsid w:val="2A0DEE72"/>
    <w:rsid w:val="2A138645"/>
    <w:rsid w:val="2A16B4AC"/>
    <w:rsid w:val="2A171910"/>
    <w:rsid w:val="2A188C25"/>
    <w:rsid w:val="2A1EFCF5"/>
    <w:rsid w:val="2A1FE15E"/>
    <w:rsid w:val="2A214B08"/>
    <w:rsid w:val="2A2306E5"/>
    <w:rsid w:val="2A24CD3B"/>
    <w:rsid w:val="2A2535A9"/>
    <w:rsid w:val="2A253A30"/>
    <w:rsid w:val="2A27A935"/>
    <w:rsid w:val="2A2A33F9"/>
    <w:rsid w:val="2A2ABDA5"/>
    <w:rsid w:val="2A333BD5"/>
    <w:rsid w:val="2A359ECE"/>
    <w:rsid w:val="2A363AF7"/>
    <w:rsid w:val="2A381FE3"/>
    <w:rsid w:val="2A38B53B"/>
    <w:rsid w:val="2A3A1849"/>
    <w:rsid w:val="2A3A7EAE"/>
    <w:rsid w:val="2A429A98"/>
    <w:rsid w:val="2A542255"/>
    <w:rsid w:val="2A56EF96"/>
    <w:rsid w:val="2A588CB7"/>
    <w:rsid w:val="2A589B0B"/>
    <w:rsid w:val="2A5FAB1C"/>
    <w:rsid w:val="2A60CCF2"/>
    <w:rsid w:val="2A611F7D"/>
    <w:rsid w:val="2A65FB07"/>
    <w:rsid w:val="2A6607BD"/>
    <w:rsid w:val="2A699B2C"/>
    <w:rsid w:val="2A6BAC09"/>
    <w:rsid w:val="2A6D27F5"/>
    <w:rsid w:val="2A6F0401"/>
    <w:rsid w:val="2A718B81"/>
    <w:rsid w:val="2A75E835"/>
    <w:rsid w:val="2A76C7F2"/>
    <w:rsid w:val="2A7AE6B1"/>
    <w:rsid w:val="2A7CFB15"/>
    <w:rsid w:val="2A852445"/>
    <w:rsid w:val="2A8C7CEA"/>
    <w:rsid w:val="2A94C78E"/>
    <w:rsid w:val="2A967299"/>
    <w:rsid w:val="2A9A90D2"/>
    <w:rsid w:val="2A9D6A82"/>
    <w:rsid w:val="2AA102E4"/>
    <w:rsid w:val="2AA40B92"/>
    <w:rsid w:val="2AA728FF"/>
    <w:rsid w:val="2AAC623D"/>
    <w:rsid w:val="2AAE6E62"/>
    <w:rsid w:val="2AB6D9E0"/>
    <w:rsid w:val="2AB76CE0"/>
    <w:rsid w:val="2ABB4300"/>
    <w:rsid w:val="2ABD7E03"/>
    <w:rsid w:val="2AC0ED40"/>
    <w:rsid w:val="2AC2DA60"/>
    <w:rsid w:val="2AC34B34"/>
    <w:rsid w:val="2AC67429"/>
    <w:rsid w:val="2AC8D4AF"/>
    <w:rsid w:val="2AD0E17C"/>
    <w:rsid w:val="2AD57E89"/>
    <w:rsid w:val="2AD92DC0"/>
    <w:rsid w:val="2AD93EE7"/>
    <w:rsid w:val="2AE16D45"/>
    <w:rsid w:val="2AE84386"/>
    <w:rsid w:val="2AE9C256"/>
    <w:rsid w:val="2AECE3B1"/>
    <w:rsid w:val="2AEEE0F0"/>
    <w:rsid w:val="2AEEF6B1"/>
    <w:rsid w:val="2AF04214"/>
    <w:rsid w:val="2AF0DD60"/>
    <w:rsid w:val="2AF80894"/>
    <w:rsid w:val="2AFA31F5"/>
    <w:rsid w:val="2AFA449F"/>
    <w:rsid w:val="2AFB49B8"/>
    <w:rsid w:val="2AFBB9F1"/>
    <w:rsid w:val="2AFC2A6D"/>
    <w:rsid w:val="2B01E928"/>
    <w:rsid w:val="2B060BBA"/>
    <w:rsid w:val="2B0A1256"/>
    <w:rsid w:val="2B0B322C"/>
    <w:rsid w:val="2B13A3C7"/>
    <w:rsid w:val="2B170E0A"/>
    <w:rsid w:val="2B193F1B"/>
    <w:rsid w:val="2B1A0BD4"/>
    <w:rsid w:val="2B1EA50F"/>
    <w:rsid w:val="2B21FD6B"/>
    <w:rsid w:val="2B2444E1"/>
    <w:rsid w:val="2B2B9481"/>
    <w:rsid w:val="2B31944F"/>
    <w:rsid w:val="2B32564A"/>
    <w:rsid w:val="2B386C74"/>
    <w:rsid w:val="2B3D3651"/>
    <w:rsid w:val="2B3DD064"/>
    <w:rsid w:val="2B42FDD8"/>
    <w:rsid w:val="2B461C54"/>
    <w:rsid w:val="2B4B7ABB"/>
    <w:rsid w:val="2B4E4B40"/>
    <w:rsid w:val="2B50527F"/>
    <w:rsid w:val="2B528C1E"/>
    <w:rsid w:val="2B5360CD"/>
    <w:rsid w:val="2B5454B3"/>
    <w:rsid w:val="2B55CCB7"/>
    <w:rsid w:val="2B56D368"/>
    <w:rsid w:val="2B57533E"/>
    <w:rsid w:val="2B5884AB"/>
    <w:rsid w:val="2B5C0519"/>
    <w:rsid w:val="2B64CF57"/>
    <w:rsid w:val="2B662EB3"/>
    <w:rsid w:val="2B6AFB4C"/>
    <w:rsid w:val="2B6C46F7"/>
    <w:rsid w:val="2B6E0000"/>
    <w:rsid w:val="2B71F4E7"/>
    <w:rsid w:val="2B72A476"/>
    <w:rsid w:val="2B72E744"/>
    <w:rsid w:val="2B73AE71"/>
    <w:rsid w:val="2B73F0A3"/>
    <w:rsid w:val="2B740FA4"/>
    <w:rsid w:val="2B774B1A"/>
    <w:rsid w:val="2B7760EF"/>
    <w:rsid w:val="2B794F94"/>
    <w:rsid w:val="2B806861"/>
    <w:rsid w:val="2B835A94"/>
    <w:rsid w:val="2B837028"/>
    <w:rsid w:val="2B8610E6"/>
    <w:rsid w:val="2B8B7646"/>
    <w:rsid w:val="2B8C13E7"/>
    <w:rsid w:val="2BA111FB"/>
    <w:rsid w:val="2BA2A11B"/>
    <w:rsid w:val="2BA7B61F"/>
    <w:rsid w:val="2BAAA270"/>
    <w:rsid w:val="2BAB1122"/>
    <w:rsid w:val="2BAC6961"/>
    <w:rsid w:val="2BAFEEA2"/>
    <w:rsid w:val="2BB0C2FB"/>
    <w:rsid w:val="2BB36904"/>
    <w:rsid w:val="2BB63519"/>
    <w:rsid w:val="2BB8CFB0"/>
    <w:rsid w:val="2BB904C1"/>
    <w:rsid w:val="2BBE05E8"/>
    <w:rsid w:val="2BC7349D"/>
    <w:rsid w:val="2BCC1CD5"/>
    <w:rsid w:val="2BCC7022"/>
    <w:rsid w:val="2BD6AC57"/>
    <w:rsid w:val="2BD71BFA"/>
    <w:rsid w:val="2BDE3857"/>
    <w:rsid w:val="2BE20FB4"/>
    <w:rsid w:val="2BF02C75"/>
    <w:rsid w:val="2BF131D7"/>
    <w:rsid w:val="2BF4799D"/>
    <w:rsid w:val="2BF4BAB8"/>
    <w:rsid w:val="2BF68A05"/>
    <w:rsid w:val="2BF9B860"/>
    <w:rsid w:val="2BFBCB32"/>
    <w:rsid w:val="2BFF7EC0"/>
    <w:rsid w:val="2C0012DC"/>
    <w:rsid w:val="2C00748A"/>
    <w:rsid w:val="2C00A436"/>
    <w:rsid w:val="2C00ABDE"/>
    <w:rsid w:val="2C07285D"/>
    <w:rsid w:val="2C0999F2"/>
    <w:rsid w:val="2C0A326B"/>
    <w:rsid w:val="2C0B0F4E"/>
    <w:rsid w:val="2C0DE1D9"/>
    <w:rsid w:val="2C0E51B8"/>
    <w:rsid w:val="2C10C637"/>
    <w:rsid w:val="2C1285D8"/>
    <w:rsid w:val="2C132257"/>
    <w:rsid w:val="2C155F3B"/>
    <w:rsid w:val="2C161EB7"/>
    <w:rsid w:val="2C1845CC"/>
    <w:rsid w:val="2C1A2290"/>
    <w:rsid w:val="2C1F0724"/>
    <w:rsid w:val="2C1FAE35"/>
    <w:rsid w:val="2C298910"/>
    <w:rsid w:val="2C2C81A3"/>
    <w:rsid w:val="2C2CF762"/>
    <w:rsid w:val="2C2FCFF7"/>
    <w:rsid w:val="2C30C8D8"/>
    <w:rsid w:val="2C3832AC"/>
    <w:rsid w:val="2C41AC9E"/>
    <w:rsid w:val="2C41DB4C"/>
    <w:rsid w:val="2C41E33C"/>
    <w:rsid w:val="2C4237A8"/>
    <w:rsid w:val="2C4342BB"/>
    <w:rsid w:val="2C440BD1"/>
    <w:rsid w:val="2C47962C"/>
    <w:rsid w:val="2C4B80CE"/>
    <w:rsid w:val="2C4E5D59"/>
    <w:rsid w:val="2C50FCF7"/>
    <w:rsid w:val="2C55B922"/>
    <w:rsid w:val="2C58B8CA"/>
    <w:rsid w:val="2C5D931C"/>
    <w:rsid w:val="2C61C361"/>
    <w:rsid w:val="2C627FA9"/>
    <w:rsid w:val="2C65A05E"/>
    <w:rsid w:val="2C665482"/>
    <w:rsid w:val="2C674BBA"/>
    <w:rsid w:val="2C6A99CB"/>
    <w:rsid w:val="2C6B90C9"/>
    <w:rsid w:val="2C6D97B7"/>
    <w:rsid w:val="2C717E44"/>
    <w:rsid w:val="2C71DE94"/>
    <w:rsid w:val="2C76E724"/>
    <w:rsid w:val="2C7C20E9"/>
    <w:rsid w:val="2C81A0AB"/>
    <w:rsid w:val="2C81C1A4"/>
    <w:rsid w:val="2C82C762"/>
    <w:rsid w:val="2C835041"/>
    <w:rsid w:val="2C869C53"/>
    <w:rsid w:val="2C87D607"/>
    <w:rsid w:val="2C885EB6"/>
    <w:rsid w:val="2C890FFE"/>
    <w:rsid w:val="2C89C8DA"/>
    <w:rsid w:val="2C8B2E68"/>
    <w:rsid w:val="2C8DB0C1"/>
    <w:rsid w:val="2C95509E"/>
    <w:rsid w:val="2C9D5B60"/>
    <w:rsid w:val="2C9E3752"/>
    <w:rsid w:val="2C9ECF91"/>
    <w:rsid w:val="2C9FD59C"/>
    <w:rsid w:val="2CA7AACC"/>
    <w:rsid w:val="2CA8C6D6"/>
    <w:rsid w:val="2CAAB871"/>
    <w:rsid w:val="2CAABF54"/>
    <w:rsid w:val="2CAACF3B"/>
    <w:rsid w:val="2CAC464C"/>
    <w:rsid w:val="2CAFCDD8"/>
    <w:rsid w:val="2CAFEFAC"/>
    <w:rsid w:val="2CB0BF71"/>
    <w:rsid w:val="2CB39493"/>
    <w:rsid w:val="2CB60A87"/>
    <w:rsid w:val="2CC1504C"/>
    <w:rsid w:val="2CC21BD7"/>
    <w:rsid w:val="2CC3CD70"/>
    <w:rsid w:val="2CCA7920"/>
    <w:rsid w:val="2CCC2990"/>
    <w:rsid w:val="2CCD673D"/>
    <w:rsid w:val="2CCD6C38"/>
    <w:rsid w:val="2CCD96FE"/>
    <w:rsid w:val="2CD15F2A"/>
    <w:rsid w:val="2CD446A5"/>
    <w:rsid w:val="2CD4F428"/>
    <w:rsid w:val="2CD54550"/>
    <w:rsid w:val="2CD5BBCD"/>
    <w:rsid w:val="2CD6413E"/>
    <w:rsid w:val="2CE1EE08"/>
    <w:rsid w:val="2CE546BC"/>
    <w:rsid w:val="2CE5AE58"/>
    <w:rsid w:val="2CE7D3F2"/>
    <w:rsid w:val="2CE87C02"/>
    <w:rsid w:val="2CE90BB0"/>
    <w:rsid w:val="2CE95365"/>
    <w:rsid w:val="2CEA92F0"/>
    <w:rsid w:val="2CED9D49"/>
    <w:rsid w:val="2CF24682"/>
    <w:rsid w:val="2CF41111"/>
    <w:rsid w:val="2CF53CE2"/>
    <w:rsid w:val="2CF6335C"/>
    <w:rsid w:val="2D021EFF"/>
    <w:rsid w:val="2D024960"/>
    <w:rsid w:val="2D05FCFF"/>
    <w:rsid w:val="2D073291"/>
    <w:rsid w:val="2D087BCB"/>
    <w:rsid w:val="2D09292A"/>
    <w:rsid w:val="2D0A27B9"/>
    <w:rsid w:val="2D0D27D5"/>
    <w:rsid w:val="2D106BDF"/>
    <w:rsid w:val="2D186139"/>
    <w:rsid w:val="2D1BBD27"/>
    <w:rsid w:val="2D20213B"/>
    <w:rsid w:val="2D22F825"/>
    <w:rsid w:val="2D2397E8"/>
    <w:rsid w:val="2D23D781"/>
    <w:rsid w:val="2D26B8F6"/>
    <w:rsid w:val="2D2E0489"/>
    <w:rsid w:val="2D2F1DEA"/>
    <w:rsid w:val="2D31FF1E"/>
    <w:rsid w:val="2D376CA6"/>
    <w:rsid w:val="2D3C0E96"/>
    <w:rsid w:val="2D4240A9"/>
    <w:rsid w:val="2D469864"/>
    <w:rsid w:val="2D473FA2"/>
    <w:rsid w:val="2D4B87B2"/>
    <w:rsid w:val="2D4C5196"/>
    <w:rsid w:val="2D4FE56B"/>
    <w:rsid w:val="2D537F87"/>
    <w:rsid w:val="2D54BD2B"/>
    <w:rsid w:val="2D566F35"/>
    <w:rsid w:val="2D570EFA"/>
    <w:rsid w:val="2D583474"/>
    <w:rsid w:val="2D58A3D7"/>
    <w:rsid w:val="2D5A21F8"/>
    <w:rsid w:val="2D5C0392"/>
    <w:rsid w:val="2D609978"/>
    <w:rsid w:val="2D6891B5"/>
    <w:rsid w:val="2D6943E8"/>
    <w:rsid w:val="2D6B97F5"/>
    <w:rsid w:val="2D6BCD29"/>
    <w:rsid w:val="2D6DE8EA"/>
    <w:rsid w:val="2D6F5AC1"/>
    <w:rsid w:val="2D729440"/>
    <w:rsid w:val="2D731EC8"/>
    <w:rsid w:val="2D744DCF"/>
    <w:rsid w:val="2D771095"/>
    <w:rsid w:val="2D7A90C7"/>
    <w:rsid w:val="2D83A7AB"/>
    <w:rsid w:val="2D84F552"/>
    <w:rsid w:val="2D853176"/>
    <w:rsid w:val="2D87B20B"/>
    <w:rsid w:val="2D90ADE5"/>
    <w:rsid w:val="2D930108"/>
    <w:rsid w:val="2D946F9B"/>
    <w:rsid w:val="2D95D7AB"/>
    <w:rsid w:val="2D978D6B"/>
    <w:rsid w:val="2D9D6604"/>
    <w:rsid w:val="2D9E276F"/>
    <w:rsid w:val="2D9EDDB1"/>
    <w:rsid w:val="2D9EEB9A"/>
    <w:rsid w:val="2DA447B0"/>
    <w:rsid w:val="2DA7145E"/>
    <w:rsid w:val="2DA81185"/>
    <w:rsid w:val="2DA845CE"/>
    <w:rsid w:val="2DA85586"/>
    <w:rsid w:val="2DB4E5EA"/>
    <w:rsid w:val="2DB89AE5"/>
    <w:rsid w:val="2DB8B726"/>
    <w:rsid w:val="2DBAFAF8"/>
    <w:rsid w:val="2DBBA79A"/>
    <w:rsid w:val="2DBC46E7"/>
    <w:rsid w:val="2DBF3F6B"/>
    <w:rsid w:val="2DC10F18"/>
    <w:rsid w:val="2DC31402"/>
    <w:rsid w:val="2DC316CD"/>
    <w:rsid w:val="2DC5351B"/>
    <w:rsid w:val="2DD14EB9"/>
    <w:rsid w:val="2DD4E764"/>
    <w:rsid w:val="2DD4FDB5"/>
    <w:rsid w:val="2DD5564B"/>
    <w:rsid w:val="2DD6A886"/>
    <w:rsid w:val="2DDFEE50"/>
    <w:rsid w:val="2DE0673A"/>
    <w:rsid w:val="2DE6BD7F"/>
    <w:rsid w:val="2DE72345"/>
    <w:rsid w:val="2DE9D0A5"/>
    <w:rsid w:val="2DEBF71C"/>
    <w:rsid w:val="2DEDD2A5"/>
    <w:rsid w:val="2DF2A620"/>
    <w:rsid w:val="2DF4FA72"/>
    <w:rsid w:val="2DF932F6"/>
    <w:rsid w:val="2DFDFBC3"/>
    <w:rsid w:val="2DFE4CFD"/>
    <w:rsid w:val="2E03A9FB"/>
    <w:rsid w:val="2E0694EB"/>
    <w:rsid w:val="2E06D814"/>
    <w:rsid w:val="2E07E06B"/>
    <w:rsid w:val="2E0C1AAB"/>
    <w:rsid w:val="2E0C6ACF"/>
    <w:rsid w:val="2E0FE6C8"/>
    <w:rsid w:val="2E105C22"/>
    <w:rsid w:val="2E106DCA"/>
    <w:rsid w:val="2E181818"/>
    <w:rsid w:val="2E19AC8F"/>
    <w:rsid w:val="2E1C4D78"/>
    <w:rsid w:val="2E1E76E7"/>
    <w:rsid w:val="2E1F880B"/>
    <w:rsid w:val="2E1FD090"/>
    <w:rsid w:val="2E20599C"/>
    <w:rsid w:val="2E205FE1"/>
    <w:rsid w:val="2E213965"/>
    <w:rsid w:val="2E2561E3"/>
    <w:rsid w:val="2E295FE7"/>
    <w:rsid w:val="2E31D3D3"/>
    <w:rsid w:val="2E31FAC4"/>
    <w:rsid w:val="2E34CC21"/>
    <w:rsid w:val="2E37D623"/>
    <w:rsid w:val="2E390BDF"/>
    <w:rsid w:val="2E3B8FFC"/>
    <w:rsid w:val="2E3F9C65"/>
    <w:rsid w:val="2E3FC5C8"/>
    <w:rsid w:val="2E4002D5"/>
    <w:rsid w:val="2E45DDEE"/>
    <w:rsid w:val="2E4B3847"/>
    <w:rsid w:val="2E4BC5F9"/>
    <w:rsid w:val="2E4BD5C0"/>
    <w:rsid w:val="2E4CEEE0"/>
    <w:rsid w:val="2E4DA7E2"/>
    <w:rsid w:val="2E4EB11E"/>
    <w:rsid w:val="2E51D675"/>
    <w:rsid w:val="2E55246B"/>
    <w:rsid w:val="2E581116"/>
    <w:rsid w:val="2E5C477F"/>
    <w:rsid w:val="2E5D8A11"/>
    <w:rsid w:val="2E5FB832"/>
    <w:rsid w:val="2E60F33B"/>
    <w:rsid w:val="2E6239E6"/>
    <w:rsid w:val="2E645754"/>
    <w:rsid w:val="2E672D3C"/>
    <w:rsid w:val="2E682448"/>
    <w:rsid w:val="2E68740A"/>
    <w:rsid w:val="2E6E884F"/>
    <w:rsid w:val="2E6E9903"/>
    <w:rsid w:val="2E702DBF"/>
    <w:rsid w:val="2E754A36"/>
    <w:rsid w:val="2E75DDE2"/>
    <w:rsid w:val="2E7680B8"/>
    <w:rsid w:val="2E79780E"/>
    <w:rsid w:val="2E7D94A5"/>
    <w:rsid w:val="2E7F8E16"/>
    <w:rsid w:val="2E80035A"/>
    <w:rsid w:val="2E877794"/>
    <w:rsid w:val="2E8E5A2F"/>
    <w:rsid w:val="2E8F547B"/>
    <w:rsid w:val="2E95FAD0"/>
    <w:rsid w:val="2E9A069A"/>
    <w:rsid w:val="2E9A93DC"/>
    <w:rsid w:val="2EA082E2"/>
    <w:rsid w:val="2EA1AB54"/>
    <w:rsid w:val="2EA3DE3B"/>
    <w:rsid w:val="2EAA326C"/>
    <w:rsid w:val="2EB332B0"/>
    <w:rsid w:val="2EB41EC5"/>
    <w:rsid w:val="2EB48FD2"/>
    <w:rsid w:val="2EB715FE"/>
    <w:rsid w:val="2EB805BE"/>
    <w:rsid w:val="2EB857D5"/>
    <w:rsid w:val="2EBCAF1D"/>
    <w:rsid w:val="2EBDB985"/>
    <w:rsid w:val="2EBE2B22"/>
    <w:rsid w:val="2EC0CF06"/>
    <w:rsid w:val="2EC2D60D"/>
    <w:rsid w:val="2EC394C4"/>
    <w:rsid w:val="2EC41B9A"/>
    <w:rsid w:val="2EC50253"/>
    <w:rsid w:val="2EC67C77"/>
    <w:rsid w:val="2EC745ED"/>
    <w:rsid w:val="2EC7468C"/>
    <w:rsid w:val="2EC8EE66"/>
    <w:rsid w:val="2ECB2B59"/>
    <w:rsid w:val="2ECCF382"/>
    <w:rsid w:val="2ECF9F9D"/>
    <w:rsid w:val="2ED1C39A"/>
    <w:rsid w:val="2ED2745C"/>
    <w:rsid w:val="2ED3C973"/>
    <w:rsid w:val="2ED6AB40"/>
    <w:rsid w:val="2EDA94DC"/>
    <w:rsid w:val="2EE0B0E5"/>
    <w:rsid w:val="2EE0DC7D"/>
    <w:rsid w:val="2EE7C79E"/>
    <w:rsid w:val="2EE7E8B6"/>
    <w:rsid w:val="2EEEA3AE"/>
    <w:rsid w:val="2EF102DC"/>
    <w:rsid w:val="2EF51C4F"/>
    <w:rsid w:val="2EF5B89C"/>
    <w:rsid w:val="2EF65228"/>
    <w:rsid w:val="2EFE0ABB"/>
    <w:rsid w:val="2EFFAF92"/>
    <w:rsid w:val="2F018178"/>
    <w:rsid w:val="2F021A9D"/>
    <w:rsid w:val="2F031840"/>
    <w:rsid w:val="2F044196"/>
    <w:rsid w:val="2F04B007"/>
    <w:rsid w:val="2F0DEFC0"/>
    <w:rsid w:val="2F0E1FB9"/>
    <w:rsid w:val="2F147D87"/>
    <w:rsid w:val="2F150C88"/>
    <w:rsid w:val="2F178A8E"/>
    <w:rsid w:val="2F1E4E9C"/>
    <w:rsid w:val="2F1E5143"/>
    <w:rsid w:val="2F1F4BBF"/>
    <w:rsid w:val="2F20680E"/>
    <w:rsid w:val="2F244218"/>
    <w:rsid w:val="2F28CE97"/>
    <w:rsid w:val="2F2957D9"/>
    <w:rsid w:val="2F2B06D2"/>
    <w:rsid w:val="2F2C59CC"/>
    <w:rsid w:val="2F2E5429"/>
    <w:rsid w:val="2F316CA6"/>
    <w:rsid w:val="2F3262BE"/>
    <w:rsid w:val="2F33792B"/>
    <w:rsid w:val="2F33BCE0"/>
    <w:rsid w:val="2F34BF2C"/>
    <w:rsid w:val="2F354E97"/>
    <w:rsid w:val="2F359997"/>
    <w:rsid w:val="2F384A57"/>
    <w:rsid w:val="2F3BF697"/>
    <w:rsid w:val="2F40672B"/>
    <w:rsid w:val="2F459F02"/>
    <w:rsid w:val="2F4654C6"/>
    <w:rsid w:val="2F4A4DE1"/>
    <w:rsid w:val="2F4B5476"/>
    <w:rsid w:val="2F4E8112"/>
    <w:rsid w:val="2F536A85"/>
    <w:rsid w:val="2F5AC373"/>
    <w:rsid w:val="2F5BD2D2"/>
    <w:rsid w:val="2F5C8CE9"/>
    <w:rsid w:val="2F619AD9"/>
    <w:rsid w:val="2F63C0C4"/>
    <w:rsid w:val="2F6435C0"/>
    <w:rsid w:val="2F6AD1A7"/>
    <w:rsid w:val="2F706B4D"/>
    <w:rsid w:val="2F752F0E"/>
    <w:rsid w:val="2F79160C"/>
    <w:rsid w:val="2F7C49B2"/>
    <w:rsid w:val="2F7DFB25"/>
    <w:rsid w:val="2F7E89B9"/>
    <w:rsid w:val="2F7F990B"/>
    <w:rsid w:val="2F82D931"/>
    <w:rsid w:val="2F858A49"/>
    <w:rsid w:val="2F881EB9"/>
    <w:rsid w:val="2F8B461A"/>
    <w:rsid w:val="2F8CC2DF"/>
    <w:rsid w:val="2F8FEF37"/>
    <w:rsid w:val="2F93248A"/>
    <w:rsid w:val="2F947782"/>
    <w:rsid w:val="2F95113F"/>
    <w:rsid w:val="2F95373F"/>
    <w:rsid w:val="2F9AB833"/>
    <w:rsid w:val="2F9BE91D"/>
    <w:rsid w:val="2F9E8257"/>
    <w:rsid w:val="2F9EFDAC"/>
    <w:rsid w:val="2FA31031"/>
    <w:rsid w:val="2FA55C55"/>
    <w:rsid w:val="2FAADE90"/>
    <w:rsid w:val="2FAB855C"/>
    <w:rsid w:val="2FAD6E7E"/>
    <w:rsid w:val="2FADFDD1"/>
    <w:rsid w:val="2FB03F23"/>
    <w:rsid w:val="2FB11B1C"/>
    <w:rsid w:val="2FB5B506"/>
    <w:rsid w:val="2FB96450"/>
    <w:rsid w:val="2FBC6C21"/>
    <w:rsid w:val="2FBCF6FB"/>
    <w:rsid w:val="2FC0C178"/>
    <w:rsid w:val="2FC14522"/>
    <w:rsid w:val="2FC14CD8"/>
    <w:rsid w:val="2FC3109E"/>
    <w:rsid w:val="2FC35CFA"/>
    <w:rsid w:val="2FC50CEC"/>
    <w:rsid w:val="2FC943D2"/>
    <w:rsid w:val="2FCA7408"/>
    <w:rsid w:val="2FCF9E06"/>
    <w:rsid w:val="2FD2A454"/>
    <w:rsid w:val="2FD4DC57"/>
    <w:rsid w:val="2FD5584C"/>
    <w:rsid w:val="2FD753AB"/>
    <w:rsid w:val="2FD95400"/>
    <w:rsid w:val="2FDD2CC9"/>
    <w:rsid w:val="2FDE4136"/>
    <w:rsid w:val="2FDF1C06"/>
    <w:rsid w:val="2FE0445C"/>
    <w:rsid w:val="2FE49BFE"/>
    <w:rsid w:val="2FE61B0B"/>
    <w:rsid w:val="2FF438B1"/>
    <w:rsid w:val="2FF6DCCB"/>
    <w:rsid w:val="2FFBE65B"/>
    <w:rsid w:val="2FFED200"/>
    <w:rsid w:val="3000B74C"/>
    <w:rsid w:val="300C2D71"/>
    <w:rsid w:val="301359D4"/>
    <w:rsid w:val="301756EC"/>
    <w:rsid w:val="301AD7A1"/>
    <w:rsid w:val="301BC993"/>
    <w:rsid w:val="301D1F69"/>
    <w:rsid w:val="301EBC2C"/>
    <w:rsid w:val="302C744D"/>
    <w:rsid w:val="302DB20A"/>
    <w:rsid w:val="3034A4B9"/>
    <w:rsid w:val="3036AD03"/>
    <w:rsid w:val="30385CFF"/>
    <w:rsid w:val="303A737F"/>
    <w:rsid w:val="303D8497"/>
    <w:rsid w:val="30420707"/>
    <w:rsid w:val="304438B7"/>
    <w:rsid w:val="3044AF58"/>
    <w:rsid w:val="3046D49B"/>
    <w:rsid w:val="304730CD"/>
    <w:rsid w:val="3048A84B"/>
    <w:rsid w:val="304B545F"/>
    <w:rsid w:val="304B7AEE"/>
    <w:rsid w:val="305318CA"/>
    <w:rsid w:val="3054EF32"/>
    <w:rsid w:val="30552D8C"/>
    <w:rsid w:val="305716DB"/>
    <w:rsid w:val="306248CC"/>
    <w:rsid w:val="30643B47"/>
    <w:rsid w:val="3066505A"/>
    <w:rsid w:val="3075186E"/>
    <w:rsid w:val="307B1E16"/>
    <w:rsid w:val="307B585D"/>
    <w:rsid w:val="307D55D5"/>
    <w:rsid w:val="308134E9"/>
    <w:rsid w:val="30814E51"/>
    <w:rsid w:val="30833A24"/>
    <w:rsid w:val="3087C210"/>
    <w:rsid w:val="30896B88"/>
    <w:rsid w:val="308CBCD6"/>
    <w:rsid w:val="308D964E"/>
    <w:rsid w:val="3090F1D4"/>
    <w:rsid w:val="30912162"/>
    <w:rsid w:val="30945CF7"/>
    <w:rsid w:val="309824E9"/>
    <w:rsid w:val="309DAE42"/>
    <w:rsid w:val="30A22738"/>
    <w:rsid w:val="30A47B1A"/>
    <w:rsid w:val="30A721C2"/>
    <w:rsid w:val="30A999DE"/>
    <w:rsid w:val="30AA3DDC"/>
    <w:rsid w:val="30AE9197"/>
    <w:rsid w:val="30B124BB"/>
    <w:rsid w:val="30B23399"/>
    <w:rsid w:val="30B74D7A"/>
    <w:rsid w:val="30BC0811"/>
    <w:rsid w:val="30BDD4A7"/>
    <w:rsid w:val="30C0556E"/>
    <w:rsid w:val="30C0DB8E"/>
    <w:rsid w:val="30C2738D"/>
    <w:rsid w:val="30C80A2F"/>
    <w:rsid w:val="30C95C06"/>
    <w:rsid w:val="30CC230F"/>
    <w:rsid w:val="30CDED8C"/>
    <w:rsid w:val="30DC7E00"/>
    <w:rsid w:val="30DDD867"/>
    <w:rsid w:val="30DF33DA"/>
    <w:rsid w:val="30DFB7F2"/>
    <w:rsid w:val="30E6081E"/>
    <w:rsid w:val="30E64FB2"/>
    <w:rsid w:val="30E78BAA"/>
    <w:rsid w:val="30EA4C9B"/>
    <w:rsid w:val="30EA9FDD"/>
    <w:rsid w:val="30EAECD9"/>
    <w:rsid w:val="30F14653"/>
    <w:rsid w:val="30F3261F"/>
    <w:rsid w:val="30F412A5"/>
    <w:rsid w:val="30F640BC"/>
    <w:rsid w:val="30FB52FC"/>
    <w:rsid w:val="30FB76F8"/>
    <w:rsid w:val="30FC7E40"/>
    <w:rsid w:val="30FDF5A5"/>
    <w:rsid w:val="30FEE300"/>
    <w:rsid w:val="30FF3FC4"/>
    <w:rsid w:val="3105FD00"/>
    <w:rsid w:val="3109B396"/>
    <w:rsid w:val="310D47CE"/>
    <w:rsid w:val="310DB0CD"/>
    <w:rsid w:val="310E9E36"/>
    <w:rsid w:val="311AA301"/>
    <w:rsid w:val="311AD66A"/>
    <w:rsid w:val="31266FA0"/>
    <w:rsid w:val="3127A7EF"/>
    <w:rsid w:val="312C70B4"/>
    <w:rsid w:val="3133E459"/>
    <w:rsid w:val="31379336"/>
    <w:rsid w:val="314165B6"/>
    <w:rsid w:val="3141C8F7"/>
    <w:rsid w:val="314755F0"/>
    <w:rsid w:val="314CD42D"/>
    <w:rsid w:val="314F7AD2"/>
    <w:rsid w:val="3153255A"/>
    <w:rsid w:val="3153DE61"/>
    <w:rsid w:val="315CC6D8"/>
    <w:rsid w:val="315EA26D"/>
    <w:rsid w:val="31615546"/>
    <w:rsid w:val="3163BC9A"/>
    <w:rsid w:val="316D5B23"/>
    <w:rsid w:val="316FE8A8"/>
    <w:rsid w:val="3170C0C3"/>
    <w:rsid w:val="31730867"/>
    <w:rsid w:val="3179D374"/>
    <w:rsid w:val="317AD5D5"/>
    <w:rsid w:val="317BF0DC"/>
    <w:rsid w:val="317DC24A"/>
    <w:rsid w:val="317FBA89"/>
    <w:rsid w:val="31802821"/>
    <w:rsid w:val="3185EAFE"/>
    <w:rsid w:val="318689F0"/>
    <w:rsid w:val="318D1175"/>
    <w:rsid w:val="319153E6"/>
    <w:rsid w:val="31920253"/>
    <w:rsid w:val="31952D1A"/>
    <w:rsid w:val="319627ED"/>
    <w:rsid w:val="319903BA"/>
    <w:rsid w:val="31993C8C"/>
    <w:rsid w:val="319B94FC"/>
    <w:rsid w:val="319EF8DE"/>
    <w:rsid w:val="31A1AE50"/>
    <w:rsid w:val="31A271EE"/>
    <w:rsid w:val="31A2BE29"/>
    <w:rsid w:val="31AB2D98"/>
    <w:rsid w:val="31B4CD40"/>
    <w:rsid w:val="31B771AA"/>
    <w:rsid w:val="31B7B61F"/>
    <w:rsid w:val="31B93727"/>
    <w:rsid w:val="31BCA168"/>
    <w:rsid w:val="31BCF4CD"/>
    <w:rsid w:val="31C429C6"/>
    <w:rsid w:val="31C4E2A5"/>
    <w:rsid w:val="31CAE7F6"/>
    <w:rsid w:val="31CE8959"/>
    <w:rsid w:val="31CFD0C2"/>
    <w:rsid w:val="31D48B49"/>
    <w:rsid w:val="31D85140"/>
    <w:rsid w:val="31D8589C"/>
    <w:rsid w:val="31D9D66B"/>
    <w:rsid w:val="31DB5248"/>
    <w:rsid w:val="31DE0192"/>
    <w:rsid w:val="31DE4B9F"/>
    <w:rsid w:val="31E09FD3"/>
    <w:rsid w:val="31E156CD"/>
    <w:rsid w:val="31EAAA23"/>
    <w:rsid w:val="31ED956F"/>
    <w:rsid w:val="31F07BF4"/>
    <w:rsid w:val="320159A8"/>
    <w:rsid w:val="3204A930"/>
    <w:rsid w:val="32088791"/>
    <w:rsid w:val="320C46E7"/>
    <w:rsid w:val="320E5A46"/>
    <w:rsid w:val="320F6749"/>
    <w:rsid w:val="3214EA47"/>
    <w:rsid w:val="32153EED"/>
    <w:rsid w:val="32187982"/>
    <w:rsid w:val="321D5D49"/>
    <w:rsid w:val="321F8D86"/>
    <w:rsid w:val="32201BA9"/>
    <w:rsid w:val="3220C7B1"/>
    <w:rsid w:val="32223A38"/>
    <w:rsid w:val="3227F0A7"/>
    <w:rsid w:val="322ADBA6"/>
    <w:rsid w:val="32318A98"/>
    <w:rsid w:val="3231F5AD"/>
    <w:rsid w:val="3238096F"/>
    <w:rsid w:val="323F3CD9"/>
    <w:rsid w:val="3240C669"/>
    <w:rsid w:val="32462236"/>
    <w:rsid w:val="325672A3"/>
    <w:rsid w:val="32598838"/>
    <w:rsid w:val="325FC44B"/>
    <w:rsid w:val="3260F2DC"/>
    <w:rsid w:val="32614B74"/>
    <w:rsid w:val="32631636"/>
    <w:rsid w:val="3263236B"/>
    <w:rsid w:val="3264909F"/>
    <w:rsid w:val="32670C39"/>
    <w:rsid w:val="326B428E"/>
    <w:rsid w:val="326D6433"/>
    <w:rsid w:val="32723DAA"/>
    <w:rsid w:val="3272566E"/>
    <w:rsid w:val="3276CB60"/>
    <w:rsid w:val="3276D5C4"/>
    <w:rsid w:val="3278989C"/>
    <w:rsid w:val="3279864E"/>
    <w:rsid w:val="327C0E31"/>
    <w:rsid w:val="3283E154"/>
    <w:rsid w:val="32852BD5"/>
    <w:rsid w:val="328627D8"/>
    <w:rsid w:val="32864FFF"/>
    <w:rsid w:val="328EA842"/>
    <w:rsid w:val="3290D081"/>
    <w:rsid w:val="3294E755"/>
    <w:rsid w:val="32A326C5"/>
    <w:rsid w:val="32A57016"/>
    <w:rsid w:val="32A62E3F"/>
    <w:rsid w:val="32A6B213"/>
    <w:rsid w:val="32A728F0"/>
    <w:rsid w:val="32AB313C"/>
    <w:rsid w:val="32ACF633"/>
    <w:rsid w:val="32B19B63"/>
    <w:rsid w:val="32B2F359"/>
    <w:rsid w:val="32B69052"/>
    <w:rsid w:val="32B8BF01"/>
    <w:rsid w:val="32C0EFCD"/>
    <w:rsid w:val="32C2058A"/>
    <w:rsid w:val="32C2BFC0"/>
    <w:rsid w:val="32C2FF1B"/>
    <w:rsid w:val="32C38D11"/>
    <w:rsid w:val="32C3EE31"/>
    <w:rsid w:val="32C5432A"/>
    <w:rsid w:val="32CAE3FF"/>
    <w:rsid w:val="32CC77D1"/>
    <w:rsid w:val="32CC9296"/>
    <w:rsid w:val="32CCC3DD"/>
    <w:rsid w:val="32CDB86F"/>
    <w:rsid w:val="32CEE5F1"/>
    <w:rsid w:val="32D3A74D"/>
    <w:rsid w:val="32D6A103"/>
    <w:rsid w:val="32DBE27A"/>
    <w:rsid w:val="32DE2D70"/>
    <w:rsid w:val="32E38D5D"/>
    <w:rsid w:val="32E682FE"/>
    <w:rsid w:val="32E6CFFA"/>
    <w:rsid w:val="32E84725"/>
    <w:rsid w:val="32E88E89"/>
    <w:rsid w:val="32F249BF"/>
    <w:rsid w:val="32F2FCF4"/>
    <w:rsid w:val="32F3F0F3"/>
    <w:rsid w:val="32F55081"/>
    <w:rsid w:val="32F59BC5"/>
    <w:rsid w:val="32F5EA0F"/>
    <w:rsid w:val="32F7DC22"/>
    <w:rsid w:val="32F8D878"/>
    <w:rsid w:val="32F95303"/>
    <w:rsid w:val="32F98DE9"/>
    <w:rsid w:val="32FC6173"/>
    <w:rsid w:val="32FDF469"/>
    <w:rsid w:val="330281D6"/>
    <w:rsid w:val="33083C2C"/>
    <w:rsid w:val="3308FB70"/>
    <w:rsid w:val="3309D91E"/>
    <w:rsid w:val="330C431D"/>
    <w:rsid w:val="330C88C0"/>
    <w:rsid w:val="330E4863"/>
    <w:rsid w:val="3310FDEE"/>
    <w:rsid w:val="33123A4C"/>
    <w:rsid w:val="3314076C"/>
    <w:rsid w:val="3317A016"/>
    <w:rsid w:val="33193A9D"/>
    <w:rsid w:val="331FB63A"/>
    <w:rsid w:val="33216149"/>
    <w:rsid w:val="33231D1F"/>
    <w:rsid w:val="33246635"/>
    <w:rsid w:val="33292CA8"/>
    <w:rsid w:val="332A3606"/>
    <w:rsid w:val="332A9C06"/>
    <w:rsid w:val="332C58A0"/>
    <w:rsid w:val="332DB8F1"/>
    <w:rsid w:val="332FF263"/>
    <w:rsid w:val="3332AC62"/>
    <w:rsid w:val="3333F174"/>
    <w:rsid w:val="3335D810"/>
    <w:rsid w:val="33361C8F"/>
    <w:rsid w:val="33364785"/>
    <w:rsid w:val="3337E363"/>
    <w:rsid w:val="333B4B18"/>
    <w:rsid w:val="33439228"/>
    <w:rsid w:val="3343B1EF"/>
    <w:rsid w:val="33462A8A"/>
    <w:rsid w:val="3346B105"/>
    <w:rsid w:val="33488911"/>
    <w:rsid w:val="334BB9EC"/>
    <w:rsid w:val="334D1511"/>
    <w:rsid w:val="334D87EF"/>
    <w:rsid w:val="334EFC50"/>
    <w:rsid w:val="334F45C3"/>
    <w:rsid w:val="334F4D6B"/>
    <w:rsid w:val="33512465"/>
    <w:rsid w:val="3353D969"/>
    <w:rsid w:val="33664A64"/>
    <w:rsid w:val="336C57FE"/>
    <w:rsid w:val="336DECFB"/>
    <w:rsid w:val="336E6DF7"/>
    <w:rsid w:val="336FE984"/>
    <w:rsid w:val="337288E9"/>
    <w:rsid w:val="3374BCD9"/>
    <w:rsid w:val="337E2542"/>
    <w:rsid w:val="337F7898"/>
    <w:rsid w:val="338071E3"/>
    <w:rsid w:val="338999DF"/>
    <w:rsid w:val="338AA559"/>
    <w:rsid w:val="338C5C8A"/>
    <w:rsid w:val="338D35A1"/>
    <w:rsid w:val="338E6635"/>
    <w:rsid w:val="338E6F4D"/>
    <w:rsid w:val="338FDAAD"/>
    <w:rsid w:val="33940352"/>
    <w:rsid w:val="33985564"/>
    <w:rsid w:val="339912EC"/>
    <w:rsid w:val="339E8F84"/>
    <w:rsid w:val="339FF831"/>
    <w:rsid w:val="33A16275"/>
    <w:rsid w:val="33A46FAD"/>
    <w:rsid w:val="33A743C8"/>
    <w:rsid w:val="33A7FD02"/>
    <w:rsid w:val="33A8C4E8"/>
    <w:rsid w:val="33ABA196"/>
    <w:rsid w:val="33AC1DA1"/>
    <w:rsid w:val="33BADD32"/>
    <w:rsid w:val="33BCDD2F"/>
    <w:rsid w:val="33BE65F4"/>
    <w:rsid w:val="33C32541"/>
    <w:rsid w:val="33C330F0"/>
    <w:rsid w:val="33C5C7D1"/>
    <w:rsid w:val="33C78677"/>
    <w:rsid w:val="33C8C19C"/>
    <w:rsid w:val="33CA739E"/>
    <w:rsid w:val="33CB726F"/>
    <w:rsid w:val="33CDEB25"/>
    <w:rsid w:val="33D248FD"/>
    <w:rsid w:val="33D488DC"/>
    <w:rsid w:val="33D514D9"/>
    <w:rsid w:val="33DD2D09"/>
    <w:rsid w:val="33E7900B"/>
    <w:rsid w:val="33F4A24E"/>
    <w:rsid w:val="33F52EF7"/>
    <w:rsid w:val="33F7D932"/>
    <w:rsid w:val="33F87EDC"/>
    <w:rsid w:val="33F9B83C"/>
    <w:rsid w:val="33FC5003"/>
    <w:rsid w:val="33FCE2C6"/>
    <w:rsid w:val="340560D5"/>
    <w:rsid w:val="3406FA54"/>
    <w:rsid w:val="34087A21"/>
    <w:rsid w:val="340B97B9"/>
    <w:rsid w:val="340F6196"/>
    <w:rsid w:val="3416429A"/>
    <w:rsid w:val="34169E11"/>
    <w:rsid w:val="34203361"/>
    <w:rsid w:val="3421A588"/>
    <w:rsid w:val="342839A3"/>
    <w:rsid w:val="3428BC0B"/>
    <w:rsid w:val="342E5FB8"/>
    <w:rsid w:val="342F4E68"/>
    <w:rsid w:val="343452E3"/>
    <w:rsid w:val="34380C03"/>
    <w:rsid w:val="3438E1F8"/>
    <w:rsid w:val="3439E97D"/>
    <w:rsid w:val="343D2F90"/>
    <w:rsid w:val="344081E1"/>
    <w:rsid w:val="34470159"/>
    <w:rsid w:val="34489293"/>
    <w:rsid w:val="344A4B84"/>
    <w:rsid w:val="344A4CC7"/>
    <w:rsid w:val="344A7E79"/>
    <w:rsid w:val="344A8EDB"/>
    <w:rsid w:val="344AFAD8"/>
    <w:rsid w:val="344B117E"/>
    <w:rsid w:val="344D0B83"/>
    <w:rsid w:val="34514D7E"/>
    <w:rsid w:val="3453BA73"/>
    <w:rsid w:val="34554B44"/>
    <w:rsid w:val="3455E8C2"/>
    <w:rsid w:val="345835F2"/>
    <w:rsid w:val="345874CD"/>
    <w:rsid w:val="345FE3E1"/>
    <w:rsid w:val="34607D6F"/>
    <w:rsid w:val="3461CA82"/>
    <w:rsid w:val="3466B131"/>
    <w:rsid w:val="3466CED2"/>
    <w:rsid w:val="346BB588"/>
    <w:rsid w:val="347543C9"/>
    <w:rsid w:val="34774366"/>
    <w:rsid w:val="347AD9E4"/>
    <w:rsid w:val="347BE306"/>
    <w:rsid w:val="347D1FC4"/>
    <w:rsid w:val="3487E2D5"/>
    <w:rsid w:val="34888B77"/>
    <w:rsid w:val="348CF315"/>
    <w:rsid w:val="348D8159"/>
    <w:rsid w:val="34905700"/>
    <w:rsid w:val="3490F7DD"/>
    <w:rsid w:val="3491AA17"/>
    <w:rsid w:val="349F79B8"/>
    <w:rsid w:val="349F8B14"/>
    <w:rsid w:val="34A1B2E6"/>
    <w:rsid w:val="34A286FF"/>
    <w:rsid w:val="34A6C1F2"/>
    <w:rsid w:val="34A911B4"/>
    <w:rsid w:val="34AC7365"/>
    <w:rsid w:val="34AE603C"/>
    <w:rsid w:val="34AF2A41"/>
    <w:rsid w:val="34B06FFA"/>
    <w:rsid w:val="34B66CDB"/>
    <w:rsid w:val="34B82EA8"/>
    <w:rsid w:val="34BDC2D7"/>
    <w:rsid w:val="34BE6575"/>
    <w:rsid w:val="34C1C84D"/>
    <w:rsid w:val="34C1E512"/>
    <w:rsid w:val="34C8FA6A"/>
    <w:rsid w:val="34C944FA"/>
    <w:rsid w:val="34CBC224"/>
    <w:rsid w:val="34D1406E"/>
    <w:rsid w:val="34D1A3BA"/>
    <w:rsid w:val="34D49974"/>
    <w:rsid w:val="34D94FD8"/>
    <w:rsid w:val="34E03D78"/>
    <w:rsid w:val="34E4140B"/>
    <w:rsid w:val="34EAD5D7"/>
    <w:rsid w:val="34EB3F86"/>
    <w:rsid w:val="34ED7160"/>
    <w:rsid w:val="34EF5AE5"/>
    <w:rsid w:val="34F48235"/>
    <w:rsid w:val="34F6BD63"/>
    <w:rsid w:val="34F8F74E"/>
    <w:rsid w:val="34F8FFB4"/>
    <w:rsid w:val="34FA6F67"/>
    <w:rsid w:val="34FD941C"/>
    <w:rsid w:val="35021A49"/>
    <w:rsid w:val="3504356B"/>
    <w:rsid w:val="350A0ED4"/>
    <w:rsid w:val="350B7910"/>
    <w:rsid w:val="350CFA1A"/>
    <w:rsid w:val="350DEB67"/>
    <w:rsid w:val="350E5AC1"/>
    <w:rsid w:val="351131B7"/>
    <w:rsid w:val="3511E026"/>
    <w:rsid w:val="351C1294"/>
    <w:rsid w:val="3520E744"/>
    <w:rsid w:val="35253F54"/>
    <w:rsid w:val="352797C2"/>
    <w:rsid w:val="352AA5A7"/>
    <w:rsid w:val="353294EB"/>
    <w:rsid w:val="35377937"/>
    <w:rsid w:val="353DB3CD"/>
    <w:rsid w:val="353F83F2"/>
    <w:rsid w:val="3541EF99"/>
    <w:rsid w:val="3542C2C8"/>
    <w:rsid w:val="3542DE4C"/>
    <w:rsid w:val="35435317"/>
    <w:rsid w:val="3546954F"/>
    <w:rsid w:val="354B1C00"/>
    <w:rsid w:val="354DDD3E"/>
    <w:rsid w:val="354EF6BA"/>
    <w:rsid w:val="3558B3C2"/>
    <w:rsid w:val="355916D3"/>
    <w:rsid w:val="355C0C8C"/>
    <w:rsid w:val="355C9779"/>
    <w:rsid w:val="355D165E"/>
    <w:rsid w:val="355E2B66"/>
    <w:rsid w:val="356215C1"/>
    <w:rsid w:val="35623608"/>
    <w:rsid w:val="356277D3"/>
    <w:rsid w:val="35678BB1"/>
    <w:rsid w:val="3568385B"/>
    <w:rsid w:val="35686D82"/>
    <w:rsid w:val="3568C7E1"/>
    <w:rsid w:val="35691757"/>
    <w:rsid w:val="356C869E"/>
    <w:rsid w:val="356D0789"/>
    <w:rsid w:val="3570F106"/>
    <w:rsid w:val="35715447"/>
    <w:rsid w:val="35725E08"/>
    <w:rsid w:val="3574ADE4"/>
    <w:rsid w:val="35753C0D"/>
    <w:rsid w:val="35756138"/>
    <w:rsid w:val="35782A21"/>
    <w:rsid w:val="35792588"/>
    <w:rsid w:val="357A3236"/>
    <w:rsid w:val="357C95CC"/>
    <w:rsid w:val="3580C51B"/>
    <w:rsid w:val="3588370F"/>
    <w:rsid w:val="35896CB6"/>
    <w:rsid w:val="358B49CB"/>
    <w:rsid w:val="35921FBA"/>
    <w:rsid w:val="3592A501"/>
    <w:rsid w:val="3592F2F4"/>
    <w:rsid w:val="3594F351"/>
    <w:rsid w:val="3596C595"/>
    <w:rsid w:val="35992EA7"/>
    <w:rsid w:val="359AC83C"/>
    <w:rsid w:val="35A357B9"/>
    <w:rsid w:val="35A3BAE4"/>
    <w:rsid w:val="35A3E49B"/>
    <w:rsid w:val="35A5B356"/>
    <w:rsid w:val="35AC332B"/>
    <w:rsid w:val="35ADA4B2"/>
    <w:rsid w:val="35AF6CED"/>
    <w:rsid w:val="35B0533D"/>
    <w:rsid w:val="35B23D3C"/>
    <w:rsid w:val="35B26178"/>
    <w:rsid w:val="35B301D7"/>
    <w:rsid w:val="35B85659"/>
    <w:rsid w:val="35B93F6E"/>
    <w:rsid w:val="35B94D47"/>
    <w:rsid w:val="35BCBCEE"/>
    <w:rsid w:val="35BD43DC"/>
    <w:rsid w:val="35C00316"/>
    <w:rsid w:val="35C0051E"/>
    <w:rsid w:val="35C15A54"/>
    <w:rsid w:val="35C3A4DC"/>
    <w:rsid w:val="35C6DF92"/>
    <w:rsid w:val="35CE53E7"/>
    <w:rsid w:val="35CFAC9F"/>
    <w:rsid w:val="35D0A152"/>
    <w:rsid w:val="35D7EAB0"/>
    <w:rsid w:val="35D8394D"/>
    <w:rsid w:val="35D88D51"/>
    <w:rsid w:val="35DBD0CA"/>
    <w:rsid w:val="35DCF0F9"/>
    <w:rsid w:val="35E3B267"/>
    <w:rsid w:val="35E46EB8"/>
    <w:rsid w:val="35EBF5ED"/>
    <w:rsid w:val="35F13570"/>
    <w:rsid w:val="35F4A59D"/>
    <w:rsid w:val="35F8064C"/>
    <w:rsid w:val="35F9CEBC"/>
    <w:rsid w:val="35FFF842"/>
    <w:rsid w:val="36023E37"/>
    <w:rsid w:val="36039158"/>
    <w:rsid w:val="360459C3"/>
    <w:rsid w:val="3604B5BC"/>
    <w:rsid w:val="36097FA3"/>
    <w:rsid w:val="36099D4B"/>
    <w:rsid w:val="360BFD87"/>
    <w:rsid w:val="360CBD0B"/>
    <w:rsid w:val="3615A1CF"/>
    <w:rsid w:val="36160F75"/>
    <w:rsid w:val="3616F74E"/>
    <w:rsid w:val="3618EC92"/>
    <w:rsid w:val="361B65EC"/>
    <w:rsid w:val="361C2E0C"/>
    <w:rsid w:val="361E15E3"/>
    <w:rsid w:val="361F8851"/>
    <w:rsid w:val="3629F1B5"/>
    <w:rsid w:val="362E1E4C"/>
    <w:rsid w:val="363403B8"/>
    <w:rsid w:val="36361D68"/>
    <w:rsid w:val="3637C918"/>
    <w:rsid w:val="363A0169"/>
    <w:rsid w:val="364A0568"/>
    <w:rsid w:val="364DEC91"/>
    <w:rsid w:val="364FC076"/>
    <w:rsid w:val="36524286"/>
    <w:rsid w:val="36529170"/>
    <w:rsid w:val="365364C7"/>
    <w:rsid w:val="36548AD8"/>
    <w:rsid w:val="3654A3A2"/>
    <w:rsid w:val="36560998"/>
    <w:rsid w:val="3656780D"/>
    <w:rsid w:val="365A2370"/>
    <w:rsid w:val="365D2932"/>
    <w:rsid w:val="3669B907"/>
    <w:rsid w:val="366B324E"/>
    <w:rsid w:val="366CF668"/>
    <w:rsid w:val="366D5A30"/>
    <w:rsid w:val="366EEF89"/>
    <w:rsid w:val="36792930"/>
    <w:rsid w:val="3680FB42"/>
    <w:rsid w:val="368F3B22"/>
    <w:rsid w:val="36936FE2"/>
    <w:rsid w:val="36944E72"/>
    <w:rsid w:val="36945536"/>
    <w:rsid w:val="36955903"/>
    <w:rsid w:val="36A06F5E"/>
    <w:rsid w:val="36A42040"/>
    <w:rsid w:val="36AD2832"/>
    <w:rsid w:val="36ADCEB7"/>
    <w:rsid w:val="36B01019"/>
    <w:rsid w:val="36B16F74"/>
    <w:rsid w:val="36B4D6B1"/>
    <w:rsid w:val="36BC58B0"/>
    <w:rsid w:val="36BC8BD4"/>
    <w:rsid w:val="36BDE0CA"/>
    <w:rsid w:val="36C2FA60"/>
    <w:rsid w:val="36C3CBA1"/>
    <w:rsid w:val="36CA7CD3"/>
    <w:rsid w:val="36CA9329"/>
    <w:rsid w:val="36CEE1AB"/>
    <w:rsid w:val="36CF92DF"/>
    <w:rsid w:val="36D18B36"/>
    <w:rsid w:val="36D3A39C"/>
    <w:rsid w:val="36D7EE9F"/>
    <w:rsid w:val="36DCBDEA"/>
    <w:rsid w:val="36E5D9E8"/>
    <w:rsid w:val="36E79608"/>
    <w:rsid w:val="36F566E8"/>
    <w:rsid w:val="36F73B59"/>
    <w:rsid w:val="3700581D"/>
    <w:rsid w:val="37014B72"/>
    <w:rsid w:val="37024DE8"/>
    <w:rsid w:val="37040D41"/>
    <w:rsid w:val="3705F744"/>
    <w:rsid w:val="3706DCD2"/>
    <w:rsid w:val="370BE620"/>
    <w:rsid w:val="370E08DD"/>
    <w:rsid w:val="370E85A5"/>
    <w:rsid w:val="370EDDBA"/>
    <w:rsid w:val="370EF97B"/>
    <w:rsid w:val="37140AD0"/>
    <w:rsid w:val="3714BDAC"/>
    <w:rsid w:val="371B5E16"/>
    <w:rsid w:val="371D2DB5"/>
    <w:rsid w:val="371E03EA"/>
    <w:rsid w:val="371E9964"/>
    <w:rsid w:val="371EC9D2"/>
    <w:rsid w:val="37211866"/>
    <w:rsid w:val="3721488E"/>
    <w:rsid w:val="372321A4"/>
    <w:rsid w:val="3723FA77"/>
    <w:rsid w:val="37256DD8"/>
    <w:rsid w:val="3729615E"/>
    <w:rsid w:val="372ACBA3"/>
    <w:rsid w:val="372B9AC3"/>
    <w:rsid w:val="37311F5E"/>
    <w:rsid w:val="3732D8AF"/>
    <w:rsid w:val="3734F6DA"/>
    <w:rsid w:val="3736B0C4"/>
    <w:rsid w:val="37371259"/>
    <w:rsid w:val="3738B742"/>
    <w:rsid w:val="37392A21"/>
    <w:rsid w:val="373C3D97"/>
    <w:rsid w:val="3742C08C"/>
    <w:rsid w:val="3744C3CB"/>
    <w:rsid w:val="37486D7F"/>
    <w:rsid w:val="3749B26B"/>
    <w:rsid w:val="374B59DC"/>
    <w:rsid w:val="374CD176"/>
    <w:rsid w:val="3751A40D"/>
    <w:rsid w:val="37586049"/>
    <w:rsid w:val="3758B0D7"/>
    <w:rsid w:val="375C73A2"/>
    <w:rsid w:val="375DED87"/>
    <w:rsid w:val="375E665C"/>
    <w:rsid w:val="376126AC"/>
    <w:rsid w:val="3761788A"/>
    <w:rsid w:val="37618A8D"/>
    <w:rsid w:val="37630708"/>
    <w:rsid w:val="37630FDB"/>
    <w:rsid w:val="3765CD52"/>
    <w:rsid w:val="37670013"/>
    <w:rsid w:val="376A5A05"/>
    <w:rsid w:val="376AD27A"/>
    <w:rsid w:val="376CFD3D"/>
    <w:rsid w:val="376F495E"/>
    <w:rsid w:val="37710598"/>
    <w:rsid w:val="37747FEA"/>
    <w:rsid w:val="377984BB"/>
    <w:rsid w:val="3779C9B1"/>
    <w:rsid w:val="377FC397"/>
    <w:rsid w:val="3791D32F"/>
    <w:rsid w:val="3793B353"/>
    <w:rsid w:val="379694FF"/>
    <w:rsid w:val="37980480"/>
    <w:rsid w:val="3798E189"/>
    <w:rsid w:val="379B2EA0"/>
    <w:rsid w:val="37A3254F"/>
    <w:rsid w:val="37A36272"/>
    <w:rsid w:val="37A7958A"/>
    <w:rsid w:val="37AA8295"/>
    <w:rsid w:val="37AB4970"/>
    <w:rsid w:val="37B1DFEB"/>
    <w:rsid w:val="37B2790F"/>
    <w:rsid w:val="37B57CF2"/>
    <w:rsid w:val="37B64A67"/>
    <w:rsid w:val="37BBD2FA"/>
    <w:rsid w:val="37C55C45"/>
    <w:rsid w:val="37C6EBFE"/>
    <w:rsid w:val="37CD3D6B"/>
    <w:rsid w:val="37CFA96C"/>
    <w:rsid w:val="37D25826"/>
    <w:rsid w:val="37D496E4"/>
    <w:rsid w:val="37D8D5E9"/>
    <w:rsid w:val="37D93A28"/>
    <w:rsid w:val="37DB03F7"/>
    <w:rsid w:val="37DEBA69"/>
    <w:rsid w:val="37DF4050"/>
    <w:rsid w:val="37E02B32"/>
    <w:rsid w:val="37E27D22"/>
    <w:rsid w:val="37E2D4D5"/>
    <w:rsid w:val="37E48605"/>
    <w:rsid w:val="37EF06FE"/>
    <w:rsid w:val="37EF2F3F"/>
    <w:rsid w:val="37EFB0D4"/>
    <w:rsid w:val="37F04840"/>
    <w:rsid w:val="37F4D1AC"/>
    <w:rsid w:val="37F7CDFE"/>
    <w:rsid w:val="37F95731"/>
    <w:rsid w:val="37F96BC6"/>
    <w:rsid w:val="37FCE83B"/>
    <w:rsid w:val="380184CD"/>
    <w:rsid w:val="380690BB"/>
    <w:rsid w:val="38082715"/>
    <w:rsid w:val="3809E755"/>
    <w:rsid w:val="380A4932"/>
    <w:rsid w:val="380D3585"/>
    <w:rsid w:val="3817ABED"/>
    <w:rsid w:val="38185F35"/>
    <w:rsid w:val="3819990E"/>
    <w:rsid w:val="381ADD90"/>
    <w:rsid w:val="381BD87D"/>
    <w:rsid w:val="381CF28D"/>
    <w:rsid w:val="381EFEB3"/>
    <w:rsid w:val="381FAF17"/>
    <w:rsid w:val="381FF4DC"/>
    <w:rsid w:val="38208FFF"/>
    <w:rsid w:val="3820CA64"/>
    <w:rsid w:val="382A62F5"/>
    <w:rsid w:val="382AB70E"/>
    <w:rsid w:val="382DC936"/>
    <w:rsid w:val="382EEAC3"/>
    <w:rsid w:val="3835BF01"/>
    <w:rsid w:val="383899DA"/>
    <w:rsid w:val="383B54DB"/>
    <w:rsid w:val="383E586C"/>
    <w:rsid w:val="383ECDA6"/>
    <w:rsid w:val="383EE113"/>
    <w:rsid w:val="38402D7D"/>
    <w:rsid w:val="38476BCB"/>
    <w:rsid w:val="384773C1"/>
    <w:rsid w:val="384AE5AE"/>
    <w:rsid w:val="384B79B4"/>
    <w:rsid w:val="384C20F2"/>
    <w:rsid w:val="38504B25"/>
    <w:rsid w:val="38520BA9"/>
    <w:rsid w:val="38538B5C"/>
    <w:rsid w:val="38554DFE"/>
    <w:rsid w:val="3858BC4F"/>
    <w:rsid w:val="385926A1"/>
    <w:rsid w:val="3859A777"/>
    <w:rsid w:val="385C86E3"/>
    <w:rsid w:val="385D5DB1"/>
    <w:rsid w:val="385F30EC"/>
    <w:rsid w:val="3860CEBB"/>
    <w:rsid w:val="3861405D"/>
    <w:rsid w:val="38638921"/>
    <w:rsid w:val="3865BD5C"/>
    <w:rsid w:val="3865E85A"/>
    <w:rsid w:val="386B2207"/>
    <w:rsid w:val="386BCDE4"/>
    <w:rsid w:val="386DBC0A"/>
    <w:rsid w:val="386EE3CE"/>
    <w:rsid w:val="3876482F"/>
    <w:rsid w:val="387654C2"/>
    <w:rsid w:val="3879AB00"/>
    <w:rsid w:val="387AD91A"/>
    <w:rsid w:val="387ED487"/>
    <w:rsid w:val="387EE62D"/>
    <w:rsid w:val="3881A9E1"/>
    <w:rsid w:val="388DA1B0"/>
    <w:rsid w:val="388E64BD"/>
    <w:rsid w:val="389127C1"/>
    <w:rsid w:val="3894B351"/>
    <w:rsid w:val="389C479A"/>
    <w:rsid w:val="38A383C5"/>
    <w:rsid w:val="38A9D2AA"/>
    <w:rsid w:val="38AF7490"/>
    <w:rsid w:val="38AFCB75"/>
    <w:rsid w:val="38AFF876"/>
    <w:rsid w:val="38B1CCD0"/>
    <w:rsid w:val="38B56AAE"/>
    <w:rsid w:val="38B890F2"/>
    <w:rsid w:val="38B94265"/>
    <w:rsid w:val="38C25229"/>
    <w:rsid w:val="38C43A39"/>
    <w:rsid w:val="38C69D02"/>
    <w:rsid w:val="38C7934B"/>
    <w:rsid w:val="38CDC3D8"/>
    <w:rsid w:val="38CE2CBB"/>
    <w:rsid w:val="38CED325"/>
    <w:rsid w:val="38CFA00D"/>
    <w:rsid w:val="38CFF7CF"/>
    <w:rsid w:val="38D439E8"/>
    <w:rsid w:val="38D64E7A"/>
    <w:rsid w:val="38DDA5D1"/>
    <w:rsid w:val="38DE99CC"/>
    <w:rsid w:val="38E0D1DE"/>
    <w:rsid w:val="38E2E585"/>
    <w:rsid w:val="38EDC8B0"/>
    <w:rsid w:val="38EE1D35"/>
    <w:rsid w:val="38EE6DC2"/>
    <w:rsid w:val="38F051A5"/>
    <w:rsid w:val="38F10946"/>
    <w:rsid w:val="38F3A120"/>
    <w:rsid w:val="38F92ACA"/>
    <w:rsid w:val="38F9C981"/>
    <w:rsid w:val="38FB3BF5"/>
    <w:rsid w:val="38FCF68C"/>
    <w:rsid w:val="38FD013B"/>
    <w:rsid w:val="38FF5D76"/>
    <w:rsid w:val="3900C03A"/>
    <w:rsid w:val="390296E8"/>
    <w:rsid w:val="39043016"/>
    <w:rsid w:val="39044123"/>
    <w:rsid w:val="39044591"/>
    <w:rsid w:val="390995A0"/>
    <w:rsid w:val="3909BFDA"/>
    <w:rsid w:val="390BA022"/>
    <w:rsid w:val="390C3856"/>
    <w:rsid w:val="390D8AFB"/>
    <w:rsid w:val="390ECF3E"/>
    <w:rsid w:val="39107EAF"/>
    <w:rsid w:val="39112098"/>
    <w:rsid w:val="3914F82F"/>
    <w:rsid w:val="39172EB7"/>
    <w:rsid w:val="39174A2B"/>
    <w:rsid w:val="3919AC2B"/>
    <w:rsid w:val="391ADECB"/>
    <w:rsid w:val="391F86D3"/>
    <w:rsid w:val="3922900F"/>
    <w:rsid w:val="3922B119"/>
    <w:rsid w:val="39235A82"/>
    <w:rsid w:val="3924D7B8"/>
    <w:rsid w:val="39264F53"/>
    <w:rsid w:val="3928614F"/>
    <w:rsid w:val="392F0B84"/>
    <w:rsid w:val="392F61D1"/>
    <w:rsid w:val="39350321"/>
    <w:rsid w:val="393738E8"/>
    <w:rsid w:val="393EAA0B"/>
    <w:rsid w:val="39401F4A"/>
    <w:rsid w:val="394463F3"/>
    <w:rsid w:val="3946A96E"/>
    <w:rsid w:val="394915F4"/>
    <w:rsid w:val="39494BEA"/>
    <w:rsid w:val="394A3098"/>
    <w:rsid w:val="394E4198"/>
    <w:rsid w:val="394F7999"/>
    <w:rsid w:val="3951336F"/>
    <w:rsid w:val="3952B047"/>
    <w:rsid w:val="395478B3"/>
    <w:rsid w:val="39596EBA"/>
    <w:rsid w:val="395A8373"/>
    <w:rsid w:val="395DE79F"/>
    <w:rsid w:val="395E0143"/>
    <w:rsid w:val="3965A50B"/>
    <w:rsid w:val="39679887"/>
    <w:rsid w:val="396B0A18"/>
    <w:rsid w:val="396CA8DC"/>
    <w:rsid w:val="396D3C23"/>
    <w:rsid w:val="397079BF"/>
    <w:rsid w:val="3971D718"/>
    <w:rsid w:val="397301F4"/>
    <w:rsid w:val="39748F3F"/>
    <w:rsid w:val="39750264"/>
    <w:rsid w:val="397524AD"/>
    <w:rsid w:val="3979C364"/>
    <w:rsid w:val="397FAD01"/>
    <w:rsid w:val="3983FF81"/>
    <w:rsid w:val="398C8F7C"/>
    <w:rsid w:val="3990AFD0"/>
    <w:rsid w:val="39921443"/>
    <w:rsid w:val="3992784D"/>
    <w:rsid w:val="39936FDB"/>
    <w:rsid w:val="399524E9"/>
    <w:rsid w:val="3995D5E6"/>
    <w:rsid w:val="3999239D"/>
    <w:rsid w:val="399A6C69"/>
    <w:rsid w:val="399C4A15"/>
    <w:rsid w:val="39A045CA"/>
    <w:rsid w:val="39A13312"/>
    <w:rsid w:val="39A6D23F"/>
    <w:rsid w:val="39AB376E"/>
    <w:rsid w:val="39ABA020"/>
    <w:rsid w:val="39AF8EB4"/>
    <w:rsid w:val="39B2EFB5"/>
    <w:rsid w:val="39B40AB2"/>
    <w:rsid w:val="39B6AEAD"/>
    <w:rsid w:val="39B7E977"/>
    <w:rsid w:val="39C098CC"/>
    <w:rsid w:val="39C1918A"/>
    <w:rsid w:val="39C4820B"/>
    <w:rsid w:val="39C5A495"/>
    <w:rsid w:val="39C6D106"/>
    <w:rsid w:val="39D0F712"/>
    <w:rsid w:val="39D464C8"/>
    <w:rsid w:val="39D55575"/>
    <w:rsid w:val="39D65C3C"/>
    <w:rsid w:val="39D72D98"/>
    <w:rsid w:val="39D89940"/>
    <w:rsid w:val="39DA194C"/>
    <w:rsid w:val="39DBE980"/>
    <w:rsid w:val="39DD5B56"/>
    <w:rsid w:val="39E3EFBB"/>
    <w:rsid w:val="39E91732"/>
    <w:rsid w:val="39EA4540"/>
    <w:rsid w:val="39EC8D2B"/>
    <w:rsid w:val="39ECDE13"/>
    <w:rsid w:val="39ED3821"/>
    <w:rsid w:val="39F360F4"/>
    <w:rsid w:val="39F3FC5C"/>
    <w:rsid w:val="39F51A6D"/>
    <w:rsid w:val="39FA3A06"/>
    <w:rsid w:val="39FF93CA"/>
    <w:rsid w:val="3A0147FC"/>
    <w:rsid w:val="3A0266E0"/>
    <w:rsid w:val="3A02D25C"/>
    <w:rsid w:val="3A054460"/>
    <w:rsid w:val="3A06FFC8"/>
    <w:rsid w:val="3A07182F"/>
    <w:rsid w:val="3A0BCF44"/>
    <w:rsid w:val="3A0EEF41"/>
    <w:rsid w:val="3A101167"/>
    <w:rsid w:val="3A1286E9"/>
    <w:rsid w:val="3A1292E7"/>
    <w:rsid w:val="3A12BFE7"/>
    <w:rsid w:val="3A163252"/>
    <w:rsid w:val="3A1AF0CB"/>
    <w:rsid w:val="3A1BD984"/>
    <w:rsid w:val="3A1D2F73"/>
    <w:rsid w:val="3A200A28"/>
    <w:rsid w:val="3A2110BC"/>
    <w:rsid w:val="3A26B3CD"/>
    <w:rsid w:val="3A2C2E9E"/>
    <w:rsid w:val="3A308172"/>
    <w:rsid w:val="3A30B559"/>
    <w:rsid w:val="3A30F0D3"/>
    <w:rsid w:val="3A3718E2"/>
    <w:rsid w:val="3A37370D"/>
    <w:rsid w:val="3A3EA87F"/>
    <w:rsid w:val="3A3F68A7"/>
    <w:rsid w:val="3A3F9089"/>
    <w:rsid w:val="3A42699F"/>
    <w:rsid w:val="3A494C63"/>
    <w:rsid w:val="3A4AC529"/>
    <w:rsid w:val="3A4CA0D5"/>
    <w:rsid w:val="3A51A27B"/>
    <w:rsid w:val="3A554B6A"/>
    <w:rsid w:val="3A5584E9"/>
    <w:rsid w:val="3A55AD13"/>
    <w:rsid w:val="3A5997F9"/>
    <w:rsid w:val="3A5B5466"/>
    <w:rsid w:val="3A5B9A8F"/>
    <w:rsid w:val="3A5C40F2"/>
    <w:rsid w:val="3A5D059E"/>
    <w:rsid w:val="3A5EC9FD"/>
    <w:rsid w:val="3A5F62D5"/>
    <w:rsid w:val="3A604AF7"/>
    <w:rsid w:val="3A616324"/>
    <w:rsid w:val="3A63DC95"/>
    <w:rsid w:val="3A662C64"/>
    <w:rsid w:val="3A6714E3"/>
    <w:rsid w:val="3A6C8939"/>
    <w:rsid w:val="3A6E0060"/>
    <w:rsid w:val="3A72BA2F"/>
    <w:rsid w:val="3A7458F2"/>
    <w:rsid w:val="3A79C0CD"/>
    <w:rsid w:val="3A8069D1"/>
    <w:rsid w:val="3A87270B"/>
    <w:rsid w:val="3A8D9F3E"/>
    <w:rsid w:val="3A8EDF8E"/>
    <w:rsid w:val="3A936663"/>
    <w:rsid w:val="3A950837"/>
    <w:rsid w:val="3A95B739"/>
    <w:rsid w:val="3A9E6EF3"/>
    <w:rsid w:val="3A9E8166"/>
    <w:rsid w:val="3AA07F8A"/>
    <w:rsid w:val="3AA152EE"/>
    <w:rsid w:val="3AA22070"/>
    <w:rsid w:val="3AA33F24"/>
    <w:rsid w:val="3AAC13F2"/>
    <w:rsid w:val="3AAECD6D"/>
    <w:rsid w:val="3AAFD045"/>
    <w:rsid w:val="3AB3AF25"/>
    <w:rsid w:val="3AB59AE2"/>
    <w:rsid w:val="3AB6F712"/>
    <w:rsid w:val="3ABB49CE"/>
    <w:rsid w:val="3ABC4DDA"/>
    <w:rsid w:val="3ABD6747"/>
    <w:rsid w:val="3ABFDF10"/>
    <w:rsid w:val="3AC0892B"/>
    <w:rsid w:val="3AC1B75D"/>
    <w:rsid w:val="3AC61B3F"/>
    <w:rsid w:val="3AC94DFD"/>
    <w:rsid w:val="3ACB8EB4"/>
    <w:rsid w:val="3ACCCC38"/>
    <w:rsid w:val="3AD0DC82"/>
    <w:rsid w:val="3AD43815"/>
    <w:rsid w:val="3AD4BEF3"/>
    <w:rsid w:val="3AD671FC"/>
    <w:rsid w:val="3AD88C62"/>
    <w:rsid w:val="3ADA5011"/>
    <w:rsid w:val="3ADB8179"/>
    <w:rsid w:val="3ADCB43C"/>
    <w:rsid w:val="3ADE4F85"/>
    <w:rsid w:val="3AE20180"/>
    <w:rsid w:val="3AE23FA3"/>
    <w:rsid w:val="3AE8E35C"/>
    <w:rsid w:val="3AEA21CD"/>
    <w:rsid w:val="3AECAD4E"/>
    <w:rsid w:val="3AF243D3"/>
    <w:rsid w:val="3AFE9E15"/>
    <w:rsid w:val="3AFF5F18"/>
    <w:rsid w:val="3B088613"/>
    <w:rsid w:val="3B14BC4C"/>
    <w:rsid w:val="3B197944"/>
    <w:rsid w:val="3B1AA076"/>
    <w:rsid w:val="3B27A713"/>
    <w:rsid w:val="3B288290"/>
    <w:rsid w:val="3B28ED25"/>
    <w:rsid w:val="3B29224A"/>
    <w:rsid w:val="3B2A6053"/>
    <w:rsid w:val="3B2B74F5"/>
    <w:rsid w:val="3B2DCEB5"/>
    <w:rsid w:val="3B2F74A4"/>
    <w:rsid w:val="3B35EC6D"/>
    <w:rsid w:val="3B361EF5"/>
    <w:rsid w:val="3B365A64"/>
    <w:rsid w:val="3B36CC5D"/>
    <w:rsid w:val="3B38D01A"/>
    <w:rsid w:val="3B3A2D75"/>
    <w:rsid w:val="3B43DDAB"/>
    <w:rsid w:val="3B4939D1"/>
    <w:rsid w:val="3B4A6B9C"/>
    <w:rsid w:val="3B5062F1"/>
    <w:rsid w:val="3B51991A"/>
    <w:rsid w:val="3B53F0B7"/>
    <w:rsid w:val="3B54F75B"/>
    <w:rsid w:val="3B57A044"/>
    <w:rsid w:val="3B57ED50"/>
    <w:rsid w:val="3B583E88"/>
    <w:rsid w:val="3B584066"/>
    <w:rsid w:val="3B585FC6"/>
    <w:rsid w:val="3B5AD535"/>
    <w:rsid w:val="3B5FBB11"/>
    <w:rsid w:val="3B63E79A"/>
    <w:rsid w:val="3B641D1E"/>
    <w:rsid w:val="3B67457F"/>
    <w:rsid w:val="3B685582"/>
    <w:rsid w:val="3B6A1243"/>
    <w:rsid w:val="3B6C7071"/>
    <w:rsid w:val="3B6FDC20"/>
    <w:rsid w:val="3B706703"/>
    <w:rsid w:val="3B737619"/>
    <w:rsid w:val="3B762EAC"/>
    <w:rsid w:val="3B7C6035"/>
    <w:rsid w:val="3B7D2174"/>
    <w:rsid w:val="3B7DBD0E"/>
    <w:rsid w:val="3B8323E5"/>
    <w:rsid w:val="3B86EA75"/>
    <w:rsid w:val="3B8B650F"/>
    <w:rsid w:val="3B8C278D"/>
    <w:rsid w:val="3B9113D0"/>
    <w:rsid w:val="3B91DC49"/>
    <w:rsid w:val="3B9AEA95"/>
    <w:rsid w:val="3B9AF925"/>
    <w:rsid w:val="3B9C268D"/>
    <w:rsid w:val="3B9E308A"/>
    <w:rsid w:val="3B9F5CD5"/>
    <w:rsid w:val="3B9F727D"/>
    <w:rsid w:val="3BA0BF3F"/>
    <w:rsid w:val="3BA0ED53"/>
    <w:rsid w:val="3BA1DCC4"/>
    <w:rsid w:val="3BA23CEF"/>
    <w:rsid w:val="3BA2648F"/>
    <w:rsid w:val="3BA8CF69"/>
    <w:rsid w:val="3BAA6C67"/>
    <w:rsid w:val="3BAAEEBA"/>
    <w:rsid w:val="3BB0EB31"/>
    <w:rsid w:val="3BB26E57"/>
    <w:rsid w:val="3BB2EAF4"/>
    <w:rsid w:val="3BB3E0E1"/>
    <w:rsid w:val="3BB4477B"/>
    <w:rsid w:val="3BB7470D"/>
    <w:rsid w:val="3BB9ED67"/>
    <w:rsid w:val="3BBA4043"/>
    <w:rsid w:val="3BBF77C6"/>
    <w:rsid w:val="3BC18500"/>
    <w:rsid w:val="3BC39DBB"/>
    <w:rsid w:val="3BC5CCE6"/>
    <w:rsid w:val="3BD2FED3"/>
    <w:rsid w:val="3BD312CF"/>
    <w:rsid w:val="3BD4F053"/>
    <w:rsid w:val="3BD78AB1"/>
    <w:rsid w:val="3BD93149"/>
    <w:rsid w:val="3BDA720D"/>
    <w:rsid w:val="3BDAA887"/>
    <w:rsid w:val="3BDD7466"/>
    <w:rsid w:val="3BDE5667"/>
    <w:rsid w:val="3BE24BFA"/>
    <w:rsid w:val="3BE2C75A"/>
    <w:rsid w:val="3BE6AE69"/>
    <w:rsid w:val="3BE9D0BB"/>
    <w:rsid w:val="3BECAB4F"/>
    <w:rsid w:val="3BED0C24"/>
    <w:rsid w:val="3BEE2CF2"/>
    <w:rsid w:val="3BF14316"/>
    <w:rsid w:val="3BF69E33"/>
    <w:rsid w:val="3BFA511B"/>
    <w:rsid w:val="3BFBB2BF"/>
    <w:rsid w:val="3BFDEB22"/>
    <w:rsid w:val="3BFEAF9E"/>
    <w:rsid w:val="3BFF0A67"/>
    <w:rsid w:val="3C0111C1"/>
    <w:rsid w:val="3C0266B5"/>
    <w:rsid w:val="3C099BA0"/>
    <w:rsid w:val="3C0A6763"/>
    <w:rsid w:val="3C0B7C93"/>
    <w:rsid w:val="3C0E5563"/>
    <w:rsid w:val="3C0F035A"/>
    <w:rsid w:val="3C0F0FF0"/>
    <w:rsid w:val="3C0FEC54"/>
    <w:rsid w:val="3C110258"/>
    <w:rsid w:val="3C133971"/>
    <w:rsid w:val="3C1C1E0B"/>
    <w:rsid w:val="3C1D133F"/>
    <w:rsid w:val="3C1D5BB0"/>
    <w:rsid w:val="3C1E35A2"/>
    <w:rsid w:val="3C200171"/>
    <w:rsid w:val="3C251F90"/>
    <w:rsid w:val="3C256CA7"/>
    <w:rsid w:val="3C2A8850"/>
    <w:rsid w:val="3C30A3CD"/>
    <w:rsid w:val="3C30D6DB"/>
    <w:rsid w:val="3C30D9E5"/>
    <w:rsid w:val="3C343AB2"/>
    <w:rsid w:val="3C386A4E"/>
    <w:rsid w:val="3C40E295"/>
    <w:rsid w:val="3C42ACDA"/>
    <w:rsid w:val="3C4489B1"/>
    <w:rsid w:val="3C4A325E"/>
    <w:rsid w:val="3C4ABD32"/>
    <w:rsid w:val="3C4F9015"/>
    <w:rsid w:val="3C52661D"/>
    <w:rsid w:val="3C536F10"/>
    <w:rsid w:val="3C537D57"/>
    <w:rsid w:val="3C59FE5F"/>
    <w:rsid w:val="3C5A7270"/>
    <w:rsid w:val="3C60EFDF"/>
    <w:rsid w:val="3C64124D"/>
    <w:rsid w:val="3C6C9920"/>
    <w:rsid w:val="3C6FE3A4"/>
    <w:rsid w:val="3C720C89"/>
    <w:rsid w:val="3C73D438"/>
    <w:rsid w:val="3C78639E"/>
    <w:rsid w:val="3C7915BC"/>
    <w:rsid w:val="3C7B672C"/>
    <w:rsid w:val="3C7B95E9"/>
    <w:rsid w:val="3C7BC8F0"/>
    <w:rsid w:val="3C80A65F"/>
    <w:rsid w:val="3C8130BC"/>
    <w:rsid w:val="3C83DB5F"/>
    <w:rsid w:val="3C850CD1"/>
    <w:rsid w:val="3C86D505"/>
    <w:rsid w:val="3C8911C9"/>
    <w:rsid w:val="3C8C1394"/>
    <w:rsid w:val="3C8C7003"/>
    <w:rsid w:val="3C8CCABC"/>
    <w:rsid w:val="3C8D3E25"/>
    <w:rsid w:val="3C8E8DEB"/>
    <w:rsid w:val="3C95A523"/>
    <w:rsid w:val="3C95E0DC"/>
    <w:rsid w:val="3C973519"/>
    <w:rsid w:val="3C975A33"/>
    <w:rsid w:val="3C9EB382"/>
    <w:rsid w:val="3C9F39A9"/>
    <w:rsid w:val="3C9F5B4C"/>
    <w:rsid w:val="3CA00D89"/>
    <w:rsid w:val="3CA192BD"/>
    <w:rsid w:val="3CA55935"/>
    <w:rsid w:val="3CA5BE76"/>
    <w:rsid w:val="3CA7ACFC"/>
    <w:rsid w:val="3CAC017C"/>
    <w:rsid w:val="3CAEC436"/>
    <w:rsid w:val="3CAF7ABF"/>
    <w:rsid w:val="3CB1D226"/>
    <w:rsid w:val="3CB474D4"/>
    <w:rsid w:val="3CB60324"/>
    <w:rsid w:val="3CB6938B"/>
    <w:rsid w:val="3CB8DC21"/>
    <w:rsid w:val="3CB92B5D"/>
    <w:rsid w:val="3CBBA42B"/>
    <w:rsid w:val="3CBBE37F"/>
    <w:rsid w:val="3CBD6CB2"/>
    <w:rsid w:val="3CBF1388"/>
    <w:rsid w:val="3CC47D38"/>
    <w:rsid w:val="3CC7422E"/>
    <w:rsid w:val="3CC88716"/>
    <w:rsid w:val="3CCE84F0"/>
    <w:rsid w:val="3CD34399"/>
    <w:rsid w:val="3CD5B10C"/>
    <w:rsid w:val="3CD791D9"/>
    <w:rsid w:val="3CD8724C"/>
    <w:rsid w:val="3CD88C44"/>
    <w:rsid w:val="3CDCD120"/>
    <w:rsid w:val="3CDFC366"/>
    <w:rsid w:val="3CE37F7B"/>
    <w:rsid w:val="3CE6D9B8"/>
    <w:rsid w:val="3CE9C43A"/>
    <w:rsid w:val="3CEAD3F8"/>
    <w:rsid w:val="3CEF12D0"/>
    <w:rsid w:val="3CEF1E75"/>
    <w:rsid w:val="3CF1135E"/>
    <w:rsid w:val="3CF23917"/>
    <w:rsid w:val="3CF2ACB4"/>
    <w:rsid w:val="3CF2F7D4"/>
    <w:rsid w:val="3CF57948"/>
    <w:rsid w:val="3CF607F2"/>
    <w:rsid w:val="3CF9711A"/>
    <w:rsid w:val="3CFB0045"/>
    <w:rsid w:val="3CFFB04A"/>
    <w:rsid w:val="3CFFB35A"/>
    <w:rsid w:val="3D0426FC"/>
    <w:rsid w:val="3D04F16E"/>
    <w:rsid w:val="3D086AAD"/>
    <w:rsid w:val="3D09CFDF"/>
    <w:rsid w:val="3D0F97D1"/>
    <w:rsid w:val="3D11C337"/>
    <w:rsid w:val="3D120FA2"/>
    <w:rsid w:val="3D12275C"/>
    <w:rsid w:val="3D134801"/>
    <w:rsid w:val="3D16066D"/>
    <w:rsid w:val="3D16EC70"/>
    <w:rsid w:val="3D1F88C2"/>
    <w:rsid w:val="3D1FBC98"/>
    <w:rsid w:val="3D2054AF"/>
    <w:rsid w:val="3D21FAFE"/>
    <w:rsid w:val="3D223C3F"/>
    <w:rsid w:val="3D22C5B5"/>
    <w:rsid w:val="3D24E7B7"/>
    <w:rsid w:val="3D2A99CB"/>
    <w:rsid w:val="3D2D81F1"/>
    <w:rsid w:val="3D2D97C1"/>
    <w:rsid w:val="3D2F6D1E"/>
    <w:rsid w:val="3D32025C"/>
    <w:rsid w:val="3D39C9E4"/>
    <w:rsid w:val="3D3CC622"/>
    <w:rsid w:val="3D3D875A"/>
    <w:rsid w:val="3D411539"/>
    <w:rsid w:val="3D4457AD"/>
    <w:rsid w:val="3D454296"/>
    <w:rsid w:val="3D4C68AE"/>
    <w:rsid w:val="3D4E1E3C"/>
    <w:rsid w:val="3D566785"/>
    <w:rsid w:val="3D568183"/>
    <w:rsid w:val="3D574C94"/>
    <w:rsid w:val="3D575C1D"/>
    <w:rsid w:val="3D61ECCB"/>
    <w:rsid w:val="3D69D41E"/>
    <w:rsid w:val="3D6B3D68"/>
    <w:rsid w:val="3D6FB7E4"/>
    <w:rsid w:val="3D729C03"/>
    <w:rsid w:val="3D7329A1"/>
    <w:rsid w:val="3D7522EE"/>
    <w:rsid w:val="3D7885CE"/>
    <w:rsid w:val="3D7D3C87"/>
    <w:rsid w:val="3D7DA116"/>
    <w:rsid w:val="3D7E361B"/>
    <w:rsid w:val="3D818615"/>
    <w:rsid w:val="3D84865E"/>
    <w:rsid w:val="3D885460"/>
    <w:rsid w:val="3D8B0ABF"/>
    <w:rsid w:val="3D8EBA2A"/>
    <w:rsid w:val="3D8FF2AF"/>
    <w:rsid w:val="3D936657"/>
    <w:rsid w:val="3D94F18B"/>
    <w:rsid w:val="3D955FF7"/>
    <w:rsid w:val="3D984CA1"/>
    <w:rsid w:val="3D9AE2AF"/>
    <w:rsid w:val="3D9B3E5D"/>
    <w:rsid w:val="3D9D3A37"/>
    <w:rsid w:val="3D9E1AB8"/>
    <w:rsid w:val="3D9F89D1"/>
    <w:rsid w:val="3D9FEA2F"/>
    <w:rsid w:val="3DA05EAD"/>
    <w:rsid w:val="3DA072D3"/>
    <w:rsid w:val="3DA1C55F"/>
    <w:rsid w:val="3DA1EB61"/>
    <w:rsid w:val="3DA6DA18"/>
    <w:rsid w:val="3DAFC345"/>
    <w:rsid w:val="3DB50AFD"/>
    <w:rsid w:val="3DB61727"/>
    <w:rsid w:val="3DB66043"/>
    <w:rsid w:val="3DBBA2FA"/>
    <w:rsid w:val="3DC0EB0F"/>
    <w:rsid w:val="3DC60D73"/>
    <w:rsid w:val="3DC832B9"/>
    <w:rsid w:val="3DCCB945"/>
    <w:rsid w:val="3DCE7F6C"/>
    <w:rsid w:val="3DCF34E7"/>
    <w:rsid w:val="3DCFB98B"/>
    <w:rsid w:val="3DD08132"/>
    <w:rsid w:val="3DD0AD6B"/>
    <w:rsid w:val="3DD390C3"/>
    <w:rsid w:val="3DD5E17F"/>
    <w:rsid w:val="3DDE8306"/>
    <w:rsid w:val="3DE0C6E9"/>
    <w:rsid w:val="3DE15BEE"/>
    <w:rsid w:val="3DE47B6E"/>
    <w:rsid w:val="3DE7559F"/>
    <w:rsid w:val="3DEC6045"/>
    <w:rsid w:val="3DEF52D1"/>
    <w:rsid w:val="3DFE4C45"/>
    <w:rsid w:val="3E00015D"/>
    <w:rsid w:val="3E047422"/>
    <w:rsid w:val="3E0A1CF5"/>
    <w:rsid w:val="3E120E15"/>
    <w:rsid w:val="3E13945D"/>
    <w:rsid w:val="3E14AD62"/>
    <w:rsid w:val="3E1AE9E9"/>
    <w:rsid w:val="3E1AF424"/>
    <w:rsid w:val="3E1C6596"/>
    <w:rsid w:val="3E1C8B9D"/>
    <w:rsid w:val="3E219B4B"/>
    <w:rsid w:val="3E228A41"/>
    <w:rsid w:val="3E255E29"/>
    <w:rsid w:val="3E28F9C6"/>
    <w:rsid w:val="3E2BEA1A"/>
    <w:rsid w:val="3E2E13E5"/>
    <w:rsid w:val="3E2E8885"/>
    <w:rsid w:val="3E34B99B"/>
    <w:rsid w:val="3E3AB2EE"/>
    <w:rsid w:val="3E3BA3CA"/>
    <w:rsid w:val="3E3DB801"/>
    <w:rsid w:val="3E3FCEC8"/>
    <w:rsid w:val="3E40CC4A"/>
    <w:rsid w:val="3E426B29"/>
    <w:rsid w:val="3E42E95A"/>
    <w:rsid w:val="3E46EE8B"/>
    <w:rsid w:val="3E472CE4"/>
    <w:rsid w:val="3E4830EA"/>
    <w:rsid w:val="3E48BEAB"/>
    <w:rsid w:val="3E4B8EE8"/>
    <w:rsid w:val="3E57C4D6"/>
    <w:rsid w:val="3E57CF9C"/>
    <w:rsid w:val="3E5AF855"/>
    <w:rsid w:val="3E5BCAB6"/>
    <w:rsid w:val="3E5EAF81"/>
    <w:rsid w:val="3E5FC14F"/>
    <w:rsid w:val="3E61E85A"/>
    <w:rsid w:val="3E627F25"/>
    <w:rsid w:val="3E630E13"/>
    <w:rsid w:val="3E67E214"/>
    <w:rsid w:val="3E68D4EA"/>
    <w:rsid w:val="3E6AB797"/>
    <w:rsid w:val="3E6C85F9"/>
    <w:rsid w:val="3E6DCD06"/>
    <w:rsid w:val="3E708E9B"/>
    <w:rsid w:val="3E733861"/>
    <w:rsid w:val="3E742BAA"/>
    <w:rsid w:val="3E78105D"/>
    <w:rsid w:val="3E782273"/>
    <w:rsid w:val="3E79032D"/>
    <w:rsid w:val="3E79A9E5"/>
    <w:rsid w:val="3E7A8A9A"/>
    <w:rsid w:val="3E7D17BA"/>
    <w:rsid w:val="3E852280"/>
    <w:rsid w:val="3E85DA47"/>
    <w:rsid w:val="3E8AF61F"/>
    <w:rsid w:val="3E8E6DBC"/>
    <w:rsid w:val="3E903F9E"/>
    <w:rsid w:val="3E94590A"/>
    <w:rsid w:val="3E966E3E"/>
    <w:rsid w:val="3E971636"/>
    <w:rsid w:val="3E984795"/>
    <w:rsid w:val="3E9F405C"/>
    <w:rsid w:val="3EA0571B"/>
    <w:rsid w:val="3EA1CEB2"/>
    <w:rsid w:val="3EAA307E"/>
    <w:rsid w:val="3EAA8471"/>
    <w:rsid w:val="3EAAF2C6"/>
    <w:rsid w:val="3EADF138"/>
    <w:rsid w:val="3EAEF069"/>
    <w:rsid w:val="3EB34424"/>
    <w:rsid w:val="3EB908C8"/>
    <w:rsid w:val="3EBA7088"/>
    <w:rsid w:val="3EBF5EBE"/>
    <w:rsid w:val="3EBF80C3"/>
    <w:rsid w:val="3EC19C7A"/>
    <w:rsid w:val="3EC2816C"/>
    <w:rsid w:val="3EC7E294"/>
    <w:rsid w:val="3EC84963"/>
    <w:rsid w:val="3EC9B364"/>
    <w:rsid w:val="3ECBCCCC"/>
    <w:rsid w:val="3ECC626D"/>
    <w:rsid w:val="3ED2CFE6"/>
    <w:rsid w:val="3EDA6C8A"/>
    <w:rsid w:val="3EDB6E06"/>
    <w:rsid w:val="3EDD3EC3"/>
    <w:rsid w:val="3EDD6ACA"/>
    <w:rsid w:val="3EE6854C"/>
    <w:rsid w:val="3EE8A199"/>
    <w:rsid w:val="3EEBCDBE"/>
    <w:rsid w:val="3EF3231C"/>
    <w:rsid w:val="3EF47AA3"/>
    <w:rsid w:val="3EFA7FB8"/>
    <w:rsid w:val="3EFAB3CD"/>
    <w:rsid w:val="3F058A27"/>
    <w:rsid w:val="3F08048E"/>
    <w:rsid w:val="3F08CE17"/>
    <w:rsid w:val="3F08D57E"/>
    <w:rsid w:val="3F0AB1FA"/>
    <w:rsid w:val="3F0B6737"/>
    <w:rsid w:val="3F0E0CB1"/>
    <w:rsid w:val="3F0EB1F5"/>
    <w:rsid w:val="3F10790A"/>
    <w:rsid w:val="3F109120"/>
    <w:rsid w:val="3F13237D"/>
    <w:rsid w:val="3F13814A"/>
    <w:rsid w:val="3F174C81"/>
    <w:rsid w:val="3F187139"/>
    <w:rsid w:val="3F1A845E"/>
    <w:rsid w:val="3F1B15EC"/>
    <w:rsid w:val="3F1B5025"/>
    <w:rsid w:val="3F1E9F4B"/>
    <w:rsid w:val="3F1F9C7A"/>
    <w:rsid w:val="3F22B66F"/>
    <w:rsid w:val="3F261B28"/>
    <w:rsid w:val="3F2CB507"/>
    <w:rsid w:val="3F306F46"/>
    <w:rsid w:val="3F31379B"/>
    <w:rsid w:val="3F320F15"/>
    <w:rsid w:val="3F331E27"/>
    <w:rsid w:val="3F383F5E"/>
    <w:rsid w:val="3F3A31F7"/>
    <w:rsid w:val="3F3DDCC1"/>
    <w:rsid w:val="3F44E05E"/>
    <w:rsid w:val="3F47B706"/>
    <w:rsid w:val="3F4F22C3"/>
    <w:rsid w:val="3F5261E6"/>
    <w:rsid w:val="3F556A41"/>
    <w:rsid w:val="3F599590"/>
    <w:rsid w:val="3F603EED"/>
    <w:rsid w:val="3F64F4AD"/>
    <w:rsid w:val="3F68F81E"/>
    <w:rsid w:val="3F6A9A54"/>
    <w:rsid w:val="3F6F745C"/>
    <w:rsid w:val="3F702EF3"/>
    <w:rsid w:val="3F71C1CE"/>
    <w:rsid w:val="3F71C77B"/>
    <w:rsid w:val="3F729134"/>
    <w:rsid w:val="3F7527C9"/>
    <w:rsid w:val="3F786174"/>
    <w:rsid w:val="3F7C748D"/>
    <w:rsid w:val="3F7CF4D1"/>
    <w:rsid w:val="3F815953"/>
    <w:rsid w:val="3F82E2A2"/>
    <w:rsid w:val="3F84FF03"/>
    <w:rsid w:val="3F86AB35"/>
    <w:rsid w:val="3F8895E1"/>
    <w:rsid w:val="3F8924E3"/>
    <w:rsid w:val="3F8957AD"/>
    <w:rsid w:val="3F8E0763"/>
    <w:rsid w:val="3F9162F9"/>
    <w:rsid w:val="3F92FB63"/>
    <w:rsid w:val="3F9D315F"/>
    <w:rsid w:val="3F9E7AE9"/>
    <w:rsid w:val="3F9F2469"/>
    <w:rsid w:val="3FA2B87E"/>
    <w:rsid w:val="3FA34036"/>
    <w:rsid w:val="3FA7678F"/>
    <w:rsid w:val="3FA8012B"/>
    <w:rsid w:val="3FA8F5BD"/>
    <w:rsid w:val="3FAC0D97"/>
    <w:rsid w:val="3FAC39DA"/>
    <w:rsid w:val="3FBE333A"/>
    <w:rsid w:val="3FC2050A"/>
    <w:rsid w:val="3FC25391"/>
    <w:rsid w:val="3FC3696A"/>
    <w:rsid w:val="3FC44D5D"/>
    <w:rsid w:val="3FC4CB3F"/>
    <w:rsid w:val="3FC4CF0C"/>
    <w:rsid w:val="3FC580AD"/>
    <w:rsid w:val="3FC98AB4"/>
    <w:rsid w:val="3FCE7F43"/>
    <w:rsid w:val="3FCFE216"/>
    <w:rsid w:val="3FD0A844"/>
    <w:rsid w:val="3FD610A3"/>
    <w:rsid w:val="3FD6363E"/>
    <w:rsid w:val="3FDAC961"/>
    <w:rsid w:val="3FDB2E1D"/>
    <w:rsid w:val="3FDB74CB"/>
    <w:rsid w:val="3FDDAADB"/>
    <w:rsid w:val="3FE007CC"/>
    <w:rsid w:val="3FE0E2BC"/>
    <w:rsid w:val="3FE70B95"/>
    <w:rsid w:val="3FE7E97B"/>
    <w:rsid w:val="3FE9F26A"/>
    <w:rsid w:val="3FEA64D7"/>
    <w:rsid w:val="3FEC0388"/>
    <w:rsid w:val="3FEC7B23"/>
    <w:rsid w:val="3FEDF5AA"/>
    <w:rsid w:val="3FF67239"/>
    <w:rsid w:val="3FF79C64"/>
    <w:rsid w:val="3FF8940D"/>
    <w:rsid w:val="3FFEFD3C"/>
    <w:rsid w:val="4000D378"/>
    <w:rsid w:val="40017F34"/>
    <w:rsid w:val="4001FF33"/>
    <w:rsid w:val="40029313"/>
    <w:rsid w:val="40030CFF"/>
    <w:rsid w:val="40055D7A"/>
    <w:rsid w:val="40087B81"/>
    <w:rsid w:val="4008A7E5"/>
    <w:rsid w:val="4009E7B4"/>
    <w:rsid w:val="400C3754"/>
    <w:rsid w:val="400E28A9"/>
    <w:rsid w:val="400E846A"/>
    <w:rsid w:val="401311FC"/>
    <w:rsid w:val="401441EF"/>
    <w:rsid w:val="40147BD5"/>
    <w:rsid w:val="4014FD11"/>
    <w:rsid w:val="4016A2BC"/>
    <w:rsid w:val="401981FF"/>
    <w:rsid w:val="401AC147"/>
    <w:rsid w:val="40256E6D"/>
    <w:rsid w:val="402BD68F"/>
    <w:rsid w:val="402EF241"/>
    <w:rsid w:val="402F5159"/>
    <w:rsid w:val="403581DD"/>
    <w:rsid w:val="40365DEC"/>
    <w:rsid w:val="4039829A"/>
    <w:rsid w:val="403C4FCD"/>
    <w:rsid w:val="403CEED7"/>
    <w:rsid w:val="404055CD"/>
    <w:rsid w:val="4040602C"/>
    <w:rsid w:val="40414132"/>
    <w:rsid w:val="4048B005"/>
    <w:rsid w:val="40491D73"/>
    <w:rsid w:val="4049C667"/>
    <w:rsid w:val="404F5A7D"/>
    <w:rsid w:val="4052EE1E"/>
    <w:rsid w:val="4057766F"/>
    <w:rsid w:val="40595EB6"/>
    <w:rsid w:val="4059827F"/>
    <w:rsid w:val="405C5F3E"/>
    <w:rsid w:val="4067F137"/>
    <w:rsid w:val="406DBF34"/>
    <w:rsid w:val="40793D6D"/>
    <w:rsid w:val="407E636E"/>
    <w:rsid w:val="4081F02A"/>
    <w:rsid w:val="40833F8B"/>
    <w:rsid w:val="4083B2E8"/>
    <w:rsid w:val="40842BD9"/>
    <w:rsid w:val="408639A3"/>
    <w:rsid w:val="409395A0"/>
    <w:rsid w:val="40953E45"/>
    <w:rsid w:val="40970553"/>
    <w:rsid w:val="409856B5"/>
    <w:rsid w:val="40A196DD"/>
    <w:rsid w:val="40A1BA45"/>
    <w:rsid w:val="40A1D2DF"/>
    <w:rsid w:val="40A464ED"/>
    <w:rsid w:val="40AB08CE"/>
    <w:rsid w:val="40ABCD7A"/>
    <w:rsid w:val="40B23E66"/>
    <w:rsid w:val="40B3EB95"/>
    <w:rsid w:val="40B42659"/>
    <w:rsid w:val="40B4B71F"/>
    <w:rsid w:val="40BDDFDA"/>
    <w:rsid w:val="40CADC5F"/>
    <w:rsid w:val="40CB554B"/>
    <w:rsid w:val="40D88F66"/>
    <w:rsid w:val="40D899EE"/>
    <w:rsid w:val="40D99211"/>
    <w:rsid w:val="40DB1694"/>
    <w:rsid w:val="40DEDBFB"/>
    <w:rsid w:val="40E21E21"/>
    <w:rsid w:val="40E7B249"/>
    <w:rsid w:val="40EE36A0"/>
    <w:rsid w:val="40EF5168"/>
    <w:rsid w:val="40F2F854"/>
    <w:rsid w:val="40F3EBE9"/>
    <w:rsid w:val="40FAB76D"/>
    <w:rsid w:val="40FBC635"/>
    <w:rsid w:val="40FBCA11"/>
    <w:rsid w:val="41014E84"/>
    <w:rsid w:val="410AFF0B"/>
    <w:rsid w:val="41117E42"/>
    <w:rsid w:val="4112D1FC"/>
    <w:rsid w:val="41166FDC"/>
    <w:rsid w:val="4116DA72"/>
    <w:rsid w:val="4116E9E8"/>
    <w:rsid w:val="4116F37A"/>
    <w:rsid w:val="4118A12D"/>
    <w:rsid w:val="4119EEC1"/>
    <w:rsid w:val="411B26C2"/>
    <w:rsid w:val="411C196C"/>
    <w:rsid w:val="411DDF80"/>
    <w:rsid w:val="411EA3EF"/>
    <w:rsid w:val="4124A76D"/>
    <w:rsid w:val="4124F196"/>
    <w:rsid w:val="41256ED9"/>
    <w:rsid w:val="4129991B"/>
    <w:rsid w:val="412BBD27"/>
    <w:rsid w:val="412C5698"/>
    <w:rsid w:val="41336B0D"/>
    <w:rsid w:val="413CD6A7"/>
    <w:rsid w:val="4142246F"/>
    <w:rsid w:val="414423A6"/>
    <w:rsid w:val="4146595C"/>
    <w:rsid w:val="414DFCA1"/>
    <w:rsid w:val="41508AF8"/>
    <w:rsid w:val="41535D9D"/>
    <w:rsid w:val="41596C7C"/>
    <w:rsid w:val="415AC6FD"/>
    <w:rsid w:val="415B2904"/>
    <w:rsid w:val="41627A32"/>
    <w:rsid w:val="4165D7CF"/>
    <w:rsid w:val="4168FD7B"/>
    <w:rsid w:val="416D4B70"/>
    <w:rsid w:val="4171BCE2"/>
    <w:rsid w:val="41750262"/>
    <w:rsid w:val="417FF808"/>
    <w:rsid w:val="418F23C3"/>
    <w:rsid w:val="41921910"/>
    <w:rsid w:val="41927B3E"/>
    <w:rsid w:val="41948166"/>
    <w:rsid w:val="41967367"/>
    <w:rsid w:val="4197BABE"/>
    <w:rsid w:val="419AD355"/>
    <w:rsid w:val="41A12BD9"/>
    <w:rsid w:val="41A21C75"/>
    <w:rsid w:val="41A65335"/>
    <w:rsid w:val="41AAAC18"/>
    <w:rsid w:val="41AADEB1"/>
    <w:rsid w:val="41AD5C05"/>
    <w:rsid w:val="41AE69D1"/>
    <w:rsid w:val="41B29042"/>
    <w:rsid w:val="41B6C3C1"/>
    <w:rsid w:val="41B72792"/>
    <w:rsid w:val="41B9C9B8"/>
    <w:rsid w:val="41BC5371"/>
    <w:rsid w:val="41BC58B6"/>
    <w:rsid w:val="41C0E539"/>
    <w:rsid w:val="41C50883"/>
    <w:rsid w:val="41C8AE3E"/>
    <w:rsid w:val="41CC24EB"/>
    <w:rsid w:val="41CD72CA"/>
    <w:rsid w:val="41CE45A8"/>
    <w:rsid w:val="41D09132"/>
    <w:rsid w:val="41D3342F"/>
    <w:rsid w:val="41D9730D"/>
    <w:rsid w:val="41DAC4AF"/>
    <w:rsid w:val="41DFD336"/>
    <w:rsid w:val="41E34FAA"/>
    <w:rsid w:val="41E3D7AF"/>
    <w:rsid w:val="41E67460"/>
    <w:rsid w:val="41EDD8E6"/>
    <w:rsid w:val="41EE7DCE"/>
    <w:rsid w:val="41EEE3C2"/>
    <w:rsid w:val="41F28E9F"/>
    <w:rsid w:val="41F311EC"/>
    <w:rsid w:val="41F3CA78"/>
    <w:rsid w:val="41FB0800"/>
    <w:rsid w:val="41FC7561"/>
    <w:rsid w:val="41FD774A"/>
    <w:rsid w:val="41FF8241"/>
    <w:rsid w:val="4202796E"/>
    <w:rsid w:val="42040598"/>
    <w:rsid w:val="4206C843"/>
    <w:rsid w:val="420DD61F"/>
    <w:rsid w:val="42103E63"/>
    <w:rsid w:val="4210A262"/>
    <w:rsid w:val="4210BA4E"/>
    <w:rsid w:val="421508DE"/>
    <w:rsid w:val="4217AEF8"/>
    <w:rsid w:val="421DFC70"/>
    <w:rsid w:val="421E3DD8"/>
    <w:rsid w:val="422001E8"/>
    <w:rsid w:val="42280AD4"/>
    <w:rsid w:val="42283347"/>
    <w:rsid w:val="422B19C6"/>
    <w:rsid w:val="422C77FA"/>
    <w:rsid w:val="422D666E"/>
    <w:rsid w:val="422ED086"/>
    <w:rsid w:val="422FE972"/>
    <w:rsid w:val="42324DC2"/>
    <w:rsid w:val="423285ED"/>
    <w:rsid w:val="4238C828"/>
    <w:rsid w:val="423ECA83"/>
    <w:rsid w:val="42422225"/>
    <w:rsid w:val="42481E57"/>
    <w:rsid w:val="424D83A4"/>
    <w:rsid w:val="42549F7F"/>
    <w:rsid w:val="4256949D"/>
    <w:rsid w:val="42589EE8"/>
    <w:rsid w:val="4258BEA1"/>
    <w:rsid w:val="425A9B39"/>
    <w:rsid w:val="425F7E80"/>
    <w:rsid w:val="42642A1A"/>
    <w:rsid w:val="4265E9D1"/>
    <w:rsid w:val="4267B1DE"/>
    <w:rsid w:val="4267B535"/>
    <w:rsid w:val="426ECD6F"/>
    <w:rsid w:val="426F379F"/>
    <w:rsid w:val="427708F5"/>
    <w:rsid w:val="42773D3D"/>
    <w:rsid w:val="42862A3E"/>
    <w:rsid w:val="4286C07A"/>
    <w:rsid w:val="428C81A7"/>
    <w:rsid w:val="428D2BAA"/>
    <w:rsid w:val="428EC277"/>
    <w:rsid w:val="428F2F27"/>
    <w:rsid w:val="428F807B"/>
    <w:rsid w:val="42900260"/>
    <w:rsid w:val="42906761"/>
    <w:rsid w:val="4292FA34"/>
    <w:rsid w:val="4293619A"/>
    <w:rsid w:val="429CF90E"/>
    <w:rsid w:val="429F6E39"/>
    <w:rsid w:val="42AE5F3C"/>
    <w:rsid w:val="42B145A9"/>
    <w:rsid w:val="42B289DC"/>
    <w:rsid w:val="42B595C0"/>
    <w:rsid w:val="42B5E27C"/>
    <w:rsid w:val="42B8E249"/>
    <w:rsid w:val="42B98A9F"/>
    <w:rsid w:val="42BA7E27"/>
    <w:rsid w:val="42BC1DEE"/>
    <w:rsid w:val="42C22143"/>
    <w:rsid w:val="42D2F6C2"/>
    <w:rsid w:val="42D527CB"/>
    <w:rsid w:val="42DA03C3"/>
    <w:rsid w:val="42DA11F6"/>
    <w:rsid w:val="42DC769B"/>
    <w:rsid w:val="42DD25BA"/>
    <w:rsid w:val="42E04886"/>
    <w:rsid w:val="42E26ED8"/>
    <w:rsid w:val="42E3693E"/>
    <w:rsid w:val="42E6D28B"/>
    <w:rsid w:val="42E94450"/>
    <w:rsid w:val="42ECF1EE"/>
    <w:rsid w:val="42EE1D0F"/>
    <w:rsid w:val="42F1D33B"/>
    <w:rsid w:val="42F540BC"/>
    <w:rsid w:val="42F7C2D7"/>
    <w:rsid w:val="42F810F5"/>
    <w:rsid w:val="42FAC694"/>
    <w:rsid w:val="42FC02A5"/>
    <w:rsid w:val="42FD2B95"/>
    <w:rsid w:val="42FE262A"/>
    <w:rsid w:val="42FEB19A"/>
    <w:rsid w:val="4305B6AD"/>
    <w:rsid w:val="4306C154"/>
    <w:rsid w:val="4314FC1F"/>
    <w:rsid w:val="43156BCD"/>
    <w:rsid w:val="4317E9A1"/>
    <w:rsid w:val="431D99D4"/>
    <w:rsid w:val="432058D4"/>
    <w:rsid w:val="432097FB"/>
    <w:rsid w:val="432103A7"/>
    <w:rsid w:val="43214273"/>
    <w:rsid w:val="4322012A"/>
    <w:rsid w:val="432235DA"/>
    <w:rsid w:val="432ED192"/>
    <w:rsid w:val="432F4A08"/>
    <w:rsid w:val="4330045D"/>
    <w:rsid w:val="4334BECA"/>
    <w:rsid w:val="43372661"/>
    <w:rsid w:val="433758B4"/>
    <w:rsid w:val="4339C6F3"/>
    <w:rsid w:val="434137D5"/>
    <w:rsid w:val="43421463"/>
    <w:rsid w:val="4349D4F0"/>
    <w:rsid w:val="434B914E"/>
    <w:rsid w:val="434D8233"/>
    <w:rsid w:val="43509F2C"/>
    <w:rsid w:val="435246C1"/>
    <w:rsid w:val="435B5452"/>
    <w:rsid w:val="435C2561"/>
    <w:rsid w:val="435E0828"/>
    <w:rsid w:val="435F9D71"/>
    <w:rsid w:val="43665247"/>
    <w:rsid w:val="43665AFE"/>
    <w:rsid w:val="43739415"/>
    <w:rsid w:val="437949E0"/>
    <w:rsid w:val="4379AB31"/>
    <w:rsid w:val="437B6FF0"/>
    <w:rsid w:val="437FA07B"/>
    <w:rsid w:val="43812DA2"/>
    <w:rsid w:val="438318A7"/>
    <w:rsid w:val="438804A9"/>
    <w:rsid w:val="438B7D27"/>
    <w:rsid w:val="438B8D5B"/>
    <w:rsid w:val="438D4A38"/>
    <w:rsid w:val="438F138A"/>
    <w:rsid w:val="43902632"/>
    <w:rsid w:val="4390497C"/>
    <w:rsid w:val="43908211"/>
    <w:rsid w:val="4392B235"/>
    <w:rsid w:val="4393EFC8"/>
    <w:rsid w:val="439779EC"/>
    <w:rsid w:val="43A3B3D0"/>
    <w:rsid w:val="43A60AB3"/>
    <w:rsid w:val="43A66F4D"/>
    <w:rsid w:val="43B31C3E"/>
    <w:rsid w:val="43BCD501"/>
    <w:rsid w:val="43C1B460"/>
    <w:rsid w:val="43C6A382"/>
    <w:rsid w:val="43D2747B"/>
    <w:rsid w:val="43D2FE8F"/>
    <w:rsid w:val="43D44B46"/>
    <w:rsid w:val="43D67528"/>
    <w:rsid w:val="43D9154C"/>
    <w:rsid w:val="43D9C328"/>
    <w:rsid w:val="43DC4F26"/>
    <w:rsid w:val="43E0CF3A"/>
    <w:rsid w:val="43E28915"/>
    <w:rsid w:val="43E777D7"/>
    <w:rsid w:val="43EFC639"/>
    <w:rsid w:val="43F02D35"/>
    <w:rsid w:val="43F107BF"/>
    <w:rsid w:val="43F43497"/>
    <w:rsid w:val="43FB0AB8"/>
    <w:rsid w:val="43FB1286"/>
    <w:rsid w:val="43FE7956"/>
    <w:rsid w:val="43FF9999"/>
    <w:rsid w:val="4402D32C"/>
    <w:rsid w:val="4406DAE1"/>
    <w:rsid w:val="440A2392"/>
    <w:rsid w:val="440E690B"/>
    <w:rsid w:val="44109DE7"/>
    <w:rsid w:val="4411F1E3"/>
    <w:rsid w:val="4415C4C2"/>
    <w:rsid w:val="4417855C"/>
    <w:rsid w:val="441DB1FE"/>
    <w:rsid w:val="441E111C"/>
    <w:rsid w:val="441E6615"/>
    <w:rsid w:val="441E9316"/>
    <w:rsid w:val="441FD512"/>
    <w:rsid w:val="4428BC58"/>
    <w:rsid w:val="442B111A"/>
    <w:rsid w:val="442D7DFD"/>
    <w:rsid w:val="4431542B"/>
    <w:rsid w:val="443A1338"/>
    <w:rsid w:val="443ED4C9"/>
    <w:rsid w:val="443FB2FE"/>
    <w:rsid w:val="444E48CB"/>
    <w:rsid w:val="44530CBA"/>
    <w:rsid w:val="4453D059"/>
    <w:rsid w:val="44550797"/>
    <w:rsid w:val="445966B6"/>
    <w:rsid w:val="44599FB0"/>
    <w:rsid w:val="445F521F"/>
    <w:rsid w:val="4461D863"/>
    <w:rsid w:val="4463684F"/>
    <w:rsid w:val="4466A593"/>
    <w:rsid w:val="4466EFC8"/>
    <w:rsid w:val="446B4615"/>
    <w:rsid w:val="446D0AFB"/>
    <w:rsid w:val="44721928"/>
    <w:rsid w:val="44768F88"/>
    <w:rsid w:val="447940F3"/>
    <w:rsid w:val="447E0584"/>
    <w:rsid w:val="4485F220"/>
    <w:rsid w:val="448EA2E9"/>
    <w:rsid w:val="449775F1"/>
    <w:rsid w:val="44A23795"/>
    <w:rsid w:val="44A4B3D3"/>
    <w:rsid w:val="44A6333A"/>
    <w:rsid w:val="44AB20DD"/>
    <w:rsid w:val="44AC3EA2"/>
    <w:rsid w:val="44B1BBA6"/>
    <w:rsid w:val="44B3C0C3"/>
    <w:rsid w:val="44B59180"/>
    <w:rsid w:val="44B6068A"/>
    <w:rsid w:val="44BA2C42"/>
    <w:rsid w:val="44BB41C1"/>
    <w:rsid w:val="44C04E7B"/>
    <w:rsid w:val="44C4DEFE"/>
    <w:rsid w:val="44C59471"/>
    <w:rsid w:val="44C5AEF0"/>
    <w:rsid w:val="44C881F7"/>
    <w:rsid w:val="44CB011B"/>
    <w:rsid w:val="44CB33DB"/>
    <w:rsid w:val="44CC0409"/>
    <w:rsid w:val="44CC7C89"/>
    <w:rsid w:val="44D10E09"/>
    <w:rsid w:val="44D13F46"/>
    <w:rsid w:val="44D19CDE"/>
    <w:rsid w:val="44D5AF4F"/>
    <w:rsid w:val="44D61AA7"/>
    <w:rsid w:val="44D7CC9D"/>
    <w:rsid w:val="44D956EC"/>
    <w:rsid w:val="44D9BEDE"/>
    <w:rsid w:val="44DB81B5"/>
    <w:rsid w:val="44DC644F"/>
    <w:rsid w:val="44DDEF4D"/>
    <w:rsid w:val="44DE8FA6"/>
    <w:rsid w:val="44E09E0C"/>
    <w:rsid w:val="44E26E50"/>
    <w:rsid w:val="44E27EEC"/>
    <w:rsid w:val="44E620C7"/>
    <w:rsid w:val="44E9AB19"/>
    <w:rsid w:val="44EB9826"/>
    <w:rsid w:val="44EEB3D4"/>
    <w:rsid w:val="44F08B6B"/>
    <w:rsid w:val="44F0CB1A"/>
    <w:rsid w:val="44F0D5C0"/>
    <w:rsid w:val="44F2DFCD"/>
    <w:rsid w:val="44F2F9AD"/>
    <w:rsid w:val="44F45E70"/>
    <w:rsid w:val="44F530A0"/>
    <w:rsid w:val="44F938BB"/>
    <w:rsid w:val="44FD57FA"/>
    <w:rsid w:val="44FFD159"/>
    <w:rsid w:val="45002BD2"/>
    <w:rsid w:val="4500417F"/>
    <w:rsid w:val="45015C5E"/>
    <w:rsid w:val="4501C8E3"/>
    <w:rsid w:val="45039217"/>
    <w:rsid w:val="450B8F26"/>
    <w:rsid w:val="450C18D2"/>
    <w:rsid w:val="450CEBEF"/>
    <w:rsid w:val="450F0766"/>
    <w:rsid w:val="450F2438"/>
    <w:rsid w:val="45129B59"/>
    <w:rsid w:val="45169107"/>
    <w:rsid w:val="4517BEC6"/>
    <w:rsid w:val="45186A68"/>
    <w:rsid w:val="451AECC2"/>
    <w:rsid w:val="451B113E"/>
    <w:rsid w:val="451E55CA"/>
    <w:rsid w:val="451FDBD4"/>
    <w:rsid w:val="45237956"/>
    <w:rsid w:val="4527123C"/>
    <w:rsid w:val="452805A9"/>
    <w:rsid w:val="452AF285"/>
    <w:rsid w:val="452B5F7E"/>
    <w:rsid w:val="45305FB9"/>
    <w:rsid w:val="453861CE"/>
    <w:rsid w:val="453A7FB7"/>
    <w:rsid w:val="453E4172"/>
    <w:rsid w:val="453F1A9F"/>
    <w:rsid w:val="4542E06C"/>
    <w:rsid w:val="45452950"/>
    <w:rsid w:val="45472AA6"/>
    <w:rsid w:val="454AB41A"/>
    <w:rsid w:val="454BB5AC"/>
    <w:rsid w:val="454C8733"/>
    <w:rsid w:val="454E2F32"/>
    <w:rsid w:val="454F54E7"/>
    <w:rsid w:val="4550F1F4"/>
    <w:rsid w:val="4551541B"/>
    <w:rsid w:val="4558926E"/>
    <w:rsid w:val="4558997B"/>
    <w:rsid w:val="4558E0F6"/>
    <w:rsid w:val="455D8AB7"/>
    <w:rsid w:val="455E4E07"/>
    <w:rsid w:val="4560A2B8"/>
    <w:rsid w:val="45610551"/>
    <w:rsid w:val="456155EC"/>
    <w:rsid w:val="45653BA8"/>
    <w:rsid w:val="45677087"/>
    <w:rsid w:val="4567BEC0"/>
    <w:rsid w:val="45707CD9"/>
    <w:rsid w:val="4570A626"/>
    <w:rsid w:val="4577AF45"/>
    <w:rsid w:val="4587977F"/>
    <w:rsid w:val="458855E3"/>
    <w:rsid w:val="458B00AA"/>
    <w:rsid w:val="45937C51"/>
    <w:rsid w:val="459657E7"/>
    <w:rsid w:val="459B7EC3"/>
    <w:rsid w:val="459D7258"/>
    <w:rsid w:val="45A62251"/>
    <w:rsid w:val="45A714D6"/>
    <w:rsid w:val="45A76DB9"/>
    <w:rsid w:val="45A7A92C"/>
    <w:rsid w:val="45ABE9AE"/>
    <w:rsid w:val="45B0425A"/>
    <w:rsid w:val="45B2405D"/>
    <w:rsid w:val="45B26938"/>
    <w:rsid w:val="45B44BE7"/>
    <w:rsid w:val="45B58F9D"/>
    <w:rsid w:val="45BCE734"/>
    <w:rsid w:val="45C072DD"/>
    <w:rsid w:val="45CCF846"/>
    <w:rsid w:val="45D7FB8A"/>
    <w:rsid w:val="45D8C74F"/>
    <w:rsid w:val="45E1AE25"/>
    <w:rsid w:val="45E1C73C"/>
    <w:rsid w:val="45E22EB8"/>
    <w:rsid w:val="45E731E6"/>
    <w:rsid w:val="45EA6DA1"/>
    <w:rsid w:val="45ECCA38"/>
    <w:rsid w:val="45EF2C6C"/>
    <w:rsid w:val="45F5E212"/>
    <w:rsid w:val="45F99116"/>
    <w:rsid w:val="45FAD1DD"/>
    <w:rsid w:val="45FEAE57"/>
    <w:rsid w:val="4600165C"/>
    <w:rsid w:val="46067014"/>
    <w:rsid w:val="46070397"/>
    <w:rsid w:val="460A0BE7"/>
    <w:rsid w:val="460A778A"/>
    <w:rsid w:val="4610EF3D"/>
    <w:rsid w:val="4613B855"/>
    <w:rsid w:val="461782C3"/>
    <w:rsid w:val="461B12AC"/>
    <w:rsid w:val="461B6ACB"/>
    <w:rsid w:val="461D514D"/>
    <w:rsid w:val="4620B7BB"/>
    <w:rsid w:val="4629B28C"/>
    <w:rsid w:val="462B6F3C"/>
    <w:rsid w:val="462D6E25"/>
    <w:rsid w:val="46319885"/>
    <w:rsid w:val="46329A9E"/>
    <w:rsid w:val="46359065"/>
    <w:rsid w:val="463823F2"/>
    <w:rsid w:val="463FC959"/>
    <w:rsid w:val="4640D432"/>
    <w:rsid w:val="4642953C"/>
    <w:rsid w:val="464550CD"/>
    <w:rsid w:val="46461766"/>
    <w:rsid w:val="46496BF3"/>
    <w:rsid w:val="4649FD87"/>
    <w:rsid w:val="464B94B5"/>
    <w:rsid w:val="4655023F"/>
    <w:rsid w:val="4655741E"/>
    <w:rsid w:val="4657EA4F"/>
    <w:rsid w:val="465ACA64"/>
    <w:rsid w:val="465F8C4D"/>
    <w:rsid w:val="466115C7"/>
    <w:rsid w:val="4661E1A3"/>
    <w:rsid w:val="46636EB3"/>
    <w:rsid w:val="466499C7"/>
    <w:rsid w:val="4668C56F"/>
    <w:rsid w:val="4668D33B"/>
    <w:rsid w:val="466B150D"/>
    <w:rsid w:val="466C50E0"/>
    <w:rsid w:val="466F2B7A"/>
    <w:rsid w:val="466F3CAA"/>
    <w:rsid w:val="466FFC90"/>
    <w:rsid w:val="4670CC59"/>
    <w:rsid w:val="4673F76A"/>
    <w:rsid w:val="4676973A"/>
    <w:rsid w:val="4678A551"/>
    <w:rsid w:val="46795764"/>
    <w:rsid w:val="467D742C"/>
    <w:rsid w:val="46814A5B"/>
    <w:rsid w:val="468641C9"/>
    <w:rsid w:val="4686F69A"/>
    <w:rsid w:val="468F7BCF"/>
    <w:rsid w:val="4690E273"/>
    <w:rsid w:val="4696D250"/>
    <w:rsid w:val="469B802E"/>
    <w:rsid w:val="46A0C443"/>
    <w:rsid w:val="46A21B07"/>
    <w:rsid w:val="46A38C3B"/>
    <w:rsid w:val="46A50328"/>
    <w:rsid w:val="46A5247F"/>
    <w:rsid w:val="46A779B4"/>
    <w:rsid w:val="46A7966B"/>
    <w:rsid w:val="46A89760"/>
    <w:rsid w:val="46AA7778"/>
    <w:rsid w:val="46AE7E4B"/>
    <w:rsid w:val="46B00F63"/>
    <w:rsid w:val="46B2FF22"/>
    <w:rsid w:val="46B3201F"/>
    <w:rsid w:val="46B9E632"/>
    <w:rsid w:val="46BBFA4F"/>
    <w:rsid w:val="46BC736D"/>
    <w:rsid w:val="46CEAE60"/>
    <w:rsid w:val="46D5C16C"/>
    <w:rsid w:val="46DDDE6A"/>
    <w:rsid w:val="46DDFA02"/>
    <w:rsid w:val="46E05E5A"/>
    <w:rsid w:val="46E0A2CB"/>
    <w:rsid w:val="46E6866A"/>
    <w:rsid w:val="46E8E728"/>
    <w:rsid w:val="46EBA473"/>
    <w:rsid w:val="46EC1BB3"/>
    <w:rsid w:val="46F21C3A"/>
    <w:rsid w:val="46F39599"/>
    <w:rsid w:val="46F65525"/>
    <w:rsid w:val="46F698C0"/>
    <w:rsid w:val="46F76F02"/>
    <w:rsid w:val="46F774C0"/>
    <w:rsid w:val="46F8B08A"/>
    <w:rsid w:val="46F8DC39"/>
    <w:rsid w:val="46FB9D77"/>
    <w:rsid w:val="470512C6"/>
    <w:rsid w:val="47053CA3"/>
    <w:rsid w:val="4705F2BC"/>
    <w:rsid w:val="4706B169"/>
    <w:rsid w:val="470706C0"/>
    <w:rsid w:val="470A554F"/>
    <w:rsid w:val="470CB9BE"/>
    <w:rsid w:val="470E4B29"/>
    <w:rsid w:val="4710E1B2"/>
    <w:rsid w:val="47135CBE"/>
    <w:rsid w:val="4716DC42"/>
    <w:rsid w:val="471A6BCE"/>
    <w:rsid w:val="471C9B3A"/>
    <w:rsid w:val="471CD030"/>
    <w:rsid w:val="471F37B0"/>
    <w:rsid w:val="47225FEF"/>
    <w:rsid w:val="4722F6B4"/>
    <w:rsid w:val="472632C2"/>
    <w:rsid w:val="47283610"/>
    <w:rsid w:val="472B9F20"/>
    <w:rsid w:val="472D241C"/>
    <w:rsid w:val="4733FADA"/>
    <w:rsid w:val="4738B624"/>
    <w:rsid w:val="473BD2F1"/>
    <w:rsid w:val="473D3598"/>
    <w:rsid w:val="47402873"/>
    <w:rsid w:val="4740717B"/>
    <w:rsid w:val="4741A75F"/>
    <w:rsid w:val="4743740C"/>
    <w:rsid w:val="474611CC"/>
    <w:rsid w:val="47489FE9"/>
    <w:rsid w:val="474B694A"/>
    <w:rsid w:val="474CB80B"/>
    <w:rsid w:val="474CC1CD"/>
    <w:rsid w:val="4750976A"/>
    <w:rsid w:val="47515AD0"/>
    <w:rsid w:val="47545D65"/>
    <w:rsid w:val="4756A6AE"/>
    <w:rsid w:val="475A394D"/>
    <w:rsid w:val="475EF714"/>
    <w:rsid w:val="476106EE"/>
    <w:rsid w:val="4762568C"/>
    <w:rsid w:val="47688BE1"/>
    <w:rsid w:val="476A3389"/>
    <w:rsid w:val="476FEAA2"/>
    <w:rsid w:val="47700B2C"/>
    <w:rsid w:val="477132ED"/>
    <w:rsid w:val="4771AD87"/>
    <w:rsid w:val="4772F524"/>
    <w:rsid w:val="47733C63"/>
    <w:rsid w:val="47789B2D"/>
    <w:rsid w:val="47794928"/>
    <w:rsid w:val="478429D8"/>
    <w:rsid w:val="478B6426"/>
    <w:rsid w:val="478D75BE"/>
    <w:rsid w:val="478F4C67"/>
    <w:rsid w:val="4797655A"/>
    <w:rsid w:val="47995130"/>
    <w:rsid w:val="47A24485"/>
    <w:rsid w:val="47A2B7CE"/>
    <w:rsid w:val="47A84EAB"/>
    <w:rsid w:val="47AB1AED"/>
    <w:rsid w:val="47ACFF37"/>
    <w:rsid w:val="47B0EC8A"/>
    <w:rsid w:val="47B1C8D9"/>
    <w:rsid w:val="47B4726B"/>
    <w:rsid w:val="47B77397"/>
    <w:rsid w:val="47BA3779"/>
    <w:rsid w:val="47BBD4DE"/>
    <w:rsid w:val="47C26E73"/>
    <w:rsid w:val="47C37761"/>
    <w:rsid w:val="47C40982"/>
    <w:rsid w:val="47C4B22A"/>
    <w:rsid w:val="47C835BC"/>
    <w:rsid w:val="47CC8104"/>
    <w:rsid w:val="47CDFF23"/>
    <w:rsid w:val="47CE57D9"/>
    <w:rsid w:val="47D118B9"/>
    <w:rsid w:val="47D41315"/>
    <w:rsid w:val="47D56127"/>
    <w:rsid w:val="47D8BC1C"/>
    <w:rsid w:val="47D8EB40"/>
    <w:rsid w:val="47D97CE9"/>
    <w:rsid w:val="47DE829E"/>
    <w:rsid w:val="47E0B3E8"/>
    <w:rsid w:val="47E259B3"/>
    <w:rsid w:val="47E8AF02"/>
    <w:rsid w:val="47ED2F5C"/>
    <w:rsid w:val="47ED443E"/>
    <w:rsid w:val="47EE3A8C"/>
    <w:rsid w:val="47F35F3E"/>
    <w:rsid w:val="47FB23A8"/>
    <w:rsid w:val="47FE87F5"/>
    <w:rsid w:val="47FF58A0"/>
    <w:rsid w:val="48016F2D"/>
    <w:rsid w:val="480C0CF4"/>
    <w:rsid w:val="480E36C7"/>
    <w:rsid w:val="480F188F"/>
    <w:rsid w:val="480F78C3"/>
    <w:rsid w:val="480FEB1D"/>
    <w:rsid w:val="4813A7F8"/>
    <w:rsid w:val="48179565"/>
    <w:rsid w:val="481C4337"/>
    <w:rsid w:val="4821EFC3"/>
    <w:rsid w:val="4822F203"/>
    <w:rsid w:val="482317AC"/>
    <w:rsid w:val="4826C83F"/>
    <w:rsid w:val="482F9C2E"/>
    <w:rsid w:val="4833A9DF"/>
    <w:rsid w:val="48351F76"/>
    <w:rsid w:val="48387887"/>
    <w:rsid w:val="483A3A47"/>
    <w:rsid w:val="483A76CD"/>
    <w:rsid w:val="4842F0F7"/>
    <w:rsid w:val="48432024"/>
    <w:rsid w:val="4846980E"/>
    <w:rsid w:val="4847DEDE"/>
    <w:rsid w:val="4848380D"/>
    <w:rsid w:val="48493181"/>
    <w:rsid w:val="484AE6BB"/>
    <w:rsid w:val="484B0DB9"/>
    <w:rsid w:val="484E2AFF"/>
    <w:rsid w:val="48520C0F"/>
    <w:rsid w:val="4853164B"/>
    <w:rsid w:val="48557378"/>
    <w:rsid w:val="48565E7E"/>
    <w:rsid w:val="4858FEE0"/>
    <w:rsid w:val="485E4875"/>
    <w:rsid w:val="485EB648"/>
    <w:rsid w:val="485FEA79"/>
    <w:rsid w:val="4864CFCD"/>
    <w:rsid w:val="48672724"/>
    <w:rsid w:val="4869AA65"/>
    <w:rsid w:val="4869E6BA"/>
    <w:rsid w:val="486C5832"/>
    <w:rsid w:val="486E46DE"/>
    <w:rsid w:val="487251DC"/>
    <w:rsid w:val="48735604"/>
    <w:rsid w:val="48780911"/>
    <w:rsid w:val="487D4CCE"/>
    <w:rsid w:val="487D5A19"/>
    <w:rsid w:val="48894657"/>
    <w:rsid w:val="488F4689"/>
    <w:rsid w:val="48901716"/>
    <w:rsid w:val="48903392"/>
    <w:rsid w:val="4891C076"/>
    <w:rsid w:val="489505D5"/>
    <w:rsid w:val="4895A141"/>
    <w:rsid w:val="48979755"/>
    <w:rsid w:val="4897E6C8"/>
    <w:rsid w:val="489C115D"/>
    <w:rsid w:val="48A164AA"/>
    <w:rsid w:val="48A32E91"/>
    <w:rsid w:val="48AB56E4"/>
    <w:rsid w:val="48AC254D"/>
    <w:rsid w:val="48B3BC19"/>
    <w:rsid w:val="48B4D159"/>
    <w:rsid w:val="48B5CCD2"/>
    <w:rsid w:val="48B8F335"/>
    <w:rsid w:val="48BA2913"/>
    <w:rsid w:val="48BDED96"/>
    <w:rsid w:val="48C49F7C"/>
    <w:rsid w:val="48C747C3"/>
    <w:rsid w:val="48C8508C"/>
    <w:rsid w:val="48CA3E74"/>
    <w:rsid w:val="48CD6337"/>
    <w:rsid w:val="48CFF247"/>
    <w:rsid w:val="48D13912"/>
    <w:rsid w:val="48D185DC"/>
    <w:rsid w:val="48D4D9BF"/>
    <w:rsid w:val="48DB3C71"/>
    <w:rsid w:val="48DFCCAB"/>
    <w:rsid w:val="48E031F2"/>
    <w:rsid w:val="48E09767"/>
    <w:rsid w:val="48E2F73F"/>
    <w:rsid w:val="48E49824"/>
    <w:rsid w:val="48E5E8FE"/>
    <w:rsid w:val="48EAC94D"/>
    <w:rsid w:val="48EAE5E6"/>
    <w:rsid w:val="48EDE487"/>
    <w:rsid w:val="48F3C3AE"/>
    <w:rsid w:val="48FC0EF4"/>
    <w:rsid w:val="48FC11F5"/>
    <w:rsid w:val="48FD0B6B"/>
    <w:rsid w:val="48FF18B5"/>
    <w:rsid w:val="48FF6808"/>
    <w:rsid w:val="49002B94"/>
    <w:rsid w:val="490190CD"/>
    <w:rsid w:val="49036F52"/>
    <w:rsid w:val="490387F4"/>
    <w:rsid w:val="49050E1D"/>
    <w:rsid w:val="4906F2F7"/>
    <w:rsid w:val="490EA78E"/>
    <w:rsid w:val="491646BA"/>
    <w:rsid w:val="4920DA27"/>
    <w:rsid w:val="4922DB4F"/>
    <w:rsid w:val="492424C3"/>
    <w:rsid w:val="4924DA4D"/>
    <w:rsid w:val="4926E81B"/>
    <w:rsid w:val="4933B3CB"/>
    <w:rsid w:val="4936B455"/>
    <w:rsid w:val="4937B85C"/>
    <w:rsid w:val="494A27C6"/>
    <w:rsid w:val="494A4961"/>
    <w:rsid w:val="494AFF36"/>
    <w:rsid w:val="494BDEAA"/>
    <w:rsid w:val="494CE306"/>
    <w:rsid w:val="494DB1D9"/>
    <w:rsid w:val="494F4C82"/>
    <w:rsid w:val="49503BCE"/>
    <w:rsid w:val="4952A8A5"/>
    <w:rsid w:val="495A364C"/>
    <w:rsid w:val="495AC606"/>
    <w:rsid w:val="495C8871"/>
    <w:rsid w:val="495CCF3C"/>
    <w:rsid w:val="495CD450"/>
    <w:rsid w:val="495D4DD6"/>
    <w:rsid w:val="49610806"/>
    <w:rsid w:val="49636FC7"/>
    <w:rsid w:val="496A1F64"/>
    <w:rsid w:val="496AD8BE"/>
    <w:rsid w:val="496FE589"/>
    <w:rsid w:val="4973F262"/>
    <w:rsid w:val="497A5B64"/>
    <w:rsid w:val="497C1B1D"/>
    <w:rsid w:val="497C976B"/>
    <w:rsid w:val="497E2DAD"/>
    <w:rsid w:val="497FF00B"/>
    <w:rsid w:val="49809627"/>
    <w:rsid w:val="4989A752"/>
    <w:rsid w:val="4989C8D1"/>
    <w:rsid w:val="498B65C8"/>
    <w:rsid w:val="4993F131"/>
    <w:rsid w:val="49958EA0"/>
    <w:rsid w:val="49993A98"/>
    <w:rsid w:val="4999F4E8"/>
    <w:rsid w:val="499A3DF0"/>
    <w:rsid w:val="499BAC00"/>
    <w:rsid w:val="499DA0BA"/>
    <w:rsid w:val="49A529CF"/>
    <w:rsid w:val="49A660E4"/>
    <w:rsid w:val="49A725C2"/>
    <w:rsid w:val="49A92A53"/>
    <w:rsid w:val="49B5F4A1"/>
    <w:rsid w:val="49B8DEA8"/>
    <w:rsid w:val="49BC0CD4"/>
    <w:rsid w:val="49BD4C72"/>
    <w:rsid w:val="49C26A2F"/>
    <w:rsid w:val="49C5D123"/>
    <w:rsid w:val="49C9AA48"/>
    <w:rsid w:val="49CF785C"/>
    <w:rsid w:val="49CFDA09"/>
    <w:rsid w:val="49D1DB23"/>
    <w:rsid w:val="49D5CFEC"/>
    <w:rsid w:val="49E732FD"/>
    <w:rsid w:val="49E9C8AC"/>
    <w:rsid w:val="49EA7509"/>
    <w:rsid w:val="49EA8A1C"/>
    <w:rsid w:val="49ED1CF5"/>
    <w:rsid w:val="49F6763B"/>
    <w:rsid w:val="49F96982"/>
    <w:rsid w:val="49FAD79B"/>
    <w:rsid w:val="49FDA975"/>
    <w:rsid w:val="4A004032"/>
    <w:rsid w:val="4A00457A"/>
    <w:rsid w:val="4A024C76"/>
    <w:rsid w:val="4A025035"/>
    <w:rsid w:val="4A03A4ED"/>
    <w:rsid w:val="4A099232"/>
    <w:rsid w:val="4A0A4866"/>
    <w:rsid w:val="4A0B1725"/>
    <w:rsid w:val="4A0FD073"/>
    <w:rsid w:val="4A118B41"/>
    <w:rsid w:val="4A1291D2"/>
    <w:rsid w:val="4A13BDAA"/>
    <w:rsid w:val="4A17A866"/>
    <w:rsid w:val="4A1DBADF"/>
    <w:rsid w:val="4A1E0150"/>
    <w:rsid w:val="4A23D734"/>
    <w:rsid w:val="4A2510AC"/>
    <w:rsid w:val="4A2537E1"/>
    <w:rsid w:val="4A277E90"/>
    <w:rsid w:val="4A27C4E2"/>
    <w:rsid w:val="4A28C47F"/>
    <w:rsid w:val="4A28D203"/>
    <w:rsid w:val="4A29AE74"/>
    <w:rsid w:val="4A2B47E3"/>
    <w:rsid w:val="4A31259E"/>
    <w:rsid w:val="4A312DFD"/>
    <w:rsid w:val="4A31F0EC"/>
    <w:rsid w:val="4A32807E"/>
    <w:rsid w:val="4A33E121"/>
    <w:rsid w:val="4A35AF12"/>
    <w:rsid w:val="4A3C008B"/>
    <w:rsid w:val="4A3D21FF"/>
    <w:rsid w:val="4A3EEF39"/>
    <w:rsid w:val="4A409135"/>
    <w:rsid w:val="4A4257BD"/>
    <w:rsid w:val="4A4277D6"/>
    <w:rsid w:val="4A436A5A"/>
    <w:rsid w:val="4A44ED6D"/>
    <w:rsid w:val="4A47FAC5"/>
    <w:rsid w:val="4A537CF3"/>
    <w:rsid w:val="4A53BE22"/>
    <w:rsid w:val="4A54C0C7"/>
    <w:rsid w:val="4A586BB1"/>
    <w:rsid w:val="4A59CF81"/>
    <w:rsid w:val="4A5AD791"/>
    <w:rsid w:val="4A6FB056"/>
    <w:rsid w:val="4A736E72"/>
    <w:rsid w:val="4A7828CC"/>
    <w:rsid w:val="4A7876F3"/>
    <w:rsid w:val="4A796D30"/>
    <w:rsid w:val="4A7DC418"/>
    <w:rsid w:val="4A814754"/>
    <w:rsid w:val="4A831D12"/>
    <w:rsid w:val="4A83234E"/>
    <w:rsid w:val="4A83C130"/>
    <w:rsid w:val="4A861D78"/>
    <w:rsid w:val="4A874771"/>
    <w:rsid w:val="4A875227"/>
    <w:rsid w:val="4A886C68"/>
    <w:rsid w:val="4A8D7EA4"/>
    <w:rsid w:val="4A8F1AC6"/>
    <w:rsid w:val="4A929F6F"/>
    <w:rsid w:val="4A92D873"/>
    <w:rsid w:val="4A974157"/>
    <w:rsid w:val="4A97A777"/>
    <w:rsid w:val="4A9E75D3"/>
    <w:rsid w:val="4A9FA4C4"/>
    <w:rsid w:val="4A9FBB18"/>
    <w:rsid w:val="4AA1B7CB"/>
    <w:rsid w:val="4AA2B8B5"/>
    <w:rsid w:val="4AA31EC8"/>
    <w:rsid w:val="4AA51D8A"/>
    <w:rsid w:val="4AA8069F"/>
    <w:rsid w:val="4AB1CD28"/>
    <w:rsid w:val="4AB42D2E"/>
    <w:rsid w:val="4AB64149"/>
    <w:rsid w:val="4AB722B7"/>
    <w:rsid w:val="4AB7CF13"/>
    <w:rsid w:val="4ABA041D"/>
    <w:rsid w:val="4ABEBC02"/>
    <w:rsid w:val="4AC77983"/>
    <w:rsid w:val="4ACD297E"/>
    <w:rsid w:val="4ACF2AB3"/>
    <w:rsid w:val="4ACF38FE"/>
    <w:rsid w:val="4AD436DB"/>
    <w:rsid w:val="4AD6CD47"/>
    <w:rsid w:val="4AD81A60"/>
    <w:rsid w:val="4AD88721"/>
    <w:rsid w:val="4AD8AB31"/>
    <w:rsid w:val="4ADD0807"/>
    <w:rsid w:val="4ADE6B49"/>
    <w:rsid w:val="4ADF87E7"/>
    <w:rsid w:val="4AE16215"/>
    <w:rsid w:val="4AE17384"/>
    <w:rsid w:val="4AE20F48"/>
    <w:rsid w:val="4AE3B9BA"/>
    <w:rsid w:val="4AE54089"/>
    <w:rsid w:val="4AE89722"/>
    <w:rsid w:val="4AE99726"/>
    <w:rsid w:val="4AEA1F03"/>
    <w:rsid w:val="4AEA6FA8"/>
    <w:rsid w:val="4AEAA09B"/>
    <w:rsid w:val="4AF362C2"/>
    <w:rsid w:val="4AF48584"/>
    <w:rsid w:val="4AFCB538"/>
    <w:rsid w:val="4B0115E4"/>
    <w:rsid w:val="4B030C8D"/>
    <w:rsid w:val="4B0553BB"/>
    <w:rsid w:val="4B05FF07"/>
    <w:rsid w:val="4B075CE3"/>
    <w:rsid w:val="4B090127"/>
    <w:rsid w:val="4B097E2B"/>
    <w:rsid w:val="4B0C14B1"/>
    <w:rsid w:val="4B0E2129"/>
    <w:rsid w:val="4B11F5F6"/>
    <w:rsid w:val="4B160A58"/>
    <w:rsid w:val="4B1BF3BE"/>
    <w:rsid w:val="4B1C137A"/>
    <w:rsid w:val="4B1EB72C"/>
    <w:rsid w:val="4B21342E"/>
    <w:rsid w:val="4B21C1BD"/>
    <w:rsid w:val="4B279FD6"/>
    <w:rsid w:val="4B2C31B2"/>
    <w:rsid w:val="4B2D9506"/>
    <w:rsid w:val="4B3566A6"/>
    <w:rsid w:val="4B3F4A71"/>
    <w:rsid w:val="4B43F375"/>
    <w:rsid w:val="4B4641AA"/>
    <w:rsid w:val="4B47D427"/>
    <w:rsid w:val="4B4DADC5"/>
    <w:rsid w:val="4B4F8481"/>
    <w:rsid w:val="4B50888F"/>
    <w:rsid w:val="4B5287B6"/>
    <w:rsid w:val="4B58BB6B"/>
    <w:rsid w:val="4B5BB956"/>
    <w:rsid w:val="4B5CA88E"/>
    <w:rsid w:val="4B5CB172"/>
    <w:rsid w:val="4B5F7687"/>
    <w:rsid w:val="4B5FB3A1"/>
    <w:rsid w:val="4B6258B2"/>
    <w:rsid w:val="4B65BB9B"/>
    <w:rsid w:val="4B682339"/>
    <w:rsid w:val="4B699FFD"/>
    <w:rsid w:val="4B6D67BF"/>
    <w:rsid w:val="4B73EA9D"/>
    <w:rsid w:val="4B7745E0"/>
    <w:rsid w:val="4B7F0C66"/>
    <w:rsid w:val="4B821D31"/>
    <w:rsid w:val="4B87C5BB"/>
    <w:rsid w:val="4B8A34B1"/>
    <w:rsid w:val="4B91635C"/>
    <w:rsid w:val="4B960408"/>
    <w:rsid w:val="4B9A5957"/>
    <w:rsid w:val="4B9BC936"/>
    <w:rsid w:val="4B9DA463"/>
    <w:rsid w:val="4B9E9934"/>
    <w:rsid w:val="4B9E9B1F"/>
    <w:rsid w:val="4BA05FEF"/>
    <w:rsid w:val="4BA3C338"/>
    <w:rsid w:val="4BA59699"/>
    <w:rsid w:val="4BA6C58A"/>
    <w:rsid w:val="4BA7538B"/>
    <w:rsid w:val="4BAA2E6F"/>
    <w:rsid w:val="4BAD27FD"/>
    <w:rsid w:val="4BAFA945"/>
    <w:rsid w:val="4BB16520"/>
    <w:rsid w:val="4BB2D12A"/>
    <w:rsid w:val="4BB6938A"/>
    <w:rsid w:val="4BC258BA"/>
    <w:rsid w:val="4BC3D3F5"/>
    <w:rsid w:val="4BC7DD62"/>
    <w:rsid w:val="4BCAFC31"/>
    <w:rsid w:val="4BCDD175"/>
    <w:rsid w:val="4BCE5DC2"/>
    <w:rsid w:val="4BCEB0B0"/>
    <w:rsid w:val="4BCF005F"/>
    <w:rsid w:val="4BD02158"/>
    <w:rsid w:val="4BD132FE"/>
    <w:rsid w:val="4BD2A807"/>
    <w:rsid w:val="4BD88F04"/>
    <w:rsid w:val="4BD8EE87"/>
    <w:rsid w:val="4BDB3F07"/>
    <w:rsid w:val="4BDB9DE4"/>
    <w:rsid w:val="4BE1B193"/>
    <w:rsid w:val="4BE1F4A5"/>
    <w:rsid w:val="4BE51062"/>
    <w:rsid w:val="4BE530C2"/>
    <w:rsid w:val="4BEBEAD7"/>
    <w:rsid w:val="4BEE081E"/>
    <w:rsid w:val="4BF12056"/>
    <w:rsid w:val="4BF4ED3D"/>
    <w:rsid w:val="4BF654B7"/>
    <w:rsid w:val="4BF7903D"/>
    <w:rsid w:val="4BFADEB6"/>
    <w:rsid w:val="4BFEAFF2"/>
    <w:rsid w:val="4C01EBAC"/>
    <w:rsid w:val="4C020036"/>
    <w:rsid w:val="4C031690"/>
    <w:rsid w:val="4C0763E0"/>
    <w:rsid w:val="4C09D498"/>
    <w:rsid w:val="4C0AC55B"/>
    <w:rsid w:val="4C0CC8BE"/>
    <w:rsid w:val="4C0E08E6"/>
    <w:rsid w:val="4C14E44C"/>
    <w:rsid w:val="4C16BED0"/>
    <w:rsid w:val="4C1A75EA"/>
    <w:rsid w:val="4C21CFAF"/>
    <w:rsid w:val="4C25B0D6"/>
    <w:rsid w:val="4C288FB7"/>
    <w:rsid w:val="4C29E329"/>
    <w:rsid w:val="4C3074FD"/>
    <w:rsid w:val="4C30C14E"/>
    <w:rsid w:val="4C323208"/>
    <w:rsid w:val="4C341FF5"/>
    <w:rsid w:val="4C361DEF"/>
    <w:rsid w:val="4C366D12"/>
    <w:rsid w:val="4C37258F"/>
    <w:rsid w:val="4C3AA6A7"/>
    <w:rsid w:val="4C3D88F8"/>
    <w:rsid w:val="4C40580B"/>
    <w:rsid w:val="4C40BD75"/>
    <w:rsid w:val="4C4401FF"/>
    <w:rsid w:val="4C44EB3E"/>
    <w:rsid w:val="4C464865"/>
    <w:rsid w:val="4C481C68"/>
    <w:rsid w:val="4C483719"/>
    <w:rsid w:val="4C4CDB37"/>
    <w:rsid w:val="4C544DA1"/>
    <w:rsid w:val="4C5E2633"/>
    <w:rsid w:val="4C6255AA"/>
    <w:rsid w:val="4C66229F"/>
    <w:rsid w:val="4C66AB59"/>
    <w:rsid w:val="4C6988BE"/>
    <w:rsid w:val="4C7169CF"/>
    <w:rsid w:val="4C71A545"/>
    <w:rsid w:val="4C7244B2"/>
    <w:rsid w:val="4C72A30B"/>
    <w:rsid w:val="4C7635BF"/>
    <w:rsid w:val="4C836B7E"/>
    <w:rsid w:val="4C8AE025"/>
    <w:rsid w:val="4C8F104C"/>
    <w:rsid w:val="4C913C8F"/>
    <w:rsid w:val="4C91FDE3"/>
    <w:rsid w:val="4C9255B2"/>
    <w:rsid w:val="4C9298D1"/>
    <w:rsid w:val="4C9939FD"/>
    <w:rsid w:val="4C9EC0C5"/>
    <w:rsid w:val="4CA6F944"/>
    <w:rsid w:val="4CA79336"/>
    <w:rsid w:val="4CA8A597"/>
    <w:rsid w:val="4CAB7449"/>
    <w:rsid w:val="4CAC75F8"/>
    <w:rsid w:val="4CB298D7"/>
    <w:rsid w:val="4CB40011"/>
    <w:rsid w:val="4CBB7BE1"/>
    <w:rsid w:val="4CBEAD5C"/>
    <w:rsid w:val="4CC0A5F3"/>
    <w:rsid w:val="4CC785DC"/>
    <w:rsid w:val="4CC7B220"/>
    <w:rsid w:val="4CCCBB10"/>
    <w:rsid w:val="4CCCF358"/>
    <w:rsid w:val="4CCDA0DE"/>
    <w:rsid w:val="4CCDC8F1"/>
    <w:rsid w:val="4CCE9251"/>
    <w:rsid w:val="4CD19A95"/>
    <w:rsid w:val="4CD250AD"/>
    <w:rsid w:val="4CE08AB6"/>
    <w:rsid w:val="4CE100F9"/>
    <w:rsid w:val="4CE3872D"/>
    <w:rsid w:val="4CE3A663"/>
    <w:rsid w:val="4CE73A6D"/>
    <w:rsid w:val="4CE84A31"/>
    <w:rsid w:val="4CEA5F4A"/>
    <w:rsid w:val="4CED6A73"/>
    <w:rsid w:val="4CF22E1C"/>
    <w:rsid w:val="4CF3D27D"/>
    <w:rsid w:val="4CF4643A"/>
    <w:rsid w:val="4CF4D8EE"/>
    <w:rsid w:val="4CF50363"/>
    <w:rsid w:val="4CF58A31"/>
    <w:rsid w:val="4CF6B069"/>
    <w:rsid w:val="4CF6BF06"/>
    <w:rsid w:val="4CF9EDC1"/>
    <w:rsid w:val="4CFE081F"/>
    <w:rsid w:val="4D01E09D"/>
    <w:rsid w:val="4D03B007"/>
    <w:rsid w:val="4D046D95"/>
    <w:rsid w:val="4D05A81F"/>
    <w:rsid w:val="4D05B394"/>
    <w:rsid w:val="4D087947"/>
    <w:rsid w:val="4D0AD8E1"/>
    <w:rsid w:val="4D0C78E6"/>
    <w:rsid w:val="4D0CB98B"/>
    <w:rsid w:val="4D0D0CB8"/>
    <w:rsid w:val="4D0F511C"/>
    <w:rsid w:val="4D0FB842"/>
    <w:rsid w:val="4D14F8ED"/>
    <w:rsid w:val="4D17327B"/>
    <w:rsid w:val="4D18418D"/>
    <w:rsid w:val="4D1985CF"/>
    <w:rsid w:val="4D1D7E7E"/>
    <w:rsid w:val="4D1DBE6F"/>
    <w:rsid w:val="4D1DFF8C"/>
    <w:rsid w:val="4D1F257C"/>
    <w:rsid w:val="4D22B01A"/>
    <w:rsid w:val="4D23BB5C"/>
    <w:rsid w:val="4D23DE24"/>
    <w:rsid w:val="4D2A6B06"/>
    <w:rsid w:val="4D2AB2D9"/>
    <w:rsid w:val="4D2AD29C"/>
    <w:rsid w:val="4D2B8DF0"/>
    <w:rsid w:val="4D2EE24F"/>
    <w:rsid w:val="4D3159D3"/>
    <w:rsid w:val="4D340974"/>
    <w:rsid w:val="4D34252F"/>
    <w:rsid w:val="4D356147"/>
    <w:rsid w:val="4D3913A6"/>
    <w:rsid w:val="4D3A209F"/>
    <w:rsid w:val="4D428EFD"/>
    <w:rsid w:val="4D43A410"/>
    <w:rsid w:val="4D4F20D2"/>
    <w:rsid w:val="4D4FD2F5"/>
    <w:rsid w:val="4D53246F"/>
    <w:rsid w:val="4D5891B9"/>
    <w:rsid w:val="4D58E602"/>
    <w:rsid w:val="4D593D9C"/>
    <w:rsid w:val="4D5C59E4"/>
    <w:rsid w:val="4D5D810D"/>
    <w:rsid w:val="4D5F74E9"/>
    <w:rsid w:val="4D618AAE"/>
    <w:rsid w:val="4D62A8CA"/>
    <w:rsid w:val="4D63EF00"/>
    <w:rsid w:val="4D66DB5A"/>
    <w:rsid w:val="4D688929"/>
    <w:rsid w:val="4D69FE4B"/>
    <w:rsid w:val="4D724506"/>
    <w:rsid w:val="4D78C849"/>
    <w:rsid w:val="4D820F84"/>
    <w:rsid w:val="4D84377F"/>
    <w:rsid w:val="4D8611B1"/>
    <w:rsid w:val="4D86B32E"/>
    <w:rsid w:val="4D8D7655"/>
    <w:rsid w:val="4D8DCBD9"/>
    <w:rsid w:val="4D929EC5"/>
    <w:rsid w:val="4D932A01"/>
    <w:rsid w:val="4D93828C"/>
    <w:rsid w:val="4D9507D2"/>
    <w:rsid w:val="4D968BF7"/>
    <w:rsid w:val="4D990E8F"/>
    <w:rsid w:val="4D9A56DA"/>
    <w:rsid w:val="4D9B0307"/>
    <w:rsid w:val="4D9B648B"/>
    <w:rsid w:val="4D9B85B9"/>
    <w:rsid w:val="4D9C5910"/>
    <w:rsid w:val="4D9DBECF"/>
    <w:rsid w:val="4D9EBD25"/>
    <w:rsid w:val="4DA31F68"/>
    <w:rsid w:val="4DA5D1E6"/>
    <w:rsid w:val="4DA7EC34"/>
    <w:rsid w:val="4DA94040"/>
    <w:rsid w:val="4DAC7BF4"/>
    <w:rsid w:val="4DAE4179"/>
    <w:rsid w:val="4DAEC421"/>
    <w:rsid w:val="4DAF671E"/>
    <w:rsid w:val="4DB0C74A"/>
    <w:rsid w:val="4DB94811"/>
    <w:rsid w:val="4DBCF87D"/>
    <w:rsid w:val="4DBCFE02"/>
    <w:rsid w:val="4DBF21EC"/>
    <w:rsid w:val="4DC0B55E"/>
    <w:rsid w:val="4DC1E662"/>
    <w:rsid w:val="4DC2831F"/>
    <w:rsid w:val="4DC5D136"/>
    <w:rsid w:val="4DC731DB"/>
    <w:rsid w:val="4DC8829D"/>
    <w:rsid w:val="4DC89D9F"/>
    <w:rsid w:val="4DC9C2C5"/>
    <w:rsid w:val="4DCEB474"/>
    <w:rsid w:val="4DD196BB"/>
    <w:rsid w:val="4DD4F534"/>
    <w:rsid w:val="4DD56981"/>
    <w:rsid w:val="4DD5E2AB"/>
    <w:rsid w:val="4DD76412"/>
    <w:rsid w:val="4DD80D1D"/>
    <w:rsid w:val="4DD89740"/>
    <w:rsid w:val="4DE9EEF5"/>
    <w:rsid w:val="4DEAAC71"/>
    <w:rsid w:val="4DEB84B8"/>
    <w:rsid w:val="4DEFDF6E"/>
    <w:rsid w:val="4DF20F51"/>
    <w:rsid w:val="4DFC0289"/>
    <w:rsid w:val="4DFDAAE2"/>
    <w:rsid w:val="4DFFCD02"/>
    <w:rsid w:val="4E0295B9"/>
    <w:rsid w:val="4E08361D"/>
    <w:rsid w:val="4E0AAFC9"/>
    <w:rsid w:val="4E14E7D0"/>
    <w:rsid w:val="4E161A9C"/>
    <w:rsid w:val="4E1928FA"/>
    <w:rsid w:val="4E1C4953"/>
    <w:rsid w:val="4E1DF96B"/>
    <w:rsid w:val="4E220014"/>
    <w:rsid w:val="4E230C11"/>
    <w:rsid w:val="4E230DBF"/>
    <w:rsid w:val="4E25017F"/>
    <w:rsid w:val="4E2651BE"/>
    <w:rsid w:val="4E29D9FA"/>
    <w:rsid w:val="4E2BB65A"/>
    <w:rsid w:val="4E2F55EB"/>
    <w:rsid w:val="4E323EC4"/>
    <w:rsid w:val="4E33EF02"/>
    <w:rsid w:val="4E388BCF"/>
    <w:rsid w:val="4E4088EB"/>
    <w:rsid w:val="4E41F2B8"/>
    <w:rsid w:val="4E423E9D"/>
    <w:rsid w:val="4E45D496"/>
    <w:rsid w:val="4E45FB4C"/>
    <w:rsid w:val="4E49DD6E"/>
    <w:rsid w:val="4E4D28B7"/>
    <w:rsid w:val="4E4E1EB4"/>
    <w:rsid w:val="4E4FAF76"/>
    <w:rsid w:val="4E5092D8"/>
    <w:rsid w:val="4E512F80"/>
    <w:rsid w:val="4E55599E"/>
    <w:rsid w:val="4E560264"/>
    <w:rsid w:val="4E572DEB"/>
    <w:rsid w:val="4E57C107"/>
    <w:rsid w:val="4E61C94D"/>
    <w:rsid w:val="4E64D887"/>
    <w:rsid w:val="4E661A87"/>
    <w:rsid w:val="4E66DBDE"/>
    <w:rsid w:val="4E6C3347"/>
    <w:rsid w:val="4E6F9B20"/>
    <w:rsid w:val="4E73F1AF"/>
    <w:rsid w:val="4E7676E4"/>
    <w:rsid w:val="4E7892C0"/>
    <w:rsid w:val="4E7986EF"/>
    <w:rsid w:val="4E7A576A"/>
    <w:rsid w:val="4E7FCB1D"/>
    <w:rsid w:val="4E855443"/>
    <w:rsid w:val="4E85AF4A"/>
    <w:rsid w:val="4E899A7E"/>
    <w:rsid w:val="4E8C01EA"/>
    <w:rsid w:val="4E90617D"/>
    <w:rsid w:val="4E931422"/>
    <w:rsid w:val="4E94770E"/>
    <w:rsid w:val="4E960C13"/>
    <w:rsid w:val="4E9B516A"/>
    <w:rsid w:val="4E9B9BA0"/>
    <w:rsid w:val="4EA07ADF"/>
    <w:rsid w:val="4EA0BA0B"/>
    <w:rsid w:val="4EA2D3E0"/>
    <w:rsid w:val="4EA56625"/>
    <w:rsid w:val="4EA5C001"/>
    <w:rsid w:val="4EA69135"/>
    <w:rsid w:val="4EA6E9E7"/>
    <w:rsid w:val="4EA81922"/>
    <w:rsid w:val="4EAC1CDA"/>
    <w:rsid w:val="4EAEC569"/>
    <w:rsid w:val="4EAF17B9"/>
    <w:rsid w:val="4EBAFE8D"/>
    <w:rsid w:val="4EBF9093"/>
    <w:rsid w:val="4EBFB984"/>
    <w:rsid w:val="4EC00FF2"/>
    <w:rsid w:val="4EC06CB7"/>
    <w:rsid w:val="4EC29EEB"/>
    <w:rsid w:val="4EC9BD0D"/>
    <w:rsid w:val="4ECB377F"/>
    <w:rsid w:val="4ECDB8F1"/>
    <w:rsid w:val="4ED8726D"/>
    <w:rsid w:val="4EDD3C6D"/>
    <w:rsid w:val="4EE21AC3"/>
    <w:rsid w:val="4EE4C296"/>
    <w:rsid w:val="4EE8E9E4"/>
    <w:rsid w:val="4EE9617F"/>
    <w:rsid w:val="4EEA904D"/>
    <w:rsid w:val="4EED0888"/>
    <w:rsid w:val="4EEE91B8"/>
    <w:rsid w:val="4EF03BE7"/>
    <w:rsid w:val="4EF0DE72"/>
    <w:rsid w:val="4EF1B6F8"/>
    <w:rsid w:val="4EFBE9DC"/>
    <w:rsid w:val="4F00494E"/>
    <w:rsid w:val="4F02CCBB"/>
    <w:rsid w:val="4F0A255B"/>
    <w:rsid w:val="4F0A74C4"/>
    <w:rsid w:val="4F0D1607"/>
    <w:rsid w:val="4F0E5255"/>
    <w:rsid w:val="4F106A33"/>
    <w:rsid w:val="4F171D93"/>
    <w:rsid w:val="4F1E01A2"/>
    <w:rsid w:val="4F21AB2A"/>
    <w:rsid w:val="4F26550A"/>
    <w:rsid w:val="4F265C15"/>
    <w:rsid w:val="4F2718B0"/>
    <w:rsid w:val="4F2729CE"/>
    <w:rsid w:val="4F2B2F1E"/>
    <w:rsid w:val="4F2CEAA0"/>
    <w:rsid w:val="4F3044C1"/>
    <w:rsid w:val="4F32C2F4"/>
    <w:rsid w:val="4F36CB97"/>
    <w:rsid w:val="4F376D46"/>
    <w:rsid w:val="4F38AEC9"/>
    <w:rsid w:val="4F3C1185"/>
    <w:rsid w:val="4F4318CF"/>
    <w:rsid w:val="4F438200"/>
    <w:rsid w:val="4F464C47"/>
    <w:rsid w:val="4F4A07B3"/>
    <w:rsid w:val="4F4B2F9E"/>
    <w:rsid w:val="4F4BA918"/>
    <w:rsid w:val="4F4E7904"/>
    <w:rsid w:val="4F51B9A3"/>
    <w:rsid w:val="4F521D97"/>
    <w:rsid w:val="4F52F45E"/>
    <w:rsid w:val="4F5C0177"/>
    <w:rsid w:val="4F5CB2D1"/>
    <w:rsid w:val="4F5D6646"/>
    <w:rsid w:val="4F6262C1"/>
    <w:rsid w:val="4F642CF3"/>
    <w:rsid w:val="4F665C93"/>
    <w:rsid w:val="4F6A557F"/>
    <w:rsid w:val="4F6F7A9E"/>
    <w:rsid w:val="4F72BFA4"/>
    <w:rsid w:val="4F7568CA"/>
    <w:rsid w:val="4F79521C"/>
    <w:rsid w:val="4F79F2E7"/>
    <w:rsid w:val="4F79F706"/>
    <w:rsid w:val="4F7A0CE4"/>
    <w:rsid w:val="4F7E2DF1"/>
    <w:rsid w:val="4F80DDB4"/>
    <w:rsid w:val="4F82FBAC"/>
    <w:rsid w:val="4F851FFD"/>
    <w:rsid w:val="4F869AEA"/>
    <w:rsid w:val="4F877B78"/>
    <w:rsid w:val="4F8EEDDE"/>
    <w:rsid w:val="4F935BB3"/>
    <w:rsid w:val="4F964FB9"/>
    <w:rsid w:val="4F9798B3"/>
    <w:rsid w:val="4FA061E1"/>
    <w:rsid w:val="4FA2AD67"/>
    <w:rsid w:val="4FA5231C"/>
    <w:rsid w:val="4FA5EEF8"/>
    <w:rsid w:val="4FA78ACE"/>
    <w:rsid w:val="4FA92954"/>
    <w:rsid w:val="4FA94A58"/>
    <w:rsid w:val="4FAADEF7"/>
    <w:rsid w:val="4FAFA682"/>
    <w:rsid w:val="4FB35566"/>
    <w:rsid w:val="4FB8722C"/>
    <w:rsid w:val="4FB902D0"/>
    <w:rsid w:val="4FC932D9"/>
    <w:rsid w:val="4FCB0ED2"/>
    <w:rsid w:val="4FD15318"/>
    <w:rsid w:val="4FD335F9"/>
    <w:rsid w:val="4FD51CD3"/>
    <w:rsid w:val="4FD9D577"/>
    <w:rsid w:val="4FDDE513"/>
    <w:rsid w:val="4FE1AEBE"/>
    <w:rsid w:val="4FE338CD"/>
    <w:rsid w:val="4FE97229"/>
    <w:rsid w:val="4FE99FB9"/>
    <w:rsid w:val="4FEAB1FC"/>
    <w:rsid w:val="4FEFB83B"/>
    <w:rsid w:val="4FF50EA1"/>
    <w:rsid w:val="4FF61FE9"/>
    <w:rsid w:val="4FFAE42A"/>
    <w:rsid w:val="4FFB8392"/>
    <w:rsid w:val="50044355"/>
    <w:rsid w:val="50070AE3"/>
    <w:rsid w:val="500849A5"/>
    <w:rsid w:val="500EA0CF"/>
    <w:rsid w:val="50119173"/>
    <w:rsid w:val="5011A8E1"/>
    <w:rsid w:val="50120B6A"/>
    <w:rsid w:val="5015306C"/>
    <w:rsid w:val="5015F8B2"/>
    <w:rsid w:val="501F02B9"/>
    <w:rsid w:val="50239EE1"/>
    <w:rsid w:val="502AC049"/>
    <w:rsid w:val="502E727C"/>
    <w:rsid w:val="5032D59C"/>
    <w:rsid w:val="503588A5"/>
    <w:rsid w:val="503672C3"/>
    <w:rsid w:val="503DD313"/>
    <w:rsid w:val="50427AA0"/>
    <w:rsid w:val="5048F0F8"/>
    <w:rsid w:val="504B683D"/>
    <w:rsid w:val="504E79DC"/>
    <w:rsid w:val="504FB2E7"/>
    <w:rsid w:val="5051B908"/>
    <w:rsid w:val="50566EFF"/>
    <w:rsid w:val="5056A4BE"/>
    <w:rsid w:val="505BBA18"/>
    <w:rsid w:val="50731612"/>
    <w:rsid w:val="5078389A"/>
    <w:rsid w:val="5079EEB8"/>
    <w:rsid w:val="507A515D"/>
    <w:rsid w:val="507C93C2"/>
    <w:rsid w:val="5083CEE1"/>
    <w:rsid w:val="50865288"/>
    <w:rsid w:val="5089A5D7"/>
    <w:rsid w:val="508A095F"/>
    <w:rsid w:val="508A616C"/>
    <w:rsid w:val="508C76EB"/>
    <w:rsid w:val="508C9A86"/>
    <w:rsid w:val="508DE18D"/>
    <w:rsid w:val="508EABB5"/>
    <w:rsid w:val="5092212D"/>
    <w:rsid w:val="50930B51"/>
    <w:rsid w:val="5093ACF3"/>
    <w:rsid w:val="50958719"/>
    <w:rsid w:val="5096E4D8"/>
    <w:rsid w:val="509F7446"/>
    <w:rsid w:val="50A1BB2B"/>
    <w:rsid w:val="50A7C449"/>
    <w:rsid w:val="50AD474D"/>
    <w:rsid w:val="50AD9EE7"/>
    <w:rsid w:val="50B4A111"/>
    <w:rsid w:val="50BF2B29"/>
    <w:rsid w:val="50C126DD"/>
    <w:rsid w:val="50C26B0E"/>
    <w:rsid w:val="50C5FB52"/>
    <w:rsid w:val="50C71FF5"/>
    <w:rsid w:val="50C74FDF"/>
    <w:rsid w:val="50C89803"/>
    <w:rsid w:val="50CE90D0"/>
    <w:rsid w:val="50D14589"/>
    <w:rsid w:val="50DB1B4C"/>
    <w:rsid w:val="50DDF985"/>
    <w:rsid w:val="50E2AFAD"/>
    <w:rsid w:val="50E54838"/>
    <w:rsid w:val="50E5F4FA"/>
    <w:rsid w:val="50E86A82"/>
    <w:rsid w:val="50EC8A97"/>
    <w:rsid w:val="50EFF73C"/>
    <w:rsid w:val="50F351B8"/>
    <w:rsid w:val="50F3CB49"/>
    <w:rsid w:val="50F503A8"/>
    <w:rsid w:val="50F5EA39"/>
    <w:rsid w:val="50FD7233"/>
    <w:rsid w:val="50FD7EA6"/>
    <w:rsid w:val="50FE414E"/>
    <w:rsid w:val="5101CC69"/>
    <w:rsid w:val="510534CB"/>
    <w:rsid w:val="5105BEED"/>
    <w:rsid w:val="51064A49"/>
    <w:rsid w:val="5109ABC2"/>
    <w:rsid w:val="510C4CA6"/>
    <w:rsid w:val="51103E49"/>
    <w:rsid w:val="5111320B"/>
    <w:rsid w:val="5117549B"/>
    <w:rsid w:val="51179B90"/>
    <w:rsid w:val="5118C49A"/>
    <w:rsid w:val="51220D42"/>
    <w:rsid w:val="5125B5E3"/>
    <w:rsid w:val="512795F8"/>
    <w:rsid w:val="512823EA"/>
    <w:rsid w:val="51282B2B"/>
    <w:rsid w:val="5129E902"/>
    <w:rsid w:val="512ED895"/>
    <w:rsid w:val="5134ADB5"/>
    <w:rsid w:val="5136E701"/>
    <w:rsid w:val="513866DE"/>
    <w:rsid w:val="513C12C6"/>
    <w:rsid w:val="513C560C"/>
    <w:rsid w:val="513F3C52"/>
    <w:rsid w:val="5147B8B9"/>
    <w:rsid w:val="5147C053"/>
    <w:rsid w:val="5148AD87"/>
    <w:rsid w:val="514F4B06"/>
    <w:rsid w:val="5150A399"/>
    <w:rsid w:val="5157687D"/>
    <w:rsid w:val="51586635"/>
    <w:rsid w:val="515907C6"/>
    <w:rsid w:val="51600A96"/>
    <w:rsid w:val="5162366C"/>
    <w:rsid w:val="51646039"/>
    <w:rsid w:val="5164C570"/>
    <w:rsid w:val="51650B35"/>
    <w:rsid w:val="5165C54B"/>
    <w:rsid w:val="5166325F"/>
    <w:rsid w:val="51687DDA"/>
    <w:rsid w:val="516A2360"/>
    <w:rsid w:val="516C5CCB"/>
    <w:rsid w:val="51715D2A"/>
    <w:rsid w:val="51732D73"/>
    <w:rsid w:val="517A4741"/>
    <w:rsid w:val="5182D8A5"/>
    <w:rsid w:val="518363F1"/>
    <w:rsid w:val="518547AD"/>
    <w:rsid w:val="5185908D"/>
    <w:rsid w:val="5188714F"/>
    <w:rsid w:val="5192D61F"/>
    <w:rsid w:val="5199A5D5"/>
    <w:rsid w:val="519DFAC3"/>
    <w:rsid w:val="51ADE7E5"/>
    <w:rsid w:val="51AE424A"/>
    <w:rsid w:val="51B1A66A"/>
    <w:rsid w:val="51B2181C"/>
    <w:rsid w:val="51B46DBB"/>
    <w:rsid w:val="51B551E8"/>
    <w:rsid w:val="51BBD6DF"/>
    <w:rsid w:val="51BCC12E"/>
    <w:rsid w:val="51BE89BF"/>
    <w:rsid w:val="51CFA318"/>
    <w:rsid w:val="51CFEADF"/>
    <w:rsid w:val="51D635FB"/>
    <w:rsid w:val="51D771BD"/>
    <w:rsid w:val="51D86227"/>
    <w:rsid w:val="51D923E6"/>
    <w:rsid w:val="51E0D468"/>
    <w:rsid w:val="51E56F2C"/>
    <w:rsid w:val="51E64E20"/>
    <w:rsid w:val="51EDF760"/>
    <w:rsid w:val="51EEB4B0"/>
    <w:rsid w:val="51F0427C"/>
    <w:rsid w:val="51F3BD93"/>
    <w:rsid w:val="51F3CB08"/>
    <w:rsid w:val="51F4E1F1"/>
    <w:rsid w:val="52005B6B"/>
    <w:rsid w:val="5200B5F8"/>
    <w:rsid w:val="5203199F"/>
    <w:rsid w:val="520D5480"/>
    <w:rsid w:val="5212B494"/>
    <w:rsid w:val="5214432E"/>
    <w:rsid w:val="5218069C"/>
    <w:rsid w:val="521CA1D6"/>
    <w:rsid w:val="521CDDE3"/>
    <w:rsid w:val="521DE269"/>
    <w:rsid w:val="521F5EBA"/>
    <w:rsid w:val="52203F93"/>
    <w:rsid w:val="5222CF90"/>
    <w:rsid w:val="52240467"/>
    <w:rsid w:val="5224E714"/>
    <w:rsid w:val="52295ADC"/>
    <w:rsid w:val="522FE230"/>
    <w:rsid w:val="5230A8FB"/>
    <w:rsid w:val="52323BEC"/>
    <w:rsid w:val="52389444"/>
    <w:rsid w:val="5239F446"/>
    <w:rsid w:val="523A76B1"/>
    <w:rsid w:val="523E33FD"/>
    <w:rsid w:val="523EE18C"/>
    <w:rsid w:val="524723D3"/>
    <w:rsid w:val="5248B99A"/>
    <w:rsid w:val="524AD40B"/>
    <w:rsid w:val="524BA31C"/>
    <w:rsid w:val="52526EF0"/>
    <w:rsid w:val="5252E0EB"/>
    <w:rsid w:val="52573134"/>
    <w:rsid w:val="5257A08D"/>
    <w:rsid w:val="5257CBD3"/>
    <w:rsid w:val="525AE55C"/>
    <w:rsid w:val="525C9133"/>
    <w:rsid w:val="525E043B"/>
    <w:rsid w:val="526188E2"/>
    <w:rsid w:val="5262618E"/>
    <w:rsid w:val="5263718A"/>
    <w:rsid w:val="52656300"/>
    <w:rsid w:val="526A04A3"/>
    <w:rsid w:val="526BB2E6"/>
    <w:rsid w:val="527594E3"/>
    <w:rsid w:val="5276BE30"/>
    <w:rsid w:val="5277DAC9"/>
    <w:rsid w:val="52783D73"/>
    <w:rsid w:val="527B837B"/>
    <w:rsid w:val="527C970B"/>
    <w:rsid w:val="5284411F"/>
    <w:rsid w:val="528533E0"/>
    <w:rsid w:val="52866D24"/>
    <w:rsid w:val="528E4F44"/>
    <w:rsid w:val="528E7D8E"/>
    <w:rsid w:val="5290D7DE"/>
    <w:rsid w:val="52932348"/>
    <w:rsid w:val="5294153B"/>
    <w:rsid w:val="529B7798"/>
    <w:rsid w:val="529D5558"/>
    <w:rsid w:val="52A4C89C"/>
    <w:rsid w:val="52A7F13C"/>
    <w:rsid w:val="52A8253C"/>
    <w:rsid w:val="52AF05AF"/>
    <w:rsid w:val="52AF884A"/>
    <w:rsid w:val="52B448BE"/>
    <w:rsid w:val="52B4B235"/>
    <w:rsid w:val="52B649B9"/>
    <w:rsid w:val="52B7936D"/>
    <w:rsid w:val="52BCB907"/>
    <w:rsid w:val="52BD8A5B"/>
    <w:rsid w:val="52BEB889"/>
    <w:rsid w:val="52C9C39C"/>
    <w:rsid w:val="52CAA87A"/>
    <w:rsid w:val="52CB3ACC"/>
    <w:rsid w:val="52CCC264"/>
    <w:rsid w:val="52CD7294"/>
    <w:rsid w:val="52D1AB1B"/>
    <w:rsid w:val="52D66C55"/>
    <w:rsid w:val="52DA480A"/>
    <w:rsid w:val="52DC3A78"/>
    <w:rsid w:val="52DD1796"/>
    <w:rsid w:val="52DE24A9"/>
    <w:rsid w:val="52E31078"/>
    <w:rsid w:val="52E563B9"/>
    <w:rsid w:val="52E770DF"/>
    <w:rsid w:val="52E7A886"/>
    <w:rsid w:val="52EA1FDB"/>
    <w:rsid w:val="52EB1B8D"/>
    <w:rsid w:val="52F02F57"/>
    <w:rsid w:val="52F0AB60"/>
    <w:rsid w:val="52F65EBD"/>
    <w:rsid w:val="52FEEC9A"/>
    <w:rsid w:val="52FF7632"/>
    <w:rsid w:val="5302354F"/>
    <w:rsid w:val="53045748"/>
    <w:rsid w:val="530A0ED8"/>
    <w:rsid w:val="530D0499"/>
    <w:rsid w:val="530D171B"/>
    <w:rsid w:val="530DB661"/>
    <w:rsid w:val="5311A229"/>
    <w:rsid w:val="5314159E"/>
    <w:rsid w:val="53170AB0"/>
    <w:rsid w:val="531D0408"/>
    <w:rsid w:val="531E3A82"/>
    <w:rsid w:val="531F1A45"/>
    <w:rsid w:val="53220CCA"/>
    <w:rsid w:val="5324CFC8"/>
    <w:rsid w:val="532AB138"/>
    <w:rsid w:val="532D25B5"/>
    <w:rsid w:val="53384516"/>
    <w:rsid w:val="533C897D"/>
    <w:rsid w:val="5341675B"/>
    <w:rsid w:val="5343D687"/>
    <w:rsid w:val="53458A18"/>
    <w:rsid w:val="53495E4F"/>
    <w:rsid w:val="534A88D1"/>
    <w:rsid w:val="534E29B1"/>
    <w:rsid w:val="53555355"/>
    <w:rsid w:val="5355B588"/>
    <w:rsid w:val="5359D33B"/>
    <w:rsid w:val="535A0392"/>
    <w:rsid w:val="53632B80"/>
    <w:rsid w:val="53641AEC"/>
    <w:rsid w:val="53663EDA"/>
    <w:rsid w:val="5368B604"/>
    <w:rsid w:val="5368DF0C"/>
    <w:rsid w:val="53715A3F"/>
    <w:rsid w:val="5372AA77"/>
    <w:rsid w:val="5375572D"/>
    <w:rsid w:val="537874D2"/>
    <w:rsid w:val="537917C7"/>
    <w:rsid w:val="537ADDD5"/>
    <w:rsid w:val="537D4F92"/>
    <w:rsid w:val="538062A3"/>
    <w:rsid w:val="53833231"/>
    <w:rsid w:val="5383B999"/>
    <w:rsid w:val="5385E51C"/>
    <w:rsid w:val="53884094"/>
    <w:rsid w:val="538CD00A"/>
    <w:rsid w:val="5391D737"/>
    <w:rsid w:val="5392F609"/>
    <w:rsid w:val="5396464E"/>
    <w:rsid w:val="539695DA"/>
    <w:rsid w:val="53A1146E"/>
    <w:rsid w:val="53A4568B"/>
    <w:rsid w:val="53A82048"/>
    <w:rsid w:val="53AA6878"/>
    <w:rsid w:val="53ACB6E0"/>
    <w:rsid w:val="53B57424"/>
    <w:rsid w:val="53B7007F"/>
    <w:rsid w:val="53B71EE1"/>
    <w:rsid w:val="53B83B93"/>
    <w:rsid w:val="53B9F123"/>
    <w:rsid w:val="53BA5844"/>
    <w:rsid w:val="53BB2583"/>
    <w:rsid w:val="53BB415E"/>
    <w:rsid w:val="53BD4E80"/>
    <w:rsid w:val="53BEC1E5"/>
    <w:rsid w:val="53C4CA56"/>
    <w:rsid w:val="53C511F8"/>
    <w:rsid w:val="53CAA2CD"/>
    <w:rsid w:val="53CACBF1"/>
    <w:rsid w:val="53CACD3F"/>
    <w:rsid w:val="53CEF453"/>
    <w:rsid w:val="53D82026"/>
    <w:rsid w:val="53DBBD77"/>
    <w:rsid w:val="53DDB213"/>
    <w:rsid w:val="53DF00AC"/>
    <w:rsid w:val="53E7424B"/>
    <w:rsid w:val="53E95F8B"/>
    <w:rsid w:val="53EDC36D"/>
    <w:rsid w:val="53F1AF08"/>
    <w:rsid w:val="53F55375"/>
    <w:rsid w:val="53F5A9D9"/>
    <w:rsid w:val="53F8CB1A"/>
    <w:rsid w:val="53F9D37B"/>
    <w:rsid w:val="53FBDC2E"/>
    <w:rsid w:val="53FDB2AD"/>
    <w:rsid w:val="53FDF959"/>
    <w:rsid w:val="5402F5DE"/>
    <w:rsid w:val="5404A5FF"/>
    <w:rsid w:val="54084071"/>
    <w:rsid w:val="540C32B0"/>
    <w:rsid w:val="54126E03"/>
    <w:rsid w:val="54152B68"/>
    <w:rsid w:val="54164693"/>
    <w:rsid w:val="5416CD22"/>
    <w:rsid w:val="541C5863"/>
    <w:rsid w:val="541D567C"/>
    <w:rsid w:val="541FC4E1"/>
    <w:rsid w:val="542251D6"/>
    <w:rsid w:val="5425102C"/>
    <w:rsid w:val="542531A1"/>
    <w:rsid w:val="5425E2E8"/>
    <w:rsid w:val="542A7E38"/>
    <w:rsid w:val="54309C80"/>
    <w:rsid w:val="54346D7C"/>
    <w:rsid w:val="54363B19"/>
    <w:rsid w:val="543756A7"/>
    <w:rsid w:val="5440AE74"/>
    <w:rsid w:val="5441329E"/>
    <w:rsid w:val="5442A9FA"/>
    <w:rsid w:val="544524CC"/>
    <w:rsid w:val="54464066"/>
    <w:rsid w:val="5446D4F2"/>
    <w:rsid w:val="544873B4"/>
    <w:rsid w:val="54488411"/>
    <w:rsid w:val="544A4F3D"/>
    <w:rsid w:val="544DC54C"/>
    <w:rsid w:val="544E2F24"/>
    <w:rsid w:val="54503A0C"/>
    <w:rsid w:val="54525E84"/>
    <w:rsid w:val="545A0215"/>
    <w:rsid w:val="545D4F01"/>
    <w:rsid w:val="5460F168"/>
    <w:rsid w:val="546D7F3F"/>
    <w:rsid w:val="546F24DC"/>
    <w:rsid w:val="546F6ED6"/>
    <w:rsid w:val="5471E12D"/>
    <w:rsid w:val="5473B5AB"/>
    <w:rsid w:val="547776A1"/>
    <w:rsid w:val="54787645"/>
    <w:rsid w:val="547A38D1"/>
    <w:rsid w:val="547C1C12"/>
    <w:rsid w:val="547C2109"/>
    <w:rsid w:val="547F6B4B"/>
    <w:rsid w:val="54873D20"/>
    <w:rsid w:val="548D112F"/>
    <w:rsid w:val="548EC3C3"/>
    <w:rsid w:val="5492DA93"/>
    <w:rsid w:val="549AD0D2"/>
    <w:rsid w:val="549C7212"/>
    <w:rsid w:val="549CFABA"/>
    <w:rsid w:val="549DB74D"/>
    <w:rsid w:val="549DC850"/>
    <w:rsid w:val="549F44FD"/>
    <w:rsid w:val="549F95BB"/>
    <w:rsid w:val="54A42A56"/>
    <w:rsid w:val="54A6CCDD"/>
    <w:rsid w:val="54AC6754"/>
    <w:rsid w:val="54ADE0BF"/>
    <w:rsid w:val="54B033BC"/>
    <w:rsid w:val="54B25EDE"/>
    <w:rsid w:val="54B2B98E"/>
    <w:rsid w:val="54BB72B1"/>
    <w:rsid w:val="54BC0004"/>
    <w:rsid w:val="54BCB91A"/>
    <w:rsid w:val="54BCDEC0"/>
    <w:rsid w:val="54C65942"/>
    <w:rsid w:val="54CB7935"/>
    <w:rsid w:val="54CD22CA"/>
    <w:rsid w:val="54CDDAD2"/>
    <w:rsid w:val="54D34831"/>
    <w:rsid w:val="54D35DDA"/>
    <w:rsid w:val="54D64A42"/>
    <w:rsid w:val="54D7A480"/>
    <w:rsid w:val="54DE296C"/>
    <w:rsid w:val="54E1A827"/>
    <w:rsid w:val="54E2F44F"/>
    <w:rsid w:val="54E2F8CC"/>
    <w:rsid w:val="54EB4B66"/>
    <w:rsid w:val="54F397BB"/>
    <w:rsid w:val="54FA6F8E"/>
    <w:rsid w:val="54FB818F"/>
    <w:rsid w:val="54FD4B3D"/>
    <w:rsid w:val="5501861D"/>
    <w:rsid w:val="55036075"/>
    <w:rsid w:val="55050020"/>
    <w:rsid w:val="55067FD1"/>
    <w:rsid w:val="5507E049"/>
    <w:rsid w:val="5507ECDC"/>
    <w:rsid w:val="550850A7"/>
    <w:rsid w:val="550890F3"/>
    <w:rsid w:val="5511BA4B"/>
    <w:rsid w:val="551CC3D5"/>
    <w:rsid w:val="55205172"/>
    <w:rsid w:val="5520554E"/>
    <w:rsid w:val="5521D1EE"/>
    <w:rsid w:val="55239CD4"/>
    <w:rsid w:val="5524F184"/>
    <w:rsid w:val="55258168"/>
    <w:rsid w:val="5526AD0F"/>
    <w:rsid w:val="552FAF2E"/>
    <w:rsid w:val="55325267"/>
    <w:rsid w:val="5534F851"/>
    <w:rsid w:val="55361FAF"/>
    <w:rsid w:val="5536B795"/>
    <w:rsid w:val="5538A7D0"/>
    <w:rsid w:val="553F060D"/>
    <w:rsid w:val="55406A04"/>
    <w:rsid w:val="5543C1F2"/>
    <w:rsid w:val="5546E630"/>
    <w:rsid w:val="554B8CDC"/>
    <w:rsid w:val="5550EED2"/>
    <w:rsid w:val="5553E31E"/>
    <w:rsid w:val="5554772D"/>
    <w:rsid w:val="555489AB"/>
    <w:rsid w:val="55562147"/>
    <w:rsid w:val="555BFF17"/>
    <w:rsid w:val="5560E4BB"/>
    <w:rsid w:val="55688C36"/>
    <w:rsid w:val="556AF16C"/>
    <w:rsid w:val="556BC74D"/>
    <w:rsid w:val="55723CD4"/>
    <w:rsid w:val="55746982"/>
    <w:rsid w:val="557CAE53"/>
    <w:rsid w:val="557D9DC8"/>
    <w:rsid w:val="557E6E87"/>
    <w:rsid w:val="557EA555"/>
    <w:rsid w:val="558102E9"/>
    <w:rsid w:val="5583C935"/>
    <w:rsid w:val="55872675"/>
    <w:rsid w:val="5588064B"/>
    <w:rsid w:val="558BBB15"/>
    <w:rsid w:val="5591FF3F"/>
    <w:rsid w:val="559848A4"/>
    <w:rsid w:val="559D4BBE"/>
    <w:rsid w:val="55A7269E"/>
    <w:rsid w:val="55A9F8EF"/>
    <w:rsid w:val="55AAF47D"/>
    <w:rsid w:val="55AC2305"/>
    <w:rsid w:val="55B0EBC2"/>
    <w:rsid w:val="55B2987F"/>
    <w:rsid w:val="55B3721E"/>
    <w:rsid w:val="55B3DF55"/>
    <w:rsid w:val="55B65339"/>
    <w:rsid w:val="55BA0FE3"/>
    <w:rsid w:val="55BC6780"/>
    <w:rsid w:val="55C38926"/>
    <w:rsid w:val="55C46543"/>
    <w:rsid w:val="55C5A35E"/>
    <w:rsid w:val="55C8C9A8"/>
    <w:rsid w:val="55CC1E8C"/>
    <w:rsid w:val="55CC78C4"/>
    <w:rsid w:val="55CFD987"/>
    <w:rsid w:val="55D33047"/>
    <w:rsid w:val="55D869B0"/>
    <w:rsid w:val="55DF2077"/>
    <w:rsid w:val="55E135DC"/>
    <w:rsid w:val="55E140A9"/>
    <w:rsid w:val="55E3D14E"/>
    <w:rsid w:val="55E5334B"/>
    <w:rsid w:val="55E9F4C3"/>
    <w:rsid w:val="55EA3018"/>
    <w:rsid w:val="55EAF7F1"/>
    <w:rsid w:val="55ED53B9"/>
    <w:rsid w:val="55EF589A"/>
    <w:rsid w:val="55F2354E"/>
    <w:rsid w:val="55F2BAEB"/>
    <w:rsid w:val="55F2E715"/>
    <w:rsid w:val="55F4921B"/>
    <w:rsid w:val="55F4C375"/>
    <w:rsid w:val="55F551BC"/>
    <w:rsid w:val="55F7769D"/>
    <w:rsid w:val="55FC2CB9"/>
    <w:rsid w:val="55FD59D3"/>
    <w:rsid w:val="55FF6700"/>
    <w:rsid w:val="560222ED"/>
    <w:rsid w:val="56065DED"/>
    <w:rsid w:val="5609C21E"/>
    <w:rsid w:val="56140EC7"/>
    <w:rsid w:val="561446A0"/>
    <w:rsid w:val="56148F1F"/>
    <w:rsid w:val="5618D71C"/>
    <w:rsid w:val="561B550B"/>
    <w:rsid w:val="561C7E6C"/>
    <w:rsid w:val="561D2FB2"/>
    <w:rsid w:val="56219A43"/>
    <w:rsid w:val="56230904"/>
    <w:rsid w:val="5625B17B"/>
    <w:rsid w:val="5625D0F1"/>
    <w:rsid w:val="562767F1"/>
    <w:rsid w:val="562D68CC"/>
    <w:rsid w:val="5631C029"/>
    <w:rsid w:val="56335BED"/>
    <w:rsid w:val="563435B2"/>
    <w:rsid w:val="56350958"/>
    <w:rsid w:val="563B755E"/>
    <w:rsid w:val="5640EAAB"/>
    <w:rsid w:val="5647F7CB"/>
    <w:rsid w:val="564C28F4"/>
    <w:rsid w:val="564E48AA"/>
    <w:rsid w:val="564E55D6"/>
    <w:rsid w:val="564EECCE"/>
    <w:rsid w:val="56581F8B"/>
    <w:rsid w:val="565A7865"/>
    <w:rsid w:val="56663E39"/>
    <w:rsid w:val="5667CF37"/>
    <w:rsid w:val="566E4D53"/>
    <w:rsid w:val="566E7307"/>
    <w:rsid w:val="566EE7E2"/>
    <w:rsid w:val="5671F632"/>
    <w:rsid w:val="5673620E"/>
    <w:rsid w:val="567DA8AC"/>
    <w:rsid w:val="567F743B"/>
    <w:rsid w:val="56815B82"/>
    <w:rsid w:val="5688AEAF"/>
    <w:rsid w:val="568DB259"/>
    <w:rsid w:val="568DF692"/>
    <w:rsid w:val="5694CEF0"/>
    <w:rsid w:val="5697ACBC"/>
    <w:rsid w:val="5697CC81"/>
    <w:rsid w:val="569A43EB"/>
    <w:rsid w:val="569B05EE"/>
    <w:rsid w:val="569BFAC2"/>
    <w:rsid w:val="569D8807"/>
    <w:rsid w:val="56A1EC4D"/>
    <w:rsid w:val="56A6C0E5"/>
    <w:rsid w:val="56AE749E"/>
    <w:rsid w:val="56B160DC"/>
    <w:rsid w:val="56B44DD8"/>
    <w:rsid w:val="56B81AE4"/>
    <w:rsid w:val="56BCA334"/>
    <w:rsid w:val="56C145D4"/>
    <w:rsid w:val="56C15B45"/>
    <w:rsid w:val="56C35488"/>
    <w:rsid w:val="56C84517"/>
    <w:rsid w:val="56C86821"/>
    <w:rsid w:val="56C961C4"/>
    <w:rsid w:val="56CAA3A7"/>
    <w:rsid w:val="56CAC3AF"/>
    <w:rsid w:val="56CAEEDE"/>
    <w:rsid w:val="56DCF045"/>
    <w:rsid w:val="56DCF88F"/>
    <w:rsid w:val="56E18BA9"/>
    <w:rsid w:val="56E2160F"/>
    <w:rsid w:val="56E97F4D"/>
    <w:rsid w:val="56ED86CF"/>
    <w:rsid w:val="56EF3EEF"/>
    <w:rsid w:val="56F02D5D"/>
    <w:rsid w:val="56F20F8D"/>
    <w:rsid w:val="56F3BA73"/>
    <w:rsid w:val="56F7ED3F"/>
    <w:rsid w:val="56F9304D"/>
    <w:rsid w:val="56FD6AC2"/>
    <w:rsid w:val="57025861"/>
    <w:rsid w:val="57047AB6"/>
    <w:rsid w:val="57094C0E"/>
    <w:rsid w:val="570B08EA"/>
    <w:rsid w:val="570B38C9"/>
    <w:rsid w:val="570F20DB"/>
    <w:rsid w:val="5710E395"/>
    <w:rsid w:val="57135D6A"/>
    <w:rsid w:val="571429D7"/>
    <w:rsid w:val="57183BB8"/>
    <w:rsid w:val="571A4B39"/>
    <w:rsid w:val="57205C0B"/>
    <w:rsid w:val="5723465C"/>
    <w:rsid w:val="5728775E"/>
    <w:rsid w:val="572AB9F4"/>
    <w:rsid w:val="572B84D9"/>
    <w:rsid w:val="572C9864"/>
    <w:rsid w:val="572C9CC4"/>
    <w:rsid w:val="572EA654"/>
    <w:rsid w:val="573237B3"/>
    <w:rsid w:val="5732CB83"/>
    <w:rsid w:val="5734D08E"/>
    <w:rsid w:val="5737ADF2"/>
    <w:rsid w:val="57380087"/>
    <w:rsid w:val="57397680"/>
    <w:rsid w:val="5739ED9C"/>
    <w:rsid w:val="573EB511"/>
    <w:rsid w:val="57410A25"/>
    <w:rsid w:val="57410D7F"/>
    <w:rsid w:val="574250E1"/>
    <w:rsid w:val="5742E1EA"/>
    <w:rsid w:val="57439B70"/>
    <w:rsid w:val="574AEA27"/>
    <w:rsid w:val="574D7051"/>
    <w:rsid w:val="5754AB4C"/>
    <w:rsid w:val="5759E501"/>
    <w:rsid w:val="575C1F31"/>
    <w:rsid w:val="575D71DD"/>
    <w:rsid w:val="5760B41F"/>
    <w:rsid w:val="57613ED3"/>
    <w:rsid w:val="576C21A7"/>
    <w:rsid w:val="577361E7"/>
    <w:rsid w:val="577788A0"/>
    <w:rsid w:val="57815B43"/>
    <w:rsid w:val="5782948A"/>
    <w:rsid w:val="57848F53"/>
    <w:rsid w:val="578731D2"/>
    <w:rsid w:val="5788DBF6"/>
    <w:rsid w:val="57897CBE"/>
    <w:rsid w:val="578F3AEB"/>
    <w:rsid w:val="57950768"/>
    <w:rsid w:val="57959B87"/>
    <w:rsid w:val="579E1042"/>
    <w:rsid w:val="57A3EC86"/>
    <w:rsid w:val="57A6BB5B"/>
    <w:rsid w:val="57A89BB1"/>
    <w:rsid w:val="57AECA15"/>
    <w:rsid w:val="57B45A2A"/>
    <w:rsid w:val="57B4A1BC"/>
    <w:rsid w:val="57C4C403"/>
    <w:rsid w:val="57C5232D"/>
    <w:rsid w:val="57C5725E"/>
    <w:rsid w:val="57C5A1F3"/>
    <w:rsid w:val="57C6D955"/>
    <w:rsid w:val="57CBB26B"/>
    <w:rsid w:val="57CC7492"/>
    <w:rsid w:val="57CF90E8"/>
    <w:rsid w:val="57D1ADE7"/>
    <w:rsid w:val="57D4D990"/>
    <w:rsid w:val="57D81ABC"/>
    <w:rsid w:val="57D8CFF5"/>
    <w:rsid w:val="57DA670C"/>
    <w:rsid w:val="57DCDC27"/>
    <w:rsid w:val="57DE9860"/>
    <w:rsid w:val="57E14F93"/>
    <w:rsid w:val="57E2C559"/>
    <w:rsid w:val="57E57746"/>
    <w:rsid w:val="57F0D5C4"/>
    <w:rsid w:val="57F83FA6"/>
    <w:rsid w:val="57FFC707"/>
    <w:rsid w:val="57FFED21"/>
    <w:rsid w:val="58034CBD"/>
    <w:rsid w:val="58089BD5"/>
    <w:rsid w:val="580A5868"/>
    <w:rsid w:val="580A8D0F"/>
    <w:rsid w:val="580E19DC"/>
    <w:rsid w:val="581024B4"/>
    <w:rsid w:val="581084CC"/>
    <w:rsid w:val="58131C1A"/>
    <w:rsid w:val="58141B38"/>
    <w:rsid w:val="58152839"/>
    <w:rsid w:val="58175A46"/>
    <w:rsid w:val="581E90D5"/>
    <w:rsid w:val="5822F77F"/>
    <w:rsid w:val="582395E7"/>
    <w:rsid w:val="5823F660"/>
    <w:rsid w:val="5830C721"/>
    <w:rsid w:val="5831DDDB"/>
    <w:rsid w:val="58349841"/>
    <w:rsid w:val="583BEB4D"/>
    <w:rsid w:val="583C8D7F"/>
    <w:rsid w:val="583D10EF"/>
    <w:rsid w:val="583EAFFE"/>
    <w:rsid w:val="583FF1DA"/>
    <w:rsid w:val="5841F779"/>
    <w:rsid w:val="5843C55D"/>
    <w:rsid w:val="584477DE"/>
    <w:rsid w:val="58480B77"/>
    <w:rsid w:val="584C3BD4"/>
    <w:rsid w:val="584E602A"/>
    <w:rsid w:val="585082EE"/>
    <w:rsid w:val="58508FAA"/>
    <w:rsid w:val="58515BF1"/>
    <w:rsid w:val="5852564D"/>
    <w:rsid w:val="58530954"/>
    <w:rsid w:val="585AE87F"/>
    <w:rsid w:val="585C017F"/>
    <w:rsid w:val="585EAA45"/>
    <w:rsid w:val="585FC490"/>
    <w:rsid w:val="585FE23D"/>
    <w:rsid w:val="58646B0C"/>
    <w:rsid w:val="586542AE"/>
    <w:rsid w:val="5867481E"/>
    <w:rsid w:val="58698323"/>
    <w:rsid w:val="586F9C6C"/>
    <w:rsid w:val="587095E0"/>
    <w:rsid w:val="58712E89"/>
    <w:rsid w:val="5877B396"/>
    <w:rsid w:val="5877ED54"/>
    <w:rsid w:val="5878C048"/>
    <w:rsid w:val="5879F7C3"/>
    <w:rsid w:val="587A577B"/>
    <w:rsid w:val="587C875E"/>
    <w:rsid w:val="587E066A"/>
    <w:rsid w:val="587F8B0F"/>
    <w:rsid w:val="5886944B"/>
    <w:rsid w:val="588838D8"/>
    <w:rsid w:val="58893D72"/>
    <w:rsid w:val="5889A32A"/>
    <w:rsid w:val="588A07E8"/>
    <w:rsid w:val="588A691E"/>
    <w:rsid w:val="588BCA3F"/>
    <w:rsid w:val="588C0F09"/>
    <w:rsid w:val="588D690E"/>
    <w:rsid w:val="588DDEEF"/>
    <w:rsid w:val="589069DA"/>
    <w:rsid w:val="589249DF"/>
    <w:rsid w:val="5898CB50"/>
    <w:rsid w:val="589935B7"/>
    <w:rsid w:val="589D1575"/>
    <w:rsid w:val="589E1FEB"/>
    <w:rsid w:val="589E212E"/>
    <w:rsid w:val="58A0AC96"/>
    <w:rsid w:val="58A0E72D"/>
    <w:rsid w:val="58A8E821"/>
    <w:rsid w:val="58AE43D8"/>
    <w:rsid w:val="58B172ED"/>
    <w:rsid w:val="58B37395"/>
    <w:rsid w:val="58B3CB3F"/>
    <w:rsid w:val="58B489BA"/>
    <w:rsid w:val="58B5E478"/>
    <w:rsid w:val="58B7BB55"/>
    <w:rsid w:val="58B86C8A"/>
    <w:rsid w:val="58B96E5E"/>
    <w:rsid w:val="58BB8995"/>
    <w:rsid w:val="58BC637F"/>
    <w:rsid w:val="58BD0099"/>
    <w:rsid w:val="58C0CA74"/>
    <w:rsid w:val="58C2C778"/>
    <w:rsid w:val="58CA4B9B"/>
    <w:rsid w:val="58CD03FF"/>
    <w:rsid w:val="58CD5D37"/>
    <w:rsid w:val="58D5A81E"/>
    <w:rsid w:val="58D867F1"/>
    <w:rsid w:val="58D97F35"/>
    <w:rsid w:val="58D9D522"/>
    <w:rsid w:val="58DA9D7B"/>
    <w:rsid w:val="58E3AB95"/>
    <w:rsid w:val="58ED2E69"/>
    <w:rsid w:val="58F04FD5"/>
    <w:rsid w:val="58F2073F"/>
    <w:rsid w:val="58F320B0"/>
    <w:rsid w:val="58F44BFC"/>
    <w:rsid w:val="58F79C79"/>
    <w:rsid w:val="58FA763F"/>
    <w:rsid w:val="5901E112"/>
    <w:rsid w:val="590553D8"/>
    <w:rsid w:val="590618C0"/>
    <w:rsid w:val="5908D2DB"/>
    <w:rsid w:val="59093BCE"/>
    <w:rsid w:val="590C2511"/>
    <w:rsid w:val="590E1AE7"/>
    <w:rsid w:val="591A886A"/>
    <w:rsid w:val="591CA5F7"/>
    <w:rsid w:val="591F75B4"/>
    <w:rsid w:val="59201FC0"/>
    <w:rsid w:val="592208A4"/>
    <w:rsid w:val="59268CCB"/>
    <w:rsid w:val="59270438"/>
    <w:rsid w:val="5928CED3"/>
    <w:rsid w:val="592EA985"/>
    <w:rsid w:val="592FC129"/>
    <w:rsid w:val="5936E5B3"/>
    <w:rsid w:val="5937FB44"/>
    <w:rsid w:val="593850B7"/>
    <w:rsid w:val="5938C1A0"/>
    <w:rsid w:val="593AD917"/>
    <w:rsid w:val="593D6B45"/>
    <w:rsid w:val="593F20A9"/>
    <w:rsid w:val="59428B41"/>
    <w:rsid w:val="5945BAFF"/>
    <w:rsid w:val="5947F2D3"/>
    <w:rsid w:val="594FC6A4"/>
    <w:rsid w:val="59518D95"/>
    <w:rsid w:val="5958F3A4"/>
    <w:rsid w:val="5959AFF2"/>
    <w:rsid w:val="5959CC8E"/>
    <w:rsid w:val="5961A7E4"/>
    <w:rsid w:val="59677107"/>
    <w:rsid w:val="59682020"/>
    <w:rsid w:val="596A591B"/>
    <w:rsid w:val="596E0F8F"/>
    <w:rsid w:val="59713CD0"/>
    <w:rsid w:val="5972E8B1"/>
    <w:rsid w:val="59787189"/>
    <w:rsid w:val="59791A87"/>
    <w:rsid w:val="597C926E"/>
    <w:rsid w:val="597DBE9F"/>
    <w:rsid w:val="597F8303"/>
    <w:rsid w:val="59847A0C"/>
    <w:rsid w:val="59883CE8"/>
    <w:rsid w:val="598BD21C"/>
    <w:rsid w:val="5990FFEE"/>
    <w:rsid w:val="5992AAD0"/>
    <w:rsid w:val="5999795E"/>
    <w:rsid w:val="599B99C4"/>
    <w:rsid w:val="59A1DCE8"/>
    <w:rsid w:val="59A23A38"/>
    <w:rsid w:val="59A29DCA"/>
    <w:rsid w:val="59A47FBC"/>
    <w:rsid w:val="59A9956C"/>
    <w:rsid w:val="59AB2A52"/>
    <w:rsid w:val="59B9F190"/>
    <w:rsid w:val="59BC8DBE"/>
    <w:rsid w:val="59BE0097"/>
    <w:rsid w:val="59BE0F42"/>
    <w:rsid w:val="59BF23EC"/>
    <w:rsid w:val="59C26555"/>
    <w:rsid w:val="59C7B690"/>
    <w:rsid w:val="59C82BD8"/>
    <w:rsid w:val="59C8E416"/>
    <w:rsid w:val="59C9BAFB"/>
    <w:rsid w:val="59CCB96F"/>
    <w:rsid w:val="59D28A0C"/>
    <w:rsid w:val="59D2A74C"/>
    <w:rsid w:val="59DF845C"/>
    <w:rsid w:val="59DFCDA0"/>
    <w:rsid w:val="59E104C0"/>
    <w:rsid w:val="59E1BC00"/>
    <w:rsid w:val="59E73E65"/>
    <w:rsid w:val="59E90640"/>
    <w:rsid w:val="59EA6ED9"/>
    <w:rsid w:val="59EB5C3A"/>
    <w:rsid w:val="59EBD0AE"/>
    <w:rsid w:val="59EE179F"/>
    <w:rsid w:val="59F14650"/>
    <w:rsid w:val="59F3715F"/>
    <w:rsid w:val="59FBED1F"/>
    <w:rsid w:val="59FC25D0"/>
    <w:rsid w:val="59FE05C1"/>
    <w:rsid w:val="5A040E03"/>
    <w:rsid w:val="5A06D29F"/>
    <w:rsid w:val="5A08CC5D"/>
    <w:rsid w:val="5A0C80FA"/>
    <w:rsid w:val="5A0F8CEF"/>
    <w:rsid w:val="5A1706F3"/>
    <w:rsid w:val="5A1C7481"/>
    <w:rsid w:val="5A1D9761"/>
    <w:rsid w:val="5A1F457D"/>
    <w:rsid w:val="5A362B46"/>
    <w:rsid w:val="5A38CD64"/>
    <w:rsid w:val="5A3ABE7F"/>
    <w:rsid w:val="5A4037FC"/>
    <w:rsid w:val="5A43BF19"/>
    <w:rsid w:val="5A4C0E81"/>
    <w:rsid w:val="5A4CCE75"/>
    <w:rsid w:val="5A4F4B33"/>
    <w:rsid w:val="5A4FC3E5"/>
    <w:rsid w:val="5A54D27F"/>
    <w:rsid w:val="5A59A3A6"/>
    <w:rsid w:val="5A5E8940"/>
    <w:rsid w:val="5A5ED9F4"/>
    <w:rsid w:val="5A5F3D58"/>
    <w:rsid w:val="5A648A88"/>
    <w:rsid w:val="5A65D066"/>
    <w:rsid w:val="5A66E54F"/>
    <w:rsid w:val="5A6C0A1D"/>
    <w:rsid w:val="5A6E99DB"/>
    <w:rsid w:val="5A721BE9"/>
    <w:rsid w:val="5A7589CF"/>
    <w:rsid w:val="5A772ADB"/>
    <w:rsid w:val="5A7B4B3F"/>
    <w:rsid w:val="5A7EBFE0"/>
    <w:rsid w:val="5A811AD5"/>
    <w:rsid w:val="5A8827F7"/>
    <w:rsid w:val="5A8ECC13"/>
    <w:rsid w:val="5A8F7909"/>
    <w:rsid w:val="5A99C776"/>
    <w:rsid w:val="5A9B8146"/>
    <w:rsid w:val="5A9DCE60"/>
    <w:rsid w:val="5A9DDB0B"/>
    <w:rsid w:val="5A9EA81D"/>
    <w:rsid w:val="5A9F3FCB"/>
    <w:rsid w:val="5AA1B13B"/>
    <w:rsid w:val="5AA3C86B"/>
    <w:rsid w:val="5AA3D3B3"/>
    <w:rsid w:val="5AA45C23"/>
    <w:rsid w:val="5AA4734F"/>
    <w:rsid w:val="5AA4EE13"/>
    <w:rsid w:val="5AA737C9"/>
    <w:rsid w:val="5AAB1AA3"/>
    <w:rsid w:val="5AB1AF0C"/>
    <w:rsid w:val="5AB4EA40"/>
    <w:rsid w:val="5AB525BA"/>
    <w:rsid w:val="5AC1D99B"/>
    <w:rsid w:val="5AC38455"/>
    <w:rsid w:val="5AC81F01"/>
    <w:rsid w:val="5ACD2DE2"/>
    <w:rsid w:val="5ACE9114"/>
    <w:rsid w:val="5AD0787D"/>
    <w:rsid w:val="5ADB8BDE"/>
    <w:rsid w:val="5ADD2836"/>
    <w:rsid w:val="5ADDDE6B"/>
    <w:rsid w:val="5AE032A9"/>
    <w:rsid w:val="5AE137BA"/>
    <w:rsid w:val="5AE71E52"/>
    <w:rsid w:val="5AE94561"/>
    <w:rsid w:val="5AF1E89F"/>
    <w:rsid w:val="5AF5F5FE"/>
    <w:rsid w:val="5AFBF511"/>
    <w:rsid w:val="5AFC5A0B"/>
    <w:rsid w:val="5AFFE688"/>
    <w:rsid w:val="5B01BB0F"/>
    <w:rsid w:val="5B0292E8"/>
    <w:rsid w:val="5B04C404"/>
    <w:rsid w:val="5B069C48"/>
    <w:rsid w:val="5B07F893"/>
    <w:rsid w:val="5B0D7C28"/>
    <w:rsid w:val="5B0E058E"/>
    <w:rsid w:val="5B106049"/>
    <w:rsid w:val="5B12FF0C"/>
    <w:rsid w:val="5B157AB3"/>
    <w:rsid w:val="5B1C2798"/>
    <w:rsid w:val="5B1E8B5E"/>
    <w:rsid w:val="5B246EF1"/>
    <w:rsid w:val="5B24F6BA"/>
    <w:rsid w:val="5B250EE6"/>
    <w:rsid w:val="5B25E8E2"/>
    <w:rsid w:val="5B2B3582"/>
    <w:rsid w:val="5B2C9BDE"/>
    <w:rsid w:val="5B327FFB"/>
    <w:rsid w:val="5B33A64D"/>
    <w:rsid w:val="5B3475AB"/>
    <w:rsid w:val="5B36BAB3"/>
    <w:rsid w:val="5B3892C1"/>
    <w:rsid w:val="5B3C425B"/>
    <w:rsid w:val="5B3C712C"/>
    <w:rsid w:val="5B3E8BED"/>
    <w:rsid w:val="5B3F5762"/>
    <w:rsid w:val="5B4061DC"/>
    <w:rsid w:val="5B41159E"/>
    <w:rsid w:val="5B41D435"/>
    <w:rsid w:val="5B41F017"/>
    <w:rsid w:val="5B42F30C"/>
    <w:rsid w:val="5B446A5C"/>
    <w:rsid w:val="5B47EC2F"/>
    <w:rsid w:val="5B492D22"/>
    <w:rsid w:val="5B4B9AD5"/>
    <w:rsid w:val="5B4D289A"/>
    <w:rsid w:val="5B5234B0"/>
    <w:rsid w:val="5B57E907"/>
    <w:rsid w:val="5B5A14C3"/>
    <w:rsid w:val="5B5F8506"/>
    <w:rsid w:val="5B604576"/>
    <w:rsid w:val="5B6095B9"/>
    <w:rsid w:val="5B610861"/>
    <w:rsid w:val="5B62AE86"/>
    <w:rsid w:val="5B6666CC"/>
    <w:rsid w:val="5B66CAF9"/>
    <w:rsid w:val="5B67E0EF"/>
    <w:rsid w:val="5B6DCDE5"/>
    <w:rsid w:val="5B6E998A"/>
    <w:rsid w:val="5B7015C9"/>
    <w:rsid w:val="5B745703"/>
    <w:rsid w:val="5B7BF486"/>
    <w:rsid w:val="5B7E1358"/>
    <w:rsid w:val="5B879416"/>
    <w:rsid w:val="5B885B4F"/>
    <w:rsid w:val="5B891E9A"/>
    <w:rsid w:val="5B8FA6E4"/>
    <w:rsid w:val="5B919AB0"/>
    <w:rsid w:val="5B957B40"/>
    <w:rsid w:val="5B9AC812"/>
    <w:rsid w:val="5B9BD38E"/>
    <w:rsid w:val="5B9C12D5"/>
    <w:rsid w:val="5BA584DD"/>
    <w:rsid w:val="5BA63326"/>
    <w:rsid w:val="5BA73586"/>
    <w:rsid w:val="5BA95235"/>
    <w:rsid w:val="5BAAF748"/>
    <w:rsid w:val="5BAD482B"/>
    <w:rsid w:val="5BB02702"/>
    <w:rsid w:val="5BB362CE"/>
    <w:rsid w:val="5BB5D4E3"/>
    <w:rsid w:val="5BB929E7"/>
    <w:rsid w:val="5BBB1BE2"/>
    <w:rsid w:val="5BBBA52D"/>
    <w:rsid w:val="5BBC1187"/>
    <w:rsid w:val="5BBCB33A"/>
    <w:rsid w:val="5BC750CA"/>
    <w:rsid w:val="5BC8429A"/>
    <w:rsid w:val="5BCCF269"/>
    <w:rsid w:val="5BD05874"/>
    <w:rsid w:val="5BD10AE8"/>
    <w:rsid w:val="5BD47C80"/>
    <w:rsid w:val="5BD59484"/>
    <w:rsid w:val="5BD9541E"/>
    <w:rsid w:val="5BDB36A9"/>
    <w:rsid w:val="5BE35482"/>
    <w:rsid w:val="5BE4F2E8"/>
    <w:rsid w:val="5BE64E94"/>
    <w:rsid w:val="5BEE7114"/>
    <w:rsid w:val="5BF00C26"/>
    <w:rsid w:val="5BF0A293"/>
    <w:rsid w:val="5BF3AD2F"/>
    <w:rsid w:val="5BF4832B"/>
    <w:rsid w:val="5BF8ADC1"/>
    <w:rsid w:val="5BF9175E"/>
    <w:rsid w:val="5C051357"/>
    <w:rsid w:val="5C06B042"/>
    <w:rsid w:val="5C0E4E2A"/>
    <w:rsid w:val="5C108846"/>
    <w:rsid w:val="5C10CBA1"/>
    <w:rsid w:val="5C10D6AE"/>
    <w:rsid w:val="5C142EA4"/>
    <w:rsid w:val="5C159F9E"/>
    <w:rsid w:val="5C163D37"/>
    <w:rsid w:val="5C20340B"/>
    <w:rsid w:val="5C22189B"/>
    <w:rsid w:val="5C225ED8"/>
    <w:rsid w:val="5C24C911"/>
    <w:rsid w:val="5C25993B"/>
    <w:rsid w:val="5C26B5CC"/>
    <w:rsid w:val="5C26E046"/>
    <w:rsid w:val="5C27CFF1"/>
    <w:rsid w:val="5C27E6F2"/>
    <w:rsid w:val="5C2B1645"/>
    <w:rsid w:val="5C313FB0"/>
    <w:rsid w:val="5C32A263"/>
    <w:rsid w:val="5C331079"/>
    <w:rsid w:val="5C354803"/>
    <w:rsid w:val="5C409345"/>
    <w:rsid w:val="5C4492E2"/>
    <w:rsid w:val="5C49B233"/>
    <w:rsid w:val="5C4B1373"/>
    <w:rsid w:val="5C4E43A6"/>
    <w:rsid w:val="5C500303"/>
    <w:rsid w:val="5C5085C0"/>
    <w:rsid w:val="5C513478"/>
    <w:rsid w:val="5C5240E1"/>
    <w:rsid w:val="5C529920"/>
    <w:rsid w:val="5C565F5F"/>
    <w:rsid w:val="5C5B4292"/>
    <w:rsid w:val="5C5CC2AD"/>
    <w:rsid w:val="5C5FD636"/>
    <w:rsid w:val="5C64AA4A"/>
    <w:rsid w:val="5C66B6FD"/>
    <w:rsid w:val="5C6724B8"/>
    <w:rsid w:val="5C742B50"/>
    <w:rsid w:val="5C752877"/>
    <w:rsid w:val="5C75C3E0"/>
    <w:rsid w:val="5C7972E3"/>
    <w:rsid w:val="5C7ADA7E"/>
    <w:rsid w:val="5C7DBBC0"/>
    <w:rsid w:val="5C7EBA11"/>
    <w:rsid w:val="5C8433E4"/>
    <w:rsid w:val="5C84FC66"/>
    <w:rsid w:val="5C8903C8"/>
    <w:rsid w:val="5C896C40"/>
    <w:rsid w:val="5C8B674F"/>
    <w:rsid w:val="5C8C6C6E"/>
    <w:rsid w:val="5C8CF28D"/>
    <w:rsid w:val="5C8E41D2"/>
    <w:rsid w:val="5C925382"/>
    <w:rsid w:val="5C92CD6C"/>
    <w:rsid w:val="5C93E4F0"/>
    <w:rsid w:val="5C9DCDA9"/>
    <w:rsid w:val="5CA0256C"/>
    <w:rsid w:val="5CA16465"/>
    <w:rsid w:val="5CA4ADBD"/>
    <w:rsid w:val="5CADA71A"/>
    <w:rsid w:val="5CB35D79"/>
    <w:rsid w:val="5CB8E5CC"/>
    <w:rsid w:val="5CB9C844"/>
    <w:rsid w:val="5CBC5E9A"/>
    <w:rsid w:val="5CC12B5A"/>
    <w:rsid w:val="5CC4FFB1"/>
    <w:rsid w:val="5CC635A0"/>
    <w:rsid w:val="5CC9356C"/>
    <w:rsid w:val="5CCEB4E0"/>
    <w:rsid w:val="5CCEBF35"/>
    <w:rsid w:val="5CD10F9C"/>
    <w:rsid w:val="5CD1445A"/>
    <w:rsid w:val="5CD440E9"/>
    <w:rsid w:val="5CD48AA1"/>
    <w:rsid w:val="5CD84402"/>
    <w:rsid w:val="5CDA44FB"/>
    <w:rsid w:val="5CDA979D"/>
    <w:rsid w:val="5CDCF2BE"/>
    <w:rsid w:val="5CE40543"/>
    <w:rsid w:val="5CE65AE0"/>
    <w:rsid w:val="5CEE290D"/>
    <w:rsid w:val="5CF0EF2E"/>
    <w:rsid w:val="5CF2A4C2"/>
    <w:rsid w:val="5CF2F3D9"/>
    <w:rsid w:val="5CF7A33A"/>
    <w:rsid w:val="5CF917EC"/>
    <w:rsid w:val="5CF94774"/>
    <w:rsid w:val="5CFF606D"/>
    <w:rsid w:val="5D0BB9ED"/>
    <w:rsid w:val="5D0C7697"/>
    <w:rsid w:val="5D0EC101"/>
    <w:rsid w:val="5D0F2FC7"/>
    <w:rsid w:val="5D0F5036"/>
    <w:rsid w:val="5D10EF43"/>
    <w:rsid w:val="5D12162A"/>
    <w:rsid w:val="5D123D7E"/>
    <w:rsid w:val="5D153E9E"/>
    <w:rsid w:val="5D181104"/>
    <w:rsid w:val="5D18BE6E"/>
    <w:rsid w:val="5D191E91"/>
    <w:rsid w:val="5D1BBD90"/>
    <w:rsid w:val="5D1DE290"/>
    <w:rsid w:val="5D22517E"/>
    <w:rsid w:val="5D2343A4"/>
    <w:rsid w:val="5D2382EA"/>
    <w:rsid w:val="5D2B7F38"/>
    <w:rsid w:val="5D307518"/>
    <w:rsid w:val="5D390A2C"/>
    <w:rsid w:val="5D3969A9"/>
    <w:rsid w:val="5D404649"/>
    <w:rsid w:val="5D4F7399"/>
    <w:rsid w:val="5D537A68"/>
    <w:rsid w:val="5D619293"/>
    <w:rsid w:val="5D64E26B"/>
    <w:rsid w:val="5D659113"/>
    <w:rsid w:val="5D67DA9B"/>
    <w:rsid w:val="5D68F669"/>
    <w:rsid w:val="5D6A9A65"/>
    <w:rsid w:val="5D6C82E1"/>
    <w:rsid w:val="5D6F6463"/>
    <w:rsid w:val="5D771C8E"/>
    <w:rsid w:val="5D77B5CA"/>
    <w:rsid w:val="5D77CACA"/>
    <w:rsid w:val="5D79F7C1"/>
    <w:rsid w:val="5D7D85D1"/>
    <w:rsid w:val="5D7FF957"/>
    <w:rsid w:val="5D88401C"/>
    <w:rsid w:val="5D88A310"/>
    <w:rsid w:val="5D8CFAAB"/>
    <w:rsid w:val="5D8D41F4"/>
    <w:rsid w:val="5D8D5884"/>
    <w:rsid w:val="5D8F347F"/>
    <w:rsid w:val="5D920446"/>
    <w:rsid w:val="5D9952CA"/>
    <w:rsid w:val="5D9C804D"/>
    <w:rsid w:val="5D9D306E"/>
    <w:rsid w:val="5D9EC884"/>
    <w:rsid w:val="5DA18E6B"/>
    <w:rsid w:val="5DA27EC6"/>
    <w:rsid w:val="5DA5414B"/>
    <w:rsid w:val="5DA9190F"/>
    <w:rsid w:val="5DAAFA14"/>
    <w:rsid w:val="5DAB5A00"/>
    <w:rsid w:val="5DB0F183"/>
    <w:rsid w:val="5DB113E5"/>
    <w:rsid w:val="5DB279AC"/>
    <w:rsid w:val="5DB8BFB2"/>
    <w:rsid w:val="5DB9ABEE"/>
    <w:rsid w:val="5DBA3CDE"/>
    <w:rsid w:val="5DC24997"/>
    <w:rsid w:val="5DCC7916"/>
    <w:rsid w:val="5DCDFC44"/>
    <w:rsid w:val="5DCFB86B"/>
    <w:rsid w:val="5DD2E721"/>
    <w:rsid w:val="5DD5B679"/>
    <w:rsid w:val="5DDA7B35"/>
    <w:rsid w:val="5DE049F0"/>
    <w:rsid w:val="5DE2C9A3"/>
    <w:rsid w:val="5DE82058"/>
    <w:rsid w:val="5DF044A9"/>
    <w:rsid w:val="5DF0F133"/>
    <w:rsid w:val="5DF25DDB"/>
    <w:rsid w:val="5DF2AC52"/>
    <w:rsid w:val="5DF49F0E"/>
    <w:rsid w:val="5DF5F554"/>
    <w:rsid w:val="5DF7C9CD"/>
    <w:rsid w:val="5DF93F38"/>
    <w:rsid w:val="5DFE7AE7"/>
    <w:rsid w:val="5DFFB516"/>
    <w:rsid w:val="5E0054B8"/>
    <w:rsid w:val="5E00D5C0"/>
    <w:rsid w:val="5E011E47"/>
    <w:rsid w:val="5E016ECC"/>
    <w:rsid w:val="5E02B334"/>
    <w:rsid w:val="5E04582A"/>
    <w:rsid w:val="5E04A144"/>
    <w:rsid w:val="5E04D2D6"/>
    <w:rsid w:val="5E0D1808"/>
    <w:rsid w:val="5E10459D"/>
    <w:rsid w:val="5E13A832"/>
    <w:rsid w:val="5E1433A9"/>
    <w:rsid w:val="5E14E23C"/>
    <w:rsid w:val="5E1896C4"/>
    <w:rsid w:val="5E1A7A3E"/>
    <w:rsid w:val="5E1AA8CE"/>
    <w:rsid w:val="5E1C8964"/>
    <w:rsid w:val="5E1D9B5E"/>
    <w:rsid w:val="5E21F536"/>
    <w:rsid w:val="5E26BF99"/>
    <w:rsid w:val="5E292B56"/>
    <w:rsid w:val="5E2A3D87"/>
    <w:rsid w:val="5E2BE531"/>
    <w:rsid w:val="5E33739B"/>
    <w:rsid w:val="5E3A9782"/>
    <w:rsid w:val="5E3FD311"/>
    <w:rsid w:val="5E4903BD"/>
    <w:rsid w:val="5E4908C9"/>
    <w:rsid w:val="5E4A258D"/>
    <w:rsid w:val="5E4A723E"/>
    <w:rsid w:val="5E4C4E5E"/>
    <w:rsid w:val="5E512A18"/>
    <w:rsid w:val="5E58D06B"/>
    <w:rsid w:val="5E5A0802"/>
    <w:rsid w:val="5E6F7778"/>
    <w:rsid w:val="5E729036"/>
    <w:rsid w:val="5E760376"/>
    <w:rsid w:val="5E778A8E"/>
    <w:rsid w:val="5E77C781"/>
    <w:rsid w:val="5E78B233"/>
    <w:rsid w:val="5E7E55FD"/>
    <w:rsid w:val="5E7E7823"/>
    <w:rsid w:val="5E808E16"/>
    <w:rsid w:val="5E817DF5"/>
    <w:rsid w:val="5E829BE8"/>
    <w:rsid w:val="5E874D14"/>
    <w:rsid w:val="5E8B3B29"/>
    <w:rsid w:val="5E8B56AB"/>
    <w:rsid w:val="5E8B89E6"/>
    <w:rsid w:val="5E97129C"/>
    <w:rsid w:val="5E97434F"/>
    <w:rsid w:val="5E9D7FA3"/>
    <w:rsid w:val="5EA0939A"/>
    <w:rsid w:val="5EA54DA1"/>
    <w:rsid w:val="5EAD0AA6"/>
    <w:rsid w:val="5EAD1AC6"/>
    <w:rsid w:val="5EB5E87A"/>
    <w:rsid w:val="5EB664DA"/>
    <w:rsid w:val="5EB6E1A7"/>
    <w:rsid w:val="5EB9E130"/>
    <w:rsid w:val="5EBC4A50"/>
    <w:rsid w:val="5EBEC514"/>
    <w:rsid w:val="5EC121D3"/>
    <w:rsid w:val="5EC17F7D"/>
    <w:rsid w:val="5EC44E63"/>
    <w:rsid w:val="5EC861EC"/>
    <w:rsid w:val="5EC9C40C"/>
    <w:rsid w:val="5ECE4318"/>
    <w:rsid w:val="5ED2B7C6"/>
    <w:rsid w:val="5ED549B6"/>
    <w:rsid w:val="5ED8B576"/>
    <w:rsid w:val="5EDFD5E4"/>
    <w:rsid w:val="5EE5D70A"/>
    <w:rsid w:val="5EEBC8AB"/>
    <w:rsid w:val="5EEBEA6A"/>
    <w:rsid w:val="5EF0CCEF"/>
    <w:rsid w:val="5EF6B4A3"/>
    <w:rsid w:val="5EFA6FA9"/>
    <w:rsid w:val="5EFA7E3F"/>
    <w:rsid w:val="5EFE3800"/>
    <w:rsid w:val="5EFF1C92"/>
    <w:rsid w:val="5F02B7D9"/>
    <w:rsid w:val="5F02ECF0"/>
    <w:rsid w:val="5F03FD47"/>
    <w:rsid w:val="5F08E1B0"/>
    <w:rsid w:val="5F090553"/>
    <w:rsid w:val="5F0BF36C"/>
    <w:rsid w:val="5F0D3C5B"/>
    <w:rsid w:val="5F115D32"/>
    <w:rsid w:val="5F131979"/>
    <w:rsid w:val="5F137F89"/>
    <w:rsid w:val="5F153970"/>
    <w:rsid w:val="5F1DCE76"/>
    <w:rsid w:val="5F2376A2"/>
    <w:rsid w:val="5F279B02"/>
    <w:rsid w:val="5F3208B5"/>
    <w:rsid w:val="5F345679"/>
    <w:rsid w:val="5F365CC3"/>
    <w:rsid w:val="5F36BFD2"/>
    <w:rsid w:val="5F3732B8"/>
    <w:rsid w:val="5F3BA490"/>
    <w:rsid w:val="5F3D2982"/>
    <w:rsid w:val="5F4088B8"/>
    <w:rsid w:val="5F43B814"/>
    <w:rsid w:val="5F4936CB"/>
    <w:rsid w:val="5F4AB3F7"/>
    <w:rsid w:val="5F4BC740"/>
    <w:rsid w:val="5F53755F"/>
    <w:rsid w:val="5F564D05"/>
    <w:rsid w:val="5F56D93B"/>
    <w:rsid w:val="5F58CB2F"/>
    <w:rsid w:val="5F5A0A76"/>
    <w:rsid w:val="5F5B02B5"/>
    <w:rsid w:val="5F5FC92D"/>
    <w:rsid w:val="5F64AF0F"/>
    <w:rsid w:val="5F680342"/>
    <w:rsid w:val="5F69885E"/>
    <w:rsid w:val="5F6D02DC"/>
    <w:rsid w:val="5F712B9E"/>
    <w:rsid w:val="5F7926CA"/>
    <w:rsid w:val="5F7B5A76"/>
    <w:rsid w:val="5F813373"/>
    <w:rsid w:val="5F821876"/>
    <w:rsid w:val="5F875CCC"/>
    <w:rsid w:val="5F87DB14"/>
    <w:rsid w:val="5F8D19FA"/>
    <w:rsid w:val="5F8EAD96"/>
    <w:rsid w:val="5F90E773"/>
    <w:rsid w:val="5F91CBC8"/>
    <w:rsid w:val="5F95A829"/>
    <w:rsid w:val="5F9C9E64"/>
    <w:rsid w:val="5FA0E1F5"/>
    <w:rsid w:val="5FA1249E"/>
    <w:rsid w:val="5FA345C1"/>
    <w:rsid w:val="5FA7A799"/>
    <w:rsid w:val="5FABC5B4"/>
    <w:rsid w:val="5FAD44C6"/>
    <w:rsid w:val="5FAFD343"/>
    <w:rsid w:val="5FBFFC95"/>
    <w:rsid w:val="5FC01F01"/>
    <w:rsid w:val="5FC03009"/>
    <w:rsid w:val="5FC4D575"/>
    <w:rsid w:val="5FC65C82"/>
    <w:rsid w:val="5FCD3B2B"/>
    <w:rsid w:val="5FCDA0DE"/>
    <w:rsid w:val="5FCFD13F"/>
    <w:rsid w:val="5FD63420"/>
    <w:rsid w:val="5FD718C2"/>
    <w:rsid w:val="5FD7AAB3"/>
    <w:rsid w:val="5FDDD7DC"/>
    <w:rsid w:val="5FDE6292"/>
    <w:rsid w:val="5FDE8E6A"/>
    <w:rsid w:val="5FE761E1"/>
    <w:rsid w:val="5FE8A7B5"/>
    <w:rsid w:val="5FE9B6DE"/>
    <w:rsid w:val="5FEBB242"/>
    <w:rsid w:val="5FEE2B8C"/>
    <w:rsid w:val="5FF1274C"/>
    <w:rsid w:val="5FF25DB2"/>
    <w:rsid w:val="5FF6DE4A"/>
    <w:rsid w:val="5FF76356"/>
    <w:rsid w:val="5FFF3D26"/>
    <w:rsid w:val="6000FC69"/>
    <w:rsid w:val="6003ACB2"/>
    <w:rsid w:val="6006A66A"/>
    <w:rsid w:val="600A4A32"/>
    <w:rsid w:val="600D1755"/>
    <w:rsid w:val="600E807C"/>
    <w:rsid w:val="600F8134"/>
    <w:rsid w:val="601187FC"/>
    <w:rsid w:val="601450A2"/>
    <w:rsid w:val="60174DF2"/>
    <w:rsid w:val="60197938"/>
    <w:rsid w:val="60198089"/>
    <w:rsid w:val="6021E78C"/>
    <w:rsid w:val="60227C25"/>
    <w:rsid w:val="6022BC56"/>
    <w:rsid w:val="60260A22"/>
    <w:rsid w:val="60262DEB"/>
    <w:rsid w:val="60291880"/>
    <w:rsid w:val="602A8574"/>
    <w:rsid w:val="60307DF3"/>
    <w:rsid w:val="60320A01"/>
    <w:rsid w:val="603609B4"/>
    <w:rsid w:val="6038B315"/>
    <w:rsid w:val="603E016A"/>
    <w:rsid w:val="6040ECAF"/>
    <w:rsid w:val="60423512"/>
    <w:rsid w:val="6045498C"/>
    <w:rsid w:val="604EBCFD"/>
    <w:rsid w:val="605087FF"/>
    <w:rsid w:val="6050DD82"/>
    <w:rsid w:val="60528000"/>
    <w:rsid w:val="60529BB3"/>
    <w:rsid w:val="6053C7AC"/>
    <w:rsid w:val="605405F2"/>
    <w:rsid w:val="6054721C"/>
    <w:rsid w:val="6059E900"/>
    <w:rsid w:val="605D3219"/>
    <w:rsid w:val="6060FDC1"/>
    <w:rsid w:val="606BC6CC"/>
    <w:rsid w:val="606DC063"/>
    <w:rsid w:val="606DF1C5"/>
    <w:rsid w:val="60701DE7"/>
    <w:rsid w:val="60713A73"/>
    <w:rsid w:val="6072202C"/>
    <w:rsid w:val="60767241"/>
    <w:rsid w:val="6076A30D"/>
    <w:rsid w:val="60798340"/>
    <w:rsid w:val="6080838F"/>
    <w:rsid w:val="60894ECD"/>
    <w:rsid w:val="6089EEB1"/>
    <w:rsid w:val="6099495B"/>
    <w:rsid w:val="609BD9EB"/>
    <w:rsid w:val="609EA1D4"/>
    <w:rsid w:val="60A419D4"/>
    <w:rsid w:val="60A8B1E3"/>
    <w:rsid w:val="60AA0D6E"/>
    <w:rsid w:val="60AF516C"/>
    <w:rsid w:val="60AFF02C"/>
    <w:rsid w:val="60B75000"/>
    <w:rsid w:val="60B880ED"/>
    <w:rsid w:val="60B99F1A"/>
    <w:rsid w:val="60BF12E9"/>
    <w:rsid w:val="60C19EB0"/>
    <w:rsid w:val="60C41BAE"/>
    <w:rsid w:val="60C6F84A"/>
    <w:rsid w:val="60CA07FD"/>
    <w:rsid w:val="60D3B073"/>
    <w:rsid w:val="60D62AC5"/>
    <w:rsid w:val="60D6A1A4"/>
    <w:rsid w:val="60DBBEEE"/>
    <w:rsid w:val="60DCFB08"/>
    <w:rsid w:val="60DD1BED"/>
    <w:rsid w:val="60DE9BD9"/>
    <w:rsid w:val="60E02A15"/>
    <w:rsid w:val="60E06226"/>
    <w:rsid w:val="60E288C3"/>
    <w:rsid w:val="60E4EC8D"/>
    <w:rsid w:val="60E7AB62"/>
    <w:rsid w:val="60F18505"/>
    <w:rsid w:val="60F6678A"/>
    <w:rsid w:val="60F667E9"/>
    <w:rsid w:val="60F69CA7"/>
    <w:rsid w:val="60FB7ADE"/>
    <w:rsid w:val="60FDD3C3"/>
    <w:rsid w:val="6100357D"/>
    <w:rsid w:val="6101497C"/>
    <w:rsid w:val="6103A7C1"/>
    <w:rsid w:val="6106A36C"/>
    <w:rsid w:val="610D7998"/>
    <w:rsid w:val="61108F85"/>
    <w:rsid w:val="6110B7C0"/>
    <w:rsid w:val="6110D880"/>
    <w:rsid w:val="61129BC6"/>
    <w:rsid w:val="6114D217"/>
    <w:rsid w:val="6114FAE5"/>
    <w:rsid w:val="61195C86"/>
    <w:rsid w:val="611DA283"/>
    <w:rsid w:val="611E984C"/>
    <w:rsid w:val="611EB564"/>
    <w:rsid w:val="6122C165"/>
    <w:rsid w:val="6123CF85"/>
    <w:rsid w:val="612811F5"/>
    <w:rsid w:val="612933AE"/>
    <w:rsid w:val="612DDE67"/>
    <w:rsid w:val="612E1935"/>
    <w:rsid w:val="612EC36A"/>
    <w:rsid w:val="612F317C"/>
    <w:rsid w:val="61324563"/>
    <w:rsid w:val="6133E5D2"/>
    <w:rsid w:val="613793DE"/>
    <w:rsid w:val="6138ACBF"/>
    <w:rsid w:val="6146469B"/>
    <w:rsid w:val="614C7480"/>
    <w:rsid w:val="614C9327"/>
    <w:rsid w:val="615A540D"/>
    <w:rsid w:val="615B590D"/>
    <w:rsid w:val="615DDA0B"/>
    <w:rsid w:val="615E913D"/>
    <w:rsid w:val="615FB6F6"/>
    <w:rsid w:val="6160799C"/>
    <w:rsid w:val="6169DDCC"/>
    <w:rsid w:val="616C9E55"/>
    <w:rsid w:val="61705E8C"/>
    <w:rsid w:val="6171D371"/>
    <w:rsid w:val="617285DF"/>
    <w:rsid w:val="61769DDC"/>
    <w:rsid w:val="61775965"/>
    <w:rsid w:val="617A8DD4"/>
    <w:rsid w:val="617D69C9"/>
    <w:rsid w:val="617DF7DE"/>
    <w:rsid w:val="617E4CA8"/>
    <w:rsid w:val="6180F14C"/>
    <w:rsid w:val="6186C117"/>
    <w:rsid w:val="618D5345"/>
    <w:rsid w:val="6192DE27"/>
    <w:rsid w:val="61947D9B"/>
    <w:rsid w:val="619B446C"/>
    <w:rsid w:val="619D639F"/>
    <w:rsid w:val="61A00364"/>
    <w:rsid w:val="61A09894"/>
    <w:rsid w:val="61A5E9D4"/>
    <w:rsid w:val="61A8D82F"/>
    <w:rsid w:val="61AB3A4E"/>
    <w:rsid w:val="61ACC125"/>
    <w:rsid w:val="61AD0AC5"/>
    <w:rsid w:val="61AD7A65"/>
    <w:rsid w:val="61AFC286"/>
    <w:rsid w:val="61B14177"/>
    <w:rsid w:val="61B563F9"/>
    <w:rsid w:val="61B5FC4C"/>
    <w:rsid w:val="61B7D04E"/>
    <w:rsid w:val="61B90268"/>
    <w:rsid w:val="61BB90B4"/>
    <w:rsid w:val="61BBBA64"/>
    <w:rsid w:val="61BE3C23"/>
    <w:rsid w:val="61BF36DB"/>
    <w:rsid w:val="61C2E056"/>
    <w:rsid w:val="61C524B3"/>
    <w:rsid w:val="61C7E777"/>
    <w:rsid w:val="61D6EB78"/>
    <w:rsid w:val="61D98F16"/>
    <w:rsid w:val="61E40252"/>
    <w:rsid w:val="61E44EC5"/>
    <w:rsid w:val="61EC0062"/>
    <w:rsid w:val="61EEE4F5"/>
    <w:rsid w:val="61F05B0A"/>
    <w:rsid w:val="61F82705"/>
    <w:rsid w:val="61F84943"/>
    <w:rsid w:val="62000C1D"/>
    <w:rsid w:val="6200849A"/>
    <w:rsid w:val="62060232"/>
    <w:rsid w:val="620A3204"/>
    <w:rsid w:val="620D5DBC"/>
    <w:rsid w:val="621AA5B8"/>
    <w:rsid w:val="621C399C"/>
    <w:rsid w:val="6221A7C9"/>
    <w:rsid w:val="6223A220"/>
    <w:rsid w:val="6226CEFD"/>
    <w:rsid w:val="62280478"/>
    <w:rsid w:val="622DF5C2"/>
    <w:rsid w:val="622E93CA"/>
    <w:rsid w:val="622F7EFA"/>
    <w:rsid w:val="62396692"/>
    <w:rsid w:val="623FE73D"/>
    <w:rsid w:val="624033BD"/>
    <w:rsid w:val="62408935"/>
    <w:rsid w:val="6242AD34"/>
    <w:rsid w:val="6244DEE5"/>
    <w:rsid w:val="62493656"/>
    <w:rsid w:val="6249DDC0"/>
    <w:rsid w:val="624AB0EB"/>
    <w:rsid w:val="624B009F"/>
    <w:rsid w:val="624F1000"/>
    <w:rsid w:val="62507E5D"/>
    <w:rsid w:val="6250D548"/>
    <w:rsid w:val="62561DF2"/>
    <w:rsid w:val="625C8568"/>
    <w:rsid w:val="62616D04"/>
    <w:rsid w:val="626199D6"/>
    <w:rsid w:val="62638A52"/>
    <w:rsid w:val="626567EE"/>
    <w:rsid w:val="6265BB6B"/>
    <w:rsid w:val="6265E802"/>
    <w:rsid w:val="626F3152"/>
    <w:rsid w:val="626F5370"/>
    <w:rsid w:val="626F98BE"/>
    <w:rsid w:val="6274FE8A"/>
    <w:rsid w:val="627A2F15"/>
    <w:rsid w:val="628599AE"/>
    <w:rsid w:val="628600F9"/>
    <w:rsid w:val="62894D7C"/>
    <w:rsid w:val="628C4A0F"/>
    <w:rsid w:val="628CA1DF"/>
    <w:rsid w:val="628E60A5"/>
    <w:rsid w:val="628F4F9D"/>
    <w:rsid w:val="6294DB27"/>
    <w:rsid w:val="62967EFE"/>
    <w:rsid w:val="629FB5F3"/>
    <w:rsid w:val="62A3C4F5"/>
    <w:rsid w:val="62B08397"/>
    <w:rsid w:val="62B17EAC"/>
    <w:rsid w:val="62B330B9"/>
    <w:rsid w:val="62BC9CBE"/>
    <w:rsid w:val="62C19032"/>
    <w:rsid w:val="62C65234"/>
    <w:rsid w:val="62C78C90"/>
    <w:rsid w:val="62C8FCB0"/>
    <w:rsid w:val="62CE62F0"/>
    <w:rsid w:val="62D0F89A"/>
    <w:rsid w:val="62D27B14"/>
    <w:rsid w:val="62D54836"/>
    <w:rsid w:val="62D6C9D7"/>
    <w:rsid w:val="62DA9DF6"/>
    <w:rsid w:val="62DBD485"/>
    <w:rsid w:val="62DD9BFD"/>
    <w:rsid w:val="62E32AA4"/>
    <w:rsid w:val="62E38676"/>
    <w:rsid w:val="62E3BB59"/>
    <w:rsid w:val="62E488DC"/>
    <w:rsid w:val="62E5F1C9"/>
    <w:rsid w:val="62EA52D1"/>
    <w:rsid w:val="62EE4477"/>
    <w:rsid w:val="62EEF8F5"/>
    <w:rsid w:val="62F749F2"/>
    <w:rsid w:val="62F94074"/>
    <w:rsid w:val="62FC08EB"/>
    <w:rsid w:val="62FC97B7"/>
    <w:rsid w:val="63002FA1"/>
    <w:rsid w:val="6300517F"/>
    <w:rsid w:val="630A7530"/>
    <w:rsid w:val="630B224A"/>
    <w:rsid w:val="6314074B"/>
    <w:rsid w:val="6316AB70"/>
    <w:rsid w:val="63171B07"/>
    <w:rsid w:val="631C75BD"/>
    <w:rsid w:val="631C818B"/>
    <w:rsid w:val="6322DB7D"/>
    <w:rsid w:val="63235E5A"/>
    <w:rsid w:val="63256F09"/>
    <w:rsid w:val="632DFCD8"/>
    <w:rsid w:val="6331B463"/>
    <w:rsid w:val="6336806E"/>
    <w:rsid w:val="6336BA07"/>
    <w:rsid w:val="6338ED75"/>
    <w:rsid w:val="633E2702"/>
    <w:rsid w:val="634285C9"/>
    <w:rsid w:val="634AC098"/>
    <w:rsid w:val="634BE5C6"/>
    <w:rsid w:val="634C2B4D"/>
    <w:rsid w:val="635178C5"/>
    <w:rsid w:val="63539B5C"/>
    <w:rsid w:val="6353B842"/>
    <w:rsid w:val="63575927"/>
    <w:rsid w:val="635833F1"/>
    <w:rsid w:val="635B786A"/>
    <w:rsid w:val="635BE440"/>
    <w:rsid w:val="635E7C20"/>
    <w:rsid w:val="63674F81"/>
    <w:rsid w:val="6369DC01"/>
    <w:rsid w:val="636ACA7A"/>
    <w:rsid w:val="636DD60C"/>
    <w:rsid w:val="6379BE90"/>
    <w:rsid w:val="637B9740"/>
    <w:rsid w:val="6380AA05"/>
    <w:rsid w:val="6385746C"/>
    <w:rsid w:val="638A41E2"/>
    <w:rsid w:val="638C13CC"/>
    <w:rsid w:val="638D65E3"/>
    <w:rsid w:val="639157C0"/>
    <w:rsid w:val="639549EF"/>
    <w:rsid w:val="6396DA0D"/>
    <w:rsid w:val="6398B4C8"/>
    <w:rsid w:val="639AFA88"/>
    <w:rsid w:val="63A54E0A"/>
    <w:rsid w:val="63A89B88"/>
    <w:rsid w:val="63B3385A"/>
    <w:rsid w:val="63B6F242"/>
    <w:rsid w:val="63B89968"/>
    <w:rsid w:val="63B9EF7C"/>
    <w:rsid w:val="63BA3EE4"/>
    <w:rsid w:val="63C151F4"/>
    <w:rsid w:val="63CE5445"/>
    <w:rsid w:val="63D08829"/>
    <w:rsid w:val="63D2AC14"/>
    <w:rsid w:val="63D7BFE7"/>
    <w:rsid w:val="63D89E34"/>
    <w:rsid w:val="63D8F996"/>
    <w:rsid w:val="63DA1588"/>
    <w:rsid w:val="63DAE47A"/>
    <w:rsid w:val="63DD96DB"/>
    <w:rsid w:val="63DE77C5"/>
    <w:rsid w:val="63E0A232"/>
    <w:rsid w:val="63E226B3"/>
    <w:rsid w:val="63E4ADD4"/>
    <w:rsid w:val="63EAE2AD"/>
    <w:rsid w:val="63EBC0DA"/>
    <w:rsid w:val="63EF7B7B"/>
    <w:rsid w:val="63EF91F0"/>
    <w:rsid w:val="63F7195C"/>
    <w:rsid w:val="63F9B709"/>
    <w:rsid w:val="63FA03FB"/>
    <w:rsid w:val="63FA4F15"/>
    <w:rsid w:val="63FCB1C0"/>
    <w:rsid w:val="63FD75C4"/>
    <w:rsid w:val="63FDFE8F"/>
    <w:rsid w:val="640144BE"/>
    <w:rsid w:val="6401E747"/>
    <w:rsid w:val="6402E28E"/>
    <w:rsid w:val="64054D32"/>
    <w:rsid w:val="64059AAE"/>
    <w:rsid w:val="640D7285"/>
    <w:rsid w:val="640ED62C"/>
    <w:rsid w:val="6411FCE1"/>
    <w:rsid w:val="64128533"/>
    <w:rsid w:val="64191DC3"/>
    <w:rsid w:val="6419F958"/>
    <w:rsid w:val="641E1ADA"/>
    <w:rsid w:val="642389D5"/>
    <w:rsid w:val="64253999"/>
    <w:rsid w:val="6427DF88"/>
    <w:rsid w:val="642A6C2E"/>
    <w:rsid w:val="642B3456"/>
    <w:rsid w:val="642EE693"/>
    <w:rsid w:val="643030EE"/>
    <w:rsid w:val="6431A632"/>
    <w:rsid w:val="6437069A"/>
    <w:rsid w:val="64385953"/>
    <w:rsid w:val="643994BF"/>
    <w:rsid w:val="64399B6A"/>
    <w:rsid w:val="6439A611"/>
    <w:rsid w:val="64407790"/>
    <w:rsid w:val="6447F02E"/>
    <w:rsid w:val="644B7397"/>
    <w:rsid w:val="644CE3CB"/>
    <w:rsid w:val="64542311"/>
    <w:rsid w:val="6455232A"/>
    <w:rsid w:val="645A5204"/>
    <w:rsid w:val="645DCFBE"/>
    <w:rsid w:val="64628FEA"/>
    <w:rsid w:val="6464AD9E"/>
    <w:rsid w:val="64668FE4"/>
    <w:rsid w:val="6469B4F7"/>
    <w:rsid w:val="646FEABA"/>
    <w:rsid w:val="6476712C"/>
    <w:rsid w:val="6478ACBC"/>
    <w:rsid w:val="647AFE4F"/>
    <w:rsid w:val="647B47E2"/>
    <w:rsid w:val="647DB193"/>
    <w:rsid w:val="647FF463"/>
    <w:rsid w:val="64883ED7"/>
    <w:rsid w:val="6488D3CC"/>
    <w:rsid w:val="64895D5C"/>
    <w:rsid w:val="648A0508"/>
    <w:rsid w:val="648E7B42"/>
    <w:rsid w:val="648EE0B2"/>
    <w:rsid w:val="64911DB9"/>
    <w:rsid w:val="64943323"/>
    <w:rsid w:val="6494ABDD"/>
    <w:rsid w:val="6496EF2C"/>
    <w:rsid w:val="64979512"/>
    <w:rsid w:val="6498368A"/>
    <w:rsid w:val="649A9DE8"/>
    <w:rsid w:val="649AB0B7"/>
    <w:rsid w:val="649B59A7"/>
    <w:rsid w:val="649CA15D"/>
    <w:rsid w:val="649D79CB"/>
    <w:rsid w:val="649EA17A"/>
    <w:rsid w:val="649F69E8"/>
    <w:rsid w:val="64A24F45"/>
    <w:rsid w:val="64A47A62"/>
    <w:rsid w:val="64A4D4FF"/>
    <w:rsid w:val="64AD3900"/>
    <w:rsid w:val="64B00AC7"/>
    <w:rsid w:val="64B68FF7"/>
    <w:rsid w:val="64B6C044"/>
    <w:rsid w:val="64BC402F"/>
    <w:rsid w:val="64C47D9F"/>
    <w:rsid w:val="64C64763"/>
    <w:rsid w:val="64C8DF10"/>
    <w:rsid w:val="64CC7D86"/>
    <w:rsid w:val="64D349C9"/>
    <w:rsid w:val="64D75E65"/>
    <w:rsid w:val="64DC089A"/>
    <w:rsid w:val="64DCAFA7"/>
    <w:rsid w:val="64DF59EF"/>
    <w:rsid w:val="64E5F9C4"/>
    <w:rsid w:val="64EDD4E7"/>
    <w:rsid w:val="64EE93CF"/>
    <w:rsid w:val="64F8D1D2"/>
    <w:rsid w:val="65043FF5"/>
    <w:rsid w:val="650AE5D5"/>
    <w:rsid w:val="650AF887"/>
    <w:rsid w:val="650BFF18"/>
    <w:rsid w:val="650DBD68"/>
    <w:rsid w:val="650FEA2B"/>
    <w:rsid w:val="65100503"/>
    <w:rsid w:val="65104E83"/>
    <w:rsid w:val="651A5B18"/>
    <w:rsid w:val="651DC3FD"/>
    <w:rsid w:val="65218C4E"/>
    <w:rsid w:val="65225B3D"/>
    <w:rsid w:val="65238FFA"/>
    <w:rsid w:val="6526001B"/>
    <w:rsid w:val="6526A241"/>
    <w:rsid w:val="65281871"/>
    <w:rsid w:val="65286A89"/>
    <w:rsid w:val="652E7268"/>
    <w:rsid w:val="65306A49"/>
    <w:rsid w:val="6533070A"/>
    <w:rsid w:val="65364057"/>
    <w:rsid w:val="6536DA75"/>
    <w:rsid w:val="65387B54"/>
    <w:rsid w:val="6538C03B"/>
    <w:rsid w:val="65396EC3"/>
    <w:rsid w:val="653D2345"/>
    <w:rsid w:val="6540159A"/>
    <w:rsid w:val="6540EF10"/>
    <w:rsid w:val="6545B589"/>
    <w:rsid w:val="654632CB"/>
    <w:rsid w:val="6548DD05"/>
    <w:rsid w:val="6552E452"/>
    <w:rsid w:val="655316C9"/>
    <w:rsid w:val="65559262"/>
    <w:rsid w:val="6556E083"/>
    <w:rsid w:val="65595B61"/>
    <w:rsid w:val="65597687"/>
    <w:rsid w:val="655D2002"/>
    <w:rsid w:val="655E949A"/>
    <w:rsid w:val="655F122B"/>
    <w:rsid w:val="6560A73C"/>
    <w:rsid w:val="656ADA93"/>
    <w:rsid w:val="656D1982"/>
    <w:rsid w:val="656FF08E"/>
    <w:rsid w:val="6573C7BE"/>
    <w:rsid w:val="65770E68"/>
    <w:rsid w:val="657B6A24"/>
    <w:rsid w:val="657E31E7"/>
    <w:rsid w:val="65800E36"/>
    <w:rsid w:val="658260D7"/>
    <w:rsid w:val="6586476D"/>
    <w:rsid w:val="65866E7D"/>
    <w:rsid w:val="65879958"/>
    <w:rsid w:val="658F5875"/>
    <w:rsid w:val="6591FC7C"/>
    <w:rsid w:val="65954BD8"/>
    <w:rsid w:val="659841B4"/>
    <w:rsid w:val="6599D0CD"/>
    <w:rsid w:val="65A05B89"/>
    <w:rsid w:val="65A0B50A"/>
    <w:rsid w:val="65A17A97"/>
    <w:rsid w:val="65A19D77"/>
    <w:rsid w:val="65AB915C"/>
    <w:rsid w:val="65ABB98A"/>
    <w:rsid w:val="65B19318"/>
    <w:rsid w:val="65B20FF1"/>
    <w:rsid w:val="65B3EAF5"/>
    <w:rsid w:val="65B67FC6"/>
    <w:rsid w:val="65B802F2"/>
    <w:rsid w:val="65B98C18"/>
    <w:rsid w:val="65C8FBDB"/>
    <w:rsid w:val="65CB59D8"/>
    <w:rsid w:val="65D5B784"/>
    <w:rsid w:val="65D5EB91"/>
    <w:rsid w:val="65D71770"/>
    <w:rsid w:val="65DEDB42"/>
    <w:rsid w:val="65E4D866"/>
    <w:rsid w:val="65E6EF9F"/>
    <w:rsid w:val="65ED4795"/>
    <w:rsid w:val="65EF5EDE"/>
    <w:rsid w:val="65F16B7B"/>
    <w:rsid w:val="65F7BCB7"/>
    <w:rsid w:val="65F8EF96"/>
    <w:rsid w:val="65FCBFE0"/>
    <w:rsid w:val="65FE326E"/>
    <w:rsid w:val="65FFDE2D"/>
    <w:rsid w:val="660017C6"/>
    <w:rsid w:val="66045899"/>
    <w:rsid w:val="66091533"/>
    <w:rsid w:val="660CD647"/>
    <w:rsid w:val="660D2BA1"/>
    <w:rsid w:val="660F4DAE"/>
    <w:rsid w:val="6611CDAC"/>
    <w:rsid w:val="6615CF2D"/>
    <w:rsid w:val="66174B80"/>
    <w:rsid w:val="661D4C25"/>
    <w:rsid w:val="661DE168"/>
    <w:rsid w:val="6624E5C6"/>
    <w:rsid w:val="6625C20C"/>
    <w:rsid w:val="66277B60"/>
    <w:rsid w:val="6628ED5A"/>
    <w:rsid w:val="662D34F7"/>
    <w:rsid w:val="662F8153"/>
    <w:rsid w:val="66385CAE"/>
    <w:rsid w:val="6638C86A"/>
    <w:rsid w:val="663D0D02"/>
    <w:rsid w:val="663EB4DB"/>
    <w:rsid w:val="663F21E7"/>
    <w:rsid w:val="663FABCF"/>
    <w:rsid w:val="663FFBC6"/>
    <w:rsid w:val="6640C0EA"/>
    <w:rsid w:val="664375ED"/>
    <w:rsid w:val="6645B6B2"/>
    <w:rsid w:val="664A19B3"/>
    <w:rsid w:val="664A457A"/>
    <w:rsid w:val="664D383C"/>
    <w:rsid w:val="6650B790"/>
    <w:rsid w:val="66519C68"/>
    <w:rsid w:val="66523BAB"/>
    <w:rsid w:val="6654FADE"/>
    <w:rsid w:val="665958A5"/>
    <w:rsid w:val="665B443B"/>
    <w:rsid w:val="665F7BE8"/>
    <w:rsid w:val="66612C29"/>
    <w:rsid w:val="6662BEB3"/>
    <w:rsid w:val="666C213A"/>
    <w:rsid w:val="666E9A03"/>
    <w:rsid w:val="6671C924"/>
    <w:rsid w:val="6674323F"/>
    <w:rsid w:val="66752CBF"/>
    <w:rsid w:val="667BD634"/>
    <w:rsid w:val="667E0251"/>
    <w:rsid w:val="66816C73"/>
    <w:rsid w:val="668268E7"/>
    <w:rsid w:val="66860605"/>
    <w:rsid w:val="668D1FF3"/>
    <w:rsid w:val="668D4E81"/>
    <w:rsid w:val="668DE64D"/>
    <w:rsid w:val="668F110F"/>
    <w:rsid w:val="66987C13"/>
    <w:rsid w:val="6699C998"/>
    <w:rsid w:val="669A2526"/>
    <w:rsid w:val="669A9389"/>
    <w:rsid w:val="669CDCE0"/>
    <w:rsid w:val="66A18DD3"/>
    <w:rsid w:val="66A50E96"/>
    <w:rsid w:val="66A6CA7C"/>
    <w:rsid w:val="66A88C05"/>
    <w:rsid w:val="66A9890A"/>
    <w:rsid w:val="66AD9505"/>
    <w:rsid w:val="66AFBE87"/>
    <w:rsid w:val="66B60CBC"/>
    <w:rsid w:val="66B8FF6E"/>
    <w:rsid w:val="66B94B0D"/>
    <w:rsid w:val="66BADC48"/>
    <w:rsid w:val="66BE97E5"/>
    <w:rsid w:val="66C0F320"/>
    <w:rsid w:val="66C57A4F"/>
    <w:rsid w:val="66C65068"/>
    <w:rsid w:val="66C7D3AE"/>
    <w:rsid w:val="66C988EF"/>
    <w:rsid w:val="66CB5866"/>
    <w:rsid w:val="66D2E58A"/>
    <w:rsid w:val="66D4BBEA"/>
    <w:rsid w:val="66D69F01"/>
    <w:rsid w:val="66DACCE2"/>
    <w:rsid w:val="66DBB211"/>
    <w:rsid w:val="66DDFC5A"/>
    <w:rsid w:val="66DF3170"/>
    <w:rsid w:val="66DF3777"/>
    <w:rsid w:val="66E076CA"/>
    <w:rsid w:val="66E2C781"/>
    <w:rsid w:val="66F3B889"/>
    <w:rsid w:val="66F69868"/>
    <w:rsid w:val="66F8445A"/>
    <w:rsid w:val="66F84B29"/>
    <w:rsid w:val="66FC77DB"/>
    <w:rsid w:val="6704AE6A"/>
    <w:rsid w:val="67088356"/>
    <w:rsid w:val="670B68FB"/>
    <w:rsid w:val="670F2C93"/>
    <w:rsid w:val="6711C174"/>
    <w:rsid w:val="67155DE2"/>
    <w:rsid w:val="671B15A2"/>
    <w:rsid w:val="67207011"/>
    <w:rsid w:val="6723009E"/>
    <w:rsid w:val="67231361"/>
    <w:rsid w:val="6724848E"/>
    <w:rsid w:val="672AFECA"/>
    <w:rsid w:val="672B0CCD"/>
    <w:rsid w:val="672B9E5C"/>
    <w:rsid w:val="673171E4"/>
    <w:rsid w:val="6736E4C9"/>
    <w:rsid w:val="6737D351"/>
    <w:rsid w:val="673B02A6"/>
    <w:rsid w:val="673C37A4"/>
    <w:rsid w:val="673ED63D"/>
    <w:rsid w:val="6743B897"/>
    <w:rsid w:val="6744D5C8"/>
    <w:rsid w:val="67451AA2"/>
    <w:rsid w:val="674534E5"/>
    <w:rsid w:val="674657BE"/>
    <w:rsid w:val="6747542E"/>
    <w:rsid w:val="674E4C0F"/>
    <w:rsid w:val="674F711B"/>
    <w:rsid w:val="675385F5"/>
    <w:rsid w:val="6757AF56"/>
    <w:rsid w:val="675AE4E9"/>
    <w:rsid w:val="675B5A4A"/>
    <w:rsid w:val="67604E3B"/>
    <w:rsid w:val="67618C45"/>
    <w:rsid w:val="676BB8A0"/>
    <w:rsid w:val="6773B1ED"/>
    <w:rsid w:val="677AA2C9"/>
    <w:rsid w:val="677F71CE"/>
    <w:rsid w:val="677F9A15"/>
    <w:rsid w:val="677FD687"/>
    <w:rsid w:val="67822911"/>
    <w:rsid w:val="67847FE3"/>
    <w:rsid w:val="678F0408"/>
    <w:rsid w:val="6790B32E"/>
    <w:rsid w:val="67929E98"/>
    <w:rsid w:val="6793E4C3"/>
    <w:rsid w:val="679AA12B"/>
    <w:rsid w:val="67A46658"/>
    <w:rsid w:val="67A84E27"/>
    <w:rsid w:val="67A85694"/>
    <w:rsid w:val="67AA7C07"/>
    <w:rsid w:val="67ADFD4C"/>
    <w:rsid w:val="67AF80B1"/>
    <w:rsid w:val="67AFD9C3"/>
    <w:rsid w:val="67B87920"/>
    <w:rsid w:val="67BCF9DC"/>
    <w:rsid w:val="67BED08A"/>
    <w:rsid w:val="67CD16AD"/>
    <w:rsid w:val="67CE00E0"/>
    <w:rsid w:val="67CF7141"/>
    <w:rsid w:val="67D16BE0"/>
    <w:rsid w:val="67D28211"/>
    <w:rsid w:val="67DAB0B9"/>
    <w:rsid w:val="67DD264F"/>
    <w:rsid w:val="67DF8ACF"/>
    <w:rsid w:val="67E06222"/>
    <w:rsid w:val="67E4C533"/>
    <w:rsid w:val="67E4E1FF"/>
    <w:rsid w:val="67E55563"/>
    <w:rsid w:val="67EC6B9D"/>
    <w:rsid w:val="67EE20D0"/>
    <w:rsid w:val="67EFF4BF"/>
    <w:rsid w:val="67F09A96"/>
    <w:rsid w:val="67F18F40"/>
    <w:rsid w:val="67F2E11C"/>
    <w:rsid w:val="67F2E797"/>
    <w:rsid w:val="67F3F073"/>
    <w:rsid w:val="67F45478"/>
    <w:rsid w:val="67F6C70C"/>
    <w:rsid w:val="67F71341"/>
    <w:rsid w:val="67F7FCB5"/>
    <w:rsid w:val="67F872A8"/>
    <w:rsid w:val="67FD5FCB"/>
    <w:rsid w:val="67FDBE48"/>
    <w:rsid w:val="67FE6EE2"/>
    <w:rsid w:val="680058E2"/>
    <w:rsid w:val="68026510"/>
    <w:rsid w:val="68045107"/>
    <w:rsid w:val="68071425"/>
    <w:rsid w:val="68089640"/>
    <w:rsid w:val="680B0B49"/>
    <w:rsid w:val="680B7C88"/>
    <w:rsid w:val="680D6246"/>
    <w:rsid w:val="680EAA6A"/>
    <w:rsid w:val="680F93A0"/>
    <w:rsid w:val="68108A75"/>
    <w:rsid w:val="68109434"/>
    <w:rsid w:val="6811789C"/>
    <w:rsid w:val="68125388"/>
    <w:rsid w:val="68143266"/>
    <w:rsid w:val="6814E7DF"/>
    <w:rsid w:val="6819DDC1"/>
    <w:rsid w:val="6819E840"/>
    <w:rsid w:val="68201E23"/>
    <w:rsid w:val="68205D21"/>
    <w:rsid w:val="682201E2"/>
    <w:rsid w:val="682BE2A0"/>
    <w:rsid w:val="68350EB5"/>
    <w:rsid w:val="683DEDC9"/>
    <w:rsid w:val="6840AD92"/>
    <w:rsid w:val="684603BD"/>
    <w:rsid w:val="6848DDE1"/>
    <w:rsid w:val="6849728A"/>
    <w:rsid w:val="684B90DA"/>
    <w:rsid w:val="684BD058"/>
    <w:rsid w:val="684C8E1B"/>
    <w:rsid w:val="684D9CD6"/>
    <w:rsid w:val="685476AF"/>
    <w:rsid w:val="68575F6C"/>
    <w:rsid w:val="68579B70"/>
    <w:rsid w:val="685F7195"/>
    <w:rsid w:val="68620AEA"/>
    <w:rsid w:val="6862826A"/>
    <w:rsid w:val="686394D3"/>
    <w:rsid w:val="68647F39"/>
    <w:rsid w:val="6864C961"/>
    <w:rsid w:val="68671EB6"/>
    <w:rsid w:val="6868BFE8"/>
    <w:rsid w:val="686B5EF6"/>
    <w:rsid w:val="686CF517"/>
    <w:rsid w:val="686E9FFD"/>
    <w:rsid w:val="68701D36"/>
    <w:rsid w:val="68727931"/>
    <w:rsid w:val="687504E3"/>
    <w:rsid w:val="687BF5DB"/>
    <w:rsid w:val="6883C274"/>
    <w:rsid w:val="6884290B"/>
    <w:rsid w:val="688467CB"/>
    <w:rsid w:val="6884FAF7"/>
    <w:rsid w:val="688E4C28"/>
    <w:rsid w:val="6893560E"/>
    <w:rsid w:val="689678F6"/>
    <w:rsid w:val="689711C4"/>
    <w:rsid w:val="68973386"/>
    <w:rsid w:val="68974F21"/>
    <w:rsid w:val="68976FC6"/>
    <w:rsid w:val="68988E34"/>
    <w:rsid w:val="68996CFF"/>
    <w:rsid w:val="689DAF9B"/>
    <w:rsid w:val="68A0826C"/>
    <w:rsid w:val="68A8BE85"/>
    <w:rsid w:val="68A9794C"/>
    <w:rsid w:val="68ABE91A"/>
    <w:rsid w:val="68AD502D"/>
    <w:rsid w:val="68AE1DE7"/>
    <w:rsid w:val="68AEDD58"/>
    <w:rsid w:val="68AF7AD0"/>
    <w:rsid w:val="68B05A4C"/>
    <w:rsid w:val="68B06AE8"/>
    <w:rsid w:val="68B1420D"/>
    <w:rsid w:val="68B5DF2E"/>
    <w:rsid w:val="68B89CDE"/>
    <w:rsid w:val="68BD6C7A"/>
    <w:rsid w:val="68BEA2BF"/>
    <w:rsid w:val="68C0091C"/>
    <w:rsid w:val="68C13BDE"/>
    <w:rsid w:val="68C1AC0F"/>
    <w:rsid w:val="68C24A00"/>
    <w:rsid w:val="68C50CF8"/>
    <w:rsid w:val="68C6BBBD"/>
    <w:rsid w:val="68C6DD3E"/>
    <w:rsid w:val="68CC6781"/>
    <w:rsid w:val="68CE6702"/>
    <w:rsid w:val="68D96D81"/>
    <w:rsid w:val="68DCDBC3"/>
    <w:rsid w:val="68DF5424"/>
    <w:rsid w:val="68E02F94"/>
    <w:rsid w:val="68E1662F"/>
    <w:rsid w:val="68E4C4BC"/>
    <w:rsid w:val="68E58161"/>
    <w:rsid w:val="68E64FF0"/>
    <w:rsid w:val="68E67F43"/>
    <w:rsid w:val="68E8CA4F"/>
    <w:rsid w:val="68EC8C3A"/>
    <w:rsid w:val="68ED0089"/>
    <w:rsid w:val="68EE96FD"/>
    <w:rsid w:val="68EFE9CA"/>
    <w:rsid w:val="68F15C8F"/>
    <w:rsid w:val="68F2AE06"/>
    <w:rsid w:val="68F9398B"/>
    <w:rsid w:val="68FF7899"/>
    <w:rsid w:val="68FFC45F"/>
    <w:rsid w:val="69021949"/>
    <w:rsid w:val="6902BD4C"/>
    <w:rsid w:val="6904955F"/>
    <w:rsid w:val="69068878"/>
    <w:rsid w:val="6908304C"/>
    <w:rsid w:val="690C05DE"/>
    <w:rsid w:val="6918868C"/>
    <w:rsid w:val="691AC4B1"/>
    <w:rsid w:val="691E6E1A"/>
    <w:rsid w:val="691F8F8C"/>
    <w:rsid w:val="6927B62A"/>
    <w:rsid w:val="6928822A"/>
    <w:rsid w:val="692D7672"/>
    <w:rsid w:val="69307D3C"/>
    <w:rsid w:val="6930C6A4"/>
    <w:rsid w:val="69320E09"/>
    <w:rsid w:val="69370E73"/>
    <w:rsid w:val="6939E658"/>
    <w:rsid w:val="693C1111"/>
    <w:rsid w:val="693CFA52"/>
    <w:rsid w:val="6940C9E8"/>
    <w:rsid w:val="69416400"/>
    <w:rsid w:val="6942AFBA"/>
    <w:rsid w:val="69457301"/>
    <w:rsid w:val="6945733D"/>
    <w:rsid w:val="69465C44"/>
    <w:rsid w:val="6948FFCB"/>
    <w:rsid w:val="694EE397"/>
    <w:rsid w:val="69504AFF"/>
    <w:rsid w:val="6951B0C8"/>
    <w:rsid w:val="69592981"/>
    <w:rsid w:val="6959389D"/>
    <w:rsid w:val="695B4229"/>
    <w:rsid w:val="695CAE91"/>
    <w:rsid w:val="695E5E1A"/>
    <w:rsid w:val="695FD382"/>
    <w:rsid w:val="696018E2"/>
    <w:rsid w:val="69609287"/>
    <w:rsid w:val="69611649"/>
    <w:rsid w:val="6962C6C2"/>
    <w:rsid w:val="6963A705"/>
    <w:rsid w:val="6965C09D"/>
    <w:rsid w:val="69666F13"/>
    <w:rsid w:val="6966E2CE"/>
    <w:rsid w:val="696B9559"/>
    <w:rsid w:val="696CD2B2"/>
    <w:rsid w:val="696DBFB6"/>
    <w:rsid w:val="696E95FE"/>
    <w:rsid w:val="696FFBF8"/>
    <w:rsid w:val="6972396D"/>
    <w:rsid w:val="6972FB15"/>
    <w:rsid w:val="6975E949"/>
    <w:rsid w:val="69763AE4"/>
    <w:rsid w:val="697D3FBC"/>
    <w:rsid w:val="697E5145"/>
    <w:rsid w:val="697ED44A"/>
    <w:rsid w:val="69809824"/>
    <w:rsid w:val="6981BECD"/>
    <w:rsid w:val="69822A0E"/>
    <w:rsid w:val="69835944"/>
    <w:rsid w:val="6983C07F"/>
    <w:rsid w:val="69843945"/>
    <w:rsid w:val="69862CBB"/>
    <w:rsid w:val="69872E21"/>
    <w:rsid w:val="698C9514"/>
    <w:rsid w:val="698EAD70"/>
    <w:rsid w:val="6991FFBC"/>
    <w:rsid w:val="69953A6B"/>
    <w:rsid w:val="699EC1D5"/>
    <w:rsid w:val="69A8E889"/>
    <w:rsid w:val="69AD40FE"/>
    <w:rsid w:val="69B2A564"/>
    <w:rsid w:val="69B2A5B4"/>
    <w:rsid w:val="69B7F37F"/>
    <w:rsid w:val="69BD66BC"/>
    <w:rsid w:val="69BE330E"/>
    <w:rsid w:val="69BEE84D"/>
    <w:rsid w:val="69C0EE2C"/>
    <w:rsid w:val="69C69157"/>
    <w:rsid w:val="69C7DEAE"/>
    <w:rsid w:val="69C8F1E7"/>
    <w:rsid w:val="69CA7BC4"/>
    <w:rsid w:val="69CABA92"/>
    <w:rsid w:val="69CAC023"/>
    <w:rsid w:val="69CB8672"/>
    <w:rsid w:val="69D38C46"/>
    <w:rsid w:val="69D8F2FA"/>
    <w:rsid w:val="69D9308D"/>
    <w:rsid w:val="69DB2364"/>
    <w:rsid w:val="69DD0D0B"/>
    <w:rsid w:val="69DF8560"/>
    <w:rsid w:val="69DFDB8E"/>
    <w:rsid w:val="69E3FAE7"/>
    <w:rsid w:val="69E50157"/>
    <w:rsid w:val="69E7160B"/>
    <w:rsid w:val="69E89C49"/>
    <w:rsid w:val="69E8BB0B"/>
    <w:rsid w:val="69E96FA8"/>
    <w:rsid w:val="69EFEFA5"/>
    <w:rsid w:val="69F7562B"/>
    <w:rsid w:val="69FA4776"/>
    <w:rsid w:val="69FD4B32"/>
    <w:rsid w:val="69FF4323"/>
    <w:rsid w:val="6A02FC84"/>
    <w:rsid w:val="6A046333"/>
    <w:rsid w:val="6A061648"/>
    <w:rsid w:val="6A07576F"/>
    <w:rsid w:val="6A076898"/>
    <w:rsid w:val="6A0A9916"/>
    <w:rsid w:val="6A0B65D9"/>
    <w:rsid w:val="6A104E71"/>
    <w:rsid w:val="6A1AA73E"/>
    <w:rsid w:val="6A1F95F8"/>
    <w:rsid w:val="6A20A883"/>
    <w:rsid w:val="6A22E337"/>
    <w:rsid w:val="6A245860"/>
    <w:rsid w:val="6A24AD2B"/>
    <w:rsid w:val="6A26D46C"/>
    <w:rsid w:val="6A29EA56"/>
    <w:rsid w:val="6A2C4AFB"/>
    <w:rsid w:val="6A2D23BB"/>
    <w:rsid w:val="6A2F4BC0"/>
    <w:rsid w:val="6A362FD8"/>
    <w:rsid w:val="6A373C16"/>
    <w:rsid w:val="6A3CFFF3"/>
    <w:rsid w:val="6A3F381B"/>
    <w:rsid w:val="6A3F9D28"/>
    <w:rsid w:val="6A4140F4"/>
    <w:rsid w:val="6A42024A"/>
    <w:rsid w:val="6A4310E1"/>
    <w:rsid w:val="6A431961"/>
    <w:rsid w:val="6A50F3E2"/>
    <w:rsid w:val="6A52F910"/>
    <w:rsid w:val="6A53C16B"/>
    <w:rsid w:val="6A58A781"/>
    <w:rsid w:val="6A58DAF3"/>
    <w:rsid w:val="6A59D62E"/>
    <w:rsid w:val="6A5AC6A8"/>
    <w:rsid w:val="6A5CAFE7"/>
    <w:rsid w:val="6A5D8EF2"/>
    <w:rsid w:val="6A5EAFFA"/>
    <w:rsid w:val="6A61827C"/>
    <w:rsid w:val="6A631CF8"/>
    <w:rsid w:val="6A649BC4"/>
    <w:rsid w:val="6A657719"/>
    <w:rsid w:val="6A6656B1"/>
    <w:rsid w:val="6A6858EB"/>
    <w:rsid w:val="6A68C876"/>
    <w:rsid w:val="6A6A99A5"/>
    <w:rsid w:val="6A6E520F"/>
    <w:rsid w:val="6A6E6EE8"/>
    <w:rsid w:val="6A77D99B"/>
    <w:rsid w:val="6A7C9F0D"/>
    <w:rsid w:val="6A7FEFFD"/>
    <w:rsid w:val="6A831A74"/>
    <w:rsid w:val="6A848B69"/>
    <w:rsid w:val="6A85CA0E"/>
    <w:rsid w:val="6A86F9E4"/>
    <w:rsid w:val="6A8EF270"/>
    <w:rsid w:val="6A9470BE"/>
    <w:rsid w:val="6A9625B2"/>
    <w:rsid w:val="6A9626CC"/>
    <w:rsid w:val="6A96E064"/>
    <w:rsid w:val="6A978AFD"/>
    <w:rsid w:val="6A98ABE7"/>
    <w:rsid w:val="6A990025"/>
    <w:rsid w:val="6A9F6D7D"/>
    <w:rsid w:val="6AA11EBC"/>
    <w:rsid w:val="6AA148B3"/>
    <w:rsid w:val="6AA2F265"/>
    <w:rsid w:val="6AA690A2"/>
    <w:rsid w:val="6AA7D05B"/>
    <w:rsid w:val="6AA977ED"/>
    <w:rsid w:val="6AAC9902"/>
    <w:rsid w:val="6AAF28C2"/>
    <w:rsid w:val="6AB20E3E"/>
    <w:rsid w:val="6AB9E7F0"/>
    <w:rsid w:val="6AC00636"/>
    <w:rsid w:val="6AC1B9AD"/>
    <w:rsid w:val="6AC3C5B1"/>
    <w:rsid w:val="6AC69489"/>
    <w:rsid w:val="6AC938D3"/>
    <w:rsid w:val="6ACD7828"/>
    <w:rsid w:val="6AD1C80B"/>
    <w:rsid w:val="6AD8652E"/>
    <w:rsid w:val="6ADB05A4"/>
    <w:rsid w:val="6ADD4B0C"/>
    <w:rsid w:val="6ADEE1CA"/>
    <w:rsid w:val="6AE5C3CD"/>
    <w:rsid w:val="6AE61824"/>
    <w:rsid w:val="6AE7B1A8"/>
    <w:rsid w:val="6AE92331"/>
    <w:rsid w:val="6AE9A1F2"/>
    <w:rsid w:val="6AE9DC2F"/>
    <w:rsid w:val="6AEE8D0B"/>
    <w:rsid w:val="6AEEE85C"/>
    <w:rsid w:val="6AF14ED0"/>
    <w:rsid w:val="6AF17B1A"/>
    <w:rsid w:val="6AF62A36"/>
    <w:rsid w:val="6AF9708D"/>
    <w:rsid w:val="6B034C0A"/>
    <w:rsid w:val="6B055CC7"/>
    <w:rsid w:val="6B0B5320"/>
    <w:rsid w:val="6B0B67B4"/>
    <w:rsid w:val="6B12D381"/>
    <w:rsid w:val="6B167D08"/>
    <w:rsid w:val="6B199C79"/>
    <w:rsid w:val="6B1C3B61"/>
    <w:rsid w:val="6B21F015"/>
    <w:rsid w:val="6B233281"/>
    <w:rsid w:val="6B2B982E"/>
    <w:rsid w:val="6B2E51D5"/>
    <w:rsid w:val="6B320346"/>
    <w:rsid w:val="6B323813"/>
    <w:rsid w:val="6B36D911"/>
    <w:rsid w:val="6B3904CF"/>
    <w:rsid w:val="6B3BC4E2"/>
    <w:rsid w:val="6B3C0171"/>
    <w:rsid w:val="6B3D0A40"/>
    <w:rsid w:val="6B3E372C"/>
    <w:rsid w:val="6B3FABFC"/>
    <w:rsid w:val="6B448A9D"/>
    <w:rsid w:val="6B4496D7"/>
    <w:rsid w:val="6B46FAC7"/>
    <w:rsid w:val="6B47D536"/>
    <w:rsid w:val="6B48A518"/>
    <w:rsid w:val="6B4B6D7C"/>
    <w:rsid w:val="6B4D4D6D"/>
    <w:rsid w:val="6B4DD633"/>
    <w:rsid w:val="6B4E7921"/>
    <w:rsid w:val="6B4F48BB"/>
    <w:rsid w:val="6B5499F9"/>
    <w:rsid w:val="6B59CDB2"/>
    <w:rsid w:val="6B5CC758"/>
    <w:rsid w:val="6B5D0865"/>
    <w:rsid w:val="6B5EDEDB"/>
    <w:rsid w:val="6B602D98"/>
    <w:rsid w:val="6B66B171"/>
    <w:rsid w:val="6B68CA98"/>
    <w:rsid w:val="6B695070"/>
    <w:rsid w:val="6B6B965B"/>
    <w:rsid w:val="6B77F9CA"/>
    <w:rsid w:val="6B79672E"/>
    <w:rsid w:val="6B7C6C4C"/>
    <w:rsid w:val="6B7D4055"/>
    <w:rsid w:val="6B7E72EE"/>
    <w:rsid w:val="6B8139A9"/>
    <w:rsid w:val="6B824246"/>
    <w:rsid w:val="6B8433BC"/>
    <w:rsid w:val="6B96A6E2"/>
    <w:rsid w:val="6B9AAB9D"/>
    <w:rsid w:val="6B9B0795"/>
    <w:rsid w:val="6B9F7C11"/>
    <w:rsid w:val="6BA55B4E"/>
    <w:rsid w:val="6BA76A4E"/>
    <w:rsid w:val="6BA8D69F"/>
    <w:rsid w:val="6BA925B4"/>
    <w:rsid w:val="6BAA29E1"/>
    <w:rsid w:val="6BACE493"/>
    <w:rsid w:val="6BAD6098"/>
    <w:rsid w:val="6BB12350"/>
    <w:rsid w:val="6BB13CEF"/>
    <w:rsid w:val="6BB31F0E"/>
    <w:rsid w:val="6BB4223A"/>
    <w:rsid w:val="6BB4FAA9"/>
    <w:rsid w:val="6BB75DFE"/>
    <w:rsid w:val="6BBA69F0"/>
    <w:rsid w:val="6BC6DC98"/>
    <w:rsid w:val="6BCA104C"/>
    <w:rsid w:val="6BCF1916"/>
    <w:rsid w:val="6BD89677"/>
    <w:rsid w:val="6BDBB919"/>
    <w:rsid w:val="6BDCC29B"/>
    <w:rsid w:val="6BDE38A0"/>
    <w:rsid w:val="6BDF616C"/>
    <w:rsid w:val="6BE4D645"/>
    <w:rsid w:val="6BE628EA"/>
    <w:rsid w:val="6BE742AC"/>
    <w:rsid w:val="6BEC0A82"/>
    <w:rsid w:val="6BEE3A6D"/>
    <w:rsid w:val="6BF05E2D"/>
    <w:rsid w:val="6BF12CAD"/>
    <w:rsid w:val="6BF9A5EA"/>
    <w:rsid w:val="6BFE8E01"/>
    <w:rsid w:val="6C006D58"/>
    <w:rsid w:val="6C041351"/>
    <w:rsid w:val="6C044C74"/>
    <w:rsid w:val="6C06F116"/>
    <w:rsid w:val="6C070DD6"/>
    <w:rsid w:val="6C08946A"/>
    <w:rsid w:val="6C0A4C70"/>
    <w:rsid w:val="6C0DFD01"/>
    <w:rsid w:val="6C13ABE6"/>
    <w:rsid w:val="6C1987FF"/>
    <w:rsid w:val="6C1A234B"/>
    <w:rsid w:val="6C1B1DD3"/>
    <w:rsid w:val="6C1B74E7"/>
    <w:rsid w:val="6C1C1A3A"/>
    <w:rsid w:val="6C1E90F2"/>
    <w:rsid w:val="6C1F7372"/>
    <w:rsid w:val="6C1FDD1D"/>
    <w:rsid w:val="6C208AE8"/>
    <w:rsid w:val="6C239DC2"/>
    <w:rsid w:val="6C24488F"/>
    <w:rsid w:val="6C247A13"/>
    <w:rsid w:val="6C26B605"/>
    <w:rsid w:val="6C27FE36"/>
    <w:rsid w:val="6C2A02EC"/>
    <w:rsid w:val="6C2D91D7"/>
    <w:rsid w:val="6C2F04D9"/>
    <w:rsid w:val="6C317B17"/>
    <w:rsid w:val="6C3DC8C7"/>
    <w:rsid w:val="6C3EC52C"/>
    <w:rsid w:val="6C3FCEA3"/>
    <w:rsid w:val="6C48B235"/>
    <w:rsid w:val="6C4C0164"/>
    <w:rsid w:val="6C4D4D5D"/>
    <w:rsid w:val="6C53D777"/>
    <w:rsid w:val="6C5F8CAF"/>
    <w:rsid w:val="6C6511BC"/>
    <w:rsid w:val="6C65FD05"/>
    <w:rsid w:val="6C6844EC"/>
    <w:rsid w:val="6C685D26"/>
    <w:rsid w:val="6C69EC02"/>
    <w:rsid w:val="6C6A30F5"/>
    <w:rsid w:val="6C6BC7DE"/>
    <w:rsid w:val="6C6C9FA5"/>
    <w:rsid w:val="6C754BCE"/>
    <w:rsid w:val="6C77DC11"/>
    <w:rsid w:val="6C78A272"/>
    <w:rsid w:val="6C78A4CC"/>
    <w:rsid w:val="6C7CD065"/>
    <w:rsid w:val="6C7E422F"/>
    <w:rsid w:val="6C7E4D1F"/>
    <w:rsid w:val="6C831E5D"/>
    <w:rsid w:val="6C8507BD"/>
    <w:rsid w:val="6C884B74"/>
    <w:rsid w:val="6C8995CB"/>
    <w:rsid w:val="6C89CB51"/>
    <w:rsid w:val="6C8D616B"/>
    <w:rsid w:val="6C8F4C16"/>
    <w:rsid w:val="6C964DB0"/>
    <w:rsid w:val="6C9A7691"/>
    <w:rsid w:val="6C9C705A"/>
    <w:rsid w:val="6C9E35FB"/>
    <w:rsid w:val="6CA459BF"/>
    <w:rsid w:val="6CABB6AE"/>
    <w:rsid w:val="6CAC3105"/>
    <w:rsid w:val="6CACC49B"/>
    <w:rsid w:val="6CAD9117"/>
    <w:rsid w:val="6CB12632"/>
    <w:rsid w:val="6CB29B94"/>
    <w:rsid w:val="6CB4615F"/>
    <w:rsid w:val="6CB46DD0"/>
    <w:rsid w:val="6CB46FEF"/>
    <w:rsid w:val="6CB494B8"/>
    <w:rsid w:val="6CB54511"/>
    <w:rsid w:val="6CB80975"/>
    <w:rsid w:val="6CB890AD"/>
    <w:rsid w:val="6CBA221E"/>
    <w:rsid w:val="6CBBFD53"/>
    <w:rsid w:val="6CBCFD4B"/>
    <w:rsid w:val="6CC46224"/>
    <w:rsid w:val="6CC58826"/>
    <w:rsid w:val="6CC65FE3"/>
    <w:rsid w:val="6CC9A0D6"/>
    <w:rsid w:val="6CCC6E33"/>
    <w:rsid w:val="6CCD38F8"/>
    <w:rsid w:val="6CD1CF47"/>
    <w:rsid w:val="6CDE5897"/>
    <w:rsid w:val="6CE9918A"/>
    <w:rsid w:val="6CED9331"/>
    <w:rsid w:val="6CEEE2C5"/>
    <w:rsid w:val="6CF02CD0"/>
    <w:rsid w:val="6CF0E814"/>
    <w:rsid w:val="6CF24BD2"/>
    <w:rsid w:val="6CF2A6E9"/>
    <w:rsid w:val="6CF2F6DA"/>
    <w:rsid w:val="6CF6A69D"/>
    <w:rsid w:val="6CF8C3DA"/>
    <w:rsid w:val="6CFD66AF"/>
    <w:rsid w:val="6CFE078E"/>
    <w:rsid w:val="6CFF2D72"/>
    <w:rsid w:val="6D002BA0"/>
    <w:rsid w:val="6D005945"/>
    <w:rsid w:val="6D006247"/>
    <w:rsid w:val="6D015B35"/>
    <w:rsid w:val="6D020DBB"/>
    <w:rsid w:val="6D03B3C6"/>
    <w:rsid w:val="6D0A58A9"/>
    <w:rsid w:val="6D0C0934"/>
    <w:rsid w:val="6D0E8EDA"/>
    <w:rsid w:val="6D119DB8"/>
    <w:rsid w:val="6D11FF13"/>
    <w:rsid w:val="6D13444F"/>
    <w:rsid w:val="6D140D65"/>
    <w:rsid w:val="6D175E0D"/>
    <w:rsid w:val="6D1A9B1B"/>
    <w:rsid w:val="6D1AC8CF"/>
    <w:rsid w:val="6D1AE6BD"/>
    <w:rsid w:val="6D2B7261"/>
    <w:rsid w:val="6D3106DA"/>
    <w:rsid w:val="6D33B85C"/>
    <w:rsid w:val="6D349C45"/>
    <w:rsid w:val="6D36CDDD"/>
    <w:rsid w:val="6D3996FD"/>
    <w:rsid w:val="6D3C1263"/>
    <w:rsid w:val="6D3C4EA3"/>
    <w:rsid w:val="6D3CC40F"/>
    <w:rsid w:val="6D3F7508"/>
    <w:rsid w:val="6D4E311B"/>
    <w:rsid w:val="6D4EF4A6"/>
    <w:rsid w:val="6D504115"/>
    <w:rsid w:val="6D53927E"/>
    <w:rsid w:val="6D55DC0C"/>
    <w:rsid w:val="6D585B14"/>
    <w:rsid w:val="6D5978EC"/>
    <w:rsid w:val="6D5A7704"/>
    <w:rsid w:val="6D5ABC50"/>
    <w:rsid w:val="6D5BFFB3"/>
    <w:rsid w:val="6D5D6D09"/>
    <w:rsid w:val="6D5FBFC3"/>
    <w:rsid w:val="6D600A74"/>
    <w:rsid w:val="6D62E40A"/>
    <w:rsid w:val="6D6703DA"/>
    <w:rsid w:val="6D69204B"/>
    <w:rsid w:val="6D72F027"/>
    <w:rsid w:val="6D8124A2"/>
    <w:rsid w:val="6D84C693"/>
    <w:rsid w:val="6D878074"/>
    <w:rsid w:val="6D87B124"/>
    <w:rsid w:val="6D8A9257"/>
    <w:rsid w:val="6D8C93C1"/>
    <w:rsid w:val="6D8F9207"/>
    <w:rsid w:val="6D912E97"/>
    <w:rsid w:val="6D931736"/>
    <w:rsid w:val="6D946CB4"/>
    <w:rsid w:val="6D948AD7"/>
    <w:rsid w:val="6D94B1BD"/>
    <w:rsid w:val="6D94F8DB"/>
    <w:rsid w:val="6D9610C5"/>
    <w:rsid w:val="6D9735CB"/>
    <w:rsid w:val="6D997EBD"/>
    <w:rsid w:val="6D9D77DA"/>
    <w:rsid w:val="6DA01104"/>
    <w:rsid w:val="6DA0788C"/>
    <w:rsid w:val="6DA13B5F"/>
    <w:rsid w:val="6DA87DE4"/>
    <w:rsid w:val="6DAC407E"/>
    <w:rsid w:val="6DADA555"/>
    <w:rsid w:val="6DB02FCE"/>
    <w:rsid w:val="6DB3D04F"/>
    <w:rsid w:val="6DB96099"/>
    <w:rsid w:val="6DBBE6C7"/>
    <w:rsid w:val="6DC1A129"/>
    <w:rsid w:val="6DC1C113"/>
    <w:rsid w:val="6DC3ACF3"/>
    <w:rsid w:val="6DC5D5E3"/>
    <w:rsid w:val="6DC64204"/>
    <w:rsid w:val="6DC8FC5D"/>
    <w:rsid w:val="6DCA7C95"/>
    <w:rsid w:val="6DCBD550"/>
    <w:rsid w:val="6DCC3B65"/>
    <w:rsid w:val="6DD163C2"/>
    <w:rsid w:val="6DD25341"/>
    <w:rsid w:val="6DD69D64"/>
    <w:rsid w:val="6DD8F82E"/>
    <w:rsid w:val="6DDA8DF4"/>
    <w:rsid w:val="6DDFD6BC"/>
    <w:rsid w:val="6DE000D7"/>
    <w:rsid w:val="6DE15F01"/>
    <w:rsid w:val="6DE1E20D"/>
    <w:rsid w:val="6DE1FA71"/>
    <w:rsid w:val="6DE24F82"/>
    <w:rsid w:val="6DE25D31"/>
    <w:rsid w:val="6DE2E31B"/>
    <w:rsid w:val="6DE35B05"/>
    <w:rsid w:val="6DE3D27C"/>
    <w:rsid w:val="6DE7B677"/>
    <w:rsid w:val="6DE7BCEE"/>
    <w:rsid w:val="6DE82E30"/>
    <w:rsid w:val="6DE8D795"/>
    <w:rsid w:val="6DEF6141"/>
    <w:rsid w:val="6DF33079"/>
    <w:rsid w:val="6DF7A915"/>
    <w:rsid w:val="6DF9B04B"/>
    <w:rsid w:val="6DFF57F6"/>
    <w:rsid w:val="6DFF71B0"/>
    <w:rsid w:val="6DFFA864"/>
    <w:rsid w:val="6DFFF8DB"/>
    <w:rsid w:val="6E02D6BA"/>
    <w:rsid w:val="6E050B1F"/>
    <w:rsid w:val="6E0C239C"/>
    <w:rsid w:val="6E0CC1BA"/>
    <w:rsid w:val="6E0CED3C"/>
    <w:rsid w:val="6E0D4738"/>
    <w:rsid w:val="6E0EABA2"/>
    <w:rsid w:val="6E1194AB"/>
    <w:rsid w:val="6E11BC98"/>
    <w:rsid w:val="6E14B604"/>
    <w:rsid w:val="6E14E5BD"/>
    <w:rsid w:val="6E167F4C"/>
    <w:rsid w:val="6E17BAD5"/>
    <w:rsid w:val="6E185C37"/>
    <w:rsid w:val="6E18AEFE"/>
    <w:rsid w:val="6E19D4F3"/>
    <w:rsid w:val="6E1A28D4"/>
    <w:rsid w:val="6E1A5959"/>
    <w:rsid w:val="6E20107D"/>
    <w:rsid w:val="6E201BF0"/>
    <w:rsid w:val="6E208C35"/>
    <w:rsid w:val="6E26FAF2"/>
    <w:rsid w:val="6E27DB98"/>
    <w:rsid w:val="6E31777F"/>
    <w:rsid w:val="6E31C67A"/>
    <w:rsid w:val="6E336336"/>
    <w:rsid w:val="6E33E96A"/>
    <w:rsid w:val="6E35EF92"/>
    <w:rsid w:val="6E3A76D8"/>
    <w:rsid w:val="6E3BAA2D"/>
    <w:rsid w:val="6E3DE228"/>
    <w:rsid w:val="6E43AD54"/>
    <w:rsid w:val="6E479255"/>
    <w:rsid w:val="6E495EE8"/>
    <w:rsid w:val="6E4976BC"/>
    <w:rsid w:val="6E4A2633"/>
    <w:rsid w:val="6E5337EB"/>
    <w:rsid w:val="6E5623A2"/>
    <w:rsid w:val="6E5B2336"/>
    <w:rsid w:val="6E5FE430"/>
    <w:rsid w:val="6E61AA9B"/>
    <w:rsid w:val="6E64C348"/>
    <w:rsid w:val="6E70B8FE"/>
    <w:rsid w:val="6E72913B"/>
    <w:rsid w:val="6E72CE2B"/>
    <w:rsid w:val="6E75E32A"/>
    <w:rsid w:val="6E7751E5"/>
    <w:rsid w:val="6E7B4329"/>
    <w:rsid w:val="6E7D11EE"/>
    <w:rsid w:val="6E7D215A"/>
    <w:rsid w:val="6E87E4DF"/>
    <w:rsid w:val="6E8A97E1"/>
    <w:rsid w:val="6E8F18B1"/>
    <w:rsid w:val="6E919FC9"/>
    <w:rsid w:val="6E960F1F"/>
    <w:rsid w:val="6E98F035"/>
    <w:rsid w:val="6E9A0D11"/>
    <w:rsid w:val="6E9A0F2F"/>
    <w:rsid w:val="6E9C7F67"/>
    <w:rsid w:val="6EA2133D"/>
    <w:rsid w:val="6EA35F24"/>
    <w:rsid w:val="6EA38F1C"/>
    <w:rsid w:val="6EA57021"/>
    <w:rsid w:val="6EA85102"/>
    <w:rsid w:val="6EAA5EB4"/>
    <w:rsid w:val="6EAAA1C6"/>
    <w:rsid w:val="6EAAD02E"/>
    <w:rsid w:val="6EAB6E3C"/>
    <w:rsid w:val="6EABBCEC"/>
    <w:rsid w:val="6EB29059"/>
    <w:rsid w:val="6EB3624D"/>
    <w:rsid w:val="6EB3C06E"/>
    <w:rsid w:val="6EB5B0A4"/>
    <w:rsid w:val="6EB6C533"/>
    <w:rsid w:val="6EB77B87"/>
    <w:rsid w:val="6EBA43BB"/>
    <w:rsid w:val="6EBAB0D2"/>
    <w:rsid w:val="6EBAF6A8"/>
    <w:rsid w:val="6EBC505D"/>
    <w:rsid w:val="6EBDED00"/>
    <w:rsid w:val="6EBE44A5"/>
    <w:rsid w:val="6EBF602A"/>
    <w:rsid w:val="6EC13E5B"/>
    <w:rsid w:val="6EC2379B"/>
    <w:rsid w:val="6EC26345"/>
    <w:rsid w:val="6EC37BEB"/>
    <w:rsid w:val="6ECA991F"/>
    <w:rsid w:val="6ECC3106"/>
    <w:rsid w:val="6ECE88C3"/>
    <w:rsid w:val="6ECEF8F4"/>
    <w:rsid w:val="6ED0053A"/>
    <w:rsid w:val="6ED6224E"/>
    <w:rsid w:val="6ED7EA16"/>
    <w:rsid w:val="6ED8B3B1"/>
    <w:rsid w:val="6EDF3AC8"/>
    <w:rsid w:val="6EDFE36B"/>
    <w:rsid w:val="6EE17CE4"/>
    <w:rsid w:val="6EE3DF6C"/>
    <w:rsid w:val="6EE6EA67"/>
    <w:rsid w:val="6EE883A5"/>
    <w:rsid w:val="6EECC4B7"/>
    <w:rsid w:val="6EECF57B"/>
    <w:rsid w:val="6EEDAF55"/>
    <w:rsid w:val="6EF6E520"/>
    <w:rsid w:val="6EFB8A37"/>
    <w:rsid w:val="6EFE2E05"/>
    <w:rsid w:val="6F0020D8"/>
    <w:rsid w:val="6F00ED4B"/>
    <w:rsid w:val="6F0102D0"/>
    <w:rsid w:val="6F013674"/>
    <w:rsid w:val="6F05D527"/>
    <w:rsid w:val="6F05F990"/>
    <w:rsid w:val="6F066637"/>
    <w:rsid w:val="6F06D913"/>
    <w:rsid w:val="6F07F56A"/>
    <w:rsid w:val="6F084B36"/>
    <w:rsid w:val="6F0DBAC7"/>
    <w:rsid w:val="6F0F0CDD"/>
    <w:rsid w:val="6F101DFA"/>
    <w:rsid w:val="6F1600F9"/>
    <w:rsid w:val="6F1C84FB"/>
    <w:rsid w:val="6F1D4789"/>
    <w:rsid w:val="6F1E389C"/>
    <w:rsid w:val="6F1E8FD0"/>
    <w:rsid w:val="6F24D714"/>
    <w:rsid w:val="6F2963A9"/>
    <w:rsid w:val="6F2F7F57"/>
    <w:rsid w:val="6F376B01"/>
    <w:rsid w:val="6F40CD19"/>
    <w:rsid w:val="6F4164C1"/>
    <w:rsid w:val="6F41D920"/>
    <w:rsid w:val="6F434641"/>
    <w:rsid w:val="6F45C288"/>
    <w:rsid w:val="6F46F261"/>
    <w:rsid w:val="6F46F39F"/>
    <w:rsid w:val="6F472C21"/>
    <w:rsid w:val="6F4847AC"/>
    <w:rsid w:val="6F486E67"/>
    <w:rsid w:val="6F48ED1F"/>
    <w:rsid w:val="6F4A2B63"/>
    <w:rsid w:val="6F4A7FC8"/>
    <w:rsid w:val="6F4C7BC9"/>
    <w:rsid w:val="6F4F3438"/>
    <w:rsid w:val="6F5014EA"/>
    <w:rsid w:val="6F50CB94"/>
    <w:rsid w:val="6F520F62"/>
    <w:rsid w:val="6F53A1EF"/>
    <w:rsid w:val="6F54E16D"/>
    <w:rsid w:val="6F551811"/>
    <w:rsid w:val="6F558715"/>
    <w:rsid w:val="6F586300"/>
    <w:rsid w:val="6F5ECB13"/>
    <w:rsid w:val="6F65C3DB"/>
    <w:rsid w:val="6F680712"/>
    <w:rsid w:val="6F694BC7"/>
    <w:rsid w:val="6F69C8E1"/>
    <w:rsid w:val="6F6CC7D3"/>
    <w:rsid w:val="6F7084FC"/>
    <w:rsid w:val="6F715549"/>
    <w:rsid w:val="6F7CED2A"/>
    <w:rsid w:val="6F7F6704"/>
    <w:rsid w:val="6F821611"/>
    <w:rsid w:val="6F835FBA"/>
    <w:rsid w:val="6F8E8074"/>
    <w:rsid w:val="6F914EFB"/>
    <w:rsid w:val="6F927B3C"/>
    <w:rsid w:val="6F9A2E0D"/>
    <w:rsid w:val="6FA5A429"/>
    <w:rsid w:val="6FA80DB0"/>
    <w:rsid w:val="6FA97F20"/>
    <w:rsid w:val="6FA9C543"/>
    <w:rsid w:val="6FAA99D7"/>
    <w:rsid w:val="6FAC401C"/>
    <w:rsid w:val="6FAF86B4"/>
    <w:rsid w:val="6FB080F9"/>
    <w:rsid w:val="6FB18616"/>
    <w:rsid w:val="6FB70D18"/>
    <w:rsid w:val="6FC10EA4"/>
    <w:rsid w:val="6FC21EBE"/>
    <w:rsid w:val="6FC4AEFF"/>
    <w:rsid w:val="6FC5F4B3"/>
    <w:rsid w:val="6FC80939"/>
    <w:rsid w:val="6FCB53F5"/>
    <w:rsid w:val="6FCC2F0B"/>
    <w:rsid w:val="6FCD7AA9"/>
    <w:rsid w:val="6FD0AADC"/>
    <w:rsid w:val="6FD6FD84"/>
    <w:rsid w:val="6FE7886D"/>
    <w:rsid w:val="6FEDE885"/>
    <w:rsid w:val="6FEE507E"/>
    <w:rsid w:val="6FEF2478"/>
    <w:rsid w:val="6FF19E09"/>
    <w:rsid w:val="6FF28803"/>
    <w:rsid w:val="6FF3E114"/>
    <w:rsid w:val="6FF94842"/>
    <w:rsid w:val="6FFAA933"/>
    <w:rsid w:val="6FFCBB4D"/>
    <w:rsid w:val="6FFD135F"/>
    <w:rsid w:val="70002C24"/>
    <w:rsid w:val="70059788"/>
    <w:rsid w:val="700730CA"/>
    <w:rsid w:val="70081140"/>
    <w:rsid w:val="70157D54"/>
    <w:rsid w:val="7016841B"/>
    <w:rsid w:val="701B0EE0"/>
    <w:rsid w:val="701B3185"/>
    <w:rsid w:val="701D5881"/>
    <w:rsid w:val="701DC51B"/>
    <w:rsid w:val="701F072D"/>
    <w:rsid w:val="70223B25"/>
    <w:rsid w:val="7024DE8E"/>
    <w:rsid w:val="7026D068"/>
    <w:rsid w:val="7026D8D6"/>
    <w:rsid w:val="70282A7A"/>
    <w:rsid w:val="70295E4E"/>
    <w:rsid w:val="7029D877"/>
    <w:rsid w:val="702B54A2"/>
    <w:rsid w:val="7031DE8C"/>
    <w:rsid w:val="7035DFA4"/>
    <w:rsid w:val="7036364D"/>
    <w:rsid w:val="703DEACF"/>
    <w:rsid w:val="7040184B"/>
    <w:rsid w:val="70465FDF"/>
    <w:rsid w:val="70481914"/>
    <w:rsid w:val="7049B870"/>
    <w:rsid w:val="704B1DA7"/>
    <w:rsid w:val="704BF4F3"/>
    <w:rsid w:val="704D364F"/>
    <w:rsid w:val="7053B54A"/>
    <w:rsid w:val="7058E31C"/>
    <w:rsid w:val="7059CE76"/>
    <w:rsid w:val="705EF6FC"/>
    <w:rsid w:val="7062577F"/>
    <w:rsid w:val="7065A389"/>
    <w:rsid w:val="70660AC0"/>
    <w:rsid w:val="706BFB72"/>
    <w:rsid w:val="707415F8"/>
    <w:rsid w:val="7077D871"/>
    <w:rsid w:val="7078B432"/>
    <w:rsid w:val="707A9474"/>
    <w:rsid w:val="707EF359"/>
    <w:rsid w:val="708035A0"/>
    <w:rsid w:val="70821070"/>
    <w:rsid w:val="70842213"/>
    <w:rsid w:val="7089D21F"/>
    <w:rsid w:val="708C46BF"/>
    <w:rsid w:val="708E2F11"/>
    <w:rsid w:val="70913687"/>
    <w:rsid w:val="7092AA9C"/>
    <w:rsid w:val="7092C744"/>
    <w:rsid w:val="70944495"/>
    <w:rsid w:val="70947314"/>
    <w:rsid w:val="709B1C14"/>
    <w:rsid w:val="70A10ABF"/>
    <w:rsid w:val="70A1E4DE"/>
    <w:rsid w:val="70A390A5"/>
    <w:rsid w:val="70AC2AA1"/>
    <w:rsid w:val="70AD6EFE"/>
    <w:rsid w:val="70B284F1"/>
    <w:rsid w:val="70B4991B"/>
    <w:rsid w:val="70B5934D"/>
    <w:rsid w:val="70B9E7BF"/>
    <w:rsid w:val="70BC39D8"/>
    <w:rsid w:val="70BD2A19"/>
    <w:rsid w:val="70BE2F35"/>
    <w:rsid w:val="70BFCB51"/>
    <w:rsid w:val="70C43BB7"/>
    <w:rsid w:val="70C5ED31"/>
    <w:rsid w:val="70C90160"/>
    <w:rsid w:val="70CA5AEA"/>
    <w:rsid w:val="70CAEB08"/>
    <w:rsid w:val="70CC021C"/>
    <w:rsid w:val="70CC2246"/>
    <w:rsid w:val="70D25BA5"/>
    <w:rsid w:val="70D55C2C"/>
    <w:rsid w:val="70DA717E"/>
    <w:rsid w:val="70DB57D9"/>
    <w:rsid w:val="70DB5F68"/>
    <w:rsid w:val="70DCA61C"/>
    <w:rsid w:val="70DF748D"/>
    <w:rsid w:val="70E71E56"/>
    <w:rsid w:val="70E8742E"/>
    <w:rsid w:val="70EE33FD"/>
    <w:rsid w:val="70F3085A"/>
    <w:rsid w:val="70F4D70E"/>
    <w:rsid w:val="70F9C826"/>
    <w:rsid w:val="70FC4889"/>
    <w:rsid w:val="70FEB6B8"/>
    <w:rsid w:val="7103DE2B"/>
    <w:rsid w:val="7104329E"/>
    <w:rsid w:val="71047772"/>
    <w:rsid w:val="710764EF"/>
    <w:rsid w:val="710EC2D6"/>
    <w:rsid w:val="711D7D88"/>
    <w:rsid w:val="711FA8E5"/>
    <w:rsid w:val="711FE876"/>
    <w:rsid w:val="71234882"/>
    <w:rsid w:val="71250582"/>
    <w:rsid w:val="7129A79F"/>
    <w:rsid w:val="712E1031"/>
    <w:rsid w:val="712F34F3"/>
    <w:rsid w:val="71350854"/>
    <w:rsid w:val="713DCEDF"/>
    <w:rsid w:val="71408793"/>
    <w:rsid w:val="7141161D"/>
    <w:rsid w:val="7142174B"/>
    <w:rsid w:val="7144431A"/>
    <w:rsid w:val="71466F72"/>
    <w:rsid w:val="71471FAC"/>
    <w:rsid w:val="71485E72"/>
    <w:rsid w:val="714AADAE"/>
    <w:rsid w:val="714BF310"/>
    <w:rsid w:val="714D47D6"/>
    <w:rsid w:val="7156F656"/>
    <w:rsid w:val="715AD590"/>
    <w:rsid w:val="715B99D6"/>
    <w:rsid w:val="71603DB3"/>
    <w:rsid w:val="716082F0"/>
    <w:rsid w:val="7160A3ED"/>
    <w:rsid w:val="716246D2"/>
    <w:rsid w:val="716A4A3A"/>
    <w:rsid w:val="716CCF12"/>
    <w:rsid w:val="716CF712"/>
    <w:rsid w:val="716DA69D"/>
    <w:rsid w:val="7170922B"/>
    <w:rsid w:val="7170A78A"/>
    <w:rsid w:val="71720A0C"/>
    <w:rsid w:val="717482E5"/>
    <w:rsid w:val="71753B44"/>
    <w:rsid w:val="71787B13"/>
    <w:rsid w:val="717B0073"/>
    <w:rsid w:val="717CA8D4"/>
    <w:rsid w:val="7180C59A"/>
    <w:rsid w:val="7183EF04"/>
    <w:rsid w:val="718832D3"/>
    <w:rsid w:val="718D263A"/>
    <w:rsid w:val="718E5A51"/>
    <w:rsid w:val="719235AC"/>
    <w:rsid w:val="71930F80"/>
    <w:rsid w:val="71988B3E"/>
    <w:rsid w:val="71993854"/>
    <w:rsid w:val="71A144A6"/>
    <w:rsid w:val="71A6E19B"/>
    <w:rsid w:val="71A94DF0"/>
    <w:rsid w:val="71AE6894"/>
    <w:rsid w:val="71B0C40F"/>
    <w:rsid w:val="71B2F929"/>
    <w:rsid w:val="71BAB311"/>
    <w:rsid w:val="71BCA62D"/>
    <w:rsid w:val="71BCA63B"/>
    <w:rsid w:val="71BCF4F4"/>
    <w:rsid w:val="71C42F18"/>
    <w:rsid w:val="71CA792B"/>
    <w:rsid w:val="71D18AE7"/>
    <w:rsid w:val="71D310E0"/>
    <w:rsid w:val="71DCE760"/>
    <w:rsid w:val="71DE1D74"/>
    <w:rsid w:val="71E072C7"/>
    <w:rsid w:val="71E112DC"/>
    <w:rsid w:val="71E17BE7"/>
    <w:rsid w:val="71E2A6C1"/>
    <w:rsid w:val="71E36BF7"/>
    <w:rsid w:val="71E694C2"/>
    <w:rsid w:val="71E79E5D"/>
    <w:rsid w:val="71E8EEAC"/>
    <w:rsid w:val="71E9B56F"/>
    <w:rsid w:val="71EA4058"/>
    <w:rsid w:val="71EC508E"/>
    <w:rsid w:val="71EE77B3"/>
    <w:rsid w:val="71EE94D7"/>
    <w:rsid w:val="71EFA2F1"/>
    <w:rsid w:val="71F4D204"/>
    <w:rsid w:val="71F6A637"/>
    <w:rsid w:val="71F73E39"/>
    <w:rsid w:val="71F8BD46"/>
    <w:rsid w:val="71F9668A"/>
    <w:rsid w:val="71FD7686"/>
    <w:rsid w:val="71FE56DC"/>
    <w:rsid w:val="7203494E"/>
    <w:rsid w:val="72054C72"/>
    <w:rsid w:val="72056B3A"/>
    <w:rsid w:val="72058F45"/>
    <w:rsid w:val="72077789"/>
    <w:rsid w:val="7207F3EA"/>
    <w:rsid w:val="720839F7"/>
    <w:rsid w:val="7209DC43"/>
    <w:rsid w:val="72116F67"/>
    <w:rsid w:val="7218F3C5"/>
    <w:rsid w:val="721999A7"/>
    <w:rsid w:val="721A6F9C"/>
    <w:rsid w:val="721BCABD"/>
    <w:rsid w:val="7220918F"/>
    <w:rsid w:val="722673DF"/>
    <w:rsid w:val="722A3852"/>
    <w:rsid w:val="722F7072"/>
    <w:rsid w:val="723674AF"/>
    <w:rsid w:val="7236FB43"/>
    <w:rsid w:val="7238038A"/>
    <w:rsid w:val="7238DC1D"/>
    <w:rsid w:val="723EE214"/>
    <w:rsid w:val="7240360B"/>
    <w:rsid w:val="724114A8"/>
    <w:rsid w:val="7242FEE7"/>
    <w:rsid w:val="7244D6A6"/>
    <w:rsid w:val="7244F74F"/>
    <w:rsid w:val="7249BD15"/>
    <w:rsid w:val="724D2A5A"/>
    <w:rsid w:val="725CFE6B"/>
    <w:rsid w:val="725F4E6E"/>
    <w:rsid w:val="7262D930"/>
    <w:rsid w:val="7263D8A3"/>
    <w:rsid w:val="7263EC65"/>
    <w:rsid w:val="727323BA"/>
    <w:rsid w:val="7278062F"/>
    <w:rsid w:val="727A0FE0"/>
    <w:rsid w:val="7282CEA8"/>
    <w:rsid w:val="72843192"/>
    <w:rsid w:val="72896074"/>
    <w:rsid w:val="728E3179"/>
    <w:rsid w:val="728FA51F"/>
    <w:rsid w:val="7292E2F7"/>
    <w:rsid w:val="72943EFF"/>
    <w:rsid w:val="72976A96"/>
    <w:rsid w:val="729C59CB"/>
    <w:rsid w:val="72A8555C"/>
    <w:rsid w:val="72A96C34"/>
    <w:rsid w:val="72AD4D90"/>
    <w:rsid w:val="72AEBEDD"/>
    <w:rsid w:val="72B082DE"/>
    <w:rsid w:val="72B652DD"/>
    <w:rsid w:val="72B69EC2"/>
    <w:rsid w:val="72B9BE07"/>
    <w:rsid w:val="72C01A28"/>
    <w:rsid w:val="72C0E373"/>
    <w:rsid w:val="72C13E14"/>
    <w:rsid w:val="72CEC40B"/>
    <w:rsid w:val="72CF1F81"/>
    <w:rsid w:val="72D5CE20"/>
    <w:rsid w:val="72D813D2"/>
    <w:rsid w:val="72DB9506"/>
    <w:rsid w:val="72DBC1D9"/>
    <w:rsid w:val="72DBFE48"/>
    <w:rsid w:val="72DC1B50"/>
    <w:rsid w:val="72DDF170"/>
    <w:rsid w:val="72DE0A3A"/>
    <w:rsid w:val="72E26727"/>
    <w:rsid w:val="72E51FBD"/>
    <w:rsid w:val="72EC9295"/>
    <w:rsid w:val="72EE6A17"/>
    <w:rsid w:val="72F155FC"/>
    <w:rsid w:val="72F3FDF9"/>
    <w:rsid w:val="72F5A9F3"/>
    <w:rsid w:val="72F75E09"/>
    <w:rsid w:val="73002D23"/>
    <w:rsid w:val="730716BD"/>
    <w:rsid w:val="7307E2B5"/>
    <w:rsid w:val="730A8423"/>
    <w:rsid w:val="73115B37"/>
    <w:rsid w:val="7314ECB6"/>
    <w:rsid w:val="73181227"/>
    <w:rsid w:val="7318D7AC"/>
    <w:rsid w:val="731A7D76"/>
    <w:rsid w:val="73219C95"/>
    <w:rsid w:val="732861A5"/>
    <w:rsid w:val="732A3CDC"/>
    <w:rsid w:val="732E4A38"/>
    <w:rsid w:val="73311370"/>
    <w:rsid w:val="73317527"/>
    <w:rsid w:val="7333796A"/>
    <w:rsid w:val="7334E422"/>
    <w:rsid w:val="7337E68F"/>
    <w:rsid w:val="7338383C"/>
    <w:rsid w:val="733B16D8"/>
    <w:rsid w:val="733B9CF3"/>
    <w:rsid w:val="733E13BC"/>
    <w:rsid w:val="733E2B9B"/>
    <w:rsid w:val="7347CA69"/>
    <w:rsid w:val="734C4047"/>
    <w:rsid w:val="734FEF28"/>
    <w:rsid w:val="7350BC12"/>
    <w:rsid w:val="7353DEA0"/>
    <w:rsid w:val="7355DA32"/>
    <w:rsid w:val="7356D2EF"/>
    <w:rsid w:val="735CA331"/>
    <w:rsid w:val="7360A9FA"/>
    <w:rsid w:val="7365AA9A"/>
    <w:rsid w:val="7367D579"/>
    <w:rsid w:val="736CE906"/>
    <w:rsid w:val="736D06F8"/>
    <w:rsid w:val="736E3BDB"/>
    <w:rsid w:val="7375D51B"/>
    <w:rsid w:val="737B4159"/>
    <w:rsid w:val="737BE7CB"/>
    <w:rsid w:val="737E67DF"/>
    <w:rsid w:val="73811A83"/>
    <w:rsid w:val="73831261"/>
    <w:rsid w:val="73837DB1"/>
    <w:rsid w:val="73859F85"/>
    <w:rsid w:val="73878AD6"/>
    <w:rsid w:val="7388F88D"/>
    <w:rsid w:val="7389EABF"/>
    <w:rsid w:val="738FFD10"/>
    <w:rsid w:val="73910410"/>
    <w:rsid w:val="7392BFFA"/>
    <w:rsid w:val="7398CD88"/>
    <w:rsid w:val="73991C6F"/>
    <w:rsid w:val="739A298C"/>
    <w:rsid w:val="739B8F88"/>
    <w:rsid w:val="73A1654A"/>
    <w:rsid w:val="73A2A02E"/>
    <w:rsid w:val="73A86482"/>
    <w:rsid w:val="73A9C9D8"/>
    <w:rsid w:val="73A9DE5A"/>
    <w:rsid w:val="73AB94D1"/>
    <w:rsid w:val="73AC72FE"/>
    <w:rsid w:val="73B0FD7C"/>
    <w:rsid w:val="73B22DCD"/>
    <w:rsid w:val="73B3FD52"/>
    <w:rsid w:val="73B712C7"/>
    <w:rsid w:val="73B9D9D9"/>
    <w:rsid w:val="73BD0061"/>
    <w:rsid w:val="73BD4F4D"/>
    <w:rsid w:val="73C05BC4"/>
    <w:rsid w:val="73C49708"/>
    <w:rsid w:val="73C7448F"/>
    <w:rsid w:val="73CD3F07"/>
    <w:rsid w:val="73D341E5"/>
    <w:rsid w:val="73D3BCD4"/>
    <w:rsid w:val="73D4328C"/>
    <w:rsid w:val="73D47947"/>
    <w:rsid w:val="73D62A7A"/>
    <w:rsid w:val="73D67931"/>
    <w:rsid w:val="73D9132C"/>
    <w:rsid w:val="73E164BC"/>
    <w:rsid w:val="73E59548"/>
    <w:rsid w:val="73E68606"/>
    <w:rsid w:val="73EB409C"/>
    <w:rsid w:val="73EC1EDF"/>
    <w:rsid w:val="73ECEF5B"/>
    <w:rsid w:val="73ED6B9C"/>
    <w:rsid w:val="73EE8050"/>
    <w:rsid w:val="73EEC3DF"/>
    <w:rsid w:val="73F0A13B"/>
    <w:rsid w:val="73F42961"/>
    <w:rsid w:val="73F4F563"/>
    <w:rsid w:val="73F76C6F"/>
    <w:rsid w:val="73FAC0F6"/>
    <w:rsid w:val="73FE3319"/>
    <w:rsid w:val="740122D5"/>
    <w:rsid w:val="7402D81B"/>
    <w:rsid w:val="7408F005"/>
    <w:rsid w:val="740918BE"/>
    <w:rsid w:val="740F0984"/>
    <w:rsid w:val="74125052"/>
    <w:rsid w:val="7414F935"/>
    <w:rsid w:val="7415D505"/>
    <w:rsid w:val="7415F50A"/>
    <w:rsid w:val="7417FC97"/>
    <w:rsid w:val="741817DB"/>
    <w:rsid w:val="7419B089"/>
    <w:rsid w:val="741A1E64"/>
    <w:rsid w:val="741F64F5"/>
    <w:rsid w:val="74202245"/>
    <w:rsid w:val="7420CEBA"/>
    <w:rsid w:val="742145CF"/>
    <w:rsid w:val="74279BAD"/>
    <w:rsid w:val="74284788"/>
    <w:rsid w:val="7428B87F"/>
    <w:rsid w:val="742C2B56"/>
    <w:rsid w:val="74392FE3"/>
    <w:rsid w:val="7445B7D1"/>
    <w:rsid w:val="7447BF44"/>
    <w:rsid w:val="74484A58"/>
    <w:rsid w:val="744CE502"/>
    <w:rsid w:val="744CF0DC"/>
    <w:rsid w:val="744FD532"/>
    <w:rsid w:val="74506C3A"/>
    <w:rsid w:val="74573D18"/>
    <w:rsid w:val="7458552C"/>
    <w:rsid w:val="7460B52A"/>
    <w:rsid w:val="74624BBD"/>
    <w:rsid w:val="74658B8D"/>
    <w:rsid w:val="746B1052"/>
    <w:rsid w:val="74765200"/>
    <w:rsid w:val="747689A6"/>
    <w:rsid w:val="747CE05F"/>
    <w:rsid w:val="7484DD8B"/>
    <w:rsid w:val="7484DDEF"/>
    <w:rsid w:val="74881D96"/>
    <w:rsid w:val="748B57DF"/>
    <w:rsid w:val="748FFB84"/>
    <w:rsid w:val="74917DF8"/>
    <w:rsid w:val="749D8054"/>
    <w:rsid w:val="74A23E5F"/>
    <w:rsid w:val="74A70F05"/>
    <w:rsid w:val="74A7F581"/>
    <w:rsid w:val="74A916BF"/>
    <w:rsid w:val="74AC8496"/>
    <w:rsid w:val="74AE4952"/>
    <w:rsid w:val="74B346CE"/>
    <w:rsid w:val="74B5E5AF"/>
    <w:rsid w:val="74B71CED"/>
    <w:rsid w:val="74BC5C64"/>
    <w:rsid w:val="74C12E4F"/>
    <w:rsid w:val="74C14D80"/>
    <w:rsid w:val="74C284DC"/>
    <w:rsid w:val="74C351BF"/>
    <w:rsid w:val="74CCECF8"/>
    <w:rsid w:val="74CEF207"/>
    <w:rsid w:val="74D0982A"/>
    <w:rsid w:val="74D1A927"/>
    <w:rsid w:val="74D26EFB"/>
    <w:rsid w:val="74D69CC4"/>
    <w:rsid w:val="74D97855"/>
    <w:rsid w:val="74DB5CE3"/>
    <w:rsid w:val="74DC5186"/>
    <w:rsid w:val="74DD4B20"/>
    <w:rsid w:val="74DEBBB9"/>
    <w:rsid w:val="74E2CC26"/>
    <w:rsid w:val="74E373FD"/>
    <w:rsid w:val="74E4DD7E"/>
    <w:rsid w:val="74E5E969"/>
    <w:rsid w:val="74E62828"/>
    <w:rsid w:val="74E7A855"/>
    <w:rsid w:val="74E7E8EA"/>
    <w:rsid w:val="74E8C541"/>
    <w:rsid w:val="74EAC9A6"/>
    <w:rsid w:val="74EDBE08"/>
    <w:rsid w:val="74FA9F29"/>
    <w:rsid w:val="74FDA85F"/>
    <w:rsid w:val="7504A719"/>
    <w:rsid w:val="7505CE76"/>
    <w:rsid w:val="7508F948"/>
    <w:rsid w:val="750DA51F"/>
    <w:rsid w:val="75136258"/>
    <w:rsid w:val="7518640B"/>
    <w:rsid w:val="7518FE5D"/>
    <w:rsid w:val="751EA0CE"/>
    <w:rsid w:val="751F92EB"/>
    <w:rsid w:val="752539B5"/>
    <w:rsid w:val="7530A0EC"/>
    <w:rsid w:val="75312B27"/>
    <w:rsid w:val="75332778"/>
    <w:rsid w:val="75344FA6"/>
    <w:rsid w:val="7538AE6A"/>
    <w:rsid w:val="75428DCB"/>
    <w:rsid w:val="7542E368"/>
    <w:rsid w:val="75441816"/>
    <w:rsid w:val="754627B5"/>
    <w:rsid w:val="754EBB5F"/>
    <w:rsid w:val="7550D55C"/>
    <w:rsid w:val="7551854A"/>
    <w:rsid w:val="75542F61"/>
    <w:rsid w:val="75547C05"/>
    <w:rsid w:val="75550C7F"/>
    <w:rsid w:val="75566FD5"/>
    <w:rsid w:val="755EE8BE"/>
    <w:rsid w:val="75609BA8"/>
    <w:rsid w:val="7561E325"/>
    <w:rsid w:val="7563CE07"/>
    <w:rsid w:val="7568EEA7"/>
    <w:rsid w:val="756EDDA1"/>
    <w:rsid w:val="7570A9B6"/>
    <w:rsid w:val="7573AA42"/>
    <w:rsid w:val="7575A4C7"/>
    <w:rsid w:val="7578350F"/>
    <w:rsid w:val="757C2E57"/>
    <w:rsid w:val="757F3647"/>
    <w:rsid w:val="7580BBE3"/>
    <w:rsid w:val="7582A425"/>
    <w:rsid w:val="758A6A00"/>
    <w:rsid w:val="758DDDDF"/>
    <w:rsid w:val="759350D9"/>
    <w:rsid w:val="7595F887"/>
    <w:rsid w:val="7597018D"/>
    <w:rsid w:val="759770EC"/>
    <w:rsid w:val="7599B21E"/>
    <w:rsid w:val="759EEFC1"/>
    <w:rsid w:val="75A04B4F"/>
    <w:rsid w:val="75A412C0"/>
    <w:rsid w:val="75A4DCEF"/>
    <w:rsid w:val="75A6BC1F"/>
    <w:rsid w:val="75A7A30C"/>
    <w:rsid w:val="75A923B1"/>
    <w:rsid w:val="75AD0978"/>
    <w:rsid w:val="75ADB64F"/>
    <w:rsid w:val="75ADBAD5"/>
    <w:rsid w:val="75B23410"/>
    <w:rsid w:val="75B2B4DE"/>
    <w:rsid w:val="75BBDDE2"/>
    <w:rsid w:val="75BE38E1"/>
    <w:rsid w:val="75C59B05"/>
    <w:rsid w:val="75C6099B"/>
    <w:rsid w:val="75C6125B"/>
    <w:rsid w:val="75C8F4B2"/>
    <w:rsid w:val="75CD0FAB"/>
    <w:rsid w:val="75CD1FF3"/>
    <w:rsid w:val="75CDBF3D"/>
    <w:rsid w:val="75CEAF29"/>
    <w:rsid w:val="75CFA8BD"/>
    <w:rsid w:val="75D17D6F"/>
    <w:rsid w:val="75D345D9"/>
    <w:rsid w:val="75D356B3"/>
    <w:rsid w:val="75D3EBB9"/>
    <w:rsid w:val="75D3F400"/>
    <w:rsid w:val="75D6F1BC"/>
    <w:rsid w:val="75D7A656"/>
    <w:rsid w:val="75D7DCB0"/>
    <w:rsid w:val="75D8E3ED"/>
    <w:rsid w:val="75DA4EA9"/>
    <w:rsid w:val="75DB0444"/>
    <w:rsid w:val="75DE72BA"/>
    <w:rsid w:val="75DF9EF4"/>
    <w:rsid w:val="75E597FC"/>
    <w:rsid w:val="75E5BD7D"/>
    <w:rsid w:val="75E815E0"/>
    <w:rsid w:val="75EA1A5A"/>
    <w:rsid w:val="75F59F00"/>
    <w:rsid w:val="75F8B213"/>
    <w:rsid w:val="7601E58C"/>
    <w:rsid w:val="76031123"/>
    <w:rsid w:val="7607596E"/>
    <w:rsid w:val="76077698"/>
    <w:rsid w:val="760B4CFD"/>
    <w:rsid w:val="760CE1E5"/>
    <w:rsid w:val="760ECC0C"/>
    <w:rsid w:val="760FE001"/>
    <w:rsid w:val="761379E8"/>
    <w:rsid w:val="7614D6C4"/>
    <w:rsid w:val="761B2516"/>
    <w:rsid w:val="761BB028"/>
    <w:rsid w:val="761BF72B"/>
    <w:rsid w:val="761CF458"/>
    <w:rsid w:val="761F07FF"/>
    <w:rsid w:val="7620BE8B"/>
    <w:rsid w:val="762515E5"/>
    <w:rsid w:val="7627F12C"/>
    <w:rsid w:val="762E29E1"/>
    <w:rsid w:val="762E948D"/>
    <w:rsid w:val="762FA96D"/>
    <w:rsid w:val="763341F5"/>
    <w:rsid w:val="7635FF26"/>
    <w:rsid w:val="76360DCA"/>
    <w:rsid w:val="7637B06B"/>
    <w:rsid w:val="763A0234"/>
    <w:rsid w:val="763CC419"/>
    <w:rsid w:val="763FC07C"/>
    <w:rsid w:val="7640D1BE"/>
    <w:rsid w:val="76412128"/>
    <w:rsid w:val="7643D0EB"/>
    <w:rsid w:val="76464DAB"/>
    <w:rsid w:val="76498E3F"/>
    <w:rsid w:val="764FD2A3"/>
    <w:rsid w:val="7652DC70"/>
    <w:rsid w:val="76598608"/>
    <w:rsid w:val="765A7E8A"/>
    <w:rsid w:val="765A9898"/>
    <w:rsid w:val="76633258"/>
    <w:rsid w:val="76652F67"/>
    <w:rsid w:val="766AC25E"/>
    <w:rsid w:val="766ADF14"/>
    <w:rsid w:val="766C5118"/>
    <w:rsid w:val="766C8FD4"/>
    <w:rsid w:val="766EC3F4"/>
    <w:rsid w:val="767523FC"/>
    <w:rsid w:val="76760518"/>
    <w:rsid w:val="767B682B"/>
    <w:rsid w:val="767CFDEB"/>
    <w:rsid w:val="768249C1"/>
    <w:rsid w:val="76856743"/>
    <w:rsid w:val="76858DD8"/>
    <w:rsid w:val="76931075"/>
    <w:rsid w:val="76979EA8"/>
    <w:rsid w:val="7698F395"/>
    <w:rsid w:val="76993312"/>
    <w:rsid w:val="76998EB2"/>
    <w:rsid w:val="7699B8DE"/>
    <w:rsid w:val="769D90A6"/>
    <w:rsid w:val="769E5195"/>
    <w:rsid w:val="769F4929"/>
    <w:rsid w:val="76A0055C"/>
    <w:rsid w:val="76A7463A"/>
    <w:rsid w:val="76A95442"/>
    <w:rsid w:val="76AD0AC0"/>
    <w:rsid w:val="76B0FABD"/>
    <w:rsid w:val="76B465EC"/>
    <w:rsid w:val="76B4EC48"/>
    <w:rsid w:val="76B61AD4"/>
    <w:rsid w:val="76B72395"/>
    <w:rsid w:val="76B97A33"/>
    <w:rsid w:val="76BCF92D"/>
    <w:rsid w:val="76C1AB41"/>
    <w:rsid w:val="76C209AE"/>
    <w:rsid w:val="76C4C703"/>
    <w:rsid w:val="76C52341"/>
    <w:rsid w:val="76C90BEF"/>
    <w:rsid w:val="76C958CF"/>
    <w:rsid w:val="76CA1233"/>
    <w:rsid w:val="76CE43DD"/>
    <w:rsid w:val="76D34BCF"/>
    <w:rsid w:val="76D74C71"/>
    <w:rsid w:val="76D8622F"/>
    <w:rsid w:val="76DDB0ED"/>
    <w:rsid w:val="76E110EF"/>
    <w:rsid w:val="76E1BF0B"/>
    <w:rsid w:val="76E76EAC"/>
    <w:rsid w:val="76E905EA"/>
    <w:rsid w:val="76EF574D"/>
    <w:rsid w:val="76F2EE25"/>
    <w:rsid w:val="76F57B7C"/>
    <w:rsid w:val="76F87310"/>
    <w:rsid w:val="770B497B"/>
    <w:rsid w:val="770E97A5"/>
    <w:rsid w:val="77116024"/>
    <w:rsid w:val="77170B1A"/>
    <w:rsid w:val="7719D096"/>
    <w:rsid w:val="771A6AAA"/>
    <w:rsid w:val="771A9C2A"/>
    <w:rsid w:val="771AB681"/>
    <w:rsid w:val="771EAE58"/>
    <w:rsid w:val="771F5DB0"/>
    <w:rsid w:val="771FA9A0"/>
    <w:rsid w:val="77257482"/>
    <w:rsid w:val="77272222"/>
    <w:rsid w:val="7728C654"/>
    <w:rsid w:val="772EC978"/>
    <w:rsid w:val="77319E1D"/>
    <w:rsid w:val="7732E197"/>
    <w:rsid w:val="7733D94B"/>
    <w:rsid w:val="77389110"/>
    <w:rsid w:val="7738CC43"/>
    <w:rsid w:val="773B3457"/>
    <w:rsid w:val="773D5CC4"/>
    <w:rsid w:val="77415AF3"/>
    <w:rsid w:val="774316E5"/>
    <w:rsid w:val="77468FD9"/>
    <w:rsid w:val="774B5260"/>
    <w:rsid w:val="774C6809"/>
    <w:rsid w:val="774C876E"/>
    <w:rsid w:val="774CA0B4"/>
    <w:rsid w:val="774E49B6"/>
    <w:rsid w:val="774F6428"/>
    <w:rsid w:val="77501050"/>
    <w:rsid w:val="775047C7"/>
    <w:rsid w:val="775550C0"/>
    <w:rsid w:val="775B6565"/>
    <w:rsid w:val="775DBB4F"/>
    <w:rsid w:val="775DEB49"/>
    <w:rsid w:val="7760DFF5"/>
    <w:rsid w:val="7761875B"/>
    <w:rsid w:val="776259E3"/>
    <w:rsid w:val="7765BB67"/>
    <w:rsid w:val="77663B2D"/>
    <w:rsid w:val="7767B931"/>
    <w:rsid w:val="7769D437"/>
    <w:rsid w:val="776D6FF1"/>
    <w:rsid w:val="7771C2B8"/>
    <w:rsid w:val="7776BCBA"/>
    <w:rsid w:val="7778A146"/>
    <w:rsid w:val="777B2E30"/>
    <w:rsid w:val="777CF0C8"/>
    <w:rsid w:val="778252AB"/>
    <w:rsid w:val="778AF772"/>
    <w:rsid w:val="778BC50B"/>
    <w:rsid w:val="778DB166"/>
    <w:rsid w:val="7792BBCA"/>
    <w:rsid w:val="77935811"/>
    <w:rsid w:val="7794FF89"/>
    <w:rsid w:val="779A04E7"/>
    <w:rsid w:val="779D3E90"/>
    <w:rsid w:val="779DD8E2"/>
    <w:rsid w:val="779FFDAE"/>
    <w:rsid w:val="77A15804"/>
    <w:rsid w:val="77A812DE"/>
    <w:rsid w:val="77A97D1A"/>
    <w:rsid w:val="77AB9A7B"/>
    <w:rsid w:val="77AC9E4F"/>
    <w:rsid w:val="77AD367C"/>
    <w:rsid w:val="77B1E135"/>
    <w:rsid w:val="77B69152"/>
    <w:rsid w:val="77B8D2E1"/>
    <w:rsid w:val="77BA6BA4"/>
    <w:rsid w:val="77BB2725"/>
    <w:rsid w:val="77BFEFDE"/>
    <w:rsid w:val="77C087BC"/>
    <w:rsid w:val="77C66874"/>
    <w:rsid w:val="77C727FD"/>
    <w:rsid w:val="77D06180"/>
    <w:rsid w:val="77D0912B"/>
    <w:rsid w:val="77D1F317"/>
    <w:rsid w:val="77D1FFAD"/>
    <w:rsid w:val="77D65871"/>
    <w:rsid w:val="77D92480"/>
    <w:rsid w:val="77D9E2C5"/>
    <w:rsid w:val="77DB9A29"/>
    <w:rsid w:val="77E0C837"/>
    <w:rsid w:val="77E29CAF"/>
    <w:rsid w:val="77E41B47"/>
    <w:rsid w:val="77E46A2F"/>
    <w:rsid w:val="77E843BD"/>
    <w:rsid w:val="77EA0219"/>
    <w:rsid w:val="77EBD3C6"/>
    <w:rsid w:val="77EDFBF9"/>
    <w:rsid w:val="77F084F6"/>
    <w:rsid w:val="77F0F00E"/>
    <w:rsid w:val="77F5D0B9"/>
    <w:rsid w:val="77F61D49"/>
    <w:rsid w:val="78024033"/>
    <w:rsid w:val="78054FC1"/>
    <w:rsid w:val="78074118"/>
    <w:rsid w:val="780772F1"/>
    <w:rsid w:val="7808D5AF"/>
    <w:rsid w:val="78092FC6"/>
    <w:rsid w:val="7809AA7C"/>
    <w:rsid w:val="780F0FAB"/>
    <w:rsid w:val="7813D3C8"/>
    <w:rsid w:val="781D2CF4"/>
    <w:rsid w:val="781E2F90"/>
    <w:rsid w:val="7822BB56"/>
    <w:rsid w:val="7822C107"/>
    <w:rsid w:val="7822CE6C"/>
    <w:rsid w:val="7824719B"/>
    <w:rsid w:val="7826FBDD"/>
    <w:rsid w:val="782966F4"/>
    <w:rsid w:val="783149A8"/>
    <w:rsid w:val="78342F7A"/>
    <w:rsid w:val="783704B7"/>
    <w:rsid w:val="7837D36D"/>
    <w:rsid w:val="783957F6"/>
    <w:rsid w:val="7839F9BC"/>
    <w:rsid w:val="783AC814"/>
    <w:rsid w:val="783DA2D8"/>
    <w:rsid w:val="783EC2AE"/>
    <w:rsid w:val="78421B66"/>
    <w:rsid w:val="78448AD7"/>
    <w:rsid w:val="784BCE55"/>
    <w:rsid w:val="784F8F0D"/>
    <w:rsid w:val="784FB531"/>
    <w:rsid w:val="7856D214"/>
    <w:rsid w:val="7857138C"/>
    <w:rsid w:val="785B7035"/>
    <w:rsid w:val="785C95D3"/>
    <w:rsid w:val="785DBD4A"/>
    <w:rsid w:val="785DE7CC"/>
    <w:rsid w:val="785F97DA"/>
    <w:rsid w:val="786283DF"/>
    <w:rsid w:val="78645C78"/>
    <w:rsid w:val="7864DA1D"/>
    <w:rsid w:val="7866BD67"/>
    <w:rsid w:val="786A0FAB"/>
    <w:rsid w:val="786E7F92"/>
    <w:rsid w:val="78718FF1"/>
    <w:rsid w:val="78758C7A"/>
    <w:rsid w:val="787B11C3"/>
    <w:rsid w:val="78856E3F"/>
    <w:rsid w:val="78867D2E"/>
    <w:rsid w:val="7886A9B7"/>
    <w:rsid w:val="7886E2E2"/>
    <w:rsid w:val="788C3A39"/>
    <w:rsid w:val="78902FF6"/>
    <w:rsid w:val="7890D658"/>
    <w:rsid w:val="7895FF1F"/>
    <w:rsid w:val="78974BDF"/>
    <w:rsid w:val="789B38F1"/>
    <w:rsid w:val="789EAC66"/>
    <w:rsid w:val="78A1246B"/>
    <w:rsid w:val="78A5672E"/>
    <w:rsid w:val="78B60481"/>
    <w:rsid w:val="78B67971"/>
    <w:rsid w:val="78B8CB5E"/>
    <w:rsid w:val="78BA638D"/>
    <w:rsid w:val="78BE5C91"/>
    <w:rsid w:val="78BF7AA4"/>
    <w:rsid w:val="78C7B3CF"/>
    <w:rsid w:val="78CD86F6"/>
    <w:rsid w:val="78CF3C37"/>
    <w:rsid w:val="78D1FB50"/>
    <w:rsid w:val="78E61CE7"/>
    <w:rsid w:val="78E8DDC5"/>
    <w:rsid w:val="78EC8BD1"/>
    <w:rsid w:val="78F166C7"/>
    <w:rsid w:val="78F3B030"/>
    <w:rsid w:val="78FD7BE3"/>
    <w:rsid w:val="78FEF6F1"/>
    <w:rsid w:val="79040B3E"/>
    <w:rsid w:val="790852FD"/>
    <w:rsid w:val="790B778D"/>
    <w:rsid w:val="79125CB9"/>
    <w:rsid w:val="79130BCC"/>
    <w:rsid w:val="79149CE2"/>
    <w:rsid w:val="79187486"/>
    <w:rsid w:val="791911B7"/>
    <w:rsid w:val="7919913A"/>
    <w:rsid w:val="79258AB5"/>
    <w:rsid w:val="792D46C3"/>
    <w:rsid w:val="79318341"/>
    <w:rsid w:val="79322126"/>
    <w:rsid w:val="7936FE30"/>
    <w:rsid w:val="793C4C89"/>
    <w:rsid w:val="793C7C8F"/>
    <w:rsid w:val="7940BAFB"/>
    <w:rsid w:val="79437718"/>
    <w:rsid w:val="79444AB8"/>
    <w:rsid w:val="7947586E"/>
    <w:rsid w:val="794D0786"/>
    <w:rsid w:val="794E446C"/>
    <w:rsid w:val="795980FA"/>
    <w:rsid w:val="795C424D"/>
    <w:rsid w:val="79608903"/>
    <w:rsid w:val="79610B05"/>
    <w:rsid w:val="7961217E"/>
    <w:rsid w:val="79683DAD"/>
    <w:rsid w:val="796D8520"/>
    <w:rsid w:val="79725D3A"/>
    <w:rsid w:val="79744F1E"/>
    <w:rsid w:val="7974AA51"/>
    <w:rsid w:val="7975EA54"/>
    <w:rsid w:val="79838378"/>
    <w:rsid w:val="7986B076"/>
    <w:rsid w:val="798773A7"/>
    <w:rsid w:val="798B354F"/>
    <w:rsid w:val="798B88AD"/>
    <w:rsid w:val="798CD086"/>
    <w:rsid w:val="798E974D"/>
    <w:rsid w:val="7994CB1C"/>
    <w:rsid w:val="7997D481"/>
    <w:rsid w:val="7998E182"/>
    <w:rsid w:val="7999EB0F"/>
    <w:rsid w:val="799F77C6"/>
    <w:rsid w:val="79A2C4C8"/>
    <w:rsid w:val="79A37AA4"/>
    <w:rsid w:val="79AD9DEC"/>
    <w:rsid w:val="79B30910"/>
    <w:rsid w:val="79B5F28A"/>
    <w:rsid w:val="79B702AA"/>
    <w:rsid w:val="79B7AAA6"/>
    <w:rsid w:val="79B9B2D6"/>
    <w:rsid w:val="79BBC940"/>
    <w:rsid w:val="79BD76DA"/>
    <w:rsid w:val="79C03A6F"/>
    <w:rsid w:val="79C2A8D2"/>
    <w:rsid w:val="79C65DF1"/>
    <w:rsid w:val="79C7AAAB"/>
    <w:rsid w:val="79C86F82"/>
    <w:rsid w:val="79C9D69A"/>
    <w:rsid w:val="79CA7393"/>
    <w:rsid w:val="79CB1304"/>
    <w:rsid w:val="79CBB669"/>
    <w:rsid w:val="79CBE33F"/>
    <w:rsid w:val="79CE2366"/>
    <w:rsid w:val="79CFC386"/>
    <w:rsid w:val="79D46D85"/>
    <w:rsid w:val="79D8A674"/>
    <w:rsid w:val="79D98C45"/>
    <w:rsid w:val="79DAFF92"/>
    <w:rsid w:val="79DF70A9"/>
    <w:rsid w:val="79E02C1B"/>
    <w:rsid w:val="79E1DEFA"/>
    <w:rsid w:val="79E41A69"/>
    <w:rsid w:val="79E4DA73"/>
    <w:rsid w:val="79E71F0D"/>
    <w:rsid w:val="79E80D1E"/>
    <w:rsid w:val="79EF8611"/>
    <w:rsid w:val="79F2FF15"/>
    <w:rsid w:val="79F4DCEF"/>
    <w:rsid w:val="79F62B62"/>
    <w:rsid w:val="79F76719"/>
    <w:rsid w:val="79F7D0C6"/>
    <w:rsid w:val="79F97BF1"/>
    <w:rsid w:val="79FA5B13"/>
    <w:rsid w:val="79FA613E"/>
    <w:rsid w:val="79FC59EE"/>
    <w:rsid w:val="79FCA75E"/>
    <w:rsid w:val="79FEFA99"/>
    <w:rsid w:val="7A02A8B2"/>
    <w:rsid w:val="7A03A1C7"/>
    <w:rsid w:val="7A080BDC"/>
    <w:rsid w:val="7A09978F"/>
    <w:rsid w:val="7A0A775C"/>
    <w:rsid w:val="7A0D0080"/>
    <w:rsid w:val="7A0F0E63"/>
    <w:rsid w:val="7A1C4306"/>
    <w:rsid w:val="7A1C7802"/>
    <w:rsid w:val="7A1F024D"/>
    <w:rsid w:val="7A212CDD"/>
    <w:rsid w:val="7A2240FB"/>
    <w:rsid w:val="7A2A352C"/>
    <w:rsid w:val="7A2A4600"/>
    <w:rsid w:val="7A2B276E"/>
    <w:rsid w:val="7A3406A7"/>
    <w:rsid w:val="7A384F30"/>
    <w:rsid w:val="7A3BB55C"/>
    <w:rsid w:val="7A3F16AB"/>
    <w:rsid w:val="7A402A67"/>
    <w:rsid w:val="7A4762F7"/>
    <w:rsid w:val="7A4AD7F7"/>
    <w:rsid w:val="7A4C33F2"/>
    <w:rsid w:val="7A532504"/>
    <w:rsid w:val="7A5510D4"/>
    <w:rsid w:val="7A56BD32"/>
    <w:rsid w:val="7A5C9406"/>
    <w:rsid w:val="7A5E28F0"/>
    <w:rsid w:val="7A5E9B13"/>
    <w:rsid w:val="7A5F8878"/>
    <w:rsid w:val="7A602989"/>
    <w:rsid w:val="7A62C4D8"/>
    <w:rsid w:val="7A6331C0"/>
    <w:rsid w:val="7A699FFF"/>
    <w:rsid w:val="7A6AD4E9"/>
    <w:rsid w:val="7A6ADFB4"/>
    <w:rsid w:val="7A6E0437"/>
    <w:rsid w:val="7A71C42C"/>
    <w:rsid w:val="7A7375B5"/>
    <w:rsid w:val="7A73F3AD"/>
    <w:rsid w:val="7A7B4138"/>
    <w:rsid w:val="7A82A610"/>
    <w:rsid w:val="7A8541EF"/>
    <w:rsid w:val="7A88FE44"/>
    <w:rsid w:val="7A8D3200"/>
    <w:rsid w:val="7A8DC0FE"/>
    <w:rsid w:val="7A907674"/>
    <w:rsid w:val="7A907910"/>
    <w:rsid w:val="7A91A160"/>
    <w:rsid w:val="7A9206BA"/>
    <w:rsid w:val="7A92FD61"/>
    <w:rsid w:val="7A9BAA60"/>
    <w:rsid w:val="7A9C5203"/>
    <w:rsid w:val="7A9E43EC"/>
    <w:rsid w:val="7AA0F6E1"/>
    <w:rsid w:val="7AA4ABFD"/>
    <w:rsid w:val="7AA77DB9"/>
    <w:rsid w:val="7AA920C1"/>
    <w:rsid w:val="7AADFCF1"/>
    <w:rsid w:val="7AB29C80"/>
    <w:rsid w:val="7AB3D774"/>
    <w:rsid w:val="7ABDD4D4"/>
    <w:rsid w:val="7ABDF84F"/>
    <w:rsid w:val="7ABECA5D"/>
    <w:rsid w:val="7AC193BE"/>
    <w:rsid w:val="7AC1E5FC"/>
    <w:rsid w:val="7AC4EF3E"/>
    <w:rsid w:val="7AC9436A"/>
    <w:rsid w:val="7ACBC65C"/>
    <w:rsid w:val="7ACF9DDC"/>
    <w:rsid w:val="7AD17186"/>
    <w:rsid w:val="7AD1AE55"/>
    <w:rsid w:val="7AD290F8"/>
    <w:rsid w:val="7AD2DF3E"/>
    <w:rsid w:val="7AD5DA4B"/>
    <w:rsid w:val="7AD8100D"/>
    <w:rsid w:val="7AD8E83A"/>
    <w:rsid w:val="7ADC58DF"/>
    <w:rsid w:val="7ADCB542"/>
    <w:rsid w:val="7ADE0E0F"/>
    <w:rsid w:val="7ADF9F37"/>
    <w:rsid w:val="7AE19BF2"/>
    <w:rsid w:val="7AE43D69"/>
    <w:rsid w:val="7AEB02BF"/>
    <w:rsid w:val="7AEE00B7"/>
    <w:rsid w:val="7AEF49C3"/>
    <w:rsid w:val="7AF11957"/>
    <w:rsid w:val="7AF196BB"/>
    <w:rsid w:val="7AF27398"/>
    <w:rsid w:val="7AF6B98F"/>
    <w:rsid w:val="7AF8FA78"/>
    <w:rsid w:val="7AFC3983"/>
    <w:rsid w:val="7AFC39B2"/>
    <w:rsid w:val="7AFC59EA"/>
    <w:rsid w:val="7B02EAE0"/>
    <w:rsid w:val="7B046F28"/>
    <w:rsid w:val="7B0D178D"/>
    <w:rsid w:val="7B0EEA8A"/>
    <w:rsid w:val="7B15C7F4"/>
    <w:rsid w:val="7B1745F2"/>
    <w:rsid w:val="7B1B8F8F"/>
    <w:rsid w:val="7B1E20C8"/>
    <w:rsid w:val="7B1F5809"/>
    <w:rsid w:val="7B203B0D"/>
    <w:rsid w:val="7B21DADB"/>
    <w:rsid w:val="7B231E2A"/>
    <w:rsid w:val="7B239359"/>
    <w:rsid w:val="7B2402BA"/>
    <w:rsid w:val="7B29D577"/>
    <w:rsid w:val="7B2CEE86"/>
    <w:rsid w:val="7B2F5998"/>
    <w:rsid w:val="7B32D2CD"/>
    <w:rsid w:val="7B36464B"/>
    <w:rsid w:val="7B366676"/>
    <w:rsid w:val="7B38F1FD"/>
    <w:rsid w:val="7B39ECBE"/>
    <w:rsid w:val="7B3E0E07"/>
    <w:rsid w:val="7B3EC5F9"/>
    <w:rsid w:val="7B3F2B7B"/>
    <w:rsid w:val="7B409A6E"/>
    <w:rsid w:val="7B43BB9F"/>
    <w:rsid w:val="7B45F121"/>
    <w:rsid w:val="7B4C70BB"/>
    <w:rsid w:val="7B4F4634"/>
    <w:rsid w:val="7B50C9DA"/>
    <w:rsid w:val="7B539D4D"/>
    <w:rsid w:val="7B543598"/>
    <w:rsid w:val="7B57186B"/>
    <w:rsid w:val="7B58A5B7"/>
    <w:rsid w:val="7B5A7B13"/>
    <w:rsid w:val="7B611DF1"/>
    <w:rsid w:val="7B62A117"/>
    <w:rsid w:val="7B62D5EA"/>
    <w:rsid w:val="7B6929C2"/>
    <w:rsid w:val="7B6C5E09"/>
    <w:rsid w:val="7B73A3FA"/>
    <w:rsid w:val="7B76C6C5"/>
    <w:rsid w:val="7B7736F7"/>
    <w:rsid w:val="7B7893C8"/>
    <w:rsid w:val="7B797CA8"/>
    <w:rsid w:val="7B7BEBF2"/>
    <w:rsid w:val="7B7E4C55"/>
    <w:rsid w:val="7B7F3A68"/>
    <w:rsid w:val="7B80468E"/>
    <w:rsid w:val="7B822C6A"/>
    <w:rsid w:val="7B84D90B"/>
    <w:rsid w:val="7B856176"/>
    <w:rsid w:val="7B8AAE3F"/>
    <w:rsid w:val="7B8B497A"/>
    <w:rsid w:val="7B8CF336"/>
    <w:rsid w:val="7B8D0B12"/>
    <w:rsid w:val="7B8DE226"/>
    <w:rsid w:val="7B8DEA39"/>
    <w:rsid w:val="7B8DEC41"/>
    <w:rsid w:val="7B910900"/>
    <w:rsid w:val="7B9614D3"/>
    <w:rsid w:val="7B96DBAB"/>
    <w:rsid w:val="7B976702"/>
    <w:rsid w:val="7B99168F"/>
    <w:rsid w:val="7BA8206D"/>
    <w:rsid w:val="7BAA7EEE"/>
    <w:rsid w:val="7BADBA6D"/>
    <w:rsid w:val="7BAE554E"/>
    <w:rsid w:val="7BB0B2E0"/>
    <w:rsid w:val="7BB0BCAE"/>
    <w:rsid w:val="7BB18C93"/>
    <w:rsid w:val="7BB29459"/>
    <w:rsid w:val="7BB31028"/>
    <w:rsid w:val="7BB4496C"/>
    <w:rsid w:val="7BB58B33"/>
    <w:rsid w:val="7BB9F38F"/>
    <w:rsid w:val="7BBE78E2"/>
    <w:rsid w:val="7BBE84D7"/>
    <w:rsid w:val="7BBF6607"/>
    <w:rsid w:val="7BC0C18C"/>
    <w:rsid w:val="7BC49619"/>
    <w:rsid w:val="7BC778BE"/>
    <w:rsid w:val="7BCA0A44"/>
    <w:rsid w:val="7BD2F72D"/>
    <w:rsid w:val="7BD398B2"/>
    <w:rsid w:val="7BD43EDA"/>
    <w:rsid w:val="7BD716A4"/>
    <w:rsid w:val="7BD873FC"/>
    <w:rsid w:val="7BD9B276"/>
    <w:rsid w:val="7BDD6666"/>
    <w:rsid w:val="7BDDBAFA"/>
    <w:rsid w:val="7BE0A79E"/>
    <w:rsid w:val="7BF08ABB"/>
    <w:rsid w:val="7BF1D88D"/>
    <w:rsid w:val="7BF374A0"/>
    <w:rsid w:val="7BF55175"/>
    <w:rsid w:val="7BF5CFE9"/>
    <w:rsid w:val="7BF6C596"/>
    <w:rsid w:val="7BF879C2"/>
    <w:rsid w:val="7BF9DAF4"/>
    <w:rsid w:val="7BF9DC8F"/>
    <w:rsid w:val="7C01CA7E"/>
    <w:rsid w:val="7C0D3873"/>
    <w:rsid w:val="7C0E3157"/>
    <w:rsid w:val="7C110FAC"/>
    <w:rsid w:val="7C1A5CBC"/>
    <w:rsid w:val="7C1C0C7C"/>
    <w:rsid w:val="7C1C7BCC"/>
    <w:rsid w:val="7C1FD898"/>
    <w:rsid w:val="7C241D46"/>
    <w:rsid w:val="7C24B21D"/>
    <w:rsid w:val="7C286F00"/>
    <w:rsid w:val="7C2B646F"/>
    <w:rsid w:val="7C33459B"/>
    <w:rsid w:val="7C348803"/>
    <w:rsid w:val="7C3A2A9E"/>
    <w:rsid w:val="7C3F377C"/>
    <w:rsid w:val="7C41F9CE"/>
    <w:rsid w:val="7C440B91"/>
    <w:rsid w:val="7C447CB4"/>
    <w:rsid w:val="7C4EBAD9"/>
    <w:rsid w:val="7C51A350"/>
    <w:rsid w:val="7C52E099"/>
    <w:rsid w:val="7C550C8F"/>
    <w:rsid w:val="7C550D82"/>
    <w:rsid w:val="7C551038"/>
    <w:rsid w:val="7C59C370"/>
    <w:rsid w:val="7C59C48D"/>
    <w:rsid w:val="7C5A03C9"/>
    <w:rsid w:val="7C5A4DE6"/>
    <w:rsid w:val="7C5B6B23"/>
    <w:rsid w:val="7C5C65E8"/>
    <w:rsid w:val="7C5C75FB"/>
    <w:rsid w:val="7C60D1C0"/>
    <w:rsid w:val="7C665053"/>
    <w:rsid w:val="7C6FC641"/>
    <w:rsid w:val="7C75C218"/>
    <w:rsid w:val="7C75EE71"/>
    <w:rsid w:val="7C791165"/>
    <w:rsid w:val="7C7A6D62"/>
    <w:rsid w:val="7C81B63A"/>
    <w:rsid w:val="7C82200A"/>
    <w:rsid w:val="7C822B6F"/>
    <w:rsid w:val="7C827F1F"/>
    <w:rsid w:val="7C851719"/>
    <w:rsid w:val="7C87CF39"/>
    <w:rsid w:val="7C8D7342"/>
    <w:rsid w:val="7C8DFCF2"/>
    <w:rsid w:val="7C8E5A76"/>
    <w:rsid w:val="7C96F611"/>
    <w:rsid w:val="7C97764D"/>
    <w:rsid w:val="7C988BDC"/>
    <w:rsid w:val="7C9936C8"/>
    <w:rsid w:val="7CA6A404"/>
    <w:rsid w:val="7CA6C527"/>
    <w:rsid w:val="7CAF967E"/>
    <w:rsid w:val="7CB55D5A"/>
    <w:rsid w:val="7CB68573"/>
    <w:rsid w:val="7CB7040F"/>
    <w:rsid w:val="7CBA624D"/>
    <w:rsid w:val="7CBB5FBC"/>
    <w:rsid w:val="7CBD85A8"/>
    <w:rsid w:val="7CBEB318"/>
    <w:rsid w:val="7CBF8147"/>
    <w:rsid w:val="7CBF96D7"/>
    <w:rsid w:val="7CC407FC"/>
    <w:rsid w:val="7CC899F6"/>
    <w:rsid w:val="7CC942CC"/>
    <w:rsid w:val="7CD13F55"/>
    <w:rsid w:val="7CD19BD7"/>
    <w:rsid w:val="7CD6DF0C"/>
    <w:rsid w:val="7CDFBEAE"/>
    <w:rsid w:val="7CE08970"/>
    <w:rsid w:val="7CE10E3F"/>
    <w:rsid w:val="7CE427BE"/>
    <w:rsid w:val="7CE7E5FE"/>
    <w:rsid w:val="7CE970A1"/>
    <w:rsid w:val="7CEB479B"/>
    <w:rsid w:val="7CEC1E72"/>
    <w:rsid w:val="7CF60328"/>
    <w:rsid w:val="7CF95EAC"/>
    <w:rsid w:val="7CFB584C"/>
    <w:rsid w:val="7CFEF083"/>
    <w:rsid w:val="7D03EFDD"/>
    <w:rsid w:val="7D09CACE"/>
    <w:rsid w:val="7D0F0F1E"/>
    <w:rsid w:val="7D113BB8"/>
    <w:rsid w:val="7D15C4EF"/>
    <w:rsid w:val="7D192F69"/>
    <w:rsid w:val="7D1EA774"/>
    <w:rsid w:val="7D20D4A6"/>
    <w:rsid w:val="7D2242E1"/>
    <w:rsid w:val="7D2559F8"/>
    <w:rsid w:val="7D26DB91"/>
    <w:rsid w:val="7D2B540B"/>
    <w:rsid w:val="7D2CAA44"/>
    <w:rsid w:val="7D2D1973"/>
    <w:rsid w:val="7D2F13BD"/>
    <w:rsid w:val="7D32AED4"/>
    <w:rsid w:val="7D32DEC9"/>
    <w:rsid w:val="7D34F04B"/>
    <w:rsid w:val="7D370FB3"/>
    <w:rsid w:val="7D3A8860"/>
    <w:rsid w:val="7D3B52FD"/>
    <w:rsid w:val="7D3C63A0"/>
    <w:rsid w:val="7D3E1757"/>
    <w:rsid w:val="7D3E7F3D"/>
    <w:rsid w:val="7D409BCF"/>
    <w:rsid w:val="7D427495"/>
    <w:rsid w:val="7D42995E"/>
    <w:rsid w:val="7D438C8A"/>
    <w:rsid w:val="7D4545B4"/>
    <w:rsid w:val="7D473993"/>
    <w:rsid w:val="7D4A1A87"/>
    <w:rsid w:val="7D4B08AC"/>
    <w:rsid w:val="7D50AA97"/>
    <w:rsid w:val="7D530E0A"/>
    <w:rsid w:val="7D5928A5"/>
    <w:rsid w:val="7D5D3459"/>
    <w:rsid w:val="7D5E1EC0"/>
    <w:rsid w:val="7D5EC59E"/>
    <w:rsid w:val="7D5F3996"/>
    <w:rsid w:val="7D5F6AF6"/>
    <w:rsid w:val="7D60B4A9"/>
    <w:rsid w:val="7D60DF1B"/>
    <w:rsid w:val="7D66B8CB"/>
    <w:rsid w:val="7D6A4306"/>
    <w:rsid w:val="7D6BAF11"/>
    <w:rsid w:val="7D6CBD2E"/>
    <w:rsid w:val="7D6DAE14"/>
    <w:rsid w:val="7D6DC365"/>
    <w:rsid w:val="7D7222E7"/>
    <w:rsid w:val="7D7378E0"/>
    <w:rsid w:val="7D82B252"/>
    <w:rsid w:val="7D8806FC"/>
    <w:rsid w:val="7D883C1D"/>
    <w:rsid w:val="7D89E831"/>
    <w:rsid w:val="7D8C0EBB"/>
    <w:rsid w:val="7D8D4466"/>
    <w:rsid w:val="7D8F4AD1"/>
    <w:rsid w:val="7D8FE621"/>
    <w:rsid w:val="7D9165A8"/>
    <w:rsid w:val="7D9258E9"/>
    <w:rsid w:val="7D92E05A"/>
    <w:rsid w:val="7D940254"/>
    <w:rsid w:val="7D96415D"/>
    <w:rsid w:val="7D9644A6"/>
    <w:rsid w:val="7D97225A"/>
    <w:rsid w:val="7D98E220"/>
    <w:rsid w:val="7D9A933C"/>
    <w:rsid w:val="7D9AC8F4"/>
    <w:rsid w:val="7D9E3F6F"/>
    <w:rsid w:val="7DA2986A"/>
    <w:rsid w:val="7DB17F33"/>
    <w:rsid w:val="7DB24CA5"/>
    <w:rsid w:val="7DB4AF63"/>
    <w:rsid w:val="7DB6121D"/>
    <w:rsid w:val="7DBA0109"/>
    <w:rsid w:val="7DBA17C0"/>
    <w:rsid w:val="7DBB568F"/>
    <w:rsid w:val="7DBC41CE"/>
    <w:rsid w:val="7DBDA456"/>
    <w:rsid w:val="7DC22581"/>
    <w:rsid w:val="7DCB744A"/>
    <w:rsid w:val="7DCF8B76"/>
    <w:rsid w:val="7DD0668E"/>
    <w:rsid w:val="7DD0F54F"/>
    <w:rsid w:val="7DD23FD6"/>
    <w:rsid w:val="7DD86F4E"/>
    <w:rsid w:val="7DDB1F12"/>
    <w:rsid w:val="7DDD806B"/>
    <w:rsid w:val="7DE04181"/>
    <w:rsid w:val="7DE5135E"/>
    <w:rsid w:val="7DE6B6F0"/>
    <w:rsid w:val="7DE7351B"/>
    <w:rsid w:val="7DE9007D"/>
    <w:rsid w:val="7DEBEF86"/>
    <w:rsid w:val="7DF05029"/>
    <w:rsid w:val="7DF15AE4"/>
    <w:rsid w:val="7DF54A3D"/>
    <w:rsid w:val="7DF933D7"/>
    <w:rsid w:val="7DFFE639"/>
    <w:rsid w:val="7E06544D"/>
    <w:rsid w:val="7E0B3DCF"/>
    <w:rsid w:val="7E12D421"/>
    <w:rsid w:val="7E133960"/>
    <w:rsid w:val="7E1616AB"/>
    <w:rsid w:val="7E1A0077"/>
    <w:rsid w:val="7E1D3419"/>
    <w:rsid w:val="7E21D9D3"/>
    <w:rsid w:val="7E23C4F3"/>
    <w:rsid w:val="7E32BB01"/>
    <w:rsid w:val="7E35F99A"/>
    <w:rsid w:val="7E37BEFA"/>
    <w:rsid w:val="7E380C4A"/>
    <w:rsid w:val="7E3E47B2"/>
    <w:rsid w:val="7E401F36"/>
    <w:rsid w:val="7E41EE44"/>
    <w:rsid w:val="7E42049A"/>
    <w:rsid w:val="7E4388B3"/>
    <w:rsid w:val="7E44B00D"/>
    <w:rsid w:val="7E4E974D"/>
    <w:rsid w:val="7E4EA285"/>
    <w:rsid w:val="7E4F5E00"/>
    <w:rsid w:val="7E500AA4"/>
    <w:rsid w:val="7E500F8D"/>
    <w:rsid w:val="7E525EF8"/>
    <w:rsid w:val="7E539E8D"/>
    <w:rsid w:val="7E578A0E"/>
    <w:rsid w:val="7E5D19D4"/>
    <w:rsid w:val="7E5FA179"/>
    <w:rsid w:val="7E609561"/>
    <w:rsid w:val="7E6520C5"/>
    <w:rsid w:val="7E6586BD"/>
    <w:rsid w:val="7E66C00F"/>
    <w:rsid w:val="7E68C7AD"/>
    <w:rsid w:val="7E6BF0C5"/>
    <w:rsid w:val="7E6D4AC0"/>
    <w:rsid w:val="7E6D58BA"/>
    <w:rsid w:val="7E6D9D8E"/>
    <w:rsid w:val="7E6DD592"/>
    <w:rsid w:val="7E6F3190"/>
    <w:rsid w:val="7E703AE7"/>
    <w:rsid w:val="7E72E92B"/>
    <w:rsid w:val="7E732D59"/>
    <w:rsid w:val="7E79B070"/>
    <w:rsid w:val="7E7BF426"/>
    <w:rsid w:val="7E7C2DC3"/>
    <w:rsid w:val="7E82EFFB"/>
    <w:rsid w:val="7E833A07"/>
    <w:rsid w:val="7E857E44"/>
    <w:rsid w:val="7E8836C7"/>
    <w:rsid w:val="7E8AD577"/>
    <w:rsid w:val="7E921F29"/>
    <w:rsid w:val="7E95FD3A"/>
    <w:rsid w:val="7E9CEEAF"/>
    <w:rsid w:val="7E9CFE41"/>
    <w:rsid w:val="7EA8B4F7"/>
    <w:rsid w:val="7EA9371C"/>
    <w:rsid w:val="7EAB875D"/>
    <w:rsid w:val="7EB07691"/>
    <w:rsid w:val="7EBCA9D1"/>
    <w:rsid w:val="7EBCB444"/>
    <w:rsid w:val="7EBD47A1"/>
    <w:rsid w:val="7EC92592"/>
    <w:rsid w:val="7ED172EE"/>
    <w:rsid w:val="7ED797B0"/>
    <w:rsid w:val="7ED9B551"/>
    <w:rsid w:val="7EDB6FD4"/>
    <w:rsid w:val="7EDBBCDD"/>
    <w:rsid w:val="7EDCC750"/>
    <w:rsid w:val="7EE0EEB6"/>
    <w:rsid w:val="7EE1C0E2"/>
    <w:rsid w:val="7EE2A924"/>
    <w:rsid w:val="7EE4C740"/>
    <w:rsid w:val="7EE4EEBB"/>
    <w:rsid w:val="7EE6235C"/>
    <w:rsid w:val="7EE79E89"/>
    <w:rsid w:val="7EE8DFE9"/>
    <w:rsid w:val="7EE993C1"/>
    <w:rsid w:val="7EEA31B0"/>
    <w:rsid w:val="7EEDFEA6"/>
    <w:rsid w:val="7EF49682"/>
    <w:rsid w:val="7EF5C9A9"/>
    <w:rsid w:val="7EFD20E7"/>
    <w:rsid w:val="7EFEA989"/>
    <w:rsid w:val="7F0215E1"/>
    <w:rsid w:val="7F0586D8"/>
    <w:rsid w:val="7F08BC13"/>
    <w:rsid w:val="7F0AF9A6"/>
    <w:rsid w:val="7F11D5C1"/>
    <w:rsid w:val="7F187803"/>
    <w:rsid w:val="7F1BF032"/>
    <w:rsid w:val="7F2A19BD"/>
    <w:rsid w:val="7F2C4D7F"/>
    <w:rsid w:val="7F2CD45E"/>
    <w:rsid w:val="7F31D608"/>
    <w:rsid w:val="7F32B8C8"/>
    <w:rsid w:val="7F32F62B"/>
    <w:rsid w:val="7F38AA7C"/>
    <w:rsid w:val="7F3B053D"/>
    <w:rsid w:val="7F3EE372"/>
    <w:rsid w:val="7F3EF119"/>
    <w:rsid w:val="7F42167B"/>
    <w:rsid w:val="7F425669"/>
    <w:rsid w:val="7F48B7C7"/>
    <w:rsid w:val="7F4C917C"/>
    <w:rsid w:val="7F5046C1"/>
    <w:rsid w:val="7F50A18C"/>
    <w:rsid w:val="7F51C2D6"/>
    <w:rsid w:val="7F52D530"/>
    <w:rsid w:val="7F5B7BA4"/>
    <w:rsid w:val="7F5B8145"/>
    <w:rsid w:val="7F691AEB"/>
    <w:rsid w:val="7F6D91F2"/>
    <w:rsid w:val="7F6DEF49"/>
    <w:rsid w:val="7F70EA77"/>
    <w:rsid w:val="7F736B42"/>
    <w:rsid w:val="7F7B1A3A"/>
    <w:rsid w:val="7F7E2AFC"/>
    <w:rsid w:val="7F82E32F"/>
    <w:rsid w:val="7F8300EF"/>
    <w:rsid w:val="7F83220D"/>
    <w:rsid w:val="7F9363E9"/>
    <w:rsid w:val="7F9539B2"/>
    <w:rsid w:val="7F95E87F"/>
    <w:rsid w:val="7F972B0D"/>
    <w:rsid w:val="7F98168E"/>
    <w:rsid w:val="7F9C09F2"/>
    <w:rsid w:val="7F9C91FD"/>
    <w:rsid w:val="7FA061F8"/>
    <w:rsid w:val="7FA22C90"/>
    <w:rsid w:val="7FA428D9"/>
    <w:rsid w:val="7FA6631D"/>
    <w:rsid w:val="7FA6E240"/>
    <w:rsid w:val="7FA980DA"/>
    <w:rsid w:val="7FA99A3C"/>
    <w:rsid w:val="7FABEAF1"/>
    <w:rsid w:val="7FB7A036"/>
    <w:rsid w:val="7FB9A6F5"/>
    <w:rsid w:val="7FBB8CAC"/>
    <w:rsid w:val="7FBE1FF0"/>
    <w:rsid w:val="7FC4E271"/>
    <w:rsid w:val="7FC8307E"/>
    <w:rsid w:val="7FCD0138"/>
    <w:rsid w:val="7FCECC00"/>
    <w:rsid w:val="7FD257F8"/>
    <w:rsid w:val="7FD4FD48"/>
    <w:rsid w:val="7FDDFD1C"/>
    <w:rsid w:val="7FDEF4BB"/>
    <w:rsid w:val="7FE243CE"/>
    <w:rsid w:val="7FE3CC2A"/>
    <w:rsid w:val="7FE4E363"/>
    <w:rsid w:val="7FF1F80C"/>
    <w:rsid w:val="7FF94ED3"/>
    <w:rsid w:val="7FF9BD0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B4DC21"/>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71719"/>
    <w:rPr>
      <w:rFonts w:ascii="Arial" w:hAnsi="Arial"/>
      <w:sz w:val="22"/>
    </w:rPr>
  </w:style>
  <w:style w:type="paragraph" w:styleId="Heading1">
    <w:name w:val="heading 1"/>
    <w:aliases w:val="Heading 1 - Annual Report"/>
    <w:basedOn w:val="Normal"/>
    <w:next w:val="Normal"/>
    <w:link w:val="Heading1Char"/>
    <w:uiPriority w:val="9"/>
    <w:qFormat/>
    <w:rsid w:val="00605211"/>
    <w:pPr>
      <w:keepNext/>
      <w:keepLines/>
      <w:outlineLvl w:val="0"/>
    </w:pPr>
    <w:rPr>
      <w:rFonts w:eastAsiaTheme="majorEastAsia" w:cstheme="majorBidi"/>
      <w:sz w:val="48"/>
      <w:szCs w:val="32"/>
    </w:rPr>
  </w:style>
  <w:style w:type="paragraph" w:styleId="Heading2">
    <w:name w:val="heading 2"/>
    <w:aliases w:val="QBCC Sub,Heading 2 - Annual Report"/>
    <w:basedOn w:val="NoSpacing"/>
    <w:next w:val="Normal"/>
    <w:link w:val="Heading2Char"/>
    <w:autoRedefine/>
    <w:uiPriority w:val="9"/>
    <w:unhideWhenUsed/>
    <w:qFormat/>
    <w:rsid w:val="007C3502"/>
    <w:pPr>
      <w:keepNext/>
      <w:keepLines/>
      <w:outlineLvl w:val="1"/>
    </w:pPr>
    <w:rPr>
      <w:rFonts w:ascii="Arial" w:eastAsiaTheme="majorEastAsia" w:hAnsi="Arial" w:cstheme="majorBidi"/>
      <w:bCs/>
      <w:sz w:val="32"/>
      <w:szCs w:val="32"/>
    </w:rPr>
  </w:style>
  <w:style w:type="paragraph" w:styleId="Heading3">
    <w:name w:val="heading 3"/>
    <w:aliases w:val="Heading 3 - Annual Report"/>
    <w:basedOn w:val="Normal"/>
    <w:next w:val="Normal"/>
    <w:link w:val="Heading3Char"/>
    <w:uiPriority w:val="9"/>
    <w:unhideWhenUsed/>
    <w:qFormat/>
    <w:rsid w:val="0088575E"/>
    <w:pPr>
      <w:keepNext/>
      <w:keepLines/>
      <w:spacing w:before="120" w:after="120"/>
      <w:outlineLvl w:val="2"/>
    </w:pPr>
    <w:rPr>
      <w:rFonts w:eastAsiaTheme="majorEastAsia" w:cstheme="majorBidi"/>
      <w:b/>
      <w:sz w:val="28"/>
    </w:rPr>
  </w:style>
  <w:style w:type="paragraph" w:styleId="Heading4">
    <w:name w:val="heading 4"/>
    <w:aliases w:val="Heading 4 - Annual report"/>
    <w:basedOn w:val="Normal"/>
    <w:next w:val="Normal"/>
    <w:link w:val="Heading4Char"/>
    <w:uiPriority w:val="9"/>
    <w:unhideWhenUsed/>
    <w:qFormat/>
    <w:rsid w:val="007C0B4E"/>
    <w:pPr>
      <w:keepNext/>
      <w:keepLines/>
      <w:spacing w:before="120" w:after="120"/>
      <w:outlineLvl w:val="3"/>
    </w:pPr>
    <w:rPr>
      <w:rFonts w:eastAsiaTheme="majorEastAsia" w:cstheme="majorBidi"/>
      <w:b/>
      <w:iCs/>
    </w:rPr>
  </w:style>
  <w:style w:type="paragraph" w:styleId="Heading5">
    <w:name w:val="heading 5"/>
    <w:aliases w:val="- Annual Report"/>
    <w:basedOn w:val="Normal"/>
    <w:next w:val="Normal"/>
    <w:link w:val="Heading5Char"/>
    <w:uiPriority w:val="9"/>
    <w:unhideWhenUsed/>
    <w:qFormat/>
    <w:rsid w:val="007B2119"/>
    <w:pPr>
      <w:keepNext/>
      <w:keepLines/>
      <w:outlineLvl w:val="4"/>
    </w:pPr>
    <w:rPr>
      <w:rFonts w:eastAsiaTheme="majorEastAsia" w:cstheme="majorBidi"/>
      <w:b/>
    </w:rPr>
  </w:style>
  <w:style w:type="paragraph" w:styleId="Heading6">
    <w:name w:val="heading 6"/>
    <w:basedOn w:val="Normal"/>
    <w:next w:val="Normal"/>
    <w:link w:val="Heading6Char"/>
    <w:uiPriority w:val="9"/>
    <w:unhideWhenUsed/>
    <w:qFormat/>
    <w:rsid w:val="00BF5F55"/>
    <w:pPr>
      <w:keepNext/>
      <w:keepLines/>
      <w:spacing w:before="40"/>
      <w:outlineLvl w:val="5"/>
    </w:pPr>
    <w:rPr>
      <w:rFonts w:ascii="Gotham Medium" w:eastAsiaTheme="majorEastAsia" w:hAnsi="Gotham Medium" w:cstheme="majorBidi"/>
      <w:color w:val="020A0A" w:themeColor="text1"/>
    </w:rPr>
  </w:style>
  <w:style w:type="paragraph" w:styleId="Heading7">
    <w:name w:val="heading 7"/>
    <w:basedOn w:val="Normal"/>
    <w:next w:val="Normal"/>
    <w:link w:val="Heading7Char"/>
    <w:uiPriority w:val="9"/>
    <w:unhideWhenUsed/>
    <w:qFormat/>
    <w:rsid w:val="00AB703E"/>
    <w:pPr>
      <w:keepNext/>
      <w:keepLines/>
      <w:spacing w:before="40"/>
      <w:outlineLvl w:val="6"/>
    </w:pPr>
    <w:rPr>
      <w:rFonts w:asciiTheme="majorHAnsi" w:eastAsiaTheme="majorEastAsia" w:hAnsiTheme="majorHAnsi" w:cstheme="majorBidi"/>
      <w:i/>
      <w:iCs/>
      <w:color w:val="00475C" w:themeColor="accent1" w:themeShade="7F"/>
    </w:rPr>
  </w:style>
  <w:style w:type="paragraph" w:styleId="Heading8">
    <w:name w:val="heading 8"/>
    <w:basedOn w:val="Normal"/>
    <w:next w:val="Normal"/>
    <w:link w:val="Heading8Char"/>
    <w:uiPriority w:val="9"/>
    <w:unhideWhenUsed/>
    <w:qFormat/>
    <w:rsid w:val="00AB703E"/>
    <w:pPr>
      <w:keepNext/>
      <w:keepLines/>
      <w:spacing w:before="40"/>
      <w:outlineLvl w:val="7"/>
    </w:pPr>
    <w:rPr>
      <w:rFonts w:asciiTheme="majorHAnsi" w:eastAsiaTheme="majorEastAsia" w:hAnsiTheme="majorHAnsi" w:cstheme="majorBidi"/>
      <w:color w:val="0E4949" w:themeColor="text1" w:themeTint="D8"/>
      <w:sz w:val="21"/>
      <w:szCs w:val="21"/>
    </w:rPr>
  </w:style>
  <w:style w:type="paragraph" w:styleId="Heading9">
    <w:name w:val="heading 9"/>
    <w:basedOn w:val="Normal"/>
    <w:next w:val="Normal"/>
    <w:link w:val="Heading9Char"/>
    <w:uiPriority w:val="9"/>
    <w:semiHidden/>
    <w:unhideWhenUsed/>
    <w:qFormat/>
    <w:rsid w:val="005D441E"/>
    <w:pPr>
      <w:keepNext/>
      <w:keepLines/>
      <w:spacing w:before="40"/>
      <w:outlineLvl w:val="8"/>
    </w:pPr>
    <w:rPr>
      <w:rFonts w:asciiTheme="majorHAnsi" w:eastAsiaTheme="majorEastAsia" w:hAnsiTheme="majorHAnsi" w:cstheme="majorBidi"/>
      <w:i/>
      <w:iCs/>
      <w:color w:val="0E4949"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474"/>
    <w:pPr>
      <w:tabs>
        <w:tab w:val="center" w:pos="4320"/>
        <w:tab w:val="right" w:pos="8640"/>
      </w:tabs>
    </w:pPr>
  </w:style>
  <w:style w:type="character" w:customStyle="1" w:styleId="HeaderChar">
    <w:name w:val="Header Char"/>
    <w:basedOn w:val="DefaultParagraphFont"/>
    <w:link w:val="Header"/>
    <w:uiPriority w:val="99"/>
    <w:rsid w:val="007D3474"/>
  </w:style>
  <w:style w:type="paragraph" w:styleId="Footer">
    <w:name w:val="footer"/>
    <w:basedOn w:val="Normal"/>
    <w:link w:val="FooterChar"/>
    <w:uiPriority w:val="99"/>
    <w:unhideWhenUsed/>
    <w:rsid w:val="007D3474"/>
    <w:pPr>
      <w:tabs>
        <w:tab w:val="center" w:pos="4320"/>
        <w:tab w:val="right" w:pos="8640"/>
      </w:tabs>
    </w:pPr>
  </w:style>
  <w:style w:type="character" w:customStyle="1" w:styleId="FooterChar">
    <w:name w:val="Footer Char"/>
    <w:basedOn w:val="DefaultParagraphFont"/>
    <w:link w:val="Footer"/>
    <w:uiPriority w:val="99"/>
    <w:rsid w:val="007D3474"/>
  </w:style>
  <w:style w:type="paragraph" w:styleId="BalloonText">
    <w:name w:val="Balloon Text"/>
    <w:basedOn w:val="Normal"/>
    <w:link w:val="BalloonTextChar"/>
    <w:uiPriority w:val="99"/>
    <w:semiHidden/>
    <w:unhideWhenUsed/>
    <w:rsid w:val="007D347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D3474"/>
    <w:rPr>
      <w:rFonts w:ascii="Lucida Grande" w:hAnsi="Lucida Grande" w:cs="Lucida Grande"/>
      <w:sz w:val="18"/>
      <w:szCs w:val="18"/>
    </w:rPr>
  </w:style>
  <w:style w:type="paragraph" w:customStyle="1" w:styleId="BasicParagraph">
    <w:name w:val="[Basic Paragraph]"/>
    <w:basedOn w:val="Normal"/>
    <w:uiPriority w:val="99"/>
    <w:rsid w:val="007D3474"/>
    <w:pPr>
      <w:widowControl w:val="0"/>
      <w:autoSpaceDE w:val="0"/>
      <w:autoSpaceDN w:val="0"/>
      <w:adjustRightInd w:val="0"/>
      <w:spacing w:line="288" w:lineRule="auto"/>
      <w:textAlignment w:val="center"/>
    </w:pPr>
    <w:rPr>
      <w:rFonts w:ascii="MinionPro-Regular" w:hAnsi="MinionPro-Regular" w:cs="MinionPro-Regular"/>
      <w:color w:val="000000"/>
      <w:lang w:val="en-US"/>
    </w:rPr>
  </w:style>
  <w:style w:type="paragraph" w:styleId="NormalWeb">
    <w:name w:val="Normal (Web)"/>
    <w:basedOn w:val="Normal"/>
    <w:uiPriority w:val="99"/>
    <w:unhideWhenUsed/>
    <w:rsid w:val="005F7BD0"/>
    <w:rPr>
      <w:rFonts w:ascii="Times New Roman" w:hAnsi="Times New Roman" w:cs="Times New Roman"/>
    </w:rPr>
  </w:style>
  <w:style w:type="character" w:customStyle="1" w:styleId="Heading2Char">
    <w:name w:val="Heading 2 Char"/>
    <w:aliases w:val="QBCC Sub Char,Heading 2 - Annual Report Char"/>
    <w:basedOn w:val="DefaultParagraphFont"/>
    <w:link w:val="Heading2"/>
    <w:uiPriority w:val="9"/>
    <w:rsid w:val="007C3502"/>
    <w:rPr>
      <w:rFonts w:ascii="Arial" w:eastAsiaTheme="majorEastAsia" w:hAnsi="Arial" w:cstheme="majorBidi"/>
      <w:bCs/>
      <w:sz w:val="32"/>
      <w:szCs w:val="32"/>
    </w:rPr>
  </w:style>
  <w:style w:type="paragraph" w:styleId="NoSpacing">
    <w:name w:val="No Spacing"/>
    <w:uiPriority w:val="1"/>
    <w:qFormat/>
    <w:rsid w:val="005F7BD0"/>
  </w:style>
  <w:style w:type="character" w:styleId="SubtleEmphasis">
    <w:name w:val="Subtle Emphasis"/>
    <w:basedOn w:val="DefaultParagraphFont"/>
    <w:uiPriority w:val="19"/>
    <w:rsid w:val="00CC0640"/>
    <w:rPr>
      <w:i/>
      <w:iCs/>
      <w:color w:val="30D5D5" w:themeColor="text1" w:themeTint="7F"/>
    </w:rPr>
  </w:style>
  <w:style w:type="table" w:styleId="TableGrid">
    <w:name w:val="Table Grid"/>
    <w:basedOn w:val="TableNormal"/>
    <w:uiPriority w:val="39"/>
    <w:rsid w:val="00CC06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eading 1 - Annual Report Char"/>
    <w:basedOn w:val="DefaultParagraphFont"/>
    <w:link w:val="Heading1"/>
    <w:uiPriority w:val="9"/>
    <w:rsid w:val="000D6B78"/>
    <w:rPr>
      <w:rFonts w:ascii="Arial" w:eastAsiaTheme="majorEastAsia" w:hAnsi="Arial" w:cstheme="majorBidi"/>
      <w:sz w:val="48"/>
      <w:szCs w:val="32"/>
    </w:rPr>
  </w:style>
  <w:style w:type="paragraph" w:styleId="ListParagraph">
    <w:name w:val="List Paragraph"/>
    <w:aliases w:val="Bullet List,FooterText,numbered,List Paragraph1,Paragraphe de liste1,Bulletr List Paragraph,列出段落,列出段落1,List Paragraph2,List Paragraph21,Listeafsnit1,Parágrafo da Lista1,Bullet list,Párrafo de lista1,リスト段落1,List Paragraph11,Foot,Table Txt"/>
    <w:basedOn w:val="Normal"/>
    <w:link w:val="ListParagraphChar"/>
    <w:uiPriority w:val="34"/>
    <w:qFormat/>
    <w:rsid w:val="00D9660A"/>
    <w:pPr>
      <w:ind w:left="720"/>
      <w:contextualSpacing/>
    </w:pPr>
  </w:style>
  <w:style w:type="character" w:styleId="CommentReference">
    <w:name w:val="annotation reference"/>
    <w:basedOn w:val="DefaultParagraphFont"/>
    <w:uiPriority w:val="99"/>
    <w:unhideWhenUsed/>
    <w:rsid w:val="001726BB"/>
    <w:rPr>
      <w:sz w:val="16"/>
      <w:szCs w:val="16"/>
    </w:rPr>
  </w:style>
  <w:style w:type="paragraph" w:styleId="CommentText">
    <w:name w:val="annotation text"/>
    <w:basedOn w:val="Normal"/>
    <w:link w:val="CommentTextChar"/>
    <w:uiPriority w:val="99"/>
    <w:unhideWhenUsed/>
    <w:rsid w:val="001726BB"/>
    <w:rPr>
      <w:szCs w:val="20"/>
    </w:rPr>
  </w:style>
  <w:style w:type="character" w:customStyle="1" w:styleId="CommentTextChar">
    <w:name w:val="Comment Text Char"/>
    <w:basedOn w:val="DefaultParagraphFont"/>
    <w:link w:val="CommentText"/>
    <w:uiPriority w:val="99"/>
    <w:rsid w:val="001726BB"/>
    <w:rPr>
      <w:rFonts w:ascii="Gotham Light" w:hAnsi="Gotham Light"/>
      <w:sz w:val="20"/>
      <w:szCs w:val="20"/>
    </w:rPr>
  </w:style>
  <w:style w:type="paragraph" w:styleId="CommentSubject">
    <w:name w:val="annotation subject"/>
    <w:basedOn w:val="CommentText"/>
    <w:next w:val="CommentText"/>
    <w:link w:val="CommentSubjectChar"/>
    <w:uiPriority w:val="99"/>
    <w:semiHidden/>
    <w:unhideWhenUsed/>
    <w:rsid w:val="001726BB"/>
    <w:rPr>
      <w:b/>
      <w:bCs/>
    </w:rPr>
  </w:style>
  <w:style w:type="character" w:customStyle="1" w:styleId="CommentSubjectChar">
    <w:name w:val="Comment Subject Char"/>
    <w:basedOn w:val="CommentTextChar"/>
    <w:link w:val="CommentSubject"/>
    <w:uiPriority w:val="99"/>
    <w:semiHidden/>
    <w:rsid w:val="001726BB"/>
    <w:rPr>
      <w:rFonts w:ascii="Arial" w:hAnsi="Arial"/>
      <w:b/>
      <w:bCs/>
      <w:sz w:val="20"/>
      <w:szCs w:val="20"/>
    </w:rPr>
  </w:style>
  <w:style w:type="character" w:customStyle="1" w:styleId="Heading3Char">
    <w:name w:val="Heading 3 Char"/>
    <w:aliases w:val="Heading 3 - Annual Report Char"/>
    <w:basedOn w:val="DefaultParagraphFont"/>
    <w:link w:val="Heading3"/>
    <w:uiPriority w:val="9"/>
    <w:rsid w:val="00DD7C20"/>
    <w:rPr>
      <w:rFonts w:ascii="Arial" w:eastAsiaTheme="majorEastAsia" w:hAnsi="Arial" w:cstheme="majorBidi"/>
      <w:b/>
      <w:sz w:val="28"/>
    </w:rPr>
  </w:style>
  <w:style w:type="paragraph" w:styleId="TOCHeading">
    <w:name w:val="TOC Heading"/>
    <w:basedOn w:val="Heading1"/>
    <w:next w:val="Normal"/>
    <w:uiPriority w:val="39"/>
    <w:unhideWhenUsed/>
    <w:qFormat/>
    <w:rsid w:val="002C090F"/>
    <w:pPr>
      <w:spacing w:line="259" w:lineRule="auto"/>
      <w:outlineLvl w:val="9"/>
    </w:pPr>
    <w:rPr>
      <w:rFonts w:asciiTheme="majorHAnsi" w:hAnsiTheme="majorHAnsi"/>
      <w:color w:val="006B8B" w:themeColor="accent1" w:themeShade="BF"/>
      <w:sz w:val="32"/>
      <w:lang w:val="en-US"/>
    </w:rPr>
  </w:style>
  <w:style w:type="paragraph" w:styleId="TOC1">
    <w:name w:val="toc 1"/>
    <w:basedOn w:val="Normal"/>
    <w:next w:val="Normal"/>
    <w:autoRedefine/>
    <w:uiPriority w:val="39"/>
    <w:unhideWhenUsed/>
    <w:rsid w:val="0015799E"/>
    <w:pPr>
      <w:tabs>
        <w:tab w:val="right" w:leader="dot" w:pos="10440"/>
      </w:tabs>
      <w:spacing w:after="100"/>
    </w:pPr>
    <w:rPr>
      <w:noProof/>
    </w:rPr>
  </w:style>
  <w:style w:type="paragraph" w:styleId="TOC2">
    <w:name w:val="toc 2"/>
    <w:basedOn w:val="Normal"/>
    <w:next w:val="Normal"/>
    <w:autoRedefine/>
    <w:uiPriority w:val="39"/>
    <w:unhideWhenUsed/>
    <w:rsid w:val="002C090F"/>
    <w:pPr>
      <w:spacing w:after="100"/>
      <w:ind w:left="200"/>
    </w:pPr>
  </w:style>
  <w:style w:type="paragraph" w:styleId="TOC3">
    <w:name w:val="toc 3"/>
    <w:basedOn w:val="Normal"/>
    <w:next w:val="Normal"/>
    <w:autoRedefine/>
    <w:uiPriority w:val="39"/>
    <w:unhideWhenUsed/>
    <w:rsid w:val="002C090F"/>
    <w:pPr>
      <w:spacing w:after="100"/>
      <w:ind w:left="400"/>
    </w:pPr>
  </w:style>
  <w:style w:type="character" w:styleId="Hyperlink">
    <w:name w:val="Hyperlink"/>
    <w:basedOn w:val="DefaultParagraphFont"/>
    <w:uiPriority w:val="99"/>
    <w:unhideWhenUsed/>
    <w:rsid w:val="00216E6A"/>
    <w:rPr>
      <w:color w:val="0000FF"/>
      <w:u w:val="single"/>
    </w:rPr>
  </w:style>
  <w:style w:type="character" w:customStyle="1" w:styleId="Heading4Char">
    <w:name w:val="Heading 4 Char"/>
    <w:aliases w:val="Heading 4 - Annual report Char"/>
    <w:basedOn w:val="DefaultParagraphFont"/>
    <w:link w:val="Heading4"/>
    <w:uiPriority w:val="9"/>
    <w:rsid w:val="00E5494D"/>
    <w:rPr>
      <w:rFonts w:ascii="Arial" w:eastAsiaTheme="majorEastAsia" w:hAnsi="Arial" w:cstheme="majorBidi"/>
      <w:b/>
      <w:iCs/>
      <w:sz w:val="22"/>
    </w:rPr>
  </w:style>
  <w:style w:type="paragraph" w:styleId="FootnoteText">
    <w:name w:val="footnote text"/>
    <w:basedOn w:val="Normal"/>
    <w:link w:val="FootnoteTextChar"/>
    <w:uiPriority w:val="99"/>
    <w:semiHidden/>
    <w:unhideWhenUsed/>
    <w:rsid w:val="00522370"/>
    <w:rPr>
      <w:szCs w:val="20"/>
    </w:rPr>
  </w:style>
  <w:style w:type="character" w:customStyle="1" w:styleId="FootnoteTextChar">
    <w:name w:val="Footnote Text Char"/>
    <w:basedOn w:val="DefaultParagraphFont"/>
    <w:link w:val="FootnoteText"/>
    <w:uiPriority w:val="99"/>
    <w:semiHidden/>
    <w:rsid w:val="00522370"/>
    <w:rPr>
      <w:rFonts w:ascii="Gotham Light" w:hAnsi="Gotham Light"/>
      <w:sz w:val="20"/>
      <w:szCs w:val="20"/>
    </w:rPr>
  </w:style>
  <w:style w:type="character" w:styleId="FootnoteReference">
    <w:name w:val="footnote reference"/>
    <w:basedOn w:val="DefaultParagraphFont"/>
    <w:uiPriority w:val="99"/>
    <w:semiHidden/>
    <w:unhideWhenUsed/>
    <w:rsid w:val="00522370"/>
    <w:rPr>
      <w:vertAlign w:val="superscript"/>
    </w:rPr>
  </w:style>
  <w:style w:type="character" w:styleId="UnresolvedMention">
    <w:name w:val="Unresolved Mention"/>
    <w:basedOn w:val="DefaultParagraphFont"/>
    <w:uiPriority w:val="99"/>
    <w:rsid w:val="006E50F9"/>
    <w:rPr>
      <w:color w:val="605E5C"/>
      <w:shd w:val="clear" w:color="auto" w:fill="E1DFDD"/>
    </w:rPr>
  </w:style>
  <w:style w:type="character" w:styleId="Mention">
    <w:name w:val="Mention"/>
    <w:basedOn w:val="DefaultParagraphFont"/>
    <w:uiPriority w:val="99"/>
    <w:unhideWhenUsed/>
    <w:rsid w:val="00095F30"/>
    <w:rPr>
      <w:color w:val="2B579A"/>
      <w:shd w:val="clear" w:color="auto" w:fill="E1DFDD"/>
    </w:rPr>
  </w:style>
  <w:style w:type="paragraph" w:styleId="Revision">
    <w:name w:val="Revision"/>
    <w:hidden/>
    <w:uiPriority w:val="99"/>
    <w:semiHidden/>
    <w:rsid w:val="008C2DB8"/>
    <w:rPr>
      <w:rFonts w:ascii="Gotham Light" w:hAnsi="Gotham Light"/>
      <w:sz w:val="20"/>
    </w:rPr>
  </w:style>
  <w:style w:type="character" w:customStyle="1" w:styleId="ListParagraphChar">
    <w:name w:val="List Paragraph Char"/>
    <w:aliases w:val="Bullet List Char,FooterText Char,numbered Char,List Paragraph1 Char,Paragraphe de liste1 Char,Bulletr List Paragraph Char,列出段落 Char,列出段落1 Char,List Paragraph2 Char,List Paragraph21 Char,Listeafsnit1 Char,Parágrafo da Lista1 Char"/>
    <w:basedOn w:val="DefaultParagraphFont"/>
    <w:link w:val="ListParagraph"/>
    <w:uiPriority w:val="34"/>
    <w:qFormat/>
    <w:rsid w:val="003101F4"/>
    <w:rPr>
      <w:rFonts w:ascii="Gotham Light" w:hAnsi="Gotham Light"/>
      <w:sz w:val="20"/>
    </w:rPr>
  </w:style>
  <w:style w:type="character" w:styleId="FollowedHyperlink">
    <w:name w:val="FollowedHyperlink"/>
    <w:basedOn w:val="DefaultParagraphFont"/>
    <w:uiPriority w:val="99"/>
    <w:semiHidden/>
    <w:unhideWhenUsed/>
    <w:rsid w:val="006D0C8A"/>
    <w:rPr>
      <w:color w:val="A51D36" w:themeColor="followedHyperlink"/>
      <w:u w:val="single"/>
    </w:rPr>
  </w:style>
  <w:style w:type="paragraph" w:styleId="Caption">
    <w:name w:val="caption"/>
    <w:basedOn w:val="Normal"/>
    <w:next w:val="Normal"/>
    <w:uiPriority w:val="35"/>
    <w:unhideWhenUsed/>
    <w:qFormat/>
    <w:rsid w:val="00C423D9"/>
    <w:rPr>
      <w:rFonts w:cs="Arial"/>
      <w:b/>
      <w:szCs w:val="22"/>
    </w:rPr>
  </w:style>
  <w:style w:type="character" w:customStyle="1" w:styleId="Heading5Char">
    <w:name w:val="Heading 5 Char"/>
    <w:aliases w:val="- Annual Report Char"/>
    <w:basedOn w:val="DefaultParagraphFont"/>
    <w:link w:val="Heading5"/>
    <w:uiPriority w:val="9"/>
    <w:rsid w:val="005E54BA"/>
    <w:rPr>
      <w:rFonts w:ascii="Arial" w:eastAsiaTheme="majorEastAsia" w:hAnsi="Arial" w:cstheme="majorBidi"/>
      <w:b/>
      <w:sz w:val="20"/>
    </w:rPr>
  </w:style>
  <w:style w:type="character" w:customStyle="1" w:styleId="Heading6Char">
    <w:name w:val="Heading 6 Char"/>
    <w:basedOn w:val="DefaultParagraphFont"/>
    <w:link w:val="Heading6"/>
    <w:uiPriority w:val="9"/>
    <w:rsid w:val="00BF5F55"/>
    <w:rPr>
      <w:rFonts w:ascii="Gotham Medium" w:eastAsiaTheme="majorEastAsia" w:hAnsi="Gotham Medium" w:cstheme="majorBidi"/>
      <w:color w:val="020A0A" w:themeColor="text1"/>
      <w:sz w:val="20"/>
    </w:rPr>
  </w:style>
  <w:style w:type="paragraph" w:styleId="Subtitle">
    <w:name w:val="Subtitle"/>
    <w:basedOn w:val="Normal"/>
    <w:next w:val="Normal"/>
    <w:link w:val="SubtitleChar"/>
    <w:uiPriority w:val="11"/>
    <w:qFormat/>
    <w:rsid w:val="00BF5F55"/>
    <w:pPr>
      <w:numPr>
        <w:ilvl w:val="1"/>
      </w:numPr>
      <w:spacing w:after="160"/>
    </w:pPr>
    <w:rPr>
      <w:rFonts w:asciiTheme="minorHAnsi" w:hAnsiTheme="minorHAnsi"/>
      <w:color w:val="1F9C9C" w:themeColor="text1" w:themeTint="A5"/>
      <w:spacing w:val="15"/>
      <w:szCs w:val="22"/>
    </w:rPr>
  </w:style>
  <w:style w:type="character" w:customStyle="1" w:styleId="SubtitleChar">
    <w:name w:val="Subtitle Char"/>
    <w:basedOn w:val="DefaultParagraphFont"/>
    <w:link w:val="Subtitle"/>
    <w:uiPriority w:val="11"/>
    <w:rsid w:val="00BF5F55"/>
    <w:rPr>
      <w:color w:val="1F9C9C" w:themeColor="text1" w:themeTint="A5"/>
      <w:spacing w:val="15"/>
      <w:sz w:val="22"/>
      <w:szCs w:val="22"/>
    </w:rPr>
  </w:style>
  <w:style w:type="character" w:customStyle="1" w:styleId="normaltextrun">
    <w:name w:val="normaltextrun"/>
    <w:basedOn w:val="DefaultParagraphFont"/>
    <w:rsid w:val="00A37D2C"/>
  </w:style>
  <w:style w:type="paragraph" w:customStyle="1" w:styleId="PulloutBullet">
    <w:name w:val="Pullout Bullet"/>
    <w:basedOn w:val="Normal"/>
    <w:link w:val="PulloutBulletChar"/>
    <w:uiPriority w:val="8"/>
    <w:qFormat/>
    <w:rsid w:val="004606FC"/>
    <w:pPr>
      <w:numPr>
        <w:numId w:val="4"/>
      </w:numPr>
      <w:spacing w:before="60" w:after="60" w:line="254" w:lineRule="auto"/>
    </w:pPr>
    <w:rPr>
      <w:rFonts w:asciiTheme="minorHAnsi" w:eastAsiaTheme="minorHAnsi" w:hAnsiTheme="minorHAnsi"/>
      <w:sz w:val="16"/>
      <w:szCs w:val="22"/>
    </w:rPr>
  </w:style>
  <w:style w:type="paragraph" w:customStyle="1" w:styleId="PulloutBullet2">
    <w:name w:val="Pullout Bullet 2"/>
    <w:basedOn w:val="PulloutBullet"/>
    <w:uiPriority w:val="8"/>
    <w:qFormat/>
    <w:rsid w:val="004606FC"/>
    <w:pPr>
      <w:numPr>
        <w:ilvl w:val="1"/>
      </w:numPr>
    </w:pPr>
  </w:style>
  <w:style w:type="character" w:customStyle="1" w:styleId="PulloutBulletChar">
    <w:name w:val="Pullout Bullet Char"/>
    <w:basedOn w:val="DefaultParagraphFont"/>
    <w:link w:val="PulloutBullet"/>
    <w:uiPriority w:val="8"/>
    <w:rsid w:val="00464662"/>
    <w:rPr>
      <w:rFonts w:eastAsiaTheme="minorHAnsi"/>
      <w:sz w:val="16"/>
      <w:szCs w:val="22"/>
    </w:rPr>
  </w:style>
  <w:style w:type="character" w:customStyle="1" w:styleId="Heading9Char">
    <w:name w:val="Heading 9 Char"/>
    <w:basedOn w:val="DefaultParagraphFont"/>
    <w:link w:val="Heading9"/>
    <w:uiPriority w:val="9"/>
    <w:semiHidden/>
    <w:rsid w:val="005D441E"/>
    <w:rPr>
      <w:rFonts w:asciiTheme="majorHAnsi" w:eastAsiaTheme="majorEastAsia" w:hAnsiTheme="majorHAnsi" w:cstheme="majorBidi"/>
      <w:i/>
      <w:iCs/>
      <w:color w:val="0E4949" w:themeColor="text1" w:themeTint="D8"/>
      <w:sz w:val="21"/>
      <w:szCs w:val="21"/>
    </w:rPr>
  </w:style>
  <w:style w:type="paragraph" w:customStyle="1" w:styleId="Subheading">
    <w:name w:val="Sub heading"/>
    <w:basedOn w:val="Normal"/>
    <w:next w:val="Heading3"/>
    <w:link w:val="SubheadingChar"/>
    <w:qFormat/>
    <w:rsid w:val="005D441E"/>
    <w:pPr>
      <w:autoSpaceDE w:val="0"/>
      <w:autoSpaceDN w:val="0"/>
      <w:adjustRightInd w:val="0"/>
      <w:spacing w:after="120"/>
    </w:pPr>
    <w:rPr>
      <w:rFonts w:ascii="Gotham Medium" w:hAnsi="Gotham Medium"/>
      <w:bCs/>
      <w:iCs/>
      <w:color w:val="020A0A" w:themeColor="text1"/>
      <w:szCs w:val="22"/>
    </w:rPr>
  </w:style>
  <w:style w:type="character" w:customStyle="1" w:styleId="SubheadingChar">
    <w:name w:val="Sub heading Char"/>
    <w:basedOn w:val="DefaultParagraphFont"/>
    <w:link w:val="Subheading"/>
    <w:rsid w:val="005D441E"/>
    <w:rPr>
      <w:rFonts w:ascii="Gotham Medium" w:hAnsi="Gotham Medium"/>
      <w:bCs/>
      <w:iCs/>
      <w:color w:val="020A0A" w:themeColor="text1"/>
      <w:sz w:val="22"/>
      <w:szCs w:val="22"/>
    </w:rPr>
  </w:style>
  <w:style w:type="paragraph" w:customStyle="1" w:styleId="TableTextHeading">
    <w:name w:val="Table Text Heading"/>
    <w:basedOn w:val="Normal"/>
    <w:link w:val="TableTextHeadingChar"/>
    <w:uiPriority w:val="13"/>
    <w:rsid w:val="007147A1"/>
    <w:pPr>
      <w:spacing w:before="60" w:after="60" w:line="264" w:lineRule="auto"/>
      <w:jc w:val="center"/>
    </w:pPr>
    <w:rPr>
      <w:rFonts w:eastAsiaTheme="minorHAnsi"/>
      <w:b/>
      <w:sz w:val="19"/>
      <w:szCs w:val="18"/>
    </w:rPr>
  </w:style>
  <w:style w:type="paragraph" w:customStyle="1" w:styleId="TableText">
    <w:name w:val="Table Text"/>
    <w:basedOn w:val="Normal"/>
    <w:link w:val="TableTextChar"/>
    <w:autoRedefine/>
    <w:uiPriority w:val="3"/>
    <w:qFormat/>
    <w:rsid w:val="007147A1"/>
    <w:pPr>
      <w:spacing w:before="60" w:after="60" w:line="264" w:lineRule="auto"/>
    </w:pPr>
    <w:rPr>
      <w:rFonts w:eastAsiaTheme="minorHAnsi"/>
      <w:sz w:val="19"/>
      <w:szCs w:val="19"/>
    </w:rPr>
  </w:style>
  <w:style w:type="paragraph" w:customStyle="1" w:styleId="TableTextRight">
    <w:name w:val="Table Text Right"/>
    <w:basedOn w:val="Normal"/>
    <w:uiPriority w:val="16"/>
    <w:qFormat/>
    <w:rsid w:val="007147A1"/>
    <w:pPr>
      <w:spacing w:before="60" w:after="60" w:line="264" w:lineRule="auto"/>
      <w:jc w:val="right"/>
    </w:pPr>
    <w:rPr>
      <w:rFonts w:eastAsiaTheme="minorHAnsi"/>
      <w:sz w:val="19"/>
      <w:szCs w:val="18"/>
    </w:rPr>
  </w:style>
  <w:style w:type="character" w:customStyle="1" w:styleId="Bold">
    <w:name w:val="Bold"/>
    <w:basedOn w:val="DefaultParagraphFont"/>
    <w:uiPriority w:val="1"/>
    <w:qFormat/>
    <w:rsid w:val="007147A1"/>
    <w:rPr>
      <w:rFonts w:ascii="Arial Bold" w:hAnsi="Arial Bold"/>
      <w:b/>
      <w:sz w:val="19"/>
    </w:rPr>
  </w:style>
  <w:style w:type="character" w:customStyle="1" w:styleId="TableTextHeadingChar">
    <w:name w:val="Table Text Heading Char"/>
    <w:basedOn w:val="DefaultParagraphFont"/>
    <w:link w:val="TableTextHeading"/>
    <w:uiPriority w:val="13"/>
    <w:rsid w:val="007147A1"/>
    <w:rPr>
      <w:rFonts w:ascii="Arial" w:eastAsiaTheme="minorHAnsi" w:hAnsi="Arial"/>
      <w:b/>
      <w:sz w:val="19"/>
      <w:szCs w:val="18"/>
    </w:rPr>
  </w:style>
  <w:style w:type="character" w:customStyle="1" w:styleId="TableTextChar">
    <w:name w:val="Table Text Char"/>
    <w:basedOn w:val="DefaultParagraphFont"/>
    <w:link w:val="TableText"/>
    <w:uiPriority w:val="14"/>
    <w:rsid w:val="007147A1"/>
    <w:rPr>
      <w:rFonts w:ascii="Arial" w:eastAsiaTheme="minorHAnsi" w:hAnsi="Arial"/>
      <w:sz w:val="19"/>
      <w:szCs w:val="19"/>
    </w:rPr>
  </w:style>
  <w:style w:type="paragraph" w:customStyle="1" w:styleId="EstimatesBullet1">
    <w:name w:val="Estimates_Bullet 1"/>
    <w:basedOn w:val="Normal"/>
    <w:rsid w:val="0052073B"/>
    <w:pPr>
      <w:numPr>
        <w:numId w:val="7"/>
      </w:numPr>
      <w:ind w:right="-143"/>
    </w:pPr>
    <w:rPr>
      <w:rFonts w:eastAsia="Times New Roman" w:cs="Times New Roman"/>
      <w:spacing w:val="-3"/>
      <w:sz w:val="24"/>
      <w:lang w:eastAsia="en-AU"/>
    </w:rPr>
  </w:style>
  <w:style w:type="character" w:customStyle="1" w:styleId="ui-provider">
    <w:name w:val="ui-provider"/>
    <w:basedOn w:val="DefaultParagraphFont"/>
    <w:rsid w:val="0052073B"/>
  </w:style>
  <w:style w:type="paragraph" w:customStyle="1" w:styleId="paragraph">
    <w:name w:val="paragraph"/>
    <w:basedOn w:val="Normal"/>
    <w:rsid w:val="004B69EC"/>
    <w:pPr>
      <w:spacing w:before="100" w:beforeAutospacing="1" w:after="100" w:afterAutospacing="1"/>
    </w:pPr>
    <w:rPr>
      <w:rFonts w:ascii="Times New Roman" w:eastAsia="Times New Roman" w:hAnsi="Times New Roman" w:cs="Times New Roman"/>
      <w:sz w:val="24"/>
      <w:lang w:eastAsia="en-AU"/>
    </w:rPr>
  </w:style>
  <w:style w:type="character" w:customStyle="1" w:styleId="eop">
    <w:name w:val="eop"/>
    <w:basedOn w:val="DefaultParagraphFont"/>
    <w:rsid w:val="004B69EC"/>
  </w:style>
  <w:style w:type="character" w:styleId="Strong">
    <w:name w:val="Strong"/>
    <w:basedOn w:val="DefaultParagraphFont"/>
    <w:uiPriority w:val="22"/>
    <w:qFormat/>
    <w:rsid w:val="005C6A07"/>
    <w:rPr>
      <w:b/>
      <w:bCs/>
    </w:rPr>
  </w:style>
  <w:style w:type="paragraph" w:styleId="Title">
    <w:name w:val="Title"/>
    <w:basedOn w:val="Normal"/>
    <w:next w:val="Normal"/>
    <w:link w:val="TitleChar"/>
    <w:uiPriority w:val="10"/>
    <w:qFormat/>
    <w:rsid w:val="003F20F2"/>
    <w:pPr>
      <w:spacing w:after="80"/>
      <w:contextualSpacing/>
    </w:pPr>
    <w:rPr>
      <w:rFonts w:eastAsiaTheme="majorEastAsia" w:cstheme="majorBidi"/>
      <w:b/>
      <w:spacing w:val="-10"/>
      <w:kern w:val="28"/>
      <w:sz w:val="56"/>
      <w:szCs w:val="56"/>
      <w14:ligatures w14:val="standardContextual"/>
    </w:rPr>
  </w:style>
  <w:style w:type="character" w:customStyle="1" w:styleId="TitleChar">
    <w:name w:val="Title Char"/>
    <w:basedOn w:val="DefaultParagraphFont"/>
    <w:link w:val="Title"/>
    <w:uiPriority w:val="10"/>
    <w:rsid w:val="006E7141"/>
    <w:rPr>
      <w:rFonts w:ascii="Arial" w:eastAsiaTheme="majorEastAsia" w:hAnsi="Arial" w:cstheme="majorBidi"/>
      <w:b/>
      <w:spacing w:val="-10"/>
      <w:kern w:val="28"/>
      <w:sz w:val="56"/>
      <w:szCs w:val="56"/>
      <w14:ligatures w14:val="standardContextual"/>
    </w:rPr>
  </w:style>
  <w:style w:type="character" w:customStyle="1" w:styleId="Heading7Char">
    <w:name w:val="Heading 7 Char"/>
    <w:basedOn w:val="DefaultParagraphFont"/>
    <w:link w:val="Heading7"/>
    <w:uiPriority w:val="9"/>
    <w:rsid w:val="00AB703E"/>
    <w:rPr>
      <w:rFonts w:asciiTheme="majorHAnsi" w:eastAsiaTheme="majorEastAsia" w:hAnsiTheme="majorHAnsi" w:cstheme="majorBidi"/>
      <w:i/>
      <w:iCs/>
      <w:color w:val="00475C" w:themeColor="accent1" w:themeShade="7F"/>
      <w:sz w:val="20"/>
    </w:rPr>
  </w:style>
  <w:style w:type="character" w:customStyle="1" w:styleId="Heading8Char">
    <w:name w:val="Heading 8 Char"/>
    <w:basedOn w:val="DefaultParagraphFont"/>
    <w:link w:val="Heading8"/>
    <w:uiPriority w:val="9"/>
    <w:rsid w:val="00AB703E"/>
    <w:rPr>
      <w:rFonts w:asciiTheme="majorHAnsi" w:eastAsiaTheme="majorEastAsia" w:hAnsiTheme="majorHAnsi" w:cstheme="majorBidi"/>
      <w:color w:val="0E4949" w:themeColor="text1" w:themeTint="D8"/>
      <w:sz w:val="21"/>
      <w:szCs w:val="21"/>
    </w:rPr>
  </w:style>
  <w:style w:type="paragraph" w:styleId="ListBullet">
    <w:name w:val="List Bullet"/>
    <w:basedOn w:val="Normal"/>
    <w:uiPriority w:val="9"/>
    <w:rsid w:val="008217FE"/>
    <w:pPr>
      <w:numPr>
        <w:numId w:val="11"/>
      </w:numPr>
      <w:spacing w:before="60" w:after="60" w:line="264" w:lineRule="auto"/>
    </w:pPr>
    <w:rPr>
      <w:rFonts w:eastAsiaTheme="minorHAnsi"/>
      <w:sz w:val="19"/>
      <w:szCs w:val="18"/>
    </w:rPr>
  </w:style>
  <w:style w:type="table" w:styleId="TableGridLight">
    <w:name w:val="Grid Table Light"/>
    <w:basedOn w:val="TableNormal"/>
    <w:uiPriority w:val="40"/>
    <w:rsid w:val="00A44B8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4">
    <w:name w:val="Plain Table 4"/>
    <w:basedOn w:val="TableNormal"/>
    <w:uiPriority w:val="44"/>
    <w:rsid w:val="00C106A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ableofFigures">
    <w:name w:val="table of figures"/>
    <w:basedOn w:val="Normal"/>
    <w:next w:val="Normal"/>
    <w:uiPriority w:val="99"/>
    <w:unhideWhenUsed/>
    <w:rsid w:val="00BA166B"/>
  </w:style>
  <w:style w:type="table" w:styleId="PlainTable1">
    <w:name w:val="Plain Table 1"/>
    <w:basedOn w:val="TableNormal"/>
    <w:uiPriority w:val="41"/>
    <w:rsid w:val="00C2670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iPriority w:val="99"/>
    <w:semiHidden/>
    <w:unhideWhenUsed/>
    <w:rsid w:val="003C1809"/>
    <w:rPr>
      <w:sz w:val="20"/>
      <w:szCs w:val="20"/>
    </w:rPr>
  </w:style>
  <w:style w:type="character" w:customStyle="1" w:styleId="EndnoteTextChar">
    <w:name w:val="Endnote Text Char"/>
    <w:basedOn w:val="DefaultParagraphFont"/>
    <w:link w:val="EndnoteText"/>
    <w:uiPriority w:val="99"/>
    <w:semiHidden/>
    <w:rsid w:val="003C1809"/>
    <w:rPr>
      <w:rFonts w:ascii="Arial" w:hAnsi="Arial"/>
      <w:sz w:val="20"/>
      <w:szCs w:val="20"/>
    </w:rPr>
  </w:style>
  <w:style w:type="character" w:styleId="EndnoteReference">
    <w:name w:val="endnote reference"/>
    <w:basedOn w:val="DefaultParagraphFont"/>
    <w:uiPriority w:val="99"/>
    <w:semiHidden/>
    <w:unhideWhenUsed/>
    <w:rsid w:val="003C1809"/>
    <w:rPr>
      <w:vertAlign w:val="superscript"/>
    </w:rPr>
  </w:style>
  <w:style w:type="paragraph" w:customStyle="1" w:styleId="TableParagraph">
    <w:name w:val="Table Paragraph"/>
    <w:basedOn w:val="Normal"/>
    <w:uiPriority w:val="1"/>
    <w:qFormat/>
    <w:rsid w:val="004C1897"/>
    <w:pPr>
      <w:widowControl w:val="0"/>
      <w:autoSpaceDE w:val="0"/>
      <w:autoSpaceDN w:val="0"/>
      <w:spacing w:before="100"/>
      <w:ind w:left="104"/>
    </w:pPr>
    <w:rPr>
      <w:rFonts w:eastAsia="Arial" w:cs="Arial"/>
      <w:szCs w:val="22"/>
      <w:lang w:val="en-US"/>
    </w:rPr>
  </w:style>
  <w:style w:type="paragraph" w:styleId="BodyText">
    <w:name w:val="Body Text"/>
    <w:basedOn w:val="Normal"/>
    <w:link w:val="BodyTextChar"/>
    <w:uiPriority w:val="1"/>
    <w:qFormat/>
    <w:rsid w:val="00C55868"/>
    <w:pPr>
      <w:widowControl w:val="0"/>
      <w:autoSpaceDE w:val="0"/>
      <w:autoSpaceDN w:val="0"/>
    </w:pPr>
    <w:rPr>
      <w:rFonts w:eastAsia="Arial" w:cs="Arial"/>
      <w:i/>
      <w:iCs/>
      <w:sz w:val="16"/>
      <w:szCs w:val="16"/>
      <w:lang w:val="en-US"/>
    </w:rPr>
  </w:style>
  <w:style w:type="character" w:customStyle="1" w:styleId="BodyTextChar">
    <w:name w:val="Body Text Char"/>
    <w:basedOn w:val="DefaultParagraphFont"/>
    <w:link w:val="BodyText"/>
    <w:uiPriority w:val="1"/>
    <w:rsid w:val="00C55868"/>
    <w:rPr>
      <w:rFonts w:ascii="Arial" w:eastAsia="Arial" w:hAnsi="Arial" w:cs="Arial"/>
      <w:i/>
      <w:iCs/>
      <w:sz w:val="16"/>
      <w:szCs w:val="16"/>
      <w:lang w:val="en-US"/>
    </w:rPr>
  </w:style>
  <w:style w:type="table" w:styleId="GridTable3-Accent2">
    <w:name w:val="Grid Table 3 Accent 2"/>
    <w:basedOn w:val="TableNormal"/>
    <w:uiPriority w:val="48"/>
    <w:rsid w:val="000C215C"/>
    <w:tblPr>
      <w:tblStyleRowBandSize w:val="1"/>
      <w:tblStyleColBandSize w:val="1"/>
      <w:tblBorders>
        <w:top w:val="single" w:sz="4" w:space="0" w:color="E25D75" w:themeColor="accent2" w:themeTint="99"/>
        <w:left w:val="single" w:sz="4" w:space="0" w:color="E25D75" w:themeColor="accent2" w:themeTint="99"/>
        <w:bottom w:val="single" w:sz="4" w:space="0" w:color="E25D75" w:themeColor="accent2" w:themeTint="99"/>
        <w:right w:val="single" w:sz="4" w:space="0" w:color="E25D75" w:themeColor="accent2" w:themeTint="99"/>
        <w:insideH w:val="single" w:sz="4" w:space="0" w:color="E25D75" w:themeColor="accent2" w:themeTint="99"/>
        <w:insideV w:val="single" w:sz="4" w:space="0" w:color="E25D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C9D1" w:themeFill="accent2" w:themeFillTint="33"/>
      </w:tcPr>
    </w:tblStylePr>
    <w:tblStylePr w:type="band1Horz">
      <w:tblPr/>
      <w:tcPr>
        <w:shd w:val="clear" w:color="auto" w:fill="F5C9D1" w:themeFill="accent2" w:themeFillTint="33"/>
      </w:tcPr>
    </w:tblStylePr>
    <w:tblStylePr w:type="neCell">
      <w:tblPr/>
      <w:tcPr>
        <w:tcBorders>
          <w:bottom w:val="single" w:sz="4" w:space="0" w:color="E25D75" w:themeColor="accent2" w:themeTint="99"/>
        </w:tcBorders>
      </w:tcPr>
    </w:tblStylePr>
    <w:tblStylePr w:type="nwCell">
      <w:tblPr/>
      <w:tcPr>
        <w:tcBorders>
          <w:bottom w:val="single" w:sz="4" w:space="0" w:color="E25D75" w:themeColor="accent2" w:themeTint="99"/>
        </w:tcBorders>
      </w:tcPr>
    </w:tblStylePr>
    <w:tblStylePr w:type="seCell">
      <w:tblPr/>
      <w:tcPr>
        <w:tcBorders>
          <w:top w:val="single" w:sz="4" w:space="0" w:color="E25D75" w:themeColor="accent2" w:themeTint="99"/>
        </w:tcBorders>
      </w:tcPr>
    </w:tblStylePr>
    <w:tblStylePr w:type="swCell">
      <w:tblPr/>
      <w:tcPr>
        <w:tcBorders>
          <w:top w:val="single" w:sz="4" w:space="0" w:color="E25D75" w:themeColor="accent2" w:themeTint="99"/>
        </w:tcBorders>
      </w:tcPr>
    </w:tblStylePr>
  </w:style>
  <w:style w:type="paragraph" w:customStyle="1" w:styleId="TableNotes">
    <w:name w:val="Table Notes"/>
    <w:basedOn w:val="Normal"/>
    <w:uiPriority w:val="22"/>
    <w:qFormat/>
    <w:rsid w:val="00A32F8C"/>
    <w:pPr>
      <w:tabs>
        <w:tab w:val="left" w:pos="357"/>
      </w:tabs>
      <w:spacing w:before="60" w:after="60" w:line="264" w:lineRule="auto"/>
    </w:pPr>
    <w:rPr>
      <w:rFonts w:ascii="Noto Sans" w:eastAsiaTheme="minorHAnsi" w:hAnsi="Noto Sans"/>
      <w:sz w:val="16"/>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4247">
      <w:bodyDiv w:val="1"/>
      <w:marLeft w:val="0"/>
      <w:marRight w:val="0"/>
      <w:marTop w:val="0"/>
      <w:marBottom w:val="0"/>
      <w:divBdr>
        <w:top w:val="none" w:sz="0" w:space="0" w:color="auto"/>
        <w:left w:val="none" w:sz="0" w:space="0" w:color="auto"/>
        <w:bottom w:val="none" w:sz="0" w:space="0" w:color="auto"/>
        <w:right w:val="none" w:sz="0" w:space="0" w:color="auto"/>
      </w:divBdr>
    </w:div>
    <w:div w:id="5792483">
      <w:bodyDiv w:val="1"/>
      <w:marLeft w:val="0"/>
      <w:marRight w:val="0"/>
      <w:marTop w:val="0"/>
      <w:marBottom w:val="0"/>
      <w:divBdr>
        <w:top w:val="none" w:sz="0" w:space="0" w:color="auto"/>
        <w:left w:val="none" w:sz="0" w:space="0" w:color="auto"/>
        <w:bottom w:val="none" w:sz="0" w:space="0" w:color="auto"/>
        <w:right w:val="none" w:sz="0" w:space="0" w:color="auto"/>
      </w:divBdr>
    </w:div>
    <w:div w:id="15544180">
      <w:bodyDiv w:val="1"/>
      <w:marLeft w:val="0"/>
      <w:marRight w:val="0"/>
      <w:marTop w:val="0"/>
      <w:marBottom w:val="0"/>
      <w:divBdr>
        <w:top w:val="none" w:sz="0" w:space="0" w:color="auto"/>
        <w:left w:val="none" w:sz="0" w:space="0" w:color="auto"/>
        <w:bottom w:val="none" w:sz="0" w:space="0" w:color="auto"/>
        <w:right w:val="none" w:sz="0" w:space="0" w:color="auto"/>
      </w:divBdr>
    </w:div>
    <w:div w:id="18241130">
      <w:bodyDiv w:val="1"/>
      <w:marLeft w:val="0"/>
      <w:marRight w:val="0"/>
      <w:marTop w:val="0"/>
      <w:marBottom w:val="0"/>
      <w:divBdr>
        <w:top w:val="none" w:sz="0" w:space="0" w:color="auto"/>
        <w:left w:val="none" w:sz="0" w:space="0" w:color="auto"/>
        <w:bottom w:val="none" w:sz="0" w:space="0" w:color="auto"/>
        <w:right w:val="none" w:sz="0" w:space="0" w:color="auto"/>
      </w:divBdr>
      <w:divsChild>
        <w:div w:id="722026587">
          <w:marLeft w:val="0"/>
          <w:marRight w:val="0"/>
          <w:marTop w:val="0"/>
          <w:marBottom w:val="0"/>
          <w:divBdr>
            <w:top w:val="none" w:sz="0" w:space="0" w:color="auto"/>
            <w:left w:val="none" w:sz="0" w:space="0" w:color="auto"/>
            <w:bottom w:val="none" w:sz="0" w:space="0" w:color="auto"/>
            <w:right w:val="none" w:sz="0" w:space="0" w:color="auto"/>
          </w:divBdr>
          <w:divsChild>
            <w:div w:id="1364210155">
              <w:marLeft w:val="0"/>
              <w:marRight w:val="0"/>
              <w:marTop w:val="0"/>
              <w:marBottom w:val="0"/>
              <w:divBdr>
                <w:top w:val="none" w:sz="0" w:space="0" w:color="auto"/>
                <w:left w:val="none" w:sz="0" w:space="0" w:color="auto"/>
                <w:bottom w:val="none" w:sz="0" w:space="0" w:color="auto"/>
                <w:right w:val="none" w:sz="0" w:space="0" w:color="auto"/>
              </w:divBdr>
              <w:divsChild>
                <w:div w:id="1651252645">
                  <w:marLeft w:val="0"/>
                  <w:marRight w:val="0"/>
                  <w:marTop w:val="0"/>
                  <w:marBottom w:val="0"/>
                  <w:divBdr>
                    <w:top w:val="none" w:sz="0" w:space="0" w:color="auto"/>
                    <w:left w:val="none" w:sz="0" w:space="0" w:color="auto"/>
                    <w:bottom w:val="none" w:sz="0" w:space="0" w:color="auto"/>
                    <w:right w:val="none" w:sz="0" w:space="0" w:color="auto"/>
                  </w:divBdr>
                  <w:divsChild>
                    <w:div w:id="851064625">
                      <w:marLeft w:val="0"/>
                      <w:marRight w:val="0"/>
                      <w:marTop w:val="0"/>
                      <w:marBottom w:val="0"/>
                      <w:divBdr>
                        <w:top w:val="none" w:sz="0" w:space="0" w:color="auto"/>
                        <w:left w:val="none" w:sz="0" w:space="0" w:color="auto"/>
                        <w:bottom w:val="none" w:sz="0" w:space="0" w:color="auto"/>
                        <w:right w:val="none" w:sz="0" w:space="0" w:color="auto"/>
                      </w:divBdr>
                      <w:divsChild>
                        <w:div w:id="685910357">
                          <w:marLeft w:val="0"/>
                          <w:marRight w:val="0"/>
                          <w:marTop w:val="0"/>
                          <w:marBottom w:val="0"/>
                          <w:divBdr>
                            <w:top w:val="none" w:sz="0" w:space="0" w:color="auto"/>
                            <w:left w:val="none" w:sz="0" w:space="0" w:color="auto"/>
                            <w:bottom w:val="none" w:sz="0" w:space="0" w:color="auto"/>
                            <w:right w:val="none" w:sz="0" w:space="0" w:color="auto"/>
                          </w:divBdr>
                          <w:divsChild>
                            <w:div w:id="65523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408284">
      <w:bodyDiv w:val="1"/>
      <w:marLeft w:val="0"/>
      <w:marRight w:val="0"/>
      <w:marTop w:val="0"/>
      <w:marBottom w:val="0"/>
      <w:divBdr>
        <w:top w:val="none" w:sz="0" w:space="0" w:color="auto"/>
        <w:left w:val="none" w:sz="0" w:space="0" w:color="auto"/>
        <w:bottom w:val="none" w:sz="0" w:space="0" w:color="auto"/>
        <w:right w:val="none" w:sz="0" w:space="0" w:color="auto"/>
      </w:divBdr>
    </w:div>
    <w:div w:id="24840291">
      <w:bodyDiv w:val="1"/>
      <w:marLeft w:val="0"/>
      <w:marRight w:val="0"/>
      <w:marTop w:val="0"/>
      <w:marBottom w:val="0"/>
      <w:divBdr>
        <w:top w:val="none" w:sz="0" w:space="0" w:color="auto"/>
        <w:left w:val="none" w:sz="0" w:space="0" w:color="auto"/>
        <w:bottom w:val="none" w:sz="0" w:space="0" w:color="auto"/>
        <w:right w:val="none" w:sz="0" w:space="0" w:color="auto"/>
      </w:divBdr>
    </w:div>
    <w:div w:id="31544440">
      <w:bodyDiv w:val="1"/>
      <w:marLeft w:val="0"/>
      <w:marRight w:val="0"/>
      <w:marTop w:val="0"/>
      <w:marBottom w:val="0"/>
      <w:divBdr>
        <w:top w:val="none" w:sz="0" w:space="0" w:color="auto"/>
        <w:left w:val="none" w:sz="0" w:space="0" w:color="auto"/>
        <w:bottom w:val="none" w:sz="0" w:space="0" w:color="auto"/>
        <w:right w:val="none" w:sz="0" w:space="0" w:color="auto"/>
      </w:divBdr>
      <w:divsChild>
        <w:div w:id="637036107">
          <w:marLeft w:val="0"/>
          <w:marRight w:val="0"/>
          <w:marTop w:val="0"/>
          <w:marBottom w:val="0"/>
          <w:divBdr>
            <w:top w:val="none" w:sz="0" w:space="0" w:color="auto"/>
            <w:left w:val="none" w:sz="0" w:space="0" w:color="auto"/>
            <w:bottom w:val="none" w:sz="0" w:space="0" w:color="auto"/>
            <w:right w:val="none" w:sz="0" w:space="0" w:color="auto"/>
          </w:divBdr>
        </w:div>
        <w:div w:id="724568489">
          <w:marLeft w:val="0"/>
          <w:marRight w:val="0"/>
          <w:marTop w:val="0"/>
          <w:marBottom w:val="0"/>
          <w:divBdr>
            <w:top w:val="none" w:sz="0" w:space="0" w:color="auto"/>
            <w:left w:val="none" w:sz="0" w:space="0" w:color="auto"/>
            <w:bottom w:val="none" w:sz="0" w:space="0" w:color="auto"/>
            <w:right w:val="none" w:sz="0" w:space="0" w:color="auto"/>
          </w:divBdr>
        </w:div>
        <w:div w:id="930040536">
          <w:marLeft w:val="0"/>
          <w:marRight w:val="0"/>
          <w:marTop w:val="0"/>
          <w:marBottom w:val="0"/>
          <w:divBdr>
            <w:top w:val="none" w:sz="0" w:space="0" w:color="auto"/>
            <w:left w:val="none" w:sz="0" w:space="0" w:color="auto"/>
            <w:bottom w:val="none" w:sz="0" w:space="0" w:color="auto"/>
            <w:right w:val="none" w:sz="0" w:space="0" w:color="auto"/>
          </w:divBdr>
        </w:div>
        <w:div w:id="1723560778">
          <w:marLeft w:val="0"/>
          <w:marRight w:val="0"/>
          <w:marTop w:val="0"/>
          <w:marBottom w:val="0"/>
          <w:divBdr>
            <w:top w:val="none" w:sz="0" w:space="0" w:color="auto"/>
            <w:left w:val="none" w:sz="0" w:space="0" w:color="auto"/>
            <w:bottom w:val="none" w:sz="0" w:space="0" w:color="auto"/>
            <w:right w:val="none" w:sz="0" w:space="0" w:color="auto"/>
          </w:divBdr>
        </w:div>
        <w:div w:id="1728406930">
          <w:marLeft w:val="0"/>
          <w:marRight w:val="0"/>
          <w:marTop w:val="0"/>
          <w:marBottom w:val="0"/>
          <w:divBdr>
            <w:top w:val="none" w:sz="0" w:space="0" w:color="auto"/>
            <w:left w:val="none" w:sz="0" w:space="0" w:color="auto"/>
            <w:bottom w:val="none" w:sz="0" w:space="0" w:color="auto"/>
            <w:right w:val="none" w:sz="0" w:space="0" w:color="auto"/>
          </w:divBdr>
          <w:divsChild>
            <w:div w:id="191185470">
              <w:marLeft w:val="-75"/>
              <w:marRight w:val="0"/>
              <w:marTop w:val="30"/>
              <w:marBottom w:val="30"/>
              <w:divBdr>
                <w:top w:val="none" w:sz="0" w:space="0" w:color="auto"/>
                <w:left w:val="none" w:sz="0" w:space="0" w:color="auto"/>
                <w:bottom w:val="none" w:sz="0" w:space="0" w:color="auto"/>
                <w:right w:val="none" w:sz="0" w:space="0" w:color="auto"/>
              </w:divBdr>
              <w:divsChild>
                <w:div w:id="7565749">
                  <w:marLeft w:val="0"/>
                  <w:marRight w:val="0"/>
                  <w:marTop w:val="0"/>
                  <w:marBottom w:val="0"/>
                  <w:divBdr>
                    <w:top w:val="none" w:sz="0" w:space="0" w:color="auto"/>
                    <w:left w:val="none" w:sz="0" w:space="0" w:color="auto"/>
                    <w:bottom w:val="none" w:sz="0" w:space="0" w:color="auto"/>
                    <w:right w:val="none" w:sz="0" w:space="0" w:color="auto"/>
                  </w:divBdr>
                  <w:divsChild>
                    <w:div w:id="901066568">
                      <w:marLeft w:val="0"/>
                      <w:marRight w:val="0"/>
                      <w:marTop w:val="0"/>
                      <w:marBottom w:val="0"/>
                      <w:divBdr>
                        <w:top w:val="none" w:sz="0" w:space="0" w:color="auto"/>
                        <w:left w:val="none" w:sz="0" w:space="0" w:color="auto"/>
                        <w:bottom w:val="none" w:sz="0" w:space="0" w:color="auto"/>
                        <w:right w:val="none" w:sz="0" w:space="0" w:color="auto"/>
                      </w:divBdr>
                    </w:div>
                  </w:divsChild>
                </w:div>
                <w:div w:id="48765833">
                  <w:marLeft w:val="0"/>
                  <w:marRight w:val="0"/>
                  <w:marTop w:val="0"/>
                  <w:marBottom w:val="0"/>
                  <w:divBdr>
                    <w:top w:val="none" w:sz="0" w:space="0" w:color="auto"/>
                    <w:left w:val="none" w:sz="0" w:space="0" w:color="auto"/>
                    <w:bottom w:val="none" w:sz="0" w:space="0" w:color="auto"/>
                    <w:right w:val="none" w:sz="0" w:space="0" w:color="auto"/>
                  </w:divBdr>
                  <w:divsChild>
                    <w:div w:id="1486893783">
                      <w:marLeft w:val="0"/>
                      <w:marRight w:val="0"/>
                      <w:marTop w:val="0"/>
                      <w:marBottom w:val="0"/>
                      <w:divBdr>
                        <w:top w:val="none" w:sz="0" w:space="0" w:color="auto"/>
                        <w:left w:val="none" w:sz="0" w:space="0" w:color="auto"/>
                        <w:bottom w:val="none" w:sz="0" w:space="0" w:color="auto"/>
                        <w:right w:val="none" w:sz="0" w:space="0" w:color="auto"/>
                      </w:divBdr>
                    </w:div>
                  </w:divsChild>
                </w:div>
                <w:div w:id="55058229">
                  <w:marLeft w:val="0"/>
                  <w:marRight w:val="0"/>
                  <w:marTop w:val="0"/>
                  <w:marBottom w:val="0"/>
                  <w:divBdr>
                    <w:top w:val="none" w:sz="0" w:space="0" w:color="auto"/>
                    <w:left w:val="none" w:sz="0" w:space="0" w:color="auto"/>
                    <w:bottom w:val="none" w:sz="0" w:space="0" w:color="auto"/>
                    <w:right w:val="none" w:sz="0" w:space="0" w:color="auto"/>
                  </w:divBdr>
                  <w:divsChild>
                    <w:div w:id="1000352888">
                      <w:marLeft w:val="0"/>
                      <w:marRight w:val="0"/>
                      <w:marTop w:val="0"/>
                      <w:marBottom w:val="0"/>
                      <w:divBdr>
                        <w:top w:val="none" w:sz="0" w:space="0" w:color="auto"/>
                        <w:left w:val="none" w:sz="0" w:space="0" w:color="auto"/>
                        <w:bottom w:val="none" w:sz="0" w:space="0" w:color="auto"/>
                        <w:right w:val="none" w:sz="0" w:space="0" w:color="auto"/>
                      </w:divBdr>
                    </w:div>
                  </w:divsChild>
                </w:div>
                <w:div w:id="63644121">
                  <w:marLeft w:val="0"/>
                  <w:marRight w:val="0"/>
                  <w:marTop w:val="0"/>
                  <w:marBottom w:val="0"/>
                  <w:divBdr>
                    <w:top w:val="none" w:sz="0" w:space="0" w:color="auto"/>
                    <w:left w:val="none" w:sz="0" w:space="0" w:color="auto"/>
                    <w:bottom w:val="none" w:sz="0" w:space="0" w:color="auto"/>
                    <w:right w:val="none" w:sz="0" w:space="0" w:color="auto"/>
                  </w:divBdr>
                  <w:divsChild>
                    <w:div w:id="915625376">
                      <w:marLeft w:val="0"/>
                      <w:marRight w:val="0"/>
                      <w:marTop w:val="0"/>
                      <w:marBottom w:val="0"/>
                      <w:divBdr>
                        <w:top w:val="none" w:sz="0" w:space="0" w:color="auto"/>
                        <w:left w:val="none" w:sz="0" w:space="0" w:color="auto"/>
                        <w:bottom w:val="none" w:sz="0" w:space="0" w:color="auto"/>
                        <w:right w:val="none" w:sz="0" w:space="0" w:color="auto"/>
                      </w:divBdr>
                    </w:div>
                  </w:divsChild>
                </w:div>
                <w:div w:id="80302961">
                  <w:marLeft w:val="0"/>
                  <w:marRight w:val="0"/>
                  <w:marTop w:val="0"/>
                  <w:marBottom w:val="0"/>
                  <w:divBdr>
                    <w:top w:val="none" w:sz="0" w:space="0" w:color="auto"/>
                    <w:left w:val="none" w:sz="0" w:space="0" w:color="auto"/>
                    <w:bottom w:val="none" w:sz="0" w:space="0" w:color="auto"/>
                    <w:right w:val="none" w:sz="0" w:space="0" w:color="auto"/>
                  </w:divBdr>
                  <w:divsChild>
                    <w:div w:id="1112746440">
                      <w:marLeft w:val="0"/>
                      <w:marRight w:val="0"/>
                      <w:marTop w:val="0"/>
                      <w:marBottom w:val="0"/>
                      <w:divBdr>
                        <w:top w:val="none" w:sz="0" w:space="0" w:color="auto"/>
                        <w:left w:val="none" w:sz="0" w:space="0" w:color="auto"/>
                        <w:bottom w:val="none" w:sz="0" w:space="0" w:color="auto"/>
                        <w:right w:val="none" w:sz="0" w:space="0" w:color="auto"/>
                      </w:divBdr>
                    </w:div>
                  </w:divsChild>
                </w:div>
                <w:div w:id="116991512">
                  <w:marLeft w:val="0"/>
                  <w:marRight w:val="0"/>
                  <w:marTop w:val="0"/>
                  <w:marBottom w:val="0"/>
                  <w:divBdr>
                    <w:top w:val="none" w:sz="0" w:space="0" w:color="auto"/>
                    <w:left w:val="none" w:sz="0" w:space="0" w:color="auto"/>
                    <w:bottom w:val="none" w:sz="0" w:space="0" w:color="auto"/>
                    <w:right w:val="none" w:sz="0" w:space="0" w:color="auto"/>
                  </w:divBdr>
                  <w:divsChild>
                    <w:div w:id="1467041817">
                      <w:marLeft w:val="0"/>
                      <w:marRight w:val="0"/>
                      <w:marTop w:val="0"/>
                      <w:marBottom w:val="0"/>
                      <w:divBdr>
                        <w:top w:val="none" w:sz="0" w:space="0" w:color="auto"/>
                        <w:left w:val="none" w:sz="0" w:space="0" w:color="auto"/>
                        <w:bottom w:val="none" w:sz="0" w:space="0" w:color="auto"/>
                        <w:right w:val="none" w:sz="0" w:space="0" w:color="auto"/>
                      </w:divBdr>
                    </w:div>
                  </w:divsChild>
                </w:div>
                <w:div w:id="159586310">
                  <w:marLeft w:val="0"/>
                  <w:marRight w:val="0"/>
                  <w:marTop w:val="0"/>
                  <w:marBottom w:val="0"/>
                  <w:divBdr>
                    <w:top w:val="none" w:sz="0" w:space="0" w:color="auto"/>
                    <w:left w:val="none" w:sz="0" w:space="0" w:color="auto"/>
                    <w:bottom w:val="none" w:sz="0" w:space="0" w:color="auto"/>
                    <w:right w:val="none" w:sz="0" w:space="0" w:color="auto"/>
                  </w:divBdr>
                  <w:divsChild>
                    <w:div w:id="875122550">
                      <w:marLeft w:val="0"/>
                      <w:marRight w:val="0"/>
                      <w:marTop w:val="0"/>
                      <w:marBottom w:val="0"/>
                      <w:divBdr>
                        <w:top w:val="none" w:sz="0" w:space="0" w:color="auto"/>
                        <w:left w:val="none" w:sz="0" w:space="0" w:color="auto"/>
                        <w:bottom w:val="none" w:sz="0" w:space="0" w:color="auto"/>
                        <w:right w:val="none" w:sz="0" w:space="0" w:color="auto"/>
                      </w:divBdr>
                    </w:div>
                  </w:divsChild>
                </w:div>
                <w:div w:id="219823871">
                  <w:marLeft w:val="0"/>
                  <w:marRight w:val="0"/>
                  <w:marTop w:val="0"/>
                  <w:marBottom w:val="0"/>
                  <w:divBdr>
                    <w:top w:val="none" w:sz="0" w:space="0" w:color="auto"/>
                    <w:left w:val="none" w:sz="0" w:space="0" w:color="auto"/>
                    <w:bottom w:val="none" w:sz="0" w:space="0" w:color="auto"/>
                    <w:right w:val="none" w:sz="0" w:space="0" w:color="auto"/>
                  </w:divBdr>
                  <w:divsChild>
                    <w:div w:id="804203934">
                      <w:marLeft w:val="0"/>
                      <w:marRight w:val="0"/>
                      <w:marTop w:val="0"/>
                      <w:marBottom w:val="0"/>
                      <w:divBdr>
                        <w:top w:val="none" w:sz="0" w:space="0" w:color="auto"/>
                        <w:left w:val="none" w:sz="0" w:space="0" w:color="auto"/>
                        <w:bottom w:val="none" w:sz="0" w:space="0" w:color="auto"/>
                        <w:right w:val="none" w:sz="0" w:space="0" w:color="auto"/>
                      </w:divBdr>
                    </w:div>
                  </w:divsChild>
                </w:div>
                <w:div w:id="308635516">
                  <w:marLeft w:val="0"/>
                  <w:marRight w:val="0"/>
                  <w:marTop w:val="0"/>
                  <w:marBottom w:val="0"/>
                  <w:divBdr>
                    <w:top w:val="none" w:sz="0" w:space="0" w:color="auto"/>
                    <w:left w:val="none" w:sz="0" w:space="0" w:color="auto"/>
                    <w:bottom w:val="none" w:sz="0" w:space="0" w:color="auto"/>
                    <w:right w:val="none" w:sz="0" w:space="0" w:color="auto"/>
                  </w:divBdr>
                  <w:divsChild>
                    <w:div w:id="1924103404">
                      <w:marLeft w:val="0"/>
                      <w:marRight w:val="0"/>
                      <w:marTop w:val="0"/>
                      <w:marBottom w:val="0"/>
                      <w:divBdr>
                        <w:top w:val="none" w:sz="0" w:space="0" w:color="auto"/>
                        <w:left w:val="none" w:sz="0" w:space="0" w:color="auto"/>
                        <w:bottom w:val="none" w:sz="0" w:space="0" w:color="auto"/>
                        <w:right w:val="none" w:sz="0" w:space="0" w:color="auto"/>
                      </w:divBdr>
                    </w:div>
                  </w:divsChild>
                </w:div>
                <w:div w:id="370155939">
                  <w:marLeft w:val="0"/>
                  <w:marRight w:val="0"/>
                  <w:marTop w:val="0"/>
                  <w:marBottom w:val="0"/>
                  <w:divBdr>
                    <w:top w:val="none" w:sz="0" w:space="0" w:color="auto"/>
                    <w:left w:val="none" w:sz="0" w:space="0" w:color="auto"/>
                    <w:bottom w:val="none" w:sz="0" w:space="0" w:color="auto"/>
                    <w:right w:val="none" w:sz="0" w:space="0" w:color="auto"/>
                  </w:divBdr>
                  <w:divsChild>
                    <w:div w:id="1580167013">
                      <w:marLeft w:val="0"/>
                      <w:marRight w:val="0"/>
                      <w:marTop w:val="0"/>
                      <w:marBottom w:val="0"/>
                      <w:divBdr>
                        <w:top w:val="none" w:sz="0" w:space="0" w:color="auto"/>
                        <w:left w:val="none" w:sz="0" w:space="0" w:color="auto"/>
                        <w:bottom w:val="none" w:sz="0" w:space="0" w:color="auto"/>
                        <w:right w:val="none" w:sz="0" w:space="0" w:color="auto"/>
                      </w:divBdr>
                    </w:div>
                  </w:divsChild>
                </w:div>
                <w:div w:id="409809795">
                  <w:marLeft w:val="0"/>
                  <w:marRight w:val="0"/>
                  <w:marTop w:val="0"/>
                  <w:marBottom w:val="0"/>
                  <w:divBdr>
                    <w:top w:val="none" w:sz="0" w:space="0" w:color="auto"/>
                    <w:left w:val="none" w:sz="0" w:space="0" w:color="auto"/>
                    <w:bottom w:val="none" w:sz="0" w:space="0" w:color="auto"/>
                    <w:right w:val="none" w:sz="0" w:space="0" w:color="auto"/>
                  </w:divBdr>
                  <w:divsChild>
                    <w:div w:id="2040934764">
                      <w:marLeft w:val="0"/>
                      <w:marRight w:val="0"/>
                      <w:marTop w:val="0"/>
                      <w:marBottom w:val="0"/>
                      <w:divBdr>
                        <w:top w:val="none" w:sz="0" w:space="0" w:color="auto"/>
                        <w:left w:val="none" w:sz="0" w:space="0" w:color="auto"/>
                        <w:bottom w:val="none" w:sz="0" w:space="0" w:color="auto"/>
                        <w:right w:val="none" w:sz="0" w:space="0" w:color="auto"/>
                      </w:divBdr>
                    </w:div>
                  </w:divsChild>
                </w:div>
                <w:div w:id="422801675">
                  <w:marLeft w:val="0"/>
                  <w:marRight w:val="0"/>
                  <w:marTop w:val="0"/>
                  <w:marBottom w:val="0"/>
                  <w:divBdr>
                    <w:top w:val="none" w:sz="0" w:space="0" w:color="auto"/>
                    <w:left w:val="none" w:sz="0" w:space="0" w:color="auto"/>
                    <w:bottom w:val="none" w:sz="0" w:space="0" w:color="auto"/>
                    <w:right w:val="none" w:sz="0" w:space="0" w:color="auto"/>
                  </w:divBdr>
                  <w:divsChild>
                    <w:div w:id="1409959094">
                      <w:marLeft w:val="0"/>
                      <w:marRight w:val="0"/>
                      <w:marTop w:val="0"/>
                      <w:marBottom w:val="0"/>
                      <w:divBdr>
                        <w:top w:val="none" w:sz="0" w:space="0" w:color="auto"/>
                        <w:left w:val="none" w:sz="0" w:space="0" w:color="auto"/>
                        <w:bottom w:val="none" w:sz="0" w:space="0" w:color="auto"/>
                        <w:right w:val="none" w:sz="0" w:space="0" w:color="auto"/>
                      </w:divBdr>
                    </w:div>
                  </w:divsChild>
                </w:div>
                <w:div w:id="461004824">
                  <w:marLeft w:val="0"/>
                  <w:marRight w:val="0"/>
                  <w:marTop w:val="0"/>
                  <w:marBottom w:val="0"/>
                  <w:divBdr>
                    <w:top w:val="none" w:sz="0" w:space="0" w:color="auto"/>
                    <w:left w:val="none" w:sz="0" w:space="0" w:color="auto"/>
                    <w:bottom w:val="none" w:sz="0" w:space="0" w:color="auto"/>
                    <w:right w:val="none" w:sz="0" w:space="0" w:color="auto"/>
                  </w:divBdr>
                  <w:divsChild>
                    <w:div w:id="174730874">
                      <w:marLeft w:val="0"/>
                      <w:marRight w:val="0"/>
                      <w:marTop w:val="0"/>
                      <w:marBottom w:val="0"/>
                      <w:divBdr>
                        <w:top w:val="none" w:sz="0" w:space="0" w:color="auto"/>
                        <w:left w:val="none" w:sz="0" w:space="0" w:color="auto"/>
                        <w:bottom w:val="none" w:sz="0" w:space="0" w:color="auto"/>
                        <w:right w:val="none" w:sz="0" w:space="0" w:color="auto"/>
                      </w:divBdr>
                    </w:div>
                  </w:divsChild>
                </w:div>
                <w:div w:id="470755495">
                  <w:marLeft w:val="0"/>
                  <w:marRight w:val="0"/>
                  <w:marTop w:val="0"/>
                  <w:marBottom w:val="0"/>
                  <w:divBdr>
                    <w:top w:val="none" w:sz="0" w:space="0" w:color="auto"/>
                    <w:left w:val="none" w:sz="0" w:space="0" w:color="auto"/>
                    <w:bottom w:val="none" w:sz="0" w:space="0" w:color="auto"/>
                    <w:right w:val="none" w:sz="0" w:space="0" w:color="auto"/>
                  </w:divBdr>
                  <w:divsChild>
                    <w:div w:id="636379303">
                      <w:marLeft w:val="0"/>
                      <w:marRight w:val="0"/>
                      <w:marTop w:val="0"/>
                      <w:marBottom w:val="0"/>
                      <w:divBdr>
                        <w:top w:val="none" w:sz="0" w:space="0" w:color="auto"/>
                        <w:left w:val="none" w:sz="0" w:space="0" w:color="auto"/>
                        <w:bottom w:val="none" w:sz="0" w:space="0" w:color="auto"/>
                        <w:right w:val="none" w:sz="0" w:space="0" w:color="auto"/>
                      </w:divBdr>
                    </w:div>
                  </w:divsChild>
                </w:div>
                <w:div w:id="490947487">
                  <w:marLeft w:val="0"/>
                  <w:marRight w:val="0"/>
                  <w:marTop w:val="0"/>
                  <w:marBottom w:val="0"/>
                  <w:divBdr>
                    <w:top w:val="none" w:sz="0" w:space="0" w:color="auto"/>
                    <w:left w:val="none" w:sz="0" w:space="0" w:color="auto"/>
                    <w:bottom w:val="none" w:sz="0" w:space="0" w:color="auto"/>
                    <w:right w:val="none" w:sz="0" w:space="0" w:color="auto"/>
                  </w:divBdr>
                  <w:divsChild>
                    <w:div w:id="1503397065">
                      <w:marLeft w:val="0"/>
                      <w:marRight w:val="0"/>
                      <w:marTop w:val="0"/>
                      <w:marBottom w:val="0"/>
                      <w:divBdr>
                        <w:top w:val="none" w:sz="0" w:space="0" w:color="auto"/>
                        <w:left w:val="none" w:sz="0" w:space="0" w:color="auto"/>
                        <w:bottom w:val="none" w:sz="0" w:space="0" w:color="auto"/>
                        <w:right w:val="none" w:sz="0" w:space="0" w:color="auto"/>
                      </w:divBdr>
                    </w:div>
                  </w:divsChild>
                </w:div>
                <w:div w:id="514923954">
                  <w:marLeft w:val="0"/>
                  <w:marRight w:val="0"/>
                  <w:marTop w:val="0"/>
                  <w:marBottom w:val="0"/>
                  <w:divBdr>
                    <w:top w:val="none" w:sz="0" w:space="0" w:color="auto"/>
                    <w:left w:val="none" w:sz="0" w:space="0" w:color="auto"/>
                    <w:bottom w:val="none" w:sz="0" w:space="0" w:color="auto"/>
                    <w:right w:val="none" w:sz="0" w:space="0" w:color="auto"/>
                  </w:divBdr>
                  <w:divsChild>
                    <w:div w:id="2045326434">
                      <w:marLeft w:val="0"/>
                      <w:marRight w:val="0"/>
                      <w:marTop w:val="0"/>
                      <w:marBottom w:val="0"/>
                      <w:divBdr>
                        <w:top w:val="none" w:sz="0" w:space="0" w:color="auto"/>
                        <w:left w:val="none" w:sz="0" w:space="0" w:color="auto"/>
                        <w:bottom w:val="none" w:sz="0" w:space="0" w:color="auto"/>
                        <w:right w:val="none" w:sz="0" w:space="0" w:color="auto"/>
                      </w:divBdr>
                    </w:div>
                  </w:divsChild>
                </w:div>
                <w:div w:id="527064357">
                  <w:marLeft w:val="0"/>
                  <w:marRight w:val="0"/>
                  <w:marTop w:val="0"/>
                  <w:marBottom w:val="0"/>
                  <w:divBdr>
                    <w:top w:val="none" w:sz="0" w:space="0" w:color="auto"/>
                    <w:left w:val="none" w:sz="0" w:space="0" w:color="auto"/>
                    <w:bottom w:val="none" w:sz="0" w:space="0" w:color="auto"/>
                    <w:right w:val="none" w:sz="0" w:space="0" w:color="auto"/>
                  </w:divBdr>
                  <w:divsChild>
                    <w:div w:id="1519387689">
                      <w:marLeft w:val="0"/>
                      <w:marRight w:val="0"/>
                      <w:marTop w:val="0"/>
                      <w:marBottom w:val="0"/>
                      <w:divBdr>
                        <w:top w:val="none" w:sz="0" w:space="0" w:color="auto"/>
                        <w:left w:val="none" w:sz="0" w:space="0" w:color="auto"/>
                        <w:bottom w:val="none" w:sz="0" w:space="0" w:color="auto"/>
                        <w:right w:val="none" w:sz="0" w:space="0" w:color="auto"/>
                      </w:divBdr>
                    </w:div>
                  </w:divsChild>
                </w:div>
                <w:div w:id="555622830">
                  <w:marLeft w:val="0"/>
                  <w:marRight w:val="0"/>
                  <w:marTop w:val="0"/>
                  <w:marBottom w:val="0"/>
                  <w:divBdr>
                    <w:top w:val="none" w:sz="0" w:space="0" w:color="auto"/>
                    <w:left w:val="none" w:sz="0" w:space="0" w:color="auto"/>
                    <w:bottom w:val="none" w:sz="0" w:space="0" w:color="auto"/>
                    <w:right w:val="none" w:sz="0" w:space="0" w:color="auto"/>
                  </w:divBdr>
                  <w:divsChild>
                    <w:div w:id="448743843">
                      <w:marLeft w:val="0"/>
                      <w:marRight w:val="0"/>
                      <w:marTop w:val="0"/>
                      <w:marBottom w:val="0"/>
                      <w:divBdr>
                        <w:top w:val="none" w:sz="0" w:space="0" w:color="auto"/>
                        <w:left w:val="none" w:sz="0" w:space="0" w:color="auto"/>
                        <w:bottom w:val="none" w:sz="0" w:space="0" w:color="auto"/>
                        <w:right w:val="none" w:sz="0" w:space="0" w:color="auto"/>
                      </w:divBdr>
                    </w:div>
                  </w:divsChild>
                </w:div>
                <w:div w:id="627005546">
                  <w:marLeft w:val="0"/>
                  <w:marRight w:val="0"/>
                  <w:marTop w:val="0"/>
                  <w:marBottom w:val="0"/>
                  <w:divBdr>
                    <w:top w:val="none" w:sz="0" w:space="0" w:color="auto"/>
                    <w:left w:val="none" w:sz="0" w:space="0" w:color="auto"/>
                    <w:bottom w:val="none" w:sz="0" w:space="0" w:color="auto"/>
                    <w:right w:val="none" w:sz="0" w:space="0" w:color="auto"/>
                  </w:divBdr>
                  <w:divsChild>
                    <w:div w:id="518004959">
                      <w:marLeft w:val="0"/>
                      <w:marRight w:val="0"/>
                      <w:marTop w:val="0"/>
                      <w:marBottom w:val="0"/>
                      <w:divBdr>
                        <w:top w:val="none" w:sz="0" w:space="0" w:color="auto"/>
                        <w:left w:val="none" w:sz="0" w:space="0" w:color="auto"/>
                        <w:bottom w:val="none" w:sz="0" w:space="0" w:color="auto"/>
                        <w:right w:val="none" w:sz="0" w:space="0" w:color="auto"/>
                      </w:divBdr>
                    </w:div>
                  </w:divsChild>
                </w:div>
                <w:div w:id="673805154">
                  <w:marLeft w:val="0"/>
                  <w:marRight w:val="0"/>
                  <w:marTop w:val="0"/>
                  <w:marBottom w:val="0"/>
                  <w:divBdr>
                    <w:top w:val="none" w:sz="0" w:space="0" w:color="auto"/>
                    <w:left w:val="none" w:sz="0" w:space="0" w:color="auto"/>
                    <w:bottom w:val="none" w:sz="0" w:space="0" w:color="auto"/>
                    <w:right w:val="none" w:sz="0" w:space="0" w:color="auto"/>
                  </w:divBdr>
                  <w:divsChild>
                    <w:div w:id="1661498924">
                      <w:marLeft w:val="0"/>
                      <w:marRight w:val="0"/>
                      <w:marTop w:val="0"/>
                      <w:marBottom w:val="0"/>
                      <w:divBdr>
                        <w:top w:val="none" w:sz="0" w:space="0" w:color="auto"/>
                        <w:left w:val="none" w:sz="0" w:space="0" w:color="auto"/>
                        <w:bottom w:val="none" w:sz="0" w:space="0" w:color="auto"/>
                        <w:right w:val="none" w:sz="0" w:space="0" w:color="auto"/>
                      </w:divBdr>
                    </w:div>
                  </w:divsChild>
                </w:div>
                <w:div w:id="721565567">
                  <w:marLeft w:val="0"/>
                  <w:marRight w:val="0"/>
                  <w:marTop w:val="0"/>
                  <w:marBottom w:val="0"/>
                  <w:divBdr>
                    <w:top w:val="none" w:sz="0" w:space="0" w:color="auto"/>
                    <w:left w:val="none" w:sz="0" w:space="0" w:color="auto"/>
                    <w:bottom w:val="none" w:sz="0" w:space="0" w:color="auto"/>
                    <w:right w:val="none" w:sz="0" w:space="0" w:color="auto"/>
                  </w:divBdr>
                  <w:divsChild>
                    <w:div w:id="1900245468">
                      <w:marLeft w:val="0"/>
                      <w:marRight w:val="0"/>
                      <w:marTop w:val="0"/>
                      <w:marBottom w:val="0"/>
                      <w:divBdr>
                        <w:top w:val="none" w:sz="0" w:space="0" w:color="auto"/>
                        <w:left w:val="none" w:sz="0" w:space="0" w:color="auto"/>
                        <w:bottom w:val="none" w:sz="0" w:space="0" w:color="auto"/>
                        <w:right w:val="none" w:sz="0" w:space="0" w:color="auto"/>
                      </w:divBdr>
                    </w:div>
                  </w:divsChild>
                </w:div>
                <w:div w:id="733743547">
                  <w:marLeft w:val="0"/>
                  <w:marRight w:val="0"/>
                  <w:marTop w:val="0"/>
                  <w:marBottom w:val="0"/>
                  <w:divBdr>
                    <w:top w:val="none" w:sz="0" w:space="0" w:color="auto"/>
                    <w:left w:val="none" w:sz="0" w:space="0" w:color="auto"/>
                    <w:bottom w:val="none" w:sz="0" w:space="0" w:color="auto"/>
                    <w:right w:val="none" w:sz="0" w:space="0" w:color="auto"/>
                  </w:divBdr>
                  <w:divsChild>
                    <w:div w:id="523829539">
                      <w:marLeft w:val="0"/>
                      <w:marRight w:val="0"/>
                      <w:marTop w:val="0"/>
                      <w:marBottom w:val="0"/>
                      <w:divBdr>
                        <w:top w:val="none" w:sz="0" w:space="0" w:color="auto"/>
                        <w:left w:val="none" w:sz="0" w:space="0" w:color="auto"/>
                        <w:bottom w:val="none" w:sz="0" w:space="0" w:color="auto"/>
                        <w:right w:val="none" w:sz="0" w:space="0" w:color="auto"/>
                      </w:divBdr>
                    </w:div>
                  </w:divsChild>
                </w:div>
                <w:div w:id="758062065">
                  <w:marLeft w:val="0"/>
                  <w:marRight w:val="0"/>
                  <w:marTop w:val="0"/>
                  <w:marBottom w:val="0"/>
                  <w:divBdr>
                    <w:top w:val="none" w:sz="0" w:space="0" w:color="auto"/>
                    <w:left w:val="none" w:sz="0" w:space="0" w:color="auto"/>
                    <w:bottom w:val="none" w:sz="0" w:space="0" w:color="auto"/>
                    <w:right w:val="none" w:sz="0" w:space="0" w:color="auto"/>
                  </w:divBdr>
                  <w:divsChild>
                    <w:div w:id="210385985">
                      <w:marLeft w:val="0"/>
                      <w:marRight w:val="0"/>
                      <w:marTop w:val="0"/>
                      <w:marBottom w:val="0"/>
                      <w:divBdr>
                        <w:top w:val="none" w:sz="0" w:space="0" w:color="auto"/>
                        <w:left w:val="none" w:sz="0" w:space="0" w:color="auto"/>
                        <w:bottom w:val="none" w:sz="0" w:space="0" w:color="auto"/>
                        <w:right w:val="none" w:sz="0" w:space="0" w:color="auto"/>
                      </w:divBdr>
                    </w:div>
                  </w:divsChild>
                </w:div>
                <w:div w:id="775753707">
                  <w:marLeft w:val="0"/>
                  <w:marRight w:val="0"/>
                  <w:marTop w:val="0"/>
                  <w:marBottom w:val="0"/>
                  <w:divBdr>
                    <w:top w:val="none" w:sz="0" w:space="0" w:color="auto"/>
                    <w:left w:val="none" w:sz="0" w:space="0" w:color="auto"/>
                    <w:bottom w:val="none" w:sz="0" w:space="0" w:color="auto"/>
                    <w:right w:val="none" w:sz="0" w:space="0" w:color="auto"/>
                  </w:divBdr>
                  <w:divsChild>
                    <w:div w:id="223031537">
                      <w:marLeft w:val="0"/>
                      <w:marRight w:val="0"/>
                      <w:marTop w:val="0"/>
                      <w:marBottom w:val="0"/>
                      <w:divBdr>
                        <w:top w:val="none" w:sz="0" w:space="0" w:color="auto"/>
                        <w:left w:val="none" w:sz="0" w:space="0" w:color="auto"/>
                        <w:bottom w:val="none" w:sz="0" w:space="0" w:color="auto"/>
                        <w:right w:val="none" w:sz="0" w:space="0" w:color="auto"/>
                      </w:divBdr>
                    </w:div>
                  </w:divsChild>
                </w:div>
                <w:div w:id="812793929">
                  <w:marLeft w:val="0"/>
                  <w:marRight w:val="0"/>
                  <w:marTop w:val="0"/>
                  <w:marBottom w:val="0"/>
                  <w:divBdr>
                    <w:top w:val="none" w:sz="0" w:space="0" w:color="auto"/>
                    <w:left w:val="none" w:sz="0" w:space="0" w:color="auto"/>
                    <w:bottom w:val="none" w:sz="0" w:space="0" w:color="auto"/>
                    <w:right w:val="none" w:sz="0" w:space="0" w:color="auto"/>
                  </w:divBdr>
                  <w:divsChild>
                    <w:div w:id="887227727">
                      <w:marLeft w:val="0"/>
                      <w:marRight w:val="0"/>
                      <w:marTop w:val="0"/>
                      <w:marBottom w:val="0"/>
                      <w:divBdr>
                        <w:top w:val="none" w:sz="0" w:space="0" w:color="auto"/>
                        <w:left w:val="none" w:sz="0" w:space="0" w:color="auto"/>
                        <w:bottom w:val="none" w:sz="0" w:space="0" w:color="auto"/>
                        <w:right w:val="none" w:sz="0" w:space="0" w:color="auto"/>
                      </w:divBdr>
                    </w:div>
                  </w:divsChild>
                </w:div>
                <w:div w:id="820930282">
                  <w:marLeft w:val="0"/>
                  <w:marRight w:val="0"/>
                  <w:marTop w:val="0"/>
                  <w:marBottom w:val="0"/>
                  <w:divBdr>
                    <w:top w:val="none" w:sz="0" w:space="0" w:color="auto"/>
                    <w:left w:val="none" w:sz="0" w:space="0" w:color="auto"/>
                    <w:bottom w:val="none" w:sz="0" w:space="0" w:color="auto"/>
                    <w:right w:val="none" w:sz="0" w:space="0" w:color="auto"/>
                  </w:divBdr>
                  <w:divsChild>
                    <w:div w:id="1442145098">
                      <w:marLeft w:val="0"/>
                      <w:marRight w:val="0"/>
                      <w:marTop w:val="0"/>
                      <w:marBottom w:val="0"/>
                      <w:divBdr>
                        <w:top w:val="none" w:sz="0" w:space="0" w:color="auto"/>
                        <w:left w:val="none" w:sz="0" w:space="0" w:color="auto"/>
                        <w:bottom w:val="none" w:sz="0" w:space="0" w:color="auto"/>
                        <w:right w:val="none" w:sz="0" w:space="0" w:color="auto"/>
                      </w:divBdr>
                    </w:div>
                  </w:divsChild>
                </w:div>
                <w:div w:id="862860735">
                  <w:marLeft w:val="0"/>
                  <w:marRight w:val="0"/>
                  <w:marTop w:val="0"/>
                  <w:marBottom w:val="0"/>
                  <w:divBdr>
                    <w:top w:val="none" w:sz="0" w:space="0" w:color="auto"/>
                    <w:left w:val="none" w:sz="0" w:space="0" w:color="auto"/>
                    <w:bottom w:val="none" w:sz="0" w:space="0" w:color="auto"/>
                    <w:right w:val="none" w:sz="0" w:space="0" w:color="auto"/>
                  </w:divBdr>
                  <w:divsChild>
                    <w:div w:id="891112274">
                      <w:marLeft w:val="0"/>
                      <w:marRight w:val="0"/>
                      <w:marTop w:val="0"/>
                      <w:marBottom w:val="0"/>
                      <w:divBdr>
                        <w:top w:val="none" w:sz="0" w:space="0" w:color="auto"/>
                        <w:left w:val="none" w:sz="0" w:space="0" w:color="auto"/>
                        <w:bottom w:val="none" w:sz="0" w:space="0" w:color="auto"/>
                        <w:right w:val="none" w:sz="0" w:space="0" w:color="auto"/>
                      </w:divBdr>
                    </w:div>
                  </w:divsChild>
                </w:div>
                <w:div w:id="938878498">
                  <w:marLeft w:val="0"/>
                  <w:marRight w:val="0"/>
                  <w:marTop w:val="0"/>
                  <w:marBottom w:val="0"/>
                  <w:divBdr>
                    <w:top w:val="none" w:sz="0" w:space="0" w:color="auto"/>
                    <w:left w:val="none" w:sz="0" w:space="0" w:color="auto"/>
                    <w:bottom w:val="none" w:sz="0" w:space="0" w:color="auto"/>
                    <w:right w:val="none" w:sz="0" w:space="0" w:color="auto"/>
                  </w:divBdr>
                  <w:divsChild>
                    <w:div w:id="351417502">
                      <w:marLeft w:val="0"/>
                      <w:marRight w:val="0"/>
                      <w:marTop w:val="0"/>
                      <w:marBottom w:val="0"/>
                      <w:divBdr>
                        <w:top w:val="none" w:sz="0" w:space="0" w:color="auto"/>
                        <w:left w:val="none" w:sz="0" w:space="0" w:color="auto"/>
                        <w:bottom w:val="none" w:sz="0" w:space="0" w:color="auto"/>
                        <w:right w:val="none" w:sz="0" w:space="0" w:color="auto"/>
                      </w:divBdr>
                    </w:div>
                  </w:divsChild>
                </w:div>
                <w:div w:id="970861638">
                  <w:marLeft w:val="0"/>
                  <w:marRight w:val="0"/>
                  <w:marTop w:val="0"/>
                  <w:marBottom w:val="0"/>
                  <w:divBdr>
                    <w:top w:val="none" w:sz="0" w:space="0" w:color="auto"/>
                    <w:left w:val="none" w:sz="0" w:space="0" w:color="auto"/>
                    <w:bottom w:val="none" w:sz="0" w:space="0" w:color="auto"/>
                    <w:right w:val="none" w:sz="0" w:space="0" w:color="auto"/>
                  </w:divBdr>
                  <w:divsChild>
                    <w:div w:id="1448354997">
                      <w:marLeft w:val="0"/>
                      <w:marRight w:val="0"/>
                      <w:marTop w:val="0"/>
                      <w:marBottom w:val="0"/>
                      <w:divBdr>
                        <w:top w:val="none" w:sz="0" w:space="0" w:color="auto"/>
                        <w:left w:val="none" w:sz="0" w:space="0" w:color="auto"/>
                        <w:bottom w:val="none" w:sz="0" w:space="0" w:color="auto"/>
                        <w:right w:val="none" w:sz="0" w:space="0" w:color="auto"/>
                      </w:divBdr>
                    </w:div>
                  </w:divsChild>
                </w:div>
                <w:div w:id="1003553071">
                  <w:marLeft w:val="0"/>
                  <w:marRight w:val="0"/>
                  <w:marTop w:val="0"/>
                  <w:marBottom w:val="0"/>
                  <w:divBdr>
                    <w:top w:val="none" w:sz="0" w:space="0" w:color="auto"/>
                    <w:left w:val="none" w:sz="0" w:space="0" w:color="auto"/>
                    <w:bottom w:val="none" w:sz="0" w:space="0" w:color="auto"/>
                    <w:right w:val="none" w:sz="0" w:space="0" w:color="auto"/>
                  </w:divBdr>
                  <w:divsChild>
                    <w:div w:id="1783837915">
                      <w:marLeft w:val="0"/>
                      <w:marRight w:val="0"/>
                      <w:marTop w:val="0"/>
                      <w:marBottom w:val="0"/>
                      <w:divBdr>
                        <w:top w:val="none" w:sz="0" w:space="0" w:color="auto"/>
                        <w:left w:val="none" w:sz="0" w:space="0" w:color="auto"/>
                        <w:bottom w:val="none" w:sz="0" w:space="0" w:color="auto"/>
                        <w:right w:val="none" w:sz="0" w:space="0" w:color="auto"/>
                      </w:divBdr>
                    </w:div>
                  </w:divsChild>
                </w:div>
                <w:div w:id="1003777124">
                  <w:marLeft w:val="0"/>
                  <w:marRight w:val="0"/>
                  <w:marTop w:val="0"/>
                  <w:marBottom w:val="0"/>
                  <w:divBdr>
                    <w:top w:val="none" w:sz="0" w:space="0" w:color="auto"/>
                    <w:left w:val="none" w:sz="0" w:space="0" w:color="auto"/>
                    <w:bottom w:val="none" w:sz="0" w:space="0" w:color="auto"/>
                    <w:right w:val="none" w:sz="0" w:space="0" w:color="auto"/>
                  </w:divBdr>
                  <w:divsChild>
                    <w:div w:id="1372147188">
                      <w:marLeft w:val="0"/>
                      <w:marRight w:val="0"/>
                      <w:marTop w:val="0"/>
                      <w:marBottom w:val="0"/>
                      <w:divBdr>
                        <w:top w:val="none" w:sz="0" w:space="0" w:color="auto"/>
                        <w:left w:val="none" w:sz="0" w:space="0" w:color="auto"/>
                        <w:bottom w:val="none" w:sz="0" w:space="0" w:color="auto"/>
                        <w:right w:val="none" w:sz="0" w:space="0" w:color="auto"/>
                      </w:divBdr>
                    </w:div>
                  </w:divsChild>
                </w:div>
                <w:div w:id="1009714991">
                  <w:marLeft w:val="0"/>
                  <w:marRight w:val="0"/>
                  <w:marTop w:val="0"/>
                  <w:marBottom w:val="0"/>
                  <w:divBdr>
                    <w:top w:val="none" w:sz="0" w:space="0" w:color="auto"/>
                    <w:left w:val="none" w:sz="0" w:space="0" w:color="auto"/>
                    <w:bottom w:val="none" w:sz="0" w:space="0" w:color="auto"/>
                    <w:right w:val="none" w:sz="0" w:space="0" w:color="auto"/>
                  </w:divBdr>
                  <w:divsChild>
                    <w:div w:id="991912014">
                      <w:marLeft w:val="0"/>
                      <w:marRight w:val="0"/>
                      <w:marTop w:val="0"/>
                      <w:marBottom w:val="0"/>
                      <w:divBdr>
                        <w:top w:val="none" w:sz="0" w:space="0" w:color="auto"/>
                        <w:left w:val="none" w:sz="0" w:space="0" w:color="auto"/>
                        <w:bottom w:val="none" w:sz="0" w:space="0" w:color="auto"/>
                        <w:right w:val="none" w:sz="0" w:space="0" w:color="auto"/>
                      </w:divBdr>
                    </w:div>
                  </w:divsChild>
                </w:div>
                <w:div w:id="1056783684">
                  <w:marLeft w:val="0"/>
                  <w:marRight w:val="0"/>
                  <w:marTop w:val="0"/>
                  <w:marBottom w:val="0"/>
                  <w:divBdr>
                    <w:top w:val="none" w:sz="0" w:space="0" w:color="auto"/>
                    <w:left w:val="none" w:sz="0" w:space="0" w:color="auto"/>
                    <w:bottom w:val="none" w:sz="0" w:space="0" w:color="auto"/>
                    <w:right w:val="none" w:sz="0" w:space="0" w:color="auto"/>
                  </w:divBdr>
                  <w:divsChild>
                    <w:div w:id="658847022">
                      <w:marLeft w:val="0"/>
                      <w:marRight w:val="0"/>
                      <w:marTop w:val="0"/>
                      <w:marBottom w:val="0"/>
                      <w:divBdr>
                        <w:top w:val="none" w:sz="0" w:space="0" w:color="auto"/>
                        <w:left w:val="none" w:sz="0" w:space="0" w:color="auto"/>
                        <w:bottom w:val="none" w:sz="0" w:space="0" w:color="auto"/>
                        <w:right w:val="none" w:sz="0" w:space="0" w:color="auto"/>
                      </w:divBdr>
                    </w:div>
                  </w:divsChild>
                </w:div>
                <w:div w:id="1074232155">
                  <w:marLeft w:val="0"/>
                  <w:marRight w:val="0"/>
                  <w:marTop w:val="0"/>
                  <w:marBottom w:val="0"/>
                  <w:divBdr>
                    <w:top w:val="none" w:sz="0" w:space="0" w:color="auto"/>
                    <w:left w:val="none" w:sz="0" w:space="0" w:color="auto"/>
                    <w:bottom w:val="none" w:sz="0" w:space="0" w:color="auto"/>
                    <w:right w:val="none" w:sz="0" w:space="0" w:color="auto"/>
                  </w:divBdr>
                  <w:divsChild>
                    <w:div w:id="580796759">
                      <w:marLeft w:val="0"/>
                      <w:marRight w:val="0"/>
                      <w:marTop w:val="0"/>
                      <w:marBottom w:val="0"/>
                      <w:divBdr>
                        <w:top w:val="none" w:sz="0" w:space="0" w:color="auto"/>
                        <w:left w:val="none" w:sz="0" w:space="0" w:color="auto"/>
                        <w:bottom w:val="none" w:sz="0" w:space="0" w:color="auto"/>
                        <w:right w:val="none" w:sz="0" w:space="0" w:color="auto"/>
                      </w:divBdr>
                    </w:div>
                  </w:divsChild>
                </w:div>
                <w:div w:id="1115562863">
                  <w:marLeft w:val="0"/>
                  <w:marRight w:val="0"/>
                  <w:marTop w:val="0"/>
                  <w:marBottom w:val="0"/>
                  <w:divBdr>
                    <w:top w:val="none" w:sz="0" w:space="0" w:color="auto"/>
                    <w:left w:val="none" w:sz="0" w:space="0" w:color="auto"/>
                    <w:bottom w:val="none" w:sz="0" w:space="0" w:color="auto"/>
                    <w:right w:val="none" w:sz="0" w:space="0" w:color="auto"/>
                  </w:divBdr>
                  <w:divsChild>
                    <w:div w:id="21439185">
                      <w:marLeft w:val="0"/>
                      <w:marRight w:val="0"/>
                      <w:marTop w:val="0"/>
                      <w:marBottom w:val="0"/>
                      <w:divBdr>
                        <w:top w:val="none" w:sz="0" w:space="0" w:color="auto"/>
                        <w:left w:val="none" w:sz="0" w:space="0" w:color="auto"/>
                        <w:bottom w:val="none" w:sz="0" w:space="0" w:color="auto"/>
                        <w:right w:val="none" w:sz="0" w:space="0" w:color="auto"/>
                      </w:divBdr>
                    </w:div>
                  </w:divsChild>
                </w:div>
                <w:div w:id="1120412915">
                  <w:marLeft w:val="0"/>
                  <w:marRight w:val="0"/>
                  <w:marTop w:val="0"/>
                  <w:marBottom w:val="0"/>
                  <w:divBdr>
                    <w:top w:val="none" w:sz="0" w:space="0" w:color="auto"/>
                    <w:left w:val="none" w:sz="0" w:space="0" w:color="auto"/>
                    <w:bottom w:val="none" w:sz="0" w:space="0" w:color="auto"/>
                    <w:right w:val="none" w:sz="0" w:space="0" w:color="auto"/>
                  </w:divBdr>
                  <w:divsChild>
                    <w:div w:id="467674380">
                      <w:marLeft w:val="0"/>
                      <w:marRight w:val="0"/>
                      <w:marTop w:val="0"/>
                      <w:marBottom w:val="0"/>
                      <w:divBdr>
                        <w:top w:val="none" w:sz="0" w:space="0" w:color="auto"/>
                        <w:left w:val="none" w:sz="0" w:space="0" w:color="auto"/>
                        <w:bottom w:val="none" w:sz="0" w:space="0" w:color="auto"/>
                        <w:right w:val="none" w:sz="0" w:space="0" w:color="auto"/>
                      </w:divBdr>
                    </w:div>
                  </w:divsChild>
                </w:div>
                <w:div w:id="1121612561">
                  <w:marLeft w:val="0"/>
                  <w:marRight w:val="0"/>
                  <w:marTop w:val="0"/>
                  <w:marBottom w:val="0"/>
                  <w:divBdr>
                    <w:top w:val="none" w:sz="0" w:space="0" w:color="auto"/>
                    <w:left w:val="none" w:sz="0" w:space="0" w:color="auto"/>
                    <w:bottom w:val="none" w:sz="0" w:space="0" w:color="auto"/>
                    <w:right w:val="none" w:sz="0" w:space="0" w:color="auto"/>
                  </w:divBdr>
                  <w:divsChild>
                    <w:div w:id="244731244">
                      <w:marLeft w:val="0"/>
                      <w:marRight w:val="0"/>
                      <w:marTop w:val="0"/>
                      <w:marBottom w:val="0"/>
                      <w:divBdr>
                        <w:top w:val="none" w:sz="0" w:space="0" w:color="auto"/>
                        <w:left w:val="none" w:sz="0" w:space="0" w:color="auto"/>
                        <w:bottom w:val="none" w:sz="0" w:space="0" w:color="auto"/>
                        <w:right w:val="none" w:sz="0" w:space="0" w:color="auto"/>
                      </w:divBdr>
                    </w:div>
                  </w:divsChild>
                </w:div>
                <w:div w:id="1202787855">
                  <w:marLeft w:val="0"/>
                  <w:marRight w:val="0"/>
                  <w:marTop w:val="0"/>
                  <w:marBottom w:val="0"/>
                  <w:divBdr>
                    <w:top w:val="none" w:sz="0" w:space="0" w:color="auto"/>
                    <w:left w:val="none" w:sz="0" w:space="0" w:color="auto"/>
                    <w:bottom w:val="none" w:sz="0" w:space="0" w:color="auto"/>
                    <w:right w:val="none" w:sz="0" w:space="0" w:color="auto"/>
                  </w:divBdr>
                  <w:divsChild>
                    <w:div w:id="1887642194">
                      <w:marLeft w:val="0"/>
                      <w:marRight w:val="0"/>
                      <w:marTop w:val="0"/>
                      <w:marBottom w:val="0"/>
                      <w:divBdr>
                        <w:top w:val="none" w:sz="0" w:space="0" w:color="auto"/>
                        <w:left w:val="none" w:sz="0" w:space="0" w:color="auto"/>
                        <w:bottom w:val="none" w:sz="0" w:space="0" w:color="auto"/>
                        <w:right w:val="none" w:sz="0" w:space="0" w:color="auto"/>
                      </w:divBdr>
                    </w:div>
                  </w:divsChild>
                </w:div>
                <w:div w:id="1205212194">
                  <w:marLeft w:val="0"/>
                  <w:marRight w:val="0"/>
                  <w:marTop w:val="0"/>
                  <w:marBottom w:val="0"/>
                  <w:divBdr>
                    <w:top w:val="none" w:sz="0" w:space="0" w:color="auto"/>
                    <w:left w:val="none" w:sz="0" w:space="0" w:color="auto"/>
                    <w:bottom w:val="none" w:sz="0" w:space="0" w:color="auto"/>
                    <w:right w:val="none" w:sz="0" w:space="0" w:color="auto"/>
                  </w:divBdr>
                  <w:divsChild>
                    <w:div w:id="1399935811">
                      <w:marLeft w:val="0"/>
                      <w:marRight w:val="0"/>
                      <w:marTop w:val="0"/>
                      <w:marBottom w:val="0"/>
                      <w:divBdr>
                        <w:top w:val="none" w:sz="0" w:space="0" w:color="auto"/>
                        <w:left w:val="none" w:sz="0" w:space="0" w:color="auto"/>
                        <w:bottom w:val="none" w:sz="0" w:space="0" w:color="auto"/>
                        <w:right w:val="none" w:sz="0" w:space="0" w:color="auto"/>
                      </w:divBdr>
                    </w:div>
                  </w:divsChild>
                </w:div>
                <w:div w:id="1253511864">
                  <w:marLeft w:val="0"/>
                  <w:marRight w:val="0"/>
                  <w:marTop w:val="0"/>
                  <w:marBottom w:val="0"/>
                  <w:divBdr>
                    <w:top w:val="none" w:sz="0" w:space="0" w:color="auto"/>
                    <w:left w:val="none" w:sz="0" w:space="0" w:color="auto"/>
                    <w:bottom w:val="none" w:sz="0" w:space="0" w:color="auto"/>
                    <w:right w:val="none" w:sz="0" w:space="0" w:color="auto"/>
                  </w:divBdr>
                  <w:divsChild>
                    <w:div w:id="799570698">
                      <w:marLeft w:val="0"/>
                      <w:marRight w:val="0"/>
                      <w:marTop w:val="0"/>
                      <w:marBottom w:val="0"/>
                      <w:divBdr>
                        <w:top w:val="none" w:sz="0" w:space="0" w:color="auto"/>
                        <w:left w:val="none" w:sz="0" w:space="0" w:color="auto"/>
                        <w:bottom w:val="none" w:sz="0" w:space="0" w:color="auto"/>
                        <w:right w:val="none" w:sz="0" w:space="0" w:color="auto"/>
                      </w:divBdr>
                    </w:div>
                  </w:divsChild>
                </w:div>
                <w:div w:id="1255239734">
                  <w:marLeft w:val="0"/>
                  <w:marRight w:val="0"/>
                  <w:marTop w:val="0"/>
                  <w:marBottom w:val="0"/>
                  <w:divBdr>
                    <w:top w:val="none" w:sz="0" w:space="0" w:color="auto"/>
                    <w:left w:val="none" w:sz="0" w:space="0" w:color="auto"/>
                    <w:bottom w:val="none" w:sz="0" w:space="0" w:color="auto"/>
                    <w:right w:val="none" w:sz="0" w:space="0" w:color="auto"/>
                  </w:divBdr>
                  <w:divsChild>
                    <w:div w:id="576550986">
                      <w:marLeft w:val="0"/>
                      <w:marRight w:val="0"/>
                      <w:marTop w:val="0"/>
                      <w:marBottom w:val="0"/>
                      <w:divBdr>
                        <w:top w:val="none" w:sz="0" w:space="0" w:color="auto"/>
                        <w:left w:val="none" w:sz="0" w:space="0" w:color="auto"/>
                        <w:bottom w:val="none" w:sz="0" w:space="0" w:color="auto"/>
                        <w:right w:val="none" w:sz="0" w:space="0" w:color="auto"/>
                      </w:divBdr>
                    </w:div>
                  </w:divsChild>
                </w:div>
                <w:div w:id="1266881168">
                  <w:marLeft w:val="0"/>
                  <w:marRight w:val="0"/>
                  <w:marTop w:val="0"/>
                  <w:marBottom w:val="0"/>
                  <w:divBdr>
                    <w:top w:val="none" w:sz="0" w:space="0" w:color="auto"/>
                    <w:left w:val="none" w:sz="0" w:space="0" w:color="auto"/>
                    <w:bottom w:val="none" w:sz="0" w:space="0" w:color="auto"/>
                    <w:right w:val="none" w:sz="0" w:space="0" w:color="auto"/>
                  </w:divBdr>
                  <w:divsChild>
                    <w:div w:id="1376999912">
                      <w:marLeft w:val="0"/>
                      <w:marRight w:val="0"/>
                      <w:marTop w:val="0"/>
                      <w:marBottom w:val="0"/>
                      <w:divBdr>
                        <w:top w:val="none" w:sz="0" w:space="0" w:color="auto"/>
                        <w:left w:val="none" w:sz="0" w:space="0" w:color="auto"/>
                        <w:bottom w:val="none" w:sz="0" w:space="0" w:color="auto"/>
                        <w:right w:val="none" w:sz="0" w:space="0" w:color="auto"/>
                      </w:divBdr>
                    </w:div>
                  </w:divsChild>
                </w:div>
                <w:div w:id="1274677538">
                  <w:marLeft w:val="0"/>
                  <w:marRight w:val="0"/>
                  <w:marTop w:val="0"/>
                  <w:marBottom w:val="0"/>
                  <w:divBdr>
                    <w:top w:val="none" w:sz="0" w:space="0" w:color="auto"/>
                    <w:left w:val="none" w:sz="0" w:space="0" w:color="auto"/>
                    <w:bottom w:val="none" w:sz="0" w:space="0" w:color="auto"/>
                    <w:right w:val="none" w:sz="0" w:space="0" w:color="auto"/>
                  </w:divBdr>
                  <w:divsChild>
                    <w:div w:id="110057994">
                      <w:marLeft w:val="0"/>
                      <w:marRight w:val="0"/>
                      <w:marTop w:val="0"/>
                      <w:marBottom w:val="0"/>
                      <w:divBdr>
                        <w:top w:val="none" w:sz="0" w:space="0" w:color="auto"/>
                        <w:left w:val="none" w:sz="0" w:space="0" w:color="auto"/>
                        <w:bottom w:val="none" w:sz="0" w:space="0" w:color="auto"/>
                        <w:right w:val="none" w:sz="0" w:space="0" w:color="auto"/>
                      </w:divBdr>
                    </w:div>
                  </w:divsChild>
                </w:div>
                <w:div w:id="1292518855">
                  <w:marLeft w:val="0"/>
                  <w:marRight w:val="0"/>
                  <w:marTop w:val="0"/>
                  <w:marBottom w:val="0"/>
                  <w:divBdr>
                    <w:top w:val="none" w:sz="0" w:space="0" w:color="auto"/>
                    <w:left w:val="none" w:sz="0" w:space="0" w:color="auto"/>
                    <w:bottom w:val="none" w:sz="0" w:space="0" w:color="auto"/>
                    <w:right w:val="none" w:sz="0" w:space="0" w:color="auto"/>
                  </w:divBdr>
                  <w:divsChild>
                    <w:div w:id="1815684014">
                      <w:marLeft w:val="0"/>
                      <w:marRight w:val="0"/>
                      <w:marTop w:val="0"/>
                      <w:marBottom w:val="0"/>
                      <w:divBdr>
                        <w:top w:val="none" w:sz="0" w:space="0" w:color="auto"/>
                        <w:left w:val="none" w:sz="0" w:space="0" w:color="auto"/>
                        <w:bottom w:val="none" w:sz="0" w:space="0" w:color="auto"/>
                        <w:right w:val="none" w:sz="0" w:space="0" w:color="auto"/>
                      </w:divBdr>
                    </w:div>
                  </w:divsChild>
                </w:div>
                <w:div w:id="1304038229">
                  <w:marLeft w:val="0"/>
                  <w:marRight w:val="0"/>
                  <w:marTop w:val="0"/>
                  <w:marBottom w:val="0"/>
                  <w:divBdr>
                    <w:top w:val="none" w:sz="0" w:space="0" w:color="auto"/>
                    <w:left w:val="none" w:sz="0" w:space="0" w:color="auto"/>
                    <w:bottom w:val="none" w:sz="0" w:space="0" w:color="auto"/>
                    <w:right w:val="none" w:sz="0" w:space="0" w:color="auto"/>
                  </w:divBdr>
                  <w:divsChild>
                    <w:div w:id="208155990">
                      <w:marLeft w:val="0"/>
                      <w:marRight w:val="0"/>
                      <w:marTop w:val="0"/>
                      <w:marBottom w:val="0"/>
                      <w:divBdr>
                        <w:top w:val="none" w:sz="0" w:space="0" w:color="auto"/>
                        <w:left w:val="none" w:sz="0" w:space="0" w:color="auto"/>
                        <w:bottom w:val="none" w:sz="0" w:space="0" w:color="auto"/>
                        <w:right w:val="none" w:sz="0" w:space="0" w:color="auto"/>
                      </w:divBdr>
                    </w:div>
                  </w:divsChild>
                </w:div>
                <w:div w:id="1307515598">
                  <w:marLeft w:val="0"/>
                  <w:marRight w:val="0"/>
                  <w:marTop w:val="0"/>
                  <w:marBottom w:val="0"/>
                  <w:divBdr>
                    <w:top w:val="none" w:sz="0" w:space="0" w:color="auto"/>
                    <w:left w:val="none" w:sz="0" w:space="0" w:color="auto"/>
                    <w:bottom w:val="none" w:sz="0" w:space="0" w:color="auto"/>
                    <w:right w:val="none" w:sz="0" w:space="0" w:color="auto"/>
                  </w:divBdr>
                  <w:divsChild>
                    <w:div w:id="1083723790">
                      <w:marLeft w:val="0"/>
                      <w:marRight w:val="0"/>
                      <w:marTop w:val="0"/>
                      <w:marBottom w:val="0"/>
                      <w:divBdr>
                        <w:top w:val="none" w:sz="0" w:space="0" w:color="auto"/>
                        <w:left w:val="none" w:sz="0" w:space="0" w:color="auto"/>
                        <w:bottom w:val="none" w:sz="0" w:space="0" w:color="auto"/>
                        <w:right w:val="none" w:sz="0" w:space="0" w:color="auto"/>
                      </w:divBdr>
                    </w:div>
                  </w:divsChild>
                </w:div>
                <w:div w:id="1313414410">
                  <w:marLeft w:val="0"/>
                  <w:marRight w:val="0"/>
                  <w:marTop w:val="0"/>
                  <w:marBottom w:val="0"/>
                  <w:divBdr>
                    <w:top w:val="none" w:sz="0" w:space="0" w:color="auto"/>
                    <w:left w:val="none" w:sz="0" w:space="0" w:color="auto"/>
                    <w:bottom w:val="none" w:sz="0" w:space="0" w:color="auto"/>
                    <w:right w:val="none" w:sz="0" w:space="0" w:color="auto"/>
                  </w:divBdr>
                  <w:divsChild>
                    <w:div w:id="408427330">
                      <w:marLeft w:val="0"/>
                      <w:marRight w:val="0"/>
                      <w:marTop w:val="0"/>
                      <w:marBottom w:val="0"/>
                      <w:divBdr>
                        <w:top w:val="none" w:sz="0" w:space="0" w:color="auto"/>
                        <w:left w:val="none" w:sz="0" w:space="0" w:color="auto"/>
                        <w:bottom w:val="none" w:sz="0" w:space="0" w:color="auto"/>
                        <w:right w:val="none" w:sz="0" w:space="0" w:color="auto"/>
                      </w:divBdr>
                    </w:div>
                  </w:divsChild>
                </w:div>
                <w:div w:id="1343821327">
                  <w:marLeft w:val="0"/>
                  <w:marRight w:val="0"/>
                  <w:marTop w:val="0"/>
                  <w:marBottom w:val="0"/>
                  <w:divBdr>
                    <w:top w:val="none" w:sz="0" w:space="0" w:color="auto"/>
                    <w:left w:val="none" w:sz="0" w:space="0" w:color="auto"/>
                    <w:bottom w:val="none" w:sz="0" w:space="0" w:color="auto"/>
                    <w:right w:val="none" w:sz="0" w:space="0" w:color="auto"/>
                  </w:divBdr>
                  <w:divsChild>
                    <w:div w:id="27722611">
                      <w:marLeft w:val="0"/>
                      <w:marRight w:val="0"/>
                      <w:marTop w:val="0"/>
                      <w:marBottom w:val="0"/>
                      <w:divBdr>
                        <w:top w:val="none" w:sz="0" w:space="0" w:color="auto"/>
                        <w:left w:val="none" w:sz="0" w:space="0" w:color="auto"/>
                        <w:bottom w:val="none" w:sz="0" w:space="0" w:color="auto"/>
                        <w:right w:val="none" w:sz="0" w:space="0" w:color="auto"/>
                      </w:divBdr>
                    </w:div>
                  </w:divsChild>
                </w:div>
                <w:div w:id="1354184550">
                  <w:marLeft w:val="0"/>
                  <w:marRight w:val="0"/>
                  <w:marTop w:val="0"/>
                  <w:marBottom w:val="0"/>
                  <w:divBdr>
                    <w:top w:val="none" w:sz="0" w:space="0" w:color="auto"/>
                    <w:left w:val="none" w:sz="0" w:space="0" w:color="auto"/>
                    <w:bottom w:val="none" w:sz="0" w:space="0" w:color="auto"/>
                    <w:right w:val="none" w:sz="0" w:space="0" w:color="auto"/>
                  </w:divBdr>
                  <w:divsChild>
                    <w:div w:id="898907816">
                      <w:marLeft w:val="0"/>
                      <w:marRight w:val="0"/>
                      <w:marTop w:val="0"/>
                      <w:marBottom w:val="0"/>
                      <w:divBdr>
                        <w:top w:val="none" w:sz="0" w:space="0" w:color="auto"/>
                        <w:left w:val="none" w:sz="0" w:space="0" w:color="auto"/>
                        <w:bottom w:val="none" w:sz="0" w:space="0" w:color="auto"/>
                        <w:right w:val="none" w:sz="0" w:space="0" w:color="auto"/>
                      </w:divBdr>
                    </w:div>
                  </w:divsChild>
                </w:div>
                <w:div w:id="1376153576">
                  <w:marLeft w:val="0"/>
                  <w:marRight w:val="0"/>
                  <w:marTop w:val="0"/>
                  <w:marBottom w:val="0"/>
                  <w:divBdr>
                    <w:top w:val="none" w:sz="0" w:space="0" w:color="auto"/>
                    <w:left w:val="none" w:sz="0" w:space="0" w:color="auto"/>
                    <w:bottom w:val="none" w:sz="0" w:space="0" w:color="auto"/>
                    <w:right w:val="none" w:sz="0" w:space="0" w:color="auto"/>
                  </w:divBdr>
                  <w:divsChild>
                    <w:div w:id="819345250">
                      <w:marLeft w:val="0"/>
                      <w:marRight w:val="0"/>
                      <w:marTop w:val="0"/>
                      <w:marBottom w:val="0"/>
                      <w:divBdr>
                        <w:top w:val="none" w:sz="0" w:space="0" w:color="auto"/>
                        <w:left w:val="none" w:sz="0" w:space="0" w:color="auto"/>
                        <w:bottom w:val="none" w:sz="0" w:space="0" w:color="auto"/>
                        <w:right w:val="none" w:sz="0" w:space="0" w:color="auto"/>
                      </w:divBdr>
                    </w:div>
                  </w:divsChild>
                </w:div>
                <w:div w:id="1383824563">
                  <w:marLeft w:val="0"/>
                  <w:marRight w:val="0"/>
                  <w:marTop w:val="0"/>
                  <w:marBottom w:val="0"/>
                  <w:divBdr>
                    <w:top w:val="none" w:sz="0" w:space="0" w:color="auto"/>
                    <w:left w:val="none" w:sz="0" w:space="0" w:color="auto"/>
                    <w:bottom w:val="none" w:sz="0" w:space="0" w:color="auto"/>
                    <w:right w:val="none" w:sz="0" w:space="0" w:color="auto"/>
                  </w:divBdr>
                  <w:divsChild>
                    <w:div w:id="1932079530">
                      <w:marLeft w:val="0"/>
                      <w:marRight w:val="0"/>
                      <w:marTop w:val="0"/>
                      <w:marBottom w:val="0"/>
                      <w:divBdr>
                        <w:top w:val="none" w:sz="0" w:space="0" w:color="auto"/>
                        <w:left w:val="none" w:sz="0" w:space="0" w:color="auto"/>
                        <w:bottom w:val="none" w:sz="0" w:space="0" w:color="auto"/>
                        <w:right w:val="none" w:sz="0" w:space="0" w:color="auto"/>
                      </w:divBdr>
                    </w:div>
                  </w:divsChild>
                </w:div>
                <w:div w:id="1442649625">
                  <w:marLeft w:val="0"/>
                  <w:marRight w:val="0"/>
                  <w:marTop w:val="0"/>
                  <w:marBottom w:val="0"/>
                  <w:divBdr>
                    <w:top w:val="none" w:sz="0" w:space="0" w:color="auto"/>
                    <w:left w:val="none" w:sz="0" w:space="0" w:color="auto"/>
                    <w:bottom w:val="none" w:sz="0" w:space="0" w:color="auto"/>
                    <w:right w:val="none" w:sz="0" w:space="0" w:color="auto"/>
                  </w:divBdr>
                  <w:divsChild>
                    <w:div w:id="1247306648">
                      <w:marLeft w:val="0"/>
                      <w:marRight w:val="0"/>
                      <w:marTop w:val="0"/>
                      <w:marBottom w:val="0"/>
                      <w:divBdr>
                        <w:top w:val="none" w:sz="0" w:space="0" w:color="auto"/>
                        <w:left w:val="none" w:sz="0" w:space="0" w:color="auto"/>
                        <w:bottom w:val="none" w:sz="0" w:space="0" w:color="auto"/>
                        <w:right w:val="none" w:sz="0" w:space="0" w:color="auto"/>
                      </w:divBdr>
                    </w:div>
                  </w:divsChild>
                </w:div>
                <w:div w:id="1449663934">
                  <w:marLeft w:val="0"/>
                  <w:marRight w:val="0"/>
                  <w:marTop w:val="0"/>
                  <w:marBottom w:val="0"/>
                  <w:divBdr>
                    <w:top w:val="none" w:sz="0" w:space="0" w:color="auto"/>
                    <w:left w:val="none" w:sz="0" w:space="0" w:color="auto"/>
                    <w:bottom w:val="none" w:sz="0" w:space="0" w:color="auto"/>
                    <w:right w:val="none" w:sz="0" w:space="0" w:color="auto"/>
                  </w:divBdr>
                  <w:divsChild>
                    <w:div w:id="1339111870">
                      <w:marLeft w:val="0"/>
                      <w:marRight w:val="0"/>
                      <w:marTop w:val="0"/>
                      <w:marBottom w:val="0"/>
                      <w:divBdr>
                        <w:top w:val="none" w:sz="0" w:space="0" w:color="auto"/>
                        <w:left w:val="none" w:sz="0" w:space="0" w:color="auto"/>
                        <w:bottom w:val="none" w:sz="0" w:space="0" w:color="auto"/>
                        <w:right w:val="none" w:sz="0" w:space="0" w:color="auto"/>
                      </w:divBdr>
                    </w:div>
                  </w:divsChild>
                </w:div>
                <w:div w:id="1467704167">
                  <w:marLeft w:val="0"/>
                  <w:marRight w:val="0"/>
                  <w:marTop w:val="0"/>
                  <w:marBottom w:val="0"/>
                  <w:divBdr>
                    <w:top w:val="none" w:sz="0" w:space="0" w:color="auto"/>
                    <w:left w:val="none" w:sz="0" w:space="0" w:color="auto"/>
                    <w:bottom w:val="none" w:sz="0" w:space="0" w:color="auto"/>
                    <w:right w:val="none" w:sz="0" w:space="0" w:color="auto"/>
                  </w:divBdr>
                  <w:divsChild>
                    <w:div w:id="267926905">
                      <w:marLeft w:val="0"/>
                      <w:marRight w:val="0"/>
                      <w:marTop w:val="0"/>
                      <w:marBottom w:val="0"/>
                      <w:divBdr>
                        <w:top w:val="none" w:sz="0" w:space="0" w:color="auto"/>
                        <w:left w:val="none" w:sz="0" w:space="0" w:color="auto"/>
                        <w:bottom w:val="none" w:sz="0" w:space="0" w:color="auto"/>
                        <w:right w:val="none" w:sz="0" w:space="0" w:color="auto"/>
                      </w:divBdr>
                    </w:div>
                  </w:divsChild>
                </w:div>
                <w:div w:id="1472093361">
                  <w:marLeft w:val="0"/>
                  <w:marRight w:val="0"/>
                  <w:marTop w:val="0"/>
                  <w:marBottom w:val="0"/>
                  <w:divBdr>
                    <w:top w:val="none" w:sz="0" w:space="0" w:color="auto"/>
                    <w:left w:val="none" w:sz="0" w:space="0" w:color="auto"/>
                    <w:bottom w:val="none" w:sz="0" w:space="0" w:color="auto"/>
                    <w:right w:val="none" w:sz="0" w:space="0" w:color="auto"/>
                  </w:divBdr>
                  <w:divsChild>
                    <w:div w:id="158498083">
                      <w:marLeft w:val="0"/>
                      <w:marRight w:val="0"/>
                      <w:marTop w:val="0"/>
                      <w:marBottom w:val="0"/>
                      <w:divBdr>
                        <w:top w:val="none" w:sz="0" w:space="0" w:color="auto"/>
                        <w:left w:val="none" w:sz="0" w:space="0" w:color="auto"/>
                        <w:bottom w:val="none" w:sz="0" w:space="0" w:color="auto"/>
                        <w:right w:val="none" w:sz="0" w:space="0" w:color="auto"/>
                      </w:divBdr>
                    </w:div>
                  </w:divsChild>
                </w:div>
                <w:div w:id="1488325548">
                  <w:marLeft w:val="0"/>
                  <w:marRight w:val="0"/>
                  <w:marTop w:val="0"/>
                  <w:marBottom w:val="0"/>
                  <w:divBdr>
                    <w:top w:val="none" w:sz="0" w:space="0" w:color="auto"/>
                    <w:left w:val="none" w:sz="0" w:space="0" w:color="auto"/>
                    <w:bottom w:val="none" w:sz="0" w:space="0" w:color="auto"/>
                    <w:right w:val="none" w:sz="0" w:space="0" w:color="auto"/>
                  </w:divBdr>
                  <w:divsChild>
                    <w:div w:id="475535110">
                      <w:marLeft w:val="0"/>
                      <w:marRight w:val="0"/>
                      <w:marTop w:val="0"/>
                      <w:marBottom w:val="0"/>
                      <w:divBdr>
                        <w:top w:val="none" w:sz="0" w:space="0" w:color="auto"/>
                        <w:left w:val="none" w:sz="0" w:space="0" w:color="auto"/>
                        <w:bottom w:val="none" w:sz="0" w:space="0" w:color="auto"/>
                        <w:right w:val="none" w:sz="0" w:space="0" w:color="auto"/>
                      </w:divBdr>
                    </w:div>
                  </w:divsChild>
                </w:div>
                <w:div w:id="1504658956">
                  <w:marLeft w:val="0"/>
                  <w:marRight w:val="0"/>
                  <w:marTop w:val="0"/>
                  <w:marBottom w:val="0"/>
                  <w:divBdr>
                    <w:top w:val="none" w:sz="0" w:space="0" w:color="auto"/>
                    <w:left w:val="none" w:sz="0" w:space="0" w:color="auto"/>
                    <w:bottom w:val="none" w:sz="0" w:space="0" w:color="auto"/>
                    <w:right w:val="none" w:sz="0" w:space="0" w:color="auto"/>
                  </w:divBdr>
                  <w:divsChild>
                    <w:div w:id="1892425252">
                      <w:marLeft w:val="0"/>
                      <w:marRight w:val="0"/>
                      <w:marTop w:val="0"/>
                      <w:marBottom w:val="0"/>
                      <w:divBdr>
                        <w:top w:val="none" w:sz="0" w:space="0" w:color="auto"/>
                        <w:left w:val="none" w:sz="0" w:space="0" w:color="auto"/>
                        <w:bottom w:val="none" w:sz="0" w:space="0" w:color="auto"/>
                        <w:right w:val="none" w:sz="0" w:space="0" w:color="auto"/>
                      </w:divBdr>
                    </w:div>
                  </w:divsChild>
                </w:div>
                <w:div w:id="1521893685">
                  <w:marLeft w:val="0"/>
                  <w:marRight w:val="0"/>
                  <w:marTop w:val="0"/>
                  <w:marBottom w:val="0"/>
                  <w:divBdr>
                    <w:top w:val="none" w:sz="0" w:space="0" w:color="auto"/>
                    <w:left w:val="none" w:sz="0" w:space="0" w:color="auto"/>
                    <w:bottom w:val="none" w:sz="0" w:space="0" w:color="auto"/>
                    <w:right w:val="none" w:sz="0" w:space="0" w:color="auto"/>
                  </w:divBdr>
                  <w:divsChild>
                    <w:div w:id="132412887">
                      <w:marLeft w:val="0"/>
                      <w:marRight w:val="0"/>
                      <w:marTop w:val="0"/>
                      <w:marBottom w:val="0"/>
                      <w:divBdr>
                        <w:top w:val="none" w:sz="0" w:space="0" w:color="auto"/>
                        <w:left w:val="none" w:sz="0" w:space="0" w:color="auto"/>
                        <w:bottom w:val="none" w:sz="0" w:space="0" w:color="auto"/>
                        <w:right w:val="none" w:sz="0" w:space="0" w:color="auto"/>
                      </w:divBdr>
                    </w:div>
                  </w:divsChild>
                </w:div>
                <w:div w:id="1537541370">
                  <w:marLeft w:val="0"/>
                  <w:marRight w:val="0"/>
                  <w:marTop w:val="0"/>
                  <w:marBottom w:val="0"/>
                  <w:divBdr>
                    <w:top w:val="none" w:sz="0" w:space="0" w:color="auto"/>
                    <w:left w:val="none" w:sz="0" w:space="0" w:color="auto"/>
                    <w:bottom w:val="none" w:sz="0" w:space="0" w:color="auto"/>
                    <w:right w:val="none" w:sz="0" w:space="0" w:color="auto"/>
                  </w:divBdr>
                  <w:divsChild>
                    <w:div w:id="146558163">
                      <w:marLeft w:val="0"/>
                      <w:marRight w:val="0"/>
                      <w:marTop w:val="0"/>
                      <w:marBottom w:val="0"/>
                      <w:divBdr>
                        <w:top w:val="none" w:sz="0" w:space="0" w:color="auto"/>
                        <w:left w:val="none" w:sz="0" w:space="0" w:color="auto"/>
                        <w:bottom w:val="none" w:sz="0" w:space="0" w:color="auto"/>
                        <w:right w:val="none" w:sz="0" w:space="0" w:color="auto"/>
                      </w:divBdr>
                    </w:div>
                  </w:divsChild>
                </w:div>
                <w:div w:id="1555308533">
                  <w:marLeft w:val="0"/>
                  <w:marRight w:val="0"/>
                  <w:marTop w:val="0"/>
                  <w:marBottom w:val="0"/>
                  <w:divBdr>
                    <w:top w:val="none" w:sz="0" w:space="0" w:color="auto"/>
                    <w:left w:val="none" w:sz="0" w:space="0" w:color="auto"/>
                    <w:bottom w:val="none" w:sz="0" w:space="0" w:color="auto"/>
                    <w:right w:val="none" w:sz="0" w:space="0" w:color="auto"/>
                  </w:divBdr>
                  <w:divsChild>
                    <w:div w:id="849641059">
                      <w:marLeft w:val="0"/>
                      <w:marRight w:val="0"/>
                      <w:marTop w:val="0"/>
                      <w:marBottom w:val="0"/>
                      <w:divBdr>
                        <w:top w:val="none" w:sz="0" w:space="0" w:color="auto"/>
                        <w:left w:val="none" w:sz="0" w:space="0" w:color="auto"/>
                        <w:bottom w:val="none" w:sz="0" w:space="0" w:color="auto"/>
                        <w:right w:val="none" w:sz="0" w:space="0" w:color="auto"/>
                      </w:divBdr>
                    </w:div>
                  </w:divsChild>
                </w:div>
                <w:div w:id="1673290944">
                  <w:marLeft w:val="0"/>
                  <w:marRight w:val="0"/>
                  <w:marTop w:val="0"/>
                  <w:marBottom w:val="0"/>
                  <w:divBdr>
                    <w:top w:val="none" w:sz="0" w:space="0" w:color="auto"/>
                    <w:left w:val="none" w:sz="0" w:space="0" w:color="auto"/>
                    <w:bottom w:val="none" w:sz="0" w:space="0" w:color="auto"/>
                    <w:right w:val="none" w:sz="0" w:space="0" w:color="auto"/>
                  </w:divBdr>
                  <w:divsChild>
                    <w:div w:id="2143421012">
                      <w:marLeft w:val="0"/>
                      <w:marRight w:val="0"/>
                      <w:marTop w:val="0"/>
                      <w:marBottom w:val="0"/>
                      <w:divBdr>
                        <w:top w:val="none" w:sz="0" w:space="0" w:color="auto"/>
                        <w:left w:val="none" w:sz="0" w:space="0" w:color="auto"/>
                        <w:bottom w:val="none" w:sz="0" w:space="0" w:color="auto"/>
                        <w:right w:val="none" w:sz="0" w:space="0" w:color="auto"/>
                      </w:divBdr>
                    </w:div>
                  </w:divsChild>
                </w:div>
                <w:div w:id="1722055890">
                  <w:marLeft w:val="0"/>
                  <w:marRight w:val="0"/>
                  <w:marTop w:val="0"/>
                  <w:marBottom w:val="0"/>
                  <w:divBdr>
                    <w:top w:val="none" w:sz="0" w:space="0" w:color="auto"/>
                    <w:left w:val="none" w:sz="0" w:space="0" w:color="auto"/>
                    <w:bottom w:val="none" w:sz="0" w:space="0" w:color="auto"/>
                    <w:right w:val="none" w:sz="0" w:space="0" w:color="auto"/>
                  </w:divBdr>
                  <w:divsChild>
                    <w:div w:id="163209435">
                      <w:marLeft w:val="0"/>
                      <w:marRight w:val="0"/>
                      <w:marTop w:val="0"/>
                      <w:marBottom w:val="0"/>
                      <w:divBdr>
                        <w:top w:val="none" w:sz="0" w:space="0" w:color="auto"/>
                        <w:left w:val="none" w:sz="0" w:space="0" w:color="auto"/>
                        <w:bottom w:val="none" w:sz="0" w:space="0" w:color="auto"/>
                        <w:right w:val="none" w:sz="0" w:space="0" w:color="auto"/>
                      </w:divBdr>
                    </w:div>
                  </w:divsChild>
                </w:div>
                <w:div w:id="1802838724">
                  <w:marLeft w:val="0"/>
                  <w:marRight w:val="0"/>
                  <w:marTop w:val="0"/>
                  <w:marBottom w:val="0"/>
                  <w:divBdr>
                    <w:top w:val="none" w:sz="0" w:space="0" w:color="auto"/>
                    <w:left w:val="none" w:sz="0" w:space="0" w:color="auto"/>
                    <w:bottom w:val="none" w:sz="0" w:space="0" w:color="auto"/>
                    <w:right w:val="none" w:sz="0" w:space="0" w:color="auto"/>
                  </w:divBdr>
                  <w:divsChild>
                    <w:div w:id="729840912">
                      <w:marLeft w:val="0"/>
                      <w:marRight w:val="0"/>
                      <w:marTop w:val="0"/>
                      <w:marBottom w:val="0"/>
                      <w:divBdr>
                        <w:top w:val="none" w:sz="0" w:space="0" w:color="auto"/>
                        <w:left w:val="none" w:sz="0" w:space="0" w:color="auto"/>
                        <w:bottom w:val="none" w:sz="0" w:space="0" w:color="auto"/>
                        <w:right w:val="none" w:sz="0" w:space="0" w:color="auto"/>
                      </w:divBdr>
                    </w:div>
                  </w:divsChild>
                </w:div>
                <w:div w:id="1829974774">
                  <w:marLeft w:val="0"/>
                  <w:marRight w:val="0"/>
                  <w:marTop w:val="0"/>
                  <w:marBottom w:val="0"/>
                  <w:divBdr>
                    <w:top w:val="none" w:sz="0" w:space="0" w:color="auto"/>
                    <w:left w:val="none" w:sz="0" w:space="0" w:color="auto"/>
                    <w:bottom w:val="none" w:sz="0" w:space="0" w:color="auto"/>
                    <w:right w:val="none" w:sz="0" w:space="0" w:color="auto"/>
                  </w:divBdr>
                  <w:divsChild>
                    <w:div w:id="121316361">
                      <w:marLeft w:val="0"/>
                      <w:marRight w:val="0"/>
                      <w:marTop w:val="0"/>
                      <w:marBottom w:val="0"/>
                      <w:divBdr>
                        <w:top w:val="none" w:sz="0" w:space="0" w:color="auto"/>
                        <w:left w:val="none" w:sz="0" w:space="0" w:color="auto"/>
                        <w:bottom w:val="none" w:sz="0" w:space="0" w:color="auto"/>
                        <w:right w:val="none" w:sz="0" w:space="0" w:color="auto"/>
                      </w:divBdr>
                    </w:div>
                  </w:divsChild>
                </w:div>
                <w:div w:id="1910341271">
                  <w:marLeft w:val="0"/>
                  <w:marRight w:val="0"/>
                  <w:marTop w:val="0"/>
                  <w:marBottom w:val="0"/>
                  <w:divBdr>
                    <w:top w:val="none" w:sz="0" w:space="0" w:color="auto"/>
                    <w:left w:val="none" w:sz="0" w:space="0" w:color="auto"/>
                    <w:bottom w:val="none" w:sz="0" w:space="0" w:color="auto"/>
                    <w:right w:val="none" w:sz="0" w:space="0" w:color="auto"/>
                  </w:divBdr>
                  <w:divsChild>
                    <w:div w:id="282075795">
                      <w:marLeft w:val="0"/>
                      <w:marRight w:val="0"/>
                      <w:marTop w:val="0"/>
                      <w:marBottom w:val="0"/>
                      <w:divBdr>
                        <w:top w:val="none" w:sz="0" w:space="0" w:color="auto"/>
                        <w:left w:val="none" w:sz="0" w:space="0" w:color="auto"/>
                        <w:bottom w:val="none" w:sz="0" w:space="0" w:color="auto"/>
                        <w:right w:val="none" w:sz="0" w:space="0" w:color="auto"/>
                      </w:divBdr>
                    </w:div>
                  </w:divsChild>
                </w:div>
                <w:div w:id="1912307007">
                  <w:marLeft w:val="0"/>
                  <w:marRight w:val="0"/>
                  <w:marTop w:val="0"/>
                  <w:marBottom w:val="0"/>
                  <w:divBdr>
                    <w:top w:val="none" w:sz="0" w:space="0" w:color="auto"/>
                    <w:left w:val="none" w:sz="0" w:space="0" w:color="auto"/>
                    <w:bottom w:val="none" w:sz="0" w:space="0" w:color="auto"/>
                    <w:right w:val="none" w:sz="0" w:space="0" w:color="auto"/>
                  </w:divBdr>
                  <w:divsChild>
                    <w:div w:id="211816358">
                      <w:marLeft w:val="0"/>
                      <w:marRight w:val="0"/>
                      <w:marTop w:val="0"/>
                      <w:marBottom w:val="0"/>
                      <w:divBdr>
                        <w:top w:val="none" w:sz="0" w:space="0" w:color="auto"/>
                        <w:left w:val="none" w:sz="0" w:space="0" w:color="auto"/>
                        <w:bottom w:val="none" w:sz="0" w:space="0" w:color="auto"/>
                        <w:right w:val="none" w:sz="0" w:space="0" w:color="auto"/>
                      </w:divBdr>
                    </w:div>
                  </w:divsChild>
                </w:div>
                <w:div w:id="1923832855">
                  <w:marLeft w:val="0"/>
                  <w:marRight w:val="0"/>
                  <w:marTop w:val="0"/>
                  <w:marBottom w:val="0"/>
                  <w:divBdr>
                    <w:top w:val="none" w:sz="0" w:space="0" w:color="auto"/>
                    <w:left w:val="none" w:sz="0" w:space="0" w:color="auto"/>
                    <w:bottom w:val="none" w:sz="0" w:space="0" w:color="auto"/>
                    <w:right w:val="none" w:sz="0" w:space="0" w:color="auto"/>
                  </w:divBdr>
                  <w:divsChild>
                    <w:div w:id="359210126">
                      <w:marLeft w:val="0"/>
                      <w:marRight w:val="0"/>
                      <w:marTop w:val="0"/>
                      <w:marBottom w:val="0"/>
                      <w:divBdr>
                        <w:top w:val="none" w:sz="0" w:space="0" w:color="auto"/>
                        <w:left w:val="none" w:sz="0" w:space="0" w:color="auto"/>
                        <w:bottom w:val="none" w:sz="0" w:space="0" w:color="auto"/>
                        <w:right w:val="none" w:sz="0" w:space="0" w:color="auto"/>
                      </w:divBdr>
                    </w:div>
                  </w:divsChild>
                </w:div>
                <w:div w:id="1928614706">
                  <w:marLeft w:val="0"/>
                  <w:marRight w:val="0"/>
                  <w:marTop w:val="0"/>
                  <w:marBottom w:val="0"/>
                  <w:divBdr>
                    <w:top w:val="none" w:sz="0" w:space="0" w:color="auto"/>
                    <w:left w:val="none" w:sz="0" w:space="0" w:color="auto"/>
                    <w:bottom w:val="none" w:sz="0" w:space="0" w:color="auto"/>
                    <w:right w:val="none" w:sz="0" w:space="0" w:color="auto"/>
                  </w:divBdr>
                  <w:divsChild>
                    <w:div w:id="1504391001">
                      <w:marLeft w:val="0"/>
                      <w:marRight w:val="0"/>
                      <w:marTop w:val="0"/>
                      <w:marBottom w:val="0"/>
                      <w:divBdr>
                        <w:top w:val="none" w:sz="0" w:space="0" w:color="auto"/>
                        <w:left w:val="none" w:sz="0" w:space="0" w:color="auto"/>
                        <w:bottom w:val="none" w:sz="0" w:space="0" w:color="auto"/>
                        <w:right w:val="none" w:sz="0" w:space="0" w:color="auto"/>
                      </w:divBdr>
                    </w:div>
                  </w:divsChild>
                </w:div>
                <w:div w:id="1966737344">
                  <w:marLeft w:val="0"/>
                  <w:marRight w:val="0"/>
                  <w:marTop w:val="0"/>
                  <w:marBottom w:val="0"/>
                  <w:divBdr>
                    <w:top w:val="none" w:sz="0" w:space="0" w:color="auto"/>
                    <w:left w:val="none" w:sz="0" w:space="0" w:color="auto"/>
                    <w:bottom w:val="none" w:sz="0" w:space="0" w:color="auto"/>
                    <w:right w:val="none" w:sz="0" w:space="0" w:color="auto"/>
                  </w:divBdr>
                  <w:divsChild>
                    <w:div w:id="136996494">
                      <w:marLeft w:val="0"/>
                      <w:marRight w:val="0"/>
                      <w:marTop w:val="0"/>
                      <w:marBottom w:val="0"/>
                      <w:divBdr>
                        <w:top w:val="none" w:sz="0" w:space="0" w:color="auto"/>
                        <w:left w:val="none" w:sz="0" w:space="0" w:color="auto"/>
                        <w:bottom w:val="none" w:sz="0" w:space="0" w:color="auto"/>
                        <w:right w:val="none" w:sz="0" w:space="0" w:color="auto"/>
                      </w:divBdr>
                    </w:div>
                  </w:divsChild>
                </w:div>
                <w:div w:id="2005157631">
                  <w:marLeft w:val="0"/>
                  <w:marRight w:val="0"/>
                  <w:marTop w:val="0"/>
                  <w:marBottom w:val="0"/>
                  <w:divBdr>
                    <w:top w:val="none" w:sz="0" w:space="0" w:color="auto"/>
                    <w:left w:val="none" w:sz="0" w:space="0" w:color="auto"/>
                    <w:bottom w:val="none" w:sz="0" w:space="0" w:color="auto"/>
                    <w:right w:val="none" w:sz="0" w:space="0" w:color="auto"/>
                  </w:divBdr>
                  <w:divsChild>
                    <w:div w:id="1312178901">
                      <w:marLeft w:val="0"/>
                      <w:marRight w:val="0"/>
                      <w:marTop w:val="0"/>
                      <w:marBottom w:val="0"/>
                      <w:divBdr>
                        <w:top w:val="none" w:sz="0" w:space="0" w:color="auto"/>
                        <w:left w:val="none" w:sz="0" w:space="0" w:color="auto"/>
                        <w:bottom w:val="none" w:sz="0" w:space="0" w:color="auto"/>
                        <w:right w:val="none" w:sz="0" w:space="0" w:color="auto"/>
                      </w:divBdr>
                    </w:div>
                  </w:divsChild>
                </w:div>
                <w:div w:id="2016497987">
                  <w:marLeft w:val="0"/>
                  <w:marRight w:val="0"/>
                  <w:marTop w:val="0"/>
                  <w:marBottom w:val="0"/>
                  <w:divBdr>
                    <w:top w:val="none" w:sz="0" w:space="0" w:color="auto"/>
                    <w:left w:val="none" w:sz="0" w:space="0" w:color="auto"/>
                    <w:bottom w:val="none" w:sz="0" w:space="0" w:color="auto"/>
                    <w:right w:val="none" w:sz="0" w:space="0" w:color="auto"/>
                  </w:divBdr>
                  <w:divsChild>
                    <w:div w:id="907963780">
                      <w:marLeft w:val="0"/>
                      <w:marRight w:val="0"/>
                      <w:marTop w:val="0"/>
                      <w:marBottom w:val="0"/>
                      <w:divBdr>
                        <w:top w:val="none" w:sz="0" w:space="0" w:color="auto"/>
                        <w:left w:val="none" w:sz="0" w:space="0" w:color="auto"/>
                        <w:bottom w:val="none" w:sz="0" w:space="0" w:color="auto"/>
                        <w:right w:val="none" w:sz="0" w:space="0" w:color="auto"/>
                      </w:divBdr>
                    </w:div>
                  </w:divsChild>
                </w:div>
                <w:div w:id="2020110030">
                  <w:marLeft w:val="0"/>
                  <w:marRight w:val="0"/>
                  <w:marTop w:val="0"/>
                  <w:marBottom w:val="0"/>
                  <w:divBdr>
                    <w:top w:val="none" w:sz="0" w:space="0" w:color="auto"/>
                    <w:left w:val="none" w:sz="0" w:space="0" w:color="auto"/>
                    <w:bottom w:val="none" w:sz="0" w:space="0" w:color="auto"/>
                    <w:right w:val="none" w:sz="0" w:space="0" w:color="auto"/>
                  </w:divBdr>
                  <w:divsChild>
                    <w:div w:id="123261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544567">
          <w:marLeft w:val="0"/>
          <w:marRight w:val="0"/>
          <w:marTop w:val="0"/>
          <w:marBottom w:val="0"/>
          <w:divBdr>
            <w:top w:val="none" w:sz="0" w:space="0" w:color="auto"/>
            <w:left w:val="none" w:sz="0" w:space="0" w:color="auto"/>
            <w:bottom w:val="none" w:sz="0" w:space="0" w:color="auto"/>
            <w:right w:val="none" w:sz="0" w:space="0" w:color="auto"/>
          </w:divBdr>
        </w:div>
        <w:div w:id="1773354251">
          <w:marLeft w:val="0"/>
          <w:marRight w:val="0"/>
          <w:marTop w:val="0"/>
          <w:marBottom w:val="0"/>
          <w:divBdr>
            <w:top w:val="none" w:sz="0" w:space="0" w:color="auto"/>
            <w:left w:val="none" w:sz="0" w:space="0" w:color="auto"/>
            <w:bottom w:val="none" w:sz="0" w:space="0" w:color="auto"/>
            <w:right w:val="none" w:sz="0" w:space="0" w:color="auto"/>
          </w:divBdr>
        </w:div>
        <w:div w:id="1851065519">
          <w:marLeft w:val="0"/>
          <w:marRight w:val="0"/>
          <w:marTop w:val="0"/>
          <w:marBottom w:val="0"/>
          <w:divBdr>
            <w:top w:val="none" w:sz="0" w:space="0" w:color="auto"/>
            <w:left w:val="none" w:sz="0" w:space="0" w:color="auto"/>
            <w:bottom w:val="none" w:sz="0" w:space="0" w:color="auto"/>
            <w:right w:val="none" w:sz="0" w:space="0" w:color="auto"/>
          </w:divBdr>
        </w:div>
      </w:divsChild>
    </w:div>
    <w:div w:id="32342010">
      <w:bodyDiv w:val="1"/>
      <w:marLeft w:val="0"/>
      <w:marRight w:val="0"/>
      <w:marTop w:val="0"/>
      <w:marBottom w:val="0"/>
      <w:divBdr>
        <w:top w:val="none" w:sz="0" w:space="0" w:color="auto"/>
        <w:left w:val="none" w:sz="0" w:space="0" w:color="auto"/>
        <w:bottom w:val="none" w:sz="0" w:space="0" w:color="auto"/>
        <w:right w:val="none" w:sz="0" w:space="0" w:color="auto"/>
      </w:divBdr>
    </w:div>
    <w:div w:id="41830621">
      <w:bodyDiv w:val="1"/>
      <w:marLeft w:val="0"/>
      <w:marRight w:val="0"/>
      <w:marTop w:val="0"/>
      <w:marBottom w:val="0"/>
      <w:divBdr>
        <w:top w:val="none" w:sz="0" w:space="0" w:color="auto"/>
        <w:left w:val="none" w:sz="0" w:space="0" w:color="auto"/>
        <w:bottom w:val="none" w:sz="0" w:space="0" w:color="auto"/>
        <w:right w:val="none" w:sz="0" w:space="0" w:color="auto"/>
      </w:divBdr>
    </w:div>
    <w:div w:id="42414499">
      <w:bodyDiv w:val="1"/>
      <w:marLeft w:val="0"/>
      <w:marRight w:val="0"/>
      <w:marTop w:val="0"/>
      <w:marBottom w:val="0"/>
      <w:divBdr>
        <w:top w:val="none" w:sz="0" w:space="0" w:color="auto"/>
        <w:left w:val="none" w:sz="0" w:space="0" w:color="auto"/>
        <w:bottom w:val="none" w:sz="0" w:space="0" w:color="auto"/>
        <w:right w:val="none" w:sz="0" w:space="0" w:color="auto"/>
      </w:divBdr>
    </w:div>
    <w:div w:id="60446261">
      <w:bodyDiv w:val="1"/>
      <w:marLeft w:val="0"/>
      <w:marRight w:val="0"/>
      <w:marTop w:val="0"/>
      <w:marBottom w:val="0"/>
      <w:divBdr>
        <w:top w:val="none" w:sz="0" w:space="0" w:color="auto"/>
        <w:left w:val="none" w:sz="0" w:space="0" w:color="auto"/>
        <w:bottom w:val="none" w:sz="0" w:space="0" w:color="auto"/>
        <w:right w:val="none" w:sz="0" w:space="0" w:color="auto"/>
      </w:divBdr>
    </w:div>
    <w:div w:id="66878118">
      <w:bodyDiv w:val="1"/>
      <w:marLeft w:val="0"/>
      <w:marRight w:val="0"/>
      <w:marTop w:val="0"/>
      <w:marBottom w:val="0"/>
      <w:divBdr>
        <w:top w:val="none" w:sz="0" w:space="0" w:color="auto"/>
        <w:left w:val="none" w:sz="0" w:space="0" w:color="auto"/>
        <w:bottom w:val="none" w:sz="0" w:space="0" w:color="auto"/>
        <w:right w:val="none" w:sz="0" w:space="0" w:color="auto"/>
      </w:divBdr>
      <w:divsChild>
        <w:div w:id="2127580462">
          <w:marLeft w:val="0"/>
          <w:marRight w:val="0"/>
          <w:marTop w:val="0"/>
          <w:marBottom w:val="0"/>
          <w:divBdr>
            <w:top w:val="none" w:sz="0" w:space="0" w:color="auto"/>
            <w:left w:val="none" w:sz="0" w:space="0" w:color="auto"/>
            <w:bottom w:val="none" w:sz="0" w:space="0" w:color="auto"/>
            <w:right w:val="none" w:sz="0" w:space="0" w:color="auto"/>
          </w:divBdr>
          <w:divsChild>
            <w:div w:id="860244817">
              <w:marLeft w:val="0"/>
              <w:marRight w:val="0"/>
              <w:marTop w:val="0"/>
              <w:marBottom w:val="0"/>
              <w:divBdr>
                <w:top w:val="none" w:sz="0" w:space="0" w:color="auto"/>
                <w:left w:val="none" w:sz="0" w:space="0" w:color="auto"/>
                <w:bottom w:val="none" w:sz="0" w:space="0" w:color="auto"/>
                <w:right w:val="none" w:sz="0" w:space="0" w:color="auto"/>
              </w:divBdr>
              <w:divsChild>
                <w:div w:id="898247684">
                  <w:marLeft w:val="0"/>
                  <w:marRight w:val="0"/>
                  <w:marTop w:val="0"/>
                  <w:marBottom w:val="0"/>
                  <w:divBdr>
                    <w:top w:val="none" w:sz="0" w:space="0" w:color="auto"/>
                    <w:left w:val="none" w:sz="0" w:space="0" w:color="auto"/>
                    <w:bottom w:val="none" w:sz="0" w:space="0" w:color="auto"/>
                    <w:right w:val="none" w:sz="0" w:space="0" w:color="auto"/>
                  </w:divBdr>
                  <w:divsChild>
                    <w:div w:id="1796636085">
                      <w:marLeft w:val="0"/>
                      <w:marRight w:val="0"/>
                      <w:marTop w:val="0"/>
                      <w:marBottom w:val="0"/>
                      <w:divBdr>
                        <w:top w:val="none" w:sz="0" w:space="0" w:color="auto"/>
                        <w:left w:val="none" w:sz="0" w:space="0" w:color="auto"/>
                        <w:bottom w:val="none" w:sz="0" w:space="0" w:color="auto"/>
                        <w:right w:val="none" w:sz="0" w:space="0" w:color="auto"/>
                      </w:divBdr>
                      <w:divsChild>
                        <w:div w:id="727460840">
                          <w:marLeft w:val="0"/>
                          <w:marRight w:val="0"/>
                          <w:marTop w:val="0"/>
                          <w:marBottom w:val="0"/>
                          <w:divBdr>
                            <w:top w:val="none" w:sz="0" w:space="0" w:color="auto"/>
                            <w:left w:val="none" w:sz="0" w:space="0" w:color="auto"/>
                            <w:bottom w:val="none" w:sz="0" w:space="0" w:color="auto"/>
                            <w:right w:val="none" w:sz="0" w:space="0" w:color="auto"/>
                          </w:divBdr>
                          <w:divsChild>
                            <w:div w:id="112010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908976">
      <w:bodyDiv w:val="1"/>
      <w:marLeft w:val="0"/>
      <w:marRight w:val="0"/>
      <w:marTop w:val="0"/>
      <w:marBottom w:val="0"/>
      <w:divBdr>
        <w:top w:val="none" w:sz="0" w:space="0" w:color="auto"/>
        <w:left w:val="none" w:sz="0" w:space="0" w:color="auto"/>
        <w:bottom w:val="none" w:sz="0" w:space="0" w:color="auto"/>
        <w:right w:val="none" w:sz="0" w:space="0" w:color="auto"/>
      </w:divBdr>
    </w:div>
    <w:div w:id="81293356">
      <w:bodyDiv w:val="1"/>
      <w:marLeft w:val="0"/>
      <w:marRight w:val="0"/>
      <w:marTop w:val="0"/>
      <w:marBottom w:val="0"/>
      <w:divBdr>
        <w:top w:val="none" w:sz="0" w:space="0" w:color="auto"/>
        <w:left w:val="none" w:sz="0" w:space="0" w:color="auto"/>
        <w:bottom w:val="none" w:sz="0" w:space="0" w:color="auto"/>
        <w:right w:val="none" w:sz="0" w:space="0" w:color="auto"/>
      </w:divBdr>
    </w:div>
    <w:div w:id="85929027">
      <w:bodyDiv w:val="1"/>
      <w:marLeft w:val="0"/>
      <w:marRight w:val="0"/>
      <w:marTop w:val="0"/>
      <w:marBottom w:val="0"/>
      <w:divBdr>
        <w:top w:val="none" w:sz="0" w:space="0" w:color="auto"/>
        <w:left w:val="none" w:sz="0" w:space="0" w:color="auto"/>
        <w:bottom w:val="none" w:sz="0" w:space="0" w:color="auto"/>
        <w:right w:val="none" w:sz="0" w:space="0" w:color="auto"/>
      </w:divBdr>
    </w:div>
    <w:div w:id="96681421">
      <w:bodyDiv w:val="1"/>
      <w:marLeft w:val="0"/>
      <w:marRight w:val="0"/>
      <w:marTop w:val="0"/>
      <w:marBottom w:val="0"/>
      <w:divBdr>
        <w:top w:val="none" w:sz="0" w:space="0" w:color="auto"/>
        <w:left w:val="none" w:sz="0" w:space="0" w:color="auto"/>
        <w:bottom w:val="none" w:sz="0" w:space="0" w:color="auto"/>
        <w:right w:val="none" w:sz="0" w:space="0" w:color="auto"/>
      </w:divBdr>
    </w:div>
    <w:div w:id="113184152">
      <w:bodyDiv w:val="1"/>
      <w:marLeft w:val="0"/>
      <w:marRight w:val="0"/>
      <w:marTop w:val="0"/>
      <w:marBottom w:val="0"/>
      <w:divBdr>
        <w:top w:val="none" w:sz="0" w:space="0" w:color="auto"/>
        <w:left w:val="none" w:sz="0" w:space="0" w:color="auto"/>
        <w:bottom w:val="none" w:sz="0" w:space="0" w:color="auto"/>
        <w:right w:val="none" w:sz="0" w:space="0" w:color="auto"/>
      </w:divBdr>
    </w:div>
    <w:div w:id="132531542">
      <w:bodyDiv w:val="1"/>
      <w:marLeft w:val="0"/>
      <w:marRight w:val="0"/>
      <w:marTop w:val="0"/>
      <w:marBottom w:val="0"/>
      <w:divBdr>
        <w:top w:val="none" w:sz="0" w:space="0" w:color="auto"/>
        <w:left w:val="none" w:sz="0" w:space="0" w:color="auto"/>
        <w:bottom w:val="none" w:sz="0" w:space="0" w:color="auto"/>
        <w:right w:val="none" w:sz="0" w:space="0" w:color="auto"/>
      </w:divBdr>
    </w:div>
    <w:div w:id="134184805">
      <w:bodyDiv w:val="1"/>
      <w:marLeft w:val="0"/>
      <w:marRight w:val="0"/>
      <w:marTop w:val="0"/>
      <w:marBottom w:val="0"/>
      <w:divBdr>
        <w:top w:val="none" w:sz="0" w:space="0" w:color="auto"/>
        <w:left w:val="none" w:sz="0" w:space="0" w:color="auto"/>
        <w:bottom w:val="none" w:sz="0" w:space="0" w:color="auto"/>
        <w:right w:val="none" w:sz="0" w:space="0" w:color="auto"/>
      </w:divBdr>
    </w:div>
    <w:div w:id="136849334">
      <w:bodyDiv w:val="1"/>
      <w:marLeft w:val="0"/>
      <w:marRight w:val="0"/>
      <w:marTop w:val="0"/>
      <w:marBottom w:val="0"/>
      <w:divBdr>
        <w:top w:val="none" w:sz="0" w:space="0" w:color="auto"/>
        <w:left w:val="none" w:sz="0" w:space="0" w:color="auto"/>
        <w:bottom w:val="none" w:sz="0" w:space="0" w:color="auto"/>
        <w:right w:val="none" w:sz="0" w:space="0" w:color="auto"/>
      </w:divBdr>
    </w:div>
    <w:div w:id="141195969">
      <w:bodyDiv w:val="1"/>
      <w:marLeft w:val="0"/>
      <w:marRight w:val="0"/>
      <w:marTop w:val="0"/>
      <w:marBottom w:val="0"/>
      <w:divBdr>
        <w:top w:val="none" w:sz="0" w:space="0" w:color="auto"/>
        <w:left w:val="none" w:sz="0" w:space="0" w:color="auto"/>
        <w:bottom w:val="none" w:sz="0" w:space="0" w:color="auto"/>
        <w:right w:val="none" w:sz="0" w:space="0" w:color="auto"/>
      </w:divBdr>
    </w:div>
    <w:div w:id="168838993">
      <w:bodyDiv w:val="1"/>
      <w:marLeft w:val="0"/>
      <w:marRight w:val="0"/>
      <w:marTop w:val="0"/>
      <w:marBottom w:val="0"/>
      <w:divBdr>
        <w:top w:val="none" w:sz="0" w:space="0" w:color="auto"/>
        <w:left w:val="none" w:sz="0" w:space="0" w:color="auto"/>
        <w:bottom w:val="none" w:sz="0" w:space="0" w:color="auto"/>
        <w:right w:val="none" w:sz="0" w:space="0" w:color="auto"/>
      </w:divBdr>
      <w:divsChild>
        <w:div w:id="65878430">
          <w:marLeft w:val="0"/>
          <w:marRight w:val="0"/>
          <w:marTop w:val="0"/>
          <w:marBottom w:val="0"/>
          <w:divBdr>
            <w:top w:val="none" w:sz="0" w:space="0" w:color="auto"/>
            <w:left w:val="none" w:sz="0" w:space="0" w:color="auto"/>
            <w:bottom w:val="none" w:sz="0" w:space="0" w:color="auto"/>
            <w:right w:val="none" w:sz="0" w:space="0" w:color="auto"/>
          </w:divBdr>
          <w:divsChild>
            <w:div w:id="210701636">
              <w:marLeft w:val="0"/>
              <w:marRight w:val="0"/>
              <w:marTop w:val="0"/>
              <w:marBottom w:val="0"/>
              <w:divBdr>
                <w:top w:val="none" w:sz="0" w:space="0" w:color="auto"/>
                <w:left w:val="none" w:sz="0" w:space="0" w:color="auto"/>
                <w:bottom w:val="none" w:sz="0" w:space="0" w:color="auto"/>
                <w:right w:val="none" w:sz="0" w:space="0" w:color="auto"/>
              </w:divBdr>
              <w:divsChild>
                <w:div w:id="847251003">
                  <w:marLeft w:val="0"/>
                  <w:marRight w:val="0"/>
                  <w:marTop w:val="0"/>
                  <w:marBottom w:val="0"/>
                  <w:divBdr>
                    <w:top w:val="none" w:sz="0" w:space="0" w:color="auto"/>
                    <w:left w:val="none" w:sz="0" w:space="0" w:color="auto"/>
                    <w:bottom w:val="none" w:sz="0" w:space="0" w:color="auto"/>
                    <w:right w:val="none" w:sz="0" w:space="0" w:color="auto"/>
                  </w:divBdr>
                  <w:divsChild>
                    <w:div w:id="1628000473">
                      <w:marLeft w:val="0"/>
                      <w:marRight w:val="0"/>
                      <w:marTop w:val="0"/>
                      <w:marBottom w:val="0"/>
                      <w:divBdr>
                        <w:top w:val="none" w:sz="0" w:space="0" w:color="auto"/>
                        <w:left w:val="none" w:sz="0" w:space="0" w:color="auto"/>
                        <w:bottom w:val="none" w:sz="0" w:space="0" w:color="auto"/>
                        <w:right w:val="none" w:sz="0" w:space="0" w:color="auto"/>
                      </w:divBdr>
                      <w:divsChild>
                        <w:div w:id="733549912">
                          <w:marLeft w:val="0"/>
                          <w:marRight w:val="0"/>
                          <w:marTop w:val="0"/>
                          <w:marBottom w:val="0"/>
                          <w:divBdr>
                            <w:top w:val="none" w:sz="0" w:space="0" w:color="auto"/>
                            <w:left w:val="none" w:sz="0" w:space="0" w:color="auto"/>
                            <w:bottom w:val="none" w:sz="0" w:space="0" w:color="auto"/>
                            <w:right w:val="none" w:sz="0" w:space="0" w:color="auto"/>
                          </w:divBdr>
                          <w:divsChild>
                            <w:div w:id="1677002737">
                              <w:marLeft w:val="0"/>
                              <w:marRight w:val="0"/>
                              <w:marTop w:val="0"/>
                              <w:marBottom w:val="0"/>
                              <w:divBdr>
                                <w:top w:val="none" w:sz="0" w:space="0" w:color="auto"/>
                                <w:left w:val="none" w:sz="0" w:space="0" w:color="auto"/>
                                <w:bottom w:val="none" w:sz="0" w:space="0" w:color="auto"/>
                                <w:right w:val="none" w:sz="0" w:space="0" w:color="auto"/>
                              </w:divBdr>
                              <w:divsChild>
                                <w:div w:id="989099406">
                                  <w:marLeft w:val="0"/>
                                  <w:marRight w:val="0"/>
                                  <w:marTop w:val="0"/>
                                  <w:marBottom w:val="0"/>
                                  <w:divBdr>
                                    <w:top w:val="none" w:sz="0" w:space="0" w:color="auto"/>
                                    <w:left w:val="none" w:sz="0" w:space="0" w:color="auto"/>
                                    <w:bottom w:val="none" w:sz="0" w:space="0" w:color="auto"/>
                                    <w:right w:val="none" w:sz="0" w:space="0" w:color="auto"/>
                                  </w:divBdr>
                                  <w:divsChild>
                                    <w:div w:id="276065135">
                                      <w:marLeft w:val="0"/>
                                      <w:marRight w:val="0"/>
                                      <w:marTop w:val="0"/>
                                      <w:marBottom w:val="0"/>
                                      <w:divBdr>
                                        <w:top w:val="none" w:sz="0" w:space="0" w:color="auto"/>
                                        <w:left w:val="none" w:sz="0" w:space="0" w:color="auto"/>
                                        <w:bottom w:val="none" w:sz="0" w:space="0" w:color="auto"/>
                                        <w:right w:val="none" w:sz="0" w:space="0" w:color="auto"/>
                                      </w:divBdr>
                                      <w:divsChild>
                                        <w:div w:id="93633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627472">
          <w:marLeft w:val="0"/>
          <w:marRight w:val="0"/>
          <w:marTop w:val="0"/>
          <w:marBottom w:val="0"/>
          <w:divBdr>
            <w:top w:val="none" w:sz="0" w:space="0" w:color="auto"/>
            <w:left w:val="none" w:sz="0" w:space="0" w:color="auto"/>
            <w:bottom w:val="none" w:sz="0" w:space="0" w:color="auto"/>
            <w:right w:val="none" w:sz="0" w:space="0" w:color="auto"/>
          </w:divBdr>
          <w:divsChild>
            <w:div w:id="1144470446">
              <w:marLeft w:val="0"/>
              <w:marRight w:val="0"/>
              <w:marTop w:val="0"/>
              <w:marBottom w:val="0"/>
              <w:divBdr>
                <w:top w:val="none" w:sz="0" w:space="0" w:color="auto"/>
                <w:left w:val="none" w:sz="0" w:space="0" w:color="auto"/>
                <w:bottom w:val="none" w:sz="0" w:space="0" w:color="auto"/>
                <w:right w:val="none" w:sz="0" w:space="0" w:color="auto"/>
              </w:divBdr>
              <w:divsChild>
                <w:div w:id="36243746">
                  <w:marLeft w:val="0"/>
                  <w:marRight w:val="0"/>
                  <w:marTop w:val="0"/>
                  <w:marBottom w:val="0"/>
                  <w:divBdr>
                    <w:top w:val="none" w:sz="0" w:space="0" w:color="auto"/>
                    <w:left w:val="none" w:sz="0" w:space="0" w:color="auto"/>
                    <w:bottom w:val="none" w:sz="0" w:space="0" w:color="auto"/>
                    <w:right w:val="none" w:sz="0" w:space="0" w:color="auto"/>
                  </w:divBdr>
                  <w:divsChild>
                    <w:div w:id="1164660104">
                      <w:marLeft w:val="0"/>
                      <w:marRight w:val="0"/>
                      <w:marTop w:val="0"/>
                      <w:marBottom w:val="0"/>
                      <w:divBdr>
                        <w:top w:val="none" w:sz="0" w:space="0" w:color="auto"/>
                        <w:left w:val="none" w:sz="0" w:space="0" w:color="auto"/>
                        <w:bottom w:val="none" w:sz="0" w:space="0" w:color="auto"/>
                        <w:right w:val="none" w:sz="0" w:space="0" w:color="auto"/>
                      </w:divBdr>
                      <w:divsChild>
                        <w:div w:id="2110461722">
                          <w:marLeft w:val="0"/>
                          <w:marRight w:val="0"/>
                          <w:marTop w:val="0"/>
                          <w:marBottom w:val="0"/>
                          <w:divBdr>
                            <w:top w:val="none" w:sz="0" w:space="0" w:color="auto"/>
                            <w:left w:val="none" w:sz="0" w:space="0" w:color="auto"/>
                            <w:bottom w:val="none" w:sz="0" w:space="0" w:color="auto"/>
                            <w:right w:val="none" w:sz="0" w:space="0" w:color="auto"/>
                          </w:divBdr>
                          <w:divsChild>
                            <w:div w:id="720863231">
                              <w:marLeft w:val="0"/>
                              <w:marRight w:val="0"/>
                              <w:marTop w:val="0"/>
                              <w:marBottom w:val="0"/>
                              <w:divBdr>
                                <w:top w:val="none" w:sz="0" w:space="0" w:color="auto"/>
                                <w:left w:val="none" w:sz="0" w:space="0" w:color="auto"/>
                                <w:bottom w:val="none" w:sz="0" w:space="0" w:color="auto"/>
                                <w:right w:val="none" w:sz="0" w:space="0" w:color="auto"/>
                              </w:divBdr>
                              <w:divsChild>
                                <w:div w:id="165984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213298">
                  <w:marLeft w:val="0"/>
                  <w:marRight w:val="0"/>
                  <w:marTop w:val="0"/>
                  <w:marBottom w:val="0"/>
                  <w:divBdr>
                    <w:top w:val="none" w:sz="0" w:space="0" w:color="auto"/>
                    <w:left w:val="none" w:sz="0" w:space="0" w:color="auto"/>
                    <w:bottom w:val="none" w:sz="0" w:space="0" w:color="auto"/>
                    <w:right w:val="none" w:sz="0" w:space="0" w:color="auto"/>
                  </w:divBdr>
                  <w:divsChild>
                    <w:div w:id="1374621906">
                      <w:marLeft w:val="0"/>
                      <w:marRight w:val="0"/>
                      <w:marTop w:val="0"/>
                      <w:marBottom w:val="0"/>
                      <w:divBdr>
                        <w:top w:val="none" w:sz="0" w:space="0" w:color="auto"/>
                        <w:left w:val="none" w:sz="0" w:space="0" w:color="auto"/>
                        <w:bottom w:val="none" w:sz="0" w:space="0" w:color="auto"/>
                        <w:right w:val="none" w:sz="0" w:space="0" w:color="auto"/>
                      </w:divBdr>
                      <w:divsChild>
                        <w:div w:id="1913616618">
                          <w:marLeft w:val="0"/>
                          <w:marRight w:val="0"/>
                          <w:marTop w:val="0"/>
                          <w:marBottom w:val="0"/>
                          <w:divBdr>
                            <w:top w:val="none" w:sz="0" w:space="0" w:color="auto"/>
                            <w:left w:val="none" w:sz="0" w:space="0" w:color="auto"/>
                            <w:bottom w:val="none" w:sz="0" w:space="0" w:color="auto"/>
                            <w:right w:val="none" w:sz="0" w:space="0" w:color="auto"/>
                          </w:divBdr>
                          <w:divsChild>
                            <w:div w:id="1651254141">
                              <w:marLeft w:val="0"/>
                              <w:marRight w:val="0"/>
                              <w:marTop w:val="0"/>
                              <w:marBottom w:val="0"/>
                              <w:divBdr>
                                <w:top w:val="none" w:sz="0" w:space="0" w:color="auto"/>
                                <w:left w:val="none" w:sz="0" w:space="0" w:color="auto"/>
                                <w:bottom w:val="none" w:sz="0" w:space="0" w:color="auto"/>
                                <w:right w:val="none" w:sz="0" w:space="0" w:color="auto"/>
                              </w:divBdr>
                              <w:divsChild>
                                <w:div w:id="1902326830">
                                  <w:marLeft w:val="0"/>
                                  <w:marRight w:val="0"/>
                                  <w:marTop w:val="0"/>
                                  <w:marBottom w:val="0"/>
                                  <w:divBdr>
                                    <w:top w:val="none" w:sz="0" w:space="0" w:color="auto"/>
                                    <w:left w:val="none" w:sz="0" w:space="0" w:color="auto"/>
                                    <w:bottom w:val="none" w:sz="0" w:space="0" w:color="auto"/>
                                    <w:right w:val="none" w:sz="0" w:space="0" w:color="auto"/>
                                  </w:divBdr>
                                  <w:divsChild>
                                    <w:div w:id="2044017441">
                                      <w:marLeft w:val="0"/>
                                      <w:marRight w:val="0"/>
                                      <w:marTop w:val="0"/>
                                      <w:marBottom w:val="0"/>
                                      <w:divBdr>
                                        <w:top w:val="none" w:sz="0" w:space="0" w:color="auto"/>
                                        <w:left w:val="none" w:sz="0" w:space="0" w:color="auto"/>
                                        <w:bottom w:val="none" w:sz="0" w:space="0" w:color="auto"/>
                                        <w:right w:val="none" w:sz="0" w:space="0" w:color="auto"/>
                                      </w:divBdr>
                                    </w:div>
                                  </w:divsChild>
                                </w:div>
                                <w:div w:id="1932541282">
                                  <w:marLeft w:val="0"/>
                                  <w:marRight w:val="0"/>
                                  <w:marTop w:val="0"/>
                                  <w:marBottom w:val="0"/>
                                  <w:divBdr>
                                    <w:top w:val="none" w:sz="0" w:space="0" w:color="auto"/>
                                    <w:left w:val="none" w:sz="0" w:space="0" w:color="auto"/>
                                    <w:bottom w:val="none" w:sz="0" w:space="0" w:color="auto"/>
                                    <w:right w:val="none" w:sz="0" w:space="0" w:color="auto"/>
                                  </w:divBdr>
                                  <w:divsChild>
                                    <w:div w:id="36359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449157">
                          <w:marLeft w:val="0"/>
                          <w:marRight w:val="0"/>
                          <w:marTop w:val="0"/>
                          <w:marBottom w:val="0"/>
                          <w:divBdr>
                            <w:top w:val="none" w:sz="0" w:space="0" w:color="auto"/>
                            <w:left w:val="none" w:sz="0" w:space="0" w:color="auto"/>
                            <w:bottom w:val="none" w:sz="0" w:space="0" w:color="auto"/>
                            <w:right w:val="none" w:sz="0" w:space="0" w:color="auto"/>
                          </w:divBdr>
                          <w:divsChild>
                            <w:div w:id="1223298679">
                              <w:marLeft w:val="0"/>
                              <w:marRight w:val="0"/>
                              <w:marTop w:val="0"/>
                              <w:marBottom w:val="0"/>
                              <w:divBdr>
                                <w:top w:val="none" w:sz="0" w:space="0" w:color="auto"/>
                                <w:left w:val="none" w:sz="0" w:space="0" w:color="auto"/>
                                <w:bottom w:val="none" w:sz="0" w:space="0" w:color="auto"/>
                                <w:right w:val="none" w:sz="0" w:space="0" w:color="auto"/>
                              </w:divBdr>
                              <w:divsChild>
                                <w:div w:id="555315767">
                                  <w:marLeft w:val="0"/>
                                  <w:marRight w:val="0"/>
                                  <w:marTop w:val="0"/>
                                  <w:marBottom w:val="0"/>
                                  <w:divBdr>
                                    <w:top w:val="none" w:sz="0" w:space="0" w:color="auto"/>
                                    <w:left w:val="none" w:sz="0" w:space="0" w:color="auto"/>
                                    <w:bottom w:val="none" w:sz="0" w:space="0" w:color="auto"/>
                                    <w:right w:val="none" w:sz="0" w:space="0" w:color="auto"/>
                                  </w:divBdr>
                                  <w:divsChild>
                                    <w:div w:id="153272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501842">
          <w:marLeft w:val="0"/>
          <w:marRight w:val="0"/>
          <w:marTop w:val="0"/>
          <w:marBottom w:val="0"/>
          <w:divBdr>
            <w:top w:val="none" w:sz="0" w:space="0" w:color="auto"/>
            <w:left w:val="none" w:sz="0" w:space="0" w:color="auto"/>
            <w:bottom w:val="none" w:sz="0" w:space="0" w:color="auto"/>
            <w:right w:val="none" w:sz="0" w:space="0" w:color="auto"/>
          </w:divBdr>
          <w:divsChild>
            <w:div w:id="1059399997">
              <w:marLeft w:val="0"/>
              <w:marRight w:val="0"/>
              <w:marTop w:val="0"/>
              <w:marBottom w:val="0"/>
              <w:divBdr>
                <w:top w:val="none" w:sz="0" w:space="0" w:color="auto"/>
                <w:left w:val="none" w:sz="0" w:space="0" w:color="auto"/>
                <w:bottom w:val="none" w:sz="0" w:space="0" w:color="auto"/>
                <w:right w:val="none" w:sz="0" w:space="0" w:color="auto"/>
              </w:divBdr>
              <w:divsChild>
                <w:div w:id="1148984243">
                  <w:marLeft w:val="0"/>
                  <w:marRight w:val="0"/>
                  <w:marTop w:val="0"/>
                  <w:marBottom w:val="0"/>
                  <w:divBdr>
                    <w:top w:val="none" w:sz="0" w:space="0" w:color="auto"/>
                    <w:left w:val="none" w:sz="0" w:space="0" w:color="auto"/>
                    <w:bottom w:val="none" w:sz="0" w:space="0" w:color="auto"/>
                    <w:right w:val="none" w:sz="0" w:space="0" w:color="auto"/>
                  </w:divBdr>
                  <w:divsChild>
                    <w:div w:id="330911975">
                      <w:marLeft w:val="0"/>
                      <w:marRight w:val="0"/>
                      <w:marTop w:val="0"/>
                      <w:marBottom w:val="0"/>
                      <w:divBdr>
                        <w:top w:val="none" w:sz="0" w:space="0" w:color="auto"/>
                        <w:left w:val="none" w:sz="0" w:space="0" w:color="auto"/>
                        <w:bottom w:val="none" w:sz="0" w:space="0" w:color="auto"/>
                        <w:right w:val="none" w:sz="0" w:space="0" w:color="auto"/>
                      </w:divBdr>
                      <w:divsChild>
                        <w:div w:id="1091043412">
                          <w:marLeft w:val="0"/>
                          <w:marRight w:val="0"/>
                          <w:marTop w:val="0"/>
                          <w:marBottom w:val="0"/>
                          <w:divBdr>
                            <w:top w:val="none" w:sz="0" w:space="0" w:color="auto"/>
                            <w:left w:val="none" w:sz="0" w:space="0" w:color="auto"/>
                            <w:bottom w:val="none" w:sz="0" w:space="0" w:color="auto"/>
                            <w:right w:val="none" w:sz="0" w:space="0" w:color="auto"/>
                          </w:divBdr>
                          <w:divsChild>
                            <w:div w:id="952899354">
                              <w:marLeft w:val="0"/>
                              <w:marRight w:val="0"/>
                              <w:marTop w:val="0"/>
                              <w:marBottom w:val="0"/>
                              <w:divBdr>
                                <w:top w:val="none" w:sz="0" w:space="0" w:color="auto"/>
                                <w:left w:val="none" w:sz="0" w:space="0" w:color="auto"/>
                                <w:bottom w:val="none" w:sz="0" w:space="0" w:color="auto"/>
                                <w:right w:val="none" w:sz="0" w:space="0" w:color="auto"/>
                              </w:divBdr>
                              <w:divsChild>
                                <w:div w:id="533349195">
                                  <w:marLeft w:val="0"/>
                                  <w:marRight w:val="0"/>
                                  <w:marTop w:val="0"/>
                                  <w:marBottom w:val="0"/>
                                  <w:divBdr>
                                    <w:top w:val="none" w:sz="0" w:space="0" w:color="auto"/>
                                    <w:left w:val="none" w:sz="0" w:space="0" w:color="auto"/>
                                    <w:bottom w:val="none" w:sz="0" w:space="0" w:color="auto"/>
                                    <w:right w:val="none" w:sz="0" w:space="0" w:color="auto"/>
                                  </w:divBdr>
                                  <w:divsChild>
                                    <w:div w:id="143559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68513">
                          <w:marLeft w:val="0"/>
                          <w:marRight w:val="0"/>
                          <w:marTop w:val="0"/>
                          <w:marBottom w:val="0"/>
                          <w:divBdr>
                            <w:top w:val="none" w:sz="0" w:space="0" w:color="auto"/>
                            <w:left w:val="none" w:sz="0" w:space="0" w:color="auto"/>
                            <w:bottom w:val="none" w:sz="0" w:space="0" w:color="auto"/>
                            <w:right w:val="none" w:sz="0" w:space="0" w:color="auto"/>
                          </w:divBdr>
                          <w:divsChild>
                            <w:div w:id="996496496">
                              <w:marLeft w:val="0"/>
                              <w:marRight w:val="0"/>
                              <w:marTop w:val="0"/>
                              <w:marBottom w:val="0"/>
                              <w:divBdr>
                                <w:top w:val="none" w:sz="0" w:space="0" w:color="auto"/>
                                <w:left w:val="none" w:sz="0" w:space="0" w:color="auto"/>
                                <w:bottom w:val="none" w:sz="0" w:space="0" w:color="auto"/>
                                <w:right w:val="none" w:sz="0" w:space="0" w:color="auto"/>
                              </w:divBdr>
                              <w:divsChild>
                                <w:div w:id="1487043624">
                                  <w:marLeft w:val="0"/>
                                  <w:marRight w:val="0"/>
                                  <w:marTop w:val="0"/>
                                  <w:marBottom w:val="0"/>
                                  <w:divBdr>
                                    <w:top w:val="none" w:sz="0" w:space="0" w:color="auto"/>
                                    <w:left w:val="none" w:sz="0" w:space="0" w:color="auto"/>
                                    <w:bottom w:val="none" w:sz="0" w:space="0" w:color="auto"/>
                                    <w:right w:val="none" w:sz="0" w:space="0" w:color="auto"/>
                                  </w:divBdr>
                                  <w:divsChild>
                                    <w:div w:id="28115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5111781">
                  <w:marLeft w:val="0"/>
                  <w:marRight w:val="0"/>
                  <w:marTop w:val="0"/>
                  <w:marBottom w:val="0"/>
                  <w:divBdr>
                    <w:top w:val="none" w:sz="0" w:space="0" w:color="auto"/>
                    <w:left w:val="none" w:sz="0" w:space="0" w:color="auto"/>
                    <w:bottom w:val="none" w:sz="0" w:space="0" w:color="auto"/>
                    <w:right w:val="none" w:sz="0" w:space="0" w:color="auto"/>
                  </w:divBdr>
                  <w:divsChild>
                    <w:div w:id="1048341347">
                      <w:marLeft w:val="0"/>
                      <w:marRight w:val="0"/>
                      <w:marTop w:val="0"/>
                      <w:marBottom w:val="0"/>
                      <w:divBdr>
                        <w:top w:val="none" w:sz="0" w:space="0" w:color="auto"/>
                        <w:left w:val="none" w:sz="0" w:space="0" w:color="auto"/>
                        <w:bottom w:val="none" w:sz="0" w:space="0" w:color="auto"/>
                        <w:right w:val="none" w:sz="0" w:space="0" w:color="auto"/>
                      </w:divBdr>
                      <w:divsChild>
                        <w:div w:id="53356185">
                          <w:marLeft w:val="0"/>
                          <w:marRight w:val="0"/>
                          <w:marTop w:val="0"/>
                          <w:marBottom w:val="0"/>
                          <w:divBdr>
                            <w:top w:val="none" w:sz="0" w:space="0" w:color="auto"/>
                            <w:left w:val="none" w:sz="0" w:space="0" w:color="auto"/>
                            <w:bottom w:val="none" w:sz="0" w:space="0" w:color="auto"/>
                            <w:right w:val="none" w:sz="0" w:space="0" w:color="auto"/>
                          </w:divBdr>
                          <w:divsChild>
                            <w:div w:id="1349209700">
                              <w:marLeft w:val="0"/>
                              <w:marRight w:val="0"/>
                              <w:marTop w:val="0"/>
                              <w:marBottom w:val="0"/>
                              <w:divBdr>
                                <w:top w:val="none" w:sz="0" w:space="0" w:color="auto"/>
                                <w:left w:val="none" w:sz="0" w:space="0" w:color="auto"/>
                                <w:bottom w:val="none" w:sz="0" w:space="0" w:color="auto"/>
                                <w:right w:val="none" w:sz="0" w:space="0" w:color="auto"/>
                              </w:divBdr>
                              <w:divsChild>
                                <w:div w:id="202212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3539290">
          <w:marLeft w:val="0"/>
          <w:marRight w:val="0"/>
          <w:marTop w:val="0"/>
          <w:marBottom w:val="0"/>
          <w:divBdr>
            <w:top w:val="none" w:sz="0" w:space="0" w:color="auto"/>
            <w:left w:val="none" w:sz="0" w:space="0" w:color="auto"/>
            <w:bottom w:val="none" w:sz="0" w:space="0" w:color="auto"/>
            <w:right w:val="none" w:sz="0" w:space="0" w:color="auto"/>
          </w:divBdr>
          <w:divsChild>
            <w:div w:id="911741463">
              <w:marLeft w:val="0"/>
              <w:marRight w:val="0"/>
              <w:marTop w:val="0"/>
              <w:marBottom w:val="0"/>
              <w:divBdr>
                <w:top w:val="none" w:sz="0" w:space="0" w:color="auto"/>
                <w:left w:val="none" w:sz="0" w:space="0" w:color="auto"/>
                <w:bottom w:val="none" w:sz="0" w:space="0" w:color="auto"/>
                <w:right w:val="none" w:sz="0" w:space="0" w:color="auto"/>
              </w:divBdr>
              <w:divsChild>
                <w:div w:id="375349488">
                  <w:marLeft w:val="0"/>
                  <w:marRight w:val="0"/>
                  <w:marTop w:val="0"/>
                  <w:marBottom w:val="0"/>
                  <w:divBdr>
                    <w:top w:val="none" w:sz="0" w:space="0" w:color="auto"/>
                    <w:left w:val="none" w:sz="0" w:space="0" w:color="auto"/>
                    <w:bottom w:val="none" w:sz="0" w:space="0" w:color="auto"/>
                    <w:right w:val="none" w:sz="0" w:space="0" w:color="auto"/>
                  </w:divBdr>
                  <w:divsChild>
                    <w:div w:id="551700465">
                      <w:marLeft w:val="0"/>
                      <w:marRight w:val="0"/>
                      <w:marTop w:val="0"/>
                      <w:marBottom w:val="0"/>
                      <w:divBdr>
                        <w:top w:val="none" w:sz="0" w:space="0" w:color="auto"/>
                        <w:left w:val="none" w:sz="0" w:space="0" w:color="auto"/>
                        <w:bottom w:val="none" w:sz="0" w:space="0" w:color="auto"/>
                        <w:right w:val="none" w:sz="0" w:space="0" w:color="auto"/>
                      </w:divBdr>
                      <w:divsChild>
                        <w:div w:id="1650860545">
                          <w:marLeft w:val="0"/>
                          <w:marRight w:val="0"/>
                          <w:marTop w:val="0"/>
                          <w:marBottom w:val="0"/>
                          <w:divBdr>
                            <w:top w:val="none" w:sz="0" w:space="0" w:color="auto"/>
                            <w:left w:val="none" w:sz="0" w:space="0" w:color="auto"/>
                            <w:bottom w:val="none" w:sz="0" w:space="0" w:color="auto"/>
                            <w:right w:val="none" w:sz="0" w:space="0" w:color="auto"/>
                          </w:divBdr>
                          <w:divsChild>
                            <w:div w:id="432283863">
                              <w:marLeft w:val="0"/>
                              <w:marRight w:val="0"/>
                              <w:marTop w:val="0"/>
                              <w:marBottom w:val="0"/>
                              <w:divBdr>
                                <w:top w:val="none" w:sz="0" w:space="0" w:color="auto"/>
                                <w:left w:val="none" w:sz="0" w:space="0" w:color="auto"/>
                                <w:bottom w:val="none" w:sz="0" w:space="0" w:color="auto"/>
                                <w:right w:val="none" w:sz="0" w:space="0" w:color="auto"/>
                              </w:divBdr>
                              <w:divsChild>
                                <w:div w:id="126098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569883">
                  <w:marLeft w:val="0"/>
                  <w:marRight w:val="0"/>
                  <w:marTop w:val="0"/>
                  <w:marBottom w:val="0"/>
                  <w:divBdr>
                    <w:top w:val="none" w:sz="0" w:space="0" w:color="auto"/>
                    <w:left w:val="none" w:sz="0" w:space="0" w:color="auto"/>
                    <w:bottom w:val="none" w:sz="0" w:space="0" w:color="auto"/>
                    <w:right w:val="none" w:sz="0" w:space="0" w:color="auto"/>
                  </w:divBdr>
                  <w:divsChild>
                    <w:div w:id="704134130">
                      <w:marLeft w:val="0"/>
                      <w:marRight w:val="0"/>
                      <w:marTop w:val="0"/>
                      <w:marBottom w:val="0"/>
                      <w:divBdr>
                        <w:top w:val="none" w:sz="0" w:space="0" w:color="auto"/>
                        <w:left w:val="none" w:sz="0" w:space="0" w:color="auto"/>
                        <w:bottom w:val="none" w:sz="0" w:space="0" w:color="auto"/>
                        <w:right w:val="none" w:sz="0" w:space="0" w:color="auto"/>
                      </w:divBdr>
                      <w:divsChild>
                        <w:div w:id="363292790">
                          <w:marLeft w:val="0"/>
                          <w:marRight w:val="0"/>
                          <w:marTop w:val="0"/>
                          <w:marBottom w:val="0"/>
                          <w:divBdr>
                            <w:top w:val="none" w:sz="0" w:space="0" w:color="auto"/>
                            <w:left w:val="none" w:sz="0" w:space="0" w:color="auto"/>
                            <w:bottom w:val="none" w:sz="0" w:space="0" w:color="auto"/>
                            <w:right w:val="none" w:sz="0" w:space="0" w:color="auto"/>
                          </w:divBdr>
                          <w:divsChild>
                            <w:div w:id="540285537">
                              <w:marLeft w:val="0"/>
                              <w:marRight w:val="0"/>
                              <w:marTop w:val="0"/>
                              <w:marBottom w:val="0"/>
                              <w:divBdr>
                                <w:top w:val="none" w:sz="0" w:space="0" w:color="auto"/>
                                <w:left w:val="none" w:sz="0" w:space="0" w:color="auto"/>
                                <w:bottom w:val="none" w:sz="0" w:space="0" w:color="auto"/>
                                <w:right w:val="none" w:sz="0" w:space="0" w:color="auto"/>
                              </w:divBdr>
                              <w:divsChild>
                                <w:div w:id="643700555">
                                  <w:marLeft w:val="0"/>
                                  <w:marRight w:val="0"/>
                                  <w:marTop w:val="0"/>
                                  <w:marBottom w:val="0"/>
                                  <w:divBdr>
                                    <w:top w:val="none" w:sz="0" w:space="0" w:color="auto"/>
                                    <w:left w:val="none" w:sz="0" w:space="0" w:color="auto"/>
                                    <w:bottom w:val="none" w:sz="0" w:space="0" w:color="auto"/>
                                    <w:right w:val="none" w:sz="0" w:space="0" w:color="auto"/>
                                  </w:divBdr>
                                  <w:divsChild>
                                    <w:div w:id="36860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701378">
                          <w:marLeft w:val="0"/>
                          <w:marRight w:val="0"/>
                          <w:marTop w:val="0"/>
                          <w:marBottom w:val="0"/>
                          <w:divBdr>
                            <w:top w:val="none" w:sz="0" w:space="0" w:color="auto"/>
                            <w:left w:val="none" w:sz="0" w:space="0" w:color="auto"/>
                            <w:bottom w:val="none" w:sz="0" w:space="0" w:color="auto"/>
                            <w:right w:val="none" w:sz="0" w:space="0" w:color="auto"/>
                          </w:divBdr>
                          <w:divsChild>
                            <w:div w:id="1285625045">
                              <w:marLeft w:val="0"/>
                              <w:marRight w:val="0"/>
                              <w:marTop w:val="0"/>
                              <w:marBottom w:val="0"/>
                              <w:divBdr>
                                <w:top w:val="none" w:sz="0" w:space="0" w:color="auto"/>
                                <w:left w:val="none" w:sz="0" w:space="0" w:color="auto"/>
                                <w:bottom w:val="none" w:sz="0" w:space="0" w:color="auto"/>
                                <w:right w:val="none" w:sz="0" w:space="0" w:color="auto"/>
                              </w:divBdr>
                              <w:divsChild>
                                <w:div w:id="1480615104">
                                  <w:marLeft w:val="0"/>
                                  <w:marRight w:val="0"/>
                                  <w:marTop w:val="0"/>
                                  <w:marBottom w:val="0"/>
                                  <w:divBdr>
                                    <w:top w:val="none" w:sz="0" w:space="0" w:color="auto"/>
                                    <w:left w:val="none" w:sz="0" w:space="0" w:color="auto"/>
                                    <w:bottom w:val="none" w:sz="0" w:space="0" w:color="auto"/>
                                    <w:right w:val="none" w:sz="0" w:space="0" w:color="auto"/>
                                  </w:divBdr>
                                  <w:divsChild>
                                    <w:div w:id="179983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7668214">
          <w:marLeft w:val="0"/>
          <w:marRight w:val="0"/>
          <w:marTop w:val="0"/>
          <w:marBottom w:val="0"/>
          <w:divBdr>
            <w:top w:val="none" w:sz="0" w:space="0" w:color="auto"/>
            <w:left w:val="none" w:sz="0" w:space="0" w:color="auto"/>
            <w:bottom w:val="none" w:sz="0" w:space="0" w:color="auto"/>
            <w:right w:val="none" w:sz="0" w:space="0" w:color="auto"/>
          </w:divBdr>
          <w:divsChild>
            <w:div w:id="2111273456">
              <w:marLeft w:val="0"/>
              <w:marRight w:val="0"/>
              <w:marTop w:val="0"/>
              <w:marBottom w:val="0"/>
              <w:divBdr>
                <w:top w:val="none" w:sz="0" w:space="0" w:color="auto"/>
                <w:left w:val="none" w:sz="0" w:space="0" w:color="auto"/>
                <w:bottom w:val="none" w:sz="0" w:space="0" w:color="auto"/>
                <w:right w:val="none" w:sz="0" w:space="0" w:color="auto"/>
              </w:divBdr>
              <w:divsChild>
                <w:div w:id="889457595">
                  <w:marLeft w:val="0"/>
                  <w:marRight w:val="0"/>
                  <w:marTop w:val="0"/>
                  <w:marBottom w:val="0"/>
                  <w:divBdr>
                    <w:top w:val="none" w:sz="0" w:space="0" w:color="auto"/>
                    <w:left w:val="none" w:sz="0" w:space="0" w:color="auto"/>
                    <w:bottom w:val="none" w:sz="0" w:space="0" w:color="auto"/>
                    <w:right w:val="none" w:sz="0" w:space="0" w:color="auto"/>
                  </w:divBdr>
                  <w:divsChild>
                    <w:div w:id="1084033082">
                      <w:marLeft w:val="0"/>
                      <w:marRight w:val="0"/>
                      <w:marTop w:val="0"/>
                      <w:marBottom w:val="0"/>
                      <w:divBdr>
                        <w:top w:val="none" w:sz="0" w:space="0" w:color="auto"/>
                        <w:left w:val="none" w:sz="0" w:space="0" w:color="auto"/>
                        <w:bottom w:val="none" w:sz="0" w:space="0" w:color="auto"/>
                        <w:right w:val="none" w:sz="0" w:space="0" w:color="auto"/>
                      </w:divBdr>
                      <w:divsChild>
                        <w:div w:id="1570727808">
                          <w:marLeft w:val="0"/>
                          <w:marRight w:val="0"/>
                          <w:marTop w:val="0"/>
                          <w:marBottom w:val="0"/>
                          <w:divBdr>
                            <w:top w:val="none" w:sz="0" w:space="0" w:color="auto"/>
                            <w:left w:val="none" w:sz="0" w:space="0" w:color="auto"/>
                            <w:bottom w:val="none" w:sz="0" w:space="0" w:color="auto"/>
                            <w:right w:val="none" w:sz="0" w:space="0" w:color="auto"/>
                          </w:divBdr>
                          <w:divsChild>
                            <w:div w:id="374890415">
                              <w:marLeft w:val="0"/>
                              <w:marRight w:val="0"/>
                              <w:marTop w:val="0"/>
                              <w:marBottom w:val="0"/>
                              <w:divBdr>
                                <w:top w:val="none" w:sz="0" w:space="0" w:color="auto"/>
                                <w:left w:val="none" w:sz="0" w:space="0" w:color="auto"/>
                                <w:bottom w:val="none" w:sz="0" w:space="0" w:color="auto"/>
                                <w:right w:val="none" w:sz="0" w:space="0" w:color="auto"/>
                              </w:divBdr>
                              <w:divsChild>
                                <w:div w:id="1458720087">
                                  <w:marLeft w:val="0"/>
                                  <w:marRight w:val="0"/>
                                  <w:marTop w:val="0"/>
                                  <w:marBottom w:val="0"/>
                                  <w:divBdr>
                                    <w:top w:val="none" w:sz="0" w:space="0" w:color="auto"/>
                                    <w:left w:val="none" w:sz="0" w:space="0" w:color="auto"/>
                                    <w:bottom w:val="none" w:sz="0" w:space="0" w:color="auto"/>
                                    <w:right w:val="none" w:sz="0" w:space="0" w:color="auto"/>
                                  </w:divBdr>
                                  <w:divsChild>
                                    <w:div w:id="1674993790">
                                      <w:marLeft w:val="0"/>
                                      <w:marRight w:val="0"/>
                                      <w:marTop w:val="0"/>
                                      <w:marBottom w:val="0"/>
                                      <w:divBdr>
                                        <w:top w:val="none" w:sz="0" w:space="0" w:color="auto"/>
                                        <w:left w:val="none" w:sz="0" w:space="0" w:color="auto"/>
                                        <w:bottom w:val="none" w:sz="0" w:space="0" w:color="auto"/>
                                        <w:right w:val="none" w:sz="0" w:space="0" w:color="auto"/>
                                      </w:divBdr>
                                      <w:divsChild>
                                        <w:div w:id="201209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0888706">
          <w:marLeft w:val="0"/>
          <w:marRight w:val="0"/>
          <w:marTop w:val="0"/>
          <w:marBottom w:val="0"/>
          <w:divBdr>
            <w:top w:val="none" w:sz="0" w:space="0" w:color="auto"/>
            <w:left w:val="none" w:sz="0" w:space="0" w:color="auto"/>
            <w:bottom w:val="none" w:sz="0" w:space="0" w:color="auto"/>
            <w:right w:val="none" w:sz="0" w:space="0" w:color="auto"/>
          </w:divBdr>
          <w:divsChild>
            <w:div w:id="1500736530">
              <w:marLeft w:val="0"/>
              <w:marRight w:val="0"/>
              <w:marTop w:val="0"/>
              <w:marBottom w:val="0"/>
              <w:divBdr>
                <w:top w:val="none" w:sz="0" w:space="0" w:color="auto"/>
                <w:left w:val="none" w:sz="0" w:space="0" w:color="auto"/>
                <w:bottom w:val="none" w:sz="0" w:space="0" w:color="auto"/>
                <w:right w:val="none" w:sz="0" w:space="0" w:color="auto"/>
              </w:divBdr>
              <w:divsChild>
                <w:div w:id="506099222">
                  <w:marLeft w:val="0"/>
                  <w:marRight w:val="0"/>
                  <w:marTop w:val="0"/>
                  <w:marBottom w:val="0"/>
                  <w:divBdr>
                    <w:top w:val="none" w:sz="0" w:space="0" w:color="auto"/>
                    <w:left w:val="none" w:sz="0" w:space="0" w:color="auto"/>
                    <w:bottom w:val="none" w:sz="0" w:space="0" w:color="auto"/>
                    <w:right w:val="none" w:sz="0" w:space="0" w:color="auto"/>
                  </w:divBdr>
                  <w:divsChild>
                    <w:div w:id="1943563462">
                      <w:marLeft w:val="0"/>
                      <w:marRight w:val="0"/>
                      <w:marTop w:val="0"/>
                      <w:marBottom w:val="0"/>
                      <w:divBdr>
                        <w:top w:val="none" w:sz="0" w:space="0" w:color="auto"/>
                        <w:left w:val="none" w:sz="0" w:space="0" w:color="auto"/>
                        <w:bottom w:val="none" w:sz="0" w:space="0" w:color="auto"/>
                        <w:right w:val="none" w:sz="0" w:space="0" w:color="auto"/>
                      </w:divBdr>
                      <w:divsChild>
                        <w:div w:id="86735827">
                          <w:marLeft w:val="0"/>
                          <w:marRight w:val="0"/>
                          <w:marTop w:val="0"/>
                          <w:marBottom w:val="0"/>
                          <w:divBdr>
                            <w:top w:val="none" w:sz="0" w:space="0" w:color="auto"/>
                            <w:left w:val="none" w:sz="0" w:space="0" w:color="auto"/>
                            <w:bottom w:val="none" w:sz="0" w:space="0" w:color="auto"/>
                            <w:right w:val="none" w:sz="0" w:space="0" w:color="auto"/>
                          </w:divBdr>
                          <w:divsChild>
                            <w:div w:id="228687300">
                              <w:marLeft w:val="0"/>
                              <w:marRight w:val="0"/>
                              <w:marTop w:val="0"/>
                              <w:marBottom w:val="0"/>
                              <w:divBdr>
                                <w:top w:val="none" w:sz="0" w:space="0" w:color="auto"/>
                                <w:left w:val="none" w:sz="0" w:space="0" w:color="auto"/>
                                <w:bottom w:val="none" w:sz="0" w:space="0" w:color="auto"/>
                                <w:right w:val="none" w:sz="0" w:space="0" w:color="auto"/>
                              </w:divBdr>
                              <w:divsChild>
                                <w:div w:id="798915506">
                                  <w:marLeft w:val="0"/>
                                  <w:marRight w:val="0"/>
                                  <w:marTop w:val="0"/>
                                  <w:marBottom w:val="0"/>
                                  <w:divBdr>
                                    <w:top w:val="none" w:sz="0" w:space="0" w:color="auto"/>
                                    <w:left w:val="none" w:sz="0" w:space="0" w:color="auto"/>
                                    <w:bottom w:val="none" w:sz="0" w:space="0" w:color="auto"/>
                                    <w:right w:val="none" w:sz="0" w:space="0" w:color="auto"/>
                                  </w:divBdr>
                                  <w:divsChild>
                                    <w:div w:id="813719340">
                                      <w:marLeft w:val="0"/>
                                      <w:marRight w:val="0"/>
                                      <w:marTop w:val="0"/>
                                      <w:marBottom w:val="0"/>
                                      <w:divBdr>
                                        <w:top w:val="none" w:sz="0" w:space="0" w:color="auto"/>
                                        <w:left w:val="none" w:sz="0" w:space="0" w:color="auto"/>
                                        <w:bottom w:val="none" w:sz="0" w:space="0" w:color="auto"/>
                                        <w:right w:val="none" w:sz="0" w:space="0" w:color="auto"/>
                                      </w:divBdr>
                                      <w:divsChild>
                                        <w:div w:id="163436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2289696">
          <w:marLeft w:val="0"/>
          <w:marRight w:val="0"/>
          <w:marTop w:val="0"/>
          <w:marBottom w:val="0"/>
          <w:divBdr>
            <w:top w:val="none" w:sz="0" w:space="0" w:color="auto"/>
            <w:left w:val="none" w:sz="0" w:space="0" w:color="auto"/>
            <w:bottom w:val="none" w:sz="0" w:space="0" w:color="auto"/>
            <w:right w:val="none" w:sz="0" w:space="0" w:color="auto"/>
          </w:divBdr>
          <w:divsChild>
            <w:div w:id="1420054007">
              <w:marLeft w:val="0"/>
              <w:marRight w:val="0"/>
              <w:marTop w:val="0"/>
              <w:marBottom w:val="0"/>
              <w:divBdr>
                <w:top w:val="none" w:sz="0" w:space="0" w:color="auto"/>
                <w:left w:val="none" w:sz="0" w:space="0" w:color="auto"/>
                <w:bottom w:val="none" w:sz="0" w:space="0" w:color="auto"/>
                <w:right w:val="none" w:sz="0" w:space="0" w:color="auto"/>
              </w:divBdr>
              <w:divsChild>
                <w:div w:id="167253156">
                  <w:marLeft w:val="0"/>
                  <w:marRight w:val="0"/>
                  <w:marTop w:val="0"/>
                  <w:marBottom w:val="0"/>
                  <w:divBdr>
                    <w:top w:val="none" w:sz="0" w:space="0" w:color="auto"/>
                    <w:left w:val="none" w:sz="0" w:space="0" w:color="auto"/>
                    <w:bottom w:val="none" w:sz="0" w:space="0" w:color="auto"/>
                    <w:right w:val="none" w:sz="0" w:space="0" w:color="auto"/>
                  </w:divBdr>
                  <w:divsChild>
                    <w:div w:id="1124618366">
                      <w:marLeft w:val="0"/>
                      <w:marRight w:val="0"/>
                      <w:marTop w:val="0"/>
                      <w:marBottom w:val="0"/>
                      <w:divBdr>
                        <w:top w:val="none" w:sz="0" w:space="0" w:color="auto"/>
                        <w:left w:val="none" w:sz="0" w:space="0" w:color="auto"/>
                        <w:bottom w:val="none" w:sz="0" w:space="0" w:color="auto"/>
                        <w:right w:val="none" w:sz="0" w:space="0" w:color="auto"/>
                      </w:divBdr>
                      <w:divsChild>
                        <w:div w:id="767315111">
                          <w:marLeft w:val="0"/>
                          <w:marRight w:val="0"/>
                          <w:marTop w:val="0"/>
                          <w:marBottom w:val="0"/>
                          <w:divBdr>
                            <w:top w:val="none" w:sz="0" w:space="0" w:color="auto"/>
                            <w:left w:val="none" w:sz="0" w:space="0" w:color="auto"/>
                            <w:bottom w:val="none" w:sz="0" w:space="0" w:color="auto"/>
                            <w:right w:val="none" w:sz="0" w:space="0" w:color="auto"/>
                          </w:divBdr>
                          <w:divsChild>
                            <w:div w:id="630019840">
                              <w:marLeft w:val="0"/>
                              <w:marRight w:val="0"/>
                              <w:marTop w:val="0"/>
                              <w:marBottom w:val="0"/>
                              <w:divBdr>
                                <w:top w:val="none" w:sz="0" w:space="0" w:color="auto"/>
                                <w:left w:val="none" w:sz="0" w:space="0" w:color="auto"/>
                                <w:bottom w:val="none" w:sz="0" w:space="0" w:color="auto"/>
                                <w:right w:val="none" w:sz="0" w:space="0" w:color="auto"/>
                              </w:divBdr>
                              <w:divsChild>
                                <w:div w:id="1175539408">
                                  <w:marLeft w:val="0"/>
                                  <w:marRight w:val="0"/>
                                  <w:marTop w:val="0"/>
                                  <w:marBottom w:val="0"/>
                                  <w:divBdr>
                                    <w:top w:val="none" w:sz="0" w:space="0" w:color="auto"/>
                                    <w:left w:val="none" w:sz="0" w:space="0" w:color="auto"/>
                                    <w:bottom w:val="none" w:sz="0" w:space="0" w:color="auto"/>
                                    <w:right w:val="none" w:sz="0" w:space="0" w:color="auto"/>
                                  </w:divBdr>
                                  <w:divsChild>
                                    <w:div w:id="426007050">
                                      <w:marLeft w:val="0"/>
                                      <w:marRight w:val="0"/>
                                      <w:marTop w:val="0"/>
                                      <w:marBottom w:val="0"/>
                                      <w:divBdr>
                                        <w:top w:val="none" w:sz="0" w:space="0" w:color="auto"/>
                                        <w:left w:val="none" w:sz="0" w:space="0" w:color="auto"/>
                                        <w:bottom w:val="none" w:sz="0" w:space="0" w:color="auto"/>
                                        <w:right w:val="none" w:sz="0" w:space="0" w:color="auto"/>
                                      </w:divBdr>
                                      <w:divsChild>
                                        <w:div w:id="175027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451125">
          <w:marLeft w:val="0"/>
          <w:marRight w:val="0"/>
          <w:marTop w:val="0"/>
          <w:marBottom w:val="0"/>
          <w:divBdr>
            <w:top w:val="none" w:sz="0" w:space="0" w:color="auto"/>
            <w:left w:val="none" w:sz="0" w:space="0" w:color="auto"/>
            <w:bottom w:val="none" w:sz="0" w:space="0" w:color="auto"/>
            <w:right w:val="none" w:sz="0" w:space="0" w:color="auto"/>
          </w:divBdr>
          <w:divsChild>
            <w:div w:id="1396196160">
              <w:marLeft w:val="0"/>
              <w:marRight w:val="0"/>
              <w:marTop w:val="0"/>
              <w:marBottom w:val="0"/>
              <w:divBdr>
                <w:top w:val="none" w:sz="0" w:space="0" w:color="auto"/>
                <w:left w:val="none" w:sz="0" w:space="0" w:color="auto"/>
                <w:bottom w:val="none" w:sz="0" w:space="0" w:color="auto"/>
                <w:right w:val="none" w:sz="0" w:space="0" w:color="auto"/>
              </w:divBdr>
              <w:divsChild>
                <w:div w:id="715736477">
                  <w:marLeft w:val="0"/>
                  <w:marRight w:val="0"/>
                  <w:marTop w:val="0"/>
                  <w:marBottom w:val="0"/>
                  <w:divBdr>
                    <w:top w:val="none" w:sz="0" w:space="0" w:color="auto"/>
                    <w:left w:val="none" w:sz="0" w:space="0" w:color="auto"/>
                    <w:bottom w:val="none" w:sz="0" w:space="0" w:color="auto"/>
                    <w:right w:val="none" w:sz="0" w:space="0" w:color="auto"/>
                  </w:divBdr>
                  <w:divsChild>
                    <w:div w:id="679241336">
                      <w:marLeft w:val="0"/>
                      <w:marRight w:val="0"/>
                      <w:marTop w:val="0"/>
                      <w:marBottom w:val="0"/>
                      <w:divBdr>
                        <w:top w:val="none" w:sz="0" w:space="0" w:color="auto"/>
                        <w:left w:val="none" w:sz="0" w:space="0" w:color="auto"/>
                        <w:bottom w:val="none" w:sz="0" w:space="0" w:color="auto"/>
                        <w:right w:val="none" w:sz="0" w:space="0" w:color="auto"/>
                      </w:divBdr>
                      <w:divsChild>
                        <w:div w:id="607666945">
                          <w:marLeft w:val="0"/>
                          <w:marRight w:val="0"/>
                          <w:marTop w:val="0"/>
                          <w:marBottom w:val="0"/>
                          <w:divBdr>
                            <w:top w:val="none" w:sz="0" w:space="0" w:color="auto"/>
                            <w:left w:val="none" w:sz="0" w:space="0" w:color="auto"/>
                            <w:bottom w:val="none" w:sz="0" w:space="0" w:color="auto"/>
                            <w:right w:val="none" w:sz="0" w:space="0" w:color="auto"/>
                          </w:divBdr>
                          <w:divsChild>
                            <w:div w:id="381292439">
                              <w:marLeft w:val="0"/>
                              <w:marRight w:val="0"/>
                              <w:marTop w:val="0"/>
                              <w:marBottom w:val="0"/>
                              <w:divBdr>
                                <w:top w:val="none" w:sz="0" w:space="0" w:color="auto"/>
                                <w:left w:val="none" w:sz="0" w:space="0" w:color="auto"/>
                                <w:bottom w:val="none" w:sz="0" w:space="0" w:color="auto"/>
                                <w:right w:val="none" w:sz="0" w:space="0" w:color="auto"/>
                              </w:divBdr>
                              <w:divsChild>
                                <w:div w:id="8808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519531">
                  <w:marLeft w:val="0"/>
                  <w:marRight w:val="0"/>
                  <w:marTop w:val="0"/>
                  <w:marBottom w:val="0"/>
                  <w:divBdr>
                    <w:top w:val="none" w:sz="0" w:space="0" w:color="auto"/>
                    <w:left w:val="none" w:sz="0" w:space="0" w:color="auto"/>
                    <w:bottom w:val="none" w:sz="0" w:space="0" w:color="auto"/>
                    <w:right w:val="none" w:sz="0" w:space="0" w:color="auto"/>
                  </w:divBdr>
                  <w:divsChild>
                    <w:div w:id="402990528">
                      <w:marLeft w:val="0"/>
                      <w:marRight w:val="0"/>
                      <w:marTop w:val="0"/>
                      <w:marBottom w:val="0"/>
                      <w:divBdr>
                        <w:top w:val="none" w:sz="0" w:space="0" w:color="auto"/>
                        <w:left w:val="none" w:sz="0" w:space="0" w:color="auto"/>
                        <w:bottom w:val="none" w:sz="0" w:space="0" w:color="auto"/>
                        <w:right w:val="none" w:sz="0" w:space="0" w:color="auto"/>
                      </w:divBdr>
                      <w:divsChild>
                        <w:div w:id="792989100">
                          <w:marLeft w:val="0"/>
                          <w:marRight w:val="0"/>
                          <w:marTop w:val="0"/>
                          <w:marBottom w:val="0"/>
                          <w:divBdr>
                            <w:top w:val="none" w:sz="0" w:space="0" w:color="auto"/>
                            <w:left w:val="none" w:sz="0" w:space="0" w:color="auto"/>
                            <w:bottom w:val="none" w:sz="0" w:space="0" w:color="auto"/>
                            <w:right w:val="none" w:sz="0" w:space="0" w:color="auto"/>
                          </w:divBdr>
                          <w:divsChild>
                            <w:div w:id="932325056">
                              <w:marLeft w:val="0"/>
                              <w:marRight w:val="0"/>
                              <w:marTop w:val="0"/>
                              <w:marBottom w:val="0"/>
                              <w:divBdr>
                                <w:top w:val="none" w:sz="0" w:space="0" w:color="auto"/>
                                <w:left w:val="none" w:sz="0" w:space="0" w:color="auto"/>
                                <w:bottom w:val="none" w:sz="0" w:space="0" w:color="auto"/>
                                <w:right w:val="none" w:sz="0" w:space="0" w:color="auto"/>
                              </w:divBdr>
                              <w:divsChild>
                                <w:div w:id="1075398088">
                                  <w:marLeft w:val="0"/>
                                  <w:marRight w:val="0"/>
                                  <w:marTop w:val="0"/>
                                  <w:marBottom w:val="0"/>
                                  <w:divBdr>
                                    <w:top w:val="none" w:sz="0" w:space="0" w:color="auto"/>
                                    <w:left w:val="none" w:sz="0" w:space="0" w:color="auto"/>
                                    <w:bottom w:val="none" w:sz="0" w:space="0" w:color="auto"/>
                                    <w:right w:val="none" w:sz="0" w:space="0" w:color="auto"/>
                                  </w:divBdr>
                                  <w:divsChild>
                                    <w:div w:id="69789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499630">
                          <w:marLeft w:val="0"/>
                          <w:marRight w:val="0"/>
                          <w:marTop w:val="0"/>
                          <w:marBottom w:val="0"/>
                          <w:divBdr>
                            <w:top w:val="none" w:sz="0" w:space="0" w:color="auto"/>
                            <w:left w:val="none" w:sz="0" w:space="0" w:color="auto"/>
                            <w:bottom w:val="none" w:sz="0" w:space="0" w:color="auto"/>
                            <w:right w:val="none" w:sz="0" w:space="0" w:color="auto"/>
                          </w:divBdr>
                          <w:divsChild>
                            <w:div w:id="1519343965">
                              <w:marLeft w:val="0"/>
                              <w:marRight w:val="0"/>
                              <w:marTop w:val="0"/>
                              <w:marBottom w:val="0"/>
                              <w:divBdr>
                                <w:top w:val="none" w:sz="0" w:space="0" w:color="auto"/>
                                <w:left w:val="none" w:sz="0" w:space="0" w:color="auto"/>
                                <w:bottom w:val="none" w:sz="0" w:space="0" w:color="auto"/>
                                <w:right w:val="none" w:sz="0" w:space="0" w:color="auto"/>
                              </w:divBdr>
                              <w:divsChild>
                                <w:div w:id="1618754199">
                                  <w:marLeft w:val="0"/>
                                  <w:marRight w:val="0"/>
                                  <w:marTop w:val="0"/>
                                  <w:marBottom w:val="0"/>
                                  <w:divBdr>
                                    <w:top w:val="none" w:sz="0" w:space="0" w:color="auto"/>
                                    <w:left w:val="none" w:sz="0" w:space="0" w:color="auto"/>
                                    <w:bottom w:val="none" w:sz="0" w:space="0" w:color="auto"/>
                                    <w:right w:val="none" w:sz="0" w:space="0" w:color="auto"/>
                                  </w:divBdr>
                                  <w:divsChild>
                                    <w:div w:id="209939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1624935">
          <w:marLeft w:val="0"/>
          <w:marRight w:val="0"/>
          <w:marTop w:val="0"/>
          <w:marBottom w:val="0"/>
          <w:divBdr>
            <w:top w:val="none" w:sz="0" w:space="0" w:color="auto"/>
            <w:left w:val="none" w:sz="0" w:space="0" w:color="auto"/>
            <w:bottom w:val="none" w:sz="0" w:space="0" w:color="auto"/>
            <w:right w:val="none" w:sz="0" w:space="0" w:color="auto"/>
          </w:divBdr>
          <w:divsChild>
            <w:div w:id="154535834">
              <w:marLeft w:val="0"/>
              <w:marRight w:val="0"/>
              <w:marTop w:val="0"/>
              <w:marBottom w:val="0"/>
              <w:divBdr>
                <w:top w:val="none" w:sz="0" w:space="0" w:color="auto"/>
                <w:left w:val="none" w:sz="0" w:space="0" w:color="auto"/>
                <w:bottom w:val="none" w:sz="0" w:space="0" w:color="auto"/>
                <w:right w:val="none" w:sz="0" w:space="0" w:color="auto"/>
              </w:divBdr>
              <w:divsChild>
                <w:div w:id="1356955130">
                  <w:marLeft w:val="0"/>
                  <w:marRight w:val="0"/>
                  <w:marTop w:val="0"/>
                  <w:marBottom w:val="0"/>
                  <w:divBdr>
                    <w:top w:val="none" w:sz="0" w:space="0" w:color="auto"/>
                    <w:left w:val="none" w:sz="0" w:space="0" w:color="auto"/>
                    <w:bottom w:val="none" w:sz="0" w:space="0" w:color="auto"/>
                    <w:right w:val="none" w:sz="0" w:space="0" w:color="auto"/>
                  </w:divBdr>
                  <w:divsChild>
                    <w:div w:id="38481655">
                      <w:marLeft w:val="0"/>
                      <w:marRight w:val="0"/>
                      <w:marTop w:val="0"/>
                      <w:marBottom w:val="0"/>
                      <w:divBdr>
                        <w:top w:val="none" w:sz="0" w:space="0" w:color="auto"/>
                        <w:left w:val="none" w:sz="0" w:space="0" w:color="auto"/>
                        <w:bottom w:val="none" w:sz="0" w:space="0" w:color="auto"/>
                        <w:right w:val="none" w:sz="0" w:space="0" w:color="auto"/>
                      </w:divBdr>
                      <w:divsChild>
                        <w:div w:id="653338370">
                          <w:marLeft w:val="0"/>
                          <w:marRight w:val="0"/>
                          <w:marTop w:val="0"/>
                          <w:marBottom w:val="0"/>
                          <w:divBdr>
                            <w:top w:val="none" w:sz="0" w:space="0" w:color="auto"/>
                            <w:left w:val="none" w:sz="0" w:space="0" w:color="auto"/>
                            <w:bottom w:val="none" w:sz="0" w:space="0" w:color="auto"/>
                            <w:right w:val="none" w:sz="0" w:space="0" w:color="auto"/>
                          </w:divBdr>
                          <w:divsChild>
                            <w:div w:id="404189283">
                              <w:marLeft w:val="0"/>
                              <w:marRight w:val="0"/>
                              <w:marTop w:val="0"/>
                              <w:marBottom w:val="0"/>
                              <w:divBdr>
                                <w:top w:val="none" w:sz="0" w:space="0" w:color="auto"/>
                                <w:left w:val="none" w:sz="0" w:space="0" w:color="auto"/>
                                <w:bottom w:val="none" w:sz="0" w:space="0" w:color="auto"/>
                                <w:right w:val="none" w:sz="0" w:space="0" w:color="auto"/>
                              </w:divBdr>
                              <w:divsChild>
                                <w:div w:id="2098136472">
                                  <w:marLeft w:val="0"/>
                                  <w:marRight w:val="0"/>
                                  <w:marTop w:val="0"/>
                                  <w:marBottom w:val="0"/>
                                  <w:divBdr>
                                    <w:top w:val="none" w:sz="0" w:space="0" w:color="auto"/>
                                    <w:left w:val="none" w:sz="0" w:space="0" w:color="auto"/>
                                    <w:bottom w:val="none" w:sz="0" w:space="0" w:color="auto"/>
                                    <w:right w:val="none" w:sz="0" w:space="0" w:color="auto"/>
                                  </w:divBdr>
                                  <w:divsChild>
                                    <w:div w:id="851575758">
                                      <w:marLeft w:val="0"/>
                                      <w:marRight w:val="0"/>
                                      <w:marTop w:val="0"/>
                                      <w:marBottom w:val="0"/>
                                      <w:divBdr>
                                        <w:top w:val="none" w:sz="0" w:space="0" w:color="auto"/>
                                        <w:left w:val="none" w:sz="0" w:space="0" w:color="auto"/>
                                        <w:bottom w:val="none" w:sz="0" w:space="0" w:color="auto"/>
                                        <w:right w:val="none" w:sz="0" w:space="0" w:color="auto"/>
                                      </w:divBdr>
                                      <w:divsChild>
                                        <w:div w:id="124657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1424453">
          <w:marLeft w:val="0"/>
          <w:marRight w:val="0"/>
          <w:marTop w:val="0"/>
          <w:marBottom w:val="0"/>
          <w:divBdr>
            <w:top w:val="none" w:sz="0" w:space="0" w:color="auto"/>
            <w:left w:val="none" w:sz="0" w:space="0" w:color="auto"/>
            <w:bottom w:val="none" w:sz="0" w:space="0" w:color="auto"/>
            <w:right w:val="none" w:sz="0" w:space="0" w:color="auto"/>
          </w:divBdr>
          <w:divsChild>
            <w:div w:id="922883902">
              <w:marLeft w:val="0"/>
              <w:marRight w:val="0"/>
              <w:marTop w:val="0"/>
              <w:marBottom w:val="0"/>
              <w:divBdr>
                <w:top w:val="none" w:sz="0" w:space="0" w:color="auto"/>
                <w:left w:val="none" w:sz="0" w:space="0" w:color="auto"/>
                <w:bottom w:val="none" w:sz="0" w:space="0" w:color="auto"/>
                <w:right w:val="none" w:sz="0" w:space="0" w:color="auto"/>
              </w:divBdr>
              <w:divsChild>
                <w:div w:id="2108962314">
                  <w:marLeft w:val="0"/>
                  <w:marRight w:val="0"/>
                  <w:marTop w:val="0"/>
                  <w:marBottom w:val="0"/>
                  <w:divBdr>
                    <w:top w:val="none" w:sz="0" w:space="0" w:color="auto"/>
                    <w:left w:val="none" w:sz="0" w:space="0" w:color="auto"/>
                    <w:bottom w:val="none" w:sz="0" w:space="0" w:color="auto"/>
                    <w:right w:val="none" w:sz="0" w:space="0" w:color="auto"/>
                  </w:divBdr>
                  <w:divsChild>
                    <w:div w:id="1832984912">
                      <w:marLeft w:val="0"/>
                      <w:marRight w:val="0"/>
                      <w:marTop w:val="0"/>
                      <w:marBottom w:val="0"/>
                      <w:divBdr>
                        <w:top w:val="none" w:sz="0" w:space="0" w:color="auto"/>
                        <w:left w:val="none" w:sz="0" w:space="0" w:color="auto"/>
                        <w:bottom w:val="none" w:sz="0" w:space="0" w:color="auto"/>
                        <w:right w:val="none" w:sz="0" w:space="0" w:color="auto"/>
                      </w:divBdr>
                      <w:divsChild>
                        <w:div w:id="910851927">
                          <w:marLeft w:val="0"/>
                          <w:marRight w:val="0"/>
                          <w:marTop w:val="0"/>
                          <w:marBottom w:val="0"/>
                          <w:divBdr>
                            <w:top w:val="none" w:sz="0" w:space="0" w:color="auto"/>
                            <w:left w:val="none" w:sz="0" w:space="0" w:color="auto"/>
                            <w:bottom w:val="none" w:sz="0" w:space="0" w:color="auto"/>
                            <w:right w:val="none" w:sz="0" w:space="0" w:color="auto"/>
                          </w:divBdr>
                          <w:divsChild>
                            <w:div w:id="1716463076">
                              <w:marLeft w:val="0"/>
                              <w:marRight w:val="0"/>
                              <w:marTop w:val="0"/>
                              <w:marBottom w:val="0"/>
                              <w:divBdr>
                                <w:top w:val="none" w:sz="0" w:space="0" w:color="auto"/>
                                <w:left w:val="none" w:sz="0" w:space="0" w:color="auto"/>
                                <w:bottom w:val="none" w:sz="0" w:space="0" w:color="auto"/>
                                <w:right w:val="none" w:sz="0" w:space="0" w:color="auto"/>
                              </w:divBdr>
                              <w:divsChild>
                                <w:div w:id="1830290235">
                                  <w:marLeft w:val="0"/>
                                  <w:marRight w:val="0"/>
                                  <w:marTop w:val="0"/>
                                  <w:marBottom w:val="0"/>
                                  <w:divBdr>
                                    <w:top w:val="none" w:sz="0" w:space="0" w:color="auto"/>
                                    <w:left w:val="none" w:sz="0" w:space="0" w:color="auto"/>
                                    <w:bottom w:val="none" w:sz="0" w:space="0" w:color="auto"/>
                                    <w:right w:val="none" w:sz="0" w:space="0" w:color="auto"/>
                                  </w:divBdr>
                                  <w:divsChild>
                                    <w:div w:id="827013033">
                                      <w:marLeft w:val="0"/>
                                      <w:marRight w:val="0"/>
                                      <w:marTop w:val="0"/>
                                      <w:marBottom w:val="0"/>
                                      <w:divBdr>
                                        <w:top w:val="none" w:sz="0" w:space="0" w:color="auto"/>
                                        <w:left w:val="none" w:sz="0" w:space="0" w:color="auto"/>
                                        <w:bottom w:val="none" w:sz="0" w:space="0" w:color="auto"/>
                                        <w:right w:val="none" w:sz="0" w:space="0" w:color="auto"/>
                                      </w:divBdr>
                                      <w:divsChild>
                                        <w:div w:id="120429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3465630">
          <w:marLeft w:val="0"/>
          <w:marRight w:val="0"/>
          <w:marTop w:val="0"/>
          <w:marBottom w:val="0"/>
          <w:divBdr>
            <w:top w:val="none" w:sz="0" w:space="0" w:color="auto"/>
            <w:left w:val="none" w:sz="0" w:space="0" w:color="auto"/>
            <w:bottom w:val="none" w:sz="0" w:space="0" w:color="auto"/>
            <w:right w:val="none" w:sz="0" w:space="0" w:color="auto"/>
          </w:divBdr>
          <w:divsChild>
            <w:div w:id="1190294724">
              <w:marLeft w:val="0"/>
              <w:marRight w:val="0"/>
              <w:marTop w:val="0"/>
              <w:marBottom w:val="0"/>
              <w:divBdr>
                <w:top w:val="none" w:sz="0" w:space="0" w:color="auto"/>
                <w:left w:val="none" w:sz="0" w:space="0" w:color="auto"/>
                <w:bottom w:val="none" w:sz="0" w:space="0" w:color="auto"/>
                <w:right w:val="none" w:sz="0" w:space="0" w:color="auto"/>
              </w:divBdr>
              <w:divsChild>
                <w:div w:id="1289895894">
                  <w:marLeft w:val="0"/>
                  <w:marRight w:val="0"/>
                  <w:marTop w:val="0"/>
                  <w:marBottom w:val="0"/>
                  <w:divBdr>
                    <w:top w:val="none" w:sz="0" w:space="0" w:color="auto"/>
                    <w:left w:val="none" w:sz="0" w:space="0" w:color="auto"/>
                    <w:bottom w:val="none" w:sz="0" w:space="0" w:color="auto"/>
                    <w:right w:val="none" w:sz="0" w:space="0" w:color="auto"/>
                  </w:divBdr>
                  <w:divsChild>
                    <w:div w:id="226692209">
                      <w:marLeft w:val="0"/>
                      <w:marRight w:val="0"/>
                      <w:marTop w:val="0"/>
                      <w:marBottom w:val="0"/>
                      <w:divBdr>
                        <w:top w:val="none" w:sz="0" w:space="0" w:color="auto"/>
                        <w:left w:val="none" w:sz="0" w:space="0" w:color="auto"/>
                        <w:bottom w:val="none" w:sz="0" w:space="0" w:color="auto"/>
                        <w:right w:val="none" w:sz="0" w:space="0" w:color="auto"/>
                      </w:divBdr>
                      <w:divsChild>
                        <w:div w:id="1401363278">
                          <w:marLeft w:val="0"/>
                          <w:marRight w:val="0"/>
                          <w:marTop w:val="0"/>
                          <w:marBottom w:val="0"/>
                          <w:divBdr>
                            <w:top w:val="none" w:sz="0" w:space="0" w:color="auto"/>
                            <w:left w:val="none" w:sz="0" w:space="0" w:color="auto"/>
                            <w:bottom w:val="none" w:sz="0" w:space="0" w:color="auto"/>
                            <w:right w:val="none" w:sz="0" w:space="0" w:color="auto"/>
                          </w:divBdr>
                          <w:divsChild>
                            <w:div w:id="1101487606">
                              <w:marLeft w:val="0"/>
                              <w:marRight w:val="0"/>
                              <w:marTop w:val="0"/>
                              <w:marBottom w:val="0"/>
                              <w:divBdr>
                                <w:top w:val="none" w:sz="0" w:space="0" w:color="auto"/>
                                <w:left w:val="none" w:sz="0" w:space="0" w:color="auto"/>
                                <w:bottom w:val="none" w:sz="0" w:space="0" w:color="auto"/>
                                <w:right w:val="none" w:sz="0" w:space="0" w:color="auto"/>
                              </w:divBdr>
                              <w:divsChild>
                                <w:div w:id="53696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483337">
                  <w:marLeft w:val="0"/>
                  <w:marRight w:val="0"/>
                  <w:marTop w:val="0"/>
                  <w:marBottom w:val="0"/>
                  <w:divBdr>
                    <w:top w:val="none" w:sz="0" w:space="0" w:color="auto"/>
                    <w:left w:val="none" w:sz="0" w:space="0" w:color="auto"/>
                    <w:bottom w:val="none" w:sz="0" w:space="0" w:color="auto"/>
                    <w:right w:val="none" w:sz="0" w:space="0" w:color="auto"/>
                  </w:divBdr>
                  <w:divsChild>
                    <w:div w:id="426848228">
                      <w:marLeft w:val="0"/>
                      <w:marRight w:val="0"/>
                      <w:marTop w:val="0"/>
                      <w:marBottom w:val="0"/>
                      <w:divBdr>
                        <w:top w:val="none" w:sz="0" w:space="0" w:color="auto"/>
                        <w:left w:val="none" w:sz="0" w:space="0" w:color="auto"/>
                        <w:bottom w:val="none" w:sz="0" w:space="0" w:color="auto"/>
                        <w:right w:val="none" w:sz="0" w:space="0" w:color="auto"/>
                      </w:divBdr>
                      <w:divsChild>
                        <w:div w:id="600263472">
                          <w:marLeft w:val="0"/>
                          <w:marRight w:val="0"/>
                          <w:marTop w:val="0"/>
                          <w:marBottom w:val="0"/>
                          <w:divBdr>
                            <w:top w:val="none" w:sz="0" w:space="0" w:color="auto"/>
                            <w:left w:val="none" w:sz="0" w:space="0" w:color="auto"/>
                            <w:bottom w:val="none" w:sz="0" w:space="0" w:color="auto"/>
                            <w:right w:val="none" w:sz="0" w:space="0" w:color="auto"/>
                          </w:divBdr>
                          <w:divsChild>
                            <w:div w:id="328943442">
                              <w:marLeft w:val="0"/>
                              <w:marRight w:val="0"/>
                              <w:marTop w:val="0"/>
                              <w:marBottom w:val="0"/>
                              <w:divBdr>
                                <w:top w:val="none" w:sz="0" w:space="0" w:color="auto"/>
                                <w:left w:val="none" w:sz="0" w:space="0" w:color="auto"/>
                                <w:bottom w:val="none" w:sz="0" w:space="0" w:color="auto"/>
                                <w:right w:val="none" w:sz="0" w:space="0" w:color="auto"/>
                              </w:divBdr>
                              <w:divsChild>
                                <w:div w:id="1038433375">
                                  <w:marLeft w:val="0"/>
                                  <w:marRight w:val="0"/>
                                  <w:marTop w:val="0"/>
                                  <w:marBottom w:val="0"/>
                                  <w:divBdr>
                                    <w:top w:val="none" w:sz="0" w:space="0" w:color="auto"/>
                                    <w:left w:val="none" w:sz="0" w:space="0" w:color="auto"/>
                                    <w:bottom w:val="none" w:sz="0" w:space="0" w:color="auto"/>
                                    <w:right w:val="none" w:sz="0" w:space="0" w:color="auto"/>
                                  </w:divBdr>
                                  <w:divsChild>
                                    <w:div w:id="10866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963261">
                          <w:marLeft w:val="0"/>
                          <w:marRight w:val="0"/>
                          <w:marTop w:val="0"/>
                          <w:marBottom w:val="0"/>
                          <w:divBdr>
                            <w:top w:val="none" w:sz="0" w:space="0" w:color="auto"/>
                            <w:left w:val="none" w:sz="0" w:space="0" w:color="auto"/>
                            <w:bottom w:val="none" w:sz="0" w:space="0" w:color="auto"/>
                            <w:right w:val="none" w:sz="0" w:space="0" w:color="auto"/>
                          </w:divBdr>
                          <w:divsChild>
                            <w:div w:id="853760729">
                              <w:marLeft w:val="0"/>
                              <w:marRight w:val="0"/>
                              <w:marTop w:val="0"/>
                              <w:marBottom w:val="0"/>
                              <w:divBdr>
                                <w:top w:val="none" w:sz="0" w:space="0" w:color="auto"/>
                                <w:left w:val="none" w:sz="0" w:space="0" w:color="auto"/>
                                <w:bottom w:val="none" w:sz="0" w:space="0" w:color="auto"/>
                                <w:right w:val="none" w:sz="0" w:space="0" w:color="auto"/>
                              </w:divBdr>
                              <w:divsChild>
                                <w:div w:id="1364938188">
                                  <w:marLeft w:val="0"/>
                                  <w:marRight w:val="0"/>
                                  <w:marTop w:val="0"/>
                                  <w:marBottom w:val="0"/>
                                  <w:divBdr>
                                    <w:top w:val="none" w:sz="0" w:space="0" w:color="auto"/>
                                    <w:left w:val="none" w:sz="0" w:space="0" w:color="auto"/>
                                    <w:bottom w:val="none" w:sz="0" w:space="0" w:color="auto"/>
                                    <w:right w:val="none" w:sz="0" w:space="0" w:color="auto"/>
                                  </w:divBdr>
                                  <w:divsChild>
                                    <w:div w:id="48582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2975724">
          <w:marLeft w:val="0"/>
          <w:marRight w:val="0"/>
          <w:marTop w:val="0"/>
          <w:marBottom w:val="0"/>
          <w:divBdr>
            <w:top w:val="none" w:sz="0" w:space="0" w:color="auto"/>
            <w:left w:val="none" w:sz="0" w:space="0" w:color="auto"/>
            <w:bottom w:val="none" w:sz="0" w:space="0" w:color="auto"/>
            <w:right w:val="none" w:sz="0" w:space="0" w:color="auto"/>
          </w:divBdr>
          <w:divsChild>
            <w:div w:id="1623614422">
              <w:marLeft w:val="0"/>
              <w:marRight w:val="0"/>
              <w:marTop w:val="0"/>
              <w:marBottom w:val="0"/>
              <w:divBdr>
                <w:top w:val="none" w:sz="0" w:space="0" w:color="auto"/>
                <w:left w:val="none" w:sz="0" w:space="0" w:color="auto"/>
                <w:bottom w:val="none" w:sz="0" w:space="0" w:color="auto"/>
                <w:right w:val="none" w:sz="0" w:space="0" w:color="auto"/>
              </w:divBdr>
              <w:divsChild>
                <w:div w:id="492062717">
                  <w:marLeft w:val="0"/>
                  <w:marRight w:val="0"/>
                  <w:marTop w:val="0"/>
                  <w:marBottom w:val="0"/>
                  <w:divBdr>
                    <w:top w:val="none" w:sz="0" w:space="0" w:color="auto"/>
                    <w:left w:val="none" w:sz="0" w:space="0" w:color="auto"/>
                    <w:bottom w:val="none" w:sz="0" w:space="0" w:color="auto"/>
                    <w:right w:val="none" w:sz="0" w:space="0" w:color="auto"/>
                  </w:divBdr>
                  <w:divsChild>
                    <w:div w:id="210725272">
                      <w:marLeft w:val="0"/>
                      <w:marRight w:val="0"/>
                      <w:marTop w:val="0"/>
                      <w:marBottom w:val="0"/>
                      <w:divBdr>
                        <w:top w:val="none" w:sz="0" w:space="0" w:color="auto"/>
                        <w:left w:val="none" w:sz="0" w:space="0" w:color="auto"/>
                        <w:bottom w:val="none" w:sz="0" w:space="0" w:color="auto"/>
                        <w:right w:val="none" w:sz="0" w:space="0" w:color="auto"/>
                      </w:divBdr>
                    </w:div>
                    <w:div w:id="171909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359678">
          <w:marLeft w:val="0"/>
          <w:marRight w:val="0"/>
          <w:marTop w:val="0"/>
          <w:marBottom w:val="0"/>
          <w:divBdr>
            <w:top w:val="none" w:sz="0" w:space="0" w:color="auto"/>
            <w:left w:val="none" w:sz="0" w:space="0" w:color="auto"/>
            <w:bottom w:val="none" w:sz="0" w:space="0" w:color="auto"/>
            <w:right w:val="none" w:sz="0" w:space="0" w:color="auto"/>
          </w:divBdr>
          <w:divsChild>
            <w:div w:id="27342206">
              <w:marLeft w:val="0"/>
              <w:marRight w:val="0"/>
              <w:marTop w:val="0"/>
              <w:marBottom w:val="0"/>
              <w:divBdr>
                <w:top w:val="none" w:sz="0" w:space="0" w:color="auto"/>
                <w:left w:val="none" w:sz="0" w:space="0" w:color="auto"/>
                <w:bottom w:val="none" w:sz="0" w:space="0" w:color="auto"/>
                <w:right w:val="none" w:sz="0" w:space="0" w:color="auto"/>
              </w:divBdr>
              <w:divsChild>
                <w:div w:id="414520622">
                  <w:marLeft w:val="0"/>
                  <w:marRight w:val="0"/>
                  <w:marTop w:val="0"/>
                  <w:marBottom w:val="0"/>
                  <w:divBdr>
                    <w:top w:val="none" w:sz="0" w:space="0" w:color="auto"/>
                    <w:left w:val="none" w:sz="0" w:space="0" w:color="auto"/>
                    <w:bottom w:val="none" w:sz="0" w:space="0" w:color="auto"/>
                    <w:right w:val="none" w:sz="0" w:space="0" w:color="auto"/>
                  </w:divBdr>
                  <w:divsChild>
                    <w:div w:id="1679455104">
                      <w:marLeft w:val="0"/>
                      <w:marRight w:val="0"/>
                      <w:marTop w:val="0"/>
                      <w:marBottom w:val="0"/>
                      <w:divBdr>
                        <w:top w:val="none" w:sz="0" w:space="0" w:color="auto"/>
                        <w:left w:val="none" w:sz="0" w:space="0" w:color="auto"/>
                        <w:bottom w:val="none" w:sz="0" w:space="0" w:color="auto"/>
                        <w:right w:val="none" w:sz="0" w:space="0" w:color="auto"/>
                      </w:divBdr>
                      <w:divsChild>
                        <w:div w:id="1293830882">
                          <w:marLeft w:val="0"/>
                          <w:marRight w:val="0"/>
                          <w:marTop w:val="0"/>
                          <w:marBottom w:val="0"/>
                          <w:divBdr>
                            <w:top w:val="none" w:sz="0" w:space="0" w:color="auto"/>
                            <w:left w:val="none" w:sz="0" w:space="0" w:color="auto"/>
                            <w:bottom w:val="none" w:sz="0" w:space="0" w:color="auto"/>
                            <w:right w:val="none" w:sz="0" w:space="0" w:color="auto"/>
                          </w:divBdr>
                          <w:divsChild>
                            <w:div w:id="1908415785">
                              <w:marLeft w:val="0"/>
                              <w:marRight w:val="0"/>
                              <w:marTop w:val="0"/>
                              <w:marBottom w:val="0"/>
                              <w:divBdr>
                                <w:top w:val="none" w:sz="0" w:space="0" w:color="auto"/>
                                <w:left w:val="none" w:sz="0" w:space="0" w:color="auto"/>
                                <w:bottom w:val="none" w:sz="0" w:space="0" w:color="auto"/>
                                <w:right w:val="none" w:sz="0" w:space="0" w:color="auto"/>
                              </w:divBdr>
                              <w:divsChild>
                                <w:div w:id="1729916702">
                                  <w:marLeft w:val="0"/>
                                  <w:marRight w:val="0"/>
                                  <w:marTop w:val="0"/>
                                  <w:marBottom w:val="0"/>
                                  <w:divBdr>
                                    <w:top w:val="none" w:sz="0" w:space="0" w:color="auto"/>
                                    <w:left w:val="none" w:sz="0" w:space="0" w:color="auto"/>
                                    <w:bottom w:val="none" w:sz="0" w:space="0" w:color="auto"/>
                                    <w:right w:val="none" w:sz="0" w:space="0" w:color="auto"/>
                                  </w:divBdr>
                                  <w:divsChild>
                                    <w:div w:id="1418937882">
                                      <w:marLeft w:val="0"/>
                                      <w:marRight w:val="0"/>
                                      <w:marTop w:val="0"/>
                                      <w:marBottom w:val="0"/>
                                      <w:divBdr>
                                        <w:top w:val="none" w:sz="0" w:space="0" w:color="auto"/>
                                        <w:left w:val="none" w:sz="0" w:space="0" w:color="auto"/>
                                        <w:bottom w:val="none" w:sz="0" w:space="0" w:color="auto"/>
                                        <w:right w:val="none" w:sz="0" w:space="0" w:color="auto"/>
                                      </w:divBdr>
                                      <w:divsChild>
                                        <w:div w:id="148678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9275015">
          <w:marLeft w:val="0"/>
          <w:marRight w:val="0"/>
          <w:marTop w:val="0"/>
          <w:marBottom w:val="0"/>
          <w:divBdr>
            <w:top w:val="none" w:sz="0" w:space="0" w:color="auto"/>
            <w:left w:val="none" w:sz="0" w:space="0" w:color="auto"/>
            <w:bottom w:val="none" w:sz="0" w:space="0" w:color="auto"/>
            <w:right w:val="none" w:sz="0" w:space="0" w:color="auto"/>
          </w:divBdr>
          <w:divsChild>
            <w:div w:id="1828936648">
              <w:marLeft w:val="0"/>
              <w:marRight w:val="0"/>
              <w:marTop w:val="0"/>
              <w:marBottom w:val="0"/>
              <w:divBdr>
                <w:top w:val="none" w:sz="0" w:space="0" w:color="auto"/>
                <w:left w:val="none" w:sz="0" w:space="0" w:color="auto"/>
                <w:bottom w:val="none" w:sz="0" w:space="0" w:color="auto"/>
                <w:right w:val="none" w:sz="0" w:space="0" w:color="auto"/>
              </w:divBdr>
              <w:divsChild>
                <w:div w:id="1432773418">
                  <w:marLeft w:val="0"/>
                  <w:marRight w:val="0"/>
                  <w:marTop w:val="0"/>
                  <w:marBottom w:val="0"/>
                  <w:divBdr>
                    <w:top w:val="none" w:sz="0" w:space="0" w:color="auto"/>
                    <w:left w:val="none" w:sz="0" w:space="0" w:color="auto"/>
                    <w:bottom w:val="none" w:sz="0" w:space="0" w:color="auto"/>
                    <w:right w:val="none" w:sz="0" w:space="0" w:color="auto"/>
                  </w:divBdr>
                  <w:divsChild>
                    <w:div w:id="1560550434">
                      <w:marLeft w:val="0"/>
                      <w:marRight w:val="0"/>
                      <w:marTop w:val="0"/>
                      <w:marBottom w:val="0"/>
                      <w:divBdr>
                        <w:top w:val="none" w:sz="0" w:space="0" w:color="auto"/>
                        <w:left w:val="none" w:sz="0" w:space="0" w:color="auto"/>
                        <w:bottom w:val="none" w:sz="0" w:space="0" w:color="auto"/>
                        <w:right w:val="none" w:sz="0" w:space="0" w:color="auto"/>
                      </w:divBdr>
                      <w:divsChild>
                        <w:div w:id="1494839203">
                          <w:marLeft w:val="0"/>
                          <w:marRight w:val="0"/>
                          <w:marTop w:val="0"/>
                          <w:marBottom w:val="0"/>
                          <w:divBdr>
                            <w:top w:val="none" w:sz="0" w:space="0" w:color="auto"/>
                            <w:left w:val="none" w:sz="0" w:space="0" w:color="auto"/>
                            <w:bottom w:val="none" w:sz="0" w:space="0" w:color="auto"/>
                            <w:right w:val="none" w:sz="0" w:space="0" w:color="auto"/>
                          </w:divBdr>
                          <w:divsChild>
                            <w:div w:id="1637225215">
                              <w:marLeft w:val="0"/>
                              <w:marRight w:val="0"/>
                              <w:marTop w:val="0"/>
                              <w:marBottom w:val="0"/>
                              <w:divBdr>
                                <w:top w:val="none" w:sz="0" w:space="0" w:color="auto"/>
                                <w:left w:val="none" w:sz="0" w:space="0" w:color="auto"/>
                                <w:bottom w:val="none" w:sz="0" w:space="0" w:color="auto"/>
                                <w:right w:val="none" w:sz="0" w:space="0" w:color="auto"/>
                              </w:divBdr>
                              <w:divsChild>
                                <w:div w:id="1647323545">
                                  <w:marLeft w:val="0"/>
                                  <w:marRight w:val="0"/>
                                  <w:marTop w:val="0"/>
                                  <w:marBottom w:val="0"/>
                                  <w:divBdr>
                                    <w:top w:val="none" w:sz="0" w:space="0" w:color="auto"/>
                                    <w:left w:val="none" w:sz="0" w:space="0" w:color="auto"/>
                                    <w:bottom w:val="none" w:sz="0" w:space="0" w:color="auto"/>
                                    <w:right w:val="none" w:sz="0" w:space="0" w:color="auto"/>
                                  </w:divBdr>
                                  <w:divsChild>
                                    <w:div w:id="1568302426">
                                      <w:marLeft w:val="0"/>
                                      <w:marRight w:val="0"/>
                                      <w:marTop w:val="0"/>
                                      <w:marBottom w:val="0"/>
                                      <w:divBdr>
                                        <w:top w:val="none" w:sz="0" w:space="0" w:color="auto"/>
                                        <w:left w:val="none" w:sz="0" w:space="0" w:color="auto"/>
                                        <w:bottom w:val="none" w:sz="0" w:space="0" w:color="auto"/>
                                        <w:right w:val="none" w:sz="0" w:space="0" w:color="auto"/>
                                      </w:divBdr>
                                      <w:divsChild>
                                        <w:div w:id="193936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8759428">
          <w:marLeft w:val="0"/>
          <w:marRight w:val="0"/>
          <w:marTop w:val="0"/>
          <w:marBottom w:val="0"/>
          <w:divBdr>
            <w:top w:val="none" w:sz="0" w:space="0" w:color="auto"/>
            <w:left w:val="none" w:sz="0" w:space="0" w:color="auto"/>
            <w:bottom w:val="none" w:sz="0" w:space="0" w:color="auto"/>
            <w:right w:val="none" w:sz="0" w:space="0" w:color="auto"/>
          </w:divBdr>
          <w:divsChild>
            <w:div w:id="722414660">
              <w:marLeft w:val="0"/>
              <w:marRight w:val="0"/>
              <w:marTop w:val="0"/>
              <w:marBottom w:val="0"/>
              <w:divBdr>
                <w:top w:val="none" w:sz="0" w:space="0" w:color="auto"/>
                <w:left w:val="none" w:sz="0" w:space="0" w:color="auto"/>
                <w:bottom w:val="none" w:sz="0" w:space="0" w:color="auto"/>
                <w:right w:val="none" w:sz="0" w:space="0" w:color="auto"/>
              </w:divBdr>
              <w:divsChild>
                <w:div w:id="5062598">
                  <w:marLeft w:val="0"/>
                  <w:marRight w:val="0"/>
                  <w:marTop w:val="0"/>
                  <w:marBottom w:val="0"/>
                  <w:divBdr>
                    <w:top w:val="none" w:sz="0" w:space="0" w:color="auto"/>
                    <w:left w:val="none" w:sz="0" w:space="0" w:color="auto"/>
                    <w:bottom w:val="none" w:sz="0" w:space="0" w:color="auto"/>
                    <w:right w:val="none" w:sz="0" w:space="0" w:color="auto"/>
                  </w:divBdr>
                  <w:divsChild>
                    <w:div w:id="688993053">
                      <w:marLeft w:val="0"/>
                      <w:marRight w:val="0"/>
                      <w:marTop w:val="0"/>
                      <w:marBottom w:val="0"/>
                      <w:divBdr>
                        <w:top w:val="none" w:sz="0" w:space="0" w:color="auto"/>
                        <w:left w:val="none" w:sz="0" w:space="0" w:color="auto"/>
                        <w:bottom w:val="none" w:sz="0" w:space="0" w:color="auto"/>
                        <w:right w:val="none" w:sz="0" w:space="0" w:color="auto"/>
                      </w:divBdr>
                      <w:divsChild>
                        <w:div w:id="1209803470">
                          <w:marLeft w:val="0"/>
                          <w:marRight w:val="0"/>
                          <w:marTop w:val="0"/>
                          <w:marBottom w:val="0"/>
                          <w:divBdr>
                            <w:top w:val="none" w:sz="0" w:space="0" w:color="auto"/>
                            <w:left w:val="none" w:sz="0" w:space="0" w:color="auto"/>
                            <w:bottom w:val="none" w:sz="0" w:space="0" w:color="auto"/>
                            <w:right w:val="none" w:sz="0" w:space="0" w:color="auto"/>
                          </w:divBdr>
                          <w:divsChild>
                            <w:div w:id="56710355">
                              <w:marLeft w:val="0"/>
                              <w:marRight w:val="0"/>
                              <w:marTop w:val="0"/>
                              <w:marBottom w:val="0"/>
                              <w:divBdr>
                                <w:top w:val="none" w:sz="0" w:space="0" w:color="auto"/>
                                <w:left w:val="none" w:sz="0" w:space="0" w:color="auto"/>
                                <w:bottom w:val="none" w:sz="0" w:space="0" w:color="auto"/>
                                <w:right w:val="none" w:sz="0" w:space="0" w:color="auto"/>
                              </w:divBdr>
                              <w:divsChild>
                                <w:div w:id="1510949616">
                                  <w:marLeft w:val="0"/>
                                  <w:marRight w:val="0"/>
                                  <w:marTop w:val="0"/>
                                  <w:marBottom w:val="0"/>
                                  <w:divBdr>
                                    <w:top w:val="none" w:sz="0" w:space="0" w:color="auto"/>
                                    <w:left w:val="none" w:sz="0" w:space="0" w:color="auto"/>
                                    <w:bottom w:val="none" w:sz="0" w:space="0" w:color="auto"/>
                                    <w:right w:val="none" w:sz="0" w:space="0" w:color="auto"/>
                                  </w:divBdr>
                                  <w:divsChild>
                                    <w:div w:id="83187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606197">
                          <w:marLeft w:val="0"/>
                          <w:marRight w:val="0"/>
                          <w:marTop w:val="0"/>
                          <w:marBottom w:val="0"/>
                          <w:divBdr>
                            <w:top w:val="none" w:sz="0" w:space="0" w:color="auto"/>
                            <w:left w:val="none" w:sz="0" w:space="0" w:color="auto"/>
                            <w:bottom w:val="none" w:sz="0" w:space="0" w:color="auto"/>
                            <w:right w:val="none" w:sz="0" w:space="0" w:color="auto"/>
                          </w:divBdr>
                          <w:divsChild>
                            <w:div w:id="1967927852">
                              <w:marLeft w:val="0"/>
                              <w:marRight w:val="0"/>
                              <w:marTop w:val="0"/>
                              <w:marBottom w:val="0"/>
                              <w:divBdr>
                                <w:top w:val="none" w:sz="0" w:space="0" w:color="auto"/>
                                <w:left w:val="none" w:sz="0" w:space="0" w:color="auto"/>
                                <w:bottom w:val="none" w:sz="0" w:space="0" w:color="auto"/>
                                <w:right w:val="none" w:sz="0" w:space="0" w:color="auto"/>
                              </w:divBdr>
                              <w:divsChild>
                                <w:div w:id="138309850">
                                  <w:marLeft w:val="0"/>
                                  <w:marRight w:val="0"/>
                                  <w:marTop w:val="0"/>
                                  <w:marBottom w:val="0"/>
                                  <w:divBdr>
                                    <w:top w:val="none" w:sz="0" w:space="0" w:color="auto"/>
                                    <w:left w:val="none" w:sz="0" w:space="0" w:color="auto"/>
                                    <w:bottom w:val="none" w:sz="0" w:space="0" w:color="auto"/>
                                    <w:right w:val="none" w:sz="0" w:space="0" w:color="auto"/>
                                  </w:divBdr>
                                  <w:divsChild>
                                    <w:div w:id="109236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6705177">
                  <w:marLeft w:val="0"/>
                  <w:marRight w:val="0"/>
                  <w:marTop w:val="0"/>
                  <w:marBottom w:val="0"/>
                  <w:divBdr>
                    <w:top w:val="none" w:sz="0" w:space="0" w:color="auto"/>
                    <w:left w:val="none" w:sz="0" w:space="0" w:color="auto"/>
                    <w:bottom w:val="none" w:sz="0" w:space="0" w:color="auto"/>
                    <w:right w:val="none" w:sz="0" w:space="0" w:color="auto"/>
                  </w:divBdr>
                  <w:divsChild>
                    <w:div w:id="591163256">
                      <w:marLeft w:val="0"/>
                      <w:marRight w:val="0"/>
                      <w:marTop w:val="0"/>
                      <w:marBottom w:val="0"/>
                      <w:divBdr>
                        <w:top w:val="none" w:sz="0" w:space="0" w:color="auto"/>
                        <w:left w:val="none" w:sz="0" w:space="0" w:color="auto"/>
                        <w:bottom w:val="none" w:sz="0" w:space="0" w:color="auto"/>
                        <w:right w:val="none" w:sz="0" w:space="0" w:color="auto"/>
                      </w:divBdr>
                      <w:divsChild>
                        <w:div w:id="1840390667">
                          <w:marLeft w:val="0"/>
                          <w:marRight w:val="0"/>
                          <w:marTop w:val="0"/>
                          <w:marBottom w:val="0"/>
                          <w:divBdr>
                            <w:top w:val="none" w:sz="0" w:space="0" w:color="auto"/>
                            <w:left w:val="none" w:sz="0" w:space="0" w:color="auto"/>
                            <w:bottom w:val="none" w:sz="0" w:space="0" w:color="auto"/>
                            <w:right w:val="none" w:sz="0" w:space="0" w:color="auto"/>
                          </w:divBdr>
                          <w:divsChild>
                            <w:div w:id="2139644854">
                              <w:marLeft w:val="0"/>
                              <w:marRight w:val="0"/>
                              <w:marTop w:val="0"/>
                              <w:marBottom w:val="0"/>
                              <w:divBdr>
                                <w:top w:val="none" w:sz="0" w:space="0" w:color="auto"/>
                                <w:left w:val="none" w:sz="0" w:space="0" w:color="auto"/>
                                <w:bottom w:val="none" w:sz="0" w:space="0" w:color="auto"/>
                                <w:right w:val="none" w:sz="0" w:space="0" w:color="auto"/>
                              </w:divBdr>
                              <w:divsChild>
                                <w:div w:id="5681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9096067">
          <w:marLeft w:val="0"/>
          <w:marRight w:val="0"/>
          <w:marTop w:val="0"/>
          <w:marBottom w:val="0"/>
          <w:divBdr>
            <w:top w:val="none" w:sz="0" w:space="0" w:color="auto"/>
            <w:left w:val="none" w:sz="0" w:space="0" w:color="auto"/>
            <w:bottom w:val="none" w:sz="0" w:space="0" w:color="auto"/>
            <w:right w:val="none" w:sz="0" w:space="0" w:color="auto"/>
          </w:divBdr>
          <w:divsChild>
            <w:div w:id="1510217364">
              <w:marLeft w:val="0"/>
              <w:marRight w:val="0"/>
              <w:marTop w:val="0"/>
              <w:marBottom w:val="0"/>
              <w:divBdr>
                <w:top w:val="none" w:sz="0" w:space="0" w:color="auto"/>
                <w:left w:val="none" w:sz="0" w:space="0" w:color="auto"/>
                <w:bottom w:val="none" w:sz="0" w:space="0" w:color="auto"/>
                <w:right w:val="none" w:sz="0" w:space="0" w:color="auto"/>
              </w:divBdr>
              <w:divsChild>
                <w:div w:id="955678174">
                  <w:marLeft w:val="0"/>
                  <w:marRight w:val="0"/>
                  <w:marTop w:val="0"/>
                  <w:marBottom w:val="0"/>
                  <w:divBdr>
                    <w:top w:val="none" w:sz="0" w:space="0" w:color="auto"/>
                    <w:left w:val="none" w:sz="0" w:space="0" w:color="auto"/>
                    <w:bottom w:val="none" w:sz="0" w:space="0" w:color="auto"/>
                    <w:right w:val="none" w:sz="0" w:space="0" w:color="auto"/>
                  </w:divBdr>
                  <w:divsChild>
                    <w:div w:id="783965329">
                      <w:marLeft w:val="0"/>
                      <w:marRight w:val="0"/>
                      <w:marTop w:val="0"/>
                      <w:marBottom w:val="0"/>
                      <w:divBdr>
                        <w:top w:val="none" w:sz="0" w:space="0" w:color="auto"/>
                        <w:left w:val="none" w:sz="0" w:space="0" w:color="auto"/>
                        <w:bottom w:val="none" w:sz="0" w:space="0" w:color="auto"/>
                        <w:right w:val="none" w:sz="0" w:space="0" w:color="auto"/>
                      </w:divBdr>
                      <w:divsChild>
                        <w:div w:id="484009297">
                          <w:marLeft w:val="0"/>
                          <w:marRight w:val="0"/>
                          <w:marTop w:val="0"/>
                          <w:marBottom w:val="0"/>
                          <w:divBdr>
                            <w:top w:val="none" w:sz="0" w:space="0" w:color="auto"/>
                            <w:left w:val="none" w:sz="0" w:space="0" w:color="auto"/>
                            <w:bottom w:val="none" w:sz="0" w:space="0" w:color="auto"/>
                            <w:right w:val="none" w:sz="0" w:space="0" w:color="auto"/>
                          </w:divBdr>
                          <w:divsChild>
                            <w:div w:id="1325166994">
                              <w:marLeft w:val="0"/>
                              <w:marRight w:val="0"/>
                              <w:marTop w:val="0"/>
                              <w:marBottom w:val="0"/>
                              <w:divBdr>
                                <w:top w:val="none" w:sz="0" w:space="0" w:color="auto"/>
                                <w:left w:val="none" w:sz="0" w:space="0" w:color="auto"/>
                                <w:bottom w:val="none" w:sz="0" w:space="0" w:color="auto"/>
                                <w:right w:val="none" w:sz="0" w:space="0" w:color="auto"/>
                              </w:divBdr>
                              <w:divsChild>
                                <w:div w:id="1814327382">
                                  <w:marLeft w:val="0"/>
                                  <w:marRight w:val="0"/>
                                  <w:marTop w:val="0"/>
                                  <w:marBottom w:val="0"/>
                                  <w:divBdr>
                                    <w:top w:val="none" w:sz="0" w:space="0" w:color="auto"/>
                                    <w:left w:val="none" w:sz="0" w:space="0" w:color="auto"/>
                                    <w:bottom w:val="none" w:sz="0" w:space="0" w:color="auto"/>
                                    <w:right w:val="none" w:sz="0" w:space="0" w:color="auto"/>
                                  </w:divBdr>
                                  <w:divsChild>
                                    <w:div w:id="127863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6833">
                          <w:marLeft w:val="0"/>
                          <w:marRight w:val="0"/>
                          <w:marTop w:val="0"/>
                          <w:marBottom w:val="0"/>
                          <w:divBdr>
                            <w:top w:val="none" w:sz="0" w:space="0" w:color="auto"/>
                            <w:left w:val="none" w:sz="0" w:space="0" w:color="auto"/>
                            <w:bottom w:val="none" w:sz="0" w:space="0" w:color="auto"/>
                            <w:right w:val="none" w:sz="0" w:space="0" w:color="auto"/>
                          </w:divBdr>
                          <w:divsChild>
                            <w:div w:id="1238637351">
                              <w:marLeft w:val="0"/>
                              <w:marRight w:val="0"/>
                              <w:marTop w:val="0"/>
                              <w:marBottom w:val="0"/>
                              <w:divBdr>
                                <w:top w:val="none" w:sz="0" w:space="0" w:color="auto"/>
                                <w:left w:val="none" w:sz="0" w:space="0" w:color="auto"/>
                                <w:bottom w:val="none" w:sz="0" w:space="0" w:color="auto"/>
                                <w:right w:val="none" w:sz="0" w:space="0" w:color="auto"/>
                              </w:divBdr>
                              <w:divsChild>
                                <w:div w:id="1646932660">
                                  <w:marLeft w:val="0"/>
                                  <w:marRight w:val="0"/>
                                  <w:marTop w:val="0"/>
                                  <w:marBottom w:val="0"/>
                                  <w:divBdr>
                                    <w:top w:val="none" w:sz="0" w:space="0" w:color="auto"/>
                                    <w:left w:val="none" w:sz="0" w:space="0" w:color="auto"/>
                                    <w:bottom w:val="none" w:sz="0" w:space="0" w:color="auto"/>
                                    <w:right w:val="none" w:sz="0" w:space="0" w:color="auto"/>
                                  </w:divBdr>
                                  <w:divsChild>
                                    <w:div w:id="187657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763218">
                  <w:marLeft w:val="0"/>
                  <w:marRight w:val="0"/>
                  <w:marTop w:val="0"/>
                  <w:marBottom w:val="0"/>
                  <w:divBdr>
                    <w:top w:val="none" w:sz="0" w:space="0" w:color="auto"/>
                    <w:left w:val="none" w:sz="0" w:space="0" w:color="auto"/>
                    <w:bottom w:val="none" w:sz="0" w:space="0" w:color="auto"/>
                    <w:right w:val="none" w:sz="0" w:space="0" w:color="auto"/>
                  </w:divBdr>
                  <w:divsChild>
                    <w:div w:id="250168928">
                      <w:marLeft w:val="0"/>
                      <w:marRight w:val="0"/>
                      <w:marTop w:val="0"/>
                      <w:marBottom w:val="0"/>
                      <w:divBdr>
                        <w:top w:val="none" w:sz="0" w:space="0" w:color="auto"/>
                        <w:left w:val="none" w:sz="0" w:space="0" w:color="auto"/>
                        <w:bottom w:val="none" w:sz="0" w:space="0" w:color="auto"/>
                        <w:right w:val="none" w:sz="0" w:space="0" w:color="auto"/>
                      </w:divBdr>
                      <w:divsChild>
                        <w:div w:id="1951665033">
                          <w:marLeft w:val="0"/>
                          <w:marRight w:val="0"/>
                          <w:marTop w:val="0"/>
                          <w:marBottom w:val="0"/>
                          <w:divBdr>
                            <w:top w:val="none" w:sz="0" w:space="0" w:color="auto"/>
                            <w:left w:val="none" w:sz="0" w:space="0" w:color="auto"/>
                            <w:bottom w:val="none" w:sz="0" w:space="0" w:color="auto"/>
                            <w:right w:val="none" w:sz="0" w:space="0" w:color="auto"/>
                          </w:divBdr>
                          <w:divsChild>
                            <w:div w:id="1737630682">
                              <w:marLeft w:val="0"/>
                              <w:marRight w:val="0"/>
                              <w:marTop w:val="0"/>
                              <w:marBottom w:val="0"/>
                              <w:divBdr>
                                <w:top w:val="none" w:sz="0" w:space="0" w:color="auto"/>
                                <w:left w:val="none" w:sz="0" w:space="0" w:color="auto"/>
                                <w:bottom w:val="none" w:sz="0" w:space="0" w:color="auto"/>
                                <w:right w:val="none" w:sz="0" w:space="0" w:color="auto"/>
                              </w:divBdr>
                              <w:divsChild>
                                <w:div w:id="74888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1671729">
          <w:marLeft w:val="0"/>
          <w:marRight w:val="0"/>
          <w:marTop w:val="0"/>
          <w:marBottom w:val="0"/>
          <w:divBdr>
            <w:top w:val="none" w:sz="0" w:space="0" w:color="auto"/>
            <w:left w:val="none" w:sz="0" w:space="0" w:color="auto"/>
            <w:bottom w:val="none" w:sz="0" w:space="0" w:color="auto"/>
            <w:right w:val="none" w:sz="0" w:space="0" w:color="auto"/>
          </w:divBdr>
          <w:divsChild>
            <w:div w:id="38285036">
              <w:marLeft w:val="0"/>
              <w:marRight w:val="0"/>
              <w:marTop w:val="0"/>
              <w:marBottom w:val="0"/>
              <w:divBdr>
                <w:top w:val="none" w:sz="0" w:space="0" w:color="auto"/>
                <w:left w:val="none" w:sz="0" w:space="0" w:color="auto"/>
                <w:bottom w:val="none" w:sz="0" w:space="0" w:color="auto"/>
                <w:right w:val="none" w:sz="0" w:space="0" w:color="auto"/>
              </w:divBdr>
              <w:divsChild>
                <w:div w:id="1893231917">
                  <w:marLeft w:val="0"/>
                  <w:marRight w:val="0"/>
                  <w:marTop w:val="0"/>
                  <w:marBottom w:val="0"/>
                  <w:divBdr>
                    <w:top w:val="none" w:sz="0" w:space="0" w:color="auto"/>
                    <w:left w:val="none" w:sz="0" w:space="0" w:color="auto"/>
                    <w:bottom w:val="none" w:sz="0" w:space="0" w:color="auto"/>
                    <w:right w:val="none" w:sz="0" w:space="0" w:color="auto"/>
                  </w:divBdr>
                  <w:divsChild>
                    <w:div w:id="324864424">
                      <w:marLeft w:val="0"/>
                      <w:marRight w:val="0"/>
                      <w:marTop w:val="0"/>
                      <w:marBottom w:val="0"/>
                      <w:divBdr>
                        <w:top w:val="none" w:sz="0" w:space="0" w:color="auto"/>
                        <w:left w:val="none" w:sz="0" w:space="0" w:color="auto"/>
                        <w:bottom w:val="none" w:sz="0" w:space="0" w:color="auto"/>
                        <w:right w:val="none" w:sz="0" w:space="0" w:color="auto"/>
                      </w:divBdr>
                      <w:divsChild>
                        <w:div w:id="1290042234">
                          <w:marLeft w:val="0"/>
                          <w:marRight w:val="0"/>
                          <w:marTop w:val="0"/>
                          <w:marBottom w:val="0"/>
                          <w:divBdr>
                            <w:top w:val="none" w:sz="0" w:space="0" w:color="auto"/>
                            <w:left w:val="none" w:sz="0" w:space="0" w:color="auto"/>
                            <w:bottom w:val="none" w:sz="0" w:space="0" w:color="auto"/>
                            <w:right w:val="none" w:sz="0" w:space="0" w:color="auto"/>
                          </w:divBdr>
                          <w:divsChild>
                            <w:div w:id="1762873325">
                              <w:marLeft w:val="0"/>
                              <w:marRight w:val="0"/>
                              <w:marTop w:val="0"/>
                              <w:marBottom w:val="0"/>
                              <w:divBdr>
                                <w:top w:val="none" w:sz="0" w:space="0" w:color="auto"/>
                                <w:left w:val="none" w:sz="0" w:space="0" w:color="auto"/>
                                <w:bottom w:val="none" w:sz="0" w:space="0" w:color="auto"/>
                                <w:right w:val="none" w:sz="0" w:space="0" w:color="auto"/>
                              </w:divBdr>
                              <w:divsChild>
                                <w:div w:id="111562420">
                                  <w:marLeft w:val="0"/>
                                  <w:marRight w:val="0"/>
                                  <w:marTop w:val="0"/>
                                  <w:marBottom w:val="0"/>
                                  <w:divBdr>
                                    <w:top w:val="none" w:sz="0" w:space="0" w:color="auto"/>
                                    <w:left w:val="none" w:sz="0" w:space="0" w:color="auto"/>
                                    <w:bottom w:val="none" w:sz="0" w:space="0" w:color="auto"/>
                                    <w:right w:val="none" w:sz="0" w:space="0" w:color="auto"/>
                                  </w:divBdr>
                                  <w:divsChild>
                                    <w:div w:id="1545024462">
                                      <w:marLeft w:val="0"/>
                                      <w:marRight w:val="0"/>
                                      <w:marTop w:val="0"/>
                                      <w:marBottom w:val="0"/>
                                      <w:divBdr>
                                        <w:top w:val="none" w:sz="0" w:space="0" w:color="auto"/>
                                        <w:left w:val="none" w:sz="0" w:space="0" w:color="auto"/>
                                        <w:bottom w:val="none" w:sz="0" w:space="0" w:color="auto"/>
                                        <w:right w:val="none" w:sz="0" w:space="0" w:color="auto"/>
                                      </w:divBdr>
                                      <w:divsChild>
                                        <w:div w:id="94958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5398138">
          <w:marLeft w:val="0"/>
          <w:marRight w:val="0"/>
          <w:marTop w:val="0"/>
          <w:marBottom w:val="0"/>
          <w:divBdr>
            <w:top w:val="none" w:sz="0" w:space="0" w:color="auto"/>
            <w:left w:val="none" w:sz="0" w:space="0" w:color="auto"/>
            <w:bottom w:val="none" w:sz="0" w:space="0" w:color="auto"/>
            <w:right w:val="none" w:sz="0" w:space="0" w:color="auto"/>
          </w:divBdr>
          <w:divsChild>
            <w:div w:id="177279322">
              <w:marLeft w:val="0"/>
              <w:marRight w:val="0"/>
              <w:marTop w:val="0"/>
              <w:marBottom w:val="0"/>
              <w:divBdr>
                <w:top w:val="none" w:sz="0" w:space="0" w:color="auto"/>
                <w:left w:val="none" w:sz="0" w:space="0" w:color="auto"/>
                <w:bottom w:val="none" w:sz="0" w:space="0" w:color="auto"/>
                <w:right w:val="none" w:sz="0" w:space="0" w:color="auto"/>
              </w:divBdr>
              <w:divsChild>
                <w:div w:id="332152346">
                  <w:marLeft w:val="0"/>
                  <w:marRight w:val="0"/>
                  <w:marTop w:val="0"/>
                  <w:marBottom w:val="0"/>
                  <w:divBdr>
                    <w:top w:val="none" w:sz="0" w:space="0" w:color="auto"/>
                    <w:left w:val="none" w:sz="0" w:space="0" w:color="auto"/>
                    <w:bottom w:val="none" w:sz="0" w:space="0" w:color="auto"/>
                    <w:right w:val="none" w:sz="0" w:space="0" w:color="auto"/>
                  </w:divBdr>
                  <w:divsChild>
                    <w:div w:id="1440756503">
                      <w:marLeft w:val="0"/>
                      <w:marRight w:val="0"/>
                      <w:marTop w:val="0"/>
                      <w:marBottom w:val="0"/>
                      <w:divBdr>
                        <w:top w:val="none" w:sz="0" w:space="0" w:color="auto"/>
                        <w:left w:val="none" w:sz="0" w:space="0" w:color="auto"/>
                        <w:bottom w:val="none" w:sz="0" w:space="0" w:color="auto"/>
                        <w:right w:val="none" w:sz="0" w:space="0" w:color="auto"/>
                      </w:divBdr>
                      <w:divsChild>
                        <w:div w:id="1275363322">
                          <w:marLeft w:val="0"/>
                          <w:marRight w:val="0"/>
                          <w:marTop w:val="0"/>
                          <w:marBottom w:val="0"/>
                          <w:divBdr>
                            <w:top w:val="none" w:sz="0" w:space="0" w:color="auto"/>
                            <w:left w:val="none" w:sz="0" w:space="0" w:color="auto"/>
                            <w:bottom w:val="none" w:sz="0" w:space="0" w:color="auto"/>
                            <w:right w:val="none" w:sz="0" w:space="0" w:color="auto"/>
                          </w:divBdr>
                          <w:divsChild>
                            <w:div w:id="47922002">
                              <w:marLeft w:val="0"/>
                              <w:marRight w:val="0"/>
                              <w:marTop w:val="0"/>
                              <w:marBottom w:val="0"/>
                              <w:divBdr>
                                <w:top w:val="none" w:sz="0" w:space="0" w:color="auto"/>
                                <w:left w:val="none" w:sz="0" w:space="0" w:color="auto"/>
                                <w:bottom w:val="none" w:sz="0" w:space="0" w:color="auto"/>
                                <w:right w:val="none" w:sz="0" w:space="0" w:color="auto"/>
                              </w:divBdr>
                              <w:divsChild>
                                <w:div w:id="1313831287">
                                  <w:marLeft w:val="0"/>
                                  <w:marRight w:val="0"/>
                                  <w:marTop w:val="0"/>
                                  <w:marBottom w:val="0"/>
                                  <w:divBdr>
                                    <w:top w:val="none" w:sz="0" w:space="0" w:color="auto"/>
                                    <w:left w:val="none" w:sz="0" w:space="0" w:color="auto"/>
                                    <w:bottom w:val="none" w:sz="0" w:space="0" w:color="auto"/>
                                    <w:right w:val="none" w:sz="0" w:space="0" w:color="auto"/>
                                  </w:divBdr>
                                  <w:divsChild>
                                    <w:div w:id="993491745">
                                      <w:marLeft w:val="0"/>
                                      <w:marRight w:val="0"/>
                                      <w:marTop w:val="0"/>
                                      <w:marBottom w:val="0"/>
                                      <w:divBdr>
                                        <w:top w:val="none" w:sz="0" w:space="0" w:color="auto"/>
                                        <w:left w:val="none" w:sz="0" w:space="0" w:color="auto"/>
                                        <w:bottom w:val="none" w:sz="0" w:space="0" w:color="auto"/>
                                        <w:right w:val="none" w:sz="0" w:space="0" w:color="auto"/>
                                      </w:divBdr>
                                      <w:divsChild>
                                        <w:div w:id="160067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4374886">
          <w:marLeft w:val="0"/>
          <w:marRight w:val="0"/>
          <w:marTop w:val="0"/>
          <w:marBottom w:val="0"/>
          <w:divBdr>
            <w:top w:val="none" w:sz="0" w:space="0" w:color="auto"/>
            <w:left w:val="none" w:sz="0" w:space="0" w:color="auto"/>
            <w:bottom w:val="none" w:sz="0" w:space="0" w:color="auto"/>
            <w:right w:val="none" w:sz="0" w:space="0" w:color="auto"/>
          </w:divBdr>
          <w:divsChild>
            <w:div w:id="217863806">
              <w:marLeft w:val="0"/>
              <w:marRight w:val="0"/>
              <w:marTop w:val="0"/>
              <w:marBottom w:val="0"/>
              <w:divBdr>
                <w:top w:val="none" w:sz="0" w:space="0" w:color="auto"/>
                <w:left w:val="none" w:sz="0" w:space="0" w:color="auto"/>
                <w:bottom w:val="none" w:sz="0" w:space="0" w:color="auto"/>
                <w:right w:val="none" w:sz="0" w:space="0" w:color="auto"/>
              </w:divBdr>
              <w:divsChild>
                <w:div w:id="1781102931">
                  <w:marLeft w:val="0"/>
                  <w:marRight w:val="0"/>
                  <w:marTop w:val="0"/>
                  <w:marBottom w:val="0"/>
                  <w:divBdr>
                    <w:top w:val="none" w:sz="0" w:space="0" w:color="auto"/>
                    <w:left w:val="none" w:sz="0" w:space="0" w:color="auto"/>
                    <w:bottom w:val="none" w:sz="0" w:space="0" w:color="auto"/>
                    <w:right w:val="none" w:sz="0" w:space="0" w:color="auto"/>
                  </w:divBdr>
                  <w:divsChild>
                    <w:div w:id="2100179717">
                      <w:marLeft w:val="0"/>
                      <w:marRight w:val="0"/>
                      <w:marTop w:val="0"/>
                      <w:marBottom w:val="0"/>
                      <w:divBdr>
                        <w:top w:val="none" w:sz="0" w:space="0" w:color="auto"/>
                        <w:left w:val="none" w:sz="0" w:space="0" w:color="auto"/>
                        <w:bottom w:val="none" w:sz="0" w:space="0" w:color="auto"/>
                        <w:right w:val="none" w:sz="0" w:space="0" w:color="auto"/>
                      </w:divBdr>
                      <w:divsChild>
                        <w:div w:id="133761708">
                          <w:marLeft w:val="0"/>
                          <w:marRight w:val="0"/>
                          <w:marTop w:val="0"/>
                          <w:marBottom w:val="0"/>
                          <w:divBdr>
                            <w:top w:val="none" w:sz="0" w:space="0" w:color="auto"/>
                            <w:left w:val="none" w:sz="0" w:space="0" w:color="auto"/>
                            <w:bottom w:val="none" w:sz="0" w:space="0" w:color="auto"/>
                            <w:right w:val="none" w:sz="0" w:space="0" w:color="auto"/>
                          </w:divBdr>
                          <w:divsChild>
                            <w:div w:id="333385959">
                              <w:marLeft w:val="0"/>
                              <w:marRight w:val="0"/>
                              <w:marTop w:val="0"/>
                              <w:marBottom w:val="0"/>
                              <w:divBdr>
                                <w:top w:val="none" w:sz="0" w:space="0" w:color="auto"/>
                                <w:left w:val="none" w:sz="0" w:space="0" w:color="auto"/>
                                <w:bottom w:val="none" w:sz="0" w:space="0" w:color="auto"/>
                                <w:right w:val="none" w:sz="0" w:space="0" w:color="auto"/>
                              </w:divBdr>
                              <w:divsChild>
                                <w:div w:id="912544004">
                                  <w:marLeft w:val="0"/>
                                  <w:marRight w:val="0"/>
                                  <w:marTop w:val="0"/>
                                  <w:marBottom w:val="0"/>
                                  <w:divBdr>
                                    <w:top w:val="none" w:sz="0" w:space="0" w:color="auto"/>
                                    <w:left w:val="none" w:sz="0" w:space="0" w:color="auto"/>
                                    <w:bottom w:val="none" w:sz="0" w:space="0" w:color="auto"/>
                                    <w:right w:val="none" w:sz="0" w:space="0" w:color="auto"/>
                                  </w:divBdr>
                                  <w:divsChild>
                                    <w:div w:id="31997320">
                                      <w:marLeft w:val="0"/>
                                      <w:marRight w:val="0"/>
                                      <w:marTop w:val="0"/>
                                      <w:marBottom w:val="0"/>
                                      <w:divBdr>
                                        <w:top w:val="none" w:sz="0" w:space="0" w:color="auto"/>
                                        <w:left w:val="none" w:sz="0" w:space="0" w:color="auto"/>
                                        <w:bottom w:val="none" w:sz="0" w:space="0" w:color="auto"/>
                                        <w:right w:val="none" w:sz="0" w:space="0" w:color="auto"/>
                                      </w:divBdr>
                                      <w:divsChild>
                                        <w:div w:id="184231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9857737">
          <w:marLeft w:val="0"/>
          <w:marRight w:val="0"/>
          <w:marTop w:val="0"/>
          <w:marBottom w:val="0"/>
          <w:divBdr>
            <w:top w:val="none" w:sz="0" w:space="0" w:color="auto"/>
            <w:left w:val="none" w:sz="0" w:space="0" w:color="auto"/>
            <w:bottom w:val="none" w:sz="0" w:space="0" w:color="auto"/>
            <w:right w:val="none" w:sz="0" w:space="0" w:color="auto"/>
          </w:divBdr>
          <w:divsChild>
            <w:div w:id="543641564">
              <w:marLeft w:val="0"/>
              <w:marRight w:val="0"/>
              <w:marTop w:val="0"/>
              <w:marBottom w:val="0"/>
              <w:divBdr>
                <w:top w:val="none" w:sz="0" w:space="0" w:color="auto"/>
                <w:left w:val="none" w:sz="0" w:space="0" w:color="auto"/>
                <w:bottom w:val="none" w:sz="0" w:space="0" w:color="auto"/>
                <w:right w:val="none" w:sz="0" w:space="0" w:color="auto"/>
              </w:divBdr>
              <w:divsChild>
                <w:div w:id="374619124">
                  <w:marLeft w:val="0"/>
                  <w:marRight w:val="0"/>
                  <w:marTop w:val="0"/>
                  <w:marBottom w:val="0"/>
                  <w:divBdr>
                    <w:top w:val="none" w:sz="0" w:space="0" w:color="auto"/>
                    <w:left w:val="none" w:sz="0" w:space="0" w:color="auto"/>
                    <w:bottom w:val="none" w:sz="0" w:space="0" w:color="auto"/>
                    <w:right w:val="none" w:sz="0" w:space="0" w:color="auto"/>
                  </w:divBdr>
                  <w:divsChild>
                    <w:div w:id="64645808">
                      <w:marLeft w:val="0"/>
                      <w:marRight w:val="0"/>
                      <w:marTop w:val="0"/>
                      <w:marBottom w:val="0"/>
                      <w:divBdr>
                        <w:top w:val="none" w:sz="0" w:space="0" w:color="auto"/>
                        <w:left w:val="none" w:sz="0" w:space="0" w:color="auto"/>
                        <w:bottom w:val="none" w:sz="0" w:space="0" w:color="auto"/>
                        <w:right w:val="none" w:sz="0" w:space="0" w:color="auto"/>
                      </w:divBdr>
                      <w:divsChild>
                        <w:div w:id="15231024">
                          <w:marLeft w:val="0"/>
                          <w:marRight w:val="0"/>
                          <w:marTop w:val="0"/>
                          <w:marBottom w:val="0"/>
                          <w:divBdr>
                            <w:top w:val="none" w:sz="0" w:space="0" w:color="auto"/>
                            <w:left w:val="none" w:sz="0" w:space="0" w:color="auto"/>
                            <w:bottom w:val="none" w:sz="0" w:space="0" w:color="auto"/>
                            <w:right w:val="none" w:sz="0" w:space="0" w:color="auto"/>
                          </w:divBdr>
                          <w:divsChild>
                            <w:div w:id="349644299">
                              <w:marLeft w:val="0"/>
                              <w:marRight w:val="0"/>
                              <w:marTop w:val="0"/>
                              <w:marBottom w:val="0"/>
                              <w:divBdr>
                                <w:top w:val="none" w:sz="0" w:space="0" w:color="auto"/>
                                <w:left w:val="none" w:sz="0" w:space="0" w:color="auto"/>
                                <w:bottom w:val="none" w:sz="0" w:space="0" w:color="auto"/>
                                <w:right w:val="none" w:sz="0" w:space="0" w:color="auto"/>
                              </w:divBdr>
                              <w:divsChild>
                                <w:div w:id="1017387958">
                                  <w:marLeft w:val="0"/>
                                  <w:marRight w:val="0"/>
                                  <w:marTop w:val="0"/>
                                  <w:marBottom w:val="0"/>
                                  <w:divBdr>
                                    <w:top w:val="none" w:sz="0" w:space="0" w:color="auto"/>
                                    <w:left w:val="none" w:sz="0" w:space="0" w:color="auto"/>
                                    <w:bottom w:val="none" w:sz="0" w:space="0" w:color="auto"/>
                                    <w:right w:val="none" w:sz="0" w:space="0" w:color="auto"/>
                                  </w:divBdr>
                                  <w:divsChild>
                                    <w:div w:id="88109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291824">
                          <w:marLeft w:val="0"/>
                          <w:marRight w:val="0"/>
                          <w:marTop w:val="0"/>
                          <w:marBottom w:val="0"/>
                          <w:divBdr>
                            <w:top w:val="none" w:sz="0" w:space="0" w:color="auto"/>
                            <w:left w:val="none" w:sz="0" w:space="0" w:color="auto"/>
                            <w:bottom w:val="none" w:sz="0" w:space="0" w:color="auto"/>
                            <w:right w:val="none" w:sz="0" w:space="0" w:color="auto"/>
                          </w:divBdr>
                          <w:divsChild>
                            <w:div w:id="91166177">
                              <w:marLeft w:val="0"/>
                              <w:marRight w:val="0"/>
                              <w:marTop w:val="0"/>
                              <w:marBottom w:val="0"/>
                              <w:divBdr>
                                <w:top w:val="none" w:sz="0" w:space="0" w:color="auto"/>
                                <w:left w:val="none" w:sz="0" w:space="0" w:color="auto"/>
                                <w:bottom w:val="none" w:sz="0" w:space="0" w:color="auto"/>
                                <w:right w:val="none" w:sz="0" w:space="0" w:color="auto"/>
                              </w:divBdr>
                              <w:divsChild>
                                <w:div w:id="473760318">
                                  <w:marLeft w:val="0"/>
                                  <w:marRight w:val="0"/>
                                  <w:marTop w:val="0"/>
                                  <w:marBottom w:val="0"/>
                                  <w:divBdr>
                                    <w:top w:val="none" w:sz="0" w:space="0" w:color="auto"/>
                                    <w:left w:val="none" w:sz="0" w:space="0" w:color="auto"/>
                                    <w:bottom w:val="none" w:sz="0" w:space="0" w:color="auto"/>
                                    <w:right w:val="none" w:sz="0" w:space="0" w:color="auto"/>
                                  </w:divBdr>
                                  <w:divsChild>
                                    <w:div w:id="78932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740148">
                  <w:marLeft w:val="0"/>
                  <w:marRight w:val="0"/>
                  <w:marTop w:val="0"/>
                  <w:marBottom w:val="0"/>
                  <w:divBdr>
                    <w:top w:val="none" w:sz="0" w:space="0" w:color="auto"/>
                    <w:left w:val="none" w:sz="0" w:space="0" w:color="auto"/>
                    <w:bottom w:val="none" w:sz="0" w:space="0" w:color="auto"/>
                    <w:right w:val="none" w:sz="0" w:space="0" w:color="auto"/>
                  </w:divBdr>
                  <w:divsChild>
                    <w:div w:id="1872766059">
                      <w:marLeft w:val="0"/>
                      <w:marRight w:val="0"/>
                      <w:marTop w:val="0"/>
                      <w:marBottom w:val="0"/>
                      <w:divBdr>
                        <w:top w:val="none" w:sz="0" w:space="0" w:color="auto"/>
                        <w:left w:val="none" w:sz="0" w:space="0" w:color="auto"/>
                        <w:bottom w:val="none" w:sz="0" w:space="0" w:color="auto"/>
                        <w:right w:val="none" w:sz="0" w:space="0" w:color="auto"/>
                      </w:divBdr>
                      <w:divsChild>
                        <w:div w:id="1133477326">
                          <w:marLeft w:val="0"/>
                          <w:marRight w:val="0"/>
                          <w:marTop w:val="0"/>
                          <w:marBottom w:val="0"/>
                          <w:divBdr>
                            <w:top w:val="none" w:sz="0" w:space="0" w:color="auto"/>
                            <w:left w:val="none" w:sz="0" w:space="0" w:color="auto"/>
                            <w:bottom w:val="none" w:sz="0" w:space="0" w:color="auto"/>
                            <w:right w:val="none" w:sz="0" w:space="0" w:color="auto"/>
                          </w:divBdr>
                          <w:divsChild>
                            <w:div w:id="1379937879">
                              <w:marLeft w:val="0"/>
                              <w:marRight w:val="0"/>
                              <w:marTop w:val="0"/>
                              <w:marBottom w:val="0"/>
                              <w:divBdr>
                                <w:top w:val="none" w:sz="0" w:space="0" w:color="auto"/>
                                <w:left w:val="none" w:sz="0" w:space="0" w:color="auto"/>
                                <w:bottom w:val="none" w:sz="0" w:space="0" w:color="auto"/>
                                <w:right w:val="none" w:sz="0" w:space="0" w:color="auto"/>
                              </w:divBdr>
                              <w:divsChild>
                                <w:div w:id="184184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1425664">
          <w:marLeft w:val="0"/>
          <w:marRight w:val="0"/>
          <w:marTop w:val="0"/>
          <w:marBottom w:val="0"/>
          <w:divBdr>
            <w:top w:val="none" w:sz="0" w:space="0" w:color="auto"/>
            <w:left w:val="none" w:sz="0" w:space="0" w:color="auto"/>
            <w:bottom w:val="none" w:sz="0" w:space="0" w:color="auto"/>
            <w:right w:val="none" w:sz="0" w:space="0" w:color="auto"/>
          </w:divBdr>
          <w:divsChild>
            <w:div w:id="1198279300">
              <w:marLeft w:val="0"/>
              <w:marRight w:val="0"/>
              <w:marTop w:val="0"/>
              <w:marBottom w:val="0"/>
              <w:divBdr>
                <w:top w:val="none" w:sz="0" w:space="0" w:color="auto"/>
                <w:left w:val="none" w:sz="0" w:space="0" w:color="auto"/>
                <w:bottom w:val="none" w:sz="0" w:space="0" w:color="auto"/>
                <w:right w:val="none" w:sz="0" w:space="0" w:color="auto"/>
              </w:divBdr>
              <w:divsChild>
                <w:div w:id="1013074687">
                  <w:marLeft w:val="0"/>
                  <w:marRight w:val="0"/>
                  <w:marTop w:val="0"/>
                  <w:marBottom w:val="0"/>
                  <w:divBdr>
                    <w:top w:val="none" w:sz="0" w:space="0" w:color="auto"/>
                    <w:left w:val="none" w:sz="0" w:space="0" w:color="auto"/>
                    <w:bottom w:val="none" w:sz="0" w:space="0" w:color="auto"/>
                    <w:right w:val="none" w:sz="0" w:space="0" w:color="auto"/>
                  </w:divBdr>
                  <w:divsChild>
                    <w:div w:id="508521618">
                      <w:marLeft w:val="0"/>
                      <w:marRight w:val="0"/>
                      <w:marTop w:val="0"/>
                      <w:marBottom w:val="0"/>
                      <w:divBdr>
                        <w:top w:val="none" w:sz="0" w:space="0" w:color="auto"/>
                        <w:left w:val="none" w:sz="0" w:space="0" w:color="auto"/>
                        <w:bottom w:val="none" w:sz="0" w:space="0" w:color="auto"/>
                        <w:right w:val="none" w:sz="0" w:space="0" w:color="auto"/>
                      </w:divBdr>
                      <w:divsChild>
                        <w:div w:id="511069090">
                          <w:marLeft w:val="0"/>
                          <w:marRight w:val="0"/>
                          <w:marTop w:val="0"/>
                          <w:marBottom w:val="0"/>
                          <w:divBdr>
                            <w:top w:val="none" w:sz="0" w:space="0" w:color="auto"/>
                            <w:left w:val="none" w:sz="0" w:space="0" w:color="auto"/>
                            <w:bottom w:val="none" w:sz="0" w:space="0" w:color="auto"/>
                            <w:right w:val="none" w:sz="0" w:space="0" w:color="auto"/>
                          </w:divBdr>
                          <w:divsChild>
                            <w:div w:id="483594525">
                              <w:marLeft w:val="0"/>
                              <w:marRight w:val="0"/>
                              <w:marTop w:val="0"/>
                              <w:marBottom w:val="0"/>
                              <w:divBdr>
                                <w:top w:val="none" w:sz="0" w:space="0" w:color="auto"/>
                                <w:left w:val="none" w:sz="0" w:space="0" w:color="auto"/>
                                <w:bottom w:val="none" w:sz="0" w:space="0" w:color="auto"/>
                                <w:right w:val="none" w:sz="0" w:space="0" w:color="auto"/>
                              </w:divBdr>
                              <w:divsChild>
                                <w:div w:id="396318617">
                                  <w:marLeft w:val="0"/>
                                  <w:marRight w:val="0"/>
                                  <w:marTop w:val="0"/>
                                  <w:marBottom w:val="0"/>
                                  <w:divBdr>
                                    <w:top w:val="none" w:sz="0" w:space="0" w:color="auto"/>
                                    <w:left w:val="none" w:sz="0" w:space="0" w:color="auto"/>
                                    <w:bottom w:val="none" w:sz="0" w:space="0" w:color="auto"/>
                                    <w:right w:val="none" w:sz="0" w:space="0" w:color="auto"/>
                                  </w:divBdr>
                                  <w:divsChild>
                                    <w:div w:id="926620287">
                                      <w:marLeft w:val="0"/>
                                      <w:marRight w:val="0"/>
                                      <w:marTop w:val="0"/>
                                      <w:marBottom w:val="0"/>
                                      <w:divBdr>
                                        <w:top w:val="none" w:sz="0" w:space="0" w:color="auto"/>
                                        <w:left w:val="none" w:sz="0" w:space="0" w:color="auto"/>
                                        <w:bottom w:val="none" w:sz="0" w:space="0" w:color="auto"/>
                                        <w:right w:val="none" w:sz="0" w:space="0" w:color="auto"/>
                                      </w:divBdr>
                                      <w:divsChild>
                                        <w:div w:id="211238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5538255">
          <w:marLeft w:val="0"/>
          <w:marRight w:val="0"/>
          <w:marTop w:val="0"/>
          <w:marBottom w:val="0"/>
          <w:divBdr>
            <w:top w:val="none" w:sz="0" w:space="0" w:color="auto"/>
            <w:left w:val="none" w:sz="0" w:space="0" w:color="auto"/>
            <w:bottom w:val="none" w:sz="0" w:space="0" w:color="auto"/>
            <w:right w:val="none" w:sz="0" w:space="0" w:color="auto"/>
          </w:divBdr>
          <w:divsChild>
            <w:div w:id="1930842717">
              <w:marLeft w:val="0"/>
              <w:marRight w:val="0"/>
              <w:marTop w:val="0"/>
              <w:marBottom w:val="0"/>
              <w:divBdr>
                <w:top w:val="none" w:sz="0" w:space="0" w:color="auto"/>
                <w:left w:val="none" w:sz="0" w:space="0" w:color="auto"/>
                <w:bottom w:val="none" w:sz="0" w:space="0" w:color="auto"/>
                <w:right w:val="none" w:sz="0" w:space="0" w:color="auto"/>
              </w:divBdr>
              <w:divsChild>
                <w:div w:id="1103767798">
                  <w:marLeft w:val="0"/>
                  <w:marRight w:val="0"/>
                  <w:marTop w:val="0"/>
                  <w:marBottom w:val="0"/>
                  <w:divBdr>
                    <w:top w:val="none" w:sz="0" w:space="0" w:color="auto"/>
                    <w:left w:val="none" w:sz="0" w:space="0" w:color="auto"/>
                    <w:bottom w:val="none" w:sz="0" w:space="0" w:color="auto"/>
                    <w:right w:val="none" w:sz="0" w:space="0" w:color="auto"/>
                  </w:divBdr>
                  <w:divsChild>
                    <w:div w:id="325671934">
                      <w:marLeft w:val="0"/>
                      <w:marRight w:val="0"/>
                      <w:marTop w:val="0"/>
                      <w:marBottom w:val="0"/>
                      <w:divBdr>
                        <w:top w:val="none" w:sz="0" w:space="0" w:color="auto"/>
                        <w:left w:val="none" w:sz="0" w:space="0" w:color="auto"/>
                        <w:bottom w:val="none" w:sz="0" w:space="0" w:color="auto"/>
                        <w:right w:val="none" w:sz="0" w:space="0" w:color="auto"/>
                      </w:divBdr>
                      <w:divsChild>
                        <w:div w:id="1128933045">
                          <w:marLeft w:val="0"/>
                          <w:marRight w:val="0"/>
                          <w:marTop w:val="0"/>
                          <w:marBottom w:val="0"/>
                          <w:divBdr>
                            <w:top w:val="none" w:sz="0" w:space="0" w:color="auto"/>
                            <w:left w:val="none" w:sz="0" w:space="0" w:color="auto"/>
                            <w:bottom w:val="none" w:sz="0" w:space="0" w:color="auto"/>
                            <w:right w:val="none" w:sz="0" w:space="0" w:color="auto"/>
                          </w:divBdr>
                          <w:divsChild>
                            <w:div w:id="637997773">
                              <w:marLeft w:val="0"/>
                              <w:marRight w:val="0"/>
                              <w:marTop w:val="0"/>
                              <w:marBottom w:val="0"/>
                              <w:divBdr>
                                <w:top w:val="none" w:sz="0" w:space="0" w:color="auto"/>
                                <w:left w:val="none" w:sz="0" w:space="0" w:color="auto"/>
                                <w:bottom w:val="none" w:sz="0" w:space="0" w:color="auto"/>
                                <w:right w:val="none" w:sz="0" w:space="0" w:color="auto"/>
                              </w:divBdr>
                              <w:divsChild>
                                <w:div w:id="1568102314">
                                  <w:marLeft w:val="0"/>
                                  <w:marRight w:val="0"/>
                                  <w:marTop w:val="0"/>
                                  <w:marBottom w:val="0"/>
                                  <w:divBdr>
                                    <w:top w:val="none" w:sz="0" w:space="0" w:color="auto"/>
                                    <w:left w:val="none" w:sz="0" w:space="0" w:color="auto"/>
                                    <w:bottom w:val="none" w:sz="0" w:space="0" w:color="auto"/>
                                    <w:right w:val="none" w:sz="0" w:space="0" w:color="auto"/>
                                  </w:divBdr>
                                  <w:divsChild>
                                    <w:div w:id="12640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344384">
                          <w:marLeft w:val="0"/>
                          <w:marRight w:val="0"/>
                          <w:marTop w:val="0"/>
                          <w:marBottom w:val="0"/>
                          <w:divBdr>
                            <w:top w:val="none" w:sz="0" w:space="0" w:color="auto"/>
                            <w:left w:val="none" w:sz="0" w:space="0" w:color="auto"/>
                            <w:bottom w:val="none" w:sz="0" w:space="0" w:color="auto"/>
                            <w:right w:val="none" w:sz="0" w:space="0" w:color="auto"/>
                          </w:divBdr>
                          <w:divsChild>
                            <w:div w:id="1559395489">
                              <w:marLeft w:val="0"/>
                              <w:marRight w:val="0"/>
                              <w:marTop w:val="0"/>
                              <w:marBottom w:val="0"/>
                              <w:divBdr>
                                <w:top w:val="none" w:sz="0" w:space="0" w:color="auto"/>
                                <w:left w:val="none" w:sz="0" w:space="0" w:color="auto"/>
                                <w:bottom w:val="none" w:sz="0" w:space="0" w:color="auto"/>
                                <w:right w:val="none" w:sz="0" w:space="0" w:color="auto"/>
                              </w:divBdr>
                              <w:divsChild>
                                <w:div w:id="1900049435">
                                  <w:marLeft w:val="0"/>
                                  <w:marRight w:val="0"/>
                                  <w:marTop w:val="0"/>
                                  <w:marBottom w:val="0"/>
                                  <w:divBdr>
                                    <w:top w:val="none" w:sz="0" w:space="0" w:color="auto"/>
                                    <w:left w:val="none" w:sz="0" w:space="0" w:color="auto"/>
                                    <w:bottom w:val="none" w:sz="0" w:space="0" w:color="auto"/>
                                    <w:right w:val="none" w:sz="0" w:space="0" w:color="auto"/>
                                  </w:divBdr>
                                  <w:divsChild>
                                    <w:div w:id="10454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7859994">
                  <w:marLeft w:val="0"/>
                  <w:marRight w:val="0"/>
                  <w:marTop w:val="0"/>
                  <w:marBottom w:val="0"/>
                  <w:divBdr>
                    <w:top w:val="none" w:sz="0" w:space="0" w:color="auto"/>
                    <w:left w:val="none" w:sz="0" w:space="0" w:color="auto"/>
                    <w:bottom w:val="none" w:sz="0" w:space="0" w:color="auto"/>
                    <w:right w:val="none" w:sz="0" w:space="0" w:color="auto"/>
                  </w:divBdr>
                  <w:divsChild>
                    <w:div w:id="11808693">
                      <w:marLeft w:val="0"/>
                      <w:marRight w:val="0"/>
                      <w:marTop w:val="0"/>
                      <w:marBottom w:val="0"/>
                      <w:divBdr>
                        <w:top w:val="none" w:sz="0" w:space="0" w:color="auto"/>
                        <w:left w:val="none" w:sz="0" w:space="0" w:color="auto"/>
                        <w:bottom w:val="none" w:sz="0" w:space="0" w:color="auto"/>
                        <w:right w:val="none" w:sz="0" w:space="0" w:color="auto"/>
                      </w:divBdr>
                      <w:divsChild>
                        <w:div w:id="245237277">
                          <w:marLeft w:val="0"/>
                          <w:marRight w:val="0"/>
                          <w:marTop w:val="0"/>
                          <w:marBottom w:val="0"/>
                          <w:divBdr>
                            <w:top w:val="none" w:sz="0" w:space="0" w:color="auto"/>
                            <w:left w:val="none" w:sz="0" w:space="0" w:color="auto"/>
                            <w:bottom w:val="none" w:sz="0" w:space="0" w:color="auto"/>
                            <w:right w:val="none" w:sz="0" w:space="0" w:color="auto"/>
                          </w:divBdr>
                          <w:divsChild>
                            <w:div w:id="523905878">
                              <w:marLeft w:val="0"/>
                              <w:marRight w:val="0"/>
                              <w:marTop w:val="0"/>
                              <w:marBottom w:val="0"/>
                              <w:divBdr>
                                <w:top w:val="none" w:sz="0" w:space="0" w:color="auto"/>
                                <w:left w:val="none" w:sz="0" w:space="0" w:color="auto"/>
                                <w:bottom w:val="none" w:sz="0" w:space="0" w:color="auto"/>
                                <w:right w:val="none" w:sz="0" w:space="0" w:color="auto"/>
                              </w:divBdr>
                              <w:divsChild>
                                <w:div w:id="81861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07962">
          <w:marLeft w:val="0"/>
          <w:marRight w:val="0"/>
          <w:marTop w:val="0"/>
          <w:marBottom w:val="0"/>
          <w:divBdr>
            <w:top w:val="none" w:sz="0" w:space="0" w:color="auto"/>
            <w:left w:val="none" w:sz="0" w:space="0" w:color="auto"/>
            <w:bottom w:val="none" w:sz="0" w:space="0" w:color="auto"/>
            <w:right w:val="none" w:sz="0" w:space="0" w:color="auto"/>
          </w:divBdr>
          <w:divsChild>
            <w:div w:id="705833736">
              <w:marLeft w:val="0"/>
              <w:marRight w:val="0"/>
              <w:marTop w:val="0"/>
              <w:marBottom w:val="0"/>
              <w:divBdr>
                <w:top w:val="none" w:sz="0" w:space="0" w:color="auto"/>
                <w:left w:val="none" w:sz="0" w:space="0" w:color="auto"/>
                <w:bottom w:val="none" w:sz="0" w:space="0" w:color="auto"/>
                <w:right w:val="none" w:sz="0" w:space="0" w:color="auto"/>
              </w:divBdr>
              <w:divsChild>
                <w:div w:id="418720208">
                  <w:marLeft w:val="0"/>
                  <w:marRight w:val="0"/>
                  <w:marTop w:val="0"/>
                  <w:marBottom w:val="0"/>
                  <w:divBdr>
                    <w:top w:val="none" w:sz="0" w:space="0" w:color="auto"/>
                    <w:left w:val="none" w:sz="0" w:space="0" w:color="auto"/>
                    <w:bottom w:val="none" w:sz="0" w:space="0" w:color="auto"/>
                    <w:right w:val="none" w:sz="0" w:space="0" w:color="auto"/>
                  </w:divBdr>
                  <w:divsChild>
                    <w:div w:id="669066700">
                      <w:marLeft w:val="0"/>
                      <w:marRight w:val="0"/>
                      <w:marTop w:val="0"/>
                      <w:marBottom w:val="0"/>
                      <w:divBdr>
                        <w:top w:val="none" w:sz="0" w:space="0" w:color="auto"/>
                        <w:left w:val="none" w:sz="0" w:space="0" w:color="auto"/>
                        <w:bottom w:val="none" w:sz="0" w:space="0" w:color="auto"/>
                        <w:right w:val="none" w:sz="0" w:space="0" w:color="auto"/>
                      </w:divBdr>
                      <w:divsChild>
                        <w:div w:id="350760313">
                          <w:marLeft w:val="0"/>
                          <w:marRight w:val="0"/>
                          <w:marTop w:val="0"/>
                          <w:marBottom w:val="0"/>
                          <w:divBdr>
                            <w:top w:val="none" w:sz="0" w:space="0" w:color="auto"/>
                            <w:left w:val="none" w:sz="0" w:space="0" w:color="auto"/>
                            <w:bottom w:val="none" w:sz="0" w:space="0" w:color="auto"/>
                            <w:right w:val="none" w:sz="0" w:space="0" w:color="auto"/>
                          </w:divBdr>
                          <w:divsChild>
                            <w:div w:id="1892689533">
                              <w:marLeft w:val="0"/>
                              <w:marRight w:val="0"/>
                              <w:marTop w:val="0"/>
                              <w:marBottom w:val="0"/>
                              <w:divBdr>
                                <w:top w:val="none" w:sz="0" w:space="0" w:color="auto"/>
                                <w:left w:val="none" w:sz="0" w:space="0" w:color="auto"/>
                                <w:bottom w:val="none" w:sz="0" w:space="0" w:color="auto"/>
                                <w:right w:val="none" w:sz="0" w:space="0" w:color="auto"/>
                              </w:divBdr>
                              <w:divsChild>
                                <w:div w:id="909077361">
                                  <w:marLeft w:val="0"/>
                                  <w:marRight w:val="0"/>
                                  <w:marTop w:val="0"/>
                                  <w:marBottom w:val="0"/>
                                  <w:divBdr>
                                    <w:top w:val="none" w:sz="0" w:space="0" w:color="auto"/>
                                    <w:left w:val="none" w:sz="0" w:space="0" w:color="auto"/>
                                    <w:bottom w:val="none" w:sz="0" w:space="0" w:color="auto"/>
                                    <w:right w:val="none" w:sz="0" w:space="0" w:color="auto"/>
                                  </w:divBdr>
                                  <w:divsChild>
                                    <w:div w:id="113941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889121">
                          <w:marLeft w:val="0"/>
                          <w:marRight w:val="0"/>
                          <w:marTop w:val="0"/>
                          <w:marBottom w:val="0"/>
                          <w:divBdr>
                            <w:top w:val="none" w:sz="0" w:space="0" w:color="auto"/>
                            <w:left w:val="none" w:sz="0" w:space="0" w:color="auto"/>
                            <w:bottom w:val="none" w:sz="0" w:space="0" w:color="auto"/>
                            <w:right w:val="none" w:sz="0" w:space="0" w:color="auto"/>
                          </w:divBdr>
                          <w:divsChild>
                            <w:div w:id="1683311797">
                              <w:marLeft w:val="0"/>
                              <w:marRight w:val="0"/>
                              <w:marTop w:val="0"/>
                              <w:marBottom w:val="0"/>
                              <w:divBdr>
                                <w:top w:val="none" w:sz="0" w:space="0" w:color="auto"/>
                                <w:left w:val="none" w:sz="0" w:space="0" w:color="auto"/>
                                <w:bottom w:val="none" w:sz="0" w:space="0" w:color="auto"/>
                                <w:right w:val="none" w:sz="0" w:space="0" w:color="auto"/>
                              </w:divBdr>
                              <w:divsChild>
                                <w:div w:id="194123026">
                                  <w:marLeft w:val="0"/>
                                  <w:marRight w:val="0"/>
                                  <w:marTop w:val="0"/>
                                  <w:marBottom w:val="0"/>
                                  <w:divBdr>
                                    <w:top w:val="none" w:sz="0" w:space="0" w:color="auto"/>
                                    <w:left w:val="none" w:sz="0" w:space="0" w:color="auto"/>
                                    <w:bottom w:val="none" w:sz="0" w:space="0" w:color="auto"/>
                                    <w:right w:val="none" w:sz="0" w:space="0" w:color="auto"/>
                                  </w:divBdr>
                                  <w:divsChild>
                                    <w:div w:id="57509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8006294">
                  <w:marLeft w:val="0"/>
                  <w:marRight w:val="0"/>
                  <w:marTop w:val="0"/>
                  <w:marBottom w:val="0"/>
                  <w:divBdr>
                    <w:top w:val="none" w:sz="0" w:space="0" w:color="auto"/>
                    <w:left w:val="none" w:sz="0" w:space="0" w:color="auto"/>
                    <w:bottom w:val="none" w:sz="0" w:space="0" w:color="auto"/>
                    <w:right w:val="none" w:sz="0" w:space="0" w:color="auto"/>
                  </w:divBdr>
                  <w:divsChild>
                    <w:div w:id="1614701915">
                      <w:marLeft w:val="0"/>
                      <w:marRight w:val="0"/>
                      <w:marTop w:val="0"/>
                      <w:marBottom w:val="0"/>
                      <w:divBdr>
                        <w:top w:val="none" w:sz="0" w:space="0" w:color="auto"/>
                        <w:left w:val="none" w:sz="0" w:space="0" w:color="auto"/>
                        <w:bottom w:val="none" w:sz="0" w:space="0" w:color="auto"/>
                        <w:right w:val="none" w:sz="0" w:space="0" w:color="auto"/>
                      </w:divBdr>
                      <w:divsChild>
                        <w:div w:id="312832888">
                          <w:marLeft w:val="0"/>
                          <w:marRight w:val="0"/>
                          <w:marTop w:val="0"/>
                          <w:marBottom w:val="0"/>
                          <w:divBdr>
                            <w:top w:val="none" w:sz="0" w:space="0" w:color="auto"/>
                            <w:left w:val="none" w:sz="0" w:space="0" w:color="auto"/>
                            <w:bottom w:val="none" w:sz="0" w:space="0" w:color="auto"/>
                            <w:right w:val="none" w:sz="0" w:space="0" w:color="auto"/>
                          </w:divBdr>
                          <w:divsChild>
                            <w:div w:id="1344747808">
                              <w:marLeft w:val="0"/>
                              <w:marRight w:val="0"/>
                              <w:marTop w:val="0"/>
                              <w:marBottom w:val="0"/>
                              <w:divBdr>
                                <w:top w:val="none" w:sz="0" w:space="0" w:color="auto"/>
                                <w:left w:val="none" w:sz="0" w:space="0" w:color="auto"/>
                                <w:bottom w:val="none" w:sz="0" w:space="0" w:color="auto"/>
                                <w:right w:val="none" w:sz="0" w:space="0" w:color="auto"/>
                              </w:divBdr>
                              <w:divsChild>
                                <w:div w:id="77425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7074590">
          <w:marLeft w:val="0"/>
          <w:marRight w:val="0"/>
          <w:marTop w:val="0"/>
          <w:marBottom w:val="0"/>
          <w:divBdr>
            <w:top w:val="none" w:sz="0" w:space="0" w:color="auto"/>
            <w:left w:val="none" w:sz="0" w:space="0" w:color="auto"/>
            <w:bottom w:val="none" w:sz="0" w:space="0" w:color="auto"/>
            <w:right w:val="none" w:sz="0" w:space="0" w:color="auto"/>
          </w:divBdr>
          <w:divsChild>
            <w:div w:id="310984444">
              <w:marLeft w:val="0"/>
              <w:marRight w:val="0"/>
              <w:marTop w:val="0"/>
              <w:marBottom w:val="0"/>
              <w:divBdr>
                <w:top w:val="none" w:sz="0" w:space="0" w:color="auto"/>
                <w:left w:val="none" w:sz="0" w:space="0" w:color="auto"/>
                <w:bottom w:val="none" w:sz="0" w:space="0" w:color="auto"/>
                <w:right w:val="none" w:sz="0" w:space="0" w:color="auto"/>
              </w:divBdr>
              <w:divsChild>
                <w:div w:id="1351570675">
                  <w:marLeft w:val="0"/>
                  <w:marRight w:val="0"/>
                  <w:marTop w:val="0"/>
                  <w:marBottom w:val="0"/>
                  <w:divBdr>
                    <w:top w:val="none" w:sz="0" w:space="0" w:color="auto"/>
                    <w:left w:val="none" w:sz="0" w:space="0" w:color="auto"/>
                    <w:bottom w:val="none" w:sz="0" w:space="0" w:color="auto"/>
                    <w:right w:val="none" w:sz="0" w:space="0" w:color="auto"/>
                  </w:divBdr>
                  <w:divsChild>
                    <w:div w:id="1946572952">
                      <w:marLeft w:val="0"/>
                      <w:marRight w:val="0"/>
                      <w:marTop w:val="0"/>
                      <w:marBottom w:val="0"/>
                      <w:divBdr>
                        <w:top w:val="none" w:sz="0" w:space="0" w:color="auto"/>
                        <w:left w:val="none" w:sz="0" w:space="0" w:color="auto"/>
                        <w:bottom w:val="none" w:sz="0" w:space="0" w:color="auto"/>
                        <w:right w:val="none" w:sz="0" w:space="0" w:color="auto"/>
                      </w:divBdr>
                      <w:divsChild>
                        <w:div w:id="1738674393">
                          <w:marLeft w:val="0"/>
                          <w:marRight w:val="0"/>
                          <w:marTop w:val="0"/>
                          <w:marBottom w:val="0"/>
                          <w:divBdr>
                            <w:top w:val="none" w:sz="0" w:space="0" w:color="auto"/>
                            <w:left w:val="none" w:sz="0" w:space="0" w:color="auto"/>
                            <w:bottom w:val="none" w:sz="0" w:space="0" w:color="auto"/>
                            <w:right w:val="none" w:sz="0" w:space="0" w:color="auto"/>
                          </w:divBdr>
                          <w:divsChild>
                            <w:div w:id="1851601469">
                              <w:marLeft w:val="0"/>
                              <w:marRight w:val="0"/>
                              <w:marTop w:val="0"/>
                              <w:marBottom w:val="0"/>
                              <w:divBdr>
                                <w:top w:val="none" w:sz="0" w:space="0" w:color="auto"/>
                                <w:left w:val="none" w:sz="0" w:space="0" w:color="auto"/>
                                <w:bottom w:val="none" w:sz="0" w:space="0" w:color="auto"/>
                                <w:right w:val="none" w:sz="0" w:space="0" w:color="auto"/>
                              </w:divBdr>
                              <w:divsChild>
                                <w:div w:id="1342781957">
                                  <w:marLeft w:val="0"/>
                                  <w:marRight w:val="0"/>
                                  <w:marTop w:val="0"/>
                                  <w:marBottom w:val="0"/>
                                  <w:divBdr>
                                    <w:top w:val="none" w:sz="0" w:space="0" w:color="auto"/>
                                    <w:left w:val="none" w:sz="0" w:space="0" w:color="auto"/>
                                    <w:bottom w:val="none" w:sz="0" w:space="0" w:color="auto"/>
                                    <w:right w:val="none" w:sz="0" w:space="0" w:color="auto"/>
                                  </w:divBdr>
                                  <w:divsChild>
                                    <w:div w:id="1785952480">
                                      <w:marLeft w:val="0"/>
                                      <w:marRight w:val="0"/>
                                      <w:marTop w:val="0"/>
                                      <w:marBottom w:val="0"/>
                                      <w:divBdr>
                                        <w:top w:val="none" w:sz="0" w:space="0" w:color="auto"/>
                                        <w:left w:val="none" w:sz="0" w:space="0" w:color="auto"/>
                                        <w:bottom w:val="none" w:sz="0" w:space="0" w:color="auto"/>
                                        <w:right w:val="none" w:sz="0" w:space="0" w:color="auto"/>
                                      </w:divBdr>
                                      <w:divsChild>
                                        <w:div w:id="72587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7977736">
          <w:marLeft w:val="0"/>
          <w:marRight w:val="0"/>
          <w:marTop w:val="0"/>
          <w:marBottom w:val="0"/>
          <w:divBdr>
            <w:top w:val="none" w:sz="0" w:space="0" w:color="auto"/>
            <w:left w:val="none" w:sz="0" w:space="0" w:color="auto"/>
            <w:bottom w:val="none" w:sz="0" w:space="0" w:color="auto"/>
            <w:right w:val="none" w:sz="0" w:space="0" w:color="auto"/>
          </w:divBdr>
          <w:divsChild>
            <w:div w:id="894700061">
              <w:marLeft w:val="0"/>
              <w:marRight w:val="0"/>
              <w:marTop w:val="0"/>
              <w:marBottom w:val="0"/>
              <w:divBdr>
                <w:top w:val="none" w:sz="0" w:space="0" w:color="auto"/>
                <w:left w:val="none" w:sz="0" w:space="0" w:color="auto"/>
                <w:bottom w:val="none" w:sz="0" w:space="0" w:color="auto"/>
                <w:right w:val="none" w:sz="0" w:space="0" w:color="auto"/>
              </w:divBdr>
              <w:divsChild>
                <w:div w:id="646204666">
                  <w:marLeft w:val="0"/>
                  <w:marRight w:val="0"/>
                  <w:marTop w:val="0"/>
                  <w:marBottom w:val="0"/>
                  <w:divBdr>
                    <w:top w:val="none" w:sz="0" w:space="0" w:color="auto"/>
                    <w:left w:val="none" w:sz="0" w:space="0" w:color="auto"/>
                    <w:bottom w:val="none" w:sz="0" w:space="0" w:color="auto"/>
                    <w:right w:val="none" w:sz="0" w:space="0" w:color="auto"/>
                  </w:divBdr>
                  <w:divsChild>
                    <w:div w:id="1199657967">
                      <w:marLeft w:val="0"/>
                      <w:marRight w:val="0"/>
                      <w:marTop w:val="0"/>
                      <w:marBottom w:val="0"/>
                      <w:divBdr>
                        <w:top w:val="none" w:sz="0" w:space="0" w:color="auto"/>
                        <w:left w:val="none" w:sz="0" w:space="0" w:color="auto"/>
                        <w:bottom w:val="none" w:sz="0" w:space="0" w:color="auto"/>
                        <w:right w:val="none" w:sz="0" w:space="0" w:color="auto"/>
                      </w:divBdr>
                      <w:divsChild>
                        <w:div w:id="1622110771">
                          <w:marLeft w:val="0"/>
                          <w:marRight w:val="0"/>
                          <w:marTop w:val="0"/>
                          <w:marBottom w:val="0"/>
                          <w:divBdr>
                            <w:top w:val="none" w:sz="0" w:space="0" w:color="auto"/>
                            <w:left w:val="none" w:sz="0" w:space="0" w:color="auto"/>
                            <w:bottom w:val="none" w:sz="0" w:space="0" w:color="auto"/>
                            <w:right w:val="none" w:sz="0" w:space="0" w:color="auto"/>
                          </w:divBdr>
                          <w:divsChild>
                            <w:div w:id="412359361">
                              <w:marLeft w:val="0"/>
                              <w:marRight w:val="0"/>
                              <w:marTop w:val="0"/>
                              <w:marBottom w:val="0"/>
                              <w:divBdr>
                                <w:top w:val="none" w:sz="0" w:space="0" w:color="auto"/>
                                <w:left w:val="none" w:sz="0" w:space="0" w:color="auto"/>
                                <w:bottom w:val="none" w:sz="0" w:space="0" w:color="auto"/>
                                <w:right w:val="none" w:sz="0" w:space="0" w:color="auto"/>
                              </w:divBdr>
                              <w:divsChild>
                                <w:div w:id="140852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948634">
                  <w:marLeft w:val="0"/>
                  <w:marRight w:val="0"/>
                  <w:marTop w:val="0"/>
                  <w:marBottom w:val="0"/>
                  <w:divBdr>
                    <w:top w:val="none" w:sz="0" w:space="0" w:color="auto"/>
                    <w:left w:val="none" w:sz="0" w:space="0" w:color="auto"/>
                    <w:bottom w:val="none" w:sz="0" w:space="0" w:color="auto"/>
                    <w:right w:val="none" w:sz="0" w:space="0" w:color="auto"/>
                  </w:divBdr>
                  <w:divsChild>
                    <w:div w:id="687101530">
                      <w:marLeft w:val="0"/>
                      <w:marRight w:val="0"/>
                      <w:marTop w:val="0"/>
                      <w:marBottom w:val="0"/>
                      <w:divBdr>
                        <w:top w:val="none" w:sz="0" w:space="0" w:color="auto"/>
                        <w:left w:val="none" w:sz="0" w:space="0" w:color="auto"/>
                        <w:bottom w:val="none" w:sz="0" w:space="0" w:color="auto"/>
                        <w:right w:val="none" w:sz="0" w:space="0" w:color="auto"/>
                      </w:divBdr>
                      <w:divsChild>
                        <w:div w:id="225604397">
                          <w:marLeft w:val="0"/>
                          <w:marRight w:val="0"/>
                          <w:marTop w:val="0"/>
                          <w:marBottom w:val="0"/>
                          <w:divBdr>
                            <w:top w:val="none" w:sz="0" w:space="0" w:color="auto"/>
                            <w:left w:val="none" w:sz="0" w:space="0" w:color="auto"/>
                            <w:bottom w:val="none" w:sz="0" w:space="0" w:color="auto"/>
                            <w:right w:val="none" w:sz="0" w:space="0" w:color="auto"/>
                          </w:divBdr>
                          <w:divsChild>
                            <w:div w:id="642462407">
                              <w:marLeft w:val="0"/>
                              <w:marRight w:val="0"/>
                              <w:marTop w:val="0"/>
                              <w:marBottom w:val="0"/>
                              <w:divBdr>
                                <w:top w:val="none" w:sz="0" w:space="0" w:color="auto"/>
                                <w:left w:val="none" w:sz="0" w:space="0" w:color="auto"/>
                                <w:bottom w:val="none" w:sz="0" w:space="0" w:color="auto"/>
                                <w:right w:val="none" w:sz="0" w:space="0" w:color="auto"/>
                              </w:divBdr>
                              <w:divsChild>
                                <w:div w:id="909583180">
                                  <w:marLeft w:val="0"/>
                                  <w:marRight w:val="0"/>
                                  <w:marTop w:val="0"/>
                                  <w:marBottom w:val="0"/>
                                  <w:divBdr>
                                    <w:top w:val="none" w:sz="0" w:space="0" w:color="auto"/>
                                    <w:left w:val="none" w:sz="0" w:space="0" w:color="auto"/>
                                    <w:bottom w:val="none" w:sz="0" w:space="0" w:color="auto"/>
                                    <w:right w:val="none" w:sz="0" w:space="0" w:color="auto"/>
                                  </w:divBdr>
                                  <w:divsChild>
                                    <w:div w:id="41937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315662">
                          <w:marLeft w:val="0"/>
                          <w:marRight w:val="0"/>
                          <w:marTop w:val="0"/>
                          <w:marBottom w:val="0"/>
                          <w:divBdr>
                            <w:top w:val="none" w:sz="0" w:space="0" w:color="auto"/>
                            <w:left w:val="none" w:sz="0" w:space="0" w:color="auto"/>
                            <w:bottom w:val="none" w:sz="0" w:space="0" w:color="auto"/>
                            <w:right w:val="none" w:sz="0" w:space="0" w:color="auto"/>
                          </w:divBdr>
                          <w:divsChild>
                            <w:div w:id="763723730">
                              <w:marLeft w:val="0"/>
                              <w:marRight w:val="0"/>
                              <w:marTop w:val="0"/>
                              <w:marBottom w:val="0"/>
                              <w:divBdr>
                                <w:top w:val="none" w:sz="0" w:space="0" w:color="auto"/>
                                <w:left w:val="none" w:sz="0" w:space="0" w:color="auto"/>
                                <w:bottom w:val="none" w:sz="0" w:space="0" w:color="auto"/>
                                <w:right w:val="none" w:sz="0" w:space="0" w:color="auto"/>
                              </w:divBdr>
                              <w:divsChild>
                                <w:div w:id="932395804">
                                  <w:marLeft w:val="0"/>
                                  <w:marRight w:val="0"/>
                                  <w:marTop w:val="0"/>
                                  <w:marBottom w:val="0"/>
                                  <w:divBdr>
                                    <w:top w:val="none" w:sz="0" w:space="0" w:color="auto"/>
                                    <w:left w:val="none" w:sz="0" w:space="0" w:color="auto"/>
                                    <w:bottom w:val="none" w:sz="0" w:space="0" w:color="auto"/>
                                    <w:right w:val="none" w:sz="0" w:space="0" w:color="auto"/>
                                  </w:divBdr>
                                  <w:divsChild>
                                    <w:div w:id="56033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6714195">
          <w:marLeft w:val="0"/>
          <w:marRight w:val="0"/>
          <w:marTop w:val="0"/>
          <w:marBottom w:val="0"/>
          <w:divBdr>
            <w:top w:val="none" w:sz="0" w:space="0" w:color="auto"/>
            <w:left w:val="none" w:sz="0" w:space="0" w:color="auto"/>
            <w:bottom w:val="none" w:sz="0" w:space="0" w:color="auto"/>
            <w:right w:val="none" w:sz="0" w:space="0" w:color="auto"/>
          </w:divBdr>
          <w:divsChild>
            <w:div w:id="418671493">
              <w:marLeft w:val="0"/>
              <w:marRight w:val="0"/>
              <w:marTop w:val="0"/>
              <w:marBottom w:val="0"/>
              <w:divBdr>
                <w:top w:val="none" w:sz="0" w:space="0" w:color="auto"/>
                <w:left w:val="none" w:sz="0" w:space="0" w:color="auto"/>
                <w:bottom w:val="none" w:sz="0" w:space="0" w:color="auto"/>
                <w:right w:val="none" w:sz="0" w:space="0" w:color="auto"/>
              </w:divBdr>
              <w:divsChild>
                <w:div w:id="1288198381">
                  <w:marLeft w:val="0"/>
                  <w:marRight w:val="0"/>
                  <w:marTop w:val="0"/>
                  <w:marBottom w:val="0"/>
                  <w:divBdr>
                    <w:top w:val="none" w:sz="0" w:space="0" w:color="auto"/>
                    <w:left w:val="none" w:sz="0" w:space="0" w:color="auto"/>
                    <w:bottom w:val="none" w:sz="0" w:space="0" w:color="auto"/>
                    <w:right w:val="none" w:sz="0" w:space="0" w:color="auto"/>
                  </w:divBdr>
                  <w:divsChild>
                    <w:div w:id="1561596501">
                      <w:marLeft w:val="0"/>
                      <w:marRight w:val="0"/>
                      <w:marTop w:val="0"/>
                      <w:marBottom w:val="0"/>
                      <w:divBdr>
                        <w:top w:val="none" w:sz="0" w:space="0" w:color="auto"/>
                        <w:left w:val="none" w:sz="0" w:space="0" w:color="auto"/>
                        <w:bottom w:val="none" w:sz="0" w:space="0" w:color="auto"/>
                        <w:right w:val="none" w:sz="0" w:space="0" w:color="auto"/>
                      </w:divBdr>
                      <w:divsChild>
                        <w:div w:id="212468478">
                          <w:marLeft w:val="0"/>
                          <w:marRight w:val="0"/>
                          <w:marTop w:val="0"/>
                          <w:marBottom w:val="0"/>
                          <w:divBdr>
                            <w:top w:val="none" w:sz="0" w:space="0" w:color="auto"/>
                            <w:left w:val="none" w:sz="0" w:space="0" w:color="auto"/>
                            <w:bottom w:val="none" w:sz="0" w:space="0" w:color="auto"/>
                            <w:right w:val="none" w:sz="0" w:space="0" w:color="auto"/>
                          </w:divBdr>
                          <w:divsChild>
                            <w:div w:id="1247423271">
                              <w:marLeft w:val="0"/>
                              <w:marRight w:val="0"/>
                              <w:marTop w:val="0"/>
                              <w:marBottom w:val="0"/>
                              <w:divBdr>
                                <w:top w:val="none" w:sz="0" w:space="0" w:color="auto"/>
                                <w:left w:val="none" w:sz="0" w:space="0" w:color="auto"/>
                                <w:bottom w:val="none" w:sz="0" w:space="0" w:color="auto"/>
                                <w:right w:val="none" w:sz="0" w:space="0" w:color="auto"/>
                              </w:divBdr>
                              <w:divsChild>
                                <w:div w:id="211189113">
                                  <w:marLeft w:val="0"/>
                                  <w:marRight w:val="0"/>
                                  <w:marTop w:val="0"/>
                                  <w:marBottom w:val="0"/>
                                  <w:divBdr>
                                    <w:top w:val="none" w:sz="0" w:space="0" w:color="auto"/>
                                    <w:left w:val="none" w:sz="0" w:space="0" w:color="auto"/>
                                    <w:bottom w:val="none" w:sz="0" w:space="0" w:color="auto"/>
                                    <w:right w:val="none" w:sz="0" w:space="0" w:color="auto"/>
                                  </w:divBdr>
                                  <w:divsChild>
                                    <w:div w:id="1787458992">
                                      <w:marLeft w:val="0"/>
                                      <w:marRight w:val="0"/>
                                      <w:marTop w:val="0"/>
                                      <w:marBottom w:val="0"/>
                                      <w:divBdr>
                                        <w:top w:val="none" w:sz="0" w:space="0" w:color="auto"/>
                                        <w:left w:val="none" w:sz="0" w:space="0" w:color="auto"/>
                                        <w:bottom w:val="none" w:sz="0" w:space="0" w:color="auto"/>
                                        <w:right w:val="none" w:sz="0" w:space="0" w:color="auto"/>
                                      </w:divBdr>
                                      <w:divsChild>
                                        <w:div w:id="99661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1762068">
          <w:marLeft w:val="0"/>
          <w:marRight w:val="0"/>
          <w:marTop w:val="0"/>
          <w:marBottom w:val="0"/>
          <w:divBdr>
            <w:top w:val="none" w:sz="0" w:space="0" w:color="auto"/>
            <w:left w:val="none" w:sz="0" w:space="0" w:color="auto"/>
            <w:bottom w:val="none" w:sz="0" w:space="0" w:color="auto"/>
            <w:right w:val="none" w:sz="0" w:space="0" w:color="auto"/>
          </w:divBdr>
          <w:divsChild>
            <w:div w:id="634528183">
              <w:marLeft w:val="0"/>
              <w:marRight w:val="0"/>
              <w:marTop w:val="0"/>
              <w:marBottom w:val="0"/>
              <w:divBdr>
                <w:top w:val="none" w:sz="0" w:space="0" w:color="auto"/>
                <w:left w:val="none" w:sz="0" w:space="0" w:color="auto"/>
                <w:bottom w:val="none" w:sz="0" w:space="0" w:color="auto"/>
                <w:right w:val="none" w:sz="0" w:space="0" w:color="auto"/>
              </w:divBdr>
              <w:divsChild>
                <w:div w:id="782500385">
                  <w:marLeft w:val="0"/>
                  <w:marRight w:val="0"/>
                  <w:marTop w:val="0"/>
                  <w:marBottom w:val="0"/>
                  <w:divBdr>
                    <w:top w:val="none" w:sz="0" w:space="0" w:color="auto"/>
                    <w:left w:val="none" w:sz="0" w:space="0" w:color="auto"/>
                    <w:bottom w:val="none" w:sz="0" w:space="0" w:color="auto"/>
                    <w:right w:val="none" w:sz="0" w:space="0" w:color="auto"/>
                  </w:divBdr>
                  <w:divsChild>
                    <w:div w:id="2122066765">
                      <w:marLeft w:val="0"/>
                      <w:marRight w:val="0"/>
                      <w:marTop w:val="0"/>
                      <w:marBottom w:val="0"/>
                      <w:divBdr>
                        <w:top w:val="none" w:sz="0" w:space="0" w:color="auto"/>
                        <w:left w:val="none" w:sz="0" w:space="0" w:color="auto"/>
                        <w:bottom w:val="none" w:sz="0" w:space="0" w:color="auto"/>
                        <w:right w:val="none" w:sz="0" w:space="0" w:color="auto"/>
                      </w:divBdr>
                      <w:divsChild>
                        <w:div w:id="1370643182">
                          <w:marLeft w:val="0"/>
                          <w:marRight w:val="0"/>
                          <w:marTop w:val="0"/>
                          <w:marBottom w:val="0"/>
                          <w:divBdr>
                            <w:top w:val="none" w:sz="0" w:space="0" w:color="auto"/>
                            <w:left w:val="none" w:sz="0" w:space="0" w:color="auto"/>
                            <w:bottom w:val="none" w:sz="0" w:space="0" w:color="auto"/>
                            <w:right w:val="none" w:sz="0" w:space="0" w:color="auto"/>
                          </w:divBdr>
                          <w:divsChild>
                            <w:div w:id="1397389463">
                              <w:marLeft w:val="0"/>
                              <w:marRight w:val="0"/>
                              <w:marTop w:val="0"/>
                              <w:marBottom w:val="0"/>
                              <w:divBdr>
                                <w:top w:val="none" w:sz="0" w:space="0" w:color="auto"/>
                                <w:left w:val="none" w:sz="0" w:space="0" w:color="auto"/>
                                <w:bottom w:val="none" w:sz="0" w:space="0" w:color="auto"/>
                                <w:right w:val="none" w:sz="0" w:space="0" w:color="auto"/>
                              </w:divBdr>
                              <w:divsChild>
                                <w:div w:id="106849766">
                                  <w:marLeft w:val="0"/>
                                  <w:marRight w:val="0"/>
                                  <w:marTop w:val="0"/>
                                  <w:marBottom w:val="0"/>
                                  <w:divBdr>
                                    <w:top w:val="none" w:sz="0" w:space="0" w:color="auto"/>
                                    <w:left w:val="none" w:sz="0" w:space="0" w:color="auto"/>
                                    <w:bottom w:val="none" w:sz="0" w:space="0" w:color="auto"/>
                                    <w:right w:val="none" w:sz="0" w:space="0" w:color="auto"/>
                                  </w:divBdr>
                                  <w:divsChild>
                                    <w:div w:id="949824765">
                                      <w:marLeft w:val="0"/>
                                      <w:marRight w:val="0"/>
                                      <w:marTop w:val="0"/>
                                      <w:marBottom w:val="0"/>
                                      <w:divBdr>
                                        <w:top w:val="none" w:sz="0" w:space="0" w:color="auto"/>
                                        <w:left w:val="none" w:sz="0" w:space="0" w:color="auto"/>
                                        <w:bottom w:val="none" w:sz="0" w:space="0" w:color="auto"/>
                                        <w:right w:val="none" w:sz="0" w:space="0" w:color="auto"/>
                                      </w:divBdr>
                                      <w:divsChild>
                                        <w:div w:id="78951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0249946">
          <w:marLeft w:val="0"/>
          <w:marRight w:val="0"/>
          <w:marTop w:val="0"/>
          <w:marBottom w:val="0"/>
          <w:divBdr>
            <w:top w:val="none" w:sz="0" w:space="0" w:color="auto"/>
            <w:left w:val="none" w:sz="0" w:space="0" w:color="auto"/>
            <w:bottom w:val="none" w:sz="0" w:space="0" w:color="auto"/>
            <w:right w:val="none" w:sz="0" w:space="0" w:color="auto"/>
          </w:divBdr>
          <w:divsChild>
            <w:div w:id="190191778">
              <w:marLeft w:val="0"/>
              <w:marRight w:val="0"/>
              <w:marTop w:val="0"/>
              <w:marBottom w:val="0"/>
              <w:divBdr>
                <w:top w:val="none" w:sz="0" w:space="0" w:color="auto"/>
                <w:left w:val="none" w:sz="0" w:space="0" w:color="auto"/>
                <w:bottom w:val="none" w:sz="0" w:space="0" w:color="auto"/>
                <w:right w:val="none" w:sz="0" w:space="0" w:color="auto"/>
              </w:divBdr>
              <w:divsChild>
                <w:div w:id="1161236241">
                  <w:marLeft w:val="0"/>
                  <w:marRight w:val="0"/>
                  <w:marTop w:val="0"/>
                  <w:marBottom w:val="0"/>
                  <w:divBdr>
                    <w:top w:val="none" w:sz="0" w:space="0" w:color="auto"/>
                    <w:left w:val="none" w:sz="0" w:space="0" w:color="auto"/>
                    <w:bottom w:val="none" w:sz="0" w:space="0" w:color="auto"/>
                    <w:right w:val="none" w:sz="0" w:space="0" w:color="auto"/>
                  </w:divBdr>
                  <w:divsChild>
                    <w:div w:id="1013653605">
                      <w:marLeft w:val="0"/>
                      <w:marRight w:val="0"/>
                      <w:marTop w:val="0"/>
                      <w:marBottom w:val="0"/>
                      <w:divBdr>
                        <w:top w:val="none" w:sz="0" w:space="0" w:color="auto"/>
                        <w:left w:val="none" w:sz="0" w:space="0" w:color="auto"/>
                        <w:bottom w:val="none" w:sz="0" w:space="0" w:color="auto"/>
                        <w:right w:val="none" w:sz="0" w:space="0" w:color="auto"/>
                      </w:divBdr>
                      <w:divsChild>
                        <w:div w:id="41104282">
                          <w:marLeft w:val="0"/>
                          <w:marRight w:val="0"/>
                          <w:marTop w:val="0"/>
                          <w:marBottom w:val="0"/>
                          <w:divBdr>
                            <w:top w:val="none" w:sz="0" w:space="0" w:color="auto"/>
                            <w:left w:val="none" w:sz="0" w:space="0" w:color="auto"/>
                            <w:bottom w:val="none" w:sz="0" w:space="0" w:color="auto"/>
                            <w:right w:val="none" w:sz="0" w:space="0" w:color="auto"/>
                          </w:divBdr>
                          <w:divsChild>
                            <w:div w:id="1696224265">
                              <w:marLeft w:val="0"/>
                              <w:marRight w:val="0"/>
                              <w:marTop w:val="0"/>
                              <w:marBottom w:val="0"/>
                              <w:divBdr>
                                <w:top w:val="none" w:sz="0" w:space="0" w:color="auto"/>
                                <w:left w:val="none" w:sz="0" w:space="0" w:color="auto"/>
                                <w:bottom w:val="none" w:sz="0" w:space="0" w:color="auto"/>
                                <w:right w:val="none" w:sz="0" w:space="0" w:color="auto"/>
                              </w:divBdr>
                              <w:divsChild>
                                <w:div w:id="60530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736909">
                  <w:marLeft w:val="0"/>
                  <w:marRight w:val="0"/>
                  <w:marTop w:val="0"/>
                  <w:marBottom w:val="0"/>
                  <w:divBdr>
                    <w:top w:val="none" w:sz="0" w:space="0" w:color="auto"/>
                    <w:left w:val="none" w:sz="0" w:space="0" w:color="auto"/>
                    <w:bottom w:val="none" w:sz="0" w:space="0" w:color="auto"/>
                    <w:right w:val="none" w:sz="0" w:space="0" w:color="auto"/>
                  </w:divBdr>
                  <w:divsChild>
                    <w:div w:id="674460805">
                      <w:marLeft w:val="0"/>
                      <w:marRight w:val="0"/>
                      <w:marTop w:val="0"/>
                      <w:marBottom w:val="0"/>
                      <w:divBdr>
                        <w:top w:val="none" w:sz="0" w:space="0" w:color="auto"/>
                        <w:left w:val="none" w:sz="0" w:space="0" w:color="auto"/>
                        <w:bottom w:val="none" w:sz="0" w:space="0" w:color="auto"/>
                        <w:right w:val="none" w:sz="0" w:space="0" w:color="auto"/>
                      </w:divBdr>
                      <w:divsChild>
                        <w:div w:id="161553537">
                          <w:marLeft w:val="0"/>
                          <w:marRight w:val="0"/>
                          <w:marTop w:val="0"/>
                          <w:marBottom w:val="0"/>
                          <w:divBdr>
                            <w:top w:val="none" w:sz="0" w:space="0" w:color="auto"/>
                            <w:left w:val="none" w:sz="0" w:space="0" w:color="auto"/>
                            <w:bottom w:val="none" w:sz="0" w:space="0" w:color="auto"/>
                            <w:right w:val="none" w:sz="0" w:space="0" w:color="auto"/>
                          </w:divBdr>
                          <w:divsChild>
                            <w:div w:id="2087143176">
                              <w:marLeft w:val="0"/>
                              <w:marRight w:val="0"/>
                              <w:marTop w:val="0"/>
                              <w:marBottom w:val="0"/>
                              <w:divBdr>
                                <w:top w:val="none" w:sz="0" w:space="0" w:color="auto"/>
                                <w:left w:val="none" w:sz="0" w:space="0" w:color="auto"/>
                                <w:bottom w:val="none" w:sz="0" w:space="0" w:color="auto"/>
                                <w:right w:val="none" w:sz="0" w:space="0" w:color="auto"/>
                              </w:divBdr>
                              <w:divsChild>
                                <w:div w:id="751660897">
                                  <w:marLeft w:val="0"/>
                                  <w:marRight w:val="0"/>
                                  <w:marTop w:val="0"/>
                                  <w:marBottom w:val="0"/>
                                  <w:divBdr>
                                    <w:top w:val="none" w:sz="0" w:space="0" w:color="auto"/>
                                    <w:left w:val="none" w:sz="0" w:space="0" w:color="auto"/>
                                    <w:bottom w:val="none" w:sz="0" w:space="0" w:color="auto"/>
                                    <w:right w:val="none" w:sz="0" w:space="0" w:color="auto"/>
                                  </w:divBdr>
                                  <w:divsChild>
                                    <w:div w:id="26057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830976">
                          <w:marLeft w:val="0"/>
                          <w:marRight w:val="0"/>
                          <w:marTop w:val="0"/>
                          <w:marBottom w:val="0"/>
                          <w:divBdr>
                            <w:top w:val="none" w:sz="0" w:space="0" w:color="auto"/>
                            <w:left w:val="none" w:sz="0" w:space="0" w:color="auto"/>
                            <w:bottom w:val="none" w:sz="0" w:space="0" w:color="auto"/>
                            <w:right w:val="none" w:sz="0" w:space="0" w:color="auto"/>
                          </w:divBdr>
                          <w:divsChild>
                            <w:div w:id="1440830793">
                              <w:marLeft w:val="0"/>
                              <w:marRight w:val="0"/>
                              <w:marTop w:val="0"/>
                              <w:marBottom w:val="0"/>
                              <w:divBdr>
                                <w:top w:val="none" w:sz="0" w:space="0" w:color="auto"/>
                                <w:left w:val="none" w:sz="0" w:space="0" w:color="auto"/>
                                <w:bottom w:val="none" w:sz="0" w:space="0" w:color="auto"/>
                                <w:right w:val="none" w:sz="0" w:space="0" w:color="auto"/>
                              </w:divBdr>
                              <w:divsChild>
                                <w:div w:id="544215670">
                                  <w:marLeft w:val="0"/>
                                  <w:marRight w:val="0"/>
                                  <w:marTop w:val="0"/>
                                  <w:marBottom w:val="0"/>
                                  <w:divBdr>
                                    <w:top w:val="none" w:sz="0" w:space="0" w:color="auto"/>
                                    <w:left w:val="none" w:sz="0" w:space="0" w:color="auto"/>
                                    <w:bottom w:val="none" w:sz="0" w:space="0" w:color="auto"/>
                                    <w:right w:val="none" w:sz="0" w:space="0" w:color="auto"/>
                                  </w:divBdr>
                                  <w:divsChild>
                                    <w:div w:id="24970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0564300">
          <w:marLeft w:val="0"/>
          <w:marRight w:val="0"/>
          <w:marTop w:val="0"/>
          <w:marBottom w:val="0"/>
          <w:divBdr>
            <w:top w:val="none" w:sz="0" w:space="0" w:color="auto"/>
            <w:left w:val="none" w:sz="0" w:space="0" w:color="auto"/>
            <w:bottom w:val="none" w:sz="0" w:space="0" w:color="auto"/>
            <w:right w:val="none" w:sz="0" w:space="0" w:color="auto"/>
          </w:divBdr>
          <w:divsChild>
            <w:div w:id="1022321401">
              <w:marLeft w:val="0"/>
              <w:marRight w:val="0"/>
              <w:marTop w:val="0"/>
              <w:marBottom w:val="0"/>
              <w:divBdr>
                <w:top w:val="none" w:sz="0" w:space="0" w:color="auto"/>
                <w:left w:val="none" w:sz="0" w:space="0" w:color="auto"/>
                <w:bottom w:val="none" w:sz="0" w:space="0" w:color="auto"/>
                <w:right w:val="none" w:sz="0" w:space="0" w:color="auto"/>
              </w:divBdr>
              <w:divsChild>
                <w:div w:id="754592761">
                  <w:marLeft w:val="0"/>
                  <w:marRight w:val="0"/>
                  <w:marTop w:val="0"/>
                  <w:marBottom w:val="0"/>
                  <w:divBdr>
                    <w:top w:val="none" w:sz="0" w:space="0" w:color="auto"/>
                    <w:left w:val="none" w:sz="0" w:space="0" w:color="auto"/>
                    <w:bottom w:val="none" w:sz="0" w:space="0" w:color="auto"/>
                    <w:right w:val="none" w:sz="0" w:space="0" w:color="auto"/>
                  </w:divBdr>
                  <w:divsChild>
                    <w:div w:id="627976176">
                      <w:marLeft w:val="0"/>
                      <w:marRight w:val="0"/>
                      <w:marTop w:val="0"/>
                      <w:marBottom w:val="0"/>
                      <w:divBdr>
                        <w:top w:val="none" w:sz="0" w:space="0" w:color="auto"/>
                        <w:left w:val="none" w:sz="0" w:space="0" w:color="auto"/>
                        <w:bottom w:val="none" w:sz="0" w:space="0" w:color="auto"/>
                        <w:right w:val="none" w:sz="0" w:space="0" w:color="auto"/>
                      </w:divBdr>
                      <w:divsChild>
                        <w:div w:id="247882269">
                          <w:marLeft w:val="0"/>
                          <w:marRight w:val="0"/>
                          <w:marTop w:val="0"/>
                          <w:marBottom w:val="0"/>
                          <w:divBdr>
                            <w:top w:val="none" w:sz="0" w:space="0" w:color="auto"/>
                            <w:left w:val="none" w:sz="0" w:space="0" w:color="auto"/>
                            <w:bottom w:val="none" w:sz="0" w:space="0" w:color="auto"/>
                            <w:right w:val="none" w:sz="0" w:space="0" w:color="auto"/>
                          </w:divBdr>
                          <w:divsChild>
                            <w:div w:id="873230965">
                              <w:marLeft w:val="0"/>
                              <w:marRight w:val="0"/>
                              <w:marTop w:val="0"/>
                              <w:marBottom w:val="0"/>
                              <w:divBdr>
                                <w:top w:val="none" w:sz="0" w:space="0" w:color="auto"/>
                                <w:left w:val="none" w:sz="0" w:space="0" w:color="auto"/>
                                <w:bottom w:val="none" w:sz="0" w:space="0" w:color="auto"/>
                                <w:right w:val="none" w:sz="0" w:space="0" w:color="auto"/>
                              </w:divBdr>
                              <w:divsChild>
                                <w:div w:id="209998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781277">
                  <w:marLeft w:val="0"/>
                  <w:marRight w:val="0"/>
                  <w:marTop w:val="0"/>
                  <w:marBottom w:val="0"/>
                  <w:divBdr>
                    <w:top w:val="none" w:sz="0" w:space="0" w:color="auto"/>
                    <w:left w:val="none" w:sz="0" w:space="0" w:color="auto"/>
                    <w:bottom w:val="none" w:sz="0" w:space="0" w:color="auto"/>
                    <w:right w:val="none" w:sz="0" w:space="0" w:color="auto"/>
                  </w:divBdr>
                  <w:divsChild>
                    <w:div w:id="1348600258">
                      <w:marLeft w:val="0"/>
                      <w:marRight w:val="0"/>
                      <w:marTop w:val="0"/>
                      <w:marBottom w:val="0"/>
                      <w:divBdr>
                        <w:top w:val="none" w:sz="0" w:space="0" w:color="auto"/>
                        <w:left w:val="none" w:sz="0" w:space="0" w:color="auto"/>
                        <w:bottom w:val="none" w:sz="0" w:space="0" w:color="auto"/>
                        <w:right w:val="none" w:sz="0" w:space="0" w:color="auto"/>
                      </w:divBdr>
                      <w:divsChild>
                        <w:div w:id="2103337603">
                          <w:marLeft w:val="0"/>
                          <w:marRight w:val="0"/>
                          <w:marTop w:val="0"/>
                          <w:marBottom w:val="0"/>
                          <w:divBdr>
                            <w:top w:val="none" w:sz="0" w:space="0" w:color="auto"/>
                            <w:left w:val="none" w:sz="0" w:space="0" w:color="auto"/>
                            <w:bottom w:val="none" w:sz="0" w:space="0" w:color="auto"/>
                            <w:right w:val="none" w:sz="0" w:space="0" w:color="auto"/>
                          </w:divBdr>
                          <w:divsChild>
                            <w:div w:id="1087262595">
                              <w:marLeft w:val="0"/>
                              <w:marRight w:val="0"/>
                              <w:marTop w:val="0"/>
                              <w:marBottom w:val="0"/>
                              <w:divBdr>
                                <w:top w:val="none" w:sz="0" w:space="0" w:color="auto"/>
                                <w:left w:val="none" w:sz="0" w:space="0" w:color="auto"/>
                                <w:bottom w:val="none" w:sz="0" w:space="0" w:color="auto"/>
                                <w:right w:val="none" w:sz="0" w:space="0" w:color="auto"/>
                              </w:divBdr>
                              <w:divsChild>
                                <w:div w:id="1254171765">
                                  <w:marLeft w:val="0"/>
                                  <w:marRight w:val="0"/>
                                  <w:marTop w:val="0"/>
                                  <w:marBottom w:val="0"/>
                                  <w:divBdr>
                                    <w:top w:val="none" w:sz="0" w:space="0" w:color="auto"/>
                                    <w:left w:val="none" w:sz="0" w:space="0" w:color="auto"/>
                                    <w:bottom w:val="none" w:sz="0" w:space="0" w:color="auto"/>
                                    <w:right w:val="none" w:sz="0" w:space="0" w:color="auto"/>
                                  </w:divBdr>
                                  <w:divsChild>
                                    <w:div w:id="30632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7135378">
          <w:marLeft w:val="0"/>
          <w:marRight w:val="0"/>
          <w:marTop w:val="0"/>
          <w:marBottom w:val="0"/>
          <w:divBdr>
            <w:top w:val="none" w:sz="0" w:space="0" w:color="auto"/>
            <w:left w:val="none" w:sz="0" w:space="0" w:color="auto"/>
            <w:bottom w:val="none" w:sz="0" w:space="0" w:color="auto"/>
            <w:right w:val="none" w:sz="0" w:space="0" w:color="auto"/>
          </w:divBdr>
          <w:divsChild>
            <w:div w:id="329795025">
              <w:marLeft w:val="0"/>
              <w:marRight w:val="0"/>
              <w:marTop w:val="0"/>
              <w:marBottom w:val="0"/>
              <w:divBdr>
                <w:top w:val="none" w:sz="0" w:space="0" w:color="auto"/>
                <w:left w:val="none" w:sz="0" w:space="0" w:color="auto"/>
                <w:bottom w:val="none" w:sz="0" w:space="0" w:color="auto"/>
                <w:right w:val="none" w:sz="0" w:space="0" w:color="auto"/>
              </w:divBdr>
              <w:divsChild>
                <w:div w:id="1313212784">
                  <w:marLeft w:val="0"/>
                  <w:marRight w:val="0"/>
                  <w:marTop w:val="0"/>
                  <w:marBottom w:val="0"/>
                  <w:divBdr>
                    <w:top w:val="none" w:sz="0" w:space="0" w:color="auto"/>
                    <w:left w:val="none" w:sz="0" w:space="0" w:color="auto"/>
                    <w:bottom w:val="none" w:sz="0" w:space="0" w:color="auto"/>
                    <w:right w:val="none" w:sz="0" w:space="0" w:color="auto"/>
                  </w:divBdr>
                  <w:divsChild>
                    <w:div w:id="1375931602">
                      <w:marLeft w:val="0"/>
                      <w:marRight w:val="0"/>
                      <w:marTop w:val="0"/>
                      <w:marBottom w:val="0"/>
                      <w:divBdr>
                        <w:top w:val="none" w:sz="0" w:space="0" w:color="auto"/>
                        <w:left w:val="none" w:sz="0" w:space="0" w:color="auto"/>
                        <w:bottom w:val="none" w:sz="0" w:space="0" w:color="auto"/>
                        <w:right w:val="none" w:sz="0" w:space="0" w:color="auto"/>
                      </w:divBdr>
                      <w:divsChild>
                        <w:div w:id="899946395">
                          <w:marLeft w:val="0"/>
                          <w:marRight w:val="0"/>
                          <w:marTop w:val="0"/>
                          <w:marBottom w:val="0"/>
                          <w:divBdr>
                            <w:top w:val="none" w:sz="0" w:space="0" w:color="auto"/>
                            <w:left w:val="none" w:sz="0" w:space="0" w:color="auto"/>
                            <w:bottom w:val="none" w:sz="0" w:space="0" w:color="auto"/>
                            <w:right w:val="none" w:sz="0" w:space="0" w:color="auto"/>
                          </w:divBdr>
                          <w:divsChild>
                            <w:div w:id="522402147">
                              <w:marLeft w:val="0"/>
                              <w:marRight w:val="0"/>
                              <w:marTop w:val="0"/>
                              <w:marBottom w:val="0"/>
                              <w:divBdr>
                                <w:top w:val="none" w:sz="0" w:space="0" w:color="auto"/>
                                <w:left w:val="none" w:sz="0" w:space="0" w:color="auto"/>
                                <w:bottom w:val="none" w:sz="0" w:space="0" w:color="auto"/>
                                <w:right w:val="none" w:sz="0" w:space="0" w:color="auto"/>
                              </w:divBdr>
                              <w:divsChild>
                                <w:div w:id="632751529">
                                  <w:marLeft w:val="0"/>
                                  <w:marRight w:val="0"/>
                                  <w:marTop w:val="0"/>
                                  <w:marBottom w:val="0"/>
                                  <w:divBdr>
                                    <w:top w:val="none" w:sz="0" w:space="0" w:color="auto"/>
                                    <w:left w:val="none" w:sz="0" w:space="0" w:color="auto"/>
                                    <w:bottom w:val="none" w:sz="0" w:space="0" w:color="auto"/>
                                    <w:right w:val="none" w:sz="0" w:space="0" w:color="auto"/>
                                  </w:divBdr>
                                  <w:divsChild>
                                    <w:div w:id="4641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299413">
                          <w:marLeft w:val="0"/>
                          <w:marRight w:val="0"/>
                          <w:marTop w:val="0"/>
                          <w:marBottom w:val="0"/>
                          <w:divBdr>
                            <w:top w:val="none" w:sz="0" w:space="0" w:color="auto"/>
                            <w:left w:val="none" w:sz="0" w:space="0" w:color="auto"/>
                            <w:bottom w:val="none" w:sz="0" w:space="0" w:color="auto"/>
                            <w:right w:val="none" w:sz="0" w:space="0" w:color="auto"/>
                          </w:divBdr>
                          <w:divsChild>
                            <w:div w:id="417211137">
                              <w:marLeft w:val="0"/>
                              <w:marRight w:val="0"/>
                              <w:marTop w:val="0"/>
                              <w:marBottom w:val="0"/>
                              <w:divBdr>
                                <w:top w:val="none" w:sz="0" w:space="0" w:color="auto"/>
                                <w:left w:val="none" w:sz="0" w:space="0" w:color="auto"/>
                                <w:bottom w:val="none" w:sz="0" w:space="0" w:color="auto"/>
                                <w:right w:val="none" w:sz="0" w:space="0" w:color="auto"/>
                              </w:divBdr>
                              <w:divsChild>
                                <w:div w:id="1471820457">
                                  <w:marLeft w:val="0"/>
                                  <w:marRight w:val="0"/>
                                  <w:marTop w:val="0"/>
                                  <w:marBottom w:val="0"/>
                                  <w:divBdr>
                                    <w:top w:val="none" w:sz="0" w:space="0" w:color="auto"/>
                                    <w:left w:val="none" w:sz="0" w:space="0" w:color="auto"/>
                                    <w:bottom w:val="none" w:sz="0" w:space="0" w:color="auto"/>
                                    <w:right w:val="none" w:sz="0" w:space="0" w:color="auto"/>
                                  </w:divBdr>
                                  <w:divsChild>
                                    <w:div w:id="78427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8851358">
                  <w:marLeft w:val="0"/>
                  <w:marRight w:val="0"/>
                  <w:marTop w:val="0"/>
                  <w:marBottom w:val="0"/>
                  <w:divBdr>
                    <w:top w:val="none" w:sz="0" w:space="0" w:color="auto"/>
                    <w:left w:val="none" w:sz="0" w:space="0" w:color="auto"/>
                    <w:bottom w:val="none" w:sz="0" w:space="0" w:color="auto"/>
                    <w:right w:val="none" w:sz="0" w:space="0" w:color="auto"/>
                  </w:divBdr>
                  <w:divsChild>
                    <w:div w:id="75635627">
                      <w:marLeft w:val="0"/>
                      <w:marRight w:val="0"/>
                      <w:marTop w:val="0"/>
                      <w:marBottom w:val="0"/>
                      <w:divBdr>
                        <w:top w:val="none" w:sz="0" w:space="0" w:color="auto"/>
                        <w:left w:val="none" w:sz="0" w:space="0" w:color="auto"/>
                        <w:bottom w:val="none" w:sz="0" w:space="0" w:color="auto"/>
                        <w:right w:val="none" w:sz="0" w:space="0" w:color="auto"/>
                      </w:divBdr>
                      <w:divsChild>
                        <w:div w:id="1512795294">
                          <w:marLeft w:val="0"/>
                          <w:marRight w:val="0"/>
                          <w:marTop w:val="0"/>
                          <w:marBottom w:val="0"/>
                          <w:divBdr>
                            <w:top w:val="none" w:sz="0" w:space="0" w:color="auto"/>
                            <w:left w:val="none" w:sz="0" w:space="0" w:color="auto"/>
                            <w:bottom w:val="none" w:sz="0" w:space="0" w:color="auto"/>
                            <w:right w:val="none" w:sz="0" w:space="0" w:color="auto"/>
                          </w:divBdr>
                          <w:divsChild>
                            <w:div w:id="1342853825">
                              <w:marLeft w:val="0"/>
                              <w:marRight w:val="0"/>
                              <w:marTop w:val="0"/>
                              <w:marBottom w:val="0"/>
                              <w:divBdr>
                                <w:top w:val="none" w:sz="0" w:space="0" w:color="auto"/>
                                <w:left w:val="none" w:sz="0" w:space="0" w:color="auto"/>
                                <w:bottom w:val="none" w:sz="0" w:space="0" w:color="auto"/>
                                <w:right w:val="none" w:sz="0" w:space="0" w:color="auto"/>
                              </w:divBdr>
                              <w:divsChild>
                                <w:div w:id="13418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998649">
          <w:marLeft w:val="0"/>
          <w:marRight w:val="0"/>
          <w:marTop w:val="0"/>
          <w:marBottom w:val="0"/>
          <w:divBdr>
            <w:top w:val="none" w:sz="0" w:space="0" w:color="auto"/>
            <w:left w:val="none" w:sz="0" w:space="0" w:color="auto"/>
            <w:bottom w:val="none" w:sz="0" w:space="0" w:color="auto"/>
            <w:right w:val="none" w:sz="0" w:space="0" w:color="auto"/>
          </w:divBdr>
          <w:divsChild>
            <w:div w:id="1132215554">
              <w:marLeft w:val="0"/>
              <w:marRight w:val="0"/>
              <w:marTop w:val="0"/>
              <w:marBottom w:val="0"/>
              <w:divBdr>
                <w:top w:val="none" w:sz="0" w:space="0" w:color="auto"/>
                <w:left w:val="none" w:sz="0" w:space="0" w:color="auto"/>
                <w:bottom w:val="none" w:sz="0" w:space="0" w:color="auto"/>
                <w:right w:val="none" w:sz="0" w:space="0" w:color="auto"/>
              </w:divBdr>
              <w:divsChild>
                <w:div w:id="377752385">
                  <w:marLeft w:val="0"/>
                  <w:marRight w:val="0"/>
                  <w:marTop w:val="0"/>
                  <w:marBottom w:val="0"/>
                  <w:divBdr>
                    <w:top w:val="none" w:sz="0" w:space="0" w:color="auto"/>
                    <w:left w:val="none" w:sz="0" w:space="0" w:color="auto"/>
                    <w:bottom w:val="none" w:sz="0" w:space="0" w:color="auto"/>
                    <w:right w:val="none" w:sz="0" w:space="0" w:color="auto"/>
                  </w:divBdr>
                  <w:divsChild>
                    <w:div w:id="964966321">
                      <w:marLeft w:val="0"/>
                      <w:marRight w:val="0"/>
                      <w:marTop w:val="0"/>
                      <w:marBottom w:val="0"/>
                      <w:divBdr>
                        <w:top w:val="none" w:sz="0" w:space="0" w:color="auto"/>
                        <w:left w:val="none" w:sz="0" w:space="0" w:color="auto"/>
                        <w:bottom w:val="none" w:sz="0" w:space="0" w:color="auto"/>
                        <w:right w:val="none" w:sz="0" w:space="0" w:color="auto"/>
                      </w:divBdr>
                      <w:divsChild>
                        <w:div w:id="123427975">
                          <w:marLeft w:val="0"/>
                          <w:marRight w:val="0"/>
                          <w:marTop w:val="0"/>
                          <w:marBottom w:val="0"/>
                          <w:divBdr>
                            <w:top w:val="none" w:sz="0" w:space="0" w:color="auto"/>
                            <w:left w:val="none" w:sz="0" w:space="0" w:color="auto"/>
                            <w:bottom w:val="none" w:sz="0" w:space="0" w:color="auto"/>
                            <w:right w:val="none" w:sz="0" w:space="0" w:color="auto"/>
                          </w:divBdr>
                          <w:divsChild>
                            <w:div w:id="1506045102">
                              <w:marLeft w:val="0"/>
                              <w:marRight w:val="0"/>
                              <w:marTop w:val="0"/>
                              <w:marBottom w:val="0"/>
                              <w:divBdr>
                                <w:top w:val="none" w:sz="0" w:space="0" w:color="auto"/>
                                <w:left w:val="none" w:sz="0" w:space="0" w:color="auto"/>
                                <w:bottom w:val="none" w:sz="0" w:space="0" w:color="auto"/>
                                <w:right w:val="none" w:sz="0" w:space="0" w:color="auto"/>
                              </w:divBdr>
                              <w:divsChild>
                                <w:div w:id="2136678615">
                                  <w:marLeft w:val="0"/>
                                  <w:marRight w:val="0"/>
                                  <w:marTop w:val="0"/>
                                  <w:marBottom w:val="0"/>
                                  <w:divBdr>
                                    <w:top w:val="none" w:sz="0" w:space="0" w:color="auto"/>
                                    <w:left w:val="none" w:sz="0" w:space="0" w:color="auto"/>
                                    <w:bottom w:val="none" w:sz="0" w:space="0" w:color="auto"/>
                                    <w:right w:val="none" w:sz="0" w:space="0" w:color="auto"/>
                                  </w:divBdr>
                                  <w:divsChild>
                                    <w:div w:id="114820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892218">
                          <w:marLeft w:val="0"/>
                          <w:marRight w:val="0"/>
                          <w:marTop w:val="0"/>
                          <w:marBottom w:val="0"/>
                          <w:divBdr>
                            <w:top w:val="none" w:sz="0" w:space="0" w:color="auto"/>
                            <w:left w:val="none" w:sz="0" w:space="0" w:color="auto"/>
                            <w:bottom w:val="none" w:sz="0" w:space="0" w:color="auto"/>
                            <w:right w:val="none" w:sz="0" w:space="0" w:color="auto"/>
                          </w:divBdr>
                          <w:divsChild>
                            <w:div w:id="180097644">
                              <w:marLeft w:val="0"/>
                              <w:marRight w:val="0"/>
                              <w:marTop w:val="0"/>
                              <w:marBottom w:val="0"/>
                              <w:divBdr>
                                <w:top w:val="none" w:sz="0" w:space="0" w:color="auto"/>
                                <w:left w:val="none" w:sz="0" w:space="0" w:color="auto"/>
                                <w:bottom w:val="none" w:sz="0" w:space="0" w:color="auto"/>
                                <w:right w:val="none" w:sz="0" w:space="0" w:color="auto"/>
                              </w:divBdr>
                              <w:divsChild>
                                <w:div w:id="633411699">
                                  <w:marLeft w:val="0"/>
                                  <w:marRight w:val="0"/>
                                  <w:marTop w:val="0"/>
                                  <w:marBottom w:val="0"/>
                                  <w:divBdr>
                                    <w:top w:val="none" w:sz="0" w:space="0" w:color="auto"/>
                                    <w:left w:val="none" w:sz="0" w:space="0" w:color="auto"/>
                                    <w:bottom w:val="none" w:sz="0" w:space="0" w:color="auto"/>
                                    <w:right w:val="none" w:sz="0" w:space="0" w:color="auto"/>
                                  </w:divBdr>
                                  <w:divsChild>
                                    <w:div w:id="213085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8660769">
                  <w:marLeft w:val="0"/>
                  <w:marRight w:val="0"/>
                  <w:marTop w:val="0"/>
                  <w:marBottom w:val="0"/>
                  <w:divBdr>
                    <w:top w:val="none" w:sz="0" w:space="0" w:color="auto"/>
                    <w:left w:val="none" w:sz="0" w:space="0" w:color="auto"/>
                    <w:bottom w:val="none" w:sz="0" w:space="0" w:color="auto"/>
                    <w:right w:val="none" w:sz="0" w:space="0" w:color="auto"/>
                  </w:divBdr>
                  <w:divsChild>
                    <w:div w:id="1146245383">
                      <w:marLeft w:val="0"/>
                      <w:marRight w:val="0"/>
                      <w:marTop w:val="0"/>
                      <w:marBottom w:val="0"/>
                      <w:divBdr>
                        <w:top w:val="none" w:sz="0" w:space="0" w:color="auto"/>
                        <w:left w:val="none" w:sz="0" w:space="0" w:color="auto"/>
                        <w:bottom w:val="none" w:sz="0" w:space="0" w:color="auto"/>
                        <w:right w:val="none" w:sz="0" w:space="0" w:color="auto"/>
                      </w:divBdr>
                      <w:divsChild>
                        <w:div w:id="1030378674">
                          <w:marLeft w:val="0"/>
                          <w:marRight w:val="0"/>
                          <w:marTop w:val="0"/>
                          <w:marBottom w:val="0"/>
                          <w:divBdr>
                            <w:top w:val="none" w:sz="0" w:space="0" w:color="auto"/>
                            <w:left w:val="none" w:sz="0" w:space="0" w:color="auto"/>
                            <w:bottom w:val="none" w:sz="0" w:space="0" w:color="auto"/>
                            <w:right w:val="none" w:sz="0" w:space="0" w:color="auto"/>
                          </w:divBdr>
                          <w:divsChild>
                            <w:div w:id="1780105762">
                              <w:marLeft w:val="0"/>
                              <w:marRight w:val="0"/>
                              <w:marTop w:val="0"/>
                              <w:marBottom w:val="0"/>
                              <w:divBdr>
                                <w:top w:val="none" w:sz="0" w:space="0" w:color="auto"/>
                                <w:left w:val="none" w:sz="0" w:space="0" w:color="auto"/>
                                <w:bottom w:val="none" w:sz="0" w:space="0" w:color="auto"/>
                                <w:right w:val="none" w:sz="0" w:space="0" w:color="auto"/>
                              </w:divBdr>
                              <w:divsChild>
                                <w:div w:id="79437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956792">
      <w:bodyDiv w:val="1"/>
      <w:marLeft w:val="0"/>
      <w:marRight w:val="0"/>
      <w:marTop w:val="0"/>
      <w:marBottom w:val="0"/>
      <w:divBdr>
        <w:top w:val="none" w:sz="0" w:space="0" w:color="auto"/>
        <w:left w:val="none" w:sz="0" w:space="0" w:color="auto"/>
        <w:bottom w:val="none" w:sz="0" w:space="0" w:color="auto"/>
        <w:right w:val="none" w:sz="0" w:space="0" w:color="auto"/>
      </w:divBdr>
    </w:div>
    <w:div w:id="186413665">
      <w:bodyDiv w:val="1"/>
      <w:marLeft w:val="0"/>
      <w:marRight w:val="0"/>
      <w:marTop w:val="0"/>
      <w:marBottom w:val="0"/>
      <w:divBdr>
        <w:top w:val="none" w:sz="0" w:space="0" w:color="auto"/>
        <w:left w:val="none" w:sz="0" w:space="0" w:color="auto"/>
        <w:bottom w:val="none" w:sz="0" w:space="0" w:color="auto"/>
        <w:right w:val="none" w:sz="0" w:space="0" w:color="auto"/>
      </w:divBdr>
    </w:div>
    <w:div w:id="189150371">
      <w:bodyDiv w:val="1"/>
      <w:marLeft w:val="0"/>
      <w:marRight w:val="0"/>
      <w:marTop w:val="0"/>
      <w:marBottom w:val="0"/>
      <w:divBdr>
        <w:top w:val="none" w:sz="0" w:space="0" w:color="auto"/>
        <w:left w:val="none" w:sz="0" w:space="0" w:color="auto"/>
        <w:bottom w:val="none" w:sz="0" w:space="0" w:color="auto"/>
        <w:right w:val="none" w:sz="0" w:space="0" w:color="auto"/>
      </w:divBdr>
    </w:div>
    <w:div w:id="189688013">
      <w:bodyDiv w:val="1"/>
      <w:marLeft w:val="0"/>
      <w:marRight w:val="0"/>
      <w:marTop w:val="0"/>
      <w:marBottom w:val="0"/>
      <w:divBdr>
        <w:top w:val="none" w:sz="0" w:space="0" w:color="auto"/>
        <w:left w:val="none" w:sz="0" w:space="0" w:color="auto"/>
        <w:bottom w:val="none" w:sz="0" w:space="0" w:color="auto"/>
        <w:right w:val="none" w:sz="0" w:space="0" w:color="auto"/>
      </w:divBdr>
    </w:div>
    <w:div w:id="189883847">
      <w:bodyDiv w:val="1"/>
      <w:marLeft w:val="0"/>
      <w:marRight w:val="0"/>
      <w:marTop w:val="0"/>
      <w:marBottom w:val="0"/>
      <w:divBdr>
        <w:top w:val="none" w:sz="0" w:space="0" w:color="auto"/>
        <w:left w:val="none" w:sz="0" w:space="0" w:color="auto"/>
        <w:bottom w:val="none" w:sz="0" w:space="0" w:color="auto"/>
        <w:right w:val="none" w:sz="0" w:space="0" w:color="auto"/>
      </w:divBdr>
    </w:div>
    <w:div w:id="194076547">
      <w:bodyDiv w:val="1"/>
      <w:marLeft w:val="0"/>
      <w:marRight w:val="0"/>
      <w:marTop w:val="0"/>
      <w:marBottom w:val="0"/>
      <w:divBdr>
        <w:top w:val="none" w:sz="0" w:space="0" w:color="auto"/>
        <w:left w:val="none" w:sz="0" w:space="0" w:color="auto"/>
        <w:bottom w:val="none" w:sz="0" w:space="0" w:color="auto"/>
        <w:right w:val="none" w:sz="0" w:space="0" w:color="auto"/>
      </w:divBdr>
    </w:div>
    <w:div w:id="201523765">
      <w:bodyDiv w:val="1"/>
      <w:marLeft w:val="0"/>
      <w:marRight w:val="0"/>
      <w:marTop w:val="0"/>
      <w:marBottom w:val="0"/>
      <w:divBdr>
        <w:top w:val="none" w:sz="0" w:space="0" w:color="auto"/>
        <w:left w:val="none" w:sz="0" w:space="0" w:color="auto"/>
        <w:bottom w:val="none" w:sz="0" w:space="0" w:color="auto"/>
        <w:right w:val="none" w:sz="0" w:space="0" w:color="auto"/>
      </w:divBdr>
    </w:div>
    <w:div w:id="210770087">
      <w:bodyDiv w:val="1"/>
      <w:marLeft w:val="0"/>
      <w:marRight w:val="0"/>
      <w:marTop w:val="0"/>
      <w:marBottom w:val="0"/>
      <w:divBdr>
        <w:top w:val="none" w:sz="0" w:space="0" w:color="auto"/>
        <w:left w:val="none" w:sz="0" w:space="0" w:color="auto"/>
        <w:bottom w:val="none" w:sz="0" w:space="0" w:color="auto"/>
        <w:right w:val="none" w:sz="0" w:space="0" w:color="auto"/>
      </w:divBdr>
      <w:divsChild>
        <w:div w:id="1156915406">
          <w:marLeft w:val="0"/>
          <w:marRight w:val="0"/>
          <w:marTop w:val="0"/>
          <w:marBottom w:val="0"/>
          <w:divBdr>
            <w:top w:val="none" w:sz="0" w:space="0" w:color="auto"/>
            <w:left w:val="none" w:sz="0" w:space="0" w:color="auto"/>
            <w:bottom w:val="none" w:sz="0" w:space="0" w:color="auto"/>
            <w:right w:val="none" w:sz="0" w:space="0" w:color="auto"/>
          </w:divBdr>
          <w:divsChild>
            <w:div w:id="1099642035">
              <w:marLeft w:val="0"/>
              <w:marRight w:val="0"/>
              <w:marTop w:val="0"/>
              <w:marBottom w:val="0"/>
              <w:divBdr>
                <w:top w:val="none" w:sz="0" w:space="0" w:color="auto"/>
                <w:left w:val="none" w:sz="0" w:space="0" w:color="auto"/>
                <w:bottom w:val="none" w:sz="0" w:space="0" w:color="auto"/>
                <w:right w:val="none" w:sz="0" w:space="0" w:color="auto"/>
              </w:divBdr>
              <w:divsChild>
                <w:div w:id="1634679630">
                  <w:marLeft w:val="0"/>
                  <w:marRight w:val="0"/>
                  <w:marTop w:val="0"/>
                  <w:marBottom w:val="0"/>
                  <w:divBdr>
                    <w:top w:val="none" w:sz="0" w:space="0" w:color="auto"/>
                    <w:left w:val="none" w:sz="0" w:space="0" w:color="auto"/>
                    <w:bottom w:val="none" w:sz="0" w:space="0" w:color="auto"/>
                    <w:right w:val="none" w:sz="0" w:space="0" w:color="auto"/>
                  </w:divBdr>
                  <w:divsChild>
                    <w:div w:id="320086017">
                      <w:marLeft w:val="0"/>
                      <w:marRight w:val="0"/>
                      <w:marTop w:val="0"/>
                      <w:marBottom w:val="0"/>
                      <w:divBdr>
                        <w:top w:val="none" w:sz="0" w:space="0" w:color="auto"/>
                        <w:left w:val="none" w:sz="0" w:space="0" w:color="auto"/>
                        <w:bottom w:val="none" w:sz="0" w:space="0" w:color="auto"/>
                        <w:right w:val="none" w:sz="0" w:space="0" w:color="auto"/>
                      </w:divBdr>
                      <w:divsChild>
                        <w:div w:id="1139034284">
                          <w:marLeft w:val="0"/>
                          <w:marRight w:val="0"/>
                          <w:marTop w:val="0"/>
                          <w:marBottom w:val="0"/>
                          <w:divBdr>
                            <w:top w:val="none" w:sz="0" w:space="0" w:color="auto"/>
                            <w:left w:val="none" w:sz="0" w:space="0" w:color="auto"/>
                            <w:bottom w:val="none" w:sz="0" w:space="0" w:color="auto"/>
                            <w:right w:val="none" w:sz="0" w:space="0" w:color="auto"/>
                          </w:divBdr>
                          <w:divsChild>
                            <w:div w:id="156552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37602">
      <w:bodyDiv w:val="1"/>
      <w:marLeft w:val="0"/>
      <w:marRight w:val="0"/>
      <w:marTop w:val="0"/>
      <w:marBottom w:val="0"/>
      <w:divBdr>
        <w:top w:val="none" w:sz="0" w:space="0" w:color="auto"/>
        <w:left w:val="none" w:sz="0" w:space="0" w:color="auto"/>
        <w:bottom w:val="none" w:sz="0" w:space="0" w:color="auto"/>
        <w:right w:val="none" w:sz="0" w:space="0" w:color="auto"/>
      </w:divBdr>
    </w:div>
    <w:div w:id="218245105">
      <w:bodyDiv w:val="1"/>
      <w:marLeft w:val="0"/>
      <w:marRight w:val="0"/>
      <w:marTop w:val="0"/>
      <w:marBottom w:val="0"/>
      <w:divBdr>
        <w:top w:val="none" w:sz="0" w:space="0" w:color="auto"/>
        <w:left w:val="none" w:sz="0" w:space="0" w:color="auto"/>
        <w:bottom w:val="none" w:sz="0" w:space="0" w:color="auto"/>
        <w:right w:val="none" w:sz="0" w:space="0" w:color="auto"/>
      </w:divBdr>
    </w:div>
    <w:div w:id="225263682">
      <w:bodyDiv w:val="1"/>
      <w:marLeft w:val="0"/>
      <w:marRight w:val="0"/>
      <w:marTop w:val="0"/>
      <w:marBottom w:val="0"/>
      <w:divBdr>
        <w:top w:val="none" w:sz="0" w:space="0" w:color="auto"/>
        <w:left w:val="none" w:sz="0" w:space="0" w:color="auto"/>
        <w:bottom w:val="none" w:sz="0" w:space="0" w:color="auto"/>
        <w:right w:val="none" w:sz="0" w:space="0" w:color="auto"/>
      </w:divBdr>
      <w:divsChild>
        <w:div w:id="2132284828">
          <w:marLeft w:val="0"/>
          <w:marRight w:val="0"/>
          <w:marTop w:val="0"/>
          <w:marBottom w:val="0"/>
          <w:divBdr>
            <w:top w:val="none" w:sz="0" w:space="0" w:color="auto"/>
            <w:left w:val="none" w:sz="0" w:space="0" w:color="auto"/>
            <w:bottom w:val="none" w:sz="0" w:space="0" w:color="auto"/>
            <w:right w:val="none" w:sz="0" w:space="0" w:color="auto"/>
          </w:divBdr>
          <w:divsChild>
            <w:div w:id="1556892307">
              <w:marLeft w:val="0"/>
              <w:marRight w:val="0"/>
              <w:marTop w:val="0"/>
              <w:marBottom w:val="0"/>
              <w:divBdr>
                <w:top w:val="none" w:sz="0" w:space="0" w:color="auto"/>
                <w:left w:val="none" w:sz="0" w:space="0" w:color="auto"/>
                <w:bottom w:val="none" w:sz="0" w:space="0" w:color="auto"/>
                <w:right w:val="none" w:sz="0" w:space="0" w:color="auto"/>
              </w:divBdr>
              <w:divsChild>
                <w:div w:id="1030840402">
                  <w:marLeft w:val="0"/>
                  <w:marRight w:val="0"/>
                  <w:marTop w:val="0"/>
                  <w:marBottom w:val="0"/>
                  <w:divBdr>
                    <w:top w:val="none" w:sz="0" w:space="0" w:color="auto"/>
                    <w:left w:val="none" w:sz="0" w:space="0" w:color="auto"/>
                    <w:bottom w:val="none" w:sz="0" w:space="0" w:color="auto"/>
                    <w:right w:val="none" w:sz="0" w:space="0" w:color="auto"/>
                  </w:divBdr>
                  <w:divsChild>
                    <w:div w:id="1093820644">
                      <w:marLeft w:val="0"/>
                      <w:marRight w:val="0"/>
                      <w:marTop w:val="0"/>
                      <w:marBottom w:val="0"/>
                      <w:divBdr>
                        <w:top w:val="none" w:sz="0" w:space="0" w:color="auto"/>
                        <w:left w:val="none" w:sz="0" w:space="0" w:color="auto"/>
                        <w:bottom w:val="none" w:sz="0" w:space="0" w:color="auto"/>
                        <w:right w:val="none" w:sz="0" w:space="0" w:color="auto"/>
                      </w:divBdr>
                      <w:divsChild>
                        <w:div w:id="104467518">
                          <w:marLeft w:val="0"/>
                          <w:marRight w:val="0"/>
                          <w:marTop w:val="0"/>
                          <w:marBottom w:val="0"/>
                          <w:divBdr>
                            <w:top w:val="none" w:sz="0" w:space="0" w:color="auto"/>
                            <w:left w:val="none" w:sz="0" w:space="0" w:color="auto"/>
                            <w:bottom w:val="none" w:sz="0" w:space="0" w:color="auto"/>
                            <w:right w:val="none" w:sz="0" w:space="0" w:color="auto"/>
                          </w:divBdr>
                          <w:divsChild>
                            <w:div w:id="130280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9027177">
      <w:bodyDiv w:val="1"/>
      <w:marLeft w:val="0"/>
      <w:marRight w:val="0"/>
      <w:marTop w:val="0"/>
      <w:marBottom w:val="0"/>
      <w:divBdr>
        <w:top w:val="none" w:sz="0" w:space="0" w:color="auto"/>
        <w:left w:val="none" w:sz="0" w:space="0" w:color="auto"/>
        <w:bottom w:val="none" w:sz="0" w:space="0" w:color="auto"/>
        <w:right w:val="none" w:sz="0" w:space="0" w:color="auto"/>
      </w:divBdr>
    </w:div>
    <w:div w:id="247347949">
      <w:bodyDiv w:val="1"/>
      <w:marLeft w:val="0"/>
      <w:marRight w:val="0"/>
      <w:marTop w:val="0"/>
      <w:marBottom w:val="0"/>
      <w:divBdr>
        <w:top w:val="none" w:sz="0" w:space="0" w:color="auto"/>
        <w:left w:val="none" w:sz="0" w:space="0" w:color="auto"/>
        <w:bottom w:val="none" w:sz="0" w:space="0" w:color="auto"/>
        <w:right w:val="none" w:sz="0" w:space="0" w:color="auto"/>
      </w:divBdr>
    </w:div>
    <w:div w:id="258220189">
      <w:bodyDiv w:val="1"/>
      <w:marLeft w:val="0"/>
      <w:marRight w:val="0"/>
      <w:marTop w:val="0"/>
      <w:marBottom w:val="0"/>
      <w:divBdr>
        <w:top w:val="none" w:sz="0" w:space="0" w:color="auto"/>
        <w:left w:val="none" w:sz="0" w:space="0" w:color="auto"/>
        <w:bottom w:val="none" w:sz="0" w:space="0" w:color="auto"/>
        <w:right w:val="none" w:sz="0" w:space="0" w:color="auto"/>
      </w:divBdr>
    </w:div>
    <w:div w:id="258686841">
      <w:bodyDiv w:val="1"/>
      <w:marLeft w:val="0"/>
      <w:marRight w:val="0"/>
      <w:marTop w:val="0"/>
      <w:marBottom w:val="0"/>
      <w:divBdr>
        <w:top w:val="none" w:sz="0" w:space="0" w:color="auto"/>
        <w:left w:val="none" w:sz="0" w:space="0" w:color="auto"/>
        <w:bottom w:val="none" w:sz="0" w:space="0" w:color="auto"/>
        <w:right w:val="none" w:sz="0" w:space="0" w:color="auto"/>
      </w:divBdr>
    </w:div>
    <w:div w:id="264730179">
      <w:bodyDiv w:val="1"/>
      <w:marLeft w:val="0"/>
      <w:marRight w:val="0"/>
      <w:marTop w:val="0"/>
      <w:marBottom w:val="0"/>
      <w:divBdr>
        <w:top w:val="none" w:sz="0" w:space="0" w:color="auto"/>
        <w:left w:val="none" w:sz="0" w:space="0" w:color="auto"/>
        <w:bottom w:val="none" w:sz="0" w:space="0" w:color="auto"/>
        <w:right w:val="none" w:sz="0" w:space="0" w:color="auto"/>
      </w:divBdr>
      <w:divsChild>
        <w:div w:id="426315037">
          <w:marLeft w:val="0"/>
          <w:marRight w:val="0"/>
          <w:marTop w:val="0"/>
          <w:marBottom w:val="0"/>
          <w:divBdr>
            <w:top w:val="none" w:sz="0" w:space="0" w:color="auto"/>
            <w:left w:val="none" w:sz="0" w:space="0" w:color="auto"/>
            <w:bottom w:val="none" w:sz="0" w:space="0" w:color="auto"/>
            <w:right w:val="none" w:sz="0" w:space="0" w:color="auto"/>
          </w:divBdr>
          <w:divsChild>
            <w:div w:id="1542863586">
              <w:marLeft w:val="0"/>
              <w:marRight w:val="0"/>
              <w:marTop w:val="0"/>
              <w:marBottom w:val="0"/>
              <w:divBdr>
                <w:top w:val="none" w:sz="0" w:space="0" w:color="auto"/>
                <w:left w:val="none" w:sz="0" w:space="0" w:color="auto"/>
                <w:bottom w:val="none" w:sz="0" w:space="0" w:color="auto"/>
                <w:right w:val="none" w:sz="0" w:space="0" w:color="auto"/>
              </w:divBdr>
              <w:divsChild>
                <w:div w:id="112210620">
                  <w:marLeft w:val="0"/>
                  <w:marRight w:val="0"/>
                  <w:marTop w:val="0"/>
                  <w:marBottom w:val="0"/>
                  <w:divBdr>
                    <w:top w:val="none" w:sz="0" w:space="0" w:color="auto"/>
                    <w:left w:val="none" w:sz="0" w:space="0" w:color="auto"/>
                    <w:bottom w:val="none" w:sz="0" w:space="0" w:color="auto"/>
                    <w:right w:val="none" w:sz="0" w:space="0" w:color="auto"/>
                  </w:divBdr>
                  <w:divsChild>
                    <w:div w:id="225456902">
                      <w:marLeft w:val="0"/>
                      <w:marRight w:val="0"/>
                      <w:marTop w:val="0"/>
                      <w:marBottom w:val="0"/>
                      <w:divBdr>
                        <w:top w:val="none" w:sz="0" w:space="0" w:color="auto"/>
                        <w:left w:val="none" w:sz="0" w:space="0" w:color="auto"/>
                        <w:bottom w:val="none" w:sz="0" w:space="0" w:color="auto"/>
                        <w:right w:val="none" w:sz="0" w:space="0" w:color="auto"/>
                      </w:divBdr>
                      <w:divsChild>
                        <w:div w:id="505750387">
                          <w:marLeft w:val="0"/>
                          <w:marRight w:val="0"/>
                          <w:marTop w:val="0"/>
                          <w:marBottom w:val="0"/>
                          <w:divBdr>
                            <w:top w:val="none" w:sz="0" w:space="0" w:color="auto"/>
                            <w:left w:val="none" w:sz="0" w:space="0" w:color="auto"/>
                            <w:bottom w:val="none" w:sz="0" w:space="0" w:color="auto"/>
                            <w:right w:val="none" w:sz="0" w:space="0" w:color="auto"/>
                          </w:divBdr>
                          <w:divsChild>
                            <w:div w:id="91165081">
                              <w:marLeft w:val="0"/>
                              <w:marRight w:val="0"/>
                              <w:marTop w:val="0"/>
                              <w:marBottom w:val="0"/>
                              <w:divBdr>
                                <w:top w:val="none" w:sz="0" w:space="0" w:color="auto"/>
                                <w:left w:val="none" w:sz="0" w:space="0" w:color="auto"/>
                                <w:bottom w:val="none" w:sz="0" w:space="0" w:color="auto"/>
                                <w:right w:val="none" w:sz="0" w:space="0" w:color="auto"/>
                              </w:divBdr>
                              <w:divsChild>
                                <w:div w:id="1726636729">
                                  <w:marLeft w:val="0"/>
                                  <w:marRight w:val="0"/>
                                  <w:marTop w:val="0"/>
                                  <w:marBottom w:val="0"/>
                                  <w:divBdr>
                                    <w:top w:val="none" w:sz="0" w:space="0" w:color="auto"/>
                                    <w:left w:val="none" w:sz="0" w:space="0" w:color="auto"/>
                                    <w:bottom w:val="none" w:sz="0" w:space="0" w:color="auto"/>
                                    <w:right w:val="none" w:sz="0" w:space="0" w:color="auto"/>
                                  </w:divBdr>
                                  <w:divsChild>
                                    <w:div w:id="748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5237481">
      <w:bodyDiv w:val="1"/>
      <w:marLeft w:val="0"/>
      <w:marRight w:val="0"/>
      <w:marTop w:val="0"/>
      <w:marBottom w:val="0"/>
      <w:divBdr>
        <w:top w:val="none" w:sz="0" w:space="0" w:color="auto"/>
        <w:left w:val="none" w:sz="0" w:space="0" w:color="auto"/>
        <w:bottom w:val="none" w:sz="0" w:space="0" w:color="auto"/>
        <w:right w:val="none" w:sz="0" w:space="0" w:color="auto"/>
      </w:divBdr>
    </w:div>
    <w:div w:id="269555806">
      <w:bodyDiv w:val="1"/>
      <w:marLeft w:val="0"/>
      <w:marRight w:val="0"/>
      <w:marTop w:val="0"/>
      <w:marBottom w:val="0"/>
      <w:divBdr>
        <w:top w:val="none" w:sz="0" w:space="0" w:color="auto"/>
        <w:left w:val="none" w:sz="0" w:space="0" w:color="auto"/>
        <w:bottom w:val="none" w:sz="0" w:space="0" w:color="auto"/>
        <w:right w:val="none" w:sz="0" w:space="0" w:color="auto"/>
      </w:divBdr>
    </w:div>
    <w:div w:id="270626600">
      <w:bodyDiv w:val="1"/>
      <w:marLeft w:val="0"/>
      <w:marRight w:val="0"/>
      <w:marTop w:val="0"/>
      <w:marBottom w:val="0"/>
      <w:divBdr>
        <w:top w:val="none" w:sz="0" w:space="0" w:color="auto"/>
        <w:left w:val="none" w:sz="0" w:space="0" w:color="auto"/>
        <w:bottom w:val="none" w:sz="0" w:space="0" w:color="auto"/>
        <w:right w:val="none" w:sz="0" w:space="0" w:color="auto"/>
      </w:divBdr>
    </w:div>
    <w:div w:id="272127640">
      <w:bodyDiv w:val="1"/>
      <w:marLeft w:val="0"/>
      <w:marRight w:val="0"/>
      <w:marTop w:val="0"/>
      <w:marBottom w:val="0"/>
      <w:divBdr>
        <w:top w:val="none" w:sz="0" w:space="0" w:color="auto"/>
        <w:left w:val="none" w:sz="0" w:space="0" w:color="auto"/>
        <w:bottom w:val="none" w:sz="0" w:space="0" w:color="auto"/>
        <w:right w:val="none" w:sz="0" w:space="0" w:color="auto"/>
      </w:divBdr>
    </w:div>
    <w:div w:id="277681944">
      <w:bodyDiv w:val="1"/>
      <w:marLeft w:val="0"/>
      <w:marRight w:val="0"/>
      <w:marTop w:val="0"/>
      <w:marBottom w:val="0"/>
      <w:divBdr>
        <w:top w:val="none" w:sz="0" w:space="0" w:color="auto"/>
        <w:left w:val="none" w:sz="0" w:space="0" w:color="auto"/>
        <w:bottom w:val="none" w:sz="0" w:space="0" w:color="auto"/>
        <w:right w:val="none" w:sz="0" w:space="0" w:color="auto"/>
      </w:divBdr>
    </w:div>
    <w:div w:id="280234161">
      <w:bodyDiv w:val="1"/>
      <w:marLeft w:val="0"/>
      <w:marRight w:val="0"/>
      <w:marTop w:val="0"/>
      <w:marBottom w:val="0"/>
      <w:divBdr>
        <w:top w:val="none" w:sz="0" w:space="0" w:color="auto"/>
        <w:left w:val="none" w:sz="0" w:space="0" w:color="auto"/>
        <w:bottom w:val="none" w:sz="0" w:space="0" w:color="auto"/>
        <w:right w:val="none" w:sz="0" w:space="0" w:color="auto"/>
      </w:divBdr>
      <w:divsChild>
        <w:div w:id="234323677">
          <w:marLeft w:val="0"/>
          <w:marRight w:val="0"/>
          <w:marTop w:val="0"/>
          <w:marBottom w:val="0"/>
          <w:divBdr>
            <w:top w:val="none" w:sz="0" w:space="0" w:color="auto"/>
            <w:left w:val="none" w:sz="0" w:space="0" w:color="auto"/>
            <w:bottom w:val="none" w:sz="0" w:space="0" w:color="auto"/>
            <w:right w:val="none" w:sz="0" w:space="0" w:color="auto"/>
          </w:divBdr>
          <w:divsChild>
            <w:div w:id="848450319">
              <w:marLeft w:val="-75"/>
              <w:marRight w:val="0"/>
              <w:marTop w:val="30"/>
              <w:marBottom w:val="30"/>
              <w:divBdr>
                <w:top w:val="none" w:sz="0" w:space="0" w:color="auto"/>
                <w:left w:val="none" w:sz="0" w:space="0" w:color="auto"/>
                <w:bottom w:val="none" w:sz="0" w:space="0" w:color="auto"/>
                <w:right w:val="none" w:sz="0" w:space="0" w:color="auto"/>
              </w:divBdr>
              <w:divsChild>
                <w:div w:id="42103918">
                  <w:marLeft w:val="0"/>
                  <w:marRight w:val="0"/>
                  <w:marTop w:val="0"/>
                  <w:marBottom w:val="0"/>
                  <w:divBdr>
                    <w:top w:val="none" w:sz="0" w:space="0" w:color="auto"/>
                    <w:left w:val="none" w:sz="0" w:space="0" w:color="auto"/>
                    <w:bottom w:val="none" w:sz="0" w:space="0" w:color="auto"/>
                    <w:right w:val="none" w:sz="0" w:space="0" w:color="auto"/>
                  </w:divBdr>
                  <w:divsChild>
                    <w:div w:id="1296906848">
                      <w:marLeft w:val="0"/>
                      <w:marRight w:val="0"/>
                      <w:marTop w:val="0"/>
                      <w:marBottom w:val="0"/>
                      <w:divBdr>
                        <w:top w:val="none" w:sz="0" w:space="0" w:color="auto"/>
                        <w:left w:val="none" w:sz="0" w:space="0" w:color="auto"/>
                        <w:bottom w:val="none" w:sz="0" w:space="0" w:color="auto"/>
                        <w:right w:val="none" w:sz="0" w:space="0" w:color="auto"/>
                      </w:divBdr>
                    </w:div>
                  </w:divsChild>
                </w:div>
                <w:div w:id="42337120">
                  <w:marLeft w:val="0"/>
                  <w:marRight w:val="0"/>
                  <w:marTop w:val="0"/>
                  <w:marBottom w:val="0"/>
                  <w:divBdr>
                    <w:top w:val="none" w:sz="0" w:space="0" w:color="auto"/>
                    <w:left w:val="none" w:sz="0" w:space="0" w:color="auto"/>
                    <w:bottom w:val="none" w:sz="0" w:space="0" w:color="auto"/>
                    <w:right w:val="none" w:sz="0" w:space="0" w:color="auto"/>
                  </w:divBdr>
                  <w:divsChild>
                    <w:div w:id="939682390">
                      <w:marLeft w:val="0"/>
                      <w:marRight w:val="0"/>
                      <w:marTop w:val="0"/>
                      <w:marBottom w:val="0"/>
                      <w:divBdr>
                        <w:top w:val="none" w:sz="0" w:space="0" w:color="auto"/>
                        <w:left w:val="none" w:sz="0" w:space="0" w:color="auto"/>
                        <w:bottom w:val="none" w:sz="0" w:space="0" w:color="auto"/>
                        <w:right w:val="none" w:sz="0" w:space="0" w:color="auto"/>
                      </w:divBdr>
                    </w:div>
                  </w:divsChild>
                </w:div>
                <w:div w:id="53968860">
                  <w:marLeft w:val="0"/>
                  <w:marRight w:val="0"/>
                  <w:marTop w:val="0"/>
                  <w:marBottom w:val="0"/>
                  <w:divBdr>
                    <w:top w:val="none" w:sz="0" w:space="0" w:color="auto"/>
                    <w:left w:val="none" w:sz="0" w:space="0" w:color="auto"/>
                    <w:bottom w:val="none" w:sz="0" w:space="0" w:color="auto"/>
                    <w:right w:val="none" w:sz="0" w:space="0" w:color="auto"/>
                  </w:divBdr>
                  <w:divsChild>
                    <w:div w:id="774593779">
                      <w:marLeft w:val="0"/>
                      <w:marRight w:val="0"/>
                      <w:marTop w:val="0"/>
                      <w:marBottom w:val="0"/>
                      <w:divBdr>
                        <w:top w:val="none" w:sz="0" w:space="0" w:color="auto"/>
                        <w:left w:val="none" w:sz="0" w:space="0" w:color="auto"/>
                        <w:bottom w:val="none" w:sz="0" w:space="0" w:color="auto"/>
                        <w:right w:val="none" w:sz="0" w:space="0" w:color="auto"/>
                      </w:divBdr>
                    </w:div>
                  </w:divsChild>
                </w:div>
                <w:div w:id="56903500">
                  <w:marLeft w:val="0"/>
                  <w:marRight w:val="0"/>
                  <w:marTop w:val="0"/>
                  <w:marBottom w:val="0"/>
                  <w:divBdr>
                    <w:top w:val="none" w:sz="0" w:space="0" w:color="auto"/>
                    <w:left w:val="none" w:sz="0" w:space="0" w:color="auto"/>
                    <w:bottom w:val="none" w:sz="0" w:space="0" w:color="auto"/>
                    <w:right w:val="none" w:sz="0" w:space="0" w:color="auto"/>
                  </w:divBdr>
                  <w:divsChild>
                    <w:div w:id="1623851161">
                      <w:marLeft w:val="0"/>
                      <w:marRight w:val="0"/>
                      <w:marTop w:val="0"/>
                      <w:marBottom w:val="0"/>
                      <w:divBdr>
                        <w:top w:val="none" w:sz="0" w:space="0" w:color="auto"/>
                        <w:left w:val="none" w:sz="0" w:space="0" w:color="auto"/>
                        <w:bottom w:val="none" w:sz="0" w:space="0" w:color="auto"/>
                        <w:right w:val="none" w:sz="0" w:space="0" w:color="auto"/>
                      </w:divBdr>
                    </w:div>
                  </w:divsChild>
                </w:div>
                <w:div w:id="67728197">
                  <w:marLeft w:val="0"/>
                  <w:marRight w:val="0"/>
                  <w:marTop w:val="0"/>
                  <w:marBottom w:val="0"/>
                  <w:divBdr>
                    <w:top w:val="none" w:sz="0" w:space="0" w:color="auto"/>
                    <w:left w:val="none" w:sz="0" w:space="0" w:color="auto"/>
                    <w:bottom w:val="none" w:sz="0" w:space="0" w:color="auto"/>
                    <w:right w:val="none" w:sz="0" w:space="0" w:color="auto"/>
                  </w:divBdr>
                  <w:divsChild>
                    <w:div w:id="73204049">
                      <w:marLeft w:val="0"/>
                      <w:marRight w:val="0"/>
                      <w:marTop w:val="0"/>
                      <w:marBottom w:val="0"/>
                      <w:divBdr>
                        <w:top w:val="none" w:sz="0" w:space="0" w:color="auto"/>
                        <w:left w:val="none" w:sz="0" w:space="0" w:color="auto"/>
                        <w:bottom w:val="none" w:sz="0" w:space="0" w:color="auto"/>
                        <w:right w:val="none" w:sz="0" w:space="0" w:color="auto"/>
                      </w:divBdr>
                    </w:div>
                  </w:divsChild>
                </w:div>
                <w:div w:id="73623496">
                  <w:marLeft w:val="0"/>
                  <w:marRight w:val="0"/>
                  <w:marTop w:val="0"/>
                  <w:marBottom w:val="0"/>
                  <w:divBdr>
                    <w:top w:val="none" w:sz="0" w:space="0" w:color="auto"/>
                    <w:left w:val="none" w:sz="0" w:space="0" w:color="auto"/>
                    <w:bottom w:val="none" w:sz="0" w:space="0" w:color="auto"/>
                    <w:right w:val="none" w:sz="0" w:space="0" w:color="auto"/>
                  </w:divBdr>
                  <w:divsChild>
                    <w:div w:id="1711609370">
                      <w:marLeft w:val="0"/>
                      <w:marRight w:val="0"/>
                      <w:marTop w:val="0"/>
                      <w:marBottom w:val="0"/>
                      <w:divBdr>
                        <w:top w:val="none" w:sz="0" w:space="0" w:color="auto"/>
                        <w:left w:val="none" w:sz="0" w:space="0" w:color="auto"/>
                        <w:bottom w:val="none" w:sz="0" w:space="0" w:color="auto"/>
                        <w:right w:val="none" w:sz="0" w:space="0" w:color="auto"/>
                      </w:divBdr>
                    </w:div>
                  </w:divsChild>
                </w:div>
                <w:div w:id="95058764">
                  <w:marLeft w:val="0"/>
                  <w:marRight w:val="0"/>
                  <w:marTop w:val="0"/>
                  <w:marBottom w:val="0"/>
                  <w:divBdr>
                    <w:top w:val="none" w:sz="0" w:space="0" w:color="auto"/>
                    <w:left w:val="none" w:sz="0" w:space="0" w:color="auto"/>
                    <w:bottom w:val="none" w:sz="0" w:space="0" w:color="auto"/>
                    <w:right w:val="none" w:sz="0" w:space="0" w:color="auto"/>
                  </w:divBdr>
                  <w:divsChild>
                    <w:div w:id="1017777934">
                      <w:marLeft w:val="0"/>
                      <w:marRight w:val="0"/>
                      <w:marTop w:val="0"/>
                      <w:marBottom w:val="0"/>
                      <w:divBdr>
                        <w:top w:val="none" w:sz="0" w:space="0" w:color="auto"/>
                        <w:left w:val="none" w:sz="0" w:space="0" w:color="auto"/>
                        <w:bottom w:val="none" w:sz="0" w:space="0" w:color="auto"/>
                        <w:right w:val="none" w:sz="0" w:space="0" w:color="auto"/>
                      </w:divBdr>
                    </w:div>
                  </w:divsChild>
                </w:div>
                <w:div w:id="130484726">
                  <w:marLeft w:val="0"/>
                  <w:marRight w:val="0"/>
                  <w:marTop w:val="0"/>
                  <w:marBottom w:val="0"/>
                  <w:divBdr>
                    <w:top w:val="none" w:sz="0" w:space="0" w:color="auto"/>
                    <w:left w:val="none" w:sz="0" w:space="0" w:color="auto"/>
                    <w:bottom w:val="none" w:sz="0" w:space="0" w:color="auto"/>
                    <w:right w:val="none" w:sz="0" w:space="0" w:color="auto"/>
                  </w:divBdr>
                  <w:divsChild>
                    <w:div w:id="1340037083">
                      <w:marLeft w:val="0"/>
                      <w:marRight w:val="0"/>
                      <w:marTop w:val="0"/>
                      <w:marBottom w:val="0"/>
                      <w:divBdr>
                        <w:top w:val="none" w:sz="0" w:space="0" w:color="auto"/>
                        <w:left w:val="none" w:sz="0" w:space="0" w:color="auto"/>
                        <w:bottom w:val="none" w:sz="0" w:space="0" w:color="auto"/>
                        <w:right w:val="none" w:sz="0" w:space="0" w:color="auto"/>
                      </w:divBdr>
                    </w:div>
                  </w:divsChild>
                </w:div>
                <w:div w:id="131603677">
                  <w:marLeft w:val="0"/>
                  <w:marRight w:val="0"/>
                  <w:marTop w:val="0"/>
                  <w:marBottom w:val="0"/>
                  <w:divBdr>
                    <w:top w:val="none" w:sz="0" w:space="0" w:color="auto"/>
                    <w:left w:val="none" w:sz="0" w:space="0" w:color="auto"/>
                    <w:bottom w:val="none" w:sz="0" w:space="0" w:color="auto"/>
                    <w:right w:val="none" w:sz="0" w:space="0" w:color="auto"/>
                  </w:divBdr>
                  <w:divsChild>
                    <w:div w:id="1323851533">
                      <w:marLeft w:val="0"/>
                      <w:marRight w:val="0"/>
                      <w:marTop w:val="0"/>
                      <w:marBottom w:val="0"/>
                      <w:divBdr>
                        <w:top w:val="none" w:sz="0" w:space="0" w:color="auto"/>
                        <w:left w:val="none" w:sz="0" w:space="0" w:color="auto"/>
                        <w:bottom w:val="none" w:sz="0" w:space="0" w:color="auto"/>
                        <w:right w:val="none" w:sz="0" w:space="0" w:color="auto"/>
                      </w:divBdr>
                    </w:div>
                  </w:divsChild>
                </w:div>
                <w:div w:id="143087490">
                  <w:marLeft w:val="0"/>
                  <w:marRight w:val="0"/>
                  <w:marTop w:val="0"/>
                  <w:marBottom w:val="0"/>
                  <w:divBdr>
                    <w:top w:val="none" w:sz="0" w:space="0" w:color="auto"/>
                    <w:left w:val="none" w:sz="0" w:space="0" w:color="auto"/>
                    <w:bottom w:val="none" w:sz="0" w:space="0" w:color="auto"/>
                    <w:right w:val="none" w:sz="0" w:space="0" w:color="auto"/>
                  </w:divBdr>
                  <w:divsChild>
                    <w:div w:id="2006399591">
                      <w:marLeft w:val="0"/>
                      <w:marRight w:val="0"/>
                      <w:marTop w:val="0"/>
                      <w:marBottom w:val="0"/>
                      <w:divBdr>
                        <w:top w:val="none" w:sz="0" w:space="0" w:color="auto"/>
                        <w:left w:val="none" w:sz="0" w:space="0" w:color="auto"/>
                        <w:bottom w:val="none" w:sz="0" w:space="0" w:color="auto"/>
                        <w:right w:val="none" w:sz="0" w:space="0" w:color="auto"/>
                      </w:divBdr>
                    </w:div>
                  </w:divsChild>
                </w:div>
                <w:div w:id="182716199">
                  <w:marLeft w:val="0"/>
                  <w:marRight w:val="0"/>
                  <w:marTop w:val="0"/>
                  <w:marBottom w:val="0"/>
                  <w:divBdr>
                    <w:top w:val="none" w:sz="0" w:space="0" w:color="auto"/>
                    <w:left w:val="none" w:sz="0" w:space="0" w:color="auto"/>
                    <w:bottom w:val="none" w:sz="0" w:space="0" w:color="auto"/>
                    <w:right w:val="none" w:sz="0" w:space="0" w:color="auto"/>
                  </w:divBdr>
                  <w:divsChild>
                    <w:div w:id="94833812">
                      <w:marLeft w:val="0"/>
                      <w:marRight w:val="0"/>
                      <w:marTop w:val="0"/>
                      <w:marBottom w:val="0"/>
                      <w:divBdr>
                        <w:top w:val="none" w:sz="0" w:space="0" w:color="auto"/>
                        <w:left w:val="none" w:sz="0" w:space="0" w:color="auto"/>
                        <w:bottom w:val="none" w:sz="0" w:space="0" w:color="auto"/>
                        <w:right w:val="none" w:sz="0" w:space="0" w:color="auto"/>
                      </w:divBdr>
                    </w:div>
                  </w:divsChild>
                </w:div>
                <w:div w:id="186910540">
                  <w:marLeft w:val="0"/>
                  <w:marRight w:val="0"/>
                  <w:marTop w:val="0"/>
                  <w:marBottom w:val="0"/>
                  <w:divBdr>
                    <w:top w:val="none" w:sz="0" w:space="0" w:color="auto"/>
                    <w:left w:val="none" w:sz="0" w:space="0" w:color="auto"/>
                    <w:bottom w:val="none" w:sz="0" w:space="0" w:color="auto"/>
                    <w:right w:val="none" w:sz="0" w:space="0" w:color="auto"/>
                  </w:divBdr>
                  <w:divsChild>
                    <w:div w:id="1953588925">
                      <w:marLeft w:val="0"/>
                      <w:marRight w:val="0"/>
                      <w:marTop w:val="0"/>
                      <w:marBottom w:val="0"/>
                      <w:divBdr>
                        <w:top w:val="none" w:sz="0" w:space="0" w:color="auto"/>
                        <w:left w:val="none" w:sz="0" w:space="0" w:color="auto"/>
                        <w:bottom w:val="none" w:sz="0" w:space="0" w:color="auto"/>
                        <w:right w:val="none" w:sz="0" w:space="0" w:color="auto"/>
                      </w:divBdr>
                    </w:div>
                  </w:divsChild>
                </w:div>
                <w:div w:id="202711687">
                  <w:marLeft w:val="0"/>
                  <w:marRight w:val="0"/>
                  <w:marTop w:val="0"/>
                  <w:marBottom w:val="0"/>
                  <w:divBdr>
                    <w:top w:val="none" w:sz="0" w:space="0" w:color="auto"/>
                    <w:left w:val="none" w:sz="0" w:space="0" w:color="auto"/>
                    <w:bottom w:val="none" w:sz="0" w:space="0" w:color="auto"/>
                    <w:right w:val="none" w:sz="0" w:space="0" w:color="auto"/>
                  </w:divBdr>
                  <w:divsChild>
                    <w:div w:id="1755202705">
                      <w:marLeft w:val="0"/>
                      <w:marRight w:val="0"/>
                      <w:marTop w:val="0"/>
                      <w:marBottom w:val="0"/>
                      <w:divBdr>
                        <w:top w:val="none" w:sz="0" w:space="0" w:color="auto"/>
                        <w:left w:val="none" w:sz="0" w:space="0" w:color="auto"/>
                        <w:bottom w:val="none" w:sz="0" w:space="0" w:color="auto"/>
                        <w:right w:val="none" w:sz="0" w:space="0" w:color="auto"/>
                      </w:divBdr>
                    </w:div>
                  </w:divsChild>
                </w:div>
                <w:div w:id="214850556">
                  <w:marLeft w:val="0"/>
                  <w:marRight w:val="0"/>
                  <w:marTop w:val="0"/>
                  <w:marBottom w:val="0"/>
                  <w:divBdr>
                    <w:top w:val="none" w:sz="0" w:space="0" w:color="auto"/>
                    <w:left w:val="none" w:sz="0" w:space="0" w:color="auto"/>
                    <w:bottom w:val="none" w:sz="0" w:space="0" w:color="auto"/>
                    <w:right w:val="none" w:sz="0" w:space="0" w:color="auto"/>
                  </w:divBdr>
                  <w:divsChild>
                    <w:div w:id="1413891227">
                      <w:marLeft w:val="0"/>
                      <w:marRight w:val="0"/>
                      <w:marTop w:val="0"/>
                      <w:marBottom w:val="0"/>
                      <w:divBdr>
                        <w:top w:val="none" w:sz="0" w:space="0" w:color="auto"/>
                        <w:left w:val="none" w:sz="0" w:space="0" w:color="auto"/>
                        <w:bottom w:val="none" w:sz="0" w:space="0" w:color="auto"/>
                        <w:right w:val="none" w:sz="0" w:space="0" w:color="auto"/>
                      </w:divBdr>
                    </w:div>
                  </w:divsChild>
                </w:div>
                <w:div w:id="285239383">
                  <w:marLeft w:val="0"/>
                  <w:marRight w:val="0"/>
                  <w:marTop w:val="0"/>
                  <w:marBottom w:val="0"/>
                  <w:divBdr>
                    <w:top w:val="none" w:sz="0" w:space="0" w:color="auto"/>
                    <w:left w:val="none" w:sz="0" w:space="0" w:color="auto"/>
                    <w:bottom w:val="none" w:sz="0" w:space="0" w:color="auto"/>
                    <w:right w:val="none" w:sz="0" w:space="0" w:color="auto"/>
                  </w:divBdr>
                  <w:divsChild>
                    <w:div w:id="1032606863">
                      <w:marLeft w:val="0"/>
                      <w:marRight w:val="0"/>
                      <w:marTop w:val="0"/>
                      <w:marBottom w:val="0"/>
                      <w:divBdr>
                        <w:top w:val="none" w:sz="0" w:space="0" w:color="auto"/>
                        <w:left w:val="none" w:sz="0" w:space="0" w:color="auto"/>
                        <w:bottom w:val="none" w:sz="0" w:space="0" w:color="auto"/>
                        <w:right w:val="none" w:sz="0" w:space="0" w:color="auto"/>
                      </w:divBdr>
                    </w:div>
                  </w:divsChild>
                </w:div>
                <w:div w:id="309671316">
                  <w:marLeft w:val="0"/>
                  <w:marRight w:val="0"/>
                  <w:marTop w:val="0"/>
                  <w:marBottom w:val="0"/>
                  <w:divBdr>
                    <w:top w:val="none" w:sz="0" w:space="0" w:color="auto"/>
                    <w:left w:val="none" w:sz="0" w:space="0" w:color="auto"/>
                    <w:bottom w:val="none" w:sz="0" w:space="0" w:color="auto"/>
                    <w:right w:val="none" w:sz="0" w:space="0" w:color="auto"/>
                  </w:divBdr>
                  <w:divsChild>
                    <w:div w:id="975331489">
                      <w:marLeft w:val="0"/>
                      <w:marRight w:val="0"/>
                      <w:marTop w:val="0"/>
                      <w:marBottom w:val="0"/>
                      <w:divBdr>
                        <w:top w:val="none" w:sz="0" w:space="0" w:color="auto"/>
                        <w:left w:val="none" w:sz="0" w:space="0" w:color="auto"/>
                        <w:bottom w:val="none" w:sz="0" w:space="0" w:color="auto"/>
                        <w:right w:val="none" w:sz="0" w:space="0" w:color="auto"/>
                      </w:divBdr>
                    </w:div>
                  </w:divsChild>
                </w:div>
                <w:div w:id="311104871">
                  <w:marLeft w:val="0"/>
                  <w:marRight w:val="0"/>
                  <w:marTop w:val="0"/>
                  <w:marBottom w:val="0"/>
                  <w:divBdr>
                    <w:top w:val="none" w:sz="0" w:space="0" w:color="auto"/>
                    <w:left w:val="none" w:sz="0" w:space="0" w:color="auto"/>
                    <w:bottom w:val="none" w:sz="0" w:space="0" w:color="auto"/>
                    <w:right w:val="none" w:sz="0" w:space="0" w:color="auto"/>
                  </w:divBdr>
                  <w:divsChild>
                    <w:div w:id="243296464">
                      <w:marLeft w:val="0"/>
                      <w:marRight w:val="0"/>
                      <w:marTop w:val="0"/>
                      <w:marBottom w:val="0"/>
                      <w:divBdr>
                        <w:top w:val="none" w:sz="0" w:space="0" w:color="auto"/>
                        <w:left w:val="none" w:sz="0" w:space="0" w:color="auto"/>
                        <w:bottom w:val="none" w:sz="0" w:space="0" w:color="auto"/>
                        <w:right w:val="none" w:sz="0" w:space="0" w:color="auto"/>
                      </w:divBdr>
                    </w:div>
                  </w:divsChild>
                </w:div>
                <w:div w:id="337998464">
                  <w:marLeft w:val="0"/>
                  <w:marRight w:val="0"/>
                  <w:marTop w:val="0"/>
                  <w:marBottom w:val="0"/>
                  <w:divBdr>
                    <w:top w:val="none" w:sz="0" w:space="0" w:color="auto"/>
                    <w:left w:val="none" w:sz="0" w:space="0" w:color="auto"/>
                    <w:bottom w:val="none" w:sz="0" w:space="0" w:color="auto"/>
                    <w:right w:val="none" w:sz="0" w:space="0" w:color="auto"/>
                  </w:divBdr>
                  <w:divsChild>
                    <w:div w:id="1097141549">
                      <w:marLeft w:val="0"/>
                      <w:marRight w:val="0"/>
                      <w:marTop w:val="0"/>
                      <w:marBottom w:val="0"/>
                      <w:divBdr>
                        <w:top w:val="none" w:sz="0" w:space="0" w:color="auto"/>
                        <w:left w:val="none" w:sz="0" w:space="0" w:color="auto"/>
                        <w:bottom w:val="none" w:sz="0" w:space="0" w:color="auto"/>
                        <w:right w:val="none" w:sz="0" w:space="0" w:color="auto"/>
                      </w:divBdr>
                    </w:div>
                  </w:divsChild>
                </w:div>
                <w:div w:id="402223904">
                  <w:marLeft w:val="0"/>
                  <w:marRight w:val="0"/>
                  <w:marTop w:val="0"/>
                  <w:marBottom w:val="0"/>
                  <w:divBdr>
                    <w:top w:val="none" w:sz="0" w:space="0" w:color="auto"/>
                    <w:left w:val="none" w:sz="0" w:space="0" w:color="auto"/>
                    <w:bottom w:val="none" w:sz="0" w:space="0" w:color="auto"/>
                    <w:right w:val="none" w:sz="0" w:space="0" w:color="auto"/>
                  </w:divBdr>
                  <w:divsChild>
                    <w:div w:id="2075543404">
                      <w:marLeft w:val="0"/>
                      <w:marRight w:val="0"/>
                      <w:marTop w:val="0"/>
                      <w:marBottom w:val="0"/>
                      <w:divBdr>
                        <w:top w:val="none" w:sz="0" w:space="0" w:color="auto"/>
                        <w:left w:val="none" w:sz="0" w:space="0" w:color="auto"/>
                        <w:bottom w:val="none" w:sz="0" w:space="0" w:color="auto"/>
                        <w:right w:val="none" w:sz="0" w:space="0" w:color="auto"/>
                      </w:divBdr>
                    </w:div>
                  </w:divsChild>
                </w:div>
                <w:div w:id="440228155">
                  <w:marLeft w:val="0"/>
                  <w:marRight w:val="0"/>
                  <w:marTop w:val="0"/>
                  <w:marBottom w:val="0"/>
                  <w:divBdr>
                    <w:top w:val="none" w:sz="0" w:space="0" w:color="auto"/>
                    <w:left w:val="none" w:sz="0" w:space="0" w:color="auto"/>
                    <w:bottom w:val="none" w:sz="0" w:space="0" w:color="auto"/>
                    <w:right w:val="none" w:sz="0" w:space="0" w:color="auto"/>
                  </w:divBdr>
                  <w:divsChild>
                    <w:div w:id="863445188">
                      <w:marLeft w:val="0"/>
                      <w:marRight w:val="0"/>
                      <w:marTop w:val="0"/>
                      <w:marBottom w:val="0"/>
                      <w:divBdr>
                        <w:top w:val="none" w:sz="0" w:space="0" w:color="auto"/>
                        <w:left w:val="none" w:sz="0" w:space="0" w:color="auto"/>
                        <w:bottom w:val="none" w:sz="0" w:space="0" w:color="auto"/>
                        <w:right w:val="none" w:sz="0" w:space="0" w:color="auto"/>
                      </w:divBdr>
                    </w:div>
                  </w:divsChild>
                </w:div>
                <w:div w:id="472257717">
                  <w:marLeft w:val="0"/>
                  <w:marRight w:val="0"/>
                  <w:marTop w:val="0"/>
                  <w:marBottom w:val="0"/>
                  <w:divBdr>
                    <w:top w:val="none" w:sz="0" w:space="0" w:color="auto"/>
                    <w:left w:val="none" w:sz="0" w:space="0" w:color="auto"/>
                    <w:bottom w:val="none" w:sz="0" w:space="0" w:color="auto"/>
                    <w:right w:val="none" w:sz="0" w:space="0" w:color="auto"/>
                  </w:divBdr>
                  <w:divsChild>
                    <w:div w:id="18482143">
                      <w:marLeft w:val="0"/>
                      <w:marRight w:val="0"/>
                      <w:marTop w:val="0"/>
                      <w:marBottom w:val="0"/>
                      <w:divBdr>
                        <w:top w:val="none" w:sz="0" w:space="0" w:color="auto"/>
                        <w:left w:val="none" w:sz="0" w:space="0" w:color="auto"/>
                        <w:bottom w:val="none" w:sz="0" w:space="0" w:color="auto"/>
                        <w:right w:val="none" w:sz="0" w:space="0" w:color="auto"/>
                      </w:divBdr>
                    </w:div>
                  </w:divsChild>
                </w:div>
                <w:div w:id="510072044">
                  <w:marLeft w:val="0"/>
                  <w:marRight w:val="0"/>
                  <w:marTop w:val="0"/>
                  <w:marBottom w:val="0"/>
                  <w:divBdr>
                    <w:top w:val="none" w:sz="0" w:space="0" w:color="auto"/>
                    <w:left w:val="none" w:sz="0" w:space="0" w:color="auto"/>
                    <w:bottom w:val="none" w:sz="0" w:space="0" w:color="auto"/>
                    <w:right w:val="none" w:sz="0" w:space="0" w:color="auto"/>
                  </w:divBdr>
                  <w:divsChild>
                    <w:div w:id="1300497222">
                      <w:marLeft w:val="0"/>
                      <w:marRight w:val="0"/>
                      <w:marTop w:val="0"/>
                      <w:marBottom w:val="0"/>
                      <w:divBdr>
                        <w:top w:val="none" w:sz="0" w:space="0" w:color="auto"/>
                        <w:left w:val="none" w:sz="0" w:space="0" w:color="auto"/>
                        <w:bottom w:val="none" w:sz="0" w:space="0" w:color="auto"/>
                        <w:right w:val="none" w:sz="0" w:space="0" w:color="auto"/>
                      </w:divBdr>
                    </w:div>
                  </w:divsChild>
                </w:div>
                <w:div w:id="566956527">
                  <w:marLeft w:val="0"/>
                  <w:marRight w:val="0"/>
                  <w:marTop w:val="0"/>
                  <w:marBottom w:val="0"/>
                  <w:divBdr>
                    <w:top w:val="none" w:sz="0" w:space="0" w:color="auto"/>
                    <w:left w:val="none" w:sz="0" w:space="0" w:color="auto"/>
                    <w:bottom w:val="none" w:sz="0" w:space="0" w:color="auto"/>
                    <w:right w:val="none" w:sz="0" w:space="0" w:color="auto"/>
                  </w:divBdr>
                  <w:divsChild>
                    <w:div w:id="1588534018">
                      <w:marLeft w:val="0"/>
                      <w:marRight w:val="0"/>
                      <w:marTop w:val="0"/>
                      <w:marBottom w:val="0"/>
                      <w:divBdr>
                        <w:top w:val="none" w:sz="0" w:space="0" w:color="auto"/>
                        <w:left w:val="none" w:sz="0" w:space="0" w:color="auto"/>
                        <w:bottom w:val="none" w:sz="0" w:space="0" w:color="auto"/>
                        <w:right w:val="none" w:sz="0" w:space="0" w:color="auto"/>
                      </w:divBdr>
                    </w:div>
                  </w:divsChild>
                </w:div>
                <w:div w:id="567230876">
                  <w:marLeft w:val="0"/>
                  <w:marRight w:val="0"/>
                  <w:marTop w:val="0"/>
                  <w:marBottom w:val="0"/>
                  <w:divBdr>
                    <w:top w:val="none" w:sz="0" w:space="0" w:color="auto"/>
                    <w:left w:val="none" w:sz="0" w:space="0" w:color="auto"/>
                    <w:bottom w:val="none" w:sz="0" w:space="0" w:color="auto"/>
                    <w:right w:val="none" w:sz="0" w:space="0" w:color="auto"/>
                  </w:divBdr>
                  <w:divsChild>
                    <w:div w:id="1959020760">
                      <w:marLeft w:val="0"/>
                      <w:marRight w:val="0"/>
                      <w:marTop w:val="0"/>
                      <w:marBottom w:val="0"/>
                      <w:divBdr>
                        <w:top w:val="none" w:sz="0" w:space="0" w:color="auto"/>
                        <w:left w:val="none" w:sz="0" w:space="0" w:color="auto"/>
                        <w:bottom w:val="none" w:sz="0" w:space="0" w:color="auto"/>
                        <w:right w:val="none" w:sz="0" w:space="0" w:color="auto"/>
                      </w:divBdr>
                    </w:div>
                  </w:divsChild>
                </w:div>
                <w:div w:id="656105891">
                  <w:marLeft w:val="0"/>
                  <w:marRight w:val="0"/>
                  <w:marTop w:val="0"/>
                  <w:marBottom w:val="0"/>
                  <w:divBdr>
                    <w:top w:val="none" w:sz="0" w:space="0" w:color="auto"/>
                    <w:left w:val="none" w:sz="0" w:space="0" w:color="auto"/>
                    <w:bottom w:val="none" w:sz="0" w:space="0" w:color="auto"/>
                    <w:right w:val="none" w:sz="0" w:space="0" w:color="auto"/>
                  </w:divBdr>
                  <w:divsChild>
                    <w:div w:id="1825270002">
                      <w:marLeft w:val="0"/>
                      <w:marRight w:val="0"/>
                      <w:marTop w:val="0"/>
                      <w:marBottom w:val="0"/>
                      <w:divBdr>
                        <w:top w:val="none" w:sz="0" w:space="0" w:color="auto"/>
                        <w:left w:val="none" w:sz="0" w:space="0" w:color="auto"/>
                        <w:bottom w:val="none" w:sz="0" w:space="0" w:color="auto"/>
                        <w:right w:val="none" w:sz="0" w:space="0" w:color="auto"/>
                      </w:divBdr>
                    </w:div>
                  </w:divsChild>
                </w:div>
                <w:div w:id="680929848">
                  <w:marLeft w:val="0"/>
                  <w:marRight w:val="0"/>
                  <w:marTop w:val="0"/>
                  <w:marBottom w:val="0"/>
                  <w:divBdr>
                    <w:top w:val="none" w:sz="0" w:space="0" w:color="auto"/>
                    <w:left w:val="none" w:sz="0" w:space="0" w:color="auto"/>
                    <w:bottom w:val="none" w:sz="0" w:space="0" w:color="auto"/>
                    <w:right w:val="none" w:sz="0" w:space="0" w:color="auto"/>
                  </w:divBdr>
                  <w:divsChild>
                    <w:div w:id="2144033049">
                      <w:marLeft w:val="0"/>
                      <w:marRight w:val="0"/>
                      <w:marTop w:val="0"/>
                      <w:marBottom w:val="0"/>
                      <w:divBdr>
                        <w:top w:val="none" w:sz="0" w:space="0" w:color="auto"/>
                        <w:left w:val="none" w:sz="0" w:space="0" w:color="auto"/>
                        <w:bottom w:val="none" w:sz="0" w:space="0" w:color="auto"/>
                        <w:right w:val="none" w:sz="0" w:space="0" w:color="auto"/>
                      </w:divBdr>
                    </w:div>
                  </w:divsChild>
                </w:div>
                <w:div w:id="747269226">
                  <w:marLeft w:val="0"/>
                  <w:marRight w:val="0"/>
                  <w:marTop w:val="0"/>
                  <w:marBottom w:val="0"/>
                  <w:divBdr>
                    <w:top w:val="none" w:sz="0" w:space="0" w:color="auto"/>
                    <w:left w:val="none" w:sz="0" w:space="0" w:color="auto"/>
                    <w:bottom w:val="none" w:sz="0" w:space="0" w:color="auto"/>
                    <w:right w:val="none" w:sz="0" w:space="0" w:color="auto"/>
                  </w:divBdr>
                  <w:divsChild>
                    <w:div w:id="828179754">
                      <w:marLeft w:val="0"/>
                      <w:marRight w:val="0"/>
                      <w:marTop w:val="0"/>
                      <w:marBottom w:val="0"/>
                      <w:divBdr>
                        <w:top w:val="none" w:sz="0" w:space="0" w:color="auto"/>
                        <w:left w:val="none" w:sz="0" w:space="0" w:color="auto"/>
                        <w:bottom w:val="none" w:sz="0" w:space="0" w:color="auto"/>
                        <w:right w:val="none" w:sz="0" w:space="0" w:color="auto"/>
                      </w:divBdr>
                    </w:div>
                  </w:divsChild>
                </w:div>
                <w:div w:id="819687672">
                  <w:marLeft w:val="0"/>
                  <w:marRight w:val="0"/>
                  <w:marTop w:val="0"/>
                  <w:marBottom w:val="0"/>
                  <w:divBdr>
                    <w:top w:val="none" w:sz="0" w:space="0" w:color="auto"/>
                    <w:left w:val="none" w:sz="0" w:space="0" w:color="auto"/>
                    <w:bottom w:val="none" w:sz="0" w:space="0" w:color="auto"/>
                    <w:right w:val="none" w:sz="0" w:space="0" w:color="auto"/>
                  </w:divBdr>
                  <w:divsChild>
                    <w:div w:id="1494762939">
                      <w:marLeft w:val="0"/>
                      <w:marRight w:val="0"/>
                      <w:marTop w:val="0"/>
                      <w:marBottom w:val="0"/>
                      <w:divBdr>
                        <w:top w:val="none" w:sz="0" w:space="0" w:color="auto"/>
                        <w:left w:val="none" w:sz="0" w:space="0" w:color="auto"/>
                        <w:bottom w:val="none" w:sz="0" w:space="0" w:color="auto"/>
                        <w:right w:val="none" w:sz="0" w:space="0" w:color="auto"/>
                      </w:divBdr>
                    </w:div>
                  </w:divsChild>
                </w:div>
                <w:div w:id="822550452">
                  <w:marLeft w:val="0"/>
                  <w:marRight w:val="0"/>
                  <w:marTop w:val="0"/>
                  <w:marBottom w:val="0"/>
                  <w:divBdr>
                    <w:top w:val="none" w:sz="0" w:space="0" w:color="auto"/>
                    <w:left w:val="none" w:sz="0" w:space="0" w:color="auto"/>
                    <w:bottom w:val="none" w:sz="0" w:space="0" w:color="auto"/>
                    <w:right w:val="none" w:sz="0" w:space="0" w:color="auto"/>
                  </w:divBdr>
                  <w:divsChild>
                    <w:div w:id="116997215">
                      <w:marLeft w:val="0"/>
                      <w:marRight w:val="0"/>
                      <w:marTop w:val="0"/>
                      <w:marBottom w:val="0"/>
                      <w:divBdr>
                        <w:top w:val="none" w:sz="0" w:space="0" w:color="auto"/>
                        <w:left w:val="none" w:sz="0" w:space="0" w:color="auto"/>
                        <w:bottom w:val="none" w:sz="0" w:space="0" w:color="auto"/>
                        <w:right w:val="none" w:sz="0" w:space="0" w:color="auto"/>
                      </w:divBdr>
                    </w:div>
                  </w:divsChild>
                </w:div>
                <w:div w:id="830176346">
                  <w:marLeft w:val="0"/>
                  <w:marRight w:val="0"/>
                  <w:marTop w:val="0"/>
                  <w:marBottom w:val="0"/>
                  <w:divBdr>
                    <w:top w:val="none" w:sz="0" w:space="0" w:color="auto"/>
                    <w:left w:val="none" w:sz="0" w:space="0" w:color="auto"/>
                    <w:bottom w:val="none" w:sz="0" w:space="0" w:color="auto"/>
                    <w:right w:val="none" w:sz="0" w:space="0" w:color="auto"/>
                  </w:divBdr>
                  <w:divsChild>
                    <w:div w:id="949358484">
                      <w:marLeft w:val="0"/>
                      <w:marRight w:val="0"/>
                      <w:marTop w:val="0"/>
                      <w:marBottom w:val="0"/>
                      <w:divBdr>
                        <w:top w:val="none" w:sz="0" w:space="0" w:color="auto"/>
                        <w:left w:val="none" w:sz="0" w:space="0" w:color="auto"/>
                        <w:bottom w:val="none" w:sz="0" w:space="0" w:color="auto"/>
                        <w:right w:val="none" w:sz="0" w:space="0" w:color="auto"/>
                      </w:divBdr>
                    </w:div>
                  </w:divsChild>
                </w:div>
                <w:div w:id="842279237">
                  <w:marLeft w:val="0"/>
                  <w:marRight w:val="0"/>
                  <w:marTop w:val="0"/>
                  <w:marBottom w:val="0"/>
                  <w:divBdr>
                    <w:top w:val="none" w:sz="0" w:space="0" w:color="auto"/>
                    <w:left w:val="none" w:sz="0" w:space="0" w:color="auto"/>
                    <w:bottom w:val="none" w:sz="0" w:space="0" w:color="auto"/>
                    <w:right w:val="none" w:sz="0" w:space="0" w:color="auto"/>
                  </w:divBdr>
                  <w:divsChild>
                    <w:div w:id="783305081">
                      <w:marLeft w:val="0"/>
                      <w:marRight w:val="0"/>
                      <w:marTop w:val="0"/>
                      <w:marBottom w:val="0"/>
                      <w:divBdr>
                        <w:top w:val="none" w:sz="0" w:space="0" w:color="auto"/>
                        <w:left w:val="none" w:sz="0" w:space="0" w:color="auto"/>
                        <w:bottom w:val="none" w:sz="0" w:space="0" w:color="auto"/>
                        <w:right w:val="none" w:sz="0" w:space="0" w:color="auto"/>
                      </w:divBdr>
                    </w:div>
                  </w:divsChild>
                </w:div>
                <w:div w:id="894664067">
                  <w:marLeft w:val="0"/>
                  <w:marRight w:val="0"/>
                  <w:marTop w:val="0"/>
                  <w:marBottom w:val="0"/>
                  <w:divBdr>
                    <w:top w:val="none" w:sz="0" w:space="0" w:color="auto"/>
                    <w:left w:val="none" w:sz="0" w:space="0" w:color="auto"/>
                    <w:bottom w:val="none" w:sz="0" w:space="0" w:color="auto"/>
                    <w:right w:val="none" w:sz="0" w:space="0" w:color="auto"/>
                  </w:divBdr>
                  <w:divsChild>
                    <w:div w:id="112403920">
                      <w:marLeft w:val="0"/>
                      <w:marRight w:val="0"/>
                      <w:marTop w:val="0"/>
                      <w:marBottom w:val="0"/>
                      <w:divBdr>
                        <w:top w:val="none" w:sz="0" w:space="0" w:color="auto"/>
                        <w:left w:val="none" w:sz="0" w:space="0" w:color="auto"/>
                        <w:bottom w:val="none" w:sz="0" w:space="0" w:color="auto"/>
                        <w:right w:val="none" w:sz="0" w:space="0" w:color="auto"/>
                      </w:divBdr>
                    </w:div>
                  </w:divsChild>
                </w:div>
                <w:div w:id="965743702">
                  <w:marLeft w:val="0"/>
                  <w:marRight w:val="0"/>
                  <w:marTop w:val="0"/>
                  <w:marBottom w:val="0"/>
                  <w:divBdr>
                    <w:top w:val="none" w:sz="0" w:space="0" w:color="auto"/>
                    <w:left w:val="none" w:sz="0" w:space="0" w:color="auto"/>
                    <w:bottom w:val="none" w:sz="0" w:space="0" w:color="auto"/>
                    <w:right w:val="none" w:sz="0" w:space="0" w:color="auto"/>
                  </w:divBdr>
                  <w:divsChild>
                    <w:div w:id="1250777796">
                      <w:marLeft w:val="0"/>
                      <w:marRight w:val="0"/>
                      <w:marTop w:val="0"/>
                      <w:marBottom w:val="0"/>
                      <w:divBdr>
                        <w:top w:val="none" w:sz="0" w:space="0" w:color="auto"/>
                        <w:left w:val="none" w:sz="0" w:space="0" w:color="auto"/>
                        <w:bottom w:val="none" w:sz="0" w:space="0" w:color="auto"/>
                        <w:right w:val="none" w:sz="0" w:space="0" w:color="auto"/>
                      </w:divBdr>
                    </w:div>
                  </w:divsChild>
                </w:div>
                <w:div w:id="999578454">
                  <w:marLeft w:val="0"/>
                  <w:marRight w:val="0"/>
                  <w:marTop w:val="0"/>
                  <w:marBottom w:val="0"/>
                  <w:divBdr>
                    <w:top w:val="none" w:sz="0" w:space="0" w:color="auto"/>
                    <w:left w:val="none" w:sz="0" w:space="0" w:color="auto"/>
                    <w:bottom w:val="none" w:sz="0" w:space="0" w:color="auto"/>
                    <w:right w:val="none" w:sz="0" w:space="0" w:color="auto"/>
                  </w:divBdr>
                  <w:divsChild>
                    <w:div w:id="1253205341">
                      <w:marLeft w:val="0"/>
                      <w:marRight w:val="0"/>
                      <w:marTop w:val="0"/>
                      <w:marBottom w:val="0"/>
                      <w:divBdr>
                        <w:top w:val="none" w:sz="0" w:space="0" w:color="auto"/>
                        <w:left w:val="none" w:sz="0" w:space="0" w:color="auto"/>
                        <w:bottom w:val="none" w:sz="0" w:space="0" w:color="auto"/>
                        <w:right w:val="none" w:sz="0" w:space="0" w:color="auto"/>
                      </w:divBdr>
                    </w:div>
                  </w:divsChild>
                </w:div>
                <w:div w:id="1048724484">
                  <w:marLeft w:val="0"/>
                  <w:marRight w:val="0"/>
                  <w:marTop w:val="0"/>
                  <w:marBottom w:val="0"/>
                  <w:divBdr>
                    <w:top w:val="none" w:sz="0" w:space="0" w:color="auto"/>
                    <w:left w:val="none" w:sz="0" w:space="0" w:color="auto"/>
                    <w:bottom w:val="none" w:sz="0" w:space="0" w:color="auto"/>
                    <w:right w:val="none" w:sz="0" w:space="0" w:color="auto"/>
                  </w:divBdr>
                  <w:divsChild>
                    <w:div w:id="1166558254">
                      <w:marLeft w:val="0"/>
                      <w:marRight w:val="0"/>
                      <w:marTop w:val="0"/>
                      <w:marBottom w:val="0"/>
                      <w:divBdr>
                        <w:top w:val="none" w:sz="0" w:space="0" w:color="auto"/>
                        <w:left w:val="none" w:sz="0" w:space="0" w:color="auto"/>
                        <w:bottom w:val="none" w:sz="0" w:space="0" w:color="auto"/>
                        <w:right w:val="none" w:sz="0" w:space="0" w:color="auto"/>
                      </w:divBdr>
                    </w:div>
                  </w:divsChild>
                </w:div>
                <w:div w:id="1054741807">
                  <w:marLeft w:val="0"/>
                  <w:marRight w:val="0"/>
                  <w:marTop w:val="0"/>
                  <w:marBottom w:val="0"/>
                  <w:divBdr>
                    <w:top w:val="none" w:sz="0" w:space="0" w:color="auto"/>
                    <w:left w:val="none" w:sz="0" w:space="0" w:color="auto"/>
                    <w:bottom w:val="none" w:sz="0" w:space="0" w:color="auto"/>
                    <w:right w:val="none" w:sz="0" w:space="0" w:color="auto"/>
                  </w:divBdr>
                  <w:divsChild>
                    <w:div w:id="533083742">
                      <w:marLeft w:val="0"/>
                      <w:marRight w:val="0"/>
                      <w:marTop w:val="0"/>
                      <w:marBottom w:val="0"/>
                      <w:divBdr>
                        <w:top w:val="none" w:sz="0" w:space="0" w:color="auto"/>
                        <w:left w:val="none" w:sz="0" w:space="0" w:color="auto"/>
                        <w:bottom w:val="none" w:sz="0" w:space="0" w:color="auto"/>
                        <w:right w:val="none" w:sz="0" w:space="0" w:color="auto"/>
                      </w:divBdr>
                    </w:div>
                  </w:divsChild>
                </w:div>
                <w:div w:id="1070542738">
                  <w:marLeft w:val="0"/>
                  <w:marRight w:val="0"/>
                  <w:marTop w:val="0"/>
                  <w:marBottom w:val="0"/>
                  <w:divBdr>
                    <w:top w:val="none" w:sz="0" w:space="0" w:color="auto"/>
                    <w:left w:val="none" w:sz="0" w:space="0" w:color="auto"/>
                    <w:bottom w:val="none" w:sz="0" w:space="0" w:color="auto"/>
                    <w:right w:val="none" w:sz="0" w:space="0" w:color="auto"/>
                  </w:divBdr>
                  <w:divsChild>
                    <w:div w:id="563831046">
                      <w:marLeft w:val="0"/>
                      <w:marRight w:val="0"/>
                      <w:marTop w:val="0"/>
                      <w:marBottom w:val="0"/>
                      <w:divBdr>
                        <w:top w:val="none" w:sz="0" w:space="0" w:color="auto"/>
                        <w:left w:val="none" w:sz="0" w:space="0" w:color="auto"/>
                        <w:bottom w:val="none" w:sz="0" w:space="0" w:color="auto"/>
                        <w:right w:val="none" w:sz="0" w:space="0" w:color="auto"/>
                      </w:divBdr>
                    </w:div>
                  </w:divsChild>
                </w:div>
                <w:div w:id="1079986214">
                  <w:marLeft w:val="0"/>
                  <w:marRight w:val="0"/>
                  <w:marTop w:val="0"/>
                  <w:marBottom w:val="0"/>
                  <w:divBdr>
                    <w:top w:val="none" w:sz="0" w:space="0" w:color="auto"/>
                    <w:left w:val="none" w:sz="0" w:space="0" w:color="auto"/>
                    <w:bottom w:val="none" w:sz="0" w:space="0" w:color="auto"/>
                    <w:right w:val="none" w:sz="0" w:space="0" w:color="auto"/>
                  </w:divBdr>
                  <w:divsChild>
                    <w:div w:id="1012225922">
                      <w:marLeft w:val="0"/>
                      <w:marRight w:val="0"/>
                      <w:marTop w:val="0"/>
                      <w:marBottom w:val="0"/>
                      <w:divBdr>
                        <w:top w:val="none" w:sz="0" w:space="0" w:color="auto"/>
                        <w:left w:val="none" w:sz="0" w:space="0" w:color="auto"/>
                        <w:bottom w:val="none" w:sz="0" w:space="0" w:color="auto"/>
                        <w:right w:val="none" w:sz="0" w:space="0" w:color="auto"/>
                      </w:divBdr>
                    </w:div>
                  </w:divsChild>
                </w:div>
                <w:div w:id="1092551707">
                  <w:marLeft w:val="0"/>
                  <w:marRight w:val="0"/>
                  <w:marTop w:val="0"/>
                  <w:marBottom w:val="0"/>
                  <w:divBdr>
                    <w:top w:val="none" w:sz="0" w:space="0" w:color="auto"/>
                    <w:left w:val="none" w:sz="0" w:space="0" w:color="auto"/>
                    <w:bottom w:val="none" w:sz="0" w:space="0" w:color="auto"/>
                    <w:right w:val="none" w:sz="0" w:space="0" w:color="auto"/>
                  </w:divBdr>
                  <w:divsChild>
                    <w:div w:id="761948843">
                      <w:marLeft w:val="0"/>
                      <w:marRight w:val="0"/>
                      <w:marTop w:val="0"/>
                      <w:marBottom w:val="0"/>
                      <w:divBdr>
                        <w:top w:val="none" w:sz="0" w:space="0" w:color="auto"/>
                        <w:left w:val="none" w:sz="0" w:space="0" w:color="auto"/>
                        <w:bottom w:val="none" w:sz="0" w:space="0" w:color="auto"/>
                        <w:right w:val="none" w:sz="0" w:space="0" w:color="auto"/>
                      </w:divBdr>
                    </w:div>
                  </w:divsChild>
                </w:div>
                <w:div w:id="1096561134">
                  <w:marLeft w:val="0"/>
                  <w:marRight w:val="0"/>
                  <w:marTop w:val="0"/>
                  <w:marBottom w:val="0"/>
                  <w:divBdr>
                    <w:top w:val="none" w:sz="0" w:space="0" w:color="auto"/>
                    <w:left w:val="none" w:sz="0" w:space="0" w:color="auto"/>
                    <w:bottom w:val="none" w:sz="0" w:space="0" w:color="auto"/>
                    <w:right w:val="none" w:sz="0" w:space="0" w:color="auto"/>
                  </w:divBdr>
                  <w:divsChild>
                    <w:div w:id="308675919">
                      <w:marLeft w:val="0"/>
                      <w:marRight w:val="0"/>
                      <w:marTop w:val="0"/>
                      <w:marBottom w:val="0"/>
                      <w:divBdr>
                        <w:top w:val="none" w:sz="0" w:space="0" w:color="auto"/>
                        <w:left w:val="none" w:sz="0" w:space="0" w:color="auto"/>
                        <w:bottom w:val="none" w:sz="0" w:space="0" w:color="auto"/>
                        <w:right w:val="none" w:sz="0" w:space="0" w:color="auto"/>
                      </w:divBdr>
                    </w:div>
                  </w:divsChild>
                </w:div>
                <w:div w:id="1108086864">
                  <w:marLeft w:val="0"/>
                  <w:marRight w:val="0"/>
                  <w:marTop w:val="0"/>
                  <w:marBottom w:val="0"/>
                  <w:divBdr>
                    <w:top w:val="none" w:sz="0" w:space="0" w:color="auto"/>
                    <w:left w:val="none" w:sz="0" w:space="0" w:color="auto"/>
                    <w:bottom w:val="none" w:sz="0" w:space="0" w:color="auto"/>
                    <w:right w:val="none" w:sz="0" w:space="0" w:color="auto"/>
                  </w:divBdr>
                  <w:divsChild>
                    <w:div w:id="2044669803">
                      <w:marLeft w:val="0"/>
                      <w:marRight w:val="0"/>
                      <w:marTop w:val="0"/>
                      <w:marBottom w:val="0"/>
                      <w:divBdr>
                        <w:top w:val="none" w:sz="0" w:space="0" w:color="auto"/>
                        <w:left w:val="none" w:sz="0" w:space="0" w:color="auto"/>
                        <w:bottom w:val="none" w:sz="0" w:space="0" w:color="auto"/>
                        <w:right w:val="none" w:sz="0" w:space="0" w:color="auto"/>
                      </w:divBdr>
                    </w:div>
                  </w:divsChild>
                </w:div>
                <w:div w:id="1122118322">
                  <w:marLeft w:val="0"/>
                  <w:marRight w:val="0"/>
                  <w:marTop w:val="0"/>
                  <w:marBottom w:val="0"/>
                  <w:divBdr>
                    <w:top w:val="none" w:sz="0" w:space="0" w:color="auto"/>
                    <w:left w:val="none" w:sz="0" w:space="0" w:color="auto"/>
                    <w:bottom w:val="none" w:sz="0" w:space="0" w:color="auto"/>
                    <w:right w:val="none" w:sz="0" w:space="0" w:color="auto"/>
                  </w:divBdr>
                  <w:divsChild>
                    <w:div w:id="1890994129">
                      <w:marLeft w:val="0"/>
                      <w:marRight w:val="0"/>
                      <w:marTop w:val="0"/>
                      <w:marBottom w:val="0"/>
                      <w:divBdr>
                        <w:top w:val="none" w:sz="0" w:space="0" w:color="auto"/>
                        <w:left w:val="none" w:sz="0" w:space="0" w:color="auto"/>
                        <w:bottom w:val="none" w:sz="0" w:space="0" w:color="auto"/>
                        <w:right w:val="none" w:sz="0" w:space="0" w:color="auto"/>
                      </w:divBdr>
                    </w:div>
                  </w:divsChild>
                </w:div>
                <w:div w:id="1177693475">
                  <w:marLeft w:val="0"/>
                  <w:marRight w:val="0"/>
                  <w:marTop w:val="0"/>
                  <w:marBottom w:val="0"/>
                  <w:divBdr>
                    <w:top w:val="none" w:sz="0" w:space="0" w:color="auto"/>
                    <w:left w:val="none" w:sz="0" w:space="0" w:color="auto"/>
                    <w:bottom w:val="none" w:sz="0" w:space="0" w:color="auto"/>
                    <w:right w:val="none" w:sz="0" w:space="0" w:color="auto"/>
                  </w:divBdr>
                  <w:divsChild>
                    <w:div w:id="296910158">
                      <w:marLeft w:val="0"/>
                      <w:marRight w:val="0"/>
                      <w:marTop w:val="0"/>
                      <w:marBottom w:val="0"/>
                      <w:divBdr>
                        <w:top w:val="none" w:sz="0" w:space="0" w:color="auto"/>
                        <w:left w:val="none" w:sz="0" w:space="0" w:color="auto"/>
                        <w:bottom w:val="none" w:sz="0" w:space="0" w:color="auto"/>
                        <w:right w:val="none" w:sz="0" w:space="0" w:color="auto"/>
                      </w:divBdr>
                    </w:div>
                  </w:divsChild>
                </w:div>
                <w:div w:id="1309016869">
                  <w:marLeft w:val="0"/>
                  <w:marRight w:val="0"/>
                  <w:marTop w:val="0"/>
                  <w:marBottom w:val="0"/>
                  <w:divBdr>
                    <w:top w:val="none" w:sz="0" w:space="0" w:color="auto"/>
                    <w:left w:val="none" w:sz="0" w:space="0" w:color="auto"/>
                    <w:bottom w:val="none" w:sz="0" w:space="0" w:color="auto"/>
                    <w:right w:val="none" w:sz="0" w:space="0" w:color="auto"/>
                  </w:divBdr>
                  <w:divsChild>
                    <w:div w:id="1591549192">
                      <w:marLeft w:val="0"/>
                      <w:marRight w:val="0"/>
                      <w:marTop w:val="0"/>
                      <w:marBottom w:val="0"/>
                      <w:divBdr>
                        <w:top w:val="none" w:sz="0" w:space="0" w:color="auto"/>
                        <w:left w:val="none" w:sz="0" w:space="0" w:color="auto"/>
                        <w:bottom w:val="none" w:sz="0" w:space="0" w:color="auto"/>
                        <w:right w:val="none" w:sz="0" w:space="0" w:color="auto"/>
                      </w:divBdr>
                    </w:div>
                  </w:divsChild>
                </w:div>
                <w:div w:id="1388995822">
                  <w:marLeft w:val="0"/>
                  <w:marRight w:val="0"/>
                  <w:marTop w:val="0"/>
                  <w:marBottom w:val="0"/>
                  <w:divBdr>
                    <w:top w:val="none" w:sz="0" w:space="0" w:color="auto"/>
                    <w:left w:val="none" w:sz="0" w:space="0" w:color="auto"/>
                    <w:bottom w:val="none" w:sz="0" w:space="0" w:color="auto"/>
                    <w:right w:val="none" w:sz="0" w:space="0" w:color="auto"/>
                  </w:divBdr>
                  <w:divsChild>
                    <w:div w:id="1257859258">
                      <w:marLeft w:val="0"/>
                      <w:marRight w:val="0"/>
                      <w:marTop w:val="0"/>
                      <w:marBottom w:val="0"/>
                      <w:divBdr>
                        <w:top w:val="none" w:sz="0" w:space="0" w:color="auto"/>
                        <w:left w:val="none" w:sz="0" w:space="0" w:color="auto"/>
                        <w:bottom w:val="none" w:sz="0" w:space="0" w:color="auto"/>
                        <w:right w:val="none" w:sz="0" w:space="0" w:color="auto"/>
                      </w:divBdr>
                    </w:div>
                  </w:divsChild>
                </w:div>
                <w:div w:id="1399017426">
                  <w:marLeft w:val="0"/>
                  <w:marRight w:val="0"/>
                  <w:marTop w:val="0"/>
                  <w:marBottom w:val="0"/>
                  <w:divBdr>
                    <w:top w:val="none" w:sz="0" w:space="0" w:color="auto"/>
                    <w:left w:val="none" w:sz="0" w:space="0" w:color="auto"/>
                    <w:bottom w:val="none" w:sz="0" w:space="0" w:color="auto"/>
                    <w:right w:val="none" w:sz="0" w:space="0" w:color="auto"/>
                  </w:divBdr>
                  <w:divsChild>
                    <w:div w:id="1973631883">
                      <w:marLeft w:val="0"/>
                      <w:marRight w:val="0"/>
                      <w:marTop w:val="0"/>
                      <w:marBottom w:val="0"/>
                      <w:divBdr>
                        <w:top w:val="none" w:sz="0" w:space="0" w:color="auto"/>
                        <w:left w:val="none" w:sz="0" w:space="0" w:color="auto"/>
                        <w:bottom w:val="none" w:sz="0" w:space="0" w:color="auto"/>
                        <w:right w:val="none" w:sz="0" w:space="0" w:color="auto"/>
                      </w:divBdr>
                    </w:div>
                  </w:divsChild>
                </w:div>
                <w:div w:id="1448740373">
                  <w:marLeft w:val="0"/>
                  <w:marRight w:val="0"/>
                  <w:marTop w:val="0"/>
                  <w:marBottom w:val="0"/>
                  <w:divBdr>
                    <w:top w:val="none" w:sz="0" w:space="0" w:color="auto"/>
                    <w:left w:val="none" w:sz="0" w:space="0" w:color="auto"/>
                    <w:bottom w:val="none" w:sz="0" w:space="0" w:color="auto"/>
                    <w:right w:val="none" w:sz="0" w:space="0" w:color="auto"/>
                  </w:divBdr>
                  <w:divsChild>
                    <w:div w:id="1322809685">
                      <w:marLeft w:val="0"/>
                      <w:marRight w:val="0"/>
                      <w:marTop w:val="0"/>
                      <w:marBottom w:val="0"/>
                      <w:divBdr>
                        <w:top w:val="none" w:sz="0" w:space="0" w:color="auto"/>
                        <w:left w:val="none" w:sz="0" w:space="0" w:color="auto"/>
                        <w:bottom w:val="none" w:sz="0" w:space="0" w:color="auto"/>
                        <w:right w:val="none" w:sz="0" w:space="0" w:color="auto"/>
                      </w:divBdr>
                    </w:div>
                  </w:divsChild>
                </w:div>
                <w:div w:id="1475949614">
                  <w:marLeft w:val="0"/>
                  <w:marRight w:val="0"/>
                  <w:marTop w:val="0"/>
                  <w:marBottom w:val="0"/>
                  <w:divBdr>
                    <w:top w:val="none" w:sz="0" w:space="0" w:color="auto"/>
                    <w:left w:val="none" w:sz="0" w:space="0" w:color="auto"/>
                    <w:bottom w:val="none" w:sz="0" w:space="0" w:color="auto"/>
                    <w:right w:val="none" w:sz="0" w:space="0" w:color="auto"/>
                  </w:divBdr>
                  <w:divsChild>
                    <w:div w:id="215700712">
                      <w:marLeft w:val="0"/>
                      <w:marRight w:val="0"/>
                      <w:marTop w:val="0"/>
                      <w:marBottom w:val="0"/>
                      <w:divBdr>
                        <w:top w:val="none" w:sz="0" w:space="0" w:color="auto"/>
                        <w:left w:val="none" w:sz="0" w:space="0" w:color="auto"/>
                        <w:bottom w:val="none" w:sz="0" w:space="0" w:color="auto"/>
                        <w:right w:val="none" w:sz="0" w:space="0" w:color="auto"/>
                      </w:divBdr>
                    </w:div>
                  </w:divsChild>
                </w:div>
                <w:div w:id="1524782563">
                  <w:marLeft w:val="0"/>
                  <w:marRight w:val="0"/>
                  <w:marTop w:val="0"/>
                  <w:marBottom w:val="0"/>
                  <w:divBdr>
                    <w:top w:val="none" w:sz="0" w:space="0" w:color="auto"/>
                    <w:left w:val="none" w:sz="0" w:space="0" w:color="auto"/>
                    <w:bottom w:val="none" w:sz="0" w:space="0" w:color="auto"/>
                    <w:right w:val="none" w:sz="0" w:space="0" w:color="auto"/>
                  </w:divBdr>
                  <w:divsChild>
                    <w:div w:id="2001542258">
                      <w:marLeft w:val="0"/>
                      <w:marRight w:val="0"/>
                      <w:marTop w:val="0"/>
                      <w:marBottom w:val="0"/>
                      <w:divBdr>
                        <w:top w:val="none" w:sz="0" w:space="0" w:color="auto"/>
                        <w:left w:val="none" w:sz="0" w:space="0" w:color="auto"/>
                        <w:bottom w:val="none" w:sz="0" w:space="0" w:color="auto"/>
                        <w:right w:val="none" w:sz="0" w:space="0" w:color="auto"/>
                      </w:divBdr>
                    </w:div>
                  </w:divsChild>
                </w:div>
                <w:div w:id="1524899857">
                  <w:marLeft w:val="0"/>
                  <w:marRight w:val="0"/>
                  <w:marTop w:val="0"/>
                  <w:marBottom w:val="0"/>
                  <w:divBdr>
                    <w:top w:val="none" w:sz="0" w:space="0" w:color="auto"/>
                    <w:left w:val="none" w:sz="0" w:space="0" w:color="auto"/>
                    <w:bottom w:val="none" w:sz="0" w:space="0" w:color="auto"/>
                    <w:right w:val="none" w:sz="0" w:space="0" w:color="auto"/>
                  </w:divBdr>
                  <w:divsChild>
                    <w:div w:id="1899436470">
                      <w:marLeft w:val="0"/>
                      <w:marRight w:val="0"/>
                      <w:marTop w:val="0"/>
                      <w:marBottom w:val="0"/>
                      <w:divBdr>
                        <w:top w:val="none" w:sz="0" w:space="0" w:color="auto"/>
                        <w:left w:val="none" w:sz="0" w:space="0" w:color="auto"/>
                        <w:bottom w:val="none" w:sz="0" w:space="0" w:color="auto"/>
                        <w:right w:val="none" w:sz="0" w:space="0" w:color="auto"/>
                      </w:divBdr>
                    </w:div>
                  </w:divsChild>
                </w:div>
                <w:div w:id="1525099245">
                  <w:marLeft w:val="0"/>
                  <w:marRight w:val="0"/>
                  <w:marTop w:val="0"/>
                  <w:marBottom w:val="0"/>
                  <w:divBdr>
                    <w:top w:val="none" w:sz="0" w:space="0" w:color="auto"/>
                    <w:left w:val="none" w:sz="0" w:space="0" w:color="auto"/>
                    <w:bottom w:val="none" w:sz="0" w:space="0" w:color="auto"/>
                    <w:right w:val="none" w:sz="0" w:space="0" w:color="auto"/>
                  </w:divBdr>
                  <w:divsChild>
                    <w:div w:id="68507513">
                      <w:marLeft w:val="0"/>
                      <w:marRight w:val="0"/>
                      <w:marTop w:val="0"/>
                      <w:marBottom w:val="0"/>
                      <w:divBdr>
                        <w:top w:val="none" w:sz="0" w:space="0" w:color="auto"/>
                        <w:left w:val="none" w:sz="0" w:space="0" w:color="auto"/>
                        <w:bottom w:val="none" w:sz="0" w:space="0" w:color="auto"/>
                        <w:right w:val="none" w:sz="0" w:space="0" w:color="auto"/>
                      </w:divBdr>
                    </w:div>
                  </w:divsChild>
                </w:div>
                <w:div w:id="1558084675">
                  <w:marLeft w:val="0"/>
                  <w:marRight w:val="0"/>
                  <w:marTop w:val="0"/>
                  <w:marBottom w:val="0"/>
                  <w:divBdr>
                    <w:top w:val="none" w:sz="0" w:space="0" w:color="auto"/>
                    <w:left w:val="none" w:sz="0" w:space="0" w:color="auto"/>
                    <w:bottom w:val="none" w:sz="0" w:space="0" w:color="auto"/>
                    <w:right w:val="none" w:sz="0" w:space="0" w:color="auto"/>
                  </w:divBdr>
                  <w:divsChild>
                    <w:div w:id="1113863030">
                      <w:marLeft w:val="0"/>
                      <w:marRight w:val="0"/>
                      <w:marTop w:val="0"/>
                      <w:marBottom w:val="0"/>
                      <w:divBdr>
                        <w:top w:val="none" w:sz="0" w:space="0" w:color="auto"/>
                        <w:left w:val="none" w:sz="0" w:space="0" w:color="auto"/>
                        <w:bottom w:val="none" w:sz="0" w:space="0" w:color="auto"/>
                        <w:right w:val="none" w:sz="0" w:space="0" w:color="auto"/>
                      </w:divBdr>
                    </w:div>
                  </w:divsChild>
                </w:div>
                <w:div w:id="1582761291">
                  <w:marLeft w:val="0"/>
                  <w:marRight w:val="0"/>
                  <w:marTop w:val="0"/>
                  <w:marBottom w:val="0"/>
                  <w:divBdr>
                    <w:top w:val="none" w:sz="0" w:space="0" w:color="auto"/>
                    <w:left w:val="none" w:sz="0" w:space="0" w:color="auto"/>
                    <w:bottom w:val="none" w:sz="0" w:space="0" w:color="auto"/>
                    <w:right w:val="none" w:sz="0" w:space="0" w:color="auto"/>
                  </w:divBdr>
                  <w:divsChild>
                    <w:div w:id="843976874">
                      <w:marLeft w:val="0"/>
                      <w:marRight w:val="0"/>
                      <w:marTop w:val="0"/>
                      <w:marBottom w:val="0"/>
                      <w:divBdr>
                        <w:top w:val="none" w:sz="0" w:space="0" w:color="auto"/>
                        <w:left w:val="none" w:sz="0" w:space="0" w:color="auto"/>
                        <w:bottom w:val="none" w:sz="0" w:space="0" w:color="auto"/>
                        <w:right w:val="none" w:sz="0" w:space="0" w:color="auto"/>
                      </w:divBdr>
                    </w:div>
                  </w:divsChild>
                </w:div>
                <w:div w:id="1606961431">
                  <w:marLeft w:val="0"/>
                  <w:marRight w:val="0"/>
                  <w:marTop w:val="0"/>
                  <w:marBottom w:val="0"/>
                  <w:divBdr>
                    <w:top w:val="none" w:sz="0" w:space="0" w:color="auto"/>
                    <w:left w:val="none" w:sz="0" w:space="0" w:color="auto"/>
                    <w:bottom w:val="none" w:sz="0" w:space="0" w:color="auto"/>
                    <w:right w:val="none" w:sz="0" w:space="0" w:color="auto"/>
                  </w:divBdr>
                  <w:divsChild>
                    <w:div w:id="1151214510">
                      <w:marLeft w:val="0"/>
                      <w:marRight w:val="0"/>
                      <w:marTop w:val="0"/>
                      <w:marBottom w:val="0"/>
                      <w:divBdr>
                        <w:top w:val="none" w:sz="0" w:space="0" w:color="auto"/>
                        <w:left w:val="none" w:sz="0" w:space="0" w:color="auto"/>
                        <w:bottom w:val="none" w:sz="0" w:space="0" w:color="auto"/>
                        <w:right w:val="none" w:sz="0" w:space="0" w:color="auto"/>
                      </w:divBdr>
                    </w:div>
                  </w:divsChild>
                </w:div>
                <w:div w:id="1644264460">
                  <w:marLeft w:val="0"/>
                  <w:marRight w:val="0"/>
                  <w:marTop w:val="0"/>
                  <w:marBottom w:val="0"/>
                  <w:divBdr>
                    <w:top w:val="none" w:sz="0" w:space="0" w:color="auto"/>
                    <w:left w:val="none" w:sz="0" w:space="0" w:color="auto"/>
                    <w:bottom w:val="none" w:sz="0" w:space="0" w:color="auto"/>
                    <w:right w:val="none" w:sz="0" w:space="0" w:color="auto"/>
                  </w:divBdr>
                  <w:divsChild>
                    <w:div w:id="461118465">
                      <w:marLeft w:val="0"/>
                      <w:marRight w:val="0"/>
                      <w:marTop w:val="0"/>
                      <w:marBottom w:val="0"/>
                      <w:divBdr>
                        <w:top w:val="none" w:sz="0" w:space="0" w:color="auto"/>
                        <w:left w:val="none" w:sz="0" w:space="0" w:color="auto"/>
                        <w:bottom w:val="none" w:sz="0" w:space="0" w:color="auto"/>
                        <w:right w:val="none" w:sz="0" w:space="0" w:color="auto"/>
                      </w:divBdr>
                    </w:div>
                  </w:divsChild>
                </w:div>
                <w:div w:id="1661734195">
                  <w:marLeft w:val="0"/>
                  <w:marRight w:val="0"/>
                  <w:marTop w:val="0"/>
                  <w:marBottom w:val="0"/>
                  <w:divBdr>
                    <w:top w:val="none" w:sz="0" w:space="0" w:color="auto"/>
                    <w:left w:val="none" w:sz="0" w:space="0" w:color="auto"/>
                    <w:bottom w:val="none" w:sz="0" w:space="0" w:color="auto"/>
                    <w:right w:val="none" w:sz="0" w:space="0" w:color="auto"/>
                  </w:divBdr>
                  <w:divsChild>
                    <w:div w:id="794104822">
                      <w:marLeft w:val="0"/>
                      <w:marRight w:val="0"/>
                      <w:marTop w:val="0"/>
                      <w:marBottom w:val="0"/>
                      <w:divBdr>
                        <w:top w:val="none" w:sz="0" w:space="0" w:color="auto"/>
                        <w:left w:val="none" w:sz="0" w:space="0" w:color="auto"/>
                        <w:bottom w:val="none" w:sz="0" w:space="0" w:color="auto"/>
                        <w:right w:val="none" w:sz="0" w:space="0" w:color="auto"/>
                      </w:divBdr>
                    </w:div>
                  </w:divsChild>
                </w:div>
                <w:div w:id="1706518672">
                  <w:marLeft w:val="0"/>
                  <w:marRight w:val="0"/>
                  <w:marTop w:val="0"/>
                  <w:marBottom w:val="0"/>
                  <w:divBdr>
                    <w:top w:val="none" w:sz="0" w:space="0" w:color="auto"/>
                    <w:left w:val="none" w:sz="0" w:space="0" w:color="auto"/>
                    <w:bottom w:val="none" w:sz="0" w:space="0" w:color="auto"/>
                    <w:right w:val="none" w:sz="0" w:space="0" w:color="auto"/>
                  </w:divBdr>
                  <w:divsChild>
                    <w:div w:id="573777492">
                      <w:marLeft w:val="0"/>
                      <w:marRight w:val="0"/>
                      <w:marTop w:val="0"/>
                      <w:marBottom w:val="0"/>
                      <w:divBdr>
                        <w:top w:val="none" w:sz="0" w:space="0" w:color="auto"/>
                        <w:left w:val="none" w:sz="0" w:space="0" w:color="auto"/>
                        <w:bottom w:val="none" w:sz="0" w:space="0" w:color="auto"/>
                        <w:right w:val="none" w:sz="0" w:space="0" w:color="auto"/>
                      </w:divBdr>
                    </w:div>
                  </w:divsChild>
                </w:div>
                <w:div w:id="1851948462">
                  <w:marLeft w:val="0"/>
                  <w:marRight w:val="0"/>
                  <w:marTop w:val="0"/>
                  <w:marBottom w:val="0"/>
                  <w:divBdr>
                    <w:top w:val="none" w:sz="0" w:space="0" w:color="auto"/>
                    <w:left w:val="none" w:sz="0" w:space="0" w:color="auto"/>
                    <w:bottom w:val="none" w:sz="0" w:space="0" w:color="auto"/>
                    <w:right w:val="none" w:sz="0" w:space="0" w:color="auto"/>
                  </w:divBdr>
                  <w:divsChild>
                    <w:div w:id="1594784199">
                      <w:marLeft w:val="0"/>
                      <w:marRight w:val="0"/>
                      <w:marTop w:val="0"/>
                      <w:marBottom w:val="0"/>
                      <w:divBdr>
                        <w:top w:val="none" w:sz="0" w:space="0" w:color="auto"/>
                        <w:left w:val="none" w:sz="0" w:space="0" w:color="auto"/>
                        <w:bottom w:val="none" w:sz="0" w:space="0" w:color="auto"/>
                        <w:right w:val="none" w:sz="0" w:space="0" w:color="auto"/>
                      </w:divBdr>
                    </w:div>
                  </w:divsChild>
                </w:div>
                <w:div w:id="1884442338">
                  <w:marLeft w:val="0"/>
                  <w:marRight w:val="0"/>
                  <w:marTop w:val="0"/>
                  <w:marBottom w:val="0"/>
                  <w:divBdr>
                    <w:top w:val="none" w:sz="0" w:space="0" w:color="auto"/>
                    <w:left w:val="none" w:sz="0" w:space="0" w:color="auto"/>
                    <w:bottom w:val="none" w:sz="0" w:space="0" w:color="auto"/>
                    <w:right w:val="none" w:sz="0" w:space="0" w:color="auto"/>
                  </w:divBdr>
                  <w:divsChild>
                    <w:div w:id="631013274">
                      <w:marLeft w:val="0"/>
                      <w:marRight w:val="0"/>
                      <w:marTop w:val="0"/>
                      <w:marBottom w:val="0"/>
                      <w:divBdr>
                        <w:top w:val="none" w:sz="0" w:space="0" w:color="auto"/>
                        <w:left w:val="none" w:sz="0" w:space="0" w:color="auto"/>
                        <w:bottom w:val="none" w:sz="0" w:space="0" w:color="auto"/>
                        <w:right w:val="none" w:sz="0" w:space="0" w:color="auto"/>
                      </w:divBdr>
                    </w:div>
                  </w:divsChild>
                </w:div>
                <w:div w:id="1888951395">
                  <w:marLeft w:val="0"/>
                  <w:marRight w:val="0"/>
                  <w:marTop w:val="0"/>
                  <w:marBottom w:val="0"/>
                  <w:divBdr>
                    <w:top w:val="none" w:sz="0" w:space="0" w:color="auto"/>
                    <w:left w:val="none" w:sz="0" w:space="0" w:color="auto"/>
                    <w:bottom w:val="none" w:sz="0" w:space="0" w:color="auto"/>
                    <w:right w:val="none" w:sz="0" w:space="0" w:color="auto"/>
                  </w:divBdr>
                  <w:divsChild>
                    <w:div w:id="97872276">
                      <w:marLeft w:val="0"/>
                      <w:marRight w:val="0"/>
                      <w:marTop w:val="0"/>
                      <w:marBottom w:val="0"/>
                      <w:divBdr>
                        <w:top w:val="none" w:sz="0" w:space="0" w:color="auto"/>
                        <w:left w:val="none" w:sz="0" w:space="0" w:color="auto"/>
                        <w:bottom w:val="none" w:sz="0" w:space="0" w:color="auto"/>
                        <w:right w:val="none" w:sz="0" w:space="0" w:color="auto"/>
                      </w:divBdr>
                    </w:div>
                  </w:divsChild>
                </w:div>
                <w:div w:id="1915046017">
                  <w:marLeft w:val="0"/>
                  <w:marRight w:val="0"/>
                  <w:marTop w:val="0"/>
                  <w:marBottom w:val="0"/>
                  <w:divBdr>
                    <w:top w:val="none" w:sz="0" w:space="0" w:color="auto"/>
                    <w:left w:val="none" w:sz="0" w:space="0" w:color="auto"/>
                    <w:bottom w:val="none" w:sz="0" w:space="0" w:color="auto"/>
                    <w:right w:val="none" w:sz="0" w:space="0" w:color="auto"/>
                  </w:divBdr>
                  <w:divsChild>
                    <w:div w:id="912199887">
                      <w:marLeft w:val="0"/>
                      <w:marRight w:val="0"/>
                      <w:marTop w:val="0"/>
                      <w:marBottom w:val="0"/>
                      <w:divBdr>
                        <w:top w:val="none" w:sz="0" w:space="0" w:color="auto"/>
                        <w:left w:val="none" w:sz="0" w:space="0" w:color="auto"/>
                        <w:bottom w:val="none" w:sz="0" w:space="0" w:color="auto"/>
                        <w:right w:val="none" w:sz="0" w:space="0" w:color="auto"/>
                      </w:divBdr>
                    </w:div>
                  </w:divsChild>
                </w:div>
                <w:div w:id="1929148390">
                  <w:marLeft w:val="0"/>
                  <w:marRight w:val="0"/>
                  <w:marTop w:val="0"/>
                  <w:marBottom w:val="0"/>
                  <w:divBdr>
                    <w:top w:val="none" w:sz="0" w:space="0" w:color="auto"/>
                    <w:left w:val="none" w:sz="0" w:space="0" w:color="auto"/>
                    <w:bottom w:val="none" w:sz="0" w:space="0" w:color="auto"/>
                    <w:right w:val="none" w:sz="0" w:space="0" w:color="auto"/>
                  </w:divBdr>
                  <w:divsChild>
                    <w:div w:id="577793321">
                      <w:marLeft w:val="0"/>
                      <w:marRight w:val="0"/>
                      <w:marTop w:val="0"/>
                      <w:marBottom w:val="0"/>
                      <w:divBdr>
                        <w:top w:val="none" w:sz="0" w:space="0" w:color="auto"/>
                        <w:left w:val="none" w:sz="0" w:space="0" w:color="auto"/>
                        <w:bottom w:val="none" w:sz="0" w:space="0" w:color="auto"/>
                        <w:right w:val="none" w:sz="0" w:space="0" w:color="auto"/>
                      </w:divBdr>
                    </w:div>
                  </w:divsChild>
                </w:div>
                <w:div w:id="1937589980">
                  <w:marLeft w:val="0"/>
                  <w:marRight w:val="0"/>
                  <w:marTop w:val="0"/>
                  <w:marBottom w:val="0"/>
                  <w:divBdr>
                    <w:top w:val="none" w:sz="0" w:space="0" w:color="auto"/>
                    <w:left w:val="none" w:sz="0" w:space="0" w:color="auto"/>
                    <w:bottom w:val="none" w:sz="0" w:space="0" w:color="auto"/>
                    <w:right w:val="none" w:sz="0" w:space="0" w:color="auto"/>
                  </w:divBdr>
                  <w:divsChild>
                    <w:div w:id="805393844">
                      <w:marLeft w:val="0"/>
                      <w:marRight w:val="0"/>
                      <w:marTop w:val="0"/>
                      <w:marBottom w:val="0"/>
                      <w:divBdr>
                        <w:top w:val="none" w:sz="0" w:space="0" w:color="auto"/>
                        <w:left w:val="none" w:sz="0" w:space="0" w:color="auto"/>
                        <w:bottom w:val="none" w:sz="0" w:space="0" w:color="auto"/>
                        <w:right w:val="none" w:sz="0" w:space="0" w:color="auto"/>
                      </w:divBdr>
                    </w:div>
                  </w:divsChild>
                </w:div>
                <w:div w:id="1957716555">
                  <w:marLeft w:val="0"/>
                  <w:marRight w:val="0"/>
                  <w:marTop w:val="0"/>
                  <w:marBottom w:val="0"/>
                  <w:divBdr>
                    <w:top w:val="none" w:sz="0" w:space="0" w:color="auto"/>
                    <w:left w:val="none" w:sz="0" w:space="0" w:color="auto"/>
                    <w:bottom w:val="none" w:sz="0" w:space="0" w:color="auto"/>
                    <w:right w:val="none" w:sz="0" w:space="0" w:color="auto"/>
                  </w:divBdr>
                  <w:divsChild>
                    <w:div w:id="152263369">
                      <w:marLeft w:val="0"/>
                      <w:marRight w:val="0"/>
                      <w:marTop w:val="0"/>
                      <w:marBottom w:val="0"/>
                      <w:divBdr>
                        <w:top w:val="none" w:sz="0" w:space="0" w:color="auto"/>
                        <w:left w:val="none" w:sz="0" w:space="0" w:color="auto"/>
                        <w:bottom w:val="none" w:sz="0" w:space="0" w:color="auto"/>
                        <w:right w:val="none" w:sz="0" w:space="0" w:color="auto"/>
                      </w:divBdr>
                    </w:div>
                  </w:divsChild>
                </w:div>
                <w:div w:id="1979332959">
                  <w:marLeft w:val="0"/>
                  <w:marRight w:val="0"/>
                  <w:marTop w:val="0"/>
                  <w:marBottom w:val="0"/>
                  <w:divBdr>
                    <w:top w:val="none" w:sz="0" w:space="0" w:color="auto"/>
                    <w:left w:val="none" w:sz="0" w:space="0" w:color="auto"/>
                    <w:bottom w:val="none" w:sz="0" w:space="0" w:color="auto"/>
                    <w:right w:val="none" w:sz="0" w:space="0" w:color="auto"/>
                  </w:divBdr>
                  <w:divsChild>
                    <w:div w:id="1365251777">
                      <w:marLeft w:val="0"/>
                      <w:marRight w:val="0"/>
                      <w:marTop w:val="0"/>
                      <w:marBottom w:val="0"/>
                      <w:divBdr>
                        <w:top w:val="none" w:sz="0" w:space="0" w:color="auto"/>
                        <w:left w:val="none" w:sz="0" w:space="0" w:color="auto"/>
                        <w:bottom w:val="none" w:sz="0" w:space="0" w:color="auto"/>
                        <w:right w:val="none" w:sz="0" w:space="0" w:color="auto"/>
                      </w:divBdr>
                    </w:div>
                  </w:divsChild>
                </w:div>
                <w:div w:id="1984265822">
                  <w:marLeft w:val="0"/>
                  <w:marRight w:val="0"/>
                  <w:marTop w:val="0"/>
                  <w:marBottom w:val="0"/>
                  <w:divBdr>
                    <w:top w:val="none" w:sz="0" w:space="0" w:color="auto"/>
                    <w:left w:val="none" w:sz="0" w:space="0" w:color="auto"/>
                    <w:bottom w:val="none" w:sz="0" w:space="0" w:color="auto"/>
                    <w:right w:val="none" w:sz="0" w:space="0" w:color="auto"/>
                  </w:divBdr>
                  <w:divsChild>
                    <w:div w:id="1974824711">
                      <w:marLeft w:val="0"/>
                      <w:marRight w:val="0"/>
                      <w:marTop w:val="0"/>
                      <w:marBottom w:val="0"/>
                      <w:divBdr>
                        <w:top w:val="none" w:sz="0" w:space="0" w:color="auto"/>
                        <w:left w:val="none" w:sz="0" w:space="0" w:color="auto"/>
                        <w:bottom w:val="none" w:sz="0" w:space="0" w:color="auto"/>
                        <w:right w:val="none" w:sz="0" w:space="0" w:color="auto"/>
                      </w:divBdr>
                    </w:div>
                  </w:divsChild>
                </w:div>
                <w:div w:id="1995907294">
                  <w:marLeft w:val="0"/>
                  <w:marRight w:val="0"/>
                  <w:marTop w:val="0"/>
                  <w:marBottom w:val="0"/>
                  <w:divBdr>
                    <w:top w:val="none" w:sz="0" w:space="0" w:color="auto"/>
                    <w:left w:val="none" w:sz="0" w:space="0" w:color="auto"/>
                    <w:bottom w:val="none" w:sz="0" w:space="0" w:color="auto"/>
                    <w:right w:val="none" w:sz="0" w:space="0" w:color="auto"/>
                  </w:divBdr>
                  <w:divsChild>
                    <w:div w:id="618412366">
                      <w:marLeft w:val="0"/>
                      <w:marRight w:val="0"/>
                      <w:marTop w:val="0"/>
                      <w:marBottom w:val="0"/>
                      <w:divBdr>
                        <w:top w:val="none" w:sz="0" w:space="0" w:color="auto"/>
                        <w:left w:val="none" w:sz="0" w:space="0" w:color="auto"/>
                        <w:bottom w:val="none" w:sz="0" w:space="0" w:color="auto"/>
                        <w:right w:val="none" w:sz="0" w:space="0" w:color="auto"/>
                      </w:divBdr>
                    </w:div>
                  </w:divsChild>
                </w:div>
                <w:div w:id="2020424697">
                  <w:marLeft w:val="0"/>
                  <w:marRight w:val="0"/>
                  <w:marTop w:val="0"/>
                  <w:marBottom w:val="0"/>
                  <w:divBdr>
                    <w:top w:val="none" w:sz="0" w:space="0" w:color="auto"/>
                    <w:left w:val="none" w:sz="0" w:space="0" w:color="auto"/>
                    <w:bottom w:val="none" w:sz="0" w:space="0" w:color="auto"/>
                    <w:right w:val="none" w:sz="0" w:space="0" w:color="auto"/>
                  </w:divBdr>
                  <w:divsChild>
                    <w:div w:id="136145123">
                      <w:marLeft w:val="0"/>
                      <w:marRight w:val="0"/>
                      <w:marTop w:val="0"/>
                      <w:marBottom w:val="0"/>
                      <w:divBdr>
                        <w:top w:val="none" w:sz="0" w:space="0" w:color="auto"/>
                        <w:left w:val="none" w:sz="0" w:space="0" w:color="auto"/>
                        <w:bottom w:val="none" w:sz="0" w:space="0" w:color="auto"/>
                        <w:right w:val="none" w:sz="0" w:space="0" w:color="auto"/>
                      </w:divBdr>
                    </w:div>
                  </w:divsChild>
                </w:div>
                <w:div w:id="2042657362">
                  <w:marLeft w:val="0"/>
                  <w:marRight w:val="0"/>
                  <w:marTop w:val="0"/>
                  <w:marBottom w:val="0"/>
                  <w:divBdr>
                    <w:top w:val="none" w:sz="0" w:space="0" w:color="auto"/>
                    <w:left w:val="none" w:sz="0" w:space="0" w:color="auto"/>
                    <w:bottom w:val="none" w:sz="0" w:space="0" w:color="auto"/>
                    <w:right w:val="none" w:sz="0" w:space="0" w:color="auto"/>
                  </w:divBdr>
                  <w:divsChild>
                    <w:div w:id="2016951303">
                      <w:marLeft w:val="0"/>
                      <w:marRight w:val="0"/>
                      <w:marTop w:val="0"/>
                      <w:marBottom w:val="0"/>
                      <w:divBdr>
                        <w:top w:val="none" w:sz="0" w:space="0" w:color="auto"/>
                        <w:left w:val="none" w:sz="0" w:space="0" w:color="auto"/>
                        <w:bottom w:val="none" w:sz="0" w:space="0" w:color="auto"/>
                        <w:right w:val="none" w:sz="0" w:space="0" w:color="auto"/>
                      </w:divBdr>
                    </w:div>
                  </w:divsChild>
                </w:div>
                <w:div w:id="2079788366">
                  <w:marLeft w:val="0"/>
                  <w:marRight w:val="0"/>
                  <w:marTop w:val="0"/>
                  <w:marBottom w:val="0"/>
                  <w:divBdr>
                    <w:top w:val="none" w:sz="0" w:space="0" w:color="auto"/>
                    <w:left w:val="none" w:sz="0" w:space="0" w:color="auto"/>
                    <w:bottom w:val="none" w:sz="0" w:space="0" w:color="auto"/>
                    <w:right w:val="none" w:sz="0" w:space="0" w:color="auto"/>
                  </w:divBdr>
                  <w:divsChild>
                    <w:div w:id="2028798299">
                      <w:marLeft w:val="0"/>
                      <w:marRight w:val="0"/>
                      <w:marTop w:val="0"/>
                      <w:marBottom w:val="0"/>
                      <w:divBdr>
                        <w:top w:val="none" w:sz="0" w:space="0" w:color="auto"/>
                        <w:left w:val="none" w:sz="0" w:space="0" w:color="auto"/>
                        <w:bottom w:val="none" w:sz="0" w:space="0" w:color="auto"/>
                        <w:right w:val="none" w:sz="0" w:space="0" w:color="auto"/>
                      </w:divBdr>
                    </w:div>
                  </w:divsChild>
                </w:div>
                <w:div w:id="2084595244">
                  <w:marLeft w:val="0"/>
                  <w:marRight w:val="0"/>
                  <w:marTop w:val="0"/>
                  <w:marBottom w:val="0"/>
                  <w:divBdr>
                    <w:top w:val="none" w:sz="0" w:space="0" w:color="auto"/>
                    <w:left w:val="none" w:sz="0" w:space="0" w:color="auto"/>
                    <w:bottom w:val="none" w:sz="0" w:space="0" w:color="auto"/>
                    <w:right w:val="none" w:sz="0" w:space="0" w:color="auto"/>
                  </w:divBdr>
                  <w:divsChild>
                    <w:div w:id="1094983829">
                      <w:marLeft w:val="0"/>
                      <w:marRight w:val="0"/>
                      <w:marTop w:val="0"/>
                      <w:marBottom w:val="0"/>
                      <w:divBdr>
                        <w:top w:val="none" w:sz="0" w:space="0" w:color="auto"/>
                        <w:left w:val="none" w:sz="0" w:space="0" w:color="auto"/>
                        <w:bottom w:val="none" w:sz="0" w:space="0" w:color="auto"/>
                        <w:right w:val="none" w:sz="0" w:space="0" w:color="auto"/>
                      </w:divBdr>
                    </w:div>
                  </w:divsChild>
                </w:div>
                <w:div w:id="2088072719">
                  <w:marLeft w:val="0"/>
                  <w:marRight w:val="0"/>
                  <w:marTop w:val="0"/>
                  <w:marBottom w:val="0"/>
                  <w:divBdr>
                    <w:top w:val="none" w:sz="0" w:space="0" w:color="auto"/>
                    <w:left w:val="none" w:sz="0" w:space="0" w:color="auto"/>
                    <w:bottom w:val="none" w:sz="0" w:space="0" w:color="auto"/>
                    <w:right w:val="none" w:sz="0" w:space="0" w:color="auto"/>
                  </w:divBdr>
                  <w:divsChild>
                    <w:div w:id="63297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521587">
          <w:marLeft w:val="0"/>
          <w:marRight w:val="0"/>
          <w:marTop w:val="0"/>
          <w:marBottom w:val="0"/>
          <w:divBdr>
            <w:top w:val="none" w:sz="0" w:space="0" w:color="auto"/>
            <w:left w:val="none" w:sz="0" w:space="0" w:color="auto"/>
            <w:bottom w:val="none" w:sz="0" w:space="0" w:color="auto"/>
            <w:right w:val="none" w:sz="0" w:space="0" w:color="auto"/>
          </w:divBdr>
        </w:div>
        <w:div w:id="432290540">
          <w:marLeft w:val="0"/>
          <w:marRight w:val="0"/>
          <w:marTop w:val="0"/>
          <w:marBottom w:val="0"/>
          <w:divBdr>
            <w:top w:val="none" w:sz="0" w:space="0" w:color="auto"/>
            <w:left w:val="none" w:sz="0" w:space="0" w:color="auto"/>
            <w:bottom w:val="none" w:sz="0" w:space="0" w:color="auto"/>
            <w:right w:val="none" w:sz="0" w:space="0" w:color="auto"/>
          </w:divBdr>
        </w:div>
        <w:div w:id="602420086">
          <w:marLeft w:val="0"/>
          <w:marRight w:val="0"/>
          <w:marTop w:val="0"/>
          <w:marBottom w:val="0"/>
          <w:divBdr>
            <w:top w:val="none" w:sz="0" w:space="0" w:color="auto"/>
            <w:left w:val="none" w:sz="0" w:space="0" w:color="auto"/>
            <w:bottom w:val="none" w:sz="0" w:space="0" w:color="auto"/>
            <w:right w:val="none" w:sz="0" w:space="0" w:color="auto"/>
          </w:divBdr>
        </w:div>
        <w:div w:id="790052220">
          <w:marLeft w:val="0"/>
          <w:marRight w:val="0"/>
          <w:marTop w:val="0"/>
          <w:marBottom w:val="0"/>
          <w:divBdr>
            <w:top w:val="none" w:sz="0" w:space="0" w:color="auto"/>
            <w:left w:val="none" w:sz="0" w:space="0" w:color="auto"/>
            <w:bottom w:val="none" w:sz="0" w:space="0" w:color="auto"/>
            <w:right w:val="none" w:sz="0" w:space="0" w:color="auto"/>
          </w:divBdr>
        </w:div>
        <w:div w:id="1379739685">
          <w:marLeft w:val="0"/>
          <w:marRight w:val="0"/>
          <w:marTop w:val="0"/>
          <w:marBottom w:val="0"/>
          <w:divBdr>
            <w:top w:val="none" w:sz="0" w:space="0" w:color="auto"/>
            <w:left w:val="none" w:sz="0" w:space="0" w:color="auto"/>
            <w:bottom w:val="none" w:sz="0" w:space="0" w:color="auto"/>
            <w:right w:val="none" w:sz="0" w:space="0" w:color="auto"/>
          </w:divBdr>
        </w:div>
        <w:div w:id="1501657859">
          <w:marLeft w:val="0"/>
          <w:marRight w:val="0"/>
          <w:marTop w:val="0"/>
          <w:marBottom w:val="0"/>
          <w:divBdr>
            <w:top w:val="none" w:sz="0" w:space="0" w:color="auto"/>
            <w:left w:val="none" w:sz="0" w:space="0" w:color="auto"/>
            <w:bottom w:val="none" w:sz="0" w:space="0" w:color="auto"/>
            <w:right w:val="none" w:sz="0" w:space="0" w:color="auto"/>
          </w:divBdr>
        </w:div>
        <w:div w:id="1621261972">
          <w:marLeft w:val="0"/>
          <w:marRight w:val="0"/>
          <w:marTop w:val="0"/>
          <w:marBottom w:val="0"/>
          <w:divBdr>
            <w:top w:val="none" w:sz="0" w:space="0" w:color="auto"/>
            <w:left w:val="none" w:sz="0" w:space="0" w:color="auto"/>
            <w:bottom w:val="none" w:sz="0" w:space="0" w:color="auto"/>
            <w:right w:val="none" w:sz="0" w:space="0" w:color="auto"/>
          </w:divBdr>
        </w:div>
      </w:divsChild>
    </w:div>
    <w:div w:id="284119188">
      <w:bodyDiv w:val="1"/>
      <w:marLeft w:val="0"/>
      <w:marRight w:val="0"/>
      <w:marTop w:val="0"/>
      <w:marBottom w:val="0"/>
      <w:divBdr>
        <w:top w:val="none" w:sz="0" w:space="0" w:color="auto"/>
        <w:left w:val="none" w:sz="0" w:space="0" w:color="auto"/>
        <w:bottom w:val="none" w:sz="0" w:space="0" w:color="auto"/>
        <w:right w:val="none" w:sz="0" w:space="0" w:color="auto"/>
      </w:divBdr>
    </w:div>
    <w:div w:id="289408280">
      <w:bodyDiv w:val="1"/>
      <w:marLeft w:val="0"/>
      <w:marRight w:val="0"/>
      <w:marTop w:val="0"/>
      <w:marBottom w:val="0"/>
      <w:divBdr>
        <w:top w:val="none" w:sz="0" w:space="0" w:color="auto"/>
        <w:left w:val="none" w:sz="0" w:space="0" w:color="auto"/>
        <w:bottom w:val="none" w:sz="0" w:space="0" w:color="auto"/>
        <w:right w:val="none" w:sz="0" w:space="0" w:color="auto"/>
      </w:divBdr>
    </w:div>
    <w:div w:id="295382432">
      <w:bodyDiv w:val="1"/>
      <w:marLeft w:val="0"/>
      <w:marRight w:val="0"/>
      <w:marTop w:val="0"/>
      <w:marBottom w:val="0"/>
      <w:divBdr>
        <w:top w:val="none" w:sz="0" w:space="0" w:color="auto"/>
        <w:left w:val="none" w:sz="0" w:space="0" w:color="auto"/>
        <w:bottom w:val="none" w:sz="0" w:space="0" w:color="auto"/>
        <w:right w:val="none" w:sz="0" w:space="0" w:color="auto"/>
      </w:divBdr>
    </w:div>
    <w:div w:id="296298326">
      <w:bodyDiv w:val="1"/>
      <w:marLeft w:val="0"/>
      <w:marRight w:val="0"/>
      <w:marTop w:val="0"/>
      <w:marBottom w:val="0"/>
      <w:divBdr>
        <w:top w:val="none" w:sz="0" w:space="0" w:color="auto"/>
        <w:left w:val="none" w:sz="0" w:space="0" w:color="auto"/>
        <w:bottom w:val="none" w:sz="0" w:space="0" w:color="auto"/>
        <w:right w:val="none" w:sz="0" w:space="0" w:color="auto"/>
      </w:divBdr>
    </w:div>
    <w:div w:id="297608215">
      <w:bodyDiv w:val="1"/>
      <w:marLeft w:val="0"/>
      <w:marRight w:val="0"/>
      <w:marTop w:val="0"/>
      <w:marBottom w:val="0"/>
      <w:divBdr>
        <w:top w:val="none" w:sz="0" w:space="0" w:color="auto"/>
        <w:left w:val="none" w:sz="0" w:space="0" w:color="auto"/>
        <w:bottom w:val="none" w:sz="0" w:space="0" w:color="auto"/>
        <w:right w:val="none" w:sz="0" w:space="0" w:color="auto"/>
      </w:divBdr>
    </w:div>
    <w:div w:id="305478024">
      <w:bodyDiv w:val="1"/>
      <w:marLeft w:val="0"/>
      <w:marRight w:val="0"/>
      <w:marTop w:val="0"/>
      <w:marBottom w:val="0"/>
      <w:divBdr>
        <w:top w:val="none" w:sz="0" w:space="0" w:color="auto"/>
        <w:left w:val="none" w:sz="0" w:space="0" w:color="auto"/>
        <w:bottom w:val="none" w:sz="0" w:space="0" w:color="auto"/>
        <w:right w:val="none" w:sz="0" w:space="0" w:color="auto"/>
      </w:divBdr>
    </w:div>
    <w:div w:id="308285866">
      <w:bodyDiv w:val="1"/>
      <w:marLeft w:val="0"/>
      <w:marRight w:val="0"/>
      <w:marTop w:val="0"/>
      <w:marBottom w:val="0"/>
      <w:divBdr>
        <w:top w:val="none" w:sz="0" w:space="0" w:color="auto"/>
        <w:left w:val="none" w:sz="0" w:space="0" w:color="auto"/>
        <w:bottom w:val="none" w:sz="0" w:space="0" w:color="auto"/>
        <w:right w:val="none" w:sz="0" w:space="0" w:color="auto"/>
      </w:divBdr>
    </w:div>
    <w:div w:id="325666027">
      <w:bodyDiv w:val="1"/>
      <w:marLeft w:val="0"/>
      <w:marRight w:val="0"/>
      <w:marTop w:val="0"/>
      <w:marBottom w:val="0"/>
      <w:divBdr>
        <w:top w:val="none" w:sz="0" w:space="0" w:color="auto"/>
        <w:left w:val="none" w:sz="0" w:space="0" w:color="auto"/>
        <w:bottom w:val="none" w:sz="0" w:space="0" w:color="auto"/>
        <w:right w:val="none" w:sz="0" w:space="0" w:color="auto"/>
      </w:divBdr>
    </w:div>
    <w:div w:id="327485376">
      <w:bodyDiv w:val="1"/>
      <w:marLeft w:val="0"/>
      <w:marRight w:val="0"/>
      <w:marTop w:val="0"/>
      <w:marBottom w:val="0"/>
      <w:divBdr>
        <w:top w:val="none" w:sz="0" w:space="0" w:color="auto"/>
        <w:left w:val="none" w:sz="0" w:space="0" w:color="auto"/>
        <w:bottom w:val="none" w:sz="0" w:space="0" w:color="auto"/>
        <w:right w:val="none" w:sz="0" w:space="0" w:color="auto"/>
      </w:divBdr>
    </w:div>
    <w:div w:id="335426722">
      <w:bodyDiv w:val="1"/>
      <w:marLeft w:val="0"/>
      <w:marRight w:val="0"/>
      <w:marTop w:val="0"/>
      <w:marBottom w:val="0"/>
      <w:divBdr>
        <w:top w:val="none" w:sz="0" w:space="0" w:color="auto"/>
        <w:left w:val="none" w:sz="0" w:space="0" w:color="auto"/>
        <w:bottom w:val="none" w:sz="0" w:space="0" w:color="auto"/>
        <w:right w:val="none" w:sz="0" w:space="0" w:color="auto"/>
      </w:divBdr>
    </w:div>
    <w:div w:id="338428835">
      <w:bodyDiv w:val="1"/>
      <w:marLeft w:val="0"/>
      <w:marRight w:val="0"/>
      <w:marTop w:val="0"/>
      <w:marBottom w:val="0"/>
      <w:divBdr>
        <w:top w:val="none" w:sz="0" w:space="0" w:color="auto"/>
        <w:left w:val="none" w:sz="0" w:space="0" w:color="auto"/>
        <w:bottom w:val="none" w:sz="0" w:space="0" w:color="auto"/>
        <w:right w:val="none" w:sz="0" w:space="0" w:color="auto"/>
      </w:divBdr>
    </w:div>
    <w:div w:id="338434226">
      <w:bodyDiv w:val="1"/>
      <w:marLeft w:val="0"/>
      <w:marRight w:val="0"/>
      <w:marTop w:val="0"/>
      <w:marBottom w:val="0"/>
      <w:divBdr>
        <w:top w:val="none" w:sz="0" w:space="0" w:color="auto"/>
        <w:left w:val="none" w:sz="0" w:space="0" w:color="auto"/>
        <w:bottom w:val="none" w:sz="0" w:space="0" w:color="auto"/>
        <w:right w:val="none" w:sz="0" w:space="0" w:color="auto"/>
      </w:divBdr>
    </w:div>
    <w:div w:id="342321944">
      <w:bodyDiv w:val="1"/>
      <w:marLeft w:val="0"/>
      <w:marRight w:val="0"/>
      <w:marTop w:val="0"/>
      <w:marBottom w:val="0"/>
      <w:divBdr>
        <w:top w:val="none" w:sz="0" w:space="0" w:color="auto"/>
        <w:left w:val="none" w:sz="0" w:space="0" w:color="auto"/>
        <w:bottom w:val="none" w:sz="0" w:space="0" w:color="auto"/>
        <w:right w:val="none" w:sz="0" w:space="0" w:color="auto"/>
      </w:divBdr>
    </w:div>
    <w:div w:id="342904295">
      <w:bodyDiv w:val="1"/>
      <w:marLeft w:val="0"/>
      <w:marRight w:val="0"/>
      <w:marTop w:val="0"/>
      <w:marBottom w:val="0"/>
      <w:divBdr>
        <w:top w:val="none" w:sz="0" w:space="0" w:color="auto"/>
        <w:left w:val="none" w:sz="0" w:space="0" w:color="auto"/>
        <w:bottom w:val="none" w:sz="0" w:space="0" w:color="auto"/>
        <w:right w:val="none" w:sz="0" w:space="0" w:color="auto"/>
      </w:divBdr>
    </w:div>
    <w:div w:id="345638669">
      <w:bodyDiv w:val="1"/>
      <w:marLeft w:val="0"/>
      <w:marRight w:val="0"/>
      <w:marTop w:val="0"/>
      <w:marBottom w:val="0"/>
      <w:divBdr>
        <w:top w:val="none" w:sz="0" w:space="0" w:color="auto"/>
        <w:left w:val="none" w:sz="0" w:space="0" w:color="auto"/>
        <w:bottom w:val="none" w:sz="0" w:space="0" w:color="auto"/>
        <w:right w:val="none" w:sz="0" w:space="0" w:color="auto"/>
      </w:divBdr>
    </w:div>
    <w:div w:id="351035884">
      <w:bodyDiv w:val="1"/>
      <w:marLeft w:val="0"/>
      <w:marRight w:val="0"/>
      <w:marTop w:val="0"/>
      <w:marBottom w:val="0"/>
      <w:divBdr>
        <w:top w:val="none" w:sz="0" w:space="0" w:color="auto"/>
        <w:left w:val="none" w:sz="0" w:space="0" w:color="auto"/>
        <w:bottom w:val="none" w:sz="0" w:space="0" w:color="auto"/>
        <w:right w:val="none" w:sz="0" w:space="0" w:color="auto"/>
      </w:divBdr>
    </w:div>
    <w:div w:id="374165485">
      <w:bodyDiv w:val="1"/>
      <w:marLeft w:val="0"/>
      <w:marRight w:val="0"/>
      <w:marTop w:val="0"/>
      <w:marBottom w:val="0"/>
      <w:divBdr>
        <w:top w:val="none" w:sz="0" w:space="0" w:color="auto"/>
        <w:left w:val="none" w:sz="0" w:space="0" w:color="auto"/>
        <w:bottom w:val="none" w:sz="0" w:space="0" w:color="auto"/>
        <w:right w:val="none" w:sz="0" w:space="0" w:color="auto"/>
      </w:divBdr>
      <w:divsChild>
        <w:div w:id="209152558">
          <w:marLeft w:val="0"/>
          <w:marRight w:val="0"/>
          <w:marTop w:val="0"/>
          <w:marBottom w:val="0"/>
          <w:divBdr>
            <w:top w:val="none" w:sz="0" w:space="0" w:color="auto"/>
            <w:left w:val="none" w:sz="0" w:space="0" w:color="auto"/>
            <w:bottom w:val="none" w:sz="0" w:space="0" w:color="auto"/>
            <w:right w:val="none" w:sz="0" w:space="0" w:color="auto"/>
          </w:divBdr>
          <w:divsChild>
            <w:div w:id="1029068589">
              <w:marLeft w:val="0"/>
              <w:marRight w:val="0"/>
              <w:marTop w:val="0"/>
              <w:marBottom w:val="0"/>
              <w:divBdr>
                <w:top w:val="none" w:sz="0" w:space="0" w:color="auto"/>
                <w:left w:val="none" w:sz="0" w:space="0" w:color="auto"/>
                <w:bottom w:val="none" w:sz="0" w:space="0" w:color="auto"/>
                <w:right w:val="none" w:sz="0" w:space="0" w:color="auto"/>
              </w:divBdr>
              <w:divsChild>
                <w:div w:id="49159955">
                  <w:marLeft w:val="0"/>
                  <w:marRight w:val="0"/>
                  <w:marTop w:val="0"/>
                  <w:marBottom w:val="0"/>
                  <w:divBdr>
                    <w:top w:val="none" w:sz="0" w:space="0" w:color="auto"/>
                    <w:left w:val="none" w:sz="0" w:space="0" w:color="auto"/>
                    <w:bottom w:val="none" w:sz="0" w:space="0" w:color="auto"/>
                    <w:right w:val="none" w:sz="0" w:space="0" w:color="auto"/>
                  </w:divBdr>
                  <w:divsChild>
                    <w:div w:id="102694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0538017">
      <w:bodyDiv w:val="1"/>
      <w:marLeft w:val="0"/>
      <w:marRight w:val="0"/>
      <w:marTop w:val="0"/>
      <w:marBottom w:val="0"/>
      <w:divBdr>
        <w:top w:val="none" w:sz="0" w:space="0" w:color="auto"/>
        <w:left w:val="none" w:sz="0" w:space="0" w:color="auto"/>
        <w:bottom w:val="none" w:sz="0" w:space="0" w:color="auto"/>
        <w:right w:val="none" w:sz="0" w:space="0" w:color="auto"/>
      </w:divBdr>
    </w:div>
    <w:div w:id="404037284">
      <w:bodyDiv w:val="1"/>
      <w:marLeft w:val="0"/>
      <w:marRight w:val="0"/>
      <w:marTop w:val="0"/>
      <w:marBottom w:val="0"/>
      <w:divBdr>
        <w:top w:val="none" w:sz="0" w:space="0" w:color="auto"/>
        <w:left w:val="none" w:sz="0" w:space="0" w:color="auto"/>
        <w:bottom w:val="none" w:sz="0" w:space="0" w:color="auto"/>
        <w:right w:val="none" w:sz="0" w:space="0" w:color="auto"/>
      </w:divBdr>
    </w:div>
    <w:div w:id="410390257">
      <w:bodyDiv w:val="1"/>
      <w:marLeft w:val="0"/>
      <w:marRight w:val="0"/>
      <w:marTop w:val="0"/>
      <w:marBottom w:val="0"/>
      <w:divBdr>
        <w:top w:val="none" w:sz="0" w:space="0" w:color="auto"/>
        <w:left w:val="none" w:sz="0" w:space="0" w:color="auto"/>
        <w:bottom w:val="none" w:sz="0" w:space="0" w:color="auto"/>
        <w:right w:val="none" w:sz="0" w:space="0" w:color="auto"/>
      </w:divBdr>
    </w:div>
    <w:div w:id="458496783">
      <w:bodyDiv w:val="1"/>
      <w:marLeft w:val="0"/>
      <w:marRight w:val="0"/>
      <w:marTop w:val="0"/>
      <w:marBottom w:val="0"/>
      <w:divBdr>
        <w:top w:val="none" w:sz="0" w:space="0" w:color="auto"/>
        <w:left w:val="none" w:sz="0" w:space="0" w:color="auto"/>
        <w:bottom w:val="none" w:sz="0" w:space="0" w:color="auto"/>
        <w:right w:val="none" w:sz="0" w:space="0" w:color="auto"/>
      </w:divBdr>
    </w:div>
    <w:div w:id="471946997">
      <w:bodyDiv w:val="1"/>
      <w:marLeft w:val="0"/>
      <w:marRight w:val="0"/>
      <w:marTop w:val="0"/>
      <w:marBottom w:val="0"/>
      <w:divBdr>
        <w:top w:val="none" w:sz="0" w:space="0" w:color="auto"/>
        <w:left w:val="none" w:sz="0" w:space="0" w:color="auto"/>
        <w:bottom w:val="none" w:sz="0" w:space="0" w:color="auto"/>
        <w:right w:val="none" w:sz="0" w:space="0" w:color="auto"/>
      </w:divBdr>
    </w:div>
    <w:div w:id="483161277">
      <w:bodyDiv w:val="1"/>
      <w:marLeft w:val="0"/>
      <w:marRight w:val="0"/>
      <w:marTop w:val="0"/>
      <w:marBottom w:val="0"/>
      <w:divBdr>
        <w:top w:val="none" w:sz="0" w:space="0" w:color="auto"/>
        <w:left w:val="none" w:sz="0" w:space="0" w:color="auto"/>
        <w:bottom w:val="none" w:sz="0" w:space="0" w:color="auto"/>
        <w:right w:val="none" w:sz="0" w:space="0" w:color="auto"/>
      </w:divBdr>
    </w:div>
    <w:div w:id="512455602">
      <w:bodyDiv w:val="1"/>
      <w:marLeft w:val="0"/>
      <w:marRight w:val="0"/>
      <w:marTop w:val="0"/>
      <w:marBottom w:val="0"/>
      <w:divBdr>
        <w:top w:val="none" w:sz="0" w:space="0" w:color="auto"/>
        <w:left w:val="none" w:sz="0" w:space="0" w:color="auto"/>
        <w:bottom w:val="none" w:sz="0" w:space="0" w:color="auto"/>
        <w:right w:val="none" w:sz="0" w:space="0" w:color="auto"/>
      </w:divBdr>
    </w:div>
    <w:div w:id="532889837">
      <w:bodyDiv w:val="1"/>
      <w:marLeft w:val="0"/>
      <w:marRight w:val="0"/>
      <w:marTop w:val="0"/>
      <w:marBottom w:val="0"/>
      <w:divBdr>
        <w:top w:val="none" w:sz="0" w:space="0" w:color="auto"/>
        <w:left w:val="none" w:sz="0" w:space="0" w:color="auto"/>
        <w:bottom w:val="none" w:sz="0" w:space="0" w:color="auto"/>
        <w:right w:val="none" w:sz="0" w:space="0" w:color="auto"/>
      </w:divBdr>
    </w:div>
    <w:div w:id="539244981">
      <w:bodyDiv w:val="1"/>
      <w:marLeft w:val="0"/>
      <w:marRight w:val="0"/>
      <w:marTop w:val="0"/>
      <w:marBottom w:val="0"/>
      <w:divBdr>
        <w:top w:val="none" w:sz="0" w:space="0" w:color="auto"/>
        <w:left w:val="none" w:sz="0" w:space="0" w:color="auto"/>
        <w:bottom w:val="none" w:sz="0" w:space="0" w:color="auto"/>
        <w:right w:val="none" w:sz="0" w:space="0" w:color="auto"/>
      </w:divBdr>
      <w:divsChild>
        <w:div w:id="959602999">
          <w:marLeft w:val="0"/>
          <w:marRight w:val="0"/>
          <w:marTop w:val="0"/>
          <w:marBottom w:val="0"/>
          <w:divBdr>
            <w:top w:val="none" w:sz="0" w:space="0" w:color="auto"/>
            <w:left w:val="none" w:sz="0" w:space="0" w:color="auto"/>
            <w:bottom w:val="none" w:sz="0" w:space="0" w:color="auto"/>
            <w:right w:val="none" w:sz="0" w:space="0" w:color="auto"/>
          </w:divBdr>
          <w:divsChild>
            <w:div w:id="665477365">
              <w:marLeft w:val="0"/>
              <w:marRight w:val="0"/>
              <w:marTop w:val="0"/>
              <w:marBottom w:val="0"/>
              <w:divBdr>
                <w:top w:val="none" w:sz="0" w:space="0" w:color="auto"/>
                <w:left w:val="none" w:sz="0" w:space="0" w:color="auto"/>
                <w:bottom w:val="none" w:sz="0" w:space="0" w:color="auto"/>
                <w:right w:val="none" w:sz="0" w:space="0" w:color="auto"/>
              </w:divBdr>
              <w:divsChild>
                <w:div w:id="1626501349">
                  <w:marLeft w:val="0"/>
                  <w:marRight w:val="0"/>
                  <w:marTop w:val="0"/>
                  <w:marBottom w:val="0"/>
                  <w:divBdr>
                    <w:top w:val="none" w:sz="0" w:space="0" w:color="auto"/>
                    <w:left w:val="none" w:sz="0" w:space="0" w:color="auto"/>
                    <w:bottom w:val="none" w:sz="0" w:space="0" w:color="auto"/>
                    <w:right w:val="none" w:sz="0" w:space="0" w:color="auto"/>
                  </w:divBdr>
                  <w:divsChild>
                    <w:div w:id="41559645">
                      <w:marLeft w:val="0"/>
                      <w:marRight w:val="0"/>
                      <w:marTop w:val="0"/>
                      <w:marBottom w:val="0"/>
                      <w:divBdr>
                        <w:top w:val="none" w:sz="0" w:space="0" w:color="auto"/>
                        <w:left w:val="none" w:sz="0" w:space="0" w:color="auto"/>
                        <w:bottom w:val="none" w:sz="0" w:space="0" w:color="auto"/>
                        <w:right w:val="none" w:sz="0" w:space="0" w:color="auto"/>
                      </w:divBdr>
                      <w:divsChild>
                        <w:div w:id="1111556316">
                          <w:marLeft w:val="0"/>
                          <w:marRight w:val="0"/>
                          <w:marTop w:val="0"/>
                          <w:marBottom w:val="0"/>
                          <w:divBdr>
                            <w:top w:val="none" w:sz="0" w:space="0" w:color="auto"/>
                            <w:left w:val="none" w:sz="0" w:space="0" w:color="auto"/>
                            <w:bottom w:val="none" w:sz="0" w:space="0" w:color="auto"/>
                            <w:right w:val="none" w:sz="0" w:space="0" w:color="auto"/>
                          </w:divBdr>
                          <w:divsChild>
                            <w:div w:id="210602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2013511">
      <w:bodyDiv w:val="1"/>
      <w:marLeft w:val="0"/>
      <w:marRight w:val="0"/>
      <w:marTop w:val="0"/>
      <w:marBottom w:val="0"/>
      <w:divBdr>
        <w:top w:val="none" w:sz="0" w:space="0" w:color="auto"/>
        <w:left w:val="none" w:sz="0" w:space="0" w:color="auto"/>
        <w:bottom w:val="none" w:sz="0" w:space="0" w:color="auto"/>
        <w:right w:val="none" w:sz="0" w:space="0" w:color="auto"/>
      </w:divBdr>
    </w:div>
    <w:div w:id="582034340">
      <w:bodyDiv w:val="1"/>
      <w:marLeft w:val="0"/>
      <w:marRight w:val="0"/>
      <w:marTop w:val="0"/>
      <w:marBottom w:val="0"/>
      <w:divBdr>
        <w:top w:val="none" w:sz="0" w:space="0" w:color="auto"/>
        <w:left w:val="none" w:sz="0" w:space="0" w:color="auto"/>
        <w:bottom w:val="none" w:sz="0" w:space="0" w:color="auto"/>
        <w:right w:val="none" w:sz="0" w:space="0" w:color="auto"/>
      </w:divBdr>
    </w:div>
    <w:div w:id="593437502">
      <w:bodyDiv w:val="1"/>
      <w:marLeft w:val="0"/>
      <w:marRight w:val="0"/>
      <w:marTop w:val="0"/>
      <w:marBottom w:val="0"/>
      <w:divBdr>
        <w:top w:val="none" w:sz="0" w:space="0" w:color="auto"/>
        <w:left w:val="none" w:sz="0" w:space="0" w:color="auto"/>
        <w:bottom w:val="none" w:sz="0" w:space="0" w:color="auto"/>
        <w:right w:val="none" w:sz="0" w:space="0" w:color="auto"/>
      </w:divBdr>
      <w:divsChild>
        <w:div w:id="89814479">
          <w:marLeft w:val="0"/>
          <w:marRight w:val="0"/>
          <w:marTop w:val="0"/>
          <w:marBottom w:val="0"/>
          <w:divBdr>
            <w:top w:val="none" w:sz="0" w:space="0" w:color="auto"/>
            <w:left w:val="none" w:sz="0" w:space="0" w:color="auto"/>
            <w:bottom w:val="none" w:sz="0" w:space="0" w:color="auto"/>
            <w:right w:val="none" w:sz="0" w:space="0" w:color="auto"/>
          </w:divBdr>
        </w:div>
        <w:div w:id="582571496">
          <w:marLeft w:val="0"/>
          <w:marRight w:val="0"/>
          <w:marTop w:val="0"/>
          <w:marBottom w:val="0"/>
          <w:divBdr>
            <w:top w:val="none" w:sz="0" w:space="0" w:color="auto"/>
            <w:left w:val="none" w:sz="0" w:space="0" w:color="auto"/>
            <w:bottom w:val="none" w:sz="0" w:space="0" w:color="auto"/>
            <w:right w:val="none" w:sz="0" w:space="0" w:color="auto"/>
          </w:divBdr>
        </w:div>
        <w:div w:id="1100220405">
          <w:marLeft w:val="0"/>
          <w:marRight w:val="0"/>
          <w:marTop w:val="0"/>
          <w:marBottom w:val="0"/>
          <w:divBdr>
            <w:top w:val="none" w:sz="0" w:space="0" w:color="auto"/>
            <w:left w:val="none" w:sz="0" w:space="0" w:color="auto"/>
            <w:bottom w:val="none" w:sz="0" w:space="0" w:color="auto"/>
            <w:right w:val="none" w:sz="0" w:space="0" w:color="auto"/>
          </w:divBdr>
        </w:div>
        <w:div w:id="1173841098">
          <w:marLeft w:val="0"/>
          <w:marRight w:val="0"/>
          <w:marTop w:val="0"/>
          <w:marBottom w:val="0"/>
          <w:divBdr>
            <w:top w:val="none" w:sz="0" w:space="0" w:color="auto"/>
            <w:left w:val="none" w:sz="0" w:space="0" w:color="auto"/>
            <w:bottom w:val="none" w:sz="0" w:space="0" w:color="auto"/>
            <w:right w:val="none" w:sz="0" w:space="0" w:color="auto"/>
          </w:divBdr>
        </w:div>
        <w:div w:id="1466312480">
          <w:marLeft w:val="0"/>
          <w:marRight w:val="0"/>
          <w:marTop w:val="0"/>
          <w:marBottom w:val="0"/>
          <w:divBdr>
            <w:top w:val="none" w:sz="0" w:space="0" w:color="auto"/>
            <w:left w:val="none" w:sz="0" w:space="0" w:color="auto"/>
            <w:bottom w:val="none" w:sz="0" w:space="0" w:color="auto"/>
            <w:right w:val="none" w:sz="0" w:space="0" w:color="auto"/>
          </w:divBdr>
        </w:div>
        <w:div w:id="1740130783">
          <w:marLeft w:val="0"/>
          <w:marRight w:val="0"/>
          <w:marTop w:val="0"/>
          <w:marBottom w:val="0"/>
          <w:divBdr>
            <w:top w:val="none" w:sz="0" w:space="0" w:color="auto"/>
            <w:left w:val="none" w:sz="0" w:space="0" w:color="auto"/>
            <w:bottom w:val="none" w:sz="0" w:space="0" w:color="auto"/>
            <w:right w:val="none" w:sz="0" w:space="0" w:color="auto"/>
          </w:divBdr>
        </w:div>
        <w:div w:id="1902134043">
          <w:marLeft w:val="0"/>
          <w:marRight w:val="0"/>
          <w:marTop w:val="0"/>
          <w:marBottom w:val="0"/>
          <w:divBdr>
            <w:top w:val="none" w:sz="0" w:space="0" w:color="auto"/>
            <w:left w:val="none" w:sz="0" w:space="0" w:color="auto"/>
            <w:bottom w:val="none" w:sz="0" w:space="0" w:color="auto"/>
            <w:right w:val="none" w:sz="0" w:space="0" w:color="auto"/>
          </w:divBdr>
          <w:divsChild>
            <w:div w:id="1360087361">
              <w:marLeft w:val="-75"/>
              <w:marRight w:val="0"/>
              <w:marTop w:val="30"/>
              <w:marBottom w:val="30"/>
              <w:divBdr>
                <w:top w:val="none" w:sz="0" w:space="0" w:color="auto"/>
                <w:left w:val="none" w:sz="0" w:space="0" w:color="auto"/>
                <w:bottom w:val="none" w:sz="0" w:space="0" w:color="auto"/>
                <w:right w:val="none" w:sz="0" w:space="0" w:color="auto"/>
              </w:divBdr>
              <w:divsChild>
                <w:div w:id="15885053">
                  <w:marLeft w:val="0"/>
                  <w:marRight w:val="0"/>
                  <w:marTop w:val="0"/>
                  <w:marBottom w:val="0"/>
                  <w:divBdr>
                    <w:top w:val="none" w:sz="0" w:space="0" w:color="auto"/>
                    <w:left w:val="none" w:sz="0" w:space="0" w:color="auto"/>
                    <w:bottom w:val="none" w:sz="0" w:space="0" w:color="auto"/>
                    <w:right w:val="none" w:sz="0" w:space="0" w:color="auto"/>
                  </w:divBdr>
                  <w:divsChild>
                    <w:div w:id="1827554626">
                      <w:marLeft w:val="0"/>
                      <w:marRight w:val="0"/>
                      <w:marTop w:val="0"/>
                      <w:marBottom w:val="0"/>
                      <w:divBdr>
                        <w:top w:val="none" w:sz="0" w:space="0" w:color="auto"/>
                        <w:left w:val="none" w:sz="0" w:space="0" w:color="auto"/>
                        <w:bottom w:val="none" w:sz="0" w:space="0" w:color="auto"/>
                        <w:right w:val="none" w:sz="0" w:space="0" w:color="auto"/>
                      </w:divBdr>
                    </w:div>
                  </w:divsChild>
                </w:div>
                <w:div w:id="90898794">
                  <w:marLeft w:val="0"/>
                  <w:marRight w:val="0"/>
                  <w:marTop w:val="0"/>
                  <w:marBottom w:val="0"/>
                  <w:divBdr>
                    <w:top w:val="none" w:sz="0" w:space="0" w:color="auto"/>
                    <w:left w:val="none" w:sz="0" w:space="0" w:color="auto"/>
                    <w:bottom w:val="none" w:sz="0" w:space="0" w:color="auto"/>
                    <w:right w:val="none" w:sz="0" w:space="0" w:color="auto"/>
                  </w:divBdr>
                  <w:divsChild>
                    <w:div w:id="990018102">
                      <w:marLeft w:val="0"/>
                      <w:marRight w:val="0"/>
                      <w:marTop w:val="0"/>
                      <w:marBottom w:val="0"/>
                      <w:divBdr>
                        <w:top w:val="none" w:sz="0" w:space="0" w:color="auto"/>
                        <w:left w:val="none" w:sz="0" w:space="0" w:color="auto"/>
                        <w:bottom w:val="none" w:sz="0" w:space="0" w:color="auto"/>
                        <w:right w:val="none" w:sz="0" w:space="0" w:color="auto"/>
                      </w:divBdr>
                    </w:div>
                  </w:divsChild>
                </w:div>
                <w:div w:id="116031352">
                  <w:marLeft w:val="0"/>
                  <w:marRight w:val="0"/>
                  <w:marTop w:val="0"/>
                  <w:marBottom w:val="0"/>
                  <w:divBdr>
                    <w:top w:val="none" w:sz="0" w:space="0" w:color="auto"/>
                    <w:left w:val="none" w:sz="0" w:space="0" w:color="auto"/>
                    <w:bottom w:val="none" w:sz="0" w:space="0" w:color="auto"/>
                    <w:right w:val="none" w:sz="0" w:space="0" w:color="auto"/>
                  </w:divBdr>
                  <w:divsChild>
                    <w:div w:id="1517887317">
                      <w:marLeft w:val="0"/>
                      <w:marRight w:val="0"/>
                      <w:marTop w:val="0"/>
                      <w:marBottom w:val="0"/>
                      <w:divBdr>
                        <w:top w:val="none" w:sz="0" w:space="0" w:color="auto"/>
                        <w:left w:val="none" w:sz="0" w:space="0" w:color="auto"/>
                        <w:bottom w:val="none" w:sz="0" w:space="0" w:color="auto"/>
                        <w:right w:val="none" w:sz="0" w:space="0" w:color="auto"/>
                      </w:divBdr>
                    </w:div>
                  </w:divsChild>
                </w:div>
                <w:div w:id="131287578">
                  <w:marLeft w:val="0"/>
                  <w:marRight w:val="0"/>
                  <w:marTop w:val="0"/>
                  <w:marBottom w:val="0"/>
                  <w:divBdr>
                    <w:top w:val="none" w:sz="0" w:space="0" w:color="auto"/>
                    <w:left w:val="none" w:sz="0" w:space="0" w:color="auto"/>
                    <w:bottom w:val="none" w:sz="0" w:space="0" w:color="auto"/>
                    <w:right w:val="none" w:sz="0" w:space="0" w:color="auto"/>
                  </w:divBdr>
                  <w:divsChild>
                    <w:div w:id="326566762">
                      <w:marLeft w:val="0"/>
                      <w:marRight w:val="0"/>
                      <w:marTop w:val="0"/>
                      <w:marBottom w:val="0"/>
                      <w:divBdr>
                        <w:top w:val="none" w:sz="0" w:space="0" w:color="auto"/>
                        <w:left w:val="none" w:sz="0" w:space="0" w:color="auto"/>
                        <w:bottom w:val="none" w:sz="0" w:space="0" w:color="auto"/>
                        <w:right w:val="none" w:sz="0" w:space="0" w:color="auto"/>
                      </w:divBdr>
                    </w:div>
                  </w:divsChild>
                </w:div>
                <w:div w:id="145634283">
                  <w:marLeft w:val="0"/>
                  <w:marRight w:val="0"/>
                  <w:marTop w:val="0"/>
                  <w:marBottom w:val="0"/>
                  <w:divBdr>
                    <w:top w:val="none" w:sz="0" w:space="0" w:color="auto"/>
                    <w:left w:val="none" w:sz="0" w:space="0" w:color="auto"/>
                    <w:bottom w:val="none" w:sz="0" w:space="0" w:color="auto"/>
                    <w:right w:val="none" w:sz="0" w:space="0" w:color="auto"/>
                  </w:divBdr>
                  <w:divsChild>
                    <w:div w:id="1581403672">
                      <w:marLeft w:val="0"/>
                      <w:marRight w:val="0"/>
                      <w:marTop w:val="0"/>
                      <w:marBottom w:val="0"/>
                      <w:divBdr>
                        <w:top w:val="none" w:sz="0" w:space="0" w:color="auto"/>
                        <w:left w:val="none" w:sz="0" w:space="0" w:color="auto"/>
                        <w:bottom w:val="none" w:sz="0" w:space="0" w:color="auto"/>
                        <w:right w:val="none" w:sz="0" w:space="0" w:color="auto"/>
                      </w:divBdr>
                    </w:div>
                  </w:divsChild>
                </w:div>
                <w:div w:id="156269670">
                  <w:marLeft w:val="0"/>
                  <w:marRight w:val="0"/>
                  <w:marTop w:val="0"/>
                  <w:marBottom w:val="0"/>
                  <w:divBdr>
                    <w:top w:val="none" w:sz="0" w:space="0" w:color="auto"/>
                    <w:left w:val="none" w:sz="0" w:space="0" w:color="auto"/>
                    <w:bottom w:val="none" w:sz="0" w:space="0" w:color="auto"/>
                    <w:right w:val="none" w:sz="0" w:space="0" w:color="auto"/>
                  </w:divBdr>
                  <w:divsChild>
                    <w:div w:id="1903060616">
                      <w:marLeft w:val="0"/>
                      <w:marRight w:val="0"/>
                      <w:marTop w:val="0"/>
                      <w:marBottom w:val="0"/>
                      <w:divBdr>
                        <w:top w:val="none" w:sz="0" w:space="0" w:color="auto"/>
                        <w:left w:val="none" w:sz="0" w:space="0" w:color="auto"/>
                        <w:bottom w:val="none" w:sz="0" w:space="0" w:color="auto"/>
                        <w:right w:val="none" w:sz="0" w:space="0" w:color="auto"/>
                      </w:divBdr>
                    </w:div>
                  </w:divsChild>
                </w:div>
                <w:div w:id="232814203">
                  <w:marLeft w:val="0"/>
                  <w:marRight w:val="0"/>
                  <w:marTop w:val="0"/>
                  <w:marBottom w:val="0"/>
                  <w:divBdr>
                    <w:top w:val="none" w:sz="0" w:space="0" w:color="auto"/>
                    <w:left w:val="none" w:sz="0" w:space="0" w:color="auto"/>
                    <w:bottom w:val="none" w:sz="0" w:space="0" w:color="auto"/>
                    <w:right w:val="none" w:sz="0" w:space="0" w:color="auto"/>
                  </w:divBdr>
                  <w:divsChild>
                    <w:div w:id="1892688025">
                      <w:marLeft w:val="0"/>
                      <w:marRight w:val="0"/>
                      <w:marTop w:val="0"/>
                      <w:marBottom w:val="0"/>
                      <w:divBdr>
                        <w:top w:val="none" w:sz="0" w:space="0" w:color="auto"/>
                        <w:left w:val="none" w:sz="0" w:space="0" w:color="auto"/>
                        <w:bottom w:val="none" w:sz="0" w:space="0" w:color="auto"/>
                        <w:right w:val="none" w:sz="0" w:space="0" w:color="auto"/>
                      </w:divBdr>
                    </w:div>
                  </w:divsChild>
                </w:div>
                <w:div w:id="247465050">
                  <w:marLeft w:val="0"/>
                  <w:marRight w:val="0"/>
                  <w:marTop w:val="0"/>
                  <w:marBottom w:val="0"/>
                  <w:divBdr>
                    <w:top w:val="none" w:sz="0" w:space="0" w:color="auto"/>
                    <w:left w:val="none" w:sz="0" w:space="0" w:color="auto"/>
                    <w:bottom w:val="none" w:sz="0" w:space="0" w:color="auto"/>
                    <w:right w:val="none" w:sz="0" w:space="0" w:color="auto"/>
                  </w:divBdr>
                  <w:divsChild>
                    <w:div w:id="830407454">
                      <w:marLeft w:val="0"/>
                      <w:marRight w:val="0"/>
                      <w:marTop w:val="0"/>
                      <w:marBottom w:val="0"/>
                      <w:divBdr>
                        <w:top w:val="none" w:sz="0" w:space="0" w:color="auto"/>
                        <w:left w:val="none" w:sz="0" w:space="0" w:color="auto"/>
                        <w:bottom w:val="none" w:sz="0" w:space="0" w:color="auto"/>
                        <w:right w:val="none" w:sz="0" w:space="0" w:color="auto"/>
                      </w:divBdr>
                    </w:div>
                  </w:divsChild>
                </w:div>
                <w:div w:id="251546025">
                  <w:marLeft w:val="0"/>
                  <w:marRight w:val="0"/>
                  <w:marTop w:val="0"/>
                  <w:marBottom w:val="0"/>
                  <w:divBdr>
                    <w:top w:val="none" w:sz="0" w:space="0" w:color="auto"/>
                    <w:left w:val="none" w:sz="0" w:space="0" w:color="auto"/>
                    <w:bottom w:val="none" w:sz="0" w:space="0" w:color="auto"/>
                    <w:right w:val="none" w:sz="0" w:space="0" w:color="auto"/>
                  </w:divBdr>
                  <w:divsChild>
                    <w:div w:id="1645815347">
                      <w:marLeft w:val="0"/>
                      <w:marRight w:val="0"/>
                      <w:marTop w:val="0"/>
                      <w:marBottom w:val="0"/>
                      <w:divBdr>
                        <w:top w:val="none" w:sz="0" w:space="0" w:color="auto"/>
                        <w:left w:val="none" w:sz="0" w:space="0" w:color="auto"/>
                        <w:bottom w:val="none" w:sz="0" w:space="0" w:color="auto"/>
                        <w:right w:val="none" w:sz="0" w:space="0" w:color="auto"/>
                      </w:divBdr>
                    </w:div>
                  </w:divsChild>
                </w:div>
                <w:div w:id="264776765">
                  <w:marLeft w:val="0"/>
                  <w:marRight w:val="0"/>
                  <w:marTop w:val="0"/>
                  <w:marBottom w:val="0"/>
                  <w:divBdr>
                    <w:top w:val="none" w:sz="0" w:space="0" w:color="auto"/>
                    <w:left w:val="none" w:sz="0" w:space="0" w:color="auto"/>
                    <w:bottom w:val="none" w:sz="0" w:space="0" w:color="auto"/>
                    <w:right w:val="none" w:sz="0" w:space="0" w:color="auto"/>
                  </w:divBdr>
                  <w:divsChild>
                    <w:div w:id="1809738740">
                      <w:marLeft w:val="0"/>
                      <w:marRight w:val="0"/>
                      <w:marTop w:val="0"/>
                      <w:marBottom w:val="0"/>
                      <w:divBdr>
                        <w:top w:val="none" w:sz="0" w:space="0" w:color="auto"/>
                        <w:left w:val="none" w:sz="0" w:space="0" w:color="auto"/>
                        <w:bottom w:val="none" w:sz="0" w:space="0" w:color="auto"/>
                        <w:right w:val="none" w:sz="0" w:space="0" w:color="auto"/>
                      </w:divBdr>
                    </w:div>
                  </w:divsChild>
                </w:div>
                <w:div w:id="274558154">
                  <w:marLeft w:val="0"/>
                  <w:marRight w:val="0"/>
                  <w:marTop w:val="0"/>
                  <w:marBottom w:val="0"/>
                  <w:divBdr>
                    <w:top w:val="none" w:sz="0" w:space="0" w:color="auto"/>
                    <w:left w:val="none" w:sz="0" w:space="0" w:color="auto"/>
                    <w:bottom w:val="none" w:sz="0" w:space="0" w:color="auto"/>
                    <w:right w:val="none" w:sz="0" w:space="0" w:color="auto"/>
                  </w:divBdr>
                  <w:divsChild>
                    <w:div w:id="1951473480">
                      <w:marLeft w:val="0"/>
                      <w:marRight w:val="0"/>
                      <w:marTop w:val="0"/>
                      <w:marBottom w:val="0"/>
                      <w:divBdr>
                        <w:top w:val="none" w:sz="0" w:space="0" w:color="auto"/>
                        <w:left w:val="none" w:sz="0" w:space="0" w:color="auto"/>
                        <w:bottom w:val="none" w:sz="0" w:space="0" w:color="auto"/>
                        <w:right w:val="none" w:sz="0" w:space="0" w:color="auto"/>
                      </w:divBdr>
                    </w:div>
                  </w:divsChild>
                </w:div>
                <w:div w:id="291593790">
                  <w:marLeft w:val="0"/>
                  <w:marRight w:val="0"/>
                  <w:marTop w:val="0"/>
                  <w:marBottom w:val="0"/>
                  <w:divBdr>
                    <w:top w:val="none" w:sz="0" w:space="0" w:color="auto"/>
                    <w:left w:val="none" w:sz="0" w:space="0" w:color="auto"/>
                    <w:bottom w:val="none" w:sz="0" w:space="0" w:color="auto"/>
                    <w:right w:val="none" w:sz="0" w:space="0" w:color="auto"/>
                  </w:divBdr>
                  <w:divsChild>
                    <w:div w:id="780607337">
                      <w:marLeft w:val="0"/>
                      <w:marRight w:val="0"/>
                      <w:marTop w:val="0"/>
                      <w:marBottom w:val="0"/>
                      <w:divBdr>
                        <w:top w:val="none" w:sz="0" w:space="0" w:color="auto"/>
                        <w:left w:val="none" w:sz="0" w:space="0" w:color="auto"/>
                        <w:bottom w:val="none" w:sz="0" w:space="0" w:color="auto"/>
                        <w:right w:val="none" w:sz="0" w:space="0" w:color="auto"/>
                      </w:divBdr>
                    </w:div>
                  </w:divsChild>
                </w:div>
                <w:div w:id="311521415">
                  <w:marLeft w:val="0"/>
                  <w:marRight w:val="0"/>
                  <w:marTop w:val="0"/>
                  <w:marBottom w:val="0"/>
                  <w:divBdr>
                    <w:top w:val="none" w:sz="0" w:space="0" w:color="auto"/>
                    <w:left w:val="none" w:sz="0" w:space="0" w:color="auto"/>
                    <w:bottom w:val="none" w:sz="0" w:space="0" w:color="auto"/>
                    <w:right w:val="none" w:sz="0" w:space="0" w:color="auto"/>
                  </w:divBdr>
                  <w:divsChild>
                    <w:div w:id="1374620289">
                      <w:marLeft w:val="0"/>
                      <w:marRight w:val="0"/>
                      <w:marTop w:val="0"/>
                      <w:marBottom w:val="0"/>
                      <w:divBdr>
                        <w:top w:val="none" w:sz="0" w:space="0" w:color="auto"/>
                        <w:left w:val="none" w:sz="0" w:space="0" w:color="auto"/>
                        <w:bottom w:val="none" w:sz="0" w:space="0" w:color="auto"/>
                        <w:right w:val="none" w:sz="0" w:space="0" w:color="auto"/>
                      </w:divBdr>
                    </w:div>
                  </w:divsChild>
                </w:div>
                <w:div w:id="321397075">
                  <w:marLeft w:val="0"/>
                  <w:marRight w:val="0"/>
                  <w:marTop w:val="0"/>
                  <w:marBottom w:val="0"/>
                  <w:divBdr>
                    <w:top w:val="none" w:sz="0" w:space="0" w:color="auto"/>
                    <w:left w:val="none" w:sz="0" w:space="0" w:color="auto"/>
                    <w:bottom w:val="none" w:sz="0" w:space="0" w:color="auto"/>
                    <w:right w:val="none" w:sz="0" w:space="0" w:color="auto"/>
                  </w:divBdr>
                  <w:divsChild>
                    <w:div w:id="1939437854">
                      <w:marLeft w:val="0"/>
                      <w:marRight w:val="0"/>
                      <w:marTop w:val="0"/>
                      <w:marBottom w:val="0"/>
                      <w:divBdr>
                        <w:top w:val="none" w:sz="0" w:space="0" w:color="auto"/>
                        <w:left w:val="none" w:sz="0" w:space="0" w:color="auto"/>
                        <w:bottom w:val="none" w:sz="0" w:space="0" w:color="auto"/>
                        <w:right w:val="none" w:sz="0" w:space="0" w:color="auto"/>
                      </w:divBdr>
                    </w:div>
                  </w:divsChild>
                </w:div>
                <w:div w:id="352996592">
                  <w:marLeft w:val="0"/>
                  <w:marRight w:val="0"/>
                  <w:marTop w:val="0"/>
                  <w:marBottom w:val="0"/>
                  <w:divBdr>
                    <w:top w:val="none" w:sz="0" w:space="0" w:color="auto"/>
                    <w:left w:val="none" w:sz="0" w:space="0" w:color="auto"/>
                    <w:bottom w:val="none" w:sz="0" w:space="0" w:color="auto"/>
                    <w:right w:val="none" w:sz="0" w:space="0" w:color="auto"/>
                  </w:divBdr>
                  <w:divsChild>
                    <w:div w:id="122819045">
                      <w:marLeft w:val="0"/>
                      <w:marRight w:val="0"/>
                      <w:marTop w:val="0"/>
                      <w:marBottom w:val="0"/>
                      <w:divBdr>
                        <w:top w:val="none" w:sz="0" w:space="0" w:color="auto"/>
                        <w:left w:val="none" w:sz="0" w:space="0" w:color="auto"/>
                        <w:bottom w:val="none" w:sz="0" w:space="0" w:color="auto"/>
                        <w:right w:val="none" w:sz="0" w:space="0" w:color="auto"/>
                      </w:divBdr>
                    </w:div>
                  </w:divsChild>
                </w:div>
                <w:div w:id="366176934">
                  <w:marLeft w:val="0"/>
                  <w:marRight w:val="0"/>
                  <w:marTop w:val="0"/>
                  <w:marBottom w:val="0"/>
                  <w:divBdr>
                    <w:top w:val="none" w:sz="0" w:space="0" w:color="auto"/>
                    <w:left w:val="none" w:sz="0" w:space="0" w:color="auto"/>
                    <w:bottom w:val="none" w:sz="0" w:space="0" w:color="auto"/>
                    <w:right w:val="none" w:sz="0" w:space="0" w:color="auto"/>
                  </w:divBdr>
                  <w:divsChild>
                    <w:div w:id="533005650">
                      <w:marLeft w:val="0"/>
                      <w:marRight w:val="0"/>
                      <w:marTop w:val="0"/>
                      <w:marBottom w:val="0"/>
                      <w:divBdr>
                        <w:top w:val="none" w:sz="0" w:space="0" w:color="auto"/>
                        <w:left w:val="none" w:sz="0" w:space="0" w:color="auto"/>
                        <w:bottom w:val="none" w:sz="0" w:space="0" w:color="auto"/>
                        <w:right w:val="none" w:sz="0" w:space="0" w:color="auto"/>
                      </w:divBdr>
                    </w:div>
                  </w:divsChild>
                </w:div>
                <w:div w:id="383219633">
                  <w:marLeft w:val="0"/>
                  <w:marRight w:val="0"/>
                  <w:marTop w:val="0"/>
                  <w:marBottom w:val="0"/>
                  <w:divBdr>
                    <w:top w:val="none" w:sz="0" w:space="0" w:color="auto"/>
                    <w:left w:val="none" w:sz="0" w:space="0" w:color="auto"/>
                    <w:bottom w:val="none" w:sz="0" w:space="0" w:color="auto"/>
                    <w:right w:val="none" w:sz="0" w:space="0" w:color="auto"/>
                  </w:divBdr>
                  <w:divsChild>
                    <w:div w:id="2042516446">
                      <w:marLeft w:val="0"/>
                      <w:marRight w:val="0"/>
                      <w:marTop w:val="0"/>
                      <w:marBottom w:val="0"/>
                      <w:divBdr>
                        <w:top w:val="none" w:sz="0" w:space="0" w:color="auto"/>
                        <w:left w:val="none" w:sz="0" w:space="0" w:color="auto"/>
                        <w:bottom w:val="none" w:sz="0" w:space="0" w:color="auto"/>
                        <w:right w:val="none" w:sz="0" w:space="0" w:color="auto"/>
                      </w:divBdr>
                    </w:div>
                  </w:divsChild>
                </w:div>
                <w:div w:id="409154203">
                  <w:marLeft w:val="0"/>
                  <w:marRight w:val="0"/>
                  <w:marTop w:val="0"/>
                  <w:marBottom w:val="0"/>
                  <w:divBdr>
                    <w:top w:val="none" w:sz="0" w:space="0" w:color="auto"/>
                    <w:left w:val="none" w:sz="0" w:space="0" w:color="auto"/>
                    <w:bottom w:val="none" w:sz="0" w:space="0" w:color="auto"/>
                    <w:right w:val="none" w:sz="0" w:space="0" w:color="auto"/>
                  </w:divBdr>
                  <w:divsChild>
                    <w:div w:id="1507092608">
                      <w:marLeft w:val="0"/>
                      <w:marRight w:val="0"/>
                      <w:marTop w:val="0"/>
                      <w:marBottom w:val="0"/>
                      <w:divBdr>
                        <w:top w:val="none" w:sz="0" w:space="0" w:color="auto"/>
                        <w:left w:val="none" w:sz="0" w:space="0" w:color="auto"/>
                        <w:bottom w:val="none" w:sz="0" w:space="0" w:color="auto"/>
                        <w:right w:val="none" w:sz="0" w:space="0" w:color="auto"/>
                      </w:divBdr>
                    </w:div>
                  </w:divsChild>
                </w:div>
                <w:div w:id="413211946">
                  <w:marLeft w:val="0"/>
                  <w:marRight w:val="0"/>
                  <w:marTop w:val="0"/>
                  <w:marBottom w:val="0"/>
                  <w:divBdr>
                    <w:top w:val="none" w:sz="0" w:space="0" w:color="auto"/>
                    <w:left w:val="none" w:sz="0" w:space="0" w:color="auto"/>
                    <w:bottom w:val="none" w:sz="0" w:space="0" w:color="auto"/>
                    <w:right w:val="none" w:sz="0" w:space="0" w:color="auto"/>
                  </w:divBdr>
                  <w:divsChild>
                    <w:div w:id="66811422">
                      <w:marLeft w:val="0"/>
                      <w:marRight w:val="0"/>
                      <w:marTop w:val="0"/>
                      <w:marBottom w:val="0"/>
                      <w:divBdr>
                        <w:top w:val="none" w:sz="0" w:space="0" w:color="auto"/>
                        <w:left w:val="none" w:sz="0" w:space="0" w:color="auto"/>
                        <w:bottom w:val="none" w:sz="0" w:space="0" w:color="auto"/>
                        <w:right w:val="none" w:sz="0" w:space="0" w:color="auto"/>
                      </w:divBdr>
                    </w:div>
                  </w:divsChild>
                </w:div>
                <w:div w:id="416833318">
                  <w:marLeft w:val="0"/>
                  <w:marRight w:val="0"/>
                  <w:marTop w:val="0"/>
                  <w:marBottom w:val="0"/>
                  <w:divBdr>
                    <w:top w:val="none" w:sz="0" w:space="0" w:color="auto"/>
                    <w:left w:val="none" w:sz="0" w:space="0" w:color="auto"/>
                    <w:bottom w:val="none" w:sz="0" w:space="0" w:color="auto"/>
                    <w:right w:val="none" w:sz="0" w:space="0" w:color="auto"/>
                  </w:divBdr>
                  <w:divsChild>
                    <w:div w:id="1086727925">
                      <w:marLeft w:val="0"/>
                      <w:marRight w:val="0"/>
                      <w:marTop w:val="0"/>
                      <w:marBottom w:val="0"/>
                      <w:divBdr>
                        <w:top w:val="none" w:sz="0" w:space="0" w:color="auto"/>
                        <w:left w:val="none" w:sz="0" w:space="0" w:color="auto"/>
                        <w:bottom w:val="none" w:sz="0" w:space="0" w:color="auto"/>
                        <w:right w:val="none" w:sz="0" w:space="0" w:color="auto"/>
                      </w:divBdr>
                    </w:div>
                  </w:divsChild>
                </w:div>
                <w:div w:id="428938936">
                  <w:marLeft w:val="0"/>
                  <w:marRight w:val="0"/>
                  <w:marTop w:val="0"/>
                  <w:marBottom w:val="0"/>
                  <w:divBdr>
                    <w:top w:val="none" w:sz="0" w:space="0" w:color="auto"/>
                    <w:left w:val="none" w:sz="0" w:space="0" w:color="auto"/>
                    <w:bottom w:val="none" w:sz="0" w:space="0" w:color="auto"/>
                    <w:right w:val="none" w:sz="0" w:space="0" w:color="auto"/>
                  </w:divBdr>
                  <w:divsChild>
                    <w:div w:id="640816053">
                      <w:marLeft w:val="0"/>
                      <w:marRight w:val="0"/>
                      <w:marTop w:val="0"/>
                      <w:marBottom w:val="0"/>
                      <w:divBdr>
                        <w:top w:val="none" w:sz="0" w:space="0" w:color="auto"/>
                        <w:left w:val="none" w:sz="0" w:space="0" w:color="auto"/>
                        <w:bottom w:val="none" w:sz="0" w:space="0" w:color="auto"/>
                        <w:right w:val="none" w:sz="0" w:space="0" w:color="auto"/>
                      </w:divBdr>
                    </w:div>
                  </w:divsChild>
                </w:div>
                <w:div w:id="503057056">
                  <w:marLeft w:val="0"/>
                  <w:marRight w:val="0"/>
                  <w:marTop w:val="0"/>
                  <w:marBottom w:val="0"/>
                  <w:divBdr>
                    <w:top w:val="none" w:sz="0" w:space="0" w:color="auto"/>
                    <w:left w:val="none" w:sz="0" w:space="0" w:color="auto"/>
                    <w:bottom w:val="none" w:sz="0" w:space="0" w:color="auto"/>
                    <w:right w:val="none" w:sz="0" w:space="0" w:color="auto"/>
                  </w:divBdr>
                  <w:divsChild>
                    <w:div w:id="1126194513">
                      <w:marLeft w:val="0"/>
                      <w:marRight w:val="0"/>
                      <w:marTop w:val="0"/>
                      <w:marBottom w:val="0"/>
                      <w:divBdr>
                        <w:top w:val="none" w:sz="0" w:space="0" w:color="auto"/>
                        <w:left w:val="none" w:sz="0" w:space="0" w:color="auto"/>
                        <w:bottom w:val="none" w:sz="0" w:space="0" w:color="auto"/>
                        <w:right w:val="none" w:sz="0" w:space="0" w:color="auto"/>
                      </w:divBdr>
                    </w:div>
                  </w:divsChild>
                </w:div>
                <w:div w:id="510877881">
                  <w:marLeft w:val="0"/>
                  <w:marRight w:val="0"/>
                  <w:marTop w:val="0"/>
                  <w:marBottom w:val="0"/>
                  <w:divBdr>
                    <w:top w:val="none" w:sz="0" w:space="0" w:color="auto"/>
                    <w:left w:val="none" w:sz="0" w:space="0" w:color="auto"/>
                    <w:bottom w:val="none" w:sz="0" w:space="0" w:color="auto"/>
                    <w:right w:val="none" w:sz="0" w:space="0" w:color="auto"/>
                  </w:divBdr>
                  <w:divsChild>
                    <w:div w:id="1227304901">
                      <w:marLeft w:val="0"/>
                      <w:marRight w:val="0"/>
                      <w:marTop w:val="0"/>
                      <w:marBottom w:val="0"/>
                      <w:divBdr>
                        <w:top w:val="none" w:sz="0" w:space="0" w:color="auto"/>
                        <w:left w:val="none" w:sz="0" w:space="0" w:color="auto"/>
                        <w:bottom w:val="none" w:sz="0" w:space="0" w:color="auto"/>
                        <w:right w:val="none" w:sz="0" w:space="0" w:color="auto"/>
                      </w:divBdr>
                    </w:div>
                  </w:divsChild>
                </w:div>
                <w:div w:id="514851571">
                  <w:marLeft w:val="0"/>
                  <w:marRight w:val="0"/>
                  <w:marTop w:val="0"/>
                  <w:marBottom w:val="0"/>
                  <w:divBdr>
                    <w:top w:val="none" w:sz="0" w:space="0" w:color="auto"/>
                    <w:left w:val="none" w:sz="0" w:space="0" w:color="auto"/>
                    <w:bottom w:val="none" w:sz="0" w:space="0" w:color="auto"/>
                    <w:right w:val="none" w:sz="0" w:space="0" w:color="auto"/>
                  </w:divBdr>
                  <w:divsChild>
                    <w:div w:id="1163199726">
                      <w:marLeft w:val="0"/>
                      <w:marRight w:val="0"/>
                      <w:marTop w:val="0"/>
                      <w:marBottom w:val="0"/>
                      <w:divBdr>
                        <w:top w:val="none" w:sz="0" w:space="0" w:color="auto"/>
                        <w:left w:val="none" w:sz="0" w:space="0" w:color="auto"/>
                        <w:bottom w:val="none" w:sz="0" w:space="0" w:color="auto"/>
                        <w:right w:val="none" w:sz="0" w:space="0" w:color="auto"/>
                      </w:divBdr>
                    </w:div>
                  </w:divsChild>
                </w:div>
                <w:div w:id="545945549">
                  <w:marLeft w:val="0"/>
                  <w:marRight w:val="0"/>
                  <w:marTop w:val="0"/>
                  <w:marBottom w:val="0"/>
                  <w:divBdr>
                    <w:top w:val="none" w:sz="0" w:space="0" w:color="auto"/>
                    <w:left w:val="none" w:sz="0" w:space="0" w:color="auto"/>
                    <w:bottom w:val="none" w:sz="0" w:space="0" w:color="auto"/>
                    <w:right w:val="none" w:sz="0" w:space="0" w:color="auto"/>
                  </w:divBdr>
                  <w:divsChild>
                    <w:div w:id="1219896156">
                      <w:marLeft w:val="0"/>
                      <w:marRight w:val="0"/>
                      <w:marTop w:val="0"/>
                      <w:marBottom w:val="0"/>
                      <w:divBdr>
                        <w:top w:val="none" w:sz="0" w:space="0" w:color="auto"/>
                        <w:left w:val="none" w:sz="0" w:space="0" w:color="auto"/>
                        <w:bottom w:val="none" w:sz="0" w:space="0" w:color="auto"/>
                        <w:right w:val="none" w:sz="0" w:space="0" w:color="auto"/>
                      </w:divBdr>
                    </w:div>
                  </w:divsChild>
                </w:div>
                <w:div w:id="688025939">
                  <w:marLeft w:val="0"/>
                  <w:marRight w:val="0"/>
                  <w:marTop w:val="0"/>
                  <w:marBottom w:val="0"/>
                  <w:divBdr>
                    <w:top w:val="none" w:sz="0" w:space="0" w:color="auto"/>
                    <w:left w:val="none" w:sz="0" w:space="0" w:color="auto"/>
                    <w:bottom w:val="none" w:sz="0" w:space="0" w:color="auto"/>
                    <w:right w:val="none" w:sz="0" w:space="0" w:color="auto"/>
                  </w:divBdr>
                  <w:divsChild>
                    <w:div w:id="979305740">
                      <w:marLeft w:val="0"/>
                      <w:marRight w:val="0"/>
                      <w:marTop w:val="0"/>
                      <w:marBottom w:val="0"/>
                      <w:divBdr>
                        <w:top w:val="none" w:sz="0" w:space="0" w:color="auto"/>
                        <w:left w:val="none" w:sz="0" w:space="0" w:color="auto"/>
                        <w:bottom w:val="none" w:sz="0" w:space="0" w:color="auto"/>
                        <w:right w:val="none" w:sz="0" w:space="0" w:color="auto"/>
                      </w:divBdr>
                    </w:div>
                  </w:divsChild>
                </w:div>
                <w:div w:id="722481738">
                  <w:marLeft w:val="0"/>
                  <w:marRight w:val="0"/>
                  <w:marTop w:val="0"/>
                  <w:marBottom w:val="0"/>
                  <w:divBdr>
                    <w:top w:val="none" w:sz="0" w:space="0" w:color="auto"/>
                    <w:left w:val="none" w:sz="0" w:space="0" w:color="auto"/>
                    <w:bottom w:val="none" w:sz="0" w:space="0" w:color="auto"/>
                    <w:right w:val="none" w:sz="0" w:space="0" w:color="auto"/>
                  </w:divBdr>
                  <w:divsChild>
                    <w:div w:id="496656358">
                      <w:marLeft w:val="0"/>
                      <w:marRight w:val="0"/>
                      <w:marTop w:val="0"/>
                      <w:marBottom w:val="0"/>
                      <w:divBdr>
                        <w:top w:val="none" w:sz="0" w:space="0" w:color="auto"/>
                        <w:left w:val="none" w:sz="0" w:space="0" w:color="auto"/>
                        <w:bottom w:val="none" w:sz="0" w:space="0" w:color="auto"/>
                        <w:right w:val="none" w:sz="0" w:space="0" w:color="auto"/>
                      </w:divBdr>
                    </w:div>
                  </w:divsChild>
                </w:div>
                <w:div w:id="737943854">
                  <w:marLeft w:val="0"/>
                  <w:marRight w:val="0"/>
                  <w:marTop w:val="0"/>
                  <w:marBottom w:val="0"/>
                  <w:divBdr>
                    <w:top w:val="none" w:sz="0" w:space="0" w:color="auto"/>
                    <w:left w:val="none" w:sz="0" w:space="0" w:color="auto"/>
                    <w:bottom w:val="none" w:sz="0" w:space="0" w:color="auto"/>
                    <w:right w:val="none" w:sz="0" w:space="0" w:color="auto"/>
                  </w:divBdr>
                  <w:divsChild>
                    <w:div w:id="279453609">
                      <w:marLeft w:val="0"/>
                      <w:marRight w:val="0"/>
                      <w:marTop w:val="0"/>
                      <w:marBottom w:val="0"/>
                      <w:divBdr>
                        <w:top w:val="none" w:sz="0" w:space="0" w:color="auto"/>
                        <w:left w:val="none" w:sz="0" w:space="0" w:color="auto"/>
                        <w:bottom w:val="none" w:sz="0" w:space="0" w:color="auto"/>
                        <w:right w:val="none" w:sz="0" w:space="0" w:color="auto"/>
                      </w:divBdr>
                    </w:div>
                  </w:divsChild>
                </w:div>
                <w:div w:id="738207468">
                  <w:marLeft w:val="0"/>
                  <w:marRight w:val="0"/>
                  <w:marTop w:val="0"/>
                  <w:marBottom w:val="0"/>
                  <w:divBdr>
                    <w:top w:val="none" w:sz="0" w:space="0" w:color="auto"/>
                    <w:left w:val="none" w:sz="0" w:space="0" w:color="auto"/>
                    <w:bottom w:val="none" w:sz="0" w:space="0" w:color="auto"/>
                    <w:right w:val="none" w:sz="0" w:space="0" w:color="auto"/>
                  </w:divBdr>
                  <w:divsChild>
                    <w:div w:id="500051098">
                      <w:marLeft w:val="0"/>
                      <w:marRight w:val="0"/>
                      <w:marTop w:val="0"/>
                      <w:marBottom w:val="0"/>
                      <w:divBdr>
                        <w:top w:val="none" w:sz="0" w:space="0" w:color="auto"/>
                        <w:left w:val="none" w:sz="0" w:space="0" w:color="auto"/>
                        <w:bottom w:val="none" w:sz="0" w:space="0" w:color="auto"/>
                        <w:right w:val="none" w:sz="0" w:space="0" w:color="auto"/>
                      </w:divBdr>
                    </w:div>
                  </w:divsChild>
                </w:div>
                <w:div w:id="751855845">
                  <w:marLeft w:val="0"/>
                  <w:marRight w:val="0"/>
                  <w:marTop w:val="0"/>
                  <w:marBottom w:val="0"/>
                  <w:divBdr>
                    <w:top w:val="none" w:sz="0" w:space="0" w:color="auto"/>
                    <w:left w:val="none" w:sz="0" w:space="0" w:color="auto"/>
                    <w:bottom w:val="none" w:sz="0" w:space="0" w:color="auto"/>
                    <w:right w:val="none" w:sz="0" w:space="0" w:color="auto"/>
                  </w:divBdr>
                  <w:divsChild>
                    <w:div w:id="1988969404">
                      <w:marLeft w:val="0"/>
                      <w:marRight w:val="0"/>
                      <w:marTop w:val="0"/>
                      <w:marBottom w:val="0"/>
                      <w:divBdr>
                        <w:top w:val="none" w:sz="0" w:space="0" w:color="auto"/>
                        <w:left w:val="none" w:sz="0" w:space="0" w:color="auto"/>
                        <w:bottom w:val="none" w:sz="0" w:space="0" w:color="auto"/>
                        <w:right w:val="none" w:sz="0" w:space="0" w:color="auto"/>
                      </w:divBdr>
                    </w:div>
                  </w:divsChild>
                </w:div>
                <w:div w:id="805199655">
                  <w:marLeft w:val="0"/>
                  <w:marRight w:val="0"/>
                  <w:marTop w:val="0"/>
                  <w:marBottom w:val="0"/>
                  <w:divBdr>
                    <w:top w:val="none" w:sz="0" w:space="0" w:color="auto"/>
                    <w:left w:val="none" w:sz="0" w:space="0" w:color="auto"/>
                    <w:bottom w:val="none" w:sz="0" w:space="0" w:color="auto"/>
                    <w:right w:val="none" w:sz="0" w:space="0" w:color="auto"/>
                  </w:divBdr>
                  <w:divsChild>
                    <w:div w:id="568617496">
                      <w:marLeft w:val="0"/>
                      <w:marRight w:val="0"/>
                      <w:marTop w:val="0"/>
                      <w:marBottom w:val="0"/>
                      <w:divBdr>
                        <w:top w:val="none" w:sz="0" w:space="0" w:color="auto"/>
                        <w:left w:val="none" w:sz="0" w:space="0" w:color="auto"/>
                        <w:bottom w:val="none" w:sz="0" w:space="0" w:color="auto"/>
                        <w:right w:val="none" w:sz="0" w:space="0" w:color="auto"/>
                      </w:divBdr>
                    </w:div>
                  </w:divsChild>
                </w:div>
                <w:div w:id="808207702">
                  <w:marLeft w:val="0"/>
                  <w:marRight w:val="0"/>
                  <w:marTop w:val="0"/>
                  <w:marBottom w:val="0"/>
                  <w:divBdr>
                    <w:top w:val="none" w:sz="0" w:space="0" w:color="auto"/>
                    <w:left w:val="none" w:sz="0" w:space="0" w:color="auto"/>
                    <w:bottom w:val="none" w:sz="0" w:space="0" w:color="auto"/>
                    <w:right w:val="none" w:sz="0" w:space="0" w:color="auto"/>
                  </w:divBdr>
                  <w:divsChild>
                    <w:div w:id="337585396">
                      <w:marLeft w:val="0"/>
                      <w:marRight w:val="0"/>
                      <w:marTop w:val="0"/>
                      <w:marBottom w:val="0"/>
                      <w:divBdr>
                        <w:top w:val="none" w:sz="0" w:space="0" w:color="auto"/>
                        <w:left w:val="none" w:sz="0" w:space="0" w:color="auto"/>
                        <w:bottom w:val="none" w:sz="0" w:space="0" w:color="auto"/>
                        <w:right w:val="none" w:sz="0" w:space="0" w:color="auto"/>
                      </w:divBdr>
                    </w:div>
                  </w:divsChild>
                </w:div>
                <w:div w:id="846361028">
                  <w:marLeft w:val="0"/>
                  <w:marRight w:val="0"/>
                  <w:marTop w:val="0"/>
                  <w:marBottom w:val="0"/>
                  <w:divBdr>
                    <w:top w:val="none" w:sz="0" w:space="0" w:color="auto"/>
                    <w:left w:val="none" w:sz="0" w:space="0" w:color="auto"/>
                    <w:bottom w:val="none" w:sz="0" w:space="0" w:color="auto"/>
                    <w:right w:val="none" w:sz="0" w:space="0" w:color="auto"/>
                  </w:divBdr>
                  <w:divsChild>
                    <w:div w:id="1995178165">
                      <w:marLeft w:val="0"/>
                      <w:marRight w:val="0"/>
                      <w:marTop w:val="0"/>
                      <w:marBottom w:val="0"/>
                      <w:divBdr>
                        <w:top w:val="none" w:sz="0" w:space="0" w:color="auto"/>
                        <w:left w:val="none" w:sz="0" w:space="0" w:color="auto"/>
                        <w:bottom w:val="none" w:sz="0" w:space="0" w:color="auto"/>
                        <w:right w:val="none" w:sz="0" w:space="0" w:color="auto"/>
                      </w:divBdr>
                    </w:div>
                  </w:divsChild>
                </w:div>
                <w:div w:id="869954681">
                  <w:marLeft w:val="0"/>
                  <w:marRight w:val="0"/>
                  <w:marTop w:val="0"/>
                  <w:marBottom w:val="0"/>
                  <w:divBdr>
                    <w:top w:val="none" w:sz="0" w:space="0" w:color="auto"/>
                    <w:left w:val="none" w:sz="0" w:space="0" w:color="auto"/>
                    <w:bottom w:val="none" w:sz="0" w:space="0" w:color="auto"/>
                    <w:right w:val="none" w:sz="0" w:space="0" w:color="auto"/>
                  </w:divBdr>
                  <w:divsChild>
                    <w:div w:id="802042815">
                      <w:marLeft w:val="0"/>
                      <w:marRight w:val="0"/>
                      <w:marTop w:val="0"/>
                      <w:marBottom w:val="0"/>
                      <w:divBdr>
                        <w:top w:val="none" w:sz="0" w:space="0" w:color="auto"/>
                        <w:left w:val="none" w:sz="0" w:space="0" w:color="auto"/>
                        <w:bottom w:val="none" w:sz="0" w:space="0" w:color="auto"/>
                        <w:right w:val="none" w:sz="0" w:space="0" w:color="auto"/>
                      </w:divBdr>
                    </w:div>
                  </w:divsChild>
                </w:div>
                <w:div w:id="888687799">
                  <w:marLeft w:val="0"/>
                  <w:marRight w:val="0"/>
                  <w:marTop w:val="0"/>
                  <w:marBottom w:val="0"/>
                  <w:divBdr>
                    <w:top w:val="none" w:sz="0" w:space="0" w:color="auto"/>
                    <w:left w:val="none" w:sz="0" w:space="0" w:color="auto"/>
                    <w:bottom w:val="none" w:sz="0" w:space="0" w:color="auto"/>
                    <w:right w:val="none" w:sz="0" w:space="0" w:color="auto"/>
                  </w:divBdr>
                  <w:divsChild>
                    <w:div w:id="426924056">
                      <w:marLeft w:val="0"/>
                      <w:marRight w:val="0"/>
                      <w:marTop w:val="0"/>
                      <w:marBottom w:val="0"/>
                      <w:divBdr>
                        <w:top w:val="none" w:sz="0" w:space="0" w:color="auto"/>
                        <w:left w:val="none" w:sz="0" w:space="0" w:color="auto"/>
                        <w:bottom w:val="none" w:sz="0" w:space="0" w:color="auto"/>
                        <w:right w:val="none" w:sz="0" w:space="0" w:color="auto"/>
                      </w:divBdr>
                    </w:div>
                  </w:divsChild>
                </w:div>
                <w:div w:id="912397789">
                  <w:marLeft w:val="0"/>
                  <w:marRight w:val="0"/>
                  <w:marTop w:val="0"/>
                  <w:marBottom w:val="0"/>
                  <w:divBdr>
                    <w:top w:val="none" w:sz="0" w:space="0" w:color="auto"/>
                    <w:left w:val="none" w:sz="0" w:space="0" w:color="auto"/>
                    <w:bottom w:val="none" w:sz="0" w:space="0" w:color="auto"/>
                    <w:right w:val="none" w:sz="0" w:space="0" w:color="auto"/>
                  </w:divBdr>
                  <w:divsChild>
                    <w:div w:id="109857812">
                      <w:marLeft w:val="0"/>
                      <w:marRight w:val="0"/>
                      <w:marTop w:val="0"/>
                      <w:marBottom w:val="0"/>
                      <w:divBdr>
                        <w:top w:val="none" w:sz="0" w:space="0" w:color="auto"/>
                        <w:left w:val="none" w:sz="0" w:space="0" w:color="auto"/>
                        <w:bottom w:val="none" w:sz="0" w:space="0" w:color="auto"/>
                        <w:right w:val="none" w:sz="0" w:space="0" w:color="auto"/>
                      </w:divBdr>
                    </w:div>
                  </w:divsChild>
                </w:div>
                <w:div w:id="916866300">
                  <w:marLeft w:val="0"/>
                  <w:marRight w:val="0"/>
                  <w:marTop w:val="0"/>
                  <w:marBottom w:val="0"/>
                  <w:divBdr>
                    <w:top w:val="none" w:sz="0" w:space="0" w:color="auto"/>
                    <w:left w:val="none" w:sz="0" w:space="0" w:color="auto"/>
                    <w:bottom w:val="none" w:sz="0" w:space="0" w:color="auto"/>
                    <w:right w:val="none" w:sz="0" w:space="0" w:color="auto"/>
                  </w:divBdr>
                  <w:divsChild>
                    <w:div w:id="1300266905">
                      <w:marLeft w:val="0"/>
                      <w:marRight w:val="0"/>
                      <w:marTop w:val="0"/>
                      <w:marBottom w:val="0"/>
                      <w:divBdr>
                        <w:top w:val="none" w:sz="0" w:space="0" w:color="auto"/>
                        <w:left w:val="none" w:sz="0" w:space="0" w:color="auto"/>
                        <w:bottom w:val="none" w:sz="0" w:space="0" w:color="auto"/>
                        <w:right w:val="none" w:sz="0" w:space="0" w:color="auto"/>
                      </w:divBdr>
                    </w:div>
                  </w:divsChild>
                </w:div>
                <w:div w:id="917052989">
                  <w:marLeft w:val="0"/>
                  <w:marRight w:val="0"/>
                  <w:marTop w:val="0"/>
                  <w:marBottom w:val="0"/>
                  <w:divBdr>
                    <w:top w:val="none" w:sz="0" w:space="0" w:color="auto"/>
                    <w:left w:val="none" w:sz="0" w:space="0" w:color="auto"/>
                    <w:bottom w:val="none" w:sz="0" w:space="0" w:color="auto"/>
                    <w:right w:val="none" w:sz="0" w:space="0" w:color="auto"/>
                  </w:divBdr>
                  <w:divsChild>
                    <w:div w:id="1740205265">
                      <w:marLeft w:val="0"/>
                      <w:marRight w:val="0"/>
                      <w:marTop w:val="0"/>
                      <w:marBottom w:val="0"/>
                      <w:divBdr>
                        <w:top w:val="none" w:sz="0" w:space="0" w:color="auto"/>
                        <w:left w:val="none" w:sz="0" w:space="0" w:color="auto"/>
                        <w:bottom w:val="none" w:sz="0" w:space="0" w:color="auto"/>
                        <w:right w:val="none" w:sz="0" w:space="0" w:color="auto"/>
                      </w:divBdr>
                    </w:div>
                  </w:divsChild>
                </w:div>
                <w:div w:id="984775357">
                  <w:marLeft w:val="0"/>
                  <w:marRight w:val="0"/>
                  <w:marTop w:val="0"/>
                  <w:marBottom w:val="0"/>
                  <w:divBdr>
                    <w:top w:val="none" w:sz="0" w:space="0" w:color="auto"/>
                    <w:left w:val="none" w:sz="0" w:space="0" w:color="auto"/>
                    <w:bottom w:val="none" w:sz="0" w:space="0" w:color="auto"/>
                    <w:right w:val="none" w:sz="0" w:space="0" w:color="auto"/>
                  </w:divBdr>
                  <w:divsChild>
                    <w:div w:id="328170963">
                      <w:marLeft w:val="0"/>
                      <w:marRight w:val="0"/>
                      <w:marTop w:val="0"/>
                      <w:marBottom w:val="0"/>
                      <w:divBdr>
                        <w:top w:val="none" w:sz="0" w:space="0" w:color="auto"/>
                        <w:left w:val="none" w:sz="0" w:space="0" w:color="auto"/>
                        <w:bottom w:val="none" w:sz="0" w:space="0" w:color="auto"/>
                        <w:right w:val="none" w:sz="0" w:space="0" w:color="auto"/>
                      </w:divBdr>
                    </w:div>
                  </w:divsChild>
                </w:div>
                <w:div w:id="997155208">
                  <w:marLeft w:val="0"/>
                  <w:marRight w:val="0"/>
                  <w:marTop w:val="0"/>
                  <w:marBottom w:val="0"/>
                  <w:divBdr>
                    <w:top w:val="none" w:sz="0" w:space="0" w:color="auto"/>
                    <w:left w:val="none" w:sz="0" w:space="0" w:color="auto"/>
                    <w:bottom w:val="none" w:sz="0" w:space="0" w:color="auto"/>
                    <w:right w:val="none" w:sz="0" w:space="0" w:color="auto"/>
                  </w:divBdr>
                  <w:divsChild>
                    <w:div w:id="333460835">
                      <w:marLeft w:val="0"/>
                      <w:marRight w:val="0"/>
                      <w:marTop w:val="0"/>
                      <w:marBottom w:val="0"/>
                      <w:divBdr>
                        <w:top w:val="none" w:sz="0" w:space="0" w:color="auto"/>
                        <w:left w:val="none" w:sz="0" w:space="0" w:color="auto"/>
                        <w:bottom w:val="none" w:sz="0" w:space="0" w:color="auto"/>
                        <w:right w:val="none" w:sz="0" w:space="0" w:color="auto"/>
                      </w:divBdr>
                    </w:div>
                  </w:divsChild>
                </w:div>
                <w:div w:id="1045570202">
                  <w:marLeft w:val="0"/>
                  <w:marRight w:val="0"/>
                  <w:marTop w:val="0"/>
                  <w:marBottom w:val="0"/>
                  <w:divBdr>
                    <w:top w:val="none" w:sz="0" w:space="0" w:color="auto"/>
                    <w:left w:val="none" w:sz="0" w:space="0" w:color="auto"/>
                    <w:bottom w:val="none" w:sz="0" w:space="0" w:color="auto"/>
                    <w:right w:val="none" w:sz="0" w:space="0" w:color="auto"/>
                  </w:divBdr>
                  <w:divsChild>
                    <w:div w:id="1378316918">
                      <w:marLeft w:val="0"/>
                      <w:marRight w:val="0"/>
                      <w:marTop w:val="0"/>
                      <w:marBottom w:val="0"/>
                      <w:divBdr>
                        <w:top w:val="none" w:sz="0" w:space="0" w:color="auto"/>
                        <w:left w:val="none" w:sz="0" w:space="0" w:color="auto"/>
                        <w:bottom w:val="none" w:sz="0" w:space="0" w:color="auto"/>
                        <w:right w:val="none" w:sz="0" w:space="0" w:color="auto"/>
                      </w:divBdr>
                    </w:div>
                  </w:divsChild>
                </w:div>
                <w:div w:id="1093546260">
                  <w:marLeft w:val="0"/>
                  <w:marRight w:val="0"/>
                  <w:marTop w:val="0"/>
                  <w:marBottom w:val="0"/>
                  <w:divBdr>
                    <w:top w:val="none" w:sz="0" w:space="0" w:color="auto"/>
                    <w:left w:val="none" w:sz="0" w:space="0" w:color="auto"/>
                    <w:bottom w:val="none" w:sz="0" w:space="0" w:color="auto"/>
                    <w:right w:val="none" w:sz="0" w:space="0" w:color="auto"/>
                  </w:divBdr>
                  <w:divsChild>
                    <w:div w:id="2082092267">
                      <w:marLeft w:val="0"/>
                      <w:marRight w:val="0"/>
                      <w:marTop w:val="0"/>
                      <w:marBottom w:val="0"/>
                      <w:divBdr>
                        <w:top w:val="none" w:sz="0" w:space="0" w:color="auto"/>
                        <w:left w:val="none" w:sz="0" w:space="0" w:color="auto"/>
                        <w:bottom w:val="none" w:sz="0" w:space="0" w:color="auto"/>
                        <w:right w:val="none" w:sz="0" w:space="0" w:color="auto"/>
                      </w:divBdr>
                    </w:div>
                  </w:divsChild>
                </w:div>
                <w:div w:id="1111898492">
                  <w:marLeft w:val="0"/>
                  <w:marRight w:val="0"/>
                  <w:marTop w:val="0"/>
                  <w:marBottom w:val="0"/>
                  <w:divBdr>
                    <w:top w:val="none" w:sz="0" w:space="0" w:color="auto"/>
                    <w:left w:val="none" w:sz="0" w:space="0" w:color="auto"/>
                    <w:bottom w:val="none" w:sz="0" w:space="0" w:color="auto"/>
                    <w:right w:val="none" w:sz="0" w:space="0" w:color="auto"/>
                  </w:divBdr>
                  <w:divsChild>
                    <w:div w:id="622884410">
                      <w:marLeft w:val="0"/>
                      <w:marRight w:val="0"/>
                      <w:marTop w:val="0"/>
                      <w:marBottom w:val="0"/>
                      <w:divBdr>
                        <w:top w:val="none" w:sz="0" w:space="0" w:color="auto"/>
                        <w:left w:val="none" w:sz="0" w:space="0" w:color="auto"/>
                        <w:bottom w:val="none" w:sz="0" w:space="0" w:color="auto"/>
                        <w:right w:val="none" w:sz="0" w:space="0" w:color="auto"/>
                      </w:divBdr>
                    </w:div>
                  </w:divsChild>
                </w:div>
                <w:div w:id="1121848931">
                  <w:marLeft w:val="0"/>
                  <w:marRight w:val="0"/>
                  <w:marTop w:val="0"/>
                  <w:marBottom w:val="0"/>
                  <w:divBdr>
                    <w:top w:val="none" w:sz="0" w:space="0" w:color="auto"/>
                    <w:left w:val="none" w:sz="0" w:space="0" w:color="auto"/>
                    <w:bottom w:val="none" w:sz="0" w:space="0" w:color="auto"/>
                    <w:right w:val="none" w:sz="0" w:space="0" w:color="auto"/>
                  </w:divBdr>
                  <w:divsChild>
                    <w:div w:id="496001469">
                      <w:marLeft w:val="0"/>
                      <w:marRight w:val="0"/>
                      <w:marTop w:val="0"/>
                      <w:marBottom w:val="0"/>
                      <w:divBdr>
                        <w:top w:val="none" w:sz="0" w:space="0" w:color="auto"/>
                        <w:left w:val="none" w:sz="0" w:space="0" w:color="auto"/>
                        <w:bottom w:val="none" w:sz="0" w:space="0" w:color="auto"/>
                        <w:right w:val="none" w:sz="0" w:space="0" w:color="auto"/>
                      </w:divBdr>
                    </w:div>
                  </w:divsChild>
                </w:div>
                <w:div w:id="1180197520">
                  <w:marLeft w:val="0"/>
                  <w:marRight w:val="0"/>
                  <w:marTop w:val="0"/>
                  <w:marBottom w:val="0"/>
                  <w:divBdr>
                    <w:top w:val="none" w:sz="0" w:space="0" w:color="auto"/>
                    <w:left w:val="none" w:sz="0" w:space="0" w:color="auto"/>
                    <w:bottom w:val="none" w:sz="0" w:space="0" w:color="auto"/>
                    <w:right w:val="none" w:sz="0" w:space="0" w:color="auto"/>
                  </w:divBdr>
                  <w:divsChild>
                    <w:div w:id="2097820811">
                      <w:marLeft w:val="0"/>
                      <w:marRight w:val="0"/>
                      <w:marTop w:val="0"/>
                      <w:marBottom w:val="0"/>
                      <w:divBdr>
                        <w:top w:val="none" w:sz="0" w:space="0" w:color="auto"/>
                        <w:left w:val="none" w:sz="0" w:space="0" w:color="auto"/>
                        <w:bottom w:val="none" w:sz="0" w:space="0" w:color="auto"/>
                        <w:right w:val="none" w:sz="0" w:space="0" w:color="auto"/>
                      </w:divBdr>
                    </w:div>
                  </w:divsChild>
                </w:div>
                <w:div w:id="1224364104">
                  <w:marLeft w:val="0"/>
                  <w:marRight w:val="0"/>
                  <w:marTop w:val="0"/>
                  <w:marBottom w:val="0"/>
                  <w:divBdr>
                    <w:top w:val="none" w:sz="0" w:space="0" w:color="auto"/>
                    <w:left w:val="none" w:sz="0" w:space="0" w:color="auto"/>
                    <w:bottom w:val="none" w:sz="0" w:space="0" w:color="auto"/>
                    <w:right w:val="none" w:sz="0" w:space="0" w:color="auto"/>
                  </w:divBdr>
                  <w:divsChild>
                    <w:div w:id="665015647">
                      <w:marLeft w:val="0"/>
                      <w:marRight w:val="0"/>
                      <w:marTop w:val="0"/>
                      <w:marBottom w:val="0"/>
                      <w:divBdr>
                        <w:top w:val="none" w:sz="0" w:space="0" w:color="auto"/>
                        <w:left w:val="none" w:sz="0" w:space="0" w:color="auto"/>
                        <w:bottom w:val="none" w:sz="0" w:space="0" w:color="auto"/>
                        <w:right w:val="none" w:sz="0" w:space="0" w:color="auto"/>
                      </w:divBdr>
                    </w:div>
                  </w:divsChild>
                </w:div>
                <w:div w:id="1236553332">
                  <w:marLeft w:val="0"/>
                  <w:marRight w:val="0"/>
                  <w:marTop w:val="0"/>
                  <w:marBottom w:val="0"/>
                  <w:divBdr>
                    <w:top w:val="none" w:sz="0" w:space="0" w:color="auto"/>
                    <w:left w:val="none" w:sz="0" w:space="0" w:color="auto"/>
                    <w:bottom w:val="none" w:sz="0" w:space="0" w:color="auto"/>
                    <w:right w:val="none" w:sz="0" w:space="0" w:color="auto"/>
                  </w:divBdr>
                  <w:divsChild>
                    <w:div w:id="259526622">
                      <w:marLeft w:val="0"/>
                      <w:marRight w:val="0"/>
                      <w:marTop w:val="0"/>
                      <w:marBottom w:val="0"/>
                      <w:divBdr>
                        <w:top w:val="none" w:sz="0" w:space="0" w:color="auto"/>
                        <w:left w:val="none" w:sz="0" w:space="0" w:color="auto"/>
                        <w:bottom w:val="none" w:sz="0" w:space="0" w:color="auto"/>
                        <w:right w:val="none" w:sz="0" w:space="0" w:color="auto"/>
                      </w:divBdr>
                    </w:div>
                  </w:divsChild>
                </w:div>
                <w:div w:id="1249117340">
                  <w:marLeft w:val="0"/>
                  <w:marRight w:val="0"/>
                  <w:marTop w:val="0"/>
                  <w:marBottom w:val="0"/>
                  <w:divBdr>
                    <w:top w:val="none" w:sz="0" w:space="0" w:color="auto"/>
                    <w:left w:val="none" w:sz="0" w:space="0" w:color="auto"/>
                    <w:bottom w:val="none" w:sz="0" w:space="0" w:color="auto"/>
                    <w:right w:val="none" w:sz="0" w:space="0" w:color="auto"/>
                  </w:divBdr>
                  <w:divsChild>
                    <w:div w:id="189994841">
                      <w:marLeft w:val="0"/>
                      <w:marRight w:val="0"/>
                      <w:marTop w:val="0"/>
                      <w:marBottom w:val="0"/>
                      <w:divBdr>
                        <w:top w:val="none" w:sz="0" w:space="0" w:color="auto"/>
                        <w:left w:val="none" w:sz="0" w:space="0" w:color="auto"/>
                        <w:bottom w:val="none" w:sz="0" w:space="0" w:color="auto"/>
                        <w:right w:val="none" w:sz="0" w:space="0" w:color="auto"/>
                      </w:divBdr>
                    </w:div>
                  </w:divsChild>
                </w:div>
                <w:div w:id="1352950775">
                  <w:marLeft w:val="0"/>
                  <w:marRight w:val="0"/>
                  <w:marTop w:val="0"/>
                  <w:marBottom w:val="0"/>
                  <w:divBdr>
                    <w:top w:val="none" w:sz="0" w:space="0" w:color="auto"/>
                    <w:left w:val="none" w:sz="0" w:space="0" w:color="auto"/>
                    <w:bottom w:val="none" w:sz="0" w:space="0" w:color="auto"/>
                    <w:right w:val="none" w:sz="0" w:space="0" w:color="auto"/>
                  </w:divBdr>
                  <w:divsChild>
                    <w:div w:id="1753040062">
                      <w:marLeft w:val="0"/>
                      <w:marRight w:val="0"/>
                      <w:marTop w:val="0"/>
                      <w:marBottom w:val="0"/>
                      <w:divBdr>
                        <w:top w:val="none" w:sz="0" w:space="0" w:color="auto"/>
                        <w:left w:val="none" w:sz="0" w:space="0" w:color="auto"/>
                        <w:bottom w:val="none" w:sz="0" w:space="0" w:color="auto"/>
                        <w:right w:val="none" w:sz="0" w:space="0" w:color="auto"/>
                      </w:divBdr>
                    </w:div>
                  </w:divsChild>
                </w:div>
                <w:div w:id="1367754333">
                  <w:marLeft w:val="0"/>
                  <w:marRight w:val="0"/>
                  <w:marTop w:val="0"/>
                  <w:marBottom w:val="0"/>
                  <w:divBdr>
                    <w:top w:val="none" w:sz="0" w:space="0" w:color="auto"/>
                    <w:left w:val="none" w:sz="0" w:space="0" w:color="auto"/>
                    <w:bottom w:val="none" w:sz="0" w:space="0" w:color="auto"/>
                    <w:right w:val="none" w:sz="0" w:space="0" w:color="auto"/>
                  </w:divBdr>
                  <w:divsChild>
                    <w:div w:id="1795559794">
                      <w:marLeft w:val="0"/>
                      <w:marRight w:val="0"/>
                      <w:marTop w:val="0"/>
                      <w:marBottom w:val="0"/>
                      <w:divBdr>
                        <w:top w:val="none" w:sz="0" w:space="0" w:color="auto"/>
                        <w:left w:val="none" w:sz="0" w:space="0" w:color="auto"/>
                        <w:bottom w:val="none" w:sz="0" w:space="0" w:color="auto"/>
                        <w:right w:val="none" w:sz="0" w:space="0" w:color="auto"/>
                      </w:divBdr>
                    </w:div>
                  </w:divsChild>
                </w:div>
                <w:div w:id="1420326333">
                  <w:marLeft w:val="0"/>
                  <w:marRight w:val="0"/>
                  <w:marTop w:val="0"/>
                  <w:marBottom w:val="0"/>
                  <w:divBdr>
                    <w:top w:val="none" w:sz="0" w:space="0" w:color="auto"/>
                    <w:left w:val="none" w:sz="0" w:space="0" w:color="auto"/>
                    <w:bottom w:val="none" w:sz="0" w:space="0" w:color="auto"/>
                    <w:right w:val="none" w:sz="0" w:space="0" w:color="auto"/>
                  </w:divBdr>
                  <w:divsChild>
                    <w:div w:id="1947152066">
                      <w:marLeft w:val="0"/>
                      <w:marRight w:val="0"/>
                      <w:marTop w:val="0"/>
                      <w:marBottom w:val="0"/>
                      <w:divBdr>
                        <w:top w:val="none" w:sz="0" w:space="0" w:color="auto"/>
                        <w:left w:val="none" w:sz="0" w:space="0" w:color="auto"/>
                        <w:bottom w:val="none" w:sz="0" w:space="0" w:color="auto"/>
                        <w:right w:val="none" w:sz="0" w:space="0" w:color="auto"/>
                      </w:divBdr>
                    </w:div>
                  </w:divsChild>
                </w:div>
                <w:div w:id="1421683989">
                  <w:marLeft w:val="0"/>
                  <w:marRight w:val="0"/>
                  <w:marTop w:val="0"/>
                  <w:marBottom w:val="0"/>
                  <w:divBdr>
                    <w:top w:val="none" w:sz="0" w:space="0" w:color="auto"/>
                    <w:left w:val="none" w:sz="0" w:space="0" w:color="auto"/>
                    <w:bottom w:val="none" w:sz="0" w:space="0" w:color="auto"/>
                    <w:right w:val="none" w:sz="0" w:space="0" w:color="auto"/>
                  </w:divBdr>
                  <w:divsChild>
                    <w:div w:id="2006395362">
                      <w:marLeft w:val="0"/>
                      <w:marRight w:val="0"/>
                      <w:marTop w:val="0"/>
                      <w:marBottom w:val="0"/>
                      <w:divBdr>
                        <w:top w:val="none" w:sz="0" w:space="0" w:color="auto"/>
                        <w:left w:val="none" w:sz="0" w:space="0" w:color="auto"/>
                        <w:bottom w:val="none" w:sz="0" w:space="0" w:color="auto"/>
                        <w:right w:val="none" w:sz="0" w:space="0" w:color="auto"/>
                      </w:divBdr>
                    </w:div>
                  </w:divsChild>
                </w:div>
                <w:div w:id="1426028722">
                  <w:marLeft w:val="0"/>
                  <w:marRight w:val="0"/>
                  <w:marTop w:val="0"/>
                  <w:marBottom w:val="0"/>
                  <w:divBdr>
                    <w:top w:val="none" w:sz="0" w:space="0" w:color="auto"/>
                    <w:left w:val="none" w:sz="0" w:space="0" w:color="auto"/>
                    <w:bottom w:val="none" w:sz="0" w:space="0" w:color="auto"/>
                    <w:right w:val="none" w:sz="0" w:space="0" w:color="auto"/>
                  </w:divBdr>
                  <w:divsChild>
                    <w:div w:id="1267424451">
                      <w:marLeft w:val="0"/>
                      <w:marRight w:val="0"/>
                      <w:marTop w:val="0"/>
                      <w:marBottom w:val="0"/>
                      <w:divBdr>
                        <w:top w:val="none" w:sz="0" w:space="0" w:color="auto"/>
                        <w:left w:val="none" w:sz="0" w:space="0" w:color="auto"/>
                        <w:bottom w:val="none" w:sz="0" w:space="0" w:color="auto"/>
                        <w:right w:val="none" w:sz="0" w:space="0" w:color="auto"/>
                      </w:divBdr>
                    </w:div>
                  </w:divsChild>
                </w:div>
                <w:div w:id="1429345315">
                  <w:marLeft w:val="0"/>
                  <w:marRight w:val="0"/>
                  <w:marTop w:val="0"/>
                  <w:marBottom w:val="0"/>
                  <w:divBdr>
                    <w:top w:val="none" w:sz="0" w:space="0" w:color="auto"/>
                    <w:left w:val="none" w:sz="0" w:space="0" w:color="auto"/>
                    <w:bottom w:val="none" w:sz="0" w:space="0" w:color="auto"/>
                    <w:right w:val="none" w:sz="0" w:space="0" w:color="auto"/>
                  </w:divBdr>
                  <w:divsChild>
                    <w:div w:id="2143575045">
                      <w:marLeft w:val="0"/>
                      <w:marRight w:val="0"/>
                      <w:marTop w:val="0"/>
                      <w:marBottom w:val="0"/>
                      <w:divBdr>
                        <w:top w:val="none" w:sz="0" w:space="0" w:color="auto"/>
                        <w:left w:val="none" w:sz="0" w:space="0" w:color="auto"/>
                        <w:bottom w:val="none" w:sz="0" w:space="0" w:color="auto"/>
                        <w:right w:val="none" w:sz="0" w:space="0" w:color="auto"/>
                      </w:divBdr>
                    </w:div>
                  </w:divsChild>
                </w:div>
                <w:div w:id="1469397466">
                  <w:marLeft w:val="0"/>
                  <w:marRight w:val="0"/>
                  <w:marTop w:val="0"/>
                  <w:marBottom w:val="0"/>
                  <w:divBdr>
                    <w:top w:val="none" w:sz="0" w:space="0" w:color="auto"/>
                    <w:left w:val="none" w:sz="0" w:space="0" w:color="auto"/>
                    <w:bottom w:val="none" w:sz="0" w:space="0" w:color="auto"/>
                    <w:right w:val="none" w:sz="0" w:space="0" w:color="auto"/>
                  </w:divBdr>
                  <w:divsChild>
                    <w:div w:id="9262745">
                      <w:marLeft w:val="0"/>
                      <w:marRight w:val="0"/>
                      <w:marTop w:val="0"/>
                      <w:marBottom w:val="0"/>
                      <w:divBdr>
                        <w:top w:val="none" w:sz="0" w:space="0" w:color="auto"/>
                        <w:left w:val="none" w:sz="0" w:space="0" w:color="auto"/>
                        <w:bottom w:val="none" w:sz="0" w:space="0" w:color="auto"/>
                        <w:right w:val="none" w:sz="0" w:space="0" w:color="auto"/>
                      </w:divBdr>
                    </w:div>
                  </w:divsChild>
                </w:div>
                <w:div w:id="1469401292">
                  <w:marLeft w:val="0"/>
                  <w:marRight w:val="0"/>
                  <w:marTop w:val="0"/>
                  <w:marBottom w:val="0"/>
                  <w:divBdr>
                    <w:top w:val="none" w:sz="0" w:space="0" w:color="auto"/>
                    <w:left w:val="none" w:sz="0" w:space="0" w:color="auto"/>
                    <w:bottom w:val="none" w:sz="0" w:space="0" w:color="auto"/>
                    <w:right w:val="none" w:sz="0" w:space="0" w:color="auto"/>
                  </w:divBdr>
                  <w:divsChild>
                    <w:div w:id="294064758">
                      <w:marLeft w:val="0"/>
                      <w:marRight w:val="0"/>
                      <w:marTop w:val="0"/>
                      <w:marBottom w:val="0"/>
                      <w:divBdr>
                        <w:top w:val="none" w:sz="0" w:space="0" w:color="auto"/>
                        <w:left w:val="none" w:sz="0" w:space="0" w:color="auto"/>
                        <w:bottom w:val="none" w:sz="0" w:space="0" w:color="auto"/>
                        <w:right w:val="none" w:sz="0" w:space="0" w:color="auto"/>
                      </w:divBdr>
                    </w:div>
                  </w:divsChild>
                </w:div>
                <w:div w:id="1519352203">
                  <w:marLeft w:val="0"/>
                  <w:marRight w:val="0"/>
                  <w:marTop w:val="0"/>
                  <w:marBottom w:val="0"/>
                  <w:divBdr>
                    <w:top w:val="none" w:sz="0" w:space="0" w:color="auto"/>
                    <w:left w:val="none" w:sz="0" w:space="0" w:color="auto"/>
                    <w:bottom w:val="none" w:sz="0" w:space="0" w:color="auto"/>
                    <w:right w:val="none" w:sz="0" w:space="0" w:color="auto"/>
                  </w:divBdr>
                  <w:divsChild>
                    <w:div w:id="258761657">
                      <w:marLeft w:val="0"/>
                      <w:marRight w:val="0"/>
                      <w:marTop w:val="0"/>
                      <w:marBottom w:val="0"/>
                      <w:divBdr>
                        <w:top w:val="none" w:sz="0" w:space="0" w:color="auto"/>
                        <w:left w:val="none" w:sz="0" w:space="0" w:color="auto"/>
                        <w:bottom w:val="none" w:sz="0" w:space="0" w:color="auto"/>
                        <w:right w:val="none" w:sz="0" w:space="0" w:color="auto"/>
                      </w:divBdr>
                    </w:div>
                  </w:divsChild>
                </w:div>
                <w:div w:id="1530223069">
                  <w:marLeft w:val="0"/>
                  <w:marRight w:val="0"/>
                  <w:marTop w:val="0"/>
                  <w:marBottom w:val="0"/>
                  <w:divBdr>
                    <w:top w:val="none" w:sz="0" w:space="0" w:color="auto"/>
                    <w:left w:val="none" w:sz="0" w:space="0" w:color="auto"/>
                    <w:bottom w:val="none" w:sz="0" w:space="0" w:color="auto"/>
                    <w:right w:val="none" w:sz="0" w:space="0" w:color="auto"/>
                  </w:divBdr>
                  <w:divsChild>
                    <w:div w:id="1472093289">
                      <w:marLeft w:val="0"/>
                      <w:marRight w:val="0"/>
                      <w:marTop w:val="0"/>
                      <w:marBottom w:val="0"/>
                      <w:divBdr>
                        <w:top w:val="none" w:sz="0" w:space="0" w:color="auto"/>
                        <w:left w:val="none" w:sz="0" w:space="0" w:color="auto"/>
                        <w:bottom w:val="none" w:sz="0" w:space="0" w:color="auto"/>
                        <w:right w:val="none" w:sz="0" w:space="0" w:color="auto"/>
                      </w:divBdr>
                    </w:div>
                  </w:divsChild>
                </w:div>
                <w:div w:id="1563174956">
                  <w:marLeft w:val="0"/>
                  <w:marRight w:val="0"/>
                  <w:marTop w:val="0"/>
                  <w:marBottom w:val="0"/>
                  <w:divBdr>
                    <w:top w:val="none" w:sz="0" w:space="0" w:color="auto"/>
                    <w:left w:val="none" w:sz="0" w:space="0" w:color="auto"/>
                    <w:bottom w:val="none" w:sz="0" w:space="0" w:color="auto"/>
                    <w:right w:val="none" w:sz="0" w:space="0" w:color="auto"/>
                  </w:divBdr>
                  <w:divsChild>
                    <w:div w:id="348142108">
                      <w:marLeft w:val="0"/>
                      <w:marRight w:val="0"/>
                      <w:marTop w:val="0"/>
                      <w:marBottom w:val="0"/>
                      <w:divBdr>
                        <w:top w:val="none" w:sz="0" w:space="0" w:color="auto"/>
                        <w:left w:val="none" w:sz="0" w:space="0" w:color="auto"/>
                        <w:bottom w:val="none" w:sz="0" w:space="0" w:color="auto"/>
                        <w:right w:val="none" w:sz="0" w:space="0" w:color="auto"/>
                      </w:divBdr>
                    </w:div>
                  </w:divsChild>
                </w:div>
                <w:div w:id="1576667806">
                  <w:marLeft w:val="0"/>
                  <w:marRight w:val="0"/>
                  <w:marTop w:val="0"/>
                  <w:marBottom w:val="0"/>
                  <w:divBdr>
                    <w:top w:val="none" w:sz="0" w:space="0" w:color="auto"/>
                    <w:left w:val="none" w:sz="0" w:space="0" w:color="auto"/>
                    <w:bottom w:val="none" w:sz="0" w:space="0" w:color="auto"/>
                    <w:right w:val="none" w:sz="0" w:space="0" w:color="auto"/>
                  </w:divBdr>
                  <w:divsChild>
                    <w:div w:id="1324552999">
                      <w:marLeft w:val="0"/>
                      <w:marRight w:val="0"/>
                      <w:marTop w:val="0"/>
                      <w:marBottom w:val="0"/>
                      <w:divBdr>
                        <w:top w:val="none" w:sz="0" w:space="0" w:color="auto"/>
                        <w:left w:val="none" w:sz="0" w:space="0" w:color="auto"/>
                        <w:bottom w:val="none" w:sz="0" w:space="0" w:color="auto"/>
                        <w:right w:val="none" w:sz="0" w:space="0" w:color="auto"/>
                      </w:divBdr>
                    </w:div>
                  </w:divsChild>
                </w:div>
                <w:div w:id="1612011099">
                  <w:marLeft w:val="0"/>
                  <w:marRight w:val="0"/>
                  <w:marTop w:val="0"/>
                  <w:marBottom w:val="0"/>
                  <w:divBdr>
                    <w:top w:val="none" w:sz="0" w:space="0" w:color="auto"/>
                    <w:left w:val="none" w:sz="0" w:space="0" w:color="auto"/>
                    <w:bottom w:val="none" w:sz="0" w:space="0" w:color="auto"/>
                    <w:right w:val="none" w:sz="0" w:space="0" w:color="auto"/>
                  </w:divBdr>
                  <w:divsChild>
                    <w:div w:id="2121139546">
                      <w:marLeft w:val="0"/>
                      <w:marRight w:val="0"/>
                      <w:marTop w:val="0"/>
                      <w:marBottom w:val="0"/>
                      <w:divBdr>
                        <w:top w:val="none" w:sz="0" w:space="0" w:color="auto"/>
                        <w:left w:val="none" w:sz="0" w:space="0" w:color="auto"/>
                        <w:bottom w:val="none" w:sz="0" w:space="0" w:color="auto"/>
                        <w:right w:val="none" w:sz="0" w:space="0" w:color="auto"/>
                      </w:divBdr>
                    </w:div>
                  </w:divsChild>
                </w:div>
                <w:div w:id="1612935383">
                  <w:marLeft w:val="0"/>
                  <w:marRight w:val="0"/>
                  <w:marTop w:val="0"/>
                  <w:marBottom w:val="0"/>
                  <w:divBdr>
                    <w:top w:val="none" w:sz="0" w:space="0" w:color="auto"/>
                    <w:left w:val="none" w:sz="0" w:space="0" w:color="auto"/>
                    <w:bottom w:val="none" w:sz="0" w:space="0" w:color="auto"/>
                    <w:right w:val="none" w:sz="0" w:space="0" w:color="auto"/>
                  </w:divBdr>
                  <w:divsChild>
                    <w:div w:id="392318513">
                      <w:marLeft w:val="0"/>
                      <w:marRight w:val="0"/>
                      <w:marTop w:val="0"/>
                      <w:marBottom w:val="0"/>
                      <w:divBdr>
                        <w:top w:val="none" w:sz="0" w:space="0" w:color="auto"/>
                        <w:left w:val="none" w:sz="0" w:space="0" w:color="auto"/>
                        <w:bottom w:val="none" w:sz="0" w:space="0" w:color="auto"/>
                        <w:right w:val="none" w:sz="0" w:space="0" w:color="auto"/>
                      </w:divBdr>
                    </w:div>
                  </w:divsChild>
                </w:div>
                <w:div w:id="1627151685">
                  <w:marLeft w:val="0"/>
                  <w:marRight w:val="0"/>
                  <w:marTop w:val="0"/>
                  <w:marBottom w:val="0"/>
                  <w:divBdr>
                    <w:top w:val="none" w:sz="0" w:space="0" w:color="auto"/>
                    <w:left w:val="none" w:sz="0" w:space="0" w:color="auto"/>
                    <w:bottom w:val="none" w:sz="0" w:space="0" w:color="auto"/>
                    <w:right w:val="none" w:sz="0" w:space="0" w:color="auto"/>
                  </w:divBdr>
                  <w:divsChild>
                    <w:div w:id="304236485">
                      <w:marLeft w:val="0"/>
                      <w:marRight w:val="0"/>
                      <w:marTop w:val="0"/>
                      <w:marBottom w:val="0"/>
                      <w:divBdr>
                        <w:top w:val="none" w:sz="0" w:space="0" w:color="auto"/>
                        <w:left w:val="none" w:sz="0" w:space="0" w:color="auto"/>
                        <w:bottom w:val="none" w:sz="0" w:space="0" w:color="auto"/>
                        <w:right w:val="none" w:sz="0" w:space="0" w:color="auto"/>
                      </w:divBdr>
                    </w:div>
                  </w:divsChild>
                </w:div>
                <w:div w:id="1636330971">
                  <w:marLeft w:val="0"/>
                  <w:marRight w:val="0"/>
                  <w:marTop w:val="0"/>
                  <w:marBottom w:val="0"/>
                  <w:divBdr>
                    <w:top w:val="none" w:sz="0" w:space="0" w:color="auto"/>
                    <w:left w:val="none" w:sz="0" w:space="0" w:color="auto"/>
                    <w:bottom w:val="none" w:sz="0" w:space="0" w:color="auto"/>
                    <w:right w:val="none" w:sz="0" w:space="0" w:color="auto"/>
                  </w:divBdr>
                  <w:divsChild>
                    <w:div w:id="1472595123">
                      <w:marLeft w:val="0"/>
                      <w:marRight w:val="0"/>
                      <w:marTop w:val="0"/>
                      <w:marBottom w:val="0"/>
                      <w:divBdr>
                        <w:top w:val="none" w:sz="0" w:space="0" w:color="auto"/>
                        <w:left w:val="none" w:sz="0" w:space="0" w:color="auto"/>
                        <w:bottom w:val="none" w:sz="0" w:space="0" w:color="auto"/>
                        <w:right w:val="none" w:sz="0" w:space="0" w:color="auto"/>
                      </w:divBdr>
                    </w:div>
                  </w:divsChild>
                </w:div>
                <w:div w:id="1638946425">
                  <w:marLeft w:val="0"/>
                  <w:marRight w:val="0"/>
                  <w:marTop w:val="0"/>
                  <w:marBottom w:val="0"/>
                  <w:divBdr>
                    <w:top w:val="none" w:sz="0" w:space="0" w:color="auto"/>
                    <w:left w:val="none" w:sz="0" w:space="0" w:color="auto"/>
                    <w:bottom w:val="none" w:sz="0" w:space="0" w:color="auto"/>
                    <w:right w:val="none" w:sz="0" w:space="0" w:color="auto"/>
                  </w:divBdr>
                  <w:divsChild>
                    <w:div w:id="1225216829">
                      <w:marLeft w:val="0"/>
                      <w:marRight w:val="0"/>
                      <w:marTop w:val="0"/>
                      <w:marBottom w:val="0"/>
                      <w:divBdr>
                        <w:top w:val="none" w:sz="0" w:space="0" w:color="auto"/>
                        <w:left w:val="none" w:sz="0" w:space="0" w:color="auto"/>
                        <w:bottom w:val="none" w:sz="0" w:space="0" w:color="auto"/>
                        <w:right w:val="none" w:sz="0" w:space="0" w:color="auto"/>
                      </w:divBdr>
                    </w:div>
                  </w:divsChild>
                </w:div>
                <w:div w:id="1745377885">
                  <w:marLeft w:val="0"/>
                  <w:marRight w:val="0"/>
                  <w:marTop w:val="0"/>
                  <w:marBottom w:val="0"/>
                  <w:divBdr>
                    <w:top w:val="none" w:sz="0" w:space="0" w:color="auto"/>
                    <w:left w:val="none" w:sz="0" w:space="0" w:color="auto"/>
                    <w:bottom w:val="none" w:sz="0" w:space="0" w:color="auto"/>
                    <w:right w:val="none" w:sz="0" w:space="0" w:color="auto"/>
                  </w:divBdr>
                  <w:divsChild>
                    <w:div w:id="1815758268">
                      <w:marLeft w:val="0"/>
                      <w:marRight w:val="0"/>
                      <w:marTop w:val="0"/>
                      <w:marBottom w:val="0"/>
                      <w:divBdr>
                        <w:top w:val="none" w:sz="0" w:space="0" w:color="auto"/>
                        <w:left w:val="none" w:sz="0" w:space="0" w:color="auto"/>
                        <w:bottom w:val="none" w:sz="0" w:space="0" w:color="auto"/>
                        <w:right w:val="none" w:sz="0" w:space="0" w:color="auto"/>
                      </w:divBdr>
                    </w:div>
                  </w:divsChild>
                </w:div>
                <w:div w:id="1796439930">
                  <w:marLeft w:val="0"/>
                  <w:marRight w:val="0"/>
                  <w:marTop w:val="0"/>
                  <w:marBottom w:val="0"/>
                  <w:divBdr>
                    <w:top w:val="none" w:sz="0" w:space="0" w:color="auto"/>
                    <w:left w:val="none" w:sz="0" w:space="0" w:color="auto"/>
                    <w:bottom w:val="none" w:sz="0" w:space="0" w:color="auto"/>
                    <w:right w:val="none" w:sz="0" w:space="0" w:color="auto"/>
                  </w:divBdr>
                  <w:divsChild>
                    <w:div w:id="1609581068">
                      <w:marLeft w:val="0"/>
                      <w:marRight w:val="0"/>
                      <w:marTop w:val="0"/>
                      <w:marBottom w:val="0"/>
                      <w:divBdr>
                        <w:top w:val="none" w:sz="0" w:space="0" w:color="auto"/>
                        <w:left w:val="none" w:sz="0" w:space="0" w:color="auto"/>
                        <w:bottom w:val="none" w:sz="0" w:space="0" w:color="auto"/>
                        <w:right w:val="none" w:sz="0" w:space="0" w:color="auto"/>
                      </w:divBdr>
                    </w:div>
                  </w:divsChild>
                </w:div>
                <w:div w:id="1977181794">
                  <w:marLeft w:val="0"/>
                  <w:marRight w:val="0"/>
                  <w:marTop w:val="0"/>
                  <w:marBottom w:val="0"/>
                  <w:divBdr>
                    <w:top w:val="none" w:sz="0" w:space="0" w:color="auto"/>
                    <w:left w:val="none" w:sz="0" w:space="0" w:color="auto"/>
                    <w:bottom w:val="none" w:sz="0" w:space="0" w:color="auto"/>
                    <w:right w:val="none" w:sz="0" w:space="0" w:color="auto"/>
                  </w:divBdr>
                  <w:divsChild>
                    <w:div w:id="1998415315">
                      <w:marLeft w:val="0"/>
                      <w:marRight w:val="0"/>
                      <w:marTop w:val="0"/>
                      <w:marBottom w:val="0"/>
                      <w:divBdr>
                        <w:top w:val="none" w:sz="0" w:space="0" w:color="auto"/>
                        <w:left w:val="none" w:sz="0" w:space="0" w:color="auto"/>
                        <w:bottom w:val="none" w:sz="0" w:space="0" w:color="auto"/>
                        <w:right w:val="none" w:sz="0" w:space="0" w:color="auto"/>
                      </w:divBdr>
                    </w:div>
                  </w:divsChild>
                </w:div>
                <w:div w:id="2024238705">
                  <w:marLeft w:val="0"/>
                  <w:marRight w:val="0"/>
                  <w:marTop w:val="0"/>
                  <w:marBottom w:val="0"/>
                  <w:divBdr>
                    <w:top w:val="none" w:sz="0" w:space="0" w:color="auto"/>
                    <w:left w:val="none" w:sz="0" w:space="0" w:color="auto"/>
                    <w:bottom w:val="none" w:sz="0" w:space="0" w:color="auto"/>
                    <w:right w:val="none" w:sz="0" w:space="0" w:color="auto"/>
                  </w:divBdr>
                  <w:divsChild>
                    <w:div w:id="543713143">
                      <w:marLeft w:val="0"/>
                      <w:marRight w:val="0"/>
                      <w:marTop w:val="0"/>
                      <w:marBottom w:val="0"/>
                      <w:divBdr>
                        <w:top w:val="none" w:sz="0" w:space="0" w:color="auto"/>
                        <w:left w:val="none" w:sz="0" w:space="0" w:color="auto"/>
                        <w:bottom w:val="none" w:sz="0" w:space="0" w:color="auto"/>
                        <w:right w:val="none" w:sz="0" w:space="0" w:color="auto"/>
                      </w:divBdr>
                    </w:div>
                  </w:divsChild>
                </w:div>
                <w:div w:id="2054309987">
                  <w:marLeft w:val="0"/>
                  <w:marRight w:val="0"/>
                  <w:marTop w:val="0"/>
                  <w:marBottom w:val="0"/>
                  <w:divBdr>
                    <w:top w:val="none" w:sz="0" w:space="0" w:color="auto"/>
                    <w:left w:val="none" w:sz="0" w:space="0" w:color="auto"/>
                    <w:bottom w:val="none" w:sz="0" w:space="0" w:color="auto"/>
                    <w:right w:val="none" w:sz="0" w:space="0" w:color="auto"/>
                  </w:divBdr>
                  <w:divsChild>
                    <w:div w:id="1001860342">
                      <w:marLeft w:val="0"/>
                      <w:marRight w:val="0"/>
                      <w:marTop w:val="0"/>
                      <w:marBottom w:val="0"/>
                      <w:divBdr>
                        <w:top w:val="none" w:sz="0" w:space="0" w:color="auto"/>
                        <w:left w:val="none" w:sz="0" w:space="0" w:color="auto"/>
                        <w:bottom w:val="none" w:sz="0" w:space="0" w:color="auto"/>
                        <w:right w:val="none" w:sz="0" w:space="0" w:color="auto"/>
                      </w:divBdr>
                    </w:div>
                  </w:divsChild>
                </w:div>
                <w:div w:id="2074573982">
                  <w:marLeft w:val="0"/>
                  <w:marRight w:val="0"/>
                  <w:marTop w:val="0"/>
                  <w:marBottom w:val="0"/>
                  <w:divBdr>
                    <w:top w:val="none" w:sz="0" w:space="0" w:color="auto"/>
                    <w:left w:val="none" w:sz="0" w:space="0" w:color="auto"/>
                    <w:bottom w:val="none" w:sz="0" w:space="0" w:color="auto"/>
                    <w:right w:val="none" w:sz="0" w:space="0" w:color="auto"/>
                  </w:divBdr>
                  <w:divsChild>
                    <w:div w:id="1592810115">
                      <w:marLeft w:val="0"/>
                      <w:marRight w:val="0"/>
                      <w:marTop w:val="0"/>
                      <w:marBottom w:val="0"/>
                      <w:divBdr>
                        <w:top w:val="none" w:sz="0" w:space="0" w:color="auto"/>
                        <w:left w:val="none" w:sz="0" w:space="0" w:color="auto"/>
                        <w:bottom w:val="none" w:sz="0" w:space="0" w:color="auto"/>
                        <w:right w:val="none" w:sz="0" w:space="0" w:color="auto"/>
                      </w:divBdr>
                    </w:div>
                  </w:divsChild>
                </w:div>
                <w:div w:id="2130127807">
                  <w:marLeft w:val="0"/>
                  <w:marRight w:val="0"/>
                  <w:marTop w:val="0"/>
                  <w:marBottom w:val="0"/>
                  <w:divBdr>
                    <w:top w:val="none" w:sz="0" w:space="0" w:color="auto"/>
                    <w:left w:val="none" w:sz="0" w:space="0" w:color="auto"/>
                    <w:bottom w:val="none" w:sz="0" w:space="0" w:color="auto"/>
                    <w:right w:val="none" w:sz="0" w:space="0" w:color="auto"/>
                  </w:divBdr>
                  <w:divsChild>
                    <w:div w:id="36945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680705">
          <w:marLeft w:val="0"/>
          <w:marRight w:val="0"/>
          <w:marTop w:val="0"/>
          <w:marBottom w:val="0"/>
          <w:divBdr>
            <w:top w:val="none" w:sz="0" w:space="0" w:color="auto"/>
            <w:left w:val="none" w:sz="0" w:space="0" w:color="auto"/>
            <w:bottom w:val="none" w:sz="0" w:space="0" w:color="auto"/>
            <w:right w:val="none" w:sz="0" w:space="0" w:color="auto"/>
          </w:divBdr>
        </w:div>
      </w:divsChild>
    </w:div>
    <w:div w:id="598634695">
      <w:bodyDiv w:val="1"/>
      <w:marLeft w:val="0"/>
      <w:marRight w:val="0"/>
      <w:marTop w:val="0"/>
      <w:marBottom w:val="0"/>
      <w:divBdr>
        <w:top w:val="none" w:sz="0" w:space="0" w:color="auto"/>
        <w:left w:val="none" w:sz="0" w:space="0" w:color="auto"/>
        <w:bottom w:val="none" w:sz="0" w:space="0" w:color="auto"/>
        <w:right w:val="none" w:sz="0" w:space="0" w:color="auto"/>
      </w:divBdr>
    </w:div>
    <w:div w:id="601425163">
      <w:bodyDiv w:val="1"/>
      <w:marLeft w:val="0"/>
      <w:marRight w:val="0"/>
      <w:marTop w:val="0"/>
      <w:marBottom w:val="0"/>
      <w:divBdr>
        <w:top w:val="none" w:sz="0" w:space="0" w:color="auto"/>
        <w:left w:val="none" w:sz="0" w:space="0" w:color="auto"/>
        <w:bottom w:val="none" w:sz="0" w:space="0" w:color="auto"/>
        <w:right w:val="none" w:sz="0" w:space="0" w:color="auto"/>
      </w:divBdr>
    </w:div>
    <w:div w:id="601569454">
      <w:bodyDiv w:val="1"/>
      <w:marLeft w:val="0"/>
      <w:marRight w:val="0"/>
      <w:marTop w:val="0"/>
      <w:marBottom w:val="0"/>
      <w:divBdr>
        <w:top w:val="none" w:sz="0" w:space="0" w:color="auto"/>
        <w:left w:val="none" w:sz="0" w:space="0" w:color="auto"/>
        <w:bottom w:val="none" w:sz="0" w:space="0" w:color="auto"/>
        <w:right w:val="none" w:sz="0" w:space="0" w:color="auto"/>
      </w:divBdr>
    </w:div>
    <w:div w:id="615526574">
      <w:bodyDiv w:val="1"/>
      <w:marLeft w:val="0"/>
      <w:marRight w:val="0"/>
      <w:marTop w:val="0"/>
      <w:marBottom w:val="0"/>
      <w:divBdr>
        <w:top w:val="none" w:sz="0" w:space="0" w:color="auto"/>
        <w:left w:val="none" w:sz="0" w:space="0" w:color="auto"/>
        <w:bottom w:val="none" w:sz="0" w:space="0" w:color="auto"/>
        <w:right w:val="none" w:sz="0" w:space="0" w:color="auto"/>
      </w:divBdr>
    </w:div>
    <w:div w:id="616761939">
      <w:bodyDiv w:val="1"/>
      <w:marLeft w:val="0"/>
      <w:marRight w:val="0"/>
      <w:marTop w:val="0"/>
      <w:marBottom w:val="0"/>
      <w:divBdr>
        <w:top w:val="none" w:sz="0" w:space="0" w:color="auto"/>
        <w:left w:val="none" w:sz="0" w:space="0" w:color="auto"/>
        <w:bottom w:val="none" w:sz="0" w:space="0" w:color="auto"/>
        <w:right w:val="none" w:sz="0" w:space="0" w:color="auto"/>
      </w:divBdr>
      <w:divsChild>
        <w:div w:id="655958563">
          <w:marLeft w:val="0"/>
          <w:marRight w:val="0"/>
          <w:marTop w:val="0"/>
          <w:marBottom w:val="0"/>
          <w:divBdr>
            <w:top w:val="none" w:sz="0" w:space="0" w:color="auto"/>
            <w:left w:val="none" w:sz="0" w:space="0" w:color="auto"/>
            <w:bottom w:val="none" w:sz="0" w:space="0" w:color="auto"/>
            <w:right w:val="none" w:sz="0" w:space="0" w:color="auto"/>
          </w:divBdr>
          <w:divsChild>
            <w:div w:id="1925067707">
              <w:marLeft w:val="0"/>
              <w:marRight w:val="0"/>
              <w:marTop w:val="0"/>
              <w:marBottom w:val="0"/>
              <w:divBdr>
                <w:top w:val="none" w:sz="0" w:space="0" w:color="auto"/>
                <w:left w:val="none" w:sz="0" w:space="0" w:color="auto"/>
                <w:bottom w:val="none" w:sz="0" w:space="0" w:color="auto"/>
                <w:right w:val="none" w:sz="0" w:space="0" w:color="auto"/>
              </w:divBdr>
              <w:divsChild>
                <w:div w:id="1905990454">
                  <w:marLeft w:val="0"/>
                  <w:marRight w:val="0"/>
                  <w:marTop w:val="0"/>
                  <w:marBottom w:val="0"/>
                  <w:divBdr>
                    <w:top w:val="none" w:sz="0" w:space="0" w:color="auto"/>
                    <w:left w:val="none" w:sz="0" w:space="0" w:color="auto"/>
                    <w:bottom w:val="none" w:sz="0" w:space="0" w:color="auto"/>
                    <w:right w:val="none" w:sz="0" w:space="0" w:color="auto"/>
                  </w:divBdr>
                  <w:divsChild>
                    <w:div w:id="590700503">
                      <w:marLeft w:val="0"/>
                      <w:marRight w:val="0"/>
                      <w:marTop w:val="0"/>
                      <w:marBottom w:val="0"/>
                      <w:divBdr>
                        <w:top w:val="none" w:sz="0" w:space="0" w:color="auto"/>
                        <w:left w:val="none" w:sz="0" w:space="0" w:color="auto"/>
                        <w:bottom w:val="none" w:sz="0" w:space="0" w:color="auto"/>
                        <w:right w:val="none" w:sz="0" w:space="0" w:color="auto"/>
                      </w:divBdr>
                      <w:divsChild>
                        <w:div w:id="364840684">
                          <w:marLeft w:val="0"/>
                          <w:marRight w:val="0"/>
                          <w:marTop w:val="0"/>
                          <w:marBottom w:val="0"/>
                          <w:divBdr>
                            <w:top w:val="none" w:sz="0" w:space="0" w:color="auto"/>
                            <w:left w:val="none" w:sz="0" w:space="0" w:color="auto"/>
                            <w:bottom w:val="none" w:sz="0" w:space="0" w:color="auto"/>
                            <w:right w:val="none" w:sz="0" w:space="0" w:color="auto"/>
                          </w:divBdr>
                          <w:divsChild>
                            <w:div w:id="176109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0841325">
      <w:bodyDiv w:val="1"/>
      <w:marLeft w:val="0"/>
      <w:marRight w:val="0"/>
      <w:marTop w:val="0"/>
      <w:marBottom w:val="0"/>
      <w:divBdr>
        <w:top w:val="none" w:sz="0" w:space="0" w:color="auto"/>
        <w:left w:val="none" w:sz="0" w:space="0" w:color="auto"/>
        <w:bottom w:val="none" w:sz="0" w:space="0" w:color="auto"/>
        <w:right w:val="none" w:sz="0" w:space="0" w:color="auto"/>
      </w:divBdr>
    </w:div>
    <w:div w:id="622158367">
      <w:bodyDiv w:val="1"/>
      <w:marLeft w:val="0"/>
      <w:marRight w:val="0"/>
      <w:marTop w:val="0"/>
      <w:marBottom w:val="0"/>
      <w:divBdr>
        <w:top w:val="none" w:sz="0" w:space="0" w:color="auto"/>
        <w:left w:val="none" w:sz="0" w:space="0" w:color="auto"/>
        <w:bottom w:val="none" w:sz="0" w:space="0" w:color="auto"/>
        <w:right w:val="none" w:sz="0" w:space="0" w:color="auto"/>
      </w:divBdr>
    </w:div>
    <w:div w:id="624428096">
      <w:bodyDiv w:val="1"/>
      <w:marLeft w:val="0"/>
      <w:marRight w:val="0"/>
      <w:marTop w:val="0"/>
      <w:marBottom w:val="0"/>
      <w:divBdr>
        <w:top w:val="none" w:sz="0" w:space="0" w:color="auto"/>
        <w:left w:val="none" w:sz="0" w:space="0" w:color="auto"/>
        <w:bottom w:val="none" w:sz="0" w:space="0" w:color="auto"/>
        <w:right w:val="none" w:sz="0" w:space="0" w:color="auto"/>
      </w:divBdr>
    </w:div>
    <w:div w:id="624583685">
      <w:bodyDiv w:val="1"/>
      <w:marLeft w:val="0"/>
      <w:marRight w:val="0"/>
      <w:marTop w:val="0"/>
      <w:marBottom w:val="0"/>
      <w:divBdr>
        <w:top w:val="none" w:sz="0" w:space="0" w:color="auto"/>
        <w:left w:val="none" w:sz="0" w:space="0" w:color="auto"/>
        <w:bottom w:val="none" w:sz="0" w:space="0" w:color="auto"/>
        <w:right w:val="none" w:sz="0" w:space="0" w:color="auto"/>
      </w:divBdr>
    </w:div>
    <w:div w:id="626207834">
      <w:bodyDiv w:val="1"/>
      <w:marLeft w:val="0"/>
      <w:marRight w:val="0"/>
      <w:marTop w:val="0"/>
      <w:marBottom w:val="0"/>
      <w:divBdr>
        <w:top w:val="none" w:sz="0" w:space="0" w:color="auto"/>
        <w:left w:val="none" w:sz="0" w:space="0" w:color="auto"/>
        <w:bottom w:val="none" w:sz="0" w:space="0" w:color="auto"/>
        <w:right w:val="none" w:sz="0" w:space="0" w:color="auto"/>
      </w:divBdr>
    </w:div>
    <w:div w:id="629478748">
      <w:bodyDiv w:val="1"/>
      <w:marLeft w:val="0"/>
      <w:marRight w:val="0"/>
      <w:marTop w:val="0"/>
      <w:marBottom w:val="0"/>
      <w:divBdr>
        <w:top w:val="none" w:sz="0" w:space="0" w:color="auto"/>
        <w:left w:val="none" w:sz="0" w:space="0" w:color="auto"/>
        <w:bottom w:val="none" w:sz="0" w:space="0" w:color="auto"/>
        <w:right w:val="none" w:sz="0" w:space="0" w:color="auto"/>
      </w:divBdr>
    </w:div>
    <w:div w:id="636255375">
      <w:bodyDiv w:val="1"/>
      <w:marLeft w:val="0"/>
      <w:marRight w:val="0"/>
      <w:marTop w:val="0"/>
      <w:marBottom w:val="0"/>
      <w:divBdr>
        <w:top w:val="none" w:sz="0" w:space="0" w:color="auto"/>
        <w:left w:val="none" w:sz="0" w:space="0" w:color="auto"/>
        <w:bottom w:val="none" w:sz="0" w:space="0" w:color="auto"/>
        <w:right w:val="none" w:sz="0" w:space="0" w:color="auto"/>
      </w:divBdr>
    </w:div>
    <w:div w:id="645549728">
      <w:bodyDiv w:val="1"/>
      <w:marLeft w:val="0"/>
      <w:marRight w:val="0"/>
      <w:marTop w:val="0"/>
      <w:marBottom w:val="0"/>
      <w:divBdr>
        <w:top w:val="none" w:sz="0" w:space="0" w:color="auto"/>
        <w:left w:val="none" w:sz="0" w:space="0" w:color="auto"/>
        <w:bottom w:val="none" w:sz="0" w:space="0" w:color="auto"/>
        <w:right w:val="none" w:sz="0" w:space="0" w:color="auto"/>
      </w:divBdr>
    </w:div>
    <w:div w:id="653797070">
      <w:bodyDiv w:val="1"/>
      <w:marLeft w:val="0"/>
      <w:marRight w:val="0"/>
      <w:marTop w:val="0"/>
      <w:marBottom w:val="0"/>
      <w:divBdr>
        <w:top w:val="none" w:sz="0" w:space="0" w:color="auto"/>
        <w:left w:val="none" w:sz="0" w:space="0" w:color="auto"/>
        <w:bottom w:val="none" w:sz="0" w:space="0" w:color="auto"/>
        <w:right w:val="none" w:sz="0" w:space="0" w:color="auto"/>
      </w:divBdr>
    </w:div>
    <w:div w:id="654184802">
      <w:bodyDiv w:val="1"/>
      <w:marLeft w:val="0"/>
      <w:marRight w:val="0"/>
      <w:marTop w:val="0"/>
      <w:marBottom w:val="0"/>
      <w:divBdr>
        <w:top w:val="none" w:sz="0" w:space="0" w:color="auto"/>
        <w:left w:val="none" w:sz="0" w:space="0" w:color="auto"/>
        <w:bottom w:val="none" w:sz="0" w:space="0" w:color="auto"/>
        <w:right w:val="none" w:sz="0" w:space="0" w:color="auto"/>
      </w:divBdr>
    </w:div>
    <w:div w:id="674579518">
      <w:bodyDiv w:val="1"/>
      <w:marLeft w:val="0"/>
      <w:marRight w:val="0"/>
      <w:marTop w:val="0"/>
      <w:marBottom w:val="0"/>
      <w:divBdr>
        <w:top w:val="none" w:sz="0" w:space="0" w:color="auto"/>
        <w:left w:val="none" w:sz="0" w:space="0" w:color="auto"/>
        <w:bottom w:val="none" w:sz="0" w:space="0" w:color="auto"/>
        <w:right w:val="none" w:sz="0" w:space="0" w:color="auto"/>
      </w:divBdr>
    </w:div>
    <w:div w:id="684402112">
      <w:bodyDiv w:val="1"/>
      <w:marLeft w:val="0"/>
      <w:marRight w:val="0"/>
      <w:marTop w:val="0"/>
      <w:marBottom w:val="0"/>
      <w:divBdr>
        <w:top w:val="none" w:sz="0" w:space="0" w:color="auto"/>
        <w:left w:val="none" w:sz="0" w:space="0" w:color="auto"/>
        <w:bottom w:val="none" w:sz="0" w:space="0" w:color="auto"/>
        <w:right w:val="none" w:sz="0" w:space="0" w:color="auto"/>
      </w:divBdr>
      <w:divsChild>
        <w:div w:id="8263992">
          <w:blockQuote w:val="1"/>
          <w:marLeft w:val="600"/>
          <w:marRight w:val="0"/>
          <w:marTop w:val="120"/>
          <w:marBottom w:val="120"/>
          <w:divBdr>
            <w:top w:val="none" w:sz="0" w:space="0" w:color="auto"/>
            <w:left w:val="none" w:sz="0" w:space="0" w:color="auto"/>
            <w:bottom w:val="none" w:sz="0" w:space="0" w:color="auto"/>
            <w:right w:val="none" w:sz="0" w:space="0" w:color="auto"/>
          </w:divBdr>
        </w:div>
        <w:div w:id="88429813">
          <w:blockQuote w:val="1"/>
          <w:marLeft w:val="600"/>
          <w:marRight w:val="0"/>
          <w:marTop w:val="120"/>
          <w:marBottom w:val="120"/>
          <w:divBdr>
            <w:top w:val="none" w:sz="0" w:space="0" w:color="auto"/>
            <w:left w:val="none" w:sz="0" w:space="0" w:color="auto"/>
            <w:bottom w:val="none" w:sz="0" w:space="0" w:color="auto"/>
            <w:right w:val="none" w:sz="0" w:space="0" w:color="auto"/>
          </w:divBdr>
        </w:div>
        <w:div w:id="158666633">
          <w:blockQuote w:val="1"/>
          <w:marLeft w:val="600"/>
          <w:marRight w:val="0"/>
          <w:marTop w:val="120"/>
          <w:marBottom w:val="120"/>
          <w:divBdr>
            <w:top w:val="none" w:sz="0" w:space="0" w:color="auto"/>
            <w:left w:val="none" w:sz="0" w:space="0" w:color="auto"/>
            <w:bottom w:val="none" w:sz="0" w:space="0" w:color="auto"/>
            <w:right w:val="none" w:sz="0" w:space="0" w:color="auto"/>
          </w:divBdr>
        </w:div>
        <w:div w:id="752241337">
          <w:blockQuote w:val="1"/>
          <w:marLeft w:val="600"/>
          <w:marRight w:val="0"/>
          <w:marTop w:val="120"/>
          <w:marBottom w:val="120"/>
          <w:divBdr>
            <w:top w:val="none" w:sz="0" w:space="0" w:color="auto"/>
            <w:left w:val="none" w:sz="0" w:space="0" w:color="auto"/>
            <w:bottom w:val="none" w:sz="0" w:space="0" w:color="auto"/>
            <w:right w:val="none" w:sz="0" w:space="0" w:color="auto"/>
          </w:divBdr>
        </w:div>
        <w:div w:id="1060325495">
          <w:blockQuote w:val="1"/>
          <w:marLeft w:val="600"/>
          <w:marRight w:val="0"/>
          <w:marTop w:val="120"/>
          <w:marBottom w:val="120"/>
          <w:divBdr>
            <w:top w:val="none" w:sz="0" w:space="0" w:color="auto"/>
            <w:left w:val="none" w:sz="0" w:space="0" w:color="auto"/>
            <w:bottom w:val="none" w:sz="0" w:space="0" w:color="auto"/>
            <w:right w:val="none" w:sz="0" w:space="0" w:color="auto"/>
          </w:divBdr>
        </w:div>
        <w:div w:id="1243830688">
          <w:blockQuote w:val="1"/>
          <w:marLeft w:val="600"/>
          <w:marRight w:val="0"/>
          <w:marTop w:val="120"/>
          <w:marBottom w:val="120"/>
          <w:divBdr>
            <w:top w:val="none" w:sz="0" w:space="0" w:color="auto"/>
            <w:left w:val="none" w:sz="0" w:space="0" w:color="auto"/>
            <w:bottom w:val="none" w:sz="0" w:space="0" w:color="auto"/>
            <w:right w:val="none" w:sz="0" w:space="0" w:color="auto"/>
          </w:divBdr>
        </w:div>
        <w:div w:id="1881749081">
          <w:blockQuote w:val="1"/>
          <w:marLeft w:val="600"/>
          <w:marRight w:val="0"/>
          <w:marTop w:val="120"/>
          <w:marBottom w:val="120"/>
          <w:divBdr>
            <w:top w:val="none" w:sz="0" w:space="0" w:color="auto"/>
            <w:left w:val="none" w:sz="0" w:space="0" w:color="auto"/>
            <w:bottom w:val="none" w:sz="0" w:space="0" w:color="auto"/>
            <w:right w:val="none" w:sz="0" w:space="0" w:color="auto"/>
          </w:divBdr>
        </w:div>
        <w:div w:id="2019693094">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687482504">
      <w:bodyDiv w:val="1"/>
      <w:marLeft w:val="0"/>
      <w:marRight w:val="0"/>
      <w:marTop w:val="0"/>
      <w:marBottom w:val="0"/>
      <w:divBdr>
        <w:top w:val="none" w:sz="0" w:space="0" w:color="auto"/>
        <w:left w:val="none" w:sz="0" w:space="0" w:color="auto"/>
        <w:bottom w:val="none" w:sz="0" w:space="0" w:color="auto"/>
        <w:right w:val="none" w:sz="0" w:space="0" w:color="auto"/>
      </w:divBdr>
      <w:divsChild>
        <w:div w:id="1560021998">
          <w:marLeft w:val="0"/>
          <w:marRight w:val="0"/>
          <w:marTop w:val="0"/>
          <w:marBottom w:val="0"/>
          <w:divBdr>
            <w:top w:val="none" w:sz="0" w:space="0" w:color="auto"/>
            <w:left w:val="none" w:sz="0" w:space="0" w:color="auto"/>
            <w:bottom w:val="none" w:sz="0" w:space="0" w:color="auto"/>
            <w:right w:val="none" w:sz="0" w:space="0" w:color="auto"/>
          </w:divBdr>
          <w:divsChild>
            <w:div w:id="478309342">
              <w:marLeft w:val="0"/>
              <w:marRight w:val="0"/>
              <w:marTop w:val="0"/>
              <w:marBottom w:val="0"/>
              <w:divBdr>
                <w:top w:val="none" w:sz="0" w:space="0" w:color="auto"/>
                <w:left w:val="none" w:sz="0" w:space="0" w:color="auto"/>
                <w:bottom w:val="none" w:sz="0" w:space="0" w:color="auto"/>
                <w:right w:val="none" w:sz="0" w:space="0" w:color="auto"/>
              </w:divBdr>
              <w:divsChild>
                <w:div w:id="109012806">
                  <w:marLeft w:val="0"/>
                  <w:marRight w:val="0"/>
                  <w:marTop w:val="0"/>
                  <w:marBottom w:val="0"/>
                  <w:divBdr>
                    <w:top w:val="none" w:sz="0" w:space="0" w:color="auto"/>
                    <w:left w:val="none" w:sz="0" w:space="0" w:color="auto"/>
                    <w:bottom w:val="none" w:sz="0" w:space="0" w:color="auto"/>
                    <w:right w:val="none" w:sz="0" w:space="0" w:color="auto"/>
                  </w:divBdr>
                  <w:divsChild>
                    <w:div w:id="1375812162">
                      <w:marLeft w:val="0"/>
                      <w:marRight w:val="0"/>
                      <w:marTop w:val="0"/>
                      <w:marBottom w:val="0"/>
                      <w:divBdr>
                        <w:top w:val="none" w:sz="0" w:space="0" w:color="auto"/>
                        <w:left w:val="none" w:sz="0" w:space="0" w:color="auto"/>
                        <w:bottom w:val="none" w:sz="0" w:space="0" w:color="auto"/>
                        <w:right w:val="none" w:sz="0" w:space="0" w:color="auto"/>
                      </w:divBdr>
                      <w:divsChild>
                        <w:div w:id="1691102637">
                          <w:marLeft w:val="0"/>
                          <w:marRight w:val="0"/>
                          <w:marTop w:val="0"/>
                          <w:marBottom w:val="0"/>
                          <w:divBdr>
                            <w:top w:val="none" w:sz="0" w:space="0" w:color="auto"/>
                            <w:left w:val="none" w:sz="0" w:space="0" w:color="auto"/>
                            <w:bottom w:val="none" w:sz="0" w:space="0" w:color="auto"/>
                            <w:right w:val="none" w:sz="0" w:space="0" w:color="auto"/>
                          </w:divBdr>
                          <w:divsChild>
                            <w:div w:id="275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298858">
      <w:bodyDiv w:val="1"/>
      <w:marLeft w:val="0"/>
      <w:marRight w:val="0"/>
      <w:marTop w:val="0"/>
      <w:marBottom w:val="0"/>
      <w:divBdr>
        <w:top w:val="none" w:sz="0" w:space="0" w:color="auto"/>
        <w:left w:val="none" w:sz="0" w:space="0" w:color="auto"/>
        <w:bottom w:val="none" w:sz="0" w:space="0" w:color="auto"/>
        <w:right w:val="none" w:sz="0" w:space="0" w:color="auto"/>
      </w:divBdr>
    </w:div>
    <w:div w:id="731081443">
      <w:bodyDiv w:val="1"/>
      <w:marLeft w:val="0"/>
      <w:marRight w:val="0"/>
      <w:marTop w:val="0"/>
      <w:marBottom w:val="0"/>
      <w:divBdr>
        <w:top w:val="none" w:sz="0" w:space="0" w:color="auto"/>
        <w:left w:val="none" w:sz="0" w:space="0" w:color="auto"/>
        <w:bottom w:val="none" w:sz="0" w:space="0" w:color="auto"/>
        <w:right w:val="none" w:sz="0" w:space="0" w:color="auto"/>
      </w:divBdr>
      <w:divsChild>
        <w:div w:id="1941835084">
          <w:marLeft w:val="0"/>
          <w:marRight w:val="0"/>
          <w:marTop w:val="0"/>
          <w:marBottom w:val="0"/>
          <w:divBdr>
            <w:top w:val="none" w:sz="0" w:space="0" w:color="auto"/>
            <w:left w:val="none" w:sz="0" w:space="0" w:color="auto"/>
            <w:bottom w:val="none" w:sz="0" w:space="0" w:color="auto"/>
            <w:right w:val="none" w:sz="0" w:space="0" w:color="auto"/>
          </w:divBdr>
          <w:divsChild>
            <w:div w:id="1357316379">
              <w:marLeft w:val="0"/>
              <w:marRight w:val="0"/>
              <w:marTop w:val="0"/>
              <w:marBottom w:val="0"/>
              <w:divBdr>
                <w:top w:val="none" w:sz="0" w:space="0" w:color="auto"/>
                <w:left w:val="none" w:sz="0" w:space="0" w:color="auto"/>
                <w:bottom w:val="none" w:sz="0" w:space="0" w:color="auto"/>
                <w:right w:val="none" w:sz="0" w:space="0" w:color="auto"/>
              </w:divBdr>
              <w:divsChild>
                <w:div w:id="1343044567">
                  <w:marLeft w:val="0"/>
                  <w:marRight w:val="0"/>
                  <w:marTop w:val="0"/>
                  <w:marBottom w:val="0"/>
                  <w:divBdr>
                    <w:top w:val="none" w:sz="0" w:space="0" w:color="auto"/>
                    <w:left w:val="none" w:sz="0" w:space="0" w:color="auto"/>
                    <w:bottom w:val="none" w:sz="0" w:space="0" w:color="auto"/>
                    <w:right w:val="none" w:sz="0" w:space="0" w:color="auto"/>
                  </w:divBdr>
                  <w:divsChild>
                    <w:div w:id="706219648">
                      <w:marLeft w:val="0"/>
                      <w:marRight w:val="0"/>
                      <w:marTop w:val="0"/>
                      <w:marBottom w:val="0"/>
                      <w:divBdr>
                        <w:top w:val="none" w:sz="0" w:space="0" w:color="auto"/>
                        <w:left w:val="none" w:sz="0" w:space="0" w:color="auto"/>
                        <w:bottom w:val="none" w:sz="0" w:space="0" w:color="auto"/>
                        <w:right w:val="none" w:sz="0" w:space="0" w:color="auto"/>
                      </w:divBdr>
                      <w:divsChild>
                        <w:div w:id="1305352051">
                          <w:marLeft w:val="0"/>
                          <w:marRight w:val="0"/>
                          <w:marTop w:val="0"/>
                          <w:marBottom w:val="0"/>
                          <w:divBdr>
                            <w:top w:val="none" w:sz="0" w:space="0" w:color="auto"/>
                            <w:left w:val="none" w:sz="0" w:space="0" w:color="auto"/>
                            <w:bottom w:val="none" w:sz="0" w:space="0" w:color="auto"/>
                            <w:right w:val="none" w:sz="0" w:space="0" w:color="auto"/>
                          </w:divBdr>
                          <w:divsChild>
                            <w:div w:id="202489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02926">
      <w:bodyDiv w:val="1"/>
      <w:marLeft w:val="0"/>
      <w:marRight w:val="0"/>
      <w:marTop w:val="0"/>
      <w:marBottom w:val="0"/>
      <w:divBdr>
        <w:top w:val="none" w:sz="0" w:space="0" w:color="auto"/>
        <w:left w:val="none" w:sz="0" w:space="0" w:color="auto"/>
        <w:bottom w:val="none" w:sz="0" w:space="0" w:color="auto"/>
        <w:right w:val="none" w:sz="0" w:space="0" w:color="auto"/>
      </w:divBdr>
    </w:div>
    <w:div w:id="780298092">
      <w:bodyDiv w:val="1"/>
      <w:marLeft w:val="0"/>
      <w:marRight w:val="0"/>
      <w:marTop w:val="0"/>
      <w:marBottom w:val="0"/>
      <w:divBdr>
        <w:top w:val="none" w:sz="0" w:space="0" w:color="auto"/>
        <w:left w:val="none" w:sz="0" w:space="0" w:color="auto"/>
        <w:bottom w:val="none" w:sz="0" w:space="0" w:color="auto"/>
        <w:right w:val="none" w:sz="0" w:space="0" w:color="auto"/>
      </w:divBdr>
    </w:div>
    <w:div w:id="792678888">
      <w:bodyDiv w:val="1"/>
      <w:marLeft w:val="0"/>
      <w:marRight w:val="0"/>
      <w:marTop w:val="0"/>
      <w:marBottom w:val="0"/>
      <w:divBdr>
        <w:top w:val="none" w:sz="0" w:space="0" w:color="auto"/>
        <w:left w:val="none" w:sz="0" w:space="0" w:color="auto"/>
        <w:bottom w:val="none" w:sz="0" w:space="0" w:color="auto"/>
        <w:right w:val="none" w:sz="0" w:space="0" w:color="auto"/>
      </w:divBdr>
    </w:div>
    <w:div w:id="793862616">
      <w:bodyDiv w:val="1"/>
      <w:marLeft w:val="0"/>
      <w:marRight w:val="0"/>
      <w:marTop w:val="0"/>
      <w:marBottom w:val="0"/>
      <w:divBdr>
        <w:top w:val="none" w:sz="0" w:space="0" w:color="auto"/>
        <w:left w:val="none" w:sz="0" w:space="0" w:color="auto"/>
        <w:bottom w:val="none" w:sz="0" w:space="0" w:color="auto"/>
        <w:right w:val="none" w:sz="0" w:space="0" w:color="auto"/>
      </w:divBdr>
    </w:div>
    <w:div w:id="795411434">
      <w:bodyDiv w:val="1"/>
      <w:marLeft w:val="0"/>
      <w:marRight w:val="0"/>
      <w:marTop w:val="0"/>
      <w:marBottom w:val="0"/>
      <w:divBdr>
        <w:top w:val="none" w:sz="0" w:space="0" w:color="auto"/>
        <w:left w:val="none" w:sz="0" w:space="0" w:color="auto"/>
        <w:bottom w:val="none" w:sz="0" w:space="0" w:color="auto"/>
        <w:right w:val="none" w:sz="0" w:space="0" w:color="auto"/>
      </w:divBdr>
    </w:div>
    <w:div w:id="797991013">
      <w:bodyDiv w:val="1"/>
      <w:marLeft w:val="0"/>
      <w:marRight w:val="0"/>
      <w:marTop w:val="0"/>
      <w:marBottom w:val="0"/>
      <w:divBdr>
        <w:top w:val="none" w:sz="0" w:space="0" w:color="auto"/>
        <w:left w:val="none" w:sz="0" w:space="0" w:color="auto"/>
        <w:bottom w:val="none" w:sz="0" w:space="0" w:color="auto"/>
        <w:right w:val="none" w:sz="0" w:space="0" w:color="auto"/>
      </w:divBdr>
    </w:div>
    <w:div w:id="799419275">
      <w:bodyDiv w:val="1"/>
      <w:marLeft w:val="0"/>
      <w:marRight w:val="0"/>
      <w:marTop w:val="0"/>
      <w:marBottom w:val="0"/>
      <w:divBdr>
        <w:top w:val="none" w:sz="0" w:space="0" w:color="auto"/>
        <w:left w:val="none" w:sz="0" w:space="0" w:color="auto"/>
        <w:bottom w:val="none" w:sz="0" w:space="0" w:color="auto"/>
        <w:right w:val="none" w:sz="0" w:space="0" w:color="auto"/>
      </w:divBdr>
    </w:div>
    <w:div w:id="803040657">
      <w:bodyDiv w:val="1"/>
      <w:marLeft w:val="0"/>
      <w:marRight w:val="0"/>
      <w:marTop w:val="0"/>
      <w:marBottom w:val="0"/>
      <w:divBdr>
        <w:top w:val="none" w:sz="0" w:space="0" w:color="auto"/>
        <w:left w:val="none" w:sz="0" w:space="0" w:color="auto"/>
        <w:bottom w:val="none" w:sz="0" w:space="0" w:color="auto"/>
        <w:right w:val="none" w:sz="0" w:space="0" w:color="auto"/>
      </w:divBdr>
    </w:div>
    <w:div w:id="804658362">
      <w:bodyDiv w:val="1"/>
      <w:marLeft w:val="0"/>
      <w:marRight w:val="0"/>
      <w:marTop w:val="0"/>
      <w:marBottom w:val="0"/>
      <w:divBdr>
        <w:top w:val="none" w:sz="0" w:space="0" w:color="auto"/>
        <w:left w:val="none" w:sz="0" w:space="0" w:color="auto"/>
        <w:bottom w:val="none" w:sz="0" w:space="0" w:color="auto"/>
        <w:right w:val="none" w:sz="0" w:space="0" w:color="auto"/>
      </w:divBdr>
    </w:div>
    <w:div w:id="821847125">
      <w:bodyDiv w:val="1"/>
      <w:marLeft w:val="0"/>
      <w:marRight w:val="0"/>
      <w:marTop w:val="0"/>
      <w:marBottom w:val="0"/>
      <w:divBdr>
        <w:top w:val="none" w:sz="0" w:space="0" w:color="auto"/>
        <w:left w:val="none" w:sz="0" w:space="0" w:color="auto"/>
        <w:bottom w:val="none" w:sz="0" w:space="0" w:color="auto"/>
        <w:right w:val="none" w:sz="0" w:space="0" w:color="auto"/>
      </w:divBdr>
    </w:div>
    <w:div w:id="834690574">
      <w:bodyDiv w:val="1"/>
      <w:marLeft w:val="0"/>
      <w:marRight w:val="0"/>
      <w:marTop w:val="0"/>
      <w:marBottom w:val="0"/>
      <w:divBdr>
        <w:top w:val="none" w:sz="0" w:space="0" w:color="auto"/>
        <w:left w:val="none" w:sz="0" w:space="0" w:color="auto"/>
        <w:bottom w:val="none" w:sz="0" w:space="0" w:color="auto"/>
        <w:right w:val="none" w:sz="0" w:space="0" w:color="auto"/>
      </w:divBdr>
      <w:divsChild>
        <w:div w:id="1143352618">
          <w:marLeft w:val="0"/>
          <w:marRight w:val="0"/>
          <w:marTop w:val="0"/>
          <w:marBottom w:val="0"/>
          <w:divBdr>
            <w:top w:val="none" w:sz="0" w:space="0" w:color="auto"/>
            <w:left w:val="none" w:sz="0" w:space="0" w:color="auto"/>
            <w:bottom w:val="none" w:sz="0" w:space="0" w:color="auto"/>
            <w:right w:val="none" w:sz="0" w:space="0" w:color="auto"/>
          </w:divBdr>
          <w:divsChild>
            <w:div w:id="1488863452">
              <w:marLeft w:val="0"/>
              <w:marRight w:val="0"/>
              <w:marTop w:val="0"/>
              <w:marBottom w:val="0"/>
              <w:divBdr>
                <w:top w:val="none" w:sz="0" w:space="0" w:color="auto"/>
                <w:left w:val="none" w:sz="0" w:space="0" w:color="auto"/>
                <w:bottom w:val="none" w:sz="0" w:space="0" w:color="auto"/>
                <w:right w:val="none" w:sz="0" w:space="0" w:color="auto"/>
              </w:divBdr>
              <w:divsChild>
                <w:div w:id="1640652929">
                  <w:marLeft w:val="0"/>
                  <w:marRight w:val="0"/>
                  <w:marTop w:val="0"/>
                  <w:marBottom w:val="0"/>
                  <w:divBdr>
                    <w:top w:val="none" w:sz="0" w:space="0" w:color="auto"/>
                    <w:left w:val="none" w:sz="0" w:space="0" w:color="auto"/>
                    <w:bottom w:val="none" w:sz="0" w:space="0" w:color="auto"/>
                    <w:right w:val="none" w:sz="0" w:space="0" w:color="auto"/>
                  </w:divBdr>
                  <w:divsChild>
                    <w:div w:id="1238323148">
                      <w:marLeft w:val="0"/>
                      <w:marRight w:val="0"/>
                      <w:marTop w:val="0"/>
                      <w:marBottom w:val="0"/>
                      <w:divBdr>
                        <w:top w:val="none" w:sz="0" w:space="0" w:color="auto"/>
                        <w:left w:val="none" w:sz="0" w:space="0" w:color="auto"/>
                        <w:bottom w:val="none" w:sz="0" w:space="0" w:color="auto"/>
                        <w:right w:val="none" w:sz="0" w:space="0" w:color="auto"/>
                      </w:divBdr>
                      <w:divsChild>
                        <w:div w:id="1607541948">
                          <w:marLeft w:val="0"/>
                          <w:marRight w:val="0"/>
                          <w:marTop w:val="0"/>
                          <w:marBottom w:val="0"/>
                          <w:divBdr>
                            <w:top w:val="none" w:sz="0" w:space="0" w:color="auto"/>
                            <w:left w:val="none" w:sz="0" w:space="0" w:color="auto"/>
                            <w:bottom w:val="none" w:sz="0" w:space="0" w:color="auto"/>
                            <w:right w:val="none" w:sz="0" w:space="0" w:color="auto"/>
                          </w:divBdr>
                          <w:divsChild>
                            <w:div w:id="99445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9807501">
      <w:bodyDiv w:val="1"/>
      <w:marLeft w:val="0"/>
      <w:marRight w:val="0"/>
      <w:marTop w:val="0"/>
      <w:marBottom w:val="0"/>
      <w:divBdr>
        <w:top w:val="none" w:sz="0" w:space="0" w:color="auto"/>
        <w:left w:val="none" w:sz="0" w:space="0" w:color="auto"/>
        <w:bottom w:val="none" w:sz="0" w:space="0" w:color="auto"/>
        <w:right w:val="none" w:sz="0" w:space="0" w:color="auto"/>
      </w:divBdr>
    </w:div>
    <w:div w:id="841163460">
      <w:bodyDiv w:val="1"/>
      <w:marLeft w:val="0"/>
      <w:marRight w:val="0"/>
      <w:marTop w:val="0"/>
      <w:marBottom w:val="0"/>
      <w:divBdr>
        <w:top w:val="none" w:sz="0" w:space="0" w:color="auto"/>
        <w:left w:val="none" w:sz="0" w:space="0" w:color="auto"/>
        <w:bottom w:val="none" w:sz="0" w:space="0" w:color="auto"/>
        <w:right w:val="none" w:sz="0" w:space="0" w:color="auto"/>
      </w:divBdr>
    </w:div>
    <w:div w:id="861019677">
      <w:bodyDiv w:val="1"/>
      <w:marLeft w:val="0"/>
      <w:marRight w:val="0"/>
      <w:marTop w:val="0"/>
      <w:marBottom w:val="0"/>
      <w:divBdr>
        <w:top w:val="none" w:sz="0" w:space="0" w:color="auto"/>
        <w:left w:val="none" w:sz="0" w:space="0" w:color="auto"/>
        <w:bottom w:val="none" w:sz="0" w:space="0" w:color="auto"/>
        <w:right w:val="none" w:sz="0" w:space="0" w:color="auto"/>
      </w:divBdr>
    </w:div>
    <w:div w:id="869416086">
      <w:bodyDiv w:val="1"/>
      <w:marLeft w:val="0"/>
      <w:marRight w:val="0"/>
      <w:marTop w:val="0"/>
      <w:marBottom w:val="0"/>
      <w:divBdr>
        <w:top w:val="none" w:sz="0" w:space="0" w:color="auto"/>
        <w:left w:val="none" w:sz="0" w:space="0" w:color="auto"/>
        <w:bottom w:val="none" w:sz="0" w:space="0" w:color="auto"/>
        <w:right w:val="none" w:sz="0" w:space="0" w:color="auto"/>
      </w:divBdr>
    </w:div>
    <w:div w:id="879586760">
      <w:bodyDiv w:val="1"/>
      <w:marLeft w:val="0"/>
      <w:marRight w:val="0"/>
      <w:marTop w:val="0"/>
      <w:marBottom w:val="0"/>
      <w:divBdr>
        <w:top w:val="none" w:sz="0" w:space="0" w:color="auto"/>
        <w:left w:val="none" w:sz="0" w:space="0" w:color="auto"/>
        <w:bottom w:val="none" w:sz="0" w:space="0" w:color="auto"/>
        <w:right w:val="none" w:sz="0" w:space="0" w:color="auto"/>
      </w:divBdr>
    </w:div>
    <w:div w:id="881526618">
      <w:bodyDiv w:val="1"/>
      <w:marLeft w:val="0"/>
      <w:marRight w:val="0"/>
      <w:marTop w:val="0"/>
      <w:marBottom w:val="0"/>
      <w:divBdr>
        <w:top w:val="none" w:sz="0" w:space="0" w:color="auto"/>
        <w:left w:val="none" w:sz="0" w:space="0" w:color="auto"/>
        <w:bottom w:val="none" w:sz="0" w:space="0" w:color="auto"/>
        <w:right w:val="none" w:sz="0" w:space="0" w:color="auto"/>
      </w:divBdr>
    </w:div>
    <w:div w:id="884298826">
      <w:bodyDiv w:val="1"/>
      <w:marLeft w:val="0"/>
      <w:marRight w:val="0"/>
      <w:marTop w:val="0"/>
      <w:marBottom w:val="0"/>
      <w:divBdr>
        <w:top w:val="none" w:sz="0" w:space="0" w:color="auto"/>
        <w:left w:val="none" w:sz="0" w:space="0" w:color="auto"/>
        <w:bottom w:val="none" w:sz="0" w:space="0" w:color="auto"/>
        <w:right w:val="none" w:sz="0" w:space="0" w:color="auto"/>
      </w:divBdr>
    </w:div>
    <w:div w:id="894780899">
      <w:bodyDiv w:val="1"/>
      <w:marLeft w:val="0"/>
      <w:marRight w:val="0"/>
      <w:marTop w:val="0"/>
      <w:marBottom w:val="0"/>
      <w:divBdr>
        <w:top w:val="none" w:sz="0" w:space="0" w:color="auto"/>
        <w:left w:val="none" w:sz="0" w:space="0" w:color="auto"/>
        <w:bottom w:val="none" w:sz="0" w:space="0" w:color="auto"/>
        <w:right w:val="none" w:sz="0" w:space="0" w:color="auto"/>
      </w:divBdr>
    </w:div>
    <w:div w:id="901910067">
      <w:bodyDiv w:val="1"/>
      <w:marLeft w:val="0"/>
      <w:marRight w:val="0"/>
      <w:marTop w:val="0"/>
      <w:marBottom w:val="0"/>
      <w:divBdr>
        <w:top w:val="none" w:sz="0" w:space="0" w:color="auto"/>
        <w:left w:val="none" w:sz="0" w:space="0" w:color="auto"/>
        <w:bottom w:val="none" w:sz="0" w:space="0" w:color="auto"/>
        <w:right w:val="none" w:sz="0" w:space="0" w:color="auto"/>
      </w:divBdr>
    </w:div>
    <w:div w:id="920060490">
      <w:bodyDiv w:val="1"/>
      <w:marLeft w:val="0"/>
      <w:marRight w:val="0"/>
      <w:marTop w:val="0"/>
      <w:marBottom w:val="0"/>
      <w:divBdr>
        <w:top w:val="none" w:sz="0" w:space="0" w:color="auto"/>
        <w:left w:val="none" w:sz="0" w:space="0" w:color="auto"/>
        <w:bottom w:val="none" w:sz="0" w:space="0" w:color="auto"/>
        <w:right w:val="none" w:sz="0" w:space="0" w:color="auto"/>
      </w:divBdr>
      <w:divsChild>
        <w:div w:id="1311864825">
          <w:marLeft w:val="0"/>
          <w:marRight w:val="0"/>
          <w:marTop w:val="0"/>
          <w:marBottom w:val="0"/>
          <w:divBdr>
            <w:top w:val="none" w:sz="0" w:space="0" w:color="auto"/>
            <w:left w:val="none" w:sz="0" w:space="0" w:color="auto"/>
            <w:bottom w:val="none" w:sz="0" w:space="0" w:color="auto"/>
            <w:right w:val="none" w:sz="0" w:space="0" w:color="auto"/>
          </w:divBdr>
          <w:divsChild>
            <w:div w:id="580411097">
              <w:marLeft w:val="0"/>
              <w:marRight w:val="0"/>
              <w:marTop w:val="0"/>
              <w:marBottom w:val="0"/>
              <w:divBdr>
                <w:top w:val="none" w:sz="0" w:space="0" w:color="auto"/>
                <w:left w:val="none" w:sz="0" w:space="0" w:color="auto"/>
                <w:bottom w:val="none" w:sz="0" w:space="0" w:color="auto"/>
                <w:right w:val="none" w:sz="0" w:space="0" w:color="auto"/>
              </w:divBdr>
              <w:divsChild>
                <w:div w:id="1677926003">
                  <w:marLeft w:val="0"/>
                  <w:marRight w:val="0"/>
                  <w:marTop w:val="0"/>
                  <w:marBottom w:val="0"/>
                  <w:divBdr>
                    <w:top w:val="none" w:sz="0" w:space="0" w:color="auto"/>
                    <w:left w:val="none" w:sz="0" w:space="0" w:color="auto"/>
                    <w:bottom w:val="none" w:sz="0" w:space="0" w:color="auto"/>
                    <w:right w:val="none" w:sz="0" w:space="0" w:color="auto"/>
                  </w:divBdr>
                  <w:divsChild>
                    <w:div w:id="1401169808">
                      <w:marLeft w:val="0"/>
                      <w:marRight w:val="0"/>
                      <w:marTop w:val="0"/>
                      <w:marBottom w:val="0"/>
                      <w:divBdr>
                        <w:top w:val="none" w:sz="0" w:space="0" w:color="auto"/>
                        <w:left w:val="none" w:sz="0" w:space="0" w:color="auto"/>
                        <w:bottom w:val="none" w:sz="0" w:space="0" w:color="auto"/>
                        <w:right w:val="none" w:sz="0" w:space="0" w:color="auto"/>
                      </w:divBdr>
                      <w:divsChild>
                        <w:div w:id="219053597">
                          <w:marLeft w:val="0"/>
                          <w:marRight w:val="0"/>
                          <w:marTop w:val="0"/>
                          <w:marBottom w:val="0"/>
                          <w:divBdr>
                            <w:top w:val="none" w:sz="0" w:space="0" w:color="auto"/>
                            <w:left w:val="none" w:sz="0" w:space="0" w:color="auto"/>
                            <w:bottom w:val="none" w:sz="0" w:space="0" w:color="auto"/>
                            <w:right w:val="none" w:sz="0" w:space="0" w:color="auto"/>
                          </w:divBdr>
                          <w:divsChild>
                            <w:div w:id="1139885201">
                              <w:marLeft w:val="0"/>
                              <w:marRight w:val="0"/>
                              <w:marTop w:val="0"/>
                              <w:marBottom w:val="0"/>
                              <w:divBdr>
                                <w:top w:val="none" w:sz="0" w:space="0" w:color="auto"/>
                                <w:left w:val="none" w:sz="0" w:space="0" w:color="auto"/>
                                <w:bottom w:val="none" w:sz="0" w:space="0" w:color="auto"/>
                                <w:right w:val="none" w:sz="0" w:space="0" w:color="auto"/>
                              </w:divBdr>
                              <w:divsChild>
                                <w:div w:id="1658146983">
                                  <w:marLeft w:val="0"/>
                                  <w:marRight w:val="0"/>
                                  <w:marTop w:val="0"/>
                                  <w:marBottom w:val="0"/>
                                  <w:divBdr>
                                    <w:top w:val="none" w:sz="0" w:space="0" w:color="auto"/>
                                    <w:left w:val="none" w:sz="0" w:space="0" w:color="auto"/>
                                    <w:bottom w:val="none" w:sz="0" w:space="0" w:color="auto"/>
                                    <w:right w:val="none" w:sz="0" w:space="0" w:color="auto"/>
                                  </w:divBdr>
                                  <w:divsChild>
                                    <w:div w:id="43132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2588789">
      <w:bodyDiv w:val="1"/>
      <w:marLeft w:val="0"/>
      <w:marRight w:val="0"/>
      <w:marTop w:val="0"/>
      <w:marBottom w:val="0"/>
      <w:divBdr>
        <w:top w:val="none" w:sz="0" w:space="0" w:color="auto"/>
        <w:left w:val="none" w:sz="0" w:space="0" w:color="auto"/>
        <w:bottom w:val="none" w:sz="0" w:space="0" w:color="auto"/>
        <w:right w:val="none" w:sz="0" w:space="0" w:color="auto"/>
      </w:divBdr>
    </w:div>
    <w:div w:id="935210292">
      <w:bodyDiv w:val="1"/>
      <w:marLeft w:val="0"/>
      <w:marRight w:val="0"/>
      <w:marTop w:val="0"/>
      <w:marBottom w:val="0"/>
      <w:divBdr>
        <w:top w:val="none" w:sz="0" w:space="0" w:color="auto"/>
        <w:left w:val="none" w:sz="0" w:space="0" w:color="auto"/>
        <w:bottom w:val="none" w:sz="0" w:space="0" w:color="auto"/>
        <w:right w:val="none" w:sz="0" w:space="0" w:color="auto"/>
      </w:divBdr>
    </w:div>
    <w:div w:id="941915004">
      <w:bodyDiv w:val="1"/>
      <w:marLeft w:val="0"/>
      <w:marRight w:val="0"/>
      <w:marTop w:val="0"/>
      <w:marBottom w:val="0"/>
      <w:divBdr>
        <w:top w:val="none" w:sz="0" w:space="0" w:color="auto"/>
        <w:left w:val="none" w:sz="0" w:space="0" w:color="auto"/>
        <w:bottom w:val="none" w:sz="0" w:space="0" w:color="auto"/>
        <w:right w:val="none" w:sz="0" w:space="0" w:color="auto"/>
      </w:divBdr>
    </w:div>
    <w:div w:id="944574614">
      <w:bodyDiv w:val="1"/>
      <w:marLeft w:val="0"/>
      <w:marRight w:val="0"/>
      <w:marTop w:val="0"/>
      <w:marBottom w:val="0"/>
      <w:divBdr>
        <w:top w:val="none" w:sz="0" w:space="0" w:color="auto"/>
        <w:left w:val="none" w:sz="0" w:space="0" w:color="auto"/>
        <w:bottom w:val="none" w:sz="0" w:space="0" w:color="auto"/>
        <w:right w:val="none" w:sz="0" w:space="0" w:color="auto"/>
      </w:divBdr>
      <w:divsChild>
        <w:div w:id="60031807">
          <w:marLeft w:val="0"/>
          <w:marRight w:val="0"/>
          <w:marTop w:val="0"/>
          <w:marBottom w:val="0"/>
          <w:divBdr>
            <w:top w:val="none" w:sz="0" w:space="0" w:color="auto"/>
            <w:left w:val="none" w:sz="0" w:space="0" w:color="auto"/>
            <w:bottom w:val="none" w:sz="0" w:space="0" w:color="auto"/>
            <w:right w:val="none" w:sz="0" w:space="0" w:color="auto"/>
          </w:divBdr>
          <w:divsChild>
            <w:div w:id="906308291">
              <w:marLeft w:val="0"/>
              <w:marRight w:val="0"/>
              <w:marTop w:val="0"/>
              <w:marBottom w:val="0"/>
              <w:divBdr>
                <w:top w:val="none" w:sz="0" w:space="0" w:color="auto"/>
                <w:left w:val="none" w:sz="0" w:space="0" w:color="auto"/>
                <w:bottom w:val="none" w:sz="0" w:space="0" w:color="auto"/>
                <w:right w:val="none" w:sz="0" w:space="0" w:color="auto"/>
              </w:divBdr>
              <w:divsChild>
                <w:div w:id="321936679">
                  <w:marLeft w:val="0"/>
                  <w:marRight w:val="0"/>
                  <w:marTop w:val="0"/>
                  <w:marBottom w:val="0"/>
                  <w:divBdr>
                    <w:top w:val="none" w:sz="0" w:space="0" w:color="auto"/>
                    <w:left w:val="none" w:sz="0" w:space="0" w:color="auto"/>
                    <w:bottom w:val="none" w:sz="0" w:space="0" w:color="auto"/>
                    <w:right w:val="none" w:sz="0" w:space="0" w:color="auto"/>
                  </w:divBdr>
                  <w:divsChild>
                    <w:div w:id="1665011380">
                      <w:marLeft w:val="0"/>
                      <w:marRight w:val="0"/>
                      <w:marTop w:val="0"/>
                      <w:marBottom w:val="0"/>
                      <w:divBdr>
                        <w:top w:val="none" w:sz="0" w:space="0" w:color="auto"/>
                        <w:left w:val="none" w:sz="0" w:space="0" w:color="auto"/>
                        <w:bottom w:val="none" w:sz="0" w:space="0" w:color="auto"/>
                        <w:right w:val="none" w:sz="0" w:space="0" w:color="auto"/>
                      </w:divBdr>
                      <w:divsChild>
                        <w:div w:id="1515218597">
                          <w:marLeft w:val="0"/>
                          <w:marRight w:val="0"/>
                          <w:marTop w:val="0"/>
                          <w:marBottom w:val="0"/>
                          <w:divBdr>
                            <w:top w:val="none" w:sz="0" w:space="0" w:color="auto"/>
                            <w:left w:val="none" w:sz="0" w:space="0" w:color="auto"/>
                            <w:bottom w:val="none" w:sz="0" w:space="0" w:color="auto"/>
                            <w:right w:val="none" w:sz="0" w:space="0" w:color="auto"/>
                          </w:divBdr>
                          <w:divsChild>
                            <w:div w:id="1054542117">
                              <w:marLeft w:val="0"/>
                              <w:marRight w:val="0"/>
                              <w:marTop w:val="0"/>
                              <w:marBottom w:val="0"/>
                              <w:divBdr>
                                <w:top w:val="none" w:sz="0" w:space="0" w:color="auto"/>
                                <w:left w:val="none" w:sz="0" w:space="0" w:color="auto"/>
                                <w:bottom w:val="none" w:sz="0" w:space="0" w:color="auto"/>
                                <w:right w:val="none" w:sz="0" w:space="0" w:color="auto"/>
                              </w:divBdr>
                              <w:divsChild>
                                <w:div w:id="957758403">
                                  <w:marLeft w:val="0"/>
                                  <w:marRight w:val="0"/>
                                  <w:marTop w:val="0"/>
                                  <w:marBottom w:val="0"/>
                                  <w:divBdr>
                                    <w:top w:val="none" w:sz="0" w:space="0" w:color="auto"/>
                                    <w:left w:val="none" w:sz="0" w:space="0" w:color="auto"/>
                                    <w:bottom w:val="none" w:sz="0" w:space="0" w:color="auto"/>
                                    <w:right w:val="none" w:sz="0" w:space="0" w:color="auto"/>
                                  </w:divBdr>
                                  <w:divsChild>
                                    <w:div w:id="650404992">
                                      <w:marLeft w:val="0"/>
                                      <w:marRight w:val="0"/>
                                      <w:marTop w:val="0"/>
                                      <w:marBottom w:val="0"/>
                                      <w:divBdr>
                                        <w:top w:val="none" w:sz="0" w:space="0" w:color="auto"/>
                                        <w:left w:val="none" w:sz="0" w:space="0" w:color="auto"/>
                                        <w:bottom w:val="none" w:sz="0" w:space="0" w:color="auto"/>
                                        <w:right w:val="none" w:sz="0" w:space="0" w:color="auto"/>
                                      </w:divBdr>
                                      <w:divsChild>
                                        <w:div w:id="189295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122465">
          <w:marLeft w:val="0"/>
          <w:marRight w:val="0"/>
          <w:marTop w:val="0"/>
          <w:marBottom w:val="0"/>
          <w:divBdr>
            <w:top w:val="none" w:sz="0" w:space="0" w:color="auto"/>
            <w:left w:val="none" w:sz="0" w:space="0" w:color="auto"/>
            <w:bottom w:val="none" w:sz="0" w:space="0" w:color="auto"/>
            <w:right w:val="none" w:sz="0" w:space="0" w:color="auto"/>
          </w:divBdr>
          <w:divsChild>
            <w:div w:id="387340648">
              <w:marLeft w:val="0"/>
              <w:marRight w:val="0"/>
              <w:marTop w:val="0"/>
              <w:marBottom w:val="0"/>
              <w:divBdr>
                <w:top w:val="none" w:sz="0" w:space="0" w:color="auto"/>
                <w:left w:val="none" w:sz="0" w:space="0" w:color="auto"/>
                <w:bottom w:val="none" w:sz="0" w:space="0" w:color="auto"/>
                <w:right w:val="none" w:sz="0" w:space="0" w:color="auto"/>
              </w:divBdr>
              <w:divsChild>
                <w:div w:id="55015766">
                  <w:marLeft w:val="0"/>
                  <w:marRight w:val="0"/>
                  <w:marTop w:val="0"/>
                  <w:marBottom w:val="0"/>
                  <w:divBdr>
                    <w:top w:val="none" w:sz="0" w:space="0" w:color="auto"/>
                    <w:left w:val="none" w:sz="0" w:space="0" w:color="auto"/>
                    <w:bottom w:val="none" w:sz="0" w:space="0" w:color="auto"/>
                    <w:right w:val="none" w:sz="0" w:space="0" w:color="auto"/>
                  </w:divBdr>
                  <w:divsChild>
                    <w:div w:id="2085711967">
                      <w:marLeft w:val="0"/>
                      <w:marRight w:val="0"/>
                      <w:marTop w:val="0"/>
                      <w:marBottom w:val="0"/>
                      <w:divBdr>
                        <w:top w:val="none" w:sz="0" w:space="0" w:color="auto"/>
                        <w:left w:val="none" w:sz="0" w:space="0" w:color="auto"/>
                        <w:bottom w:val="none" w:sz="0" w:space="0" w:color="auto"/>
                        <w:right w:val="none" w:sz="0" w:space="0" w:color="auto"/>
                      </w:divBdr>
                      <w:divsChild>
                        <w:div w:id="559901593">
                          <w:marLeft w:val="0"/>
                          <w:marRight w:val="0"/>
                          <w:marTop w:val="0"/>
                          <w:marBottom w:val="0"/>
                          <w:divBdr>
                            <w:top w:val="none" w:sz="0" w:space="0" w:color="auto"/>
                            <w:left w:val="none" w:sz="0" w:space="0" w:color="auto"/>
                            <w:bottom w:val="none" w:sz="0" w:space="0" w:color="auto"/>
                            <w:right w:val="none" w:sz="0" w:space="0" w:color="auto"/>
                          </w:divBdr>
                          <w:divsChild>
                            <w:div w:id="52781140">
                              <w:marLeft w:val="0"/>
                              <w:marRight w:val="0"/>
                              <w:marTop w:val="0"/>
                              <w:marBottom w:val="0"/>
                              <w:divBdr>
                                <w:top w:val="none" w:sz="0" w:space="0" w:color="auto"/>
                                <w:left w:val="none" w:sz="0" w:space="0" w:color="auto"/>
                                <w:bottom w:val="none" w:sz="0" w:space="0" w:color="auto"/>
                                <w:right w:val="none" w:sz="0" w:space="0" w:color="auto"/>
                              </w:divBdr>
                              <w:divsChild>
                                <w:div w:id="1481651267">
                                  <w:marLeft w:val="0"/>
                                  <w:marRight w:val="0"/>
                                  <w:marTop w:val="0"/>
                                  <w:marBottom w:val="0"/>
                                  <w:divBdr>
                                    <w:top w:val="none" w:sz="0" w:space="0" w:color="auto"/>
                                    <w:left w:val="none" w:sz="0" w:space="0" w:color="auto"/>
                                    <w:bottom w:val="none" w:sz="0" w:space="0" w:color="auto"/>
                                    <w:right w:val="none" w:sz="0" w:space="0" w:color="auto"/>
                                  </w:divBdr>
                                  <w:divsChild>
                                    <w:div w:id="175239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151677">
                          <w:marLeft w:val="0"/>
                          <w:marRight w:val="0"/>
                          <w:marTop w:val="0"/>
                          <w:marBottom w:val="0"/>
                          <w:divBdr>
                            <w:top w:val="none" w:sz="0" w:space="0" w:color="auto"/>
                            <w:left w:val="none" w:sz="0" w:space="0" w:color="auto"/>
                            <w:bottom w:val="none" w:sz="0" w:space="0" w:color="auto"/>
                            <w:right w:val="none" w:sz="0" w:space="0" w:color="auto"/>
                          </w:divBdr>
                          <w:divsChild>
                            <w:div w:id="1305693464">
                              <w:marLeft w:val="0"/>
                              <w:marRight w:val="0"/>
                              <w:marTop w:val="0"/>
                              <w:marBottom w:val="0"/>
                              <w:divBdr>
                                <w:top w:val="none" w:sz="0" w:space="0" w:color="auto"/>
                                <w:left w:val="none" w:sz="0" w:space="0" w:color="auto"/>
                                <w:bottom w:val="none" w:sz="0" w:space="0" w:color="auto"/>
                                <w:right w:val="none" w:sz="0" w:space="0" w:color="auto"/>
                              </w:divBdr>
                              <w:divsChild>
                                <w:div w:id="1871720683">
                                  <w:marLeft w:val="0"/>
                                  <w:marRight w:val="0"/>
                                  <w:marTop w:val="0"/>
                                  <w:marBottom w:val="0"/>
                                  <w:divBdr>
                                    <w:top w:val="none" w:sz="0" w:space="0" w:color="auto"/>
                                    <w:left w:val="none" w:sz="0" w:space="0" w:color="auto"/>
                                    <w:bottom w:val="none" w:sz="0" w:space="0" w:color="auto"/>
                                    <w:right w:val="none" w:sz="0" w:space="0" w:color="auto"/>
                                  </w:divBdr>
                                  <w:divsChild>
                                    <w:div w:id="89338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77028">
                  <w:marLeft w:val="0"/>
                  <w:marRight w:val="0"/>
                  <w:marTop w:val="0"/>
                  <w:marBottom w:val="0"/>
                  <w:divBdr>
                    <w:top w:val="none" w:sz="0" w:space="0" w:color="auto"/>
                    <w:left w:val="none" w:sz="0" w:space="0" w:color="auto"/>
                    <w:bottom w:val="none" w:sz="0" w:space="0" w:color="auto"/>
                    <w:right w:val="none" w:sz="0" w:space="0" w:color="auto"/>
                  </w:divBdr>
                  <w:divsChild>
                    <w:div w:id="1870098643">
                      <w:marLeft w:val="0"/>
                      <w:marRight w:val="0"/>
                      <w:marTop w:val="0"/>
                      <w:marBottom w:val="0"/>
                      <w:divBdr>
                        <w:top w:val="none" w:sz="0" w:space="0" w:color="auto"/>
                        <w:left w:val="none" w:sz="0" w:space="0" w:color="auto"/>
                        <w:bottom w:val="none" w:sz="0" w:space="0" w:color="auto"/>
                        <w:right w:val="none" w:sz="0" w:space="0" w:color="auto"/>
                      </w:divBdr>
                      <w:divsChild>
                        <w:div w:id="2097436197">
                          <w:marLeft w:val="0"/>
                          <w:marRight w:val="0"/>
                          <w:marTop w:val="0"/>
                          <w:marBottom w:val="0"/>
                          <w:divBdr>
                            <w:top w:val="none" w:sz="0" w:space="0" w:color="auto"/>
                            <w:left w:val="none" w:sz="0" w:space="0" w:color="auto"/>
                            <w:bottom w:val="none" w:sz="0" w:space="0" w:color="auto"/>
                            <w:right w:val="none" w:sz="0" w:space="0" w:color="auto"/>
                          </w:divBdr>
                          <w:divsChild>
                            <w:div w:id="48652895">
                              <w:marLeft w:val="0"/>
                              <w:marRight w:val="0"/>
                              <w:marTop w:val="0"/>
                              <w:marBottom w:val="0"/>
                              <w:divBdr>
                                <w:top w:val="none" w:sz="0" w:space="0" w:color="auto"/>
                                <w:left w:val="none" w:sz="0" w:space="0" w:color="auto"/>
                                <w:bottom w:val="none" w:sz="0" w:space="0" w:color="auto"/>
                                <w:right w:val="none" w:sz="0" w:space="0" w:color="auto"/>
                              </w:divBdr>
                              <w:divsChild>
                                <w:div w:id="191188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953788">
          <w:marLeft w:val="0"/>
          <w:marRight w:val="0"/>
          <w:marTop w:val="0"/>
          <w:marBottom w:val="0"/>
          <w:divBdr>
            <w:top w:val="none" w:sz="0" w:space="0" w:color="auto"/>
            <w:left w:val="none" w:sz="0" w:space="0" w:color="auto"/>
            <w:bottom w:val="none" w:sz="0" w:space="0" w:color="auto"/>
            <w:right w:val="none" w:sz="0" w:space="0" w:color="auto"/>
          </w:divBdr>
          <w:divsChild>
            <w:div w:id="1573084724">
              <w:marLeft w:val="0"/>
              <w:marRight w:val="0"/>
              <w:marTop w:val="0"/>
              <w:marBottom w:val="0"/>
              <w:divBdr>
                <w:top w:val="none" w:sz="0" w:space="0" w:color="auto"/>
                <w:left w:val="none" w:sz="0" w:space="0" w:color="auto"/>
                <w:bottom w:val="none" w:sz="0" w:space="0" w:color="auto"/>
                <w:right w:val="none" w:sz="0" w:space="0" w:color="auto"/>
              </w:divBdr>
              <w:divsChild>
                <w:div w:id="1743214704">
                  <w:marLeft w:val="0"/>
                  <w:marRight w:val="0"/>
                  <w:marTop w:val="0"/>
                  <w:marBottom w:val="0"/>
                  <w:divBdr>
                    <w:top w:val="none" w:sz="0" w:space="0" w:color="auto"/>
                    <w:left w:val="none" w:sz="0" w:space="0" w:color="auto"/>
                    <w:bottom w:val="none" w:sz="0" w:space="0" w:color="auto"/>
                    <w:right w:val="none" w:sz="0" w:space="0" w:color="auto"/>
                  </w:divBdr>
                  <w:divsChild>
                    <w:div w:id="470293966">
                      <w:marLeft w:val="0"/>
                      <w:marRight w:val="0"/>
                      <w:marTop w:val="0"/>
                      <w:marBottom w:val="0"/>
                      <w:divBdr>
                        <w:top w:val="none" w:sz="0" w:space="0" w:color="auto"/>
                        <w:left w:val="none" w:sz="0" w:space="0" w:color="auto"/>
                        <w:bottom w:val="none" w:sz="0" w:space="0" w:color="auto"/>
                        <w:right w:val="none" w:sz="0" w:space="0" w:color="auto"/>
                      </w:divBdr>
                      <w:divsChild>
                        <w:div w:id="1662729885">
                          <w:marLeft w:val="0"/>
                          <w:marRight w:val="0"/>
                          <w:marTop w:val="0"/>
                          <w:marBottom w:val="0"/>
                          <w:divBdr>
                            <w:top w:val="none" w:sz="0" w:space="0" w:color="auto"/>
                            <w:left w:val="none" w:sz="0" w:space="0" w:color="auto"/>
                            <w:bottom w:val="none" w:sz="0" w:space="0" w:color="auto"/>
                            <w:right w:val="none" w:sz="0" w:space="0" w:color="auto"/>
                          </w:divBdr>
                          <w:divsChild>
                            <w:div w:id="445926448">
                              <w:marLeft w:val="0"/>
                              <w:marRight w:val="0"/>
                              <w:marTop w:val="0"/>
                              <w:marBottom w:val="0"/>
                              <w:divBdr>
                                <w:top w:val="none" w:sz="0" w:space="0" w:color="auto"/>
                                <w:left w:val="none" w:sz="0" w:space="0" w:color="auto"/>
                                <w:bottom w:val="none" w:sz="0" w:space="0" w:color="auto"/>
                                <w:right w:val="none" w:sz="0" w:space="0" w:color="auto"/>
                              </w:divBdr>
                              <w:divsChild>
                                <w:div w:id="200048276">
                                  <w:marLeft w:val="0"/>
                                  <w:marRight w:val="0"/>
                                  <w:marTop w:val="0"/>
                                  <w:marBottom w:val="0"/>
                                  <w:divBdr>
                                    <w:top w:val="none" w:sz="0" w:space="0" w:color="auto"/>
                                    <w:left w:val="none" w:sz="0" w:space="0" w:color="auto"/>
                                    <w:bottom w:val="none" w:sz="0" w:space="0" w:color="auto"/>
                                    <w:right w:val="none" w:sz="0" w:space="0" w:color="auto"/>
                                  </w:divBdr>
                                  <w:divsChild>
                                    <w:div w:id="1613514664">
                                      <w:marLeft w:val="0"/>
                                      <w:marRight w:val="0"/>
                                      <w:marTop w:val="0"/>
                                      <w:marBottom w:val="0"/>
                                      <w:divBdr>
                                        <w:top w:val="none" w:sz="0" w:space="0" w:color="auto"/>
                                        <w:left w:val="none" w:sz="0" w:space="0" w:color="auto"/>
                                        <w:bottom w:val="none" w:sz="0" w:space="0" w:color="auto"/>
                                        <w:right w:val="none" w:sz="0" w:space="0" w:color="auto"/>
                                      </w:divBdr>
                                      <w:divsChild>
                                        <w:div w:id="193397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879695">
          <w:marLeft w:val="0"/>
          <w:marRight w:val="0"/>
          <w:marTop w:val="0"/>
          <w:marBottom w:val="0"/>
          <w:divBdr>
            <w:top w:val="none" w:sz="0" w:space="0" w:color="auto"/>
            <w:left w:val="none" w:sz="0" w:space="0" w:color="auto"/>
            <w:bottom w:val="none" w:sz="0" w:space="0" w:color="auto"/>
            <w:right w:val="none" w:sz="0" w:space="0" w:color="auto"/>
          </w:divBdr>
          <w:divsChild>
            <w:div w:id="698703342">
              <w:marLeft w:val="0"/>
              <w:marRight w:val="0"/>
              <w:marTop w:val="0"/>
              <w:marBottom w:val="0"/>
              <w:divBdr>
                <w:top w:val="none" w:sz="0" w:space="0" w:color="auto"/>
                <w:left w:val="none" w:sz="0" w:space="0" w:color="auto"/>
                <w:bottom w:val="none" w:sz="0" w:space="0" w:color="auto"/>
                <w:right w:val="none" w:sz="0" w:space="0" w:color="auto"/>
              </w:divBdr>
              <w:divsChild>
                <w:div w:id="1077287806">
                  <w:marLeft w:val="0"/>
                  <w:marRight w:val="0"/>
                  <w:marTop w:val="0"/>
                  <w:marBottom w:val="0"/>
                  <w:divBdr>
                    <w:top w:val="none" w:sz="0" w:space="0" w:color="auto"/>
                    <w:left w:val="none" w:sz="0" w:space="0" w:color="auto"/>
                    <w:bottom w:val="none" w:sz="0" w:space="0" w:color="auto"/>
                    <w:right w:val="none" w:sz="0" w:space="0" w:color="auto"/>
                  </w:divBdr>
                  <w:divsChild>
                    <w:div w:id="1444421883">
                      <w:marLeft w:val="0"/>
                      <w:marRight w:val="0"/>
                      <w:marTop w:val="0"/>
                      <w:marBottom w:val="0"/>
                      <w:divBdr>
                        <w:top w:val="none" w:sz="0" w:space="0" w:color="auto"/>
                        <w:left w:val="none" w:sz="0" w:space="0" w:color="auto"/>
                        <w:bottom w:val="none" w:sz="0" w:space="0" w:color="auto"/>
                        <w:right w:val="none" w:sz="0" w:space="0" w:color="auto"/>
                      </w:divBdr>
                      <w:divsChild>
                        <w:div w:id="1132820541">
                          <w:marLeft w:val="0"/>
                          <w:marRight w:val="0"/>
                          <w:marTop w:val="0"/>
                          <w:marBottom w:val="0"/>
                          <w:divBdr>
                            <w:top w:val="none" w:sz="0" w:space="0" w:color="auto"/>
                            <w:left w:val="none" w:sz="0" w:space="0" w:color="auto"/>
                            <w:bottom w:val="none" w:sz="0" w:space="0" w:color="auto"/>
                            <w:right w:val="none" w:sz="0" w:space="0" w:color="auto"/>
                          </w:divBdr>
                          <w:divsChild>
                            <w:div w:id="739640712">
                              <w:marLeft w:val="0"/>
                              <w:marRight w:val="0"/>
                              <w:marTop w:val="0"/>
                              <w:marBottom w:val="0"/>
                              <w:divBdr>
                                <w:top w:val="none" w:sz="0" w:space="0" w:color="auto"/>
                                <w:left w:val="none" w:sz="0" w:space="0" w:color="auto"/>
                                <w:bottom w:val="none" w:sz="0" w:space="0" w:color="auto"/>
                                <w:right w:val="none" w:sz="0" w:space="0" w:color="auto"/>
                              </w:divBdr>
                              <w:divsChild>
                                <w:div w:id="123963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650948">
                  <w:marLeft w:val="0"/>
                  <w:marRight w:val="0"/>
                  <w:marTop w:val="0"/>
                  <w:marBottom w:val="0"/>
                  <w:divBdr>
                    <w:top w:val="none" w:sz="0" w:space="0" w:color="auto"/>
                    <w:left w:val="none" w:sz="0" w:space="0" w:color="auto"/>
                    <w:bottom w:val="none" w:sz="0" w:space="0" w:color="auto"/>
                    <w:right w:val="none" w:sz="0" w:space="0" w:color="auto"/>
                  </w:divBdr>
                  <w:divsChild>
                    <w:div w:id="1483884441">
                      <w:marLeft w:val="0"/>
                      <w:marRight w:val="0"/>
                      <w:marTop w:val="0"/>
                      <w:marBottom w:val="0"/>
                      <w:divBdr>
                        <w:top w:val="none" w:sz="0" w:space="0" w:color="auto"/>
                        <w:left w:val="none" w:sz="0" w:space="0" w:color="auto"/>
                        <w:bottom w:val="none" w:sz="0" w:space="0" w:color="auto"/>
                        <w:right w:val="none" w:sz="0" w:space="0" w:color="auto"/>
                      </w:divBdr>
                      <w:divsChild>
                        <w:div w:id="1025406646">
                          <w:marLeft w:val="0"/>
                          <w:marRight w:val="0"/>
                          <w:marTop w:val="0"/>
                          <w:marBottom w:val="0"/>
                          <w:divBdr>
                            <w:top w:val="none" w:sz="0" w:space="0" w:color="auto"/>
                            <w:left w:val="none" w:sz="0" w:space="0" w:color="auto"/>
                            <w:bottom w:val="none" w:sz="0" w:space="0" w:color="auto"/>
                            <w:right w:val="none" w:sz="0" w:space="0" w:color="auto"/>
                          </w:divBdr>
                          <w:divsChild>
                            <w:div w:id="146558166">
                              <w:marLeft w:val="0"/>
                              <w:marRight w:val="0"/>
                              <w:marTop w:val="0"/>
                              <w:marBottom w:val="0"/>
                              <w:divBdr>
                                <w:top w:val="none" w:sz="0" w:space="0" w:color="auto"/>
                                <w:left w:val="none" w:sz="0" w:space="0" w:color="auto"/>
                                <w:bottom w:val="none" w:sz="0" w:space="0" w:color="auto"/>
                                <w:right w:val="none" w:sz="0" w:space="0" w:color="auto"/>
                              </w:divBdr>
                              <w:divsChild>
                                <w:div w:id="658654817">
                                  <w:marLeft w:val="0"/>
                                  <w:marRight w:val="0"/>
                                  <w:marTop w:val="0"/>
                                  <w:marBottom w:val="0"/>
                                  <w:divBdr>
                                    <w:top w:val="none" w:sz="0" w:space="0" w:color="auto"/>
                                    <w:left w:val="none" w:sz="0" w:space="0" w:color="auto"/>
                                    <w:bottom w:val="none" w:sz="0" w:space="0" w:color="auto"/>
                                    <w:right w:val="none" w:sz="0" w:space="0" w:color="auto"/>
                                  </w:divBdr>
                                  <w:divsChild>
                                    <w:div w:id="74221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428474">
                          <w:marLeft w:val="0"/>
                          <w:marRight w:val="0"/>
                          <w:marTop w:val="0"/>
                          <w:marBottom w:val="0"/>
                          <w:divBdr>
                            <w:top w:val="none" w:sz="0" w:space="0" w:color="auto"/>
                            <w:left w:val="none" w:sz="0" w:space="0" w:color="auto"/>
                            <w:bottom w:val="none" w:sz="0" w:space="0" w:color="auto"/>
                            <w:right w:val="none" w:sz="0" w:space="0" w:color="auto"/>
                          </w:divBdr>
                          <w:divsChild>
                            <w:div w:id="675615403">
                              <w:marLeft w:val="0"/>
                              <w:marRight w:val="0"/>
                              <w:marTop w:val="0"/>
                              <w:marBottom w:val="0"/>
                              <w:divBdr>
                                <w:top w:val="none" w:sz="0" w:space="0" w:color="auto"/>
                                <w:left w:val="none" w:sz="0" w:space="0" w:color="auto"/>
                                <w:bottom w:val="none" w:sz="0" w:space="0" w:color="auto"/>
                                <w:right w:val="none" w:sz="0" w:space="0" w:color="auto"/>
                              </w:divBdr>
                              <w:divsChild>
                                <w:div w:id="764155583">
                                  <w:marLeft w:val="0"/>
                                  <w:marRight w:val="0"/>
                                  <w:marTop w:val="0"/>
                                  <w:marBottom w:val="0"/>
                                  <w:divBdr>
                                    <w:top w:val="none" w:sz="0" w:space="0" w:color="auto"/>
                                    <w:left w:val="none" w:sz="0" w:space="0" w:color="auto"/>
                                    <w:bottom w:val="none" w:sz="0" w:space="0" w:color="auto"/>
                                    <w:right w:val="none" w:sz="0" w:space="0" w:color="auto"/>
                                  </w:divBdr>
                                  <w:divsChild>
                                    <w:div w:id="128649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2880717">
          <w:marLeft w:val="0"/>
          <w:marRight w:val="0"/>
          <w:marTop w:val="0"/>
          <w:marBottom w:val="0"/>
          <w:divBdr>
            <w:top w:val="none" w:sz="0" w:space="0" w:color="auto"/>
            <w:left w:val="none" w:sz="0" w:space="0" w:color="auto"/>
            <w:bottom w:val="none" w:sz="0" w:space="0" w:color="auto"/>
            <w:right w:val="none" w:sz="0" w:space="0" w:color="auto"/>
          </w:divBdr>
          <w:divsChild>
            <w:div w:id="1928032081">
              <w:marLeft w:val="0"/>
              <w:marRight w:val="0"/>
              <w:marTop w:val="0"/>
              <w:marBottom w:val="0"/>
              <w:divBdr>
                <w:top w:val="none" w:sz="0" w:space="0" w:color="auto"/>
                <w:left w:val="none" w:sz="0" w:space="0" w:color="auto"/>
                <w:bottom w:val="none" w:sz="0" w:space="0" w:color="auto"/>
                <w:right w:val="none" w:sz="0" w:space="0" w:color="auto"/>
              </w:divBdr>
              <w:divsChild>
                <w:div w:id="275796193">
                  <w:marLeft w:val="0"/>
                  <w:marRight w:val="0"/>
                  <w:marTop w:val="0"/>
                  <w:marBottom w:val="0"/>
                  <w:divBdr>
                    <w:top w:val="none" w:sz="0" w:space="0" w:color="auto"/>
                    <w:left w:val="none" w:sz="0" w:space="0" w:color="auto"/>
                    <w:bottom w:val="none" w:sz="0" w:space="0" w:color="auto"/>
                    <w:right w:val="none" w:sz="0" w:space="0" w:color="auto"/>
                  </w:divBdr>
                  <w:divsChild>
                    <w:div w:id="198977839">
                      <w:marLeft w:val="0"/>
                      <w:marRight w:val="0"/>
                      <w:marTop w:val="0"/>
                      <w:marBottom w:val="0"/>
                      <w:divBdr>
                        <w:top w:val="none" w:sz="0" w:space="0" w:color="auto"/>
                        <w:left w:val="none" w:sz="0" w:space="0" w:color="auto"/>
                        <w:bottom w:val="none" w:sz="0" w:space="0" w:color="auto"/>
                        <w:right w:val="none" w:sz="0" w:space="0" w:color="auto"/>
                      </w:divBdr>
                      <w:divsChild>
                        <w:div w:id="1005867197">
                          <w:marLeft w:val="0"/>
                          <w:marRight w:val="0"/>
                          <w:marTop w:val="0"/>
                          <w:marBottom w:val="0"/>
                          <w:divBdr>
                            <w:top w:val="none" w:sz="0" w:space="0" w:color="auto"/>
                            <w:left w:val="none" w:sz="0" w:space="0" w:color="auto"/>
                            <w:bottom w:val="none" w:sz="0" w:space="0" w:color="auto"/>
                            <w:right w:val="none" w:sz="0" w:space="0" w:color="auto"/>
                          </w:divBdr>
                          <w:divsChild>
                            <w:div w:id="962998607">
                              <w:marLeft w:val="0"/>
                              <w:marRight w:val="0"/>
                              <w:marTop w:val="0"/>
                              <w:marBottom w:val="0"/>
                              <w:divBdr>
                                <w:top w:val="none" w:sz="0" w:space="0" w:color="auto"/>
                                <w:left w:val="none" w:sz="0" w:space="0" w:color="auto"/>
                                <w:bottom w:val="none" w:sz="0" w:space="0" w:color="auto"/>
                                <w:right w:val="none" w:sz="0" w:space="0" w:color="auto"/>
                              </w:divBdr>
                              <w:divsChild>
                                <w:div w:id="9379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349044">
                  <w:marLeft w:val="0"/>
                  <w:marRight w:val="0"/>
                  <w:marTop w:val="0"/>
                  <w:marBottom w:val="0"/>
                  <w:divBdr>
                    <w:top w:val="none" w:sz="0" w:space="0" w:color="auto"/>
                    <w:left w:val="none" w:sz="0" w:space="0" w:color="auto"/>
                    <w:bottom w:val="none" w:sz="0" w:space="0" w:color="auto"/>
                    <w:right w:val="none" w:sz="0" w:space="0" w:color="auto"/>
                  </w:divBdr>
                  <w:divsChild>
                    <w:div w:id="866331599">
                      <w:marLeft w:val="0"/>
                      <w:marRight w:val="0"/>
                      <w:marTop w:val="0"/>
                      <w:marBottom w:val="0"/>
                      <w:divBdr>
                        <w:top w:val="none" w:sz="0" w:space="0" w:color="auto"/>
                        <w:left w:val="none" w:sz="0" w:space="0" w:color="auto"/>
                        <w:bottom w:val="none" w:sz="0" w:space="0" w:color="auto"/>
                        <w:right w:val="none" w:sz="0" w:space="0" w:color="auto"/>
                      </w:divBdr>
                      <w:divsChild>
                        <w:div w:id="478812549">
                          <w:marLeft w:val="0"/>
                          <w:marRight w:val="0"/>
                          <w:marTop w:val="0"/>
                          <w:marBottom w:val="0"/>
                          <w:divBdr>
                            <w:top w:val="none" w:sz="0" w:space="0" w:color="auto"/>
                            <w:left w:val="none" w:sz="0" w:space="0" w:color="auto"/>
                            <w:bottom w:val="none" w:sz="0" w:space="0" w:color="auto"/>
                            <w:right w:val="none" w:sz="0" w:space="0" w:color="auto"/>
                          </w:divBdr>
                          <w:divsChild>
                            <w:div w:id="1208374312">
                              <w:marLeft w:val="0"/>
                              <w:marRight w:val="0"/>
                              <w:marTop w:val="0"/>
                              <w:marBottom w:val="0"/>
                              <w:divBdr>
                                <w:top w:val="none" w:sz="0" w:space="0" w:color="auto"/>
                                <w:left w:val="none" w:sz="0" w:space="0" w:color="auto"/>
                                <w:bottom w:val="none" w:sz="0" w:space="0" w:color="auto"/>
                                <w:right w:val="none" w:sz="0" w:space="0" w:color="auto"/>
                              </w:divBdr>
                              <w:divsChild>
                                <w:div w:id="756369188">
                                  <w:marLeft w:val="0"/>
                                  <w:marRight w:val="0"/>
                                  <w:marTop w:val="0"/>
                                  <w:marBottom w:val="0"/>
                                  <w:divBdr>
                                    <w:top w:val="none" w:sz="0" w:space="0" w:color="auto"/>
                                    <w:left w:val="none" w:sz="0" w:space="0" w:color="auto"/>
                                    <w:bottom w:val="none" w:sz="0" w:space="0" w:color="auto"/>
                                    <w:right w:val="none" w:sz="0" w:space="0" w:color="auto"/>
                                  </w:divBdr>
                                  <w:divsChild>
                                    <w:div w:id="154359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350430">
                          <w:marLeft w:val="0"/>
                          <w:marRight w:val="0"/>
                          <w:marTop w:val="0"/>
                          <w:marBottom w:val="0"/>
                          <w:divBdr>
                            <w:top w:val="none" w:sz="0" w:space="0" w:color="auto"/>
                            <w:left w:val="none" w:sz="0" w:space="0" w:color="auto"/>
                            <w:bottom w:val="none" w:sz="0" w:space="0" w:color="auto"/>
                            <w:right w:val="none" w:sz="0" w:space="0" w:color="auto"/>
                          </w:divBdr>
                          <w:divsChild>
                            <w:div w:id="1019770644">
                              <w:marLeft w:val="0"/>
                              <w:marRight w:val="0"/>
                              <w:marTop w:val="0"/>
                              <w:marBottom w:val="0"/>
                              <w:divBdr>
                                <w:top w:val="none" w:sz="0" w:space="0" w:color="auto"/>
                                <w:left w:val="none" w:sz="0" w:space="0" w:color="auto"/>
                                <w:bottom w:val="none" w:sz="0" w:space="0" w:color="auto"/>
                                <w:right w:val="none" w:sz="0" w:space="0" w:color="auto"/>
                              </w:divBdr>
                              <w:divsChild>
                                <w:div w:id="687220864">
                                  <w:marLeft w:val="0"/>
                                  <w:marRight w:val="0"/>
                                  <w:marTop w:val="0"/>
                                  <w:marBottom w:val="0"/>
                                  <w:divBdr>
                                    <w:top w:val="none" w:sz="0" w:space="0" w:color="auto"/>
                                    <w:left w:val="none" w:sz="0" w:space="0" w:color="auto"/>
                                    <w:bottom w:val="none" w:sz="0" w:space="0" w:color="auto"/>
                                    <w:right w:val="none" w:sz="0" w:space="0" w:color="auto"/>
                                  </w:divBdr>
                                  <w:divsChild>
                                    <w:div w:id="31241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0013888">
          <w:marLeft w:val="0"/>
          <w:marRight w:val="0"/>
          <w:marTop w:val="0"/>
          <w:marBottom w:val="0"/>
          <w:divBdr>
            <w:top w:val="none" w:sz="0" w:space="0" w:color="auto"/>
            <w:left w:val="none" w:sz="0" w:space="0" w:color="auto"/>
            <w:bottom w:val="none" w:sz="0" w:space="0" w:color="auto"/>
            <w:right w:val="none" w:sz="0" w:space="0" w:color="auto"/>
          </w:divBdr>
          <w:divsChild>
            <w:div w:id="176038902">
              <w:marLeft w:val="0"/>
              <w:marRight w:val="0"/>
              <w:marTop w:val="0"/>
              <w:marBottom w:val="0"/>
              <w:divBdr>
                <w:top w:val="none" w:sz="0" w:space="0" w:color="auto"/>
                <w:left w:val="none" w:sz="0" w:space="0" w:color="auto"/>
                <w:bottom w:val="none" w:sz="0" w:space="0" w:color="auto"/>
                <w:right w:val="none" w:sz="0" w:space="0" w:color="auto"/>
              </w:divBdr>
              <w:divsChild>
                <w:div w:id="1277634684">
                  <w:marLeft w:val="0"/>
                  <w:marRight w:val="0"/>
                  <w:marTop w:val="0"/>
                  <w:marBottom w:val="0"/>
                  <w:divBdr>
                    <w:top w:val="none" w:sz="0" w:space="0" w:color="auto"/>
                    <w:left w:val="none" w:sz="0" w:space="0" w:color="auto"/>
                    <w:bottom w:val="none" w:sz="0" w:space="0" w:color="auto"/>
                    <w:right w:val="none" w:sz="0" w:space="0" w:color="auto"/>
                  </w:divBdr>
                  <w:divsChild>
                    <w:div w:id="427118136">
                      <w:marLeft w:val="0"/>
                      <w:marRight w:val="0"/>
                      <w:marTop w:val="0"/>
                      <w:marBottom w:val="0"/>
                      <w:divBdr>
                        <w:top w:val="none" w:sz="0" w:space="0" w:color="auto"/>
                        <w:left w:val="none" w:sz="0" w:space="0" w:color="auto"/>
                        <w:bottom w:val="none" w:sz="0" w:space="0" w:color="auto"/>
                        <w:right w:val="none" w:sz="0" w:space="0" w:color="auto"/>
                      </w:divBdr>
                      <w:divsChild>
                        <w:div w:id="403339883">
                          <w:marLeft w:val="0"/>
                          <w:marRight w:val="0"/>
                          <w:marTop w:val="0"/>
                          <w:marBottom w:val="0"/>
                          <w:divBdr>
                            <w:top w:val="none" w:sz="0" w:space="0" w:color="auto"/>
                            <w:left w:val="none" w:sz="0" w:space="0" w:color="auto"/>
                            <w:bottom w:val="none" w:sz="0" w:space="0" w:color="auto"/>
                            <w:right w:val="none" w:sz="0" w:space="0" w:color="auto"/>
                          </w:divBdr>
                          <w:divsChild>
                            <w:div w:id="272909688">
                              <w:marLeft w:val="0"/>
                              <w:marRight w:val="0"/>
                              <w:marTop w:val="0"/>
                              <w:marBottom w:val="0"/>
                              <w:divBdr>
                                <w:top w:val="none" w:sz="0" w:space="0" w:color="auto"/>
                                <w:left w:val="none" w:sz="0" w:space="0" w:color="auto"/>
                                <w:bottom w:val="none" w:sz="0" w:space="0" w:color="auto"/>
                                <w:right w:val="none" w:sz="0" w:space="0" w:color="auto"/>
                              </w:divBdr>
                              <w:divsChild>
                                <w:div w:id="1168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8049221">
                  <w:marLeft w:val="0"/>
                  <w:marRight w:val="0"/>
                  <w:marTop w:val="0"/>
                  <w:marBottom w:val="0"/>
                  <w:divBdr>
                    <w:top w:val="none" w:sz="0" w:space="0" w:color="auto"/>
                    <w:left w:val="none" w:sz="0" w:space="0" w:color="auto"/>
                    <w:bottom w:val="none" w:sz="0" w:space="0" w:color="auto"/>
                    <w:right w:val="none" w:sz="0" w:space="0" w:color="auto"/>
                  </w:divBdr>
                  <w:divsChild>
                    <w:div w:id="260727800">
                      <w:marLeft w:val="0"/>
                      <w:marRight w:val="0"/>
                      <w:marTop w:val="0"/>
                      <w:marBottom w:val="0"/>
                      <w:divBdr>
                        <w:top w:val="none" w:sz="0" w:space="0" w:color="auto"/>
                        <w:left w:val="none" w:sz="0" w:space="0" w:color="auto"/>
                        <w:bottom w:val="none" w:sz="0" w:space="0" w:color="auto"/>
                        <w:right w:val="none" w:sz="0" w:space="0" w:color="auto"/>
                      </w:divBdr>
                      <w:divsChild>
                        <w:div w:id="1212036707">
                          <w:marLeft w:val="0"/>
                          <w:marRight w:val="0"/>
                          <w:marTop w:val="0"/>
                          <w:marBottom w:val="0"/>
                          <w:divBdr>
                            <w:top w:val="none" w:sz="0" w:space="0" w:color="auto"/>
                            <w:left w:val="none" w:sz="0" w:space="0" w:color="auto"/>
                            <w:bottom w:val="none" w:sz="0" w:space="0" w:color="auto"/>
                            <w:right w:val="none" w:sz="0" w:space="0" w:color="auto"/>
                          </w:divBdr>
                          <w:divsChild>
                            <w:div w:id="907956331">
                              <w:marLeft w:val="0"/>
                              <w:marRight w:val="0"/>
                              <w:marTop w:val="0"/>
                              <w:marBottom w:val="0"/>
                              <w:divBdr>
                                <w:top w:val="none" w:sz="0" w:space="0" w:color="auto"/>
                                <w:left w:val="none" w:sz="0" w:space="0" w:color="auto"/>
                                <w:bottom w:val="none" w:sz="0" w:space="0" w:color="auto"/>
                                <w:right w:val="none" w:sz="0" w:space="0" w:color="auto"/>
                              </w:divBdr>
                              <w:divsChild>
                                <w:div w:id="846947473">
                                  <w:marLeft w:val="0"/>
                                  <w:marRight w:val="0"/>
                                  <w:marTop w:val="0"/>
                                  <w:marBottom w:val="0"/>
                                  <w:divBdr>
                                    <w:top w:val="none" w:sz="0" w:space="0" w:color="auto"/>
                                    <w:left w:val="none" w:sz="0" w:space="0" w:color="auto"/>
                                    <w:bottom w:val="none" w:sz="0" w:space="0" w:color="auto"/>
                                    <w:right w:val="none" w:sz="0" w:space="0" w:color="auto"/>
                                  </w:divBdr>
                                  <w:divsChild>
                                    <w:div w:id="81634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204844">
                          <w:marLeft w:val="0"/>
                          <w:marRight w:val="0"/>
                          <w:marTop w:val="0"/>
                          <w:marBottom w:val="0"/>
                          <w:divBdr>
                            <w:top w:val="none" w:sz="0" w:space="0" w:color="auto"/>
                            <w:left w:val="none" w:sz="0" w:space="0" w:color="auto"/>
                            <w:bottom w:val="none" w:sz="0" w:space="0" w:color="auto"/>
                            <w:right w:val="none" w:sz="0" w:space="0" w:color="auto"/>
                          </w:divBdr>
                          <w:divsChild>
                            <w:div w:id="1339847107">
                              <w:marLeft w:val="0"/>
                              <w:marRight w:val="0"/>
                              <w:marTop w:val="0"/>
                              <w:marBottom w:val="0"/>
                              <w:divBdr>
                                <w:top w:val="none" w:sz="0" w:space="0" w:color="auto"/>
                                <w:left w:val="none" w:sz="0" w:space="0" w:color="auto"/>
                                <w:bottom w:val="none" w:sz="0" w:space="0" w:color="auto"/>
                                <w:right w:val="none" w:sz="0" w:space="0" w:color="auto"/>
                              </w:divBdr>
                              <w:divsChild>
                                <w:div w:id="2043088238">
                                  <w:marLeft w:val="0"/>
                                  <w:marRight w:val="0"/>
                                  <w:marTop w:val="0"/>
                                  <w:marBottom w:val="0"/>
                                  <w:divBdr>
                                    <w:top w:val="none" w:sz="0" w:space="0" w:color="auto"/>
                                    <w:left w:val="none" w:sz="0" w:space="0" w:color="auto"/>
                                    <w:bottom w:val="none" w:sz="0" w:space="0" w:color="auto"/>
                                    <w:right w:val="none" w:sz="0" w:space="0" w:color="auto"/>
                                  </w:divBdr>
                                  <w:divsChild>
                                    <w:div w:id="10650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6187588">
          <w:marLeft w:val="0"/>
          <w:marRight w:val="0"/>
          <w:marTop w:val="0"/>
          <w:marBottom w:val="0"/>
          <w:divBdr>
            <w:top w:val="none" w:sz="0" w:space="0" w:color="auto"/>
            <w:left w:val="none" w:sz="0" w:space="0" w:color="auto"/>
            <w:bottom w:val="none" w:sz="0" w:space="0" w:color="auto"/>
            <w:right w:val="none" w:sz="0" w:space="0" w:color="auto"/>
          </w:divBdr>
          <w:divsChild>
            <w:div w:id="1912350400">
              <w:marLeft w:val="0"/>
              <w:marRight w:val="0"/>
              <w:marTop w:val="0"/>
              <w:marBottom w:val="0"/>
              <w:divBdr>
                <w:top w:val="none" w:sz="0" w:space="0" w:color="auto"/>
                <w:left w:val="none" w:sz="0" w:space="0" w:color="auto"/>
                <w:bottom w:val="none" w:sz="0" w:space="0" w:color="auto"/>
                <w:right w:val="none" w:sz="0" w:space="0" w:color="auto"/>
              </w:divBdr>
              <w:divsChild>
                <w:div w:id="1283154593">
                  <w:marLeft w:val="0"/>
                  <w:marRight w:val="0"/>
                  <w:marTop w:val="0"/>
                  <w:marBottom w:val="0"/>
                  <w:divBdr>
                    <w:top w:val="none" w:sz="0" w:space="0" w:color="auto"/>
                    <w:left w:val="none" w:sz="0" w:space="0" w:color="auto"/>
                    <w:bottom w:val="none" w:sz="0" w:space="0" w:color="auto"/>
                    <w:right w:val="none" w:sz="0" w:space="0" w:color="auto"/>
                  </w:divBdr>
                  <w:divsChild>
                    <w:div w:id="560365485">
                      <w:marLeft w:val="0"/>
                      <w:marRight w:val="0"/>
                      <w:marTop w:val="0"/>
                      <w:marBottom w:val="0"/>
                      <w:divBdr>
                        <w:top w:val="none" w:sz="0" w:space="0" w:color="auto"/>
                        <w:left w:val="none" w:sz="0" w:space="0" w:color="auto"/>
                        <w:bottom w:val="none" w:sz="0" w:space="0" w:color="auto"/>
                        <w:right w:val="none" w:sz="0" w:space="0" w:color="auto"/>
                      </w:divBdr>
                      <w:divsChild>
                        <w:div w:id="2145081685">
                          <w:marLeft w:val="0"/>
                          <w:marRight w:val="0"/>
                          <w:marTop w:val="0"/>
                          <w:marBottom w:val="0"/>
                          <w:divBdr>
                            <w:top w:val="none" w:sz="0" w:space="0" w:color="auto"/>
                            <w:left w:val="none" w:sz="0" w:space="0" w:color="auto"/>
                            <w:bottom w:val="none" w:sz="0" w:space="0" w:color="auto"/>
                            <w:right w:val="none" w:sz="0" w:space="0" w:color="auto"/>
                          </w:divBdr>
                          <w:divsChild>
                            <w:div w:id="1853445152">
                              <w:marLeft w:val="0"/>
                              <w:marRight w:val="0"/>
                              <w:marTop w:val="0"/>
                              <w:marBottom w:val="0"/>
                              <w:divBdr>
                                <w:top w:val="none" w:sz="0" w:space="0" w:color="auto"/>
                                <w:left w:val="none" w:sz="0" w:space="0" w:color="auto"/>
                                <w:bottom w:val="none" w:sz="0" w:space="0" w:color="auto"/>
                                <w:right w:val="none" w:sz="0" w:space="0" w:color="auto"/>
                              </w:divBdr>
                              <w:divsChild>
                                <w:div w:id="1283608811">
                                  <w:marLeft w:val="0"/>
                                  <w:marRight w:val="0"/>
                                  <w:marTop w:val="0"/>
                                  <w:marBottom w:val="0"/>
                                  <w:divBdr>
                                    <w:top w:val="none" w:sz="0" w:space="0" w:color="auto"/>
                                    <w:left w:val="none" w:sz="0" w:space="0" w:color="auto"/>
                                    <w:bottom w:val="none" w:sz="0" w:space="0" w:color="auto"/>
                                    <w:right w:val="none" w:sz="0" w:space="0" w:color="auto"/>
                                  </w:divBdr>
                                  <w:divsChild>
                                    <w:div w:id="956528924">
                                      <w:marLeft w:val="0"/>
                                      <w:marRight w:val="0"/>
                                      <w:marTop w:val="0"/>
                                      <w:marBottom w:val="0"/>
                                      <w:divBdr>
                                        <w:top w:val="none" w:sz="0" w:space="0" w:color="auto"/>
                                        <w:left w:val="none" w:sz="0" w:space="0" w:color="auto"/>
                                        <w:bottom w:val="none" w:sz="0" w:space="0" w:color="auto"/>
                                        <w:right w:val="none" w:sz="0" w:space="0" w:color="auto"/>
                                      </w:divBdr>
                                      <w:divsChild>
                                        <w:div w:id="12915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7715517">
          <w:marLeft w:val="0"/>
          <w:marRight w:val="0"/>
          <w:marTop w:val="0"/>
          <w:marBottom w:val="0"/>
          <w:divBdr>
            <w:top w:val="none" w:sz="0" w:space="0" w:color="auto"/>
            <w:left w:val="none" w:sz="0" w:space="0" w:color="auto"/>
            <w:bottom w:val="none" w:sz="0" w:space="0" w:color="auto"/>
            <w:right w:val="none" w:sz="0" w:space="0" w:color="auto"/>
          </w:divBdr>
          <w:divsChild>
            <w:div w:id="1825202210">
              <w:marLeft w:val="0"/>
              <w:marRight w:val="0"/>
              <w:marTop w:val="0"/>
              <w:marBottom w:val="0"/>
              <w:divBdr>
                <w:top w:val="none" w:sz="0" w:space="0" w:color="auto"/>
                <w:left w:val="none" w:sz="0" w:space="0" w:color="auto"/>
                <w:bottom w:val="none" w:sz="0" w:space="0" w:color="auto"/>
                <w:right w:val="none" w:sz="0" w:space="0" w:color="auto"/>
              </w:divBdr>
              <w:divsChild>
                <w:div w:id="462818174">
                  <w:marLeft w:val="0"/>
                  <w:marRight w:val="0"/>
                  <w:marTop w:val="0"/>
                  <w:marBottom w:val="0"/>
                  <w:divBdr>
                    <w:top w:val="none" w:sz="0" w:space="0" w:color="auto"/>
                    <w:left w:val="none" w:sz="0" w:space="0" w:color="auto"/>
                    <w:bottom w:val="none" w:sz="0" w:space="0" w:color="auto"/>
                    <w:right w:val="none" w:sz="0" w:space="0" w:color="auto"/>
                  </w:divBdr>
                  <w:divsChild>
                    <w:div w:id="99036878">
                      <w:marLeft w:val="0"/>
                      <w:marRight w:val="0"/>
                      <w:marTop w:val="0"/>
                      <w:marBottom w:val="0"/>
                      <w:divBdr>
                        <w:top w:val="none" w:sz="0" w:space="0" w:color="auto"/>
                        <w:left w:val="none" w:sz="0" w:space="0" w:color="auto"/>
                        <w:bottom w:val="none" w:sz="0" w:space="0" w:color="auto"/>
                        <w:right w:val="none" w:sz="0" w:space="0" w:color="auto"/>
                      </w:divBdr>
                      <w:divsChild>
                        <w:div w:id="1114255210">
                          <w:marLeft w:val="0"/>
                          <w:marRight w:val="0"/>
                          <w:marTop w:val="0"/>
                          <w:marBottom w:val="0"/>
                          <w:divBdr>
                            <w:top w:val="none" w:sz="0" w:space="0" w:color="auto"/>
                            <w:left w:val="none" w:sz="0" w:space="0" w:color="auto"/>
                            <w:bottom w:val="none" w:sz="0" w:space="0" w:color="auto"/>
                            <w:right w:val="none" w:sz="0" w:space="0" w:color="auto"/>
                          </w:divBdr>
                          <w:divsChild>
                            <w:div w:id="1377314774">
                              <w:marLeft w:val="0"/>
                              <w:marRight w:val="0"/>
                              <w:marTop w:val="0"/>
                              <w:marBottom w:val="0"/>
                              <w:divBdr>
                                <w:top w:val="none" w:sz="0" w:space="0" w:color="auto"/>
                                <w:left w:val="none" w:sz="0" w:space="0" w:color="auto"/>
                                <w:bottom w:val="none" w:sz="0" w:space="0" w:color="auto"/>
                                <w:right w:val="none" w:sz="0" w:space="0" w:color="auto"/>
                              </w:divBdr>
                              <w:divsChild>
                                <w:div w:id="1391541648">
                                  <w:marLeft w:val="0"/>
                                  <w:marRight w:val="0"/>
                                  <w:marTop w:val="0"/>
                                  <w:marBottom w:val="0"/>
                                  <w:divBdr>
                                    <w:top w:val="none" w:sz="0" w:space="0" w:color="auto"/>
                                    <w:left w:val="none" w:sz="0" w:space="0" w:color="auto"/>
                                    <w:bottom w:val="none" w:sz="0" w:space="0" w:color="auto"/>
                                    <w:right w:val="none" w:sz="0" w:space="0" w:color="auto"/>
                                  </w:divBdr>
                                  <w:divsChild>
                                    <w:div w:id="1497764280">
                                      <w:marLeft w:val="0"/>
                                      <w:marRight w:val="0"/>
                                      <w:marTop w:val="0"/>
                                      <w:marBottom w:val="0"/>
                                      <w:divBdr>
                                        <w:top w:val="none" w:sz="0" w:space="0" w:color="auto"/>
                                        <w:left w:val="none" w:sz="0" w:space="0" w:color="auto"/>
                                        <w:bottom w:val="none" w:sz="0" w:space="0" w:color="auto"/>
                                        <w:right w:val="none" w:sz="0" w:space="0" w:color="auto"/>
                                      </w:divBdr>
                                      <w:divsChild>
                                        <w:div w:id="40889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9605381">
          <w:marLeft w:val="0"/>
          <w:marRight w:val="0"/>
          <w:marTop w:val="0"/>
          <w:marBottom w:val="0"/>
          <w:divBdr>
            <w:top w:val="none" w:sz="0" w:space="0" w:color="auto"/>
            <w:left w:val="none" w:sz="0" w:space="0" w:color="auto"/>
            <w:bottom w:val="none" w:sz="0" w:space="0" w:color="auto"/>
            <w:right w:val="none" w:sz="0" w:space="0" w:color="auto"/>
          </w:divBdr>
          <w:divsChild>
            <w:div w:id="1055815619">
              <w:marLeft w:val="0"/>
              <w:marRight w:val="0"/>
              <w:marTop w:val="0"/>
              <w:marBottom w:val="0"/>
              <w:divBdr>
                <w:top w:val="none" w:sz="0" w:space="0" w:color="auto"/>
                <w:left w:val="none" w:sz="0" w:space="0" w:color="auto"/>
                <w:bottom w:val="none" w:sz="0" w:space="0" w:color="auto"/>
                <w:right w:val="none" w:sz="0" w:space="0" w:color="auto"/>
              </w:divBdr>
              <w:divsChild>
                <w:div w:id="926501117">
                  <w:marLeft w:val="0"/>
                  <w:marRight w:val="0"/>
                  <w:marTop w:val="0"/>
                  <w:marBottom w:val="0"/>
                  <w:divBdr>
                    <w:top w:val="none" w:sz="0" w:space="0" w:color="auto"/>
                    <w:left w:val="none" w:sz="0" w:space="0" w:color="auto"/>
                    <w:bottom w:val="none" w:sz="0" w:space="0" w:color="auto"/>
                    <w:right w:val="none" w:sz="0" w:space="0" w:color="auto"/>
                  </w:divBdr>
                  <w:divsChild>
                    <w:div w:id="2132043901">
                      <w:marLeft w:val="0"/>
                      <w:marRight w:val="0"/>
                      <w:marTop w:val="0"/>
                      <w:marBottom w:val="0"/>
                      <w:divBdr>
                        <w:top w:val="none" w:sz="0" w:space="0" w:color="auto"/>
                        <w:left w:val="none" w:sz="0" w:space="0" w:color="auto"/>
                        <w:bottom w:val="none" w:sz="0" w:space="0" w:color="auto"/>
                        <w:right w:val="none" w:sz="0" w:space="0" w:color="auto"/>
                      </w:divBdr>
                      <w:divsChild>
                        <w:div w:id="943422252">
                          <w:marLeft w:val="0"/>
                          <w:marRight w:val="0"/>
                          <w:marTop w:val="0"/>
                          <w:marBottom w:val="0"/>
                          <w:divBdr>
                            <w:top w:val="none" w:sz="0" w:space="0" w:color="auto"/>
                            <w:left w:val="none" w:sz="0" w:space="0" w:color="auto"/>
                            <w:bottom w:val="none" w:sz="0" w:space="0" w:color="auto"/>
                            <w:right w:val="none" w:sz="0" w:space="0" w:color="auto"/>
                          </w:divBdr>
                          <w:divsChild>
                            <w:div w:id="1502888162">
                              <w:marLeft w:val="0"/>
                              <w:marRight w:val="0"/>
                              <w:marTop w:val="0"/>
                              <w:marBottom w:val="0"/>
                              <w:divBdr>
                                <w:top w:val="none" w:sz="0" w:space="0" w:color="auto"/>
                                <w:left w:val="none" w:sz="0" w:space="0" w:color="auto"/>
                                <w:bottom w:val="none" w:sz="0" w:space="0" w:color="auto"/>
                                <w:right w:val="none" w:sz="0" w:space="0" w:color="auto"/>
                              </w:divBdr>
                              <w:divsChild>
                                <w:div w:id="1765497538">
                                  <w:marLeft w:val="0"/>
                                  <w:marRight w:val="0"/>
                                  <w:marTop w:val="0"/>
                                  <w:marBottom w:val="0"/>
                                  <w:divBdr>
                                    <w:top w:val="none" w:sz="0" w:space="0" w:color="auto"/>
                                    <w:left w:val="none" w:sz="0" w:space="0" w:color="auto"/>
                                    <w:bottom w:val="none" w:sz="0" w:space="0" w:color="auto"/>
                                    <w:right w:val="none" w:sz="0" w:space="0" w:color="auto"/>
                                  </w:divBdr>
                                  <w:divsChild>
                                    <w:div w:id="1670400084">
                                      <w:marLeft w:val="0"/>
                                      <w:marRight w:val="0"/>
                                      <w:marTop w:val="0"/>
                                      <w:marBottom w:val="0"/>
                                      <w:divBdr>
                                        <w:top w:val="none" w:sz="0" w:space="0" w:color="auto"/>
                                        <w:left w:val="none" w:sz="0" w:space="0" w:color="auto"/>
                                        <w:bottom w:val="none" w:sz="0" w:space="0" w:color="auto"/>
                                        <w:right w:val="none" w:sz="0" w:space="0" w:color="auto"/>
                                      </w:divBdr>
                                      <w:divsChild>
                                        <w:div w:id="100390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8925551">
          <w:marLeft w:val="0"/>
          <w:marRight w:val="0"/>
          <w:marTop w:val="0"/>
          <w:marBottom w:val="0"/>
          <w:divBdr>
            <w:top w:val="none" w:sz="0" w:space="0" w:color="auto"/>
            <w:left w:val="none" w:sz="0" w:space="0" w:color="auto"/>
            <w:bottom w:val="none" w:sz="0" w:space="0" w:color="auto"/>
            <w:right w:val="none" w:sz="0" w:space="0" w:color="auto"/>
          </w:divBdr>
          <w:divsChild>
            <w:div w:id="1610312782">
              <w:marLeft w:val="0"/>
              <w:marRight w:val="0"/>
              <w:marTop w:val="0"/>
              <w:marBottom w:val="0"/>
              <w:divBdr>
                <w:top w:val="none" w:sz="0" w:space="0" w:color="auto"/>
                <w:left w:val="none" w:sz="0" w:space="0" w:color="auto"/>
                <w:bottom w:val="none" w:sz="0" w:space="0" w:color="auto"/>
                <w:right w:val="none" w:sz="0" w:space="0" w:color="auto"/>
              </w:divBdr>
              <w:divsChild>
                <w:div w:id="1260135756">
                  <w:marLeft w:val="0"/>
                  <w:marRight w:val="0"/>
                  <w:marTop w:val="0"/>
                  <w:marBottom w:val="0"/>
                  <w:divBdr>
                    <w:top w:val="none" w:sz="0" w:space="0" w:color="auto"/>
                    <w:left w:val="none" w:sz="0" w:space="0" w:color="auto"/>
                    <w:bottom w:val="none" w:sz="0" w:space="0" w:color="auto"/>
                    <w:right w:val="none" w:sz="0" w:space="0" w:color="auto"/>
                  </w:divBdr>
                  <w:divsChild>
                    <w:div w:id="2086755003">
                      <w:marLeft w:val="0"/>
                      <w:marRight w:val="0"/>
                      <w:marTop w:val="0"/>
                      <w:marBottom w:val="0"/>
                      <w:divBdr>
                        <w:top w:val="none" w:sz="0" w:space="0" w:color="auto"/>
                        <w:left w:val="none" w:sz="0" w:space="0" w:color="auto"/>
                        <w:bottom w:val="none" w:sz="0" w:space="0" w:color="auto"/>
                        <w:right w:val="none" w:sz="0" w:space="0" w:color="auto"/>
                      </w:divBdr>
                      <w:divsChild>
                        <w:div w:id="1279994743">
                          <w:marLeft w:val="0"/>
                          <w:marRight w:val="0"/>
                          <w:marTop w:val="0"/>
                          <w:marBottom w:val="0"/>
                          <w:divBdr>
                            <w:top w:val="none" w:sz="0" w:space="0" w:color="auto"/>
                            <w:left w:val="none" w:sz="0" w:space="0" w:color="auto"/>
                            <w:bottom w:val="none" w:sz="0" w:space="0" w:color="auto"/>
                            <w:right w:val="none" w:sz="0" w:space="0" w:color="auto"/>
                          </w:divBdr>
                          <w:divsChild>
                            <w:div w:id="462042308">
                              <w:marLeft w:val="0"/>
                              <w:marRight w:val="0"/>
                              <w:marTop w:val="0"/>
                              <w:marBottom w:val="0"/>
                              <w:divBdr>
                                <w:top w:val="none" w:sz="0" w:space="0" w:color="auto"/>
                                <w:left w:val="none" w:sz="0" w:space="0" w:color="auto"/>
                                <w:bottom w:val="none" w:sz="0" w:space="0" w:color="auto"/>
                                <w:right w:val="none" w:sz="0" w:space="0" w:color="auto"/>
                              </w:divBdr>
                              <w:divsChild>
                                <w:div w:id="2095130804">
                                  <w:marLeft w:val="0"/>
                                  <w:marRight w:val="0"/>
                                  <w:marTop w:val="0"/>
                                  <w:marBottom w:val="0"/>
                                  <w:divBdr>
                                    <w:top w:val="none" w:sz="0" w:space="0" w:color="auto"/>
                                    <w:left w:val="none" w:sz="0" w:space="0" w:color="auto"/>
                                    <w:bottom w:val="none" w:sz="0" w:space="0" w:color="auto"/>
                                    <w:right w:val="none" w:sz="0" w:space="0" w:color="auto"/>
                                  </w:divBdr>
                                  <w:divsChild>
                                    <w:div w:id="819617722">
                                      <w:marLeft w:val="0"/>
                                      <w:marRight w:val="0"/>
                                      <w:marTop w:val="0"/>
                                      <w:marBottom w:val="0"/>
                                      <w:divBdr>
                                        <w:top w:val="none" w:sz="0" w:space="0" w:color="auto"/>
                                        <w:left w:val="none" w:sz="0" w:space="0" w:color="auto"/>
                                        <w:bottom w:val="none" w:sz="0" w:space="0" w:color="auto"/>
                                        <w:right w:val="none" w:sz="0" w:space="0" w:color="auto"/>
                                      </w:divBdr>
                                      <w:divsChild>
                                        <w:div w:id="208892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1225438">
          <w:marLeft w:val="0"/>
          <w:marRight w:val="0"/>
          <w:marTop w:val="0"/>
          <w:marBottom w:val="0"/>
          <w:divBdr>
            <w:top w:val="none" w:sz="0" w:space="0" w:color="auto"/>
            <w:left w:val="none" w:sz="0" w:space="0" w:color="auto"/>
            <w:bottom w:val="none" w:sz="0" w:space="0" w:color="auto"/>
            <w:right w:val="none" w:sz="0" w:space="0" w:color="auto"/>
          </w:divBdr>
          <w:divsChild>
            <w:div w:id="2081170836">
              <w:marLeft w:val="0"/>
              <w:marRight w:val="0"/>
              <w:marTop w:val="0"/>
              <w:marBottom w:val="0"/>
              <w:divBdr>
                <w:top w:val="none" w:sz="0" w:space="0" w:color="auto"/>
                <w:left w:val="none" w:sz="0" w:space="0" w:color="auto"/>
                <w:bottom w:val="none" w:sz="0" w:space="0" w:color="auto"/>
                <w:right w:val="none" w:sz="0" w:space="0" w:color="auto"/>
              </w:divBdr>
              <w:divsChild>
                <w:div w:id="1494955645">
                  <w:marLeft w:val="0"/>
                  <w:marRight w:val="0"/>
                  <w:marTop w:val="0"/>
                  <w:marBottom w:val="0"/>
                  <w:divBdr>
                    <w:top w:val="none" w:sz="0" w:space="0" w:color="auto"/>
                    <w:left w:val="none" w:sz="0" w:space="0" w:color="auto"/>
                    <w:bottom w:val="none" w:sz="0" w:space="0" w:color="auto"/>
                    <w:right w:val="none" w:sz="0" w:space="0" w:color="auto"/>
                  </w:divBdr>
                  <w:divsChild>
                    <w:div w:id="737900535">
                      <w:marLeft w:val="0"/>
                      <w:marRight w:val="0"/>
                      <w:marTop w:val="0"/>
                      <w:marBottom w:val="0"/>
                      <w:divBdr>
                        <w:top w:val="none" w:sz="0" w:space="0" w:color="auto"/>
                        <w:left w:val="none" w:sz="0" w:space="0" w:color="auto"/>
                        <w:bottom w:val="none" w:sz="0" w:space="0" w:color="auto"/>
                        <w:right w:val="none" w:sz="0" w:space="0" w:color="auto"/>
                      </w:divBdr>
                      <w:divsChild>
                        <w:div w:id="583686174">
                          <w:marLeft w:val="0"/>
                          <w:marRight w:val="0"/>
                          <w:marTop w:val="0"/>
                          <w:marBottom w:val="0"/>
                          <w:divBdr>
                            <w:top w:val="none" w:sz="0" w:space="0" w:color="auto"/>
                            <w:left w:val="none" w:sz="0" w:space="0" w:color="auto"/>
                            <w:bottom w:val="none" w:sz="0" w:space="0" w:color="auto"/>
                            <w:right w:val="none" w:sz="0" w:space="0" w:color="auto"/>
                          </w:divBdr>
                          <w:divsChild>
                            <w:div w:id="430049652">
                              <w:marLeft w:val="0"/>
                              <w:marRight w:val="0"/>
                              <w:marTop w:val="0"/>
                              <w:marBottom w:val="0"/>
                              <w:divBdr>
                                <w:top w:val="none" w:sz="0" w:space="0" w:color="auto"/>
                                <w:left w:val="none" w:sz="0" w:space="0" w:color="auto"/>
                                <w:bottom w:val="none" w:sz="0" w:space="0" w:color="auto"/>
                                <w:right w:val="none" w:sz="0" w:space="0" w:color="auto"/>
                              </w:divBdr>
                              <w:divsChild>
                                <w:div w:id="898175271">
                                  <w:marLeft w:val="0"/>
                                  <w:marRight w:val="0"/>
                                  <w:marTop w:val="0"/>
                                  <w:marBottom w:val="0"/>
                                  <w:divBdr>
                                    <w:top w:val="none" w:sz="0" w:space="0" w:color="auto"/>
                                    <w:left w:val="none" w:sz="0" w:space="0" w:color="auto"/>
                                    <w:bottom w:val="none" w:sz="0" w:space="0" w:color="auto"/>
                                    <w:right w:val="none" w:sz="0" w:space="0" w:color="auto"/>
                                  </w:divBdr>
                                  <w:divsChild>
                                    <w:div w:id="1562709488">
                                      <w:marLeft w:val="0"/>
                                      <w:marRight w:val="0"/>
                                      <w:marTop w:val="0"/>
                                      <w:marBottom w:val="0"/>
                                      <w:divBdr>
                                        <w:top w:val="none" w:sz="0" w:space="0" w:color="auto"/>
                                        <w:left w:val="none" w:sz="0" w:space="0" w:color="auto"/>
                                        <w:bottom w:val="none" w:sz="0" w:space="0" w:color="auto"/>
                                        <w:right w:val="none" w:sz="0" w:space="0" w:color="auto"/>
                                      </w:divBdr>
                                      <w:divsChild>
                                        <w:div w:id="150932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5002893">
          <w:marLeft w:val="0"/>
          <w:marRight w:val="0"/>
          <w:marTop w:val="0"/>
          <w:marBottom w:val="0"/>
          <w:divBdr>
            <w:top w:val="none" w:sz="0" w:space="0" w:color="auto"/>
            <w:left w:val="none" w:sz="0" w:space="0" w:color="auto"/>
            <w:bottom w:val="none" w:sz="0" w:space="0" w:color="auto"/>
            <w:right w:val="none" w:sz="0" w:space="0" w:color="auto"/>
          </w:divBdr>
          <w:divsChild>
            <w:div w:id="1324627045">
              <w:marLeft w:val="0"/>
              <w:marRight w:val="0"/>
              <w:marTop w:val="0"/>
              <w:marBottom w:val="0"/>
              <w:divBdr>
                <w:top w:val="none" w:sz="0" w:space="0" w:color="auto"/>
                <w:left w:val="none" w:sz="0" w:space="0" w:color="auto"/>
                <w:bottom w:val="none" w:sz="0" w:space="0" w:color="auto"/>
                <w:right w:val="none" w:sz="0" w:space="0" w:color="auto"/>
              </w:divBdr>
              <w:divsChild>
                <w:div w:id="1628777067">
                  <w:marLeft w:val="0"/>
                  <w:marRight w:val="0"/>
                  <w:marTop w:val="0"/>
                  <w:marBottom w:val="0"/>
                  <w:divBdr>
                    <w:top w:val="none" w:sz="0" w:space="0" w:color="auto"/>
                    <w:left w:val="none" w:sz="0" w:space="0" w:color="auto"/>
                    <w:bottom w:val="none" w:sz="0" w:space="0" w:color="auto"/>
                    <w:right w:val="none" w:sz="0" w:space="0" w:color="auto"/>
                  </w:divBdr>
                  <w:divsChild>
                    <w:div w:id="436675545">
                      <w:marLeft w:val="0"/>
                      <w:marRight w:val="0"/>
                      <w:marTop w:val="0"/>
                      <w:marBottom w:val="0"/>
                      <w:divBdr>
                        <w:top w:val="none" w:sz="0" w:space="0" w:color="auto"/>
                        <w:left w:val="none" w:sz="0" w:space="0" w:color="auto"/>
                        <w:bottom w:val="none" w:sz="0" w:space="0" w:color="auto"/>
                        <w:right w:val="none" w:sz="0" w:space="0" w:color="auto"/>
                      </w:divBdr>
                      <w:divsChild>
                        <w:div w:id="1718431157">
                          <w:marLeft w:val="0"/>
                          <w:marRight w:val="0"/>
                          <w:marTop w:val="0"/>
                          <w:marBottom w:val="0"/>
                          <w:divBdr>
                            <w:top w:val="none" w:sz="0" w:space="0" w:color="auto"/>
                            <w:left w:val="none" w:sz="0" w:space="0" w:color="auto"/>
                            <w:bottom w:val="none" w:sz="0" w:space="0" w:color="auto"/>
                            <w:right w:val="none" w:sz="0" w:space="0" w:color="auto"/>
                          </w:divBdr>
                          <w:divsChild>
                            <w:div w:id="781804223">
                              <w:marLeft w:val="0"/>
                              <w:marRight w:val="0"/>
                              <w:marTop w:val="0"/>
                              <w:marBottom w:val="0"/>
                              <w:divBdr>
                                <w:top w:val="none" w:sz="0" w:space="0" w:color="auto"/>
                                <w:left w:val="none" w:sz="0" w:space="0" w:color="auto"/>
                                <w:bottom w:val="none" w:sz="0" w:space="0" w:color="auto"/>
                                <w:right w:val="none" w:sz="0" w:space="0" w:color="auto"/>
                              </w:divBdr>
                              <w:divsChild>
                                <w:div w:id="647051673">
                                  <w:marLeft w:val="0"/>
                                  <w:marRight w:val="0"/>
                                  <w:marTop w:val="0"/>
                                  <w:marBottom w:val="0"/>
                                  <w:divBdr>
                                    <w:top w:val="none" w:sz="0" w:space="0" w:color="auto"/>
                                    <w:left w:val="none" w:sz="0" w:space="0" w:color="auto"/>
                                    <w:bottom w:val="none" w:sz="0" w:space="0" w:color="auto"/>
                                    <w:right w:val="none" w:sz="0" w:space="0" w:color="auto"/>
                                  </w:divBdr>
                                  <w:divsChild>
                                    <w:div w:id="1541824423">
                                      <w:marLeft w:val="0"/>
                                      <w:marRight w:val="0"/>
                                      <w:marTop w:val="0"/>
                                      <w:marBottom w:val="0"/>
                                      <w:divBdr>
                                        <w:top w:val="none" w:sz="0" w:space="0" w:color="auto"/>
                                        <w:left w:val="none" w:sz="0" w:space="0" w:color="auto"/>
                                        <w:bottom w:val="none" w:sz="0" w:space="0" w:color="auto"/>
                                        <w:right w:val="none" w:sz="0" w:space="0" w:color="auto"/>
                                      </w:divBdr>
                                      <w:divsChild>
                                        <w:div w:id="151599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1407649">
          <w:marLeft w:val="0"/>
          <w:marRight w:val="0"/>
          <w:marTop w:val="0"/>
          <w:marBottom w:val="0"/>
          <w:divBdr>
            <w:top w:val="none" w:sz="0" w:space="0" w:color="auto"/>
            <w:left w:val="none" w:sz="0" w:space="0" w:color="auto"/>
            <w:bottom w:val="none" w:sz="0" w:space="0" w:color="auto"/>
            <w:right w:val="none" w:sz="0" w:space="0" w:color="auto"/>
          </w:divBdr>
          <w:divsChild>
            <w:div w:id="2146463186">
              <w:marLeft w:val="0"/>
              <w:marRight w:val="0"/>
              <w:marTop w:val="0"/>
              <w:marBottom w:val="0"/>
              <w:divBdr>
                <w:top w:val="none" w:sz="0" w:space="0" w:color="auto"/>
                <w:left w:val="none" w:sz="0" w:space="0" w:color="auto"/>
                <w:bottom w:val="none" w:sz="0" w:space="0" w:color="auto"/>
                <w:right w:val="none" w:sz="0" w:space="0" w:color="auto"/>
              </w:divBdr>
              <w:divsChild>
                <w:div w:id="1656954682">
                  <w:marLeft w:val="0"/>
                  <w:marRight w:val="0"/>
                  <w:marTop w:val="0"/>
                  <w:marBottom w:val="0"/>
                  <w:divBdr>
                    <w:top w:val="none" w:sz="0" w:space="0" w:color="auto"/>
                    <w:left w:val="none" w:sz="0" w:space="0" w:color="auto"/>
                    <w:bottom w:val="none" w:sz="0" w:space="0" w:color="auto"/>
                    <w:right w:val="none" w:sz="0" w:space="0" w:color="auto"/>
                  </w:divBdr>
                  <w:divsChild>
                    <w:div w:id="1640332846">
                      <w:marLeft w:val="0"/>
                      <w:marRight w:val="0"/>
                      <w:marTop w:val="0"/>
                      <w:marBottom w:val="0"/>
                      <w:divBdr>
                        <w:top w:val="none" w:sz="0" w:space="0" w:color="auto"/>
                        <w:left w:val="none" w:sz="0" w:space="0" w:color="auto"/>
                        <w:bottom w:val="none" w:sz="0" w:space="0" w:color="auto"/>
                        <w:right w:val="none" w:sz="0" w:space="0" w:color="auto"/>
                      </w:divBdr>
                      <w:divsChild>
                        <w:div w:id="932008741">
                          <w:marLeft w:val="0"/>
                          <w:marRight w:val="0"/>
                          <w:marTop w:val="0"/>
                          <w:marBottom w:val="0"/>
                          <w:divBdr>
                            <w:top w:val="none" w:sz="0" w:space="0" w:color="auto"/>
                            <w:left w:val="none" w:sz="0" w:space="0" w:color="auto"/>
                            <w:bottom w:val="none" w:sz="0" w:space="0" w:color="auto"/>
                            <w:right w:val="none" w:sz="0" w:space="0" w:color="auto"/>
                          </w:divBdr>
                          <w:divsChild>
                            <w:div w:id="375273951">
                              <w:marLeft w:val="0"/>
                              <w:marRight w:val="0"/>
                              <w:marTop w:val="0"/>
                              <w:marBottom w:val="0"/>
                              <w:divBdr>
                                <w:top w:val="none" w:sz="0" w:space="0" w:color="auto"/>
                                <w:left w:val="none" w:sz="0" w:space="0" w:color="auto"/>
                                <w:bottom w:val="none" w:sz="0" w:space="0" w:color="auto"/>
                                <w:right w:val="none" w:sz="0" w:space="0" w:color="auto"/>
                              </w:divBdr>
                              <w:divsChild>
                                <w:div w:id="2110004787">
                                  <w:marLeft w:val="0"/>
                                  <w:marRight w:val="0"/>
                                  <w:marTop w:val="0"/>
                                  <w:marBottom w:val="0"/>
                                  <w:divBdr>
                                    <w:top w:val="none" w:sz="0" w:space="0" w:color="auto"/>
                                    <w:left w:val="none" w:sz="0" w:space="0" w:color="auto"/>
                                    <w:bottom w:val="none" w:sz="0" w:space="0" w:color="auto"/>
                                    <w:right w:val="none" w:sz="0" w:space="0" w:color="auto"/>
                                  </w:divBdr>
                                  <w:divsChild>
                                    <w:div w:id="984356388">
                                      <w:marLeft w:val="0"/>
                                      <w:marRight w:val="0"/>
                                      <w:marTop w:val="0"/>
                                      <w:marBottom w:val="0"/>
                                      <w:divBdr>
                                        <w:top w:val="none" w:sz="0" w:space="0" w:color="auto"/>
                                        <w:left w:val="none" w:sz="0" w:space="0" w:color="auto"/>
                                        <w:bottom w:val="none" w:sz="0" w:space="0" w:color="auto"/>
                                        <w:right w:val="none" w:sz="0" w:space="0" w:color="auto"/>
                                      </w:divBdr>
                                      <w:divsChild>
                                        <w:div w:id="4973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4916584">
          <w:marLeft w:val="0"/>
          <w:marRight w:val="0"/>
          <w:marTop w:val="0"/>
          <w:marBottom w:val="0"/>
          <w:divBdr>
            <w:top w:val="none" w:sz="0" w:space="0" w:color="auto"/>
            <w:left w:val="none" w:sz="0" w:space="0" w:color="auto"/>
            <w:bottom w:val="none" w:sz="0" w:space="0" w:color="auto"/>
            <w:right w:val="none" w:sz="0" w:space="0" w:color="auto"/>
          </w:divBdr>
          <w:divsChild>
            <w:div w:id="922033486">
              <w:marLeft w:val="0"/>
              <w:marRight w:val="0"/>
              <w:marTop w:val="0"/>
              <w:marBottom w:val="0"/>
              <w:divBdr>
                <w:top w:val="none" w:sz="0" w:space="0" w:color="auto"/>
                <w:left w:val="none" w:sz="0" w:space="0" w:color="auto"/>
                <w:bottom w:val="none" w:sz="0" w:space="0" w:color="auto"/>
                <w:right w:val="none" w:sz="0" w:space="0" w:color="auto"/>
              </w:divBdr>
              <w:divsChild>
                <w:div w:id="967323063">
                  <w:marLeft w:val="0"/>
                  <w:marRight w:val="0"/>
                  <w:marTop w:val="0"/>
                  <w:marBottom w:val="0"/>
                  <w:divBdr>
                    <w:top w:val="none" w:sz="0" w:space="0" w:color="auto"/>
                    <w:left w:val="none" w:sz="0" w:space="0" w:color="auto"/>
                    <w:bottom w:val="none" w:sz="0" w:space="0" w:color="auto"/>
                    <w:right w:val="none" w:sz="0" w:space="0" w:color="auto"/>
                  </w:divBdr>
                  <w:divsChild>
                    <w:div w:id="1859923432">
                      <w:marLeft w:val="0"/>
                      <w:marRight w:val="0"/>
                      <w:marTop w:val="0"/>
                      <w:marBottom w:val="0"/>
                      <w:divBdr>
                        <w:top w:val="none" w:sz="0" w:space="0" w:color="auto"/>
                        <w:left w:val="none" w:sz="0" w:space="0" w:color="auto"/>
                        <w:bottom w:val="none" w:sz="0" w:space="0" w:color="auto"/>
                        <w:right w:val="none" w:sz="0" w:space="0" w:color="auto"/>
                      </w:divBdr>
                      <w:divsChild>
                        <w:div w:id="522596145">
                          <w:marLeft w:val="0"/>
                          <w:marRight w:val="0"/>
                          <w:marTop w:val="0"/>
                          <w:marBottom w:val="0"/>
                          <w:divBdr>
                            <w:top w:val="none" w:sz="0" w:space="0" w:color="auto"/>
                            <w:left w:val="none" w:sz="0" w:space="0" w:color="auto"/>
                            <w:bottom w:val="none" w:sz="0" w:space="0" w:color="auto"/>
                            <w:right w:val="none" w:sz="0" w:space="0" w:color="auto"/>
                          </w:divBdr>
                          <w:divsChild>
                            <w:div w:id="23557492">
                              <w:marLeft w:val="0"/>
                              <w:marRight w:val="0"/>
                              <w:marTop w:val="0"/>
                              <w:marBottom w:val="0"/>
                              <w:divBdr>
                                <w:top w:val="none" w:sz="0" w:space="0" w:color="auto"/>
                                <w:left w:val="none" w:sz="0" w:space="0" w:color="auto"/>
                                <w:bottom w:val="none" w:sz="0" w:space="0" w:color="auto"/>
                                <w:right w:val="none" w:sz="0" w:space="0" w:color="auto"/>
                              </w:divBdr>
                              <w:divsChild>
                                <w:div w:id="121596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976534">
                  <w:marLeft w:val="0"/>
                  <w:marRight w:val="0"/>
                  <w:marTop w:val="0"/>
                  <w:marBottom w:val="0"/>
                  <w:divBdr>
                    <w:top w:val="none" w:sz="0" w:space="0" w:color="auto"/>
                    <w:left w:val="none" w:sz="0" w:space="0" w:color="auto"/>
                    <w:bottom w:val="none" w:sz="0" w:space="0" w:color="auto"/>
                    <w:right w:val="none" w:sz="0" w:space="0" w:color="auto"/>
                  </w:divBdr>
                  <w:divsChild>
                    <w:div w:id="1967469474">
                      <w:marLeft w:val="0"/>
                      <w:marRight w:val="0"/>
                      <w:marTop w:val="0"/>
                      <w:marBottom w:val="0"/>
                      <w:divBdr>
                        <w:top w:val="none" w:sz="0" w:space="0" w:color="auto"/>
                        <w:left w:val="none" w:sz="0" w:space="0" w:color="auto"/>
                        <w:bottom w:val="none" w:sz="0" w:space="0" w:color="auto"/>
                        <w:right w:val="none" w:sz="0" w:space="0" w:color="auto"/>
                      </w:divBdr>
                      <w:divsChild>
                        <w:div w:id="561647346">
                          <w:marLeft w:val="0"/>
                          <w:marRight w:val="0"/>
                          <w:marTop w:val="0"/>
                          <w:marBottom w:val="0"/>
                          <w:divBdr>
                            <w:top w:val="none" w:sz="0" w:space="0" w:color="auto"/>
                            <w:left w:val="none" w:sz="0" w:space="0" w:color="auto"/>
                            <w:bottom w:val="none" w:sz="0" w:space="0" w:color="auto"/>
                            <w:right w:val="none" w:sz="0" w:space="0" w:color="auto"/>
                          </w:divBdr>
                          <w:divsChild>
                            <w:div w:id="1607736540">
                              <w:marLeft w:val="0"/>
                              <w:marRight w:val="0"/>
                              <w:marTop w:val="0"/>
                              <w:marBottom w:val="0"/>
                              <w:divBdr>
                                <w:top w:val="none" w:sz="0" w:space="0" w:color="auto"/>
                                <w:left w:val="none" w:sz="0" w:space="0" w:color="auto"/>
                                <w:bottom w:val="none" w:sz="0" w:space="0" w:color="auto"/>
                                <w:right w:val="none" w:sz="0" w:space="0" w:color="auto"/>
                              </w:divBdr>
                              <w:divsChild>
                                <w:div w:id="32729695">
                                  <w:marLeft w:val="0"/>
                                  <w:marRight w:val="0"/>
                                  <w:marTop w:val="0"/>
                                  <w:marBottom w:val="0"/>
                                  <w:divBdr>
                                    <w:top w:val="none" w:sz="0" w:space="0" w:color="auto"/>
                                    <w:left w:val="none" w:sz="0" w:space="0" w:color="auto"/>
                                    <w:bottom w:val="none" w:sz="0" w:space="0" w:color="auto"/>
                                    <w:right w:val="none" w:sz="0" w:space="0" w:color="auto"/>
                                  </w:divBdr>
                                  <w:divsChild>
                                    <w:div w:id="1401293925">
                                      <w:marLeft w:val="0"/>
                                      <w:marRight w:val="0"/>
                                      <w:marTop w:val="0"/>
                                      <w:marBottom w:val="0"/>
                                      <w:divBdr>
                                        <w:top w:val="none" w:sz="0" w:space="0" w:color="auto"/>
                                        <w:left w:val="none" w:sz="0" w:space="0" w:color="auto"/>
                                        <w:bottom w:val="none" w:sz="0" w:space="0" w:color="auto"/>
                                        <w:right w:val="none" w:sz="0" w:space="0" w:color="auto"/>
                                      </w:divBdr>
                                    </w:div>
                                  </w:divsChild>
                                </w:div>
                                <w:div w:id="1690713822">
                                  <w:marLeft w:val="0"/>
                                  <w:marRight w:val="0"/>
                                  <w:marTop w:val="0"/>
                                  <w:marBottom w:val="0"/>
                                  <w:divBdr>
                                    <w:top w:val="none" w:sz="0" w:space="0" w:color="auto"/>
                                    <w:left w:val="none" w:sz="0" w:space="0" w:color="auto"/>
                                    <w:bottom w:val="none" w:sz="0" w:space="0" w:color="auto"/>
                                    <w:right w:val="none" w:sz="0" w:space="0" w:color="auto"/>
                                  </w:divBdr>
                                  <w:divsChild>
                                    <w:div w:id="1134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299554">
                          <w:marLeft w:val="0"/>
                          <w:marRight w:val="0"/>
                          <w:marTop w:val="0"/>
                          <w:marBottom w:val="0"/>
                          <w:divBdr>
                            <w:top w:val="none" w:sz="0" w:space="0" w:color="auto"/>
                            <w:left w:val="none" w:sz="0" w:space="0" w:color="auto"/>
                            <w:bottom w:val="none" w:sz="0" w:space="0" w:color="auto"/>
                            <w:right w:val="none" w:sz="0" w:space="0" w:color="auto"/>
                          </w:divBdr>
                          <w:divsChild>
                            <w:div w:id="883443719">
                              <w:marLeft w:val="0"/>
                              <w:marRight w:val="0"/>
                              <w:marTop w:val="0"/>
                              <w:marBottom w:val="0"/>
                              <w:divBdr>
                                <w:top w:val="none" w:sz="0" w:space="0" w:color="auto"/>
                                <w:left w:val="none" w:sz="0" w:space="0" w:color="auto"/>
                                <w:bottom w:val="none" w:sz="0" w:space="0" w:color="auto"/>
                                <w:right w:val="none" w:sz="0" w:space="0" w:color="auto"/>
                              </w:divBdr>
                              <w:divsChild>
                                <w:div w:id="1799762001">
                                  <w:marLeft w:val="0"/>
                                  <w:marRight w:val="0"/>
                                  <w:marTop w:val="0"/>
                                  <w:marBottom w:val="0"/>
                                  <w:divBdr>
                                    <w:top w:val="none" w:sz="0" w:space="0" w:color="auto"/>
                                    <w:left w:val="none" w:sz="0" w:space="0" w:color="auto"/>
                                    <w:bottom w:val="none" w:sz="0" w:space="0" w:color="auto"/>
                                    <w:right w:val="none" w:sz="0" w:space="0" w:color="auto"/>
                                  </w:divBdr>
                                  <w:divsChild>
                                    <w:div w:id="149876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2536499">
          <w:marLeft w:val="0"/>
          <w:marRight w:val="0"/>
          <w:marTop w:val="0"/>
          <w:marBottom w:val="0"/>
          <w:divBdr>
            <w:top w:val="none" w:sz="0" w:space="0" w:color="auto"/>
            <w:left w:val="none" w:sz="0" w:space="0" w:color="auto"/>
            <w:bottom w:val="none" w:sz="0" w:space="0" w:color="auto"/>
            <w:right w:val="none" w:sz="0" w:space="0" w:color="auto"/>
          </w:divBdr>
          <w:divsChild>
            <w:div w:id="905843234">
              <w:marLeft w:val="0"/>
              <w:marRight w:val="0"/>
              <w:marTop w:val="0"/>
              <w:marBottom w:val="0"/>
              <w:divBdr>
                <w:top w:val="none" w:sz="0" w:space="0" w:color="auto"/>
                <w:left w:val="none" w:sz="0" w:space="0" w:color="auto"/>
                <w:bottom w:val="none" w:sz="0" w:space="0" w:color="auto"/>
                <w:right w:val="none" w:sz="0" w:space="0" w:color="auto"/>
              </w:divBdr>
              <w:divsChild>
                <w:div w:id="370495740">
                  <w:marLeft w:val="0"/>
                  <w:marRight w:val="0"/>
                  <w:marTop w:val="0"/>
                  <w:marBottom w:val="0"/>
                  <w:divBdr>
                    <w:top w:val="none" w:sz="0" w:space="0" w:color="auto"/>
                    <w:left w:val="none" w:sz="0" w:space="0" w:color="auto"/>
                    <w:bottom w:val="none" w:sz="0" w:space="0" w:color="auto"/>
                    <w:right w:val="none" w:sz="0" w:space="0" w:color="auto"/>
                  </w:divBdr>
                  <w:divsChild>
                    <w:div w:id="278803657">
                      <w:marLeft w:val="0"/>
                      <w:marRight w:val="0"/>
                      <w:marTop w:val="0"/>
                      <w:marBottom w:val="0"/>
                      <w:divBdr>
                        <w:top w:val="none" w:sz="0" w:space="0" w:color="auto"/>
                        <w:left w:val="none" w:sz="0" w:space="0" w:color="auto"/>
                        <w:bottom w:val="none" w:sz="0" w:space="0" w:color="auto"/>
                        <w:right w:val="none" w:sz="0" w:space="0" w:color="auto"/>
                      </w:divBdr>
                      <w:divsChild>
                        <w:div w:id="341903364">
                          <w:marLeft w:val="0"/>
                          <w:marRight w:val="0"/>
                          <w:marTop w:val="0"/>
                          <w:marBottom w:val="0"/>
                          <w:divBdr>
                            <w:top w:val="none" w:sz="0" w:space="0" w:color="auto"/>
                            <w:left w:val="none" w:sz="0" w:space="0" w:color="auto"/>
                            <w:bottom w:val="none" w:sz="0" w:space="0" w:color="auto"/>
                            <w:right w:val="none" w:sz="0" w:space="0" w:color="auto"/>
                          </w:divBdr>
                          <w:divsChild>
                            <w:div w:id="1385566523">
                              <w:marLeft w:val="0"/>
                              <w:marRight w:val="0"/>
                              <w:marTop w:val="0"/>
                              <w:marBottom w:val="0"/>
                              <w:divBdr>
                                <w:top w:val="none" w:sz="0" w:space="0" w:color="auto"/>
                                <w:left w:val="none" w:sz="0" w:space="0" w:color="auto"/>
                                <w:bottom w:val="none" w:sz="0" w:space="0" w:color="auto"/>
                                <w:right w:val="none" w:sz="0" w:space="0" w:color="auto"/>
                              </w:divBdr>
                              <w:divsChild>
                                <w:div w:id="195147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17905">
                  <w:marLeft w:val="0"/>
                  <w:marRight w:val="0"/>
                  <w:marTop w:val="0"/>
                  <w:marBottom w:val="0"/>
                  <w:divBdr>
                    <w:top w:val="none" w:sz="0" w:space="0" w:color="auto"/>
                    <w:left w:val="none" w:sz="0" w:space="0" w:color="auto"/>
                    <w:bottom w:val="none" w:sz="0" w:space="0" w:color="auto"/>
                    <w:right w:val="none" w:sz="0" w:space="0" w:color="auto"/>
                  </w:divBdr>
                  <w:divsChild>
                    <w:div w:id="2061710551">
                      <w:marLeft w:val="0"/>
                      <w:marRight w:val="0"/>
                      <w:marTop w:val="0"/>
                      <w:marBottom w:val="0"/>
                      <w:divBdr>
                        <w:top w:val="none" w:sz="0" w:space="0" w:color="auto"/>
                        <w:left w:val="none" w:sz="0" w:space="0" w:color="auto"/>
                        <w:bottom w:val="none" w:sz="0" w:space="0" w:color="auto"/>
                        <w:right w:val="none" w:sz="0" w:space="0" w:color="auto"/>
                      </w:divBdr>
                      <w:divsChild>
                        <w:div w:id="1789347012">
                          <w:marLeft w:val="0"/>
                          <w:marRight w:val="0"/>
                          <w:marTop w:val="0"/>
                          <w:marBottom w:val="0"/>
                          <w:divBdr>
                            <w:top w:val="none" w:sz="0" w:space="0" w:color="auto"/>
                            <w:left w:val="none" w:sz="0" w:space="0" w:color="auto"/>
                            <w:bottom w:val="none" w:sz="0" w:space="0" w:color="auto"/>
                            <w:right w:val="none" w:sz="0" w:space="0" w:color="auto"/>
                          </w:divBdr>
                          <w:divsChild>
                            <w:div w:id="224265713">
                              <w:marLeft w:val="0"/>
                              <w:marRight w:val="0"/>
                              <w:marTop w:val="0"/>
                              <w:marBottom w:val="0"/>
                              <w:divBdr>
                                <w:top w:val="none" w:sz="0" w:space="0" w:color="auto"/>
                                <w:left w:val="none" w:sz="0" w:space="0" w:color="auto"/>
                                <w:bottom w:val="none" w:sz="0" w:space="0" w:color="auto"/>
                                <w:right w:val="none" w:sz="0" w:space="0" w:color="auto"/>
                              </w:divBdr>
                              <w:divsChild>
                                <w:div w:id="1324628656">
                                  <w:marLeft w:val="0"/>
                                  <w:marRight w:val="0"/>
                                  <w:marTop w:val="0"/>
                                  <w:marBottom w:val="0"/>
                                  <w:divBdr>
                                    <w:top w:val="none" w:sz="0" w:space="0" w:color="auto"/>
                                    <w:left w:val="none" w:sz="0" w:space="0" w:color="auto"/>
                                    <w:bottom w:val="none" w:sz="0" w:space="0" w:color="auto"/>
                                    <w:right w:val="none" w:sz="0" w:space="0" w:color="auto"/>
                                  </w:divBdr>
                                  <w:divsChild>
                                    <w:div w:id="214488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520935">
                          <w:marLeft w:val="0"/>
                          <w:marRight w:val="0"/>
                          <w:marTop w:val="0"/>
                          <w:marBottom w:val="0"/>
                          <w:divBdr>
                            <w:top w:val="none" w:sz="0" w:space="0" w:color="auto"/>
                            <w:left w:val="none" w:sz="0" w:space="0" w:color="auto"/>
                            <w:bottom w:val="none" w:sz="0" w:space="0" w:color="auto"/>
                            <w:right w:val="none" w:sz="0" w:space="0" w:color="auto"/>
                          </w:divBdr>
                          <w:divsChild>
                            <w:div w:id="1166550252">
                              <w:marLeft w:val="0"/>
                              <w:marRight w:val="0"/>
                              <w:marTop w:val="0"/>
                              <w:marBottom w:val="0"/>
                              <w:divBdr>
                                <w:top w:val="none" w:sz="0" w:space="0" w:color="auto"/>
                                <w:left w:val="none" w:sz="0" w:space="0" w:color="auto"/>
                                <w:bottom w:val="none" w:sz="0" w:space="0" w:color="auto"/>
                                <w:right w:val="none" w:sz="0" w:space="0" w:color="auto"/>
                              </w:divBdr>
                              <w:divsChild>
                                <w:div w:id="887036388">
                                  <w:marLeft w:val="0"/>
                                  <w:marRight w:val="0"/>
                                  <w:marTop w:val="0"/>
                                  <w:marBottom w:val="0"/>
                                  <w:divBdr>
                                    <w:top w:val="none" w:sz="0" w:space="0" w:color="auto"/>
                                    <w:left w:val="none" w:sz="0" w:space="0" w:color="auto"/>
                                    <w:bottom w:val="none" w:sz="0" w:space="0" w:color="auto"/>
                                    <w:right w:val="none" w:sz="0" w:space="0" w:color="auto"/>
                                  </w:divBdr>
                                  <w:divsChild>
                                    <w:div w:id="89628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5539010">
          <w:marLeft w:val="0"/>
          <w:marRight w:val="0"/>
          <w:marTop w:val="0"/>
          <w:marBottom w:val="0"/>
          <w:divBdr>
            <w:top w:val="none" w:sz="0" w:space="0" w:color="auto"/>
            <w:left w:val="none" w:sz="0" w:space="0" w:color="auto"/>
            <w:bottom w:val="none" w:sz="0" w:space="0" w:color="auto"/>
            <w:right w:val="none" w:sz="0" w:space="0" w:color="auto"/>
          </w:divBdr>
          <w:divsChild>
            <w:div w:id="45641103">
              <w:marLeft w:val="0"/>
              <w:marRight w:val="0"/>
              <w:marTop w:val="0"/>
              <w:marBottom w:val="0"/>
              <w:divBdr>
                <w:top w:val="none" w:sz="0" w:space="0" w:color="auto"/>
                <w:left w:val="none" w:sz="0" w:space="0" w:color="auto"/>
                <w:bottom w:val="none" w:sz="0" w:space="0" w:color="auto"/>
                <w:right w:val="none" w:sz="0" w:space="0" w:color="auto"/>
              </w:divBdr>
              <w:divsChild>
                <w:div w:id="408617703">
                  <w:marLeft w:val="0"/>
                  <w:marRight w:val="0"/>
                  <w:marTop w:val="0"/>
                  <w:marBottom w:val="0"/>
                  <w:divBdr>
                    <w:top w:val="none" w:sz="0" w:space="0" w:color="auto"/>
                    <w:left w:val="none" w:sz="0" w:space="0" w:color="auto"/>
                    <w:bottom w:val="none" w:sz="0" w:space="0" w:color="auto"/>
                    <w:right w:val="none" w:sz="0" w:space="0" w:color="auto"/>
                  </w:divBdr>
                  <w:divsChild>
                    <w:div w:id="1049912311">
                      <w:marLeft w:val="0"/>
                      <w:marRight w:val="0"/>
                      <w:marTop w:val="0"/>
                      <w:marBottom w:val="0"/>
                      <w:divBdr>
                        <w:top w:val="none" w:sz="0" w:space="0" w:color="auto"/>
                        <w:left w:val="none" w:sz="0" w:space="0" w:color="auto"/>
                        <w:bottom w:val="none" w:sz="0" w:space="0" w:color="auto"/>
                        <w:right w:val="none" w:sz="0" w:space="0" w:color="auto"/>
                      </w:divBdr>
                      <w:divsChild>
                        <w:div w:id="218520467">
                          <w:marLeft w:val="0"/>
                          <w:marRight w:val="0"/>
                          <w:marTop w:val="0"/>
                          <w:marBottom w:val="0"/>
                          <w:divBdr>
                            <w:top w:val="none" w:sz="0" w:space="0" w:color="auto"/>
                            <w:left w:val="none" w:sz="0" w:space="0" w:color="auto"/>
                            <w:bottom w:val="none" w:sz="0" w:space="0" w:color="auto"/>
                            <w:right w:val="none" w:sz="0" w:space="0" w:color="auto"/>
                          </w:divBdr>
                          <w:divsChild>
                            <w:div w:id="2078085578">
                              <w:marLeft w:val="0"/>
                              <w:marRight w:val="0"/>
                              <w:marTop w:val="0"/>
                              <w:marBottom w:val="0"/>
                              <w:divBdr>
                                <w:top w:val="none" w:sz="0" w:space="0" w:color="auto"/>
                                <w:left w:val="none" w:sz="0" w:space="0" w:color="auto"/>
                                <w:bottom w:val="none" w:sz="0" w:space="0" w:color="auto"/>
                                <w:right w:val="none" w:sz="0" w:space="0" w:color="auto"/>
                              </w:divBdr>
                              <w:divsChild>
                                <w:div w:id="65399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105568">
                  <w:marLeft w:val="0"/>
                  <w:marRight w:val="0"/>
                  <w:marTop w:val="0"/>
                  <w:marBottom w:val="0"/>
                  <w:divBdr>
                    <w:top w:val="none" w:sz="0" w:space="0" w:color="auto"/>
                    <w:left w:val="none" w:sz="0" w:space="0" w:color="auto"/>
                    <w:bottom w:val="none" w:sz="0" w:space="0" w:color="auto"/>
                    <w:right w:val="none" w:sz="0" w:space="0" w:color="auto"/>
                  </w:divBdr>
                  <w:divsChild>
                    <w:div w:id="1135876274">
                      <w:marLeft w:val="0"/>
                      <w:marRight w:val="0"/>
                      <w:marTop w:val="0"/>
                      <w:marBottom w:val="0"/>
                      <w:divBdr>
                        <w:top w:val="none" w:sz="0" w:space="0" w:color="auto"/>
                        <w:left w:val="none" w:sz="0" w:space="0" w:color="auto"/>
                        <w:bottom w:val="none" w:sz="0" w:space="0" w:color="auto"/>
                        <w:right w:val="none" w:sz="0" w:space="0" w:color="auto"/>
                      </w:divBdr>
                      <w:divsChild>
                        <w:div w:id="1020400836">
                          <w:marLeft w:val="0"/>
                          <w:marRight w:val="0"/>
                          <w:marTop w:val="0"/>
                          <w:marBottom w:val="0"/>
                          <w:divBdr>
                            <w:top w:val="none" w:sz="0" w:space="0" w:color="auto"/>
                            <w:left w:val="none" w:sz="0" w:space="0" w:color="auto"/>
                            <w:bottom w:val="none" w:sz="0" w:space="0" w:color="auto"/>
                            <w:right w:val="none" w:sz="0" w:space="0" w:color="auto"/>
                          </w:divBdr>
                          <w:divsChild>
                            <w:div w:id="101653130">
                              <w:marLeft w:val="0"/>
                              <w:marRight w:val="0"/>
                              <w:marTop w:val="0"/>
                              <w:marBottom w:val="0"/>
                              <w:divBdr>
                                <w:top w:val="none" w:sz="0" w:space="0" w:color="auto"/>
                                <w:left w:val="none" w:sz="0" w:space="0" w:color="auto"/>
                                <w:bottom w:val="none" w:sz="0" w:space="0" w:color="auto"/>
                                <w:right w:val="none" w:sz="0" w:space="0" w:color="auto"/>
                              </w:divBdr>
                              <w:divsChild>
                                <w:div w:id="1170561344">
                                  <w:marLeft w:val="0"/>
                                  <w:marRight w:val="0"/>
                                  <w:marTop w:val="0"/>
                                  <w:marBottom w:val="0"/>
                                  <w:divBdr>
                                    <w:top w:val="none" w:sz="0" w:space="0" w:color="auto"/>
                                    <w:left w:val="none" w:sz="0" w:space="0" w:color="auto"/>
                                    <w:bottom w:val="none" w:sz="0" w:space="0" w:color="auto"/>
                                    <w:right w:val="none" w:sz="0" w:space="0" w:color="auto"/>
                                  </w:divBdr>
                                  <w:divsChild>
                                    <w:div w:id="52568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089508">
                          <w:marLeft w:val="0"/>
                          <w:marRight w:val="0"/>
                          <w:marTop w:val="0"/>
                          <w:marBottom w:val="0"/>
                          <w:divBdr>
                            <w:top w:val="none" w:sz="0" w:space="0" w:color="auto"/>
                            <w:left w:val="none" w:sz="0" w:space="0" w:color="auto"/>
                            <w:bottom w:val="none" w:sz="0" w:space="0" w:color="auto"/>
                            <w:right w:val="none" w:sz="0" w:space="0" w:color="auto"/>
                          </w:divBdr>
                          <w:divsChild>
                            <w:div w:id="1161509520">
                              <w:marLeft w:val="0"/>
                              <w:marRight w:val="0"/>
                              <w:marTop w:val="0"/>
                              <w:marBottom w:val="0"/>
                              <w:divBdr>
                                <w:top w:val="none" w:sz="0" w:space="0" w:color="auto"/>
                                <w:left w:val="none" w:sz="0" w:space="0" w:color="auto"/>
                                <w:bottom w:val="none" w:sz="0" w:space="0" w:color="auto"/>
                                <w:right w:val="none" w:sz="0" w:space="0" w:color="auto"/>
                              </w:divBdr>
                              <w:divsChild>
                                <w:div w:id="379088085">
                                  <w:marLeft w:val="0"/>
                                  <w:marRight w:val="0"/>
                                  <w:marTop w:val="0"/>
                                  <w:marBottom w:val="0"/>
                                  <w:divBdr>
                                    <w:top w:val="none" w:sz="0" w:space="0" w:color="auto"/>
                                    <w:left w:val="none" w:sz="0" w:space="0" w:color="auto"/>
                                    <w:bottom w:val="none" w:sz="0" w:space="0" w:color="auto"/>
                                    <w:right w:val="none" w:sz="0" w:space="0" w:color="auto"/>
                                  </w:divBdr>
                                  <w:divsChild>
                                    <w:div w:id="13537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5956691">
          <w:marLeft w:val="0"/>
          <w:marRight w:val="0"/>
          <w:marTop w:val="0"/>
          <w:marBottom w:val="0"/>
          <w:divBdr>
            <w:top w:val="none" w:sz="0" w:space="0" w:color="auto"/>
            <w:left w:val="none" w:sz="0" w:space="0" w:color="auto"/>
            <w:bottom w:val="none" w:sz="0" w:space="0" w:color="auto"/>
            <w:right w:val="none" w:sz="0" w:space="0" w:color="auto"/>
          </w:divBdr>
          <w:divsChild>
            <w:div w:id="1815755665">
              <w:marLeft w:val="0"/>
              <w:marRight w:val="0"/>
              <w:marTop w:val="0"/>
              <w:marBottom w:val="0"/>
              <w:divBdr>
                <w:top w:val="none" w:sz="0" w:space="0" w:color="auto"/>
                <w:left w:val="none" w:sz="0" w:space="0" w:color="auto"/>
                <w:bottom w:val="none" w:sz="0" w:space="0" w:color="auto"/>
                <w:right w:val="none" w:sz="0" w:space="0" w:color="auto"/>
              </w:divBdr>
              <w:divsChild>
                <w:div w:id="1780027469">
                  <w:marLeft w:val="0"/>
                  <w:marRight w:val="0"/>
                  <w:marTop w:val="0"/>
                  <w:marBottom w:val="0"/>
                  <w:divBdr>
                    <w:top w:val="none" w:sz="0" w:space="0" w:color="auto"/>
                    <w:left w:val="none" w:sz="0" w:space="0" w:color="auto"/>
                    <w:bottom w:val="none" w:sz="0" w:space="0" w:color="auto"/>
                    <w:right w:val="none" w:sz="0" w:space="0" w:color="auto"/>
                  </w:divBdr>
                  <w:divsChild>
                    <w:div w:id="901409015">
                      <w:marLeft w:val="0"/>
                      <w:marRight w:val="0"/>
                      <w:marTop w:val="0"/>
                      <w:marBottom w:val="0"/>
                      <w:divBdr>
                        <w:top w:val="none" w:sz="0" w:space="0" w:color="auto"/>
                        <w:left w:val="none" w:sz="0" w:space="0" w:color="auto"/>
                        <w:bottom w:val="none" w:sz="0" w:space="0" w:color="auto"/>
                        <w:right w:val="none" w:sz="0" w:space="0" w:color="auto"/>
                      </w:divBdr>
                      <w:divsChild>
                        <w:div w:id="283540083">
                          <w:marLeft w:val="0"/>
                          <w:marRight w:val="0"/>
                          <w:marTop w:val="0"/>
                          <w:marBottom w:val="0"/>
                          <w:divBdr>
                            <w:top w:val="none" w:sz="0" w:space="0" w:color="auto"/>
                            <w:left w:val="none" w:sz="0" w:space="0" w:color="auto"/>
                            <w:bottom w:val="none" w:sz="0" w:space="0" w:color="auto"/>
                            <w:right w:val="none" w:sz="0" w:space="0" w:color="auto"/>
                          </w:divBdr>
                          <w:divsChild>
                            <w:div w:id="467479195">
                              <w:marLeft w:val="0"/>
                              <w:marRight w:val="0"/>
                              <w:marTop w:val="0"/>
                              <w:marBottom w:val="0"/>
                              <w:divBdr>
                                <w:top w:val="none" w:sz="0" w:space="0" w:color="auto"/>
                                <w:left w:val="none" w:sz="0" w:space="0" w:color="auto"/>
                                <w:bottom w:val="none" w:sz="0" w:space="0" w:color="auto"/>
                                <w:right w:val="none" w:sz="0" w:space="0" w:color="auto"/>
                              </w:divBdr>
                              <w:divsChild>
                                <w:div w:id="1201363368">
                                  <w:marLeft w:val="0"/>
                                  <w:marRight w:val="0"/>
                                  <w:marTop w:val="0"/>
                                  <w:marBottom w:val="0"/>
                                  <w:divBdr>
                                    <w:top w:val="none" w:sz="0" w:space="0" w:color="auto"/>
                                    <w:left w:val="none" w:sz="0" w:space="0" w:color="auto"/>
                                    <w:bottom w:val="none" w:sz="0" w:space="0" w:color="auto"/>
                                    <w:right w:val="none" w:sz="0" w:space="0" w:color="auto"/>
                                  </w:divBdr>
                                  <w:divsChild>
                                    <w:div w:id="61433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456438">
                          <w:marLeft w:val="0"/>
                          <w:marRight w:val="0"/>
                          <w:marTop w:val="0"/>
                          <w:marBottom w:val="0"/>
                          <w:divBdr>
                            <w:top w:val="none" w:sz="0" w:space="0" w:color="auto"/>
                            <w:left w:val="none" w:sz="0" w:space="0" w:color="auto"/>
                            <w:bottom w:val="none" w:sz="0" w:space="0" w:color="auto"/>
                            <w:right w:val="none" w:sz="0" w:space="0" w:color="auto"/>
                          </w:divBdr>
                          <w:divsChild>
                            <w:div w:id="2114205601">
                              <w:marLeft w:val="0"/>
                              <w:marRight w:val="0"/>
                              <w:marTop w:val="0"/>
                              <w:marBottom w:val="0"/>
                              <w:divBdr>
                                <w:top w:val="none" w:sz="0" w:space="0" w:color="auto"/>
                                <w:left w:val="none" w:sz="0" w:space="0" w:color="auto"/>
                                <w:bottom w:val="none" w:sz="0" w:space="0" w:color="auto"/>
                                <w:right w:val="none" w:sz="0" w:space="0" w:color="auto"/>
                              </w:divBdr>
                              <w:divsChild>
                                <w:div w:id="1371152042">
                                  <w:marLeft w:val="0"/>
                                  <w:marRight w:val="0"/>
                                  <w:marTop w:val="0"/>
                                  <w:marBottom w:val="0"/>
                                  <w:divBdr>
                                    <w:top w:val="none" w:sz="0" w:space="0" w:color="auto"/>
                                    <w:left w:val="none" w:sz="0" w:space="0" w:color="auto"/>
                                    <w:bottom w:val="none" w:sz="0" w:space="0" w:color="auto"/>
                                    <w:right w:val="none" w:sz="0" w:space="0" w:color="auto"/>
                                  </w:divBdr>
                                  <w:divsChild>
                                    <w:div w:id="194668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636629">
                  <w:marLeft w:val="0"/>
                  <w:marRight w:val="0"/>
                  <w:marTop w:val="0"/>
                  <w:marBottom w:val="0"/>
                  <w:divBdr>
                    <w:top w:val="none" w:sz="0" w:space="0" w:color="auto"/>
                    <w:left w:val="none" w:sz="0" w:space="0" w:color="auto"/>
                    <w:bottom w:val="none" w:sz="0" w:space="0" w:color="auto"/>
                    <w:right w:val="none" w:sz="0" w:space="0" w:color="auto"/>
                  </w:divBdr>
                  <w:divsChild>
                    <w:div w:id="1635910346">
                      <w:marLeft w:val="0"/>
                      <w:marRight w:val="0"/>
                      <w:marTop w:val="0"/>
                      <w:marBottom w:val="0"/>
                      <w:divBdr>
                        <w:top w:val="none" w:sz="0" w:space="0" w:color="auto"/>
                        <w:left w:val="none" w:sz="0" w:space="0" w:color="auto"/>
                        <w:bottom w:val="none" w:sz="0" w:space="0" w:color="auto"/>
                        <w:right w:val="none" w:sz="0" w:space="0" w:color="auto"/>
                      </w:divBdr>
                      <w:divsChild>
                        <w:div w:id="658312989">
                          <w:marLeft w:val="0"/>
                          <w:marRight w:val="0"/>
                          <w:marTop w:val="0"/>
                          <w:marBottom w:val="0"/>
                          <w:divBdr>
                            <w:top w:val="none" w:sz="0" w:space="0" w:color="auto"/>
                            <w:left w:val="none" w:sz="0" w:space="0" w:color="auto"/>
                            <w:bottom w:val="none" w:sz="0" w:space="0" w:color="auto"/>
                            <w:right w:val="none" w:sz="0" w:space="0" w:color="auto"/>
                          </w:divBdr>
                          <w:divsChild>
                            <w:div w:id="1713842330">
                              <w:marLeft w:val="0"/>
                              <w:marRight w:val="0"/>
                              <w:marTop w:val="0"/>
                              <w:marBottom w:val="0"/>
                              <w:divBdr>
                                <w:top w:val="none" w:sz="0" w:space="0" w:color="auto"/>
                                <w:left w:val="none" w:sz="0" w:space="0" w:color="auto"/>
                                <w:bottom w:val="none" w:sz="0" w:space="0" w:color="auto"/>
                                <w:right w:val="none" w:sz="0" w:space="0" w:color="auto"/>
                              </w:divBdr>
                              <w:divsChild>
                                <w:div w:id="157955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276175">
          <w:marLeft w:val="0"/>
          <w:marRight w:val="0"/>
          <w:marTop w:val="0"/>
          <w:marBottom w:val="0"/>
          <w:divBdr>
            <w:top w:val="none" w:sz="0" w:space="0" w:color="auto"/>
            <w:left w:val="none" w:sz="0" w:space="0" w:color="auto"/>
            <w:bottom w:val="none" w:sz="0" w:space="0" w:color="auto"/>
            <w:right w:val="none" w:sz="0" w:space="0" w:color="auto"/>
          </w:divBdr>
          <w:divsChild>
            <w:div w:id="760637465">
              <w:marLeft w:val="0"/>
              <w:marRight w:val="0"/>
              <w:marTop w:val="0"/>
              <w:marBottom w:val="0"/>
              <w:divBdr>
                <w:top w:val="none" w:sz="0" w:space="0" w:color="auto"/>
                <w:left w:val="none" w:sz="0" w:space="0" w:color="auto"/>
                <w:bottom w:val="none" w:sz="0" w:space="0" w:color="auto"/>
                <w:right w:val="none" w:sz="0" w:space="0" w:color="auto"/>
              </w:divBdr>
              <w:divsChild>
                <w:div w:id="995306330">
                  <w:marLeft w:val="0"/>
                  <w:marRight w:val="0"/>
                  <w:marTop w:val="0"/>
                  <w:marBottom w:val="0"/>
                  <w:divBdr>
                    <w:top w:val="none" w:sz="0" w:space="0" w:color="auto"/>
                    <w:left w:val="none" w:sz="0" w:space="0" w:color="auto"/>
                    <w:bottom w:val="none" w:sz="0" w:space="0" w:color="auto"/>
                    <w:right w:val="none" w:sz="0" w:space="0" w:color="auto"/>
                  </w:divBdr>
                  <w:divsChild>
                    <w:div w:id="929391184">
                      <w:marLeft w:val="0"/>
                      <w:marRight w:val="0"/>
                      <w:marTop w:val="0"/>
                      <w:marBottom w:val="0"/>
                      <w:divBdr>
                        <w:top w:val="none" w:sz="0" w:space="0" w:color="auto"/>
                        <w:left w:val="none" w:sz="0" w:space="0" w:color="auto"/>
                        <w:bottom w:val="none" w:sz="0" w:space="0" w:color="auto"/>
                        <w:right w:val="none" w:sz="0" w:space="0" w:color="auto"/>
                      </w:divBdr>
                      <w:divsChild>
                        <w:div w:id="850216769">
                          <w:marLeft w:val="0"/>
                          <w:marRight w:val="0"/>
                          <w:marTop w:val="0"/>
                          <w:marBottom w:val="0"/>
                          <w:divBdr>
                            <w:top w:val="none" w:sz="0" w:space="0" w:color="auto"/>
                            <w:left w:val="none" w:sz="0" w:space="0" w:color="auto"/>
                            <w:bottom w:val="none" w:sz="0" w:space="0" w:color="auto"/>
                            <w:right w:val="none" w:sz="0" w:space="0" w:color="auto"/>
                          </w:divBdr>
                          <w:divsChild>
                            <w:div w:id="1559320997">
                              <w:marLeft w:val="0"/>
                              <w:marRight w:val="0"/>
                              <w:marTop w:val="0"/>
                              <w:marBottom w:val="0"/>
                              <w:divBdr>
                                <w:top w:val="none" w:sz="0" w:space="0" w:color="auto"/>
                                <w:left w:val="none" w:sz="0" w:space="0" w:color="auto"/>
                                <w:bottom w:val="none" w:sz="0" w:space="0" w:color="auto"/>
                                <w:right w:val="none" w:sz="0" w:space="0" w:color="auto"/>
                              </w:divBdr>
                              <w:divsChild>
                                <w:div w:id="303514064">
                                  <w:marLeft w:val="0"/>
                                  <w:marRight w:val="0"/>
                                  <w:marTop w:val="0"/>
                                  <w:marBottom w:val="0"/>
                                  <w:divBdr>
                                    <w:top w:val="none" w:sz="0" w:space="0" w:color="auto"/>
                                    <w:left w:val="none" w:sz="0" w:space="0" w:color="auto"/>
                                    <w:bottom w:val="none" w:sz="0" w:space="0" w:color="auto"/>
                                    <w:right w:val="none" w:sz="0" w:space="0" w:color="auto"/>
                                  </w:divBdr>
                                  <w:divsChild>
                                    <w:div w:id="2016222844">
                                      <w:marLeft w:val="0"/>
                                      <w:marRight w:val="0"/>
                                      <w:marTop w:val="0"/>
                                      <w:marBottom w:val="0"/>
                                      <w:divBdr>
                                        <w:top w:val="none" w:sz="0" w:space="0" w:color="auto"/>
                                        <w:left w:val="none" w:sz="0" w:space="0" w:color="auto"/>
                                        <w:bottom w:val="none" w:sz="0" w:space="0" w:color="auto"/>
                                        <w:right w:val="none" w:sz="0" w:space="0" w:color="auto"/>
                                      </w:divBdr>
                                      <w:divsChild>
                                        <w:div w:id="35962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6829099">
          <w:marLeft w:val="0"/>
          <w:marRight w:val="0"/>
          <w:marTop w:val="0"/>
          <w:marBottom w:val="0"/>
          <w:divBdr>
            <w:top w:val="none" w:sz="0" w:space="0" w:color="auto"/>
            <w:left w:val="none" w:sz="0" w:space="0" w:color="auto"/>
            <w:bottom w:val="none" w:sz="0" w:space="0" w:color="auto"/>
            <w:right w:val="none" w:sz="0" w:space="0" w:color="auto"/>
          </w:divBdr>
          <w:divsChild>
            <w:div w:id="373969207">
              <w:marLeft w:val="0"/>
              <w:marRight w:val="0"/>
              <w:marTop w:val="0"/>
              <w:marBottom w:val="0"/>
              <w:divBdr>
                <w:top w:val="none" w:sz="0" w:space="0" w:color="auto"/>
                <w:left w:val="none" w:sz="0" w:space="0" w:color="auto"/>
                <w:bottom w:val="none" w:sz="0" w:space="0" w:color="auto"/>
                <w:right w:val="none" w:sz="0" w:space="0" w:color="auto"/>
              </w:divBdr>
              <w:divsChild>
                <w:div w:id="259339362">
                  <w:marLeft w:val="0"/>
                  <w:marRight w:val="0"/>
                  <w:marTop w:val="0"/>
                  <w:marBottom w:val="0"/>
                  <w:divBdr>
                    <w:top w:val="none" w:sz="0" w:space="0" w:color="auto"/>
                    <w:left w:val="none" w:sz="0" w:space="0" w:color="auto"/>
                    <w:bottom w:val="none" w:sz="0" w:space="0" w:color="auto"/>
                    <w:right w:val="none" w:sz="0" w:space="0" w:color="auto"/>
                  </w:divBdr>
                  <w:divsChild>
                    <w:div w:id="1885017847">
                      <w:marLeft w:val="0"/>
                      <w:marRight w:val="0"/>
                      <w:marTop w:val="0"/>
                      <w:marBottom w:val="0"/>
                      <w:divBdr>
                        <w:top w:val="none" w:sz="0" w:space="0" w:color="auto"/>
                        <w:left w:val="none" w:sz="0" w:space="0" w:color="auto"/>
                        <w:bottom w:val="none" w:sz="0" w:space="0" w:color="auto"/>
                        <w:right w:val="none" w:sz="0" w:space="0" w:color="auto"/>
                      </w:divBdr>
                      <w:divsChild>
                        <w:div w:id="1161458519">
                          <w:marLeft w:val="0"/>
                          <w:marRight w:val="0"/>
                          <w:marTop w:val="0"/>
                          <w:marBottom w:val="0"/>
                          <w:divBdr>
                            <w:top w:val="none" w:sz="0" w:space="0" w:color="auto"/>
                            <w:left w:val="none" w:sz="0" w:space="0" w:color="auto"/>
                            <w:bottom w:val="none" w:sz="0" w:space="0" w:color="auto"/>
                            <w:right w:val="none" w:sz="0" w:space="0" w:color="auto"/>
                          </w:divBdr>
                          <w:divsChild>
                            <w:div w:id="2075932451">
                              <w:marLeft w:val="0"/>
                              <w:marRight w:val="0"/>
                              <w:marTop w:val="0"/>
                              <w:marBottom w:val="0"/>
                              <w:divBdr>
                                <w:top w:val="none" w:sz="0" w:space="0" w:color="auto"/>
                                <w:left w:val="none" w:sz="0" w:space="0" w:color="auto"/>
                                <w:bottom w:val="none" w:sz="0" w:space="0" w:color="auto"/>
                                <w:right w:val="none" w:sz="0" w:space="0" w:color="auto"/>
                              </w:divBdr>
                              <w:divsChild>
                                <w:div w:id="20849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667989">
                  <w:marLeft w:val="0"/>
                  <w:marRight w:val="0"/>
                  <w:marTop w:val="0"/>
                  <w:marBottom w:val="0"/>
                  <w:divBdr>
                    <w:top w:val="none" w:sz="0" w:space="0" w:color="auto"/>
                    <w:left w:val="none" w:sz="0" w:space="0" w:color="auto"/>
                    <w:bottom w:val="none" w:sz="0" w:space="0" w:color="auto"/>
                    <w:right w:val="none" w:sz="0" w:space="0" w:color="auto"/>
                  </w:divBdr>
                  <w:divsChild>
                    <w:div w:id="703555636">
                      <w:marLeft w:val="0"/>
                      <w:marRight w:val="0"/>
                      <w:marTop w:val="0"/>
                      <w:marBottom w:val="0"/>
                      <w:divBdr>
                        <w:top w:val="none" w:sz="0" w:space="0" w:color="auto"/>
                        <w:left w:val="none" w:sz="0" w:space="0" w:color="auto"/>
                        <w:bottom w:val="none" w:sz="0" w:space="0" w:color="auto"/>
                        <w:right w:val="none" w:sz="0" w:space="0" w:color="auto"/>
                      </w:divBdr>
                      <w:divsChild>
                        <w:div w:id="895701489">
                          <w:marLeft w:val="0"/>
                          <w:marRight w:val="0"/>
                          <w:marTop w:val="0"/>
                          <w:marBottom w:val="0"/>
                          <w:divBdr>
                            <w:top w:val="none" w:sz="0" w:space="0" w:color="auto"/>
                            <w:left w:val="none" w:sz="0" w:space="0" w:color="auto"/>
                            <w:bottom w:val="none" w:sz="0" w:space="0" w:color="auto"/>
                            <w:right w:val="none" w:sz="0" w:space="0" w:color="auto"/>
                          </w:divBdr>
                          <w:divsChild>
                            <w:div w:id="375549924">
                              <w:marLeft w:val="0"/>
                              <w:marRight w:val="0"/>
                              <w:marTop w:val="0"/>
                              <w:marBottom w:val="0"/>
                              <w:divBdr>
                                <w:top w:val="none" w:sz="0" w:space="0" w:color="auto"/>
                                <w:left w:val="none" w:sz="0" w:space="0" w:color="auto"/>
                                <w:bottom w:val="none" w:sz="0" w:space="0" w:color="auto"/>
                                <w:right w:val="none" w:sz="0" w:space="0" w:color="auto"/>
                              </w:divBdr>
                              <w:divsChild>
                                <w:div w:id="1131749082">
                                  <w:marLeft w:val="0"/>
                                  <w:marRight w:val="0"/>
                                  <w:marTop w:val="0"/>
                                  <w:marBottom w:val="0"/>
                                  <w:divBdr>
                                    <w:top w:val="none" w:sz="0" w:space="0" w:color="auto"/>
                                    <w:left w:val="none" w:sz="0" w:space="0" w:color="auto"/>
                                    <w:bottom w:val="none" w:sz="0" w:space="0" w:color="auto"/>
                                    <w:right w:val="none" w:sz="0" w:space="0" w:color="auto"/>
                                  </w:divBdr>
                                  <w:divsChild>
                                    <w:div w:id="7282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391776">
                          <w:marLeft w:val="0"/>
                          <w:marRight w:val="0"/>
                          <w:marTop w:val="0"/>
                          <w:marBottom w:val="0"/>
                          <w:divBdr>
                            <w:top w:val="none" w:sz="0" w:space="0" w:color="auto"/>
                            <w:left w:val="none" w:sz="0" w:space="0" w:color="auto"/>
                            <w:bottom w:val="none" w:sz="0" w:space="0" w:color="auto"/>
                            <w:right w:val="none" w:sz="0" w:space="0" w:color="auto"/>
                          </w:divBdr>
                          <w:divsChild>
                            <w:div w:id="787164589">
                              <w:marLeft w:val="0"/>
                              <w:marRight w:val="0"/>
                              <w:marTop w:val="0"/>
                              <w:marBottom w:val="0"/>
                              <w:divBdr>
                                <w:top w:val="none" w:sz="0" w:space="0" w:color="auto"/>
                                <w:left w:val="none" w:sz="0" w:space="0" w:color="auto"/>
                                <w:bottom w:val="none" w:sz="0" w:space="0" w:color="auto"/>
                                <w:right w:val="none" w:sz="0" w:space="0" w:color="auto"/>
                              </w:divBdr>
                              <w:divsChild>
                                <w:div w:id="1348750402">
                                  <w:marLeft w:val="0"/>
                                  <w:marRight w:val="0"/>
                                  <w:marTop w:val="0"/>
                                  <w:marBottom w:val="0"/>
                                  <w:divBdr>
                                    <w:top w:val="none" w:sz="0" w:space="0" w:color="auto"/>
                                    <w:left w:val="none" w:sz="0" w:space="0" w:color="auto"/>
                                    <w:bottom w:val="none" w:sz="0" w:space="0" w:color="auto"/>
                                    <w:right w:val="none" w:sz="0" w:space="0" w:color="auto"/>
                                  </w:divBdr>
                                  <w:divsChild>
                                    <w:div w:id="71246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7944918">
          <w:marLeft w:val="0"/>
          <w:marRight w:val="0"/>
          <w:marTop w:val="0"/>
          <w:marBottom w:val="0"/>
          <w:divBdr>
            <w:top w:val="none" w:sz="0" w:space="0" w:color="auto"/>
            <w:left w:val="none" w:sz="0" w:space="0" w:color="auto"/>
            <w:bottom w:val="none" w:sz="0" w:space="0" w:color="auto"/>
            <w:right w:val="none" w:sz="0" w:space="0" w:color="auto"/>
          </w:divBdr>
          <w:divsChild>
            <w:div w:id="31392854">
              <w:marLeft w:val="0"/>
              <w:marRight w:val="0"/>
              <w:marTop w:val="0"/>
              <w:marBottom w:val="0"/>
              <w:divBdr>
                <w:top w:val="none" w:sz="0" w:space="0" w:color="auto"/>
                <w:left w:val="none" w:sz="0" w:space="0" w:color="auto"/>
                <w:bottom w:val="none" w:sz="0" w:space="0" w:color="auto"/>
                <w:right w:val="none" w:sz="0" w:space="0" w:color="auto"/>
              </w:divBdr>
              <w:divsChild>
                <w:div w:id="756289153">
                  <w:marLeft w:val="0"/>
                  <w:marRight w:val="0"/>
                  <w:marTop w:val="0"/>
                  <w:marBottom w:val="0"/>
                  <w:divBdr>
                    <w:top w:val="none" w:sz="0" w:space="0" w:color="auto"/>
                    <w:left w:val="none" w:sz="0" w:space="0" w:color="auto"/>
                    <w:bottom w:val="none" w:sz="0" w:space="0" w:color="auto"/>
                    <w:right w:val="none" w:sz="0" w:space="0" w:color="auto"/>
                  </w:divBdr>
                  <w:divsChild>
                    <w:div w:id="1697727200">
                      <w:marLeft w:val="0"/>
                      <w:marRight w:val="0"/>
                      <w:marTop w:val="0"/>
                      <w:marBottom w:val="0"/>
                      <w:divBdr>
                        <w:top w:val="none" w:sz="0" w:space="0" w:color="auto"/>
                        <w:left w:val="none" w:sz="0" w:space="0" w:color="auto"/>
                        <w:bottom w:val="none" w:sz="0" w:space="0" w:color="auto"/>
                        <w:right w:val="none" w:sz="0" w:space="0" w:color="auto"/>
                      </w:divBdr>
                      <w:divsChild>
                        <w:div w:id="1007831218">
                          <w:marLeft w:val="0"/>
                          <w:marRight w:val="0"/>
                          <w:marTop w:val="0"/>
                          <w:marBottom w:val="0"/>
                          <w:divBdr>
                            <w:top w:val="none" w:sz="0" w:space="0" w:color="auto"/>
                            <w:left w:val="none" w:sz="0" w:space="0" w:color="auto"/>
                            <w:bottom w:val="none" w:sz="0" w:space="0" w:color="auto"/>
                            <w:right w:val="none" w:sz="0" w:space="0" w:color="auto"/>
                          </w:divBdr>
                          <w:divsChild>
                            <w:div w:id="693768028">
                              <w:marLeft w:val="0"/>
                              <w:marRight w:val="0"/>
                              <w:marTop w:val="0"/>
                              <w:marBottom w:val="0"/>
                              <w:divBdr>
                                <w:top w:val="none" w:sz="0" w:space="0" w:color="auto"/>
                                <w:left w:val="none" w:sz="0" w:space="0" w:color="auto"/>
                                <w:bottom w:val="none" w:sz="0" w:space="0" w:color="auto"/>
                                <w:right w:val="none" w:sz="0" w:space="0" w:color="auto"/>
                              </w:divBdr>
                              <w:divsChild>
                                <w:div w:id="676344997">
                                  <w:marLeft w:val="0"/>
                                  <w:marRight w:val="0"/>
                                  <w:marTop w:val="0"/>
                                  <w:marBottom w:val="0"/>
                                  <w:divBdr>
                                    <w:top w:val="none" w:sz="0" w:space="0" w:color="auto"/>
                                    <w:left w:val="none" w:sz="0" w:space="0" w:color="auto"/>
                                    <w:bottom w:val="none" w:sz="0" w:space="0" w:color="auto"/>
                                    <w:right w:val="none" w:sz="0" w:space="0" w:color="auto"/>
                                  </w:divBdr>
                                  <w:divsChild>
                                    <w:div w:id="1664624423">
                                      <w:marLeft w:val="0"/>
                                      <w:marRight w:val="0"/>
                                      <w:marTop w:val="0"/>
                                      <w:marBottom w:val="0"/>
                                      <w:divBdr>
                                        <w:top w:val="none" w:sz="0" w:space="0" w:color="auto"/>
                                        <w:left w:val="none" w:sz="0" w:space="0" w:color="auto"/>
                                        <w:bottom w:val="none" w:sz="0" w:space="0" w:color="auto"/>
                                        <w:right w:val="none" w:sz="0" w:space="0" w:color="auto"/>
                                      </w:divBdr>
                                      <w:divsChild>
                                        <w:div w:id="17284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8473125">
          <w:marLeft w:val="0"/>
          <w:marRight w:val="0"/>
          <w:marTop w:val="0"/>
          <w:marBottom w:val="0"/>
          <w:divBdr>
            <w:top w:val="none" w:sz="0" w:space="0" w:color="auto"/>
            <w:left w:val="none" w:sz="0" w:space="0" w:color="auto"/>
            <w:bottom w:val="none" w:sz="0" w:space="0" w:color="auto"/>
            <w:right w:val="none" w:sz="0" w:space="0" w:color="auto"/>
          </w:divBdr>
          <w:divsChild>
            <w:div w:id="374159813">
              <w:marLeft w:val="0"/>
              <w:marRight w:val="0"/>
              <w:marTop w:val="0"/>
              <w:marBottom w:val="0"/>
              <w:divBdr>
                <w:top w:val="none" w:sz="0" w:space="0" w:color="auto"/>
                <w:left w:val="none" w:sz="0" w:space="0" w:color="auto"/>
                <w:bottom w:val="none" w:sz="0" w:space="0" w:color="auto"/>
                <w:right w:val="none" w:sz="0" w:space="0" w:color="auto"/>
              </w:divBdr>
              <w:divsChild>
                <w:div w:id="85394703">
                  <w:marLeft w:val="0"/>
                  <w:marRight w:val="0"/>
                  <w:marTop w:val="0"/>
                  <w:marBottom w:val="0"/>
                  <w:divBdr>
                    <w:top w:val="none" w:sz="0" w:space="0" w:color="auto"/>
                    <w:left w:val="none" w:sz="0" w:space="0" w:color="auto"/>
                    <w:bottom w:val="none" w:sz="0" w:space="0" w:color="auto"/>
                    <w:right w:val="none" w:sz="0" w:space="0" w:color="auto"/>
                  </w:divBdr>
                  <w:divsChild>
                    <w:div w:id="80563003">
                      <w:marLeft w:val="0"/>
                      <w:marRight w:val="0"/>
                      <w:marTop w:val="0"/>
                      <w:marBottom w:val="0"/>
                      <w:divBdr>
                        <w:top w:val="none" w:sz="0" w:space="0" w:color="auto"/>
                        <w:left w:val="none" w:sz="0" w:space="0" w:color="auto"/>
                        <w:bottom w:val="none" w:sz="0" w:space="0" w:color="auto"/>
                        <w:right w:val="none" w:sz="0" w:space="0" w:color="auto"/>
                      </w:divBdr>
                    </w:div>
                    <w:div w:id="110272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733636">
          <w:marLeft w:val="0"/>
          <w:marRight w:val="0"/>
          <w:marTop w:val="0"/>
          <w:marBottom w:val="0"/>
          <w:divBdr>
            <w:top w:val="none" w:sz="0" w:space="0" w:color="auto"/>
            <w:left w:val="none" w:sz="0" w:space="0" w:color="auto"/>
            <w:bottom w:val="none" w:sz="0" w:space="0" w:color="auto"/>
            <w:right w:val="none" w:sz="0" w:space="0" w:color="auto"/>
          </w:divBdr>
          <w:divsChild>
            <w:div w:id="415442952">
              <w:marLeft w:val="0"/>
              <w:marRight w:val="0"/>
              <w:marTop w:val="0"/>
              <w:marBottom w:val="0"/>
              <w:divBdr>
                <w:top w:val="none" w:sz="0" w:space="0" w:color="auto"/>
                <w:left w:val="none" w:sz="0" w:space="0" w:color="auto"/>
                <w:bottom w:val="none" w:sz="0" w:space="0" w:color="auto"/>
                <w:right w:val="none" w:sz="0" w:space="0" w:color="auto"/>
              </w:divBdr>
              <w:divsChild>
                <w:div w:id="635839281">
                  <w:marLeft w:val="0"/>
                  <w:marRight w:val="0"/>
                  <w:marTop w:val="0"/>
                  <w:marBottom w:val="0"/>
                  <w:divBdr>
                    <w:top w:val="none" w:sz="0" w:space="0" w:color="auto"/>
                    <w:left w:val="none" w:sz="0" w:space="0" w:color="auto"/>
                    <w:bottom w:val="none" w:sz="0" w:space="0" w:color="auto"/>
                    <w:right w:val="none" w:sz="0" w:space="0" w:color="auto"/>
                  </w:divBdr>
                  <w:divsChild>
                    <w:div w:id="860238996">
                      <w:marLeft w:val="0"/>
                      <w:marRight w:val="0"/>
                      <w:marTop w:val="0"/>
                      <w:marBottom w:val="0"/>
                      <w:divBdr>
                        <w:top w:val="none" w:sz="0" w:space="0" w:color="auto"/>
                        <w:left w:val="none" w:sz="0" w:space="0" w:color="auto"/>
                        <w:bottom w:val="none" w:sz="0" w:space="0" w:color="auto"/>
                        <w:right w:val="none" w:sz="0" w:space="0" w:color="auto"/>
                      </w:divBdr>
                      <w:divsChild>
                        <w:div w:id="1412314547">
                          <w:marLeft w:val="0"/>
                          <w:marRight w:val="0"/>
                          <w:marTop w:val="0"/>
                          <w:marBottom w:val="0"/>
                          <w:divBdr>
                            <w:top w:val="none" w:sz="0" w:space="0" w:color="auto"/>
                            <w:left w:val="none" w:sz="0" w:space="0" w:color="auto"/>
                            <w:bottom w:val="none" w:sz="0" w:space="0" w:color="auto"/>
                            <w:right w:val="none" w:sz="0" w:space="0" w:color="auto"/>
                          </w:divBdr>
                          <w:divsChild>
                            <w:div w:id="185482760">
                              <w:marLeft w:val="0"/>
                              <w:marRight w:val="0"/>
                              <w:marTop w:val="0"/>
                              <w:marBottom w:val="0"/>
                              <w:divBdr>
                                <w:top w:val="none" w:sz="0" w:space="0" w:color="auto"/>
                                <w:left w:val="none" w:sz="0" w:space="0" w:color="auto"/>
                                <w:bottom w:val="none" w:sz="0" w:space="0" w:color="auto"/>
                                <w:right w:val="none" w:sz="0" w:space="0" w:color="auto"/>
                              </w:divBdr>
                              <w:divsChild>
                                <w:div w:id="99223536">
                                  <w:marLeft w:val="0"/>
                                  <w:marRight w:val="0"/>
                                  <w:marTop w:val="0"/>
                                  <w:marBottom w:val="0"/>
                                  <w:divBdr>
                                    <w:top w:val="none" w:sz="0" w:space="0" w:color="auto"/>
                                    <w:left w:val="none" w:sz="0" w:space="0" w:color="auto"/>
                                    <w:bottom w:val="none" w:sz="0" w:space="0" w:color="auto"/>
                                    <w:right w:val="none" w:sz="0" w:space="0" w:color="auto"/>
                                  </w:divBdr>
                                  <w:divsChild>
                                    <w:div w:id="52602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6433696">
                  <w:marLeft w:val="0"/>
                  <w:marRight w:val="0"/>
                  <w:marTop w:val="0"/>
                  <w:marBottom w:val="0"/>
                  <w:divBdr>
                    <w:top w:val="none" w:sz="0" w:space="0" w:color="auto"/>
                    <w:left w:val="none" w:sz="0" w:space="0" w:color="auto"/>
                    <w:bottom w:val="none" w:sz="0" w:space="0" w:color="auto"/>
                    <w:right w:val="none" w:sz="0" w:space="0" w:color="auto"/>
                  </w:divBdr>
                  <w:divsChild>
                    <w:div w:id="581257983">
                      <w:marLeft w:val="0"/>
                      <w:marRight w:val="0"/>
                      <w:marTop w:val="0"/>
                      <w:marBottom w:val="0"/>
                      <w:divBdr>
                        <w:top w:val="none" w:sz="0" w:space="0" w:color="auto"/>
                        <w:left w:val="none" w:sz="0" w:space="0" w:color="auto"/>
                        <w:bottom w:val="none" w:sz="0" w:space="0" w:color="auto"/>
                        <w:right w:val="none" w:sz="0" w:space="0" w:color="auto"/>
                      </w:divBdr>
                      <w:divsChild>
                        <w:div w:id="1857570471">
                          <w:marLeft w:val="0"/>
                          <w:marRight w:val="0"/>
                          <w:marTop w:val="0"/>
                          <w:marBottom w:val="0"/>
                          <w:divBdr>
                            <w:top w:val="none" w:sz="0" w:space="0" w:color="auto"/>
                            <w:left w:val="none" w:sz="0" w:space="0" w:color="auto"/>
                            <w:bottom w:val="none" w:sz="0" w:space="0" w:color="auto"/>
                            <w:right w:val="none" w:sz="0" w:space="0" w:color="auto"/>
                          </w:divBdr>
                          <w:divsChild>
                            <w:div w:id="1143160699">
                              <w:marLeft w:val="0"/>
                              <w:marRight w:val="0"/>
                              <w:marTop w:val="0"/>
                              <w:marBottom w:val="0"/>
                              <w:divBdr>
                                <w:top w:val="none" w:sz="0" w:space="0" w:color="auto"/>
                                <w:left w:val="none" w:sz="0" w:space="0" w:color="auto"/>
                                <w:bottom w:val="none" w:sz="0" w:space="0" w:color="auto"/>
                                <w:right w:val="none" w:sz="0" w:space="0" w:color="auto"/>
                              </w:divBdr>
                              <w:divsChild>
                                <w:div w:id="122390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3000583">
          <w:marLeft w:val="0"/>
          <w:marRight w:val="0"/>
          <w:marTop w:val="0"/>
          <w:marBottom w:val="0"/>
          <w:divBdr>
            <w:top w:val="none" w:sz="0" w:space="0" w:color="auto"/>
            <w:left w:val="none" w:sz="0" w:space="0" w:color="auto"/>
            <w:bottom w:val="none" w:sz="0" w:space="0" w:color="auto"/>
            <w:right w:val="none" w:sz="0" w:space="0" w:color="auto"/>
          </w:divBdr>
          <w:divsChild>
            <w:div w:id="2114351144">
              <w:marLeft w:val="0"/>
              <w:marRight w:val="0"/>
              <w:marTop w:val="0"/>
              <w:marBottom w:val="0"/>
              <w:divBdr>
                <w:top w:val="none" w:sz="0" w:space="0" w:color="auto"/>
                <w:left w:val="none" w:sz="0" w:space="0" w:color="auto"/>
                <w:bottom w:val="none" w:sz="0" w:space="0" w:color="auto"/>
                <w:right w:val="none" w:sz="0" w:space="0" w:color="auto"/>
              </w:divBdr>
              <w:divsChild>
                <w:div w:id="196087132">
                  <w:marLeft w:val="0"/>
                  <w:marRight w:val="0"/>
                  <w:marTop w:val="0"/>
                  <w:marBottom w:val="0"/>
                  <w:divBdr>
                    <w:top w:val="none" w:sz="0" w:space="0" w:color="auto"/>
                    <w:left w:val="none" w:sz="0" w:space="0" w:color="auto"/>
                    <w:bottom w:val="none" w:sz="0" w:space="0" w:color="auto"/>
                    <w:right w:val="none" w:sz="0" w:space="0" w:color="auto"/>
                  </w:divBdr>
                  <w:divsChild>
                    <w:div w:id="1520121727">
                      <w:marLeft w:val="0"/>
                      <w:marRight w:val="0"/>
                      <w:marTop w:val="0"/>
                      <w:marBottom w:val="0"/>
                      <w:divBdr>
                        <w:top w:val="none" w:sz="0" w:space="0" w:color="auto"/>
                        <w:left w:val="none" w:sz="0" w:space="0" w:color="auto"/>
                        <w:bottom w:val="none" w:sz="0" w:space="0" w:color="auto"/>
                        <w:right w:val="none" w:sz="0" w:space="0" w:color="auto"/>
                      </w:divBdr>
                      <w:divsChild>
                        <w:div w:id="944774966">
                          <w:marLeft w:val="0"/>
                          <w:marRight w:val="0"/>
                          <w:marTop w:val="0"/>
                          <w:marBottom w:val="0"/>
                          <w:divBdr>
                            <w:top w:val="none" w:sz="0" w:space="0" w:color="auto"/>
                            <w:left w:val="none" w:sz="0" w:space="0" w:color="auto"/>
                            <w:bottom w:val="none" w:sz="0" w:space="0" w:color="auto"/>
                            <w:right w:val="none" w:sz="0" w:space="0" w:color="auto"/>
                          </w:divBdr>
                          <w:divsChild>
                            <w:div w:id="1017386470">
                              <w:marLeft w:val="0"/>
                              <w:marRight w:val="0"/>
                              <w:marTop w:val="0"/>
                              <w:marBottom w:val="0"/>
                              <w:divBdr>
                                <w:top w:val="none" w:sz="0" w:space="0" w:color="auto"/>
                                <w:left w:val="none" w:sz="0" w:space="0" w:color="auto"/>
                                <w:bottom w:val="none" w:sz="0" w:space="0" w:color="auto"/>
                                <w:right w:val="none" w:sz="0" w:space="0" w:color="auto"/>
                              </w:divBdr>
                              <w:divsChild>
                                <w:div w:id="750735908">
                                  <w:marLeft w:val="0"/>
                                  <w:marRight w:val="0"/>
                                  <w:marTop w:val="0"/>
                                  <w:marBottom w:val="0"/>
                                  <w:divBdr>
                                    <w:top w:val="none" w:sz="0" w:space="0" w:color="auto"/>
                                    <w:left w:val="none" w:sz="0" w:space="0" w:color="auto"/>
                                    <w:bottom w:val="none" w:sz="0" w:space="0" w:color="auto"/>
                                    <w:right w:val="none" w:sz="0" w:space="0" w:color="auto"/>
                                  </w:divBdr>
                                  <w:divsChild>
                                    <w:div w:id="633173148">
                                      <w:marLeft w:val="0"/>
                                      <w:marRight w:val="0"/>
                                      <w:marTop w:val="0"/>
                                      <w:marBottom w:val="0"/>
                                      <w:divBdr>
                                        <w:top w:val="none" w:sz="0" w:space="0" w:color="auto"/>
                                        <w:left w:val="none" w:sz="0" w:space="0" w:color="auto"/>
                                        <w:bottom w:val="none" w:sz="0" w:space="0" w:color="auto"/>
                                        <w:right w:val="none" w:sz="0" w:space="0" w:color="auto"/>
                                      </w:divBdr>
                                      <w:divsChild>
                                        <w:div w:id="26669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8141287">
          <w:marLeft w:val="0"/>
          <w:marRight w:val="0"/>
          <w:marTop w:val="0"/>
          <w:marBottom w:val="0"/>
          <w:divBdr>
            <w:top w:val="none" w:sz="0" w:space="0" w:color="auto"/>
            <w:left w:val="none" w:sz="0" w:space="0" w:color="auto"/>
            <w:bottom w:val="none" w:sz="0" w:space="0" w:color="auto"/>
            <w:right w:val="none" w:sz="0" w:space="0" w:color="auto"/>
          </w:divBdr>
          <w:divsChild>
            <w:div w:id="1855343437">
              <w:marLeft w:val="0"/>
              <w:marRight w:val="0"/>
              <w:marTop w:val="0"/>
              <w:marBottom w:val="0"/>
              <w:divBdr>
                <w:top w:val="none" w:sz="0" w:space="0" w:color="auto"/>
                <w:left w:val="none" w:sz="0" w:space="0" w:color="auto"/>
                <w:bottom w:val="none" w:sz="0" w:space="0" w:color="auto"/>
                <w:right w:val="none" w:sz="0" w:space="0" w:color="auto"/>
              </w:divBdr>
              <w:divsChild>
                <w:div w:id="1429227488">
                  <w:marLeft w:val="0"/>
                  <w:marRight w:val="0"/>
                  <w:marTop w:val="0"/>
                  <w:marBottom w:val="0"/>
                  <w:divBdr>
                    <w:top w:val="none" w:sz="0" w:space="0" w:color="auto"/>
                    <w:left w:val="none" w:sz="0" w:space="0" w:color="auto"/>
                    <w:bottom w:val="none" w:sz="0" w:space="0" w:color="auto"/>
                    <w:right w:val="none" w:sz="0" w:space="0" w:color="auto"/>
                  </w:divBdr>
                  <w:divsChild>
                    <w:div w:id="1099838687">
                      <w:marLeft w:val="0"/>
                      <w:marRight w:val="0"/>
                      <w:marTop w:val="0"/>
                      <w:marBottom w:val="0"/>
                      <w:divBdr>
                        <w:top w:val="none" w:sz="0" w:space="0" w:color="auto"/>
                        <w:left w:val="none" w:sz="0" w:space="0" w:color="auto"/>
                        <w:bottom w:val="none" w:sz="0" w:space="0" w:color="auto"/>
                        <w:right w:val="none" w:sz="0" w:space="0" w:color="auto"/>
                      </w:divBdr>
                      <w:divsChild>
                        <w:div w:id="1100877464">
                          <w:marLeft w:val="0"/>
                          <w:marRight w:val="0"/>
                          <w:marTop w:val="0"/>
                          <w:marBottom w:val="0"/>
                          <w:divBdr>
                            <w:top w:val="none" w:sz="0" w:space="0" w:color="auto"/>
                            <w:left w:val="none" w:sz="0" w:space="0" w:color="auto"/>
                            <w:bottom w:val="none" w:sz="0" w:space="0" w:color="auto"/>
                            <w:right w:val="none" w:sz="0" w:space="0" w:color="auto"/>
                          </w:divBdr>
                          <w:divsChild>
                            <w:div w:id="1655915757">
                              <w:marLeft w:val="0"/>
                              <w:marRight w:val="0"/>
                              <w:marTop w:val="0"/>
                              <w:marBottom w:val="0"/>
                              <w:divBdr>
                                <w:top w:val="none" w:sz="0" w:space="0" w:color="auto"/>
                                <w:left w:val="none" w:sz="0" w:space="0" w:color="auto"/>
                                <w:bottom w:val="none" w:sz="0" w:space="0" w:color="auto"/>
                                <w:right w:val="none" w:sz="0" w:space="0" w:color="auto"/>
                              </w:divBdr>
                              <w:divsChild>
                                <w:div w:id="1245261970">
                                  <w:marLeft w:val="0"/>
                                  <w:marRight w:val="0"/>
                                  <w:marTop w:val="0"/>
                                  <w:marBottom w:val="0"/>
                                  <w:divBdr>
                                    <w:top w:val="none" w:sz="0" w:space="0" w:color="auto"/>
                                    <w:left w:val="none" w:sz="0" w:space="0" w:color="auto"/>
                                    <w:bottom w:val="none" w:sz="0" w:space="0" w:color="auto"/>
                                    <w:right w:val="none" w:sz="0" w:space="0" w:color="auto"/>
                                  </w:divBdr>
                                  <w:divsChild>
                                    <w:div w:id="148442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767953">
                          <w:marLeft w:val="0"/>
                          <w:marRight w:val="0"/>
                          <w:marTop w:val="0"/>
                          <w:marBottom w:val="0"/>
                          <w:divBdr>
                            <w:top w:val="none" w:sz="0" w:space="0" w:color="auto"/>
                            <w:left w:val="none" w:sz="0" w:space="0" w:color="auto"/>
                            <w:bottom w:val="none" w:sz="0" w:space="0" w:color="auto"/>
                            <w:right w:val="none" w:sz="0" w:space="0" w:color="auto"/>
                          </w:divBdr>
                          <w:divsChild>
                            <w:div w:id="585505466">
                              <w:marLeft w:val="0"/>
                              <w:marRight w:val="0"/>
                              <w:marTop w:val="0"/>
                              <w:marBottom w:val="0"/>
                              <w:divBdr>
                                <w:top w:val="none" w:sz="0" w:space="0" w:color="auto"/>
                                <w:left w:val="none" w:sz="0" w:space="0" w:color="auto"/>
                                <w:bottom w:val="none" w:sz="0" w:space="0" w:color="auto"/>
                                <w:right w:val="none" w:sz="0" w:space="0" w:color="auto"/>
                              </w:divBdr>
                              <w:divsChild>
                                <w:div w:id="1353141558">
                                  <w:marLeft w:val="0"/>
                                  <w:marRight w:val="0"/>
                                  <w:marTop w:val="0"/>
                                  <w:marBottom w:val="0"/>
                                  <w:divBdr>
                                    <w:top w:val="none" w:sz="0" w:space="0" w:color="auto"/>
                                    <w:left w:val="none" w:sz="0" w:space="0" w:color="auto"/>
                                    <w:bottom w:val="none" w:sz="0" w:space="0" w:color="auto"/>
                                    <w:right w:val="none" w:sz="0" w:space="0" w:color="auto"/>
                                  </w:divBdr>
                                  <w:divsChild>
                                    <w:div w:id="147313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0844698">
                  <w:marLeft w:val="0"/>
                  <w:marRight w:val="0"/>
                  <w:marTop w:val="0"/>
                  <w:marBottom w:val="0"/>
                  <w:divBdr>
                    <w:top w:val="none" w:sz="0" w:space="0" w:color="auto"/>
                    <w:left w:val="none" w:sz="0" w:space="0" w:color="auto"/>
                    <w:bottom w:val="none" w:sz="0" w:space="0" w:color="auto"/>
                    <w:right w:val="none" w:sz="0" w:space="0" w:color="auto"/>
                  </w:divBdr>
                  <w:divsChild>
                    <w:div w:id="939485017">
                      <w:marLeft w:val="0"/>
                      <w:marRight w:val="0"/>
                      <w:marTop w:val="0"/>
                      <w:marBottom w:val="0"/>
                      <w:divBdr>
                        <w:top w:val="none" w:sz="0" w:space="0" w:color="auto"/>
                        <w:left w:val="none" w:sz="0" w:space="0" w:color="auto"/>
                        <w:bottom w:val="none" w:sz="0" w:space="0" w:color="auto"/>
                        <w:right w:val="none" w:sz="0" w:space="0" w:color="auto"/>
                      </w:divBdr>
                      <w:divsChild>
                        <w:div w:id="154418265">
                          <w:marLeft w:val="0"/>
                          <w:marRight w:val="0"/>
                          <w:marTop w:val="0"/>
                          <w:marBottom w:val="0"/>
                          <w:divBdr>
                            <w:top w:val="none" w:sz="0" w:space="0" w:color="auto"/>
                            <w:left w:val="none" w:sz="0" w:space="0" w:color="auto"/>
                            <w:bottom w:val="none" w:sz="0" w:space="0" w:color="auto"/>
                            <w:right w:val="none" w:sz="0" w:space="0" w:color="auto"/>
                          </w:divBdr>
                          <w:divsChild>
                            <w:div w:id="1535460751">
                              <w:marLeft w:val="0"/>
                              <w:marRight w:val="0"/>
                              <w:marTop w:val="0"/>
                              <w:marBottom w:val="0"/>
                              <w:divBdr>
                                <w:top w:val="none" w:sz="0" w:space="0" w:color="auto"/>
                                <w:left w:val="none" w:sz="0" w:space="0" w:color="auto"/>
                                <w:bottom w:val="none" w:sz="0" w:space="0" w:color="auto"/>
                                <w:right w:val="none" w:sz="0" w:space="0" w:color="auto"/>
                              </w:divBdr>
                              <w:divsChild>
                                <w:div w:id="54756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2315589">
          <w:marLeft w:val="0"/>
          <w:marRight w:val="0"/>
          <w:marTop w:val="0"/>
          <w:marBottom w:val="0"/>
          <w:divBdr>
            <w:top w:val="none" w:sz="0" w:space="0" w:color="auto"/>
            <w:left w:val="none" w:sz="0" w:space="0" w:color="auto"/>
            <w:bottom w:val="none" w:sz="0" w:space="0" w:color="auto"/>
            <w:right w:val="none" w:sz="0" w:space="0" w:color="auto"/>
          </w:divBdr>
          <w:divsChild>
            <w:div w:id="1844003213">
              <w:marLeft w:val="0"/>
              <w:marRight w:val="0"/>
              <w:marTop w:val="0"/>
              <w:marBottom w:val="0"/>
              <w:divBdr>
                <w:top w:val="none" w:sz="0" w:space="0" w:color="auto"/>
                <w:left w:val="none" w:sz="0" w:space="0" w:color="auto"/>
                <w:bottom w:val="none" w:sz="0" w:space="0" w:color="auto"/>
                <w:right w:val="none" w:sz="0" w:space="0" w:color="auto"/>
              </w:divBdr>
              <w:divsChild>
                <w:div w:id="610165866">
                  <w:marLeft w:val="0"/>
                  <w:marRight w:val="0"/>
                  <w:marTop w:val="0"/>
                  <w:marBottom w:val="0"/>
                  <w:divBdr>
                    <w:top w:val="none" w:sz="0" w:space="0" w:color="auto"/>
                    <w:left w:val="none" w:sz="0" w:space="0" w:color="auto"/>
                    <w:bottom w:val="none" w:sz="0" w:space="0" w:color="auto"/>
                    <w:right w:val="none" w:sz="0" w:space="0" w:color="auto"/>
                  </w:divBdr>
                  <w:divsChild>
                    <w:div w:id="1382053844">
                      <w:marLeft w:val="0"/>
                      <w:marRight w:val="0"/>
                      <w:marTop w:val="0"/>
                      <w:marBottom w:val="0"/>
                      <w:divBdr>
                        <w:top w:val="none" w:sz="0" w:space="0" w:color="auto"/>
                        <w:left w:val="none" w:sz="0" w:space="0" w:color="auto"/>
                        <w:bottom w:val="none" w:sz="0" w:space="0" w:color="auto"/>
                        <w:right w:val="none" w:sz="0" w:space="0" w:color="auto"/>
                      </w:divBdr>
                      <w:divsChild>
                        <w:div w:id="218131549">
                          <w:marLeft w:val="0"/>
                          <w:marRight w:val="0"/>
                          <w:marTop w:val="0"/>
                          <w:marBottom w:val="0"/>
                          <w:divBdr>
                            <w:top w:val="none" w:sz="0" w:space="0" w:color="auto"/>
                            <w:left w:val="none" w:sz="0" w:space="0" w:color="auto"/>
                            <w:bottom w:val="none" w:sz="0" w:space="0" w:color="auto"/>
                            <w:right w:val="none" w:sz="0" w:space="0" w:color="auto"/>
                          </w:divBdr>
                          <w:divsChild>
                            <w:div w:id="1101872313">
                              <w:marLeft w:val="0"/>
                              <w:marRight w:val="0"/>
                              <w:marTop w:val="0"/>
                              <w:marBottom w:val="0"/>
                              <w:divBdr>
                                <w:top w:val="none" w:sz="0" w:space="0" w:color="auto"/>
                                <w:left w:val="none" w:sz="0" w:space="0" w:color="auto"/>
                                <w:bottom w:val="none" w:sz="0" w:space="0" w:color="auto"/>
                                <w:right w:val="none" w:sz="0" w:space="0" w:color="auto"/>
                              </w:divBdr>
                              <w:divsChild>
                                <w:div w:id="406223041">
                                  <w:marLeft w:val="0"/>
                                  <w:marRight w:val="0"/>
                                  <w:marTop w:val="0"/>
                                  <w:marBottom w:val="0"/>
                                  <w:divBdr>
                                    <w:top w:val="none" w:sz="0" w:space="0" w:color="auto"/>
                                    <w:left w:val="none" w:sz="0" w:space="0" w:color="auto"/>
                                    <w:bottom w:val="none" w:sz="0" w:space="0" w:color="auto"/>
                                    <w:right w:val="none" w:sz="0" w:space="0" w:color="auto"/>
                                  </w:divBdr>
                                  <w:divsChild>
                                    <w:div w:id="1649896576">
                                      <w:marLeft w:val="0"/>
                                      <w:marRight w:val="0"/>
                                      <w:marTop w:val="0"/>
                                      <w:marBottom w:val="0"/>
                                      <w:divBdr>
                                        <w:top w:val="none" w:sz="0" w:space="0" w:color="auto"/>
                                        <w:left w:val="none" w:sz="0" w:space="0" w:color="auto"/>
                                        <w:bottom w:val="none" w:sz="0" w:space="0" w:color="auto"/>
                                        <w:right w:val="none" w:sz="0" w:space="0" w:color="auto"/>
                                      </w:divBdr>
                                      <w:divsChild>
                                        <w:div w:id="67884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2795230">
          <w:marLeft w:val="0"/>
          <w:marRight w:val="0"/>
          <w:marTop w:val="0"/>
          <w:marBottom w:val="0"/>
          <w:divBdr>
            <w:top w:val="none" w:sz="0" w:space="0" w:color="auto"/>
            <w:left w:val="none" w:sz="0" w:space="0" w:color="auto"/>
            <w:bottom w:val="none" w:sz="0" w:space="0" w:color="auto"/>
            <w:right w:val="none" w:sz="0" w:space="0" w:color="auto"/>
          </w:divBdr>
          <w:divsChild>
            <w:div w:id="819811777">
              <w:marLeft w:val="0"/>
              <w:marRight w:val="0"/>
              <w:marTop w:val="0"/>
              <w:marBottom w:val="0"/>
              <w:divBdr>
                <w:top w:val="none" w:sz="0" w:space="0" w:color="auto"/>
                <w:left w:val="none" w:sz="0" w:space="0" w:color="auto"/>
                <w:bottom w:val="none" w:sz="0" w:space="0" w:color="auto"/>
                <w:right w:val="none" w:sz="0" w:space="0" w:color="auto"/>
              </w:divBdr>
              <w:divsChild>
                <w:div w:id="235937295">
                  <w:marLeft w:val="0"/>
                  <w:marRight w:val="0"/>
                  <w:marTop w:val="0"/>
                  <w:marBottom w:val="0"/>
                  <w:divBdr>
                    <w:top w:val="none" w:sz="0" w:space="0" w:color="auto"/>
                    <w:left w:val="none" w:sz="0" w:space="0" w:color="auto"/>
                    <w:bottom w:val="none" w:sz="0" w:space="0" w:color="auto"/>
                    <w:right w:val="none" w:sz="0" w:space="0" w:color="auto"/>
                  </w:divBdr>
                  <w:divsChild>
                    <w:div w:id="1075980464">
                      <w:marLeft w:val="0"/>
                      <w:marRight w:val="0"/>
                      <w:marTop w:val="0"/>
                      <w:marBottom w:val="0"/>
                      <w:divBdr>
                        <w:top w:val="none" w:sz="0" w:space="0" w:color="auto"/>
                        <w:left w:val="none" w:sz="0" w:space="0" w:color="auto"/>
                        <w:bottom w:val="none" w:sz="0" w:space="0" w:color="auto"/>
                        <w:right w:val="none" w:sz="0" w:space="0" w:color="auto"/>
                      </w:divBdr>
                      <w:divsChild>
                        <w:div w:id="714231321">
                          <w:marLeft w:val="0"/>
                          <w:marRight w:val="0"/>
                          <w:marTop w:val="0"/>
                          <w:marBottom w:val="0"/>
                          <w:divBdr>
                            <w:top w:val="none" w:sz="0" w:space="0" w:color="auto"/>
                            <w:left w:val="none" w:sz="0" w:space="0" w:color="auto"/>
                            <w:bottom w:val="none" w:sz="0" w:space="0" w:color="auto"/>
                            <w:right w:val="none" w:sz="0" w:space="0" w:color="auto"/>
                          </w:divBdr>
                          <w:divsChild>
                            <w:div w:id="423307755">
                              <w:marLeft w:val="0"/>
                              <w:marRight w:val="0"/>
                              <w:marTop w:val="0"/>
                              <w:marBottom w:val="0"/>
                              <w:divBdr>
                                <w:top w:val="none" w:sz="0" w:space="0" w:color="auto"/>
                                <w:left w:val="none" w:sz="0" w:space="0" w:color="auto"/>
                                <w:bottom w:val="none" w:sz="0" w:space="0" w:color="auto"/>
                                <w:right w:val="none" w:sz="0" w:space="0" w:color="auto"/>
                              </w:divBdr>
                              <w:divsChild>
                                <w:div w:id="1316840162">
                                  <w:marLeft w:val="0"/>
                                  <w:marRight w:val="0"/>
                                  <w:marTop w:val="0"/>
                                  <w:marBottom w:val="0"/>
                                  <w:divBdr>
                                    <w:top w:val="none" w:sz="0" w:space="0" w:color="auto"/>
                                    <w:left w:val="none" w:sz="0" w:space="0" w:color="auto"/>
                                    <w:bottom w:val="none" w:sz="0" w:space="0" w:color="auto"/>
                                    <w:right w:val="none" w:sz="0" w:space="0" w:color="auto"/>
                                  </w:divBdr>
                                  <w:divsChild>
                                    <w:div w:id="168416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602398">
                          <w:marLeft w:val="0"/>
                          <w:marRight w:val="0"/>
                          <w:marTop w:val="0"/>
                          <w:marBottom w:val="0"/>
                          <w:divBdr>
                            <w:top w:val="none" w:sz="0" w:space="0" w:color="auto"/>
                            <w:left w:val="none" w:sz="0" w:space="0" w:color="auto"/>
                            <w:bottom w:val="none" w:sz="0" w:space="0" w:color="auto"/>
                            <w:right w:val="none" w:sz="0" w:space="0" w:color="auto"/>
                          </w:divBdr>
                          <w:divsChild>
                            <w:div w:id="1920552844">
                              <w:marLeft w:val="0"/>
                              <w:marRight w:val="0"/>
                              <w:marTop w:val="0"/>
                              <w:marBottom w:val="0"/>
                              <w:divBdr>
                                <w:top w:val="none" w:sz="0" w:space="0" w:color="auto"/>
                                <w:left w:val="none" w:sz="0" w:space="0" w:color="auto"/>
                                <w:bottom w:val="none" w:sz="0" w:space="0" w:color="auto"/>
                                <w:right w:val="none" w:sz="0" w:space="0" w:color="auto"/>
                              </w:divBdr>
                              <w:divsChild>
                                <w:div w:id="1577861598">
                                  <w:marLeft w:val="0"/>
                                  <w:marRight w:val="0"/>
                                  <w:marTop w:val="0"/>
                                  <w:marBottom w:val="0"/>
                                  <w:divBdr>
                                    <w:top w:val="none" w:sz="0" w:space="0" w:color="auto"/>
                                    <w:left w:val="none" w:sz="0" w:space="0" w:color="auto"/>
                                    <w:bottom w:val="none" w:sz="0" w:space="0" w:color="auto"/>
                                    <w:right w:val="none" w:sz="0" w:space="0" w:color="auto"/>
                                  </w:divBdr>
                                  <w:divsChild>
                                    <w:div w:id="49095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528119">
                  <w:marLeft w:val="0"/>
                  <w:marRight w:val="0"/>
                  <w:marTop w:val="0"/>
                  <w:marBottom w:val="0"/>
                  <w:divBdr>
                    <w:top w:val="none" w:sz="0" w:space="0" w:color="auto"/>
                    <w:left w:val="none" w:sz="0" w:space="0" w:color="auto"/>
                    <w:bottom w:val="none" w:sz="0" w:space="0" w:color="auto"/>
                    <w:right w:val="none" w:sz="0" w:space="0" w:color="auto"/>
                  </w:divBdr>
                  <w:divsChild>
                    <w:div w:id="717511276">
                      <w:marLeft w:val="0"/>
                      <w:marRight w:val="0"/>
                      <w:marTop w:val="0"/>
                      <w:marBottom w:val="0"/>
                      <w:divBdr>
                        <w:top w:val="none" w:sz="0" w:space="0" w:color="auto"/>
                        <w:left w:val="none" w:sz="0" w:space="0" w:color="auto"/>
                        <w:bottom w:val="none" w:sz="0" w:space="0" w:color="auto"/>
                        <w:right w:val="none" w:sz="0" w:space="0" w:color="auto"/>
                      </w:divBdr>
                      <w:divsChild>
                        <w:div w:id="1893420402">
                          <w:marLeft w:val="0"/>
                          <w:marRight w:val="0"/>
                          <w:marTop w:val="0"/>
                          <w:marBottom w:val="0"/>
                          <w:divBdr>
                            <w:top w:val="none" w:sz="0" w:space="0" w:color="auto"/>
                            <w:left w:val="none" w:sz="0" w:space="0" w:color="auto"/>
                            <w:bottom w:val="none" w:sz="0" w:space="0" w:color="auto"/>
                            <w:right w:val="none" w:sz="0" w:space="0" w:color="auto"/>
                          </w:divBdr>
                          <w:divsChild>
                            <w:div w:id="1903367099">
                              <w:marLeft w:val="0"/>
                              <w:marRight w:val="0"/>
                              <w:marTop w:val="0"/>
                              <w:marBottom w:val="0"/>
                              <w:divBdr>
                                <w:top w:val="none" w:sz="0" w:space="0" w:color="auto"/>
                                <w:left w:val="none" w:sz="0" w:space="0" w:color="auto"/>
                                <w:bottom w:val="none" w:sz="0" w:space="0" w:color="auto"/>
                                <w:right w:val="none" w:sz="0" w:space="0" w:color="auto"/>
                              </w:divBdr>
                              <w:divsChild>
                                <w:div w:id="50170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8564810">
          <w:marLeft w:val="0"/>
          <w:marRight w:val="0"/>
          <w:marTop w:val="0"/>
          <w:marBottom w:val="0"/>
          <w:divBdr>
            <w:top w:val="none" w:sz="0" w:space="0" w:color="auto"/>
            <w:left w:val="none" w:sz="0" w:space="0" w:color="auto"/>
            <w:bottom w:val="none" w:sz="0" w:space="0" w:color="auto"/>
            <w:right w:val="none" w:sz="0" w:space="0" w:color="auto"/>
          </w:divBdr>
          <w:divsChild>
            <w:div w:id="1699773431">
              <w:marLeft w:val="0"/>
              <w:marRight w:val="0"/>
              <w:marTop w:val="0"/>
              <w:marBottom w:val="0"/>
              <w:divBdr>
                <w:top w:val="none" w:sz="0" w:space="0" w:color="auto"/>
                <w:left w:val="none" w:sz="0" w:space="0" w:color="auto"/>
                <w:bottom w:val="none" w:sz="0" w:space="0" w:color="auto"/>
                <w:right w:val="none" w:sz="0" w:space="0" w:color="auto"/>
              </w:divBdr>
              <w:divsChild>
                <w:div w:id="1421565450">
                  <w:marLeft w:val="0"/>
                  <w:marRight w:val="0"/>
                  <w:marTop w:val="0"/>
                  <w:marBottom w:val="0"/>
                  <w:divBdr>
                    <w:top w:val="none" w:sz="0" w:space="0" w:color="auto"/>
                    <w:left w:val="none" w:sz="0" w:space="0" w:color="auto"/>
                    <w:bottom w:val="none" w:sz="0" w:space="0" w:color="auto"/>
                    <w:right w:val="none" w:sz="0" w:space="0" w:color="auto"/>
                  </w:divBdr>
                  <w:divsChild>
                    <w:div w:id="179319123">
                      <w:marLeft w:val="0"/>
                      <w:marRight w:val="0"/>
                      <w:marTop w:val="0"/>
                      <w:marBottom w:val="0"/>
                      <w:divBdr>
                        <w:top w:val="none" w:sz="0" w:space="0" w:color="auto"/>
                        <w:left w:val="none" w:sz="0" w:space="0" w:color="auto"/>
                        <w:bottom w:val="none" w:sz="0" w:space="0" w:color="auto"/>
                        <w:right w:val="none" w:sz="0" w:space="0" w:color="auto"/>
                      </w:divBdr>
                      <w:divsChild>
                        <w:div w:id="1480267034">
                          <w:marLeft w:val="0"/>
                          <w:marRight w:val="0"/>
                          <w:marTop w:val="0"/>
                          <w:marBottom w:val="0"/>
                          <w:divBdr>
                            <w:top w:val="none" w:sz="0" w:space="0" w:color="auto"/>
                            <w:left w:val="none" w:sz="0" w:space="0" w:color="auto"/>
                            <w:bottom w:val="none" w:sz="0" w:space="0" w:color="auto"/>
                            <w:right w:val="none" w:sz="0" w:space="0" w:color="auto"/>
                          </w:divBdr>
                          <w:divsChild>
                            <w:div w:id="896823246">
                              <w:marLeft w:val="0"/>
                              <w:marRight w:val="0"/>
                              <w:marTop w:val="0"/>
                              <w:marBottom w:val="0"/>
                              <w:divBdr>
                                <w:top w:val="none" w:sz="0" w:space="0" w:color="auto"/>
                                <w:left w:val="none" w:sz="0" w:space="0" w:color="auto"/>
                                <w:bottom w:val="none" w:sz="0" w:space="0" w:color="auto"/>
                                <w:right w:val="none" w:sz="0" w:space="0" w:color="auto"/>
                              </w:divBdr>
                              <w:divsChild>
                                <w:div w:id="13109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9031473">
                  <w:marLeft w:val="0"/>
                  <w:marRight w:val="0"/>
                  <w:marTop w:val="0"/>
                  <w:marBottom w:val="0"/>
                  <w:divBdr>
                    <w:top w:val="none" w:sz="0" w:space="0" w:color="auto"/>
                    <w:left w:val="none" w:sz="0" w:space="0" w:color="auto"/>
                    <w:bottom w:val="none" w:sz="0" w:space="0" w:color="auto"/>
                    <w:right w:val="none" w:sz="0" w:space="0" w:color="auto"/>
                  </w:divBdr>
                  <w:divsChild>
                    <w:div w:id="333842018">
                      <w:marLeft w:val="0"/>
                      <w:marRight w:val="0"/>
                      <w:marTop w:val="0"/>
                      <w:marBottom w:val="0"/>
                      <w:divBdr>
                        <w:top w:val="none" w:sz="0" w:space="0" w:color="auto"/>
                        <w:left w:val="none" w:sz="0" w:space="0" w:color="auto"/>
                        <w:bottom w:val="none" w:sz="0" w:space="0" w:color="auto"/>
                        <w:right w:val="none" w:sz="0" w:space="0" w:color="auto"/>
                      </w:divBdr>
                      <w:divsChild>
                        <w:div w:id="404844359">
                          <w:marLeft w:val="0"/>
                          <w:marRight w:val="0"/>
                          <w:marTop w:val="0"/>
                          <w:marBottom w:val="0"/>
                          <w:divBdr>
                            <w:top w:val="none" w:sz="0" w:space="0" w:color="auto"/>
                            <w:left w:val="none" w:sz="0" w:space="0" w:color="auto"/>
                            <w:bottom w:val="none" w:sz="0" w:space="0" w:color="auto"/>
                            <w:right w:val="none" w:sz="0" w:space="0" w:color="auto"/>
                          </w:divBdr>
                          <w:divsChild>
                            <w:div w:id="1488279308">
                              <w:marLeft w:val="0"/>
                              <w:marRight w:val="0"/>
                              <w:marTop w:val="0"/>
                              <w:marBottom w:val="0"/>
                              <w:divBdr>
                                <w:top w:val="none" w:sz="0" w:space="0" w:color="auto"/>
                                <w:left w:val="none" w:sz="0" w:space="0" w:color="auto"/>
                                <w:bottom w:val="none" w:sz="0" w:space="0" w:color="auto"/>
                                <w:right w:val="none" w:sz="0" w:space="0" w:color="auto"/>
                              </w:divBdr>
                              <w:divsChild>
                                <w:div w:id="1678456982">
                                  <w:marLeft w:val="0"/>
                                  <w:marRight w:val="0"/>
                                  <w:marTop w:val="0"/>
                                  <w:marBottom w:val="0"/>
                                  <w:divBdr>
                                    <w:top w:val="none" w:sz="0" w:space="0" w:color="auto"/>
                                    <w:left w:val="none" w:sz="0" w:space="0" w:color="auto"/>
                                    <w:bottom w:val="none" w:sz="0" w:space="0" w:color="auto"/>
                                    <w:right w:val="none" w:sz="0" w:space="0" w:color="auto"/>
                                  </w:divBdr>
                                  <w:divsChild>
                                    <w:div w:id="58689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621462">
                          <w:marLeft w:val="0"/>
                          <w:marRight w:val="0"/>
                          <w:marTop w:val="0"/>
                          <w:marBottom w:val="0"/>
                          <w:divBdr>
                            <w:top w:val="none" w:sz="0" w:space="0" w:color="auto"/>
                            <w:left w:val="none" w:sz="0" w:space="0" w:color="auto"/>
                            <w:bottom w:val="none" w:sz="0" w:space="0" w:color="auto"/>
                            <w:right w:val="none" w:sz="0" w:space="0" w:color="auto"/>
                          </w:divBdr>
                          <w:divsChild>
                            <w:div w:id="729958837">
                              <w:marLeft w:val="0"/>
                              <w:marRight w:val="0"/>
                              <w:marTop w:val="0"/>
                              <w:marBottom w:val="0"/>
                              <w:divBdr>
                                <w:top w:val="none" w:sz="0" w:space="0" w:color="auto"/>
                                <w:left w:val="none" w:sz="0" w:space="0" w:color="auto"/>
                                <w:bottom w:val="none" w:sz="0" w:space="0" w:color="auto"/>
                                <w:right w:val="none" w:sz="0" w:space="0" w:color="auto"/>
                              </w:divBdr>
                              <w:divsChild>
                                <w:div w:id="303632293">
                                  <w:marLeft w:val="0"/>
                                  <w:marRight w:val="0"/>
                                  <w:marTop w:val="0"/>
                                  <w:marBottom w:val="0"/>
                                  <w:divBdr>
                                    <w:top w:val="none" w:sz="0" w:space="0" w:color="auto"/>
                                    <w:left w:val="none" w:sz="0" w:space="0" w:color="auto"/>
                                    <w:bottom w:val="none" w:sz="0" w:space="0" w:color="auto"/>
                                    <w:right w:val="none" w:sz="0" w:space="0" w:color="auto"/>
                                  </w:divBdr>
                                  <w:divsChild>
                                    <w:div w:id="129802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1134316">
          <w:marLeft w:val="0"/>
          <w:marRight w:val="0"/>
          <w:marTop w:val="0"/>
          <w:marBottom w:val="0"/>
          <w:divBdr>
            <w:top w:val="none" w:sz="0" w:space="0" w:color="auto"/>
            <w:left w:val="none" w:sz="0" w:space="0" w:color="auto"/>
            <w:bottom w:val="none" w:sz="0" w:space="0" w:color="auto"/>
            <w:right w:val="none" w:sz="0" w:space="0" w:color="auto"/>
          </w:divBdr>
          <w:divsChild>
            <w:div w:id="844714042">
              <w:marLeft w:val="0"/>
              <w:marRight w:val="0"/>
              <w:marTop w:val="0"/>
              <w:marBottom w:val="0"/>
              <w:divBdr>
                <w:top w:val="none" w:sz="0" w:space="0" w:color="auto"/>
                <w:left w:val="none" w:sz="0" w:space="0" w:color="auto"/>
                <w:bottom w:val="none" w:sz="0" w:space="0" w:color="auto"/>
                <w:right w:val="none" w:sz="0" w:space="0" w:color="auto"/>
              </w:divBdr>
              <w:divsChild>
                <w:div w:id="138889335">
                  <w:marLeft w:val="0"/>
                  <w:marRight w:val="0"/>
                  <w:marTop w:val="0"/>
                  <w:marBottom w:val="0"/>
                  <w:divBdr>
                    <w:top w:val="none" w:sz="0" w:space="0" w:color="auto"/>
                    <w:left w:val="none" w:sz="0" w:space="0" w:color="auto"/>
                    <w:bottom w:val="none" w:sz="0" w:space="0" w:color="auto"/>
                    <w:right w:val="none" w:sz="0" w:space="0" w:color="auto"/>
                  </w:divBdr>
                  <w:divsChild>
                    <w:div w:id="231932818">
                      <w:marLeft w:val="0"/>
                      <w:marRight w:val="0"/>
                      <w:marTop w:val="0"/>
                      <w:marBottom w:val="0"/>
                      <w:divBdr>
                        <w:top w:val="none" w:sz="0" w:space="0" w:color="auto"/>
                        <w:left w:val="none" w:sz="0" w:space="0" w:color="auto"/>
                        <w:bottom w:val="none" w:sz="0" w:space="0" w:color="auto"/>
                        <w:right w:val="none" w:sz="0" w:space="0" w:color="auto"/>
                      </w:divBdr>
                      <w:divsChild>
                        <w:div w:id="2005546495">
                          <w:marLeft w:val="0"/>
                          <w:marRight w:val="0"/>
                          <w:marTop w:val="0"/>
                          <w:marBottom w:val="0"/>
                          <w:divBdr>
                            <w:top w:val="none" w:sz="0" w:space="0" w:color="auto"/>
                            <w:left w:val="none" w:sz="0" w:space="0" w:color="auto"/>
                            <w:bottom w:val="none" w:sz="0" w:space="0" w:color="auto"/>
                            <w:right w:val="none" w:sz="0" w:space="0" w:color="auto"/>
                          </w:divBdr>
                          <w:divsChild>
                            <w:div w:id="1957131192">
                              <w:marLeft w:val="0"/>
                              <w:marRight w:val="0"/>
                              <w:marTop w:val="0"/>
                              <w:marBottom w:val="0"/>
                              <w:divBdr>
                                <w:top w:val="none" w:sz="0" w:space="0" w:color="auto"/>
                                <w:left w:val="none" w:sz="0" w:space="0" w:color="auto"/>
                                <w:bottom w:val="none" w:sz="0" w:space="0" w:color="auto"/>
                                <w:right w:val="none" w:sz="0" w:space="0" w:color="auto"/>
                              </w:divBdr>
                              <w:divsChild>
                                <w:div w:id="181351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7618315">
                  <w:marLeft w:val="0"/>
                  <w:marRight w:val="0"/>
                  <w:marTop w:val="0"/>
                  <w:marBottom w:val="0"/>
                  <w:divBdr>
                    <w:top w:val="none" w:sz="0" w:space="0" w:color="auto"/>
                    <w:left w:val="none" w:sz="0" w:space="0" w:color="auto"/>
                    <w:bottom w:val="none" w:sz="0" w:space="0" w:color="auto"/>
                    <w:right w:val="none" w:sz="0" w:space="0" w:color="auto"/>
                  </w:divBdr>
                  <w:divsChild>
                    <w:div w:id="1022170582">
                      <w:marLeft w:val="0"/>
                      <w:marRight w:val="0"/>
                      <w:marTop w:val="0"/>
                      <w:marBottom w:val="0"/>
                      <w:divBdr>
                        <w:top w:val="none" w:sz="0" w:space="0" w:color="auto"/>
                        <w:left w:val="none" w:sz="0" w:space="0" w:color="auto"/>
                        <w:bottom w:val="none" w:sz="0" w:space="0" w:color="auto"/>
                        <w:right w:val="none" w:sz="0" w:space="0" w:color="auto"/>
                      </w:divBdr>
                      <w:divsChild>
                        <w:div w:id="379473968">
                          <w:marLeft w:val="0"/>
                          <w:marRight w:val="0"/>
                          <w:marTop w:val="0"/>
                          <w:marBottom w:val="0"/>
                          <w:divBdr>
                            <w:top w:val="none" w:sz="0" w:space="0" w:color="auto"/>
                            <w:left w:val="none" w:sz="0" w:space="0" w:color="auto"/>
                            <w:bottom w:val="none" w:sz="0" w:space="0" w:color="auto"/>
                            <w:right w:val="none" w:sz="0" w:space="0" w:color="auto"/>
                          </w:divBdr>
                          <w:divsChild>
                            <w:div w:id="1411854817">
                              <w:marLeft w:val="0"/>
                              <w:marRight w:val="0"/>
                              <w:marTop w:val="0"/>
                              <w:marBottom w:val="0"/>
                              <w:divBdr>
                                <w:top w:val="none" w:sz="0" w:space="0" w:color="auto"/>
                                <w:left w:val="none" w:sz="0" w:space="0" w:color="auto"/>
                                <w:bottom w:val="none" w:sz="0" w:space="0" w:color="auto"/>
                                <w:right w:val="none" w:sz="0" w:space="0" w:color="auto"/>
                              </w:divBdr>
                              <w:divsChild>
                                <w:div w:id="1443182134">
                                  <w:marLeft w:val="0"/>
                                  <w:marRight w:val="0"/>
                                  <w:marTop w:val="0"/>
                                  <w:marBottom w:val="0"/>
                                  <w:divBdr>
                                    <w:top w:val="none" w:sz="0" w:space="0" w:color="auto"/>
                                    <w:left w:val="none" w:sz="0" w:space="0" w:color="auto"/>
                                    <w:bottom w:val="none" w:sz="0" w:space="0" w:color="auto"/>
                                    <w:right w:val="none" w:sz="0" w:space="0" w:color="auto"/>
                                  </w:divBdr>
                                  <w:divsChild>
                                    <w:div w:id="66817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071908">
                          <w:marLeft w:val="0"/>
                          <w:marRight w:val="0"/>
                          <w:marTop w:val="0"/>
                          <w:marBottom w:val="0"/>
                          <w:divBdr>
                            <w:top w:val="none" w:sz="0" w:space="0" w:color="auto"/>
                            <w:left w:val="none" w:sz="0" w:space="0" w:color="auto"/>
                            <w:bottom w:val="none" w:sz="0" w:space="0" w:color="auto"/>
                            <w:right w:val="none" w:sz="0" w:space="0" w:color="auto"/>
                          </w:divBdr>
                          <w:divsChild>
                            <w:div w:id="1858998976">
                              <w:marLeft w:val="0"/>
                              <w:marRight w:val="0"/>
                              <w:marTop w:val="0"/>
                              <w:marBottom w:val="0"/>
                              <w:divBdr>
                                <w:top w:val="none" w:sz="0" w:space="0" w:color="auto"/>
                                <w:left w:val="none" w:sz="0" w:space="0" w:color="auto"/>
                                <w:bottom w:val="none" w:sz="0" w:space="0" w:color="auto"/>
                                <w:right w:val="none" w:sz="0" w:space="0" w:color="auto"/>
                              </w:divBdr>
                              <w:divsChild>
                                <w:div w:id="335502826">
                                  <w:marLeft w:val="0"/>
                                  <w:marRight w:val="0"/>
                                  <w:marTop w:val="0"/>
                                  <w:marBottom w:val="0"/>
                                  <w:divBdr>
                                    <w:top w:val="none" w:sz="0" w:space="0" w:color="auto"/>
                                    <w:left w:val="none" w:sz="0" w:space="0" w:color="auto"/>
                                    <w:bottom w:val="none" w:sz="0" w:space="0" w:color="auto"/>
                                    <w:right w:val="none" w:sz="0" w:space="0" w:color="auto"/>
                                  </w:divBdr>
                                  <w:divsChild>
                                    <w:div w:id="151094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7879033">
          <w:marLeft w:val="0"/>
          <w:marRight w:val="0"/>
          <w:marTop w:val="0"/>
          <w:marBottom w:val="0"/>
          <w:divBdr>
            <w:top w:val="none" w:sz="0" w:space="0" w:color="auto"/>
            <w:left w:val="none" w:sz="0" w:space="0" w:color="auto"/>
            <w:bottom w:val="none" w:sz="0" w:space="0" w:color="auto"/>
            <w:right w:val="none" w:sz="0" w:space="0" w:color="auto"/>
          </w:divBdr>
          <w:divsChild>
            <w:div w:id="409352779">
              <w:marLeft w:val="0"/>
              <w:marRight w:val="0"/>
              <w:marTop w:val="0"/>
              <w:marBottom w:val="0"/>
              <w:divBdr>
                <w:top w:val="none" w:sz="0" w:space="0" w:color="auto"/>
                <w:left w:val="none" w:sz="0" w:space="0" w:color="auto"/>
                <w:bottom w:val="none" w:sz="0" w:space="0" w:color="auto"/>
                <w:right w:val="none" w:sz="0" w:space="0" w:color="auto"/>
              </w:divBdr>
              <w:divsChild>
                <w:div w:id="429814949">
                  <w:marLeft w:val="0"/>
                  <w:marRight w:val="0"/>
                  <w:marTop w:val="0"/>
                  <w:marBottom w:val="0"/>
                  <w:divBdr>
                    <w:top w:val="none" w:sz="0" w:space="0" w:color="auto"/>
                    <w:left w:val="none" w:sz="0" w:space="0" w:color="auto"/>
                    <w:bottom w:val="none" w:sz="0" w:space="0" w:color="auto"/>
                    <w:right w:val="none" w:sz="0" w:space="0" w:color="auto"/>
                  </w:divBdr>
                  <w:divsChild>
                    <w:div w:id="711534605">
                      <w:marLeft w:val="0"/>
                      <w:marRight w:val="0"/>
                      <w:marTop w:val="0"/>
                      <w:marBottom w:val="0"/>
                      <w:divBdr>
                        <w:top w:val="none" w:sz="0" w:space="0" w:color="auto"/>
                        <w:left w:val="none" w:sz="0" w:space="0" w:color="auto"/>
                        <w:bottom w:val="none" w:sz="0" w:space="0" w:color="auto"/>
                        <w:right w:val="none" w:sz="0" w:space="0" w:color="auto"/>
                      </w:divBdr>
                      <w:divsChild>
                        <w:div w:id="678586843">
                          <w:marLeft w:val="0"/>
                          <w:marRight w:val="0"/>
                          <w:marTop w:val="0"/>
                          <w:marBottom w:val="0"/>
                          <w:divBdr>
                            <w:top w:val="none" w:sz="0" w:space="0" w:color="auto"/>
                            <w:left w:val="none" w:sz="0" w:space="0" w:color="auto"/>
                            <w:bottom w:val="none" w:sz="0" w:space="0" w:color="auto"/>
                            <w:right w:val="none" w:sz="0" w:space="0" w:color="auto"/>
                          </w:divBdr>
                          <w:divsChild>
                            <w:div w:id="1667247021">
                              <w:marLeft w:val="0"/>
                              <w:marRight w:val="0"/>
                              <w:marTop w:val="0"/>
                              <w:marBottom w:val="0"/>
                              <w:divBdr>
                                <w:top w:val="none" w:sz="0" w:space="0" w:color="auto"/>
                                <w:left w:val="none" w:sz="0" w:space="0" w:color="auto"/>
                                <w:bottom w:val="none" w:sz="0" w:space="0" w:color="auto"/>
                                <w:right w:val="none" w:sz="0" w:space="0" w:color="auto"/>
                              </w:divBdr>
                              <w:divsChild>
                                <w:div w:id="121477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838293">
                  <w:marLeft w:val="0"/>
                  <w:marRight w:val="0"/>
                  <w:marTop w:val="0"/>
                  <w:marBottom w:val="0"/>
                  <w:divBdr>
                    <w:top w:val="none" w:sz="0" w:space="0" w:color="auto"/>
                    <w:left w:val="none" w:sz="0" w:space="0" w:color="auto"/>
                    <w:bottom w:val="none" w:sz="0" w:space="0" w:color="auto"/>
                    <w:right w:val="none" w:sz="0" w:space="0" w:color="auto"/>
                  </w:divBdr>
                  <w:divsChild>
                    <w:div w:id="923417839">
                      <w:marLeft w:val="0"/>
                      <w:marRight w:val="0"/>
                      <w:marTop w:val="0"/>
                      <w:marBottom w:val="0"/>
                      <w:divBdr>
                        <w:top w:val="none" w:sz="0" w:space="0" w:color="auto"/>
                        <w:left w:val="none" w:sz="0" w:space="0" w:color="auto"/>
                        <w:bottom w:val="none" w:sz="0" w:space="0" w:color="auto"/>
                        <w:right w:val="none" w:sz="0" w:space="0" w:color="auto"/>
                      </w:divBdr>
                      <w:divsChild>
                        <w:div w:id="581178683">
                          <w:marLeft w:val="0"/>
                          <w:marRight w:val="0"/>
                          <w:marTop w:val="0"/>
                          <w:marBottom w:val="0"/>
                          <w:divBdr>
                            <w:top w:val="none" w:sz="0" w:space="0" w:color="auto"/>
                            <w:left w:val="none" w:sz="0" w:space="0" w:color="auto"/>
                            <w:bottom w:val="none" w:sz="0" w:space="0" w:color="auto"/>
                            <w:right w:val="none" w:sz="0" w:space="0" w:color="auto"/>
                          </w:divBdr>
                          <w:divsChild>
                            <w:div w:id="1214192990">
                              <w:marLeft w:val="0"/>
                              <w:marRight w:val="0"/>
                              <w:marTop w:val="0"/>
                              <w:marBottom w:val="0"/>
                              <w:divBdr>
                                <w:top w:val="none" w:sz="0" w:space="0" w:color="auto"/>
                                <w:left w:val="none" w:sz="0" w:space="0" w:color="auto"/>
                                <w:bottom w:val="none" w:sz="0" w:space="0" w:color="auto"/>
                                <w:right w:val="none" w:sz="0" w:space="0" w:color="auto"/>
                              </w:divBdr>
                              <w:divsChild>
                                <w:div w:id="1465074875">
                                  <w:marLeft w:val="0"/>
                                  <w:marRight w:val="0"/>
                                  <w:marTop w:val="0"/>
                                  <w:marBottom w:val="0"/>
                                  <w:divBdr>
                                    <w:top w:val="none" w:sz="0" w:space="0" w:color="auto"/>
                                    <w:left w:val="none" w:sz="0" w:space="0" w:color="auto"/>
                                    <w:bottom w:val="none" w:sz="0" w:space="0" w:color="auto"/>
                                    <w:right w:val="none" w:sz="0" w:space="0" w:color="auto"/>
                                  </w:divBdr>
                                  <w:divsChild>
                                    <w:div w:id="16548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322096">
                          <w:marLeft w:val="0"/>
                          <w:marRight w:val="0"/>
                          <w:marTop w:val="0"/>
                          <w:marBottom w:val="0"/>
                          <w:divBdr>
                            <w:top w:val="none" w:sz="0" w:space="0" w:color="auto"/>
                            <w:left w:val="none" w:sz="0" w:space="0" w:color="auto"/>
                            <w:bottom w:val="none" w:sz="0" w:space="0" w:color="auto"/>
                            <w:right w:val="none" w:sz="0" w:space="0" w:color="auto"/>
                          </w:divBdr>
                          <w:divsChild>
                            <w:div w:id="58066073">
                              <w:marLeft w:val="0"/>
                              <w:marRight w:val="0"/>
                              <w:marTop w:val="0"/>
                              <w:marBottom w:val="0"/>
                              <w:divBdr>
                                <w:top w:val="none" w:sz="0" w:space="0" w:color="auto"/>
                                <w:left w:val="none" w:sz="0" w:space="0" w:color="auto"/>
                                <w:bottom w:val="none" w:sz="0" w:space="0" w:color="auto"/>
                                <w:right w:val="none" w:sz="0" w:space="0" w:color="auto"/>
                              </w:divBdr>
                              <w:divsChild>
                                <w:div w:id="1741560417">
                                  <w:marLeft w:val="0"/>
                                  <w:marRight w:val="0"/>
                                  <w:marTop w:val="0"/>
                                  <w:marBottom w:val="0"/>
                                  <w:divBdr>
                                    <w:top w:val="none" w:sz="0" w:space="0" w:color="auto"/>
                                    <w:left w:val="none" w:sz="0" w:space="0" w:color="auto"/>
                                    <w:bottom w:val="none" w:sz="0" w:space="0" w:color="auto"/>
                                    <w:right w:val="none" w:sz="0" w:space="0" w:color="auto"/>
                                  </w:divBdr>
                                  <w:divsChild>
                                    <w:div w:id="42253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5327621">
          <w:marLeft w:val="0"/>
          <w:marRight w:val="0"/>
          <w:marTop w:val="0"/>
          <w:marBottom w:val="0"/>
          <w:divBdr>
            <w:top w:val="none" w:sz="0" w:space="0" w:color="auto"/>
            <w:left w:val="none" w:sz="0" w:space="0" w:color="auto"/>
            <w:bottom w:val="none" w:sz="0" w:space="0" w:color="auto"/>
            <w:right w:val="none" w:sz="0" w:space="0" w:color="auto"/>
          </w:divBdr>
          <w:divsChild>
            <w:div w:id="797911930">
              <w:marLeft w:val="0"/>
              <w:marRight w:val="0"/>
              <w:marTop w:val="0"/>
              <w:marBottom w:val="0"/>
              <w:divBdr>
                <w:top w:val="none" w:sz="0" w:space="0" w:color="auto"/>
                <w:left w:val="none" w:sz="0" w:space="0" w:color="auto"/>
                <w:bottom w:val="none" w:sz="0" w:space="0" w:color="auto"/>
                <w:right w:val="none" w:sz="0" w:space="0" w:color="auto"/>
              </w:divBdr>
              <w:divsChild>
                <w:div w:id="1142843764">
                  <w:marLeft w:val="0"/>
                  <w:marRight w:val="0"/>
                  <w:marTop w:val="0"/>
                  <w:marBottom w:val="0"/>
                  <w:divBdr>
                    <w:top w:val="none" w:sz="0" w:space="0" w:color="auto"/>
                    <w:left w:val="none" w:sz="0" w:space="0" w:color="auto"/>
                    <w:bottom w:val="none" w:sz="0" w:space="0" w:color="auto"/>
                    <w:right w:val="none" w:sz="0" w:space="0" w:color="auto"/>
                  </w:divBdr>
                  <w:divsChild>
                    <w:div w:id="1736781886">
                      <w:marLeft w:val="0"/>
                      <w:marRight w:val="0"/>
                      <w:marTop w:val="0"/>
                      <w:marBottom w:val="0"/>
                      <w:divBdr>
                        <w:top w:val="none" w:sz="0" w:space="0" w:color="auto"/>
                        <w:left w:val="none" w:sz="0" w:space="0" w:color="auto"/>
                        <w:bottom w:val="none" w:sz="0" w:space="0" w:color="auto"/>
                        <w:right w:val="none" w:sz="0" w:space="0" w:color="auto"/>
                      </w:divBdr>
                      <w:divsChild>
                        <w:div w:id="890458554">
                          <w:marLeft w:val="0"/>
                          <w:marRight w:val="0"/>
                          <w:marTop w:val="0"/>
                          <w:marBottom w:val="0"/>
                          <w:divBdr>
                            <w:top w:val="none" w:sz="0" w:space="0" w:color="auto"/>
                            <w:left w:val="none" w:sz="0" w:space="0" w:color="auto"/>
                            <w:bottom w:val="none" w:sz="0" w:space="0" w:color="auto"/>
                            <w:right w:val="none" w:sz="0" w:space="0" w:color="auto"/>
                          </w:divBdr>
                          <w:divsChild>
                            <w:div w:id="880020015">
                              <w:marLeft w:val="0"/>
                              <w:marRight w:val="0"/>
                              <w:marTop w:val="0"/>
                              <w:marBottom w:val="0"/>
                              <w:divBdr>
                                <w:top w:val="none" w:sz="0" w:space="0" w:color="auto"/>
                                <w:left w:val="none" w:sz="0" w:space="0" w:color="auto"/>
                                <w:bottom w:val="none" w:sz="0" w:space="0" w:color="auto"/>
                                <w:right w:val="none" w:sz="0" w:space="0" w:color="auto"/>
                              </w:divBdr>
                              <w:divsChild>
                                <w:div w:id="1634748452">
                                  <w:marLeft w:val="0"/>
                                  <w:marRight w:val="0"/>
                                  <w:marTop w:val="0"/>
                                  <w:marBottom w:val="0"/>
                                  <w:divBdr>
                                    <w:top w:val="none" w:sz="0" w:space="0" w:color="auto"/>
                                    <w:left w:val="none" w:sz="0" w:space="0" w:color="auto"/>
                                    <w:bottom w:val="none" w:sz="0" w:space="0" w:color="auto"/>
                                    <w:right w:val="none" w:sz="0" w:space="0" w:color="auto"/>
                                  </w:divBdr>
                                  <w:divsChild>
                                    <w:div w:id="2058234535">
                                      <w:marLeft w:val="0"/>
                                      <w:marRight w:val="0"/>
                                      <w:marTop w:val="0"/>
                                      <w:marBottom w:val="0"/>
                                      <w:divBdr>
                                        <w:top w:val="none" w:sz="0" w:space="0" w:color="auto"/>
                                        <w:left w:val="none" w:sz="0" w:space="0" w:color="auto"/>
                                        <w:bottom w:val="none" w:sz="0" w:space="0" w:color="auto"/>
                                        <w:right w:val="none" w:sz="0" w:space="0" w:color="auto"/>
                                      </w:divBdr>
                                      <w:divsChild>
                                        <w:div w:id="71342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7578880">
          <w:marLeft w:val="0"/>
          <w:marRight w:val="0"/>
          <w:marTop w:val="0"/>
          <w:marBottom w:val="0"/>
          <w:divBdr>
            <w:top w:val="none" w:sz="0" w:space="0" w:color="auto"/>
            <w:left w:val="none" w:sz="0" w:space="0" w:color="auto"/>
            <w:bottom w:val="none" w:sz="0" w:space="0" w:color="auto"/>
            <w:right w:val="none" w:sz="0" w:space="0" w:color="auto"/>
          </w:divBdr>
          <w:divsChild>
            <w:div w:id="1705860102">
              <w:marLeft w:val="0"/>
              <w:marRight w:val="0"/>
              <w:marTop w:val="0"/>
              <w:marBottom w:val="0"/>
              <w:divBdr>
                <w:top w:val="none" w:sz="0" w:space="0" w:color="auto"/>
                <w:left w:val="none" w:sz="0" w:space="0" w:color="auto"/>
                <w:bottom w:val="none" w:sz="0" w:space="0" w:color="auto"/>
                <w:right w:val="none" w:sz="0" w:space="0" w:color="auto"/>
              </w:divBdr>
              <w:divsChild>
                <w:div w:id="105271698">
                  <w:marLeft w:val="0"/>
                  <w:marRight w:val="0"/>
                  <w:marTop w:val="0"/>
                  <w:marBottom w:val="0"/>
                  <w:divBdr>
                    <w:top w:val="none" w:sz="0" w:space="0" w:color="auto"/>
                    <w:left w:val="none" w:sz="0" w:space="0" w:color="auto"/>
                    <w:bottom w:val="none" w:sz="0" w:space="0" w:color="auto"/>
                    <w:right w:val="none" w:sz="0" w:space="0" w:color="auto"/>
                  </w:divBdr>
                  <w:divsChild>
                    <w:div w:id="1430931705">
                      <w:marLeft w:val="0"/>
                      <w:marRight w:val="0"/>
                      <w:marTop w:val="0"/>
                      <w:marBottom w:val="0"/>
                      <w:divBdr>
                        <w:top w:val="none" w:sz="0" w:space="0" w:color="auto"/>
                        <w:left w:val="none" w:sz="0" w:space="0" w:color="auto"/>
                        <w:bottom w:val="none" w:sz="0" w:space="0" w:color="auto"/>
                        <w:right w:val="none" w:sz="0" w:space="0" w:color="auto"/>
                      </w:divBdr>
                      <w:divsChild>
                        <w:div w:id="332076943">
                          <w:marLeft w:val="0"/>
                          <w:marRight w:val="0"/>
                          <w:marTop w:val="0"/>
                          <w:marBottom w:val="0"/>
                          <w:divBdr>
                            <w:top w:val="none" w:sz="0" w:space="0" w:color="auto"/>
                            <w:left w:val="none" w:sz="0" w:space="0" w:color="auto"/>
                            <w:bottom w:val="none" w:sz="0" w:space="0" w:color="auto"/>
                            <w:right w:val="none" w:sz="0" w:space="0" w:color="auto"/>
                          </w:divBdr>
                          <w:divsChild>
                            <w:div w:id="38676306">
                              <w:marLeft w:val="0"/>
                              <w:marRight w:val="0"/>
                              <w:marTop w:val="0"/>
                              <w:marBottom w:val="0"/>
                              <w:divBdr>
                                <w:top w:val="none" w:sz="0" w:space="0" w:color="auto"/>
                                <w:left w:val="none" w:sz="0" w:space="0" w:color="auto"/>
                                <w:bottom w:val="none" w:sz="0" w:space="0" w:color="auto"/>
                                <w:right w:val="none" w:sz="0" w:space="0" w:color="auto"/>
                              </w:divBdr>
                              <w:divsChild>
                                <w:div w:id="1840386620">
                                  <w:marLeft w:val="0"/>
                                  <w:marRight w:val="0"/>
                                  <w:marTop w:val="0"/>
                                  <w:marBottom w:val="0"/>
                                  <w:divBdr>
                                    <w:top w:val="none" w:sz="0" w:space="0" w:color="auto"/>
                                    <w:left w:val="none" w:sz="0" w:space="0" w:color="auto"/>
                                    <w:bottom w:val="none" w:sz="0" w:space="0" w:color="auto"/>
                                    <w:right w:val="none" w:sz="0" w:space="0" w:color="auto"/>
                                  </w:divBdr>
                                  <w:divsChild>
                                    <w:div w:id="1701936350">
                                      <w:marLeft w:val="0"/>
                                      <w:marRight w:val="0"/>
                                      <w:marTop w:val="0"/>
                                      <w:marBottom w:val="0"/>
                                      <w:divBdr>
                                        <w:top w:val="none" w:sz="0" w:space="0" w:color="auto"/>
                                        <w:left w:val="none" w:sz="0" w:space="0" w:color="auto"/>
                                        <w:bottom w:val="none" w:sz="0" w:space="0" w:color="auto"/>
                                        <w:right w:val="none" w:sz="0" w:space="0" w:color="auto"/>
                                      </w:divBdr>
                                      <w:divsChild>
                                        <w:div w:id="200666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6078341">
      <w:bodyDiv w:val="1"/>
      <w:marLeft w:val="0"/>
      <w:marRight w:val="0"/>
      <w:marTop w:val="0"/>
      <w:marBottom w:val="0"/>
      <w:divBdr>
        <w:top w:val="none" w:sz="0" w:space="0" w:color="auto"/>
        <w:left w:val="none" w:sz="0" w:space="0" w:color="auto"/>
        <w:bottom w:val="none" w:sz="0" w:space="0" w:color="auto"/>
        <w:right w:val="none" w:sz="0" w:space="0" w:color="auto"/>
      </w:divBdr>
    </w:div>
    <w:div w:id="962927311">
      <w:bodyDiv w:val="1"/>
      <w:marLeft w:val="0"/>
      <w:marRight w:val="0"/>
      <w:marTop w:val="0"/>
      <w:marBottom w:val="0"/>
      <w:divBdr>
        <w:top w:val="none" w:sz="0" w:space="0" w:color="auto"/>
        <w:left w:val="none" w:sz="0" w:space="0" w:color="auto"/>
        <w:bottom w:val="none" w:sz="0" w:space="0" w:color="auto"/>
        <w:right w:val="none" w:sz="0" w:space="0" w:color="auto"/>
      </w:divBdr>
    </w:div>
    <w:div w:id="968828655">
      <w:bodyDiv w:val="1"/>
      <w:marLeft w:val="0"/>
      <w:marRight w:val="0"/>
      <w:marTop w:val="0"/>
      <w:marBottom w:val="0"/>
      <w:divBdr>
        <w:top w:val="none" w:sz="0" w:space="0" w:color="auto"/>
        <w:left w:val="none" w:sz="0" w:space="0" w:color="auto"/>
        <w:bottom w:val="none" w:sz="0" w:space="0" w:color="auto"/>
        <w:right w:val="none" w:sz="0" w:space="0" w:color="auto"/>
      </w:divBdr>
    </w:div>
    <w:div w:id="971591764">
      <w:bodyDiv w:val="1"/>
      <w:marLeft w:val="0"/>
      <w:marRight w:val="0"/>
      <w:marTop w:val="0"/>
      <w:marBottom w:val="0"/>
      <w:divBdr>
        <w:top w:val="none" w:sz="0" w:space="0" w:color="auto"/>
        <w:left w:val="none" w:sz="0" w:space="0" w:color="auto"/>
        <w:bottom w:val="none" w:sz="0" w:space="0" w:color="auto"/>
        <w:right w:val="none" w:sz="0" w:space="0" w:color="auto"/>
      </w:divBdr>
    </w:div>
    <w:div w:id="980689366">
      <w:bodyDiv w:val="1"/>
      <w:marLeft w:val="0"/>
      <w:marRight w:val="0"/>
      <w:marTop w:val="0"/>
      <w:marBottom w:val="0"/>
      <w:divBdr>
        <w:top w:val="none" w:sz="0" w:space="0" w:color="auto"/>
        <w:left w:val="none" w:sz="0" w:space="0" w:color="auto"/>
        <w:bottom w:val="none" w:sz="0" w:space="0" w:color="auto"/>
        <w:right w:val="none" w:sz="0" w:space="0" w:color="auto"/>
      </w:divBdr>
    </w:div>
    <w:div w:id="994836570">
      <w:bodyDiv w:val="1"/>
      <w:marLeft w:val="0"/>
      <w:marRight w:val="0"/>
      <w:marTop w:val="0"/>
      <w:marBottom w:val="0"/>
      <w:divBdr>
        <w:top w:val="none" w:sz="0" w:space="0" w:color="auto"/>
        <w:left w:val="none" w:sz="0" w:space="0" w:color="auto"/>
        <w:bottom w:val="none" w:sz="0" w:space="0" w:color="auto"/>
        <w:right w:val="none" w:sz="0" w:space="0" w:color="auto"/>
      </w:divBdr>
    </w:div>
    <w:div w:id="998192980">
      <w:bodyDiv w:val="1"/>
      <w:marLeft w:val="0"/>
      <w:marRight w:val="0"/>
      <w:marTop w:val="0"/>
      <w:marBottom w:val="0"/>
      <w:divBdr>
        <w:top w:val="none" w:sz="0" w:space="0" w:color="auto"/>
        <w:left w:val="none" w:sz="0" w:space="0" w:color="auto"/>
        <w:bottom w:val="none" w:sz="0" w:space="0" w:color="auto"/>
        <w:right w:val="none" w:sz="0" w:space="0" w:color="auto"/>
      </w:divBdr>
    </w:div>
    <w:div w:id="1007169009">
      <w:bodyDiv w:val="1"/>
      <w:marLeft w:val="0"/>
      <w:marRight w:val="0"/>
      <w:marTop w:val="0"/>
      <w:marBottom w:val="0"/>
      <w:divBdr>
        <w:top w:val="none" w:sz="0" w:space="0" w:color="auto"/>
        <w:left w:val="none" w:sz="0" w:space="0" w:color="auto"/>
        <w:bottom w:val="none" w:sz="0" w:space="0" w:color="auto"/>
        <w:right w:val="none" w:sz="0" w:space="0" w:color="auto"/>
      </w:divBdr>
      <w:divsChild>
        <w:div w:id="644504197">
          <w:marLeft w:val="0"/>
          <w:marRight w:val="0"/>
          <w:marTop w:val="0"/>
          <w:marBottom w:val="0"/>
          <w:divBdr>
            <w:top w:val="none" w:sz="0" w:space="0" w:color="auto"/>
            <w:left w:val="none" w:sz="0" w:space="0" w:color="auto"/>
            <w:bottom w:val="none" w:sz="0" w:space="0" w:color="auto"/>
            <w:right w:val="none" w:sz="0" w:space="0" w:color="auto"/>
          </w:divBdr>
          <w:divsChild>
            <w:div w:id="470099374">
              <w:marLeft w:val="0"/>
              <w:marRight w:val="0"/>
              <w:marTop w:val="0"/>
              <w:marBottom w:val="0"/>
              <w:divBdr>
                <w:top w:val="none" w:sz="0" w:space="0" w:color="auto"/>
                <w:left w:val="none" w:sz="0" w:space="0" w:color="auto"/>
                <w:bottom w:val="none" w:sz="0" w:space="0" w:color="auto"/>
                <w:right w:val="none" w:sz="0" w:space="0" w:color="auto"/>
              </w:divBdr>
              <w:divsChild>
                <w:div w:id="85274198">
                  <w:marLeft w:val="0"/>
                  <w:marRight w:val="0"/>
                  <w:marTop w:val="0"/>
                  <w:marBottom w:val="0"/>
                  <w:divBdr>
                    <w:top w:val="none" w:sz="0" w:space="0" w:color="auto"/>
                    <w:left w:val="none" w:sz="0" w:space="0" w:color="auto"/>
                    <w:bottom w:val="none" w:sz="0" w:space="0" w:color="auto"/>
                    <w:right w:val="none" w:sz="0" w:space="0" w:color="auto"/>
                  </w:divBdr>
                  <w:divsChild>
                    <w:div w:id="211874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490624">
      <w:bodyDiv w:val="1"/>
      <w:marLeft w:val="0"/>
      <w:marRight w:val="0"/>
      <w:marTop w:val="0"/>
      <w:marBottom w:val="0"/>
      <w:divBdr>
        <w:top w:val="none" w:sz="0" w:space="0" w:color="auto"/>
        <w:left w:val="none" w:sz="0" w:space="0" w:color="auto"/>
        <w:bottom w:val="none" w:sz="0" w:space="0" w:color="auto"/>
        <w:right w:val="none" w:sz="0" w:space="0" w:color="auto"/>
      </w:divBdr>
    </w:div>
    <w:div w:id="1014966130">
      <w:bodyDiv w:val="1"/>
      <w:marLeft w:val="0"/>
      <w:marRight w:val="0"/>
      <w:marTop w:val="0"/>
      <w:marBottom w:val="0"/>
      <w:divBdr>
        <w:top w:val="none" w:sz="0" w:space="0" w:color="auto"/>
        <w:left w:val="none" w:sz="0" w:space="0" w:color="auto"/>
        <w:bottom w:val="none" w:sz="0" w:space="0" w:color="auto"/>
        <w:right w:val="none" w:sz="0" w:space="0" w:color="auto"/>
      </w:divBdr>
    </w:div>
    <w:div w:id="1028027552">
      <w:bodyDiv w:val="1"/>
      <w:marLeft w:val="0"/>
      <w:marRight w:val="0"/>
      <w:marTop w:val="0"/>
      <w:marBottom w:val="0"/>
      <w:divBdr>
        <w:top w:val="none" w:sz="0" w:space="0" w:color="auto"/>
        <w:left w:val="none" w:sz="0" w:space="0" w:color="auto"/>
        <w:bottom w:val="none" w:sz="0" w:space="0" w:color="auto"/>
        <w:right w:val="none" w:sz="0" w:space="0" w:color="auto"/>
      </w:divBdr>
    </w:div>
    <w:div w:id="1030033867">
      <w:bodyDiv w:val="1"/>
      <w:marLeft w:val="0"/>
      <w:marRight w:val="0"/>
      <w:marTop w:val="0"/>
      <w:marBottom w:val="0"/>
      <w:divBdr>
        <w:top w:val="none" w:sz="0" w:space="0" w:color="auto"/>
        <w:left w:val="none" w:sz="0" w:space="0" w:color="auto"/>
        <w:bottom w:val="none" w:sz="0" w:space="0" w:color="auto"/>
        <w:right w:val="none" w:sz="0" w:space="0" w:color="auto"/>
      </w:divBdr>
    </w:div>
    <w:div w:id="1053043359">
      <w:bodyDiv w:val="1"/>
      <w:marLeft w:val="0"/>
      <w:marRight w:val="0"/>
      <w:marTop w:val="0"/>
      <w:marBottom w:val="0"/>
      <w:divBdr>
        <w:top w:val="none" w:sz="0" w:space="0" w:color="auto"/>
        <w:left w:val="none" w:sz="0" w:space="0" w:color="auto"/>
        <w:bottom w:val="none" w:sz="0" w:space="0" w:color="auto"/>
        <w:right w:val="none" w:sz="0" w:space="0" w:color="auto"/>
      </w:divBdr>
    </w:div>
    <w:div w:id="1067219765">
      <w:bodyDiv w:val="1"/>
      <w:marLeft w:val="0"/>
      <w:marRight w:val="0"/>
      <w:marTop w:val="0"/>
      <w:marBottom w:val="0"/>
      <w:divBdr>
        <w:top w:val="none" w:sz="0" w:space="0" w:color="auto"/>
        <w:left w:val="none" w:sz="0" w:space="0" w:color="auto"/>
        <w:bottom w:val="none" w:sz="0" w:space="0" w:color="auto"/>
        <w:right w:val="none" w:sz="0" w:space="0" w:color="auto"/>
      </w:divBdr>
    </w:div>
    <w:div w:id="1074356549">
      <w:bodyDiv w:val="1"/>
      <w:marLeft w:val="0"/>
      <w:marRight w:val="0"/>
      <w:marTop w:val="0"/>
      <w:marBottom w:val="0"/>
      <w:divBdr>
        <w:top w:val="none" w:sz="0" w:space="0" w:color="auto"/>
        <w:left w:val="none" w:sz="0" w:space="0" w:color="auto"/>
        <w:bottom w:val="none" w:sz="0" w:space="0" w:color="auto"/>
        <w:right w:val="none" w:sz="0" w:space="0" w:color="auto"/>
      </w:divBdr>
    </w:div>
    <w:div w:id="1090003242">
      <w:bodyDiv w:val="1"/>
      <w:marLeft w:val="0"/>
      <w:marRight w:val="0"/>
      <w:marTop w:val="0"/>
      <w:marBottom w:val="0"/>
      <w:divBdr>
        <w:top w:val="none" w:sz="0" w:space="0" w:color="auto"/>
        <w:left w:val="none" w:sz="0" w:space="0" w:color="auto"/>
        <w:bottom w:val="none" w:sz="0" w:space="0" w:color="auto"/>
        <w:right w:val="none" w:sz="0" w:space="0" w:color="auto"/>
      </w:divBdr>
    </w:div>
    <w:div w:id="1090354680">
      <w:bodyDiv w:val="1"/>
      <w:marLeft w:val="0"/>
      <w:marRight w:val="0"/>
      <w:marTop w:val="0"/>
      <w:marBottom w:val="0"/>
      <w:divBdr>
        <w:top w:val="none" w:sz="0" w:space="0" w:color="auto"/>
        <w:left w:val="none" w:sz="0" w:space="0" w:color="auto"/>
        <w:bottom w:val="none" w:sz="0" w:space="0" w:color="auto"/>
        <w:right w:val="none" w:sz="0" w:space="0" w:color="auto"/>
      </w:divBdr>
    </w:div>
    <w:div w:id="1095908282">
      <w:bodyDiv w:val="1"/>
      <w:marLeft w:val="0"/>
      <w:marRight w:val="0"/>
      <w:marTop w:val="0"/>
      <w:marBottom w:val="0"/>
      <w:divBdr>
        <w:top w:val="none" w:sz="0" w:space="0" w:color="auto"/>
        <w:left w:val="none" w:sz="0" w:space="0" w:color="auto"/>
        <w:bottom w:val="none" w:sz="0" w:space="0" w:color="auto"/>
        <w:right w:val="none" w:sz="0" w:space="0" w:color="auto"/>
      </w:divBdr>
    </w:div>
    <w:div w:id="1112045386">
      <w:bodyDiv w:val="1"/>
      <w:marLeft w:val="0"/>
      <w:marRight w:val="0"/>
      <w:marTop w:val="0"/>
      <w:marBottom w:val="0"/>
      <w:divBdr>
        <w:top w:val="none" w:sz="0" w:space="0" w:color="auto"/>
        <w:left w:val="none" w:sz="0" w:space="0" w:color="auto"/>
        <w:bottom w:val="none" w:sz="0" w:space="0" w:color="auto"/>
        <w:right w:val="none" w:sz="0" w:space="0" w:color="auto"/>
      </w:divBdr>
      <w:divsChild>
        <w:div w:id="438529687">
          <w:marLeft w:val="0"/>
          <w:marRight w:val="0"/>
          <w:marTop w:val="0"/>
          <w:marBottom w:val="0"/>
          <w:divBdr>
            <w:top w:val="none" w:sz="0" w:space="0" w:color="auto"/>
            <w:left w:val="none" w:sz="0" w:space="0" w:color="auto"/>
            <w:bottom w:val="none" w:sz="0" w:space="0" w:color="auto"/>
            <w:right w:val="none" w:sz="0" w:space="0" w:color="auto"/>
          </w:divBdr>
          <w:divsChild>
            <w:div w:id="2091347009">
              <w:marLeft w:val="0"/>
              <w:marRight w:val="0"/>
              <w:marTop w:val="0"/>
              <w:marBottom w:val="0"/>
              <w:divBdr>
                <w:top w:val="none" w:sz="0" w:space="0" w:color="auto"/>
                <w:left w:val="none" w:sz="0" w:space="0" w:color="auto"/>
                <w:bottom w:val="none" w:sz="0" w:space="0" w:color="auto"/>
                <w:right w:val="none" w:sz="0" w:space="0" w:color="auto"/>
              </w:divBdr>
              <w:divsChild>
                <w:div w:id="1989244873">
                  <w:marLeft w:val="0"/>
                  <w:marRight w:val="0"/>
                  <w:marTop w:val="0"/>
                  <w:marBottom w:val="0"/>
                  <w:divBdr>
                    <w:top w:val="none" w:sz="0" w:space="0" w:color="auto"/>
                    <w:left w:val="none" w:sz="0" w:space="0" w:color="auto"/>
                    <w:bottom w:val="none" w:sz="0" w:space="0" w:color="auto"/>
                    <w:right w:val="none" w:sz="0" w:space="0" w:color="auto"/>
                  </w:divBdr>
                  <w:divsChild>
                    <w:div w:id="1796218615">
                      <w:marLeft w:val="0"/>
                      <w:marRight w:val="0"/>
                      <w:marTop w:val="0"/>
                      <w:marBottom w:val="0"/>
                      <w:divBdr>
                        <w:top w:val="none" w:sz="0" w:space="0" w:color="auto"/>
                        <w:left w:val="none" w:sz="0" w:space="0" w:color="auto"/>
                        <w:bottom w:val="none" w:sz="0" w:space="0" w:color="auto"/>
                        <w:right w:val="none" w:sz="0" w:space="0" w:color="auto"/>
                      </w:divBdr>
                      <w:divsChild>
                        <w:div w:id="1694922213">
                          <w:marLeft w:val="0"/>
                          <w:marRight w:val="0"/>
                          <w:marTop w:val="0"/>
                          <w:marBottom w:val="0"/>
                          <w:divBdr>
                            <w:top w:val="none" w:sz="0" w:space="0" w:color="auto"/>
                            <w:left w:val="none" w:sz="0" w:space="0" w:color="auto"/>
                            <w:bottom w:val="none" w:sz="0" w:space="0" w:color="auto"/>
                            <w:right w:val="none" w:sz="0" w:space="0" w:color="auto"/>
                          </w:divBdr>
                          <w:divsChild>
                            <w:div w:id="75478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397522">
      <w:bodyDiv w:val="1"/>
      <w:marLeft w:val="0"/>
      <w:marRight w:val="0"/>
      <w:marTop w:val="0"/>
      <w:marBottom w:val="0"/>
      <w:divBdr>
        <w:top w:val="none" w:sz="0" w:space="0" w:color="auto"/>
        <w:left w:val="none" w:sz="0" w:space="0" w:color="auto"/>
        <w:bottom w:val="none" w:sz="0" w:space="0" w:color="auto"/>
        <w:right w:val="none" w:sz="0" w:space="0" w:color="auto"/>
      </w:divBdr>
    </w:div>
    <w:div w:id="1120564733">
      <w:bodyDiv w:val="1"/>
      <w:marLeft w:val="0"/>
      <w:marRight w:val="0"/>
      <w:marTop w:val="0"/>
      <w:marBottom w:val="0"/>
      <w:divBdr>
        <w:top w:val="none" w:sz="0" w:space="0" w:color="auto"/>
        <w:left w:val="none" w:sz="0" w:space="0" w:color="auto"/>
        <w:bottom w:val="none" w:sz="0" w:space="0" w:color="auto"/>
        <w:right w:val="none" w:sz="0" w:space="0" w:color="auto"/>
      </w:divBdr>
    </w:div>
    <w:div w:id="1148983289">
      <w:bodyDiv w:val="1"/>
      <w:marLeft w:val="0"/>
      <w:marRight w:val="0"/>
      <w:marTop w:val="0"/>
      <w:marBottom w:val="0"/>
      <w:divBdr>
        <w:top w:val="none" w:sz="0" w:space="0" w:color="auto"/>
        <w:left w:val="none" w:sz="0" w:space="0" w:color="auto"/>
        <w:bottom w:val="none" w:sz="0" w:space="0" w:color="auto"/>
        <w:right w:val="none" w:sz="0" w:space="0" w:color="auto"/>
      </w:divBdr>
    </w:div>
    <w:div w:id="1154377160">
      <w:bodyDiv w:val="1"/>
      <w:marLeft w:val="0"/>
      <w:marRight w:val="0"/>
      <w:marTop w:val="0"/>
      <w:marBottom w:val="0"/>
      <w:divBdr>
        <w:top w:val="none" w:sz="0" w:space="0" w:color="auto"/>
        <w:left w:val="none" w:sz="0" w:space="0" w:color="auto"/>
        <w:bottom w:val="none" w:sz="0" w:space="0" w:color="auto"/>
        <w:right w:val="none" w:sz="0" w:space="0" w:color="auto"/>
      </w:divBdr>
    </w:div>
    <w:div w:id="1169520316">
      <w:bodyDiv w:val="1"/>
      <w:marLeft w:val="0"/>
      <w:marRight w:val="0"/>
      <w:marTop w:val="0"/>
      <w:marBottom w:val="0"/>
      <w:divBdr>
        <w:top w:val="none" w:sz="0" w:space="0" w:color="auto"/>
        <w:left w:val="none" w:sz="0" w:space="0" w:color="auto"/>
        <w:bottom w:val="none" w:sz="0" w:space="0" w:color="auto"/>
        <w:right w:val="none" w:sz="0" w:space="0" w:color="auto"/>
      </w:divBdr>
    </w:div>
    <w:div w:id="1170413107">
      <w:bodyDiv w:val="1"/>
      <w:marLeft w:val="0"/>
      <w:marRight w:val="0"/>
      <w:marTop w:val="0"/>
      <w:marBottom w:val="0"/>
      <w:divBdr>
        <w:top w:val="none" w:sz="0" w:space="0" w:color="auto"/>
        <w:left w:val="none" w:sz="0" w:space="0" w:color="auto"/>
        <w:bottom w:val="none" w:sz="0" w:space="0" w:color="auto"/>
        <w:right w:val="none" w:sz="0" w:space="0" w:color="auto"/>
      </w:divBdr>
    </w:div>
    <w:div w:id="1176846780">
      <w:bodyDiv w:val="1"/>
      <w:marLeft w:val="0"/>
      <w:marRight w:val="0"/>
      <w:marTop w:val="0"/>
      <w:marBottom w:val="0"/>
      <w:divBdr>
        <w:top w:val="none" w:sz="0" w:space="0" w:color="auto"/>
        <w:left w:val="none" w:sz="0" w:space="0" w:color="auto"/>
        <w:bottom w:val="none" w:sz="0" w:space="0" w:color="auto"/>
        <w:right w:val="none" w:sz="0" w:space="0" w:color="auto"/>
      </w:divBdr>
    </w:div>
    <w:div w:id="1190755530">
      <w:bodyDiv w:val="1"/>
      <w:marLeft w:val="0"/>
      <w:marRight w:val="0"/>
      <w:marTop w:val="0"/>
      <w:marBottom w:val="0"/>
      <w:divBdr>
        <w:top w:val="none" w:sz="0" w:space="0" w:color="auto"/>
        <w:left w:val="none" w:sz="0" w:space="0" w:color="auto"/>
        <w:bottom w:val="none" w:sz="0" w:space="0" w:color="auto"/>
        <w:right w:val="none" w:sz="0" w:space="0" w:color="auto"/>
      </w:divBdr>
    </w:div>
    <w:div w:id="1192689763">
      <w:bodyDiv w:val="1"/>
      <w:marLeft w:val="0"/>
      <w:marRight w:val="0"/>
      <w:marTop w:val="0"/>
      <w:marBottom w:val="0"/>
      <w:divBdr>
        <w:top w:val="none" w:sz="0" w:space="0" w:color="auto"/>
        <w:left w:val="none" w:sz="0" w:space="0" w:color="auto"/>
        <w:bottom w:val="none" w:sz="0" w:space="0" w:color="auto"/>
        <w:right w:val="none" w:sz="0" w:space="0" w:color="auto"/>
      </w:divBdr>
    </w:div>
    <w:div w:id="1204293761">
      <w:bodyDiv w:val="1"/>
      <w:marLeft w:val="0"/>
      <w:marRight w:val="0"/>
      <w:marTop w:val="0"/>
      <w:marBottom w:val="0"/>
      <w:divBdr>
        <w:top w:val="none" w:sz="0" w:space="0" w:color="auto"/>
        <w:left w:val="none" w:sz="0" w:space="0" w:color="auto"/>
        <w:bottom w:val="none" w:sz="0" w:space="0" w:color="auto"/>
        <w:right w:val="none" w:sz="0" w:space="0" w:color="auto"/>
      </w:divBdr>
    </w:div>
    <w:div w:id="1234239750">
      <w:bodyDiv w:val="1"/>
      <w:marLeft w:val="0"/>
      <w:marRight w:val="0"/>
      <w:marTop w:val="0"/>
      <w:marBottom w:val="0"/>
      <w:divBdr>
        <w:top w:val="none" w:sz="0" w:space="0" w:color="auto"/>
        <w:left w:val="none" w:sz="0" w:space="0" w:color="auto"/>
        <w:bottom w:val="none" w:sz="0" w:space="0" w:color="auto"/>
        <w:right w:val="none" w:sz="0" w:space="0" w:color="auto"/>
      </w:divBdr>
    </w:div>
    <w:div w:id="1245264977">
      <w:bodyDiv w:val="1"/>
      <w:marLeft w:val="0"/>
      <w:marRight w:val="0"/>
      <w:marTop w:val="0"/>
      <w:marBottom w:val="0"/>
      <w:divBdr>
        <w:top w:val="none" w:sz="0" w:space="0" w:color="auto"/>
        <w:left w:val="none" w:sz="0" w:space="0" w:color="auto"/>
        <w:bottom w:val="none" w:sz="0" w:space="0" w:color="auto"/>
        <w:right w:val="none" w:sz="0" w:space="0" w:color="auto"/>
      </w:divBdr>
      <w:divsChild>
        <w:div w:id="1466893471">
          <w:marLeft w:val="0"/>
          <w:marRight w:val="0"/>
          <w:marTop w:val="0"/>
          <w:marBottom w:val="0"/>
          <w:divBdr>
            <w:top w:val="none" w:sz="0" w:space="0" w:color="auto"/>
            <w:left w:val="none" w:sz="0" w:space="0" w:color="auto"/>
            <w:bottom w:val="none" w:sz="0" w:space="0" w:color="auto"/>
            <w:right w:val="none" w:sz="0" w:space="0" w:color="auto"/>
          </w:divBdr>
          <w:divsChild>
            <w:div w:id="973176259">
              <w:marLeft w:val="0"/>
              <w:marRight w:val="0"/>
              <w:marTop w:val="0"/>
              <w:marBottom w:val="0"/>
              <w:divBdr>
                <w:top w:val="none" w:sz="0" w:space="0" w:color="auto"/>
                <w:left w:val="none" w:sz="0" w:space="0" w:color="auto"/>
                <w:bottom w:val="none" w:sz="0" w:space="0" w:color="auto"/>
                <w:right w:val="none" w:sz="0" w:space="0" w:color="auto"/>
              </w:divBdr>
              <w:divsChild>
                <w:div w:id="229384906">
                  <w:marLeft w:val="0"/>
                  <w:marRight w:val="0"/>
                  <w:marTop w:val="0"/>
                  <w:marBottom w:val="0"/>
                  <w:divBdr>
                    <w:top w:val="none" w:sz="0" w:space="0" w:color="auto"/>
                    <w:left w:val="none" w:sz="0" w:space="0" w:color="auto"/>
                    <w:bottom w:val="none" w:sz="0" w:space="0" w:color="auto"/>
                    <w:right w:val="none" w:sz="0" w:space="0" w:color="auto"/>
                  </w:divBdr>
                  <w:divsChild>
                    <w:div w:id="1686126146">
                      <w:marLeft w:val="0"/>
                      <w:marRight w:val="0"/>
                      <w:marTop w:val="0"/>
                      <w:marBottom w:val="0"/>
                      <w:divBdr>
                        <w:top w:val="none" w:sz="0" w:space="0" w:color="auto"/>
                        <w:left w:val="none" w:sz="0" w:space="0" w:color="auto"/>
                        <w:bottom w:val="none" w:sz="0" w:space="0" w:color="auto"/>
                        <w:right w:val="none" w:sz="0" w:space="0" w:color="auto"/>
                      </w:divBdr>
                      <w:divsChild>
                        <w:div w:id="74475473">
                          <w:marLeft w:val="0"/>
                          <w:marRight w:val="0"/>
                          <w:marTop w:val="0"/>
                          <w:marBottom w:val="0"/>
                          <w:divBdr>
                            <w:top w:val="none" w:sz="0" w:space="0" w:color="auto"/>
                            <w:left w:val="none" w:sz="0" w:space="0" w:color="auto"/>
                            <w:bottom w:val="none" w:sz="0" w:space="0" w:color="auto"/>
                            <w:right w:val="none" w:sz="0" w:space="0" w:color="auto"/>
                          </w:divBdr>
                          <w:divsChild>
                            <w:div w:id="640428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921551">
      <w:bodyDiv w:val="1"/>
      <w:marLeft w:val="0"/>
      <w:marRight w:val="0"/>
      <w:marTop w:val="0"/>
      <w:marBottom w:val="0"/>
      <w:divBdr>
        <w:top w:val="none" w:sz="0" w:space="0" w:color="auto"/>
        <w:left w:val="none" w:sz="0" w:space="0" w:color="auto"/>
        <w:bottom w:val="none" w:sz="0" w:space="0" w:color="auto"/>
        <w:right w:val="none" w:sz="0" w:space="0" w:color="auto"/>
      </w:divBdr>
      <w:divsChild>
        <w:div w:id="357897933">
          <w:marLeft w:val="0"/>
          <w:marRight w:val="0"/>
          <w:marTop w:val="0"/>
          <w:marBottom w:val="0"/>
          <w:divBdr>
            <w:top w:val="none" w:sz="0" w:space="0" w:color="auto"/>
            <w:left w:val="none" w:sz="0" w:space="0" w:color="auto"/>
            <w:bottom w:val="none" w:sz="0" w:space="0" w:color="auto"/>
            <w:right w:val="none" w:sz="0" w:space="0" w:color="auto"/>
          </w:divBdr>
          <w:divsChild>
            <w:div w:id="1057246661">
              <w:marLeft w:val="0"/>
              <w:marRight w:val="0"/>
              <w:marTop w:val="0"/>
              <w:marBottom w:val="0"/>
              <w:divBdr>
                <w:top w:val="none" w:sz="0" w:space="0" w:color="auto"/>
                <w:left w:val="none" w:sz="0" w:space="0" w:color="auto"/>
                <w:bottom w:val="none" w:sz="0" w:space="0" w:color="auto"/>
                <w:right w:val="none" w:sz="0" w:space="0" w:color="auto"/>
              </w:divBdr>
              <w:divsChild>
                <w:div w:id="1069235379">
                  <w:marLeft w:val="0"/>
                  <w:marRight w:val="0"/>
                  <w:marTop w:val="0"/>
                  <w:marBottom w:val="0"/>
                  <w:divBdr>
                    <w:top w:val="none" w:sz="0" w:space="0" w:color="auto"/>
                    <w:left w:val="none" w:sz="0" w:space="0" w:color="auto"/>
                    <w:bottom w:val="none" w:sz="0" w:space="0" w:color="auto"/>
                    <w:right w:val="none" w:sz="0" w:space="0" w:color="auto"/>
                  </w:divBdr>
                  <w:divsChild>
                    <w:div w:id="971784965">
                      <w:marLeft w:val="0"/>
                      <w:marRight w:val="0"/>
                      <w:marTop w:val="0"/>
                      <w:marBottom w:val="0"/>
                      <w:divBdr>
                        <w:top w:val="none" w:sz="0" w:space="0" w:color="auto"/>
                        <w:left w:val="none" w:sz="0" w:space="0" w:color="auto"/>
                        <w:bottom w:val="none" w:sz="0" w:space="0" w:color="auto"/>
                        <w:right w:val="none" w:sz="0" w:space="0" w:color="auto"/>
                      </w:divBdr>
                      <w:divsChild>
                        <w:div w:id="2067561452">
                          <w:marLeft w:val="0"/>
                          <w:marRight w:val="0"/>
                          <w:marTop w:val="0"/>
                          <w:marBottom w:val="0"/>
                          <w:divBdr>
                            <w:top w:val="none" w:sz="0" w:space="0" w:color="auto"/>
                            <w:left w:val="none" w:sz="0" w:space="0" w:color="auto"/>
                            <w:bottom w:val="none" w:sz="0" w:space="0" w:color="auto"/>
                            <w:right w:val="none" w:sz="0" w:space="0" w:color="auto"/>
                          </w:divBdr>
                          <w:divsChild>
                            <w:div w:id="68185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6279127">
      <w:bodyDiv w:val="1"/>
      <w:marLeft w:val="0"/>
      <w:marRight w:val="0"/>
      <w:marTop w:val="0"/>
      <w:marBottom w:val="0"/>
      <w:divBdr>
        <w:top w:val="none" w:sz="0" w:space="0" w:color="auto"/>
        <w:left w:val="none" w:sz="0" w:space="0" w:color="auto"/>
        <w:bottom w:val="none" w:sz="0" w:space="0" w:color="auto"/>
        <w:right w:val="none" w:sz="0" w:space="0" w:color="auto"/>
      </w:divBdr>
    </w:div>
    <w:div w:id="1263416104">
      <w:bodyDiv w:val="1"/>
      <w:marLeft w:val="0"/>
      <w:marRight w:val="0"/>
      <w:marTop w:val="0"/>
      <w:marBottom w:val="0"/>
      <w:divBdr>
        <w:top w:val="none" w:sz="0" w:space="0" w:color="auto"/>
        <w:left w:val="none" w:sz="0" w:space="0" w:color="auto"/>
        <w:bottom w:val="none" w:sz="0" w:space="0" w:color="auto"/>
        <w:right w:val="none" w:sz="0" w:space="0" w:color="auto"/>
      </w:divBdr>
    </w:div>
    <w:div w:id="1268855849">
      <w:bodyDiv w:val="1"/>
      <w:marLeft w:val="0"/>
      <w:marRight w:val="0"/>
      <w:marTop w:val="0"/>
      <w:marBottom w:val="0"/>
      <w:divBdr>
        <w:top w:val="none" w:sz="0" w:space="0" w:color="auto"/>
        <w:left w:val="none" w:sz="0" w:space="0" w:color="auto"/>
        <w:bottom w:val="none" w:sz="0" w:space="0" w:color="auto"/>
        <w:right w:val="none" w:sz="0" w:space="0" w:color="auto"/>
      </w:divBdr>
    </w:div>
    <w:div w:id="1271083139">
      <w:bodyDiv w:val="1"/>
      <w:marLeft w:val="0"/>
      <w:marRight w:val="0"/>
      <w:marTop w:val="0"/>
      <w:marBottom w:val="0"/>
      <w:divBdr>
        <w:top w:val="none" w:sz="0" w:space="0" w:color="auto"/>
        <w:left w:val="none" w:sz="0" w:space="0" w:color="auto"/>
        <w:bottom w:val="none" w:sz="0" w:space="0" w:color="auto"/>
        <w:right w:val="none" w:sz="0" w:space="0" w:color="auto"/>
      </w:divBdr>
    </w:div>
    <w:div w:id="1287391817">
      <w:bodyDiv w:val="1"/>
      <w:marLeft w:val="0"/>
      <w:marRight w:val="0"/>
      <w:marTop w:val="0"/>
      <w:marBottom w:val="0"/>
      <w:divBdr>
        <w:top w:val="none" w:sz="0" w:space="0" w:color="auto"/>
        <w:left w:val="none" w:sz="0" w:space="0" w:color="auto"/>
        <w:bottom w:val="none" w:sz="0" w:space="0" w:color="auto"/>
        <w:right w:val="none" w:sz="0" w:space="0" w:color="auto"/>
      </w:divBdr>
    </w:div>
    <w:div w:id="1305157241">
      <w:bodyDiv w:val="1"/>
      <w:marLeft w:val="0"/>
      <w:marRight w:val="0"/>
      <w:marTop w:val="0"/>
      <w:marBottom w:val="0"/>
      <w:divBdr>
        <w:top w:val="none" w:sz="0" w:space="0" w:color="auto"/>
        <w:left w:val="none" w:sz="0" w:space="0" w:color="auto"/>
        <w:bottom w:val="none" w:sz="0" w:space="0" w:color="auto"/>
        <w:right w:val="none" w:sz="0" w:space="0" w:color="auto"/>
      </w:divBdr>
      <w:divsChild>
        <w:div w:id="89814179">
          <w:blockQuote w:val="1"/>
          <w:marLeft w:val="600"/>
          <w:marRight w:val="0"/>
          <w:marTop w:val="120"/>
          <w:marBottom w:val="120"/>
          <w:divBdr>
            <w:top w:val="none" w:sz="0" w:space="0" w:color="auto"/>
            <w:left w:val="none" w:sz="0" w:space="0" w:color="auto"/>
            <w:bottom w:val="none" w:sz="0" w:space="0" w:color="auto"/>
            <w:right w:val="none" w:sz="0" w:space="0" w:color="auto"/>
          </w:divBdr>
        </w:div>
        <w:div w:id="223685441">
          <w:blockQuote w:val="1"/>
          <w:marLeft w:val="600"/>
          <w:marRight w:val="0"/>
          <w:marTop w:val="120"/>
          <w:marBottom w:val="120"/>
          <w:divBdr>
            <w:top w:val="none" w:sz="0" w:space="0" w:color="auto"/>
            <w:left w:val="none" w:sz="0" w:space="0" w:color="auto"/>
            <w:bottom w:val="none" w:sz="0" w:space="0" w:color="auto"/>
            <w:right w:val="none" w:sz="0" w:space="0" w:color="auto"/>
          </w:divBdr>
        </w:div>
        <w:div w:id="559291870">
          <w:blockQuote w:val="1"/>
          <w:marLeft w:val="600"/>
          <w:marRight w:val="0"/>
          <w:marTop w:val="120"/>
          <w:marBottom w:val="120"/>
          <w:divBdr>
            <w:top w:val="none" w:sz="0" w:space="0" w:color="auto"/>
            <w:left w:val="none" w:sz="0" w:space="0" w:color="auto"/>
            <w:bottom w:val="none" w:sz="0" w:space="0" w:color="auto"/>
            <w:right w:val="none" w:sz="0" w:space="0" w:color="auto"/>
          </w:divBdr>
        </w:div>
        <w:div w:id="1053118361">
          <w:blockQuote w:val="1"/>
          <w:marLeft w:val="600"/>
          <w:marRight w:val="0"/>
          <w:marTop w:val="120"/>
          <w:marBottom w:val="120"/>
          <w:divBdr>
            <w:top w:val="none" w:sz="0" w:space="0" w:color="auto"/>
            <w:left w:val="none" w:sz="0" w:space="0" w:color="auto"/>
            <w:bottom w:val="none" w:sz="0" w:space="0" w:color="auto"/>
            <w:right w:val="none" w:sz="0" w:space="0" w:color="auto"/>
          </w:divBdr>
        </w:div>
        <w:div w:id="1057555487">
          <w:blockQuote w:val="1"/>
          <w:marLeft w:val="600"/>
          <w:marRight w:val="0"/>
          <w:marTop w:val="120"/>
          <w:marBottom w:val="120"/>
          <w:divBdr>
            <w:top w:val="none" w:sz="0" w:space="0" w:color="auto"/>
            <w:left w:val="none" w:sz="0" w:space="0" w:color="auto"/>
            <w:bottom w:val="none" w:sz="0" w:space="0" w:color="auto"/>
            <w:right w:val="none" w:sz="0" w:space="0" w:color="auto"/>
          </w:divBdr>
        </w:div>
        <w:div w:id="1719551585">
          <w:blockQuote w:val="1"/>
          <w:marLeft w:val="600"/>
          <w:marRight w:val="0"/>
          <w:marTop w:val="120"/>
          <w:marBottom w:val="120"/>
          <w:divBdr>
            <w:top w:val="none" w:sz="0" w:space="0" w:color="auto"/>
            <w:left w:val="none" w:sz="0" w:space="0" w:color="auto"/>
            <w:bottom w:val="none" w:sz="0" w:space="0" w:color="auto"/>
            <w:right w:val="none" w:sz="0" w:space="0" w:color="auto"/>
          </w:divBdr>
        </w:div>
        <w:div w:id="1971085067">
          <w:blockQuote w:val="1"/>
          <w:marLeft w:val="600"/>
          <w:marRight w:val="0"/>
          <w:marTop w:val="120"/>
          <w:marBottom w:val="120"/>
          <w:divBdr>
            <w:top w:val="none" w:sz="0" w:space="0" w:color="auto"/>
            <w:left w:val="none" w:sz="0" w:space="0" w:color="auto"/>
            <w:bottom w:val="none" w:sz="0" w:space="0" w:color="auto"/>
            <w:right w:val="none" w:sz="0" w:space="0" w:color="auto"/>
          </w:divBdr>
        </w:div>
        <w:div w:id="2146896376">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1308820362">
      <w:bodyDiv w:val="1"/>
      <w:marLeft w:val="0"/>
      <w:marRight w:val="0"/>
      <w:marTop w:val="0"/>
      <w:marBottom w:val="0"/>
      <w:divBdr>
        <w:top w:val="none" w:sz="0" w:space="0" w:color="auto"/>
        <w:left w:val="none" w:sz="0" w:space="0" w:color="auto"/>
        <w:bottom w:val="none" w:sz="0" w:space="0" w:color="auto"/>
        <w:right w:val="none" w:sz="0" w:space="0" w:color="auto"/>
      </w:divBdr>
    </w:div>
    <w:div w:id="1313830238">
      <w:bodyDiv w:val="1"/>
      <w:marLeft w:val="0"/>
      <w:marRight w:val="0"/>
      <w:marTop w:val="0"/>
      <w:marBottom w:val="0"/>
      <w:divBdr>
        <w:top w:val="none" w:sz="0" w:space="0" w:color="auto"/>
        <w:left w:val="none" w:sz="0" w:space="0" w:color="auto"/>
        <w:bottom w:val="none" w:sz="0" w:space="0" w:color="auto"/>
        <w:right w:val="none" w:sz="0" w:space="0" w:color="auto"/>
      </w:divBdr>
    </w:div>
    <w:div w:id="1316371782">
      <w:bodyDiv w:val="1"/>
      <w:marLeft w:val="0"/>
      <w:marRight w:val="0"/>
      <w:marTop w:val="0"/>
      <w:marBottom w:val="0"/>
      <w:divBdr>
        <w:top w:val="none" w:sz="0" w:space="0" w:color="auto"/>
        <w:left w:val="none" w:sz="0" w:space="0" w:color="auto"/>
        <w:bottom w:val="none" w:sz="0" w:space="0" w:color="auto"/>
        <w:right w:val="none" w:sz="0" w:space="0" w:color="auto"/>
      </w:divBdr>
    </w:div>
    <w:div w:id="1341850769">
      <w:bodyDiv w:val="1"/>
      <w:marLeft w:val="0"/>
      <w:marRight w:val="0"/>
      <w:marTop w:val="0"/>
      <w:marBottom w:val="0"/>
      <w:divBdr>
        <w:top w:val="none" w:sz="0" w:space="0" w:color="auto"/>
        <w:left w:val="none" w:sz="0" w:space="0" w:color="auto"/>
        <w:bottom w:val="none" w:sz="0" w:space="0" w:color="auto"/>
        <w:right w:val="none" w:sz="0" w:space="0" w:color="auto"/>
      </w:divBdr>
      <w:divsChild>
        <w:div w:id="21052465">
          <w:marLeft w:val="0"/>
          <w:marRight w:val="0"/>
          <w:marTop w:val="0"/>
          <w:marBottom w:val="0"/>
          <w:divBdr>
            <w:top w:val="none" w:sz="0" w:space="0" w:color="auto"/>
            <w:left w:val="none" w:sz="0" w:space="0" w:color="auto"/>
            <w:bottom w:val="none" w:sz="0" w:space="0" w:color="auto"/>
            <w:right w:val="none" w:sz="0" w:space="0" w:color="auto"/>
          </w:divBdr>
          <w:divsChild>
            <w:div w:id="1500003522">
              <w:marLeft w:val="0"/>
              <w:marRight w:val="0"/>
              <w:marTop w:val="0"/>
              <w:marBottom w:val="0"/>
              <w:divBdr>
                <w:top w:val="none" w:sz="0" w:space="0" w:color="auto"/>
                <w:left w:val="none" w:sz="0" w:space="0" w:color="auto"/>
                <w:bottom w:val="none" w:sz="0" w:space="0" w:color="auto"/>
                <w:right w:val="none" w:sz="0" w:space="0" w:color="auto"/>
              </w:divBdr>
            </w:div>
          </w:divsChild>
        </w:div>
        <w:div w:id="27146943">
          <w:marLeft w:val="0"/>
          <w:marRight w:val="0"/>
          <w:marTop w:val="0"/>
          <w:marBottom w:val="0"/>
          <w:divBdr>
            <w:top w:val="none" w:sz="0" w:space="0" w:color="auto"/>
            <w:left w:val="none" w:sz="0" w:space="0" w:color="auto"/>
            <w:bottom w:val="none" w:sz="0" w:space="0" w:color="auto"/>
            <w:right w:val="none" w:sz="0" w:space="0" w:color="auto"/>
          </w:divBdr>
          <w:divsChild>
            <w:div w:id="175778449">
              <w:marLeft w:val="0"/>
              <w:marRight w:val="0"/>
              <w:marTop w:val="0"/>
              <w:marBottom w:val="0"/>
              <w:divBdr>
                <w:top w:val="none" w:sz="0" w:space="0" w:color="auto"/>
                <w:left w:val="none" w:sz="0" w:space="0" w:color="auto"/>
                <w:bottom w:val="none" w:sz="0" w:space="0" w:color="auto"/>
                <w:right w:val="none" w:sz="0" w:space="0" w:color="auto"/>
              </w:divBdr>
            </w:div>
          </w:divsChild>
        </w:div>
        <w:div w:id="35394958">
          <w:marLeft w:val="0"/>
          <w:marRight w:val="0"/>
          <w:marTop w:val="0"/>
          <w:marBottom w:val="0"/>
          <w:divBdr>
            <w:top w:val="none" w:sz="0" w:space="0" w:color="auto"/>
            <w:left w:val="none" w:sz="0" w:space="0" w:color="auto"/>
            <w:bottom w:val="none" w:sz="0" w:space="0" w:color="auto"/>
            <w:right w:val="none" w:sz="0" w:space="0" w:color="auto"/>
          </w:divBdr>
          <w:divsChild>
            <w:div w:id="1452045851">
              <w:marLeft w:val="0"/>
              <w:marRight w:val="0"/>
              <w:marTop w:val="0"/>
              <w:marBottom w:val="0"/>
              <w:divBdr>
                <w:top w:val="none" w:sz="0" w:space="0" w:color="auto"/>
                <w:left w:val="none" w:sz="0" w:space="0" w:color="auto"/>
                <w:bottom w:val="none" w:sz="0" w:space="0" w:color="auto"/>
                <w:right w:val="none" w:sz="0" w:space="0" w:color="auto"/>
              </w:divBdr>
            </w:div>
          </w:divsChild>
        </w:div>
        <w:div w:id="151993442">
          <w:marLeft w:val="0"/>
          <w:marRight w:val="0"/>
          <w:marTop w:val="0"/>
          <w:marBottom w:val="0"/>
          <w:divBdr>
            <w:top w:val="none" w:sz="0" w:space="0" w:color="auto"/>
            <w:left w:val="none" w:sz="0" w:space="0" w:color="auto"/>
            <w:bottom w:val="none" w:sz="0" w:space="0" w:color="auto"/>
            <w:right w:val="none" w:sz="0" w:space="0" w:color="auto"/>
          </w:divBdr>
          <w:divsChild>
            <w:div w:id="1976257601">
              <w:marLeft w:val="0"/>
              <w:marRight w:val="0"/>
              <w:marTop w:val="0"/>
              <w:marBottom w:val="0"/>
              <w:divBdr>
                <w:top w:val="none" w:sz="0" w:space="0" w:color="auto"/>
                <w:left w:val="none" w:sz="0" w:space="0" w:color="auto"/>
                <w:bottom w:val="none" w:sz="0" w:space="0" w:color="auto"/>
                <w:right w:val="none" w:sz="0" w:space="0" w:color="auto"/>
              </w:divBdr>
            </w:div>
          </w:divsChild>
        </w:div>
        <w:div w:id="182210546">
          <w:marLeft w:val="0"/>
          <w:marRight w:val="0"/>
          <w:marTop w:val="0"/>
          <w:marBottom w:val="0"/>
          <w:divBdr>
            <w:top w:val="none" w:sz="0" w:space="0" w:color="auto"/>
            <w:left w:val="none" w:sz="0" w:space="0" w:color="auto"/>
            <w:bottom w:val="none" w:sz="0" w:space="0" w:color="auto"/>
            <w:right w:val="none" w:sz="0" w:space="0" w:color="auto"/>
          </w:divBdr>
          <w:divsChild>
            <w:div w:id="310446551">
              <w:marLeft w:val="0"/>
              <w:marRight w:val="0"/>
              <w:marTop w:val="0"/>
              <w:marBottom w:val="0"/>
              <w:divBdr>
                <w:top w:val="none" w:sz="0" w:space="0" w:color="auto"/>
                <w:left w:val="none" w:sz="0" w:space="0" w:color="auto"/>
                <w:bottom w:val="none" w:sz="0" w:space="0" w:color="auto"/>
                <w:right w:val="none" w:sz="0" w:space="0" w:color="auto"/>
              </w:divBdr>
            </w:div>
          </w:divsChild>
        </w:div>
        <w:div w:id="236288896">
          <w:marLeft w:val="0"/>
          <w:marRight w:val="0"/>
          <w:marTop w:val="0"/>
          <w:marBottom w:val="0"/>
          <w:divBdr>
            <w:top w:val="none" w:sz="0" w:space="0" w:color="auto"/>
            <w:left w:val="none" w:sz="0" w:space="0" w:color="auto"/>
            <w:bottom w:val="none" w:sz="0" w:space="0" w:color="auto"/>
            <w:right w:val="none" w:sz="0" w:space="0" w:color="auto"/>
          </w:divBdr>
          <w:divsChild>
            <w:div w:id="504252415">
              <w:marLeft w:val="0"/>
              <w:marRight w:val="0"/>
              <w:marTop w:val="0"/>
              <w:marBottom w:val="0"/>
              <w:divBdr>
                <w:top w:val="none" w:sz="0" w:space="0" w:color="auto"/>
                <w:left w:val="none" w:sz="0" w:space="0" w:color="auto"/>
                <w:bottom w:val="none" w:sz="0" w:space="0" w:color="auto"/>
                <w:right w:val="none" w:sz="0" w:space="0" w:color="auto"/>
              </w:divBdr>
            </w:div>
          </w:divsChild>
        </w:div>
        <w:div w:id="237131852">
          <w:marLeft w:val="0"/>
          <w:marRight w:val="0"/>
          <w:marTop w:val="0"/>
          <w:marBottom w:val="0"/>
          <w:divBdr>
            <w:top w:val="none" w:sz="0" w:space="0" w:color="auto"/>
            <w:left w:val="none" w:sz="0" w:space="0" w:color="auto"/>
            <w:bottom w:val="none" w:sz="0" w:space="0" w:color="auto"/>
            <w:right w:val="none" w:sz="0" w:space="0" w:color="auto"/>
          </w:divBdr>
          <w:divsChild>
            <w:div w:id="1931695938">
              <w:marLeft w:val="0"/>
              <w:marRight w:val="0"/>
              <w:marTop w:val="0"/>
              <w:marBottom w:val="0"/>
              <w:divBdr>
                <w:top w:val="none" w:sz="0" w:space="0" w:color="auto"/>
                <w:left w:val="none" w:sz="0" w:space="0" w:color="auto"/>
                <w:bottom w:val="none" w:sz="0" w:space="0" w:color="auto"/>
                <w:right w:val="none" w:sz="0" w:space="0" w:color="auto"/>
              </w:divBdr>
            </w:div>
          </w:divsChild>
        </w:div>
        <w:div w:id="251403844">
          <w:marLeft w:val="0"/>
          <w:marRight w:val="0"/>
          <w:marTop w:val="0"/>
          <w:marBottom w:val="0"/>
          <w:divBdr>
            <w:top w:val="none" w:sz="0" w:space="0" w:color="auto"/>
            <w:left w:val="none" w:sz="0" w:space="0" w:color="auto"/>
            <w:bottom w:val="none" w:sz="0" w:space="0" w:color="auto"/>
            <w:right w:val="none" w:sz="0" w:space="0" w:color="auto"/>
          </w:divBdr>
          <w:divsChild>
            <w:div w:id="812066949">
              <w:marLeft w:val="0"/>
              <w:marRight w:val="0"/>
              <w:marTop w:val="0"/>
              <w:marBottom w:val="0"/>
              <w:divBdr>
                <w:top w:val="none" w:sz="0" w:space="0" w:color="auto"/>
                <w:left w:val="none" w:sz="0" w:space="0" w:color="auto"/>
                <w:bottom w:val="none" w:sz="0" w:space="0" w:color="auto"/>
                <w:right w:val="none" w:sz="0" w:space="0" w:color="auto"/>
              </w:divBdr>
            </w:div>
          </w:divsChild>
        </w:div>
        <w:div w:id="271792386">
          <w:marLeft w:val="0"/>
          <w:marRight w:val="0"/>
          <w:marTop w:val="0"/>
          <w:marBottom w:val="0"/>
          <w:divBdr>
            <w:top w:val="none" w:sz="0" w:space="0" w:color="auto"/>
            <w:left w:val="none" w:sz="0" w:space="0" w:color="auto"/>
            <w:bottom w:val="none" w:sz="0" w:space="0" w:color="auto"/>
            <w:right w:val="none" w:sz="0" w:space="0" w:color="auto"/>
          </w:divBdr>
          <w:divsChild>
            <w:div w:id="2011784616">
              <w:marLeft w:val="0"/>
              <w:marRight w:val="0"/>
              <w:marTop w:val="0"/>
              <w:marBottom w:val="0"/>
              <w:divBdr>
                <w:top w:val="none" w:sz="0" w:space="0" w:color="auto"/>
                <w:left w:val="none" w:sz="0" w:space="0" w:color="auto"/>
                <w:bottom w:val="none" w:sz="0" w:space="0" w:color="auto"/>
                <w:right w:val="none" w:sz="0" w:space="0" w:color="auto"/>
              </w:divBdr>
            </w:div>
          </w:divsChild>
        </w:div>
        <w:div w:id="281542661">
          <w:marLeft w:val="0"/>
          <w:marRight w:val="0"/>
          <w:marTop w:val="0"/>
          <w:marBottom w:val="0"/>
          <w:divBdr>
            <w:top w:val="none" w:sz="0" w:space="0" w:color="auto"/>
            <w:left w:val="none" w:sz="0" w:space="0" w:color="auto"/>
            <w:bottom w:val="none" w:sz="0" w:space="0" w:color="auto"/>
            <w:right w:val="none" w:sz="0" w:space="0" w:color="auto"/>
          </w:divBdr>
          <w:divsChild>
            <w:div w:id="1801192432">
              <w:marLeft w:val="0"/>
              <w:marRight w:val="0"/>
              <w:marTop w:val="0"/>
              <w:marBottom w:val="0"/>
              <w:divBdr>
                <w:top w:val="none" w:sz="0" w:space="0" w:color="auto"/>
                <w:left w:val="none" w:sz="0" w:space="0" w:color="auto"/>
                <w:bottom w:val="none" w:sz="0" w:space="0" w:color="auto"/>
                <w:right w:val="none" w:sz="0" w:space="0" w:color="auto"/>
              </w:divBdr>
            </w:div>
          </w:divsChild>
        </w:div>
        <w:div w:id="282657041">
          <w:marLeft w:val="0"/>
          <w:marRight w:val="0"/>
          <w:marTop w:val="0"/>
          <w:marBottom w:val="0"/>
          <w:divBdr>
            <w:top w:val="none" w:sz="0" w:space="0" w:color="auto"/>
            <w:left w:val="none" w:sz="0" w:space="0" w:color="auto"/>
            <w:bottom w:val="none" w:sz="0" w:space="0" w:color="auto"/>
            <w:right w:val="none" w:sz="0" w:space="0" w:color="auto"/>
          </w:divBdr>
          <w:divsChild>
            <w:div w:id="1384864228">
              <w:marLeft w:val="0"/>
              <w:marRight w:val="0"/>
              <w:marTop w:val="0"/>
              <w:marBottom w:val="0"/>
              <w:divBdr>
                <w:top w:val="none" w:sz="0" w:space="0" w:color="auto"/>
                <w:left w:val="none" w:sz="0" w:space="0" w:color="auto"/>
                <w:bottom w:val="none" w:sz="0" w:space="0" w:color="auto"/>
                <w:right w:val="none" w:sz="0" w:space="0" w:color="auto"/>
              </w:divBdr>
            </w:div>
          </w:divsChild>
        </w:div>
        <w:div w:id="293757200">
          <w:marLeft w:val="0"/>
          <w:marRight w:val="0"/>
          <w:marTop w:val="0"/>
          <w:marBottom w:val="0"/>
          <w:divBdr>
            <w:top w:val="none" w:sz="0" w:space="0" w:color="auto"/>
            <w:left w:val="none" w:sz="0" w:space="0" w:color="auto"/>
            <w:bottom w:val="none" w:sz="0" w:space="0" w:color="auto"/>
            <w:right w:val="none" w:sz="0" w:space="0" w:color="auto"/>
          </w:divBdr>
          <w:divsChild>
            <w:div w:id="232467449">
              <w:marLeft w:val="0"/>
              <w:marRight w:val="0"/>
              <w:marTop w:val="0"/>
              <w:marBottom w:val="0"/>
              <w:divBdr>
                <w:top w:val="none" w:sz="0" w:space="0" w:color="auto"/>
                <w:left w:val="none" w:sz="0" w:space="0" w:color="auto"/>
                <w:bottom w:val="none" w:sz="0" w:space="0" w:color="auto"/>
                <w:right w:val="none" w:sz="0" w:space="0" w:color="auto"/>
              </w:divBdr>
            </w:div>
          </w:divsChild>
        </w:div>
        <w:div w:id="301497298">
          <w:marLeft w:val="0"/>
          <w:marRight w:val="0"/>
          <w:marTop w:val="0"/>
          <w:marBottom w:val="0"/>
          <w:divBdr>
            <w:top w:val="none" w:sz="0" w:space="0" w:color="auto"/>
            <w:left w:val="none" w:sz="0" w:space="0" w:color="auto"/>
            <w:bottom w:val="none" w:sz="0" w:space="0" w:color="auto"/>
            <w:right w:val="none" w:sz="0" w:space="0" w:color="auto"/>
          </w:divBdr>
          <w:divsChild>
            <w:div w:id="2081324511">
              <w:marLeft w:val="0"/>
              <w:marRight w:val="0"/>
              <w:marTop w:val="0"/>
              <w:marBottom w:val="0"/>
              <w:divBdr>
                <w:top w:val="none" w:sz="0" w:space="0" w:color="auto"/>
                <w:left w:val="none" w:sz="0" w:space="0" w:color="auto"/>
                <w:bottom w:val="none" w:sz="0" w:space="0" w:color="auto"/>
                <w:right w:val="none" w:sz="0" w:space="0" w:color="auto"/>
              </w:divBdr>
            </w:div>
          </w:divsChild>
        </w:div>
        <w:div w:id="320744364">
          <w:marLeft w:val="0"/>
          <w:marRight w:val="0"/>
          <w:marTop w:val="0"/>
          <w:marBottom w:val="0"/>
          <w:divBdr>
            <w:top w:val="none" w:sz="0" w:space="0" w:color="auto"/>
            <w:left w:val="none" w:sz="0" w:space="0" w:color="auto"/>
            <w:bottom w:val="none" w:sz="0" w:space="0" w:color="auto"/>
            <w:right w:val="none" w:sz="0" w:space="0" w:color="auto"/>
          </w:divBdr>
          <w:divsChild>
            <w:div w:id="857281394">
              <w:marLeft w:val="0"/>
              <w:marRight w:val="0"/>
              <w:marTop w:val="0"/>
              <w:marBottom w:val="0"/>
              <w:divBdr>
                <w:top w:val="none" w:sz="0" w:space="0" w:color="auto"/>
                <w:left w:val="none" w:sz="0" w:space="0" w:color="auto"/>
                <w:bottom w:val="none" w:sz="0" w:space="0" w:color="auto"/>
                <w:right w:val="none" w:sz="0" w:space="0" w:color="auto"/>
              </w:divBdr>
            </w:div>
          </w:divsChild>
        </w:div>
        <w:div w:id="348680448">
          <w:marLeft w:val="0"/>
          <w:marRight w:val="0"/>
          <w:marTop w:val="0"/>
          <w:marBottom w:val="0"/>
          <w:divBdr>
            <w:top w:val="none" w:sz="0" w:space="0" w:color="auto"/>
            <w:left w:val="none" w:sz="0" w:space="0" w:color="auto"/>
            <w:bottom w:val="none" w:sz="0" w:space="0" w:color="auto"/>
            <w:right w:val="none" w:sz="0" w:space="0" w:color="auto"/>
          </w:divBdr>
          <w:divsChild>
            <w:div w:id="1534490366">
              <w:marLeft w:val="0"/>
              <w:marRight w:val="0"/>
              <w:marTop w:val="0"/>
              <w:marBottom w:val="0"/>
              <w:divBdr>
                <w:top w:val="none" w:sz="0" w:space="0" w:color="auto"/>
                <w:left w:val="none" w:sz="0" w:space="0" w:color="auto"/>
                <w:bottom w:val="none" w:sz="0" w:space="0" w:color="auto"/>
                <w:right w:val="none" w:sz="0" w:space="0" w:color="auto"/>
              </w:divBdr>
            </w:div>
          </w:divsChild>
        </w:div>
        <w:div w:id="357974091">
          <w:marLeft w:val="0"/>
          <w:marRight w:val="0"/>
          <w:marTop w:val="0"/>
          <w:marBottom w:val="0"/>
          <w:divBdr>
            <w:top w:val="none" w:sz="0" w:space="0" w:color="auto"/>
            <w:left w:val="none" w:sz="0" w:space="0" w:color="auto"/>
            <w:bottom w:val="none" w:sz="0" w:space="0" w:color="auto"/>
            <w:right w:val="none" w:sz="0" w:space="0" w:color="auto"/>
          </w:divBdr>
          <w:divsChild>
            <w:div w:id="122582245">
              <w:marLeft w:val="0"/>
              <w:marRight w:val="0"/>
              <w:marTop w:val="0"/>
              <w:marBottom w:val="0"/>
              <w:divBdr>
                <w:top w:val="none" w:sz="0" w:space="0" w:color="auto"/>
                <w:left w:val="none" w:sz="0" w:space="0" w:color="auto"/>
                <w:bottom w:val="none" w:sz="0" w:space="0" w:color="auto"/>
                <w:right w:val="none" w:sz="0" w:space="0" w:color="auto"/>
              </w:divBdr>
            </w:div>
          </w:divsChild>
        </w:div>
        <w:div w:id="388655323">
          <w:marLeft w:val="0"/>
          <w:marRight w:val="0"/>
          <w:marTop w:val="0"/>
          <w:marBottom w:val="0"/>
          <w:divBdr>
            <w:top w:val="none" w:sz="0" w:space="0" w:color="auto"/>
            <w:left w:val="none" w:sz="0" w:space="0" w:color="auto"/>
            <w:bottom w:val="none" w:sz="0" w:space="0" w:color="auto"/>
            <w:right w:val="none" w:sz="0" w:space="0" w:color="auto"/>
          </w:divBdr>
          <w:divsChild>
            <w:div w:id="661784380">
              <w:marLeft w:val="0"/>
              <w:marRight w:val="0"/>
              <w:marTop w:val="0"/>
              <w:marBottom w:val="0"/>
              <w:divBdr>
                <w:top w:val="none" w:sz="0" w:space="0" w:color="auto"/>
                <w:left w:val="none" w:sz="0" w:space="0" w:color="auto"/>
                <w:bottom w:val="none" w:sz="0" w:space="0" w:color="auto"/>
                <w:right w:val="none" w:sz="0" w:space="0" w:color="auto"/>
              </w:divBdr>
            </w:div>
          </w:divsChild>
        </w:div>
        <w:div w:id="425734726">
          <w:marLeft w:val="0"/>
          <w:marRight w:val="0"/>
          <w:marTop w:val="0"/>
          <w:marBottom w:val="0"/>
          <w:divBdr>
            <w:top w:val="none" w:sz="0" w:space="0" w:color="auto"/>
            <w:left w:val="none" w:sz="0" w:space="0" w:color="auto"/>
            <w:bottom w:val="none" w:sz="0" w:space="0" w:color="auto"/>
            <w:right w:val="none" w:sz="0" w:space="0" w:color="auto"/>
          </w:divBdr>
          <w:divsChild>
            <w:div w:id="1552888836">
              <w:marLeft w:val="0"/>
              <w:marRight w:val="0"/>
              <w:marTop w:val="0"/>
              <w:marBottom w:val="0"/>
              <w:divBdr>
                <w:top w:val="none" w:sz="0" w:space="0" w:color="auto"/>
                <w:left w:val="none" w:sz="0" w:space="0" w:color="auto"/>
                <w:bottom w:val="none" w:sz="0" w:space="0" w:color="auto"/>
                <w:right w:val="none" w:sz="0" w:space="0" w:color="auto"/>
              </w:divBdr>
            </w:div>
          </w:divsChild>
        </w:div>
        <w:div w:id="441264745">
          <w:marLeft w:val="0"/>
          <w:marRight w:val="0"/>
          <w:marTop w:val="0"/>
          <w:marBottom w:val="0"/>
          <w:divBdr>
            <w:top w:val="none" w:sz="0" w:space="0" w:color="auto"/>
            <w:left w:val="none" w:sz="0" w:space="0" w:color="auto"/>
            <w:bottom w:val="none" w:sz="0" w:space="0" w:color="auto"/>
            <w:right w:val="none" w:sz="0" w:space="0" w:color="auto"/>
          </w:divBdr>
          <w:divsChild>
            <w:div w:id="2083746498">
              <w:marLeft w:val="0"/>
              <w:marRight w:val="0"/>
              <w:marTop w:val="0"/>
              <w:marBottom w:val="0"/>
              <w:divBdr>
                <w:top w:val="none" w:sz="0" w:space="0" w:color="auto"/>
                <w:left w:val="none" w:sz="0" w:space="0" w:color="auto"/>
                <w:bottom w:val="none" w:sz="0" w:space="0" w:color="auto"/>
                <w:right w:val="none" w:sz="0" w:space="0" w:color="auto"/>
              </w:divBdr>
            </w:div>
          </w:divsChild>
        </w:div>
        <w:div w:id="448817110">
          <w:marLeft w:val="0"/>
          <w:marRight w:val="0"/>
          <w:marTop w:val="0"/>
          <w:marBottom w:val="0"/>
          <w:divBdr>
            <w:top w:val="none" w:sz="0" w:space="0" w:color="auto"/>
            <w:left w:val="none" w:sz="0" w:space="0" w:color="auto"/>
            <w:bottom w:val="none" w:sz="0" w:space="0" w:color="auto"/>
            <w:right w:val="none" w:sz="0" w:space="0" w:color="auto"/>
          </w:divBdr>
          <w:divsChild>
            <w:div w:id="583146492">
              <w:marLeft w:val="0"/>
              <w:marRight w:val="0"/>
              <w:marTop w:val="0"/>
              <w:marBottom w:val="0"/>
              <w:divBdr>
                <w:top w:val="none" w:sz="0" w:space="0" w:color="auto"/>
                <w:left w:val="none" w:sz="0" w:space="0" w:color="auto"/>
                <w:bottom w:val="none" w:sz="0" w:space="0" w:color="auto"/>
                <w:right w:val="none" w:sz="0" w:space="0" w:color="auto"/>
              </w:divBdr>
            </w:div>
          </w:divsChild>
        </w:div>
        <w:div w:id="457796081">
          <w:marLeft w:val="0"/>
          <w:marRight w:val="0"/>
          <w:marTop w:val="0"/>
          <w:marBottom w:val="0"/>
          <w:divBdr>
            <w:top w:val="none" w:sz="0" w:space="0" w:color="auto"/>
            <w:left w:val="none" w:sz="0" w:space="0" w:color="auto"/>
            <w:bottom w:val="none" w:sz="0" w:space="0" w:color="auto"/>
            <w:right w:val="none" w:sz="0" w:space="0" w:color="auto"/>
          </w:divBdr>
          <w:divsChild>
            <w:div w:id="1392970513">
              <w:marLeft w:val="0"/>
              <w:marRight w:val="0"/>
              <w:marTop w:val="0"/>
              <w:marBottom w:val="0"/>
              <w:divBdr>
                <w:top w:val="none" w:sz="0" w:space="0" w:color="auto"/>
                <w:left w:val="none" w:sz="0" w:space="0" w:color="auto"/>
                <w:bottom w:val="none" w:sz="0" w:space="0" w:color="auto"/>
                <w:right w:val="none" w:sz="0" w:space="0" w:color="auto"/>
              </w:divBdr>
            </w:div>
          </w:divsChild>
        </w:div>
        <w:div w:id="555551221">
          <w:marLeft w:val="0"/>
          <w:marRight w:val="0"/>
          <w:marTop w:val="0"/>
          <w:marBottom w:val="0"/>
          <w:divBdr>
            <w:top w:val="none" w:sz="0" w:space="0" w:color="auto"/>
            <w:left w:val="none" w:sz="0" w:space="0" w:color="auto"/>
            <w:bottom w:val="none" w:sz="0" w:space="0" w:color="auto"/>
            <w:right w:val="none" w:sz="0" w:space="0" w:color="auto"/>
          </w:divBdr>
          <w:divsChild>
            <w:div w:id="354114484">
              <w:marLeft w:val="0"/>
              <w:marRight w:val="0"/>
              <w:marTop w:val="0"/>
              <w:marBottom w:val="0"/>
              <w:divBdr>
                <w:top w:val="none" w:sz="0" w:space="0" w:color="auto"/>
                <w:left w:val="none" w:sz="0" w:space="0" w:color="auto"/>
                <w:bottom w:val="none" w:sz="0" w:space="0" w:color="auto"/>
                <w:right w:val="none" w:sz="0" w:space="0" w:color="auto"/>
              </w:divBdr>
            </w:div>
          </w:divsChild>
        </w:div>
        <w:div w:id="564146368">
          <w:marLeft w:val="0"/>
          <w:marRight w:val="0"/>
          <w:marTop w:val="0"/>
          <w:marBottom w:val="0"/>
          <w:divBdr>
            <w:top w:val="none" w:sz="0" w:space="0" w:color="auto"/>
            <w:left w:val="none" w:sz="0" w:space="0" w:color="auto"/>
            <w:bottom w:val="none" w:sz="0" w:space="0" w:color="auto"/>
            <w:right w:val="none" w:sz="0" w:space="0" w:color="auto"/>
          </w:divBdr>
          <w:divsChild>
            <w:div w:id="122971371">
              <w:marLeft w:val="0"/>
              <w:marRight w:val="0"/>
              <w:marTop w:val="0"/>
              <w:marBottom w:val="0"/>
              <w:divBdr>
                <w:top w:val="none" w:sz="0" w:space="0" w:color="auto"/>
                <w:left w:val="none" w:sz="0" w:space="0" w:color="auto"/>
                <w:bottom w:val="none" w:sz="0" w:space="0" w:color="auto"/>
                <w:right w:val="none" w:sz="0" w:space="0" w:color="auto"/>
              </w:divBdr>
            </w:div>
          </w:divsChild>
        </w:div>
        <w:div w:id="646472888">
          <w:marLeft w:val="0"/>
          <w:marRight w:val="0"/>
          <w:marTop w:val="0"/>
          <w:marBottom w:val="0"/>
          <w:divBdr>
            <w:top w:val="none" w:sz="0" w:space="0" w:color="auto"/>
            <w:left w:val="none" w:sz="0" w:space="0" w:color="auto"/>
            <w:bottom w:val="none" w:sz="0" w:space="0" w:color="auto"/>
            <w:right w:val="none" w:sz="0" w:space="0" w:color="auto"/>
          </w:divBdr>
          <w:divsChild>
            <w:div w:id="2058121315">
              <w:marLeft w:val="0"/>
              <w:marRight w:val="0"/>
              <w:marTop w:val="0"/>
              <w:marBottom w:val="0"/>
              <w:divBdr>
                <w:top w:val="none" w:sz="0" w:space="0" w:color="auto"/>
                <w:left w:val="none" w:sz="0" w:space="0" w:color="auto"/>
                <w:bottom w:val="none" w:sz="0" w:space="0" w:color="auto"/>
                <w:right w:val="none" w:sz="0" w:space="0" w:color="auto"/>
              </w:divBdr>
            </w:div>
          </w:divsChild>
        </w:div>
        <w:div w:id="735128282">
          <w:marLeft w:val="0"/>
          <w:marRight w:val="0"/>
          <w:marTop w:val="0"/>
          <w:marBottom w:val="0"/>
          <w:divBdr>
            <w:top w:val="none" w:sz="0" w:space="0" w:color="auto"/>
            <w:left w:val="none" w:sz="0" w:space="0" w:color="auto"/>
            <w:bottom w:val="none" w:sz="0" w:space="0" w:color="auto"/>
            <w:right w:val="none" w:sz="0" w:space="0" w:color="auto"/>
          </w:divBdr>
          <w:divsChild>
            <w:div w:id="1975256903">
              <w:marLeft w:val="0"/>
              <w:marRight w:val="0"/>
              <w:marTop w:val="0"/>
              <w:marBottom w:val="0"/>
              <w:divBdr>
                <w:top w:val="none" w:sz="0" w:space="0" w:color="auto"/>
                <w:left w:val="none" w:sz="0" w:space="0" w:color="auto"/>
                <w:bottom w:val="none" w:sz="0" w:space="0" w:color="auto"/>
                <w:right w:val="none" w:sz="0" w:space="0" w:color="auto"/>
              </w:divBdr>
            </w:div>
          </w:divsChild>
        </w:div>
        <w:div w:id="736627857">
          <w:marLeft w:val="0"/>
          <w:marRight w:val="0"/>
          <w:marTop w:val="0"/>
          <w:marBottom w:val="0"/>
          <w:divBdr>
            <w:top w:val="none" w:sz="0" w:space="0" w:color="auto"/>
            <w:left w:val="none" w:sz="0" w:space="0" w:color="auto"/>
            <w:bottom w:val="none" w:sz="0" w:space="0" w:color="auto"/>
            <w:right w:val="none" w:sz="0" w:space="0" w:color="auto"/>
          </w:divBdr>
          <w:divsChild>
            <w:div w:id="241721612">
              <w:marLeft w:val="0"/>
              <w:marRight w:val="0"/>
              <w:marTop w:val="0"/>
              <w:marBottom w:val="0"/>
              <w:divBdr>
                <w:top w:val="none" w:sz="0" w:space="0" w:color="auto"/>
                <w:left w:val="none" w:sz="0" w:space="0" w:color="auto"/>
                <w:bottom w:val="none" w:sz="0" w:space="0" w:color="auto"/>
                <w:right w:val="none" w:sz="0" w:space="0" w:color="auto"/>
              </w:divBdr>
            </w:div>
          </w:divsChild>
        </w:div>
        <w:div w:id="751396984">
          <w:marLeft w:val="0"/>
          <w:marRight w:val="0"/>
          <w:marTop w:val="0"/>
          <w:marBottom w:val="0"/>
          <w:divBdr>
            <w:top w:val="none" w:sz="0" w:space="0" w:color="auto"/>
            <w:left w:val="none" w:sz="0" w:space="0" w:color="auto"/>
            <w:bottom w:val="none" w:sz="0" w:space="0" w:color="auto"/>
            <w:right w:val="none" w:sz="0" w:space="0" w:color="auto"/>
          </w:divBdr>
          <w:divsChild>
            <w:div w:id="1560895319">
              <w:marLeft w:val="0"/>
              <w:marRight w:val="0"/>
              <w:marTop w:val="0"/>
              <w:marBottom w:val="0"/>
              <w:divBdr>
                <w:top w:val="none" w:sz="0" w:space="0" w:color="auto"/>
                <w:left w:val="none" w:sz="0" w:space="0" w:color="auto"/>
                <w:bottom w:val="none" w:sz="0" w:space="0" w:color="auto"/>
                <w:right w:val="none" w:sz="0" w:space="0" w:color="auto"/>
              </w:divBdr>
            </w:div>
          </w:divsChild>
        </w:div>
        <w:div w:id="833572319">
          <w:marLeft w:val="0"/>
          <w:marRight w:val="0"/>
          <w:marTop w:val="0"/>
          <w:marBottom w:val="0"/>
          <w:divBdr>
            <w:top w:val="none" w:sz="0" w:space="0" w:color="auto"/>
            <w:left w:val="none" w:sz="0" w:space="0" w:color="auto"/>
            <w:bottom w:val="none" w:sz="0" w:space="0" w:color="auto"/>
            <w:right w:val="none" w:sz="0" w:space="0" w:color="auto"/>
          </w:divBdr>
          <w:divsChild>
            <w:div w:id="2139371712">
              <w:marLeft w:val="0"/>
              <w:marRight w:val="0"/>
              <w:marTop w:val="0"/>
              <w:marBottom w:val="0"/>
              <w:divBdr>
                <w:top w:val="none" w:sz="0" w:space="0" w:color="auto"/>
                <w:left w:val="none" w:sz="0" w:space="0" w:color="auto"/>
                <w:bottom w:val="none" w:sz="0" w:space="0" w:color="auto"/>
                <w:right w:val="none" w:sz="0" w:space="0" w:color="auto"/>
              </w:divBdr>
            </w:div>
          </w:divsChild>
        </w:div>
        <w:div w:id="856818198">
          <w:marLeft w:val="0"/>
          <w:marRight w:val="0"/>
          <w:marTop w:val="0"/>
          <w:marBottom w:val="0"/>
          <w:divBdr>
            <w:top w:val="none" w:sz="0" w:space="0" w:color="auto"/>
            <w:left w:val="none" w:sz="0" w:space="0" w:color="auto"/>
            <w:bottom w:val="none" w:sz="0" w:space="0" w:color="auto"/>
            <w:right w:val="none" w:sz="0" w:space="0" w:color="auto"/>
          </w:divBdr>
          <w:divsChild>
            <w:div w:id="1009216694">
              <w:marLeft w:val="0"/>
              <w:marRight w:val="0"/>
              <w:marTop w:val="0"/>
              <w:marBottom w:val="0"/>
              <w:divBdr>
                <w:top w:val="none" w:sz="0" w:space="0" w:color="auto"/>
                <w:left w:val="none" w:sz="0" w:space="0" w:color="auto"/>
                <w:bottom w:val="none" w:sz="0" w:space="0" w:color="auto"/>
                <w:right w:val="none" w:sz="0" w:space="0" w:color="auto"/>
              </w:divBdr>
            </w:div>
          </w:divsChild>
        </w:div>
        <w:div w:id="870875054">
          <w:marLeft w:val="0"/>
          <w:marRight w:val="0"/>
          <w:marTop w:val="0"/>
          <w:marBottom w:val="0"/>
          <w:divBdr>
            <w:top w:val="none" w:sz="0" w:space="0" w:color="auto"/>
            <w:left w:val="none" w:sz="0" w:space="0" w:color="auto"/>
            <w:bottom w:val="none" w:sz="0" w:space="0" w:color="auto"/>
            <w:right w:val="none" w:sz="0" w:space="0" w:color="auto"/>
          </w:divBdr>
          <w:divsChild>
            <w:div w:id="1158572811">
              <w:marLeft w:val="0"/>
              <w:marRight w:val="0"/>
              <w:marTop w:val="0"/>
              <w:marBottom w:val="0"/>
              <w:divBdr>
                <w:top w:val="none" w:sz="0" w:space="0" w:color="auto"/>
                <w:left w:val="none" w:sz="0" w:space="0" w:color="auto"/>
                <w:bottom w:val="none" w:sz="0" w:space="0" w:color="auto"/>
                <w:right w:val="none" w:sz="0" w:space="0" w:color="auto"/>
              </w:divBdr>
            </w:div>
          </w:divsChild>
        </w:div>
        <w:div w:id="873886020">
          <w:marLeft w:val="0"/>
          <w:marRight w:val="0"/>
          <w:marTop w:val="0"/>
          <w:marBottom w:val="0"/>
          <w:divBdr>
            <w:top w:val="none" w:sz="0" w:space="0" w:color="auto"/>
            <w:left w:val="none" w:sz="0" w:space="0" w:color="auto"/>
            <w:bottom w:val="none" w:sz="0" w:space="0" w:color="auto"/>
            <w:right w:val="none" w:sz="0" w:space="0" w:color="auto"/>
          </w:divBdr>
          <w:divsChild>
            <w:div w:id="1023558505">
              <w:marLeft w:val="0"/>
              <w:marRight w:val="0"/>
              <w:marTop w:val="0"/>
              <w:marBottom w:val="0"/>
              <w:divBdr>
                <w:top w:val="none" w:sz="0" w:space="0" w:color="auto"/>
                <w:left w:val="none" w:sz="0" w:space="0" w:color="auto"/>
                <w:bottom w:val="none" w:sz="0" w:space="0" w:color="auto"/>
                <w:right w:val="none" w:sz="0" w:space="0" w:color="auto"/>
              </w:divBdr>
            </w:div>
          </w:divsChild>
        </w:div>
        <w:div w:id="940912264">
          <w:marLeft w:val="0"/>
          <w:marRight w:val="0"/>
          <w:marTop w:val="0"/>
          <w:marBottom w:val="0"/>
          <w:divBdr>
            <w:top w:val="none" w:sz="0" w:space="0" w:color="auto"/>
            <w:left w:val="none" w:sz="0" w:space="0" w:color="auto"/>
            <w:bottom w:val="none" w:sz="0" w:space="0" w:color="auto"/>
            <w:right w:val="none" w:sz="0" w:space="0" w:color="auto"/>
          </w:divBdr>
          <w:divsChild>
            <w:div w:id="1070620206">
              <w:marLeft w:val="0"/>
              <w:marRight w:val="0"/>
              <w:marTop w:val="0"/>
              <w:marBottom w:val="0"/>
              <w:divBdr>
                <w:top w:val="none" w:sz="0" w:space="0" w:color="auto"/>
                <w:left w:val="none" w:sz="0" w:space="0" w:color="auto"/>
                <w:bottom w:val="none" w:sz="0" w:space="0" w:color="auto"/>
                <w:right w:val="none" w:sz="0" w:space="0" w:color="auto"/>
              </w:divBdr>
            </w:div>
          </w:divsChild>
        </w:div>
        <w:div w:id="953244380">
          <w:marLeft w:val="0"/>
          <w:marRight w:val="0"/>
          <w:marTop w:val="0"/>
          <w:marBottom w:val="0"/>
          <w:divBdr>
            <w:top w:val="none" w:sz="0" w:space="0" w:color="auto"/>
            <w:left w:val="none" w:sz="0" w:space="0" w:color="auto"/>
            <w:bottom w:val="none" w:sz="0" w:space="0" w:color="auto"/>
            <w:right w:val="none" w:sz="0" w:space="0" w:color="auto"/>
          </w:divBdr>
          <w:divsChild>
            <w:div w:id="937560006">
              <w:marLeft w:val="0"/>
              <w:marRight w:val="0"/>
              <w:marTop w:val="0"/>
              <w:marBottom w:val="0"/>
              <w:divBdr>
                <w:top w:val="none" w:sz="0" w:space="0" w:color="auto"/>
                <w:left w:val="none" w:sz="0" w:space="0" w:color="auto"/>
                <w:bottom w:val="none" w:sz="0" w:space="0" w:color="auto"/>
                <w:right w:val="none" w:sz="0" w:space="0" w:color="auto"/>
              </w:divBdr>
            </w:div>
          </w:divsChild>
        </w:div>
        <w:div w:id="965084545">
          <w:marLeft w:val="0"/>
          <w:marRight w:val="0"/>
          <w:marTop w:val="0"/>
          <w:marBottom w:val="0"/>
          <w:divBdr>
            <w:top w:val="none" w:sz="0" w:space="0" w:color="auto"/>
            <w:left w:val="none" w:sz="0" w:space="0" w:color="auto"/>
            <w:bottom w:val="none" w:sz="0" w:space="0" w:color="auto"/>
            <w:right w:val="none" w:sz="0" w:space="0" w:color="auto"/>
          </w:divBdr>
          <w:divsChild>
            <w:div w:id="639381495">
              <w:marLeft w:val="0"/>
              <w:marRight w:val="0"/>
              <w:marTop w:val="0"/>
              <w:marBottom w:val="0"/>
              <w:divBdr>
                <w:top w:val="none" w:sz="0" w:space="0" w:color="auto"/>
                <w:left w:val="none" w:sz="0" w:space="0" w:color="auto"/>
                <w:bottom w:val="none" w:sz="0" w:space="0" w:color="auto"/>
                <w:right w:val="none" w:sz="0" w:space="0" w:color="auto"/>
              </w:divBdr>
            </w:div>
          </w:divsChild>
        </w:div>
        <w:div w:id="966541918">
          <w:marLeft w:val="0"/>
          <w:marRight w:val="0"/>
          <w:marTop w:val="0"/>
          <w:marBottom w:val="0"/>
          <w:divBdr>
            <w:top w:val="none" w:sz="0" w:space="0" w:color="auto"/>
            <w:left w:val="none" w:sz="0" w:space="0" w:color="auto"/>
            <w:bottom w:val="none" w:sz="0" w:space="0" w:color="auto"/>
            <w:right w:val="none" w:sz="0" w:space="0" w:color="auto"/>
          </w:divBdr>
          <w:divsChild>
            <w:div w:id="2091005887">
              <w:marLeft w:val="0"/>
              <w:marRight w:val="0"/>
              <w:marTop w:val="0"/>
              <w:marBottom w:val="0"/>
              <w:divBdr>
                <w:top w:val="none" w:sz="0" w:space="0" w:color="auto"/>
                <w:left w:val="none" w:sz="0" w:space="0" w:color="auto"/>
                <w:bottom w:val="none" w:sz="0" w:space="0" w:color="auto"/>
                <w:right w:val="none" w:sz="0" w:space="0" w:color="auto"/>
              </w:divBdr>
            </w:div>
          </w:divsChild>
        </w:div>
        <w:div w:id="987367963">
          <w:marLeft w:val="0"/>
          <w:marRight w:val="0"/>
          <w:marTop w:val="0"/>
          <w:marBottom w:val="0"/>
          <w:divBdr>
            <w:top w:val="none" w:sz="0" w:space="0" w:color="auto"/>
            <w:left w:val="none" w:sz="0" w:space="0" w:color="auto"/>
            <w:bottom w:val="none" w:sz="0" w:space="0" w:color="auto"/>
            <w:right w:val="none" w:sz="0" w:space="0" w:color="auto"/>
          </w:divBdr>
          <w:divsChild>
            <w:div w:id="106898840">
              <w:marLeft w:val="0"/>
              <w:marRight w:val="0"/>
              <w:marTop w:val="0"/>
              <w:marBottom w:val="0"/>
              <w:divBdr>
                <w:top w:val="none" w:sz="0" w:space="0" w:color="auto"/>
                <w:left w:val="none" w:sz="0" w:space="0" w:color="auto"/>
                <w:bottom w:val="none" w:sz="0" w:space="0" w:color="auto"/>
                <w:right w:val="none" w:sz="0" w:space="0" w:color="auto"/>
              </w:divBdr>
            </w:div>
          </w:divsChild>
        </w:div>
        <w:div w:id="1113401884">
          <w:marLeft w:val="0"/>
          <w:marRight w:val="0"/>
          <w:marTop w:val="0"/>
          <w:marBottom w:val="0"/>
          <w:divBdr>
            <w:top w:val="none" w:sz="0" w:space="0" w:color="auto"/>
            <w:left w:val="none" w:sz="0" w:space="0" w:color="auto"/>
            <w:bottom w:val="none" w:sz="0" w:space="0" w:color="auto"/>
            <w:right w:val="none" w:sz="0" w:space="0" w:color="auto"/>
          </w:divBdr>
          <w:divsChild>
            <w:div w:id="166404106">
              <w:marLeft w:val="0"/>
              <w:marRight w:val="0"/>
              <w:marTop w:val="0"/>
              <w:marBottom w:val="0"/>
              <w:divBdr>
                <w:top w:val="none" w:sz="0" w:space="0" w:color="auto"/>
                <w:left w:val="none" w:sz="0" w:space="0" w:color="auto"/>
                <w:bottom w:val="none" w:sz="0" w:space="0" w:color="auto"/>
                <w:right w:val="none" w:sz="0" w:space="0" w:color="auto"/>
              </w:divBdr>
            </w:div>
          </w:divsChild>
        </w:div>
        <w:div w:id="1132596749">
          <w:marLeft w:val="0"/>
          <w:marRight w:val="0"/>
          <w:marTop w:val="0"/>
          <w:marBottom w:val="0"/>
          <w:divBdr>
            <w:top w:val="none" w:sz="0" w:space="0" w:color="auto"/>
            <w:left w:val="none" w:sz="0" w:space="0" w:color="auto"/>
            <w:bottom w:val="none" w:sz="0" w:space="0" w:color="auto"/>
            <w:right w:val="none" w:sz="0" w:space="0" w:color="auto"/>
          </w:divBdr>
          <w:divsChild>
            <w:div w:id="953907984">
              <w:marLeft w:val="0"/>
              <w:marRight w:val="0"/>
              <w:marTop w:val="0"/>
              <w:marBottom w:val="0"/>
              <w:divBdr>
                <w:top w:val="none" w:sz="0" w:space="0" w:color="auto"/>
                <w:left w:val="none" w:sz="0" w:space="0" w:color="auto"/>
                <w:bottom w:val="none" w:sz="0" w:space="0" w:color="auto"/>
                <w:right w:val="none" w:sz="0" w:space="0" w:color="auto"/>
              </w:divBdr>
            </w:div>
          </w:divsChild>
        </w:div>
        <w:div w:id="1134835527">
          <w:marLeft w:val="0"/>
          <w:marRight w:val="0"/>
          <w:marTop w:val="0"/>
          <w:marBottom w:val="0"/>
          <w:divBdr>
            <w:top w:val="none" w:sz="0" w:space="0" w:color="auto"/>
            <w:left w:val="none" w:sz="0" w:space="0" w:color="auto"/>
            <w:bottom w:val="none" w:sz="0" w:space="0" w:color="auto"/>
            <w:right w:val="none" w:sz="0" w:space="0" w:color="auto"/>
          </w:divBdr>
          <w:divsChild>
            <w:div w:id="251396972">
              <w:marLeft w:val="0"/>
              <w:marRight w:val="0"/>
              <w:marTop w:val="0"/>
              <w:marBottom w:val="0"/>
              <w:divBdr>
                <w:top w:val="none" w:sz="0" w:space="0" w:color="auto"/>
                <w:left w:val="none" w:sz="0" w:space="0" w:color="auto"/>
                <w:bottom w:val="none" w:sz="0" w:space="0" w:color="auto"/>
                <w:right w:val="none" w:sz="0" w:space="0" w:color="auto"/>
              </w:divBdr>
            </w:div>
          </w:divsChild>
        </w:div>
        <w:div w:id="1160192930">
          <w:marLeft w:val="0"/>
          <w:marRight w:val="0"/>
          <w:marTop w:val="0"/>
          <w:marBottom w:val="0"/>
          <w:divBdr>
            <w:top w:val="none" w:sz="0" w:space="0" w:color="auto"/>
            <w:left w:val="none" w:sz="0" w:space="0" w:color="auto"/>
            <w:bottom w:val="none" w:sz="0" w:space="0" w:color="auto"/>
            <w:right w:val="none" w:sz="0" w:space="0" w:color="auto"/>
          </w:divBdr>
          <w:divsChild>
            <w:div w:id="152184580">
              <w:marLeft w:val="0"/>
              <w:marRight w:val="0"/>
              <w:marTop w:val="0"/>
              <w:marBottom w:val="0"/>
              <w:divBdr>
                <w:top w:val="none" w:sz="0" w:space="0" w:color="auto"/>
                <w:left w:val="none" w:sz="0" w:space="0" w:color="auto"/>
                <w:bottom w:val="none" w:sz="0" w:space="0" w:color="auto"/>
                <w:right w:val="none" w:sz="0" w:space="0" w:color="auto"/>
              </w:divBdr>
            </w:div>
          </w:divsChild>
        </w:div>
        <w:div w:id="1175455534">
          <w:marLeft w:val="0"/>
          <w:marRight w:val="0"/>
          <w:marTop w:val="0"/>
          <w:marBottom w:val="0"/>
          <w:divBdr>
            <w:top w:val="none" w:sz="0" w:space="0" w:color="auto"/>
            <w:left w:val="none" w:sz="0" w:space="0" w:color="auto"/>
            <w:bottom w:val="none" w:sz="0" w:space="0" w:color="auto"/>
            <w:right w:val="none" w:sz="0" w:space="0" w:color="auto"/>
          </w:divBdr>
          <w:divsChild>
            <w:div w:id="323243886">
              <w:marLeft w:val="0"/>
              <w:marRight w:val="0"/>
              <w:marTop w:val="0"/>
              <w:marBottom w:val="0"/>
              <w:divBdr>
                <w:top w:val="none" w:sz="0" w:space="0" w:color="auto"/>
                <w:left w:val="none" w:sz="0" w:space="0" w:color="auto"/>
                <w:bottom w:val="none" w:sz="0" w:space="0" w:color="auto"/>
                <w:right w:val="none" w:sz="0" w:space="0" w:color="auto"/>
              </w:divBdr>
            </w:div>
          </w:divsChild>
        </w:div>
        <w:div w:id="1234583191">
          <w:marLeft w:val="0"/>
          <w:marRight w:val="0"/>
          <w:marTop w:val="0"/>
          <w:marBottom w:val="0"/>
          <w:divBdr>
            <w:top w:val="none" w:sz="0" w:space="0" w:color="auto"/>
            <w:left w:val="none" w:sz="0" w:space="0" w:color="auto"/>
            <w:bottom w:val="none" w:sz="0" w:space="0" w:color="auto"/>
            <w:right w:val="none" w:sz="0" w:space="0" w:color="auto"/>
          </w:divBdr>
          <w:divsChild>
            <w:div w:id="741413481">
              <w:marLeft w:val="0"/>
              <w:marRight w:val="0"/>
              <w:marTop w:val="0"/>
              <w:marBottom w:val="0"/>
              <w:divBdr>
                <w:top w:val="none" w:sz="0" w:space="0" w:color="auto"/>
                <w:left w:val="none" w:sz="0" w:space="0" w:color="auto"/>
                <w:bottom w:val="none" w:sz="0" w:space="0" w:color="auto"/>
                <w:right w:val="none" w:sz="0" w:space="0" w:color="auto"/>
              </w:divBdr>
            </w:div>
          </w:divsChild>
        </w:div>
        <w:div w:id="1266768667">
          <w:marLeft w:val="0"/>
          <w:marRight w:val="0"/>
          <w:marTop w:val="0"/>
          <w:marBottom w:val="0"/>
          <w:divBdr>
            <w:top w:val="none" w:sz="0" w:space="0" w:color="auto"/>
            <w:left w:val="none" w:sz="0" w:space="0" w:color="auto"/>
            <w:bottom w:val="none" w:sz="0" w:space="0" w:color="auto"/>
            <w:right w:val="none" w:sz="0" w:space="0" w:color="auto"/>
          </w:divBdr>
          <w:divsChild>
            <w:div w:id="1398866092">
              <w:marLeft w:val="0"/>
              <w:marRight w:val="0"/>
              <w:marTop w:val="0"/>
              <w:marBottom w:val="0"/>
              <w:divBdr>
                <w:top w:val="none" w:sz="0" w:space="0" w:color="auto"/>
                <w:left w:val="none" w:sz="0" w:space="0" w:color="auto"/>
                <w:bottom w:val="none" w:sz="0" w:space="0" w:color="auto"/>
                <w:right w:val="none" w:sz="0" w:space="0" w:color="auto"/>
              </w:divBdr>
            </w:div>
          </w:divsChild>
        </w:div>
        <w:div w:id="1306619599">
          <w:marLeft w:val="0"/>
          <w:marRight w:val="0"/>
          <w:marTop w:val="0"/>
          <w:marBottom w:val="0"/>
          <w:divBdr>
            <w:top w:val="none" w:sz="0" w:space="0" w:color="auto"/>
            <w:left w:val="none" w:sz="0" w:space="0" w:color="auto"/>
            <w:bottom w:val="none" w:sz="0" w:space="0" w:color="auto"/>
            <w:right w:val="none" w:sz="0" w:space="0" w:color="auto"/>
          </w:divBdr>
          <w:divsChild>
            <w:div w:id="249386696">
              <w:marLeft w:val="0"/>
              <w:marRight w:val="0"/>
              <w:marTop w:val="0"/>
              <w:marBottom w:val="0"/>
              <w:divBdr>
                <w:top w:val="none" w:sz="0" w:space="0" w:color="auto"/>
                <w:left w:val="none" w:sz="0" w:space="0" w:color="auto"/>
                <w:bottom w:val="none" w:sz="0" w:space="0" w:color="auto"/>
                <w:right w:val="none" w:sz="0" w:space="0" w:color="auto"/>
              </w:divBdr>
            </w:div>
          </w:divsChild>
        </w:div>
        <w:div w:id="1346789406">
          <w:marLeft w:val="0"/>
          <w:marRight w:val="0"/>
          <w:marTop w:val="0"/>
          <w:marBottom w:val="0"/>
          <w:divBdr>
            <w:top w:val="none" w:sz="0" w:space="0" w:color="auto"/>
            <w:left w:val="none" w:sz="0" w:space="0" w:color="auto"/>
            <w:bottom w:val="none" w:sz="0" w:space="0" w:color="auto"/>
            <w:right w:val="none" w:sz="0" w:space="0" w:color="auto"/>
          </w:divBdr>
          <w:divsChild>
            <w:div w:id="421992502">
              <w:marLeft w:val="0"/>
              <w:marRight w:val="0"/>
              <w:marTop w:val="0"/>
              <w:marBottom w:val="0"/>
              <w:divBdr>
                <w:top w:val="none" w:sz="0" w:space="0" w:color="auto"/>
                <w:left w:val="none" w:sz="0" w:space="0" w:color="auto"/>
                <w:bottom w:val="none" w:sz="0" w:space="0" w:color="auto"/>
                <w:right w:val="none" w:sz="0" w:space="0" w:color="auto"/>
              </w:divBdr>
            </w:div>
          </w:divsChild>
        </w:div>
        <w:div w:id="1449742059">
          <w:marLeft w:val="0"/>
          <w:marRight w:val="0"/>
          <w:marTop w:val="0"/>
          <w:marBottom w:val="0"/>
          <w:divBdr>
            <w:top w:val="none" w:sz="0" w:space="0" w:color="auto"/>
            <w:left w:val="none" w:sz="0" w:space="0" w:color="auto"/>
            <w:bottom w:val="none" w:sz="0" w:space="0" w:color="auto"/>
            <w:right w:val="none" w:sz="0" w:space="0" w:color="auto"/>
          </w:divBdr>
          <w:divsChild>
            <w:div w:id="1950579139">
              <w:marLeft w:val="0"/>
              <w:marRight w:val="0"/>
              <w:marTop w:val="0"/>
              <w:marBottom w:val="0"/>
              <w:divBdr>
                <w:top w:val="none" w:sz="0" w:space="0" w:color="auto"/>
                <w:left w:val="none" w:sz="0" w:space="0" w:color="auto"/>
                <w:bottom w:val="none" w:sz="0" w:space="0" w:color="auto"/>
                <w:right w:val="none" w:sz="0" w:space="0" w:color="auto"/>
              </w:divBdr>
            </w:div>
          </w:divsChild>
        </w:div>
        <w:div w:id="1465197297">
          <w:marLeft w:val="0"/>
          <w:marRight w:val="0"/>
          <w:marTop w:val="0"/>
          <w:marBottom w:val="0"/>
          <w:divBdr>
            <w:top w:val="none" w:sz="0" w:space="0" w:color="auto"/>
            <w:left w:val="none" w:sz="0" w:space="0" w:color="auto"/>
            <w:bottom w:val="none" w:sz="0" w:space="0" w:color="auto"/>
            <w:right w:val="none" w:sz="0" w:space="0" w:color="auto"/>
          </w:divBdr>
          <w:divsChild>
            <w:div w:id="983966678">
              <w:marLeft w:val="0"/>
              <w:marRight w:val="0"/>
              <w:marTop w:val="0"/>
              <w:marBottom w:val="0"/>
              <w:divBdr>
                <w:top w:val="none" w:sz="0" w:space="0" w:color="auto"/>
                <w:left w:val="none" w:sz="0" w:space="0" w:color="auto"/>
                <w:bottom w:val="none" w:sz="0" w:space="0" w:color="auto"/>
                <w:right w:val="none" w:sz="0" w:space="0" w:color="auto"/>
              </w:divBdr>
            </w:div>
          </w:divsChild>
        </w:div>
        <w:div w:id="1469938327">
          <w:marLeft w:val="0"/>
          <w:marRight w:val="0"/>
          <w:marTop w:val="0"/>
          <w:marBottom w:val="0"/>
          <w:divBdr>
            <w:top w:val="none" w:sz="0" w:space="0" w:color="auto"/>
            <w:left w:val="none" w:sz="0" w:space="0" w:color="auto"/>
            <w:bottom w:val="none" w:sz="0" w:space="0" w:color="auto"/>
            <w:right w:val="none" w:sz="0" w:space="0" w:color="auto"/>
          </w:divBdr>
          <w:divsChild>
            <w:div w:id="703213553">
              <w:marLeft w:val="0"/>
              <w:marRight w:val="0"/>
              <w:marTop w:val="0"/>
              <w:marBottom w:val="0"/>
              <w:divBdr>
                <w:top w:val="none" w:sz="0" w:space="0" w:color="auto"/>
                <w:left w:val="none" w:sz="0" w:space="0" w:color="auto"/>
                <w:bottom w:val="none" w:sz="0" w:space="0" w:color="auto"/>
                <w:right w:val="none" w:sz="0" w:space="0" w:color="auto"/>
              </w:divBdr>
            </w:div>
          </w:divsChild>
        </w:div>
        <w:div w:id="1484737679">
          <w:marLeft w:val="0"/>
          <w:marRight w:val="0"/>
          <w:marTop w:val="0"/>
          <w:marBottom w:val="0"/>
          <w:divBdr>
            <w:top w:val="none" w:sz="0" w:space="0" w:color="auto"/>
            <w:left w:val="none" w:sz="0" w:space="0" w:color="auto"/>
            <w:bottom w:val="none" w:sz="0" w:space="0" w:color="auto"/>
            <w:right w:val="none" w:sz="0" w:space="0" w:color="auto"/>
          </w:divBdr>
          <w:divsChild>
            <w:div w:id="6369729">
              <w:marLeft w:val="0"/>
              <w:marRight w:val="0"/>
              <w:marTop w:val="0"/>
              <w:marBottom w:val="0"/>
              <w:divBdr>
                <w:top w:val="none" w:sz="0" w:space="0" w:color="auto"/>
                <w:left w:val="none" w:sz="0" w:space="0" w:color="auto"/>
                <w:bottom w:val="none" w:sz="0" w:space="0" w:color="auto"/>
                <w:right w:val="none" w:sz="0" w:space="0" w:color="auto"/>
              </w:divBdr>
            </w:div>
          </w:divsChild>
        </w:div>
        <w:div w:id="1513183622">
          <w:marLeft w:val="0"/>
          <w:marRight w:val="0"/>
          <w:marTop w:val="0"/>
          <w:marBottom w:val="0"/>
          <w:divBdr>
            <w:top w:val="none" w:sz="0" w:space="0" w:color="auto"/>
            <w:left w:val="none" w:sz="0" w:space="0" w:color="auto"/>
            <w:bottom w:val="none" w:sz="0" w:space="0" w:color="auto"/>
            <w:right w:val="none" w:sz="0" w:space="0" w:color="auto"/>
          </w:divBdr>
          <w:divsChild>
            <w:div w:id="1544248619">
              <w:marLeft w:val="0"/>
              <w:marRight w:val="0"/>
              <w:marTop w:val="0"/>
              <w:marBottom w:val="0"/>
              <w:divBdr>
                <w:top w:val="none" w:sz="0" w:space="0" w:color="auto"/>
                <w:left w:val="none" w:sz="0" w:space="0" w:color="auto"/>
                <w:bottom w:val="none" w:sz="0" w:space="0" w:color="auto"/>
                <w:right w:val="none" w:sz="0" w:space="0" w:color="auto"/>
              </w:divBdr>
            </w:div>
          </w:divsChild>
        </w:div>
        <w:div w:id="1569805221">
          <w:marLeft w:val="0"/>
          <w:marRight w:val="0"/>
          <w:marTop w:val="0"/>
          <w:marBottom w:val="0"/>
          <w:divBdr>
            <w:top w:val="none" w:sz="0" w:space="0" w:color="auto"/>
            <w:left w:val="none" w:sz="0" w:space="0" w:color="auto"/>
            <w:bottom w:val="none" w:sz="0" w:space="0" w:color="auto"/>
            <w:right w:val="none" w:sz="0" w:space="0" w:color="auto"/>
          </w:divBdr>
          <w:divsChild>
            <w:div w:id="1281297995">
              <w:marLeft w:val="0"/>
              <w:marRight w:val="0"/>
              <w:marTop w:val="0"/>
              <w:marBottom w:val="0"/>
              <w:divBdr>
                <w:top w:val="none" w:sz="0" w:space="0" w:color="auto"/>
                <w:left w:val="none" w:sz="0" w:space="0" w:color="auto"/>
                <w:bottom w:val="none" w:sz="0" w:space="0" w:color="auto"/>
                <w:right w:val="none" w:sz="0" w:space="0" w:color="auto"/>
              </w:divBdr>
            </w:div>
          </w:divsChild>
        </w:div>
        <w:div w:id="1692609581">
          <w:marLeft w:val="0"/>
          <w:marRight w:val="0"/>
          <w:marTop w:val="0"/>
          <w:marBottom w:val="0"/>
          <w:divBdr>
            <w:top w:val="none" w:sz="0" w:space="0" w:color="auto"/>
            <w:left w:val="none" w:sz="0" w:space="0" w:color="auto"/>
            <w:bottom w:val="none" w:sz="0" w:space="0" w:color="auto"/>
            <w:right w:val="none" w:sz="0" w:space="0" w:color="auto"/>
          </w:divBdr>
          <w:divsChild>
            <w:div w:id="804392009">
              <w:marLeft w:val="0"/>
              <w:marRight w:val="0"/>
              <w:marTop w:val="0"/>
              <w:marBottom w:val="0"/>
              <w:divBdr>
                <w:top w:val="none" w:sz="0" w:space="0" w:color="auto"/>
                <w:left w:val="none" w:sz="0" w:space="0" w:color="auto"/>
                <w:bottom w:val="none" w:sz="0" w:space="0" w:color="auto"/>
                <w:right w:val="none" w:sz="0" w:space="0" w:color="auto"/>
              </w:divBdr>
            </w:div>
          </w:divsChild>
        </w:div>
        <w:div w:id="1707217829">
          <w:marLeft w:val="0"/>
          <w:marRight w:val="0"/>
          <w:marTop w:val="0"/>
          <w:marBottom w:val="0"/>
          <w:divBdr>
            <w:top w:val="none" w:sz="0" w:space="0" w:color="auto"/>
            <w:left w:val="none" w:sz="0" w:space="0" w:color="auto"/>
            <w:bottom w:val="none" w:sz="0" w:space="0" w:color="auto"/>
            <w:right w:val="none" w:sz="0" w:space="0" w:color="auto"/>
          </w:divBdr>
          <w:divsChild>
            <w:div w:id="331301548">
              <w:marLeft w:val="0"/>
              <w:marRight w:val="0"/>
              <w:marTop w:val="0"/>
              <w:marBottom w:val="0"/>
              <w:divBdr>
                <w:top w:val="none" w:sz="0" w:space="0" w:color="auto"/>
                <w:left w:val="none" w:sz="0" w:space="0" w:color="auto"/>
                <w:bottom w:val="none" w:sz="0" w:space="0" w:color="auto"/>
                <w:right w:val="none" w:sz="0" w:space="0" w:color="auto"/>
              </w:divBdr>
            </w:div>
          </w:divsChild>
        </w:div>
        <w:div w:id="1752238638">
          <w:marLeft w:val="0"/>
          <w:marRight w:val="0"/>
          <w:marTop w:val="0"/>
          <w:marBottom w:val="0"/>
          <w:divBdr>
            <w:top w:val="none" w:sz="0" w:space="0" w:color="auto"/>
            <w:left w:val="none" w:sz="0" w:space="0" w:color="auto"/>
            <w:bottom w:val="none" w:sz="0" w:space="0" w:color="auto"/>
            <w:right w:val="none" w:sz="0" w:space="0" w:color="auto"/>
          </w:divBdr>
          <w:divsChild>
            <w:div w:id="815604654">
              <w:marLeft w:val="0"/>
              <w:marRight w:val="0"/>
              <w:marTop w:val="0"/>
              <w:marBottom w:val="0"/>
              <w:divBdr>
                <w:top w:val="none" w:sz="0" w:space="0" w:color="auto"/>
                <w:left w:val="none" w:sz="0" w:space="0" w:color="auto"/>
                <w:bottom w:val="none" w:sz="0" w:space="0" w:color="auto"/>
                <w:right w:val="none" w:sz="0" w:space="0" w:color="auto"/>
              </w:divBdr>
            </w:div>
          </w:divsChild>
        </w:div>
        <w:div w:id="1756003623">
          <w:marLeft w:val="0"/>
          <w:marRight w:val="0"/>
          <w:marTop w:val="0"/>
          <w:marBottom w:val="0"/>
          <w:divBdr>
            <w:top w:val="none" w:sz="0" w:space="0" w:color="auto"/>
            <w:left w:val="none" w:sz="0" w:space="0" w:color="auto"/>
            <w:bottom w:val="none" w:sz="0" w:space="0" w:color="auto"/>
            <w:right w:val="none" w:sz="0" w:space="0" w:color="auto"/>
          </w:divBdr>
          <w:divsChild>
            <w:div w:id="1066953108">
              <w:marLeft w:val="0"/>
              <w:marRight w:val="0"/>
              <w:marTop w:val="0"/>
              <w:marBottom w:val="0"/>
              <w:divBdr>
                <w:top w:val="none" w:sz="0" w:space="0" w:color="auto"/>
                <w:left w:val="none" w:sz="0" w:space="0" w:color="auto"/>
                <w:bottom w:val="none" w:sz="0" w:space="0" w:color="auto"/>
                <w:right w:val="none" w:sz="0" w:space="0" w:color="auto"/>
              </w:divBdr>
            </w:div>
          </w:divsChild>
        </w:div>
        <w:div w:id="1756510991">
          <w:marLeft w:val="0"/>
          <w:marRight w:val="0"/>
          <w:marTop w:val="0"/>
          <w:marBottom w:val="0"/>
          <w:divBdr>
            <w:top w:val="none" w:sz="0" w:space="0" w:color="auto"/>
            <w:left w:val="none" w:sz="0" w:space="0" w:color="auto"/>
            <w:bottom w:val="none" w:sz="0" w:space="0" w:color="auto"/>
            <w:right w:val="none" w:sz="0" w:space="0" w:color="auto"/>
          </w:divBdr>
          <w:divsChild>
            <w:div w:id="36008170">
              <w:marLeft w:val="0"/>
              <w:marRight w:val="0"/>
              <w:marTop w:val="0"/>
              <w:marBottom w:val="0"/>
              <w:divBdr>
                <w:top w:val="none" w:sz="0" w:space="0" w:color="auto"/>
                <w:left w:val="none" w:sz="0" w:space="0" w:color="auto"/>
                <w:bottom w:val="none" w:sz="0" w:space="0" w:color="auto"/>
                <w:right w:val="none" w:sz="0" w:space="0" w:color="auto"/>
              </w:divBdr>
            </w:div>
          </w:divsChild>
        </w:div>
        <w:div w:id="1778020979">
          <w:marLeft w:val="0"/>
          <w:marRight w:val="0"/>
          <w:marTop w:val="0"/>
          <w:marBottom w:val="0"/>
          <w:divBdr>
            <w:top w:val="none" w:sz="0" w:space="0" w:color="auto"/>
            <w:left w:val="none" w:sz="0" w:space="0" w:color="auto"/>
            <w:bottom w:val="none" w:sz="0" w:space="0" w:color="auto"/>
            <w:right w:val="none" w:sz="0" w:space="0" w:color="auto"/>
          </w:divBdr>
          <w:divsChild>
            <w:div w:id="416824824">
              <w:marLeft w:val="0"/>
              <w:marRight w:val="0"/>
              <w:marTop w:val="0"/>
              <w:marBottom w:val="0"/>
              <w:divBdr>
                <w:top w:val="none" w:sz="0" w:space="0" w:color="auto"/>
                <w:left w:val="none" w:sz="0" w:space="0" w:color="auto"/>
                <w:bottom w:val="none" w:sz="0" w:space="0" w:color="auto"/>
                <w:right w:val="none" w:sz="0" w:space="0" w:color="auto"/>
              </w:divBdr>
            </w:div>
          </w:divsChild>
        </w:div>
        <w:div w:id="1806043187">
          <w:marLeft w:val="0"/>
          <w:marRight w:val="0"/>
          <w:marTop w:val="0"/>
          <w:marBottom w:val="0"/>
          <w:divBdr>
            <w:top w:val="none" w:sz="0" w:space="0" w:color="auto"/>
            <w:left w:val="none" w:sz="0" w:space="0" w:color="auto"/>
            <w:bottom w:val="none" w:sz="0" w:space="0" w:color="auto"/>
            <w:right w:val="none" w:sz="0" w:space="0" w:color="auto"/>
          </w:divBdr>
          <w:divsChild>
            <w:div w:id="1553031034">
              <w:marLeft w:val="0"/>
              <w:marRight w:val="0"/>
              <w:marTop w:val="0"/>
              <w:marBottom w:val="0"/>
              <w:divBdr>
                <w:top w:val="none" w:sz="0" w:space="0" w:color="auto"/>
                <w:left w:val="none" w:sz="0" w:space="0" w:color="auto"/>
                <w:bottom w:val="none" w:sz="0" w:space="0" w:color="auto"/>
                <w:right w:val="none" w:sz="0" w:space="0" w:color="auto"/>
              </w:divBdr>
            </w:div>
          </w:divsChild>
        </w:div>
        <w:div w:id="1840389856">
          <w:marLeft w:val="0"/>
          <w:marRight w:val="0"/>
          <w:marTop w:val="0"/>
          <w:marBottom w:val="0"/>
          <w:divBdr>
            <w:top w:val="none" w:sz="0" w:space="0" w:color="auto"/>
            <w:left w:val="none" w:sz="0" w:space="0" w:color="auto"/>
            <w:bottom w:val="none" w:sz="0" w:space="0" w:color="auto"/>
            <w:right w:val="none" w:sz="0" w:space="0" w:color="auto"/>
          </w:divBdr>
          <w:divsChild>
            <w:div w:id="617028349">
              <w:marLeft w:val="0"/>
              <w:marRight w:val="0"/>
              <w:marTop w:val="0"/>
              <w:marBottom w:val="0"/>
              <w:divBdr>
                <w:top w:val="none" w:sz="0" w:space="0" w:color="auto"/>
                <w:left w:val="none" w:sz="0" w:space="0" w:color="auto"/>
                <w:bottom w:val="none" w:sz="0" w:space="0" w:color="auto"/>
                <w:right w:val="none" w:sz="0" w:space="0" w:color="auto"/>
              </w:divBdr>
            </w:div>
          </w:divsChild>
        </w:div>
        <w:div w:id="1904633787">
          <w:marLeft w:val="0"/>
          <w:marRight w:val="0"/>
          <w:marTop w:val="0"/>
          <w:marBottom w:val="0"/>
          <w:divBdr>
            <w:top w:val="none" w:sz="0" w:space="0" w:color="auto"/>
            <w:left w:val="none" w:sz="0" w:space="0" w:color="auto"/>
            <w:bottom w:val="none" w:sz="0" w:space="0" w:color="auto"/>
            <w:right w:val="none" w:sz="0" w:space="0" w:color="auto"/>
          </w:divBdr>
          <w:divsChild>
            <w:div w:id="1184629022">
              <w:marLeft w:val="0"/>
              <w:marRight w:val="0"/>
              <w:marTop w:val="0"/>
              <w:marBottom w:val="0"/>
              <w:divBdr>
                <w:top w:val="none" w:sz="0" w:space="0" w:color="auto"/>
                <w:left w:val="none" w:sz="0" w:space="0" w:color="auto"/>
                <w:bottom w:val="none" w:sz="0" w:space="0" w:color="auto"/>
                <w:right w:val="none" w:sz="0" w:space="0" w:color="auto"/>
              </w:divBdr>
            </w:div>
          </w:divsChild>
        </w:div>
        <w:div w:id="1905677108">
          <w:marLeft w:val="0"/>
          <w:marRight w:val="0"/>
          <w:marTop w:val="0"/>
          <w:marBottom w:val="0"/>
          <w:divBdr>
            <w:top w:val="none" w:sz="0" w:space="0" w:color="auto"/>
            <w:left w:val="none" w:sz="0" w:space="0" w:color="auto"/>
            <w:bottom w:val="none" w:sz="0" w:space="0" w:color="auto"/>
            <w:right w:val="none" w:sz="0" w:space="0" w:color="auto"/>
          </w:divBdr>
          <w:divsChild>
            <w:div w:id="180628543">
              <w:marLeft w:val="0"/>
              <w:marRight w:val="0"/>
              <w:marTop w:val="0"/>
              <w:marBottom w:val="0"/>
              <w:divBdr>
                <w:top w:val="none" w:sz="0" w:space="0" w:color="auto"/>
                <w:left w:val="none" w:sz="0" w:space="0" w:color="auto"/>
                <w:bottom w:val="none" w:sz="0" w:space="0" w:color="auto"/>
                <w:right w:val="none" w:sz="0" w:space="0" w:color="auto"/>
              </w:divBdr>
            </w:div>
          </w:divsChild>
        </w:div>
        <w:div w:id="1966885946">
          <w:marLeft w:val="0"/>
          <w:marRight w:val="0"/>
          <w:marTop w:val="0"/>
          <w:marBottom w:val="0"/>
          <w:divBdr>
            <w:top w:val="none" w:sz="0" w:space="0" w:color="auto"/>
            <w:left w:val="none" w:sz="0" w:space="0" w:color="auto"/>
            <w:bottom w:val="none" w:sz="0" w:space="0" w:color="auto"/>
            <w:right w:val="none" w:sz="0" w:space="0" w:color="auto"/>
          </w:divBdr>
          <w:divsChild>
            <w:div w:id="298725719">
              <w:marLeft w:val="0"/>
              <w:marRight w:val="0"/>
              <w:marTop w:val="0"/>
              <w:marBottom w:val="0"/>
              <w:divBdr>
                <w:top w:val="none" w:sz="0" w:space="0" w:color="auto"/>
                <w:left w:val="none" w:sz="0" w:space="0" w:color="auto"/>
                <w:bottom w:val="none" w:sz="0" w:space="0" w:color="auto"/>
                <w:right w:val="none" w:sz="0" w:space="0" w:color="auto"/>
              </w:divBdr>
            </w:div>
          </w:divsChild>
        </w:div>
        <w:div w:id="1969044203">
          <w:marLeft w:val="0"/>
          <w:marRight w:val="0"/>
          <w:marTop w:val="0"/>
          <w:marBottom w:val="0"/>
          <w:divBdr>
            <w:top w:val="none" w:sz="0" w:space="0" w:color="auto"/>
            <w:left w:val="none" w:sz="0" w:space="0" w:color="auto"/>
            <w:bottom w:val="none" w:sz="0" w:space="0" w:color="auto"/>
            <w:right w:val="none" w:sz="0" w:space="0" w:color="auto"/>
          </w:divBdr>
          <w:divsChild>
            <w:div w:id="2030182065">
              <w:marLeft w:val="0"/>
              <w:marRight w:val="0"/>
              <w:marTop w:val="0"/>
              <w:marBottom w:val="0"/>
              <w:divBdr>
                <w:top w:val="none" w:sz="0" w:space="0" w:color="auto"/>
                <w:left w:val="none" w:sz="0" w:space="0" w:color="auto"/>
                <w:bottom w:val="none" w:sz="0" w:space="0" w:color="auto"/>
                <w:right w:val="none" w:sz="0" w:space="0" w:color="auto"/>
              </w:divBdr>
            </w:div>
          </w:divsChild>
        </w:div>
        <w:div w:id="2000190496">
          <w:marLeft w:val="0"/>
          <w:marRight w:val="0"/>
          <w:marTop w:val="0"/>
          <w:marBottom w:val="0"/>
          <w:divBdr>
            <w:top w:val="none" w:sz="0" w:space="0" w:color="auto"/>
            <w:left w:val="none" w:sz="0" w:space="0" w:color="auto"/>
            <w:bottom w:val="none" w:sz="0" w:space="0" w:color="auto"/>
            <w:right w:val="none" w:sz="0" w:space="0" w:color="auto"/>
          </w:divBdr>
          <w:divsChild>
            <w:div w:id="765155721">
              <w:marLeft w:val="0"/>
              <w:marRight w:val="0"/>
              <w:marTop w:val="0"/>
              <w:marBottom w:val="0"/>
              <w:divBdr>
                <w:top w:val="none" w:sz="0" w:space="0" w:color="auto"/>
                <w:left w:val="none" w:sz="0" w:space="0" w:color="auto"/>
                <w:bottom w:val="none" w:sz="0" w:space="0" w:color="auto"/>
                <w:right w:val="none" w:sz="0" w:space="0" w:color="auto"/>
              </w:divBdr>
            </w:div>
          </w:divsChild>
        </w:div>
        <w:div w:id="2005235564">
          <w:marLeft w:val="0"/>
          <w:marRight w:val="0"/>
          <w:marTop w:val="0"/>
          <w:marBottom w:val="0"/>
          <w:divBdr>
            <w:top w:val="none" w:sz="0" w:space="0" w:color="auto"/>
            <w:left w:val="none" w:sz="0" w:space="0" w:color="auto"/>
            <w:bottom w:val="none" w:sz="0" w:space="0" w:color="auto"/>
            <w:right w:val="none" w:sz="0" w:space="0" w:color="auto"/>
          </w:divBdr>
          <w:divsChild>
            <w:div w:id="72557200">
              <w:marLeft w:val="0"/>
              <w:marRight w:val="0"/>
              <w:marTop w:val="0"/>
              <w:marBottom w:val="0"/>
              <w:divBdr>
                <w:top w:val="none" w:sz="0" w:space="0" w:color="auto"/>
                <w:left w:val="none" w:sz="0" w:space="0" w:color="auto"/>
                <w:bottom w:val="none" w:sz="0" w:space="0" w:color="auto"/>
                <w:right w:val="none" w:sz="0" w:space="0" w:color="auto"/>
              </w:divBdr>
            </w:div>
          </w:divsChild>
        </w:div>
        <w:div w:id="2008437728">
          <w:marLeft w:val="0"/>
          <w:marRight w:val="0"/>
          <w:marTop w:val="0"/>
          <w:marBottom w:val="0"/>
          <w:divBdr>
            <w:top w:val="none" w:sz="0" w:space="0" w:color="auto"/>
            <w:left w:val="none" w:sz="0" w:space="0" w:color="auto"/>
            <w:bottom w:val="none" w:sz="0" w:space="0" w:color="auto"/>
            <w:right w:val="none" w:sz="0" w:space="0" w:color="auto"/>
          </w:divBdr>
          <w:divsChild>
            <w:div w:id="681396412">
              <w:marLeft w:val="0"/>
              <w:marRight w:val="0"/>
              <w:marTop w:val="0"/>
              <w:marBottom w:val="0"/>
              <w:divBdr>
                <w:top w:val="none" w:sz="0" w:space="0" w:color="auto"/>
                <w:left w:val="none" w:sz="0" w:space="0" w:color="auto"/>
                <w:bottom w:val="none" w:sz="0" w:space="0" w:color="auto"/>
                <w:right w:val="none" w:sz="0" w:space="0" w:color="auto"/>
              </w:divBdr>
            </w:div>
          </w:divsChild>
        </w:div>
        <w:div w:id="2043701276">
          <w:marLeft w:val="0"/>
          <w:marRight w:val="0"/>
          <w:marTop w:val="0"/>
          <w:marBottom w:val="0"/>
          <w:divBdr>
            <w:top w:val="none" w:sz="0" w:space="0" w:color="auto"/>
            <w:left w:val="none" w:sz="0" w:space="0" w:color="auto"/>
            <w:bottom w:val="none" w:sz="0" w:space="0" w:color="auto"/>
            <w:right w:val="none" w:sz="0" w:space="0" w:color="auto"/>
          </w:divBdr>
          <w:divsChild>
            <w:div w:id="185412290">
              <w:marLeft w:val="0"/>
              <w:marRight w:val="0"/>
              <w:marTop w:val="0"/>
              <w:marBottom w:val="0"/>
              <w:divBdr>
                <w:top w:val="none" w:sz="0" w:space="0" w:color="auto"/>
                <w:left w:val="none" w:sz="0" w:space="0" w:color="auto"/>
                <w:bottom w:val="none" w:sz="0" w:space="0" w:color="auto"/>
                <w:right w:val="none" w:sz="0" w:space="0" w:color="auto"/>
              </w:divBdr>
            </w:div>
          </w:divsChild>
        </w:div>
        <w:div w:id="2056585321">
          <w:marLeft w:val="0"/>
          <w:marRight w:val="0"/>
          <w:marTop w:val="0"/>
          <w:marBottom w:val="0"/>
          <w:divBdr>
            <w:top w:val="none" w:sz="0" w:space="0" w:color="auto"/>
            <w:left w:val="none" w:sz="0" w:space="0" w:color="auto"/>
            <w:bottom w:val="none" w:sz="0" w:space="0" w:color="auto"/>
            <w:right w:val="none" w:sz="0" w:space="0" w:color="auto"/>
          </w:divBdr>
          <w:divsChild>
            <w:div w:id="735201261">
              <w:marLeft w:val="0"/>
              <w:marRight w:val="0"/>
              <w:marTop w:val="0"/>
              <w:marBottom w:val="0"/>
              <w:divBdr>
                <w:top w:val="none" w:sz="0" w:space="0" w:color="auto"/>
                <w:left w:val="none" w:sz="0" w:space="0" w:color="auto"/>
                <w:bottom w:val="none" w:sz="0" w:space="0" w:color="auto"/>
                <w:right w:val="none" w:sz="0" w:space="0" w:color="auto"/>
              </w:divBdr>
            </w:div>
          </w:divsChild>
        </w:div>
        <w:div w:id="2065332597">
          <w:marLeft w:val="0"/>
          <w:marRight w:val="0"/>
          <w:marTop w:val="0"/>
          <w:marBottom w:val="0"/>
          <w:divBdr>
            <w:top w:val="none" w:sz="0" w:space="0" w:color="auto"/>
            <w:left w:val="none" w:sz="0" w:space="0" w:color="auto"/>
            <w:bottom w:val="none" w:sz="0" w:space="0" w:color="auto"/>
            <w:right w:val="none" w:sz="0" w:space="0" w:color="auto"/>
          </w:divBdr>
          <w:divsChild>
            <w:div w:id="228393183">
              <w:marLeft w:val="0"/>
              <w:marRight w:val="0"/>
              <w:marTop w:val="0"/>
              <w:marBottom w:val="0"/>
              <w:divBdr>
                <w:top w:val="none" w:sz="0" w:space="0" w:color="auto"/>
                <w:left w:val="none" w:sz="0" w:space="0" w:color="auto"/>
                <w:bottom w:val="none" w:sz="0" w:space="0" w:color="auto"/>
                <w:right w:val="none" w:sz="0" w:space="0" w:color="auto"/>
              </w:divBdr>
            </w:div>
          </w:divsChild>
        </w:div>
        <w:div w:id="2102019637">
          <w:marLeft w:val="0"/>
          <w:marRight w:val="0"/>
          <w:marTop w:val="0"/>
          <w:marBottom w:val="0"/>
          <w:divBdr>
            <w:top w:val="none" w:sz="0" w:space="0" w:color="auto"/>
            <w:left w:val="none" w:sz="0" w:space="0" w:color="auto"/>
            <w:bottom w:val="none" w:sz="0" w:space="0" w:color="auto"/>
            <w:right w:val="none" w:sz="0" w:space="0" w:color="auto"/>
          </w:divBdr>
          <w:divsChild>
            <w:div w:id="121845490">
              <w:marLeft w:val="0"/>
              <w:marRight w:val="0"/>
              <w:marTop w:val="0"/>
              <w:marBottom w:val="0"/>
              <w:divBdr>
                <w:top w:val="none" w:sz="0" w:space="0" w:color="auto"/>
                <w:left w:val="none" w:sz="0" w:space="0" w:color="auto"/>
                <w:bottom w:val="none" w:sz="0" w:space="0" w:color="auto"/>
                <w:right w:val="none" w:sz="0" w:space="0" w:color="auto"/>
              </w:divBdr>
            </w:div>
          </w:divsChild>
        </w:div>
        <w:div w:id="2139567302">
          <w:marLeft w:val="0"/>
          <w:marRight w:val="0"/>
          <w:marTop w:val="0"/>
          <w:marBottom w:val="0"/>
          <w:divBdr>
            <w:top w:val="none" w:sz="0" w:space="0" w:color="auto"/>
            <w:left w:val="none" w:sz="0" w:space="0" w:color="auto"/>
            <w:bottom w:val="none" w:sz="0" w:space="0" w:color="auto"/>
            <w:right w:val="none" w:sz="0" w:space="0" w:color="auto"/>
          </w:divBdr>
          <w:divsChild>
            <w:div w:id="1912494917">
              <w:marLeft w:val="0"/>
              <w:marRight w:val="0"/>
              <w:marTop w:val="0"/>
              <w:marBottom w:val="0"/>
              <w:divBdr>
                <w:top w:val="none" w:sz="0" w:space="0" w:color="auto"/>
                <w:left w:val="none" w:sz="0" w:space="0" w:color="auto"/>
                <w:bottom w:val="none" w:sz="0" w:space="0" w:color="auto"/>
                <w:right w:val="none" w:sz="0" w:space="0" w:color="auto"/>
              </w:divBdr>
            </w:div>
          </w:divsChild>
        </w:div>
        <w:div w:id="2145729630">
          <w:marLeft w:val="0"/>
          <w:marRight w:val="0"/>
          <w:marTop w:val="0"/>
          <w:marBottom w:val="0"/>
          <w:divBdr>
            <w:top w:val="none" w:sz="0" w:space="0" w:color="auto"/>
            <w:left w:val="none" w:sz="0" w:space="0" w:color="auto"/>
            <w:bottom w:val="none" w:sz="0" w:space="0" w:color="auto"/>
            <w:right w:val="none" w:sz="0" w:space="0" w:color="auto"/>
          </w:divBdr>
          <w:divsChild>
            <w:div w:id="90105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624473">
      <w:bodyDiv w:val="1"/>
      <w:marLeft w:val="0"/>
      <w:marRight w:val="0"/>
      <w:marTop w:val="0"/>
      <w:marBottom w:val="0"/>
      <w:divBdr>
        <w:top w:val="none" w:sz="0" w:space="0" w:color="auto"/>
        <w:left w:val="none" w:sz="0" w:space="0" w:color="auto"/>
        <w:bottom w:val="none" w:sz="0" w:space="0" w:color="auto"/>
        <w:right w:val="none" w:sz="0" w:space="0" w:color="auto"/>
      </w:divBdr>
    </w:div>
    <w:div w:id="1347561268">
      <w:bodyDiv w:val="1"/>
      <w:marLeft w:val="0"/>
      <w:marRight w:val="0"/>
      <w:marTop w:val="0"/>
      <w:marBottom w:val="0"/>
      <w:divBdr>
        <w:top w:val="none" w:sz="0" w:space="0" w:color="auto"/>
        <w:left w:val="none" w:sz="0" w:space="0" w:color="auto"/>
        <w:bottom w:val="none" w:sz="0" w:space="0" w:color="auto"/>
        <w:right w:val="none" w:sz="0" w:space="0" w:color="auto"/>
      </w:divBdr>
    </w:div>
    <w:div w:id="1358388401">
      <w:bodyDiv w:val="1"/>
      <w:marLeft w:val="0"/>
      <w:marRight w:val="0"/>
      <w:marTop w:val="0"/>
      <w:marBottom w:val="0"/>
      <w:divBdr>
        <w:top w:val="none" w:sz="0" w:space="0" w:color="auto"/>
        <w:left w:val="none" w:sz="0" w:space="0" w:color="auto"/>
        <w:bottom w:val="none" w:sz="0" w:space="0" w:color="auto"/>
        <w:right w:val="none" w:sz="0" w:space="0" w:color="auto"/>
      </w:divBdr>
    </w:div>
    <w:div w:id="1363750546">
      <w:bodyDiv w:val="1"/>
      <w:marLeft w:val="0"/>
      <w:marRight w:val="0"/>
      <w:marTop w:val="0"/>
      <w:marBottom w:val="0"/>
      <w:divBdr>
        <w:top w:val="none" w:sz="0" w:space="0" w:color="auto"/>
        <w:left w:val="none" w:sz="0" w:space="0" w:color="auto"/>
        <w:bottom w:val="none" w:sz="0" w:space="0" w:color="auto"/>
        <w:right w:val="none" w:sz="0" w:space="0" w:color="auto"/>
      </w:divBdr>
    </w:div>
    <w:div w:id="1366756571">
      <w:bodyDiv w:val="1"/>
      <w:marLeft w:val="0"/>
      <w:marRight w:val="0"/>
      <w:marTop w:val="0"/>
      <w:marBottom w:val="0"/>
      <w:divBdr>
        <w:top w:val="none" w:sz="0" w:space="0" w:color="auto"/>
        <w:left w:val="none" w:sz="0" w:space="0" w:color="auto"/>
        <w:bottom w:val="none" w:sz="0" w:space="0" w:color="auto"/>
        <w:right w:val="none" w:sz="0" w:space="0" w:color="auto"/>
      </w:divBdr>
    </w:div>
    <w:div w:id="1369916359">
      <w:bodyDiv w:val="1"/>
      <w:marLeft w:val="0"/>
      <w:marRight w:val="0"/>
      <w:marTop w:val="0"/>
      <w:marBottom w:val="0"/>
      <w:divBdr>
        <w:top w:val="none" w:sz="0" w:space="0" w:color="auto"/>
        <w:left w:val="none" w:sz="0" w:space="0" w:color="auto"/>
        <w:bottom w:val="none" w:sz="0" w:space="0" w:color="auto"/>
        <w:right w:val="none" w:sz="0" w:space="0" w:color="auto"/>
      </w:divBdr>
    </w:div>
    <w:div w:id="1371224287">
      <w:bodyDiv w:val="1"/>
      <w:marLeft w:val="0"/>
      <w:marRight w:val="0"/>
      <w:marTop w:val="0"/>
      <w:marBottom w:val="0"/>
      <w:divBdr>
        <w:top w:val="none" w:sz="0" w:space="0" w:color="auto"/>
        <w:left w:val="none" w:sz="0" w:space="0" w:color="auto"/>
        <w:bottom w:val="none" w:sz="0" w:space="0" w:color="auto"/>
        <w:right w:val="none" w:sz="0" w:space="0" w:color="auto"/>
      </w:divBdr>
    </w:div>
    <w:div w:id="1376808347">
      <w:bodyDiv w:val="1"/>
      <w:marLeft w:val="0"/>
      <w:marRight w:val="0"/>
      <w:marTop w:val="0"/>
      <w:marBottom w:val="0"/>
      <w:divBdr>
        <w:top w:val="none" w:sz="0" w:space="0" w:color="auto"/>
        <w:left w:val="none" w:sz="0" w:space="0" w:color="auto"/>
        <w:bottom w:val="none" w:sz="0" w:space="0" w:color="auto"/>
        <w:right w:val="none" w:sz="0" w:space="0" w:color="auto"/>
      </w:divBdr>
    </w:div>
    <w:div w:id="1383596668">
      <w:bodyDiv w:val="1"/>
      <w:marLeft w:val="0"/>
      <w:marRight w:val="0"/>
      <w:marTop w:val="0"/>
      <w:marBottom w:val="0"/>
      <w:divBdr>
        <w:top w:val="none" w:sz="0" w:space="0" w:color="auto"/>
        <w:left w:val="none" w:sz="0" w:space="0" w:color="auto"/>
        <w:bottom w:val="none" w:sz="0" w:space="0" w:color="auto"/>
        <w:right w:val="none" w:sz="0" w:space="0" w:color="auto"/>
      </w:divBdr>
    </w:div>
    <w:div w:id="1398743444">
      <w:bodyDiv w:val="1"/>
      <w:marLeft w:val="0"/>
      <w:marRight w:val="0"/>
      <w:marTop w:val="0"/>
      <w:marBottom w:val="0"/>
      <w:divBdr>
        <w:top w:val="none" w:sz="0" w:space="0" w:color="auto"/>
        <w:left w:val="none" w:sz="0" w:space="0" w:color="auto"/>
        <w:bottom w:val="none" w:sz="0" w:space="0" w:color="auto"/>
        <w:right w:val="none" w:sz="0" w:space="0" w:color="auto"/>
      </w:divBdr>
    </w:div>
    <w:div w:id="1413161470">
      <w:bodyDiv w:val="1"/>
      <w:marLeft w:val="0"/>
      <w:marRight w:val="0"/>
      <w:marTop w:val="0"/>
      <w:marBottom w:val="0"/>
      <w:divBdr>
        <w:top w:val="none" w:sz="0" w:space="0" w:color="auto"/>
        <w:left w:val="none" w:sz="0" w:space="0" w:color="auto"/>
        <w:bottom w:val="none" w:sz="0" w:space="0" w:color="auto"/>
        <w:right w:val="none" w:sz="0" w:space="0" w:color="auto"/>
      </w:divBdr>
    </w:div>
    <w:div w:id="1414467963">
      <w:bodyDiv w:val="1"/>
      <w:marLeft w:val="0"/>
      <w:marRight w:val="0"/>
      <w:marTop w:val="0"/>
      <w:marBottom w:val="0"/>
      <w:divBdr>
        <w:top w:val="none" w:sz="0" w:space="0" w:color="auto"/>
        <w:left w:val="none" w:sz="0" w:space="0" w:color="auto"/>
        <w:bottom w:val="none" w:sz="0" w:space="0" w:color="auto"/>
        <w:right w:val="none" w:sz="0" w:space="0" w:color="auto"/>
      </w:divBdr>
    </w:div>
    <w:div w:id="1435711592">
      <w:bodyDiv w:val="1"/>
      <w:marLeft w:val="0"/>
      <w:marRight w:val="0"/>
      <w:marTop w:val="0"/>
      <w:marBottom w:val="0"/>
      <w:divBdr>
        <w:top w:val="none" w:sz="0" w:space="0" w:color="auto"/>
        <w:left w:val="none" w:sz="0" w:space="0" w:color="auto"/>
        <w:bottom w:val="none" w:sz="0" w:space="0" w:color="auto"/>
        <w:right w:val="none" w:sz="0" w:space="0" w:color="auto"/>
      </w:divBdr>
    </w:div>
    <w:div w:id="1437798101">
      <w:bodyDiv w:val="1"/>
      <w:marLeft w:val="0"/>
      <w:marRight w:val="0"/>
      <w:marTop w:val="0"/>
      <w:marBottom w:val="0"/>
      <w:divBdr>
        <w:top w:val="none" w:sz="0" w:space="0" w:color="auto"/>
        <w:left w:val="none" w:sz="0" w:space="0" w:color="auto"/>
        <w:bottom w:val="none" w:sz="0" w:space="0" w:color="auto"/>
        <w:right w:val="none" w:sz="0" w:space="0" w:color="auto"/>
      </w:divBdr>
    </w:div>
    <w:div w:id="1441296689">
      <w:bodyDiv w:val="1"/>
      <w:marLeft w:val="0"/>
      <w:marRight w:val="0"/>
      <w:marTop w:val="0"/>
      <w:marBottom w:val="0"/>
      <w:divBdr>
        <w:top w:val="none" w:sz="0" w:space="0" w:color="auto"/>
        <w:left w:val="none" w:sz="0" w:space="0" w:color="auto"/>
        <w:bottom w:val="none" w:sz="0" w:space="0" w:color="auto"/>
        <w:right w:val="none" w:sz="0" w:space="0" w:color="auto"/>
      </w:divBdr>
      <w:divsChild>
        <w:div w:id="41439970">
          <w:marLeft w:val="0"/>
          <w:marRight w:val="0"/>
          <w:marTop w:val="0"/>
          <w:marBottom w:val="0"/>
          <w:divBdr>
            <w:top w:val="none" w:sz="0" w:space="0" w:color="auto"/>
            <w:left w:val="none" w:sz="0" w:space="0" w:color="auto"/>
            <w:bottom w:val="none" w:sz="0" w:space="0" w:color="auto"/>
            <w:right w:val="none" w:sz="0" w:space="0" w:color="auto"/>
          </w:divBdr>
          <w:divsChild>
            <w:div w:id="711199127">
              <w:marLeft w:val="0"/>
              <w:marRight w:val="0"/>
              <w:marTop w:val="0"/>
              <w:marBottom w:val="0"/>
              <w:divBdr>
                <w:top w:val="none" w:sz="0" w:space="0" w:color="auto"/>
                <w:left w:val="none" w:sz="0" w:space="0" w:color="auto"/>
                <w:bottom w:val="none" w:sz="0" w:space="0" w:color="auto"/>
                <w:right w:val="none" w:sz="0" w:space="0" w:color="auto"/>
              </w:divBdr>
              <w:divsChild>
                <w:div w:id="1154643550">
                  <w:marLeft w:val="0"/>
                  <w:marRight w:val="0"/>
                  <w:marTop w:val="0"/>
                  <w:marBottom w:val="0"/>
                  <w:divBdr>
                    <w:top w:val="none" w:sz="0" w:space="0" w:color="auto"/>
                    <w:left w:val="none" w:sz="0" w:space="0" w:color="auto"/>
                    <w:bottom w:val="none" w:sz="0" w:space="0" w:color="auto"/>
                    <w:right w:val="none" w:sz="0" w:space="0" w:color="auto"/>
                  </w:divBdr>
                  <w:divsChild>
                    <w:div w:id="1637028714">
                      <w:marLeft w:val="0"/>
                      <w:marRight w:val="0"/>
                      <w:marTop w:val="0"/>
                      <w:marBottom w:val="0"/>
                      <w:divBdr>
                        <w:top w:val="none" w:sz="0" w:space="0" w:color="auto"/>
                        <w:left w:val="none" w:sz="0" w:space="0" w:color="auto"/>
                        <w:bottom w:val="none" w:sz="0" w:space="0" w:color="auto"/>
                        <w:right w:val="none" w:sz="0" w:space="0" w:color="auto"/>
                      </w:divBdr>
                      <w:divsChild>
                        <w:div w:id="839125045">
                          <w:marLeft w:val="0"/>
                          <w:marRight w:val="0"/>
                          <w:marTop w:val="0"/>
                          <w:marBottom w:val="0"/>
                          <w:divBdr>
                            <w:top w:val="none" w:sz="0" w:space="0" w:color="auto"/>
                            <w:left w:val="none" w:sz="0" w:space="0" w:color="auto"/>
                            <w:bottom w:val="none" w:sz="0" w:space="0" w:color="auto"/>
                            <w:right w:val="none" w:sz="0" w:space="0" w:color="auto"/>
                          </w:divBdr>
                          <w:divsChild>
                            <w:div w:id="16516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1680400">
      <w:bodyDiv w:val="1"/>
      <w:marLeft w:val="0"/>
      <w:marRight w:val="0"/>
      <w:marTop w:val="0"/>
      <w:marBottom w:val="0"/>
      <w:divBdr>
        <w:top w:val="none" w:sz="0" w:space="0" w:color="auto"/>
        <w:left w:val="none" w:sz="0" w:space="0" w:color="auto"/>
        <w:bottom w:val="none" w:sz="0" w:space="0" w:color="auto"/>
        <w:right w:val="none" w:sz="0" w:space="0" w:color="auto"/>
      </w:divBdr>
    </w:div>
    <w:div w:id="1446149709">
      <w:bodyDiv w:val="1"/>
      <w:marLeft w:val="0"/>
      <w:marRight w:val="0"/>
      <w:marTop w:val="0"/>
      <w:marBottom w:val="0"/>
      <w:divBdr>
        <w:top w:val="none" w:sz="0" w:space="0" w:color="auto"/>
        <w:left w:val="none" w:sz="0" w:space="0" w:color="auto"/>
        <w:bottom w:val="none" w:sz="0" w:space="0" w:color="auto"/>
        <w:right w:val="none" w:sz="0" w:space="0" w:color="auto"/>
      </w:divBdr>
    </w:div>
    <w:div w:id="1452633175">
      <w:bodyDiv w:val="1"/>
      <w:marLeft w:val="0"/>
      <w:marRight w:val="0"/>
      <w:marTop w:val="0"/>
      <w:marBottom w:val="0"/>
      <w:divBdr>
        <w:top w:val="none" w:sz="0" w:space="0" w:color="auto"/>
        <w:left w:val="none" w:sz="0" w:space="0" w:color="auto"/>
        <w:bottom w:val="none" w:sz="0" w:space="0" w:color="auto"/>
        <w:right w:val="none" w:sz="0" w:space="0" w:color="auto"/>
      </w:divBdr>
    </w:div>
    <w:div w:id="1457140816">
      <w:bodyDiv w:val="1"/>
      <w:marLeft w:val="0"/>
      <w:marRight w:val="0"/>
      <w:marTop w:val="0"/>
      <w:marBottom w:val="0"/>
      <w:divBdr>
        <w:top w:val="none" w:sz="0" w:space="0" w:color="auto"/>
        <w:left w:val="none" w:sz="0" w:space="0" w:color="auto"/>
        <w:bottom w:val="none" w:sz="0" w:space="0" w:color="auto"/>
        <w:right w:val="none" w:sz="0" w:space="0" w:color="auto"/>
      </w:divBdr>
    </w:div>
    <w:div w:id="1478260735">
      <w:bodyDiv w:val="1"/>
      <w:marLeft w:val="0"/>
      <w:marRight w:val="0"/>
      <w:marTop w:val="0"/>
      <w:marBottom w:val="0"/>
      <w:divBdr>
        <w:top w:val="none" w:sz="0" w:space="0" w:color="auto"/>
        <w:left w:val="none" w:sz="0" w:space="0" w:color="auto"/>
        <w:bottom w:val="none" w:sz="0" w:space="0" w:color="auto"/>
        <w:right w:val="none" w:sz="0" w:space="0" w:color="auto"/>
      </w:divBdr>
    </w:div>
    <w:div w:id="1479767449">
      <w:bodyDiv w:val="1"/>
      <w:marLeft w:val="0"/>
      <w:marRight w:val="0"/>
      <w:marTop w:val="0"/>
      <w:marBottom w:val="0"/>
      <w:divBdr>
        <w:top w:val="none" w:sz="0" w:space="0" w:color="auto"/>
        <w:left w:val="none" w:sz="0" w:space="0" w:color="auto"/>
        <w:bottom w:val="none" w:sz="0" w:space="0" w:color="auto"/>
        <w:right w:val="none" w:sz="0" w:space="0" w:color="auto"/>
      </w:divBdr>
    </w:div>
    <w:div w:id="1479809363">
      <w:bodyDiv w:val="1"/>
      <w:marLeft w:val="0"/>
      <w:marRight w:val="0"/>
      <w:marTop w:val="0"/>
      <w:marBottom w:val="0"/>
      <w:divBdr>
        <w:top w:val="none" w:sz="0" w:space="0" w:color="auto"/>
        <w:left w:val="none" w:sz="0" w:space="0" w:color="auto"/>
        <w:bottom w:val="none" w:sz="0" w:space="0" w:color="auto"/>
        <w:right w:val="none" w:sz="0" w:space="0" w:color="auto"/>
      </w:divBdr>
    </w:div>
    <w:div w:id="1480339963">
      <w:bodyDiv w:val="1"/>
      <w:marLeft w:val="0"/>
      <w:marRight w:val="0"/>
      <w:marTop w:val="0"/>
      <w:marBottom w:val="0"/>
      <w:divBdr>
        <w:top w:val="none" w:sz="0" w:space="0" w:color="auto"/>
        <w:left w:val="none" w:sz="0" w:space="0" w:color="auto"/>
        <w:bottom w:val="none" w:sz="0" w:space="0" w:color="auto"/>
        <w:right w:val="none" w:sz="0" w:space="0" w:color="auto"/>
      </w:divBdr>
    </w:div>
    <w:div w:id="1483767354">
      <w:bodyDiv w:val="1"/>
      <w:marLeft w:val="0"/>
      <w:marRight w:val="0"/>
      <w:marTop w:val="0"/>
      <w:marBottom w:val="0"/>
      <w:divBdr>
        <w:top w:val="none" w:sz="0" w:space="0" w:color="auto"/>
        <w:left w:val="none" w:sz="0" w:space="0" w:color="auto"/>
        <w:bottom w:val="none" w:sz="0" w:space="0" w:color="auto"/>
        <w:right w:val="none" w:sz="0" w:space="0" w:color="auto"/>
      </w:divBdr>
    </w:div>
    <w:div w:id="1492871299">
      <w:bodyDiv w:val="1"/>
      <w:marLeft w:val="0"/>
      <w:marRight w:val="0"/>
      <w:marTop w:val="0"/>
      <w:marBottom w:val="0"/>
      <w:divBdr>
        <w:top w:val="none" w:sz="0" w:space="0" w:color="auto"/>
        <w:left w:val="none" w:sz="0" w:space="0" w:color="auto"/>
        <w:bottom w:val="none" w:sz="0" w:space="0" w:color="auto"/>
        <w:right w:val="none" w:sz="0" w:space="0" w:color="auto"/>
      </w:divBdr>
    </w:div>
    <w:div w:id="1503617883">
      <w:bodyDiv w:val="1"/>
      <w:marLeft w:val="0"/>
      <w:marRight w:val="0"/>
      <w:marTop w:val="0"/>
      <w:marBottom w:val="0"/>
      <w:divBdr>
        <w:top w:val="none" w:sz="0" w:space="0" w:color="auto"/>
        <w:left w:val="none" w:sz="0" w:space="0" w:color="auto"/>
        <w:bottom w:val="none" w:sz="0" w:space="0" w:color="auto"/>
        <w:right w:val="none" w:sz="0" w:space="0" w:color="auto"/>
      </w:divBdr>
    </w:div>
    <w:div w:id="1510291733">
      <w:bodyDiv w:val="1"/>
      <w:marLeft w:val="0"/>
      <w:marRight w:val="0"/>
      <w:marTop w:val="0"/>
      <w:marBottom w:val="0"/>
      <w:divBdr>
        <w:top w:val="none" w:sz="0" w:space="0" w:color="auto"/>
        <w:left w:val="none" w:sz="0" w:space="0" w:color="auto"/>
        <w:bottom w:val="none" w:sz="0" w:space="0" w:color="auto"/>
        <w:right w:val="none" w:sz="0" w:space="0" w:color="auto"/>
      </w:divBdr>
    </w:div>
    <w:div w:id="1538393663">
      <w:bodyDiv w:val="1"/>
      <w:marLeft w:val="0"/>
      <w:marRight w:val="0"/>
      <w:marTop w:val="0"/>
      <w:marBottom w:val="0"/>
      <w:divBdr>
        <w:top w:val="none" w:sz="0" w:space="0" w:color="auto"/>
        <w:left w:val="none" w:sz="0" w:space="0" w:color="auto"/>
        <w:bottom w:val="none" w:sz="0" w:space="0" w:color="auto"/>
        <w:right w:val="none" w:sz="0" w:space="0" w:color="auto"/>
      </w:divBdr>
    </w:div>
    <w:div w:id="1545949103">
      <w:bodyDiv w:val="1"/>
      <w:marLeft w:val="0"/>
      <w:marRight w:val="0"/>
      <w:marTop w:val="0"/>
      <w:marBottom w:val="0"/>
      <w:divBdr>
        <w:top w:val="none" w:sz="0" w:space="0" w:color="auto"/>
        <w:left w:val="none" w:sz="0" w:space="0" w:color="auto"/>
        <w:bottom w:val="none" w:sz="0" w:space="0" w:color="auto"/>
        <w:right w:val="none" w:sz="0" w:space="0" w:color="auto"/>
      </w:divBdr>
    </w:div>
    <w:div w:id="1549953048">
      <w:bodyDiv w:val="1"/>
      <w:marLeft w:val="0"/>
      <w:marRight w:val="0"/>
      <w:marTop w:val="0"/>
      <w:marBottom w:val="0"/>
      <w:divBdr>
        <w:top w:val="none" w:sz="0" w:space="0" w:color="auto"/>
        <w:left w:val="none" w:sz="0" w:space="0" w:color="auto"/>
        <w:bottom w:val="none" w:sz="0" w:space="0" w:color="auto"/>
        <w:right w:val="none" w:sz="0" w:space="0" w:color="auto"/>
      </w:divBdr>
    </w:div>
    <w:div w:id="1551920190">
      <w:bodyDiv w:val="1"/>
      <w:marLeft w:val="0"/>
      <w:marRight w:val="0"/>
      <w:marTop w:val="0"/>
      <w:marBottom w:val="0"/>
      <w:divBdr>
        <w:top w:val="none" w:sz="0" w:space="0" w:color="auto"/>
        <w:left w:val="none" w:sz="0" w:space="0" w:color="auto"/>
        <w:bottom w:val="none" w:sz="0" w:space="0" w:color="auto"/>
        <w:right w:val="none" w:sz="0" w:space="0" w:color="auto"/>
      </w:divBdr>
    </w:div>
    <w:div w:id="1557934467">
      <w:bodyDiv w:val="1"/>
      <w:marLeft w:val="0"/>
      <w:marRight w:val="0"/>
      <w:marTop w:val="0"/>
      <w:marBottom w:val="0"/>
      <w:divBdr>
        <w:top w:val="none" w:sz="0" w:space="0" w:color="auto"/>
        <w:left w:val="none" w:sz="0" w:space="0" w:color="auto"/>
        <w:bottom w:val="none" w:sz="0" w:space="0" w:color="auto"/>
        <w:right w:val="none" w:sz="0" w:space="0" w:color="auto"/>
      </w:divBdr>
    </w:div>
    <w:div w:id="1559826344">
      <w:bodyDiv w:val="1"/>
      <w:marLeft w:val="0"/>
      <w:marRight w:val="0"/>
      <w:marTop w:val="0"/>
      <w:marBottom w:val="0"/>
      <w:divBdr>
        <w:top w:val="none" w:sz="0" w:space="0" w:color="auto"/>
        <w:left w:val="none" w:sz="0" w:space="0" w:color="auto"/>
        <w:bottom w:val="none" w:sz="0" w:space="0" w:color="auto"/>
        <w:right w:val="none" w:sz="0" w:space="0" w:color="auto"/>
      </w:divBdr>
    </w:div>
    <w:div w:id="1564756824">
      <w:bodyDiv w:val="1"/>
      <w:marLeft w:val="0"/>
      <w:marRight w:val="0"/>
      <w:marTop w:val="0"/>
      <w:marBottom w:val="0"/>
      <w:divBdr>
        <w:top w:val="none" w:sz="0" w:space="0" w:color="auto"/>
        <w:left w:val="none" w:sz="0" w:space="0" w:color="auto"/>
        <w:bottom w:val="none" w:sz="0" w:space="0" w:color="auto"/>
        <w:right w:val="none" w:sz="0" w:space="0" w:color="auto"/>
      </w:divBdr>
    </w:div>
    <w:div w:id="1618102601">
      <w:bodyDiv w:val="1"/>
      <w:marLeft w:val="0"/>
      <w:marRight w:val="0"/>
      <w:marTop w:val="0"/>
      <w:marBottom w:val="0"/>
      <w:divBdr>
        <w:top w:val="none" w:sz="0" w:space="0" w:color="auto"/>
        <w:left w:val="none" w:sz="0" w:space="0" w:color="auto"/>
        <w:bottom w:val="none" w:sz="0" w:space="0" w:color="auto"/>
        <w:right w:val="none" w:sz="0" w:space="0" w:color="auto"/>
      </w:divBdr>
    </w:div>
    <w:div w:id="1626890791">
      <w:bodyDiv w:val="1"/>
      <w:marLeft w:val="0"/>
      <w:marRight w:val="0"/>
      <w:marTop w:val="0"/>
      <w:marBottom w:val="0"/>
      <w:divBdr>
        <w:top w:val="none" w:sz="0" w:space="0" w:color="auto"/>
        <w:left w:val="none" w:sz="0" w:space="0" w:color="auto"/>
        <w:bottom w:val="none" w:sz="0" w:space="0" w:color="auto"/>
        <w:right w:val="none" w:sz="0" w:space="0" w:color="auto"/>
      </w:divBdr>
    </w:div>
    <w:div w:id="1632513181">
      <w:bodyDiv w:val="1"/>
      <w:marLeft w:val="0"/>
      <w:marRight w:val="0"/>
      <w:marTop w:val="0"/>
      <w:marBottom w:val="0"/>
      <w:divBdr>
        <w:top w:val="none" w:sz="0" w:space="0" w:color="auto"/>
        <w:left w:val="none" w:sz="0" w:space="0" w:color="auto"/>
        <w:bottom w:val="none" w:sz="0" w:space="0" w:color="auto"/>
        <w:right w:val="none" w:sz="0" w:space="0" w:color="auto"/>
      </w:divBdr>
    </w:div>
    <w:div w:id="1637562008">
      <w:bodyDiv w:val="1"/>
      <w:marLeft w:val="0"/>
      <w:marRight w:val="0"/>
      <w:marTop w:val="0"/>
      <w:marBottom w:val="0"/>
      <w:divBdr>
        <w:top w:val="none" w:sz="0" w:space="0" w:color="auto"/>
        <w:left w:val="none" w:sz="0" w:space="0" w:color="auto"/>
        <w:bottom w:val="none" w:sz="0" w:space="0" w:color="auto"/>
        <w:right w:val="none" w:sz="0" w:space="0" w:color="auto"/>
      </w:divBdr>
    </w:div>
    <w:div w:id="1638416321">
      <w:bodyDiv w:val="1"/>
      <w:marLeft w:val="0"/>
      <w:marRight w:val="0"/>
      <w:marTop w:val="0"/>
      <w:marBottom w:val="0"/>
      <w:divBdr>
        <w:top w:val="none" w:sz="0" w:space="0" w:color="auto"/>
        <w:left w:val="none" w:sz="0" w:space="0" w:color="auto"/>
        <w:bottom w:val="none" w:sz="0" w:space="0" w:color="auto"/>
        <w:right w:val="none" w:sz="0" w:space="0" w:color="auto"/>
      </w:divBdr>
    </w:div>
    <w:div w:id="1663778169">
      <w:bodyDiv w:val="1"/>
      <w:marLeft w:val="0"/>
      <w:marRight w:val="0"/>
      <w:marTop w:val="0"/>
      <w:marBottom w:val="0"/>
      <w:divBdr>
        <w:top w:val="none" w:sz="0" w:space="0" w:color="auto"/>
        <w:left w:val="none" w:sz="0" w:space="0" w:color="auto"/>
        <w:bottom w:val="none" w:sz="0" w:space="0" w:color="auto"/>
        <w:right w:val="none" w:sz="0" w:space="0" w:color="auto"/>
      </w:divBdr>
    </w:div>
    <w:div w:id="1676615069">
      <w:bodyDiv w:val="1"/>
      <w:marLeft w:val="0"/>
      <w:marRight w:val="0"/>
      <w:marTop w:val="0"/>
      <w:marBottom w:val="0"/>
      <w:divBdr>
        <w:top w:val="none" w:sz="0" w:space="0" w:color="auto"/>
        <w:left w:val="none" w:sz="0" w:space="0" w:color="auto"/>
        <w:bottom w:val="none" w:sz="0" w:space="0" w:color="auto"/>
        <w:right w:val="none" w:sz="0" w:space="0" w:color="auto"/>
      </w:divBdr>
    </w:div>
    <w:div w:id="1677997995">
      <w:bodyDiv w:val="1"/>
      <w:marLeft w:val="0"/>
      <w:marRight w:val="0"/>
      <w:marTop w:val="0"/>
      <w:marBottom w:val="0"/>
      <w:divBdr>
        <w:top w:val="none" w:sz="0" w:space="0" w:color="auto"/>
        <w:left w:val="none" w:sz="0" w:space="0" w:color="auto"/>
        <w:bottom w:val="none" w:sz="0" w:space="0" w:color="auto"/>
        <w:right w:val="none" w:sz="0" w:space="0" w:color="auto"/>
      </w:divBdr>
      <w:divsChild>
        <w:div w:id="2030332626">
          <w:marLeft w:val="0"/>
          <w:marRight w:val="0"/>
          <w:marTop w:val="0"/>
          <w:marBottom w:val="0"/>
          <w:divBdr>
            <w:top w:val="none" w:sz="0" w:space="0" w:color="auto"/>
            <w:left w:val="none" w:sz="0" w:space="0" w:color="auto"/>
            <w:bottom w:val="none" w:sz="0" w:space="0" w:color="auto"/>
            <w:right w:val="none" w:sz="0" w:space="0" w:color="auto"/>
          </w:divBdr>
          <w:divsChild>
            <w:div w:id="45444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202945">
      <w:bodyDiv w:val="1"/>
      <w:marLeft w:val="0"/>
      <w:marRight w:val="0"/>
      <w:marTop w:val="0"/>
      <w:marBottom w:val="0"/>
      <w:divBdr>
        <w:top w:val="none" w:sz="0" w:space="0" w:color="auto"/>
        <w:left w:val="none" w:sz="0" w:space="0" w:color="auto"/>
        <w:bottom w:val="none" w:sz="0" w:space="0" w:color="auto"/>
        <w:right w:val="none" w:sz="0" w:space="0" w:color="auto"/>
      </w:divBdr>
      <w:divsChild>
        <w:div w:id="486941724">
          <w:marLeft w:val="0"/>
          <w:marRight w:val="0"/>
          <w:marTop w:val="0"/>
          <w:marBottom w:val="0"/>
          <w:divBdr>
            <w:top w:val="none" w:sz="0" w:space="0" w:color="auto"/>
            <w:left w:val="none" w:sz="0" w:space="0" w:color="auto"/>
            <w:bottom w:val="none" w:sz="0" w:space="0" w:color="auto"/>
            <w:right w:val="none" w:sz="0" w:space="0" w:color="auto"/>
          </w:divBdr>
          <w:divsChild>
            <w:div w:id="1279024289">
              <w:marLeft w:val="0"/>
              <w:marRight w:val="0"/>
              <w:marTop w:val="0"/>
              <w:marBottom w:val="0"/>
              <w:divBdr>
                <w:top w:val="none" w:sz="0" w:space="0" w:color="auto"/>
                <w:left w:val="none" w:sz="0" w:space="0" w:color="auto"/>
                <w:bottom w:val="none" w:sz="0" w:space="0" w:color="auto"/>
                <w:right w:val="none" w:sz="0" w:space="0" w:color="auto"/>
              </w:divBdr>
              <w:divsChild>
                <w:div w:id="280110698">
                  <w:marLeft w:val="0"/>
                  <w:marRight w:val="0"/>
                  <w:marTop w:val="0"/>
                  <w:marBottom w:val="0"/>
                  <w:divBdr>
                    <w:top w:val="none" w:sz="0" w:space="0" w:color="auto"/>
                    <w:left w:val="none" w:sz="0" w:space="0" w:color="auto"/>
                    <w:bottom w:val="none" w:sz="0" w:space="0" w:color="auto"/>
                    <w:right w:val="none" w:sz="0" w:space="0" w:color="auto"/>
                  </w:divBdr>
                  <w:divsChild>
                    <w:div w:id="365107329">
                      <w:marLeft w:val="0"/>
                      <w:marRight w:val="0"/>
                      <w:marTop w:val="0"/>
                      <w:marBottom w:val="0"/>
                      <w:divBdr>
                        <w:top w:val="none" w:sz="0" w:space="0" w:color="auto"/>
                        <w:left w:val="none" w:sz="0" w:space="0" w:color="auto"/>
                        <w:bottom w:val="none" w:sz="0" w:space="0" w:color="auto"/>
                        <w:right w:val="none" w:sz="0" w:space="0" w:color="auto"/>
                      </w:divBdr>
                      <w:divsChild>
                        <w:div w:id="1954165871">
                          <w:marLeft w:val="0"/>
                          <w:marRight w:val="0"/>
                          <w:marTop w:val="0"/>
                          <w:marBottom w:val="0"/>
                          <w:divBdr>
                            <w:top w:val="none" w:sz="0" w:space="0" w:color="auto"/>
                            <w:left w:val="none" w:sz="0" w:space="0" w:color="auto"/>
                            <w:bottom w:val="none" w:sz="0" w:space="0" w:color="auto"/>
                            <w:right w:val="none" w:sz="0" w:space="0" w:color="auto"/>
                          </w:divBdr>
                          <w:divsChild>
                            <w:div w:id="165918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9891766">
      <w:bodyDiv w:val="1"/>
      <w:marLeft w:val="0"/>
      <w:marRight w:val="0"/>
      <w:marTop w:val="0"/>
      <w:marBottom w:val="0"/>
      <w:divBdr>
        <w:top w:val="none" w:sz="0" w:space="0" w:color="auto"/>
        <w:left w:val="none" w:sz="0" w:space="0" w:color="auto"/>
        <w:bottom w:val="none" w:sz="0" w:space="0" w:color="auto"/>
        <w:right w:val="none" w:sz="0" w:space="0" w:color="auto"/>
      </w:divBdr>
    </w:div>
    <w:div w:id="1732119785">
      <w:bodyDiv w:val="1"/>
      <w:marLeft w:val="0"/>
      <w:marRight w:val="0"/>
      <w:marTop w:val="0"/>
      <w:marBottom w:val="0"/>
      <w:divBdr>
        <w:top w:val="none" w:sz="0" w:space="0" w:color="auto"/>
        <w:left w:val="none" w:sz="0" w:space="0" w:color="auto"/>
        <w:bottom w:val="none" w:sz="0" w:space="0" w:color="auto"/>
        <w:right w:val="none" w:sz="0" w:space="0" w:color="auto"/>
      </w:divBdr>
      <w:divsChild>
        <w:div w:id="359859626">
          <w:marLeft w:val="0"/>
          <w:marRight w:val="0"/>
          <w:marTop w:val="0"/>
          <w:marBottom w:val="0"/>
          <w:divBdr>
            <w:top w:val="none" w:sz="0" w:space="0" w:color="auto"/>
            <w:left w:val="none" w:sz="0" w:space="0" w:color="auto"/>
            <w:bottom w:val="none" w:sz="0" w:space="0" w:color="auto"/>
            <w:right w:val="none" w:sz="0" w:space="0" w:color="auto"/>
          </w:divBdr>
          <w:divsChild>
            <w:div w:id="104810862">
              <w:marLeft w:val="0"/>
              <w:marRight w:val="0"/>
              <w:marTop w:val="0"/>
              <w:marBottom w:val="0"/>
              <w:divBdr>
                <w:top w:val="none" w:sz="0" w:space="0" w:color="auto"/>
                <w:left w:val="none" w:sz="0" w:space="0" w:color="auto"/>
                <w:bottom w:val="none" w:sz="0" w:space="0" w:color="auto"/>
                <w:right w:val="none" w:sz="0" w:space="0" w:color="auto"/>
              </w:divBdr>
              <w:divsChild>
                <w:div w:id="1473214716">
                  <w:marLeft w:val="0"/>
                  <w:marRight w:val="0"/>
                  <w:marTop w:val="0"/>
                  <w:marBottom w:val="0"/>
                  <w:divBdr>
                    <w:top w:val="none" w:sz="0" w:space="0" w:color="auto"/>
                    <w:left w:val="none" w:sz="0" w:space="0" w:color="auto"/>
                    <w:bottom w:val="none" w:sz="0" w:space="0" w:color="auto"/>
                    <w:right w:val="none" w:sz="0" w:space="0" w:color="auto"/>
                  </w:divBdr>
                  <w:divsChild>
                    <w:div w:id="1999920337">
                      <w:marLeft w:val="0"/>
                      <w:marRight w:val="0"/>
                      <w:marTop w:val="0"/>
                      <w:marBottom w:val="0"/>
                      <w:divBdr>
                        <w:top w:val="none" w:sz="0" w:space="0" w:color="auto"/>
                        <w:left w:val="none" w:sz="0" w:space="0" w:color="auto"/>
                        <w:bottom w:val="none" w:sz="0" w:space="0" w:color="auto"/>
                        <w:right w:val="none" w:sz="0" w:space="0" w:color="auto"/>
                      </w:divBdr>
                      <w:divsChild>
                        <w:div w:id="789394926">
                          <w:marLeft w:val="0"/>
                          <w:marRight w:val="0"/>
                          <w:marTop w:val="0"/>
                          <w:marBottom w:val="0"/>
                          <w:divBdr>
                            <w:top w:val="none" w:sz="0" w:space="0" w:color="auto"/>
                            <w:left w:val="none" w:sz="0" w:space="0" w:color="auto"/>
                            <w:bottom w:val="none" w:sz="0" w:space="0" w:color="auto"/>
                            <w:right w:val="none" w:sz="0" w:space="0" w:color="auto"/>
                          </w:divBdr>
                          <w:divsChild>
                            <w:div w:id="27383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9664391">
      <w:bodyDiv w:val="1"/>
      <w:marLeft w:val="0"/>
      <w:marRight w:val="0"/>
      <w:marTop w:val="0"/>
      <w:marBottom w:val="0"/>
      <w:divBdr>
        <w:top w:val="none" w:sz="0" w:space="0" w:color="auto"/>
        <w:left w:val="none" w:sz="0" w:space="0" w:color="auto"/>
        <w:bottom w:val="none" w:sz="0" w:space="0" w:color="auto"/>
        <w:right w:val="none" w:sz="0" w:space="0" w:color="auto"/>
      </w:divBdr>
    </w:div>
    <w:div w:id="1749693877">
      <w:bodyDiv w:val="1"/>
      <w:marLeft w:val="0"/>
      <w:marRight w:val="0"/>
      <w:marTop w:val="0"/>
      <w:marBottom w:val="0"/>
      <w:divBdr>
        <w:top w:val="none" w:sz="0" w:space="0" w:color="auto"/>
        <w:left w:val="none" w:sz="0" w:space="0" w:color="auto"/>
        <w:bottom w:val="none" w:sz="0" w:space="0" w:color="auto"/>
        <w:right w:val="none" w:sz="0" w:space="0" w:color="auto"/>
      </w:divBdr>
      <w:divsChild>
        <w:div w:id="217595317">
          <w:blockQuote w:val="1"/>
          <w:marLeft w:val="600"/>
          <w:marRight w:val="0"/>
          <w:marTop w:val="120"/>
          <w:marBottom w:val="120"/>
          <w:divBdr>
            <w:top w:val="none" w:sz="0" w:space="0" w:color="auto"/>
            <w:left w:val="none" w:sz="0" w:space="0" w:color="auto"/>
            <w:bottom w:val="none" w:sz="0" w:space="0" w:color="auto"/>
            <w:right w:val="none" w:sz="0" w:space="0" w:color="auto"/>
          </w:divBdr>
        </w:div>
        <w:div w:id="455679856">
          <w:blockQuote w:val="1"/>
          <w:marLeft w:val="600"/>
          <w:marRight w:val="0"/>
          <w:marTop w:val="120"/>
          <w:marBottom w:val="120"/>
          <w:divBdr>
            <w:top w:val="none" w:sz="0" w:space="0" w:color="auto"/>
            <w:left w:val="none" w:sz="0" w:space="0" w:color="auto"/>
            <w:bottom w:val="none" w:sz="0" w:space="0" w:color="auto"/>
            <w:right w:val="none" w:sz="0" w:space="0" w:color="auto"/>
          </w:divBdr>
        </w:div>
        <w:div w:id="486627273">
          <w:blockQuote w:val="1"/>
          <w:marLeft w:val="600"/>
          <w:marRight w:val="0"/>
          <w:marTop w:val="120"/>
          <w:marBottom w:val="120"/>
          <w:divBdr>
            <w:top w:val="none" w:sz="0" w:space="0" w:color="auto"/>
            <w:left w:val="none" w:sz="0" w:space="0" w:color="auto"/>
            <w:bottom w:val="none" w:sz="0" w:space="0" w:color="auto"/>
            <w:right w:val="none" w:sz="0" w:space="0" w:color="auto"/>
          </w:divBdr>
        </w:div>
        <w:div w:id="765348047">
          <w:blockQuote w:val="1"/>
          <w:marLeft w:val="600"/>
          <w:marRight w:val="0"/>
          <w:marTop w:val="120"/>
          <w:marBottom w:val="120"/>
          <w:divBdr>
            <w:top w:val="none" w:sz="0" w:space="0" w:color="auto"/>
            <w:left w:val="none" w:sz="0" w:space="0" w:color="auto"/>
            <w:bottom w:val="none" w:sz="0" w:space="0" w:color="auto"/>
            <w:right w:val="none" w:sz="0" w:space="0" w:color="auto"/>
          </w:divBdr>
        </w:div>
        <w:div w:id="1446540847">
          <w:blockQuote w:val="1"/>
          <w:marLeft w:val="600"/>
          <w:marRight w:val="0"/>
          <w:marTop w:val="120"/>
          <w:marBottom w:val="120"/>
          <w:divBdr>
            <w:top w:val="none" w:sz="0" w:space="0" w:color="auto"/>
            <w:left w:val="none" w:sz="0" w:space="0" w:color="auto"/>
            <w:bottom w:val="none" w:sz="0" w:space="0" w:color="auto"/>
            <w:right w:val="none" w:sz="0" w:space="0" w:color="auto"/>
          </w:divBdr>
        </w:div>
        <w:div w:id="1843814870">
          <w:blockQuote w:val="1"/>
          <w:marLeft w:val="600"/>
          <w:marRight w:val="0"/>
          <w:marTop w:val="120"/>
          <w:marBottom w:val="120"/>
          <w:divBdr>
            <w:top w:val="none" w:sz="0" w:space="0" w:color="auto"/>
            <w:left w:val="none" w:sz="0" w:space="0" w:color="auto"/>
            <w:bottom w:val="none" w:sz="0" w:space="0" w:color="auto"/>
            <w:right w:val="none" w:sz="0" w:space="0" w:color="auto"/>
          </w:divBdr>
        </w:div>
        <w:div w:id="2014069178">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1752965687">
      <w:bodyDiv w:val="1"/>
      <w:marLeft w:val="0"/>
      <w:marRight w:val="0"/>
      <w:marTop w:val="0"/>
      <w:marBottom w:val="0"/>
      <w:divBdr>
        <w:top w:val="none" w:sz="0" w:space="0" w:color="auto"/>
        <w:left w:val="none" w:sz="0" w:space="0" w:color="auto"/>
        <w:bottom w:val="none" w:sz="0" w:space="0" w:color="auto"/>
        <w:right w:val="none" w:sz="0" w:space="0" w:color="auto"/>
      </w:divBdr>
    </w:div>
    <w:div w:id="1758743540">
      <w:bodyDiv w:val="1"/>
      <w:marLeft w:val="0"/>
      <w:marRight w:val="0"/>
      <w:marTop w:val="0"/>
      <w:marBottom w:val="0"/>
      <w:divBdr>
        <w:top w:val="none" w:sz="0" w:space="0" w:color="auto"/>
        <w:left w:val="none" w:sz="0" w:space="0" w:color="auto"/>
        <w:bottom w:val="none" w:sz="0" w:space="0" w:color="auto"/>
        <w:right w:val="none" w:sz="0" w:space="0" w:color="auto"/>
      </w:divBdr>
    </w:div>
    <w:div w:id="1772117528">
      <w:bodyDiv w:val="1"/>
      <w:marLeft w:val="0"/>
      <w:marRight w:val="0"/>
      <w:marTop w:val="0"/>
      <w:marBottom w:val="0"/>
      <w:divBdr>
        <w:top w:val="none" w:sz="0" w:space="0" w:color="auto"/>
        <w:left w:val="none" w:sz="0" w:space="0" w:color="auto"/>
        <w:bottom w:val="none" w:sz="0" w:space="0" w:color="auto"/>
        <w:right w:val="none" w:sz="0" w:space="0" w:color="auto"/>
      </w:divBdr>
    </w:div>
    <w:div w:id="1780834832">
      <w:bodyDiv w:val="1"/>
      <w:marLeft w:val="0"/>
      <w:marRight w:val="0"/>
      <w:marTop w:val="0"/>
      <w:marBottom w:val="0"/>
      <w:divBdr>
        <w:top w:val="none" w:sz="0" w:space="0" w:color="auto"/>
        <w:left w:val="none" w:sz="0" w:space="0" w:color="auto"/>
        <w:bottom w:val="none" w:sz="0" w:space="0" w:color="auto"/>
        <w:right w:val="none" w:sz="0" w:space="0" w:color="auto"/>
      </w:divBdr>
    </w:div>
    <w:div w:id="1786384228">
      <w:bodyDiv w:val="1"/>
      <w:marLeft w:val="0"/>
      <w:marRight w:val="0"/>
      <w:marTop w:val="0"/>
      <w:marBottom w:val="0"/>
      <w:divBdr>
        <w:top w:val="none" w:sz="0" w:space="0" w:color="auto"/>
        <w:left w:val="none" w:sz="0" w:space="0" w:color="auto"/>
        <w:bottom w:val="none" w:sz="0" w:space="0" w:color="auto"/>
        <w:right w:val="none" w:sz="0" w:space="0" w:color="auto"/>
      </w:divBdr>
    </w:div>
    <w:div w:id="1790314309">
      <w:bodyDiv w:val="1"/>
      <w:marLeft w:val="0"/>
      <w:marRight w:val="0"/>
      <w:marTop w:val="0"/>
      <w:marBottom w:val="0"/>
      <w:divBdr>
        <w:top w:val="none" w:sz="0" w:space="0" w:color="auto"/>
        <w:left w:val="none" w:sz="0" w:space="0" w:color="auto"/>
        <w:bottom w:val="none" w:sz="0" w:space="0" w:color="auto"/>
        <w:right w:val="none" w:sz="0" w:space="0" w:color="auto"/>
      </w:divBdr>
    </w:div>
    <w:div w:id="1794400615">
      <w:bodyDiv w:val="1"/>
      <w:marLeft w:val="0"/>
      <w:marRight w:val="0"/>
      <w:marTop w:val="0"/>
      <w:marBottom w:val="0"/>
      <w:divBdr>
        <w:top w:val="none" w:sz="0" w:space="0" w:color="auto"/>
        <w:left w:val="none" w:sz="0" w:space="0" w:color="auto"/>
        <w:bottom w:val="none" w:sz="0" w:space="0" w:color="auto"/>
        <w:right w:val="none" w:sz="0" w:space="0" w:color="auto"/>
      </w:divBdr>
    </w:div>
    <w:div w:id="1796093488">
      <w:bodyDiv w:val="1"/>
      <w:marLeft w:val="0"/>
      <w:marRight w:val="0"/>
      <w:marTop w:val="0"/>
      <w:marBottom w:val="0"/>
      <w:divBdr>
        <w:top w:val="none" w:sz="0" w:space="0" w:color="auto"/>
        <w:left w:val="none" w:sz="0" w:space="0" w:color="auto"/>
        <w:bottom w:val="none" w:sz="0" w:space="0" w:color="auto"/>
        <w:right w:val="none" w:sz="0" w:space="0" w:color="auto"/>
      </w:divBdr>
      <w:divsChild>
        <w:div w:id="1082221504">
          <w:marLeft w:val="0"/>
          <w:marRight w:val="0"/>
          <w:marTop w:val="0"/>
          <w:marBottom w:val="0"/>
          <w:divBdr>
            <w:top w:val="none" w:sz="0" w:space="0" w:color="auto"/>
            <w:left w:val="none" w:sz="0" w:space="0" w:color="auto"/>
            <w:bottom w:val="none" w:sz="0" w:space="0" w:color="auto"/>
            <w:right w:val="none" w:sz="0" w:space="0" w:color="auto"/>
          </w:divBdr>
          <w:divsChild>
            <w:div w:id="1941571062">
              <w:marLeft w:val="0"/>
              <w:marRight w:val="0"/>
              <w:marTop w:val="0"/>
              <w:marBottom w:val="0"/>
              <w:divBdr>
                <w:top w:val="none" w:sz="0" w:space="0" w:color="auto"/>
                <w:left w:val="none" w:sz="0" w:space="0" w:color="auto"/>
                <w:bottom w:val="none" w:sz="0" w:space="0" w:color="auto"/>
                <w:right w:val="none" w:sz="0" w:space="0" w:color="auto"/>
              </w:divBdr>
              <w:divsChild>
                <w:div w:id="1161237385">
                  <w:marLeft w:val="0"/>
                  <w:marRight w:val="0"/>
                  <w:marTop w:val="0"/>
                  <w:marBottom w:val="0"/>
                  <w:divBdr>
                    <w:top w:val="none" w:sz="0" w:space="0" w:color="auto"/>
                    <w:left w:val="none" w:sz="0" w:space="0" w:color="auto"/>
                    <w:bottom w:val="none" w:sz="0" w:space="0" w:color="auto"/>
                    <w:right w:val="none" w:sz="0" w:space="0" w:color="auto"/>
                  </w:divBdr>
                  <w:divsChild>
                    <w:div w:id="1274627262">
                      <w:marLeft w:val="0"/>
                      <w:marRight w:val="0"/>
                      <w:marTop w:val="0"/>
                      <w:marBottom w:val="0"/>
                      <w:divBdr>
                        <w:top w:val="none" w:sz="0" w:space="0" w:color="auto"/>
                        <w:left w:val="none" w:sz="0" w:space="0" w:color="auto"/>
                        <w:bottom w:val="none" w:sz="0" w:space="0" w:color="auto"/>
                        <w:right w:val="none" w:sz="0" w:space="0" w:color="auto"/>
                      </w:divBdr>
                      <w:divsChild>
                        <w:div w:id="1837914160">
                          <w:marLeft w:val="0"/>
                          <w:marRight w:val="0"/>
                          <w:marTop w:val="0"/>
                          <w:marBottom w:val="0"/>
                          <w:divBdr>
                            <w:top w:val="none" w:sz="0" w:space="0" w:color="auto"/>
                            <w:left w:val="none" w:sz="0" w:space="0" w:color="auto"/>
                            <w:bottom w:val="none" w:sz="0" w:space="0" w:color="auto"/>
                            <w:right w:val="none" w:sz="0" w:space="0" w:color="auto"/>
                          </w:divBdr>
                          <w:divsChild>
                            <w:div w:id="112364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2360780">
      <w:bodyDiv w:val="1"/>
      <w:marLeft w:val="0"/>
      <w:marRight w:val="0"/>
      <w:marTop w:val="0"/>
      <w:marBottom w:val="0"/>
      <w:divBdr>
        <w:top w:val="none" w:sz="0" w:space="0" w:color="auto"/>
        <w:left w:val="none" w:sz="0" w:space="0" w:color="auto"/>
        <w:bottom w:val="none" w:sz="0" w:space="0" w:color="auto"/>
        <w:right w:val="none" w:sz="0" w:space="0" w:color="auto"/>
      </w:divBdr>
      <w:divsChild>
        <w:div w:id="1585072122">
          <w:marLeft w:val="0"/>
          <w:marRight w:val="0"/>
          <w:marTop w:val="0"/>
          <w:marBottom w:val="0"/>
          <w:divBdr>
            <w:top w:val="none" w:sz="0" w:space="0" w:color="auto"/>
            <w:left w:val="none" w:sz="0" w:space="0" w:color="auto"/>
            <w:bottom w:val="none" w:sz="0" w:space="0" w:color="auto"/>
            <w:right w:val="none" w:sz="0" w:space="0" w:color="auto"/>
          </w:divBdr>
          <w:divsChild>
            <w:div w:id="1651979430">
              <w:marLeft w:val="0"/>
              <w:marRight w:val="0"/>
              <w:marTop w:val="0"/>
              <w:marBottom w:val="0"/>
              <w:divBdr>
                <w:top w:val="none" w:sz="0" w:space="0" w:color="auto"/>
                <w:left w:val="none" w:sz="0" w:space="0" w:color="auto"/>
                <w:bottom w:val="none" w:sz="0" w:space="0" w:color="auto"/>
                <w:right w:val="none" w:sz="0" w:space="0" w:color="auto"/>
              </w:divBdr>
              <w:divsChild>
                <w:div w:id="1258244964">
                  <w:marLeft w:val="0"/>
                  <w:marRight w:val="0"/>
                  <w:marTop w:val="0"/>
                  <w:marBottom w:val="0"/>
                  <w:divBdr>
                    <w:top w:val="none" w:sz="0" w:space="0" w:color="auto"/>
                    <w:left w:val="none" w:sz="0" w:space="0" w:color="auto"/>
                    <w:bottom w:val="none" w:sz="0" w:space="0" w:color="auto"/>
                    <w:right w:val="none" w:sz="0" w:space="0" w:color="auto"/>
                  </w:divBdr>
                  <w:divsChild>
                    <w:div w:id="151919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716014">
      <w:bodyDiv w:val="1"/>
      <w:marLeft w:val="0"/>
      <w:marRight w:val="0"/>
      <w:marTop w:val="0"/>
      <w:marBottom w:val="0"/>
      <w:divBdr>
        <w:top w:val="none" w:sz="0" w:space="0" w:color="auto"/>
        <w:left w:val="none" w:sz="0" w:space="0" w:color="auto"/>
        <w:bottom w:val="none" w:sz="0" w:space="0" w:color="auto"/>
        <w:right w:val="none" w:sz="0" w:space="0" w:color="auto"/>
      </w:divBdr>
    </w:div>
    <w:div w:id="1815951847">
      <w:bodyDiv w:val="1"/>
      <w:marLeft w:val="0"/>
      <w:marRight w:val="0"/>
      <w:marTop w:val="0"/>
      <w:marBottom w:val="0"/>
      <w:divBdr>
        <w:top w:val="none" w:sz="0" w:space="0" w:color="auto"/>
        <w:left w:val="none" w:sz="0" w:space="0" w:color="auto"/>
        <w:bottom w:val="none" w:sz="0" w:space="0" w:color="auto"/>
        <w:right w:val="none" w:sz="0" w:space="0" w:color="auto"/>
      </w:divBdr>
    </w:div>
    <w:div w:id="1819877336">
      <w:bodyDiv w:val="1"/>
      <w:marLeft w:val="0"/>
      <w:marRight w:val="0"/>
      <w:marTop w:val="0"/>
      <w:marBottom w:val="0"/>
      <w:divBdr>
        <w:top w:val="none" w:sz="0" w:space="0" w:color="auto"/>
        <w:left w:val="none" w:sz="0" w:space="0" w:color="auto"/>
        <w:bottom w:val="none" w:sz="0" w:space="0" w:color="auto"/>
        <w:right w:val="none" w:sz="0" w:space="0" w:color="auto"/>
      </w:divBdr>
    </w:div>
    <w:div w:id="1843351861">
      <w:bodyDiv w:val="1"/>
      <w:marLeft w:val="0"/>
      <w:marRight w:val="0"/>
      <w:marTop w:val="0"/>
      <w:marBottom w:val="0"/>
      <w:divBdr>
        <w:top w:val="none" w:sz="0" w:space="0" w:color="auto"/>
        <w:left w:val="none" w:sz="0" w:space="0" w:color="auto"/>
        <w:bottom w:val="none" w:sz="0" w:space="0" w:color="auto"/>
        <w:right w:val="none" w:sz="0" w:space="0" w:color="auto"/>
      </w:divBdr>
      <w:divsChild>
        <w:div w:id="829910003">
          <w:marLeft w:val="0"/>
          <w:marRight w:val="0"/>
          <w:marTop w:val="0"/>
          <w:marBottom w:val="0"/>
          <w:divBdr>
            <w:top w:val="none" w:sz="0" w:space="0" w:color="auto"/>
            <w:left w:val="none" w:sz="0" w:space="0" w:color="auto"/>
            <w:bottom w:val="none" w:sz="0" w:space="0" w:color="auto"/>
            <w:right w:val="none" w:sz="0" w:space="0" w:color="auto"/>
          </w:divBdr>
          <w:divsChild>
            <w:div w:id="1611203268">
              <w:marLeft w:val="0"/>
              <w:marRight w:val="0"/>
              <w:marTop w:val="0"/>
              <w:marBottom w:val="0"/>
              <w:divBdr>
                <w:top w:val="none" w:sz="0" w:space="0" w:color="auto"/>
                <w:left w:val="none" w:sz="0" w:space="0" w:color="auto"/>
                <w:bottom w:val="none" w:sz="0" w:space="0" w:color="auto"/>
                <w:right w:val="none" w:sz="0" w:space="0" w:color="auto"/>
              </w:divBdr>
              <w:divsChild>
                <w:div w:id="24450465">
                  <w:marLeft w:val="0"/>
                  <w:marRight w:val="0"/>
                  <w:marTop w:val="0"/>
                  <w:marBottom w:val="0"/>
                  <w:divBdr>
                    <w:top w:val="none" w:sz="0" w:space="0" w:color="auto"/>
                    <w:left w:val="none" w:sz="0" w:space="0" w:color="auto"/>
                    <w:bottom w:val="none" w:sz="0" w:space="0" w:color="auto"/>
                    <w:right w:val="none" w:sz="0" w:space="0" w:color="auto"/>
                  </w:divBdr>
                  <w:divsChild>
                    <w:div w:id="1350791890">
                      <w:marLeft w:val="0"/>
                      <w:marRight w:val="0"/>
                      <w:marTop w:val="0"/>
                      <w:marBottom w:val="0"/>
                      <w:divBdr>
                        <w:top w:val="none" w:sz="0" w:space="0" w:color="auto"/>
                        <w:left w:val="none" w:sz="0" w:space="0" w:color="auto"/>
                        <w:bottom w:val="none" w:sz="0" w:space="0" w:color="auto"/>
                        <w:right w:val="none" w:sz="0" w:space="0" w:color="auto"/>
                      </w:divBdr>
                      <w:divsChild>
                        <w:div w:id="928192549">
                          <w:marLeft w:val="0"/>
                          <w:marRight w:val="0"/>
                          <w:marTop w:val="0"/>
                          <w:marBottom w:val="0"/>
                          <w:divBdr>
                            <w:top w:val="none" w:sz="0" w:space="0" w:color="auto"/>
                            <w:left w:val="none" w:sz="0" w:space="0" w:color="auto"/>
                            <w:bottom w:val="none" w:sz="0" w:space="0" w:color="auto"/>
                            <w:right w:val="none" w:sz="0" w:space="0" w:color="auto"/>
                          </w:divBdr>
                          <w:divsChild>
                            <w:div w:id="137619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1793259">
      <w:bodyDiv w:val="1"/>
      <w:marLeft w:val="0"/>
      <w:marRight w:val="0"/>
      <w:marTop w:val="0"/>
      <w:marBottom w:val="0"/>
      <w:divBdr>
        <w:top w:val="none" w:sz="0" w:space="0" w:color="auto"/>
        <w:left w:val="none" w:sz="0" w:space="0" w:color="auto"/>
        <w:bottom w:val="none" w:sz="0" w:space="0" w:color="auto"/>
        <w:right w:val="none" w:sz="0" w:space="0" w:color="auto"/>
      </w:divBdr>
      <w:divsChild>
        <w:div w:id="300381884">
          <w:blockQuote w:val="1"/>
          <w:marLeft w:val="600"/>
          <w:marRight w:val="0"/>
          <w:marTop w:val="120"/>
          <w:marBottom w:val="120"/>
          <w:divBdr>
            <w:top w:val="none" w:sz="0" w:space="0" w:color="auto"/>
            <w:left w:val="none" w:sz="0" w:space="0" w:color="auto"/>
            <w:bottom w:val="none" w:sz="0" w:space="0" w:color="auto"/>
            <w:right w:val="none" w:sz="0" w:space="0" w:color="auto"/>
          </w:divBdr>
        </w:div>
        <w:div w:id="777258680">
          <w:blockQuote w:val="1"/>
          <w:marLeft w:val="600"/>
          <w:marRight w:val="0"/>
          <w:marTop w:val="120"/>
          <w:marBottom w:val="120"/>
          <w:divBdr>
            <w:top w:val="none" w:sz="0" w:space="0" w:color="auto"/>
            <w:left w:val="none" w:sz="0" w:space="0" w:color="auto"/>
            <w:bottom w:val="none" w:sz="0" w:space="0" w:color="auto"/>
            <w:right w:val="none" w:sz="0" w:space="0" w:color="auto"/>
          </w:divBdr>
        </w:div>
        <w:div w:id="975715714">
          <w:blockQuote w:val="1"/>
          <w:marLeft w:val="600"/>
          <w:marRight w:val="0"/>
          <w:marTop w:val="120"/>
          <w:marBottom w:val="120"/>
          <w:divBdr>
            <w:top w:val="none" w:sz="0" w:space="0" w:color="auto"/>
            <w:left w:val="none" w:sz="0" w:space="0" w:color="auto"/>
            <w:bottom w:val="none" w:sz="0" w:space="0" w:color="auto"/>
            <w:right w:val="none" w:sz="0" w:space="0" w:color="auto"/>
          </w:divBdr>
        </w:div>
        <w:div w:id="1060591597">
          <w:blockQuote w:val="1"/>
          <w:marLeft w:val="600"/>
          <w:marRight w:val="0"/>
          <w:marTop w:val="120"/>
          <w:marBottom w:val="120"/>
          <w:divBdr>
            <w:top w:val="none" w:sz="0" w:space="0" w:color="auto"/>
            <w:left w:val="none" w:sz="0" w:space="0" w:color="auto"/>
            <w:bottom w:val="none" w:sz="0" w:space="0" w:color="auto"/>
            <w:right w:val="none" w:sz="0" w:space="0" w:color="auto"/>
          </w:divBdr>
        </w:div>
        <w:div w:id="1172260813">
          <w:blockQuote w:val="1"/>
          <w:marLeft w:val="600"/>
          <w:marRight w:val="0"/>
          <w:marTop w:val="120"/>
          <w:marBottom w:val="120"/>
          <w:divBdr>
            <w:top w:val="none" w:sz="0" w:space="0" w:color="auto"/>
            <w:left w:val="none" w:sz="0" w:space="0" w:color="auto"/>
            <w:bottom w:val="none" w:sz="0" w:space="0" w:color="auto"/>
            <w:right w:val="none" w:sz="0" w:space="0" w:color="auto"/>
          </w:divBdr>
        </w:div>
        <w:div w:id="1347440949">
          <w:blockQuote w:val="1"/>
          <w:marLeft w:val="600"/>
          <w:marRight w:val="0"/>
          <w:marTop w:val="120"/>
          <w:marBottom w:val="120"/>
          <w:divBdr>
            <w:top w:val="none" w:sz="0" w:space="0" w:color="auto"/>
            <w:left w:val="none" w:sz="0" w:space="0" w:color="auto"/>
            <w:bottom w:val="none" w:sz="0" w:space="0" w:color="auto"/>
            <w:right w:val="none" w:sz="0" w:space="0" w:color="auto"/>
          </w:divBdr>
        </w:div>
        <w:div w:id="1358196602">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1903177001">
      <w:bodyDiv w:val="1"/>
      <w:marLeft w:val="0"/>
      <w:marRight w:val="0"/>
      <w:marTop w:val="0"/>
      <w:marBottom w:val="0"/>
      <w:divBdr>
        <w:top w:val="none" w:sz="0" w:space="0" w:color="auto"/>
        <w:left w:val="none" w:sz="0" w:space="0" w:color="auto"/>
        <w:bottom w:val="none" w:sz="0" w:space="0" w:color="auto"/>
        <w:right w:val="none" w:sz="0" w:space="0" w:color="auto"/>
      </w:divBdr>
    </w:div>
    <w:div w:id="1907186361">
      <w:bodyDiv w:val="1"/>
      <w:marLeft w:val="0"/>
      <w:marRight w:val="0"/>
      <w:marTop w:val="0"/>
      <w:marBottom w:val="0"/>
      <w:divBdr>
        <w:top w:val="none" w:sz="0" w:space="0" w:color="auto"/>
        <w:left w:val="none" w:sz="0" w:space="0" w:color="auto"/>
        <w:bottom w:val="none" w:sz="0" w:space="0" w:color="auto"/>
        <w:right w:val="none" w:sz="0" w:space="0" w:color="auto"/>
      </w:divBdr>
    </w:div>
    <w:div w:id="1924339912">
      <w:bodyDiv w:val="1"/>
      <w:marLeft w:val="0"/>
      <w:marRight w:val="0"/>
      <w:marTop w:val="0"/>
      <w:marBottom w:val="0"/>
      <w:divBdr>
        <w:top w:val="none" w:sz="0" w:space="0" w:color="auto"/>
        <w:left w:val="none" w:sz="0" w:space="0" w:color="auto"/>
        <w:bottom w:val="none" w:sz="0" w:space="0" w:color="auto"/>
        <w:right w:val="none" w:sz="0" w:space="0" w:color="auto"/>
      </w:divBdr>
    </w:div>
    <w:div w:id="1927954662">
      <w:bodyDiv w:val="1"/>
      <w:marLeft w:val="0"/>
      <w:marRight w:val="0"/>
      <w:marTop w:val="0"/>
      <w:marBottom w:val="0"/>
      <w:divBdr>
        <w:top w:val="none" w:sz="0" w:space="0" w:color="auto"/>
        <w:left w:val="none" w:sz="0" w:space="0" w:color="auto"/>
        <w:bottom w:val="none" w:sz="0" w:space="0" w:color="auto"/>
        <w:right w:val="none" w:sz="0" w:space="0" w:color="auto"/>
      </w:divBdr>
    </w:div>
    <w:div w:id="1931233622">
      <w:bodyDiv w:val="1"/>
      <w:marLeft w:val="0"/>
      <w:marRight w:val="0"/>
      <w:marTop w:val="0"/>
      <w:marBottom w:val="0"/>
      <w:divBdr>
        <w:top w:val="none" w:sz="0" w:space="0" w:color="auto"/>
        <w:left w:val="none" w:sz="0" w:space="0" w:color="auto"/>
        <w:bottom w:val="none" w:sz="0" w:space="0" w:color="auto"/>
        <w:right w:val="none" w:sz="0" w:space="0" w:color="auto"/>
      </w:divBdr>
    </w:div>
    <w:div w:id="1932201049">
      <w:bodyDiv w:val="1"/>
      <w:marLeft w:val="0"/>
      <w:marRight w:val="0"/>
      <w:marTop w:val="0"/>
      <w:marBottom w:val="0"/>
      <w:divBdr>
        <w:top w:val="none" w:sz="0" w:space="0" w:color="auto"/>
        <w:left w:val="none" w:sz="0" w:space="0" w:color="auto"/>
        <w:bottom w:val="none" w:sz="0" w:space="0" w:color="auto"/>
        <w:right w:val="none" w:sz="0" w:space="0" w:color="auto"/>
      </w:divBdr>
    </w:div>
    <w:div w:id="1933198420">
      <w:bodyDiv w:val="1"/>
      <w:marLeft w:val="0"/>
      <w:marRight w:val="0"/>
      <w:marTop w:val="0"/>
      <w:marBottom w:val="0"/>
      <w:divBdr>
        <w:top w:val="none" w:sz="0" w:space="0" w:color="auto"/>
        <w:left w:val="none" w:sz="0" w:space="0" w:color="auto"/>
        <w:bottom w:val="none" w:sz="0" w:space="0" w:color="auto"/>
        <w:right w:val="none" w:sz="0" w:space="0" w:color="auto"/>
      </w:divBdr>
    </w:div>
    <w:div w:id="1955601065">
      <w:bodyDiv w:val="1"/>
      <w:marLeft w:val="0"/>
      <w:marRight w:val="0"/>
      <w:marTop w:val="0"/>
      <w:marBottom w:val="0"/>
      <w:divBdr>
        <w:top w:val="none" w:sz="0" w:space="0" w:color="auto"/>
        <w:left w:val="none" w:sz="0" w:space="0" w:color="auto"/>
        <w:bottom w:val="none" w:sz="0" w:space="0" w:color="auto"/>
        <w:right w:val="none" w:sz="0" w:space="0" w:color="auto"/>
      </w:divBdr>
    </w:div>
    <w:div w:id="1958414978">
      <w:bodyDiv w:val="1"/>
      <w:marLeft w:val="0"/>
      <w:marRight w:val="0"/>
      <w:marTop w:val="0"/>
      <w:marBottom w:val="0"/>
      <w:divBdr>
        <w:top w:val="none" w:sz="0" w:space="0" w:color="auto"/>
        <w:left w:val="none" w:sz="0" w:space="0" w:color="auto"/>
        <w:bottom w:val="none" w:sz="0" w:space="0" w:color="auto"/>
        <w:right w:val="none" w:sz="0" w:space="0" w:color="auto"/>
      </w:divBdr>
      <w:divsChild>
        <w:div w:id="70660895">
          <w:marLeft w:val="0"/>
          <w:marRight w:val="0"/>
          <w:marTop w:val="0"/>
          <w:marBottom w:val="0"/>
          <w:divBdr>
            <w:top w:val="none" w:sz="0" w:space="0" w:color="auto"/>
            <w:left w:val="none" w:sz="0" w:space="0" w:color="auto"/>
            <w:bottom w:val="none" w:sz="0" w:space="0" w:color="auto"/>
            <w:right w:val="none" w:sz="0" w:space="0" w:color="auto"/>
          </w:divBdr>
        </w:div>
        <w:div w:id="124813270">
          <w:marLeft w:val="0"/>
          <w:marRight w:val="0"/>
          <w:marTop w:val="0"/>
          <w:marBottom w:val="0"/>
          <w:divBdr>
            <w:top w:val="none" w:sz="0" w:space="0" w:color="auto"/>
            <w:left w:val="none" w:sz="0" w:space="0" w:color="auto"/>
            <w:bottom w:val="none" w:sz="0" w:space="0" w:color="auto"/>
            <w:right w:val="none" w:sz="0" w:space="0" w:color="auto"/>
          </w:divBdr>
        </w:div>
        <w:div w:id="350298580">
          <w:marLeft w:val="0"/>
          <w:marRight w:val="0"/>
          <w:marTop w:val="0"/>
          <w:marBottom w:val="0"/>
          <w:divBdr>
            <w:top w:val="none" w:sz="0" w:space="0" w:color="auto"/>
            <w:left w:val="none" w:sz="0" w:space="0" w:color="auto"/>
            <w:bottom w:val="none" w:sz="0" w:space="0" w:color="auto"/>
            <w:right w:val="none" w:sz="0" w:space="0" w:color="auto"/>
          </w:divBdr>
        </w:div>
        <w:div w:id="1084258626">
          <w:marLeft w:val="0"/>
          <w:marRight w:val="0"/>
          <w:marTop w:val="0"/>
          <w:marBottom w:val="0"/>
          <w:divBdr>
            <w:top w:val="none" w:sz="0" w:space="0" w:color="auto"/>
            <w:left w:val="none" w:sz="0" w:space="0" w:color="auto"/>
            <w:bottom w:val="none" w:sz="0" w:space="0" w:color="auto"/>
            <w:right w:val="none" w:sz="0" w:space="0" w:color="auto"/>
          </w:divBdr>
        </w:div>
        <w:div w:id="1136218447">
          <w:marLeft w:val="0"/>
          <w:marRight w:val="0"/>
          <w:marTop w:val="0"/>
          <w:marBottom w:val="0"/>
          <w:divBdr>
            <w:top w:val="none" w:sz="0" w:space="0" w:color="auto"/>
            <w:left w:val="none" w:sz="0" w:space="0" w:color="auto"/>
            <w:bottom w:val="none" w:sz="0" w:space="0" w:color="auto"/>
            <w:right w:val="none" w:sz="0" w:space="0" w:color="auto"/>
          </w:divBdr>
          <w:divsChild>
            <w:div w:id="922300508">
              <w:marLeft w:val="-75"/>
              <w:marRight w:val="0"/>
              <w:marTop w:val="30"/>
              <w:marBottom w:val="30"/>
              <w:divBdr>
                <w:top w:val="none" w:sz="0" w:space="0" w:color="auto"/>
                <w:left w:val="none" w:sz="0" w:space="0" w:color="auto"/>
                <w:bottom w:val="none" w:sz="0" w:space="0" w:color="auto"/>
                <w:right w:val="none" w:sz="0" w:space="0" w:color="auto"/>
              </w:divBdr>
              <w:divsChild>
                <w:div w:id="4985945">
                  <w:marLeft w:val="0"/>
                  <w:marRight w:val="0"/>
                  <w:marTop w:val="0"/>
                  <w:marBottom w:val="0"/>
                  <w:divBdr>
                    <w:top w:val="none" w:sz="0" w:space="0" w:color="auto"/>
                    <w:left w:val="none" w:sz="0" w:space="0" w:color="auto"/>
                    <w:bottom w:val="none" w:sz="0" w:space="0" w:color="auto"/>
                    <w:right w:val="none" w:sz="0" w:space="0" w:color="auto"/>
                  </w:divBdr>
                  <w:divsChild>
                    <w:div w:id="196161326">
                      <w:marLeft w:val="0"/>
                      <w:marRight w:val="0"/>
                      <w:marTop w:val="0"/>
                      <w:marBottom w:val="0"/>
                      <w:divBdr>
                        <w:top w:val="none" w:sz="0" w:space="0" w:color="auto"/>
                        <w:left w:val="none" w:sz="0" w:space="0" w:color="auto"/>
                        <w:bottom w:val="none" w:sz="0" w:space="0" w:color="auto"/>
                        <w:right w:val="none" w:sz="0" w:space="0" w:color="auto"/>
                      </w:divBdr>
                    </w:div>
                  </w:divsChild>
                </w:div>
                <w:div w:id="12071588">
                  <w:marLeft w:val="0"/>
                  <w:marRight w:val="0"/>
                  <w:marTop w:val="0"/>
                  <w:marBottom w:val="0"/>
                  <w:divBdr>
                    <w:top w:val="none" w:sz="0" w:space="0" w:color="auto"/>
                    <w:left w:val="none" w:sz="0" w:space="0" w:color="auto"/>
                    <w:bottom w:val="none" w:sz="0" w:space="0" w:color="auto"/>
                    <w:right w:val="none" w:sz="0" w:space="0" w:color="auto"/>
                  </w:divBdr>
                  <w:divsChild>
                    <w:div w:id="665403760">
                      <w:marLeft w:val="0"/>
                      <w:marRight w:val="0"/>
                      <w:marTop w:val="0"/>
                      <w:marBottom w:val="0"/>
                      <w:divBdr>
                        <w:top w:val="none" w:sz="0" w:space="0" w:color="auto"/>
                        <w:left w:val="none" w:sz="0" w:space="0" w:color="auto"/>
                        <w:bottom w:val="none" w:sz="0" w:space="0" w:color="auto"/>
                        <w:right w:val="none" w:sz="0" w:space="0" w:color="auto"/>
                      </w:divBdr>
                    </w:div>
                  </w:divsChild>
                </w:div>
                <w:div w:id="35399512">
                  <w:marLeft w:val="0"/>
                  <w:marRight w:val="0"/>
                  <w:marTop w:val="0"/>
                  <w:marBottom w:val="0"/>
                  <w:divBdr>
                    <w:top w:val="none" w:sz="0" w:space="0" w:color="auto"/>
                    <w:left w:val="none" w:sz="0" w:space="0" w:color="auto"/>
                    <w:bottom w:val="none" w:sz="0" w:space="0" w:color="auto"/>
                    <w:right w:val="none" w:sz="0" w:space="0" w:color="auto"/>
                  </w:divBdr>
                  <w:divsChild>
                    <w:div w:id="985209007">
                      <w:marLeft w:val="0"/>
                      <w:marRight w:val="0"/>
                      <w:marTop w:val="0"/>
                      <w:marBottom w:val="0"/>
                      <w:divBdr>
                        <w:top w:val="none" w:sz="0" w:space="0" w:color="auto"/>
                        <w:left w:val="none" w:sz="0" w:space="0" w:color="auto"/>
                        <w:bottom w:val="none" w:sz="0" w:space="0" w:color="auto"/>
                        <w:right w:val="none" w:sz="0" w:space="0" w:color="auto"/>
                      </w:divBdr>
                    </w:div>
                  </w:divsChild>
                </w:div>
                <w:div w:id="50495414">
                  <w:marLeft w:val="0"/>
                  <w:marRight w:val="0"/>
                  <w:marTop w:val="0"/>
                  <w:marBottom w:val="0"/>
                  <w:divBdr>
                    <w:top w:val="none" w:sz="0" w:space="0" w:color="auto"/>
                    <w:left w:val="none" w:sz="0" w:space="0" w:color="auto"/>
                    <w:bottom w:val="none" w:sz="0" w:space="0" w:color="auto"/>
                    <w:right w:val="none" w:sz="0" w:space="0" w:color="auto"/>
                  </w:divBdr>
                  <w:divsChild>
                    <w:div w:id="1848908819">
                      <w:marLeft w:val="0"/>
                      <w:marRight w:val="0"/>
                      <w:marTop w:val="0"/>
                      <w:marBottom w:val="0"/>
                      <w:divBdr>
                        <w:top w:val="none" w:sz="0" w:space="0" w:color="auto"/>
                        <w:left w:val="none" w:sz="0" w:space="0" w:color="auto"/>
                        <w:bottom w:val="none" w:sz="0" w:space="0" w:color="auto"/>
                        <w:right w:val="none" w:sz="0" w:space="0" w:color="auto"/>
                      </w:divBdr>
                    </w:div>
                  </w:divsChild>
                </w:div>
                <w:div w:id="74909090">
                  <w:marLeft w:val="0"/>
                  <w:marRight w:val="0"/>
                  <w:marTop w:val="0"/>
                  <w:marBottom w:val="0"/>
                  <w:divBdr>
                    <w:top w:val="none" w:sz="0" w:space="0" w:color="auto"/>
                    <w:left w:val="none" w:sz="0" w:space="0" w:color="auto"/>
                    <w:bottom w:val="none" w:sz="0" w:space="0" w:color="auto"/>
                    <w:right w:val="none" w:sz="0" w:space="0" w:color="auto"/>
                  </w:divBdr>
                  <w:divsChild>
                    <w:div w:id="1248151674">
                      <w:marLeft w:val="0"/>
                      <w:marRight w:val="0"/>
                      <w:marTop w:val="0"/>
                      <w:marBottom w:val="0"/>
                      <w:divBdr>
                        <w:top w:val="none" w:sz="0" w:space="0" w:color="auto"/>
                        <w:left w:val="none" w:sz="0" w:space="0" w:color="auto"/>
                        <w:bottom w:val="none" w:sz="0" w:space="0" w:color="auto"/>
                        <w:right w:val="none" w:sz="0" w:space="0" w:color="auto"/>
                      </w:divBdr>
                    </w:div>
                  </w:divsChild>
                </w:div>
                <w:div w:id="128130177">
                  <w:marLeft w:val="0"/>
                  <w:marRight w:val="0"/>
                  <w:marTop w:val="0"/>
                  <w:marBottom w:val="0"/>
                  <w:divBdr>
                    <w:top w:val="none" w:sz="0" w:space="0" w:color="auto"/>
                    <w:left w:val="none" w:sz="0" w:space="0" w:color="auto"/>
                    <w:bottom w:val="none" w:sz="0" w:space="0" w:color="auto"/>
                    <w:right w:val="none" w:sz="0" w:space="0" w:color="auto"/>
                  </w:divBdr>
                  <w:divsChild>
                    <w:div w:id="1782534874">
                      <w:marLeft w:val="0"/>
                      <w:marRight w:val="0"/>
                      <w:marTop w:val="0"/>
                      <w:marBottom w:val="0"/>
                      <w:divBdr>
                        <w:top w:val="none" w:sz="0" w:space="0" w:color="auto"/>
                        <w:left w:val="none" w:sz="0" w:space="0" w:color="auto"/>
                        <w:bottom w:val="none" w:sz="0" w:space="0" w:color="auto"/>
                        <w:right w:val="none" w:sz="0" w:space="0" w:color="auto"/>
                      </w:divBdr>
                    </w:div>
                  </w:divsChild>
                </w:div>
                <w:div w:id="134221800">
                  <w:marLeft w:val="0"/>
                  <w:marRight w:val="0"/>
                  <w:marTop w:val="0"/>
                  <w:marBottom w:val="0"/>
                  <w:divBdr>
                    <w:top w:val="none" w:sz="0" w:space="0" w:color="auto"/>
                    <w:left w:val="none" w:sz="0" w:space="0" w:color="auto"/>
                    <w:bottom w:val="none" w:sz="0" w:space="0" w:color="auto"/>
                    <w:right w:val="none" w:sz="0" w:space="0" w:color="auto"/>
                  </w:divBdr>
                  <w:divsChild>
                    <w:div w:id="809176826">
                      <w:marLeft w:val="0"/>
                      <w:marRight w:val="0"/>
                      <w:marTop w:val="0"/>
                      <w:marBottom w:val="0"/>
                      <w:divBdr>
                        <w:top w:val="none" w:sz="0" w:space="0" w:color="auto"/>
                        <w:left w:val="none" w:sz="0" w:space="0" w:color="auto"/>
                        <w:bottom w:val="none" w:sz="0" w:space="0" w:color="auto"/>
                        <w:right w:val="none" w:sz="0" w:space="0" w:color="auto"/>
                      </w:divBdr>
                    </w:div>
                  </w:divsChild>
                </w:div>
                <w:div w:id="152455589">
                  <w:marLeft w:val="0"/>
                  <w:marRight w:val="0"/>
                  <w:marTop w:val="0"/>
                  <w:marBottom w:val="0"/>
                  <w:divBdr>
                    <w:top w:val="none" w:sz="0" w:space="0" w:color="auto"/>
                    <w:left w:val="none" w:sz="0" w:space="0" w:color="auto"/>
                    <w:bottom w:val="none" w:sz="0" w:space="0" w:color="auto"/>
                    <w:right w:val="none" w:sz="0" w:space="0" w:color="auto"/>
                  </w:divBdr>
                  <w:divsChild>
                    <w:div w:id="1684865545">
                      <w:marLeft w:val="0"/>
                      <w:marRight w:val="0"/>
                      <w:marTop w:val="0"/>
                      <w:marBottom w:val="0"/>
                      <w:divBdr>
                        <w:top w:val="none" w:sz="0" w:space="0" w:color="auto"/>
                        <w:left w:val="none" w:sz="0" w:space="0" w:color="auto"/>
                        <w:bottom w:val="none" w:sz="0" w:space="0" w:color="auto"/>
                        <w:right w:val="none" w:sz="0" w:space="0" w:color="auto"/>
                      </w:divBdr>
                    </w:div>
                  </w:divsChild>
                </w:div>
                <w:div w:id="183129069">
                  <w:marLeft w:val="0"/>
                  <w:marRight w:val="0"/>
                  <w:marTop w:val="0"/>
                  <w:marBottom w:val="0"/>
                  <w:divBdr>
                    <w:top w:val="none" w:sz="0" w:space="0" w:color="auto"/>
                    <w:left w:val="none" w:sz="0" w:space="0" w:color="auto"/>
                    <w:bottom w:val="none" w:sz="0" w:space="0" w:color="auto"/>
                    <w:right w:val="none" w:sz="0" w:space="0" w:color="auto"/>
                  </w:divBdr>
                  <w:divsChild>
                    <w:div w:id="1029142423">
                      <w:marLeft w:val="0"/>
                      <w:marRight w:val="0"/>
                      <w:marTop w:val="0"/>
                      <w:marBottom w:val="0"/>
                      <w:divBdr>
                        <w:top w:val="none" w:sz="0" w:space="0" w:color="auto"/>
                        <w:left w:val="none" w:sz="0" w:space="0" w:color="auto"/>
                        <w:bottom w:val="none" w:sz="0" w:space="0" w:color="auto"/>
                        <w:right w:val="none" w:sz="0" w:space="0" w:color="auto"/>
                      </w:divBdr>
                    </w:div>
                  </w:divsChild>
                </w:div>
                <w:div w:id="207421700">
                  <w:marLeft w:val="0"/>
                  <w:marRight w:val="0"/>
                  <w:marTop w:val="0"/>
                  <w:marBottom w:val="0"/>
                  <w:divBdr>
                    <w:top w:val="none" w:sz="0" w:space="0" w:color="auto"/>
                    <w:left w:val="none" w:sz="0" w:space="0" w:color="auto"/>
                    <w:bottom w:val="none" w:sz="0" w:space="0" w:color="auto"/>
                    <w:right w:val="none" w:sz="0" w:space="0" w:color="auto"/>
                  </w:divBdr>
                  <w:divsChild>
                    <w:div w:id="812022042">
                      <w:marLeft w:val="0"/>
                      <w:marRight w:val="0"/>
                      <w:marTop w:val="0"/>
                      <w:marBottom w:val="0"/>
                      <w:divBdr>
                        <w:top w:val="none" w:sz="0" w:space="0" w:color="auto"/>
                        <w:left w:val="none" w:sz="0" w:space="0" w:color="auto"/>
                        <w:bottom w:val="none" w:sz="0" w:space="0" w:color="auto"/>
                        <w:right w:val="none" w:sz="0" w:space="0" w:color="auto"/>
                      </w:divBdr>
                    </w:div>
                  </w:divsChild>
                </w:div>
                <w:div w:id="236669891">
                  <w:marLeft w:val="0"/>
                  <w:marRight w:val="0"/>
                  <w:marTop w:val="0"/>
                  <w:marBottom w:val="0"/>
                  <w:divBdr>
                    <w:top w:val="none" w:sz="0" w:space="0" w:color="auto"/>
                    <w:left w:val="none" w:sz="0" w:space="0" w:color="auto"/>
                    <w:bottom w:val="none" w:sz="0" w:space="0" w:color="auto"/>
                    <w:right w:val="none" w:sz="0" w:space="0" w:color="auto"/>
                  </w:divBdr>
                  <w:divsChild>
                    <w:div w:id="1762338896">
                      <w:marLeft w:val="0"/>
                      <w:marRight w:val="0"/>
                      <w:marTop w:val="0"/>
                      <w:marBottom w:val="0"/>
                      <w:divBdr>
                        <w:top w:val="none" w:sz="0" w:space="0" w:color="auto"/>
                        <w:left w:val="none" w:sz="0" w:space="0" w:color="auto"/>
                        <w:bottom w:val="none" w:sz="0" w:space="0" w:color="auto"/>
                        <w:right w:val="none" w:sz="0" w:space="0" w:color="auto"/>
                      </w:divBdr>
                    </w:div>
                  </w:divsChild>
                </w:div>
                <w:div w:id="243539107">
                  <w:marLeft w:val="0"/>
                  <w:marRight w:val="0"/>
                  <w:marTop w:val="0"/>
                  <w:marBottom w:val="0"/>
                  <w:divBdr>
                    <w:top w:val="none" w:sz="0" w:space="0" w:color="auto"/>
                    <w:left w:val="none" w:sz="0" w:space="0" w:color="auto"/>
                    <w:bottom w:val="none" w:sz="0" w:space="0" w:color="auto"/>
                    <w:right w:val="none" w:sz="0" w:space="0" w:color="auto"/>
                  </w:divBdr>
                  <w:divsChild>
                    <w:div w:id="905457471">
                      <w:marLeft w:val="0"/>
                      <w:marRight w:val="0"/>
                      <w:marTop w:val="0"/>
                      <w:marBottom w:val="0"/>
                      <w:divBdr>
                        <w:top w:val="none" w:sz="0" w:space="0" w:color="auto"/>
                        <w:left w:val="none" w:sz="0" w:space="0" w:color="auto"/>
                        <w:bottom w:val="none" w:sz="0" w:space="0" w:color="auto"/>
                        <w:right w:val="none" w:sz="0" w:space="0" w:color="auto"/>
                      </w:divBdr>
                    </w:div>
                  </w:divsChild>
                </w:div>
                <w:div w:id="279385012">
                  <w:marLeft w:val="0"/>
                  <w:marRight w:val="0"/>
                  <w:marTop w:val="0"/>
                  <w:marBottom w:val="0"/>
                  <w:divBdr>
                    <w:top w:val="none" w:sz="0" w:space="0" w:color="auto"/>
                    <w:left w:val="none" w:sz="0" w:space="0" w:color="auto"/>
                    <w:bottom w:val="none" w:sz="0" w:space="0" w:color="auto"/>
                    <w:right w:val="none" w:sz="0" w:space="0" w:color="auto"/>
                  </w:divBdr>
                  <w:divsChild>
                    <w:div w:id="1451315626">
                      <w:marLeft w:val="0"/>
                      <w:marRight w:val="0"/>
                      <w:marTop w:val="0"/>
                      <w:marBottom w:val="0"/>
                      <w:divBdr>
                        <w:top w:val="none" w:sz="0" w:space="0" w:color="auto"/>
                        <w:left w:val="none" w:sz="0" w:space="0" w:color="auto"/>
                        <w:bottom w:val="none" w:sz="0" w:space="0" w:color="auto"/>
                        <w:right w:val="none" w:sz="0" w:space="0" w:color="auto"/>
                      </w:divBdr>
                    </w:div>
                  </w:divsChild>
                </w:div>
                <w:div w:id="298343535">
                  <w:marLeft w:val="0"/>
                  <w:marRight w:val="0"/>
                  <w:marTop w:val="0"/>
                  <w:marBottom w:val="0"/>
                  <w:divBdr>
                    <w:top w:val="none" w:sz="0" w:space="0" w:color="auto"/>
                    <w:left w:val="none" w:sz="0" w:space="0" w:color="auto"/>
                    <w:bottom w:val="none" w:sz="0" w:space="0" w:color="auto"/>
                    <w:right w:val="none" w:sz="0" w:space="0" w:color="auto"/>
                  </w:divBdr>
                  <w:divsChild>
                    <w:div w:id="1380275720">
                      <w:marLeft w:val="0"/>
                      <w:marRight w:val="0"/>
                      <w:marTop w:val="0"/>
                      <w:marBottom w:val="0"/>
                      <w:divBdr>
                        <w:top w:val="none" w:sz="0" w:space="0" w:color="auto"/>
                        <w:left w:val="none" w:sz="0" w:space="0" w:color="auto"/>
                        <w:bottom w:val="none" w:sz="0" w:space="0" w:color="auto"/>
                        <w:right w:val="none" w:sz="0" w:space="0" w:color="auto"/>
                      </w:divBdr>
                    </w:div>
                  </w:divsChild>
                </w:div>
                <w:div w:id="300504285">
                  <w:marLeft w:val="0"/>
                  <w:marRight w:val="0"/>
                  <w:marTop w:val="0"/>
                  <w:marBottom w:val="0"/>
                  <w:divBdr>
                    <w:top w:val="none" w:sz="0" w:space="0" w:color="auto"/>
                    <w:left w:val="none" w:sz="0" w:space="0" w:color="auto"/>
                    <w:bottom w:val="none" w:sz="0" w:space="0" w:color="auto"/>
                    <w:right w:val="none" w:sz="0" w:space="0" w:color="auto"/>
                  </w:divBdr>
                  <w:divsChild>
                    <w:div w:id="680472166">
                      <w:marLeft w:val="0"/>
                      <w:marRight w:val="0"/>
                      <w:marTop w:val="0"/>
                      <w:marBottom w:val="0"/>
                      <w:divBdr>
                        <w:top w:val="none" w:sz="0" w:space="0" w:color="auto"/>
                        <w:left w:val="none" w:sz="0" w:space="0" w:color="auto"/>
                        <w:bottom w:val="none" w:sz="0" w:space="0" w:color="auto"/>
                        <w:right w:val="none" w:sz="0" w:space="0" w:color="auto"/>
                      </w:divBdr>
                    </w:div>
                  </w:divsChild>
                </w:div>
                <w:div w:id="365713267">
                  <w:marLeft w:val="0"/>
                  <w:marRight w:val="0"/>
                  <w:marTop w:val="0"/>
                  <w:marBottom w:val="0"/>
                  <w:divBdr>
                    <w:top w:val="none" w:sz="0" w:space="0" w:color="auto"/>
                    <w:left w:val="none" w:sz="0" w:space="0" w:color="auto"/>
                    <w:bottom w:val="none" w:sz="0" w:space="0" w:color="auto"/>
                    <w:right w:val="none" w:sz="0" w:space="0" w:color="auto"/>
                  </w:divBdr>
                  <w:divsChild>
                    <w:div w:id="2005932248">
                      <w:marLeft w:val="0"/>
                      <w:marRight w:val="0"/>
                      <w:marTop w:val="0"/>
                      <w:marBottom w:val="0"/>
                      <w:divBdr>
                        <w:top w:val="none" w:sz="0" w:space="0" w:color="auto"/>
                        <w:left w:val="none" w:sz="0" w:space="0" w:color="auto"/>
                        <w:bottom w:val="none" w:sz="0" w:space="0" w:color="auto"/>
                        <w:right w:val="none" w:sz="0" w:space="0" w:color="auto"/>
                      </w:divBdr>
                    </w:div>
                  </w:divsChild>
                </w:div>
                <w:div w:id="369843680">
                  <w:marLeft w:val="0"/>
                  <w:marRight w:val="0"/>
                  <w:marTop w:val="0"/>
                  <w:marBottom w:val="0"/>
                  <w:divBdr>
                    <w:top w:val="none" w:sz="0" w:space="0" w:color="auto"/>
                    <w:left w:val="none" w:sz="0" w:space="0" w:color="auto"/>
                    <w:bottom w:val="none" w:sz="0" w:space="0" w:color="auto"/>
                    <w:right w:val="none" w:sz="0" w:space="0" w:color="auto"/>
                  </w:divBdr>
                  <w:divsChild>
                    <w:div w:id="786433522">
                      <w:marLeft w:val="0"/>
                      <w:marRight w:val="0"/>
                      <w:marTop w:val="0"/>
                      <w:marBottom w:val="0"/>
                      <w:divBdr>
                        <w:top w:val="none" w:sz="0" w:space="0" w:color="auto"/>
                        <w:left w:val="none" w:sz="0" w:space="0" w:color="auto"/>
                        <w:bottom w:val="none" w:sz="0" w:space="0" w:color="auto"/>
                        <w:right w:val="none" w:sz="0" w:space="0" w:color="auto"/>
                      </w:divBdr>
                    </w:div>
                  </w:divsChild>
                </w:div>
                <w:div w:id="381637536">
                  <w:marLeft w:val="0"/>
                  <w:marRight w:val="0"/>
                  <w:marTop w:val="0"/>
                  <w:marBottom w:val="0"/>
                  <w:divBdr>
                    <w:top w:val="none" w:sz="0" w:space="0" w:color="auto"/>
                    <w:left w:val="none" w:sz="0" w:space="0" w:color="auto"/>
                    <w:bottom w:val="none" w:sz="0" w:space="0" w:color="auto"/>
                    <w:right w:val="none" w:sz="0" w:space="0" w:color="auto"/>
                  </w:divBdr>
                  <w:divsChild>
                    <w:div w:id="320037071">
                      <w:marLeft w:val="0"/>
                      <w:marRight w:val="0"/>
                      <w:marTop w:val="0"/>
                      <w:marBottom w:val="0"/>
                      <w:divBdr>
                        <w:top w:val="none" w:sz="0" w:space="0" w:color="auto"/>
                        <w:left w:val="none" w:sz="0" w:space="0" w:color="auto"/>
                        <w:bottom w:val="none" w:sz="0" w:space="0" w:color="auto"/>
                        <w:right w:val="none" w:sz="0" w:space="0" w:color="auto"/>
                      </w:divBdr>
                    </w:div>
                  </w:divsChild>
                </w:div>
                <w:div w:id="398022705">
                  <w:marLeft w:val="0"/>
                  <w:marRight w:val="0"/>
                  <w:marTop w:val="0"/>
                  <w:marBottom w:val="0"/>
                  <w:divBdr>
                    <w:top w:val="none" w:sz="0" w:space="0" w:color="auto"/>
                    <w:left w:val="none" w:sz="0" w:space="0" w:color="auto"/>
                    <w:bottom w:val="none" w:sz="0" w:space="0" w:color="auto"/>
                    <w:right w:val="none" w:sz="0" w:space="0" w:color="auto"/>
                  </w:divBdr>
                  <w:divsChild>
                    <w:div w:id="52512193">
                      <w:marLeft w:val="0"/>
                      <w:marRight w:val="0"/>
                      <w:marTop w:val="0"/>
                      <w:marBottom w:val="0"/>
                      <w:divBdr>
                        <w:top w:val="none" w:sz="0" w:space="0" w:color="auto"/>
                        <w:left w:val="none" w:sz="0" w:space="0" w:color="auto"/>
                        <w:bottom w:val="none" w:sz="0" w:space="0" w:color="auto"/>
                        <w:right w:val="none" w:sz="0" w:space="0" w:color="auto"/>
                      </w:divBdr>
                    </w:div>
                  </w:divsChild>
                </w:div>
                <w:div w:id="409347863">
                  <w:marLeft w:val="0"/>
                  <w:marRight w:val="0"/>
                  <w:marTop w:val="0"/>
                  <w:marBottom w:val="0"/>
                  <w:divBdr>
                    <w:top w:val="none" w:sz="0" w:space="0" w:color="auto"/>
                    <w:left w:val="none" w:sz="0" w:space="0" w:color="auto"/>
                    <w:bottom w:val="none" w:sz="0" w:space="0" w:color="auto"/>
                    <w:right w:val="none" w:sz="0" w:space="0" w:color="auto"/>
                  </w:divBdr>
                  <w:divsChild>
                    <w:div w:id="1810587739">
                      <w:marLeft w:val="0"/>
                      <w:marRight w:val="0"/>
                      <w:marTop w:val="0"/>
                      <w:marBottom w:val="0"/>
                      <w:divBdr>
                        <w:top w:val="none" w:sz="0" w:space="0" w:color="auto"/>
                        <w:left w:val="none" w:sz="0" w:space="0" w:color="auto"/>
                        <w:bottom w:val="none" w:sz="0" w:space="0" w:color="auto"/>
                        <w:right w:val="none" w:sz="0" w:space="0" w:color="auto"/>
                      </w:divBdr>
                    </w:div>
                  </w:divsChild>
                </w:div>
                <w:div w:id="414669695">
                  <w:marLeft w:val="0"/>
                  <w:marRight w:val="0"/>
                  <w:marTop w:val="0"/>
                  <w:marBottom w:val="0"/>
                  <w:divBdr>
                    <w:top w:val="none" w:sz="0" w:space="0" w:color="auto"/>
                    <w:left w:val="none" w:sz="0" w:space="0" w:color="auto"/>
                    <w:bottom w:val="none" w:sz="0" w:space="0" w:color="auto"/>
                    <w:right w:val="none" w:sz="0" w:space="0" w:color="auto"/>
                  </w:divBdr>
                  <w:divsChild>
                    <w:div w:id="121463899">
                      <w:marLeft w:val="0"/>
                      <w:marRight w:val="0"/>
                      <w:marTop w:val="0"/>
                      <w:marBottom w:val="0"/>
                      <w:divBdr>
                        <w:top w:val="none" w:sz="0" w:space="0" w:color="auto"/>
                        <w:left w:val="none" w:sz="0" w:space="0" w:color="auto"/>
                        <w:bottom w:val="none" w:sz="0" w:space="0" w:color="auto"/>
                        <w:right w:val="none" w:sz="0" w:space="0" w:color="auto"/>
                      </w:divBdr>
                    </w:div>
                  </w:divsChild>
                </w:div>
                <w:div w:id="421416800">
                  <w:marLeft w:val="0"/>
                  <w:marRight w:val="0"/>
                  <w:marTop w:val="0"/>
                  <w:marBottom w:val="0"/>
                  <w:divBdr>
                    <w:top w:val="none" w:sz="0" w:space="0" w:color="auto"/>
                    <w:left w:val="none" w:sz="0" w:space="0" w:color="auto"/>
                    <w:bottom w:val="none" w:sz="0" w:space="0" w:color="auto"/>
                    <w:right w:val="none" w:sz="0" w:space="0" w:color="auto"/>
                  </w:divBdr>
                  <w:divsChild>
                    <w:div w:id="1627194295">
                      <w:marLeft w:val="0"/>
                      <w:marRight w:val="0"/>
                      <w:marTop w:val="0"/>
                      <w:marBottom w:val="0"/>
                      <w:divBdr>
                        <w:top w:val="none" w:sz="0" w:space="0" w:color="auto"/>
                        <w:left w:val="none" w:sz="0" w:space="0" w:color="auto"/>
                        <w:bottom w:val="none" w:sz="0" w:space="0" w:color="auto"/>
                        <w:right w:val="none" w:sz="0" w:space="0" w:color="auto"/>
                      </w:divBdr>
                    </w:div>
                  </w:divsChild>
                </w:div>
                <w:div w:id="435446001">
                  <w:marLeft w:val="0"/>
                  <w:marRight w:val="0"/>
                  <w:marTop w:val="0"/>
                  <w:marBottom w:val="0"/>
                  <w:divBdr>
                    <w:top w:val="none" w:sz="0" w:space="0" w:color="auto"/>
                    <w:left w:val="none" w:sz="0" w:space="0" w:color="auto"/>
                    <w:bottom w:val="none" w:sz="0" w:space="0" w:color="auto"/>
                    <w:right w:val="none" w:sz="0" w:space="0" w:color="auto"/>
                  </w:divBdr>
                  <w:divsChild>
                    <w:div w:id="626353793">
                      <w:marLeft w:val="0"/>
                      <w:marRight w:val="0"/>
                      <w:marTop w:val="0"/>
                      <w:marBottom w:val="0"/>
                      <w:divBdr>
                        <w:top w:val="none" w:sz="0" w:space="0" w:color="auto"/>
                        <w:left w:val="none" w:sz="0" w:space="0" w:color="auto"/>
                        <w:bottom w:val="none" w:sz="0" w:space="0" w:color="auto"/>
                        <w:right w:val="none" w:sz="0" w:space="0" w:color="auto"/>
                      </w:divBdr>
                    </w:div>
                  </w:divsChild>
                </w:div>
                <w:div w:id="460076109">
                  <w:marLeft w:val="0"/>
                  <w:marRight w:val="0"/>
                  <w:marTop w:val="0"/>
                  <w:marBottom w:val="0"/>
                  <w:divBdr>
                    <w:top w:val="none" w:sz="0" w:space="0" w:color="auto"/>
                    <w:left w:val="none" w:sz="0" w:space="0" w:color="auto"/>
                    <w:bottom w:val="none" w:sz="0" w:space="0" w:color="auto"/>
                    <w:right w:val="none" w:sz="0" w:space="0" w:color="auto"/>
                  </w:divBdr>
                  <w:divsChild>
                    <w:div w:id="395401216">
                      <w:marLeft w:val="0"/>
                      <w:marRight w:val="0"/>
                      <w:marTop w:val="0"/>
                      <w:marBottom w:val="0"/>
                      <w:divBdr>
                        <w:top w:val="none" w:sz="0" w:space="0" w:color="auto"/>
                        <w:left w:val="none" w:sz="0" w:space="0" w:color="auto"/>
                        <w:bottom w:val="none" w:sz="0" w:space="0" w:color="auto"/>
                        <w:right w:val="none" w:sz="0" w:space="0" w:color="auto"/>
                      </w:divBdr>
                    </w:div>
                  </w:divsChild>
                </w:div>
                <w:div w:id="479730916">
                  <w:marLeft w:val="0"/>
                  <w:marRight w:val="0"/>
                  <w:marTop w:val="0"/>
                  <w:marBottom w:val="0"/>
                  <w:divBdr>
                    <w:top w:val="none" w:sz="0" w:space="0" w:color="auto"/>
                    <w:left w:val="none" w:sz="0" w:space="0" w:color="auto"/>
                    <w:bottom w:val="none" w:sz="0" w:space="0" w:color="auto"/>
                    <w:right w:val="none" w:sz="0" w:space="0" w:color="auto"/>
                  </w:divBdr>
                  <w:divsChild>
                    <w:div w:id="482083871">
                      <w:marLeft w:val="0"/>
                      <w:marRight w:val="0"/>
                      <w:marTop w:val="0"/>
                      <w:marBottom w:val="0"/>
                      <w:divBdr>
                        <w:top w:val="none" w:sz="0" w:space="0" w:color="auto"/>
                        <w:left w:val="none" w:sz="0" w:space="0" w:color="auto"/>
                        <w:bottom w:val="none" w:sz="0" w:space="0" w:color="auto"/>
                        <w:right w:val="none" w:sz="0" w:space="0" w:color="auto"/>
                      </w:divBdr>
                    </w:div>
                  </w:divsChild>
                </w:div>
                <w:div w:id="547450397">
                  <w:marLeft w:val="0"/>
                  <w:marRight w:val="0"/>
                  <w:marTop w:val="0"/>
                  <w:marBottom w:val="0"/>
                  <w:divBdr>
                    <w:top w:val="none" w:sz="0" w:space="0" w:color="auto"/>
                    <w:left w:val="none" w:sz="0" w:space="0" w:color="auto"/>
                    <w:bottom w:val="none" w:sz="0" w:space="0" w:color="auto"/>
                    <w:right w:val="none" w:sz="0" w:space="0" w:color="auto"/>
                  </w:divBdr>
                  <w:divsChild>
                    <w:div w:id="296574053">
                      <w:marLeft w:val="0"/>
                      <w:marRight w:val="0"/>
                      <w:marTop w:val="0"/>
                      <w:marBottom w:val="0"/>
                      <w:divBdr>
                        <w:top w:val="none" w:sz="0" w:space="0" w:color="auto"/>
                        <w:left w:val="none" w:sz="0" w:space="0" w:color="auto"/>
                        <w:bottom w:val="none" w:sz="0" w:space="0" w:color="auto"/>
                        <w:right w:val="none" w:sz="0" w:space="0" w:color="auto"/>
                      </w:divBdr>
                    </w:div>
                  </w:divsChild>
                </w:div>
                <w:div w:id="592056832">
                  <w:marLeft w:val="0"/>
                  <w:marRight w:val="0"/>
                  <w:marTop w:val="0"/>
                  <w:marBottom w:val="0"/>
                  <w:divBdr>
                    <w:top w:val="none" w:sz="0" w:space="0" w:color="auto"/>
                    <w:left w:val="none" w:sz="0" w:space="0" w:color="auto"/>
                    <w:bottom w:val="none" w:sz="0" w:space="0" w:color="auto"/>
                    <w:right w:val="none" w:sz="0" w:space="0" w:color="auto"/>
                  </w:divBdr>
                  <w:divsChild>
                    <w:div w:id="1029188231">
                      <w:marLeft w:val="0"/>
                      <w:marRight w:val="0"/>
                      <w:marTop w:val="0"/>
                      <w:marBottom w:val="0"/>
                      <w:divBdr>
                        <w:top w:val="none" w:sz="0" w:space="0" w:color="auto"/>
                        <w:left w:val="none" w:sz="0" w:space="0" w:color="auto"/>
                        <w:bottom w:val="none" w:sz="0" w:space="0" w:color="auto"/>
                        <w:right w:val="none" w:sz="0" w:space="0" w:color="auto"/>
                      </w:divBdr>
                    </w:div>
                  </w:divsChild>
                </w:div>
                <w:div w:id="596250528">
                  <w:marLeft w:val="0"/>
                  <w:marRight w:val="0"/>
                  <w:marTop w:val="0"/>
                  <w:marBottom w:val="0"/>
                  <w:divBdr>
                    <w:top w:val="none" w:sz="0" w:space="0" w:color="auto"/>
                    <w:left w:val="none" w:sz="0" w:space="0" w:color="auto"/>
                    <w:bottom w:val="none" w:sz="0" w:space="0" w:color="auto"/>
                    <w:right w:val="none" w:sz="0" w:space="0" w:color="auto"/>
                  </w:divBdr>
                  <w:divsChild>
                    <w:div w:id="1005091039">
                      <w:marLeft w:val="0"/>
                      <w:marRight w:val="0"/>
                      <w:marTop w:val="0"/>
                      <w:marBottom w:val="0"/>
                      <w:divBdr>
                        <w:top w:val="none" w:sz="0" w:space="0" w:color="auto"/>
                        <w:left w:val="none" w:sz="0" w:space="0" w:color="auto"/>
                        <w:bottom w:val="none" w:sz="0" w:space="0" w:color="auto"/>
                        <w:right w:val="none" w:sz="0" w:space="0" w:color="auto"/>
                      </w:divBdr>
                    </w:div>
                  </w:divsChild>
                </w:div>
                <w:div w:id="637566053">
                  <w:marLeft w:val="0"/>
                  <w:marRight w:val="0"/>
                  <w:marTop w:val="0"/>
                  <w:marBottom w:val="0"/>
                  <w:divBdr>
                    <w:top w:val="none" w:sz="0" w:space="0" w:color="auto"/>
                    <w:left w:val="none" w:sz="0" w:space="0" w:color="auto"/>
                    <w:bottom w:val="none" w:sz="0" w:space="0" w:color="auto"/>
                    <w:right w:val="none" w:sz="0" w:space="0" w:color="auto"/>
                  </w:divBdr>
                  <w:divsChild>
                    <w:div w:id="369839898">
                      <w:marLeft w:val="0"/>
                      <w:marRight w:val="0"/>
                      <w:marTop w:val="0"/>
                      <w:marBottom w:val="0"/>
                      <w:divBdr>
                        <w:top w:val="none" w:sz="0" w:space="0" w:color="auto"/>
                        <w:left w:val="none" w:sz="0" w:space="0" w:color="auto"/>
                        <w:bottom w:val="none" w:sz="0" w:space="0" w:color="auto"/>
                        <w:right w:val="none" w:sz="0" w:space="0" w:color="auto"/>
                      </w:divBdr>
                    </w:div>
                  </w:divsChild>
                </w:div>
                <w:div w:id="637809417">
                  <w:marLeft w:val="0"/>
                  <w:marRight w:val="0"/>
                  <w:marTop w:val="0"/>
                  <w:marBottom w:val="0"/>
                  <w:divBdr>
                    <w:top w:val="none" w:sz="0" w:space="0" w:color="auto"/>
                    <w:left w:val="none" w:sz="0" w:space="0" w:color="auto"/>
                    <w:bottom w:val="none" w:sz="0" w:space="0" w:color="auto"/>
                    <w:right w:val="none" w:sz="0" w:space="0" w:color="auto"/>
                  </w:divBdr>
                  <w:divsChild>
                    <w:div w:id="1336349284">
                      <w:marLeft w:val="0"/>
                      <w:marRight w:val="0"/>
                      <w:marTop w:val="0"/>
                      <w:marBottom w:val="0"/>
                      <w:divBdr>
                        <w:top w:val="none" w:sz="0" w:space="0" w:color="auto"/>
                        <w:left w:val="none" w:sz="0" w:space="0" w:color="auto"/>
                        <w:bottom w:val="none" w:sz="0" w:space="0" w:color="auto"/>
                        <w:right w:val="none" w:sz="0" w:space="0" w:color="auto"/>
                      </w:divBdr>
                    </w:div>
                  </w:divsChild>
                </w:div>
                <w:div w:id="756252651">
                  <w:marLeft w:val="0"/>
                  <w:marRight w:val="0"/>
                  <w:marTop w:val="0"/>
                  <w:marBottom w:val="0"/>
                  <w:divBdr>
                    <w:top w:val="none" w:sz="0" w:space="0" w:color="auto"/>
                    <w:left w:val="none" w:sz="0" w:space="0" w:color="auto"/>
                    <w:bottom w:val="none" w:sz="0" w:space="0" w:color="auto"/>
                    <w:right w:val="none" w:sz="0" w:space="0" w:color="auto"/>
                  </w:divBdr>
                  <w:divsChild>
                    <w:div w:id="1122500692">
                      <w:marLeft w:val="0"/>
                      <w:marRight w:val="0"/>
                      <w:marTop w:val="0"/>
                      <w:marBottom w:val="0"/>
                      <w:divBdr>
                        <w:top w:val="none" w:sz="0" w:space="0" w:color="auto"/>
                        <w:left w:val="none" w:sz="0" w:space="0" w:color="auto"/>
                        <w:bottom w:val="none" w:sz="0" w:space="0" w:color="auto"/>
                        <w:right w:val="none" w:sz="0" w:space="0" w:color="auto"/>
                      </w:divBdr>
                    </w:div>
                  </w:divsChild>
                </w:div>
                <w:div w:id="766777097">
                  <w:marLeft w:val="0"/>
                  <w:marRight w:val="0"/>
                  <w:marTop w:val="0"/>
                  <w:marBottom w:val="0"/>
                  <w:divBdr>
                    <w:top w:val="none" w:sz="0" w:space="0" w:color="auto"/>
                    <w:left w:val="none" w:sz="0" w:space="0" w:color="auto"/>
                    <w:bottom w:val="none" w:sz="0" w:space="0" w:color="auto"/>
                    <w:right w:val="none" w:sz="0" w:space="0" w:color="auto"/>
                  </w:divBdr>
                  <w:divsChild>
                    <w:div w:id="1867475716">
                      <w:marLeft w:val="0"/>
                      <w:marRight w:val="0"/>
                      <w:marTop w:val="0"/>
                      <w:marBottom w:val="0"/>
                      <w:divBdr>
                        <w:top w:val="none" w:sz="0" w:space="0" w:color="auto"/>
                        <w:left w:val="none" w:sz="0" w:space="0" w:color="auto"/>
                        <w:bottom w:val="none" w:sz="0" w:space="0" w:color="auto"/>
                        <w:right w:val="none" w:sz="0" w:space="0" w:color="auto"/>
                      </w:divBdr>
                    </w:div>
                  </w:divsChild>
                </w:div>
                <w:div w:id="780223432">
                  <w:marLeft w:val="0"/>
                  <w:marRight w:val="0"/>
                  <w:marTop w:val="0"/>
                  <w:marBottom w:val="0"/>
                  <w:divBdr>
                    <w:top w:val="none" w:sz="0" w:space="0" w:color="auto"/>
                    <w:left w:val="none" w:sz="0" w:space="0" w:color="auto"/>
                    <w:bottom w:val="none" w:sz="0" w:space="0" w:color="auto"/>
                    <w:right w:val="none" w:sz="0" w:space="0" w:color="auto"/>
                  </w:divBdr>
                  <w:divsChild>
                    <w:div w:id="2055499174">
                      <w:marLeft w:val="0"/>
                      <w:marRight w:val="0"/>
                      <w:marTop w:val="0"/>
                      <w:marBottom w:val="0"/>
                      <w:divBdr>
                        <w:top w:val="none" w:sz="0" w:space="0" w:color="auto"/>
                        <w:left w:val="none" w:sz="0" w:space="0" w:color="auto"/>
                        <w:bottom w:val="none" w:sz="0" w:space="0" w:color="auto"/>
                        <w:right w:val="none" w:sz="0" w:space="0" w:color="auto"/>
                      </w:divBdr>
                    </w:div>
                  </w:divsChild>
                </w:div>
                <w:div w:id="805665106">
                  <w:marLeft w:val="0"/>
                  <w:marRight w:val="0"/>
                  <w:marTop w:val="0"/>
                  <w:marBottom w:val="0"/>
                  <w:divBdr>
                    <w:top w:val="none" w:sz="0" w:space="0" w:color="auto"/>
                    <w:left w:val="none" w:sz="0" w:space="0" w:color="auto"/>
                    <w:bottom w:val="none" w:sz="0" w:space="0" w:color="auto"/>
                    <w:right w:val="none" w:sz="0" w:space="0" w:color="auto"/>
                  </w:divBdr>
                  <w:divsChild>
                    <w:div w:id="1003388831">
                      <w:marLeft w:val="0"/>
                      <w:marRight w:val="0"/>
                      <w:marTop w:val="0"/>
                      <w:marBottom w:val="0"/>
                      <w:divBdr>
                        <w:top w:val="none" w:sz="0" w:space="0" w:color="auto"/>
                        <w:left w:val="none" w:sz="0" w:space="0" w:color="auto"/>
                        <w:bottom w:val="none" w:sz="0" w:space="0" w:color="auto"/>
                        <w:right w:val="none" w:sz="0" w:space="0" w:color="auto"/>
                      </w:divBdr>
                    </w:div>
                  </w:divsChild>
                </w:div>
                <w:div w:id="809052030">
                  <w:marLeft w:val="0"/>
                  <w:marRight w:val="0"/>
                  <w:marTop w:val="0"/>
                  <w:marBottom w:val="0"/>
                  <w:divBdr>
                    <w:top w:val="none" w:sz="0" w:space="0" w:color="auto"/>
                    <w:left w:val="none" w:sz="0" w:space="0" w:color="auto"/>
                    <w:bottom w:val="none" w:sz="0" w:space="0" w:color="auto"/>
                    <w:right w:val="none" w:sz="0" w:space="0" w:color="auto"/>
                  </w:divBdr>
                  <w:divsChild>
                    <w:div w:id="1946494770">
                      <w:marLeft w:val="0"/>
                      <w:marRight w:val="0"/>
                      <w:marTop w:val="0"/>
                      <w:marBottom w:val="0"/>
                      <w:divBdr>
                        <w:top w:val="none" w:sz="0" w:space="0" w:color="auto"/>
                        <w:left w:val="none" w:sz="0" w:space="0" w:color="auto"/>
                        <w:bottom w:val="none" w:sz="0" w:space="0" w:color="auto"/>
                        <w:right w:val="none" w:sz="0" w:space="0" w:color="auto"/>
                      </w:divBdr>
                    </w:div>
                  </w:divsChild>
                </w:div>
                <w:div w:id="831722520">
                  <w:marLeft w:val="0"/>
                  <w:marRight w:val="0"/>
                  <w:marTop w:val="0"/>
                  <w:marBottom w:val="0"/>
                  <w:divBdr>
                    <w:top w:val="none" w:sz="0" w:space="0" w:color="auto"/>
                    <w:left w:val="none" w:sz="0" w:space="0" w:color="auto"/>
                    <w:bottom w:val="none" w:sz="0" w:space="0" w:color="auto"/>
                    <w:right w:val="none" w:sz="0" w:space="0" w:color="auto"/>
                  </w:divBdr>
                  <w:divsChild>
                    <w:div w:id="417144395">
                      <w:marLeft w:val="0"/>
                      <w:marRight w:val="0"/>
                      <w:marTop w:val="0"/>
                      <w:marBottom w:val="0"/>
                      <w:divBdr>
                        <w:top w:val="none" w:sz="0" w:space="0" w:color="auto"/>
                        <w:left w:val="none" w:sz="0" w:space="0" w:color="auto"/>
                        <w:bottom w:val="none" w:sz="0" w:space="0" w:color="auto"/>
                        <w:right w:val="none" w:sz="0" w:space="0" w:color="auto"/>
                      </w:divBdr>
                    </w:div>
                  </w:divsChild>
                </w:div>
                <w:div w:id="911432188">
                  <w:marLeft w:val="0"/>
                  <w:marRight w:val="0"/>
                  <w:marTop w:val="0"/>
                  <w:marBottom w:val="0"/>
                  <w:divBdr>
                    <w:top w:val="none" w:sz="0" w:space="0" w:color="auto"/>
                    <w:left w:val="none" w:sz="0" w:space="0" w:color="auto"/>
                    <w:bottom w:val="none" w:sz="0" w:space="0" w:color="auto"/>
                    <w:right w:val="none" w:sz="0" w:space="0" w:color="auto"/>
                  </w:divBdr>
                  <w:divsChild>
                    <w:div w:id="922640122">
                      <w:marLeft w:val="0"/>
                      <w:marRight w:val="0"/>
                      <w:marTop w:val="0"/>
                      <w:marBottom w:val="0"/>
                      <w:divBdr>
                        <w:top w:val="none" w:sz="0" w:space="0" w:color="auto"/>
                        <w:left w:val="none" w:sz="0" w:space="0" w:color="auto"/>
                        <w:bottom w:val="none" w:sz="0" w:space="0" w:color="auto"/>
                        <w:right w:val="none" w:sz="0" w:space="0" w:color="auto"/>
                      </w:divBdr>
                    </w:div>
                  </w:divsChild>
                </w:div>
                <w:div w:id="957180472">
                  <w:marLeft w:val="0"/>
                  <w:marRight w:val="0"/>
                  <w:marTop w:val="0"/>
                  <w:marBottom w:val="0"/>
                  <w:divBdr>
                    <w:top w:val="none" w:sz="0" w:space="0" w:color="auto"/>
                    <w:left w:val="none" w:sz="0" w:space="0" w:color="auto"/>
                    <w:bottom w:val="none" w:sz="0" w:space="0" w:color="auto"/>
                    <w:right w:val="none" w:sz="0" w:space="0" w:color="auto"/>
                  </w:divBdr>
                  <w:divsChild>
                    <w:div w:id="1555120357">
                      <w:marLeft w:val="0"/>
                      <w:marRight w:val="0"/>
                      <w:marTop w:val="0"/>
                      <w:marBottom w:val="0"/>
                      <w:divBdr>
                        <w:top w:val="none" w:sz="0" w:space="0" w:color="auto"/>
                        <w:left w:val="none" w:sz="0" w:space="0" w:color="auto"/>
                        <w:bottom w:val="none" w:sz="0" w:space="0" w:color="auto"/>
                        <w:right w:val="none" w:sz="0" w:space="0" w:color="auto"/>
                      </w:divBdr>
                    </w:div>
                  </w:divsChild>
                </w:div>
                <w:div w:id="965702440">
                  <w:marLeft w:val="0"/>
                  <w:marRight w:val="0"/>
                  <w:marTop w:val="0"/>
                  <w:marBottom w:val="0"/>
                  <w:divBdr>
                    <w:top w:val="none" w:sz="0" w:space="0" w:color="auto"/>
                    <w:left w:val="none" w:sz="0" w:space="0" w:color="auto"/>
                    <w:bottom w:val="none" w:sz="0" w:space="0" w:color="auto"/>
                    <w:right w:val="none" w:sz="0" w:space="0" w:color="auto"/>
                  </w:divBdr>
                  <w:divsChild>
                    <w:div w:id="1221791113">
                      <w:marLeft w:val="0"/>
                      <w:marRight w:val="0"/>
                      <w:marTop w:val="0"/>
                      <w:marBottom w:val="0"/>
                      <w:divBdr>
                        <w:top w:val="none" w:sz="0" w:space="0" w:color="auto"/>
                        <w:left w:val="none" w:sz="0" w:space="0" w:color="auto"/>
                        <w:bottom w:val="none" w:sz="0" w:space="0" w:color="auto"/>
                        <w:right w:val="none" w:sz="0" w:space="0" w:color="auto"/>
                      </w:divBdr>
                    </w:div>
                  </w:divsChild>
                </w:div>
                <w:div w:id="978192322">
                  <w:marLeft w:val="0"/>
                  <w:marRight w:val="0"/>
                  <w:marTop w:val="0"/>
                  <w:marBottom w:val="0"/>
                  <w:divBdr>
                    <w:top w:val="none" w:sz="0" w:space="0" w:color="auto"/>
                    <w:left w:val="none" w:sz="0" w:space="0" w:color="auto"/>
                    <w:bottom w:val="none" w:sz="0" w:space="0" w:color="auto"/>
                    <w:right w:val="none" w:sz="0" w:space="0" w:color="auto"/>
                  </w:divBdr>
                  <w:divsChild>
                    <w:div w:id="206530522">
                      <w:marLeft w:val="0"/>
                      <w:marRight w:val="0"/>
                      <w:marTop w:val="0"/>
                      <w:marBottom w:val="0"/>
                      <w:divBdr>
                        <w:top w:val="none" w:sz="0" w:space="0" w:color="auto"/>
                        <w:left w:val="none" w:sz="0" w:space="0" w:color="auto"/>
                        <w:bottom w:val="none" w:sz="0" w:space="0" w:color="auto"/>
                        <w:right w:val="none" w:sz="0" w:space="0" w:color="auto"/>
                      </w:divBdr>
                    </w:div>
                  </w:divsChild>
                </w:div>
                <w:div w:id="1004361654">
                  <w:marLeft w:val="0"/>
                  <w:marRight w:val="0"/>
                  <w:marTop w:val="0"/>
                  <w:marBottom w:val="0"/>
                  <w:divBdr>
                    <w:top w:val="none" w:sz="0" w:space="0" w:color="auto"/>
                    <w:left w:val="none" w:sz="0" w:space="0" w:color="auto"/>
                    <w:bottom w:val="none" w:sz="0" w:space="0" w:color="auto"/>
                    <w:right w:val="none" w:sz="0" w:space="0" w:color="auto"/>
                  </w:divBdr>
                  <w:divsChild>
                    <w:div w:id="421027735">
                      <w:marLeft w:val="0"/>
                      <w:marRight w:val="0"/>
                      <w:marTop w:val="0"/>
                      <w:marBottom w:val="0"/>
                      <w:divBdr>
                        <w:top w:val="none" w:sz="0" w:space="0" w:color="auto"/>
                        <w:left w:val="none" w:sz="0" w:space="0" w:color="auto"/>
                        <w:bottom w:val="none" w:sz="0" w:space="0" w:color="auto"/>
                        <w:right w:val="none" w:sz="0" w:space="0" w:color="auto"/>
                      </w:divBdr>
                    </w:div>
                  </w:divsChild>
                </w:div>
                <w:div w:id="1021975966">
                  <w:marLeft w:val="0"/>
                  <w:marRight w:val="0"/>
                  <w:marTop w:val="0"/>
                  <w:marBottom w:val="0"/>
                  <w:divBdr>
                    <w:top w:val="none" w:sz="0" w:space="0" w:color="auto"/>
                    <w:left w:val="none" w:sz="0" w:space="0" w:color="auto"/>
                    <w:bottom w:val="none" w:sz="0" w:space="0" w:color="auto"/>
                    <w:right w:val="none" w:sz="0" w:space="0" w:color="auto"/>
                  </w:divBdr>
                  <w:divsChild>
                    <w:div w:id="794056865">
                      <w:marLeft w:val="0"/>
                      <w:marRight w:val="0"/>
                      <w:marTop w:val="0"/>
                      <w:marBottom w:val="0"/>
                      <w:divBdr>
                        <w:top w:val="none" w:sz="0" w:space="0" w:color="auto"/>
                        <w:left w:val="none" w:sz="0" w:space="0" w:color="auto"/>
                        <w:bottom w:val="none" w:sz="0" w:space="0" w:color="auto"/>
                        <w:right w:val="none" w:sz="0" w:space="0" w:color="auto"/>
                      </w:divBdr>
                    </w:div>
                  </w:divsChild>
                </w:div>
                <w:div w:id="1148128361">
                  <w:marLeft w:val="0"/>
                  <w:marRight w:val="0"/>
                  <w:marTop w:val="0"/>
                  <w:marBottom w:val="0"/>
                  <w:divBdr>
                    <w:top w:val="none" w:sz="0" w:space="0" w:color="auto"/>
                    <w:left w:val="none" w:sz="0" w:space="0" w:color="auto"/>
                    <w:bottom w:val="none" w:sz="0" w:space="0" w:color="auto"/>
                    <w:right w:val="none" w:sz="0" w:space="0" w:color="auto"/>
                  </w:divBdr>
                  <w:divsChild>
                    <w:div w:id="1749035713">
                      <w:marLeft w:val="0"/>
                      <w:marRight w:val="0"/>
                      <w:marTop w:val="0"/>
                      <w:marBottom w:val="0"/>
                      <w:divBdr>
                        <w:top w:val="none" w:sz="0" w:space="0" w:color="auto"/>
                        <w:left w:val="none" w:sz="0" w:space="0" w:color="auto"/>
                        <w:bottom w:val="none" w:sz="0" w:space="0" w:color="auto"/>
                        <w:right w:val="none" w:sz="0" w:space="0" w:color="auto"/>
                      </w:divBdr>
                    </w:div>
                  </w:divsChild>
                </w:div>
                <w:div w:id="1231044189">
                  <w:marLeft w:val="0"/>
                  <w:marRight w:val="0"/>
                  <w:marTop w:val="0"/>
                  <w:marBottom w:val="0"/>
                  <w:divBdr>
                    <w:top w:val="none" w:sz="0" w:space="0" w:color="auto"/>
                    <w:left w:val="none" w:sz="0" w:space="0" w:color="auto"/>
                    <w:bottom w:val="none" w:sz="0" w:space="0" w:color="auto"/>
                    <w:right w:val="none" w:sz="0" w:space="0" w:color="auto"/>
                  </w:divBdr>
                  <w:divsChild>
                    <w:div w:id="1541161860">
                      <w:marLeft w:val="0"/>
                      <w:marRight w:val="0"/>
                      <w:marTop w:val="0"/>
                      <w:marBottom w:val="0"/>
                      <w:divBdr>
                        <w:top w:val="none" w:sz="0" w:space="0" w:color="auto"/>
                        <w:left w:val="none" w:sz="0" w:space="0" w:color="auto"/>
                        <w:bottom w:val="none" w:sz="0" w:space="0" w:color="auto"/>
                        <w:right w:val="none" w:sz="0" w:space="0" w:color="auto"/>
                      </w:divBdr>
                    </w:div>
                  </w:divsChild>
                </w:div>
                <w:div w:id="1231428138">
                  <w:marLeft w:val="0"/>
                  <w:marRight w:val="0"/>
                  <w:marTop w:val="0"/>
                  <w:marBottom w:val="0"/>
                  <w:divBdr>
                    <w:top w:val="none" w:sz="0" w:space="0" w:color="auto"/>
                    <w:left w:val="none" w:sz="0" w:space="0" w:color="auto"/>
                    <w:bottom w:val="none" w:sz="0" w:space="0" w:color="auto"/>
                    <w:right w:val="none" w:sz="0" w:space="0" w:color="auto"/>
                  </w:divBdr>
                  <w:divsChild>
                    <w:div w:id="1397239473">
                      <w:marLeft w:val="0"/>
                      <w:marRight w:val="0"/>
                      <w:marTop w:val="0"/>
                      <w:marBottom w:val="0"/>
                      <w:divBdr>
                        <w:top w:val="none" w:sz="0" w:space="0" w:color="auto"/>
                        <w:left w:val="none" w:sz="0" w:space="0" w:color="auto"/>
                        <w:bottom w:val="none" w:sz="0" w:space="0" w:color="auto"/>
                        <w:right w:val="none" w:sz="0" w:space="0" w:color="auto"/>
                      </w:divBdr>
                    </w:div>
                  </w:divsChild>
                </w:div>
                <w:div w:id="1242182041">
                  <w:marLeft w:val="0"/>
                  <w:marRight w:val="0"/>
                  <w:marTop w:val="0"/>
                  <w:marBottom w:val="0"/>
                  <w:divBdr>
                    <w:top w:val="none" w:sz="0" w:space="0" w:color="auto"/>
                    <w:left w:val="none" w:sz="0" w:space="0" w:color="auto"/>
                    <w:bottom w:val="none" w:sz="0" w:space="0" w:color="auto"/>
                    <w:right w:val="none" w:sz="0" w:space="0" w:color="auto"/>
                  </w:divBdr>
                  <w:divsChild>
                    <w:div w:id="1116557997">
                      <w:marLeft w:val="0"/>
                      <w:marRight w:val="0"/>
                      <w:marTop w:val="0"/>
                      <w:marBottom w:val="0"/>
                      <w:divBdr>
                        <w:top w:val="none" w:sz="0" w:space="0" w:color="auto"/>
                        <w:left w:val="none" w:sz="0" w:space="0" w:color="auto"/>
                        <w:bottom w:val="none" w:sz="0" w:space="0" w:color="auto"/>
                        <w:right w:val="none" w:sz="0" w:space="0" w:color="auto"/>
                      </w:divBdr>
                    </w:div>
                  </w:divsChild>
                </w:div>
                <w:div w:id="1291745670">
                  <w:marLeft w:val="0"/>
                  <w:marRight w:val="0"/>
                  <w:marTop w:val="0"/>
                  <w:marBottom w:val="0"/>
                  <w:divBdr>
                    <w:top w:val="none" w:sz="0" w:space="0" w:color="auto"/>
                    <w:left w:val="none" w:sz="0" w:space="0" w:color="auto"/>
                    <w:bottom w:val="none" w:sz="0" w:space="0" w:color="auto"/>
                    <w:right w:val="none" w:sz="0" w:space="0" w:color="auto"/>
                  </w:divBdr>
                  <w:divsChild>
                    <w:div w:id="1407916216">
                      <w:marLeft w:val="0"/>
                      <w:marRight w:val="0"/>
                      <w:marTop w:val="0"/>
                      <w:marBottom w:val="0"/>
                      <w:divBdr>
                        <w:top w:val="none" w:sz="0" w:space="0" w:color="auto"/>
                        <w:left w:val="none" w:sz="0" w:space="0" w:color="auto"/>
                        <w:bottom w:val="none" w:sz="0" w:space="0" w:color="auto"/>
                        <w:right w:val="none" w:sz="0" w:space="0" w:color="auto"/>
                      </w:divBdr>
                    </w:div>
                  </w:divsChild>
                </w:div>
                <w:div w:id="1299142194">
                  <w:marLeft w:val="0"/>
                  <w:marRight w:val="0"/>
                  <w:marTop w:val="0"/>
                  <w:marBottom w:val="0"/>
                  <w:divBdr>
                    <w:top w:val="none" w:sz="0" w:space="0" w:color="auto"/>
                    <w:left w:val="none" w:sz="0" w:space="0" w:color="auto"/>
                    <w:bottom w:val="none" w:sz="0" w:space="0" w:color="auto"/>
                    <w:right w:val="none" w:sz="0" w:space="0" w:color="auto"/>
                  </w:divBdr>
                  <w:divsChild>
                    <w:div w:id="575088174">
                      <w:marLeft w:val="0"/>
                      <w:marRight w:val="0"/>
                      <w:marTop w:val="0"/>
                      <w:marBottom w:val="0"/>
                      <w:divBdr>
                        <w:top w:val="none" w:sz="0" w:space="0" w:color="auto"/>
                        <w:left w:val="none" w:sz="0" w:space="0" w:color="auto"/>
                        <w:bottom w:val="none" w:sz="0" w:space="0" w:color="auto"/>
                        <w:right w:val="none" w:sz="0" w:space="0" w:color="auto"/>
                      </w:divBdr>
                    </w:div>
                  </w:divsChild>
                </w:div>
                <w:div w:id="1336179594">
                  <w:marLeft w:val="0"/>
                  <w:marRight w:val="0"/>
                  <w:marTop w:val="0"/>
                  <w:marBottom w:val="0"/>
                  <w:divBdr>
                    <w:top w:val="none" w:sz="0" w:space="0" w:color="auto"/>
                    <w:left w:val="none" w:sz="0" w:space="0" w:color="auto"/>
                    <w:bottom w:val="none" w:sz="0" w:space="0" w:color="auto"/>
                    <w:right w:val="none" w:sz="0" w:space="0" w:color="auto"/>
                  </w:divBdr>
                  <w:divsChild>
                    <w:div w:id="247428750">
                      <w:marLeft w:val="0"/>
                      <w:marRight w:val="0"/>
                      <w:marTop w:val="0"/>
                      <w:marBottom w:val="0"/>
                      <w:divBdr>
                        <w:top w:val="none" w:sz="0" w:space="0" w:color="auto"/>
                        <w:left w:val="none" w:sz="0" w:space="0" w:color="auto"/>
                        <w:bottom w:val="none" w:sz="0" w:space="0" w:color="auto"/>
                        <w:right w:val="none" w:sz="0" w:space="0" w:color="auto"/>
                      </w:divBdr>
                    </w:div>
                  </w:divsChild>
                </w:div>
                <w:div w:id="1338575567">
                  <w:marLeft w:val="0"/>
                  <w:marRight w:val="0"/>
                  <w:marTop w:val="0"/>
                  <w:marBottom w:val="0"/>
                  <w:divBdr>
                    <w:top w:val="none" w:sz="0" w:space="0" w:color="auto"/>
                    <w:left w:val="none" w:sz="0" w:space="0" w:color="auto"/>
                    <w:bottom w:val="none" w:sz="0" w:space="0" w:color="auto"/>
                    <w:right w:val="none" w:sz="0" w:space="0" w:color="auto"/>
                  </w:divBdr>
                  <w:divsChild>
                    <w:div w:id="197473362">
                      <w:marLeft w:val="0"/>
                      <w:marRight w:val="0"/>
                      <w:marTop w:val="0"/>
                      <w:marBottom w:val="0"/>
                      <w:divBdr>
                        <w:top w:val="none" w:sz="0" w:space="0" w:color="auto"/>
                        <w:left w:val="none" w:sz="0" w:space="0" w:color="auto"/>
                        <w:bottom w:val="none" w:sz="0" w:space="0" w:color="auto"/>
                        <w:right w:val="none" w:sz="0" w:space="0" w:color="auto"/>
                      </w:divBdr>
                    </w:div>
                  </w:divsChild>
                </w:div>
                <w:div w:id="1340693717">
                  <w:marLeft w:val="0"/>
                  <w:marRight w:val="0"/>
                  <w:marTop w:val="0"/>
                  <w:marBottom w:val="0"/>
                  <w:divBdr>
                    <w:top w:val="none" w:sz="0" w:space="0" w:color="auto"/>
                    <w:left w:val="none" w:sz="0" w:space="0" w:color="auto"/>
                    <w:bottom w:val="none" w:sz="0" w:space="0" w:color="auto"/>
                    <w:right w:val="none" w:sz="0" w:space="0" w:color="auto"/>
                  </w:divBdr>
                  <w:divsChild>
                    <w:div w:id="2122408875">
                      <w:marLeft w:val="0"/>
                      <w:marRight w:val="0"/>
                      <w:marTop w:val="0"/>
                      <w:marBottom w:val="0"/>
                      <w:divBdr>
                        <w:top w:val="none" w:sz="0" w:space="0" w:color="auto"/>
                        <w:left w:val="none" w:sz="0" w:space="0" w:color="auto"/>
                        <w:bottom w:val="none" w:sz="0" w:space="0" w:color="auto"/>
                        <w:right w:val="none" w:sz="0" w:space="0" w:color="auto"/>
                      </w:divBdr>
                    </w:div>
                  </w:divsChild>
                </w:div>
                <w:div w:id="1395739425">
                  <w:marLeft w:val="0"/>
                  <w:marRight w:val="0"/>
                  <w:marTop w:val="0"/>
                  <w:marBottom w:val="0"/>
                  <w:divBdr>
                    <w:top w:val="none" w:sz="0" w:space="0" w:color="auto"/>
                    <w:left w:val="none" w:sz="0" w:space="0" w:color="auto"/>
                    <w:bottom w:val="none" w:sz="0" w:space="0" w:color="auto"/>
                    <w:right w:val="none" w:sz="0" w:space="0" w:color="auto"/>
                  </w:divBdr>
                  <w:divsChild>
                    <w:div w:id="23753261">
                      <w:marLeft w:val="0"/>
                      <w:marRight w:val="0"/>
                      <w:marTop w:val="0"/>
                      <w:marBottom w:val="0"/>
                      <w:divBdr>
                        <w:top w:val="none" w:sz="0" w:space="0" w:color="auto"/>
                        <w:left w:val="none" w:sz="0" w:space="0" w:color="auto"/>
                        <w:bottom w:val="none" w:sz="0" w:space="0" w:color="auto"/>
                        <w:right w:val="none" w:sz="0" w:space="0" w:color="auto"/>
                      </w:divBdr>
                    </w:div>
                  </w:divsChild>
                </w:div>
                <w:div w:id="1405565568">
                  <w:marLeft w:val="0"/>
                  <w:marRight w:val="0"/>
                  <w:marTop w:val="0"/>
                  <w:marBottom w:val="0"/>
                  <w:divBdr>
                    <w:top w:val="none" w:sz="0" w:space="0" w:color="auto"/>
                    <w:left w:val="none" w:sz="0" w:space="0" w:color="auto"/>
                    <w:bottom w:val="none" w:sz="0" w:space="0" w:color="auto"/>
                    <w:right w:val="none" w:sz="0" w:space="0" w:color="auto"/>
                  </w:divBdr>
                  <w:divsChild>
                    <w:div w:id="1858495677">
                      <w:marLeft w:val="0"/>
                      <w:marRight w:val="0"/>
                      <w:marTop w:val="0"/>
                      <w:marBottom w:val="0"/>
                      <w:divBdr>
                        <w:top w:val="none" w:sz="0" w:space="0" w:color="auto"/>
                        <w:left w:val="none" w:sz="0" w:space="0" w:color="auto"/>
                        <w:bottom w:val="none" w:sz="0" w:space="0" w:color="auto"/>
                        <w:right w:val="none" w:sz="0" w:space="0" w:color="auto"/>
                      </w:divBdr>
                    </w:div>
                  </w:divsChild>
                </w:div>
                <w:div w:id="1470512331">
                  <w:marLeft w:val="0"/>
                  <w:marRight w:val="0"/>
                  <w:marTop w:val="0"/>
                  <w:marBottom w:val="0"/>
                  <w:divBdr>
                    <w:top w:val="none" w:sz="0" w:space="0" w:color="auto"/>
                    <w:left w:val="none" w:sz="0" w:space="0" w:color="auto"/>
                    <w:bottom w:val="none" w:sz="0" w:space="0" w:color="auto"/>
                    <w:right w:val="none" w:sz="0" w:space="0" w:color="auto"/>
                  </w:divBdr>
                  <w:divsChild>
                    <w:div w:id="353966241">
                      <w:marLeft w:val="0"/>
                      <w:marRight w:val="0"/>
                      <w:marTop w:val="0"/>
                      <w:marBottom w:val="0"/>
                      <w:divBdr>
                        <w:top w:val="none" w:sz="0" w:space="0" w:color="auto"/>
                        <w:left w:val="none" w:sz="0" w:space="0" w:color="auto"/>
                        <w:bottom w:val="none" w:sz="0" w:space="0" w:color="auto"/>
                        <w:right w:val="none" w:sz="0" w:space="0" w:color="auto"/>
                      </w:divBdr>
                    </w:div>
                  </w:divsChild>
                </w:div>
                <w:div w:id="1473593812">
                  <w:marLeft w:val="0"/>
                  <w:marRight w:val="0"/>
                  <w:marTop w:val="0"/>
                  <w:marBottom w:val="0"/>
                  <w:divBdr>
                    <w:top w:val="none" w:sz="0" w:space="0" w:color="auto"/>
                    <w:left w:val="none" w:sz="0" w:space="0" w:color="auto"/>
                    <w:bottom w:val="none" w:sz="0" w:space="0" w:color="auto"/>
                    <w:right w:val="none" w:sz="0" w:space="0" w:color="auto"/>
                  </w:divBdr>
                  <w:divsChild>
                    <w:div w:id="508444091">
                      <w:marLeft w:val="0"/>
                      <w:marRight w:val="0"/>
                      <w:marTop w:val="0"/>
                      <w:marBottom w:val="0"/>
                      <w:divBdr>
                        <w:top w:val="none" w:sz="0" w:space="0" w:color="auto"/>
                        <w:left w:val="none" w:sz="0" w:space="0" w:color="auto"/>
                        <w:bottom w:val="none" w:sz="0" w:space="0" w:color="auto"/>
                        <w:right w:val="none" w:sz="0" w:space="0" w:color="auto"/>
                      </w:divBdr>
                    </w:div>
                  </w:divsChild>
                </w:div>
                <w:div w:id="1489786592">
                  <w:marLeft w:val="0"/>
                  <w:marRight w:val="0"/>
                  <w:marTop w:val="0"/>
                  <w:marBottom w:val="0"/>
                  <w:divBdr>
                    <w:top w:val="none" w:sz="0" w:space="0" w:color="auto"/>
                    <w:left w:val="none" w:sz="0" w:space="0" w:color="auto"/>
                    <w:bottom w:val="none" w:sz="0" w:space="0" w:color="auto"/>
                    <w:right w:val="none" w:sz="0" w:space="0" w:color="auto"/>
                  </w:divBdr>
                  <w:divsChild>
                    <w:div w:id="1425371306">
                      <w:marLeft w:val="0"/>
                      <w:marRight w:val="0"/>
                      <w:marTop w:val="0"/>
                      <w:marBottom w:val="0"/>
                      <w:divBdr>
                        <w:top w:val="none" w:sz="0" w:space="0" w:color="auto"/>
                        <w:left w:val="none" w:sz="0" w:space="0" w:color="auto"/>
                        <w:bottom w:val="none" w:sz="0" w:space="0" w:color="auto"/>
                        <w:right w:val="none" w:sz="0" w:space="0" w:color="auto"/>
                      </w:divBdr>
                    </w:div>
                  </w:divsChild>
                </w:div>
                <w:div w:id="1515149456">
                  <w:marLeft w:val="0"/>
                  <w:marRight w:val="0"/>
                  <w:marTop w:val="0"/>
                  <w:marBottom w:val="0"/>
                  <w:divBdr>
                    <w:top w:val="none" w:sz="0" w:space="0" w:color="auto"/>
                    <w:left w:val="none" w:sz="0" w:space="0" w:color="auto"/>
                    <w:bottom w:val="none" w:sz="0" w:space="0" w:color="auto"/>
                    <w:right w:val="none" w:sz="0" w:space="0" w:color="auto"/>
                  </w:divBdr>
                  <w:divsChild>
                    <w:div w:id="1807745700">
                      <w:marLeft w:val="0"/>
                      <w:marRight w:val="0"/>
                      <w:marTop w:val="0"/>
                      <w:marBottom w:val="0"/>
                      <w:divBdr>
                        <w:top w:val="none" w:sz="0" w:space="0" w:color="auto"/>
                        <w:left w:val="none" w:sz="0" w:space="0" w:color="auto"/>
                        <w:bottom w:val="none" w:sz="0" w:space="0" w:color="auto"/>
                        <w:right w:val="none" w:sz="0" w:space="0" w:color="auto"/>
                      </w:divBdr>
                    </w:div>
                  </w:divsChild>
                </w:div>
                <w:div w:id="1558585615">
                  <w:marLeft w:val="0"/>
                  <w:marRight w:val="0"/>
                  <w:marTop w:val="0"/>
                  <w:marBottom w:val="0"/>
                  <w:divBdr>
                    <w:top w:val="none" w:sz="0" w:space="0" w:color="auto"/>
                    <w:left w:val="none" w:sz="0" w:space="0" w:color="auto"/>
                    <w:bottom w:val="none" w:sz="0" w:space="0" w:color="auto"/>
                    <w:right w:val="none" w:sz="0" w:space="0" w:color="auto"/>
                  </w:divBdr>
                  <w:divsChild>
                    <w:div w:id="747464006">
                      <w:marLeft w:val="0"/>
                      <w:marRight w:val="0"/>
                      <w:marTop w:val="0"/>
                      <w:marBottom w:val="0"/>
                      <w:divBdr>
                        <w:top w:val="none" w:sz="0" w:space="0" w:color="auto"/>
                        <w:left w:val="none" w:sz="0" w:space="0" w:color="auto"/>
                        <w:bottom w:val="none" w:sz="0" w:space="0" w:color="auto"/>
                        <w:right w:val="none" w:sz="0" w:space="0" w:color="auto"/>
                      </w:divBdr>
                    </w:div>
                  </w:divsChild>
                </w:div>
                <w:div w:id="1619482217">
                  <w:marLeft w:val="0"/>
                  <w:marRight w:val="0"/>
                  <w:marTop w:val="0"/>
                  <w:marBottom w:val="0"/>
                  <w:divBdr>
                    <w:top w:val="none" w:sz="0" w:space="0" w:color="auto"/>
                    <w:left w:val="none" w:sz="0" w:space="0" w:color="auto"/>
                    <w:bottom w:val="none" w:sz="0" w:space="0" w:color="auto"/>
                    <w:right w:val="none" w:sz="0" w:space="0" w:color="auto"/>
                  </w:divBdr>
                  <w:divsChild>
                    <w:div w:id="1424255773">
                      <w:marLeft w:val="0"/>
                      <w:marRight w:val="0"/>
                      <w:marTop w:val="0"/>
                      <w:marBottom w:val="0"/>
                      <w:divBdr>
                        <w:top w:val="none" w:sz="0" w:space="0" w:color="auto"/>
                        <w:left w:val="none" w:sz="0" w:space="0" w:color="auto"/>
                        <w:bottom w:val="none" w:sz="0" w:space="0" w:color="auto"/>
                        <w:right w:val="none" w:sz="0" w:space="0" w:color="auto"/>
                      </w:divBdr>
                    </w:div>
                  </w:divsChild>
                </w:div>
                <w:div w:id="1628924223">
                  <w:marLeft w:val="0"/>
                  <w:marRight w:val="0"/>
                  <w:marTop w:val="0"/>
                  <w:marBottom w:val="0"/>
                  <w:divBdr>
                    <w:top w:val="none" w:sz="0" w:space="0" w:color="auto"/>
                    <w:left w:val="none" w:sz="0" w:space="0" w:color="auto"/>
                    <w:bottom w:val="none" w:sz="0" w:space="0" w:color="auto"/>
                    <w:right w:val="none" w:sz="0" w:space="0" w:color="auto"/>
                  </w:divBdr>
                  <w:divsChild>
                    <w:div w:id="1999842376">
                      <w:marLeft w:val="0"/>
                      <w:marRight w:val="0"/>
                      <w:marTop w:val="0"/>
                      <w:marBottom w:val="0"/>
                      <w:divBdr>
                        <w:top w:val="none" w:sz="0" w:space="0" w:color="auto"/>
                        <w:left w:val="none" w:sz="0" w:space="0" w:color="auto"/>
                        <w:bottom w:val="none" w:sz="0" w:space="0" w:color="auto"/>
                        <w:right w:val="none" w:sz="0" w:space="0" w:color="auto"/>
                      </w:divBdr>
                    </w:div>
                  </w:divsChild>
                </w:div>
                <w:div w:id="1688630787">
                  <w:marLeft w:val="0"/>
                  <w:marRight w:val="0"/>
                  <w:marTop w:val="0"/>
                  <w:marBottom w:val="0"/>
                  <w:divBdr>
                    <w:top w:val="none" w:sz="0" w:space="0" w:color="auto"/>
                    <w:left w:val="none" w:sz="0" w:space="0" w:color="auto"/>
                    <w:bottom w:val="none" w:sz="0" w:space="0" w:color="auto"/>
                    <w:right w:val="none" w:sz="0" w:space="0" w:color="auto"/>
                  </w:divBdr>
                  <w:divsChild>
                    <w:div w:id="727189394">
                      <w:marLeft w:val="0"/>
                      <w:marRight w:val="0"/>
                      <w:marTop w:val="0"/>
                      <w:marBottom w:val="0"/>
                      <w:divBdr>
                        <w:top w:val="none" w:sz="0" w:space="0" w:color="auto"/>
                        <w:left w:val="none" w:sz="0" w:space="0" w:color="auto"/>
                        <w:bottom w:val="none" w:sz="0" w:space="0" w:color="auto"/>
                        <w:right w:val="none" w:sz="0" w:space="0" w:color="auto"/>
                      </w:divBdr>
                    </w:div>
                  </w:divsChild>
                </w:div>
                <w:div w:id="1705712531">
                  <w:marLeft w:val="0"/>
                  <w:marRight w:val="0"/>
                  <w:marTop w:val="0"/>
                  <w:marBottom w:val="0"/>
                  <w:divBdr>
                    <w:top w:val="none" w:sz="0" w:space="0" w:color="auto"/>
                    <w:left w:val="none" w:sz="0" w:space="0" w:color="auto"/>
                    <w:bottom w:val="none" w:sz="0" w:space="0" w:color="auto"/>
                    <w:right w:val="none" w:sz="0" w:space="0" w:color="auto"/>
                  </w:divBdr>
                  <w:divsChild>
                    <w:div w:id="1017775480">
                      <w:marLeft w:val="0"/>
                      <w:marRight w:val="0"/>
                      <w:marTop w:val="0"/>
                      <w:marBottom w:val="0"/>
                      <w:divBdr>
                        <w:top w:val="none" w:sz="0" w:space="0" w:color="auto"/>
                        <w:left w:val="none" w:sz="0" w:space="0" w:color="auto"/>
                        <w:bottom w:val="none" w:sz="0" w:space="0" w:color="auto"/>
                        <w:right w:val="none" w:sz="0" w:space="0" w:color="auto"/>
                      </w:divBdr>
                    </w:div>
                  </w:divsChild>
                </w:div>
                <w:div w:id="1716392584">
                  <w:marLeft w:val="0"/>
                  <w:marRight w:val="0"/>
                  <w:marTop w:val="0"/>
                  <w:marBottom w:val="0"/>
                  <w:divBdr>
                    <w:top w:val="none" w:sz="0" w:space="0" w:color="auto"/>
                    <w:left w:val="none" w:sz="0" w:space="0" w:color="auto"/>
                    <w:bottom w:val="none" w:sz="0" w:space="0" w:color="auto"/>
                    <w:right w:val="none" w:sz="0" w:space="0" w:color="auto"/>
                  </w:divBdr>
                  <w:divsChild>
                    <w:div w:id="993947765">
                      <w:marLeft w:val="0"/>
                      <w:marRight w:val="0"/>
                      <w:marTop w:val="0"/>
                      <w:marBottom w:val="0"/>
                      <w:divBdr>
                        <w:top w:val="none" w:sz="0" w:space="0" w:color="auto"/>
                        <w:left w:val="none" w:sz="0" w:space="0" w:color="auto"/>
                        <w:bottom w:val="none" w:sz="0" w:space="0" w:color="auto"/>
                        <w:right w:val="none" w:sz="0" w:space="0" w:color="auto"/>
                      </w:divBdr>
                    </w:div>
                  </w:divsChild>
                </w:div>
                <w:div w:id="1794592325">
                  <w:marLeft w:val="0"/>
                  <w:marRight w:val="0"/>
                  <w:marTop w:val="0"/>
                  <w:marBottom w:val="0"/>
                  <w:divBdr>
                    <w:top w:val="none" w:sz="0" w:space="0" w:color="auto"/>
                    <w:left w:val="none" w:sz="0" w:space="0" w:color="auto"/>
                    <w:bottom w:val="none" w:sz="0" w:space="0" w:color="auto"/>
                    <w:right w:val="none" w:sz="0" w:space="0" w:color="auto"/>
                  </w:divBdr>
                  <w:divsChild>
                    <w:div w:id="98842747">
                      <w:marLeft w:val="0"/>
                      <w:marRight w:val="0"/>
                      <w:marTop w:val="0"/>
                      <w:marBottom w:val="0"/>
                      <w:divBdr>
                        <w:top w:val="none" w:sz="0" w:space="0" w:color="auto"/>
                        <w:left w:val="none" w:sz="0" w:space="0" w:color="auto"/>
                        <w:bottom w:val="none" w:sz="0" w:space="0" w:color="auto"/>
                        <w:right w:val="none" w:sz="0" w:space="0" w:color="auto"/>
                      </w:divBdr>
                    </w:div>
                  </w:divsChild>
                </w:div>
                <w:div w:id="1825275481">
                  <w:marLeft w:val="0"/>
                  <w:marRight w:val="0"/>
                  <w:marTop w:val="0"/>
                  <w:marBottom w:val="0"/>
                  <w:divBdr>
                    <w:top w:val="none" w:sz="0" w:space="0" w:color="auto"/>
                    <w:left w:val="none" w:sz="0" w:space="0" w:color="auto"/>
                    <w:bottom w:val="none" w:sz="0" w:space="0" w:color="auto"/>
                    <w:right w:val="none" w:sz="0" w:space="0" w:color="auto"/>
                  </w:divBdr>
                  <w:divsChild>
                    <w:div w:id="32390875">
                      <w:marLeft w:val="0"/>
                      <w:marRight w:val="0"/>
                      <w:marTop w:val="0"/>
                      <w:marBottom w:val="0"/>
                      <w:divBdr>
                        <w:top w:val="none" w:sz="0" w:space="0" w:color="auto"/>
                        <w:left w:val="none" w:sz="0" w:space="0" w:color="auto"/>
                        <w:bottom w:val="none" w:sz="0" w:space="0" w:color="auto"/>
                        <w:right w:val="none" w:sz="0" w:space="0" w:color="auto"/>
                      </w:divBdr>
                    </w:div>
                  </w:divsChild>
                </w:div>
                <w:div w:id="1876040207">
                  <w:marLeft w:val="0"/>
                  <w:marRight w:val="0"/>
                  <w:marTop w:val="0"/>
                  <w:marBottom w:val="0"/>
                  <w:divBdr>
                    <w:top w:val="none" w:sz="0" w:space="0" w:color="auto"/>
                    <w:left w:val="none" w:sz="0" w:space="0" w:color="auto"/>
                    <w:bottom w:val="none" w:sz="0" w:space="0" w:color="auto"/>
                    <w:right w:val="none" w:sz="0" w:space="0" w:color="auto"/>
                  </w:divBdr>
                  <w:divsChild>
                    <w:div w:id="1147240159">
                      <w:marLeft w:val="0"/>
                      <w:marRight w:val="0"/>
                      <w:marTop w:val="0"/>
                      <w:marBottom w:val="0"/>
                      <w:divBdr>
                        <w:top w:val="none" w:sz="0" w:space="0" w:color="auto"/>
                        <w:left w:val="none" w:sz="0" w:space="0" w:color="auto"/>
                        <w:bottom w:val="none" w:sz="0" w:space="0" w:color="auto"/>
                        <w:right w:val="none" w:sz="0" w:space="0" w:color="auto"/>
                      </w:divBdr>
                    </w:div>
                  </w:divsChild>
                </w:div>
                <w:div w:id="1963882302">
                  <w:marLeft w:val="0"/>
                  <w:marRight w:val="0"/>
                  <w:marTop w:val="0"/>
                  <w:marBottom w:val="0"/>
                  <w:divBdr>
                    <w:top w:val="none" w:sz="0" w:space="0" w:color="auto"/>
                    <w:left w:val="none" w:sz="0" w:space="0" w:color="auto"/>
                    <w:bottom w:val="none" w:sz="0" w:space="0" w:color="auto"/>
                    <w:right w:val="none" w:sz="0" w:space="0" w:color="auto"/>
                  </w:divBdr>
                  <w:divsChild>
                    <w:div w:id="1322194051">
                      <w:marLeft w:val="0"/>
                      <w:marRight w:val="0"/>
                      <w:marTop w:val="0"/>
                      <w:marBottom w:val="0"/>
                      <w:divBdr>
                        <w:top w:val="none" w:sz="0" w:space="0" w:color="auto"/>
                        <w:left w:val="none" w:sz="0" w:space="0" w:color="auto"/>
                        <w:bottom w:val="none" w:sz="0" w:space="0" w:color="auto"/>
                        <w:right w:val="none" w:sz="0" w:space="0" w:color="auto"/>
                      </w:divBdr>
                    </w:div>
                  </w:divsChild>
                </w:div>
                <w:div w:id="1970164536">
                  <w:marLeft w:val="0"/>
                  <w:marRight w:val="0"/>
                  <w:marTop w:val="0"/>
                  <w:marBottom w:val="0"/>
                  <w:divBdr>
                    <w:top w:val="none" w:sz="0" w:space="0" w:color="auto"/>
                    <w:left w:val="none" w:sz="0" w:space="0" w:color="auto"/>
                    <w:bottom w:val="none" w:sz="0" w:space="0" w:color="auto"/>
                    <w:right w:val="none" w:sz="0" w:space="0" w:color="auto"/>
                  </w:divBdr>
                  <w:divsChild>
                    <w:div w:id="1555577339">
                      <w:marLeft w:val="0"/>
                      <w:marRight w:val="0"/>
                      <w:marTop w:val="0"/>
                      <w:marBottom w:val="0"/>
                      <w:divBdr>
                        <w:top w:val="none" w:sz="0" w:space="0" w:color="auto"/>
                        <w:left w:val="none" w:sz="0" w:space="0" w:color="auto"/>
                        <w:bottom w:val="none" w:sz="0" w:space="0" w:color="auto"/>
                        <w:right w:val="none" w:sz="0" w:space="0" w:color="auto"/>
                      </w:divBdr>
                    </w:div>
                  </w:divsChild>
                </w:div>
                <w:div w:id="1971276178">
                  <w:marLeft w:val="0"/>
                  <w:marRight w:val="0"/>
                  <w:marTop w:val="0"/>
                  <w:marBottom w:val="0"/>
                  <w:divBdr>
                    <w:top w:val="none" w:sz="0" w:space="0" w:color="auto"/>
                    <w:left w:val="none" w:sz="0" w:space="0" w:color="auto"/>
                    <w:bottom w:val="none" w:sz="0" w:space="0" w:color="auto"/>
                    <w:right w:val="none" w:sz="0" w:space="0" w:color="auto"/>
                  </w:divBdr>
                  <w:divsChild>
                    <w:div w:id="1963532917">
                      <w:marLeft w:val="0"/>
                      <w:marRight w:val="0"/>
                      <w:marTop w:val="0"/>
                      <w:marBottom w:val="0"/>
                      <w:divBdr>
                        <w:top w:val="none" w:sz="0" w:space="0" w:color="auto"/>
                        <w:left w:val="none" w:sz="0" w:space="0" w:color="auto"/>
                        <w:bottom w:val="none" w:sz="0" w:space="0" w:color="auto"/>
                        <w:right w:val="none" w:sz="0" w:space="0" w:color="auto"/>
                      </w:divBdr>
                    </w:div>
                  </w:divsChild>
                </w:div>
                <w:div w:id="2090499735">
                  <w:marLeft w:val="0"/>
                  <w:marRight w:val="0"/>
                  <w:marTop w:val="0"/>
                  <w:marBottom w:val="0"/>
                  <w:divBdr>
                    <w:top w:val="none" w:sz="0" w:space="0" w:color="auto"/>
                    <w:left w:val="none" w:sz="0" w:space="0" w:color="auto"/>
                    <w:bottom w:val="none" w:sz="0" w:space="0" w:color="auto"/>
                    <w:right w:val="none" w:sz="0" w:space="0" w:color="auto"/>
                  </w:divBdr>
                  <w:divsChild>
                    <w:div w:id="1555697274">
                      <w:marLeft w:val="0"/>
                      <w:marRight w:val="0"/>
                      <w:marTop w:val="0"/>
                      <w:marBottom w:val="0"/>
                      <w:divBdr>
                        <w:top w:val="none" w:sz="0" w:space="0" w:color="auto"/>
                        <w:left w:val="none" w:sz="0" w:space="0" w:color="auto"/>
                        <w:bottom w:val="none" w:sz="0" w:space="0" w:color="auto"/>
                        <w:right w:val="none" w:sz="0" w:space="0" w:color="auto"/>
                      </w:divBdr>
                    </w:div>
                  </w:divsChild>
                </w:div>
                <w:div w:id="2091659204">
                  <w:marLeft w:val="0"/>
                  <w:marRight w:val="0"/>
                  <w:marTop w:val="0"/>
                  <w:marBottom w:val="0"/>
                  <w:divBdr>
                    <w:top w:val="none" w:sz="0" w:space="0" w:color="auto"/>
                    <w:left w:val="none" w:sz="0" w:space="0" w:color="auto"/>
                    <w:bottom w:val="none" w:sz="0" w:space="0" w:color="auto"/>
                    <w:right w:val="none" w:sz="0" w:space="0" w:color="auto"/>
                  </w:divBdr>
                  <w:divsChild>
                    <w:div w:id="1851674716">
                      <w:marLeft w:val="0"/>
                      <w:marRight w:val="0"/>
                      <w:marTop w:val="0"/>
                      <w:marBottom w:val="0"/>
                      <w:divBdr>
                        <w:top w:val="none" w:sz="0" w:space="0" w:color="auto"/>
                        <w:left w:val="none" w:sz="0" w:space="0" w:color="auto"/>
                        <w:bottom w:val="none" w:sz="0" w:space="0" w:color="auto"/>
                        <w:right w:val="none" w:sz="0" w:space="0" w:color="auto"/>
                      </w:divBdr>
                    </w:div>
                  </w:divsChild>
                </w:div>
                <w:div w:id="2142576199">
                  <w:marLeft w:val="0"/>
                  <w:marRight w:val="0"/>
                  <w:marTop w:val="0"/>
                  <w:marBottom w:val="0"/>
                  <w:divBdr>
                    <w:top w:val="none" w:sz="0" w:space="0" w:color="auto"/>
                    <w:left w:val="none" w:sz="0" w:space="0" w:color="auto"/>
                    <w:bottom w:val="none" w:sz="0" w:space="0" w:color="auto"/>
                    <w:right w:val="none" w:sz="0" w:space="0" w:color="auto"/>
                  </w:divBdr>
                  <w:divsChild>
                    <w:div w:id="143435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024249">
          <w:marLeft w:val="0"/>
          <w:marRight w:val="0"/>
          <w:marTop w:val="0"/>
          <w:marBottom w:val="0"/>
          <w:divBdr>
            <w:top w:val="none" w:sz="0" w:space="0" w:color="auto"/>
            <w:left w:val="none" w:sz="0" w:space="0" w:color="auto"/>
            <w:bottom w:val="none" w:sz="0" w:space="0" w:color="auto"/>
            <w:right w:val="none" w:sz="0" w:space="0" w:color="auto"/>
          </w:divBdr>
        </w:div>
        <w:div w:id="1434931436">
          <w:marLeft w:val="0"/>
          <w:marRight w:val="0"/>
          <w:marTop w:val="0"/>
          <w:marBottom w:val="0"/>
          <w:divBdr>
            <w:top w:val="none" w:sz="0" w:space="0" w:color="auto"/>
            <w:left w:val="none" w:sz="0" w:space="0" w:color="auto"/>
            <w:bottom w:val="none" w:sz="0" w:space="0" w:color="auto"/>
            <w:right w:val="none" w:sz="0" w:space="0" w:color="auto"/>
          </w:divBdr>
        </w:div>
        <w:div w:id="1891334059">
          <w:marLeft w:val="0"/>
          <w:marRight w:val="0"/>
          <w:marTop w:val="0"/>
          <w:marBottom w:val="0"/>
          <w:divBdr>
            <w:top w:val="none" w:sz="0" w:space="0" w:color="auto"/>
            <w:left w:val="none" w:sz="0" w:space="0" w:color="auto"/>
            <w:bottom w:val="none" w:sz="0" w:space="0" w:color="auto"/>
            <w:right w:val="none" w:sz="0" w:space="0" w:color="auto"/>
          </w:divBdr>
        </w:div>
      </w:divsChild>
    </w:div>
    <w:div w:id="1960605203">
      <w:bodyDiv w:val="1"/>
      <w:marLeft w:val="0"/>
      <w:marRight w:val="0"/>
      <w:marTop w:val="0"/>
      <w:marBottom w:val="0"/>
      <w:divBdr>
        <w:top w:val="none" w:sz="0" w:space="0" w:color="auto"/>
        <w:left w:val="none" w:sz="0" w:space="0" w:color="auto"/>
        <w:bottom w:val="none" w:sz="0" w:space="0" w:color="auto"/>
        <w:right w:val="none" w:sz="0" w:space="0" w:color="auto"/>
      </w:divBdr>
    </w:div>
    <w:div w:id="1965579982">
      <w:bodyDiv w:val="1"/>
      <w:marLeft w:val="0"/>
      <w:marRight w:val="0"/>
      <w:marTop w:val="0"/>
      <w:marBottom w:val="0"/>
      <w:divBdr>
        <w:top w:val="none" w:sz="0" w:space="0" w:color="auto"/>
        <w:left w:val="none" w:sz="0" w:space="0" w:color="auto"/>
        <w:bottom w:val="none" w:sz="0" w:space="0" w:color="auto"/>
        <w:right w:val="none" w:sz="0" w:space="0" w:color="auto"/>
      </w:divBdr>
    </w:div>
    <w:div w:id="1968194106">
      <w:bodyDiv w:val="1"/>
      <w:marLeft w:val="0"/>
      <w:marRight w:val="0"/>
      <w:marTop w:val="0"/>
      <w:marBottom w:val="0"/>
      <w:divBdr>
        <w:top w:val="none" w:sz="0" w:space="0" w:color="auto"/>
        <w:left w:val="none" w:sz="0" w:space="0" w:color="auto"/>
        <w:bottom w:val="none" w:sz="0" w:space="0" w:color="auto"/>
        <w:right w:val="none" w:sz="0" w:space="0" w:color="auto"/>
      </w:divBdr>
    </w:div>
    <w:div w:id="1986230310">
      <w:bodyDiv w:val="1"/>
      <w:marLeft w:val="0"/>
      <w:marRight w:val="0"/>
      <w:marTop w:val="0"/>
      <w:marBottom w:val="0"/>
      <w:divBdr>
        <w:top w:val="none" w:sz="0" w:space="0" w:color="auto"/>
        <w:left w:val="none" w:sz="0" w:space="0" w:color="auto"/>
        <w:bottom w:val="none" w:sz="0" w:space="0" w:color="auto"/>
        <w:right w:val="none" w:sz="0" w:space="0" w:color="auto"/>
      </w:divBdr>
    </w:div>
    <w:div w:id="1988900133">
      <w:bodyDiv w:val="1"/>
      <w:marLeft w:val="0"/>
      <w:marRight w:val="0"/>
      <w:marTop w:val="0"/>
      <w:marBottom w:val="0"/>
      <w:divBdr>
        <w:top w:val="none" w:sz="0" w:space="0" w:color="auto"/>
        <w:left w:val="none" w:sz="0" w:space="0" w:color="auto"/>
        <w:bottom w:val="none" w:sz="0" w:space="0" w:color="auto"/>
        <w:right w:val="none" w:sz="0" w:space="0" w:color="auto"/>
      </w:divBdr>
      <w:divsChild>
        <w:div w:id="179858606">
          <w:marLeft w:val="0"/>
          <w:marRight w:val="0"/>
          <w:marTop w:val="0"/>
          <w:marBottom w:val="0"/>
          <w:divBdr>
            <w:top w:val="none" w:sz="0" w:space="0" w:color="auto"/>
            <w:left w:val="none" w:sz="0" w:space="0" w:color="auto"/>
            <w:bottom w:val="none" w:sz="0" w:space="0" w:color="auto"/>
            <w:right w:val="none" w:sz="0" w:space="0" w:color="auto"/>
          </w:divBdr>
          <w:divsChild>
            <w:div w:id="1650286869">
              <w:marLeft w:val="0"/>
              <w:marRight w:val="0"/>
              <w:marTop w:val="0"/>
              <w:marBottom w:val="0"/>
              <w:divBdr>
                <w:top w:val="none" w:sz="0" w:space="0" w:color="auto"/>
                <w:left w:val="none" w:sz="0" w:space="0" w:color="auto"/>
                <w:bottom w:val="none" w:sz="0" w:space="0" w:color="auto"/>
                <w:right w:val="none" w:sz="0" w:space="0" w:color="auto"/>
              </w:divBdr>
              <w:divsChild>
                <w:div w:id="1241212597">
                  <w:marLeft w:val="0"/>
                  <w:marRight w:val="0"/>
                  <w:marTop w:val="0"/>
                  <w:marBottom w:val="0"/>
                  <w:divBdr>
                    <w:top w:val="none" w:sz="0" w:space="0" w:color="auto"/>
                    <w:left w:val="none" w:sz="0" w:space="0" w:color="auto"/>
                    <w:bottom w:val="none" w:sz="0" w:space="0" w:color="auto"/>
                    <w:right w:val="none" w:sz="0" w:space="0" w:color="auto"/>
                  </w:divBdr>
                  <w:divsChild>
                    <w:div w:id="299044503">
                      <w:marLeft w:val="0"/>
                      <w:marRight w:val="0"/>
                      <w:marTop w:val="0"/>
                      <w:marBottom w:val="0"/>
                      <w:divBdr>
                        <w:top w:val="none" w:sz="0" w:space="0" w:color="auto"/>
                        <w:left w:val="none" w:sz="0" w:space="0" w:color="auto"/>
                        <w:bottom w:val="none" w:sz="0" w:space="0" w:color="auto"/>
                        <w:right w:val="none" w:sz="0" w:space="0" w:color="auto"/>
                      </w:divBdr>
                      <w:divsChild>
                        <w:div w:id="202139392">
                          <w:marLeft w:val="0"/>
                          <w:marRight w:val="0"/>
                          <w:marTop w:val="0"/>
                          <w:marBottom w:val="0"/>
                          <w:divBdr>
                            <w:top w:val="none" w:sz="0" w:space="0" w:color="auto"/>
                            <w:left w:val="none" w:sz="0" w:space="0" w:color="auto"/>
                            <w:bottom w:val="none" w:sz="0" w:space="0" w:color="auto"/>
                            <w:right w:val="none" w:sz="0" w:space="0" w:color="auto"/>
                          </w:divBdr>
                          <w:divsChild>
                            <w:div w:id="175069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931190">
      <w:bodyDiv w:val="1"/>
      <w:marLeft w:val="0"/>
      <w:marRight w:val="0"/>
      <w:marTop w:val="0"/>
      <w:marBottom w:val="0"/>
      <w:divBdr>
        <w:top w:val="none" w:sz="0" w:space="0" w:color="auto"/>
        <w:left w:val="none" w:sz="0" w:space="0" w:color="auto"/>
        <w:bottom w:val="none" w:sz="0" w:space="0" w:color="auto"/>
        <w:right w:val="none" w:sz="0" w:space="0" w:color="auto"/>
      </w:divBdr>
    </w:div>
    <w:div w:id="2003460662">
      <w:bodyDiv w:val="1"/>
      <w:marLeft w:val="0"/>
      <w:marRight w:val="0"/>
      <w:marTop w:val="0"/>
      <w:marBottom w:val="0"/>
      <w:divBdr>
        <w:top w:val="none" w:sz="0" w:space="0" w:color="auto"/>
        <w:left w:val="none" w:sz="0" w:space="0" w:color="auto"/>
        <w:bottom w:val="none" w:sz="0" w:space="0" w:color="auto"/>
        <w:right w:val="none" w:sz="0" w:space="0" w:color="auto"/>
      </w:divBdr>
    </w:div>
    <w:div w:id="2015377072">
      <w:bodyDiv w:val="1"/>
      <w:marLeft w:val="0"/>
      <w:marRight w:val="0"/>
      <w:marTop w:val="0"/>
      <w:marBottom w:val="0"/>
      <w:divBdr>
        <w:top w:val="none" w:sz="0" w:space="0" w:color="auto"/>
        <w:left w:val="none" w:sz="0" w:space="0" w:color="auto"/>
        <w:bottom w:val="none" w:sz="0" w:space="0" w:color="auto"/>
        <w:right w:val="none" w:sz="0" w:space="0" w:color="auto"/>
      </w:divBdr>
    </w:div>
    <w:div w:id="2020962968">
      <w:bodyDiv w:val="1"/>
      <w:marLeft w:val="0"/>
      <w:marRight w:val="0"/>
      <w:marTop w:val="0"/>
      <w:marBottom w:val="0"/>
      <w:divBdr>
        <w:top w:val="none" w:sz="0" w:space="0" w:color="auto"/>
        <w:left w:val="none" w:sz="0" w:space="0" w:color="auto"/>
        <w:bottom w:val="none" w:sz="0" w:space="0" w:color="auto"/>
        <w:right w:val="none" w:sz="0" w:space="0" w:color="auto"/>
      </w:divBdr>
    </w:div>
    <w:div w:id="2023435727">
      <w:bodyDiv w:val="1"/>
      <w:marLeft w:val="0"/>
      <w:marRight w:val="0"/>
      <w:marTop w:val="0"/>
      <w:marBottom w:val="0"/>
      <w:divBdr>
        <w:top w:val="none" w:sz="0" w:space="0" w:color="auto"/>
        <w:left w:val="none" w:sz="0" w:space="0" w:color="auto"/>
        <w:bottom w:val="none" w:sz="0" w:space="0" w:color="auto"/>
        <w:right w:val="none" w:sz="0" w:space="0" w:color="auto"/>
      </w:divBdr>
    </w:div>
    <w:div w:id="2024166649">
      <w:bodyDiv w:val="1"/>
      <w:marLeft w:val="0"/>
      <w:marRight w:val="0"/>
      <w:marTop w:val="0"/>
      <w:marBottom w:val="0"/>
      <w:divBdr>
        <w:top w:val="none" w:sz="0" w:space="0" w:color="auto"/>
        <w:left w:val="none" w:sz="0" w:space="0" w:color="auto"/>
        <w:bottom w:val="none" w:sz="0" w:space="0" w:color="auto"/>
        <w:right w:val="none" w:sz="0" w:space="0" w:color="auto"/>
      </w:divBdr>
    </w:div>
    <w:div w:id="2029284008">
      <w:bodyDiv w:val="1"/>
      <w:marLeft w:val="0"/>
      <w:marRight w:val="0"/>
      <w:marTop w:val="0"/>
      <w:marBottom w:val="0"/>
      <w:divBdr>
        <w:top w:val="none" w:sz="0" w:space="0" w:color="auto"/>
        <w:left w:val="none" w:sz="0" w:space="0" w:color="auto"/>
        <w:bottom w:val="none" w:sz="0" w:space="0" w:color="auto"/>
        <w:right w:val="none" w:sz="0" w:space="0" w:color="auto"/>
      </w:divBdr>
    </w:div>
    <w:div w:id="2031639534">
      <w:bodyDiv w:val="1"/>
      <w:marLeft w:val="0"/>
      <w:marRight w:val="0"/>
      <w:marTop w:val="0"/>
      <w:marBottom w:val="0"/>
      <w:divBdr>
        <w:top w:val="none" w:sz="0" w:space="0" w:color="auto"/>
        <w:left w:val="none" w:sz="0" w:space="0" w:color="auto"/>
        <w:bottom w:val="none" w:sz="0" w:space="0" w:color="auto"/>
        <w:right w:val="none" w:sz="0" w:space="0" w:color="auto"/>
      </w:divBdr>
    </w:div>
    <w:div w:id="2047292546">
      <w:bodyDiv w:val="1"/>
      <w:marLeft w:val="0"/>
      <w:marRight w:val="0"/>
      <w:marTop w:val="0"/>
      <w:marBottom w:val="0"/>
      <w:divBdr>
        <w:top w:val="none" w:sz="0" w:space="0" w:color="auto"/>
        <w:left w:val="none" w:sz="0" w:space="0" w:color="auto"/>
        <w:bottom w:val="none" w:sz="0" w:space="0" w:color="auto"/>
        <w:right w:val="none" w:sz="0" w:space="0" w:color="auto"/>
      </w:divBdr>
    </w:div>
    <w:div w:id="2050295889">
      <w:bodyDiv w:val="1"/>
      <w:marLeft w:val="0"/>
      <w:marRight w:val="0"/>
      <w:marTop w:val="0"/>
      <w:marBottom w:val="0"/>
      <w:divBdr>
        <w:top w:val="none" w:sz="0" w:space="0" w:color="auto"/>
        <w:left w:val="none" w:sz="0" w:space="0" w:color="auto"/>
        <w:bottom w:val="none" w:sz="0" w:space="0" w:color="auto"/>
        <w:right w:val="none" w:sz="0" w:space="0" w:color="auto"/>
      </w:divBdr>
    </w:div>
    <w:div w:id="2050564625">
      <w:bodyDiv w:val="1"/>
      <w:marLeft w:val="0"/>
      <w:marRight w:val="0"/>
      <w:marTop w:val="0"/>
      <w:marBottom w:val="0"/>
      <w:divBdr>
        <w:top w:val="none" w:sz="0" w:space="0" w:color="auto"/>
        <w:left w:val="none" w:sz="0" w:space="0" w:color="auto"/>
        <w:bottom w:val="none" w:sz="0" w:space="0" w:color="auto"/>
        <w:right w:val="none" w:sz="0" w:space="0" w:color="auto"/>
      </w:divBdr>
    </w:div>
    <w:div w:id="2051152114">
      <w:bodyDiv w:val="1"/>
      <w:marLeft w:val="0"/>
      <w:marRight w:val="0"/>
      <w:marTop w:val="0"/>
      <w:marBottom w:val="0"/>
      <w:divBdr>
        <w:top w:val="none" w:sz="0" w:space="0" w:color="auto"/>
        <w:left w:val="none" w:sz="0" w:space="0" w:color="auto"/>
        <w:bottom w:val="none" w:sz="0" w:space="0" w:color="auto"/>
        <w:right w:val="none" w:sz="0" w:space="0" w:color="auto"/>
      </w:divBdr>
    </w:div>
    <w:div w:id="2054694603">
      <w:bodyDiv w:val="1"/>
      <w:marLeft w:val="0"/>
      <w:marRight w:val="0"/>
      <w:marTop w:val="0"/>
      <w:marBottom w:val="0"/>
      <w:divBdr>
        <w:top w:val="none" w:sz="0" w:space="0" w:color="auto"/>
        <w:left w:val="none" w:sz="0" w:space="0" w:color="auto"/>
        <w:bottom w:val="none" w:sz="0" w:space="0" w:color="auto"/>
        <w:right w:val="none" w:sz="0" w:space="0" w:color="auto"/>
      </w:divBdr>
    </w:div>
    <w:div w:id="2056194707">
      <w:bodyDiv w:val="1"/>
      <w:marLeft w:val="0"/>
      <w:marRight w:val="0"/>
      <w:marTop w:val="0"/>
      <w:marBottom w:val="0"/>
      <w:divBdr>
        <w:top w:val="none" w:sz="0" w:space="0" w:color="auto"/>
        <w:left w:val="none" w:sz="0" w:space="0" w:color="auto"/>
        <w:bottom w:val="none" w:sz="0" w:space="0" w:color="auto"/>
        <w:right w:val="none" w:sz="0" w:space="0" w:color="auto"/>
      </w:divBdr>
    </w:div>
    <w:div w:id="2057926493">
      <w:bodyDiv w:val="1"/>
      <w:marLeft w:val="0"/>
      <w:marRight w:val="0"/>
      <w:marTop w:val="0"/>
      <w:marBottom w:val="0"/>
      <w:divBdr>
        <w:top w:val="none" w:sz="0" w:space="0" w:color="auto"/>
        <w:left w:val="none" w:sz="0" w:space="0" w:color="auto"/>
        <w:bottom w:val="none" w:sz="0" w:space="0" w:color="auto"/>
        <w:right w:val="none" w:sz="0" w:space="0" w:color="auto"/>
      </w:divBdr>
    </w:div>
    <w:div w:id="2067755492">
      <w:bodyDiv w:val="1"/>
      <w:marLeft w:val="0"/>
      <w:marRight w:val="0"/>
      <w:marTop w:val="0"/>
      <w:marBottom w:val="0"/>
      <w:divBdr>
        <w:top w:val="none" w:sz="0" w:space="0" w:color="auto"/>
        <w:left w:val="none" w:sz="0" w:space="0" w:color="auto"/>
        <w:bottom w:val="none" w:sz="0" w:space="0" w:color="auto"/>
        <w:right w:val="none" w:sz="0" w:space="0" w:color="auto"/>
      </w:divBdr>
      <w:divsChild>
        <w:div w:id="6179659">
          <w:marLeft w:val="0"/>
          <w:marRight w:val="0"/>
          <w:marTop w:val="0"/>
          <w:marBottom w:val="0"/>
          <w:divBdr>
            <w:top w:val="none" w:sz="0" w:space="0" w:color="auto"/>
            <w:left w:val="none" w:sz="0" w:space="0" w:color="auto"/>
            <w:bottom w:val="none" w:sz="0" w:space="0" w:color="auto"/>
            <w:right w:val="none" w:sz="0" w:space="0" w:color="auto"/>
          </w:divBdr>
        </w:div>
        <w:div w:id="103620316">
          <w:marLeft w:val="0"/>
          <w:marRight w:val="0"/>
          <w:marTop w:val="0"/>
          <w:marBottom w:val="0"/>
          <w:divBdr>
            <w:top w:val="none" w:sz="0" w:space="0" w:color="auto"/>
            <w:left w:val="none" w:sz="0" w:space="0" w:color="auto"/>
            <w:bottom w:val="none" w:sz="0" w:space="0" w:color="auto"/>
            <w:right w:val="none" w:sz="0" w:space="0" w:color="auto"/>
          </w:divBdr>
        </w:div>
        <w:div w:id="167141963">
          <w:marLeft w:val="0"/>
          <w:marRight w:val="0"/>
          <w:marTop w:val="0"/>
          <w:marBottom w:val="0"/>
          <w:divBdr>
            <w:top w:val="none" w:sz="0" w:space="0" w:color="auto"/>
            <w:left w:val="none" w:sz="0" w:space="0" w:color="auto"/>
            <w:bottom w:val="none" w:sz="0" w:space="0" w:color="auto"/>
            <w:right w:val="none" w:sz="0" w:space="0" w:color="auto"/>
          </w:divBdr>
        </w:div>
        <w:div w:id="241527313">
          <w:marLeft w:val="0"/>
          <w:marRight w:val="0"/>
          <w:marTop w:val="0"/>
          <w:marBottom w:val="0"/>
          <w:divBdr>
            <w:top w:val="none" w:sz="0" w:space="0" w:color="auto"/>
            <w:left w:val="none" w:sz="0" w:space="0" w:color="auto"/>
            <w:bottom w:val="none" w:sz="0" w:space="0" w:color="auto"/>
            <w:right w:val="none" w:sz="0" w:space="0" w:color="auto"/>
          </w:divBdr>
        </w:div>
        <w:div w:id="434597492">
          <w:marLeft w:val="0"/>
          <w:marRight w:val="0"/>
          <w:marTop w:val="0"/>
          <w:marBottom w:val="0"/>
          <w:divBdr>
            <w:top w:val="none" w:sz="0" w:space="0" w:color="auto"/>
            <w:left w:val="none" w:sz="0" w:space="0" w:color="auto"/>
            <w:bottom w:val="none" w:sz="0" w:space="0" w:color="auto"/>
            <w:right w:val="none" w:sz="0" w:space="0" w:color="auto"/>
          </w:divBdr>
        </w:div>
        <w:div w:id="938367229">
          <w:marLeft w:val="0"/>
          <w:marRight w:val="0"/>
          <w:marTop w:val="0"/>
          <w:marBottom w:val="0"/>
          <w:divBdr>
            <w:top w:val="none" w:sz="0" w:space="0" w:color="auto"/>
            <w:left w:val="none" w:sz="0" w:space="0" w:color="auto"/>
            <w:bottom w:val="none" w:sz="0" w:space="0" w:color="auto"/>
            <w:right w:val="none" w:sz="0" w:space="0" w:color="auto"/>
          </w:divBdr>
        </w:div>
        <w:div w:id="1038971705">
          <w:marLeft w:val="0"/>
          <w:marRight w:val="0"/>
          <w:marTop w:val="0"/>
          <w:marBottom w:val="0"/>
          <w:divBdr>
            <w:top w:val="none" w:sz="0" w:space="0" w:color="auto"/>
            <w:left w:val="none" w:sz="0" w:space="0" w:color="auto"/>
            <w:bottom w:val="none" w:sz="0" w:space="0" w:color="auto"/>
            <w:right w:val="none" w:sz="0" w:space="0" w:color="auto"/>
          </w:divBdr>
        </w:div>
        <w:div w:id="1057509502">
          <w:marLeft w:val="0"/>
          <w:marRight w:val="0"/>
          <w:marTop w:val="0"/>
          <w:marBottom w:val="0"/>
          <w:divBdr>
            <w:top w:val="none" w:sz="0" w:space="0" w:color="auto"/>
            <w:left w:val="none" w:sz="0" w:space="0" w:color="auto"/>
            <w:bottom w:val="none" w:sz="0" w:space="0" w:color="auto"/>
            <w:right w:val="none" w:sz="0" w:space="0" w:color="auto"/>
          </w:divBdr>
          <w:divsChild>
            <w:div w:id="1246263710">
              <w:marLeft w:val="-75"/>
              <w:marRight w:val="0"/>
              <w:marTop w:val="30"/>
              <w:marBottom w:val="30"/>
              <w:divBdr>
                <w:top w:val="none" w:sz="0" w:space="0" w:color="auto"/>
                <w:left w:val="none" w:sz="0" w:space="0" w:color="auto"/>
                <w:bottom w:val="none" w:sz="0" w:space="0" w:color="auto"/>
                <w:right w:val="none" w:sz="0" w:space="0" w:color="auto"/>
              </w:divBdr>
              <w:divsChild>
                <w:div w:id="813196">
                  <w:marLeft w:val="0"/>
                  <w:marRight w:val="0"/>
                  <w:marTop w:val="0"/>
                  <w:marBottom w:val="0"/>
                  <w:divBdr>
                    <w:top w:val="none" w:sz="0" w:space="0" w:color="auto"/>
                    <w:left w:val="none" w:sz="0" w:space="0" w:color="auto"/>
                    <w:bottom w:val="none" w:sz="0" w:space="0" w:color="auto"/>
                    <w:right w:val="none" w:sz="0" w:space="0" w:color="auto"/>
                  </w:divBdr>
                  <w:divsChild>
                    <w:div w:id="1498038974">
                      <w:marLeft w:val="0"/>
                      <w:marRight w:val="0"/>
                      <w:marTop w:val="0"/>
                      <w:marBottom w:val="0"/>
                      <w:divBdr>
                        <w:top w:val="none" w:sz="0" w:space="0" w:color="auto"/>
                        <w:left w:val="none" w:sz="0" w:space="0" w:color="auto"/>
                        <w:bottom w:val="none" w:sz="0" w:space="0" w:color="auto"/>
                        <w:right w:val="none" w:sz="0" w:space="0" w:color="auto"/>
                      </w:divBdr>
                    </w:div>
                  </w:divsChild>
                </w:div>
                <w:div w:id="28531858">
                  <w:marLeft w:val="0"/>
                  <w:marRight w:val="0"/>
                  <w:marTop w:val="0"/>
                  <w:marBottom w:val="0"/>
                  <w:divBdr>
                    <w:top w:val="none" w:sz="0" w:space="0" w:color="auto"/>
                    <w:left w:val="none" w:sz="0" w:space="0" w:color="auto"/>
                    <w:bottom w:val="none" w:sz="0" w:space="0" w:color="auto"/>
                    <w:right w:val="none" w:sz="0" w:space="0" w:color="auto"/>
                  </w:divBdr>
                  <w:divsChild>
                    <w:div w:id="1812861853">
                      <w:marLeft w:val="0"/>
                      <w:marRight w:val="0"/>
                      <w:marTop w:val="0"/>
                      <w:marBottom w:val="0"/>
                      <w:divBdr>
                        <w:top w:val="none" w:sz="0" w:space="0" w:color="auto"/>
                        <w:left w:val="none" w:sz="0" w:space="0" w:color="auto"/>
                        <w:bottom w:val="none" w:sz="0" w:space="0" w:color="auto"/>
                        <w:right w:val="none" w:sz="0" w:space="0" w:color="auto"/>
                      </w:divBdr>
                    </w:div>
                  </w:divsChild>
                </w:div>
                <w:div w:id="65347930">
                  <w:marLeft w:val="0"/>
                  <w:marRight w:val="0"/>
                  <w:marTop w:val="0"/>
                  <w:marBottom w:val="0"/>
                  <w:divBdr>
                    <w:top w:val="none" w:sz="0" w:space="0" w:color="auto"/>
                    <w:left w:val="none" w:sz="0" w:space="0" w:color="auto"/>
                    <w:bottom w:val="none" w:sz="0" w:space="0" w:color="auto"/>
                    <w:right w:val="none" w:sz="0" w:space="0" w:color="auto"/>
                  </w:divBdr>
                  <w:divsChild>
                    <w:div w:id="866794063">
                      <w:marLeft w:val="0"/>
                      <w:marRight w:val="0"/>
                      <w:marTop w:val="0"/>
                      <w:marBottom w:val="0"/>
                      <w:divBdr>
                        <w:top w:val="none" w:sz="0" w:space="0" w:color="auto"/>
                        <w:left w:val="none" w:sz="0" w:space="0" w:color="auto"/>
                        <w:bottom w:val="none" w:sz="0" w:space="0" w:color="auto"/>
                        <w:right w:val="none" w:sz="0" w:space="0" w:color="auto"/>
                      </w:divBdr>
                    </w:div>
                  </w:divsChild>
                </w:div>
                <w:div w:id="73167365">
                  <w:marLeft w:val="0"/>
                  <w:marRight w:val="0"/>
                  <w:marTop w:val="0"/>
                  <w:marBottom w:val="0"/>
                  <w:divBdr>
                    <w:top w:val="none" w:sz="0" w:space="0" w:color="auto"/>
                    <w:left w:val="none" w:sz="0" w:space="0" w:color="auto"/>
                    <w:bottom w:val="none" w:sz="0" w:space="0" w:color="auto"/>
                    <w:right w:val="none" w:sz="0" w:space="0" w:color="auto"/>
                  </w:divBdr>
                  <w:divsChild>
                    <w:div w:id="727261940">
                      <w:marLeft w:val="0"/>
                      <w:marRight w:val="0"/>
                      <w:marTop w:val="0"/>
                      <w:marBottom w:val="0"/>
                      <w:divBdr>
                        <w:top w:val="none" w:sz="0" w:space="0" w:color="auto"/>
                        <w:left w:val="none" w:sz="0" w:space="0" w:color="auto"/>
                        <w:bottom w:val="none" w:sz="0" w:space="0" w:color="auto"/>
                        <w:right w:val="none" w:sz="0" w:space="0" w:color="auto"/>
                      </w:divBdr>
                    </w:div>
                  </w:divsChild>
                </w:div>
                <w:div w:id="73599764">
                  <w:marLeft w:val="0"/>
                  <w:marRight w:val="0"/>
                  <w:marTop w:val="0"/>
                  <w:marBottom w:val="0"/>
                  <w:divBdr>
                    <w:top w:val="none" w:sz="0" w:space="0" w:color="auto"/>
                    <w:left w:val="none" w:sz="0" w:space="0" w:color="auto"/>
                    <w:bottom w:val="none" w:sz="0" w:space="0" w:color="auto"/>
                    <w:right w:val="none" w:sz="0" w:space="0" w:color="auto"/>
                  </w:divBdr>
                  <w:divsChild>
                    <w:div w:id="1543706916">
                      <w:marLeft w:val="0"/>
                      <w:marRight w:val="0"/>
                      <w:marTop w:val="0"/>
                      <w:marBottom w:val="0"/>
                      <w:divBdr>
                        <w:top w:val="none" w:sz="0" w:space="0" w:color="auto"/>
                        <w:left w:val="none" w:sz="0" w:space="0" w:color="auto"/>
                        <w:bottom w:val="none" w:sz="0" w:space="0" w:color="auto"/>
                        <w:right w:val="none" w:sz="0" w:space="0" w:color="auto"/>
                      </w:divBdr>
                    </w:div>
                  </w:divsChild>
                </w:div>
                <w:div w:id="105924951">
                  <w:marLeft w:val="0"/>
                  <w:marRight w:val="0"/>
                  <w:marTop w:val="0"/>
                  <w:marBottom w:val="0"/>
                  <w:divBdr>
                    <w:top w:val="none" w:sz="0" w:space="0" w:color="auto"/>
                    <w:left w:val="none" w:sz="0" w:space="0" w:color="auto"/>
                    <w:bottom w:val="none" w:sz="0" w:space="0" w:color="auto"/>
                    <w:right w:val="none" w:sz="0" w:space="0" w:color="auto"/>
                  </w:divBdr>
                  <w:divsChild>
                    <w:div w:id="1907838551">
                      <w:marLeft w:val="0"/>
                      <w:marRight w:val="0"/>
                      <w:marTop w:val="0"/>
                      <w:marBottom w:val="0"/>
                      <w:divBdr>
                        <w:top w:val="none" w:sz="0" w:space="0" w:color="auto"/>
                        <w:left w:val="none" w:sz="0" w:space="0" w:color="auto"/>
                        <w:bottom w:val="none" w:sz="0" w:space="0" w:color="auto"/>
                        <w:right w:val="none" w:sz="0" w:space="0" w:color="auto"/>
                      </w:divBdr>
                    </w:div>
                  </w:divsChild>
                </w:div>
                <w:div w:id="122626580">
                  <w:marLeft w:val="0"/>
                  <w:marRight w:val="0"/>
                  <w:marTop w:val="0"/>
                  <w:marBottom w:val="0"/>
                  <w:divBdr>
                    <w:top w:val="none" w:sz="0" w:space="0" w:color="auto"/>
                    <w:left w:val="none" w:sz="0" w:space="0" w:color="auto"/>
                    <w:bottom w:val="none" w:sz="0" w:space="0" w:color="auto"/>
                    <w:right w:val="none" w:sz="0" w:space="0" w:color="auto"/>
                  </w:divBdr>
                  <w:divsChild>
                    <w:div w:id="822354580">
                      <w:marLeft w:val="0"/>
                      <w:marRight w:val="0"/>
                      <w:marTop w:val="0"/>
                      <w:marBottom w:val="0"/>
                      <w:divBdr>
                        <w:top w:val="none" w:sz="0" w:space="0" w:color="auto"/>
                        <w:left w:val="none" w:sz="0" w:space="0" w:color="auto"/>
                        <w:bottom w:val="none" w:sz="0" w:space="0" w:color="auto"/>
                        <w:right w:val="none" w:sz="0" w:space="0" w:color="auto"/>
                      </w:divBdr>
                    </w:div>
                  </w:divsChild>
                </w:div>
                <w:div w:id="122769623">
                  <w:marLeft w:val="0"/>
                  <w:marRight w:val="0"/>
                  <w:marTop w:val="0"/>
                  <w:marBottom w:val="0"/>
                  <w:divBdr>
                    <w:top w:val="none" w:sz="0" w:space="0" w:color="auto"/>
                    <w:left w:val="none" w:sz="0" w:space="0" w:color="auto"/>
                    <w:bottom w:val="none" w:sz="0" w:space="0" w:color="auto"/>
                    <w:right w:val="none" w:sz="0" w:space="0" w:color="auto"/>
                  </w:divBdr>
                  <w:divsChild>
                    <w:div w:id="1566381071">
                      <w:marLeft w:val="0"/>
                      <w:marRight w:val="0"/>
                      <w:marTop w:val="0"/>
                      <w:marBottom w:val="0"/>
                      <w:divBdr>
                        <w:top w:val="none" w:sz="0" w:space="0" w:color="auto"/>
                        <w:left w:val="none" w:sz="0" w:space="0" w:color="auto"/>
                        <w:bottom w:val="none" w:sz="0" w:space="0" w:color="auto"/>
                        <w:right w:val="none" w:sz="0" w:space="0" w:color="auto"/>
                      </w:divBdr>
                    </w:div>
                  </w:divsChild>
                </w:div>
                <w:div w:id="134611078">
                  <w:marLeft w:val="0"/>
                  <w:marRight w:val="0"/>
                  <w:marTop w:val="0"/>
                  <w:marBottom w:val="0"/>
                  <w:divBdr>
                    <w:top w:val="none" w:sz="0" w:space="0" w:color="auto"/>
                    <w:left w:val="none" w:sz="0" w:space="0" w:color="auto"/>
                    <w:bottom w:val="none" w:sz="0" w:space="0" w:color="auto"/>
                    <w:right w:val="none" w:sz="0" w:space="0" w:color="auto"/>
                  </w:divBdr>
                  <w:divsChild>
                    <w:div w:id="1864052773">
                      <w:marLeft w:val="0"/>
                      <w:marRight w:val="0"/>
                      <w:marTop w:val="0"/>
                      <w:marBottom w:val="0"/>
                      <w:divBdr>
                        <w:top w:val="none" w:sz="0" w:space="0" w:color="auto"/>
                        <w:left w:val="none" w:sz="0" w:space="0" w:color="auto"/>
                        <w:bottom w:val="none" w:sz="0" w:space="0" w:color="auto"/>
                        <w:right w:val="none" w:sz="0" w:space="0" w:color="auto"/>
                      </w:divBdr>
                    </w:div>
                  </w:divsChild>
                </w:div>
                <w:div w:id="193806222">
                  <w:marLeft w:val="0"/>
                  <w:marRight w:val="0"/>
                  <w:marTop w:val="0"/>
                  <w:marBottom w:val="0"/>
                  <w:divBdr>
                    <w:top w:val="none" w:sz="0" w:space="0" w:color="auto"/>
                    <w:left w:val="none" w:sz="0" w:space="0" w:color="auto"/>
                    <w:bottom w:val="none" w:sz="0" w:space="0" w:color="auto"/>
                    <w:right w:val="none" w:sz="0" w:space="0" w:color="auto"/>
                  </w:divBdr>
                  <w:divsChild>
                    <w:div w:id="576520399">
                      <w:marLeft w:val="0"/>
                      <w:marRight w:val="0"/>
                      <w:marTop w:val="0"/>
                      <w:marBottom w:val="0"/>
                      <w:divBdr>
                        <w:top w:val="none" w:sz="0" w:space="0" w:color="auto"/>
                        <w:left w:val="none" w:sz="0" w:space="0" w:color="auto"/>
                        <w:bottom w:val="none" w:sz="0" w:space="0" w:color="auto"/>
                        <w:right w:val="none" w:sz="0" w:space="0" w:color="auto"/>
                      </w:divBdr>
                    </w:div>
                  </w:divsChild>
                </w:div>
                <w:div w:id="213470432">
                  <w:marLeft w:val="0"/>
                  <w:marRight w:val="0"/>
                  <w:marTop w:val="0"/>
                  <w:marBottom w:val="0"/>
                  <w:divBdr>
                    <w:top w:val="none" w:sz="0" w:space="0" w:color="auto"/>
                    <w:left w:val="none" w:sz="0" w:space="0" w:color="auto"/>
                    <w:bottom w:val="none" w:sz="0" w:space="0" w:color="auto"/>
                    <w:right w:val="none" w:sz="0" w:space="0" w:color="auto"/>
                  </w:divBdr>
                  <w:divsChild>
                    <w:div w:id="478420904">
                      <w:marLeft w:val="0"/>
                      <w:marRight w:val="0"/>
                      <w:marTop w:val="0"/>
                      <w:marBottom w:val="0"/>
                      <w:divBdr>
                        <w:top w:val="none" w:sz="0" w:space="0" w:color="auto"/>
                        <w:left w:val="none" w:sz="0" w:space="0" w:color="auto"/>
                        <w:bottom w:val="none" w:sz="0" w:space="0" w:color="auto"/>
                        <w:right w:val="none" w:sz="0" w:space="0" w:color="auto"/>
                      </w:divBdr>
                    </w:div>
                  </w:divsChild>
                </w:div>
                <w:div w:id="216092502">
                  <w:marLeft w:val="0"/>
                  <w:marRight w:val="0"/>
                  <w:marTop w:val="0"/>
                  <w:marBottom w:val="0"/>
                  <w:divBdr>
                    <w:top w:val="none" w:sz="0" w:space="0" w:color="auto"/>
                    <w:left w:val="none" w:sz="0" w:space="0" w:color="auto"/>
                    <w:bottom w:val="none" w:sz="0" w:space="0" w:color="auto"/>
                    <w:right w:val="none" w:sz="0" w:space="0" w:color="auto"/>
                  </w:divBdr>
                  <w:divsChild>
                    <w:div w:id="1841122239">
                      <w:marLeft w:val="0"/>
                      <w:marRight w:val="0"/>
                      <w:marTop w:val="0"/>
                      <w:marBottom w:val="0"/>
                      <w:divBdr>
                        <w:top w:val="none" w:sz="0" w:space="0" w:color="auto"/>
                        <w:left w:val="none" w:sz="0" w:space="0" w:color="auto"/>
                        <w:bottom w:val="none" w:sz="0" w:space="0" w:color="auto"/>
                        <w:right w:val="none" w:sz="0" w:space="0" w:color="auto"/>
                      </w:divBdr>
                    </w:div>
                  </w:divsChild>
                </w:div>
                <w:div w:id="242763945">
                  <w:marLeft w:val="0"/>
                  <w:marRight w:val="0"/>
                  <w:marTop w:val="0"/>
                  <w:marBottom w:val="0"/>
                  <w:divBdr>
                    <w:top w:val="none" w:sz="0" w:space="0" w:color="auto"/>
                    <w:left w:val="none" w:sz="0" w:space="0" w:color="auto"/>
                    <w:bottom w:val="none" w:sz="0" w:space="0" w:color="auto"/>
                    <w:right w:val="none" w:sz="0" w:space="0" w:color="auto"/>
                  </w:divBdr>
                  <w:divsChild>
                    <w:div w:id="439956714">
                      <w:marLeft w:val="0"/>
                      <w:marRight w:val="0"/>
                      <w:marTop w:val="0"/>
                      <w:marBottom w:val="0"/>
                      <w:divBdr>
                        <w:top w:val="none" w:sz="0" w:space="0" w:color="auto"/>
                        <w:left w:val="none" w:sz="0" w:space="0" w:color="auto"/>
                        <w:bottom w:val="none" w:sz="0" w:space="0" w:color="auto"/>
                        <w:right w:val="none" w:sz="0" w:space="0" w:color="auto"/>
                      </w:divBdr>
                    </w:div>
                  </w:divsChild>
                </w:div>
                <w:div w:id="301279332">
                  <w:marLeft w:val="0"/>
                  <w:marRight w:val="0"/>
                  <w:marTop w:val="0"/>
                  <w:marBottom w:val="0"/>
                  <w:divBdr>
                    <w:top w:val="none" w:sz="0" w:space="0" w:color="auto"/>
                    <w:left w:val="none" w:sz="0" w:space="0" w:color="auto"/>
                    <w:bottom w:val="none" w:sz="0" w:space="0" w:color="auto"/>
                    <w:right w:val="none" w:sz="0" w:space="0" w:color="auto"/>
                  </w:divBdr>
                  <w:divsChild>
                    <w:div w:id="670454753">
                      <w:marLeft w:val="0"/>
                      <w:marRight w:val="0"/>
                      <w:marTop w:val="0"/>
                      <w:marBottom w:val="0"/>
                      <w:divBdr>
                        <w:top w:val="none" w:sz="0" w:space="0" w:color="auto"/>
                        <w:left w:val="none" w:sz="0" w:space="0" w:color="auto"/>
                        <w:bottom w:val="none" w:sz="0" w:space="0" w:color="auto"/>
                        <w:right w:val="none" w:sz="0" w:space="0" w:color="auto"/>
                      </w:divBdr>
                    </w:div>
                  </w:divsChild>
                </w:div>
                <w:div w:id="344484302">
                  <w:marLeft w:val="0"/>
                  <w:marRight w:val="0"/>
                  <w:marTop w:val="0"/>
                  <w:marBottom w:val="0"/>
                  <w:divBdr>
                    <w:top w:val="none" w:sz="0" w:space="0" w:color="auto"/>
                    <w:left w:val="none" w:sz="0" w:space="0" w:color="auto"/>
                    <w:bottom w:val="none" w:sz="0" w:space="0" w:color="auto"/>
                    <w:right w:val="none" w:sz="0" w:space="0" w:color="auto"/>
                  </w:divBdr>
                  <w:divsChild>
                    <w:div w:id="1721323503">
                      <w:marLeft w:val="0"/>
                      <w:marRight w:val="0"/>
                      <w:marTop w:val="0"/>
                      <w:marBottom w:val="0"/>
                      <w:divBdr>
                        <w:top w:val="none" w:sz="0" w:space="0" w:color="auto"/>
                        <w:left w:val="none" w:sz="0" w:space="0" w:color="auto"/>
                        <w:bottom w:val="none" w:sz="0" w:space="0" w:color="auto"/>
                        <w:right w:val="none" w:sz="0" w:space="0" w:color="auto"/>
                      </w:divBdr>
                    </w:div>
                  </w:divsChild>
                </w:div>
                <w:div w:id="360474716">
                  <w:marLeft w:val="0"/>
                  <w:marRight w:val="0"/>
                  <w:marTop w:val="0"/>
                  <w:marBottom w:val="0"/>
                  <w:divBdr>
                    <w:top w:val="none" w:sz="0" w:space="0" w:color="auto"/>
                    <w:left w:val="none" w:sz="0" w:space="0" w:color="auto"/>
                    <w:bottom w:val="none" w:sz="0" w:space="0" w:color="auto"/>
                    <w:right w:val="none" w:sz="0" w:space="0" w:color="auto"/>
                  </w:divBdr>
                  <w:divsChild>
                    <w:div w:id="382023327">
                      <w:marLeft w:val="0"/>
                      <w:marRight w:val="0"/>
                      <w:marTop w:val="0"/>
                      <w:marBottom w:val="0"/>
                      <w:divBdr>
                        <w:top w:val="none" w:sz="0" w:space="0" w:color="auto"/>
                        <w:left w:val="none" w:sz="0" w:space="0" w:color="auto"/>
                        <w:bottom w:val="none" w:sz="0" w:space="0" w:color="auto"/>
                        <w:right w:val="none" w:sz="0" w:space="0" w:color="auto"/>
                      </w:divBdr>
                    </w:div>
                  </w:divsChild>
                </w:div>
                <w:div w:id="413665924">
                  <w:marLeft w:val="0"/>
                  <w:marRight w:val="0"/>
                  <w:marTop w:val="0"/>
                  <w:marBottom w:val="0"/>
                  <w:divBdr>
                    <w:top w:val="none" w:sz="0" w:space="0" w:color="auto"/>
                    <w:left w:val="none" w:sz="0" w:space="0" w:color="auto"/>
                    <w:bottom w:val="none" w:sz="0" w:space="0" w:color="auto"/>
                    <w:right w:val="none" w:sz="0" w:space="0" w:color="auto"/>
                  </w:divBdr>
                  <w:divsChild>
                    <w:div w:id="640502550">
                      <w:marLeft w:val="0"/>
                      <w:marRight w:val="0"/>
                      <w:marTop w:val="0"/>
                      <w:marBottom w:val="0"/>
                      <w:divBdr>
                        <w:top w:val="none" w:sz="0" w:space="0" w:color="auto"/>
                        <w:left w:val="none" w:sz="0" w:space="0" w:color="auto"/>
                        <w:bottom w:val="none" w:sz="0" w:space="0" w:color="auto"/>
                        <w:right w:val="none" w:sz="0" w:space="0" w:color="auto"/>
                      </w:divBdr>
                    </w:div>
                  </w:divsChild>
                </w:div>
                <w:div w:id="473376947">
                  <w:marLeft w:val="0"/>
                  <w:marRight w:val="0"/>
                  <w:marTop w:val="0"/>
                  <w:marBottom w:val="0"/>
                  <w:divBdr>
                    <w:top w:val="none" w:sz="0" w:space="0" w:color="auto"/>
                    <w:left w:val="none" w:sz="0" w:space="0" w:color="auto"/>
                    <w:bottom w:val="none" w:sz="0" w:space="0" w:color="auto"/>
                    <w:right w:val="none" w:sz="0" w:space="0" w:color="auto"/>
                  </w:divBdr>
                  <w:divsChild>
                    <w:div w:id="767315233">
                      <w:marLeft w:val="0"/>
                      <w:marRight w:val="0"/>
                      <w:marTop w:val="0"/>
                      <w:marBottom w:val="0"/>
                      <w:divBdr>
                        <w:top w:val="none" w:sz="0" w:space="0" w:color="auto"/>
                        <w:left w:val="none" w:sz="0" w:space="0" w:color="auto"/>
                        <w:bottom w:val="none" w:sz="0" w:space="0" w:color="auto"/>
                        <w:right w:val="none" w:sz="0" w:space="0" w:color="auto"/>
                      </w:divBdr>
                    </w:div>
                  </w:divsChild>
                </w:div>
                <w:div w:id="494806279">
                  <w:marLeft w:val="0"/>
                  <w:marRight w:val="0"/>
                  <w:marTop w:val="0"/>
                  <w:marBottom w:val="0"/>
                  <w:divBdr>
                    <w:top w:val="none" w:sz="0" w:space="0" w:color="auto"/>
                    <w:left w:val="none" w:sz="0" w:space="0" w:color="auto"/>
                    <w:bottom w:val="none" w:sz="0" w:space="0" w:color="auto"/>
                    <w:right w:val="none" w:sz="0" w:space="0" w:color="auto"/>
                  </w:divBdr>
                  <w:divsChild>
                    <w:div w:id="463892075">
                      <w:marLeft w:val="0"/>
                      <w:marRight w:val="0"/>
                      <w:marTop w:val="0"/>
                      <w:marBottom w:val="0"/>
                      <w:divBdr>
                        <w:top w:val="none" w:sz="0" w:space="0" w:color="auto"/>
                        <w:left w:val="none" w:sz="0" w:space="0" w:color="auto"/>
                        <w:bottom w:val="none" w:sz="0" w:space="0" w:color="auto"/>
                        <w:right w:val="none" w:sz="0" w:space="0" w:color="auto"/>
                      </w:divBdr>
                    </w:div>
                  </w:divsChild>
                </w:div>
                <w:div w:id="507644001">
                  <w:marLeft w:val="0"/>
                  <w:marRight w:val="0"/>
                  <w:marTop w:val="0"/>
                  <w:marBottom w:val="0"/>
                  <w:divBdr>
                    <w:top w:val="none" w:sz="0" w:space="0" w:color="auto"/>
                    <w:left w:val="none" w:sz="0" w:space="0" w:color="auto"/>
                    <w:bottom w:val="none" w:sz="0" w:space="0" w:color="auto"/>
                    <w:right w:val="none" w:sz="0" w:space="0" w:color="auto"/>
                  </w:divBdr>
                  <w:divsChild>
                    <w:div w:id="1534801734">
                      <w:marLeft w:val="0"/>
                      <w:marRight w:val="0"/>
                      <w:marTop w:val="0"/>
                      <w:marBottom w:val="0"/>
                      <w:divBdr>
                        <w:top w:val="none" w:sz="0" w:space="0" w:color="auto"/>
                        <w:left w:val="none" w:sz="0" w:space="0" w:color="auto"/>
                        <w:bottom w:val="none" w:sz="0" w:space="0" w:color="auto"/>
                        <w:right w:val="none" w:sz="0" w:space="0" w:color="auto"/>
                      </w:divBdr>
                    </w:div>
                  </w:divsChild>
                </w:div>
                <w:div w:id="580917541">
                  <w:marLeft w:val="0"/>
                  <w:marRight w:val="0"/>
                  <w:marTop w:val="0"/>
                  <w:marBottom w:val="0"/>
                  <w:divBdr>
                    <w:top w:val="none" w:sz="0" w:space="0" w:color="auto"/>
                    <w:left w:val="none" w:sz="0" w:space="0" w:color="auto"/>
                    <w:bottom w:val="none" w:sz="0" w:space="0" w:color="auto"/>
                    <w:right w:val="none" w:sz="0" w:space="0" w:color="auto"/>
                  </w:divBdr>
                  <w:divsChild>
                    <w:div w:id="2011517301">
                      <w:marLeft w:val="0"/>
                      <w:marRight w:val="0"/>
                      <w:marTop w:val="0"/>
                      <w:marBottom w:val="0"/>
                      <w:divBdr>
                        <w:top w:val="none" w:sz="0" w:space="0" w:color="auto"/>
                        <w:left w:val="none" w:sz="0" w:space="0" w:color="auto"/>
                        <w:bottom w:val="none" w:sz="0" w:space="0" w:color="auto"/>
                        <w:right w:val="none" w:sz="0" w:space="0" w:color="auto"/>
                      </w:divBdr>
                    </w:div>
                  </w:divsChild>
                </w:div>
                <w:div w:id="595871979">
                  <w:marLeft w:val="0"/>
                  <w:marRight w:val="0"/>
                  <w:marTop w:val="0"/>
                  <w:marBottom w:val="0"/>
                  <w:divBdr>
                    <w:top w:val="none" w:sz="0" w:space="0" w:color="auto"/>
                    <w:left w:val="none" w:sz="0" w:space="0" w:color="auto"/>
                    <w:bottom w:val="none" w:sz="0" w:space="0" w:color="auto"/>
                    <w:right w:val="none" w:sz="0" w:space="0" w:color="auto"/>
                  </w:divBdr>
                  <w:divsChild>
                    <w:div w:id="1627589100">
                      <w:marLeft w:val="0"/>
                      <w:marRight w:val="0"/>
                      <w:marTop w:val="0"/>
                      <w:marBottom w:val="0"/>
                      <w:divBdr>
                        <w:top w:val="none" w:sz="0" w:space="0" w:color="auto"/>
                        <w:left w:val="none" w:sz="0" w:space="0" w:color="auto"/>
                        <w:bottom w:val="none" w:sz="0" w:space="0" w:color="auto"/>
                        <w:right w:val="none" w:sz="0" w:space="0" w:color="auto"/>
                      </w:divBdr>
                    </w:div>
                  </w:divsChild>
                </w:div>
                <w:div w:id="632250590">
                  <w:marLeft w:val="0"/>
                  <w:marRight w:val="0"/>
                  <w:marTop w:val="0"/>
                  <w:marBottom w:val="0"/>
                  <w:divBdr>
                    <w:top w:val="none" w:sz="0" w:space="0" w:color="auto"/>
                    <w:left w:val="none" w:sz="0" w:space="0" w:color="auto"/>
                    <w:bottom w:val="none" w:sz="0" w:space="0" w:color="auto"/>
                    <w:right w:val="none" w:sz="0" w:space="0" w:color="auto"/>
                  </w:divBdr>
                  <w:divsChild>
                    <w:div w:id="1123693102">
                      <w:marLeft w:val="0"/>
                      <w:marRight w:val="0"/>
                      <w:marTop w:val="0"/>
                      <w:marBottom w:val="0"/>
                      <w:divBdr>
                        <w:top w:val="none" w:sz="0" w:space="0" w:color="auto"/>
                        <w:left w:val="none" w:sz="0" w:space="0" w:color="auto"/>
                        <w:bottom w:val="none" w:sz="0" w:space="0" w:color="auto"/>
                        <w:right w:val="none" w:sz="0" w:space="0" w:color="auto"/>
                      </w:divBdr>
                    </w:div>
                  </w:divsChild>
                </w:div>
                <w:div w:id="656568734">
                  <w:marLeft w:val="0"/>
                  <w:marRight w:val="0"/>
                  <w:marTop w:val="0"/>
                  <w:marBottom w:val="0"/>
                  <w:divBdr>
                    <w:top w:val="none" w:sz="0" w:space="0" w:color="auto"/>
                    <w:left w:val="none" w:sz="0" w:space="0" w:color="auto"/>
                    <w:bottom w:val="none" w:sz="0" w:space="0" w:color="auto"/>
                    <w:right w:val="none" w:sz="0" w:space="0" w:color="auto"/>
                  </w:divBdr>
                  <w:divsChild>
                    <w:div w:id="839198277">
                      <w:marLeft w:val="0"/>
                      <w:marRight w:val="0"/>
                      <w:marTop w:val="0"/>
                      <w:marBottom w:val="0"/>
                      <w:divBdr>
                        <w:top w:val="none" w:sz="0" w:space="0" w:color="auto"/>
                        <w:left w:val="none" w:sz="0" w:space="0" w:color="auto"/>
                        <w:bottom w:val="none" w:sz="0" w:space="0" w:color="auto"/>
                        <w:right w:val="none" w:sz="0" w:space="0" w:color="auto"/>
                      </w:divBdr>
                    </w:div>
                  </w:divsChild>
                </w:div>
                <w:div w:id="672873261">
                  <w:marLeft w:val="0"/>
                  <w:marRight w:val="0"/>
                  <w:marTop w:val="0"/>
                  <w:marBottom w:val="0"/>
                  <w:divBdr>
                    <w:top w:val="none" w:sz="0" w:space="0" w:color="auto"/>
                    <w:left w:val="none" w:sz="0" w:space="0" w:color="auto"/>
                    <w:bottom w:val="none" w:sz="0" w:space="0" w:color="auto"/>
                    <w:right w:val="none" w:sz="0" w:space="0" w:color="auto"/>
                  </w:divBdr>
                  <w:divsChild>
                    <w:div w:id="428237875">
                      <w:marLeft w:val="0"/>
                      <w:marRight w:val="0"/>
                      <w:marTop w:val="0"/>
                      <w:marBottom w:val="0"/>
                      <w:divBdr>
                        <w:top w:val="none" w:sz="0" w:space="0" w:color="auto"/>
                        <w:left w:val="none" w:sz="0" w:space="0" w:color="auto"/>
                        <w:bottom w:val="none" w:sz="0" w:space="0" w:color="auto"/>
                        <w:right w:val="none" w:sz="0" w:space="0" w:color="auto"/>
                      </w:divBdr>
                    </w:div>
                  </w:divsChild>
                </w:div>
                <w:div w:id="677121530">
                  <w:marLeft w:val="0"/>
                  <w:marRight w:val="0"/>
                  <w:marTop w:val="0"/>
                  <w:marBottom w:val="0"/>
                  <w:divBdr>
                    <w:top w:val="none" w:sz="0" w:space="0" w:color="auto"/>
                    <w:left w:val="none" w:sz="0" w:space="0" w:color="auto"/>
                    <w:bottom w:val="none" w:sz="0" w:space="0" w:color="auto"/>
                    <w:right w:val="none" w:sz="0" w:space="0" w:color="auto"/>
                  </w:divBdr>
                  <w:divsChild>
                    <w:div w:id="1788236740">
                      <w:marLeft w:val="0"/>
                      <w:marRight w:val="0"/>
                      <w:marTop w:val="0"/>
                      <w:marBottom w:val="0"/>
                      <w:divBdr>
                        <w:top w:val="none" w:sz="0" w:space="0" w:color="auto"/>
                        <w:left w:val="none" w:sz="0" w:space="0" w:color="auto"/>
                        <w:bottom w:val="none" w:sz="0" w:space="0" w:color="auto"/>
                        <w:right w:val="none" w:sz="0" w:space="0" w:color="auto"/>
                      </w:divBdr>
                    </w:div>
                  </w:divsChild>
                </w:div>
                <w:div w:id="687370903">
                  <w:marLeft w:val="0"/>
                  <w:marRight w:val="0"/>
                  <w:marTop w:val="0"/>
                  <w:marBottom w:val="0"/>
                  <w:divBdr>
                    <w:top w:val="none" w:sz="0" w:space="0" w:color="auto"/>
                    <w:left w:val="none" w:sz="0" w:space="0" w:color="auto"/>
                    <w:bottom w:val="none" w:sz="0" w:space="0" w:color="auto"/>
                    <w:right w:val="none" w:sz="0" w:space="0" w:color="auto"/>
                  </w:divBdr>
                  <w:divsChild>
                    <w:div w:id="864945854">
                      <w:marLeft w:val="0"/>
                      <w:marRight w:val="0"/>
                      <w:marTop w:val="0"/>
                      <w:marBottom w:val="0"/>
                      <w:divBdr>
                        <w:top w:val="none" w:sz="0" w:space="0" w:color="auto"/>
                        <w:left w:val="none" w:sz="0" w:space="0" w:color="auto"/>
                        <w:bottom w:val="none" w:sz="0" w:space="0" w:color="auto"/>
                        <w:right w:val="none" w:sz="0" w:space="0" w:color="auto"/>
                      </w:divBdr>
                    </w:div>
                  </w:divsChild>
                </w:div>
                <w:div w:id="941886628">
                  <w:marLeft w:val="0"/>
                  <w:marRight w:val="0"/>
                  <w:marTop w:val="0"/>
                  <w:marBottom w:val="0"/>
                  <w:divBdr>
                    <w:top w:val="none" w:sz="0" w:space="0" w:color="auto"/>
                    <w:left w:val="none" w:sz="0" w:space="0" w:color="auto"/>
                    <w:bottom w:val="none" w:sz="0" w:space="0" w:color="auto"/>
                    <w:right w:val="none" w:sz="0" w:space="0" w:color="auto"/>
                  </w:divBdr>
                  <w:divsChild>
                    <w:div w:id="1912428632">
                      <w:marLeft w:val="0"/>
                      <w:marRight w:val="0"/>
                      <w:marTop w:val="0"/>
                      <w:marBottom w:val="0"/>
                      <w:divBdr>
                        <w:top w:val="none" w:sz="0" w:space="0" w:color="auto"/>
                        <w:left w:val="none" w:sz="0" w:space="0" w:color="auto"/>
                        <w:bottom w:val="none" w:sz="0" w:space="0" w:color="auto"/>
                        <w:right w:val="none" w:sz="0" w:space="0" w:color="auto"/>
                      </w:divBdr>
                    </w:div>
                  </w:divsChild>
                </w:div>
                <w:div w:id="968974215">
                  <w:marLeft w:val="0"/>
                  <w:marRight w:val="0"/>
                  <w:marTop w:val="0"/>
                  <w:marBottom w:val="0"/>
                  <w:divBdr>
                    <w:top w:val="none" w:sz="0" w:space="0" w:color="auto"/>
                    <w:left w:val="none" w:sz="0" w:space="0" w:color="auto"/>
                    <w:bottom w:val="none" w:sz="0" w:space="0" w:color="auto"/>
                    <w:right w:val="none" w:sz="0" w:space="0" w:color="auto"/>
                  </w:divBdr>
                  <w:divsChild>
                    <w:div w:id="1459303846">
                      <w:marLeft w:val="0"/>
                      <w:marRight w:val="0"/>
                      <w:marTop w:val="0"/>
                      <w:marBottom w:val="0"/>
                      <w:divBdr>
                        <w:top w:val="none" w:sz="0" w:space="0" w:color="auto"/>
                        <w:left w:val="none" w:sz="0" w:space="0" w:color="auto"/>
                        <w:bottom w:val="none" w:sz="0" w:space="0" w:color="auto"/>
                        <w:right w:val="none" w:sz="0" w:space="0" w:color="auto"/>
                      </w:divBdr>
                    </w:div>
                  </w:divsChild>
                </w:div>
                <w:div w:id="970987013">
                  <w:marLeft w:val="0"/>
                  <w:marRight w:val="0"/>
                  <w:marTop w:val="0"/>
                  <w:marBottom w:val="0"/>
                  <w:divBdr>
                    <w:top w:val="none" w:sz="0" w:space="0" w:color="auto"/>
                    <w:left w:val="none" w:sz="0" w:space="0" w:color="auto"/>
                    <w:bottom w:val="none" w:sz="0" w:space="0" w:color="auto"/>
                    <w:right w:val="none" w:sz="0" w:space="0" w:color="auto"/>
                  </w:divBdr>
                  <w:divsChild>
                    <w:div w:id="2049063004">
                      <w:marLeft w:val="0"/>
                      <w:marRight w:val="0"/>
                      <w:marTop w:val="0"/>
                      <w:marBottom w:val="0"/>
                      <w:divBdr>
                        <w:top w:val="none" w:sz="0" w:space="0" w:color="auto"/>
                        <w:left w:val="none" w:sz="0" w:space="0" w:color="auto"/>
                        <w:bottom w:val="none" w:sz="0" w:space="0" w:color="auto"/>
                        <w:right w:val="none" w:sz="0" w:space="0" w:color="auto"/>
                      </w:divBdr>
                    </w:div>
                  </w:divsChild>
                </w:div>
                <w:div w:id="990254978">
                  <w:marLeft w:val="0"/>
                  <w:marRight w:val="0"/>
                  <w:marTop w:val="0"/>
                  <w:marBottom w:val="0"/>
                  <w:divBdr>
                    <w:top w:val="none" w:sz="0" w:space="0" w:color="auto"/>
                    <w:left w:val="none" w:sz="0" w:space="0" w:color="auto"/>
                    <w:bottom w:val="none" w:sz="0" w:space="0" w:color="auto"/>
                    <w:right w:val="none" w:sz="0" w:space="0" w:color="auto"/>
                  </w:divBdr>
                  <w:divsChild>
                    <w:div w:id="1089960249">
                      <w:marLeft w:val="0"/>
                      <w:marRight w:val="0"/>
                      <w:marTop w:val="0"/>
                      <w:marBottom w:val="0"/>
                      <w:divBdr>
                        <w:top w:val="none" w:sz="0" w:space="0" w:color="auto"/>
                        <w:left w:val="none" w:sz="0" w:space="0" w:color="auto"/>
                        <w:bottom w:val="none" w:sz="0" w:space="0" w:color="auto"/>
                        <w:right w:val="none" w:sz="0" w:space="0" w:color="auto"/>
                      </w:divBdr>
                    </w:div>
                  </w:divsChild>
                </w:div>
                <w:div w:id="994793945">
                  <w:marLeft w:val="0"/>
                  <w:marRight w:val="0"/>
                  <w:marTop w:val="0"/>
                  <w:marBottom w:val="0"/>
                  <w:divBdr>
                    <w:top w:val="none" w:sz="0" w:space="0" w:color="auto"/>
                    <w:left w:val="none" w:sz="0" w:space="0" w:color="auto"/>
                    <w:bottom w:val="none" w:sz="0" w:space="0" w:color="auto"/>
                    <w:right w:val="none" w:sz="0" w:space="0" w:color="auto"/>
                  </w:divBdr>
                  <w:divsChild>
                    <w:div w:id="1783836170">
                      <w:marLeft w:val="0"/>
                      <w:marRight w:val="0"/>
                      <w:marTop w:val="0"/>
                      <w:marBottom w:val="0"/>
                      <w:divBdr>
                        <w:top w:val="none" w:sz="0" w:space="0" w:color="auto"/>
                        <w:left w:val="none" w:sz="0" w:space="0" w:color="auto"/>
                        <w:bottom w:val="none" w:sz="0" w:space="0" w:color="auto"/>
                        <w:right w:val="none" w:sz="0" w:space="0" w:color="auto"/>
                      </w:divBdr>
                    </w:div>
                  </w:divsChild>
                </w:div>
                <w:div w:id="1078943531">
                  <w:marLeft w:val="0"/>
                  <w:marRight w:val="0"/>
                  <w:marTop w:val="0"/>
                  <w:marBottom w:val="0"/>
                  <w:divBdr>
                    <w:top w:val="none" w:sz="0" w:space="0" w:color="auto"/>
                    <w:left w:val="none" w:sz="0" w:space="0" w:color="auto"/>
                    <w:bottom w:val="none" w:sz="0" w:space="0" w:color="auto"/>
                    <w:right w:val="none" w:sz="0" w:space="0" w:color="auto"/>
                  </w:divBdr>
                  <w:divsChild>
                    <w:div w:id="1033532212">
                      <w:marLeft w:val="0"/>
                      <w:marRight w:val="0"/>
                      <w:marTop w:val="0"/>
                      <w:marBottom w:val="0"/>
                      <w:divBdr>
                        <w:top w:val="none" w:sz="0" w:space="0" w:color="auto"/>
                        <w:left w:val="none" w:sz="0" w:space="0" w:color="auto"/>
                        <w:bottom w:val="none" w:sz="0" w:space="0" w:color="auto"/>
                        <w:right w:val="none" w:sz="0" w:space="0" w:color="auto"/>
                      </w:divBdr>
                    </w:div>
                  </w:divsChild>
                </w:div>
                <w:div w:id="1100874626">
                  <w:marLeft w:val="0"/>
                  <w:marRight w:val="0"/>
                  <w:marTop w:val="0"/>
                  <w:marBottom w:val="0"/>
                  <w:divBdr>
                    <w:top w:val="none" w:sz="0" w:space="0" w:color="auto"/>
                    <w:left w:val="none" w:sz="0" w:space="0" w:color="auto"/>
                    <w:bottom w:val="none" w:sz="0" w:space="0" w:color="auto"/>
                    <w:right w:val="none" w:sz="0" w:space="0" w:color="auto"/>
                  </w:divBdr>
                  <w:divsChild>
                    <w:div w:id="301544366">
                      <w:marLeft w:val="0"/>
                      <w:marRight w:val="0"/>
                      <w:marTop w:val="0"/>
                      <w:marBottom w:val="0"/>
                      <w:divBdr>
                        <w:top w:val="none" w:sz="0" w:space="0" w:color="auto"/>
                        <w:left w:val="none" w:sz="0" w:space="0" w:color="auto"/>
                        <w:bottom w:val="none" w:sz="0" w:space="0" w:color="auto"/>
                        <w:right w:val="none" w:sz="0" w:space="0" w:color="auto"/>
                      </w:divBdr>
                    </w:div>
                  </w:divsChild>
                </w:div>
                <w:div w:id="1194615702">
                  <w:marLeft w:val="0"/>
                  <w:marRight w:val="0"/>
                  <w:marTop w:val="0"/>
                  <w:marBottom w:val="0"/>
                  <w:divBdr>
                    <w:top w:val="none" w:sz="0" w:space="0" w:color="auto"/>
                    <w:left w:val="none" w:sz="0" w:space="0" w:color="auto"/>
                    <w:bottom w:val="none" w:sz="0" w:space="0" w:color="auto"/>
                    <w:right w:val="none" w:sz="0" w:space="0" w:color="auto"/>
                  </w:divBdr>
                  <w:divsChild>
                    <w:div w:id="719981167">
                      <w:marLeft w:val="0"/>
                      <w:marRight w:val="0"/>
                      <w:marTop w:val="0"/>
                      <w:marBottom w:val="0"/>
                      <w:divBdr>
                        <w:top w:val="none" w:sz="0" w:space="0" w:color="auto"/>
                        <w:left w:val="none" w:sz="0" w:space="0" w:color="auto"/>
                        <w:bottom w:val="none" w:sz="0" w:space="0" w:color="auto"/>
                        <w:right w:val="none" w:sz="0" w:space="0" w:color="auto"/>
                      </w:divBdr>
                    </w:div>
                  </w:divsChild>
                </w:div>
                <w:div w:id="1210726963">
                  <w:marLeft w:val="0"/>
                  <w:marRight w:val="0"/>
                  <w:marTop w:val="0"/>
                  <w:marBottom w:val="0"/>
                  <w:divBdr>
                    <w:top w:val="none" w:sz="0" w:space="0" w:color="auto"/>
                    <w:left w:val="none" w:sz="0" w:space="0" w:color="auto"/>
                    <w:bottom w:val="none" w:sz="0" w:space="0" w:color="auto"/>
                    <w:right w:val="none" w:sz="0" w:space="0" w:color="auto"/>
                  </w:divBdr>
                  <w:divsChild>
                    <w:div w:id="1612710961">
                      <w:marLeft w:val="0"/>
                      <w:marRight w:val="0"/>
                      <w:marTop w:val="0"/>
                      <w:marBottom w:val="0"/>
                      <w:divBdr>
                        <w:top w:val="none" w:sz="0" w:space="0" w:color="auto"/>
                        <w:left w:val="none" w:sz="0" w:space="0" w:color="auto"/>
                        <w:bottom w:val="none" w:sz="0" w:space="0" w:color="auto"/>
                        <w:right w:val="none" w:sz="0" w:space="0" w:color="auto"/>
                      </w:divBdr>
                    </w:div>
                  </w:divsChild>
                </w:div>
                <w:div w:id="1229416970">
                  <w:marLeft w:val="0"/>
                  <w:marRight w:val="0"/>
                  <w:marTop w:val="0"/>
                  <w:marBottom w:val="0"/>
                  <w:divBdr>
                    <w:top w:val="none" w:sz="0" w:space="0" w:color="auto"/>
                    <w:left w:val="none" w:sz="0" w:space="0" w:color="auto"/>
                    <w:bottom w:val="none" w:sz="0" w:space="0" w:color="auto"/>
                    <w:right w:val="none" w:sz="0" w:space="0" w:color="auto"/>
                  </w:divBdr>
                  <w:divsChild>
                    <w:div w:id="317078010">
                      <w:marLeft w:val="0"/>
                      <w:marRight w:val="0"/>
                      <w:marTop w:val="0"/>
                      <w:marBottom w:val="0"/>
                      <w:divBdr>
                        <w:top w:val="none" w:sz="0" w:space="0" w:color="auto"/>
                        <w:left w:val="none" w:sz="0" w:space="0" w:color="auto"/>
                        <w:bottom w:val="none" w:sz="0" w:space="0" w:color="auto"/>
                        <w:right w:val="none" w:sz="0" w:space="0" w:color="auto"/>
                      </w:divBdr>
                    </w:div>
                  </w:divsChild>
                </w:div>
                <w:div w:id="1245263198">
                  <w:marLeft w:val="0"/>
                  <w:marRight w:val="0"/>
                  <w:marTop w:val="0"/>
                  <w:marBottom w:val="0"/>
                  <w:divBdr>
                    <w:top w:val="none" w:sz="0" w:space="0" w:color="auto"/>
                    <w:left w:val="none" w:sz="0" w:space="0" w:color="auto"/>
                    <w:bottom w:val="none" w:sz="0" w:space="0" w:color="auto"/>
                    <w:right w:val="none" w:sz="0" w:space="0" w:color="auto"/>
                  </w:divBdr>
                  <w:divsChild>
                    <w:div w:id="156963096">
                      <w:marLeft w:val="0"/>
                      <w:marRight w:val="0"/>
                      <w:marTop w:val="0"/>
                      <w:marBottom w:val="0"/>
                      <w:divBdr>
                        <w:top w:val="none" w:sz="0" w:space="0" w:color="auto"/>
                        <w:left w:val="none" w:sz="0" w:space="0" w:color="auto"/>
                        <w:bottom w:val="none" w:sz="0" w:space="0" w:color="auto"/>
                        <w:right w:val="none" w:sz="0" w:space="0" w:color="auto"/>
                      </w:divBdr>
                    </w:div>
                  </w:divsChild>
                </w:div>
                <w:div w:id="1279338821">
                  <w:marLeft w:val="0"/>
                  <w:marRight w:val="0"/>
                  <w:marTop w:val="0"/>
                  <w:marBottom w:val="0"/>
                  <w:divBdr>
                    <w:top w:val="none" w:sz="0" w:space="0" w:color="auto"/>
                    <w:left w:val="none" w:sz="0" w:space="0" w:color="auto"/>
                    <w:bottom w:val="none" w:sz="0" w:space="0" w:color="auto"/>
                    <w:right w:val="none" w:sz="0" w:space="0" w:color="auto"/>
                  </w:divBdr>
                  <w:divsChild>
                    <w:div w:id="583682075">
                      <w:marLeft w:val="0"/>
                      <w:marRight w:val="0"/>
                      <w:marTop w:val="0"/>
                      <w:marBottom w:val="0"/>
                      <w:divBdr>
                        <w:top w:val="none" w:sz="0" w:space="0" w:color="auto"/>
                        <w:left w:val="none" w:sz="0" w:space="0" w:color="auto"/>
                        <w:bottom w:val="none" w:sz="0" w:space="0" w:color="auto"/>
                        <w:right w:val="none" w:sz="0" w:space="0" w:color="auto"/>
                      </w:divBdr>
                    </w:div>
                  </w:divsChild>
                </w:div>
                <w:div w:id="1323044416">
                  <w:marLeft w:val="0"/>
                  <w:marRight w:val="0"/>
                  <w:marTop w:val="0"/>
                  <w:marBottom w:val="0"/>
                  <w:divBdr>
                    <w:top w:val="none" w:sz="0" w:space="0" w:color="auto"/>
                    <w:left w:val="none" w:sz="0" w:space="0" w:color="auto"/>
                    <w:bottom w:val="none" w:sz="0" w:space="0" w:color="auto"/>
                    <w:right w:val="none" w:sz="0" w:space="0" w:color="auto"/>
                  </w:divBdr>
                  <w:divsChild>
                    <w:div w:id="1526096164">
                      <w:marLeft w:val="0"/>
                      <w:marRight w:val="0"/>
                      <w:marTop w:val="0"/>
                      <w:marBottom w:val="0"/>
                      <w:divBdr>
                        <w:top w:val="none" w:sz="0" w:space="0" w:color="auto"/>
                        <w:left w:val="none" w:sz="0" w:space="0" w:color="auto"/>
                        <w:bottom w:val="none" w:sz="0" w:space="0" w:color="auto"/>
                        <w:right w:val="none" w:sz="0" w:space="0" w:color="auto"/>
                      </w:divBdr>
                    </w:div>
                  </w:divsChild>
                </w:div>
                <w:div w:id="1410694016">
                  <w:marLeft w:val="0"/>
                  <w:marRight w:val="0"/>
                  <w:marTop w:val="0"/>
                  <w:marBottom w:val="0"/>
                  <w:divBdr>
                    <w:top w:val="none" w:sz="0" w:space="0" w:color="auto"/>
                    <w:left w:val="none" w:sz="0" w:space="0" w:color="auto"/>
                    <w:bottom w:val="none" w:sz="0" w:space="0" w:color="auto"/>
                    <w:right w:val="none" w:sz="0" w:space="0" w:color="auto"/>
                  </w:divBdr>
                  <w:divsChild>
                    <w:div w:id="93213764">
                      <w:marLeft w:val="0"/>
                      <w:marRight w:val="0"/>
                      <w:marTop w:val="0"/>
                      <w:marBottom w:val="0"/>
                      <w:divBdr>
                        <w:top w:val="none" w:sz="0" w:space="0" w:color="auto"/>
                        <w:left w:val="none" w:sz="0" w:space="0" w:color="auto"/>
                        <w:bottom w:val="none" w:sz="0" w:space="0" w:color="auto"/>
                        <w:right w:val="none" w:sz="0" w:space="0" w:color="auto"/>
                      </w:divBdr>
                    </w:div>
                  </w:divsChild>
                </w:div>
                <w:div w:id="1422600614">
                  <w:marLeft w:val="0"/>
                  <w:marRight w:val="0"/>
                  <w:marTop w:val="0"/>
                  <w:marBottom w:val="0"/>
                  <w:divBdr>
                    <w:top w:val="none" w:sz="0" w:space="0" w:color="auto"/>
                    <w:left w:val="none" w:sz="0" w:space="0" w:color="auto"/>
                    <w:bottom w:val="none" w:sz="0" w:space="0" w:color="auto"/>
                    <w:right w:val="none" w:sz="0" w:space="0" w:color="auto"/>
                  </w:divBdr>
                  <w:divsChild>
                    <w:div w:id="1351570653">
                      <w:marLeft w:val="0"/>
                      <w:marRight w:val="0"/>
                      <w:marTop w:val="0"/>
                      <w:marBottom w:val="0"/>
                      <w:divBdr>
                        <w:top w:val="none" w:sz="0" w:space="0" w:color="auto"/>
                        <w:left w:val="none" w:sz="0" w:space="0" w:color="auto"/>
                        <w:bottom w:val="none" w:sz="0" w:space="0" w:color="auto"/>
                        <w:right w:val="none" w:sz="0" w:space="0" w:color="auto"/>
                      </w:divBdr>
                    </w:div>
                  </w:divsChild>
                </w:div>
                <w:div w:id="1443765836">
                  <w:marLeft w:val="0"/>
                  <w:marRight w:val="0"/>
                  <w:marTop w:val="0"/>
                  <w:marBottom w:val="0"/>
                  <w:divBdr>
                    <w:top w:val="none" w:sz="0" w:space="0" w:color="auto"/>
                    <w:left w:val="none" w:sz="0" w:space="0" w:color="auto"/>
                    <w:bottom w:val="none" w:sz="0" w:space="0" w:color="auto"/>
                    <w:right w:val="none" w:sz="0" w:space="0" w:color="auto"/>
                  </w:divBdr>
                  <w:divsChild>
                    <w:div w:id="1758750930">
                      <w:marLeft w:val="0"/>
                      <w:marRight w:val="0"/>
                      <w:marTop w:val="0"/>
                      <w:marBottom w:val="0"/>
                      <w:divBdr>
                        <w:top w:val="none" w:sz="0" w:space="0" w:color="auto"/>
                        <w:left w:val="none" w:sz="0" w:space="0" w:color="auto"/>
                        <w:bottom w:val="none" w:sz="0" w:space="0" w:color="auto"/>
                        <w:right w:val="none" w:sz="0" w:space="0" w:color="auto"/>
                      </w:divBdr>
                    </w:div>
                  </w:divsChild>
                </w:div>
                <w:div w:id="1456171339">
                  <w:marLeft w:val="0"/>
                  <w:marRight w:val="0"/>
                  <w:marTop w:val="0"/>
                  <w:marBottom w:val="0"/>
                  <w:divBdr>
                    <w:top w:val="none" w:sz="0" w:space="0" w:color="auto"/>
                    <w:left w:val="none" w:sz="0" w:space="0" w:color="auto"/>
                    <w:bottom w:val="none" w:sz="0" w:space="0" w:color="auto"/>
                    <w:right w:val="none" w:sz="0" w:space="0" w:color="auto"/>
                  </w:divBdr>
                  <w:divsChild>
                    <w:div w:id="700520495">
                      <w:marLeft w:val="0"/>
                      <w:marRight w:val="0"/>
                      <w:marTop w:val="0"/>
                      <w:marBottom w:val="0"/>
                      <w:divBdr>
                        <w:top w:val="none" w:sz="0" w:space="0" w:color="auto"/>
                        <w:left w:val="none" w:sz="0" w:space="0" w:color="auto"/>
                        <w:bottom w:val="none" w:sz="0" w:space="0" w:color="auto"/>
                        <w:right w:val="none" w:sz="0" w:space="0" w:color="auto"/>
                      </w:divBdr>
                    </w:div>
                  </w:divsChild>
                </w:div>
                <w:div w:id="1460807821">
                  <w:marLeft w:val="0"/>
                  <w:marRight w:val="0"/>
                  <w:marTop w:val="0"/>
                  <w:marBottom w:val="0"/>
                  <w:divBdr>
                    <w:top w:val="none" w:sz="0" w:space="0" w:color="auto"/>
                    <w:left w:val="none" w:sz="0" w:space="0" w:color="auto"/>
                    <w:bottom w:val="none" w:sz="0" w:space="0" w:color="auto"/>
                    <w:right w:val="none" w:sz="0" w:space="0" w:color="auto"/>
                  </w:divBdr>
                  <w:divsChild>
                    <w:div w:id="274335273">
                      <w:marLeft w:val="0"/>
                      <w:marRight w:val="0"/>
                      <w:marTop w:val="0"/>
                      <w:marBottom w:val="0"/>
                      <w:divBdr>
                        <w:top w:val="none" w:sz="0" w:space="0" w:color="auto"/>
                        <w:left w:val="none" w:sz="0" w:space="0" w:color="auto"/>
                        <w:bottom w:val="none" w:sz="0" w:space="0" w:color="auto"/>
                        <w:right w:val="none" w:sz="0" w:space="0" w:color="auto"/>
                      </w:divBdr>
                    </w:div>
                  </w:divsChild>
                </w:div>
                <w:div w:id="1471097370">
                  <w:marLeft w:val="0"/>
                  <w:marRight w:val="0"/>
                  <w:marTop w:val="0"/>
                  <w:marBottom w:val="0"/>
                  <w:divBdr>
                    <w:top w:val="none" w:sz="0" w:space="0" w:color="auto"/>
                    <w:left w:val="none" w:sz="0" w:space="0" w:color="auto"/>
                    <w:bottom w:val="none" w:sz="0" w:space="0" w:color="auto"/>
                    <w:right w:val="none" w:sz="0" w:space="0" w:color="auto"/>
                  </w:divBdr>
                  <w:divsChild>
                    <w:div w:id="901915833">
                      <w:marLeft w:val="0"/>
                      <w:marRight w:val="0"/>
                      <w:marTop w:val="0"/>
                      <w:marBottom w:val="0"/>
                      <w:divBdr>
                        <w:top w:val="none" w:sz="0" w:space="0" w:color="auto"/>
                        <w:left w:val="none" w:sz="0" w:space="0" w:color="auto"/>
                        <w:bottom w:val="none" w:sz="0" w:space="0" w:color="auto"/>
                        <w:right w:val="none" w:sz="0" w:space="0" w:color="auto"/>
                      </w:divBdr>
                    </w:div>
                  </w:divsChild>
                </w:div>
                <w:div w:id="1487160167">
                  <w:marLeft w:val="0"/>
                  <w:marRight w:val="0"/>
                  <w:marTop w:val="0"/>
                  <w:marBottom w:val="0"/>
                  <w:divBdr>
                    <w:top w:val="none" w:sz="0" w:space="0" w:color="auto"/>
                    <w:left w:val="none" w:sz="0" w:space="0" w:color="auto"/>
                    <w:bottom w:val="none" w:sz="0" w:space="0" w:color="auto"/>
                    <w:right w:val="none" w:sz="0" w:space="0" w:color="auto"/>
                  </w:divBdr>
                  <w:divsChild>
                    <w:div w:id="273101416">
                      <w:marLeft w:val="0"/>
                      <w:marRight w:val="0"/>
                      <w:marTop w:val="0"/>
                      <w:marBottom w:val="0"/>
                      <w:divBdr>
                        <w:top w:val="none" w:sz="0" w:space="0" w:color="auto"/>
                        <w:left w:val="none" w:sz="0" w:space="0" w:color="auto"/>
                        <w:bottom w:val="none" w:sz="0" w:space="0" w:color="auto"/>
                        <w:right w:val="none" w:sz="0" w:space="0" w:color="auto"/>
                      </w:divBdr>
                    </w:div>
                  </w:divsChild>
                </w:div>
                <w:div w:id="1518806390">
                  <w:marLeft w:val="0"/>
                  <w:marRight w:val="0"/>
                  <w:marTop w:val="0"/>
                  <w:marBottom w:val="0"/>
                  <w:divBdr>
                    <w:top w:val="none" w:sz="0" w:space="0" w:color="auto"/>
                    <w:left w:val="none" w:sz="0" w:space="0" w:color="auto"/>
                    <w:bottom w:val="none" w:sz="0" w:space="0" w:color="auto"/>
                    <w:right w:val="none" w:sz="0" w:space="0" w:color="auto"/>
                  </w:divBdr>
                  <w:divsChild>
                    <w:div w:id="1638146526">
                      <w:marLeft w:val="0"/>
                      <w:marRight w:val="0"/>
                      <w:marTop w:val="0"/>
                      <w:marBottom w:val="0"/>
                      <w:divBdr>
                        <w:top w:val="none" w:sz="0" w:space="0" w:color="auto"/>
                        <w:left w:val="none" w:sz="0" w:space="0" w:color="auto"/>
                        <w:bottom w:val="none" w:sz="0" w:space="0" w:color="auto"/>
                        <w:right w:val="none" w:sz="0" w:space="0" w:color="auto"/>
                      </w:divBdr>
                    </w:div>
                  </w:divsChild>
                </w:div>
                <w:div w:id="1519006915">
                  <w:marLeft w:val="0"/>
                  <w:marRight w:val="0"/>
                  <w:marTop w:val="0"/>
                  <w:marBottom w:val="0"/>
                  <w:divBdr>
                    <w:top w:val="none" w:sz="0" w:space="0" w:color="auto"/>
                    <w:left w:val="none" w:sz="0" w:space="0" w:color="auto"/>
                    <w:bottom w:val="none" w:sz="0" w:space="0" w:color="auto"/>
                    <w:right w:val="none" w:sz="0" w:space="0" w:color="auto"/>
                  </w:divBdr>
                  <w:divsChild>
                    <w:div w:id="1777558741">
                      <w:marLeft w:val="0"/>
                      <w:marRight w:val="0"/>
                      <w:marTop w:val="0"/>
                      <w:marBottom w:val="0"/>
                      <w:divBdr>
                        <w:top w:val="none" w:sz="0" w:space="0" w:color="auto"/>
                        <w:left w:val="none" w:sz="0" w:space="0" w:color="auto"/>
                        <w:bottom w:val="none" w:sz="0" w:space="0" w:color="auto"/>
                        <w:right w:val="none" w:sz="0" w:space="0" w:color="auto"/>
                      </w:divBdr>
                    </w:div>
                  </w:divsChild>
                </w:div>
                <w:div w:id="1533035646">
                  <w:marLeft w:val="0"/>
                  <w:marRight w:val="0"/>
                  <w:marTop w:val="0"/>
                  <w:marBottom w:val="0"/>
                  <w:divBdr>
                    <w:top w:val="none" w:sz="0" w:space="0" w:color="auto"/>
                    <w:left w:val="none" w:sz="0" w:space="0" w:color="auto"/>
                    <w:bottom w:val="none" w:sz="0" w:space="0" w:color="auto"/>
                    <w:right w:val="none" w:sz="0" w:space="0" w:color="auto"/>
                  </w:divBdr>
                  <w:divsChild>
                    <w:div w:id="458955023">
                      <w:marLeft w:val="0"/>
                      <w:marRight w:val="0"/>
                      <w:marTop w:val="0"/>
                      <w:marBottom w:val="0"/>
                      <w:divBdr>
                        <w:top w:val="none" w:sz="0" w:space="0" w:color="auto"/>
                        <w:left w:val="none" w:sz="0" w:space="0" w:color="auto"/>
                        <w:bottom w:val="none" w:sz="0" w:space="0" w:color="auto"/>
                        <w:right w:val="none" w:sz="0" w:space="0" w:color="auto"/>
                      </w:divBdr>
                    </w:div>
                  </w:divsChild>
                </w:div>
                <w:div w:id="1590887739">
                  <w:marLeft w:val="0"/>
                  <w:marRight w:val="0"/>
                  <w:marTop w:val="0"/>
                  <w:marBottom w:val="0"/>
                  <w:divBdr>
                    <w:top w:val="none" w:sz="0" w:space="0" w:color="auto"/>
                    <w:left w:val="none" w:sz="0" w:space="0" w:color="auto"/>
                    <w:bottom w:val="none" w:sz="0" w:space="0" w:color="auto"/>
                    <w:right w:val="none" w:sz="0" w:space="0" w:color="auto"/>
                  </w:divBdr>
                  <w:divsChild>
                    <w:div w:id="544028905">
                      <w:marLeft w:val="0"/>
                      <w:marRight w:val="0"/>
                      <w:marTop w:val="0"/>
                      <w:marBottom w:val="0"/>
                      <w:divBdr>
                        <w:top w:val="none" w:sz="0" w:space="0" w:color="auto"/>
                        <w:left w:val="none" w:sz="0" w:space="0" w:color="auto"/>
                        <w:bottom w:val="none" w:sz="0" w:space="0" w:color="auto"/>
                        <w:right w:val="none" w:sz="0" w:space="0" w:color="auto"/>
                      </w:divBdr>
                    </w:div>
                  </w:divsChild>
                </w:div>
                <w:div w:id="1620716774">
                  <w:marLeft w:val="0"/>
                  <w:marRight w:val="0"/>
                  <w:marTop w:val="0"/>
                  <w:marBottom w:val="0"/>
                  <w:divBdr>
                    <w:top w:val="none" w:sz="0" w:space="0" w:color="auto"/>
                    <w:left w:val="none" w:sz="0" w:space="0" w:color="auto"/>
                    <w:bottom w:val="none" w:sz="0" w:space="0" w:color="auto"/>
                    <w:right w:val="none" w:sz="0" w:space="0" w:color="auto"/>
                  </w:divBdr>
                  <w:divsChild>
                    <w:div w:id="268780871">
                      <w:marLeft w:val="0"/>
                      <w:marRight w:val="0"/>
                      <w:marTop w:val="0"/>
                      <w:marBottom w:val="0"/>
                      <w:divBdr>
                        <w:top w:val="none" w:sz="0" w:space="0" w:color="auto"/>
                        <w:left w:val="none" w:sz="0" w:space="0" w:color="auto"/>
                        <w:bottom w:val="none" w:sz="0" w:space="0" w:color="auto"/>
                        <w:right w:val="none" w:sz="0" w:space="0" w:color="auto"/>
                      </w:divBdr>
                    </w:div>
                  </w:divsChild>
                </w:div>
                <w:div w:id="1632401939">
                  <w:marLeft w:val="0"/>
                  <w:marRight w:val="0"/>
                  <w:marTop w:val="0"/>
                  <w:marBottom w:val="0"/>
                  <w:divBdr>
                    <w:top w:val="none" w:sz="0" w:space="0" w:color="auto"/>
                    <w:left w:val="none" w:sz="0" w:space="0" w:color="auto"/>
                    <w:bottom w:val="none" w:sz="0" w:space="0" w:color="auto"/>
                    <w:right w:val="none" w:sz="0" w:space="0" w:color="auto"/>
                  </w:divBdr>
                  <w:divsChild>
                    <w:div w:id="1519999425">
                      <w:marLeft w:val="0"/>
                      <w:marRight w:val="0"/>
                      <w:marTop w:val="0"/>
                      <w:marBottom w:val="0"/>
                      <w:divBdr>
                        <w:top w:val="none" w:sz="0" w:space="0" w:color="auto"/>
                        <w:left w:val="none" w:sz="0" w:space="0" w:color="auto"/>
                        <w:bottom w:val="none" w:sz="0" w:space="0" w:color="auto"/>
                        <w:right w:val="none" w:sz="0" w:space="0" w:color="auto"/>
                      </w:divBdr>
                    </w:div>
                  </w:divsChild>
                </w:div>
                <w:div w:id="1636980937">
                  <w:marLeft w:val="0"/>
                  <w:marRight w:val="0"/>
                  <w:marTop w:val="0"/>
                  <w:marBottom w:val="0"/>
                  <w:divBdr>
                    <w:top w:val="none" w:sz="0" w:space="0" w:color="auto"/>
                    <w:left w:val="none" w:sz="0" w:space="0" w:color="auto"/>
                    <w:bottom w:val="none" w:sz="0" w:space="0" w:color="auto"/>
                    <w:right w:val="none" w:sz="0" w:space="0" w:color="auto"/>
                  </w:divBdr>
                  <w:divsChild>
                    <w:div w:id="1349714036">
                      <w:marLeft w:val="0"/>
                      <w:marRight w:val="0"/>
                      <w:marTop w:val="0"/>
                      <w:marBottom w:val="0"/>
                      <w:divBdr>
                        <w:top w:val="none" w:sz="0" w:space="0" w:color="auto"/>
                        <w:left w:val="none" w:sz="0" w:space="0" w:color="auto"/>
                        <w:bottom w:val="none" w:sz="0" w:space="0" w:color="auto"/>
                        <w:right w:val="none" w:sz="0" w:space="0" w:color="auto"/>
                      </w:divBdr>
                    </w:div>
                  </w:divsChild>
                </w:div>
                <w:div w:id="1638948491">
                  <w:marLeft w:val="0"/>
                  <w:marRight w:val="0"/>
                  <w:marTop w:val="0"/>
                  <w:marBottom w:val="0"/>
                  <w:divBdr>
                    <w:top w:val="none" w:sz="0" w:space="0" w:color="auto"/>
                    <w:left w:val="none" w:sz="0" w:space="0" w:color="auto"/>
                    <w:bottom w:val="none" w:sz="0" w:space="0" w:color="auto"/>
                    <w:right w:val="none" w:sz="0" w:space="0" w:color="auto"/>
                  </w:divBdr>
                  <w:divsChild>
                    <w:div w:id="1495099378">
                      <w:marLeft w:val="0"/>
                      <w:marRight w:val="0"/>
                      <w:marTop w:val="0"/>
                      <w:marBottom w:val="0"/>
                      <w:divBdr>
                        <w:top w:val="none" w:sz="0" w:space="0" w:color="auto"/>
                        <w:left w:val="none" w:sz="0" w:space="0" w:color="auto"/>
                        <w:bottom w:val="none" w:sz="0" w:space="0" w:color="auto"/>
                        <w:right w:val="none" w:sz="0" w:space="0" w:color="auto"/>
                      </w:divBdr>
                    </w:div>
                  </w:divsChild>
                </w:div>
                <w:div w:id="1644430564">
                  <w:marLeft w:val="0"/>
                  <w:marRight w:val="0"/>
                  <w:marTop w:val="0"/>
                  <w:marBottom w:val="0"/>
                  <w:divBdr>
                    <w:top w:val="none" w:sz="0" w:space="0" w:color="auto"/>
                    <w:left w:val="none" w:sz="0" w:space="0" w:color="auto"/>
                    <w:bottom w:val="none" w:sz="0" w:space="0" w:color="auto"/>
                    <w:right w:val="none" w:sz="0" w:space="0" w:color="auto"/>
                  </w:divBdr>
                  <w:divsChild>
                    <w:div w:id="200942954">
                      <w:marLeft w:val="0"/>
                      <w:marRight w:val="0"/>
                      <w:marTop w:val="0"/>
                      <w:marBottom w:val="0"/>
                      <w:divBdr>
                        <w:top w:val="none" w:sz="0" w:space="0" w:color="auto"/>
                        <w:left w:val="none" w:sz="0" w:space="0" w:color="auto"/>
                        <w:bottom w:val="none" w:sz="0" w:space="0" w:color="auto"/>
                        <w:right w:val="none" w:sz="0" w:space="0" w:color="auto"/>
                      </w:divBdr>
                    </w:div>
                  </w:divsChild>
                </w:div>
                <w:div w:id="1685746936">
                  <w:marLeft w:val="0"/>
                  <w:marRight w:val="0"/>
                  <w:marTop w:val="0"/>
                  <w:marBottom w:val="0"/>
                  <w:divBdr>
                    <w:top w:val="none" w:sz="0" w:space="0" w:color="auto"/>
                    <w:left w:val="none" w:sz="0" w:space="0" w:color="auto"/>
                    <w:bottom w:val="none" w:sz="0" w:space="0" w:color="auto"/>
                    <w:right w:val="none" w:sz="0" w:space="0" w:color="auto"/>
                  </w:divBdr>
                  <w:divsChild>
                    <w:div w:id="1064988882">
                      <w:marLeft w:val="0"/>
                      <w:marRight w:val="0"/>
                      <w:marTop w:val="0"/>
                      <w:marBottom w:val="0"/>
                      <w:divBdr>
                        <w:top w:val="none" w:sz="0" w:space="0" w:color="auto"/>
                        <w:left w:val="none" w:sz="0" w:space="0" w:color="auto"/>
                        <w:bottom w:val="none" w:sz="0" w:space="0" w:color="auto"/>
                        <w:right w:val="none" w:sz="0" w:space="0" w:color="auto"/>
                      </w:divBdr>
                    </w:div>
                  </w:divsChild>
                </w:div>
                <w:div w:id="1691179733">
                  <w:marLeft w:val="0"/>
                  <w:marRight w:val="0"/>
                  <w:marTop w:val="0"/>
                  <w:marBottom w:val="0"/>
                  <w:divBdr>
                    <w:top w:val="none" w:sz="0" w:space="0" w:color="auto"/>
                    <w:left w:val="none" w:sz="0" w:space="0" w:color="auto"/>
                    <w:bottom w:val="none" w:sz="0" w:space="0" w:color="auto"/>
                    <w:right w:val="none" w:sz="0" w:space="0" w:color="auto"/>
                  </w:divBdr>
                  <w:divsChild>
                    <w:div w:id="941766222">
                      <w:marLeft w:val="0"/>
                      <w:marRight w:val="0"/>
                      <w:marTop w:val="0"/>
                      <w:marBottom w:val="0"/>
                      <w:divBdr>
                        <w:top w:val="none" w:sz="0" w:space="0" w:color="auto"/>
                        <w:left w:val="none" w:sz="0" w:space="0" w:color="auto"/>
                        <w:bottom w:val="none" w:sz="0" w:space="0" w:color="auto"/>
                        <w:right w:val="none" w:sz="0" w:space="0" w:color="auto"/>
                      </w:divBdr>
                    </w:div>
                  </w:divsChild>
                </w:div>
                <w:div w:id="1729762863">
                  <w:marLeft w:val="0"/>
                  <w:marRight w:val="0"/>
                  <w:marTop w:val="0"/>
                  <w:marBottom w:val="0"/>
                  <w:divBdr>
                    <w:top w:val="none" w:sz="0" w:space="0" w:color="auto"/>
                    <w:left w:val="none" w:sz="0" w:space="0" w:color="auto"/>
                    <w:bottom w:val="none" w:sz="0" w:space="0" w:color="auto"/>
                    <w:right w:val="none" w:sz="0" w:space="0" w:color="auto"/>
                  </w:divBdr>
                  <w:divsChild>
                    <w:div w:id="1054239584">
                      <w:marLeft w:val="0"/>
                      <w:marRight w:val="0"/>
                      <w:marTop w:val="0"/>
                      <w:marBottom w:val="0"/>
                      <w:divBdr>
                        <w:top w:val="none" w:sz="0" w:space="0" w:color="auto"/>
                        <w:left w:val="none" w:sz="0" w:space="0" w:color="auto"/>
                        <w:bottom w:val="none" w:sz="0" w:space="0" w:color="auto"/>
                        <w:right w:val="none" w:sz="0" w:space="0" w:color="auto"/>
                      </w:divBdr>
                    </w:div>
                  </w:divsChild>
                </w:div>
                <w:div w:id="1738283313">
                  <w:marLeft w:val="0"/>
                  <w:marRight w:val="0"/>
                  <w:marTop w:val="0"/>
                  <w:marBottom w:val="0"/>
                  <w:divBdr>
                    <w:top w:val="none" w:sz="0" w:space="0" w:color="auto"/>
                    <w:left w:val="none" w:sz="0" w:space="0" w:color="auto"/>
                    <w:bottom w:val="none" w:sz="0" w:space="0" w:color="auto"/>
                    <w:right w:val="none" w:sz="0" w:space="0" w:color="auto"/>
                  </w:divBdr>
                  <w:divsChild>
                    <w:div w:id="46145771">
                      <w:marLeft w:val="0"/>
                      <w:marRight w:val="0"/>
                      <w:marTop w:val="0"/>
                      <w:marBottom w:val="0"/>
                      <w:divBdr>
                        <w:top w:val="none" w:sz="0" w:space="0" w:color="auto"/>
                        <w:left w:val="none" w:sz="0" w:space="0" w:color="auto"/>
                        <w:bottom w:val="none" w:sz="0" w:space="0" w:color="auto"/>
                        <w:right w:val="none" w:sz="0" w:space="0" w:color="auto"/>
                      </w:divBdr>
                    </w:div>
                  </w:divsChild>
                </w:div>
                <w:div w:id="1772430650">
                  <w:marLeft w:val="0"/>
                  <w:marRight w:val="0"/>
                  <w:marTop w:val="0"/>
                  <w:marBottom w:val="0"/>
                  <w:divBdr>
                    <w:top w:val="none" w:sz="0" w:space="0" w:color="auto"/>
                    <w:left w:val="none" w:sz="0" w:space="0" w:color="auto"/>
                    <w:bottom w:val="none" w:sz="0" w:space="0" w:color="auto"/>
                    <w:right w:val="none" w:sz="0" w:space="0" w:color="auto"/>
                  </w:divBdr>
                  <w:divsChild>
                    <w:div w:id="1136526229">
                      <w:marLeft w:val="0"/>
                      <w:marRight w:val="0"/>
                      <w:marTop w:val="0"/>
                      <w:marBottom w:val="0"/>
                      <w:divBdr>
                        <w:top w:val="none" w:sz="0" w:space="0" w:color="auto"/>
                        <w:left w:val="none" w:sz="0" w:space="0" w:color="auto"/>
                        <w:bottom w:val="none" w:sz="0" w:space="0" w:color="auto"/>
                        <w:right w:val="none" w:sz="0" w:space="0" w:color="auto"/>
                      </w:divBdr>
                    </w:div>
                  </w:divsChild>
                </w:div>
                <w:div w:id="1783189081">
                  <w:marLeft w:val="0"/>
                  <w:marRight w:val="0"/>
                  <w:marTop w:val="0"/>
                  <w:marBottom w:val="0"/>
                  <w:divBdr>
                    <w:top w:val="none" w:sz="0" w:space="0" w:color="auto"/>
                    <w:left w:val="none" w:sz="0" w:space="0" w:color="auto"/>
                    <w:bottom w:val="none" w:sz="0" w:space="0" w:color="auto"/>
                    <w:right w:val="none" w:sz="0" w:space="0" w:color="auto"/>
                  </w:divBdr>
                  <w:divsChild>
                    <w:div w:id="1199313570">
                      <w:marLeft w:val="0"/>
                      <w:marRight w:val="0"/>
                      <w:marTop w:val="0"/>
                      <w:marBottom w:val="0"/>
                      <w:divBdr>
                        <w:top w:val="none" w:sz="0" w:space="0" w:color="auto"/>
                        <w:left w:val="none" w:sz="0" w:space="0" w:color="auto"/>
                        <w:bottom w:val="none" w:sz="0" w:space="0" w:color="auto"/>
                        <w:right w:val="none" w:sz="0" w:space="0" w:color="auto"/>
                      </w:divBdr>
                    </w:div>
                  </w:divsChild>
                </w:div>
                <w:div w:id="1835729937">
                  <w:marLeft w:val="0"/>
                  <w:marRight w:val="0"/>
                  <w:marTop w:val="0"/>
                  <w:marBottom w:val="0"/>
                  <w:divBdr>
                    <w:top w:val="none" w:sz="0" w:space="0" w:color="auto"/>
                    <w:left w:val="none" w:sz="0" w:space="0" w:color="auto"/>
                    <w:bottom w:val="none" w:sz="0" w:space="0" w:color="auto"/>
                    <w:right w:val="none" w:sz="0" w:space="0" w:color="auto"/>
                  </w:divBdr>
                  <w:divsChild>
                    <w:div w:id="1104151568">
                      <w:marLeft w:val="0"/>
                      <w:marRight w:val="0"/>
                      <w:marTop w:val="0"/>
                      <w:marBottom w:val="0"/>
                      <w:divBdr>
                        <w:top w:val="none" w:sz="0" w:space="0" w:color="auto"/>
                        <w:left w:val="none" w:sz="0" w:space="0" w:color="auto"/>
                        <w:bottom w:val="none" w:sz="0" w:space="0" w:color="auto"/>
                        <w:right w:val="none" w:sz="0" w:space="0" w:color="auto"/>
                      </w:divBdr>
                    </w:div>
                  </w:divsChild>
                </w:div>
                <w:div w:id="1845124120">
                  <w:marLeft w:val="0"/>
                  <w:marRight w:val="0"/>
                  <w:marTop w:val="0"/>
                  <w:marBottom w:val="0"/>
                  <w:divBdr>
                    <w:top w:val="none" w:sz="0" w:space="0" w:color="auto"/>
                    <w:left w:val="none" w:sz="0" w:space="0" w:color="auto"/>
                    <w:bottom w:val="none" w:sz="0" w:space="0" w:color="auto"/>
                    <w:right w:val="none" w:sz="0" w:space="0" w:color="auto"/>
                  </w:divBdr>
                  <w:divsChild>
                    <w:div w:id="112214117">
                      <w:marLeft w:val="0"/>
                      <w:marRight w:val="0"/>
                      <w:marTop w:val="0"/>
                      <w:marBottom w:val="0"/>
                      <w:divBdr>
                        <w:top w:val="none" w:sz="0" w:space="0" w:color="auto"/>
                        <w:left w:val="none" w:sz="0" w:space="0" w:color="auto"/>
                        <w:bottom w:val="none" w:sz="0" w:space="0" w:color="auto"/>
                        <w:right w:val="none" w:sz="0" w:space="0" w:color="auto"/>
                      </w:divBdr>
                    </w:div>
                  </w:divsChild>
                </w:div>
                <w:div w:id="1943412419">
                  <w:marLeft w:val="0"/>
                  <w:marRight w:val="0"/>
                  <w:marTop w:val="0"/>
                  <w:marBottom w:val="0"/>
                  <w:divBdr>
                    <w:top w:val="none" w:sz="0" w:space="0" w:color="auto"/>
                    <w:left w:val="none" w:sz="0" w:space="0" w:color="auto"/>
                    <w:bottom w:val="none" w:sz="0" w:space="0" w:color="auto"/>
                    <w:right w:val="none" w:sz="0" w:space="0" w:color="auto"/>
                  </w:divBdr>
                  <w:divsChild>
                    <w:div w:id="145708298">
                      <w:marLeft w:val="0"/>
                      <w:marRight w:val="0"/>
                      <w:marTop w:val="0"/>
                      <w:marBottom w:val="0"/>
                      <w:divBdr>
                        <w:top w:val="none" w:sz="0" w:space="0" w:color="auto"/>
                        <w:left w:val="none" w:sz="0" w:space="0" w:color="auto"/>
                        <w:bottom w:val="none" w:sz="0" w:space="0" w:color="auto"/>
                        <w:right w:val="none" w:sz="0" w:space="0" w:color="auto"/>
                      </w:divBdr>
                    </w:div>
                  </w:divsChild>
                </w:div>
                <w:div w:id="1955286999">
                  <w:marLeft w:val="0"/>
                  <w:marRight w:val="0"/>
                  <w:marTop w:val="0"/>
                  <w:marBottom w:val="0"/>
                  <w:divBdr>
                    <w:top w:val="none" w:sz="0" w:space="0" w:color="auto"/>
                    <w:left w:val="none" w:sz="0" w:space="0" w:color="auto"/>
                    <w:bottom w:val="none" w:sz="0" w:space="0" w:color="auto"/>
                    <w:right w:val="none" w:sz="0" w:space="0" w:color="auto"/>
                  </w:divBdr>
                  <w:divsChild>
                    <w:div w:id="223413084">
                      <w:marLeft w:val="0"/>
                      <w:marRight w:val="0"/>
                      <w:marTop w:val="0"/>
                      <w:marBottom w:val="0"/>
                      <w:divBdr>
                        <w:top w:val="none" w:sz="0" w:space="0" w:color="auto"/>
                        <w:left w:val="none" w:sz="0" w:space="0" w:color="auto"/>
                        <w:bottom w:val="none" w:sz="0" w:space="0" w:color="auto"/>
                        <w:right w:val="none" w:sz="0" w:space="0" w:color="auto"/>
                      </w:divBdr>
                    </w:div>
                  </w:divsChild>
                </w:div>
                <w:div w:id="1997564569">
                  <w:marLeft w:val="0"/>
                  <w:marRight w:val="0"/>
                  <w:marTop w:val="0"/>
                  <w:marBottom w:val="0"/>
                  <w:divBdr>
                    <w:top w:val="none" w:sz="0" w:space="0" w:color="auto"/>
                    <w:left w:val="none" w:sz="0" w:space="0" w:color="auto"/>
                    <w:bottom w:val="none" w:sz="0" w:space="0" w:color="auto"/>
                    <w:right w:val="none" w:sz="0" w:space="0" w:color="auto"/>
                  </w:divBdr>
                  <w:divsChild>
                    <w:div w:id="404379600">
                      <w:marLeft w:val="0"/>
                      <w:marRight w:val="0"/>
                      <w:marTop w:val="0"/>
                      <w:marBottom w:val="0"/>
                      <w:divBdr>
                        <w:top w:val="none" w:sz="0" w:space="0" w:color="auto"/>
                        <w:left w:val="none" w:sz="0" w:space="0" w:color="auto"/>
                        <w:bottom w:val="none" w:sz="0" w:space="0" w:color="auto"/>
                        <w:right w:val="none" w:sz="0" w:space="0" w:color="auto"/>
                      </w:divBdr>
                    </w:div>
                  </w:divsChild>
                </w:div>
                <w:div w:id="2027907059">
                  <w:marLeft w:val="0"/>
                  <w:marRight w:val="0"/>
                  <w:marTop w:val="0"/>
                  <w:marBottom w:val="0"/>
                  <w:divBdr>
                    <w:top w:val="none" w:sz="0" w:space="0" w:color="auto"/>
                    <w:left w:val="none" w:sz="0" w:space="0" w:color="auto"/>
                    <w:bottom w:val="none" w:sz="0" w:space="0" w:color="auto"/>
                    <w:right w:val="none" w:sz="0" w:space="0" w:color="auto"/>
                  </w:divBdr>
                  <w:divsChild>
                    <w:div w:id="994534654">
                      <w:marLeft w:val="0"/>
                      <w:marRight w:val="0"/>
                      <w:marTop w:val="0"/>
                      <w:marBottom w:val="0"/>
                      <w:divBdr>
                        <w:top w:val="none" w:sz="0" w:space="0" w:color="auto"/>
                        <w:left w:val="none" w:sz="0" w:space="0" w:color="auto"/>
                        <w:bottom w:val="none" w:sz="0" w:space="0" w:color="auto"/>
                        <w:right w:val="none" w:sz="0" w:space="0" w:color="auto"/>
                      </w:divBdr>
                    </w:div>
                  </w:divsChild>
                </w:div>
                <w:div w:id="2041009192">
                  <w:marLeft w:val="0"/>
                  <w:marRight w:val="0"/>
                  <w:marTop w:val="0"/>
                  <w:marBottom w:val="0"/>
                  <w:divBdr>
                    <w:top w:val="none" w:sz="0" w:space="0" w:color="auto"/>
                    <w:left w:val="none" w:sz="0" w:space="0" w:color="auto"/>
                    <w:bottom w:val="none" w:sz="0" w:space="0" w:color="auto"/>
                    <w:right w:val="none" w:sz="0" w:space="0" w:color="auto"/>
                  </w:divBdr>
                  <w:divsChild>
                    <w:div w:id="1597447013">
                      <w:marLeft w:val="0"/>
                      <w:marRight w:val="0"/>
                      <w:marTop w:val="0"/>
                      <w:marBottom w:val="0"/>
                      <w:divBdr>
                        <w:top w:val="none" w:sz="0" w:space="0" w:color="auto"/>
                        <w:left w:val="none" w:sz="0" w:space="0" w:color="auto"/>
                        <w:bottom w:val="none" w:sz="0" w:space="0" w:color="auto"/>
                        <w:right w:val="none" w:sz="0" w:space="0" w:color="auto"/>
                      </w:divBdr>
                    </w:div>
                  </w:divsChild>
                </w:div>
                <w:div w:id="2067681683">
                  <w:marLeft w:val="0"/>
                  <w:marRight w:val="0"/>
                  <w:marTop w:val="0"/>
                  <w:marBottom w:val="0"/>
                  <w:divBdr>
                    <w:top w:val="none" w:sz="0" w:space="0" w:color="auto"/>
                    <w:left w:val="none" w:sz="0" w:space="0" w:color="auto"/>
                    <w:bottom w:val="none" w:sz="0" w:space="0" w:color="auto"/>
                    <w:right w:val="none" w:sz="0" w:space="0" w:color="auto"/>
                  </w:divBdr>
                  <w:divsChild>
                    <w:div w:id="528564835">
                      <w:marLeft w:val="0"/>
                      <w:marRight w:val="0"/>
                      <w:marTop w:val="0"/>
                      <w:marBottom w:val="0"/>
                      <w:divBdr>
                        <w:top w:val="none" w:sz="0" w:space="0" w:color="auto"/>
                        <w:left w:val="none" w:sz="0" w:space="0" w:color="auto"/>
                        <w:bottom w:val="none" w:sz="0" w:space="0" w:color="auto"/>
                        <w:right w:val="none" w:sz="0" w:space="0" w:color="auto"/>
                      </w:divBdr>
                    </w:div>
                  </w:divsChild>
                </w:div>
                <w:div w:id="2097818920">
                  <w:marLeft w:val="0"/>
                  <w:marRight w:val="0"/>
                  <w:marTop w:val="0"/>
                  <w:marBottom w:val="0"/>
                  <w:divBdr>
                    <w:top w:val="none" w:sz="0" w:space="0" w:color="auto"/>
                    <w:left w:val="none" w:sz="0" w:space="0" w:color="auto"/>
                    <w:bottom w:val="none" w:sz="0" w:space="0" w:color="auto"/>
                    <w:right w:val="none" w:sz="0" w:space="0" w:color="auto"/>
                  </w:divBdr>
                  <w:divsChild>
                    <w:div w:id="440223402">
                      <w:marLeft w:val="0"/>
                      <w:marRight w:val="0"/>
                      <w:marTop w:val="0"/>
                      <w:marBottom w:val="0"/>
                      <w:divBdr>
                        <w:top w:val="none" w:sz="0" w:space="0" w:color="auto"/>
                        <w:left w:val="none" w:sz="0" w:space="0" w:color="auto"/>
                        <w:bottom w:val="none" w:sz="0" w:space="0" w:color="auto"/>
                        <w:right w:val="none" w:sz="0" w:space="0" w:color="auto"/>
                      </w:divBdr>
                    </w:div>
                  </w:divsChild>
                </w:div>
                <w:div w:id="2098672538">
                  <w:marLeft w:val="0"/>
                  <w:marRight w:val="0"/>
                  <w:marTop w:val="0"/>
                  <w:marBottom w:val="0"/>
                  <w:divBdr>
                    <w:top w:val="none" w:sz="0" w:space="0" w:color="auto"/>
                    <w:left w:val="none" w:sz="0" w:space="0" w:color="auto"/>
                    <w:bottom w:val="none" w:sz="0" w:space="0" w:color="auto"/>
                    <w:right w:val="none" w:sz="0" w:space="0" w:color="auto"/>
                  </w:divBdr>
                  <w:divsChild>
                    <w:div w:id="213092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918632">
      <w:bodyDiv w:val="1"/>
      <w:marLeft w:val="0"/>
      <w:marRight w:val="0"/>
      <w:marTop w:val="0"/>
      <w:marBottom w:val="0"/>
      <w:divBdr>
        <w:top w:val="none" w:sz="0" w:space="0" w:color="auto"/>
        <w:left w:val="none" w:sz="0" w:space="0" w:color="auto"/>
        <w:bottom w:val="none" w:sz="0" w:space="0" w:color="auto"/>
        <w:right w:val="none" w:sz="0" w:space="0" w:color="auto"/>
      </w:divBdr>
    </w:div>
    <w:div w:id="2098284017">
      <w:bodyDiv w:val="1"/>
      <w:marLeft w:val="0"/>
      <w:marRight w:val="0"/>
      <w:marTop w:val="0"/>
      <w:marBottom w:val="0"/>
      <w:divBdr>
        <w:top w:val="none" w:sz="0" w:space="0" w:color="auto"/>
        <w:left w:val="none" w:sz="0" w:space="0" w:color="auto"/>
        <w:bottom w:val="none" w:sz="0" w:space="0" w:color="auto"/>
        <w:right w:val="none" w:sz="0" w:space="0" w:color="auto"/>
      </w:divBdr>
    </w:div>
    <w:div w:id="2118476303">
      <w:bodyDiv w:val="1"/>
      <w:marLeft w:val="0"/>
      <w:marRight w:val="0"/>
      <w:marTop w:val="0"/>
      <w:marBottom w:val="0"/>
      <w:divBdr>
        <w:top w:val="none" w:sz="0" w:space="0" w:color="auto"/>
        <w:left w:val="none" w:sz="0" w:space="0" w:color="auto"/>
        <w:bottom w:val="none" w:sz="0" w:space="0" w:color="auto"/>
        <w:right w:val="none" w:sz="0" w:space="0" w:color="auto"/>
      </w:divBdr>
      <w:divsChild>
        <w:div w:id="871386778">
          <w:marLeft w:val="0"/>
          <w:marRight w:val="0"/>
          <w:marTop w:val="0"/>
          <w:marBottom w:val="0"/>
          <w:divBdr>
            <w:top w:val="none" w:sz="0" w:space="0" w:color="auto"/>
            <w:left w:val="none" w:sz="0" w:space="0" w:color="auto"/>
            <w:bottom w:val="none" w:sz="0" w:space="0" w:color="auto"/>
            <w:right w:val="none" w:sz="0" w:space="0" w:color="auto"/>
          </w:divBdr>
          <w:divsChild>
            <w:div w:id="177044033">
              <w:marLeft w:val="0"/>
              <w:marRight w:val="0"/>
              <w:marTop w:val="0"/>
              <w:marBottom w:val="0"/>
              <w:divBdr>
                <w:top w:val="none" w:sz="0" w:space="0" w:color="auto"/>
                <w:left w:val="none" w:sz="0" w:space="0" w:color="auto"/>
                <w:bottom w:val="none" w:sz="0" w:space="0" w:color="auto"/>
                <w:right w:val="none" w:sz="0" w:space="0" w:color="auto"/>
              </w:divBdr>
              <w:divsChild>
                <w:div w:id="1580628060">
                  <w:marLeft w:val="0"/>
                  <w:marRight w:val="0"/>
                  <w:marTop w:val="0"/>
                  <w:marBottom w:val="0"/>
                  <w:divBdr>
                    <w:top w:val="none" w:sz="0" w:space="0" w:color="auto"/>
                    <w:left w:val="none" w:sz="0" w:space="0" w:color="auto"/>
                    <w:bottom w:val="none" w:sz="0" w:space="0" w:color="auto"/>
                    <w:right w:val="none" w:sz="0" w:space="0" w:color="auto"/>
                  </w:divBdr>
                  <w:divsChild>
                    <w:div w:id="177432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900254">
      <w:bodyDiv w:val="1"/>
      <w:marLeft w:val="0"/>
      <w:marRight w:val="0"/>
      <w:marTop w:val="0"/>
      <w:marBottom w:val="0"/>
      <w:divBdr>
        <w:top w:val="none" w:sz="0" w:space="0" w:color="auto"/>
        <w:left w:val="none" w:sz="0" w:space="0" w:color="auto"/>
        <w:bottom w:val="none" w:sz="0" w:space="0" w:color="auto"/>
        <w:right w:val="none" w:sz="0" w:space="0" w:color="auto"/>
      </w:divBdr>
    </w:div>
    <w:div w:id="21400315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microsoft.com/office/2007/relationships/hdphoto" Target="media/hdphoto2.wdp"/><Relationship Id="rId18" Type="http://schemas.openxmlformats.org/officeDocument/2006/relationships/footer" Target="footer1.xml"/><Relationship Id="rId26" Type="http://schemas.openxmlformats.org/officeDocument/2006/relationships/image" Target="media/image9.png"/><Relationship Id="rId39" Type="http://schemas.openxmlformats.org/officeDocument/2006/relationships/image" Target="media/image21.png"/><Relationship Id="rId21" Type="http://schemas.openxmlformats.org/officeDocument/2006/relationships/footer" Target="footer3.xml"/><Relationship Id="rId34" Type="http://schemas.openxmlformats.org/officeDocument/2006/relationships/image" Target="media/image16.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image" Target="media/image12.sv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eativecommons.org/licenses/by/4.0/" TargetMode="External"/><Relationship Id="rId24" Type="http://schemas.openxmlformats.org/officeDocument/2006/relationships/image" Target="media/image7.png"/><Relationship Id="rId32" Type="http://schemas.openxmlformats.org/officeDocument/2006/relationships/image" Target="media/image14.png"/><Relationship Id="rId37" Type="http://schemas.openxmlformats.org/officeDocument/2006/relationships/image" Target="media/image19.svg"/><Relationship Id="rId40" Type="http://schemas.openxmlformats.org/officeDocument/2006/relationships/image" Target="media/image22.jpg"/><Relationship Id="rId45"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www.data.qld.gov.au" TargetMode="External"/><Relationship Id="rId23" Type="http://schemas.openxmlformats.org/officeDocument/2006/relationships/image" Target="media/image6.svg"/><Relationship Id="rId28" Type="http://schemas.openxmlformats.org/officeDocument/2006/relationships/image" Target="media/image11.png"/><Relationship Id="rId36" Type="http://schemas.openxmlformats.org/officeDocument/2006/relationships/image" Target="media/image18.png"/><Relationship Id="rId10" Type="http://schemas.openxmlformats.org/officeDocument/2006/relationships/image" Target="media/image2.png"/><Relationship Id="rId19" Type="http://schemas.openxmlformats.org/officeDocument/2006/relationships/footer" Target="footer2.xml"/><Relationship Id="rId31" Type="http://schemas.microsoft.com/office/2007/relationships/hdphoto" Target="media/hdphoto4.wdp"/><Relationship Id="rId44" Type="http://schemas.openxmlformats.org/officeDocument/2006/relationships/customXml" Target="../customXml/item2.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www.qbcc.qld.gov.au/about-us/our-corporate-publications/annual-report" TargetMode="External"/><Relationship Id="rId22" Type="http://schemas.openxmlformats.org/officeDocument/2006/relationships/image" Target="media/image5.png"/><Relationship Id="rId27" Type="http://schemas.openxmlformats.org/officeDocument/2006/relationships/image" Target="media/image10.svg"/><Relationship Id="rId30" Type="http://schemas.openxmlformats.org/officeDocument/2006/relationships/image" Target="media/image13.png"/><Relationship Id="rId35" Type="http://schemas.openxmlformats.org/officeDocument/2006/relationships/image" Target="media/image17.sv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eader" Target="header2.xml"/><Relationship Id="rId25" Type="http://schemas.openxmlformats.org/officeDocument/2006/relationships/image" Target="media/image8.svg"/><Relationship Id="rId33" Type="http://schemas.openxmlformats.org/officeDocument/2006/relationships/image" Target="media/image15.svg"/><Relationship Id="rId38" Type="http://schemas.openxmlformats.org/officeDocument/2006/relationships/image" Target="media/image20.png"/><Relationship Id="rId46" Type="http://schemas.openxmlformats.org/officeDocument/2006/relationships/customXml" Target="../customXml/item4.xml"/><Relationship Id="rId20" Type="http://schemas.openxmlformats.org/officeDocument/2006/relationships/header" Target="header3.xml"/><Relationship Id="rId41" Type="http://schemas.openxmlformats.org/officeDocument/2006/relationships/footer" Target="footer4.xml"/></Relationships>
</file>

<file path=word/_rels/footer2.xml.rels><?xml version="1.0" encoding="UTF-8" standalone="yes"?>
<Relationships xmlns="http://schemas.openxmlformats.org/package/2006/relationships"><Relationship Id="rId2" Type="http://schemas.microsoft.com/office/2007/relationships/hdphoto" Target="media/hdphoto3.wdp"/><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microsoft.com/office/2007/relationships/hdphoto" Target="media/hdphoto3.wdp"/><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2" Type="http://schemas.microsoft.com/office/2007/relationships/hdphoto" Target="media/hdphoto3.wdp"/><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QBCC1">
      <a:dk1>
        <a:srgbClr val="020A0A"/>
      </a:dk1>
      <a:lt1>
        <a:sysClr val="window" lastClr="FFFFFF"/>
      </a:lt1>
      <a:dk2>
        <a:srgbClr val="020A0A"/>
      </a:dk2>
      <a:lt2>
        <a:srgbClr val="E8E8E8"/>
      </a:lt2>
      <a:accent1>
        <a:srgbClr val="0090BA"/>
      </a:accent1>
      <a:accent2>
        <a:srgbClr val="A51D36"/>
      </a:accent2>
      <a:accent3>
        <a:srgbClr val="54575A"/>
      </a:accent3>
      <a:accent4>
        <a:srgbClr val="020A0A"/>
      </a:accent4>
      <a:accent5>
        <a:srgbClr val="009591"/>
      </a:accent5>
      <a:accent6>
        <a:srgbClr val="F5A800"/>
      </a:accent6>
      <a:hlink>
        <a:srgbClr val="009591"/>
      </a:hlink>
      <a:folHlink>
        <a:srgbClr val="A51D36"/>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Version="0">
  <b:Source>
    <b:Tag>Gov24</b:Tag>
    <b:SourceType>DocumentFromInternetSite</b:SourceType>
    <b:Guid>{48C3CD44-6547-48F6-893D-93889FE8A4D8}</b:Guid>
    <b:Title>Boost our social housing Big Build</b:Title>
    <b:Year>2024</b:Year>
    <b:Publisher>The Queensland Government</b:Publisher>
    <b:Author>
      <b:Author>
        <b:NameList>
          <b:Person>
            <b:Last>Government</b:Last>
            <b:First>The</b:First>
            <b:Middle>Queensland</b:Middle>
          </b:Person>
        </b:NameList>
      </b:Author>
    </b:Author>
    <b:InternetSiteTitle>Homes for Queenslanders</b:InternetSiteTitle>
    <b:Month>September</b:Month>
    <b:Day>10</b:Day>
    <b:URL>https://www.housing.qld.gov.au/homesforqueenslanders/initiatives/social-homes</b:URL>
    <b:RefOrder>1</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83B74F23B32199408A85614A6AD502B9" ma:contentTypeVersion="20" ma:contentTypeDescription="Create a new document." ma:contentTypeScope="" ma:versionID="4ca8087f63cc29c354f6471969fe24bf">
  <xsd:schema xmlns:xsd="http://www.w3.org/2001/XMLSchema" xmlns:xs="http://www.w3.org/2001/XMLSchema" xmlns:p="http://schemas.microsoft.com/office/2006/metadata/properties" xmlns:ns2="2e4fc154-58e7-4e15-9f6a-a9fe99656061" xmlns:ns3="b1793ae8-87ab-4236-841b-c71499978a24" targetNamespace="http://schemas.microsoft.com/office/2006/metadata/properties" ma:root="true" ma:fieldsID="9b8e5925a73ecd79f9f53be96f93f7c6" ns2:_="" ns3:_="">
    <xsd:import namespace="2e4fc154-58e7-4e15-9f6a-a9fe99656061"/>
    <xsd:import namespace="b1793ae8-87ab-4236-841b-c71499978a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4fc154-58e7-4e15-9f6a-a9fe996560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8376da4-caf8-4380-8b22-65f4dc9b1181"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93ae8-87ab-4236-841b-c71499978a2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c871b06-9f1e-4ebc-939d-d25203423a5f}" ma:internalName="TaxCatchAll" ma:showField="CatchAllData" ma:web="b1793ae8-87ab-4236-841b-c71499978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e4fc154-58e7-4e15-9f6a-a9fe99656061">
      <Terms xmlns="http://schemas.microsoft.com/office/infopath/2007/PartnerControls"/>
    </lcf76f155ced4ddcb4097134ff3c332f>
    <TaxCatchAll xmlns="b1793ae8-87ab-4236-841b-c71499978a24" xsi:nil="true"/>
  </documentManagement>
</p:properties>
</file>

<file path=customXml/itemProps1.xml><?xml version="1.0" encoding="utf-8"?>
<ds:datastoreItem xmlns:ds="http://schemas.openxmlformats.org/officeDocument/2006/customXml" ds:itemID="{69FECE0F-181F-49F5-9167-60F3777DE66F}">
  <ds:schemaRefs>
    <ds:schemaRef ds:uri="http://schemas.openxmlformats.org/officeDocument/2006/bibliography"/>
  </ds:schemaRefs>
</ds:datastoreItem>
</file>

<file path=customXml/itemProps2.xml><?xml version="1.0" encoding="utf-8"?>
<ds:datastoreItem xmlns:ds="http://schemas.openxmlformats.org/officeDocument/2006/customXml" ds:itemID="{33F4C651-8EBB-4419-AB0C-33A80CFB462F}"/>
</file>

<file path=customXml/itemProps3.xml><?xml version="1.0" encoding="utf-8"?>
<ds:datastoreItem xmlns:ds="http://schemas.openxmlformats.org/officeDocument/2006/customXml" ds:itemID="{F341F7CA-D2F6-41FF-AD36-896919C4204D}"/>
</file>

<file path=customXml/itemProps4.xml><?xml version="1.0" encoding="utf-8"?>
<ds:datastoreItem xmlns:ds="http://schemas.openxmlformats.org/officeDocument/2006/customXml" ds:itemID="{6C817BD0-5EEF-4AEB-BF48-843BA1D6463B}"/>
</file>

<file path=docProps/app.xml><?xml version="1.0" encoding="utf-8"?>
<Properties xmlns="http://schemas.openxmlformats.org/officeDocument/2006/extended-properties" xmlns:vt="http://schemas.openxmlformats.org/officeDocument/2006/docPropsVTypes">
  <Template>Normal</Template>
  <TotalTime>0</TotalTime>
  <Pages>73</Pages>
  <Words>24367</Words>
  <Characters>155950</Characters>
  <Application>Microsoft Office Word</Application>
  <DocSecurity>0</DocSecurity>
  <Lines>3998</Lines>
  <Paragraphs>2372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177945</CharactersWithSpaces>
  <SharedDoc>false</SharedDoc>
  <HLinks>
    <vt:vector size="18" baseType="variant">
      <vt:variant>
        <vt:i4>6488117</vt:i4>
      </vt:variant>
      <vt:variant>
        <vt:i4>6</vt:i4>
      </vt:variant>
      <vt:variant>
        <vt:i4>0</vt:i4>
      </vt:variant>
      <vt:variant>
        <vt:i4>5</vt:i4>
      </vt:variant>
      <vt:variant>
        <vt:lpwstr>http://www.data.qld.gov.au/</vt:lpwstr>
      </vt:variant>
      <vt:variant>
        <vt:lpwstr/>
      </vt:variant>
      <vt:variant>
        <vt:i4>131072</vt:i4>
      </vt:variant>
      <vt:variant>
        <vt:i4>3</vt:i4>
      </vt:variant>
      <vt:variant>
        <vt:i4>0</vt:i4>
      </vt:variant>
      <vt:variant>
        <vt:i4>5</vt:i4>
      </vt:variant>
      <vt:variant>
        <vt:lpwstr>http://www.qbcc.qld.gov.au/about-us/our-corporate-publications/annual-report</vt:lpwstr>
      </vt:variant>
      <vt:variant>
        <vt:lpwstr/>
      </vt:variant>
      <vt:variant>
        <vt:i4>6488166</vt:i4>
      </vt:variant>
      <vt:variant>
        <vt:i4>0</vt:i4>
      </vt:variant>
      <vt:variant>
        <vt:i4>0</vt:i4>
      </vt:variant>
      <vt:variant>
        <vt:i4>5</vt:i4>
      </vt:variant>
      <vt:variant>
        <vt:lpwstr>http://creativecommons.org/licenses/by/4.0/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2026-09-23T01:49:00Z</dcterms:created>
  <dcterms:modified xsi:type="dcterms:W3CDTF">2026-09-23T01:50:00Z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0x01010083B74F23B32199408A85614A6AD502B9</vt:lpwstr>
  </property>
  <property fmtid="{D5CDD505-2E9C-101B-9397-08002B2CF9AE}" pid="4" name="docLang">
    <vt:lpwstr>en</vt:lpwstr>
  </property>
  <property fmtid="{D5CDD505-2E9C-101B-9397-08002B2CF9AE}" pid="5" name="GrammarlyDocumentId">
    <vt:lpwstr>0440265b-6047-4532-90bf-d9aec1c08413</vt:lpwstr>
  </property>
</Properties>
</file>